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F72C1" w:rsidRDefault="009340AB" w:rsidP="00B81A2F">
      <w:pPr>
        <w:pStyle w:val="TOC1"/>
      </w:pPr>
      <w:r>
        <w:rPr>
          <w:noProof/>
        </w:rPr>
        <mc:AlternateContent>
          <mc:Choice Requires="wpg">
            <w:drawing>
              <wp:anchor distT="0" distB="0" distL="114300" distR="114300" simplePos="0" relativeHeight="251652096" behindDoc="0" locked="0" layoutInCell="1" allowOverlap="1" wp14:anchorId="4DF79C48" wp14:editId="2F334E0C">
                <wp:simplePos x="0" y="0"/>
                <wp:positionH relativeFrom="column">
                  <wp:posOffset>-728980</wp:posOffset>
                </wp:positionH>
                <wp:positionV relativeFrom="paragraph">
                  <wp:posOffset>-714375</wp:posOffset>
                </wp:positionV>
                <wp:extent cx="7400925" cy="965835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00925" cy="9658350"/>
                          <a:chOff x="0" y="0"/>
                          <a:chExt cx="7400925" cy="9658350"/>
                        </a:xfrm>
                      </wpg:grpSpPr>
                      <wps:wsp>
                        <wps:cNvPr id="47" name="Rectangle 47"/>
                        <wps:cNvSpPr>
                          <a:spLocks/>
                        </wps:cNvSpPr>
                        <wps:spPr>
                          <a:xfrm>
                            <a:off x="0" y="0"/>
                            <a:ext cx="5353050" cy="9658350"/>
                          </a:xfrm>
                          <a:prstGeom prst="rect">
                            <a:avLst/>
                          </a:prstGeom>
                          <a:solidFill>
                            <a:srgbClr val="448A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0F86" w:rsidRDefault="00340F86"/>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wps:wsp>
                        <wps:cNvPr id="48" name="Rectangle 48"/>
                        <wps:cNvSpPr>
                          <a:spLocks/>
                        </wps:cNvSpPr>
                        <wps:spPr>
                          <a:xfrm>
                            <a:off x="5534025" y="0"/>
                            <a:ext cx="1866900" cy="6477000"/>
                          </a:xfrm>
                          <a:prstGeom prst="rect">
                            <a:avLst/>
                          </a:prstGeom>
                          <a:gradFill>
                            <a:gsLst>
                              <a:gs pos="18000">
                                <a:srgbClr val="448A99"/>
                              </a:gs>
                              <a:gs pos="51000">
                                <a:srgbClr val="8AB0B4"/>
                              </a:gs>
                              <a:gs pos="100000">
                                <a:schemeClr val="bg1"/>
                              </a:gs>
                              <a:gs pos="83000">
                                <a:srgbClr val="AFCACD"/>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0F86" w:rsidRDefault="00340F86"/>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F79C48" id="Group 1" o:spid="_x0000_s1026" style="position:absolute;margin-left:-57.4pt;margin-top:-56.25pt;width:582.75pt;height:760.5pt;z-index:251652096" coordsize="74009,9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">
                <v:rect id="Rectangle 47" o:spid="_x0000_s1027" style="position:absolute;width:53530;height:96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" fillcolor="#448a99" stroked="f" strokeweight="2pt">
                  <v:path arrowok="t"/>
                  <v:textbox inset="21.6pt,1in,21.6pt">
                    <w:txbxContent>
                      <w:p w:rsidR="00340F86" w:rsidRDefault="00340F86"/>
                    </w:txbxContent>
                  </v:textbox>
                </v:rect>
                <v:rect id="Rectangle 48" o:spid="_x0000_s1028" style="position:absolute;left:55340;width:18669;height:6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" fillcolor="#448a99" stroked="f" strokeweight="2pt">
                  <v:fill color2="white [3212]" colors="0 #448a99;11796f #448a99;33423f #8ab0b4;54395f #afcacd" focus="100%" type="gradient">
                    <o:fill v:ext="view" type="gradientUnscaled"/>
                  </v:fill>
                  <v:path arrowok="t"/>
                  <v:textbox inset="14.4pt,,14.4pt">
                    <w:txbxContent>
                      <w:p w:rsidR="00340F86" w:rsidRDefault="00340F86"/>
                    </w:txbxContent>
                  </v:textbox>
                </v:rect>
              </v:group>
            </w:pict>
          </mc:Fallback>
        </mc:AlternateContent>
      </w:r>
    </w:p>
    <w:p w:rsidR="008F72C1" w:rsidRDefault="008F72C1" w:rsidP="00000FEE"/>
    <w:p w:rsidR="008F72C1" w:rsidRDefault="008F72C1" w:rsidP="00000FEE"/>
    <w:p w:rsidR="008F72C1" w:rsidRPr="00C9010F" w:rsidRDefault="00B81A2F" w:rsidP="00000FEE">
      <w:pPr>
        <w:sectPr w:rsidR="008F72C1" w:rsidRPr="00C9010F" w:rsidSect="00E45861">
          <w:headerReference w:type="first" r:id="rId18"/>
          <w:footerReference w:type="first" r:id="rId19"/>
          <w:type w:val="nextColumn"/>
          <w:pgSz w:w="12240" w:h="15840"/>
          <w:pgMar w:top="1440" w:right="1440" w:bottom="1440" w:left="1440" w:header="720" w:footer="720" w:gutter="0"/>
          <w:pgNumType w:fmt="lowerRoman"/>
          <w:cols w:space="720"/>
          <w:docGrid w:linePitch="360"/>
        </w:sectPr>
      </w:pPr>
      <w:r>
        <w:rPr>
          <w:noProof/>
        </w:rPr>
        <mc:AlternateContent>
          <mc:Choice Requires="wps">
            <w:drawing>
              <wp:anchor distT="0" distB="0" distL="114300" distR="114300" simplePos="0" relativeHeight="251654144" behindDoc="0" locked="0" layoutInCell="1" allowOverlap="1" wp14:anchorId="5E45FEAB" wp14:editId="3E47DDEF">
                <wp:simplePos x="0" y="0"/>
                <wp:positionH relativeFrom="column">
                  <wp:posOffset>-714375</wp:posOffset>
                </wp:positionH>
                <wp:positionV relativeFrom="paragraph">
                  <wp:posOffset>1113790</wp:posOffset>
                </wp:positionV>
                <wp:extent cx="5342890" cy="16954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695450"/>
                        </a:xfrm>
                        <a:prstGeom prst="rect">
                          <a:avLst/>
                        </a:prstGeom>
                        <a:noFill/>
                        <a:ln w="9525">
                          <a:noFill/>
                          <a:miter lim="800000"/>
                          <a:headEnd/>
                          <a:tailEnd/>
                        </a:ln>
                      </wps:spPr>
                      <wps:txbx>
                        <w:txbxContent>
                          <w:p w:rsidR="00340F86" w:rsidRPr="00702AB3" w:rsidRDefault="00340F86" w:rsidP="00C34D76">
                            <w:pPr>
                              <w:jc w:val="right"/>
                              <w:rPr>
                                <w:rFonts w:ascii="Century Gothic" w:hAnsi="Century Gothic"/>
                                <w:b/>
                                <w:caps/>
                                <w:color w:val="FFFFFF" w:themeColor="background1"/>
                                <w:spacing w:val="-20"/>
                                <w:sz w:val="56"/>
                                <w:szCs w:val="58"/>
                              </w:rPr>
                            </w:pPr>
                            <w:r w:rsidRPr="00702AB3">
                              <w:rPr>
                                <w:rFonts w:ascii="Century Gothic" w:hAnsi="Century Gothic"/>
                                <w:b/>
                                <w:caps/>
                                <w:color w:val="FFFFFF" w:themeColor="background1"/>
                                <w:spacing w:val="-20"/>
                                <w:sz w:val="56"/>
                                <w:szCs w:val="58"/>
                              </w:rPr>
                              <w:t xml:space="preserve">Act 129 Statewide Evaluator </w:t>
                            </w:r>
                          </w:p>
                          <w:p w:rsidR="00340F86" w:rsidRDefault="00340F86" w:rsidP="00702AB3">
                            <w:pPr>
                              <w:jc w:val="right"/>
                              <w:rPr>
                                <w:rFonts w:ascii="Century Gothic" w:hAnsi="Century Gothic"/>
                                <w:b/>
                                <w:caps/>
                                <w:color w:val="FFFFFF" w:themeColor="background1"/>
                                <w:spacing w:val="-20"/>
                                <w:sz w:val="56"/>
                                <w:szCs w:val="64"/>
                              </w:rPr>
                            </w:pPr>
                            <w:r w:rsidRPr="00702AB3">
                              <w:rPr>
                                <w:rFonts w:ascii="Century Gothic" w:hAnsi="Century Gothic"/>
                                <w:b/>
                                <w:caps/>
                                <w:color w:val="FFFFFF" w:themeColor="background1"/>
                                <w:spacing w:val="-20"/>
                                <w:sz w:val="56"/>
                                <w:szCs w:val="64"/>
                              </w:rPr>
                              <w:t xml:space="preserve">AMENDED Phase II </w:t>
                            </w:r>
                          </w:p>
                          <w:p w:rsidR="00340F86" w:rsidRPr="00702AB3" w:rsidRDefault="00340F86" w:rsidP="00C34D76">
                            <w:pPr>
                              <w:spacing w:after="240"/>
                              <w:jc w:val="right"/>
                              <w:rPr>
                                <w:rFonts w:ascii="Century Gothic" w:hAnsi="Century Gothic"/>
                                <w:b/>
                                <w:caps/>
                                <w:color w:val="FFFFFF" w:themeColor="background1"/>
                                <w:spacing w:val="-20"/>
                                <w:sz w:val="56"/>
                                <w:szCs w:val="64"/>
                              </w:rPr>
                            </w:pPr>
                            <w:r w:rsidRPr="00702AB3">
                              <w:rPr>
                                <w:rFonts w:ascii="Century Gothic" w:hAnsi="Century Gothic"/>
                                <w:b/>
                                <w:caps/>
                                <w:color w:val="FFFFFF" w:themeColor="background1"/>
                                <w:spacing w:val="-20"/>
                                <w:sz w:val="56"/>
                                <w:szCs w:val="64"/>
                              </w:rPr>
                              <w:t>Final Report</w:t>
                            </w:r>
                          </w:p>
                          <w:p w:rsidR="00340F86" w:rsidRPr="00B81A2F" w:rsidRDefault="00340F86" w:rsidP="00C34D76">
                            <w:pPr>
                              <w:jc w:val="right"/>
                              <w:rPr>
                                <w:rFonts w:ascii="Century Gothic" w:hAnsi="Century Gothic"/>
                                <w:b/>
                                <w:smallCaps/>
                                <w:color w:val="FFFFFF" w:themeColor="background1"/>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5FEAB" id="_x0000_t202" coordsize="21600,21600" o:spt="202" path="m,l,21600r21600,l21600,xe">
                <v:stroke joinstyle="miter"/>
                <v:path gradientshapeok="t" o:connecttype="rect"/>
              </v:shapetype>
              <v:shape id="Text Box 2" o:spid="_x0000_s1029" type="#_x0000_t202" style="position:absolute;left:0;text-align:left;margin-left:-56.25pt;margin-top:87.7pt;width:420.7pt;height:1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" filled="f" stroked="f">
                <v:textbox>
                  <w:txbxContent>
                    <w:p w:rsidR="00340F86" w:rsidRPr="00702AB3" w:rsidRDefault="00340F86" w:rsidP="00C34D76">
                      <w:pPr>
                        <w:jc w:val="right"/>
                        <w:rPr>
                          <w:rFonts w:ascii="Century Gothic" w:hAnsi="Century Gothic"/>
                          <w:b/>
                          <w:caps/>
                          <w:color w:val="FFFFFF" w:themeColor="background1"/>
                          <w:spacing w:val="-20"/>
                          <w:sz w:val="56"/>
                          <w:szCs w:val="58"/>
                        </w:rPr>
                      </w:pPr>
                      <w:r w:rsidRPr="00702AB3">
                        <w:rPr>
                          <w:rFonts w:ascii="Century Gothic" w:hAnsi="Century Gothic"/>
                          <w:b/>
                          <w:caps/>
                          <w:color w:val="FFFFFF" w:themeColor="background1"/>
                          <w:spacing w:val="-20"/>
                          <w:sz w:val="56"/>
                          <w:szCs w:val="58"/>
                        </w:rPr>
                        <w:t xml:space="preserve">Act 129 Statewide Evaluator </w:t>
                      </w:r>
                    </w:p>
                    <w:p w:rsidR="00340F86" w:rsidRDefault="00340F86" w:rsidP="00702AB3">
                      <w:pPr>
                        <w:jc w:val="right"/>
                        <w:rPr>
                          <w:rFonts w:ascii="Century Gothic" w:hAnsi="Century Gothic"/>
                          <w:b/>
                          <w:caps/>
                          <w:color w:val="FFFFFF" w:themeColor="background1"/>
                          <w:spacing w:val="-20"/>
                          <w:sz w:val="56"/>
                          <w:szCs w:val="64"/>
                        </w:rPr>
                      </w:pPr>
                      <w:r w:rsidRPr="00702AB3">
                        <w:rPr>
                          <w:rFonts w:ascii="Century Gothic" w:hAnsi="Century Gothic"/>
                          <w:b/>
                          <w:caps/>
                          <w:color w:val="FFFFFF" w:themeColor="background1"/>
                          <w:spacing w:val="-20"/>
                          <w:sz w:val="56"/>
                          <w:szCs w:val="64"/>
                        </w:rPr>
                        <w:t xml:space="preserve">AMENDED Phase II </w:t>
                      </w:r>
                    </w:p>
                    <w:p w:rsidR="00340F86" w:rsidRPr="00702AB3" w:rsidRDefault="00340F86" w:rsidP="00C34D76">
                      <w:pPr>
                        <w:spacing w:after="240"/>
                        <w:jc w:val="right"/>
                        <w:rPr>
                          <w:rFonts w:ascii="Century Gothic" w:hAnsi="Century Gothic"/>
                          <w:b/>
                          <w:caps/>
                          <w:color w:val="FFFFFF" w:themeColor="background1"/>
                          <w:spacing w:val="-20"/>
                          <w:sz w:val="56"/>
                          <w:szCs w:val="64"/>
                        </w:rPr>
                      </w:pPr>
                      <w:r w:rsidRPr="00702AB3">
                        <w:rPr>
                          <w:rFonts w:ascii="Century Gothic" w:hAnsi="Century Gothic"/>
                          <w:b/>
                          <w:caps/>
                          <w:color w:val="FFFFFF" w:themeColor="background1"/>
                          <w:spacing w:val="-20"/>
                          <w:sz w:val="56"/>
                          <w:szCs w:val="64"/>
                        </w:rPr>
                        <w:t>Final Report</w:t>
                      </w:r>
                    </w:p>
                    <w:p w:rsidR="00340F86" w:rsidRPr="00B81A2F" w:rsidRDefault="00340F86" w:rsidP="00C34D76">
                      <w:pPr>
                        <w:jc w:val="right"/>
                        <w:rPr>
                          <w:rFonts w:ascii="Century Gothic" w:hAnsi="Century Gothic"/>
                          <w:b/>
                          <w:smallCaps/>
                          <w:color w:val="FFFFFF" w:themeColor="background1"/>
                          <w:sz w:val="64"/>
                          <w:szCs w:val="6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619DE4F" wp14:editId="0972574B">
                <wp:simplePos x="0" y="0"/>
                <wp:positionH relativeFrom="column">
                  <wp:posOffset>4803775</wp:posOffset>
                </wp:positionH>
                <wp:positionV relativeFrom="paragraph">
                  <wp:posOffset>5375910</wp:posOffset>
                </wp:positionV>
                <wp:extent cx="1875790" cy="4857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485775"/>
                        </a:xfrm>
                        <a:prstGeom prst="rect">
                          <a:avLst/>
                        </a:prstGeom>
                        <a:noFill/>
                        <a:ln w="9525">
                          <a:noFill/>
                          <a:miter lim="800000"/>
                          <a:headEnd/>
                          <a:tailEnd/>
                        </a:ln>
                      </wps:spPr>
                      <wps:txbx>
                        <w:txbxContent>
                          <w:p w:rsidR="00340F86" w:rsidRPr="00B81A2F" w:rsidRDefault="00340F86" w:rsidP="00B81A2F">
                            <w:pPr>
                              <w:spacing w:after="60"/>
                              <w:jc w:val="center"/>
                              <w:rPr>
                                <w:rFonts w:ascii="Century Gothic" w:hAnsi="Century Gothic"/>
                                <w:color w:val="404040" w:themeColor="text1" w:themeTint="BF"/>
                                <w:spacing w:val="-12"/>
                                <w:sz w:val="18"/>
                                <w:szCs w:val="64"/>
                              </w:rPr>
                            </w:pPr>
                            <w:r w:rsidRPr="00B81A2F">
                              <w:rPr>
                                <w:rFonts w:ascii="Century Gothic" w:hAnsi="Century Gothic"/>
                                <w:color w:val="404040" w:themeColor="text1" w:themeTint="BF"/>
                                <w:spacing w:val="-12"/>
                                <w:sz w:val="18"/>
                                <w:szCs w:val="64"/>
                              </w:rPr>
                              <w:t>Prepared by:</w:t>
                            </w:r>
                          </w:p>
                          <w:p w:rsidR="00340F86" w:rsidRPr="00B81A2F" w:rsidRDefault="00340F86" w:rsidP="00C34D76">
                            <w:pPr>
                              <w:spacing w:after="120"/>
                              <w:jc w:val="center"/>
                              <w:rPr>
                                <w:rFonts w:ascii="Century Gothic" w:hAnsi="Century Gothic"/>
                                <w:b/>
                                <w:color w:val="404040" w:themeColor="text1" w:themeTint="BF"/>
                                <w:spacing w:val="-12"/>
                                <w:sz w:val="20"/>
                                <w:szCs w:val="64"/>
                              </w:rPr>
                            </w:pPr>
                            <w:r w:rsidRPr="00B81A2F">
                              <w:rPr>
                                <w:rFonts w:ascii="Century Gothic" w:hAnsi="Century Gothic"/>
                                <w:b/>
                                <w:color w:val="404040" w:themeColor="text1" w:themeTint="BF"/>
                                <w:spacing w:val="-12"/>
                                <w:sz w:val="20"/>
                                <w:szCs w:val="64"/>
                              </w:rPr>
                              <w:t>Statewide Evaluation Team</w:t>
                            </w:r>
                          </w:p>
                          <w:p w:rsidR="00340F86" w:rsidRPr="00B81A2F" w:rsidRDefault="00340F86" w:rsidP="00C34D76">
                            <w:pPr>
                              <w:spacing w:after="120"/>
                              <w:jc w:val="center"/>
                              <w:rPr>
                                <w:rFonts w:ascii="Century Gothic" w:hAnsi="Century Gothic"/>
                                <w:color w:val="404040" w:themeColor="text1" w:themeTint="BF"/>
                                <w:spacing w:val="-12"/>
                                <w:szCs w:val="64"/>
                              </w:rPr>
                            </w:pPr>
                          </w:p>
                          <w:p w:rsidR="00340F86" w:rsidRPr="00B81A2F" w:rsidRDefault="00340F86" w:rsidP="00C34D76">
                            <w:pPr>
                              <w:spacing w:after="120"/>
                              <w:jc w:val="center"/>
                              <w:rPr>
                                <w:rFonts w:ascii="Century Gothic" w:hAnsi="Century Gothic"/>
                                <w:b/>
                                <w:color w:val="404040" w:themeColor="text1" w:themeTint="BF"/>
                                <w:spacing w:val="-12"/>
                                <w:sz w:val="20"/>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9DE4F" id="_x0000_s1030" type="#_x0000_t202" style="position:absolute;left:0;text-align:left;margin-left:378.25pt;margin-top:423.3pt;width:147.7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" filled="f" stroked="f">
                <v:textbox>
                  <w:txbxContent>
                    <w:p w:rsidR="00340F86" w:rsidRPr="00B81A2F" w:rsidRDefault="00340F86" w:rsidP="00B81A2F">
                      <w:pPr>
                        <w:spacing w:after="60"/>
                        <w:jc w:val="center"/>
                        <w:rPr>
                          <w:rFonts w:ascii="Century Gothic" w:hAnsi="Century Gothic"/>
                          <w:color w:val="404040" w:themeColor="text1" w:themeTint="BF"/>
                          <w:spacing w:val="-12"/>
                          <w:sz w:val="18"/>
                          <w:szCs w:val="64"/>
                        </w:rPr>
                      </w:pPr>
                      <w:r w:rsidRPr="00B81A2F">
                        <w:rPr>
                          <w:rFonts w:ascii="Century Gothic" w:hAnsi="Century Gothic"/>
                          <w:color w:val="404040" w:themeColor="text1" w:themeTint="BF"/>
                          <w:spacing w:val="-12"/>
                          <w:sz w:val="18"/>
                          <w:szCs w:val="64"/>
                        </w:rPr>
                        <w:t>Prepared by:</w:t>
                      </w:r>
                    </w:p>
                    <w:p w:rsidR="00340F86" w:rsidRPr="00B81A2F" w:rsidRDefault="00340F86" w:rsidP="00C34D76">
                      <w:pPr>
                        <w:spacing w:after="120"/>
                        <w:jc w:val="center"/>
                        <w:rPr>
                          <w:rFonts w:ascii="Century Gothic" w:hAnsi="Century Gothic"/>
                          <w:b/>
                          <w:color w:val="404040" w:themeColor="text1" w:themeTint="BF"/>
                          <w:spacing w:val="-12"/>
                          <w:sz w:val="20"/>
                          <w:szCs w:val="64"/>
                        </w:rPr>
                      </w:pPr>
                      <w:r w:rsidRPr="00B81A2F">
                        <w:rPr>
                          <w:rFonts w:ascii="Century Gothic" w:hAnsi="Century Gothic"/>
                          <w:b/>
                          <w:color w:val="404040" w:themeColor="text1" w:themeTint="BF"/>
                          <w:spacing w:val="-12"/>
                          <w:sz w:val="20"/>
                          <w:szCs w:val="64"/>
                        </w:rPr>
                        <w:t>Statewide Evaluation Team</w:t>
                      </w:r>
                    </w:p>
                    <w:p w:rsidR="00340F86" w:rsidRPr="00B81A2F" w:rsidRDefault="00340F86" w:rsidP="00C34D76">
                      <w:pPr>
                        <w:spacing w:after="120"/>
                        <w:jc w:val="center"/>
                        <w:rPr>
                          <w:rFonts w:ascii="Century Gothic" w:hAnsi="Century Gothic"/>
                          <w:color w:val="404040" w:themeColor="text1" w:themeTint="BF"/>
                          <w:spacing w:val="-12"/>
                          <w:szCs w:val="64"/>
                        </w:rPr>
                      </w:pPr>
                    </w:p>
                    <w:p w:rsidR="00340F86" w:rsidRPr="00B81A2F" w:rsidRDefault="00340F86" w:rsidP="00C34D76">
                      <w:pPr>
                        <w:spacing w:after="120"/>
                        <w:jc w:val="center"/>
                        <w:rPr>
                          <w:rFonts w:ascii="Century Gothic" w:hAnsi="Century Gothic"/>
                          <w:b/>
                          <w:color w:val="404040" w:themeColor="text1" w:themeTint="BF"/>
                          <w:spacing w:val="-12"/>
                          <w:sz w:val="20"/>
                          <w:szCs w:val="64"/>
                        </w:rPr>
                      </w:pPr>
                    </w:p>
                  </w:txbxContent>
                </v:textbox>
              </v:shape>
            </w:pict>
          </mc:Fallback>
        </mc:AlternateContent>
      </w:r>
      <w:r w:rsidR="00F56A2B">
        <w:rPr>
          <w:noProof/>
        </w:rPr>
        <mc:AlternateContent>
          <mc:Choice Requires="wps">
            <w:drawing>
              <wp:anchor distT="0" distB="0" distL="114300" distR="114300" simplePos="0" relativeHeight="251656192" behindDoc="0" locked="0" layoutInCell="1" allowOverlap="1" wp14:anchorId="028B7C84" wp14:editId="3C348422">
                <wp:simplePos x="0" y="0"/>
                <wp:positionH relativeFrom="column">
                  <wp:posOffset>-732790</wp:posOffset>
                </wp:positionH>
                <wp:positionV relativeFrom="paragraph">
                  <wp:posOffset>2925859</wp:posOffset>
                </wp:positionV>
                <wp:extent cx="5353050" cy="25527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552700"/>
                        </a:xfrm>
                        <a:prstGeom prst="rect">
                          <a:avLst/>
                        </a:prstGeom>
                        <a:noFill/>
                        <a:ln w="9525">
                          <a:noFill/>
                          <a:miter lim="800000"/>
                          <a:headEnd/>
                          <a:tailEnd/>
                        </a:ln>
                      </wps:spPr>
                      <wps:txbx>
                        <w:txbxContent>
                          <w:p w:rsidR="00340F86" w:rsidRPr="00B81A2F" w:rsidRDefault="00340F86" w:rsidP="00C34D76">
                            <w:pPr>
                              <w:spacing w:after="120"/>
                              <w:jc w:val="right"/>
                              <w:rPr>
                                <w:rFonts w:ascii="Century Gothic" w:hAnsi="Century Gothic"/>
                                <w:color w:val="FFFFFF" w:themeColor="background1"/>
                                <w:spacing w:val="-12"/>
                                <w:sz w:val="26"/>
                                <w:szCs w:val="26"/>
                              </w:rPr>
                            </w:pPr>
                            <w:r w:rsidRPr="00B81A2F">
                              <w:rPr>
                                <w:rFonts w:ascii="Century Gothic" w:hAnsi="Century Gothic"/>
                                <w:color w:val="FFFFFF" w:themeColor="background1"/>
                                <w:spacing w:val="-12"/>
                                <w:sz w:val="26"/>
                                <w:szCs w:val="26"/>
                              </w:rPr>
                              <w:t xml:space="preserve">Presented to </w:t>
                            </w:r>
                          </w:p>
                          <w:p w:rsidR="00340F86" w:rsidRPr="00B81A2F" w:rsidRDefault="00340F86" w:rsidP="00C34D76">
                            <w:pPr>
                              <w:spacing w:after="120"/>
                              <w:jc w:val="right"/>
                              <w:rPr>
                                <w:rFonts w:ascii="Century Gothic" w:hAnsi="Century Gothic"/>
                                <w:b/>
                                <w:color w:val="FFFFFF" w:themeColor="background1"/>
                                <w:spacing w:val="-12"/>
                                <w:sz w:val="36"/>
                                <w:szCs w:val="64"/>
                              </w:rPr>
                            </w:pPr>
                            <w:r w:rsidRPr="00B81A2F">
                              <w:rPr>
                                <w:rFonts w:ascii="Century Gothic" w:hAnsi="Century Gothic"/>
                                <w:b/>
                                <w:color w:val="FFFFFF" w:themeColor="background1"/>
                                <w:spacing w:val="-12"/>
                                <w:sz w:val="36"/>
                                <w:szCs w:val="64"/>
                              </w:rPr>
                              <w:t>Pennsylvania Public Utility Commission</w:t>
                            </w:r>
                          </w:p>
                          <w:p w:rsidR="00340F86" w:rsidRDefault="00340F86" w:rsidP="00C34D76">
                            <w:pPr>
                              <w:spacing w:after="120"/>
                              <w:jc w:val="right"/>
                              <w:rPr>
                                <w:rFonts w:ascii="Century Gothic" w:hAnsi="Century Gothic"/>
                                <w:color w:val="FFFFFF" w:themeColor="background1"/>
                                <w:sz w:val="32"/>
                                <w:szCs w:val="64"/>
                              </w:rPr>
                            </w:pPr>
                          </w:p>
                          <w:p w:rsidR="00340F86" w:rsidRPr="00B81A2F" w:rsidRDefault="00340F86" w:rsidP="00C34D76">
                            <w:pPr>
                              <w:spacing w:after="120"/>
                              <w:jc w:val="right"/>
                              <w:rPr>
                                <w:rFonts w:ascii="Century Gothic" w:hAnsi="Century Gothic"/>
                                <w:caps/>
                                <w:color w:val="FFFFFF" w:themeColor="background1"/>
                                <w:spacing w:val="-12"/>
                                <w:sz w:val="36"/>
                                <w:szCs w:val="28"/>
                              </w:rPr>
                            </w:pPr>
                            <w:r w:rsidRPr="00B81A2F">
                              <w:rPr>
                                <w:rFonts w:ascii="Century Gothic" w:hAnsi="Century Gothic"/>
                                <w:caps/>
                                <w:color w:val="FFFFFF" w:themeColor="background1"/>
                                <w:spacing w:val="-12"/>
                                <w:sz w:val="36"/>
                                <w:szCs w:val="28"/>
                              </w:rPr>
                              <w:t xml:space="preserve"> AMENDED Final Report</w:t>
                            </w:r>
                          </w:p>
                          <w:p w:rsidR="00340F86" w:rsidRPr="00B81A2F" w:rsidRDefault="00340F86" w:rsidP="00C34D76">
                            <w:pPr>
                              <w:spacing w:after="120"/>
                              <w:jc w:val="right"/>
                              <w:rPr>
                                <w:rFonts w:ascii="Century Gothic" w:hAnsi="Century Gothic"/>
                                <w:color w:val="FFFFFF" w:themeColor="background1"/>
                                <w:spacing w:val="-12"/>
                                <w:sz w:val="32"/>
                                <w:szCs w:val="64"/>
                              </w:rPr>
                            </w:pPr>
                            <w:r w:rsidRPr="00B81A2F">
                              <w:rPr>
                                <w:rFonts w:ascii="Century Gothic" w:hAnsi="Century Gothic"/>
                                <w:color w:val="FFFFFF" w:themeColor="background1"/>
                                <w:spacing w:val="-12"/>
                                <w:sz w:val="32"/>
                                <w:szCs w:val="64"/>
                              </w:rPr>
                              <w:t>July 24, 2017</w:t>
                            </w:r>
                          </w:p>
                          <w:p w:rsidR="00340F86" w:rsidRPr="00682654" w:rsidRDefault="00340F86" w:rsidP="00C34D76">
                            <w:pPr>
                              <w:spacing w:after="120"/>
                              <w:jc w:val="right"/>
                              <w:rPr>
                                <w:rFonts w:ascii="Century Gothic" w:hAnsi="Century Gothic"/>
                                <w:color w:val="FFFFFF" w:themeColor="background1"/>
                                <w:sz w:val="28"/>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B7C84" id="_x0000_s1031" type="#_x0000_t202" style="position:absolute;left:0;text-align:left;margin-left:-57.7pt;margin-top:230.4pt;width:421.5pt;height:2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" filled="f" stroked="f">
                <v:textbox>
                  <w:txbxContent>
                    <w:p w:rsidR="00340F86" w:rsidRPr="00B81A2F" w:rsidRDefault="00340F86" w:rsidP="00C34D76">
                      <w:pPr>
                        <w:spacing w:after="120"/>
                        <w:jc w:val="right"/>
                        <w:rPr>
                          <w:rFonts w:ascii="Century Gothic" w:hAnsi="Century Gothic"/>
                          <w:color w:val="FFFFFF" w:themeColor="background1"/>
                          <w:spacing w:val="-12"/>
                          <w:sz w:val="26"/>
                          <w:szCs w:val="26"/>
                        </w:rPr>
                      </w:pPr>
                      <w:r w:rsidRPr="00B81A2F">
                        <w:rPr>
                          <w:rFonts w:ascii="Century Gothic" w:hAnsi="Century Gothic"/>
                          <w:color w:val="FFFFFF" w:themeColor="background1"/>
                          <w:spacing w:val="-12"/>
                          <w:sz w:val="26"/>
                          <w:szCs w:val="26"/>
                        </w:rPr>
                        <w:t xml:space="preserve">Presented to </w:t>
                      </w:r>
                    </w:p>
                    <w:p w:rsidR="00340F86" w:rsidRPr="00B81A2F" w:rsidRDefault="00340F86" w:rsidP="00C34D76">
                      <w:pPr>
                        <w:spacing w:after="120"/>
                        <w:jc w:val="right"/>
                        <w:rPr>
                          <w:rFonts w:ascii="Century Gothic" w:hAnsi="Century Gothic"/>
                          <w:b/>
                          <w:color w:val="FFFFFF" w:themeColor="background1"/>
                          <w:spacing w:val="-12"/>
                          <w:sz w:val="36"/>
                          <w:szCs w:val="64"/>
                        </w:rPr>
                      </w:pPr>
                      <w:r w:rsidRPr="00B81A2F">
                        <w:rPr>
                          <w:rFonts w:ascii="Century Gothic" w:hAnsi="Century Gothic"/>
                          <w:b/>
                          <w:color w:val="FFFFFF" w:themeColor="background1"/>
                          <w:spacing w:val="-12"/>
                          <w:sz w:val="36"/>
                          <w:szCs w:val="64"/>
                        </w:rPr>
                        <w:t>Pennsylvania Public Utility Commission</w:t>
                      </w:r>
                    </w:p>
                    <w:p w:rsidR="00340F86" w:rsidRDefault="00340F86" w:rsidP="00C34D76">
                      <w:pPr>
                        <w:spacing w:after="120"/>
                        <w:jc w:val="right"/>
                        <w:rPr>
                          <w:rFonts w:ascii="Century Gothic" w:hAnsi="Century Gothic"/>
                          <w:color w:val="FFFFFF" w:themeColor="background1"/>
                          <w:sz w:val="32"/>
                          <w:szCs w:val="64"/>
                        </w:rPr>
                      </w:pPr>
                    </w:p>
                    <w:p w:rsidR="00340F86" w:rsidRPr="00B81A2F" w:rsidRDefault="00340F86" w:rsidP="00C34D76">
                      <w:pPr>
                        <w:spacing w:after="120"/>
                        <w:jc w:val="right"/>
                        <w:rPr>
                          <w:rFonts w:ascii="Century Gothic" w:hAnsi="Century Gothic"/>
                          <w:caps/>
                          <w:color w:val="FFFFFF" w:themeColor="background1"/>
                          <w:spacing w:val="-12"/>
                          <w:sz w:val="36"/>
                          <w:szCs w:val="28"/>
                        </w:rPr>
                      </w:pPr>
                      <w:r w:rsidRPr="00B81A2F">
                        <w:rPr>
                          <w:rFonts w:ascii="Century Gothic" w:hAnsi="Century Gothic"/>
                          <w:caps/>
                          <w:color w:val="FFFFFF" w:themeColor="background1"/>
                          <w:spacing w:val="-12"/>
                          <w:sz w:val="36"/>
                          <w:szCs w:val="28"/>
                        </w:rPr>
                        <w:t xml:space="preserve"> AMENDED Final Report</w:t>
                      </w:r>
                    </w:p>
                    <w:p w:rsidR="00340F86" w:rsidRPr="00B81A2F" w:rsidRDefault="00340F86" w:rsidP="00C34D76">
                      <w:pPr>
                        <w:spacing w:after="120"/>
                        <w:jc w:val="right"/>
                        <w:rPr>
                          <w:rFonts w:ascii="Century Gothic" w:hAnsi="Century Gothic"/>
                          <w:color w:val="FFFFFF" w:themeColor="background1"/>
                          <w:spacing w:val="-12"/>
                          <w:sz w:val="32"/>
                          <w:szCs w:val="64"/>
                        </w:rPr>
                      </w:pPr>
                      <w:r w:rsidRPr="00B81A2F">
                        <w:rPr>
                          <w:rFonts w:ascii="Century Gothic" w:hAnsi="Century Gothic"/>
                          <w:color w:val="FFFFFF" w:themeColor="background1"/>
                          <w:spacing w:val="-12"/>
                          <w:sz w:val="32"/>
                          <w:szCs w:val="64"/>
                        </w:rPr>
                        <w:t>July 24, 2017</w:t>
                      </w:r>
                    </w:p>
                    <w:p w:rsidR="00340F86" w:rsidRPr="00682654" w:rsidRDefault="00340F86" w:rsidP="00C34D76">
                      <w:pPr>
                        <w:spacing w:after="120"/>
                        <w:jc w:val="right"/>
                        <w:rPr>
                          <w:rFonts w:ascii="Century Gothic" w:hAnsi="Century Gothic"/>
                          <w:color w:val="FFFFFF" w:themeColor="background1"/>
                          <w:sz w:val="28"/>
                          <w:szCs w:val="64"/>
                        </w:rPr>
                      </w:pPr>
                    </w:p>
                  </w:txbxContent>
                </v:textbox>
              </v:shape>
            </w:pict>
          </mc:Fallback>
        </mc:AlternateContent>
      </w:r>
      <w:r w:rsidR="00964869" w:rsidRPr="00C34D76">
        <w:rPr>
          <w:noProof/>
        </w:rPr>
        <w:drawing>
          <wp:anchor distT="0" distB="0" distL="114300" distR="114300" simplePos="0" relativeHeight="251660288" behindDoc="0" locked="0" layoutInCell="1" allowOverlap="1" wp14:anchorId="45BDDE53" wp14:editId="2006FC0F">
            <wp:simplePos x="0" y="0"/>
            <wp:positionH relativeFrom="column">
              <wp:posOffset>4993640</wp:posOffset>
            </wp:positionH>
            <wp:positionV relativeFrom="paragraph">
              <wp:posOffset>6848475</wp:posOffset>
            </wp:positionV>
            <wp:extent cx="1486535" cy="234950"/>
            <wp:effectExtent l="0" t="0" r="0" b="0"/>
            <wp:wrapNone/>
            <wp:docPr id="294" name="Picture 294" descr="C:\Users\kaytie.ruditys\AppData\Local\Microsoft\Windows\Temporary Internet Files\Content.Outlook\ISX68XGE\ria_logomark high.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ytie.ruditys\AppData\Local\Microsoft\Windows\Temporary Internet Files\Content.Outlook\ISX68XGE\ria_logomark high.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6535" cy="234950"/>
                    </a:xfrm>
                    <a:prstGeom prst="rect">
                      <a:avLst/>
                    </a:prstGeom>
                    <a:noFill/>
                    <a:ln>
                      <a:noFill/>
                    </a:ln>
                  </pic:spPr>
                </pic:pic>
              </a:graphicData>
            </a:graphic>
          </wp:anchor>
        </w:drawing>
      </w:r>
      <w:r w:rsidR="00964869" w:rsidRPr="00C34D76">
        <w:rPr>
          <w:noProof/>
        </w:rPr>
        <w:drawing>
          <wp:anchor distT="0" distB="0" distL="114300" distR="114300" simplePos="0" relativeHeight="251662336" behindDoc="0" locked="0" layoutInCell="1" allowOverlap="1" wp14:anchorId="47008020" wp14:editId="794019B2">
            <wp:simplePos x="0" y="0"/>
            <wp:positionH relativeFrom="column">
              <wp:posOffset>5396230</wp:posOffset>
            </wp:positionH>
            <wp:positionV relativeFrom="paragraph">
              <wp:posOffset>7322185</wp:posOffset>
            </wp:positionV>
            <wp:extent cx="684419" cy="665921"/>
            <wp:effectExtent l="0" t="0" r="1905" b="1270"/>
            <wp:wrapNone/>
            <wp:docPr id="45" name="Picture 34">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419" cy="665921"/>
                    </a:xfrm>
                    <a:prstGeom prst="rect">
                      <a:avLst/>
                    </a:prstGeom>
                    <a:noFill/>
                  </pic:spPr>
                </pic:pic>
              </a:graphicData>
            </a:graphic>
            <wp14:sizeRelH relativeFrom="margin">
              <wp14:pctWidth>0</wp14:pctWidth>
            </wp14:sizeRelH>
            <wp14:sizeRelV relativeFrom="margin">
              <wp14:pctHeight>0</wp14:pctHeight>
            </wp14:sizeRelV>
          </wp:anchor>
        </w:drawing>
      </w:r>
      <w:r w:rsidR="00964869">
        <w:rPr>
          <w:noProof/>
        </w:rPr>
        <w:drawing>
          <wp:anchor distT="0" distB="0" distL="114300" distR="114300" simplePos="0" relativeHeight="251664384" behindDoc="0" locked="0" layoutInCell="1" allowOverlap="1" wp14:anchorId="2B26CC35" wp14:editId="0A74E18D">
            <wp:simplePos x="0" y="0"/>
            <wp:positionH relativeFrom="column">
              <wp:posOffset>4938395</wp:posOffset>
            </wp:positionH>
            <wp:positionV relativeFrom="paragraph">
              <wp:posOffset>6035040</wp:posOffset>
            </wp:positionV>
            <wp:extent cx="1607820" cy="536575"/>
            <wp:effectExtent l="0" t="0" r="0" b="0"/>
            <wp:wrapTight wrapText="bothSides">
              <wp:wrapPolygon edited="0">
                <wp:start x="512" y="0"/>
                <wp:lineTo x="0" y="1534"/>
                <wp:lineTo x="0" y="12270"/>
                <wp:lineTo x="2559" y="12270"/>
                <wp:lineTo x="2559" y="20705"/>
                <wp:lineTo x="6142" y="20705"/>
                <wp:lineTo x="21242" y="13804"/>
                <wp:lineTo x="21242" y="0"/>
                <wp:lineTo x="3839" y="0"/>
                <wp:lineTo x="512" y="0"/>
              </wp:wrapPolygon>
            </wp:wrapTight>
            <wp:docPr id="298" name="Picture 29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DS-logo_new.png"/>
                    <pic:cNvPicPr/>
                  </pic:nvPicPr>
                  <pic:blipFill>
                    <a:blip r:embed="rId25"/>
                    <a:stretch>
                      <a:fillRect/>
                    </a:stretch>
                  </pic:blipFill>
                  <pic:spPr>
                    <a:xfrm>
                      <a:off x="0" y="0"/>
                      <a:ext cx="1607820" cy="536575"/>
                    </a:xfrm>
                    <a:prstGeom prst="rect">
                      <a:avLst/>
                    </a:prstGeom>
                  </pic:spPr>
                </pic:pic>
              </a:graphicData>
            </a:graphic>
            <wp14:sizeRelH relativeFrom="margin">
              <wp14:pctWidth>0</wp14:pctWidth>
            </wp14:sizeRelH>
            <wp14:sizeRelV relativeFrom="margin">
              <wp14:pctHeight>0</wp14:pctHeight>
            </wp14:sizeRelV>
          </wp:anchor>
        </w:drawing>
      </w:r>
    </w:p>
    <w:p w:rsidR="00F95DF6" w:rsidRPr="00B81A2F" w:rsidRDefault="00F95DF6" w:rsidP="00964869">
      <w:pPr>
        <w:pBdr>
          <w:bottom w:val="single" w:sz="8" w:space="1" w:color="448A99"/>
        </w:pBdr>
        <w:spacing w:after="120"/>
        <w:rPr>
          <w:rFonts w:ascii="Century Gothic" w:hAnsi="Century Gothic"/>
          <w:b/>
          <w:caps/>
          <w:color w:val="404040" w:themeColor="text1" w:themeTint="BF"/>
          <w:spacing w:val="-13"/>
        </w:rPr>
      </w:pPr>
      <w:r w:rsidRPr="00B81A2F">
        <w:rPr>
          <w:rFonts w:ascii="Century Gothic" w:hAnsi="Century Gothic"/>
          <w:b/>
          <w:caps/>
          <w:color w:val="404040" w:themeColor="text1" w:themeTint="BF"/>
          <w:spacing w:val="-13"/>
        </w:rPr>
        <w:lastRenderedPageBreak/>
        <w:t>Acknowledgments</w:t>
      </w:r>
    </w:p>
    <w:p w:rsidR="002C0506" w:rsidRPr="002C0506" w:rsidRDefault="002C0506" w:rsidP="002C0506">
      <w:r w:rsidRPr="002C0506">
        <w:t>The Act 129 Phase II Statewide Evaluation (SWE) Team thanks the Energy Association of Pennsylvania, Pennsylvania’s investor-owned electric distribution companies (EDCs), and the EDCs’ Act 129 program staff and evaluation contractors for their feedback and comments on site reports and audit findings incorporated into this SWE Team Phase II</w:t>
      </w:r>
      <w:r w:rsidR="006C1B85">
        <w:t xml:space="preserve"> Final</w:t>
      </w:r>
      <w:r w:rsidRPr="002C0506">
        <w:t xml:space="preserve"> Report, and for their review of the draft of this report. The Phase II SWE Team also thanks </w:t>
      </w:r>
      <w:r w:rsidR="006C1B85">
        <w:t>these entities</w:t>
      </w:r>
      <w:r w:rsidRPr="002C0506">
        <w:t xml:space="preserve"> for their timely provision of data and information for this report, and for their many suggestions for improvements to the SWE Team’s Act 129 auditing and reporting activities. The SWE Team recognizes the many hours that the EDCs’ staff and contractors have devoted to the design and implementation of the EDCs’ Phase II Act 129 energy efficiency and demand reduction programs and to monitoring the progress of these programs.</w:t>
      </w:r>
    </w:p>
    <w:p w:rsidR="002C0506" w:rsidRPr="002C0506" w:rsidRDefault="002C0506" w:rsidP="002C0506"/>
    <w:p w:rsidR="002C0506" w:rsidRPr="002C0506" w:rsidRDefault="002C0506" w:rsidP="002C0506">
      <w:r w:rsidRPr="002C0506">
        <w:t xml:space="preserve">The Phase II SWE Team also thanks the staff of the Pennsylvania Public Utility Commission’s (PUC’s) Bureau of Technical Utility Services (TUS) for their assistance and support in all aspects of the SWE Team’s work since inception, including updating the SWE Evaluation Framework for Phase II of Act 129 and continuing the refinement of developing efficient processes </w:t>
      </w:r>
      <w:r w:rsidR="006C1B85">
        <w:t>for the review and approval of I</w:t>
      </w:r>
      <w:r w:rsidRPr="002C0506">
        <w:t xml:space="preserve">nterim </w:t>
      </w:r>
      <w:r w:rsidR="006C1B85">
        <w:t>M</w:t>
      </w:r>
      <w:r w:rsidRPr="002C0506">
        <w:t xml:space="preserve">easure </w:t>
      </w:r>
      <w:r w:rsidR="006C1B85">
        <w:t>P</w:t>
      </w:r>
      <w:r w:rsidRPr="002C0506">
        <w:t>rotocols for the Pennsylvania Technical Reference Manual</w:t>
      </w:r>
      <w:r w:rsidR="006C1B85">
        <w:t xml:space="preserve"> (TRM)</w:t>
      </w:r>
      <w:r w:rsidRPr="002C0506">
        <w:t>. The SWE Team appreciates the PUC staff’s many constructive comments and recommendations on the draft of this SWE Phase II Final Report to improve its clarity and readability.</w:t>
      </w:r>
    </w:p>
    <w:p w:rsidR="002C0506" w:rsidRPr="002C0506" w:rsidRDefault="002C0506" w:rsidP="002C0506"/>
    <w:p w:rsidR="002C0506" w:rsidRPr="002C0506" w:rsidRDefault="002C0506" w:rsidP="002C0506">
      <w:r w:rsidRPr="002C0506">
        <w:t>This SWE Team Phase II Final Report presents the findings, conclusions, and recommendations of the</w:t>
      </w:r>
      <w:r w:rsidR="00F95DF6" w:rsidRPr="00F95DF6">
        <w:t xml:space="preserve"> </w:t>
      </w:r>
      <w:r w:rsidR="00F95DF6">
        <w:t>Phase II</w:t>
      </w:r>
      <w:r w:rsidRPr="002C0506">
        <w:t xml:space="preserve"> SWE Team only and, as such, is not necessarily agreed to by the EDCs or the Commission. The Commission, while not adopting the findings, conclusions, and recommendations contained in this </w:t>
      </w:r>
      <w:r w:rsidR="006C1B85">
        <w:t>a</w:t>
      </w:r>
      <w:r w:rsidRPr="002C0506">
        <w:t xml:space="preserve">nnual </w:t>
      </w:r>
      <w:r w:rsidR="006C1B85">
        <w:t>r</w:t>
      </w:r>
      <w:r w:rsidRPr="002C0506">
        <w:t xml:space="preserve">eport, may consider and adopt some or all of them in appropriate proceedings, such as future updates to the Pennsylvania </w:t>
      </w:r>
      <w:r w:rsidR="006C1B85">
        <w:t>TRM</w:t>
      </w:r>
      <w:r w:rsidRPr="002C0506">
        <w:t xml:space="preserve">, Total Resource Cost Test Order, and individual EDC </w:t>
      </w:r>
      <w:r w:rsidR="006C1B85">
        <w:t>e</w:t>
      </w:r>
      <w:r w:rsidRPr="002C0506">
        <w:t xml:space="preserve">nergy </w:t>
      </w:r>
      <w:r w:rsidR="006C1B85">
        <w:t>e</w:t>
      </w:r>
      <w:r w:rsidRPr="002C0506">
        <w:t xml:space="preserve">fficiency and </w:t>
      </w:r>
      <w:r w:rsidR="006C1B85">
        <w:t>c</w:t>
      </w:r>
      <w:r w:rsidRPr="002C0506">
        <w:t xml:space="preserve">onservation </w:t>
      </w:r>
      <w:r w:rsidR="006C1B85">
        <w:t>p</w:t>
      </w:r>
      <w:r w:rsidRPr="002C0506">
        <w:t>lan revision proceedings.</w:t>
      </w:r>
    </w:p>
    <w:p w:rsidR="002C0506" w:rsidRPr="002C0506" w:rsidRDefault="002C0506" w:rsidP="002C0506"/>
    <w:p w:rsidR="00964869" w:rsidRDefault="002C0506" w:rsidP="007C68EC">
      <w:pPr>
        <w:sectPr w:rsidR="00964869" w:rsidSect="003965C5">
          <w:headerReference w:type="default" r:id="rId26"/>
          <w:footerReference w:type="default" r:id="rId27"/>
          <w:type w:val="nextColumn"/>
          <w:pgSz w:w="12240" w:h="15840"/>
          <w:pgMar w:top="1440" w:right="1440" w:bottom="810" w:left="1440" w:header="720" w:footer="403" w:gutter="0"/>
          <w:pgNumType w:fmt="lowerRoman" w:start="1"/>
          <w:cols w:space="720"/>
          <w:docGrid w:linePitch="360"/>
        </w:sectPr>
      </w:pPr>
      <w:r w:rsidRPr="002C0506">
        <w:t xml:space="preserve">Last, the SWE Team for Phase II would like to express its gratitude </w:t>
      </w:r>
      <w:r w:rsidR="006C1B85">
        <w:t>for</w:t>
      </w:r>
      <w:r w:rsidRPr="002C0506">
        <w:t xml:space="preserve"> being able to serve the PUC and the citizens of Pennsylvania for the last three years. It has been an excellent experience for our team, and we hope that energy efficiency continues to thrive and serve the customers well in Phase III of Act 129.</w:t>
      </w:r>
    </w:p>
    <w:p w:rsidR="00044107" w:rsidRPr="00B81A2F" w:rsidRDefault="00DA2466" w:rsidP="0091036A">
      <w:pPr>
        <w:shd w:val="clear" w:color="auto" w:fill="448A99"/>
        <w:jc w:val="right"/>
        <w:rPr>
          <w:rFonts w:ascii="Century Gothic" w:hAnsi="Century Gothic"/>
          <w:caps/>
          <w:color w:val="FFFFFF" w:themeColor="background1"/>
          <w:spacing w:val="-13"/>
          <w:sz w:val="28"/>
        </w:rPr>
      </w:pPr>
      <w:r w:rsidRPr="00B81A2F">
        <w:rPr>
          <w:rFonts w:ascii="Century Gothic" w:hAnsi="Century Gothic"/>
          <w:caps/>
          <w:color w:val="FFFFFF" w:themeColor="background1"/>
          <w:spacing w:val="-13"/>
          <w:sz w:val="28"/>
        </w:rPr>
        <w:lastRenderedPageBreak/>
        <w:t xml:space="preserve">Table of </w:t>
      </w:r>
      <w:r w:rsidR="00044107" w:rsidRPr="00B81A2F">
        <w:rPr>
          <w:rFonts w:ascii="Century Gothic" w:hAnsi="Century Gothic"/>
          <w:caps/>
          <w:color w:val="FFFFFF" w:themeColor="background1"/>
          <w:spacing w:val="-13"/>
          <w:sz w:val="28"/>
        </w:rPr>
        <w:t>Contents</w:t>
      </w:r>
    </w:p>
    <w:p w:rsidR="0077432E" w:rsidRDefault="00B81A2F">
      <w:pPr>
        <w:pStyle w:val="TOC1"/>
        <w:rPr>
          <w:rFonts w:asciiTheme="minorHAnsi" w:eastAsiaTheme="minorEastAsia" w:hAnsiTheme="minorHAnsi" w:cstheme="minorBidi"/>
          <w:b w:val="0"/>
          <w:bCs w:val="0"/>
          <w:caps w:val="0"/>
          <w:noProof/>
          <w:color w:val="auto"/>
          <w:sz w:val="22"/>
          <w:szCs w:val="22"/>
        </w:rPr>
      </w:pPr>
      <w:r>
        <w:rPr>
          <w:b w:val="0"/>
          <w:bCs w:val="0"/>
          <w:caps w:val="0"/>
          <w:smallCaps/>
          <w:sz w:val="24"/>
        </w:rPr>
        <w:fldChar w:fldCharType="begin"/>
      </w:r>
      <w:r>
        <w:rPr>
          <w:b w:val="0"/>
          <w:bCs w:val="0"/>
          <w:caps w:val="0"/>
          <w:smallCaps/>
          <w:sz w:val="24"/>
        </w:rPr>
        <w:instrText xml:space="preserve"> TOC \o "1-3" \h \z \u </w:instrText>
      </w:r>
      <w:r>
        <w:rPr>
          <w:b w:val="0"/>
          <w:bCs w:val="0"/>
          <w:caps w:val="0"/>
          <w:smallCaps/>
          <w:sz w:val="24"/>
        </w:rPr>
        <w:fldChar w:fldCharType="separate"/>
      </w:r>
      <w:hyperlink w:anchor="_Toc488765770" w:history="1">
        <w:r w:rsidR="0077432E" w:rsidRPr="005E183F">
          <w:rPr>
            <w:rStyle w:val="Hyperlink"/>
            <w:rFonts w:ascii="Broadway" w:hAnsi="Broadway"/>
            <w:noProof/>
          </w:rPr>
          <w:t>1</w:t>
        </w:r>
        <w:r w:rsidR="0077432E" w:rsidRPr="005E183F">
          <w:rPr>
            <w:rStyle w:val="Hyperlink"/>
            <w:noProof/>
          </w:rPr>
          <w:t xml:space="preserve"> EXECUTIVE SUMMARY</w:t>
        </w:r>
        <w:r w:rsidR="0077432E">
          <w:rPr>
            <w:noProof/>
            <w:webHidden/>
          </w:rPr>
          <w:tab/>
        </w:r>
        <w:r w:rsidR="0077432E">
          <w:rPr>
            <w:noProof/>
            <w:webHidden/>
          </w:rPr>
          <w:fldChar w:fldCharType="begin"/>
        </w:r>
        <w:r w:rsidR="0077432E">
          <w:rPr>
            <w:noProof/>
            <w:webHidden/>
          </w:rPr>
          <w:instrText xml:space="preserve"> PAGEREF _Toc488765770 \h </w:instrText>
        </w:r>
        <w:r w:rsidR="0077432E">
          <w:rPr>
            <w:noProof/>
            <w:webHidden/>
          </w:rPr>
        </w:r>
        <w:r w:rsidR="0077432E">
          <w:rPr>
            <w:noProof/>
            <w:webHidden/>
          </w:rPr>
          <w:fldChar w:fldCharType="separate"/>
        </w:r>
        <w:r w:rsidR="0077432E">
          <w:rPr>
            <w:noProof/>
            <w:webHidden/>
          </w:rPr>
          <w:t>1</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771" w:history="1">
        <w:r w:rsidR="0077432E" w:rsidRPr="005E183F">
          <w:rPr>
            <w:rStyle w:val="Hyperlink"/>
            <w:noProof/>
          </w:rPr>
          <w:t>1.1 Act 129 and Summary of PUC Orders</w:t>
        </w:r>
        <w:r w:rsidR="0077432E">
          <w:rPr>
            <w:noProof/>
            <w:webHidden/>
          </w:rPr>
          <w:tab/>
        </w:r>
        <w:r w:rsidR="0077432E">
          <w:rPr>
            <w:noProof/>
            <w:webHidden/>
          </w:rPr>
          <w:fldChar w:fldCharType="begin"/>
        </w:r>
        <w:r w:rsidR="0077432E">
          <w:rPr>
            <w:noProof/>
            <w:webHidden/>
          </w:rPr>
          <w:instrText xml:space="preserve"> PAGEREF _Toc488765771 \h </w:instrText>
        </w:r>
        <w:r w:rsidR="0077432E">
          <w:rPr>
            <w:noProof/>
            <w:webHidden/>
          </w:rPr>
        </w:r>
        <w:r w:rsidR="0077432E">
          <w:rPr>
            <w:noProof/>
            <w:webHidden/>
          </w:rPr>
          <w:fldChar w:fldCharType="separate"/>
        </w:r>
        <w:r w:rsidR="0077432E">
          <w:rPr>
            <w:noProof/>
            <w:webHidden/>
          </w:rPr>
          <w:t>1</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72" w:history="1">
        <w:r w:rsidR="0077432E" w:rsidRPr="005E183F">
          <w:rPr>
            <w:rStyle w:val="Hyperlink"/>
            <w:noProof/>
          </w:rPr>
          <w:t>1.1.1 Mandated Electricity Consumption Reductions for Phase II</w:t>
        </w:r>
        <w:r w:rsidR="0077432E">
          <w:rPr>
            <w:noProof/>
            <w:webHidden/>
          </w:rPr>
          <w:tab/>
        </w:r>
        <w:r w:rsidR="0077432E">
          <w:rPr>
            <w:noProof/>
            <w:webHidden/>
          </w:rPr>
          <w:fldChar w:fldCharType="begin"/>
        </w:r>
        <w:r w:rsidR="0077432E">
          <w:rPr>
            <w:noProof/>
            <w:webHidden/>
          </w:rPr>
          <w:instrText xml:space="preserve"> PAGEREF _Toc488765772 \h </w:instrText>
        </w:r>
        <w:r w:rsidR="0077432E">
          <w:rPr>
            <w:noProof/>
            <w:webHidden/>
          </w:rPr>
        </w:r>
        <w:r w:rsidR="0077432E">
          <w:rPr>
            <w:noProof/>
            <w:webHidden/>
          </w:rPr>
          <w:fldChar w:fldCharType="separate"/>
        </w:r>
        <w:r w:rsidR="0077432E">
          <w:rPr>
            <w:noProof/>
            <w:webHidden/>
          </w:rPr>
          <w:t>1</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73" w:history="1">
        <w:r w:rsidR="0077432E" w:rsidRPr="005E183F">
          <w:rPr>
            <w:rStyle w:val="Hyperlink"/>
            <w:noProof/>
          </w:rPr>
          <w:t>1.1.2 Annual Reporting Requirements</w:t>
        </w:r>
        <w:r w:rsidR="0077432E">
          <w:rPr>
            <w:noProof/>
            <w:webHidden/>
          </w:rPr>
          <w:tab/>
        </w:r>
        <w:r w:rsidR="0077432E">
          <w:rPr>
            <w:noProof/>
            <w:webHidden/>
          </w:rPr>
          <w:fldChar w:fldCharType="begin"/>
        </w:r>
        <w:r w:rsidR="0077432E">
          <w:rPr>
            <w:noProof/>
            <w:webHidden/>
          </w:rPr>
          <w:instrText xml:space="preserve"> PAGEREF _Toc488765773 \h </w:instrText>
        </w:r>
        <w:r w:rsidR="0077432E">
          <w:rPr>
            <w:noProof/>
            <w:webHidden/>
          </w:rPr>
        </w:r>
        <w:r w:rsidR="0077432E">
          <w:rPr>
            <w:noProof/>
            <w:webHidden/>
          </w:rPr>
          <w:fldChar w:fldCharType="separate"/>
        </w:r>
        <w:r w:rsidR="0077432E">
          <w:rPr>
            <w:noProof/>
            <w:webHidden/>
          </w:rPr>
          <w:t>2</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74" w:history="1">
        <w:r w:rsidR="0077432E" w:rsidRPr="005E183F">
          <w:rPr>
            <w:rStyle w:val="Hyperlink"/>
            <w:noProof/>
          </w:rPr>
          <w:t>1.1.3 EDC Cost Recovery for Act 129 EE&amp;C Programs</w:t>
        </w:r>
        <w:r w:rsidR="0077432E">
          <w:rPr>
            <w:noProof/>
            <w:webHidden/>
          </w:rPr>
          <w:tab/>
        </w:r>
        <w:r w:rsidR="0077432E">
          <w:rPr>
            <w:noProof/>
            <w:webHidden/>
          </w:rPr>
          <w:fldChar w:fldCharType="begin"/>
        </w:r>
        <w:r w:rsidR="0077432E">
          <w:rPr>
            <w:noProof/>
            <w:webHidden/>
          </w:rPr>
          <w:instrText xml:space="preserve"> PAGEREF _Toc488765774 \h </w:instrText>
        </w:r>
        <w:r w:rsidR="0077432E">
          <w:rPr>
            <w:noProof/>
            <w:webHidden/>
          </w:rPr>
        </w:r>
        <w:r w:rsidR="0077432E">
          <w:rPr>
            <w:noProof/>
            <w:webHidden/>
          </w:rPr>
          <w:fldChar w:fldCharType="separate"/>
        </w:r>
        <w:r w:rsidR="0077432E">
          <w:rPr>
            <w:noProof/>
            <w:webHidden/>
          </w:rPr>
          <w:t>2</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75" w:history="1">
        <w:r w:rsidR="0077432E" w:rsidRPr="005E183F">
          <w:rPr>
            <w:rStyle w:val="Hyperlink"/>
            <w:noProof/>
          </w:rPr>
          <w:t>1.1.4 EE&amp;C Program – Phase II Implementation Order</w:t>
        </w:r>
        <w:r w:rsidR="0077432E">
          <w:rPr>
            <w:noProof/>
            <w:webHidden/>
          </w:rPr>
          <w:tab/>
        </w:r>
        <w:r w:rsidR="0077432E">
          <w:rPr>
            <w:noProof/>
            <w:webHidden/>
          </w:rPr>
          <w:fldChar w:fldCharType="begin"/>
        </w:r>
        <w:r w:rsidR="0077432E">
          <w:rPr>
            <w:noProof/>
            <w:webHidden/>
          </w:rPr>
          <w:instrText xml:space="preserve"> PAGEREF _Toc488765775 \h </w:instrText>
        </w:r>
        <w:r w:rsidR="0077432E">
          <w:rPr>
            <w:noProof/>
            <w:webHidden/>
          </w:rPr>
        </w:r>
        <w:r w:rsidR="0077432E">
          <w:rPr>
            <w:noProof/>
            <w:webHidden/>
          </w:rPr>
          <w:fldChar w:fldCharType="separate"/>
        </w:r>
        <w:r w:rsidR="0077432E">
          <w:rPr>
            <w:noProof/>
            <w:webHidden/>
          </w:rPr>
          <w:t>3</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76" w:history="1">
        <w:r w:rsidR="0077432E" w:rsidRPr="005E183F">
          <w:rPr>
            <w:rStyle w:val="Hyperlink"/>
            <w:noProof/>
          </w:rPr>
          <w:t>1.1.5 Statewide Evaluator</w:t>
        </w:r>
        <w:r w:rsidR="0077432E">
          <w:rPr>
            <w:noProof/>
            <w:webHidden/>
          </w:rPr>
          <w:tab/>
        </w:r>
        <w:r w:rsidR="0077432E">
          <w:rPr>
            <w:noProof/>
            <w:webHidden/>
          </w:rPr>
          <w:fldChar w:fldCharType="begin"/>
        </w:r>
        <w:r w:rsidR="0077432E">
          <w:rPr>
            <w:noProof/>
            <w:webHidden/>
          </w:rPr>
          <w:instrText xml:space="preserve"> PAGEREF _Toc488765776 \h </w:instrText>
        </w:r>
        <w:r w:rsidR="0077432E">
          <w:rPr>
            <w:noProof/>
            <w:webHidden/>
          </w:rPr>
        </w:r>
        <w:r w:rsidR="0077432E">
          <w:rPr>
            <w:noProof/>
            <w:webHidden/>
          </w:rPr>
          <w:fldChar w:fldCharType="separate"/>
        </w:r>
        <w:r w:rsidR="0077432E">
          <w:rPr>
            <w:noProof/>
            <w:webHidden/>
          </w:rPr>
          <w:t>3</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777" w:history="1">
        <w:r w:rsidR="0077432E" w:rsidRPr="005E183F">
          <w:rPr>
            <w:rStyle w:val="Hyperlink"/>
            <w:noProof/>
          </w:rPr>
          <w:t>1.2 SWE Summary of Activiities</w:t>
        </w:r>
        <w:r w:rsidR="0077432E">
          <w:rPr>
            <w:noProof/>
            <w:webHidden/>
          </w:rPr>
          <w:tab/>
        </w:r>
        <w:r w:rsidR="0077432E">
          <w:rPr>
            <w:noProof/>
            <w:webHidden/>
          </w:rPr>
          <w:fldChar w:fldCharType="begin"/>
        </w:r>
        <w:r w:rsidR="0077432E">
          <w:rPr>
            <w:noProof/>
            <w:webHidden/>
          </w:rPr>
          <w:instrText xml:space="preserve"> PAGEREF _Toc488765777 \h </w:instrText>
        </w:r>
        <w:r w:rsidR="0077432E">
          <w:rPr>
            <w:noProof/>
            <w:webHidden/>
          </w:rPr>
        </w:r>
        <w:r w:rsidR="0077432E">
          <w:rPr>
            <w:noProof/>
            <w:webHidden/>
          </w:rPr>
          <w:fldChar w:fldCharType="separate"/>
        </w:r>
        <w:r w:rsidR="0077432E">
          <w:rPr>
            <w:noProof/>
            <w:webHidden/>
          </w:rPr>
          <w:t>4</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78" w:history="1">
        <w:r w:rsidR="0077432E" w:rsidRPr="005E183F">
          <w:rPr>
            <w:rStyle w:val="Hyperlink"/>
            <w:noProof/>
          </w:rPr>
          <w:t>1.2.1 Summary of Findings and Recommendations</w:t>
        </w:r>
        <w:r w:rsidR="0077432E">
          <w:rPr>
            <w:noProof/>
            <w:webHidden/>
          </w:rPr>
          <w:tab/>
        </w:r>
        <w:r w:rsidR="0077432E">
          <w:rPr>
            <w:noProof/>
            <w:webHidden/>
          </w:rPr>
          <w:fldChar w:fldCharType="begin"/>
        </w:r>
        <w:r w:rsidR="0077432E">
          <w:rPr>
            <w:noProof/>
            <w:webHidden/>
          </w:rPr>
          <w:instrText xml:space="preserve"> PAGEREF _Toc488765778 \h </w:instrText>
        </w:r>
        <w:r w:rsidR="0077432E">
          <w:rPr>
            <w:noProof/>
            <w:webHidden/>
          </w:rPr>
        </w:r>
        <w:r w:rsidR="0077432E">
          <w:rPr>
            <w:noProof/>
            <w:webHidden/>
          </w:rPr>
          <w:fldChar w:fldCharType="separate"/>
        </w:r>
        <w:r w:rsidR="0077432E">
          <w:rPr>
            <w:noProof/>
            <w:webHidden/>
          </w:rPr>
          <w:t>4</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779" w:history="1">
        <w:r w:rsidR="0077432E" w:rsidRPr="005E183F">
          <w:rPr>
            <w:rStyle w:val="Hyperlink"/>
            <w:rFonts w:ascii="Broadway" w:hAnsi="Broadway"/>
            <w:noProof/>
          </w:rPr>
          <w:t>2</w:t>
        </w:r>
        <w:r w:rsidR="0077432E" w:rsidRPr="005E183F">
          <w:rPr>
            <w:rStyle w:val="Hyperlink"/>
            <w:noProof/>
          </w:rPr>
          <w:t xml:space="preserve"> Energy Savings │ Program Year 7 &amp; Phase II</w:t>
        </w:r>
        <w:r w:rsidR="0077432E">
          <w:rPr>
            <w:noProof/>
            <w:webHidden/>
          </w:rPr>
          <w:tab/>
        </w:r>
        <w:r w:rsidR="0077432E">
          <w:rPr>
            <w:noProof/>
            <w:webHidden/>
          </w:rPr>
          <w:fldChar w:fldCharType="begin"/>
        </w:r>
        <w:r w:rsidR="0077432E">
          <w:rPr>
            <w:noProof/>
            <w:webHidden/>
          </w:rPr>
          <w:instrText xml:space="preserve"> PAGEREF _Toc488765779 \h </w:instrText>
        </w:r>
        <w:r w:rsidR="0077432E">
          <w:rPr>
            <w:noProof/>
            <w:webHidden/>
          </w:rPr>
        </w:r>
        <w:r w:rsidR="0077432E">
          <w:rPr>
            <w:noProof/>
            <w:webHidden/>
          </w:rPr>
          <w:fldChar w:fldCharType="separate"/>
        </w:r>
        <w:r w:rsidR="0077432E">
          <w:rPr>
            <w:noProof/>
            <w:webHidden/>
          </w:rPr>
          <w:t>12</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780" w:history="1">
        <w:r w:rsidR="0077432E" w:rsidRPr="005E183F">
          <w:rPr>
            <w:rStyle w:val="Hyperlink"/>
            <w:noProof/>
          </w:rPr>
          <w:t>2.1 Review of Phase II Targets Under Act 129</w:t>
        </w:r>
        <w:r w:rsidR="0077432E">
          <w:rPr>
            <w:noProof/>
            <w:webHidden/>
          </w:rPr>
          <w:tab/>
        </w:r>
        <w:r w:rsidR="0077432E">
          <w:rPr>
            <w:noProof/>
            <w:webHidden/>
          </w:rPr>
          <w:fldChar w:fldCharType="begin"/>
        </w:r>
        <w:r w:rsidR="0077432E">
          <w:rPr>
            <w:noProof/>
            <w:webHidden/>
          </w:rPr>
          <w:instrText xml:space="preserve"> PAGEREF _Toc488765780 \h </w:instrText>
        </w:r>
        <w:r w:rsidR="0077432E">
          <w:rPr>
            <w:noProof/>
            <w:webHidden/>
          </w:rPr>
        </w:r>
        <w:r w:rsidR="0077432E">
          <w:rPr>
            <w:noProof/>
            <w:webHidden/>
          </w:rPr>
          <w:fldChar w:fldCharType="separate"/>
        </w:r>
        <w:r w:rsidR="0077432E">
          <w:rPr>
            <w:noProof/>
            <w:webHidden/>
          </w:rPr>
          <w:t>12</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781" w:history="1">
        <w:r w:rsidR="0077432E" w:rsidRPr="005E183F">
          <w:rPr>
            <w:rStyle w:val="Hyperlink"/>
            <w:noProof/>
          </w:rPr>
          <w:t>2.2 Compliance Summary by EDC</w:t>
        </w:r>
        <w:r w:rsidR="0077432E">
          <w:rPr>
            <w:noProof/>
            <w:webHidden/>
          </w:rPr>
          <w:tab/>
        </w:r>
        <w:r w:rsidR="0077432E">
          <w:rPr>
            <w:noProof/>
            <w:webHidden/>
          </w:rPr>
          <w:fldChar w:fldCharType="begin"/>
        </w:r>
        <w:r w:rsidR="0077432E">
          <w:rPr>
            <w:noProof/>
            <w:webHidden/>
          </w:rPr>
          <w:instrText xml:space="preserve"> PAGEREF _Toc488765781 \h </w:instrText>
        </w:r>
        <w:r w:rsidR="0077432E">
          <w:rPr>
            <w:noProof/>
            <w:webHidden/>
          </w:rPr>
        </w:r>
        <w:r w:rsidR="0077432E">
          <w:rPr>
            <w:noProof/>
            <w:webHidden/>
          </w:rPr>
          <w:fldChar w:fldCharType="separate"/>
        </w:r>
        <w:r w:rsidR="0077432E">
          <w:rPr>
            <w:noProof/>
            <w:webHidden/>
          </w:rPr>
          <w:t>12</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782" w:history="1">
        <w:r w:rsidR="0077432E" w:rsidRPr="005E183F">
          <w:rPr>
            <w:rStyle w:val="Hyperlink"/>
            <w:noProof/>
          </w:rPr>
          <w:t>2.3 Results for Program Year 7 (2015–2016)</w:t>
        </w:r>
        <w:r w:rsidR="0077432E">
          <w:rPr>
            <w:noProof/>
            <w:webHidden/>
          </w:rPr>
          <w:tab/>
        </w:r>
        <w:r w:rsidR="0077432E">
          <w:rPr>
            <w:noProof/>
            <w:webHidden/>
          </w:rPr>
          <w:fldChar w:fldCharType="begin"/>
        </w:r>
        <w:r w:rsidR="0077432E">
          <w:rPr>
            <w:noProof/>
            <w:webHidden/>
          </w:rPr>
          <w:instrText xml:space="preserve"> PAGEREF _Toc488765782 \h </w:instrText>
        </w:r>
        <w:r w:rsidR="0077432E">
          <w:rPr>
            <w:noProof/>
            <w:webHidden/>
          </w:rPr>
        </w:r>
        <w:r w:rsidR="0077432E">
          <w:rPr>
            <w:noProof/>
            <w:webHidden/>
          </w:rPr>
          <w:fldChar w:fldCharType="separate"/>
        </w:r>
        <w:r w:rsidR="0077432E">
          <w:rPr>
            <w:noProof/>
            <w:webHidden/>
          </w:rPr>
          <w:t>15</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83" w:history="1">
        <w:r w:rsidR="0077432E" w:rsidRPr="005E183F">
          <w:rPr>
            <w:rStyle w:val="Hyperlink"/>
            <w:noProof/>
          </w:rPr>
          <w:t>2.3.1 Summary of Energy Savings Statewide and by EDC</w:t>
        </w:r>
        <w:r w:rsidR="0077432E">
          <w:rPr>
            <w:noProof/>
            <w:webHidden/>
          </w:rPr>
          <w:tab/>
        </w:r>
        <w:r w:rsidR="0077432E">
          <w:rPr>
            <w:noProof/>
            <w:webHidden/>
          </w:rPr>
          <w:fldChar w:fldCharType="begin"/>
        </w:r>
        <w:r w:rsidR="0077432E">
          <w:rPr>
            <w:noProof/>
            <w:webHidden/>
          </w:rPr>
          <w:instrText xml:space="preserve"> PAGEREF _Toc488765783 \h </w:instrText>
        </w:r>
        <w:r w:rsidR="0077432E">
          <w:rPr>
            <w:noProof/>
            <w:webHidden/>
          </w:rPr>
        </w:r>
        <w:r w:rsidR="0077432E">
          <w:rPr>
            <w:noProof/>
            <w:webHidden/>
          </w:rPr>
          <w:fldChar w:fldCharType="separate"/>
        </w:r>
        <w:r w:rsidR="0077432E">
          <w:rPr>
            <w:noProof/>
            <w:webHidden/>
          </w:rPr>
          <w:t>15</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84" w:history="1">
        <w:r w:rsidR="0077432E" w:rsidRPr="005E183F">
          <w:rPr>
            <w:rStyle w:val="Hyperlink"/>
            <w:noProof/>
          </w:rPr>
          <w:t>2.3.2 Summary of Energy Savings by Sector</w:t>
        </w:r>
        <w:r w:rsidR="0077432E">
          <w:rPr>
            <w:noProof/>
            <w:webHidden/>
          </w:rPr>
          <w:tab/>
        </w:r>
        <w:r w:rsidR="0077432E">
          <w:rPr>
            <w:noProof/>
            <w:webHidden/>
          </w:rPr>
          <w:fldChar w:fldCharType="begin"/>
        </w:r>
        <w:r w:rsidR="0077432E">
          <w:rPr>
            <w:noProof/>
            <w:webHidden/>
          </w:rPr>
          <w:instrText xml:space="preserve"> PAGEREF _Toc488765784 \h </w:instrText>
        </w:r>
        <w:r w:rsidR="0077432E">
          <w:rPr>
            <w:noProof/>
            <w:webHidden/>
          </w:rPr>
        </w:r>
        <w:r w:rsidR="0077432E">
          <w:rPr>
            <w:noProof/>
            <w:webHidden/>
          </w:rPr>
          <w:fldChar w:fldCharType="separate"/>
        </w:r>
        <w:r w:rsidR="0077432E">
          <w:rPr>
            <w:noProof/>
            <w:webHidden/>
          </w:rPr>
          <w:t>15</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85" w:history="1">
        <w:r w:rsidR="0077432E" w:rsidRPr="005E183F">
          <w:rPr>
            <w:rStyle w:val="Hyperlink"/>
            <w:noProof/>
          </w:rPr>
          <w:t>2.3.3 Comparison of PY7 Expenditures with Approved EE&amp;C Plan Budget Estimates</w:t>
        </w:r>
        <w:r w:rsidR="0077432E">
          <w:rPr>
            <w:noProof/>
            <w:webHidden/>
          </w:rPr>
          <w:tab/>
        </w:r>
        <w:r w:rsidR="0077432E">
          <w:rPr>
            <w:noProof/>
            <w:webHidden/>
          </w:rPr>
          <w:fldChar w:fldCharType="begin"/>
        </w:r>
        <w:r w:rsidR="0077432E">
          <w:rPr>
            <w:noProof/>
            <w:webHidden/>
          </w:rPr>
          <w:instrText xml:space="preserve"> PAGEREF _Toc488765785 \h </w:instrText>
        </w:r>
        <w:r w:rsidR="0077432E">
          <w:rPr>
            <w:noProof/>
            <w:webHidden/>
          </w:rPr>
        </w:r>
        <w:r w:rsidR="0077432E">
          <w:rPr>
            <w:noProof/>
            <w:webHidden/>
          </w:rPr>
          <w:fldChar w:fldCharType="separate"/>
        </w:r>
        <w:r w:rsidR="0077432E">
          <w:rPr>
            <w:noProof/>
            <w:webHidden/>
          </w:rPr>
          <w:t>16</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86" w:history="1">
        <w:r w:rsidR="0077432E" w:rsidRPr="005E183F">
          <w:rPr>
            <w:rStyle w:val="Hyperlink"/>
            <w:noProof/>
          </w:rPr>
          <w:t>2.3.4 Comparison of PY7 Per-Participant Costs and Savings for EDC Low-Income Programs</w:t>
        </w:r>
        <w:r w:rsidR="0077432E">
          <w:rPr>
            <w:noProof/>
            <w:webHidden/>
          </w:rPr>
          <w:tab/>
        </w:r>
        <w:r w:rsidR="0077432E">
          <w:rPr>
            <w:noProof/>
            <w:webHidden/>
          </w:rPr>
          <w:fldChar w:fldCharType="begin"/>
        </w:r>
        <w:r w:rsidR="0077432E">
          <w:rPr>
            <w:noProof/>
            <w:webHidden/>
          </w:rPr>
          <w:instrText xml:space="preserve"> PAGEREF _Toc488765786 \h </w:instrText>
        </w:r>
        <w:r w:rsidR="0077432E">
          <w:rPr>
            <w:noProof/>
            <w:webHidden/>
          </w:rPr>
        </w:r>
        <w:r w:rsidR="0077432E">
          <w:rPr>
            <w:noProof/>
            <w:webHidden/>
          </w:rPr>
          <w:fldChar w:fldCharType="separate"/>
        </w:r>
        <w:r w:rsidR="0077432E">
          <w:rPr>
            <w:noProof/>
            <w:webHidden/>
          </w:rPr>
          <w:t>18</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787" w:history="1">
        <w:r w:rsidR="0077432E" w:rsidRPr="005E183F">
          <w:rPr>
            <w:rStyle w:val="Hyperlink"/>
            <w:noProof/>
          </w:rPr>
          <w:t>2.4 Results for Three-Year ACT 129 Phase II</w:t>
        </w:r>
        <w:r w:rsidR="0077432E">
          <w:rPr>
            <w:noProof/>
            <w:webHidden/>
          </w:rPr>
          <w:tab/>
        </w:r>
        <w:r w:rsidR="0077432E">
          <w:rPr>
            <w:noProof/>
            <w:webHidden/>
          </w:rPr>
          <w:fldChar w:fldCharType="begin"/>
        </w:r>
        <w:r w:rsidR="0077432E">
          <w:rPr>
            <w:noProof/>
            <w:webHidden/>
          </w:rPr>
          <w:instrText xml:space="preserve"> PAGEREF _Toc488765787 \h </w:instrText>
        </w:r>
        <w:r w:rsidR="0077432E">
          <w:rPr>
            <w:noProof/>
            <w:webHidden/>
          </w:rPr>
        </w:r>
        <w:r w:rsidR="0077432E">
          <w:rPr>
            <w:noProof/>
            <w:webHidden/>
          </w:rPr>
          <w:fldChar w:fldCharType="separate"/>
        </w:r>
        <w:r w:rsidR="0077432E">
          <w:rPr>
            <w:noProof/>
            <w:webHidden/>
          </w:rPr>
          <w:t>30</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88" w:history="1">
        <w:r w:rsidR="0077432E" w:rsidRPr="005E183F">
          <w:rPr>
            <w:rStyle w:val="Hyperlink"/>
            <w:noProof/>
          </w:rPr>
          <w:t>2.4.1 Statewide Summary</w:t>
        </w:r>
        <w:r w:rsidR="0077432E">
          <w:rPr>
            <w:noProof/>
            <w:webHidden/>
          </w:rPr>
          <w:tab/>
        </w:r>
        <w:r w:rsidR="0077432E">
          <w:rPr>
            <w:noProof/>
            <w:webHidden/>
          </w:rPr>
          <w:fldChar w:fldCharType="begin"/>
        </w:r>
        <w:r w:rsidR="0077432E">
          <w:rPr>
            <w:noProof/>
            <w:webHidden/>
          </w:rPr>
          <w:instrText xml:space="preserve"> PAGEREF _Toc488765788 \h </w:instrText>
        </w:r>
        <w:r w:rsidR="0077432E">
          <w:rPr>
            <w:noProof/>
            <w:webHidden/>
          </w:rPr>
        </w:r>
        <w:r w:rsidR="0077432E">
          <w:rPr>
            <w:noProof/>
            <w:webHidden/>
          </w:rPr>
          <w:fldChar w:fldCharType="separate"/>
        </w:r>
        <w:r w:rsidR="0077432E">
          <w:rPr>
            <w:noProof/>
            <w:webHidden/>
          </w:rPr>
          <w:t>30</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89" w:history="1">
        <w:r w:rsidR="0077432E" w:rsidRPr="005E183F">
          <w:rPr>
            <w:rStyle w:val="Hyperlink"/>
            <w:noProof/>
          </w:rPr>
          <w:t>2.4.2 Duquesne Light</w:t>
        </w:r>
        <w:r w:rsidR="0077432E">
          <w:rPr>
            <w:noProof/>
            <w:webHidden/>
          </w:rPr>
          <w:tab/>
        </w:r>
        <w:r w:rsidR="0077432E">
          <w:rPr>
            <w:noProof/>
            <w:webHidden/>
          </w:rPr>
          <w:fldChar w:fldCharType="begin"/>
        </w:r>
        <w:r w:rsidR="0077432E">
          <w:rPr>
            <w:noProof/>
            <w:webHidden/>
          </w:rPr>
          <w:instrText xml:space="preserve"> PAGEREF _Toc488765789 \h </w:instrText>
        </w:r>
        <w:r w:rsidR="0077432E">
          <w:rPr>
            <w:noProof/>
            <w:webHidden/>
          </w:rPr>
        </w:r>
        <w:r w:rsidR="0077432E">
          <w:rPr>
            <w:noProof/>
            <w:webHidden/>
          </w:rPr>
          <w:fldChar w:fldCharType="separate"/>
        </w:r>
        <w:r w:rsidR="0077432E">
          <w:rPr>
            <w:noProof/>
            <w:webHidden/>
          </w:rPr>
          <w:t>32</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90" w:history="1">
        <w:r w:rsidR="0077432E" w:rsidRPr="005E183F">
          <w:rPr>
            <w:rStyle w:val="Hyperlink"/>
            <w:noProof/>
          </w:rPr>
          <w:t>2.4.3 Metropolitan Edison Company</w:t>
        </w:r>
        <w:r w:rsidR="0077432E">
          <w:rPr>
            <w:noProof/>
            <w:webHidden/>
          </w:rPr>
          <w:tab/>
        </w:r>
        <w:r w:rsidR="0077432E">
          <w:rPr>
            <w:noProof/>
            <w:webHidden/>
          </w:rPr>
          <w:fldChar w:fldCharType="begin"/>
        </w:r>
        <w:r w:rsidR="0077432E">
          <w:rPr>
            <w:noProof/>
            <w:webHidden/>
          </w:rPr>
          <w:instrText xml:space="preserve"> PAGEREF _Toc488765790 \h </w:instrText>
        </w:r>
        <w:r w:rsidR="0077432E">
          <w:rPr>
            <w:noProof/>
            <w:webHidden/>
          </w:rPr>
        </w:r>
        <w:r w:rsidR="0077432E">
          <w:rPr>
            <w:noProof/>
            <w:webHidden/>
          </w:rPr>
          <w:fldChar w:fldCharType="separate"/>
        </w:r>
        <w:r w:rsidR="0077432E">
          <w:rPr>
            <w:noProof/>
            <w:webHidden/>
          </w:rPr>
          <w:t>33</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91" w:history="1">
        <w:r w:rsidR="0077432E" w:rsidRPr="005E183F">
          <w:rPr>
            <w:rStyle w:val="Hyperlink"/>
            <w:noProof/>
          </w:rPr>
          <w:t>2.4.4 Pennsylvania Electric Company</w:t>
        </w:r>
        <w:r w:rsidR="0077432E">
          <w:rPr>
            <w:noProof/>
            <w:webHidden/>
          </w:rPr>
          <w:tab/>
        </w:r>
        <w:r w:rsidR="0077432E">
          <w:rPr>
            <w:noProof/>
            <w:webHidden/>
          </w:rPr>
          <w:fldChar w:fldCharType="begin"/>
        </w:r>
        <w:r w:rsidR="0077432E">
          <w:rPr>
            <w:noProof/>
            <w:webHidden/>
          </w:rPr>
          <w:instrText xml:space="preserve"> PAGEREF _Toc488765791 \h </w:instrText>
        </w:r>
        <w:r w:rsidR="0077432E">
          <w:rPr>
            <w:noProof/>
            <w:webHidden/>
          </w:rPr>
        </w:r>
        <w:r w:rsidR="0077432E">
          <w:rPr>
            <w:noProof/>
            <w:webHidden/>
          </w:rPr>
          <w:fldChar w:fldCharType="separate"/>
        </w:r>
        <w:r w:rsidR="0077432E">
          <w:rPr>
            <w:noProof/>
            <w:webHidden/>
          </w:rPr>
          <w:t>34</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92" w:history="1">
        <w:r w:rsidR="0077432E" w:rsidRPr="005E183F">
          <w:rPr>
            <w:rStyle w:val="Hyperlink"/>
            <w:noProof/>
          </w:rPr>
          <w:t>2.4.5 Pennsylvania Power Company</w:t>
        </w:r>
        <w:r w:rsidR="0077432E">
          <w:rPr>
            <w:noProof/>
            <w:webHidden/>
          </w:rPr>
          <w:tab/>
        </w:r>
        <w:r w:rsidR="0077432E">
          <w:rPr>
            <w:noProof/>
            <w:webHidden/>
          </w:rPr>
          <w:fldChar w:fldCharType="begin"/>
        </w:r>
        <w:r w:rsidR="0077432E">
          <w:rPr>
            <w:noProof/>
            <w:webHidden/>
          </w:rPr>
          <w:instrText xml:space="preserve"> PAGEREF _Toc488765792 \h </w:instrText>
        </w:r>
        <w:r w:rsidR="0077432E">
          <w:rPr>
            <w:noProof/>
            <w:webHidden/>
          </w:rPr>
        </w:r>
        <w:r w:rsidR="0077432E">
          <w:rPr>
            <w:noProof/>
            <w:webHidden/>
          </w:rPr>
          <w:fldChar w:fldCharType="separate"/>
        </w:r>
        <w:r w:rsidR="0077432E">
          <w:rPr>
            <w:noProof/>
            <w:webHidden/>
          </w:rPr>
          <w:t>36</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93" w:history="1">
        <w:r w:rsidR="0077432E" w:rsidRPr="005E183F">
          <w:rPr>
            <w:rStyle w:val="Hyperlink"/>
            <w:noProof/>
          </w:rPr>
          <w:t>2.4.6 West Penn Power</w:t>
        </w:r>
        <w:r w:rsidR="0077432E">
          <w:rPr>
            <w:noProof/>
            <w:webHidden/>
          </w:rPr>
          <w:tab/>
        </w:r>
        <w:r w:rsidR="0077432E">
          <w:rPr>
            <w:noProof/>
            <w:webHidden/>
          </w:rPr>
          <w:fldChar w:fldCharType="begin"/>
        </w:r>
        <w:r w:rsidR="0077432E">
          <w:rPr>
            <w:noProof/>
            <w:webHidden/>
          </w:rPr>
          <w:instrText xml:space="preserve"> PAGEREF _Toc488765793 \h </w:instrText>
        </w:r>
        <w:r w:rsidR="0077432E">
          <w:rPr>
            <w:noProof/>
            <w:webHidden/>
          </w:rPr>
        </w:r>
        <w:r w:rsidR="0077432E">
          <w:rPr>
            <w:noProof/>
            <w:webHidden/>
          </w:rPr>
          <w:fldChar w:fldCharType="separate"/>
        </w:r>
        <w:r w:rsidR="0077432E">
          <w:rPr>
            <w:noProof/>
            <w:webHidden/>
          </w:rPr>
          <w:t>37</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94" w:history="1">
        <w:r w:rsidR="0077432E" w:rsidRPr="005E183F">
          <w:rPr>
            <w:rStyle w:val="Hyperlink"/>
            <w:noProof/>
          </w:rPr>
          <w:t>2.4.7 PECO Energy</w:t>
        </w:r>
        <w:r w:rsidR="0077432E">
          <w:rPr>
            <w:noProof/>
            <w:webHidden/>
          </w:rPr>
          <w:tab/>
        </w:r>
        <w:r w:rsidR="0077432E">
          <w:rPr>
            <w:noProof/>
            <w:webHidden/>
          </w:rPr>
          <w:fldChar w:fldCharType="begin"/>
        </w:r>
        <w:r w:rsidR="0077432E">
          <w:rPr>
            <w:noProof/>
            <w:webHidden/>
          </w:rPr>
          <w:instrText xml:space="preserve"> PAGEREF _Toc488765794 \h </w:instrText>
        </w:r>
        <w:r w:rsidR="0077432E">
          <w:rPr>
            <w:noProof/>
            <w:webHidden/>
          </w:rPr>
        </w:r>
        <w:r w:rsidR="0077432E">
          <w:rPr>
            <w:noProof/>
            <w:webHidden/>
          </w:rPr>
          <w:fldChar w:fldCharType="separate"/>
        </w:r>
        <w:r w:rsidR="0077432E">
          <w:rPr>
            <w:noProof/>
            <w:webHidden/>
          </w:rPr>
          <w:t>39</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95" w:history="1">
        <w:r w:rsidR="0077432E" w:rsidRPr="005E183F">
          <w:rPr>
            <w:rStyle w:val="Hyperlink"/>
            <w:noProof/>
          </w:rPr>
          <w:t>2.4.8 PPL</w:t>
        </w:r>
        <w:r w:rsidR="0077432E">
          <w:rPr>
            <w:noProof/>
            <w:webHidden/>
          </w:rPr>
          <w:tab/>
        </w:r>
        <w:r w:rsidR="0077432E">
          <w:rPr>
            <w:noProof/>
            <w:webHidden/>
          </w:rPr>
          <w:fldChar w:fldCharType="begin"/>
        </w:r>
        <w:r w:rsidR="0077432E">
          <w:rPr>
            <w:noProof/>
            <w:webHidden/>
          </w:rPr>
          <w:instrText xml:space="preserve"> PAGEREF _Toc488765795 \h </w:instrText>
        </w:r>
        <w:r w:rsidR="0077432E">
          <w:rPr>
            <w:noProof/>
            <w:webHidden/>
          </w:rPr>
        </w:r>
        <w:r w:rsidR="0077432E">
          <w:rPr>
            <w:noProof/>
            <w:webHidden/>
          </w:rPr>
          <w:fldChar w:fldCharType="separate"/>
        </w:r>
        <w:r w:rsidR="0077432E">
          <w:rPr>
            <w:noProof/>
            <w:webHidden/>
          </w:rPr>
          <w:t>40</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796" w:history="1">
        <w:r w:rsidR="0077432E" w:rsidRPr="005E183F">
          <w:rPr>
            <w:rStyle w:val="Hyperlink"/>
            <w:rFonts w:ascii="Broadway" w:hAnsi="Broadway"/>
            <w:noProof/>
          </w:rPr>
          <w:t>3</w:t>
        </w:r>
        <w:r w:rsidR="0077432E" w:rsidRPr="005E183F">
          <w:rPr>
            <w:rStyle w:val="Hyperlink"/>
            <w:noProof/>
          </w:rPr>
          <w:t xml:space="preserve"> Demand Savings from Energy Efficiency│ Program Year 7 &amp; Phase II</w:t>
        </w:r>
        <w:r w:rsidR="0077432E">
          <w:rPr>
            <w:noProof/>
            <w:webHidden/>
          </w:rPr>
          <w:tab/>
        </w:r>
        <w:r w:rsidR="0077432E">
          <w:rPr>
            <w:noProof/>
            <w:webHidden/>
          </w:rPr>
          <w:fldChar w:fldCharType="begin"/>
        </w:r>
        <w:r w:rsidR="0077432E">
          <w:rPr>
            <w:noProof/>
            <w:webHidden/>
          </w:rPr>
          <w:instrText xml:space="preserve"> PAGEREF _Toc488765796 \h </w:instrText>
        </w:r>
        <w:r w:rsidR="0077432E">
          <w:rPr>
            <w:noProof/>
            <w:webHidden/>
          </w:rPr>
        </w:r>
        <w:r w:rsidR="0077432E">
          <w:rPr>
            <w:noProof/>
            <w:webHidden/>
          </w:rPr>
          <w:fldChar w:fldCharType="separate"/>
        </w:r>
        <w:r w:rsidR="0077432E">
          <w:rPr>
            <w:noProof/>
            <w:webHidden/>
          </w:rPr>
          <w:t>43</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797" w:history="1">
        <w:r w:rsidR="0077432E" w:rsidRPr="005E183F">
          <w:rPr>
            <w:rStyle w:val="Hyperlink"/>
            <w:noProof/>
          </w:rPr>
          <w:t>3.1 Results for Three-Year Act 129 Phase II</w:t>
        </w:r>
        <w:r w:rsidR="0077432E">
          <w:rPr>
            <w:noProof/>
            <w:webHidden/>
          </w:rPr>
          <w:tab/>
        </w:r>
        <w:r w:rsidR="0077432E">
          <w:rPr>
            <w:noProof/>
            <w:webHidden/>
          </w:rPr>
          <w:fldChar w:fldCharType="begin"/>
        </w:r>
        <w:r w:rsidR="0077432E">
          <w:rPr>
            <w:noProof/>
            <w:webHidden/>
          </w:rPr>
          <w:instrText xml:space="preserve"> PAGEREF _Toc488765797 \h </w:instrText>
        </w:r>
        <w:r w:rsidR="0077432E">
          <w:rPr>
            <w:noProof/>
            <w:webHidden/>
          </w:rPr>
        </w:r>
        <w:r w:rsidR="0077432E">
          <w:rPr>
            <w:noProof/>
            <w:webHidden/>
          </w:rPr>
          <w:fldChar w:fldCharType="separate"/>
        </w:r>
        <w:r w:rsidR="0077432E">
          <w:rPr>
            <w:noProof/>
            <w:webHidden/>
          </w:rPr>
          <w:t>43</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98" w:history="1">
        <w:r w:rsidR="0077432E" w:rsidRPr="005E183F">
          <w:rPr>
            <w:rStyle w:val="Hyperlink"/>
            <w:noProof/>
          </w:rPr>
          <w:t>3.1.1 Statewide Summary</w:t>
        </w:r>
        <w:r w:rsidR="0077432E">
          <w:rPr>
            <w:noProof/>
            <w:webHidden/>
          </w:rPr>
          <w:tab/>
        </w:r>
        <w:r w:rsidR="0077432E">
          <w:rPr>
            <w:noProof/>
            <w:webHidden/>
          </w:rPr>
          <w:fldChar w:fldCharType="begin"/>
        </w:r>
        <w:r w:rsidR="0077432E">
          <w:rPr>
            <w:noProof/>
            <w:webHidden/>
          </w:rPr>
          <w:instrText xml:space="preserve"> PAGEREF _Toc488765798 \h </w:instrText>
        </w:r>
        <w:r w:rsidR="0077432E">
          <w:rPr>
            <w:noProof/>
            <w:webHidden/>
          </w:rPr>
        </w:r>
        <w:r w:rsidR="0077432E">
          <w:rPr>
            <w:noProof/>
            <w:webHidden/>
          </w:rPr>
          <w:fldChar w:fldCharType="separate"/>
        </w:r>
        <w:r w:rsidR="0077432E">
          <w:rPr>
            <w:noProof/>
            <w:webHidden/>
          </w:rPr>
          <w:t>43</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799" w:history="1">
        <w:r w:rsidR="0077432E" w:rsidRPr="005E183F">
          <w:rPr>
            <w:rStyle w:val="Hyperlink"/>
            <w:noProof/>
          </w:rPr>
          <w:t>3.1.2 Duquesne Light</w:t>
        </w:r>
        <w:r w:rsidR="0077432E">
          <w:rPr>
            <w:noProof/>
            <w:webHidden/>
          </w:rPr>
          <w:tab/>
        </w:r>
        <w:r w:rsidR="0077432E">
          <w:rPr>
            <w:noProof/>
            <w:webHidden/>
          </w:rPr>
          <w:fldChar w:fldCharType="begin"/>
        </w:r>
        <w:r w:rsidR="0077432E">
          <w:rPr>
            <w:noProof/>
            <w:webHidden/>
          </w:rPr>
          <w:instrText xml:space="preserve"> PAGEREF _Toc488765799 \h </w:instrText>
        </w:r>
        <w:r w:rsidR="0077432E">
          <w:rPr>
            <w:noProof/>
            <w:webHidden/>
          </w:rPr>
        </w:r>
        <w:r w:rsidR="0077432E">
          <w:rPr>
            <w:noProof/>
            <w:webHidden/>
          </w:rPr>
          <w:fldChar w:fldCharType="separate"/>
        </w:r>
        <w:r w:rsidR="0077432E">
          <w:rPr>
            <w:noProof/>
            <w:webHidden/>
          </w:rPr>
          <w:t>44</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00" w:history="1">
        <w:r w:rsidR="0077432E" w:rsidRPr="005E183F">
          <w:rPr>
            <w:rStyle w:val="Hyperlink"/>
            <w:noProof/>
          </w:rPr>
          <w:t>3.1.3 Metropolitan Edison Company</w:t>
        </w:r>
        <w:r w:rsidR="0077432E">
          <w:rPr>
            <w:noProof/>
            <w:webHidden/>
          </w:rPr>
          <w:tab/>
        </w:r>
        <w:r w:rsidR="0077432E">
          <w:rPr>
            <w:noProof/>
            <w:webHidden/>
          </w:rPr>
          <w:fldChar w:fldCharType="begin"/>
        </w:r>
        <w:r w:rsidR="0077432E">
          <w:rPr>
            <w:noProof/>
            <w:webHidden/>
          </w:rPr>
          <w:instrText xml:space="preserve"> PAGEREF _Toc488765800 \h </w:instrText>
        </w:r>
        <w:r w:rsidR="0077432E">
          <w:rPr>
            <w:noProof/>
            <w:webHidden/>
          </w:rPr>
        </w:r>
        <w:r w:rsidR="0077432E">
          <w:rPr>
            <w:noProof/>
            <w:webHidden/>
          </w:rPr>
          <w:fldChar w:fldCharType="separate"/>
        </w:r>
        <w:r w:rsidR="0077432E">
          <w:rPr>
            <w:noProof/>
            <w:webHidden/>
          </w:rPr>
          <w:t>45</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01" w:history="1">
        <w:r w:rsidR="0077432E" w:rsidRPr="005E183F">
          <w:rPr>
            <w:rStyle w:val="Hyperlink"/>
            <w:noProof/>
          </w:rPr>
          <w:t>3.1.4 Pennsylvania Electric Company</w:t>
        </w:r>
        <w:r w:rsidR="0077432E">
          <w:rPr>
            <w:noProof/>
            <w:webHidden/>
          </w:rPr>
          <w:tab/>
        </w:r>
        <w:r w:rsidR="0077432E">
          <w:rPr>
            <w:noProof/>
            <w:webHidden/>
          </w:rPr>
          <w:fldChar w:fldCharType="begin"/>
        </w:r>
        <w:r w:rsidR="0077432E">
          <w:rPr>
            <w:noProof/>
            <w:webHidden/>
          </w:rPr>
          <w:instrText xml:space="preserve"> PAGEREF _Toc488765801 \h </w:instrText>
        </w:r>
        <w:r w:rsidR="0077432E">
          <w:rPr>
            <w:noProof/>
            <w:webHidden/>
          </w:rPr>
        </w:r>
        <w:r w:rsidR="0077432E">
          <w:rPr>
            <w:noProof/>
            <w:webHidden/>
          </w:rPr>
          <w:fldChar w:fldCharType="separate"/>
        </w:r>
        <w:r w:rsidR="0077432E">
          <w:rPr>
            <w:noProof/>
            <w:webHidden/>
          </w:rPr>
          <w:t>46</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02" w:history="1">
        <w:r w:rsidR="0077432E" w:rsidRPr="005E183F">
          <w:rPr>
            <w:rStyle w:val="Hyperlink"/>
            <w:noProof/>
          </w:rPr>
          <w:t>3.1.5 Pennsylvania Power Company</w:t>
        </w:r>
        <w:r w:rsidR="0077432E">
          <w:rPr>
            <w:noProof/>
            <w:webHidden/>
          </w:rPr>
          <w:tab/>
        </w:r>
        <w:r w:rsidR="0077432E">
          <w:rPr>
            <w:noProof/>
            <w:webHidden/>
          </w:rPr>
          <w:fldChar w:fldCharType="begin"/>
        </w:r>
        <w:r w:rsidR="0077432E">
          <w:rPr>
            <w:noProof/>
            <w:webHidden/>
          </w:rPr>
          <w:instrText xml:space="preserve"> PAGEREF _Toc488765802 \h </w:instrText>
        </w:r>
        <w:r w:rsidR="0077432E">
          <w:rPr>
            <w:noProof/>
            <w:webHidden/>
          </w:rPr>
        </w:r>
        <w:r w:rsidR="0077432E">
          <w:rPr>
            <w:noProof/>
            <w:webHidden/>
          </w:rPr>
          <w:fldChar w:fldCharType="separate"/>
        </w:r>
        <w:r w:rsidR="0077432E">
          <w:rPr>
            <w:noProof/>
            <w:webHidden/>
          </w:rPr>
          <w:t>47</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03" w:history="1">
        <w:r w:rsidR="0077432E" w:rsidRPr="005E183F">
          <w:rPr>
            <w:rStyle w:val="Hyperlink"/>
            <w:noProof/>
          </w:rPr>
          <w:t>3.1.6 West Penn Power</w:t>
        </w:r>
        <w:r w:rsidR="0077432E">
          <w:rPr>
            <w:noProof/>
            <w:webHidden/>
          </w:rPr>
          <w:tab/>
        </w:r>
        <w:r w:rsidR="0077432E">
          <w:rPr>
            <w:noProof/>
            <w:webHidden/>
          </w:rPr>
          <w:fldChar w:fldCharType="begin"/>
        </w:r>
        <w:r w:rsidR="0077432E">
          <w:rPr>
            <w:noProof/>
            <w:webHidden/>
          </w:rPr>
          <w:instrText xml:space="preserve"> PAGEREF _Toc488765803 \h </w:instrText>
        </w:r>
        <w:r w:rsidR="0077432E">
          <w:rPr>
            <w:noProof/>
            <w:webHidden/>
          </w:rPr>
        </w:r>
        <w:r w:rsidR="0077432E">
          <w:rPr>
            <w:noProof/>
            <w:webHidden/>
          </w:rPr>
          <w:fldChar w:fldCharType="separate"/>
        </w:r>
        <w:r w:rsidR="0077432E">
          <w:rPr>
            <w:noProof/>
            <w:webHidden/>
          </w:rPr>
          <w:t>48</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04" w:history="1">
        <w:r w:rsidR="0077432E" w:rsidRPr="005E183F">
          <w:rPr>
            <w:rStyle w:val="Hyperlink"/>
            <w:noProof/>
          </w:rPr>
          <w:t>3.1.7 PECO Energy</w:t>
        </w:r>
        <w:r w:rsidR="0077432E">
          <w:rPr>
            <w:noProof/>
            <w:webHidden/>
          </w:rPr>
          <w:tab/>
        </w:r>
        <w:r w:rsidR="0077432E">
          <w:rPr>
            <w:noProof/>
            <w:webHidden/>
          </w:rPr>
          <w:fldChar w:fldCharType="begin"/>
        </w:r>
        <w:r w:rsidR="0077432E">
          <w:rPr>
            <w:noProof/>
            <w:webHidden/>
          </w:rPr>
          <w:instrText xml:space="preserve"> PAGEREF _Toc488765804 \h </w:instrText>
        </w:r>
        <w:r w:rsidR="0077432E">
          <w:rPr>
            <w:noProof/>
            <w:webHidden/>
          </w:rPr>
        </w:r>
        <w:r w:rsidR="0077432E">
          <w:rPr>
            <w:noProof/>
            <w:webHidden/>
          </w:rPr>
          <w:fldChar w:fldCharType="separate"/>
        </w:r>
        <w:r w:rsidR="0077432E">
          <w:rPr>
            <w:noProof/>
            <w:webHidden/>
          </w:rPr>
          <w:t>49</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05" w:history="1">
        <w:r w:rsidR="0077432E" w:rsidRPr="005E183F">
          <w:rPr>
            <w:rStyle w:val="Hyperlink"/>
            <w:noProof/>
          </w:rPr>
          <w:t>3.1.8 PPL</w:t>
        </w:r>
        <w:r w:rsidR="0077432E">
          <w:rPr>
            <w:noProof/>
            <w:webHidden/>
          </w:rPr>
          <w:tab/>
        </w:r>
        <w:r w:rsidR="0077432E">
          <w:rPr>
            <w:noProof/>
            <w:webHidden/>
          </w:rPr>
          <w:fldChar w:fldCharType="begin"/>
        </w:r>
        <w:r w:rsidR="0077432E">
          <w:rPr>
            <w:noProof/>
            <w:webHidden/>
          </w:rPr>
          <w:instrText xml:space="preserve"> PAGEREF _Toc488765805 \h </w:instrText>
        </w:r>
        <w:r w:rsidR="0077432E">
          <w:rPr>
            <w:noProof/>
            <w:webHidden/>
          </w:rPr>
        </w:r>
        <w:r w:rsidR="0077432E">
          <w:rPr>
            <w:noProof/>
            <w:webHidden/>
          </w:rPr>
          <w:fldChar w:fldCharType="separate"/>
        </w:r>
        <w:r w:rsidR="0077432E">
          <w:rPr>
            <w:noProof/>
            <w:webHidden/>
          </w:rPr>
          <w:t>50</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06" w:history="1">
        <w:r w:rsidR="0077432E" w:rsidRPr="005E183F">
          <w:rPr>
            <w:rStyle w:val="Hyperlink"/>
            <w:rFonts w:ascii="Broadway" w:hAnsi="Broadway"/>
            <w:noProof/>
          </w:rPr>
          <w:t>4</w:t>
        </w:r>
        <w:r w:rsidR="0077432E" w:rsidRPr="005E183F">
          <w:rPr>
            <w:rStyle w:val="Hyperlink"/>
            <w:noProof/>
          </w:rPr>
          <w:t xml:space="preserve"> Act 129 Benefits &amp; Costs</w:t>
        </w:r>
        <w:r w:rsidR="0077432E">
          <w:rPr>
            <w:noProof/>
            <w:webHidden/>
          </w:rPr>
          <w:tab/>
        </w:r>
        <w:r w:rsidR="0077432E">
          <w:rPr>
            <w:noProof/>
            <w:webHidden/>
          </w:rPr>
          <w:fldChar w:fldCharType="begin"/>
        </w:r>
        <w:r w:rsidR="0077432E">
          <w:rPr>
            <w:noProof/>
            <w:webHidden/>
          </w:rPr>
          <w:instrText xml:space="preserve"> PAGEREF _Toc488765806 \h </w:instrText>
        </w:r>
        <w:r w:rsidR="0077432E">
          <w:rPr>
            <w:noProof/>
            <w:webHidden/>
          </w:rPr>
        </w:r>
        <w:r w:rsidR="0077432E">
          <w:rPr>
            <w:noProof/>
            <w:webHidden/>
          </w:rPr>
          <w:fldChar w:fldCharType="separate"/>
        </w:r>
        <w:r w:rsidR="0077432E">
          <w:rPr>
            <w:noProof/>
            <w:webHidden/>
          </w:rPr>
          <w:t>52</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807" w:history="1">
        <w:r w:rsidR="0077432E" w:rsidRPr="005E183F">
          <w:rPr>
            <w:rStyle w:val="Hyperlink"/>
            <w:noProof/>
          </w:rPr>
          <w:t>4.1 Phase II TRC Test Results</w:t>
        </w:r>
        <w:r w:rsidR="0077432E">
          <w:rPr>
            <w:noProof/>
            <w:webHidden/>
          </w:rPr>
          <w:tab/>
        </w:r>
        <w:r w:rsidR="0077432E">
          <w:rPr>
            <w:noProof/>
            <w:webHidden/>
          </w:rPr>
          <w:fldChar w:fldCharType="begin"/>
        </w:r>
        <w:r w:rsidR="0077432E">
          <w:rPr>
            <w:noProof/>
            <w:webHidden/>
          </w:rPr>
          <w:instrText xml:space="preserve"> PAGEREF _Toc488765807 \h </w:instrText>
        </w:r>
        <w:r w:rsidR="0077432E">
          <w:rPr>
            <w:noProof/>
            <w:webHidden/>
          </w:rPr>
        </w:r>
        <w:r w:rsidR="0077432E">
          <w:rPr>
            <w:noProof/>
            <w:webHidden/>
          </w:rPr>
          <w:fldChar w:fldCharType="separate"/>
        </w:r>
        <w:r w:rsidR="0077432E">
          <w:rPr>
            <w:noProof/>
            <w:webHidden/>
          </w:rPr>
          <w:t>52</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08" w:history="1">
        <w:r w:rsidR="0077432E" w:rsidRPr="005E183F">
          <w:rPr>
            <w:rStyle w:val="Hyperlink"/>
            <w:noProof/>
          </w:rPr>
          <w:t>4.1.1 TRC Test Results by Program Year</w:t>
        </w:r>
        <w:r w:rsidR="0077432E">
          <w:rPr>
            <w:noProof/>
            <w:webHidden/>
          </w:rPr>
          <w:tab/>
        </w:r>
        <w:r w:rsidR="0077432E">
          <w:rPr>
            <w:noProof/>
            <w:webHidden/>
          </w:rPr>
          <w:fldChar w:fldCharType="begin"/>
        </w:r>
        <w:r w:rsidR="0077432E">
          <w:rPr>
            <w:noProof/>
            <w:webHidden/>
          </w:rPr>
          <w:instrText xml:space="preserve"> PAGEREF _Toc488765808 \h </w:instrText>
        </w:r>
        <w:r w:rsidR="0077432E">
          <w:rPr>
            <w:noProof/>
            <w:webHidden/>
          </w:rPr>
        </w:r>
        <w:r w:rsidR="0077432E">
          <w:rPr>
            <w:noProof/>
            <w:webHidden/>
          </w:rPr>
          <w:fldChar w:fldCharType="separate"/>
        </w:r>
        <w:r w:rsidR="0077432E">
          <w:rPr>
            <w:noProof/>
            <w:webHidden/>
          </w:rPr>
          <w:t>52</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09" w:history="1">
        <w:r w:rsidR="0077432E" w:rsidRPr="005E183F">
          <w:rPr>
            <w:rStyle w:val="Hyperlink"/>
            <w:noProof/>
          </w:rPr>
          <w:t>4.1.2 TRC Test Results for Phase II – All Years Combined</w:t>
        </w:r>
        <w:r w:rsidR="0077432E">
          <w:rPr>
            <w:noProof/>
            <w:webHidden/>
          </w:rPr>
          <w:tab/>
        </w:r>
        <w:r w:rsidR="0077432E">
          <w:rPr>
            <w:noProof/>
            <w:webHidden/>
          </w:rPr>
          <w:fldChar w:fldCharType="begin"/>
        </w:r>
        <w:r w:rsidR="0077432E">
          <w:rPr>
            <w:noProof/>
            <w:webHidden/>
          </w:rPr>
          <w:instrText xml:space="preserve"> PAGEREF _Toc488765809 \h </w:instrText>
        </w:r>
        <w:r w:rsidR="0077432E">
          <w:rPr>
            <w:noProof/>
            <w:webHidden/>
          </w:rPr>
        </w:r>
        <w:r w:rsidR="0077432E">
          <w:rPr>
            <w:noProof/>
            <w:webHidden/>
          </w:rPr>
          <w:fldChar w:fldCharType="separate"/>
        </w:r>
        <w:r w:rsidR="0077432E">
          <w:rPr>
            <w:noProof/>
            <w:webHidden/>
          </w:rPr>
          <w:t>54</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10" w:history="1">
        <w:r w:rsidR="0077432E" w:rsidRPr="005E183F">
          <w:rPr>
            <w:rStyle w:val="Hyperlink"/>
            <w:noProof/>
          </w:rPr>
          <w:t>4.1.3 Phase II TRC Test Results by Sector</w:t>
        </w:r>
        <w:r w:rsidR="0077432E">
          <w:rPr>
            <w:noProof/>
            <w:webHidden/>
          </w:rPr>
          <w:tab/>
        </w:r>
        <w:r w:rsidR="0077432E">
          <w:rPr>
            <w:noProof/>
            <w:webHidden/>
          </w:rPr>
          <w:fldChar w:fldCharType="begin"/>
        </w:r>
        <w:r w:rsidR="0077432E">
          <w:rPr>
            <w:noProof/>
            <w:webHidden/>
          </w:rPr>
          <w:instrText xml:space="preserve"> PAGEREF _Toc488765810 \h </w:instrText>
        </w:r>
        <w:r w:rsidR="0077432E">
          <w:rPr>
            <w:noProof/>
            <w:webHidden/>
          </w:rPr>
        </w:r>
        <w:r w:rsidR="0077432E">
          <w:rPr>
            <w:noProof/>
            <w:webHidden/>
          </w:rPr>
          <w:fldChar w:fldCharType="separate"/>
        </w:r>
        <w:r w:rsidR="0077432E">
          <w:rPr>
            <w:noProof/>
            <w:webHidden/>
          </w:rPr>
          <w:t>54</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11" w:history="1">
        <w:r w:rsidR="0077432E" w:rsidRPr="005E183F">
          <w:rPr>
            <w:rStyle w:val="Hyperlink"/>
            <w:noProof/>
          </w:rPr>
          <w:t>4.1.4 TRC Test Results by Phase</w:t>
        </w:r>
        <w:r w:rsidR="0077432E">
          <w:rPr>
            <w:noProof/>
            <w:webHidden/>
          </w:rPr>
          <w:tab/>
        </w:r>
        <w:r w:rsidR="0077432E">
          <w:rPr>
            <w:noProof/>
            <w:webHidden/>
          </w:rPr>
          <w:fldChar w:fldCharType="begin"/>
        </w:r>
        <w:r w:rsidR="0077432E">
          <w:rPr>
            <w:noProof/>
            <w:webHidden/>
          </w:rPr>
          <w:instrText xml:space="preserve"> PAGEREF _Toc488765811 \h </w:instrText>
        </w:r>
        <w:r w:rsidR="0077432E">
          <w:rPr>
            <w:noProof/>
            <w:webHidden/>
          </w:rPr>
        </w:r>
        <w:r w:rsidR="0077432E">
          <w:rPr>
            <w:noProof/>
            <w:webHidden/>
          </w:rPr>
          <w:fldChar w:fldCharType="separate"/>
        </w:r>
        <w:r w:rsidR="0077432E">
          <w:rPr>
            <w:noProof/>
            <w:webHidden/>
          </w:rPr>
          <w:t>55</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812" w:history="1">
        <w:r w:rsidR="0077432E" w:rsidRPr="005E183F">
          <w:rPr>
            <w:rStyle w:val="Hyperlink"/>
            <w:noProof/>
          </w:rPr>
          <w:t>4.2 Phase II TRC Audit Overview</w:t>
        </w:r>
        <w:r w:rsidR="0077432E">
          <w:rPr>
            <w:noProof/>
            <w:webHidden/>
          </w:rPr>
          <w:tab/>
        </w:r>
        <w:r w:rsidR="0077432E">
          <w:rPr>
            <w:noProof/>
            <w:webHidden/>
          </w:rPr>
          <w:fldChar w:fldCharType="begin"/>
        </w:r>
        <w:r w:rsidR="0077432E">
          <w:rPr>
            <w:noProof/>
            <w:webHidden/>
          </w:rPr>
          <w:instrText xml:space="preserve"> PAGEREF _Toc488765812 \h </w:instrText>
        </w:r>
        <w:r w:rsidR="0077432E">
          <w:rPr>
            <w:noProof/>
            <w:webHidden/>
          </w:rPr>
        </w:r>
        <w:r w:rsidR="0077432E">
          <w:rPr>
            <w:noProof/>
            <w:webHidden/>
          </w:rPr>
          <w:fldChar w:fldCharType="separate"/>
        </w:r>
        <w:r w:rsidR="0077432E">
          <w:rPr>
            <w:noProof/>
            <w:webHidden/>
          </w:rPr>
          <w:t>55</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13" w:history="1">
        <w:r w:rsidR="0077432E" w:rsidRPr="005E183F">
          <w:rPr>
            <w:rStyle w:val="Hyperlink"/>
            <w:noProof/>
          </w:rPr>
          <w:t>4.2.1 Discount Rates and Line Losses</w:t>
        </w:r>
        <w:r w:rsidR="0077432E">
          <w:rPr>
            <w:noProof/>
            <w:webHidden/>
          </w:rPr>
          <w:tab/>
        </w:r>
        <w:r w:rsidR="0077432E">
          <w:rPr>
            <w:noProof/>
            <w:webHidden/>
          </w:rPr>
          <w:fldChar w:fldCharType="begin"/>
        </w:r>
        <w:r w:rsidR="0077432E">
          <w:rPr>
            <w:noProof/>
            <w:webHidden/>
          </w:rPr>
          <w:instrText xml:space="preserve"> PAGEREF _Toc488765813 \h </w:instrText>
        </w:r>
        <w:r w:rsidR="0077432E">
          <w:rPr>
            <w:noProof/>
            <w:webHidden/>
          </w:rPr>
        </w:r>
        <w:r w:rsidR="0077432E">
          <w:rPr>
            <w:noProof/>
            <w:webHidden/>
          </w:rPr>
          <w:fldChar w:fldCharType="separate"/>
        </w:r>
        <w:r w:rsidR="0077432E">
          <w:rPr>
            <w:noProof/>
            <w:webHidden/>
          </w:rPr>
          <w:t>56</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14" w:history="1">
        <w:r w:rsidR="0077432E" w:rsidRPr="005E183F">
          <w:rPr>
            <w:rStyle w:val="Hyperlink"/>
            <w:noProof/>
          </w:rPr>
          <w:t>4.2.2 Avoided Energy and Capacity Costs</w:t>
        </w:r>
        <w:r w:rsidR="0077432E">
          <w:rPr>
            <w:noProof/>
            <w:webHidden/>
          </w:rPr>
          <w:tab/>
        </w:r>
        <w:r w:rsidR="0077432E">
          <w:rPr>
            <w:noProof/>
            <w:webHidden/>
          </w:rPr>
          <w:fldChar w:fldCharType="begin"/>
        </w:r>
        <w:r w:rsidR="0077432E">
          <w:rPr>
            <w:noProof/>
            <w:webHidden/>
          </w:rPr>
          <w:instrText xml:space="preserve"> PAGEREF _Toc488765814 \h </w:instrText>
        </w:r>
        <w:r w:rsidR="0077432E">
          <w:rPr>
            <w:noProof/>
            <w:webHidden/>
          </w:rPr>
        </w:r>
        <w:r w:rsidR="0077432E">
          <w:rPr>
            <w:noProof/>
            <w:webHidden/>
          </w:rPr>
          <w:fldChar w:fldCharType="separate"/>
        </w:r>
        <w:r w:rsidR="0077432E">
          <w:rPr>
            <w:noProof/>
            <w:webHidden/>
          </w:rPr>
          <w:t>56</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15" w:history="1">
        <w:r w:rsidR="0077432E" w:rsidRPr="005E183F">
          <w:rPr>
            <w:rStyle w:val="Hyperlink"/>
            <w:noProof/>
          </w:rPr>
          <w:t>4.2.3 Other Input Assumptions</w:t>
        </w:r>
        <w:r w:rsidR="0077432E">
          <w:rPr>
            <w:noProof/>
            <w:webHidden/>
          </w:rPr>
          <w:tab/>
        </w:r>
        <w:r w:rsidR="0077432E">
          <w:rPr>
            <w:noProof/>
            <w:webHidden/>
          </w:rPr>
          <w:fldChar w:fldCharType="begin"/>
        </w:r>
        <w:r w:rsidR="0077432E">
          <w:rPr>
            <w:noProof/>
            <w:webHidden/>
          </w:rPr>
          <w:instrText xml:space="preserve"> PAGEREF _Toc488765815 \h </w:instrText>
        </w:r>
        <w:r w:rsidR="0077432E">
          <w:rPr>
            <w:noProof/>
            <w:webHidden/>
          </w:rPr>
        </w:r>
        <w:r w:rsidR="0077432E">
          <w:rPr>
            <w:noProof/>
            <w:webHidden/>
          </w:rPr>
          <w:fldChar w:fldCharType="separate"/>
        </w:r>
        <w:r w:rsidR="0077432E">
          <w:rPr>
            <w:noProof/>
            <w:webHidden/>
          </w:rPr>
          <w:t>56</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16" w:history="1">
        <w:r w:rsidR="0077432E" w:rsidRPr="005E183F">
          <w:rPr>
            <w:rStyle w:val="Hyperlink"/>
            <w:noProof/>
          </w:rPr>
          <w:t>4.2.4 Output Review</w:t>
        </w:r>
        <w:r w:rsidR="0077432E">
          <w:rPr>
            <w:noProof/>
            <w:webHidden/>
          </w:rPr>
          <w:tab/>
        </w:r>
        <w:r w:rsidR="0077432E">
          <w:rPr>
            <w:noProof/>
            <w:webHidden/>
          </w:rPr>
          <w:fldChar w:fldCharType="begin"/>
        </w:r>
        <w:r w:rsidR="0077432E">
          <w:rPr>
            <w:noProof/>
            <w:webHidden/>
          </w:rPr>
          <w:instrText xml:space="preserve"> PAGEREF _Toc488765816 \h </w:instrText>
        </w:r>
        <w:r w:rsidR="0077432E">
          <w:rPr>
            <w:noProof/>
            <w:webHidden/>
          </w:rPr>
        </w:r>
        <w:r w:rsidR="0077432E">
          <w:rPr>
            <w:noProof/>
            <w:webHidden/>
          </w:rPr>
          <w:fldChar w:fldCharType="separate"/>
        </w:r>
        <w:r w:rsidR="0077432E">
          <w:rPr>
            <w:noProof/>
            <w:webHidden/>
          </w:rPr>
          <w:t>56</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17" w:history="1">
        <w:r w:rsidR="0077432E" w:rsidRPr="005E183F">
          <w:rPr>
            <w:rStyle w:val="Hyperlink"/>
            <w:rFonts w:ascii="Broadway" w:hAnsi="Broadway"/>
            <w:noProof/>
          </w:rPr>
          <w:t>5</w:t>
        </w:r>
        <w:r w:rsidR="0077432E" w:rsidRPr="005E183F">
          <w:rPr>
            <w:rStyle w:val="Hyperlink"/>
            <w:noProof/>
          </w:rPr>
          <w:t xml:space="preserve"> SWE Analysis of Phase II Program Delivery</w:t>
        </w:r>
        <w:r w:rsidR="0077432E">
          <w:rPr>
            <w:noProof/>
            <w:webHidden/>
          </w:rPr>
          <w:tab/>
        </w:r>
        <w:r w:rsidR="0077432E">
          <w:rPr>
            <w:noProof/>
            <w:webHidden/>
          </w:rPr>
          <w:fldChar w:fldCharType="begin"/>
        </w:r>
        <w:r w:rsidR="0077432E">
          <w:rPr>
            <w:noProof/>
            <w:webHidden/>
          </w:rPr>
          <w:instrText xml:space="preserve"> PAGEREF _Toc488765817 \h </w:instrText>
        </w:r>
        <w:r w:rsidR="0077432E">
          <w:rPr>
            <w:noProof/>
            <w:webHidden/>
          </w:rPr>
        </w:r>
        <w:r w:rsidR="0077432E">
          <w:rPr>
            <w:noProof/>
            <w:webHidden/>
          </w:rPr>
          <w:fldChar w:fldCharType="separate"/>
        </w:r>
        <w:r w:rsidR="0077432E">
          <w:rPr>
            <w:noProof/>
            <w:webHidden/>
          </w:rPr>
          <w:t>58</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818" w:history="1">
        <w:r w:rsidR="0077432E" w:rsidRPr="005E183F">
          <w:rPr>
            <w:rStyle w:val="Hyperlink"/>
            <w:noProof/>
          </w:rPr>
          <w:t>5.1 Introduction</w:t>
        </w:r>
        <w:r w:rsidR="0077432E">
          <w:rPr>
            <w:noProof/>
            <w:webHidden/>
          </w:rPr>
          <w:tab/>
        </w:r>
        <w:r w:rsidR="0077432E">
          <w:rPr>
            <w:noProof/>
            <w:webHidden/>
          </w:rPr>
          <w:fldChar w:fldCharType="begin"/>
        </w:r>
        <w:r w:rsidR="0077432E">
          <w:rPr>
            <w:noProof/>
            <w:webHidden/>
          </w:rPr>
          <w:instrText xml:space="preserve"> PAGEREF _Toc488765818 \h </w:instrText>
        </w:r>
        <w:r w:rsidR="0077432E">
          <w:rPr>
            <w:noProof/>
            <w:webHidden/>
          </w:rPr>
        </w:r>
        <w:r w:rsidR="0077432E">
          <w:rPr>
            <w:noProof/>
            <w:webHidden/>
          </w:rPr>
          <w:fldChar w:fldCharType="separate"/>
        </w:r>
        <w:r w:rsidR="0077432E">
          <w:rPr>
            <w:noProof/>
            <w:webHidden/>
          </w:rPr>
          <w:t>58</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819" w:history="1">
        <w:r w:rsidR="0077432E" w:rsidRPr="005E183F">
          <w:rPr>
            <w:rStyle w:val="Hyperlink"/>
            <w:noProof/>
          </w:rPr>
          <w:t>5.2 Process Evaluation</w:t>
        </w:r>
        <w:r w:rsidR="0077432E">
          <w:rPr>
            <w:noProof/>
            <w:webHidden/>
          </w:rPr>
          <w:tab/>
        </w:r>
        <w:r w:rsidR="0077432E">
          <w:rPr>
            <w:noProof/>
            <w:webHidden/>
          </w:rPr>
          <w:fldChar w:fldCharType="begin"/>
        </w:r>
        <w:r w:rsidR="0077432E">
          <w:rPr>
            <w:noProof/>
            <w:webHidden/>
          </w:rPr>
          <w:instrText xml:space="preserve"> PAGEREF _Toc488765819 \h </w:instrText>
        </w:r>
        <w:r w:rsidR="0077432E">
          <w:rPr>
            <w:noProof/>
            <w:webHidden/>
          </w:rPr>
        </w:r>
        <w:r w:rsidR="0077432E">
          <w:rPr>
            <w:noProof/>
            <w:webHidden/>
          </w:rPr>
          <w:fldChar w:fldCharType="separate"/>
        </w:r>
        <w:r w:rsidR="0077432E">
          <w:rPr>
            <w:noProof/>
            <w:webHidden/>
          </w:rPr>
          <w:t>58</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20" w:history="1">
        <w:r w:rsidR="0077432E" w:rsidRPr="005E183F">
          <w:rPr>
            <w:rStyle w:val="Hyperlink"/>
            <w:noProof/>
          </w:rPr>
          <w:t>5.2.1 Role of Process Evaluation in Phase II</w:t>
        </w:r>
        <w:r w:rsidR="0077432E">
          <w:rPr>
            <w:noProof/>
            <w:webHidden/>
          </w:rPr>
          <w:tab/>
        </w:r>
        <w:r w:rsidR="0077432E">
          <w:rPr>
            <w:noProof/>
            <w:webHidden/>
          </w:rPr>
          <w:fldChar w:fldCharType="begin"/>
        </w:r>
        <w:r w:rsidR="0077432E">
          <w:rPr>
            <w:noProof/>
            <w:webHidden/>
          </w:rPr>
          <w:instrText xml:space="preserve"> PAGEREF _Toc488765820 \h </w:instrText>
        </w:r>
        <w:r w:rsidR="0077432E">
          <w:rPr>
            <w:noProof/>
            <w:webHidden/>
          </w:rPr>
        </w:r>
        <w:r w:rsidR="0077432E">
          <w:rPr>
            <w:noProof/>
            <w:webHidden/>
          </w:rPr>
          <w:fldChar w:fldCharType="separate"/>
        </w:r>
        <w:r w:rsidR="0077432E">
          <w:rPr>
            <w:noProof/>
            <w:webHidden/>
          </w:rPr>
          <w:t>58</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21" w:history="1">
        <w:r w:rsidR="0077432E" w:rsidRPr="005E183F">
          <w:rPr>
            <w:rStyle w:val="Hyperlink"/>
            <w:noProof/>
          </w:rPr>
          <w:t>5.2.2 SWE Analysis of Phase II Process Evaluation</w:t>
        </w:r>
        <w:r w:rsidR="0077432E">
          <w:rPr>
            <w:noProof/>
            <w:webHidden/>
          </w:rPr>
          <w:tab/>
        </w:r>
        <w:r w:rsidR="0077432E">
          <w:rPr>
            <w:noProof/>
            <w:webHidden/>
          </w:rPr>
          <w:fldChar w:fldCharType="begin"/>
        </w:r>
        <w:r w:rsidR="0077432E">
          <w:rPr>
            <w:noProof/>
            <w:webHidden/>
          </w:rPr>
          <w:instrText xml:space="preserve"> PAGEREF _Toc488765821 \h </w:instrText>
        </w:r>
        <w:r w:rsidR="0077432E">
          <w:rPr>
            <w:noProof/>
            <w:webHidden/>
          </w:rPr>
        </w:r>
        <w:r w:rsidR="0077432E">
          <w:rPr>
            <w:noProof/>
            <w:webHidden/>
          </w:rPr>
          <w:fldChar w:fldCharType="separate"/>
        </w:r>
        <w:r w:rsidR="0077432E">
          <w:rPr>
            <w:noProof/>
            <w:webHidden/>
          </w:rPr>
          <w:t>58</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22" w:history="1">
        <w:r w:rsidR="0077432E" w:rsidRPr="005E183F">
          <w:rPr>
            <w:rStyle w:val="Hyperlink"/>
            <w:noProof/>
          </w:rPr>
          <w:t>5.2.3 Results for Program Year 7 (2015–2016)</w:t>
        </w:r>
        <w:r w:rsidR="0077432E">
          <w:rPr>
            <w:noProof/>
            <w:webHidden/>
          </w:rPr>
          <w:tab/>
        </w:r>
        <w:r w:rsidR="0077432E">
          <w:rPr>
            <w:noProof/>
            <w:webHidden/>
          </w:rPr>
          <w:fldChar w:fldCharType="begin"/>
        </w:r>
        <w:r w:rsidR="0077432E">
          <w:rPr>
            <w:noProof/>
            <w:webHidden/>
          </w:rPr>
          <w:instrText xml:space="preserve"> PAGEREF _Toc488765822 \h </w:instrText>
        </w:r>
        <w:r w:rsidR="0077432E">
          <w:rPr>
            <w:noProof/>
            <w:webHidden/>
          </w:rPr>
        </w:r>
        <w:r w:rsidR="0077432E">
          <w:rPr>
            <w:noProof/>
            <w:webHidden/>
          </w:rPr>
          <w:fldChar w:fldCharType="separate"/>
        </w:r>
        <w:r w:rsidR="0077432E">
          <w:rPr>
            <w:noProof/>
            <w:webHidden/>
          </w:rPr>
          <w:t>61</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23" w:history="1">
        <w:r w:rsidR="0077432E" w:rsidRPr="005E183F">
          <w:rPr>
            <w:rStyle w:val="Hyperlink"/>
            <w:noProof/>
          </w:rPr>
          <w:t>5.2.4 Results for Three-Year Act 129 Phase II</w:t>
        </w:r>
        <w:r w:rsidR="0077432E">
          <w:rPr>
            <w:noProof/>
            <w:webHidden/>
          </w:rPr>
          <w:tab/>
        </w:r>
        <w:r w:rsidR="0077432E">
          <w:rPr>
            <w:noProof/>
            <w:webHidden/>
          </w:rPr>
          <w:fldChar w:fldCharType="begin"/>
        </w:r>
        <w:r w:rsidR="0077432E">
          <w:rPr>
            <w:noProof/>
            <w:webHidden/>
          </w:rPr>
          <w:instrText xml:space="preserve"> PAGEREF _Toc488765823 \h </w:instrText>
        </w:r>
        <w:r w:rsidR="0077432E">
          <w:rPr>
            <w:noProof/>
            <w:webHidden/>
          </w:rPr>
        </w:r>
        <w:r w:rsidR="0077432E">
          <w:rPr>
            <w:noProof/>
            <w:webHidden/>
          </w:rPr>
          <w:fldChar w:fldCharType="separate"/>
        </w:r>
        <w:r w:rsidR="0077432E">
          <w:rPr>
            <w:noProof/>
            <w:webHidden/>
          </w:rPr>
          <w:t>62</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824" w:history="1">
        <w:r w:rsidR="0077432E" w:rsidRPr="005E183F">
          <w:rPr>
            <w:rStyle w:val="Hyperlink"/>
            <w:noProof/>
          </w:rPr>
          <w:t>5.3 Net-to-Gross Research to Support Program Design</w:t>
        </w:r>
        <w:r w:rsidR="0077432E">
          <w:rPr>
            <w:noProof/>
            <w:webHidden/>
          </w:rPr>
          <w:tab/>
        </w:r>
        <w:r w:rsidR="0077432E">
          <w:rPr>
            <w:noProof/>
            <w:webHidden/>
          </w:rPr>
          <w:fldChar w:fldCharType="begin"/>
        </w:r>
        <w:r w:rsidR="0077432E">
          <w:rPr>
            <w:noProof/>
            <w:webHidden/>
          </w:rPr>
          <w:instrText xml:space="preserve"> PAGEREF _Toc488765824 \h </w:instrText>
        </w:r>
        <w:r w:rsidR="0077432E">
          <w:rPr>
            <w:noProof/>
            <w:webHidden/>
          </w:rPr>
        </w:r>
        <w:r w:rsidR="0077432E">
          <w:rPr>
            <w:noProof/>
            <w:webHidden/>
          </w:rPr>
          <w:fldChar w:fldCharType="separate"/>
        </w:r>
        <w:r w:rsidR="0077432E">
          <w:rPr>
            <w:noProof/>
            <w:webHidden/>
          </w:rPr>
          <w:t>67</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25" w:history="1">
        <w:r w:rsidR="0077432E" w:rsidRPr="005E183F">
          <w:rPr>
            <w:rStyle w:val="Hyperlink"/>
            <w:noProof/>
          </w:rPr>
          <w:t>5.3.1 Purpose of Net-to-Gross Research</w:t>
        </w:r>
        <w:r w:rsidR="0077432E">
          <w:rPr>
            <w:noProof/>
            <w:webHidden/>
          </w:rPr>
          <w:tab/>
        </w:r>
        <w:r w:rsidR="0077432E">
          <w:rPr>
            <w:noProof/>
            <w:webHidden/>
          </w:rPr>
          <w:fldChar w:fldCharType="begin"/>
        </w:r>
        <w:r w:rsidR="0077432E">
          <w:rPr>
            <w:noProof/>
            <w:webHidden/>
          </w:rPr>
          <w:instrText xml:space="preserve"> PAGEREF _Toc488765825 \h </w:instrText>
        </w:r>
        <w:r w:rsidR="0077432E">
          <w:rPr>
            <w:noProof/>
            <w:webHidden/>
          </w:rPr>
        </w:r>
        <w:r w:rsidR="0077432E">
          <w:rPr>
            <w:noProof/>
            <w:webHidden/>
          </w:rPr>
          <w:fldChar w:fldCharType="separate"/>
        </w:r>
        <w:r w:rsidR="0077432E">
          <w:rPr>
            <w:noProof/>
            <w:webHidden/>
          </w:rPr>
          <w:t>67</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26" w:history="1">
        <w:r w:rsidR="0077432E" w:rsidRPr="005E183F">
          <w:rPr>
            <w:rStyle w:val="Hyperlink"/>
            <w:noProof/>
          </w:rPr>
          <w:t>5.3.2 SWE Analysis of Phase II Net-to-Gross Reporting</w:t>
        </w:r>
        <w:r w:rsidR="0077432E">
          <w:rPr>
            <w:noProof/>
            <w:webHidden/>
          </w:rPr>
          <w:tab/>
        </w:r>
        <w:r w:rsidR="0077432E">
          <w:rPr>
            <w:noProof/>
            <w:webHidden/>
          </w:rPr>
          <w:fldChar w:fldCharType="begin"/>
        </w:r>
        <w:r w:rsidR="0077432E">
          <w:rPr>
            <w:noProof/>
            <w:webHidden/>
          </w:rPr>
          <w:instrText xml:space="preserve"> PAGEREF _Toc488765826 \h </w:instrText>
        </w:r>
        <w:r w:rsidR="0077432E">
          <w:rPr>
            <w:noProof/>
            <w:webHidden/>
          </w:rPr>
        </w:r>
        <w:r w:rsidR="0077432E">
          <w:rPr>
            <w:noProof/>
            <w:webHidden/>
          </w:rPr>
          <w:fldChar w:fldCharType="separate"/>
        </w:r>
        <w:r w:rsidR="0077432E">
          <w:rPr>
            <w:noProof/>
            <w:webHidden/>
          </w:rPr>
          <w:t>67</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27" w:history="1">
        <w:r w:rsidR="0077432E" w:rsidRPr="005E183F">
          <w:rPr>
            <w:rStyle w:val="Hyperlink"/>
            <w:noProof/>
          </w:rPr>
          <w:t>5.3.3 Results for Program Year 7 (2015–2016)</w:t>
        </w:r>
        <w:r w:rsidR="0077432E">
          <w:rPr>
            <w:noProof/>
            <w:webHidden/>
          </w:rPr>
          <w:tab/>
        </w:r>
        <w:r w:rsidR="0077432E">
          <w:rPr>
            <w:noProof/>
            <w:webHidden/>
          </w:rPr>
          <w:fldChar w:fldCharType="begin"/>
        </w:r>
        <w:r w:rsidR="0077432E">
          <w:rPr>
            <w:noProof/>
            <w:webHidden/>
          </w:rPr>
          <w:instrText xml:space="preserve"> PAGEREF _Toc488765827 \h </w:instrText>
        </w:r>
        <w:r w:rsidR="0077432E">
          <w:rPr>
            <w:noProof/>
            <w:webHidden/>
          </w:rPr>
        </w:r>
        <w:r w:rsidR="0077432E">
          <w:rPr>
            <w:noProof/>
            <w:webHidden/>
          </w:rPr>
          <w:fldChar w:fldCharType="separate"/>
        </w:r>
        <w:r w:rsidR="0077432E">
          <w:rPr>
            <w:noProof/>
            <w:webHidden/>
          </w:rPr>
          <w:t>68</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28" w:history="1">
        <w:r w:rsidR="0077432E" w:rsidRPr="005E183F">
          <w:rPr>
            <w:rStyle w:val="Hyperlink"/>
            <w:noProof/>
          </w:rPr>
          <w:t>5.3.4 Results for Three-Year Act 129 Phase II</w:t>
        </w:r>
        <w:r w:rsidR="0077432E">
          <w:rPr>
            <w:noProof/>
            <w:webHidden/>
          </w:rPr>
          <w:tab/>
        </w:r>
        <w:r w:rsidR="0077432E">
          <w:rPr>
            <w:noProof/>
            <w:webHidden/>
          </w:rPr>
          <w:fldChar w:fldCharType="begin"/>
        </w:r>
        <w:r w:rsidR="0077432E">
          <w:rPr>
            <w:noProof/>
            <w:webHidden/>
          </w:rPr>
          <w:instrText xml:space="preserve"> PAGEREF _Toc488765828 \h </w:instrText>
        </w:r>
        <w:r w:rsidR="0077432E">
          <w:rPr>
            <w:noProof/>
            <w:webHidden/>
          </w:rPr>
        </w:r>
        <w:r w:rsidR="0077432E">
          <w:rPr>
            <w:noProof/>
            <w:webHidden/>
          </w:rPr>
          <w:fldChar w:fldCharType="separate"/>
        </w:r>
        <w:r w:rsidR="0077432E">
          <w:rPr>
            <w:noProof/>
            <w:webHidden/>
          </w:rPr>
          <w:t>74</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829" w:history="1">
        <w:r w:rsidR="0077432E" w:rsidRPr="005E183F">
          <w:rPr>
            <w:rStyle w:val="Hyperlink"/>
            <w:noProof/>
          </w:rPr>
          <w:t>5.4 Best Practices and Lessons Learned</w:t>
        </w:r>
        <w:r w:rsidR="0077432E">
          <w:rPr>
            <w:noProof/>
            <w:webHidden/>
          </w:rPr>
          <w:tab/>
        </w:r>
        <w:r w:rsidR="0077432E">
          <w:rPr>
            <w:noProof/>
            <w:webHidden/>
          </w:rPr>
          <w:fldChar w:fldCharType="begin"/>
        </w:r>
        <w:r w:rsidR="0077432E">
          <w:rPr>
            <w:noProof/>
            <w:webHidden/>
          </w:rPr>
          <w:instrText xml:space="preserve"> PAGEREF _Toc488765829 \h </w:instrText>
        </w:r>
        <w:r w:rsidR="0077432E">
          <w:rPr>
            <w:noProof/>
            <w:webHidden/>
          </w:rPr>
        </w:r>
        <w:r w:rsidR="0077432E">
          <w:rPr>
            <w:noProof/>
            <w:webHidden/>
          </w:rPr>
          <w:fldChar w:fldCharType="separate"/>
        </w:r>
        <w:r w:rsidR="0077432E">
          <w:rPr>
            <w:noProof/>
            <w:webHidden/>
          </w:rPr>
          <w:t>78</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30" w:history="1">
        <w:r w:rsidR="0077432E" w:rsidRPr="005E183F">
          <w:rPr>
            <w:rStyle w:val="Hyperlink"/>
            <w:noProof/>
          </w:rPr>
          <w:t>5.4.1 Evaluation, Measurement, and Verification Best Practices</w:t>
        </w:r>
        <w:r w:rsidR="0077432E">
          <w:rPr>
            <w:noProof/>
            <w:webHidden/>
          </w:rPr>
          <w:tab/>
        </w:r>
        <w:r w:rsidR="0077432E">
          <w:rPr>
            <w:noProof/>
            <w:webHidden/>
          </w:rPr>
          <w:fldChar w:fldCharType="begin"/>
        </w:r>
        <w:r w:rsidR="0077432E">
          <w:rPr>
            <w:noProof/>
            <w:webHidden/>
          </w:rPr>
          <w:instrText xml:space="preserve"> PAGEREF _Toc488765830 \h </w:instrText>
        </w:r>
        <w:r w:rsidR="0077432E">
          <w:rPr>
            <w:noProof/>
            <w:webHidden/>
          </w:rPr>
        </w:r>
        <w:r w:rsidR="0077432E">
          <w:rPr>
            <w:noProof/>
            <w:webHidden/>
          </w:rPr>
          <w:fldChar w:fldCharType="separate"/>
        </w:r>
        <w:r w:rsidR="0077432E">
          <w:rPr>
            <w:noProof/>
            <w:webHidden/>
          </w:rPr>
          <w:t>78</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831" w:history="1">
        <w:r w:rsidR="0077432E" w:rsidRPr="005E183F">
          <w:rPr>
            <w:rStyle w:val="Hyperlink"/>
            <w:noProof/>
          </w:rPr>
          <w:t>5.5 Technical Reference Manual</w:t>
        </w:r>
        <w:r w:rsidR="0077432E">
          <w:rPr>
            <w:noProof/>
            <w:webHidden/>
          </w:rPr>
          <w:tab/>
        </w:r>
        <w:r w:rsidR="0077432E">
          <w:rPr>
            <w:noProof/>
            <w:webHidden/>
          </w:rPr>
          <w:fldChar w:fldCharType="begin"/>
        </w:r>
        <w:r w:rsidR="0077432E">
          <w:rPr>
            <w:noProof/>
            <w:webHidden/>
          </w:rPr>
          <w:instrText xml:space="preserve"> PAGEREF _Toc488765831 \h </w:instrText>
        </w:r>
        <w:r w:rsidR="0077432E">
          <w:rPr>
            <w:noProof/>
            <w:webHidden/>
          </w:rPr>
        </w:r>
        <w:r w:rsidR="0077432E">
          <w:rPr>
            <w:noProof/>
            <w:webHidden/>
          </w:rPr>
          <w:fldChar w:fldCharType="separate"/>
        </w:r>
        <w:r w:rsidR="0077432E">
          <w:rPr>
            <w:noProof/>
            <w:webHidden/>
          </w:rPr>
          <w:t>80</w:t>
        </w:r>
        <w:r w:rsidR="0077432E">
          <w:rPr>
            <w:noProof/>
            <w:webHidden/>
          </w:rPr>
          <w:fldChar w:fldCharType="end"/>
        </w:r>
      </w:hyperlink>
    </w:p>
    <w:p w:rsidR="0077432E" w:rsidRDefault="007973A4">
      <w:pPr>
        <w:pStyle w:val="TOC2"/>
        <w:rPr>
          <w:rFonts w:asciiTheme="minorHAnsi" w:eastAsiaTheme="minorEastAsia" w:hAnsiTheme="minorHAnsi" w:cstheme="minorBidi"/>
          <w:b w:val="0"/>
          <w:noProof/>
          <w:color w:val="auto"/>
          <w:sz w:val="22"/>
          <w:szCs w:val="22"/>
        </w:rPr>
      </w:pPr>
      <w:hyperlink w:anchor="_Toc488765832" w:history="1">
        <w:r w:rsidR="0077432E" w:rsidRPr="005E183F">
          <w:rPr>
            <w:rStyle w:val="Hyperlink"/>
            <w:noProof/>
          </w:rPr>
          <w:t>5.6 Recommendations for Program Improvements for Subsequent ACT 129 Phases</w:t>
        </w:r>
        <w:r w:rsidR="0077432E">
          <w:rPr>
            <w:noProof/>
            <w:webHidden/>
          </w:rPr>
          <w:tab/>
        </w:r>
        <w:r w:rsidR="0077432E">
          <w:rPr>
            <w:noProof/>
            <w:webHidden/>
          </w:rPr>
          <w:fldChar w:fldCharType="begin"/>
        </w:r>
        <w:r w:rsidR="0077432E">
          <w:rPr>
            <w:noProof/>
            <w:webHidden/>
          </w:rPr>
          <w:instrText xml:space="preserve"> PAGEREF _Toc488765832 \h </w:instrText>
        </w:r>
        <w:r w:rsidR="0077432E">
          <w:rPr>
            <w:noProof/>
            <w:webHidden/>
          </w:rPr>
        </w:r>
        <w:r w:rsidR="0077432E">
          <w:rPr>
            <w:noProof/>
            <w:webHidden/>
          </w:rPr>
          <w:fldChar w:fldCharType="separate"/>
        </w:r>
        <w:r w:rsidR="0077432E">
          <w:rPr>
            <w:noProof/>
            <w:webHidden/>
          </w:rPr>
          <w:t>81</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33" w:history="1">
        <w:r w:rsidR="0077432E" w:rsidRPr="005E183F">
          <w:rPr>
            <w:rStyle w:val="Hyperlink"/>
            <w:noProof/>
          </w:rPr>
          <w:t>5.6.1 Emerging Ideas in Program Design and Implementation</w:t>
        </w:r>
        <w:r w:rsidR="0077432E">
          <w:rPr>
            <w:noProof/>
            <w:webHidden/>
          </w:rPr>
          <w:tab/>
        </w:r>
        <w:r w:rsidR="0077432E">
          <w:rPr>
            <w:noProof/>
            <w:webHidden/>
          </w:rPr>
          <w:fldChar w:fldCharType="begin"/>
        </w:r>
        <w:r w:rsidR="0077432E">
          <w:rPr>
            <w:noProof/>
            <w:webHidden/>
          </w:rPr>
          <w:instrText xml:space="preserve"> PAGEREF _Toc488765833 \h </w:instrText>
        </w:r>
        <w:r w:rsidR="0077432E">
          <w:rPr>
            <w:noProof/>
            <w:webHidden/>
          </w:rPr>
        </w:r>
        <w:r w:rsidR="0077432E">
          <w:rPr>
            <w:noProof/>
            <w:webHidden/>
          </w:rPr>
          <w:fldChar w:fldCharType="separate"/>
        </w:r>
        <w:r w:rsidR="0077432E">
          <w:rPr>
            <w:noProof/>
            <w:webHidden/>
          </w:rPr>
          <w:t>81</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34" w:history="1">
        <w:r w:rsidR="0077432E" w:rsidRPr="005E183F">
          <w:rPr>
            <w:rStyle w:val="Hyperlink"/>
            <w:noProof/>
          </w:rPr>
          <w:t>5.6.2 Process Evaluation Recommendations</w:t>
        </w:r>
        <w:r w:rsidR="0077432E">
          <w:rPr>
            <w:noProof/>
            <w:webHidden/>
          </w:rPr>
          <w:tab/>
        </w:r>
        <w:r w:rsidR="0077432E">
          <w:rPr>
            <w:noProof/>
            <w:webHidden/>
          </w:rPr>
          <w:fldChar w:fldCharType="begin"/>
        </w:r>
        <w:r w:rsidR="0077432E">
          <w:rPr>
            <w:noProof/>
            <w:webHidden/>
          </w:rPr>
          <w:instrText xml:space="preserve"> PAGEREF _Toc488765834 \h </w:instrText>
        </w:r>
        <w:r w:rsidR="0077432E">
          <w:rPr>
            <w:noProof/>
            <w:webHidden/>
          </w:rPr>
        </w:r>
        <w:r w:rsidR="0077432E">
          <w:rPr>
            <w:noProof/>
            <w:webHidden/>
          </w:rPr>
          <w:fldChar w:fldCharType="separate"/>
        </w:r>
        <w:r w:rsidR="0077432E">
          <w:rPr>
            <w:noProof/>
            <w:webHidden/>
          </w:rPr>
          <w:t>91</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35" w:history="1">
        <w:r w:rsidR="0077432E" w:rsidRPr="005E183F">
          <w:rPr>
            <w:rStyle w:val="Hyperlink"/>
            <w:rFonts w:ascii="Broadway" w:hAnsi="Broadway"/>
            <w:noProof/>
          </w:rPr>
          <w:t>6</w:t>
        </w:r>
        <w:r w:rsidR="0077432E" w:rsidRPr="005E183F">
          <w:rPr>
            <w:rStyle w:val="Hyperlink"/>
            <w:noProof/>
          </w:rPr>
          <w:t xml:space="preserve"> Phase I &amp; Phase II Savings</w:t>
        </w:r>
        <w:r w:rsidR="0077432E">
          <w:rPr>
            <w:noProof/>
            <w:webHidden/>
          </w:rPr>
          <w:tab/>
        </w:r>
        <w:r w:rsidR="0077432E">
          <w:rPr>
            <w:noProof/>
            <w:webHidden/>
          </w:rPr>
          <w:fldChar w:fldCharType="begin"/>
        </w:r>
        <w:r w:rsidR="0077432E">
          <w:rPr>
            <w:noProof/>
            <w:webHidden/>
          </w:rPr>
          <w:instrText xml:space="preserve"> PAGEREF _Toc488765835 \h </w:instrText>
        </w:r>
        <w:r w:rsidR="0077432E">
          <w:rPr>
            <w:noProof/>
            <w:webHidden/>
          </w:rPr>
        </w:r>
        <w:r w:rsidR="0077432E">
          <w:rPr>
            <w:noProof/>
            <w:webHidden/>
          </w:rPr>
          <w:fldChar w:fldCharType="separate"/>
        </w:r>
        <w:r w:rsidR="0077432E">
          <w:rPr>
            <w:noProof/>
            <w:webHidden/>
          </w:rPr>
          <w:t>93</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36" w:history="1">
        <w:r w:rsidR="0077432E" w:rsidRPr="005E183F">
          <w:rPr>
            <w:rStyle w:val="Hyperlink"/>
            <w:noProof/>
          </w:rPr>
          <w:t>6.1 Cost Per kWh</w:t>
        </w:r>
        <w:r w:rsidR="0077432E">
          <w:rPr>
            <w:noProof/>
            <w:webHidden/>
          </w:rPr>
          <w:tab/>
        </w:r>
        <w:r w:rsidR="0077432E">
          <w:rPr>
            <w:noProof/>
            <w:webHidden/>
          </w:rPr>
          <w:fldChar w:fldCharType="begin"/>
        </w:r>
        <w:r w:rsidR="0077432E">
          <w:rPr>
            <w:noProof/>
            <w:webHidden/>
          </w:rPr>
          <w:instrText xml:space="preserve"> PAGEREF _Toc488765836 \h </w:instrText>
        </w:r>
        <w:r w:rsidR="0077432E">
          <w:rPr>
            <w:noProof/>
            <w:webHidden/>
          </w:rPr>
        </w:r>
        <w:r w:rsidR="0077432E">
          <w:rPr>
            <w:noProof/>
            <w:webHidden/>
          </w:rPr>
          <w:fldChar w:fldCharType="separate"/>
        </w:r>
        <w:r w:rsidR="0077432E">
          <w:rPr>
            <w:noProof/>
            <w:webHidden/>
          </w:rPr>
          <w:t>93</w:t>
        </w:r>
        <w:r w:rsidR="0077432E">
          <w:rPr>
            <w:noProof/>
            <w:webHidden/>
          </w:rPr>
          <w:fldChar w:fldCharType="end"/>
        </w:r>
      </w:hyperlink>
    </w:p>
    <w:p w:rsidR="0077432E" w:rsidRDefault="007973A4">
      <w:pPr>
        <w:pStyle w:val="TOC3"/>
        <w:rPr>
          <w:rFonts w:eastAsiaTheme="minorEastAsia" w:cstheme="minorBidi"/>
          <w:i w:val="0"/>
          <w:iCs w:val="0"/>
          <w:noProof/>
          <w:color w:val="auto"/>
          <w:sz w:val="22"/>
          <w:szCs w:val="22"/>
        </w:rPr>
      </w:pPr>
      <w:hyperlink w:anchor="_Toc488765837" w:history="1">
        <w:r w:rsidR="0077432E" w:rsidRPr="005E183F">
          <w:rPr>
            <w:rStyle w:val="Hyperlink"/>
            <w:noProof/>
          </w:rPr>
          <w:t>6.2 Cumulative Annual Phase I and II Combined kWh Savings</w:t>
        </w:r>
        <w:r w:rsidR="0077432E">
          <w:rPr>
            <w:noProof/>
            <w:webHidden/>
          </w:rPr>
          <w:tab/>
        </w:r>
        <w:r w:rsidR="0077432E">
          <w:rPr>
            <w:noProof/>
            <w:webHidden/>
          </w:rPr>
          <w:fldChar w:fldCharType="begin"/>
        </w:r>
        <w:r w:rsidR="0077432E">
          <w:rPr>
            <w:noProof/>
            <w:webHidden/>
          </w:rPr>
          <w:instrText xml:space="preserve"> PAGEREF _Toc488765837 \h </w:instrText>
        </w:r>
        <w:r w:rsidR="0077432E">
          <w:rPr>
            <w:noProof/>
            <w:webHidden/>
          </w:rPr>
        </w:r>
        <w:r w:rsidR="0077432E">
          <w:rPr>
            <w:noProof/>
            <w:webHidden/>
          </w:rPr>
          <w:fldChar w:fldCharType="separate"/>
        </w:r>
        <w:r w:rsidR="0077432E">
          <w:rPr>
            <w:noProof/>
            <w:webHidden/>
          </w:rPr>
          <w:t>104</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38" w:history="1">
        <w:r w:rsidR="0077432E" w:rsidRPr="005E183F">
          <w:rPr>
            <w:rStyle w:val="Hyperlink"/>
            <w:rFonts w:ascii="Broadway" w:hAnsi="Broadway"/>
            <w:noProof/>
          </w:rPr>
          <w:t>7</w:t>
        </w:r>
        <w:r w:rsidR="0077432E" w:rsidRPr="005E183F">
          <w:rPr>
            <w:rStyle w:val="Hyperlink"/>
            <w:noProof/>
          </w:rPr>
          <w:t xml:space="preserve"> Findings, Conclusions &amp; Recommendations</w:t>
        </w:r>
        <w:r w:rsidR="0077432E">
          <w:rPr>
            <w:noProof/>
            <w:webHidden/>
          </w:rPr>
          <w:tab/>
        </w:r>
        <w:r w:rsidR="0077432E">
          <w:rPr>
            <w:noProof/>
            <w:webHidden/>
          </w:rPr>
          <w:fldChar w:fldCharType="begin"/>
        </w:r>
        <w:r w:rsidR="0077432E">
          <w:rPr>
            <w:noProof/>
            <w:webHidden/>
          </w:rPr>
          <w:instrText xml:space="preserve"> PAGEREF _Toc488765838 \h </w:instrText>
        </w:r>
        <w:r w:rsidR="0077432E">
          <w:rPr>
            <w:noProof/>
            <w:webHidden/>
          </w:rPr>
        </w:r>
        <w:r w:rsidR="0077432E">
          <w:rPr>
            <w:noProof/>
            <w:webHidden/>
          </w:rPr>
          <w:fldChar w:fldCharType="separate"/>
        </w:r>
        <w:r w:rsidR="0077432E">
          <w:rPr>
            <w:noProof/>
            <w:webHidden/>
          </w:rPr>
          <w:t>106</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39" w:history="1">
        <w:r w:rsidR="0077432E" w:rsidRPr="005E183F">
          <w:rPr>
            <w:rStyle w:val="Hyperlink"/>
            <w:rFonts w:ascii="Broadway" w:hAnsi="Broadway"/>
            <w:noProof/>
          </w:rPr>
          <w:t>Appendix A</w:t>
        </w:r>
        <w:r w:rsidR="0077432E" w:rsidRPr="005E183F">
          <w:rPr>
            <w:rStyle w:val="Hyperlink"/>
            <w:noProof/>
          </w:rPr>
          <w:t xml:space="preserve">  Program Year 7 Audit Activities &amp; Findings</w:t>
        </w:r>
        <w:r w:rsidR="0077432E">
          <w:rPr>
            <w:noProof/>
            <w:webHidden/>
          </w:rPr>
          <w:tab/>
        </w:r>
        <w:r w:rsidR="0077432E">
          <w:rPr>
            <w:noProof/>
            <w:webHidden/>
          </w:rPr>
          <w:fldChar w:fldCharType="begin"/>
        </w:r>
        <w:r w:rsidR="0077432E">
          <w:rPr>
            <w:noProof/>
            <w:webHidden/>
          </w:rPr>
          <w:instrText xml:space="preserve"> PAGEREF _Toc488765839 \h </w:instrText>
        </w:r>
        <w:r w:rsidR="0077432E">
          <w:rPr>
            <w:noProof/>
            <w:webHidden/>
          </w:rPr>
        </w:r>
        <w:r w:rsidR="0077432E">
          <w:rPr>
            <w:noProof/>
            <w:webHidden/>
          </w:rPr>
          <w:fldChar w:fldCharType="separate"/>
        </w:r>
        <w:r w:rsidR="0077432E">
          <w:rPr>
            <w:noProof/>
            <w:webHidden/>
          </w:rPr>
          <w:t>112</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40" w:history="1">
        <w:r w:rsidR="0077432E" w:rsidRPr="005E183F">
          <w:rPr>
            <w:rStyle w:val="Hyperlink"/>
            <w:rFonts w:ascii="Broadway" w:hAnsi="Broadway"/>
            <w:noProof/>
          </w:rPr>
          <w:t>Appendix B</w:t>
        </w:r>
        <w:r w:rsidR="0077432E" w:rsidRPr="005E183F">
          <w:rPr>
            <w:rStyle w:val="Hyperlink"/>
            <w:noProof/>
          </w:rPr>
          <w:t>| PY7 Process Evaluation Findings by EDC</w:t>
        </w:r>
        <w:r w:rsidR="0077432E">
          <w:rPr>
            <w:noProof/>
            <w:webHidden/>
          </w:rPr>
          <w:tab/>
        </w:r>
        <w:r w:rsidR="0077432E">
          <w:rPr>
            <w:noProof/>
            <w:webHidden/>
          </w:rPr>
          <w:fldChar w:fldCharType="begin"/>
        </w:r>
        <w:r w:rsidR="0077432E">
          <w:rPr>
            <w:noProof/>
            <w:webHidden/>
          </w:rPr>
          <w:instrText xml:space="preserve"> PAGEREF _Toc488765840 \h </w:instrText>
        </w:r>
        <w:r w:rsidR="0077432E">
          <w:rPr>
            <w:noProof/>
            <w:webHidden/>
          </w:rPr>
        </w:r>
        <w:r w:rsidR="0077432E">
          <w:rPr>
            <w:noProof/>
            <w:webHidden/>
          </w:rPr>
          <w:fldChar w:fldCharType="separate"/>
        </w:r>
        <w:r w:rsidR="0077432E">
          <w:rPr>
            <w:noProof/>
            <w:webHidden/>
          </w:rPr>
          <w:t>315</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41" w:history="1">
        <w:r w:rsidR="0077432E" w:rsidRPr="005E183F">
          <w:rPr>
            <w:rStyle w:val="Hyperlink"/>
            <w:rFonts w:ascii="Broadway" w:hAnsi="Broadway"/>
            <w:noProof/>
          </w:rPr>
          <w:t>Appendix C</w:t>
        </w:r>
        <w:r w:rsidR="0077432E" w:rsidRPr="005E183F">
          <w:rPr>
            <w:rStyle w:val="Hyperlink"/>
            <w:noProof/>
          </w:rPr>
          <w:t>| EDC EE&amp;C Program Plan Revisions During Phase II</w:t>
        </w:r>
        <w:r w:rsidR="0077432E">
          <w:rPr>
            <w:noProof/>
            <w:webHidden/>
          </w:rPr>
          <w:tab/>
        </w:r>
        <w:r w:rsidR="0077432E">
          <w:rPr>
            <w:noProof/>
            <w:webHidden/>
          </w:rPr>
          <w:fldChar w:fldCharType="begin"/>
        </w:r>
        <w:r w:rsidR="0077432E">
          <w:rPr>
            <w:noProof/>
            <w:webHidden/>
          </w:rPr>
          <w:instrText xml:space="preserve"> PAGEREF _Toc488765841 \h </w:instrText>
        </w:r>
        <w:r w:rsidR="0077432E">
          <w:rPr>
            <w:noProof/>
            <w:webHidden/>
          </w:rPr>
        </w:r>
        <w:r w:rsidR="0077432E">
          <w:rPr>
            <w:noProof/>
            <w:webHidden/>
          </w:rPr>
          <w:fldChar w:fldCharType="separate"/>
        </w:r>
        <w:r w:rsidR="0077432E">
          <w:rPr>
            <w:noProof/>
            <w:webHidden/>
          </w:rPr>
          <w:t>371</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42" w:history="1">
        <w:r w:rsidR="0077432E" w:rsidRPr="005E183F">
          <w:rPr>
            <w:rStyle w:val="Hyperlink"/>
            <w:rFonts w:ascii="Broadway" w:hAnsi="Broadway"/>
            <w:noProof/>
          </w:rPr>
          <w:t>Appendix D</w:t>
        </w:r>
        <w:r w:rsidR="0077432E" w:rsidRPr="005E183F">
          <w:rPr>
            <w:rStyle w:val="Hyperlink"/>
            <w:noProof/>
          </w:rPr>
          <w:t>| ACEEE Scorecard Format</w:t>
        </w:r>
        <w:r w:rsidR="0077432E">
          <w:rPr>
            <w:noProof/>
            <w:webHidden/>
          </w:rPr>
          <w:tab/>
        </w:r>
        <w:r w:rsidR="0077432E">
          <w:rPr>
            <w:noProof/>
            <w:webHidden/>
          </w:rPr>
          <w:fldChar w:fldCharType="begin"/>
        </w:r>
        <w:r w:rsidR="0077432E">
          <w:rPr>
            <w:noProof/>
            <w:webHidden/>
          </w:rPr>
          <w:instrText xml:space="preserve"> PAGEREF _Toc488765842 \h </w:instrText>
        </w:r>
        <w:r w:rsidR="0077432E">
          <w:rPr>
            <w:noProof/>
            <w:webHidden/>
          </w:rPr>
        </w:r>
        <w:r w:rsidR="0077432E">
          <w:rPr>
            <w:noProof/>
            <w:webHidden/>
          </w:rPr>
          <w:fldChar w:fldCharType="separate"/>
        </w:r>
        <w:r w:rsidR="0077432E">
          <w:rPr>
            <w:noProof/>
            <w:webHidden/>
          </w:rPr>
          <w:t>373</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43" w:history="1">
        <w:r w:rsidR="0077432E" w:rsidRPr="005E183F">
          <w:rPr>
            <w:rStyle w:val="Hyperlink"/>
            <w:rFonts w:ascii="Broadway" w:hAnsi="Broadway"/>
            <w:noProof/>
          </w:rPr>
          <w:t>Appendix E</w:t>
        </w:r>
        <w:r w:rsidR="0077432E" w:rsidRPr="005E183F">
          <w:rPr>
            <w:rStyle w:val="Hyperlink"/>
            <w:noProof/>
          </w:rPr>
          <w:t>| Compendium of SWE Phase II Reports and Memos</w:t>
        </w:r>
        <w:r w:rsidR="0077432E">
          <w:rPr>
            <w:noProof/>
            <w:webHidden/>
          </w:rPr>
          <w:tab/>
        </w:r>
        <w:r w:rsidR="0077432E">
          <w:rPr>
            <w:noProof/>
            <w:webHidden/>
          </w:rPr>
          <w:fldChar w:fldCharType="begin"/>
        </w:r>
        <w:r w:rsidR="0077432E">
          <w:rPr>
            <w:noProof/>
            <w:webHidden/>
          </w:rPr>
          <w:instrText xml:space="preserve"> PAGEREF _Toc488765843 \h </w:instrText>
        </w:r>
        <w:r w:rsidR="0077432E">
          <w:rPr>
            <w:noProof/>
            <w:webHidden/>
          </w:rPr>
        </w:r>
        <w:r w:rsidR="0077432E">
          <w:rPr>
            <w:noProof/>
            <w:webHidden/>
          </w:rPr>
          <w:fldChar w:fldCharType="separate"/>
        </w:r>
        <w:r w:rsidR="0077432E">
          <w:rPr>
            <w:noProof/>
            <w:webHidden/>
          </w:rPr>
          <w:t>374</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44" w:history="1">
        <w:r w:rsidR="0077432E" w:rsidRPr="005E183F">
          <w:rPr>
            <w:rStyle w:val="Hyperlink"/>
            <w:rFonts w:ascii="Broadway" w:hAnsi="Broadway"/>
            <w:noProof/>
          </w:rPr>
          <w:t>Appendix F</w:t>
        </w:r>
        <w:r w:rsidR="0077432E" w:rsidRPr="005E183F">
          <w:rPr>
            <w:rStyle w:val="Hyperlink"/>
            <w:noProof/>
          </w:rPr>
          <w:t>| Glossary of Terms</w:t>
        </w:r>
        <w:r w:rsidR="0077432E">
          <w:rPr>
            <w:noProof/>
            <w:webHidden/>
          </w:rPr>
          <w:tab/>
        </w:r>
        <w:r w:rsidR="0077432E">
          <w:rPr>
            <w:noProof/>
            <w:webHidden/>
          </w:rPr>
          <w:fldChar w:fldCharType="begin"/>
        </w:r>
        <w:r w:rsidR="0077432E">
          <w:rPr>
            <w:noProof/>
            <w:webHidden/>
          </w:rPr>
          <w:instrText xml:space="preserve"> PAGEREF _Toc488765844 \h </w:instrText>
        </w:r>
        <w:r w:rsidR="0077432E">
          <w:rPr>
            <w:noProof/>
            <w:webHidden/>
          </w:rPr>
        </w:r>
        <w:r w:rsidR="0077432E">
          <w:rPr>
            <w:noProof/>
            <w:webHidden/>
          </w:rPr>
          <w:fldChar w:fldCharType="separate"/>
        </w:r>
        <w:r w:rsidR="0077432E">
          <w:rPr>
            <w:noProof/>
            <w:webHidden/>
          </w:rPr>
          <w:t>378</w:t>
        </w:r>
        <w:r w:rsidR="0077432E">
          <w:rPr>
            <w:noProof/>
            <w:webHidden/>
          </w:rPr>
          <w:fldChar w:fldCharType="end"/>
        </w:r>
      </w:hyperlink>
    </w:p>
    <w:p w:rsidR="0077432E" w:rsidRDefault="007973A4">
      <w:pPr>
        <w:pStyle w:val="TOC1"/>
        <w:rPr>
          <w:rFonts w:asciiTheme="minorHAnsi" w:eastAsiaTheme="minorEastAsia" w:hAnsiTheme="minorHAnsi" w:cstheme="minorBidi"/>
          <w:b w:val="0"/>
          <w:bCs w:val="0"/>
          <w:caps w:val="0"/>
          <w:noProof/>
          <w:color w:val="auto"/>
          <w:sz w:val="22"/>
          <w:szCs w:val="22"/>
        </w:rPr>
      </w:pPr>
      <w:hyperlink w:anchor="_Toc488765845" w:history="1">
        <w:r w:rsidR="0077432E" w:rsidRPr="005E183F">
          <w:rPr>
            <w:rStyle w:val="Hyperlink"/>
            <w:rFonts w:ascii="Broadway" w:hAnsi="Broadway"/>
            <w:noProof/>
          </w:rPr>
          <w:t>Appendix G</w:t>
        </w:r>
        <w:r w:rsidR="0077432E" w:rsidRPr="005E183F">
          <w:rPr>
            <w:rStyle w:val="Hyperlink"/>
            <w:noProof/>
          </w:rPr>
          <w:t>| Process and Impact Evaluation Recommendations and Actions – Updates from EDCs</w:t>
        </w:r>
        <w:r w:rsidR="0077432E">
          <w:rPr>
            <w:noProof/>
            <w:webHidden/>
          </w:rPr>
          <w:tab/>
        </w:r>
        <w:r w:rsidR="0077432E">
          <w:rPr>
            <w:noProof/>
            <w:webHidden/>
          </w:rPr>
          <w:fldChar w:fldCharType="begin"/>
        </w:r>
        <w:r w:rsidR="0077432E">
          <w:rPr>
            <w:noProof/>
            <w:webHidden/>
          </w:rPr>
          <w:instrText xml:space="preserve"> PAGEREF _Toc488765845 \h </w:instrText>
        </w:r>
        <w:r w:rsidR="0077432E">
          <w:rPr>
            <w:noProof/>
            <w:webHidden/>
          </w:rPr>
        </w:r>
        <w:r w:rsidR="0077432E">
          <w:rPr>
            <w:noProof/>
            <w:webHidden/>
          </w:rPr>
          <w:fldChar w:fldCharType="separate"/>
        </w:r>
        <w:r w:rsidR="0077432E">
          <w:rPr>
            <w:noProof/>
            <w:webHidden/>
          </w:rPr>
          <w:t>389</w:t>
        </w:r>
        <w:r w:rsidR="0077432E">
          <w:rPr>
            <w:noProof/>
            <w:webHidden/>
          </w:rPr>
          <w:fldChar w:fldCharType="end"/>
        </w:r>
      </w:hyperlink>
    </w:p>
    <w:p w:rsidR="001338F4" w:rsidRDefault="00B81A2F" w:rsidP="001F21DA">
      <w:r>
        <w:rPr>
          <w:rFonts w:ascii="Century Gothic" w:hAnsi="Century Gothic"/>
          <w:b/>
          <w:bCs/>
          <w:caps/>
          <w:smallCaps/>
          <w:color w:val="404040" w:themeColor="text1" w:themeTint="BF"/>
          <w:sz w:val="24"/>
          <w:szCs w:val="20"/>
        </w:rPr>
        <w:fldChar w:fldCharType="end"/>
      </w:r>
    </w:p>
    <w:p w:rsidR="001338F4" w:rsidRPr="001338F4" w:rsidRDefault="001338F4" w:rsidP="001338F4"/>
    <w:p w:rsidR="001338F4" w:rsidRDefault="001338F4" w:rsidP="001338F4"/>
    <w:p w:rsidR="001338F4" w:rsidRDefault="001338F4" w:rsidP="001338F4">
      <w:pPr>
        <w:tabs>
          <w:tab w:val="left" w:pos="2640"/>
        </w:tabs>
      </w:pPr>
      <w:r>
        <w:tab/>
      </w:r>
    </w:p>
    <w:p w:rsidR="001338F4" w:rsidRDefault="001338F4" w:rsidP="001338F4"/>
    <w:p w:rsidR="008D06FE" w:rsidRPr="001338F4" w:rsidRDefault="008D06FE" w:rsidP="001338F4">
      <w:pPr>
        <w:sectPr w:rsidR="008D06FE" w:rsidRPr="001338F4" w:rsidSect="00964869">
          <w:headerReference w:type="default" r:id="rId28"/>
          <w:footerReference w:type="default" r:id="rId29"/>
          <w:pgSz w:w="12240" w:h="15840"/>
          <w:pgMar w:top="1440" w:right="1440" w:bottom="810" w:left="1440" w:header="720" w:footer="403" w:gutter="0"/>
          <w:pgNumType w:fmt="lowerRoman" w:start="1"/>
          <w:cols w:space="720"/>
          <w:docGrid w:linePitch="360"/>
        </w:sectPr>
      </w:pPr>
    </w:p>
    <w:p w:rsidR="0091036A" w:rsidRPr="00B81A2F" w:rsidRDefault="0091036A" w:rsidP="00664065">
      <w:pPr>
        <w:shd w:val="clear" w:color="auto" w:fill="448A99"/>
        <w:spacing w:after="120"/>
        <w:jc w:val="right"/>
        <w:rPr>
          <w:rFonts w:ascii="Century Gothic" w:hAnsi="Century Gothic"/>
          <w:caps/>
          <w:color w:val="FFFFFF" w:themeColor="background1"/>
          <w:spacing w:val="-12"/>
          <w:sz w:val="28"/>
        </w:rPr>
      </w:pPr>
      <w:r w:rsidRPr="00B81A2F">
        <w:rPr>
          <w:rFonts w:ascii="Century Gothic" w:hAnsi="Century Gothic"/>
          <w:caps/>
          <w:color w:val="FFFFFF" w:themeColor="background1"/>
          <w:spacing w:val="-12"/>
          <w:sz w:val="28"/>
        </w:rPr>
        <w:lastRenderedPageBreak/>
        <w:t>List of Tables</w:t>
      </w:r>
    </w:p>
    <w:p w:rsidR="002E1CE9" w:rsidRDefault="00C37358">
      <w:pPr>
        <w:pStyle w:val="TableofFigures"/>
        <w:tabs>
          <w:tab w:val="right" w:leader="dot" w:pos="9350"/>
        </w:tabs>
        <w:rPr>
          <w:rFonts w:asciiTheme="minorHAnsi" w:eastAsiaTheme="minorEastAsia" w:hAnsiTheme="minorHAnsi" w:cstheme="minorBidi"/>
          <w:noProof/>
          <w:color w:val="auto"/>
          <w:sz w:val="22"/>
        </w:rPr>
      </w:pPr>
      <w:r>
        <w:rPr>
          <w:sz w:val="20"/>
        </w:rPr>
        <w:fldChar w:fldCharType="begin"/>
      </w:r>
      <w:r w:rsidR="003272DD">
        <w:rPr>
          <w:sz w:val="20"/>
        </w:rPr>
        <w:instrText xml:space="preserve"> TOC \h \z \c "Table" </w:instrText>
      </w:r>
      <w:r>
        <w:rPr>
          <w:sz w:val="20"/>
        </w:rPr>
        <w:fldChar w:fldCharType="separate"/>
      </w:r>
      <w:hyperlink w:anchor="_Toc488741729" w:history="1">
        <w:r w:rsidR="002E1CE9" w:rsidRPr="00FB35F6">
          <w:rPr>
            <w:rStyle w:val="Hyperlink"/>
            <w:noProof/>
          </w:rPr>
          <w:t>Table 1</w:t>
        </w:r>
        <w:r w:rsidR="002E1CE9" w:rsidRPr="00FB35F6">
          <w:rPr>
            <w:rStyle w:val="Hyperlink"/>
            <w:noProof/>
          </w:rPr>
          <w:noBreakHyphen/>
          <w:t>1: Act 129 Phase II Three-Year Energy Efficiency Reduction Compliance Targets</w:t>
        </w:r>
        <w:r w:rsidR="002E1CE9">
          <w:rPr>
            <w:noProof/>
            <w:webHidden/>
          </w:rPr>
          <w:tab/>
        </w:r>
        <w:r w:rsidR="002E1CE9">
          <w:rPr>
            <w:noProof/>
            <w:webHidden/>
          </w:rPr>
          <w:fldChar w:fldCharType="begin"/>
        </w:r>
        <w:r w:rsidR="002E1CE9">
          <w:rPr>
            <w:noProof/>
            <w:webHidden/>
          </w:rPr>
          <w:instrText xml:space="preserve"> PAGEREF _Toc488741729 \h </w:instrText>
        </w:r>
        <w:r w:rsidR="002E1CE9">
          <w:rPr>
            <w:noProof/>
            <w:webHidden/>
          </w:rPr>
        </w:r>
        <w:r w:rsidR="002E1CE9">
          <w:rPr>
            <w:noProof/>
            <w:webHidden/>
          </w:rPr>
          <w:fldChar w:fldCharType="separate"/>
        </w:r>
        <w:r w:rsidR="0077432E">
          <w:rPr>
            <w:noProof/>
            <w:webHidden/>
          </w:rPr>
          <w:t>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0" w:history="1">
        <w:r w:rsidR="002E1CE9" w:rsidRPr="00FB35F6">
          <w:rPr>
            <w:rStyle w:val="Hyperlink"/>
            <w:noProof/>
          </w:rPr>
          <w:t>Table 1</w:t>
        </w:r>
        <w:r w:rsidR="002E1CE9" w:rsidRPr="00FB35F6">
          <w:rPr>
            <w:rStyle w:val="Hyperlink"/>
            <w:noProof/>
          </w:rPr>
          <w:noBreakHyphen/>
          <w:t>2: Phase II EDC Compliance Checklist</w:t>
        </w:r>
        <w:r w:rsidR="002E1CE9">
          <w:rPr>
            <w:noProof/>
            <w:webHidden/>
          </w:rPr>
          <w:tab/>
        </w:r>
        <w:r w:rsidR="002E1CE9">
          <w:rPr>
            <w:noProof/>
            <w:webHidden/>
          </w:rPr>
          <w:fldChar w:fldCharType="begin"/>
        </w:r>
        <w:r w:rsidR="002E1CE9">
          <w:rPr>
            <w:noProof/>
            <w:webHidden/>
          </w:rPr>
          <w:instrText xml:space="preserve"> PAGEREF _Toc488741730 \h </w:instrText>
        </w:r>
        <w:r w:rsidR="002E1CE9">
          <w:rPr>
            <w:noProof/>
            <w:webHidden/>
          </w:rPr>
        </w:r>
        <w:r w:rsidR="002E1CE9">
          <w:rPr>
            <w:noProof/>
            <w:webHidden/>
          </w:rPr>
          <w:fldChar w:fldCharType="separate"/>
        </w:r>
        <w:r w:rsidR="0077432E">
          <w:rPr>
            <w:noProof/>
            <w:webHidden/>
          </w:rPr>
          <w:t>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1" w:history="1">
        <w:r w:rsidR="002E1CE9" w:rsidRPr="00FB35F6">
          <w:rPr>
            <w:rStyle w:val="Hyperlink"/>
            <w:noProof/>
          </w:rPr>
          <w:t>Table 1</w:t>
        </w:r>
        <w:r w:rsidR="002E1CE9" w:rsidRPr="00FB35F6">
          <w:rPr>
            <w:rStyle w:val="Hyperlink"/>
            <w:noProof/>
          </w:rPr>
          <w:noBreakHyphen/>
          <w:t>3: Summary of Progress Toward Achieving Phase II Energy Savings Compliance as of the End of PY7</w:t>
        </w:r>
        <w:r w:rsidR="002E1CE9">
          <w:rPr>
            <w:noProof/>
            <w:webHidden/>
          </w:rPr>
          <w:tab/>
        </w:r>
        <w:r w:rsidR="002E1CE9">
          <w:rPr>
            <w:noProof/>
            <w:webHidden/>
          </w:rPr>
          <w:fldChar w:fldCharType="begin"/>
        </w:r>
        <w:r w:rsidR="002E1CE9">
          <w:rPr>
            <w:noProof/>
            <w:webHidden/>
          </w:rPr>
          <w:instrText xml:space="preserve"> PAGEREF _Toc488741731 \h </w:instrText>
        </w:r>
        <w:r w:rsidR="002E1CE9">
          <w:rPr>
            <w:noProof/>
            <w:webHidden/>
          </w:rPr>
        </w:r>
        <w:r w:rsidR="002E1CE9">
          <w:rPr>
            <w:noProof/>
            <w:webHidden/>
          </w:rPr>
          <w:fldChar w:fldCharType="separate"/>
        </w:r>
        <w:r w:rsidR="0077432E">
          <w:rPr>
            <w:noProof/>
            <w:webHidden/>
          </w:rPr>
          <w:t>10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2" w:history="1">
        <w:r w:rsidR="002E1CE9" w:rsidRPr="00FB35F6">
          <w:rPr>
            <w:rStyle w:val="Hyperlink"/>
            <w:noProof/>
          </w:rPr>
          <w:t>Table 2</w:t>
        </w:r>
        <w:r w:rsidR="002E1CE9" w:rsidRPr="00FB35F6">
          <w:rPr>
            <w:rStyle w:val="Hyperlink"/>
            <w:noProof/>
          </w:rPr>
          <w:noBreakHyphen/>
          <w:t>1: Act 129 Phase II Three-Year Energy Efficiency Reduction Compliance Targets</w:t>
        </w:r>
        <w:r w:rsidR="002E1CE9">
          <w:rPr>
            <w:noProof/>
            <w:webHidden/>
          </w:rPr>
          <w:tab/>
        </w:r>
        <w:r w:rsidR="002E1CE9">
          <w:rPr>
            <w:noProof/>
            <w:webHidden/>
          </w:rPr>
          <w:fldChar w:fldCharType="begin"/>
        </w:r>
        <w:r w:rsidR="002E1CE9">
          <w:rPr>
            <w:noProof/>
            <w:webHidden/>
          </w:rPr>
          <w:instrText xml:space="preserve"> PAGEREF _Toc488741732 \h </w:instrText>
        </w:r>
        <w:r w:rsidR="002E1CE9">
          <w:rPr>
            <w:noProof/>
            <w:webHidden/>
          </w:rPr>
        </w:r>
        <w:r w:rsidR="002E1CE9">
          <w:rPr>
            <w:noProof/>
            <w:webHidden/>
          </w:rPr>
          <w:fldChar w:fldCharType="separate"/>
        </w:r>
        <w:r w:rsidR="0077432E">
          <w:rPr>
            <w:noProof/>
            <w:webHidden/>
          </w:rPr>
          <w:t>12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3" w:history="1">
        <w:r w:rsidR="002E1CE9" w:rsidRPr="00FB35F6">
          <w:rPr>
            <w:rStyle w:val="Hyperlink"/>
            <w:noProof/>
          </w:rPr>
          <w:t>Table 2</w:t>
        </w:r>
        <w:r w:rsidR="002E1CE9" w:rsidRPr="00FB35F6">
          <w:rPr>
            <w:rStyle w:val="Hyperlink"/>
            <w:noProof/>
          </w:rPr>
          <w:noBreakHyphen/>
          <w:t>2: Act 129 Phase II Three-Year Low-Income and GNI Energy Efficiency Reduction Targets</w:t>
        </w:r>
        <w:r w:rsidR="002E1CE9">
          <w:rPr>
            <w:noProof/>
            <w:webHidden/>
          </w:rPr>
          <w:tab/>
        </w:r>
        <w:r w:rsidR="002E1CE9">
          <w:rPr>
            <w:noProof/>
            <w:webHidden/>
          </w:rPr>
          <w:fldChar w:fldCharType="begin"/>
        </w:r>
        <w:r w:rsidR="002E1CE9">
          <w:rPr>
            <w:noProof/>
            <w:webHidden/>
          </w:rPr>
          <w:instrText xml:space="preserve"> PAGEREF _Toc488741733 \h </w:instrText>
        </w:r>
        <w:r w:rsidR="002E1CE9">
          <w:rPr>
            <w:noProof/>
            <w:webHidden/>
          </w:rPr>
        </w:r>
        <w:r w:rsidR="002E1CE9">
          <w:rPr>
            <w:noProof/>
            <w:webHidden/>
          </w:rPr>
          <w:fldChar w:fldCharType="separate"/>
        </w:r>
        <w:r w:rsidR="0077432E">
          <w:rPr>
            <w:noProof/>
            <w:webHidden/>
          </w:rPr>
          <w:t>12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4" w:history="1">
        <w:r w:rsidR="002E1CE9" w:rsidRPr="00FB35F6">
          <w:rPr>
            <w:rStyle w:val="Hyperlink"/>
            <w:noProof/>
          </w:rPr>
          <w:t>Table 2</w:t>
        </w:r>
        <w:r w:rsidR="002E1CE9" w:rsidRPr="00FB35F6">
          <w:rPr>
            <w:rStyle w:val="Hyperlink"/>
            <w:noProof/>
          </w:rPr>
          <w:noBreakHyphen/>
          <w:t>3: Phase II Compliance Summary by EDC</w:t>
        </w:r>
        <w:r w:rsidR="002E1CE9">
          <w:rPr>
            <w:noProof/>
            <w:webHidden/>
          </w:rPr>
          <w:tab/>
        </w:r>
        <w:r w:rsidR="002E1CE9">
          <w:rPr>
            <w:noProof/>
            <w:webHidden/>
          </w:rPr>
          <w:fldChar w:fldCharType="begin"/>
        </w:r>
        <w:r w:rsidR="002E1CE9">
          <w:rPr>
            <w:noProof/>
            <w:webHidden/>
          </w:rPr>
          <w:instrText xml:space="preserve"> PAGEREF _Toc488741734 \h </w:instrText>
        </w:r>
        <w:r w:rsidR="002E1CE9">
          <w:rPr>
            <w:noProof/>
            <w:webHidden/>
          </w:rPr>
        </w:r>
        <w:r w:rsidR="002E1CE9">
          <w:rPr>
            <w:noProof/>
            <w:webHidden/>
          </w:rPr>
          <w:fldChar w:fldCharType="separate"/>
        </w:r>
        <w:r w:rsidR="0077432E">
          <w:rPr>
            <w:noProof/>
            <w:webHidden/>
          </w:rPr>
          <w:t>13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5" w:history="1">
        <w:r w:rsidR="002E1CE9" w:rsidRPr="00FB35F6">
          <w:rPr>
            <w:rStyle w:val="Hyperlink"/>
            <w:noProof/>
          </w:rPr>
          <w:t>Table 2</w:t>
        </w:r>
        <w:r w:rsidR="002E1CE9" w:rsidRPr="00FB35F6">
          <w:rPr>
            <w:rStyle w:val="Hyperlink"/>
            <w:noProof/>
          </w:rPr>
          <w:noBreakHyphen/>
          <w:t>4: Low-Income Carve-out Goal Performance, Summary by EDC</w:t>
        </w:r>
        <w:r w:rsidR="002E1CE9">
          <w:rPr>
            <w:noProof/>
            <w:webHidden/>
          </w:rPr>
          <w:tab/>
        </w:r>
        <w:r w:rsidR="002E1CE9">
          <w:rPr>
            <w:noProof/>
            <w:webHidden/>
          </w:rPr>
          <w:fldChar w:fldCharType="begin"/>
        </w:r>
        <w:r w:rsidR="002E1CE9">
          <w:rPr>
            <w:noProof/>
            <w:webHidden/>
          </w:rPr>
          <w:instrText xml:space="preserve"> PAGEREF _Toc488741735 \h </w:instrText>
        </w:r>
        <w:r w:rsidR="002E1CE9">
          <w:rPr>
            <w:noProof/>
            <w:webHidden/>
          </w:rPr>
        </w:r>
        <w:r w:rsidR="002E1CE9">
          <w:rPr>
            <w:noProof/>
            <w:webHidden/>
          </w:rPr>
          <w:fldChar w:fldCharType="separate"/>
        </w:r>
        <w:r w:rsidR="0077432E">
          <w:rPr>
            <w:noProof/>
            <w:webHidden/>
          </w:rPr>
          <w:t>14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6" w:history="1">
        <w:r w:rsidR="002E1CE9" w:rsidRPr="00FB35F6">
          <w:rPr>
            <w:rStyle w:val="Hyperlink"/>
            <w:noProof/>
          </w:rPr>
          <w:t>Table 2</w:t>
        </w:r>
        <w:r w:rsidR="002E1CE9" w:rsidRPr="00FB35F6">
          <w:rPr>
            <w:rStyle w:val="Hyperlink"/>
            <w:noProof/>
          </w:rPr>
          <w:noBreakHyphen/>
          <w:t>5: GNI Carve-out Goal Performance, Summary by EDC</w:t>
        </w:r>
        <w:r w:rsidR="002E1CE9">
          <w:rPr>
            <w:noProof/>
            <w:webHidden/>
          </w:rPr>
          <w:tab/>
        </w:r>
        <w:r w:rsidR="002E1CE9">
          <w:rPr>
            <w:noProof/>
            <w:webHidden/>
          </w:rPr>
          <w:fldChar w:fldCharType="begin"/>
        </w:r>
        <w:r w:rsidR="002E1CE9">
          <w:rPr>
            <w:noProof/>
            <w:webHidden/>
          </w:rPr>
          <w:instrText xml:space="preserve"> PAGEREF _Toc488741736 \h </w:instrText>
        </w:r>
        <w:r w:rsidR="002E1CE9">
          <w:rPr>
            <w:noProof/>
            <w:webHidden/>
          </w:rPr>
        </w:r>
        <w:r w:rsidR="002E1CE9">
          <w:rPr>
            <w:noProof/>
            <w:webHidden/>
          </w:rPr>
          <w:fldChar w:fldCharType="separate"/>
        </w:r>
        <w:r w:rsidR="0077432E">
          <w:rPr>
            <w:noProof/>
            <w:webHidden/>
          </w:rPr>
          <w:t>14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7" w:history="1">
        <w:r w:rsidR="002E1CE9" w:rsidRPr="00FB35F6">
          <w:rPr>
            <w:rStyle w:val="Hyperlink"/>
            <w:noProof/>
          </w:rPr>
          <w:t>Table 2</w:t>
        </w:r>
        <w:r w:rsidR="002E1CE9" w:rsidRPr="00FB35F6">
          <w:rPr>
            <w:rStyle w:val="Hyperlink"/>
            <w:noProof/>
          </w:rPr>
          <w:noBreakHyphen/>
          <w:t>6: EDC Achievement of Act 129 Low</w:t>
        </w:r>
        <w:r w:rsidR="002E1CE9" w:rsidRPr="00FB35F6">
          <w:rPr>
            <w:rStyle w:val="Hyperlink"/>
            <w:rFonts w:ascii="Cambria Math" w:hAnsi="Cambria Math" w:cs="Cambria Math"/>
            <w:noProof/>
          </w:rPr>
          <w:t>‐</w:t>
        </w:r>
        <w:r w:rsidR="002E1CE9" w:rsidRPr="00FB35F6">
          <w:rPr>
            <w:rStyle w:val="Hyperlink"/>
            <w:noProof/>
          </w:rPr>
          <w:t>Income Requirements in PY7</w:t>
        </w:r>
        <w:r w:rsidR="002E1CE9">
          <w:rPr>
            <w:noProof/>
            <w:webHidden/>
          </w:rPr>
          <w:tab/>
        </w:r>
        <w:r w:rsidR="002E1CE9">
          <w:rPr>
            <w:noProof/>
            <w:webHidden/>
          </w:rPr>
          <w:fldChar w:fldCharType="begin"/>
        </w:r>
        <w:r w:rsidR="002E1CE9">
          <w:rPr>
            <w:noProof/>
            <w:webHidden/>
          </w:rPr>
          <w:instrText xml:space="preserve"> PAGEREF _Toc488741737 \h </w:instrText>
        </w:r>
        <w:r w:rsidR="002E1CE9">
          <w:rPr>
            <w:noProof/>
            <w:webHidden/>
          </w:rPr>
        </w:r>
        <w:r w:rsidR="002E1CE9">
          <w:rPr>
            <w:noProof/>
            <w:webHidden/>
          </w:rPr>
          <w:fldChar w:fldCharType="separate"/>
        </w:r>
        <w:r w:rsidR="0077432E">
          <w:rPr>
            <w:noProof/>
            <w:webHidden/>
          </w:rPr>
          <w:t>14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8" w:history="1">
        <w:r w:rsidR="002E1CE9" w:rsidRPr="00FB35F6">
          <w:rPr>
            <w:rStyle w:val="Hyperlink"/>
            <w:noProof/>
          </w:rPr>
          <w:t>Table 2</w:t>
        </w:r>
        <w:r w:rsidR="002E1CE9" w:rsidRPr="00FB35F6">
          <w:rPr>
            <w:rStyle w:val="Hyperlink"/>
            <w:noProof/>
          </w:rPr>
          <w:noBreakHyphen/>
          <w:t>7: Summary of PY7 Reported and Verified Energy Savings by EDC</w:t>
        </w:r>
        <w:r w:rsidR="002E1CE9">
          <w:rPr>
            <w:noProof/>
            <w:webHidden/>
          </w:rPr>
          <w:tab/>
        </w:r>
        <w:r w:rsidR="002E1CE9">
          <w:rPr>
            <w:noProof/>
            <w:webHidden/>
          </w:rPr>
          <w:fldChar w:fldCharType="begin"/>
        </w:r>
        <w:r w:rsidR="002E1CE9">
          <w:rPr>
            <w:noProof/>
            <w:webHidden/>
          </w:rPr>
          <w:instrText xml:space="preserve"> PAGEREF _Toc488741738 \h </w:instrText>
        </w:r>
        <w:r w:rsidR="002E1CE9">
          <w:rPr>
            <w:noProof/>
            <w:webHidden/>
          </w:rPr>
        </w:r>
        <w:r w:rsidR="002E1CE9">
          <w:rPr>
            <w:noProof/>
            <w:webHidden/>
          </w:rPr>
          <w:fldChar w:fldCharType="separate"/>
        </w:r>
        <w:r w:rsidR="0077432E">
          <w:rPr>
            <w:noProof/>
            <w:webHidden/>
          </w:rPr>
          <w:t>15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39" w:history="1">
        <w:r w:rsidR="002E1CE9" w:rsidRPr="00FB35F6">
          <w:rPr>
            <w:rStyle w:val="Hyperlink"/>
            <w:noProof/>
          </w:rPr>
          <w:t>Table 2</w:t>
        </w:r>
        <w:r w:rsidR="002E1CE9" w:rsidRPr="00FB35F6">
          <w:rPr>
            <w:rStyle w:val="Hyperlink"/>
            <w:noProof/>
          </w:rPr>
          <w:noBreakHyphen/>
          <w:t>8: PY7 Verified Energy Savings by EDC and Sector</w:t>
        </w:r>
        <w:r w:rsidR="002E1CE9">
          <w:rPr>
            <w:noProof/>
            <w:webHidden/>
          </w:rPr>
          <w:tab/>
        </w:r>
        <w:r w:rsidR="002E1CE9">
          <w:rPr>
            <w:noProof/>
            <w:webHidden/>
          </w:rPr>
          <w:fldChar w:fldCharType="begin"/>
        </w:r>
        <w:r w:rsidR="002E1CE9">
          <w:rPr>
            <w:noProof/>
            <w:webHidden/>
          </w:rPr>
          <w:instrText xml:space="preserve"> PAGEREF _Toc488741739 \h </w:instrText>
        </w:r>
        <w:r w:rsidR="002E1CE9">
          <w:rPr>
            <w:noProof/>
            <w:webHidden/>
          </w:rPr>
        </w:r>
        <w:r w:rsidR="002E1CE9">
          <w:rPr>
            <w:noProof/>
            <w:webHidden/>
          </w:rPr>
          <w:fldChar w:fldCharType="separate"/>
        </w:r>
        <w:r w:rsidR="0077432E">
          <w:rPr>
            <w:noProof/>
            <w:webHidden/>
          </w:rPr>
          <w:t>15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0" w:history="1">
        <w:r w:rsidR="002E1CE9" w:rsidRPr="00FB35F6">
          <w:rPr>
            <w:rStyle w:val="Hyperlink"/>
            <w:noProof/>
          </w:rPr>
          <w:t>Table 2</w:t>
        </w:r>
        <w:r w:rsidR="002E1CE9" w:rsidRPr="00FB35F6">
          <w:rPr>
            <w:rStyle w:val="Hyperlink"/>
            <w:noProof/>
          </w:rPr>
          <w:noBreakHyphen/>
          <w:t>9:  Summary of Statewide Portfolio Finances for PY7</w:t>
        </w:r>
        <w:r w:rsidR="002E1CE9">
          <w:rPr>
            <w:noProof/>
            <w:webHidden/>
          </w:rPr>
          <w:tab/>
        </w:r>
        <w:r w:rsidR="002E1CE9">
          <w:rPr>
            <w:noProof/>
            <w:webHidden/>
          </w:rPr>
          <w:fldChar w:fldCharType="begin"/>
        </w:r>
        <w:r w:rsidR="002E1CE9">
          <w:rPr>
            <w:noProof/>
            <w:webHidden/>
          </w:rPr>
          <w:instrText xml:space="preserve"> PAGEREF _Toc488741740 \h </w:instrText>
        </w:r>
        <w:r w:rsidR="002E1CE9">
          <w:rPr>
            <w:noProof/>
            <w:webHidden/>
          </w:rPr>
        </w:r>
        <w:r w:rsidR="002E1CE9">
          <w:rPr>
            <w:noProof/>
            <w:webHidden/>
          </w:rPr>
          <w:fldChar w:fldCharType="separate"/>
        </w:r>
        <w:r w:rsidR="0077432E">
          <w:rPr>
            <w:noProof/>
            <w:webHidden/>
          </w:rPr>
          <w:t>16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1" w:history="1">
        <w:r w:rsidR="002E1CE9" w:rsidRPr="00FB35F6">
          <w:rPr>
            <w:rStyle w:val="Hyperlink"/>
            <w:noProof/>
          </w:rPr>
          <w:t>Table 2</w:t>
        </w:r>
        <w:r w:rsidR="002E1CE9" w:rsidRPr="00FB35F6">
          <w:rPr>
            <w:rStyle w:val="Hyperlink"/>
            <w:noProof/>
          </w:rPr>
          <w:noBreakHyphen/>
          <w:t>10: Comparison of EDC PY7 Actual and Planned Expenditures in Each EDC’s EE&amp;C Plan</w:t>
        </w:r>
        <w:r w:rsidR="002E1CE9">
          <w:rPr>
            <w:noProof/>
            <w:webHidden/>
          </w:rPr>
          <w:tab/>
        </w:r>
        <w:r w:rsidR="002E1CE9">
          <w:rPr>
            <w:noProof/>
            <w:webHidden/>
          </w:rPr>
          <w:fldChar w:fldCharType="begin"/>
        </w:r>
        <w:r w:rsidR="002E1CE9">
          <w:rPr>
            <w:noProof/>
            <w:webHidden/>
          </w:rPr>
          <w:instrText xml:space="preserve"> PAGEREF _Toc488741741 \h </w:instrText>
        </w:r>
        <w:r w:rsidR="002E1CE9">
          <w:rPr>
            <w:noProof/>
            <w:webHidden/>
          </w:rPr>
        </w:r>
        <w:r w:rsidR="002E1CE9">
          <w:rPr>
            <w:noProof/>
            <w:webHidden/>
          </w:rPr>
          <w:fldChar w:fldCharType="separate"/>
        </w:r>
        <w:r w:rsidR="0077432E">
          <w:rPr>
            <w:noProof/>
            <w:webHidden/>
          </w:rPr>
          <w:t>17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2" w:history="1">
        <w:r w:rsidR="002E1CE9" w:rsidRPr="00FB35F6">
          <w:rPr>
            <w:rStyle w:val="Hyperlink"/>
            <w:noProof/>
          </w:rPr>
          <w:t>Table 2</w:t>
        </w:r>
        <w:r w:rsidR="002E1CE9" w:rsidRPr="00FB35F6">
          <w:rPr>
            <w:rStyle w:val="Hyperlink"/>
            <w:noProof/>
          </w:rPr>
          <w:noBreakHyphen/>
          <w:t>11:  Planned Acquisition Costs versus Actual Acquisition Costs in PY7</w:t>
        </w:r>
        <w:r w:rsidR="002E1CE9">
          <w:rPr>
            <w:noProof/>
            <w:webHidden/>
          </w:rPr>
          <w:tab/>
        </w:r>
        <w:r w:rsidR="002E1CE9">
          <w:rPr>
            <w:noProof/>
            <w:webHidden/>
          </w:rPr>
          <w:fldChar w:fldCharType="begin"/>
        </w:r>
        <w:r w:rsidR="002E1CE9">
          <w:rPr>
            <w:noProof/>
            <w:webHidden/>
          </w:rPr>
          <w:instrText xml:space="preserve"> PAGEREF _Toc488741742 \h </w:instrText>
        </w:r>
        <w:r w:rsidR="002E1CE9">
          <w:rPr>
            <w:noProof/>
            <w:webHidden/>
          </w:rPr>
        </w:r>
        <w:r w:rsidR="002E1CE9">
          <w:rPr>
            <w:noProof/>
            <w:webHidden/>
          </w:rPr>
          <w:fldChar w:fldCharType="separate"/>
        </w:r>
        <w:r w:rsidR="0077432E">
          <w:rPr>
            <w:noProof/>
            <w:webHidden/>
          </w:rPr>
          <w:t>18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3" w:history="1">
        <w:r w:rsidR="002E1CE9" w:rsidRPr="00FB35F6">
          <w:rPr>
            <w:rStyle w:val="Hyperlink"/>
            <w:noProof/>
          </w:rPr>
          <w:t>Table 2</w:t>
        </w:r>
        <w:r w:rsidR="002E1CE9" w:rsidRPr="00FB35F6">
          <w:rPr>
            <w:rStyle w:val="Hyperlink"/>
            <w:noProof/>
          </w:rPr>
          <w:noBreakHyphen/>
          <w:t>12: Low-Income Offerings by Measure</w:t>
        </w:r>
        <w:r w:rsidR="002E1CE9">
          <w:rPr>
            <w:noProof/>
            <w:webHidden/>
          </w:rPr>
          <w:tab/>
        </w:r>
        <w:r w:rsidR="002E1CE9">
          <w:rPr>
            <w:noProof/>
            <w:webHidden/>
          </w:rPr>
          <w:fldChar w:fldCharType="begin"/>
        </w:r>
        <w:r w:rsidR="002E1CE9">
          <w:rPr>
            <w:noProof/>
            <w:webHidden/>
          </w:rPr>
          <w:instrText xml:space="preserve"> PAGEREF _Toc488741743 \h </w:instrText>
        </w:r>
        <w:r w:rsidR="002E1CE9">
          <w:rPr>
            <w:noProof/>
            <w:webHidden/>
          </w:rPr>
        </w:r>
        <w:r w:rsidR="002E1CE9">
          <w:rPr>
            <w:noProof/>
            <w:webHidden/>
          </w:rPr>
          <w:fldChar w:fldCharType="separate"/>
        </w:r>
        <w:r w:rsidR="0077432E">
          <w:rPr>
            <w:noProof/>
            <w:webHidden/>
          </w:rPr>
          <w:t>20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4" w:history="1">
        <w:r w:rsidR="002E1CE9" w:rsidRPr="00FB35F6">
          <w:rPr>
            <w:rStyle w:val="Hyperlink"/>
            <w:noProof/>
          </w:rPr>
          <w:t>Table 2</w:t>
        </w:r>
        <w:r w:rsidR="002E1CE9" w:rsidRPr="00FB35F6">
          <w:rPr>
            <w:rStyle w:val="Hyperlink"/>
            <w:noProof/>
          </w:rPr>
          <w:noBreakHyphen/>
          <w:t>13: Summary of EDC Aggregated Phase II Impacts</w:t>
        </w:r>
        <w:r w:rsidR="002E1CE9">
          <w:rPr>
            <w:noProof/>
            <w:webHidden/>
          </w:rPr>
          <w:tab/>
        </w:r>
        <w:r w:rsidR="002E1CE9">
          <w:rPr>
            <w:noProof/>
            <w:webHidden/>
          </w:rPr>
          <w:fldChar w:fldCharType="begin"/>
        </w:r>
        <w:r w:rsidR="002E1CE9">
          <w:rPr>
            <w:noProof/>
            <w:webHidden/>
          </w:rPr>
          <w:instrText xml:space="preserve"> PAGEREF _Toc488741744 \h </w:instrText>
        </w:r>
        <w:r w:rsidR="002E1CE9">
          <w:rPr>
            <w:noProof/>
            <w:webHidden/>
          </w:rPr>
        </w:r>
        <w:r w:rsidR="002E1CE9">
          <w:rPr>
            <w:noProof/>
            <w:webHidden/>
          </w:rPr>
          <w:fldChar w:fldCharType="separate"/>
        </w:r>
        <w:r w:rsidR="0077432E">
          <w:rPr>
            <w:noProof/>
            <w:webHidden/>
          </w:rPr>
          <w:t>30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5" w:history="1">
        <w:r w:rsidR="002E1CE9" w:rsidRPr="00FB35F6">
          <w:rPr>
            <w:rStyle w:val="Hyperlink"/>
            <w:noProof/>
          </w:rPr>
          <w:t>Table 2</w:t>
        </w:r>
        <w:r w:rsidR="002E1CE9" w:rsidRPr="00FB35F6">
          <w:rPr>
            <w:rStyle w:val="Hyperlink"/>
            <w:noProof/>
          </w:rPr>
          <w:noBreakHyphen/>
          <w:t>14: Summary of Statewide Phase II Lifetime Annual Energy Savings</w:t>
        </w:r>
        <w:r w:rsidR="002E1CE9">
          <w:rPr>
            <w:noProof/>
            <w:webHidden/>
          </w:rPr>
          <w:tab/>
        </w:r>
        <w:r w:rsidR="002E1CE9">
          <w:rPr>
            <w:noProof/>
            <w:webHidden/>
          </w:rPr>
          <w:fldChar w:fldCharType="begin"/>
        </w:r>
        <w:r w:rsidR="002E1CE9">
          <w:rPr>
            <w:noProof/>
            <w:webHidden/>
          </w:rPr>
          <w:instrText xml:space="preserve"> PAGEREF _Toc488741745 \h </w:instrText>
        </w:r>
        <w:r w:rsidR="002E1CE9">
          <w:rPr>
            <w:noProof/>
            <w:webHidden/>
          </w:rPr>
        </w:r>
        <w:r w:rsidR="002E1CE9">
          <w:rPr>
            <w:noProof/>
            <w:webHidden/>
          </w:rPr>
          <w:fldChar w:fldCharType="separate"/>
        </w:r>
        <w:r w:rsidR="0077432E">
          <w:rPr>
            <w:noProof/>
            <w:webHidden/>
          </w:rPr>
          <w:t>31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6" w:history="1">
        <w:r w:rsidR="002E1CE9" w:rsidRPr="00FB35F6">
          <w:rPr>
            <w:rStyle w:val="Hyperlink"/>
            <w:noProof/>
          </w:rPr>
          <w:t>Table 2</w:t>
        </w:r>
        <w:r w:rsidR="002E1CE9" w:rsidRPr="00FB35F6">
          <w:rPr>
            <w:rStyle w:val="Hyperlink"/>
            <w:noProof/>
          </w:rPr>
          <w:noBreakHyphen/>
          <w:t>15: Summary of Statewide Phase II Impacts by EDC</w:t>
        </w:r>
        <w:r w:rsidR="002E1CE9">
          <w:rPr>
            <w:noProof/>
            <w:webHidden/>
          </w:rPr>
          <w:tab/>
        </w:r>
        <w:r w:rsidR="002E1CE9">
          <w:rPr>
            <w:noProof/>
            <w:webHidden/>
          </w:rPr>
          <w:fldChar w:fldCharType="begin"/>
        </w:r>
        <w:r w:rsidR="002E1CE9">
          <w:rPr>
            <w:noProof/>
            <w:webHidden/>
          </w:rPr>
          <w:instrText xml:space="preserve"> PAGEREF _Toc488741746 \h </w:instrText>
        </w:r>
        <w:r w:rsidR="002E1CE9">
          <w:rPr>
            <w:noProof/>
            <w:webHidden/>
          </w:rPr>
        </w:r>
        <w:r w:rsidR="002E1CE9">
          <w:rPr>
            <w:noProof/>
            <w:webHidden/>
          </w:rPr>
          <w:fldChar w:fldCharType="separate"/>
        </w:r>
        <w:r w:rsidR="0077432E">
          <w:rPr>
            <w:noProof/>
            <w:webHidden/>
          </w:rPr>
          <w:t>31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7" w:history="1">
        <w:r w:rsidR="002E1CE9" w:rsidRPr="00FB35F6">
          <w:rPr>
            <w:rStyle w:val="Hyperlink"/>
            <w:noProof/>
          </w:rPr>
          <w:t>Table 2</w:t>
        </w:r>
        <w:r w:rsidR="002E1CE9" w:rsidRPr="00FB35F6">
          <w:rPr>
            <w:rStyle w:val="Hyperlink"/>
            <w:noProof/>
          </w:rPr>
          <w:noBreakHyphen/>
          <w:t>16:  Summary of Duquesne’s Phase II Savings Impacts</w:t>
        </w:r>
        <w:r w:rsidR="002E1CE9">
          <w:rPr>
            <w:noProof/>
            <w:webHidden/>
          </w:rPr>
          <w:tab/>
        </w:r>
        <w:r w:rsidR="002E1CE9">
          <w:rPr>
            <w:noProof/>
            <w:webHidden/>
          </w:rPr>
          <w:fldChar w:fldCharType="begin"/>
        </w:r>
        <w:r w:rsidR="002E1CE9">
          <w:rPr>
            <w:noProof/>
            <w:webHidden/>
          </w:rPr>
          <w:instrText xml:space="preserve"> PAGEREF _Toc488741747 \h </w:instrText>
        </w:r>
        <w:r w:rsidR="002E1CE9">
          <w:rPr>
            <w:noProof/>
            <w:webHidden/>
          </w:rPr>
        </w:r>
        <w:r w:rsidR="002E1CE9">
          <w:rPr>
            <w:noProof/>
            <w:webHidden/>
          </w:rPr>
          <w:fldChar w:fldCharType="separate"/>
        </w:r>
        <w:r w:rsidR="0077432E">
          <w:rPr>
            <w:noProof/>
            <w:webHidden/>
          </w:rPr>
          <w:t>32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8" w:history="1">
        <w:r w:rsidR="002E1CE9" w:rsidRPr="00FB35F6">
          <w:rPr>
            <w:rStyle w:val="Hyperlink"/>
            <w:noProof/>
          </w:rPr>
          <w:t>Table 2</w:t>
        </w:r>
        <w:r w:rsidR="002E1CE9" w:rsidRPr="00FB35F6">
          <w:rPr>
            <w:rStyle w:val="Hyperlink"/>
            <w:noProof/>
          </w:rPr>
          <w:noBreakHyphen/>
          <w:t>17:  Summary of Met-Ed’s Phase II Savings Impacts</w:t>
        </w:r>
        <w:r w:rsidR="002E1CE9">
          <w:rPr>
            <w:noProof/>
            <w:webHidden/>
          </w:rPr>
          <w:tab/>
        </w:r>
        <w:r w:rsidR="002E1CE9">
          <w:rPr>
            <w:noProof/>
            <w:webHidden/>
          </w:rPr>
          <w:fldChar w:fldCharType="begin"/>
        </w:r>
        <w:r w:rsidR="002E1CE9">
          <w:rPr>
            <w:noProof/>
            <w:webHidden/>
          </w:rPr>
          <w:instrText xml:space="preserve"> PAGEREF _Toc488741748 \h </w:instrText>
        </w:r>
        <w:r w:rsidR="002E1CE9">
          <w:rPr>
            <w:noProof/>
            <w:webHidden/>
          </w:rPr>
        </w:r>
        <w:r w:rsidR="002E1CE9">
          <w:rPr>
            <w:noProof/>
            <w:webHidden/>
          </w:rPr>
          <w:fldChar w:fldCharType="separate"/>
        </w:r>
        <w:r w:rsidR="0077432E">
          <w:rPr>
            <w:noProof/>
            <w:webHidden/>
          </w:rPr>
          <w:t>33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49" w:history="1">
        <w:r w:rsidR="002E1CE9" w:rsidRPr="00FB35F6">
          <w:rPr>
            <w:rStyle w:val="Hyperlink"/>
            <w:noProof/>
          </w:rPr>
          <w:t>Table 2</w:t>
        </w:r>
        <w:r w:rsidR="002E1CE9" w:rsidRPr="00FB35F6">
          <w:rPr>
            <w:rStyle w:val="Hyperlink"/>
            <w:noProof/>
          </w:rPr>
          <w:noBreakHyphen/>
          <w:t>18:  Summary of Penelec’s Phase II Savings Impacts</w:t>
        </w:r>
        <w:r w:rsidR="002E1CE9">
          <w:rPr>
            <w:noProof/>
            <w:webHidden/>
          </w:rPr>
          <w:tab/>
        </w:r>
        <w:r w:rsidR="002E1CE9">
          <w:rPr>
            <w:noProof/>
            <w:webHidden/>
          </w:rPr>
          <w:fldChar w:fldCharType="begin"/>
        </w:r>
        <w:r w:rsidR="002E1CE9">
          <w:rPr>
            <w:noProof/>
            <w:webHidden/>
          </w:rPr>
          <w:instrText xml:space="preserve"> PAGEREF _Toc488741749 \h </w:instrText>
        </w:r>
        <w:r w:rsidR="002E1CE9">
          <w:rPr>
            <w:noProof/>
            <w:webHidden/>
          </w:rPr>
        </w:r>
        <w:r w:rsidR="002E1CE9">
          <w:rPr>
            <w:noProof/>
            <w:webHidden/>
          </w:rPr>
          <w:fldChar w:fldCharType="separate"/>
        </w:r>
        <w:r w:rsidR="0077432E">
          <w:rPr>
            <w:noProof/>
            <w:webHidden/>
          </w:rPr>
          <w:t>35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0" w:history="1">
        <w:r w:rsidR="002E1CE9" w:rsidRPr="00FB35F6">
          <w:rPr>
            <w:rStyle w:val="Hyperlink"/>
            <w:noProof/>
          </w:rPr>
          <w:t>Table 2</w:t>
        </w:r>
        <w:r w:rsidR="002E1CE9" w:rsidRPr="00FB35F6">
          <w:rPr>
            <w:rStyle w:val="Hyperlink"/>
            <w:noProof/>
          </w:rPr>
          <w:noBreakHyphen/>
          <w:t>19:  Summary of Penn Power’s Phase II Savings Impacts</w:t>
        </w:r>
        <w:r w:rsidR="002E1CE9">
          <w:rPr>
            <w:noProof/>
            <w:webHidden/>
          </w:rPr>
          <w:tab/>
        </w:r>
        <w:r w:rsidR="002E1CE9">
          <w:rPr>
            <w:noProof/>
            <w:webHidden/>
          </w:rPr>
          <w:fldChar w:fldCharType="begin"/>
        </w:r>
        <w:r w:rsidR="002E1CE9">
          <w:rPr>
            <w:noProof/>
            <w:webHidden/>
          </w:rPr>
          <w:instrText xml:space="preserve"> PAGEREF _Toc488741750 \h </w:instrText>
        </w:r>
        <w:r w:rsidR="002E1CE9">
          <w:rPr>
            <w:noProof/>
            <w:webHidden/>
          </w:rPr>
        </w:r>
        <w:r w:rsidR="002E1CE9">
          <w:rPr>
            <w:noProof/>
            <w:webHidden/>
          </w:rPr>
          <w:fldChar w:fldCharType="separate"/>
        </w:r>
        <w:r w:rsidR="0077432E">
          <w:rPr>
            <w:noProof/>
            <w:webHidden/>
          </w:rPr>
          <w:t>36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1" w:history="1">
        <w:r w:rsidR="002E1CE9" w:rsidRPr="00FB35F6">
          <w:rPr>
            <w:rStyle w:val="Hyperlink"/>
            <w:noProof/>
          </w:rPr>
          <w:t>Table 2</w:t>
        </w:r>
        <w:r w:rsidR="002E1CE9" w:rsidRPr="00FB35F6">
          <w:rPr>
            <w:rStyle w:val="Hyperlink"/>
            <w:noProof/>
          </w:rPr>
          <w:noBreakHyphen/>
          <w:t>20:  Summary of West Penn’s Phase II Savings Impacts</w:t>
        </w:r>
        <w:r w:rsidR="002E1CE9">
          <w:rPr>
            <w:noProof/>
            <w:webHidden/>
          </w:rPr>
          <w:tab/>
        </w:r>
        <w:r w:rsidR="002E1CE9">
          <w:rPr>
            <w:noProof/>
            <w:webHidden/>
          </w:rPr>
          <w:fldChar w:fldCharType="begin"/>
        </w:r>
        <w:r w:rsidR="002E1CE9">
          <w:rPr>
            <w:noProof/>
            <w:webHidden/>
          </w:rPr>
          <w:instrText xml:space="preserve"> PAGEREF _Toc488741751 \h </w:instrText>
        </w:r>
        <w:r w:rsidR="002E1CE9">
          <w:rPr>
            <w:noProof/>
            <w:webHidden/>
          </w:rPr>
        </w:r>
        <w:r w:rsidR="002E1CE9">
          <w:rPr>
            <w:noProof/>
            <w:webHidden/>
          </w:rPr>
          <w:fldChar w:fldCharType="separate"/>
        </w:r>
        <w:r w:rsidR="0077432E">
          <w:rPr>
            <w:noProof/>
            <w:webHidden/>
          </w:rPr>
          <w:t>38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2" w:history="1">
        <w:r w:rsidR="002E1CE9" w:rsidRPr="00FB35F6">
          <w:rPr>
            <w:rStyle w:val="Hyperlink"/>
            <w:noProof/>
          </w:rPr>
          <w:t>Table 2</w:t>
        </w:r>
        <w:r w:rsidR="002E1CE9" w:rsidRPr="00FB35F6">
          <w:rPr>
            <w:rStyle w:val="Hyperlink"/>
            <w:noProof/>
          </w:rPr>
          <w:noBreakHyphen/>
          <w:t>21:  Summary of PECO’s Phase II Savings Impacts</w:t>
        </w:r>
        <w:r w:rsidR="002E1CE9">
          <w:rPr>
            <w:noProof/>
            <w:webHidden/>
          </w:rPr>
          <w:tab/>
        </w:r>
        <w:r w:rsidR="002E1CE9">
          <w:rPr>
            <w:noProof/>
            <w:webHidden/>
          </w:rPr>
          <w:fldChar w:fldCharType="begin"/>
        </w:r>
        <w:r w:rsidR="002E1CE9">
          <w:rPr>
            <w:noProof/>
            <w:webHidden/>
          </w:rPr>
          <w:instrText xml:space="preserve"> PAGEREF _Toc488741752 \h </w:instrText>
        </w:r>
        <w:r w:rsidR="002E1CE9">
          <w:rPr>
            <w:noProof/>
            <w:webHidden/>
          </w:rPr>
        </w:r>
        <w:r w:rsidR="002E1CE9">
          <w:rPr>
            <w:noProof/>
            <w:webHidden/>
          </w:rPr>
          <w:fldChar w:fldCharType="separate"/>
        </w:r>
        <w:r w:rsidR="0077432E">
          <w:rPr>
            <w:noProof/>
            <w:webHidden/>
          </w:rPr>
          <w:t>39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3" w:history="1">
        <w:r w:rsidR="002E1CE9" w:rsidRPr="00FB35F6">
          <w:rPr>
            <w:rStyle w:val="Hyperlink"/>
            <w:noProof/>
          </w:rPr>
          <w:t>Table 2</w:t>
        </w:r>
        <w:r w:rsidR="002E1CE9" w:rsidRPr="00FB35F6">
          <w:rPr>
            <w:rStyle w:val="Hyperlink"/>
            <w:noProof/>
          </w:rPr>
          <w:noBreakHyphen/>
          <w:t>22: Summary of PPL’s Phase II Savings Impacts</w:t>
        </w:r>
        <w:r w:rsidR="002E1CE9">
          <w:rPr>
            <w:noProof/>
            <w:webHidden/>
          </w:rPr>
          <w:tab/>
        </w:r>
        <w:r w:rsidR="002E1CE9">
          <w:rPr>
            <w:noProof/>
            <w:webHidden/>
          </w:rPr>
          <w:fldChar w:fldCharType="begin"/>
        </w:r>
        <w:r w:rsidR="002E1CE9">
          <w:rPr>
            <w:noProof/>
            <w:webHidden/>
          </w:rPr>
          <w:instrText xml:space="preserve"> PAGEREF _Toc488741753 \h </w:instrText>
        </w:r>
        <w:r w:rsidR="002E1CE9">
          <w:rPr>
            <w:noProof/>
            <w:webHidden/>
          </w:rPr>
        </w:r>
        <w:r w:rsidR="002E1CE9">
          <w:rPr>
            <w:noProof/>
            <w:webHidden/>
          </w:rPr>
          <w:fldChar w:fldCharType="separate"/>
        </w:r>
        <w:r w:rsidR="0077432E">
          <w:rPr>
            <w:noProof/>
            <w:webHidden/>
          </w:rPr>
          <w:t>41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4" w:history="1">
        <w:r w:rsidR="002E1CE9" w:rsidRPr="00FB35F6">
          <w:rPr>
            <w:rStyle w:val="Hyperlink"/>
            <w:noProof/>
          </w:rPr>
          <w:t>Table 3</w:t>
        </w:r>
        <w:r w:rsidR="002E1CE9" w:rsidRPr="00FB35F6">
          <w:rPr>
            <w:rStyle w:val="Hyperlink"/>
            <w:noProof/>
          </w:rPr>
          <w:noBreakHyphen/>
          <w:t>1: Phase II Cumulative Gross Demand Savings</w:t>
        </w:r>
        <w:r w:rsidR="002E1CE9">
          <w:rPr>
            <w:noProof/>
            <w:webHidden/>
          </w:rPr>
          <w:tab/>
        </w:r>
        <w:r w:rsidR="002E1CE9">
          <w:rPr>
            <w:noProof/>
            <w:webHidden/>
          </w:rPr>
          <w:fldChar w:fldCharType="begin"/>
        </w:r>
        <w:r w:rsidR="002E1CE9">
          <w:rPr>
            <w:noProof/>
            <w:webHidden/>
          </w:rPr>
          <w:instrText xml:space="preserve"> PAGEREF _Toc488741754 \h </w:instrText>
        </w:r>
        <w:r w:rsidR="002E1CE9">
          <w:rPr>
            <w:noProof/>
            <w:webHidden/>
          </w:rPr>
        </w:r>
        <w:r w:rsidR="002E1CE9">
          <w:rPr>
            <w:noProof/>
            <w:webHidden/>
          </w:rPr>
          <w:fldChar w:fldCharType="separate"/>
        </w:r>
        <w:r w:rsidR="0077432E">
          <w:rPr>
            <w:noProof/>
            <w:webHidden/>
          </w:rPr>
          <w:t>43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5" w:history="1">
        <w:r w:rsidR="002E1CE9" w:rsidRPr="00FB35F6">
          <w:rPr>
            <w:rStyle w:val="Hyperlink"/>
            <w:noProof/>
          </w:rPr>
          <w:t>Table 3</w:t>
        </w:r>
        <w:r w:rsidR="002E1CE9" w:rsidRPr="00FB35F6">
          <w:rPr>
            <w:rStyle w:val="Hyperlink"/>
            <w:noProof/>
          </w:rPr>
          <w:noBreakHyphen/>
          <w:t>2: Phase II Cumulative Verified Demand (MW) Savings, by EDC and Sector</w:t>
        </w:r>
        <w:r w:rsidR="002E1CE9">
          <w:rPr>
            <w:noProof/>
            <w:webHidden/>
          </w:rPr>
          <w:tab/>
        </w:r>
        <w:r w:rsidR="002E1CE9">
          <w:rPr>
            <w:noProof/>
            <w:webHidden/>
          </w:rPr>
          <w:fldChar w:fldCharType="begin"/>
        </w:r>
        <w:r w:rsidR="002E1CE9">
          <w:rPr>
            <w:noProof/>
            <w:webHidden/>
          </w:rPr>
          <w:instrText xml:space="preserve"> PAGEREF _Toc488741755 \h </w:instrText>
        </w:r>
        <w:r w:rsidR="002E1CE9">
          <w:rPr>
            <w:noProof/>
            <w:webHidden/>
          </w:rPr>
        </w:r>
        <w:r w:rsidR="002E1CE9">
          <w:rPr>
            <w:noProof/>
            <w:webHidden/>
          </w:rPr>
          <w:fldChar w:fldCharType="separate"/>
        </w:r>
        <w:r w:rsidR="0077432E">
          <w:rPr>
            <w:noProof/>
            <w:webHidden/>
          </w:rPr>
          <w:t>43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6" w:history="1">
        <w:r w:rsidR="002E1CE9" w:rsidRPr="00FB35F6">
          <w:rPr>
            <w:rStyle w:val="Hyperlink"/>
            <w:noProof/>
          </w:rPr>
          <w:t>Table 3</w:t>
        </w:r>
        <w:r w:rsidR="002E1CE9" w:rsidRPr="00FB35F6">
          <w:rPr>
            <w:rStyle w:val="Hyperlink"/>
            <w:noProof/>
          </w:rPr>
          <w:noBreakHyphen/>
          <w:t>3: Duquesne Phase II Cumulative Demand Savings, by Sector</w:t>
        </w:r>
        <w:r w:rsidR="002E1CE9">
          <w:rPr>
            <w:noProof/>
            <w:webHidden/>
          </w:rPr>
          <w:tab/>
        </w:r>
        <w:r w:rsidR="002E1CE9">
          <w:rPr>
            <w:noProof/>
            <w:webHidden/>
          </w:rPr>
          <w:fldChar w:fldCharType="begin"/>
        </w:r>
        <w:r w:rsidR="002E1CE9">
          <w:rPr>
            <w:noProof/>
            <w:webHidden/>
          </w:rPr>
          <w:instrText xml:space="preserve"> PAGEREF _Toc488741756 \h </w:instrText>
        </w:r>
        <w:r w:rsidR="002E1CE9">
          <w:rPr>
            <w:noProof/>
            <w:webHidden/>
          </w:rPr>
        </w:r>
        <w:r w:rsidR="002E1CE9">
          <w:rPr>
            <w:noProof/>
            <w:webHidden/>
          </w:rPr>
          <w:fldChar w:fldCharType="separate"/>
        </w:r>
        <w:r w:rsidR="0077432E">
          <w:rPr>
            <w:noProof/>
            <w:webHidden/>
          </w:rPr>
          <w:t>44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7" w:history="1">
        <w:r w:rsidR="002E1CE9" w:rsidRPr="00FB35F6">
          <w:rPr>
            <w:rStyle w:val="Hyperlink"/>
            <w:noProof/>
          </w:rPr>
          <w:t>Table 3</w:t>
        </w:r>
        <w:r w:rsidR="002E1CE9" w:rsidRPr="00FB35F6">
          <w:rPr>
            <w:rStyle w:val="Hyperlink"/>
            <w:noProof/>
          </w:rPr>
          <w:noBreakHyphen/>
          <w:t>4: Met-Ed Phase II Cumulative Demand Savings, by Sector</w:t>
        </w:r>
        <w:r w:rsidR="002E1CE9">
          <w:rPr>
            <w:noProof/>
            <w:webHidden/>
          </w:rPr>
          <w:tab/>
        </w:r>
        <w:r w:rsidR="002E1CE9">
          <w:rPr>
            <w:noProof/>
            <w:webHidden/>
          </w:rPr>
          <w:fldChar w:fldCharType="begin"/>
        </w:r>
        <w:r w:rsidR="002E1CE9">
          <w:rPr>
            <w:noProof/>
            <w:webHidden/>
          </w:rPr>
          <w:instrText xml:space="preserve"> PAGEREF _Toc488741757 \h </w:instrText>
        </w:r>
        <w:r w:rsidR="002E1CE9">
          <w:rPr>
            <w:noProof/>
            <w:webHidden/>
          </w:rPr>
        </w:r>
        <w:r w:rsidR="002E1CE9">
          <w:rPr>
            <w:noProof/>
            <w:webHidden/>
          </w:rPr>
          <w:fldChar w:fldCharType="separate"/>
        </w:r>
        <w:r w:rsidR="0077432E">
          <w:rPr>
            <w:noProof/>
            <w:webHidden/>
          </w:rPr>
          <w:t>45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8" w:history="1">
        <w:r w:rsidR="002E1CE9" w:rsidRPr="00FB35F6">
          <w:rPr>
            <w:rStyle w:val="Hyperlink"/>
            <w:noProof/>
          </w:rPr>
          <w:t>Table 3</w:t>
        </w:r>
        <w:r w:rsidR="002E1CE9" w:rsidRPr="00FB35F6">
          <w:rPr>
            <w:rStyle w:val="Hyperlink"/>
            <w:noProof/>
          </w:rPr>
          <w:noBreakHyphen/>
          <w:t>5: Penelec Phase II Cumulative Demand Savings, by Sector</w:t>
        </w:r>
        <w:r w:rsidR="002E1CE9">
          <w:rPr>
            <w:noProof/>
            <w:webHidden/>
          </w:rPr>
          <w:tab/>
        </w:r>
        <w:r w:rsidR="002E1CE9">
          <w:rPr>
            <w:noProof/>
            <w:webHidden/>
          </w:rPr>
          <w:fldChar w:fldCharType="begin"/>
        </w:r>
        <w:r w:rsidR="002E1CE9">
          <w:rPr>
            <w:noProof/>
            <w:webHidden/>
          </w:rPr>
          <w:instrText xml:space="preserve"> PAGEREF _Toc488741758 \h </w:instrText>
        </w:r>
        <w:r w:rsidR="002E1CE9">
          <w:rPr>
            <w:noProof/>
            <w:webHidden/>
          </w:rPr>
        </w:r>
        <w:r w:rsidR="002E1CE9">
          <w:rPr>
            <w:noProof/>
            <w:webHidden/>
          </w:rPr>
          <w:fldChar w:fldCharType="separate"/>
        </w:r>
        <w:r w:rsidR="0077432E">
          <w:rPr>
            <w:noProof/>
            <w:webHidden/>
          </w:rPr>
          <w:t>46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59" w:history="1">
        <w:r w:rsidR="002E1CE9" w:rsidRPr="00FB35F6">
          <w:rPr>
            <w:rStyle w:val="Hyperlink"/>
            <w:noProof/>
          </w:rPr>
          <w:t>Table 3</w:t>
        </w:r>
        <w:r w:rsidR="002E1CE9" w:rsidRPr="00FB35F6">
          <w:rPr>
            <w:rStyle w:val="Hyperlink"/>
            <w:noProof/>
          </w:rPr>
          <w:noBreakHyphen/>
          <w:t>6: Penn Power Phase II Cumulative Demand Savings, by Sector</w:t>
        </w:r>
        <w:r w:rsidR="002E1CE9">
          <w:rPr>
            <w:noProof/>
            <w:webHidden/>
          </w:rPr>
          <w:tab/>
        </w:r>
        <w:r w:rsidR="002E1CE9">
          <w:rPr>
            <w:noProof/>
            <w:webHidden/>
          </w:rPr>
          <w:fldChar w:fldCharType="begin"/>
        </w:r>
        <w:r w:rsidR="002E1CE9">
          <w:rPr>
            <w:noProof/>
            <w:webHidden/>
          </w:rPr>
          <w:instrText xml:space="preserve"> PAGEREF _Toc488741759 \h </w:instrText>
        </w:r>
        <w:r w:rsidR="002E1CE9">
          <w:rPr>
            <w:noProof/>
            <w:webHidden/>
          </w:rPr>
        </w:r>
        <w:r w:rsidR="002E1CE9">
          <w:rPr>
            <w:noProof/>
            <w:webHidden/>
          </w:rPr>
          <w:fldChar w:fldCharType="separate"/>
        </w:r>
        <w:r w:rsidR="0077432E">
          <w:rPr>
            <w:noProof/>
            <w:webHidden/>
          </w:rPr>
          <w:t>47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0" w:history="1">
        <w:r w:rsidR="002E1CE9" w:rsidRPr="00FB35F6">
          <w:rPr>
            <w:rStyle w:val="Hyperlink"/>
            <w:noProof/>
          </w:rPr>
          <w:t>Table 3</w:t>
        </w:r>
        <w:r w:rsidR="002E1CE9" w:rsidRPr="00FB35F6">
          <w:rPr>
            <w:rStyle w:val="Hyperlink"/>
            <w:noProof/>
          </w:rPr>
          <w:noBreakHyphen/>
          <w:t>7: West Penn Phase II Cumulative Demand Savings, by Sector</w:t>
        </w:r>
        <w:r w:rsidR="002E1CE9">
          <w:rPr>
            <w:noProof/>
            <w:webHidden/>
          </w:rPr>
          <w:tab/>
        </w:r>
        <w:r w:rsidR="002E1CE9">
          <w:rPr>
            <w:noProof/>
            <w:webHidden/>
          </w:rPr>
          <w:fldChar w:fldCharType="begin"/>
        </w:r>
        <w:r w:rsidR="002E1CE9">
          <w:rPr>
            <w:noProof/>
            <w:webHidden/>
          </w:rPr>
          <w:instrText xml:space="preserve"> PAGEREF _Toc488741760 \h </w:instrText>
        </w:r>
        <w:r w:rsidR="002E1CE9">
          <w:rPr>
            <w:noProof/>
            <w:webHidden/>
          </w:rPr>
        </w:r>
        <w:r w:rsidR="002E1CE9">
          <w:rPr>
            <w:noProof/>
            <w:webHidden/>
          </w:rPr>
          <w:fldChar w:fldCharType="separate"/>
        </w:r>
        <w:r w:rsidR="0077432E">
          <w:rPr>
            <w:noProof/>
            <w:webHidden/>
          </w:rPr>
          <w:t>48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1" w:history="1">
        <w:r w:rsidR="002E1CE9" w:rsidRPr="00FB35F6">
          <w:rPr>
            <w:rStyle w:val="Hyperlink"/>
            <w:noProof/>
          </w:rPr>
          <w:t>Table 3</w:t>
        </w:r>
        <w:r w:rsidR="002E1CE9" w:rsidRPr="00FB35F6">
          <w:rPr>
            <w:rStyle w:val="Hyperlink"/>
            <w:noProof/>
          </w:rPr>
          <w:noBreakHyphen/>
          <w:t>8: PECO Phase II Cumulative Demand Savings, by Sector</w:t>
        </w:r>
        <w:r w:rsidR="002E1CE9">
          <w:rPr>
            <w:noProof/>
            <w:webHidden/>
          </w:rPr>
          <w:tab/>
        </w:r>
        <w:r w:rsidR="002E1CE9">
          <w:rPr>
            <w:noProof/>
            <w:webHidden/>
          </w:rPr>
          <w:fldChar w:fldCharType="begin"/>
        </w:r>
        <w:r w:rsidR="002E1CE9">
          <w:rPr>
            <w:noProof/>
            <w:webHidden/>
          </w:rPr>
          <w:instrText xml:space="preserve"> PAGEREF _Toc488741761 \h </w:instrText>
        </w:r>
        <w:r w:rsidR="002E1CE9">
          <w:rPr>
            <w:noProof/>
            <w:webHidden/>
          </w:rPr>
        </w:r>
        <w:r w:rsidR="002E1CE9">
          <w:rPr>
            <w:noProof/>
            <w:webHidden/>
          </w:rPr>
          <w:fldChar w:fldCharType="separate"/>
        </w:r>
        <w:r w:rsidR="0077432E">
          <w:rPr>
            <w:noProof/>
            <w:webHidden/>
          </w:rPr>
          <w:t>49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2" w:history="1">
        <w:r w:rsidR="002E1CE9" w:rsidRPr="00FB35F6">
          <w:rPr>
            <w:rStyle w:val="Hyperlink"/>
            <w:noProof/>
          </w:rPr>
          <w:t>Table 3</w:t>
        </w:r>
        <w:r w:rsidR="002E1CE9" w:rsidRPr="00FB35F6">
          <w:rPr>
            <w:rStyle w:val="Hyperlink"/>
            <w:noProof/>
          </w:rPr>
          <w:noBreakHyphen/>
          <w:t>9: PPL Phase II Cumulative Demand Savings, by Sector</w:t>
        </w:r>
        <w:r w:rsidR="002E1CE9">
          <w:rPr>
            <w:noProof/>
            <w:webHidden/>
          </w:rPr>
          <w:tab/>
        </w:r>
        <w:r w:rsidR="002E1CE9">
          <w:rPr>
            <w:noProof/>
            <w:webHidden/>
          </w:rPr>
          <w:fldChar w:fldCharType="begin"/>
        </w:r>
        <w:r w:rsidR="002E1CE9">
          <w:rPr>
            <w:noProof/>
            <w:webHidden/>
          </w:rPr>
          <w:instrText xml:space="preserve"> PAGEREF _Toc488741762 \h </w:instrText>
        </w:r>
        <w:r w:rsidR="002E1CE9">
          <w:rPr>
            <w:noProof/>
            <w:webHidden/>
          </w:rPr>
        </w:r>
        <w:r w:rsidR="002E1CE9">
          <w:rPr>
            <w:noProof/>
            <w:webHidden/>
          </w:rPr>
          <w:fldChar w:fldCharType="separate"/>
        </w:r>
        <w:r w:rsidR="0077432E">
          <w:rPr>
            <w:noProof/>
            <w:webHidden/>
          </w:rPr>
          <w:t>50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3" w:history="1">
        <w:r w:rsidR="002E1CE9" w:rsidRPr="00FB35F6">
          <w:rPr>
            <w:rStyle w:val="Hyperlink"/>
            <w:noProof/>
          </w:rPr>
          <w:t>Table 4</w:t>
        </w:r>
        <w:r w:rsidR="002E1CE9" w:rsidRPr="00FB35F6">
          <w:rPr>
            <w:rStyle w:val="Hyperlink"/>
            <w:noProof/>
          </w:rPr>
          <w:noBreakHyphen/>
          <w:t>1: Phase II Verified Gross TRC Benefits, Costs, and Ratios by Program Year and EDC</w:t>
        </w:r>
        <w:r w:rsidR="002E1CE9">
          <w:rPr>
            <w:noProof/>
            <w:webHidden/>
          </w:rPr>
          <w:tab/>
        </w:r>
        <w:r w:rsidR="002E1CE9">
          <w:rPr>
            <w:noProof/>
            <w:webHidden/>
          </w:rPr>
          <w:fldChar w:fldCharType="begin"/>
        </w:r>
        <w:r w:rsidR="002E1CE9">
          <w:rPr>
            <w:noProof/>
            <w:webHidden/>
          </w:rPr>
          <w:instrText xml:space="preserve"> PAGEREF _Toc488741763 \h </w:instrText>
        </w:r>
        <w:r w:rsidR="002E1CE9">
          <w:rPr>
            <w:noProof/>
            <w:webHidden/>
          </w:rPr>
        </w:r>
        <w:r w:rsidR="002E1CE9">
          <w:rPr>
            <w:noProof/>
            <w:webHidden/>
          </w:rPr>
          <w:fldChar w:fldCharType="separate"/>
        </w:r>
        <w:r w:rsidR="0077432E">
          <w:rPr>
            <w:noProof/>
            <w:webHidden/>
          </w:rPr>
          <w:t>53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4" w:history="1">
        <w:r w:rsidR="002E1CE9" w:rsidRPr="00FB35F6">
          <w:rPr>
            <w:rStyle w:val="Hyperlink"/>
            <w:noProof/>
          </w:rPr>
          <w:t>Table 4</w:t>
        </w:r>
        <w:r w:rsidR="002E1CE9" w:rsidRPr="00FB35F6">
          <w:rPr>
            <w:rStyle w:val="Hyperlink"/>
            <w:noProof/>
          </w:rPr>
          <w:noBreakHyphen/>
          <w:t>2: Phase II Verified Gross TRC Benefits, Costs, and Ratios by EDC</w:t>
        </w:r>
        <w:r w:rsidR="002E1CE9">
          <w:rPr>
            <w:noProof/>
            <w:webHidden/>
          </w:rPr>
          <w:tab/>
        </w:r>
        <w:r w:rsidR="002E1CE9">
          <w:rPr>
            <w:noProof/>
            <w:webHidden/>
          </w:rPr>
          <w:fldChar w:fldCharType="begin"/>
        </w:r>
        <w:r w:rsidR="002E1CE9">
          <w:rPr>
            <w:noProof/>
            <w:webHidden/>
          </w:rPr>
          <w:instrText xml:space="preserve"> PAGEREF _Toc488741764 \h </w:instrText>
        </w:r>
        <w:r w:rsidR="002E1CE9">
          <w:rPr>
            <w:noProof/>
            <w:webHidden/>
          </w:rPr>
        </w:r>
        <w:r w:rsidR="002E1CE9">
          <w:rPr>
            <w:noProof/>
            <w:webHidden/>
          </w:rPr>
          <w:fldChar w:fldCharType="separate"/>
        </w:r>
        <w:r w:rsidR="0077432E">
          <w:rPr>
            <w:noProof/>
            <w:webHidden/>
          </w:rPr>
          <w:t>54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5" w:history="1">
        <w:r w:rsidR="002E1CE9" w:rsidRPr="00FB35F6">
          <w:rPr>
            <w:rStyle w:val="Hyperlink"/>
            <w:noProof/>
          </w:rPr>
          <w:t>Table 5</w:t>
        </w:r>
        <w:r w:rsidR="002E1CE9" w:rsidRPr="00FB35F6">
          <w:rPr>
            <w:rStyle w:val="Hyperlink"/>
            <w:noProof/>
          </w:rPr>
          <w:noBreakHyphen/>
          <w:t>1: Summary of Status of Recommendations, by EDC and Program Year</w:t>
        </w:r>
        <w:r w:rsidR="002E1CE9">
          <w:rPr>
            <w:noProof/>
            <w:webHidden/>
          </w:rPr>
          <w:tab/>
        </w:r>
        <w:r w:rsidR="002E1CE9">
          <w:rPr>
            <w:noProof/>
            <w:webHidden/>
          </w:rPr>
          <w:fldChar w:fldCharType="begin"/>
        </w:r>
        <w:r w:rsidR="002E1CE9">
          <w:rPr>
            <w:noProof/>
            <w:webHidden/>
          </w:rPr>
          <w:instrText xml:space="preserve"> PAGEREF _Toc488741765 \h </w:instrText>
        </w:r>
        <w:r w:rsidR="002E1CE9">
          <w:rPr>
            <w:noProof/>
            <w:webHidden/>
          </w:rPr>
        </w:r>
        <w:r w:rsidR="002E1CE9">
          <w:rPr>
            <w:noProof/>
            <w:webHidden/>
          </w:rPr>
          <w:fldChar w:fldCharType="separate"/>
        </w:r>
        <w:r w:rsidR="0077432E">
          <w:rPr>
            <w:noProof/>
            <w:webHidden/>
          </w:rPr>
          <w:t>60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6" w:history="1">
        <w:r w:rsidR="002E1CE9" w:rsidRPr="00FB35F6">
          <w:rPr>
            <w:rStyle w:val="Hyperlink"/>
            <w:noProof/>
          </w:rPr>
          <w:t>Table 5</w:t>
        </w:r>
        <w:r w:rsidR="002E1CE9" w:rsidRPr="00FB35F6">
          <w:rPr>
            <w:rStyle w:val="Hyperlink"/>
            <w:noProof/>
          </w:rPr>
          <w:noBreakHyphen/>
          <w:t>2: PY7 – Summary of SWE Process Evaluation Findings</w:t>
        </w:r>
        <w:r w:rsidR="002E1CE9">
          <w:rPr>
            <w:noProof/>
            <w:webHidden/>
          </w:rPr>
          <w:tab/>
        </w:r>
        <w:r w:rsidR="002E1CE9">
          <w:rPr>
            <w:noProof/>
            <w:webHidden/>
          </w:rPr>
          <w:fldChar w:fldCharType="begin"/>
        </w:r>
        <w:r w:rsidR="002E1CE9">
          <w:rPr>
            <w:noProof/>
            <w:webHidden/>
          </w:rPr>
          <w:instrText xml:space="preserve"> PAGEREF _Toc488741766 \h </w:instrText>
        </w:r>
        <w:r w:rsidR="002E1CE9">
          <w:rPr>
            <w:noProof/>
            <w:webHidden/>
          </w:rPr>
        </w:r>
        <w:r w:rsidR="002E1CE9">
          <w:rPr>
            <w:noProof/>
            <w:webHidden/>
          </w:rPr>
          <w:fldChar w:fldCharType="separate"/>
        </w:r>
        <w:r w:rsidR="0077432E">
          <w:rPr>
            <w:noProof/>
            <w:webHidden/>
          </w:rPr>
          <w:t>61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7" w:history="1">
        <w:r w:rsidR="002E1CE9" w:rsidRPr="00FB35F6">
          <w:rPr>
            <w:rStyle w:val="Hyperlink"/>
            <w:noProof/>
          </w:rPr>
          <w:t>Table 5</w:t>
        </w:r>
        <w:r w:rsidR="002E1CE9" w:rsidRPr="00FB35F6">
          <w:rPr>
            <w:rStyle w:val="Hyperlink"/>
            <w:noProof/>
          </w:rPr>
          <w:noBreakHyphen/>
          <w:t>3: PY7 Portfolio Net-to-Gross Ratios by EDC</w:t>
        </w:r>
        <w:r w:rsidR="002E1CE9">
          <w:rPr>
            <w:noProof/>
            <w:webHidden/>
          </w:rPr>
          <w:tab/>
        </w:r>
        <w:r w:rsidR="002E1CE9">
          <w:rPr>
            <w:noProof/>
            <w:webHidden/>
          </w:rPr>
          <w:fldChar w:fldCharType="begin"/>
        </w:r>
        <w:r w:rsidR="002E1CE9">
          <w:rPr>
            <w:noProof/>
            <w:webHidden/>
          </w:rPr>
          <w:instrText xml:space="preserve"> PAGEREF _Toc488741767 \h </w:instrText>
        </w:r>
        <w:r w:rsidR="002E1CE9">
          <w:rPr>
            <w:noProof/>
            <w:webHidden/>
          </w:rPr>
        </w:r>
        <w:r w:rsidR="002E1CE9">
          <w:rPr>
            <w:noProof/>
            <w:webHidden/>
          </w:rPr>
          <w:fldChar w:fldCharType="separate"/>
        </w:r>
        <w:r w:rsidR="0077432E">
          <w:rPr>
            <w:noProof/>
            <w:webHidden/>
          </w:rPr>
          <w:t>69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8" w:history="1">
        <w:r w:rsidR="002E1CE9" w:rsidRPr="00FB35F6">
          <w:rPr>
            <w:rStyle w:val="Hyperlink"/>
            <w:noProof/>
          </w:rPr>
          <w:t>Table 5</w:t>
        </w:r>
        <w:r w:rsidR="002E1CE9" w:rsidRPr="00FB35F6">
          <w:rPr>
            <w:rStyle w:val="Hyperlink"/>
            <w:noProof/>
          </w:rPr>
          <w:noBreakHyphen/>
          <w:t>4: Summary of SWE Findings on the Application of NTG Methods by EDCs</w:t>
        </w:r>
        <w:r w:rsidR="002E1CE9">
          <w:rPr>
            <w:noProof/>
            <w:webHidden/>
          </w:rPr>
          <w:tab/>
        </w:r>
        <w:r w:rsidR="002E1CE9">
          <w:rPr>
            <w:noProof/>
            <w:webHidden/>
          </w:rPr>
          <w:fldChar w:fldCharType="begin"/>
        </w:r>
        <w:r w:rsidR="002E1CE9">
          <w:rPr>
            <w:noProof/>
            <w:webHidden/>
          </w:rPr>
          <w:instrText xml:space="preserve"> PAGEREF _Toc488741768 \h </w:instrText>
        </w:r>
        <w:r w:rsidR="002E1CE9">
          <w:rPr>
            <w:noProof/>
            <w:webHidden/>
          </w:rPr>
        </w:r>
        <w:r w:rsidR="002E1CE9">
          <w:rPr>
            <w:noProof/>
            <w:webHidden/>
          </w:rPr>
          <w:fldChar w:fldCharType="separate"/>
        </w:r>
        <w:r w:rsidR="0077432E">
          <w:rPr>
            <w:noProof/>
            <w:webHidden/>
          </w:rPr>
          <w:t>69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69" w:history="1">
        <w:r w:rsidR="002E1CE9" w:rsidRPr="00FB35F6">
          <w:rPr>
            <w:rStyle w:val="Hyperlink"/>
            <w:noProof/>
          </w:rPr>
          <w:t>Table 5</w:t>
        </w:r>
        <w:r w:rsidR="002E1CE9" w:rsidRPr="00FB35F6">
          <w:rPr>
            <w:rStyle w:val="Hyperlink"/>
            <w:noProof/>
          </w:rPr>
          <w:noBreakHyphen/>
          <w:t>5: PY7 Net-to-Gross Ratios by Sector and Program – All EDCs</w:t>
        </w:r>
        <w:r w:rsidR="002E1CE9">
          <w:rPr>
            <w:noProof/>
            <w:webHidden/>
          </w:rPr>
          <w:tab/>
        </w:r>
        <w:r w:rsidR="002E1CE9">
          <w:rPr>
            <w:noProof/>
            <w:webHidden/>
          </w:rPr>
          <w:fldChar w:fldCharType="begin"/>
        </w:r>
        <w:r w:rsidR="002E1CE9">
          <w:rPr>
            <w:noProof/>
            <w:webHidden/>
          </w:rPr>
          <w:instrText xml:space="preserve"> PAGEREF _Toc488741769 \h </w:instrText>
        </w:r>
        <w:r w:rsidR="002E1CE9">
          <w:rPr>
            <w:noProof/>
            <w:webHidden/>
          </w:rPr>
        </w:r>
        <w:r w:rsidR="002E1CE9">
          <w:rPr>
            <w:noProof/>
            <w:webHidden/>
          </w:rPr>
          <w:fldChar w:fldCharType="separate"/>
        </w:r>
        <w:r w:rsidR="0077432E">
          <w:rPr>
            <w:noProof/>
            <w:webHidden/>
          </w:rPr>
          <w:t>70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0" w:history="1">
        <w:r w:rsidR="002E1CE9" w:rsidRPr="00FB35F6">
          <w:rPr>
            <w:rStyle w:val="Hyperlink"/>
            <w:noProof/>
          </w:rPr>
          <w:t>Table 5</w:t>
        </w:r>
        <w:r w:rsidR="002E1CE9" w:rsidRPr="00FB35F6">
          <w:rPr>
            <w:rStyle w:val="Hyperlink"/>
            <w:noProof/>
          </w:rPr>
          <w:noBreakHyphen/>
          <w:t>6: Duquesne’s Phase II NTGRs by Program Year</w:t>
        </w:r>
        <w:r w:rsidR="002E1CE9">
          <w:rPr>
            <w:noProof/>
            <w:webHidden/>
          </w:rPr>
          <w:tab/>
        </w:r>
        <w:r w:rsidR="002E1CE9">
          <w:rPr>
            <w:noProof/>
            <w:webHidden/>
          </w:rPr>
          <w:fldChar w:fldCharType="begin"/>
        </w:r>
        <w:r w:rsidR="002E1CE9">
          <w:rPr>
            <w:noProof/>
            <w:webHidden/>
          </w:rPr>
          <w:instrText xml:space="preserve"> PAGEREF _Toc488741770 \h </w:instrText>
        </w:r>
        <w:r w:rsidR="002E1CE9">
          <w:rPr>
            <w:noProof/>
            <w:webHidden/>
          </w:rPr>
        </w:r>
        <w:r w:rsidR="002E1CE9">
          <w:rPr>
            <w:noProof/>
            <w:webHidden/>
          </w:rPr>
          <w:fldChar w:fldCharType="separate"/>
        </w:r>
        <w:r w:rsidR="0077432E">
          <w:rPr>
            <w:noProof/>
            <w:webHidden/>
          </w:rPr>
          <w:t>75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1" w:history="1">
        <w:r w:rsidR="002E1CE9" w:rsidRPr="00FB35F6">
          <w:rPr>
            <w:rStyle w:val="Hyperlink"/>
            <w:noProof/>
          </w:rPr>
          <w:t>Table 5</w:t>
        </w:r>
        <w:r w:rsidR="002E1CE9" w:rsidRPr="00FB35F6">
          <w:rPr>
            <w:rStyle w:val="Hyperlink"/>
            <w:noProof/>
          </w:rPr>
          <w:noBreakHyphen/>
          <w:t>7: Met-Ed’s Phase II NTGRs by Program Year</w:t>
        </w:r>
        <w:r w:rsidR="002E1CE9">
          <w:rPr>
            <w:noProof/>
            <w:webHidden/>
          </w:rPr>
          <w:tab/>
        </w:r>
        <w:r w:rsidR="002E1CE9">
          <w:rPr>
            <w:noProof/>
            <w:webHidden/>
          </w:rPr>
          <w:fldChar w:fldCharType="begin"/>
        </w:r>
        <w:r w:rsidR="002E1CE9">
          <w:rPr>
            <w:noProof/>
            <w:webHidden/>
          </w:rPr>
          <w:instrText xml:space="preserve"> PAGEREF _Toc488741771 \h </w:instrText>
        </w:r>
        <w:r w:rsidR="002E1CE9">
          <w:rPr>
            <w:noProof/>
            <w:webHidden/>
          </w:rPr>
        </w:r>
        <w:r w:rsidR="002E1CE9">
          <w:rPr>
            <w:noProof/>
            <w:webHidden/>
          </w:rPr>
          <w:fldChar w:fldCharType="separate"/>
        </w:r>
        <w:r w:rsidR="0077432E">
          <w:rPr>
            <w:noProof/>
            <w:webHidden/>
          </w:rPr>
          <w:t>75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2" w:history="1">
        <w:r w:rsidR="002E1CE9" w:rsidRPr="00FB35F6">
          <w:rPr>
            <w:rStyle w:val="Hyperlink"/>
            <w:noProof/>
          </w:rPr>
          <w:t>Table 5</w:t>
        </w:r>
        <w:r w:rsidR="002E1CE9" w:rsidRPr="00FB35F6">
          <w:rPr>
            <w:rStyle w:val="Hyperlink"/>
            <w:noProof/>
          </w:rPr>
          <w:noBreakHyphen/>
          <w:t>8: Penelec’s Phase II NTGRs by Program Year</w:t>
        </w:r>
        <w:r w:rsidR="002E1CE9">
          <w:rPr>
            <w:noProof/>
            <w:webHidden/>
          </w:rPr>
          <w:tab/>
        </w:r>
        <w:r w:rsidR="002E1CE9">
          <w:rPr>
            <w:noProof/>
            <w:webHidden/>
          </w:rPr>
          <w:fldChar w:fldCharType="begin"/>
        </w:r>
        <w:r w:rsidR="002E1CE9">
          <w:rPr>
            <w:noProof/>
            <w:webHidden/>
          </w:rPr>
          <w:instrText xml:space="preserve"> PAGEREF _Toc488741772 \h </w:instrText>
        </w:r>
        <w:r w:rsidR="002E1CE9">
          <w:rPr>
            <w:noProof/>
            <w:webHidden/>
          </w:rPr>
        </w:r>
        <w:r w:rsidR="002E1CE9">
          <w:rPr>
            <w:noProof/>
            <w:webHidden/>
          </w:rPr>
          <w:fldChar w:fldCharType="separate"/>
        </w:r>
        <w:r w:rsidR="0077432E">
          <w:rPr>
            <w:noProof/>
            <w:webHidden/>
          </w:rPr>
          <w:t>76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3" w:history="1">
        <w:r w:rsidR="002E1CE9" w:rsidRPr="00FB35F6">
          <w:rPr>
            <w:rStyle w:val="Hyperlink"/>
            <w:noProof/>
          </w:rPr>
          <w:t>Table 5</w:t>
        </w:r>
        <w:r w:rsidR="002E1CE9" w:rsidRPr="00FB35F6">
          <w:rPr>
            <w:rStyle w:val="Hyperlink"/>
            <w:noProof/>
          </w:rPr>
          <w:noBreakHyphen/>
          <w:t>9: Penn Power’s Phase II NTGRs by Program Year</w:t>
        </w:r>
        <w:r w:rsidR="002E1CE9">
          <w:rPr>
            <w:noProof/>
            <w:webHidden/>
          </w:rPr>
          <w:tab/>
        </w:r>
        <w:r w:rsidR="002E1CE9">
          <w:rPr>
            <w:noProof/>
            <w:webHidden/>
          </w:rPr>
          <w:fldChar w:fldCharType="begin"/>
        </w:r>
        <w:r w:rsidR="002E1CE9">
          <w:rPr>
            <w:noProof/>
            <w:webHidden/>
          </w:rPr>
          <w:instrText xml:space="preserve"> PAGEREF _Toc488741773 \h </w:instrText>
        </w:r>
        <w:r w:rsidR="002E1CE9">
          <w:rPr>
            <w:noProof/>
            <w:webHidden/>
          </w:rPr>
        </w:r>
        <w:r w:rsidR="002E1CE9">
          <w:rPr>
            <w:noProof/>
            <w:webHidden/>
          </w:rPr>
          <w:fldChar w:fldCharType="separate"/>
        </w:r>
        <w:r w:rsidR="0077432E">
          <w:rPr>
            <w:noProof/>
            <w:webHidden/>
          </w:rPr>
          <w:t>76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4" w:history="1">
        <w:r w:rsidR="002E1CE9" w:rsidRPr="00FB35F6">
          <w:rPr>
            <w:rStyle w:val="Hyperlink"/>
            <w:noProof/>
          </w:rPr>
          <w:t>Table 5</w:t>
        </w:r>
        <w:r w:rsidR="002E1CE9" w:rsidRPr="00FB35F6">
          <w:rPr>
            <w:rStyle w:val="Hyperlink"/>
            <w:noProof/>
          </w:rPr>
          <w:noBreakHyphen/>
          <w:t>10: West Penn’s Phase II NTGRs by Program Year</w:t>
        </w:r>
        <w:r w:rsidR="002E1CE9">
          <w:rPr>
            <w:noProof/>
            <w:webHidden/>
          </w:rPr>
          <w:tab/>
        </w:r>
        <w:r w:rsidR="002E1CE9">
          <w:rPr>
            <w:noProof/>
            <w:webHidden/>
          </w:rPr>
          <w:fldChar w:fldCharType="begin"/>
        </w:r>
        <w:r w:rsidR="002E1CE9">
          <w:rPr>
            <w:noProof/>
            <w:webHidden/>
          </w:rPr>
          <w:instrText xml:space="preserve"> PAGEREF _Toc488741774 \h </w:instrText>
        </w:r>
        <w:r w:rsidR="002E1CE9">
          <w:rPr>
            <w:noProof/>
            <w:webHidden/>
          </w:rPr>
        </w:r>
        <w:r w:rsidR="002E1CE9">
          <w:rPr>
            <w:noProof/>
            <w:webHidden/>
          </w:rPr>
          <w:fldChar w:fldCharType="separate"/>
        </w:r>
        <w:r w:rsidR="0077432E">
          <w:rPr>
            <w:noProof/>
            <w:webHidden/>
          </w:rPr>
          <w:t>77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5" w:history="1">
        <w:r w:rsidR="002E1CE9" w:rsidRPr="00FB35F6">
          <w:rPr>
            <w:rStyle w:val="Hyperlink"/>
            <w:noProof/>
          </w:rPr>
          <w:t>Table 5</w:t>
        </w:r>
        <w:r w:rsidR="002E1CE9" w:rsidRPr="00FB35F6">
          <w:rPr>
            <w:rStyle w:val="Hyperlink"/>
            <w:noProof/>
          </w:rPr>
          <w:noBreakHyphen/>
          <w:t>11: PECO’s Phase II NTGRs by Program Year</w:t>
        </w:r>
        <w:r w:rsidR="002E1CE9">
          <w:rPr>
            <w:noProof/>
            <w:webHidden/>
          </w:rPr>
          <w:tab/>
        </w:r>
        <w:r w:rsidR="002E1CE9">
          <w:rPr>
            <w:noProof/>
            <w:webHidden/>
          </w:rPr>
          <w:fldChar w:fldCharType="begin"/>
        </w:r>
        <w:r w:rsidR="002E1CE9">
          <w:rPr>
            <w:noProof/>
            <w:webHidden/>
          </w:rPr>
          <w:instrText xml:space="preserve"> PAGEREF _Toc488741775 \h </w:instrText>
        </w:r>
        <w:r w:rsidR="002E1CE9">
          <w:rPr>
            <w:noProof/>
            <w:webHidden/>
          </w:rPr>
        </w:r>
        <w:r w:rsidR="002E1CE9">
          <w:rPr>
            <w:noProof/>
            <w:webHidden/>
          </w:rPr>
          <w:fldChar w:fldCharType="separate"/>
        </w:r>
        <w:r w:rsidR="0077432E">
          <w:rPr>
            <w:noProof/>
            <w:webHidden/>
          </w:rPr>
          <w:t>77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6" w:history="1">
        <w:r w:rsidR="002E1CE9" w:rsidRPr="00FB35F6">
          <w:rPr>
            <w:rStyle w:val="Hyperlink"/>
            <w:noProof/>
          </w:rPr>
          <w:t>Table 5</w:t>
        </w:r>
        <w:r w:rsidR="002E1CE9" w:rsidRPr="00FB35F6">
          <w:rPr>
            <w:rStyle w:val="Hyperlink"/>
            <w:noProof/>
          </w:rPr>
          <w:noBreakHyphen/>
          <w:t>12: PPL’s Phase II NTGRs by Program Year</w:t>
        </w:r>
        <w:r w:rsidR="002E1CE9">
          <w:rPr>
            <w:noProof/>
            <w:webHidden/>
          </w:rPr>
          <w:tab/>
        </w:r>
        <w:r w:rsidR="002E1CE9">
          <w:rPr>
            <w:noProof/>
            <w:webHidden/>
          </w:rPr>
          <w:fldChar w:fldCharType="begin"/>
        </w:r>
        <w:r w:rsidR="002E1CE9">
          <w:rPr>
            <w:noProof/>
            <w:webHidden/>
          </w:rPr>
          <w:instrText xml:space="preserve"> PAGEREF _Toc488741776 \h </w:instrText>
        </w:r>
        <w:r w:rsidR="002E1CE9">
          <w:rPr>
            <w:noProof/>
            <w:webHidden/>
          </w:rPr>
        </w:r>
        <w:r w:rsidR="002E1CE9">
          <w:rPr>
            <w:noProof/>
            <w:webHidden/>
          </w:rPr>
          <w:fldChar w:fldCharType="separate"/>
        </w:r>
        <w:r w:rsidR="0077432E">
          <w:rPr>
            <w:noProof/>
            <w:webHidden/>
          </w:rPr>
          <w:t>78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7" w:history="1">
        <w:r w:rsidR="002E1CE9" w:rsidRPr="00FB35F6">
          <w:rPr>
            <w:rStyle w:val="Hyperlink"/>
            <w:noProof/>
          </w:rPr>
          <w:t>Table 6</w:t>
        </w:r>
        <w:r w:rsidR="002E1CE9" w:rsidRPr="00FB35F6">
          <w:rPr>
            <w:rStyle w:val="Hyperlink"/>
            <w:noProof/>
          </w:rPr>
          <w:noBreakHyphen/>
          <w:t>1: Costs, Annual kWh Savings, and Cost per First-Year kWh Saved by Program Year – All EDCs Combined</w:t>
        </w:r>
        <w:r w:rsidR="002E1CE9">
          <w:rPr>
            <w:noProof/>
            <w:webHidden/>
          </w:rPr>
          <w:tab/>
        </w:r>
        <w:r w:rsidR="002E1CE9">
          <w:rPr>
            <w:noProof/>
            <w:webHidden/>
          </w:rPr>
          <w:fldChar w:fldCharType="begin"/>
        </w:r>
        <w:r w:rsidR="002E1CE9">
          <w:rPr>
            <w:noProof/>
            <w:webHidden/>
          </w:rPr>
          <w:instrText xml:space="preserve"> PAGEREF _Toc488741777 \h </w:instrText>
        </w:r>
        <w:r w:rsidR="002E1CE9">
          <w:rPr>
            <w:noProof/>
            <w:webHidden/>
          </w:rPr>
        </w:r>
        <w:r w:rsidR="002E1CE9">
          <w:rPr>
            <w:noProof/>
            <w:webHidden/>
          </w:rPr>
          <w:fldChar w:fldCharType="separate"/>
        </w:r>
        <w:r w:rsidR="0077432E">
          <w:rPr>
            <w:noProof/>
            <w:webHidden/>
          </w:rPr>
          <w:t>94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8" w:history="1">
        <w:r w:rsidR="002E1CE9" w:rsidRPr="00FB35F6">
          <w:rPr>
            <w:rStyle w:val="Hyperlink"/>
            <w:noProof/>
          </w:rPr>
          <w:t>Table 6</w:t>
        </w:r>
        <w:r w:rsidR="002E1CE9" w:rsidRPr="00FB35F6">
          <w:rPr>
            <w:rStyle w:val="Hyperlink"/>
            <w:noProof/>
          </w:rPr>
          <w:noBreakHyphen/>
          <w:t>2: Total Costs, Verified Gross kWh Savings, and Cost per First-Year kWh Saved by EDC for All Years Combined</w:t>
        </w:r>
        <w:r w:rsidR="002E1CE9">
          <w:rPr>
            <w:noProof/>
            <w:webHidden/>
          </w:rPr>
          <w:tab/>
        </w:r>
        <w:r w:rsidR="002E1CE9">
          <w:rPr>
            <w:noProof/>
            <w:webHidden/>
          </w:rPr>
          <w:fldChar w:fldCharType="begin"/>
        </w:r>
        <w:r w:rsidR="002E1CE9">
          <w:rPr>
            <w:noProof/>
            <w:webHidden/>
          </w:rPr>
          <w:instrText xml:space="preserve"> PAGEREF _Toc488741778 \h </w:instrText>
        </w:r>
        <w:r w:rsidR="002E1CE9">
          <w:rPr>
            <w:noProof/>
            <w:webHidden/>
          </w:rPr>
        </w:r>
        <w:r w:rsidR="002E1CE9">
          <w:rPr>
            <w:noProof/>
            <w:webHidden/>
          </w:rPr>
          <w:fldChar w:fldCharType="separate"/>
        </w:r>
        <w:r w:rsidR="0077432E">
          <w:rPr>
            <w:noProof/>
            <w:webHidden/>
          </w:rPr>
          <w:t>95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79" w:history="1">
        <w:r w:rsidR="002E1CE9" w:rsidRPr="00FB35F6">
          <w:rPr>
            <w:rStyle w:val="Hyperlink"/>
            <w:noProof/>
          </w:rPr>
          <w:t>Table 6</w:t>
        </w:r>
        <w:r w:rsidR="002E1CE9" w:rsidRPr="00FB35F6">
          <w:rPr>
            <w:rStyle w:val="Hyperlink"/>
            <w:noProof/>
          </w:rPr>
          <w:noBreakHyphen/>
          <w:t>3: Duquesne Costs, Verified Gross Annual kWh Savings, and Cost per First-Year kWh Saved by Program Year</w:t>
        </w:r>
        <w:r w:rsidR="002E1CE9">
          <w:rPr>
            <w:noProof/>
            <w:webHidden/>
          </w:rPr>
          <w:tab/>
        </w:r>
        <w:r w:rsidR="002E1CE9">
          <w:rPr>
            <w:noProof/>
            <w:webHidden/>
          </w:rPr>
          <w:fldChar w:fldCharType="begin"/>
        </w:r>
        <w:r w:rsidR="002E1CE9">
          <w:rPr>
            <w:noProof/>
            <w:webHidden/>
          </w:rPr>
          <w:instrText xml:space="preserve"> PAGEREF _Toc488741779 \h </w:instrText>
        </w:r>
        <w:r w:rsidR="002E1CE9">
          <w:rPr>
            <w:noProof/>
            <w:webHidden/>
          </w:rPr>
        </w:r>
        <w:r w:rsidR="002E1CE9">
          <w:rPr>
            <w:noProof/>
            <w:webHidden/>
          </w:rPr>
          <w:fldChar w:fldCharType="separate"/>
        </w:r>
        <w:r w:rsidR="0077432E">
          <w:rPr>
            <w:noProof/>
            <w:webHidden/>
          </w:rPr>
          <w:t>95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80" w:history="1">
        <w:r w:rsidR="002E1CE9" w:rsidRPr="00FB35F6">
          <w:rPr>
            <w:rStyle w:val="Hyperlink"/>
            <w:noProof/>
          </w:rPr>
          <w:t>Table 6</w:t>
        </w:r>
        <w:r w:rsidR="002E1CE9" w:rsidRPr="00FB35F6">
          <w:rPr>
            <w:rStyle w:val="Hyperlink"/>
            <w:noProof/>
          </w:rPr>
          <w:noBreakHyphen/>
          <w:t>4: Met-Ed Costs, Annual kWh Savings, and Cost per First-Year kWh Saved by Program Year</w:t>
        </w:r>
        <w:r w:rsidR="002E1CE9">
          <w:rPr>
            <w:noProof/>
            <w:webHidden/>
          </w:rPr>
          <w:tab/>
        </w:r>
        <w:r w:rsidR="002E1CE9">
          <w:rPr>
            <w:noProof/>
            <w:webHidden/>
          </w:rPr>
          <w:fldChar w:fldCharType="begin"/>
        </w:r>
        <w:r w:rsidR="002E1CE9">
          <w:rPr>
            <w:noProof/>
            <w:webHidden/>
          </w:rPr>
          <w:instrText xml:space="preserve"> PAGEREF _Toc488741780 \h </w:instrText>
        </w:r>
        <w:r w:rsidR="002E1CE9">
          <w:rPr>
            <w:noProof/>
            <w:webHidden/>
          </w:rPr>
        </w:r>
        <w:r w:rsidR="002E1CE9">
          <w:rPr>
            <w:noProof/>
            <w:webHidden/>
          </w:rPr>
          <w:fldChar w:fldCharType="separate"/>
        </w:r>
        <w:r w:rsidR="0077432E">
          <w:rPr>
            <w:noProof/>
            <w:webHidden/>
          </w:rPr>
          <w:t>96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81" w:history="1">
        <w:r w:rsidR="002E1CE9" w:rsidRPr="00FB35F6">
          <w:rPr>
            <w:rStyle w:val="Hyperlink"/>
            <w:noProof/>
          </w:rPr>
          <w:t>Table 6</w:t>
        </w:r>
        <w:r w:rsidR="002E1CE9" w:rsidRPr="00FB35F6">
          <w:rPr>
            <w:rStyle w:val="Hyperlink"/>
            <w:noProof/>
          </w:rPr>
          <w:noBreakHyphen/>
          <w:t>5: Penelec Costs, Annual kWh Savings, and Cost per First-Year kWh Saved by Program Year</w:t>
        </w:r>
        <w:r w:rsidR="002E1CE9">
          <w:rPr>
            <w:noProof/>
            <w:webHidden/>
          </w:rPr>
          <w:tab/>
        </w:r>
        <w:r w:rsidR="002E1CE9">
          <w:rPr>
            <w:noProof/>
            <w:webHidden/>
          </w:rPr>
          <w:fldChar w:fldCharType="begin"/>
        </w:r>
        <w:r w:rsidR="002E1CE9">
          <w:rPr>
            <w:noProof/>
            <w:webHidden/>
          </w:rPr>
          <w:instrText xml:space="preserve"> PAGEREF _Toc488741781 \h </w:instrText>
        </w:r>
        <w:r w:rsidR="002E1CE9">
          <w:rPr>
            <w:noProof/>
            <w:webHidden/>
          </w:rPr>
        </w:r>
        <w:r w:rsidR="002E1CE9">
          <w:rPr>
            <w:noProof/>
            <w:webHidden/>
          </w:rPr>
          <w:fldChar w:fldCharType="separate"/>
        </w:r>
        <w:r w:rsidR="0077432E">
          <w:rPr>
            <w:noProof/>
            <w:webHidden/>
          </w:rPr>
          <w:t>97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82" w:history="1">
        <w:r w:rsidR="002E1CE9" w:rsidRPr="00FB35F6">
          <w:rPr>
            <w:rStyle w:val="Hyperlink"/>
            <w:noProof/>
          </w:rPr>
          <w:t>Table 6</w:t>
        </w:r>
        <w:r w:rsidR="002E1CE9" w:rsidRPr="00FB35F6">
          <w:rPr>
            <w:rStyle w:val="Hyperlink"/>
            <w:noProof/>
          </w:rPr>
          <w:noBreakHyphen/>
          <w:t>6: Penn Power Costs, Annual kWh Savings, and Cost per First-Year kWh Saved by Program Year</w:t>
        </w:r>
        <w:r w:rsidR="002E1CE9">
          <w:rPr>
            <w:noProof/>
            <w:webHidden/>
          </w:rPr>
          <w:tab/>
        </w:r>
        <w:r w:rsidR="002E1CE9">
          <w:rPr>
            <w:noProof/>
            <w:webHidden/>
          </w:rPr>
          <w:fldChar w:fldCharType="begin"/>
        </w:r>
        <w:r w:rsidR="002E1CE9">
          <w:rPr>
            <w:noProof/>
            <w:webHidden/>
          </w:rPr>
          <w:instrText xml:space="preserve"> PAGEREF _Toc488741782 \h </w:instrText>
        </w:r>
        <w:r w:rsidR="002E1CE9">
          <w:rPr>
            <w:noProof/>
            <w:webHidden/>
          </w:rPr>
        </w:r>
        <w:r w:rsidR="002E1CE9">
          <w:rPr>
            <w:noProof/>
            <w:webHidden/>
          </w:rPr>
          <w:fldChar w:fldCharType="separate"/>
        </w:r>
        <w:r w:rsidR="0077432E">
          <w:rPr>
            <w:noProof/>
            <w:webHidden/>
          </w:rPr>
          <w:t>98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83" w:history="1">
        <w:r w:rsidR="002E1CE9" w:rsidRPr="00FB35F6">
          <w:rPr>
            <w:rStyle w:val="Hyperlink"/>
            <w:noProof/>
          </w:rPr>
          <w:t>Table 6</w:t>
        </w:r>
        <w:r w:rsidR="002E1CE9" w:rsidRPr="00FB35F6">
          <w:rPr>
            <w:rStyle w:val="Hyperlink"/>
            <w:noProof/>
          </w:rPr>
          <w:noBreakHyphen/>
          <w:t>7: West Penn Costs, Annual kWh Savings, and Cost per First-Year kWh Saved by Program Year</w:t>
        </w:r>
        <w:r w:rsidR="002E1CE9">
          <w:rPr>
            <w:noProof/>
            <w:webHidden/>
          </w:rPr>
          <w:tab/>
        </w:r>
        <w:r w:rsidR="002E1CE9">
          <w:rPr>
            <w:noProof/>
            <w:webHidden/>
          </w:rPr>
          <w:fldChar w:fldCharType="begin"/>
        </w:r>
        <w:r w:rsidR="002E1CE9">
          <w:rPr>
            <w:noProof/>
            <w:webHidden/>
          </w:rPr>
          <w:instrText xml:space="preserve"> PAGEREF _Toc488741783 \h </w:instrText>
        </w:r>
        <w:r w:rsidR="002E1CE9">
          <w:rPr>
            <w:noProof/>
            <w:webHidden/>
          </w:rPr>
        </w:r>
        <w:r w:rsidR="002E1CE9">
          <w:rPr>
            <w:noProof/>
            <w:webHidden/>
          </w:rPr>
          <w:fldChar w:fldCharType="separate"/>
        </w:r>
        <w:r w:rsidR="0077432E">
          <w:rPr>
            <w:noProof/>
            <w:webHidden/>
          </w:rPr>
          <w:t>99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84" w:history="1">
        <w:r w:rsidR="002E1CE9" w:rsidRPr="00FB35F6">
          <w:rPr>
            <w:rStyle w:val="Hyperlink"/>
            <w:noProof/>
          </w:rPr>
          <w:t>Table 6</w:t>
        </w:r>
        <w:r w:rsidR="002E1CE9" w:rsidRPr="00FB35F6">
          <w:rPr>
            <w:rStyle w:val="Hyperlink"/>
            <w:noProof/>
          </w:rPr>
          <w:noBreakHyphen/>
          <w:t>8: PECO Costs, Annual kWh Savings, and Cost per First-Year kWh Saved by Program Year</w:t>
        </w:r>
        <w:r w:rsidR="002E1CE9">
          <w:rPr>
            <w:noProof/>
            <w:webHidden/>
          </w:rPr>
          <w:tab/>
        </w:r>
        <w:r w:rsidR="002E1CE9">
          <w:rPr>
            <w:noProof/>
            <w:webHidden/>
          </w:rPr>
          <w:fldChar w:fldCharType="begin"/>
        </w:r>
        <w:r w:rsidR="002E1CE9">
          <w:rPr>
            <w:noProof/>
            <w:webHidden/>
          </w:rPr>
          <w:instrText xml:space="preserve"> PAGEREF _Toc488741784 \h </w:instrText>
        </w:r>
        <w:r w:rsidR="002E1CE9">
          <w:rPr>
            <w:noProof/>
            <w:webHidden/>
          </w:rPr>
        </w:r>
        <w:r w:rsidR="002E1CE9">
          <w:rPr>
            <w:noProof/>
            <w:webHidden/>
          </w:rPr>
          <w:fldChar w:fldCharType="separate"/>
        </w:r>
        <w:r w:rsidR="0077432E">
          <w:rPr>
            <w:noProof/>
            <w:webHidden/>
          </w:rPr>
          <w:t>100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85" w:history="1">
        <w:r w:rsidR="002E1CE9" w:rsidRPr="00FB35F6">
          <w:rPr>
            <w:rStyle w:val="Hyperlink"/>
            <w:noProof/>
          </w:rPr>
          <w:t>Table 6</w:t>
        </w:r>
        <w:r w:rsidR="002E1CE9" w:rsidRPr="00FB35F6">
          <w:rPr>
            <w:rStyle w:val="Hyperlink"/>
            <w:noProof/>
          </w:rPr>
          <w:noBreakHyphen/>
          <w:t>9: PPL Costs, Annual kWh Savings, and Cost per First-Year kWh Saved by Program Year</w:t>
        </w:r>
        <w:r w:rsidR="002E1CE9">
          <w:rPr>
            <w:noProof/>
            <w:webHidden/>
          </w:rPr>
          <w:tab/>
        </w:r>
        <w:r w:rsidR="002E1CE9">
          <w:rPr>
            <w:noProof/>
            <w:webHidden/>
          </w:rPr>
          <w:fldChar w:fldCharType="begin"/>
        </w:r>
        <w:r w:rsidR="002E1CE9">
          <w:rPr>
            <w:noProof/>
            <w:webHidden/>
          </w:rPr>
          <w:instrText xml:space="preserve"> PAGEREF _Toc488741785 \h </w:instrText>
        </w:r>
        <w:r w:rsidR="002E1CE9">
          <w:rPr>
            <w:noProof/>
            <w:webHidden/>
          </w:rPr>
        </w:r>
        <w:r w:rsidR="002E1CE9">
          <w:rPr>
            <w:noProof/>
            <w:webHidden/>
          </w:rPr>
          <w:fldChar w:fldCharType="separate"/>
        </w:r>
        <w:r w:rsidR="0077432E">
          <w:rPr>
            <w:noProof/>
            <w:webHidden/>
          </w:rPr>
          <w:t>101</w:t>
        </w:r>
        <w:r w:rsidR="002E1CE9">
          <w:rPr>
            <w:noProof/>
            <w:webHidden/>
          </w:rPr>
          <w:fldChar w:fldCharType="end"/>
        </w:r>
      </w:hyperlink>
    </w:p>
    <w:p w:rsidR="00631B39" w:rsidRPr="003965C5" w:rsidRDefault="00C37358" w:rsidP="003965C5">
      <w:r>
        <w:rPr>
          <w:sz w:val="20"/>
        </w:rPr>
        <w:fldChar w:fldCharType="end"/>
      </w:r>
    </w:p>
    <w:p w:rsidR="0091036A" w:rsidRPr="00B81A2F" w:rsidRDefault="00B81A2F" w:rsidP="00664065">
      <w:pPr>
        <w:shd w:val="clear" w:color="auto" w:fill="448A99"/>
        <w:spacing w:after="120"/>
        <w:jc w:val="right"/>
        <w:rPr>
          <w:rFonts w:ascii="Century Gothic" w:hAnsi="Century Gothic"/>
          <w:caps/>
          <w:color w:val="FFFFFF" w:themeColor="background1"/>
          <w:spacing w:val="-12"/>
          <w:sz w:val="28"/>
        </w:rPr>
      </w:pPr>
      <w:r w:rsidRPr="00B81A2F">
        <w:rPr>
          <w:rFonts w:ascii="Century Gothic" w:hAnsi="Century Gothic"/>
          <w:caps/>
          <w:color w:val="FFFFFF" w:themeColor="background1"/>
          <w:spacing w:val="-12"/>
          <w:sz w:val="28"/>
        </w:rPr>
        <w:t>LIST OF FIGURES</w:t>
      </w:r>
    </w:p>
    <w:p w:rsidR="002E1CE9" w:rsidRDefault="00B81A2F">
      <w:pPr>
        <w:pStyle w:val="TableofFigures"/>
        <w:tabs>
          <w:tab w:val="right" w:leader="dot" w:pos="9350"/>
        </w:tabs>
        <w:rPr>
          <w:rFonts w:asciiTheme="minorHAnsi" w:eastAsiaTheme="minorEastAsia" w:hAnsiTheme="minorHAnsi" w:cstheme="minorBidi"/>
          <w:noProof/>
          <w:color w:val="auto"/>
          <w:sz w:val="22"/>
        </w:rPr>
      </w:pPr>
      <w:r>
        <w:rPr>
          <w:sz w:val="20"/>
          <w:szCs w:val="20"/>
        </w:rPr>
        <w:fldChar w:fldCharType="begin"/>
      </w:r>
      <w:r>
        <w:rPr>
          <w:sz w:val="20"/>
          <w:szCs w:val="20"/>
        </w:rPr>
        <w:instrText xml:space="preserve"> TOC \h \z \c "Figure" </w:instrText>
      </w:r>
      <w:r>
        <w:rPr>
          <w:sz w:val="20"/>
          <w:szCs w:val="20"/>
        </w:rPr>
        <w:fldChar w:fldCharType="separate"/>
      </w:r>
      <w:hyperlink w:anchor="_Toc488741786" w:history="1">
        <w:r w:rsidR="002E1CE9" w:rsidRPr="006E2E47">
          <w:rPr>
            <w:rStyle w:val="Hyperlink"/>
            <w:noProof/>
          </w:rPr>
          <w:t>Figure 1</w:t>
        </w:r>
        <w:r w:rsidR="002E1CE9" w:rsidRPr="006E2E47">
          <w:rPr>
            <w:rStyle w:val="Hyperlink"/>
            <w:noProof/>
          </w:rPr>
          <w:noBreakHyphen/>
          <w:t>1: Phase II Verified Energy Savings (plus Phase I Carryover) by EDC versus EDC Phase II Savings Targets</w:t>
        </w:r>
        <w:r w:rsidR="002E1CE9">
          <w:rPr>
            <w:noProof/>
            <w:webHidden/>
          </w:rPr>
          <w:tab/>
        </w:r>
        <w:r w:rsidR="002E1CE9">
          <w:rPr>
            <w:noProof/>
            <w:webHidden/>
          </w:rPr>
          <w:fldChar w:fldCharType="begin"/>
        </w:r>
        <w:r w:rsidR="002E1CE9">
          <w:rPr>
            <w:noProof/>
            <w:webHidden/>
          </w:rPr>
          <w:instrText xml:space="preserve"> PAGEREF _Toc488741786 \h </w:instrText>
        </w:r>
        <w:r w:rsidR="002E1CE9">
          <w:rPr>
            <w:noProof/>
            <w:webHidden/>
          </w:rPr>
        </w:r>
        <w:r w:rsidR="002E1CE9">
          <w:rPr>
            <w:noProof/>
            <w:webHidden/>
          </w:rPr>
          <w:fldChar w:fldCharType="separate"/>
        </w:r>
        <w:r w:rsidR="0077432E">
          <w:rPr>
            <w:noProof/>
            <w:webHidden/>
          </w:rPr>
          <w:t>11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87" w:history="1">
        <w:r w:rsidR="002E1CE9" w:rsidRPr="006E2E47">
          <w:rPr>
            <w:rStyle w:val="Hyperlink"/>
            <w:noProof/>
          </w:rPr>
          <w:t>Figure 2</w:t>
        </w:r>
        <w:r w:rsidR="002E1CE9" w:rsidRPr="006E2E47">
          <w:rPr>
            <w:rStyle w:val="Hyperlink"/>
            <w:noProof/>
          </w:rPr>
          <w:noBreakHyphen/>
          <w:t>1: PY7 Verified Energy Savings by EDC and Sector</w:t>
        </w:r>
        <w:r w:rsidR="002E1CE9">
          <w:rPr>
            <w:noProof/>
            <w:webHidden/>
          </w:rPr>
          <w:tab/>
        </w:r>
        <w:r w:rsidR="002E1CE9">
          <w:rPr>
            <w:noProof/>
            <w:webHidden/>
          </w:rPr>
          <w:fldChar w:fldCharType="begin"/>
        </w:r>
        <w:r w:rsidR="002E1CE9">
          <w:rPr>
            <w:noProof/>
            <w:webHidden/>
          </w:rPr>
          <w:instrText xml:space="preserve"> PAGEREF _Toc488741787 \h </w:instrText>
        </w:r>
        <w:r w:rsidR="002E1CE9">
          <w:rPr>
            <w:noProof/>
            <w:webHidden/>
          </w:rPr>
        </w:r>
        <w:r w:rsidR="002E1CE9">
          <w:rPr>
            <w:noProof/>
            <w:webHidden/>
          </w:rPr>
          <w:fldChar w:fldCharType="separate"/>
        </w:r>
        <w:r w:rsidR="0077432E">
          <w:rPr>
            <w:noProof/>
            <w:webHidden/>
          </w:rPr>
          <w:t>16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88" w:history="1">
        <w:r w:rsidR="002E1CE9" w:rsidRPr="006E2E47">
          <w:rPr>
            <w:rStyle w:val="Hyperlink"/>
            <w:noProof/>
          </w:rPr>
          <w:t>Figure 2</w:t>
        </w:r>
        <w:r w:rsidR="002E1CE9" w:rsidRPr="006E2E47">
          <w:rPr>
            <w:rStyle w:val="Hyperlink"/>
            <w:noProof/>
          </w:rPr>
          <w:noBreakHyphen/>
          <w:t>2: PY7 Residential Low-Income Program – Average Utility Cost per Participant Served</w:t>
        </w:r>
        <w:r w:rsidR="002E1CE9">
          <w:rPr>
            <w:noProof/>
            <w:webHidden/>
          </w:rPr>
          <w:tab/>
        </w:r>
        <w:r w:rsidR="002E1CE9">
          <w:rPr>
            <w:noProof/>
            <w:webHidden/>
          </w:rPr>
          <w:fldChar w:fldCharType="begin"/>
        </w:r>
        <w:r w:rsidR="002E1CE9">
          <w:rPr>
            <w:noProof/>
            <w:webHidden/>
          </w:rPr>
          <w:instrText xml:space="preserve"> PAGEREF _Toc488741788 \h </w:instrText>
        </w:r>
        <w:r w:rsidR="002E1CE9">
          <w:rPr>
            <w:noProof/>
            <w:webHidden/>
          </w:rPr>
        </w:r>
        <w:r w:rsidR="002E1CE9">
          <w:rPr>
            <w:noProof/>
            <w:webHidden/>
          </w:rPr>
          <w:fldChar w:fldCharType="separate"/>
        </w:r>
        <w:r w:rsidR="0077432E">
          <w:rPr>
            <w:noProof/>
            <w:webHidden/>
          </w:rPr>
          <w:t>20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89" w:history="1">
        <w:r w:rsidR="002E1CE9" w:rsidRPr="006E2E47">
          <w:rPr>
            <w:rStyle w:val="Hyperlink"/>
            <w:noProof/>
          </w:rPr>
          <w:t>Figure 2</w:t>
        </w:r>
        <w:r w:rsidR="002E1CE9" w:rsidRPr="006E2E47">
          <w:rPr>
            <w:rStyle w:val="Hyperlink"/>
            <w:noProof/>
          </w:rPr>
          <w:noBreakHyphen/>
          <w:t>3: Residential Low-Income Program PY7 Total MWh/yr Savings by EDC</w:t>
        </w:r>
        <w:r w:rsidR="002E1CE9">
          <w:rPr>
            <w:noProof/>
            <w:webHidden/>
          </w:rPr>
          <w:tab/>
        </w:r>
        <w:r w:rsidR="002E1CE9">
          <w:rPr>
            <w:noProof/>
            <w:webHidden/>
          </w:rPr>
          <w:fldChar w:fldCharType="begin"/>
        </w:r>
        <w:r w:rsidR="002E1CE9">
          <w:rPr>
            <w:noProof/>
            <w:webHidden/>
          </w:rPr>
          <w:instrText xml:space="preserve"> PAGEREF _Toc488741789 \h </w:instrText>
        </w:r>
        <w:r w:rsidR="002E1CE9">
          <w:rPr>
            <w:noProof/>
            <w:webHidden/>
          </w:rPr>
        </w:r>
        <w:r w:rsidR="002E1CE9">
          <w:rPr>
            <w:noProof/>
            <w:webHidden/>
          </w:rPr>
          <w:fldChar w:fldCharType="separate"/>
        </w:r>
        <w:r w:rsidR="0077432E">
          <w:rPr>
            <w:noProof/>
            <w:webHidden/>
          </w:rPr>
          <w:t>23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0" w:history="1">
        <w:r w:rsidR="002E1CE9" w:rsidRPr="006E2E47">
          <w:rPr>
            <w:rStyle w:val="Hyperlink"/>
            <w:noProof/>
          </w:rPr>
          <w:t>Figure 2</w:t>
        </w:r>
        <w:r w:rsidR="002E1CE9" w:rsidRPr="006E2E47">
          <w:rPr>
            <w:rStyle w:val="Hyperlink"/>
            <w:noProof/>
          </w:rPr>
          <w:noBreakHyphen/>
          <w:t>4: Residential Low-Income PY7 Total MW Savings by EDC</w:t>
        </w:r>
        <w:r w:rsidR="002E1CE9">
          <w:rPr>
            <w:noProof/>
            <w:webHidden/>
          </w:rPr>
          <w:tab/>
        </w:r>
        <w:r w:rsidR="002E1CE9">
          <w:rPr>
            <w:noProof/>
            <w:webHidden/>
          </w:rPr>
          <w:fldChar w:fldCharType="begin"/>
        </w:r>
        <w:r w:rsidR="002E1CE9">
          <w:rPr>
            <w:noProof/>
            <w:webHidden/>
          </w:rPr>
          <w:instrText xml:space="preserve"> PAGEREF _Toc488741790 \h </w:instrText>
        </w:r>
        <w:r w:rsidR="002E1CE9">
          <w:rPr>
            <w:noProof/>
            <w:webHidden/>
          </w:rPr>
        </w:r>
        <w:r w:rsidR="002E1CE9">
          <w:rPr>
            <w:noProof/>
            <w:webHidden/>
          </w:rPr>
          <w:fldChar w:fldCharType="separate"/>
        </w:r>
        <w:r w:rsidR="0077432E">
          <w:rPr>
            <w:noProof/>
            <w:webHidden/>
          </w:rPr>
          <w:t>24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1" w:history="1">
        <w:r w:rsidR="002E1CE9" w:rsidRPr="006E2E47">
          <w:rPr>
            <w:rStyle w:val="Hyperlink"/>
            <w:noProof/>
          </w:rPr>
          <w:t>Figure 2</w:t>
        </w:r>
        <w:r w:rsidR="002E1CE9" w:rsidRPr="006E2E47">
          <w:rPr>
            <w:rStyle w:val="Hyperlink"/>
            <w:noProof/>
          </w:rPr>
          <w:noBreakHyphen/>
          <w:t>5: Number of PY7 Residential Low-Income Program On-Site Inspections Completed by EDC</w:t>
        </w:r>
        <w:r w:rsidR="002E1CE9">
          <w:rPr>
            <w:noProof/>
            <w:webHidden/>
          </w:rPr>
          <w:tab/>
        </w:r>
        <w:r w:rsidR="002E1CE9">
          <w:rPr>
            <w:noProof/>
            <w:webHidden/>
          </w:rPr>
          <w:fldChar w:fldCharType="begin"/>
        </w:r>
        <w:r w:rsidR="002E1CE9">
          <w:rPr>
            <w:noProof/>
            <w:webHidden/>
          </w:rPr>
          <w:instrText xml:space="preserve"> PAGEREF _Toc488741791 \h </w:instrText>
        </w:r>
        <w:r w:rsidR="002E1CE9">
          <w:rPr>
            <w:noProof/>
            <w:webHidden/>
          </w:rPr>
        </w:r>
        <w:r w:rsidR="002E1CE9">
          <w:rPr>
            <w:noProof/>
            <w:webHidden/>
          </w:rPr>
          <w:fldChar w:fldCharType="separate"/>
        </w:r>
        <w:r w:rsidR="0077432E">
          <w:rPr>
            <w:noProof/>
            <w:webHidden/>
          </w:rPr>
          <w:t>24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2" w:history="1">
        <w:r w:rsidR="002E1CE9" w:rsidRPr="006E2E47">
          <w:rPr>
            <w:rStyle w:val="Hyperlink"/>
            <w:noProof/>
          </w:rPr>
          <w:t>Figure 2</w:t>
        </w:r>
        <w:r w:rsidR="002E1CE9" w:rsidRPr="006E2E47">
          <w:rPr>
            <w:rStyle w:val="Hyperlink"/>
            <w:noProof/>
          </w:rPr>
          <w:noBreakHyphen/>
          <w:t>6: Number of PY7 Residential Low-Income Program Telephone Inspections Completed by EDC</w:t>
        </w:r>
        <w:r w:rsidR="002E1CE9">
          <w:rPr>
            <w:noProof/>
            <w:webHidden/>
          </w:rPr>
          <w:tab/>
        </w:r>
        <w:r w:rsidR="002E1CE9">
          <w:rPr>
            <w:noProof/>
            <w:webHidden/>
          </w:rPr>
          <w:fldChar w:fldCharType="begin"/>
        </w:r>
        <w:r w:rsidR="002E1CE9">
          <w:rPr>
            <w:noProof/>
            <w:webHidden/>
          </w:rPr>
          <w:instrText xml:space="preserve"> PAGEREF _Toc488741792 \h </w:instrText>
        </w:r>
        <w:r w:rsidR="002E1CE9">
          <w:rPr>
            <w:noProof/>
            <w:webHidden/>
          </w:rPr>
        </w:r>
        <w:r w:rsidR="002E1CE9">
          <w:rPr>
            <w:noProof/>
            <w:webHidden/>
          </w:rPr>
          <w:fldChar w:fldCharType="separate"/>
        </w:r>
        <w:r w:rsidR="0077432E">
          <w:rPr>
            <w:noProof/>
            <w:webHidden/>
          </w:rPr>
          <w:t>25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3" w:history="1">
        <w:r w:rsidR="002E1CE9" w:rsidRPr="006E2E47">
          <w:rPr>
            <w:rStyle w:val="Hyperlink"/>
            <w:noProof/>
          </w:rPr>
          <w:t>Figure 2</w:t>
        </w:r>
        <w:r w:rsidR="002E1CE9" w:rsidRPr="006E2E47">
          <w:rPr>
            <w:rStyle w:val="Hyperlink"/>
            <w:noProof/>
          </w:rPr>
          <w:noBreakHyphen/>
          <w:t>7: Percent Desk Audits versus Database Reviews</w:t>
        </w:r>
        <w:r w:rsidR="002E1CE9">
          <w:rPr>
            <w:noProof/>
            <w:webHidden/>
          </w:rPr>
          <w:tab/>
        </w:r>
        <w:r w:rsidR="002E1CE9">
          <w:rPr>
            <w:noProof/>
            <w:webHidden/>
          </w:rPr>
          <w:fldChar w:fldCharType="begin"/>
        </w:r>
        <w:r w:rsidR="002E1CE9">
          <w:rPr>
            <w:noProof/>
            <w:webHidden/>
          </w:rPr>
          <w:instrText xml:space="preserve"> PAGEREF _Toc488741793 \h </w:instrText>
        </w:r>
        <w:r w:rsidR="002E1CE9">
          <w:rPr>
            <w:noProof/>
            <w:webHidden/>
          </w:rPr>
        </w:r>
        <w:r w:rsidR="002E1CE9">
          <w:rPr>
            <w:noProof/>
            <w:webHidden/>
          </w:rPr>
          <w:fldChar w:fldCharType="separate"/>
        </w:r>
        <w:r w:rsidR="0077432E">
          <w:rPr>
            <w:noProof/>
            <w:webHidden/>
          </w:rPr>
          <w:t>25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4" w:history="1">
        <w:r w:rsidR="002E1CE9" w:rsidRPr="006E2E47">
          <w:rPr>
            <w:rStyle w:val="Hyperlink"/>
            <w:noProof/>
          </w:rPr>
          <w:t>Figure 2</w:t>
        </w:r>
        <w:r w:rsidR="002E1CE9" w:rsidRPr="006E2E47">
          <w:rPr>
            <w:rStyle w:val="Hyperlink"/>
            <w:noProof/>
          </w:rPr>
          <w:noBreakHyphen/>
          <w:t>8: Number of PY7 Low-Income Combined On-Site and Telephone Inspections Completed by EDC</w:t>
        </w:r>
        <w:r w:rsidR="002E1CE9">
          <w:rPr>
            <w:noProof/>
            <w:webHidden/>
          </w:rPr>
          <w:tab/>
        </w:r>
        <w:r w:rsidR="002E1CE9">
          <w:rPr>
            <w:noProof/>
            <w:webHidden/>
          </w:rPr>
          <w:fldChar w:fldCharType="begin"/>
        </w:r>
        <w:r w:rsidR="002E1CE9">
          <w:rPr>
            <w:noProof/>
            <w:webHidden/>
          </w:rPr>
          <w:instrText xml:space="preserve"> PAGEREF _Toc488741794 \h </w:instrText>
        </w:r>
        <w:r w:rsidR="002E1CE9">
          <w:rPr>
            <w:noProof/>
            <w:webHidden/>
          </w:rPr>
        </w:r>
        <w:r w:rsidR="002E1CE9">
          <w:rPr>
            <w:noProof/>
            <w:webHidden/>
          </w:rPr>
          <w:fldChar w:fldCharType="separate"/>
        </w:r>
        <w:r w:rsidR="0077432E">
          <w:rPr>
            <w:noProof/>
            <w:webHidden/>
          </w:rPr>
          <w:t>26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5" w:history="1">
        <w:r w:rsidR="002E1CE9" w:rsidRPr="006E2E47">
          <w:rPr>
            <w:rStyle w:val="Hyperlink"/>
            <w:noProof/>
          </w:rPr>
          <w:t>Figure 2</w:t>
        </w:r>
        <w:r w:rsidR="002E1CE9" w:rsidRPr="006E2E47">
          <w:rPr>
            <w:rStyle w:val="Hyperlink"/>
            <w:noProof/>
          </w:rPr>
          <w:noBreakHyphen/>
          <w:t>9: PY7 Low-Income Combined On-Site and Telephone Inspections as a Percentage of Participants</w:t>
        </w:r>
        <w:r w:rsidR="002E1CE9">
          <w:rPr>
            <w:noProof/>
            <w:webHidden/>
          </w:rPr>
          <w:tab/>
        </w:r>
        <w:r w:rsidR="002E1CE9">
          <w:rPr>
            <w:noProof/>
            <w:webHidden/>
          </w:rPr>
          <w:fldChar w:fldCharType="begin"/>
        </w:r>
        <w:r w:rsidR="002E1CE9">
          <w:rPr>
            <w:noProof/>
            <w:webHidden/>
          </w:rPr>
          <w:instrText xml:space="preserve"> PAGEREF _Toc488741795 \h </w:instrText>
        </w:r>
        <w:r w:rsidR="002E1CE9">
          <w:rPr>
            <w:noProof/>
            <w:webHidden/>
          </w:rPr>
        </w:r>
        <w:r w:rsidR="002E1CE9">
          <w:rPr>
            <w:noProof/>
            <w:webHidden/>
          </w:rPr>
          <w:fldChar w:fldCharType="separate"/>
        </w:r>
        <w:r w:rsidR="0077432E">
          <w:rPr>
            <w:noProof/>
            <w:webHidden/>
          </w:rPr>
          <w:t>26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6" w:history="1">
        <w:r w:rsidR="002E1CE9" w:rsidRPr="006E2E47">
          <w:rPr>
            <w:rStyle w:val="Hyperlink"/>
            <w:noProof/>
          </w:rPr>
          <w:t>Figure 2</w:t>
        </w:r>
        <w:r w:rsidR="002E1CE9" w:rsidRPr="006E2E47">
          <w:rPr>
            <w:rStyle w:val="Hyperlink"/>
            <w:noProof/>
          </w:rPr>
          <w:noBreakHyphen/>
          <w:t>10: PY7 Residential Low-Income Program TRC Ratios by EDC</w:t>
        </w:r>
        <w:r w:rsidR="002E1CE9">
          <w:rPr>
            <w:noProof/>
            <w:webHidden/>
          </w:rPr>
          <w:tab/>
        </w:r>
        <w:r w:rsidR="002E1CE9">
          <w:rPr>
            <w:noProof/>
            <w:webHidden/>
          </w:rPr>
          <w:fldChar w:fldCharType="begin"/>
        </w:r>
        <w:r w:rsidR="002E1CE9">
          <w:rPr>
            <w:noProof/>
            <w:webHidden/>
          </w:rPr>
          <w:instrText xml:space="preserve"> PAGEREF _Toc488741796 \h </w:instrText>
        </w:r>
        <w:r w:rsidR="002E1CE9">
          <w:rPr>
            <w:noProof/>
            <w:webHidden/>
          </w:rPr>
        </w:r>
        <w:r w:rsidR="002E1CE9">
          <w:rPr>
            <w:noProof/>
            <w:webHidden/>
          </w:rPr>
          <w:fldChar w:fldCharType="separate"/>
        </w:r>
        <w:r w:rsidR="0077432E">
          <w:rPr>
            <w:noProof/>
            <w:webHidden/>
          </w:rPr>
          <w:t>27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7" w:history="1">
        <w:r w:rsidR="002E1CE9" w:rsidRPr="006E2E47">
          <w:rPr>
            <w:rStyle w:val="Hyperlink"/>
            <w:noProof/>
          </w:rPr>
          <w:t>Figure 2</w:t>
        </w:r>
        <w:r w:rsidR="002E1CE9" w:rsidRPr="006E2E47">
          <w:rPr>
            <w:rStyle w:val="Hyperlink"/>
            <w:noProof/>
          </w:rPr>
          <w:noBreakHyphen/>
          <w:t>11: PY7 Residential Low-Income Program EE&amp;C Plan Estimates versus PY7 Actual Expenditures</w:t>
        </w:r>
        <w:r w:rsidR="002E1CE9">
          <w:rPr>
            <w:noProof/>
            <w:webHidden/>
          </w:rPr>
          <w:tab/>
        </w:r>
        <w:r w:rsidR="002E1CE9">
          <w:rPr>
            <w:noProof/>
            <w:webHidden/>
          </w:rPr>
          <w:fldChar w:fldCharType="begin"/>
        </w:r>
        <w:r w:rsidR="002E1CE9">
          <w:rPr>
            <w:noProof/>
            <w:webHidden/>
          </w:rPr>
          <w:instrText xml:space="preserve"> PAGEREF _Toc488741797 \h </w:instrText>
        </w:r>
        <w:r w:rsidR="002E1CE9">
          <w:rPr>
            <w:noProof/>
            <w:webHidden/>
          </w:rPr>
        </w:r>
        <w:r w:rsidR="002E1CE9">
          <w:rPr>
            <w:noProof/>
            <w:webHidden/>
          </w:rPr>
          <w:fldChar w:fldCharType="separate"/>
        </w:r>
        <w:r w:rsidR="0077432E">
          <w:rPr>
            <w:noProof/>
            <w:webHidden/>
          </w:rPr>
          <w:t>27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8" w:history="1">
        <w:r w:rsidR="002E1CE9" w:rsidRPr="006E2E47">
          <w:rPr>
            <w:rStyle w:val="Hyperlink"/>
            <w:noProof/>
          </w:rPr>
          <w:t>Figure 2</w:t>
        </w:r>
        <w:r w:rsidR="002E1CE9" w:rsidRPr="006E2E47">
          <w:rPr>
            <w:rStyle w:val="Hyperlink"/>
            <w:noProof/>
          </w:rPr>
          <w:noBreakHyphen/>
          <w:t>12: PY7 EE&amp;C Plan Low-Income Program EE&amp;C Plan Estimated MWh/yr versus Verified MWh/yr PY7 Savings</w:t>
        </w:r>
        <w:r w:rsidR="002E1CE9">
          <w:rPr>
            <w:noProof/>
            <w:webHidden/>
          </w:rPr>
          <w:tab/>
        </w:r>
        <w:r w:rsidR="002E1CE9">
          <w:rPr>
            <w:noProof/>
            <w:webHidden/>
          </w:rPr>
          <w:fldChar w:fldCharType="begin"/>
        </w:r>
        <w:r w:rsidR="002E1CE9">
          <w:rPr>
            <w:noProof/>
            <w:webHidden/>
          </w:rPr>
          <w:instrText xml:space="preserve"> PAGEREF _Toc488741798 \h </w:instrText>
        </w:r>
        <w:r w:rsidR="002E1CE9">
          <w:rPr>
            <w:noProof/>
            <w:webHidden/>
          </w:rPr>
        </w:r>
        <w:r w:rsidR="002E1CE9">
          <w:rPr>
            <w:noProof/>
            <w:webHidden/>
          </w:rPr>
          <w:fldChar w:fldCharType="separate"/>
        </w:r>
        <w:r w:rsidR="0077432E">
          <w:rPr>
            <w:noProof/>
            <w:webHidden/>
          </w:rPr>
          <w:t>28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799" w:history="1">
        <w:r w:rsidR="002E1CE9" w:rsidRPr="006E2E47">
          <w:rPr>
            <w:rStyle w:val="Hyperlink"/>
            <w:noProof/>
          </w:rPr>
          <w:t>Figure 2</w:t>
        </w:r>
        <w:r w:rsidR="002E1CE9" w:rsidRPr="006E2E47">
          <w:rPr>
            <w:rStyle w:val="Hyperlink"/>
            <w:noProof/>
          </w:rPr>
          <w:noBreakHyphen/>
          <w:t>13: PY7 EE&amp;C Plan Low-Income Program EE&amp;C Plan Estimated MW versus Verified MW PY7 Savings</w:t>
        </w:r>
        <w:r w:rsidR="002E1CE9">
          <w:rPr>
            <w:noProof/>
            <w:webHidden/>
          </w:rPr>
          <w:tab/>
        </w:r>
        <w:r w:rsidR="002E1CE9">
          <w:rPr>
            <w:noProof/>
            <w:webHidden/>
          </w:rPr>
          <w:fldChar w:fldCharType="begin"/>
        </w:r>
        <w:r w:rsidR="002E1CE9">
          <w:rPr>
            <w:noProof/>
            <w:webHidden/>
          </w:rPr>
          <w:instrText xml:space="preserve"> PAGEREF _Toc488741799 \h </w:instrText>
        </w:r>
        <w:r w:rsidR="002E1CE9">
          <w:rPr>
            <w:noProof/>
            <w:webHidden/>
          </w:rPr>
        </w:r>
        <w:r w:rsidR="002E1CE9">
          <w:rPr>
            <w:noProof/>
            <w:webHidden/>
          </w:rPr>
          <w:fldChar w:fldCharType="separate"/>
        </w:r>
        <w:r w:rsidR="0077432E">
          <w:rPr>
            <w:noProof/>
            <w:webHidden/>
          </w:rPr>
          <w:t>28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0" w:history="1">
        <w:r w:rsidR="002E1CE9" w:rsidRPr="006E2E47">
          <w:rPr>
            <w:rStyle w:val="Hyperlink"/>
            <w:noProof/>
          </w:rPr>
          <w:t>Figure 2</w:t>
        </w:r>
        <w:r w:rsidR="002E1CE9" w:rsidRPr="006E2E47">
          <w:rPr>
            <w:rStyle w:val="Hyperlink"/>
            <w:noProof/>
          </w:rPr>
          <w:noBreakHyphen/>
          <w:t>14: PY7 Low-Income Program Energy Savings Realization Rates by EDC</w:t>
        </w:r>
        <w:r w:rsidR="002E1CE9">
          <w:rPr>
            <w:noProof/>
            <w:webHidden/>
          </w:rPr>
          <w:tab/>
        </w:r>
        <w:r w:rsidR="002E1CE9">
          <w:rPr>
            <w:noProof/>
            <w:webHidden/>
          </w:rPr>
          <w:fldChar w:fldCharType="begin"/>
        </w:r>
        <w:r w:rsidR="002E1CE9">
          <w:rPr>
            <w:noProof/>
            <w:webHidden/>
          </w:rPr>
          <w:instrText xml:space="preserve"> PAGEREF _Toc488741800 \h </w:instrText>
        </w:r>
        <w:r w:rsidR="002E1CE9">
          <w:rPr>
            <w:noProof/>
            <w:webHidden/>
          </w:rPr>
        </w:r>
        <w:r w:rsidR="002E1CE9">
          <w:rPr>
            <w:noProof/>
            <w:webHidden/>
          </w:rPr>
          <w:fldChar w:fldCharType="separate"/>
        </w:r>
        <w:r w:rsidR="0077432E">
          <w:rPr>
            <w:noProof/>
            <w:webHidden/>
          </w:rPr>
          <w:t>29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1" w:history="1">
        <w:r w:rsidR="002E1CE9" w:rsidRPr="006E2E47">
          <w:rPr>
            <w:rStyle w:val="Hyperlink"/>
            <w:noProof/>
          </w:rPr>
          <w:t>Figure 2</w:t>
        </w:r>
        <w:r w:rsidR="002E1CE9" w:rsidRPr="006E2E47">
          <w:rPr>
            <w:rStyle w:val="Hyperlink"/>
            <w:noProof/>
          </w:rPr>
          <w:noBreakHyphen/>
          <w:t>15: PY7 Low-Income Program Net-to-Gross Ratios for each EDC</w:t>
        </w:r>
        <w:r w:rsidR="002E1CE9">
          <w:rPr>
            <w:noProof/>
            <w:webHidden/>
          </w:rPr>
          <w:tab/>
        </w:r>
        <w:r w:rsidR="002E1CE9">
          <w:rPr>
            <w:noProof/>
            <w:webHidden/>
          </w:rPr>
          <w:fldChar w:fldCharType="begin"/>
        </w:r>
        <w:r w:rsidR="002E1CE9">
          <w:rPr>
            <w:noProof/>
            <w:webHidden/>
          </w:rPr>
          <w:instrText xml:space="preserve"> PAGEREF _Toc488741801 \h </w:instrText>
        </w:r>
        <w:r w:rsidR="002E1CE9">
          <w:rPr>
            <w:noProof/>
            <w:webHidden/>
          </w:rPr>
        </w:r>
        <w:r w:rsidR="002E1CE9">
          <w:rPr>
            <w:noProof/>
            <w:webHidden/>
          </w:rPr>
          <w:fldChar w:fldCharType="separate"/>
        </w:r>
        <w:r w:rsidR="0077432E">
          <w:rPr>
            <w:noProof/>
            <w:webHidden/>
          </w:rPr>
          <w:t>29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2" w:history="1">
        <w:r w:rsidR="002E1CE9" w:rsidRPr="006E2E47">
          <w:rPr>
            <w:rStyle w:val="Hyperlink"/>
            <w:noProof/>
          </w:rPr>
          <w:t>Figure 2</w:t>
        </w:r>
        <w:r w:rsidR="002E1CE9" w:rsidRPr="006E2E47">
          <w:rPr>
            <w:rStyle w:val="Hyperlink"/>
            <w:noProof/>
          </w:rPr>
          <w:noBreakHyphen/>
          <w:t>16: Phase II Verified Gross Energy Impacts Statewide</w:t>
        </w:r>
        <w:r w:rsidR="002E1CE9">
          <w:rPr>
            <w:noProof/>
            <w:webHidden/>
          </w:rPr>
          <w:tab/>
        </w:r>
        <w:r w:rsidR="002E1CE9">
          <w:rPr>
            <w:noProof/>
            <w:webHidden/>
          </w:rPr>
          <w:fldChar w:fldCharType="begin"/>
        </w:r>
        <w:r w:rsidR="002E1CE9">
          <w:rPr>
            <w:noProof/>
            <w:webHidden/>
          </w:rPr>
          <w:instrText xml:space="preserve"> PAGEREF _Toc488741802 \h </w:instrText>
        </w:r>
        <w:r w:rsidR="002E1CE9">
          <w:rPr>
            <w:noProof/>
            <w:webHidden/>
          </w:rPr>
        </w:r>
        <w:r w:rsidR="002E1CE9">
          <w:rPr>
            <w:noProof/>
            <w:webHidden/>
          </w:rPr>
          <w:fldChar w:fldCharType="separate"/>
        </w:r>
        <w:r w:rsidR="0077432E">
          <w:rPr>
            <w:noProof/>
            <w:webHidden/>
          </w:rPr>
          <w:t>31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3" w:history="1">
        <w:r w:rsidR="002E1CE9" w:rsidRPr="006E2E47">
          <w:rPr>
            <w:rStyle w:val="Hyperlink"/>
            <w:noProof/>
          </w:rPr>
          <w:t>Figure 2</w:t>
        </w:r>
        <w:r w:rsidR="002E1CE9" w:rsidRPr="006E2E47">
          <w:rPr>
            <w:rStyle w:val="Hyperlink"/>
            <w:noProof/>
          </w:rPr>
          <w:noBreakHyphen/>
          <w:t>17: Duquesne Phase II Cumulative Verified Gross Savings by Program Year and Sector</w:t>
        </w:r>
        <w:r w:rsidR="002E1CE9">
          <w:rPr>
            <w:noProof/>
            <w:webHidden/>
          </w:rPr>
          <w:tab/>
        </w:r>
        <w:r w:rsidR="002E1CE9">
          <w:rPr>
            <w:noProof/>
            <w:webHidden/>
          </w:rPr>
          <w:fldChar w:fldCharType="begin"/>
        </w:r>
        <w:r w:rsidR="002E1CE9">
          <w:rPr>
            <w:noProof/>
            <w:webHidden/>
          </w:rPr>
          <w:instrText xml:space="preserve"> PAGEREF _Toc488741803 \h </w:instrText>
        </w:r>
        <w:r w:rsidR="002E1CE9">
          <w:rPr>
            <w:noProof/>
            <w:webHidden/>
          </w:rPr>
        </w:r>
        <w:r w:rsidR="002E1CE9">
          <w:rPr>
            <w:noProof/>
            <w:webHidden/>
          </w:rPr>
          <w:fldChar w:fldCharType="separate"/>
        </w:r>
        <w:r w:rsidR="0077432E">
          <w:rPr>
            <w:noProof/>
            <w:webHidden/>
          </w:rPr>
          <w:t>33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4" w:history="1">
        <w:r w:rsidR="002E1CE9" w:rsidRPr="006E2E47">
          <w:rPr>
            <w:rStyle w:val="Hyperlink"/>
            <w:noProof/>
          </w:rPr>
          <w:t>Figure 2</w:t>
        </w:r>
        <w:r w:rsidR="002E1CE9" w:rsidRPr="006E2E47">
          <w:rPr>
            <w:rStyle w:val="Hyperlink"/>
            <w:noProof/>
          </w:rPr>
          <w:noBreakHyphen/>
          <w:t>18: Met-Ed Phase II Cumulative Verified Gross Savings by Program Year and Sector</w:t>
        </w:r>
        <w:r w:rsidR="002E1CE9">
          <w:rPr>
            <w:noProof/>
            <w:webHidden/>
          </w:rPr>
          <w:tab/>
        </w:r>
        <w:r w:rsidR="002E1CE9">
          <w:rPr>
            <w:noProof/>
            <w:webHidden/>
          </w:rPr>
          <w:fldChar w:fldCharType="begin"/>
        </w:r>
        <w:r w:rsidR="002E1CE9">
          <w:rPr>
            <w:noProof/>
            <w:webHidden/>
          </w:rPr>
          <w:instrText xml:space="preserve"> PAGEREF _Toc488741804 \h </w:instrText>
        </w:r>
        <w:r w:rsidR="002E1CE9">
          <w:rPr>
            <w:noProof/>
            <w:webHidden/>
          </w:rPr>
        </w:r>
        <w:r w:rsidR="002E1CE9">
          <w:rPr>
            <w:noProof/>
            <w:webHidden/>
          </w:rPr>
          <w:fldChar w:fldCharType="separate"/>
        </w:r>
        <w:r w:rsidR="0077432E">
          <w:rPr>
            <w:noProof/>
            <w:webHidden/>
          </w:rPr>
          <w:t>34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5" w:history="1">
        <w:r w:rsidR="002E1CE9" w:rsidRPr="006E2E47">
          <w:rPr>
            <w:rStyle w:val="Hyperlink"/>
            <w:noProof/>
          </w:rPr>
          <w:t>Figure 2</w:t>
        </w:r>
        <w:r w:rsidR="002E1CE9" w:rsidRPr="006E2E47">
          <w:rPr>
            <w:rStyle w:val="Hyperlink"/>
            <w:noProof/>
          </w:rPr>
          <w:noBreakHyphen/>
          <w:t>19: Penelec Phase II Cumulative Verified Gross Savings by Program Year and Sector</w:t>
        </w:r>
        <w:r w:rsidR="002E1CE9">
          <w:rPr>
            <w:noProof/>
            <w:webHidden/>
          </w:rPr>
          <w:tab/>
        </w:r>
        <w:r w:rsidR="002E1CE9">
          <w:rPr>
            <w:noProof/>
            <w:webHidden/>
          </w:rPr>
          <w:fldChar w:fldCharType="begin"/>
        </w:r>
        <w:r w:rsidR="002E1CE9">
          <w:rPr>
            <w:noProof/>
            <w:webHidden/>
          </w:rPr>
          <w:instrText xml:space="preserve"> PAGEREF _Toc488741805 \h </w:instrText>
        </w:r>
        <w:r w:rsidR="002E1CE9">
          <w:rPr>
            <w:noProof/>
            <w:webHidden/>
          </w:rPr>
        </w:r>
        <w:r w:rsidR="002E1CE9">
          <w:rPr>
            <w:noProof/>
            <w:webHidden/>
          </w:rPr>
          <w:fldChar w:fldCharType="separate"/>
        </w:r>
        <w:r w:rsidR="0077432E">
          <w:rPr>
            <w:noProof/>
            <w:webHidden/>
          </w:rPr>
          <w:t>36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6" w:history="1">
        <w:r w:rsidR="002E1CE9" w:rsidRPr="006E2E47">
          <w:rPr>
            <w:rStyle w:val="Hyperlink"/>
            <w:noProof/>
          </w:rPr>
          <w:t>Figure 2</w:t>
        </w:r>
        <w:r w:rsidR="002E1CE9" w:rsidRPr="006E2E47">
          <w:rPr>
            <w:rStyle w:val="Hyperlink"/>
            <w:noProof/>
          </w:rPr>
          <w:noBreakHyphen/>
          <w:t>20: Penn Power Phase II Cumulative Verified Gross Savings by Program Year and Sector</w:t>
        </w:r>
        <w:r w:rsidR="002E1CE9">
          <w:rPr>
            <w:noProof/>
            <w:webHidden/>
          </w:rPr>
          <w:tab/>
        </w:r>
        <w:r w:rsidR="002E1CE9">
          <w:rPr>
            <w:noProof/>
            <w:webHidden/>
          </w:rPr>
          <w:fldChar w:fldCharType="begin"/>
        </w:r>
        <w:r w:rsidR="002E1CE9">
          <w:rPr>
            <w:noProof/>
            <w:webHidden/>
          </w:rPr>
          <w:instrText xml:space="preserve"> PAGEREF _Toc488741806 \h </w:instrText>
        </w:r>
        <w:r w:rsidR="002E1CE9">
          <w:rPr>
            <w:noProof/>
            <w:webHidden/>
          </w:rPr>
        </w:r>
        <w:r w:rsidR="002E1CE9">
          <w:rPr>
            <w:noProof/>
            <w:webHidden/>
          </w:rPr>
          <w:fldChar w:fldCharType="separate"/>
        </w:r>
        <w:r w:rsidR="0077432E">
          <w:rPr>
            <w:noProof/>
            <w:webHidden/>
          </w:rPr>
          <w:t>37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7" w:history="1">
        <w:r w:rsidR="002E1CE9" w:rsidRPr="006E2E47">
          <w:rPr>
            <w:rStyle w:val="Hyperlink"/>
            <w:noProof/>
          </w:rPr>
          <w:t>Figure 2</w:t>
        </w:r>
        <w:r w:rsidR="002E1CE9" w:rsidRPr="006E2E47">
          <w:rPr>
            <w:rStyle w:val="Hyperlink"/>
            <w:noProof/>
          </w:rPr>
          <w:noBreakHyphen/>
          <w:t>21: West Penn Phase II Cumulative Verified Gross Savings by Program Year and Sector</w:t>
        </w:r>
        <w:r w:rsidR="002E1CE9">
          <w:rPr>
            <w:noProof/>
            <w:webHidden/>
          </w:rPr>
          <w:tab/>
        </w:r>
        <w:r w:rsidR="002E1CE9">
          <w:rPr>
            <w:noProof/>
            <w:webHidden/>
          </w:rPr>
          <w:fldChar w:fldCharType="begin"/>
        </w:r>
        <w:r w:rsidR="002E1CE9">
          <w:rPr>
            <w:noProof/>
            <w:webHidden/>
          </w:rPr>
          <w:instrText xml:space="preserve"> PAGEREF _Toc488741807 \h </w:instrText>
        </w:r>
        <w:r w:rsidR="002E1CE9">
          <w:rPr>
            <w:noProof/>
            <w:webHidden/>
          </w:rPr>
        </w:r>
        <w:r w:rsidR="002E1CE9">
          <w:rPr>
            <w:noProof/>
            <w:webHidden/>
          </w:rPr>
          <w:fldChar w:fldCharType="separate"/>
        </w:r>
        <w:r w:rsidR="0077432E">
          <w:rPr>
            <w:noProof/>
            <w:webHidden/>
          </w:rPr>
          <w:t>39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8" w:history="1">
        <w:r w:rsidR="002E1CE9" w:rsidRPr="006E2E47">
          <w:rPr>
            <w:rStyle w:val="Hyperlink"/>
            <w:noProof/>
          </w:rPr>
          <w:t>Figure 2</w:t>
        </w:r>
        <w:r w:rsidR="002E1CE9" w:rsidRPr="006E2E47">
          <w:rPr>
            <w:rStyle w:val="Hyperlink"/>
            <w:noProof/>
          </w:rPr>
          <w:noBreakHyphen/>
          <w:t>22: PECO Phase II Cumulative Verified Gross Savings by Program Year and Sector</w:t>
        </w:r>
        <w:r w:rsidR="002E1CE9">
          <w:rPr>
            <w:noProof/>
            <w:webHidden/>
          </w:rPr>
          <w:tab/>
        </w:r>
        <w:r w:rsidR="002E1CE9">
          <w:rPr>
            <w:noProof/>
            <w:webHidden/>
          </w:rPr>
          <w:fldChar w:fldCharType="begin"/>
        </w:r>
        <w:r w:rsidR="002E1CE9">
          <w:rPr>
            <w:noProof/>
            <w:webHidden/>
          </w:rPr>
          <w:instrText xml:space="preserve"> PAGEREF _Toc488741808 \h </w:instrText>
        </w:r>
        <w:r w:rsidR="002E1CE9">
          <w:rPr>
            <w:noProof/>
            <w:webHidden/>
          </w:rPr>
        </w:r>
        <w:r w:rsidR="002E1CE9">
          <w:rPr>
            <w:noProof/>
            <w:webHidden/>
          </w:rPr>
          <w:fldChar w:fldCharType="separate"/>
        </w:r>
        <w:r w:rsidR="0077432E">
          <w:rPr>
            <w:noProof/>
            <w:webHidden/>
          </w:rPr>
          <w:t>40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09" w:history="1">
        <w:r w:rsidR="002E1CE9" w:rsidRPr="006E2E47">
          <w:rPr>
            <w:rStyle w:val="Hyperlink"/>
            <w:noProof/>
          </w:rPr>
          <w:t>Figure 2</w:t>
        </w:r>
        <w:r w:rsidR="002E1CE9" w:rsidRPr="006E2E47">
          <w:rPr>
            <w:rStyle w:val="Hyperlink"/>
            <w:noProof/>
          </w:rPr>
          <w:noBreakHyphen/>
          <w:t>23: PPL Phase II Cumulative Verified Gross Savings by Program Year and Sector</w:t>
        </w:r>
        <w:r w:rsidR="002E1CE9">
          <w:rPr>
            <w:noProof/>
            <w:webHidden/>
          </w:rPr>
          <w:tab/>
        </w:r>
        <w:r w:rsidR="002E1CE9">
          <w:rPr>
            <w:noProof/>
            <w:webHidden/>
          </w:rPr>
          <w:fldChar w:fldCharType="begin"/>
        </w:r>
        <w:r w:rsidR="002E1CE9">
          <w:rPr>
            <w:noProof/>
            <w:webHidden/>
          </w:rPr>
          <w:instrText xml:space="preserve"> PAGEREF _Toc488741809 \h </w:instrText>
        </w:r>
        <w:r w:rsidR="002E1CE9">
          <w:rPr>
            <w:noProof/>
            <w:webHidden/>
          </w:rPr>
        </w:r>
        <w:r w:rsidR="002E1CE9">
          <w:rPr>
            <w:noProof/>
            <w:webHidden/>
          </w:rPr>
          <w:fldChar w:fldCharType="separate"/>
        </w:r>
        <w:r w:rsidR="0077432E">
          <w:rPr>
            <w:noProof/>
            <w:webHidden/>
          </w:rPr>
          <w:t>42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0" w:history="1">
        <w:r w:rsidR="002E1CE9" w:rsidRPr="006E2E47">
          <w:rPr>
            <w:rStyle w:val="Hyperlink"/>
            <w:noProof/>
          </w:rPr>
          <w:t>Figure 3</w:t>
        </w:r>
        <w:r w:rsidR="002E1CE9" w:rsidRPr="006E2E47">
          <w:rPr>
            <w:rStyle w:val="Hyperlink"/>
            <w:noProof/>
          </w:rPr>
          <w:noBreakHyphen/>
          <w:t>1:  Phase II Cumulative Verified Gross Demand Savings</w:t>
        </w:r>
        <w:r w:rsidR="002E1CE9">
          <w:rPr>
            <w:noProof/>
            <w:webHidden/>
          </w:rPr>
          <w:tab/>
        </w:r>
        <w:r w:rsidR="002E1CE9">
          <w:rPr>
            <w:noProof/>
            <w:webHidden/>
          </w:rPr>
          <w:fldChar w:fldCharType="begin"/>
        </w:r>
        <w:r w:rsidR="002E1CE9">
          <w:rPr>
            <w:noProof/>
            <w:webHidden/>
          </w:rPr>
          <w:instrText xml:space="preserve"> PAGEREF _Toc488741810 \h </w:instrText>
        </w:r>
        <w:r w:rsidR="002E1CE9">
          <w:rPr>
            <w:noProof/>
            <w:webHidden/>
          </w:rPr>
        </w:r>
        <w:r w:rsidR="002E1CE9">
          <w:rPr>
            <w:noProof/>
            <w:webHidden/>
          </w:rPr>
          <w:fldChar w:fldCharType="separate"/>
        </w:r>
        <w:r w:rsidR="0077432E">
          <w:rPr>
            <w:noProof/>
            <w:webHidden/>
          </w:rPr>
          <w:t>44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1" w:history="1">
        <w:r w:rsidR="002E1CE9" w:rsidRPr="006E2E47">
          <w:rPr>
            <w:rStyle w:val="Hyperlink"/>
            <w:noProof/>
          </w:rPr>
          <w:t>Figure 3</w:t>
        </w:r>
        <w:r w:rsidR="002E1CE9" w:rsidRPr="006E2E47">
          <w:rPr>
            <w:rStyle w:val="Hyperlink"/>
            <w:noProof/>
          </w:rPr>
          <w:noBreakHyphen/>
          <w:t>2:  Duquesne Phase II Cumulative Demand Savings, by Sector</w:t>
        </w:r>
        <w:r w:rsidR="002E1CE9">
          <w:rPr>
            <w:noProof/>
            <w:webHidden/>
          </w:rPr>
          <w:tab/>
        </w:r>
        <w:r w:rsidR="002E1CE9">
          <w:rPr>
            <w:noProof/>
            <w:webHidden/>
          </w:rPr>
          <w:fldChar w:fldCharType="begin"/>
        </w:r>
        <w:r w:rsidR="002E1CE9">
          <w:rPr>
            <w:noProof/>
            <w:webHidden/>
          </w:rPr>
          <w:instrText xml:space="preserve"> PAGEREF _Toc488741811 \h </w:instrText>
        </w:r>
        <w:r w:rsidR="002E1CE9">
          <w:rPr>
            <w:noProof/>
            <w:webHidden/>
          </w:rPr>
        </w:r>
        <w:r w:rsidR="002E1CE9">
          <w:rPr>
            <w:noProof/>
            <w:webHidden/>
          </w:rPr>
          <w:fldChar w:fldCharType="separate"/>
        </w:r>
        <w:r w:rsidR="0077432E">
          <w:rPr>
            <w:noProof/>
            <w:webHidden/>
          </w:rPr>
          <w:t>45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2" w:history="1">
        <w:r w:rsidR="002E1CE9" w:rsidRPr="006E2E47">
          <w:rPr>
            <w:rStyle w:val="Hyperlink"/>
            <w:noProof/>
          </w:rPr>
          <w:t>Figure 3</w:t>
        </w:r>
        <w:r w:rsidR="002E1CE9" w:rsidRPr="006E2E47">
          <w:rPr>
            <w:rStyle w:val="Hyperlink"/>
            <w:noProof/>
          </w:rPr>
          <w:noBreakHyphen/>
          <w:t>3: Met-Ed Phase II Cumulative Demand Savings, by Sector</w:t>
        </w:r>
        <w:r w:rsidR="002E1CE9">
          <w:rPr>
            <w:noProof/>
            <w:webHidden/>
          </w:rPr>
          <w:tab/>
        </w:r>
        <w:r w:rsidR="002E1CE9">
          <w:rPr>
            <w:noProof/>
            <w:webHidden/>
          </w:rPr>
          <w:fldChar w:fldCharType="begin"/>
        </w:r>
        <w:r w:rsidR="002E1CE9">
          <w:rPr>
            <w:noProof/>
            <w:webHidden/>
          </w:rPr>
          <w:instrText xml:space="preserve"> PAGEREF _Toc488741812 \h </w:instrText>
        </w:r>
        <w:r w:rsidR="002E1CE9">
          <w:rPr>
            <w:noProof/>
            <w:webHidden/>
          </w:rPr>
        </w:r>
        <w:r w:rsidR="002E1CE9">
          <w:rPr>
            <w:noProof/>
            <w:webHidden/>
          </w:rPr>
          <w:fldChar w:fldCharType="separate"/>
        </w:r>
        <w:r w:rsidR="0077432E">
          <w:rPr>
            <w:noProof/>
            <w:webHidden/>
          </w:rPr>
          <w:t>46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3" w:history="1">
        <w:r w:rsidR="002E1CE9" w:rsidRPr="006E2E47">
          <w:rPr>
            <w:rStyle w:val="Hyperlink"/>
            <w:noProof/>
          </w:rPr>
          <w:t>Figure 3</w:t>
        </w:r>
        <w:r w:rsidR="002E1CE9" w:rsidRPr="006E2E47">
          <w:rPr>
            <w:rStyle w:val="Hyperlink"/>
            <w:noProof/>
          </w:rPr>
          <w:noBreakHyphen/>
          <w:t>4: Penelec Phase II Cumulative Demand Savings, by Sector</w:t>
        </w:r>
        <w:r w:rsidR="002E1CE9">
          <w:rPr>
            <w:noProof/>
            <w:webHidden/>
          </w:rPr>
          <w:tab/>
        </w:r>
        <w:r w:rsidR="002E1CE9">
          <w:rPr>
            <w:noProof/>
            <w:webHidden/>
          </w:rPr>
          <w:fldChar w:fldCharType="begin"/>
        </w:r>
        <w:r w:rsidR="002E1CE9">
          <w:rPr>
            <w:noProof/>
            <w:webHidden/>
          </w:rPr>
          <w:instrText xml:space="preserve"> PAGEREF _Toc488741813 \h </w:instrText>
        </w:r>
        <w:r w:rsidR="002E1CE9">
          <w:rPr>
            <w:noProof/>
            <w:webHidden/>
          </w:rPr>
        </w:r>
        <w:r w:rsidR="002E1CE9">
          <w:rPr>
            <w:noProof/>
            <w:webHidden/>
          </w:rPr>
          <w:fldChar w:fldCharType="separate"/>
        </w:r>
        <w:r w:rsidR="0077432E">
          <w:rPr>
            <w:noProof/>
            <w:webHidden/>
          </w:rPr>
          <w:t>47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4" w:history="1">
        <w:r w:rsidR="002E1CE9" w:rsidRPr="006E2E47">
          <w:rPr>
            <w:rStyle w:val="Hyperlink"/>
            <w:noProof/>
          </w:rPr>
          <w:t>Figure 3</w:t>
        </w:r>
        <w:r w:rsidR="002E1CE9" w:rsidRPr="006E2E47">
          <w:rPr>
            <w:rStyle w:val="Hyperlink"/>
            <w:noProof/>
          </w:rPr>
          <w:noBreakHyphen/>
          <w:t>5: Penn Power Phase II Cumulative Demand Savings, by Sector</w:t>
        </w:r>
        <w:r w:rsidR="002E1CE9">
          <w:rPr>
            <w:noProof/>
            <w:webHidden/>
          </w:rPr>
          <w:tab/>
        </w:r>
        <w:r w:rsidR="002E1CE9">
          <w:rPr>
            <w:noProof/>
            <w:webHidden/>
          </w:rPr>
          <w:fldChar w:fldCharType="begin"/>
        </w:r>
        <w:r w:rsidR="002E1CE9">
          <w:rPr>
            <w:noProof/>
            <w:webHidden/>
          </w:rPr>
          <w:instrText xml:space="preserve"> PAGEREF _Toc488741814 \h </w:instrText>
        </w:r>
        <w:r w:rsidR="002E1CE9">
          <w:rPr>
            <w:noProof/>
            <w:webHidden/>
          </w:rPr>
        </w:r>
        <w:r w:rsidR="002E1CE9">
          <w:rPr>
            <w:noProof/>
            <w:webHidden/>
          </w:rPr>
          <w:fldChar w:fldCharType="separate"/>
        </w:r>
        <w:r w:rsidR="0077432E">
          <w:rPr>
            <w:noProof/>
            <w:webHidden/>
          </w:rPr>
          <w:t>48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5" w:history="1">
        <w:r w:rsidR="002E1CE9" w:rsidRPr="006E2E47">
          <w:rPr>
            <w:rStyle w:val="Hyperlink"/>
            <w:noProof/>
          </w:rPr>
          <w:t>Figure 3</w:t>
        </w:r>
        <w:r w:rsidR="002E1CE9" w:rsidRPr="006E2E47">
          <w:rPr>
            <w:rStyle w:val="Hyperlink"/>
            <w:noProof/>
          </w:rPr>
          <w:noBreakHyphen/>
          <w:t>6: West Penn Phase II Cumulative Demand Savings, by Sector</w:t>
        </w:r>
        <w:r w:rsidR="002E1CE9">
          <w:rPr>
            <w:noProof/>
            <w:webHidden/>
          </w:rPr>
          <w:tab/>
        </w:r>
        <w:r w:rsidR="002E1CE9">
          <w:rPr>
            <w:noProof/>
            <w:webHidden/>
          </w:rPr>
          <w:fldChar w:fldCharType="begin"/>
        </w:r>
        <w:r w:rsidR="002E1CE9">
          <w:rPr>
            <w:noProof/>
            <w:webHidden/>
          </w:rPr>
          <w:instrText xml:space="preserve"> PAGEREF _Toc488741815 \h </w:instrText>
        </w:r>
        <w:r w:rsidR="002E1CE9">
          <w:rPr>
            <w:noProof/>
            <w:webHidden/>
          </w:rPr>
        </w:r>
        <w:r w:rsidR="002E1CE9">
          <w:rPr>
            <w:noProof/>
            <w:webHidden/>
          </w:rPr>
          <w:fldChar w:fldCharType="separate"/>
        </w:r>
        <w:r w:rsidR="0077432E">
          <w:rPr>
            <w:noProof/>
            <w:webHidden/>
          </w:rPr>
          <w:t>49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6" w:history="1">
        <w:r w:rsidR="002E1CE9" w:rsidRPr="006E2E47">
          <w:rPr>
            <w:rStyle w:val="Hyperlink"/>
            <w:noProof/>
          </w:rPr>
          <w:t>Figure 3</w:t>
        </w:r>
        <w:r w:rsidR="002E1CE9" w:rsidRPr="006E2E47">
          <w:rPr>
            <w:rStyle w:val="Hyperlink"/>
            <w:noProof/>
          </w:rPr>
          <w:noBreakHyphen/>
          <w:t>7: PECO Phase II Cumulative Demand Savings, by Sector</w:t>
        </w:r>
        <w:r w:rsidR="002E1CE9">
          <w:rPr>
            <w:noProof/>
            <w:webHidden/>
          </w:rPr>
          <w:tab/>
        </w:r>
        <w:r w:rsidR="002E1CE9">
          <w:rPr>
            <w:noProof/>
            <w:webHidden/>
          </w:rPr>
          <w:fldChar w:fldCharType="begin"/>
        </w:r>
        <w:r w:rsidR="002E1CE9">
          <w:rPr>
            <w:noProof/>
            <w:webHidden/>
          </w:rPr>
          <w:instrText xml:space="preserve"> PAGEREF _Toc488741816 \h </w:instrText>
        </w:r>
        <w:r w:rsidR="002E1CE9">
          <w:rPr>
            <w:noProof/>
            <w:webHidden/>
          </w:rPr>
        </w:r>
        <w:r w:rsidR="002E1CE9">
          <w:rPr>
            <w:noProof/>
            <w:webHidden/>
          </w:rPr>
          <w:fldChar w:fldCharType="separate"/>
        </w:r>
        <w:r w:rsidR="0077432E">
          <w:rPr>
            <w:noProof/>
            <w:webHidden/>
          </w:rPr>
          <w:t>50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7" w:history="1">
        <w:r w:rsidR="002E1CE9" w:rsidRPr="006E2E47">
          <w:rPr>
            <w:rStyle w:val="Hyperlink"/>
            <w:noProof/>
          </w:rPr>
          <w:t>Figure 3</w:t>
        </w:r>
        <w:r w:rsidR="002E1CE9" w:rsidRPr="006E2E47">
          <w:rPr>
            <w:rStyle w:val="Hyperlink"/>
            <w:noProof/>
          </w:rPr>
          <w:noBreakHyphen/>
          <w:t>8: PPL Phase II Cumulative Demand Savings, by Sector</w:t>
        </w:r>
        <w:r w:rsidR="002E1CE9">
          <w:rPr>
            <w:noProof/>
            <w:webHidden/>
          </w:rPr>
          <w:tab/>
        </w:r>
        <w:r w:rsidR="002E1CE9">
          <w:rPr>
            <w:noProof/>
            <w:webHidden/>
          </w:rPr>
          <w:fldChar w:fldCharType="begin"/>
        </w:r>
        <w:r w:rsidR="002E1CE9">
          <w:rPr>
            <w:noProof/>
            <w:webHidden/>
          </w:rPr>
          <w:instrText xml:space="preserve"> PAGEREF _Toc488741817 \h </w:instrText>
        </w:r>
        <w:r w:rsidR="002E1CE9">
          <w:rPr>
            <w:noProof/>
            <w:webHidden/>
          </w:rPr>
        </w:r>
        <w:r w:rsidR="002E1CE9">
          <w:rPr>
            <w:noProof/>
            <w:webHidden/>
          </w:rPr>
          <w:fldChar w:fldCharType="separate"/>
        </w:r>
        <w:r w:rsidR="0077432E">
          <w:rPr>
            <w:noProof/>
            <w:webHidden/>
          </w:rPr>
          <w:t>51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8" w:history="1">
        <w:r w:rsidR="002E1CE9" w:rsidRPr="006E2E47">
          <w:rPr>
            <w:rStyle w:val="Hyperlink"/>
            <w:noProof/>
          </w:rPr>
          <w:t>Figure 4</w:t>
        </w:r>
        <w:r w:rsidR="002E1CE9" w:rsidRPr="006E2E47">
          <w:rPr>
            <w:rStyle w:val="Hyperlink"/>
            <w:noProof/>
          </w:rPr>
          <w:noBreakHyphen/>
          <w:t>1: Phase II TRC Ratios by Portfolio Sector</w:t>
        </w:r>
        <w:r w:rsidR="002E1CE9">
          <w:rPr>
            <w:noProof/>
            <w:webHidden/>
          </w:rPr>
          <w:tab/>
        </w:r>
        <w:r w:rsidR="002E1CE9">
          <w:rPr>
            <w:noProof/>
            <w:webHidden/>
          </w:rPr>
          <w:fldChar w:fldCharType="begin"/>
        </w:r>
        <w:r w:rsidR="002E1CE9">
          <w:rPr>
            <w:noProof/>
            <w:webHidden/>
          </w:rPr>
          <w:instrText xml:space="preserve"> PAGEREF _Toc488741818 \h </w:instrText>
        </w:r>
        <w:r w:rsidR="002E1CE9">
          <w:rPr>
            <w:noProof/>
            <w:webHidden/>
          </w:rPr>
        </w:r>
        <w:r w:rsidR="002E1CE9">
          <w:rPr>
            <w:noProof/>
            <w:webHidden/>
          </w:rPr>
          <w:fldChar w:fldCharType="separate"/>
        </w:r>
        <w:r w:rsidR="0077432E">
          <w:rPr>
            <w:noProof/>
            <w:webHidden/>
          </w:rPr>
          <w:t>55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19" w:history="1">
        <w:r w:rsidR="002E1CE9" w:rsidRPr="006E2E47">
          <w:rPr>
            <w:rStyle w:val="Hyperlink"/>
            <w:noProof/>
          </w:rPr>
          <w:t>Figure 4</w:t>
        </w:r>
        <w:r w:rsidR="002E1CE9" w:rsidRPr="006E2E47">
          <w:rPr>
            <w:rStyle w:val="Hyperlink"/>
            <w:noProof/>
          </w:rPr>
          <w:noBreakHyphen/>
          <w:t>2: Phase I and II TRC Ratios</w:t>
        </w:r>
        <w:r w:rsidR="002E1CE9">
          <w:rPr>
            <w:noProof/>
            <w:webHidden/>
          </w:rPr>
          <w:tab/>
        </w:r>
        <w:r w:rsidR="002E1CE9">
          <w:rPr>
            <w:noProof/>
            <w:webHidden/>
          </w:rPr>
          <w:fldChar w:fldCharType="begin"/>
        </w:r>
        <w:r w:rsidR="002E1CE9">
          <w:rPr>
            <w:noProof/>
            <w:webHidden/>
          </w:rPr>
          <w:instrText xml:space="preserve"> PAGEREF _Toc488741819 \h </w:instrText>
        </w:r>
        <w:r w:rsidR="002E1CE9">
          <w:rPr>
            <w:noProof/>
            <w:webHidden/>
          </w:rPr>
        </w:r>
        <w:r w:rsidR="002E1CE9">
          <w:rPr>
            <w:noProof/>
            <w:webHidden/>
          </w:rPr>
          <w:fldChar w:fldCharType="separate"/>
        </w:r>
        <w:r w:rsidR="0077432E">
          <w:rPr>
            <w:noProof/>
            <w:webHidden/>
          </w:rPr>
          <w:t>55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20" w:history="1">
        <w:r w:rsidR="002E1CE9" w:rsidRPr="006E2E47">
          <w:rPr>
            <w:rStyle w:val="Hyperlink"/>
            <w:noProof/>
          </w:rPr>
          <w:t>Figure 5</w:t>
        </w:r>
        <w:r w:rsidR="002E1CE9" w:rsidRPr="006E2E47">
          <w:rPr>
            <w:rStyle w:val="Hyperlink"/>
            <w:noProof/>
          </w:rPr>
          <w:noBreakHyphen/>
          <w:t>1: Portfolio NTGR for PY6 and PY7, by EDC</w:t>
        </w:r>
        <w:r w:rsidR="002E1CE9">
          <w:rPr>
            <w:noProof/>
            <w:webHidden/>
          </w:rPr>
          <w:tab/>
        </w:r>
        <w:r w:rsidR="002E1CE9">
          <w:rPr>
            <w:noProof/>
            <w:webHidden/>
          </w:rPr>
          <w:fldChar w:fldCharType="begin"/>
        </w:r>
        <w:r w:rsidR="002E1CE9">
          <w:rPr>
            <w:noProof/>
            <w:webHidden/>
          </w:rPr>
          <w:instrText xml:space="preserve"> PAGEREF _Toc488741820 \h </w:instrText>
        </w:r>
        <w:r w:rsidR="002E1CE9">
          <w:rPr>
            <w:noProof/>
            <w:webHidden/>
          </w:rPr>
        </w:r>
        <w:r w:rsidR="002E1CE9">
          <w:rPr>
            <w:noProof/>
            <w:webHidden/>
          </w:rPr>
          <w:fldChar w:fldCharType="separate"/>
        </w:r>
        <w:r w:rsidR="0077432E">
          <w:rPr>
            <w:noProof/>
            <w:webHidden/>
          </w:rPr>
          <w:t>74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21" w:history="1">
        <w:r w:rsidR="002E1CE9" w:rsidRPr="006E2E47">
          <w:rPr>
            <w:rStyle w:val="Hyperlink"/>
            <w:noProof/>
          </w:rPr>
          <w:t>Figure 6</w:t>
        </w:r>
        <w:r w:rsidR="002E1CE9" w:rsidRPr="006E2E47">
          <w:rPr>
            <w:rStyle w:val="Hyperlink"/>
            <w:noProof/>
          </w:rPr>
          <w:noBreakHyphen/>
          <w:t>1: Utility Cost per First-Year kWh Saved – Residential Non-Low-Income</w:t>
        </w:r>
        <w:r w:rsidR="002E1CE9">
          <w:rPr>
            <w:noProof/>
            <w:webHidden/>
          </w:rPr>
          <w:tab/>
        </w:r>
        <w:r w:rsidR="002E1CE9">
          <w:rPr>
            <w:noProof/>
            <w:webHidden/>
          </w:rPr>
          <w:fldChar w:fldCharType="begin"/>
        </w:r>
        <w:r w:rsidR="002E1CE9">
          <w:rPr>
            <w:noProof/>
            <w:webHidden/>
          </w:rPr>
          <w:instrText xml:space="preserve"> PAGEREF _Toc488741821 \h </w:instrText>
        </w:r>
        <w:r w:rsidR="002E1CE9">
          <w:rPr>
            <w:noProof/>
            <w:webHidden/>
          </w:rPr>
        </w:r>
        <w:r w:rsidR="002E1CE9">
          <w:rPr>
            <w:noProof/>
            <w:webHidden/>
          </w:rPr>
          <w:fldChar w:fldCharType="separate"/>
        </w:r>
        <w:r w:rsidR="0077432E">
          <w:rPr>
            <w:noProof/>
            <w:webHidden/>
          </w:rPr>
          <w:t>102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22" w:history="1">
        <w:r w:rsidR="002E1CE9" w:rsidRPr="006E2E47">
          <w:rPr>
            <w:rStyle w:val="Hyperlink"/>
            <w:noProof/>
          </w:rPr>
          <w:t>Figure 6</w:t>
        </w:r>
        <w:r w:rsidR="002E1CE9" w:rsidRPr="006E2E47">
          <w:rPr>
            <w:rStyle w:val="Hyperlink"/>
            <w:noProof/>
          </w:rPr>
          <w:noBreakHyphen/>
          <w:t>2: Utility Cost per First-Year kWh Saved – Residential Low-Income</w:t>
        </w:r>
        <w:r w:rsidR="002E1CE9">
          <w:rPr>
            <w:noProof/>
            <w:webHidden/>
          </w:rPr>
          <w:tab/>
        </w:r>
        <w:r w:rsidR="002E1CE9">
          <w:rPr>
            <w:noProof/>
            <w:webHidden/>
          </w:rPr>
          <w:fldChar w:fldCharType="begin"/>
        </w:r>
        <w:r w:rsidR="002E1CE9">
          <w:rPr>
            <w:noProof/>
            <w:webHidden/>
          </w:rPr>
          <w:instrText xml:space="preserve"> PAGEREF _Toc488741822 \h </w:instrText>
        </w:r>
        <w:r w:rsidR="002E1CE9">
          <w:rPr>
            <w:noProof/>
            <w:webHidden/>
          </w:rPr>
        </w:r>
        <w:r w:rsidR="002E1CE9">
          <w:rPr>
            <w:noProof/>
            <w:webHidden/>
          </w:rPr>
          <w:fldChar w:fldCharType="separate"/>
        </w:r>
        <w:r w:rsidR="0077432E">
          <w:rPr>
            <w:noProof/>
            <w:webHidden/>
          </w:rPr>
          <w:t>102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23" w:history="1">
        <w:r w:rsidR="002E1CE9" w:rsidRPr="006E2E47">
          <w:rPr>
            <w:rStyle w:val="Hyperlink"/>
            <w:noProof/>
          </w:rPr>
          <w:t>Figure 6</w:t>
        </w:r>
        <w:r w:rsidR="002E1CE9" w:rsidRPr="006E2E47">
          <w:rPr>
            <w:rStyle w:val="Hyperlink"/>
            <w:noProof/>
          </w:rPr>
          <w:noBreakHyphen/>
          <w:t>3: Utility Cost per First-Year kWh Saved – Residential Total</w:t>
        </w:r>
        <w:r w:rsidR="002E1CE9">
          <w:rPr>
            <w:noProof/>
            <w:webHidden/>
          </w:rPr>
          <w:tab/>
        </w:r>
        <w:r w:rsidR="002E1CE9">
          <w:rPr>
            <w:noProof/>
            <w:webHidden/>
          </w:rPr>
          <w:fldChar w:fldCharType="begin"/>
        </w:r>
        <w:r w:rsidR="002E1CE9">
          <w:rPr>
            <w:noProof/>
            <w:webHidden/>
          </w:rPr>
          <w:instrText xml:space="preserve"> PAGEREF _Toc488741823 \h </w:instrText>
        </w:r>
        <w:r w:rsidR="002E1CE9">
          <w:rPr>
            <w:noProof/>
            <w:webHidden/>
          </w:rPr>
        </w:r>
        <w:r w:rsidR="002E1CE9">
          <w:rPr>
            <w:noProof/>
            <w:webHidden/>
          </w:rPr>
          <w:fldChar w:fldCharType="separate"/>
        </w:r>
        <w:r w:rsidR="0077432E">
          <w:rPr>
            <w:noProof/>
            <w:webHidden/>
          </w:rPr>
          <w:t>103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24" w:history="1">
        <w:r w:rsidR="002E1CE9" w:rsidRPr="006E2E47">
          <w:rPr>
            <w:rStyle w:val="Hyperlink"/>
            <w:noProof/>
          </w:rPr>
          <w:t>Figure 6</w:t>
        </w:r>
        <w:r w:rsidR="002E1CE9" w:rsidRPr="006E2E47">
          <w:rPr>
            <w:rStyle w:val="Hyperlink"/>
            <w:noProof/>
          </w:rPr>
          <w:noBreakHyphen/>
          <w:t>4: Utility Cost per First-Year kWh Saved – Non-Residential Total</w:t>
        </w:r>
        <w:r w:rsidR="002E1CE9">
          <w:rPr>
            <w:noProof/>
            <w:webHidden/>
          </w:rPr>
          <w:tab/>
        </w:r>
        <w:r w:rsidR="002E1CE9">
          <w:rPr>
            <w:noProof/>
            <w:webHidden/>
          </w:rPr>
          <w:fldChar w:fldCharType="begin"/>
        </w:r>
        <w:r w:rsidR="002E1CE9">
          <w:rPr>
            <w:noProof/>
            <w:webHidden/>
          </w:rPr>
          <w:instrText xml:space="preserve"> PAGEREF _Toc488741824 \h </w:instrText>
        </w:r>
        <w:r w:rsidR="002E1CE9">
          <w:rPr>
            <w:noProof/>
            <w:webHidden/>
          </w:rPr>
        </w:r>
        <w:r w:rsidR="002E1CE9">
          <w:rPr>
            <w:noProof/>
            <w:webHidden/>
          </w:rPr>
          <w:fldChar w:fldCharType="separate"/>
        </w:r>
        <w:r w:rsidR="0077432E">
          <w:rPr>
            <w:noProof/>
            <w:webHidden/>
          </w:rPr>
          <w:t>103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25" w:history="1">
        <w:r w:rsidR="002E1CE9" w:rsidRPr="006E2E47">
          <w:rPr>
            <w:rStyle w:val="Hyperlink"/>
            <w:noProof/>
          </w:rPr>
          <w:t>Figure 6</w:t>
        </w:r>
        <w:r w:rsidR="002E1CE9" w:rsidRPr="006E2E47">
          <w:rPr>
            <w:rStyle w:val="Hyperlink"/>
            <w:noProof/>
          </w:rPr>
          <w:noBreakHyphen/>
          <w:t>5: Utility Cost per First-Year kWh Saved – Total All Sectors</w:t>
        </w:r>
        <w:r w:rsidR="002E1CE9">
          <w:rPr>
            <w:noProof/>
            <w:webHidden/>
          </w:rPr>
          <w:tab/>
        </w:r>
        <w:r w:rsidR="002E1CE9">
          <w:rPr>
            <w:noProof/>
            <w:webHidden/>
          </w:rPr>
          <w:fldChar w:fldCharType="begin"/>
        </w:r>
        <w:r w:rsidR="002E1CE9">
          <w:rPr>
            <w:noProof/>
            <w:webHidden/>
          </w:rPr>
          <w:instrText xml:space="preserve"> PAGEREF _Toc488741825 \h </w:instrText>
        </w:r>
        <w:r w:rsidR="002E1CE9">
          <w:rPr>
            <w:noProof/>
            <w:webHidden/>
          </w:rPr>
        </w:r>
        <w:r w:rsidR="002E1CE9">
          <w:rPr>
            <w:noProof/>
            <w:webHidden/>
          </w:rPr>
          <w:fldChar w:fldCharType="separate"/>
        </w:r>
        <w:r w:rsidR="0077432E">
          <w:rPr>
            <w:noProof/>
            <w:webHidden/>
          </w:rPr>
          <w:t>104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26" w:history="1">
        <w:r w:rsidR="002E1CE9" w:rsidRPr="006E2E47">
          <w:rPr>
            <w:rStyle w:val="Hyperlink"/>
            <w:noProof/>
          </w:rPr>
          <w:t>Figure 6</w:t>
        </w:r>
        <w:r w:rsidR="002E1CE9" w:rsidRPr="006E2E47">
          <w:rPr>
            <w:rStyle w:val="Hyperlink"/>
            <w:noProof/>
          </w:rPr>
          <w:noBreakHyphen/>
          <w:t>6: Utility Cost per First-Year kWh Saved – All EDCs Combined</w:t>
        </w:r>
        <w:r w:rsidR="002E1CE9">
          <w:rPr>
            <w:noProof/>
            <w:webHidden/>
          </w:rPr>
          <w:tab/>
        </w:r>
        <w:r w:rsidR="002E1CE9">
          <w:rPr>
            <w:noProof/>
            <w:webHidden/>
          </w:rPr>
          <w:fldChar w:fldCharType="begin"/>
        </w:r>
        <w:r w:rsidR="002E1CE9">
          <w:rPr>
            <w:noProof/>
            <w:webHidden/>
          </w:rPr>
          <w:instrText xml:space="preserve"> PAGEREF _Toc488741826 \h </w:instrText>
        </w:r>
        <w:r w:rsidR="002E1CE9">
          <w:rPr>
            <w:noProof/>
            <w:webHidden/>
          </w:rPr>
        </w:r>
        <w:r w:rsidR="002E1CE9">
          <w:rPr>
            <w:noProof/>
            <w:webHidden/>
          </w:rPr>
          <w:fldChar w:fldCharType="separate"/>
        </w:r>
        <w:r w:rsidR="0077432E">
          <w:rPr>
            <w:noProof/>
            <w:webHidden/>
          </w:rPr>
          <w:t>104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27" w:history="1">
        <w:r w:rsidR="002E1CE9" w:rsidRPr="006E2E47">
          <w:rPr>
            <w:rStyle w:val="Hyperlink"/>
            <w:noProof/>
          </w:rPr>
          <w:t>Figure 6</w:t>
        </w:r>
        <w:r w:rsidR="002E1CE9" w:rsidRPr="006E2E47">
          <w:rPr>
            <w:rStyle w:val="Hyperlink"/>
            <w:noProof/>
          </w:rPr>
          <w:noBreakHyphen/>
          <w:t>7: Combined Cumulative Annual kWh Savings as Percentage of 2010 Sales</w:t>
        </w:r>
        <w:r w:rsidR="002E1CE9">
          <w:rPr>
            <w:noProof/>
            <w:webHidden/>
          </w:rPr>
          <w:tab/>
        </w:r>
        <w:r w:rsidR="002E1CE9">
          <w:rPr>
            <w:noProof/>
            <w:webHidden/>
          </w:rPr>
          <w:fldChar w:fldCharType="begin"/>
        </w:r>
        <w:r w:rsidR="002E1CE9">
          <w:rPr>
            <w:noProof/>
            <w:webHidden/>
          </w:rPr>
          <w:instrText xml:space="preserve"> PAGEREF _Toc488741827 \h </w:instrText>
        </w:r>
        <w:r w:rsidR="002E1CE9">
          <w:rPr>
            <w:noProof/>
            <w:webHidden/>
          </w:rPr>
        </w:r>
        <w:r w:rsidR="002E1CE9">
          <w:rPr>
            <w:noProof/>
            <w:webHidden/>
          </w:rPr>
          <w:fldChar w:fldCharType="separate"/>
        </w:r>
        <w:r w:rsidR="0077432E">
          <w:rPr>
            <w:noProof/>
            <w:webHidden/>
          </w:rPr>
          <w:t>105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28" w:history="1">
        <w:r w:rsidR="002E1CE9" w:rsidRPr="006E2E47">
          <w:rPr>
            <w:rStyle w:val="Hyperlink"/>
            <w:noProof/>
          </w:rPr>
          <w:t>Figure 6</w:t>
        </w:r>
        <w:r w:rsidR="002E1CE9" w:rsidRPr="006E2E47">
          <w:rPr>
            <w:rStyle w:val="Hyperlink"/>
            <w:noProof/>
          </w:rPr>
          <w:noBreakHyphen/>
          <w:t>8: Cumulative Utility Spending for Phases I and II as Percentage of Phase I and II Budgets</w:t>
        </w:r>
        <w:r w:rsidR="002E1CE9">
          <w:rPr>
            <w:noProof/>
            <w:webHidden/>
          </w:rPr>
          <w:tab/>
        </w:r>
        <w:r w:rsidR="002E1CE9">
          <w:rPr>
            <w:noProof/>
            <w:webHidden/>
          </w:rPr>
          <w:fldChar w:fldCharType="begin"/>
        </w:r>
        <w:r w:rsidR="002E1CE9">
          <w:rPr>
            <w:noProof/>
            <w:webHidden/>
          </w:rPr>
          <w:instrText xml:space="preserve"> PAGEREF _Toc488741828 \h </w:instrText>
        </w:r>
        <w:r w:rsidR="002E1CE9">
          <w:rPr>
            <w:noProof/>
            <w:webHidden/>
          </w:rPr>
        </w:r>
        <w:r w:rsidR="002E1CE9">
          <w:rPr>
            <w:noProof/>
            <w:webHidden/>
          </w:rPr>
          <w:fldChar w:fldCharType="separate"/>
        </w:r>
        <w:r w:rsidR="0077432E">
          <w:rPr>
            <w:noProof/>
            <w:webHidden/>
          </w:rPr>
          <w:t>105</w:t>
        </w:r>
        <w:r w:rsidR="002E1CE9">
          <w:rPr>
            <w:noProof/>
            <w:webHidden/>
          </w:rPr>
          <w:fldChar w:fldCharType="end"/>
        </w:r>
      </w:hyperlink>
    </w:p>
    <w:p w:rsidR="00D1458A" w:rsidRPr="00344D11" w:rsidRDefault="00B81A2F" w:rsidP="004F7C61">
      <w:pPr>
        <w:rPr>
          <w:sz w:val="20"/>
          <w:szCs w:val="20"/>
        </w:rPr>
      </w:pPr>
      <w:r>
        <w:rPr>
          <w:rFonts w:ascii="Century Gothic" w:hAnsi="Century Gothic"/>
          <w:color w:val="404040" w:themeColor="text1" w:themeTint="BF"/>
          <w:sz w:val="20"/>
          <w:szCs w:val="20"/>
        </w:rPr>
        <w:fldChar w:fldCharType="end"/>
      </w:r>
    </w:p>
    <w:p w:rsidR="00070483" w:rsidRPr="004F7C61" w:rsidRDefault="00070483" w:rsidP="004F7C61">
      <w:pPr>
        <w:rPr>
          <w:sz w:val="6"/>
        </w:rPr>
      </w:pPr>
    </w:p>
    <w:p w:rsidR="0091036A" w:rsidRPr="00B81A2F" w:rsidRDefault="00B81A2F" w:rsidP="0091036A">
      <w:pPr>
        <w:shd w:val="clear" w:color="auto" w:fill="448A99"/>
        <w:jc w:val="right"/>
        <w:rPr>
          <w:rFonts w:ascii="Century Gothic" w:hAnsi="Century Gothic"/>
          <w:caps/>
          <w:color w:val="FFFFFF" w:themeColor="background1"/>
          <w:spacing w:val="-12"/>
          <w:sz w:val="28"/>
        </w:rPr>
      </w:pPr>
      <w:r w:rsidRPr="00B81A2F">
        <w:rPr>
          <w:rFonts w:ascii="Century Gothic" w:hAnsi="Century Gothic"/>
          <w:caps/>
          <w:color w:val="FFFFFF" w:themeColor="background1"/>
          <w:spacing w:val="-12"/>
          <w:sz w:val="28"/>
        </w:rPr>
        <w:t>LIST OF APPENDICES TABLES</w:t>
      </w:r>
    </w:p>
    <w:p w:rsidR="00D1458A" w:rsidRPr="00B81A2F" w:rsidRDefault="00B81A2F" w:rsidP="00B81A2F">
      <w:pPr>
        <w:spacing w:before="60" w:after="60"/>
        <w:rPr>
          <w:rFonts w:ascii="Century Gothic" w:hAnsi="Century Gothic"/>
          <w:b/>
          <w:color w:val="404040" w:themeColor="text1" w:themeTint="BF"/>
          <w:spacing w:val="-12"/>
        </w:rPr>
      </w:pPr>
      <w:r w:rsidRPr="00B81A2F">
        <w:rPr>
          <w:rFonts w:ascii="Century Gothic" w:hAnsi="Century Gothic"/>
          <w:b/>
          <w:color w:val="404040" w:themeColor="text1" w:themeTint="BF"/>
          <w:spacing w:val="-12"/>
        </w:rPr>
        <w:t>APPENDIX A TABLES</w:t>
      </w:r>
    </w:p>
    <w:p w:rsidR="002E1CE9" w:rsidRDefault="00664065">
      <w:pPr>
        <w:pStyle w:val="TableofFigures"/>
        <w:tabs>
          <w:tab w:val="right" w:leader="dot" w:pos="9350"/>
        </w:tabs>
        <w:rPr>
          <w:rFonts w:asciiTheme="minorHAnsi" w:eastAsiaTheme="minorEastAsia" w:hAnsiTheme="minorHAnsi" w:cstheme="minorBidi"/>
          <w:noProof/>
          <w:color w:val="auto"/>
          <w:sz w:val="22"/>
        </w:rPr>
      </w:pPr>
      <w:r w:rsidRPr="003965C5">
        <w:rPr>
          <w:sz w:val="20"/>
          <w:szCs w:val="20"/>
        </w:rPr>
        <w:fldChar w:fldCharType="begin"/>
      </w:r>
      <w:r w:rsidRPr="003965C5">
        <w:rPr>
          <w:sz w:val="20"/>
          <w:szCs w:val="20"/>
        </w:rPr>
        <w:instrText xml:space="preserve"> TOC \h \z \c "Table A-" </w:instrText>
      </w:r>
      <w:r w:rsidRPr="003965C5">
        <w:rPr>
          <w:sz w:val="20"/>
          <w:szCs w:val="20"/>
        </w:rPr>
        <w:fldChar w:fldCharType="separate"/>
      </w:r>
      <w:hyperlink w:anchor="_Toc488741829" w:history="1">
        <w:r w:rsidR="002E1CE9" w:rsidRPr="00810C5C">
          <w:rPr>
            <w:rStyle w:val="Hyperlink"/>
            <w:noProof/>
          </w:rPr>
          <w:t>Table A-1: Duquesne EE&amp;C Programs with Reported Gross Savings in PY7</w:t>
        </w:r>
        <w:r w:rsidR="002E1CE9">
          <w:rPr>
            <w:noProof/>
            <w:webHidden/>
          </w:rPr>
          <w:tab/>
        </w:r>
        <w:r w:rsidR="002E1CE9">
          <w:rPr>
            <w:noProof/>
            <w:webHidden/>
          </w:rPr>
          <w:fldChar w:fldCharType="begin"/>
        </w:r>
        <w:r w:rsidR="002E1CE9">
          <w:rPr>
            <w:noProof/>
            <w:webHidden/>
          </w:rPr>
          <w:instrText xml:space="preserve"> PAGEREF _Toc488741829 \h </w:instrText>
        </w:r>
        <w:r w:rsidR="002E1CE9">
          <w:rPr>
            <w:noProof/>
            <w:webHidden/>
          </w:rPr>
        </w:r>
        <w:r w:rsidR="002E1CE9">
          <w:rPr>
            <w:noProof/>
            <w:webHidden/>
          </w:rPr>
          <w:fldChar w:fldCharType="separate"/>
        </w:r>
        <w:r w:rsidR="0077432E">
          <w:rPr>
            <w:noProof/>
            <w:webHidden/>
          </w:rPr>
          <w:t>112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0" w:history="1">
        <w:r w:rsidR="002E1CE9" w:rsidRPr="00810C5C">
          <w:rPr>
            <w:rStyle w:val="Hyperlink"/>
            <w:noProof/>
          </w:rPr>
          <w:t>Table A-2: Summary of Duquesne EE&amp;C Program Impacts on Verified Gross Portfolio Savings</w:t>
        </w:r>
        <w:r w:rsidR="002E1CE9">
          <w:rPr>
            <w:noProof/>
            <w:webHidden/>
          </w:rPr>
          <w:tab/>
        </w:r>
        <w:r w:rsidR="002E1CE9">
          <w:rPr>
            <w:noProof/>
            <w:webHidden/>
          </w:rPr>
          <w:fldChar w:fldCharType="begin"/>
        </w:r>
        <w:r w:rsidR="002E1CE9">
          <w:rPr>
            <w:noProof/>
            <w:webHidden/>
          </w:rPr>
          <w:instrText xml:space="preserve"> PAGEREF _Toc488741830 \h </w:instrText>
        </w:r>
        <w:r w:rsidR="002E1CE9">
          <w:rPr>
            <w:noProof/>
            <w:webHidden/>
          </w:rPr>
        </w:r>
        <w:r w:rsidR="002E1CE9">
          <w:rPr>
            <w:noProof/>
            <w:webHidden/>
          </w:rPr>
          <w:fldChar w:fldCharType="separate"/>
        </w:r>
        <w:r w:rsidR="0077432E">
          <w:rPr>
            <w:noProof/>
            <w:webHidden/>
          </w:rPr>
          <w:t>113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1" w:history="1">
        <w:r w:rsidR="002E1CE9" w:rsidRPr="00810C5C">
          <w:rPr>
            <w:rStyle w:val="Hyperlink"/>
            <w:noProof/>
          </w:rPr>
          <w:t>Table A-3: Summary of Duquesne EE&amp;C Verified Net Savings – by Sector</w:t>
        </w:r>
        <w:r w:rsidR="002E1CE9">
          <w:rPr>
            <w:noProof/>
            <w:webHidden/>
          </w:rPr>
          <w:tab/>
        </w:r>
        <w:r w:rsidR="002E1CE9">
          <w:rPr>
            <w:noProof/>
            <w:webHidden/>
          </w:rPr>
          <w:fldChar w:fldCharType="begin"/>
        </w:r>
        <w:r w:rsidR="002E1CE9">
          <w:rPr>
            <w:noProof/>
            <w:webHidden/>
          </w:rPr>
          <w:instrText xml:space="preserve"> PAGEREF _Toc488741831 \h </w:instrText>
        </w:r>
        <w:r w:rsidR="002E1CE9">
          <w:rPr>
            <w:noProof/>
            <w:webHidden/>
          </w:rPr>
        </w:r>
        <w:r w:rsidR="002E1CE9">
          <w:rPr>
            <w:noProof/>
            <w:webHidden/>
          </w:rPr>
          <w:fldChar w:fldCharType="separate"/>
        </w:r>
        <w:r w:rsidR="0077432E">
          <w:rPr>
            <w:noProof/>
            <w:webHidden/>
          </w:rPr>
          <w:t>113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2" w:history="1">
        <w:r w:rsidR="002E1CE9" w:rsidRPr="00810C5C">
          <w:rPr>
            <w:rStyle w:val="Hyperlink"/>
            <w:noProof/>
          </w:rPr>
          <w:t>Table A-4: Summary of Duquesne’s PY7 TRC Factors and Results</w:t>
        </w:r>
        <w:r w:rsidR="002E1CE9">
          <w:rPr>
            <w:noProof/>
            <w:webHidden/>
          </w:rPr>
          <w:tab/>
        </w:r>
        <w:r w:rsidR="002E1CE9">
          <w:rPr>
            <w:noProof/>
            <w:webHidden/>
          </w:rPr>
          <w:fldChar w:fldCharType="begin"/>
        </w:r>
        <w:r w:rsidR="002E1CE9">
          <w:rPr>
            <w:noProof/>
            <w:webHidden/>
          </w:rPr>
          <w:instrText xml:space="preserve"> PAGEREF _Toc488741832 \h </w:instrText>
        </w:r>
        <w:r w:rsidR="002E1CE9">
          <w:rPr>
            <w:noProof/>
            <w:webHidden/>
          </w:rPr>
        </w:r>
        <w:r w:rsidR="002E1CE9">
          <w:rPr>
            <w:noProof/>
            <w:webHidden/>
          </w:rPr>
          <w:fldChar w:fldCharType="separate"/>
        </w:r>
        <w:r w:rsidR="0077432E">
          <w:rPr>
            <w:noProof/>
            <w:webHidden/>
          </w:rPr>
          <w:t>114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3" w:history="1">
        <w:r w:rsidR="002E1CE9" w:rsidRPr="00810C5C">
          <w:rPr>
            <w:rStyle w:val="Hyperlink"/>
            <w:noProof/>
          </w:rPr>
          <w:t>Table A-5: Duquesne’s Discount Rates and Line Loss Factors</w:t>
        </w:r>
        <w:r w:rsidR="002E1CE9">
          <w:rPr>
            <w:noProof/>
            <w:webHidden/>
          </w:rPr>
          <w:tab/>
        </w:r>
        <w:r w:rsidR="002E1CE9">
          <w:rPr>
            <w:noProof/>
            <w:webHidden/>
          </w:rPr>
          <w:fldChar w:fldCharType="begin"/>
        </w:r>
        <w:r w:rsidR="002E1CE9">
          <w:rPr>
            <w:noProof/>
            <w:webHidden/>
          </w:rPr>
          <w:instrText xml:space="preserve"> PAGEREF _Toc488741833 \h </w:instrText>
        </w:r>
        <w:r w:rsidR="002E1CE9">
          <w:rPr>
            <w:noProof/>
            <w:webHidden/>
          </w:rPr>
        </w:r>
        <w:r w:rsidR="002E1CE9">
          <w:rPr>
            <w:noProof/>
            <w:webHidden/>
          </w:rPr>
          <w:fldChar w:fldCharType="separate"/>
        </w:r>
        <w:r w:rsidR="0077432E">
          <w:rPr>
            <w:noProof/>
            <w:webHidden/>
          </w:rPr>
          <w:t>115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4" w:history="1">
        <w:r w:rsidR="002E1CE9" w:rsidRPr="00810C5C">
          <w:rPr>
            <w:rStyle w:val="Hyperlink"/>
            <w:noProof/>
          </w:rPr>
          <w:t>Table A-6: Key Milestones Reached for Duquesne’s Phase II EM&amp;V Plan</w:t>
        </w:r>
        <w:r w:rsidR="002E1CE9">
          <w:rPr>
            <w:noProof/>
            <w:webHidden/>
          </w:rPr>
          <w:tab/>
        </w:r>
        <w:r w:rsidR="002E1CE9">
          <w:rPr>
            <w:noProof/>
            <w:webHidden/>
          </w:rPr>
          <w:fldChar w:fldCharType="begin"/>
        </w:r>
        <w:r w:rsidR="002E1CE9">
          <w:rPr>
            <w:noProof/>
            <w:webHidden/>
          </w:rPr>
          <w:instrText xml:space="preserve"> PAGEREF _Toc488741834 \h </w:instrText>
        </w:r>
        <w:r w:rsidR="002E1CE9">
          <w:rPr>
            <w:noProof/>
            <w:webHidden/>
          </w:rPr>
        </w:r>
        <w:r w:rsidR="002E1CE9">
          <w:rPr>
            <w:noProof/>
            <w:webHidden/>
          </w:rPr>
          <w:fldChar w:fldCharType="separate"/>
        </w:r>
        <w:r w:rsidR="0077432E">
          <w:rPr>
            <w:noProof/>
            <w:webHidden/>
          </w:rPr>
          <w:t>117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5" w:history="1">
        <w:r w:rsidR="002E1CE9" w:rsidRPr="00810C5C">
          <w:rPr>
            <w:rStyle w:val="Hyperlink"/>
            <w:noProof/>
          </w:rPr>
          <w:t>Table A-7: Duquesne Energy Efficiency Programs – Realization Rates for Energy and Demand Savings in PY7</w:t>
        </w:r>
        <w:r w:rsidR="002E1CE9">
          <w:rPr>
            <w:noProof/>
            <w:webHidden/>
          </w:rPr>
          <w:tab/>
        </w:r>
        <w:r w:rsidR="002E1CE9">
          <w:rPr>
            <w:noProof/>
            <w:webHidden/>
          </w:rPr>
          <w:fldChar w:fldCharType="begin"/>
        </w:r>
        <w:r w:rsidR="002E1CE9">
          <w:rPr>
            <w:noProof/>
            <w:webHidden/>
          </w:rPr>
          <w:instrText xml:space="preserve"> PAGEREF _Toc488741835 \h </w:instrText>
        </w:r>
        <w:r w:rsidR="002E1CE9">
          <w:rPr>
            <w:noProof/>
            <w:webHidden/>
          </w:rPr>
        </w:r>
        <w:r w:rsidR="002E1CE9">
          <w:rPr>
            <w:noProof/>
            <w:webHidden/>
          </w:rPr>
          <w:fldChar w:fldCharType="separate"/>
        </w:r>
        <w:r w:rsidR="0077432E">
          <w:rPr>
            <w:noProof/>
            <w:webHidden/>
          </w:rPr>
          <w:t>119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6" w:history="1">
        <w:r w:rsidR="002E1CE9" w:rsidRPr="00810C5C">
          <w:rPr>
            <w:rStyle w:val="Hyperlink"/>
            <w:noProof/>
          </w:rPr>
          <w:t>Table A-8: Overview of Duquesne Residential Program M&amp;V and Installation Rate</w:t>
        </w:r>
        <w:r w:rsidR="002E1CE9">
          <w:rPr>
            <w:noProof/>
            <w:webHidden/>
          </w:rPr>
          <w:tab/>
        </w:r>
        <w:r w:rsidR="002E1CE9">
          <w:rPr>
            <w:noProof/>
            <w:webHidden/>
          </w:rPr>
          <w:fldChar w:fldCharType="begin"/>
        </w:r>
        <w:r w:rsidR="002E1CE9">
          <w:rPr>
            <w:noProof/>
            <w:webHidden/>
          </w:rPr>
          <w:instrText xml:space="preserve"> PAGEREF _Toc488741836 \h </w:instrText>
        </w:r>
        <w:r w:rsidR="002E1CE9">
          <w:rPr>
            <w:noProof/>
            <w:webHidden/>
          </w:rPr>
        </w:r>
        <w:r w:rsidR="002E1CE9">
          <w:rPr>
            <w:noProof/>
            <w:webHidden/>
          </w:rPr>
          <w:fldChar w:fldCharType="separate"/>
        </w:r>
        <w:r w:rsidR="0077432E">
          <w:rPr>
            <w:noProof/>
            <w:webHidden/>
          </w:rPr>
          <w:t>120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7" w:history="1">
        <w:r w:rsidR="002E1CE9" w:rsidRPr="00810C5C">
          <w:rPr>
            <w:rStyle w:val="Hyperlink"/>
            <w:noProof/>
          </w:rPr>
          <w:t>Table A-9: Summary of Key Findings and Data Sources – Duquesne</w:t>
        </w:r>
        <w:r w:rsidR="002E1CE9">
          <w:rPr>
            <w:noProof/>
            <w:webHidden/>
          </w:rPr>
          <w:tab/>
        </w:r>
        <w:r w:rsidR="002E1CE9">
          <w:rPr>
            <w:noProof/>
            <w:webHidden/>
          </w:rPr>
          <w:fldChar w:fldCharType="begin"/>
        </w:r>
        <w:r w:rsidR="002E1CE9">
          <w:rPr>
            <w:noProof/>
            <w:webHidden/>
          </w:rPr>
          <w:instrText xml:space="preserve"> PAGEREF _Toc488741837 \h </w:instrText>
        </w:r>
        <w:r w:rsidR="002E1CE9">
          <w:rPr>
            <w:noProof/>
            <w:webHidden/>
          </w:rPr>
        </w:r>
        <w:r w:rsidR="002E1CE9">
          <w:rPr>
            <w:noProof/>
            <w:webHidden/>
          </w:rPr>
          <w:fldChar w:fldCharType="separate"/>
        </w:r>
        <w:r w:rsidR="0077432E">
          <w:rPr>
            <w:noProof/>
            <w:webHidden/>
          </w:rPr>
          <w:t>125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8" w:history="1">
        <w:r w:rsidR="002E1CE9" w:rsidRPr="00810C5C">
          <w:rPr>
            <w:rStyle w:val="Hyperlink"/>
            <w:noProof/>
          </w:rPr>
          <w:t>Table A-10: Compliance across Sample Designs for Duquesne’s PY7 Non-Residential Program Groups</w:t>
        </w:r>
        <w:r w:rsidR="002E1CE9">
          <w:rPr>
            <w:noProof/>
            <w:webHidden/>
          </w:rPr>
          <w:tab/>
        </w:r>
        <w:r w:rsidR="002E1CE9">
          <w:rPr>
            <w:noProof/>
            <w:webHidden/>
          </w:rPr>
          <w:fldChar w:fldCharType="begin"/>
        </w:r>
        <w:r w:rsidR="002E1CE9">
          <w:rPr>
            <w:noProof/>
            <w:webHidden/>
          </w:rPr>
          <w:instrText xml:space="preserve"> PAGEREF _Toc488741838 \h </w:instrText>
        </w:r>
        <w:r w:rsidR="002E1CE9">
          <w:rPr>
            <w:noProof/>
            <w:webHidden/>
          </w:rPr>
        </w:r>
        <w:r w:rsidR="002E1CE9">
          <w:rPr>
            <w:noProof/>
            <w:webHidden/>
          </w:rPr>
          <w:fldChar w:fldCharType="separate"/>
        </w:r>
        <w:r w:rsidR="0077432E">
          <w:rPr>
            <w:noProof/>
            <w:webHidden/>
          </w:rPr>
          <w:t>135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39" w:history="1">
        <w:r w:rsidR="002E1CE9" w:rsidRPr="00810C5C">
          <w:rPr>
            <w:rStyle w:val="Hyperlink"/>
            <w:noProof/>
          </w:rPr>
          <w:t>Table A-11: Duquesne PY7 Project File Review Summary</w:t>
        </w:r>
        <w:r w:rsidR="002E1CE9">
          <w:rPr>
            <w:noProof/>
            <w:webHidden/>
          </w:rPr>
          <w:tab/>
        </w:r>
        <w:r w:rsidR="002E1CE9">
          <w:rPr>
            <w:noProof/>
            <w:webHidden/>
          </w:rPr>
          <w:fldChar w:fldCharType="begin"/>
        </w:r>
        <w:r w:rsidR="002E1CE9">
          <w:rPr>
            <w:noProof/>
            <w:webHidden/>
          </w:rPr>
          <w:instrText xml:space="preserve"> PAGEREF _Toc488741839 \h </w:instrText>
        </w:r>
        <w:r w:rsidR="002E1CE9">
          <w:rPr>
            <w:noProof/>
            <w:webHidden/>
          </w:rPr>
        </w:r>
        <w:r w:rsidR="002E1CE9">
          <w:rPr>
            <w:noProof/>
            <w:webHidden/>
          </w:rPr>
          <w:fldChar w:fldCharType="separate"/>
        </w:r>
        <w:r w:rsidR="0077432E">
          <w:rPr>
            <w:noProof/>
            <w:webHidden/>
          </w:rPr>
          <w:t>136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0" w:history="1">
        <w:r w:rsidR="002E1CE9" w:rsidRPr="00810C5C">
          <w:rPr>
            <w:rStyle w:val="Hyperlink"/>
            <w:noProof/>
          </w:rPr>
          <w:t>Table A-12: Duquesne’s PY7 Sampling Strategy – Commercial Program Group</w:t>
        </w:r>
        <w:r w:rsidR="002E1CE9">
          <w:rPr>
            <w:noProof/>
            <w:webHidden/>
          </w:rPr>
          <w:tab/>
        </w:r>
        <w:r w:rsidR="002E1CE9">
          <w:rPr>
            <w:noProof/>
            <w:webHidden/>
          </w:rPr>
          <w:fldChar w:fldCharType="begin"/>
        </w:r>
        <w:r w:rsidR="002E1CE9">
          <w:rPr>
            <w:noProof/>
            <w:webHidden/>
          </w:rPr>
          <w:instrText xml:space="preserve"> PAGEREF _Toc488741840 \h </w:instrText>
        </w:r>
        <w:r w:rsidR="002E1CE9">
          <w:rPr>
            <w:noProof/>
            <w:webHidden/>
          </w:rPr>
        </w:r>
        <w:r w:rsidR="002E1CE9">
          <w:rPr>
            <w:noProof/>
            <w:webHidden/>
          </w:rPr>
          <w:fldChar w:fldCharType="separate"/>
        </w:r>
        <w:r w:rsidR="0077432E">
          <w:rPr>
            <w:noProof/>
            <w:webHidden/>
          </w:rPr>
          <w:t>138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1" w:history="1">
        <w:r w:rsidR="002E1CE9" w:rsidRPr="00810C5C">
          <w:rPr>
            <w:rStyle w:val="Hyperlink"/>
            <w:noProof/>
          </w:rPr>
          <w:t>Table A-13: Observed Coefficients of Variation and Relative Precisions – Duquesne’s Commercial Program Group</w:t>
        </w:r>
        <w:r w:rsidR="002E1CE9">
          <w:rPr>
            <w:noProof/>
            <w:webHidden/>
          </w:rPr>
          <w:tab/>
        </w:r>
        <w:r w:rsidR="002E1CE9">
          <w:rPr>
            <w:noProof/>
            <w:webHidden/>
          </w:rPr>
          <w:fldChar w:fldCharType="begin"/>
        </w:r>
        <w:r w:rsidR="002E1CE9">
          <w:rPr>
            <w:noProof/>
            <w:webHidden/>
          </w:rPr>
          <w:instrText xml:space="preserve"> PAGEREF _Toc488741841 \h </w:instrText>
        </w:r>
        <w:r w:rsidR="002E1CE9">
          <w:rPr>
            <w:noProof/>
            <w:webHidden/>
          </w:rPr>
        </w:r>
        <w:r w:rsidR="002E1CE9">
          <w:rPr>
            <w:noProof/>
            <w:webHidden/>
          </w:rPr>
          <w:fldChar w:fldCharType="separate"/>
        </w:r>
        <w:r w:rsidR="0077432E">
          <w:rPr>
            <w:noProof/>
            <w:webHidden/>
          </w:rPr>
          <w:t>139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2" w:history="1">
        <w:r w:rsidR="002E1CE9" w:rsidRPr="00810C5C">
          <w:rPr>
            <w:rStyle w:val="Hyperlink"/>
            <w:noProof/>
          </w:rPr>
          <w:t>Table A-14: Duquesne’s PY7 Sampling Strategy – Industrial Program Group</w:t>
        </w:r>
        <w:r w:rsidR="002E1CE9">
          <w:rPr>
            <w:noProof/>
            <w:webHidden/>
          </w:rPr>
          <w:tab/>
        </w:r>
        <w:r w:rsidR="002E1CE9">
          <w:rPr>
            <w:noProof/>
            <w:webHidden/>
          </w:rPr>
          <w:fldChar w:fldCharType="begin"/>
        </w:r>
        <w:r w:rsidR="002E1CE9">
          <w:rPr>
            <w:noProof/>
            <w:webHidden/>
          </w:rPr>
          <w:instrText xml:space="preserve"> PAGEREF _Toc488741842 \h </w:instrText>
        </w:r>
        <w:r w:rsidR="002E1CE9">
          <w:rPr>
            <w:noProof/>
            <w:webHidden/>
          </w:rPr>
        </w:r>
        <w:r w:rsidR="002E1CE9">
          <w:rPr>
            <w:noProof/>
            <w:webHidden/>
          </w:rPr>
          <w:fldChar w:fldCharType="separate"/>
        </w:r>
        <w:r w:rsidR="0077432E">
          <w:rPr>
            <w:noProof/>
            <w:webHidden/>
          </w:rPr>
          <w:t>139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3" w:history="1">
        <w:r w:rsidR="002E1CE9" w:rsidRPr="00810C5C">
          <w:rPr>
            <w:rStyle w:val="Hyperlink"/>
            <w:noProof/>
          </w:rPr>
          <w:t>Table A-15: Observed Coefficients of Variation and Relative Precision – Duquesne’s Industrial Program Group</w:t>
        </w:r>
        <w:r w:rsidR="002E1CE9">
          <w:rPr>
            <w:noProof/>
            <w:webHidden/>
          </w:rPr>
          <w:tab/>
        </w:r>
        <w:r w:rsidR="002E1CE9">
          <w:rPr>
            <w:noProof/>
            <w:webHidden/>
          </w:rPr>
          <w:fldChar w:fldCharType="begin"/>
        </w:r>
        <w:r w:rsidR="002E1CE9">
          <w:rPr>
            <w:noProof/>
            <w:webHidden/>
          </w:rPr>
          <w:instrText xml:space="preserve"> PAGEREF _Toc488741843 \h </w:instrText>
        </w:r>
        <w:r w:rsidR="002E1CE9">
          <w:rPr>
            <w:noProof/>
            <w:webHidden/>
          </w:rPr>
        </w:r>
        <w:r w:rsidR="002E1CE9">
          <w:rPr>
            <w:noProof/>
            <w:webHidden/>
          </w:rPr>
          <w:fldChar w:fldCharType="separate"/>
        </w:r>
        <w:r w:rsidR="0077432E">
          <w:rPr>
            <w:noProof/>
            <w:webHidden/>
          </w:rPr>
          <w:t>139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4" w:history="1">
        <w:r w:rsidR="002E1CE9" w:rsidRPr="00810C5C">
          <w:rPr>
            <w:rStyle w:val="Hyperlink"/>
            <w:noProof/>
          </w:rPr>
          <w:t>Table A-16: Duquesne’s PY7 Sampling Strategy – GNI Program Group</w:t>
        </w:r>
        <w:r w:rsidR="002E1CE9">
          <w:rPr>
            <w:noProof/>
            <w:webHidden/>
          </w:rPr>
          <w:tab/>
        </w:r>
        <w:r w:rsidR="002E1CE9">
          <w:rPr>
            <w:noProof/>
            <w:webHidden/>
          </w:rPr>
          <w:fldChar w:fldCharType="begin"/>
        </w:r>
        <w:r w:rsidR="002E1CE9">
          <w:rPr>
            <w:noProof/>
            <w:webHidden/>
          </w:rPr>
          <w:instrText xml:space="preserve"> PAGEREF _Toc488741844 \h </w:instrText>
        </w:r>
        <w:r w:rsidR="002E1CE9">
          <w:rPr>
            <w:noProof/>
            <w:webHidden/>
          </w:rPr>
        </w:r>
        <w:r w:rsidR="002E1CE9">
          <w:rPr>
            <w:noProof/>
            <w:webHidden/>
          </w:rPr>
          <w:fldChar w:fldCharType="separate"/>
        </w:r>
        <w:r w:rsidR="0077432E">
          <w:rPr>
            <w:noProof/>
            <w:webHidden/>
          </w:rPr>
          <w:t>140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5" w:history="1">
        <w:r w:rsidR="002E1CE9" w:rsidRPr="00810C5C">
          <w:rPr>
            <w:rStyle w:val="Hyperlink"/>
            <w:noProof/>
          </w:rPr>
          <w:t>Table A-17: Observed Coefficients of Variation and Relative Precision – Duquesne GNI Program Group</w:t>
        </w:r>
        <w:r w:rsidR="002E1CE9">
          <w:rPr>
            <w:noProof/>
            <w:webHidden/>
          </w:rPr>
          <w:tab/>
        </w:r>
        <w:r w:rsidR="002E1CE9">
          <w:rPr>
            <w:noProof/>
            <w:webHidden/>
          </w:rPr>
          <w:fldChar w:fldCharType="begin"/>
        </w:r>
        <w:r w:rsidR="002E1CE9">
          <w:rPr>
            <w:noProof/>
            <w:webHidden/>
          </w:rPr>
          <w:instrText xml:space="preserve"> PAGEREF _Toc488741845 \h </w:instrText>
        </w:r>
        <w:r w:rsidR="002E1CE9">
          <w:rPr>
            <w:noProof/>
            <w:webHidden/>
          </w:rPr>
        </w:r>
        <w:r w:rsidR="002E1CE9">
          <w:rPr>
            <w:noProof/>
            <w:webHidden/>
          </w:rPr>
          <w:fldChar w:fldCharType="separate"/>
        </w:r>
        <w:r w:rsidR="0077432E">
          <w:rPr>
            <w:noProof/>
            <w:webHidden/>
          </w:rPr>
          <w:t>140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6" w:history="1">
        <w:r w:rsidR="002E1CE9" w:rsidRPr="00810C5C">
          <w:rPr>
            <w:rStyle w:val="Hyperlink"/>
            <w:noProof/>
          </w:rPr>
          <w:t>Table A-18: Duquesne’s PY7 Non-Residential Site Inspection Findings</w:t>
        </w:r>
        <w:r w:rsidR="002E1CE9">
          <w:rPr>
            <w:noProof/>
            <w:webHidden/>
          </w:rPr>
          <w:tab/>
        </w:r>
        <w:r w:rsidR="002E1CE9">
          <w:rPr>
            <w:noProof/>
            <w:webHidden/>
          </w:rPr>
          <w:fldChar w:fldCharType="begin"/>
        </w:r>
        <w:r w:rsidR="002E1CE9">
          <w:rPr>
            <w:noProof/>
            <w:webHidden/>
          </w:rPr>
          <w:instrText xml:space="preserve"> PAGEREF _Toc488741846 \h </w:instrText>
        </w:r>
        <w:r w:rsidR="002E1CE9">
          <w:rPr>
            <w:noProof/>
            <w:webHidden/>
          </w:rPr>
        </w:r>
        <w:r w:rsidR="002E1CE9">
          <w:rPr>
            <w:noProof/>
            <w:webHidden/>
          </w:rPr>
          <w:fldChar w:fldCharType="separate"/>
        </w:r>
        <w:r w:rsidR="0077432E">
          <w:rPr>
            <w:noProof/>
            <w:webHidden/>
          </w:rPr>
          <w:t>141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7" w:history="1">
        <w:r w:rsidR="002E1CE9" w:rsidRPr="00810C5C">
          <w:rPr>
            <w:rStyle w:val="Hyperlink"/>
            <w:noProof/>
          </w:rPr>
          <w:t>Table A-19: Overview of Duquesne Projects Included in SWE Team Verified Savings Review</w:t>
        </w:r>
        <w:r w:rsidR="002E1CE9">
          <w:rPr>
            <w:noProof/>
            <w:webHidden/>
          </w:rPr>
          <w:tab/>
        </w:r>
        <w:r w:rsidR="002E1CE9">
          <w:rPr>
            <w:noProof/>
            <w:webHidden/>
          </w:rPr>
          <w:fldChar w:fldCharType="begin"/>
        </w:r>
        <w:r w:rsidR="002E1CE9">
          <w:rPr>
            <w:noProof/>
            <w:webHidden/>
          </w:rPr>
          <w:instrText xml:space="preserve"> PAGEREF _Toc488741847 \h </w:instrText>
        </w:r>
        <w:r w:rsidR="002E1CE9">
          <w:rPr>
            <w:noProof/>
            <w:webHidden/>
          </w:rPr>
        </w:r>
        <w:r w:rsidR="002E1CE9">
          <w:rPr>
            <w:noProof/>
            <w:webHidden/>
          </w:rPr>
          <w:fldChar w:fldCharType="separate"/>
        </w:r>
        <w:r w:rsidR="0077432E">
          <w:rPr>
            <w:noProof/>
            <w:webHidden/>
          </w:rPr>
          <w:t>143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8" w:history="1">
        <w:r w:rsidR="002E1CE9" w:rsidRPr="00810C5C">
          <w:rPr>
            <w:rStyle w:val="Hyperlink"/>
            <w:noProof/>
          </w:rPr>
          <w:t>Table A-20: Summary of SWE Team Review of Duquesne NTG Evaluations</w:t>
        </w:r>
        <w:r w:rsidR="002E1CE9">
          <w:rPr>
            <w:noProof/>
            <w:webHidden/>
          </w:rPr>
          <w:tab/>
        </w:r>
        <w:r w:rsidR="002E1CE9">
          <w:rPr>
            <w:noProof/>
            <w:webHidden/>
          </w:rPr>
          <w:fldChar w:fldCharType="begin"/>
        </w:r>
        <w:r w:rsidR="002E1CE9">
          <w:rPr>
            <w:noProof/>
            <w:webHidden/>
          </w:rPr>
          <w:instrText xml:space="preserve"> PAGEREF _Toc488741848 \h </w:instrText>
        </w:r>
        <w:r w:rsidR="002E1CE9">
          <w:rPr>
            <w:noProof/>
            <w:webHidden/>
          </w:rPr>
        </w:r>
        <w:r w:rsidR="002E1CE9">
          <w:rPr>
            <w:noProof/>
            <w:webHidden/>
          </w:rPr>
          <w:fldChar w:fldCharType="separate"/>
        </w:r>
        <w:r w:rsidR="0077432E">
          <w:rPr>
            <w:noProof/>
            <w:webHidden/>
          </w:rPr>
          <w:t>145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49" w:history="1">
        <w:r w:rsidR="002E1CE9" w:rsidRPr="00810C5C">
          <w:rPr>
            <w:rStyle w:val="Hyperlink"/>
            <w:noProof/>
          </w:rPr>
          <w:t>Table A-21: Summary of NTG Audit of Duquesne’s Residential Programs</w:t>
        </w:r>
        <w:r w:rsidR="002E1CE9">
          <w:rPr>
            <w:noProof/>
            <w:webHidden/>
          </w:rPr>
          <w:tab/>
        </w:r>
        <w:r w:rsidR="002E1CE9">
          <w:rPr>
            <w:noProof/>
            <w:webHidden/>
          </w:rPr>
          <w:fldChar w:fldCharType="begin"/>
        </w:r>
        <w:r w:rsidR="002E1CE9">
          <w:rPr>
            <w:noProof/>
            <w:webHidden/>
          </w:rPr>
          <w:instrText xml:space="preserve"> PAGEREF _Toc488741849 \h </w:instrText>
        </w:r>
        <w:r w:rsidR="002E1CE9">
          <w:rPr>
            <w:noProof/>
            <w:webHidden/>
          </w:rPr>
        </w:r>
        <w:r w:rsidR="002E1CE9">
          <w:rPr>
            <w:noProof/>
            <w:webHidden/>
          </w:rPr>
          <w:fldChar w:fldCharType="separate"/>
        </w:r>
        <w:r w:rsidR="0077432E">
          <w:rPr>
            <w:noProof/>
            <w:webHidden/>
          </w:rPr>
          <w:t>146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0" w:history="1">
        <w:r w:rsidR="002E1CE9" w:rsidRPr="00810C5C">
          <w:rPr>
            <w:rStyle w:val="Hyperlink"/>
            <w:noProof/>
          </w:rPr>
          <w:t>Table A-22: Summary of NTG Estimates for Duquesne’s Residential Programs</w:t>
        </w:r>
        <w:r w:rsidR="002E1CE9">
          <w:rPr>
            <w:noProof/>
            <w:webHidden/>
          </w:rPr>
          <w:tab/>
        </w:r>
        <w:r w:rsidR="002E1CE9">
          <w:rPr>
            <w:noProof/>
            <w:webHidden/>
          </w:rPr>
          <w:fldChar w:fldCharType="begin"/>
        </w:r>
        <w:r w:rsidR="002E1CE9">
          <w:rPr>
            <w:noProof/>
            <w:webHidden/>
          </w:rPr>
          <w:instrText xml:space="preserve"> PAGEREF _Toc488741850 \h </w:instrText>
        </w:r>
        <w:r w:rsidR="002E1CE9">
          <w:rPr>
            <w:noProof/>
            <w:webHidden/>
          </w:rPr>
        </w:r>
        <w:r w:rsidR="002E1CE9">
          <w:rPr>
            <w:noProof/>
            <w:webHidden/>
          </w:rPr>
          <w:fldChar w:fldCharType="separate"/>
        </w:r>
        <w:r w:rsidR="0077432E">
          <w:rPr>
            <w:noProof/>
            <w:webHidden/>
          </w:rPr>
          <w:t>147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1" w:history="1">
        <w:r w:rsidR="002E1CE9" w:rsidRPr="00810C5C">
          <w:rPr>
            <w:rStyle w:val="Hyperlink"/>
            <w:noProof/>
          </w:rPr>
          <w:t>Table A-23: Summary of NTG Audit of Duquesne’s Low-Income Program</w:t>
        </w:r>
        <w:r w:rsidR="002E1CE9">
          <w:rPr>
            <w:noProof/>
            <w:webHidden/>
          </w:rPr>
          <w:tab/>
        </w:r>
        <w:r w:rsidR="002E1CE9">
          <w:rPr>
            <w:noProof/>
            <w:webHidden/>
          </w:rPr>
          <w:fldChar w:fldCharType="begin"/>
        </w:r>
        <w:r w:rsidR="002E1CE9">
          <w:rPr>
            <w:noProof/>
            <w:webHidden/>
          </w:rPr>
          <w:instrText xml:space="preserve"> PAGEREF _Toc488741851 \h </w:instrText>
        </w:r>
        <w:r w:rsidR="002E1CE9">
          <w:rPr>
            <w:noProof/>
            <w:webHidden/>
          </w:rPr>
        </w:r>
        <w:r w:rsidR="002E1CE9">
          <w:rPr>
            <w:noProof/>
            <w:webHidden/>
          </w:rPr>
          <w:fldChar w:fldCharType="separate"/>
        </w:r>
        <w:r w:rsidR="0077432E">
          <w:rPr>
            <w:noProof/>
            <w:webHidden/>
          </w:rPr>
          <w:t>147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2" w:history="1">
        <w:r w:rsidR="002E1CE9" w:rsidRPr="00810C5C">
          <w:rPr>
            <w:rStyle w:val="Hyperlink"/>
            <w:noProof/>
          </w:rPr>
          <w:t>Table A-24: Summary of NTG Estimates for Duquesne’s Low-Income Program</w:t>
        </w:r>
        <w:r w:rsidR="002E1CE9">
          <w:rPr>
            <w:noProof/>
            <w:webHidden/>
          </w:rPr>
          <w:tab/>
        </w:r>
        <w:r w:rsidR="002E1CE9">
          <w:rPr>
            <w:noProof/>
            <w:webHidden/>
          </w:rPr>
          <w:fldChar w:fldCharType="begin"/>
        </w:r>
        <w:r w:rsidR="002E1CE9">
          <w:rPr>
            <w:noProof/>
            <w:webHidden/>
          </w:rPr>
          <w:instrText xml:space="preserve"> PAGEREF _Toc488741852 \h </w:instrText>
        </w:r>
        <w:r w:rsidR="002E1CE9">
          <w:rPr>
            <w:noProof/>
            <w:webHidden/>
          </w:rPr>
        </w:r>
        <w:r w:rsidR="002E1CE9">
          <w:rPr>
            <w:noProof/>
            <w:webHidden/>
          </w:rPr>
          <w:fldChar w:fldCharType="separate"/>
        </w:r>
        <w:r w:rsidR="0077432E">
          <w:rPr>
            <w:noProof/>
            <w:webHidden/>
          </w:rPr>
          <w:t>148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3" w:history="1">
        <w:r w:rsidR="002E1CE9" w:rsidRPr="00810C5C">
          <w:rPr>
            <w:rStyle w:val="Hyperlink"/>
            <w:noProof/>
          </w:rPr>
          <w:t>Table A-25: Summary of NTG Audit of Duquesne’s Non-Residential Programs</w:t>
        </w:r>
        <w:r w:rsidR="002E1CE9">
          <w:rPr>
            <w:noProof/>
            <w:webHidden/>
          </w:rPr>
          <w:tab/>
        </w:r>
        <w:r w:rsidR="002E1CE9">
          <w:rPr>
            <w:noProof/>
            <w:webHidden/>
          </w:rPr>
          <w:fldChar w:fldCharType="begin"/>
        </w:r>
        <w:r w:rsidR="002E1CE9">
          <w:rPr>
            <w:noProof/>
            <w:webHidden/>
          </w:rPr>
          <w:instrText xml:space="preserve"> PAGEREF _Toc488741853 \h </w:instrText>
        </w:r>
        <w:r w:rsidR="002E1CE9">
          <w:rPr>
            <w:noProof/>
            <w:webHidden/>
          </w:rPr>
        </w:r>
        <w:r w:rsidR="002E1CE9">
          <w:rPr>
            <w:noProof/>
            <w:webHidden/>
          </w:rPr>
          <w:fldChar w:fldCharType="separate"/>
        </w:r>
        <w:r w:rsidR="0077432E">
          <w:rPr>
            <w:noProof/>
            <w:webHidden/>
          </w:rPr>
          <w:t>148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4" w:history="1">
        <w:r w:rsidR="002E1CE9" w:rsidRPr="00810C5C">
          <w:rPr>
            <w:rStyle w:val="Hyperlink"/>
            <w:noProof/>
          </w:rPr>
          <w:t>Table A-26: Summary of NTG Estimates for Duquesne’s Non-Residential Programs</w:t>
        </w:r>
        <w:r w:rsidR="002E1CE9">
          <w:rPr>
            <w:noProof/>
            <w:webHidden/>
          </w:rPr>
          <w:tab/>
        </w:r>
        <w:r w:rsidR="002E1CE9">
          <w:rPr>
            <w:noProof/>
            <w:webHidden/>
          </w:rPr>
          <w:fldChar w:fldCharType="begin"/>
        </w:r>
        <w:r w:rsidR="002E1CE9">
          <w:rPr>
            <w:noProof/>
            <w:webHidden/>
          </w:rPr>
          <w:instrText xml:space="preserve"> PAGEREF _Toc488741854 \h </w:instrText>
        </w:r>
        <w:r w:rsidR="002E1CE9">
          <w:rPr>
            <w:noProof/>
            <w:webHidden/>
          </w:rPr>
        </w:r>
        <w:r w:rsidR="002E1CE9">
          <w:rPr>
            <w:noProof/>
            <w:webHidden/>
          </w:rPr>
          <w:fldChar w:fldCharType="separate"/>
        </w:r>
        <w:r w:rsidR="0077432E">
          <w:rPr>
            <w:noProof/>
            <w:webHidden/>
          </w:rPr>
          <w:t>148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5" w:history="1">
        <w:r w:rsidR="002E1CE9" w:rsidRPr="00810C5C">
          <w:rPr>
            <w:rStyle w:val="Hyperlink"/>
            <w:noProof/>
          </w:rPr>
          <w:t>Table A-27: Met-Ed EE&amp;C Programs with Reported Gross Savings in PY7</w:t>
        </w:r>
        <w:r w:rsidR="002E1CE9">
          <w:rPr>
            <w:noProof/>
            <w:webHidden/>
          </w:rPr>
          <w:tab/>
        </w:r>
        <w:r w:rsidR="002E1CE9">
          <w:rPr>
            <w:noProof/>
            <w:webHidden/>
          </w:rPr>
          <w:fldChar w:fldCharType="begin"/>
        </w:r>
        <w:r w:rsidR="002E1CE9">
          <w:rPr>
            <w:noProof/>
            <w:webHidden/>
          </w:rPr>
          <w:instrText xml:space="preserve"> PAGEREF _Toc488741855 \h </w:instrText>
        </w:r>
        <w:r w:rsidR="002E1CE9">
          <w:rPr>
            <w:noProof/>
            <w:webHidden/>
          </w:rPr>
        </w:r>
        <w:r w:rsidR="002E1CE9">
          <w:rPr>
            <w:noProof/>
            <w:webHidden/>
          </w:rPr>
          <w:fldChar w:fldCharType="separate"/>
        </w:r>
        <w:r w:rsidR="0077432E">
          <w:rPr>
            <w:noProof/>
            <w:webHidden/>
          </w:rPr>
          <w:t>150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6" w:history="1">
        <w:r w:rsidR="002E1CE9" w:rsidRPr="00810C5C">
          <w:rPr>
            <w:rStyle w:val="Hyperlink"/>
            <w:noProof/>
          </w:rPr>
          <w:t>Table A-28: Summary of Met-Ed EE&amp;C Program Impacts on Verified Gross Portfolio Savings</w:t>
        </w:r>
        <w:r w:rsidR="002E1CE9">
          <w:rPr>
            <w:noProof/>
            <w:webHidden/>
          </w:rPr>
          <w:tab/>
        </w:r>
        <w:r w:rsidR="002E1CE9">
          <w:rPr>
            <w:noProof/>
            <w:webHidden/>
          </w:rPr>
          <w:fldChar w:fldCharType="begin"/>
        </w:r>
        <w:r w:rsidR="002E1CE9">
          <w:rPr>
            <w:noProof/>
            <w:webHidden/>
          </w:rPr>
          <w:instrText xml:space="preserve"> PAGEREF _Toc488741856 \h </w:instrText>
        </w:r>
        <w:r w:rsidR="002E1CE9">
          <w:rPr>
            <w:noProof/>
            <w:webHidden/>
          </w:rPr>
        </w:r>
        <w:r w:rsidR="002E1CE9">
          <w:rPr>
            <w:noProof/>
            <w:webHidden/>
          </w:rPr>
          <w:fldChar w:fldCharType="separate"/>
        </w:r>
        <w:r w:rsidR="0077432E">
          <w:rPr>
            <w:noProof/>
            <w:webHidden/>
          </w:rPr>
          <w:t>150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7" w:history="1">
        <w:r w:rsidR="002E1CE9" w:rsidRPr="00810C5C">
          <w:rPr>
            <w:rStyle w:val="Hyperlink"/>
            <w:noProof/>
          </w:rPr>
          <w:t>Table A-29: Summary of Met-Ed EE&amp;C Verified Net Savings – by Sector</w:t>
        </w:r>
        <w:r w:rsidR="002E1CE9">
          <w:rPr>
            <w:noProof/>
            <w:webHidden/>
          </w:rPr>
          <w:tab/>
        </w:r>
        <w:r w:rsidR="002E1CE9">
          <w:rPr>
            <w:noProof/>
            <w:webHidden/>
          </w:rPr>
          <w:fldChar w:fldCharType="begin"/>
        </w:r>
        <w:r w:rsidR="002E1CE9">
          <w:rPr>
            <w:noProof/>
            <w:webHidden/>
          </w:rPr>
          <w:instrText xml:space="preserve"> PAGEREF _Toc488741857 \h </w:instrText>
        </w:r>
        <w:r w:rsidR="002E1CE9">
          <w:rPr>
            <w:noProof/>
            <w:webHidden/>
          </w:rPr>
        </w:r>
        <w:r w:rsidR="002E1CE9">
          <w:rPr>
            <w:noProof/>
            <w:webHidden/>
          </w:rPr>
          <w:fldChar w:fldCharType="separate"/>
        </w:r>
        <w:r w:rsidR="0077432E">
          <w:rPr>
            <w:noProof/>
            <w:webHidden/>
          </w:rPr>
          <w:t>151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8" w:history="1">
        <w:r w:rsidR="002E1CE9" w:rsidRPr="00810C5C">
          <w:rPr>
            <w:rStyle w:val="Hyperlink"/>
            <w:noProof/>
          </w:rPr>
          <w:t>Table A-30: Summary of Met-Ed’s PY7 TRC Factors and Results</w:t>
        </w:r>
        <w:r w:rsidR="002E1CE9">
          <w:rPr>
            <w:noProof/>
            <w:webHidden/>
          </w:rPr>
          <w:tab/>
        </w:r>
        <w:r w:rsidR="002E1CE9">
          <w:rPr>
            <w:noProof/>
            <w:webHidden/>
          </w:rPr>
          <w:fldChar w:fldCharType="begin"/>
        </w:r>
        <w:r w:rsidR="002E1CE9">
          <w:rPr>
            <w:noProof/>
            <w:webHidden/>
          </w:rPr>
          <w:instrText xml:space="preserve"> PAGEREF _Toc488741858 \h </w:instrText>
        </w:r>
        <w:r w:rsidR="002E1CE9">
          <w:rPr>
            <w:noProof/>
            <w:webHidden/>
          </w:rPr>
        </w:r>
        <w:r w:rsidR="002E1CE9">
          <w:rPr>
            <w:noProof/>
            <w:webHidden/>
          </w:rPr>
          <w:fldChar w:fldCharType="separate"/>
        </w:r>
        <w:r w:rsidR="0077432E">
          <w:rPr>
            <w:noProof/>
            <w:webHidden/>
          </w:rPr>
          <w:t>151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59" w:history="1">
        <w:r w:rsidR="002E1CE9" w:rsidRPr="00810C5C">
          <w:rPr>
            <w:rStyle w:val="Hyperlink"/>
            <w:noProof/>
          </w:rPr>
          <w:t>Table A-31: Met-Ed’s PY7 Discount Rates and LLFs</w:t>
        </w:r>
        <w:r w:rsidR="002E1CE9">
          <w:rPr>
            <w:noProof/>
            <w:webHidden/>
          </w:rPr>
          <w:tab/>
        </w:r>
        <w:r w:rsidR="002E1CE9">
          <w:rPr>
            <w:noProof/>
            <w:webHidden/>
          </w:rPr>
          <w:fldChar w:fldCharType="begin"/>
        </w:r>
        <w:r w:rsidR="002E1CE9">
          <w:rPr>
            <w:noProof/>
            <w:webHidden/>
          </w:rPr>
          <w:instrText xml:space="preserve"> PAGEREF _Toc488741859 \h </w:instrText>
        </w:r>
        <w:r w:rsidR="002E1CE9">
          <w:rPr>
            <w:noProof/>
            <w:webHidden/>
          </w:rPr>
        </w:r>
        <w:r w:rsidR="002E1CE9">
          <w:rPr>
            <w:noProof/>
            <w:webHidden/>
          </w:rPr>
          <w:fldChar w:fldCharType="separate"/>
        </w:r>
        <w:r w:rsidR="0077432E">
          <w:rPr>
            <w:noProof/>
            <w:webHidden/>
          </w:rPr>
          <w:t>152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0" w:history="1">
        <w:r w:rsidR="002E1CE9" w:rsidRPr="00810C5C">
          <w:rPr>
            <w:rStyle w:val="Hyperlink"/>
            <w:noProof/>
          </w:rPr>
          <w:t>Table A-32: Key Milestones Reached for Met-Ed’s Phase II EM&amp;V Plan</w:t>
        </w:r>
        <w:r w:rsidR="002E1CE9">
          <w:rPr>
            <w:noProof/>
            <w:webHidden/>
          </w:rPr>
          <w:tab/>
        </w:r>
        <w:r w:rsidR="002E1CE9">
          <w:rPr>
            <w:noProof/>
            <w:webHidden/>
          </w:rPr>
          <w:fldChar w:fldCharType="begin"/>
        </w:r>
        <w:r w:rsidR="002E1CE9">
          <w:rPr>
            <w:noProof/>
            <w:webHidden/>
          </w:rPr>
          <w:instrText xml:space="preserve"> PAGEREF _Toc488741860 \h </w:instrText>
        </w:r>
        <w:r w:rsidR="002E1CE9">
          <w:rPr>
            <w:noProof/>
            <w:webHidden/>
          </w:rPr>
        </w:r>
        <w:r w:rsidR="002E1CE9">
          <w:rPr>
            <w:noProof/>
            <w:webHidden/>
          </w:rPr>
          <w:fldChar w:fldCharType="separate"/>
        </w:r>
        <w:r w:rsidR="0077432E">
          <w:rPr>
            <w:noProof/>
            <w:webHidden/>
          </w:rPr>
          <w:t>154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1" w:history="1">
        <w:r w:rsidR="002E1CE9" w:rsidRPr="00810C5C">
          <w:rPr>
            <w:rStyle w:val="Hyperlink"/>
            <w:noProof/>
          </w:rPr>
          <w:t>Table A-33: Met-Ed Energy Efficiency Programs – Realization Rates for Energy and Demand Savings in PY7</w:t>
        </w:r>
        <w:r w:rsidR="002E1CE9">
          <w:rPr>
            <w:noProof/>
            <w:webHidden/>
          </w:rPr>
          <w:tab/>
        </w:r>
        <w:r w:rsidR="002E1CE9">
          <w:rPr>
            <w:noProof/>
            <w:webHidden/>
          </w:rPr>
          <w:fldChar w:fldCharType="begin"/>
        </w:r>
        <w:r w:rsidR="002E1CE9">
          <w:rPr>
            <w:noProof/>
            <w:webHidden/>
          </w:rPr>
          <w:instrText xml:space="preserve"> PAGEREF _Toc488741861 \h </w:instrText>
        </w:r>
        <w:r w:rsidR="002E1CE9">
          <w:rPr>
            <w:noProof/>
            <w:webHidden/>
          </w:rPr>
        </w:r>
        <w:r w:rsidR="002E1CE9">
          <w:rPr>
            <w:noProof/>
            <w:webHidden/>
          </w:rPr>
          <w:fldChar w:fldCharType="separate"/>
        </w:r>
        <w:r w:rsidR="0077432E">
          <w:rPr>
            <w:noProof/>
            <w:webHidden/>
          </w:rPr>
          <w:t>155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2" w:history="1">
        <w:r w:rsidR="002E1CE9" w:rsidRPr="00810C5C">
          <w:rPr>
            <w:rStyle w:val="Hyperlink"/>
            <w:noProof/>
          </w:rPr>
          <w:t>Table A-34: Summary of Key Findings and Data Sources – FirstEnergy</w:t>
        </w:r>
        <w:r w:rsidR="002E1CE9">
          <w:rPr>
            <w:noProof/>
            <w:webHidden/>
          </w:rPr>
          <w:tab/>
        </w:r>
        <w:r w:rsidR="002E1CE9">
          <w:rPr>
            <w:noProof/>
            <w:webHidden/>
          </w:rPr>
          <w:fldChar w:fldCharType="begin"/>
        </w:r>
        <w:r w:rsidR="002E1CE9">
          <w:rPr>
            <w:noProof/>
            <w:webHidden/>
          </w:rPr>
          <w:instrText xml:space="preserve"> PAGEREF _Toc488741862 \h </w:instrText>
        </w:r>
        <w:r w:rsidR="002E1CE9">
          <w:rPr>
            <w:noProof/>
            <w:webHidden/>
          </w:rPr>
        </w:r>
        <w:r w:rsidR="002E1CE9">
          <w:rPr>
            <w:noProof/>
            <w:webHidden/>
          </w:rPr>
          <w:fldChar w:fldCharType="separate"/>
        </w:r>
        <w:r w:rsidR="0077432E">
          <w:rPr>
            <w:noProof/>
            <w:webHidden/>
          </w:rPr>
          <w:t>159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3" w:history="1">
        <w:r w:rsidR="002E1CE9" w:rsidRPr="00810C5C">
          <w:rPr>
            <w:rStyle w:val="Hyperlink"/>
            <w:noProof/>
          </w:rPr>
          <w:t>Table A-35: Compliance across Sample Designs for Met-Ed’s PY7 Non-Residential Program Groups</w:t>
        </w:r>
        <w:r w:rsidR="002E1CE9">
          <w:rPr>
            <w:noProof/>
            <w:webHidden/>
          </w:rPr>
          <w:tab/>
        </w:r>
        <w:r w:rsidR="002E1CE9">
          <w:rPr>
            <w:noProof/>
            <w:webHidden/>
          </w:rPr>
          <w:fldChar w:fldCharType="begin"/>
        </w:r>
        <w:r w:rsidR="002E1CE9">
          <w:rPr>
            <w:noProof/>
            <w:webHidden/>
          </w:rPr>
          <w:instrText xml:space="preserve"> PAGEREF _Toc488741863 \h </w:instrText>
        </w:r>
        <w:r w:rsidR="002E1CE9">
          <w:rPr>
            <w:noProof/>
            <w:webHidden/>
          </w:rPr>
        </w:r>
        <w:r w:rsidR="002E1CE9">
          <w:rPr>
            <w:noProof/>
            <w:webHidden/>
          </w:rPr>
          <w:fldChar w:fldCharType="separate"/>
        </w:r>
        <w:r w:rsidR="0077432E">
          <w:rPr>
            <w:noProof/>
            <w:webHidden/>
          </w:rPr>
          <w:t>162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4" w:history="1">
        <w:r w:rsidR="002E1CE9" w:rsidRPr="00810C5C">
          <w:rPr>
            <w:rStyle w:val="Hyperlink"/>
            <w:noProof/>
          </w:rPr>
          <w:t>Table A-36: Met-Ed PY7 Project File Review Summary</w:t>
        </w:r>
        <w:r w:rsidR="002E1CE9">
          <w:rPr>
            <w:noProof/>
            <w:webHidden/>
          </w:rPr>
          <w:tab/>
        </w:r>
        <w:r w:rsidR="002E1CE9">
          <w:rPr>
            <w:noProof/>
            <w:webHidden/>
          </w:rPr>
          <w:fldChar w:fldCharType="begin"/>
        </w:r>
        <w:r w:rsidR="002E1CE9">
          <w:rPr>
            <w:noProof/>
            <w:webHidden/>
          </w:rPr>
          <w:instrText xml:space="preserve"> PAGEREF _Toc488741864 \h </w:instrText>
        </w:r>
        <w:r w:rsidR="002E1CE9">
          <w:rPr>
            <w:noProof/>
            <w:webHidden/>
          </w:rPr>
        </w:r>
        <w:r w:rsidR="002E1CE9">
          <w:rPr>
            <w:noProof/>
            <w:webHidden/>
          </w:rPr>
          <w:fldChar w:fldCharType="separate"/>
        </w:r>
        <w:r w:rsidR="0077432E">
          <w:rPr>
            <w:noProof/>
            <w:webHidden/>
          </w:rPr>
          <w:t>163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5" w:history="1">
        <w:r w:rsidR="002E1CE9" w:rsidRPr="00810C5C">
          <w:rPr>
            <w:rStyle w:val="Hyperlink"/>
            <w:noProof/>
          </w:rPr>
          <w:t>Table A-37: Met-Ed PY7 Sampling Strategy and Relative Precision – Small C/I Energy Efficient Equipment Program</w:t>
        </w:r>
        <w:r w:rsidR="002E1CE9">
          <w:rPr>
            <w:noProof/>
            <w:webHidden/>
          </w:rPr>
          <w:tab/>
        </w:r>
        <w:r w:rsidR="002E1CE9">
          <w:rPr>
            <w:noProof/>
            <w:webHidden/>
          </w:rPr>
          <w:fldChar w:fldCharType="begin"/>
        </w:r>
        <w:r w:rsidR="002E1CE9">
          <w:rPr>
            <w:noProof/>
            <w:webHidden/>
          </w:rPr>
          <w:instrText xml:space="preserve"> PAGEREF _Toc488741865 \h </w:instrText>
        </w:r>
        <w:r w:rsidR="002E1CE9">
          <w:rPr>
            <w:noProof/>
            <w:webHidden/>
          </w:rPr>
        </w:r>
        <w:r w:rsidR="002E1CE9">
          <w:rPr>
            <w:noProof/>
            <w:webHidden/>
          </w:rPr>
          <w:fldChar w:fldCharType="separate"/>
        </w:r>
        <w:r w:rsidR="0077432E">
          <w:rPr>
            <w:noProof/>
            <w:webHidden/>
          </w:rPr>
          <w:t>165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6" w:history="1">
        <w:r w:rsidR="002E1CE9" w:rsidRPr="00810C5C">
          <w:rPr>
            <w:rStyle w:val="Hyperlink"/>
            <w:noProof/>
          </w:rPr>
          <w:t>Table A-38: Met-Ed PY7 Sampling Strategy and Relative Precision – Small C/I Energy Efficient Buildings Program</w:t>
        </w:r>
        <w:r w:rsidR="002E1CE9">
          <w:rPr>
            <w:noProof/>
            <w:webHidden/>
          </w:rPr>
          <w:tab/>
        </w:r>
        <w:r w:rsidR="002E1CE9">
          <w:rPr>
            <w:noProof/>
            <w:webHidden/>
          </w:rPr>
          <w:fldChar w:fldCharType="begin"/>
        </w:r>
        <w:r w:rsidR="002E1CE9">
          <w:rPr>
            <w:noProof/>
            <w:webHidden/>
          </w:rPr>
          <w:instrText xml:space="preserve"> PAGEREF _Toc488741866 \h </w:instrText>
        </w:r>
        <w:r w:rsidR="002E1CE9">
          <w:rPr>
            <w:noProof/>
            <w:webHidden/>
          </w:rPr>
        </w:r>
        <w:r w:rsidR="002E1CE9">
          <w:rPr>
            <w:noProof/>
            <w:webHidden/>
          </w:rPr>
          <w:fldChar w:fldCharType="separate"/>
        </w:r>
        <w:r w:rsidR="0077432E">
          <w:rPr>
            <w:noProof/>
            <w:webHidden/>
          </w:rPr>
          <w:t>166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7" w:history="1">
        <w:r w:rsidR="002E1CE9" w:rsidRPr="00810C5C">
          <w:rPr>
            <w:rStyle w:val="Hyperlink"/>
            <w:noProof/>
          </w:rPr>
          <w:t>Table A-39: Met-Ed PY7 Sampling Strategy and Relative Precision – Large C/I Energy Efficient Equipment Program</w:t>
        </w:r>
        <w:r w:rsidR="002E1CE9">
          <w:rPr>
            <w:noProof/>
            <w:webHidden/>
          </w:rPr>
          <w:tab/>
        </w:r>
        <w:r w:rsidR="002E1CE9">
          <w:rPr>
            <w:noProof/>
            <w:webHidden/>
          </w:rPr>
          <w:fldChar w:fldCharType="begin"/>
        </w:r>
        <w:r w:rsidR="002E1CE9">
          <w:rPr>
            <w:noProof/>
            <w:webHidden/>
          </w:rPr>
          <w:instrText xml:space="preserve"> PAGEREF _Toc488741867 \h </w:instrText>
        </w:r>
        <w:r w:rsidR="002E1CE9">
          <w:rPr>
            <w:noProof/>
            <w:webHidden/>
          </w:rPr>
        </w:r>
        <w:r w:rsidR="002E1CE9">
          <w:rPr>
            <w:noProof/>
            <w:webHidden/>
          </w:rPr>
          <w:fldChar w:fldCharType="separate"/>
        </w:r>
        <w:r w:rsidR="0077432E">
          <w:rPr>
            <w:noProof/>
            <w:webHidden/>
          </w:rPr>
          <w:t>167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8" w:history="1">
        <w:r w:rsidR="002E1CE9" w:rsidRPr="00810C5C">
          <w:rPr>
            <w:rStyle w:val="Hyperlink"/>
            <w:noProof/>
          </w:rPr>
          <w:t>Table A-40: Met-Ed PY7 Sampling Strategy and Relative Precision – Large C/I Energy Efficient Buildings Program</w:t>
        </w:r>
        <w:r w:rsidR="002E1CE9">
          <w:rPr>
            <w:noProof/>
            <w:webHidden/>
          </w:rPr>
          <w:tab/>
        </w:r>
        <w:r w:rsidR="002E1CE9">
          <w:rPr>
            <w:noProof/>
            <w:webHidden/>
          </w:rPr>
          <w:fldChar w:fldCharType="begin"/>
        </w:r>
        <w:r w:rsidR="002E1CE9">
          <w:rPr>
            <w:noProof/>
            <w:webHidden/>
          </w:rPr>
          <w:instrText xml:space="preserve"> PAGEREF _Toc488741868 \h </w:instrText>
        </w:r>
        <w:r w:rsidR="002E1CE9">
          <w:rPr>
            <w:noProof/>
            <w:webHidden/>
          </w:rPr>
        </w:r>
        <w:r w:rsidR="002E1CE9">
          <w:rPr>
            <w:noProof/>
            <w:webHidden/>
          </w:rPr>
          <w:fldChar w:fldCharType="separate"/>
        </w:r>
        <w:r w:rsidR="0077432E">
          <w:rPr>
            <w:noProof/>
            <w:webHidden/>
          </w:rPr>
          <w:t>167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69" w:history="1">
        <w:r w:rsidR="002E1CE9" w:rsidRPr="00810C5C">
          <w:rPr>
            <w:rStyle w:val="Hyperlink"/>
            <w:noProof/>
          </w:rPr>
          <w:t>Table A-41: Met-Ed’s PY7 Sampling Strategy and Achieved Precision – Government and Institutional Program</w:t>
        </w:r>
        <w:r w:rsidR="002E1CE9">
          <w:rPr>
            <w:noProof/>
            <w:webHidden/>
          </w:rPr>
          <w:tab/>
        </w:r>
        <w:r w:rsidR="002E1CE9">
          <w:rPr>
            <w:noProof/>
            <w:webHidden/>
          </w:rPr>
          <w:fldChar w:fldCharType="begin"/>
        </w:r>
        <w:r w:rsidR="002E1CE9">
          <w:rPr>
            <w:noProof/>
            <w:webHidden/>
          </w:rPr>
          <w:instrText xml:space="preserve"> PAGEREF _Toc488741869 \h </w:instrText>
        </w:r>
        <w:r w:rsidR="002E1CE9">
          <w:rPr>
            <w:noProof/>
            <w:webHidden/>
          </w:rPr>
        </w:r>
        <w:r w:rsidR="002E1CE9">
          <w:rPr>
            <w:noProof/>
            <w:webHidden/>
          </w:rPr>
          <w:fldChar w:fldCharType="separate"/>
        </w:r>
        <w:r w:rsidR="0077432E">
          <w:rPr>
            <w:noProof/>
            <w:webHidden/>
          </w:rPr>
          <w:t>168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0" w:history="1">
        <w:r w:rsidR="002E1CE9" w:rsidRPr="00810C5C">
          <w:rPr>
            <w:rStyle w:val="Hyperlink"/>
            <w:noProof/>
          </w:rPr>
          <w:t>Table A-42: Met-Ed’s PY7 Non-Residential Site Inspection Findings</w:t>
        </w:r>
        <w:r w:rsidR="002E1CE9">
          <w:rPr>
            <w:noProof/>
            <w:webHidden/>
          </w:rPr>
          <w:tab/>
        </w:r>
        <w:r w:rsidR="002E1CE9">
          <w:rPr>
            <w:noProof/>
            <w:webHidden/>
          </w:rPr>
          <w:fldChar w:fldCharType="begin"/>
        </w:r>
        <w:r w:rsidR="002E1CE9">
          <w:rPr>
            <w:noProof/>
            <w:webHidden/>
          </w:rPr>
          <w:instrText xml:space="preserve"> PAGEREF _Toc488741870 \h </w:instrText>
        </w:r>
        <w:r w:rsidR="002E1CE9">
          <w:rPr>
            <w:noProof/>
            <w:webHidden/>
          </w:rPr>
        </w:r>
        <w:r w:rsidR="002E1CE9">
          <w:rPr>
            <w:noProof/>
            <w:webHidden/>
          </w:rPr>
          <w:fldChar w:fldCharType="separate"/>
        </w:r>
        <w:r w:rsidR="0077432E">
          <w:rPr>
            <w:noProof/>
            <w:webHidden/>
          </w:rPr>
          <w:t>169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1" w:history="1">
        <w:r w:rsidR="002E1CE9" w:rsidRPr="00810C5C">
          <w:rPr>
            <w:rStyle w:val="Hyperlink"/>
            <w:noProof/>
          </w:rPr>
          <w:t>Table A-43: Verified Savings and M&amp;V Methods for SWE Team–Sampled Met-Ed Projects</w:t>
        </w:r>
        <w:r w:rsidR="002E1CE9">
          <w:rPr>
            <w:noProof/>
            <w:webHidden/>
          </w:rPr>
          <w:tab/>
        </w:r>
        <w:r w:rsidR="002E1CE9">
          <w:rPr>
            <w:noProof/>
            <w:webHidden/>
          </w:rPr>
          <w:fldChar w:fldCharType="begin"/>
        </w:r>
        <w:r w:rsidR="002E1CE9">
          <w:rPr>
            <w:noProof/>
            <w:webHidden/>
          </w:rPr>
          <w:instrText xml:space="preserve"> PAGEREF _Toc488741871 \h </w:instrText>
        </w:r>
        <w:r w:rsidR="002E1CE9">
          <w:rPr>
            <w:noProof/>
            <w:webHidden/>
          </w:rPr>
        </w:r>
        <w:r w:rsidR="002E1CE9">
          <w:rPr>
            <w:noProof/>
            <w:webHidden/>
          </w:rPr>
          <w:fldChar w:fldCharType="separate"/>
        </w:r>
        <w:r w:rsidR="0077432E">
          <w:rPr>
            <w:noProof/>
            <w:webHidden/>
          </w:rPr>
          <w:t>171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2" w:history="1">
        <w:r w:rsidR="002E1CE9" w:rsidRPr="00810C5C">
          <w:rPr>
            <w:rStyle w:val="Hyperlink"/>
            <w:noProof/>
          </w:rPr>
          <w:t>Table A-44: Summary of SWE Team Review of FirstEnergy NTG Evaluations</w:t>
        </w:r>
        <w:r w:rsidR="002E1CE9">
          <w:rPr>
            <w:noProof/>
            <w:webHidden/>
          </w:rPr>
          <w:tab/>
        </w:r>
        <w:r w:rsidR="002E1CE9">
          <w:rPr>
            <w:noProof/>
            <w:webHidden/>
          </w:rPr>
          <w:fldChar w:fldCharType="begin"/>
        </w:r>
        <w:r w:rsidR="002E1CE9">
          <w:rPr>
            <w:noProof/>
            <w:webHidden/>
          </w:rPr>
          <w:instrText xml:space="preserve"> PAGEREF _Toc488741872 \h </w:instrText>
        </w:r>
        <w:r w:rsidR="002E1CE9">
          <w:rPr>
            <w:noProof/>
            <w:webHidden/>
          </w:rPr>
        </w:r>
        <w:r w:rsidR="002E1CE9">
          <w:rPr>
            <w:noProof/>
            <w:webHidden/>
          </w:rPr>
          <w:fldChar w:fldCharType="separate"/>
        </w:r>
        <w:r w:rsidR="0077432E">
          <w:rPr>
            <w:noProof/>
            <w:webHidden/>
          </w:rPr>
          <w:t>172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3" w:history="1">
        <w:r w:rsidR="002E1CE9" w:rsidRPr="00810C5C">
          <w:rPr>
            <w:rStyle w:val="Hyperlink"/>
            <w:noProof/>
          </w:rPr>
          <w:t>Table A-45: Summary of NTG Audit of Met-Ed’s Residential Programs</w:t>
        </w:r>
        <w:r w:rsidR="002E1CE9">
          <w:rPr>
            <w:noProof/>
            <w:webHidden/>
          </w:rPr>
          <w:tab/>
        </w:r>
        <w:r w:rsidR="002E1CE9">
          <w:rPr>
            <w:noProof/>
            <w:webHidden/>
          </w:rPr>
          <w:fldChar w:fldCharType="begin"/>
        </w:r>
        <w:r w:rsidR="002E1CE9">
          <w:rPr>
            <w:noProof/>
            <w:webHidden/>
          </w:rPr>
          <w:instrText xml:space="preserve"> PAGEREF _Toc488741873 \h </w:instrText>
        </w:r>
        <w:r w:rsidR="002E1CE9">
          <w:rPr>
            <w:noProof/>
            <w:webHidden/>
          </w:rPr>
        </w:r>
        <w:r w:rsidR="002E1CE9">
          <w:rPr>
            <w:noProof/>
            <w:webHidden/>
          </w:rPr>
          <w:fldChar w:fldCharType="separate"/>
        </w:r>
        <w:r w:rsidR="0077432E">
          <w:rPr>
            <w:noProof/>
            <w:webHidden/>
          </w:rPr>
          <w:t>174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4" w:history="1">
        <w:r w:rsidR="002E1CE9" w:rsidRPr="00810C5C">
          <w:rPr>
            <w:rStyle w:val="Hyperlink"/>
            <w:noProof/>
          </w:rPr>
          <w:t>Table A- 46: Summary of NTG Estimates for Met-Ed’s Residential Programs</w:t>
        </w:r>
        <w:r w:rsidR="002E1CE9">
          <w:rPr>
            <w:noProof/>
            <w:webHidden/>
          </w:rPr>
          <w:tab/>
        </w:r>
        <w:r w:rsidR="002E1CE9">
          <w:rPr>
            <w:noProof/>
            <w:webHidden/>
          </w:rPr>
          <w:fldChar w:fldCharType="begin"/>
        </w:r>
        <w:r w:rsidR="002E1CE9">
          <w:rPr>
            <w:noProof/>
            <w:webHidden/>
          </w:rPr>
          <w:instrText xml:space="preserve"> PAGEREF _Toc488741874 \h </w:instrText>
        </w:r>
        <w:r w:rsidR="002E1CE9">
          <w:rPr>
            <w:noProof/>
            <w:webHidden/>
          </w:rPr>
        </w:r>
        <w:r w:rsidR="002E1CE9">
          <w:rPr>
            <w:noProof/>
            <w:webHidden/>
          </w:rPr>
          <w:fldChar w:fldCharType="separate"/>
        </w:r>
        <w:r w:rsidR="0077432E">
          <w:rPr>
            <w:noProof/>
            <w:webHidden/>
          </w:rPr>
          <w:t>175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5" w:history="1">
        <w:r w:rsidR="002E1CE9" w:rsidRPr="00810C5C">
          <w:rPr>
            <w:rStyle w:val="Hyperlink"/>
            <w:noProof/>
          </w:rPr>
          <w:t>Table A-47: Summary of NTG Audit of Met-Ed’s Low-Income Program</w:t>
        </w:r>
        <w:r w:rsidR="002E1CE9">
          <w:rPr>
            <w:noProof/>
            <w:webHidden/>
          </w:rPr>
          <w:tab/>
        </w:r>
        <w:r w:rsidR="002E1CE9">
          <w:rPr>
            <w:noProof/>
            <w:webHidden/>
          </w:rPr>
          <w:fldChar w:fldCharType="begin"/>
        </w:r>
        <w:r w:rsidR="002E1CE9">
          <w:rPr>
            <w:noProof/>
            <w:webHidden/>
          </w:rPr>
          <w:instrText xml:space="preserve"> PAGEREF _Toc488741875 \h </w:instrText>
        </w:r>
        <w:r w:rsidR="002E1CE9">
          <w:rPr>
            <w:noProof/>
            <w:webHidden/>
          </w:rPr>
        </w:r>
        <w:r w:rsidR="002E1CE9">
          <w:rPr>
            <w:noProof/>
            <w:webHidden/>
          </w:rPr>
          <w:fldChar w:fldCharType="separate"/>
        </w:r>
        <w:r w:rsidR="0077432E">
          <w:rPr>
            <w:noProof/>
            <w:webHidden/>
          </w:rPr>
          <w:t>175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6" w:history="1">
        <w:r w:rsidR="002E1CE9" w:rsidRPr="00810C5C">
          <w:rPr>
            <w:rStyle w:val="Hyperlink"/>
            <w:noProof/>
          </w:rPr>
          <w:t>Table A-48: Summary of NTG Estimates for Met-Ed’s Low-Income Program</w:t>
        </w:r>
        <w:r w:rsidR="002E1CE9">
          <w:rPr>
            <w:noProof/>
            <w:webHidden/>
          </w:rPr>
          <w:tab/>
        </w:r>
        <w:r w:rsidR="002E1CE9">
          <w:rPr>
            <w:noProof/>
            <w:webHidden/>
          </w:rPr>
          <w:fldChar w:fldCharType="begin"/>
        </w:r>
        <w:r w:rsidR="002E1CE9">
          <w:rPr>
            <w:noProof/>
            <w:webHidden/>
          </w:rPr>
          <w:instrText xml:space="preserve"> PAGEREF _Toc488741876 \h </w:instrText>
        </w:r>
        <w:r w:rsidR="002E1CE9">
          <w:rPr>
            <w:noProof/>
            <w:webHidden/>
          </w:rPr>
        </w:r>
        <w:r w:rsidR="002E1CE9">
          <w:rPr>
            <w:noProof/>
            <w:webHidden/>
          </w:rPr>
          <w:fldChar w:fldCharType="separate"/>
        </w:r>
        <w:r w:rsidR="0077432E">
          <w:rPr>
            <w:noProof/>
            <w:webHidden/>
          </w:rPr>
          <w:t>176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7" w:history="1">
        <w:r w:rsidR="002E1CE9" w:rsidRPr="00810C5C">
          <w:rPr>
            <w:rStyle w:val="Hyperlink"/>
            <w:noProof/>
          </w:rPr>
          <w:t>Table A-49: Summary of NTG Audit of Met-Ed’s Non-Residential Programs</w:t>
        </w:r>
        <w:r w:rsidR="002E1CE9">
          <w:rPr>
            <w:noProof/>
            <w:webHidden/>
          </w:rPr>
          <w:tab/>
        </w:r>
        <w:r w:rsidR="002E1CE9">
          <w:rPr>
            <w:noProof/>
            <w:webHidden/>
          </w:rPr>
          <w:fldChar w:fldCharType="begin"/>
        </w:r>
        <w:r w:rsidR="002E1CE9">
          <w:rPr>
            <w:noProof/>
            <w:webHidden/>
          </w:rPr>
          <w:instrText xml:space="preserve"> PAGEREF _Toc488741877 \h </w:instrText>
        </w:r>
        <w:r w:rsidR="002E1CE9">
          <w:rPr>
            <w:noProof/>
            <w:webHidden/>
          </w:rPr>
        </w:r>
        <w:r w:rsidR="002E1CE9">
          <w:rPr>
            <w:noProof/>
            <w:webHidden/>
          </w:rPr>
          <w:fldChar w:fldCharType="separate"/>
        </w:r>
        <w:r w:rsidR="0077432E">
          <w:rPr>
            <w:noProof/>
            <w:webHidden/>
          </w:rPr>
          <w:t>176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8" w:history="1">
        <w:r w:rsidR="002E1CE9" w:rsidRPr="00810C5C">
          <w:rPr>
            <w:rStyle w:val="Hyperlink"/>
            <w:noProof/>
          </w:rPr>
          <w:t>Table A-50: Summary of NTG Estimates for Met-Ed’s Non-Residential Programs</w:t>
        </w:r>
        <w:r w:rsidR="002E1CE9">
          <w:rPr>
            <w:noProof/>
            <w:webHidden/>
          </w:rPr>
          <w:tab/>
        </w:r>
        <w:r w:rsidR="002E1CE9">
          <w:rPr>
            <w:noProof/>
            <w:webHidden/>
          </w:rPr>
          <w:fldChar w:fldCharType="begin"/>
        </w:r>
        <w:r w:rsidR="002E1CE9">
          <w:rPr>
            <w:noProof/>
            <w:webHidden/>
          </w:rPr>
          <w:instrText xml:space="preserve"> PAGEREF _Toc488741878 \h </w:instrText>
        </w:r>
        <w:r w:rsidR="002E1CE9">
          <w:rPr>
            <w:noProof/>
            <w:webHidden/>
          </w:rPr>
        </w:r>
        <w:r w:rsidR="002E1CE9">
          <w:rPr>
            <w:noProof/>
            <w:webHidden/>
          </w:rPr>
          <w:fldChar w:fldCharType="separate"/>
        </w:r>
        <w:r w:rsidR="0077432E">
          <w:rPr>
            <w:noProof/>
            <w:webHidden/>
          </w:rPr>
          <w:t>177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79" w:history="1">
        <w:r w:rsidR="002E1CE9" w:rsidRPr="00810C5C">
          <w:rPr>
            <w:rStyle w:val="Hyperlink"/>
            <w:noProof/>
          </w:rPr>
          <w:t>Table A-51: Penelec EE&amp;C Programs with Reported Gross Savings in PY7</w:t>
        </w:r>
        <w:r w:rsidR="002E1CE9">
          <w:rPr>
            <w:noProof/>
            <w:webHidden/>
          </w:rPr>
          <w:tab/>
        </w:r>
        <w:r w:rsidR="002E1CE9">
          <w:rPr>
            <w:noProof/>
            <w:webHidden/>
          </w:rPr>
          <w:fldChar w:fldCharType="begin"/>
        </w:r>
        <w:r w:rsidR="002E1CE9">
          <w:rPr>
            <w:noProof/>
            <w:webHidden/>
          </w:rPr>
          <w:instrText xml:space="preserve"> PAGEREF _Toc488741879 \h </w:instrText>
        </w:r>
        <w:r w:rsidR="002E1CE9">
          <w:rPr>
            <w:noProof/>
            <w:webHidden/>
          </w:rPr>
        </w:r>
        <w:r w:rsidR="002E1CE9">
          <w:rPr>
            <w:noProof/>
            <w:webHidden/>
          </w:rPr>
          <w:fldChar w:fldCharType="separate"/>
        </w:r>
        <w:r w:rsidR="0077432E">
          <w:rPr>
            <w:noProof/>
            <w:webHidden/>
          </w:rPr>
          <w:t>178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0" w:history="1">
        <w:r w:rsidR="002E1CE9" w:rsidRPr="00810C5C">
          <w:rPr>
            <w:rStyle w:val="Hyperlink"/>
            <w:noProof/>
          </w:rPr>
          <w:t>Table A-52: Summary of Penelec EE&amp;C Program Impacts on Verified Gross Portfolio Savings</w:t>
        </w:r>
        <w:r w:rsidR="002E1CE9">
          <w:rPr>
            <w:noProof/>
            <w:webHidden/>
          </w:rPr>
          <w:tab/>
        </w:r>
        <w:r w:rsidR="002E1CE9">
          <w:rPr>
            <w:noProof/>
            <w:webHidden/>
          </w:rPr>
          <w:fldChar w:fldCharType="begin"/>
        </w:r>
        <w:r w:rsidR="002E1CE9">
          <w:rPr>
            <w:noProof/>
            <w:webHidden/>
          </w:rPr>
          <w:instrText xml:space="preserve"> PAGEREF _Toc488741880 \h </w:instrText>
        </w:r>
        <w:r w:rsidR="002E1CE9">
          <w:rPr>
            <w:noProof/>
            <w:webHidden/>
          </w:rPr>
        </w:r>
        <w:r w:rsidR="002E1CE9">
          <w:rPr>
            <w:noProof/>
            <w:webHidden/>
          </w:rPr>
          <w:fldChar w:fldCharType="separate"/>
        </w:r>
        <w:r w:rsidR="0077432E">
          <w:rPr>
            <w:noProof/>
            <w:webHidden/>
          </w:rPr>
          <w:t>178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1" w:history="1">
        <w:r w:rsidR="002E1CE9" w:rsidRPr="00810C5C">
          <w:rPr>
            <w:rStyle w:val="Hyperlink"/>
            <w:noProof/>
          </w:rPr>
          <w:t>Table A-53: Summary of Penelec EE&amp;C Verified Net Savings – by Sector</w:t>
        </w:r>
        <w:r w:rsidR="002E1CE9">
          <w:rPr>
            <w:noProof/>
            <w:webHidden/>
          </w:rPr>
          <w:tab/>
        </w:r>
        <w:r w:rsidR="002E1CE9">
          <w:rPr>
            <w:noProof/>
            <w:webHidden/>
          </w:rPr>
          <w:fldChar w:fldCharType="begin"/>
        </w:r>
        <w:r w:rsidR="002E1CE9">
          <w:rPr>
            <w:noProof/>
            <w:webHidden/>
          </w:rPr>
          <w:instrText xml:space="preserve"> PAGEREF _Toc488741881 \h </w:instrText>
        </w:r>
        <w:r w:rsidR="002E1CE9">
          <w:rPr>
            <w:noProof/>
            <w:webHidden/>
          </w:rPr>
        </w:r>
        <w:r w:rsidR="002E1CE9">
          <w:rPr>
            <w:noProof/>
            <w:webHidden/>
          </w:rPr>
          <w:fldChar w:fldCharType="separate"/>
        </w:r>
        <w:r w:rsidR="0077432E">
          <w:rPr>
            <w:noProof/>
            <w:webHidden/>
          </w:rPr>
          <w:t>179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2" w:history="1">
        <w:r w:rsidR="002E1CE9" w:rsidRPr="00810C5C">
          <w:rPr>
            <w:rStyle w:val="Hyperlink"/>
            <w:noProof/>
          </w:rPr>
          <w:t>Table A-54: Summary of Penelec’s PY7 TRC Factors and Results</w:t>
        </w:r>
        <w:r w:rsidR="002E1CE9">
          <w:rPr>
            <w:noProof/>
            <w:webHidden/>
          </w:rPr>
          <w:tab/>
        </w:r>
        <w:r w:rsidR="002E1CE9">
          <w:rPr>
            <w:noProof/>
            <w:webHidden/>
          </w:rPr>
          <w:fldChar w:fldCharType="begin"/>
        </w:r>
        <w:r w:rsidR="002E1CE9">
          <w:rPr>
            <w:noProof/>
            <w:webHidden/>
          </w:rPr>
          <w:instrText xml:space="preserve"> PAGEREF _Toc488741882 \h </w:instrText>
        </w:r>
        <w:r w:rsidR="002E1CE9">
          <w:rPr>
            <w:noProof/>
            <w:webHidden/>
          </w:rPr>
        </w:r>
        <w:r w:rsidR="002E1CE9">
          <w:rPr>
            <w:noProof/>
            <w:webHidden/>
          </w:rPr>
          <w:fldChar w:fldCharType="separate"/>
        </w:r>
        <w:r w:rsidR="0077432E">
          <w:rPr>
            <w:noProof/>
            <w:webHidden/>
          </w:rPr>
          <w:t>179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3" w:history="1">
        <w:r w:rsidR="002E1CE9" w:rsidRPr="00810C5C">
          <w:rPr>
            <w:rStyle w:val="Hyperlink"/>
            <w:noProof/>
          </w:rPr>
          <w:t>Table A-55: Penelec’s PY7 Discount Rates and LLFs</w:t>
        </w:r>
        <w:r w:rsidR="002E1CE9">
          <w:rPr>
            <w:noProof/>
            <w:webHidden/>
          </w:rPr>
          <w:tab/>
        </w:r>
        <w:r w:rsidR="002E1CE9">
          <w:rPr>
            <w:noProof/>
            <w:webHidden/>
          </w:rPr>
          <w:fldChar w:fldCharType="begin"/>
        </w:r>
        <w:r w:rsidR="002E1CE9">
          <w:rPr>
            <w:noProof/>
            <w:webHidden/>
          </w:rPr>
          <w:instrText xml:space="preserve"> PAGEREF _Toc488741883 \h </w:instrText>
        </w:r>
        <w:r w:rsidR="002E1CE9">
          <w:rPr>
            <w:noProof/>
            <w:webHidden/>
          </w:rPr>
        </w:r>
        <w:r w:rsidR="002E1CE9">
          <w:rPr>
            <w:noProof/>
            <w:webHidden/>
          </w:rPr>
          <w:fldChar w:fldCharType="separate"/>
        </w:r>
        <w:r w:rsidR="0077432E">
          <w:rPr>
            <w:noProof/>
            <w:webHidden/>
          </w:rPr>
          <w:t>180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4" w:history="1">
        <w:r w:rsidR="002E1CE9" w:rsidRPr="00810C5C">
          <w:rPr>
            <w:rStyle w:val="Hyperlink"/>
            <w:noProof/>
          </w:rPr>
          <w:t>Table A-56: Key Milestones Reached for Penelec’s Phase II EM&amp;V Plan</w:t>
        </w:r>
        <w:r w:rsidR="002E1CE9">
          <w:rPr>
            <w:noProof/>
            <w:webHidden/>
          </w:rPr>
          <w:tab/>
        </w:r>
        <w:r w:rsidR="002E1CE9">
          <w:rPr>
            <w:noProof/>
            <w:webHidden/>
          </w:rPr>
          <w:fldChar w:fldCharType="begin"/>
        </w:r>
        <w:r w:rsidR="002E1CE9">
          <w:rPr>
            <w:noProof/>
            <w:webHidden/>
          </w:rPr>
          <w:instrText xml:space="preserve"> PAGEREF _Toc488741884 \h </w:instrText>
        </w:r>
        <w:r w:rsidR="002E1CE9">
          <w:rPr>
            <w:noProof/>
            <w:webHidden/>
          </w:rPr>
        </w:r>
        <w:r w:rsidR="002E1CE9">
          <w:rPr>
            <w:noProof/>
            <w:webHidden/>
          </w:rPr>
          <w:fldChar w:fldCharType="separate"/>
        </w:r>
        <w:r w:rsidR="0077432E">
          <w:rPr>
            <w:noProof/>
            <w:webHidden/>
          </w:rPr>
          <w:t>182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5" w:history="1">
        <w:r w:rsidR="002E1CE9" w:rsidRPr="00810C5C">
          <w:rPr>
            <w:rStyle w:val="Hyperlink"/>
            <w:noProof/>
          </w:rPr>
          <w:t>Table A-57: Penelec Energy Efficiency Programs – Realization Rates for Energy and Demand Savings in PY7</w:t>
        </w:r>
        <w:r w:rsidR="002E1CE9">
          <w:rPr>
            <w:noProof/>
            <w:webHidden/>
          </w:rPr>
          <w:tab/>
        </w:r>
        <w:r w:rsidR="002E1CE9">
          <w:rPr>
            <w:noProof/>
            <w:webHidden/>
          </w:rPr>
          <w:fldChar w:fldCharType="begin"/>
        </w:r>
        <w:r w:rsidR="002E1CE9">
          <w:rPr>
            <w:noProof/>
            <w:webHidden/>
          </w:rPr>
          <w:instrText xml:space="preserve"> PAGEREF _Toc488741885 \h </w:instrText>
        </w:r>
        <w:r w:rsidR="002E1CE9">
          <w:rPr>
            <w:noProof/>
            <w:webHidden/>
          </w:rPr>
        </w:r>
        <w:r w:rsidR="002E1CE9">
          <w:rPr>
            <w:noProof/>
            <w:webHidden/>
          </w:rPr>
          <w:fldChar w:fldCharType="separate"/>
        </w:r>
        <w:r w:rsidR="0077432E">
          <w:rPr>
            <w:noProof/>
            <w:webHidden/>
          </w:rPr>
          <w:t>183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6" w:history="1">
        <w:r w:rsidR="002E1CE9" w:rsidRPr="00810C5C">
          <w:rPr>
            <w:rStyle w:val="Hyperlink"/>
            <w:noProof/>
          </w:rPr>
          <w:t>Table A-58: Compliance across Sample Designs for Penelec’s PY7 Non-Residential Program Groups</w:t>
        </w:r>
        <w:r w:rsidR="002E1CE9">
          <w:rPr>
            <w:noProof/>
            <w:webHidden/>
          </w:rPr>
          <w:tab/>
        </w:r>
        <w:r w:rsidR="002E1CE9">
          <w:rPr>
            <w:noProof/>
            <w:webHidden/>
          </w:rPr>
          <w:fldChar w:fldCharType="begin"/>
        </w:r>
        <w:r w:rsidR="002E1CE9">
          <w:rPr>
            <w:noProof/>
            <w:webHidden/>
          </w:rPr>
          <w:instrText xml:space="preserve"> PAGEREF _Toc488741886 \h </w:instrText>
        </w:r>
        <w:r w:rsidR="002E1CE9">
          <w:rPr>
            <w:noProof/>
            <w:webHidden/>
          </w:rPr>
        </w:r>
        <w:r w:rsidR="002E1CE9">
          <w:rPr>
            <w:noProof/>
            <w:webHidden/>
          </w:rPr>
          <w:fldChar w:fldCharType="separate"/>
        </w:r>
        <w:r w:rsidR="0077432E">
          <w:rPr>
            <w:noProof/>
            <w:webHidden/>
          </w:rPr>
          <w:t>188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7" w:history="1">
        <w:r w:rsidR="002E1CE9" w:rsidRPr="00810C5C">
          <w:rPr>
            <w:rStyle w:val="Hyperlink"/>
            <w:noProof/>
          </w:rPr>
          <w:t>Table A-59: Penelec Project File Review Summary</w:t>
        </w:r>
        <w:r w:rsidR="002E1CE9">
          <w:rPr>
            <w:noProof/>
            <w:webHidden/>
          </w:rPr>
          <w:tab/>
        </w:r>
        <w:r w:rsidR="002E1CE9">
          <w:rPr>
            <w:noProof/>
            <w:webHidden/>
          </w:rPr>
          <w:fldChar w:fldCharType="begin"/>
        </w:r>
        <w:r w:rsidR="002E1CE9">
          <w:rPr>
            <w:noProof/>
            <w:webHidden/>
          </w:rPr>
          <w:instrText xml:space="preserve"> PAGEREF _Toc488741887 \h </w:instrText>
        </w:r>
        <w:r w:rsidR="002E1CE9">
          <w:rPr>
            <w:noProof/>
            <w:webHidden/>
          </w:rPr>
        </w:r>
        <w:r w:rsidR="002E1CE9">
          <w:rPr>
            <w:noProof/>
            <w:webHidden/>
          </w:rPr>
          <w:fldChar w:fldCharType="separate"/>
        </w:r>
        <w:r w:rsidR="0077432E">
          <w:rPr>
            <w:noProof/>
            <w:webHidden/>
          </w:rPr>
          <w:t>190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8" w:history="1">
        <w:r w:rsidR="002E1CE9" w:rsidRPr="00810C5C">
          <w:rPr>
            <w:rStyle w:val="Hyperlink"/>
            <w:noProof/>
          </w:rPr>
          <w:t>Table A-60: Penelec PY7 Sampling Strategy and Relative Precision – Small C/I Energy Efficient Equipment Program</w:t>
        </w:r>
        <w:r w:rsidR="002E1CE9">
          <w:rPr>
            <w:noProof/>
            <w:webHidden/>
          </w:rPr>
          <w:tab/>
        </w:r>
        <w:r w:rsidR="002E1CE9">
          <w:rPr>
            <w:noProof/>
            <w:webHidden/>
          </w:rPr>
          <w:fldChar w:fldCharType="begin"/>
        </w:r>
        <w:r w:rsidR="002E1CE9">
          <w:rPr>
            <w:noProof/>
            <w:webHidden/>
          </w:rPr>
          <w:instrText xml:space="preserve"> PAGEREF _Toc488741888 \h </w:instrText>
        </w:r>
        <w:r w:rsidR="002E1CE9">
          <w:rPr>
            <w:noProof/>
            <w:webHidden/>
          </w:rPr>
        </w:r>
        <w:r w:rsidR="002E1CE9">
          <w:rPr>
            <w:noProof/>
            <w:webHidden/>
          </w:rPr>
          <w:fldChar w:fldCharType="separate"/>
        </w:r>
        <w:r w:rsidR="0077432E">
          <w:rPr>
            <w:noProof/>
            <w:webHidden/>
          </w:rPr>
          <w:t>192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89" w:history="1">
        <w:r w:rsidR="002E1CE9" w:rsidRPr="00810C5C">
          <w:rPr>
            <w:rStyle w:val="Hyperlink"/>
            <w:noProof/>
          </w:rPr>
          <w:t>Table A-61: Penelec’s PY7 Sampling Strategy and Relative Precision – Small C/I Energy Efficient Buildings Program</w:t>
        </w:r>
        <w:r w:rsidR="002E1CE9">
          <w:rPr>
            <w:noProof/>
            <w:webHidden/>
          </w:rPr>
          <w:tab/>
        </w:r>
        <w:r w:rsidR="002E1CE9">
          <w:rPr>
            <w:noProof/>
            <w:webHidden/>
          </w:rPr>
          <w:fldChar w:fldCharType="begin"/>
        </w:r>
        <w:r w:rsidR="002E1CE9">
          <w:rPr>
            <w:noProof/>
            <w:webHidden/>
          </w:rPr>
          <w:instrText xml:space="preserve"> PAGEREF _Toc488741889 \h </w:instrText>
        </w:r>
        <w:r w:rsidR="002E1CE9">
          <w:rPr>
            <w:noProof/>
            <w:webHidden/>
          </w:rPr>
        </w:r>
        <w:r w:rsidR="002E1CE9">
          <w:rPr>
            <w:noProof/>
            <w:webHidden/>
          </w:rPr>
          <w:fldChar w:fldCharType="separate"/>
        </w:r>
        <w:r w:rsidR="0077432E">
          <w:rPr>
            <w:noProof/>
            <w:webHidden/>
          </w:rPr>
          <w:t>192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0" w:history="1">
        <w:r w:rsidR="002E1CE9" w:rsidRPr="00810C5C">
          <w:rPr>
            <w:rStyle w:val="Hyperlink"/>
            <w:noProof/>
          </w:rPr>
          <w:t>Table A-62: Penelec’s PY7 Sampling Strategy and Relative Precision – Large C/I Energy Efficient Equipment Program</w:t>
        </w:r>
        <w:r w:rsidR="002E1CE9">
          <w:rPr>
            <w:noProof/>
            <w:webHidden/>
          </w:rPr>
          <w:tab/>
        </w:r>
        <w:r w:rsidR="002E1CE9">
          <w:rPr>
            <w:noProof/>
            <w:webHidden/>
          </w:rPr>
          <w:fldChar w:fldCharType="begin"/>
        </w:r>
        <w:r w:rsidR="002E1CE9">
          <w:rPr>
            <w:noProof/>
            <w:webHidden/>
          </w:rPr>
          <w:instrText xml:space="preserve"> PAGEREF _Toc488741890 \h </w:instrText>
        </w:r>
        <w:r w:rsidR="002E1CE9">
          <w:rPr>
            <w:noProof/>
            <w:webHidden/>
          </w:rPr>
        </w:r>
        <w:r w:rsidR="002E1CE9">
          <w:rPr>
            <w:noProof/>
            <w:webHidden/>
          </w:rPr>
          <w:fldChar w:fldCharType="separate"/>
        </w:r>
        <w:r w:rsidR="0077432E">
          <w:rPr>
            <w:noProof/>
            <w:webHidden/>
          </w:rPr>
          <w:t>193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1" w:history="1">
        <w:r w:rsidR="002E1CE9" w:rsidRPr="00810C5C">
          <w:rPr>
            <w:rStyle w:val="Hyperlink"/>
            <w:noProof/>
          </w:rPr>
          <w:t>Table A-63: Penelec’s PY7 Sampling Strategy and Relative Precision – Large C/I Energy Efficient Buildings Program</w:t>
        </w:r>
        <w:r w:rsidR="002E1CE9">
          <w:rPr>
            <w:noProof/>
            <w:webHidden/>
          </w:rPr>
          <w:tab/>
        </w:r>
        <w:r w:rsidR="002E1CE9">
          <w:rPr>
            <w:noProof/>
            <w:webHidden/>
          </w:rPr>
          <w:fldChar w:fldCharType="begin"/>
        </w:r>
        <w:r w:rsidR="002E1CE9">
          <w:rPr>
            <w:noProof/>
            <w:webHidden/>
          </w:rPr>
          <w:instrText xml:space="preserve"> PAGEREF _Toc488741891 \h </w:instrText>
        </w:r>
        <w:r w:rsidR="002E1CE9">
          <w:rPr>
            <w:noProof/>
            <w:webHidden/>
          </w:rPr>
        </w:r>
        <w:r w:rsidR="002E1CE9">
          <w:rPr>
            <w:noProof/>
            <w:webHidden/>
          </w:rPr>
          <w:fldChar w:fldCharType="separate"/>
        </w:r>
        <w:r w:rsidR="0077432E">
          <w:rPr>
            <w:noProof/>
            <w:webHidden/>
          </w:rPr>
          <w:t>194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2" w:history="1">
        <w:r w:rsidR="002E1CE9" w:rsidRPr="00810C5C">
          <w:rPr>
            <w:rStyle w:val="Hyperlink"/>
            <w:noProof/>
          </w:rPr>
          <w:t>Table A-64: Penelec’s PY7 Sampling Strategy and Achieved Precision – Government and Institutional Program</w:t>
        </w:r>
        <w:r w:rsidR="002E1CE9">
          <w:rPr>
            <w:noProof/>
            <w:webHidden/>
          </w:rPr>
          <w:tab/>
        </w:r>
        <w:r w:rsidR="002E1CE9">
          <w:rPr>
            <w:noProof/>
            <w:webHidden/>
          </w:rPr>
          <w:fldChar w:fldCharType="begin"/>
        </w:r>
        <w:r w:rsidR="002E1CE9">
          <w:rPr>
            <w:noProof/>
            <w:webHidden/>
          </w:rPr>
          <w:instrText xml:space="preserve"> PAGEREF _Toc488741892 \h </w:instrText>
        </w:r>
        <w:r w:rsidR="002E1CE9">
          <w:rPr>
            <w:noProof/>
            <w:webHidden/>
          </w:rPr>
        </w:r>
        <w:r w:rsidR="002E1CE9">
          <w:rPr>
            <w:noProof/>
            <w:webHidden/>
          </w:rPr>
          <w:fldChar w:fldCharType="separate"/>
        </w:r>
        <w:r w:rsidR="0077432E">
          <w:rPr>
            <w:noProof/>
            <w:webHidden/>
          </w:rPr>
          <w:t>194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3" w:history="1">
        <w:r w:rsidR="002E1CE9" w:rsidRPr="00810C5C">
          <w:rPr>
            <w:rStyle w:val="Hyperlink"/>
            <w:noProof/>
          </w:rPr>
          <w:t>Table A-65: Penelec’s PY7 Non-Residential Site Inspection Findings</w:t>
        </w:r>
        <w:r w:rsidR="002E1CE9">
          <w:rPr>
            <w:noProof/>
            <w:webHidden/>
          </w:rPr>
          <w:tab/>
        </w:r>
        <w:r w:rsidR="002E1CE9">
          <w:rPr>
            <w:noProof/>
            <w:webHidden/>
          </w:rPr>
          <w:fldChar w:fldCharType="begin"/>
        </w:r>
        <w:r w:rsidR="002E1CE9">
          <w:rPr>
            <w:noProof/>
            <w:webHidden/>
          </w:rPr>
          <w:instrText xml:space="preserve"> PAGEREF _Toc488741893 \h </w:instrText>
        </w:r>
        <w:r w:rsidR="002E1CE9">
          <w:rPr>
            <w:noProof/>
            <w:webHidden/>
          </w:rPr>
        </w:r>
        <w:r w:rsidR="002E1CE9">
          <w:rPr>
            <w:noProof/>
            <w:webHidden/>
          </w:rPr>
          <w:fldChar w:fldCharType="separate"/>
        </w:r>
        <w:r w:rsidR="0077432E">
          <w:rPr>
            <w:noProof/>
            <w:webHidden/>
          </w:rPr>
          <w:t>195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4" w:history="1">
        <w:r w:rsidR="002E1CE9" w:rsidRPr="00810C5C">
          <w:rPr>
            <w:rStyle w:val="Hyperlink"/>
            <w:noProof/>
          </w:rPr>
          <w:t>Table A-66: Verified Savings and M&amp;V Methods for SWE Team–Sampled Penelec Projects</w:t>
        </w:r>
        <w:r w:rsidR="002E1CE9">
          <w:rPr>
            <w:noProof/>
            <w:webHidden/>
          </w:rPr>
          <w:tab/>
        </w:r>
        <w:r w:rsidR="002E1CE9">
          <w:rPr>
            <w:noProof/>
            <w:webHidden/>
          </w:rPr>
          <w:fldChar w:fldCharType="begin"/>
        </w:r>
        <w:r w:rsidR="002E1CE9">
          <w:rPr>
            <w:noProof/>
            <w:webHidden/>
          </w:rPr>
          <w:instrText xml:space="preserve"> PAGEREF _Toc488741894 \h </w:instrText>
        </w:r>
        <w:r w:rsidR="002E1CE9">
          <w:rPr>
            <w:noProof/>
            <w:webHidden/>
          </w:rPr>
        </w:r>
        <w:r w:rsidR="002E1CE9">
          <w:rPr>
            <w:noProof/>
            <w:webHidden/>
          </w:rPr>
          <w:fldChar w:fldCharType="separate"/>
        </w:r>
        <w:r w:rsidR="0077432E">
          <w:rPr>
            <w:noProof/>
            <w:webHidden/>
          </w:rPr>
          <w:t>195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5" w:history="1">
        <w:r w:rsidR="002E1CE9" w:rsidRPr="00810C5C">
          <w:rPr>
            <w:rStyle w:val="Hyperlink"/>
            <w:noProof/>
          </w:rPr>
          <w:t>Table A-67: Summary of NTG Estimates for Penelec’s Programs</w:t>
        </w:r>
        <w:r w:rsidR="002E1CE9">
          <w:rPr>
            <w:noProof/>
            <w:webHidden/>
          </w:rPr>
          <w:tab/>
        </w:r>
        <w:r w:rsidR="002E1CE9">
          <w:rPr>
            <w:noProof/>
            <w:webHidden/>
          </w:rPr>
          <w:fldChar w:fldCharType="begin"/>
        </w:r>
        <w:r w:rsidR="002E1CE9">
          <w:rPr>
            <w:noProof/>
            <w:webHidden/>
          </w:rPr>
          <w:instrText xml:space="preserve"> PAGEREF _Toc488741895 \h </w:instrText>
        </w:r>
        <w:r w:rsidR="002E1CE9">
          <w:rPr>
            <w:noProof/>
            <w:webHidden/>
          </w:rPr>
        </w:r>
        <w:r w:rsidR="002E1CE9">
          <w:rPr>
            <w:noProof/>
            <w:webHidden/>
          </w:rPr>
          <w:fldChar w:fldCharType="separate"/>
        </w:r>
        <w:r w:rsidR="0077432E">
          <w:rPr>
            <w:noProof/>
            <w:webHidden/>
          </w:rPr>
          <w:t>196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6" w:history="1">
        <w:r w:rsidR="002E1CE9" w:rsidRPr="00810C5C">
          <w:rPr>
            <w:rStyle w:val="Hyperlink"/>
            <w:noProof/>
          </w:rPr>
          <w:t>Table A-68: Penn Power EE&amp;C Programs with Reported Gross Savings in PY7</w:t>
        </w:r>
        <w:r w:rsidR="002E1CE9">
          <w:rPr>
            <w:noProof/>
            <w:webHidden/>
          </w:rPr>
          <w:tab/>
        </w:r>
        <w:r w:rsidR="002E1CE9">
          <w:rPr>
            <w:noProof/>
            <w:webHidden/>
          </w:rPr>
          <w:fldChar w:fldCharType="begin"/>
        </w:r>
        <w:r w:rsidR="002E1CE9">
          <w:rPr>
            <w:noProof/>
            <w:webHidden/>
          </w:rPr>
          <w:instrText xml:space="preserve"> PAGEREF _Toc488741896 \h </w:instrText>
        </w:r>
        <w:r w:rsidR="002E1CE9">
          <w:rPr>
            <w:noProof/>
            <w:webHidden/>
          </w:rPr>
        </w:r>
        <w:r w:rsidR="002E1CE9">
          <w:rPr>
            <w:noProof/>
            <w:webHidden/>
          </w:rPr>
          <w:fldChar w:fldCharType="separate"/>
        </w:r>
        <w:r w:rsidR="0077432E">
          <w:rPr>
            <w:noProof/>
            <w:webHidden/>
          </w:rPr>
          <w:t>197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7" w:history="1">
        <w:r w:rsidR="002E1CE9" w:rsidRPr="00810C5C">
          <w:rPr>
            <w:rStyle w:val="Hyperlink"/>
            <w:noProof/>
          </w:rPr>
          <w:t>Table A-69: Summary of Penn Power EE&amp;C Program Impacts on Verified Gross Portfolio Savings</w:t>
        </w:r>
        <w:r w:rsidR="002E1CE9">
          <w:rPr>
            <w:noProof/>
            <w:webHidden/>
          </w:rPr>
          <w:tab/>
        </w:r>
        <w:r w:rsidR="002E1CE9">
          <w:rPr>
            <w:noProof/>
            <w:webHidden/>
          </w:rPr>
          <w:fldChar w:fldCharType="begin"/>
        </w:r>
        <w:r w:rsidR="002E1CE9">
          <w:rPr>
            <w:noProof/>
            <w:webHidden/>
          </w:rPr>
          <w:instrText xml:space="preserve"> PAGEREF _Toc488741897 \h </w:instrText>
        </w:r>
        <w:r w:rsidR="002E1CE9">
          <w:rPr>
            <w:noProof/>
            <w:webHidden/>
          </w:rPr>
        </w:r>
        <w:r w:rsidR="002E1CE9">
          <w:rPr>
            <w:noProof/>
            <w:webHidden/>
          </w:rPr>
          <w:fldChar w:fldCharType="separate"/>
        </w:r>
        <w:r w:rsidR="0077432E">
          <w:rPr>
            <w:noProof/>
            <w:webHidden/>
          </w:rPr>
          <w:t>198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8" w:history="1">
        <w:r w:rsidR="002E1CE9" w:rsidRPr="00810C5C">
          <w:rPr>
            <w:rStyle w:val="Hyperlink"/>
            <w:noProof/>
          </w:rPr>
          <w:t>Table A-70: Summary of Penn Power EE&amp;C Verified Net Savings – by Sector</w:t>
        </w:r>
        <w:r w:rsidR="002E1CE9">
          <w:rPr>
            <w:noProof/>
            <w:webHidden/>
          </w:rPr>
          <w:tab/>
        </w:r>
        <w:r w:rsidR="002E1CE9">
          <w:rPr>
            <w:noProof/>
            <w:webHidden/>
          </w:rPr>
          <w:fldChar w:fldCharType="begin"/>
        </w:r>
        <w:r w:rsidR="002E1CE9">
          <w:rPr>
            <w:noProof/>
            <w:webHidden/>
          </w:rPr>
          <w:instrText xml:space="preserve"> PAGEREF _Toc488741898 \h </w:instrText>
        </w:r>
        <w:r w:rsidR="002E1CE9">
          <w:rPr>
            <w:noProof/>
            <w:webHidden/>
          </w:rPr>
        </w:r>
        <w:r w:rsidR="002E1CE9">
          <w:rPr>
            <w:noProof/>
            <w:webHidden/>
          </w:rPr>
          <w:fldChar w:fldCharType="separate"/>
        </w:r>
        <w:r w:rsidR="0077432E">
          <w:rPr>
            <w:noProof/>
            <w:webHidden/>
          </w:rPr>
          <w:t>198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899" w:history="1">
        <w:r w:rsidR="002E1CE9" w:rsidRPr="00810C5C">
          <w:rPr>
            <w:rStyle w:val="Hyperlink"/>
            <w:noProof/>
          </w:rPr>
          <w:t>Table A-71: Summary of Penn Power’s PY7 TRC Factors and Results</w:t>
        </w:r>
        <w:r w:rsidR="002E1CE9">
          <w:rPr>
            <w:noProof/>
            <w:webHidden/>
          </w:rPr>
          <w:tab/>
        </w:r>
        <w:r w:rsidR="002E1CE9">
          <w:rPr>
            <w:noProof/>
            <w:webHidden/>
          </w:rPr>
          <w:fldChar w:fldCharType="begin"/>
        </w:r>
        <w:r w:rsidR="002E1CE9">
          <w:rPr>
            <w:noProof/>
            <w:webHidden/>
          </w:rPr>
          <w:instrText xml:space="preserve"> PAGEREF _Toc488741899 \h </w:instrText>
        </w:r>
        <w:r w:rsidR="002E1CE9">
          <w:rPr>
            <w:noProof/>
            <w:webHidden/>
          </w:rPr>
        </w:r>
        <w:r w:rsidR="002E1CE9">
          <w:rPr>
            <w:noProof/>
            <w:webHidden/>
          </w:rPr>
          <w:fldChar w:fldCharType="separate"/>
        </w:r>
        <w:r w:rsidR="0077432E">
          <w:rPr>
            <w:noProof/>
            <w:webHidden/>
          </w:rPr>
          <w:t>198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0" w:history="1">
        <w:r w:rsidR="002E1CE9" w:rsidRPr="00810C5C">
          <w:rPr>
            <w:rStyle w:val="Hyperlink"/>
            <w:noProof/>
          </w:rPr>
          <w:t>Table A-72: Penn Power’s PY7 Discount Rates and LLFs</w:t>
        </w:r>
        <w:r w:rsidR="002E1CE9">
          <w:rPr>
            <w:noProof/>
            <w:webHidden/>
          </w:rPr>
          <w:tab/>
        </w:r>
        <w:r w:rsidR="002E1CE9">
          <w:rPr>
            <w:noProof/>
            <w:webHidden/>
          </w:rPr>
          <w:fldChar w:fldCharType="begin"/>
        </w:r>
        <w:r w:rsidR="002E1CE9">
          <w:rPr>
            <w:noProof/>
            <w:webHidden/>
          </w:rPr>
          <w:instrText xml:space="preserve"> PAGEREF _Toc488741900 \h </w:instrText>
        </w:r>
        <w:r w:rsidR="002E1CE9">
          <w:rPr>
            <w:noProof/>
            <w:webHidden/>
          </w:rPr>
        </w:r>
        <w:r w:rsidR="002E1CE9">
          <w:rPr>
            <w:noProof/>
            <w:webHidden/>
          </w:rPr>
          <w:fldChar w:fldCharType="separate"/>
        </w:r>
        <w:r w:rsidR="0077432E">
          <w:rPr>
            <w:noProof/>
            <w:webHidden/>
          </w:rPr>
          <w:t>199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1" w:history="1">
        <w:r w:rsidR="002E1CE9" w:rsidRPr="00810C5C">
          <w:rPr>
            <w:rStyle w:val="Hyperlink"/>
            <w:noProof/>
          </w:rPr>
          <w:t>Table A-73: Key Milestones Reached for Penn Power’s Phase II EM&amp;V Plan</w:t>
        </w:r>
        <w:r w:rsidR="002E1CE9">
          <w:rPr>
            <w:noProof/>
            <w:webHidden/>
          </w:rPr>
          <w:tab/>
        </w:r>
        <w:r w:rsidR="002E1CE9">
          <w:rPr>
            <w:noProof/>
            <w:webHidden/>
          </w:rPr>
          <w:fldChar w:fldCharType="begin"/>
        </w:r>
        <w:r w:rsidR="002E1CE9">
          <w:rPr>
            <w:noProof/>
            <w:webHidden/>
          </w:rPr>
          <w:instrText xml:space="preserve"> PAGEREF _Toc488741901 \h </w:instrText>
        </w:r>
        <w:r w:rsidR="002E1CE9">
          <w:rPr>
            <w:noProof/>
            <w:webHidden/>
          </w:rPr>
        </w:r>
        <w:r w:rsidR="002E1CE9">
          <w:rPr>
            <w:noProof/>
            <w:webHidden/>
          </w:rPr>
          <w:fldChar w:fldCharType="separate"/>
        </w:r>
        <w:r w:rsidR="0077432E">
          <w:rPr>
            <w:noProof/>
            <w:webHidden/>
          </w:rPr>
          <w:t>201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2" w:history="1">
        <w:r w:rsidR="002E1CE9" w:rsidRPr="00810C5C">
          <w:rPr>
            <w:rStyle w:val="Hyperlink"/>
            <w:noProof/>
          </w:rPr>
          <w:t>Table A-74: Penn Power Energy Efficiency Programs – Realization Rates for Energy and Demand Savings in PY7</w:t>
        </w:r>
        <w:r w:rsidR="002E1CE9">
          <w:rPr>
            <w:noProof/>
            <w:webHidden/>
          </w:rPr>
          <w:tab/>
        </w:r>
        <w:r w:rsidR="002E1CE9">
          <w:rPr>
            <w:noProof/>
            <w:webHidden/>
          </w:rPr>
          <w:fldChar w:fldCharType="begin"/>
        </w:r>
        <w:r w:rsidR="002E1CE9">
          <w:rPr>
            <w:noProof/>
            <w:webHidden/>
          </w:rPr>
          <w:instrText xml:space="preserve"> PAGEREF _Toc488741902 \h </w:instrText>
        </w:r>
        <w:r w:rsidR="002E1CE9">
          <w:rPr>
            <w:noProof/>
            <w:webHidden/>
          </w:rPr>
        </w:r>
        <w:r w:rsidR="002E1CE9">
          <w:rPr>
            <w:noProof/>
            <w:webHidden/>
          </w:rPr>
          <w:fldChar w:fldCharType="separate"/>
        </w:r>
        <w:r w:rsidR="0077432E">
          <w:rPr>
            <w:noProof/>
            <w:webHidden/>
          </w:rPr>
          <w:t>202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3" w:history="1">
        <w:r w:rsidR="002E1CE9" w:rsidRPr="00810C5C">
          <w:rPr>
            <w:rStyle w:val="Hyperlink"/>
            <w:noProof/>
          </w:rPr>
          <w:t>Table A-75: Compliance across Sample Designs for Penn Power’s PY7 Non-Residential Program Groups</w:t>
        </w:r>
        <w:r w:rsidR="002E1CE9">
          <w:rPr>
            <w:noProof/>
            <w:webHidden/>
          </w:rPr>
          <w:tab/>
        </w:r>
        <w:r w:rsidR="002E1CE9">
          <w:rPr>
            <w:noProof/>
            <w:webHidden/>
          </w:rPr>
          <w:fldChar w:fldCharType="begin"/>
        </w:r>
        <w:r w:rsidR="002E1CE9">
          <w:rPr>
            <w:noProof/>
            <w:webHidden/>
          </w:rPr>
          <w:instrText xml:space="preserve"> PAGEREF _Toc488741903 \h </w:instrText>
        </w:r>
        <w:r w:rsidR="002E1CE9">
          <w:rPr>
            <w:noProof/>
            <w:webHidden/>
          </w:rPr>
        </w:r>
        <w:r w:rsidR="002E1CE9">
          <w:rPr>
            <w:noProof/>
            <w:webHidden/>
          </w:rPr>
          <w:fldChar w:fldCharType="separate"/>
        </w:r>
        <w:r w:rsidR="0077432E">
          <w:rPr>
            <w:noProof/>
            <w:webHidden/>
          </w:rPr>
          <w:t>208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4" w:history="1">
        <w:r w:rsidR="002E1CE9" w:rsidRPr="00810C5C">
          <w:rPr>
            <w:rStyle w:val="Hyperlink"/>
            <w:noProof/>
          </w:rPr>
          <w:t>Table A-76: Penn Power Project Files Review Summary</w:t>
        </w:r>
        <w:r w:rsidR="002E1CE9">
          <w:rPr>
            <w:noProof/>
            <w:webHidden/>
          </w:rPr>
          <w:tab/>
        </w:r>
        <w:r w:rsidR="002E1CE9">
          <w:rPr>
            <w:noProof/>
            <w:webHidden/>
          </w:rPr>
          <w:fldChar w:fldCharType="begin"/>
        </w:r>
        <w:r w:rsidR="002E1CE9">
          <w:rPr>
            <w:noProof/>
            <w:webHidden/>
          </w:rPr>
          <w:instrText xml:space="preserve"> PAGEREF _Toc488741904 \h </w:instrText>
        </w:r>
        <w:r w:rsidR="002E1CE9">
          <w:rPr>
            <w:noProof/>
            <w:webHidden/>
          </w:rPr>
        </w:r>
        <w:r w:rsidR="002E1CE9">
          <w:rPr>
            <w:noProof/>
            <w:webHidden/>
          </w:rPr>
          <w:fldChar w:fldCharType="separate"/>
        </w:r>
        <w:r w:rsidR="0077432E">
          <w:rPr>
            <w:noProof/>
            <w:webHidden/>
          </w:rPr>
          <w:t>210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5" w:history="1">
        <w:r w:rsidR="002E1CE9" w:rsidRPr="00810C5C">
          <w:rPr>
            <w:rStyle w:val="Hyperlink"/>
            <w:noProof/>
          </w:rPr>
          <w:t>Table A-77: Penn Power’s PY7 Sampling Strategy and Relative Precision – Small C/I Energy Efficient Equipment Program</w:t>
        </w:r>
        <w:r w:rsidR="002E1CE9">
          <w:rPr>
            <w:noProof/>
            <w:webHidden/>
          </w:rPr>
          <w:tab/>
        </w:r>
        <w:r w:rsidR="002E1CE9">
          <w:rPr>
            <w:noProof/>
            <w:webHidden/>
          </w:rPr>
          <w:fldChar w:fldCharType="begin"/>
        </w:r>
        <w:r w:rsidR="002E1CE9">
          <w:rPr>
            <w:noProof/>
            <w:webHidden/>
          </w:rPr>
          <w:instrText xml:space="preserve"> PAGEREF _Toc488741905 \h </w:instrText>
        </w:r>
        <w:r w:rsidR="002E1CE9">
          <w:rPr>
            <w:noProof/>
            <w:webHidden/>
          </w:rPr>
        </w:r>
        <w:r w:rsidR="002E1CE9">
          <w:rPr>
            <w:noProof/>
            <w:webHidden/>
          </w:rPr>
          <w:fldChar w:fldCharType="separate"/>
        </w:r>
        <w:r w:rsidR="0077432E">
          <w:rPr>
            <w:noProof/>
            <w:webHidden/>
          </w:rPr>
          <w:t>213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6" w:history="1">
        <w:r w:rsidR="002E1CE9" w:rsidRPr="00810C5C">
          <w:rPr>
            <w:rStyle w:val="Hyperlink"/>
            <w:noProof/>
          </w:rPr>
          <w:t>Table A-78: Penn Power’s PY7 Sampling Strategy and Relative Precision – Small C/I Energy Efficient Buildings Program</w:t>
        </w:r>
        <w:r w:rsidR="002E1CE9">
          <w:rPr>
            <w:noProof/>
            <w:webHidden/>
          </w:rPr>
          <w:tab/>
        </w:r>
        <w:r w:rsidR="002E1CE9">
          <w:rPr>
            <w:noProof/>
            <w:webHidden/>
          </w:rPr>
          <w:fldChar w:fldCharType="begin"/>
        </w:r>
        <w:r w:rsidR="002E1CE9">
          <w:rPr>
            <w:noProof/>
            <w:webHidden/>
          </w:rPr>
          <w:instrText xml:space="preserve"> PAGEREF _Toc488741906 \h </w:instrText>
        </w:r>
        <w:r w:rsidR="002E1CE9">
          <w:rPr>
            <w:noProof/>
            <w:webHidden/>
          </w:rPr>
        </w:r>
        <w:r w:rsidR="002E1CE9">
          <w:rPr>
            <w:noProof/>
            <w:webHidden/>
          </w:rPr>
          <w:fldChar w:fldCharType="separate"/>
        </w:r>
        <w:r w:rsidR="0077432E">
          <w:rPr>
            <w:noProof/>
            <w:webHidden/>
          </w:rPr>
          <w:t>213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7" w:history="1">
        <w:r w:rsidR="002E1CE9" w:rsidRPr="00810C5C">
          <w:rPr>
            <w:rStyle w:val="Hyperlink"/>
            <w:noProof/>
          </w:rPr>
          <w:t>Table A-79: Penn Power’s PY7 Sampling Strategy and Relative Precision – Large C/I Energy Efficient Equipment Program</w:t>
        </w:r>
        <w:r w:rsidR="002E1CE9">
          <w:rPr>
            <w:noProof/>
            <w:webHidden/>
          </w:rPr>
          <w:tab/>
        </w:r>
        <w:r w:rsidR="002E1CE9">
          <w:rPr>
            <w:noProof/>
            <w:webHidden/>
          </w:rPr>
          <w:fldChar w:fldCharType="begin"/>
        </w:r>
        <w:r w:rsidR="002E1CE9">
          <w:rPr>
            <w:noProof/>
            <w:webHidden/>
          </w:rPr>
          <w:instrText xml:space="preserve"> PAGEREF _Toc488741907 \h </w:instrText>
        </w:r>
        <w:r w:rsidR="002E1CE9">
          <w:rPr>
            <w:noProof/>
            <w:webHidden/>
          </w:rPr>
        </w:r>
        <w:r w:rsidR="002E1CE9">
          <w:rPr>
            <w:noProof/>
            <w:webHidden/>
          </w:rPr>
          <w:fldChar w:fldCharType="separate"/>
        </w:r>
        <w:r w:rsidR="0077432E">
          <w:rPr>
            <w:noProof/>
            <w:webHidden/>
          </w:rPr>
          <w:t>214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8" w:history="1">
        <w:r w:rsidR="002E1CE9" w:rsidRPr="00810C5C">
          <w:rPr>
            <w:rStyle w:val="Hyperlink"/>
            <w:noProof/>
          </w:rPr>
          <w:t>Table A-80: Penn Power PY7 Sampling Strategy and Relative Precision – Large C/I Energy Efficient Buildings Program</w:t>
        </w:r>
        <w:r w:rsidR="002E1CE9">
          <w:rPr>
            <w:noProof/>
            <w:webHidden/>
          </w:rPr>
          <w:tab/>
        </w:r>
        <w:r w:rsidR="002E1CE9">
          <w:rPr>
            <w:noProof/>
            <w:webHidden/>
          </w:rPr>
          <w:fldChar w:fldCharType="begin"/>
        </w:r>
        <w:r w:rsidR="002E1CE9">
          <w:rPr>
            <w:noProof/>
            <w:webHidden/>
          </w:rPr>
          <w:instrText xml:space="preserve"> PAGEREF _Toc488741908 \h </w:instrText>
        </w:r>
        <w:r w:rsidR="002E1CE9">
          <w:rPr>
            <w:noProof/>
            <w:webHidden/>
          </w:rPr>
        </w:r>
        <w:r w:rsidR="002E1CE9">
          <w:rPr>
            <w:noProof/>
            <w:webHidden/>
          </w:rPr>
          <w:fldChar w:fldCharType="separate"/>
        </w:r>
        <w:r w:rsidR="0077432E">
          <w:rPr>
            <w:noProof/>
            <w:webHidden/>
          </w:rPr>
          <w:t>215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09" w:history="1">
        <w:r w:rsidR="002E1CE9" w:rsidRPr="00810C5C">
          <w:rPr>
            <w:rStyle w:val="Hyperlink"/>
            <w:noProof/>
          </w:rPr>
          <w:t>Table A-81: Penn Power’s PY7 Sampling Strategy and Achieved Precision – Government and Institutional Program</w:t>
        </w:r>
        <w:r w:rsidR="002E1CE9">
          <w:rPr>
            <w:noProof/>
            <w:webHidden/>
          </w:rPr>
          <w:tab/>
        </w:r>
        <w:r w:rsidR="002E1CE9">
          <w:rPr>
            <w:noProof/>
            <w:webHidden/>
          </w:rPr>
          <w:fldChar w:fldCharType="begin"/>
        </w:r>
        <w:r w:rsidR="002E1CE9">
          <w:rPr>
            <w:noProof/>
            <w:webHidden/>
          </w:rPr>
          <w:instrText xml:space="preserve"> PAGEREF _Toc488741909 \h </w:instrText>
        </w:r>
        <w:r w:rsidR="002E1CE9">
          <w:rPr>
            <w:noProof/>
            <w:webHidden/>
          </w:rPr>
        </w:r>
        <w:r w:rsidR="002E1CE9">
          <w:rPr>
            <w:noProof/>
            <w:webHidden/>
          </w:rPr>
          <w:fldChar w:fldCharType="separate"/>
        </w:r>
        <w:r w:rsidR="0077432E">
          <w:rPr>
            <w:noProof/>
            <w:webHidden/>
          </w:rPr>
          <w:t>216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0" w:history="1">
        <w:r w:rsidR="002E1CE9" w:rsidRPr="00810C5C">
          <w:rPr>
            <w:rStyle w:val="Hyperlink"/>
            <w:noProof/>
          </w:rPr>
          <w:t>Table A-82: Penn Power’s PY7 Non-Residential Site Inspection Findings</w:t>
        </w:r>
        <w:r w:rsidR="002E1CE9">
          <w:rPr>
            <w:noProof/>
            <w:webHidden/>
          </w:rPr>
          <w:tab/>
        </w:r>
        <w:r w:rsidR="002E1CE9">
          <w:rPr>
            <w:noProof/>
            <w:webHidden/>
          </w:rPr>
          <w:fldChar w:fldCharType="begin"/>
        </w:r>
        <w:r w:rsidR="002E1CE9">
          <w:rPr>
            <w:noProof/>
            <w:webHidden/>
          </w:rPr>
          <w:instrText xml:space="preserve"> PAGEREF _Toc488741910 \h </w:instrText>
        </w:r>
        <w:r w:rsidR="002E1CE9">
          <w:rPr>
            <w:noProof/>
            <w:webHidden/>
          </w:rPr>
        </w:r>
        <w:r w:rsidR="002E1CE9">
          <w:rPr>
            <w:noProof/>
            <w:webHidden/>
          </w:rPr>
          <w:fldChar w:fldCharType="separate"/>
        </w:r>
        <w:r w:rsidR="0077432E">
          <w:rPr>
            <w:noProof/>
            <w:webHidden/>
          </w:rPr>
          <w:t>216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1" w:history="1">
        <w:r w:rsidR="002E1CE9" w:rsidRPr="00810C5C">
          <w:rPr>
            <w:rStyle w:val="Hyperlink"/>
            <w:noProof/>
          </w:rPr>
          <w:t>Table A-83: Verified Savings and M&amp;V Methods for SWE Team–Sampled Penn Power Projects</w:t>
        </w:r>
        <w:r w:rsidR="002E1CE9">
          <w:rPr>
            <w:noProof/>
            <w:webHidden/>
          </w:rPr>
          <w:tab/>
        </w:r>
        <w:r w:rsidR="002E1CE9">
          <w:rPr>
            <w:noProof/>
            <w:webHidden/>
          </w:rPr>
          <w:fldChar w:fldCharType="begin"/>
        </w:r>
        <w:r w:rsidR="002E1CE9">
          <w:rPr>
            <w:noProof/>
            <w:webHidden/>
          </w:rPr>
          <w:instrText xml:space="preserve"> PAGEREF _Toc488741911 \h </w:instrText>
        </w:r>
        <w:r w:rsidR="002E1CE9">
          <w:rPr>
            <w:noProof/>
            <w:webHidden/>
          </w:rPr>
        </w:r>
        <w:r w:rsidR="002E1CE9">
          <w:rPr>
            <w:noProof/>
            <w:webHidden/>
          </w:rPr>
          <w:fldChar w:fldCharType="separate"/>
        </w:r>
        <w:r w:rsidR="0077432E">
          <w:rPr>
            <w:noProof/>
            <w:webHidden/>
          </w:rPr>
          <w:t>217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2" w:history="1">
        <w:r w:rsidR="002E1CE9" w:rsidRPr="00810C5C">
          <w:rPr>
            <w:rStyle w:val="Hyperlink"/>
            <w:noProof/>
          </w:rPr>
          <w:t>Table A-84: Summary of NTG Estimates for Penn Power’s Programs</w:t>
        </w:r>
        <w:r w:rsidR="002E1CE9">
          <w:rPr>
            <w:noProof/>
            <w:webHidden/>
          </w:rPr>
          <w:tab/>
        </w:r>
        <w:r w:rsidR="002E1CE9">
          <w:rPr>
            <w:noProof/>
            <w:webHidden/>
          </w:rPr>
          <w:fldChar w:fldCharType="begin"/>
        </w:r>
        <w:r w:rsidR="002E1CE9">
          <w:rPr>
            <w:noProof/>
            <w:webHidden/>
          </w:rPr>
          <w:instrText xml:space="preserve"> PAGEREF _Toc488741912 \h </w:instrText>
        </w:r>
        <w:r w:rsidR="002E1CE9">
          <w:rPr>
            <w:noProof/>
            <w:webHidden/>
          </w:rPr>
        </w:r>
        <w:r w:rsidR="002E1CE9">
          <w:rPr>
            <w:noProof/>
            <w:webHidden/>
          </w:rPr>
          <w:fldChar w:fldCharType="separate"/>
        </w:r>
        <w:r w:rsidR="0077432E">
          <w:rPr>
            <w:noProof/>
            <w:webHidden/>
          </w:rPr>
          <w:t>218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3" w:history="1">
        <w:r w:rsidR="002E1CE9" w:rsidRPr="00810C5C">
          <w:rPr>
            <w:rStyle w:val="Hyperlink"/>
            <w:noProof/>
          </w:rPr>
          <w:t>Table A-85: West Penn EE&amp;C Programs with Reported Gross Savings in PY7</w:t>
        </w:r>
        <w:r w:rsidR="002E1CE9">
          <w:rPr>
            <w:noProof/>
            <w:webHidden/>
          </w:rPr>
          <w:tab/>
        </w:r>
        <w:r w:rsidR="002E1CE9">
          <w:rPr>
            <w:noProof/>
            <w:webHidden/>
          </w:rPr>
          <w:fldChar w:fldCharType="begin"/>
        </w:r>
        <w:r w:rsidR="002E1CE9">
          <w:rPr>
            <w:noProof/>
            <w:webHidden/>
          </w:rPr>
          <w:instrText xml:space="preserve"> PAGEREF _Toc488741913 \h </w:instrText>
        </w:r>
        <w:r w:rsidR="002E1CE9">
          <w:rPr>
            <w:noProof/>
            <w:webHidden/>
          </w:rPr>
        </w:r>
        <w:r w:rsidR="002E1CE9">
          <w:rPr>
            <w:noProof/>
            <w:webHidden/>
          </w:rPr>
          <w:fldChar w:fldCharType="separate"/>
        </w:r>
        <w:r w:rsidR="0077432E">
          <w:rPr>
            <w:noProof/>
            <w:webHidden/>
          </w:rPr>
          <w:t>219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4" w:history="1">
        <w:r w:rsidR="002E1CE9" w:rsidRPr="00810C5C">
          <w:rPr>
            <w:rStyle w:val="Hyperlink"/>
            <w:noProof/>
          </w:rPr>
          <w:t>Table A-86: Summary of West Penn EE&amp;C Program Impacts on Verified Gross Portfolio Savings</w:t>
        </w:r>
        <w:r w:rsidR="002E1CE9">
          <w:rPr>
            <w:noProof/>
            <w:webHidden/>
          </w:rPr>
          <w:tab/>
        </w:r>
        <w:r w:rsidR="002E1CE9">
          <w:rPr>
            <w:noProof/>
            <w:webHidden/>
          </w:rPr>
          <w:fldChar w:fldCharType="begin"/>
        </w:r>
        <w:r w:rsidR="002E1CE9">
          <w:rPr>
            <w:noProof/>
            <w:webHidden/>
          </w:rPr>
          <w:instrText xml:space="preserve"> PAGEREF _Toc488741914 \h </w:instrText>
        </w:r>
        <w:r w:rsidR="002E1CE9">
          <w:rPr>
            <w:noProof/>
            <w:webHidden/>
          </w:rPr>
        </w:r>
        <w:r w:rsidR="002E1CE9">
          <w:rPr>
            <w:noProof/>
            <w:webHidden/>
          </w:rPr>
          <w:fldChar w:fldCharType="separate"/>
        </w:r>
        <w:r w:rsidR="0077432E">
          <w:rPr>
            <w:noProof/>
            <w:webHidden/>
          </w:rPr>
          <w:t>220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5" w:history="1">
        <w:r w:rsidR="002E1CE9" w:rsidRPr="00810C5C">
          <w:rPr>
            <w:rStyle w:val="Hyperlink"/>
            <w:noProof/>
          </w:rPr>
          <w:t>Table A-87: Summary of West Penn EE&amp;C Verified Net Savings – by Sector</w:t>
        </w:r>
        <w:r w:rsidR="002E1CE9">
          <w:rPr>
            <w:noProof/>
            <w:webHidden/>
          </w:rPr>
          <w:tab/>
        </w:r>
        <w:r w:rsidR="002E1CE9">
          <w:rPr>
            <w:noProof/>
            <w:webHidden/>
          </w:rPr>
          <w:fldChar w:fldCharType="begin"/>
        </w:r>
        <w:r w:rsidR="002E1CE9">
          <w:rPr>
            <w:noProof/>
            <w:webHidden/>
          </w:rPr>
          <w:instrText xml:space="preserve"> PAGEREF _Toc488741915 \h </w:instrText>
        </w:r>
        <w:r w:rsidR="002E1CE9">
          <w:rPr>
            <w:noProof/>
            <w:webHidden/>
          </w:rPr>
        </w:r>
        <w:r w:rsidR="002E1CE9">
          <w:rPr>
            <w:noProof/>
            <w:webHidden/>
          </w:rPr>
          <w:fldChar w:fldCharType="separate"/>
        </w:r>
        <w:r w:rsidR="0077432E">
          <w:rPr>
            <w:noProof/>
            <w:webHidden/>
          </w:rPr>
          <w:t>220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6" w:history="1">
        <w:r w:rsidR="002E1CE9" w:rsidRPr="00810C5C">
          <w:rPr>
            <w:rStyle w:val="Hyperlink"/>
            <w:noProof/>
          </w:rPr>
          <w:t>Table A-88: Summary of West Penn’s PY7 TRC Factors and Results</w:t>
        </w:r>
        <w:r w:rsidR="002E1CE9">
          <w:rPr>
            <w:noProof/>
            <w:webHidden/>
          </w:rPr>
          <w:tab/>
        </w:r>
        <w:r w:rsidR="002E1CE9">
          <w:rPr>
            <w:noProof/>
            <w:webHidden/>
          </w:rPr>
          <w:fldChar w:fldCharType="begin"/>
        </w:r>
        <w:r w:rsidR="002E1CE9">
          <w:rPr>
            <w:noProof/>
            <w:webHidden/>
          </w:rPr>
          <w:instrText xml:space="preserve"> PAGEREF _Toc488741916 \h </w:instrText>
        </w:r>
        <w:r w:rsidR="002E1CE9">
          <w:rPr>
            <w:noProof/>
            <w:webHidden/>
          </w:rPr>
        </w:r>
        <w:r w:rsidR="002E1CE9">
          <w:rPr>
            <w:noProof/>
            <w:webHidden/>
          </w:rPr>
          <w:fldChar w:fldCharType="separate"/>
        </w:r>
        <w:r w:rsidR="0077432E">
          <w:rPr>
            <w:noProof/>
            <w:webHidden/>
          </w:rPr>
          <w:t>220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7" w:history="1">
        <w:r w:rsidR="002E1CE9" w:rsidRPr="00810C5C">
          <w:rPr>
            <w:rStyle w:val="Hyperlink"/>
            <w:noProof/>
          </w:rPr>
          <w:t>Table A-89: West Penn’s PY7 Discount Rates and LLFs</w:t>
        </w:r>
        <w:r w:rsidR="002E1CE9">
          <w:rPr>
            <w:noProof/>
            <w:webHidden/>
          </w:rPr>
          <w:tab/>
        </w:r>
        <w:r w:rsidR="002E1CE9">
          <w:rPr>
            <w:noProof/>
            <w:webHidden/>
          </w:rPr>
          <w:fldChar w:fldCharType="begin"/>
        </w:r>
        <w:r w:rsidR="002E1CE9">
          <w:rPr>
            <w:noProof/>
            <w:webHidden/>
          </w:rPr>
          <w:instrText xml:space="preserve"> PAGEREF _Toc488741917 \h </w:instrText>
        </w:r>
        <w:r w:rsidR="002E1CE9">
          <w:rPr>
            <w:noProof/>
            <w:webHidden/>
          </w:rPr>
        </w:r>
        <w:r w:rsidR="002E1CE9">
          <w:rPr>
            <w:noProof/>
            <w:webHidden/>
          </w:rPr>
          <w:fldChar w:fldCharType="separate"/>
        </w:r>
        <w:r w:rsidR="0077432E">
          <w:rPr>
            <w:noProof/>
            <w:webHidden/>
          </w:rPr>
          <w:t>221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8" w:history="1">
        <w:r w:rsidR="002E1CE9" w:rsidRPr="00810C5C">
          <w:rPr>
            <w:rStyle w:val="Hyperlink"/>
            <w:noProof/>
          </w:rPr>
          <w:t>Table A-90: Key Milestones Reached for West Penn’s Phase II EM&amp;V Plan</w:t>
        </w:r>
        <w:r w:rsidR="002E1CE9">
          <w:rPr>
            <w:noProof/>
            <w:webHidden/>
          </w:rPr>
          <w:tab/>
        </w:r>
        <w:r w:rsidR="002E1CE9">
          <w:rPr>
            <w:noProof/>
            <w:webHidden/>
          </w:rPr>
          <w:fldChar w:fldCharType="begin"/>
        </w:r>
        <w:r w:rsidR="002E1CE9">
          <w:rPr>
            <w:noProof/>
            <w:webHidden/>
          </w:rPr>
          <w:instrText xml:space="preserve"> PAGEREF _Toc488741918 \h </w:instrText>
        </w:r>
        <w:r w:rsidR="002E1CE9">
          <w:rPr>
            <w:noProof/>
            <w:webHidden/>
          </w:rPr>
        </w:r>
        <w:r w:rsidR="002E1CE9">
          <w:rPr>
            <w:noProof/>
            <w:webHidden/>
          </w:rPr>
          <w:fldChar w:fldCharType="separate"/>
        </w:r>
        <w:r w:rsidR="0077432E">
          <w:rPr>
            <w:noProof/>
            <w:webHidden/>
          </w:rPr>
          <w:t>223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19" w:history="1">
        <w:r w:rsidR="002E1CE9" w:rsidRPr="00810C5C">
          <w:rPr>
            <w:rStyle w:val="Hyperlink"/>
            <w:noProof/>
          </w:rPr>
          <w:t>Table A-91: West Penn Energy Efficiency Programs – Realization Rates for Energy and Demand Savings in PY7</w:t>
        </w:r>
        <w:r w:rsidR="002E1CE9">
          <w:rPr>
            <w:noProof/>
            <w:webHidden/>
          </w:rPr>
          <w:tab/>
        </w:r>
        <w:r w:rsidR="002E1CE9">
          <w:rPr>
            <w:noProof/>
            <w:webHidden/>
          </w:rPr>
          <w:fldChar w:fldCharType="begin"/>
        </w:r>
        <w:r w:rsidR="002E1CE9">
          <w:rPr>
            <w:noProof/>
            <w:webHidden/>
          </w:rPr>
          <w:instrText xml:space="preserve"> PAGEREF _Toc488741919 \h </w:instrText>
        </w:r>
        <w:r w:rsidR="002E1CE9">
          <w:rPr>
            <w:noProof/>
            <w:webHidden/>
          </w:rPr>
        </w:r>
        <w:r w:rsidR="002E1CE9">
          <w:rPr>
            <w:noProof/>
            <w:webHidden/>
          </w:rPr>
          <w:fldChar w:fldCharType="separate"/>
        </w:r>
        <w:r w:rsidR="0077432E">
          <w:rPr>
            <w:noProof/>
            <w:webHidden/>
          </w:rPr>
          <w:t>224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0" w:history="1">
        <w:r w:rsidR="002E1CE9" w:rsidRPr="00810C5C">
          <w:rPr>
            <w:rStyle w:val="Hyperlink"/>
            <w:noProof/>
          </w:rPr>
          <w:t>Table A-92: Compliance across Sample Designs for West Penn’s PY7 Non-Residential Program Groups</w:t>
        </w:r>
        <w:r w:rsidR="002E1CE9">
          <w:rPr>
            <w:noProof/>
            <w:webHidden/>
          </w:rPr>
          <w:tab/>
        </w:r>
        <w:r w:rsidR="002E1CE9">
          <w:rPr>
            <w:noProof/>
            <w:webHidden/>
          </w:rPr>
          <w:fldChar w:fldCharType="begin"/>
        </w:r>
        <w:r w:rsidR="002E1CE9">
          <w:rPr>
            <w:noProof/>
            <w:webHidden/>
          </w:rPr>
          <w:instrText xml:space="preserve"> PAGEREF _Toc488741920 \h </w:instrText>
        </w:r>
        <w:r w:rsidR="002E1CE9">
          <w:rPr>
            <w:noProof/>
            <w:webHidden/>
          </w:rPr>
        </w:r>
        <w:r w:rsidR="002E1CE9">
          <w:rPr>
            <w:noProof/>
            <w:webHidden/>
          </w:rPr>
          <w:fldChar w:fldCharType="separate"/>
        </w:r>
        <w:r w:rsidR="0077432E">
          <w:rPr>
            <w:noProof/>
            <w:webHidden/>
          </w:rPr>
          <w:t>230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1" w:history="1">
        <w:r w:rsidR="002E1CE9" w:rsidRPr="00810C5C">
          <w:rPr>
            <w:rStyle w:val="Hyperlink"/>
            <w:noProof/>
          </w:rPr>
          <w:t>Table A-93: West Penn Project File Summary</w:t>
        </w:r>
        <w:r w:rsidR="002E1CE9">
          <w:rPr>
            <w:noProof/>
            <w:webHidden/>
          </w:rPr>
          <w:tab/>
        </w:r>
        <w:r w:rsidR="002E1CE9">
          <w:rPr>
            <w:noProof/>
            <w:webHidden/>
          </w:rPr>
          <w:fldChar w:fldCharType="begin"/>
        </w:r>
        <w:r w:rsidR="002E1CE9">
          <w:rPr>
            <w:noProof/>
            <w:webHidden/>
          </w:rPr>
          <w:instrText xml:space="preserve"> PAGEREF _Toc488741921 \h </w:instrText>
        </w:r>
        <w:r w:rsidR="002E1CE9">
          <w:rPr>
            <w:noProof/>
            <w:webHidden/>
          </w:rPr>
        </w:r>
        <w:r w:rsidR="002E1CE9">
          <w:rPr>
            <w:noProof/>
            <w:webHidden/>
          </w:rPr>
          <w:fldChar w:fldCharType="separate"/>
        </w:r>
        <w:r w:rsidR="0077432E">
          <w:rPr>
            <w:noProof/>
            <w:webHidden/>
          </w:rPr>
          <w:t>232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2" w:history="1">
        <w:r w:rsidR="002E1CE9" w:rsidRPr="00810C5C">
          <w:rPr>
            <w:rStyle w:val="Hyperlink"/>
            <w:noProof/>
          </w:rPr>
          <w:t>Table A-94: West Penn’s PY7 Sampling Strategy and Relative Precision – Small C/I Energy Efficient Equipment Program</w:t>
        </w:r>
        <w:r w:rsidR="002E1CE9">
          <w:rPr>
            <w:noProof/>
            <w:webHidden/>
          </w:rPr>
          <w:tab/>
        </w:r>
        <w:r w:rsidR="002E1CE9">
          <w:rPr>
            <w:noProof/>
            <w:webHidden/>
          </w:rPr>
          <w:fldChar w:fldCharType="begin"/>
        </w:r>
        <w:r w:rsidR="002E1CE9">
          <w:rPr>
            <w:noProof/>
            <w:webHidden/>
          </w:rPr>
          <w:instrText xml:space="preserve"> PAGEREF _Toc488741922 \h </w:instrText>
        </w:r>
        <w:r w:rsidR="002E1CE9">
          <w:rPr>
            <w:noProof/>
            <w:webHidden/>
          </w:rPr>
        </w:r>
        <w:r w:rsidR="002E1CE9">
          <w:rPr>
            <w:noProof/>
            <w:webHidden/>
          </w:rPr>
          <w:fldChar w:fldCharType="separate"/>
        </w:r>
        <w:r w:rsidR="0077432E">
          <w:rPr>
            <w:noProof/>
            <w:webHidden/>
          </w:rPr>
          <w:t>233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3" w:history="1">
        <w:r w:rsidR="002E1CE9" w:rsidRPr="00810C5C">
          <w:rPr>
            <w:rStyle w:val="Hyperlink"/>
            <w:noProof/>
          </w:rPr>
          <w:t>Table A-95: West Penn’s PY7 Sampling Strategy and Relative Precision – Small C/I Energy Efficient Buildings Program</w:t>
        </w:r>
        <w:r w:rsidR="002E1CE9">
          <w:rPr>
            <w:noProof/>
            <w:webHidden/>
          </w:rPr>
          <w:tab/>
        </w:r>
        <w:r w:rsidR="002E1CE9">
          <w:rPr>
            <w:noProof/>
            <w:webHidden/>
          </w:rPr>
          <w:fldChar w:fldCharType="begin"/>
        </w:r>
        <w:r w:rsidR="002E1CE9">
          <w:rPr>
            <w:noProof/>
            <w:webHidden/>
          </w:rPr>
          <w:instrText xml:space="preserve"> PAGEREF _Toc488741923 \h </w:instrText>
        </w:r>
        <w:r w:rsidR="002E1CE9">
          <w:rPr>
            <w:noProof/>
            <w:webHidden/>
          </w:rPr>
        </w:r>
        <w:r w:rsidR="002E1CE9">
          <w:rPr>
            <w:noProof/>
            <w:webHidden/>
          </w:rPr>
          <w:fldChar w:fldCharType="separate"/>
        </w:r>
        <w:r w:rsidR="0077432E">
          <w:rPr>
            <w:noProof/>
            <w:webHidden/>
          </w:rPr>
          <w:t>234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4" w:history="1">
        <w:r w:rsidR="002E1CE9" w:rsidRPr="00810C5C">
          <w:rPr>
            <w:rStyle w:val="Hyperlink"/>
            <w:noProof/>
          </w:rPr>
          <w:t>Table A-96: West Penn’s PY7 Sampling Strategy and Relative Precision – Large C/I Energy Efficient Equipment Program</w:t>
        </w:r>
        <w:r w:rsidR="002E1CE9">
          <w:rPr>
            <w:noProof/>
            <w:webHidden/>
          </w:rPr>
          <w:tab/>
        </w:r>
        <w:r w:rsidR="002E1CE9">
          <w:rPr>
            <w:noProof/>
            <w:webHidden/>
          </w:rPr>
          <w:fldChar w:fldCharType="begin"/>
        </w:r>
        <w:r w:rsidR="002E1CE9">
          <w:rPr>
            <w:noProof/>
            <w:webHidden/>
          </w:rPr>
          <w:instrText xml:space="preserve"> PAGEREF _Toc488741924 \h </w:instrText>
        </w:r>
        <w:r w:rsidR="002E1CE9">
          <w:rPr>
            <w:noProof/>
            <w:webHidden/>
          </w:rPr>
        </w:r>
        <w:r w:rsidR="002E1CE9">
          <w:rPr>
            <w:noProof/>
            <w:webHidden/>
          </w:rPr>
          <w:fldChar w:fldCharType="separate"/>
        </w:r>
        <w:r w:rsidR="0077432E">
          <w:rPr>
            <w:noProof/>
            <w:webHidden/>
          </w:rPr>
          <w:t>235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5" w:history="1">
        <w:r w:rsidR="002E1CE9" w:rsidRPr="00810C5C">
          <w:rPr>
            <w:rStyle w:val="Hyperlink"/>
            <w:noProof/>
          </w:rPr>
          <w:t>Table A-97: West Penn PY7 Sampling Strategy and Relative Precision – Large C/I Energy Efficient Buildings Program</w:t>
        </w:r>
        <w:r w:rsidR="002E1CE9">
          <w:rPr>
            <w:noProof/>
            <w:webHidden/>
          </w:rPr>
          <w:tab/>
        </w:r>
        <w:r w:rsidR="002E1CE9">
          <w:rPr>
            <w:noProof/>
            <w:webHidden/>
          </w:rPr>
          <w:fldChar w:fldCharType="begin"/>
        </w:r>
        <w:r w:rsidR="002E1CE9">
          <w:rPr>
            <w:noProof/>
            <w:webHidden/>
          </w:rPr>
          <w:instrText xml:space="preserve"> PAGEREF _Toc488741925 \h </w:instrText>
        </w:r>
        <w:r w:rsidR="002E1CE9">
          <w:rPr>
            <w:noProof/>
            <w:webHidden/>
          </w:rPr>
        </w:r>
        <w:r w:rsidR="002E1CE9">
          <w:rPr>
            <w:noProof/>
            <w:webHidden/>
          </w:rPr>
          <w:fldChar w:fldCharType="separate"/>
        </w:r>
        <w:r w:rsidR="0077432E">
          <w:rPr>
            <w:noProof/>
            <w:webHidden/>
          </w:rPr>
          <w:t>235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6" w:history="1">
        <w:r w:rsidR="002E1CE9" w:rsidRPr="00810C5C">
          <w:rPr>
            <w:rStyle w:val="Hyperlink"/>
            <w:noProof/>
          </w:rPr>
          <w:t>Table A-98: West Penn’s PY7 Sampling Strategy and Achieved Precision – Government and Institutional Program</w:t>
        </w:r>
        <w:r w:rsidR="002E1CE9">
          <w:rPr>
            <w:noProof/>
            <w:webHidden/>
          </w:rPr>
          <w:tab/>
        </w:r>
        <w:r w:rsidR="002E1CE9">
          <w:rPr>
            <w:noProof/>
            <w:webHidden/>
          </w:rPr>
          <w:fldChar w:fldCharType="begin"/>
        </w:r>
        <w:r w:rsidR="002E1CE9">
          <w:rPr>
            <w:noProof/>
            <w:webHidden/>
          </w:rPr>
          <w:instrText xml:space="preserve"> PAGEREF _Toc488741926 \h </w:instrText>
        </w:r>
        <w:r w:rsidR="002E1CE9">
          <w:rPr>
            <w:noProof/>
            <w:webHidden/>
          </w:rPr>
        </w:r>
        <w:r w:rsidR="002E1CE9">
          <w:rPr>
            <w:noProof/>
            <w:webHidden/>
          </w:rPr>
          <w:fldChar w:fldCharType="separate"/>
        </w:r>
        <w:r w:rsidR="0077432E">
          <w:rPr>
            <w:noProof/>
            <w:webHidden/>
          </w:rPr>
          <w:t>236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7" w:history="1">
        <w:r w:rsidR="002E1CE9" w:rsidRPr="00810C5C">
          <w:rPr>
            <w:rStyle w:val="Hyperlink"/>
            <w:noProof/>
          </w:rPr>
          <w:t>Table A-99</w:t>
        </w:r>
        <w:r w:rsidR="002E1CE9" w:rsidRPr="00810C5C">
          <w:rPr>
            <w:rStyle w:val="Hyperlink"/>
            <w:rFonts w:cs="Calibri"/>
            <w:noProof/>
          </w:rPr>
          <w:t xml:space="preserve"> : West Penn </w:t>
        </w:r>
        <w:r w:rsidR="002E1CE9" w:rsidRPr="00810C5C">
          <w:rPr>
            <w:rStyle w:val="Hyperlink"/>
            <w:noProof/>
          </w:rPr>
          <w:t>PY7 Non-Residential Site Inspection Findings</w:t>
        </w:r>
        <w:r w:rsidR="002E1CE9">
          <w:rPr>
            <w:noProof/>
            <w:webHidden/>
          </w:rPr>
          <w:tab/>
        </w:r>
        <w:r w:rsidR="002E1CE9">
          <w:rPr>
            <w:noProof/>
            <w:webHidden/>
          </w:rPr>
          <w:fldChar w:fldCharType="begin"/>
        </w:r>
        <w:r w:rsidR="002E1CE9">
          <w:rPr>
            <w:noProof/>
            <w:webHidden/>
          </w:rPr>
          <w:instrText xml:space="preserve"> PAGEREF _Toc488741927 \h </w:instrText>
        </w:r>
        <w:r w:rsidR="002E1CE9">
          <w:rPr>
            <w:noProof/>
            <w:webHidden/>
          </w:rPr>
        </w:r>
        <w:r w:rsidR="002E1CE9">
          <w:rPr>
            <w:noProof/>
            <w:webHidden/>
          </w:rPr>
          <w:fldChar w:fldCharType="separate"/>
        </w:r>
        <w:r w:rsidR="0077432E">
          <w:rPr>
            <w:noProof/>
            <w:webHidden/>
          </w:rPr>
          <w:t>237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8" w:history="1">
        <w:r w:rsidR="002E1CE9" w:rsidRPr="00810C5C">
          <w:rPr>
            <w:rStyle w:val="Hyperlink"/>
            <w:noProof/>
          </w:rPr>
          <w:t>Table A-100: Verified Savings and M&amp;V Methods for SWE Team–Sampled West Penn Projects</w:t>
        </w:r>
        <w:r w:rsidR="002E1CE9">
          <w:rPr>
            <w:noProof/>
            <w:webHidden/>
          </w:rPr>
          <w:tab/>
        </w:r>
        <w:r w:rsidR="002E1CE9">
          <w:rPr>
            <w:noProof/>
            <w:webHidden/>
          </w:rPr>
          <w:fldChar w:fldCharType="begin"/>
        </w:r>
        <w:r w:rsidR="002E1CE9">
          <w:rPr>
            <w:noProof/>
            <w:webHidden/>
          </w:rPr>
          <w:instrText xml:space="preserve"> PAGEREF _Toc488741928 \h </w:instrText>
        </w:r>
        <w:r w:rsidR="002E1CE9">
          <w:rPr>
            <w:noProof/>
            <w:webHidden/>
          </w:rPr>
        </w:r>
        <w:r w:rsidR="002E1CE9">
          <w:rPr>
            <w:noProof/>
            <w:webHidden/>
          </w:rPr>
          <w:fldChar w:fldCharType="separate"/>
        </w:r>
        <w:r w:rsidR="0077432E">
          <w:rPr>
            <w:noProof/>
            <w:webHidden/>
          </w:rPr>
          <w:t>238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29" w:history="1">
        <w:r w:rsidR="002E1CE9" w:rsidRPr="00810C5C">
          <w:rPr>
            <w:rStyle w:val="Hyperlink"/>
            <w:noProof/>
          </w:rPr>
          <w:t>Table A-101: Summary of NTG Estimates for West Penn’s Programs</w:t>
        </w:r>
        <w:r w:rsidR="002E1CE9">
          <w:rPr>
            <w:noProof/>
            <w:webHidden/>
          </w:rPr>
          <w:tab/>
        </w:r>
        <w:r w:rsidR="002E1CE9">
          <w:rPr>
            <w:noProof/>
            <w:webHidden/>
          </w:rPr>
          <w:fldChar w:fldCharType="begin"/>
        </w:r>
        <w:r w:rsidR="002E1CE9">
          <w:rPr>
            <w:noProof/>
            <w:webHidden/>
          </w:rPr>
          <w:instrText xml:space="preserve"> PAGEREF _Toc488741929 \h </w:instrText>
        </w:r>
        <w:r w:rsidR="002E1CE9">
          <w:rPr>
            <w:noProof/>
            <w:webHidden/>
          </w:rPr>
        </w:r>
        <w:r w:rsidR="002E1CE9">
          <w:rPr>
            <w:noProof/>
            <w:webHidden/>
          </w:rPr>
          <w:fldChar w:fldCharType="separate"/>
        </w:r>
        <w:r w:rsidR="0077432E">
          <w:rPr>
            <w:noProof/>
            <w:webHidden/>
          </w:rPr>
          <w:t>239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0" w:history="1">
        <w:r w:rsidR="002E1CE9" w:rsidRPr="00810C5C">
          <w:rPr>
            <w:rStyle w:val="Hyperlink"/>
            <w:noProof/>
          </w:rPr>
          <w:t>Table A-102: PECO EE&amp;C Programs with Reported Gross Savings in PY7</w:t>
        </w:r>
        <w:r w:rsidR="002E1CE9">
          <w:rPr>
            <w:noProof/>
            <w:webHidden/>
          </w:rPr>
          <w:tab/>
        </w:r>
        <w:r w:rsidR="002E1CE9">
          <w:rPr>
            <w:noProof/>
            <w:webHidden/>
          </w:rPr>
          <w:fldChar w:fldCharType="begin"/>
        </w:r>
        <w:r w:rsidR="002E1CE9">
          <w:rPr>
            <w:noProof/>
            <w:webHidden/>
          </w:rPr>
          <w:instrText xml:space="preserve"> PAGEREF _Toc488741930 \h </w:instrText>
        </w:r>
        <w:r w:rsidR="002E1CE9">
          <w:rPr>
            <w:noProof/>
            <w:webHidden/>
          </w:rPr>
        </w:r>
        <w:r w:rsidR="002E1CE9">
          <w:rPr>
            <w:noProof/>
            <w:webHidden/>
          </w:rPr>
          <w:fldChar w:fldCharType="separate"/>
        </w:r>
        <w:r w:rsidR="0077432E">
          <w:rPr>
            <w:noProof/>
            <w:webHidden/>
          </w:rPr>
          <w:t>240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1" w:history="1">
        <w:r w:rsidR="002E1CE9" w:rsidRPr="00810C5C">
          <w:rPr>
            <w:rStyle w:val="Hyperlink"/>
            <w:noProof/>
          </w:rPr>
          <w:t>Table A-103: Summary of PECO EE&amp;C Program Impacts on Verified Gross Portfolio Savings</w:t>
        </w:r>
        <w:r w:rsidR="002E1CE9">
          <w:rPr>
            <w:noProof/>
            <w:webHidden/>
          </w:rPr>
          <w:tab/>
        </w:r>
        <w:r w:rsidR="002E1CE9">
          <w:rPr>
            <w:noProof/>
            <w:webHidden/>
          </w:rPr>
          <w:fldChar w:fldCharType="begin"/>
        </w:r>
        <w:r w:rsidR="002E1CE9">
          <w:rPr>
            <w:noProof/>
            <w:webHidden/>
          </w:rPr>
          <w:instrText xml:space="preserve"> PAGEREF _Toc488741931 \h </w:instrText>
        </w:r>
        <w:r w:rsidR="002E1CE9">
          <w:rPr>
            <w:noProof/>
            <w:webHidden/>
          </w:rPr>
        </w:r>
        <w:r w:rsidR="002E1CE9">
          <w:rPr>
            <w:noProof/>
            <w:webHidden/>
          </w:rPr>
          <w:fldChar w:fldCharType="separate"/>
        </w:r>
        <w:r w:rsidR="0077432E">
          <w:rPr>
            <w:noProof/>
            <w:webHidden/>
          </w:rPr>
          <w:t>241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2" w:history="1">
        <w:r w:rsidR="002E1CE9" w:rsidRPr="00810C5C">
          <w:rPr>
            <w:rStyle w:val="Hyperlink"/>
            <w:noProof/>
          </w:rPr>
          <w:t>Table A-104: Summary of PECO EE&amp;C Verified Net Savings – by Sector</w:t>
        </w:r>
        <w:r w:rsidR="002E1CE9">
          <w:rPr>
            <w:noProof/>
            <w:webHidden/>
          </w:rPr>
          <w:tab/>
        </w:r>
        <w:r w:rsidR="002E1CE9">
          <w:rPr>
            <w:noProof/>
            <w:webHidden/>
          </w:rPr>
          <w:fldChar w:fldCharType="begin"/>
        </w:r>
        <w:r w:rsidR="002E1CE9">
          <w:rPr>
            <w:noProof/>
            <w:webHidden/>
          </w:rPr>
          <w:instrText xml:space="preserve"> PAGEREF _Toc488741932 \h </w:instrText>
        </w:r>
        <w:r w:rsidR="002E1CE9">
          <w:rPr>
            <w:noProof/>
            <w:webHidden/>
          </w:rPr>
        </w:r>
        <w:r w:rsidR="002E1CE9">
          <w:rPr>
            <w:noProof/>
            <w:webHidden/>
          </w:rPr>
          <w:fldChar w:fldCharType="separate"/>
        </w:r>
        <w:r w:rsidR="0077432E">
          <w:rPr>
            <w:noProof/>
            <w:webHidden/>
          </w:rPr>
          <w:t>242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3" w:history="1">
        <w:r w:rsidR="002E1CE9" w:rsidRPr="00810C5C">
          <w:rPr>
            <w:rStyle w:val="Hyperlink"/>
            <w:noProof/>
          </w:rPr>
          <w:t>Table A-105: Summary of PECO’s PY6 TRC Factors and Results</w:t>
        </w:r>
        <w:r w:rsidR="002E1CE9">
          <w:rPr>
            <w:noProof/>
            <w:webHidden/>
          </w:rPr>
          <w:tab/>
        </w:r>
        <w:r w:rsidR="002E1CE9">
          <w:rPr>
            <w:noProof/>
            <w:webHidden/>
          </w:rPr>
          <w:fldChar w:fldCharType="begin"/>
        </w:r>
        <w:r w:rsidR="002E1CE9">
          <w:rPr>
            <w:noProof/>
            <w:webHidden/>
          </w:rPr>
          <w:instrText xml:space="preserve"> PAGEREF _Toc488741933 \h </w:instrText>
        </w:r>
        <w:r w:rsidR="002E1CE9">
          <w:rPr>
            <w:noProof/>
            <w:webHidden/>
          </w:rPr>
        </w:r>
        <w:r w:rsidR="002E1CE9">
          <w:rPr>
            <w:noProof/>
            <w:webHidden/>
          </w:rPr>
          <w:fldChar w:fldCharType="separate"/>
        </w:r>
        <w:r w:rsidR="0077432E">
          <w:rPr>
            <w:noProof/>
            <w:webHidden/>
          </w:rPr>
          <w:t>242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4" w:history="1">
        <w:r w:rsidR="002E1CE9" w:rsidRPr="00810C5C">
          <w:rPr>
            <w:rStyle w:val="Hyperlink"/>
            <w:noProof/>
          </w:rPr>
          <w:t>Table A-106: PECO’s Discount Rates and LLFs</w:t>
        </w:r>
        <w:r w:rsidR="002E1CE9">
          <w:rPr>
            <w:noProof/>
            <w:webHidden/>
          </w:rPr>
          <w:tab/>
        </w:r>
        <w:r w:rsidR="002E1CE9">
          <w:rPr>
            <w:noProof/>
            <w:webHidden/>
          </w:rPr>
          <w:fldChar w:fldCharType="begin"/>
        </w:r>
        <w:r w:rsidR="002E1CE9">
          <w:rPr>
            <w:noProof/>
            <w:webHidden/>
          </w:rPr>
          <w:instrText xml:space="preserve"> PAGEREF _Toc488741934 \h </w:instrText>
        </w:r>
        <w:r w:rsidR="002E1CE9">
          <w:rPr>
            <w:noProof/>
            <w:webHidden/>
          </w:rPr>
        </w:r>
        <w:r w:rsidR="002E1CE9">
          <w:rPr>
            <w:noProof/>
            <w:webHidden/>
          </w:rPr>
          <w:fldChar w:fldCharType="separate"/>
        </w:r>
        <w:r w:rsidR="0077432E">
          <w:rPr>
            <w:noProof/>
            <w:webHidden/>
          </w:rPr>
          <w:t>243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5" w:history="1">
        <w:r w:rsidR="002E1CE9" w:rsidRPr="00810C5C">
          <w:rPr>
            <w:rStyle w:val="Hyperlink"/>
            <w:noProof/>
          </w:rPr>
          <w:t>Table A-107: Key Milestones Reached for PECO’s Phase II EM&amp;V Plan</w:t>
        </w:r>
        <w:r w:rsidR="002E1CE9">
          <w:rPr>
            <w:noProof/>
            <w:webHidden/>
          </w:rPr>
          <w:tab/>
        </w:r>
        <w:r w:rsidR="002E1CE9">
          <w:rPr>
            <w:noProof/>
            <w:webHidden/>
          </w:rPr>
          <w:fldChar w:fldCharType="begin"/>
        </w:r>
        <w:r w:rsidR="002E1CE9">
          <w:rPr>
            <w:noProof/>
            <w:webHidden/>
          </w:rPr>
          <w:instrText xml:space="preserve"> PAGEREF _Toc488741935 \h </w:instrText>
        </w:r>
        <w:r w:rsidR="002E1CE9">
          <w:rPr>
            <w:noProof/>
            <w:webHidden/>
          </w:rPr>
        </w:r>
        <w:r w:rsidR="002E1CE9">
          <w:rPr>
            <w:noProof/>
            <w:webHidden/>
          </w:rPr>
          <w:fldChar w:fldCharType="separate"/>
        </w:r>
        <w:r w:rsidR="0077432E">
          <w:rPr>
            <w:noProof/>
            <w:webHidden/>
          </w:rPr>
          <w:t>246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6" w:history="1">
        <w:r w:rsidR="002E1CE9" w:rsidRPr="00810C5C">
          <w:rPr>
            <w:rStyle w:val="Hyperlink"/>
            <w:noProof/>
          </w:rPr>
          <w:t>Table A-108: Realization Rates and Relative Precisions for PECO’s Programs in PY7</w:t>
        </w:r>
        <w:r w:rsidR="002E1CE9">
          <w:rPr>
            <w:noProof/>
            <w:webHidden/>
          </w:rPr>
          <w:tab/>
        </w:r>
        <w:r w:rsidR="002E1CE9">
          <w:rPr>
            <w:noProof/>
            <w:webHidden/>
          </w:rPr>
          <w:fldChar w:fldCharType="begin"/>
        </w:r>
        <w:r w:rsidR="002E1CE9">
          <w:rPr>
            <w:noProof/>
            <w:webHidden/>
          </w:rPr>
          <w:instrText xml:space="preserve"> PAGEREF _Toc488741936 \h </w:instrText>
        </w:r>
        <w:r w:rsidR="002E1CE9">
          <w:rPr>
            <w:noProof/>
            <w:webHidden/>
          </w:rPr>
        </w:r>
        <w:r w:rsidR="002E1CE9">
          <w:rPr>
            <w:noProof/>
            <w:webHidden/>
          </w:rPr>
          <w:fldChar w:fldCharType="separate"/>
        </w:r>
        <w:r w:rsidR="0077432E">
          <w:rPr>
            <w:noProof/>
            <w:webHidden/>
          </w:rPr>
          <w:t>248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7" w:history="1">
        <w:r w:rsidR="002E1CE9" w:rsidRPr="00810C5C">
          <w:rPr>
            <w:rStyle w:val="Hyperlink"/>
            <w:noProof/>
          </w:rPr>
          <w:t>Table A-109: Summary of Key Findings and Data Sources – PECO</w:t>
        </w:r>
        <w:r w:rsidR="002E1CE9">
          <w:rPr>
            <w:noProof/>
            <w:webHidden/>
          </w:rPr>
          <w:tab/>
        </w:r>
        <w:r w:rsidR="002E1CE9">
          <w:rPr>
            <w:noProof/>
            <w:webHidden/>
          </w:rPr>
          <w:fldChar w:fldCharType="begin"/>
        </w:r>
        <w:r w:rsidR="002E1CE9">
          <w:rPr>
            <w:noProof/>
            <w:webHidden/>
          </w:rPr>
          <w:instrText xml:space="preserve"> PAGEREF _Toc488741937 \h </w:instrText>
        </w:r>
        <w:r w:rsidR="002E1CE9">
          <w:rPr>
            <w:noProof/>
            <w:webHidden/>
          </w:rPr>
        </w:r>
        <w:r w:rsidR="002E1CE9">
          <w:rPr>
            <w:noProof/>
            <w:webHidden/>
          </w:rPr>
          <w:fldChar w:fldCharType="separate"/>
        </w:r>
        <w:r w:rsidR="0077432E">
          <w:rPr>
            <w:noProof/>
            <w:webHidden/>
          </w:rPr>
          <w:t>252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8" w:history="1">
        <w:r w:rsidR="002E1CE9" w:rsidRPr="00810C5C">
          <w:rPr>
            <w:rStyle w:val="Hyperlink"/>
            <w:noProof/>
          </w:rPr>
          <w:t>Table A-110: Compliance across Sample Designs for PECO’s PY7 Non-Residential Program Groups</w:t>
        </w:r>
        <w:r w:rsidR="002E1CE9">
          <w:rPr>
            <w:noProof/>
            <w:webHidden/>
          </w:rPr>
          <w:tab/>
        </w:r>
        <w:r w:rsidR="002E1CE9">
          <w:rPr>
            <w:noProof/>
            <w:webHidden/>
          </w:rPr>
          <w:fldChar w:fldCharType="begin"/>
        </w:r>
        <w:r w:rsidR="002E1CE9">
          <w:rPr>
            <w:noProof/>
            <w:webHidden/>
          </w:rPr>
          <w:instrText xml:space="preserve"> PAGEREF _Toc488741938 \h </w:instrText>
        </w:r>
        <w:r w:rsidR="002E1CE9">
          <w:rPr>
            <w:noProof/>
            <w:webHidden/>
          </w:rPr>
        </w:r>
        <w:r w:rsidR="002E1CE9">
          <w:rPr>
            <w:noProof/>
            <w:webHidden/>
          </w:rPr>
          <w:fldChar w:fldCharType="separate"/>
        </w:r>
        <w:r w:rsidR="0077432E">
          <w:rPr>
            <w:noProof/>
            <w:webHidden/>
          </w:rPr>
          <w:t>259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39" w:history="1">
        <w:r w:rsidR="002E1CE9" w:rsidRPr="00810C5C">
          <w:rPr>
            <w:rStyle w:val="Hyperlink"/>
            <w:noProof/>
          </w:rPr>
          <w:t>Table A-111: PECO PY7 Project Files Review</w:t>
        </w:r>
        <w:r w:rsidR="002E1CE9">
          <w:rPr>
            <w:noProof/>
            <w:webHidden/>
          </w:rPr>
          <w:tab/>
        </w:r>
        <w:r w:rsidR="002E1CE9">
          <w:rPr>
            <w:noProof/>
            <w:webHidden/>
          </w:rPr>
          <w:fldChar w:fldCharType="begin"/>
        </w:r>
        <w:r w:rsidR="002E1CE9">
          <w:rPr>
            <w:noProof/>
            <w:webHidden/>
          </w:rPr>
          <w:instrText xml:space="preserve"> PAGEREF _Toc488741939 \h </w:instrText>
        </w:r>
        <w:r w:rsidR="002E1CE9">
          <w:rPr>
            <w:noProof/>
            <w:webHidden/>
          </w:rPr>
        </w:r>
        <w:r w:rsidR="002E1CE9">
          <w:rPr>
            <w:noProof/>
            <w:webHidden/>
          </w:rPr>
          <w:fldChar w:fldCharType="separate"/>
        </w:r>
        <w:r w:rsidR="0077432E">
          <w:rPr>
            <w:noProof/>
            <w:webHidden/>
          </w:rPr>
          <w:t>260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0" w:history="1">
        <w:r w:rsidR="002E1CE9" w:rsidRPr="00810C5C">
          <w:rPr>
            <w:rStyle w:val="Hyperlink"/>
            <w:noProof/>
          </w:rPr>
          <w:t>Table A-112: PECO’s PY7 Sample Design Strategy – SEI C/I Program</w:t>
        </w:r>
        <w:r w:rsidR="002E1CE9">
          <w:rPr>
            <w:noProof/>
            <w:webHidden/>
          </w:rPr>
          <w:tab/>
        </w:r>
        <w:r w:rsidR="002E1CE9">
          <w:rPr>
            <w:noProof/>
            <w:webHidden/>
          </w:rPr>
          <w:fldChar w:fldCharType="begin"/>
        </w:r>
        <w:r w:rsidR="002E1CE9">
          <w:rPr>
            <w:noProof/>
            <w:webHidden/>
          </w:rPr>
          <w:instrText xml:space="preserve"> PAGEREF _Toc488741940 \h </w:instrText>
        </w:r>
        <w:r w:rsidR="002E1CE9">
          <w:rPr>
            <w:noProof/>
            <w:webHidden/>
          </w:rPr>
        </w:r>
        <w:r w:rsidR="002E1CE9">
          <w:rPr>
            <w:noProof/>
            <w:webHidden/>
          </w:rPr>
          <w:fldChar w:fldCharType="separate"/>
        </w:r>
        <w:r w:rsidR="0077432E">
          <w:rPr>
            <w:noProof/>
            <w:webHidden/>
          </w:rPr>
          <w:t>262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1" w:history="1">
        <w:r w:rsidR="002E1CE9" w:rsidRPr="00810C5C">
          <w:rPr>
            <w:rStyle w:val="Hyperlink"/>
            <w:noProof/>
          </w:rPr>
          <w:t>Table A-113: Observed Coefficients of Variation and Relative Precisions – PECO’s SEI C/I Program</w:t>
        </w:r>
        <w:r w:rsidR="002E1CE9">
          <w:rPr>
            <w:noProof/>
            <w:webHidden/>
          </w:rPr>
          <w:tab/>
        </w:r>
        <w:r w:rsidR="002E1CE9">
          <w:rPr>
            <w:noProof/>
            <w:webHidden/>
          </w:rPr>
          <w:fldChar w:fldCharType="begin"/>
        </w:r>
        <w:r w:rsidR="002E1CE9">
          <w:rPr>
            <w:noProof/>
            <w:webHidden/>
          </w:rPr>
          <w:instrText xml:space="preserve"> PAGEREF _Toc488741941 \h </w:instrText>
        </w:r>
        <w:r w:rsidR="002E1CE9">
          <w:rPr>
            <w:noProof/>
            <w:webHidden/>
          </w:rPr>
        </w:r>
        <w:r w:rsidR="002E1CE9">
          <w:rPr>
            <w:noProof/>
            <w:webHidden/>
          </w:rPr>
          <w:fldChar w:fldCharType="separate"/>
        </w:r>
        <w:r w:rsidR="0077432E">
          <w:rPr>
            <w:noProof/>
            <w:webHidden/>
          </w:rPr>
          <w:t>263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2" w:history="1">
        <w:r w:rsidR="002E1CE9" w:rsidRPr="00810C5C">
          <w:rPr>
            <w:rStyle w:val="Hyperlink"/>
            <w:noProof/>
          </w:rPr>
          <w:t>Table A-114: PECO’s PY7 Sampling Strategy – SEI GNI Program</w:t>
        </w:r>
        <w:r w:rsidR="002E1CE9">
          <w:rPr>
            <w:noProof/>
            <w:webHidden/>
          </w:rPr>
          <w:tab/>
        </w:r>
        <w:r w:rsidR="002E1CE9">
          <w:rPr>
            <w:noProof/>
            <w:webHidden/>
          </w:rPr>
          <w:fldChar w:fldCharType="begin"/>
        </w:r>
        <w:r w:rsidR="002E1CE9">
          <w:rPr>
            <w:noProof/>
            <w:webHidden/>
          </w:rPr>
          <w:instrText xml:space="preserve"> PAGEREF _Toc488741942 \h </w:instrText>
        </w:r>
        <w:r w:rsidR="002E1CE9">
          <w:rPr>
            <w:noProof/>
            <w:webHidden/>
          </w:rPr>
        </w:r>
        <w:r w:rsidR="002E1CE9">
          <w:rPr>
            <w:noProof/>
            <w:webHidden/>
          </w:rPr>
          <w:fldChar w:fldCharType="separate"/>
        </w:r>
        <w:r w:rsidR="0077432E">
          <w:rPr>
            <w:noProof/>
            <w:webHidden/>
          </w:rPr>
          <w:t>263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3" w:history="1">
        <w:r w:rsidR="002E1CE9" w:rsidRPr="00810C5C">
          <w:rPr>
            <w:rStyle w:val="Hyperlink"/>
            <w:noProof/>
          </w:rPr>
          <w:t>Table A-115: Observed Coefficients of Variation and Relative Precisions – PECO’s SEI GNI Program</w:t>
        </w:r>
        <w:r w:rsidR="002E1CE9">
          <w:rPr>
            <w:noProof/>
            <w:webHidden/>
          </w:rPr>
          <w:tab/>
        </w:r>
        <w:r w:rsidR="002E1CE9">
          <w:rPr>
            <w:noProof/>
            <w:webHidden/>
          </w:rPr>
          <w:fldChar w:fldCharType="begin"/>
        </w:r>
        <w:r w:rsidR="002E1CE9">
          <w:rPr>
            <w:noProof/>
            <w:webHidden/>
          </w:rPr>
          <w:instrText xml:space="preserve"> PAGEREF _Toc488741943 \h </w:instrText>
        </w:r>
        <w:r w:rsidR="002E1CE9">
          <w:rPr>
            <w:noProof/>
            <w:webHidden/>
          </w:rPr>
        </w:r>
        <w:r w:rsidR="002E1CE9">
          <w:rPr>
            <w:noProof/>
            <w:webHidden/>
          </w:rPr>
          <w:fldChar w:fldCharType="separate"/>
        </w:r>
        <w:r w:rsidR="0077432E">
          <w:rPr>
            <w:noProof/>
            <w:webHidden/>
          </w:rPr>
          <w:t>264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4" w:history="1">
        <w:r w:rsidR="002E1CE9" w:rsidRPr="00810C5C">
          <w:rPr>
            <w:rStyle w:val="Hyperlink"/>
            <w:noProof/>
          </w:rPr>
          <w:t>Table A-116: PECO’s PY7 Sampling Strategy – SCI Program</w:t>
        </w:r>
        <w:r w:rsidR="002E1CE9">
          <w:rPr>
            <w:noProof/>
            <w:webHidden/>
          </w:rPr>
          <w:tab/>
        </w:r>
        <w:r w:rsidR="002E1CE9">
          <w:rPr>
            <w:noProof/>
            <w:webHidden/>
          </w:rPr>
          <w:fldChar w:fldCharType="begin"/>
        </w:r>
        <w:r w:rsidR="002E1CE9">
          <w:rPr>
            <w:noProof/>
            <w:webHidden/>
          </w:rPr>
          <w:instrText xml:space="preserve"> PAGEREF _Toc488741944 \h </w:instrText>
        </w:r>
        <w:r w:rsidR="002E1CE9">
          <w:rPr>
            <w:noProof/>
            <w:webHidden/>
          </w:rPr>
        </w:r>
        <w:r w:rsidR="002E1CE9">
          <w:rPr>
            <w:noProof/>
            <w:webHidden/>
          </w:rPr>
          <w:fldChar w:fldCharType="separate"/>
        </w:r>
        <w:r w:rsidR="0077432E">
          <w:rPr>
            <w:noProof/>
            <w:webHidden/>
          </w:rPr>
          <w:t>264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5" w:history="1">
        <w:r w:rsidR="002E1CE9" w:rsidRPr="00810C5C">
          <w:rPr>
            <w:rStyle w:val="Hyperlink"/>
            <w:noProof/>
          </w:rPr>
          <w:t>Table A-117: Observed Coefficients of Variation and Relative Precisions – PECO’s SCI Program</w:t>
        </w:r>
        <w:r w:rsidR="002E1CE9">
          <w:rPr>
            <w:noProof/>
            <w:webHidden/>
          </w:rPr>
          <w:tab/>
        </w:r>
        <w:r w:rsidR="002E1CE9">
          <w:rPr>
            <w:noProof/>
            <w:webHidden/>
          </w:rPr>
          <w:fldChar w:fldCharType="begin"/>
        </w:r>
        <w:r w:rsidR="002E1CE9">
          <w:rPr>
            <w:noProof/>
            <w:webHidden/>
          </w:rPr>
          <w:instrText xml:space="preserve"> PAGEREF _Toc488741945 \h </w:instrText>
        </w:r>
        <w:r w:rsidR="002E1CE9">
          <w:rPr>
            <w:noProof/>
            <w:webHidden/>
          </w:rPr>
        </w:r>
        <w:r w:rsidR="002E1CE9">
          <w:rPr>
            <w:noProof/>
            <w:webHidden/>
          </w:rPr>
          <w:fldChar w:fldCharType="separate"/>
        </w:r>
        <w:r w:rsidR="0077432E">
          <w:rPr>
            <w:noProof/>
            <w:webHidden/>
          </w:rPr>
          <w:t>265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6" w:history="1">
        <w:r w:rsidR="002E1CE9" w:rsidRPr="00810C5C">
          <w:rPr>
            <w:rStyle w:val="Hyperlink"/>
            <w:noProof/>
          </w:rPr>
          <w:t>Table A-118: Observed Coefficients of Variation and Relative Precisions – PECO’s SCI Program (Original Sampling Approach, Results Not Used)</w:t>
        </w:r>
        <w:r w:rsidR="002E1CE9">
          <w:rPr>
            <w:noProof/>
            <w:webHidden/>
          </w:rPr>
          <w:tab/>
        </w:r>
        <w:r w:rsidR="002E1CE9">
          <w:rPr>
            <w:noProof/>
            <w:webHidden/>
          </w:rPr>
          <w:fldChar w:fldCharType="begin"/>
        </w:r>
        <w:r w:rsidR="002E1CE9">
          <w:rPr>
            <w:noProof/>
            <w:webHidden/>
          </w:rPr>
          <w:instrText xml:space="preserve"> PAGEREF _Toc488741946 \h </w:instrText>
        </w:r>
        <w:r w:rsidR="002E1CE9">
          <w:rPr>
            <w:noProof/>
            <w:webHidden/>
          </w:rPr>
        </w:r>
        <w:r w:rsidR="002E1CE9">
          <w:rPr>
            <w:noProof/>
            <w:webHidden/>
          </w:rPr>
          <w:fldChar w:fldCharType="separate"/>
        </w:r>
        <w:r w:rsidR="0077432E">
          <w:rPr>
            <w:noProof/>
            <w:webHidden/>
          </w:rPr>
          <w:t>265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7" w:history="1">
        <w:r w:rsidR="002E1CE9" w:rsidRPr="00810C5C">
          <w:rPr>
            <w:rStyle w:val="Hyperlink"/>
            <w:noProof/>
          </w:rPr>
          <w:t>Table A-119: PECO’s PY7 Sampling Strategy – SBS Program</w:t>
        </w:r>
        <w:r w:rsidR="002E1CE9">
          <w:rPr>
            <w:noProof/>
            <w:webHidden/>
          </w:rPr>
          <w:tab/>
        </w:r>
        <w:r w:rsidR="002E1CE9">
          <w:rPr>
            <w:noProof/>
            <w:webHidden/>
          </w:rPr>
          <w:fldChar w:fldCharType="begin"/>
        </w:r>
        <w:r w:rsidR="002E1CE9">
          <w:rPr>
            <w:noProof/>
            <w:webHidden/>
          </w:rPr>
          <w:instrText xml:space="preserve"> PAGEREF _Toc488741947 \h </w:instrText>
        </w:r>
        <w:r w:rsidR="002E1CE9">
          <w:rPr>
            <w:noProof/>
            <w:webHidden/>
          </w:rPr>
        </w:r>
        <w:r w:rsidR="002E1CE9">
          <w:rPr>
            <w:noProof/>
            <w:webHidden/>
          </w:rPr>
          <w:fldChar w:fldCharType="separate"/>
        </w:r>
        <w:r w:rsidR="0077432E">
          <w:rPr>
            <w:noProof/>
            <w:webHidden/>
          </w:rPr>
          <w:t>266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8" w:history="1">
        <w:r w:rsidR="002E1CE9" w:rsidRPr="00810C5C">
          <w:rPr>
            <w:rStyle w:val="Hyperlink"/>
            <w:noProof/>
          </w:rPr>
          <w:t>Table A-120: Observed Coefficients of Variation and Relative Precisions – PECO SBS Program</w:t>
        </w:r>
        <w:r w:rsidR="002E1CE9">
          <w:rPr>
            <w:noProof/>
            <w:webHidden/>
          </w:rPr>
          <w:tab/>
        </w:r>
        <w:r w:rsidR="002E1CE9">
          <w:rPr>
            <w:noProof/>
            <w:webHidden/>
          </w:rPr>
          <w:fldChar w:fldCharType="begin"/>
        </w:r>
        <w:r w:rsidR="002E1CE9">
          <w:rPr>
            <w:noProof/>
            <w:webHidden/>
          </w:rPr>
          <w:instrText xml:space="preserve"> PAGEREF _Toc488741948 \h </w:instrText>
        </w:r>
        <w:r w:rsidR="002E1CE9">
          <w:rPr>
            <w:noProof/>
            <w:webHidden/>
          </w:rPr>
        </w:r>
        <w:r w:rsidR="002E1CE9">
          <w:rPr>
            <w:noProof/>
            <w:webHidden/>
          </w:rPr>
          <w:fldChar w:fldCharType="separate"/>
        </w:r>
        <w:r w:rsidR="0077432E">
          <w:rPr>
            <w:noProof/>
            <w:webHidden/>
          </w:rPr>
          <w:t>266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49" w:history="1">
        <w:r w:rsidR="002E1CE9" w:rsidRPr="00810C5C">
          <w:rPr>
            <w:rStyle w:val="Hyperlink"/>
            <w:noProof/>
          </w:rPr>
          <w:t>Table A-121: PECO’s PY7 Sampling Strategy - SMF Non-Residential Program</w:t>
        </w:r>
        <w:r w:rsidR="002E1CE9">
          <w:rPr>
            <w:noProof/>
            <w:webHidden/>
          </w:rPr>
          <w:tab/>
        </w:r>
        <w:r w:rsidR="002E1CE9">
          <w:rPr>
            <w:noProof/>
            <w:webHidden/>
          </w:rPr>
          <w:fldChar w:fldCharType="begin"/>
        </w:r>
        <w:r w:rsidR="002E1CE9">
          <w:rPr>
            <w:noProof/>
            <w:webHidden/>
          </w:rPr>
          <w:instrText xml:space="preserve"> PAGEREF _Toc488741949 \h </w:instrText>
        </w:r>
        <w:r w:rsidR="002E1CE9">
          <w:rPr>
            <w:noProof/>
            <w:webHidden/>
          </w:rPr>
        </w:r>
        <w:r w:rsidR="002E1CE9">
          <w:rPr>
            <w:noProof/>
            <w:webHidden/>
          </w:rPr>
          <w:fldChar w:fldCharType="separate"/>
        </w:r>
        <w:r w:rsidR="0077432E">
          <w:rPr>
            <w:noProof/>
            <w:webHidden/>
          </w:rPr>
          <w:t>266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0" w:history="1">
        <w:r w:rsidR="002E1CE9" w:rsidRPr="00810C5C">
          <w:rPr>
            <w:rStyle w:val="Hyperlink"/>
            <w:noProof/>
          </w:rPr>
          <w:t>Table A-122: Observed Coefficients of Variation and Relative Precisions – PECO’s SMF Non-Residential Program</w:t>
        </w:r>
        <w:r w:rsidR="002E1CE9">
          <w:rPr>
            <w:noProof/>
            <w:webHidden/>
          </w:rPr>
          <w:tab/>
        </w:r>
        <w:r w:rsidR="002E1CE9">
          <w:rPr>
            <w:noProof/>
            <w:webHidden/>
          </w:rPr>
          <w:fldChar w:fldCharType="begin"/>
        </w:r>
        <w:r w:rsidR="002E1CE9">
          <w:rPr>
            <w:noProof/>
            <w:webHidden/>
          </w:rPr>
          <w:instrText xml:space="preserve"> PAGEREF _Toc488741950 \h </w:instrText>
        </w:r>
        <w:r w:rsidR="002E1CE9">
          <w:rPr>
            <w:noProof/>
            <w:webHidden/>
          </w:rPr>
        </w:r>
        <w:r w:rsidR="002E1CE9">
          <w:rPr>
            <w:noProof/>
            <w:webHidden/>
          </w:rPr>
          <w:fldChar w:fldCharType="separate"/>
        </w:r>
        <w:r w:rsidR="0077432E">
          <w:rPr>
            <w:noProof/>
            <w:webHidden/>
          </w:rPr>
          <w:t>267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1" w:history="1">
        <w:r w:rsidR="002E1CE9" w:rsidRPr="00810C5C">
          <w:rPr>
            <w:rStyle w:val="Hyperlink"/>
            <w:noProof/>
          </w:rPr>
          <w:t>Table A-123: PECO’s PY7 Sampling Strategy – Smart On-Site Program</w:t>
        </w:r>
        <w:r w:rsidR="002E1CE9">
          <w:rPr>
            <w:noProof/>
            <w:webHidden/>
          </w:rPr>
          <w:tab/>
        </w:r>
        <w:r w:rsidR="002E1CE9">
          <w:rPr>
            <w:noProof/>
            <w:webHidden/>
          </w:rPr>
          <w:fldChar w:fldCharType="begin"/>
        </w:r>
        <w:r w:rsidR="002E1CE9">
          <w:rPr>
            <w:noProof/>
            <w:webHidden/>
          </w:rPr>
          <w:instrText xml:space="preserve"> PAGEREF _Toc488741951 \h </w:instrText>
        </w:r>
        <w:r w:rsidR="002E1CE9">
          <w:rPr>
            <w:noProof/>
            <w:webHidden/>
          </w:rPr>
        </w:r>
        <w:r w:rsidR="002E1CE9">
          <w:rPr>
            <w:noProof/>
            <w:webHidden/>
          </w:rPr>
          <w:fldChar w:fldCharType="separate"/>
        </w:r>
        <w:r w:rsidR="0077432E">
          <w:rPr>
            <w:noProof/>
            <w:webHidden/>
          </w:rPr>
          <w:t>267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2" w:history="1">
        <w:r w:rsidR="002E1CE9" w:rsidRPr="00810C5C">
          <w:rPr>
            <w:rStyle w:val="Hyperlink"/>
            <w:noProof/>
          </w:rPr>
          <w:t>Table A-124: Observed Coefficients of Variation and Relative Precisions – PECO’s SOS Program</w:t>
        </w:r>
        <w:r w:rsidR="002E1CE9">
          <w:rPr>
            <w:noProof/>
            <w:webHidden/>
          </w:rPr>
          <w:tab/>
        </w:r>
        <w:r w:rsidR="002E1CE9">
          <w:rPr>
            <w:noProof/>
            <w:webHidden/>
          </w:rPr>
          <w:fldChar w:fldCharType="begin"/>
        </w:r>
        <w:r w:rsidR="002E1CE9">
          <w:rPr>
            <w:noProof/>
            <w:webHidden/>
          </w:rPr>
          <w:instrText xml:space="preserve"> PAGEREF _Toc488741952 \h </w:instrText>
        </w:r>
        <w:r w:rsidR="002E1CE9">
          <w:rPr>
            <w:noProof/>
            <w:webHidden/>
          </w:rPr>
        </w:r>
        <w:r w:rsidR="002E1CE9">
          <w:rPr>
            <w:noProof/>
            <w:webHidden/>
          </w:rPr>
          <w:fldChar w:fldCharType="separate"/>
        </w:r>
        <w:r w:rsidR="0077432E">
          <w:rPr>
            <w:noProof/>
            <w:webHidden/>
          </w:rPr>
          <w:t>267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3" w:history="1">
        <w:r w:rsidR="002E1CE9" w:rsidRPr="00810C5C">
          <w:rPr>
            <w:rStyle w:val="Hyperlink"/>
            <w:noProof/>
          </w:rPr>
          <w:t>Table A-125: PECO’s PY7 Non-Residential Site Inspection Findings</w:t>
        </w:r>
        <w:r w:rsidR="002E1CE9">
          <w:rPr>
            <w:noProof/>
            <w:webHidden/>
          </w:rPr>
          <w:tab/>
        </w:r>
        <w:r w:rsidR="002E1CE9">
          <w:rPr>
            <w:noProof/>
            <w:webHidden/>
          </w:rPr>
          <w:fldChar w:fldCharType="begin"/>
        </w:r>
        <w:r w:rsidR="002E1CE9">
          <w:rPr>
            <w:noProof/>
            <w:webHidden/>
          </w:rPr>
          <w:instrText xml:space="preserve"> PAGEREF _Toc488741953 \h </w:instrText>
        </w:r>
        <w:r w:rsidR="002E1CE9">
          <w:rPr>
            <w:noProof/>
            <w:webHidden/>
          </w:rPr>
        </w:r>
        <w:r w:rsidR="002E1CE9">
          <w:rPr>
            <w:noProof/>
            <w:webHidden/>
          </w:rPr>
          <w:fldChar w:fldCharType="separate"/>
        </w:r>
        <w:r w:rsidR="0077432E">
          <w:rPr>
            <w:noProof/>
            <w:webHidden/>
          </w:rPr>
          <w:t>268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4" w:history="1">
        <w:r w:rsidR="002E1CE9" w:rsidRPr="00810C5C">
          <w:rPr>
            <w:rStyle w:val="Hyperlink"/>
            <w:noProof/>
          </w:rPr>
          <w:t>Table A-126: Verified Savings and M&amp;V Methods for SWE Team–Sampled PECO Projects</w:t>
        </w:r>
        <w:r w:rsidR="002E1CE9">
          <w:rPr>
            <w:noProof/>
            <w:webHidden/>
          </w:rPr>
          <w:tab/>
        </w:r>
        <w:r w:rsidR="002E1CE9">
          <w:rPr>
            <w:noProof/>
            <w:webHidden/>
          </w:rPr>
          <w:fldChar w:fldCharType="begin"/>
        </w:r>
        <w:r w:rsidR="002E1CE9">
          <w:rPr>
            <w:noProof/>
            <w:webHidden/>
          </w:rPr>
          <w:instrText xml:space="preserve"> PAGEREF _Toc488741954 \h </w:instrText>
        </w:r>
        <w:r w:rsidR="002E1CE9">
          <w:rPr>
            <w:noProof/>
            <w:webHidden/>
          </w:rPr>
        </w:r>
        <w:r w:rsidR="002E1CE9">
          <w:rPr>
            <w:noProof/>
            <w:webHidden/>
          </w:rPr>
          <w:fldChar w:fldCharType="separate"/>
        </w:r>
        <w:r w:rsidR="0077432E">
          <w:rPr>
            <w:noProof/>
            <w:webHidden/>
          </w:rPr>
          <w:t>269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5" w:history="1">
        <w:r w:rsidR="002E1CE9" w:rsidRPr="00810C5C">
          <w:rPr>
            <w:rStyle w:val="Hyperlink"/>
            <w:noProof/>
          </w:rPr>
          <w:t>Table A-127: Summary of SWE Team Review of PECO NTG Evaluations</w:t>
        </w:r>
        <w:r w:rsidR="002E1CE9">
          <w:rPr>
            <w:noProof/>
            <w:webHidden/>
          </w:rPr>
          <w:tab/>
        </w:r>
        <w:r w:rsidR="002E1CE9">
          <w:rPr>
            <w:noProof/>
            <w:webHidden/>
          </w:rPr>
          <w:fldChar w:fldCharType="begin"/>
        </w:r>
        <w:r w:rsidR="002E1CE9">
          <w:rPr>
            <w:noProof/>
            <w:webHidden/>
          </w:rPr>
          <w:instrText xml:space="preserve"> PAGEREF _Toc488741955 \h </w:instrText>
        </w:r>
        <w:r w:rsidR="002E1CE9">
          <w:rPr>
            <w:noProof/>
            <w:webHidden/>
          </w:rPr>
        </w:r>
        <w:r w:rsidR="002E1CE9">
          <w:rPr>
            <w:noProof/>
            <w:webHidden/>
          </w:rPr>
          <w:fldChar w:fldCharType="separate"/>
        </w:r>
        <w:r w:rsidR="0077432E">
          <w:rPr>
            <w:noProof/>
            <w:webHidden/>
          </w:rPr>
          <w:t>271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6" w:history="1">
        <w:r w:rsidR="002E1CE9" w:rsidRPr="00810C5C">
          <w:rPr>
            <w:rStyle w:val="Hyperlink"/>
            <w:noProof/>
          </w:rPr>
          <w:t>Table A-128: Summary of NTG Audit of PECO’s Residential Programs</w:t>
        </w:r>
        <w:r w:rsidR="002E1CE9">
          <w:rPr>
            <w:noProof/>
            <w:webHidden/>
          </w:rPr>
          <w:tab/>
        </w:r>
        <w:r w:rsidR="002E1CE9">
          <w:rPr>
            <w:noProof/>
            <w:webHidden/>
          </w:rPr>
          <w:fldChar w:fldCharType="begin"/>
        </w:r>
        <w:r w:rsidR="002E1CE9">
          <w:rPr>
            <w:noProof/>
            <w:webHidden/>
          </w:rPr>
          <w:instrText xml:space="preserve"> PAGEREF _Toc488741956 \h </w:instrText>
        </w:r>
        <w:r w:rsidR="002E1CE9">
          <w:rPr>
            <w:noProof/>
            <w:webHidden/>
          </w:rPr>
        </w:r>
        <w:r w:rsidR="002E1CE9">
          <w:rPr>
            <w:noProof/>
            <w:webHidden/>
          </w:rPr>
          <w:fldChar w:fldCharType="separate"/>
        </w:r>
        <w:r w:rsidR="0077432E">
          <w:rPr>
            <w:noProof/>
            <w:webHidden/>
          </w:rPr>
          <w:t>272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7" w:history="1">
        <w:r w:rsidR="002E1CE9" w:rsidRPr="00810C5C">
          <w:rPr>
            <w:rStyle w:val="Hyperlink"/>
            <w:noProof/>
          </w:rPr>
          <w:t>Table A-129: Summary of NTG Estimates for PECO’s Residential Programs</w:t>
        </w:r>
        <w:r w:rsidR="002E1CE9">
          <w:rPr>
            <w:noProof/>
            <w:webHidden/>
          </w:rPr>
          <w:tab/>
        </w:r>
        <w:r w:rsidR="002E1CE9">
          <w:rPr>
            <w:noProof/>
            <w:webHidden/>
          </w:rPr>
          <w:fldChar w:fldCharType="begin"/>
        </w:r>
        <w:r w:rsidR="002E1CE9">
          <w:rPr>
            <w:noProof/>
            <w:webHidden/>
          </w:rPr>
          <w:instrText xml:space="preserve"> PAGEREF _Toc488741957 \h </w:instrText>
        </w:r>
        <w:r w:rsidR="002E1CE9">
          <w:rPr>
            <w:noProof/>
            <w:webHidden/>
          </w:rPr>
        </w:r>
        <w:r w:rsidR="002E1CE9">
          <w:rPr>
            <w:noProof/>
            <w:webHidden/>
          </w:rPr>
          <w:fldChar w:fldCharType="separate"/>
        </w:r>
        <w:r w:rsidR="0077432E">
          <w:rPr>
            <w:noProof/>
            <w:webHidden/>
          </w:rPr>
          <w:t>272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8" w:history="1">
        <w:r w:rsidR="002E1CE9" w:rsidRPr="00810C5C">
          <w:rPr>
            <w:rStyle w:val="Hyperlink"/>
            <w:noProof/>
          </w:rPr>
          <w:t>Table A-130: Summary of NTG Audit of PECO’s Low-Income Program</w:t>
        </w:r>
        <w:r w:rsidR="002E1CE9">
          <w:rPr>
            <w:noProof/>
            <w:webHidden/>
          </w:rPr>
          <w:tab/>
        </w:r>
        <w:r w:rsidR="002E1CE9">
          <w:rPr>
            <w:noProof/>
            <w:webHidden/>
          </w:rPr>
          <w:fldChar w:fldCharType="begin"/>
        </w:r>
        <w:r w:rsidR="002E1CE9">
          <w:rPr>
            <w:noProof/>
            <w:webHidden/>
          </w:rPr>
          <w:instrText xml:space="preserve"> PAGEREF _Toc488741958 \h </w:instrText>
        </w:r>
        <w:r w:rsidR="002E1CE9">
          <w:rPr>
            <w:noProof/>
            <w:webHidden/>
          </w:rPr>
        </w:r>
        <w:r w:rsidR="002E1CE9">
          <w:rPr>
            <w:noProof/>
            <w:webHidden/>
          </w:rPr>
          <w:fldChar w:fldCharType="separate"/>
        </w:r>
        <w:r w:rsidR="0077432E">
          <w:rPr>
            <w:noProof/>
            <w:webHidden/>
          </w:rPr>
          <w:t>273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59" w:history="1">
        <w:r w:rsidR="002E1CE9" w:rsidRPr="00810C5C">
          <w:rPr>
            <w:rStyle w:val="Hyperlink"/>
            <w:noProof/>
          </w:rPr>
          <w:t>Table A-131: Summary of NTG Estimates for PECO’s Low-Income Program</w:t>
        </w:r>
        <w:r w:rsidR="002E1CE9">
          <w:rPr>
            <w:noProof/>
            <w:webHidden/>
          </w:rPr>
          <w:tab/>
        </w:r>
        <w:r w:rsidR="002E1CE9">
          <w:rPr>
            <w:noProof/>
            <w:webHidden/>
          </w:rPr>
          <w:fldChar w:fldCharType="begin"/>
        </w:r>
        <w:r w:rsidR="002E1CE9">
          <w:rPr>
            <w:noProof/>
            <w:webHidden/>
          </w:rPr>
          <w:instrText xml:space="preserve"> PAGEREF _Toc488741959 \h </w:instrText>
        </w:r>
        <w:r w:rsidR="002E1CE9">
          <w:rPr>
            <w:noProof/>
            <w:webHidden/>
          </w:rPr>
        </w:r>
        <w:r w:rsidR="002E1CE9">
          <w:rPr>
            <w:noProof/>
            <w:webHidden/>
          </w:rPr>
          <w:fldChar w:fldCharType="separate"/>
        </w:r>
        <w:r w:rsidR="0077432E">
          <w:rPr>
            <w:noProof/>
            <w:webHidden/>
          </w:rPr>
          <w:t>273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0" w:history="1">
        <w:r w:rsidR="002E1CE9" w:rsidRPr="00810C5C">
          <w:rPr>
            <w:rStyle w:val="Hyperlink"/>
            <w:noProof/>
          </w:rPr>
          <w:t>Table A-132: Summary of NTG Audit of PECO’s Non-Residential Programs</w:t>
        </w:r>
        <w:r w:rsidR="002E1CE9">
          <w:rPr>
            <w:noProof/>
            <w:webHidden/>
          </w:rPr>
          <w:tab/>
        </w:r>
        <w:r w:rsidR="002E1CE9">
          <w:rPr>
            <w:noProof/>
            <w:webHidden/>
          </w:rPr>
          <w:fldChar w:fldCharType="begin"/>
        </w:r>
        <w:r w:rsidR="002E1CE9">
          <w:rPr>
            <w:noProof/>
            <w:webHidden/>
          </w:rPr>
          <w:instrText xml:space="preserve"> PAGEREF _Toc488741960 \h </w:instrText>
        </w:r>
        <w:r w:rsidR="002E1CE9">
          <w:rPr>
            <w:noProof/>
            <w:webHidden/>
          </w:rPr>
        </w:r>
        <w:r w:rsidR="002E1CE9">
          <w:rPr>
            <w:noProof/>
            <w:webHidden/>
          </w:rPr>
          <w:fldChar w:fldCharType="separate"/>
        </w:r>
        <w:r w:rsidR="0077432E">
          <w:rPr>
            <w:noProof/>
            <w:webHidden/>
          </w:rPr>
          <w:t>274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1" w:history="1">
        <w:r w:rsidR="002E1CE9" w:rsidRPr="00810C5C">
          <w:rPr>
            <w:rStyle w:val="Hyperlink"/>
            <w:noProof/>
          </w:rPr>
          <w:t>Table A-133: Summary of NTG Estimates for PECO’s Non-Residential Programs</w:t>
        </w:r>
        <w:r w:rsidR="002E1CE9">
          <w:rPr>
            <w:noProof/>
            <w:webHidden/>
          </w:rPr>
          <w:tab/>
        </w:r>
        <w:r w:rsidR="002E1CE9">
          <w:rPr>
            <w:noProof/>
            <w:webHidden/>
          </w:rPr>
          <w:fldChar w:fldCharType="begin"/>
        </w:r>
        <w:r w:rsidR="002E1CE9">
          <w:rPr>
            <w:noProof/>
            <w:webHidden/>
          </w:rPr>
          <w:instrText xml:space="preserve"> PAGEREF _Toc488741961 \h </w:instrText>
        </w:r>
        <w:r w:rsidR="002E1CE9">
          <w:rPr>
            <w:noProof/>
            <w:webHidden/>
          </w:rPr>
        </w:r>
        <w:r w:rsidR="002E1CE9">
          <w:rPr>
            <w:noProof/>
            <w:webHidden/>
          </w:rPr>
          <w:fldChar w:fldCharType="separate"/>
        </w:r>
        <w:r w:rsidR="0077432E">
          <w:rPr>
            <w:noProof/>
            <w:webHidden/>
          </w:rPr>
          <w:t>274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2" w:history="1">
        <w:r w:rsidR="002E1CE9" w:rsidRPr="00810C5C">
          <w:rPr>
            <w:rStyle w:val="Hyperlink"/>
            <w:noProof/>
          </w:rPr>
          <w:t>Table A-134: PPL EE&amp;C Programs with Reported Gross Savings in PY7</w:t>
        </w:r>
        <w:r w:rsidR="002E1CE9">
          <w:rPr>
            <w:noProof/>
            <w:webHidden/>
          </w:rPr>
          <w:tab/>
        </w:r>
        <w:r w:rsidR="002E1CE9">
          <w:rPr>
            <w:noProof/>
            <w:webHidden/>
          </w:rPr>
          <w:fldChar w:fldCharType="begin"/>
        </w:r>
        <w:r w:rsidR="002E1CE9">
          <w:rPr>
            <w:noProof/>
            <w:webHidden/>
          </w:rPr>
          <w:instrText xml:space="preserve"> PAGEREF _Toc488741962 \h </w:instrText>
        </w:r>
        <w:r w:rsidR="002E1CE9">
          <w:rPr>
            <w:noProof/>
            <w:webHidden/>
          </w:rPr>
        </w:r>
        <w:r w:rsidR="002E1CE9">
          <w:rPr>
            <w:noProof/>
            <w:webHidden/>
          </w:rPr>
          <w:fldChar w:fldCharType="separate"/>
        </w:r>
        <w:r w:rsidR="0077432E">
          <w:rPr>
            <w:noProof/>
            <w:webHidden/>
          </w:rPr>
          <w:t>275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3" w:history="1">
        <w:r w:rsidR="002E1CE9" w:rsidRPr="00810C5C">
          <w:rPr>
            <w:rStyle w:val="Hyperlink"/>
            <w:noProof/>
          </w:rPr>
          <w:t>Table A-135: Summary of PPL EE&amp;C Program Impacts on Verified Gross Portfolio Savings</w:t>
        </w:r>
        <w:r w:rsidR="002E1CE9">
          <w:rPr>
            <w:noProof/>
            <w:webHidden/>
          </w:rPr>
          <w:tab/>
        </w:r>
        <w:r w:rsidR="002E1CE9">
          <w:rPr>
            <w:noProof/>
            <w:webHidden/>
          </w:rPr>
          <w:fldChar w:fldCharType="begin"/>
        </w:r>
        <w:r w:rsidR="002E1CE9">
          <w:rPr>
            <w:noProof/>
            <w:webHidden/>
          </w:rPr>
          <w:instrText xml:space="preserve"> PAGEREF _Toc488741963 \h </w:instrText>
        </w:r>
        <w:r w:rsidR="002E1CE9">
          <w:rPr>
            <w:noProof/>
            <w:webHidden/>
          </w:rPr>
        </w:r>
        <w:r w:rsidR="002E1CE9">
          <w:rPr>
            <w:noProof/>
            <w:webHidden/>
          </w:rPr>
          <w:fldChar w:fldCharType="separate"/>
        </w:r>
        <w:r w:rsidR="0077432E">
          <w:rPr>
            <w:noProof/>
            <w:webHidden/>
          </w:rPr>
          <w:t>276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4" w:history="1">
        <w:r w:rsidR="002E1CE9" w:rsidRPr="00810C5C">
          <w:rPr>
            <w:rStyle w:val="Hyperlink"/>
            <w:noProof/>
          </w:rPr>
          <w:t>Table A-136: Summary of PPL EE&amp;C Verified Net Savings – by Sector</w:t>
        </w:r>
        <w:r w:rsidR="002E1CE9">
          <w:rPr>
            <w:noProof/>
            <w:webHidden/>
          </w:rPr>
          <w:tab/>
        </w:r>
        <w:r w:rsidR="002E1CE9">
          <w:rPr>
            <w:noProof/>
            <w:webHidden/>
          </w:rPr>
          <w:fldChar w:fldCharType="begin"/>
        </w:r>
        <w:r w:rsidR="002E1CE9">
          <w:rPr>
            <w:noProof/>
            <w:webHidden/>
          </w:rPr>
          <w:instrText xml:space="preserve"> PAGEREF _Toc488741964 \h </w:instrText>
        </w:r>
        <w:r w:rsidR="002E1CE9">
          <w:rPr>
            <w:noProof/>
            <w:webHidden/>
          </w:rPr>
        </w:r>
        <w:r w:rsidR="002E1CE9">
          <w:rPr>
            <w:noProof/>
            <w:webHidden/>
          </w:rPr>
          <w:fldChar w:fldCharType="separate"/>
        </w:r>
        <w:r w:rsidR="0077432E">
          <w:rPr>
            <w:noProof/>
            <w:webHidden/>
          </w:rPr>
          <w:t>277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5" w:history="1">
        <w:r w:rsidR="002E1CE9" w:rsidRPr="00810C5C">
          <w:rPr>
            <w:rStyle w:val="Hyperlink"/>
            <w:noProof/>
          </w:rPr>
          <w:t>Table A-137: Summary of PPL’s PY7 TRC Factors and Results</w:t>
        </w:r>
        <w:r w:rsidR="002E1CE9">
          <w:rPr>
            <w:noProof/>
            <w:webHidden/>
          </w:rPr>
          <w:tab/>
        </w:r>
        <w:r w:rsidR="002E1CE9">
          <w:rPr>
            <w:noProof/>
            <w:webHidden/>
          </w:rPr>
          <w:fldChar w:fldCharType="begin"/>
        </w:r>
        <w:r w:rsidR="002E1CE9">
          <w:rPr>
            <w:noProof/>
            <w:webHidden/>
          </w:rPr>
          <w:instrText xml:space="preserve"> PAGEREF _Toc488741965 \h </w:instrText>
        </w:r>
        <w:r w:rsidR="002E1CE9">
          <w:rPr>
            <w:noProof/>
            <w:webHidden/>
          </w:rPr>
        </w:r>
        <w:r w:rsidR="002E1CE9">
          <w:rPr>
            <w:noProof/>
            <w:webHidden/>
          </w:rPr>
          <w:fldChar w:fldCharType="separate"/>
        </w:r>
        <w:r w:rsidR="0077432E">
          <w:rPr>
            <w:noProof/>
            <w:webHidden/>
          </w:rPr>
          <w:t>277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6" w:history="1">
        <w:r w:rsidR="002E1CE9" w:rsidRPr="00810C5C">
          <w:rPr>
            <w:rStyle w:val="Hyperlink"/>
            <w:noProof/>
          </w:rPr>
          <w:t>Table A-138: PPL’s PY7 Discount Rates and LLFs</w:t>
        </w:r>
        <w:r w:rsidR="002E1CE9">
          <w:rPr>
            <w:noProof/>
            <w:webHidden/>
          </w:rPr>
          <w:tab/>
        </w:r>
        <w:r w:rsidR="002E1CE9">
          <w:rPr>
            <w:noProof/>
            <w:webHidden/>
          </w:rPr>
          <w:fldChar w:fldCharType="begin"/>
        </w:r>
        <w:r w:rsidR="002E1CE9">
          <w:rPr>
            <w:noProof/>
            <w:webHidden/>
          </w:rPr>
          <w:instrText xml:space="preserve"> PAGEREF _Toc488741966 \h </w:instrText>
        </w:r>
        <w:r w:rsidR="002E1CE9">
          <w:rPr>
            <w:noProof/>
            <w:webHidden/>
          </w:rPr>
        </w:r>
        <w:r w:rsidR="002E1CE9">
          <w:rPr>
            <w:noProof/>
            <w:webHidden/>
          </w:rPr>
          <w:fldChar w:fldCharType="separate"/>
        </w:r>
        <w:r w:rsidR="0077432E">
          <w:rPr>
            <w:noProof/>
            <w:webHidden/>
          </w:rPr>
          <w:t>278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7" w:history="1">
        <w:r w:rsidR="002E1CE9" w:rsidRPr="00810C5C">
          <w:rPr>
            <w:rStyle w:val="Hyperlink"/>
            <w:noProof/>
          </w:rPr>
          <w:t>Table A-139: Key Milestones Reached for PPL’s Phase II EM&amp;V Plan</w:t>
        </w:r>
        <w:r w:rsidR="002E1CE9">
          <w:rPr>
            <w:noProof/>
            <w:webHidden/>
          </w:rPr>
          <w:tab/>
        </w:r>
        <w:r w:rsidR="002E1CE9">
          <w:rPr>
            <w:noProof/>
            <w:webHidden/>
          </w:rPr>
          <w:fldChar w:fldCharType="begin"/>
        </w:r>
        <w:r w:rsidR="002E1CE9">
          <w:rPr>
            <w:noProof/>
            <w:webHidden/>
          </w:rPr>
          <w:instrText xml:space="preserve"> PAGEREF _Toc488741967 \h </w:instrText>
        </w:r>
        <w:r w:rsidR="002E1CE9">
          <w:rPr>
            <w:noProof/>
            <w:webHidden/>
          </w:rPr>
        </w:r>
        <w:r w:rsidR="002E1CE9">
          <w:rPr>
            <w:noProof/>
            <w:webHidden/>
          </w:rPr>
          <w:fldChar w:fldCharType="separate"/>
        </w:r>
        <w:r w:rsidR="0077432E">
          <w:rPr>
            <w:noProof/>
            <w:webHidden/>
          </w:rPr>
          <w:t>281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8" w:history="1">
        <w:r w:rsidR="002E1CE9" w:rsidRPr="00810C5C">
          <w:rPr>
            <w:rStyle w:val="Hyperlink"/>
            <w:noProof/>
          </w:rPr>
          <w:t>Table A-140: Realization Rates and Relative Precisions for PPL’s Programs in PY7</w:t>
        </w:r>
        <w:r w:rsidR="002E1CE9">
          <w:rPr>
            <w:noProof/>
            <w:webHidden/>
          </w:rPr>
          <w:tab/>
        </w:r>
        <w:r w:rsidR="002E1CE9">
          <w:rPr>
            <w:noProof/>
            <w:webHidden/>
          </w:rPr>
          <w:fldChar w:fldCharType="begin"/>
        </w:r>
        <w:r w:rsidR="002E1CE9">
          <w:rPr>
            <w:noProof/>
            <w:webHidden/>
          </w:rPr>
          <w:instrText xml:space="preserve"> PAGEREF _Toc488741968 \h </w:instrText>
        </w:r>
        <w:r w:rsidR="002E1CE9">
          <w:rPr>
            <w:noProof/>
            <w:webHidden/>
          </w:rPr>
        </w:r>
        <w:r w:rsidR="002E1CE9">
          <w:rPr>
            <w:noProof/>
            <w:webHidden/>
          </w:rPr>
          <w:fldChar w:fldCharType="separate"/>
        </w:r>
        <w:r w:rsidR="0077432E">
          <w:rPr>
            <w:noProof/>
            <w:webHidden/>
          </w:rPr>
          <w:t>283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69" w:history="1">
        <w:r w:rsidR="002E1CE9" w:rsidRPr="00810C5C">
          <w:rPr>
            <w:rStyle w:val="Hyperlink"/>
            <w:noProof/>
          </w:rPr>
          <w:t>Table A-141: Summary of Key Findings and Data Sources – PPL</w:t>
        </w:r>
        <w:r w:rsidR="002E1CE9">
          <w:rPr>
            <w:noProof/>
            <w:webHidden/>
          </w:rPr>
          <w:tab/>
        </w:r>
        <w:r w:rsidR="002E1CE9">
          <w:rPr>
            <w:noProof/>
            <w:webHidden/>
          </w:rPr>
          <w:fldChar w:fldCharType="begin"/>
        </w:r>
        <w:r w:rsidR="002E1CE9">
          <w:rPr>
            <w:noProof/>
            <w:webHidden/>
          </w:rPr>
          <w:instrText xml:space="preserve"> PAGEREF _Toc488741969 \h </w:instrText>
        </w:r>
        <w:r w:rsidR="002E1CE9">
          <w:rPr>
            <w:noProof/>
            <w:webHidden/>
          </w:rPr>
        </w:r>
        <w:r w:rsidR="002E1CE9">
          <w:rPr>
            <w:noProof/>
            <w:webHidden/>
          </w:rPr>
          <w:fldChar w:fldCharType="separate"/>
        </w:r>
        <w:r w:rsidR="0077432E">
          <w:rPr>
            <w:noProof/>
            <w:webHidden/>
          </w:rPr>
          <w:t>286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0" w:history="1">
        <w:r w:rsidR="002E1CE9" w:rsidRPr="00810C5C">
          <w:rPr>
            <w:rStyle w:val="Hyperlink"/>
            <w:noProof/>
          </w:rPr>
          <w:t>Table A-142: Compliance across Sample Designs for PPL’s PY7 Non-Residential Programs</w:t>
        </w:r>
        <w:r w:rsidR="002E1CE9">
          <w:rPr>
            <w:noProof/>
            <w:webHidden/>
          </w:rPr>
          <w:tab/>
        </w:r>
        <w:r w:rsidR="002E1CE9">
          <w:rPr>
            <w:noProof/>
            <w:webHidden/>
          </w:rPr>
          <w:fldChar w:fldCharType="begin"/>
        </w:r>
        <w:r w:rsidR="002E1CE9">
          <w:rPr>
            <w:noProof/>
            <w:webHidden/>
          </w:rPr>
          <w:instrText xml:space="preserve"> PAGEREF _Toc488741970 \h </w:instrText>
        </w:r>
        <w:r w:rsidR="002E1CE9">
          <w:rPr>
            <w:noProof/>
            <w:webHidden/>
          </w:rPr>
        </w:r>
        <w:r w:rsidR="002E1CE9">
          <w:rPr>
            <w:noProof/>
            <w:webHidden/>
          </w:rPr>
          <w:fldChar w:fldCharType="separate"/>
        </w:r>
        <w:r w:rsidR="0077432E">
          <w:rPr>
            <w:noProof/>
            <w:webHidden/>
          </w:rPr>
          <w:t>296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1" w:history="1">
        <w:r w:rsidR="002E1CE9" w:rsidRPr="00810C5C">
          <w:rPr>
            <w:rStyle w:val="Hyperlink"/>
            <w:noProof/>
          </w:rPr>
          <w:t>Table A-143: PY7 Project Files Review for PPL</w:t>
        </w:r>
        <w:r w:rsidR="002E1CE9">
          <w:rPr>
            <w:noProof/>
            <w:webHidden/>
          </w:rPr>
          <w:tab/>
        </w:r>
        <w:r w:rsidR="002E1CE9">
          <w:rPr>
            <w:noProof/>
            <w:webHidden/>
          </w:rPr>
          <w:fldChar w:fldCharType="begin"/>
        </w:r>
        <w:r w:rsidR="002E1CE9">
          <w:rPr>
            <w:noProof/>
            <w:webHidden/>
          </w:rPr>
          <w:instrText xml:space="preserve"> PAGEREF _Toc488741971 \h </w:instrText>
        </w:r>
        <w:r w:rsidR="002E1CE9">
          <w:rPr>
            <w:noProof/>
            <w:webHidden/>
          </w:rPr>
        </w:r>
        <w:r w:rsidR="002E1CE9">
          <w:rPr>
            <w:noProof/>
            <w:webHidden/>
          </w:rPr>
          <w:fldChar w:fldCharType="separate"/>
        </w:r>
        <w:r w:rsidR="0077432E">
          <w:rPr>
            <w:noProof/>
            <w:webHidden/>
          </w:rPr>
          <w:t>298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2" w:history="1">
        <w:r w:rsidR="002E1CE9" w:rsidRPr="00810C5C">
          <w:rPr>
            <w:rStyle w:val="Hyperlink"/>
            <w:noProof/>
          </w:rPr>
          <w:t>Table A-144: PPL’s PY7 Sampling Strategy – Custom Incentive Program</w:t>
        </w:r>
        <w:r w:rsidR="002E1CE9">
          <w:rPr>
            <w:noProof/>
            <w:webHidden/>
          </w:rPr>
          <w:tab/>
        </w:r>
        <w:r w:rsidR="002E1CE9">
          <w:rPr>
            <w:noProof/>
            <w:webHidden/>
          </w:rPr>
          <w:fldChar w:fldCharType="begin"/>
        </w:r>
        <w:r w:rsidR="002E1CE9">
          <w:rPr>
            <w:noProof/>
            <w:webHidden/>
          </w:rPr>
          <w:instrText xml:space="preserve"> PAGEREF _Toc488741972 \h </w:instrText>
        </w:r>
        <w:r w:rsidR="002E1CE9">
          <w:rPr>
            <w:noProof/>
            <w:webHidden/>
          </w:rPr>
        </w:r>
        <w:r w:rsidR="002E1CE9">
          <w:rPr>
            <w:noProof/>
            <w:webHidden/>
          </w:rPr>
          <w:fldChar w:fldCharType="separate"/>
        </w:r>
        <w:r w:rsidR="0077432E">
          <w:rPr>
            <w:noProof/>
            <w:webHidden/>
          </w:rPr>
          <w:t>303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3" w:history="1">
        <w:r w:rsidR="002E1CE9" w:rsidRPr="00810C5C">
          <w:rPr>
            <w:rStyle w:val="Hyperlink"/>
            <w:noProof/>
          </w:rPr>
          <w:t>Table A-145: Observed Coefficients of Variation and Relative Precision – Custom Incentive Program</w:t>
        </w:r>
        <w:r w:rsidR="002E1CE9">
          <w:rPr>
            <w:noProof/>
            <w:webHidden/>
          </w:rPr>
          <w:tab/>
        </w:r>
        <w:r w:rsidR="002E1CE9">
          <w:rPr>
            <w:noProof/>
            <w:webHidden/>
          </w:rPr>
          <w:fldChar w:fldCharType="begin"/>
        </w:r>
        <w:r w:rsidR="002E1CE9">
          <w:rPr>
            <w:noProof/>
            <w:webHidden/>
          </w:rPr>
          <w:instrText xml:space="preserve"> PAGEREF _Toc488741973 \h </w:instrText>
        </w:r>
        <w:r w:rsidR="002E1CE9">
          <w:rPr>
            <w:noProof/>
            <w:webHidden/>
          </w:rPr>
        </w:r>
        <w:r w:rsidR="002E1CE9">
          <w:rPr>
            <w:noProof/>
            <w:webHidden/>
          </w:rPr>
          <w:fldChar w:fldCharType="separate"/>
        </w:r>
        <w:r w:rsidR="0077432E">
          <w:rPr>
            <w:noProof/>
            <w:webHidden/>
          </w:rPr>
          <w:t>304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4" w:history="1">
        <w:r w:rsidR="002E1CE9" w:rsidRPr="00810C5C">
          <w:rPr>
            <w:rStyle w:val="Hyperlink"/>
            <w:noProof/>
          </w:rPr>
          <w:t>Table A-146: PPL’s PY7 Sampling Strategy – MMMF Program</w:t>
        </w:r>
        <w:r w:rsidR="002E1CE9">
          <w:rPr>
            <w:noProof/>
            <w:webHidden/>
          </w:rPr>
          <w:tab/>
        </w:r>
        <w:r w:rsidR="002E1CE9">
          <w:rPr>
            <w:noProof/>
            <w:webHidden/>
          </w:rPr>
          <w:fldChar w:fldCharType="begin"/>
        </w:r>
        <w:r w:rsidR="002E1CE9">
          <w:rPr>
            <w:noProof/>
            <w:webHidden/>
          </w:rPr>
          <w:instrText xml:space="preserve"> PAGEREF _Toc488741974 \h </w:instrText>
        </w:r>
        <w:r w:rsidR="002E1CE9">
          <w:rPr>
            <w:noProof/>
            <w:webHidden/>
          </w:rPr>
        </w:r>
        <w:r w:rsidR="002E1CE9">
          <w:rPr>
            <w:noProof/>
            <w:webHidden/>
          </w:rPr>
          <w:fldChar w:fldCharType="separate"/>
        </w:r>
        <w:r w:rsidR="0077432E">
          <w:rPr>
            <w:noProof/>
            <w:webHidden/>
          </w:rPr>
          <w:t>304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5" w:history="1">
        <w:r w:rsidR="002E1CE9" w:rsidRPr="00810C5C">
          <w:rPr>
            <w:rStyle w:val="Hyperlink"/>
            <w:noProof/>
          </w:rPr>
          <w:t>Table A-147: Observed Coefficients of Variation and Relative Precision – PPL’s MMMF Program</w:t>
        </w:r>
        <w:r w:rsidR="002E1CE9">
          <w:rPr>
            <w:noProof/>
            <w:webHidden/>
          </w:rPr>
          <w:tab/>
        </w:r>
        <w:r w:rsidR="002E1CE9">
          <w:rPr>
            <w:noProof/>
            <w:webHidden/>
          </w:rPr>
          <w:fldChar w:fldCharType="begin"/>
        </w:r>
        <w:r w:rsidR="002E1CE9">
          <w:rPr>
            <w:noProof/>
            <w:webHidden/>
          </w:rPr>
          <w:instrText xml:space="preserve"> PAGEREF _Toc488741975 \h </w:instrText>
        </w:r>
        <w:r w:rsidR="002E1CE9">
          <w:rPr>
            <w:noProof/>
            <w:webHidden/>
          </w:rPr>
        </w:r>
        <w:r w:rsidR="002E1CE9">
          <w:rPr>
            <w:noProof/>
            <w:webHidden/>
          </w:rPr>
          <w:fldChar w:fldCharType="separate"/>
        </w:r>
        <w:r w:rsidR="0077432E">
          <w:rPr>
            <w:noProof/>
            <w:webHidden/>
          </w:rPr>
          <w:t>304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6" w:history="1">
        <w:r w:rsidR="002E1CE9" w:rsidRPr="00810C5C">
          <w:rPr>
            <w:rStyle w:val="Hyperlink"/>
            <w:noProof/>
          </w:rPr>
          <w:t>Table A-148: PPL’s PY7 Sampling Strategy – Prescriptive Equipment Program, Non-Lighting</w:t>
        </w:r>
        <w:r w:rsidR="002E1CE9">
          <w:rPr>
            <w:noProof/>
            <w:webHidden/>
          </w:rPr>
          <w:tab/>
        </w:r>
        <w:r w:rsidR="002E1CE9">
          <w:rPr>
            <w:noProof/>
            <w:webHidden/>
          </w:rPr>
          <w:fldChar w:fldCharType="begin"/>
        </w:r>
        <w:r w:rsidR="002E1CE9">
          <w:rPr>
            <w:noProof/>
            <w:webHidden/>
          </w:rPr>
          <w:instrText xml:space="preserve"> PAGEREF _Toc488741976 \h </w:instrText>
        </w:r>
        <w:r w:rsidR="002E1CE9">
          <w:rPr>
            <w:noProof/>
            <w:webHidden/>
          </w:rPr>
        </w:r>
        <w:r w:rsidR="002E1CE9">
          <w:rPr>
            <w:noProof/>
            <w:webHidden/>
          </w:rPr>
          <w:fldChar w:fldCharType="separate"/>
        </w:r>
        <w:r w:rsidR="0077432E">
          <w:rPr>
            <w:noProof/>
            <w:webHidden/>
          </w:rPr>
          <w:t>305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7" w:history="1">
        <w:r w:rsidR="002E1CE9" w:rsidRPr="00810C5C">
          <w:rPr>
            <w:rStyle w:val="Hyperlink"/>
            <w:noProof/>
          </w:rPr>
          <w:t>Table A-149: PPL’s PY7 Sampling Strategy – Prescriptive Equipment Program, Lighting</w:t>
        </w:r>
        <w:r w:rsidR="002E1CE9">
          <w:rPr>
            <w:noProof/>
            <w:webHidden/>
          </w:rPr>
          <w:tab/>
        </w:r>
        <w:r w:rsidR="002E1CE9">
          <w:rPr>
            <w:noProof/>
            <w:webHidden/>
          </w:rPr>
          <w:fldChar w:fldCharType="begin"/>
        </w:r>
        <w:r w:rsidR="002E1CE9">
          <w:rPr>
            <w:noProof/>
            <w:webHidden/>
          </w:rPr>
          <w:instrText xml:space="preserve"> PAGEREF _Toc488741977 \h </w:instrText>
        </w:r>
        <w:r w:rsidR="002E1CE9">
          <w:rPr>
            <w:noProof/>
            <w:webHidden/>
          </w:rPr>
        </w:r>
        <w:r w:rsidR="002E1CE9">
          <w:rPr>
            <w:noProof/>
            <w:webHidden/>
          </w:rPr>
          <w:fldChar w:fldCharType="separate"/>
        </w:r>
        <w:r w:rsidR="0077432E">
          <w:rPr>
            <w:noProof/>
            <w:webHidden/>
          </w:rPr>
          <w:t>306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8" w:history="1">
        <w:r w:rsidR="002E1CE9" w:rsidRPr="00810C5C">
          <w:rPr>
            <w:rStyle w:val="Hyperlink"/>
            <w:noProof/>
          </w:rPr>
          <w:t>Table A-150: Observed Coefficients of Variation and Relative Precisions – PPL’s Prescriptive Equipment Program</w:t>
        </w:r>
        <w:r w:rsidR="002E1CE9">
          <w:rPr>
            <w:noProof/>
            <w:webHidden/>
          </w:rPr>
          <w:tab/>
        </w:r>
        <w:r w:rsidR="002E1CE9">
          <w:rPr>
            <w:noProof/>
            <w:webHidden/>
          </w:rPr>
          <w:fldChar w:fldCharType="begin"/>
        </w:r>
        <w:r w:rsidR="002E1CE9">
          <w:rPr>
            <w:noProof/>
            <w:webHidden/>
          </w:rPr>
          <w:instrText xml:space="preserve"> PAGEREF _Toc488741978 \h </w:instrText>
        </w:r>
        <w:r w:rsidR="002E1CE9">
          <w:rPr>
            <w:noProof/>
            <w:webHidden/>
          </w:rPr>
        </w:r>
        <w:r w:rsidR="002E1CE9">
          <w:rPr>
            <w:noProof/>
            <w:webHidden/>
          </w:rPr>
          <w:fldChar w:fldCharType="separate"/>
        </w:r>
        <w:r w:rsidR="0077432E">
          <w:rPr>
            <w:noProof/>
            <w:webHidden/>
          </w:rPr>
          <w:t>306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79" w:history="1">
        <w:r w:rsidR="002E1CE9" w:rsidRPr="00810C5C">
          <w:rPr>
            <w:rStyle w:val="Hyperlink"/>
            <w:noProof/>
          </w:rPr>
          <w:t>Table A-151: Observed Coefficients of Variation and Relative Precisions – PPL’s Prescriptive Equipment Program – GNI Sector</w:t>
        </w:r>
        <w:r w:rsidR="002E1CE9">
          <w:rPr>
            <w:noProof/>
            <w:webHidden/>
          </w:rPr>
          <w:tab/>
        </w:r>
        <w:r w:rsidR="002E1CE9">
          <w:rPr>
            <w:noProof/>
            <w:webHidden/>
          </w:rPr>
          <w:fldChar w:fldCharType="begin"/>
        </w:r>
        <w:r w:rsidR="002E1CE9">
          <w:rPr>
            <w:noProof/>
            <w:webHidden/>
          </w:rPr>
          <w:instrText xml:space="preserve"> PAGEREF _Toc488741979 \h </w:instrText>
        </w:r>
        <w:r w:rsidR="002E1CE9">
          <w:rPr>
            <w:noProof/>
            <w:webHidden/>
          </w:rPr>
        </w:r>
        <w:r w:rsidR="002E1CE9">
          <w:rPr>
            <w:noProof/>
            <w:webHidden/>
          </w:rPr>
          <w:fldChar w:fldCharType="separate"/>
        </w:r>
        <w:r w:rsidR="0077432E">
          <w:rPr>
            <w:noProof/>
            <w:webHidden/>
          </w:rPr>
          <w:t>306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80" w:history="1">
        <w:r w:rsidR="002E1CE9" w:rsidRPr="00810C5C">
          <w:rPr>
            <w:rStyle w:val="Hyperlink"/>
            <w:noProof/>
          </w:rPr>
          <w:t>Table A-152: PPL’s PY7 Sampling Strategy – CEI Program</w:t>
        </w:r>
        <w:r w:rsidR="002E1CE9">
          <w:rPr>
            <w:noProof/>
            <w:webHidden/>
          </w:rPr>
          <w:tab/>
        </w:r>
        <w:r w:rsidR="002E1CE9">
          <w:rPr>
            <w:noProof/>
            <w:webHidden/>
          </w:rPr>
          <w:fldChar w:fldCharType="begin"/>
        </w:r>
        <w:r w:rsidR="002E1CE9">
          <w:rPr>
            <w:noProof/>
            <w:webHidden/>
          </w:rPr>
          <w:instrText xml:space="preserve"> PAGEREF _Toc488741980 \h </w:instrText>
        </w:r>
        <w:r w:rsidR="002E1CE9">
          <w:rPr>
            <w:noProof/>
            <w:webHidden/>
          </w:rPr>
        </w:r>
        <w:r w:rsidR="002E1CE9">
          <w:rPr>
            <w:noProof/>
            <w:webHidden/>
          </w:rPr>
          <w:fldChar w:fldCharType="separate"/>
        </w:r>
        <w:r w:rsidR="0077432E">
          <w:rPr>
            <w:noProof/>
            <w:webHidden/>
          </w:rPr>
          <w:t>307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81" w:history="1">
        <w:r w:rsidR="002E1CE9" w:rsidRPr="00810C5C">
          <w:rPr>
            <w:rStyle w:val="Hyperlink"/>
            <w:noProof/>
          </w:rPr>
          <w:t>Table A-153: Observed Coefficients of Variation and Relative Precision – CEI Program</w:t>
        </w:r>
        <w:r w:rsidR="002E1CE9">
          <w:rPr>
            <w:noProof/>
            <w:webHidden/>
          </w:rPr>
          <w:tab/>
        </w:r>
        <w:r w:rsidR="002E1CE9">
          <w:rPr>
            <w:noProof/>
            <w:webHidden/>
          </w:rPr>
          <w:fldChar w:fldCharType="begin"/>
        </w:r>
        <w:r w:rsidR="002E1CE9">
          <w:rPr>
            <w:noProof/>
            <w:webHidden/>
          </w:rPr>
          <w:instrText xml:space="preserve"> PAGEREF _Toc488741981 \h </w:instrText>
        </w:r>
        <w:r w:rsidR="002E1CE9">
          <w:rPr>
            <w:noProof/>
            <w:webHidden/>
          </w:rPr>
        </w:r>
        <w:r w:rsidR="002E1CE9">
          <w:rPr>
            <w:noProof/>
            <w:webHidden/>
          </w:rPr>
          <w:fldChar w:fldCharType="separate"/>
        </w:r>
        <w:r w:rsidR="0077432E">
          <w:rPr>
            <w:noProof/>
            <w:webHidden/>
          </w:rPr>
          <w:t>307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82" w:history="1">
        <w:r w:rsidR="002E1CE9" w:rsidRPr="00810C5C">
          <w:rPr>
            <w:rStyle w:val="Hyperlink"/>
            <w:noProof/>
          </w:rPr>
          <w:t>Table A-154: PPL’s PY7 Non-Residential Site Inspection Findings</w:t>
        </w:r>
        <w:r w:rsidR="002E1CE9">
          <w:rPr>
            <w:noProof/>
            <w:webHidden/>
          </w:rPr>
          <w:tab/>
        </w:r>
        <w:r w:rsidR="002E1CE9">
          <w:rPr>
            <w:noProof/>
            <w:webHidden/>
          </w:rPr>
          <w:fldChar w:fldCharType="begin"/>
        </w:r>
        <w:r w:rsidR="002E1CE9">
          <w:rPr>
            <w:noProof/>
            <w:webHidden/>
          </w:rPr>
          <w:instrText xml:space="preserve"> PAGEREF _Toc488741982 \h </w:instrText>
        </w:r>
        <w:r w:rsidR="002E1CE9">
          <w:rPr>
            <w:noProof/>
            <w:webHidden/>
          </w:rPr>
        </w:r>
        <w:r w:rsidR="002E1CE9">
          <w:rPr>
            <w:noProof/>
            <w:webHidden/>
          </w:rPr>
          <w:fldChar w:fldCharType="separate"/>
        </w:r>
        <w:r w:rsidR="0077432E">
          <w:rPr>
            <w:noProof/>
            <w:webHidden/>
          </w:rPr>
          <w:t>307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83" w:history="1">
        <w:r w:rsidR="002E1CE9" w:rsidRPr="00810C5C">
          <w:rPr>
            <w:rStyle w:val="Hyperlink"/>
            <w:noProof/>
          </w:rPr>
          <w:t>Table A-155: Summary of SWE Team Review of PPL NTG Evaluations</w:t>
        </w:r>
        <w:r w:rsidR="002E1CE9">
          <w:rPr>
            <w:noProof/>
            <w:webHidden/>
          </w:rPr>
          <w:tab/>
        </w:r>
        <w:r w:rsidR="002E1CE9">
          <w:rPr>
            <w:noProof/>
            <w:webHidden/>
          </w:rPr>
          <w:fldChar w:fldCharType="begin"/>
        </w:r>
        <w:r w:rsidR="002E1CE9">
          <w:rPr>
            <w:noProof/>
            <w:webHidden/>
          </w:rPr>
          <w:instrText xml:space="preserve"> PAGEREF _Toc488741983 \h </w:instrText>
        </w:r>
        <w:r w:rsidR="002E1CE9">
          <w:rPr>
            <w:noProof/>
            <w:webHidden/>
          </w:rPr>
        </w:r>
        <w:r w:rsidR="002E1CE9">
          <w:rPr>
            <w:noProof/>
            <w:webHidden/>
          </w:rPr>
          <w:fldChar w:fldCharType="separate"/>
        </w:r>
        <w:r w:rsidR="0077432E">
          <w:rPr>
            <w:noProof/>
            <w:webHidden/>
          </w:rPr>
          <w:t>309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84" w:history="1">
        <w:r w:rsidR="002E1CE9" w:rsidRPr="00810C5C">
          <w:rPr>
            <w:rStyle w:val="Hyperlink"/>
            <w:noProof/>
          </w:rPr>
          <w:t>Table A-156: Summary of NTG Audit of PPL’s Residential Programs</w:t>
        </w:r>
        <w:r w:rsidR="002E1CE9">
          <w:rPr>
            <w:noProof/>
            <w:webHidden/>
          </w:rPr>
          <w:tab/>
        </w:r>
        <w:r w:rsidR="002E1CE9">
          <w:rPr>
            <w:noProof/>
            <w:webHidden/>
          </w:rPr>
          <w:fldChar w:fldCharType="begin"/>
        </w:r>
        <w:r w:rsidR="002E1CE9">
          <w:rPr>
            <w:noProof/>
            <w:webHidden/>
          </w:rPr>
          <w:instrText xml:space="preserve"> PAGEREF _Toc488741984 \h </w:instrText>
        </w:r>
        <w:r w:rsidR="002E1CE9">
          <w:rPr>
            <w:noProof/>
            <w:webHidden/>
          </w:rPr>
        </w:r>
        <w:r w:rsidR="002E1CE9">
          <w:rPr>
            <w:noProof/>
            <w:webHidden/>
          </w:rPr>
          <w:fldChar w:fldCharType="separate"/>
        </w:r>
        <w:r w:rsidR="0077432E">
          <w:rPr>
            <w:noProof/>
            <w:webHidden/>
          </w:rPr>
          <w:t>311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85" w:history="1">
        <w:r w:rsidR="002E1CE9" w:rsidRPr="00810C5C">
          <w:rPr>
            <w:rStyle w:val="Hyperlink"/>
            <w:noProof/>
          </w:rPr>
          <w:t>Table A-157: Summary of NTG Estimates for PPL’s Residential Programs</w:t>
        </w:r>
        <w:r w:rsidR="002E1CE9">
          <w:rPr>
            <w:noProof/>
            <w:webHidden/>
          </w:rPr>
          <w:tab/>
        </w:r>
        <w:r w:rsidR="002E1CE9">
          <w:rPr>
            <w:noProof/>
            <w:webHidden/>
          </w:rPr>
          <w:fldChar w:fldCharType="begin"/>
        </w:r>
        <w:r w:rsidR="002E1CE9">
          <w:rPr>
            <w:noProof/>
            <w:webHidden/>
          </w:rPr>
          <w:instrText xml:space="preserve"> PAGEREF _Toc488741985 \h </w:instrText>
        </w:r>
        <w:r w:rsidR="002E1CE9">
          <w:rPr>
            <w:noProof/>
            <w:webHidden/>
          </w:rPr>
        </w:r>
        <w:r w:rsidR="002E1CE9">
          <w:rPr>
            <w:noProof/>
            <w:webHidden/>
          </w:rPr>
          <w:fldChar w:fldCharType="separate"/>
        </w:r>
        <w:r w:rsidR="0077432E">
          <w:rPr>
            <w:noProof/>
            <w:webHidden/>
          </w:rPr>
          <w:t>312</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86" w:history="1">
        <w:r w:rsidR="002E1CE9" w:rsidRPr="00810C5C">
          <w:rPr>
            <w:rStyle w:val="Hyperlink"/>
            <w:noProof/>
          </w:rPr>
          <w:t>Table A-158: Summary of NTG Audit of PPL’s Non-Residential Programs</w:t>
        </w:r>
        <w:r w:rsidR="002E1CE9">
          <w:rPr>
            <w:noProof/>
            <w:webHidden/>
          </w:rPr>
          <w:tab/>
        </w:r>
        <w:r w:rsidR="002E1CE9">
          <w:rPr>
            <w:noProof/>
            <w:webHidden/>
          </w:rPr>
          <w:fldChar w:fldCharType="begin"/>
        </w:r>
        <w:r w:rsidR="002E1CE9">
          <w:rPr>
            <w:noProof/>
            <w:webHidden/>
          </w:rPr>
          <w:instrText xml:space="preserve"> PAGEREF _Toc488741986 \h </w:instrText>
        </w:r>
        <w:r w:rsidR="002E1CE9">
          <w:rPr>
            <w:noProof/>
            <w:webHidden/>
          </w:rPr>
        </w:r>
        <w:r w:rsidR="002E1CE9">
          <w:rPr>
            <w:noProof/>
            <w:webHidden/>
          </w:rPr>
          <w:fldChar w:fldCharType="separate"/>
        </w:r>
        <w:r w:rsidR="0077432E">
          <w:rPr>
            <w:noProof/>
            <w:webHidden/>
          </w:rPr>
          <w:t>313</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1987" w:history="1">
        <w:r w:rsidR="002E1CE9" w:rsidRPr="00810C5C">
          <w:rPr>
            <w:rStyle w:val="Hyperlink"/>
            <w:noProof/>
          </w:rPr>
          <w:t>Table A-159: Summary of NTG Estimates for PPL’s Non-Residential Programs</w:t>
        </w:r>
        <w:r w:rsidR="002E1CE9">
          <w:rPr>
            <w:noProof/>
            <w:webHidden/>
          </w:rPr>
          <w:tab/>
        </w:r>
        <w:r w:rsidR="002E1CE9">
          <w:rPr>
            <w:noProof/>
            <w:webHidden/>
          </w:rPr>
          <w:fldChar w:fldCharType="begin"/>
        </w:r>
        <w:r w:rsidR="002E1CE9">
          <w:rPr>
            <w:noProof/>
            <w:webHidden/>
          </w:rPr>
          <w:instrText xml:space="preserve"> PAGEREF _Toc488741987 \h </w:instrText>
        </w:r>
        <w:r w:rsidR="002E1CE9">
          <w:rPr>
            <w:noProof/>
            <w:webHidden/>
          </w:rPr>
        </w:r>
        <w:r w:rsidR="002E1CE9">
          <w:rPr>
            <w:noProof/>
            <w:webHidden/>
          </w:rPr>
          <w:fldChar w:fldCharType="separate"/>
        </w:r>
        <w:r w:rsidR="0077432E">
          <w:rPr>
            <w:noProof/>
            <w:webHidden/>
          </w:rPr>
          <w:t>313</w:t>
        </w:r>
        <w:r w:rsidR="002E1CE9">
          <w:rPr>
            <w:noProof/>
            <w:webHidden/>
          </w:rPr>
          <w:fldChar w:fldCharType="end"/>
        </w:r>
      </w:hyperlink>
    </w:p>
    <w:p w:rsidR="00344D11" w:rsidRDefault="00664065" w:rsidP="0022599A">
      <w:pPr>
        <w:spacing w:after="60"/>
        <w:rPr>
          <w:rFonts w:ascii="Century Gothic" w:hAnsi="Century Gothic"/>
          <w:sz w:val="20"/>
          <w:szCs w:val="20"/>
        </w:rPr>
      </w:pPr>
      <w:r w:rsidRPr="003965C5">
        <w:rPr>
          <w:rFonts w:ascii="Century Gothic" w:hAnsi="Century Gothic"/>
          <w:sz w:val="20"/>
          <w:szCs w:val="20"/>
        </w:rPr>
        <w:fldChar w:fldCharType="end"/>
      </w:r>
    </w:p>
    <w:p w:rsidR="00132209" w:rsidRPr="00B81A2F" w:rsidRDefault="00B81A2F" w:rsidP="00132209">
      <w:pPr>
        <w:shd w:val="clear" w:color="auto" w:fill="448A99"/>
        <w:jc w:val="right"/>
        <w:rPr>
          <w:rFonts w:ascii="Century Gothic" w:hAnsi="Century Gothic"/>
          <w:caps/>
          <w:color w:val="FFFFFF" w:themeColor="background1"/>
          <w:spacing w:val="-12"/>
          <w:sz w:val="28"/>
        </w:rPr>
      </w:pPr>
      <w:r w:rsidRPr="00B81A2F">
        <w:rPr>
          <w:rFonts w:ascii="Century Gothic" w:hAnsi="Century Gothic"/>
          <w:caps/>
          <w:color w:val="FFFFFF" w:themeColor="background1"/>
          <w:spacing w:val="-12"/>
          <w:sz w:val="28"/>
        </w:rPr>
        <w:t>LIST OF APPENDICES FIGURES</w:t>
      </w:r>
    </w:p>
    <w:p w:rsidR="00132209" w:rsidRPr="00B81A2F" w:rsidRDefault="00B81A2F" w:rsidP="00B81A2F">
      <w:pPr>
        <w:spacing w:before="60" w:after="60"/>
        <w:rPr>
          <w:rFonts w:ascii="Century Gothic" w:hAnsi="Century Gothic"/>
          <w:b/>
          <w:color w:val="404040" w:themeColor="text1" w:themeTint="BF"/>
          <w:spacing w:val="-12"/>
        </w:rPr>
      </w:pPr>
      <w:r w:rsidRPr="00B81A2F">
        <w:rPr>
          <w:rFonts w:ascii="Century Gothic" w:hAnsi="Century Gothic"/>
          <w:b/>
          <w:color w:val="404040" w:themeColor="text1" w:themeTint="BF"/>
          <w:spacing w:val="-12"/>
        </w:rPr>
        <w:t>APPENDIX A FIGURES</w:t>
      </w:r>
    </w:p>
    <w:p w:rsidR="002E1CE9" w:rsidRDefault="001D0677">
      <w:pPr>
        <w:pStyle w:val="TableofFigures"/>
        <w:tabs>
          <w:tab w:val="right" w:leader="dot" w:pos="9350"/>
        </w:tabs>
        <w:rPr>
          <w:rFonts w:asciiTheme="minorHAnsi" w:eastAsiaTheme="minorEastAsia" w:hAnsiTheme="minorHAnsi" w:cstheme="minorBidi"/>
          <w:noProof/>
          <w:color w:val="auto"/>
          <w:sz w:val="22"/>
        </w:rPr>
      </w:pPr>
      <w:r w:rsidRPr="0011636D">
        <w:rPr>
          <w:sz w:val="18"/>
        </w:rPr>
        <w:fldChar w:fldCharType="begin"/>
      </w:r>
      <w:r w:rsidRPr="0011636D">
        <w:instrText xml:space="preserve"> TOC \h \z \c "Figure A-" </w:instrText>
      </w:r>
      <w:r w:rsidRPr="0011636D">
        <w:rPr>
          <w:sz w:val="18"/>
        </w:rPr>
        <w:fldChar w:fldCharType="separate"/>
      </w:r>
      <w:hyperlink w:anchor="_Toc488742012" w:history="1">
        <w:r w:rsidR="002E1CE9" w:rsidRPr="00E91883">
          <w:rPr>
            <w:rStyle w:val="Hyperlink"/>
            <w:noProof/>
          </w:rPr>
          <w:t>Figure A-1: Frequency of and Associated Energy Savings by M&amp;V Approach – Commercial and GNI Program Groups</w:t>
        </w:r>
        <w:r w:rsidR="002E1CE9">
          <w:rPr>
            <w:noProof/>
            <w:webHidden/>
          </w:rPr>
          <w:tab/>
        </w:r>
        <w:r w:rsidR="002E1CE9">
          <w:rPr>
            <w:noProof/>
            <w:webHidden/>
          </w:rPr>
          <w:fldChar w:fldCharType="begin"/>
        </w:r>
        <w:r w:rsidR="002E1CE9">
          <w:rPr>
            <w:noProof/>
            <w:webHidden/>
          </w:rPr>
          <w:instrText xml:space="preserve"> PAGEREF _Toc488742012 \h </w:instrText>
        </w:r>
        <w:r w:rsidR="002E1CE9">
          <w:rPr>
            <w:noProof/>
            <w:webHidden/>
          </w:rPr>
        </w:r>
        <w:r w:rsidR="002E1CE9">
          <w:rPr>
            <w:noProof/>
            <w:webHidden/>
          </w:rPr>
          <w:fldChar w:fldCharType="separate"/>
        </w:r>
        <w:r w:rsidR="0077432E">
          <w:rPr>
            <w:noProof/>
            <w:webHidden/>
          </w:rPr>
          <w:t>124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13" w:history="1">
        <w:r w:rsidR="002E1CE9" w:rsidRPr="00E91883">
          <w:rPr>
            <w:rStyle w:val="Hyperlink"/>
            <w:noProof/>
          </w:rPr>
          <w:t>Figure A-2: Frequency of and Associated Energy Savings by M&amp;V Approach – Industrial Program Group</w:t>
        </w:r>
        <w:r w:rsidR="002E1CE9">
          <w:rPr>
            <w:noProof/>
            <w:webHidden/>
          </w:rPr>
          <w:tab/>
        </w:r>
        <w:r w:rsidR="002E1CE9">
          <w:rPr>
            <w:noProof/>
            <w:webHidden/>
          </w:rPr>
          <w:fldChar w:fldCharType="begin"/>
        </w:r>
        <w:r w:rsidR="002E1CE9">
          <w:rPr>
            <w:noProof/>
            <w:webHidden/>
          </w:rPr>
          <w:instrText xml:space="preserve"> PAGEREF _Toc488742013 \h </w:instrText>
        </w:r>
        <w:r w:rsidR="002E1CE9">
          <w:rPr>
            <w:noProof/>
            <w:webHidden/>
          </w:rPr>
        </w:r>
        <w:r w:rsidR="002E1CE9">
          <w:rPr>
            <w:noProof/>
            <w:webHidden/>
          </w:rPr>
          <w:fldChar w:fldCharType="separate"/>
        </w:r>
        <w:r w:rsidR="0077432E">
          <w:rPr>
            <w:noProof/>
            <w:webHidden/>
          </w:rPr>
          <w:t>124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14" w:history="1">
        <w:r w:rsidR="002E1CE9" w:rsidRPr="00E91883">
          <w:rPr>
            <w:rStyle w:val="Hyperlink"/>
            <w:noProof/>
          </w:rPr>
          <w:t>Figure A-3: Frequency of and Associated Energy Savings by M&amp;V Approach – Small C/I Equipment Program</w:t>
        </w:r>
        <w:r w:rsidR="002E1CE9">
          <w:rPr>
            <w:noProof/>
            <w:webHidden/>
          </w:rPr>
          <w:tab/>
        </w:r>
        <w:r w:rsidR="002E1CE9">
          <w:rPr>
            <w:noProof/>
            <w:webHidden/>
          </w:rPr>
          <w:fldChar w:fldCharType="begin"/>
        </w:r>
        <w:r w:rsidR="002E1CE9">
          <w:rPr>
            <w:noProof/>
            <w:webHidden/>
          </w:rPr>
          <w:instrText xml:space="preserve"> PAGEREF _Toc488742014 \h </w:instrText>
        </w:r>
        <w:r w:rsidR="002E1CE9">
          <w:rPr>
            <w:noProof/>
            <w:webHidden/>
          </w:rPr>
        </w:r>
        <w:r w:rsidR="002E1CE9">
          <w:rPr>
            <w:noProof/>
            <w:webHidden/>
          </w:rPr>
          <w:fldChar w:fldCharType="separate"/>
        </w:r>
        <w:r w:rsidR="0077432E">
          <w:rPr>
            <w:noProof/>
            <w:webHidden/>
          </w:rPr>
          <w:t>157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15" w:history="1">
        <w:r w:rsidR="002E1CE9" w:rsidRPr="00E91883">
          <w:rPr>
            <w:rStyle w:val="Hyperlink"/>
            <w:noProof/>
          </w:rPr>
          <w:t>Figure A-4: Frequency of and Associated Energy Savings by M&amp;V Approach – Small C/I Buildings Program</w:t>
        </w:r>
        <w:r w:rsidR="002E1CE9">
          <w:rPr>
            <w:noProof/>
            <w:webHidden/>
          </w:rPr>
          <w:tab/>
        </w:r>
        <w:r w:rsidR="002E1CE9">
          <w:rPr>
            <w:noProof/>
            <w:webHidden/>
          </w:rPr>
          <w:fldChar w:fldCharType="begin"/>
        </w:r>
        <w:r w:rsidR="002E1CE9">
          <w:rPr>
            <w:noProof/>
            <w:webHidden/>
          </w:rPr>
          <w:instrText xml:space="preserve"> PAGEREF _Toc488742015 \h </w:instrText>
        </w:r>
        <w:r w:rsidR="002E1CE9">
          <w:rPr>
            <w:noProof/>
            <w:webHidden/>
          </w:rPr>
        </w:r>
        <w:r w:rsidR="002E1CE9">
          <w:rPr>
            <w:noProof/>
            <w:webHidden/>
          </w:rPr>
          <w:fldChar w:fldCharType="separate"/>
        </w:r>
        <w:r w:rsidR="0077432E">
          <w:rPr>
            <w:noProof/>
            <w:webHidden/>
          </w:rPr>
          <w:t>157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16" w:history="1">
        <w:r w:rsidR="002E1CE9" w:rsidRPr="00E91883">
          <w:rPr>
            <w:rStyle w:val="Hyperlink"/>
            <w:noProof/>
          </w:rPr>
          <w:t>Figure A-5: Frequency of and Associated Energy Savings by M&amp;V Approach – Large C/I Equipment Program</w:t>
        </w:r>
        <w:r w:rsidR="002E1CE9">
          <w:rPr>
            <w:noProof/>
            <w:webHidden/>
          </w:rPr>
          <w:tab/>
        </w:r>
        <w:r w:rsidR="002E1CE9">
          <w:rPr>
            <w:noProof/>
            <w:webHidden/>
          </w:rPr>
          <w:fldChar w:fldCharType="begin"/>
        </w:r>
        <w:r w:rsidR="002E1CE9">
          <w:rPr>
            <w:noProof/>
            <w:webHidden/>
          </w:rPr>
          <w:instrText xml:space="preserve"> PAGEREF _Toc488742016 \h </w:instrText>
        </w:r>
        <w:r w:rsidR="002E1CE9">
          <w:rPr>
            <w:noProof/>
            <w:webHidden/>
          </w:rPr>
        </w:r>
        <w:r w:rsidR="002E1CE9">
          <w:rPr>
            <w:noProof/>
            <w:webHidden/>
          </w:rPr>
          <w:fldChar w:fldCharType="separate"/>
        </w:r>
        <w:r w:rsidR="0077432E">
          <w:rPr>
            <w:noProof/>
            <w:webHidden/>
          </w:rPr>
          <w:t>158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17" w:history="1">
        <w:r w:rsidR="002E1CE9" w:rsidRPr="00E91883">
          <w:rPr>
            <w:rStyle w:val="Hyperlink"/>
            <w:noProof/>
          </w:rPr>
          <w:t>Figure A-6 Frequency of and Associated Energy Savings by M&amp;V Approach – Large C/I Buildings Program</w:t>
        </w:r>
        <w:r w:rsidR="002E1CE9">
          <w:rPr>
            <w:noProof/>
            <w:webHidden/>
          </w:rPr>
          <w:tab/>
        </w:r>
        <w:r w:rsidR="002E1CE9">
          <w:rPr>
            <w:noProof/>
            <w:webHidden/>
          </w:rPr>
          <w:fldChar w:fldCharType="begin"/>
        </w:r>
        <w:r w:rsidR="002E1CE9">
          <w:rPr>
            <w:noProof/>
            <w:webHidden/>
          </w:rPr>
          <w:instrText xml:space="preserve"> PAGEREF _Toc488742017 \h </w:instrText>
        </w:r>
        <w:r w:rsidR="002E1CE9">
          <w:rPr>
            <w:noProof/>
            <w:webHidden/>
          </w:rPr>
        </w:r>
        <w:r w:rsidR="002E1CE9">
          <w:rPr>
            <w:noProof/>
            <w:webHidden/>
          </w:rPr>
          <w:fldChar w:fldCharType="separate"/>
        </w:r>
        <w:r w:rsidR="0077432E">
          <w:rPr>
            <w:noProof/>
            <w:webHidden/>
          </w:rPr>
          <w:t>158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18" w:history="1">
        <w:r w:rsidR="002E1CE9" w:rsidRPr="00E91883">
          <w:rPr>
            <w:rStyle w:val="Hyperlink"/>
            <w:noProof/>
          </w:rPr>
          <w:t>Figure A-7: Frequency of and Associated Energy Savings by M&amp;V Approach – Government and Institutional Program</w:t>
        </w:r>
        <w:r w:rsidR="002E1CE9">
          <w:rPr>
            <w:noProof/>
            <w:webHidden/>
          </w:rPr>
          <w:tab/>
        </w:r>
        <w:r w:rsidR="002E1CE9">
          <w:rPr>
            <w:noProof/>
            <w:webHidden/>
          </w:rPr>
          <w:fldChar w:fldCharType="begin"/>
        </w:r>
        <w:r w:rsidR="002E1CE9">
          <w:rPr>
            <w:noProof/>
            <w:webHidden/>
          </w:rPr>
          <w:instrText xml:space="preserve"> PAGEREF _Toc488742018 \h </w:instrText>
        </w:r>
        <w:r w:rsidR="002E1CE9">
          <w:rPr>
            <w:noProof/>
            <w:webHidden/>
          </w:rPr>
        </w:r>
        <w:r w:rsidR="002E1CE9">
          <w:rPr>
            <w:noProof/>
            <w:webHidden/>
          </w:rPr>
          <w:fldChar w:fldCharType="separate"/>
        </w:r>
        <w:r w:rsidR="0077432E">
          <w:rPr>
            <w:noProof/>
            <w:webHidden/>
          </w:rPr>
          <w:t>159</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19" w:history="1">
        <w:r w:rsidR="002E1CE9" w:rsidRPr="00E91883">
          <w:rPr>
            <w:rStyle w:val="Hyperlink"/>
            <w:noProof/>
          </w:rPr>
          <w:t>Figure A-8: Frequency of and Associated Energy Savings by M&amp;V Approach – Small C/I Equipment Program</w:t>
        </w:r>
        <w:r w:rsidR="002E1CE9">
          <w:rPr>
            <w:noProof/>
            <w:webHidden/>
          </w:rPr>
          <w:tab/>
        </w:r>
        <w:r w:rsidR="002E1CE9">
          <w:rPr>
            <w:noProof/>
            <w:webHidden/>
          </w:rPr>
          <w:fldChar w:fldCharType="begin"/>
        </w:r>
        <w:r w:rsidR="002E1CE9">
          <w:rPr>
            <w:noProof/>
            <w:webHidden/>
          </w:rPr>
          <w:instrText xml:space="preserve"> PAGEREF _Toc488742019 \h </w:instrText>
        </w:r>
        <w:r w:rsidR="002E1CE9">
          <w:rPr>
            <w:noProof/>
            <w:webHidden/>
          </w:rPr>
        </w:r>
        <w:r w:rsidR="002E1CE9">
          <w:rPr>
            <w:noProof/>
            <w:webHidden/>
          </w:rPr>
          <w:fldChar w:fldCharType="separate"/>
        </w:r>
        <w:r w:rsidR="0077432E">
          <w:rPr>
            <w:noProof/>
            <w:webHidden/>
          </w:rPr>
          <w:t>184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0" w:history="1">
        <w:r w:rsidR="002E1CE9" w:rsidRPr="00E91883">
          <w:rPr>
            <w:rStyle w:val="Hyperlink"/>
            <w:noProof/>
          </w:rPr>
          <w:t>Figure A-9: Frequency of and Associated Energy Savings by M&amp;V Approach – Small C/I Buildings Program</w:t>
        </w:r>
        <w:r w:rsidR="002E1CE9">
          <w:rPr>
            <w:noProof/>
            <w:webHidden/>
          </w:rPr>
          <w:tab/>
        </w:r>
        <w:r w:rsidR="002E1CE9">
          <w:rPr>
            <w:noProof/>
            <w:webHidden/>
          </w:rPr>
          <w:fldChar w:fldCharType="begin"/>
        </w:r>
        <w:r w:rsidR="002E1CE9">
          <w:rPr>
            <w:noProof/>
            <w:webHidden/>
          </w:rPr>
          <w:instrText xml:space="preserve"> PAGEREF _Toc488742020 \h </w:instrText>
        </w:r>
        <w:r w:rsidR="002E1CE9">
          <w:rPr>
            <w:noProof/>
            <w:webHidden/>
          </w:rPr>
        </w:r>
        <w:r w:rsidR="002E1CE9">
          <w:rPr>
            <w:noProof/>
            <w:webHidden/>
          </w:rPr>
          <w:fldChar w:fldCharType="separate"/>
        </w:r>
        <w:r w:rsidR="0077432E">
          <w:rPr>
            <w:noProof/>
            <w:webHidden/>
          </w:rPr>
          <w:t>185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1" w:history="1">
        <w:r w:rsidR="002E1CE9" w:rsidRPr="00E91883">
          <w:rPr>
            <w:rStyle w:val="Hyperlink"/>
            <w:noProof/>
          </w:rPr>
          <w:t>Figure A-10: Frequency of and Associated Energy Savings by M&amp;V Approach – Large C/I Equipment Program</w:t>
        </w:r>
        <w:r w:rsidR="002E1CE9">
          <w:rPr>
            <w:noProof/>
            <w:webHidden/>
          </w:rPr>
          <w:tab/>
        </w:r>
        <w:r w:rsidR="002E1CE9">
          <w:rPr>
            <w:noProof/>
            <w:webHidden/>
          </w:rPr>
          <w:fldChar w:fldCharType="begin"/>
        </w:r>
        <w:r w:rsidR="002E1CE9">
          <w:rPr>
            <w:noProof/>
            <w:webHidden/>
          </w:rPr>
          <w:instrText xml:space="preserve"> PAGEREF _Toc488742021 \h </w:instrText>
        </w:r>
        <w:r w:rsidR="002E1CE9">
          <w:rPr>
            <w:noProof/>
            <w:webHidden/>
          </w:rPr>
        </w:r>
        <w:r w:rsidR="002E1CE9">
          <w:rPr>
            <w:noProof/>
            <w:webHidden/>
          </w:rPr>
          <w:fldChar w:fldCharType="separate"/>
        </w:r>
        <w:r w:rsidR="0077432E">
          <w:rPr>
            <w:noProof/>
            <w:webHidden/>
          </w:rPr>
          <w:t>185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2" w:history="1">
        <w:r w:rsidR="002E1CE9" w:rsidRPr="00E91883">
          <w:rPr>
            <w:rStyle w:val="Hyperlink"/>
            <w:noProof/>
          </w:rPr>
          <w:t>Figure A-11: Frequency of and Associated Energy Savings by M&amp;V Approach – Government and Institutional Program</w:t>
        </w:r>
        <w:r w:rsidR="002E1CE9">
          <w:rPr>
            <w:noProof/>
            <w:webHidden/>
          </w:rPr>
          <w:tab/>
        </w:r>
        <w:r w:rsidR="002E1CE9">
          <w:rPr>
            <w:noProof/>
            <w:webHidden/>
          </w:rPr>
          <w:fldChar w:fldCharType="begin"/>
        </w:r>
        <w:r w:rsidR="002E1CE9">
          <w:rPr>
            <w:noProof/>
            <w:webHidden/>
          </w:rPr>
          <w:instrText xml:space="preserve"> PAGEREF _Toc488742022 \h </w:instrText>
        </w:r>
        <w:r w:rsidR="002E1CE9">
          <w:rPr>
            <w:noProof/>
            <w:webHidden/>
          </w:rPr>
        </w:r>
        <w:r w:rsidR="002E1CE9">
          <w:rPr>
            <w:noProof/>
            <w:webHidden/>
          </w:rPr>
          <w:fldChar w:fldCharType="separate"/>
        </w:r>
        <w:r w:rsidR="0077432E">
          <w:rPr>
            <w:noProof/>
            <w:webHidden/>
          </w:rPr>
          <w:t>186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3" w:history="1">
        <w:r w:rsidR="002E1CE9" w:rsidRPr="00E91883">
          <w:rPr>
            <w:rStyle w:val="Hyperlink"/>
            <w:noProof/>
          </w:rPr>
          <w:t>Figure A-12: Frequency of and Associated Energy Savings by M&amp;V Approach – Small C/I Equipment Program</w:t>
        </w:r>
        <w:r w:rsidR="002E1CE9">
          <w:rPr>
            <w:noProof/>
            <w:webHidden/>
          </w:rPr>
          <w:tab/>
        </w:r>
        <w:r w:rsidR="002E1CE9">
          <w:rPr>
            <w:noProof/>
            <w:webHidden/>
          </w:rPr>
          <w:fldChar w:fldCharType="begin"/>
        </w:r>
        <w:r w:rsidR="002E1CE9">
          <w:rPr>
            <w:noProof/>
            <w:webHidden/>
          </w:rPr>
          <w:instrText xml:space="preserve"> PAGEREF _Toc488742023 \h </w:instrText>
        </w:r>
        <w:r w:rsidR="002E1CE9">
          <w:rPr>
            <w:noProof/>
            <w:webHidden/>
          </w:rPr>
        </w:r>
        <w:r w:rsidR="002E1CE9">
          <w:rPr>
            <w:noProof/>
            <w:webHidden/>
          </w:rPr>
          <w:fldChar w:fldCharType="separate"/>
        </w:r>
        <w:r w:rsidR="0077432E">
          <w:rPr>
            <w:noProof/>
            <w:webHidden/>
          </w:rPr>
          <w:t>204</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4" w:history="1">
        <w:r w:rsidR="002E1CE9" w:rsidRPr="00E91883">
          <w:rPr>
            <w:rStyle w:val="Hyperlink"/>
            <w:noProof/>
          </w:rPr>
          <w:t>Figure A-13: Frequency of and Associated Energy Savings by M&amp;V Approach – Small C/I Buildings Program</w:t>
        </w:r>
        <w:r w:rsidR="002E1CE9">
          <w:rPr>
            <w:noProof/>
            <w:webHidden/>
          </w:rPr>
          <w:tab/>
        </w:r>
        <w:r w:rsidR="002E1CE9">
          <w:rPr>
            <w:noProof/>
            <w:webHidden/>
          </w:rPr>
          <w:fldChar w:fldCharType="begin"/>
        </w:r>
        <w:r w:rsidR="002E1CE9">
          <w:rPr>
            <w:noProof/>
            <w:webHidden/>
          </w:rPr>
          <w:instrText xml:space="preserve"> PAGEREF _Toc488742024 \h </w:instrText>
        </w:r>
        <w:r w:rsidR="002E1CE9">
          <w:rPr>
            <w:noProof/>
            <w:webHidden/>
          </w:rPr>
        </w:r>
        <w:r w:rsidR="002E1CE9">
          <w:rPr>
            <w:noProof/>
            <w:webHidden/>
          </w:rPr>
          <w:fldChar w:fldCharType="separate"/>
        </w:r>
        <w:r w:rsidR="0077432E">
          <w:rPr>
            <w:noProof/>
            <w:webHidden/>
          </w:rPr>
          <w:t>205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5" w:history="1">
        <w:r w:rsidR="002E1CE9" w:rsidRPr="00E91883">
          <w:rPr>
            <w:rStyle w:val="Hyperlink"/>
            <w:noProof/>
          </w:rPr>
          <w:t>Figure A-14: Frequency of and Associated Energy Savings by M&amp;V Approach – Large C/I Equipment Program</w:t>
        </w:r>
        <w:r w:rsidR="002E1CE9">
          <w:rPr>
            <w:noProof/>
            <w:webHidden/>
          </w:rPr>
          <w:tab/>
        </w:r>
        <w:r w:rsidR="002E1CE9">
          <w:rPr>
            <w:noProof/>
            <w:webHidden/>
          </w:rPr>
          <w:fldChar w:fldCharType="begin"/>
        </w:r>
        <w:r w:rsidR="002E1CE9">
          <w:rPr>
            <w:noProof/>
            <w:webHidden/>
          </w:rPr>
          <w:instrText xml:space="preserve"> PAGEREF _Toc488742025 \h </w:instrText>
        </w:r>
        <w:r w:rsidR="002E1CE9">
          <w:rPr>
            <w:noProof/>
            <w:webHidden/>
          </w:rPr>
        </w:r>
        <w:r w:rsidR="002E1CE9">
          <w:rPr>
            <w:noProof/>
            <w:webHidden/>
          </w:rPr>
          <w:fldChar w:fldCharType="separate"/>
        </w:r>
        <w:r w:rsidR="0077432E">
          <w:rPr>
            <w:noProof/>
            <w:webHidden/>
          </w:rPr>
          <w:t>205</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6" w:history="1">
        <w:r w:rsidR="002E1CE9" w:rsidRPr="00E91883">
          <w:rPr>
            <w:rStyle w:val="Hyperlink"/>
            <w:noProof/>
          </w:rPr>
          <w:t>Figure A-15: Frequency of and Associated Energy Savings by M&amp;V Approach – Government and Institutional Program</w:t>
        </w:r>
        <w:r w:rsidR="002E1CE9">
          <w:rPr>
            <w:noProof/>
            <w:webHidden/>
          </w:rPr>
          <w:tab/>
        </w:r>
        <w:r w:rsidR="002E1CE9">
          <w:rPr>
            <w:noProof/>
            <w:webHidden/>
          </w:rPr>
          <w:fldChar w:fldCharType="begin"/>
        </w:r>
        <w:r w:rsidR="002E1CE9">
          <w:rPr>
            <w:noProof/>
            <w:webHidden/>
          </w:rPr>
          <w:instrText xml:space="preserve"> PAGEREF _Toc488742026 \h </w:instrText>
        </w:r>
        <w:r w:rsidR="002E1CE9">
          <w:rPr>
            <w:noProof/>
            <w:webHidden/>
          </w:rPr>
        </w:r>
        <w:r w:rsidR="002E1CE9">
          <w:rPr>
            <w:noProof/>
            <w:webHidden/>
          </w:rPr>
          <w:fldChar w:fldCharType="separate"/>
        </w:r>
        <w:r w:rsidR="0077432E">
          <w:rPr>
            <w:noProof/>
            <w:webHidden/>
          </w:rPr>
          <w:t>206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7" w:history="1">
        <w:r w:rsidR="002E1CE9" w:rsidRPr="00E91883">
          <w:rPr>
            <w:rStyle w:val="Hyperlink"/>
            <w:noProof/>
          </w:rPr>
          <w:t>Figure A-16: Frequency of and Associated Energy Savings by M&amp;V Approach – Small C/I Equipment Program</w:t>
        </w:r>
        <w:r w:rsidR="002E1CE9">
          <w:rPr>
            <w:noProof/>
            <w:webHidden/>
          </w:rPr>
          <w:tab/>
        </w:r>
        <w:r w:rsidR="002E1CE9">
          <w:rPr>
            <w:noProof/>
            <w:webHidden/>
          </w:rPr>
          <w:fldChar w:fldCharType="begin"/>
        </w:r>
        <w:r w:rsidR="002E1CE9">
          <w:rPr>
            <w:noProof/>
            <w:webHidden/>
          </w:rPr>
          <w:instrText xml:space="preserve"> PAGEREF _Toc488742027 \h </w:instrText>
        </w:r>
        <w:r w:rsidR="002E1CE9">
          <w:rPr>
            <w:noProof/>
            <w:webHidden/>
          </w:rPr>
        </w:r>
        <w:r w:rsidR="002E1CE9">
          <w:rPr>
            <w:noProof/>
            <w:webHidden/>
          </w:rPr>
          <w:fldChar w:fldCharType="separate"/>
        </w:r>
        <w:r w:rsidR="0077432E">
          <w:rPr>
            <w:noProof/>
            <w:webHidden/>
          </w:rPr>
          <w:t>226</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8" w:history="1">
        <w:r w:rsidR="002E1CE9" w:rsidRPr="00E91883">
          <w:rPr>
            <w:rStyle w:val="Hyperlink"/>
            <w:noProof/>
          </w:rPr>
          <w:t>Figure A-17: Frequency of and Associated Energy Savings by M&amp;V Approach – Small C/I Buildings Program</w:t>
        </w:r>
        <w:r w:rsidR="002E1CE9">
          <w:rPr>
            <w:noProof/>
            <w:webHidden/>
          </w:rPr>
          <w:tab/>
        </w:r>
        <w:r w:rsidR="002E1CE9">
          <w:rPr>
            <w:noProof/>
            <w:webHidden/>
          </w:rPr>
          <w:fldChar w:fldCharType="begin"/>
        </w:r>
        <w:r w:rsidR="002E1CE9">
          <w:rPr>
            <w:noProof/>
            <w:webHidden/>
          </w:rPr>
          <w:instrText xml:space="preserve"> PAGEREF _Toc488742028 \h </w:instrText>
        </w:r>
        <w:r w:rsidR="002E1CE9">
          <w:rPr>
            <w:noProof/>
            <w:webHidden/>
          </w:rPr>
        </w:r>
        <w:r w:rsidR="002E1CE9">
          <w:rPr>
            <w:noProof/>
            <w:webHidden/>
          </w:rPr>
          <w:fldChar w:fldCharType="separate"/>
        </w:r>
        <w:r w:rsidR="0077432E">
          <w:rPr>
            <w:noProof/>
            <w:webHidden/>
          </w:rPr>
          <w:t>227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29" w:history="1">
        <w:r w:rsidR="002E1CE9" w:rsidRPr="00E91883">
          <w:rPr>
            <w:rStyle w:val="Hyperlink"/>
            <w:noProof/>
          </w:rPr>
          <w:t>Figure A-18: Frequency of and Associated Energy Savings by M&amp;V Approach – Large C/I Equipment Program</w:t>
        </w:r>
        <w:r w:rsidR="002E1CE9">
          <w:rPr>
            <w:noProof/>
            <w:webHidden/>
          </w:rPr>
          <w:tab/>
        </w:r>
        <w:r w:rsidR="002E1CE9">
          <w:rPr>
            <w:noProof/>
            <w:webHidden/>
          </w:rPr>
          <w:fldChar w:fldCharType="begin"/>
        </w:r>
        <w:r w:rsidR="002E1CE9">
          <w:rPr>
            <w:noProof/>
            <w:webHidden/>
          </w:rPr>
          <w:instrText xml:space="preserve"> PAGEREF _Toc488742029 \h </w:instrText>
        </w:r>
        <w:r w:rsidR="002E1CE9">
          <w:rPr>
            <w:noProof/>
            <w:webHidden/>
          </w:rPr>
        </w:r>
        <w:r w:rsidR="002E1CE9">
          <w:rPr>
            <w:noProof/>
            <w:webHidden/>
          </w:rPr>
          <w:fldChar w:fldCharType="separate"/>
        </w:r>
        <w:r w:rsidR="0077432E">
          <w:rPr>
            <w:noProof/>
            <w:webHidden/>
          </w:rPr>
          <w:t>227</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30" w:history="1">
        <w:r w:rsidR="002E1CE9" w:rsidRPr="00E91883">
          <w:rPr>
            <w:rStyle w:val="Hyperlink"/>
            <w:noProof/>
          </w:rPr>
          <w:t>Figure A-19: Frequency of and Associated Energy Savings by M&amp;V Approach – Large C/I Buildings Program</w:t>
        </w:r>
        <w:r w:rsidR="002E1CE9">
          <w:rPr>
            <w:noProof/>
            <w:webHidden/>
          </w:rPr>
          <w:tab/>
        </w:r>
        <w:r w:rsidR="002E1CE9">
          <w:rPr>
            <w:noProof/>
            <w:webHidden/>
          </w:rPr>
          <w:fldChar w:fldCharType="begin"/>
        </w:r>
        <w:r w:rsidR="002E1CE9">
          <w:rPr>
            <w:noProof/>
            <w:webHidden/>
          </w:rPr>
          <w:instrText xml:space="preserve"> PAGEREF _Toc488742030 \h </w:instrText>
        </w:r>
        <w:r w:rsidR="002E1CE9">
          <w:rPr>
            <w:noProof/>
            <w:webHidden/>
          </w:rPr>
        </w:r>
        <w:r w:rsidR="002E1CE9">
          <w:rPr>
            <w:noProof/>
            <w:webHidden/>
          </w:rPr>
          <w:fldChar w:fldCharType="separate"/>
        </w:r>
        <w:r w:rsidR="0077432E">
          <w:rPr>
            <w:noProof/>
            <w:webHidden/>
          </w:rPr>
          <w:t>228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31" w:history="1">
        <w:r w:rsidR="002E1CE9" w:rsidRPr="00E91883">
          <w:rPr>
            <w:rStyle w:val="Hyperlink"/>
            <w:noProof/>
          </w:rPr>
          <w:t>Figure A-20: Frequency of and Associated Energy Savings by M&amp;V Approach – Government and Institutional Program</w:t>
        </w:r>
        <w:r w:rsidR="002E1CE9">
          <w:rPr>
            <w:noProof/>
            <w:webHidden/>
          </w:rPr>
          <w:tab/>
        </w:r>
        <w:r w:rsidR="002E1CE9">
          <w:rPr>
            <w:noProof/>
            <w:webHidden/>
          </w:rPr>
          <w:fldChar w:fldCharType="begin"/>
        </w:r>
        <w:r w:rsidR="002E1CE9">
          <w:rPr>
            <w:noProof/>
            <w:webHidden/>
          </w:rPr>
          <w:instrText xml:space="preserve"> PAGEREF _Toc488742031 \h </w:instrText>
        </w:r>
        <w:r w:rsidR="002E1CE9">
          <w:rPr>
            <w:noProof/>
            <w:webHidden/>
          </w:rPr>
        </w:r>
        <w:r w:rsidR="002E1CE9">
          <w:rPr>
            <w:noProof/>
            <w:webHidden/>
          </w:rPr>
          <w:fldChar w:fldCharType="separate"/>
        </w:r>
        <w:r w:rsidR="0077432E">
          <w:rPr>
            <w:noProof/>
            <w:webHidden/>
          </w:rPr>
          <w:t>228</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32" w:history="1">
        <w:r w:rsidR="002E1CE9" w:rsidRPr="00E91883">
          <w:rPr>
            <w:rStyle w:val="Hyperlink"/>
            <w:noProof/>
          </w:rPr>
          <w:t>Figure A-21: Frequency of and Associated Energy Savings by M&amp;V Approach – SEI Program</w:t>
        </w:r>
        <w:r w:rsidR="002E1CE9">
          <w:rPr>
            <w:noProof/>
            <w:webHidden/>
          </w:rPr>
          <w:tab/>
        </w:r>
        <w:r w:rsidR="002E1CE9">
          <w:rPr>
            <w:noProof/>
            <w:webHidden/>
          </w:rPr>
          <w:fldChar w:fldCharType="begin"/>
        </w:r>
        <w:r w:rsidR="002E1CE9">
          <w:rPr>
            <w:noProof/>
            <w:webHidden/>
          </w:rPr>
          <w:instrText xml:space="preserve"> PAGEREF _Toc488742032 \h </w:instrText>
        </w:r>
        <w:r w:rsidR="002E1CE9">
          <w:rPr>
            <w:noProof/>
            <w:webHidden/>
          </w:rPr>
        </w:r>
        <w:r w:rsidR="002E1CE9">
          <w:rPr>
            <w:noProof/>
            <w:webHidden/>
          </w:rPr>
          <w:fldChar w:fldCharType="separate"/>
        </w:r>
        <w:r w:rsidR="0077432E">
          <w:rPr>
            <w:noProof/>
            <w:webHidden/>
          </w:rPr>
          <w:t>250</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33" w:history="1">
        <w:r w:rsidR="002E1CE9" w:rsidRPr="00E91883">
          <w:rPr>
            <w:rStyle w:val="Hyperlink"/>
            <w:noProof/>
          </w:rPr>
          <w:t>Figure A-22: Frequency of and Associated Energy Savings by M&amp;V Approach – SCI Program</w:t>
        </w:r>
        <w:r w:rsidR="002E1CE9">
          <w:rPr>
            <w:noProof/>
            <w:webHidden/>
          </w:rPr>
          <w:tab/>
        </w:r>
        <w:r w:rsidR="002E1CE9">
          <w:rPr>
            <w:noProof/>
            <w:webHidden/>
          </w:rPr>
          <w:fldChar w:fldCharType="begin"/>
        </w:r>
        <w:r w:rsidR="002E1CE9">
          <w:rPr>
            <w:noProof/>
            <w:webHidden/>
          </w:rPr>
          <w:instrText xml:space="preserve"> PAGEREF _Toc488742033 \h </w:instrText>
        </w:r>
        <w:r w:rsidR="002E1CE9">
          <w:rPr>
            <w:noProof/>
            <w:webHidden/>
          </w:rPr>
        </w:r>
        <w:r w:rsidR="002E1CE9">
          <w:rPr>
            <w:noProof/>
            <w:webHidden/>
          </w:rPr>
          <w:fldChar w:fldCharType="separate"/>
        </w:r>
        <w:r w:rsidR="0077432E">
          <w:rPr>
            <w:noProof/>
            <w:webHidden/>
          </w:rPr>
          <w:t>251</w:t>
        </w:r>
        <w:r w:rsidR="002E1CE9">
          <w:rPr>
            <w:noProof/>
            <w:webHidden/>
          </w:rPr>
          <w:fldChar w:fldCharType="end"/>
        </w:r>
      </w:hyperlink>
    </w:p>
    <w:p w:rsidR="002E1CE9" w:rsidRDefault="007973A4">
      <w:pPr>
        <w:pStyle w:val="TableofFigures"/>
        <w:tabs>
          <w:tab w:val="right" w:leader="dot" w:pos="9350"/>
        </w:tabs>
        <w:rPr>
          <w:rFonts w:asciiTheme="minorHAnsi" w:eastAsiaTheme="minorEastAsia" w:hAnsiTheme="minorHAnsi" w:cstheme="minorBidi"/>
          <w:noProof/>
          <w:color w:val="auto"/>
          <w:sz w:val="22"/>
        </w:rPr>
      </w:pPr>
      <w:hyperlink w:anchor="_Toc488742034" w:history="1">
        <w:r w:rsidR="002E1CE9" w:rsidRPr="00E91883">
          <w:rPr>
            <w:rStyle w:val="Hyperlink"/>
            <w:noProof/>
          </w:rPr>
          <w:t>Figure A-23: Frequency of and Associated Energy Savings by M&amp;V Approach – Custom Program</w:t>
        </w:r>
        <w:r w:rsidR="002E1CE9">
          <w:rPr>
            <w:noProof/>
            <w:webHidden/>
          </w:rPr>
          <w:tab/>
        </w:r>
        <w:r w:rsidR="002E1CE9">
          <w:rPr>
            <w:noProof/>
            <w:webHidden/>
          </w:rPr>
          <w:fldChar w:fldCharType="begin"/>
        </w:r>
        <w:r w:rsidR="002E1CE9">
          <w:rPr>
            <w:noProof/>
            <w:webHidden/>
          </w:rPr>
          <w:instrText xml:space="preserve"> PAGEREF _Toc488742034 \h </w:instrText>
        </w:r>
        <w:r w:rsidR="002E1CE9">
          <w:rPr>
            <w:noProof/>
            <w:webHidden/>
          </w:rPr>
        </w:r>
        <w:r w:rsidR="002E1CE9">
          <w:rPr>
            <w:noProof/>
            <w:webHidden/>
          </w:rPr>
          <w:fldChar w:fldCharType="separate"/>
        </w:r>
        <w:r w:rsidR="0077432E">
          <w:rPr>
            <w:noProof/>
            <w:webHidden/>
          </w:rPr>
          <w:t>286</w:t>
        </w:r>
        <w:r w:rsidR="002E1CE9">
          <w:rPr>
            <w:noProof/>
            <w:webHidden/>
          </w:rPr>
          <w:fldChar w:fldCharType="end"/>
        </w:r>
      </w:hyperlink>
    </w:p>
    <w:p w:rsidR="00344D11" w:rsidRDefault="001D0677" w:rsidP="0022599A">
      <w:pPr>
        <w:spacing w:after="60"/>
      </w:pPr>
      <w:r w:rsidRPr="0011636D">
        <w:fldChar w:fldCharType="end"/>
      </w:r>
    </w:p>
    <w:p w:rsidR="0078040B" w:rsidRPr="00D1458A" w:rsidRDefault="00D1458A" w:rsidP="00D1458A">
      <w:pPr>
        <w:spacing w:after="120"/>
        <w:jc w:val="left"/>
        <w:rPr>
          <w:rFonts w:ascii="Century Gothic" w:hAnsi="Century Gothic"/>
          <w:b/>
        </w:rPr>
      </w:pPr>
      <w:r w:rsidRPr="00D1458A">
        <w:rPr>
          <w:rFonts w:ascii="Century Gothic" w:hAnsi="Century Gothic"/>
          <w:b/>
          <w:sz w:val="20"/>
        </w:rPr>
        <w:br w:type="page"/>
      </w:r>
    </w:p>
    <w:p w:rsidR="0078040B" w:rsidRPr="00B81A2F" w:rsidRDefault="00B81A2F" w:rsidP="00AD53DF">
      <w:pPr>
        <w:shd w:val="clear" w:color="auto" w:fill="448A99"/>
        <w:ind w:left="-90"/>
        <w:jc w:val="right"/>
        <w:rPr>
          <w:rFonts w:ascii="Century Gothic" w:hAnsi="Century Gothic"/>
          <w:caps/>
          <w:spacing w:val="-12"/>
          <w:sz w:val="20"/>
        </w:rPr>
      </w:pPr>
      <w:r w:rsidRPr="00B81A2F">
        <w:rPr>
          <w:rFonts w:ascii="Century Gothic" w:hAnsi="Century Gothic"/>
          <w:caps/>
          <w:color w:val="FFFFFF" w:themeColor="background1"/>
          <w:spacing w:val="-12"/>
          <w:sz w:val="28"/>
          <w:shd w:val="clear" w:color="auto" w:fill="448A99"/>
        </w:rPr>
        <w:lastRenderedPageBreak/>
        <w:t>ACRONYMS</w:t>
      </w:r>
    </w:p>
    <w:tbl>
      <w:tblPr>
        <w:tblW w:w="9450" w:type="dxa"/>
        <w:tblInd w:w="-90" w:type="dxa"/>
        <w:tblLook w:val="04A0" w:firstRow="1" w:lastRow="0" w:firstColumn="1" w:lastColumn="0" w:noHBand="0" w:noVBand="1"/>
      </w:tblPr>
      <w:tblGrid>
        <w:gridCol w:w="4572"/>
        <w:gridCol w:w="4878"/>
      </w:tblGrid>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 xml:space="preserve">AHU: </w:t>
            </w:r>
            <w:r w:rsidRPr="005B38FC">
              <w:rPr>
                <w:bCs/>
                <w:color w:val="000000"/>
                <w:sz w:val="18"/>
                <w:szCs w:val="18"/>
              </w:rPr>
              <w:t>Air handler unit</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MWh</w:t>
            </w:r>
            <w:r w:rsidRPr="005B38FC">
              <w:rPr>
                <w:color w:val="000000"/>
                <w:sz w:val="18"/>
                <w:szCs w:val="18"/>
              </w:rPr>
              <w:t>: Megawatt-hour</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 xml:space="preserve">ARP: </w:t>
            </w:r>
            <w:r w:rsidRPr="005B38FC">
              <w:rPr>
                <w:bCs/>
                <w:color w:val="000000"/>
                <w:sz w:val="18"/>
                <w:szCs w:val="18"/>
              </w:rPr>
              <w:t>Appliance Recycling Program</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NP</w:t>
            </w:r>
            <w:r w:rsidRPr="005B38FC">
              <w:rPr>
                <w:color w:val="000000"/>
                <w:sz w:val="18"/>
                <w:szCs w:val="18"/>
              </w:rPr>
              <w:t>: Non-Profit</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ASHP</w:t>
            </w:r>
            <w:r w:rsidRPr="005B38FC">
              <w:rPr>
                <w:bCs/>
                <w:color w:val="000000"/>
                <w:sz w:val="18"/>
                <w:szCs w:val="18"/>
              </w:rPr>
              <w:t>: Air-source heat pump</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NPV</w:t>
            </w:r>
            <w:r w:rsidRPr="005B38FC">
              <w:rPr>
                <w:color w:val="000000"/>
                <w:sz w:val="18"/>
                <w:szCs w:val="18"/>
              </w:rPr>
              <w:t>: Net Present Value</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Cs/>
                <w:color w:val="000000"/>
                <w:sz w:val="18"/>
                <w:szCs w:val="18"/>
              </w:rPr>
            </w:pPr>
            <w:r w:rsidRPr="005B38FC">
              <w:rPr>
                <w:b/>
                <w:bCs/>
                <w:color w:val="000000"/>
                <w:sz w:val="18"/>
                <w:szCs w:val="18"/>
              </w:rPr>
              <w:t>CF</w:t>
            </w:r>
            <w:r w:rsidRPr="005B38FC">
              <w:rPr>
                <w:bCs/>
                <w:color w:val="000000"/>
                <w:sz w:val="18"/>
                <w:szCs w:val="18"/>
              </w:rPr>
              <w:t>: Coincidence Factor</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NTG</w:t>
            </w:r>
            <w:r w:rsidRPr="005B38FC">
              <w:rPr>
                <w:color w:val="000000"/>
                <w:sz w:val="18"/>
                <w:szCs w:val="18"/>
              </w:rPr>
              <w:t>: Net-to-Gross</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Cs/>
                <w:color w:val="000000"/>
                <w:sz w:val="18"/>
                <w:szCs w:val="18"/>
              </w:rPr>
            </w:pPr>
            <w:r w:rsidRPr="005B38FC">
              <w:rPr>
                <w:b/>
                <w:bCs/>
                <w:color w:val="000000"/>
                <w:sz w:val="18"/>
                <w:szCs w:val="18"/>
              </w:rPr>
              <w:t>C/I</w:t>
            </w:r>
            <w:r w:rsidRPr="005B38FC">
              <w:rPr>
                <w:color w:val="000000"/>
                <w:sz w:val="18"/>
                <w:szCs w:val="18"/>
              </w:rPr>
              <w:t>: Commercial and Industrial</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NTGR:</w:t>
            </w:r>
            <w:r w:rsidRPr="005B38FC">
              <w:rPr>
                <w:color w:val="000000"/>
                <w:sz w:val="18"/>
                <w:szCs w:val="18"/>
              </w:rPr>
              <w:t xml:space="preserve"> Net-to-Gross Ratio</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Cs/>
                <w:color w:val="000000"/>
                <w:sz w:val="18"/>
                <w:szCs w:val="18"/>
              </w:rPr>
            </w:pPr>
            <w:r w:rsidRPr="005B38FC">
              <w:rPr>
                <w:b/>
                <w:bCs/>
                <w:color w:val="000000"/>
                <w:sz w:val="18"/>
                <w:szCs w:val="18"/>
              </w:rPr>
              <w:t>CL:</w:t>
            </w:r>
            <w:r w:rsidRPr="005B38FC">
              <w:rPr>
                <w:bCs/>
                <w:color w:val="000000"/>
                <w:sz w:val="18"/>
                <w:szCs w:val="18"/>
              </w:rPr>
              <w:t xml:space="preserve"> Confidence Level</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PAPP</w:t>
            </w:r>
            <w:r w:rsidRPr="005B38FC">
              <w:rPr>
                <w:color w:val="000000"/>
                <w:sz w:val="18"/>
                <w:szCs w:val="18"/>
              </w:rPr>
              <w:t>: Public Agency Partnership Program</w:t>
            </w:r>
          </w:p>
        </w:tc>
      </w:tr>
      <w:tr w:rsidR="00E7173E" w:rsidRPr="005B38FC" w:rsidTr="005B38FC">
        <w:trPr>
          <w:trHeight w:val="537"/>
        </w:trPr>
        <w:tc>
          <w:tcPr>
            <w:tcW w:w="4572" w:type="dxa"/>
            <w:tcBorders>
              <w:top w:val="nil"/>
              <w:left w:val="nil"/>
              <w:bottom w:val="nil"/>
              <w:right w:val="nil"/>
            </w:tcBorders>
            <w:shd w:val="clear" w:color="000000" w:fill="FFFFFF"/>
            <w:vAlign w:val="center"/>
            <w:hideMark/>
          </w:tcPr>
          <w:p w:rsidR="00D66F7A" w:rsidRPr="005B38FC" w:rsidRDefault="00D66F7A" w:rsidP="005B38FC">
            <w:pPr>
              <w:jc w:val="left"/>
              <w:rPr>
                <w:b/>
                <w:bCs/>
                <w:strike/>
                <w:color w:val="000000"/>
                <w:sz w:val="18"/>
                <w:szCs w:val="18"/>
              </w:rPr>
            </w:pPr>
            <w:r w:rsidRPr="005B38FC">
              <w:rPr>
                <w:b/>
                <w:bCs/>
                <w:color w:val="000000"/>
                <w:sz w:val="18"/>
                <w:szCs w:val="18"/>
              </w:rPr>
              <w:t>Cv</w:t>
            </w:r>
            <w:r w:rsidRPr="005B38FC">
              <w:rPr>
                <w:color w:val="000000"/>
                <w:sz w:val="18"/>
                <w:szCs w:val="18"/>
              </w:rPr>
              <w:t>: Coefficient of Variation</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PA</w:t>
            </w:r>
            <w:r w:rsidRPr="005B38FC">
              <w:rPr>
                <w:color w:val="000000"/>
                <w:sz w:val="18"/>
                <w:szCs w:val="18"/>
              </w:rPr>
              <w:t xml:space="preserve"> </w:t>
            </w:r>
            <w:r w:rsidRPr="005B38FC">
              <w:rPr>
                <w:b/>
                <w:bCs/>
                <w:color w:val="000000"/>
                <w:sz w:val="18"/>
                <w:szCs w:val="18"/>
              </w:rPr>
              <w:t>PUC or PUC</w:t>
            </w:r>
            <w:r w:rsidRPr="005B38FC">
              <w:rPr>
                <w:color w:val="000000"/>
                <w:sz w:val="18"/>
                <w:szCs w:val="18"/>
              </w:rPr>
              <w:t>: Pennsylvania Public Utility Commission</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Cs/>
                <w:color w:val="000000"/>
                <w:sz w:val="18"/>
                <w:szCs w:val="18"/>
              </w:rPr>
            </w:pPr>
            <w:r w:rsidRPr="005B38FC">
              <w:rPr>
                <w:b/>
                <w:bCs/>
                <w:color w:val="000000"/>
                <w:sz w:val="18"/>
                <w:szCs w:val="18"/>
              </w:rPr>
              <w:t>Commission</w:t>
            </w:r>
            <w:r w:rsidRPr="005B38FC">
              <w:rPr>
                <w:color w:val="000000"/>
                <w:sz w:val="18"/>
                <w:szCs w:val="18"/>
              </w:rPr>
              <w:t>: Pennsylvania Public Utility Commission</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PEG</w:t>
            </w:r>
            <w:r w:rsidRPr="005B38FC">
              <w:rPr>
                <w:color w:val="000000"/>
                <w:sz w:val="18"/>
                <w:szCs w:val="18"/>
              </w:rPr>
              <w:t>: Program Evaluation Group</w:t>
            </w:r>
          </w:p>
        </w:tc>
      </w:tr>
      <w:tr w:rsidR="00E7173E" w:rsidRPr="005B38FC" w:rsidTr="005B38FC">
        <w:trPr>
          <w:trHeight w:val="537"/>
        </w:trPr>
        <w:tc>
          <w:tcPr>
            <w:tcW w:w="4572" w:type="dxa"/>
            <w:tcBorders>
              <w:top w:val="nil"/>
              <w:left w:val="nil"/>
              <w:bottom w:val="nil"/>
              <w:right w:val="nil"/>
            </w:tcBorders>
            <w:shd w:val="clear" w:color="000000" w:fill="FFFFFF"/>
            <w:vAlign w:val="center"/>
            <w:hideMark/>
          </w:tcPr>
          <w:p w:rsidR="00D66F7A" w:rsidRPr="005B38FC" w:rsidRDefault="00D66F7A" w:rsidP="005B38FC">
            <w:pPr>
              <w:jc w:val="left"/>
              <w:rPr>
                <w:b/>
                <w:bCs/>
                <w:color w:val="000000"/>
                <w:sz w:val="18"/>
                <w:szCs w:val="18"/>
              </w:rPr>
            </w:pPr>
            <w:r w:rsidRPr="005B38FC">
              <w:rPr>
                <w:b/>
                <w:bCs/>
                <w:color w:val="000000"/>
                <w:sz w:val="18"/>
                <w:szCs w:val="18"/>
              </w:rPr>
              <w:t>CO</w:t>
            </w:r>
            <w:r w:rsidRPr="005B38FC">
              <w:rPr>
                <w:bCs/>
                <w:color w:val="000000"/>
                <w:sz w:val="18"/>
                <w:szCs w:val="18"/>
              </w:rPr>
              <w:t xml:space="preserve">: Carryover </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Phase II</w:t>
            </w:r>
            <w:r w:rsidRPr="005B38FC">
              <w:rPr>
                <w:color w:val="000000"/>
                <w:sz w:val="18"/>
                <w:szCs w:val="18"/>
              </w:rPr>
              <w:t>: Cumulative Program/Portfolio Phase II Inception to Date Reported Gross Savings</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CSP</w:t>
            </w:r>
            <w:r w:rsidRPr="005B38FC">
              <w:rPr>
                <w:bCs/>
                <w:color w:val="000000"/>
                <w:sz w:val="18"/>
                <w:szCs w:val="18"/>
              </w:rPr>
              <w:t>: Conservation Service Provider</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PMRS</w:t>
            </w:r>
            <w:r w:rsidRPr="005B38FC">
              <w:rPr>
                <w:color w:val="000000"/>
                <w:sz w:val="18"/>
                <w:szCs w:val="18"/>
              </w:rPr>
              <w:t>: Program Management and Reporting System</w:t>
            </w:r>
          </w:p>
        </w:tc>
      </w:tr>
      <w:tr w:rsidR="00E7173E" w:rsidRPr="005B38FC" w:rsidTr="005B38FC">
        <w:trPr>
          <w:trHeight w:val="537"/>
        </w:trPr>
        <w:tc>
          <w:tcPr>
            <w:tcW w:w="4572" w:type="dxa"/>
            <w:tcBorders>
              <w:top w:val="nil"/>
              <w:left w:val="nil"/>
              <w:bottom w:val="nil"/>
              <w:right w:val="nil"/>
            </w:tcBorders>
            <w:shd w:val="clear" w:color="000000" w:fill="FFFFFF"/>
            <w:vAlign w:val="center"/>
            <w:hideMark/>
          </w:tcPr>
          <w:p w:rsidR="00D66F7A" w:rsidRPr="005B38FC" w:rsidRDefault="00D66F7A" w:rsidP="005B38FC">
            <w:pPr>
              <w:jc w:val="left"/>
              <w:rPr>
                <w:b/>
                <w:bCs/>
                <w:strike/>
                <w:color w:val="000000"/>
                <w:sz w:val="18"/>
                <w:szCs w:val="18"/>
              </w:rPr>
            </w:pPr>
            <w:r w:rsidRPr="005B38FC">
              <w:rPr>
                <w:b/>
                <w:bCs/>
                <w:color w:val="000000"/>
                <w:sz w:val="18"/>
                <w:szCs w:val="18"/>
              </w:rPr>
              <w:t>CSUP</w:t>
            </w:r>
            <w:r w:rsidRPr="005B38FC">
              <w:rPr>
                <w:bCs/>
                <w:color w:val="000000"/>
                <w:sz w:val="18"/>
                <w:szCs w:val="18"/>
              </w:rPr>
              <w:t xml:space="preserve">: Commercial Sector Umbrella Program </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color w:val="000000"/>
                <w:sz w:val="18"/>
                <w:szCs w:val="18"/>
              </w:rPr>
            </w:pPr>
            <w:r w:rsidRPr="005B38FC">
              <w:rPr>
                <w:b/>
                <w:bCs/>
                <w:color w:val="000000"/>
                <w:sz w:val="18"/>
                <w:szCs w:val="18"/>
              </w:rPr>
              <w:t>PY</w:t>
            </w:r>
            <w:r w:rsidRPr="005B38FC">
              <w:rPr>
                <w:color w:val="000000"/>
                <w:sz w:val="18"/>
                <w:szCs w:val="18"/>
              </w:rPr>
              <w:t>: Program Year</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Cs/>
                <w:color w:val="000000"/>
                <w:sz w:val="18"/>
                <w:szCs w:val="18"/>
              </w:rPr>
            </w:pPr>
            <w:r w:rsidRPr="005B38FC">
              <w:rPr>
                <w:b/>
                <w:bCs/>
                <w:color w:val="000000"/>
                <w:sz w:val="18"/>
                <w:szCs w:val="18"/>
              </w:rPr>
              <w:t xml:space="preserve">DEER: </w:t>
            </w:r>
            <w:r w:rsidRPr="005B38FC">
              <w:rPr>
                <w:color w:val="000000"/>
                <w:sz w:val="18"/>
                <w:szCs w:val="18"/>
              </w:rPr>
              <w:t>Database for Energy Efficient Resources</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PY5</w:t>
            </w:r>
            <w:r w:rsidRPr="005B38FC">
              <w:rPr>
                <w:color w:val="000000"/>
                <w:sz w:val="18"/>
                <w:szCs w:val="18"/>
              </w:rPr>
              <w:t>: Program Year</w:t>
            </w:r>
            <w:r w:rsidR="00FB0EFE" w:rsidRPr="005B38FC">
              <w:rPr>
                <w:color w:val="000000"/>
                <w:sz w:val="18"/>
                <w:szCs w:val="18"/>
              </w:rPr>
              <w:t xml:space="preserve"> </w:t>
            </w:r>
            <w:r w:rsidR="00EE5E51" w:rsidRPr="005B38FC">
              <w:rPr>
                <w:color w:val="000000"/>
                <w:sz w:val="18"/>
                <w:szCs w:val="18"/>
              </w:rPr>
              <w:t>5</w:t>
            </w:r>
            <w:r w:rsidRPr="005B38FC">
              <w:rPr>
                <w:color w:val="000000"/>
                <w:sz w:val="18"/>
                <w:szCs w:val="18"/>
              </w:rPr>
              <w:t xml:space="preserve">, from June 1, 2013 to May 31, 2014 </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DR</w:t>
            </w:r>
            <w:r w:rsidRPr="005B38FC">
              <w:rPr>
                <w:color w:val="000000"/>
                <w:sz w:val="18"/>
                <w:szCs w:val="18"/>
              </w:rPr>
              <w:t>: Demand Response</w:t>
            </w:r>
          </w:p>
        </w:tc>
        <w:tc>
          <w:tcPr>
            <w:tcW w:w="4878" w:type="dxa"/>
            <w:tcBorders>
              <w:top w:val="nil"/>
              <w:left w:val="nil"/>
              <w:bottom w:val="nil"/>
              <w:right w:val="nil"/>
            </w:tcBorders>
            <w:shd w:val="clear" w:color="000000" w:fill="FFFFFF"/>
            <w:vAlign w:val="center"/>
          </w:tcPr>
          <w:p w:rsidR="00D66F7A" w:rsidRPr="005B38FC" w:rsidRDefault="00D66F7A" w:rsidP="005B38FC">
            <w:pPr>
              <w:jc w:val="left"/>
              <w:rPr>
                <w:color w:val="000000"/>
                <w:sz w:val="18"/>
                <w:szCs w:val="18"/>
              </w:rPr>
            </w:pPr>
            <w:r w:rsidRPr="005B38FC">
              <w:rPr>
                <w:b/>
                <w:bCs/>
                <w:color w:val="000000"/>
                <w:sz w:val="18"/>
                <w:szCs w:val="18"/>
              </w:rPr>
              <w:t>PY6</w:t>
            </w:r>
            <w:r w:rsidRPr="005B38FC">
              <w:rPr>
                <w:color w:val="000000"/>
                <w:sz w:val="18"/>
                <w:szCs w:val="18"/>
              </w:rPr>
              <w:t xml:space="preserve">: Program Year </w:t>
            </w:r>
            <w:r w:rsidR="00EE5E51" w:rsidRPr="005B38FC">
              <w:rPr>
                <w:color w:val="000000"/>
                <w:sz w:val="18"/>
                <w:szCs w:val="18"/>
              </w:rPr>
              <w:t>6</w:t>
            </w:r>
            <w:r w:rsidRPr="005B38FC">
              <w:rPr>
                <w:color w:val="000000"/>
                <w:sz w:val="18"/>
                <w:szCs w:val="18"/>
              </w:rPr>
              <w:t>, from June 1, 2014 to May 31, 2015</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D66F7A" w:rsidRPr="005B38FC" w:rsidRDefault="00D66F7A" w:rsidP="005B38FC">
            <w:pPr>
              <w:jc w:val="left"/>
              <w:rPr>
                <w:b/>
                <w:bCs/>
                <w:color w:val="000000"/>
                <w:sz w:val="18"/>
                <w:szCs w:val="18"/>
              </w:rPr>
            </w:pPr>
            <w:r w:rsidRPr="005B38FC">
              <w:rPr>
                <w:b/>
                <w:bCs/>
                <w:color w:val="000000"/>
                <w:sz w:val="18"/>
                <w:szCs w:val="18"/>
              </w:rPr>
              <w:t>DSM</w:t>
            </w:r>
            <w:r w:rsidRPr="005B38FC">
              <w:rPr>
                <w:color w:val="000000"/>
                <w:sz w:val="18"/>
                <w:szCs w:val="18"/>
              </w:rPr>
              <w:t>: Demand Side Management</w:t>
            </w:r>
          </w:p>
        </w:tc>
        <w:tc>
          <w:tcPr>
            <w:tcW w:w="4878" w:type="dxa"/>
            <w:tcBorders>
              <w:top w:val="nil"/>
              <w:left w:val="nil"/>
              <w:bottom w:val="nil"/>
              <w:right w:val="nil"/>
            </w:tcBorders>
            <w:shd w:val="clear" w:color="000000" w:fill="FFFFFF"/>
            <w:vAlign w:val="center"/>
          </w:tcPr>
          <w:p w:rsidR="00D66F7A" w:rsidRPr="005B38FC" w:rsidRDefault="005B38FC" w:rsidP="005B38FC">
            <w:pPr>
              <w:jc w:val="left"/>
              <w:rPr>
                <w:b/>
                <w:bCs/>
                <w:color w:val="000000"/>
                <w:sz w:val="18"/>
                <w:szCs w:val="18"/>
              </w:rPr>
            </w:pPr>
            <w:r w:rsidRPr="005B38FC">
              <w:rPr>
                <w:b/>
                <w:color w:val="000000"/>
                <w:sz w:val="18"/>
                <w:szCs w:val="18"/>
              </w:rPr>
              <w:t>PY7</w:t>
            </w:r>
            <w:r w:rsidRPr="005B38FC">
              <w:rPr>
                <w:color w:val="000000"/>
                <w:sz w:val="18"/>
                <w:szCs w:val="18"/>
              </w:rPr>
              <w:t>: Program Year 7, from June 1, 2015 to May 31, 2016</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jc w:val="left"/>
              <w:rPr>
                <w:b/>
                <w:bCs/>
                <w:strike/>
                <w:color w:val="000000"/>
                <w:sz w:val="18"/>
                <w:szCs w:val="18"/>
              </w:rPr>
            </w:pPr>
            <w:r w:rsidRPr="005B38FC">
              <w:rPr>
                <w:b/>
                <w:bCs/>
                <w:color w:val="000000"/>
                <w:sz w:val="18"/>
                <w:szCs w:val="18"/>
              </w:rPr>
              <w:t xml:space="preserve">ECM: </w:t>
            </w:r>
            <w:r w:rsidRPr="005B38FC">
              <w:rPr>
                <w:color w:val="000000"/>
                <w:sz w:val="18"/>
                <w:szCs w:val="18"/>
              </w:rPr>
              <w:t>Electronically Commutated Motors</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PYTD</w:t>
            </w:r>
            <w:r w:rsidRPr="005B38FC">
              <w:rPr>
                <w:color w:val="000000"/>
                <w:sz w:val="18"/>
                <w:szCs w:val="18"/>
              </w:rPr>
              <w:t>: Program Year to Date</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jc w:val="left"/>
              <w:rPr>
                <w:b/>
                <w:color w:val="000000"/>
                <w:sz w:val="18"/>
                <w:szCs w:val="18"/>
              </w:rPr>
            </w:pPr>
            <w:r w:rsidRPr="005B38FC">
              <w:rPr>
                <w:b/>
                <w:bCs/>
                <w:color w:val="000000"/>
                <w:sz w:val="18"/>
                <w:szCs w:val="18"/>
              </w:rPr>
              <w:t>EDC</w:t>
            </w:r>
            <w:r w:rsidRPr="005B38FC">
              <w:rPr>
                <w:color w:val="000000"/>
                <w:sz w:val="18"/>
                <w:szCs w:val="18"/>
              </w:rPr>
              <w:t>: Electric Distribution Company</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PYX QX</w:t>
            </w:r>
            <w:r w:rsidRPr="005B38FC">
              <w:rPr>
                <w:color w:val="000000"/>
                <w:sz w:val="18"/>
                <w:szCs w:val="18"/>
              </w:rPr>
              <w:t>: Program Year X, Quarter X</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EE</w:t>
            </w:r>
            <w:r w:rsidRPr="005B38FC">
              <w:rPr>
                <w:color w:val="000000"/>
                <w:sz w:val="18"/>
                <w:szCs w:val="18"/>
              </w:rPr>
              <w:t>: Energy Efficiency</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RARP</w:t>
            </w:r>
            <w:r w:rsidRPr="005B38FC">
              <w:rPr>
                <w:color w:val="000000"/>
                <w:sz w:val="18"/>
                <w:szCs w:val="18"/>
              </w:rPr>
              <w:t>: Residential Appliance Recycling Program</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jc w:val="left"/>
              <w:rPr>
                <w:b/>
                <w:strike/>
                <w:color w:val="000000"/>
                <w:sz w:val="18"/>
                <w:szCs w:val="18"/>
              </w:rPr>
            </w:pPr>
            <w:r w:rsidRPr="005B38FC">
              <w:rPr>
                <w:b/>
                <w:bCs/>
                <w:color w:val="000000"/>
                <w:sz w:val="18"/>
                <w:szCs w:val="18"/>
              </w:rPr>
              <w:t>EE&amp;C</w:t>
            </w:r>
            <w:r w:rsidRPr="005B38FC">
              <w:rPr>
                <w:color w:val="000000"/>
                <w:sz w:val="18"/>
                <w:szCs w:val="18"/>
              </w:rPr>
              <w:t>: Energy Efficiency and Conservation</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REEP</w:t>
            </w:r>
            <w:r w:rsidRPr="005B38FC">
              <w:rPr>
                <w:color w:val="000000"/>
                <w:sz w:val="18"/>
                <w:szCs w:val="18"/>
              </w:rPr>
              <w:t>: Residential Energy Efficiency Program</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jc w:val="left"/>
              <w:rPr>
                <w:b/>
                <w:color w:val="000000"/>
                <w:sz w:val="18"/>
                <w:szCs w:val="18"/>
              </w:rPr>
            </w:pPr>
            <w:r w:rsidRPr="005B38FC">
              <w:rPr>
                <w:b/>
                <w:bCs/>
                <w:color w:val="000000"/>
                <w:sz w:val="18"/>
                <w:szCs w:val="18"/>
              </w:rPr>
              <w:t>EER</w:t>
            </w:r>
            <w:r w:rsidRPr="005B38FC">
              <w:rPr>
                <w:color w:val="000000"/>
                <w:sz w:val="18"/>
                <w:szCs w:val="18"/>
              </w:rPr>
              <w:t xml:space="preserve">: Energy Efficient Ratio </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 xml:space="preserve">RG: </w:t>
            </w:r>
            <w:r w:rsidRPr="005B38FC">
              <w:rPr>
                <w:bCs/>
                <w:color w:val="000000"/>
                <w:sz w:val="18"/>
                <w:szCs w:val="18"/>
              </w:rPr>
              <w:t>Reported Gross Impact Savings</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jc w:val="left"/>
              <w:rPr>
                <w:b/>
                <w:bCs/>
                <w:color w:val="000000"/>
                <w:sz w:val="18"/>
                <w:szCs w:val="18"/>
              </w:rPr>
            </w:pPr>
            <w:r w:rsidRPr="005B38FC">
              <w:rPr>
                <w:b/>
                <w:bCs/>
                <w:color w:val="000000"/>
                <w:sz w:val="18"/>
                <w:szCs w:val="18"/>
              </w:rPr>
              <w:t>EISA</w:t>
            </w:r>
            <w:r w:rsidRPr="005B38FC">
              <w:rPr>
                <w:color w:val="000000"/>
                <w:sz w:val="18"/>
                <w:szCs w:val="18"/>
              </w:rPr>
              <w:t>: Energy Independence and Security Act</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color w:val="000000"/>
                <w:sz w:val="18"/>
                <w:szCs w:val="18"/>
              </w:rPr>
            </w:pPr>
            <w:r w:rsidRPr="005B38FC">
              <w:rPr>
                <w:b/>
                <w:bCs/>
                <w:color w:val="000000"/>
                <w:sz w:val="18"/>
                <w:szCs w:val="18"/>
              </w:rPr>
              <w:t>RHC</w:t>
            </w:r>
            <w:r w:rsidRPr="005B38FC">
              <w:rPr>
                <w:color w:val="000000"/>
                <w:sz w:val="18"/>
                <w:szCs w:val="18"/>
              </w:rPr>
              <w:t>: Residential Home Comfort Program</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EFLH</w:t>
            </w:r>
            <w:r w:rsidRPr="005B38FC">
              <w:rPr>
                <w:color w:val="000000"/>
                <w:sz w:val="18"/>
                <w:szCs w:val="18"/>
              </w:rPr>
              <w:t>: Equivalent Full Load Hours</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color w:val="000000"/>
                <w:sz w:val="18"/>
                <w:szCs w:val="18"/>
              </w:rPr>
            </w:pPr>
            <w:r w:rsidRPr="005B38FC">
              <w:rPr>
                <w:b/>
                <w:bCs/>
                <w:color w:val="000000"/>
                <w:sz w:val="18"/>
                <w:szCs w:val="18"/>
              </w:rPr>
              <w:t>RR</w:t>
            </w:r>
            <w:r w:rsidRPr="005B38FC">
              <w:rPr>
                <w:color w:val="000000"/>
                <w:sz w:val="18"/>
                <w:szCs w:val="18"/>
              </w:rPr>
              <w:t>: Realization Rate</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rPr>
                <w:b/>
                <w:strike/>
                <w:color w:val="000000"/>
                <w:sz w:val="18"/>
                <w:szCs w:val="18"/>
              </w:rPr>
            </w:pPr>
            <w:r w:rsidRPr="005B38FC">
              <w:rPr>
                <w:b/>
                <w:bCs/>
                <w:color w:val="000000"/>
                <w:sz w:val="18"/>
                <w:szCs w:val="18"/>
              </w:rPr>
              <w:t>EM&amp;V</w:t>
            </w:r>
            <w:r w:rsidRPr="005B38FC">
              <w:rPr>
                <w:color w:val="000000"/>
                <w:sz w:val="18"/>
                <w:szCs w:val="18"/>
              </w:rPr>
              <w:t>: Evaluation, Measurement, and Verification</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RRP</w:t>
            </w:r>
            <w:r w:rsidRPr="005B38FC">
              <w:rPr>
                <w:color w:val="000000"/>
                <w:sz w:val="18"/>
                <w:szCs w:val="18"/>
              </w:rPr>
              <w:t>: Residential Retail Program</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rPr>
                <w:b/>
                <w:color w:val="000000"/>
                <w:sz w:val="18"/>
                <w:szCs w:val="18"/>
              </w:rPr>
            </w:pPr>
            <w:r w:rsidRPr="005B38FC">
              <w:rPr>
                <w:b/>
                <w:bCs/>
                <w:color w:val="000000"/>
                <w:sz w:val="18"/>
                <w:szCs w:val="18"/>
              </w:rPr>
              <w:t>EMS:</w:t>
            </w:r>
            <w:r w:rsidRPr="005B38FC">
              <w:rPr>
                <w:color w:val="000000"/>
                <w:sz w:val="18"/>
                <w:szCs w:val="18"/>
              </w:rPr>
              <w:t xml:space="preserve"> Energy Management System</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 xml:space="preserve">SACS: </w:t>
            </w:r>
            <w:r w:rsidRPr="005B38FC">
              <w:rPr>
                <w:color w:val="000000"/>
                <w:sz w:val="18"/>
                <w:szCs w:val="18"/>
              </w:rPr>
              <w:t xml:space="preserve">Smart A/C Saver Program </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rPr>
                <w:b/>
                <w:bCs/>
                <w:color w:val="000000"/>
                <w:sz w:val="18"/>
                <w:szCs w:val="18"/>
              </w:rPr>
            </w:pPr>
            <w:r w:rsidRPr="005B38FC">
              <w:rPr>
                <w:b/>
                <w:bCs/>
                <w:color w:val="000000"/>
                <w:sz w:val="18"/>
                <w:szCs w:val="18"/>
              </w:rPr>
              <w:lastRenderedPageBreak/>
              <w:t>EUL</w:t>
            </w:r>
            <w:r w:rsidRPr="005B38FC">
              <w:rPr>
                <w:color w:val="000000"/>
                <w:sz w:val="18"/>
                <w:szCs w:val="18"/>
              </w:rPr>
              <w:t>: Effective Useful Life</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SAP/SAR</w:t>
            </w:r>
            <w:r w:rsidRPr="005B38FC">
              <w:rPr>
                <w:color w:val="000000"/>
                <w:sz w:val="18"/>
                <w:szCs w:val="18"/>
              </w:rPr>
              <w:t xml:space="preserve">: Smart Appliance Recycling Program </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GNI</w:t>
            </w:r>
            <w:r w:rsidRPr="005B38FC">
              <w:rPr>
                <w:color w:val="000000"/>
                <w:sz w:val="18"/>
                <w:szCs w:val="18"/>
              </w:rPr>
              <w:t>: Government, Non-Profit, Institutional</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 xml:space="preserve">SBR: </w:t>
            </w:r>
            <w:r w:rsidRPr="005B38FC">
              <w:rPr>
                <w:bCs/>
                <w:color w:val="000000"/>
                <w:sz w:val="18"/>
                <w:szCs w:val="18"/>
              </w:rPr>
              <w:t>Smart Builder Rebates Program</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HEEP</w:t>
            </w:r>
            <w:r w:rsidRPr="005B38FC">
              <w:rPr>
                <w:color w:val="000000"/>
                <w:sz w:val="18"/>
                <w:szCs w:val="18"/>
              </w:rPr>
              <w:t>: Healthcare Energy Efficiency Program</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 xml:space="preserve">SBS: </w:t>
            </w:r>
            <w:r w:rsidRPr="005B38FC">
              <w:rPr>
                <w:color w:val="000000"/>
                <w:sz w:val="18"/>
                <w:szCs w:val="18"/>
              </w:rPr>
              <w:t xml:space="preserve">Smart Business Solutions Program </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 xml:space="preserve">HID: </w:t>
            </w:r>
            <w:r w:rsidRPr="005B38FC">
              <w:rPr>
                <w:color w:val="000000"/>
                <w:sz w:val="18"/>
                <w:szCs w:val="18"/>
              </w:rPr>
              <w:t>High-Intensity Discharge Lights</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 xml:space="preserve">SCI: </w:t>
            </w:r>
            <w:r w:rsidRPr="005B38FC">
              <w:rPr>
                <w:color w:val="000000"/>
                <w:sz w:val="18"/>
                <w:szCs w:val="18"/>
              </w:rPr>
              <w:t>Smart Construction Incentives Program</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HOU</w:t>
            </w:r>
            <w:r w:rsidRPr="005B38FC">
              <w:rPr>
                <w:color w:val="000000"/>
                <w:sz w:val="18"/>
                <w:szCs w:val="18"/>
              </w:rPr>
              <w:t>: Hours of Use</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Cs/>
                <w:color w:val="000000"/>
                <w:sz w:val="18"/>
                <w:szCs w:val="18"/>
              </w:rPr>
            </w:pPr>
            <w:r w:rsidRPr="005B38FC">
              <w:rPr>
                <w:b/>
                <w:bCs/>
                <w:color w:val="000000"/>
                <w:sz w:val="18"/>
                <w:szCs w:val="18"/>
              </w:rPr>
              <w:t xml:space="preserve">SEER: </w:t>
            </w:r>
            <w:r w:rsidRPr="005B38FC">
              <w:rPr>
                <w:color w:val="000000"/>
                <w:sz w:val="18"/>
                <w:szCs w:val="18"/>
              </w:rPr>
              <w:t>Seasonal Energy Efficiency Ratio</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 xml:space="preserve">HPWH: </w:t>
            </w:r>
            <w:r w:rsidRPr="005B38FC">
              <w:rPr>
                <w:bCs/>
                <w:color w:val="000000"/>
                <w:sz w:val="18"/>
                <w:szCs w:val="18"/>
              </w:rPr>
              <w:t>Heat Pump Water Heater</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 xml:space="preserve">SEI: </w:t>
            </w:r>
            <w:r w:rsidRPr="005B38FC">
              <w:rPr>
                <w:color w:val="000000"/>
                <w:sz w:val="18"/>
                <w:szCs w:val="18"/>
              </w:rPr>
              <w:t>Smart Equipment Incentives Program</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HSPF</w:t>
            </w:r>
            <w:r w:rsidRPr="005B38FC">
              <w:rPr>
                <w:color w:val="000000"/>
                <w:sz w:val="18"/>
                <w:szCs w:val="18"/>
              </w:rPr>
              <w:t>: Heating Seasonal Performance Factor</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SEM</w:t>
            </w:r>
            <w:r w:rsidRPr="005B38FC">
              <w:rPr>
                <w:color w:val="000000"/>
                <w:sz w:val="18"/>
                <w:szCs w:val="18"/>
              </w:rPr>
              <w:t>: Simple Engineering Model</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color w:val="000000"/>
                <w:sz w:val="18"/>
                <w:szCs w:val="18"/>
              </w:rPr>
            </w:pPr>
            <w:r w:rsidRPr="005B38FC">
              <w:rPr>
                <w:b/>
                <w:bCs/>
                <w:color w:val="000000"/>
                <w:sz w:val="18"/>
                <w:szCs w:val="18"/>
              </w:rPr>
              <w:t>HVAC</w:t>
            </w:r>
            <w:r w:rsidRPr="005B38FC">
              <w:rPr>
                <w:color w:val="000000"/>
                <w:sz w:val="18"/>
                <w:szCs w:val="18"/>
              </w:rPr>
              <w:t>: Heating, Ventilation, and Air Conditioning</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SEP</w:t>
            </w:r>
            <w:r w:rsidRPr="005B38FC">
              <w:rPr>
                <w:color w:val="000000"/>
                <w:sz w:val="18"/>
                <w:szCs w:val="18"/>
              </w:rPr>
              <w:t xml:space="preserve">: School Energy Pledge Program </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Cs/>
                <w:color w:val="000000"/>
                <w:sz w:val="18"/>
                <w:szCs w:val="18"/>
              </w:rPr>
            </w:pPr>
            <w:r w:rsidRPr="005B38FC">
              <w:rPr>
                <w:b/>
                <w:bCs/>
                <w:color w:val="000000"/>
                <w:sz w:val="18"/>
                <w:szCs w:val="18"/>
              </w:rPr>
              <w:t>IMP</w:t>
            </w:r>
            <w:r w:rsidRPr="005B38FC">
              <w:rPr>
                <w:color w:val="000000"/>
                <w:sz w:val="18"/>
                <w:szCs w:val="18"/>
              </w:rPr>
              <w:t>: Interim Measure Protocol</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 xml:space="preserve">SES: </w:t>
            </w:r>
            <w:r w:rsidRPr="005B38FC">
              <w:rPr>
                <w:bCs/>
                <w:color w:val="000000"/>
                <w:sz w:val="18"/>
                <w:szCs w:val="18"/>
              </w:rPr>
              <w:t>Smart Energy Saver Program</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jc w:val="left"/>
              <w:rPr>
                <w:b/>
                <w:bCs/>
                <w:color w:val="000000"/>
                <w:sz w:val="18"/>
                <w:szCs w:val="18"/>
              </w:rPr>
            </w:pPr>
            <w:r w:rsidRPr="005B38FC">
              <w:rPr>
                <w:b/>
                <w:bCs/>
                <w:color w:val="000000"/>
                <w:sz w:val="18"/>
                <w:szCs w:val="18"/>
              </w:rPr>
              <w:t>IPMVP</w:t>
            </w:r>
            <w:r w:rsidRPr="005B38FC">
              <w:rPr>
                <w:color w:val="000000"/>
                <w:sz w:val="18"/>
                <w:szCs w:val="18"/>
              </w:rPr>
              <w:t>: International Performance Measurement and Verification Protocol</w:t>
            </w:r>
            <w:r w:rsidRPr="005B38FC">
              <w:rPr>
                <w:b/>
                <w:bCs/>
                <w:color w:val="000000"/>
                <w:sz w:val="18"/>
                <w:szCs w:val="18"/>
              </w:rPr>
              <w:t xml:space="preserve"> </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SHC</w:t>
            </w:r>
            <w:r w:rsidRPr="005B38FC">
              <w:rPr>
                <w:color w:val="000000"/>
                <w:sz w:val="18"/>
                <w:szCs w:val="18"/>
              </w:rPr>
              <w:t>: Smart House Call Program</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IQ</w:t>
            </w:r>
            <w:r w:rsidRPr="005B38FC">
              <w:rPr>
                <w:color w:val="000000"/>
                <w:sz w:val="18"/>
                <w:szCs w:val="18"/>
              </w:rPr>
              <w:t>: Incremental Quarterly</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color w:val="000000"/>
                <w:sz w:val="18"/>
                <w:szCs w:val="18"/>
              </w:rPr>
            </w:pPr>
            <w:r w:rsidRPr="005B38FC">
              <w:rPr>
                <w:b/>
                <w:bCs/>
                <w:color w:val="000000"/>
                <w:sz w:val="18"/>
                <w:szCs w:val="18"/>
              </w:rPr>
              <w:t>SHR</w:t>
            </w:r>
            <w:r w:rsidRPr="005B38FC">
              <w:rPr>
                <w:color w:val="000000"/>
                <w:sz w:val="18"/>
                <w:szCs w:val="18"/>
              </w:rPr>
              <w:t xml:space="preserve">: Smart Home Rebates Program </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 xml:space="preserve">ISD: </w:t>
            </w:r>
            <w:r w:rsidRPr="005B38FC">
              <w:rPr>
                <w:color w:val="000000"/>
                <w:sz w:val="18"/>
                <w:szCs w:val="18"/>
              </w:rPr>
              <w:t>In-service Date</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Cs/>
                <w:color w:val="000000"/>
                <w:sz w:val="18"/>
                <w:szCs w:val="18"/>
              </w:rPr>
            </w:pPr>
            <w:r w:rsidRPr="005B38FC">
              <w:rPr>
                <w:b/>
                <w:bCs/>
                <w:color w:val="000000"/>
                <w:sz w:val="18"/>
                <w:szCs w:val="18"/>
              </w:rPr>
              <w:t xml:space="preserve">SMFS: </w:t>
            </w:r>
            <w:r w:rsidRPr="005B38FC">
              <w:rPr>
                <w:bCs/>
                <w:color w:val="000000"/>
                <w:sz w:val="18"/>
                <w:szCs w:val="18"/>
              </w:rPr>
              <w:t>Smart Multi-Family Solutions Program</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 xml:space="preserve">ISR: </w:t>
            </w:r>
            <w:r w:rsidRPr="005B38FC">
              <w:rPr>
                <w:bCs/>
                <w:color w:val="000000"/>
                <w:sz w:val="18"/>
                <w:szCs w:val="18"/>
              </w:rPr>
              <w:t>In-service Rate</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SOS</w:t>
            </w:r>
            <w:r w:rsidRPr="005B38FC">
              <w:rPr>
                <w:color w:val="000000"/>
                <w:sz w:val="18"/>
                <w:szCs w:val="18"/>
              </w:rPr>
              <w:t xml:space="preserve">: Smart On-Site Program </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ISUP</w:t>
            </w:r>
            <w:r w:rsidRPr="005B38FC">
              <w:rPr>
                <w:color w:val="000000"/>
                <w:sz w:val="18"/>
                <w:szCs w:val="18"/>
              </w:rPr>
              <w:t>: Industrial Sector Umbrella Energy Efficiency Program</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SSMVP</w:t>
            </w:r>
            <w:r w:rsidRPr="005B38FC">
              <w:rPr>
                <w:color w:val="000000"/>
                <w:sz w:val="18"/>
                <w:szCs w:val="18"/>
              </w:rPr>
              <w:t>: Site Specific M&amp;V Plan</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color w:val="000000" w:themeColor="text1"/>
                <w:sz w:val="18"/>
                <w:szCs w:val="18"/>
              </w:rPr>
            </w:pPr>
            <w:r w:rsidRPr="005B38FC">
              <w:rPr>
                <w:b/>
                <w:bCs/>
                <w:color w:val="000000"/>
                <w:sz w:val="18"/>
                <w:szCs w:val="18"/>
              </w:rPr>
              <w:t xml:space="preserve">KPI: </w:t>
            </w:r>
            <w:r w:rsidRPr="005B38FC">
              <w:rPr>
                <w:bCs/>
                <w:color w:val="000000"/>
                <w:sz w:val="18"/>
                <w:szCs w:val="18"/>
              </w:rPr>
              <w:t>Key Performance Indicator</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Cs/>
                <w:color w:val="000000"/>
                <w:sz w:val="18"/>
                <w:szCs w:val="18"/>
              </w:rPr>
            </w:pPr>
            <w:r w:rsidRPr="005B38FC">
              <w:rPr>
                <w:b/>
                <w:bCs/>
                <w:color w:val="000000"/>
                <w:sz w:val="18"/>
                <w:szCs w:val="18"/>
              </w:rPr>
              <w:t xml:space="preserve">SVG: </w:t>
            </w:r>
            <w:r w:rsidRPr="005B38FC">
              <w:rPr>
                <w:bCs/>
                <w:color w:val="000000"/>
                <w:sz w:val="18"/>
                <w:szCs w:val="18"/>
              </w:rPr>
              <w:t>Savings Factor</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kW</w:t>
            </w:r>
            <w:r w:rsidRPr="005B38FC">
              <w:rPr>
                <w:color w:val="000000"/>
                <w:sz w:val="18"/>
                <w:szCs w:val="18"/>
              </w:rPr>
              <w:t>: Kilowatt</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SWE</w:t>
            </w:r>
            <w:r w:rsidRPr="005B38FC">
              <w:rPr>
                <w:color w:val="000000"/>
                <w:sz w:val="18"/>
                <w:szCs w:val="18"/>
              </w:rPr>
              <w:t>: Statewide Evaluator</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kWh</w:t>
            </w:r>
            <w:r w:rsidRPr="005B38FC">
              <w:rPr>
                <w:color w:val="000000"/>
                <w:sz w:val="18"/>
                <w:szCs w:val="18"/>
              </w:rPr>
              <w:t>: Kilowatt-hour</w:t>
            </w:r>
            <w:r w:rsidRPr="005B38FC">
              <w:rPr>
                <w:b/>
                <w:bCs/>
                <w:color w:val="000000"/>
                <w:sz w:val="18"/>
                <w:szCs w:val="18"/>
              </w:rPr>
              <w:t xml:space="preserve"> </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SWE Team</w:t>
            </w:r>
            <w:r w:rsidRPr="005B38FC">
              <w:rPr>
                <w:color w:val="000000"/>
                <w:sz w:val="18"/>
                <w:szCs w:val="18"/>
              </w:rPr>
              <w:t>: Statewide Evaluator Team</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Cs/>
                <w:color w:val="000000"/>
                <w:sz w:val="18"/>
                <w:szCs w:val="18"/>
              </w:rPr>
            </w:pPr>
            <w:r w:rsidRPr="005B38FC">
              <w:rPr>
                <w:b/>
                <w:bCs/>
                <w:color w:val="000000"/>
                <w:sz w:val="18"/>
                <w:szCs w:val="18"/>
              </w:rPr>
              <w:t>LED</w:t>
            </w:r>
            <w:r w:rsidRPr="005B38FC">
              <w:rPr>
                <w:bCs/>
                <w:color w:val="000000"/>
                <w:sz w:val="18"/>
                <w:szCs w:val="18"/>
              </w:rPr>
              <w:t>: Light-Emitting Diode</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TOU</w:t>
            </w:r>
            <w:r w:rsidRPr="005B38FC">
              <w:rPr>
                <w:color w:val="000000"/>
                <w:sz w:val="18"/>
                <w:szCs w:val="18"/>
              </w:rPr>
              <w:t>: Time of Use</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LIEEP</w:t>
            </w:r>
            <w:r w:rsidRPr="005B38FC">
              <w:rPr>
                <w:bCs/>
                <w:color w:val="000000"/>
                <w:sz w:val="18"/>
                <w:szCs w:val="18"/>
              </w:rPr>
              <w:t>: Low-Income Energy Efficiency Program</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TRC</w:t>
            </w:r>
            <w:r w:rsidRPr="005B38FC">
              <w:rPr>
                <w:color w:val="000000"/>
                <w:sz w:val="18"/>
                <w:szCs w:val="18"/>
              </w:rPr>
              <w:t>:  Total Resource Cost Test</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 xml:space="preserve">LILU: </w:t>
            </w:r>
            <w:r w:rsidRPr="005B38FC">
              <w:rPr>
                <w:bCs/>
                <w:color w:val="000000"/>
                <w:sz w:val="18"/>
                <w:szCs w:val="18"/>
              </w:rPr>
              <w:t>Low Income Low Use Program</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TRM</w:t>
            </w:r>
            <w:r w:rsidRPr="005B38FC">
              <w:rPr>
                <w:color w:val="000000"/>
                <w:sz w:val="18"/>
                <w:szCs w:val="18"/>
              </w:rPr>
              <w:t>: Technical Reference Manual</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LIWRAP</w:t>
            </w:r>
            <w:r w:rsidRPr="005B38FC">
              <w:rPr>
                <w:bCs/>
                <w:color w:val="000000"/>
                <w:sz w:val="18"/>
                <w:szCs w:val="18"/>
              </w:rPr>
              <w:t>: Low-Income Winter Relief Assistance Program</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TUS</w:t>
            </w:r>
            <w:r w:rsidRPr="005B38FC">
              <w:rPr>
                <w:color w:val="000000"/>
                <w:sz w:val="18"/>
                <w:szCs w:val="18"/>
              </w:rPr>
              <w:t>: Bureau of Technical Utility Services</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rPr>
                <w:b/>
                <w:bCs/>
                <w:color w:val="000000"/>
                <w:sz w:val="18"/>
                <w:szCs w:val="18"/>
              </w:rPr>
            </w:pPr>
            <w:r w:rsidRPr="005B38FC">
              <w:rPr>
                <w:b/>
                <w:bCs/>
                <w:color w:val="000000"/>
                <w:sz w:val="18"/>
                <w:szCs w:val="18"/>
              </w:rPr>
              <w:t>LLF</w:t>
            </w:r>
            <w:r w:rsidRPr="005B38FC">
              <w:rPr>
                <w:bCs/>
                <w:color w:val="000000"/>
                <w:sz w:val="18"/>
                <w:szCs w:val="18"/>
              </w:rPr>
              <w:t>: Line Loss Factor</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 xml:space="preserve">UEC: </w:t>
            </w:r>
            <w:r w:rsidRPr="005B38FC">
              <w:rPr>
                <w:bCs/>
                <w:color w:val="000000"/>
                <w:sz w:val="18"/>
                <w:szCs w:val="18"/>
              </w:rPr>
              <w:t>Unit energy consumption</w:t>
            </w: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 xml:space="preserve">LPD: </w:t>
            </w:r>
            <w:r w:rsidRPr="005B38FC">
              <w:rPr>
                <w:bCs/>
                <w:color w:val="000000"/>
                <w:sz w:val="18"/>
                <w:szCs w:val="18"/>
              </w:rPr>
              <w:t>Lighting Power Density</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color w:val="000000"/>
                <w:sz w:val="18"/>
                <w:szCs w:val="18"/>
              </w:rPr>
            </w:pPr>
            <w:r w:rsidRPr="005B38FC">
              <w:rPr>
                <w:b/>
                <w:bCs/>
                <w:color w:val="000000"/>
                <w:sz w:val="18"/>
                <w:szCs w:val="18"/>
              </w:rPr>
              <w:t>VFD</w:t>
            </w:r>
            <w:r w:rsidRPr="005B38FC">
              <w:rPr>
                <w:color w:val="000000"/>
                <w:sz w:val="18"/>
                <w:szCs w:val="18"/>
              </w:rPr>
              <w:t>: Variable Frequency Drive</w:t>
            </w:r>
          </w:p>
          <w:p w:rsidR="005B38FC" w:rsidRPr="005B38FC" w:rsidRDefault="005B38FC" w:rsidP="005B38FC">
            <w:pPr>
              <w:jc w:val="left"/>
              <w:rPr>
                <w:color w:val="000000"/>
                <w:sz w:val="18"/>
                <w:szCs w:val="18"/>
              </w:rPr>
            </w:pPr>
          </w:p>
        </w:tc>
      </w:tr>
      <w:tr w:rsidR="005B38FC" w:rsidRPr="005B38FC" w:rsidTr="005B38FC">
        <w:trPr>
          <w:trHeight w:val="537"/>
        </w:trPr>
        <w:tc>
          <w:tcPr>
            <w:tcW w:w="4572" w:type="dxa"/>
            <w:tcBorders>
              <w:top w:val="nil"/>
              <w:left w:val="nil"/>
              <w:bottom w:val="nil"/>
              <w:right w:val="nil"/>
            </w:tcBorders>
            <w:shd w:val="clear" w:color="000000" w:fill="FFFFFF"/>
            <w:vAlign w:val="center"/>
          </w:tcPr>
          <w:p w:rsidR="005B38FC" w:rsidRPr="005B38FC" w:rsidRDefault="005B38FC" w:rsidP="005B38FC">
            <w:pPr>
              <w:rPr>
                <w:b/>
                <w:bCs/>
                <w:color w:val="000000"/>
                <w:sz w:val="18"/>
                <w:szCs w:val="18"/>
              </w:rPr>
            </w:pPr>
            <w:r w:rsidRPr="005B38FC">
              <w:rPr>
                <w:b/>
                <w:bCs/>
                <w:color w:val="000000"/>
                <w:sz w:val="18"/>
                <w:szCs w:val="18"/>
              </w:rPr>
              <w:t>MMMF</w:t>
            </w:r>
            <w:r w:rsidRPr="005B38FC">
              <w:rPr>
                <w:color w:val="000000"/>
                <w:sz w:val="18"/>
                <w:szCs w:val="18"/>
              </w:rPr>
              <w:t>: Mastered Metered Multi-Family Program</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color w:val="000000"/>
                <w:sz w:val="18"/>
                <w:szCs w:val="18"/>
              </w:rPr>
              <w:t xml:space="preserve">VG: </w:t>
            </w:r>
            <w:r w:rsidRPr="005B38FC">
              <w:rPr>
                <w:color w:val="000000"/>
                <w:sz w:val="18"/>
                <w:szCs w:val="18"/>
              </w:rPr>
              <w:t>Verified Gross Impact Savings</w:t>
            </w:r>
          </w:p>
        </w:tc>
      </w:tr>
      <w:tr w:rsidR="005B38FC" w:rsidRPr="005B38FC" w:rsidTr="005B38FC">
        <w:trPr>
          <w:trHeight w:val="537"/>
        </w:trPr>
        <w:tc>
          <w:tcPr>
            <w:tcW w:w="4572" w:type="dxa"/>
            <w:tcBorders>
              <w:top w:val="nil"/>
              <w:left w:val="nil"/>
              <w:bottom w:val="nil"/>
              <w:right w:val="nil"/>
            </w:tcBorders>
            <w:shd w:val="clear" w:color="000000" w:fill="FFFFFF"/>
            <w:vAlign w:val="center"/>
            <w:hideMark/>
          </w:tcPr>
          <w:p w:rsidR="005B38FC" w:rsidRPr="005B38FC" w:rsidRDefault="005B38FC" w:rsidP="005B38FC">
            <w:pPr>
              <w:rPr>
                <w:b/>
                <w:bCs/>
                <w:color w:val="000000"/>
                <w:sz w:val="18"/>
                <w:szCs w:val="18"/>
              </w:rPr>
            </w:pPr>
            <w:r w:rsidRPr="005B38FC">
              <w:rPr>
                <w:b/>
                <w:bCs/>
                <w:color w:val="000000"/>
                <w:sz w:val="18"/>
                <w:szCs w:val="18"/>
              </w:rPr>
              <w:lastRenderedPageBreak/>
              <w:t>M&amp;V</w:t>
            </w:r>
            <w:r w:rsidRPr="005B38FC">
              <w:rPr>
                <w:color w:val="000000"/>
                <w:sz w:val="18"/>
                <w:szCs w:val="18"/>
              </w:rPr>
              <w:t>: Measurement and Verification</w:t>
            </w:r>
          </w:p>
        </w:tc>
        <w:tc>
          <w:tcPr>
            <w:tcW w:w="4878" w:type="dxa"/>
            <w:tcBorders>
              <w:top w:val="nil"/>
              <w:left w:val="nil"/>
              <w:bottom w:val="nil"/>
              <w:right w:val="nil"/>
            </w:tcBorders>
            <w:shd w:val="clear" w:color="000000" w:fill="FFFFFF"/>
            <w:vAlign w:val="center"/>
          </w:tcPr>
          <w:p w:rsidR="005B38FC" w:rsidRPr="005B38FC" w:rsidRDefault="005B38FC" w:rsidP="005B38FC">
            <w:pPr>
              <w:jc w:val="left"/>
              <w:rPr>
                <w:b/>
                <w:bCs/>
                <w:color w:val="000000"/>
                <w:sz w:val="18"/>
                <w:szCs w:val="18"/>
              </w:rPr>
            </w:pPr>
            <w:r w:rsidRPr="005B38FC">
              <w:rPr>
                <w:b/>
                <w:bCs/>
                <w:color w:val="000000"/>
                <w:sz w:val="18"/>
                <w:szCs w:val="18"/>
              </w:rPr>
              <w:t>PYTD</w:t>
            </w:r>
            <w:r w:rsidRPr="005B38FC">
              <w:rPr>
                <w:color w:val="000000"/>
                <w:sz w:val="18"/>
                <w:szCs w:val="18"/>
              </w:rPr>
              <w:t>: Program Year to Date</w:t>
            </w:r>
          </w:p>
        </w:tc>
      </w:tr>
      <w:tr w:rsidR="00E7173E" w:rsidRPr="005B38FC" w:rsidTr="005B38FC">
        <w:trPr>
          <w:trHeight w:val="537"/>
        </w:trPr>
        <w:tc>
          <w:tcPr>
            <w:tcW w:w="4572" w:type="dxa"/>
            <w:tcBorders>
              <w:top w:val="nil"/>
              <w:left w:val="nil"/>
              <w:bottom w:val="nil"/>
              <w:right w:val="nil"/>
            </w:tcBorders>
            <w:shd w:val="clear" w:color="000000" w:fill="FFFFFF"/>
            <w:vAlign w:val="center"/>
          </w:tcPr>
          <w:p w:rsidR="009C147E" w:rsidRPr="005B38FC" w:rsidRDefault="009C147E" w:rsidP="005B38FC">
            <w:pPr>
              <w:rPr>
                <w:bCs/>
                <w:color w:val="000000"/>
                <w:sz w:val="18"/>
                <w:szCs w:val="18"/>
              </w:rPr>
            </w:pPr>
            <w:r w:rsidRPr="005B38FC">
              <w:rPr>
                <w:b/>
                <w:bCs/>
                <w:color w:val="000000"/>
                <w:sz w:val="18"/>
                <w:szCs w:val="18"/>
              </w:rPr>
              <w:t>MW</w:t>
            </w:r>
            <w:r w:rsidRPr="005B38FC">
              <w:rPr>
                <w:color w:val="000000"/>
                <w:sz w:val="18"/>
                <w:szCs w:val="18"/>
              </w:rPr>
              <w:t>: Megawatt</w:t>
            </w:r>
          </w:p>
        </w:tc>
        <w:tc>
          <w:tcPr>
            <w:tcW w:w="4878" w:type="dxa"/>
            <w:tcBorders>
              <w:top w:val="nil"/>
              <w:left w:val="nil"/>
              <w:bottom w:val="nil"/>
              <w:right w:val="nil"/>
            </w:tcBorders>
            <w:shd w:val="clear" w:color="000000" w:fill="FFFFFF"/>
            <w:vAlign w:val="center"/>
          </w:tcPr>
          <w:p w:rsidR="009C147E" w:rsidRPr="005B38FC" w:rsidRDefault="009C147E" w:rsidP="005B38FC">
            <w:pPr>
              <w:jc w:val="left"/>
              <w:rPr>
                <w:b/>
                <w:bCs/>
                <w:color w:val="000000"/>
                <w:sz w:val="18"/>
                <w:szCs w:val="18"/>
              </w:rPr>
            </w:pPr>
          </w:p>
        </w:tc>
      </w:tr>
    </w:tbl>
    <w:p w:rsidR="00250705" w:rsidRPr="008C2176" w:rsidRDefault="00250705" w:rsidP="00000FEE">
      <w:pPr>
        <w:sectPr w:rsidR="00250705" w:rsidRPr="008C2176" w:rsidSect="00A174C1">
          <w:headerReference w:type="first" r:id="rId30"/>
          <w:footerReference w:type="first" r:id="rId31"/>
          <w:type w:val="nextColumn"/>
          <w:pgSz w:w="12240" w:h="15840"/>
          <w:pgMar w:top="1440" w:right="1440" w:bottom="1440" w:left="1440" w:header="720" w:footer="288" w:gutter="0"/>
          <w:pgNumType w:fmt="lowerRoman"/>
          <w:cols w:space="720"/>
          <w:titlePg/>
          <w:docGrid w:linePitch="360"/>
        </w:sectPr>
      </w:pPr>
    </w:p>
    <w:p w:rsidR="00FC20D5" w:rsidRPr="008C2176" w:rsidRDefault="00FC20D5" w:rsidP="00000FEE">
      <w:pPr>
        <w:rPr>
          <w:i/>
        </w:rPr>
      </w:pPr>
      <w:r w:rsidRPr="008C2176">
        <w:rPr>
          <w:i/>
        </w:rPr>
        <w:lastRenderedPageBreak/>
        <w:t xml:space="preserve">Please see Appendix </w:t>
      </w:r>
      <w:r w:rsidR="006C1B85">
        <w:rPr>
          <w:i/>
        </w:rPr>
        <w:t>F</w:t>
      </w:r>
      <w:r w:rsidR="005B38FC">
        <w:rPr>
          <w:i/>
        </w:rPr>
        <w:t xml:space="preserve"> </w:t>
      </w:r>
      <w:r w:rsidRPr="008C2176">
        <w:rPr>
          <w:i/>
        </w:rPr>
        <w:t xml:space="preserve">for </w:t>
      </w:r>
      <w:r w:rsidR="0020530E">
        <w:rPr>
          <w:i/>
        </w:rPr>
        <w:t>G</w:t>
      </w:r>
      <w:r w:rsidRPr="008C2176">
        <w:rPr>
          <w:i/>
        </w:rPr>
        <w:t xml:space="preserve">lossary of </w:t>
      </w:r>
      <w:r w:rsidR="0020530E">
        <w:rPr>
          <w:i/>
        </w:rPr>
        <w:t>T</w:t>
      </w:r>
      <w:r w:rsidRPr="008C2176">
        <w:rPr>
          <w:i/>
        </w:rPr>
        <w:t>erms.</w:t>
      </w:r>
    </w:p>
    <w:p w:rsidR="00DB2C48" w:rsidRDefault="00DB2C48" w:rsidP="00000FEE"/>
    <w:p w:rsidR="00E85BB7" w:rsidRDefault="00E85BB7" w:rsidP="00000FEE"/>
    <w:p w:rsidR="00E673F0" w:rsidRPr="00DB4DE0" w:rsidRDefault="00E673F0" w:rsidP="00DB4DE0">
      <w:pPr>
        <w:sectPr w:rsidR="00E673F0" w:rsidRPr="00DB4DE0" w:rsidSect="00A174C1">
          <w:type w:val="nextColumn"/>
          <w:pgSz w:w="12240" w:h="15840"/>
          <w:pgMar w:top="1440" w:right="1440" w:bottom="1440" w:left="1440" w:header="720" w:footer="288" w:gutter="0"/>
          <w:pgNumType w:fmt="lowerRoman"/>
          <w:cols w:space="720"/>
          <w:docGrid w:linePitch="360"/>
        </w:sectPr>
      </w:pPr>
    </w:p>
    <w:p w:rsidR="008515C7" w:rsidRPr="004837FA" w:rsidRDefault="005B38FC" w:rsidP="00E673F0">
      <w:pPr>
        <w:pStyle w:val="Heading1"/>
        <w:numPr>
          <w:ilvl w:val="0"/>
          <w:numId w:val="159"/>
        </w:numPr>
      </w:pPr>
      <w:bookmarkStart w:id="1" w:name="_Ref472258019"/>
      <w:bookmarkStart w:id="2" w:name="_Toc472472076"/>
      <w:bookmarkStart w:id="3" w:name="_Toc488765770"/>
      <w:r w:rsidRPr="004837FA">
        <w:lastRenderedPageBreak/>
        <w:t>EXECUTIVE SUMMARY</w:t>
      </w:r>
      <w:bookmarkEnd w:id="1"/>
      <w:bookmarkEnd w:id="2"/>
      <w:bookmarkEnd w:id="3"/>
    </w:p>
    <w:p w:rsidR="00AD0F92" w:rsidRDefault="00AD0F92" w:rsidP="00AD0F92">
      <w:r w:rsidRPr="00AD0F92">
        <w:t>The Phase II Statewide Evaluator (SWE) Team is providing this final report for Phase II of Pennsylvania’s Act 129 energy efficiency programs. This report assesses whether the Pennsylvania electric distribution companies (EDCs) subject to Act 129 met their Phase II electric energy and demand savings targets and verifies Phase II portfolio and program Total Resource Cost (TRC) test calculations. This report also provides the detailed findings and recommendations of the Phase II SWE.</w:t>
      </w:r>
    </w:p>
    <w:p w:rsidR="00AD0F92" w:rsidRPr="00AD0F92" w:rsidRDefault="00AD0F92" w:rsidP="00AD0F92"/>
    <w:p w:rsidR="008515C7" w:rsidRPr="005B38FC" w:rsidRDefault="008515C7" w:rsidP="00E673F0">
      <w:pPr>
        <w:pStyle w:val="Heading2"/>
      </w:pPr>
      <w:bookmarkStart w:id="4" w:name="_Toc472472077"/>
      <w:bookmarkStart w:id="5" w:name="_Toc488765771"/>
      <w:r w:rsidRPr="005B38FC">
        <w:t>A</w:t>
      </w:r>
      <w:r w:rsidR="00114CA8" w:rsidRPr="005B38FC">
        <w:t>ct 129 and Summary of PUC Orders</w:t>
      </w:r>
      <w:bookmarkEnd w:id="4"/>
      <w:bookmarkEnd w:id="5"/>
    </w:p>
    <w:p w:rsidR="007908C2" w:rsidRPr="00D446B4" w:rsidRDefault="007908C2" w:rsidP="007908C2">
      <w:r w:rsidRPr="00D446B4">
        <w:t xml:space="preserve">The Pennsylvania Public Utility Commission (PA PUC, PUC, or Commission) was charged by the Pennsylvania General Assembly pursuant to Act 129 of 2008 (Act 129) to establish an </w:t>
      </w:r>
      <w:r>
        <w:t>e</w:t>
      </w:r>
      <w:r w:rsidRPr="00D446B4">
        <w:t xml:space="preserve">nergy </w:t>
      </w:r>
      <w:r>
        <w:t>e</w:t>
      </w:r>
      <w:r w:rsidRPr="00D446B4">
        <w:t xml:space="preserve">fficiency and </w:t>
      </w:r>
      <w:r>
        <w:t>c</w:t>
      </w:r>
      <w:r w:rsidRPr="00D446B4">
        <w:t xml:space="preserve">onservation (EE&amp;C) </w:t>
      </w:r>
      <w:r>
        <w:t>p</w:t>
      </w:r>
      <w:r w:rsidRPr="00D446B4">
        <w:t>rogram. The seven EDCs subject to Act 129</w:t>
      </w:r>
      <w:r w:rsidRPr="00D446B4">
        <w:rPr>
          <w:vertAlign w:val="superscript"/>
        </w:rPr>
        <w:footnoteReference w:id="2"/>
      </w:r>
      <w:r w:rsidRPr="00D446B4">
        <w:t xml:space="preserve"> are</w:t>
      </w:r>
      <w:r>
        <w:t xml:space="preserve"> </w:t>
      </w:r>
      <w:r w:rsidRPr="00D446B4">
        <w:t>Duquesne Light Company (Duquesne); the FirstEnergy companies Metropolitan Edison Company (Met-Ed), Pennsylvania Electric Company (Penelec), Pennsylvania Power Company (Penn Power)</w:t>
      </w:r>
      <w:r>
        <w:t>,</w:t>
      </w:r>
      <w:r w:rsidRPr="00D446B4">
        <w:t xml:space="preserve"> and West Penn Power (West Penn); PECO Energy Company (PECO)</w:t>
      </w:r>
      <w:r>
        <w:t>;</w:t>
      </w:r>
      <w:r w:rsidRPr="00D446B4">
        <w:t xml:space="preserve"> and </w:t>
      </w:r>
      <w:r w:rsidR="00702765">
        <w:t>PPL Electric Utilities</w:t>
      </w:r>
      <w:r w:rsidRPr="00D446B4">
        <w:t xml:space="preserve"> (PPL). Stated below is the section of Act 129 that discusses the requirement for the Commission to conduct ongoing monitoring and verification of data collection, quality assurance, and results of each EDC’s plan and program.</w:t>
      </w:r>
    </w:p>
    <w:p w:rsidR="007908C2" w:rsidRPr="008A5E9E" w:rsidRDefault="007908C2" w:rsidP="007908C2">
      <w:pPr>
        <w:rPr>
          <w:highlight w:val="lightGray"/>
        </w:rPr>
      </w:pPr>
    </w:p>
    <w:p w:rsidR="007908C2" w:rsidRPr="0061634C" w:rsidRDefault="007908C2" w:rsidP="007908C2">
      <w:pPr>
        <w:spacing w:after="120"/>
        <w:ind w:left="720" w:right="720"/>
        <w:rPr>
          <w:i/>
        </w:rPr>
      </w:pPr>
      <w:r w:rsidRPr="00D446B4">
        <w:t>66 Pa. C.S. §§ 2806.1: “</w:t>
      </w:r>
      <w:r w:rsidRPr="0061634C">
        <w:rPr>
          <w:i/>
        </w:rPr>
        <w:t>The Commission shall, by January 15, 2009, adopt an energy efficiency and conservation program to require electric distribution companies to adopt and implement cost-effective energy efficiency and conservation plans to reduce energy demand and consumption within the service territory of each electric distribution company in this Commonwealth. The program shall include:</w:t>
      </w:r>
    </w:p>
    <w:p w:rsidR="007908C2" w:rsidRPr="00D446B4" w:rsidRDefault="007908C2" w:rsidP="007908C2">
      <w:pPr>
        <w:ind w:left="1440" w:right="720"/>
      </w:pPr>
      <w:r w:rsidRPr="0061634C">
        <w:rPr>
          <w:i/>
        </w:rPr>
        <w:t xml:space="preserve">(2) </w:t>
      </w:r>
      <w:r>
        <w:rPr>
          <w:i/>
        </w:rPr>
        <w:t>“</w:t>
      </w:r>
      <w:r w:rsidRPr="0061634C">
        <w:rPr>
          <w:i/>
        </w:rPr>
        <w:t>an evaluation process, including a process to monitor and verify data collection, quality assurance and results of each plan and the program.”</w:t>
      </w:r>
    </w:p>
    <w:p w:rsidR="007908C2" w:rsidRPr="008A5E9E" w:rsidRDefault="007908C2" w:rsidP="007908C2">
      <w:pPr>
        <w:ind w:left="720" w:right="720"/>
        <w:rPr>
          <w:highlight w:val="lightGray"/>
        </w:rPr>
      </w:pPr>
    </w:p>
    <w:p w:rsidR="007908C2" w:rsidRDefault="007908C2" w:rsidP="007908C2">
      <w:r w:rsidRPr="00D446B4">
        <w:t>In order to fulfill this obligation for the Phase II Act 129 programs, the Commission entered an Implementation Order</w:t>
      </w:r>
      <w:r>
        <w:t xml:space="preserve"> on August 3, 2012</w:t>
      </w:r>
      <w:r w:rsidRPr="00D446B4">
        <w:t xml:space="preserve"> at Docket No</w:t>
      </w:r>
      <w:r w:rsidR="0023755D">
        <w:t>s</w:t>
      </w:r>
      <w:r w:rsidRPr="00D446B4">
        <w:t>. M-2008-2069887</w:t>
      </w:r>
      <w:r w:rsidR="0023755D">
        <w:t xml:space="preserve"> and M-2012-228941</w:t>
      </w:r>
      <w:r w:rsidR="00F32E29">
        <w:t>1</w:t>
      </w:r>
      <w:r w:rsidRPr="00D446B4">
        <w:t>. As part of the Implementation Order and Act 129, the Commission sought a SWE for Phase II to evaluate the EDCs’ EE&amp;C programs. The SWE Team, led by GDS Associates, Inc. (GDS) in partnership with Nexant</w:t>
      </w:r>
      <w:r>
        <w:t>,</w:t>
      </w:r>
      <w:r>
        <w:rPr>
          <w:rStyle w:val="FootnoteReference"/>
        </w:rPr>
        <w:footnoteReference w:id="3"/>
      </w:r>
      <w:r w:rsidRPr="00D446B4">
        <w:t xml:space="preserve"> Research Into Action, and Apex Analytics, was retained to fulfill requirements of the Phase II Implementation Order of Act 129. The </w:t>
      </w:r>
      <w:r>
        <w:t xml:space="preserve">Phase II </w:t>
      </w:r>
      <w:r w:rsidRPr="00D446B4">
        <w:t>SWE Team was contracted to monitor and verify EDC</w:t>
      </w:r>
      <w:r>
        <w:t>-reported program MWh and MW savings, benefit/cost</w:t>
      </w:r>
      <w:r w:rsidR="00B83235">
        <w:t xml:space="preserve"> (B/C)</w:t>
      </w:r>
      <w:r>
        <w:t xml:space="preserve"> calculations, </w:t>
      </w:r>
      <w:r w:rsidRPr="00D446B4">
        <w:t>data collection</w:t>
      </w:r>
      <w:r>
        <w:t xml:space="preserve"> and</w:t>
      </w:r>
      <w:r w:rsidRPr="00D446B4">
        <w:t xml:space="preserve"> quality assurance processes, and </w:t>
      </w:r>
      <w:r>
        <w:t xml:space="preserve">other </w:t>
      </w:r>
      <w:r w:rsidRPr="00D446B4">
        <w:t>performance measures. The SWE Team has other contractual obligations, including reviewing and updating information and savings values found in the Pennsylvania Technical Reference Manual (TRM)</w:t>
      </w:r>
      <w:r>
        <w:t xml:space="preserve">, </w:t>
      </w:r>
      <w:r w:rsidRPr="00D446B4">
        <w:t>developing recommendations for possible revisions and additions</w:t>
      </w:r>
      <w:r>
        <w:t xml:space="preserve"> to the TRM, and developing best practices recommendations for program improvements and modifications</w:t>
      </w:r>
      <w:r w:rsidRPr="00D446B4">
        <w:t>.</w:t>
      </w:r>
      <w:r>
        <w:rPr>
          <w:rStyle w:val="FootnoteReference"/>
        </w:rPr>
        <w:footnoteReference w:id="4"/>
      </w:r>
    </w:p>
    <w:p w:rsidR="00034173" w:rsidRDefault="00034173" w:rsidP="007908C2">
      <w:bookmarkStart w:id="6" w:name="_Toc472472078"/>
    </w:p>
    <w:p w:rsidR="007908C2" w:rsidRPr="001A4C2C" w:rsidRDefault="007908C2" w:rsidP="00E673F0">
      <w:pPr>
        <w:pStyle w:val="Heading3"/>
      </w:pPr>
      <w:bookmarkStart w:id="7" w:name="_Toc488765772"/>
      <w:r w:rsidRPr="001A4C2C">
        <w:t>Mandated Electricity Consumption Reductions for Phase II</w:t>
      </w:r>
      <w:bookmarkEnd w:id="6"/>
      <w:bookmarkEnd w:id="7"/>
    </w:p>
    <w:p w:rsidR="00291207" w:rsidRDefault="00DA1ADA" w:rsidP="00291207">
      <w:r>
        <w:fldChar w:fldCharType="begin"/>
      </w:r>
      <w:r>
        <w:instrText xml:space="preserve"> REF _Ref476038697 \h </w:instrText>
      </w:r>
      <w:r>
        <w:fldChar w:fldCharType="separate"/>
      </w:r>
      <w:r w:rsidR="00037CB4" w:rsidRPr="004619EB">
        <w:t xml:space="preserve">Table </w:t>
      </w:r>
      <w:r w:rsidR="00037CB4">
        <w:rPr>
          <w:noProof/>
        </w:rPr>
        <w:t>1</w:t>
      </w:r>
      <w:r w:rsidR="00037CB4">
        <w:noBreakHyphen/>
      </w:r>
      <w:r w:rsidR="00037CB4">
        <w:rPr>
          <w:noProof/>
        </w:rPr>
        <w:t>1</w:t>
      </w:r>
      <w:r>
        <w:fldChar w:fldCharType="end"/>
      </w:r>
      <w:r>
        <w:t xml:space="preserve"> </w:t>
      </w:r>
      <w:r w:rsidR="007908C2">
        <w:t>shows, by EDC, the</w:t>
      </w:r>
      <w:r w:rsidR="007908C2" w:rsidRPr="00320BCA">
        <w:t xml:space="preserve"> electricity consumption reduction targets </w:t>
      </w:r>
      <w:r w:rsidR="007908C2">
        <w:t>that the</w:t>
      </w:r>
      <w:r w:rsidR="007908C2" w:rsidRPr="00320BCA">
        <w:t xml:space="preserve"> Commission adopted for Phase II of Act 129 in its </w:t>
      </w:r>
      <w:r w:rsidR="005B6C85">
        <w:t xml:space="preserve">August 2, 2012 </w:t>
      </w:r>
      <w:r w:rsidR="007908C2" w:rsidRPr="00320BCA">
        <w:t xml:space="preserve">Phase II Implementation Order, as well as </w:t>
      </w:r>
      <w:r w:rsidR="007908C2">
        <w:t>the EDCs’</w:t>
      </w:r>
      <w:r w:rsidR="007908C2" w:rsidRPr="00320BCA">
        <w:t xml:space="preserve"> three-year cumulative </w:t>
      </w:r>
      <w:r w:rsidR="007908C2">
        <w:t xml:space="preserve">annual </w:t>
      </w:r>
      <w:r w:rsidR="007908C2" w:rsidRPr="00320BCA">
        <w:t>MWh figures.</w:t>
      </w:r>
      <w:r w:rsidR="007908C2">
        <w:t xml:space="preserve"> There were no peak demand reduction targets for Phase II.</w:t>
      </w:r>
      <w:bookmarkStart w:id="8" w:name="_Ref472256993"/>
      <w:bookmarkStart w:id="9" w:name="_Toc472472153"/>
      <w:r w:rsidR="00291207">
        <w:t xml:space="preserve"> </w:t>
      </w:r>
    </w:p>
    <w:p w:rsidR="00291207" w:rsidRDefault="00291207" w:rsidP="00291207"/>
    <w:p w:rsidR="00323D47" w:rsidRPr="00320BCA" w:rsidRDefault="004619EB" w:rsidP="004837FA">
      <w:pPr>
        <w:pStyle w:val="Caption"/>
      </w:pPr>
      <w:bookmarkStart w:id="10" w:name="_Ref476038697"/>
      <w:bookmarkStart w:id="11" w:name="_Toc488741729"/>
      <w:r w:rsidRPr="004619EB">
        <w:lastRenderedPageBreak/>
        <w:t xml:space="preserve">Table </w:t>
      </w:r>
      <w:r w:rsidR="007973A4">
        <w:fldChar w:fldCharType="begin"/>
      </w:r>
      <w:r w:rsidR="007973A4">
        <w:instrText xml:space="preserve"> STYLEREF 1 \s </w:instrText>
      </w:r>
      <w:r w:rsidR="007973A4">
        <w:fldChar w:fldCharType="separate"/>
      </w:r>
      <w:r w:rsidR="00037CB4">
        <w:rPr>
          <w:noProof/>
        </w:rPr>
        <w:t>1</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w:t>
      </w:r>
      <w:r w:rsidR="007973A4">
        <w:rPr>
          <w:noProof/>
        </w:rPr>
        <w:fldChar w:fldCharType="end"/>
      </w:r>
      <w:bookmarkEnd w:id="8"/>
      <w:bookmarkEnd w:id="10"/>
      <w:r w:rsidRPr="004619EB">
        <w:t xml:space="preserve">: </w:t>
      </w:r>
      <w:r w:rsidR="007908C2" w:rsidRPr="004619EB">
        <w:t xml:space="preserve">Act 129 Phase II Three-Year Energy Efficiency Reduction Compliance </w:t>
      </w:r>
      <w:bookmarkEnd w:id="9"/>
      <w:r w:rsidR="008E7430" w:rsidRPr="004619EB">
        <w:t>Targets</w:t>
      </w:r>
      <w:r w:rsidR="008E7430">
        <w:rPr>
          <w:rStyle w:val="FootnoteReference"/>
        </w:rPr>
        <w:footnoteReference w:id="5"/>
      </w:r>
      <w:bookmarkEnd w:id="11"/>
    </w:p>
    <w:tbl>
      <w:tblPr>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10"/>
        <w:gridCol w:w="2610"/>
        <w:gridCol w:w="2610"/>
        <w:gridCol w:w="2610"/>
      </w:tblGrid>
      <w:tr w:rsidR="00A874AC" w:rsidRPr="004837FA" w:rsidTr="004837FA">
        <w:trPr>
          <w:cantSplit/>
          <w:trHeight w:val="141"/>
          <w:tblHeader/>
        </w:trPr>
        <w:tc>
          <w:tcPr>
            <w:tcW w:w="1510" w:type="dxa"/>
            <w:tcBorders>
              <w:top w:val="single" w:sz="8" w:space="0" w:color="448A99"/>
              <w:left w:val="single" w:sz="8" w:space="0" w:color="448A99"/>
              <w:bottom w:val="single" w:sz="8" w:space="0" w:color="448A99"/>
              <w:right w:val="nil"/>
            </w:tcBorders>
            <w:shd w:val="clear" w:color="000000" w:fill="448A99"/>
            <w:vAlign w:val="bottom"/>
          </w:tcPr>
          <w:p w:rsidR="00323D47" w:rsidRPr="004837FA" w:rsidRDefault="00323D47" w:rsidP="0088218F">
            <w:pPr>
              <w:rPr>
                <w:b/>
                <w:color w:val="FFFFFF"/>
                <w:sz w:val="19"/>
                <w:szCs w:val="19"/>
              </w:rPr>
            </w:pPr>
            <w:r w:rsidRPr="004837FA">
              <w:rPr>
                <w:b/>
                <w:bCs/>
                <w:color w:val="FFFFFF"/>
                <w:sz w:val="19"/>
                <w:szCs w:val="19"/>
              </w:rPr>
              <w:t>EDC</w:t>
            </w:r>
          </w:p>
        </w:tc>
        <w:tc>
          <w:tcPr>
            <w:tcW w:w="2610" w:type="dxa"/>
            <w:tcBorders>
              <w:top w:val="single" w:sz="8" w:space="0" w:color="448A99"/>
              <w:left w:val="single" w:sz="8" w:space="0" w:color="448A99"/>
              <w:bottom w:val="single" w:sz="8" w:space="0" w:color="448A99"/>
              <w:right w:val="single" w:sz="8" w:space="0" w:color="448A99"/>
            </w:tcBorders>
            <w:shd w:val="clear" w:color="000000" w:fill="448A99"/>
            <w:vAlign w:val="bottom"/>
          </w:tcPr>
          <w:p w:rsidR="00323D47" w:rsidRPr="004837FA" w:rsidRDefault="00323D47" w:rsidP="0088218F">
            <w:pPr>
              <w:jc w:val="center"/>
              <w:rPr>
                <w:b/>
                <w:color w:val="FFFFFF"/>
                <w:sz w:val="19"/>
                <w:szCs w:val="19"/>
              </w:rPr>
            </w:pPr>
            <w:r w:rsidRPr="004837FA">
              <w:rPr>
                <w:b/>
                <w:bCs/>
                <w:color w:val="FFFFFF"/>
                <w:sz w:val="19"/>
                <w:szCs w:val="19"/>
              </w:rPr>
              <w:t>Three-Year Program Acquisition Cost (</w:t>
            </w:r>
            <w:r w:rsidR="00967822" w:rsidRPr="004837FA">
              <w:rPr>
                <w:b/>
                <w:bCs/>
                <w:color w:val="FFFFFF"/>
                <w:sz w:val="19"/>
                <w:szCs w:val="19"/>
              </w:rPr>
              <w:t xml:space="preserve">EDC </w:t>
            </w:r>
            <w:r w:rsidRPr="004837FA">
              <w:rPr>
                <w:b/>
                <w:bCs/>
                <w:color w:val="FFFFFF"/>
                <w:sz w:val="19"/>
                <w:szCs w:val="19"/>
              </w:rPr>
              <w:t>$/First-Year MWh Saved)</w:t>
            </w:r>
          </w:p>
        </w:tc>
        <w:tc>
          <w:tcPr>
            <w:tcW w:w="2610" w:type="dxa"/>
            <w:tcBorders>
              <w:top w:val="single" w:sz="8" w:space="0" w:color="448A99"/>
              <w:left w:val="nil"/>
              <w:bottom w:val="single" w:sz="8" w:space="0" w:color="448A99"/>
              <w:right w:val="single" w:sz="8" w:space="0" w:color="448A99"/>
            </w:tcBorders>
            <w:shd w:val="clear" w:color="000000" w:fill="448A99"/>
            <w:vAlign w:val="bottom"/>
          </w:tcPr>
          <w:p w:rsidR="00323D47" w:rsidRPr="004837FA" w:rsidRDefault="00323D47" w:rsidP="0088218F">
            <w:pPr>
              <w:jc w:val="center"/>
              <w:rPr>
                <w:b/>
                <w:color w:val="FFFFFF"/>
                <w:sz w:val="19"/>
                <w:szCs w:val="19"/>
              </w:rPr>
            </w:pPr>
            <w:r w:rsidRPr="004837FA">
              <w:rPr>
                <w:b/>
                <w:bCs/>
                <w:color w:val="FFFFFF"/>
                <w:sz w:val="19"/>
                <w:szCs w:val="19"/>
              </w:rPr>
              <w:t>Three-Year % of 2009/2010</w:t>
            </w:r>
            <w:r w:rsidRPr="004837FA">
              <w:rPr>
                <w:b/>
                <w:bCs/>
                <w:color w:val="FFFFFF"/>
                <w:sz w:val="19"/>
                <w:szCs w:val="19"/>
              </w:rPr>
              <w:br/>
              <w:t>Forecast Reductions</w:t>
            </w:r>
          </w:p>
        </w:tc>
        <w:tc>
          <w:tcPr>
            <w:tcW w:w="2610" w:type="dxa"/>
            <w:tcBorders>
              <w:top w:val="single" w:sz="8" w:space="0" w:color="448A99"/>
              <w:left w:val="nil"/>
              <w:bottom w:val="single" w:sz="8" w:space="0" w:color="448A99"/>
              <w:right w:val="single" w:sz="8" w:space="0" w:color="448A99"/>
            </w:tcBorders>
            <w:shd w:val="clear" w:color="000000" w:fill="448A99"/>
            <w:vAlign w:val="bottom"/>
          </w:tcPr>
          <w:p w:rsidR="00323D47" w:rsidRPr="004837FA" w:rsidRDefault="00323D47" w:rsidP="0088218F">
            <w:pPr>
              <w:jc w:val="center"/>
              <w:rPr>
                <w:b/>
                <w:color w:val="FFFFFF"/>
                <w:sz w:val="19"/>
                <w:szCs w:val="19"/>
              </w:rPr>
            </w:pPr>
            <w:r w:rsidRPr="004837FA">
              <w:rPr>
                <w:b/>
                <w:bCs/>
                <w:color w:val="FFFFFF"/>
                <w:sz w:val="19"/>
                <w:szCs w:val="19"/>
              </w:rPr>
              <w:t>Three-Year MWh Cumulative Annual Value of 2009/2010 Forecast Reductions</w:t>
            </w:r>
          </w:p>
        </w:tc>
      </w:tr>
      <w:tr w:rsidR="00A874AC" w:rsidRPr="004837FA" w:rsidTr="004837FA">
        <w:trPr>
          <w:trHeight w:val="141"/>
        </w:trPr>
        <w:tc>
          <w:tcPr>
            <w:tcW w:w="1510" w:type="dxa"/>
            <w:tcBorders>
              <w:top w:val="nil"/>
              <w:left w:val="single" w:sz="8" w:space="0" w:color="448A99"/>
              <w:bottom w:val="single" w:sz="8" w:space="0" w:color="448A99"/>
              <w:right w:val="nil"/>
            </w:tcBorders>
            <w:shd w:val="clear" w:color="000000" w:fill="D2EAF1"/>
            <w:vAlign w:val="center"/>
          </w:tcPr>
          <w:p w:rsidR="00323D47" w:rsidRPr="004837FA" w:rsidRDefault="00323D47" w:rsidP="00323D47">
            <w:pPr>
              <w:jc w:val="left"/>
              <w:rPr>
                <w:sz w:val="19"/>
                <w:szCs w:val="19"/>
              </w:rPr>
            </w:pPr>
            <w:r w:rsidRPr="004837FA">
              <w:rPr>
                <w:bCs/>
                <w:color w:val="000000"/>
                <w:sz w:val="19"/>
                <w:szCs w:val="19"/>
              </w:rPr>
              <w:t>Duquesne</w:t>
            </w:r>
          </w:p>
        </w:tc>
        <w:tc>
          <w:tcPr>
            <w:tcW w:w="2610" w:type="dxa"/>
            <w:tcBorders>
              <w:top w:val="nil"/>
              <w:left w:val="single" w:sz="8" w:space="0" w:color="448A99"/>
              <w:bottom w:val="single" w:sz="8" w:space="0" w:color="448A99"/>
              <w:right w:val="single" w:sz="8" w:space="0" w:color="448A99"/>
            </w:tcBorders>
            <w:shd w:val="clear" w:color="000000" w:fill="D2EAF1"/>
            <w:vAlign w:val="center"/>
          </w:tcPr>
          <w:p w:rsidR="00323D47" w:rsidRPr="004837FA" w:rsidRDefault="00323D47" w:rsidP="00114CA8">
            <w:pPr>
              <w:autoSpaceDE w:val="0"/>
              <w:autoSpaceDN w:val="0"/>
              <w:adjustRightInd w:val="0"/>
              <w:contextualSpacing/>
              <w:jc w:val="center"/>
              <w:rPr>
                <w:rFonts w:cs="Calibri"/>
                <w:sz w:val="19"/>
                <w:szCs w:val="19"/>
              </w:rPr>
            </w:pPr>
            <w:r w:rsidRPr="004837FA">
              <w:rPr>
                <w:color w:val="000000"/>
                <w:sz w:val="19"/>
                <w:szCs w:val="19"/>
              </w:rPr>
              <w:t>$211.90</w:t>
            </w:r>
          </w:p>
        </w:tc>
        <w:tc>
          <w:tcPr>
            <w:tcW w:w="2610" w:type="dxa"/>
            <w:tcBorders>
              <w:top w:val="nil"/>
              <w:left w:val="nil"/>
              <w:bottom w:val="single" w:sz="8" w:space="0" w:color="448A99"/>
              <w:right w:val="single" w:sz="8" w:space="0" w:color="448A99"/>
            </w:tcBorders>
            <w:shd w:val="clear" w:color="000000" w:fill="D2EAF1"/>
            <w:vAlign w:val="center"/>
          </w:tcPr>
          <w:p w:rsidR="00323D47" w:rsidRPr="004837FA" w:rsidRDefault="00323D47" w:rsidP="00114CA8">
            <w:pPr>
              <w:autoSpaceDE w:val="0"/>
              <w:autoSpaceDN w:val="0"/>
              <w:adjustRightInd w:val="0"/>
              <w:contextualSpacing/>
              <w:jc w:val="center"/>
              <w:rPr>
                <w:rFonts w:cs="Calibri"/>
                <w:sz w:val="19"/>
                <w:szCs w:val="19"/>
              </w:rPr>
            </w:pPr>
            <w:r w:rsidRPr="004837FA">
              <w:rPr>
                <w:color w:val="000000"/>
                <w:sz w:val="19"/>
                <w:szCs w:val="19"/>
              </w:rPr>
              <w:t>2.0%</w:t>
            </w:r>
          </w:p>
        </w:tc>
        <w:tc>
          <w:tcPr>
            <w:tcW w:w="2610" w:type="dxa"/>
            <w:tcBorders>
              <w:top w:val="nil"/>
              <w:left w:val="nil"/>
              <w:bottom w:val="single" w:sz="8" w:space="0" w:color="448A99"/>
              <w:right w:val="single" w:sz="8" w:space="0" w:color="448A99"/>
            </w:tcBorders>
            <w:shd w:val="clear" w:color="000000" w:fill="D2EAF1"/>
            <w:vAlign w:val="center"/>
          </w:tcPr>
          <w:p w:rsidR="00323D47" w:rsidRPr="004837FA" w:rsidRDefault="00323D47" w:rsidP="00114CA8">
            <w:pPr>
              <w:autoSpaceDE w:val="0"/>
              <w:autoSpaceDN w:val="0"/>
              <w:adjustRightInd w:val="0"/>
              <w:contextualSpacing/>
              <w:jc w:val="center"/>
              <w:rPr>
                <w:rFonts w:cs="Calibri"/>
                <w:sz w:val="19"/>
                <w:szCs w:val="19"/>
              </w:rPr>
            </w:pPr>
            <w:r w:rsidRPr="004837FA">
              <w:rPr>
                <w:color w:val="000000"/>
                <w:sz w:val="19"/>
                <w:szCs w:val="19"/>
              </w:rPr>
              <w:t>276,722</w:t>
            </w:r>
          </w:p>
        </w:tc>
      </w:tr>
      <w:tr w:rsidR="00A874AC" w:rsidRPr="004837FA" w:rsidTr="004837FA">
        <w:trPr>
          <w:trHeight w:val="141"/>
        </w:trPr>
        <w:tc>
          <w:tcPr>
            <w:tcW w:w="1510" w:type="dxa"/>
            <w:tcBorders>
              <w:top w:val="nil"/>
              <w:left w:val="single" w:sz="8" w:space="0" w:color="448A99"/>
              <w:bottom w:val="single" w:sz="8" w:space="0" w:color="448A99"/>
              <w:right w:val="nil"/>
            </w:tcBorders>
            <w:shd w:val="clear" w:color="000000" w:fill="FFFFFF"/>
            <w:vAlign w:val="center"/>
          </w:tcPr>
          <w:p w:rsidR="00AF1BD2" w:rsidRPr="004837FA" w:rsidRDefault="00B83235" w:rsidP="00AF1BD2">
            <w:pPr>
              <w:jc w:val="left"/>
              <w:rPr>
                <w:sz w:val="19"/>
                <w:szCs w:val="19"/>
              </w:rPr>
            </w:pPr>
            <w:r w:rsidRPr="004837FA">
              <w:rPr>
                <w:bCs/>
                <w:color w:val="000000"/>
                <w:sz w:val="19"/>
                <w:szCs w:val="19"/>
              </w:rPr>
              <w:t>FE: Met-Ed</w:t>
            </w:r>
          </w:p>
        </w:tc>
        <w:tc>
          <w:tcPr>
            <w:tcW w:w="2610" w:type="dxa"/>
            <w:tcBorders>
              <w:top w:val="nil"/>
              <w:left w:val="single" w:sz="8" w:space="0" w:color="448A99"/>
              <w:bottom w:val="single" w:sz="8" w:space="0" w:color="448A99"/>
              <w:right w:val="single" w:sz="8" w:space="0" w:color="448A99"/>
            </w:tcBorders>
            <w:shd w:val="clear" w:color="000000" w:fill="FFFFFF"/>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$220.87</w:t>
            </w:r>
          </w:p>
        </w:tc>
        <w:tc>
          <w:tcPr>
            <w:tcW w:w="2610" w:type="dxa"/>
            <w:tcBorders>
              <w:top w:val="nil"/>
              <w:left w:val="nil"/>
              <w:bottom w:val="single" w:sz="8" w:space="0" w:color="448A99"/>
              <w:right w:val="single" w:sz="8" w:space="0" w:color="448A99"/>
            </w:tcBorders>
            <w:shd w:val="clear" w:color="000000" w:fill="FFFFFF"/>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2.3%</w:t>
            </w:r>
          </w:p>
        </w:tc>
        <w:tc>
          <w:tcPr>
            <w:tcW w:w="2610" w:type="dxa"/>
            <w:tcBorders>
              <w:top w:val="nil"/>
              <w:left w:val="nil"/>
              <w:bottom w:val="single" w:sz="8" w:space="0" w:color="448A99"/>
              <w:right w:val="single" w:sz="8" w:space="0" w:color="448A99"/>
            </w:tcBorders>
            <w:shd w:val="clear" w:color="000000" w:fill="FFFFFF"/>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337,753</w:t>
            </w:r>
          </w:p>
        </w:tc>
      </w:tr>
      <w:tr w:rsidR="00A874AC" w:rsidRPr="004837FA" w:rsidTr="004837FA">
        <w:trPr>
          <w:trHeight w:val="141"/>
        </w:trPr>
        <w:tc>
          <w:tcPr>
            <w:tcW w:w="1510" w:type="dxa"/>
            <w:tcBorders>
              <w:top w:val="nil"/>
              <w:left w:val="single" w:sz="8" w:space="0" w:color="448A99"/>
              <w:bottom w:val="single" w:sz="8" w:space="0" w:color="448A99"/>
              <w:right w:val="nil"/>
            </w:tcBorders>
            <w:shd w:val="clear" w:color="000000" w:fill="D2EAF1"/>
            <w:vAlign w:val="center"/>
          </w:tcPr>
          <w:p w:rsidR="00AF1BD2" w:rsidRPr="004837FA" w:rsidRDefault="00AF1BD2" w:rsidP="00AF1BD2">
            <w:pPr>
              <w:jc w:val="left"/>
              <w:rPr>
                <w:sz w:val="19"/>
                <w:szCs w:val="19"/>
              </w:rPr>
            </w:pPr>
            <w:r w:rsidRPr="004837FA">
              <w:rPr>
                <w:bCs/>
                <w:color w:val="000000"/>
                <w:sz w:val="19"/>
                <w:szCs w:val="19"/>
              </w:rPr>
              <w:t>FE: Penelec</w:t>
            </w:r>
          </w:p>
        </w:tc>
        <w:tc>
          <w:tcPr>
            <w:tcW w:w="2610" w:type="dxa"/>
            <w:tcBorders>
              <w:top w:val="nil"/>
              <w:left w:val="single" w:sz="8" w:space="0" w:color="448A99"/>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$216.19</w:t>
            </w:r>
          </w:p>
        </w:tc>
        <w:tc>
          <w:tcPr>
            <w:tcW w:w="2610"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2.2%</w:t>
            </w:r>
          </w:p>
        </w:tc>
        <w:tc>
          <w:tcPr>
            <w:tcW w:w="2610"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318,813</w:t>
            </w:r>
          </w:p>
        </w:tc>
      </w:tr>
      <w:tr w:rsidR="00A874AC" w:rsidRPr="004837FA" w:rsidTr="004837FA">
        <w:trPr>
          <w:trHeight w:val="141"/>
        </w:trPr>
        <w:tc>
          <w:tcPr>
            <w:tcW w:w="1510" w:type="dxa"/>
            <w:tcBorders>
              <w:top w:val="nil"/>
              <w:left w:val="single" w:sz="8" w:space="0" w:color="448A99"/>
              <w:bottom w:val="single" w:sz="8" w:space="0" w:color="448A99"/>
              <w:right w:val="nil"/>
            </w:tcBorders>
            <w:shd w:val="clear" w:color="000000" w:fill="FFFFFF"/>
            <w:vAlign w:val="center"/>
          </w:tcPr>
          <w:p w:rsidR="00AF1BD2" w:rsidRPr="004837FA" w:rsidRDefault="00AF1BD2" w:rsidP="00AF1BD2">
            <w:pPr>
              <w:jc w:val="left"/>
              <w:rPr>
                <w:sz w:val="19"/>
                <w:szCs w:val="19"/>
              </w:rPr>
            </w:pPr>
            <w:r w:rsidRPr="004837FA">
              <w:rPr>
                <w:bCs/>
                <w:color w:val="000000"/>
                <w:sz w:val="19"/>
                <w:szCs w:val="19"/>
              </w:rPr>
              <w:t>FE: Penn Power</w:t>
            </w:r>
          </w:p>
        </w:tc>
        <w:tc>
          <w:tcPr>
            <w:tcW w:w="2610" w:type="dxa"/>
            <w:tcBorders>
              <w:top w:val="nil"/>
              <w:left w:val="single" w:sz="8" w:space="0" w:color="448A99"/>
              <w:bottom w:val="single" w:sz="8" w:space="0" w:color="448A99"/>
              <w:right w:val="single" w:sz="8" w:space="0" w:color="448A99"/>
            </w:tcBorders>
            <w:shd w:val="clear" w:color="000000" w:fill="FFFFFF"/>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$209.20</w:t>
            </w:r>
          </w:p>
        </w:tc>
        <w:tc>
          <w:tcPr>
            <w:tcW w:w="2610" w:type="dxa"/>
            <w:tcBorders>
              <w:top w:val="nil"/>
              <w:left w:val="nil"/>
              <w:bottom w:val="single" w:sz="8" w:space="0" w:color="448A99"/>
              <w:right w:val="single" w:sz="8" w:space="0" w:color="448A99"/>
            </w:tcBorders>
            <w:shd w:val="clear" w:color="000000" w:fill="FFFFFF"/>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2.0%</w:t>
            </w:r>
          </w:p>
        </w:tc>
        <w:tc>
          <w:tcPr>
            <w:tcW w:w="2610" w:type="dxa"/>
            <w:tcBorders>
              <w:top w:val="nil"/>
              <w:left w:val="nil"/>
              <w:bottom w:val="single" w:sz="8" w:space="0" w:color="448A99"/>
              <w:right w:val="single" w:sz="8" w:space="0" w:color="448A99"/>
            </w:tcBorders>
            <w:shd w:val="clear" w:color="000000" w:fill="FFFFFF"/>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95,502</w:t>
            </w:r>
          </w:p>
        </w:tc>
      </w:tr>
      <w:tr w:rsidR="00A874AC" w:rsidRPr="004837FA" w:rsidTr="004837FA">
        <w:trPr>
          <w:trHeight w:val="141"/>
        </w:trPr>
        <w:tc>
          <w:tcPr>
            <w:tcW w:w="1510" w:type="dxa"/>
            <w:tcBorders>
              <w:top w:val="nil"/>
              <w:left w:val="single" w:sz="8" w:space="0" w:color="448A99"/>
              <w:bottom w:val="single" w:sz="8" w:space="0" w:color="448A99"/>
              <w:right w:val="nil"/>
            </w:tcBorders>
            <w:shd w:val="clear" w:color="000000" w:fill="D2EAF1"/>
            <w:vAlign w:val="center"/>
          </w:tcPr>
          <w:p w:rsidR="00AF1BD2" w:rsidRPr="004837FA" w:rsidRDefault="00AF1BD2" w:rsidP="00AF1BD2">
            <w:pPr>
              <w:jc w:val="left"/>
              <w:rPr>
                <w:sz w:val="19"/>
                <w:szCs w:val="19"/>
              </w:rPr>
            </w:pPr>
            <w:r w:rsidRPr="004837FA">
              <w:rPr>
                <w:bCs/>
                <w:color w:val="000000"/>
                <w:sz w:val="19"/>
                <w:szCs w:val="19"/>
              </w:rPr>
              <w:t>FE: West Penn</w:t>
            </w:r>
          </w:p>
        </w:tc>
        <w:tc>
          <w:tcPr>
            <w:tcW w:w="2610" w:type="dxa"/>
            <w:tcBorders>
              <w:top w:val="nil"/>
              <w:left w:val="single" w:sz="8" w:space="0" w:color="448A99"/>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$209.42</w:t>
            </w:r>
          </w:p>
        </w:tc>
        <w:tc>
          <w:tcPr>
            <w:tcW w:w="2610"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1.6%</w:t>
            </w:r>
          </w:p>
        </w:tc>
        <w:tc>
          <w:tcPr>
            <w:tcW w:w="2610"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337,533</w:t>
            </w:r>
          </w:p>
        </w:tc>
      </w:tr>
      <w:tr w:rsidR="00A874AC" w:rsidRPr="004837FA" w:rsidTr="004837FA">
        <w:trPr>
          <w:trHeight w:val="141"/>
        </w:trPr>
        <w:tc>
          <w:tcPr>
            <w:tcW w:w="1510" w:type="dxa"/>
            <w:tcBorders>
              <w:top w:val="nil"/>
              <w:left w:val="single" w:sz="8" w:space="0" w:color="448A99"/>
              <w:bottom w:val="single" w:sz="8" w:space="0" w:color="448A99"/>
              <w:right w:val="nil"/>
            </w:tcBorders>
            <w:shd w:val="clear" w:color="000000" w:fill="FFFFFF"/>
            <w:vAlign w:val="center"/>
          </w:tcPr>
          <w:p w:rsidR="00323D47" w:rsidRPr="004837FA" w:rsidRDefault="00323D47" w:rsidP="00323D47">
            <w:pPr>
              <w:jc w:val="left"/>
              <w:rPr>
                <w:sz w:val="19"/>
                <w:szCs w:val="19"/>
              </w:rPr>
            </w:pPr>
            <w:r w:rsidRPr="004837FA">
              <w:rPr>
                <w:bCs/>
                <w:color w:val="000000"/>
                <w:sz w:val="19"/>
                <w:szCs w:val="19"/>
              </w:rPr>
              <w:t>PPL</w:t>
            </w:r>
          </w:p>
        </w:tc>
        <w:tc>
          <w:tcPr>
            <w:tcW w:w="2610" w:type="dxa"/>
            <w:tcBorders>
              <w:top w:val="nil"/>
              <w:left w:val="single" w:sz="8" w:space="0" w:color="448A99"/>
              <w:bottom w:val="single" w:sz="8" w:space="0" w:color="448A99"/>
              <w:right w:val="single" w:sz="8" w:space="0" w:color="448A99"/>
            </w:tcBorders>
            <w:shd w:val="clear" w:color="000000" w:fill="FFFFFF"/>
            <w:vAlign w:val="center"/>
          </w:tcPr>
          <w:p w:rsidR="00323D47" w:rsidRPr="004837FA" w:rsidRDefault="00323D47" w:rsidP="00114CA8">
            <w:pPr>
              <w:autoSpaceDE w:val="0"/>
              <w:autoSpaceDN w:val="0"/>
              <w:adjustRightInd w:val="0"/>
              <w:contextualSpacing/>
              <w:jc w:val="center"/>
              <w:rPr>
                <w:rFonts w:cs="Calibri"/>
                <w:sz w:val="19"/>
                <w:szCs w:val="19"/>
              </w:rPr>
            </w:pPr>
            <w:r w:rsidRPr="004837FA">
              <w:rPr>
                <w:color w:val="000000"/>
                <w:sz w:val="19"/>
                <w:szCs w:val="19"/>
              </w:rPr>
              <w:t>$224.71</w:t>
            </w:r>
          </w:p>
        </w:tc>
        <w:tc>
          <w:tcPr>
            <w:tcW w:w="2610" w:type="dxa"/>
            <w:tcBorders>
              <w:top w:val="nil"/>
              <w:left w:val="nil"/>
              <w:bottom w:val="single" w:sz="8" w:space="0" w:color="448A99"/>
              <w:right w:val="single" w:sz="8" w:space="0" w:color="448A99"/>
            </w:tcBorders>
            <w:shd w:val="clear" w:color="000000" w:fill="FFFFFF"/>
            <w:vAlign w:val="center"/>
          </w:tcPr>
          <w:p w:rsidR="00323D47" w:rsidRPr="004837FA" w:rsidRDefault="00323D47" w:rsidP="00114CA8">
            <w:pPr>
              <w:autoSpaceDE w:val="0"/>
              <w:autoSpaceDN w:val="0"/>
              <w:adjustRightInd w:val="0"/>
              <w:contextualSpacing/>
              <w:jc w:val="center"/>
              <w:rPr>
                <w:rFonts w:cs="Calibri"/>
                <w:sz w:val="19"/>
                <w:szCs w:val="19"/>
              </w:rPr>
            </w:pPr>
            <w:r w:rsidRPr="004837FA">
              <w:rPr>
                <w:color w:val="000000"/>
                <w:sz w:val="19"/>
                <w:szCs w:val="19"/>
              </w:rPr>
              <w:t>2.1%</w:t>
            </w:r>
          </w:p>
        </w:tc>
        <w:tc>
          <w:tcPr>
            <w:tcW w:w="2610" w:type="dxa"/>
            <w:tcBorders>
              <w:top w:val="nil"/>
              <w:left w:val="nil"/>
              <w:bottom w:val="single" w:sz="8" w:space="0" w:color="448A99"/>
              <w:right w:val="single" w:sz="8" w:space="0" w:color="448A99"/>
            </w:tcBorders>
            <w:shd w:val="clear" w:color="000000" w:fill="FFFFFF"/>
            <w:vAlign w:val="center"/>
          </w:tcPr>
          <w:p w:rsidR="00323D47" w:rsidRPr="004837FA" w:rsidRDefault="00323D47" w:rsidP="00114CA8">
            <w:pPr>
              <w:autoSpaceDE w:val="0"/>
              <w:autoSpaceDN w:val="0"/>
              <w:adjustRightInd w:val="0"/>
              <w:contextualSpacing/>
              <w:jc w:val="center"/>
              <w:rPr>
                <w:rFonts w:cs="Calibri"/>
                <w:sz w:val="19"/>
                <w:szCs w:val="19"/>
              </w:rPr>
            </w:pPr>
            <w:r w:rsidRPr="004837FA">
              <w:rPr>
                <w:color w:val="000000"/>
                <w:sz w:val="19"/>
                <w:szCs w:val="19"/>
              </w:rPr>
              <w:t>821,072</w:t>
            </w:r>
          </w:p>
        </w:tc>
      </w:tr>
      <w:tr w:rsidR="00A874AC" w:rsidRPr="004837FA" w:rsidTr="004837FA">
        <w:trPr>
          <w:trHeight w:val="141"/>
        </w:trPr>
        <w:tc>
          <w:tcPr>
            <w:tcW w:w="1510" w:type="dxa"/>
            <w:tcBorders>
              <w:top w:val="nil"/>
              <w:left w:val="single" w:sz="8" w:space="0" w:color="448A99"/>
              <w:bottom w:val="single" w:sz="8" w:space="0" w:color="448A99"/>
              <w:right w:val="nil"/>
            </w:tcBorders>
            <w:shd w:val="clear" w:color="000000" w:fill="D2EAF1"/>
            <w:vAlign w:val="center"/>
          </w:tcPr>
          <w:p w:rsidR="00323D47" w:rsidRPr="004837FA" w:rsidRDefault="00323D47" w:rsidP="00323D47">
            <w:pPr>
              <w:jc w:val="left"/>
              <w:rPr>
                <w:sz w:val="19"/>
                <w:szCs w:val="19"/>
              </w:rPr>
            </w:pPr>
            <w:r w:rsidRPr="004837FA">
              <w:rPr>
                <w:bCs/>
                <w:color w:val="000000"/>
                <w:sz w:val="19"/>
                <w:szCs w:val="19"/>
              </w:rPr>
              <w:t>PECO</w:t>
            </w:r>
          </w:p>
        </w:tc>
        <w:tc>
          <w:tcPr>
            <w:tcW w:w="2610" w:type="dxa"/>
            <w:tcBorders>
              <w:top w:val="nil"/>
              <w:left w:val="single" w:sz="8" w:space="0" w:color="448A99"/>
              <w:bottom w:val="single" w:sz="8" w:space="0" w:color="448A99"/>
              <w:right w:val="single" w:sz="8" w:space="0" w:color="448A99"/>
            </w:tcBorders>
            <w:shd w:val="clear" w:color="000000" w:fill="D2EAF1"/>
            <w:vAlign w:val="center"/>
          </w:tcPr>
          <w:p w:rsidR="00323D47" w:rsidRPr="004837FA" w:rsidRDefault="00323D47" w:rsidP="00114CA8">
            <w:pPr>
              <w:autoSpaceDE w:val="0"/>
              <w:autoSpaceDN w:val="0"/>
              <w:adjustRightInd w:val="0"/>
              <w:contextualSpacing/>
              <w:jc w:val="center"/>
              <w:rPr>
                <w:rFonts w:cs="Calibri"/>
                <w:sz w:val="19"/>
                <w:szCs w:val="19"/>
              </w:rPr>
            </w:pPr>
            <w:r w:rsidRPr="004837FA">
              <w:rPr>
                <w:color w:val="000000"/>
                <w:sz w:val="19"/>
                <w:szCs w:val="19"/>
              </w:rPr>
              <w:t>$227.55</w:t>
            </w:r>
          </w:p>
        </w:tc>
        <w:tc>
          <w:tcPr>
            <w:tcW w:w="2610" w:type="dxa"/>
            <w:tcBorders>
              <w:top w:val="nil"/>
              <w:left w:val="nil"/>
              <w:bottom w:val="single" w:sz="8" w:space="0" w:color="448A99"/>
              <w:right w:val="single" w:sz="8" w:space="0" w:color="448A99"/>
            </w:tcBorders>
            <w:shd w:val="clear" w:color="000000" w:fill="D2EAF1"/>
            <w:vAlign w:val="center"/>
          </w:tcPr>
          <w:p w:rsidR="00323D47" w:rsidRPr="004837FA" w:rsidRDefault="00323D47" w:rsidP="00114CA8">
            <w:pPr>
              <w:autoSpaceDE w:val="0"/>
              <w:autoSpaceDN w:val="0"/>
              <w:adjustRightInd w:val="0"/>
              <w:contextualSpacing/>
              <w:jc w:val="center"/>
              <w:rPr>
                <w:rFonts w:cs="Calibri"/>
                <w:sz w:val="19"/>
                <w:szCs w:val="19"/>
              </w:rPr>
            </w:pPr>
            <w:r w:rsidRPr="004837FA">
              <w:rPr>
                <w:color w:val="000000"/>
                <w:sz w:val="19"/>
                <w:szCs w:val="19"/>
              </w:rPr>
              <w:t>2.9%</w:t>
            </w:r>
          </w:p>
        </w:tc>
        <w:tc>
          <w:tcPr>
            <w:tcW w:w="2610" w:type="dxa"/>
            <w:tcBorders>
              <w:top w:val="nil"/>
              <w:left w:val="nil"/>
              <w:bottom w:val="single" w:sz="8" w:space="0" w:color="448A99"/>
              <w:right w:val="single" w:sz="8" w:space="0" w:color="448A99"/>
            </w:tcBorders>
            <w:shd w:val="clear" w:color="000000" w:fill="D2EAF1"/>
            <w:vAlign w:val="center"/>
          </w:tcPr>
          <w:p w:rsidR="00323D47" w:rsidRPr="004837FA" w:rsidRDefault="00323D47" w:rsidP="00114CA8">
            <w:pPr>
              <w:autoSpaceDE w:val="0"/>
              <w:autoSpaceDN w:val="0"/>
              <w:adjustRightInd w:val="0"/>
              <w:contextualSpacing/>
              <w:jc w:val="center"/>
              <w:rPr>
                <w:rFonts w:cs="Calibri"/>
                <w:sz w:val="19"/>
                <w:szCs w:val="19"/>
              </w:rPr>
            </w:pPr>
            <w:r w:rsidRPr="004837FA">
              <w:rPr>
                <w:color w:val="000000"/>
                <w:sz w:val="19"/>
                <w:szCs w:val="19"/>
              </w:rPr>
              <w:t>1,125,851</w:t>
            </w:r>
          </w:p>
        </w:tc>
      </w:tr>
    </w:tbl>
    <w:p w:rsidR="007908C2" w:rsidRPr="0088218F" w:rsidRDefault="007908C2" w:rsidP="0088218F"/>
    <w:p w:rsidR="007908C2" w:rsidRPr="00D0490C" w:rsidRDefault="007908C2" w:rsidP="00E673F0">
      <w:pPr>
        <w:pStyle w:val="Heading3"/>
      </w:pPr>
      <w:bookmarkStart w:id="12" w:name="_Toc472472079"/>
      <w:bookmarkStart w:id="13" w:name="_Toc488765773"/>
      <w:r w:rsidRPr="00D0490C">
        <w:t>Annual Reporting Requirements</w:t>
      </w:r>
      <w:bookmarkEnd w:id="12"/>
      <w:bookmarkEnd w:id="13"/>
    </w:p>
    <w:p w:rsidR="007908C2" w:rsidRDefault="007908C2" w:rsidP="007908C2">
      <w:pPr>
        <w:pStyle w:val="bullettext"/>
        <w:spacing w:after="0"/>
      </w:pPr>
      <w:r w:rsidRPr="00D446B4">
        <w:t xml:space="preserve">This report is the </w:t>
      </w:r>
      <w:r>
        <w:t>seventh</w:t>
      </w:r>
      <w:r w:rsidRPr="00D446B4">
        <w:t xml:space="preserve"> annual report from the SWE Team to the Commission. </w:t>
      </w:r>
      <w:r w:rsidR="008E7430" w:rsidRPr="00D446B4">
        <w:t xml:space="preserve">This report provides detailed information on the findings of the SWE Team’s Program Year </w:t>
      </w:r>
      <w:r w:rsidR="008E7430">
        <w:t>Seven</w:t>
      </w:r>
      <w:r w:rsidR="008E7430" w:rsidRPr="00D446B4">
        <w:t xml:space="preserve"> (PY</w:t>
      </w:r>
      <w:r w:rsidR="008E7430">
        <w:t>7</w:t>
      </w:r>
      <w:r w:rsidR="008E7430" w:rsidRPr="00D446B4">
        <w:t>) audit activities of the Act 129 EE&amp;C programs implemented by seven EDCs in Pennsylvania</w:t>
      </w:r>
      <w:r w:rsidR="008E7430">
        <w:t xml:space="preserve"> and reports the status of EDC compliance with the Phase II MWh savings targets</w:t>
      </w:r>
      <w:r w:rsidR="008E7430" w:rsidRPr="00D446B4">
        <w:t xml:space="preserve">. </w:t>
      </w:r>
      <w:r w:rsidRPr="00D446B4">
        <w:t>PY</w:t>
      </w:r>
      <w:r>
        <w:t>7</w:t>
      </w:r>
      <w:r w:rsidRPr="00D446B4">
        <w:t xml:space="preserve"> started </w:t>
      </w:r>
      <w:r>
        <w:t xml:space="preserve">on </w:t>
      </w:r>
      <w:r w:rsidRPr="00D446B4">
        <w:t>June 1, 201</w:t>
      </w:r>
      <w:r>
        <w:t>5</w:t>
      </w:r>
      <w:r w:rsidRPr="00D446B4">
        <w:t xml:space="preserve"> and ended </w:t>
      </w:r>
      <w:r>
        <w:t xml:space="preserve">on </w:t>
      </w:r>
      <w:r w:rsidRPr="00D446B4">
        <w:t>May 31, 201</w:t>
      </w:r>
      <w:r>
        <w:t>6. PY7 is the third year of the three-year period covered by Phase II</w:t>
      </w:r>
      <w:r w:rsidRPr="00D446B4">
        <w:t>.</w:t>
      </w:r>
      <w:r w:rsidR="007329BF">
        <w:rPr>
          <w:rStyle w:val="FootnoteReference"/>
        </w:rPr>
        <w:footnoteReference w:id="6"/>
      </w:r>
      <w:r>
        <w:t xml:space="preserve"> This report also provides information on the Act 129 Phase I </w:t>
      </w:r>
      <w:r w:rsidR="00B83235">
        <w:t>and</w:t>
      </w:r>
      <w:r>
        <w:t xml:space="preserve"> II EDC expenditures, MW</w:t>
      </w:r>
      <w:r w:rsidR="00B83235">
        <w:t>h</w:t>
      </w:r>
      <w:r>
        <w:t xml:space="preserve"> and MW savings, and the acquisition costs </w:t>
      </w:r>
      <w:r w:rsidR="00B83235">
        <w:t xml:space="preserve">per first-year kWh </w:t>
      </w:r>
      <w:r>
        <w:t>saved by program year and EDC.</w:t>
      </w:r>
    </w:p>
    <w:p w:rsidR="007908C2" w:rsidRDefault="007908C2" w:rsidP="007908C2">
      <w:pPr>
        <w:pStyle w:val="bullettext"/>
        <w:spacing w:after="0"/>
      </w:pPr>
      <w:r w:rsidRPr="00D446B4">
        <w:t xml:space="preserve"> </w:t>
      </w:r>
    </w:p>
    <w:p w:rsidR="007908C2" w:rsidRPr="00D446B4" w:rsidRDefault="007908C2" w:rsidP="007908C2">
      <w:pPr>
        <w:pStyle w:val="bullettext"/>
      </w:pPr>
      <w:r w:rsidRPr="00D446B4">
        <w:t xml:space="preserve">The </w:t>
      </w:r>
      <w:r>
        <w:t>SWE contract specifies</w:t>
      </w:r>
      <w:r>
        <w:rPr>
          <w:rStyle w:val="FootnoteReference"/>
        </w:rPr>
        <w:footnoteReference w:id="7"/>
      </w:r>
      <w:r>
        <w:t xml:space="preserve"> that the SWE final annual report for Phase II be completed by February 28, 2017 and must include, but is not limited to, the following:</w:t>
      </w:r>
    </w:p>
    <w:p w:rsidR="007908C2" w:rsidRPr="00F6769E" w:rsidRDefault="007908C2" w:rsidP="00E646C9">
      <w:pPr>
        <w:pStyle w:val="ListParagraph"/>
        <w:numPr>
          <w:ilvl w:val="0"/>
          <w:numId w:val="51"/>
        </w:numPr>
        <w:spacing w:after="120"/>
        <w:ind w:left="360"/>
        <w:contextualSpacing w:val="0"/>
      </w:pPr>
      <w:r w:rsidRPr="00F6769E">
        <w:t>An analysis and reporting of program impacts (demand and energy savings) and cost-effectiveness</w:t>
      </w:r>
    </w:p>
    <w:p w:rsidR="007908C2" w:rsidRPr="00F6769E" w:rsidRDefault="007908C2" w:rsidP="00E646C9">
      <w:pPr>
        <w:pStyle w:val="ListParagraph"/>
        <w:numPr>
          <w:ilvl w:val="0"/>
          <w:numId w:val="51"/>
        </w:numPr>
        <w:spacing w:after="120"/>
        <w:ind w:left="360"/>
        <w:contextualSpacing w:val="0"/>
      </w:pPr>
      <w:r w:rsidRPr="00F6769E">
        <w:t>An analysis and assessment of each EDC’s plan and actual program expenditures</w:t>
      </w:r>
    </w:p>
    <w:p w:rsidR="007908C2" w:rsidRPr="00F6769E" w:rsidRDefault="007908C2" w:rsidP="00E646C9">
      <w:pPr>
        <w:pStyle w:val="ListParagraph"/>
        <w:numPr>
          <w:ilvl w:val="0"/>
          <w:numId w:val="51"/>
        </w:numPr>
        <w:spacing w:after="120"/>
        <w:ind w:left="360"/>
        <w:contextualSpacing w:val="0"/>
      </w:pPr>
      <w:r w:rsidRPr="00F6769E">
        <w:t>An analysis of each EDC’s compliance with Pennsylvania TRM protocols for measurement and verification (M&amp;V) of energy and demand savings attributable to its plan, in accordance with the Commission-adopted TRM and custom measure protocols</w:t>
      </w:r>
    </w:p>
    <w:p w:rsidR="007908C2" w:rsidRPr="00F6769E" w:rsidRDefault="007908C2" w:rsidP="00E646C9">
      <w:pPr>
        <w:pStyle w:val="ListParagraph"/>
        <w:numPr>
          <w:ilvl w:val="0"/>
          <w:numId w:val="51"/>
        </w:numPr>
        <w:spacing w:after="120"/>
        <w:ind w:left="360"/>
        <w:contextualSpacing w:val="0"/>
      </w:pPr>
      <w:r w:rsidRPr="00F6769E">
        <w:t>An analysis of the cost-effectiveness of each EDC’s expenditures in accordance with the latest Commission-adopted TRC Test Order</w:t>
      </w:r>
    </w:p>
    <w:p w:rsidR="007908C2" w:rsidRPr="00F6769E" w:rsidRDefault="007908C2" w:rsidP="00E646C9">
      <w:pPr>
        <w:pStyle w:val="ListParagraph"/>
        <w:numPr>
          <w:ilvl w:val="0"/>
          <w:numId w:val="51"/>
        </w:numPr>
        <w:spacing w:after="120"/>
        <w:ind w:left="360"/>
        <w:contextualSpacing w:val="0"/>
      </w:pPr>
      <w:r w:rsidRPr="00F6769E">
        <w:t>An analysis of TRM information and savings values, with suggestions for possible revisions and additions</w:t>
      </w:r>
    </w:p>
    <w:p w:rsidR="007908C2" w:rsidRPr="00F6769E" w:rsidRDefault="007908C2" w:rsidP="00E646C9">
      <w:pPr>
        <w:pStyle w:val="ListParagraph"/>
        <w:numPr>
          <w:ilvl w:val="0"/>
          <w:numId w:val="51"/>
        </w:numPr>
        <w:spacing w:after="120"/>
        <w:ind w:left="360"/>
        <w:contextualSpacing w:val="0"/>
      </w:pPr>
      <w:r w:rsidRPr="00F6769E">
        <w:t>A review of the</w:t>
      </w:r>
      <w:r w:rsidR="003E12A1" w:rsidRPr="00F6769E">
        <w:t xml:space="preserve"> Commission’s </w:t>
      </w:r>
      <w:r w:rsidRPr="00F6769E">
        <w:t xml:space="preserve">TRC </w:t>
      </w:r>
      <w:r w:rsidR="003E12A1" w:rsidRPr="00F6769E">
        <w:t>T</w:t>
      </w:r>
      <w:r w:rsidRPr="00F6769E">
        <w:t xml:space="preserve">est </w:t>
      </w:r>
      <w:r w:rsidR="003E12A1" w:rsidRPr="00F6769E">
        <w:t>Order</w:t>
      </w:r>
      <w:r w:rsidRPr="00F6769E">
        <w:t>, with suggestions for possible revisions and additions</w:t>
      </w:r>
      <w:r w:rsidR="003E12A1" w:rsidRPr="00F6769E">
        <w:t xml:space="preserve"> to the TRC test</w:t>
      </w:r>
    </w:p>
    <w:p w:rsidR="007908C2" w:rsidRPr="00F6769E" w:rsidRDefault="007908C2" w:rsidP="00E646C9">
      <w:pPr>
        <w:pStyle w:val="ListParagraph"/>
        <w:numPr>
          <w:ilvl w:val="0"/>
          <w:numId w:val="51"/>
        </w:numPr>
        <w:spacing w:after="120"/>
        <w:ind w:left="360"/>
        <w:contextualSpacing w:val="0"/>
      </w:pPr>
      <w:r w:rsidRPr="00F6769E">
        <w:t>A review of any proposed revisions and updates to EDC plans</w:t>
      </w:r>
    </w:p>
    <w:p w:rsidR="007908C2" w:rsidRPr="00F6769E" w:rsidRDefault="007908C2" w:rsidP="00E646C9">
      <w:pPr>
        <w:pStyle w:val="ListParagraph"/>
        <w:numPr>
          <w:ilvl w:val="0"/>
          <w:numId w:val="51"/>
        </w:numPr>
        <w:ind w:left="360"/>
      </w:pPr>
      <w:r w:rsidRPr="00F6769E">
        <w:t>Recommendations for program, EE&amp;C plan, and evaluation plan improvements</w:t>
      </w:r>
    </w:p>
    <w:p w:rsidR="00AE2D27" w:rsidRPr="000123A3" w:rsidRDefault="00AE2D27" w:rsidP="000123A3">
      <w:bookmarkStart w:id="14" w:name="_Toc472472080"/>
    </w:p>
    <w:p w:rsidR="007908C2" w:rsidRDefault="007908C2" w:rsidP="00E673F0">
      <w:pPr>
        <w:pStyle w:val="Heading3"/>
      </w:pPr>
      <w:bookmarkStart w:id="15" w:name="_Toc488765774"/>
      <w:r>
        <w:t>EDC Cost Recovery for Act 129 EE&amp;C Programs</w:t>
      </w:r>
      <w:bookmarkEnd w:id="14"/>
      <w:bookmarkEnd w:id="15"/>
    </w:p>
    <w:p w:rsidR="007908C2" w:rsidRDefault="007908C2" w:rsidP="007908C2">
      <w:r>
        <w:t>Pennsylvania</w:t>
      </w:r>
      <w:r w:rsidRPr="00A257CB">
        <w:t xml:space="preserve"> Act</w:t>
      </w:r>
      <w:r>
        <w:t xml:space="preserve"> 129</w:t>
      </w:r>
      <w:r w:rsidRPr="00A257CB">
        <w:t xml:space="preserve"> allows </w:t>
      </w:r>
      <w:r>
        <w:t>each</w:t>
      </w:r>
      <w:r w:rsidRPr="00A257CB">
        <w:t xml:space="preserve"> EDC to recover, on a full and current basis from customers, through a reconcilable adjustment clause under 66 Pa. C.S. §1307, all reasonable and prudent costs incurred in the </w:t>
      </w:r>
      <w:r w:rsidRPr="00A257CB">
        <w:lastRenderedPageBreak/>
        <w:t xml:space="preserve">provision or management of its </w:t>
      </w:r>
      <w:r>
        <w:t xml:space="preserve">EE&amp;C </w:t>
      </w:r>
      <w:r w:rsidRPr="00A257CB">
        <w:t>plan. The Act also requires that each EDC's plan include a proposed cost</w:t>
      </w:r>
      <w:r>
        <w:t>-</w:t>
      </w:r>
      <w:r w:rsidRPr="00A257CB">
        <w:t xml:space="preserve">recovery tariff mechanism, in accordance with 66 Pa. C.S. §1307 (relating to sliding scale of rates; adjustments), to fund all measures and to ensure a full and current recovery of prudent and reasonable costs, including administrative costs, as approved by the Commission. </w:t>
      </w:r>
    </w:p>
    <w:p w:rsidR="007908C2" w:rsidRDefault="007908C2" w:rsidP="007908C2"/>
    <w:p w:rsidR="007908C2" w:rsidRDefault="007908C2" w:rsidP="00E673F0">
      <w:pPr>
        <w:pStyle w:val="Heading3"/>
      </w:pPr>
      <w:bookmarkStart w:id="16" w:name="_Toc472472081"/>
      <w:bookmarkStart w:id="17" w:name="_Toc488765775"/>
      <w:r>
        <w:t>EE&amp;C Program – Phase II Implementation Order</w:t>
      </w:r>
      <w:bookmarkEnd w:id="16"/>
      <w:bookmarkEnd w:id="17"/>
    </w:p>
    <w:p w:rsidR="007908C2" w:rsidRDefault="007908C2" w:rsidP="000F5A29">
      <w:pPr>
        <w:pStyle w:val="p3"/>
        <w:widowControl/>
        <w:tabs>
          <w:tab w:val="clear" w:pos="204"/>
          <w:tab w:val="left" w:pos="720"/>
        </w:tabs>
        <w:spacing w:after="120"/>
        <w:jc w:val="both"/>
        <w:rPr>
          <w:rFonts w:asciiTheme="minorHAnsi" w:hAnsiTheme="minorHAnsi"/>
          <w:sz w:val="22"/>
          <w:szCs w:val="22"/>
        </w:rPr>
      </w:pPr>
      <w:r w:rsidRPr="00FF5EE7">
        <w:rPr>
          <w:rFonts w:asciiTheme="minorHAnsi" w:hAnsiTheme="minorHAnsi"/>
          <w:sz w:val="22"/>
          <w:szCs w:val="22"/>
        </w:rPr>
        <w:t xml:space="preserve">The Commission’s Phase II Implementation Order </w:t>
      </w:r>
      <w:r>
        <w:rPr>
          <w:rFonts w:asciiTheme="minorHAnsi" w:hAnsiTheme="minorHAnsi"/>
          <w:sz w:val="22"/>
          <w:szCs w:val="22"/>
        </w:rPr>
        <w:t xml:space="preserve">established the </w:t>
      </w:r>
      <w:r w:rsidRPr="00FF5EE7">
        <w:rPr>
          <w:rFonts w:asciiTheme="minorHAnsi" w:hAnsiTheme="minorHAnsi"/>
          <w:sz w:val="22"/>
          <w:szCs w:val="22"/>
        </w:rPr>
        <w:t xml:space="preserve">additional incremental reductions in </w:t>
      </w:r>
      <w:r>
        <w:rPr>
          <w:rFonts w:asciiTheme="minorHAnsi" w:hAnsiTheme="minorHAnsi"/>
          <w:sz w:val="22"/>
          <w:szCs w:val="22"/>
        </w:rPr>
        <w:t xml:space="preserve">electricity </w:t>
      </w:r>
      <w:r w:rsidRPr="00FF5EE7">
        <w:rPr>
          <w:rFonts w:asciiTheme="minorHAnsi" w:hAnsiTheme="minorHAnsi"/>
          <w:sz w:val="22"/>
          <w:szCs w:val="22"/>
        </w:rPr>
        <w:t>consumption</w:t>
      </w:r>
      <w:r>
        <w:rPr>
          <w:rFonts w:asciiTheme="minorHAnsi" w:hAnsiTheme="minorHAnsi"/>
          <w:sz w:val="22"/>
          <w:szCs w:val="22"/>
        </w:rPr>
        <w:t xml:space="preserve"> to be achieved by the end of Phase II by each of the seven EDCs subject to Act 129,</w:t>
      </w:r>
      <w:r w:rsidRPr="00FF5EE7">
        <w:rPr>
          <w:rFonts w:asciiTheme="minorHAnsi" w:hAnsiTheme="minorHAnsi"/>
          <w:sz w:val="22"/>
          <w:szCs w:val="22"/>
        </w:rPr>
        <w:t xml:space="preserve"> establish</w:t>
      </w:r>
      <w:r>
        <w:rPr>
          <w:rFonts w:asciiTheme="minorHAnsi" w:hAnsiTheme="minorHAnsi"/>
          <w:sz w:val="22"/>
          <w:szCs w:val="22"/>
        </w:rPr>
        <w:t>ed</w:t>
      </w:r>
      <w:r w:rsidRPr="00FF5EE7">
        <w:rPr>
          <w:rFonts w:asciiTheme="minorHAnsi" w:hAnsiTheme="minorHAnsi"/>
          <w:sz w:val="22"/>
          <w:szCs w:val="22"/>
        </w:rPr>
        <w:t xml:space="preserve"> the standards </w:t>
      </w:r>
      <w:r>
        <w:rPr>
          <w:rFonts w:asciiTheme="minorHAnsi" w:hAnsiTheme="minorHAnsi"/>
          <w:sz w:val="22"/>
          <w:szCs w:val="22"/>
        </w:rPr>
        <w:t xml:space="preserve">that </w:t>
      </w:r>
      <w:r w:rsidRPr="00FF5EE7">
        <w:rPr>
          <w:rFonts w:asciiTheme="minorHAnsi" w:hAnsiTheme="minorHAnsi"/>
          <w:sz w:val="22"/>
          <w:szCs w:val="22"/>
        </w:rPr>
        <w:t>each</w:t>
      </w:r>
      <w:r>
        <w:rPr>
          <w:rFonts w:asciiTheme="minorHAnsi" w:hAnsiTheme="minorHAnsi"/>
          <w:sz w:val="22"/>
          <w:szCs w:val="22"/>
        </w:rPr>
        <w:t xml:space="preserve"> EDC’s EE&amp;C plan for Phase II</w:t>
      </w:r>
      <w:r w:rsidRPr="00FF5EE7">
        <w:rPr>
          <w:rFonts w:asciiTheme="minorHAnsi" w:hAnsiTheme="minorHAnsi"/>
          <w:sz w:val="22"/>
          <w:szCs w:val="22"/>
        </w:rPr>
        <w:t xml:space="preserve"> must meet</w:t>
      </w:r>
      <w:r>
        <w:rPr>
          <w:rFonts w:asciiTheme="minorHAnsi" w:hAnsiTheme="minorHAnsi"/>
          <w:sz w:val="22"/>
          <w:szCs w:val="22"/>
        </w:rPr>
        <w:t>,</w:t>
      </w:r>
      <w:r w:rsidRPr="00FF5EE7">
        <w:rPr>
          <w:rFonts w:asciiTheme="minorHAnsi" w:hAnsiTheme="minorHAnsi"/>
          <w:sz w:val="22"/>
          <w:szCs w:val="22"/>
        </w:rPr>
        <w:t xml:space="preserve"> and provide</w:t>
      </w:r>
      <w:r>
        <w:rPr>
          <w:rFonts w:asciiTheme="minorHAnsi" w:hAnsiTheme="minorHAnsi"/>
          <w:sz w:val="22"/>
          <w:szCs w:val="22"/>
        </w:rPr>
        <w:t>d</w:t>
      </w:r>
      <w:r w:rsidRPr="00FF5EE7">
        <w:rPr>
          <w:rFonts w:asciiTheme="minorHAnsi" w:hAnsiTheme="minorHAnsi"/>
          <w:sz w:val="22"/>
          <w:szCs w:val="22"/>
        </w:rPr>
        <w:t xml:space="preserve"> guidance on the procedures to be followed for </w:t>
      </w:r>
      <w:r>
        <w:rPr>
          <w:rFonts w:asciiTheme="minorHAnsi" w:hAnsiTheme="minorHAnsi"/>
          <w:sz w:val="22"/>
          <w:szCs w:val="22"/>
        </w:rPr>
        <w:t xml:space="preserve">the </w:t>
      </w:r>
      <w:r w:rsidRPr="00FF5EE7">
        <w:rPr>
          <w:rFonts w:asciiTheme="minorHAnsi" w:hAnsiTheme="minorHAnsi"/>
          <w:sz w:val="22"/>
          <w:szCs w:val="22"/>
        </w:rPr>
        <w:t>submittal, review</w:t>
      </w:r>
      <w:r>
        <w:rPr>
          <w:rFonts w:asciiTheme="minorHAnsi" w:hAnsiTheme="minorHAnsi"/>
          <w:sz w:val="22"/>
          <w:szCs w:val="22"/>
        </w:rPr>
        <w:t>,</w:t>
      </w:r>
      <w:r w:rsidRPr="00FF5EE7">
        <w:rPr>
          <w:rFonts w:asciiTheme="minorHAnsi" w:hAnsiTheme="minorHAnsi"/>
          <w:sz w:val="22"/>
          <w:szCs w:val="22"/>
        </w:rPr>
        <w:t xml:space="preserve"> and approval of all aspects of EE&amp;C plans for Phase II of the </w:t>
      </w:r>
      <w:r>
        <w:rPr>
          <w:rFonts w:asciiTheme="minorHAnsi" w:hAnsiTheme="minorHAnsi"/>
          <w:sz w:val="22"/>
          <w:szCs w:val="22"/>
        </w:rPr>
        <w:t xml:space="preserve">Act 129 </w:t>
      </w:r>
      <w:r w:rsidRPr="00FF5EE7">
        <w:rPr>
          <w:rFonts w:asciiTheme="minorHAnsi" w:hAnsiTheme="minorHAnsi"/>
          <w:sz w:val="22"/>
          <w:szCs w:val="22"/>
        </w:rPr>
        <w:t>program</w:t>
      </w:r>
      <w:r>
        <w:rPr>
          <w:rFonts w:asciiTheme="minorHAnsi" w:hAnsiTheme="minorHAnsi"/>
          <w:sz w:val="22"/>
          <w:szCs w:val="22"/>
        </w:rPr>
        <w:t>s</w:t>
      </w:r>
      <w:r w:rsidRPr="00FF5EE7">
        <w:rPr>
          <w:rFonts w:asciiTheme="minorHAnsi" w:hAnsiTheme="minorHAnsi"/>
          <w:sz w:val="22"/>
          <w:szCs w:val="22"/>
        </w:rPr>
        <w:t>.</w:t>
      </w:r>
      <w:r>
        <w:rPr>
          <w:rFonts w:asciiTheme="minorHAnsi" w:hAnsiTheme="minorHAnsi"/>
          <w:sz w:val="22"/>
          <w:szCs w:val="22"/>
        </w:rPr>
        <w:t xml:space="preserve"> Listed below are the ke</w:t>
      </w:r>
      <w:r w:rsidR="00837B85">
        <w:rPr>
          <w:rFonts w:asciiTheme="minorHAnsi" w:hAnsiTheme="minorHAnsi"/>
          <w:sz w:val="22"/>
          <w:szCs w:val="22"/>
        </w:rPr>
        <w:t>y elements of the August 3, 2012</w:t>
      </w:r>
      <w:r>
        <w:rPr>
          <w:rFonts w:asciiTheme="minorHAnsi" w:hAnsiTheme="minorHAnsi"/>
          <w:sz w:val="22"/>
          <w:szCs w:val="22"/>
        </w:rPr>
        <w:t xml:space="preserve"> Phase II Implementation Order:</w:t>
      </w:r>
    </w:p>
    <w:p w:rsidR="007908C2" w:rsidRDefault="007908C2" w:rsidP="00E646C9">
      <w:pPr>
        <w:pStyle w:val="ListParagraph"/>
        <w:numPr>
          <w:ilvl w:val="0"/>
          <w:numId w:val="45"/>
        </w:numPr>
        <w:ind w:left="360"/>
      </w:pPr>
      <w:r>
        <w:t>Established</w:t>
      </w:r>
      <w:r w:rsidRPr="00FF5EE7">
        <w:t xml:space="preserve"> the Phase II </w:t>
      </w:r>
      <w:r>
        <w:t>EE&amp;C</w:t>
      </w:r>
      <w:r w:rsidRPr="00FF5EE7">
        <w:t xml:space="preserve"> program as outlined in this Implementation Order.</w:t>
      </w:r>
    </w:p>
    <w:p w:rsidR="007908C2" w:rsidRDefault="007908C2" w:rsidP="00E646C9">
      <w:pPr>
        <w:pStyle w:val="ListParagraph"/>
        <w:numPr>
          <w:ilvl w:val="0"/>
          <w:numId w:val="45"/>
        </w:numPr>
        <w:ind w:left="360"/>
      </w:pPr>
      <w:r>
        <w:t>Tentatively adopted</w:t>
      </w:r>
      <w:r w:rsidRPr="00FF5EE7">
        <w:t xml:space="preserve"> the </w:t>
      </w:r>
      <w:r>
        <w:t>EDC</w:t>
      </w:r>
      <w:r w:rsidR="001B7999">
        <w:t>-</w:t>
      </w:r>
      <w:r w:rsidRPr="00FF5EE7">
        <w:t>specific consumption reduction targets set forth in Table 1 in Section A.2.c.1. of this Implementation Order. These co</w:t>
      </w:r>
      <w:r>
        <w:t>nsumption reduction targets were to</w:t>
      </w:r>
      <w:r w:rsidRPr="00FF5EE7">
        <w:t xml:space="preserve"> become final for any covered </w:t>
      </w:r>
      <w:r>
        <w:t>EDC</w:t>
      </w:r>
      <w:r w:rsidRPr="00FF5EE7">
        <w:t xml:space="preserve"> that </w:t>
      </w:r>
      <w:r w:rsidR="00371E06">
        <w:t>did</w:t>
      </w:r>
      <w:r w:rsidRPr="00FF5EE7">
        <w:t xml:space="preserve"> not petition the Commission for an evidentiary hearing by August 20, </w:t>
      </w:r>
      <w:r w:rsidR="001B7999" w:rsidRPr="00FF5EE7">
        <w:t>2012</w:t>
      </w:r>
      <w:r w:rsidRPr="00FF5EE7">
        <w:t>.</w:t>
      </w:r>
    </w:p>
    <w:p w:rsidR="007908C2" w:rsidRPr="00FF5EE7" w:rsidRDefault="007908C2" w:rsidP="00E646C9">
      <w:pPr>
        <w:pStyle w:val="ListParagraph"/>
        <w:numPr>
          <w:ilvl w:val="0"/>
          <w:numId w:val="45"/>
        </w:numPr>
        <w:ind w:left="360"/>
      </w:pPr>
      <w:r>
        <w:t>Stated that</w:t>
      </w:r>
      <w:r w:rsidRPr="00FF5EE7">
        <w:t xml:space="preserve"> if an </w:t>
      </w:r>
      <w:r>
        <w:t>EDC filed</w:t>
      </w:r>
      <w:r w:rsidRPr="00FF5EE7">
        <w:t xml:space="preserve"> a petition for an evidentiary hearing</w:t>
      </w:r>
      <w:r>
        <w:t>,</w:t>
      </w:r>
      <w:r w:rsidRPr="00FF5EE7">
        <w:t xml:space="preserve"> the matter </w:t>
      </w:r>
      <w:r w:rsidR="00371E06">
        <w:t xml:space="preserve">would </w:t>
      </w:r>
      <w:r w:rsidRPr="00FF5EE7">
        <w:t>be referred to the Office of Administrative Law Judge for hearings</w:t>
      </w:r>
      <w:r>
        <w:t>,</w:t>
      </w:r>
      <w:r w:rsidRPr="00FF5EE7">
        <w:t xml:space="preserve"> with the record being certified to the Commission by November 2</w:t>
      </w:r>
      <w:r w:rsidR="001B7999" w:rsidRPr="00FF5EE7">
        <w:t>, 2012</w:t>
      </w:r>
      <w:r w:rsidRPr="00FF5EE7">
        <w:t xml:space="preserve">. Any party seeking to intervene in any such proceeding </w:t>
      </w:r>
      <w:r>
        <w:t>was ordered to</w:t>
      </w:r>
      <w:r w:rsidRPr="00FF5EE7">
        <w:t xml:space="preserve"> file a Petition for Intervention with</w:t>
      </w:r>
      <w:r>
        <w:t>in</w:t>
      </w:r>
      <w:r w:rsidRPr="00FF5EE7">
        <w:t xml:space="preserve"> 10 days of an </w:t>
      </w:r>
      <w:r>
        <w:t>EDC</w:t>
      </w:r>
      <w:r w:rsidRPr="00FF5EE7">
        <w:t xml:space="preserve"> filing a petition for an evidentiary hearing. </w:t>
      </w:r>
    </w:p>
    <w:p w:rsidR="007908C2" w:rsidRPr="00FF5EE7" w:rsidRDefault="007908C2" w:rsidP="00E646C9">
      <w:pPr>
        <w:pStyle w:val="ListParagraph"/>
        <w:numPr>
          <w:ilvl w:val="0"/>
          <w:numId w:val="45"/>
        </w:numPr>
        <w:ind w:left="360"/>
      </w:pPr>
      <w:r>
        <w:t>Ordered that Pennsylvania EDCs</w:t>
      </w:r>
      <w:r w:rsidRPr="00FF5EE7">
        <w:t xml:space="preserve"> with at least 100,000 customers </w:t>
      </w:r>
      <w:r>
        <w:t xml:space="preserve">must </w:t>
      </w:r>
      <w:r w:rsidRPr="00FF5EE7">
        <w:t xml:space="preserve">adhere to the schedule for submission and filing requirements for </w:t>
      </w:r>
      <w:r>
        <w:t>Phase II EE&amp;C</w:t>
      </w:r>
      <w:r w:rsidRPr="00FF5EE7">
        <w:t xml:space="preserve"> plans identified in this Implementation Order.</w:t>
      </w:r>
    </w:p>
    <w:p w:rsidR="007908C2" w:rsidRPr="00FF5EE7" w:rsidRDefault="007908C2" w:rsidP="00E646C9">
      <w:pPr>
        <w:pStyle w:val="ListParagraph"/>
        <w:numPr>
          <w:ilvl w:val="0"/>
          <w:numId w:val="45"/>
        </w:numPr>
        <w:ind w:left="360"/>
      </w:pPr>
      <w:r>
        <w:t>Ordered t</w:t>
      </w:r>
      <w:r w:rsidRPr="00FF5EE7">
        <w:t xml:space="preserve">hat the Commission staff shall have delegated authority to review and approve </w:t>
      </w:r>
      <w:r>
        <w:t>EDC-</w:t>
      </w:r>
      <w:r w:rsidRPr="00FF5EE7">
        <w:t xml:space="preserve">proposed conservation service provider </w:t>
      </w:r>
      <w:r>
        <w:t xml:space="preserve">(CSP) </w:t>
      </w:r>
      <w:r w:rsidRPr="00FF5EE7">
        <w:t>bidding processes, as set forth in Section H of this Implementation Order. Such staff determination shall be the final determination of the Commission unless appealed to the full Commission within 20 days, per 52 Pa. Code §5.44.</w:t>
      </w:r>
    </w:p>
    <w:p w:rsidR="007908C2" w:rsidRPr="00FF5EE7" w:rsidRDefault="007908C2" w:rsidP="00E646C9">
      <w:pPr>
        <w:pStyle w:val="ListParagraph"/>
        <w:numPr>
          <w:ilvl w:val="0"/>
          <w:numId w:val="45"/>
        </w:numPr>
        <w:ind w:left="360"/>
      </w:pPr>
      <w:r>
        <w:t>Ordered t</w:t>
      </w:r>
      <w:r w:rsidRPr="00FF5EE7">
        <w:t xml:space="preserve">hat the Commission staff shall have delegated authority to review and approve contracts between </w:t>
      </w:r>
      <w:r>
        <w:t>EDCs</w:t>
      </w:r>
      <w:r w:rsidRPr="00FF5EE7">
        <w:t xml:space="preserve"> and </w:t>
      </w:r>
      <w:r>
        <w:t>CSPs</w:t>
      </w:r>
      <w:r w:rsidRPr="00FF5EE7">
        <w:t>, as set forth in Section H of this Implementation Order. Such staff determinations shall be the final determination of the Commission unless appealed to the full Commission within 20 days, per 52 Pa. Code §5.44.</w:t>
      </w:r>
    </w:p>
    <w:p w:rsidR="007908C2" w:rsidRPr="00FF5EE7" w:rsidRDefault="007908C2" w:rsidP="00E646C9">
      <w:pPr>
        <w:pStyle w:val="ListParagraph"/>
        <w:numPr>
          <w:ilvl w:val="0"/>
          <w:numId w:val="45"/>
        </w:numPr>
        <w:ind w:left="360"/>
      </w:pPr>
      <w:r>
        <w:t>Ordered t</w:t>
      </w:r>
      <w:r w:rsidRPr="00FF5EE7">
        <w:t xml:space="preserve">hat the Commission staff shall have delegated authority to review and approve minor </w:t>
      </w:r>
      <w:r>
        <w:t>EE&amp;C</w:t>
      </w:r>
      <w:r w:rsidRPr="00FF5EE7">
        <w:t xml:space="preserve"> plan changes in accordance with the procedures set forth in Section G of this Implementation Order and this Commission’s </w:t>
      </w:r>
      <w:r w:rsidR="001B7999" w:rsidRPr="00FF5EE7">
        <w:t xml:space="preserve">June 10, 2011 </w:t>
      </w:r>
      <w:r w:rsidRPr="00FF5EE7">
        <w:t>Final Order</w:t>
      </w:r>
      <w:r w:rsidR="00EB6C59">
        <w:t xml:space="preserve"> in</w:t>
      </w:r>
      <w:r w:rsidRPr="00FF5EE7">
        <w:t xml:space="preserve"> Docket Number M-2008-2069887.</w:t>
      </w:r>
    </w:p>
    <w:p w:rsidR="007908C2" w:rsidRPr="00FF5EE7" w:rsidRDefault="007908C2" w:rsidP="00E646C9">
      <w:pPr>
        <w:pStyle w:val="ListParagraph"/>
        <w:numPr>
          <w:ilvl w:val="0"/>
          <w:numId w:val="45"/>
        </w:numPr>
        <w:ind w:left="360"/>
      </w:pPr>
      <w:r>
        <w:t>Ordered t</w:t>
      </w:r>
      <w:r w:rsidRPr="00FF5EE7">
        <w:t xml:space="preserve">hat the Commission’s Bureau of Consumer Services and Bureau of Technical Utility Services </w:t>
      </w:r>
      <w:r>
        <w:t xml:space="preserve">(TUS) </w:t>
      </w:r>
      <w:r w:rsidRPr="00FF5EE7">
        <w:t xml:space="preserve">initiate a working group to investigate best practices from other states and identify working models for on-bill financing and on-bill repayment that address the concerns of all interested stakeholders.  </w:t>
      </w:r>
    </w:p>
    <w:p w:rsidR="007908C2" w:rsidRPr="00FF5EE7" w:rsidRDefault="007908C2" w:rsidP="00E646C9">
      <w:pPr>
        <w:pStyle w:val="ListParagraph"/>
        <w:numPr>
          <w:ilvl w:val="0"/>
          <w:numId w:val="45"/>
        </w:numPr>
        <w:ind w:left="360"/>
      </w:pPr>
      <w:r>
        <w:t>Ordered t</w:t>
      </w:r>
      <w:r w:rsidRPr="00FF5EE7">
        <w:t xml:space="preserve">hat the staff of the Commission’s </w:t>
      </w:r>
      <w:r>
        <w:t>TUS</w:t>
      </w:r>
      <w:r w:rsidRPr="00FF5EE7">
        <w:t xml:space="preserve"> coordinate with the </w:t>
      </w:r>
      <w:r>
        <w:t>EDCs</w:t>
      </w:r>
      <w:r w:rsidRPr="00FF5EE7">
        <w:t xml:space="preserve"> to add a line item to their quarterly and annual reports that notes energy savings over-compliance from Phase I.</w:t>
      </w:r>
    </w:p>
    <w:p w:rsidR="007908C2" w:rsidRPr="00FF5EE7" w:rsidRDefault="007908C2" w:rsidP="00E646C9">
      <w:pPr>
        <w:pStyle w:val="ListParagraph"/>
        <w:numPr>
          <w:ilvl w:val="0"/>
          <w:numId w:val="45"/>
        </w:numPr>
        <w:ind w:left="360"/>
      </w:pPr>
      <w:r>
        <w:t>Ordered t</w:t>
      </w:r>
      <w:r w:rsidRPr="00FF5EE7">
        <w:t>hat any directive, requirement, disposition</w:t>
      </w:r>
      <w:r>
        <w:t>,</w:t>
      </w:r>
      <w:r w:rsidRPr="00FF5EE7">
        <w:t xml:space="preserve"> or the like contained in the body of this Opinion and Order that is not the subject of an individual Ordering Paragraph, shall have the full force and effect as if fully contained in this part.</w:t>
      </w:r>
    </w:p>
    <w:p w:rsidR="00AE2D27" w:rsidRPr="00FF5EE7" w:rsidRDefault="00AE2D27" w:rsidP="007908C2">
      <w:pPr>
        <w:pStyle w:val="p3"/>
        <w:widowControl/>
        <w:tabs>
          <w:tab w:val="clear" w:pos="204"/>
          <w:tab w:val="left" w:pos="720"/>
        </w:tabs>
        <w:jc w:val="both"/>
        <w:rPr>
          <w:rFonts w:asciiTheme="minorHAnsi" w:hAnsiTheme="minorHAnsi"/>
          <w:sz w:val="22"/>
          <w:szCs w:val="22"/>
        </w:rPr>
      </w:pPr>
    </w:p>
    <w:p w:rsidR="007908C2" w:rsidRDefault="007908C2" w:rsidP="00E673F0">
      <w:pPr>
        <w:pStyle w:val="Heading3"/>
      </w:pPr>
      <w:bookmarkStart w:id="18" w:name="_Toc472472082"/>
      <w:bookmarkStart w:id="19" w:name="_Toc488765776"/>
      <w:r>
        <w:t>Statewide Evaluator</w:t>
      </w:r>
      <w:bookmarkEnd w:id="18"/>
      <w:bookmarkEnd w:id="19"/>
    </w:p>
    <w:p w:rsidR="007908C2" w:rsidRDefault="007908C2" w:rsidP="007908C2">
      <w:r>
        <w:t>The Commission’s contract for the SWE for Phase II provides the scope of work for the Phase II SWE. The scope of work for the Phase II SWE is summarized on page 25 of this contract and states the following:</w:t>
      </w:r>
    </w:p>
    <w:p w:rsidR="007908C2" w:rsidRDefault="007908C2" w:rsidP="007908C2">
      <w:pPr>
        <w:ind w:left="720" w:right="720"/>
      </w:pPr>
      <w:r>
        <w:lastRenderedPageBreak/>
        <w:t>“The Commission is issuing this RFP to retain the services of a statewide contractor for Phase II EE&amp;C Plans who will monitor and verify EDC data collection, quality assurance processes and performance of EDC’s EE&amp;C programs. This contractor will also evaluate each EDC plan results on an annual basis and the entire EE&amp;C program as a whole. This evaluation will include an evaluation of plan impacts (energy savings) and cost effectiveness, report results and provide recommendations for plan and program improvements. The Statewide contractor will produce an accurate assessment of the future potential for energy savings through market potential assessments.”</w:t>
      </w:r>
    </w:p>
    <w:p w:rsidR="007908C2" w:rsidRDefault="007908C2" w:rsidP="007908C2"/>
    <w:p w:rsidR="007908C2" w:rsidRDefault="007908C2" w:rsidP="007908C2">
      <w:r>
        <w:t xml:space="preserve">Further details pertaining to the entire scope of work and deliverables for the Phase II SWE can be located on the Commission’s website, at </w:t>
      </w:r>
      <w:hyperlink r:id="rId32" w:history="1">
        <w:r w:rsidRPr="0070359C">
          <w:rPr>
            <w:rStyle w:val="Hyperlink"/>
          </w:rPr>
          <w:t>www.puc.pa.gov/Electric/pdf/Act129/SWE_RFP_2012.pdf</w:t>
        </w:r>
      </w:hyperlink>
      <w:r>
        <w:t>.</w:t>
      </w:r>
    </w:p>
    <w:p w:rsidR="00AC1A6C" w:rsidRPr="00AC1A6C" w:rsidRDefault="00AC1A6C" w:rsidP="00AC1A6C"/>
    <w:p w:rsidR="008515C7" w:rsidRPr="008515C7" w:rsidRDefault="008515C7" w:rsidP="00E673F0">
      <w:pPr>
        <w:pStyle w:val="Heading2"/>
      </w:pPr>
      <w:bookmarkStart w:id="20" w:name="_Toc472472083"/>
      <w:bookmarkStart w:id="21" w:name="_Toc488765777"/>
      <w:r w:rsidRPr="008515C7">
        <w:t>SWE S</w:t>
      </w:r>
      <w:r w:rsidR="00957B51">
        <w:t>ummary of Activiities</w:t>
      </w:r>
      <w:bookmarkEnd w:id="20"/>
      <w:bookmarkEnd w:id="21"/>
    </w:p>
    <w:p w:rsidR="00F73191" w:rsidRPr="008A5E9E" w:rsidRDefault="00F73191" w:rsidP="00F73191">
      <w:pPr>
        <w:pStyle w:val="bullettext"/>
        <w:rPr>
          <w:highlight w:val="lightGray"/>
        </w:rPr>
      </w:pPr>
      <w:r w:rsidRPr="009E1D22">
        <w:t>The evaluation activities</w:t>
      </w:r>
      <w:r>
        <w:t xml:space="preserve"> of the Phase II SWE Team</w:t>
      </w:r>
      <w:r w:rsidRPr="009E1D22">
        <w:t xml:space="preserve"> address the following topics, which are discussed in</w:t>
      </w:r>
      <w:r>
        <w:t xml:space="preserve"> detail in</w:t>
      </w:r>
      <w:r w:rsidRPr="009E1D22">
        <w:t xml:space="preserve"> this </w:t>
      </w:r>
      <w:r w:rsidR="001B7999">
        <w:t>Phase II final</w:t>
      </w:r>
      <w:r w:rsidRPr="009E1D22">
        <w:t xml:space="preserve"> </w:t>
      </w:r>
      <w:r>
        <w:t>r</w:t>
      </w:r>
      <w:r w:rsidRPr="009E1D22">
        <w:t>eport:</w:t>
      </w:r>
    </w:p>
    <w:p w:rsidR="00F73191" w:rsidRPr="00F6769E" w:rsidRDefault="00F73191" w:rsidP="004837FA">
      <w:pPr>
        <w:pStyle w:val="ListParagraph"/>
        <w:numPr>
          <w:ilvl w:val="0"/>
          <w:numId w:val="52"/>
        </w:numPr>
        <w:spacing w:after="60"/>
        <w:ind w:left="360"/>
        <w:contextualSpacing w:val="0"/>
      </w:pPr>
      <w:r w:rsidRPr="00F6769E">
        <w:t xml:space="preserve">Assessment of whether EDCs met the Act 129 Phase II three-year energy efficiency reduction compliance targets </w:t>
      </w:r>
    </w:p>
    <w:p w:rsidR="00F73191" w:rsidRPr="00F6769E" w:rsidRDefault="00F73191" w:rsidP="004837FA">
      <w:pPr>
        <w:pStyle w:val="ListParagraph"/>
        <w:numPr>
          <w:ilvl w:val="0"/>
          <w:numId w:val="52"/>
        </w:numPr>
        <w:spacing w:after="60"/>
        <w:ind w:left="360"/>
        <w:contextualSpacing w:val="0"/>
      </w:pPr>
      <w:r w:rsidRPr="00F6769E">
        <w:t>Determination of the accuracy of reported MWh and MW savings of Phase II EE&amp;C programs</w:t>
      </w:r>
    </w:p>
    <w:p w:rsidR="00F73191" w:rsidRPr="00F6769E" w:rsidRDefault="00F73191" w:rsidP="004837FA">
      <w:pPr>
        <w:pStyle w:val="ListParagraph"/>
        <w:numPr>
          <w:ilvl w:val="0"/>
          <w:numId w:val="52"/>
        </w:numPr>
        <w:spacing w:after="60"/>
        <w:ind w:left="360"/>
        <w:contextualSpacing w:val="0"/>
      </w:pPr>
      <w:r w:rsidRPr="00F6769E">
        <w:t>Discussion of the SWE Team’s methodology and approach to developing its findings and recommendations relative to processes, review of reported MWh and MW savings values, and review of reported TRC ratio values</w:t>
      </w:r>
    </w:p>
    <w:p w:rsidR="00F73191" w:rsidRPr="00F6769E" w:rsidRDefault="00F73191" w:rsidP="004837FA">
      <w:pPr>
        <w:pStyle w:val="ListParagraph"/>
        <w:numPr>
          <w:ilvl w:val="0"/>
          <w:numId w:val="52"/>
        </w:numPr>
        <w:spacing w:after="60"/>
        <w:ind w:left="360"/>
        <w:contextualSpacing w:val="0"/>
      </w:pPr>
      <w:r w:rsidRPr="00F6769E">
        <w:t>Key qualitative findings and recommendations related to programs and M&amp;V processes based on observations, on-site inspections of energy efficiency project installation sites, and data review and analysis</w:t>
      </w:r>
    </w:p>
    <w:p w:rsidR="00F73191" w:rsidRPr="00F6769E" w:rsidRDefault="00F73191" w:rsidP="004837FA">
      <w:pPr>
        <w:pStyle w:val="ListParagraph"/>
        <w:numPr>
          <w:ilvl w:val="0"/>
          <w:numId w:val="52"/>
        </w:numPr>
        <w:spacing w:after="60"/>
        <w:ind w:left="360"/>
        <w:contextualSpacing w:val="0"/>
      </w:pPr>
      <w:r w:rsidRPr="00F6769E">
        <w:t>Findings and recommendations related to evaluation, measurement, and verification (EM&amp;V) processes and practices by program and EDC</w:t>
      </w:r>
    </w:p>
    <w:p w:rsidR="00F73191" w:rsidRPr="00F6769E" w:rsidRDefault="00F73191" w:rsidP="004837FA">
      <w:pPr>
        <w:pStyle w:val="ListParagraph"/>
        <w:numPr>
          <w:ilvl w:val="0"/>
          <w:numId w:val="52"/>
        </w:numPr>
        <w:spacing w:after="60"/>
        <w:ind w:left="360"/>
        <w:contextualSpacing w:val="0"/>
      </w:pPr>
      <w:r w:rsidRPr="00F6769E">
        <w:t>Findings and recommendations relating to each EDC’s program and portfolio cost-effectiveness calculations</w:t>
      </w:r>
    </w:p>
    <w:p w:rsidR="00F73191" w:rsidRPr="00F6769E" w:rsidRDefault="00F73191" w:rsidP="004837FA">
      <w:pPr>
        <w:pStyle w:val="ListParagraph"/>
        <w:numPr>
          <w:ilvl w:val="0"/>
          <w:numId w:val="52"/>
        </w:numPr>
        <w:spacing w:after="60"/>
        <w:ind w:left="360"/>
        <w:contextualSpacing w:val="0"/>
      </w:pPr>
      <w:r w:rsidRPr="00F6769E">
        <w:t>Quantitative findings and recommendations by program and by EDC</w:t>
      </w:r>
    </w:p>
    <w:p w:rsidR="00F73191" w:rsidRPr="009E1D22" w:rsidRDefault="00F73191" w:rsidP="00E646C9">
      <w:pPr>
        <w:numPr>
          <w:ilvl w:val="0"/>
          <w:numId w:val="53"/>
        </w:numPr>
        <w:ind w:left="360"/>
        <w:rPr>
          <w:rFonts w:cs="Arial"/>
          <w:szCs w:val="20"/>
        </w:rPr>
      </w:pPr>
      <w:r>
        <w:rPr>
          <w:rFonts w:cs="Arial"/>
          <w:szCs w:val="20"/>
        </w:rPr>
        <w:t>S</w:t>
      </w:r>
      <w:r w:rsidRPr="009E1D22">
        <w:rPr>
          <w:rFonts w:cs="Arial"/>
          <w:szCs w:val="20"/>
        </w:rPr>
        <w:t>ummary of findings and recommendations</w:t>
      </w:r>
    </w:p>
    <w:p w:rsidR="00F73191" w:rsidRDefault="00F73191" w:rsidP="00F73191"/>
    <w:p w:rsidR="00F73191" w:rsidRPr="00E673F0" w:rsidRDefault="00F73191" w:rsidP="00E673F0">
      <w:pPr>
        <w:pStyle w:val="Heading3"/>
      </w:pPr>
      <w:bookmarkStart w:id="22" w:name="_Toc445205679"/>
      <w:bookmarkStart w:id="23" w:name="_Toc472472084"/>
      <w:bookmarkStart w:id="24" w:name="_Toc488765778"/>
      <w:r w:rsidRPr="00E673F0">
        <w:t xml:space="preserve">Summary of Findings and </w:t>
      </w:r>
      <w:bookmarkEnd w:id="22"/>
      <w:r w:rsidRPr="00E673F0">
        <w:t>Recommendations</w:t>
      </w:r>
      <w:bookmarkEnd w:id="23"/>
      <w:bookmarkEnd w:id="24"/>
    </w:p>
    <w:p w:rsidR="00F73191" w:rsidRPr="00743C18" w:rsidRDefault="00F73191" w:rsidP="00F73191">
      <w:pPr>
        <w:pStyle w:val="bullettext"/>
      </w:pPr>
      <w:r w:rsidRPr="003D41F4">
        <w:t xml:space="preserve">Based on </w:t>
      </w:r>
      <w:r w:rsidRPr="00743C18">
        <w:t>the SWE Team audit activities conducted</w:t>
      </w:r>
      <w:r w:rsidR="00EB6C59" w:rsidRPr="00743C18">
        <w:t xml:space="preserve"> from PY5</w:t>
      </w:r>
      <w:r w:rsidRPr="00743C18">
        <w:t xml:space="preserve"> </w:t>
      </w:r>
      <w:r w:rsidR="00EB6C59" w:rsidRPr="00743C18">
        <w:t>to</w:t>
      </w:r>
      <w:r w:rsidRPr="00743C18">
        <w:t xml:space="preserve"> PY7, the SWE Team makes the following key findings and recommendations to the Commission relating to the Phase II Act 129 energy efficiency and demand response programs. Additional recommendations focused on EDC-specific activities are found in </w:t>
      </w:r>
      <w:r w:rsidR="004837FA" w:rsidRPr="004837FA">
        <w:rPr>
          <w:rFonts w:ascii="Century Gothic" w:hAnsi="Century Gothic"/>
          <w:color w:val="404040" w:themeColor="text1" w:themeTint="BF"/>
          <w:spacing w:val="-12"/>
        </w:rPr>
        <w:t>APPENDIX A</w:t>
      </w:r>
      <w:r w:rsidRPr="00743C18">
        <w:t xml:space="preserve"> of this </w:t>
      </w:r>
      <w:r w:rsidR="001B7999" w:rsidRPr="00743C18">
        <w:t>report</w:t>
      </w:r>
      <w:r w:rsidRPr="00743C18">
        <w:t>.</w:t>
      </w:r>
    </w:p>
    <w:p w:rsidR="00F73191" w:rsidRPr="001A4C2C" w:rsidRDefault="00F73191" w:rsidP="004837FA">
      <w:pPr>
        <w:numPr>
          <w:ilvl w:val="0"/>
          <w:numId w:val="23"/>
        </w:numPr>
        <w:spacing w:after="80"/>
        <w:ind w:left="360"/>
        <w:rPr>
          <w:szCs w:val="20"/>
        </w:rPr>
      </w:pPr>
      <w:r w:rsidRPr="00743C18">
        <w:rPr>
          <w:szCs w:val="20"/>
        </w:rPr>
        <w:t>All of the EDCs met their</w:t>
      </w:r>
      <w:r w:rsidRPr="00743C18">
        <w:rPr>
          <w:rFonts w:asciiTheme="minorHAnsi" w:hAnsiTheme="minorHAnsi"/>
          <w:bCs/>
        </w:rPr>
        <w:t xml:space="preserve"> Act 129 Phase II three-year energy efficiency </w:t>
      </w:r>
      <w:r w:rsidR="005B7773" w:rsidRPr="00743C18">
        <w:rPr>
          <w:rFonts w:asciiTheme="minorHAnsi" w:hAnsiTheme="minorHAnsi"/>
          <w:bCs/>
        </w:rPr>
        <w:t xml:space="preserve">overall </w:t>
      </w:r>
      <w:r w:rsidR="00E91F14" w:rsidRPr="00743C18">
        <w:rPr>
          <w:rFonts w:asciiTheme="minorHAnsi" w:hAnsiTheme="minorHAnsi"/>
          <w:bCs/>
        </w:rPr>
        <w:t xml:space="preserve">energy </w:t>
      </w:r>
      <w:r w:rsidRPr="00743C18">
        <w:rPr>
          <w:rFonts w:asciiTheme="minorHAnsi" w:hAnsiTheme="minorHAnsi"/>
          <w:bCs/>
        </w:rPr>
        <w:t xml:space="preserve">reduction compliance target, </w:t>
      </w:r>
      <w:r w:rsidR="005B7773" w:rsidRPr="00743C18">
        <w:rPr>
          <w:rFonts w:asciiTheme="minorHAnsi" w:hAnsiTheme="minorHAnsi"/>
          <w:bCs/>
        </w:rPr>
        <w:t xml:space="preserve">their low-income </w:t>
      </w:r>
      <w:r w:rsidR="00E91F14" w:rsidRPr="00743C18">
        <w:rPr>
          <w:rFonts w:asciiTheme="minorHAnsi" w:hAnsiTheme="minorHAnsi"/>
          <w:bCs/>
        </w:rPr>
        <w:t xml:space="preserve">energy </w:t>
      </w:r>
      <w:r w:rsidR="005B7773" w:rsidRPr="00743C18">
        <w:rPr>
          <w:rFonts w:asciiTheme="minorHAnsi" w:hAnsiTheme="minorHAnsi"/>
          <w:bCs/>
        </w:rPr>
        <w:t>reduction compliance target, their government/non-profit/</w:t>
      </w:r>
      <w:r w:rsidR="00371E06">
        <w:rPr>
          <w:rFonts w:asciiTheme="minorHAnsi" w:hAnsiTheme="minorHAnsi"/>
          <w:bCs/>
        </w:rPr>
        <w:t>institutional (GNI)</w:t>
      </w:r>
      <w:r w:rsidR="005B7773" w:rsidRPr="00743C18">
        <w:rPr>
          <w:rFonts w:asciiTheme="minorHAnsi" w:hAnsiTheme="minorHAnsi"/>
          <w:bCs/>
        </w:rPr>
        <w:t xml:space="preserve"> </w:t>
      </w:r>
      <w:r w:rsidR="00E91F14" w:rsidRPr="00743C18">
        <w:rPr>
          <w:rFonts w:asciiTheme="minorHAnsi" w:hAnsiTheme="minorHAnsi"/>
          <w:bCs/>
        </w:rPr>
        <w:t xml:space="preserve">energy </w:t>
      </w:r>
      <w:r w:rsidR="005B7773" w:rsidRPr="00743C18">
        <w:rPr>
          <w:rFonts w:asciiTheme="minorHAnsi" w:hAnsiTheme="minorHAnsi"/>
          <w:bCs/>
        </w:rPr>
        <w:t xml:space="preserve">reduction compliance target, </w:t>
      </w:r>
      <w:r w:rsidR="007562A7" w:rsidRPr="00743C18">
        <w:rPr>
          <w:rFonts w:asciiTheme="minorHAnsi" w:hAnsiTheme="minorHAnsi"/>
          <w:bCs/>
        </w:rPr>
        <w:t>the</w:t>
      </w:r>
      <w:r w:rsidRPr="00743C18">
        <w:rPr>
          <w:rFonts w:asciiTheme="minorHAnsi" w:hAnsiTheme="minorHAnsi"/>
          <w:bCs/>
        </w:rPr>
        <w:t xml:space="preserve"> percentage of measures offered to low-income program participants</w:t>
      </w:r>
      <w:r w:rsidR="00E91F14" w:rsidRPr="00743C18">
        <w:rPr>
          <w:rFonts w:asciiTheme="minorHAnsi" w:hAnsiTheme="minorHAnsi"/>
          <w:bCs/>
        </w:rPr>
        <w:t xml:space="preserve"> target</w:t>
      </w:r>
      <w:r w:rsidR="00371E06">
        <w:rPr>
          <w:rFonts w:asciiTheme="minorHAnsi" w:hAnsiTheme="minorHAnsi"/>
          <w:bCs/>
        </w:rPr>
        <w:t>,</w:t>
      </w:r>
      <w:r w:rsidRPr="00743C18">
        <w:rPr>
          <w:rFonts w:asciiTheme="minorHAnsi" w:hAnsiTheme="minorHAnsi"/>
          <w:bCs/>
        </w:rPr>
        <w:t xml:space="preserve"> and </w:t>
      </w:r>
      <w:r w:rsidR="005B7773" w:rsidRPr="00743C18">
        <w:rPr>
          <w:rFonts w:asciiTheme="minorHAnsi" w:hAnsiTheme="minorHAnsi"/>
          <w:bCs/>
        </w:rPr>
        <w:t xml:space="preserve">portfolio cost-effectiveness </w:t>
      </w:r>
      <w:r w:rsidR="00E91F14" w:rsidRPr="00743C18">
        <w:rPr>
          <w:rFonts w:asciiTheme="minorHAnsi" w:hAnsiTheme="minorHAnsi"/>
          <w:bCs/>
        </w:rPr>
        <w:t xml:space="preserve">(TRC) </w:t>
      </w:r>
      <w:r w:rsidRPr="00743C18">
        <w:rPr>
          <w:rFonts w:asciiTheme="minorHAnsi" w:hAnsiTheme="minorHAnsi"/>
          <w:bCs/>
        </w:rPr>
        <w:t xml:space="preserve">requirements. </w:t>
      </w:r>
      <w:r w:rsidR="00A70171" w:rsidRPr="00743C18">
        <w:rPr>
          <w:rFonts w:asciiTheme="minorHAnsi" w:hAnsiTheme="minorHAnsi"/>
          <w:bCs/>
        </w:rPr>
        <w:fldChar w:fldCharType="begin"/>
      </w:r>
      <w:r w:rsidR="00A70171" w:rsidRPr="00743C18">
        <w:rPr>
          <w:rFonts w:asciiTheme="minorHAnsi" w:hAnsiTheme="minorHAnsi"/>
          <w:bCs/>
        </w:rPr>
        <w:instrText xml:space="preserve"> REF _Ref472410486 \h </w:instrText>
      </w:r>
      <w:r w:rsidR="00743C18" w:rsidRPr="00743C18">
        <w:rPr>
          <w:rFonts w:asciiTheme="minorHAnsi" w:hAnsiTheme="minorHAnsi"/>
          <w:bCs/>
        </w:rPr>
        <w:instrText xml:space="preserve"> \* MERGEFORMAT </w:instrText>
      </w:r>
      <w:r w:rsidR="00A70171" w:rsidRPr="00743C18">
        <w:rPr>
          <w:rFonts w:asciiTheme="minorHAnsi" w:hAnsiTheme="minorHAnsi"/>
          <w:bCs/>
        </w:rPr>
      </w:r>
      <w:r w:rsidR="00A70171" w:rsidRPr="00743C18">
        <w:rPr>
          <w:rFonts w:asciiTheme="minorHAnsi" w:hAnsiTheme="minorHAnsi"/>
          <w:bCs/>
        </w:rPr>
        <w:fldChar w:fldCharType="separate"/>
      </w:r>
      <w:r w:rsidR="00037CB4" w:rsidRPr="00743C18">
        <w:t xml:space="preserve">Table </w:t>
      </w:r>
      <w:r w:rsidR="00037CB4">
        <w:rPr>
          <w:noProof/>
        </w:rPr>
        <w:t>1</w:t>
      </w:r>
      <w:r w:rsidR="00037CB4">
        <w:rPr>
          <w:noProof/>
        </w:rPr>
        <w:noBreakHyphen/>
        <w:t>2</w:t>
      </w:r>
      <w:r w:rsidR="00A70171" w:rsidRPr="00743C18">
        <w:rPr>
          <w:rFonts w:asciiTheme="minorHAnsi" w:hAnsiTheme="minorHAnsi"/>
          <w:bCs/>
        </w:rPr>
        <w:fldChar w:fldCharType="end"/>
      </w:r>
      <w:r w:rsidRPr="00743C18">
        <w:rPr>
          <w:rFonts w:asciiTheme="minorHAnsi" w:hAnsiTheme="minorHAnsi"/>
          <w:bCs/>
        </w:rPr>
        <w:t xml:space="preserve"> shows the Phase II compliance report by EDC.</w:t>
      </w:r>
    </w:p>
    <w:p w:rsidR="00A70171" w:rsidRPr="00743C18" w:rsidRDefault="00A70171" w:rsidP="004837FA">
      <w:pPr>
        <w:pStyle w:val="Caption"/>
      </w:pPr>
      <w:bookmarkStart w:id="25" w:name="_Ref472410486"/>
      <w:bookmarkStart w:id="26" w:name="_Toc472472154"/>
      <w:bookmarkStart w:id="27" w:name="_Toc488741730"/>
      <w:r w:rsidRPr="00743C18">
        <w:lastRenderedPageBreak/>
        <w:t xml:space="preserve">Table </w:t>
      </w:r>
      <w:r w:rsidR="007973A4">
        <w:fldChar w:fldCharType="begin"/>
      </w:r>
      <w:r w:rsidR="007973A4">
        <w:instrText xml:space="preserve"> STYLEREF 1 \s </w:instrText>
      </w:r>
      <w:r w:rsidR="007973A4">
        <w:fldChar w:fldCharType="separate"/>
      </w:r>
      <w:r w:rsidR="00037CB4">
        <w:rPr>
          <w:noProof/>
        </w:rPr>
        <w:t>1</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2</w:t>
      </w:r>
      <w:r w:rsidR="007973A4">
        <w:rPr>
          <w:noProof/>
        </w:rPr>
        <w:fldChar w:fldCharType="end"/>
      </w:r>
      <w:bookmarkEnd w:id="25"/>
      <w:r w:rsidRPr="00743C18">
        <w:t>: Phase II EDC Compliance Checklist</w:t>
      </w:r>
      <w:bookmarkEnd w:id="26"/>
      <w:bookmarkEnd w:id="27"/>
    </w:p>
    <w:tbl>
      <w:tblPr>
        <w:tblW w:w="9445" w:type="dxa"/>
        <w:tblLayout w:type="fixed"/>
        <w:tblLook w:val="04A0" w:firstRow="1" w:lastRow="0" w:firstColumn="1" w:lastColumn="0" w:noHBand="0" w:noVBand="1"/>
      </w:tblPr>
      <w:tblGrid>
        <w:gridCol w:w="1525"/>
        <w:gridCol w:w="1566"/>
        <w:gridCol w:w="1566"/>
        <w:gridCol w:w="1566"/>
        <w:gridCol w:w="1566"/>
        <w:gridCol w:w="1656"/>
      </w:tblGrid>
      <w:tr w:rsidR="00A874AC" w:rsidRPr="004837FA" w:rsidTr="001A4C2C">
        <w:trPr>
          <w:trHeight w:val="1097"/>
        </w:trPr>
        <w:tc>
          <w:tcPr>
            <w:tcW w:w="1525" w:type="dxa"/>
            <w:tcBorders>
              <w:top w:val="single" w:sz="4" w:space="0" w:color="448A99"/>
              <w:left w:val="single" w:sz="4" w:space="0" w:color="448A99"/>
              <w:bottom w:val="single" w:sz="4" w:space="0" w:color="448A99"/>
              <w:right w:val="single" w:sz="4" w:space="0" w:color="448A99"/>
            </w:tcBorders>
            <w:shd w:val="clear" w:color="000000" w:fill="448A99"/>
            <w:noWrap/>
            <w:vAlign w:val="bottom"/>
            <w:hideMark/>
          </w:tcPr>
          <w:p w:rsidR="003E12A1" w:rsidRPr="004837FA" w:rsidRDefault="003E12A1" w:rsidP="000123A3">
            <w:pPr>
              <w:rPr>
                <w:b/>
                <w:bCs/>
                <w:color w:val="FFFFFF"/>
                <w:sz w:val="19"/>
                <w:szCs w:val="19"/>
              </w:rPr>
            </w:pPr>
            <w:r w:rsidRPr="004837FA">
              <w:rPr>
                <w:b/>
                <w:bCs/>
                <w:color w:val="FFFFFF"/>
                <w:sz w:val="19"/>
                <w:szCs w:val="19"/>
              </w:rPr>
              <w:t>EDC</w:t>
            </w:r>
          </w:p>
        </w:tc>
        <w:tc>
          <w:tcPr>
            <w:tcW w:w="1566" w:type="dxa"/>
            <w:tcBorders>
              <w:top w:val="single" w:sz="4" w:space="0" w:color="448A99"/>
              <w:left w:val="single" w:sz="8" w:space="0" w:color="448A99"/>
              <w:bottom w:val="single" w:sz="4" w:space="0" w:color="448A99"/>
              <w:right w:val="single" w:sz="8" w:space="0" w:color="448A99"/>
            </w:tcBorders>
            <w:shd w:val="clear" w:color="000000" w:fill="448A99"/>
            <w:vAlign w:val="bottom"/>
            <w:hideMark/>
          </w:tcPr>
          <w:p w:rsidR="003E12A1" w:rsidRPr="004837FA" w:rsidRDefault="003E12A1" w:rsidP="000123A3">
            <w:pPr>
              <w:jc w:val="center"/>
              <w:rPr>
                <w:b/>
                <w:bCs/>
                <w:color w:val="FFFFFF"/>
                <w:sz w:val="19"/>
                <w:szCs w:val="19"/>
              </w:rPr>
            </w:pPr>
            <w:r w:rsidRPr="004837FA">
              <w:rPr>
                <w:b/>
                <w:bCs/>
                <w:color w:val="FFFFFF"/>
                <w:sz w:val="19"/>
                <w:szCs w:val="19"/>
              </w:rPr>
              <w:t>Three-Year Overall Energy Reduction Target</w:t>
            </w:r>
          </w:p>
        </w:tc>
        <w:tc>
          <w:tcPr>
            <w:tcW w:w="1566" w:type="dxa"/>
            <w:tcBorders>
              <w:top w:val="single" w:sz="4" w:space="0" w:color="448A99"/>
              <w:left w:val="nil"/>
              <w:bottom w:val="single" w:sz="4" w:space="0" w:color="448A99"/>
              <w:right w:val="single" w:sz="8" w:space="0" w:color="448A99"/>
            </w:tcBorders>
            <w:shd w:val="clear" w:color="000000" w:fill="448A99"/>
            <w:vAlign w:val="bottom"/>
            <w:hideMark/>
          </w:tcPr>
          <w:p w:rsidR="003E12A1" w:rsidRPr="004837FA" w:rsidRDefault="003E12A1" w:rsidP="000123A3">
            <w:pPr>
              <w:jc w:val="center"/>
              <w:rPr>
                <w:b/>
                <w:bCs/>
                <w:color w:val="FFFFFF"/>
                <w:sz w:val="19"/>
                <w:szCs w:val="19"/>
              </w:rPr>
            </w:pPr>
            <w:r w:rsidRPr="004837FA">
              <w:rPr>
                <w:b/>
                <w:bCs/>
                <w:color w:val="FFFFFF"/>
                <w:sz w:val="19"/>
                <w:szCs w:val="19"/>
              </w:rPr>
              <w:t>Met Required Proportion of Measures Offered to Low-Income Customers</w:t>
            </w:r>
          </w:p>
        </w:tc>
        <w:tc>
          <w:tcPr>
            <w:tcW w:w="1566" w:type="dxa"/>
            <w:tcBorders>
              <w:top w:val="single" w:sz="4" w:space="0" w:color="448A99"/>
              <w:left w:val="nil"/>
              <w:bottom w:val="single" w:sz="4" w:space="0" w:color="448A99"/>
              <w:right w:val="nil"/>
            </w:tcBorders>
            <w:shd w:val="clear" w:color="000000" w:fill="448A99"/>
            <w:vAlign w:val="bottom"/>
          </w:tcPr>
          <w:p w:rsidR="003E12A1" w:rsidRPr="004837FA" w:rsidRDefault="003E12A1" w:rsidP="000123A3">
            <w:pPr>
              <w:jc w:val="center"/>
              <w:rPr>
                <w:b/>
                <w:bCs/>
                <w:color w:val="FFFFFF"/>
                <w:sz w:val="19"/>
                <w:szCs w:val="19"/>
              </w:rPr>
            </w:pPr>
            <w:r w:rsidRPr="004837FA">
              <w:rPr>
                <w:b/>
                <w:bCs/>
                <w:color w:val="FFFFFF"/>
                <w:sz w:val="19"/>
                <w:szCs w:val="19"/>
              </w:rPr>
              <w:t>Energy Savings Achieved from Low-Income Sector</w:t>
            </w:r>
          </w:p>
        </w:tc>
        <w:tc>
          <w:tcPr>
            <w:tcW w:w="1566" w:type="dxa"/>
            <w:tcBorders>
              <w:top w:val="single" w:sz="4" w:space="0" w:color="448A99"/>
              <w:left w:val="nil"/>
              <w:bottom w:val="single" w:sz="4" w:space="0" w:color="448A99"/>
              <w:right w:val="single" w:sz="8" w:space="0" w:color="448A99"/>
            </w:tcBorders>
            <w:shd w:val="clear" w:color="000000" w:fill="448A99"/>
            <w:vAlign w:val="bottom"/>
            <w:hideMark/>
          </w:tcPr>
          <w:p w:rsidR="003E12A1" w:rsidRPr="004837FA" w:rsidRDefault="003E12A1" w:rsidP="000123A3">
            <w:pPr>
              <w:jc w:val="center"/>
              <w:rPr>
                <w:b/>
                <w:bCs/>
                <w:color w:val="FFFFFF"/>
                <w:sz w:val="19"/>
                <w:szCs w:val="19"/>
              </w:rPr>
            </w:pPr>
            <w:r w:rsidRPr="004837FA">
              <w:rPr>
                <w:b/>
                <w:bCs/>
                <w:color w:val="FFFFFF"/>
                <w:sz w:val="19"/>
                <w:szCs w:val="19"/>
              </w:rPr>
              <w:t>Energy Savings Achieved from GNI Sector</w:t>
            </w:r>
          </w:p>
        </w:tc>
        <w:tc>
          <w:tcPr>
            <w:tcW w:w="1656" w:type="dxa"/>
            <w:tcBorders>
              <w:top w:val="single" w:sz="4" w:space="0" w:color="448A99"/>
              <w:left w:val="nil"/>
              <w:bottom w:val="single" w:sz="4" w:space="0" w:color="448A99"/>
              <w:right w:val="single" w:sz="4" w:space="0" w:color="448A99"/>
            </w:tcBorders>
            <w:shd w:val="clear" w:color="000000" w:fill="448A99"/>
            <w:vAlign w:val="bottom"/>
            <w:hideMark/>
          </w:tcPr>
          <w:p w:rsidR="003E12A1" w:rsidRPr="004837FA" w:rsidRDefault="003E12A1" w:rsidP="000123A3">
            <w:pPr>
              <w:jc w:val="center"/>
              <w:rPr>
                <w:b/>
                <w:bCs/>
                <w:color w:val="FFFFFF"/>
                <w:sz w:val="19"/>
                <w:szCs w:val="19"/>
              </w:rPr>
            </w:pPr>
            <w:r w:rsidRPr="004837FA">
              <w:rPr>
                <w:b/>
                <w:bCs/>
                <w:color w:val="FFFFFF"/>
                <w:sz w:val="19"/>
                <w:szCs w:val="19"/>
              </w:rPr>
              <w:t>Total Resource Cost Test &gt; 1</w:t>
            </w:r>
          </w:p>
        </w:tc>
      </w:tr>
      <w:tr w:rsidR="004837FA" w:rsidRPr="004837FA" w:rsidTr="004837FA">
        <w:trPr>
          <w:trHeight w:val="216"/>
        </w:trPr>
        <w:tc>
          <w:tcPr>
            <w:tcW w:w="1525" w:type="dxa"/>
            <w:tcBorders>
              <w:top w:val="nil"/>
              <w:left w:val="single" w:sz="4" w:space="0" w:color="448A99"/>
              <w:bottom w:val="single" w:sz="4" w:space="0" w:color="448A99"/>
              <w:right w:val="single" w:sz="4" w:space="0" w:color="448A99"/>
            </w:tcBorders>
            <w:shd w:val="clear" w:color="000000" w:fill="D2EAF1"/>
            <w:noWrap/>
            <w:vAlign w:val="center"/>
            <w:hideMark/>
          </w:tcPr>
          <w:p w:rsidR="003E12A1" w:rsidRPr="004837FA" w:rsidRDefault="003E12A1" w:rsidP="003E12A1">
            <w:pPr>
              <w:rPr>
                <w:b/>
                <w:bCs/>
                <w:sz w:val="19"/>
                <w:szCs w:val="19"/>
              </w:rPr>
            </w:pPr>
            <w:r w:rsidRPr="004837FA">
              <w:rPr>
                <w:b/>
                <w:bCs/>
                <w:sz w:val="19"/>
                <w:szCs w:val="19"/>
              </w:rPr>
              <w:t>Duquesne</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nil"/>
              <w:bottom w:val="single" w:sz="4" w:space="0" w:color="448A99"/>
              <w:right w:val="single" w:sz="4" w:space="0" w:color="448A99"/>
            </w:tcBorders>
            <w:shd w:val="clear" w:color="000000" w:fill="D2EAF1"/>
            <w:vAlign w:val="center"/>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single" w:sz="4" w:space="0" w:color="448A99"/>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65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r>
      <w:tr w:rsidR="004837FA" w:rsidRPr="004837FA" w:rsidTr="004837FA">
        <w:trPr>
          <w:trHeight w:val="216"/>
        </w:trPr>
        <w:tc>
          <w:tcPr>
            <w:tcW w:w="1525" w:type="dxa"/>
            <w:tcBorders>
              <w:top w:val="nil"/>
              <w:left w:val="single" w:sz="4" w:space="0" w:color="448A99"/>
              <w:bottom w:val="single" w:sz="4" w:space="0" w:color="448A99"/>
              <w:right w:val="single" w:sz="4" w:space="0" w:color="448A99"/>
            </w:tcBorders>
            <w:shd w:val="clear" w:color="auto" w:fill="auto"/>
            <w:noWrap/>
            <w:vAlign w:val="center"/>
            <w:hideMark/>
          </w:tcPr>
          <w:p w:rsidR="003E12A1" w:rsidRPr="004837FA" w:rsidRDefault="003E12A1" w:rsidP="003E12A1">
            <w:pPr>
              <w:rPr>
                <w:b/>
                <w:bCs/>
                <w:sz w:val="19"/>
                <w:szCs w:val="19"/>
              </w:rPr>
            </w:pPr>
            <w:r w:rsidRPr="004837FA">
              <w:rPr>
                <w:b/>
                <w:bCs/>
                <w:sz w:val="19"/>
                <w:szCs w:val="19"/>
              </w:rPr>
              <w:t>FE: Met-Ed</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nil"/>
              <w:bottom w:val="single" w:sz="4" w:space="0" w:color="448A99"/>
              <w:right w:val="single" w:sz="4" w:space="0" w:color="448A99"/>
            </w:tcBorders>
            <w:vAlign w:val="center"/>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656" w:type="dxa"/>
            <w:tcBorders>
              <w:top w:val="nil"/>
              <w:left w:val="nil"/>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r>
      <w:tr w:rsidR="004837FA" w:rsidRPr="004837FA" w:rsidTr="004837FA">
        <w:trPr>
          <w:trHeight w:val="216"/>
        </w:trPr>
        <w:tc>
          <w:tcPr>
            <w:tcW w:w="1525" w:type="dxa"/>
            <w:tcBorders>
              <w:top w:val="nil"/>
              <w:left w:val="single" w:sz="4" w:space="0" w:color="448A99"/>
              <w:bottom w:val="single" w:sz="4" w:space="0" w:color="448A99"/>
              <w:right w:val="single" w:sz="4" w:space="0" w:color="448A99"/>
            </w:tcBorders>
            <w:shd w:val="clear" w:color="000000" w:fill="D2EAF1"/>
            <w:noWrap/>
            <w:vAlign w:val="center"/>
            <w:hideMark/>
          </w:tcPr>
          <w:p w:rsidR="003E12A1" w:rsidRPr="004837FA" w:rsidRDefault="003E12A1" w:rsidP="003E12A1">
            <w:pPr>
              <w:rPr>
                <w:b/>
                <w:bCs/>
                <w:sz w:val="19"/>
                <w:szCs w:val="19"/>
              </w:rPr>
            </w:pPr>
            <w:r w:rsidRPr="004837FA">
              <w:rPr>
                <w:b/>
                <w:bCs/>
                <w:sz w:val="19"/>
                <w:szCs w:val="19"/>
              </w:rPr>
              <w:t>FE: Penelec</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nil"/>
              <w:bottom w:val="single" w:sz="4" w:space="0" w:color="448A99"/>
              <w:right w:val="single" w:sz="4" w:space="0" w:color="448A99"/>
            </w:tcBorders>
            <w:shd w:val="clear" w:color="000000" w:fill="D2EAF1"/>
            <w:vAlign w:val="center"/>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single" w:sz="4" w:space="0" w:color="448A99"/>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65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r>
      <w:tr w:rsidR="004837FA" w:rsidRPr="004837FA" w:rsidTr="004837FA">
        <w:trPr>
          <w:trHeight w:val="216"/>
        </w:trPr>
        <w:tc>
          <w:tcPr>
            <w:tcW w:w="1525" w:type="dxa"/>
            <w:tcBorders>
              <w:top w:val="nil"/>
              <w:left w:val="single" w:sz="4" w:space="0" w:color="448A99"/>
              <w:bottom w:val="single" w:sz="4" w:space="0" w:color="448A99"/>
              <w:right w:val="single" w:sz="4" w:space="0" w:color="448A99"/>
            </w:tcBorders>
            <w:shd w:val="clear" w:color="auto" w:fill="auto"/>
            <w:noWrap/>
            <w:vAlign w:val="center"/>
            <w:hideMark/>
          </w:tcPr>
          <w:p w:rsidR="003E12A1" w:rsidRPr="004837FA" w:rsidRDefault="003E12A1" w:rsidP="003E12A1">
            <w:pPr>
              <w:rPr>
                <w:b/>
                <w:bCs/>
                <w:sz w:val="19"/>
                <w:szCs w:val="19"/>
              </w:rPr>
            </w:pPr>
            <w:r w:rsidRPr="004837FA">
              <w:rPr>
                <w:b/>
                <w:bCs/>
                <w:sz w:val="19"/>
                <w:szCs w:val="19"/>
              </w:rPr>
              <w:t>FE: Penn Power</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nil"/>
              <w:bottom w:val="single" w:sz="4" w:space="0" w:color="448A99"/>
              <w:right w:val="single" w:sz="4" w:space="0" w:color="448A99"/>
            </w:tcBorders>
            <w:vAlign w:val="center"/>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656" w:type="dxa"/>
            <w:tcBorders>
              <w:top w:val="nil"/>
              <w:left w:val="nil"/>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r>
      <w:tr w:rsidR="004837FA" w:rsidRPr="004837FA" w:rsidTr="004837FA">
        <w:trPr>
          <w:trHeight w:val="216"/>
        </w:trPr>
        <w:tc>
          <w:tcPr>
            <w:tcW w:w="1525" w:type="dxa"/>
            <w:tcBorders>
              <w:top w:val="nil"/>
              <w:left w:val="single" w:sz="4" w:space="0" w:color="448A99"/>
              <w:bottom w:val="single" w:sz="4" w:space="0" w:color="448A99"/>
              <w:right w:val="single" w:sz="4" w:space="0" w:color="448A99"/>
            </w:tcBorders>
            <w:shd w:val="clear" w:color="000000" w:fill="D2EAF1"/>
            <w:noWrap/>
            <w:vAlign w:val="center"/>
            <w:hideMark/>
          </w:tcPr>
          <w:p w:rsidR="003E12A1" w:rsidRPr="004837FA" w:rsidRDefault="003E12A1" w:rsidP="003E12A1">
            <w:pPr>
              <w:rPr>
                <w:b/>
                <w:bCs/>
                <w:sz w:val="19"/>
                <w:szCs w:val="19"/>
              </w:rPr>
            </w:pPr>
            <w:r w:rsidRPr="004837FA">
              <w:rPr>
                <w:b/>
                <w:bCs/>
                <w:sz w:val="19"/>
                <w:szCs w:val="19"/>
              </w:rPr>
              <w:t>FE: West Penn</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nil"/>
              <w:bottom w:val="single" w:sz="4" w:space="0" w:color="448A99"/>
              <w:right w:val="single" w:sz="4" w:space="0" w:color="448A99"/>
            </w:tcBorders>
            <w:shd w:val="clear" w:color="000000" w:fill="D2EAF1"/>
            <w:vAlign w:val="center"/>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single" w:sz="4" w:space="0" w:color="448A99"/>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65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r>
      <w:tr w:rsidR="004837FA" w:rsidRPr="004837FA" w:rsidTr="004837FA">
        <w:trPr>
          <w:trHeight w:val="216"/>
        </w:trPr>
        <w:tc>
          <w:tcPr>
            <w:tcW w:w="1525" w:type="dxa"/>
            <w:tcBorders>
              <w:top w:val="nil"/>
              <w:left w:val="single" w:sz="4" w:space="0" w:color="448A99"/>
              <w:bottom w:val="single" w:sz="4" w:space="0" w:color="448A99"/>
              <w:right w:val="single" w:sz="4" w:space="0" w:color="448A99"/>
            </w:tcBorders>
            <w:shd w:val="clear" w:color="auto" w:fill="auto"/>
            <w:noWrap/>
            <w:vAlign w:val="center"/>
            <w:hideMark/>
          </w:tcPr>
          <w:p w:rsidR="003E12A1" w:rsidRPr="004837FA" w:rsidRDefault="003E12A1" w:rsidP="003E12A1">
            <w:pPr>
              <w:rPr>
                <w:b/>
                <w:bCs/>
                <w:sz w:val="19"/>
                <w:szCs w:val="19"/>
              </w:rPr>
            </w:pPr>
            <w:r w:rsidRPr="004837FA">
              <w:rPr>
                <w:b/>
                <w:bCs/>
                <w:sz w:val="19"/>
                <w:szCs w:val="19"/>
              </w:rPr>
              <w:t>PECO</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nil"/>
              <w:bottom w:val="single" w:sz="4" w:space="0" w:color="448A99"/>
              <w:right w:val="single" w:sz="4" w:space="0" w:color="448A99"/>
            </w:tcBorders>
            <w:vAlign w:val="center"/>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656" w:type="dxa"/>
            <w:tcBorders>
              <w:top w:val="nil"/>
              <w:left w:val="nil"/>
              <w:bottom w:val="single" w:sz="4" w:space="0" w:color="448A99"/>
              <w:right w:val="single" w:sz="4" w:space="0" w:color="448A99"/>
            </w:tcBorders>
            <w:shd w:val="clear" w:color="auto" w:fill="auto"/>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r>
      <w:tr w:rsidR="004837FA" w:rsidRPr="004837FA" w:rsidTr="004837FA">
        <w:trPr>
          <w:trHeight w:val="216"/>
        </w:trPr>
        <w:tc>
          <w:tcPr>
            <w:tcW w:w="1525" w:type="dxa"/>
            <w:tcBorders>
              <w:top w:val="nil"/>
              <w:left w:val="single" w:sz="4" w:space="0" w:color="448A99"/>
              <w:bottom w:val="single" w:sz="4" w:space="0" w:color="448A99"/>
              <w:right w:val="single" w:sz="4" w:space="0" w:color="448A99"/>
            </w:tcBorders>
            <w:shd w:val="clear" w:color="000000" w:fill="D2EAF1"/>
            <w:noWrap/>
            <w:vAlign w:val="center"/>
            <w:hideMark/>
          </w:tcPr>
          <w:p w:rsidR="003E12A1" w:rsidRPr="004837FA" w:rsidRDefault="003E12A1" w:rsidP="003E12A1">
            <w:pPr>
              <w:rPr>
                <w:b/>
                <w:bCs/>
                <w:sz w:val="19"/>
                <w:szCs w:val="19"/>
              </w:rPr>
            </w:pPr>
            <w:r w:rsidRPr="004837FA">
              <w:rPr>
                <w:b/>
                <w:bCs/>
                <w:sz w:val="19"/>
                <w:szCs w:val="19"/>
              </w:rPr>
              <w:t>PPL</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nil"/>
              <w:bottom w:val="single" w:sz="4" w:space="0" w:color="448A99"/>
              <w:right w:val="single" w:sz="4" w:space="0" w:color="448A99"/>
            </w:tcBorders>
            <w:shd w:val="clear" w:color="000000" w:fill="D2EAF1"/>
            <w:vAlign w:val="center"/>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566" w:type="dxa"/>
            <w:tcBorders>
              <w:top w:val="single" w:sz="4" w:space="0" w:color="448A99"/>
              <w:left w:val="single" w:sz="4" w:space="0" w:color="448A99"/>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c>
          <w:tcPr>
            <w:tcW w:w="1656" w:type="dxa"/>
            <w:tcBorders>
              <w:top w:val="nil"/>
              <w:left w:val="nil"/>
              <w:bottom w:val="single" w:sz="4" w:space="0" w:color="448A99"/>
              <w:right w:val="single" w:sz="4" w:space="0" w:color="448A99"/>
            </w:tcBorders>
            <w:shd w:val="clear" w:color="000000" w:fill="D2EAF1"/>
            <w:noWrap/>
            <w:vAlign w:val="center"/>
            <w:hideMark/>
          </w:tcPr>
          <w:p w:rsidR="003E12A1" w:rsidRPr="00F10637" w:rsidRDefault="003E12A1" w:rsidP="003E12A1">
            <w:pPr>
              <w:jc w:val="center"/>
              <w:rPr>
                <w:rFonts w:ascii="Wingdings" w:hAnsi="Wingdings"/>
                <w:bCs/>
                <w:sz w:val="19"/>
                <w:szCs w:val="19"/>
              </w:rPr>
            </w:pPr>
            <w:r w:rsidRPr="00F10637">
              <w:rPr>
                <w:rFonts w:ascii="Wingdings" w:hAnsi="Wingdings"/>
                <w:bCs/>
                <w:sz w:val="19"/>
                <w:szCs w:val="19"/>
              </w:rPr>
              <w:t></w:t>
            </w:r>
          </w:p>
        </w:tc>
      </w:tr>
    </w:tbl>
    <w:p w:rsidR="00F73191" w:rsidRPr="00F95DF6" w:rsidRDefault="00F73191" w:rsidP="004837FA">
      <w:pPr>
        <w:numPr>
          <w:ilvl w:val="0"/>
          <w:numId w:val="23"/>
        </w:numPr>
        <w:spacing w:before="120" w:after="80"/>
        <w:ind w:left="360"/>
        <w:rPr>
          <w:szCs w:val="20"/>
        </w:rPr>
      </w:pPr>
      <w:r w:rsidRPr="00743C18">
        <w:rPr>
          <w:szCs w:val="20"/>
        </w:rPr>
        <w:t>The SWE Team reviewed EDC reported and evaluated savings and generally affirm</w:t>
      </w:r>
      <w:r w:rsidR="001B7999" w:rsidRPr="00743C18">
        <w:rPr>
          <w:szCs w:val="20"/>
        </w:rPr>
        <w:t>s</w:t>
      </w:r>
      <w:r w:rsidRPr="00743C18">
        <w:rPr>
          <w:szCs w:val="20"/>
        </w:rPr>
        <w:t xml:space="preserve"> their validity. The SWE Team does, however, note </w:t>
      </w:r>
      <w:r w:rsidR="009A5F8F" w:rsidRPr="00743C18">
        <w:rPr>
          <w:szCs w:val="20"/>
        </w:rPr>
        <w:t>a few</w:t>
      </w:r>
      <w:r w:rsidRPr="00743C18">
        <w:rPr>
          <w:szCs w:val="20"/>
        </w:rPr>
        <w:t xml:space="preserve"> small errors in the calculations of reported MWh and MW savings</w:t>
      </w:r>
      <w:r w:rsidR="009A5F8F" w:rsidRPr="00743C18">
        <w:rPr>
          <w:szCs w:val="20"/>
        </w:rPr>
        <w:t xml:space="preserve"> for some of the EDCs</w:t>
      </w:r>
      <w:r w:rsidRPr="00743C18">
        <w:rPr>
          <w:szCs w:val="20"/>
        </w:rPr>
        <w:t xml:space="preserve">. For example, </w:t>
      </w:r>
      <w:r w:rsidRPr="00743C18">
        <w:t>some EDCs did not use the applicable Pennsylvania TRM values or algorithms when reporting gross verified savings for some energy efficiency measures.</w:t>
      </w:r>
      <w:r w:rsidRPr="00743C18">
        <w:rPr>
          <w:szCs w:val="20"/>
        </w:rPr>
        <w:t xml:space="preserve"> </w:t>
      </w:r>
      <w:r w:rsidRPr="00743C18">
        <w:t xml:space="preserve">This report identifies where such errors have been made and makes recommendations on how they should be corrected. </w:t>
      </w:r>
      <w:r w:rsidR="00A43D08" w:rsidRPr="00743C18">
        <w:rPr>
          <w:szCs w:val="20"/>
        </w:rPr>
        <w:t>The SWE Team recommends that any errors in reported PY5, PY6</w:t>
      </w:r>
      <w:r w:rsidR="00371E06">
        <w:rPr>
          <w:szCs w:val="20"/>
        </w:rPr>
        <w:t>,</w:t>
      </w:r>
      <w:r w:rsidR="00A43D08" w:rsidRPr="00743C18">
        <w:rPr>
          <w:szCs w:val="20"/>
        </w:rPr>
        <w:t xml:space="preserve"> or PY7 verified incremental or cumulative annual MWh or MW savings or reported </w:t>
      </w:r>
      <w:r w:rsidR="00371E06">
        <w:rPr>
          <w:szCs w:val="20"/>
        </w:rPr>
        <w:t>B/C</w:t>
      </w:r>
      <w:r w:rsidR="00A43D08" w:rsidRPr="00743C18">
        <w:rPr>
          <w:szCs w:val="20"/>
        </w:rPr>
        <w:t xml:space="preserve"> calculations for an </w:t>
      </w:r>
      <w:r w:rsidR="00A43D08" w:rsidRPr="00743C18">
        <w:t>EDC be corrected and that a revised EDC final Phase II annual report be filed with the Commission by May 31, 2017</w:t>
      </w:r>
      <w:r w:rsidRPr="00743C18">
        <w:t>.</w:t>
      </w:r>
      <w:r w:rsidRPr="00743C18">
        <w:rPr>
          <w:rStyle w:val="FootnoteReference"/>
        </w:rPr>
        <w:footnoteReference w:id="8"/>
      </w:r>
    </w:p>
    <w:p w:rsidR="00F95DF6" w:rsidRPr="008A6AC5" w:rsidRDefault="00F95DF6" w:rsidP="004837FA">
      <w:pPr>
        <w:numPr>
          <w:ilvl w:val="0"/>
          <w:numId w:val="23"/>
        </w:numPr>
        <w:spacing w:after="80"/>
        <w:ind w:left="360"/>
        <w:rPr>
          <w:szCs w:val="20"/>
        </w:rPr>
      </w:pPr>
      <w:r w:rsidRPr="008A6AC5">
        <w:t>For Phase II, the combined NPV lifetime net benefits (benefits – costs) of the EDC energy efficiency portfolios exceeded $900 million.</w:t>
      </w:r>
    </w:p>
    <w:p w:rsidR="00630163" w:rsidRPr="00743C18" w:rsidRDefault="009A5F8F" w:rsidP="004837FA">
      <w:pPr>
        <w:numPr>
          <w:ilvl w:val="0"/>
          <w:numId w:val="23"/>
        </w:numPr>
        <w:spacing w:after="80"/>
        <w:ind w:left="360"/>
      </w:pPr>
      <w:r w:rsidRPr="00743C18">
        <w:t>In the PY6 audit activities, t</w:t>
      </w:r>
      <w:r w:rsidR="00F73191" w:rsidRPr="00743C18">
        <w:t>he</w:t>
      </w:r>
      <w:r w:rsidRPr="00743C18">
        <w:t xml:space="preserve"> Phase II</w:t>
      </w:r>
      <w:r w:rsidR="00F73191" w:rsidRPr="00743C18">
        <w:t xml:space="preserve"> SWE Team found instances where EDCs chose not to use values or algorithms in the applicable</w:t>
      </w:r>
      <w:r w:rsidRPr="00743C18">
        <w:t xml:space="preserve"> Phase II</w:t>
      </w:r>
      <w:r w:rsidR="00F73191" w:rsidRPr="00743C18">
        <w:t xml:space="preserve"> Pennsylvania TRM. T</w:t>
      </w:r>
      <w:r w:rsidR="00F73191" w:rsidRPr="00743C18">
        <w:rPr>
          <w:iCs/>
        </w:rPr>
        <w:t xml:space="preserve">he 2013 SWE Evaluation Framework states </w:t>
      </w:r>
      <w:r w:rsidR="00371E06">
        <w:rPr>
          <w:iCs/>
        </w:rPr>
        <w:t xml:space="preserve">that </w:t>
      </w:r>
      <w:r w:rsidR="00F73191" w:rsidRPr="00743C18">
        <w:rPr>
          <w:iCs/>
        </w:rPr>
        <w:t>if an EDC does not wish to use the values or protocols in the applicable TRM, it may use a custom method to calculate and report ex ante savings and/or ask its evaluation contractor to use a custom method to verify ex post savings, as long as the EDC</w:t>
      </w:r>
      <w:r w:rsidR="00630163" w:rsidRPr="00743C18">
        <w:rPr>
          <w:iCs/>
        </w:rPr>
        <w:t>:</w:t>
      </w:r>
      <w:r w:rsidR="00F73191" w:rsidRPr="00743C18">
        <w:rPr>
          <w:iCs/>
        </w:rPr>
        <w:t xml:space="preserve"> </w:t>
      </w:r>
    </w:p>
    <w:p w:rsidR="00630163" w:rsidRPr="00743C18" w:rsidRDefault="00034173" w:rsidP="004837FA">
      <w:pPr>
        <w:numPr>
          <w:ilvl w:val="1"/>
          <w:numId w:val="23"/>
        </w:numPr>
        <w:spacing w:after="80"/>
        <w:ind w:left="720"/>
      </w:pPr>
      <w:r>
        <w:rPr>
          <w:iCs/>
        </w:rPr>
        <w:t>A</w:t>
      </w:r>
      <w:r w:rsidR="00F73191" w:rsidRPr="00743C18">
        <w:rPr>
          <w:iCs/>
        </w:rPr>
        <w:t>lso calculates the savings using TRM protocols</w:t>
      </w:r>
      <w:r w:rsidR="00630163" w:rsidRPr="00743C18">
        <w:rPr>
          <w:iCs/>
        </w:rPr>
        <w:t>;</w:t>
      </w:r>
      <w:r w:rsidR="00F73191" w:rsidRPr="00743C18">
        <w:rPr>
          <w:iCs/>
        </w:rPr>
        <w:t xml:space="preserve"> and </w:t>
      </w:r>
    </w:p>
    <w:p w:rsidR="00630163" w:rsidRPr="00743C18" w:rsidRDefault="00034173" w:rsidP="004837FA">
      <w:pPr>
        <w:numPr>
          <w:ilvl w:val="1"/>
          <w:numId w:val="23"/>
        </w:numPr>
        <w:spacing w:after="80"/>
        <w:ind w:left="720"/>
      </w:pPr>
      <w:r>
        <w:rPr>
          <w:iCs/>
        </w:rPr>
        <w:t>I</w:t>
      </w:r>
      <w:r w:rsidR="00F73191" w:rsidRPr="00743C18">
        <w:rPr>
          <w:iCs/>
        </w:rPr>
        <w:t xml:space="preserve">ncludes both sets of results in the quarterly and/or annual EDC reports. </w:t>
      </w:r>
    </w:p>
    <w:p w:rsidR="00F73191" w:rsidRPr="00743C18" w:rsidRDefault="00F73191" w:rsidP="004837FA">
      <w:pPr>
        <w:tabs>
          <w:tab w:val="left" w:pos="360"/>
        </w:tabs>
        <w:spacing w:after="80"/>
        <w:ind w:left="360"/>
      </w:pPr>
      <w:r w:rsidRPr="00743C18">
        <w:rPr>
          <w:iCs/>
        </w:rPr>
        <w:t xml:space="preserve">The EDCs must justify the deviation from the TRM ex ante and ex post protocols in the quarterly and/or annual reports in which they report the deviations. EDCs should be aware that use of a custom method as an alternative to the approved TRM protocol increases the risk that the Commission may challenge their </w:t>
      </w:r>
      <w:r w:rsidR="003B215A" w:rsidRPr="00743C18">
        <w:rPr>
          <w:iCs/>
        </w:rPr>
        <w:t xml:space="preserve">verified </w:t>
      </w:r>
      <w:r w:rsidRPr="00743C18">
        <w:rPr>
          <w:iCs/>
        </w:rPr>
        <w:t>savings.</w:t>
      </w:r>
      <w:r w:rsidR="007E20E8" w:rsidRPr="00743C18">
        <w:rPr>
          <w:iCs/>
        </w:rPr>
        <w:t xml:space="preserve"> In the EDC PY7 </w:t>
      </w:r>
      <w:r w:rsidR="00630163" w:rsidRPr="00743C18">
        <w:rPr>
          <w:iCs/>
        </w:rPr>
        <w:t>a</w:t>
      </w:r>
      <w:r w:rsidR="007E20E8" w:rsidRPr="00743C18">
        <w:rPr>
          <w:iCs/>
        </w:rPr>
        <w:t xml:space="preserve">nnual </w:t>
      </w:r>
      <w:r w:rsidR="00630163" w:rsidRPr="00743C18">
        <w:rPr>
          <w:iCs/>
        </w:rPr>
        <w:t>r</w:t>
      </w:r>
      <w:r w:rsidR="007E20E8" w:rsidRPr="00743C18">
        <w:rPr>
          <w:iCs/>
        </w:rPr>
        <w:t>eports, the SWE did not find any instances where EDC kWh and kW savings calculations deviated from the PY7 TRM.</w:t>
      </w:r>
      <w:r w:rsidRPr="00743C18">
        <w:rPr>
          <w:iCs/>
        </w:rPr>
        <w:t xml:space="preserve"> </w:t>
      </w:r>
    </w:p>
    <w:p w:rsidR="00F73191" w:rsidRPr="006142E6" w:rsidRDefault="006142E6" w:rsidP="004837FA">
      <w:pPr>
        <w:numPr>
          <w:ilvl w:val="0"/>
          <w:numId w:val="23"/>
        </w:numPr>
        <w:spacing w:after="80"/>
        <w:ind w:left="360"/>
      </w:pPr>
      <w:r w:rsidRPr="006142E6">
        <w:t xml:space="preserve">The SWE Team’s initial review of EDC PY7 Annual Reports to the PUC found minor calculation inconsistencies in some EDC TRC models. The Phase II SWE coordinated with the EDCs to verify and make proper adjustments to the PY7 and Phase II TRC models. This SWE Phase II Final Report includes these TRC ratio adjustments. None of the adjustments resulted in TRC ratios that were plus or minus 1% of EDC reported numbers. As noted above, the Phase II SWE Team only recommends that an EDC file a revised report with the Pennsylvania PUC if there are errors in reported total EDC program costs, </w:t>
      </w:r>
      <w:r w:rsidRPr="006142E6">
        <w:lastRenderedPageBreak/>
        <w:t>EDC portfolio gross or net MWh savings, or any other key items (such as TRC B/C ratios) greater than plus or minus 1% of reported numbers in any program year of Phase II.</w:t>
      </w:r>
      <w:r w:rsidR="007E20E8" w:rsidRPr="006142E6">
        <w:t xml:space="preserve"> </w:t>
      </w:r>
    </w:p>
    <w:p w:rsidR="00A43D08" w:rsidRPr="00743C18" w:rsidRDefault="00A43D08" w:rsidP="004837FA">
      <w:pPr>
        <w:numPr>
          <w:ilvl w:val="0"/>
          <w:numId w:val="23"/>
        </w:numPr>
        <w:spacing w:after="80"/>
        <w:ind w:left="360"/>
        <w:rPr>
          <w:szCs w:val="20"/>
        </w:rPr>
      </w:pPr>
      <w:r w:rsidRPr="00743C18">
        <w:t>In the SWE’s PY6 report, the SWE</w:t>
      </w:r>
      <w:r w:rsidRPr="00743C18">
        <w:rPr>
          <w:bCs/>
          <w:lang w:val="x-none"/>
        </w:rPr>
        <w:t xml:space="preserve"> recommended that net-to-gross (NTG) research be conducted for all market segments</w:t>
      </w:r>
      <w:r w:rsidR="00D72084">
        <w:rPr>
          <w:rStyle w:val="FootnoteReference"/>
          <w:bCs/>
          <w:lang w:val="x-none"/>
        </w:rPr>
        <w:footnoteReference w:id="9"/>
      </w:r>
      <w:r w:rsidRPr="00743C18">
        <w:rPr>
          <w:bCs/>
          <w:lang w:val="x-none"/>
        </w:rPr>
        <w:t xml:space="preserve"> where an EDC offers Act 129 programs, including the residential low-income sector</w:t>
      </w:r>
      <w:r w:rsidRPr="00743C18">
        <w:rPr>
          <w:bCs/>
        </w:rPr>
        <w:t>.</w:t>
      </w:r>
      <w:r w:rsidRPr="00743C18">
        <w:rPr>
          <w:bCs/>
          <w:vertAlign w:val="superscript"/>
        </w:rPr>
        <w:footnoteReference w:id="10"/>
      </w:r>
      <w:r w:rsidRPr="00743C18">
        <w:rPr>
          <w:bCs/>
        </w:rPr>
        <w:t xml:space="preserve"> During PY7, six of the seven EDCs followed this recommendation. The</w:t>
      </w:r>
      <w:r w:rsidR="00247A6E">
        <w:rPr>
          <w:bCs/>
        </w:rPr>
        <w:t>se six</w:t>
      </w:r>
      <w:r w:rsidRPr="00743C18">
        <w:rPr>
          <w:bCs/>
        </w:rPr>
        <w:t xml:space="preserve"> EDCs determined that the NTG ratios (NTGRs) for their low-income programs ranged from 81% to 90%. </w:t>
      </w:r>
      <w:r w:rsidR="00371E06" w:rsidRPr="00371E06">
        <w:rPr>
          <w:bCs/>
        </w:rPr>
        <w:t xml:space="preserve">This research </w:t>
      </w:r>
      <w:r w:rsidR="00F95DF6">
        <w:rPr>
          <w:bCs/>
        </w:rPr>
        <w:t xml:space="preserve">conclusively </w:t>
      </w:r>
      <w:r w:rsidR="00371E06" w:rsidRPr="00371E06">
        <w:rPr>
          <w:bCs/>
        </w:rPr>
        <w:t>shows that the NTGR for low-income programs is not 100%. Going forward, the Phase II SWE Team recommends that NTG market research for residential low-income programs be conducted at least once in every Act 129 Phase. The Phase II SWE Team also recommends that the Commission consider setting the default NTGR for Phase III for residential low-income programs in the range of 81% to 90% given the results determined from the Phase II NTGR research</w:t>
      </w:r>
      <w:r w:rsidRPr="00743C18">
        <w:rPr>
          <w:bCs/>
        </w:rPr>
        <w:t>.</w:t>
      </w:r>
    </w:p>
    <w:p w:rsidR="00F73191" w:rsidRPr="00743C18" w:rsidRDefault="00A43D08" w:rsidP="004837FA">
      <w:pPr>
        <w:numPr>
          <w:ilvl w:val="0"/>
          <w:numId w:val="23"/>
        </w:numPr>
        <w:spacing w:after="80"/>
        <w:ind w:left="360"/>
        <w:rPr>
          <w:szCs w:val="20"/>
        </w:rPr>
      </w:pPr>
      <w:r w:rsidRPr="00743C18">
        <w:rPr>
          <w:szCs w:val="20"/>
        </w:rPr>
        <w:t>The SWE Team finds that all seven Pennsylvania EDCs subject to the Phase II electricity savings requirements of Act 129 have met the Phase II kWh savings targets listed in the Phase II Implementation Order for Act 129. On a statewide basis, the EDCs achieved 133% of the Phase II MWh/yr savings goal for all of Phase II, based on the numbers verified by the EDCs’ evaluation contractors.</w:t>
      </w:r>
      <w:r w:rsidR="00F73191" w:rsidRPr="00743C18">
        <w:rPr>
          <w:szCs w:val="20"/>
        </w:rPr>
        <w:t xml:space="preserve"> </w:t>
      </w:r>
    </w:p>
    <w:p w:rsidR="00F73191" w:rsidRPr="00743C18" w:rsidRDefault="00F73191" w:rsidP="004837FA">
      <w:pPr>
        <w:numPr>
          <w:ilvl w:val="0"/>
          <w:numId w:val="23"/>
        </w:numPr>
        <w:spacing w:after="80"/>
        <w:ind w:left="360"/>
        <w:rPr>
          <w:szCs w:val="20"/>
        </w:rPr>
      </w:pPr>
      <w:r w:rsidRPr="00743C18">
        <w:rPr>
          <w:szCs w:val="20"/>
        </w:rPr>
        <w:t xml:space="preserve">The overall TRC test </w:t>
      </w:r>
      <w:r w:rsidR="00371E06">
        <w:t>B/C ratio</w:t>
      </w:r>
      <w:r w:rsidRPr="00743C18">
        <w:rPr>
          <w:szCs w:val="20"/>
        </w:rPr>
        <w:t xml:space="preserve">, as reported by the EDCs and consolidated across each EDC for PY7, </w:t>
      </w:r>
      <w:r w:rsidR="00D02A6B" w:rsidRPr="00743C18">
        <w:rPr>
          <w:szCs w:val="20"/>
        </w:rPr>
        <w:t>is 1.8.</w:t>
      </w:r>
      <w:r w:rsidRPr="00743C18">
        <w:rPr>
          <w:szCs w:val="20"/>
        </w:rPr>
        <w:t xml:space="preserve"> The net present value (NPV) savings to Pennsylvania ratepayers reported by the EDCs for </w:t>
      </w:r>
      <w:r w:rsidR="00D02A6B" w:rsidRPr="00743C18">
        <w:rPr>
          <w:szCs w:val="20"/>
        </w:rPr>
        <w:t xml:space="preserve">PY7 is </w:t>
      </w:r>
      <w:r w:rsidR="00D02A6B" w:rsidRPr="00743C18">
        <w:rPr>
          <w:bCs/>
          <w:szCs w:val="20"/>
        </w:rPr>
        <w:t>$443 million (</w:t>
      </w:r>
      <w:r w:rsidR="00F05DE6">
        <w:rPr>
          <w:bCs/>
          <w:szCs w:val="20"/>
        </w:rPr>
        <w:t>~</w:t>
      </w:r>
      <w:r w:rsidR="00D02A6B" w:rsidRPr="00743C18">
        <w:rPr>
          <w:bCs/>
          <w:szCs w:val="20"/>
        </w:rPr>
        <w:t xml:space="preserve">$1 billion in benefits </w:t>
      </w:r>
      <w:r w:rsidR="00F05DE6">
        <w:rPr>
          <w:bCs/>
          <w:szCs w:val="20"/>
        </w:rPr>
        <w:t>minus</w:t>
      </w:r>
      <w:r w:rsidR="00D02A6B" w:rsidRPr="00743C18">
        <w:rPr>
          <w:bCs/>
          <w:szCs w:val="20"/>
        </w:rPr>
        <w:t xml:space="preserve"> </w:t>
      </w:r>
      <w:r w:rsidR="00F05DE6">
        <w:rPr>
          <w:bCs/>
          <w:szCs w:val="20"/>
        </w:rPr>
        <w:t>~</w:t>
      </w:r>
      <w:r w:rsidR="00D02A6B" w:rsidRPr="00743C18">
        <w:rPr>
          <w:bCs/>
          <w:szCs w:val="20"/>
        </w:rPr>
        <w:t>$56</w:t>
      </w:r>
      <w:r w:rsidR="00F05DE6">
        <w:rPr>
          <w:bCs/>
          <w:szCs w:val="20"/>
        </w:rPr>
        <w:t>0</w:t>
      </w:r>
      <w:r w:rsidR="00D02A6B" w:rsidRPr="00743C18">
        <w:rPr>
          <w:bCs/>
          <w:szCs w:val="20"/>
        </w:rPr>
        <w:t xml:space="preserve"> million in costs)</w:t>
      </w:r>
      <w:r w:rsidR="00D02A6B" w:rsidRPr="00743C18">
        <w:rPr>
          <w:szCs w:val="20"/>
        </w:rPr>
        <w:t xml:space="preserve">. </w:t>
      </w:r>
      <w:r w:rsidR="00371E06">
        <w:rPr>
          <w:szCs w:val="20"/>
        </w:rPr>
        <w:t>In those instances,</w:t>
      </w:r>
      <w:r w:rsidRPr="00743C18">
        <w:rPr>
          <w:szCs w:val="20"/>
        </w:rPr>
        <w:t xml:space="preserve"> where calculation errors caused the NPV savings for an EDC’s PY7 program portfolio to change by 1% or more, the SWE Team recommends that the EDC cost-effectiveness calculations be corrected and a revised EDC PY7 report be filed with the Commission by May 31, 2017.  </w:t>
      </w:r>
    </w:p>
    <w:p w:rsidR="00F73191" w:rsidRPr="00743C18" w:rsidRDefault="00A43D08" w:rsidP="004837FA">
      <w:pPr>
        <w:numPr>
          <w:ilvl w:val="0"/>
          <w:numId w:val="23"/>
        </w:numPr>
        <w:tabs>
          <w:tab w:val="left" w:pos="360"/>
        </w:tabs>
        <w:spacing w:after="80"/>
        <w:ind w:left="360"/>
      </w:pPr>
      <w:r w:rsidRPr="00743C18">
        <w:rPr>
          <w:szCs w:val="20"/>
        </w:rPr>
        <w:t xml:space="preserve">Based on the SWE Team audit activities conducted from PY5 to PY7, there still is evidence of high free-ridership for several EDC programs. For purposes of this report, the Phase II SWE defines high free-ridership as a rate above 50%. In the residential sector, free-ridership was highest for appliance and </w:t>
      </w:r>
      <w:r w:rsidR="00371E06">
        <w:t>h</w:t>
      </w:r>
      <w:r w:rsidR="00371E06" w:rsidRPr="001539AB">
        <w:t>eating, ventilating, and air</w:t>
      </w:r>
      <w:r w:rsidR="00371E06">
        <w:t>-</w:t>
      </w:r>
      <w:r w:rsidR="00371E06" w:rsidRPr="001539AB">
        <w:t>conditioning</w:t>
      </w:r>
      <w:r w:rsidR="00371E06" w:rsidRPr="00743C18">
        <w:rPr>
          <w:szCs w:val="20"/>
        </w:rPr>
        <w:t xml:space="preserve"> </w:t>
      </w:r>
      <w:r w:rsidR="00371E06">
        <w:rPr>
          <w:szCs w:val="20"/>
        </w:rPr>
        <w:t>(</w:t>
      </w:r>
      <w:r w:rsidR="00371E06" w:rsidRPr="00743C18">
        <w:rPr>
          <w:szCs w:val="20"/>
        </w:rPr>
        <w:t>HVAC</w:t>
      </w:r>
      <w:r w:rsidR="00371E06">
        <w:rPr>
          <w:szCs w:val="20"/>
        </w:rPr>
        <w:t>)</w:t>
      </w:r>
      <w:r w:rsidR="00371E06" w:rsidRPr="00743C18">
        <w:rPr>
          <w:szCs w:val="20"/>
        </w:rPr>
        <w:t xml:space="preserve"> </w:t>
      </w:r>
      <w:r w:rsidRPr="00743C18">
        <w:rPr>
          <w:szCs w:val="20"/>
        </w:rPr>
        <w:t>rebate and upstream lighting programs; it varied from moderate to high for appliance recycling; it was lowest for home performance and kit distribution programs. In the non-residential sector, free-ridership was highest in programs targeting small businesses, custom projects, and the GNI sector. When high free-ridership exists, the SWE Team recommends that EDCs should reexamine program design elements to determine whether free-ridership can be reduced in the future. All EDCs should continue to consider actions to reduce free-ridership in Phase III. In the non-residential sector, if any EDCs still allow customers to submit rebate applications after equipment purchase (and do not specify an eligibility time period), they should consider implementing a 90-day rebate eligibility clause for such purchases.</w:t>
      </w:r>
      <w:r w:rsidRPr="00743C18">
        <w:rPr>
          <w:szCs w:val="20"/>
          <w:vertAlign w:val="superscript"/>
        </w:rPr>
        <w:footnoteReference w:id="11"/>
      </w:r>
    </w:p>
    <w:p w:rsidR="00F73191" w:rsidRPr="00743C18" w:rsidRDefault="00F73191" w:rsidP="004837FA">
      <w:pPr>
        <w:pStyle w:val="CommentText"/>
        <w:numPr>
          <w:ilvl w:val="0"/>
          <w:numId w:val="23"/>
        </w:numPr>
        <w:tabs>
          <w:tab w:val="left" w:pos="360"/>
        </w:tabs>
        <w:spacing w:after="80"/>
        <w:ind w:left="360"/>
        <w:rPr>
          <w:sz w:val="22"/>
          <w:szCs w:val="22"/>
        </w:rPr>
      </w:pPr>
      <w:r w:rsidRPr="00743C18">
        <w:rPr>
          <w:sz w:val="22"/>
          <w:szCs w:val="22"/>
        </w:rPr>
        <w:lastRenderedPageBreak/>
        <w:t>The EDC process evaluations identified that retailers and contractors are an important source of program information.</w:t>
      </w:r>
      <w:r w:rsidR="002A0B26" w:rsidRPr="00743C18">
        <w:rPr>
          <w:rStyle w:val="FootnoteReference"/>
          <w:sz w:val="22"/>
          <w:szCs w:val="22"/>
        </w:rPr>
        <w:footnoteReference w:id="12"/>
      </w:r>
      <w:r w:rsidRPr="00743C18">
        <w:rPr>
          <w:sz w:val="22"/>
          <w:szCs w:val="22"/>
        </w:rPr>
        <w:t xml:space="preserve"> </w:t>
      </w:r>
      <w:r w:rsidRPr="00743C18">
        <w:rPr>
          <w:sz w:val="22"/>
        </w:rPr>
        <w:t>One EDC process evaluation found that contractors prefer direct, personal program contact, and another evaluation found a decrease in sales staffs’ enthusiasm for selling energy efficient appliances. These findings point to the need for programs to engage with retailers and contractors directly and personally to encourage sales, which may help increase program participation</w:t>
      </w:r>
      <w:r w:rsidRPr="00743C18">
        <w:rPr>
          <w:sz w:val="22"/>
          <w:szCs w:val="22"/>
        </w:rPr>
        <w:t>.</w:t>
      </w:r>
    </w:p>
    <w:p w:rsidR="00F73191" w:rsidRPr="00743C18" w:rsidRDefault="007E20E8" w:rsidP="004837FA">
      <w:pPr>
        <w:numPr>
          <w:ilvl w:val="0"/>
          <w:numId w:val="23"/>
        </w:numPr>
        <w:tabs>
          <w:tab w:val="left" w:pos="360"/>
        </w:tabs>
        <w:spacing w:after="80"/>
        <w:ind w:left="360"/>
      </w:pPr>
      <w:r w:rsidRPr="00743C18">
        <w:t>EDC p</w:t>
      </w:r>
      <w:r w:rsidR="00F73191" w:rsidRPr="00743C18">
        <w:t>rocess evaluations of home audit programs continued to show opportunities for greater conversion of audit participants to program participants. The SWE Team recommends that EDCs conduct research to track over time the percentage of home energy audits that result in purchases and installations of energy efficiency measures. Then the SWE can develop a comparison of these percentages across EDC audit programs. Having such comparative information across EDCs will help the SWE develop findings, best practices, and recommendations on program strategies that lead to the highest conversion rates from audit participants to program participants.</w:t>
      </w:r>
    </w:p>
    <w:p w:rsidR="00AE505B" w:rsidRPr="00743C18" w:rsidRDefault="00F73191" w:rsidP="004837FA">
      <w:pPr>
        <w:numPr>
          <w:ilvl w:val="0"/>
          <w:numId w:val="23"/>
        </w:numPr>
        <w:spacing w:after="80"/>
        <w:ind w:left="360"/>
      </w:pPr>
      <w:r w:rsidRPr="00743C18">
        <w:t>During Phase III, EDC database tracking systems should continue to adjust as necessary to capture sufficient measure detail so that the applicable TRM algorithms can be used to verify reported savings values and assumptions. The SWE Team found some instances in which the PY7 EDC tracking systems lacked the ability to capture these details. The SWE Team’s specific recommendations for each EDC’s data</w:t>
      </w:r>
      <w:r w:rsidR="00D02A6B" w:rsidRPr="00743C18">
        <w:t>-</w:t>
      </w:r>
      <w:r w:rsidRPr="00743C18">
        <w:t>tracking and reporting system are provided in</w:t>
      </w:r>
      <w:r w:rsidR="005253C9" w:rsidRPr="00743C18">
        <w:t xml:space="preserve"> Appendix A</w:t>
      </w:r>
      <w:r w:rsidRPr="00743C18">
        <w:t xml:space="preserve"> of this report.</w:t>
      </w:r>
    </w:p>
    <w:p w:rsidR="00F73191" w:rsidRPr="00743C18" w:rsidRDefault="002A0B26" w:rsidP="004837FA">
      <w:pPr>
        <w:numPr>
          <w:ilvl w:val="0"/>
          <w:numId w:val="23"/>
        </w:numPr>
        <w:spacing w:after="80"/>
        <w:ind w:left="360"/>
      </w:pPr>
      <w:r w:rsidRPr="00743C18">
        <w:t>During Phase II the percentage of part</w:t>
      </w:r>
      <w:r w:rsidR="00371E06">
        <w:t>icipants in EDC residential low-</w:t>
      </w:r>
      <w:r w:rsidRPr="00743C18">
        <w:t>income programs receiving either a telephone or on-site inspection varied significantly among EDCs. Going forward, the Phase II SWE Team recommends that the TUS staff and Phase III SWE consider establishing clearer guidelines for the number of telephone and on-site inspections that need to be performed for residential low-income programs. The design of these guidelines will need to take into account differences in EDC low</w:t>
      </w:r>
      <w:r w:rsidR="00371E06">
        <w:t>-</w:t>
      </w:r>
      <w:r w:rsidRPr="00743C18">
        <w:t>income programs. These guidelines should establish minimum requirements for the number and types of telephone and/or on-site inspections that need to be performed for low-income programs</w:t>
      </w:r>
      <w:r w:rsidR="00AE505B" w:rsidRPr="00743C18">
        <w:t>.</w:t>
      </w:r>
    </w:p>
    <w:p w:rsidR="00F73191" w:rsidRPr="00743C18" w:rsidRDefault="00F73191" w:rsidP="004837FA">
      <w:pPr>
        <w:numPr>
          <w:ilvl w:val="0"/>
          <w:numId w:val="23"/>
        </w:numPr>
        <w:spacing w:after="80"/>
        <w:ind w:left="360"/>
      </w:pPr>
      <w:r w:rsidRPr="00743C18">
        <w:t xml:space="preserve">The SWE Team found that 9% of the verified savings in the non-residential sector in PY7 came from residential upstream lighting programs. This is a significant reduction from the 21% reported in PY5, as all EDCs except for the FirstEnergy companies reported substantial drops in the cross-sector savings associated with these upstream bulb programs. For Duquesne for PY7, the amount verified in this category was actually 0%. For PECO and PPL, the percentages verified were </w:t>
      </w:r>
      <w:r w:rsidR="00E83316" w:rsidRPr="00743C18">
        <w:t>14</w:t>
      </w:r>
      <w:r w:rsidRPr="00743C18">
        <w:t xml:space="preserve">% and </w:t>
      </w:r>
      <w:r w:rsidR="00E83316" w:rsidRPr="00743C18">
        <w:t>1</w:t>
      </w:r>
      <w:r w:rsidR="00F00493" w:rsidRPr="00743C18">
        <w:t>2</w:t>
      </w:r>
      <w:r w:rsidRPr="00743C18">
        <w:t>%, respectively</w:t>
      </w:r>
      <w:r w:rsidR="005B0234" w:rsidRPr="00743C18">
        <w:t>,</w:t>
      </w:r>
      <w:r w:rsidR="00D02A6B" w:rsidRPr="00743C18">
        <w:t xml:space="preserve"> </w:t>
      </w:r>
      <w:r w:rsidR="005B0234" w:rsidRPr="00743C18">
        <w:t>with those for the FirstEnergy companies ranging from 0.5% for Penn Power to</w:t>
      </w:r>
      <w:r w:rsidR="00371E06">
        <w:t xml:space="preserve"> 4.7% for Penelec and West Penn</w:t>
      </w:r>
      <w:r w:rsidR="005B0234" w:rsidRPr="00743C18">
        <w:t>. The SWE Team recommends continued cross-sector sales analysis, as the findings show there are important shifts in the MWh and MW savings being reported in this category</w:t>
      </w:r>
      <w:r w:rsidRPr="00743C18">
        <w:t>.</w:t>
      </w:r>
    </w:p>
    <w:p w:rsidR="00AE505B" w:rsidRPr="00743C18" w:rsidRDefault="00AE505B" w:rsidP="004837FA">
      <w:pPr>
        <w:numPr>
          <w:ilvl w:val="0"/>
          <w:numId w:val="23"/>
        </w:numPr>
        <w:spacing w:after="80"/>
        <w:ind w:left="360"/>
      </w:pPr>
      <w:r w:rsidRPr="00743C18">
        <w:t xml:space="preserve">For all four EDCs under the FirstEnergy umbrella in Pennsylvania, the SWE found that kWh and kW savings calculations for PY7 for commercial and industrial </w:t>
      </w:r>
      <w:r w:rsidR="00D02A6B" w:rsidRPr="00743C18">
        <w:t>(C/I)</w:t>
      </w:r>
      <w:r w:rsidRPr="00743C18">
        <w:t xml:space="preserve"> </w:t>
      </w:r>
      <w:r w:rsidR="00371E06" w:rsidRPr="00743C18">
        <w:t xml:space="preserve">lighting </w:t>
      </w:r>
      <w:r w:rsidRPr="00743C18">
        <w:t>projects were performed using a modified version of the 2015 Pennsylvania TRM Appendix C calculator. Use of the modified calculator makes it much more difficult for the SWE Team to review and verify the kWh and kW savings calculations for these types of energy efficiency projects. The Phase II SWE recommends that go</w:t>
      </w:r>
      <w:r w:rsidR="006A0436" w:rsidRPr="00743C18">
        <w:t>i</w:t>
      </w:r>
      <w:r w:rsidRPr="00743C18">
        <w:t>ng forward the original Appendix C calculator be used.</w:t>
      </w:r>
    </w:p>
    <w:p w:rsidR="00F73191" w:rsidRPr="00743C18" w:rsidRDefault="00F73191" w:rsidP="004837FA">
      <w:pPr>
        <w:numPr>
          <w:ilvl w:val="0"/>
          <w:numId w:val="23"/>
        </w:numPr>
        <w:spacing w:after="80"/>
        <w:ind w:left="360"/>
      </w:pPr>
      <w:r w:rsidRPr="00743C18">
        <w:lastRenderedPageBreak/>
        <w:t xml:space="preserve">SWE audit activities revealed that the EDCs that conducted process evaluations generally </w:t>
      </w:r>
      <w:r w:rsidR="00371E06">
        <w:t xml:space="preserve">did so </w:t>
      </w:r>
      <w:r w:rsidRPr="00743C18">
        <w:t>consistent with the Phase II Act 129 Evaluation Framework but in some cases could have provided greater detail about methods and findings to support their conclusions.</w:t>
      </w:r>
      <w:r w:rsidRPr="00743C18">
        <w:rPr>
          <w:iCs/>
        </w:rPr>
        <w:t xml:space="preserve"> The SWE Team makes the following recommendations for improving process evaluations in the future: </w:t>
      </w:r>
    </w:p>
    <w:p w:rsidR="00F73191" w:rsidRPr="00743C18" w:rsidRDefault="00F73191" w:rsidP="00E673F0">
      <w:pPr>
        <w:numPr>
          <w:ilvl w:val="1"/>
          <w:numId w:val="23"/>
        </w:numPr>
        <w:spacing w:after="50"/>
        <w:ind w:left="720"/>
      </w:pPr>
      <w:r w:rsidRPr="00743C18">
        <w:t>EDC process evaluation reports should identify analysis methods, including level of analysis, and types of statistical tests performed.</w:t>
      </w:r>
    </w:p>
    <w:p w:rsidR="00F73191" w:rsidRPr="00743C18" w:rsidRDefault="00F73191" w:rsidP="00E673F0">
      <w:pPr>
        <w:numPr>
          <w:ilvl w:val="1"/>
          <w:numId w:val="23"/>
        </w:numPr>
        <w:spacing w:after="50"/>
        <w:ind w:left="720"/>
      </w:pPr>
      <w:r w:rsidRPr="00743C18">
        <w:t>When reporting re</w:t>
      </w:r>
      <w:r w:rsidR="00100477" w:rsidRPr="00743C18">
        <w:t>sponse differences among</w:t>
      </w:r>
      <w:r w:rsidRPr="00743C18">
        <w:t xml:space="preserve"> subgroups, indicate whether the differences were statistically significant, and by what test.</w:t>
      </w:r>
    </w:p>
    <w:p w:rsidR="00F73191" w:rsidRPr="00743C18" w:rsidRDefault="00F73191" w:rsidP="00E673F0">
      <w:pPr>
        <w:numPr>
          <w:ilvl w:val="1"/>
          <w:numId w:val="23"/>
        </w:numPr>
        <w:spacing w:after="50"/>
        <w:ind w:left="720"/>
      </w:pPr>
      <w:r w:rsidRPr="00743C18">
        <w:t>Provide additional insights, when possible, into causes for programs struggling to meet participation and kWh</w:t>
      </w:r>
      <w:r w:rsidR="007B1E78" w:rsidRPr="00743C18">
        <w:t>/yr</w:t>
      </w:r>
      <w:r w:rsidRPr="00743C18">
        <w:t xml:space="preserve"> and kW savings targets.</w:t>
      </w:r>
    </w:p>
    <w:p w:rsidR="00F73191" w:rsidRPr="00743C18" w:rsidRDefault="00F73191" w:rsidP="00E673F0">
      <w:pPr>
        <w:numPr>
          <w:ilvl w:val="1"/>
          <w:numId w:val="23"/>
        </w:numPr>
        <w:spacing w:after="50"/>
        <w:ind w:left="720"/>
      </w:pPr>
      <w:r w:rsidRPr="00743C18">
        <w:t>Where possible, connect process evaluation recommendations to general conclusions based on multiple findings rather than to single findings.</w:t>
      </w:r>
    </w:p>
    <w:p w:rsidR="00F73191" w:rsidRPr="00743C18" w:rsidRDefault="00F73191" w:rsidP="004837FA">
      <w:pPr>
        <w:numPr>
          <w:ilvl w:val="1"/>
          <w:numId w:val="23"/>
        </w:numPr>
        <w:spacing w:after="80"/>
        <w:ind w:left="720"/>
      </w:pPr>
      <w:r w:rsidRPr="00743C18">
        <w:t>Restrict the number of recommended actions identified in each process evaluation recommendation.</w:t>
      </w:r>
    </w:p>
    <w:p w:rsidR="00F73191" w:rsidRPr="00743C18" w:rsidRDefault="00F73191" w:rsidP="004837FA">
      <w:pPr>
        <w:numPr>
          <w:ilvl w:val="0"/>
          <w:numId w:val="23"/>
        </w:numPr>
        <w:spacing w:after="80"/>
        <w:ind w:left="360"/>
      </w:pPr>
      <w:r w:rsidRPr="00743C18">
        <w:t xml:space="preserve">The SWE process evaluation audit activities for the PY7 programs found that the evaluation contractors made 175 Phase II process evaluation recommendations to the EDCs. Of this total, the EDCs’ annual reports indicated that 103 (59%) were implemented (or accepted for planned implementation) by the EDCs, 53 (30%) were still being considered for implementation, and 19 (11%) were rejected by the EDCs. The 59% acceptance rate is considerably higher than that from PY5 (32%) and PY6 (36%). </w:t>
      </w:r>
      <w:r w:rsidR="00100477" w:rsidRPr="00743C18">
        <w:t>T</w:t>
      </w:r>
      <w:r w:rsidRPr="00743C18">
        <w:t xml:space="preserve">he 11% rejection rate also was higher than that from PY5 and PY6 (2% and 3%, respectively). In the PY6 SWE annual report, the SWE Team noted the high percentage of recommendations still under consideration, attributing it to the short interval between the dates that the evaluation contractors submitted their recommendations to the EDCs and the deadline for submitting the EDC annual reports. The SWE recommended that the EDCs establish priorities for the process evaluation recommendations so that the most important recommendations are resolved quickly. Additional information </w:t>
      </w:r>
      <w:r w:rsidR="00220780" w:rsidRPr="00743C18">
        <w:t>obtained for this Phase II SWE F</w:t>
      </w:r>
      <w:r w:rsidRPr="00743C18">
        <w:t xml:space="preserve">inal </w:t>
      </w:r>
      <w:r w:rsidR="00220780" w:rsidRPr="00743C18">
        <w:t>R</w:t>
      </w:r>
      <w:r w:rsidRPr="00743C18">
        <w:t xml:space="preserve">eport sheds more light on this issue. The SWE Team observed that in every program year of Phase II, the annual report for one EDC showed that no recommendations were yet accepted. </w:t>
      </w:r>
      <w:r w:rsidR="003C2064">
        <w:t>Concerns</w:t>
      </w:r>
      <w:r w:rsidRPr="00743C18">
        <w:t xml:space="preserve"> about committing resources during a major information technology (IT) implementation that occurred throughout Phase II reportedly prevented the EDC from identifying recommendations as accepted or implemented in time for the annual report. This only partly explains the high overall percentage of recommendations that remained under consideration at the time of the annual reports, however. While that EDC had the highest percentage of Phase II recommendations under consideration, it also had the fewest recommendations to consider. Dropping that EDC out of the analysis had a minimal effect on the overall percentage of recommendations still under consideration. The purpose of having EDCs indicate the status of recommendations in their annual reports is to show whether the evaluation </w:t>
      </w:r>
      <w:r w:rsidRPr="00743C18">
        <w:rPr>
          <w:color w:val="000000"/>
        </w:rPr>
        <w:t xml:space="preserve">contractors </w:t>
      </w:r>
      <w:r w:rsidRPr="00743C18">
        <w:t>have provided clear and actionable recommendations and whether the EDCs have given them due consideration. Therefore, the SWE Team recommends that instead of identifying each recommendation as implemented, under consideration, or rejected, the EDCs identify them as implemented, hig</w:t>
      </w:r>
      <w:r w:rsidR="00220780" w:rsidRPr="00743C18">
        <w:t xml:space="preserve">h priority for implementation, </w:t>
      </w:r>
      <w:r w:rsidRPr="00743C18">
        <w:t>medium priority for implementation, low priority for implementation, or rejected.</w:t>
      </w:r>
    </w:p>
    <w:p w:rsidR="00F73191" w:rsidRPr="00743C18" w:rsidRDefault="00F73191" w:rsidP="004837FA">
      <w:pPr>
        <w:numPr>
          <w:ilvl w:val="0"/>
          <w:numId w:val="23"/>
        </w:numPr>
        <w:spacing w:after="80"/>
        <w:ind w:left="360"/>
      </w:pPr>
      <w:r w:rsidRPr="00743C18">
        <w:t>For PY7, the SWE identified instances where EDCs did not use the correct in-service rate (ISR) from the applicable Pennsylvania TRM for residential lighting measures. All EDCs must use the ISR for residential lighting measures provided in the TRM applicable for PY7, unless the EDC has conducted research in its service area to document the actual ISR achieved during PY7.</w:t>
      </w:r>
    </w:p>
    <w:p w:rsidR="00F73191" w:rsidRPr="00743C18" w:rsidRDefault="00F73191" w:rsidP="004837FA">
      <w:pPr>
        <w:numPr>
          <w:ilvl w:val="0"/>
          <w:numId w:val="23"/>
        </w:numPr>
        <w:spacing w:after="80"/>
        <w:ind w:left="360"/>
        <w:rPr>
          <w:u w:val="single"/>
        </w:rPr>
      </w:pPr>
      <w:r w:rsidRPr="00743C18">
        <w:lastRenderedPageBreak/>
        <w:t xml:space="preserve">The SWE Team completed 61 ride-along site inspection reports (RASIRs) of randomly selected PY7 C/I energy efficiency measure installations. Through these rigorous ride-along site inspections, the SWE Team found that the EDC site inspection evaluation process has improved from PY6 and that installed projects were far more likely to match the application in terms of equipment type and quantity across all EDCs. Also of note for PY7 is the difficulty that some EDC evaluation teams had in securing the first choice for a project on-site inspection; in many </w:t>
      </w:r>
      <w:r w:rsidR="00E673F0" w:rsidRPr="00743C18">
        <w:t>cases,</w:t>
      </w:r>
      <w:r w:rsidRPr="00743C18">
        <w:t xml:space="preserve"> they had to use project participants from the list of alternate sites. </w:t>
      </w:r>
    </w:p>
    <w:p w:rsidR="00EA49E4" w:rsidRPr="00743C18" w:rsidRDefault="00F73191" w:rsidP="004837FA">
      <w:pPr>
        <w:numPr>
          <w:ilvl w:val="0"/>
          <w:numId w:val="23"/>
        </w:numPr>
        <w:spacing w:after="80"/>
        <w:ind w:left="360"/>
        <w:rPr>
          <w:szCs w:val="20"/>
        </w:rPr>
      </w:pPr>
      <w:r w:rsidRPr="00743C18">
        <w:rPr>
          <w:szCs w:val="20"/>
        </w:rPr>
        <w:t>The EDC PY5</w:t>
      </w:r>
      <w:r w:rsidR="00AE505B" w:rsidRPr="00743C18">
        <w:rPr>
          <w:szCs w:val="20"/>
        </w:rPr>
        <w:t>,</w:t>
      </w:r>
      <w:r w:rsidRPr="00743C18">
        <w:rPr>
          <w:szCs w:val="20"/>
        </w:rPr>
        <w:t xml:space="preserve"> PY6</w:t>
      </w:r>
      <w:r w:rsidR="00220780" w:rsidRPr="00743C18">
        <w:rPr>
          <w:szCs w:val="20"/>
        </w:rPr>
        <w:t>,</w:t>
      </w:r>
      <w:r w:rsidR="00AE505B" w:rsidRPr="00743C18">
        <w:rPr>
          <w:szCs w:val="20"/>
        </w:rPr>
        <w:t xml:space="preserve"> and PY7</w:t>
      </w:r>
      <w:r w:rsidRPr="00743C18">
        <w:rPr>
          <w:szCs w:val="20"/>
        </w:rPr>
        <w:t xml:space="preserve"> annual reports to the PUC show different participation rates across EDCs for similar types of programs. The SWE</w:t>
      </w:r>
      <w:r w:rsidR="00AE505B" w:rsidRPr="00743C18">
        <w:rPr>
          <w:szCs w:val="20"/>
        </w:rPr>
        <w:t xml:space="preserve"> recommends that the TUS staff</w:t>
      </w:r>
      <w:r w:rsidRPr="00743C18">
        <w:rPr>
          <w:szCs w:val="20"/>
        </w:rPr>
        <w:t xml:space="preserve"> </w:t>
      </w:r>
      <w:r w:rsidR="00CF6FDA" w:rsidRPr="00743C18">
        <w:rPr>
          <w:szCs w:val="20"/>
        </w:rPr>
        <w:t>and the Phase III SWE conduct a study to examine this issue more thoroughly in order to understand the factors causing these different levels of participation, including whether the EDCs are calculating and reporting participation rates on the same basis. The results of this analysis can be used for two purposes</w:t>
      </w:r>
      <w:r w:rsidRPr="00743C18">
        <w:rPr>
          <w:szCs w:val="20"/>
        </w:rPr>
        <w:t xml:space="preserve">: </w:t>
      </w:r>
    </w:p>
    <w:p w:rsidR="00EA49E4" w:rsidRPr="00743C18" w:rsidRDefault="00034173" w:rsidP="00E673F0">
      <w:pPr>
        <w:numPr>
          <w:ilvl w:val="1"/>
          <w:numId w:val="23"/>
        </w:numPr>
        <w:spacing w:after="50"/>
        <w:ind w:left="720"/>
        <w:rPr>
          <w:szCs w:val="20"/>
        </w:rPr>
      </w:pPr>
      <w:r>
        <w:rPr>
          <w:szCs w:val="20"/>
        </w:rPr>
        <w:t>T</w:t>
      </w:r>
      <w:r w:rsidR="00F73191" w:rsidRPr="00743C18">
        <w:rPr>
          <w:szCs w:val="20"/>
        </w:rPr>
        <w:t>o clarify how program participation levels and participation rates should be calculated and reported to the PUC</w:t>
      </w:r>
      <w:r w:rsidR="00EA49E4" w:rsidRPr="00743C18">
        <w:rPr>
          <w:szCs w:val="20"/>
        </w:rPr>
        <w:t>;</w:t>
      </w:r>
      <w:r w:rsidR="00F73191" w:rsidRPr="00743C18">
        <w:rPr>
          <w:szCs w:val="20"/>
        </w:rPr>
        <w:t xml:space="preserve"> and </w:t>
      </w:r>
    </w:p>
    <w:p w:rsidR="00F73191" w:rsidRPr="00743C18" w:rsidRDefault="00034173" w:rsidP="004837FA">
      <w:pPr>
        <w:numPr>
          <w:ilvl w:val="1"/>
          <w:numId w:val="23"/>
        </w:numPr>
        <w:spacing w:after="80"/>
        <w:ind w:left="720"/>
        <w:rPr>
          <w:szCs w:val="20"/>
        </w:rPr>
      </w:pPr>
      <w:r>
        <w:rPr>
          <w:szCs w:val="20"/>
        </w:rPr>
        <w:t>T</w:t>
      </w:r>
      <w:r w:rsidR="00F73191" w:rsidRPr="00743C18">
        <w:rPr>
          <w:szCs w:val="20"/>
        </w:rPr>
        <w:t xml:space="preserve">o </w:t>
      </w:r>
      <w:r w:rsidR="00AE505B" w:rsidRPr="00743C18">
        <w:rPr>
          <w:szCs w:val="20"/>
        </w:rPr>
        <w:t>identify</w:t>
      </w:r>
      <w:r w:rsidR="00F73191" w:rsidRPr="00743C18">
        <w:rPr>
          <w:szCs w:val="20"/>
        </w:rPr>
        <w:t xml:space="preserve"> whether any EDC should consider modifying the design attributes (marketing strategy, delivery channels, incentive levels, education and outreach efforts, etc.) of a program in order to improve program efficiency and effectiveness. Such modifications or enhancements to these aspects of program design are very important when trying </w:t>
      </w:r>
      <w:r w:rsidR="00AE505B" w:rsidRPr="00743C18">
        <w:rPr>
          <w:szCs w:val="20"/>
        </w:rPr>
        <w:t>to improve participation rates.</w:t>
      </w:r>
    </w:p>
    <w:p w:rsidR="00F73191" w:rsidRPr="00DA1ADA" w:rsidRDefault="00F73191" w:rsidP="004837FA">
      <w:pPr>
        <w:numPr>
          <w:ilvl w:val="0"/>
          <w:numId w:val="23"/>
        </w:numPr>
        <w:spacing w:after="80"/>
        <w:ind w:left="360"/>
      </w:pPr>
      <w:r w:rsidRPr="00DA1ADA">
        <w:t>Evaluations of home energy audit programs may show opportunities for greater conversion from audits to incented projects, with some evaluations identifying specific market barriers. Conversion of an energy audit participant to a program participant may not occur within the same program year. Going forward, the SWE recommends that EDC evaluation contractors should investigate whether customers who had energy audits in a given program are more likely than customers who did not receive an audit to carry out incented projects in later program years. Currently such data or information are not available for the EDC home energy audit programs. EDCs also should investigate ways to overcome identified barriers and in general increase follow-up outreach to audit participants to encourage conversion.</w:t>
      </w:r>
    </w:p>
    <w:p w:rsidR="00F73191" w:rsidRPr="00743C18" w:rsidRDefault="00F73191" w:rsidP="004837FA">
      <w:pPr>
        <w:pStyle w:val="ListParagraph"/>
        <w:numPr>
          <w:ilvl w:val="0"/>
          <w:numId w:val="23"/>
        </w:numPr>
        <w:spacing w:after="80"/>
        <w:ind w:left="360"/>
        <w:contextualSpacing w:val="0"/>
      </w:pPr>
      <w:r w:rsidRPr="00743C18">
        <w:t>The process evaluation of PPL’s residential lighting program</w:t>
      </w:r>
      <w:r w:rsidR="00CF6FDA" w:rsidRPr="00743C18">
        <w:t xml:space="preserve"> (</w:t>
      </w:r>
      <w:r w:rsidR="00371E06">
        <w:t>which</w:t>
      </w:r>
      <w:r w:rsidR="000826FB" w:rsidRPr="00743C18">
        <w:t xml:space="preserve"> offered only discounted</w:t>
      </w:r>
      <w:r w:rsidR="00371E06">
        <w:t xml:space="preserve"> light-emitting diodes [</w:t>
      </w:r>
      <w:r w:rsidR="000826FB" w:rsidRPr="00743C18">
        <w:t>LEDs</w:t>
      </w:r>
      <w:r w:rsidR="00371E06">
        <w:t>]</w:t>
      </w:r>
      <w:r w:rsidR="000826FB" w:rsidRPr="00743C18">
        <w:t xml:space="preserve"> throughout Phase II</w:t>
      </w:r>
      <w:r w:rsidR="00CF6FDA" w:rsidRPr="00743C18">
        <w:t xml:space="preserve">) </w:t>
      </w:r>
      <w:r w:rsidRPr="00743C18">
        <w:t>found that</w:t>
      </w:r>
      <w:r w:rsidR="00B4325A" w:rsidRPr="00743C18">
        <w:t xml:space="preserve"> compact fluorescent light (</w:t>
      </w:r>
      <w:r w:rsidRPr="00743C18">
        <w:t>CFL</w:t>
      </w:r>
      <w:r w:rsidR="00B4325A" w:rsidRPr="00743C18">
        <w:t>) bulbs</w:t>
      </w:r>
      <w:r w:rsidRPr="00743C18">
        <w:t xml:space="preserve"> disposal behavior remains relatively unchanged from prior years, with over half of customers disposing of CFLs in the trash, in spite of</w:t>
      </w:r>
      <w:r w:rsidR="00B4325A" w:rsidRPr="00743C18">
        <w:t xml:space="preserve"> there being</w:t>
      </w:r>
      <w:r w:rsidRPr="00743C18">
        <w:t xml:space="preserve"> more recycling bins in diverse locations.</w:t>
      </w:r>
      <w:r w:rsidR="00101D57" w:rsidRPr="00743C18">
        <w:t xml:space="preserve"> T</w:t>
      </w:r>
      <w:r w:rsidRPr="00743C18">
        <w:t>he SWE recommends that</w:t>
      </w:r>
      <w:r w:rsidR="00101D57" w:rsidRPr="00743C18">
        <w:t xml:space="preserve"> if this is not already addressed by the EDCs, that</w:t>
      </w:r>
      <w:r w:rsidRPr="00743C18">
        <w:t xml:space="preserve"> the EDCs work together during </w:t>
      </w:r>
      <w:r w:rsidR="00AE505B" w:rsidRPr="00743C18">
        <w:t>Phase III</w:t>
      </w:r>
      <w:r w:rsidRPr="00743C18">
        <w:t xml:space="preserve"> to modify the education and outreach portion of residential lighting programs, in order to increase significantly the percentage of customers who dispose of CFLs in recycling bins.</w:t>
      </w:r>
    </w:p>
    <w:p w:rsidR="00F73191" w:rsidRPr="00743C18" w:rsidRDefault="00C2362E" w:rsidP="004837FA">
      <w:pPr>
        <w:pStyle w:val="ListParagraph"/>
        <w:numPr>
          <w:ilvl w:val="0"/>
          <w:numId w:val="23"/>
        </w:numPr>
        <w:spacing w:after="80"/>
        <w:ind w:left="360"/>
        <w:contextualSpacing w:val="0"/>
      </w:pPr>
      <w:r w:rsidRPr="00743C18">
        <w:t>The SWE Team found a few instances where EDCs did not use measure lives listed in the TRM in their calculations of the TRC test. The SWE recommends that the TRM be used as the primary source for measure life values when they are available and listed in the Pennsylvania TRM. In addition, the SWE recommends that errors in the use of measure lives be corrected in each EDC’s final report for Phase II, if these corrections will cause the overall EDC portfolio TRC ratio for PY7 to change by more tha</w:t>
      </w:r>
      <w:r w:rsidR="00371E06">
        <w:t>n plus or minus 1%</w:t>
      </w:r>
      <w:r w:rsidR="00F73191" w:rsidRPr="00743C18">
        <w:t>.</w:t>
      </w:r>
    </w:p>
    <w:p w:rsidR="00F73191" w:rsidRPr="00743C18" w:rsidRDefault="00F67288" w:rsidP="004837FA">
      <w:pPr>
        <w:pStyle w:val="ListParagraph"/>
        <w:numPr>
          <w:ilvl w:val="0"/>
          <w:numId w:val="23"/>
        </w:numPr>
        <w:spacing w:after="80"/>
        <w:ind w:left="360"/>
        <w:contextualSpacing w:val="0"/>
      </w:pPr>
      <w:r w:rsidRPr="00743C18">
        <w:t xml:space="preserve">The SWE Team recommends that EDCs provide additional documentation of the methodology and data used to calculate cross-sector residential lighting and low-income sales. In order to provide more foundation for the calculations of cross-sector sales estimates, the SWE recommends that each EDC should report the sample sizes used for the evaluation research, the distribution of intercept stores (name of store, size of store, etc.), distribution of weekend versus weekday intercept surveys, and time of year the intercept surveys were administered. This information would allow the SWE Team to </w:t>
      </w:r>
      <w:r w:rsidRPr="00743C18">
        <w:lastRenderedPageBreak/>
        <w:t>understand whether there may have been any changes over time in the methodology used by EDCs to estimate cross-sector sales. Changing the methodology over time can affect the research results. The SWE wants to ensure that changes in estimates of such cross-sector sales of lighting products are driven entirely by changes to program design rather than changes in research methods and sampling techniques. Given the upstream residential lighting programs’ significant contribution to each EDC’s portfolio savings, the SWE Team recommends that the EDC evaluation contractors include additional details regarding the research methods in future annual reports as well as a discussion related to differences in parameter estimates. The Phase II SWE also recommends that the Phase III SWE consider developing guidelines or protocols for research methods to be used for determining cross</w:t>
      </w:r>
      <w:r w:rsidR="00371E06">
        <w:t>-</w:t>
      </w:r>
      <w:r w:rsidRPr="00743C18">
        <w:t>sector sales</w:t>
      </w:r>
      <w:r w:rsidR="00F73191" w:rsidRPr="00743C18">
        <w:t xml:space="preserve">. </w:t>
      </w:r>
    </w:p>
    <w:p w:rsidR="00F73191" w:rsidRPr="00743C18" w:rsidRDefault="00F73191" w:rsidP="004837FA">
      <w:pPr>
        <w:pStyle w:val="bullettext"/>
        <w:numPr>
          <w:ilvl w:val="0"/>
          <w:numId w:val="23"/>
        </w:numPr>
        <w:spacing w:after="80"/>
        <w:ind w:left="360"/>
      </w:pPr>
      <w:r w:rsidRPr="00743C18">
        <w:t>The SWE recommends that thorough auditing of program applications for C/I measures be continued by EDCs, to ensure clarity of the project files for the subsequent SWE review.</w:t>
      </w:r>
    </w:p>
    <w:p w:rsidR="00F73191" w:rsidRPr="00743C18" w:rsidRDefault="00F73191" w:rsidP="00D405A7">
      <w:pPr>
        <w:pStyle w:val="ListParagraph"/>
        <w:numPr>
          <w:ilvl w:val="0"/>
          <w:numId w:val="23"/>
        </w:numPr>
        <w:ind w:left="360"/>
        <w:contextualSpacing w:val="0"/>
      </w:pPr>
      <w:r w:rsidRPr="00743C18">
        <w:t xml:space="preserve">The SWE Team found that all EDCs either used the approved common NTG research methods or used them with acceptable modifications. Some EDCs also used other acceptable methods where the SWE Team did not establish a common method. The SWE Team continues to recommend that, where applicable, the EDC </w:t>
      </w:r>
      <w:r w:rsidRPr="00743C18">
        <w:rPr>
          <w:color w:val="000000"/>
        </w:rPr>
        <w:t>evaluation contractor</w:t>
      </w:r>
      <w:r w:rsidR="00101D57" w:rsidRPr="00743C18">
        <w:rPr>
          <w:color w:val="000000"/>
        </w:rPr>
        <w:t>’s</w:t>
      </w:r>
      <w:r w:rsidRPr="00743C18">
        <w:rPr>
          <w:color w:val="000000"/>
        </w:rPr>
        <w:t xml:space="preserve"> </w:t>
      </w:r>
      <w:r w:rsidRPr="00743C18">
        <w:t>report explicitly state how a given survey instrument differs from the common NTG method approved by the SWE and TUS, and why the EDC survey instrument, if different than the common method, would not produce a systematically different result from the result that would be achieved if the common method were used.</w:t>
      </w:r>
    </w:p>
    <w:p w:rsidR="00F73191" w:rsidRDefault="00F73191" w:rsidP="00F73191">
      <w:pPr>
        <w:pStyle w:val="ListParagraph"/>
        <w:ind w:left="360"/>
      </w:pPr>
    </w:p>
    <w:p w:rsidR="00F73191" w:rsidRDefault="00F73191" w:rsidP="00F73191">
      <w:bookmarkStart w:id="28" w:name="_Toc426989585"/>
      <w:r w:rsidRPr="00E07151">
        <w:t xml:space="preserve">As of May 31, 2016 (the end of PY7), the seven EDCs collectively saved </w:t>
      </w:r>
      <w:r w:rsidR="00B2504C" w:rsidRPr="00E07151">
        <w:t>4,</w:t>
      </w:r>
      <w:r w:rsidR="005A0D9B" w:rsidRPr="00E07151">
        <w:t>399</w:t>
      </w:r>
      <w:r w:rsidR="00B2504C" w:rsidRPr="00E07151">
        <w:t>,</w:t>
      </w:r>
      <w:r w:rsidR="005A0D9B" w:rsidRPr="00E07151">
        <w:t>261</w:t>
      </w:r>
      <w:r w:rsidRPr="00E07151">
        <w:t xml:space="preserve"> MWh/yr (i.e., on a</w:t>
      </w:r>
      <w:r>
        <w:t xml:space="preserve"> cumulative annual basis)</w:t>
      </w:r>
      <w:r w:rsidRPr="006872F3">
        <w:t xml:space="preserve"> and </w:t>
      </w:r>
      <w:r w:rsidR="00DD1BDA">
        <w:t>524</w:t>
      </w:r>
      <w:r w:rsidRPr="006872F3">
        <w:t xml:space="preserve"> MW</w:t>
      </w:r>
      <w:r w:rsidRPr="008C19A3">
        <w:t xml:space="preserve"> during Phase II.</w:t>
      </w:r>
      <w:r w:rsidRPr="008C19A3">
        <w:rPr>
          <w:vertAlign w:val="superscript"/>
        </w:rPr>
        <w:footnoteReference w:id="13"/>
      </w:r>
      <w:r w:rsidRPr="00F26C5E">
        <w:t xml:space="preserve"> </w:t>
      </w:r>
      <w:r>
        <w:t xml:space="preserve">Table 1-3 </w:t>
      </w:r>
      <w:r w:rsidRPr="00F26C5E">
        <w:t>provides</w:t>
      </w:r>
      <w:r w:rsidRPr="00E83083">
        <w:t xml:space="preserve"> a status </w:t>
      </w:r>
      <w:r>
        <w:t>report</w:t>
      </w:r>
      <w:r w:rsidRPr="00E83083">
        <w:t xml:space="preserve"> on each EDC’s </w:t>
      </w:r>
      <w:r w:rsidRPr="00984719">
        <w:t>progress toward reaching its Phase II savings targets as of the end of PY</w:t>
      </w:r>
      <w:r>
        <w:t>7</w:t>
      </w:r>
      <w:r w:rsidRPr="00984719">
        <w:t xml:space="preserve">. These savings are attributable to </w:t>
      </w:r>
      <w:r w:rsidR="00DD1BDA">
        <w:t>more than 80</w:t>
      </w:r>
      <w:r w:rsidRPr="00984719">
        <w:t xml:space="preserve"> EE&amp;C programs</w:t>
      </w:r>
      <w:r w:rsidRPr="00E83083">
        <w:t xml:space="preserve"> implemented by the seven EDCs. </w:t>
      </w:r>
      <w:r>
        <w:t xml:space="preserve">All of the EDCs met their overall energy savings targets for Phase II. </w:t>
      </w:r>
      <w:r w:rsidR="00A70171">
        <w:fldChar w:fldCharType="begin"/>
      </w:r>
      <w:r w:rsidR="00A70171">
        <w:instrText xml:space="preserve"> REF _Ref472410514 \h </w:instrText>
      </w:r>
      <w:r w:rsidR="00A70171">
        <w:fldChar w:fldCharType="separate"/>
      </w:r>
      <w:r w:rsidR="00037CB4">
        <w:t xml:space="preserve">Table </w:t>
      </w:r>
      <w:r w:rsidR="00037CB4">
        <w:rPr>
          <w:noProof/>
        </w:rPr>
        <w:t>1</w:t>
      </w:r>
      <w:r w:rsidR="00037CB4">
        <w:noBreakHyphen/>
      </w:r>
      <w:r w:rsidR="00037CB4">
        <w:rPr>
          <w:noProof/>
        </w:rPr>
        <w:t>3</w:t>
      </w:r>
      <w:r w:rsidR="00A70171">
        <w:fldChar w:fldCharType="end"/>
      </w:r>
      <w:r>
        <w:t xml:space="preserve"> </w:t>
      </w:r>
      <w:r w:rsidRPr="00F26C5E">
        <w:t>also provides the EDCs</w:t>
      </w:r>
      <w:r>
        <w:t>’</w:t>
      </w:r>
      <w:r w:rsidRPr="00F26C5E">
        <w:t xml:space="preserve"> progress toward their Phase II low-income and GNI carve</w:t>
      </w:r>
      <w:r>
        <w:t>-</w:t>
      </w:r>
      <w:r w:rsidRPr="00F26C5E">
        <w:t>out goals</w:t>
      </w:r>
      <w:r w:rsidRPr="0086037B">
        <w:t>.</w:t>
      </w:r>
      <w:r w:rsidRPr="008C19A3">
        <w:t xml:space="preserve"> </w:t>
      </w:r>
      <w:r>
        <w:t xml:space="preserve">All of the EDCs achieved their low-income and GNI carve-out goals for Phase II. </w:t>
      </w:r>
    </w:p>
    <w:p w:rsidR="00F73191" w:rsidRDefault="00F73191" w:rsidP="00F73191"/>
    <w:p w:rsidR="00F73191" w:rsidRDefault="00A70171" w:rsidP="004837FA">
      <w:pPr>
        <w:pStyle w:val="Caption"/>
      </w:pPr>
      <w:bookmarkStart w:id="29" w:name="_Ref472410514"/>
      <w:bookmarkStart w:id="30" w:name="_Ref433291815"/>
      <w:bookmarkStart w:id="31" w:name="_Toc274920617"/>
      <w:bookmarkStart w:id="32" w:name="_Toc286412323"/>
      <w:bookmarkStart w:id="33" w:name="_Toc330455723"/>
      <w:bookmarkStart w:id="34" w:name="_Toc346293917"/>
      <w:bookmarkStart w:id="35" w:name="_Toc350170275"/>
      <w:bookmarkStart w:id="36" w:name="_Toc409224975"/>
      <w:bookmarkStart w:id="37" w:name="_Toc409443527"/>
      <w:bookmarkStart w:id="38" w:name="_Toc445206146"/>
      <w:bookmarkStart w:id="39" w:name="_Toc472472155"/>
      <w:bookmarkStart w:id="40" w:name="_Toc488741731"/>
      <w:r>
        <w:t xml:space="preserve">Table </w:t>
      </w:r>
      <w:r w:rsidR="007973A4">
        <w:fldChar w:fldCharType="begin"/>
      </w:r>
      <w:r w:rsidR="007973A4">
        <w:instrText xml:space="preserve"> STYLEREF 1 \s </w:instrText>
      </w:r>
      <w:r w:rsidR="007973A4">
        <w:fldChar w:fldCharType="separate"/>
      </w:r>
      <w:r w:rsidR="00037CB4">
        <w:rPr>
          <w:noProof/>
        </w:rPr>
        <w:t>1</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3</w:t>
      </w:r>
      <w:r w:rsidR="007973A4">
        <w:rPr>
          <w:noProof/>
        </w:rPr>
        <w:fldChar w:fldCharType="end"/>
      </w:r>
      <w:bookmarkEnd w:id="29"/>
      <w:r>
        <w:t>:</w:t>
      </w:r>
      <w:bookmarkEnd w:id="30"/>
      <w:r w:rsidR="00F73191" w:rsidRPr="00A07887">
        <w:t xml:space="preserve"> Summary of Progress </w:t>
      </w:r>
      <w:r w:rsidR="003C2064">
        <w:t>Toward</w:t>
      </w:r>
      <w:r w:rsidR="00F73191" w:rsidRPr="00A07887">
        <w:t xml:space="preserve"> Achieving Phase II Energy Savings Compliance as of the End of PY</w:t>
      </w:r>
      <w:bookmarkEnd w:id="31"/>
      <w:bookmarkEnd w:id="32"/>
      <w:bookmarkEnd w:id="33"/>
      <w:bookmarkEnd w:id="34"/>
      <w:bookmarkEnd w:id="35"/>
      <w:bookmarkEnd w:id="36"/>
      <w:bookmarkEnd w:id="37"/>
      <w:bookmarkEnd w:id="38"/>
      <w:r w:rsidR="00F73191">
        <w:t>7</w:t>
      </w:r>
      <w:bookmarkStart w:id="41" w:name="_Ref409110596"/>
      <w:bookmarkStart w:id="42" w:name="_Ref433291790"/>
      <w:bookmarkStart w:id="43" w:name="_Toc346294012"/>
      <w:bookmarkStart w:id="44" w:name="_Toc350154849"/>
      <w:bookmarkStart w:id="45" w:name="_Ref409110581"/>
      <w:bookmarkStart w:id="46" w:name="_Toc409224943"/>
      <w:bookmarkStart w:id="47" w:name="_Toc409443622"/>
      <w:bookmarkEnd w:id="39"/>
      <w:bookmarkEnd w:id="40"/>
    </w:p>
    <w:tbl>
      <w:tblPr>
        <w:tblW w:w="9350" w:type="dxa"/>
        <w:tblLook w:val="04A0" w:firstRow="1" w:lastRow="0" w:firstColumn="1" w:lastColumn="0" w:noHBand="0" w:noVBand="1"/>
      </w:tblPr>
      <w:tblGrid>
        <w:gridCol w:w="1979"/>
        <w:gridCol w:w="1150"/>
        <w:gridCol w:w="1011"/>
        <w:gridCol w:w="998"/>
        <w:gridCol w:w="1072"/>
        <w:gridCol w:w="913"/>
        <w:gridCol w:w="886"/>
        <w:gridCol w:w="700"/>
        <w:gridCol w:w="641"/>
      </w:tblGrid>
      <w:tr w:rsidR="00A874AC" w:rsidRPr="001A4C2C" w:rsidTr="001A4C2C">
        <w:trPr>
          <w:trHeight w:val="525"/>
          <w:tblHeader/>
        </w:trPr>
        <w:tc>
          <w:tcPr>
            <w:tcW w:w="2070" w:type="dxa"/>
            <w:tcBorders>
              <w:top w:val="single" w:sz="8" w:space="0" w:color="448A99"/>
              <w:left w:val="single" w:sz="8" w:space="0" w:color="448A99"/>
              <w:bottom w:val="single" w:sz="8" w:space="0" w:color="448A99"/>
              <w:right w:val="nil"/>
            </w:tcBorders>
            <w:shd w:val="clear" w:color="000000" w:fill="448A99"/>
            <w:vAlign w:val="bottom"/>
            <w:hideMark/>
          </w:tcPr>
          <w:p w:rsidR="0087376F" w:rsidRPr="001A4C2C" w:rsidRDefault="0087376F" w:rsidP="006142E6">
            <w:pPr>
              <w:jc w:val="left"/>
              <w:rPr>
                <w:b/>
                <w:bCs/>
                <w:color w:val="FFFFFF"/>
                <w:sz w:val="19"/>
                <w:szCs w:val="19"/>
              </w:rPr>
            </w:pPr>
            <w:r w:rsidRPr="001A4C2C">
              <w:rPr>
                <w:b/>
                <w:bCs/>
                <w:color w:val="FFFFFF"/>
                <w:sz w:val="19"/>
                <w:szCs w:val="19"/>
              </w:rPr>
              <w:t>% of Target Achieved</w:t>
            </w:r>
          </w:p>
        </w:tc>
        <w:tc>
          <w:tcPr>
            <w:tcW w:w="1052"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87376F" w:rsidRPr="001A4C2C" w:rsidRDefault="0087376F" w:rsidP="006142E6">
            <w:pPr>
              <w:jc w:val="center"/>
              <w:rPr>
                <w:b/>
                <w:bCs/>
                <w:color w:val="FFFFFF"/>
                <w:sz w:val="19"/>
                <w:szCs w:val="19"/>
              </w:rPr>
            </w:pPr>
            <w:r w:rsidRPr="001A4C2C">
              <w:rPr>
                <w:b/>
                <w:bCs/>
                <w:color w:val="FFFFFF"/>
                <w:sz w:val="19"/>
                <w:szCs w:val="19"/>
              </w:rPr>
              <w:t>Statewide</w:t>
            </w:r>
            <w:r w:rsidR="006B1A31" w:rsidRPr="006B1A31">
              <w:rPr>
                <w:b/>
                <w:bCs/>
                <w:color w:val="FFFFFF"/>
                <w:sz w:val="19"/>
                <w:szCs w:val="19"/>
                <w:vertAlign w:val="superscript"/>
              </w:rPr>
              <w:t>[a]</w:t>
            </w:r>
          </w:p>
        </w:tc>
        <w:tc>
          <w:tcPr>
            <w:tcW w:w="1011"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1A4C2C" w:rsidRDefault="0087376F" w:rsidP="006142E6">
            <w:pPr>
              <w:jc w:val="center"/>
              <w:rPr>
                <w:b/>
                <w:bCs/>
                <w:color w:val="FFFFFF"/>
                <w:sz w:val="19"/>
                <w:szCs w:val="19"/>
              </w:rPr>
            </w:pPr>
            <w:r w:rsidRPr="001A4C2C">
              <w:rPr>
                <w:b/>
                <w:bCs/>
                <w:color w:val="FFFFFF"/>
                <w:sz w:val="19"/>
                <w:szCs w:val="19"/>
              </w:rPr>
              <w:t>Duquesne</w:t>
            </w:r>
          </w:p>
        </w:tc>
        <w:tc>
          <w:tcPr>
            <w:tcW w:w="1030"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1A4C2C" w:rsidRDefault="0087376F" w:rsidP="006142E6">
            <w:pPr>
              <w:jc w:val="center"/>
              <w:rPr>
                <w:b/>
                <w:bCs/>
                <w:color w:val="FFFFFF"/>
                <w:sz w:val="19"/>
                <w:szCs w:val="19"/>
              </w:rPr>
            </w:pPr>
            <w:r w:rsidRPr="001A4C2C">
              <w:rPr>
                <w:b/>
                <w:bCs/>
                <w:color w:val="FFFFFF"/>
                <w:sz w:val="19"/>
                <w:szCs w:val="19"/>
              </w:rPr>
              <w:t>FE: Met-Ed</w:t>
            </w:r>
          </w:p>
        </w:tc>
        <w:tc>
          <w:tcPr>
            <w:tcW w:w="1093"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1A4C2C" w:rsidRDefault="0087376F" w:rsidP="006142E6">
            <w:pPr>
              <w:jc w:val="center"/>
              <w:rPr>
                <w:b/>
                <w:bCs/>
                <w:color w:val="FFFFFF"/>
                <w:sz w:val="19"/>
                <w:szCs w:val="19"/>
              </w:rPr>
            </w:pPr>
            <w:r w:rsidRPr="001A4C2C">
              <w:rPr>
                <w:b/>
                <w:bCs/>
                <w:color w:val="FFFFFF"/>
                <w:sz w:val="19"/>
                <w:szCs w:val="19"/>
              </w:rPr>
              <w:t>FE: Penelec</w:t>
            </w:r>
          </w:p>
        </w:tc>
        <w:tc>
          <w:tcPr>
            <w:tcW w:w="930"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1A4C2C" w:rsidRDefault="0087376F" w:rsidP="006142E6">
            <w:pPr>
              <w:jc w:val="center"/>
              <w:rPr>
                <w:b/>
                <w:bCs/>
                <w:color w:val="FFFFFF"/>
                <w:sz w:val="19"/>
                <w:szCs w:val="19"/>
              </w:rPr>
            </w:pPr>
            <w:r w:rsidRPr="001A4C2C">
              <w:rPr>
                <w:b/>
                <w:bCs/>
                <w:color w:val="FFFFFF"/>
                <w:sz w:val="19"/>
                <w:szCs w:val="19"/>
              </w:rPr>
              <w:t>FE: Penn Power</w:t>
            </w:r>
          </w:p>
        </w:tc>
        <w:tc>
          <w:tcPr>
            <w:tcW w:w="908"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1A4C2C" w:rsidRDefault="0087376F" w:rsidP="006142E6">
            <w:pPr>
              <w:jc w:val="center"/>
              <w:rPr>
                <w:b/>
                <w:bCs/>
                <w:color w:val="FFFFFF"/>
                <w:sz w:val="19"/>
                <w:szCs w:val="19"/>
              </w:rPr>
            </w:pPr>
            <w:r w:rsidRPr="001A4C2C">
              <w:rPr>
                <w:b/>
                <w:bCs/>
                <w:color w:val="FFFFFF"/>
                <w:sz w:val="19"/>
                <w:szCs w:val="19"/>
              </w:rPr>
              <w:t>FE: West Penn</w:t>
            </w:r>
          </w:p>
        </w:tc>
        <w:tc>
          <w:tcPr>
            <w:tcW w:w="705"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1A4C2C" w:rsidRDefault="0087376F" w:rsidP="006142E6">
            <w:pPr>
              <w:jc w:val="center"/>
              <w:rPr>
                <w:b/>
                <w:bCs/>
                <w:color w:val="FFFFFF"/>
                <w:sz w:val="19"/>
                <w:szCs w:val="19"/>
              </w:rPr>
            </w:pPr>
            <w:r w:rsidRPr="001A4C2C">
              <w:rPr>
                <w:b/>
                <w:bCs/>
                <w:color w:val="FFFFFF"/>
                <w:sz w:val="19"/>
                <w:szCs w:val="19"/>
              </w:rPr>
              <w:t>PECO</w:t>
            </w:r>
          </w:p>
        </w:tc>
        <w:tc>
          <w:tcPr>
            <w:tcW w:w="551"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1A4C2C" w:rsidRDefault="0087376F" w:rsidP="006142E6">
            <w:pPr>
              <w:jc w:val="center"/>
              <w:rPr>
                <w:b/>
                <w:bCs/>
                <w:color w:val="FFFFFF"/>
                <w:sz w:val="19"/>
                <w:szCs w:val="19"/>
              </w:rPr>
            </w:pPr>
            <w:r w:rsidRPr="001A4C2C">
              <w:rPr>
                <w:b/>
                <w:bCs/>
                <w:color w:val="FFFFFF"/>
                <w:sz w:val="19"/>
                <w:szCs w:val="19"/>
              </w:rPr>
              <w:t>PPL</w:t>
            </w:r>
          </w:p>
        </w:tc>
      </w:tr>
      <w:tr w:rsidR="00A874AC" w:rsidRPr="001A4C2C" w:rsidTr="001A4C2C">
        <w:trPr>
          <w:trHeight w:val="525"/>
        </w:trPr>
        <w:tc>
          <w:tcPr>
            <w:tcW w:w="2070" w:type="dxa"/>
            <w:tcBorders>
              <w:top w:val="nil"/>
              <w:left w:val="single" w:sz="8" w:space="0" w:color="448A99"/>
              <w:bottom w:val="single" w:sz="8" w:space="0" w:color="448A99"/>
              <w:right w:val="nil"/>
            </w:tcBorders>
            <w:shd w:val="clear" w:color="000000" w:fill="D2EAF1"/>
            <w:vAlign w:val="center"/>
            <w:hideMark/>
          </w:tcPr>
          <w:p w:rsidR="0087376F" w:rsidRPr="001A4C2C" w:rsidRDefault="0087376F" w:rsidP="006142E6">
            <w:pPr>
              <w:jc w:val="left"/>
              <w:rPr>
                <w:color w:val="000000"/>
                <w:sz w:val="19"/>
                <w:szCs w:val="19"/>
              </w:rPr>
            </w:pPr>
            <w:r w:rsidRPr="001A4C2C">
              <w:rPr>
                <w:color w:val="000000"/>
                <w:sz w:val="19"/>
                <w:szCs w:val="19"/>
              </w:rPr>
              <w:t>% of Phase II Energy Savings Target</w:t>
            </w:r>
          </w:p>
        </w:tc>
        <w:tc>
          <w:tcPr>
            <w:tcW w:w="1052" w:type="dxa"/>
            <w:tcBorders>
              <w:top w:val="nil"/>
              <w:left w:val="single" w:sz="8" w:space="0" w:color="448A99"/>
              <w:bottom w:val="single" w:sz="8" w:space="0" w:color="448A99"/>
              <w:right w:val="single" w:sz="8" w:space="0" w:color="448A99"/>
            </w:tcBorders>
            <w:shd w:val="clear" w:color="000000" w:fill="D2EAF1"/>
            <w:vAlign w:val="center"/>
            <w:hideMark/>
          </w:tcPr>
          <w:p w:rsidR="0087376F" w:rsidRPr="001A4C2C" w:rsidRDefault="0087376F" w:rsidP="0087376F">
            <w:pPr>
              <w:jc w:val="center"/>
              <w:rPr>
                <w:b/>
                <w:bCs/>
                <w:color w:val="000000"/>
                <w:sz w:val="19"/>
                <w:szCs w:val="19"/>
              </w:rPr>
            </w:pPr>
            <w:r w:rsidRPr="001A4C2C">
              <w:rPr>
                <w:b/>
                <w:bCs/>
                <w:color w:val="000000"/>
                <w:sz w:val="19"/>
                <w:szCs w:val="19"/>
              </w:rPr>
              <w:t>133%</w:t>
            </w:r>
          </w:p>
        </w:tc>
        <w:tc>
          <w:tcPr>
            <w:tcW w:w="1011"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185%</w:t>
            </w:r>
          </w:p>
        </w:tc>
        <w:tc>
          <w:tcPr>
            <w:tcW w:w="1030"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123%</w:t>
            </w:r>
          </w:p>
        </w:tc>
        <w:tc>
          <w:tcPr>
            <w:tcW w:w="1093"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124%</w:t>
            </w:r>
          </w:p>
        </w:tc>
        <w:tc>
          <w:tcPr>
            <w:tcW w:w="930"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138%</w:t>
            </w:r>
          </w:p>
        </w:tc>
        <w:tc>
          <w:tcPr>
            <w:tcW w:w="908"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124%</w:t>
            </w:r>
          </w:p>
        </w:tc>
        <w:tc>
          <w:tcPr>
            <w:tcW w:w="705" w:type="dxa"/>
            <w:tcBorders>
              <w:top w:val="nil"/>
              <w:left w:val="nil"/>
              <w:bottom w:val="single" w:sz="8" w:space="0" w:color="448A99"/>
              <w:right w:val="single" w:sz="8" w:space="0" w:color="448A99"/>
            </w:tcBorders>
            <w:shd w:val="clear" w:color="000000" w:fill="D2EAF1"/>
            <w:vAlign w:val="center"/>
            <w:hideMark/>
          </w:tcPr>
          <w:p w:rsidR="0087376F" w:rsidRPr="001A4C2C" w:rsidRDefault="00C34EAA" w:rsidP="002A085A">
            <w:pPr>
              <w:jc w:val="center"/>
              <w:rPr>
                <w:color w:val="000000"/>
                <w:sz w:val="19"/>
                <w:szCs w:val="19"/>
              </w:rPr>
            </w:pPr>
            <w:r w:rsidRPr="001A4C2C">
              <w:rPr>
                <w:color w:val="000000"/>
                <w:sz w:val="19"/>
                <w:szCs w:val="19"/>
              </w:rPr>
              <w:t>118</w:t>
            </w:r>
            <w:r w:rsidR="0087376F" w:rsidRPr="001A4C2C">
              <w:rPr>
                <w:color w:val="000000"/>
                <w:sz w:val="19"/>
                <w:szCs w:val="19"/>
              </w:rPr>
              <w:t>%</w:t>
            </w:r>
          </w:p>
        </w:tc>
        <w:tc>
          <w:tcPr>
            <w:tcW w:w="551" w:type="dxa"/>
            <w:tcBorders>
              <w:top w:val="nil"/>
              <w:left w:val="nil"/>
              <w:bottom w:val="single" w:sz="8" w:space="0" w:color="448A99"/>
              <w:right w:val="single" w:sz="8" w:space="0" w:color="448A99"/>
            </w:tcBorders>
            <w:shd w:val="clear" w:color="000000" w:fill="D2EAF1"/>
            <w:vAlign w:val="center"/>
            <w:hideMark/>
          </w:tcPr>
          <w:p w:rsidR="0087376F" w:rsidRPr="001A4C2C" w:rsidRDefault="007B1E78" w:rsidP="0087376F">
            <w:pPr>
              <w:jc w:val="center"/>
              <w:rPr>
                <w:color w:val="000000"/>
                <w:sz w:val="19"/>
                <w:szCs w:val="19"/>
              </w:rPr>
            </w:pPr>
            <w:r w:rsidRPr="001A4C2C">
              <w:rPr>
                <w:color w:val="000000"/>
                <w:sz w:val="19"/>
                <w:szCs w:val="19"/>
              </w:rPr>
              <w:t>146</w:t>
            </w:r>
            <w:r w:rsidR="0087376F" w:rsidRPr="001A4C2C">
              <w:rPr>
                <w:color w:val="000000"/>
                <w:sz w:val="19"/>
                <w:szCs w:val="19"/>
              </w:rPr>
              <w:t>%</w:t>
            </w:r>
          </w:p>
        </w:tc>
      </w:tr>
      <w:tr w:rsidR="00A874AC" w:rsidRPr="001A4C2C" w:rsidTr="001A4C2C">
        <w:trPr>
          <w:trHeight w:val="525"/>
        </w:trPr>
        <w:tc>
          <w:tcPr>
            <w:tcW w:w="2070" w:type="dxa"/>
            <w:tcBorders>
              <w:top w:val="nil"/>
              <w:left w:val="single" w:sz="8" w:space="0" w:color="448A99"/>
              <w:bottom w:val="single" w:sz="8" w:space="0" w:color="448A99"/>
              <w:right w:val="nil"/>
            </w:tcBorders>
            <w:shd w:val="clear" w:color="000000" w:fill="FFFFFF"/>
            <w:vAlign w:val="center"/>
            <w:hideMark/>
          </w:tcPr>
          <w:p w:rsidR="0087376F" w:rsidRPr="001A4C2C" w:rsidRDefault="0087376F" w:rsidP="006142E6">
            <w:pPr>
              <w:jc w:val="left"/>
              <w:rPr>
                <w:color w:val="000000"/>
                <w:sz w:val="19"/>
                <w:szCs w:val="19"/>
              </w:rPr>
            </w:pPr>
            <w:r w:rsidRPr="001A4C2C">
              <w:rPr>
                <w:color w:val="000000"/>
                <w:sz w:val="19"/>
                <w:szCs w:val="19"/>
              </w:rPr>
              <w:t>% of Phase II Low-Income Carve</w:t>
            </w:r>
            <w:r w:rsidR="005F7C4A" w:rsidRPr="001A4C2C">
              <w:rPr>
                <w:color w:val="000000"/>
                <w:sz w:val="19"/>
                <w:szCs w:val="19"/>
              </w:rPr>
              <w:t>-</w:t>
            </w:r>
            <w:r w:rsidRPr="001A4C2C">
              <w:rPr>
                <w:color w:val="000000"/>
                <w:sz w:val="19"/>
                <w:szCs w:val="19"/>
              </w:rPr>
              <w:t>Out Goal</w:t>
            </w:r>
          </w:p>
        </w:tc>
        <w:tc>
          <w:tcPr>
            <w:tcW w:w="1052" w:type="dxa"/>
            <w:tcBorders>
              <w:top w:val="nil"/>
              <w:left w:val="single" w:sz="8" w:space="0" w:color="448A99"/>
              <w:bottom w:val="single" w:sz="8" w:space="0" w:color="448A99"/>
              <w:right w:val="single" w:sz="8" w:space="0" w:color="448A99"/>
            </w:tcBorders>
            <w:shd w:val="clear" w:color="000000" w:fill="FFFFFF"/>
            <w:vAlign w:val="center"/>
            <w:hideMark/>
          </w:tcPr>
          <w:p w:rsidR="0087376F" w:rsidRPr="001A4C2C" w:rsidRDefault="00E0150C" w:rsidP="0087376F">
            <w:pPr>
              <w:jc w:val="center"/>
              <w:rPr>
                <w:b/>
                <w:bCs/>
                <w:color w:val="000000"/>
                <w:sz w:val="19"/>
                <w:szCs w:val="19"/>
              </w:rPr>
            </w:pPr>
            <w:r w:rsidRPr="001A4C2C">
              <w:rPr>
                <w:b/>
                <w:bCs/>
                <w:color w:val="000000"/>
                <w:sz w:val="19"/>
                <w:szCs w:val="19"/>
              </w:rPr>
              <w:t>218</w:t>
            </w:r>
            <w:r w:rsidR="0087376F" w:rsidRPr="001A4C2C">
              <w:rPr>
                <w:b/>
                <w:bCs/>
                <w:color w:val="000000"/>
                <w:sz w:val="19"/>
                <w:szCs w:val="19"/>
              </w:rPr>
              <w:t>%</w:t>
            </w:r>
          </w:p>
        </w:tc>
        <w:tc>
          <w:tcPr>
            <w:tcW w:w="1011" w:type="dxa"/>
            <w:tcBorders>
              <w:top w:val="nil"/>
              <w:left w:val="nil"/>
              <w:bottom w:val="single" w:sz="8" w:space="0" w:color="448A99"/>
              <w:right w:val="single" w:sz="8" w:space="0" w:color="448A99"/>
            </w:tcBorders>
            <w:shd w:val="clear" w:color="000000" w:fill="FFFFFF"/>
            <w:vAlign w:val="center"/>
            <w:hideMark/>
          </w:tcPr>
          <w:p w:rsidR="0087376F" w:rsidRPr="001A4C2C" w:rsidRDefault="00E0150C" w:rsidP="0087376F">
            <w:pPr>
              <w:jc w:val="center"/>
              <w:rPr>
                <w:color w:val="000000"/>
                <w:sz w:val="19"/>
                <w:szCs w:val="19"/>
              </w:rPr>
            </w:pPr>
            <w:r w:rsidRPr="001A4C2C">
              <w:rPr>
                <w:color w:val="000000"/>
                <w:sz w:val="19"/>
                <w:szCs w:val="19"/>
              </w:rPr>
              <w:t>186</w:t>
            </w:r>
            <w:r w:rsidR="0087376F" w:rsidRPr="001A4C2C">
              <w:rPr>
                <w:color w:val="000000"/>
                <w:sz w:val="19"/>
                <w:szCs w:val="19"/>
              </w:rPr>
              <w:t>%</w:t>
            </w:r>
          </w:p>
        </w:tc>
        <w:tc>
          <w:tcPr>
            <w:tcW w:w="1030" w:type="dxa"/>
            <w:tcBorders>
              <w:top w:val="nil"/>
              <w:left w:val="nil"/>
              <w:bottom w:val="single" w:sz="8" w:space="0" w:color="448A99"/>
              <w:right w:val="single" w:sz="8" w:space="0" w:color="448A99"/>
            </w:tcBorders>
            <w:shd w:val="clear" w:color="000000" w:fill="FFFFFF"/>
            <w:vAlign w:val="center"/>
            <w:hideMark/>
          </w:tcPr>
          <w:p w:rsidR="0087376F" w:rsidRPr="001A4C2C" w:rsidRDefault="0087376F" w:rsidP="0087376F">
            <w:pPr>
              <w:jc w:val="center"/>
              <w:rPr>
                <w:color w:val="000000"/>
                <w:sz w:val="19"/>
                <w:szCs w:val="19"/>
              </w:rPr>
            </w:pPr>
            <w:r w:rsidRPr="001A4C2C">
              <w:rPr>
                <w:color w:val="000000"/>
                <w:sz w:val="19"/>
                <w:szCs w:val="19"/>
              </w:rPr>
              <w:t>302%</w:t>
            </w:r>
          </w:p>
        </w:tc>
        <w:tc>
          <w:tcPr>
            <w:tcW w:w="1093" w:type="dxa"/>
            <w:tcBorders>
              <w:top w:val="nil"/>
              <w:left w:val="nil"/>
              <w:bottom w:val="single" w:sz="8" w:space="0" w:color="448A99"/>
              <w:right w:val="single" w:sz="8" w:space="0" w:color="448A99"/>
            </w:tcBorders>
            <w:shd w:val="clear" w:color="000000" w:fill="FFFFFF"/>
            <w:vAlign w:val="center"/>
            <w:hideMark/>
          </w:tcPr>
          <w:p w:rsidR="0087376F" w:rsidRPr="001A4C2C" w:rsidRDefault="0087376F" w:rsidP="0087376F">
            <w:pPr>
              <w:jc w:val="center"/>
              <w:rPr>
                <w:color w:val="000000"/>
                <w:sz w:val="19"/>
                <w:szCs w:val="19"/>
              </w:rPr>
            </w:pPr>
            <w:r w:rsidRPr="001A4C2C">
              <w:rPr>
                <w:color w:val="000000"/>
                <w:sz w:val="19"/>
                <w:szCs w:val="19"/>
              </w:rPr>
              <w:t>385%</w:t>
            </w:r>
          </w:p>
        </w:tc>
        <w:tc>
          <w:tcPr>
            <w:tcW w:w="930" w:type="dxa"/>
            <w:tcBorders>
              <w:top w:val="nil"/>
              <w:left w:val="nil"/>
              <w:bottom w:val="single" w:sz="8" w:space="0" w:color="448A99"/>
              <w:right w:val="single" w:sz="8" w:space="0" w:color="448A99"/>
            </w:tcBorders>
            <w:shd w:val="clear" w:color="000000" w:fill="FFFFFF"/>
            <w:vAlign w:val="center"/>
            <w:hideMark/>
          </w:tcPr>
          <w:p w:rsidR="0087376F" w:rsidRPr="001A4C2C" w:rsidRDefault="0087376F" w:rsidP="0087376F">
            <w:pPr>
              <w:jc w:val="center"/>
              <w:rPr>
                <w:color w:val="000000"/>
                <w:sz w:val="19"/>
                <w:szCs w:val="19"/>
              </w:rPr>
            </w:pPr>
            <w:r w:rsidRPr="001A4C2C">
              <w:rPr>
                <w:color w:val="000000"/>
                <w:sz w:val="19"/>
                <w:szCs w:val="19"/>
              </w:rPr>
              <w:t>296%</w:t>
            </w:r>
          </w:p>
        </w:tc>
        <w:tc>
          <w:tcPr>
            <w:tcW w:w="908" w:type="dxa"/>
            <w:tcBorders>
              <w:top w:val="nil"/>
              <w:left w:val="nil"/>
              <w:bottom w:val="single" w:sz="8" w:space="0" w:color="448A99"/>
              <w:right w:val="single" w:sz="8" w:space="0" w:color="448A99"/>
            </w:tcBorders>
            <w:shd w:val="clear" w:color="000000" w:fill="FFFFFF"/>
            <w:vAlign w:val="center"/>
            <w:hideMark/>
          </w:tcPr>
          <w:p w:rsidR="0087376F" w:rsidRPr="001A4C2C" w:rsidRDefault="0087376F" w:rsidP="0087376F">
            <w:pPr>
              <w:jc w:val="center"/>
              <w:rPr>
                <w:color w:val="000000"/>
                <w:sz w:val="19"/>
                <w:szCs w:val="19"/>
              </w:rPr>
            </w:pPr>
            <w:r w:rsidRPr="001A4C2C">
              <w:rPr>
                <w:color w:val="000000"/>
                <w:sz w:val="19"/>
                <w:szCs w:val="19"/>
              </w:rPr>
              <w:t>247%</w:t>
            </w:r>
          </w:p>
        </w:tc>
        <w:tc>
          <w:tcPr>
            <w:tcW w:w="705" w:type="dxa"/>
            <w:tcBorders>
              <w:top w:val="nil"/>
              <w:left w:val="nil"/>
              <w:bottom w:val="single" w:sz="8" w:space="0" w:color="448A99"/>
              <w:right w:val="single" w:sz="8" w:space="0" w:color="448A99"/>
            </w:tcBorders>
            <w:shd w:val="clear" w:color="000000" w:fill="FFFFFF"/>
            <w:vAlign w:val="center"/>
            <w:hideMark/>
          </w:tcPr>
          <w:p w:rsidR="0087376F" w:rsidRPr="001A4C2C" w:rsidRDefault="0087376F" w:rsidP="0087376F">
            <w:pPr>
              <w:jc w:val="center"/>
              <w:rPr>
                <w:color w:val="000000"/>
                <w:sz w:val="19"/>
                <w:szCs w:val="19"/>
              </w:rPr>
            </w:pPr>
            <w:r w:rsidRPr="001A4C2C">
              <w:rPr>
                <w:color w:val="000000"/>
                <w:sz w:val="19"/>
                <w:szCs w:val="19"/>
              </w:rPr>
              <w:t>181%</w:t>
            </w:r>
          </w:p>
        </w:tc>
        <w:tc>
          <w:tcPr>
            <w:tcW w:w="551" w:type="dxa"/>
            <w:tcBorders>
              <w:top w:val="nil"/>
              <w:left w:val="nil"/>
              <w:bottom w:val="single" w:sz="8" w:space="0" w:color="448A99"/>
              <w:right w:val="single" w:sz="8" w:space="0" w:color="448A99"/>
            </w:tcBorders>
            <w:shd w:val="clear" w:color="000000" w:fill="FFFFFF"/>
            <w:vAlign w:val="center"/>
            <w:hideMark/>
          </w:tcPr>
          <w:p w:rsidR="0087376F" w:rsidRPr="001A4C2C" w:rsidRDefault="003C2064" w:rsidP="0087376F">
            <w:pPr>
              <w:jc w:val="center"/>
              <w:rPr>
                <w:color w:val="000000"/>
                <w:sz w:val="19"/>
                <w:szCs w:val="19"/>
              </w:rPr>
            </w:pPr>
            <w:r w:rsidRPr="001A4C2C">
              <w:rPr>
                <w:color w:val="000000"/>
                <w:sz w:val="19"/>
                <w:szCs w:val="19"/>
              </w:rPr>
              <w:t>159</w:t>
            </w:r>
            <w:r w:rsidR="0087376F" w:rsidRPr="001A4C2C">
              <w:rPr>
                <w:color w:val="000000"/>
                <w:sz w:val="19"/>
                <w:szCs w:val="19"/>
              </w:rPr>
              <w:t>%</w:t>
            </w:r>
          </w:p>
        </w:tc>
      </w:tr>
      <w:tr w:rsidR="008936E7" w:rsidRPr="001A4C2C" w:rsidTr="00E673F0">
        <w:trPr>
          <w:trHeight w:val="525"/>
        </w:trPr>
        <w:tc>
          <w:tcPr>
            <w:tcW w:w="2070" w:type="dxa"/>
            <w:tcBorders>
              <w:top w:val="nil"/>
              <w:left w:val="single" w:sz="8" w:space="0" w:color="448A99"/>
              <w:bottom w:val="single" w:sz="8" w:space="0" w:color="448A99"/>
              <w:right w:val="nil"/>
            </w:tcBorders>
            <w:shd w:val="clear" w:color="000000" w:fill="D2EAF1"/>
            <w:vAlign w:val="center"/>
            <w:hideMark/>
          </w:tcPr>
          <w:p w:rsidR="0087376F" w:rsidRPr="001A4C2C" w:rsidRDefault="0087376F" w:rsidP="006142E6">
            <w:pPr>
              <w:jc w:val="left"/>
              <w:rPr>
                <w:color w:val="000000"/>
                <w:sz w:val="19"/>
                <w:szCs w:val="19"/>
              </w:rPr>
            </w:pPr>
            <w:r w:rsidRPr="001A4C2C">
              <w:rPr>
                <w:color w:val="000000"/>
                <w:sz w:val="19"/>
                <w:szCs w:val="19"/>
              </w:rPr>
              <w:t>% of Phase II GNI Carve</w:t>
            </w:r>
            <w:r w:rsidR="005F7C4A" w:rsidRPr="001A4C2C">
              <w:rPr>
                <w:color w:val="000000"/>
                <w:sz w:val="19"/>
                <w:szCs w:val="19"/>
              </w:rPr>
              <w:t>-</w:t>
            </w:r>
            <w:r w:rsidRPr="001A4C2C">
              <w:rPr>
                <w:color w:val="000000"/>
                <w:sz w:val="19"/>
                <w:szCs w:val="19"/>
              </w:rPr>
              <w:t>Out Goal</w:t>
            </w:r>
          </w:p>
        </w:tc>
        <w:tc>
          <w:tcPr>
            <w:tcW w:w="1052" w:type="dxa"/>
            <w:tcBorders>
              <w:top w:val="nil"/>
              <w:left w:val="single" w:sz="8" w:space="0" w:color="448A99"/>
              <w:bottom w:val="single" w:sz="8" w:space="0" w:color="448A99"/>
              <w:right w:val="single" w:sz="8" w:space="0" w:color="448A99"/>
            </w:tcBorders>
            <w:shd w:val="clear" w:color="000000" w:fill="D2EAF1"/>
            <w:vAlign w:val="center"/>
            <w:hideMark/>
          </w:tcPr>
          <w:p w:rsidR="0087376F" w:rsidRPr="001A4C2C" w:rsidRDefault="0087376F" w:rsidP="0087376F">
            <w:pPr>
              <w:jc w:val="center"/>
              <w:rPr>
                <w:b/>
                <w:bCs/>
                <w:color w:val="000000"/>
                <w:sz w:val="19"/>
                <w:szCs w:val="19"/>
              </w:rPr>
            </w:pPr>
            <w:r w:rsidRPr="001A4C2C">
              <w:rPr>
                <w:b/>
                <w:bCs/>
                <w:color w:val="000000"/>
                <w:sz w:val="19"/>
                <w:szCs w:val="19"/>
              </w:rPr>
              <w:t>216%</w:t>
            </w:r>
          </w:p>
        </w:tc>
        <w:tc>
          <w:tcPr>
            <w:tcW w:w="1011"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108%</w:t>
            </w:r>
          </w:p>
        </w:tc>
        <w:tc>
          <w:tcPr>
            <w:tcW w:w="1030"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119%</w:t>
            </w:r>
          </w:p>
        </w:tc>
        <w:tc>
          <w:tcPr>
            <w:tcW w:w="1093"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134%</w:t>
            </w:r>
          </w:p>
        </w:tc>
        <w:tc>
          <w:tcPr>
            <w:tcW w:w="930"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179%</w:t>
            </w:r>
          </w:p>
        </w:tc>
        <w:tc>
          <w:tcPr>
            <w:tcW w:w="908"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277%</w:t>
            </w:r>
          </w:p>
        </w:tc>
        <w:tc>
          <w:tcPr>
            <w:tcW w:w="705"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272%</w:t>
            </w:r>
          </w:p>
        </w:tc>
        <w:tc>
          <w:tcPr>
            <w:tcW w:w="551" w:type="dxa"/>
            <w:tcBorders>
              <w:top w:val="nil"/>
              <w:left w:val="nil"/>
              <w:bottom w:val="single" w:sz="8" w:space="0" w:color="448A99"/>
              <w:right w:val="single" w:sz="8" w:space="0" w:color="448A99"/>
            </w:tcBorders>
            <w:shd w:val="clear" w:color="000000" w:fill="D2EAF1"/>
            <w:vAlign w:val="center"/>
            <w:hideMark/>
          </w:tcPr>
          <w:p w:rsidR="0087376F" w:rsidRPr="001A4C2C" w:rsidRDefault="0087376F" w:rsidP="0087376F">
            <w:pPr>
              <w:jc w:val="center"/>
              <w:rPr>
                <w:color w:val="000000"/>
                <w:sz w:val="19"/>
                <w:szCs w:val="19"/>
              </w:rPr>
            </w:pPr>
            <w:r w:rsidRPr="001A4C2C">
              <w:rPr>
                <w:color w:val="000000"/>
                <w:sz w:val="19"/>
                <w:szCs w:val="19"/>
              </w:rPr>
              <w:t>226%</w:t>
            </w:r>
          </w:p>
        </w:tc>
      </w:tr>
      <w:tr w:rsidR="00E673F0" w:rsidRPr="00F10637" w:rsidTr="00E673F0">
        <w:trPr>
          <w:trHeight w:val="108"/>
        </w:trPr>
        <w:tc>
          <w:tcPr>
            <w:tcW w:w="9350" w:type="dxa"/>
            <w:gridSpan w:val="9"/>
            <w:tcBorders>
              <w:top w:val="single" w:sz="8" w:space="0" w:color="448A99"/>
              <w:left w:val="single" w:sz="8" w:space="0" w:color="448A99"/>
              <w:bottom w:val="single" w:sz="8" w:space="0" w:color="448A99"/>
              <w:right w:val="single" w:sz="8" w:space="0" w:color="448A99"/>
            </w:tcBorders>
            <w:shd w:val="clear" w:color="auto" w:fill="448A99"/>
            <w:vAlign w:val="center"/>
          </w:tcPr>
          <w:p w:rsidR="004837FA" w:rsidRPr="00F10637" w:rsidRDefault="004837FA" w:rsidP="008936E7">
            <w:pPr>
              <w:jc w:val="left"/>
              <w:rPr>
                <w:color w:val="FFFFFF" w:themeColor="background1"/>
                <w:sz w:val="18"/>
                <w:szCs w:val="19"/>
              </w:rPr>
            </w:pPr>
            <w:r w:rsidRPr="00F10637">
              <w:rPr>
                <w:color w:val="FFFFFF" w:themeColor="background1"/>
                <w:sz w:val="18"/>
                <w:szCs w:val="19"/>
              </w:rPr>
              <w:t>NOTES:</w:t>
            </w:r>
          </w:p>
          <w:p w:rsidR="008936E7" w:rsidRPr="00F10637" w:rsidRDefault="008936E7" w:rsidP="008936E7">
            <w:pPr>
              <w:jc w:val="left"/>
              <w:rPr>
                <w:color w:val="FFFFFF" w:themeColor="background1"/>
                <w:sz w:val="18"/>
                <w:szCs w:val="19"/>
              </w:rPr>
            </w:pPr>
            <w:r w:rsidRPr="00F10637">
              <w:rPr>
                <w:color w:val="FFFFFF" w:themeColor="background1"/>
                <w:sz w:val="18"/>
                <w:szCs w:val="19"/>
              </w:rPr>
              <w:t xml:space="preserve">[a] Statewide percentages based on </w:t>
            </w:r>
            <w:r w:rsidR="00154CF1" w:rsidRPr="00F10637">
              <w:rPr>
                <w:color w:val="FFFFFF" w:themeColor="background1"/>
                <w:sz w:val="18"/>
                <w:szCs w:val="19"/>
              </w:rPr>
              <w:t xml:space="preserve">statewide </w:t>
            </w:r>
            <w:r w:rsidRPr="00F10637">
              <w:rPr>
                <w:color w:val="FFFFFF" w:themeColor="background1"/>
                <w:sz w:val="18"/>
                <w:szCs w:val="19"/>
              </w:rPr>
              <w:t xml:space="preserve">sum </w:t>
            </w:r>
            <w:r w:rsidR="00154CF1" w:rsidRPr="00F10637">
              <w:rPr>
                <w:color w:val="FFFFFF" w:themeColor="background1"/>
                <w:sz w:val="18"/>
                <w:szCs w:val="19"/>
              </w:rPr>
              <w:t xml:space="preserve">calculated by adding </w:t>
            </w:r>
            <w:r w:rsidRPr="00F10637">
              <w:rPr>
                <w:color w:val="FFFFFF" w:themeColor="background1"/>
                <w:sz w:val="18"/>
                <w:szCs w:val="19"/>
              </w:rPr>
              <w:t>each EDCs savings, targets and goals</w:t>
            </w:r>
            <w:r w:rsidR="004837FA" w:rsidRPr="00F10637">
              <w:rPr>
                <w:color w:val="FFFFFF" w:themeColor="background1"/>
                <w:sz w:val="18"/>
                <w:szCs w:val="19"/>
              </w:rPr>
              <w:t>.</w:t>
            </w:r>
          </w:p>
        </w:tc>
      </w:tr>
    </w:tbl>
    <w:p w:rsidR="00F73191" w:rsidRDefault="00DA1ADA" w:rsidP="00F73191">
      <w:r>
        <w:rPr>
          <w:highlight w:val="yellow"/>
        </w:rPr>
        <w:lastRenderedPageBreak/>
        <w:fldChar w:fldCharType="begin"/>
      </w:r>
      <w:r>
        <w:instrText xml:space="preserve"> REF _Ref476038823 \h </w:instrText>
      </w:r>
      <w:r>
        <w:rPr>
          <w:highlight w:val="yellow"/>
        </w:rPr>
      </w:r>
      <w:r>
        <w:rPr>
          <w:highlight w:val="yellow"/>
        </w:rPr>
        <w:fldChar w:fldCharType="separate"/>
      </w:r>
      <w:r w:rsidR="00037CB4">
        <w:t xml:space="preserve">Figure </w:t>
      </w:r>
      <w:r w:rsidR="00037CB4">
        <w:rPr>
          <w:noProof/>
        </w:rPr>
        <w:t>1</w:t>
      </w:r>
      <w:r w:rsidR="00037CB4">
        <w:noBreakHyphen/>
      </w:r>
      <w:r w:rsidR="00037CB4">
        <w:rPr>
          <w:noProof/>
        </w:rPr>
        <w:t>1</w:t>
      </w:r>
      <w:r>
        <w:rPr>
          <w:highlight w:val="yellow"/>
        </w:rPr>
        <w:fldChar w:fldCharType="end"/>
      </w:r>
      <w:r>
        <w:t xml:space="preserve"> </w:t>
      </w:r>
      <w:r w:rsidR="00F73191">
        <w:t>compares</w:t>
      </w:r>
      <w:r w:rsidR="00F73191" w:rsidRPr="0086037B">
        <w:t xml:space="preserve"> </w:t>
      </w:r>
      <w:r w:rsidR="00F73191">
        <w:t>Phase II cumulative</w:t>
      </w:r>
      <w:r w:rsidR="00F73191" w:rsidRPr="0086037B">
        <w:t xml:space="preserve"> annual </w:t>
      </w:r>
      <w:r w:rsidR="005F7C4A" w:rsidRPr="0086037B">
        <w:t>savings</w:t>
      </w:r>
      <w:r w:rsidR="005F7C4A">
        <w:t xml:space="preserve">—consisting of </w:t>
      </w:r>
      <w:r w:rsidR="005F7C4A" w:rsidRPr="0086037B">
        <w:t>Phase II savings achieved during PY5</w:t>
      </w:r>
      <w:r w:rsidR="005F7C4A">
        <w:t xml:space="preserve">, </w:t>
      </w:r>
      <w:r w:rsidR="005F7C4A" w:rsidRPr="0086037B">
        <w:t>PY6</w:t>
      </w:r>
      <w:r w:rsidR="005F7C4A">
        <w:t>, and PY7</w:t>
      </w:r>
      <w:r w:rsidR="005F7C4A" w:rsidRPr="0086037B">
        <w:t xml:space="preserve"> plus carryover savings from Phase I</w:t>
      </w:r>
      <w:r w:rsidR="005F7C4A">
        <w:t>—and</w:t>
      </w:r>
      <w:r w:rsidR="005F7C4A" w:rsidRPr="0086037B">
        <w:t xml:space="preserve"> the cumulative annual savings target to be achieved by the end of PY7</w:t>
      </w:r>
      <w:r w:rsidR="00F73191" w:rsidRPr="0086037B">
        <w:t>.</w:t>
      </w:r>
    </w:p>
    <w:p w:rsidR="00592FD5" w:rsidRPr="000123A3" w:rsidRDefault="00592FD5" w:rsidP="000123A3"/>
    <w:p w:rsidR="00F73191" w:rsidRPr="00DA26B9" w:rsidRDefault="00663B2C" w:rsidP="004837FA">
      <w:pPr>
        <w:pStyle w:val="Caption"/>
      </w:pPr>
      <w:bookmarkStart w:id="48" w:name="_Ref476038823"/>
      <w:bookmarkStart w:id="49" w:name="_Toc444269811"/>
      <w:bookmarkStart w:id="50" w:name="_Toc472472208"/>
      <w:bookmarkStart w:id="51" w:name="_Toc488741786"/>
      <w:bookmarkEnd w:id="41"/>
      <w:bookmarkEnd w:id="42"/>
      <w:r>
        <w:rPr>
          <w:noProof/>
        </w:rPr>
        <w:drawing>
          <wp:anchor distT="0" distB="0" distL="114300" distR="114300" simplePos="0" relativeHeight="251682822" behindDoc="1" locked="0" layoutInCell="1" allowOverlap="1" wp14:anchorId="2851C6D2" wp14:editId="07044E07">
            <wp:simplePos x="0" y="0"/>
            <wp:positionH relativeFrom="column">
              <wp:posOffset>198672</wp:posOffset>
            </wp:positionH>
            <wp:positionV relativeFrom="paragraph">
              <wp:posOffset>311785</wp:posOffset>
            </wp:positionV>
            <wp:extent cx="5555615" cy="3766185"/>
            <wp:effectExtent l="0" t="0" r="6985" b="5715"/>
            <wp:wrapTight wrapText="bothSides">
              <wp:wrapPolygon edited="0">
                <wp:start x="0" y="0"/>
                <wp:lineTo x="0" y="21524"/>
                <wp:lineTo x="21553" y="21524"/>
                <wp:lineTo x="2155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5615" cy="3766185"/>
                    </a:xfrm>
                    <a:prstGeom prst="rect">
                      <a:avLst/>
                    </a:prstGeom>
                    <a:noFill/>
                  </pic:spPr>
                </pic:pic>
              </a:graphicData>
            </a:graphic>
            <wp14:sizeRelH relativeFrom="page">
              <wp14:pctWidth>0</wp14:pctWidth>
            </wp14:sizeRelH>
            <wp14:sizeRelV relativeFrom="page">
              <wp14:pctHeight>0</wp14:pctHeight>
            </wp14:sizeRelV>
          </wp:anchor>
        </w:drawing>
      </w:r>
      <w:r w:rsidR="00DA1ADA">
        <w:t xml:space="preserve">Figure </w:t>
      </w:r>
      <w:r w:rsidR="007973A4">
        <w:fldChar w:fldCharType="begin"/>
      </w:r>
      <w:r w:rsidR="007973A4">
        <w:instrText xml:space="preserve"> STYLEREF 1 \s </w:instrText>
      </w:r>
      <w:r w:rsidR="007973A4">
        <w:fldChar w:fldCharType="separate"/>
      </w:r>
      <w:r w:rsidR="00037CB4">
        <w:rPr>
          <w:noProof/>
        </w:rPr>
        <w:t>1</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w:t>
      </w:r>
      <w:r w:rsidR="007973A4">
        <w:rPr>
          <w:noProof/>
        </w:rPr>
        <w:fldChar w:fldCharType="end"/>
      </w:r>
      <w:bookmarkEnd w:id="48"/>
      <w:r w:rsidR="00DA1ADA">
        <w:t xml:space="preserve">: </w:t>
      </w:r>
      <w:r w:rsidR="00F73191" w:rsidRPr="0086037B">
        <w:t>Phase II Verified Energy Savings (plus Phase I Carryover) by EDC</w:t>
      </w:r>
      <w:bookmarkEnd w:id="43"/>
      <w:bookmarkEnd w:id="44"/>
      <w:bookmarkEnd w:id="45"/>
      <w:r w:rsidR="00F73191" w:rsidRPr="0086037B">
        <w:t xml:space="preserve"> v</w:t>
      </w:r>
      <w:r w:rsidR="00F73191">
        <w:t>ersus</w:t>
      </w:r>
      <w:r w:rsidR="00F73191" w:rsidRPr="0086037B">
        <w:t xml:space="preserve"> EDC Phase II Savings </w:t>
      </w:r>
      <w:r w:rsidR="00F73191" w:rsidRPr="00DA26B9">
        <w:t>Targets</w:t>
      </w:r>
      <w:bookmarkEnd w:id="46"/>
      <w:bookmarkEnd w:id="47"/>
      <w:bookmarkEnd w:id="49"/>
      <w:bookmarkEnd w:id="50"/>
      <w:bookmarkEnd w:id="51"/>
    </w:p>
    <w:p w:rsidR="00F73191" w:rsidRDefault="00F73191" w:rsidP="004837FA">
      <w:pPr>
        <w:jc w:val="center"/>
      </w:pPr>
    </w:p>
    <w:p w:rsidR="004837FA" w:rsidRDefault="004837FA">
      <w:pPr>
        <w:jc w:val="left"/>
      </w:pPr>
      <w:bookmarkStart w:id="52" w:name="_Toc472472085"/>
      <w:bookmarkEnd w:id="28"/>
      <w:r>
        <w:br w:type="page"/>
      </w:r>
    </w:p>
    <w:p w:rsidR="00AC2B6F" w:rsidRPr="004837FA" w:rsidRDefault="00204453" w:rsidP="00E673F0">
      <w:pPr>
        <w:pStyle w:val="Heading1"/>
      </w:pPr>
      <w:bookmarkStart w:id="53" w:name="_Ref472258030"/>
      <w:bookmarkStart w:id="54" w:name="_Toc472472086"/>
      <w:bookmarkStart w:id="55" w:name="_Toc488765779"/>
      <w:bookmarkStart w:id="56" w:name="_Toc409224783"/>
      <w:bookmarkStart w:id="57" w:name="_Toc409443368"/>
      <w:bookmarkStart w:id="58" w:name="_Toc405557128"/>
      <w:bookmarkEnd w:id="52"/>
      <w:r w:rsidRPr="004837FA">
        <w:lastRenderedPageBreak/>
        <w:t xml:space="preserve">Energy Savings </w:t>
      </w:r>
      <w:r w:rsidR="004837FA" w:rsidRPr="004837FA">
        <w:t>│</w:t>
      </w:r>
      <w:r w:rsidRPr="004837FA">
        <w:t xml:space="preserve"> </w:t>
      </w:r>
      <w:r w:rsidR="004837FA" w:rsidRPr="004837FA">
        <w:t xml:space="preserve">Program Year </w:t>
      </w:r>
      <w:r w:rsidR="00AC2B6F" w:rsidRPr="004837FA">
        <w:t xml:space="preserve">7 </w:t>
      </w:r>
      <w:r w:rsidR="004837FA" w:rsidRPr="004837FA">
        <w:t>&amp;</w:t>
      </w:r>
      <w:r w:rsidR="00AC2B6F" w:rsidRPr="004837FA">
        <w:t xml:space="preserve"> Phase II</w:t>
      </w:r>
      <w:bookmarkEnd w:id="53"/>
      <w:bookmarkEnd w:id="54"/>
      <w:bookmarkEnd w:id="55"/>
    </w:p>
    <w:p w:rsidR="00204453" w:rsidRDefault="00204453" w:rsidP="00204453">
      <w:r>
        <w:t xml:space="preserve">This section of the report </w:t>
      </w:r>
      <w:r w:rsidRPr="00204453">
        <w:t>discusses the mandated consumption reduction goals under Act 129, and the EDCs’ compliance with the goals in Phase I</w:t>
      </w:r>
      <w:r>
        <w:t>I</w:t>
      </w:r>
      <w:r w:rsidRPr="00204453">
        <w:t>. This section also presents the results of consumption reductions realized in PY</w:t>
      </w:r>
      <w:r>
        <w:t>7.</w:t>
      </w:r>
    </w:p>
    <w:p w:rsidR="00204453" w:rsidRPr="00204453" w:rsidRDefault="00204453" w:rsidP="00204453"/>
    <w:p w:rsidR="00AC2B6F" w:rsidRPr="00472B27" w:rsidRDefault="00EE52CE" w:rsidP="00E673F0">
      <w:pPr>
        <w:pStyle w:val="Heading2"/>
      </w:pPr>
      <w:bookmarkStart w:id="59" w:name="_Toc472472087"/>
      <w:bookmarkStart w:id="60" w:name="_Toc488765780"/>
      <w:r>
        <w:t>Review of Phase II</w:t>
      </w:r>
      <w:r w:rsidR="00AC2B6F" w:rsidRPr="00472B27">
        <w:t xml:space="preserve"> Targets</w:t>
      </w:r>
      <w:r>
        <w:t xml:space="preserve"> Under Act 129</w:t>
      </w:r>
      <w:bookmarkEnd w:id="59"/>
      <w:bookmarkEnd w:id="60"/>
    </w:p>
    <w:p w:rsidR="00FB4D74" w:rsidRDefault="00EE52CE" w:rsidP="00FB4D74">
      <w:r>
        <w:t>The Commission established</w:t>
      </w:r>
      <w:r w:rsidR="00F95DF6">
        <w:t xml:space="preserve"> the</w:t>
      </w:r>
      <w:r>
        <w:t xml:space="preserve"> EE&amp;C </w:t>
      </w:r>
      <w:r w:rsidR="00C6646A">
        <w:t>p</w:t>
      </w:r>
      <w:r>
        <w:t xml:space="preserve">rogram as directed by the Pennsylvania General Assembly. The EE&amp;C </w:t>
      </w:r>
      <w:r w:rsidR="00C6646A">
        <w:t>p</w:t>
      </w:r>
      <w:r>
        <w:t>rogram requires each electric distribution company (EDC) that serves at least 100,000 customers to implement a plan to reduce energy and demand consumption within its service territory.</w:t>
      </w:r>
      <w:r>
        <w:rPr>
          <w:rStyle w:val="FootnoteReference"/>
        </w:rPr>
        <w:footnoteReference w:id="14"/>
      </w:r>
      <w:r w:rsidR="008C2D5E">
        <w:t xml:space="preserve"> </w:t>
      </w:r>
      <w:r w:rsidR="0041595F" w:rsidRPr="0041595F">
        <w:t xml:space="preserve">Based on findings from the Phase I Market Potential Study dated May 10, 2012, the PUC determined that the benefits of a Phase II Act 129 program would exceed its costs, and therefore adopted additional required incremental reductions in consumption for another EE&amp;C </w:t>
      </w:r>
      <w:r w:rsidR="00C6646A">
        <w:t>p</w:t>
      </w:r>
      <w:r w:rsidR="0041595F" w:rsidRPr="0041595F">
        <w:t>rogram term.</w:t>
      </w:r>
    </w:p>
    <w:p w:rsidR="00EE52CE" w:rsidRDefault="00EE52CE" w:rsidP="00FB4D74"/>
    <w:p w:rsidR="003E659C" w:rsidRDefault="00C6646A" w:rsidP="00FB4D74">
      <w:r>
        <w:fldChar w:fldCharType="begin"/>
      </w:r>
      <w:r>
        <w:instrText xml:space="preserve"> REF _Ref472256997 \h </w:instrText>
      </w:r>
      <w:r>
        <w:fldChar w:fldCharType="separate"/>
      </w:r>
      <w:r w:rsidR="004837FA">
        <w:t xml:space="preserve">Table </w:t>
      </w:r>
      <w:r w:rsidR="004837FA">
        <w:rPr>
          <w:noProof/>
        </w:rPr>
        <w:t>2</w:t>
      </w:r>
      <w:r w:rsidR="004837FA">
        <w:noBreakHyphen/>
      </w:r>
      <w:r w:rsidR="004837FA">
        <w:rPr>
          <w:noProof/>
        </w:rPr>
        <w:t>1</w:t>
      </w:r>
      <w:r>
        <w:fldChar w:fldCharType="end"/>
      </w:r>
      <w:r>
        <w:t xml:space="preserve"> </w:t>
      </w:r>
      <w:r w:rsidR="00F95DF6">
        <w:t xml:space="preserve">presents </w:t>
      </w:r>
      <w:r w:rsidR="003E659C">
        <w:t>the Phase II energy efficiency compliance targets for each EDC.</w:t>
      </w:r>
      <w:r>
        <w:t xml:space="preserve"> </w:t>
      </w:r>
      <w:r>
        <w:fldChar w:fldCharType="begin"/>
      </w:r>
      <w:r>
        <w:instrText xml:space="preserve"> REF _Ref473276025 \h </w:instrText>
      </w:r>
      <w:r>
        <w:fldChar w:fldCharType="separate"/>
      </w:r>
      <w:r w:rsidR="004837FA" w:rsidRPr="004837FA">
        <w:t>Table 2</w:t>
      </w:r>
      <w:r w:rsidR="004837FA" w:rsidRPr="004837FA">
        <w:noBreakHyphen/>
        <w:t>2</w:t>
      </w:r>
      <w:r>
        <w:fldChar w:fldCharType="end"/>
      </w:r>
      <w:r>
        <w:t xml:space="preserve"> p</w:t>
      </w:r>
      <w:r w:rsidR="003E659C">
        <w:t>rovides the low-income and GNI</w:t>
      </w:r>
      <w:r>
        <w:t xml:space="preserve"> energy efficiency reduction</w:t>
      </w:r>
      <w:r w:rsidR="003E659C">
        <w:t xml:space="preserve"> targets </w:t>
      </w:r>
      <w:r w:rsidR="00183DFA">
        <w:t>by</w:t>
      </w:r>
      <w:r w:rsidR="003E659C">
        <w:t xml:space="preserve"> each EDC</w:t>
      </w:r>
      <w:r w:rsidR="00183DFA">
        <w:t xml:space="preserve"> for Phase II</w:t>
      </w:r>
      <w:r w:rsidR="003E659C">
        <w:t>.</w:t>
      </w:r>
    </w:p>
    <w:p w:rsidR="00114CA8" w:rsidRDefault="00114CA8" w:rsidP="00FB4D74"/>
    <w:p w:rsidR="00114CA8" w:rsidRDefault="00114CA8" w:rsidP="004837FA">
      <w:pPr>
        <w:pStyle w:val="Caption"/>
      </w:pPr>
      <w:bookmarkStart w:id="61" w:name="_Ref472256997"/>
      <w:bookmarkStart w:id="62" w:name="_Toc472472156"/>
      <w:bookmarkStart w:id="63" w:name="_Toc488741732"/>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w:instrText>
      </w:r>
      <w:r w:rsidR="007973A4">
        <w:instrText xml:space="preserve">ABIC \s 1 </w:instrText>
      </w:r>
      <w:r w:rsidR="007973A4">
        <w:fldChar w:fldCharType="separate"/>
      </w:r>
      <w:r w:rsidR="00037CB4">
        <w:rPr>
          <w:noProof/>
        </w:rPr>
        <w:t>1</w:t>
      </w:r>
      <w:r w:rsidR="007973A4">
        <w:rPr>
          <w:noProof/>
        </w:rPr>
        <w:fldChar w:fldCharType="end"/>
      </w:r>
      <w:bookmarkEnd w:id="61"/>
      <w:r>
        <w:t xml:space="preserve">: </w:t>
      </w:r>
      <w:r w:rsidRPr="00320BCA">
        <w:t>Act 129 Phase II Three-Year Energy Efficiency Reduction Compliance Targets</w:t>
      </w:r>
      <w:bookmarkEnd w:id="62"/>
      <w:bookmarkEnd w:id="63"/>
    </w:p>
    <w:tbl>
      <w:tblPr>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12"/>
        <w:gridCol w:w="2609"/>
        <w:gridCol w:w="2609"/>
        <w:gridCol w:w="2610"/>
      </w:tblGrid>
      <w:tr w:rsidR="00A874AC" w:rsidRPr="004837FA" w:rsidTr="000123A3">
        <w:trPr>
          <w:cantSplit/>
          <w:trHeight w:val="141"/>
          <w:tblHeader/>
        </w:trPr>
        <w:tc>
          <w:tcPr>
            <w:tcW w:w="1512" w:type="dxa"/>
            <w:tcBorders>
              <w:top w:val="single" w:sz="8" w:space="0" w:color="448A99"/>
              <w:left w:val="single" w:sz="8" w:space="0" w:color="448A99"/>
              <w:bottom w:val="single" w:sz="8" w:space="0" w:color="448A99"/>
              <w:right w:val="nil"/>
            </w:tcBorders>
            <w:shd w:val="clear" w:color="000000" w:fill="448A99"/>
            <w:vAlign w:val="bottom"/>
          </w:tcPr>
          <w:p w:rsidR="00114CA8" w:rsidRPr="004837FA" w:rsidRDefault="00114CA8" w:rsidP="000123A3">
            <w:pPr>
              <w:rPr>
                <w:b/>
                <w:color w:val="FFFFFF"/>
                <w:sz w:val="19"/>
                <w:szCs w:val="19"/>
              </w:rPr>
            </w:pPr>
            <w:r w:rsidRPr="004837FA">
              <w:rPr>
                <w:b/>
                <w:bCs/>
                <w:color w:val="FFFFFF"/>
                <w:sz w:val="19"/>
                <w:szCs w:val="19"/>
              </w:rPr>
              <w:t>EDC</w:t>
            </w:r>
          </w:p>
        </w:tc>
        <w:tc>
          <w:tcPr>
            <w:tcW w:w="2609" w:type="dxa"/>
            <w:tcBorders>
              <w:top w:val="single" w:sz="8" w:space="0" w:color="448A99"/>
              <w:left w:val="single" w:sz="8" w:space="0" w:color="448A99"/>
              <w:bottom w:val="single" w:sz="8" w:space="0" w:color="448A99"/>
              <w:right w:val="single" w:sz="8" w:space="0" w:color="448A99"/>
            </w:tcBorders>
            <w:shd w:val="clear" w:color="000000" w:fill="448A99"/>
            <w:vAlign w:val="bottom"/>
          </w:tcPr>
          <w:p w:rsidR="00114CA8" w:rsidRPr="004837FA" w:rsidRDefault="00114CA8" w:rsidP="000123A3">
            <w:pPr>
              <w:jc w:val="center"/>
              <w:rPr>
                <w:b/>
                <w:color w:val="FFFFFF"/>
                <w:sz w:val="19"/>
                <w:szCs w:val="19"/>
              </w:rPr>
            </w:pPr>
            <w:r w:rsidRPr="004837FA">
              <w:rPr>
                <w:b/>
                <w:bCs/>
                <w:color w:val="FFFFFF"/>
                <w:sz w:val="19"/>
                <w:szCs w:val="19"/>
              </w:rPr>
              <w:t>Three-Year Program Acquisition Cost ($/First-Year MWh Saved)</w:t>
            </w:r>
          </w:p>
        </w:tc>
        <w:tc>
          <w:tcPr>
            <w:tcW w:w="2609" w:type="dxa"/>
            <w:tcBorders>
              <w:top w:val="single" w:sz="8" w:space="0" w:color="448A99"/>
              <w:left w:val="nil"/>
              <w:bottom w:val="single" w:sz="8" w:space="0" w:color="448A99"/>
              <w:right w:val="single" w:sz="8" w:space="0" w:color="448A99"/>
            </w:tcBorders>
            <w:shd w:val="clear" w:color="000000" w:fill="448A99"/>
            <w:vAlign w:val="bottom"/>
          </w:tcPr>
          <w:p w:rsidR="00114CA8" w:rsidRPr="004837FA" w:rsidRDefault="00114CA8" w:rsidP="000123A3">
            <w:pPr>
              <w:jc w:val="center"/>
              <w:rPr>
                <w:b/>
                <w:color w:val="FFFFFF"/>
                <w:sz w:val="19"/>
                <w:szCs w:val="19"/>
              </w:rPr>
            </w:pPr>
            <w:r w:rsidRPr="004837FA">
              <w:rPr>
                <w:b/>
                <w:bCs/>
                <w:color w:val="FFFFFF"/>
                <w:sz w:val="19"/>
                <w:szCs w:val="19"/>
              </w:rPr>
              <w:t>Three-Year % of 2009/2010</w:t>
            </w:r>
            <w:r w:rsidRPr="004837FA">
              <w:rPr>
                <w:b/>
                <w:bCs/>
                <w:color w:val="FFFFFF"/>
                <w:sz w:val="19"/>
                <w:szCs w:val="19"/>
              </w:rPr>
              <w:br/>
              <w:t>Forecast Reductions</w:t>
            </w:r>
          </w:p>
        </w:tc>
        <w:tc>
          <w:tcPr>
            <w:tcW w:w="2610" w:type="dxa"/>
            <w:tcBorders>
              <w:top w:val="single" w:sz="8" w:space="0" w:color="448A99"/>
              <w:left w:val="nil"/>
              <w:bottom w:val="single" w:sz="8" w:space="0" w:color="448A99"/>
              <w:right w:val="single" w:sz="8" w:space="0" w:color="448A99"/>
            </w:tcBorders>
            <w:shd w:val="clear" w:color="000000" w:fill="448A99"/>
            <w:vAlign w:val="bottom"/>
          </w:tcPr>
          <w:p w:rsidR="00114CA8" w:rsidRPr="004837FA" w:rsidRDefault="00114CA8" w:rsidP="000123A3">
            <w:pPr>
              <w:jc w:val="center"/>
              <w:rPr>
                <w:b/>
                <w:color w:val="FFFFFF"/>
                <w:sz w:val="19"/>
                <w:szCs w:val="19"/>
              </w:rPr>
            </w:pPr>
            <w:r w:rsidRPr="004837FA">
              <w:rPr>
                <w:b/>
                <w:bCs/>
                <w:color w:val="FFFFFF"/>
                <w:sz w:val="19"/>
                <w:szCs w:val="19"/>
              </w:rPr>
              <w:t>Three-Year MWh</w:t>
            </w:r>
            <w:r w:rsidR="00B21493" w:rsidRPr="004837FA">
              <w:rPr>
                <w:b/>
                <w:bCs/>
                <w:color w:val="FFFFFF"/>
                <w:sz w:val="19"/>
                <w:szCs w:val="19"/>
              </w:rPr>
              <w:t>/yr</w:t>
            </w:r>
            <w:r w:rsidRPr="004837FA">
              <w:rPr>
                <w:b/>
                <w:bCs/>
                <w:color w:val="FFFFFF"/>
                <w:sz w:val="19"/>
                <w:szCs w:val="19"/>
              </w:rPr>
              <w:t xml:space="preserve"> Cumulative Annual Value of 2009/2010 Forecast Reductions</w:t>
            </w:r>
          </w:p>
        </w:tc>
      </w:tr>
      <w:tr w:rsidR="00A874AC" w:rsidRPr="004837FA" w:rsidTr="000123A3">
        <w:trPr>
          <w:trHeight w:val="141"/>
        </w:trPr>
        <w:tc>
          <w:tcPr>
            <w:tcW w:w="1512" w:type="dxa"/>
            <w:tcBorders>
              <w:top w:val="nil"/>
              <w:left w:val="single" w:sz="8" w:space="0" w:color="448A99"/>
              <w:bottom w:val="single" w:sz="8" w:space="0" w:color="448A99"/>
              <w:right w:val="nil"/>
            </w:tcBorders>
            <w:shd w:val="clear" w:color="000000" w:fill="D2EAF1"/>
            <w:vAlign w:val="center"/>
          </w:tcPr>
          <w:p w:rsidR="00114CA8" w:rsidRPr="004837FA" w:rsidRDefault="00114CA8" w:rsidP="00375285">
            <w:pPr>
              <w:jc w:val="left"/>
              <w:rPr>
                <w:sz w:val="19"/>
                <w:szCs w:val="19"/>
              </w:rPr>
            </w:pPr>
            <w:r w:rsidRPr="004837FA">
              <w:rPr>
                <w:bCs/>
                <w:color w:val="000000"/>
                <w:sz w:val="19"/>
                <w:szCs w:val="19"/>
              </w:rPr>
              <w:t>Duquesne</w:t>
            </w:r>
          </w:p>
        </w:tc>
        <w:tc>
          <w:tcPr>
            <w:tcW w:w="2609" w:type="dxa"/>
            <w:tcBorders>
              <w:top w:val="nil"/>
              <w:left w:val="single" w:sz="8" w:space="0" w:color="448A99"/>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$211.90</w:t>
            </w:r>
          </w:p>
        </w:tc>
        <w:tc>
          <w:tcPr>
            <w:tcW w:w="2609" w:type="dxa"/>
            <w:tcBorders>
              <w:top w:val="nil"/>
              <w:left w:val="nil"/>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2.0%</w:t>
            </w:r>
          </w:p>
        </w:tc>
        <w:tc>
          <w:tcPr>
            <w:tcW w:w="2610" w:type="dxa"/>
            <w:tcBorders>
              <w:top w:val="nil"/>
              <w:left w:val="nil"/>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276,722</w:t>
            </w:r>
          </w:p>
        </w:tc>
      </w:tr>
      <w:tr w:rsidR="00A874AC" w:rsidRPr="004837FA" w:rsidTr="000123A3">
        <w:trPr>
          <w:trHeight w:val="141"/>
        </w:trPr>
        <w:tc>
          <w:tcPr>
            <w:tcW w:w="1512" w:type="dxa"/>
            <w:tcBorders>
              <w:top w:val="nil"/>
              <w:left w:val="single" w:sz="8" w:space="0" w:color="448A99"/>
              <w:bottom w:val="single" w:sz="8" w:space="0" w:color="448A99"/>
              <w:right w:val="nil"/>
            </w:tcBorders>
            <w:shd w:val="clear" w:color="000000" w:fill="FFFFFF"/>
            <w:vAlign w:val="center"/>
          </w:tcPr>
          <w:p w:rsidR="00114CA8" w:rsidRPr="004837FA" w:rsidRDefault="00AF1BD2" w:rsidP="00375285">
            <w:pPr>
              <w:jc w:val="left"/>
              <w:rPr>
                <w:sz w:val="19"/>
                <w:szCs w:val="19"/>
              </w:rPr>
            </w:pPr>
            <w:r w:rsidRPr="004837FA">
              <w:rPr>
                <w:bCs/>
                <w:color w:val="000000"/>
                <w:sz w:val="19"/>
                <w:szCs w:val="19"/>
              </w:rPr>
              <w:t xml:space="preserve">FE: </w:t>
            </w:r>
            <w:r w:rsidR="00114CA8" w:rsidRPr="004837FA">
              <w:rPr>
                <w:bCs/>
                <w:color w:val="000000"/>
                <w:sz w:val="19"/>
                <w:szCs w:val="19"/>
              </w:rPr>
              <w:t>Met-Ed</w:t>
            </w:r>
          </w:p>
        </w:tc>
        <w:tc>
          <w:tcPr>
            <w:tcW w:w="2609" w:type="dxa"/>
            <w:tcBorders>
              <w:top w:val="nil"/>
              <w:left w:val="single" w:sz="8" w:space="0" w:color="448A99"/>
              <w:bottom w:val="single" w:sz="8" w:space="0" w:color="448A99"/>
              <w:right w:val="single" w:sz="8" w:space="0" w:color="448A99"/>
            </w:tcBorders>
            <w:shd w:val="clear" w:color="000000" w:fill="FFFFFF"/>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$220.87</w:t>
            </w:r>
          </w:p>
        </w:tc>
        <w:tc>
          <w:tcPr>
            <w:tcW w:w="2609" w:type="dxa"/>
            <w:tcBorders>
              <w:top w:val="nil"/>
              <w:left w:val="nil"/>
              <w:bottom w:val="single" w:sz="8" w:space="0" w:color="448A99"/>
              <w:right w:val="single" w:sz="8" w:space="0" w:color="448A99"/>
            </w:tcBorders>
            <w:shd w:val="clear" w:color="000000" w:fill="FFFFFF"/>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2.3%</w:t>
            </w:r>
          </w:p>
        </w:tc>
        <w:tc>
          <w:tcPr>
            <w:tcW w:w="2610" w:type="dxa"/>
            <w:tcBorders>
              <w:top w:val="nil"/>
              <w:left w:val="nil"/>
              <w:bottom w:val="single" w:sz="8" w:space="0" w:color="448A99"/>
              <w:right w:val="single" w:sz="8" w:space="0" w:color="448A99"/>
            </w:tcBorders>
            <w:shd w:val="clear" w:color="000000" w:fill="FFFFFF"/>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337,753</w:t>
            </w:r>
          </w:p>
        </w:tc>
      </w:tr>
      <w:tr w:rsidR="00A874AC" w:rsidRPr="004837FA" w:rsidTr="000123A3">
        <w:trPr>
          <w:trHeight w:val="141"/>
        </w:trPr>
        <w:tc>
          <w:tcPr>
            <w:tcW w:w="1512" w:type="dxa"/>
            <w:tcBorders>
              <w:top w:val="nil"/>
              <w:left w:val="single" w:sz="8" w:space="0" w:color="448A99"/>
              <w:bottom w:val="single" w:sz="8" w:space="0" w:color="448A99"/>
              <w:right w:val="nil"/>
            </w:tcBorders>
            <w:shd w:val="clear" w:color="000000" w:fill="D2EAF1"/>
            <w:vAlign w:val="center"/>
          </w:tcPr>
          <w:p w:rsidR="00114CA8" w:rsidRPr="004837FA" w:rsidRDefault="00AF1BD2" w:rsidP="00375285">
            <w:pPr>
              <w:jc w:val="left"/>
              <w:rPr>
                <w:sz w:val="19"/>
                <w:szCs w:val="19"/>
              </w:rPr>
            </w:pPr>
            <w:r w:rsidRPr="004837FA">
              <w:rPr>
                <w:bCs/>
                <w:color w:val="000000"/>
                <w:sz w:val="19"/>
                <w:szCs w:val="19"/>
              </w:rPr>
              <w:t xml:space="preserve">FE: </w:t>
            </w:r>
            <w:r w:rsidR="00114CA8" w:rsidRPr="004837FA">
              <w:rPr>
                <w:bCs/>
                <w:color w:val="000000"/>
                <w:sz w:val="19"/>
                <w:szCs w:val="19"/>
              </w:rPr>
              <w:t>Penelec</w:t>
            </w:r>
          </w:p>
        </w:tc>
        <w:tc>
          <w:tcPr>
            <w:tcW w:w="2609" w:type="dxa"/>
            <w:tcBorders>
              <w:top w:val="nil"/>
              <w:left w:val="single" w:sz="8" w:space="0" w:color="448A99"/>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$216.19</w:t>
            </w:r>
          </w:p>
        </w:tc>
        <w:tc>
          <w:tcPr>
            <w:tcW w:w="2609" w:type="dxa"/>
            <w:tcBorders>
              <w:top w:val="nil"/>
              <w:left w:val="nil"/>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2.2%</w:t>
            </w:r>
          </w:p>
        </w:tc>
        <w:tc>
          <w:tcPr>
            <w:tcW w:w="2610" w:type="dxa"/>
            <w:tcBorders>
              <w:top w:val="nil"/>
              <w:left w:val="nil"/>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318,813</w:t>
            </w:r>
          </w:p>
        </w:tc>
      </w:tr>
      <w:tr w:rsidR="00A874AC" w:rsidRPr="004837FA" w:rsidTr="000123A3">
        <w:trPr>
          <w:trHeight w:val="141"/>
        </w:trPr>
        <w:tc>
          <w:tcPr>
            <w:tcW w:w="1512" w:type="dxa"/>
            <w:tcBorders>
              <w:top w:val="nil"/>
              <w:left w:val="single" w:sz="8" w:space="0" w:color="448A99"/>
              <w:bottom w:val="single" w:sz="8" w:space="0" w:color="448A99"/>
              <w:right w:val="nil"/>
            </w:tcBorders>
            <w:shd w:val="clear" w:color="000000" w:fill="FFFFFF"/>
            <w:vAlign w:val="center"/>
          </w:tcPr>
          <w:p w:rsidR="00114CA8" w:rsidRPr="004837FA" w:rsidRDefault="00AF1BD2" w:rsidP="00375285">
            <w:pPr>
              <w:jc w:val="left"/>
              <w:rPr>
                <w:sz w:val="19"/>
                <w:szCs w:val="19"/>
              </w:rPr>
            </w:pPr>
            <w:r w:rsidRPr="004837FA">
              <w:rPr>
                <w:bCs/>
                <w:color w:val="000000"/>
                <w:sz w:val="19"/>
                <w:szCs w:val="19"/>
              </w:rPr>
              <w:t xml:space="preserve">FE: </w:t>
            </w:r>
            <w:r w:rsidR="00114CA8" w:rsidRPr="004837FA">
              <w:rPr>
                <w:bCs/>
                <w:color w:val="000000"/>
                <w:sz w:val="19"/>
                <w:szCs w:val="19"/>
              </w:rPr>
              <w:t>Penn Power</w:t>
            </w:r>
          </w:p>
        </w:tc>
        <w:tc>
          <w:tcPr>
            <w:tcW w:w="2609" w:type="dxa"/>
            <w:tcBorders>
              <w:top w:val="nil"/>
              <w:left w:val="single" w:sz="8" w:space="0" w:color="448A99"/>
              <w:bottom w:val="single" w:sz="8" w:space="0" w:color="448A99"/>
              <w:right w:val="single" w:sz="8" w:space="0" w:color="448A99"/>
            </w:tcBorders>
            <w:shd w:val="clear" w:color="000000" w:fill="FFFFFF"/>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$209.20</w:t>
            </w:r>
          </w:p>
        </w:tc>
        <w:tc>
          <w:tcPr>
            <w:tcW w:w="2609" w:type="dxa"/>
            <w:tcBorders>
              <w:top w:val="nil"/>
              <w:left w:val="nil"/>
              <w:bottom w:val="single" w:sz="8" w:space="0" w:color="448A99"/>
              <w:right w:val="single" w:sz="8" w:space="0" w:color="448A99"/>
            </w:tcBorders>
            <w:shd w:val="clear" w:color="000000" w:fill="FFFFFF"/>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2.0%</w:t>
            </w:r>
          </w:p>
        </w:tc>
        <w:tc>
          <w:tcPr>
            <w:tcW w:w="2610" w:type="dxa"/>
            <w:tcBorders>
              <w:top w:val="nil"/>
              <w:left w:val="nil"/>
              <w:bottom w:val="single" w:sz="8" w:space="0" w:color="448A99"/>
              <w:right w:val="single" w:sz="8" w:space="0" w:color="448A99"/>
            </w:tcBorders>
            <w:shd w:val="clear" w:color="000000" w:fill="FFFFFF"/>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95,502</w:t>
            </w:r>
          </w:p>
        </w:tc>
      </w:tr>
      <w:tr w:rsidR="00A874AC" w:rsidRPr="004837FA" w:rsidTr="000123A3">
        <w:trPr>
          <w:trHeight w:val="141"/>
        </w:trPr>
        <w:tc>
          <w:tcPr>
            <w:tcW w:w="1512" w:type="dxa"/>
            <w:tcBorders>
              <w:top w:val="nil"/>
              <w:left w:val="single" w:sz="8" w:space="0" w:color="448A99"/>
              <w:bottom w:val="single" w:sz="8" w:space="0" w:color="448A99"/>
              <w:right w:val="nil"/>
            </w:tcBorders>
            <w:shd w:val="clear" w:color="000000" w:fill="D2EAF1"/>
            <w:vAlign w:val="center"/>
          </w:tcPr>
          <w:p w:rsidR="00114CA8" w:rsidRPr="004837FA" w:rsidRDefault="00AF1BD2" w:rsidP="00375285">
            <w:pPr>
              <w:jc w:val="left"/>
              <w:rPr>
                <w:sz w:val="19"/>
                <w:szCs w:val="19"/>
              </w:rPr>
            </w:pPr>
            <w:r w:rsidRPr="004837FA">
              <w:rPr>
                <w:bCs/>
                <w:color w:val="000000"/>
                <w:sz w:val="19"/>
                <w:szCs w:val="19"/>
              </w:rPr>
              <w:t xml:space="preserve">FE: </w:t>
            </w:r>
            <w:r w:rsidR="00114CA8" w:rsidRPr="004837FA">
              <w:rPr>
                <w:bCs/>
                <w:color w:val="000000"/>
                <w:sz w:val="19"/>
                <w:szCs w:val="19"/>
              </w:rPr>
              <w:t>West Penn</w:t>
            </w:r>
          </w:p>
        </w:tc>
        <w:tc>
          <w:tcPr>
            <w:tcW w:w="2609" w:type="dxa"/>
            <w:tcBorders>
              <w:top w:val="nil"/>
              <w:left w:val="single" w:sz="8" w:space="0" w:color="448A99"/>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$209.42</w:t>
            </w:r>
          </w:p>
        </w:tc>
        <w:tc>
          <w:tcPr>
            <w:tcW w:w="2609" w:type="dxa"/>
            <w:tcBorders>
              <w:top w:val="nil"/>
              <w:left w:val="nil"/>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1.6%</w:t>
            </w:r>
          </w:p>
        </w:tc>
        <w:tc>
          <w:tcPr>
            <w:tcW w:w="2610" w:type="dxa"/>
            <w:tcBorders>
              <w:top w:val="nil"/>
              <w:left w:val="nil"/>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337,533</w:t>
            </w:r>
          </w:p>
        </w:tc>
      </w:tr>
      <w:tr w:rsidR="00A874AC" w:rsidRPr="004837FA" w:rsidTr="000123A3">
        <w:trPr>
          <w:trHeight w:val="141"/>
        </w:trPr>
        <w:tc>
          <w:tcPr>
            <w:tcW w:w="1512" w:type="dxa"/>
            <w:tcBorders>
              <w:top w:val="nil"/>
              <w:left w:val="single" w:sz="8" w:space="0" w:color="448A99"/>
              <w:bottom w:val="single" w:sz="8" w:space="0" w:color="448A99"/>
              <w:right w:val="nil"/>
            </w:tcBorders>
            <w:shd w:val="clear" w:color="000000" w:fill="FFFFFF"/>
            <w:vAlign w:val="center"/>
          </w:tcPr>
          <w:p w:rsidR="00114CA8" w:rsidRPr="004837FA" w:rsidRDefault="00114CA8" w:rsidP="00375285">
            <w:pPr>
              <w:jc w:val="left"/>
              <w:rPr>
                <w:sz w:val="19"/>
                <w:szCs w:val="19"/>
              </w:rPr>
            </w:pPr>
            <w:r w:rsidRPr="004837FA">
              <w:rPr>
                <w:bCs/>
                <w:color w:val="000000"/>
                <w:sz w:val="19"/>
                <w:szCs w:val="19"/>
              </w:rPr>
              <w:t>PPL</w:t>
            </w:r>
          </w:p>
        </w:tc>
        <w:tc>
          <w:tcPr>
            <w:tcW w:w="2609" w:type="dxa"/>
            <w:tcBorders>
              <w:top w:val="nil"/>
              <w:left w:val="single" w:sz="8" w:space="0" w:color="448A99"/>
              <w:bottom w:val="single" w:sz="8" w:space="0" w:color="448A99"/>
              <w:right w:val="single" w:sz="8" w:space="0" w:color="448A99"/>
            </w:tcBorders>
            <w:shd w:val="clear" w:color="000000" w:fill="FFFFFF"/>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$224.71</w:t>
            </w:r>
          </w:p>
        </w:tc>
        <w:tc>
          <w:tcPr>
            <w:tcW w:w="2609" w:type="dxa"/>
            <w:tcBorders>
              <w:top w:val="nil"/>
              <w:left w:val="nil"/>
              <w:bottom w:val="single" w:sz="8" w:space="0" w:color="448A99"/>
              <w:right w:val="single" w:sz="8" w:space="0" w:color="448A99"/>
            </w:tcBorders>
            <w:shd w:val="clear" w:color="000000" w:fill="FFFFFF"/>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2.1%</w:t>
            </w:r>
          </w:p>
        </w:tc>
        <w:tc>
          <w:tcPr>
            <w:tcW w:w="2610" w:type="dxa"/>
            <w:tcBorders>
              <w:top w:val="nil"/>
              <w:left w:val="nil"/>
              <w:bottom w:val="single" w:sz="8" w:space="0" w:color="448A99"/>
              <w:right w:val="single" w:sz="8" w:space="0" w:color="448A99"/>
            </w:tcBorders>
            <w:shd w:val="clear" w:color="000000" w:fill="FFFFFF"/>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821,072</w:t>
            </w:r>
          </w:p>
        </w:tc>
      </w:tr>
      <w:tr w:rsidR="00A874AC" w:rsidRPr="004837FA" w:rsidTr="000123A3">
        <w:trPr>
          <w:trHeight w:val="141"/>
        </w:trPr>
        <w:tc>
          <w:tcPr>
            <w:tcW w:w="1512" w:type="dxa"/>
            <w:tcBorders>
              <w:top w:val="nil"/>
              <w:left w:val="single" w:sz="8" w:space="0" w:color="448A99"/>
              <w:bottom w:val="single" w:sz="8" w:space="0" w:color="448A99"/>
              <w:right w:val="nil"/>
            </w:tcBorders>
            <w:shd w:val="clear" w:color="000000" w:fill="D2EAF1"/>
            <w:vAlign w:val="center"/>
          </w:tcPr>
          <w:p w:rsidR="00114CA8" w:rsidRPr="004837FA" w:rsidRDefault="00114CA8" w:rsidP="00375285">
            <w:pPr>
              <w:jc w:val="left"/>
              <w:rPr>
                <w:sz w:val="19"/>
                <w:szCs w:val="19"/>
              </w:rPr>
            </w:pPr>
            <w:r w:rsidRPr="004837FA">
              <w:rPr>
                <w:bCs/>
                <w:color w:val="000000"/>
                <w:sz w:val="19"/>
                <w:szCs w:val="19"/>
              </w:rPr>
              <w:t>PECO</w:t>
            </w:r>
          </w:p>
        </w:tc>
        <w:tc>
          <w:tcPr>
            <w:tcW w:w="2609" w:type="dxa"/>
            <w:tcBorders>
              <w:top w:val="nil"/>
              <w:left w:val="single" w:sz="8" w:space="0" w:color="448A99"/>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$227.55</w:t>
            </w:r>
          </w:p>
        </w:tc>
        <w:tc>
          <w:tcPr>
            <w:tcW w:w="2609" w:type="dxa"/>
            <w:tcBorders>
              <w:top w:val="nil"/>
              <w:left w:val="nil"/>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2.9%</w:t>
            </w:r>
          </w:p>
        </w:tc>
        <w:tc>
          <w:tcPr>
            <w:tcW w:w="2610" w:type="dxa"/>
            <w:tcBorders>
              <w:top w:val="nil"/>
              <w:left w:val="nil"/>
              <w:bottom w:val="single" w:sz="8" w:space="0" w:color="448A99"/>
              <w:right w:val="single" w:sz="8" w:space="0" w:color="448A99"/>
            </w:tcBorders>
            <w:shd w:val="clear" w:color="000000" w:fill="D2EAF1"/>
            <w:vAlign w:val="center"/>
          </w:tcPr>
          <w:p w:rsidR="00114CA8" w:rsidRPr="004837FA" w:rsidRDefault="00114CA8" w:rsidP="00375285">
            <w:pPr>
              <w:autoSpaceDE w:val="0"/>
              <w:autoSpaceDN w:val="0"/>
              <w:adjustRightInd w:val="0"/>
              <w:contextualSpacing/>
              <w:jc w:val="center"/>
              <w:rPr>
                <w:rFonts w:cs="Calibri"/>
                <w:sz w:val="19"/>
                <w:szCs w:val="19"/>
              </w:rPr>
            </w:pPr>
            <w:r w:rsidRPr="004837FA">
              <w:rPr>
                <w:color w:val="000000"/>
                <w:sz w:val="19"/>
                <w:szCs w:val="19"/>
              </w:rPr>
              <w:t>1,125,851</w:t>
            </w:r>
          </w:p>
        </w:tc>
      </w:tr>
    </w:tbl>
    <w:p w:rsidR="00114CA8" w:rsidRDefault="00114CA8" w:rsidP="00FB4D74"/>
    <w:p w:rsidR="00AF1BD2" w:rsidRPr="004837FA" w:rsidRDefault="00AF1BD2" w:rsidP="004837FA">
      <w:pPr>
        <w:pStyle w:val="Caption"/>
      </w:pPr>
      <w:bookmarkStart w:id="64" w:name="_Ref473276025"/>
      <w:bookmarkStart w:id="65" w:name="_Toc472472157"/>
      <w:bookmarkStart w:id="66" w:name="_Toc488741733"/>
      <w:r w:rsidRPr="004837FA">
        <w:t xml:space="preserve">Table </w:t>
      </w:r>
      <w:r w:rsidR="007973A4">
        <w:fldChar w:fldCharType="begin"/>
      </w:r>
      <w:r w:rsidR="007973A4">
        <w:instrText xml:space="preserve"> STYLEREF 1 \s </w:instrText>
      </w:r>
      <w:r w:rsidR="007973A4">
        <w:fldChar w:fldCharType="separate"/>
      </w:r>
      <w:r w:rsidR="00037CB4" w:rsidRPr="004837FA">
        <w:t>2</w:t>
      </w:r>
      <w:r w:rsidR="007973A4">
        <w:fldChar w:fldCharType="end"/>
      </w:r>
      <w:r w:rsidR="00E6042C" w:rsidRPr="004837FA">
        <w:noBreakHyphen/>
      </w:r>
      <w:r w:rsidR="007973A4">
        <w:fldChar w:fldCharType="begin"/>
      </w:r>
      <w:r w:rsidR="007973A4">
        <w:instrText xml:space="preserve"> SEQ Table \* ARABIC \s 1 </w:instrText>
      </w:r>
      <w:r w:rsidR="007973A4">
        <w:fldChar w:fldCharType="separate"/>
      </w:r>
      <w:r w:rsidR="00037CB4" w:rsidRPr="004837FA">
        <w:t>2</w:t>
      </w:r>
      <w:r w:rsidR="007973A4">
        <w:fldChar w:fldCharType="end"/>
      </w:r>
      <w:bookmarkEnd w:id="64"/>
      <w:r w:rsidRPr="004837FA">
        <w:t>: Act 129 Phase II Three-Year Low-Income and GNI</w:t>
      </w:r>
      <w:r w:rsidR="00C6646A" w:rsidRPr="004837FA">
        <w:t xml:space="preserve"> Energy Efficiency Reduction</w:t>
      </w:r>
      <w:r w:rsidRPr="004837FA">
        <w:t xml:space="preserve"> Targets</w:t>
      </w:r>
      <w:bookmarkEnd w:id="65"/>
      <w:bookmarkEnd w:id="66"/>
    </w:p>
    <w:tbl>
      <w:tblPr>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3113"/>
        <w:gridCol w:w="3113"/>
        <w:gridCol w:w="3114"/>
      </w:tblGrid>
      <w:tr w:rsidR="00A874AC" w:rsidRPr="004837FA" w:rsidTr="000123A3">
        <w:trPr>
          <w:cantSplit/>
          <w:trHeight w:val="141"/>
          <w:tblHeader/>
        </w:trPr>
        <w:tc>
          <w:tcPr>
            <w:tcW w:w="3113" w:type="dxa"/>
            <w:tcBorders>
              <w:top w:val="single" w:sz="8" w:space="0" w:color="448A99"/>
              <w:left w:val="single" w:sz="8" w:space="0" w:color="448A99"/>
              <w:bottom w:val="single" w:sz="8" w:space="0" w:color="448A99"/>
              <w:right w:val="single" w:sz="8" w:space="0" w:color="448A99"/>
            </w:tcBorders>
            <w:shd w:val="clear" w:color="000000" w:fill="448A99"/>
            <w:vAlign w:val="center"/>
          </w:tcPr>
          <w:p w:rsidR="00AF1BD2" w:rsidRPr="004837FA" w:rsidRDefault="00AF1BD2" w:rsidP="00AF1BD2">
            <w:pPr>
              <w:jc w:val="left"/>
              <w:rPr>
                <w:b/>
                <w:color w:val="FFFFFF"/>
                <w:sz w:val="19"/>
                <w:szCs w:val="19"/>
              </w:rPr>
            </w:pPr>
            <w:r w:rsidRPr="004837FA">
              <w:rPr>
                <w:b/>
                <w:bCs/>
                <w:color w:val="FFFFFF"/>
                <w:sz w:val="19"/>
                <w:szCs w:val="19"/>
              </w:rPr>
              <w:t>EDC</w:t>
            </w:r>
          </w:p>
        </w:tc>
        <w:tc>
          <w:tcPr>
            <w:tcW w:w="3113" w:type="dxa"/>
            <w:tcBorders>
              <w:top w:val="single" w:sz="8" w:space="0" w:color="448A99"/>
              <w:left w:val="nil"/>
              <w:bottom w:val="single" w:sz="8" w:space="0" w:color="448A99"/>
              <w:right w:val="single" w:sz="8" w:space="0" w:color="448A99"/>
            </w:tcBorders>
            <w:shd w:val="clear" w:color="000000" w:fill="448A99"/>
            <w:vAlign w:val="center"/>
          </w:tcPr>
          <w:p w:rsidR="00AF1BD2" w:rsidRPr="004837FA" w:rsidRDefault="00AF1BD2" w:rsidP="002A643D">
            <w:pPr>
              <w:jc w:val="center"/>
              <w:rPr>
                <w:b/>
                <w:color w:val="FFFFFF"/>
                <w:sz w:val="19"/>
                <w:szCs w:val="19"/>
              </w:rPr>
            </w:pPr>
            <w:r w:rsidRPr="004837FA">
              <w:rPr>
                <w:b/>
                <w:bCs/>
                <w:color w:val="FFFFFF"/>
                <w:sz w:val="19"/>
                <w:szCs w:val="19"/>
              </w:rPr>
              <w:t> Low</w:t>
            </w:r>
            <w:r w:rsidR="002A643D" w:rsidRPr="004837FA">
              <w:rPr>
                <w:b/>
                <w:bCs/>
                <w:color w:val="FFFFFF"/>
                <w:sz w:val="19"/>
                <w:szCs w:val="19"/>
              </w:rPr>
              <w:t>-</w:t>
            </w:r>
            <w:r w:rsidRPr="004837FA">
              <w:rPr>
                <w:b/>
                <w:bCs/>
                <w:color w:val="FFFFFF"/>
                <w:sz w:val="19"/>
                <w:szCs w:val="19"/>
              </w:rPr>
              <w:t>Income</w:t>
            </w:r>
            <w:r w:rsidR="002A643D" w:rsidRPr="004837FA">
              <w:rPr>
                <w:b/>
                <w:bCs/>
                <w:color w:val="FFFFFF"/>
                <w:sz w:val="19"/>
                <w:szCs w:val="19"/>
              </w:rPr>
              <w:t xml:space="preserve"> Target (MWh/yr)</w:t>
            </w:r>
          </w:p>
        </w:tc>
        <w:tc>
          <w:tcPr>
            <w:tcW w:w="3114" w:type="dxa"/>
            <w:tcBorders>
              <w:top w:val="single" w:sz="8" w:space="0" w:color="448A99"/>
              <w:left w:val="nil"/>
              <w:bottom w:val="single" w:sz="8" w:space="0" w:color="448A99"/>
              <w:right w:val="single" w:sz="8" w:space="0" w:color="448A99"/>
            </w:tcBorders>
            <w:shd w:val="clear" w:color="000000" w:fill="448A99"/>
            <w:vAlign w:val="center"/>
          </w:tcPr>
          <w:p w:rsidR="00AF1BD2" w:rsidRPr="004837FA" w:rsidRDefault="00AF1BD2" w:rsidP="00AF1BD2">
            <w:pPr>
              <w:jc w:val="center"/>
              <w:rPr>
                <w:b/>
                <w:color w:val="FFFFFF"/>
                <w:sz w:val="19"/>
                <w:szCs w:val="19"/>
              </w:rPr>
            </w:pPr>
            <w:r w:rsidRPr="004837FA">
              <w:rPr>
                <w:b/>
                <w:bCs/>
                <w:color w:val="FFFFFF"/>
                <w:sz w:val="19"/>
                <w:szCs w:val="19"/>
              </w:rPr>
              <w:t> GNI</w:t>
            </w:r>
            <w:r w:rsidR="002A643D" w:rsidRPr="004837FA">
              <w:rPr>
                <w:b/>
                <w:bCs/>
                <w:color w:val="FFFFFF"/>
                <w:sz w:val="19"/>
                <w:szCs w:val="19"/>
              </w:rPr>
              <w:t xml:space="preserve"> Target (MWh/yr)</w:t>
            </w:r>
          </w:p>
        </w:tc>
      </w:tr>
      <w:tr w:rsidR="00A874AC" w:rsidRPr="004837FA" w:rsidTr="000123A3">
        <w:trPr>
          <w:trHeight w:val="141"/>
        </w:trPr>
        <w:tc>
          <w:tcPr>
            <w:tcW w:w="3113" w:type="dxa"/>
            <w:tcBorders>
              <w:top w:val="nil"/>
              <w:left w:val="single" w:sz="8" w:space="0" w:color="448A99"/>
              <w:bottom w:val="single" w:sz="8" w:space="0" w:color="448A99"/>
              <w:right w:val="single" w:sz="8" w:space="0" w:color="448A99"/>
            </w:tcBorders>
            <w:shd w:val="clear" w:color="000000" w:fill="D2EAF1"/>
            <w:vAlign w:val="center"/>
          </w:tcPr>
          <w:p w:rsidR="00AF1BD2" w:rsidRPr="004837FA" w:rsidRDefault="00AF1BD2" w:rsidP="00AF1BD2">
            <w:pPr>
              <w:jc w:val="left"/>
              <w:rPr>
                <w:sz w:val="19"/>
                <w:szCs w:val="19"/>
              </w:rPr>
            </w:pPr>
            <w:r w:rsidRPr="004837FA">
              <w:rPr>
                <w:bCs/>
                <w:color w:val="000000"/>
                <w:sz w:val="19"/>
                <w:szCs w:val="19"/>
              </w:rPr>
              <w:t>Duquesne</w:t>
            </w:r>
          </w:p>
        </w:tc>
        <w:tc>
          <w:tcPr>
            <w:tcW w:w="3113"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12,452</w:t>
            </w:r>
          </w:p>
        </w:tc>
        <w:tc>
          <w:tcPr>
            <w:tcW w:w="3114"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27,672</w:t>
            </w:r>
          </w:p>
        </w:tc>
      </w:tr>
      <w:tr w:rsidR="00A874AC" w:rsidRPr="004837FA" w:rsidTr="000123A3">
        <w:trPr>
          <w:trHeight w:val="141"/>
        </w:trPr>
        <w:tc>
          <w:tcPr>
            <w:tcW w:w="3113" w:type="dxa"/>
            <w:tcBorders>
              <w:top w:val="nil"/>
              <w:left w:val="single" w:sz="8" w:space="0" w:color="448A99"/>
              <w:bottom w:val="single" w:sz="8" w:space="0" w:color="448A99"/>
              <w:right w:val="single" w:sz="8" w:space="0" w:color="448A99"/>
            </w:tcBorders>
            <w:shd w:val="clear" w:color="000000" w:fill="FFFFFF"/>
            <w:vAlign w:val="center"/>
          </w:tcPr>
          <w:p w:rsidR="00AF1BD2" w:rsidRPr="004837FA" w:rsidRDefault="00AF1BD2" w:rsidP="00AF1BD2">
            <w:pPr>
              <w:jc w:val="left"/>
              <w:rPr>
                <w:sz w:val="19"/>
                <w:szCs w:val="19"/>
              </w:rPr>
            </w:pPr>
            <w:r w:rsidRPr="004837FA">
              <w:rPr>
                <w:bCs/>
                <w:color w:val="000000"/>
                <w:sz w:val="19"/>
                <w:szCs w:val="19"/>
              </w:rPr>
              <w:t>FE: Met-Ed</w:t>
            </w:r>
          </w:p>
        </w:tc>
        <w:tc>
          <w:tcPr>
            <w:tcW w:w="3113" w:type="dxa"/>
            <w:tcBorders>
              <w:top w:val="nil"/>
              <w:left w:val="nil"/>
              <w:bottom w:val="single" w:sz="8" w:space="0" w:color="448A99"/>
              <w:right w:val="single" w:sz="8" w:space="0" w:color="448A99"/>
            </w:tcBorders>
            <w:shd w:val="clear" w:color="auto" w:fill="auto"/>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15,199</w:t>
            </w:r>
          </w:p>
        </w:tc>
        <w:tc>
          <w:tcPr>
            <w:tcW w:w="3114" w:type="dxa"/>
            <w:tcBorders>
              <w:top w:val="nil"/>
              <w:left w:val="nil"/>
              <w:bottom w:val="single" w:sz="8" w:space="0" w:color="448A99"/>
              <w:right w:val="single" w:sz="8" w:space="0" w:color="448A99"/>
            </w:tcBorders>
            <w:shd w:val="clear" w:color="auto" w:fill="auto"/>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33,775</w:t>
            </w:r>
          </w:p>
        </w:tc>
      </w:tr>
      <w:tr w:rsidR="00A874AC" w:rsidRPr="004837FA" w:rsidTr="000123A3">
        <w:trPr>
          <w:trHeight w:val="141"/>
        </w:trPr>
        <w:tc>
          <w:tcPr>
            <w:tcW w:w="3113" w:type="dxa"/>
            <w:tcBorders>
              <w:top w:val="nil"/>
              <w:left w:val="single" w:sz="8" w:space="0" w:color="448A99"/>
              <w:bottom w:val="single" w:sz="8" w:space="0" w:color="448A99"/>
              <w:right w:val="single" w:sz="8" w:space="0" w:color="448A99"/>
            </w:tcBorders>
            <w:shd w:val="clear" w:color="000000" w:fill="D2EAF1"/>
            <w:vAlign w:val="center"/>
          </w:tcPr>
          <w:p w:rsidR="00AF1BD2" w:rsidRPr="004837FA" w:rsidRDefault="00AF1BD2" w:rsidP="00AF1BD2">
            <w:pPr>
              <w:jc w:val="left"/>
              <w:rPr>
                <w:sz w:val="19"/>
                <w:szCs w:val="19"/>
              </w:rPr>
            </w:pPr>
            <w:r w:rsidRPr="004837FA">
              <w:rPr>
                <w:bCs/>
                <w:color w:val="000000"/>
                <w:sz w:val="19"/>
                <w:szCs w:val="19"/>
              </w:rPr>
              <w:t>FE: Penelec</w:t>
            </w:r>
          </w:p>
        </w:tc>
        <w:tc>
          <w:tcPr>
            <w:tcW w:w="3113"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14,347</w:t>
            </w:r>
          </w:p>
        </w:tc>
        <w:tc>
          <w:tcPr>
            <w:tcW w:w="3114"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31,881</w:t>
            </w:r>
          </w:p>
        </w:tc>
      </w:tr>
      <w:tr w:rsidR="00A874AC" w:rsidRPr="004837FA" w:rsidTr="000123A3">
        <w:trPr>
          <w:trHeight w:val="141"/>
        </w:trPr>
        <w:tc>
          <w:tcPr>
            <w:tcW w:w="3113" w:type="dxa"/>
            <w:tcBorders>
              <w:top w:val="nil"/>
              <w:left w:val="single" w:sz="8" w:space="0" w:color="448A99"/>
              <w:bottom w:val="single" w:sz="8" w:space="0" w:color="448A99"/>
              <w:right w:val="single" w:sz="8" w:space="0" w:color="448A99"/>
            </w:tcBorders>
            <w:shd w:val="clear" w:color="000000" w:fill="FFFFFF"/>
            <w:vAlign w:val="center"/>
          </w:tcPr>
          <w:p w:rsidR="00AF1BD2" w:rsidRPr="004837FA" w:rsidRDefault="00AF1BD2" w:rsidP="00AF1BD2">
            <w:pPr>
              <w:jc w:val="left"/>
              <w:rPr>
                <w:sz w:val="19"/>
                <w:szCs w:val="19"/>
              </w:rPr>
            </w:pPr>
            <w:r w:rsidRPr="004837FA">
              <w:rPr>
                <w:bCs/>
                <w:color w:val="000000"/>
                <w:sz w:val="19"/>
                <w:szCs w:val="19"/>
              </w:rPr>
              <w:t>FE: Penn Power</w:t>
            </w:r>
          </w:p>
        </w:tc>
        <w:tc>
          <w:tcPr>
            <w:tcW w:w="3113" w:type="dxa"/>
            <w:tcBorders>
              <w:top w:val="nil"/>
              <w:left w:val="nil"/>
              <w:bottom w:val="single" w:sz="8" w:space="0" w:color="448A99"/>
              <w:right w:val="single" w:sz="8" w:space="0" w:color="448A99"/>
            </w:tcBorders>
            <w:shd w:val="clear" w:color="auto" w:fill="auto"/>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4,298</w:t>
            </w:r>
          </w:p>
        </w:tc>
        <w:tc>
          <w:tcPr>
            <w:tcW w:w="3114" w:type="dxa"/>
            <w:tcBorders>
              <w:top w:val="nil"/>
              <w:left w:val="nil"/>
              <w:bottom w:val="single" w:sz="8" w:space="0" w:color="448A99"/>
              <w:right w:val="single" w:sz="8" w:space="0" w:color="448A99"/>
            </w:tcBorders>
            <w:shd w:val="clear" w:color="auto" w:fill="auto"/>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9,550</w:t>
            </w:r>
          </w:p>
        </w:tc>
      </w:tr>
      <w:tr w:rsidR="00A874AC" w:rsidRPr="004837FA" w:rsidTr="000123A3">
        <w:trPr>
          <w:trHeight w:val="141"/>
        </w:trPr>
        <w:tc>
          <w:tcPr>
            <w:tcW w:w="3113" w:type="dxa"/>
            <w:tcBorders>
              <w:top w:val="nil"/>
              <w:left w:val="single" w:sz="8" w:space="0" w:color="448A99"/>
              <w:bottom w:val="single" w:sz="8" w:space="0" w:color="448A99"/>
              <w:right w:val="single" w:sz="8" w:space="0" w:color="448A99"/>
            </w:tcBorders>
            <w:shd w:val="clear" w:color="000000" w:fill="D2EAF1"/>
            <w:vAlign w:val="center"/>
          </w:tcPr>
          <w:p w:rsidR="00AF1BD2" w:rsidRPr="004837FA" w:rsidRDefault="00AF1BD2" w:rsidP="00AF1BD2">
            <w:pPr>
              <w:jc w:val="left"/>
              <w:rPr>
                <w:sz w:val="19"/>
                <w:szCs w:val="19"/>
              </w:rPr>
            </w:pPr>
            <w:r w:rsidRPr="004837FA">
              <w:rPr>
                <w:bCs/>
                <w:color w:val="000000"/>
                <w:sz w:val="19"/>
                <w:szCs w:val="19"/>
              </w:rPr>
              <w:t>FE: West Penn</w:t>
            </w:r>
          </w:p>
        </w:tc>
        <w:tc>
          <w:tcPr>
            <w:tcW w:w="3113"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15,189</w:t>
            </w:r>
          </w:p>
        </w:tc>
        <w:tc>
          <w:tcPr>
            <w:tcW w:w="3114"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33,753</w:t>
            </w:r>
          </w:p>
        </w:tc>
      </w:tr>
      <w:tr w:rsidR="005E6D04" w:rsidRPr="004837FA" w:rsidTr="00696BFA">
        <w:trPr>
          <w:trHeight w:val="141"/>
        </w:trPr>
        <w:tc>
          <w:tcPr>
            <w:tcW w:w="3113" w:type="dxa"/>
            <w:tcBorders>
              <w:top w:val="nil"/>
              <w:left w:val="single" w:sz="8" w:space="0" w:color="448A99"/>
              <w:bottom w:val="single" w:sz="8" w:space="0" w:color="448A99"/>
              <w:right w:val="single" w:sz="8" w:space="0" w:color="448A99"/>
            </w:tcBorders>
            <w:shd w:val="clear" w:color="auto" w:fill="auto"/>
            <w:vAlign w:val="center"/>
          </w:tcPr>
          <w:p w:rsidR="00AF1BD2" w:rsidRPr="004837FA" w:rsidRDefault="00AF1BD2" w:rsidP="00AF1BD2">
            <w:pPr>
              <w:jc w:val="left"/>
              <w:rPr>
                <w:sz w:val="19"/>
                <w:szCs w:val="19"/>
              </w:rPr>
            </w:pPr>
            <w:r w:rsidRPr="004837FA">
              <w:rPr>
                <w:bCs/>
                <w:color w:val="000000"/>
                <w:sz w:val="19"/>
                <w:szCs w:val="19"/>
              </w:rPr>
              <w:t>PECO</w:t>
            </w:r>
          </w:p>
        </w:tc>
        <w:tc>
          <w:tcPr>
            <w:tcW w:w="3113" w:type="dxa"/>
            <w:tcBorders>
              <w:top w:val="nil"/>
              <w:left w:val="nil"/>
              <w:bottom w:val="single" w:sz="8" w:space="0" w:color="448A99"/>
              <w:right w:val="single" w:sz="8" w:space="0" w:color="448A99"/>
            </w:tcBorders>
            <w:shd w:val="clear" w:color="auto" w:fill="auto"/>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50,663</w:t>
            </w:r>
          </w:p>
        </w:tc>
        <w:tc>
          <w:tcPr>
            <w:tcW w:w="3114" w:type="dxa"/>
            <w:tcBorders>
              <w:top w:val="nil"/>
              <w:left w:val="nil"/>
              <w:bottom w:val="single" w:sz="8" w:space="0" w:color="448A99"/>
              <w:right w:val="single" w:sz="8" w:space="0" w:color="448A99"/>
            </w:tcBorders>
            <w:shd w:val="clear" w:color="auto" w:fill="auto"/>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112,585</w:t>
            </w:r>
          </w:p>
        </w:tc>
      </w:tr>
      <w:tr w:rsidR="00A874AC" w:rsidRPr="004837FA" w:rsidTr="000123A3">
        <w:trPr>
          <w:trHeight w:val="141"/>
        </w:trPr>
        <w:tc>
          <w:tcPr>
            <w:tcW w:w="3113" w:type="dxa"/>
            <w:tcBorders>
              <w:top w:val="nil"/>
              <w:left w:val="single" w:sz="8" w:space="0" w:color="448A99"/>
              <w:bottom w:val="single" w:sz="8" w:space="0" w:color="448A99"/>
              <w:right w:val="single" w:sz="8" w:space="0" w:color="448A99"/>
            </w:tcBorders>
            <w:shd w:val="clear" w:color="000000" w:fill="D2EAF1"/>
            <w:vAlign w:val="center"/>
          </w:tcPr>
          <w:p w:rsidR="00AF1BD2" w:rsidRPr="004837FA" w:rsidRDefault="00AF1BD2" w:rsidP="00AF1BD2">
            <w:pPr>
              <w:jc w:val="left"/>
              <w:rPr>
                <w:sz w:val="19"/>
                <w:szCs w:val="19"/>
              </w:rPr>
            </w:pPr>
            <w:r w:rsidRPr="004837FA">
              <w:rPr>
                <w:bCs/>
                <w:color w:val="000000"/>
                <w:sz w:val="19"/>
                <w:szCs w:val="19"/>
              </w:rPr>
              <w:t>PPL</w:t>
            </w:r>
          </w:p>
        </w:tc>
        <w:tc>
          <w:tcPr>
            <w:tcW w:w="3113"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36,948</w:t>
            </w:r>
          </w:p>
        </w:tc>
        <w:tc>
          <w:tcPr>
            <w:tcW w:w="3114" w:type="dxa"/>
            <w:tcBorders>
              <w:top w:val="nil"/>
              <w:left w:val="nil"/>
              <w:bottom w:val="single" w:sz="8" w:space="0" w:color="448A99"/>
              <w:right w:val="single" w:sz="8" w:space="0" w:color="448A99"/>
            </w:tcBorders>
            <w:shd w:val="clear" w:color="000000" w:fill="D2EAF1"/>
            <w:vAlign w:val="center"/>
          </w:tcPr>
          <w:p w:rsidR="00AF1BD2" w:rsidRPr="004837FA" w:rsidRDefault="00AF1BD2" w:rsidP="00AF1BD2">
            <w:pPr>
              <w:autoSpaceDE w:val="0"/>
              <w:autoSpaceDN w:val="0"/>
              <w:adjustRightInd w:val="0"/>
              <w:contextualSpacing/>
              <w:jc w:val="center"/>
              <w:rPr>
                <w:rFonts w:cs="Calibri"/>
                <w:sz w:val="19"/>
                <w:szCs w:val="19"/>
              </w:rPr>
            </w:pPr>
            <w:r w:rsidRPr="004837FA">
              <w:rPr>
                <w:color w:val="000000"/>
                <w:sz w:val="19"/>
                <w:szCs w:val="19"/>
              </w:rPr>
              <w:t>82,107</w:t>
            </w:r>
          </w:p>
        </w:tc>
      </w:tr>
    </w:tbl>
    <w:p w:rsidR="00AF1BD2" w:rsidRDefault="00AF1BD2" w:rsidP="00FB4D74"/>
    <w:p w:rsidR="003E659C" w:rsidRPr="004837FA" w:rsidRDefault="00551E59" w:rsidP="004837FA">
      <w:r w:rsidRPr="004837FA">
        <w:t>The remainder of the chapter discusses EDC compl</w:t>
      </w:r>
      <w:r w:rsidR="00661FA0" w:rsidRPr="004837FA">
        <w:t>iance</w:t>
      </w:r>
      <w:r w:rsidRPr="004837FA">
        <w:t xml:space="preserve"> with these targets and carve-out goals, and provides statewide and EDC-specific results.</w:t>
      </w:r>
    </w:p>
    <w:p w:rsidR="004837FA" w:rsidRDefault="004837FA" w:rsidP="00FB4D74"/>
    <w:p w:rsidR="00523EDC" w:rsidRDefault="00523EDC" w:rsidP="00E673F0">
      <w:pPr>
        <w:pStyle w:val="Heading2"/>
      </w:pPr>
      <w:bookmarkStart w:id="67" w:name="_Toc472472088"/>
      <w:bookmarkStart w:id="68" w:name="_Toc488765781"/>
      <w:r>
        <w:t>Compliance Summary by EDC</w:t>
      </w:r>
      <w:bookmarkEnd w:id="67"/>
      <w:bookmarkEnd w:id="68"/>
    </w:p>
    <w:p w:rsidR="00DC50FD" w:rsidRDefault="00C82F49" w:rsidP="00FB4D74">
      <w:r>
        <w:t xml:space="preserve">All seven EDC’s met their compliance targets. </w:t>
      </w:r>
      <w:r>
        <w:fldChar w:fldCharType="begin"/>
      </w:r>
      <w:r>
        <w:instrText xml:space="preserve"> REF _Ref472265115 \h </w:instrText>
      </w:r>
      <w:r>
        <w:fldChar w:fldCharType="separate"/>
      </w:r>
      <w:r w:rsidR="00037CB4">
        <w:t xml:space="preserve">Table </w:t>
      </w:r>
      <w:r w:rsidR="00037CB4">
        <w:rPr>
          <w:noProof/>
        </w:rPr>
        <w:t>2</w:t>
      </w:r>
      <w:r w:rsidR="00037CB4">
        <w:noBreakHyphen/>
      </w:r>
      <w:r w:rsidR="00037CB4">
        <w:rPr>
          <w:noProof/>
        </w:rPr>
        <w:t>3</w:t>
      </w:r>
      <w:r>
        <w:fldChar w:fldCharType="end"/>
      </w:r>
      <w:r>
        <w:t xml:space="preserve"> below shows the Phase II verified energy savings and these achievements as a percentage of the Phase II targets. The Phase II </w:t>
      </w:r>
      <w:r w:rsidR="002724D0">
        <w:t xml:space="preserve">verified </w:t>
      </w:r>
      <w:r>
        <w:t xml:space="preserve">energy savings </w:t>
      </w:r>
      <w:r>
        <w:lastRenderedPageBreak/>
        <w:t xml:space="preserve">include carryover savings from Phase I. </w:t>
      </w:r>
      <w:r w:rsidR="002724D0">
        <w:t>The Phase III carryover savings in the final column equal the PY5-PY7 verified energy savings minus the Phase II energy savings targets.</w:t>
      </w:r>
      <w:r w:rsidR="002E6BB2">
        <w:t xml:space="preserve"> PECO and PPL have no Phase III carryover savings because their Phase II verified MWh savings achieved in Program Years 5 to 7 were less than their Phase II MWh savings targets. </w:t>
      </w:r>
    </w:p>
    <w:p w:rsidR="00C82F49" w:rsidRDefault="00C82F49" w:rsidP="00FB4D74"/>
    <w:p w:rsidR="00C82F49" w:rsidRDefault="00C82F49" w:rsidP="004837FA">
      <w:pPr>
        <w:pStyle w:val="Caption"/>
      </w:pPr>
      <w:bookmarkStart w:id="69" w:name="_Ref472265115"/>
      <w:bookmarkStart w:id="70" w:name="_Toc472472158"/>
      <w:bookmarkStart w:id="71" w:name="_Toc488741734"/>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3</w:t>
      </w:r>
      <w:r w:rsidR="007973A4">
        <w:rPr>
          <w:noProof/>
        </w:rPr>
        <w:fldChar w:fldCharType="end"/>
      </w:r>
      <w:bookmarkEnd w:id="69"/>
      <w:r>
        <w:t>: Phase II Compliance Summary by EDC</w:t>
      </w:r>
      <w:bookmarkEnd w:id="70"/>
      <w:bookmarkEnd w:id="71"/>
    </w:p>
    <w:tbl>
      <w:tblPr>
        <w:tblW w:w="9360" w:type="dxa"/>
        <w:tblInd w:w="-10" w:type="dxa"/>
        <w:tblLook w:val="04A0" w:firstRow="1" w:lastRow="0" w:firstColumn="1" w:lastColumn="0" w:noHBand="0" w:noVBand="1"/>
      </w:tblPr>
      <w:tblGrid>
        <w:gridCol w:w="1520"/>
        <w:gridCol w:w="1240"/>
        <w:gridCol w:w="1180"/>
        <w:gridCol w:w="1420"/>
        <w:gridCol w:w="1220"/>
        <w:gridCol w:w="1080"/>
        <w:gridCol w:w="1700"/>
      </w:tblGrid>
      <w:tr w:rsidR="00A874AC" w:rsidRPr="004837FA" w:rsidTr="001310D5">
        <w:trPr>
          <w:trHeight w:val="1035"/>
        </w:trPr>
        <w:tc>
          <w:tcPr>
            <w:tcW w:w="1520" w:type="dxa"/>
            <w:tcBorders>
              <w:top w:val="single" w:sz="8" w:space="0" w:color="448A99"/>
              <w:left w:val="single" w:sz="8" w:space="0" w:color="448A99"/>
              <w:bottom w:val="single" w:sz="8" w:space="0" w:color="448A99"/>
              <w:right w:val="nil"/>
            </w:tcBorders>
            <w:shd w:val="clear" w:color="000000" w:fill="448A99"/>
            <w:noWrap/>
            <w:vAlign w:val="bottom"/>
            <w:hideMark/>
          </w:tcPr>
          <w:p w:rsidR="00037FD6" w:rsidRPr="004837FA" w:rsidRDefault="00037FD6" w:rsidP="000123A3">
            <w:pPr>
              <w:rPr>
                <w:b/>
                <w:bCs/>
                <w:color w:val="FFFFFF"/>
                <w:sz w:val="19"/>
                <w:szCs w:val="19"/>
              </w:rPr>
            </w:pPr>
            <w:r w:rsidRPr="004837FA">
              <w:rPr>
                <w:b/>
                <w:bCs/>
                <w:color w:val="FFFFFF"/>
                <w:sz w:val="19"/>
                <w:szCs w:val="19"/>
              </w:rPr>
              <w:t>EDC</w:t>
            </w:r>
          </w:p>
        </w:tc>
        <w:tc>
          <w:tcPr>
            <w:tcW w:w="124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4837FA" w:rsidRDefault="00037FD6" w:rsidP="000123A3">
            <w:pPr>
              <w:jc w:val="center"/>
              <w:rPr>
                <w:b/>
                <w:bCs/>
                <w:color w:val="FFFFFF"/>
                <w:sz w:val="19"/>
                <w:szCs w:val="19"/>
              </w:rPr>
            </w:pPr>
            <w:r w:rsidRPr="004837FA">
              <w:rPr>
                <w:b/>
                <w:bCs/>
                <w:color w:val="FFFFFF"/>
                <w:sz w:val="19"/>
                <w:szCs w:val="19"/>
              </w:rPr>
              <w:t>Phase I Carryover MWh/yr Savings</w:t>
            </w:r>
          </w:p>
        </w:tc>
        <w:tc>
          <w:tcPr>
            <w:tcW w:w="118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4837FA" w:rsidRDefault="001936AA" w:rsidP="000123A3">
            <w:pPr>
              <w:jc w:val="center"/>
              <w:rPr>
                <w:b/>
                <w:bCs/>
                <w:color w:val="FFFFFF"/>
                <w:sz w:val="19"/>
                <w:szCs w:val="19"/>
              </w:rPr>
            </w:pPr>
            <w:r w:rsidRPr="004837FA">
              <w:rPr>
                <w:b/>
                <w:bCs/>
                <w:color w:val="FFFFFF"/>
                <w:sz w:val="19"/>
                <w:szCs w:val="19"/>
              </w:rPr>
              <w:t>Phase II</w:t>
            </w:r>
            <w:r w:rsidR="00037FD6" w:rsidRPr="004837FA">
              <w:rPr>
                <w:b/>
                <w:bCs/>
                <w:color w:val="FFFFFF"/>
                <w:sz w:val="19"/>
                <w:szCs w:val="19"/>
              </w:rPr>
              <w:t xml:space="preserve"> Verified MWh/yr Savings</w:t>
            </w:r>
          </w:p>
        </w:tc>
        <w:tc>
          <w:tcPr>
            <w:tcW w:w="142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4837FA" w:rsidRDefault="00037FD6" w:rsidP="000123A3">
            <w:pPr>
              <w:jc w:val="center"/>
              <w:rPr>
                <w:b/>
                <w:bCs/>
                <w:color w:val="FFFFFF"/>
                <w:sz w:val="19"/>
                <w:szCs w:val="19"/>
              </w:rPr>
            </w:pPr>
            <w:r w:rsidRPr="004837FA">
              <w:rPr>
                <w:b/>
                <w:bCs/>
                <w:color w:val="FFFFFF"/>
                <w:sz w:val="19"/>
                <w:szCs w:val="19"/>
              </w:rPr>
              <w:t>Phase II Verified MWh/yr Savings (including CO)</w:t>
            </w:r>
          </w:p>
        </w:tc>
        <w:tc>
          <w:tcPr>
            <w:tcW w:w="122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4837FA" w:rsidRDefault="00037FD6" w:rsidP="000123A3">
            <w:pPr>
              <w:jc w:val="center"/>
              <w:rPr>
                <w:b/>
                <w:bCs/>
                <w:color w:val="FFFFFF"/>
                <w:sz w:val="19"/>
                <w:szCs w:val="19"/>
              </w:rPr>
            </w:pPr>
            <w:r w:rsidRPr="004837FA">
              <w:rPr>
                <w:b/>
                <w:bCs/>
                <w:color w:val="FFFFFF"/>
                <w:sz w:val="19"/>
                <w:szCs w:val="19"/>
              </w:rPr>
              <w:t>Phase II Energy Savings Targets</w:t>
            </w:r>
          </w:p>
        </w:tc>
        <w:tc>
          <w:tcPr>
            <w:tcW w:w="108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4837FA" w:rsidRDefault="00037FD6" w:rsidP="005156C3">
            <w:pPr>
              <w:jc w:val="center"/>
              <w:rPr>
                <w:b/>
                <w:bCs/>
                <w:color w:val="FFFFFF"/>
                <w:sz w:val="19"/>
                <w:szCs w:val="19"/>
              </w:rPr>
            </w:pPr>
            <w:r w:rsidRPr="004837FA">
              <w:rPr>
                <w:b/>
                <w:bCs/>
                <w:color w:val="FFFFFF"/>
                <w:sz w:val="19"/>
                <w:szCs w:val="19"/>
              </w:rPr>
              <w:t xml:space="preserve">Savings Achieved % </w:t>
            </w:r>
            <w:r w:rsidR="005156C3" w:rsidRPr="004837FA">
              <w:rPr>
                <w:b/>
                <w:bCs/>
                <w:color w:val="FFFFFF"/>
                <w:sz w:val="19"/>
                <w:szCs w:val="19"/>
              </w:rPr>
              <w:t>of</w:t>
            </w:r>
            <w:r w:rsidRPr="004837FA">
              <w:rPr>
                <w:b/>
                <w:bCs/>
                <w:color w:val="FFFFFF"/>
                <w:sz w:val="19"/>
                <w:szCs w:val="19"/>
              </w:rPr>
              <w:t xml:space="preserve"> Target</w:t>
            </w:r>
          </w:p>
        </w:tc>
        <w:tc>
          <w:tcPr>
            <w:tcW w:w="170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4837FA" w:rsidRDefault="00037FD6" w:rsidP="000123A3">
            <w:pPr>
              <w:jc w:val="center"/>
              <w:rPr>
                <w:b/>
                <w:bCs/>
                <w:color w:val="FFFFFF"/>
                <w:sz w:val="19"/>
                <w:szCs w:val="19"/>
              </w:rPr>
            </w:pPr>
            <w:r w:rsidRPr="004837FA">
              <w:rPr>
                <w:b/>
                <w:bCs/>
                <w:color w:val="FFFFFF"/>
                <w:sz w:val="19"/>
                <w:szCs w:val="19"/>
              </w:rPr>
              <w:t>Phase III Carryover MWh/yr Savings</w:t>
            </w:r>
          </w:p>
        </w:tc>
      </w:tr>
      <w:tr w:rsidR="00A874AC" w:rsidRPr="004837FA" w:rsidTr="001310D5">
        <w:trPr>
          <w:trHeight w:val="144"/>
        </w:trPr>
        <w:tc>
          <w:tcPr>
            <w:tcW w:w="1520" w:type="dxa"/>
            <w:tcBorders>
              <w:top w:val="single" w:sz="8" w:space="0" w:color="448A99"/>
              <w:left w:val="single" w:sz="8" w:space="0" w:color="448A99"/>
              <w:bottom w:val="single" w:sz="8" w:space="0" w:color="448A99"/>
              <w:right w:val="single" w:sz="8" w:space="0" w:color="448A99"/>
            </w:tcBorders>
            <w:shd w:val="clear" w:color="000000" w:fill="D2EAF1"/>
            <w:noWrap/>
            <w:vAlign w:val="center"/>
            <w:hideMark/>
          </w:tcPr>
          <w:p w:rsidR="00037FD6" w:rsidRPr="004837FA" w:rsidRDefault="00037FD6" w:rsidP="00037FD6">
            <w:pPr>
              <w:jc w:val="left"/>
              <w:rPr>
                <w:bCs/>
                <w:color w:val="000000"/>
                <w:sz w:val="19"/>
                <w:szCs w:val="19"/>
              </w:rPr>
            </w:pPr>
            <w:r w:rsidRPr="004837FA">
              <w:rPr>
                <w:bCs/>
                <w:color w:val="000000"/>
                <w:sz w:val="19"/>
                <w:szCs w:val="19"/>
              </w:rPr>
              <w:t>Duquesne</w:t>
            </w:r>
          </w:p>
        </w:tc>
        <w:tc>
          <w:tcPr>
            <w:tcW w:w="124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133,717</w:t>
            </w:r>
          </w:p>
        </w:tc>
        <w:tc>
          <w:tcPr>
            <w:tcW w:w="118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3D4B5A" w:rsidP="00037FD6">
            <w:pPr>
              <w:jc w:val="center"/>
              <w:rPr>
                <w:color w:val="000000"/>
                <w:sz w:val="19"/>
                <w:szCs w:val="19"/>
              </w:rPr>
            </w:pPr>
            <w:r w:rsidRPr="004837FA">
              <w:rPr>
                <w:color w:val="000000"/>
                <w:sz w:val="19"/>
                <w:szCs w:val="19"/>
              </w:rPr>
              <w:t>377,189</w:t>
            </w:r>
          </w:p>
        </w:tc>
        <w:tc>
          <w:tcPr>
            <w:tcW w:w="142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3270CD" w:rsidP="00037FD6">
            <w:pPr>
              <w:jc w:val="center"/>
              <w:rPr>
                <w:color w:val="000000"/>
                <w:sz w:val="19"/>
                <w:szCs w:val="19"/>
              </w:rPr>
            </w:pPr>
            <w:r w:rsidRPr="004837FA">
              <w:rPr>
                <w:color w:val="000000"/>
                <w:sz w:val="19"/>
                <w:szCs w:val="19"/>
              </w:rPr>
              <w:t>510,906</w:t>
            </w:r>
          </w:p>
        </w:tc>
        <w:tc>
          <w:tcPr>
            <w:tcW w:w="122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276,722</w:t>
            </w:r>
          </w:p>
        </w:tc>
        <w:tc>
          <w:tcPr>
            <w:tcW w:w="108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185%</w:t>
            </w:r>
          </w:p>
        </w:tc>
        <w:tc>
          <w:tcPr>
            <w:tcW w:w="170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3270CD" w:rsidP="00037FD6">
            <w:pPr>
              <w:jc w:val="center"/>
              <w:rPr>
                <w:color w:val="000000"/>
                <w:sz w:val="19"/>
                <w:szCs w:val="19"/>
              </w:rPr>
            </w:pPr>
            <w:r w:rsidRPr="004837FA">
              <w:rPr>
                <w:color w:val="000000"/>
                <w:sz w:val="19"/>
                <w:szCs w:val="19"/>
              </w:rPr>
              <w:t>100,467</w:t>
            </w:r>
          </w:p>
        </w:tc>
      </w:tr>
      <w:tr w:rsidR="00A874AC" w:rsidRPr="004837FA" w:rsidTr="001310D5">
        <w:trPr>
          <w:trHeight w:val="144"/>
        </w:trPr>
        <w:tc>
          <w:tcPr>
            <w:tcW w:w="1520" w:type="dxa"/>
            <w:tcBorders>
              <w:top w:val="single" w:sz="8" w:space="0" w:color="448A99"/>
              <w:left w:val="single" w:sz="8" w:space="0" w:color="448A99"/>
              <w:bottom w:val="single" w:sz="8" w:space="0" w:color="448A99"/>
              <w:right w:val="single" w:sz="8" w:space="0" w:color="448A99"/>
            </w:tcBorders>
            <w:shd w:val="clear" w:color="000000" w:fill="FFFFFF"/>
            <w:noWrap/>
            <w:vAlign w:val="center"/>
            <w:hideMark/>
          </w:tcPr>
          <w:p w:rsidR="00037FD6" w:rsidRPr="004837FA" w:rsidRDefault="00037FD6" w:rsidP="00037FD6">
            <w:pPr>
              <w:jc w:val="left"/>
              <w:rPr>
                <w:bCs/>
                <w:color w:val="000000"/>
                <w:sz w:val="19"/>
                <w:szCs w:val="19"/>
              </w:rPr>
            </w:pPr>
            <w:r w:rsidRPr="004837FA">
              <w:rPr>
                <w:bCs/>
                <w:color w:val="000000"/>
                <w:sz w:val="19"/>
                <w:szCs w:val="19"/>
              </w:rPr>
              <w:t>FE: Met-Ed</w:t>
            </w:r>
          </w:p>
        </w:tc>
        <w:tc>
          <w:tcPr>
            <w:tcW w:w="124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47,187</w:t>
            </w:r>
          </w:p>
        </w:tc>
        <w:tc>
          <w:tcPr>
            <w:tcW w:w="118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368,235</w:t>
            </w:r>
          </w:p>
        </w:tc>
        <w:tc>
          <w:tcPr>
            <w:tcW w:w="142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415,422</w:t>
            </w:r>
          </w:p>
        </w:tc>
        <w:tc>
          <w:tcPr>
            <w:tcW w:w="122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337,753</w:t>
            </w:r>
          </w:p>
        </w:tc>
        <w:tc>
          <w:tcPr>
            <w:tcW w:w="108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123%</w:t>
            </w:r>
          </w:p>
        </w:tc>
        <w:tc>
          <w:tcPr>
            <w:tcW w:w="170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30,482</w:t>
            </w:r>
          </w:p>
        </w:tc>
      </w:tr>
      <w:tr w:rsidR="00A874AC" w:rsidRPr="004837FA" w:rsidTr="001310D5">
        <w:trPr>
          <w:trHeight w:val="144"/>
        </w:trPr>
        <w:tc>
          <w:tcPr>
            <w:tcW w:w="1520" w:type="dxa"/>
            <w:tcBorders>
              <w:top w:val="single" w:sz="8" w:space="0" w:color="448A99"/>
              <w:left w:val="single" w:sz="8" w:space="0" w:color="448A99"/>
              <w:bottom w:val="single" w:sz="8" w:space="0" w:color="448A99"/>
              <w:right w:val="single" w:sz="8" w:space="0" w:color="448A99"/>
            </w:tcBorders>
            <w:shd w:val="clear" w:color="000000" w:fill="D2EAF1"/>
            <w:noWrap/>
            <w:vAlign w:val="center"/>
            <w:hideMark/>
          </w:tcPr>
          <w:p w:rsidR="00037FD6" w:rsidRPr="004837FA" w:rsidRDefault="00037FD6" w:rsidP="00037FD6">
            <w:pPr>
              <w:jc w:val="left"/>
              <w:rPr>
                <w:bCs/>
                <w:color w:val="000000"/>
                <w:sz w:val="19"/>
                <w:szCs w:val="19"/>
              </w:rPr>
            </w:pPr>
            <w:r w:rsidRPr="004837FA">
              <w:rPr>
                <w:bCs/>
                <w:color w:val="000000"/>
                <w:sz w:val="19"/>
                <w:szCs w:val="19"/>
              </w:rPr>
              <w:t>FE: Penelec</w:t>
            </w:r>
          </w:p>
        </w:tc>
        <w:tc>
          <w:tcPr>
            <w:tcW w:w="124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26,805</w:t>
            </w:r>
          </w:p>
        </w:tc>
        <w:tc>
          <w:tcPr>
            <w:tcW w:w="118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368,508</w:t>
            </w:r>
          </w:p>
        </w:tc>
        <w:tc>
          <w:tcPr>
            <w:tcW w:w="142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395,313</w:t>
            </w:r>
          </w:p>
        </w:tc>
        <w:tc>
          <w:tcPr>
            <w:tcW w:w="122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318,813</w:t>
            </w:r>
          </w:p>
        </w:tc>
        <w:tc>
          <w:tcPr>
            <w:tcW w:w="108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124%</w:t>
            </w:r>
          </w:p>
        </w:tc>
        <w:tc>
          <w:tcPr>
            <w:tcW w:w="170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49,695</w:t>
            </w:r>
          </w:p>
        </w:tc>
      </w:tr>
      <w:tr w:rsidR="00A874AC" w:rsidRPr="004837FA" w:rsidTr="001310D5">
        <w:trPr>
          <w:trHeight w:val="144"/>
        </w:trPr>
        <w:tc>
          <w:tcPr>
            <w:tcW w:w="1520" w:type="dxa"/>
            <w:tcBorders>
              <w:top w:val="single" w:sz="8" w:space="0" w:color="448A99"/>
              <w:left w:val="single" w:sz="8" w:space="0" w:color="448A99"/>
              <w:bottom w:val="single" w:sz="8" w:space="0" w:color="448A99"/>
              <w:right w:val="single" w:sz="8" w:space="0" w:color="448A99"/>
            </w:tcBorders>
            <w:shd w:val="clear" w:color="000000" w:fill="FFFFFF"/>
            <w:noWrap/>
            <w:vAlign w:val="center"/>
            <w:hideMark/>
          </w:tcPr>
          <w:p w:rsidR="00037FD6" w:rsidRPr="004837FA" w:rsidRDefault="00037FD6" w:rsidP="00037FD6">
            <w:pPr>
              <w:jc w:val="left"/>
              <w:rPr>
                <w:bCs/>
                <w:color w:val="000000"/>
                <w:sz w:val="19"/>
                <w:szCs w:val="19"/>
              </w:rPr>
            </w:pPr>
            <w:r w:rsidRPr="004837FA">
              <w:rPr>
                <w:bCs/>
                <w:color w:val="000000"/>
                <w:sz w:val="19"/>
                <w:szCs w:val="19"/>
              </w:rPr>
              <w:t>FE: Penn Power</w:t>
            </w:r>
          </w:p>
        </w:tc>
        <w:tc>
          <w:tcPr>
            <w:tcW w:w="124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22,580</w:t>
            </w:r>
          </w:p>
        </w:tc>
        <w:tc>
          <w:tcPr>
            <w:tcW w:w="118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109,368</w:t>
            </w:r>
          </w:p>
        </w:tc>
        <w:tc>
          <w:tcPr>
            <w:tcW w:w="142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131,948</w:t>
            </w:r>
          </w:p>
        </w:tc>
        <w:tc>
          <w:tcPr>
            <w:tcW w:w="122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95,502</w:t>
            </w:r>
          </w:p>
        </w:tc>
        <w:tc>
          <w:tcPr>
            <w:tcW w:w="108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138%</w:t>
            </w:r>
          </w:p>
        </w:tc>
        <w:tc>
          <w:tcPr>
            <w:tcW w:w="170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13,866</w:t>
            </w:r>
          </w:p>
        </w:tc>
      </w:tr>
      <w:tr w:rsidR="00A874AC" w:rsidRPr="004837FA" w:rsidTr="001310D5">
        <w:trPr>
          <w:trHeight w:val="144"/>
        </w:trPr>
        <w:tc>
          <w:tcPr>
            <w:tcW w:w="1520" w:type="dxa"/>
            <w:tcBorders>
              <w:top w:val="single" w:sz="8" w:space="0" w:color="448A99"/>
              <w:left w:val="single" w:sz="8" w:space="0" w:color="448A99"/>
              <w:bottom w:val="single" w:sz="8" w:space="0" w:color="448A99"/>
              <w:right w:val="single" w:sz="8" w:space="0" w:color="448A99"/>
            </w:tcBorders>
            <w:shd w:val="clear" w:color="000000" w:fill="D2EAF1"/>
            <w:noWrap/>
            <w:vAlign w:val="center"/>
            <w:hideMark/>
          </w:tcPr>
          <w:p w:rsidR="00037FD6" w:rsidRPr="004837FA" w:rsidRDefault="00037FD6" w:rsidP="00037FD6">
            <w:pPr>
              <w:jc w:val="left"/>
              <w:rPr>
                <w:bCs/>
                <w:color w:val="000000"/>
                <w:sz w:val="19"/>
                <w:szCs w:val="19"/>
              </w:rPr>
            </w:pPr>
            <w:r w:rsidRPr="004837FA">
              <w:rPr>
                <w:bCs/>
                <w:color w:val="000000"/>
                <w:sz w:val="19"/>
                <w:szCs w:val="19"/>
              </w:rPr>
              <w:t>FE: West Penn</w:t>
            </w:r>
          </w:p>
        </w:tc>
        <w:tc>
          <w:tcPr>
            <w:tcW w:w="124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59,929</w:t>
            </w:r>
          </w:p>
        </w:tc>
        <w:tc>
          <w:tcPr>
            <w:tcW w:w="118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358,073</w:t>
            </w:r>
          </w:p>
        </w:tc>
        <w:tc>
          <w:tcPr>
            <w:tcW w:w="142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418,002</w:t>
            </w:r>
          </w:p>
        </w:tc>
        <w:tc>
          <w:tcPr>
            <w:tcW w:w="122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337,533</w:t>
            </w:r>
          </w:p>
        </w:tc>
        <w:tc>
          <w:tcPr>
            <w:tcW w:w="108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124%</w:t>
            </w:r>
          </w:p>
        </w:tc>
        <w:tc>
          <w:tcPr>
            <w:tcW w:w="170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20,540</w:t>
            </w:r>
          </w:p>
        </w:tc>
      </w:tr>
      <w:tr w:rsidR="00A874AC" w:rsidRPr="004837FA" w:rsidTr="001310D5">
        <w:trPr>
          <w:trHeight w:val="144"/>
        </w:trPr>
        <w:tc>
          <w:tcPr>
            <w:tcW w:w="1520" w:type="dxa"/>
            <w:tcBorders>
              <w:top w:val="single" w:sz="8" w:space="0" w:color="448A99"/>
              <w:left w:val="single" w:sz="8" w:space="0" w:color="448A99"/>
              <w:bottom w:val="single" w:sz="8" w:space="0" w:color="448A99"/>
              <w:right w:val="single" w:sz="8" w:space="0" w:color="448A99"/>
            </w:tcBorders>
            <w:shd w:val="clear" w:color="000000" w:fill="FFFFFF"/>
            <w:noWrap/>
            <w:vAlign w:val="center"/>
            <w:hideMark/>
          </w:tcPr>
          <w:p w:rsidR="00037FD6" w:rsidRPr="004837FA" w:rsidRDefault="00037FD6" w:rsidP="00037FD6">
            <w:pPr>
              <w:jc w:val="left"/>
              <w:rPr>
                <w:bCs/>
                <w:color w:val="000000"/>
                <w:sz w:val="19"/>
                <w:szCs w:val="19"/>
              </w:rPr>
            </w:pPr>
            <w:r w:rsidRPr="004837FA">
              <w:rPr>
                <w:bCs/>
                <w:color w:val="000000"/>
                <w:sz w:val="19"/>
                <w:szCs w:val="19"/>
              </w:rPr>
              <w:t>PECO</w:t>
            </w:r>
          </w:p>
        </w:tc>
        <w:tc>
          <w:tcPr>
            <w:tcW w:w="124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242,793</w:t>
            </w:r>
          </w:p>
        </w:tc>
        <w:tc>
          <w:tcPr>
            <w:tcW w:w="118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1,090,505</w:t>
            </w:r>
          </w:p>
        </w:tc>
        <w:tc>
          <w:tcPr>
            <w:tcW w:w="142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1,333,298</w:t>
            </w:r>
          </w:p>
        </w:tc>
        <w:tc>
          <w:tcPr>
            <w:tcW w:w="122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1,125,851</w:t>
            </w:r>
          </w:p>
        </w:tc>
        <w:tc>
          <w:tcPr>
            <w:tcW w:w="108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118%</w:t>
            </w:r>
          </w:p>
        </w:tc>
        <w:tc>
          <w:tcPr>
            <w:tcW w:w="1700" w:type="dxa"/>
            <w:tcBorders>
              <w:top w:val="single" w:sz="8" w:space="0" w:color="448A99"/>
              <w:left w:val="nil"/>
              <w:bottom w:val="single" w:sz="8" w:space="0" w:color="448A99"/>
              <w:right w:val="single" w:sz="8" w:space="0" w:color="448A99"/>
            </w:tcBorders>
            <w:shd w:val="clear" w:color="000000" w:fill="FFFFFF"/>
            <w:vAlign w:val="center"/>
            <w:hideMark/>
          </w:tcPr>
          <w:p w:rsidR="00037FD6" w:rsidRPr="004837FA" w:rsidRDefault="00037FD6" w:rsidP="00037FD6">
            <w:pPr>
              <w:jc w:val="center"/>
              <w:rPr>
                <w:color w:val="000000"/>
                <w:sz w:val="19"/>
                <w:szCs w:val="19"/>
              </w:rPr>
            </w:pPr>
            <w:r w:rsidRPr="004837FA">
              <w:rPr>
                <w:color w:val="000000"/>
                <w:sz w:val="19"/>
                <w:szCs w:val="19"/>
              </w:rPr>
              <w:t>0</w:t>
            </w:r>
          </w:p>
        </w:tc>
      </w:tr>
      <w:tr w:rsidR="00A874AC" w:rsidRPr="004837FA" w:rsidTr="001310D5">
        <w:trPr>
          <w:trHeight w:val="144"/>
        </w:trPr>
        <w:tc>
          <w:tcPr>
            <w:tcW w:w="1520" w:type="dxa"/>
            <w:tcBorders>
              <w:top w:val="single" w:sz="8" w:space="0" w:color="448A99"/>
              <w:left w:val="single" w:sz="8" w:space="0" w:color="448A99"/>
              <w:bottom w:val="single" w:sz="8" w:space="0" w:color="448A99"/>
              <w:right w:val="single" w:sz="8" w:space="0" w:color="448A99"/>
            </w:tcBorders>
            <w:shd w:val="clear" w:color="000000" w:fill="D2EAF1"/>
            <w:noWrap/>
            <w:vAlign w:val="center"/>
            <w:hideMark/>
          </w:tcPr>
          <w:p w:rsidR="00037FD6" w:rsidRPr="004837FA" w:rsidRDefault="00037FD6" w:rsidP="00037FD6">
            <w:pPr>
              <w:jc w:val="left"/>
              <w:rPr>
                <w:bCs/>
                <w:color w:val="000000"/>
                <w:sz w:val="19"/>
                <w:szCs w:val="19"/>
              </w:rPr>
            </w:pPr>
            <w:r w:rsidRPr="004837FA">
              <w:rPr>
                <w:bCs/>
                <w:color w:val="000000"/>
                <w:sz w:val="19"/>
                <w:szCs w:val="19"/>
              </w:rPr>
              <w:t>PPL</w:t>
            </w:r>
          </w:p>
        </w:tc>
        <w:tc>
          <w:tcPr>
            <w:tcW w:w="124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495,636</w:t>
            </w:r>
          </w:p>
        </w:tc>
        <w:tc>
          <w:tcPr>
            <w:tcW w:w="118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EF7C2E" w:rsidP="00037FD6">
            <w:pPr>
              <w:jc w:val="center"/>
              <w:rPr>
                <w:color w:val="000000"/>
                <w:sz w:val="19"/>
                <w:szCs w:val="19"/>
              </w:rPr>
            </w:pPr>
            <w:r w:rsidRPr="004837FA">
              <w:rPr>
                <w:color w:val="000000"/>
                <w:sz w:val="19"/>
                <w:szCs w:val="19"/>
              </w:rPr>
              <w:t>698,736</w:t>
            </w:r>
          </w:p>
        </w:tc>
        <w:tc>
          <w:tcPr>
            <w:tcW w:w="142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1,19</w:t>
            </w:r>
            <w:r w:rsidR="006456CB" w:rsidRPr="004837FA">
              <w:rPr>
                <w:color w:val="000000"/>
                <w:sz w:val="19"/>
                <w:szCs w:val="19"/>
              </w:rPr>
              <w:t>4,372</w:t>
            </w:r>
          </w:p>
        </w:tc>
        <w:tc>
          <w:tcPr>
            <w:tcW w:w="122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821,072</w:t>
            </w:r>
          </w:p>
        </w:tc>
        <w:tc>
          <w:tcPr>
            <w:tcW w:w="108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146%</w:t>
            </w:r>
          </w:p>
        </w:tc>
        <w:tc>
          <w:tcPr>
            <w:tcW w:w="1700" w:type="dxa"/>
            <w:tcBorders>
              <w:top w:val="single" w:sz="8" w:space="0" w:color="448A99"/>
              <w:left w:val="nil"/>
              <w:bottom w:val="single" w:sz="8" w:space="0" w:color="448A99"/>
              <w:right w:val="single" w:sz="8" w:space="0" w:color="448A99"/>
            </w:tcBorders>
            <w:shd w:val="clear" w:color="000000" w:fill="D2EAF1"/>
            <w:vAlign w:val="center"/>
            <w:hideMark/>
          </w:tcPr>
          <w:p w:rsidR="00037FD6" w:rsidRPr="004837FA" w:rsidRDefault="00037FD6" w:rsidP="00037FD6">
            <w:pPr>
              <w:jc w:val="center"/>
              <w:rPr>
                <w:color w:val="000000"/>
                <w:sz w:val="19"/>
                <w:szCs w:val="19"/>
              </w:rPr>
            </w:pPr>
            <w:r w:rsidRPr="004837FA">
              <w:rPr>
                <w:color w:val="000000"/>
                <w:sz w:val="19"/>
                <w:szCs w:val="19"/>
              </w:rPr>
              <w:t>0</w:t>
            </w:r>
          </w:p>
        </w:tc>
      </w:tr>
      <w:tr w:rsidR="001310D5" w:rsidRPr="004837FA" w:rsidTr="001310D5">
        <w:trPr>
          <w:trHeight w:val="144"/>
        </w:trPr>
        <w:tc>
          <w:tcPr>
            <w:tcW w:w="1520" w:type="dxa"/>
            <w:tcBorders>
              <w:top w:val="single" w:sz="8" w:space="0" w:color="448A99"/>
              <w:left w:val="single" w:sz="8" w:space="0" w:color="448A99"/>
              <w:bottom w:val="single" w:sz="8" w:space="0" w:color="448A99"/>
              <w:right w:val="single" w:sz="8" w:space="0" w:color="448A99"/>
            </w:tcBorders>
            <w:shd w:val="clear" w:color="auto" w:fill="auto"/>
            <w:noWrap/>
            <w:vAlign w:val="bottom"/>
          </w:tcPr>
          <w:p w:rsidR="001310D5" w:rsidRPr="001310D5" w:rsidRDefault="001310D5" w:rsidP="001310D5">
            <w:pPr>
              <w:jc w:val="left"/>
              <w:rPr>
                <w:bCs/>
                <w:color w:val="000000"/>
                <w:sz w:val="19"/>
                <w:szCs w:val="19"/>
              </w:rPr>
            </w:pPr>
            <w:r w:rsidRPr="001310D5">
              <w:rPr>
                <w:rFonts w:cs="Calibri"/>
                <w:color w:val="000000"/>
                <w:sz w:val="19"/>
                <w:szCs w:val="19"/>
              </w:rPr>
              <w:t>Total</w:t>
            </w:r>
          </w:p>
        </w:tc>
        <w:tc>
          <w:tcPr>
            <w:tcW w:w="1240" w:type="dxa"/>
            <w:tcBorders>
              <w:top w:val="single" w:sz="8" w:space="0" w:color="448A99"/>
              <w:left w:val="single" w:sz="8" w:space="0" w:color="448A99"/>
              <w:bottom w:val="single" w:sz="8" w:space="0" w:color="448A99"/>
              <w:right w:val="single" w:sz="8" w:space="0" w:color="448A99"/>
            </w:tcBorders>
            <w:shd w:val="clear" w:color="auto" w:fill="auto"/>
            <w:vAlign w:val="bottom"/>
          </w:tcPr>
          <w:p w:rsidR="001310D5" w:rsidRPr="001310D5" w:rsidRDefault="001310D5" w:rsidP="001310D5">
            <w:pPr>
              <w:jc w:val="center"/>
              <w:rPr>
                <w:color w:val="000000"/>
                <w:sz w:val="19"/>
                <w:szCs w:val="19"/>
              </w:rPr>
            </w:pPr>
            <w:r w:rsidRPr="001310D5">
              <w:rPr>
                <w:rFonts w:cs="Calibri"/>
                <w:color w:val="000000"/>
                <w:sz w:val="19"/>
                <w:szCs w:val="19"/>
              </w:rPr>
              <w:t>1,028,647</w:t>
            </w:r>
          </w:p>
        </w:tc>
        <w:tc>
          <w:tcPr>
            <w:tcW w:w="1180" w:type="dxa"/>
            <w:tcBorders>
              <w:top w:val="single" w:sz="8" w:space="0" w:color="448A99"/>
              <w:left w:val="single" w:sz="8" w:space="0" w:color="448A99"/>
              <w:bottom w:val="single" w:sz="8" w:space="0" w:color="448A99"/>
              <w:right w:val="single" w:sz="8" w:space="0" w:color="448A99"/>
            </w:tcBorders>
            <w:shd w:val="clear" w:color="auto" w:fill="auto"/>
            <w:vAlign w:val="bottom"/>
          </w:tcPr>
          <w:p w:rsidR="001310D5" w:rsidRPr="001310D5" w:rsidRDefault="001310D5" w:rsidP="001310D5">
            <w:pPr>
              <w:jc w:val="center"/>
              <w:rPr>
                <w:color w:val="000000"/>
                <w:sz w:val="19"/>
                <w:szCs w:val="19"/>
              </w:rPr>
            </w:pPr>
            <w:r w:rsidRPr="001310D5">
              <w:rPr>
                <w:rFonts w:cs="Calibri"/>
                <w:color w:val="000000"/>
                <w:sz w:val="19"/>
                <w:szCs w:val="19"/>
              </w:rPr>
              <w:t>3,370,614</w:t>
            </w:r>
          </w:p>
        </w:tc>
        <w:tc>
          <w:tcPr>
            <w:tcW w:w="1420" w:type="dxa"/>
            <w:tcBorders>
              <w:top w:val="single" w:sz="8" w:space="0" w:color="448A99"/>
              <w:left w:val="single" w:sz="8" w:space="0" w:color="448A99"/>
              <w:bottom w:val="single" w:sz="8" w:space="0" w:color="448A99"/>
              <w:right w:val="single" w:sz="8" w:space="0" w:color="448A99"/>
            </w:tcBorders>
            <w:shd w:val="clear" w:color="auto" w:fill="auto"/>
            <w:vAlign w:val="bottom"/>
          </w:tcPr>
          <w:p w:rsidR="001310D5" w:rsidRPr="001310D5" w:rsidRDefault="001310D5" w:rsidP="001310D5">
            <w:pPr>
              <w:jc w:val="center"/>
              <w:rPr>
                <w:color w:val="000000"/>
                <w:sz w:val="19"/>
                <w:szCs w:val="19"/>
              </w:rPr>
            </w:pPr>
            <w:r w:rsidRPr="001310D5">
              <w:rPr>
                <w:rFonts w:cs="Calibri"/>
                <w:color w:val="000000"/>
                <w:sz w:val="19"/>
                <w:szCs w:val="19"/>
              </w:rPr>
              <w:t>4,399,261</w:t>
            </w:r>
          </w:p>
        </w:tc>
        <w:tc>
          <w:tcPr>
            <w:tcW w:w="1220" w:type="dxa"/>
            <w:tcBorders>
              <w:top w:val="single" w:sz="8" w:space="0" w:color="448A99"/>
              <w:left w:val="single" w:sz="8" w:space="0" w:color="448A99"/>
              <w:bottom w:val="single" w:sz="8" w:space="0" w:color="448A99"/>
              <w:right w:val="single" w:sz="8" w:space="0" w:color="448A99"/>
            </w:tcBorders>
            <w:shd w:val="clear" w:color="auto" w:fill="auto"/>
            <w:vAlign w:val="bottom"/>
          </w:tcPr>
          <w:p w:rsidR="001310D5" w:rsidRPr="001310D5" w:rsidRDefault="001310D5" w:rsidP="001310D5">
            <w:pPr>
              <w:jc w:val="center"/>
              <w:rPr>
                <w:color w:val="000000"/>
                <w:sz w:val="19"/>
                <w:szCs w:val="19"/>
              </w:rPr>
            </w:pPr>
            <w:r w:rsidRPr="001310D5">
              <w:rPr>
                <w:rFonts w:cs="Calibri"/>
                <w:color w:val="000000"/>
                <w:sz w:val="19"/>
                <w:szCs w:val="19"/>
              </w:rPr>
              <w:t>3,313,246</w:t>
            </w:r>
          </w:p>
        </w:tc>
        <w:tc>
          <w:tcPr>
            <w:tcW w:w="1080" w:type="dxa"/>
            <w:tcBorders>
              <w:top w:val="single" w:sz="8" w:space="0" w:color="448A99"/>
              <w:left w:val="single" w:sz="8" w:space="0" w:color="448A99"/>
              <w:bottom w:val="single" w:sz="8" w:space="0" w:color="448A99"/>
              <w:right w:val="single" w:sz="8" w:space="0" w:color="448A99"/>
            </w:tcBorders>
            <w:shd w:val="clear" w:color="auto" w:fill="auto"/>
            <w:vAlign w:val="bottom"/>
          </w:tcPr>
          <w:p w:rsidR="001310D5" w:rsidRPr="001310D5" w:rsidRDefault="001310D5" w:rsidP="001310D5">
            <w:pPr>
              <w:jc w:val="center"/>
              <w:rPr>
                <w:color w:val="000000"/>
                <w:sz w:val="19"/>
                <w:szCs w:val="19"/>
              </w:rPr>
            </w:pPr>
            <w:r w:rsidRPr="001310D5">
              <w:rPr>
                <w:rFonts w:cs="Calibri"/>
                <w:color w:val="000000"/>
                <w:sz w:val="19"/>
                <w:szCs w:val="19"/>
              </w:rPr>
              <w:t>10</w:t>
            </w:r>
          </w:p>
        </w:tc>
        <w:tc>
          <w:tcPr>
            <w:tcW w:w="1700" w:type="dxa"/>
            <w:tcBorders>
              <w:top w:val="single" w:sz="8" w:space="0" w:color="448A99"/>
              <w:left w:val="single" w:sz="8" w:space="0" w:color="448A99"/>
              <w:bottom w:val="single" w:sz="8" w:space="0" w:color="448A99"/>
              <w:right w:val="single" w:sz="8" w:space="0" w:color="448A99"/>
            </w:tcBorders>
            <w:shd w:val="clear" w:color="auto" w:fill="auto"/>
            <w:vAlign w:val="bottom"/>
          </w:tcPr>
          <w:p w:rsidR="001310D5" w:rsidRPr="001310D5" w:rsidRDefault="001310D5" w:rsidP="001310D5">
            <w:pPr>
              <w:jc w:val="center"/>
              <w:rPr>
                <w:color w:val="000000"/>
                <w:sz w:val="19"/>
                <w:szCs w:val="19"/>
              </w:rPr>
            </w:pPr>
            <w:r w:rsidRPr="001310D5">
              <w:rPr>
                <w:rFonts w:cs="Calibri"/>
                <w:color w:val="000000"/>
                <w:sz w:val="19"/>
                <w:szCs w:val="19"/>
              </w:rPr>
              <w:t>215,050</w:t>
            </w:r>
          </w:p>
        </w:tc>
      </w:tr>
    </w:tbl>
    <w:p w:rsidR="00037FD6" w:rsidRDefault="00037FD6" w:rsidP="00FB4D74"/>
    <w:p w:rsidR="004F7F18" w:rsidRDefault="00DC50FD" w:rsidP="00DC50FD">
      <w:r>
        <w:t>All EDCs</w:t>
      </w:r>
      <w:r w:rsidR="00063A64">
        <w:t xml:space="preserve"> </w:t>
      </w:r>
      <w:r>
        <w:t xml:space="preserve">achieved their respective GNI and low-income carve-out goals. </w:t>
      </w:r>
      <w:r>
        <w:fldChar w:fldCharType="begin"/>
      </w:r>
      <w:r>
        <w:instrText xml:space="preserve"> REF _Ref472265187 \h </w:instrText>
      </w:r>
      <w:r>
        <w:fldChar w:fldCharType="separate"/>
      </w:r>
      <w:r w:rsidR="00037CB4">
        <w:t xml:space="preserve">Table </w:t>
      </w:r>
      <w:r w:rsidR="00037CB4">
        <w:rPr>
          <w:noProof/>
        </w:rPr>
        <w:t>2</w:t>
      </w:r>
      <w:r w:rsidR="00037CB4">
        <w:noBreakHyphen/>
      </w:r>
      <w:r w:rsidR="00037CB4">
        <w:rPr>
          <w:noProof/>
        </w:rPr>
        <w:t>4</w:t>
      </w:r>
      <w:r>
        <w:fldChar w:fldCharType="end"/>
      </w:r>
      <w:r>
        <w:t xml:space="preserve"> shows EDC achievements compared </w:t>
      </w:r>
      <w:r w:rsidR="00FE0981">
        <w:t>with</w:t>
      </w:r>
      <w:r>
        <w:t xml:space="preserve"> low-income carve-out goals.</w:t>
      </w:r>
      <w:r w:rsidR="00485726">
        <w:t xml:space="preserve"> The</w:t>
      </w:r>
      <w:r w:rsidR="004F7F18">
        <w:t xml:space="preserve"> SWE’s</w:t>
      </w:r>
      <w:r w:rsidR="00485726">
        <w:t xml:space="preserve"> low-income carve-out carryover </w:t>
      </w:r>
      <w:r w:rsidR="00485726" w:rsidRPr="00C82313">
        <w:t>calculat</w:t>
      </w:r>
      <w:r w:rsidR="004F7F18">
        <w:t>ion is</w:t>
      </w:r>
      <w:r w:rsidR="00485726" w:rsidRPr="00C82313">
        <w:t xml:space="preserve"> </w:t>
      </w:r>
      <w:r w:rsidR="00C82313" w:rsidRPr="00C82313">
        <w:t xml:space="preserve">based upon the ratio of low-income specific program savings </w:t>
      </w:r>
      <w:r w:rsidR="004F7F18">
        <w:t>(including savings from both low-income specific and non-low-income specific programs) multiplied by the total amount of low-income savings in excess of the Phase II low-income savings targets that were paid for with Phase II funds.</w:t>
      </w:r>
      <w:r w:rsidR="00C82313">
        <w:t xml:space="preserve"> Therefore, </w:t>
      </w:r>
      <w:r w:rsidR="004F7F18">
        <w:t xml:space="preserve">it was possible for </w:t>
      </w:r>
      <w:r w:rsidR="00C82313">
        <w:t xml:space="preserve">each EDC </w:t>
      </w:r>
      <w:r w:rsidR="004F7F18">
        <w:t xml:space="preserve">to </w:t>
      </w:r>
      <w:r w:rsidR="00C82313">
        <w:t>accumulate Phase III carryover savings towards the low-income carve out</w:t>
      </w:r>
      <w:r w:rsidR="004F7F18">
        <w:t>,</w:t>
      </w:r>
      <w:r w:rsidR="00C82313">
        <w:t xml:space="preserve"> even though PECO and PPL do not carryover any savings towards the portfolio level targets.</w:t>
      </w:r>
      <w:r>
        <w:t xml:space="preserve"> </w:t>
      </w:r>
    </w:p>
    <w:p w:rsidR="004F7F18" w:rsidRDefault="004F7F18" w:rsidP="00DC50FD"/>
    <w:p w:rsidR="004F7F18" w:rsidRDefault="00F32E29" w:rsidP="00DC50FD">
      <w:r>
        <w:t xml:space="preserve">The savings presented in Table 2-4 were calculated by the SWE using the </w:t>
      </w:r>
      <w:r w:rsidR="004F7F18">
        <w:t xml:space="preserve">calculation method described above and do not match the carryover savings </w:t>
      </w:r>
      <w:r>
        <w:t xml:space="preserve">listed in </w:t>
      </w:r>
      <w:r w:rsidR="004F7F18">
        <w:t>the</w:t>
      </w:r>
      <w:r>
        <w:t xml:space="preserve"> PY7 Annual Report</w:t>
      </w:r>
      <w:r w:rsidR="004F7F18">
        <w:t>s for DLC, PECO, and PPL</w:t>
      </w:r>
      <w:r>
        <w:t>.</w:t>
      </w:r>
      <w:r w:rsidR="004F7F18">
        <w:t xml:space="preserve"> For DLC and PPL, the EDC’s used the prescribed calculation method</w:t>
      </w:r>
      <w:r w:rsidR="005B251C">
        <w:t>ology,</w:t>
      </w:r>
      <w:r w:rsidR="004F7F18">
        <w:t xml:space="preserve"> but relied on a slightly different value for the verified gross low-income savings, resulting in minor differences between the EDC-reported values an</w:t>
      </w:r>
      <w:r w:rsidR="005B251C">
        <w:t xml:space="preserve">d those calculated by the SWE. Additionally, </w:t>
      </w:r>
      <w:r w:rsidR="004F7F18">
        <w:t>PECO’s calculation method for low-income carryover only allowed for savings from low-income specific programs that exceeded the Phase II low-income target to be counted towards Phase III carryover. Using a consistent calculation methodology across all EDC’s, the SWE calculated significantly greater Phase III low-income carryover savings for PECO.</w:t>
      </w:r>
      <w:r>
        <w:t xml:space="preserve"> </w:t>
      </w:r>
    </w:p>
    <w:p w:rsidR="004F7F18" w:rsidRDefault="004F7F18" w:rsidP="00DC50FD"/>
    <w:p w:rsidR="00DC50FD" w:rsidRDefault="00DC50FD" w:rsidP="00DC50FD">
      <w:r>
        <w:fldChar w:fldCharType="begin"/>
      </w:r>
      <w:r>
        <w:instrText xml:space="preserve"> REF _Ref472265196 \h </w:instrText>
      </w:r>
      <w:r>
        <w:fldChar w:fldCharType="separate"/>
      </w:r>
      <w:r w:rsidR="00037CB4">
        <w:t xml:space="preserve">Table </w:t>
      </w:r>
      <w:r w:rsidR="00037CB4">
        <w:rPr>
          <w:noProof/>
        </w:rPr>
        <w:t>2</w:t>
      </w:r>
      <w:r w:rsidR="00037CB4">
        <w:noBreakHyphen/>
      </w:r>
      <w:r w:rsidR="00037CB4">
        <w:rPr>
          <w:noProof/>
        </w:rPr>
        <w:t>5</w:t>
      </w:r>
      <w:r>
        <w:fldChar w:fldCharType="end"/>
      </w:r>
      <w:r>
        <w:t xml:space="preserve"> shows</w:t>
      </w:r>
      <w:r w:rsidR="00FE0981">
        <w:t xml:space="preserve"> the EDC achievements compared with</w:t>
      </w:r>
      <w:r>
        <w:t xml:space="preserve"> GNI carve-out goals.</w:t>
      </w:r>
      <w:r w:rsidRPr="00DC50FD">
        <w:t xml:space="preserve"> </w:t>
      </w:r>
      <w:r>
        <w:t>The Phase II energy savings include carryover savings from Phase I.</w:t>
      </w:r>
      <w:r w:rsidR="00C82313">
        <w:t xml:space="preserve"> </w:t>
      </w:r>
      <w:r w:rsidR="00ED3395">
        <w:t xml:space="preserve">While each EDC met their Phase II GNI carve out goals, only four EDCs exceeded their Phase II target as a direct result of Phase II program spending and have GNI carryover savings into Phase III. </w:t>
      </w:r>
      <w:r w:rsidR="00C82313">
        <w:t xml:space="preserve">Similar to the low-income carve out, </w:t>
      </w:r>
      <w:r w:rsidR="00ED3395">
        <w:t>PECO and PPL</w:t>
      </w:r>
      <w:r w:rsidR="00C82313">
        <w:t xml:space="preserve"> accumulated Phase III carryover savings towards the GNI carve out</w:t>
      </w:r>
      <w:r w:rsidR="00ED3395">
        <w:t>, but do not carry over savings that contribute to their portfolio level targets.</w:t>
      </w:r>
      <w:r w:rsidR="00C82313">
        <w:t xml:space="preserve"> </w:t>
      </w:r>
    </w:p>
    <w:p w:rsidR="00C82F49" w:rsidRDefault="00C82F49" w:rsidP="00FB4D74"/>
    <w:p w:rsidR="00C82F49" w:rsidRDefault="00C82F49" w:rsidP="004837FA">
      <w:pPr>
        <w:pStyle w:val="Caption"/>
      </w:pPr>
      <w:bookmarkStart w:id="72" w:name="_Ref472265187"/>
      <w:bookmarkStart w:id="73" w:name="_Toc472472159"/>
      <w:bookmarkStart w:id="74" w:name="_Toc488741735"/>
      <w:r>
        <w:lastRenderedPageBreak/>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4</w:t>
      </w:r>
      <w:r w:rsidR="007973A4">
        <w:rPr>
          <w:noProof/>
        </w:rPr>
        <w:fldChar w:fldCharType="end"/>
      </w:r>
      <w:bookmarkEnd w:id="72"/>
      <w:r>
        <w:t>: Low-Income Carve-out Goal Performance, Summary by EDC</w:t>
      </w:r>
      <w:bookmarkEnd w:id="73"/>
      <w:bookmarkEnd w:id="74"/>
    </w:p>
    <w:tbl>
      <w:tblPr>
        <w:tblW w:w="4944"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36"/>
        <w:gridCol w:w="1923"/>
        <w:gridCol w:w="1923"/>
        <w:gridCol w:w="1925"/>
        <w:gridCol w:w="1928"/>
      </w:tblGrid>
      <w:tr w:rsidR="002A4A24" w:rsidRPr="004837FA" w:rsidTr="00592FD5">
        <w:trPr>
          <w:cantSplit/>
          <w:trHeight w:val="141"/>
          <w:tblHeader/>
        </w:trPr>
        <w:tc>
          <w:tcPr>
            <w:tcW w:w="1564" w:type="dxa"/>
            <w:tcBorders>
              <w:top w:val="single" w:sz="8" w:space="0" w:color="448A99"/>
              <w:left w:val="single" w:sz="8" w:space="0" w:color="448A99"/>
              <w:bottom w:val="single" w:sz="8" w:space="0" w:color="448A99"/>
              <w:right w:val="nil"/>
            </w:tcBorders>
            <w:shd w:val="clear" w:color="000000" w:fill="448A99"/>
            <w:vAlign w:val="bottom"/>
          </w:tcPr>
          <w:p w:rsidR="002A4A24" w:rsidRPr="004837FA" w:rsidRDefault="002A4A24" w:rsidP="00DA1ADA">
            <w:pPr>
              <w:jc w:val="left"/>
              <w:rPr>
                <w:b/>
                <w:color w:val="FFFFFF"/>
                <w:sz w:val="19"/>
                <w:szCs w:val="19"/>
              </w:rPr>
            </w:pPr>
            <w:r w:rsidRPr="004837FA">
              <w:rPr>
                <w:b/>
                <w:bCs/>
                <w:color w:val="FFFFFF"/>
                <w:sz w:val="19"/>
                <w:szCs w:val="19"/>
              </w:rPr>
              <w:t>EDC</w:t>
            </w:r>
          </w:p>
        </w:tc>
        <w:tc>
          <w:tcPr>
            <w:tcW w:w="1976" w:type="dxa"/>
            <w:tcBorders>
              <w:top w:val="single" w:sz="8" w:space="0" w:color="448A99"/>
              <w:left w:val="single" w:sz="8" w:space="0" w:color="448A99"/>
              <w:bottom w:val="single" w:sz="8" w:space="0" w:color="448A99"/>
              <w:right w:val="single" w:sz="8" w:space="0" w:color="448A99"/>
            </w:tcBorders>
            <w:shd w:val="clear" w:color="000000" w:fill="448A99"/>
            <w:vAlign w:val="bottom"/>
          </w:tcPr>
          <w:p w:rsidR="002A4A24" w:rsidRPr="004837FA" w:rsidRDefault="002A4A24" w:rsidP="00DA1ADA">
            <w:pPr>
              <w:jc w:val="center"/>
              <w:rPr>
                <w:b/>
                <w:color w:val="FFFFFF"/>
                <w:sz w:val="19"/>
                <w:szCs w:val="19"/>
              </w:rPr>
            </w:pPr>
            <w:r w:rsidRPr="004837FA">
              <w:rPr>
                <w:b/>
                <w:bCs/>
                <w:color w:val="FFFFFF"/>
                <w:sz w:val="19"/>
                <w:szCs w:val="19"/>
              </w:rPr>
              <w:t>Phase II Low-Income MWh/yr Carve-Out Goal</w:t>
            </w:r>
          </w:p>
        </w:tc>
        <w:tc>
          <w:tcPr>
            <w:tcW w:w="1976" w:type="dxa"/>
            <w:tcBorders>
              <w:top w:val="single" w:sz="8" w:space="0" w:color="448A99"/>
              <w:left w:val="nil"/>
              <w:bottom w:val="single" w:sz="8" w:space="0" w:color="448A99"/>
              <w:right w:val="single" w:sz="8" w:space="0" w:color="448A99"/>
            </w:tcBorders>
            <w:shd w:val="clear" w:color="000000" w:fill="448A99"/>
            <w:vAlign w:val="bottom"/>
          </w:tcPr>
          <w:p w:rsidR="002A4A24" w:rsidRPr="004837FA" w:rsidRDefault="002A4A24" w:rsidP="00DA1ADA">
            <w:pPr>
              <w:jc w:val="center"/>
              <w:rPr>
                <w:b/>
                <w:bCs/>
                <w:color w:val="FFFFFF"/>
                <w:sz w:val="19"/>
                <w:szCs w:val="19"/>
              </w:rPr>
            </w:pPr>
            <w:r w:rsidRPr="004837FA">
              <w:rPr>
                <w:b/>
                <w:bCs/>
                <w:color w:val="FFFFFF"/>
                <w:sz w:val="19"/>
                <w:szCs w:val="19"/>
              </w:rPr>
              <w:t>PY5-PY7 Verified MWh/yr Savings</w:t>
            </w:r>
          </w:p>
        </w:tc>
        <w:tc>
          <w:tcPr>
            <w:tcW w:w="1976" w:type="dxa"/>
            <w:tcBorders>
              <w:top w:val="single" w:sz="8" w:space="0" w:color="448A99"/>
              <w:left w:val="nil"/>
              <w:bottom w:val="single" w:sz="8" w:space="0" w:color="448A99"/>
              <w:right w:val="single" w:sz="8" w:space="0" w:color="448A99"/>
            </w:tcBorders>
            <w:shd w:val="clear" w:color="000000" w:fill="448A99"/>
            <w:vAlign w:val="bottom"/>
          </w:tcPr>
          <w:p w:rsidR="002A4A24" w:rsidRPr="004837FA" w:rsidRDefault="002A4A24" w:rsidP="00DA1ADA">
            <w:pPr>
              <w:jc w:val="center"/>
              <w:rPr>
                <w:b/>
                <w:color w:val="FFFFFF"/>
                <w:sz w:val="19"/>
                <w:szCs w:val="19"/>
              </w:rPr>
            </w:pPr>
            <w:r w:rsidRPr="004837FA">
              <w:rPr>
                <w:b/>
                <w:bCs/>
                <w:color w:val="FFFFFF"/>
                <w:sz w:val="19"/>
                <w:szCs w:val="19"/>
              </w:rPr>
              <w:t>Savings Achieved % of Targets</w:t>
            </w:r>
          </w:p>
        </w:tc>
        <w:tc>
          <w:tcPr>
            <w:tcW w:w="1977" w:type="dxa"/>
            <w:tcBorders>
              <w:top w:val="single" w:sz="8" w:space="0" w:color="448A99"/>
              <w:left w:val="nil"/>
              <w:bottom w:val="single" w:sz="8" w:space="0" w:color="448A99"/>
              <w:right w:val="single" w:sz="8" w:space="0" w:color="448A99"/>
            </w:tcBorders>
            <w:shd w:val="clear" w:color="000000" w:fill="448A99"/>
            <w:vAlign w:val="bottom"/>
          </w:tcPr>
          <w:p w:rsidR="002A4A24" w:rsidRPr="004837FA" w:rsidRDefault="00340F86" w:rsidP="00DA1ADA">
            <w:pPr>
              <w:jc w:val="center"/>
              <w:rPr>
                <w:b/>
                <w:bCs/>
                <w:color w:val="FFFFFF"/>
                <w:sz w:val="19"/>
                <w:szCs w:val="19"/>
              </w:rPr>
            </w:pPr>
            <w:r>
              <w:rPr>
                <w:b/>
                <w:bCs/>
                <w:color w:val="FFFFFF"/>
                <w:sz w:val="19"/>
                <w:szCs w:val="19"/>
              </w:rPr>
              <w:t xml:space="preserve">Low Income </w:t>
            </w:r>
            <w:r w:rsidR="002A4A24" w:rsidRPr="004837FA">
              <w:rPr>
                <w:b/>
                <w:bCs/>
                <w:color w:val="FFFFFF"/>
                <w:sz w:val="19"/>
                <w:szCs w:val="19"/>
              </w:rPr>
              <w:t>Phase III Carryover MWh/yr Savings</w:t>
            </w:r>
          </w:p>
        </w:tc>
      </w:tr>
      <w:tr w:rsidR="002A4A24" w:rsidRPr="004837FA" w:rsidTr="00592FD5">
        <w:trPr>
          <w:trHeight w:val="141"/>
        </w:trPr>
        <w:tc>
          <w:tcPr>
            <w:tcW w:w="1564" w:type="dxa"/>
            <w:tcBorders>
              <w:top w:val="nil"/>
              <w:left w:val="single" w:sz="8" w:space="0" w:color="448A99"/>
              <w:bottom w:val="single" w:sz="8" w:space="0" w:color="448A99"/>
              <w:right w:val="nil"/>
            </w:tcBorders>
            <w:shd w:val="clear" w:color="000000" w:fill="D2EAF1"/>
            <w:vAlign w:val="center"/>
          </w:tcPr>
          <w:p w:rsidR="002A4A24" w:rsidRPr="004837FA" w:rsidRDefault="002A4A24" w:rsidP="003077EB">
            <w:pPr>
              <w:jc w:val="left"/>
              <w:rPr>
                <w:sz w:val="19"/>
                <w:szCs w:val="19"/>
              </w:rPr>
            </w:pPr>
            <w:r w:rsidRPr="004837FA">
              <w:rPr>
                <w:bCs/>
                <w:color w:val="000000"/>
                <w:sz w:val="19"/>
                <w:szCs w:val="19"/>
              </w:rPr>
              <w:t>Duquesne</w:t>
            </w:r>
          </w:p>
        </w:tc>
        <w:tc>
          <w:tcPr>
            <w:tcW w:w="1976" w:type="dxa"/>
            <w:tcBorders>
              <w:top w:val="nil"/>
              <w:left w:val="single" w:sz="8" w:space="0" w:color="448A99"/>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12,452</w:t>
            </w:r>
          </w:p>
        </w:tc>
        <w:tc>
          <w:tcPr>
            <w:tcW w:w="1976" w:type="dxa"/>
            <w:tcBorders>
              <w:top w:val="single" w:sz="8" w:space="0" w:color="448A99"/>
              <w:left w:val="nil"/>
              <w:bottom w:val="single" w:sz="8" w:space="0" w:color="448A99"/>
              <w:right w:val="single" w:sz="8" w:space="0" w:color="448A99"/>
            </w:tcBorders>
            <w:shd w:val="clear" w:color="000000" w:fill="D2EAF1"/>
            <w:vAlign w:val="center"/>
          </w:tcPr>
          <w:p w:rsidR="002A4A24" w:rsidRPr="004837FA" w:rsidRDefault="009960D4" w:rsidP="003077EB">
            <w:pPr>
              <w:autoSpaceDE w:val="0"/>
              <w:autoSpaceDN w:val="0"/>
              <w:adjustRightInd w:val="0"/>
              <w:contextualSpacing/>
              <w:jc w:val="center"/>
              <w:rPr>
                <w:color w:val="000000"/>
                <w:sz w:val="19"/>
                <w:szCs w:val="19"/>
              </w:rPr>
            </w:pPr>
            <w:r w:rsidRPr="004837FA">
              <w:rPr>
                <w:color w:val="000000"/>
                <w:sz w:val="19"/>
                <w:szCs w:val="19"/>
              </w:rPr>
              <w:t>23,114</w:t>
            </w:r>
            <w:r w:rsidR="0007024D" w:rsidRPr="004837FA">
              <w:rPr>
                <w:rStyle w:val="FootnoteReference"/>
                <w:color w:val="000000"/>
                <w:sz w:val="19"/>
                <w:szCs w:val="19"/>
              </w:rPr>
              <w:footnoteReference w:id="15"/>
            </w:r>
          </w:p>
        </w:tc>
        <w:tc>
          <w:tcPr>
            <w:tcW w:w="1976" w:type="dxa"/>
            <w:tcBorders>
              <w:top w:val="nil"/>
              <w:left w:val="nil"/>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186%</w:t>
            </w:r>
          </w:p>
        </w:tc>
        <w:tc>
          <w:tcPr>
            <w:tcW w:w="1977" w:type="dxa"/>
            <w:tcBorders>
              <w:top w:val="nil"/>
              <w:left w:val="single" w:sz="8" w:space="0" w:color="448A99"/>
              <w:bottom w:val="single" w:sz="8" w:space="0" w:color="448A99"/>
              <w:right w:val="single" w:sz="8" w:space="0" w:color="448A99"/>
            </w:tcBorders>
            <w:shd w:val="clear" w:color="000000" w:fill="D2EAF1"/>
            <w:vAlign w:val="center"/>
          </w:tcPr>
          <w:p w:rsidR="002A4A24" w:rsidRPr="004837FA" w:rsidRDefault="003D4B5A" w:rsidP="003077EB">
            <w:pPr>
              <w:autoSpaceDE w:val="0"/>
              <w:autoSpaceDN w:val="0"/>
              <w:adjustRightInd w:val="0"/>
              <w:contextualSpacing/>
              <w:jc w:val="center"/>
              <w:rPr>
                <w:color w:val="000000"/>
                <w:sz w:val="19"/>
                <w:szCs w:val="19"/>
              </w:rPr>
            </w:pPr>
            <w:r w:rsidRPr="004837FA">
              <w:rPr>
                <w:color w:val="000000"/>
                <w:sz w:val="19"/>
                <w:szCs w:val="19"/>
              </w:rPr>
              <w:t>3,266</w:t>
            </w:r>
          </w:p>
        </w:tc>
      </w:tr>
      <w:tr w:rsidR="002A4A24" w:rsidRPr="004837FA" w:rsidTr="00592FD5">
        <w:trPr>
          <w:trHeight w:val="141"/>
        </w:trPr>
        <w:tc>
          <w:tcPr>
            <w:tcW w:w="1564" w:type="dxa"/>
            <w:tcBorders>
              <w:top w:val="nil"/>
              <w:left w:val="single" w:sz="8" w:space="0" w:color="448A99"/>
              <w:bottom w:val="single" w:sz="8" w:space="0" w:color="448A99"/>
              <w:right w:val="nil"/>
            </w:tcBorders>
            <w:shd w:val="clear" w:color="000000" w:fill="FFFFFF"/>
            <w:vAlign w:val="center"/>
          </w:tcPr>
          <w:p w:rsidR="002A4A24" w:rsidRPr="004837FA" w:rsidRDefault="002A4A24" w:rsidP="003077EB">
            <w:pPr>
              <w:jc w:val="left"/>
              <w:rPr>
                <w:sz w:val="19"/>
                <w:szCs w:val="19"/>
              </w:rPr>
            </w:pPr>
            <w:r w:rsidRPr="004837FA">
              <w:rPr>
                <w:bCs/>
                <w:color w:val="000000"/>
                <w:sz w:val="19"/>
                <w:szCs w:val="19"/>
              </w:rPr>
              <w:t>FE: Met-Ed</w:t>
            </w:r>
          </w:p>
        </w:tc>
        <w:tc>
          <w:tcPr>
            <w:tcW w:w="1976" w:type="dxa"/>
            <w:tcBorders>
              <w:top w:val="nil"/>
              <w:left w:val="single" w:sz="8" w:space="0" w:color="448A99"/>
              <w:bottom w:val="single" w:sz="8" w:space="0" w:color="448A99"/>
              <w:right w:val="single" w:sz="8" w:space="0" w:color="448A99"/>
            </w:tcBorders>
            <w:shd w:val="clear" w:color="auto" w:fill="auto"/>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15,199</w:t>
            </w:r>
          </w:p>
        </w:tc>
        <w:tc>
          <w:tcPr>
            <w:tcW w:w="1976" w:type="dxa"/>
            <w:tcBorders>
              <w:top w:val="nil"/>
              <w:left w:val="nil"/>
              <w:bottom w:val="single" w:sz="8" w:space="0" w:color="448A99"/>
              <w:right w:val="single" w:sz="8" w:space="0" w:color="448A99"/>
            </w:tcBorders>
            <w:shd w:val="clear" w:color="000000" w:fill="FFFFFF"/>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45,839</w:t>
            </w:r>
          </w:p>
        </w:tc>
        <w:tc>
          <w:tcPr>
            <w:tcW w:w="1976" w:type="dxa"/>
            <w:tcBorders>
              <w:top w:val="nil"/>
              <w:left w:val="nil"/>
              <w:bottom w:val="single" w:sz="8" w:space="0" w:color="448A99"/>
              <w:right w:val="single" w:sz="8" w:space="0" w:color="448A99"/>
            </w:tcBorders>
            <w:shd w:val="clear" w:color="000000" w:fill="FFFFFF"/>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302%</w:t>
            </w:r>
          </w:p>
        </w:tc>
        <w:tc>
          <w:tcPr>
            <w:tcW w:w="1977" w:type="dxa"/>
            <w:tcBorders>
              <w:top w:val="nil"/>
              <w:left w:val="single" w:sz="8" w:space="0" w:color="448A99"/>
              <w:bottom w:val="single" w:sz="8" w:space="0" w:color="448A99"/>
              <w:right w:val="single" w:sz="8" w:space="0" w:color="448A99"/>
            </w:tcBorders>
            <w:shd w:val="clear" w:color="000000" w:fill="FFFFFF"/>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5,025</w:t>
            </w:r>
          </w:p>
        </w:tc>
      </w:tr>
      <w:tr w:rsidR="002A4A24" w:rsidRPr="004837FA" w:rsidTr="00592FD5">
        <w:trPr>
          <w:trHeight w:val="141"/>
        </w:trPr>
        <w:tc>
          <w:tcPr>
            <w:tcW w:w="1564" w:type="dxa"/>
            <w:tcBorders>
              <w:top w:val="nil"/>
              <w:left w:val="single" w:sz="8" w:space="0" w:color="448A99"/>
              <w:bottom w:val="single" w:sz="8" w:space="0" w:color="448A99"/>
              <w:right w:val="nil"/>
            </w:tcBorders>
            <w:shd w:val="clear" w:color="000000" w:fill="D2EAF1"/>
            <w:vAlign w:val="center"/>
          </w:tcPr>
          <w:p w:rsidR="002A4A24" w:rsidRPr="004837FA" w:rsidRDefault="002A4A24" w:rsidP="003077EB">
            <w:pPr>
              <w:jc w:val="left"/>
              <w:rPr>
                <w:sz w:val="19"/>
                <w:szCs w:val="19"/>
              </w:rPr>
            </w:pPr>
            <w:r w:rsidRPr="004837FA">
              <w:rPr>
                <w:bCs/>
                <w:color w:val="000000"/>
                <w:sz w:val="19"/>
                <w:szCs w:val="19"/>
              </w:rPr>
              <w:t>FE: Penelec</w:t>
            </w:r>
          </w:p>
        </w:tc>
        <w:tc>
          <w:tcPr>
            <w:tcW w:w="1976" w:type="dxa"/>
            <w:tcBorders>
              <w:top w:val="nil"/>
              <w:left w:val="single" w:sz="8" w:space="0" w:color="448A99"/>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14,347</w:t>
            </w:r>
          </w:p>
        </w:tc>
        <w:tc>
          <w:tcPr>
            <w:tcW w:w="1976" w:type="dxa"/>
            <w:tcBorders>
              <w:top w:val="nil"/>
              <w:left w:val="nil"/>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55,255</w:t>
            </w:r>
          </w:p>
        </w:tc>
        <w:tc>
          <w:tcPr>
            <w:tcW w:w="1976" w:type="dxa"/>
            <w:tcBorders>
              <w:top w:val="nil"/>
              <w:left w:val="nil"/>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385%</w:t>
            </w:r>
          </w:p>
        </w:tc>
        <w:tc>
          <w:tcPr>
            <w:tcW w:w="1977" w:type="dxa"/>
            <w:tcBorders>
              <w:top w:val="nil"/>
              <w:left w:val="single" w:sz="8" w:space="0" w:color="448A99"/>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7,872</w:t>
            </w:r>
          </w:p>
        </w:tc>
      </w:tr>
      <w:tr w:rsidR="002A4A24" w:rsidRPr="004837FA" w:rsidTr="00592FD5">
        <w:trPr>
          <w:trHeight w:val="141"/>
        </w:trPr>
        <w:tc>
          <w:tcPr>
            <w:tcW w:w="1564" w:type="dxa"/>
            <w:tcBorders>
              <w:top w:val="nil"/>
              <w:left w:val="single" w:sz="8" w:space="0" w:color="448A99"/>
              <w:bottom w:val="single" w:sz="8" w:space="0" w:color="448A99"/>
              <w:right w:val="nil"/>
            </w:tcBorders>
            <w:shd w:val="clear" w:color="000000" w:fill="FFFFFF"/>
            <w:vAlign w:val="center"/>
          </w:tcPr>
          <w:p w:rsidR="002A4A24" w:rsidRPr="004837FA" w:rsidRDefault="002A4A24" w:rsidP="003077EB">
            <w:pPr>
              <w:jc w:val="left"/>
              <w:rPr>
                <w:sz w:val="19"/>
                <w:szCs w:val="19"/>
              </w:rPr>
            </w:pPr>
            <w:r w:rsidRPr="004837FA">
              <w:rPr>
                <w:bCs/>
                <w:color w:val="000000"/>
                <w:sz w:val="19"/>
                <w:szCs w:val="19"/>
              </w:rPr>
              <w:t>FE: Penn Power</w:t>
            </w:r>
          </w:p>
        </w:tc>
        <w:tc>
          <w:tcPr>
            <w:tcW w:w="1976" w:type="dxa"/>
            <w:tcBorders>
              <w:top w:val="nil"/>
              <w:left w:val="single" w:sz="8" w:space="0" w:color="448A99"/>
              <w:bottom w:val="single" w:sz="8" w:space="0" w:color="448A99"/>
              <w:right w:val="single" w:sz="8" w:space="0" w:color="448A99"/>
            </w:tcBorders>
            <w:shd w:val="clear" w:color="auto" w:fill="auto"/>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4,298</w:t>
            </w:r>
          </w:p>
        </w:tc>
        <w:tc>
          <w:tcPr>
            <w:tcW w:w="1976" w:type="dxa"/>
            <w:tcBorders>
              <w:top w:val="nil"/>
              <w:left w:val="nil"/>
              <w:bottom w:val="single" w:sz="8" w:space="0" w:color="448A99"/>
              <w:right w:val="single" w:sz="8" w:space="0" w:color="448A99"/>
            </w:tcBorders>
            <w:shd w:val="clear" w:color="000000" w:fill="FFFFFF"/>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12,713</w:t>
            </w:r>
          </w:p>
        </w:tc>
        <w:tc>
          <w:tcPr>
            <w:tcW w:w="1976" w:type="dxa"/>
            <w:tcBorders>
              <w:top w:val="nil"/>
              <w:left w:val="nil"/>
              <w:bottom w:val="single" w:sz="8" w:space="0" w:color="448A99"/>
              <w:right w:val="single" w:sz="8" w:space="0" w:color="448A99"/>
            </w:tcBorders>
            <w:shd w:val="clear" w:color="000000" w:fill="FFFFFF"/>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296%</w:t>
            </w:r>
          </w:p>
        </w:tc>
        <w:tc>
          <w:tcPr>
            <w:tcW w:w="1977" w:type="dxa"/>
            <w:tcBorders>
              <w:top w:val="nil"/>
              <w:left w:val="single" w:sz="8" w:space="0" w:color="448A99"/>
              <w:bottom w:val="single" w:sz="8" w:space="0" w:color="448A99"/>
              <w:right w:val="single" w:sz="8" w:space="0" w:color="448A99"/>
            </w:tcBorders>
            <w:shd w:val="clear" w:color="000000" w:fill="FFFFFF"/>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1,805</w:t>
            </w:r>
          </w:p>
        </w:tc>
      </w:tr>
      <w:tr w:rsidR="002A4A24" w:rsidRPr="004837FA" w:rsidTr="00592FD5">
        <w:trPr>
          <w:trHeight w:val="141"/>
        </w:trPr>
        <w:tc>
          <w:tcPr>
            <w:tcW w:w="1564" w:type="dxa"/>
            <w:tcBorders>
              <w:top w:val="nil"/>
              <w:left w:val="single" w:sz="8" w:space="0" w:color="448A99"/>
              <w:bottom w:val="single" w:sz="8" w:space="0" w:color="448A99"/>
              <w:right w:val="nil"/>
            </w:tcBorders>
            <w:shd w:val="clear" w:color="000000" w:fill="D2EAF1"/>
            <w:vAlign w:val="center"/>
          </w:tcPr>
          <w:p w:rsidR="002A4A24" w:rsidRPr="004837FA" w:rsidRDefault="002A4A24" w:rsidP="003077EB">
            <w:pPr>
              <w:jc w:val="left"/>
              <w:rPr>
                <w:sz w:val="19"/>
                <w:szCs w:val="19"/>
              </w:rPr>
            </w:pPr>
            <w:r w:rsidRPr="004837FA">
              <w:rPr>
                <w:bCs/>
                <w:color w:val="000000"/>
                <w:sz w:val="19"/>
                <w:szCs w:val="19"/>
              </w:rPr>
              <w:t>FE: West Penn</w:t>
            </w:r>
          </w:p>
        </w:tc>
        <w:tc>
          <w:tcPr>
            <w:tcW w:w="1976" w:type="dxa"/>
            <w:tcBorders>
              <w:top w:val="nil"/>
              <w:left w:val="single" w:sz="8" w:space="0" w:color="448A99"/>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15,189</w:t>
            </w:r>
          </w:p>
        </w:tc>
        <w:tc>
          <w:tcPr>
            <w:tcW w:w="1976" w:type="dxa"/>
            <w:tcBorders>
              <w:top w:val="nil"/>
              <w:left w:val="nil"/>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37,513</w:t>
            </w:r>
          </w:p>
        </w:tc>
        <w:tc>
          <w:tcPr>
            <w:tcW w:w="1976" w:type="dxa"/>
            <w:tcBorders>
              <w:top w:val="nil"/>
              <w:left w:val="nil"/>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247%</w:t>
            </w:r>
          </w:p>
        </w:tc>
        <w:tc>
          <w:tcPr>
            <w:tcW w:w="1977" w:type="dxa"/>
            <w:tcBorders>
              <w:top w:val="nil"/>
              <w:left w:val="single" w:sz="8" w:space="0" w:color="448A99"/>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3,354</w:t>
            </w:r>
          </w:p>
        </w:tc>
      </w:tr>
      <w:tr w:rsidR="002A4A24" w:rsidRPr="004837FA" w:rsidTr="00592FD5">
        <w:trPr>
          <w:trHeight w:val="141"/>
        </w:trPr>
        <w:tc>
          <w:tcPr>
            <w:tcW w:w="1564" w:type="dxa"/>
            <w:tcBorders>
              <w:top w:val="single" w:sz="4" w:space="0" w:color="448A99"/>
              <w:left w:val="single" w:sz="8" w:space="0" w:color="448A99"/>
              <w:bottom w:val="single" w:sz="8" w:space="0" w:color="448A99"/>
              <w:right w:val="single" w:sz="4" w:space="0" w:color="448A99"/>
            </w:tcBorders>
            <w:shd w:val="clear" w:color="auto" w:fill="auto"/>
            <w:vAlign w:val="center"/>
          </w:tcPr>
          <w:p w:rsidR="002A4A24" w:rsidRPr="004837FA" w:rsidRDefault="002A4A24" w:rsidP="003077EB">
            <w:pPr>
              <w:jc w:val="left"/>
              <w:rPr>
                <w:bCs/>
                <w:color w:val="000000"/>
                <w:sz w:val="19"/>
                <w:szCs w:val="19"/>
              </w:rPr>
            </w:pPr>
            <w:r w:rsidRPr="004837FA">
              <w:rPr>
                <w:bCs/>
                <w:color w:val="000000"/>
                <w:sz w:val="19"/>
                <w:szCs w:val="19"/>
              </w:rPr>
              <w:t>PECO</w:t>
            </w:r>
          </w:p>
        </w:tc>
        <w:tc>
          <w:tcPr>
            <w:tcW w:w="1976" w:type="dxa"/>
            <w:tcBorders>
              <w:top w:val="single" w:sz="4" w:space="0" w:color="448A99"/>
              <w:left w:val="single" w:sz="4" w:space="0" w:color="448A99"/>
              <w:bottom w:val="single" w:sz="8" w:space="0" w:color="448A99"/>
              <w:right w:val="single" w:sz="8" w:space="0" w:color="448A99"/>
            </w:tcBorders>
            <w:shd w:val="clear" w:color="auto" w:fill="auto"/>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50,663</w:t>
            </w:r>
          </w:p>
        </w:tc>
        <w:tc>
          <w:tcPr>
            <w:tcW w:w="1976" w:type="dxa"/>
            <w:tcBorders>
              <w:top w:val="nil"/>
              <w:left w:val="nil"/>
              <w:bottom w:val="single" w:sz="8" w:space="0" w:color="448A99"/>
              <w:right w:val="single" w:sz="8" w:space="0" w:color="448A99"/>
            </w:tcBorders>
            <w:shd w:val="clear" w:color="000000" w:fill="FFFFFF"/>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91,673</w:t>
            </w:r>
          </w:p>
        </w:tc>
        <w:tc>
          <w:tcPr>
            <w:tcW w:w="1976" w:type="dxa"/>
            <w:tcBorders>
              <w:top w:val="nil"/>
              <w:left w:val="nil"/>
              <w:bottom w:val="single" w:sz="8" w:space="0" w:color="448A99"/>
              <w:right w:val="single" w:sz="8" w:space="0" w:color="448A99"/>
            </w:tcBorders>
            <w:shd w:val="clear" w:color="auto" w:fill="auto"/>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181%</w:t>
            </w:r>
          </w:p>
        </w:tc>
        <w:tc>
          <w:tcPr>
            <w:tcW w:w="1977" w:type="dxa"/>
            <w:tcBorders>
              <w:top w:val="nil"/>
              <w:left w:val="single" w:sz="8" w:space="0" w:color="448A99"/>
              <w:bottom w:val="single" w:sz="8" w:space="0" w:color="448A99"/>
              <w:right w:val="single" w:sz="8" w:space="0" w:color="448A99"/>
            </w:tcBorders>
            <w:shd w:val="clear" w:color="000000" w:fill="FFFFFF"/>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24,332</w:t>
            </w:r>
          </w:p>
        </w:tc>
      </w:tr>
      <w:tr w:rsidR="002A4A24" w:rsidRPr="004837FA" w:rsidTr="00592FD5">
        <w:trPr>
          <w:trHeight w:val="70"/>
        </w:trPr>
        <w:tc>
          <w:tcPr>
            <w:tcW w:w="1564" w:type="dxa"/>
            <w:tcBorders>
              <w:top w:val="single" w:sz="8" w:space="0" w:color="448A99"/>
              <w:left w:val="single" w:sz="8" w:space="0" w:color="448A99"/>
              <w:bottom w:val="single" w:sz="4" w:space="0" w:color="448A99"/>
              <w:right w:val="single" w:sz="4" w:space="0" w:color="448A99"/>
            </w:tcBorders>
            <w:shd w:val="clear" w:color="auto" w:fill="D2EAF1"/>
            <w:vAlign w:val="center"/>
          </w:tcPr>
          <w:p w:rsidR="002A4A24" w:rsidRPr="004837FA" w:rsidRDefault="002A4A24" w:rsidP="003077EB">
            <w:pPr>
              <w:jc w:val="left"/>
              <w:rPr>
                <w:sz w:val="19"/>
                <w:szCs w:val="19"/>
              </w:rPr>
            </w:pPr>
            <w:r w:rsidRPr="004837FA">
              <w:rPr>
                <w:bCs/>
                <w:color w:val="000000"/>
                <w:sz w:val="19"/>
                <w:szCs w:val="19"/>
              </w:rPr>
              <w:t>PPL</w:t>
            </w:r>
          </w:p>
        </w:tc>
        <w:tc>
          <w:tcPr>
            <w:tcW w:w="1976" w:type="dxa"/>
            <w:tcBorders>
              <w:top w:val="single" w:sz="8" w:space="0" w:color="448A99"/>
              <w:left w:val="single" w:sz="4" w:space="0" w:color="448A99"/>
              <w:bottom w:val="single" w:sz="4" w:space="0" w:color="448A99"/>
              <w:right w:val="single" w:sz="8" w:space="0" w:color="448A99"/>
            </w:tcBorders>
            <w:shd w:val="clear" w:color="auto" w:fill="D2EAF1"/>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36,948</w:t>
            </w:r>
          </w:p>
        </w:tc>
        <w:tc>
          <w:tcPr>
            <w:tcW w:w="1976" w:type="dxa"/>
            <w:tcBorders>
              <w:top w:val="nil"/>
              <w:left w:val="nil"/>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58,703</w:t>
            </w:r>
          </w:p>
        </w:tc>
        <w:tc>
          <w:tcPr>
            <w:tcW w:w="1976" w:type="dxa"/>
            <w:tcBorders>
              <w:top w:val="single" w:sz="8" w:space="0" w:color="448A99"/>
              <w:left w:val="nil"/>
              <w:bottom w:val="single" w:sz="8" w:space="0" w:color="448A99"/>
              <w:right w:val="single" w:sz="8" w:space="0" w:color="448A99"/>
            </w:tcBorders>
            <w:shd w:val="clear" w:color="auto" w:fill="D2EAF1"/>
            <w:vAlign w:val="center"/>
          </w:tcPr>
          <w:p w:rsidR="002A4A24" w:rsidRPr="004837FA" w:rsidRDefault="002A4A24" w:rsidP="003077EB">
            <w:pPr>
              <w:autoSpaceDE w:val="0"/>
              <w:autoSpaceDN w:val="0"/>
              <w:adjustRightInd w:val="0"/>
              <w:contextualSpacing/>
              <w:jc w:val="center"/>
              <w:rPr>
                <w:rFonts w:cs="Calibri"/>
                <w:sz w:val="19"/>
                <w:szCs w:val="19"/>
              </w:rPr>
            </w:pPr>
            <w:r w:rsidRPr="004837FA">
              <w:rPr>
                <w:color w:val="000000"/>
                <w:sz w:val="19"/>
                <w:szCs w:val="19"/>
              </w:rPr>
              <w:t>159%</w:t>
            </w:r>
          </w:p>
        </w:tc>
        <w:tc>
          <w:tcPr>
            <w:tcW w:w="1977" w:type="dxa"/>
            <w:tcBorders>
              <w:top w:val="nil"/>
              <w:left w:val="single" w:sz="8" w:space="0" w:color="448A99"/>
              <w:bottom w:val="single" w:sz="8" w:space="0" w:color="448A99"/>
              <w:right w:val="single" w:sz="8" w:space="0" w:color="448A99"/>
            </w:tcBorders>
            <w:shd w:val="clear" w:color="000000" w:fill="D2EAF1"/>
            <w:vAlign w:val="center"/>
          </w:tcPr>
          <w:p w:rsidR="002A4A24" w:rsidRPr="004837FA" w:rsidRDefault="002A4A24" w:rsidP="003077EB">
            <w:pPr>
              <w:autoSpaceDE w:val="0"/>
              <w:autoSpaceDN w:val="0"/>
              <w:adjustRightInd w:val="0"/>
              <w:contextualSpacing/>
              <w:jc w:val="center"/>
              <w:rPr>
                <w:color w:val="000000"/>
                <w:sz w:val="19"/>
                <w:szCs w:val="19"/>
              </w:rPr>
            </w:pPr>
            <w:r w:rsidRPr="004837FA">
              <w:rPr>
                <w:color w:val="000000"/>
                <w:sz w:val="19"/>
                <w:szCs w:val="19"/>
              </w:rPr>
              <w:t>10,520</w:t>
            </w:r>
          </w:p>
        </w:tc>
      </w:tr>
    </w:tbl>
    <w:p w:rsidR="00C82F49" w:rsidRDefault="00C82F49" w:rsidP="00FB4D74"/>
    <w:p w:rsidR="00C82F49" w:rsidRDefault="00C82F49" w:rsidP="004837FA">
      <w:pPr>
        <w:pStyle w:val="Caption"/>
      </w:pPr>
      <w:bookmarkStart w:id="75" w:name="_Ref472265196"/>
      <w:bookmarkStart w:id="76" w:name="_Toc472472160"/>
      <w:bookmarkStart w:id="77" w:name="_Toc488741736"/>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5</w:t>
      </w:r>
      <w:r w:rsidR="007973A4">
        <w:rPr>
          <w:noProof/>
        </w:rPr>
        <w:fldChar w:fldCharType="end"/>
      </w:r>
      <w:bookmarkEnd w:id="75"/>
      <w:r>
        <w:t>: GNI Carve-out Goal Performance, Summary by EDC</w:t>
      </w:r>
      <w:bookmarkEnd w:id="76"/>
      <w:bookmarkEnd w:id="77"/>
    </w:p>
    <w:tbl>
      <w:tblPr>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41"/>
        <w:gridCol w:w="1459"/>
        <w:gridCol w:w="1148"/>
        <w:gridCol w:w="1148"/>
        <w:gridCol w:w="1459"/>
        <w:gridCol w:w="1526"/>
        <w:gridCol w:w="1059"/>
      </w:tblGrid>
      <w:tr w:rsidR="00C82313" w:rsidRPr="004837FA" w:rsidTr="000850C5">
        <w:trPr>
          <w:trHeight w:val="141"/>
          <w:tblHeader/>
        </w:trPr>
        <w:tc>
          <w:tcPr>
            <w:tcW w:w="1541" w:type="dxa"/>
            <w:tcBorders>
              <w:top w:val="single" w:sz="8" w:space="0" w:color="448A99"/>
              <w:left w:val="single" w:sz="8" w:space="0" w:color="448A99"/>
              <w:bottom w:val="single" w:sz="8" w:space="0" w:color="448A99"/>
              <w:right w:val="nil"/>
            </w:tcBorders>
            <w:shd w:val="clear" w:color="000000" w:fill="448A99"/>
            <w:vAlign w:val="bottom"/>
          </w:tcPr>
          <w:p w:rsidR="00C82313" w:rsidRPr="004837FA" w:rsidRDefault="00C82313" w:rsidP="00C82313">
            <w:pPr>
              <w:rPr>
                <w:b/>
                <w:color w:val="FFFFFF"/>
                <w:sz w:val="19"/>
                <w:szCs w:val="19"/>
              </w:rPr>
            </w:pPr>
            <w:r w:rsidRPr="004837FA">
              <w:rPr>
                <w:b/>
                <w:bCs/>
                <w:color w:val="FFFFFF"/>
                <w:sz w:val="19"/>
                <w:szCs w:val="19"/>
              </w:rPr>
              <w:t>EDC</w:t>
            </w:r>
          </w:p>
        </w:tc>
        <w:tc>
          <w:tcPr>
            <w:tcW w:w="1459" w:type="dxa"/>
            <w:tcBorders>
              <w:top w:val="single" w:sz="8" w:space="0" w:color="448A99"/>
              <w:left w:val="single" w:sz="8" w:space="0" w:color="448A99"/>
              <w:bottom w:val="single" w:sz="8" w:space="0" w:color="448A99"/>
              <w:right w:val="single" w:sz="8" w:space="0" w:color="448A99"/>
            </w:tcBorders>
            <w:shd w:val="clear" w:color="000000" w:fill="448A99"/>
            <w:vAlign w:val="bottom"/>
          </w:tcPr>
          <w:p w:rsidR="00C82313" w:rsidRPr="004837FA" w:rsidRDefault="00C82313" w:rsidP="00C82313">
            <w:pPr>
              <w:jc w:val="center"/>
              <w:rPr>
                <w:b/>
                <w:color w:val="FFFFFF"/>
                <w:sz w:val="19"/>
                <w:szCs w:val="19"/>
              </w:rPr>
            </w:pPr>
            <w:r w:rsidRPr="004837FA">
              <w:rPr>
                <w:b/>
                <w:bCs/>
                <w:color w:val="FFFFFF"/>
                <w:sz w:val="19"/>
                <w:szCs w:val="19"/>
              </w:rPr>
              <w:t>Phase II GNI MWh/yr Carve-Out Goal</w:t>
            </w:r>
          </w:p>
        </w:tc>
        <w:tc>
          <w:tcPr>
            <w:tcW w:w="1148" w:type="dxa"/>
            <w:tcBorders>
              <w:top w:val="single" w:sz="8" w:space="0" w:color="448A99"/>
              <w:left w:val="nil"/>
              <w:bottom w:val="single" w:sz="8" w:space="0" w:color="448A99"/>
              <w:right w:val="single" w:sz="8" w:space="0" w:color="448A99"/>
            </w:tcBorders>
            <w:shd w:val="clear" w:color="000000" w:fill="448A99"/>
            <w:vAlign w:val="center"/>
          </w:tcPr>
          <w:p w:rsidR="00C82313" w:rsidRPr="004837FA" w:rsidRDefault="00C82313" w:rsidP="00C82313">
            <w:pPr>
              <w:jc w:val="center"/>
              <w:rPr>
                <w:b/>
                <w:bCs/>
                <w:color w:val="FFFFFF"/>
                <w:sz w:val="19"/>
                <w:szCs w:val="19"/>
              </w:rPr>
            </w:pPr>
            <w:r w:rsidRPr="004837FA">
              <w:rPr>
                <w:b/>
                <w:bCs/>
                <w:color w:val="FFFFFF"/>
                <w:sz w:val="19"/>
                <w:szCs w:val="19"/>
              </w:rPr>
              <w:t>Carryover from Phase I (MWh/yr)</w:t>
            </w:r>
          </w:p>
        </w:tc>
        <w:tc>
          <w:tcPr>
            <w:tcW w:w="1148" w:type="dxa"/>
            <w:tcBorders>
              <w:top w:val="single" w:sz="8" w:space="0" w:color="448A99"/>
              <w:left w:val="nil"/>
              <w:bottom w:val="single" w:sz="8" w:space="0" w:color="448A99"/>
              <w:right w:val="single" w:sz="8" w:space="0" w:color="448A99"/>
            </w:tcBorders>
            <w:shd w:val="clear" w:color="000000" w:fill="448A99"/>
            <w:vAlign w:val="center"/>
          </w:tcPr>
          <w:p w:rsidR="00C82313" w:rsidRPr="004837FA" w:rsidRDefault="00C82313" w:rsidP="00C82313">
            <w:pPr>
              <w:jc w:val="center"/>
              <w:rPr>
                <w:b/>
                <w:bCs/>
                <w:color w:val="FFFFFF"/>
                <w:sz w:val="19"/>
                <w:szCs w:val="19"/>
              </w:rPr>
            </w:pPr>
            <w:r w:rsidRPr="004837FA">
              <w:rPr>
                <w:b/>
                <w:bCs/>
                <w:color w:val="FFFFFF"/>
                <w:sz w:val="19"/>
                <w:szCs w:val="19"/>
              </w:rPr>
              <w:t>PY5-PY7 Verified MWh/yr Savings</w:t>
            </w:r>
          </w:p>
        </w:tc>
        <w:tc>
          <w:tcPr>
            <w:tcW w:w="1459" w:type="dxa"/>
            <w:tcBorders>
              <w:top w:val="single" w:sz="8" w:space="0" w:color="448A99"/>
              <w:left w:val="nil"/>
              <w:bottom w:val="single" w:sz="8" w:space="0" w:color="448A99"/>
              <w:right w:val="single" w:sz="8" w:space="0" w:color="448A99"/>
            </w:tcBorders>
            <w:shd w:val="clear" w:color="000000" w:fill="448A99"/>
            <w:vAlign w:val="bottom"/>
          </w:tcPr>
          <w:p w:rsidR="00C82313" w:rsidRPr="004837FA" w:rsidRDefault="00C82313" w:rsidP="00C82313">
            <w:pPr>
              <w:jc w:val="center"/>
              <w:rPr>
                <w:b/>
                <w:color w:val="FFFFFF"/>
                <w:sz w:val="19"/>
                <w:szCs w:val="19"/>
              </w:rPr>
            </w:pPr>
            <w:r w:rsidRPr="004837FA">
              <w:rPr>
                <w:b/>
                <w:bCs/>
                <w:color w:val="FFFFFF"/>
                <w:sz w:val="19"/>
                <w:szCs w:val="19"/>
              </w:rPr>
              <w:t>Phase II Verified MWh/yr GNI Savings</w:t>
            </w:r>
          </w:p>
        </w:tc>
        <w:tc>
          <w:tcPr>
            <w:tcW w:w="1526" w:type="dxa"/>
            <w:tcBorders>
              <w:top w:val="single" w:sz="8" w:space="0" w:color="448A99"/>
              <w:left w:val="nil"/>
              <w:bottom w:val="single" w:sz="8" w:space="0" w:color="448A99"/>
              <w:right w:val="single" w:sz="8" w:space="0" w:color="448A99"/>
            </w:tcBorders>
            <w:shd w:val="clear" w:color="000000" w:fill="448A99"/>
            <w:vAlign w:val="bottom"/>
          </w:tcPr>
          <w:p w:rsidR="00C82313" w:rsidRPr="004837FA" w:rsidRDefault="00C82313" w:rsidP="00C82313">
            <w:pPr>
              <w:jc w:val="center"/>
              <w:rPr>
                <w:b/>
                <w:color w:val="FFFFFF"/>
                <w:sz w:val="19"/>
                <w:szCs w:val="19"/>
              </w:rPr>
            </w:pPr>
            <w:r w:rsidRPr="004837FA">
              <w:rPr>
                <w:b/>
                <w:bCs/>
                <w:color w:val="FFFFFF"/>
                <w:sz w:val="19"/>
                <w:szCs w:val="19"/>
              </w:rPr>
              <w:t>Savings Achieved % of Target</w:t>
            </w:r>
            <w:r w:rsidR="00976CB1" w:rsidRPr="004837FA">
              <w:rPr>
                <w:b/>
                <w:bCs/>
                <w:color w:val="FFFFFF"/>
                <w:sz w:val="19"/>
                <w:szCs w:val="19"/>
              </w:rPr>
              <w:t>s</w:t>
            </w:r>
          </w:p>
        </w:tc>
        <w:tc>
          <w:tcPr>
            <w:tcW w:w="1059" w:type="dxa"/>
            <w:tcBorders>
              <w:top w:val="single" w:sz="8" w:space="0" w:color="448A99"/>
              <w:left w:val="nil"/>
              <w:bottom w:val="single" w:sz="8" w:space="0" w:color="448A99"/>
              <w:right w:val="single" w:sz="8" w:space="0" w:color="448A99"/>
            </w:tcBorders>
            <w:shd w:val="clear" w:color="000000" w:fill="448A99"/>
            <w:vAlign w:val="center"/>
          </w:tcPr>
          <w:p w:rsidR="00C82313" w:rsidRPr="004837FA" w:rsidRDefault="000A4055" w:rsidP="00C82313">
            <w:pPr>
              <w:jc w:val="center"/>
              <w:rPr>
                <w:b/>
                <w:bCs/>
                <w:color w:val="FFFFFF"/>
                <w:sz w:val="19"/>
                <w:szCs w:val="19"/>
              </w:rPr>
            </w:pPr>
            <w:r>
              <w:rPr>
                <w:b/>
                <w:bCs/>
                <w:color w:val="FFFFFF"/>
                <w:sz w:val="19"/>
                <w:szCs w:val="19"/>
              </w:rPr>
              <w:t xml:space="preserve">GNI </w:t>
            </w:r>
            <w:r w:rsidR="00C82313" w:rsidRPr="004837FA">
              <w:rPr>
                <w:b/>
                <w:bCs/>
                <w:color w:val="FFFFFF"/>
                <w:sz w:val="19"/>
                <w:szCs w:val="19"/>
              </w:rPr>
              <w:t>Phase III Carryover MWh/yr Savings</w:t>
            </w:r>
          </w:p>
        </w:tc>
      </w:tr>
      <w:tr w:rsidR="00C82313" w:rsidRPr="004837FA" w:rsidTr="000850C5">
        <w:trPr>
          <w:trHeight w:val="141"/>
        </w:trPr>
        <w:tc>
          <w:tcPr>
            <w:tcW w:w="1541" w:type="dxa"/>
            <w:tcBorders>
              <w:top w:val="nil"/>
              <w:left w:val="single" w:sz="8" w:space="0" w:color="448A99"/>
              <w:bottom w:val="single" w:sz="8" w:space="0" w:color="448A99"/>
              <w:right w:val="nil"/>
            </w:tcBorders>
            <w:shd w:val="clear" w:color="000000" w:fill="D2EAF1"/>
            <w:vAlign w:val="center"/>
          </w:tcPr>
          <w:p w:rsidR="00C82313" w:rsidRPr="004837FA" w:rsidRDefault="00C82313" w:rsidP="00C82313">
            <w:pPr>
              <w:jc w:val="left"/>
              <w:rPr>
                <w:sz w:val="19"/>
                <w:szCs w:val="19"/>
              </w:rPr>
            </w:pPr>
            <w:r w:rsidRPr="004837FA">
              <w:rPr>
                <w:bCs/>
                <w:color w:val="000000"/>
                <w:sz w:val="19"/>
                <w:szCs w:val="19"/>
              </w:rPr>
              <w:t>Duquesne</w:t>
            </w:r>
          </w:p>
        </w:tc>
        <w:tc>
          <w:tcPr>
            <w:tcW w:w="1459"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27,672</w:t>
            </w:r>
          </w:p>
        </w:tc>
        <w:tc>
          <w:tcPr>
            <w:tcW w:w="1148"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7,722</w:t>
            </w:r>
          </w:p>
        </w:tc>
        <w:tc>
          <w:tcPr>
            <w:tcW w:w="1148"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22,135</w:t>
            </w:r>
          </w:p>
        </w:tc>
        <w:tc>
          <w:tcPr>
            <w:tcW w:w="1459"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29,857</w:t>
            </w:r>
          </w:p>
        </w:tc>
        <w:tc>
          <w:tcPr>
            <w:tcW w:w="1526"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108%</w:t>
            </w:r>
          </w:p>
        </w:tc>
        <w:tc>
          <w:tcPr>
            <w:tcW w:w="1059"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0</w:t>
            </w:r>
          </w:p>
        </w:tc>
      </w:tr>
      <w:tr w:rsidR="00C82313" w:rsidRPr="004837FA" w:rsidTr="000850C5">
        <w:trPr>
          <w:trHeight w:val="141"/>
        </w:trPr>
        <w:tc>
          <w:tcPr>
            <w:tcW w:w="1541" w:type="dxa"/>
            <w:tcBorders>
              <w:top w:val="nil"/>
              <w:left w:val="single" w:sz="8" w:space="0" w:color="448A99"/>
              <w:bottom w:val="single" w:sz="8" w:space="0" w:color="448A99"/>
              <w:right w:val="nil"/>
            </w:tcBorders>
            <w:shd w:val="clear" w:color="000000" w:fill="FFFFFF"/>
            <w:vAlign w:val="center"/>
          </w:tcPr>
          <w:p w:rsidR="00C82313" w:rsidRPr="004837FA" w:rsidRDefault="00C82313" w:rsidP="00C82313">
            <w:pPr>
              <w:jc w:val="left"/>
              <w:rPr>
                <w:sz w:val="19"/>
                <w:szCs w:val="19"/>
              </w:rPr>
            </w:pPr>
            <w:r w:rsidRPr="004837FA">
              <w:rPr>
                <w:bCs/>
                <w:color w:val="000000"/>
                <w:sz w:val="19"/>
                <w:szCs w:val="19"/>
              </w:rPr>
              <w:t>FE: Met-Ed</w:t>
            </w:r>
          </w:p>
        </w:tc>
        <w:tc>
          <w:tcPr>
            <w:tcW w:w="1459" w:type="dxa"/>
            <w:tcBorders>
              <w:top w:val="nil"/>
              <w:left w:val="single" w:sz="8" w:space="0" w:color="448A99"/>
              <w:bottom w:val="single" w:sz="8" w:space="0" w:color="448A99"/>
              <w:right w:val="single" w:sz="8" w:space="0" w:color="448A99"/>
            </w:tcBorders>
            <w:shd w:val="clear" w:color="auto" w:fill="auto"/>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33,775</w:t>
            </w:r>
          </w:p>
        </w:tc>
        <w:tc>
          <w:tcPr>
            <w:tcW w:w="1148" w:type="dxa"/>
            <w:tcBorders>
              <w:top w:val="nil"/>
              <w:left w:val="single" w:sz="8" w:space="0" w:color="448A99"/>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6,430</w:t>
            </w:r>
          </w:p>
        </w:tc>
        <w:tc>
          <w:tcPr>
            <w:tcW w:w="1148" w:type="dxa"/>
            <w:tcBorders>
              <w:top w:val="nil"/>
              <w:left w:val="nil"/>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33,657</w:t>
            </w:r>
          </w:p>
        </w:tc>
        <w:tc>
          <w:tcPr>
            <w:tcW w:w="1459" w:type="dxa"/>
            <w:tcBorders>
              <w:top w:val="nil"/>
              <w:left w:val="nil"/>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40,087</w:t>
            </w:r>
          </w:p>
        </w:tc>
        <w:tc>
          <w:tcPr>
            <w:tcW w:w="1526" w:type="dxa"/>
            <w:tcBorders>
              <w:top w:val="nil"/>
              <w:left w:val="nil"/>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119%</w:t>
            </w:r>
          </w:p>
        </w:tc>
        <w:tc>
          <w:tcPr>
            <w:tcW w:w="1059" w:type="dxa"/>
            <w:tcBorders>
              <w:top w:val="nil"/>
              <w:left w:val="single" w:sz="8" w:space="0" w:color="448A99"/>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0</w:t>
            </w:r>
          </w:p>
        </w:tc>
      </w:tr>
      <w:tr w:rsidR="00C82313" w:rsidRPr="004837FA" w:rsidTr="000850C5">
        <w:trPr>
          <w:trHeight w:val="141"/>
        </w:trPr>
        <w:tc>
          <w:tcPr>
            <w:tcW w:w="1541" w:type="dxa"/>
            <w:tcBorders>
              <w:top w:val="nil"/>
              <w:left w:val="single" w:sz="8" w:space="0" w:color="448A99"/>
              <w:bottom w:val="single" w:sz="8" w:space="0" w:color="448A99"/>
              <w:right w:val="nil"/>
            </w:tcBorders>
            <w:shd w:val="clear" w:color="000000" w:fill="D2EAF1"/>
            <w:vAlign w:val="center"/>
          </w:tcPr>
          <w:p w:rsidR="00C82313" w:rsidRPr="004837FA" w:rsidRDefault="00C82313" w:rsidP="00C82313">
            <w:pPr>
              <w:jc w:val="left"/>
              <w:rPr>
                <w:sz w:val="19"/>
                <w:szCs w:val="19"/>
              </w:rPr>
            </w:pPr>
            <w:r w:rsidRPr="004837FA">
              <w:rPr>
                <w:bCs/>
                <w:color w:val="000000"/>
                <w:sz w:val="19"/>
                <w:szCs w:val="19"/>
              </w:rPr>
              <w:t>FE: Penelec</w:t>
            </w:r>
          </w:p>
        </w:tc>
        <w:tc>
          <w:tcPr>
            <w:tcW w:w="1459"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31,881</w:t>
            </w:r>
          </w:p>
        </w:tc>
        <w:tc>
          <w:tcPr>
            <w:tcW w:w="1148"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10,721</w:t>
            </w:r>
          </w:p>
        </w:tc>
        <w:tc>
          <w:tcPr>
            <w:tcW w:w="1148"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31,964</w:t>
            </w:r>
          </w:p>
        </w:tc>
        <w:tc>
          <w:tcPr>
            <w:tcW w:w="1459"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42,685</w:t>
            </w:r>
          </w:p>
        </w:tc>
        <w:tc>
          <w:tcPr>
            <w:tcW w:w="1526"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134%</w:t>
            </w:r>
          </w:p>
        </w:tc>
        <w:tc>
          <w:tcPr>
            <w:tcW w:w="1059"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83</w:t>
            </w:r>
          </w:p>
        </w:tc>
      </w:tr>
      <w:tr w:rsidR="00C82313" w:rsidRPr="004837FA" w:rsidTr="000850C5">
        <w:trPr>
          <w:trHeight w:val="141"/>
        </w:trPr>
        <w:tc>
          <w:tcPr>
            <w:tcW w:w="1541" w:type="dxa"/>
            <w:tcBorders>
              <w:top w:val="nil"/>
              <w:left w:val="single" w:sz="8" w:space="0" w:color="448A99"/>
              <w:bottom w:val="single" w:sz="8" w:space="0" w:color="448A99"/>
              <w:right w:val="nil"/>
            </w:tcBorders>
            <w:shd w:val="clear" w:color="000000" w:fill="FFFFFF"/>
            <w:vAlign w:val="center"/>
          </w:tcPr>
          <w:p w:rsidR="00C82313" w:rsidRPr="004837FA" w:rsidRDefault="00C82313" w:rsidP="00C82313">
            <w:pPr>
              <w:jc w:val="left"/>
              <w:rPr>
                <w:sz w:val="19"/>
                <w:szCs w:val="19"/>
              </w:rPr>
            </w:pPr>
            <w:r w:rsidRPr="004837FA">
              <w:rPr>
                <w:bCs/>
                <w:color w:val="000000"/>
                <w:sz w:val="19"/>
                <w:szCs w:val="19"/>
              </w:rPr>
              <w:t>FE: Penn Power</w:t>
            </w:r>
          </w:p>
        </w:tc>
        <w:tc>
          <w:tcPr>
            <w:tcW w:w="1459" w:type="dxa"/>
            <w:tcBorders>
              <w:top w:val="nil"/>
              <w:left w:val="single" w:sz="8" w:space="0" w:color="448A99"/>
              <w:bottom w:val="single" w:sz="8" w:space="0" w:color="448A99"/>
              <w:right w:val="single" w:sz="8" w:space="0" w:color="448A99"/>
            </w:tcBorders>
            <w:shd w:val="clear" w:color="auto" w:fill="auto"/>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9,550</w:t>
            </w:r>
          </w:p>
        </w:tc>
        <w:tc>
          <w:tcPr>
            <w:tcW w:w="1148" w:type="dxa"/>
            <w:tcBorders>
              <w:top w:val="nil"/>
              <w:left w:val="single" w:sz="8" w:space="0" w:color="448A99"/>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258</w:t>
            </w:r>
          </w:p>
        </w:tc>
        <w:tc>
          <w:tcPr>
            <w:tcW w:w="1148" w:type="dxa"/>
            <w:tcBorders>
              <w:top w:val="nil"/>
              <w:left w:val="nil"/>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16,866</w:t>
            </w:r>
          </w:p>
        </w:tc>
        <w:tc>
          <w:tcPr>
            <w:tcW w:w="1459" w:type="dxa"/>
            <w:tcBorders>
              <w:top w:val="nil"/>
              <w:left w:val="nil"/>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17,124</w:t>
            </w:r>
          </w:p>
        </w:tc>
        <w:tc>
          <w:tcPr>
            <w:tcW w:w="1526" w:type="dxa"/>
            <w:tcBorders>
              <w:top w:val="nil"/>
              <w:left w:val="nil"/>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179%</w:t>
            </w:r>
          </w:p>
        </w:tc>
        <w:tc>
          <w:tcPr>
            <w:tcW w:w="1059" w:type="dxa"/>
            <w:tcBorders>
              <w:top w:val="nil"/>
              <w:left w:val="single" w:sz="8" w:space="0" w:color="448A99"/>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7,316</w:t>
            </w:r>
          </w:p>
        </w:tc>
      </w:tr>
      <w:tr w:rsidR="00C82313" w:rsidRPr="004837FA" w:rsidTr="000850C5">
        <w:trPr>
          <w:trHeight w:val="141"/>
        </w:trPr>
        <w:tc>
          <w:tcPr>
            <w:tcW w:w="1541" w:type="dxa"/>
            <w:tcBorders>
              <w:top w:val="nil"/>
              <w:left w:val="single" w:sz="8" w:space="0" w:color="448A99"/>
              <w:bottom w:val="single" w:sz="8" w:space="0" w:color="448A99"/>
              <w:right w:val="nil"/>
            </w:tcBorders>
            <w:shd w:val="clear" w:color="000000" w:fill="D2EAF1"/>
            <w:vAlign w:val="center"/>
          </w:tcPr>
          <w:p w:rsidR="00C82313" w:rsidRPr="004837FA" w:rsidRDefault="00C82313" w:rsidP="00C82313">
            <w:pPr>
              <w:jc w:val="left"/>
              <w:rPr>
                <w:sz w:val="19"/>
                <w:szCs w:val="19"/>
              </w:rPr>
            </w:pPr>
            <w:r w:rsidRPr="004837FA">
              <w:rPr>
                <w:bCs/>
                <w:color w:val="000000"/>
                <w:sz w:val="19"/>
                <w:szCs w:val="19"/>
              </w:rPr>
              <w:t>FE: West Penn</w:t>
            </w:r>
          </w:p>
        </w:tc>
        <w:tc>
          <w:tcPr>
            <w:tcW w:w="1459"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33,753</w:t>
            </w:r>
          </w:p>
        </w:tc>
        <w:tc>
          <w:tcPr>
            <w:tcW w:w="1148"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59,929</w:t>
            </w:r>
          </w:p>
        </w:tc>
        <w:tc>
          <w:tcPr>
            <w:tcW w:w="1148"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33,726</w:t>
            </w:r>
          </w:p>
        </w:tc>
        <w:tc>
          <w:tcPr>
            <w:tcW w:w="1459"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93,655</w:t>
            </w:r>
          </w:p>
        </w:tc>
        <w:tc>
          <w:tcPr>
            <w:tcW w:w="1526"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277%</w:t>
            </w:r>
          </w:p>
        </w:tc>
        <w:tc>
          <w:tcPr>
            <w:tcW w:w="1059"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0</w:t>
            </w:r>
          </w:p>
        </w:tc>
      </w:tr>
      <w:tr w:rsidR="00C82313" w:rsidRPr="004837FA" w:rsidTr="000850C5">
        <w:trPr>
          <w:trHeight w:val="141"/>
        </w:trPr>
        <w:tc>
          <w:tcPr>
            <w:tcW w:w="1541" w:type="dxa"/>
            <w:tcBorders>
              <w:top w:val="single" w:sz="8" w:space="0" w:color="448A99"/>
              <w:left w:val="single" w:sz="8" w:space="0" w:color="448A99"/>
              <w:bottom w:val="single" w:sz="4" w:space="0" w:color="448A99"/>
              <w:right w:val="single" w:sz="4" w:space="0" w:color="448A99"/>
            </w:tcBorders>
            <w:shd w:val="clear" w:color="000000" w:fill="FFFFFF"/>
            <w:vAlign w:val="center"/>
          </w:tcPr>
          <w:p w:rsidR="00C82313" w:rsidRPr="004837FA" w:rsidRDefault="00415125" w:rsidP="00C82313">
            <w:pPr>
              <w:jc w:val="left"/>
              <w:rPr>
                <w:sz w:val="19"/>
                <w:szCs w:val="19"/>
              </w:rPr>
            </w:pPr>
            <w:r w:rsidRPr="004837FA">
              <w:rPr>
                <w:bCs/>
                <w:color w:val="000000"/>
                <w:sz w:val="19"/>
                <w:szCs w:val="19"/>
              </w:rPr>
              <w:t>PECO</w:t>
            </w:r>
          </w:p>
        </w:tc>
        <w:tc>
          <w:tcPr>
            <w:tcW w:w="1459" w:type="dxa"/>
            <w:tcBorders>
              <w:top w:val="nil"/>
              <w:left w:val="nil"/>
              <w:bottom w:val="single" w:sz="8" w:space="0" w:color="448A99"/>
              <w:right w:val="single" w:sz="8" w:space="0" w:color="448A99"/>
            </w:tcBorders>
            <w:shd w:val="clear" w:color="auto" w:fill="auto"/>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112,585</w:t>
            </w:r>
          </w:p>
        </w:tc>
        <w:tc>
          <w:tcPr>
            <w:tcW w:w="1148" w:type="dxa"/>
            <w:tcBorders>
              <w:top w:val="nil"/>
              <w:left w:val="single" w:sz="8" w:space="0" w:color="448A99"/>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77,961</w:t>
            </w:r>
          </w:p>
        </w:tc>
        <w:tc>
          <w:tcPr>
            <w:tcW w:w="1148" w:type="dxa"/>
            <w:tcBorders>
              <w:top w:val="nil"/>
              <w:left w:val="nil"/>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227,985</w:t>
            </w:r>
          </w:p>
        </w:tc>
        <w:tc>
          <w:tcPr>
            <w:tcW w:w="1459" w:type="dxa"/>
            <w:tcBorders>
              <w:top w:val="nil"/>
              <w:left w:val="nil"/>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305,946</w:t>
            </w:r>
          </w:p>
        </w:tc>
        <w:tc>
          <w:tcPr>
            <w:tcW w:w="1526" w:type="dxa"/>
            <w:tcBorders>
              <w:top w:val="nil"/>
              <w:left w:val="nil"/>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272%</w:t>
            </w:r>
          </w:p>
        </w:tc>
        <w:tc>
          <w:tcPr>
            <w:tcW w:w="1059" w:type="dxa"/>
            <w:tcBorders>
              <w:top w:val="nil"/>
              <w:left w:val="single" w:sz="8" w:space="0" w:color="448A99"/>
              <w:bottom w:val="single" w:sz="8" w:space="0" w:color="448A99"/>
              <w:right w:val="single" w:sz="8" w:space="0" w:color="448A99"/>
            </w:tcBorders>
            <w:shd w:val="clear" w:color="000000" w:fill="FFFFFF"/>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115,400</w:t>
            </w:r>
          </w:p>
        </w:tc>
      </w:tr>
      <w:tr w:rsidR="00C82313" w:rsidRPr="004837FA" w:rsidTr="000850C5">
        <w:trPr>
          <w:trHeight w:val="141"/>
        </w:trPr>
        <w:tc>
          <w:tcPr>
            <w:tcW w:w="1541" w:type="dxa"/>
            <w:tcBorders>
              <w:top w:val="single" w:sz="4" w:space="0" w:color="448A99"/>
              <w:left w:val="single" w:sz="8" w:space="0" w:color="448A99"/>
              <w:bottom w:val="single" w:sz="8" w:space="0" w:color="448A99"/>
              <w:right w:val="single" w:sz="4" w:space="0" w:color="448A99"/>
            </w:tcBorders>
            <w:shd w:val="clear" w:color="000000" w:fill="D2EAF1"/>
            <w:vAlign w:val="center"/>
          </w:tcPr>
          <w:p w:rsidR="00C82313" w:rsidRPr="004837FA" w:rsidRDefault="00415125" w:rsidP="00C82313">
            <w:pPr>
              <w:jc w:val="left"/>
              <w:rPr>
                <w:sz w:val="19"/>
                <w:szCs w:val="19"/>
              </w:rPr>
            </w:pPr>
            <w:r w:rsidRPr="004837FA">
              <w:rPr>
                <w:bCs/>
                <w:color w:val="000000"/>
                <w:sz w:val="19"/>
                <w:szCs w:val="19"/>
              </w:rPr>
              <w:t>PPL</w:t>
            </w:r>
          </w:p>
        </w:tc>
        <w:tc>
          <w:tcPr>
            <w:tcW w:w="1459"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82,107</w:t>
            </w:r>
          </w:p>
        </w:tc>
        <w:tc>
          <w:tcPr>
            <w:tcW w:w="1148"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92,143</w:t>
            </w:r>
          </w:p>
        </w:tc>
        <w:tc>
          <w:tcPr>
            <w:tcW w:w="1148"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93,248</w:t>
            </w:r>
          </w:p>
        </w:tc>
        <w:tc>
          <w:tcPr>
            <w:tcW w:w="1459"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185,391</w:t>
            </w:r>
          </w:p>
        </w:tc>
        <w:tc>
          <w:tcPr>
            <w:tcW w:w="1526" w:type="dxa"/>
            <w:tcBorders>
              <w:top w:val="nil"/>
              <w:left w:val="nil"/>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rFonts w:cs="Calibri"/>
                <w:sz w:val="19"/>
                <w:szCs w:val="19"/>
              </w:rPr>
            </w:pPr>
            <w:r w:rsidRPr="004837FA">
              <w:rPr>
                <w:color w:val="000000"/>
                <w:sz w:val="19"/>
                <w:szCs w:val="19"/>
              </w:rPr>
              <w:t>226%</w:t>
            </w:r>
          </w:p>
        </w:tc>
        <w:tc>
          <w:tcPr>
            <w:tcW w:w="1059" w:type="dxa"/>
            <w:tcBorders>
              <w:top w:val="nil"/>
              <w:left w:val="single" w:sz="8" w:space="0" w:color="448A99"/>
              <w:bottom w:val="single" w:sz="8" w:space="0" w:color="448A99"/>
              <w:right w:val="single" w:sz="8" w:space="0" w:color="448A99"/>
            </w:tcBorders>
            <w:shd w:val="clear" w:color="000000" w:fill="D2EAF1"/>
            <w:vAlign w:val="center"/>
          </w:tcPr>
          <w:p w:rsidR="00C82313" w:rsidRPr="004837FA" w:rsidRDefault="00C82313" w:rsidP="00C82313">
            <w:pPr>
              <w:autoSpaceDE w:val="0"/>
              <w:autoSpaceDN w:val="0"/>
              <w:adjustRightInd w:val="0"/>
              <w:contextualSpacing/>
              <w:jc w:val="center"/>
              <w:rPr>
                <w:color w:val="000000"/>
                <w:sz w:val="19"/>
                <w:szCs w:val="19"/>
              </w:rPr>
            </w:pPr>
            <w:r w:rsidRPr="004837FA">
              <w:rPr>
                <w:color w:val="000000"/>
                <w:sz w:val="19"/>
                <w:szCs w:val="19"/>
              </w:rPr>
              <w:t>11,141</w:t>
            </w:r>
          </w:p>
        </w:tc>
      </w:tr>
    </w:tbl>
    <w:p w:rsidR="00C82F49" w:rsidRDefault="00C82F49" w:rsidP="00FB4D74"/>
    <w:p w:rsidR="008A7824" w:rsidRPr="00F07E93" w:rsidRDefault="008A7824" w:rsidP="008A7824">
      <w:r>
        <w:fldChar w:fldCharType="begin"/>
      </w:r>
      <w:r>
        <w:instrText xml:space="preserve"> REF _Ref433292200 \h </w:instrText>
      </w:r>
      <w:r>
        <w:fldChar w:fldCharType="separate"/>
      </w:r>
      <w:r w:rsidR="00037CB4" w:rsidRPr="00A84877">
        <w:t xml:space="preserve">Table </w:t>
      </w:r>
      <w:r w:rsidR="00037CB4">
        <w:rPr>
          <w:noProof/>
        </w:rPr>
        <w:t>2</w:t>
      </w:r>
      <w:r w:rsidR="00037CB4">
        <w:noBreakHyphen/>
      </w:r>
      <w:r w:rsidR="00037CB4">
        <w:rPr>
          <w:noProof/>
        </w:rPr>
        <w:t>6</w:t>
      </w:r>
      <w:r>
        <w:fldChar w:fldCharType="end"/>
      </w:r>
      <w:r w:rsidRPr="00F07E93">
        <w:t xml:space="preserve"> shows each EDC’s minimum percentage of </w:t>
      </w:r>
      <w:r>
        <w:t xml:space="preserve">low-income </w:t>
      </w:r>
      <w:r w:rsidRPr="00F07E93">
        <w:t xml:space="preserve">measures </w:t>
      </w:r>
      <w:r>
        <w:t>requirement</w:t>
      </w:r>
      <w:r w:rsidRPr="00F07E93">
        <w:t xml:space="preserve"> and the percentage of </w:t>
      </w:r>
      <w:r>
        <w:t xml:space="preserve">low-income </w:t>
      </w:r>
      <w:r w:rsidRPr="00F07E93">
        <w:t xml:space="preserve">measures offered in </w:t>
      </w:r>
      <w:r w:rsidR="002F12C2">
        <w:t>PY5-</w:t>
      </w:r>
      <w:r w:rsidRPr="00F07E93">
        <w:t>PY</w:t>
      </w:r>
      <w:r>
        <w:t>7</w:t>
      </w:r>
      <w:r w:rsidRPr="00F07E93">
        <w:t>. Every EDC complied with the Act 129 low‐income requirements</w:t>
      </w:r>
      <w:r>
        <w:t xml:space="preserve"> all three years of Phase II</w:t>
      </w:r>
      <w:r w:rsidRPr="00F07E93">
        <w:t>.</w:t>
      </w:r>
    </w:p>
    <w:p w:rsidR="008A7824" w:rsidRDefault="008A7824" w:rsidP="00FB4D74"/>
    <w:p w:rsidR="008A7824" w:rsidRPr="00362FC4" w:rsidRDefault="008A7824" w:rsidP="004837FA">
      <w:pPr>
        <w:pStyle w:val="Caption"/>
      </w:pPr>
      <w:bookmarkStart w:id="78" w:name="_Ref433292200"/>
      <w:bookmarkStart w:id="79" w:name="_Toc409224981"/>
      <w:bookmarkStart w:id="80" w:name="_Toc409443533"/>
      <w:bookmarkStart w:id="81" w:name="_Toc445206155"/>
      <w:bookmarkStart w:id="82" w:name="_Toc488741737"/>
      <w:r w:rsidRPr="00A84877">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noBreakHyphen/>
      </w:r>
      <w:r w:rsidR="007973A4">
        <w:fldChar w:fldCharType="begin"/>
      </w:r>
      <w:r w:rsidR="007973A4">
        <w:instrText xml:space="preserve"> SEQ Table \* ARABIC \s 1 </w:instrText>
      </w:r>
      <w:r w:rsidR="007973A4">
        <w:fldChar w:fldCharType="separate"/>
      </w:r>
      <w:r w:rsidR="00037CB4">
        <w:rPr>
          <w:noProof/>
        </w:rPr>
        <w:t>6</w:t>
      </w:r>
      <w:r w:rsidR="007973A4">
        <w:rPr>
          <w:noProof/>
        </w:rPr>
        <w:fldChar w:fldCharType="end"/>
      </w:r>
      <w:bookmarkEnd w:id="78"/>
      <w:r w:rsidRPr="00A84877">
        <w:t>: EDC Achievement of Act 129 Low</w:t>
      </w:r>
      <w:r w:rsidRPr="00A84877">
        <w:rPr>
          <w:rFonts w:ascii="Cambria Math" w:hAnsi="Cambria Math" w:cs="Cambria Math"/>
        </w:rPr>
        <w:t>‐</w:t>
      </w:r>
      <w:r w:rsidRPr="00A84877">
        <w:t>Income Requirements</w:t>
      </w:r>
      <w:bookmarkEnd w:id="79"/>
      <w:bookmarkEnd w:id="80"/>
      <w:r>
        <w:t xml:space="preserve"> in PY</w:t>
      </w:r>
      <w:bookmarkEnd w:id="81"/>
      <w:r>
        <w:t>7</w:t>
      </w:r>
      <w:bookmarkEnd w:id="82"/>
    </w:p>
    <w:tbl>
      <w:tblPr>
        <w:tblW w:w="9362"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44"/>
        <w:gridCol w:w="1929"/>
        <w:gridCol w:w="1930"/>
        <w:gridCol w:w="1929"/>
        <w:gridCol w:w="1930"/>
      </w:tblGrid>
      <w:tr w:rsidR="008A7824" w:rsidRPr="004837FA" w:rsidTr="008A7824">
        <w:trPr>
          <w:trHeight w:val="619"/>
          <w:tblHeader/>
        </w:trPr>
        <w:tc>
          <w:tcPr>
            <w:tcW w:w="1644" w:type="dxa"/>
            <w:shd w:val="clear" w:color="000000" w:fill="448A99"/>
            <w:noWrap/>
            <w:vAlign w:val="bottom"/>
            <w:hideMark/>
          </w:tcPr>
          <w:p w:rsidR="008A7824" w:rsidRPr="004837FA" w:rsidRDefault="008A7824" w:rsidP="009960D4">
            <w:pPr>
              <w:jc w:val="left"/>
              <w:rPr>
                <w:b/>
                <w:bCs/>
                <w:color w:val="FFFFFF"/>
                <w:sz w:val="19"/>
                <w:szCs w:val="19"/>
              </w:rPr>
            </w:pPr>
            <w:r w:rsidRPr="004837FA">
              <w:rPr>
                <w:b/>
                <w:bCs/>
                <w:color w:val="FFFFFF"/>
                <w:sz w:val="19"/>
                <w:szCs w:val="19"/>
              </w:rPr>
              <w:t>EDC</w:t>
            </w:r>
          </w:p>
        </w:tc>
        <w:tc>
          <w:tcPr>
            <w:tcW w:w="1929" w:type="dxa"/>
            <w:shd w:val="clear" w:color="000000" w:fill="448A99"/>
            <w:vAlign w:val="bottom"/>
            <w:hideMark/>
          </w:tcPr>
          <w:p w:rsidR="008A7824" w:rsidRPr="004837FA" w:rsidRDefault="008A7824" w:rsidP="009960D4">
            <w:pPr>
              <w:jc w:val="center"/>
              <w:rPr>
                <w:b/>
                <w:bCs/>
                <w:color w:val="FFFFFF"/>
                <w:sz w:val="19"/>
                <w:szCs w:val="19"/>
              </w:rPr>
            </w:pPr>
            <w:r w:rsidRPr="004837FA">
              <w:rPr>
                <w:b/>
                <w:bCs/>
                <w:color w:val="FFFFFF"/>
                <w:sz w:val="19"/>
                <w:szCs w:val="19"/>
              </w:rPr>
              <w:t>% Low‐Income Measures</w:t>
            </w:r>
          </w:p>
          <w:p w:rsidR="008A7824" w:rsidRPr="004837FA" w:rsidRDefault="008A7824" w:rsidP="009960D4">
            <w:pPr>
              <w:jc w:val="center"/>
              <w:rPr>
                <w:b/>
                <w:bCs/>
                <w:color w:val="FFFFFF"/>
                <w:sz w:val="19"/>
                <w:szCs w:val="19"/>
              </w:rPr>
            </w:pPr>
            <w:r w:rsidRPr="004837FA">
              <w:rPr>
                <w:b/>
                <w:bCs/>
                <w:color w:val="FFFFFF"/>
                <w:sz w:val="19"/>
                <w:szCs w:val="19"/>
              </w:rPr>
              <w:t>Requirement</w:t>
            </w:r>
          </w:p>
        </w:tc>
        <w:tc>
          <w:tcPr>
            <w:tcW w:w="1930" w:type="dxa"/>
            <w:shd w:val="clear" w:color="000000" w:fill="448A99"/>
          </w:tcPr>
          <w:p w:rsidR="008A7824" w:rsidRPr="004837FA" w:rsidRDefault="008A7824" w:rsidP="009960D4">
            <w:pPr>
              <w:jc w:val="center"/>
              <w:rPr>
                <w:b/>
                <w:bCs/>
                <w:color w:val="FFFFFF"/>
                <w:sz w:val="19"/>
                <w:szCs w:val="19"/>
              </w:rPr>
            </w:pPr>
            <w:r w:rsidRPr="004837FA">
              <w:rPr>
                <w:b/>
                <w:bCs/>
                <w:color w:val="FFFFFF"/>
                <w:sz w:val="19"/>
                <w:szCs w:val="19"/>
              </w:rPr>
              <w:t>% Low‐Income Measures</w:t>
            </w:r>
          </w:p>
          <w:p w:rsidR="008A7824" w:rsidRPr="004837FA" w:rsidRDefault="008A7824" w:rsidP="009960D4">
            <w:pPr>
              <w:jc w:val="center"/>
              <w:rPr>
                <w:b/>
                <w:bCs/>
                <w:color w:val="FFFFFF"/>
                <w:sz w:val="19"/>
                <w:szCs w:val="19"/>
              </w:rPr>
            </w:pPr>
            <w:r w:rsidRPr="004837FA">
              <w:rPr>
                <w:b/>
                <w:bCs/>
                <w:color w:val="FFFFFF"/>
                <w:sz w:val="19"/>
                <w:szCs w:val="19"/>
              </w:rPr>
              <w:t>Offered in PY5</w:t>
            </w:r>
          </w:p>
        </w:tc>
        <w:tc>
          <w:tcPr>
            <w:tcW w:w="1929" w:type="dxa"/>
            <w:shd w:val="clear" w:color="000000" w:fill="448A99"/>
          </w:tcPr>
          <w:p w:rsidR="008A7824" w:rsidRPr="004837FA" w:rsidRDefault="008A7824" w:rsidP="009960D4">
            <w:pPr>
              <w:jc w:val="center"/>
              <w:rPr>
                <w:b/>
                <w:bCs/>
                <w:color w:val="FFFFFF"/>
                <w:sz w:val="19"/>
                <w:szCs w:val="19"/>
              </w:rPr>
            </w:pPr>
            <w:r w:rsidRPr="004837FA">
              <w:rPr>
                <w:b/>
                <w:bCs/>
                <w:color w:val="FFFFFF"/>
                <w:sz w:val="19"/>
                <w:szCs w:val="19"/>
              </w:rPr>
              <w:t>% Low‐Income Measures</w:t>
            </w:r>
          </w:p>
          <w:p w:rsidR="008A7824" w:rsidRPr="004837FA" w:rsidRDefault="008A7824" w:rsidP="009960D4">
            <w:pPr>
              <w:jc w:val="center"/>
              <w:rPr>
                <w:b/>
                <w:bCs/>
                <w:color w:val="FFFFFF"/>
                <w:sz w:val="19"/>
                <w:szCs w:val="19"/>
              </w:rPr>
            </w:pPr>
            <w:r w:rsidRPr="004837FA">
              <w:rPr>
                <w:b/>
                <w:bCs/>
                <w:color w:val="FFFFFF"/>
                <w:sz w:val="19"/>
                <w:szCs w:val="19"/>
              </w:rPr>
              <w:t>Offered in PY6</w:t>
            </w:r>
          </w:p>
        </w:tc>
        <w:tc>
          <w:tcPr>
            <w:tcW w:w="1930" w:type="dxa"/>
            <w:shd w:val="clear" w:color="000000" w:fill="448A99"/>
            <w:vAlign w:val="bottom"/>
            <w:hideMark/>
          </w:tcPr>
          <w:p w:rsidR="008A7824" w:rsidRPr="004837FA" w:rsidRDefault="008A7824" w:rsidP="009960D4">
            <w:pPr>
              <w:jc w:val="center"/>
              <w:rPr>
                <w:b/>
                <w:bCs/>
                <w:color w:val="FFFFFF"/>
                <w:sz w:val="19"/>
                <w:szCs w:val="19"/>
              </w:rPr>
            </w:pPr>
            <w:r w:rsidRPr="004837FA">
              <w:rPr>
                <w:b/>
                <w:bCs/>
                <w:color w:val="FFFFFF"/>
                <w:sz w:val="19"/>
                <w:szCs w:val="19"/>
              </w:rPr>
              <w:t>% Low‐Income Measures</w:t>
            </w:r>
          </w:p>
          <w:p w:rsidR="008A7824" w:rsidRPr="004837FA" w:rsidRDefault="008A7824" w:rsidP="009960D4">
            <w:pPr>
              <w:jc w:val="center"/>
              <w:rPr>
                <w:b/>
                <w:bCs/>
                <w:color w:val="FFFFFF"/>
                <w:sz w:val="19"/>
                <w:szCs w:val="19"/>
              </w:rPr>
            </w:pPr>
            <w:r w:rsidRPr="004837FA">
              <w:rPr>
                <w:b/>
                <w:bCs/>
                <w:color w:val="FFFFFF"/>
                <w:sz w:val="19"/>
                <w:szCs w:val="19"/>
              </w:rPr>
              <w:t>Offered in PY7</w:t>
            </w:r>
          </w:p>
        </w:tc>
      </w:tr>
      <w:tr w:rsidR="008A7824" w:rsidRPr="004837FA" w:rsidTr="00B662DF">
        <w:trPr>
          <w:trHeight w:val="144"/>
        </w:trPr>
        <w:tc>
          <w:tcPr>
            <w:tcW w:w="1644" w:type="dxa"/>
            <w:shd w:val="clear" w:color="000000" w:fill="D2EAF1"/>
            <w:vAlign w:val="center"/>
          </w:tcPr>
          <w:p w:rsidR="008A7824" w:rsidRPr="004837FA" w:rsidRDefault="008A7824" w:rsidP="009960D4">
            <w:pPr>
              <w:jc w:val="left"/>
              <w:rPr>
                <w:color w:val="000000"/>
                <w:sz w:val="19"/>
                <w:szCs w:val="19"/>
              </w:rPr>
            </w:pPr>
            <w:r w:rsidRPr="004837FA">
              <w:rPr>
                <w:color w:val="000000"/>
                <w:sz w:val="19"/>
                <w:szCs w:val="19"/>
              </w:rPr>
              <w:t>Duquesne</w:t>
            </w:r>
          </w:p>
        </w:tc>
        <w:tc>
          <w:tcPr>
            <w:tcW w:w="1929" w:type="dxa"/>
            <w:shd w:val="clear" w:color="000000" w:fill="D2EAF1"/>
            <w:noWrap/>
            <w:vAlign w:val="center"/>
          </w:tcPr>
          <w:p w:rsidR="008A7824" w:rsidRPr="004837FA" w:rsidRDefault="008A7824" w:rsidP="009960D4">
            <w:pPr>
              <w:jc w:val="center"/>
              <w:rPr>
                <w:color w:val="000000"/>
                <w:sz w:val="19"/>
                <w:szCs w:val="19"/>
                <w:highlight w:val="yellow"/>
              </w:rPr>
            </w:pPr>
            <w:r w:rsidRPr="004837FA">
              <w:rPr>
                <w:color w:val="000000"/>
                <w:sz w:val="19"/>
                <w:szCs w:val="19"/>
              </w:rPr>
              <w:t>8.402%</w:t>
            </w:r>
          </w:p>
        </w:tc>
        <w:tc>
          <w:tcPr>
            <w:tcW w:w="1930" w:type="dxa"/>
            <w:shd w:val="clear" w:color="000000" w:fill="D2EAF1"/>
            <w:vAlign w:val="center"/>
          </w:tcPr>
          <w:p w:rsidR="008A7824" w:rsidRPr="004837FA" w:rsidRDefault="008A7824" w:rsidP="009960D4">
            <w:pPr>
              <w:jc w:val="center"/>
              <w:rPr>
                <w:color w:val="000000"/>
                <w:sz w:val="19"/>
                <w:szCs w:val="19"/>
              </w:rPr>
            </w:pPr>
            <w:r w:rsidRPr="004837FA">
              <w:rPr>
                <w:color w:val="000000"/>
                <w:sz w:val="19"/>
                <w:szCs w:val="19"/>
              </w:rPr>
              <w:t>13%</w:t>
            </w:r>
          </w:p>
        </w:tc>
        <w:tc>
          <w:tcPr>
            <w:tcW w:w="1929" w:type="dxa"/>
            <w:shd w:val="clear" w:color="000000" w:fill="D2EAF1"/>
            <w:vAlign w:val="center"/>
          </w:tcPr>
          <w:p w:rsidR="008A7824" w:rsidRPr="004837FA" w:rsidRDefault="008A7824" w:rsidP="009960D4">
            <w:pPr>
              <w:jc w:val="center"/>
              <w:rPr>
                <w:color w:val="000000"/>
                <w:sz w:val="19"/>
                <w:szCs w:val="19"/>
              </w:rPr>
            </w:pPr>
            <w:r w:rsidRPr="004837FA">
              <w:rPr>
                <w:color w:val="000000"/>
                <w:sz w:val="19"/>
                <w:szCs w:val="19"/>
              </w:rPr>
              <w:t>15%</w:t>
            </w:r>
          </w:p>
        </w:tc>
        <w:tc>
          <w:tcPr>
            <w:tcW w:w="1930" w:type="dxa"/>
            <w:shd w:val="clear" w:color="000000" w:fill="D2EAF1"/>
            <w:noWrap/>
            <w:vAlign w:val="center"/>
          </w:tcPr>
          <w:p w:rsidR="008A7824" w:rsidRPr="004837FA" w:rsidRDefault="008A7824" w:rsidP="009960D4">
            <w:pPr>
              <w:jc w:val="center"/>
              <w:rPr>
                <w:color w:val="000000"/>
                <w:sz w:val="19"/>
                <w:szCs w:val="19"/>
              </w:rPr>
            </w:pPr>
            <w:r w:rsidRPr="004837FA">
              <w:rPr>
                <w:color w:val="000000"/>
                <w:sz w:val="19"/>
                <w:szCs w:val="19"/>
              </w:rPr>
              <w:t>14%</w:t>
            </w:r>
          </w:p>
        </w:tc>
      </w:tr>
      <w:tr w:rsidR="008A7824" w:rsidRPr="004837FA" w:rsidTr="00B662DF">
        <w:trPr>
          <w:trHeight w:val="144"/>
        </w:trPr>
        <w:tc>
          <w:tcPr>
            <w:tcW w:w="1644" w:type="dxa"/>
            <w:shd w:val="clear" w:color="auto" w:fill="auto"/>
            <w:vAlign w:val="bottom"/>
          </w:tcPr>
          <w:p w:rsidR="008A7824" w:rsidRPr="004837FA" w:rsidRDefault="008A7824" w:rsidP="009960D4">
            <w:pPr>
              <w:jc w:val="left"/>
              <w:rPr>
                <w:bCs/>
                <w:color w:val="000000"/>
                <w:sz w:val="19"/>
                <w:szCs w:val="19"/>
                <w:lang w:eastAsia="zh-CN"/>
              </w:rPr>
            </w:pPr>
            <w:r w:rsidRPr="004837FA">
              <w:rPr>
                <w:bCs/>
                <w:color w:val="000000"/>
                <w:sz w:val="19"/>
                <w:szCs w:val="19"/>
                <w:lang w:eastAsia="zh-CN"/>
              </w:rPr>
              <w:t>FE: Met-Ed</w:t>
            </w:r>
          </w:p>
        </w:tc>
        <w:tc>
          <w:tcPr>
            <w:tcW w:w="1929" w:type="dxa"/>
            <w:shd w:val="clear" w:color="auto" w:fill="auto"/>
            <w:noWrap/>
            <w:vAlign w:val="center"/>
          </w:tcPr>
          <w:p w:rsidR="008A7824" w:rsidRPr="004837FA" w:rsidRDefault="008A7824" w:rsidP="009960D4">
            <w:pPr>
              <w:jc w:val="center"/>
              <w:rPr>
                <w:color w:val="000000"/>
                <w:sz w:val="19"/>
                <w:szCs w:val="19"/>
                <w:highlight w:val="yellow"/>
              </w:rPr>
            </w:pPr>
            <w:r w:rsidRPr="004837FA">
              <w:rPr>
                <w:color w:val="000000"/>
                <w:sz w:val="19"/>
                <w:szCs w:val="19"/>
              </w:rPr>
              <w:t>8.787%</w:t>
            </w:r>
          </w:p>
        </w:tc>
        <w:tc>
          <w:tcPr>
            <w:tcW w:w="1930" w:type="dxa"/>
            <w:vAlign w:val="center"/>
          </w:tcPr>
          <w:p w:rsidR="008A7824" w:rsidRPr="004837FA" w:rsidRDefault="008A7824" w:rsidP="009960D4">
            <w:pPr>
              <w:jc w:val="center"/>
              <w:rPr>
                <w:color w:val="000000"/>
                <w:sz w:val="19"/>
                <w:szCs w:val="19"/>
              </w:rPr>
            </w:pPr>
            <w:r w:rsidRPr="004837FA">
              <w:rPr>
                <w:color w:val="000000"/>
                <w:sz w:val="19"/>
                <w:szCs w:val="19"/>
              </w:rPr>
              <w:t>15%</w:t>
            </w:r>
          </w:p>
        </w:tc>
        <w:tc>
          <w:tcPr>
            <w:tcW w:w="1929" w:type="dxa"/>
            <w:vAlign w:val="center"/>
          </w:tcPr>
          <w:p w:rsidR="008A7824" w:rsidRPr="004837FA" w:rsidRDefault="008A7824" w:rsidP="009960D4">
            <w:pPr>
              <w:jc w:val="center"/>
              <w:rPr>
                <w:color w:val="000000"/>
                <w:sz w:val="19"/>
                <w:szCs w:val="19"/>
              </w:rPr>
            </w:pPr>
            <w:r w:rsidRPr="004837FA">
              <w:rPr>
                <w:color w:val="000000"/>
                <w:sz w:val="19"/>
                <w:szCs w:val="19"/>
              </w:rPr>
              <w:t>15%</w:t>
            </w:r>
          </w:p>
        </w:tc>
        <w:tc>
          <w:tcPr>
            <w:tcW w:w="1930" w:type="dxa"/>
            <w:shd w:val="clear" w:color="auto" w:fill="auto"/>
            <w:noWrap/>
            <w:vAlign w:val="center"/>
          </w:tcPr>
          <w:p w:rsidR="008A7824" w:rsidRPr="004837FA" w:rsidRDefault="008A7824" w:rsidP="009960D4">
            <w:pPr>
              <w:jc w:val="center"/>
              <w:rPr>
                <w:color w:val="000000"/>
                <w:sz w:val="19"/>
                <w:szCs w:val="19"/>
              </w:rPr>
            </w:pPr>
            <w:r w:rsidRPr="004837FA">
              <w:rPr>
                <w:color w:val="000000"/>
                <w:sz w:val="19"/>
                <w:szCs w:val="19"/>
              </w:rPr>
              <w:t>15%</w:t>
            </w:r>
          </w:p>
        </w:tc>
      </w:tr>
      <w:tr w:rsidR="008A7824" w:rsidRPr="004837FA" w:rsidTr="00B662DF">
        <w:trPr>
          <w:trHeight w:val="144"/>
        </w:trPr>
        <w:tc>
          <w:tcPr>
            <w:tcW w:w="1644" w:type="dxa"/>
            <w:shd w:val="clear" w:color="000000" w:fill="D2EAF1"/>
            <w:vAlign w:val="bottom"/>
          </w:tcPr>
          <w:p w:rsidR="008A7824" w:rsidRPr="004837FA" w:rsidRDefault="008A7824" w:rsidP="009960D4">
            <w:pPr>
              <w:jc w:val="left"/>
              <w:rPr>
                <w:bCs/>
                <w:color w:val="000000"/>
                <w:sz w:val="19"/>
                <w:szCs w:val="19"/>
                <w:lang w:eastAsia="zh-CN"/>
              </w:rPr>
            </w:pPr>
            <w:r w:rsidRPr="004837FA">
              <w:rPr>
                <w:bCs/>
                <w:color w:val="000000"/>
                <w:sz w:val="19"/>
                <w:szCs w:val="19"/>
                <w:lang w:eastAsia="zh-CN"/>
              </w:rPr>
              <w:t>FE: Penelec</w:t>
            </w:r>
          </w:p>
        </w:tc>
        <w:tc>
          <w:tcPr>
            <w:tcW w:w="1929" w:type="dxa"/>
            <w:shd w:val="clear" w:color="000000" w:fill="D2EAF1"/>
            <w:noWrap/>
            <w:vAlign w:val="center"/>
          </w:tcPr>
          <w:p w:rsidR="008A7824" w:rsidRPr="004837FA" w:rsidRDefault="008A7824" w:rsidP="009960D4">
            <w:pPr>
              <w:jc w:val="center"/>
              <w:rPr>
                <w:color w:val="000000"/>
                <w:sz w:val="19"/>
                <w:szCs w:val="19"/>
                <w:highlight w:val="yellow"/>
              </w:rPr>
            </w:pPr>
            <w:r w:rsidRPr="004837FA">
              <w:rPr>
                <w:color w:val="000000"/>
                <w:sz w:val="19"/>
                <w:szCs w:val="19"/>
              </w:rPr>
              <w:t>10.231%</w:t>
            </w:r>
          </w:p>
        </w:tc>
        <w:tc>
          <w:tcPr>
            <w:tcW w:w="1930" w:type="dxa"/>
            <w:shd w:val="clear" w:color="000000" w:fill="D2EAF1"/>
            <w:vAlign w:val="center"/>
          </w:tcPr>
          <w:p w:rsidR="008A7824" w:rsidRPr="004837FA" w:rsidRDefault="008A7824" w:rsidP="009960D4">
            <w:pPr>
              <w:jc w:val="center"/>
              <w:rPr>
                <w:color w:val="000000"/>
                <w:sz w:val="19"/>
                <w:szCs w:val="19"/>
              </w:rPr>
            </w:pPr>
            <w:r w:rsidRPr="004837FA">
              <w:rPr>
                <w:color w:val="000000"/>
                <w:sz w:val="19"/>
                <w:szCs w:val="19"/>
              </w:rPr>
              <w:t>15%</w:t>
            </w:r>
          </w:p>
        </w:tc>
        <w:tc>
          <w:tcPr>
            <w:tcW w:w="1929" w:type="dxa"/>
            <w:shd w:val="clear" w:color="000000" w:fill="D2EAF1"/>
            <w:vAlign w:val="center"/>
          </w:tcPr>
          <w:p w:rsidR="008A7824" w:rsidRPr="004837FA" w:rsidRDefault="008A7824" w:rsidP="009960D4">
            <w:pPr>
              <w:jc w:val="center"/>
              <w:rPr>
                <w:color w:val="000000"/>
                <w:sz w:val="19"/>
                <w:szCs w:val="19"/>
              </w:rPr>
            </w:pPr>
            <w:r w:rsidRPr="004837FA">
              <w:rPr>
                <w:color w:val="000000"/>
                <w:sz w:val="19"/>
                <w:szCs w:val="19"/>
              </w:rPr>
              <w:t>15%</w:t>
            </w:r>
          </w:p>
        </w:tc>
        <w:tc>
          <w:tcPr>
            <w:tcW w:w="1930" w:type="dxa"/>
            <w:shd w:val="clear" w:color="000000" w:fill="D2EAF1"/>
            <w:noWrap/>
            <w:vAlign w:val="center"/>
          </w:tcPr>
          <w:p w:rsidR="008A7824" w:rsidRPr="004837FA" w:rsidRDefault="008A7824" w:rsidP="009960D4">
            <w:pPr>
              <w:jc w:val="center"/>
              <w:rPr>
                <w:color w:val="000000"/>
                <w:sz w:val="19"/>
                <w:szCs w:val="19"/>
              </w:rPr>
            </w:pPr>
            <w:r w:rsidRPr="004837FA">
              <w:rPr>
                <w:color w:val="000000"/>
                <w:sz w:val="19"/>
                <w:szCs w:val="19"/>
              </w:rPr>
              <w:t>15%</w:t>
            </w:r>
          </w:p>
        </w:tc>
      </w:tr>
      <w:tr w:rsidR="008A7824" w:rsidRPr="004837FA" w:rsidTr="00B662DF">
        <w:trPr>
          <w:trHeight w:val="144"/>
        </w:trPr>
        <w:tc>
          <w:tcPr>
            <w:tcW w:w="1644" w:type="dxa"/>
            <w:shd w:val="clear" w:color="auto" w:fill="auto"/>
            <w:vAlign w:val="bottom"/>
          </w:tcPr>
          <w:p w:rsidR="008A7824" w:rsidRPr="004837FA" w:rsidRDefault="008A7824" w:rsidP="009960D4">
            <w:pPr>
              <w:jc w:val="left"/>
              <w:rPr>
                <w:bCs/>
                <w:color w:val="000000"/>
                <w:sz w:val="19"/>
                <w:szCs w:val="19"/>
                <w:lang w:eastAsia="zh-CN"/>
              </w:rPr>
            </w:pPr>
            <w:r w:rsidRPr="004837FA">
              <w:rPr>
                <w:bCs/>
                <w:color w:val="000000"/>
                <w:sz w:val="19"/>
                <w:szCs w:val="19"/>
                <w:lang w:eastAsia="zh-CN"/>
              </w:rPr>
              <w:t>FE: Penn Power</w:t>
            </w:r>
          </w:p>
        </w:tc>
        <w:tc>
          <w:tcPr>
            <w:tcW w:w="1929" w:type="dxa"/>
            <w:shd w:val="clear" w:color="auto" w:fill="auto"/>
            <w:noWrap/>
            <w:vAlign w:val="center"/>
          </w:tcPr>
          <w:p w:rsidR="008A7824" w:rsidRPr="004837FA" w:rsidRDefault="008A7824" w:rsidP="009960D4">
            <w:pPr>
              <w:jc w:val="center"/>
              <w:rPr>
                <w:color w:val="000000"/>
                <w:sz w:val="19"/>
                <w:szCs w:val="19"/>
                <w:highlight w:val="yellow"/>
              </w:rPr>
            </w:pPr>
            <w:r w:rsidRPr="004837FA">
              <w:rPr>
                <w:color w:val="000000"/>
                <w:sz w:val="19"/>
                <w:szCs w:val="19"/>
              </w:rPr>
              <w:t>10.639%</w:t>
            </w:r>
          </w:p>
        </w:tc>
        <w:tc>
          <w:tcPr>
            <w:tcW w:w="1930" w:type="dxa"/>
            <w:vAlign w:val="center"/>
          </w:tcPr>
          <w:p w:rsidR="008A7824" w:rsidRPr="004837FA" w:rsidRDefault="008A7824" w:rsidP="009960D4">
            <w:pPr>
              <w:jc w:val="center"/>
              <w:rPr>
                <w:color w:val="000000"/>
                <w:sz w:val="19"/>
                <w:szCs w:val="19"/>
              </w:rPr>
            </w:pPr>
            <w:r w:rsidRPr="004837FA">
              <w:rPr>
                <w:color w:val="000000"/>
                <w:sz w:val="19"/>
                <w:szCs w:val="19"/>
              </w:rPr>
              <w:t>15%</w:t>
            </w:r>
          </w:p>
        </w:tc>
        <w:tc>
          <w:tcPr>
            <w:tcW w:w="1929" w:type="dxa"/>
            <w:vAlign w:val="center"/>
          </w:tcPr>
          <w:p w:rsidR="008A7824" w:rsidRPr="004837FA" w:rsidRDefault="008A7824" w:rsidP="009960D4">
            <w:pPr>
              <w:jc w:val="center"/>
              <w:rPr>
                <w:color w:val="000000"/>
                <w:sz w:val="19"/>
                <w:szCs w:val="19"/>
              </w:rPr>
            </w:pPr>
            <w:r w:rsidRPr="004837FA">
              <w:rPr>
                <w:color w:val="000000"/>
                <w:sz w:val="19"/>
                <w:szCs w:val="19"/>
              </w:rPr>
              <w:t>15%</w:t>
            </w:r>
          </w:p>
        </w:tc>
        <w:tc>
          <w:tcPr>
            <w:tcW w:w="1930" w:type="dxa"/>
            <w:shd w:val="clear" w:color="auto" w:fill="auto"/>
            <w:noWrap/>
            <w:vAlign w:val="center"/>
          </w:tcPr>
          <w:p w:rsidR="008A7824" w:rsidRPr="004837FA" w:rsidRDefault="008A7824" w:rsidP="009960D4">
            <w:pPr>
              <w:jc w:val="center"/>
              <w:rPr>
                <w:color w:val="000000"/>
                <w:sz w:val="19"/>
                <w:szCs w:val="19"/>
              </w:rPr>
            </w:pPr>
            <w:r w:rsidRPr="004837FA">
              <w:rPr>
                <w:color w:val="000000"/>
                <w:sz w:val="19"/>
                <w:szCs w:val="19"/>
              </w:rPr>
              <w:t>15%</w:t>
            </w:r>
          </w:p>
        </w:tc>
      </w:tr>
      <w:tr w:rsidR="008A7824" w:rsidRPr="004837FA" w:rsidTr="00B662DF">
        <w:trPr>
          <w:trHeight w:val="144"/>
        </w:trPr>
        <w:tc>
          <w:tcPr>
            <w:tcW w:w="1644" w:type="dxa"/>
            <w:shd w:val="clear" w:color="000000" w:fill="D2EAF1"/>
            <w:vAlign w:val="bottom"/>
          </w:tcPr>
          <w:p w:rsidR="008A7824" w:rsidRPr="004837FA" w:rsidRDefault="008A7824" w:rsidP="009960D4">
            <w:pPr>
              <w:jc w:val="left"/>
              <w:rPr>
                <w:bCs/>
                <w:color w:val="000000"/>
                <w:sz w:val="19"/>
                <w:szCs w:val="19"/>
                <w:lang w:eastAsia="zh-CN"/>
              </w:rPr>
            </w:pPr>
            <w:r w:rsidRPr="004837FA">
              <w:rPr>
                <w:bCs/>
                <w:color w:val="000000"/>
                <w:sz w:val="19"/>
                <w:szCs w:val="19"/>
                <w:lang w:eastAsia="zh-CN"/>
              </w:rPr>
              <w:t xml:space="preserve">FE: West Penn </w:t>
            </w:r>
          </w:p>
        </w:tc>
        <w:tc>
          <w:tcPr>
            <w:tcW w:w="1929" w:type="dxa"/>
            <w:shd w:val="clear" w:color="000000" w:fill="D2EAF1"/>
            <w:noWrap/>
            <w:vAlign w:val="center"/>
          </w:tcPr>
          <w:p w:rsidR="008A7824" w:rsidRPr="004837FA" w:rsidRDefault="008A7824" w:rsidP="009960D4">
            <w:pPr>
              <w:jc w:val="center"/>
              <w:rPr>
                <w:color w:val="000000"/>
                <w:sz w:val="19"/>
                <w:szCs w:val="19"/>
                <w:highlight w:val="yellow"/>
              </w:rPr>
            </w:pPr>
            <w:r w:rsidRPr="004837FA">
              <w:rPr>
                <w:color w:val="000000"/>
                <w:sz w:val="19"/>
                <w:szCs w:val="19"/>
              </w:rPr>
              <w:t>8.794%</w:t>
            </w:r>
          </w:p>
        </w:tc>
        <w:tc>
          <w:tcPr>
            <w:tcW w:w="1930" w:type="dxa"/>
            <w:shd w:val="clear" w:color="000000" w:fill="D2EAF1"/>
            <w:vAlign w:val="center"/>
          </w:tcPr>
          <w:p w:rsidR="008A7824" w:rsidRPr="004837FA" w:rsidRDefault="008A7824" w:rsidP="009960D4">
            <w:pPr>
              <w:jc w:val="center"/>
              <w:rPr>
                <w:color w:val="000000"/>
                <w:sz w:val="19"/>
                <w:szCs w:val="19"/>
              </w:rPr>
            </w:pPr>
            <w:r w:rsidRPr="004837FA">
              <w:rPr>
                <w:color w:val="000000"/>
                <w:sz w:val="19"/>
                <w:szCs w:val="19"/>
              </w:rPr>
              <w:t>15%</w:t>
            </w:r>
          </w:p>
        </w:tc>
        <w:tc>
          <w:tcPr>
            <w:tcW w:w="1929" w:type="dxa"/>
            <w:shd w:val="clear" w:color="000000" w:fill="D2EAF1"/>
            <w:vAlign w:val="center"/>
          </w:tcPr>
          <w:p w:rsidR="008A7824" w:rsidRPr="004837FA" w:rsidRDefault="008A7824" w:rsidP="009960D4">
            <w:pPr>
              <w:jc w:val="center"/>
              <w:rPr>
                <w:color w:val="000000"/>
                <w:sz w:val="19"/>
                <w:szCs w:val="19"/>
              </w:rPr>
            </w:pPr>
            <w:r w:rsidRPr="004837FA">
              <w:rPr>
                <w:color w:val="000000"/>
                <w:sz w:val="19"/>
                <w:szCs w:val="19"/>
              </w:rPr>
              <w:t>15%</w:t>
            </w:r>
          </w:p>
        </w:tc>
        <w:tc>
          <w:tcPr>
            <w:tcW w:w="1930" w:type="dxa"/>
            <w:shd w:val="clear" w:color="000000" w:fill="D2EAF1"/>
            <w:noWrap/>
            <w:vAlign w:val="center"/>
          </w:tcPr>
          <w:p w:rsidR="008A7824" w:rsidRPr="004837FA" w:rsidRDefault="008A7824" w:rsidP="009960D4">
            <w:pPr>
              <w:jc w:val="center"/>
              <w:rPr>
                <w:color w:val="000000"/>
                <w:sz w:val="19"/>
                <w:szCs w:val="19"/>
              </w:rPr>
            </w:pPr>
            <w:r w:rsidRPr="004837FA">
              <w:rPr>
                <w:color w:val="000000"/>
                <w:sz w:val="19"/>
                <w:szCs w:val="19"/>
              </w:rPr>
              <w:t>15%</w:t>
            </w:r>
          </w:p>
        </w:tc>
      </w:tr>
      <w:tr w:rsidR="008A7824" w:rsidRPr="004837FA" w:rsidTr="00B662DF">
        <w:trPr>
          <w:trHeight w:val="144"/>
        </w:trPr>
        <w:tc>
          <w:tcPr>
            <w:tcW w:w="1644" w:type="dxa"/>
            <w:shd w:val="clear" w:color="auto" w:fill="auto"/>
            <w:vAlign w:val="center"/>
          </w:tcPr>
          <w:p w:rsidR="008A7824" w:rsidRPr="004837FA" w:rsidRDefault="008A7824" w:rsidP="009960D4">
            <w:pPr>
              <w:jc w:val="left"/>
              <w:rPr>
                <w:color w:val="000000"/>
                <w:sz w:val="19"/>
                <w:szCs w:val="19"/>
              </w:rPr>
            </w:pPr>
            <w:r w:rsidRPr="004837FA">
              <w:rPr>
                <w:color w:val="000000"/>
                <w:sz w:val="19"/>
                <w:szCs w:val="19"/>
              </w:rPr>
              <w:t>PECO</w:t>
            </w:r>
          </w:p>
        </w:tc>
        <w:tc>
          <w:tcPr>
            <w:tcW w:w="1929" w:type="dxa"/>
            <w:shd w:val="clear" w:color="auto" w:fill="auto"/>
            <w:noWrap/>
            <w:vAlign w:val="center"/>
          </w:tcPr>
          <w:p w:rsidR="008A7824" w:rsidRPr="004837FA" w:rsidRDefault="008A7824" w:rsidP="009960D4">
            <w:pPr>
              <w:jc w:val="center"/>
              <w:rPr>
                <w:color w:val="000000"/>
                <w:sz w:val="19"/>
                <w:szCs w:val="19"/>
                <w:highlight w:val="yellow"/>
              </w:rPr>
            </w:pPr>
            <w:r w:rsidRPr="004837FA">
              <w:rPr>
                <w:color w:val="000000"/>
                <w:sz w:val="19"/>
                <w:szCs w:val="19"/>
              </w:rPr>
              <w:t>8.799%</w:t>
            </w:r>
          </w:p>
        </w:tc>
        <w:tc>
          <w:tcPr>
            <w:tcW w:w="1930" w:type="dxa"/>
            <w:vAlign w:val="center"/>
          </w:tcPr>
          <w:p w:rsidR="008A7824" w:rsidRPr="004837FA" w:rsidRDefault="008A7824" w:rsidP="009960D4">
            <w:pPr>
              <w:jc w:val="center"/>
              <w:rPr>
                <w:color w:val="000000"/>
                <w:sz w:val="19"/>
                <w:szCs w:val="19"/>
              </w:rPr>
            </w:pPr>
            <w:r w:rsidRPr="004837FA">
              <w:rPr>
                <w:color w:val="000000"/>
                <w:sz w:val="19"/>
                <w:szCs w:val="19"/>
              </w:rPr>
              <w:t>16%</w:t>
            </w:r>
          </w:p>
        </w:tc>
        <w:tc>
          <w:tcPr>
            <w:tcW w:w="1929" w:type="dxa"/>
            <w:vAlign w:val="center"/>
          </w:tcPr>
          <w:p w:rsidR="008A7824" w:rsidRPr="004837FA" w:rsidRDefault="008A7824" w:rsidP="009960D4">
            <w:pPr>
              <w:jc w:val="center"/>
              <w:rPr>
                <w:color w:val="000000"/>
                <w:sz w:val="19"/>
                <w:szCs w:val="19"/>
              </w:rPr>
            </w:pPr>
            <w:r w:rsidRPr="004837FA">
              <w:rPr>
                <w:color w:val="000000"/>
                <w:sz w:val="19"/>
                <w:szCs w:val="19"/>
              </w:rPr>
              <w:t>16%</w:t>
            </w:r>
          </w:p>
        </w:tc>
        <w:tc>
          <w:tcPr>
            <w:tcW w:w="1930" w:type="dxa"/>
            <w:shd w:val="clear" w:color="auto" w:fill="auto"/>
            <w:noWrap/>
            <w:vAlign w:val="center"/>
          </w:tcPr>
          <w:p w:rsidR="008A7824" w:rsidRPr="004837FA" w:rsidRDefault="008A7824" w:rsidP="009960D4">
            <w:pPr>
              <w:jc w:val="center"/>
              <w:rPr>
                <w:color w:val="000000"/>
                <w:sz w:val="19"/>
                <w:szCs w:val="19"/>
                <w:highlight w:val="yellow"/>
              </w:rPr>
            </w:pPr>
            <w:r w:rsidRPr="004837FA">
              <w:rPr>
                <w:color w:val="000000"/>
                <w:sz w:val="19"/>
                <w:szCs w:val="19"/>
              </w:rPr>
              <w:t>17%</w:t>
            </w:r>
          </w:p>
        </w:tc>
      </w:tr>
      <w:tr w:rsidR="008A7824" w:rsidRPr="004837FA" w:rsidTr="00B662DF">
        <w:trPr>
          <w:trHeight w:val="144"/>
        </w:trPr>
        <w:tc>
          <w:tcPr>
            <w:tcW w:w="1644" w:type="dxa"/>
            <w:shd w:val="clear" w:color="000000" w:fill="D2EAF1"/>
            <w:vAlign w:val="center"/>
          </w:tcPr>
          <w:p w:rsidR="008A7824" w:rsidRPr="004837FA" w:rsidRDefault="008A7824" w:rsidP="009960D4">
            <w:pPr>
              <w:jc w:val="left"/>
              <w:rPr>
                <w:color w:val="000000"/>
                <w:sz w:val="19"/>
                <w:szCs w:val="19"/>
              </w:rPr>
            </w:pPr>
            <w:r w:rsidRPr="004837FA">
              <w:rPr>
                <w:color w:val="000000"/>
                <w:sz w:val="19"/>
                <w:szCs w:val="19"/>
              </w:rPr>
              <w:lastRenderedPageBreak/>
              <w:t>PPL</w:t>
            </w:r>
          </w:p>
        </w:tc>
        <w:tc>
          <w:tcPr>
            <w:tcW w:w="1929" w:type="dxa"/>
            <w:shd w:val="clear" w:color="000000" w:fill="D2EAF1"/>
            <w:noWrap/>
            <w:vAlign w:val="center"/>
          </w:tcPr>
          <w:p w:rsidR="008A7824" w:rsidRPr="004837FA" w:rsidRDefault="008A7824" w:rsidP="009960D4">
            <w:pPr>
              <w:jc w:val="center"/>
              <w:rPr>
                <w:color w:val="000000"/>
                <w:sz w:val="19"/>
                <w:szCs w:val="19"/>
                <w:highlight w:val="yellow"/>
              </w:rPr>
            </w:pPr>
            <w:r w:rsidRPr="004837FA">
              <w:rPr>
                <w:color w:val="000000"/>
                <w:sz w:val="19"/>
                <w:szCs w:val="19"/>
              </w:rPr>
              <w:t>9.950%</w:t>
            </w:r>
          </w:p>
        </w:tc>
        <w:tc>
          <w:tcPr>
            <w:tcW w:w="1930" w:type="dxa"/>
            <w:shd w:val="clear" w:color="000000" w:fill="D2EAF1"/>
            <w:vAlign w:val="center"/>
          </w:tcPr>
          <w:p w:rsidR="008A7824" w:rsidRPr="004837FA" w:rsidRDefault="008A7824" w:rsidP="009960D4">
            <w:pPr>
              <w:jc w:val="center"/>
              <w:rPr>
                <w:color w:val="000000"/>
                <w:sz w:val="19"/>
                <w:szCs w:val="19"/>
              </w:rPr>
            </w:pPr>
            <w:r w:rsidRPr="004837FA">
              <w:rPr>
                <w:color w:val="000000"/>
                <w:sz w:val="19"/>
                <w:szCs w:val="19"/>
              </w:rPr>
              <w:t>30%</w:t>
            </w:r>
            <w:r w:rsidRPr="004837FA">
              <w:rPr>
                <w:rStyle w:val="FootnoteReference"/>
                <w:rFonts w:eastAsiaTheme="minorHAnsi"/>
                <w:color w:val="000000"/>
                <w:sz w:val="19"/>
                <w:szCs w:val="19"/>
              </w:rPr>
              <w:footnoteReference w:id="16"/>
            </w:r>
          </w:p>
        </w:tc>
        <w:tc>
          <w:tcPr>
            <w:tcW w:w="1929" w:type="dxa"/>
            <w:shd w:val="clear" w:color="000000" w:fill="D2EAF1"/>
            <w:vAlign w:val="center"/>
          </w:tcPr>
          <w:p w:rsidR="008A7824" w:rsidRPr="004837FA" w:rsidRDefault="008A7824" w:rsidP="009960D4">
            <w:pPr>
              <w:jc w:val="center"/>
              <w:rPr>
                <w:color w:val="000000"/>
                <w:sz w:val="19"/>
                <w:szCs w:val="19"/>
              </w:rPr>
            </w:pPr>
            <w:r w:rsidRPr="004837FA">
              <w:rPr>
                <w:color w:val="000000"/>
                <w:sz w:val="19"/>
                <w:szCs w:val="19"/>
              </w:rPr>
              <w:t>45%</w:t>
            </w:r>
            <w:r w:rsidRPr="004837FA">
              <w:rPr>
                <w:rStyle w:val="FootnoteReference"/>
                <w:rFonts w:eastAsiaTheme="minorHAnsi"/>
                <w:color w:val="000000"/>
                <w:sz w:val="19"/>
                <w:szCs w:val="19"/>
              </w:rPr>
              <w:footnoteReference w:id="17"/>
            </w:r>
          </w:p>
        </w:tc>
        <w:tc>
          <w:tcPr>
            <w:tcW w:w="1930" w:type="dxa"/>
            <w:shd w:val="clear" w:color="000000" w:fill="D2EAF1"/>
            <w:noWrap/>
            <w:vAlign w:val="center"/>
          </w:tcPr>
          <w:p w:rsidR="008A7824" w:rsidRPr="004837FA" w:rsidRDefault="008A7824" w:rsidP="009960D4">
            <w:pPr>
              <w:jc w:val="center"/>
              <w:rPr>
                <w:color w:val="000000"/>
                <w:sz w:val="19"/>
                <w:szCs w:val="19"/>
                <w:highlight w:val="yellow"/>
              </w:rPr>
            </w:pPr>
            <w:r w:rsidRPr="004837FA">
              <w:rPr>
                <w:color w:val="000000"/>
                <w:sz w:val="19"/>
                <w:szCs w:val="19"/>
              </w:rPr>
              <w:t>46%</w:t>
            </w:r>
          </w:p>
        </w:tc>
      </w:tr>
    </w:tbl>
    <w:p w:rsidR="000A4055" w:rsidRDefault="000A4055" w:rsidP="000A4055">
      <w:pPr>
        <w:pStyle w:val="Heading2"/>
        <w:numPr>
          <w:ilvl w:val="0"/>
          <w:numId w:val="0"/>
        </w:numPr>
      </w:pPr>
      <w:bookmarkStart w:id="83" w:name="_Toc472472089"/>
      <w:bookmarkStart w:id="84" w:name="_Toc488765782"/>
    </w:p>
    <w:p w:rsidR="00523EDC" w:rsidRDefault="00523EDC" w:rsidP="00E673F0">
      <w:pPr>
        <w:pStyle w:val="Heading2"/>
      </w:pPr>
      <w:r w:rsidRPr="00523EDC">
        <w:t>Res</w:t>
      </w:r>
      <w:r>
        <w:t>ults f</w:t>
      </w:r>
      <w:r w:rsidRPr="00523EDC">
        <w:t>or Program Year 7 (2015</w:t>
      </w:r>
      <w:r w:rsidR="00FE0981">
        <w:t>–</w:t>
      </w:r>
      <w:r w:rsidRPr="00523EDC">
        <w:t>2016)</w:t>
      </w:r>
      <w:bookmarkEnd w:id="83"/>
      <w:bookmarkEnd w:id="84"/>
    </w:p>
    <w:p w:rsidR="00567F31" w:rsidRDefault="00567F31" w:rsidP="00567F31">
      <w:r w:rsidRPr="00567F31">
        <w:t>This section summarizes the energy savings reported by the EDCs for PY</w:t>
      </w:r>
      <w:r>
        <w:t>7</w:t>
      </w:r>
      <w:r w:rsidRPr="00567F31">
        <w:t>.</w:t>
      </w:r>
      <w:r>
        <w:t xml:space="preserve"> Savings are provided by EDC and by sector. A detailed review of low-income program performance is also provided.</w:t>
      </w:r>
    </w:p>
    <w:p w:rsidR="00567F31" w:rsidRPr="00567F31" w:rsidRDefault="00567F31" w:rsidP="00567F31"/>
    <w:p w:rsidR="00AC2B6F" w:rsidRPr="00C75D51" w:rsidRDefault="00523EDC" w:rsidP="00E673F0">
      <w:pPr>
        <w:pStyle w:val="Heading3"/>
      </w:pPr>
      <w:bookmarkStart w:id="85" w:name="_Toc472472090"/>
      <w:bookmarkStart w:id="86" w:name="_Toc488765783"/>
      <w:r w:rsidRPr="00C75D51">
        <w:t>Summary of Energy Savings Statewide and by EDC</w:t>
      </w:r>
      <w:bookmarkEnd w:id="85"/>
      <w:bookmarkEnd w:id="86"/>
    </w:p>
    <w:p w:rsidR="00E85C2D" w:rsidRDefault="00034417" w:rsidP="00E85C2D">
      <w:r>
        <w:fldChar w:fldCharType="begin"/>
      </w:r>
      <w:r>
        <w:instrText xml:space="preserve"> REF _Ref472270932 \h </w:instrText>
      </w:r>
      <w:r>
        <w:fldChar w:fldCharType="separate"/>
      </w:r>
      <w:r w:rsidR="00037CB4">
        <w:t xml:space="preserve">Table </w:t>
      </w:r>
      <w:r w:rsidR="00037CB4">
        <w:rPr>
          <w:noProof/>
        </w:rPr>
        <w:t>2</w:t>
      </w:r>
      <w:r w:rsidR="00037CB4">
        <w:noBreakHyphen/>
      </w:r>
      <w:r w:rsidR="00037CB4">
        <w:rPr>
          <w:noProof/>
        </w:rPr>
        <w:t>7</w:t>
      </w:r>
      <w:r>
        <w:fldChar w:fldCharType="end"/>
      </w:r>
      <w:r>
        <w:t xml:space="preserve"> </w:t>
      </w:r>
      <w:r w:rsidR="00E85C2D" w:rsidRPr="00E85C2D">
        <w:t>summarizes the</w:t>
      </w:r>
      <w:r>
        <w:t xml:space="preserve"> reported and</w:t>
      </w:r>
      <w:r w:rsidR="00E85C2D" w:rsidRPr="00E85C2D">
        <w:t xml:space="preserve"> </w:t>
      </w:r>
      <w:r>
        <w:t>verified energy savings in PY7 for each EDC.</w:t>
      </w:r>
    </w:p>
    <w:p w:rsidR="00E85C2D" w:rsidRDefault="00E85C2D" w:rsidP="00E85C2D"/>
    <w:p w:rsidR="00E85C2D" w:rsidRDefault="00E85C2D" w:rsidP="004837FA">
      <w:pPr>
        <w:pStyle w:val="Caption"/>
      </w:pPr>
      <w:bookmarkStart w:id="87" w:name="_Ref472270932"/>
      <w:bookmarkStart w:id="88" w:name="_Toc472472161"/>
      <w:bookmarkStart w:id="89" w:name="_Toc488741738"/>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7</w:t>
      </w:r>
      <w:r w:rsidR="007973A4">
        <w:rPr>
          <w:noProof/>
        </w:rPr>
        <w:fldChar w:fldCharType="end"/>
      </w:r>
      <w:bookmarkEnd w:id="87"/>
      <w:r w:rsidR="007B7BD7">
        <w:t xml:space="preserve">: </w:t>
      </w:r>
      <w:r>
        <w:t>Summary of PY7</w:t>
      </w:r>
      <w:r w:rsidR="00FE0981">
        <w:t xml:space="preserve"> Reported and</w:t>
      </w:r>
      <w:r>
        <w:t xml:space="preserve"> Verified Energy Savings by EDC</w:t>
      </w:r>
      <w:bookmarkEnd w:id="88"/>
      <w:bookmarkEnd w:id="89"/>
    </w:p>
    <w:tbl>
      <w:tblPr>
        <w:tblW w:w="9350" w:type="dxa"/>
        <w:tblLook w:val="04A0" w:firstRow="1" w:lastRow="0" w:firstColumn="1" w:lastColumn="0" w:noHBand="0" w:noVBand="1"/>
      </w:tblPr>
      <w:tblGrid>
        <w:gridCol w:w="2337"/>
        <w:gridCol w:w="2338"/>
        <w:gridCol w:w="2337"/>
        <w:gridCol w:w="2338"/>
      </w:tblGrid>
      <w:tr w:rsidR="00A874AC" w:rsidRPr="004837FA" w:rsidTr="000123A3">
        <w:trPr>
          <w:trHeight w:val="421"/>
        </w:trPr>
        <w:tc>
          <w:tcPr>
            <w:tcW w:w="2337" w:type="dxa"/>
            <w:tcBorders>
              <w:top w:val="single" w:sz="8" w:space="0" w:color="448A99"/>
              <w:left w:val="single" w:sz="8" w:space="0" w:color="448A99"/>
              <w:bottom w:val="single" w:sz="8" w:space="0" w:color="448A99"/>
              <w:right w:val="nil"/>
            </w:tcBorders>
            <w:shd w:val="clear" w:color="000000" w:fill="448A99"/>
            <w:vAlign w:val="bottom"/>
            <w:hideMark/>
          </w:tcPr>
          <w:p w:rsidR="00A6625F" w:rsidRPr="004837FA" w:rsidRDefault="00A6625F" w:rsidP="000123A3">
            <w:pPr>
              <w:rPr>
                <w:b/>
                <w:bCs/>
                <w:color w:val="FFFFFF"/>
                <w:sz w:val="19"/>
                <w:szCs w:val="19"/>
              </w:rPr>
            </w:pPr>
            <w:r w:rsidRPr="004837FA">
              <w:rPr>
                <w:b/>
                <w:bCs/>
                <w:color w:val="FFFFFF"/>
                <w:sz w:val="19"/>
                <w:szCs w:val="19"/>
              </w:rPr>
              <w:t>EDC</w:t>
            </w:r>
          </w:p>
        </w:tc>
        <w:tc>
          <w:tcPr>
            <w:tcW w:w="2338"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6625F" w:rsidRPr="004837FA" w:rsidRDefault="00A6625F" w:rsidP="000123A3">
            <w:pPr>
              <w:jc w:val="center"/>
              <w:rPr>
                <w:b/>
                <w:bCs/>
                <w:color w:val="FFFFFF"/>
                <w:sz w:val="19"/>
                <w:szCs w:val="19"/>
              </w:rPr>
            </w:pPr>
            <w:r w:rsidRPr="004837FA">
              <w:rPr>
                <w:b/>
                <w:bCs/>
                <w:color w:val="FFFFFF"/>
                <w:sz w:val="19"/>
                <w:szCs w:val="19"/>
              </w:rPr>
              <w:t>PY7 Reported Energy Savings (MWh/yr)</w:t>
            </w:r>
          </w:p>
        </w:tc>
        <w:tc>
          <w:tcPr>
            <w:tcW w:w="2337"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4837FA" w:rsidRDefault="00A6625F" w:rsidP="000123A3">
            <w:pPr>
              <w:jc w:val="center"/>
              <w:rPr>
                <w:b/>
                <w:bCs/>
                <w:color w:val="FFFFFF"/>
                <w:sz w:val="19"/>
                <w:szCs w:val="19"/>
              </w:rPr>
            </w:pPr>
            <w:r w:rsidRPr="004837FA">
              <w:rPr>
                <w:b/>
                <w:bCs/>
                <w:color w:val="FFFFFF"/>
                <w:sz w:val="19"/>
                <w:szCs w:val="19"/>
              </w:rPr>
              <w:t>PY7 Verified Energy Savings (MWh/yr)</w:t>
            </w:r>
          </w:p>
        </w:tc>
        <w:tc>
          <w:tcPr>
            <w:tcW w:w="2338"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4837FA" w:rsidRDefault="00A6625F" w:rsidP="000123A3">
            <w:pPr>
              <w:jc w:val="center"/>
              <w:rPr>
                <w:b/>
                <w:bCs/>
                <w:color w:val="FFFFFF"/>
                <w:sz w:val="19"/>
                <w:szCs w:val="19"/>
              </w:rPr>
            </w:pPr>
            <w:r w:rsidRPr="004837FA">
              <w:rPr>
                <w:b/>
                <w:bCs/>
                <w:color w:val="FFFFFF"/>
                <w:sz w:val="19"/>
                <w:szCs w:val="19"/>
              </w:rPr>
              <w:t>Realization Rate</w:t>
            </w:r>
          </w:p>
        </w:tc>
      </w:tr>
      <w:tr w:rsidR="00A874AC" w:rsidRPr="004837FA" w:rsidTr="000123A3">
        <w:trPr>
          <w:trHeight w:val="315"/>
        </w:trPr>
        <w:tc>
          <w:tcPr>
            <w:tcW w:w="2337" w:type="dxa"/>
            <w:tcBorders>
              <w:top w:val="nil"/>
              <w:left w:val="single" w:sz="8" w:space="0" w:color="448A99"/>
              <w:bottom w:val="single" w:sz="8" w:space="0" w:color="448A99"/>
              <w:right w:val="nil"/>
            </w:tcBorders>
            <w:shd w:val="clear" w:color="000000" w:fill="D2EAF1"/>
            <w:vAlign w:val="center"/>
            <w:hideMark/>
          </w:tcPr>
          <w:p w:rsidR="00A6625F" w:rsidRPr="004837FA" w:rsidRDefault="00A6625F" w:rsidP="00A6625F">
            <w:pPr>
              <w:jc w:val="left"/>
              <w:rPr>
                <w:color w:val="000000"/>
                <w:sz w:val="19"/>
                <w:szCs w:val="19"/>
              </w:rPr>
            </w:pPr>
            <w:r w:rsidRPr="004837FA">
              <w:rPr>
                <w:color w:val="000000"/>
                <w:sz w:val="19"/>
                <w:szCs w:val="19"/>
              </w:rPr>
              <w:t>Duquesne</w:t>
            </w:r>
          </w:p>
        </w:tc>
        <w:tc>
          <w:tcPr>
            <w:tcW w:w="2338"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4837FA" w:rsidRDefault="00A6625F" w:rsidP="00A6625F">
            <w:pPr>
              <w:jc w:val="center"/>
              <w:rPr>
                <w:color w:val="000000"/>
                <w:sz w:val="19"/>
                <w:szCs w:val="19"/>
              </w:rPr>
            </w:pPr>
            <w:r w:rsidRPr="004837FA">
              <w:rPr>
                <w:color w:val="000000"/>
                <w:sz w:val="19"/>
                <w:szCs w:val="19"/>
              </w:rPr>
              <w:t>144,200</w:t>
            </w:r>
          </w:p>
        </w:tc>
        <w:tc>
          <w:tcPr>
            <w:tcW w:w="2337" w:type="dxa"/>
            <w:tcBorders>
              <w:top w:val="nil"/>
              <w:left w:val="nil"/>
              <w:bottom w:val="single" w:sz="8" w:space="0" w:color="448A99"/>
              <w:right w:val="single" w:sz="8" w:space="0" w:color="448A99"/>
            </w:tcBorders>
            <w:shd w:val="clear" w:color="000000" w:fill="D2EAF1"/>
            <w:vAlign w:val="center"/>
            <w:hideMark/>
          </w:tcPr>
          <w:p w:rsidR="00A6625F" w:rsidRPr="004837FA" w:rsidRDefault="001F16F2" w:rsidP="00A6625F">
            <w:pPr>
              <w:jc w:val="center"/>
              <w:rPr>
                <w:color w:val="000000"/>
                <w:sz w:val="19"/>
                <w:szCs w:val="19"/>
              </w:rPr>
            </w:pPr>
            <w:r w:rsidRPr="004837FA">
              <w:rPr>
                <w:color w:val="000000"/>
                <w:sz w:val="19"/>
                <w:szCs w:val="19"/>
              </w:rPr>
              <w:t>142,128</w:t>
            </w:r>
          </w:p>
        </w:tc>
        <w:tc>
          <w:tcPr>
            <w:tcW w:w="2338" w:type="dxa"/>
            <w:tcBorders>
              <w:top w:val="nil"/>
              <w:left w:val="nil"/>
              <w:bottom w:val="single" w:sz="8" w:space="0" w:color="448A99"/>
              <w:right w:val="single" w:sz="8" w:space="0" w:color="448A99"/>
            </w:tcBorders>
            <w:shd w:val="clear" w:color="000000" w:fill="D2EAF1"/>
            <w:vAlign w:val="center"/>
            <w:hideMark/>
          </w:tcPr>
          <w:p w:rsidR="00A6625F" w:rsidRPr="004837FA" w:rsidRDefault="00A6625F" w:rsidP="00A6625F">
            <w:pPr>
              <w:jc w:val="center"/>
              <w:rPr>
                <w:color w:val="000000"/>
                <w:sz w:val="19"/>
                <w:szCs w:val="19"/>
              </w:rPr>
            </w:pPr>
            <w:r w:rsidRPr="004837FA">
              <w:rPr>
                <w:color w:val="000000"/>
                <w:sz w:val="19"/>
                <w:szCs w:val="19"/>
              </w:rPr>
              <w:t>99%</w:t>
            </w:r>
          </w:p>
        </w:tc>
      </w:tr>
      <w:tr w:rsidR="00A874AC" w:rsidRPr="004837FA" w:rsidTr="000123A3">
        <w:trPr>
          <w:trHeight w:val="315"/>
        </w:trPr>
        <w:tc>
          <w:tcPr>
            <w:tcW w:w="2337" w:type="dxa"/>
            <w:tcBorders>
              <w:top w:val="nil"/>
              <w:left w:val="single" w:sz="8" w:space="0" w:color="448A99"/>
              <w:bottom w:val="single" w:sz="8" w:space="0" w:color="448A99"/>
              <w:right w:val="nil"/>
            </w:tcBorders>
            <w:shd w:val="clear" w:color="000000" w:fill="FFFFFF"/>
            <w:vAlign w:val="center"/>
            <w:hideMark/>
          </w:tcPr>
          <w:p w:rsidR="00A6625F" w:rsidRPr="004837FA" w:rsidRDefault="00A6625F" w:rsidP="00A6625F">
            <w:pPr>
              <w:jc w:val="left"/>
              <w:rPr>
                <w:color w:val="000000"/>
                <w:sz w:val="19"/>
                <w:szCs w:val="19"/>
              </w:rPr>
            </w:pPr>
            <w:r w:rsidRPr="004837FA">
              <w:rPr>
                <w:color w:val="000000"/>
                <w:sz w:val="19"/>
                <w:szCs w:val="19"/>
              </w:rPr>
              <w:t>FE: Met-Ed</w:t>
            </w:r>
          </w:p>
        </w:tc>
        <w:tc>
          <w:tcPr>
            <w:tcW w:w="2338"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4837FA" w:rsidRDefault="00A6625F" w:rsidP="00A6625F">
            <w:pPr>
              <w:jc w:val="center"/>
              <w:rPr>
                <w:color w:val="000000"/>
                <w:sz w:val="19"/>
                <w:szCs w:val="19"/>
              </w:rPr>
            </w:pPr>
            <w:r w:rsidRPr="004837FA">
              <w:rPr>
                <w:color w:val="000000"/>
                <w:sz w:val="19"/>
                <w:szCs w:val="19"/>
              </w:rPr>
              <w:t>170,583</w:t>
            </w:r>
          </w:p>
        </w:tc>
        <w:tc>
          <w:tcPr>
            <w:tcW w:w="2337" w:type="dxa"/>
            <w:tcBorders>
              <w:top w:val="nil"/>
              <w:left w:val="nil"/>
              <w:bottom w:val="single" w:sz="8" w:space="0" w:color="448A99"/>
              <w:right w:val="single" w:sz="8" w:space="0" w:color="448A99"/>
            </w:tcBorders>
            <w:shd w:val="clear" w:color="000000" w:fill="FFFFFF"/>
            <w:vAlign w:val="center"/>
            <w:hideMark/>
          </w:tcPr>
          <w:p w:rsidR="00A6625F" w:rsidRPr="004837FA" w:rsidRDefault="00A6625F" w:rsidP="00A6625F">
            <w:pPr>
              <w:jc w:val="center"/>
              <w:rPr>
                <w:color w:val="000000"/>
                <w:sz w:val="19"/>
                <w:szCs w:val="19"/>
              </w:rPr>
            </w:pPr>
            <w:r w:rsidRPr="004837FA">
              <w:rPr>
                <w:color w:val="000000"/>
                <w:sz w:val="19"/>
                <w:szCs w:val="19"/>
              </w:rPr>
              <w:t>171,420</w:t>
            </w:r>
          </w:p>
        </w:tc>
        <w:tc>
          <w:tcPr>
            <w:tcW w:w="2338" w:type="dxa"/>
            <w:tcBorders>
              <w:top w:val="nil"/>
              <w:left w:val="nil"/>
              <w:bottom w:val="single" w:sz="8" w:space="0" w:color="448A99"/>
              <w:right w:val="single" w:sz="8" w:space="0" w:color="448A99"/>
            </w:tcBorders>
            <w:shd w:val="clear" w:color="000000" w:fill="FFFFFF"/>
            <w:vAlign w:val="center"/>
            <w:hideMark/>
          </w:tcPr>
          <w:p w:rsidR="00A6625F" w:rsidRPr="004837FA" w:rsidRDefault="00A6625F" w:rsidP="00A6625F">
            <w:pPr>
              <w:jc w:val="center"/>
              <w:rPr>
                <w:color w:val="000000"/>
                <w:sz w:val="19"/>
                <w:szCs w:val="19"/>
              </w:rPr>
            </w:pPr>
            <w:r w:rsidRPr="004837FA">
              <w:rPr>
                <w:color w:val="000000"/>
                <w:sz w:val="19"/>
                <w:szCs w:val="19"/>
              </w:rPr>
              <w:t>100%</w:t>
            </w:r>
          </w:p>
        </w:tc>
      </w:tr>
      <w:tr w:rsidR="00A874AC" w:rsidRPr="004837FA" w:rsidTr="000123A3">
        <w:trPr>
          <w:trHeight w:val="315"/>
        </w:trPr>
        <w:tc>
          <w:tcPr>
            <w:tcW w:w="2337" w:type="dxa"/>
            <w:tcBorders>
              <w:top w:val="nil"/>
              <w:left w:val="single" w:sz="8" w:space="0" w:color="448A99"/>
              <w:bottom w:val="single" w:sz="8" w:space="0" w:color="448A99"/>
              <w:right w:val="nil"/>
            </w:tcBorders>
            <w:shd w:val="clear" w:color="000000" w:fill="D2EAF1"/>
            <w:vAlign w:val="center"/>
            <w:hideMark/>
          </w:tcPr>
          <w:p w:rsidR="00A6625F" w:rsidRPr="004837FA" w:rsidRDefault="00A6625F" w:rsidP="00A6625F">
            <w:pPr>
              <w:jc w:val="left"/>
              <w:rPr>
                <w:color w:val="000000"/>
                <w:sz w:val="19"/>
                <w:szCs w:val="19"/>
              </w:rPr>
            </w:pPr>
            <w:r w:rsidRPr="004837FA">
              <w:rPr>
                <w:color w:val="000000"/>
                <w:sz w:val="19"/>
                <w:szCs w:val="19"/>
              </w:rPr>
              <w:t>FE: Penelec</w:t>
            </w:r>
          </w:p>
        </w:tc>
        <w:tc>
          <w:tcPr>
            <w:tcW w:w="2338"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4837FA" w:rsidRDefault="00A6625F" w:rsidP="00A6625F">
            <w:pPr>
              <w:jc w:val="center"/>
              <w:rPr>
                <w:color w:val="000000"/>
                <w:sz w:val="19"/>
                <w:szCs w:val="19"/>
              </w:rPr>
            </w:pPr>
            <w:r w:rsidRPr="004837FA">
              <w:rPr>
                <w:color w:val="000000"/>
                <w:sz w:val="19"/>
                <w:szCs w:val="19"/>
              </w:rPr>
              <w:t>160,046</w:t>
            </w:r>
          </w:p>
        </w:tc>
        <w:tc>
          <w:tcPr>
            <w:tcW w:w="2337" w:type="dxa"/>
            <w:tcBorders>
              <w:top w:val="nil"/>
              <w:left w:val="nil"/>
              <w:bottom w:val="single" w:sz="8" w:space="0" w:color="448A99"/>
              <w:right w:val="single" w:sz="8" w:space="0" w:color="448A99"/>
            </w:tcBorders>
            <w:shd w:val="clear" w:color="000000" w:fill="D2EAF1"/>
            <w:vAlign w:val="center"/>
            <w:hideMark/>
          </w:tcPr>
          <w:p w:rsidR="00A6625F" w:rsidRPr="004837FA" w:rsidRDefault="00A6625F" w:rsidP="00A6625F">
            <w:pPr>
              <w:jc w:val="center"/>
              <w:rPr>
                <w:color w:val="000000"/>
                <w:sz w:val="19"/>
                <w:szCs w:val="19"/>
              </w:rPr>
            </w:pPr>
            <w:r w:rsidRPr="004837FA">
              <w:rPr>
                <w:color w:val="000000"/>
                <w:sz w:val="19"/>
                <w:szCs w:val="19"/>
              </w:rPr>
              <w:t>164,398</w:t>
            </w:r>
          </w:p>
        </w:tc>
        <w:tc>
          <w:tcPr>
            <w:tcW w:w="2338" w:type="dxa"/>
            <w:tcBorders>
              <w:top w:val="nil"/>
              <w:left w:val="nil"/>
              <w:bottom w:val="single" w:sz="8" w:space="0" w:color="448A99"/>
              <w:right w:val="single" w:sz="8" w:space="0" w:color="448A99"/>
            </w:tcBorders>
            <w:shd w:val="clear" w:color="000000" w:fill="D2EAF1"/>
            <w:vAlign w:val="center"/>
            <w:hideMark/>
          </w:tcPr>
          <w:p w:rsidR="00A6625F" w:rsidRPr="004837FA" w:rsidRDefault="00A6625F" w:rsidP="00A6625F">
            <w:pPr>
              <w:jc w:val="center"/>
              <w:rPr>
                <w:color w:val="000000"/>
                <w:sz w:val="19"/>
                <w:szCs w:val="19"/>
              </w:rPr>
            </w:pPr>
            <w:r w:rsidRPr="004837FA">
              <w:rPr>
                <w:color w:val="000000"/>
                <w:sz w:val="19"/>
                <w:szCs w:val="19"/>
              </w:rPr>
              <w:t>103%</w:t>
            </w:r>
          </w:p>
        </w:tc>
      </w:tr>
      <w:tr w:rsidR="00A874AC" w:rsidRPr="004837FA" w:rsidTr="000123A3">
        <w:trPr>
          <w:trHeight w:val="315"/>
        </w:trPr>
        <w:tc>
          <w:tcPr>
            <w:tcW w:w="2337" w:type="dxa"/>
            <w:tcBorders>
              <w:top w:val="nil"/>
              <w:left w:val="single" w:sz="8" w:space="0" w:color="448A99"/>
              <w:bottom w:val="single" w:sz="8" w:space="0" w:color="448A99"/>
              <w:right w:val="nil"/>
            </w:tcBorders>
            <w:shd w:val="clear" w:color="000000" w:fill="FFFFFF"/>
            <w:vAlign w:val="center"/>
            <w:hideMark/>
          </w:tcPr>
          <w:p w:rsidR="00A6625F" w:rsidRPr="004837FA" w:rsidRDefault="00A6625F" w:rsidP="00A6625F">
            <w:pPr>
              <w:jc w:val="left"/>
              <w:rPr>
                <w:color w:val="000000"/>
                <w:sz w:val="19"/>
                <w:szCs w:val="19"/>
              </w:rPr>
            </w:pPr>
            <w:r w:rsidRPr="004837FA">
              <w:rPr>
                <w:color w:val="000000"/>
                <w:sz w:val="19"/>
                <w:szCs w:val="19"/>
              </w:rPr>
              <w:t>FE: Penn Power</w:t>
            </w:r>
          </w:p>
        </w:tc>
        <w:tc>
          <w:tcPr>
            <w:tcW w:w="2338"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4837FA" w:rsidRDefault="00A6625F" w:rsidP="00A6625F">
            <w:pPr>
              <w:jc w:val="center"/>
              <w:rPr>
                <w:color w:val="000000"/>
                <w:sz w:val="19"/>
                <w:szCs w:val="19"/>
              </w:rPr>
            </w:pPr>
            <w:r w:rsidRPr="004837FA">
              <w:rPr>
                <w:color w:val="000000"/>
                <w:sz w:val="19"/>
                <w:szCs w:val="19"/>
              </w:rPr>
              <w:t>28,653</w:t>
            </w:r>
          </w:p>
        </w:tc>
        <w:tc>
          <w:tcPr>
            <w:tcW w:w="2337" w:type="dxa"/>
            <w:tcBorders>
              <w:top w:val="nil"/>
              <w:left w:val="nil"/>
              <w:bottom w:val="single" w:sz="8" w:space="0" w:color="448A99"/>
              <w:right w:val="single" w:sz="8" w:space="0" w:color="448A99"/>
            </w:tcBorders>
            <w:shd w:val="clear" w:color="000000" w:fill="FFFFFF"/>
            <w:vAlign w:val="center"/>
            <w:hideMark/>
          </w:tcPr>
          <w:p w:rsidR="00A6625F" w:rsidRPr="004837FA" w:rsidRDefault="00A6625F" w:rsidP="00A6625F">
            <w:pPr>
              <w:jc w:val="center"/>
              <w:rPr>
                <w:color w:val="000000"/>
                <w:sz w:val="19"/>
                <w:szCs w:val="19"/>
              </w:rPr>
            </w:pPr>
            <w:r w:rsidRPr="004837FA">
              <w:rPr>
                <w:color w:val="000000"/>
                <w:sz w:val="19"/>
                <w:szCs w:val="19"/>
              </w:rPr>
              <w:t>27,280</w:t>
            </w:r>
          </w:p>
        </w:tc>
        <w:tc>
          <w:tcPr>
            <w:tcW w:w="2338" w:type="dxa"/>
            <w:tcBorders>
              <w:top w:val="nil"/>
              <w:left w:val="nil"/>
              <w:bottom w:val="single" w:sz="8" w:space="0" w:color="448A99"/>
              <w:right w:val="single" w:sz="8" w:space="0" w:color="448A99"/>
            </w:tcBorders>
            <w:shd w:val="clear" w:color="000000" w:fill="FFFFFF"/>
            <w:vAlign w:val="center"/>
            <w:hideMark/>
          </w:tcPr>
          <w:p w:rsidR="00A6625F" w:rsidRPr="004837FA" w:rsidRDefault="00A6625F" w:rsidP="00A6625F">
            <w:pPr>
              <w:jc w:val="center"/>
              <w:rPr>
                <w:color w:val="000000"/>
                <w:sz w:val="19"/>
                <w:szCs w:val="19"/>
              </w:rPr>
            </w:pPr>
            <w:r w:rsidRPr="004837FA">
              <w:rPr>
                <w:color w:val="000000"/>
                <w:sz w:val="19"/>
                <w:szCs w:val="19"/>
              </w:rPr>
              <w:t>95%</w:t>
            </w:r>
          </w:p>
        </w:tc>
      </w:tr>
      <w:tr w:rsidR="00A874AC" w:rsidRPr="004837FA" w:rsidTr="000123A3">
        <w:trPr>
          <w:trHeight w:val="315"/>
        </w:trPr>
        <w:tc>
          <w:tcPr>
            <w:tcW w:w="2337" w:type="dxa"/>
            <w:tcBorders>
              <w:top w:val="nil"/>
              <w:left w:val="single" w:sz="8" w:space="0" w:color="448A99"/>
              <w:bottom w:val="single" w:sz="8" w:space="0" w:color="448A99"/>
              <w:right w:val="nil"/>
            </w:tcBorders>
            <w:shd w:val="clear" w:color="000000" w:fill="D2EAF1"/>
            <w:vAlign w:val="center"/>
            <w:hideMark/>
          </w:tcPr>
          <w:p w:rsidR="00A6625F" w:rsidRPr="004837FA" w:rsidRDefault="00A6625F" w:rsidP="00A6625F">
            <w:pPr>
              <w:jc w:val="left"/>
              <w:rPr>
                <w:color w:val="000000"/>
                <w:sz w:val="19"/>
                <w:szCs w:val="19"/>
              </w:rPr>
            </w:pPr>
            <w:r w:rsidRPr="004837FA">
              <w:rPr>
                <w:color w:val="000000"/>
                <w:sz w:val="19"/>
                <w:szCs w:val="19"/>
              </w:rPr>
              <w:t>FE: West Penn</w:t>
            </w:r>
          </w:p>
        </w:tc>
        <w:tc>
          <w:tcPr>
            <w:tcW w:w="2338"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4837FA" w:rsidRDefault="00A6625F" w:rsidP="00A6625F">
            <w:pPr>
              <w:jc w:val="center"/>
              <w:rPr>
                <w:color w:val="000000"/>
                <w:sz w:val="19"/>
                <w:szCs w:val="19"/>
              </w:rPr>
            </w:pPr>
            <w:r w:rsidRPr="004837FA">
              <w:rPr>
                <w:color w:val="000000"/>
                <w:sz w:val="19"/>
                <w:szCs w:val="19"/>
              </w:rPr>
              <w:t>161,266</w:t>
            </w:r>
          </w:p>
        </w:tc>
        <w:tc>
          <w:tcPr>
            <w:tcW w:w="2337" w:type="dxa"/>
            <w:tcBorders>
              <w:top w:val="nil"/>
              <w:left w:val="nil"/>
              <w:bottom w:val="single" w:sz="8" w:space="0" w:color="448A99"/>
              <w:right w:val="single" w:sz="8" w:space="0" w:color="448A99"/>
            </w:tcBorders>
            <w:shd w:val="clear" w:color="000000" w:fill="D2EAF1"/>
            <w:vAlign w:val="center"/>
            <w:hideMark/>
          </w:tcPr>
          <w:p w:rsidR="00A6625F" w:rsidRPr="004837FA" w:rsidRDefault="00A6625F" w:rsidP="00A6625F">
            <w:pPr>
              <w:jc w:val="center"/>
              <w:rPr>
                <w:color w:val="000000"/>
                <w:sz w:val="19"/>
                <w:szCs w:val="19"/>
              </w:rPr>
            </w:pPr>
            <w:r w:rsidRPr="004837FA">
              <w:rPr>
                <w:color w:val="000000"/>
                <w:sz w:val="19"/>
                <w:szCs w:val="19"/>
              </w:rPr>
              <w:t>158,760</w:t>
            </w:r>
          </w:p>
        </w:tc>
        <w:tc>
          <w:tcPr>
            <w:tcW w:w="2338" w:type="dxa"/>
            <w:tcBorders>
              <w:top w:val="nil"/>
              <w:left w:val="nil"/>
              <w:bottom w:val="single" w:sz="8" w:space="0" w:color="448A99"/>
              <w:right w:val="single" w:sz="8" w:space="0" w:color="448A99"/>
            </w:tcBorders>
            <w:shd w:val="clear" w:color="000000" w:fill="D2EAF1"/>
            <w:vAlign w:val="center"/>
            <w:hideMark/>
          </w:tcPr>
          <w:p w:rsidR="00A6625F" w:rsidRPr="004837FA" w:rsidRDefault="00A6625F" w:rsidP="00A6625F">
            <w:pPr>
              <w:jc w:val="center"/>
              <w:rPr>
                <w:color w:val="000000"/>
                <w:sz w:val="19"/>
                <w:szCs w:val="19"/>
              </w:rPr>
            </w:pPr>
            <w:r w:rsidRPr="004837FA">
              <w:rPr>
                <w:color w:val="000000"/>
                <w:sz w:val="19"/>
                <w:szCs w:val="19"/>
              </w:rPr>
              <w:t>98%</w:t>
            </w:r>
          </w:p>
        </w:tc>
      </w:tr>
      <w:tr w:rsidR="00A874AC" w:rsidRPr="004837FA" w:rsidTr="000123A3">
        <w:trPr>
          <w:trHeight w:val="315"/>
        </w:trPr>
        <w:tc>
          <w:tcPr>
            <w:tcW w:w="2337" w:type="dxa"/>
            <w:tcBorders>
              <w:top w:val="nil"/>
              <w:left w:val="single" w:sz="8" w:space="0" w:color="448A99"/>
              <w:bottom w:val="single" w:sz="8" w:space="0" w:color="448A99"/>
              <w:right w:val="nil"/>
            </w:tcBorders>
            <w:shd w:val="clear" w:color="000000" w:fill="FFFFFF"/>
            <w:vAlign w:val="center"/>
            <w:hideMark/>
          </w:tcPr>
          <w:p w:rsidR="00A6625F" w:rsidRPr="004837FA" w:rsidRDefault="00A6625F" w:rsidP="00A6625F">
            <w:pPr>
              <w:jc w:val="left"/>
              <w:rPr>
                <w:color w:val="000000"/>
                <w:sz w:val="19"/>
                <w:szCs w:val="19"/>
              </w:rPr>
            </w:pPr>
            <w:r w:rsidRPr="004837FA">
              <w:rPr>
                <w:color w:val="000000"/>
                <w:sz w:val="19"/>
                <w:szCs w:val="19"/>
              </w:rPr>
              <w:t>PECO</w:t>
            </w:r>
          </w:p>
        </w:tc>
        <w:tc>
          <w:tcPr>
            <w:tcW w:w="2338"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4837FA" w:rsidRDefault="00A6625F" w:rsidP="00A6625F">
            <w:pPr>
              <w:jc w:val="center"/>
              <w:rPr>
                <w:color w:val="000000"/>
                <w:sz w:val="19"/>
                <w:szCs w:val="19"/>
              </w:rPr>
            </w:pPr>
            <w:r w:rsidRPr="004837FA">
              <w:rPr>
                <w:color w:val="000000"/>
                <w:sz w:val="19"/>
                <w:szCs w:val="19"/>
              </w:rPr>
              <w:t>507,165</w:t>
            </w:r>
          </w:p>
        </w:tc>
        <w:tc>
          <w:tcPr>
            <w:tcW w:w="2337" w:type="dxa"/>
            <w:tcBorders>
              <w:top w:val="nil"/>
              <w:left w:val="nil"/>
              <w:bottom w:val="single" w:sz="8" w:space="0" w:color="448A99"/>
              <w:right w:val="single" w:sz="8" w:space="0" w:color="448A99"/>
            </w:tcBorders>
            <w:shd w:val="clear" w:color="000000" w:fill="FFFFFF"/>
            <w:vAlign w:val="center"/>
            <w:hideMark/>
          </w:tcPr>
          <w:p w:rsidR="00A6625F" w:rsidRPr="004837FA" w:rsidRDefault="00A6625F" w:rsidP="00A6625F">
            <w:pPr>
              <w:jc w:val="center"/>
              <w:rPr>
                <w:color w:val="000000"/>
                <w:sz w:val="19"/>
                <w:szCs w:val="19"/>
              </w:rPr>
            </w:pPr>
            <w:r w:rsidRPr="004837FA">
              <w:rPr>
                <w:color w:val="000000"/>
                <w:sz w:val="19"/>
                <w:szCs w:val="19"/>
              </w:rPr>
              <w:t>528,301</w:t>
            </w:r>
          </w:p>
        </w:tc>
        <w:tc>
          <w:tcPr>
            <w:tcW w:w="2338" w:type="dxa"/>
            <w:tcBorders>
              <w:top w:val="nil"/>
              <w:left w:val="nil"/>
              <w:bottom w:val="single" w:sz="8" w:space="0" w:color="448A99"/>
              <w:right w:val="single" w:sz="8" w:space="0" w:color="448A99"/>
            </w:tcBorders>
            <w:shd w:val="clear" w:color="000000" w:fill="FFFFFF"/>
            <w:vAlign w:val="center"/>
            <w:hideMark/>
          </w:tcPr>
          <w:p w:rsidR="00A6625F" w:rsidRPr="004837FA" w:rsidRDefault="00A6625F" w:rsidP="00A6625F">
            <w:pPr>
              <w:jc w:val="center"/>
              <w:rPr>
                <w:color w:val="000000"/>
                <w:sz w:val="19"/>
                <w:szCs w:val="19"/>
              </w:rPr>
            </w:pPr>
            <w:r w:rsidRPr="004837FA">
              <w:rPr>
                <w:color w:val="000000"/>
                <w:sz w:val="19"/>
                <w:szCs w:val="19"/>
              </w:rPr>
              <w:t>104%</w:t>
            </w:r>
          </w:p>
        </w:tc>
      </w:tr>
      <w:tr w:rsidR="00A874AC" w:rsidRPr="004837FA" w:rsidTr="000123A3">
        <w:trPr>
          <w:trHeight w:val="315"/>
        </w:trPr>
        <w:tc>
          <w:tcPr>
            <w:tcW w:w="2337" w:type="dxa"/>
            <w:tcBorders>
              <w:top w:val="nil"/>
              <w:left w:val="single" w:sz="8" w:space="0" w:color="448A99"/>
              <w:bottom w:val="single" w:sz="8" w:space="0" w:color="448A99"/>
              <w:right w:val="nil"/>
            </w:tcBorders>
            <w:shd w:val="clear" w:color="000000" w:fill="D2EAF1"/>
            <w:vAlign w:val="center"/>
            <w:hideMark/>
          </w:tcPr>
          <w:p w:rsidR="00A6625F" w:rsidRPr="004837FA" w:rsidRDefault="00A6625F" w:rsidP="00A6625F">
            <w:pPr>
              <w:jc w:val="left"/>
              <w:rPr>
                <w:color w:val="000000"/>
                <w:sz w:val="19"/>
                <w:szCs w:val="19"/>
              </w:rPr>
            </w:pPr>
            <w:r w:rsidRPr="004837FA">
              <w:rPr>
                <w:color w:val="000000"/>
                <w:sz w:val="19"/>
                <w:szCs w:val="19"/>
              </w:rPr>
              <w:t>PPL</w:t>
            </w:r>
          </w:p>
        </w:tc>
        <w:tc>
          <w:tcPr>
            <w:tcW w:w="2338"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4837FA" w:rsidRDefault="00A6625F" w:rsidP="00A6625F">
            <w:pPr>
              <w:jc w:val="center"/>
              <w:rPr>
                <w:color w:val="000000"/>
                <w:sz w:val="19"/>
                <w:szCs w:val="19"/>
              </w:rPr>
            </w:pPr>
            <w:r w:rsidRPr="004837FA">
              <w:rPr>
                <w:color w:val="000000"/>
                <w:sz w:val="19"/>
                <w:szCs w:val="19"/>
              </w:rPr>
              <w:t>321,234</w:t>
            </w:r>
          </w:p>
        </w:tc>
        <w:tc>
          <w:tcPr>
            <w:tcW w:w="2337" w:type="dxa"/>
            <w:tcBorders>
              <w:top w:val="nil"/>
              <w:left w:val="nil"/>
              <w:bottom w:val="single" w:sz="8" w:space="0" w:color="448A99"/>
              <w:right w:val="single" w:sz="8" w:space="0" w:color="448A99"/>
            </w:tcBorders>
            <w:shd w:val="clear" w:color="000000" w:fill="D2EAF1"/>
            <w:vAlign w:val="center"/>
            <w:hideMark/>
          </w:tcPr>
          <w:p w:rsidR="00A6625F" w:rsidRPr="004837FA" w:rsidRDefault="004110E6" w:rsidP="00A6625F">
            <w:pPr>
              <w:jc w:val="center"/>
              <w:rPr>
                <w:color w:val="000000"/>
                <w:sz w:val="19"/>
                <w:szCs w:val="19"/>
              </w:rPr>
            </w:pPr>
            <w:r w:rsidRPr="004837FA">
              <w:rPr>
                <w:color w:val="000000"/>
                <w:sz w:val="19"/>
                <w:szCs w:val="19"/>
              </w:rPr>
              <w:t>313,976</w:t>
            </w:r>
          </w:p>
        </w:tc>
        <w:tc>
          <w:tcPr>
            <w:tcW w:w="2338" w:type="dxa"/>
            <w:tcBorders>
              <w:top w:val="nil"/>
              <w:left w:val="nil"/>
              <w:bottom w:val="single" w:sz="8" w:space="0" w:color="448A99"/>
              <w:right w:val="single" w:sz="8" w:space="0" w:color="448A99"/>
            </w:tcBorders>
            <w:shd w:val="clear" w:color="000000" w:fill="D2EAF1"/>
            <w:vAlign w:val="center"/>
            <w:hideMark/>
          </w:tcPr>
          <w:p w:rsidR="00A6625F" w:rsidRPr="004837FA" w:rsidRDefault="004110E6" w:rsidP="00141882">
            <w:pPr>
              <w:jc w:val="center"/>
              <w:rPr>
                <w:color w:val="000000"/>
                <w:sz w:val="19"/>
                <w:szCs w:val="19"/>
              </w:rPr>
            </w:pPr>
            <w:r w:rsidRPr="004837FA">
              <w:rPr>
                <w:color w:val="000000"/>
                <w:sz w:val="19"/>
                <w:szCs w:val="19"/>
              </w:rPr>
              <w:t>98</w:t>
            </w:r>
            <w:r w:rsidR="00A6625F" w:rsidRPr="004837FA">
              <w:rPr>
                <w:color w:val="000000"/>
                <w:sz w:val="19"/>
                <w:szCs w:val="19"/>
              </w:rPr>
              <w:t>%</w:t>
            </w:r>
          </w:p>
        </w:tc>
      </w:tr>
      <w:tr w:rsidR="00A874AC" w:rsidRPr="004837FA" w:rsidTr="000123A3">
        <w:trPr>
          <w:trHeight w:val="315"/>
        </w:trPr>
        <w:tc>
          <w:tcPr>
            <w:tcW w:w="2337" w:type="dxa"/>
            <w:tcBorders>
              <w:top w:val="nil"/>
              <w:left w:val="single" w:sz="8" w:space="0" w:color="448A99"/>
              <w:bottom w:val="single" w:sz="8" w:space="0" w:color="448A99"/>
              <w:right w:val="nil"/>
            </w:tcBorders>
            <w:shd w:val="clear" w:color="000000" w:fill="FFFFFF"/>
            <w:vAlign w:val="center"/>
            <w:hideMark/>
          </w:tcPr>
          <w:p w:rsidR="00A6625F" w:rsidRPr="004837FA" w:rsidRDefault="00A6625F" w:rsidP="00A6625F">
            <w:pPr>
              <w:jc w:val="left"/>
              <w:rPr>
                <w:b/>
                <w:color w:val="000000"/>
                <w:sz w:val="19"/>
                <w:szCs w:val="19"/>
              </w:rPr>
            </w:pPr>
            <w:r w:rsidRPr="004837FA">
              <w:rPr>
                <w:b/>
                <w:color w:val="000000"/>
                <w:sz w:val="19"/>
                <w:szCs w:val="19"/>
              </w:rPr>
              <w:t>Statewide</w:t>
            </w:r>
          </w:p>
        </w:tc>
        <w:tc>
          <w:tcPr>
            <w:tcW w:w="2338"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4837FA" w:rsidRDefault="00A6625F" w:rsidP="00A6625F">
            <w:pPr>
              <w:jc w:val="center"/>
              <w:rPr>
                <w:b/>
                <w:bCs/>
                <w:color w:val="000000"/>
                <w:sz w:val="19"/>
                <w:szCs w:val="19"/>
              </w:rPr>
            </w:pPr>
            <w:r w:rsidRPr="004837FA">
              <w:rPr>
                <w:b/>
                <w:bCs/>
                <w:color w:val="000000"/>
                <w:sz w:val="19"/>
                <w:szCs w:val="19"/>
              </w:rPr>
              <w:t>1,493,147</w:t>
            </w:r>
          </w:p>
        </w:tc>
        <w:tc>
          <w:tcPr>
            <w:tcW w:w="2337" w:type="dxa"/>
            <w:tcBorders>
              <w:top w:val="nil"/>
              <w:left w:val="nil"/>
              <w:bottom w:val="single" w:sz="8" w:space="0" w:color="448A99"/>
              <w:right w:val="single" w:sz="8" w:space="0" w:color="448A99"/>
            </w:tcBorders>
            <w:shd w:val="clear" w:color="000000" w:fill="FFFFFF"/>
            <w:vAlign w:val="center"/>
            <w:hideMark/>
          </w:tcPr>
          <w:p w:rsidR="00A6625F" w:rsidRPr="004837FA" w:rsidRDefault="00E14621" w:rsidP="00A6625F">
            <w:pPr>
              <w:jc w:val="center"/>
              <w:rPr>
                <w:b/>
                <w:bCs/>
                <w:color w:val="000000"/>
                <w:sz w:val="19"/>
                <w:szCs w:val="19"/>
              </w:rPr>
            </w:pPr>
            <w:r w:rsidRPr="004837FA">
              <w:rPr>
                <w:b/>
                <w:bCs/>
                <w:color w:val="000000"/>
                <w:sz w:val="19"/>
                <w:szCs w:val="19"/>
              </w:rPr>
              <w:t>1,506,263</w:t>
            </w:r>
          </w:p>
        </w:tc>
        <w:tc>
          <w:tcPr>
            <w:tcW w:w="2338" w:type="dxa"/>
            <w:tcBorders>
              <w:top w:val="nil"/>
              <w:left w:val="nil"/>
              <w:bottom w:val="single" w:sz="8" w:space="0" w:color="448A99"/>
              <w:right w:val="single" w:sz="8" w:space="0" w:color="448A99"/>
            </w:tcBorders>
            <w:shd w:val="clear" w:color="000000" w:fill="FFFFFF"/>
            <w:vAlign w:val="center"/>
            <w:hideMark/>
          </w:tcPr>
          <w:p w:rsidR="00A6625F" w:rsidRPr="004837FA" w:rsidRDefault="00A6625F" w:rsidP="00A6625F">
            <w:pPr>
              <w:jc w:val="center"/>
              <w:rPr>
                <w:b/>
                <w:bCs/>
                <w:color w:val="000000"/>
                <w:sz w:val="19"/>
                <w:szCs w:val="19"/>
              </w:rPr>
            </w:pPr>
            <w:r w:rsidRPr="004837FA">
              <w:rPr>
                <w:b/>
                <w:bCs/>
                <w:color w:val="000000"/>
                <w:sz w:val="19"/>
                <w:szCs w:val="19"/>
              </w:rPr>
              <w:t>101%</w:t>
            </w:r>
          </w:p>
        </w:tc>
      </w:tr>
    </w:tbl>
    <w:p w:rsidR="00E85C2D" w:rsidRDefault="00E85C2D" w:rsidP="00E85C2D"/>
    <w:p w:rsidR="00E85C2D" w:rsidRDefault="00A6625F" w:rsidP="00E85C2D">
      <w:r>
        <w:t xml:space="preserve">Statewide, the verified gross savings were greater than the reported gross savings, which yields a realization rate across all EDCs of 101%. Realization rates were strong for all EDCs, </w:t>
      </w:r>
      <w:r w:rsidR="00FE0981">
        <w:t>being</w:t>
      </w:r>
      <w:r>
        <w:t xml:space="preserve"> 95%</w:t>
      </w:r>
      <w:r w:rsidR="00FE0981">
        <w:t xml:space="preserve"> or higher</w:t>
      </w:r>
      <w:r>
        <w:t>.</w:t>
      </w:r>
    </w:p>
    <w:p w:rsidR="00E85C2D" w:rsidRPr="00E85C2D" w:rsidRDefault="00E85C2D" w:rsidP="00E85C2D"/>
    <w:p w:rsidR="00AC2B6F" w:rsidRPr="006058D6" w:rsidRDefault="00783CA5" w:rsidP="00E673F0">
      <w:pPr>
        <w:pStyle w:val="Heading3"/>
      </w:pPr>
      <w:bookmarkStart w:id="90" w:name="_Toc472472091"/>
      <w:bookmarkStart w:id="91" w:name="_Toc488765784"/>
      <w:r w:rsidRPr="00783CA5">
        <w:rPr>
          <w:rStyle w:val="Heading3Char"/>
          <w:b/>
        </w:rPr>
        <w:t>Summary of Energy Savings</w:t>
      </w:r>
      <w:r>
        <w:rPr>
          <w:rStyle w:val="Heading3Char"/>
          <w:b/>
        </w:rPr>
        <w:t xml:space="preserve"> by Sector</w:t>
      </w:r>
      <w:bookmarkEnd w:id="90"/>
      <w:bookmarkEnd w:id="91"/>
      <w:r w:rsidR="00AC2B6F" w:rsidRPr="00783CA5">
        <w:t xml:space="preserve"> </w:t>
      </w:r>
    </w:p>
    <w:p w:rsidR="00AC2B6F" w:rsidRDefault="00034173" w:rsidP="00AC2B6F">
      <w:r>
        <w:fldChar w:fldCharType="begin"/>
      </w:r>
      <w:r>
        <w:instrText xml:space="preserve"> REF _Ref477964930 \h </w:instrText>
      </w:r>
      <w:r>
        <w:fldChar w:fldCharType="separate"/>
      </w:r>
      <w:r w:rsidR="00037CB4">
        <w:t xml:space="preserve">Table </w:t>
      </w:r>
      <w:r w:rsidR="00037CB4">
        <w:rPr>
          <w:noProof/>
        </w:rPr>
        <w:t>2</w:t>
      </w:r>
      <w:r w:rsidR="00037CB4">
        <w:noBreakHyphen/>
      </w:r>
      <w:r w:rsidR="00037CB4">
        <w:rPr>
          <w:noProof/>
        </w:rPr>
        <w:t>8</w:t>
      </w:r>
      <w:r>
        <w:fldChar w:fldCharType="end"/>
      </w:r>
      <w:r>
        <w:t xml:space="preserve"> </w:t>
      </w:r>
      <w:r w:rsidR="000705FA">
        <w:t xml:space="preserve">shows </w:t>
      </w:r>
      <w:r w:rsidR="004E7615">
        <w:t>the</w:t>
      </w:r>
      <w:r w:rsidR="000705FA">
        <w:t xml:space="preserve"> seven</w:t>
      </w:r>
      <w:r w:rsidR="004E7615">
        <w:t xml:space="preserve"> EDC</w:t>
      </w:r>
      <w:r w:rsidR="000705FA">
        <w:t>s’</w:t>
      </w:r>
      <w:r w:rsidR="004E7615">
        <w:t xml:space="preserve"> </w:t>
      </w:r>
      <w:r w:rsidR="000705FA">
        <w:t xml:space="preserve">PY7 energy </w:t>
      </w:r>
      <w:r w:rsidR="004E7615">
        <w:t xml:space="preserve">savings </w:t>
      </w:r>
      <w:r w:rsidR="000705FA">
        <w:t>by</w:t>
      </w:r>
      <w:r w:rsidR="004E7615">
        <w:t xml:space="preserve"> sector</w:t>
      </w:r>
      <w:r w:rsidR="000705FA">
        <w:t xml:space="preserve">: </w:t>
      </w:r>
      <w:r w:rsidR="00A6625F">
        <w:t>residential, low-income, C</w:t>
      </w:r>
      <w:r w:rsidR="0097650B">
        <w:t>/I,</w:t>
      </w:r>
      <w:r w:rsidR="00A6625F">
        <w:t xml:space="preserve"> and GNI</w:t>
      </w:r>
      <w:r w:rsidR="004E7615">
        <w:t>.</w:t>
      </w:r>
    </w:p>
    <w:p w:rsidR="000F5A29" w:rsidRPr="0077432E" w:rsidRDefault="000F5A29" w:rsidP="0077432E">
      <w:bookmarkStart w:id="92" w:name="_Ref472270976"/>
      <w:bookmarkStart w:id="93" w:name="_Toc472472162"/>
    </w:p>
    <w:p w:rsidR="004E7615" w:rsidRDefault="004E7615" w:rsidP="004837FA">
      <w:pPr>
        <w:pStyle w:val="Caption"/>
      </w:pPr>
      <w:bookmarkStart w:id="94" w:name="_Ref477964930"/>
      <w:bookmarkStart w:id="95" w:name="_Toc488741739"/>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8</w:t>
      </w:r>
      <w:r w:rsidR="007973A4">
        <w:rPr>
          <w:noProof/>
        </w:rPr>
        <w:fldChar w:fldCharType="end"/>
      </w:r>
      <w:bookmarkEnd w:id="92"/>
      <w:bookmarkEnd w:id="94"/>
      <w:r>
        <w:t>: PY7 Verified Energy Savings by EDC and Sector</w:t>
      </w:r>
      <w:bookmarkEnd w:id="93"/>
      <w:bookmarkEnd w:id="95"/>
    </w:p>
    <w:tbl>
      <w:tblPr>
        <w:tblW w:w="9350" w:type="dxa"/>
        <w:tblLook w:val="04A0" w:firstRow="1" w:lastRow="0" w:firstColumn="1" w:lastColumn="0" w:noHBand="0" w:noVBand="1"/>
      </w:tblPr>
      <w:tblGrid>
        <w:gridCol w:w="2400"/>
        <w:gridCol w:w="1660"/>
        <w:gridCol w:w="1660"/>
        <w:gridCol w:w="1660"/>
        <w:gridCol w:w="1970"/>
      </w:tblGrid>
      <w:tr w:rsidR="00A874AC" w:rsidRPr="00C75D51" w:rsidTr="00865B5D">
        <w:trPr>
          <w:trHeight w:val="780"/>
          <w:tblHeader/>
        </w:trPr>
        <w:tc>
          <w:tcPr>
            <w:tcW w:w="2400" w:type="dxa"/>
            <w:tcBorders>
              <w:top w:val="single" w:sz="8" w:space="0" w:color="448A99"/>
              <w:left w:val="single" w:sz="8" w:space="0" w:color="448A99"/>
              <w:bottom w:val="single" w:sz="8" w:space="0" w:color="448A99"/>
              <w:right w:val="nil"/>
            </w:tcBorders>
            <w:shd w:val="clear" w:color="000000" w:fill="448A99"/>
            <w:vAlign w:val="bottom"/>
            <w:hideMark/>
          </w:tcPr>
          <w:p w:rsidR="00A6625F" w:rsidRPr="00C75D51" w:rsidRDefault="00A6625F" w:rsidP="000123A3">
            <w:pPr>
              <w:rPr>
                <w:b/>
                <w:bCs/>
                <w:color w:val="FFFFFF"/>
                <w:sz w:val="19"/>
                <w:szCs w:val="19"/>
              </w:rPr>
            </w:pPr>
            <w:r w:rsidRPr="00C75D51">
              <w:rPr>
                <w:b/>
                <w:bCs/>
                <w:color w:val="FFFFFF"/>
                <w:sz w:val="19"/>
                <w:szCs w:val="19"/>
              </w:rPr>
              <w:t>EDC</w:t>
            </w:r>
          </w:p>
        </w:tc>
        <w:tc>
          <w:tcPr>
            <w:tcW w:w="166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6625F" w:rsidRPr="00C75D51" w:rsidRDefault="00A6625F" w:rsidP="000123A3">
            <w:pPr>
              <w:jc w:val="center"/>
              <w:rPr>
                <w:b/>
                <w:bCs/>
                <w:color w:val="FFFFFF"/>
                <w:sz w:val="19"/>
                <w:szCs w:val="19"/>
              </w:rPr>
            </w:pPr>
            <w:r w:rsidRPr="00C75D51">
              <w:rPr>
                <w:b/>
                <w:bCs/>
                <w:color w:val="FFFFFF"/>
                <w:sz w:val="19"/>
                <w:szCs w:val="19"/>
              </w:rPr>
              <w:t>PY7 Residential Energy Savings (MWh/yr)</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C75D51" w:rsidRDefault="00A6625F" w:rsidP="000123A3">
            <w:pPr>
              <w:jc w:val="center"/>
              <w:rPr>
                <w:b/>
                <w:bCs/>
                <w:color w:val="FFFFFF"/>
                <w:sz w:val="19"/>
                <w:szCs w:val="19"/>
              </w:rPr>
            </w:pPr>
            <w:r w:rsidRPr="00C75D51">
              <w:rPr>
                <w:b/>
                <w:bCs/>
                <w:color w:val="FFFFFF"/>
                <w:sz w:val="19"/>
                <w:szCs w:val="19"/>
              </w:rPr>
              <w:t>PY7 Low-Income Energy Savings (MWh/yr)</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C75D51" w:rsidRDefault="00A6625F" w:rsidP="000123A3">
            <w:pPr>
              <w:jc w:val="center"/>
              <w:rPr>
                <w:b/>
                <w:bCs/>
                <w:color w:val="FFFFFF"/>
                <w:sz w:val="19"/>
                <w:szCs w:val="19"/>
              </w:rPr>
            </w:pPr>
            <w:r w:rsidRPr="00C75D51">
              <w:rPr>
                <w:b/>
                <w:bCs/>
                <w:color w:val="FFFFFF"/>
                <w:sz w:val="19"/>
                <w:szCs w:val="19"/>
              </w:rPr>
              <w:t xml:space="preserve">PY7 </w:t>
            </w:r>
            <w:r w:rsidR="004C02F0" w:rsidRPr="00C75D51">
              <w:rPr>
                <w:b/>
                <w:bCs/>
                <w:color w:val="FFFFFF"/>
                <w:sz w:val="19"/>
                <w:szCs w:val="19"/>
              </w:rPr>
              <w:t>C</w:t>
            </w:r>
            <w:r w:rsidR="0097650B" w:rsidRPr="00C75D51">
              <w:rPr>
                <w:b/>
                <w:bCs/>
                <w:color w:val="FFFFFF"/>
                <w:sz w:val="19"/>
                <w:szCs w:val="19"/>
              </w:rPr>
              <w:t>/I</w:t>
            </w:r>
            <w:r w:rsidR="004C02F0" w:rsidRPr="00C75D51">
              <w:rPr>
                <w:b/>
                <w:bCs/>
                <w:color w:val="FFFFFF"/>
                <w:sz w:val="19"/>
                <w:szCs w:val="19"/>
              </w:rPr>
              <w:t xml:space="preserve"> </w:t>
            </w:r>
            <w:r w:rsidRPr="00C75D51">
              <w:rPr>
                <w:b/>
                <w:bCs/>
                <w:color w:val="FFFFFF"/>
                <w:sz w:val="19"/>
                <w:szCs w:val="19"/>
              </w:rPr>
              <w:t>Energy Savings (MWh/yr)</w:t>
            </w:r>
          </w:p>
        </w:tc>
        <w:tc>
          <w:tcPr>
            <w:tcW w:w="1970"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C75D51" w:rsidRDefault="00A6625F" w:rsidP="000123A3">
            <w:pPr>
              <w:jc w:val="center"/>
              <w:rPr>
                <w:b/>
                <w:bCs/>
                <w:color w:val="FFFFFF"/>
                <w:sz w:val="19"/>
                <w:szCs w:val="19"/>
              </w:rPr>
            </w:pPr>
            <w:r w:rsidRPr="00C75D51">
              <w:rPr>
                <w:b/>
                <w:bCs/>
                <w:color w:val="FFFFFF"/>
                <w:sz w:val="19"/>
                <w:szCs w:val="19"/>
              </w:rPr>
              <w:t>PY7 GNI Energy Savings (MWh/yr)</w:t>
            </w:r>
          </w:p>
        </w:tc>
      </w:tr>
      <w:tr w:rsidR="00A874AC" w:rsidRPr="00C75D51" w:rsidTr="000123A3">
        <w:trPr>
          <w:trHeight w:val="315"/>
        </w:trPr>
        <w:tc>
          <w:tcPr>
            <w:tcW w:w="2400" w:type="dxa"/>
            <w:tcBorders>
              <w:top w:val="nil"/>
              <w:left w:val="single" w:sz="8" w:space="0" w:color="448A99"/>
              <w:bottom w:val="single" w:sz="8" w:space="0" w:color="448A99"/>
              <w:right w:val="nil"/>
            </w:tcBorders>
            <w:shd w:val="clear" w:color="000000" w:fill="D2EAF1"/>
            <w:vAlign w:val="center"/>
            <w:hideMark/>
          </w:tcPr>
          <w:p w:rsidR="00A6625F" w:rsidRPr="00C75D51" w:rsidRDefault="00A6625F" w:rsidP="00A6625F">
            <w:pPr>
              <w:jc w:val="left"/>
              <w:rPr>
                <w:color w:val="000000"/>
                <w:sz w:val="19"/>
                <w:szCs w:val="19"/>
              </w:rPr>
            </w:pPr>
            <w:r w:rsidRPr="00C75D51">
              <w:rPr>
                <w:color w:val="000000"/>
                <w:sz w:val="19"/>
                <w:szCs w:val="19"/>
              </w:rPr>
              <w:t>Duquesne</w:t>
            </w:r>
          </w:p>
        </w:tc>
        <w:tc>
          <w:tcPr>
            <w:tcW w:w="1660"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62,571</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77432E" w:rsidRDefault="00252B62" w:rsidP="00A6625F">
            <w:pPr>
              <w:jc w:val="center"/>
              <w:rPr>
                <w:color w:val="000000"/>
                <w:sz w:val="19"/>
                <w:szCs w:val="19"/>
              </w:rPr>
            </w:pPr>
            <w:r w:rsidRPr="0077432E">
              <w:rPr>
                <w:color w:val="000000"/>
                <w:sz w:val="19"/>
                <w:szCs w:val="19"/>
              </w:rPr>
              <w:t>6,011</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64,368</w:t>
            </w:r>
          </w:p>
        </w:tc>
        <w:tc>
          <w:tcPr>
            <w:tcW w:w="197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9,178</w:t>
            </w:r>
          </w:p>
        </w:tc>
      </w:tr>
      <w:tr w:rsidR="00A874AC" w:rsidRPr="00C75D51" w:rsidTr="000123A3">
        <w:trPr>
          <w:trHeight w:val="315"/>
        </w:trPr>
        <w:tc>
          <w:tcPr>
            <w:tcW w:w="2400" w:type="dxa"/>
            <w:tcBorders>
              <w:top w:val="nil"/>
              <w:left w:val="single" w:sz="8" w:space="0" w:color="448A99"/>
              <w:bottom w:val="single" w:sz="8" w:space="0" w:color="448A99"/>
              <w:right w:val="nil"/>
            </w:tcBorders>
            <w:shd w:val="clear" w:color="000000" w:fill="FFFFFF"/>
            <w:vAlign w:val="center"/>
            <w:hideMark/>
          </w:tcPr>
          <w:p w:rsidR="00A6625F" w:rsidRPr="00C75D51" w:rsidRDefault="00A6625F" w:rsidP="00A6625F">
            <w:pPr>
              <w:jc w:val="left"/>
              <w:rPr>
                <w:color w:val="000000"/>
                <w:sz w:val="19"/>
                <w:szCs w:val="19"/>
              </w:rPr>
            </w:pPr>
            <w:r w:rsidRPr="00C75D51">
              <w:rPr>
                <w:color w:val="000000"/>
                <w:sz w:val="19"/>
                <w:szCs w:val="19"/>
              </w:rPr>
              <w:t>FE: Met-Ed</w:t>
            </w:r>
          </w:p>
        </w:tc>
        <w:tc>
          <w:tcPr>
            <w:tcW w:w="1660"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81,240</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14,391</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52,941</w:t>
            </w:r>
          </w:p>
        </w:tc>
        <w:tc>
          <w:tcPr>
            <w:tcW w:w="197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22,848</w:t>
            </w:r>
          </w:p>
        </w:tc>
      </w:tr>
      <w:tr w:rsidR="00A874AC" w:rsidRPr="00C75D51" w:rsidTr="000123A3">
        <w:trPr>
          <w:trHeight w:val="315"/>
        </w:trPr>
        <w:tc>
          <w:tcPr>
            <w:tcW w:w="2400" w:type="dxa"/>
            <w:tcBorders>
              <w:top w:val="nil"/>
              <w:left w:val="single" w:sz="8" w:space="0" w:color="448A99"/>
              <w:bottom w:val="single" w:sz="8" w:space="0" w:color="448A99"/>
              <w:right w:val="nil"/>
            </w:tcBorders>
            <w:shd w:val="clear" w:color="000000" w:fill="D2EAF1"/>
            <w:vAlign w:val="center"/>
            <w:hideMark/>
          </w:tcPr>
          <w:p w:rsidR="00A6625F" w:rsidRPr="00C75D51" w:rsidRDefault="00A6625F" w:rsidP="00A6625F">
            <w:pPr>
              <w:jc w:val="left"/>
              <w:rPr>
                <w:color w:val="000000"/>
                <w:sz w:val="19"/>
                <w:szCs w:val="19"/>
              </w:rPr>
            </w:pPr>
            <w:r w:rsidRPr="00C75D51">
              <w:rPr>
                <w:color w:val="000000"/>
                <w:sz w:val="19"/>
                <w:szCs w:val="19"/>
              </w:rPr>
              <w:t>FE: Penelec</w:t>
            </w:r>
          </w:p>
        </w:tc>
        <w:tc>
          <w:tcPr>
            <w:tcW w:w="1660"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69,285</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18,368</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62,923</w:t>
            </w:r>
          </w:p>
        </w:tc>
        <w:tc>
          <w:tcPr>
            <w:tcW w:w="197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13,821</w:t>
            </w:r>
          </w:p>
        </w:tc>
      </w:tr>
      <w:tr w:rsidR="00A874AC" w:rsidRPr="00C75D51" w:rsidTr="000123A3">
        <w:trPr>
          <w:trHeight w:val="315"/>
        </w:trPr>
        <w:tc>
          <w:tcPr>
            <w:tcW w:w="2400" w:type="dxa"/>
            <w:tcBorders>
              <w:top w:val="nil"/>
              <w:left w:val="single" w:sz="8" w:space="0" w:color="448A99"/>
              <w:bottom w:val="single" w:sz="8" w:space="0" w:color="448A99"/>
              <w:right w:val="nil"/>
            </w:tcBorders>
            <w:shd w:val="clear" w:color="000000" w:fill="FFFFFF"/>
            <w:vAlign w:val="center"/>
            <w:hideMark/>
          </w:tcPr>
          <w:p w:rsidR="00A6625F" w:rsidRPr="00C75D51" w:rsidRDefault="00A6625F" w:rsidP="00A6625F">
            <w:pPr>
              <w:jc w:val="left"/>
              <w:rPr>
                <w:color w:val="000000"/>
                <w:sz w:val="19"/>
                <w:szCs w:val="19"/>
              </w:rPr>
            </w:pPr>
            <w:r w:rsidRPr="00C75D51">
              <w:rPr>
                <w:color w:val="000000"/>
                <w:sz w:val="19"/>
                <w:szCs w:val="19"/>
              </w:rPr>
              <w:lastRenderedPageBreak/>
              <w:t>FE: Penn Power</w:t>
            </w:r>
          </w:p>
        </w:tc>
        <w:tc>
          <w:tcPr>
            <w:tcW w:w="1660"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11,773</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1,180</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7,045</w:t>
            </w:r>
          </w:p>
        </w:tc>
        <w:tc>
          <w:tcPr>
            <w:tcW w:w="197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7,283</w:t>
            </w:r>
          </w:p>
        </w:tc>
      </w:tr>
      <w:tr w:rsidR="00A874AC" w:rsidRPr="00C75D51" w:rsidTr="000123A3">
        <w:trPr>
          <w:trHeight w:val="315"/>
        </w:trPr>
        <w:tc>
          <w:tcPr>
            <w:tcW w:w="2400" w:type="dxa"/>
            <w:tcBorders>
              <w:top w:val="nil"/>
              <w:left w:val="single" w:sz="8" w:space="0" w:color="448A99"/>
              <w:bottom w:val="single" w:sz="8" w:space="0" w:color="448A99"/>
              <w:right w:val="nil"/>
            </w:tcBorders>
            <w:shd w:val="clear" w:color="000000" w:fill="D2EAF1"/>
            <w:vAlign w:val="center"/>
            <w:hideMark/>
          </w:tcPr>
          <w:p w:rsidR="00A6625F" w:rsidRPr="00C75D51" w:rsidRDefault="00A6625F" w:rsidP="00A6625F">
            <w:pPr>
              <w:jc w:val="left"/>
              <w:rPr>
                <w:color w:val="000000"/>
                <w:sz w:val="19"/>
                <w:szCs w:val="19"/>
              </w:rPr>
            </w:pPr>
            <w:r w:rsidRPr="00C75D51">
              <w:rPr>
                <w:color w:val="000000"/>
                <w:sz w:val="19"/>
                <w:szCs w:val="19"/>
              </w:rPr>
              <w:t>FE: West Penn</w:t>
            </w:r>
          </w:p>
        </w:tc>
        <w:tc>
          <w:tcPr>
            <w:tcW w:w="1660"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72,338</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11,346</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61,391</w:t>
            </w:r>
          </w:p>
        </w:tc>
        <w:tc>
          <w:tcPr>
            <w:tcW w:w="197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13,685</w:t>
            </w:r>
          </w:p>
        </w:tc>
      </w:tr>
      <w:tr w:rsidR="00A874AC" w:rsidRPr="00C75D51" w:rsidTr="000123A3">
        <w:trPr>
          <w:trHeight w:val="315"/>
        </w:trPr>
        <w:tc>
          <w:tcPr>
            <w:tcW w:w="2400" w:type="dxa"/>
            <w:tcBorders>
              <w:top w:val="nil"/>
              <w:left w:val="single" w:sz="8" w:space="0" w:color="448A99"/>
              <w:bottom w:val="single" w:sz="8" w:space="0" w:color="448A99"/>
              <w:right w:val="nil"/>
            </w:tcBorders>
            <w:shd w:val="clear" w:color="000000" w:fill="FFFFFF"/>
            <w:vAlign w:val="center"/>
            <w:hideMark/>
          </w:tcPr>
          <w:p w:rsidR="00A6625F" w:rsidRPr="00C75D51" w:rsidRDefault="00A6625F" w:rsidP="00A6625F">
            <w:pPr>
              <w:jc w:val="left"/>
              <w:rPr>
                <w:color w:val="000000"/>
                <w:sz w:val="19"/>
                <w:szCs w:val="19"/>
              </w:rPr>
            </w:pPr>
            <w:r w:rsidRPr="00C75D51">
              <w:rPr>
                <w:color w:val="000000"/>
                <w:sz w:val="19"/>
                <w:szCs w:val="19"/>
              </w:rPr>
              <w:t>PECO</w:t>
            </w:r>
          </w:p>
        </w:tc>
        <w:tc>
          <w:tcPr>
            <w:tcW w:w="1660"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213,367</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37,329</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152,203</w:t>
            </w:r>
          </w:p>
        </w:tc>
        <w:tc>
          <w:tcPr>
            <w:tcW w:w="197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color w:val="000000"/>
                <w:sz w:val="19"/>
                <w:szCs w:val="19"/>
              </w:rPr>
            </w:pPr>
            <w:r w:rsidRPr="00C75D51">
              <w:rPr>
                <w:color w:val="000000"/>
                <w:sz w:val="19"/>
                <w:szCs w:val="19"/>
              </w:rPr>
              <w:t>125,402</w:t>
            </w:r>
          </w:p>
        </w:tc>
      </w:tr>
      <w:tr w:rsidR="00A874AC" w:rsidRPr="00C75D51" w:rsidTr="000123A3">
        <w:trPr>
          <w:trHeight w:val="315"/>
        </w:trPr>
        <w:tc>
          <w:tcPr>
            <w:tcW w:w="2400" w:type="dxa"/>
            <w:tcBorders>
              <w:top w:val="nil"/>
              <w:left w:val="single" w:sz="8" w:space="0" w:color="448A99"/>
              <w:bottom w:val="single" w:sz="8" w:space="0" w:color="448A99"/>
              <w:right w:val="nil"/>
            </w:tcBorders>
            <w:shd w:val="clear" w:color="000000" w:fill="D2EAF1"/>
            <w:vAlign w:val="center"/>
            <w:hideMark/>
          </w:tcPr>
          <w:p w:rsidR="00A6625F" w:rsidRPr="00C75D51" w:rsidRDefault="00A6625F" w:rsidP="00A6625F">
            <w:pPr>
              <w:jc w:val="left"/>
              <w:rPr>
                <w:color w:val="000000"/>
                <w:sz w:val="19"/>
                <w:szCs w:val="19"/>
              </w:rPr>
            </w:pPr>
            <w:r w:rsidRPr="00C75D51">
              <w:rPr>
                <w:color w:val="000000"/>
                <w:sz w:val="19"/>
                <w:szCs w:val="19"/>
              </w:rPr>
              <w:t>PPL</w:t>
            </w:r>
          </w:p>
        </w:tc>
        <w:tc>
          <w:tcPr>
            <w:tcW w:w="1660"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C75D51" w:rsidRDefault="00A11182" w:rsidP="00A6625F">
            <w:pPr>
              <w:jc w:val="center"/>
              <w:rPr>
                <w:color w:val="000000"/>
                <w:sz w:val="19"/>
                <w:szCs w:val="19"/>
              </w:rPr>
            </w:pPr>
            <w:r w:rsidRPr="00C75D51">
              <w:rPr>
                <w:color w:val="000000"/>
                <w:sz w:val="19"/>
                <w:szCs w:val="19"/>
              </w:rPr>
              <w:t>106,633</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C75D51" w:rsidRDefault="00A11182" w:rsidP="00A6625F">
            <w:pPr>
              <w:jc w:val="center"/>
              <w:rPr>
                <w:color w:val="000000"/>
                <w:sz w:val="19"/>
                <w:szCs w:val="19"/>
              </w:rPr>
            </w:pPr>
            <w:r w:rsidRPr="00C75D51">
              <w:rPr>
                <w:color w:val="000000"/>
                <w:sz w:val="19"/>
                <w:szCs w:val="19"/>
              </w:rPr>
              <w:t>18,400</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141,900</w:t>
            </w:r>
          </w:p>
        </w:tc>
        <w:tc>
          <w:tcPr>
            <w:tcW w:w="1970" w:type="dxa"/>
            <w:tcBorders>
              <w:top w:val="nil"/>
              <w:left w:val="nil"/>
              <w:bottom w:val="single" w:sz="8" w:space="0" w:color="448A99"/>
              <w:right w:val="single" w:sz="8" w:space="0" w:color="448A99"/>
            </w:tcBorders>
            <w:shd w:val="clear" w:color="000000" w:fill="D2EAF1"/>
            <w:vAlign w:val="center"/>
            <w:hideMark/>
          </w:tcPr>
          <w:p w:rsidR="00A6625F" w:rsidRPr="00C75D51" w:rsidRDefault="00A6625F" w:rsidP="00A6625F">
            <w:pPr>
              <w:jc w:val="center"/>
              <w:rPr>
                <w:color w:val="000000"/>
                <w:sz w:val="19"/>
                <w:szCs w:val="19"/>
              </w:rPr>
            </w:pPr>
            <w:r w:rsidRPr="00C75D51">
              <w:rPr>
                <w:color w:val="000000"/>
                <w:sz w:val="19"/>
                <w:szCs w:val="19"/>
              </w:rPr>
              <w:t>47,044</w:t>
            </w:r>
          </w:p>
        </w:tc>
      </w:tr>
      <w:tr w:rsidR="00A874AC" w:rsidRPr="00C75D51" w:rsidTr="000123A3">
        <w:trPr>
          <w:trHeight w:val="315"/>
        </w:trPr>
        <w:tc>
          <w:tcPr>
            <w:tcW w:w="2400" w:type="dxa"/>
            <w:tcBorders>
              <w:top w:val="nil"/>
              <w:left w:val="single" w:sz="8" w:space="0" w:color="448A99"/>
              <w:bottom w:val="single" w:sz="8" w:space="0" w:color="448A99"/>
              <w:right w:val="nil"/>
            </w:tcBorders>
            <w:shd w:val="clear" w:color="000000" w:fill="FFFFFF"/>
            <w:vAlign w:val="center"/>
            <w:hideMark/>
          </w:tcPr>
          <w:p w:rsidR="00A6625F" w:rsidRPr="00C75D51" w:rsidRDefault="00A6625F" w:rsidP="00A6625F">
            <w:pPr>
              <w:jc w:val="left"/>
              <w:rPr>
                <w:b/>
                <w:color w:val="000000"/>
                <w:sz w:val="19"/>
                <w:szCs w:val="19"/>
              </w:rPr>
            </w:pPr>
            <w:r w:rsidRPr="00C75D51">
              <w:rPr>
                <w:b/>
                <w:color w:val="000000"/>
                <w:sz w:val="19"/>
                <w:szCs w:val="19"/>
              </w:rPr>
              <w:t>Statewide</w:t>
            </w:r>
          </w:p>
        </w:tc>
        <w:tc>
          <w:tcPr>
            <w:tcW w:w="1660"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C75D51" w:rsidRDefault="00E0150C" w:rsidP="00A6625F">
            <w:pPr>
              <w:jc w:val="center"/>
              <w:rPr>
                <w:b/>
                <w:bCs/>
                <w:color w:val="000000"/>
                <w:sz w:val="19"/>
                <w:szCs w:val="19"/>
              </w:rPr>
            </w:pPr>
            <w:r w:rsidRPr="00C75D51">
              <w:rPr>
                <w:b/>
                <w:bCs/>
                <w:color w:val="000000"/>
                <w:sz w:val="19"/>
                <w:szCs w:val="19"/>
              </w:rPr>
              <w:t>617,207</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C75D51" w:rsidRDefault="00BC738A" w:rsidP="00A6625F">
            <w:pPr>
              <w:jc w:val="center"/>
              <w:rPr>
                <w:b/>
                <w:bCs/>
                <w:color w:val="000000"/>
                <w:sz w:val="19"/>
                <w:szCs w:val="19"/>
              </w:rPr>
            </w:pPr>
            <w:r w:rsidRPr="00C75D51">
              <w:rPr>
                <w:b/>
                <w:bCs/>
                <w:color w:val="000000"/>
                <w:sz w:val="19"/>
                <w:szCs w:val="19"/>
              </w:rPr>
              <w:t>107,025</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b/>
                <w:bCs/>
                <w:color w:val="000000"/>
                <w:sz w:val="19"/>
                <w:szCs w:val="19"/>
              </w:rPr>
            </w:pPr>
            <w:r w:rsidRPr="00C75D51">
              <w:rPr>
                <w:b/>
                <w:bCs/>
                <w:color w:val="000000"/>
                <w:sz w:val="19"/>
                <w:szCs w:val="19"/>
              </w:rPr>
              <w:t>542,771</w:t>
            </w:r>
          </w:p>
        </w:tc>
        <w:tc>
          <w:tcPr>
            <w:tcW w:w="1970" w:type="dxa"/>
            <w:tcBorders>
              <w:top w:val="nil"/>
              <w:left w:val="nil"/>
              <w:bottom w:val="single" w:sz="8" w:space="0" w:color="448A99"/>
              <w:right w:val="single" w:sz="8" w:space="0" w:color="448A99"/>
            </w:tcBorders>
            <w:shd w:val="clear" w:color="000000" w:fill="FFFFFF"/>
            <w:vAlign w:val="center"/>
            <w:hideMark/>
          </w:tcPr>
          <w:p w:rsidR="00A6625F" w:rsidRPr="00C75D51" w:rsidRDefault="00A6625F" w:rsidP="00A6625F">
            <w:pPr>
              <w:jc w:val="center"/>
              <w:rPr>
                <w:b/>
                <w:bCs/>
                <w:color w:val="000000"/>
                <w:sz w:val="19"/>
                <w:szCs w:val="19"/>
              </w:rPr>
            </w:pPr>
            <w:r w:rsidRPr="00C75D51">
              <w:rPr>
                <w:b/>
                <w:bCs/>
                <w:color w:val="000000"/>
                <w:sz w:val="19"/>
                <w:szCs w:val="19"/>
              </w:rPr>
              <w:t>239,261</w:t>
            </w:r>
          </w:p>
        </w:tc>
      </w:tr>
    </w:tbl>
    <w:p w:rsidR="004E7615" w:rsidRDefault="004E7615" w:rsidP="00AC2B6F"/>
    <w:p w:rsidR="004C02F0" w:rsidRDefault="00273805" w:rsidP="00AC2B6F">
      <w:r>
        <w:fldChar w:fldCharType="begin"/>
      </w:r>
      <w:r>
        <w:instrText xml:space="preserve"> REF _Ref472410107 \h </w:instrText>
      </w:r>
      <w:r>
        <w:fldChar w:fldCharType="separate"/>
      </w:r>
      <w:r w:rsidR="00037CB4">
        <w:t xml:space="preserve">Figure </w:t>
      </w:r>
      <w:r w:rsidR="00037CB4">
        <w:rPr>
          <w:noProof/>
        </w:rPr>
        <w:t>2</w:t>
      </w:r>
      <w:r w:rsidR="00037CB4">
        <w:noBreakHyphen/>
      </w:r>
      <w:r w:rsidR="00037CB4">
        <w:rPr>
          <w:noProof/>
        </w:rPr>
        <w:t>1</w:t>
      </w:r>
      <w:r>
        <w:fldChar w:fldCharType="end"/>
      </w:r>
      <w:r w:rsidR="00CF6B47">
        <w:t xml:space="preserve"> provides</w:t>
      </w:r>
      <w:r w:rsidR="00566EB9">
        <w:t xml:space="preserve"> </w:t>
      </w:r>
      <w:r w:rsidR="00566EB9" w:rsidRPr="00566EB9">
        <w:t>a graphical representation of the above data</w:t>
      </w:r>
      <w:r w:rsidR="00566EB9">
        <w:t>.</w:t>
      </w:r>
    </w:p>
    <w:p w:rsidR="000F5A29" w:rsidRDefault="000F5A29" w:rsidP="00AC2B6F"/>
    <w:p w:rsidR="00566EB9" w:rsidRDefault="00273805" w:rsidP="004837FA">
      <w:pPr>
        <w:pStyle w:val="Caption"/>
      </w:pPr>
      <w:bookmarkStart w:id="96" w:name="_Ref472410107"/>
      <w:bookmarkStart w:id="97" w:name="_Toc472472209"/>
      <w:bookmarkStart w:id="98" w:name="_Toc488741787"/>
      <w:r>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w:t>
      </w:r>
      <w:r w:rsidR="007973A4">
        <w:rPr>
          <w:noProof/>
        </w:rPr>
        <w:fldChar w:fldCharType="end"/>
      </w:r>
      <w:bookmarkEnd w:id="96"/>
      <w:r>
        <w:t xml:space="preserve">: </w:t>
      </w:r>
      <w:r w:rsidR="00566EB9">
        <w:t>PY7 Verified Energy Savings by</w:t>
      </w:r>
      <w:r w:rsidR="000705FA">
        <w:t xml:space="preserve"> EDC</w:t>
      </w:r>
      <w:r w:rsidR="00566EB9">
        <w:t xml:space="preserve"> and </w:t>
      </w:r>
      <w:bookmarkEnd w:id="97"/>
      <w:r w:rsidR="000705FA">
        <w:t>Sector</w:t>
      </w:r>
      <w:bookmarkEnd w:id="98"/>
    </w:p>
    <w:p w:rsidR="00566EB9" w:rsidRDefault="008A610D" w:rsidP="00AC2B6F">
      <w:r>
        <w:rPr>
          <w:noProof/>
        </w:rPr>
        <w:drawing>
          <wp:inline distT="0" distB="0" distL="0" distR="0" wp14:anchorId="0F112B2D" wp14:editId="20B203B7">
            <wp:extent cx="5755005" cy="3637722"/>
            <wp:effectExtent l="0" t="0" r="0"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val="0"/>
                        </a:ext>
                      </a:extLst>
                    </a:blip>
                    <a:srcRect b="5295"/>
                    <a:stretch/>
                  </pic:blipFill>
                  <pic:spPr bwMode="auto">
                    <a:xfrm>
                      <a:off x="0" y="0"/>
                      <a:ext cx="5755005" cy="3637722"/>
                    </a:xfrm>
                    <a:prstGeom prst="rect">
                      <a:avLst/>
                    </a:prstGeom>
                    <a:noFill/>
                    <a:ln>
                      <a:noFill/>
                    </a:ln>
                    <a:extLst>
                      <a:ext uri="{53640926-AAD7-44D8-BBD7-CCE9431645EC}">
                        <a14:shadowObscured xmlns:a14="http://schemas.microsoft.com/office/drawing/2010/main"/>
                      </a:ext>
                    </a:extLst>
                  </pic:spPr>
                </pic:pic>
              </a:graphicData>
            </a:graphic>
          </wp:inline>
        </w:drawing>
      </w:r>
    </w:p>
    <w:p w:rsidR="007B7BD7" w:rsidRDefault="007B7BD7" w:rsidP="00AC2B6F"/>
    <w:p w:rsidR="004E7615" w:rsidRDefault="00A6625F" w:rsidP="00AC2B6F">
      <w:r>
        <w:t>The residential sector accounted for the highest proportion of savings</w:t>
      </w:r>
      <w:r w:rsidR="0097650B">
        <w:t xml:space="preserve"> across the four sectors</w:t>
      </w:r>
      <w:r w:rsidR="00F95DF6">
        <w:t xml:space="preserve"> during PY7</w:t>
      </w:r>
      <w:r w:rsidR="0097650B">
        <w:t>. The C/</w:t>
      </w:r>
      <w:r>
        <w:t>I sector accounted for the highest savings for two EDCs.</w:t>
      </w:r>
      <w:r w:rsidR="00710D08">
        <w:t xml:space="preserve"> The low-income </w:t>
      </w:r>
      <w:r w:rsidR="0097650B">
        <w:t xml:space="preserve">sector </w:t>
      </w:r>
      <w:r w:rsidR="00710D08">
        <w:t>accounted for 7% of total savings</w:t>
      </w:r>
      <w:r w:rsidR="0097650B">
        <w:t xml:space="preserve"> and the </w:t>
      </w:r>
      <w:r w:rsidR="00710D08">
        <w:t xml:space="preserve">GNI sector for 16% </w:t>
      </w:r>
      <w:r w:rsidR="00A400D2">
        <w:t xml:space="preserve">of </w:t>
      </w:r>
      <w:r w:rsidR="0097650B">
        <w:t xml:space="preserve">total </w:t>
      </w:r>
      <w:r w:rsidR="00710D08">
        <w:t>savings</w:t>
      </w:r>
      <w:r w:rsidR="00F95DF6">
        <w:t xml:space="preserve"> during PY7</w:t>
      </w:r>
      <w:r w:rsidR="00710D08">
        <w:t>.</w:t>
      </w:r>
    </w:p>
    <w:p w:rsidR="001B73FC" w:rsidRDefault="001B73FC" w:rsidP="00AC2B6F"/>
    <w:p w:rsidR="001B73FC" w:rsidRPr="000532C8" w:rsidRDefault="000532C8" w:rsidP="00E673F0">
      <w:pPr>
        <w:pStyle w:val="Heading3"/>
        <w:rPr>
          <w:rStyle w:val="Heading3Char"/>
          <w:b/>
        </w:rPr>
      </w:pPr>
      <w:bookmarkStart w:id="99" w:name="_Toc472472092"/>
      <w:bookmarkStart w:id="100" w:name="_Toc488765785"/>
      <w:r w:rsidRPr="000532C8">
        <w:rPr>
          <w:rStyle w:val="Heading3Char"/>
          <w:b/>
        </w:rPr>
        <w:t>C</w:t>
      </w:r>
      <w:r>
        <w:rPr>
          <w:rStyle w:val="Heading3Char"/>
          <w:b/>
        </w:rPr>
        <w:t>omparison of PY</w:t>
      </w:r>
      <w:r w:rsidR="0036462C">
        <w:rPr>
          <w:rStyle w:val="Heading3Char"/>
          <w:b/>
        </w:rPr>
        <w:t>7</w:t>
      </w:r>
      <w:r>
        <w:rPr>
          <w:rStyle w:val="Heading3Char"/>
          <w:b/>
        </w:rPr>
        <w:t xml:space="preserve"> Expenditures </w:t>
      </w:r>
      <w:r w:rsidR="0097650B">
        <w:rPr>
          <w:rStyle w:val="Heading3Char"/>
          <w:b/>
        </w:rPr>
        <w:t>with</w:t>
      </w:r>
      <w:r>
        <w:rPr>
          <w:rStyle w:val="Heading3Char"/>
          <w:b/>
        </w:rPr>
        <w:t xml:space="preserve"> Approved EE&amp;C Plan Budget Estimates</w:t>
      </w:r>
      <w:bookmarkEnd w:id="99"/>
      <w:bookmarkEnd w:id="100"/>
    </w:p>
    <w:p w:rsidR="00015341" w:rsidRDefault="00015341" w:rsidP="00015341">
      <w:r w:rsidRPr="00015341">
        <w:t xml:space="preserve">The EDCs provided information </w:t>
      </w:r>
      <w:r w:rsidR="00B164DC">
        <w:t>about</w:t>
      </w:r>
      <w:r w:rsidRPr="00015341">
        <w:t xml:space="preserve"> their spending on a portfolio and by-program basis. </w:t>
      </w:r>
      <w:r w:rsidR="000532C8" w:rsidRPr="005A0D9B">
        <w:fldChar w:fldCharType="begin"/>
      </w:r>
      <w:r w:rsidR="000532C8" w:rsidRPr="005A0D9B">
        <w:instrText xml:space="preserve"> REF _Ref472408703 \h </w:instrText>
      </w:r>
      <w:r w:rsidR="005A0D9B">
        <w:instrText xml:space="preserve"> \* MERGEFORMAT </w:instrText>
      </w:r>
      <w:r w:rsidR="000532C8" w:rsidRPr="005A0D9B">
        <w:fldChar w:fldCharType="separate"/>
      </w:r>
      <w:r w:rsidR="005A0D9B" w:rsidRPr="005A0D9B">
        <w:t xml:space="preserve">Table </w:t>
      </w:r>
      <w:r w:rsidR="005A0D9B" w:rsidRPr="005A0D9B">
        <w:rPr>
          <w:noProof/>
        </w:rPr>
        <w:t>2</w:t>
      </w:r>
      <w:r w:rsidR="005A0D9B" w:rsidRPr="005A0D9B">
        <w:noBreakHyphen/>
      </w:r>
      <w:r w:rsidR="005A0D9B" w:rsidRPr="005A0D9B">
        <w:rPr>
          <w:noProof/>
        </w:rPr>
        <w:t>9</w:t>
      </w:r>
      <w:r w:rsidR="000532C8" w:rsidRPr="005A0D9B">
        <w:fldChar w:fldCharType="end"/>
      </w:r>
      <w:r w:rsidRPr="00015341">
        <w:t xml:space="preserve"> summarizes the EDCs’ spending on incentives and program overhead costs in PY7. The table also shows that the EDCs’ portfolios collectively generated </w:t>
      </w:r>
      <w:r w:rsidR="000532C8">
        <w:t xml:space="preserve">more than </w:t>
      </w:r>
      <w:r w:rsidRPr="00015341">
        <w:t>$</w:t>
      </w:r>
      <w:r w:rsidR="000532C8">
        <w:t>1</w:t>
      </w:r>
      <w:r w:rsidRPr="00015341">
        <w:t xml:space="preserve"> </w:t>
      </w:r>
      <w:r w:rsidR="000532C8">
        <w:t>b</w:t>
      </w:r>
      <w:r w:rsidRPr="00015341">
        <w:t>illion in NPV benefits in PY7. This compares with total TRC costs of approximately $</w:t>
      </w:r>
      <w:r w:rsidR="000532C8">
        <w:t>5</w:t>
      </w:r>
      <w:r w:rsidR="005A0D9B">
        <w:t>83</w:t>
      </w:r>
      <w:r w:rsidRPr="00015341">
        <w:t xml:space="preserve"> million. The total EDC incentives </w:t>
      </w:r>
      <w:r w:rsidR="005A0D9B">
        <w:t xml:space="preserve">to program participants </w:t>
      </w:r>
      <w:r w:rsidRPr="00015341">
        <w:t>were about $</w:t>
      </w:r>
      <w:r w:rsidR="000532C8">
        <w:t>1</w:t>
      </w:r>
      <w:r w:rsidR="00B164DC">
        <w:t>07</w:t>
      </w:r>
      <w:r w:rsidRPr="00015341">
        <w:t xml:space="preserve"> million, and net participant costs accounted for nearly $</w:t>
      </w:r>
      <w:r w:rsidR="000532C8">
        <w:t>3</w:t>
      </w:r>
      <w:r w:rsidR="00B164DC">
        <w:t>37</w:t>
      </w:r>
      <w:r w:rsidRPr="00015341">
        <w:t xml:space="preserve"> million. The total EDC program overhead costs were $</w:t>
      </w:r>
      <w:r w:rsidR="000532C8">
        <w:t>12</w:t>
      </w:r>
      <w:r w:rsidR="00B164DC">
        <w:t>1</w:t>
      </w:r>
      <w:r w:rsidRPr="00015341">
        <w:t xml:space="preserve"> million. The total TRC B/C ratio of all EDC programs </w:t>
      </w:r>
      <w:r w:rsidR="00B164DC" w:rsidRPr="00015341">
        <w:t xml:space="preserve">was </w:t>
      </w:r>
      <w:r w:rsidR="00F95DF6">
        <w:t>1.7</w:t>
      </w:r>
      <w:r w:rsidR="00B164DC" w:rsidRPr="00015341">
        <w:t>,</w:t>
      </w:r>
      <w:r w:rsidRPr="00015341">
        <w:t xml:space="preserve"> which means that as a group, the EDCs continued to operate their programs in a cost-effective manner in PY7</w:t>
      </w:r>
      <w:r>
        <w:t>.</w:t>
      </w:r>
    </w:p>
    <w:p w:rsidR="00B662DF" w:rsidRDefault="00B662DF" w:rsidP="00015341"/>
    <w:p w:rsidR="00015341" w:rsidRDefault="000532C8" w:rsidP="004837FA">
      <w:pPr>
        <w:pStyle w:val="Caption"/>
      </w:pPr>
      <w:bookmarkStart w:id="101" w:name="_Ref472408703"/>
      <w:bookmarkStart w:id="102" w:name="_Toc472472163"/>
      <w:bookmarkStart w:id="103" w:name="_Toc488741740"/>
      <w:r w:rsidRPr="00D81811">
        <w:t xml:space="preserve">Table </w:t>
      </w:r>
      <w:r w:rsidR="007973A4">
        <w:fldChar w:fldCharType="begin"/>
      </w:r>
      <w:r w:rsidR="007973A4">
        <w:instrText xml:space="preserve"> STYLEREF 1 \s </w:instrText>
      </w:r>
      <w:r w:rsidR="007973A4">
        <w:fldChar w:fldCharType="separate"/>
      </w:r>
      <w:r w:rsidR="00037CB4" w:rsidRPr="00D81811">
        <w:rPr>
          <w:noProof/>
        </w:rPr>
        <w:t>2</w:t>
      </w:r>
      <w:r w:rsidR="007973A4">
        <w:rPr>
          <w:noProof/>
        </w:rPr>
        <w:fldChar w:fldCharType="end"/>
      </w:r>
      <w:r w:rsidR="00E6042C" w:rsidRPr="00D81811">
        <w:noBreakHyphen/>
      </w:r>
      <w:r w:rsidR="007973A4">
        <w:fldChar w:fldCharType="begin"/>
      </w:r>
      <w:r w:rsidR="007973A4">
        <w:instrText xml:space="preserve"> SEQ Table \* ARABIC \s 1 </w:instrText>
      </w:r>
      <w:r w:rsidR="007973A4">
        <w:fldChar w:fldCharType="separate"/>
      </w:r>
      <w:r w:rsidR="00037CB4" w:rsidRPr="00D81811">
        <w:rPr>
          <w:noProof/>
        </w:rPr>
        <w:t>9</w:t>
      </w:r>
      <w:r w:rsidR="007973A4">
        <w:rPr>
          <w:noProof/>
        </w:rPr>
        <w:fldChar w:fldCharType="end"/>
      </w:r>
      <w:bookmarkEnd w:id="101"/>
      <w:r w:rsidRPr="00D81811">
        <w:t>:  Summary of Statewide Portfolio Finances for PY7</w:t>
      </w:r>
      <w:bookmarkEnd w:id="102"/>
      <w:bookmarkEnd w:id="103"/>
    </w:p>
    <w:tbl>
      <w:tblPr>
        <w:tblW w:w="9450" w:type="dxa"/>
        <w:tblInd w:w="-10" w:type="dxa"/>
        <w:tblLook w:val="04A0" w:firstRow="1" w:lastRow="0" w:firstColumn="1" w:lastColumn="0" w:noHBand="0" w:noVBand="1"/>
      </w:tblPr>
      <w:tblGrid>
        <w:gridCol w:w="5440"/>
        <w:gridCol w:w="4010"/>
      </w:tblGrid>
      <w:tr w:rsidR="00E7173E" w:rsidRPr="00C75D51" w:rsidTr="00C75D51">
        <w:trPr>
          <w:trHeight w:val="315"/>
          <w:tblHeader/>
        </w:trPr>
        <w:tc>
          <w:tcPr>
            <w:tcW w:w="5440"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015341" w:rsidRPr="00C75D51" w:rsidRDefault="00015341" w:rsidP="0023582E">
            <w:pPr>
              <w:rPr>
                <w:b/>
                <w:bCs/>
                <w:color w:val="FFFFFF"/>
                <w:sz w:val="19"/>
                <w:szCs w:val="19"/>
              </w:rPr>
            </w:pPr>
            <w:r w:rsidRPr="00C75D51">
              <w:rPr>
                <w:b/>
                <w:bCs/>
                <w:color w:val="FFFFFF"/>
                <w:sz w:val="19"/>
                <w:szCs w:val="19"/>
              </w:rPr>
              <w:t> Element</w:t>
            </w:r>
          </w:p>
        </w:tc>
        <w:tc>
          <w:tcPr>
            <w:tcW w:w="4010" w:type="dxa"/>
            <w:tcBorders>
              <w:top w:val="single" w:sz="8" w:space="0" w:color="448A99"/>
              <w:left w:val="nil"/>
              <w:bottom w:val="single" w:sz="8" w:space="0" w:color="448A99"/>
              <w:right w:val="single" w:sz="8" w:space="0" w:color="448A99"/>
            </w:tcBorders>
            <w:shd w:val="clear" w:color="000000" w:fill="448A99"/>
            <w:vAlign w:val="center"/>
            <w:hideMark/>
          </w:tcPr>
          <w:p w:rsidR="00015341" w:rsidRPr="00C75D51" w:rsidRDefault="00015341" w:rsidP="0023582E">
            <w:pPr>
              <w:jc w:val="center"/>
              <w:rPr>
                <w:b/>
                <w:bCs/>
                <w:color w:val="FFFFFF"/>
                <w:sz w:val="19"/>
                <w:szCs w:val="19"/>
              </w:rPr>
            </w:pPr>
            <w:r w:rsidRPr="00C75D51">
              <w:rPr>
                <w:b/>
                <w:bCs/>
                <w:color w:val="FFFFFF"/>
                <w:sz w:val="19"/>
                <w:szCs w:val="19"/>
              </w:rPr>
              <w:t>PY7 ($000)</w:t>
            </w:r>
          </w:p>
        </w:tc>
      </w:tr>
      <w:tr w:rsidR="00E7173E" w:rsidRPr="00C75D51" w:rsidTr="00C75D51">
        <w:trPr>
          <w:trHeight w:val="317"/>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Pr="00C75D51" w:rsidRDefault="00015341" w:rsidP="0023582E">
            <w:pPr>
              <w:rPr>
                <w:b/>
                <w:bCs/>
                <w:color w:val="000000"/>
                <w:sz w:val="19"/>
                <w:szCs w:val="19"/>
              </w:rPr>
            </w:pPr>
            <w:r w:rsidRPr="00C75D51">
              <w:rPr>
                <w:b/>
                <w:bCs/>
                <w:color w:val="000000"/>
                <w:sz w:val="19"/>
                <w:szCs w:val="19"/>
              </w:rPr>
              <w:t>Incremental Measure Costs</w:t>
            </w:r>
          </w:p>
        </w:tc>
        <w:tc>
          <w:tcPr>
            <w:tcW w:w="4010" w:type="dxa"/>
            <w:tcBorders>
              <w:top w:val="nil"/>
              <w:left w:val="nil"/>
              <w:bottom w:val="single" w:sz="8" w:space="0" w:color="448A99"/>
              <w:right w:val="single" w:sz="8" w:space="0" w:color="448A99"/>
            </w:tcBorders>
            <w:shd w:val="clear" w:color="auto" w:fill="auto"/>
            <w:vAlign w:val="center"/>
            <w:hideMark/>
          </w:tcPr>
          <w:p w:rsidR="00015341" w:rsidRPr="00C75D51" w:rsidRDefault="00015341" w:rsidP="0023582E">
            <w:pPr>
              <w:jc w:val="center"/>
              <w:rPr>
                <w:color w:val="000000"/>
                <w:sz w:val="19"/>
                <w:szCs w:val="19"/>
              </w:rPr>
            </w:pPr>
            <w:r w:rsidRPr="00C75D51">
              <w:rPr>
                <w:color w:val="000000"/>
                <w:sz w:val="19"/>
                <w:szCs w:val="19"/>
              </w:rPr>
              <w:t>$444,312</w:t>
            </w:r>
          </w:p>
        </w:tc>
      </w:tr>
      <w:tr w:rsidR="00E7173E" w:rsidRPr="00C75D51" w:rsidTr="00C75D51">
        <w:trPr>
          <w:trHeight w:val="317"/>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Pr="00C75D51" w:rsidRDefault="00015341" w:rsidP="0023582E">
            <w:pPr>
              <w:rPr>
                <w:color w:val="000000"/>
                <w:sz w:val="19"/>
                <w:szCs w:val="19"/>
              </w:rPr>
            </w:pPr>
            <w:r w:rsidRPr="00C75D51">
              <w:rPr>
                <w:color w:val="000000"/>
                <w:sz w:val="19"/>
                <w:szCs w:val="19"/>
              </w:rPr>
              <w:t>EDC Incentives to Participants</w:t>
            </w:r>
          </w:p>
        </w:tc>
        <w:tc>
          <w:tcPr>
            <w:tcW w:w="4010" w:type="dxa"/>
            <w:tcBorders>
              <w:top w:val="nil"/>
              <w:left w:val="nil"/>
              <w:bottom w:val="single" w:sz="8" w:space="0" w:color="448A99"/>
              <w:right w:val="single" w:sz="8" w:space="0" w:color="448A99"/>
            </w:tcBorders>
            <w:shd w:val="clear" w:color="000000" w:fill="D2EAF1"/>
            <w:vAlign w:val="center"/>
            <w:hideMark/>
          </w:tcPr>
          <w:p w:rsidR="00015341" w:rsidRPr="00C75D51" w:rsidRDefault="00015341" w:rsidP="0023582E">
            <w:pPr>
              <w:jc w:val="center"/>
              <w:rPr>
                <w:color w:val="000000"/>
                <w:sz w:val="19"/>
                <w:szCs w:val="19"/>
              </w:rPr>
            </w:pPr>
            <w:r w:rsidRPr="00C75D51">
              <w:rPr>
                <w:color w:val="000000"/>
                <w:sz w:val="19"/>
                <w:szCs w:val="19"/>
              </w:rPr>
              <w:t>$107,071</w:t>
            </w:r>
          </w:p>
        </w:tc>
      </w:tr>
      <w:tr w:rsidR="00E7173E" w:rsidRPr="00C75D51" w:rsidTr="00C75D51">
        <w:trPr>
          <w:trHeight w:val="317"/>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Pr="00C75D51" w:rsidRDefault="00015341" w:rsidP="0023582E">
            <w:pPr>
              <w:rPr>
                <w:color w:val="000000"/>
                <w:sz w:val="19"/>
                <w:szCs w:val="19"/>
              </w:rPr>
            </w:pPr>
            <w:r w:rsidRPr="00C75D51">
              <w:rPr>
                <w:color w:val="000000"/>
                <w:sz w:val="19"/>
                <w:szCs w:val="19"/>
              </w:rPr>
              <w:t>EDC Incentives to Trade Allies</w:t>
            </w:r>
          </w:p>
        </w:tc>
        <w:tc>
          <w:tcPr>
            <w:tcW w:w="4010" w:type="dxa"/>
            <w:tcBorders>
              <w:top w:val="nil"/>
              <w:left w:val="nil"/>
              <w:bottom w:val="single" w:sz="8" w:space="0" w:color="448A99"/>
              <w:right w:val="single" w:sz="8" w:space="0" w:color="448A99"/>
            </w:tcBorders>
            <w:shd w:val="clear" w:color="auto" w:fill="auto"/>
            <w:vAlign w:val="center"/>
            <w:hideMark/>
          </w:tcPr>
          <w:p w:rsidR="00015341" w:rsidRPr="00C75D51" w:rsidRDefault="00015341" w:rsidP="0023582E">
            <w:pPr>
              <w:jc w:val="center"/>
              <w:rPr>
                <w:color w:val="000000"/>
                <w:sz w:val="19"/>
                <w:szCs w:val="19"/>
              </w:rPr>
            </w:pPr>
            <w:r w:rsidRPr="00C75D51">
              <w:rPr>
                <w:color w:val="000000"/>
                <w:sz w:val="19"/>
                <w:szCs w:val="19"/>
              </w:rPr>
              <w:t>$348</w:t>
            </w:r>
          </w:p>
        </w:tc>
      </w:tr>
      <w:tr w:rsidR="00E7173E" w:rsidRPr="00C75D51" w:rsidTr="00C75D51">
        <w:trPr>
          <w:trHeight w:val="317"/>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Pr="00C75D51" w:rsidRDefault="00015341" w:rsidP="003E702C">
            <w:pPr>
              <w:rPr>
                <w:color w:val="000000"/>
                <w:sz w:val="19"/>
                <w:szCs w:val="19"/>
              </w:rPr>
            </w:pPr>
            <w:r w:rsidRPr="00C75D51">
              <w:rPr>
                <w:color w:val="000000"/>
                <w:sz w:val="19"/>
                <w:szCs w:val="19"/>
              </w:rPr>
              <w:t xml:space="preserve">Participant Costs (net of incentives/rebates paid by </w:t>
            </w:r>
            <w:r w:rsidR="000623A4" w:rsidRPr="00C75D51">
              <w:rPr>
                <w:color w:val="000000"/>
                <w:sz w:val="19"/>
                <w:szCs w:val="19"/>
              </w:rPr>
              <w:t>utilities)</w:t>
            </w:r>
            <w:r w:rsidR="000623A4" w:rsidRPr="00C75D51">
              <w:rPr>
                <w:color w:val="000000"/>
                <w:sz w:val="19"/>
                <w:szCs w:val="19"/>
                <w:vertAlign w:val="superscript"/>
              </w:rPr>
              <w:t xml:space="preserve"> [</w:t>
            </w:r>
            <w:r w:rsidR="003E702C" w:rsidRPr="00C75D51">
              <w:rPr>
                <w:color w:val="000000"/>
                <w:sz w:val="19"/>
                <w:szCs w:val="19"/>
                <w:vertAlign w:val="superscript"/>
              </w:rPr>
              <w:t>a</w:t>
            </w:r>
            <w:r w:rsidRPr="00C75D51">
              <w:rPr>
                <w:color w:val="000000"/>
                <w:sz w:val="19"/>
                <w:szCs w:val="19"/>
                <w:vertAlign w:val="superscript"/>
              </w:rPr>
              <w:t>]</w:t>
            </w:r>
          </w:p>
        </w:tc>
        <w:tc>
          <w:tcPr>
            <w:tcW w:w="4010" w:type="dxa"/>
            <w:tcBorders>
              <w:top w:val="nil"/>
              <w:left w:val="nil"/>
              <w:bottom w:val="single" w:sz="8" w:space="0" w:color="448A99"/>
              <w:right w:val="single" w:sz="8" w:space="0" w:color="448A99"/>
            </w:tcBorders>
            <w:shd w:val="clear" w:color="000000" w:fill="D2EAF1"/>
            <w:vAlign w:val="center"/>
            <w:hideMark/>
          </w:tcPr>
          <w:p w:rsidR="00015341" w:rsidRPr="00C75D51" w:rsidRDefault="00015341" w:rsidP="0023582E">
            <w:pPr>
              <w:jc w:val="center"/>
              <w:rPr>
                <w:color w:val="000000"/>
                <w:sz w:val="19"/>
                <w:szCs w:val="19"/>
              </w:rPr>
            </w:pPr>
            <w:r w:rsidRPr="00C75D51">
              <w:rPr>
                <w:color w:val="000000"/>
                <w:sz w:val="19"/>
                <w:szCs w:val="19"/>
              </w:rPr>
              <w:t>$336,893</w:t>
            </w:r>
          </w:p>
        </w:tc>
      </w:tr>
      <w:tr w:rsidR="00E7173E" w:rsidRPr="00C75D51" w:rsidTr="00C75D51">
        <w:trPr>
          <w:trHeight w:val="20"/>
        </w:trPr>
        <w:tc>
          <w:tcPr>
            <w:tcW w:w="5440" w:type="dxa"/>
            <w:tcBorders>
              <w:top w:val="nil"/>
              <w:left w:val="single" w:sz="8" w:space="0" w:color="448A99"/>
              <w:bottom w:val="single" w:sz="8" w:space="0" w:color="448A99"/>
              <w:right w:val="nil"/>
            </w:tcBorders>
            <w:shd w:val="clear" w:color="000000" w:fill="9C9393"/>
            <w:vAlign w:val="center"/>
            <w:hideMark/>
          </w:tcPr>
          <w:p w:rsidR="00015341" w:rsidRPr="00C75D51" w:rsidRDefault="00015341" w:rsidP="0023582E">
            <w:pPr>
              <w:rPr>
                <w:color w:val="000000"/>
                <w:sz w:val="19"/>
                <w:szCs w:val="19"/>
              </w:rPr>
            </w:pPr>
            <w:r w:rsidRPr="00C75D51">
              <w:rPr>
                <w:color w:val="000000"/>
                <w:sz w:val="19"/>
                <w:szCs w:val="19"/>
              </w:rPr>
              <w:t> </w:t>
            </w:r>
          </w:p>
        </w:tc>
        <w:tc>
          <w:tcPr>
            <w:tcW w:w="4010" w:type="dxa"/>
            <w:tcBorders>
              <w:top w:val="nil"/>
              <w:left w:val="nil"/>
              <w:bottom w:val="single" w:sz="8" w:space="0" w:color="448A99"/>
              <w:right w:val="single" w:sz="8" w:space="0" w:color="448A99"/>
            </w:tcBorders>
            <w:shd w:val="clear" w:color="000000" w:fill="9C9393"/>
            <w:vAlign w:val="center"/>
            <w:hideMark/>
          </w:tcPr>
          <w:p w:rsidR="00015341" w:rsidRPr="00C75D51" w:rsidRDefault="00015341" w:rsidP="0023582E">
            <w:pPr>
              <w:rPr>
                <w:color w:val="000000"/>
                <w:sz w:val="19"/>
                <w:szCs w:val="19"/>
              </w:rPr>
            </w:pPr>
            <w:r w:rsidRPr="00C75D51">
              <w:rPr>
                <w:color w:val="000000"/>
                <w:sz w:val="19"/>
                <w:szCs w:val="19"/>
              </w:rPr>
              <w:t> </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Pr="00C75D51" w:rsidRDefault="00015341" w:rsidP="0023582E">
            <w:pPr>
              <w:rPr>
                <w:b/>
                <w:bCs/>
                <w:color w:val="000000"/>
                <w:sz w:val="19"/>
                <w:szCs w:val="19"/>
              </w:rPr>
            </w:pPr>
            <w:r w:rsidRPr="00C75D51">
              <w:rPr>
                <w:b/>
                <w:bCs/>
                <w:color w:val="000000"/>
                <w:sz w:val="19"/>
                <w:szCs w:val="19"/>
              </w:rPr>
              <w:t>Program Overhead Costs</w:t>
            </w:r>
          </w:p>
        </w:tc>
        <w:tc>
          <w:tcPr>
            <w:tcW w:w="4010" w:type="dxa"/>
            <w:tcBorders>
              <w:top w:val="nil"/>
              <w:left w:val="nil"/>
              <w:bottom w:val="single" w:sz="8" w:space="0" w:color="448A99"/>
              <w:right w:val="single" w:sz="8" w:space="0" w:color="448A99"/>
            </w:tcBorders>
            <w:shd w:val="clear" w:color="auto" w:fill="auto"/>
            <w:vAlign w:val="center"/>
            <w:hideMark/>
          </w:tcPr>
          <w:p w:rsidR="00015341" w:rsidRPr="00C75D51" w:rsidRDefault="00015341" w:rsidP="0023582E">
            <w:pPr>
              <w:jc w:val="center"/>
              <w:rPr>
                <w:color w:val="000000"/>
                <w:sz w:val="19"/>
                <w:szCs w:val="19"/>
              </w:rPr>
            </w:pPr>
            <w:r w:rsidRPr="00C75D51">
              <w:rPr>
                <w:color w:val="000000"/>
                <w:sz w:val="19"/>
                <w:szCs w:val="19"/>
              </w:rPr>
              <w:t>$121,035</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Pr="00C75D51" w:rsidRDefault="00015341" w:rsidP="00B164DC">
            <w:pPr>
              <w:rPr>
                <w:color w:val="000000"/>
                <w:sz w:val="19"/>
                <w:szCs w:val="19"/>
              </w:rPr>
            </w:pPr>
            <w:r w:rsidRPr="00C75D51">
              <w:rPr>
                <w:color w:val="000000"/>
                <w:sz w:val="19"/>
                <w:szCs w:val="19"/>
              </w:rPr>
              <w:t xml:space="preserve">Design </w:t>
            </w:r>
            <w:r w:rsidR="00B164DC" w:rsidRPr="00C75D51">
              <w:rPr>
                <w:color w:val="000000"/>
                <w:sz w:val="19"/>
                <w:szCs w:val="19"/>
              </w:rPr>
              <w:t>and</w:t>
            </w:r>
            <w:r w:rsidRPr="00C75D51">
              <w:rPr>
                <w:color w:val="000000"/>
                <w:sz w:val="19"/>
                <w:szCs w:val="19"/>
              </w:rPr>
              <w:t xml:space="preserve"> Development</w:t>
            </w:r>
          </w:p>
        </w:tc>
        <w:tc>
          <w:tcPr>
            <w:tcW w:w="4010" w:type="dxa"/>
            <w:tcBorders>
              <w:top w:val="nil"/>
              <w:left w:val="nil"/>
              <w:bottom w:val="single" w:sz="8" w:space="0" w:color="448A99"/>
              <w:right w:val="single" w:sz="8" w:space="0" w:color="448A99"/>
            </w:tcBorders>
            <w:shd w:val="clear" w:color="000000" w:fill="D2EAF1"/>
            <w:vAlign w:val="center"/>
            <w:hideMark/>
          </w:tcPr>
          <w:p w:rsidR="00015341" w:rsidRPr="00C75D51" w:rsidRDefault="00015341" w:rsidP="0023582E">
            <w:pPr>
              <w:jc w:val="center"/>
              <w:rPr>
                <w:color w:val="000000"/>
                <w:sz w:val="19"/>
                <w:szCs w:val="19"/>
              </w:rPr>
            </w:pPr>
            <w:r w:rsidRPr="00C75D51">
              <w:rPr>
                <w:color w:val="000000"/>
                <w:sz w:val="19"/>
                <w:szCs w:val="19"/>
              </w:rPr>
              <w:t>$469</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Pr="00C75D51" w:rsidRDefault="00015341" w:rsidP="003E702C">
            <w:pPr>
              <w:rPr>
                <w:color w:val="000000"/>
                <w:sz w:val="19"/>
                <w:szCs w:val="19"/>
              </w:rPr>
            </w:pPr>
            <w:r w:rsidRPr="00C75D51">
              <w:rPr>
                <w:color w:val="000000"/>
                <w:sz w:val="19"/>
                <w:szCs w:val="19"/>
              </w:rPr>
              <w:t>Administration, Management</w:t>
            </w:r>
            <w:r w:rsidR="00B164DC" w:rsidRPr="00C75D51">
              <w:rPr>
                <w:color w:val="000000"/>
                <w:sz w:val="19"/>
                <w:szCs w:val="19"/>
              </w:rPr>
              <w:t>,</w:t>
            </w:r>
            <w:r w:rsidRPr="00C75D51">
              <w:rPr>
                <w:color w:val="000000"/>
                <w:sz w:val="19"/>
                <w:szCs w:val="19"/>
              </w:rPr>
              <w:t xml:space="preserve"> and Technical </w:t>
            </w:r>
            <w:r w:rsidR="000623A4" w:rsidRPr="00C75D51">
              <w:rPr>
                <w:color w:val="000000"/>
                <w:sz w:val="19"/>
                <w:szCs w:val="19"/>
              </w:rPr>
              <w:t>Assistance</w:t>
            </w:r>
            <w:r w:rsidR="000623A4" w:rsidRPr="00C75D51">
              <w:rPr>
                <w:color w:val="000000"/>
                <w:sz w:val="19"/>
                <w:szCs w:val="19"/>
                <w:vertAlign w:val="superscript"/>
              </w:rPr>
              <w:t xml:space="preserve"> [</w:t>
            </w:r>
            <w:r w:rsidR="003E702C" w:rsidRPr="00C75D51">
              <w:rPr>
                <w:color w:val="000000"/>
                <w:sz w:val="19"/>
                <w:szCs w:val="19"/>
                <w:vertAlign w:val="superscript"/>
              </w:rPr>
              <w:t>b</w:t>
            </w:r>
            <w:r w:rsidRPr="00C75D51">
              <w:rPr>
                <w:color w:val="000000"/>
                <w:sz w:val="19"/>
                <w:szCs w:val="19"/>
                <w:vertAlign w:val="superscript"/>
              </w:rPr>
              <w:t>]</w:t>
            </w:r>
          </w:p>
        </w:tc>
        <w:tc>
          <w:tcPr>
            <w:tcW w:w="4010" w:type="dxa"/>
            <w:tcBorders>
              <w:top w:val="nil"/>
              <w:left w:val="nil"/>
              <w:bottom w:val="single" w:sz="8" w:space="0" w:color="448A99"/>
              <w:right w:val="single" w:sz="8" w:space="0" w:color="448A99"/>
            </w:tcBorders>
            <w:shd w:val="clear" w:color="auto" w:fill="auto"/>
            <w:vAlign w:val="center"/>
            <w:hideMark/>
          </w:tcPr>
          <w:p w:rsidR="00015341" w:rsidRPr="00C75D51" w:rsidRDefault="00015341" w:rsidP="0023582E">
            <w:pPr>
              <w:jc w:val="center"/>
              <w:rPr>
                <w:color w:val="000000"/>
                <w:sz w:val="19"/>
                <w:szCs w:val="19"/>
              </w:rPr>
            </w:pPr>
            <w:r w:rsidRPr="00C75D51">
              <w:rPr>
                <w:color w:val="000000"/>
                <w:sz w:val="19"/>
                <w:szCs w:val="19"/>
              </w:rPr>
              <w:t>$88,593</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Pr="00C75D51" w:rsidRDefault="000623A4" w:rsidP="003E702C">
            <w:pPr>
              <w:rPr>
                <w:color w:val="000000"/>
                <w:sz w:val="19"/>
                <w:szCs w:val="19"/>
              </w:rPr>
            </w:pPr>
            <w:r w:rsidRPr="00C75D51">
              <w:rPr>
                <w:color w:val="000000"/>
                <w:sz w:val="19"/>
                <w:szCs w:val="19"/>
              </w:rPr>
              <w:t>Marketing</w:t>
            </w:r>
            <w:r w:rsidRPr="00C75D51">
              <w:rPr>
                <w:color w:val="000000"/>
                <w:sz w:val="19"/>
                <w:szCs w:val="19"/>
                <w:vertAlign w:val="superscript"/>
              </w:rPr>
              <w:t xml:space="preserve"> [</w:t>
            </w:r>
            <w:r w:rsidR="003E702C" w:rsidRPr="00C75D51">
              <w:rPr>
                <w:color w:val="000000"/>
                <w:sz w:val="19"/>
                <w:szCs w:val="19"/>
                <w:vertAlign w:val="superscript"/>
              </w:rPr>
              <w:t>c</w:t>
            </w:r>
            <w:r w:rsidR="00015341" w:rsidRPr="00C75D51">
              <w:rPr>
                <w:color w:val="000000"/>
                <w:sz w:val="19"/>
                <w:szCs w:val="19"/>
                <w:vertAlign w:val="superscript"/>
              </w:rPr>
              <w:t>]</w:t>
            </w:r>
          </w:p>
        </w:tc>
        <w:tc>
          <w:tcPr>
            <w:tcW w:w="4010" w:type="dxa"/>
            <w:tcBorders>
              <w:top w:val="nil"/>
              <w:left w:val="nil"/>
              <w:bottom w:val="single" w:sz="8" w:space="0" w:color="448A99"/>
              <w:right w:val="single" w:sz="8" w:space="0" w:color="448A99"/>
            </w:tcBorders>
            <w:shd w:val="clear" w:color="000000" w:fill="D2EAF1"/>
            <w:vAlign w:val="center"/>
            <w:hideMark/>
          </w:tcPr>
          <w:p w:rsidR="00015341" w:rsidRPr="00C75D51" w:rsidRDefault="00015341" w:rsidP="0023582E">
            <w:pPr>
              <w:jc w:val="center"/>
              <w:rPr>
                <w:color w:val="000000"/>
                <w:sz w:val="19"/>
                <w:szCs w:val="19"/>
              </w:rPr>
            </w:pPr>
            <w:r w:rsidRPr="00C75D51">
              <w:rPr>
                <w:color w:val="000000"/>
                <w:sz w:val="19"/>
                <w:szCs w:val="19"/>
              </w:rPr>
              <w:t>$16,744</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Pr="00C75D51" w:rsidRDefault="00015341" w:rsidP="0023582E">
            <w:pPr>
              <w:rPr>
                <w:color w:val="000000"/>
                <w:sz w:val="19"/>
                <w:szCs w:val="19"/>
              </w:rPr>
            </w:pPr>
            <w:r w:rsidRPr="00C75D51">
              <w:rPr>
                <w:color w:val="000000"/>
                <w:sz w:val="19"/>
                <w:szCs w:val="19"/>
              </w:rPr>
              <w:t>EDC Evaluation Costs</w:t>
            </w:r>
          </w:p>
        </w:tc>
        <w:tc>
          <w:tcPr>
            <w:tcW w:w="4010" w:type="dxa"/>
            <w:tcBorders>
              <w:top w:val="nil"/>
              <w:left w:val="nil"/>
              <w:bottom w:val="single" w:sz="8" w:space="0" w:color="448A99"/>
              <w:right w:val="single" w:sz="8" w:space="0" w:color="448A99"/>
            </w:tcBorders>
            <w:shd w:val="clear" w:color="auto" w:fill="auto"/>
            <w:vAlign w:val="center"/>
            <w:hideMark/>
          </w:tcPr>
          <w:p w:rsidR="00015341" w:rsidRPr="00C75D51" w:rsidRDefault="00015341" w:rsidP="0023582E">
            <w:pPr>
              <w:jc w:val="center"/>
              <w:rPr>
                <w:color w:val="000000"/>
                <w:sz w:val="19"/>
                <w:szCs w:val="19"/>
              </w:rPr>
            </w:pPr>
            <w:r w:rsidRPr="00C75D51">
              <w:rPr>
                <w:color w:val="000000"/>
                <w:sz w:val="19"/>
                <w:szCs w:val="19"/>
              </w:rPr>
              <w:t>$14,554</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Pr="00C75D51" w:rsidRDefault="00015341" w:rsidP="0023582E">
            <w:pPr>
              <w:rPr>
                <w:color w:val="000000"/>
                <w:sz w:val="19"/>
                <w:szCs w:val="19"/>
              </w:rPr>
            </w:pPr>
            <w:r w:rsidRPr="00C75D51">
              <w:rPr>
                <w:color w:val="000000"/>
                <w:sz w:val="19"/>
                <w:szCs w:val="19"/>
              </w:rPr>
              <w:t xml:space="preserve">SWE Audit Costs </w:t>
            </w:r>
          </w:p>
        </w:tc>
        <w:tc>
          <w:tcPr>
            <w:tcW w:w="4010" w:type="dxa"/>
            <w:tcBorders>
              <w:top w:val="nil"/>
              <w:left w:val="nil"/>
              <w:bottom w:val="single" w:sz="8" w:space="0" w:color="448A99"/>
              <w:right w:val="single" w:sz="8" w:space="0" w:color="448A99"/>
            </w:tcBorders>
            <w:shd w:val="clear" w:color="000000" w:fill="D2EAF1"/>
            <w:vAlign w:val="center"/>
            <w:hideMark/>
          </w:tcPr>
          <w:p w:rsidR="00015341" w:rsidRPr="00C75D51" w:rsidRDefault="00015341" w:rsidP="0023582E">
            <w:pPr>
              <w:jc w:val="center"/>
              <w:rPr>
                <w:color w:val="000000"/>
                <w:sz w:val="19"/>
                <w:szCs w:val="19"/>
              </w:rPr>
            </w:pPr>
            <w:r w:rsidRPr="00C75D51">
              <w:rPr>
                <w:color w:val="000000"/>
                <w:sz w:val="19"/>
                <w:szCs w:val="19"/>
              </w:rPr>
              <w:t>$675</w:t>
            </w:r>
          </w:p>
        </w:tc>
      </w:tr>
      <w:tr w:rsidR="00E7173E" w:rsidRPr="00C75D51" w:rsidTr="00C75D51">
        <w:trPr>
          <w:trHeight w:val="20"/>
        </w:trPr>
        <w:tc>
          <w:tcPr>
            <w:tcW w:w="5440" w:type="dxa"/>
            <w:tcBorders>
              <w:top w:val="nil"/>
              <w:left w:val="single" w:sz="8" w:space="0" w:color="448A99"/>
              <w:bottom w:val="single" w:sz="8" w:space="0" w:color="448A99"/>
              <w:right w:val="nil"/>
            </w:tcBorders>
            <w:shd w:val="clear" w:color="000000" w:fill="9C9393"/>
            <w:vAlign w:val="center"/>
            <w:hideMark/>
          </w:tcPr>
          <w:p w:rsidR="00015341" w:rsidRPr="00C75D51" w:rsidRDefault="00015341" w:rsidP="0023582E">
            <w:pPr>
              <w:rPr>
                <w:b/>
                <w:bCs/>
                <w:color w:val="000000"/>
                <w:sz w:val="19"/>
                <w:szCs w:val="19"/>
              </w:rPr>
            </w:pPr>
            <w:r w:rsidRPr="00C75D51">
              <w:rPr>
                <w:b/>
                <w:bCs/>
                <w:color w:val="000000"/>
                <w:sz w:val="19"/>
                <w:szCs w:val="19"/>
              </w:rPr>
              <w:t> </w:t>
            </w:r>
          </w:p>
        </w:tc>
        <w:tc>
          <w:tcPr>
            <w:tcW w:w="4010" w:type="dxa"/>
            <w:tcBorders>
              <w:top w:val="nil"/>
              <w:left w:val="nil"/>
              <w:bottom w:val="single" w:sz="8" w:space="0" w:color="448A99"/>
              <w:right w:val="single" w:sz="8" w:space="0" w:color="448A99"/>
            </w:tcBorders>
            <w:shd w:val="clear" w:color="000000" w:fill="9C9393"/>
            <w:vAlign w:val="center"/>
            <w:hideMark/>
          </w:tcPr>
          <w:p w:rsidR="00015341" w:rsidRPr="00C75D51" w:rsidRDefault="00015341" w:rsidP="0023582E">
            <w:pPr>
              <w:rPr>
                <w:color w:val="000000"/>
                <w:sz w:val="19"/>
                <w:szCs w:val="19"/>
              </w:rPr>
            </w:pPr>
            <w:r w:rsidRPr="00C75D51">
              <w:rPr>
                <w:color w:val="000000"/>
                <w:sz w:val="19"/>
                <w:szCs w:val="19"/>
              </w:rPr>
              <w:t> </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Pr="00C75D51" w:rsidRDefault="00015341" w:rsidP="003E702C">
            <w:pPr>
              <w:rPr>
                <w:b/>
                <w:bCs/>
                <w:color w:val="000000"/>
                <w:sz w:val="19"/>
                <w:szCs w:val="19"/>
              </w:rPr>
            </w:pPr>
            <w:r w:rsidRPr="00C75D51">
              <w:rPr>
                <w:b/>
                <w:bCs/>
                <w:color w:val="000000"/>
                <w:sz w:val="19"/>
                <w:szCs w:val="19"/>
              </w:rPr>
              <w:t xml:space="preserve">Total TRC </w:t>
            </w:r>
            <w:r w:rsidR="000623A4" w:rsidRPr="00C75D51">
              <w:rPr>
                <w:b/>
                <w:bCs/>
                <w:color w:val="000000"/>
                <w:sz w:val="19"/>
                <w:szCs w:val="19"/>
              </w:rPr>
              <w:t>Costs</w:t>
            </w:r>
            <w:r w:rsidR="000623A4" w:rsidRPr="00C75D51">
              <w:rPr>
                <w:b/>
                <w:bCs/>
                <w:color w:val="000000"/>
                <w:sz w:val="19"/>
                <w:szCs w:val="19"/>
                <w:vertAlign w:val="superscript"/>
              </w:rPr>
              <w:t xml:space="preserve"> [</w:t>
            </w:r>
            <w:r w:rsidR="003E702C" w:rsidRPr="00C75D51">
              <w:rPr>
                <w:b/>
                <w:bCs/>
                <w:color w:val="000000"/>
                <w:sz w:val="19"/>
                <w:szCs w:val="19"/>
                <w:vertAlign w:val="superscript"/>
              </w:rPr>
              <w:t>d</w:t>
            </w:r>
            <w:r w:rsidRPr="00C75D51">
              <w:rPr>
                <w:b/>
                <w:bCs/>
                <w:color w:val="000000"/>
                <w:sz w:val="19"/>
                <w:szCs w:val="19"/>
                <w:vertAlign w:val="superscript"/>
              </w:rPr>
              <w:t>]</w:t>
            </w:r>
          </w:p>
        </w:tc>
        <w:tc>
          <w:tcPr>
            <w:tcW w:w="4010" w:type="dxa"/>
            <w:tcBorders>
              <w:top w:val="nil"/>
              <w:left w:val="nil"/>
              <w:bottom w:val="single" w:sz="8" w:space="0" w:color="448A99"/>
              <w:right w:val="single" w:sz="8" w:space="0" w:color="448A99"/>
            </w:tcBorders>
            <w:shd w:val="clear" w:color="auto" w:fill="auto"/>
            <w:vAlign w:val="center"/>
            <w:hideMark/>
          </w:tcPr>
          <w:p w:rsidR="00015341" w:rsidRPr="00C75D51" w:rsidRDefault="00015341" w:rsidP="0023582E">
            <w:pPr>
              <w:jc w:val="center"/>
              <w:rPr>
                <w:color w:val="000000"/>
                <w:sz w:val="19"/>
                <w:szCs w:val="19"/>
              </w:rPr>
            </w:pPr>
            <w:r w:rsidRPr="00C75D51">
              <w:rPr>
                <w:color w:val="000000"/>
                <w:sz w:val="19"/>
                <w:szCs w:val="19"/>
              </w:rPr>
              <w:t>$</w:t>
            </w:r>
            <w:r w:rsidR="00C0310F" w:rsidRPr="00C75D51">
              <w:rPr>
                <w:color w:val="000000"/>
                <w:sz w:val="19"/>
                <w:szCs w:val="19"/>
              </w:rPr>
              <w:t>583,298</w:t>
            </w:r>
          </w:p>
        </w:tc>
      </w:tr>
      <w:tr w:rsidR="00E7173E" w:rsidRPr="00C75D51" w:rsidTr="00C75D51">
        <w:trPr>
          <w:trHeight w:val="144"/>
        </w:trPr>
        <w:tc>
          <w:tcPr>
            <w:tcW w:w="5440" w:type="dxa"/>
            <w:tcBorders>
              <w:top w:val="nil"/>
              <w:left w:val="single" w:sz="8" w:space="0" w:color="448A99"/>
              <w:bottom w:val="single" w:sz="8" w:space="0" w:color="448A99"/>
              <w:right w:val="nil"/>
            </w:tcBorders>
            <w:shd w:val="clear" w:color="000000" w:fill="9C9393"/>
            <w:vAlign w:val="center"/>
            <w:hideMark/>
          </w:tcPr>
          <w:p w:rsidR="00015341" w:rsidRPr="00C75D51" w:rsidRDefault="00015341" w:rsidP="0023582E">
            <w:pPr>
              <w:rPr>
                <w:b/>
                <w:bCs/>
                <w:color w:val="000000"/>
                <w:sz w:val="19"/>
                <w:szCs w:val="19"/>
              </w:rPr>
            </w:pPr>
            <w:r w:rsidRPr="00C75D51">
              <w:rPr>
                <w:b/>
                <w:bCs/>
                <w:color w:val="000000"/>
                <w:sz w:val="19"/>
                <w:szCs w:val="19"/>
              </w:rPr>
              <w:t> </w:t>
            </w:r>
          </w:p>
        </w:tc>
        <w:tc>
          <w:tcPr>
            <w:tcW w:w="4010" w:type="dxa"/>
            <w:tcBorders>
              <w:top w:val="nil"/>
              <w:left w:val="nil"/>
              <w:bottom w:val="single" w:sz="8" w:space="0" w:color="448A99"/>
              <w:right w:val="single" w:sz="8" w:space="0" w:color="448A99"/>
            </w:tcBorders>
            <w:shd w:val="clear" w:color="000000" w:fill="9C9393"/>
            <w:vAlign w:val="center"/>
            <w:hideMark/>
          </w:tcPr>
          <w:p w:rsidR="00015341" w:rsidRPr="00C75D51" w:rsidRDefault="00015341" w:rsidP="0023582E">
            <w:pPr>
              <w:rPr>
                <w:color w:val="000000"/>
                <w:sz w:val="19"/>
                <w:szCs w:val="19"/>
              </w:rPr>
            </w:pPr>
            <w:r w:rsidRPr="00C75D51">
              <w:rPr>
                <w:color w:val="000000"/>
                <w:sz w:val="19"/>
                <w:szCs w:val="19"/>
              </w:rPr>
              <w:t> </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Pr="00C75D51" w:rsidRDefault="00015341" w:rsidP="0023582E">
            <w:pPr>
              <w:rPr>
                <w:color w:val="000000"/>
                <w:sz w:val="19"/>
                <w:szCs w:val="19"/>
              </w:rPr>
            </w:pPr>
            <w:r w:rsidRPr="00C75D51">
              <w:rPr>
                <w:color w:val="000000"/>
                <w:sz w:val="19"/>
                <w:szCs w:val="19"/>
              </w:rPr>
              <w:t>Total NPV Lifetime Energy Benefits</w:t>
            </w:r>
          </w:p>
        </w:tc>
        <w:tc>
          <w:tcPr>
            <w:tcW w:w="4010" w:type="dxa"/>
            <w:tcBorders>
              <w:top w:val="nil"/>
              <w:left w:val="nil"/>
              <w:bottom w:val="single" w:sz="8" w:space="0" w:color="448A99"/>
              <w:right w:val="single" w:sz="8" w:space="0" w:color="448A99"/>
            </w:tcBorders>
            <w:shd w:val="clear" w:color="000000" w:fill="D2EAF1"/>
            <w:vAlign w:val="center"/>
            <w:hideMark/>
          </w:tcPr>
          <w:p w:rsidR="00015341" w:rsidRPr="00C75D51" w:rsidRDefault="00015341" w:rsidP="0023582E">
            <w:pPr>
              <w:jc w:val="center"/>
              <w:rPr>
                <w:color w:val="000000"/>
                <w:sz w:val="19"/>
                <w:szCs w:val="19"/>
              </w:rPr>
            </w:pPr>
            <w:r w:rsidRPr="00C75D51">
              <w:rPr>
                <w:color w:val="000000"/>
                <w:sz w:val="19"/>
                <w:szCs w:val="19"/>
              </w:rPr>
              <w:t>$884,</w:t>
            </w:r>
            <w:r w:rsidR="005A0D9B">
              <w:rPr>
                <w:color w:val="000000"/>
                <w:sz w:val="19"/>
                <w:szCs w:val="19"/>
              </w:rPr>
              <w:t>620</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Pr="00C75D51" w:rsidRDefault="00015341" w:rsidP="0023582E">
            <w:pPr>
              <w:rPr>
                <w:color w:val="000000"/>
                <w:sz w:val="19"/>
                <w:szCs w:val="19"/>
              </w:rPr>
            </w:pPr>
            <w:r w:rsidRPr="00C75D51">
              <w:rPr>
                <w:color w:val="000000"/>
                <w:sz w:val="19"/>
                <w:szCs w:val="19"/>
              </w:rPr>
              <w:t>Total NPV Lifetime Capacity Benefits</w:t>
            </w:r>
          </w:p>
        </w:tc>
        <w:tc>
          <w:tcPr>
            <w:tcW w:w="4010" w:type="dxa"/>
            <w:tcBorders>
              <w:top w:val="nil"/>
              <w:left w:val="nil"/>
              <w:bottom w:val="single" w:sz="8" w:space="0" w:color="448A99"/>
              <w:right w:val="single" w:sz="8" w:space="0" w:color="448A99"/>
            </w:tcBorders>
            <w:shd w:val="clear" w:color="auto" w:fill="auto"/>
            <w:vAlign w:val="center"/>
            <w:hideMark/>
          </w:tcPr>
          <w:p w:rsidR="00015341" w:rsidRPr="00C75D51" w:rsidRDefault="00015341" w:rsidP="0023582E">
            <w:pPr>
              <w:jc w:val="center"/>
              <w:rPr>
                <w:color w:val="000000"/>
                <w:sz w:val="19"/>
                <w:szCs w:val="19"/>
              </w:rPr>
            </w:pPr>
            <w:r w:rsidRPr="00C75D51">
              <w:rPr>
                <w:color w:val="000000"/>
                <w:sz w:val="19"/>
                <w:szCs w:val="19"/>
              </w:rPr>
              <w:t>$93,02</w:t>
            </w:r>
            <w:r w:rsidR="005A0D9B">
              <w:rPr>
                <w:color w:val="000000"/>
                <w:sz w:val="19"/>
                <w:szCs w:val="19"/>
              </w:rPr>
              <w:t>5</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Pr="00C75D51" w:rsidRDefault="00015341" w:rsidP="003E702C">
            <w:pPr>
              <w:rPr>
                <w:b/>
                <w:bCs/>
                <w:color w:val="000000"/>
                <w:sz w:val="19"/>
                <w:szCs w:val="19"/>
              </w:rPr>
            </w:pPr>
            <w:r w:rsidRPr="00C75D51">
              <w:rPr>
                <w:b/>
                <w:bCs/>
                <w:color w:val="000000"/>
                <w:sz w:val="19"/>
                <w:szCs w:val="19"/>
              </w:rPr>
              <w:t xml:space="preserve">Total NPV </w:t>
            </w:r>
            <w:r w:rsidR="000623A4" w:rsidRPr="00C75D51">
              <w:rPr>
                <w:b/>
                <w:bCs/>
                <w:color w:val="000000"/>
                <w:sz w:val="19"/>
                <w:szCs w:val="19"/>
              </w:rPr>
              <w:t>Benefits</w:t>
            </w:r>
            <w:r w:rsidR="000623A4" w:rsidRPr="00C75D51">
              <w:rPr>
                <w:b/>
                <w:bCs/>
                <w:color w:val="000000"/>
                <w:sz w:val="19"/>
                <w:szCs w:val="19"/>
                <w:vertAlign w:val="superscript"/>
              </w:rPr>
              <w:t xml:space="preserve"> [</w:t>
            </w:r>
            <w:r w:rsidR="003E702C" w:rsidRPr="00C75D51">
              <w:rPr>
                <w:b/>
                <w:bCs/>
                <w:color w:val="000000"/>
                <w:sz w:val="19"/>
                <w:szCs w:val="19"/>
                <w:vertAlign w:val="superscript"/>
              </w:rPr>
              <w:t>e</w:t>
            </w:r>
            <w:r w:rsidRPr="00C75D51">
              <w:rPr>
                <w:b/>
                <w:bCs/>
                <w:color w:val="000000"/>
                <w:sz w:val="19"/>
                <w:szCs w:val="19"/>
                <w:vertAlign w:val="superscript"/>
              </w:rPr>
              <w:t>]</w:t>
            </w:r>
          </w:p>
        </w:tc>
        <w:tc>
          <w:tcPr>
            <w:tcW w:w="4010" w:type="dxa"/>
            <w:tcBorders>
              <w:top w:val="nil"/>
              <w:left w:val="nil"/>
              <w:bottom w:val="single" w:sz="8" w:space="0" w:color="448A99"/>
              <w:right w:val="single" w:sz="8" w:space="0" w:color="448A99"/>
            </w:tcBorders>
            <w:shd w:val="clear" w:color="000000" w:fill="D2EAF1"/>
            <w:vAlign w:val="center"/>
            <w:hideMark/>
          </w:tcPr>
          <w:p w:rsidR="00015341" w:rsidRPr="00C75D51" w:rsidRDefault="00015341" w:rsidP="0023582E">
            <w:pPr>
              <w:jc w:val="center"/>
              <w:rPr>
                <w:color w:val="000000"/>
                <w:sz w:val="19"/>
                <w:szCs w:val="19"/>
              </w:rPr>
            </w:pPr>
            <w:r w:rsidRPr="00C75D51">
              <w:rPr>
                <w:color w:val="000000"/>
                <w:sz w:val="19"/>
                <w:szCs w:val="19"/>
              </w:rPr>
              <w:t>$1,009,</w:t>
            </w:r>
            <w:r w:rsidR="005A0D9B">
              <w:rPr>
                <w:color w:val="000000"/>
                <w:sz w:val="19"/>
                <w:szCs w:val="19"/>
              </w:rPr>
              <w:t>083</w:t>
            </w:r>
          </w:p>
        </w:tc>
      </w:tr>
      <w:tr w:rsidR="00E7173E" w:rsidRPr="00C75D51" w:rsidTr="00C75D51">
        <w:trPr>
          <w:trHeight w:val="144"/>
        </w:trPr>
        <w:tc>
          <w:tcPr>
            <w:tcW w:w="5440" w:type="dxa"/>
            <w:tcBorders>
              <w:top w:val="nil"/>
              <w:left w:val="single" w:sz="8" w:space="0" w:color="448A99"/>
              <w:bottom w:val="single" w:sz="8" w:space="0" w:color="448A99"/>
              <w:right w:val="nil"/>
            </w:tcBorders>
            <w:shd w:val="clear" w:color="000000" w:fill="9C9393"/>
            <w:vAlign w:val="center"/>
            <w:hideMark/>
          </w:tcPr>
          <w:p w:rsidR="00015341" w:rsidRPr="00C75D51" w:rsidRDefault="00015341" w:rsidP="0023582E">
            <w:pPr>
              <w:rPr>
                <w:b/>
                <w:bCs/>
                <w:color w:val="000000"/>
                <w:sz w:val="19"/>
                <w:szCs w:val="19"/>
              </w:rPr>
            </w:pPr>
            <w:r w:rsidRPr="00C75D51">
              <w:rPr>
                <w:b/>
                <w:bCs/>
                <w:color w:val="000000"/>
                <w:sz w:val="19"/>
                <w:szCs w:val="19"/>
              </w:rPr>
              <w:t> </w:t>
            </w:r>
          </w:p>
        </w:tc>
        <w:tc>
          <w:tcPr>
            <w:tcW w:w="4010" w:type="dxa"/>
            <w:tcBorders>
              <w:top w:val="nil"/>
              <w:left w:val="nil"/>
              <w:bottom w:val="single" w:sz="8" w:space="0" w:color="448A99"/>
              <w:right w:val="single" w:sz="8" w:space="0" w:color="448A99"/>
            </w:tcBorders>
            <w:shd w:val="clear" w:color="000000" w:fill="9C9393"/>
            <w:vAlign w:val="center"/>
            <w:hideMark/>
          </w:tcPr>
          <w:p w:rsidR="00015341" w:rsidRPr="00C75D51" w:rsidRDefault="00015341" w:rsidP="0023582E">
            <w:pPr>
              <w:rPr>
                <w:color w:val="000000"/>
                <w:sz w:val="19"/>
                <w:szCs w:val="19"/>
              </w:rPr>
            </w:pPr>
            <w:r w:rsidRPr="00C75D51">
              <w:rPr>
                <w:color w:val="000000"/>
                <w:sz w:val="19"/>
                <w:szCs w:val="19"/>
              </w:rPr>
              <w:t> </w:t>
            </w:r>
          </w:p>
        </w:tc>
      </w:tr>
      <w:tr w:rsidR="00E7173E" w:rsidRPr="00C75D51" w:rsidTr="00C75D51">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Pr="00C75D51" w:rsidRDefault="00015341" w:rsidP="003E702C">
            <w:pPr>
              <w:rPr>
                <w:b/>
                <w:bCs/>
                <w:color w:val="000000"/>
                <w:sz w:val="19"/>
                <w:szCs w:val="19"/>
              </w:rPr>
            </w:pPr>
            <w:r w:rsidRPr="00C75D51">
              <w:rPr>
                <w:b/>
                <w:bCs/>
                <w:color w:val="000000"/>
                <w:sz w:val="19"/>
                <w:szCs w:val="19"/>
              </w:rPr>
              <w:t xml:space="preserve">TRC </w:t>
            </w:r>
            <w:r w:rsidR="00B164DC" w:rsidRPr="00C75D51">
              <w:rPr>
                <w:b/>
                <w:bCs/>
                <w:color w:val="000000"/>
                <w:sz w:val="19"/>
                <w:szCs w:val="19"/>
              </w:rPr>
              <w:t>B/C</w:t>
            </w:r>
            <w:r w:rsidRPr="00C75D51">
              <w:rPr>
                <w:b/>
                <w:bCs/>
                <w:color w:val="000000"/>
                <w:sz w:val="19"/>
                <w:szCs w:val="19"/>
              </w:rPr>
              <w:t xml:space="preserve"> </w:t>
            </w:r>
            <w:r w:rsidR="000623A4" w:rsidRPr="00C75D51">
              <w:rPr>
                <w:b/>
                <w:bCs/>
                <w:color w:val="000000"/>
                <w:sz w:val="19"/>
                <w:szCs w:val="19"/>
              </w:rPr>
              <w:t>Ratio</w:t>
            </w:r>
            <w:r w:rsidR="000623A4" w:rsidRPr="00C75D51">
              <w:rPr>
                <w:b/>
                <w:bCs/>
                <w:color w:val="000000"/>
                <w:sz w:val="19"/>
                <w:szCs w:val="19"/>
                <w:vertAlign w:val="superscript"/>
              </w:rPr>
              <w:t xml:space="preserve"> [</w:t>
            </w:r>
            <w:r w:rsidR="003E702C" w:rsidRPr="00C75D51">
              <w:rPr>
                <w:b/>
                <w:bCs/>
                <w:color w:val="000000"/>
                <w:sz w:val="19"/>
                <w:szCs w:val="19"/>
                <w:vertAlign w:val="superscript"/>
              </w:rPr>
              <w:t>f</w:t>
            </w:r>
            <w:r w:rsidRPr="00C75D51">
              <w:rPr>
                <w:b/>
                <w:bCs/>
                <w:color w:val="000000"/>
                <w:sz w:val="19"/>
                <w:szCs w:val="19"/>
                <w:vertAlign w:val="superscript"/>
              </w:rPr>
              <w:t>]</w:t>
            </w:r>
          </w:p>
        </w:tc>
        <w:tc>
          <w:tcPr>
            <w:tcW w:w="4010" w:type="dxa"/>
            <w:tcBorders>
              <w:top w:val="nil"/>
              <w:left w:val="nil"/>
              <w:bottom w:val="single" w:sz="8" w:space="0" w:color="448A99"/>
              <w:right w:val="single" w:sz="8" w:space="0" w:color="448A99"/>
            </w:tcBorders>
            <w:shd w:val="clear" w:color="auto" w:fill="auto"/>
            <w:vAlign w:val="center"/>
            <w:hideMark/>
          </w:tcPr>
          <w:p w:rsidR="00015341" w:rsidRPr="00C75D51" w:rsidRDefault="00BD283A" w:rsidP="00BD283A">
            <w:pPr>
              <w:jc w:val="center"/>
              <w:rPr>
                <w:color w:val="000000"/>
                <w:sz w:val="19"/>
                <w:szCs w:val="19"/>
              </w:rPr>
            </w:pPr>
            <w:r w:rsidRPr="00C75D51">
              <w:rPr>
                <w:color w:val="000000"/>
                <w:sz w:val="19"/>
                <w:szCs w:val="19"/>
              </w:rPr>
              <w:t>1.73</w:t>
            </w:r>
          </w:p>
        </w:tc>
      </w:tr>
      <w:tr w:rsidR="00C75D51" w:rsidRPr="00F10637" w:rsidTr="00C75D51">
        <w:trPr>
          <w:trHeight w:val="2977"/>
        </w:trPr>
        <w:tc>
          <w:tcPr>
            <w:tcW w:w="9450" w:type="dxa"/>
            <w:gridSpan w:val="2"/>
            <w:tcBorders>
              <w:top w:val="single" w:sz="8" w:space="0" w:color="448A99"/>
              <w:left w:val="nil"/>
              <w:bottom w:val="nil"/>
              <w:right w:val="nil"/>
            </w:tcBorders>
            <w:shd w:val="clear" w:color="auto" w:fill="448A99"/>
            <w:vAlign w:val="center"/>
            <w:hideMark/>
          </w:tcPr>
          <w:p w:rsidR="00015341" w:rsidRPr="00F10637" w:rsidRDefault="00015341" w:rsidP="003E702C">
            <w:pPr>
              <w:jc w:val="left"/>
              <w:rPr>
                <w:bCs/>
                <w:color w:val="FFFFFF" w:themeColor="background1"/>
                <w:sz w:val="18"/>
                <w:szCs w:val="19"/>
              </w:rPr>
            </w:pPr>
            <w:r w:rsidRPr="00F10637">
              <w:rPr>
                <w:bCs/>
                <w:color w:val="FFFFFF" w:themeColor="background1"/>
                <w:sz w:val="18"/>
                <w:szCs w:val="19"/>
              </w:rPr>
              <w:t>NOTES:</w:t>
            </w:r>
            <w:r w:rsidRPr="00F10637">
              <w:rPr>
                <w:bCs/>
                <w:color w:val="FFFFFF" w:themeColor="background1"/>
                <w:sz w:val="18"/>
                <w:szCs w:val="19"/>
              </w:rPr>
              <w:br/>
              <w:t>[</w:t>
            </w:r>
            <w:r w:rsidR="003E702C" w:rsidRPr="00F10637">
              <w:rPr>
                <w:bCs/>
                <w:color w:val="FFFFFF" w:themeColor="background1"/>
                <w:sz w:val="18"/>
                <w:szCs w:val="19"/>
              </w:rPr>
              <w:t>a</w:t>
            </w:r>
            <w:r w:rsidRPr="00F10637">
              <w:rPr>
                <w:bCs/>
                <w:color w:val="FFFFFF" w:themeColor="background1"/>
                <w:sz w:val="18"/>
                <w:szCs w:val="19"/>
              </w:rPr>
              <w:t>] Per the 2013 Total Resource Cost Test Order – Net participant costs; in PA, the costs of the end-use customer.</w:t>
            </w:r>
            <w:r w:rsidRPr="00F10637">
              <w:rPr>
                <w:bCs/>
                <w:color w:val="FFFFFF" w:themeColor="background1"/>
                <w:sz w:val="18"/>
                <w:szCs w:val="19"/>
              </w:rPr>
              <w:br/>
              <w:t>[</w:t>
            </w:r>
            <w:r w:rsidR="003E702C" w:rsidRPr="00F10637">
              <w:rPr>
                <w:bCs/>
                <w:color w:val="FFFFFF" w:themeColor="background1"/>
                <w:sz w:val="18"/>
                <w:szCs w:val="19"/>
              </w:rPr>
              <w:t>b</w:t>
            </w:r>
            <w:r w:rsidRPr="00F10637">
              <w:rPr>
                <w:bCs/>
                <w:color w:val="FFFFFF" w:themeColor="background1"/>
                <w:sz w:val="18"/>
                <w:szCs w:val="19"/>
              </w:rPr>
              <w:t>] Includes the administrative CSP (rebate processing), tracking system, general administration and clerical costs, EDC program management, CSP program management, general management oversight major accounts</w:t>
            </w:r>
            <w:r w:rsidR="00B164DC" w:rsidRPr="00F10637">
              <w:rPr>
                <w:bCs/>
                <w:color w:val="FFFFFF" w:themeColor="background1"/>
                <w:sz w:val="18"/>
                <w:szCs w:val="19"/>
              </w:rPr>
              <w:t>,</w:t>
            </w:r>
            <w:r w:rsidRPr="00F10637">
              <w:rPr>
                <w:bCs/>
                <w:color w:val="FFFFFF" w:themeColor="background1"/>
                <w:sz w:val="18"/>
                <w:szCs w:val="19"/>
              </w:rPr>
              <w:t xml:space="preserve"> and technical assistance.</w:t>
            </w:r>
            <w:r w:rsidRPr="00F10637">
              <w:rPr>
                <w:bCs/>
                <w:color w:val="FFFFFF" w:themeColor="background1"/>
                <w:sz w:val="18"/>
                <w:szCs w:val="19"/>
              </w:rPr>
              <w:br/>
              <w:t>[</w:t>
            </w:r>
            <w:r w:rsidR="003E702C" w:rsidRPr="00F10637">
              <w:rPr>
                <w:bCs/>
                <w:color w:val="FFFFFF" w:themeColor="background1"/>
                <w:sz w:val="18"/>
                <w:szCs w:val="19"/>
              </w:rPr>
              <w:t>c</w:t>
            </w:r>
            <w:r w:rsidRPr="00F10637">
              <w:rPr>
                <w:bCs/>
                <w:color w:val="FFFFFF" w:themeColor="background1"/>
                <w:sz w:val="18"/>
                <w:szCs w:val="19"/>
              </w:rPr>
              <w:t>] Includes the marketing CSP and marketing costs by program CSPs.</w:t>
            </w:r>
            <w:r w:rsidRPr="00F10637">
              <w:rPr>
                <w:bCs/>
                <w:color w:val="FFFFFF" w:themeColor="background1"/>
                <w:sz w:val="18"/>
                <w:szCs w:val="19"/>
              </w:rPr>
              <w:br/>
              <w:t>[</w:t>
            </w:r>
            <w:r w:rsidR="003E702C" w:rsidRPr="00F10637">
              <w:rPr>
                <w:bCs/>
                <w:color w:val="FFFFFF" w:themeColor="background1"/>
                <w:sz w:val="18"/>
                <w:szCs w:val="19"/>
              </w:rPr>
              <w:t>d</w:t>
            </w:r>
            <w:r w:rsidRPr="00F10637">
              <w:rPr>
                <w:bCs/>
                <w:color w:val="FFFFFF" w:themeColor="background1"/>
                <w:sz w:val="18"/>
                <w:szCs w:val="19"/>
              </w:rPr>
              <w:t>] Total TRC Costs = Incremental Measure Costs + Program Overhead Costs</w:t>
            </w:r>
            <w:r w:rsidR="00C0310F" w:rsidRPr="00F10637">
              <w:rPr>
                <w:bCs/>
                <w:color w:val="FFFFFF" w:themeColor="background1"/>
                <w:sz w:val="18"/>
                <w:szCs w:val="19"/>
              </w:rPr>
              <w:t>, plus increase in cost of natural gas</w:t>
            </w:r>
            <w:r w:rsidR="00BD283A" w:rsidRPr="00F10637">
              <w:rPr>
                <w:bCs/>
                <w:color w:val="FFFFFF" w:themeColor="background1"/>
                <w:sz w:val="18"/>
                <w:szCs w:val="19"/>
              </w:rPr>
              <w:t xml:space="preserve"> (not individually shown)</w:t>
            </w:r>
            <w:r w:rsidRPr="00F10637">
              <w:rPr>
                <w:bCs/>
                <w:color w:val="FFFFFF" w:themeColor="background1"/>
                <w:sz w:val="18"/>
                <w:szCs w:val="19"/>
              </w:rPr>
              <w:br/>
              <w:t>[</w:t>
            </w:r>
            <w:r w:rsidR="003E702C" w:rsidRPr="00F10637">
              <w:rPr>
                <w:bCs/>
                <w:color w:val="FFFFFF" w:themeColor="background1"/>
                <w:sz w:val="18"/>
                <w:szCs w:val="19"/>
              </w:rPr>
              <w:t>e</w:t>
            </w:r>
            <w:r w:rsidRPr="00F10637">
              <w:rPr>
                <w:bCs/>
                <w:color w:val="FFFFFF" w:themeColor="background1"/>
                <w:sz w:val="18"/>
                <w:szCs w:val="19"/>
              </w:rPr>
              <w:t>] Total TRC Benefits equals the sum of Total Lifetime Energy Benefits and Total Lifetime Capacity Benefits, plus</w:t>
            </w:r>
            <w:r w:rsidR="00B164DC" w:rsidRPr="00F10637">
              <w:rPr>
                <w:bCs/>
                <w:color w:val="FFFFFF" w:themeColor="background1"/>
                <w:sz w:val="18"/>
                <w:szCs w:val="19"/>
              </w:rPr>
              <w:t xml:space="preserve"> operations and maintenance (</w:t>
            </w:r>
            <w:r w:rsidRPr="00F10637">
              <w:rPr>
                <w:bCs/>
                <w:color w:val="FFFFFF" w:themeColor="background1"/>
                <w:sz w:val="18"/>
                <w:szCs w:val="19"/>
              </w:rPr>
              <w:t>O&amp;M</w:t>
            </w:r>
            <w:r w:rsidR="00B164DC" w:rsidRPr="00F10637">
              <w:rPr>
                <w:bCs/>
                <w:color w:val="FFFFFF" w:themeColor="background1"/>
                <w:sz w:val="18"/>
                <w:szCs w:val="19"/>
              </w:rPr>
              <w:t>)</w:t>
            </w:r>
            <w:r w:rsidRPr="00F10637">
              <w:rPr>
                <w:bCs/>
                <w:color w:val="FFFFFF" w:themeColor="background1"/>
                <w:sz w:val="18"/>
                <w:szCs w:val="19"/>
              </w:rPr>
              <w:t xml:space="preserve"> savings from avoided bulb purchases (not shown in table). Based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F10637">
              <w:rPr>
                <w:bCs/>
                <w:color w:val="FFFFFF" w:themeColor="background1"/>
                <w:sz w:val="18"/>
                <w:szCs w:val="19"/>
              </w:rPr>
              <w:br/>
              <w:t>[</w:t>
            </w:r>
            <w:r w:rsidR="003E702C" w:rsidRPr="00F10637">
              <w:rPr>
                <w:bCs/>
                <w:color w:val="FFFFFF" w:themeColor="background1"/>
                <w:sz w:val="18"/>
                <w:szCs w:val="19"/>
              </w:rPr>
              <w:t>f</w:t>
            </w:r>
            <w:r w:rsidRPr="00F10637">
              <w:rPr>
                <w:bCs/>
                <w:color w:val="FFFFFF" w:themeColor="background1"/>
                <w:sz w:val="18"/>
                <w:szCs w:val="19"/>
              </w:rPr>
              <w:t xml:space="preserve">] TRC Ratio equals Total NPV TRC Benefits divided by Total NPV TRC Costs. </w:t>
            </w:r>
          </w:p>
        </w:tc>
      </w:tr>
    </w:tbl>
    <w:p w:rsidR="00015341" w:rsidRPr="00015341" w:rsidRDefault="00015341" w:rsidP="00015341"/>
    <w:p w:rsidR="00EE60CD" w:rsidRDefault="007C6751" w:rsidP="00AC2B6F">
      <w:r>
        <w:fldChar w:fldCharType="begin"/>
      </w:r>
      <w:r>
        <w:instrText xml:space="preserve"> REF _Ref472409024 \h </w:instrText>
      </w:r>
      <w:r>
        <w:fldChar w:fldCharType="separate"/>
      </w:r>
      <w:r w:rsidR="00037CB4">
        <w:t xml:space="preserve">Table </w:t>
      </w:r>
      <w:r w:rsidR="00037CB4">
        <w:rPr>
          <w:noProof/>
        </w:rPr>
        <w:t>2</w:t>
      </w:r>
      <w:r w:rsidR="00037CB4">
        <w:noBreakHyphen/>
      </w:r>
      <w:r w:rsidR="00037CB4">
        <w:rPr>
          <w:noProof/>
        </w:rPr>
        <w:t>10</w:t>
      </w:r>
      <w:r>
        <w:fldChar w:fldCharType="end"/>
      </w:r>
      <w:r>
        <w:t xml:space="preserve"> </w:t>
      </w:r>
      <w:r w:rsidR="00EE60CD" w:rsidRPr="00EE60CD">
        <w:t xml:space="preserve">compares </w:t>
      </w:r>
      <w:r w:rsidR="00B164DC">
        <w:t>each EDC’s actual</w:t>
      </w:r>
      <w:r w:rsidR="00EE60CD" w:rsidRPr="00EE60CD">
        <w:t xml:space="preserve"> PY</w:t>
      </w:r>
      <w:r w:rsidR="00A57CA5">
        <w:t xml:space="preserve">7 </w:t>
      </w:r>
      <w:r w:rsidR="00EE60CD" w:rsidRPr="00EE60CD">
        <w:t xml:space="preserve">energy efficiency program expenditures </w:t>
      </w:r>
      <w:r w:rsidR="00B164DC">
        <w:t>with</w:t>
      </w:r>
      <w:r w:rsidR="00EE60CD" w:rsidRPr="00EE60CD">
        <w:t xml:space="preserve"> the </w:t>
      </w:r>
      <w:r w:rsidR="003F1B58">
        <w:t>estimated expenditures</w:t>
      </w:r>
      <w:r w:rsidR="00EE60CD" w:rsidRPr="00EE60CD">
        <w:t xml:space="preserve"> in </w:t>
      </w:r>
      <w:r w:rsidR="003149B8">
        <w:t>the</w:t>
      </w:r>
      <w:r w:rsidR="00EE60CD" w:rsidRPr="00EE60CD">
        <w:t xml:space="preserve"> EDC’s Phase II EE&amp;C </w:t>
      </w:r>
      <w:r w:rsidR="003149B8">
        <w:t>p</w:t>
      </w:r>
      <w:r w:rsidR="00EE60CD" w:rsidRPr="00EE60CD">
        <w:t>lan. The PY</w:t>
      </w:r>
      <w:r>
        <w:t>7</w:t>
      </w:r>
      <w:r w:rsidR="00EE60CD" w:rsidRPr="00EE60CD">
        <w:t xml:space="preserve"> overall energy efficiency program budget for all seven EDCs was $</w:t>
      </w:r>
      <w:r w:rsidR="00E07151">
        <w:t>267.1</w:t>
      </w:r>
      <w:r w:rsidR="00EE60CD" w:rsidRPr="00EE60CD">
        <w:t xml:space="preserve"> million, whereas actual spending was $2</w:t>
      </w:r>
      <w:r>
        <w:t>2</w:t>
      </w:r>
      <w:r w:rsidR="00E07151">
        <w:t>8.2</w:t>
      </w:r>
      <w:r w:rsidR="00EE60CD" w:rsidRPr="00EE60CD">
        <w:t xml:space="preserve"> million. Thus, actual spending in PY</w:t>
      </w:r>
      <w:r>
        <w:t xml:space="preserve">7 on a statewide basis was </w:t>
      </w:r>
      <w:r w:rsidR="00E07151">
        <w:t>15</w:t>
      </w:r>
      <w:r w:rsidR="00EE60CD" w:rsidRPr="00EE60CD">
        <w:t>% lower than the approved budget. Actual spending in PY</w:t>
      </w:r>
      <w:r>
        <w:t>7</w:t>
      </w:r>
      <w:r w:rsidR="00EE60CD" w:rsidRPr="00EE60CD">
        <w:t xml:space="preserve"> was lower than the EE&amp;C </w:t>
      </w:r>
      <w:r w:rsidR="003149B8">
        <w:t>p</w:t>
      </w:r>
      <w:r w:rsidR="00EE60CD" w:rsidRPr="00EE60CD">
        <w:t>lan PY</w:t>
      </w:r>
      <w:r w:rsidR="00A57CA5">
        <w:t>7</w:t>
      </w:r>
      <w:r w:rsidR="00EE60CD" w:rsidRPr="00EE60CD">
        <w:t xml:space="preserve"> budget for five EDCs. Only </w:t>
      </w:r>
      <w:r w:rsidR="006530F1">
        <w:t xml:space="preserve">PECO, by the slimmest of margins, </w:t>
      </w:r>
      <w:r w:rsidR="00EE60CD" w:rsidRPr="00EE60CD">
        <w:t>exceeded</w:t>
      </w:r>
      <w:r w:rsidR="006530F1">
        <w:t xml:space="preserve"> planned </w:t>
      </w:r>
      <w:r w:rsidR="00936A61">
        <w:t xml:space="preserve">expenditures </w:t>
      </w:r>
      <w:r w:rsidR="00EE60CD" w:rsidRPr="00EE60CD">
        <w:t>for PY</w:t>
      </w:r>
      <w:r w:rsidR="00CC7752">
        <w:t>7</w:t>
      </w:r>
      <w:r w:rsidR="00EE60CD" w:rsidRPr="00EE60CD">
        <w:t>.</w:t>
      </w:r>
    </w:p>
    <w:p w:rsidR="00B662DF" w:rsidRDefault="00B662DF" w:rsidP="00AC2B6F"/>
    <w:p w:rsidR="00EE60CD" w:rsidRDefault="00EE60CD" w:rsidP="004837FA">
      <w:pPr>
        <w:pStyle w:val="Caption"/>
      </w:pPr>
      <w:bookmarkStart w:id="104" w:name="_Ref472409024"/>
      <w:bookmarkStart w:id="105" w:name="_Toc472472164"/>
      <w:bookmarkStart w:id="106" w:name="_Toc488741741"/>
      <w:r>
        <w:lastRenderedPageBreak/>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w:instrText>
      </w:r>
      <w:r w:rsidR="007973A4">
        <w:instrText xml:space="preserve">le \* ARABIC \s 1 </w:instrText>
      </w:r>
      <w:r w:rsidR="007973A4">
        <w:fldChar w:fldCharType="separate"/>
      </w:r>
      <w:r w:rsidR="00037CB4">
        <w:rPr>
          <w:noProof/>
        </w:rPr>
        <w:t>10</w:t>
      </w:r>
      <w:r w:rsidR="007973A4">
        <w:rPr>
          <w:noProof/>
        </w:rPr>
        <w:fldChar w:fldCharType="end"/>
      </w:r>
      <w:bookmarkEnd w:id="104"/>
      <w:r w:rsidR="007C6751">
        <w:t xml:space="preserve">: </w:t>
      </w:r>
      <w:r w:rsidRPr="00EE60CD">
        <w:t>Comparison of EDC PY</w:t>
      </w:r>
      <w:r>
        <w:t>7</w:t>
      </w:r>
      <w:r w:rsidRPr="00EE60CD">
        <w:t xml:space="preserve"> </w:t>
      </w:r>
      <w:r w:rsidR="004077E0">
        <w:t>Actual and Planned</w:t>
      </w:r>
      <w:r w:rsidRPr="00EE60CD">
        <w:t xml:space="preserve"> Expenditures</w:t>
      </w:r>
      <w:r w:rsidR="004077E0">
        <w:t xml:space="preserve"> </w:t>
      </w:r>
      <w:r w:rsidRPr="00EE60CD">
        <w:t>in Each EDC’s EE&amp;C Plan</w:t>
      </w:r>
      <w:bookmarkEnd w:id="105"/>
      <w:bookmarkEnd w:id="106"/>
    </w:p>
    <w:tbl>
      <w:tblPr>
        <w:tblW w:w="9450" w:type="dxa"/>
        <w:tblInd w:w="-10" w:type="dxa"/>
        <w:tblLook w:val="04A0" w:firstRow="1" w:lastRow="0" w:firstColumn="1" w:lastColumn="0" w:noHBand="0" w:noVBand="1"/>
      </w:tblPr>
      <w:tblGrid>
        <w:gridCol w:w="1530"/>
        <w:gridCol w:w="1980"/>
        <w:gridCol w:w="1980"/>
        <w:gridCol w:w="1980"/>
        <w:gridCol w:w="1980"/>
      </w:tblGrid>
      <w:tr w:rsidR="00A874AC" w:rsidRPr="00C75D51" w:rsidTr="00C75D51">
        <w:trPr>
          <w:cantSplit/>
          <w:trHeight w:val="538"/>
          <w:tblHeader/>
        </w:trPr>
        <w:tc>
          <w:tcPr>
            <w:tcW w:w="153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7C6751" w:rsidRPr="00C75D51" w:rsidRDefault="007C6751" w:rsidP="00A67631">
            <w:pPr>
              <w:rPr>
                <w:b/>
                <w:bCs/>
                <w:color w:val="FFFFFF"/>
                <w:sz w:val="19"/>
                <w:szCs w:val="19"/>
              </w:rPr>
            </w:pPr>
            <w:r w:rsidRPr="00C75D51">
              <w:rPr>
                <w:b/>
                <w:bCs/>
                <w:color w:val="FFFFFF"/>
                <w:sz w:val="19"/>
                <w:szCs w:val="19"/>
              </w:rPr>
              <w:t>EDC</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C75D51" w:rsidRDefault="007C6751" w:rsidP="00A67631">
            <w:pPr>
              <w:jc w:val="center"/>
              <w:rPr>
                <w:b/>
                <w:bCs/>
                <w:color w:val="FFFFFF"/>
                <w:sz w:val="19"/>
                <w:szCs w:val="19"/>
              </w:rPr>
            </w:pPr>
            <w:r w:rsidRPr="00C75D51">
              <w:rPr>
                <w:b/>
                <w:bCs/>
                <w:color w:val="FFFFFF"/>
                <w:sz w:val="19"/>
                <w:szCs w:val="19"/>
              </w:rPr>
              <w:t>PY7</w:t>
            </w:r>
            <w:r w:rsidR="003F066B" w:rsidRPr="00C75D51">
              <w:rPr>
                <w:b/>
                <w:bCs/>
                <w:color w:val="FFFFFF"/>
                <w:sz w:val="19"/>
                <w:szCs w:val="19"/>
              </w:rPr>
              <w:t xml:space="preserve"> Actual</w:t>
            </w:r>
            <w:r w:rsidRPr="00C75D51">
              <w:rPr>
                <w:b/>
                <w:bCs/>
                <w:color w:val="FFFFFF"/>
                <w:sz w:val="19"/>
                <w:szCs w:val="19"/>
              </w:rPr>
              <w:t xml:space="preserve"> Expenditures ($)</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C75D51" w:rsidRDefault="003F066B" w:rsidP="00A67631">
            <w:pPr>
              <w:jc w:val="center"/>
              <w:rPr>
                <w:b/>
                <w:bCs/>
                <w:color w:val="FFFFFF"/>
                <w:sz w:val="19"/>
                <w:szCs w:val="19"/>
              </w:rPr>
            </w:pPr>
            <w:r w:rsidRPr="00C75D51">
              <w:rPr>
                <w:b/>
                <w:bCs/>
                <w:color w:val="FFFFFF"/>
                <w:sz w:val="19"/>
                <w:szCs w:val="19"/>
              </w:rPr>
              <w:t>PY7 Budget</w:t>
            </w:r>
            <w:r w:rsidR="00E022D1" w:rsidRPr="00C75D51">
              <w:rPr>
                <w:b/>
                <w:bCs/>
                <w:color w:val="FFFFFF"/>
                <w:sz w:val="19"/>
                <w:szCs w:val="19"/>
              </w:rPr>
              <w:t xml:space="preserve"> </w:t>
            </w:r>
            <w:r w:rsidR="00C64186" w:rsidRPr="00C75D51">
              <w:rPr>
                <w:b/>
                <w:bCs/>
                <w:color w:val="FFFFFF"/>
                <w:sz w:val="19"/>
                <w:szCs w:val="19"/>
              </w:rPr>
              <w:t>Estimate</w:t>
            </w:r>
            <w:r w:rsidR="007C6751" w:rsidRPr="00C75D51">
              <w:rPr>
                <w:b/>
                <w:bCs/>
                <w:color w:val="FFFFFF"/>
                <w:sz w:val="19"/>
                <w:szCs w:val="19"/>
              </w:rPr>
              <w:t xml:space="preserve"> </w:t>
            </w:r>
            <w:r w:rsidRPr="00C75D51">
              <w:rPr>
                <w:b/>
                <w:bCs/>
                <w:color w:val="FFFFFF"/>
                <w:sz w:val="19"/>
                <w:szCs w:val="19"/>
              </w:rPr>
              <w:t>(</w:t>
            </w:r>
            <w:r w:rsidR="007C6751" w:rsidRPr="00C75D51">
              <w:rPr>
                <w:b/>
                <w:bCs/>
                <w:color w:val="FFFFFF"/>
                <w:sz w:val="19"/>
                <w:szCs w:val="19"/>
              </w:rPr>
              <w:t>$)</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C75D51" w:rsidRDefault="007C6751" w:rsidP="00A67631">
            <w:pPr>
              <w:jc w:val="center"/>
              <w:rPr>
                <w:b/>
                <w:bCs/>
                <w:color w:val="FFFFFF"/>
                <w:sz w:val="19"/>
                <w:szCs w:val="19"/>
              </w:rPr>
            </w:pPr>
            <w:r w:rsidRPr="00C75D51">
              <w:rPr>
                <w:b/>
                <w:bCs/>
                <w:color w:val="FFFFFF"/>
                <w:sz w:val="19"/>
                <w:szCs w:val="19"/>
              </w:rPr>
              <w:t xml:space="preserve">Difference between Actual and </w:t>
            </w:r>
            <w:r w:rsidR="00C64186" w:rsidRPr="00C75D51">
              <w:rPr>
                <w:b/>
                <w:bCs/>
                <w:color w:val="FFFFFF"/>
                <w:sz w:val="19"/>
                <w:szCs w:val="19"/>
              </w:rPr>
              <w:t xml:space="preserve">EE&amp;C Plan </w:t>
            </w:r>
            <w:r w:rsidRPr="00C75D51">
              <w:rPr>
                <w:b/>
                <w:bCs/>
                <w:color w:val="FFFFFF"/>
                <w:sz w:val="19"/>
                <w:szCs w:val="19"/>
              </w:rPr>
              <w:t>($)</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C75D51" w:rsidRDefault="007C6751" w:rsidP="00A67631">
            <w:pPr>
              <w:jc w:val="center"/>
              <w:rPr>
                <w:b/>
                <w:bCs/>
                <w:color w:val="FFFFFF"/>
                <w:sz w:val="19"/>
                <w:szCs w:val="19"/>
              </w:rPr>
            </w:pPr>
            <w:r w:rsidRPr="00C75D51">
              <w:rPr>
                <w:b/>
                <w:bCs/>
                <w:color w:val="FFFFFF"/>
                <w:sz w:val="19"/>
                <w:szCs w:val="19"/>
              </w:rPr>
              <w:t xml:space="preserve">Percent </w:t>
            </w:r>
            <w:r w:rsidR="00E0150C" w:rsidRPr="00C75D51">
              <w:rPr>
                <w:b/>
                <w:bCs/>
                <w:color w:val="FFFFFF"/>
                <w:sz w:val="19"/>
                <w:szCs w:val="19"/>
              </w:rPr>
              <w:t>Change</w:t>
            </w:r>
            <w:r w:rsidRPr="00C75D51">
              <w:rPr>
                <w:b/>
                <w:bCs/>
                <w:color w:val="FFFFFF"/>
                <w:sz w:val="19"/>
                <w:szCs w:val="19"/>
              </w:rPr>
              <w:t xml:space="preserve"> from </w:t>
            </w:r>
            <w:r w:rsidR="00C64186" w:rsidRPr="00C75D51">
              <w:rPr>
                <w:b/>
                <w:bCs/>
                <w:color w:val="FFFFFF"/>
                <w:sz w:val="19"/>
                <w:szCs w:val="19"/>
              </w:rPr>
              <w:t>Plan</w:t>
            </w:r>
          </w:p>
        </w:tc>
      </w:tr>
      <w:tr w:rsidR="006530F1"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auto" w:fill="auto"/>
            <w:vAlign w:val="center"/>
            <w:hideMark/>
          </w:tcPr>
          <w:p w:rsidR="006530F1" w:rsidRPr="00C75D51" w:rsidRDefault="006530F1" w:rsidP="006530F1">
            <w:pPr>
              <w:jc w:val="left"/>
              <w:rPr>
                <w:color w:val="000000"/>
                <w:sz w:val="19"/>
                <w:szCs w:val="19"/>
              </w:rPr>
            </w:pPr>
            <w:r w:rsidRPr="00C75D51">
              <w:rPr>
                <w:color w:val="000000"/>
                <w:sz w:val="19"/>
                <w:szCs w:val="19"/>
              </w:rPr>
              <w:t>Duquesne</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color w:val="000000"/>
                <w:sz w:val="19"/>
                <w:szCs w:val="19"/>
              </w:rPr>
            </w:pPr>
            <w:r w:rsidRPr="00C75D51">
              <w:rPr>
                <w:color w:val="000000"/>
                <w:sz w:val="19"/>
                <w:szCs w:val="19"/>
              </w:rPr>
              <w:t>$16,033,000</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color w:val="000000"/>
                <w:sz w:val="19"/>
                <w:szCs w:val="19"/>
              </w:rPr>
            </w:pPr>
            <w:r w:rsidRPr="00C75D51">
              <w:rPr>
                <w:sz w:val="19"/>
                <w:szCs w:val="19"/>
              </w:rPr>
              <w:t>$19,497,797</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sz w:val="19"/>
                <w:szCs w:val="19"/>
              </w:rPr>
            </w:pPr>
            <w:r w:rsidRPr="00C75D51">
              <w:rPr>
                <w:sz w:val="19"/>
                <w:szCs w:val="19"/>
              </w:rPr>
              <w:t>-$3,464,797</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2A4A24" w:rsidP="006530F1">
            <w:pPr>
              <w:jc w:val="center"/>
              <w:rPr>
                <w:color w:val="FF0000"/>
                <w:sz w:val="19"/>
                <w:szCs w:val="19"/>
              </w:rPr>
            </w:pPr>
            <w:r w:rsidRPr="00C75D51">
              <w:rPr>
                <w:color w:val="FF0000"/>
                <w:sz w:val="19"/>
                <w:szCs w:val="19"/>
              </w:rPr>
              <w:t>-</w:t>
            </w:r>
            <w:r w:rsidR="00391059" w:rsidRPr="00C75D51">
              <w:rPr>
                <w:color w:val="FF0000"/>
                <w:sz w:val="19"/>
                <w:szCs w:val="19"/>
              </w:rPr>
              <w:t>17.8%</w:t>
            </w:r>
          </w:p>
        </w:tc>
      </w:tr>
      <w:tr w:rsidR="00A874AC"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000000" w:fill="D2EAF1"/>
            <w:vAlign w:val="center"/>
            <w:hideMark/>
          </w:tcPr>
          <w:p w:rsidR="006530F1" w:rsidRPr="00C75D51" w:rsidRDefault="006530F1" w:rsidP="006530F1">
            <w:pPr>
              <w:jc w:val="left"/>
              <w:rPr>
                <w:color w:val="000000"/>
                <w:sz w:val="19"/>
                <w:szCs w:val="19"/>
              </w:rPr>
            </w:pPr>
            <w:r w:rsidRPr="00C75D51">
              <w:rPr>
                <w:color w:val="000000"/>
                <w:sz w:val="19"/>
                <w:szCs w:val="19"/>
              </w:rPr>
              <w:t>FE:  Met-Ed</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color w:val="000000"/>
                <w:sz w:val="19"/>
                <w:szCs w:val="19"/>
              </w:rPr>
            </w:pPr>
            <w:r w:rsidRPr="00C75D51">
              <w:rPr>
                <w:color w:val="000000"/>
                <w:sz w:val="19"/>
                <w:szCs w:val="19"/>
              </w:rPr>
              <w:t>$18,906,855</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color w:val="000000"/>
                <w:sz w:val="19"/>
                <w:szCs w:val="19"/>
              </w:rPr>
            </w:pPr>
            <w:r w:rsidRPr="00C75D51">
              <w:rPr>
                <w:sz w:val="19"/>
                <w:szCs w:val="19"/>
              </w:rPr>
              <w:t>$25,519,550</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sz w:val="19"/>
                <w:szCs w:val="19"/>
              </w:rPr>
            </w:pPr>
            <w:r w:rsidRPr="00C75D51">
              <w:rPr>
                <w:sz w:val="19"/>
                <w:szCs w:val="19"/>
              </w:rPr>
              <w:t>-$6,612,695</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2A4A24" w:rsidP="006530F1">
            <w:pPr>
              <w:jc w:val="center"/>
              <w:rPr>
                <w:color w:val="FF0000"/>
                <w:sz w:val="19"/>
                <w:szCs w:val="19"/>
              </w:rPr>
            </w:pPr>
            <w:r w:rsidRPr="00C75D51">
              <w:rPr>
                <w:color w:val="FF0000"/>
                <w:sz w:val="19"/>
                <w:szCs w:val="19"/>
              </w:rPr>
              <w:t>-</w:t>
            </w:r>
            <w:r w:rsidR="00391059" w:rsidRPr="00C75D51">
              <w:rPr>
                <w:color w:val="FF0000"/>
                <w:sz w:val="19"/>
                <w:szCs w:val="19"/>
              </w:rPr>
              <w:t>25.9%</w:t>
            </w:r>
          </w:p>
        </w:tc>
      </w:tr>
      <w:tr w:rsidR="006530F1"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auto" w:fill="auto"/>
            <w:vAlign w:val="center"/>
            <w:hideMark/>
          </w:tcPr>
          <w:p w:rsidR="006530F1" w:rsidRPr="00C75D51" w:rsidRDefault="006530F1" w:rsidP="006530F1">
            <w:pPr>
              <w:jc w:val="left"/>
              <w:rPr>
                <w:color w:val="000000"/>
                <w:sz w:val="19"/>
                <w:szCs w:val="19"/>
              </w:rPr>
            </w:pPr>
            <w:r w:rsidRPr="00C75D51">
              <w:rPr>
                <w:color w:val="000000"/>
                <w:sz w:val="19"/>
                <w:szCs w:val="19"/>
              </w:rPr>
              <w:t>FE:  Penelec</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color w:val="000000"/>
                <w:sz w:val="19"/>
                <w:szCs w:val="19"/>
              </w:rPr>
            </w:pPr>
            <w:r w:rsidRPr="00C75D51">
              <w:rPr>
                <w:color w:val="000000"/>
                <w:sz w:val="19"/>
                <w:szCs w:val="19"/>
              </w:rPr>
              <w:t>$16,422,862</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color w:val="000000"/>
                <w:sz w:val="19"/>
                <w:szCs w:val="19"/>
              </w:rPr>
            </w:pPr>
            <w:r w:rsidRPr="00C75D51">
              <w:rPr>
                <w:sz w:val="19"/>
                <w:szCs w:val="19"/>
              </w:rPr>
              <w:t>$24,096,572</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sz w:val="19"/>
                <w:szCs w:val="19"/>
              </w:rPr>
            </w:pPr>
            <w:r w:rsidRPr="00C75D51">
              <w:rPr>
                <w:sz w:val="19"/>
                <w:szCs w:val="19"/>
              </w:rPr>
              <w:t>-$7,673,710</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2A4A24" w:rsidP="006530F1">
            <w:pPr>
              <w:jc w:val="center"/>
              <w:rPr>
                <w:color w:val="FF0000"/>
                <w:sz w:val="19"/>
                <w:szCs w:val="19"/>
              </w:rPr>
            </w:pPr>
            <w:r w:rsidRPr="00C75D51">
              <w:rPr>
                <w:color w:val="FF0000"/>
                <w:sz w:val="19"/>
                <w:szCs w:val="19"/>
              </w:rPr>
              <w:t>-</w:t>
            </w:r>
            <w:r w:rsidR="00391059" w:rsidRPr="00C75D51">
              <w:rPr>
                <w:color w:val="FF0000"/>
                <w:sz w:val="19"/>
                <w:szCs w:val="19"/>
              </w:rPr>
              <w:t>31.8%</w:t>
            </w:r>
          </w:p>
        </w:tc>
      </w:tr>
      <w:tr w:rsidR="00A874AC"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000000" w:fill="D2EAF1"/>
            <w:vAlign w:val="center"/>
            <w:hideMark/>
          </w:tcPr>
          <w:p w:rsidR="006530F1" w:rsidRPr="00C75D51" w:rsidRDefault="006530F1" w:rsidP="006530F1">
            <w:pPr>
              <w:jc w:val="left"/>
              <w:rPr>
                <w:color w:val="000000"/>
                <w:sz w:val="19"/>
                <w:szCs w:val="19"/>
              </w:rPr>
            </w:pPr>
            <w:r w:rsidRPr="00C75D51">
              <w:rPr>
                <w:color w:val="000000"/>
                <w:sz w:val="19"/>
                <w:szCs w:val="19"/>
              </w:rPr>
              <w:t>FE:  Penn Power</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color w:val="000000"/>
                <w:sz w:val="19"/>
                <w:szCs w:val="19"/>
              </w:rPr>
            </w:pPr>
            <w:r w:rsidRPr="00C75D51">
              <w:rPr>
                <w:color w:val="000000"/>
                <w:sz w:val="19"/>
                <w:szCs w:val="19"/>
              </w:rPr>
              <w:t>$3,901,655</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color w:val="000000"/>
                <w:sz w:val="19"/>
                <w:szCs w:val="19"/>
              </w:rPr>
            </w:pPr>
            <w:r w:rsidRPr="00C75D51">
              <w:rPr>
                <w:sz w:val="19"/>
                <w:szCs w:val="19"/>
              </w:rPr>
              <w:t>$6,821,749</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sz w:val="19"/>
                <w:szCs w:val="19"/>
              </w:rPr>
            </w:pPr>
            <w:r w:rsidRPr="00C75D51">
              <w:rPr>
                <w:sz w:val="19"/>
                <w:szCs w:val="19"/>
              </w:rPr>
              <w:t>-$2,920,094</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2A4A24" w:rsidP="006530F1">
            <w:pPr>
              <w:jc w:val="center"/>
              <w:rPr>
                <w:color w:val="FF0000"/>
                <w:sz w:val="19"/>
                <w:szCs w:val="19"/>
              </w:rPr>
            </w:pPr>
            <w:r w:rsidRPr="00C75D51">
              <w:rPr>
                <w:color w:val="FF0000"/>
                <w:sz w:val="19"/>
                <w:szCs w:val="19"/>
              </w:rPr>
              <w:t>-</w:t>
            </w:r>
            <w:r w:rsidR="00391059" w:rsidRPr="00C75D51">
              <w:rPr>
                <w:color w:val="FF0000"/>
                <w:sz w:val="19"/>
                <w:szCs w:val="19"/>
              </w:rPr>
              <w:t>42.8%</w:t>
            </w:r>
          </w:p>
        </w:tc>
      </w:tr>
      <w:tr w:rsidR="006530F1"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auto" w:fill="auto"/>
            <w:vAlign w:val="center"/>
            <w:hideMark/>
          </w:tcPr>
          <w:p w:rsidR="006530F1" w:rsidRPr="00C75D51" w:rsidRDefault="006530F1" w:rsidP="006530F1">
            <w:pPr>
              <w:jc w:val="left"/>
              <w:rPr>
                <w:color w:val="000000"/>
                <w:sz w:val="19"/>
                <w:szCs w:val="19"/>
              </w:rPr>
            </w:pPr>
            <w:r w:rsidRPr="00C75D51">
              <w:rPr>
                <w:color w:val="000000"/>
                <w:sz w:val="19"/>
                <w:szCs w:val="19"/>
              </w:rPr>
              <w:t>FE:  West Penn</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color w:val="000000"/>
                <w:sz w:val="19"/>
                <w:szCs w:val="19"/>
              </w:rPr>
            </w:pPr>
            <w:r w:rsidRPr="00C75D51">
              <w:rPr>
                <w:color w:val="000000"/>
                <w:sz w:val="19"/>
                <w:szCs w:val="19"/>
              </w:rPr>
              <w:t>$17,054,581</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color w:val="000000"/>
                <w:sz w:val="19"/>
                <w:szCs w:val="19"/>
              </w:rPr>
            </w:pPr>
            <w:r w:rsidRPr="00C75D51">
              <w:rPr>
                <w:sz w:val="19"/>
                <w:szCs w:val="19"/>
              </w:rPr>
              <w:t>$24,207,741</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sz w:val="19"/>
                <w:szCs w:val="19"/>
              </w:rPr>
            </w:pPr>
            <w:r w:rsidRPr="00C75D51">
              <w:rPr>
                <w:sz w:val="19"/>
                <w:szCs w:val="19"/>
              </w:rPr>
              <w:t>-$7,153,160</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2A4A24" w:rsidP="006530F1">
            <w:pPr>
              <w:jc w:val="center"/>
              <w:rPr>
                <w:color w:val="FF0000"/>
                <w:sz w:val="19"/>
                <w:szCs w:val="19"/>
              </w:rPr>
            </w:pPr>
            <w:r w:rsidRPr="00C75D51">
              <w:rPr>
                <w:color w:val="FF0000"/>
                <w:sz w:val="19"/>
                <w:szCs w:val="19"/>
              </w:rPr>
              <w:t>-</w:t>
            </w:r>
            <w:r w:rsidR="00391059" w:rsidRPr="00C75D51">
              <w:rPr>
                <w:color w:val="FF0000"/>
                <w:sz w:val="19"/>
                <w:szCs w:val="19"/>
              </w:rPr>
              <w:t>29.5%</w:t>
            </w:r>
          </w:p>
        </w:tc>
      </w:tr>
      <w:tr w:rsidR="00A874AC"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000000" w:fill="D2EAF1"/>
            <w:vAlign w:val="center"/>
            <w:hideMark/>
          </w:tcPr>
          <w:p w:rsidR="006530F1" w:rsidRPr="00C75D51" w:rsidRDefault="006530F1" w:rsidP="006530F1">
            <w:pPr>
              <w:jc w:val="left"/>
              <w:rPr>
                <w:color w:val="000000"/>
                <w:sz w:val="19"/>
                <w:szCs w:val="19"/>
              </w:rPr>
            </w:pPr>
            <w:r w:rsidRPr="00C75D51">
              <w:rPr>
                <w:color w:val="000000"/>
                <w:sz w:val="19"/>
                <w:szCs w:val="19"/>
              </w:rPr>
              <w:t>PECO</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color w:val="000000"/>
                <w:sz w:val="19"/>
                <w:szCs w:val="19"/>
              </w:rPr>
            </w:pPr>
            <w:r w:rsidRPr="00C75D51">
              <w:rPr>
                <w:color w:val="000000"/>
                <w:sz w:val="19"/>
                <w:szCs w:val="19"/>
              </w:rPr>
              <w:t>$91,147,823</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color w:val="000000"/>
                <w:sz w:val="19"/>
                <w:szCs w:val="19"/>
              </w:rPr>
            </w:pPr>
            <w:r w:rsidRPr="00C75D51">
              <w:rPr>
                <w:sz w:val="19"/>
                <w:szCs w:val="19"/>
              </w:rPr>
              <w:t>$91,081,490</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sz w:val="19"/>
                <w:szCs w:val="19"/>
              </w:rPr>
            </w:pPr>
            <w:r w:rsidRPr="00C75D51">
              <w:rPr>
                <w:sz w:val="19"/>
                <w:szCs w:val="19"/>
              </w:rPr>
              <w:t>$66,333</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color w:val="FF0000"/>
                <w:sz w:val="19"/>
                <w:szCs w:val="19"/>
              </w:rPr>
            </w:pPr>
            <w:r w:rsidRPr="00C75D51">
              <w:rPr>
                <w:sz w:val="19"/>
                <w:szCs w:val="19"/>
              </w:rPr>
              <w:t>0.1%</w:t>
            </w:r>
            <w:r w:rsidR="00391059" w:rsidRPr="00C75D51">
              <w:rPr>
                <w:sz w:val="19"/>
                <w:szCs w:val="19"/>
              </w:rPr>
              <w:t xml:space="preserve"> </w:t>
            </w:r>
          </w:p>
        </w:tc>
      </w:tr>
      <w:tr w:rsidR="006530F1"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auto" w:fill="auto"/>
            <w:vAlign w:val="center"/>
            <w:hideMark/>
          </w:tcPr>
          <w:p w:rsidR="006530F1" w:rsidRPr="00C75D51" w:rsidRDefault="006530F1" w:rsidP="006530F1">
            <w:pPr>
              <w:jc w:val="left"/>
              <w:rPr>
                <w:color w:val="000000"/>
                <w:sz w:val="19"/>
                <w:szCs w:val="19"/>
              </w:rPr>
            </w:pPr>
            <w:r w:rsidRPr="00C75D51">
              <w:rPr>
                <w:color w:val="000000"/>
                <w:sz w:val="19"/>
                <w:szCs w:val="19"/>
              </w:rPr>
              <w:t>PPL</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color w:val="000000"/>
                <w:sz w:val="19"/>
                <w:szCs w:val="19"/>
              </w:rPr>
            </w:pPr>
            <w:r w:rsidRPr="00C75D51">
              <w:rPr>
                <w:color w:val="000000"/>
                <w:sz w:val="19"/>
                <w:szCs w:val="19"/>
              </w:rPr>
              <w:t>$64,716,000</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color w:val="000000"/>
                <w:sz w:val="19"/>
                <w:szCs w:val="19"/>
              </w:rPr>
            </w:pPr>
            <w:r w:rsidRPr="00C75D51">
              <w:rPr>
                <w:sz w:val="19"/>
                <w:szCs w:val="19"/>
              </w:rPr>
              <w:t>$75,824,000</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6530F1" w:rsidP="006530F1">
            <w:pPr>
              <w:jc w:val="center"/>
              <w:rPr>
                <w:sz w:val="19"/>
                <w:szCs w:val="19"/>
              </w:rPr>
            </w:pPr>
            <w:r w:rsidRPr="00C75D51">
              <w:rPr>
                <w:sz w:val="19"/>
                <w:szCs w:val="19"/>
              </w:rPr>
              <w:t>-$11,108,000</w:t>
            </w:r>
          </w:p>
        </w:tc>
        <w:tc>
          <w:tcPr>
            <w:tcW w:w="1980" w:type="dxa"/>
            <w:tcBorders>
              <w:top w:val="nil"/>
              <w:left w:val="nil"/>
              <w:bottom w:val="single" w:sz="8" w:space="0" w:color="448A99"/>
              <w:right w:val="single" w:sz="8" w:space="0" w:color="448A99"/>
            </w:tcBorders>
            <w:shd w:val="clear" w:color="auto" w:fill="auto"/>
            <w:vAlign w:val="center"/>
            <w:hideMark/>
          </w:tcPr>
          <w:p w:rsidR="006530F1" w:rsidRPr="00C75D51" w:rsidRDefault="002A4A24" w:rsidP="006530F1">
            <w:pPr>
              <w:jc w:val="center"/>
              <w:rPr>
                <w:sz w:val="19"/>
                <w:szCs w:val="19"/>
              </w:rPr>
            </w:pPr>
            <w:r w:rsidRPr="00C75D51">
              <w:rPr>
                <w:color w:val="FF0000"/>
                <w:sz w:val="19"/>
                <w:szCs w:val="19"/>
              </w:rPr>
              <w:t>-</w:t>
            </w:r>
            <w:r w:rsidR="00391059" w:rsidRPr="00C75D51">
              <w:rPr>
                <w:color w:val="FF0000"/>
                <w:sz w:val="19"/>
                <w:szCs w:val="19"/>
              </w:rPr>
              <w:t>14.6%</w:t>
            </w:r>
          </w:p>
        </w:tc>
      </w:tr>
      <w:tr w:rsidR="00A874AC"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000000" w:fill="D2EAF1"/>
            <w:vAlign w:val="center"/>
            <w:hideMark/>
          </w:tcPr>
          <w:p w:rsidR="006530F1" w:rsidRPr="00C75D51" w:rsidRDefault="006530F1" w:rsidP="006530F1">
            <w:pPr>
              <w:jc w:val="left"/>
              <w:rPr>
                <w:b/>
                <w:bCs/>
                <w:color w:val="000000"/>
                <w:sz w:val="19"/>
                <w:szCs w:val="19"/>
              </w:rPr>
            </w:pPr>
            <w:r w:rsidRPr="00C75D51">
              <w:rPr>
                <w:b/>
                <w:bCs/>
                <w:color w:val="000000"/>
                <w:sz w:val="19"/>
                <w:szCs w:val="19"/>
              </w:rPr>
              <w:t>Total</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b/>
                <w:bCs/>
                <w:color w:val="000000"/>
                <w:sz w:val="19"/>
                <w:szCs w:val="19"/>
              </w:rPr>
            </w:pPr>
            <w:r w:rsidRPr="00C75D51">
              <w:rPr>
                <w:b/>
                <w:bCs/>
                <w:color w:val="000000"/>
                <w:sz w:val="19"/>
                <w:szCs w:val="19"/>
              </w:rPr>
              <w:t>$228,182,776</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b/>
                <w:bCs/>
                <w:color w:val="000000"/>
                <w:sz w:val="19"/>
                <w:szCs w:val="19"/>
              </w:rPr>
            </w:pPr>
            <w:r w:rsidRPr="00C75D51">
              <w:rPr>
                <w:b/>
                <w:bCs/>
                <w:sz w:val="19"/>
                <w:szCs w:val="19"/>
              </w:rPr>
              <w:t>$267,048,899</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6530F1" w:rsidP="006530F1">
            <w:pPr>
              <w:jc w:val="center"/>
              <w:rPr>
                <w:b/>
                <w:bCs/>
                <w:color w:val="000000"/>
                <w:sz w:val="19"/>
                <w:szCs w:val="19"/>
              </w:rPr>
            </w:pPr>
            <w:r w:rsidRPr="00C75D51">
              <w:rPr>
                <w:b/>
                <w:bCs/>
                <w:color w:val="000000"/>
                <w:sz w:val="19"/>
                <w:szCs w:val="19"/>
              </w:rPr>
              <w:t>-$38,866,123</w:t>
            </w:r>
          </w:p>
        </w:tc>
        <w:tc>
          <w:tcPr>
            <w:tcW w:w="1980" w:type="dxa"/>
            <w:tcBorders>
              <w:top w:val="nil"/>
              <w:left w:val="nil"/>
              <w:bottom w:val="single" w:sz="8" w:space="0" w:color="448A99"/>
              <w:right w:val="single" w:sz="8" w:space="0" w:color="448A99"/>
            </w:tcBorders>
            <w:shd w:val="clear" w:color="000000" w:fill="D2EAF1"/>
            <w:vAlign w:val="center"/>
            <w:hideMark/>
          </w:tcPr>
          <w:p w:rsidR="006530F1" w:rsidRPr="00C75D51" w:rsidRDefault="002A4A24" w:rsidP="006530F1">
            <w:pPr>
              <w:jc w:val="center"/>
              <w:rPr>
                <w:b/>
                <w:bCs/>
                <w:color w:val="FF0000"/>
                <w:sz w:val="19"/>
                <w:szCs w:val="19"/>
              </w:rPr>
            </w:pPr>
            <w:r w:rsidRPr="00C75D51">
              <w:rPr>
                <w:b/>
                <w:bCs/>
                <w:color w:val="FF0000"/>
                <w:sz w:val="19"/>
                <w:szCs w:val="19"/>
              </w:rPr>
              <w:t>-</w:t>
            </w:r>
            <w:r w:rsidR="00391059" w:rsidRPr="00C75D51">
              <w:rPr>
                <w:b/>
                <w:bCs/>
                <w:color w:val="FF0000"/>
                <w:sz w:val="19"/>
                <w:szCs w:val="19"/>
              </w:rPr>
              <w:t>14.6%</w:t>
            </w:r>
          </w:p>
        </w:tc>
      </w:tr>
    </w:tbl>
    <w:p w:rsidR="00EE60CD" w:rsidRDefault="00EE60CD" w:rsidP="00AC2B6F"/>
    <w:p w:rsidR="00EE60CD" w:rsidRDefault="007C6751" w:rsidP="00AC2B6F">
      <w:r>
        <w:fldChar w:fldCharType="begin"/>
      </w:r>
      <w:r>
        <w:instrText xml:space="preserve"> REF _Ref472409047 \h </w:instrText>
      </w:r>
      <w:r>
        <w:fldChar w:fldCharType="separate"/>
      </w:r>
      <w:r w:rsidR="00037CB4">
        <w:t xml:space="preserve">Table </w:t>
      </w:r>
      <w:r w:rsidR="00037CB4">
        <w:rPr>
          <w:noProof/>
        </w:rPr>
        <w:t>2</w:t>
      </w:r>
      <w:r w:rsidR="00037CB4">
        <w:noBreakHyphen/>
      </w:r>
      <w:r w:rsidR="00037CB4">
        <w:rPr>
          <w:noProof/>
        </w:rPr>
        <w:t>11</w:t>
      </w:r>
      <w:r>
        <w:fldChar w:fldCharType="end"/>
      </w:r>
      <w:r w:rsidR="005E0D89">
        <w:t xml:space="preserve"> </w:t>
      </w:r>
      <w:r w:rsidR="00EE60CD" w:rsidRPr="00EE60CD">
        <w:t xml:space="preserve">compares the </w:t>
      </w:r>
      <w:r w:rsidR="005E23F3" w:rsidRPr="00EE60CD">
        <w:t>PY</w:t>
      </w:r>
      <w:r w:rsidR="005E23F3">
        <w:t>7</w:t>
      </w:r>
      <w:r w:rsidR="00A57CA5">
        <w:t xml:space="preserve"> </w:t>
      </w:r>
      <w:r w:rsidR="004E0516">
        <w:t>planned</w:t>
      </w:r>
      <w:r w:rsidR="004E0516" w:rsidRPr="00EE60CD">
        <w:t xml:space="preserve"> </w:t>
      </w:r>
      <w:r w:rsidR="00EE60CD" w:rsidRPr="00EE60CD">
        <w:t>acquisition cost and actual acquisition cost (per first</w:t>
      </w:r>
      <w:r w:rsidR="004E0516">
        <w:t>-</w:t>
      </w:r>
      <w:r w:rsidR="00EE60CD" w:rsidRPr="00EE60CD">
        <w:t>year kWh saved) for each EDC and for all EDCs combined</w:t>
      </w:r>
      <w:r w:rsidR="00EE60CD">
        <w:t>.</w:t>
      </w:r>
    </w:p>
    <w:p w:rsidR="00EE60CD" w:rsidRDefault="00EE60CD" w:rsidP="00AC2B6F"/>
    <w:p w:rsidR="00EE60CD" w:rsidRDefault="00EE60CD" w:rsidP="004837FA">
      <w:pPr>
        <w:pStyle w:val="Caption"/>
      </w:pPr>
      <w:bookmarkStart w:id="107" w:name="_Ref472409047"/>
      <w:bookmarkStart w:id="108" w:name="_Toc472472165"/>
      <w:bookmarkStart w:id="109" w:name="_Toc488741742"/>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w:instrText>
      </w:r>
      <w:r w:rsidR="007973A4">
        <w:instrText xml:space="preserve"> </w:instrText>
      </w:r>
      <w:r w:rsidR="007973A4">
        <w:fldChar w:fldCharType="separate"/>
      </w:r>
      <w:r w:rsidR="00037CB4">
        <w:rPr>
          <w:noProof/>
        </w:rPr>
        <w:t>11</w:t>
      </w:r>
      <w:r w:rsidR="007973A4">
        <w:rPr>
          <w:noProof/>
        </w:rPr>
        <w:fldChar w:fldCharType="end"/>
      </w:r>
      <w:bookmarkEnd w:id="107"/>
      <w:r>
        <w:t xml:space="preserve">:  </w:t>
      </w:r>
      <w:r w:rsidR="0024114B">
        <w:t>Planned</w:t>
      </w:r>
      <w:r w:rsidRPr="00EE60CD">
        <w:t xml:space="preserve"> Acquisition Costs versus</w:t>
      </w:r>
      <w:r w:rsidR="007C6751">
        <w:t xml:space="preserve"> Actual Acquisition Costs in PY7</w:t>
      </w:r>
      <w:bookmarkEnd w:id="108"/>
      <w:bookmarkEnd w:id="109"/>
    </w:p>
    <w:tbl>
      <w:tblPr>
        <w:tblW w:w="9450" w:type="dxa"/>
        <w:tblInd w:w="-10" w:type="dxa"/>
        <w:tblLook w:val="04A0" w:firstRow="1" w:lastRow="0" w:firstColumn="1" w:lastColumn="0" w:noHBand="0" w:noVBand="1"/>
      </w:tblPr>
      <w:tblGrid>
        <w:gridCol w:w="1530"/>
        <w:gridCol w:w="1980"/>
        <w:gridCol w:w="1980"/>
        <w:gridCol w:w="1980"/>
        <w:gridCol w:w="1980"/>
      </w:tblGrid>
      <w:tr w:rsidR="00A874AC" w:rsidRPr="00C75D51" w:rsidTr="00C75D51">
        <w:trPr>
          <w:trHeight w:val="745"/>
        </w:trPr>
        <w:tc>
          <w:tcPr>
            <w:tcW w:w="153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7C6751" w:rsidRPr="00C75D51" w:rsidRDefault="007C6751" w:rsidP="00A67631">
            <w:pPr>
              <w:rPr>
                <w:b/>
                <w:bCs/>
                <w:color w:val="FFFFFF"/>
                <w:sz w:val="19"/>
                <w:szCs w:val="19"/>
              </w:rPr>
            </w:pPr>
            <w:r w:rsidRPr="00C75D51">
              <w:rPr>
                <w:b/>
                <w:bCs/>
                <w:color w:val="FFFFFF"/>
                <w:sz w:val="19"/>
                <w:szCs w:val="19"/>
              </w:rPr>
              <w:t>EDC</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C75D51" w:rsidRDefault="007C6751" w:rsidP="00A67631">
            <w:pPr>
              <w:jc w:val="center"/>
              <w:rPr>
                <w:b/>
                <w:bCs/>
                <w:color w:val="FFFFFF"/>
                <w:sz w:val="19"/>
                <w:szCs w:val="19"/>
              </w:rPr>
            </w:pPr>
            <w:r w:rsidRPr="00C75D51">
              <w:rPr>
                <w:b/>
                <w:bCs/>
                <w:color w:val="FFFFFF"/>
                <w:sz w:val="19"/>
                <w:szCs w:val="19"/>
              </w:rPr>
              <w:t>PY7 Verified MWh</w:t>
            </w:r>
            <w:r w:rsidR="000F4785" w:rsidRPr="00C75D51">
              <w:rPr>
                <w:b/>
                <w:bCs/>
                <w:color w:val="FFFFFF"/>
                <w:sz w:val="19"/>
                <w:szCs w:val="19"/>
              </w:rPr>
              <w:t>/yr</w:t>
            </w:r>
            <w:r w:rsidRPr="00C75D51">
              <w:rPr>
                <w:b/>
                <w:bCs/>
                <w:color w:val="FFFFFF"/>
                <w:sz w:val="19"/>
                <w:szCs w:val="19"/>
              </w:rPr>
              <w:t xml:space="preserve"> Savings (not including CO)</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C75D51" w:rsidRDefault="007C6751" w:rsidP="00A67631">
            <w:pPr>
              <w:jc w:val="center"/>
              <w:rPr>
                <w:b/>
                <w:bCs/>
                <w:color w:val="FFFFFF"/>
                <w:sz w:val="19"/>
                <w:szCs w:val="19"/>
              </w:rPr>
            </w:pPr>
            <w:r w:rsidRPr="00C75D51">
              <w:rPr>
                <w:b/>
                <w:bCs/>
                <w:color w:val="FFFFFF"/>
                <w:sz w:val="19"/>
                <w:szCs w:val="19"/>
              </w:rPr>
              <w:t>Forecasted PY</w:t>
            </w:r>
            <w:r w:rsidR="005E23F3" w:rsidRPr="00C75D51">
              <w:rPr>
                <w:b/>
                <w:bCs/>
                <w:color w:val="FFFFFF"/>
                <w:sz w:val="19"/>
                <w:szCs w:val="19"/>
              </w:rPr>
              <w:t>7</w:t>
            </w:r>
            <w:r w:rsidRPr="00C75D51">
              <w:rPr>
                <w:b/>
                <w:bCs/>
                <w:color w:val="FFFFFF"/>
                <w:sz w:val="19"/>
                <w:szCs w:val="19"/>
              </w:rPr>
              <w:t xml:space="preserve"> Acquisition Cost per First</w:t>
            </w:r>
            <w:r w:rsidR="004E0516" w:rsidRPr="00C75D51">
              <w:rPr>
                <w:b/>
                <w:bCs/>
                <w:color w:val="FFFFFF"/>
                <w:sz w:val="19"/>
                <w:szCs w:val="19"/>
              </w:rPr>
              <w:t>-</w:t>
            </w:r>
            <w:r w:rsidRPr="00C75D51">
              <w:rPr>
                <w:b/>
                <w:bCs/>
                <w:color w:val="FFFFFF"/>
                <w:sz w:val="19"/>
                <w:szCs w:val="19"/>
              </w:rPr>
              <w:t>Year kWh Saved</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C75D51" w:rsidRDefault="007C6751" w:rsidP="00A67631">
            <w:pPr>
              <w:jc w:val="center"/>
              <w:rPr>
                <w:b/>
                <w:bCs/>
                <w:color w:val="FFFFFF"/>
                <w:sz w:val="19"/>
                <w:szCs w:val="19"/>
              </w:rPr>
            </w:pPr>
            <w:r w:rsidRPr="00C75D51">
              <w:rPr>
                <w:b/>
                <w:bCs/>
                <w:color w:val="FFFFFF"/>
                <w:sz w:val="19"/>
                <w:szCs w:val="19"/>
              </w:rPr>
              <w:t>Actual PY</w:t>
            </w:r>
            <w:r w:rsidR="005E23F3" w:rsidRPr="00C75D51">
              <w:rPr>
                <w:b/>
                <w:bCs/>
                <w:color w:val="FFFFFF"/>
                <w:sz w:val="19"/>
                <w:szCs w:val="19"/>
              </w:rPr>
              <w:t>7</w:t>
            </w:r>
            <w:r w:rsidRPr="00C75D51">
              <w:rPr>
                <w:b/>
                <w:bCs/>
                <w:color w:val="FFFFFF"/>
                <w:sz w:val="19"/>
                <w:szCs w:val="19"/>
              </w:rPr>
              <w:t xml:space="preserve"> Acquisition Cost per First</w:t>
            </w:r>
            <w:r w:rsidR="004E0516" w:rsidRPr="00C75D51">
              <w:rPr>
                <w:b/>
                <w:bCs/>
                <w:color w:val="FFFFFF"/>
                <w:sz w:val="19"/>
                <w:szCs w:val="19"/>
              </w:rPr>
              <w:t>-</w:t>
            </w:r>
            <w:r w:rsidRPr="00C75D51">
              <w:rPr>
                <w:b/>
                <w:bCs/>
                <w:color w:val="FFFFFF"/>
                <w:sz w:val="19"/>
                <w:szCs w:val="19"/>
              </w:rPr>
              <w:t>Year kWh Saved</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C75D51" w:rsidRDefault="0024114B" w:rsidP="00A67631">
            <w:pPr>
              <w:jc w:val="center"/>
              <w:rPr>
                <w:b/>
                <w:bCs/>
                <w:color w:val="FFFFFF"/>
                <w:sz w:val="19"/>
                <w:szCs w:val="19"/>
              </w:rPr>
            </w:pPr>
            <w:r w:rsidRPr="00C75D51">
              <w:rPr>
                <w:b/>
                <w:bCs/>
                <w:color w:val="FFFFFF"/>
                <w:sz w:val="19"/>
                <w:szCs w:val="19"/>
              </w:rPr>
              <w:t xml:space="preserve">Percent </w:t>
            </w:r>
            <w:r w:rsidR="002A4A24" w:rsidRPr="00C75D51">
              <w:rPr>
                <w:b/>
                <w:bCs/>
                <w:color w:val="FFFFFF"/>
                <w:sz w:val="19"/>
                <w:szCs w:val="19"/>
              </w:rPr>
              <w:t>Change from Planned Acquisition Costs</w:t>
            </w:r>
          </w:p>
        </w:tc>
      </w:tr>
      <w:tr w:rsidR="002A4A24"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auto" w:fill="auto"/>
            <w:vAlign w:val="center"/>
            <w:hideMark/>
          </w:tcPr>
          <w:p w:rsidR="002A4A24" w:rsidRPr="00C75D51" w:rsidRDefault="002A4A24" w:rsidP="002A4A24">
            <w:pPr>
              <w:jc w:val="left"/>
              <w:rPr>
                <w:color w:val="000000"/>
                <w:sz w:val="19"/>
                <w:szCs w:val="19"/>
              </w:rPr>
            </w:pPr>
            <w:r w:rsidRPr="00C75D51">
              <w:rPr>
                <w:color w:val="000000"/>
                <w:sz w:val="19"/>
                <w:szCs w:val="19"/>
              </w:rPr>
              <w:t>Duquesne</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B94863" w:rsidP="002A4A24">
            <w:pPr>
              <w:jc w:val="center"/>
              <w:rPr>
                <w:color w:val="000000"/>
                <w:sz w:val="19"/>
                <w:szCs w:val="19"/>
              </w:rPr>
            </w:pPr>
            <w:r w:rsidRPr="00C75D51">
              <w:rPr>
                <w:color w:val="000000"/>
                <w:sz w:val="19"/>
                <w:szCs w:val="19"/>
              </w:rPr>
              <w:t>142,128</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$0.137</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$0.113</w:t>
            </w:r>
          </w:p>
        </w:tc>
        <w:tc>
          <w:tcPr>
            <w:tcW w:w="1980" w:type="dxa"/>
            <w:tcBorders>
              <w:top w:val="nil"/>
              <w:left w:val="nil"/>
              <w:bottom w:val="single" w:sz="8" w:space="0" w:color="448A99"/>
              <w:right w:val="single" w:sz="8" w:space="0" w:color="448A99"/>
            </w:tcBorders>
            <w:shd w:val="clear" w:color="auto" w:fill="auto"/>
            <w:vAlign w:val="center"/>
          </w:tcPr>
          <w:p w:rsidR="002A4A24" w:rsidRPr="00C75D51" w:rsidRDefault="002A4A24" w:rsidP="002A4A24">
            <w:pPr>
              <w:jc w:val="center"/>
              <w:rPr>
                <w:sz w:val="19"/>
                <w:szCs w:val="19"/>
              </w:rPr>
            </w:pPr>
            <w:r w:rsidRPr="00C75D51">
              <w:rPr>
                <w:color w:val="FF0000"/>
                <w:sz w:val="19"/>
                <w:szCs w:val="19"/>
              </w:rPr>
              <w:t>-17.8%</w:t>
            </w:r>
          </w:p>
        </w:tc>
      </w:tr>
      <w:tr w:rsidR="002A4A24"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000000" w:fill="D2EAF1"/>
            <w:vAlign w:val="center"/>
            <w:hideMark/>
          </w:tcPr>
          <w:p w:rsidR="002A4A24" w:rsidRPr="00C75D51" w:rsidRDefault="002A4A24" w:rsidP="002A4A24">
            <w:pPr>
              <w:jc w:val="left"/>
              <w:rPr>
                <w:color w:val="000000"/>
                <w:sz w:val="19"/>
                <w:szCs w:val="19"/>
              </w:rPr>
            </w:pPr>
            <w:r w:rsidRPr="00C75D51">
              <w:rPr>
                <w:color w:val="000000"/>
                <w:sz w:val="19"/>
                <w:szCs w:val="19"/>
              </w:rPr>
              <w:t>FE:  Met-Ed</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color w:val="000000"/>
                <w:sz w:val="19"/>
                <w:szCs w:val="19"/>
              </w:rPr>
            </w:pPr>
            <w:r w:rsidRPr="00C75D51">
              <w:rPr>
                <w:color w:val="000000"/>
                <w:sz w:val="19"/>
                <w:szCs w:val="19"/>
              </w:rPr>
              <w:t>171,420</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color w:val="000000"/>
                <w:sz w:val="19"/>
                <w:szCs w:val="19"/>
              </w:rPr>
            </w:pPr>
            <w:r w:rsidRPr="00C75D51">
              <w:rPr>
                <w:color w:val="000000"/>
                <w:sz w:val="19"/>
                <w:szCs w:val="19"/>
              </w:rPr>
              <w:t>$0.149</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color w:val="000000"/>
                <w:sz w:val="19"/>
                <w:szCs w:val="19"/>
              </w:rPr>
            </w:pPr>
            <w:r w:rsidRPr="00C75D51">
              <w:rPr>
                <w:color w:val="000000"/>
                <w:sz w:val="19"/>
                <w:szCs w:val="19"/>
              </w:rPr>
              <w:t>$0.110</w:t>
            </w:r>
          </w:p>
        </w:tc>
        <w:tc>
          <w:tcPr>
            <w:tcW w:w="1980" w:type="dxa"/>
            <w:tcBorders>
              <w:top w:val="nil"/>
              <w:left w:val="nil"/>
              <w:bottom w:val="single" w:sz="8" w:space="0" w:color="448A99"/>
              <w:right w:val="single" w:sz="8" w:space="0" w:color="448A99"/>
            </w:tcBorders>
            <w:shd w:val="clear" w:color="000000" w:fill="D2EAF1"/>
            <w:vAlign w:val="center"/>
          </w:tcPr>
          <w:p w:rsidR="002A4A24" w:rsidRPr="00C75D51" w:rsidRDefault="002A4A24" w:rsidP="002A4A24">
            <w:pPr>
              <w:jc w:val="center"/>
              <w:rPr>
                <w:color w:val="FF0000"/>
                <w:sz w:val="19"/>
                <w:szCs w:val="19"/>
              </w:rPr>
            </w:pPr>
            <w:r w:rsidRPr="00C75D51">
              <w:rPr>
                <w:color w:val="FF0000"/>
                <w:sz w:val="19"/>
                <w:szCs w:val="19"/>
              </w:rPr>
              <w:t>-25.9%</w:t>
            </w:r>
          </w:p>
        </w:tc>
      </w:tr>
      <w:tr w:rsidR="002A4A24"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auto" w:fill="auto"/>
            <w:vAlign w:val="center"/>
            <w:hideMark/>
          </w:tcPr>
          <w:p w:rsidR="002A4A24" w:rsidRPr="00C75D51" w:rsidRDefault="002A4A24" w:rsidP="002A4A24">
            <w:pPr>
              <w:jc w:val="left"/>
              <w:rPr>
                <w:color w:val="000000"/>
                <w:sz w:val="19"/>
                <w:szCs w:val="19"/>
              </w:rPr>
            </w:pPr>
            <w:r w:rsidRPr="00C75D51">
              <w:rPr>
                <w:color w:val="000000"/>
                <w:sz w:val="19"/>
                <w:szCs w:val="19"/>
              </w:rPr>
              <w:t>FE:  Penelec</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164,398</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$0.147</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$0.100</w:t>
            </w:r>
          </w:p>
        </w:tc>
        <w:tc>
          <w:tcPr>
            <w:tcW w:w="1980" w:type="dxa"/>
            <w:tcBorders>
              <w:top w:val="nil"/>
              <w:left w:val="nil"/>
              <w:bottom w:val="single" w:sz="8" w:space="0" w:color="448A99"/>
              <w:right w:val="single" w:sz="8" w:space="0" w:color="448A99"/>
            </w:tcBorders>
            <w:shd w:val="clear" w:color="auto" w:fill="auto"/>
            <w:vAlign w:val="center"/>
          </w:tcPr>
          <w:p w:rsidR="002A4A24" w:rsidRPr="00C75D51" w:rsidRDefault="002A4A24" w:rsidP="002A4A24">
            <w:pPr>
              <w:jc w:val="center"/>
              <w:rPr>
                <w:color w:val="FF0000"/>
                <w:sz w:val="19"/>
                <w:szCs w:val="19"/>
              </w:rPr>
            </w:pPr>
            <w:r w:rsidRPr="00C75D51">
              <w:rPr>
                <w:color w:val="FF0000"/>
                <w:sz w:val="19"/>
                <w:szCs w:val="19"/>
              </w:rPr>
              <w:t>-31.8%</w:t>
            </w:r>
          </w:p>
        </w:tc>
      </w:tr>
      <w:tr w:rsidR="002A4A24"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000000" w:fill="D2EAF1"/>
            <w:vAlign w:val="center"/>
            <w:hideMark/>
          </w:tcPr>
          <w:p w:rsidR="002A4A24" w:rsidRPr="00C75D51" w:rsidRDefault="002A4A24" w:rsidP="002A4A24">
            <w:pPr>
              <w:jc w:val="left"/>
              <w:rPr>
                <w:color w:val="000000"/>
                <w:sz w:val="19"/>
                <w:szCs w:val="19"/>
              </w:rPr>
            </w:pPr>
            <w:r w:rsidRPr="00C75D51">
              <w:rPr>
                <w:color w:val="000000"/>
                <w:sz w:val="19"/>
                <w:szCs w:val="19"/>
              </w:rPr>
              <w:t>FE:  Penn Power</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color w:val="000000"/>
                <w:sz w:val="19"/>
                <w:szCs w:val="19"/>
              </w:rPr>
            </w:pPr>
            <w:r w:rsidRPr="00C75D51">
              <w:rPr>
                <w:color w:val="000000"/>
                <w:sz w:val="19"/>
                <w:szCs w:val="19"/>
              </w:rPr>
              <w:t>27,280</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color w:val="000000"/>
                <w:sz w:val="19"/>
                <w:szCs w:val="19"/>
              </w:rPr>
            </w:pPr>
            <w:r w:rsidRPr="00C75D51">
              <w:rPr>
                <w:color w:val="000000"/>
                <w:sz w:val="19"/>
                <w:szCs w:val="19"/>
              </w:rPr>
              <w:t>$0.250</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color w:val="000000"/>
                <w:sz w:val="19"/>
                <w:szCs w:val="19"/>
              </w:rPr>
            </w:pPr>
            <w:r w:rsidRPr="00C75D51">
              <w:rPr>
                <w:color w:val="000000"/>
                <w:sz w:val="19"/>
                <w:szCs w:val="19"/>
              </w:rPr>
              <w:t>$0.143</w:t>
            </w:r>
          </w:p>
        </w:tc>
        <w:tc>
          <w:tcPr>
            <w:tcW w:w="1980" w:type="dxa"/>
            <w:tcBorders>
              <w:top w:val="nil"/>
              <w:left w:val="nil"/>
              <w:bottom w:val="single" w:sz="8" w:space="0" w:color="448A99"/>
              <w:right w:val="single" w:sz="8" w:space="0" w:color="448A99"/>
            </w:tcBorders>
            <w:shd w:val="clear" w:color="000000" w:fill="D2EAF1"/>
            <w:vAlign w:val="center"/>
          </w:tcPr>
          <w:p w:rsidR="002A4A24" w:rsidRPr="00C75D51" w:rsidRDefault="002A4A24" w:rsidP="002A4A24">
            <w:pPr>
              <w:jc w:val="center"/>
              <w:rPr>
                <w:color w:val="FF0000"/>
                <w:sz w:val="19"/>
                <w:szCs w:val="19"/>
              </w:rPr>
            </w:pPr>
            <w:r w:rsidRPr="00C75D51">
              <w:rPr>
                <w:color w:val="FF0000"/>
                <w:sz w:val="19"/>
                <w:szCs w:val="19"/>
              </w:rPr>
              <w:t>-42.8%</w:t>
            </w:r>
          </w:p>
        </w:tc>
      </w:tr>
      <w:tr w:rsidR="002A4A24"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auto" w:fill="auto"/>
            <w:vAlign w:val="center"/>
            <w:hideMark/>
          </w:tcPr>
          <w:p w:rsidR="002A4A24" w:rsidRPr="00C75D51" w:rsidRDefault="002A4A24" w:rsidP="002A4A24">
            <w:pPr>
              <w:jc w:val="left"/>
              <w:rPr>
                <w:color w:val="000000"/>
                <w:sz w:val="19"/>
                <w:szCs w:val="19"/>
              </w:rPr>
            </w:pPr>
            <w:r w:rsidRPr="00C75D51">
              <w:rPr>
                <w:color w:val="000000"/>
                <w:sz w:val="19"/>
                <w:szCs w:val="19"/>
              </w:rPr>
              <w:t>FE:  West Penn</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158,760</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$0.152</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$0.107</w:t>
            </w:r>
          </w:p>
        </w:tc>
        <w:tc>
          <w:tcPr>
            <w:tcW w:w="1980" w:type="dxa"/>
            <w:tcBorders>
              <w:top w:val="nil"/>
              <w:left w:val="nil"/>
              <w:bottom w:val="single" w:sz="8" w:space="0" w:color="448A99"/>
              <w:right w:val="single" w:sz="8" w:space="0" w:color="448A99"/>
            </w:tcBorders>
            <w:shd w:val="clear" w:color="auto" w:fill="auto"/>
            <w:vAlign w:val="center"/>
          </w:tcPr>
          <w:p w:rsidR="002A4A24" w:rsidRPr="00C75D51" w:rsidRDefault="002A4A24" w:rsidP="002A4A24">
            <w:pPr>
              <w:jc w:val="center"/>
              <w:rPr>
                <w:color w:val="FF0000"/>
                <w:sz w:val="19"/>
                <w:szCs w:val="19"/>
              </w:rPr>
            </w:pPr>
            <w:r w:rsidRPr="00C75D51">
              <w:rPr>
                <w:color w:val="FF0000"/>
                <w:sz w:val="19"/>
                <w:szCs w:val="19"/>
              </w:rPr>
              <w:t>-29.5%</w:t>
            </w:r>
          </w:p>
        </w:tc>
      </w:tr>
      <w:tr w:rsidR="002A4A24"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000000" w:fill="D2EAF1"/>
            <w:vAlign w:val="center"/>
            <w:hideMark/>
          </w:tcPr>
          <w:p w:rsidR="002A4A24" w:rsidRPr="00C75D51" w:rsidRDefault="002A4A24" w:rsidP="002A4A24">
            <w:pPr>
              <w:jc w:val="left"/>
              <w:rPr>
                <w:color w:val="000000"/>
                <w:sz w:val="19"/>
                <w:szCs w:val="19"/>
              </w:rPr>
            </w:pPr>
            <w:r w:rsidRPr="00C75D51">
              <w:rPr>
                <w:color w:val="000000"/>
                <w:sz w:val="19"/>
                <w:szCs w:val="19"/>
              </w:rPr>
              <w:t>PECO</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color w:val="000000"/>
                <w:sz w:val="19"/>
                <w:szCs w:val="19"/>
              </w:rPr>
            </w:pPr>
            <w:r w:rsidRPr="00C75D51">
              <w:rPr>
                <w:color w:val="000000"/>
                <w:sz w:val="19"/>
                <w:szCs w:val="19"/>
              </w:rPr>
              <w:t>528,301</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color w:val="000000"/>
                <w:sz w:val="19"/>
                <w:szCs w:val="19"/>
              </w:rPr>
            </w:pPr>
            <w:r w:rsidRPr="00C75D51">
              <w:rPr>
                <w:color w:val="000000"/>
                <w:sz w:val="19"/>
                <w:szCs w:val="19"/>
              </w:rPr>
              <w:t>$0.172</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color w:val="000000"/>
                <w:sz w:val="19"/>
                <w:szCs w:val="19"/>
              </w:rPr>
            </w:pPr>
            <w:r w:rsidRPr="00C75D51">
              <w:rPr>
                <w:color w:val="000000"/>
                <w:sz w:val="19"/>
                <w:szCs w:val="19"/>
              </w:rPr>
              <w:t>$0.173</w:t>
            </w:r>
          </w:p>
        </w:tc>
        <w:tc>
          <w:tcPr>
            <w:tcW w:w="1980" w:type="dxa"/>
            <w:tcBorders>
              <w:top w:val="nil"/>
              <w:left w:val="nil"/>
              <w:bottom w:val="single" w:sz="8" w:space="0" w:color="448A99"/>
              <w:right w:val="single" w:sz="8" w:space="0" w:color="448A99"/>
            </w:tcBorders>
            <w:shd w:val="clear" w:color="000000" w:fill="D2EAF1"/>
            <w:vAlign w:val="center"/>
          </w:tcPr>
          <w:p w:rsidR="002A4A24" w:rsidRPr="00C75D51" w:rsidRDefault="002A4A24" w:rsidP="002A4A24">
            <w:pPr>
              <w:jc w:val="center"/>
              <w:rPr>
                <w:color w:val="FF0000"/>
                <w:sz w:val="19"/>
                <w:szCs w:val="19"/>
              </w:rPr>
            </w:pPr>
            <w:r w:rsidRPr="00C75D51">
              <w:rPr>
                <w:sz w:val="19"/>
                <w:szCs w:val="19"/>
              </w:rPr>
              <w:t xml:space="preserve">0.1% </w:t>
            </w:r>
          </w:p>
        </w:tc>
      </w:tr>
      <w:tr w:rsidR="002A4A24"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auto" w:fill="auto"/>
            <w:vAlign w:val="center"/>
            <w:hideMark/>
          </w:tcPr>
          <w:p w:rsidR="002A4A24" w:rsidRPr="00C75D51" w:rsidRDefault="002A4A24" w:rsidP="002A4A24">
            <w:pPr>
              <w:jc w:val="left"/>
              <w:rPr>
                <w:color w:val="000000"/>
                <w:sz w:val="19"/>
                <w:szCs w:val="19"/>
              </w:rPr>
            </w:pPr>
            <w:r w:rsidRPr="00C75D51">
              <w:rPr>
                <w:color w:val="000000"/>
                <w:sz w:val="19"/>
                <w:szCs w:val="19"/>
              </w:rPr>
              <w:t>PPL</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313,976</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$0.241</w:t>
            </w:r>
          </w:p>
        </w:tc>
        <w:tc>
          <w:tcPr>
            <w:tcW w:w="1980" w:type="dxa"/>
            <w:tcBorders>
              <w:top w:val="nil"/>
              <w:left w:val="nil"/>
              <w:bottom w:val="single" w:sz="8" w:space="0" w:color="448A99"/>
              <w:right w:val="single" w:sz="8" w:space="0" w:color="448A99"/>
            </w:tcBorders>
            <w:shd w:val="clear" w:color="auto" w:fill="auto"/>
            <w:vAlign w:val="center"/>
            <w:hideMark/>
          </w:tcPr>
          <w:p w:rsidR="002A4A24" w:rsidRPr="00C75D51" w:rsidRDefault="002A4A24" w:rsidP="002A4A24">
            <w:pPr>
              <w:jc w:val="center"/>
              <w:rPr>
                <w:color w:val="000000"/>
                <w:sz w:val="19"/>
                <w:szCs w:val="19"/>
              </w:rPr>
            </w:pPr>
            <w:r w:rsidRPr="00C75D51">
              <w:rPr>
                <w:color w:val="000000"/>
                <w:sz w:val="19"/>
                <w:szCs w:val="19"/>
              </w:rPr>
              <w:t>$0.206</w:t>
            </w:r>
          </w:p>
        </w:tc>
        <w:tc>
          <w:tcPr>
            <w:tcW w:w="1980" w:type="dxa"/>
            <w:tcBorders>
              <w:top w:val="nil"/>
              <w:left w:val="nil"/>
              <w:bottom w:val="single" w:sz="8" w:space="0" w:color="448A99"/>
              <w:right w:val="single" w:sz="8" w:space="0" w:color="448A99"/>
            </w:tcBorders>
            <w:shd w:val="clear" w:color="auto" w:fill="auto"/>
            <w:vAlign w:val="center"/>
          </w:tcPr>
          <w:p w:rsidR="002A4A24" w:rsidRPr="00C75D51" w:rsidRDefault="002A4A24" w:rsidP="002A4A24">
            <w:pPr>
              <w:jc w:val="center"/>
              <w:rPr>
                <w:sz w:val="19"/>
                <w:szCs w:val="19"/>
              </w:rPr>
            </w:pPr>
            <w:r w:rsidRPr="00C75D51">
              <w:rPr>
                <w:color w:val="FF0000"/>
                <w:sz w:val="19"/>
                <w:szCs w:val="19"/>
              </w:rPr>
              <w:t>-14.6%</w:t>
            </w:r>
          </w:p>
        </w:tc>
      </w:tr>
      <w:tr w:rsidR="002A4A24" w:rsidRPr="00C75D51" w:rsidTr="00C75D51">
        <w:trPr>
          <w:trHeight w:val="315"/>
        </w:trPr>
        <w:tc>
          <w:tcPr>
            <w:tcW w:w="1530" w:type="dxa"/>
            <w:tcBorders>
              <w:top w:val="nil"/>
              <w:left w:val="single" w:sz="8" w:space="0" w:color="448A99"/>
              <w:bottom w:val="single" w:sz="8" w:space="0" w:color="448A99"/>
              <w:right w:val="single" w:sz="8" w:space="0" w:color="448A99"/>
            </w:tcBorders>
            <w:shd w:val="clear" w:color="000000" w:fill="D2EAF1"/>
            <w:vAlign w:val="center"/>
            <w:hideMark/>
          </w:tcPr>
          <w:p w:rsidR="002A4A24" w:rsidRPr="00C75D51" w:rsidRDefault="002A4A24" w:rsidP="002A4A24">
            <w:pPr>
              <w:jc w:val="left"/>
              <w:rPr>
                <w:b/>
                <w:bCs/>
                <w:color w:val="000000"/>
                <w:sz w:val="19"/>
                <w:szCs w:val="19"/>
              </w:rPr>
            </w:pPr>
            <w:r w:rsidRPr="00C75D51">
              <w:rPr>
                <w:b/>
                <w:bCs/>
                <w:color w:val="000000"/>
                <w:sz w:val="19"/>
                <w:szCs w:val="19"/>
              </w:rPr>
              <w:t>Total</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B94863" w:rsidP="002A4A24">
            <w:pPr>
              <w:jc w:val="center"/>
              <w:rPr>
                <w:b/>
                <w:bCs/>
                <w:color w:val="000000"/>
                <w:sz w:val="19"/>
                <w:szCs w:val="19"/>
              </w:rPr>
            </w:pPr>
            <w:r w:rsidRPr="00C75D51">
              <w:rPr>
                <w:b/>
                <w:bCs/>
                <w:color w:val="000000"/>
                <w:sz w:val="19"/>
                <w:szCs w:val="19"/>
              </w:rPr>
              <w:t>1,506,263</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b/>
                <w:bCs/>
                <w:color w:val="000000"/>
                <w:sz w:val="19"/>
                <w:szCs w:val="19"/>
              </w:rPr>
            </w:pPr>
            <w:r w:rsidRPr="00C75D51">
              <w:rPr>
                <w:b/>
                <w:bCs/>
                <w:color w:val="000000"/>
                <w:sz w:val="19"/>
                <w:szCs w:val="19"/>
              </w:rPr>
              <w:t>$0.177</w:t>
            </w:r>
          </w:p>
        </w:tc>
        <w:tc>
          <w:tcPr>
            <w:tcW w:w="1980" w:type="dxa"/>
            <w:tcBorders>
              <w:top w:val="nil"/>
              <w:left w:val="nil"/>
              <w:bottom w:val="single" w:sz="8" w:space="0" w:color="448A99"/>
              <w:right w:val="single" w:sz="8" w:space="0" w:color="448A99"/>
            </w:tcBorders>
            <w:shd w:val="clear" w:color="000000" w:fill="D2EAF1"/>
            <w:vAlign w:val="center"/>
            <w:hideMark/>
          </w:tcPr>
          <w:p w:rsidR="002A4A24" w:rsidRPr="00C75D51" w:rsidRDefault="002A4A24" w:rsidP="002A4A24">
            <w:pPr>
              <w:jc w:val="center"/>
              <w:rPr>
                <w:b/>
                <w:bCs/>
                <w:color w:val="000000"/>
                <w:sz w:val="19"/>
                <w:szCs w:val="19"/>
              </w:rPr>
            </w:pPr>
            <w:r w:rsidRPr="00C75D51">
              <w:rPr>
                <w:b/>
                <w:bCs/>
                <w:color w:val="000000"/>
                <w:sz w:val="19"/>
                <w:szCs w:val="19"/>
              </w:rPr>
              <w:t>$0.151</w:t>
            </w:r>
          </w:p>
        </w:tc>
        <w:tc>
          <w:tcPr>
            <w:tcW w:w="1980" w:type="dxa"/>
            <w:tcBorders>
              <w:top w:val="nil"/>
              <w:left w:val="nil"/>
              <w:bottom w:val="single" w:sz="8" w:space="0" w:color="448A99"/>
              <w:right w:val="single" w:sz="8" w:space="0" w:color="448A99"/>
            </w:tcBorders>
            <w:shd w:val="clear" w:color="000000" w:fill="D2EAF1"/>
            <w:vAlign w:val="center"/>
          </w:tcPr>
          <w:p w:rsidR="002A4A24" w:rsidRPr="00C75D51" w:rsidRDefault="002A4A24" w:rsidP="002A4A24">
            <w:pPr>
              <w:jc w:val="center"/>
              <w:rPr>
                <w:b/>
                <w:bCs/>
                <w:color w:val="FF0000"/>
                <w:sz w:val="19"/>
                <w:szCs w:val="19"/>
              </w:rPr>
            </w:pPr>
            <w:r w:rsidRPr="00C75D51">
              <w:rPr>
                <w:b/>
                <w:bCs/>
                <w:color w:val="FF0000"/>
                <w:sz w:val="19"/>
                <w:szCs w:val="19"/>
              </w:rPr>
              <w:t>-14.</w:t>
            </w:r>
            <w:r w:rsidR="00483132">
              <w:rPr>
                <w:b/>
                <w:bCs/>
                <w:color w:val="FF0000"/>
                <w:sz w:val="19"/>
                <w:szCs w:val="19"/>
              </w:rPr>
              <w:t>7</w:t>
            </w:r>
            <w:r w:rsidRPr="00C75D51">
              <w:rPr>
                <w:b/>
                <w:bCs/>
                <w:color w:val="FF0000"/>
                <w:sz w:val="19"/>
                <w:szCs w:val="19"/>
              </w:rPr>
              <w:t>%</w:t>
            </w:r>
          </w:p>
        </w:tc>
      </w:tr>
    </w:tbl>
    <w:p w:rsidR="00EE60CD" w:rsidRDefault="00EE60CD" w:rsidP="00AC2B6F"/>
    <w:p w:rsidR="00EE60CD" w:rsidRDefault="00EE60CD" w:rsidP="00AC2B6F">
      <w:r>
        <w:t xml:space="preserve">Overall, the seven EDCs saved </w:t>
      </w:r>
      <w:r w:rsidR="00B94863">
        <w:t>1,506</w:t>
      </w:r>
      <w:r w:rsidR="00946CD6">
        <w:t>,</w:t>
      </w:r>
      <w:r w:rsidR="00B94863">
        <w:t>263</w:t>
      </w:r>
      <w:r w:rsidR="005E0D89">
        <w:t xml:space="preserve"> MWh/yr during PY7</w:t>
      </w:r>
      <w:r>
        <w:t xml:space="preserve"> and spent a total of $</w:t>
      </w:r>
      <w:r w:rsidR="005E0D89">
        <w:t>22</w:t>
      </w:r>
      <w:r w:rsidR="00485628">
        <w:t>8</w:t>
      </w:r>
      <w:r w:rsidR="005E0D89">
        <w:t>,</w:t>
      </w:r>
      <w:r w:rsidR="00485628">
        <w:t>182</w:t>
      </w:r>
      <w:r w:rsidR="005E0D89">
        <w:t>,</w:t>
      </w:r>
      <w:r w:rsidR="00485628">
        <w:t>776</w:t>
      </w:r>
      <w:r>
        <w:t>. This yield</w:t>
      </w:r>
      <w:r w:rsidR="00A26DC5">
        <w:t>s an acquisition cost per first-</w:t>
      </w:r>
      <w:r>
        <w:t>year kWh saved of $0.1</w:t>
      </w:r>
      <w:r w:rsidR="00485628">
        <w:t>51</w:t>
      </w:r>
      <w:r>
        <w:t xml:space="preserve"> per kWh, </w:t>
      </w:r>
      <w:r w:rsidR="00A26DC5">
        <w:t xml:space="preserve">which is </w:t>
      </w:r>
      <w:r w:rsidR="00485628">
        <w:t>1</w:t>
      </w:r>
      <w:r w:rsidR="00483132">
        <w:t>4</w:t>
      </w:r>
      <w:r w:rsidR="00485628">
        <w:t>.7</w:t>
      </w:r>
      <w:r>
        <w:t xml:space="preserve">% less than the </w:t>
      </w:r>
      <w:r w:rsidR="00485628">
        <w:t>planned</w:t>
      </w:r>
      <w:r>
        <w:t xml:space="preserve"> acquisition cost for PY</w:t>
      </w:r>
      <w:r w:rsidR="005E0D89">
        <w:t>7</w:t>
      </w:r>
      <w:r>
        <w:t xml:space="preserve"> of $0.</w:t>
      </w:r>
      <w:r w:rsidR="005E0D89">
        <w:t>1</w:t>
      </w:r>
      <w:r w:rsidR="00485628">
        <w:t>77</w:t>
      </w:r>
      <w:r>
        <w:t xml:space="preserve"> per first</w:t>
      </w:r>
      <w:r w:rsidR="00A26DC5">
        <w:t>-</w:t>
      </w:r>
      <w:r>
        <w:t>year kWh saved.</w:t>
      </w:r>
    </w:p>
    <w:p w:rsidR="00186590" w:rsidRDefault="00186590" w:rsidP="00AC2B6F"/>
    <w:p w:rsidR="00F00D40" w:rsidRPr="004F1B4F" w:rsidRDefault="00F00D40" w:rsidP="00E673F0">
      <w:pPr>
        <w:pStyle w:val="Heading3"/>
        <w:rPr>
          <w:rStyle w:val="Heading3Char"/>
          <w:b/>
        </w:rPr>
      </w:pPr>
      <w:bookmarkStart w:id="110" w:name="_Toc472472093"/>
      <w:bookmarkStart w:id="111" w:name="_Toc488765786"/>
      <w:r w:rsidRPr="004F1B4F">
        <w:rPr>
          <w:rStyle w:val="Heading3Char"/>
          <w:b/>
        </w:rPr>
        <w:t xml:space="preserve">Comparison of </w:t>
      </w:r>
      <w:r w:rsidR="004F1B4F" w:rsidRPr="004F1B4F">
        <w:rPr>
          <w:rStyle w:val="Heading3Char"/>
          <w:b/>
        </w:rPr>
        <w:t>PY7 Per-Participant Costs and Savings for EDC Low-Income Programs</w:t>
      </w:r>
      <w:bookmarkEnd w:id="110"/>
      <w:bookmarkEnd w:id="111"/>
    </w:p>
    <w:p w:rsidR="004F1B4F" w:rsidRDefault="004F1B4F" w:rsidP="004F1B4F">
      <w:r>
        <w:t>This section provides an overview of the methods used by the Phase II SWE Team to audit the reported kWh</w:t>
      </w:r>
      <w:r w:rsidR="00487D6E">
        <w:t>/yr</w:t>
      </w:r>
      <w:r>
        <w:t xml:space="preserve"> and kW savings of the EDCs’ PY7 residential low-income programs. It also provides a comparison across EDCs of the PY7 costs and electricity savings for these programs. While the seven Pennsylvania EDCs subject to Act 129 did not have identical low-income program offerings in PY7, it is useful to compare costs and savings across the seven EDCs, in order to understand trends as well as differences among the programs.</w:t>
      </w:r>
      <w:r w:rsidR="00B060D3">
        <w:rPr>
          <w:rStyle w:val="FootnoteReference"/>
        </w:rPr>
        <w:footnoteReference w:id="18"/>
      </w:r>
      <w:r w:rsidR="00882BC4">
        <w:t xml:space="preserve"> </w:t>
      </w:r>
    </w:p>
    <w:p w:rsidR="004F1B4F" w:rsidRDefault="004F1B4F" w:rsidP="004F1B4F"/>
    <w:p w:rsidR="004F1B4F" w:rsidRDefault="004F1B4F" w:rsidP="004F1B4F">
      <w:pPr>
        <w:spacing w:after="120"/>
      </w:pPr>
      <w:r w:rsidRPr="00841438">
        <w:lastRenderedPageBreak/>
        <w:t xml:space="preserve">The SWE Team </w:t>
      </w:r>
      <w:r>
        <w:t>used various approaches to audit</w:t>
      </w:r>
      <w:r w:rsidRPr="00841438">
        <w:t xml:space="preserve"> the methods </w:t>
      </w:r>
      <w:r>
        <w:t>used by EDC evaluation contractor</w:t>
      </w:r>
      <w:r w:rsidRPr="00841438">
        <w:t xml:space="preserve">s </w:t>
      </w:r>
      <w:r>
        <w:t>to determine low-income program kWh and kW savings for PY7. The SWE Team’s audit approaches included the following:</w:t>
      </w:r>
    </w:p>
    <w:p w:rsidR="004F1B4F" w:rsidRDefault="004F1B4F" w:rsidP="00D405A7">
      <w:pPr>
        <w:pStyle w:val="ListParagraph"/>
        <w:numPr>
          <w:ilvl w:val="0"/>
          <w:numId w:val="27"/>
        </w:numPr>
        <w:ind w:left="360"/>
      </w:pPr>
      <w:r>
        <w:t>Reviewing savings calculations to ensure that the Pennsylvania 2015 TRM algorithms were applied correctly by each EDC</w:t>
      </w:r>
    </w:p>
    <w:p w:rsidR="004F1B4F" w:rsidRDefault="004F1B4F" w:rsidP="00D405A7">
      <w:pPr>
        <w:pStyle w:val="ListParagraph"/>
        <w:numPr>
          <w:ilvl w:val="0"/>
          <w:numId w:val="27"/>
        </w:numPr>
        <w:ind w:left="360"/>
      </w:pPr>
      <w:r>
        <w:t>Reviewing statistical billing analyses, where undertaken, to ensure that multivariate analyses had acceptable goodness-of-fit statistics and were conducted according to the applicable U.S.</w:t>
      </w:r>
      <w:r w:rsidR="00656253">
        <w:t xml:space="preserve"> Department of Energy</w:t>
      </w:r>
      <w:r>
        <w:t xml:space="preserve"> </w:t>
      </w:r>
      <w:r w:rsidR="00656253">
        <w:t>(</w:t>
      </w:r>
      <w:r>
        <w:t>DOE</w:t>
      </w:r>
      <w:r w:rsidR="00656253">
        <w:t>) Uniform Methods Project</w:t>
      </w:r>
      <w:r>
        <w:t xml:space="preserve"> </w:t>
      </w:r>
      <w:r w:rsidR="00656253">
        <w:t>(</w:t>
      </w:r>
      <w:r>
        <w:t>UMP</w:t>
      </w:r>
      <w:r w:rsidR="00656253">
        <w:t>)</w:t>
      </w:r>
      <w:r>
        <w:t xml:space="preserve"> protocol</w:t>
      </w:r>
    </w:p>
    <w:p w:rsidR="004F1B4F" w:rsidRDefault="004F1B4F" w:rsidP="00D405A7">
      <w:pPr>
        <w:pStyle w:val="ListParagraph"/>
        <w:numPr>
          <w:ilvl w:val="0"/>
          <w:numId w:val="27"/>
        </w:numPr>
        <w:ind w:left="360"/>
      </w:pPr>
      <w:r>
        <w:t>C</w:t>
      </w:r>
      <w:r w:rsidRPr="00841438">
        <w:t>onfirm</w:t>
      </w:r>
      <w:r>
        <w:t>ing</w:t>
      </w:r>
      <w:r w:rsidRPr="00841438">
        <w:t xml:space="preserve"> that all verified per-measure </w:t>
      </w:r>
      <w:r>
        <w:t>annual kWh</w:t>
      </w:r>
      <w:r w:rsidR="009D429C">
        <w:t>/yr</w:t>
      </w:r>
      <w:r>
        <w:t xml:space="preserve"> and kW </w:t>
      </w:r>
      <w:r w:rsidRPr="00841438">
        <w:t>savings</w:t>
      </w:r>
      <w:r>
        <w:t xml:space="preserve"> and</w:t>
      </w:r>
      <w:r w:rsidRPr="00841438">
        <w:t xml:space="preserve"> participant counts</w:t>
      </w:r>
      <w:r>
        <w:t xml:space="preserve"> were consistent with the 2015</w:t>
      </w:r>
      <w:r w:rsidRPr="00841438">
        <w:t xml:space="preserve"> TRM</w:t>
      </w:r>
    </w:p>
    <w:p w:rsidR="004F1B4F" w:rsidRDefault="004F1B4F" w:rsidP="00D405A7">
      <w:pPr>
        <w:pStyle w:val="ListParagraph"/>
        <w:numPr>
          <w:ilvl w:val="0"/>
          <w:numId w:val="27"/>
        </w:numPr>
        <w:ind w:left="360"/>
      </w:pPr>
      <w:r>
        <w:t>Confirming all calculations of total low-income-program kWh</w:t>
      </w:r>
      <w:r w:rsidR="009D429C">
        <w:t>/yr</w:t>
      </w:r>
      <w:r>
        <w:t xml:space="preserve"> and kW savings for programs that relied on 2015 TRM data for calculating and reporting savings</w:t>
      </w:r>
    </w:p>
    <w:p w:rsidR="004F1B4F" w:rsidRDefault="004F1B4F" w:rsidP="00D405A7">
      <w:pPr>
        <w:pStyle w:val="ListParagraph"/>
        <w:numPr>
          <w:ilvl w:val="0"/>
          <w:numId w:val="27"/>
        </w:numPr>
        <w:ind w:left="360"/>
      </w:pPr>
      <w:r>
        <w:t xml:space="preserve">Confirming the correct use of </w:t>
      </w:r>
      <w:r w:rsidR="00656253">
        <w:t>ISRs</w:t>
      </w:r>
      <w:r>
        <w:t xml:space="preserve"> from the 2015 TRM </w:t>
      </w:r>
    </w:p>
    <w:p w:rsidR="004F1B4F" w:rsidRDefault="004F1B4F" w:rsidP="004F1B4F"/>
    <w:p w:rsidR="004F1B4F" w:rsidRDefault="004F1B4F" w:rsidP="004F1B4F">
      <w:r>
        <w:t>In addition, if EDCs reported “off-TRM” savings, the Phase II SWE Team audited those alternative savings calculations as well.</w:t>
      </w:r>
    </w:p>
    <w:p w:rsidR="004F1B4F" w:rsidRDefault="004F1B4F" w:rsidP="004F1B4F"/>
    <w:p w:rsidR="004F1B4F" w:rsidRDefault="004F1B4F" w:rsidP="004F1B4F">
      <w:r>
        <w:t>For each EDC low-income program,</w:t>
      </w:r>
      <w:r w:rsidRPr="00E84FE1">
        <w:t xml:space="preserve"> the SWE Team verified the</w:t>
      </w:r>
      <w:r>
        <w:t xml:space="preserve"> kWh and kW savings for all measure types, at the measure level, by comparing EDC supporting calculations to kWh and kW savings for low-income measures listed in the 2015 TRM. For each measure type, the SWE Team verified 10 individual projects. Where EDCs performed statistical billing analyses, t</w:t>
      </w:r>
      <w:r w:rsidRPr="00CB36C3">
        <w:t xml:space="preserve">he SWE Team reviewed the </w:t>
      </w:r>
      <w:r>
        <w:t xml:space="preserve">statistical </w:t>
      </w:r>
      <w:r w:rsidRPr="00CB36C3">
        <w:t xml:space="preserve">billing analysis </w:t>
      </w:r>
      <w:r>
        <w:t>regression goodness-of-fit statistics,</w:t>
      </w:r>
      <w:r w:rsidRPr="00CB36C3">
        <w:t xml:space="preserve"> equations, </w:t>
      </w:r>
      <w:r>
        <w:t xml:space="preserve">and regression output to </w:t>
      </w:r>
      <w:r w:rsidRPr="00CB36C3">
        <w:t xml:space="preserve">confirm that the </w:t>
      </w:r>
      <w:r>
        <w:t xml:space="preserve">statistical </w:t>
      </w:r>
      <w:r w:rsidRPr="00CB36C3">
        <w:t xml:space="preserve">approach </w:t>
      </w:r>
      <w:r>
        <w:t>was</w:t>
      </w:r>
      <w:r w:rsidRPr="00CB36C3">
        <w:t xml:space="preserve"> sound</w:t>
      </w:r>
      <w:r>
        <w:t xml:space="preserve"> and the billing analysis followed the U.S. DOE UMP protocol for such statistical analyses</w:t>
      </w:r>
      <w:r w:rsidRPr="00CB36C3">
        <w:t>.</w:t>
      </w:r>
      <w:r>
        <w:t xml:space="preserve"> When individual energy efficiency measures (e.g., CFLs, faucet aerators, low-flow showerheads) were bundled into a single offering and the EDC used a deemed savings approach to calculate savings, the SWE Team verified the savings for each individual energy efficiency measure by comparing the EDC’s supporting calculations and data to the per-measure data in the 2015 TRM.</w:t>
      </w:r>
    </w:p>
    <w:p w:rsidR="004F1B4F" w:rsidRDefault="004F1B4F" w:rsidP="004F1B4F"/>
    <w:p w:rsidR="004F1B4F" w:rsidRDefault="004F1B4F" w:rsidP="004F1B4F">
      <w:r>
        <w:t>Based on the audit work completed, the SWE Team concludes that each EDC’s evaluation contractor followed the appropriate protocols to calculate kWh</w:t>
      </w:r>
      <w:r w:rsidR="00487D6E">
        <w:t>/yr</w:t>
      </w:r>
      <w:r>
        <w:t xml:space="preserve"> and kW savings for each residential low-income program. Overall the EDCs’ evaluation contractors followed the approved </w:t>
      </w:r>
      <w:r w:rsidR="00656253">
        <w:t>e</w:t>
      </w:r>
      <w:r>
        <w:t xml:space="preserve">valuation </w:t>
      </w:r>
      <w:r w:rsidR="00656253">
        <w:t>f</w:t>
      </w:r>
      <w:r>
        <w:t xml:space="preserve">ramework to calculate and report electricity savings for PY7 residential low-income programs. The SWE Team also notes that the EDC </w:t>
      </w:r>
      <w:r>
        <w:rPr>
          <w:color w:val="000000"/>
        </w:rPr>
        <w:t>evaluation contractors</w:t>
      </w:r>
      <w:r w:rsidRPr="00D85274">
        <w:rPr>
          <w:color w:val="000000"/>
        </w:rPr>
        <w:t xml:space="preserve"> </w:t>
      </w:r>
      <w:r>
        <w:t xml:space="preserve">used the Pennsylvania 2015 TRM to verify savings for projects that were undertaken in PY7, and correctly used the 2014 TRM for those few projects started at the end of PY6 that spilled into PY7.    </w:t>
      </w:r>
    </w:p>
    <w:p w:rsidR="004F1B4F" w:rsidRDefault="004F1B4F" w:rsidP="004F1B4F"/>
    <w:p w:rsidR="004F1B4F" w:rsidRDefault="004F1B4F" w:rsidP="004F1B4F">
      <w:r>
        <w:t>The SWE Team concludes that</w:t>
      </w:r>
      <w:r w:rsidRPr="00E84FE1">
        <w:t xml:space="preserve"> no adjustments or changes </w:t>
      </w:r>
      <w:r>
        <w:t>need to</w:t>
      </w:r>
      <w:r w:rsidRPr="00E84FE1">
        <w:t xml:space="preserve"> be made to the verified gross savings estimates reported by the evaluation contractor</w:t>
      </w:r>
      <w:r>
        <w:t>s regarding PY7 EDC-reported savings for residential low-income programs</w:t>
      </w:r>
      <w:r w:rsidRPr="00E84FE1">
        <w:t>.</w:t>
      </w:r>
    </w:p>
    <w:p w:rsidR="004F1B4F" w:rsidRDefault="004F1B4F" w:rsidP="004F1B4F"/>
    <w:p w:rsidR="004F1B4F" w:rsidRDefault="00273805" w:rsidP="004F1B4F">
      <w:r>
        <w:rPr>
          <w:highlight w:val="yellow"/>
        </w:rPr>
        <w:fldChar w:fldCharType="begin"/>
      </w:r>
      <w:r>
        <w:instrText xml:space="preserve"> REF _Ref472410132 \h </w:instrText>
      </w:r>
      <w:r>
        <w:rPr>
          <w:highlight w:val="yellow"/>
        </w:rPr>
      </w:r>
      <w:r>
        <w:rPr>
          <w:highlight w:val="yellow"/>
        </w:rPr>
        <w:fldChar w:fldCharType="separate"/>
      </w:r>
      <w:r w:rsidR="00037CB4" w:rsidRPr="003900A2">
        <w:t xml:space="preserve">Figure </w:t>
      </w:r>
      <w:r w:rsidR="00037CB4">
        <w:rPr>
          <w:noProof/>
        </w:rPr>
        <w:t>2</w:t>
      </w:r>
      <w:r w:rsidR="00037CB4">
        <w:noBreakHyphen/>
      </w:r>
      <w:r w:rsidR="00037CB4">
        <w:rPr>
          <w:noProof/>
        </w:rPr>
        <w:t>2</w:t>
      </w:r>
      <w:r>
        <w:rPr>
          <w:highlight w:val="yellow"/>
        </w:rPr>
        <w:fldChar w:fldCharType="end"/>
      </w:r>
      <w:r w:rsidR="004F1B4F">
        <w:t xml:space="preserve"> illustrates the PY7 average cost per low-income program participant served for each EDC’s low-income program. Each EDC offers different bundles of energy efficiency measures in its programs and has varying numbers of eligible low-income participants. For example, in PY7 PECO provided services to 222,711 participants </w:t>
      </w:r>
      <w:r w:rsidR="004F1B4F" w:rsidRPr="00B75B77">
        <w:t>th</w:t>
      </w:r>
      <w:r w:rsidR="004F1B4F">
        <w:t>rough four distinct low-income components, one of which consists primarily of CFL savings, which contributed 76% of the program</w:t>
      </w:r>
      <w:r w:rsidR="00656253">
        <w:t>’</w:t>
      </w:r>
      <w:r w:rsidR="004F1B4F">
        <w:t>s total savings. By comparison, Penn Power provided services in PY7 to only 981 participants through a direct-install program that realizes savings primarily from</w:t>
      </w:r>
      <w:r w:rsidR="00F95DF6">
        <w:t xml:space="preserve"> high efficiency</w:t>
      </w:r>
      <w:r w:rsidR="008E07C3">
        <w:t xml:space="preserve"> refrigerators,</w:t>
      </w:r>
      <w:r w:rsidR="004F1B4F">
        <w:t xml:space="preserve"> CFLs</w:t>
      </w:r>
      <w:r w:rsidR="008E07C3">
        <w:t xml:space="preserve"> and freezers</w:t>
      </w:r>
      <w:r w:rsidR="004F1B4F">
        <w:t>.</w:t>
      </w:r>
    </w:p>
    <w:p w:rsidR="004F1B4F" w:rsidRPr="003900A2" w:rsidRDefault="00273805" w:rsidP="004837FA">
      <w:pPr>
        <w:pStyle w:val="Caption"/>
      </w:pPr>
      <w:bookmarkStart w:id="112" w:name="_Ref472410132"/>
      <w:bookmarkStart w:id="113" w:name="_Toc472472210"/>
      <w:bookmarkStart w:id="114" w:name="_Toc488741788"/>
      <w:r w:rsidRPr="003900A2">
        <w:lastRenderedPageBreak/>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2</w:t>
      </w:r>
      <w:r w:rsidR="007973A4">
        <w:rPr>
          <w:noProof/>
        </w:rPr>
        <w:fldChar w:fldCharType="end"/>
      </w:r>
      <w:bookmarkEnd w:id="112"/>
      <w:r w:rsidR="004F1B4F" w:rsidRPr="003900A2">
        <w:t>: PY7 Residential Low-Income Program – Average Utility Cost per Participant Served</w:t>
      </w:r>
      <w:bookmarkEnd w:id="113"/>
      <w:r w:rsidR="00A174C1">
        <w:rPr>
          <w:rStyle w:val="FootnoteReference"/>
        </w:rPr>
        <w:footnoteReference w:id="19"/>
      </w:r>
      <w:bookmarkEnd w:id="114"/>
    </w:p>
    <w:p w:rsidR="004F1B4F" w:rsidRDefault="00C60D2D" w:rsidP="004F1B4F">
      <w:pPr>
        <w:spacing w:after="120"/>
        <w:jc w:val="center"/>
      </w:pPr>
      <w:r>
        <w:rPr>
          <w:noProof/>
        </w:rPr>
        <w:drawing>
          <wp:inline distT="0" distB="0" distL="0" distR="0" wp14:anchorId="684536F4" wp14:editId="425A26AD">
            <wp:extent cx="5697965" cy="2886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1852" cy="2888044"/>
                    </a:xfrm>
                    <a:prstGeom prst="rect">
                      <a:avLst/>
                    </a:prstGeom>
                    <a:noFill/>
                  </pic:spPr>
                </pic:pic>
              </a:graphicData>
            </a:graphic>
          </wp:inline>
        </w:drawing>
      </w:r>
      <w:r w:rsidR="004F1B4F">
        <w:rPr>
          <w:noProof/>
        </w:rPr>
        <w:t xml:space="preserve"> </w:t>
      </w:r>
    </w:p>
    <w:p w:rsidR="00E6042C" w:rsidRDefault="00E6042C" w:rsidP="00E6042C">
      <w:r>
        <w:rPr>
          <w:highlight w:val="yellow"/>
        </w:rPr>
        <w:fldChar w:fldCharType="begin"/>
      </w:r>
      <w:r>
        <w:instrText xml:space="preserve"> REF _Ref476057359 \h </w:instrText>
      </w:r>
      <w:r w:rsidR="00265558">
        <w:rPr>
          <w:highlight w:val="yellow"/>
        </w:rPr>
        <w:instrText xml:space="preserve"> \* MERGEFORMAT </w:instrText>
      </w:r>
      <w:r>
        <w:rPr>
          <w:highlight w:val="yellow"/>
        </w:rPr>
      </w:r>
      <w:r>
        <w:rPr>
          <w:highlight w:val="yellow"/>
        </w:rPr>
        <w:fldChar w:fldCharType="separate"/>
      </w:r>
      <w:r w:rsidR="00037CB4">
        <w:t xml:space="preserve">Table </w:t>
      </w:r>
      <w:r w:rsidR="00037CB4">
        <w:rPr>
          <w:noProof/>
        </w:rPr>
        <w:t>2</w:t>
      </w:r>
      <w:r w:rsidR="00037CB4">
        <w:rPr>
          <w:noProof/>
        </w:rPr>
        <w:noBreakHyphen/>
        <w:t>12</w:t>
      </w:r>
      <w:r>
        <w:rPr>
          <w:highlight w:val="yellow"/>
        </w:rPr>
        <w:fldChar w:fldCharType="end"/>
      </w:r>
      <w:r>
        <w:t xml:space="preserve"> lists the individual measures and services that the EDC’s provide to the </w:t>
      </w:r>
      <w:r w:rsidR="00265558">
        <w:t>low-income</w:t>
      </w:r>
      <w:r>
        <w:t xml:space="preserve"> community. It is important to note that each EDC provides some combination of walkthrough/comprehensive audits and energy education to low income participants. These types of services help to connect low-income participants with the community and offer them a way to use less of their limited income on energy and more on their basic needs. Each EDC provides numerous energy efficient measures and services to low-income participants with varying delivery methods including giveaways, rebates, </w:t>
      </w:r>
      <w:r w:rsidRPr="00902927">
        <w:t xml:space="preserve">direct install, up-stream lighting, behavioral programs, and public agencies and non-profits </w:t>
      </w:r>
      <w:r>
        <w:t xml:space="preserve">offering Low-Income Usage Reduction Programs (LIURP). </w:t>
      </w:r>
      <w:r w:rsidRPr="00A67631">
        <w:t>FirstEnergy</w:t>
      </w:r>
      <w:r>
        <w:t xml:space="preserve"> </w:t>
      </w:r>
      <w:r w:rsidRPr="00A67631">
        <w:t xml:space="preserve">offered more high cost direct-install measures than Duquesne, </w:t>
      </w:r>
      <w:r w:rsidR="00EC6F41">
        <w:t xml:space="preserve">PECO and PPL, which is a clear and present factor in </w:t>
      </w:r>
      <w:r w:rsidRPr="00A67631">
        <w:t xml:space="preserve">the average utility cost per participant </w:t>
      </w:r>
      <w:r>
        <w:t xml:space="preserve">for the FirstEnergy EDCs </w:t>
      </w:r>
      <w:r w:rsidR="00EC6F41">
        <w:t>being</w:t>
      </w:r>
      <w:r w:rsidRPr="00A67631">
        <w:t xml:space="preserve"> higher </w:t>
      </w:r>
      <w:r>
        <w:t xml:space="preserve">than other EDCs, </w:t>
      </w:r>
      <w:r w:rsidRPr="00A67631">
        <w:t xml:space="preserve">as shown in </w:t>
      </w:r>
      <w:r>
        <w:rPr>
          <w:highlight w:val="yellow"/>
        </w:rPr>
        <w:fldChar w:fldCharType="begin"/>
      </w:r>
      <w:r>
        <w:instrText xml:space="preserve"> REF _Ref472410132 \h </w:instrText>
      </w:r>
      <w:r>
        <w:rPr>
          <w:highlight w:val="yellow"/>
        </w:rPr>
      </w:r>
      <w:r>
        <w:rPr>
          <w:highlight w:val="yellow"/>
        </w:rPr>
        <w:fldChar w:fldCharType="separate"/>
      </w:r>
      <w:r w:rsidR="00037CB4" w:rsidRPr="003900A2">
        <w:t xml:space="preserve">Figure </w:t>
      </w:r>
      <w:r w:rsidR="00037CB4">
        <w:rPr>
          <w:noProof/>
        </w:rPr>
        <w:t>2</w:t>
      </w:r>
      <w:r w:rsidR="00037CB4">
        <w:noBreakHyphen/>
      </w:r>
      <w:r w:rsidR="00037CB4">
        <w:rPr>
          <w:noProof/>
        </w:rPr>
        <w:t>2</w:t>
      </w:r>
      <w:r>
        <w:rPr>
          <w:highlight w:val="yellow"/>
        </w:rPr>
        <w:fldChar w:fldCharType="end"/>
      </w:r>
      <w:r>
        <w:t>.</w:t>
      </w:r>
    </w:p>
    <w:p w:rsidR="00E6042C" w:rsidRDefault="00E6042C" w:rsidP="00E6042C"/>
    <w:p w:rsidR="00E6042C" w:rsidRDefault="00E6042C" w:rsidP="00E6042C">
      <w:r>
        <w:t>Duquesne and PPL provide many additional measures not offered by the other utilities and unlike the other EDCs, Duquesne offers and tracks low income participation in all of its residential programs (LI Rebates, LI kits, LI SEP). This greatly increases the number of measures that are offered through their REEP, RARP, WHEAP, SEP, and HER Residential Programs to the low-income community. FirstEnergy offers direct install, LILU kits, and giveaways, while PPL offers their LI WRAP, Behavioral &amp; Educational, and E-Power Wise programs. PECO’s LEEP program uses a varied approach to reach different target markets of the low-income community.</w:t>
      </w:r>
    </w:p>
    <w:p w:rsidR="00186590" w:rsidRDefault="00186590" w:rsidP="00E6042C"/>
    <w:p w:rsidR="00E6042C" w:rsidRPr="00415875" w:rsidRDefault="00E6042C" w:rsidP="004837FA">
      <w:pPr>
        <w:pStyle w:val="Caption"/>
        <w:rPr>
          <w:i/>
        </w:rPr>
      </w:pPr>
      <w:bookmarkStart w:id="115" w:name="_Ref476057359"/>
      <w:bookmarkStart w:id="116" w:name="_Toc488741743"/>
      <w:r>
        <w:t xml:space="preserve">Table </w:t>
      </w:r>
      <w:r w:rsidR="007973A4">
        <w:fldChar w:fldCharType="begin"/>
      </w:r>
      <w:r w:rsidR="007973A4">
        <w:instrText xml:space="preserve"> STYLEREF 1 \s </w:instrText>
      </w:r>
      <w:r w:rsidR="007973A4">
        <w:fldChar w:fldCharType="separate"/>
      </w:r>
      <w:r w:rsidR="00C75D51">
        <w:rPr>
          <w:noProof/>
        </w:rPr>
        <w:t>2</w:t>
      </w:r>
      <w:r w:rsidR="007973A4">
        <w:rPr>
          <w:noProof/>
        </w:rPr>
        <w:fldChar w:fldCharType="end"/>
      </w:r>
      <w:r>
        <w:noBreakHyphen/>
      </w:r>
      <w:r w:rsidR="007973A4">
        <w:fldChar w:fldCharType="begin"/>
      </w:r>
      <w:r w:rsidR="007973A4">
        <w:instrText xml:space="preserve"> SEQ Table \* ARABIC \s 1 </w:instrText>
      </w:r>
      <w:r w:rsidR="007973A4">
        <w:fldChar w:fldCharType="separate"/>
      </w:r>
      <w:r w:rsidR="00C75D51">
        <w:rPr>
          <w:noProof/>
        </w:rPr>
        <w:t>12</w:t>
      </w:r>
      <w:r w:rsidR="007973A4">
        <w:rPr>
          <w:noProof/>
        </w:rPr>
        <w:fldChar w:fldCharType="end"/>
      </w:r>
      <w:bookmarkEnd w:id="115"/>
      <w:r w:rsidRPr="00415875">
        <w:t>: Low-Income Offerings by Measure</w:t>
      </w:r>
      <w:bookmarkEnd w:id="116"/>
    </w:p>
    <w:tbl>
      <w:tblPr>
        <w:tblW w:w="5052" w:type="pct"/>
        <w:tblInd w:w="-10" w:type="dxa"/>
        <w:tblLayout w:type="fixed"/>
        <w:tblLook w:val="04A0" w:firstRow="1" w:lastRow="0" w:firstColumn="1" w:lastColumn="0" w:noHBand="0" w:noVBand="1"/>
      </w:tblPr>
      <w:tblGrid>
        <w:gridCol w:w="2251"/>
        <w:gridCol w:w="1169"/>
        <w:gridCol w:w="1000"/>
        <w:gridCol w:w="998"/>
        <w:gridCol w:w="998"/>
        <w:gridCol w:w="998"/>
        <w:gridCol w:w="998"/>
        <w:gridCol w:w="1000"/>
        <w:gridCol w:w="25"/>
      </w:tblGrid>
      <w:tr w:rsidR="00C75D51" w:rsidRPr="00C75D51" w:rsidTr="00056C59">
        <w:trPr>
          <w:gridAfter w:val="1"/>
          <w:wAfter w:w="12" w:type="pct"/>
          <w:trHeight w:val="214"/>
          <w:tblHeader/>
        </w:trPr>
        <w:tc>
          <w:tcPr>
            <w:tcW w:w="1192" w:type="pct"/>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E6042C" w:rsidRPr="00C75D51" w:rsidRDefault="00E6042C" w:rsidP="00E6042C">
            <w:pPr>
              <w:rPr>
                <w:rFonts w:asciiTheme="minorHAnsi" w:hAnsiTheme="minorHAnsi" w:cstheme="minorHAnsi"/>
                <w:b/>
                <w:bCs/>
                <w:color w:val="FFFFFF"/>
                <w:sz w:val="19"/>
                <w:szCs w:val="19"/>
              </w:rPr>
            </w:pPr>
            <w:r w:rsidRPr="00C75D51">
              <w:rPr>
                <w:rFonts w:asciiTheme="minorHAnsi" w:hAnsiTheme="minorHAnsi" w:cstheme="minorHAnsi"/>
                <w:b/>
                <w:bCs/>
                <w:color w:val="FFFFFF"/>
                <w:sz w:val="19"/>
                <w:szCs w:val="19"/>
              </w:rPr>
              <w:t>Measure</w:t>
            </w:r>
          </w:p>
        </w:tc>
        <w:tc>
          <w:tcPr>
            <w:tcW w:w="619" w:type="pct"/>
            <w:tcBorders>
              <w:top w:val="single" w:sz="8" w:space="0" w:color="448A99"/>
              <w:left w:val="nil"/>
              <w:bottom w:val="single" w:sz="8" w:space="0" w:color="448A99"/>
              <w:right w:val="single" w:sz="8" w:space="0" w:color="448A99"/>
            </w:tcBorders>
            <w:shd w:val="clear" w:color="000000" w:fill="448A99"/>
            <w:vAlign w:val="bottom"/>
            <w:hideMark/>
          </w:tcPr>
          <w:p w:rsidR="00E6042C" w:rsidRPr="00C75D51" w:rsidRDefault="00E6042C" w:rsidP="00E6042C">
            <w:pPr>
              <w:jc w:val="center"/>
              <w:rPr>
                <w:rFonts w:asciiTheme="minorHAnsi" w:hAnsiTheme="minorHAnsi" w:cstheme="minorHAnsi"/>
                <w:b/>
                <w:bCs/>
                <w:color w:val="FFFFFF"/>
                <w:sz w:val="19"/>
                <w:szCs w:val="19"/>
              </w:rPr>
            </w:pPr>
            <w:r w:rsidRPr="00C75D51">
              <w:rPr>
                <w:rFonts w:asciiTheme="minorHAnsi" w:hAnsiTheme="minorHAnsi" w:cstheme="minorHAnsi"/>
                <w:b/>
                <w:bCs/>
                <w:color w:val="FFFFFF"/>
                <w:sz w:val="19"/>
                <w:szCs w:val="19"/>
              </w:rPr>
              <w:t>Duquesne</w:t>
            </w:r>
          </w:p>
        </w:tc>
        <w:tc>
          <w:tcPr>
            <w:tcW w:w="530" w:type="pct"/>
            <w:tcBorders>
              <w:top w:val="single" w:sz="8" w:space="0" w:color="448A99"/>
              <w:left w:val="nil"/>
              <w:bottom w:val="single" w:sz="8" w:space="0" w:color="448A99"/>
              <w:right w:val="single" w:sz="8" w:space="0" w:color="448A99"/>
            </w:tcBorders>
            <w:shd w:val="clear" w:color="000000" w:fill="448A99"/>
            <w:vAlign w:val="bottom"/>
          </w:tcPr>
          <w:p w:rsidR="00E6042C" w:rsidRPr="00C75D51" w:rsidRDefault="00E6042C" w:rsidP="00E6042C">
            <w:pPr>
              <w:jc w:val="center"/>
              <w:rPr>
                <w:rFonts w:asciiTheme="minorHAnsi" w:hAnsiTheme="minorHAnsi" w:cstheme="minorHAnsi"/>
                <w:b/>
                <w:bCs/>
                <w:color w:val="FFFFFF"/>
                <w:sz w:val="19"/>
                <w:szCs w:val="19"/>
              </w:rPr>
            </w:pPr>
            <w:r w:rsidRPr="00C75D51">
              <w:rPr>
                <w:rFonts w:asciiTheme="minorHAnsi" w:hAnsiTheme="minorHAnsi" w:cstheme="minorHAnsi"/>
                <w:b/>
                <w:bCs/>
                <w:color w:val="FFFFFF"/>
                <w:sz w:val="19"/>
                <w:szCs w:val="19"/>
              </w:rPr>
              <w:t xml:space="preserve">FE: </w:t>
            </w:r>
          </w:p>
          <w:p w:rsidR="00E6042C" w:rsidRPr="00C75D51" w:rsidRDefault="00E6042C" w:rsidP="00E6042C">
            <w:pPr>
              <w:jc w:val="center"/>
              <w:rPr>
                <w:rFonts w:asciiTheme="minorHAnsi" w:hAnsiTheme="minorHAnsi" w:cstheme="minorHAnsi"/>
                <w:b/>
                <w:bCs/>
                <w:color w:val="FFFFFF"/>
                <w:sz w:val="19"/>
                <w:szCs w:val="19"/>
              </w:rPr>
            </w:pPr>
            <w:r w:rsidRPr="00C75D51">
              <w:rPr>
                <w:rFonts w:asciiTheme="minorHAnsi" w:hAnsiTheme="minorHAnsi" w:cstheme="minorHAnsi"/>
                <w:b/>
                <w:bCs/>
                <w:color w:val="FFFFFF"/>
                <w:sz w:val="19"/>
                <w:szCs w:val="19"/>
              </w:rPr>
              <w:t>Met-Ed</w:t>
            </w:r>
          </w:p>
        </w:tc>
        <w:tc>
          <w:tcPr>
            <w:tcW w:w="529" w:type="pct"/>
            <w:tcBorders>
              <w:top w:val="single" w:sz="8" w:space="0" w:color="448A99"/>
              <w:left w:val="nil"/>
              <w:bottom w:val="single" w:sz="8" w:space="0" w:color="448A99"/>
              <w:right w:val="single" w:sz="8" w:space="0" w:color="448A99"/>
            </w:tcBorders>
            <w:shd w:val="clear" w:color="000000" w:fill="448A99"/>
            <w:vAlign w:val="bottom"/>
          </w:tcPr>
          <w:p w:rsidR="00E6042C" w:rsidRPr="00C75D51" w:rsidRDefault="00E6042C" w:rsidP="00E6042C">
            <w:pPr>
              <w:jc w:val="center"/>
              <w:rPr>
                <w:rFonts w:asciiTheme="minorHAnsi" w:hAnsiTheme="minorHAnsi" w:cstheme="minorHAnsi"/>
                <w:b/>
                <w:bCs/>
                <w:color w:val="FFFFFF"/>
                <w:sz w:val="19"/>
                <w:szCs w:val="19"/>
              </w:rPr>
            </w:pPr>
            <w:r w:rsidRPr="00C75D51">
              <w:rPr>
                <w:rFonts w:asciiTheme="minorHAnsi" w:hAnsiTheme="minorHAnsi" w:cstheme="minorHAnsi"/>
                <w:b/>
                <w:bCs/>
                <w:color w:val="FFFFFF"/>
                <w:sz w:val="19"/>
                <w:szCs w:val="19"/>
              </w:rPr>
              <w:t>FE: Penelec</w:t>
            </w:r>
          </w:p>
        </w:tc>
        <w:tc>
          <w:tcPr>
            <w:tcW w:w="529" w:type="pct"/>
            <w:tcBorders>
              <w:top w:val="single" w:sz="8" w:space="0" w:color="448A99"/>
              <w:left w:val="nil"/>
              <w:bottom w:val="single" w:sz="8" w:space="0" w:color="448A99"/>
              <w:right w:val="single" w:sz="8" w:space="0" w:color="448A99"/>
            </w:tcBorders>
            <w:shd w:val="clear" w:color="000000" w:fill="448A99"/>
            <w:vAlign w:val="bottom"/>
          </w:tcPr>
          <w:p w:rsidR="00E6042C" w:rsidRPr="00C75D51" w:rsidRDefault="00E6042C" w:rsidP="00E6042C">
            <w:pPr>
              <w:jc w:val="center"/>
              <w:rPr>
                <w:rFonts w:asciiTheme="minorHAnsi" w:hAnsiTheme="minorHAnsi" w:cstheme="minorHAnsi"/>
                <w:b/>
                <w:bCs/>
                <w:color w:val="FFFFFF"/>
                <w:sz w:val="19"/>
                <w:szCs w:val="19"/>
              </w:rPr>
            </w:pPr>
            <w:r w:rsidRPr="00C75D51">
              <w:rPr>
                <w:rFonts w:asciiTheme="minorHAnsi" w:hAnsiTheme="minorHAnsi" w:cstheme="minorHAnsi"/>
                <w:b/>
                <w:bCs/>
                <w:color w:val="FFFFFF"/>
                <w:sz w:val="19"/>
                <w:szCs w:val="19"/>
              </w:rPr>
              <w:t>FE: Penn Power</w:t>
            </w:r>
          </w:p>
        </w:tc>
        <w:tc>
          <w:tcPr>
            <w:tcW w:w="529" w:type="pct"/>
            <w:tcBorders>
              <w:top w:val="single" w:sz="8" w:space="0" w:color="448A99"/>
              <w:left w:val="nil"/>
              <w:bottom w:val="single" w:sz="8" w:space="0" w:color="448A99"/>
              <w:right w:val="single" w:sz="8" w:space="0" w:color="448A99"/>
            </w:tcBorders>
            <w:shd w:val="clear" w:color="000000" w:fill="448A99"/>
            <w:vAlign w:val="bottom"/>
          </w:tcPr>
          <w:p w:rsidR="00E6042C" w:rsidRPr="00C75D51" w:rsidRDefault="00E6042C" w:rsidP="00E6042C">
            <w:pPr>
              <w:jc w:val="center"/>
              <w:rPr>
                <w:rFonts w:asciiTheme="minorHAnsi" w:hAnsiTheme="minorHAnsi" w:cstheme="minorHAnsi"/>
                <w:b/>
                <w:bCs/>
                <w:color w:val="FFFFFF"/>
                <w:sz w:val="19"/>
                <w:szCs w:val="19"/>
              </w:rPr>
            </w:pPr>
            <w:r w:rsidRPr="00C75D51">
              <w:rPr>
                <w:rFonts w:asciiTheme="minorHAnsi" w:hAnsiTheme="minorHAnsi" w:cstheme="minorHAnsi"/>
                <w:b/>
                <w:bCs/>
                <w:color w:val="FFFFFF"/>
                <w:sz w:val="19"/>
                <w:szCs w:val="19"/>
              </w:rPr>
              <w:t>FE: West Penn</w:t>
            </w:r>
          </w:p>
        </w:tc>
        <w:tc>
          <w:tcPr>
            <w:tcW w:w="529" w:type="pct"/>
            <w:tcBorders>
              <w:top w:val="single" w:sz="8" w:space="0" w:color="448A99"/>
              <w:left w:val="nil"/>
              <w:bottom w:val="single" w:sz="8" w:space="0" w:color="448A99"/>
              <w:right w:val="single" w:sz="8" w:space="0" w:color="448A99"/>
            </w:tcBorders>
            <w:shd w:val="clear" w:color="000000" w:fill="448A99"/>
            <w:vAlign w:val="bottom"/>
          </w:tcPr>
          <w:p w:rsidR="00E6042C" w:rsidRPr="00C75D51" w:rsidRDefault="00E6042C" w:rsidP="00E6042C">
            <w:pPr>
              <w:jc w:val="center"/>
              <w:rPr>
                <w:rFonts w:asciiTheme="minorHAnsi" w:hAnsiTheme="minorHAnsi" w:cstheme="minorHAnsi"/>
                <w:b/>
                <w:bCs/>
                <w:color w:val="FFFFFF"/>
                <w:sz w:val="19"/>
                <w:szCs w:val="19"/>
              </w:rPr>
            </w:pPr>
            <w:r w:rsidRPr="00C75D51">
              <w:rPr>
                <w:rFonts w:asciiTheme="minorHAnsi" w:hAnsiTheme="minorHAnsi" w:cstheme="minorHAnsi"/>
                <w:b/>
                <w:bCs/>
                <w:color w:val="FFFFFF"/>
                <w:sz w:val="19"/>
                <w:szCs w:val="19"/>
              </w:rPr>
              <w:t>PECO</w:t>
            </w:r>
          </w:p>
        </w:tc>
        <w:tc>
          <w:tcPr>
            <w:tcW w:w="530" w:type="pct"/>
            <w:tcBorders>
              <w:top w:val="single" w:sz="8" w:space="0" w:color="448A99"/>
              <w:left w:val="nil"/>
              <w:bottom w:val="single" w:sz="8" w:space="0" w:color="448A99"/>
              <w:right w:val="single" w:sz="8" w:space="0" w:color="448A99"/>
            </w:tcBorders>
            <w:shd w:val="clear" w:color="000000" w:fill="448A99"/>
            <w:vAlign w:val="bottom"/>
          </w:tcPr>
          <w:p w:rsidR="00E6042C" w:rsidRPr="00C75D51" w:rsidRDefault="00E6042C" w:rsidP="00E6042C">
            <w:pPr>
              <w:jc w:val="center"/>
              <w:rPr>
                <w:rFonts w:asciiTheme="minorHAnsi" w:hAnsiTheme="minorHAnsi" w:cstheme="minorHAnsi"/>
                <w:b/>
                <w:bCs/>
                <w:color w:val="FFFFFF"/>
                <w:sz w:val="19"/>
                <w:szCs w:val="19"/>
              </w:rPr>
            </w:pPr>
            <w:r w:rsidRPr="00C75D51">
              <w:rPr>
                <w:rFonts w:asciiTheme="minorHAnsi" w:hAnsiTheme="minorHAnsi" w:cstheme="minorHAnsi"/>
                <w:b/>
                <w:bCs/>
                <w:color w:val="FFFFFF"/>
                <w:sz w:val="19"/>
                <w:szCs w:val="19"/>
              </w:rPr>
              <w:t>PPL</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CFL Bulbs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Smart Strips</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lastRenderedPageBreak/>
              <w:t>LED Nightlights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CFL/LED bulbs</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 STAR® Refrigerator</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 STAR® Freezer</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 STAR® Clothes Washer</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Clothes Dryer with Moisture Sensor</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 STAR® Dehumidifier</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 STAR® Dishwasher</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Programmable Thermostat</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Heat Pump</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Central AC or Heat Pump</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 STAR® Room AC</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High Efficiency Fan Heating</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 STAR® Television</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Changing or cleaning of heating and Colling Filters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B43C48"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 xml:space="preserve">Dryer Venting </w:t>
            </w:r>
          </w:p>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(Electric Dryer)</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Smart Strips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Refrigerators -Recycling</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Freezers Recycling</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CFLs - DR</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LED-DR</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 xml:space="preserve">LED </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Electroluminescent Night Lights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Kitchen and Bathroom sink faucet Aerators</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Low flow Showerheads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lastRenderedPageBreak/>
              <w:t>Kitchen and Bathroom Sink Faucet Aerators - Kits</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Low flow Showerheads - Kits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Smart Strips</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Smart Plugs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Water Heater Pipe Wrap</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Furnace Whistle</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Heat Pump Water Heaters</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Energy-efficient resistance water heaters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Programmable thermostats</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Walkthrough/Comprehensive Audits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Attic Insulation</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Air Sealing/Infiltration</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Blower Door Testing</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Floor Wall Insulation</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Wall Insulation</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HVAC Repair and Replacement</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Duct insulation and repair</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Window repair and replacement</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ASHP Duct Sealing</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ASHP Maintenance</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 Education</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Behavioral Program</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Lighting Upstream Program</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Refrigerators - LILU Kits</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Smart Strips - LILU Kits</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CFLs - LIURP</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LED Nightlights - LIURP</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Faucet Aerators -LIURP</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Energy Saving Showerheads -LIURP</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sz w:val="19"/>
                <w:szCs w:val="19"/>
              </w:rPr>
            </w:pPr>
            <w:r w:rsidRPr="00C75D51">
              <w:rPr>
                <w:rFonts w:asciiTheme="minorHAnsi" w:hAnsiTheme="minorHAnsi" w:cstheme="minorHAnsi"/>
                <w:sz w:val="19"/>
                <w:szCs w:val="19"/>
              </w:rPr>
              <w:t>Adapters for Faucet Aerators - LIURP</w:t>
            </w:r>
          </w:p>
        </w:tc>
        <w:tc>
          <w:tcPr>
            <w:tcW w:w="619" w:type="pct"/>
            <w:tcBorders>
              <w:top w:val="nil"/>
              <w:left w:val="nil"/>
              <w:bottom w:val="single" w:sz="8" w:space="0" w:color="448A99"/>
              <w:right w:val="single" w:sz="8" w:space="0" w:color="448A99"/>
            </w:tcBorders>
            <w:shd w:val="clear" w:color="auto" w:fill="auto"/>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r w:rsidRPr="00C75D51">
              <w:rPr>
                <w:rFonts w:asciiTheme="minorHAnsi" w:hAnsiTheme="minorHAnsi" w:cstheme="minorHAnsi"/>
                <w:sz w:val="19"/>
                <w:szCs w:val="19"/>
              </w:rPr>
              <w:t>X</w:t>
            </w:r>
          </w:p>
        </w:tc>
        <w:tc>
          <w:tcPr>
            <w:tcW w:w="529"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c>
          <w:tcPr>
            <w:tcW w:w="530" w:type="pct"/>
            <w:tcBorders>
              <w:top w:val="nil"/>
              <w:left w:val="nil"/>
              <w:bottom w:val="single" w:sz="8" w:space="0" w:color="448A99"/>
              <w:right w:val="single" w:sz="8" w:space="0" w:color="448A99"/>
            </w:tcBorders>
          </w:tcPr>
          <w:p w:rsidR="00E6042C" w:rsidRPr="00C75D51" w:rsidRDefault="00E6042C" w:rsidP="00E6042C">
            <w:pPr>
              <w:jc w:val="center"/>
              <w:rPr>
                <w:rFonts w:asciiTheme="minorHAnsi" w:hAnsiTheme="minorHAnsi" w:cstheme="minorHAnsi"/>
                <w:sz w:val="19"/>
                <w:szCs w:val="19"/>
              </w:rPr>
            </w:pPr>
          </w:p>
        </w:tc>
      </w:tr>
      <w:tr w:rsidR="00E6042C" w:rsidRPr="00C75D51" w:rsidTr="00056C59">
        <w:trPr>
          <w:trHeight w:val="20"/>
        </w:trPr>
        <w:tc>
          <w:tcPr>
            <w:tcW w:w="5000" w:type="pct"/>
            <w:gridSpan w:val="9"/>
            <w:tcBorders>
              <w:top w:val="nil"/>
              <w:left w:val="single" w:sz="8" w:space="0" w:color="448A99"/>
              <w:bottom w:val="single" w:sz="8" w:space="0" w:color="448A99"/>
              <w:right w:val="single" w:sz="8" w:space="0" w:color="448A99"/>
            </w:tcBorders>
            <w:shd w:val="clear" w:color="auto" w:fill="9C9393"/>
          </w:tcPr>
          <w:p w:rsidR="00E6042C" w:rsidRPr="00C75D51" w:rsidRDefault="00E6042C" w:rsidP="00E6042C">
            <w:pPr>
              <w:jc w:val="center"/>
              <w:rPr>
                <w:rFonts w:asciiTheme="minorHAnsi" w:hAnsiTheme="minorHAnsi" w:cstheme="minorHAnsi"/>
                <w:sz w:val="19"/>
                <w:szCs w:val="19"/>
              </w:rPr>
            </w:pP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auto" w:fill="auto"/>
          </w:tcPr>
          <w:p w:rsidR="00E6042C" w:rsidRPr="00C75D51" w:rsidRDefault="00E6042C" w:rsidP="00E6042C">
            <w:pPr>
              <w:jc w:val="left"/>
              <w:rPr>
                <w:rFonts w:asciiTheme="minorHAnsi" w:hAnsiTheme="minorHAnsi" w:cstheme="minorHAnsi"/>
                <w:b/>
                <w:sz w:val="19"/>
                <w:szCs w:val="19"/>
              </w:rPr>
            </w:pPr>
            <w:r w:rsidRPr="00C75D51">
              <w:rPr>
                <w:rFonts w:asciiTheme="minorHAnsi" w:hAnsiTheme="minorHAnsi" w:cstheme="minorHAnsi"/>
                <w:b/>
                <w:sz w:val="19"/>
                <w:szCs w:val="19"/>
              </w:rPr>
              <w:t>Direct Install</w:t>
            </w:r>
          </w:p>
        </w:tc>
        <w:tc>
          <w:tcPr>
            <w:tcW w:w="619" w:type="pct"/>
            <w:tcBorders>
              <w:top w:val="nil"/>
              <w:left w:val="nil"/>
              <w:bottom w:val="single" w:sz="8" w:space="0" w:color="448A99"/>
              <w:right w:val="single" w:sz="8" w:space="0" w:color="448A99"/>
            </w:tcBorders>
            <w:shd w:val="clear" w:color="auto" w:fill="auto"/>
          </w:tcPr>
          <w:p w:rsidR="00E6042C" w:rsidRPr="00C75D51" w:rsidRDefault="00253CE4" w:rsidP="00E6042C">
            <w:pPr>
              <w:jc w:val="center"/>
              <w:rPr>
                <w:rFonts w:asciiTheme="minorHAnsi" w:hAnsiTheme="minorHAnsi" w:cstheme="minorHAnsi"/>
                <w:b/>
                <w:sz w:val="19"/>
                <w:szCs w:val="19"/>
              </w:rPr>
            </w:pPr>
            <w:r w:rsidRPr="00C75D51">
              <w:rPr>
                <w:rFonts w:asciiTheme="minorHAnsi" w:hAnsiTheme="minorHAnsi" w:cstheme="minorHAnsi"/>
                <w:b/>
                <w:sz w:val="19"/>
                <w:szCs w:val="19"/>
              </w:rPr>
              <w:t>Y</w:t>
            </w:r>
          </w:p>
        </w:tc>
        <w:tc>
          <w:tcPr>
            <w:tcW w:w="530" w:type="pct"/>
            <w:tcBorders>
              <w:top w:val="nil"/>
              <w:left w:val="nil"/>
              <w:bottom w:val="single" w:sz="8" w:space="0" w:color="448A99"/>
              <w:right w:val="single" w:sz="8" w:space="0" w:color="448A99"/>
            </w:tcBorders>
          </w:tcPr>
          <w:p w:rsidR="00E6042C" w:rsidRPr="00C75D51" w:rsidRDefault="00253CE4" w:rsidP="00E6042C">
            <w:pPr>
              <w:jc w:val="center"/>
              <w:rPr>
                <w:rFonts w:asciiTheme="minorHAnsi" w:hAnsiTheme="minorHAnsi" w:cstheme="minorHAnsi"/>
                <w:b/>
                <w:sz w:val="19"/>
                <w:szCs w:val="19"/>
              </w:rPr>
            </w:pPr>
            <w:r w:rsidRPr="00C75D51">
              <w:rPr>
                <w:rFonts w:asciiTheme="minorHAnsi" w:hAnsiTheme="minorHAnsi" w:cstheme="minorHAnsi"/>
                <w:b/>
                <w:sz w:val="19"/>
                <w:szCs w:val="19"/>
              </w:rPr>
              <w:t>Y</w:t>
            </w:r>
          </w:p>
        </w:tc>
        <w:tc>
          <w:tcPr>
            <w:tcW w:w="529" w:type="pct"/>
            <w:tcBorders>
              <w:top w:val="nil"/>
              <w:left w:val="nil"/>
              <w:bottom w:val="single" w:sz="8" w:space="0" w:color="448A99"/>
              <w:right w:val="single" w:sz="8" w:space="0" w:color="448A99"/>
            </w:tcBorders>
          </w:tcPr>
          <w:p w:rsidR="00E6042C" w:rsidRPr="00C75D51" w:rsidRDefault="00253CE4" w:rsidP="00E6042C">
            <w:pPr>
              <w:jc w:val="center"/>
              <w:rPr>
                <w:rFonts w:asciiTheme="minorHAnsi" w:hAnsiTheme="minorHAnsi" w:cstheme="minorHAnsi"/>
                <w:b/>
                <w:sz w:val="19"/>
                <w:szCs w:val="19"/>
              </w:rPr>
            </w:pPr>
            <w:r w:rsidRPr="00C75D51">
              <w:rPr>
                <w:rFonts w:asciiTheme="minorHAnsi" w:hAnsiTheme="minorHAnsi" w:cstheme="minorHAnsi"/>
                <w:b/>
                <w:sz w:val="19"/>
                <w:szCs w:val="19"/>
              </w:rPr>
              <w:t>Y</w:t>
            </w:r>
          </w:p>
        </w:tc>
        <w:tc>
          <w:tcPr>
            <w:tcW w:w="529" w:type="pct"/>
            <w:tcBorders>
              <w:top w:val="nil"/>
              <w:left w:val="nil"/>
              <w:bottom w:val="single" w:sz="8" w:space="0" w:color="448A99"/>
              <w:right w:val="single" w:sz="8" w:space="0" w:color="448A99"/>
            </w:tcBorders>
          </w:tcPr>
          <w:p w:rsidR="00E6042C" w:rsidRPr="00C75D51" w:rsidRDefault="00253CE4" w:rsidP="00E6042C">
            <w:pPr>
              <w:jc w:val="center"/>
              <w:rPr>
                <w:rFonts w:asciiTheme="minorHAnsi" w:hAnsiTheme="minorHAnsi" w:cstheme="minorHAnsi"/>
                <w:b/>
                <w:sz w:val="19"/>
                <w:szCs w:val="19"/>
              </w:rPr>
            </w:pPr>
            <w:r w:rsidRPr="00C75D51">
              <w:rPr>
                <w:rFonts w:asciiTheme="minorHAnsi" w:hAnsiTheme="minorHAnsi" w:cstheme="minorHAnsi"/>
                <w:b/>
                <w:sz w:val="19"/>
                <w:szCs w:val="19"/>
              </w:rPr>
              <w:t>Y</w:t>
            </w:r>
          </w:p>
        </w:tc>
        <w:tc>
          <w:tcPr>
            <w:tcW w:w="529" w:type="pct"/>
            <w:tcBorders>
              <w:top w:val="nil"/>
              <w:left w:val="nil"/>
              <w:bottom w:val="single" w:sz="8" w:space="0" w:color="448A99"/>
              <w:right w:val="single" w:sz="8" w:space="0" w:color="448A99"/>
            </w:tcBorders>
          </w:tcPr>
          <w:p w:rsidR="00E6042C" w:rsidRPr="00C75D51" w:rsidRDefault="00253CE4" w:rsidP="00E6042C">
            <w:pPr>
              <w:jc w:val="center"/>
              <w:rPr>
                <w:rFonts w:asciiTheme="minorHAnsi" w:hAnsiTheme="minorHAnsi" w:cstheme="minorHAnsi"/>
                <w:b/>
                <w:sz w:val="19"/>
                <w:szCs w:val="19"/>
              </w:rPr>
            </w:pPr>
            <w:r w:rsidRPr="00C75D51">
              <w:rPr>
                <w:rFonts w:asciiTheme="minorHAnsi" w:hAnsiTheme="minorHAnsi" w:cstheme="minorHAnsi"/>
                <w:b/>
                <w:sz w:val="19"/>
                <w:szCs w:val="19"/>
              </w:rPr>
              <w:t>Y</w:t>
            </w:r>
          </w:p>
        </w:tc>
        <w:tc>
          <w:tcPr>
            <w:tcW w:w="529" w:type="pct"/>
            <w:tcBorders>
              <w:top w:val="nil"/>
              <w:left w:val="nil"/>
              <w:bottom w:val="single" w:sz="8" w:space="0" w:color="448A99"/>
              <w:right w:val="single" w:sz="8" w:space="0" w:color="448A99"/>
            </w:tcBorders>
          </w:tcPr>
          <w:p w:rsidR="00E6042C" w:rsidRPr="00C75D51" w:rsidRDefault="00253CE4" w:rsidP="00E6042C">
            <w:pPr>
              <w:jc w:val="center"/>
              <w:rPr>
                <w:rFonts w:asciiTheme="minorHAnsi" w:hAnsiTheme="minorHAnsi" w:cstheme="minorHAnsi"/>
                <w:b/>
                <w:sz w:val="19"/>
                <w:szCs w:val="19"/>
              </w:rPr>
            </w:pPr>
            <w:r w:rsidRPr="00C75D51">
              <w:rPr>
                <w:rFonts w:asciiTheme="minorHAnsi" w:hAnsiTheme="minorHAnsi" w:cstheme="minorHAnsi"/>
                <w:b/>
                <w:sz w:val="19"/>
                <w:szCs w:val="19"/>
              </w:rPr>
              <w:t>Y</w:t>
            </w:r>
          </w:p>
        </w:tc>
        <w:tc>
          <w:tcPr>
            <w:tcW w:w="530" w:type="pct"/>
            <w:tcBorders>
              <w:top w:val="nil"/>
              <w:left w:val="nil"/>
              <w:bottom w:val="single" w:sz="8" w:space="0" w:color="448A99"/>
              <w:right w:val="single" w:sz="8" w:space="0" w:color="448A99"/>
            </w:tcBorders>
          </w:tcPr>
          <w:p w:rsidR="00E6042C" w:rsidRPr="00C75D51" w:rsidRDefault="00253CE4" w:rsidP="00E6042C">
            <w:pPr>
              <w:jc w:val="center"/>
              <w:rPr>
                <w:rFonts w:asciiTheme="minorHAnsi" w:hAnsiTheme="minorHAnsi" w:cstheme="minorHAnsi"/>
                <w:b/>
                <w:sz w:val="19"/>
                <w:szCs w:val="19"/>
              </w:rPr>
            </w:pPr>
            <w:r w:rsidRPr="00C75D51">
              <w:rPr>
                <w:rFonts w:asciiTheme="minorHAnsi" w:hAnsiTheme="minorHAnsi" w:cstheme="minorHAnsi"/>
                <w:b/>
                <w:sz w:val="19"/>
                <w:szCs w:val="19"/>
              </w:rPr>
              <w:t>Y</w:t>
            </w:r>
          </w:p>
        </w:tc>
      </w:tr>
      <w:tr w:rsidR="00C75D51" w:rsidRPr="00C75D51" w:rsidTr="00056C59">
        <w:trPr>
          <w:gridAfter w:val="1"/>
          <w:wAfter w:w="12" w:type="pct"/>
          <w:trHeight w:val="464"/>
        </w:trPr>
        <w:tc>
          <w:tcPr>
            <w:tcW w:w="1192" w:type="pct"/>
            <w:tcBorders>
              <w:top w:val="nil"/>
              <w:left w:val="single" w:sz="8" w:space="0" w:color="448A99"/>
              <w:bottom w:val="single" w:sz="8" w:space="0" w:color="448A99"/>
              <w:right w:val="single" w:sz="8" w:space="0" w:color="448A99"/>
            </w:tcBorders>
            <w:shd w:val="clear" w:color="000000" w:fill="D2EAF1"/>
          </w:tcPr>
          <w:p w:rsidR="00E6042C" w:rsidRPr="00C75D51" w:rsidRDefault="00E6042C" w:rsidP="00E6042C">
            <w:pPr>
              <w:jc w:val="left"/>
              <w:rPr>
                <w:rFonts w:asciiTheme="minorHAnsi" w:hAnsiTheme="minorHAnsi" w:cstheme="minorHAnsi"/>
                <w:b/>
                <w:sz w:val="19"/>
                <w:szCs w:val="19"/>
              </w:rPr>
            </w:pPr>
            <w:r w:rsidRPr="00C75D51">
              <w:rPr>
                <w:rFonts w:asciiTheme="minorHAnsi" w:hAnsiTheme="minorHAnsi" w:cstheme="minorHAnsi"/>
                <w:b/>
                <w:sz w:val="19"/>
                <w:szCs w:val="19"/>
              </w:rPr>
              <w:t>Number of Measures Offered by EDC LI Program</w:t>
            </w:r>
          </w:p>
        </w:tc>
        <w:tc>
          <w:tcPr>
            <w:tcW w:w="61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b/>
                <w:sz w:val="19"/>
                <w:szCs w:val="19"/>
              </w:rPr>
            </w:pPr>
            <w:r w:rsidRPr="00C75D51">
              <w:rPr>
                <w:rFonts w:asciiTheme="minorHAnsi" w:hAnsiTheme="minorHAnsi" w:cstheme="minorHAnsi"/>
                <w:b/>
                <w:sz w:val="19"/>
                <w:szCs w:val="19"/>
              </w:rPr>
              <w:t>31</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b/>
                <w:sz w:val="19"/>
                <w:szCs w:val="19"/>
              </w:rPr>
            </w:pPr>
            <w:r w:rsidRPr="00C75D51">
              <w:rPr>
                <w:rFonts w:asciiTheme="minorHAnsi" w:hAnsiTheme="minorHAnsi" w:cstheme="minorHAnsi"/>
                <w:b/>
                <w:sz w:val="19"/>
                <w:szCs w:val="19"/>
              </w:rPr>
              <w:t>21</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b/>
                <w:sz w:val="19"/>
                <w:szCs w:val="19"/>
              </w:rPr>
            </w:pPr>
            <w:r w:rsidRPr="00C75D51">
              <w:rPr>
                <w:rFonts w:asciiTheme="minorHAnsi" w:hAnsiTheme="minorHAnsi" w:cstheme="minorHAnsi"/>
                <w:b/>
                <w:sz w:val="19"/>
                <w:szCs w:val="19"/>
              </w:rPr>
              <w:t>21</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b/>
                <w:sz w:val="19"/>
                <w:szCs w:val="19"/>
              </w:rPr>
            </w:pPr>
            <w:r w:rsidRPr="00C75D51">
              <w:rPr>
                <w:rFonts w:asciiTheme="minorHAnsi" w:hAnsiTheme="minorHAnsi" w:cstheme="minorHAnsi"/>
                <w:b/>
                <w:sz w:val="19"/>
                <w:szCs w:val="19"/>
              </w:rPr>
              <w:t>21</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b/>
                <w:sz w:val="19"/>
                <w:szCs w:val="19"/>
              </w:rPr>
            </w:pPr>
            <w:r w:rsidRPr="00C75D51">
              <w:rPr>
                <w:rFonts w:asciiTheme="minorHAnsi" w:hAnsiTheme="minorHAnsi" w:cstheme="minorHAnsi"/>
                <w:b/>
                <w:sz w:val="19"/>
                <w:szCs w:val="19"/>
              </w:rPr>
              <w:t>21</w:t>
            </w:r>
          </w:p>
        </w:tc>
        <w:tc>
          <w:tcPr>
            <w:tcW w:w="529"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b/>
                <w:sz w:val="19"/>
                <w:szCs w:val="19"/>
              </w:rPr>
            </w:pPr>
            <w:r w:rsidRPr="00C75D51">
              <w:rPr>
                <w:rFonts w:asciiTheme="minorHAnsi" w:hAnsiTheme="minorHAnsi" w:cstheme="minorHAnsi"/>
                <w:b/>
                <w:sz w:val="19"/>
                <w:szCs w:val="19"/>
              </w:rPr>
              <w:t>15</w:t>
            </w:r>
          </w:p>
        </w:tc>
        <w:tc>
          <w:tcPr>
            <w:tcW w:w="530" w:type="pct"/>
            <w:tcBorders>
              <w:top w:val="nil"/>
              <w:left w:val="nil"/>
              <w:bottom w:val="single" w:sz="8" w:space="0" w:color="448A99"/>
              <w:right w:val="single" w:sz="8" w:space="0" w:color="448A99"/>
            </w:tcBorders>
            <w:shd w:val="clear" w:color="000000" w:fill="D2EAF1"/>
          </w:tcPr>
          <w:p w:rsidR="00E6042C" w:rsidRPr="00C75D51" w:rsidRDefault="00E6042C" w:rsidP="00E6042C">
            <w:pPr>
              <w:jc w:val="center"/>
              <w:rPr>
                <w:rFonts w:asciiTheme="minorHAnsi" w:hAnsiTheme="minorHAnsi" w:cstheme="minorHAnsi"/>
                <w:b/>
                <w:sz w:val="19"/>
                <w:szCs w:val="19"/>
              </w:rPr>
            </w:pPr>
            <w:r w:rsidRPr="00C75D51">
              <w:rPr>
                <w:rFonts w:asciiTheme="minorHAnsi" w:hAnsiTheme="minorHAnsi" w:cstheme="minorHAnsi"/>
                <w:b/>
                <w:sz w:val="19"/>
                <w:szCs w:val="19"/>
              </w:rPr>
              <w:t>29</w:t>
            </w:r>
          </w:p>
        </w:tc>
      </w:tr>
    </w:tbl>
    <w:p w:rsidR="00C60D2D" w:rsidRPr="00A67631" w:rsidRDefault="00C60D2D" w:rsidP="00A67631"/>
    <w:p w:rsidR="00DF2DB6" w:rsidRDefault="00DF2DB6" w:rsidP="00A67631">
      <w:r w:rsidRPr="00A67631">
        <w:t>The Pennsylvania EDCs define a</w:t>
      </w:r>
      <w:r w:rsidR="00A21E52">
        <w:t xml:space="preserve"> low-income program</w:t>
      </w:r>
      <w:r w:rsidRPr="00A67631">
        <w:t xml:space="preserve"> participant as a unique premise number, unique home, or unique customer job ID that may have multiple measures installed. Duquesne defines a</w:t>
      </w:r>
      <w:r w:rsidR="00A21E52">
        <w:t xml:space="preserve"> low income program</w:t>
      </w:r>
      <w:r w:rsidRPr="00A67631">
        <w:t xml:space="preserve"> participant as a customer participating in the program within an individual program quarter (Q1, Q2, Q3, or Q4), represented by a unique participant account number within Duquesne’s tracking system. For Duquesne programs, </w:t>
      </w:r>
      <w:r w:rsidR="00A21E52">
        <w:t xml:space="preserve">low income participants </w:t>
      </w:r>
      <w:r w:rsidRPr="00A67631">
        <w:t>participating more than once within a quarter are counted once; customers participating more than once but in different quarters are counted more than once (once in each quarter).</w:t>
      </w:r>
    </w:p>
    <w:p w:rsidR="00A67631" w:rsidRPr="00A67631" w:rsidRDefault="00A67631" w:rsidP="00A67631"/>
    <w:p w:rsidR="004F1B4F" w:rsidRDefault="007B7BD7" w:rsidP="00A67631">
      <w:r>
        <w:fldChar w:fldCharType="begin"/>
      </w:r>
      <w:r>
        <w:instrText xml:space="preserve"> REF _Ref472430669 \h </w:instrText>
      </w:r>
      <w:r>
        <w:fldChar w:fldCharType="separate"/>
      </w:r>
      <w:r w:rsidR="007B47DF" w:rsidRPr="003900A2">
        <w:t xml:space="preserve">Figure </w:t>
      </w:r>
      <w:r w:rsidR="007B47DF">
        <w:rPr>
          <w:noProof/>
        </w:rPr>
        <w:t>2</w:t>
      </w:r>
      <w:r w:rsidR="007B47DF">
        <w:noBreakHyphen/>
      </w:r>
      <w:r w:rsidR="007B47DF">
        <w:rPr>
          <w:noProof/>
        </w:rPr>
        <w:t>3</w:t>
      </w:r>
      <w:r>
        <w:fldChar w:fldCharType="end"/>
      </w:r>
      <w:r>
        <w:t xml:space="preserve"> and </w:t>
      </w:r>
      <w:r>
        <w:fldChar w:fldCharType="begin"/>
      </w:r>
      <w:r>
        <w:instrText xml:space="preserve"> REF _Ref473707472 \h </w:instrText>
      </w:r>
      <w:r>
        <w:fldChar w:fldCharType="separate"/>
      </w:r>
      <w:r w:rsidR="00037CB4" w:rsidRPr="003900A2">
        <w:t xml:space="preserve">Figure </w:t>
      </w:r>
      <w:r w:rsidR="00037CB4">
        <w:rPr>
          <w:noProof/>
        </w:rPr>
        <w:t>2</w:t>
      </w:r>
      <w:r w:rsidR="00037CB4">
        <w:noBreakHyphen/>
      </w:r>
      <w:r w:rsidR="00037CB4">
        <w:rPr>
          <w:noProof/>
        </w:rPr>
        <w:t>4</w:t>
      </w:r>
      <w:r>
        <w:fldChar w:fldCharType="end"/>
      </w:r>
      <w:r>
        <w:t xml:space="preserve"> </w:t>
      </w:r>
      <w:r w:rsidR="004F1B4F" w:rsidRPr="00A67631">
        <w:t>compare the low-income program total MWh</w:t>
      </w:r>
      <w:r w:rsidR="003F5DF4" w:rsidRPr="00A67631">
        <w:t>/yr</w:t>
      </w:r>
      <w:r w:rsidR="004F1B4F" w:rsidRPr="00A67631">
        <w:t xml:space="preserve"> and MW savings (for all participants) for PY7 for each EDC. The total PY7 MWh</w:t>
      </w:r>
      <w:r w:rsidR="003F5DF4" w:rsidRPr="00A67631">
        <w:t>/yr</w:t>
      </w:r>
      <w:r w:rsidR="004F1B4F" w:rsidRPr="00A67631">
        <w:t xml:space="preserve"> and MW savings vary significantly among EDCs. This is not surprising, given that each EDC has a different number of eligible low-income participants and a varying array of energy efficiency measure offerings.</w:t>
      </w:r>
    </w:p>
    <w:p w:rsidR="00BC2AB5" w:rsidRDefault="00BC2AB5" w:rsidP="00A67631"/>
    <w:p w:rsidR="004F1B4F" w:rsidRPr="003900A2" w:rsidRDefault="00BC2AB5" w:rsidP="007B47DF">
      <w:pPr>
        <w:pStyle w:val="Caption"/>
      </w:pPr>
      <w:bookmarkStart w:id="117" w:name="_Ref472430669"/>
      <w:bookmarkStart w:id="118" w:name="_Toc472472211"/>
      <w:bookmarkStart w:id="119" w:name="_Toc488741789"/>
      <w:r>
        <w:rPr>
          <w:noProof/>
        </w:rPr>
        <w:drawing>
          <wp:anchor distT="0" distB="0" distL="114300" distR="114300" simplePos="0" relativeHeight="251683846" behindDoc="1" locked="0" layoutInCell="1" allowOverlap="1" wp14:anchorId="2E720ADC" wp14:editId="44ECED79">
            <wp:simplePos x="0" y="0"/>
            <wp:positionH relativeFrom="column">
              <wp:posOffset>291824</wp:posOffset>
            </wp:positionH>
            <wp:positionV relativeFrom="paragraph">
              <wp:posOffset>191135</wp:posOffset>
            </wp:positionV>
            <wp:extent cx="5525312" cy="3349487"/>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5312" cy="3349487"/>
                    </a:xfrm>
                    <a:prstGeom prst="rect">
                      <a:avLst/>
                    </a:prstGeom>
                    <a:noFill/>
                  </pic:spPr>
                </pic:pic>
              </a:graphicData>
            </a:graphic>
            <wp14:sizeRelH relativeFrom="page">
              <wp14:pctWidth>0</wp14:pctWidth>
            </wp14:sizeRelH>
            <wp14:sizeRelV relativeFrom="page">
              <wp14:pctHeight>0</wp14:pctHeight>
            </wp14:sizeRelV>
          </wp:anchor>
        </w:drawing>
      </w:r>
      <w:r w:rsidR="0036462C" w:rsidRPr="003900A2">
        <w:t xml:space="preserve">Figure </w:t>
      </w:r>
      <w:r w:rsidR="007973A4">
        <w:fldChar w:fldCharType="begin"/>
      </w:r>
      <w:r w:rsidR="007973A4">
        <w:instrText xml:space="preserve"> STYLEREF 1 \s </w:instrText>
      </w:r>
      <w:r w:rsidR="007973A4">
        <w:fldChar w:fldCharType="separate"/>
      </w:r>
      <w:r w:rsidR="007B47DF">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7B47DF">
        <w:rPr>
          <w:noProof/>
        </w:rPr>
        <w:t>3</w:t>
      </w:r>
      <w:r w:rsidR="007973A4">
        <w:rPr>
          <w:noProof/>
        </w:rPr>
        <w:fldChar w:fldCharType="end"/>
      </w:r>
      <w:bookmarkEnd w:id="117"/>
      <w:r w:rsidR="0036462C" w:rsidRPr="003900A2">
        <w:t>:</w:t>
      </w:r>
      <w:r w:rsidR="004F1B4F" w:rsidRPr="003900A2">
        <w:t xml:space="preserve"> Residential Low-Income Program PY7 Total MWh</w:t>
      </w:r>
      <w:r w:rsidR="003F5DF4">
        <w:t>/yr</w:t>
      </w:r>
      <w:r w:rsidR="004F1B4F" w:rsidRPr="003900A2">
        <w:t xml:space="preserve"> Savings by</w:t>
      </w:r>
      <w:r w:rsidR="00220ADF">
        <w:t xml:space="preserve"> </w:t>
      </w:r>
      <w:r w:rsidR="004F1B4F" w:rsidRPr="003900A2">
        <w:t>EDC</w:t>
      </w:r>
      <w:bookmarkEnd w:id="118"/>
      <w:bookmarkEnd w:id="119"/>
      <w:r w:rsidR="004F1B4F" w:rsidRPr="003900A2">
        <w:t xml:space="preserve"> </w:t>
      </w:r>
    </w:p>
    <w:p w:rsidR="004F1B4F" w:rsidRDefault="004F1B4F" w:rsidP="004F1B4F">
      <w:pPr>
        <w:spacing w:after="120"/>
        <w:jc w:val="center"/>
      </w:pPr>
    </w:p>
    <w:p w:rsidR="004F1B4F" w:rsidRPr="003900A2" w:rsidRDefault="0036462C" w:rsidP="004837FA">
      <w:pPr>
        <w:pStyle w:val="Caption"/>
      </w:pPr>
      <w:bookmarkStart w:id="120" w:name="_Ref472430681"/>
      <w:bookmarkStart w:id="121" w:name="_Ref473707472"/>
      <w:bookmarkStart w:id="122" w:name="_Toc472472212"/>
      <w:bookmarkStart w:id="123" w:name="_Toc488741790"/>
      <w:r w:rsidRPr="003900A2">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4</w:t>
      </w:r>
      <w:r w:rsidR="007973A4">
        <w:rPr>
          <w:noProof/>
        </w:rPr>
        <w:fldChar w:fldCharType="end"/>
      </w:r>
      <w:bookmarkEnd w:id="120"/>
      <w:bookmarkEnd w:id="121"/>
      <w:r w:rsidRPr="003900A2">
        <w:t>:</w:t>
      </w:r>
      <w:r w:rsidR="004F1B4F" w:rsidRPr="003900A2">
        <w:t xml:space="preserve"> Residential Low-Income PY7 Total MW Savings by EDC</w:t>
      </w:r>
      <w:bookmarkEnd w:id="122"/>
      <w:bookmarkEnd w:id="123"/>
    </w:p>
    <w:p w:rsidR="004F1B4F" w:rsidRDefault="0071791F" w:rsidP="004F1B4F">
      <w:pPr>
        <w:spacing w:after="120"/>
      </w:pPr>
      <w:r>
        <w:rPr>
          <w:noProof/>
        </w:rPr>
        <w:drawing>
          <wp:inline distT="0" distB="0" distL="0" distR="0" wp14:anchorId="6B12BFB7" wp14:editId="40A44E7C">
            <wp:extent cx="5612130" cy="255850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4588" cy="2582421"/>
                    </a:xfrm>
                    <a:prstGeom prst="rect">
                      <a:avLst/>
                    </a:prstGeom>
                    <a:noFill/>
                  </pic:spPr>
                </pic:pic>
              </a:graphicData>
            </a:graphic>
          </wp:inline>
        </w:drawing>
      </w:r>
    </w:p>
    <w:p w:rsidR="004F1B4F" w:rsidRDefault="007B7BD7" w:rsidP="004F1B4F">
      <w:r>
        <w:fldChar w:fldCharType="begin"/>
      </w:r>
      <w:r>
        <w:instrText xml:space="preserve"> REF _Ref472430700 \h </w:instrText>
      </w:r>
      <w:r>
        <w:fldChar w:fldCharType="separate"/>
      </w:r>
      <w:r w:rsidR="00C25F2C" w:rsidRPr="0071791F">
        <w:t xml:space="preserve">Figure </w:t>
      </w:r>
      <w:r w:rsidR="00C25F2C">
        <w:rPr>
          <w:noProof/>
        </w:rPr>
        <w:t>2</w:t>
      </w:r>
      <w:r w:rsidR="00C25F2C">
        <w:noBreakHyphen/>
      </w:r>
      <w:r w:rsidR="00C25F2C">
        <w:rPr>
          <w:noProof/>
        </w:rPr>
        <w:t>5</w:t>
      </w:r>
      <w:r>
        <w:fldChar w:fldCharType="end"/>
      </w:r>
      <w:r>
        <w:t xml:space="preserve">, </w:t>
      </w:r>
      <w:r>
        <w:fldChar w:fldCharType="begin"/>
      </w:r>
      <w:r>
        <w:instrText xml:space="preserve"> REF _Ref472430707 \h </w:instrText>
      </w:r>
      <w:r>
        <w:fldChar w:fldCharType="separate"/>
      </w:r>
      <w:r w:rsidR="00C25F2C" w:rsidRPr="0071791F">
        <w:t xml:space="preserve">Figure </w:t>
      </w:r>
      <w:r w:rsidR="00C25F2C">
        <w:rPr>
          <w:noProof/>
        </w:rPr>
        <w:t>2</w:t>
      </w:r>
      <w:r w:rsidR="00C25F2C">
        <w:noBreakHyphen/>
      </w:r>
      <w:r w:rsidR="00C25F2C">
        <w:rPr>
          <w:noProof/>
        </w:rPr>
        <w:t>6</w:t>
      </w:r>
      <w:r>
        <w:fldChar w:fldCharType="end"/>
      </w:r>
      <w:r>
        <w:t xml:space="preserve">, and </w:t>
      </w:r>
      <w:r>
        <w:fldChar w:fldCharType="begin"/>
      </w:r>
      <w:r>
        <w:instrText xml:space="preserve"> REF _Ref473707555 \h </w:instrText>
      </w:r>
      <w:r>
        <w:fldChar w:fldCharType="separate"/>
      </w:r>
      <w:r w:rsidR="00C25F2C" w:rsidRPr="0071791F">
        <w:t xml:space="preserve">Figure </w:t>
      </w:r>
      <w:r w:rsidR="00C25F2C">
        <w:rPr>
          <w:noProof/>
        </w:rPr>
        <w:t>2</w:t>
      </w:r>
      <w:r w:rsidR="00C25F2C">
        <w:noBreakHyphen/>
      </w:r>
      <w:r w:rsidR="00C25F2C">
        <w:rPr>
          <w:noProof/>
        </w:rPr>
        <w:t>7</w:t>
      </w:r>
      <w:r>
        <w:fldChar w:fldCharType="end"/>
      </w:r>
      <w:r>
        <w:t xml:space="preserve"> </w:t>
      </w:r>
      <w:r w:rsidR="004F1B4F">
        <w:t xml:space="preserve">provide data on the number of on-site inspections, telephone inspections, and desk audits and database reviews, respectively, completed by the EDCs and their </w:t>
      </w:r>
      <w:r w:rsidR="004F1B4F">
        <w:rPr>
          <w:color w:val="000000"/>
        </w:rPr>
        <w:t>evaluation contractors</w:t>
      </w:r>
      <w:r w:rsidR="004F1B4F" w:rsidRPr="00D85274">
        <w:rPr>
          <w:color w:val="000000"/>
        </w:rPr>
        <w:t xml:space="preserve"> </w:t>
      </w:r>
      <w:r w:rsidR="004F1B4F">
        <w:t xml:space="preserve">to verify installations and program savings for low-income programs. Duquesne </w:t>
      </w:r>
      <w:r w:rsidR="00236CCA">
        <w:t xml:space="preserve">and </w:t>
      </w:r>
      <w:r w:rsidR="004F1B4F">
        <w:t>PECO</w:t>
      </w:r>
      <w:r w:rsidR="004F1B4F" w:rsidRPr="001D1F47">
        <w:t xml:space="preserve"> </w:t>
      </w:r>
      <w:r w:rsidR="004F1B4F">
        <w:t>relied extensively on</w:t>
      </w:r>
      <w:r w:rsidR="004F1B4F" w:rsidRPr="001D1F47">
        <w:t xml:space="preserve"> a TRM-based engineering review of the program</w:t>
      </w:r>
      <w:r w:rsidR="004F1B4F">
        <w:t>-</w:t>
      </w:r>
      <w:r w:rsidR="004F1B4F" w:rsidRPr="001D1F47">
        <w:t>tracking database,</w:t>
      </w:r>
      <w:r w:rsidR="004F1B4F">
        <w:t xml:space="preserve"> which </w:t>
      </w:r>
      <w:r w:rsidR="00236CCA">
        <w:t>they</w:t>
      </w:r>
      <w:r w:rsidR="004F1B4F" w:rsidRPr="001D1F47">
        <w:t xml:space="preserve"> </w:t>
      </w:r>
      <w:r w:rsidR="004F1B4F">
        <w:t>enhanced</w:t>
      </w:r>
      <w:r w:rsidR="004F1B4F" w:rsidRPr="001D1F47">
        <w:t xml:space="preserve"> with telephone </w:t>
      </w:r>
      <w:r w:rsidR="004F1B4F">
        <w:t xml:space="preserve">inspections. The four FirstEnergy EDCs and PPL used a combination of on-site inspections and desk audits. On-site inspections are the most accurate method to verify equipment installations and program savings because the auditor can view first-hand whether equipment is properly installed and operating. However, an on-site inspection is more expensive than a desk audit or a telephone interview. When deciding on the best technique to use for verifying savings from low-income programs, one needs to consider the value of information and the relative proportion of total portfolio savings provided by low-income programs versus other programs. </w:t>
      </w:r>
    </w:p>
    <w:p w:rsidR="004F1B4F" w:rsidRDefault="004F1B4F" w:rsidP="004F1B4F"/>
    <w:p w:rsidR="004F1B4F" w:rsidRPr="0071791F" w:rsidRDefault="0036462C" w:rsidP="004837FA">
      <w:pPr>
        <w:pStyle w:val="Caption"/>
      </w:pPr>
      <w:bookmarkStart w:id="124" w:name="_Ref472430700"/>
      <w:bookmarkStart w:id="125" w:name="_Toc472472213"/>
      <w:bookmarkStart w:id="126" w:name="_Toc488741791"/>
      <w:r w:rsidRPr="0071791F">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5</w:t>
      </w:r>
      <w:r w:rsidR="007973A4">
        <w:rPr>
          <w:noProof/>
        </w:rPr>
        <w:fldChar w:fldCharType="end"/>
      </w:r>
      <w:bookmarkEnd w:id="124"/>
      <w:r w:rsidRPr="0071791F">
        <w:t>:</w:t>
      </w:r>
      <w:r w:rsidR="004F1B4F" w:rsidRPr="0071791F">
        <w:t xml:space="preserve"> Number of PY7 Residential Low-Income Program On-Site Inspections Completed by EDC</w:t>
      </w:r>
      <w:bookmarkEnd w:id="125"/>
      <w:bookmarkEnd w:id="126"/>
    </w:p>
    <w:p w:rsidR="004F1B4F" w:rsidRDefault="0071791F" w:rsidP="004F1B4F">
      <w:pPr>
        <w:rPr>
          <w:rFonts w:ascii="Century Gothic" w:hAnsi="Century Gothic"/>
          <w:b/>
          <w:sz w:val="18"/>
          <w:szCs w:val="18"/>
        </w:rPr>
      </w:pPr>
      <w:r w:rsidRPr="0071791F">
        <w:rPr>
          <w:rFonts w:ascii="Century Gothic" w:hAnsi="Century Gothic"/>
          <w:b/>
          <w:noProof/>
          <w:sz w:val="18"/>
          <w:szCs w:val="18"/>
        </w:rPr>
        <w:drawing>
          <wp:inline distT="0" distB="0" distL="0" distR="0" wp14:anchorId="60857652" wp14:editId="7B190A3E">
            <wp:extent cx="5796501" cy="2585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9186" cy="2608495"/>
                    </a:xfrm>
                    <a:prstGeom prst="rect">
                      <a:avLst/>
                    </a:prstGeom>
                    <a:noFill/>
                  </pic:spPr>
                </pic:pic>
              </a:graphicData>
            </a:graphic>
          </wp:inline>
        </w:drawing>
      </w:r>
    </w:p>
    <w:p w:rsidR="0071791F" w:rsidRPr="0071791F" w:rsidRDefault="0071791F" w:rsidP="004F1B4F">
      <w:pPr>
        <w:rPr>
          <w:rFonts w:ascii="Century Gothic" w:hAnsi="Century Gothic"/>
          <w:b/>
          <w:sz w:val="18"/>
          <w:szCs w:val="18"/>
        </w:rPr>
      </w:pPr>
    </w:p>
    <w:p w:rsidR="004F1B4F" w:rsidRPr="0071791F" w:rsidRDefault="0036462C" w:rsidP="004837FA">
      <w:pPr>
        <w:pStyle w:val="Caption"/>
      </w:pPr>
      <w:bookmarkStart w:id="127" w:name="_Ref472430707"/>
      <w:bookmarkStart w:id="128" w:name="_Toc472472214"/>
      <w:bookmarkStart w:id="129" w:name="_Toc488741792"/>
      <w:r w:rsidRPr="0071791F">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6</w:t>
      </w:r>
      <w:r w:rsidR="007973A4">
        <w:rPr>
          <w:noProof/>
        </w:rPr>
        <w:fldChar w:fldCharType="end"/>
      </w:r>
      <w:bookmarkEnd w:id="127"/>
      <w:r w:rsidRPr="0071791F">
        <w:t>:</w:t>
      </w:r>
      <w:r w:rsidR="004F1B4F" w:rsidRPr="0071791F">
        <w:t xml:space="preserve"> Number of PY7 Residential Low-Income Program Telephone Inspections Completed by EDC</w:t>
      </w:r>
      <w:bookmarkEnd w:id="128"/>
      <w:bookmarkEnd w:id="129"/>
    </w:p>
    <w:p w:rsidR="004F1B4F" w:rsidRPr="0071791F" w:rsidRDefault="0071791F" w:rsidP="004F1B4F">
      <w:pPr>
        <w:spacing w:after="120"/>
        <w:jc w:val="center"/>
      </w:pPr>
      <w:r>
        <w:rPr>
          <w:noProof/>
        </w:rPr>
        <w:drawing>
          <wp:inline distT="0" distB="0" distL="0" distR="0" wp14:anchorId="0AAAE04B" wp14:editId="586B42C9">
            <wp:extent cx="5557962" cy="2605012"/>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4811" cy="2608222"/>
                    </a:xfrm>
                    <a:prstGeom prst="rect">
                      <a:avLst/>
                    </a:prstGeom>
                    <a:noFill/>
                  </pic:spPr>
                </pic:pic>
              </a:graphicData>
            </a:graphic>
          </wp:inline>
        </w:drawing>
      </w:r>
    </w:p>
    <w:p w:rsidR="008A7824" w:rsidRDefault="008A7824" w:rsidP="004F1B4F"/>
    <w:p w:rsidR="004F1B4F" w:rsidRPr="003E0ABF" w:rsidRDefault="0036462C" w:rsidP="004837FA">
      <w:pPr>
        <w:pStyle w:val="Caption"/>
        <w:rPr>
          <w:noProof/>
        </w:rPr>
      </w:pPr>
      <w:bookmarkStart w:id="130" w:name="_Ref472430721"/>
      <w:bookmarkStart w:id="131" w:name="_Ref473205676"/>
      <w:bookmarkStart w:id="132" w:name="_Ref473707555"/>
      <w:bookmarkStart w:id="133" w:name="_Toc472472215"/>
      <w:bookmarkStart w:id="134" w:name="_Toc488741793"/>
      <w:r w:rsidRPr="0071791F">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7</w:t>
      </w:r>
      <w:r w:rsidR="007973A4">
        <w:rPr>
          <w:noProof/>
        </w:rPr>
        <w:fldChar w:fldCharType="end"/>
      </w:r>
      <w:bookmarkEnd w:id="130"/>
      <w:bookmarkEnd w:id="131"/>
      <w:bookmarkEnd w:id="132"/>
      <w:r w:rsidRPr="0071791F">
        <w:t xml:space="preserve">: </w:t>
      </w:r>
      <w:bookmarkEnd w:id="133"/>
      <w:r w:rsidR="00D9014E">
        <w:t>Percent Desk Audits versus Database Reviews</w:t>
      </w:r>
      <w:bookmarkEnd w:id="134"/>
    </w:p>
    <w:p w:rsidR="002E578A" w:rsidRDefault="000850C5" w:rsidP="004837FA">
      <w:pPr>
        <w:pStyle w:val="Caption"/>
      </w:pPr>
      <w:r>
        <w:rPr>
          <w:noProof/>
        </w:rPr>
        <w:drawing>
          <wp:inline distT="0" distB="0" distL="0" distR="0" wp14:anchorId="25EDF2EF" wp14:editId="348D9377">
            <wp:extent cx="5913755"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3755" cy="2743200"/>
                    </a:xfrm>
                    <a:prstGeom prst="rect">
                      <a:avLst/>
                    </a:prstGeom>
                    <a:noFill/>
                  </pic:spPr>
                </pic:pic>
              </a:graphicData>
            </a:graphic>
          </wp:inline>
        </w:drawing>
      </w:r>
    </w:p>
    <w:p w:rsidR="00037CB4" w:rsidRDefault="003900A2" w:rsidP="00B81A2F">
      <w:r w:rsidRPr="002E578A">
        <w:fldChar w:fldCharType="begin"/>
      </w:r>
      <w:r w:rsidRPr="002E578A">
        <w:instrText xml:space="preserve"> REF _Ref472430745 \h  \* MERGEFORMAT </w:instrText>
      </w:r>
      <w:r w:rsidRPr="002E578A">
        <w:fldChar w:fldCharType="separate"/>
      </w:r>
      <w:r w:rsidR="00037CB4" w:rsidRPr="003900A2">
        <w:t xml:space="preserve">Figure </w:t>
      </w:r>
      <w:r w:rsidR="00037CB4">
        <w:t>2</w:t>
      </w:r>
      <w:r w:rsidR="00037CB4">
        <w:noBreakHyphen/>
        <w:t>8</w:t>
      </w:r>
      <w:r w:rsidRPr="002E578A">
        <w:fldChar w:fldCharType="end"/>
      </w:r>
      <w:r w:rsidR="004F1B4F" w:rsidRPr="002E578A">
        <w:t xml:space="preserve"> </w:t>
      </w:r>
      <w:r w:rsidR="00177FD1" w:rsidRPr="002E578A">
        <w:t xml:space="preserve">shows </w:t>
      </w:r>
      <w:r w:rsidR="004F1B4F" w:rsidRPr="002E578A">
        <w:t>the</w:t>
      </w:r>
      <w:r w:rsidR="00177FD1" w:rsidRPr="002E578A">
        <w:t xml:space="preserve"> combined</w:t>
      </w:r>
      <w:r w:rsidR="004F1B4F" w:rsidRPr="002E578A">
        <w:t xml:space="preserve"> number of on-site and telephone inspections that were completed by</w:t>
      </w:r>
      <w:r w:rsidR="00177FD1" w:rsidRPr="002E578A">
        <w:t xml:space="preserve"> each</w:t>
      </w:r>
      <w:r w:rsidR="004F1B4F" w:rsidRPr="002E578A">
        <w:t xml:space="preserve"> EDC</w:t>
      </w:r>
      <w:r w:rsidR="00177FD1" w:rsidRPr="002E578A">
        <w:t xml:space="preserve">, and </w:t>
      </w:r>
      <w:r w:rsidR="00177FD1" w:rsidRPr="002E578A">
        <w:rPr>
          <w:b/>
          <w:bCs/>
          <w:sz w:val="18"/>
          <w:szCs w:val="18"/>
        </w:rPr>
        <w:fldChar w:fldCharType="begin"/>
      </w:r>
      <w:r w:rsidR="00177FD1" w:rsidRPr="002E578A">
        <w:instrText xml:space="preserve"> REF _Ref473205761 \h </w:instrText>
      </w:r>
      <w:r w:rsidR="002E578A">
        <w:instrText xml:space="preserve"> \* MERGEFORMAT </w:instrText>
      </w:r>
      <w:r w:rsidR="00177FD1" w:rsidRPr="002E578A">
        <w:rPr>
          <w:b/>
          <w:bCs/>
          <w:sz w:val="18"/>
          <w:szCs w:val="18"/>
        </w:rPr>
      </w:r>
      <w:r w:rsidR="00177FD1" w:rsidRPr="002E578A">
        <w:rPr>
          <w:b/>
          <w:bCs/>
          <w:sz w:val="18"/>
          <w:szCs w:val="18"/>
        </w:rPr>
        <w:fldChar w:fldCharType="separate"/>
      </w:r>
    </w:p>
    <w:p w:rsidR="00037CB4" w:rsidRDefault="00037CB4" w:rsidP="00B81A2F"/>
    <w:p w:rsidR="004F1B4F" w:rsidRPr="002E578A" w:rsidRDefault="00037CB4" w:rsidP="002E578A">
      <w:r w:rsidRPr="003900A2">
        <w:rPr>
          <w:noProof/>
        </w:rPr>
        <w:t>Figure</w:t>
      </w:r>
      <w:r w:rsidRPr="003900A2">
        <w:t xml:space="preserve"> </w:t>
      </w:r>
      <w:r>
        <w:rPr>
          <w:noProof/>
        </w:rPr>
        <w:t>2</w:t>
      </w:r>
      <w:r>
        <w:rPr>
          <w:noProof/>
        </w:rPr>
        <w:noBreakHyphen/>
        <w:t>9</w:t>
      </w:r>
      <w:r w:rsidR="00177FD1" w:rsidRPr="002E578A">
        <w:fldChar w:fldCharType="end"/>
      </w:r>
      <w:r w:rsidR="00177FD1" w:rsidRPr="00AE52DC">
        <w:t xml:space="preserve"> </w:t>
      </w:r>
      <w:r w:rsidR="00177FD1">
        <w:t xml:space="preserve">shows </w:t>
      </w:r>
      <w:r w:rsidR="00FE4EF2">
        <w:t>each EDC’s total low income program on-site and telephone inspections</w:t>
      </w:r>
      <w:r w:rsidR="00177FD1">
        <w:t xml:space="preserve"> as </w:t>
      </w:r>
      <w:r w:rsidR="004F1B4F">
        <w:t>a percentage of the</w:t>
      </w:r>
      <w:r w:rsidR="004F1B4F" w:rsidRPr="00AE52DC">
        <w:t xml:space="preserve"> number of </w:t>
      </w:r>
      <w:r w:rsidR="00FE4EF2">
        <w:t xml:space="preserve">low income program </w:t>
      </w:r>
      <w:r w:rsidR="004F1B4F" w:rsidRPr="00AE52DC">
        <w:t xml:space="preserve">participants. </w:t>
      </w:r>
      <w:r w:rsidR="004F1B4F">
        <w:t>T</w:t>
      </w:r>
      <w:r w:rsidR="004F1B4F" w:rsidRPr="00AE52DC">
        <w:t>he percent</w:t>
      </w:r>
      <w:r w:rsidR="004F1B4F">
        <w:t>age</w:t>
      </w:r>
      <w:r w:rsidR="004F1B4F" w:rsidRPr="00AE52DC">
        <w:t xml:space="preserve"> of participants receiving either a telephone or on-site inspection varie</w:t>
      </w:r>
      <w:r w:rsidR="004F1B4F">
        <w:t>d</w:t>
      </w:r>
      <w:r w:rsidR="004F1B4F" w:rsidRPr="00AE52DC">
        <w:t xml:space="preserve"> significantly </w:t>
      </w:r>
      <w:r w:rsidR="004F1B4F">
        <w:t>among</w:t>
      </w:r>
      <w:r w:rsidR="004F1B4F" w:rsidRPr="00AE52DC">
        <w:t xml:space="preserve"> EDC</w:t>
      </w:r>
      <w:r w:rsidR="004F1B4F">
        <w:t>s</w:t>
      </w:r>
      <w:r w:rsidR="004F1B4F" w:rsidRPr="00AE52DC">
        <w:t xml:space="preserve">. Going forward, the Phase II SWE Team recommends that the TUS staff consider establishing clearer guidelines for the number of telephone and on-site inspections that </w:t>
      </w:r>
      <w:r w:rsidR="0021712C">
        <w:t>should</w:t>
      </w:r>
      <w:r w:rsidR="004F1B4F" w:rsidRPr="00AE52DC">
        <w:t xml:space="preserve"> be performed for residential </w:t>
      </w:r>
      <w:r w:rsidR="004F1B4F">
        <w:t xml:space="preserve">low-income </w:t>
      </w:r>
      <w:r w:rsidR="004F1B4F" w:rsidRPr="00AE52DC">
        <w:t xml:space="preserve">programs. </w:t>
      </w:r>
      <w:r w:rsidR="00DF2DB6">
        <w:t>Though as stated earlier in this report, wh</w:t>
      </w:r>
      <w:r w:rsidR="00DF2DB6" w:rsidRPr="0061022A">
        <w:t>en deciding on the best technique to use for verifying savings from low-income programs, one needs to consider the value of information and the relative proportion of total portfolio savings provided by low-income programs versus other programs</w:t>
      </w:r>
      <w:r w:rsidR="00DF2DB6">
        <w:t>.</w:t>
      </w:r>
    </w:p>
    <w:p w:rsidR="002E578A" w:rsidRPr="00AE52DC" w:rsidRDefault="002E578A" w:rsidP="004F1B4F"/>
    <w:p w:rsidR="004F1B4F" w:rsidRPr="003900A2" w:rsidRDefault="0036462C" w:rsidP="004837FA">
      <w:pPr>
        <w:pStyle w:val="Caption"/>
      </w:pPr>
      <w:bookmarkStart w:id="135" w:name="_Ref472430745"/>
      <w:bookmarkStart w:id="136" w:name="_Toc472472216"/>
      <w:bookmarkStart w:id="137" w:name="_Toc488741794"/>
      <w:r w:rsidRPr="003900A2">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8</w:t>
      </w:r>
      <w:r w:rsidR="007973A4">
        <w:rPr>
          <w:noProof/>
        </w:rPr>
        <w:fldChar w:fldCharType="end"/>
      </w:r>
      <w:bookmarkEnd w:id="135"/>
      <w:r w:rsidRPr="003900A2">
        <w:t>:</w:t>
      </w:r>
      <w:r w:rsidR="004F1B4F" w:rsidRPr="003900A2">
        <w:t xml:space="preserve"> Number of PY7 Low-Income Combined On-Site and Telephone Inspections Completed by EDC</w:t>
      </w:r>
      <w:bookmarkEnd w:id="136"/>
      <w:bookmarkEnd w:id="137"/>
    </w:p>
    <w:p w:rsidR="004F1B4F" w:rsidRDefault="00373829" w:rsidP="004F1B4F">
      <w:pPr>
        <w:spacing w:after="120"/>
        <w:jc w:val="center"/>
      </w:pPr>
      <w:r>
        <w:rPr>
          <w:noProof/>
        </w:rPr>
        <w:drawing>
          <wp:inline distT="0" distB="0" distL="0" distR="0" wp14:anchorId="365F1180" wp14:editId="2B4F433A">
            <wp:extent cx="579755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7550" cy="2743200"/>
                    </a:xfrm>
                    <a:prstGeom prst="rect">
                      <a:avLst/>
                    </a:prstGeom>
                    <a:noFill/>
                  </pic:spPr>
                </pic:pic>
              </a:graphicData>
            </a:graphic>
          </wp:inline>
        </w:drawing>
      </w:r>
    </w:p>
    <w:p w:rsidR="00D81811" w:rsidRPr="00F10637" w:rsidRDefault="00D81811" w:rsidP="00F10637"/>
    <w:p w:rsidR="004F1B4F" w:rsidRPr="003A6AF7" w:rsidRDefault="0036462C" w:rsidP="004837FA">
      <w:pPr>
        <w:pStyle w:val="Caption"/>
      </w:pPr>
      <w:bookmarkStart w:id="138" w:name="_Toc488741795"/>
      <w:r w:rsidRPr="003900A2">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9</w:t>
      </w:r>
      <w:r w:rsidR="007973A4">
        <w:rPr>
          <w:noProof/>
        </w:rPr>
        <w:fldChar w:fldCharType="end"/>
      </w:r>
      <w:r w:rsidRPr="003900A2">
        <w:t>:</w:t>
      </w:r>
      <w:r w:rsidR="004F1B4F" w:rsidRPr="003900A2">
        <w:t xml:space="preserve"> PY7 Low-Income Combined On-Site and Telephone Inspections as a Percentage of Participant</w:t>
      </w:r>
      <w:r w:rsidR="004F1B4F" w:rsidRPr="003A6AF7">
        <w:t>s</w:t>
      </w:r>
      <w:bookmarkEnd w:id="138"/>
    </w:p>
    <w:p w:rsidR="004F1B4F" w:rsidRDefault="00373829" w:rsidP="004F1B4F">
      <w:pPr>
        <w:spacing w:after="120"/>
        <w:jc w:val="center"/>
      </w:pPr>
      <w:r>
        <w:rPr>
          <w:noProof/>
        </w:rPr>
        <w:drawing>
          <wp:inline distT="0" distB="0" distL="0" distR="0" wp14:anchorId="446EEFAD" wp14:editId="49F9729A">
            <wp:extent cx="5565913" cy="2627841"/>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7665" cy="2628668"/>
                    </a:xfrm>
                    <a:prstGeom prst="rect">
                      <a:avLst/>
                    </a:prstGeom>
                    <a:noFill/>
                  </pic:spPr>
                </pic:pic>
              </a:graphicData>
            </a:graphic>
          </wp:inline>
        </w:drawing>
      </w:r>
    </w:p>
    <w:p w:rsidR="00B0359A" w:rsidRDefault="00B0359A" w:rsidP="004F1B4F">
      <w:pPr>
        <w:rPr>
          <w:highlight w:val="yellow"/>
        </w:rPr>
      </w:pPr>
    </w:p>
    <w:p w:rsidR="004F1B4F" w:rsidRDefault="003900A2" w:rsidP="004F1B4F">
      <w:r>
        <w:rPr>
          <w:highlight w:val="yellow"/>
        </w:rPr>
        <w:fldChar w:fldCharType="begin"/>
      </w:r>
      <w:r>
        <w:instrText xml:space="preserve"> REF _Ref472430766 \h </w:instrText>
      </w:r>
      <w:r>
        <w:rPr>
          <w:highlight w:val="yellow"/>
        </w:rPr>
      </w:r>
      <w:r>
        <w:rPr>
          <w:highlight w:val="yellow"/>
        </w:rPr>
        <w:fldChar w:fldCharType="separate"/>
      </w:r>
      <w:r w:rsidR="00AC3B2E" w:rsidRPr="00AC3B2E">
        <w:t>Figure 2</w:t>
      </w:r>
      <w:r w:rsidR="00AC3B2E" w:rsidRPr="00AC3B2E">
        <w:noBreakHyphen/>
        <w:t>10</w:t>
      </w:r>
      <w:r>
        <w:rPr>
          <w:highlight w:val="yellow"/>
        </w:rPr>
        <w:fldChar w:fldCharType="end"/>
      </w:r>
      <w:r w:rsidR="004F1B4F" w:rsidRPr="00AE52DC">
        <w:t xml:space="preserve"> </w:t>
      </w:r>
      <w:r w:rsidR="00177FD1">
        <w:t xml:space="preserve">shows </w:t>
      </w:r>
      <w:r w:rsidR="004F1B4F" w:rsidRPr="00AE52DC">
        <w:t xml:space="preserve">the </w:t>
      </w:r>
      <w:r w:rsidR="004F1B4F">
        <w:t>low-income p</w:t>
      </w:r>
      <w:r w:rsidR="004F1B4F" w:rsidRPr="00AE52DC">
        <w:t>rograms</w:t>
      </w:r>
      <w:r w:rsidR="004F1B4F">
        <w:t>’</w:t>
      </w:r>
      <w:r w:rsidR="004F1B4F" w:rsidRPr="00AE52DC">
        <w:t xml:space="preserve"> TRC </w:t>
      </w:r>
      <w:r w:rsidR="004F1B4F">
        <w:t>ratios</w:t>
      </w:r>
      <w:r w:rsidR="004F1B4F" w:rsidRPr="00AE52DC">
        <w:t xml:space="preserve"> by EDC for PY7. </w:t>
      </w:r>
      <w:r w:rsidR="004F1B4F">
        <w:t xml:space="preserve">The ratios </w:t>
      </w:r>
      <w:r w:rsidR="004F1B4F" w:rsidRPr="00AE52DC">
        <w:t xml:space="preserve">vary significantly, ranging from a low of </w:t>
      </w:r>
      <w:r w:rsidR="004F1B4F">
        <w:t>0</w:t>
      </w:r>
      <w:r w:rsidR="004F1B4F" w:rsidRPr="00AE52DC">
        <w:t xml:space="preserve">.25 for West Penn to a high of </w:t>
      </w:r>
      <w:r w:rsidR="00D806C2">
        <w:t>2.75</w:t>
      </w:r>
      <w:r w:rsidR="004F1B4F" w:rsidRPr="00AE52DC">
        <w:t xml:space="preserve"> for Duquesne. A major reason for the differences is that the measures and services offered vary significantly </w:t>
      </w:r>
      <w:r w:rsidR="004F1B4F">
        <w:t>among</w:t>
      </w:r>
      <w:r w:rsidR="004F1B4F" w:rsidRPr="00AE52DC">
        <w:t xml:space="preserve"> EDC</w:t>
      </w:r>
      <w:r w:rsidR="004F1B4F">
        <w:t>s</w:t>
      </w:r>
      <w:r w:rsidR="004F1B4F" w:rsidRPr="00AE52DC">
        <w:t>.</w:t>
      </w:r>
    </w:p>
    <w:p w:rsidR="004F1B4F" w:rsidRDefault="004F1B4F"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4F1B4F" w:rsidRPr="00AC3B2E" w:rsidRDefault="00876984" w:rsidP="00AC3B2E">
      <w:pPr>
        <w:pStyle w:val="Caption"/>
      </w:pPr>
      <w:bookmarkStart w:id="139" w:name="_Ref472430766"/>
      <w:bookmarkStart w:id="140" w:name="_Toc472472218"/>
      <w:bookmarkStart w:id="141" w:name="_Toc488741796"/>
      <w:r>
        <w:rPr>
          <w:noProof/>
        </w:rPr>
        <w:drawing>
          <wp:anchor distT="0" distB="0" distL="114300" distR="114300" simplePos="0" relativeHeight="251680774" behindDoc="1" locked="0" layoutInCell="1" allowOverlap="1" wp14:anchorId="00AA03A0" wp14:editId="3018D569">
            <wp:simplePos x="0" y="0"/>
            <wp:positionH relativeFrom="column">
              <wp:posOffset>-28575</wp:posOffset>
            </wp:positionH>
            <wp:positionV relativeFrom="paragraph">
              <wp:posOffset>104775</wp:posOffset>
            </wp:positionV>
            <wp:extent cx="6059805" cy="27432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9805" cy="2743200"/>
                    </a:xfrm>
                    <a:prstGeom prst="rect">
                      <a:avLst/>
                    </a:prstGeom>
                    <a:noFill/>
                  </pic:spPr>
                </pic:pic>
              </a:graphicData>
            </a:graphic>
            <wp14:sizeRelH relativeFrom="page">
              <wp14:pctWidth>0</wp14:pctWidth>
            </wp14:sizeRelH>
            <wp14:sizeRelV relativeFrom="page">
              <wp14:pctHeight>0</wp14:pctHeight>
            </wp14:sizeRelV>
          </wp:anchor>
        </w:drawing>
      </w:r>
      <w:r w:rsidR="0036462C" w:rsidRPr="00AC3B2E">
        <w:t xml:space="preserve">Figure </w:t>
      </w:r>
      <w:r w:rsidR="007973A4">
        <w:fldChar w:fldCharType="begin"/>
      </w:r>
      <w:r w:rsidR="007973A4">
        <w:instrText xml:space="preserve"> STYLEREF 1 \s </w:instrText>
      </w:r>
      <w:r w:rsidR="007973A4">
        <w:fldChar w:fldCharType="separate"/>
      </w:r>
      <w:r w:rsidR="00AC3B2E" w:rsidRPr="00AC3B2E">
        <w:t>2</w:t>
      </w:r>
      <w:r w:rsidR="007973A4">
        <w:fldChar w:fldCharType="end"/>
      </w:r>
      <w:r w:rsidR="00DA1ADA" w:rsidRPr="00AC3B2E">
        <w:noBreakHyphen/>
      </w:r>
      <w:r w:rsidR="007973A4">
        <w:fldChar w:fldCharType="begin"/>
      </w:r>
      <w:r w:rsidR="007973A4">
        <w:instrText xml:space="preserve"> SEQ Figure \* ARABIC \s 1 </w:instrText>
      </w:r>
      <w:r w:rsidR="007973A4">
        <w:fldChar w:fldCharType="separate"/>
      </w:r>
      <w:r w:rsidR="00AC3B2E" w:rsidRPr="00AC3B2E">
        <w:t>10</w:t>
      </w:r>
      <w:r w:rsidR="007973A4">
        <w:fldChar w:fldCharType="end"/>
      </w:r>
      <w:bookmarkEnd w:id="139"/>
      <w:r w:rsidR="0036462C" w:rsidRPr="00AC3B2E">
        <w:t>:</w:t>
      </w:r>
      <w:r w:rsidR="004F1B4F" w:rsidRPr="00AC3B2E">
        <w:t xml:space="preserve"> PY7 Residential Low-Income Program TRC Ratios by EDC</w:t>
      </w:r>
      <w:bookmarkEnd w:id="140"/>
      <w:bookmarkEnd w:id="141"/>
    </w:p>
    <w:p w:rsidR="00AC3B2E" w:rsidRDefault="00AC3B2E"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876984" w:rsidRDefault="00876984" w:rsidP="004F1B4F"/>
    <w:p w:rsidR="004F1B4F" w:rsidRDefault="007B7BD7" w:rsidP="004F1B4F">
      <w:r>
        <w:fldChar w:fldCharType="begin"/>
      </w:r>
      <w:r>
        <w:instrText xml:space="preserve"> REF _Ref473707592 \h </w:instrText>
      </w:r>
      <w:r>
        <w:fldChar w:fldCharType="separate"/>
      </w:r>
      <w:r w:rsidR="00037CB4" w:rsidRPr="003900A2">
        <w:t xml:space="preserve">Figure </w:t>
      </w:r>
      <w:r w:rsidR="00037CB4">
        <w:rPr>
          <w:noProof/>
        </w:rPr>
        <w:t>2</w:t>
      </w:r>
      <w:r w:rsidR="00037CB4">
        <w:noBreakHyphen/>
      </w:r>
      <w:r w:rsidR="00037CB4">
        <w:rPr>
          <w:noProof/>
        </w:rPr>
        <w:t>11</w:t>
      </w:r>
      <w:r>
        <w:fldChar w:fldCharType="end"/>
      </w:r>
      <w:r>
        <w:t xml:space="preserve"> </w:t>
      </w:r>
      <w:r w:rsidR="004F1B4F" w:rsidRPr="00AE52DC">
        <w:t>compares the seven EDCs</w:t>
      </w:r>
      <w:r w:rsidR="004F1B4F">
        <w:t>’</w:t>
      </w:r>
      <w:r w:rsidR="004F1B4F" w:rsidRPr="00AE52DC">
        <w:t xml:space="preserve"> PY7 </w:t>
      </w:r>
      <w:r w:rsidR="00BF021A">
        <w:t xml:space="preserve">estimated </w:t>
      </w:r>
      <w:r w:rsidR="00BD5107">
        <w:t xml:space="preserve">expenditures in the EE&amp;C </w:t>
      </w:r>
      <w:r w:rsidR="003F5DF4">
        <w:t>Plan</w:t>
      </w:r>
      <w:r w:rsidR="00BD5107">
        <w:t xml:space="preserve">s </w:t>
      </w:r>
      <w:r w:rsidR="004F1B4F" w:rsidRPr="00AE52DC">
        <w:t xml:space="preserve">for </w:t>
      </w:r>
      <w:r w:rsidR="004F1B4F">
        <w:t xml:space="preserve">low-income </w:t>
      </w:r>
      <w:r w:rsidR="004F1B4F" w:rsidRPr="00AE52DC">
        <w:t xml:space="preserve">programs </w:t>
      </w:r>
      <w:r w:rsidR="004F1B4F">
        <w:t>with</w:t>
      </w:r>
      <w:r w:rsidR="004F1B4F" w:rsidRPr="00AE52DC">
        <w:t xml:space="preserve"> the actual expenditures </w:t>
      </w:r>
      <w:r w:rsidR="004F1B4F">
        <w:t xml:space="preserve">the programs </w:t>
      </w:r>
      <w:r w:rsidR="00935AEB">
        <w:t>incurred in PY7.</w:t>
      </w:r>
    </w:p>
    <w:p w:rsidR="000F5A29" w:rsidRPr="000F5A29" w:rsidRDefault="000F5A29" w:rsidP="000F5A29">
      <w:bookmarkStart w:id="142" w:name="_Ref472430774"/>
      <w:bookmarkStart w:id="143" w:name="_Toc472472219"/>
    </w:p>
    <w:p w:rsidR="004F1B4F" w:rsidRPr="003900A2" w:rsidRDefault="0036462C" w:rsidP="004837FA">
      <w:pPr>
        <w:pStyle w:val="Caption"/>
      </w:pPr>
      <w:bookmarkStart w:id="144" w:name="_Ref473707592"/>
      <w:bookmarkStart w:id="145" w:name="_Toc488741797"/>
      <w:r w:rsidRPr="003900A2">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11</w:t>
      </w:r>
      <w:r w:rsidR="007973A4">
        <w:rPr>
          <w:noProof/>
        </w:rPr>
        <w:fldChar w:fldCharType="end"/>
      </w:r>
      <w:bookmarkEnd w:id="142"/>
      <w:bookmarkEnd w:id="144"/>
      <w:r w:rsidRPr="003900A2">
        <w:t>:</w:t>
      </w:r>
      <w:r w:rsidR="004F1B4F" w:rsidRPr="003900A2">
        <w:t xml:space="preserve"> PY7 Residential Low-Income Program </w:t>
      </w:r>
      <w:r w:rsidR="00937B49">
        <w:t xml:space="preserve">EE&amp;C Plan </w:t>
      </w:r>
      <w:r w:rsidR="00BF021A">
        <w:t>E</w:t>
      </w:r>
      <w:r w:rsidR="00937B49">
        <w:t>stimate</w:t>
      </w:r>
      <w:r w:rsidR="00BD5107">
        <w:t xml:space="preserve">s </w:t>
      </w:r>
      <w:r w:rsidR="004F1B4F" w:rsidRPr="003900A2">
        <w:t>versus PY7 Actual Expenditures</w:t>
      </w:r>
      <w:bookmarkEnd w:id="143"/>
      <w:bookmarkEnd w:id="145"/>
    </w:p>
    <w:p w:rsidR="004F1B4F" w:rsidRDefault="00373829" w:rsidP="004F1B4F">
      <w:pPr>
        <w:spacing w:after="120"/>
        <w:jc w:val="center"/>
      </w:pPr>
      <w:r>
        <w:rPr>
          <w:noProof/>
        </w:rPr>
        <w:drawing>
          <wp:inline distT="0" distB="0" distL="0" distR="0" wp14:anchorId="3878C653" wp14:editId="0C5D2A5C">
            <wp:extent cx="5629275" cy="27336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extLst>
                        <a:ext uri="{28A0092B-C50C-407E-A947-70E740481C1C}">
                          <a14:useLocalDpi xmlns:a14="http://schemas.microsoft.com/office/drawing/2010/main" val="0"/>
                        </a:ext>
                      </a:extLst>
                    </a:blip>
                    <a:srcRect b="3796"/>
                    <a:stretch/>
                  </pic:blipFill>
                  <pic:spPr bwMode="auto">
                    <a:xfrm>
                      <a:off x="0" y="0"/>
                      <a:ext cx="5640406" cy="2739080"/>
                    </a:xfrm>
                    <a:prstGeom prst="rect">
                      <a:avLst/>
                    </a:prstGeom>
                    <a:noFill/>
                    <a:ln>
                      <a:noFill/>
                    </a:ln>
                    <a:extLst>
                      <a:ext uri="{53640926-AAD7-44D8-BBD7-CCE9431645EC}">
                        <a14:shadowObscured xmlns:a14="http://schemas.microsoft.com/office/drawing/2010/main"/>
                      </a:ext>
                    </a:extLst>
                  </pic:spPr>
                </pic:pic>
              </a:graphicData>
            </a:graphic>
          </wp:inline>
        </w:drawing>
      </w:r>
    </w:p>
    <w:p w:rsidR="007B7BD7" w:rsidRDefault="007B7BD7" w:rsidP="004F1B4F"/>
    <w:p w:rsidR="004F1B4F" w:rsidRDefault="00E711F9" w:rsidP="004F1B4F">
      <w:r>
        <w:t>During PY7, a</w:t>
      </w:r>
      <w:r w:rsidR="00935AEB" w:rsidRPr="00AE52DC">
        <w:t xml:space="preserve">ll of the EDCs spent less than they had budgeted for their </w:t>
      </w:r>
      <w:r w:rsidR="00935AEB">
        <w:t xml:space="preserve">low-income </w:t>
      </w:r>
      <w:r w:rsidR="00935AEB" w:rsidRPr="00AE52DC">
        <w:t xml:space="preserve">programs. </w:t>
      </w:r>
      <w:r w:rsidR="00935AEB">
        <w:t>A</w:t>
      </w:r>
      <w:r w:rsidR="00935AEB" w:rsidRPr="00AE52DC">
        <w:t>ctual expenditures</w:t>
      </w:r>
      <w:r w:rsidR="00935AEB">
        <w:t xml:space="preserve"> for </w:t>
      </w:r>
      <w:r w:rsidR="00935AEB" w:rsidRPr="00AE52DC">
        <w:t>PPL and PECO were slightly below their budget amounts</w:t>
      </w:r>
      <w:r w:rsidR="00935AEB">
        <w:t>,</w:t>
      </w:r>
      <w:r w:rsidR="00935AEB" w:rsidRPr="00AE52DC">
        <w:t xml:space="preserve"> but </w:t>
      </w:r>
      <w:r w:rsidR="00DF2DB6">
        <w:t>PPL met</w:t>
      </w:r>
      <w:r w:rsidR="00935AEB" w:rsidRPr="00AE52DC">
        <w:t xml:space="preserve"> their MWh savings goal</w:t>
      </w:r>
      <w:r w:rsidR="00DF2DB6">
        <w:t xml:space="preserve"> for PY7 and PECO </w:t>
      </w:r>
      <w:r>
        <w:t>achieved 95% of the forecast MWh savings for their program.</w:t>
      </w:r>
      <w:r w:rsidR="00935AEB" w:rsidRPr="00AE52DC">
        <w:t xml:space="preserve"> West Penn Power </w:t>
      </w:r>
      <w:r w:rsidR="00935AEB">
        <w:t>came</w:t>
      </w:r>
      <w:r w:rsidR="00935AEB" w:rsidRPr="00AE52DC">
        <w:t xml:space="preserve"> close to expending its entire </w:t>
      </w:r>
      <w:r w:rsidR="00935AEB">
        <w:t xml:space="preserve">low-income </w:t>
      </w:r>
      <w:r w:rsidR="00935AEB" w:rsidRPr="00AE52DC">
        <w:t>program budget</w:t>
      </w:r>
      <w:r w:rsidR="00935AEB">
        <w:t>,</w:t>
      </w:r>
      <w:r w:rsidR="00935AEB" w:rsidRPr="00AE52DC">
        <w:t xml:space="preserve"> but as illustrated in </w:t>
      </w:r>
      <w:r w:rsidR="00935AEB">
        <w:rPr>
          <w:highlight w:val="yellow"/>
        </w:rPr>
        <w:fldChar w:fldCharType="begin"/>
      </w:r>
      <w:r w:rsidR="00935AEB">
        <w:instrText xml:space="preserve"> REF _Ref472430782 \h </w:instrText>
      </w:r>
      <w:r w:rsidR="00935AEB">
        <w:rPr>
          <w:highlight w:val="yellow"/>
        </w:rPr>
      </w:r>
      <w:r w:rsidR="00935AEB">
        <w:rPr>
          <w:highlight w:val="yellow"/>
        </w:rPr>
        <w:fldChar w:fldCharType="separate"/>
      </w:r>
      <w:r w:rsidR="00037CB4" w:rsidRPr="003900A2">
        <w:t xml:space="preserve">Figure </w:t>
      </w:r>
      <w:r w:rsidR="00037CB4">
        <w:rPr>
          <w:noProof/>
        </w:rPr>
        <w:t>2</w:t>
      </w:r>
      <w:r w:rsidR="00037CB4">
        <w:noBreakHyphen/>
      </w:r>
      <w:r w:rsidR="00037CB4">
        <w:rPr>
          <w:noProof/>
        </w:rPr>
        <w:t>12</w:t>
      </w:r>
      <w:r w:rsidR="00935AEB">
        <w:rPr>
          <w:highlight w:val="yellow"/>
        </w:rPr>
        <w:fldChar w:fldCharType="end"/>
      </w:r>
      <w:r w:rsidR="00935AEB" w:rsidRPr="00AE52DC">
        <w:t xml:space="preserve">, </w:t>
      </w:r>
      <w:r w:rsidR="00935AEB">
        <w:t>verified</w:t>
      </w:r>
      <w:r w:rsidR="00935AEB" w:rsidRPr="00AE52DC">
        <w:t xml:space="preserve"> PY7 MWh savings </w:t>
      </w:r>
      <w:r w:rsidR="00935AEB">
        <w:t xml:space="preserve">were below Plan savings </w:t>
      </w:r>
      <w:r w:rsidR="00935AEB" w:rsidRPr="00AE52DC">
        <w:t>by 23%.</w:t>
      </w:r>
      <w:r w:rsidR="00935AEB">
        <w:t xml:space="preserve"> </w:t>
      </w:r>
      <w:r w:rsidR="003900A2">
        <w:rPr>
          <w:highlight w:val="yellow"/>
        </w:rPr>
        <w:fldChar w:fldCharType="begin"/>
      </w:r>
      <w:r w:rsidR="003900A2">
        <w:instrText xml:space="preserve"> REF _Ref472430782 \h </w:instrText>
      </w:r>
      <w:r w:rsidR="003900A2">
        <w:rPr>
          <w:highlight w:val="yellow"/>
        </w:rPr>
      </w:r>
      <w:r w:rsidR="003900A2">
        <w:rPr>
          <w:highlight w:val="yellow"/>
        </w:rPr>
        <w:fldChar w:fldCharType="separate"/>
      </w:r>
      <w:r w:rsidR="00037CB4" w:rsidRPr="003900A2">
        <w:t xml:space="preserve">Figure </w:t>
      </w:r>
      <w:r w:rsidR="00037CB4">
        <w:rPr>
          <w:noProof/>
        </w:rPr>
        <w:t>2</w:t>
      </w:r>
      <w:r w:rsidR="00037CB4">
        <w:noBreakHyphen/>
      </w:r>
      <w:r w:rsidR="00037CB4">
        <w:rPr>
          <w:noProof/>
        </w:rPr>
        <w:t>12</w:t>
      </w:r>
      <w:r w:rsidR="003900A2">
        <w:rPr>
          <w:highlight w:val="yellow"/>
        </w:rPr>
        <w:fldChar w:fldCharType="end"/>
      </w:r>
      <w:r w:rsidR="004F1B4F" w:rsidRPr="00AE52DC">
        <w:t xml:space="preserve"> </w:t>
      </w:r>
      <w:r w:rsidR="0071651D" w:rsidRPr="00AE52DC">
        <w:t xml:space="preserve">compares PY7 EE&amp;C </w:t>
      </w:r>
      <w:r w:rsidR="0071651D">
        <w:t>Plan estimates of</w:t>
      </w:r>
      <w:r w:rsidR="0071651D" w:rsidRPr="00AE52DC">
        <w:t xml:space="preserve"> </w:t>
      </w:r>
      <w:r w:rsidR="0071651D">
        <w:t>l</w:t>
      </w:r>
      <w:r w:rsidR="0071651D" w:rsidRPr="00AE52DC">
        <w:t>ow</w:t>
      </w:r>
      <w:r w:rsidR="0071651D">
        <w:t>-i</w:t>
      </w:r>
      <w:r w:rsidR="0071651D" w:rsidRPr="00AE52DC">
        <w:t>ncome MWh</w:t>
      </w:r>
      <w:r w:rsidR="0071651D">
        <w:t>/yr</w:t>
      </w:r>
      <w:r w:rsidR="0071651D" w:rsidRPr="00AE52DC">
        <w:t xml:space="preserve"> </w:t>
      </w:r>
      <w:r w:rsidR="0071651D">
        <w:t xml:space="preserve">planned </w:t>
      </w:r>
      <w:r w:rsidR="0071651D" w:rsidRPr="00AE52DC">
        <w:t xml:space="preserve">savings by EDC to PY7 </w:t>
      </w:r>
      <w:r w:rsidR="0071651D">
        <w:t>v</w:t>
      </w:r>
      <w:r w:rsidR="0071651D" w:rsidRPr="00AE52DC">
        <w:t>erified MWh</w:t>
      </w:r>
      <w:r w:rsidR="0071651D">
        <w:t>/yr</w:t>
      </w:r>
      <w:r w:rsidR="0071651D" w:rsidRPr="00AE52DC">
        <w:t xml:space="preserve"> savings. The data in this chart indicate</w:t>
      </w:r>
      <w:r w:rsidR="0071651D">
        <w:t xml:space="preserve"> that</w:t>
      </w:r>
      <w:r w:rsidR="0071651D" w:rsidRPr="00AE52DC">
        <w:t xml:space="preserve"> only P</w:t>
      </w:r>
      <w:r w:rsidR="0071651D">
        <w:t>PL</w:t>
      </w:r>
      <w:r w:rsidR="0071651D" w:rsidRPr="00AE52DC">
        <w:t xml:space="preserve"> exceeded its PY7 </w:t>
      </w:r>
      <w:r w:rsidR="0071651D">
        <w:t xml:space="preserve">planned </w:t>
      </w:r>
      <w:r w:rsidR="0071651D" w:rsidRPr="00AE52DC">
        <w:t xml:space="preserve">MWh </w:t>
      </w:r>
      <w:r w:rsidR="0071651D">
        <w:t>savings.</w:t>
      </w:r>
      <w:r w:rsidR="0071651D" w:rsidRPr="00AE52DC">
        <w:t xml:space="preserve"> </w:t>
      </w:r>
      <w:r w:rsidR="0071651D">
        <w:t>T</w:t>
      </w:r>
      <w:r w:rsidR="0071651D" w:rsidRPr="00AE52DC">
        <w:t xml:space="preserve">he remaining six EDCs missed their PY7 </w:t>
      </w:r>
      <w:r w:rsidR="0071651D">
        <w:t xml:space="preserve">planned savings </w:t>
      </w:r>
      <w:r w:rsidR="0071651D" w:rsidRPr="00AE52DC">
        <w:t>by 5</w:t>
      </w:r>
      <w:r w:rsidR="0071651D">
        <w:t>%</w:t>
      </w:r>
      <w:r w:rsidR="0071651D" w:rsidRPr="00AE52DC">
        <w:t xml:space="preserve"> to 53%</w:t>
      </w:r>
      <w:r w:rsidR="0071651D">
        <w:t>, though PPL, PECO and Duquesne all achieved their Phase II compliance goals</w:t>
      </w:r>
      <w:r w:rsidR="0071651D" w:rsidRPr="00AE52DC">
        <w:t>.</w:t>
      </w:r>
      <w:r w:rsidR="0071651D">
        <w:t xml:space="preserve"> Note that these are PY7 savings for the dedicated low-income programs, and not cumulative savings for </w:t>
      </w:r>
      <w:r>
        <w:t xml:space="preserve">all of </w:t>
      </w:r>
      <w:r w:rsidR="0071651D">
        <w:t xml:space="preserve">the </w:t>
      </w:r>
      <w:r>
        <w:t>P</w:t>
      </w:r>
      <w:r w:rsidR="0071651D">
        <w:t>hase</w:t>
      </w:r>
      <w:r>
        <w:t xml:space="preserve"> II</w:t>
      </w:r>
      <w:r w:rsidR="0071651D">
        <w:t>.</w:t>
      </w:r>
    </w:p>
    <w:p w:rsidR="004F1B4F" w:rsidRPr="00AE52DC" w:rsidRDefault="004F1B4F" w:rsidP="004F1B4F"/>
    <w:p w:rsidR="004F1B4F" w:rsidRPr="003900A2" w:rsidRDefault="0036462C" w:rsidP="004837FA">
      <w:pPr>
        <w:pStyle w:val="Caption"/>
        <w:rPr>
          <w:rFonts w:eastAsiaTheme="minorEastAsia"/>
        </w:rPr>
      </w:pPr>
      <w:bookmarkStart w:id="146" w:name="_Ref472430782"/>
      <w:bookmarkStart w:id="147" w:name="_Toc472472220"/>
      <w:bookmarkStart w:id="148" w:name="_Toc488741798"/>
      <w:r w:rsidRPr="003900A2">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12</w:t>
      </w:r>
      <w:r w:rsidR="007973A4">
        <w:rPr>
          <w:noProof/>
        </w:rPr>
        <w:fldChar w:fldCharType="end"/>
      </w:r>
      <w:bookmarkEnd w:id="146"/>
      <w:r w:rsidRPr="003900A2">
        <w:t>:</w:t>
      </w:r>
      <w:r w:rsidR="004F1B4F" w:rsidRPr="003900A2">
        <w:t xml:space="preserve"> </w:t>
      </w:r>
      <w:r w:rsidR="004F1B4F" w:rsidRPr="003900A2">
        <w:rPr>
          <w:rFonts w:eastAsiaTheme="minorEastAsia"/>
        </w:rPr>
        <w:t xml:space="preserve">PY7 EE&amp;C Plan Low-Income Program </w:t>
      </w:r>
      <w:r w:rsidR="00937B49">
        <w:rPr>
          <w:rFonts w:eastAsiaTheme="minorEastAsia"/>
        </w:rPr>
        <w:t xml:space="preserve">EE&amp;C Plan Estimated </w:t>
      </w:r>
      <w:r w:rsidR="004F1B4F" w:rsidRPr="003900A2">
        <w:rPr>
          <w:rFonts w:eastAsiaTheme="minorEastAsia"/>
        </w:rPr>
        <w:t>MWh</w:t>
      </w:r>
      <w:r w:rsidR="00937B49">
        <w:rPr>
          <w:rFonts w:eastAsiaTheme="minorEastAsia"/>
        </w:rPr>
        <w:t>/yr</w:t>
      </w:r>
      <w:r w:rsidR="004F1B4F" w:rsidRPr="003900A2">
        <w:rPr>
          <w:rFonts w:eastAsiaTheme="minorEastAsia"/>
        </w:rPr>
        <w:t xml:space="preserve"> versus Verified MWh</w:t>
      </w:r>
      <w:r w:rsidR="00937B49">
        <w:rPr>
          <w:rFonts w:eastAsiaTheme="minorEastAsia"/>
        </w:rPr>
        <w:t>/yr</w:t>
      </w:r>
      <w:r w:rsidR="004F1B4F" w:rsidRPr="003900A2">
        <w:rPr>
          <w:rFonts w:eastAsiaTheme="minorEastAsia"/>
        </w:rPr>
        <w:t xml:space="preserve"> PY7 Savings</w:t>
      </w:r>
      <w:bookmarkEnd w:id="147"/>
      <w:bookmarkEnd w:id="148"/>
    </w:p>
    <w:p w:rsidR="004F1B4F" w:rsidRDefault="00BC1802" w:rsidP="004F1B4F">
      <w:pPr>
        <w:pStyle w:val="NormalWeb"/>
        <w:spacing w:before="0" w:beforeAutospacing="0" w:after="120" w:afterAutospacing="0"/>
        <w:jc w:val="center"/>
        <w:rPr>
          <w:highlight w:val="yellow"/>
        </w:rPr>
      </w:pPr>
      <w:r w:rsidRPr="0071651D">
        <w:rPr>
          <w:noProof/>
        </w:rPr>
        <w:drawing>
          <wp:inline distT="0" distB="0" distL="0" distR="0" wp14:anchorId="6D2EB47B" wp14:editId="33CEC134">
            <wp:extent cx="5883335" cy="2671638"/>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0061" cy="2674692"/>
                    </a:xfrm>
                    <a:prstGeom prst="rect">
                      <a:avLst/>
                    </a:prstGeom>
                    <a:noFill/>
                  </pic:spPr>
                </pic:pic>
              </a:graphicData>
            </a:graphic>
          </wp:inline>
        </w:drawing>
      </w:r>
    </w:p>
    <w:p w:rsidR="00B0359A" w:rsidRDefault="00B0359A" w:rsidP="00B0359A">
      <w:r>
        <w:fldChar w:fldCharType="begin"/>
      </w:r>
      <w:r>
        <w:instrText xml:space="preserve"> REF _Ref472430805 \h </w:instrText>
      </w:r>
      <w:r>
        <w:fldChar w:fldCharType="separate"/>
      </w:r>
      <w:r w:rsidR="00037CB4" w:rsidRPr="003900A2">
        <w:t xml:space="preserve">Figure </w:t>
      </w:r>
      <w:r w:rsidR="00037CB4">
        <w:rPr>
          <w:noProof/>
        </w:rPr>
        <w:t>2</w:t>
      </w:r>
      <w:r w:rsidR="00037CB4">
        <w:noBreakHyphen/>
      </w:r>
      <w:r w:rsidR="00037CB4">
        <w:rPr>
          <w:noProof/>
        </w:rPr>
        <w:t>13</w:t>
      </w:r>
      <w:r>
        <w:fldChar w:fldCharType="end"/>
      </w:r>
      <w:r>
        <w:t xml:space="preserve"> </w:t>
      </w:r>
      <w:r w:rsidR="004F1B4F" w:rsidRPr="00B0359A">
        <w:t>compares</w:t>
      </w:r>
      <w:r w:rsidR="00935AEB" w:rsidRPr="00B0359A">
        <w:t xml:space="preserve"> the EDCs’</w:t>
      </w:r>
      <w:r w:rsidR="004F1B4F" w:rsidRPr="00B0359A">
        <w:t xml:space="preserve"> PY7 EE&amp;C </w:t>
      </w:r>
      <w:r w:rsidR="00935AEB" w:rsidRPr="00B0359A">
        <w:t>p</w:t>
      </w:r>
      <w:r w:rsidR="004F1B4F" w:rsidRPr="00B0359A">
        <w:t xml:space="preserve">lan MW </w:t>
      </w:r>
      <w:r w:rsidR="00EC2DD2" w:rsidRPr="00B0359A">
        <w:t xml:space="preserve">planned savings </w:t>
      </w:r>
      <w:r w:rsidR="004F1B4F" w:rsidRPr="00B0359A">
        <w:t>to verified MW savings after realization rates were applied.</w:t>
      </w:r>
      <w:r w:rsidR="0071651D" w:rsidRPr="00B0359A">
        <w:t xml:space="preserve"> It should be noted there are no compliance requirements for MW savings.</w:t>
      </w:r>
      <w:r w:rsidR="004F1B4F" w:rsidRPr="00B0359A">
        <w:t xml:space="preserve"> The data in this figure follow the same pattern as the data in </w:t>
      </w:r>
      <w:r w:rsidR="00514B37" w:rsidRPr="00B0359A">
        <w:rPr>
          <w:highlight w:val="yellow"/>
        </w:rPr>
        <w:fldChar w:fldCharType="begin"/>
      </w:r>
      <w:r w:rsidR="00514B37" w:rsidRPr="00B0359A">
        <w:instrText xml:space="preserve"> REF _Ref472430782 \h </w:instrText>
      </w:r>
      <w:r w:rsidR="00514B37" w:rsidRPr="00B0359A">
        <w:rPr>
          <w:highlight w:val="yellow"/>
        </w:rPr>
      </w:r>
      <w:r w:rsidR="00514B37" w:rsidRPr="00B0359A">
        <w:rPr>
          <w:highlight w:val="yellow"/>
        </w:rPr>
        <w:fldChar w:fldCharType="separate"/>
      </w:r>
      <w:r w:rsidR="00037CB4" w:rsidRPr="003900A2">
        <w:t xml:space="preserve">Figure </w:t>
      </w:r>
      <w:r w:rsidR="00037CB4">
        <w:rPr>
          <w:noProof/>
        </w:rPr>
        <w:t>2</w:t>
      </w:r>
      <w:r w:rsidR="00037CB4">
        <w:noBreakHyphen/>
      </w:r>
      <w:r w:rsidR="00037CB4">
        <w:rPr>
          <w:noProof/>
        </w:rPr>
        <w:t>12</w:t>
      </w:r>
      <w:r w:rsidR="00514B37" w:rsidRPr="00B0359A">
        <w:rPr>
          <w:highlight w:val="yellow"/>
        </w:rPr>
        <w:fldChar w:fldCharType="end"/>
      </w:r>
      <w:r w:rsidR="004F1B4F" w:rsidRPr="00B0359A">
        <w:t>.</w:t>
      </w:r>
    </w:p>
    <w:p w:rsidR="004F1B4F" w:rsidRPr="00B0359A" w:rsidRDefault="004F1B4F" w:rsidP="00B0359A">
      <w:r w:rsidRPr="00B0359A">
        <w:t xml:space="preserve"> </w:t>
      </w:r>
    </w:p>
    <w:p w:rsidR="004F1B4F" w:rsidRPr="003900A2" w:rsidRDefault="00243ED4" w:rsidP="004837FA">
      <w:pPr>
        <w:pStyle w:val="Caption"/>
        <w:rPr>
          <w:rFonts w:eastAsiaTheme="minorEastAsia"/>
        </w:rPr>
      </w:pPr>
      <w:bookmarkStart w:id="149" w:name="_Ref472430805"/>
      <w:bookmarkStart w:id="150" w:name="_Toc472472221"/>
      <w:bookmarkStart w:id="151" w:name="_Toc488741799"/>
      <w:r>
        <w:rPr>
          <w:noProof/>
        </w:rPr>
        <w:drawing>
          <wp:anchor distT="0" distB="0" distL="114300" distR="114300" simplePos="0" relativeHeight="251684870" behindDoc="1" locked="0" layoutInCell="1" allowOverlap="1" wp14:anchorId="11DB034F" wp14:editId="39E24E5D">
            <wp:simplePos x="0" y="0"/>
            <wp:positionH relativeFrom="column">
              <wp:posOffset>29817</wp:posOffset>
            </wp:positionH>
            <wp:positionV relativeFrom="paragraph">
              <wp:posOffset>184619</wp:posOffset>
            </wp:positionV>
            <wp:extent cx="5912485" cy="2420620"/>
            <wp:effectExtent l="0" t="0" r="0" b="0"/>
            <wp:wrapTight wrapText="bothSides">
              <wp:wrapPolygon edited="0">
                <wp:start x="0" y="0"/>
                <wp:lineTo x="0" y="21419"/>
                <wp:lineTo x="21505" y="21419"/>
                <wp:lineTo x="2150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2485" cy="2420620"/>
                    </a:xfrm>
                    <a:prstGeom prst="rect">
                      <a:avLst/>
                    </a:prstGeom>
                    <a:noFill/>
                  </pic:spPr>
                </pic:pic>
              </a:graphicData>
            </a:graphic>
            <wp14:sizeRelH relativeFrom="page">
              <wp14:pctWidth>0</wp14:pctWidth>
            </wp14:sizeRelH>
            <wp14:sizeRelV relativeFrom="page">
              <wp14:pctHeight>0</wp14:pctHeight>
            </wp14:sizeRelV>
          </wp:anchor>
        </w:drawing>
      </w:r>
      <w:r w:rsidR="003900A2" w:rsidRPr="003900A2">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13</w:t>
      </w:r>
      <w:r w:rsidR="007973A4">
        <w:rPr>
          <w:noProof/>
        </w:rPr>
        <w:fldChar w:fldCharType="end"/>
      </w:r>
      <w:bookmarkEnd w:id="149"/>
      <w:r w:rsidR="003900A2" w:rsidRPr="003900A2">
        <w:t>:</w:t>
      </w:r>
      <w:r w:rsidR="004F1B4F" w:rsidRPr="003900A2">
        <w:t xml:space="preserve"> </w:t>
      </w:r>
      <w:r w:rsidR="004F1B4F" w:rsidRPr="003900A2">
        <w:rPr>
          <w:rFonts w:eastAsiaTheme="minorEastAsia"/>
        </w:rPr>
        <w:t xml:space="preserve">PY7 EE&amp;C Plan Low-Income Program </w:t>
      </w:r>
      <w:r w:rsidR="006408E4">
        <w:rPr>
          <w:rFonts w:eastAsiaTheme="minorEastAsia"/>
        </w:rPr>
        <w:t xml:space="preserve">EE&amp;C Plan Estimated </w:t>
      </w:r>
      <w:r w:rsidR="004F1B4F" w:rsidRPr="003900A2">
        <w:rPr>
          <w:rFonts w:eastAsiaTheme="minorEastAsia"/>
        </w:rPr>
        <w:t>MW versus Verified MW PY7 Savings</w:t>
      </w:r>
      <w:bookmarkEnd w:id="150"/>
      <w:bookmarkEnd w:id="151"/>
    </w:p>
    <w:p w:rsidR="004F1B4F" w:rsidRPr="00243ED4" w:rsidRDefault="004F1B4F" w:rsidP="00243ED4"/>
    <w:p w:rsidR="004F1B4F" w:rsidRPr="00B0359A" w:rsidRDefault="003900A2" w:rsidP="00B0359A">
      <w:r w:rsidRPr="00B0359A">
        <w:rPr>
          <w:highlight w:val="yellow"/>
        </w:rPr>
        <w:fldChar w:fldCharType="begin"/>
      </w:r>
      <w:r w:rsidRPr="00B0359A">
        <w:instrText xml:space="preserve"> REF _Ref472430814 \h </w:instrText>
      </w:r>
      <w:r w:rsidRPr="00B0359A">
        <w:rPr>
          <w:highlight w:val="yellow"/>
        </w:rPr>
      </w:r>
      <w:r w:rsidRPr="00B0359A">
        <w:rPr>
          <w:highlight w:val="yellow"/>
        </w:rPr>
        <w:fldChar w:fldCharType="separate"/>
      </w:r>
      <w:r w:rsidR="00037CB4" w:rsidRPr="003900A2">
        <w:t xml:space="preserve">Figure </w:t>
      </w:r>
      <w:r w:rsidR="00037CB4">
        <w:rPr>
          <w:noProof/>
        </w:rPr>
        <w:t>2</w:t>
      </w:r>
      <w:r w:rsidR="00037CB4">
        <w:noBreakHyphen/>
      </w:r>
      <w:r w:rsidR="00037CB4">
        <w:rPr>
          <w:noProof/>
        </w:rPr>
        <w:t>14</w:t>
      </w:r>
      <w:r w:rsidRPr="00B0359A">
        <w:rPr>
          <w:highlight w:val="yellow"/>
        </w:rPr>
        <w:fldChar w:fldCharType="end"/>
      </w:r>
      <w:r w:rsidR="004F1B4F" w:rsidRPr="00B0359A">
        <w:t xml:space="preserve"> shows the PY7 low-income program realization rates</w:t>
      </w:r>
      <w:r w:rsidR="00E1723F">
        <w:rPr>
          <w:rStyle w:val="FootnoteReference"/>
        </w:rPr>
        <w:footnoteReference w:id="20"/>
      </w:r>
      <w:r w:rsidR="004F1B4F" w:rsidRPr="00B0359A">
        <w:t xml:space="preserve"> by EDC. The realization rates are very similar, which is typical for programs that rely heavily on direct-install programs.</w:t>
      </w:r>
    </w:p>
    <w:p w:rsidR="004F1B4F" w:rsidRPr="003900A2" w:rsidRDefault="003900A2" w:rsidP="004837FA">
      <w:pPr>
        <w:pStyle w:val="Caption"/>
      </w:pPr>
      <w:bookmarkStart w:id="152" w:name="_Ref472430814"/>
      <w:bookmarkStart w:id="153" w:name="_Toc472472222"/>
      <w:bookmarkStart w:id="154" w:name="_Toc488741800"/>
      <w:r w:rsidRPr="003900A2">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14</w:t>
      </w:r>
      <w:r w:rsidR="007973A4">
        <w:rPr>
          <w:noProof/>
        </w:rPr>
        <w:fldChar w:fldCharType="end"/>
      </w:r>
      <w:bookmarkEnd w:id="152"/>
      <w:r w:rsidRPr="003900A2">
        <w:t>:</w:t>
      </w:r>
      <w:r w:rsidR="004F1B4F" w:rsidRPr="003900A2">
        <w:t xml:space="preserve"> PY7</w:t>
      </w:r>
      <w:r w:rsidR="00FF51AC">
        <w:t xml:space="preserve"> Low-Income Program</w:t>
      </w:r>
      <w:r w:rsidR="004F1B4F" w:rsidRPr="003900A2">
        <w:t xml:space="preserve"> </w:t>
      </w:r>
      <w:r w:rsidR="00FF51AC">
        <w:t>Energy Savings</w:t>
      </w:r>
      <w:r w:rsidR="004F1B4F" w:rsidRPr="003900A2">
        <w:t xml:space="preserve"> Realization Rates by EDC</w:t>
      </w:r>
      <w:bookmarkEnd w:id="153"/>
      <w:bookmarkEnd w:id="154"/>
    </w:p>
    <w:p w:rsidR="004F1B4F" w:rsidRDefault="0071651D" w:rsidP="004F1B4F">
      <w:pPr>
        <w:spacing w:after="120"/>
        <w:jc w:val="center"/>
      </w:pPr>
      <w:r>
        <w:rPr>
          <w:noProof/>
        </w:rPr>
        <w:drawing>
          <wp:inline distT="0" distB="0" distL="0" distR="0" wp14:anchorId="46FE2C12" wp14:editId="1FED9425">
            <wp:extent cx="6066155"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6155" cy="2743200"/>
                    </a:xfrm>
                    <a:prstGeom prst="rect">
                      <a:avLst/>
                    </a:prstGeom>
                    <a:noFill/>
                  </pic:spPr>
                </pic:pic>
              </a:graphicData>
            </a:graphic>
          </wp:inline>
        </w:drawing>
      </w:r>
    </w:p>
    <w:p w:rsidR="00EE60CD" w:rsidRPr="00056C59" w:rsidRDefault="00EE60CD" w:rsidP="00056C59"/>
    <w:p w:rsidR="00460A31" w:rsidRDefault="00460A31" w:rsidP="00AC2B6F">
      <w:r>
        <w:t xml:space="preserve">During PY7, </w:t>
      </w:r>
      <w:r w:rsidR="00866DA5">
        <w:t>all</w:t>
      </w:r>
      <w:r>
        <w:t xml:space="preserve"> EDCs</w:t>
      </w:r>
      <w:r w:rsidR="00F95DF6">
        <w:t>,</w:t>
      </w:r>
      <w:r>
        <w:t xml:space="preserve"> </w:t>
      </w:r>
      <w:r w:rsidR="00866DA5">
        <w:t>except for PPL</w:t>
      </w:r>
      <w:r w:rsidR="00F95DF6">
        <w:t>,</w:t>
      </w:r>
      <w:r w:rsidR="00866DA5">
        <w:t xml:space="preserve"> </w:t>
      </w:r>
      <w:r>
        <w:t>conducted NTG resea</w:t>
      </w:r>
      <w:r w:rsidR="00866DA5">
        <w:t xml:space="preserve">rch for </w:t>
      </w:r>
      <w:r w:rsidR="00F95DF6">
        <w:t xml:space="preserve">their </w:t>
      </w:r>
      <w:r w:rsidR="00866DA5">
        <w:t xml:space="preserve">low-income programs, as required in the </w:t>
      </w:r>
      <w:r w:rsidR="00F95DF6">
        <w:t xml:space="preserve">SWE </w:t>
      </w:r>
      <w:r w:rsidR="00866DA5">
        <w:t>Phase II Evaluation Framework.</w:t>
      </w:r>
      <w:r>
        <w:t xml:space="preserve"> </w:t>
      </w:r>
      <w:r>
        <w:fldChar w:fldCharType="begin"/>
      </w:r>
      <w:r>
        <w:instrText xml:space="preserve"> REF _Ref473704307 \h </w:instrText>
      </w:r>
      <w:r>
        <w:fldChar w:fldCharType="separate"/>
      </w:r>
      <w:r w:rsidR="00AC3B2E" w:rsidRPr="003900A2">
        <w:t xml:space="preserve">Figure </w:t>
      </w:r>
      <w:r w:rsidR="00AC3B2E">
        <w:rPr>
          <w:noProof/>
        </w:rPr>
        <w:t>2</w:t>
      </w:r>
      <w:r w:rsidR="00AC3B2E">
        <w:noBreakHyphen/>
      </w:r>
      <w:r w:rsidR="00AC3B2E">
        <w:rPr>
          <w:noProof/>
        </w:rPr>
        <w:t>15</w:t>
      </w:r>
      <w:r>
        <w:fldChar w:fldCharType="end"/>
      </w:r>
      <w:r>
        <w:t xml:space="preserve"> provides a graph of these NTGRs for </w:t>
      </w:r>
      <w:r w:rsidR="00F95DF6">
        <w:t xml:space="preserve">the </w:t>
      </w:r>
      <w:r>
        <w:t>EDCs low-income program</w:t>
      </w:r>
      <w:r w:rsidR="00F95DF6">
        <w:t>s</w:t>
      </w:r>
      <w:r>
        <w:t xml:space="preserve">. The NTGRs </w:t>
      </w:r>
      <w:r w:rsidR="00866DA5">
        <w:t xml:space="preserve">that are based on evaluation research conducted by the EDCs for PY7 </w:t>
      </w:r>
      <w:r>
        <w:t xml:space="preserve">ranged from 81% to </w:t>
      </w:r>
      <w:r w:rsidR="00866DA5">
        <w:t>90</w:t>
      </w:r>
      <w:r>
        <w:t>%.</w:t>
      </w:r>
      <w:r w:rsidR="00866DA5">
        <w:t xml:space="preserve"> This new EDC research shows</w:t>
      </w:r>
      <w:r w:rsidR="00F95DF6">
        <w:t xml:space="preserve"> conclusively</w:t>
      </w:r>
      <w:r w:rsidR="00866DA5">
        <w:t xml:space="preserve"> that the NTGR for low-income programs is not 100%. Going forward, the Phase II SWE Team recommends that NTG market research for residential low-income programs be conducted at least once in every Act 129 Phase. The Phase II SWE Team also recommends that the Commission consider setting the default NTGR for Phase III for residential low-income programs in the range of 81% to 90% given the results determined from the Phase II NTGR research.</w:t>
      </w:r>
    </w:p>
    <w:p w:rsidR="00802016" w:rsidRDefault="00802016" w:rsidP="00AC2B6F"/>
    <w:p w:rsidR="00460A31" w:rsidRPr="003900A2" w:rsidRDefault="00AC3B2E" w:rsidP="00AC3B2E">
      <w:pPr>
        <w:pStyle w:val="Caption"/>
      </w:pPr>
      <w:bookmarkStart w:id="155" w:name="_Ref473704307"/>
      <w:bookmarkStart w:id="156" w:name="_Toc488741801"/>
      <w:r w:rsidRPr="00AC3B2E">
        <w:rPr>
          <w:noProof/>
        </w:rPr>
        <w:drawing>
          <wp:anchor distT="0" distB="0" distL="114300" distR="114300" simplePos="0" relativeHeight="251678726" behindDoc="1" locked="0" layoutInCell="1" allowOverlap="1" wp14:anchorId="7CDB4012" wp14:editId="5EDA21CA">
            <wp:simplePos x="0" y="0"/>
            <wp:positionH relativeFrom="column">
              <wp:posOffset>0</wp:posOffset>
            </wp:positionH>
            <wp:positionV relativeFrom="paragraph">
              <wp:posOffset>193675</wp:posOffset>
            </wp:positionV>
            <wp:extent cx="5901690" cy="2743200"/>
            <wp:effectExtent l="0" t="0" r="381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1690" cy="2743200"/>
                    </a:xfrm>
                    <a:prstGeom prst="rect">
                      <a:avLst/>
                    </a:prstGeom>
                    <a:noFill/>
                  </pic:spPr>
                </pic:pic>
              </a:graphicData>
            </a:graphic>
            <wp14:sizeRelH relativeFrom="page">
              <wp14:pctWidth>0</wp14:pctWidth>
            </wp14:sizeRelH>
            <wp14:sizeRelV relativeFrom="page">
              <wp14:pctHeight>0</wp14:pctHeight>
            </wp14:sizeRelV>
          </wp:anchor>
        </w:drawing>
      </w:r>
      <w:r w:rsidR="00460A31" w:rsidRPr="003900A2">
        <w:t xml:space="preserve">Figure </w:t>
      </w:r>
      <w:r w:rsidR="007973A4">
        <w:fldChar w:fldCharType="begin"/>
      </w:r>
      <w:r w:rsidR="007973A4">
        <w:instrText xml:space="preserve"> STYLEREF 1 \s </w:instrText>
      </w:r>
      <w:r w:rsidR="007973A4">
        <w:fldChar w:fldCharType="separate"/>
      </w:r>
      <w:r>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Pr>
          <w:noProof/>
        </w:rPr>
        <w:t>15</w:t>
      </w:r>
      <w:r w:rsidR="007973A4">
        <w:rPr>
          <w:noProof/>
        </w:rPr>
        <w:fldChar w:fldCharType="end"/>
      </w:r>
      <w:bookmarkEnd w:id="155"/>
      <w:r w:rsidR="00460A31" w:rsidRPr="003900A2">
        <w:t>: PY7</w:t>
      </w:r>
      <w:r w:rsidR="00460A31">
        <w:t xml:space="preserve"> Low-Income Program</w:t>
      </w:r>
      <w:r w:rsidR="00460A31" w:rsidRPr="003900A2">
        <w:t xml:space="preserve"> </w:t>
      </w:r>
      <w:r w:rsidR="000850C5">
        <w:t>Net-to-Gross Ratio</w:t>
      </w:r>
      <w:r w:rsidR="000E68BE">
        <w:t>s</w:t>
      </w:r>
      <w:r w:rsidR="000850C5">
        <w:t xml:space="preserve"> for each</w:t>
      </w:r>
      <w:r w:rsidR="00460A31" w:rsidRPr="003900A2">
        <w:t xml:space="preserve"> EDC</w:t>
      </w:r>
      <w:bookmarkEnd w:id="156"/>
    </w:p>
    <w:p w:rsidR="00460A31" w:rsidRDefault="00460A31" w:rsidP="00AC2B6F"/>
    <w:p w:rsidR="00460A31" w:rsidRDefault="00460A31" w:rsidP="00AC2B6F"/>
    <w:p w:rsidR="00AC2B6F" w:rsidRDefault="006058D6" w:rsidP="00E673F0">
      <w:pPr>
        <w:pStyle w:val="Heading2"/>
      </w:pPr>
      <w:bookmarkStart w:id="157" w:name="_Toc472472094"/>
      <w:bookmarkStart w:id="158" w:name="_Toc488765787"/>
      <w:r>
        <w:t>Results for Three-Year ACT 129 Phase II</w:t>
      </w:r>
      <w:bookmarkEnd w:id="157"/>
      <w:bookmarkEnd w:id="158"/>
    </w:p>
    <w:p w:rsidR="0043410E" w:rsidRDefault="0043410E" w:rsidP="0043410E">
      <w:r>
        <w:t xml:space="preserve">This section presents the energy savings achievements by the EDCs for Phase II of Act 129. </w:t>
      </w:r>
      <w:r w:rsidR="00FF51AC">
        <w:t>It begins with a</w:t>
      </w:r>
      <w:r>
        <w:t xml:space="preserve"> statewide summary </w:t>
      </w:r>
      <w:r w:rsidR="00FF51AC">
        <w:t xml:space="preserve">and is </w:t>
      </w:r>
      <w:r>
        <w:t>followed by results for each EDC.</w:t>
      </w:r>
    </w:p>
    <w:p w:rsidR="003D58FF" w:rsidRDefault="003D58FF" w:rsidP="0043410E"/>
    <w:p w:rsidR="00AC2B6F" w:rsidRDefault="006058D6" w:rsidP="00E673F0">
      <w:pPr>
        <w:pStyle w:val="Heading3"/>
      </w:pPr>
      <w:bookmarkStart w:id="159" w:name="_Toc472472095"/>
      <w:bookmarkStart w:id="160" w:name="_Toc488765788"/>
      <w:r>
        <w:t>Statewide Summary</w:t>
      </w:r>
      <w:bookmarkEnd w:id="159"/>
      <w:bookmarkEnd w:id="160"/>
    </w:p>
    <w:p w:rsidR="0043410E" w:rsidRDefault="00664065" w:rsidP="0043410E">
      <w:r>
        <w:fldChar w:fldCharType="begin"/>
      </w:r>
      <w:r>
        <w:instrText xml:space="preserve"> REF _Ref473729226 \h </w:instrText>
      </w:r>
      <w:r>
        <w:fldChar w:fldCharType="separate"/>
      </w:r>
      <w:r w:rsidR="00037CB4">
        <w:t xml:space="preserve">Table </w:t>
      </w:r>
      <w:r w:rsidR="00037CB4">
        <w:rPr>
          <w:noProof/>
        </w:rPr>
        <w:t>2</w:t>
      </w:r>
      <w:r w:rsidR="00037CB4">
        <w:noBreakHyphen/>
      </w:r>
      <w:r w:rsidR="00037CB4">
        <w:rPr>
          <w:noProof/>
        </w:rPr>
        <w:t>13</w:t>
      </w:r>
      <w:r>
        <w:fldChar w:fldCharType="end"/>
      </w:r>
      <w:r>
        <w:t xml:space="preserve"> </w:t>
      </w:r>
      <w:r w:rsidR="006A7FE8" w:rsidRPr="006A7FE8">
        <w:t>presents the seven EDCs’ aggregated Phase II reported gross MWh/yr and MW impacts and Phase II verified gross MWh/yr and MW impacts.</w:t>
      </w:r>
      <w:r w:rsidR="00F95DF6">
        <w:t xml:space="preserve"> Statewide,</w:t>
      </w:r>
      <w:r w:rsidR="006A7FE8" w:rsidRPr="006A7FE8">
        <w:t xml:space="preserve"> </w:t>
      </w:r>
      <w:r w:rsidR="00F95DF6">
        <w:t>t</w:t>
      </w:r>
      <w:r w:rsidR="006A7FE8" w:rsidRPr="006A7FE8">
        <w:t xml:space="preserve">he cumulative annual verified gross energy savings </w:t>
      </w:r>
      <w:r w:rsidR="006A7FE8" w:rsidRPr="00A7594B">
        <w:t>exceed</w:t>
      </w:r>
      <w:r w:rsidR="00AE0EE2">
        <w:t>ed</w:t>
      </w:r>
      <w:r w:rsidR="006A7FE8" w:rsidRPr="00A7594B">
        <w:t xml:space="preserve"> </w:t>
      </w:r>
      <w:r w:rsidR="00AE0EE2">
        <w:t>3</w:t>
      </w:r>
      <w:r w:rsidR="006A7FE8" w:rsidRPr="00A7594B">
        <w:t xml:space="preserve"> million MWh</w:t>
      </w:r>
      <w:r w:rsidR="00AE0EE2">
        <w:t>/yr</w:t>
      </w:r>
      <w:r w:rsidR="006A7FE8" w:rsidRPr="006A7FE8">
        <w:t xml:space="preserve"> and </w:t>
      </w:r>
      <w:r w:rsidR="00A7594B">
        <w:t>500</w:t>
      </w:r>
      <w:r w:rsidR="006A7FE8" w:rsidRPr="006A7FE8">
        <w:t xml:space="preserve"> MW per year. These savings have resulted in nearly </w:t>
      </w:r>
      <w:r w:rsidR="006A7FE8" w:rsidRPr="00A7594B">
        <w:t>$</w:t>
      </w:r>
      <w:r w:rsidR="00A7594B" w:rsidRPr="00A7594B">
        <w:t>2</w:t>
      </w:r>
      <w:r w:rsidR="006A7FE8" w:rsidRPr="00A7594B">
        <w:t>.2 billion</w:t>
      </w:r>
      <w:r w:rsidR="006A7FE8" w:rsidRPr="006A7FE8">
        <w:t xml:space="preserve"> in benefits to Pennsylvania customers, with a B/C ratio of more </w:t>
      </w:r>
      <w:r w:rsidR="006A7FE8" w:rsidRPr="00A7594B">
        <w:t>than 1.</w:t>
      </w:r>
      <w:r w:rsidR="00A7594B" w:rsidRPr="00A7594B">
        <w:t>7</w:t>
      </w:r>
      <w:r w:rsidR="006A7FE8" w:rsidRPr="006A7FE8">
        <w:t>. The table also includes estimates of the cumulative annual reduction of CO</w:t>
      </w:r>
      <w:r w:rsidR="006A7FE8" w:rsidRPr="006A7FE8">
        <w:rPr>
          <w:vertAlign w:val="subscript"/>
        </w:rPr>
        <w:t>2</w:t>
      </w:r>
      <w:r w:rsidR="006A7FE8" w:rsidRPr="006A7FE8">
        <w:t xml:space="preserve"> emissions based on Phase II reported and verified energy savings</w:t>
      </w:r>
      <w:r w:rsidR="006A7FE8">
        <w:t>.</w:t>
      </w:r>
    </w:p>
    <w:p w:rsidR="000F5A29" w:rsidRDefault="000F5A29" w:rsidP="0043410E"/>
    <w:p w:rsidR="006A7FE8" w:rsidRDefault="006A7FE8" w:rsidP="004837FA">
      <w:pPr>
        <w:pStyle w:val="Caption"/>
      </w:pPr>
      <w:bookmarkStart w:id="161" w:name="_Ref472400564"/>
      <w:bookmarkStart w:id="162" w:name="_Ref473729226"/>
      <w:bookmarkStart w:id="163" w:name="_Toc472472166"/>
      <w:bookmarkStart w:id="164" w:name="_Toc488741744"/>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13</w:t>
      </w:r>
      <w:r w:rsidR="007973A4">
        <w:rPr>
          <w:noProof/>
        </w:rPr>
        <w:fldChar w:fldCharType="end"/>
      </w:r>
      <w:bookmarkEnd w:id="161"/>
      <w:bookmarkEnd w:id="162"/>
      <w:r>
        <w:t xml:space="preserve">: </w:t>
      </w:r>
      <w:r w:rsidRPr="006A7FE8">
        <w:t>Summary of EDC Agg</w:t>
      </w:r>
      <w:r>
        <w:t>regated Phase II Impacts</w:t>
      </w:r>
      <w:bookmarkEnd w:id="163"/>
      <w:bookmarkEnd w:id="164"/>
    </w:p>
    <w:tbl>
      <w:tblPr>
        <w:tblW w:w="9350" w:type="dxa"/>
        <w:tblLook w:val="04A0" w:firstRow="1" w:lastRow="0" w:firstColumn="1" w:lastColumn="0" w:noHBand="0" w:noVBand="1"/>
      </w:tblPr>
      <w:tblGrid>
        <w:gridCol w:w="3800"/>
        <w:gridCol w:w="2760"/>
        <w:gridCol w:w="2790"/>
      </w:tblGrid>
      <w:tr w:rsidR="00E7173E" w:rsidRPr="00766038" w:rsidTr="00D81811">
        <w:trPr>
          <w:trHeight w:val="430"/>
        </w:trPr>
        <w:tc>
          <w:tcPr>
            <w:tcW w:w="380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7594B" w:rsidRPr="00766038" w:rsidRDefault="00766038" w:rsidP="00B0359A">
            <w:pPr>
              <w:rPr>
                <w:b/>
                <w:bCs/>
                <w:color w:val="FFFFFF"/>
                <w:sz w:val="19"/>
                <w:szCs w:val="19"/>
              </w:rPr>
            </w:pPr>
            <w:r>
              <w:rPr>
                <w:b/>
                <w:bCs/>
                <w:color w:val="FFFFFF"/>
                <w:sz w:val="19"/>
                <w:szCs w:val="19"/>
              </w:rPr>
              <w:t>Impact</w:t>
            </w:r>
          </w:p>
        </w:tc>
        <w:tc>
          <w:tcPr>
            <w:tcW w:w="2760" w:type="dxa"/>
            <w:tcBorders>
              <w:top w:val="single" w:sz="8" w:space="0" w:color="448A99"/>
              <w:left w:val="nil"/>
              <w:bottom w:val="single" w:sz="8" w:space="0" w:color="448A99"/>
              <w:right w:val="single" w:sz="8" w:space="0" w:color="448A99"/>
            </w:tcBorders>
            <w:shd w:val="clear" w:color="000000" w:fill="448A99"/>
            <w:vAlign w:val="bottom"/>
            <w:hideMark/>
          </w:tcPr>
          <w:p w:rsidR="00A7594B" w:rsidRPr="00766038" w:rsidRDefault="00A7594B" w:rsidP="00B0359A">
            <w:pPr>
              <w:jc w:val="center"/>
              <w:rPr>
                <w:b/>
                <w:bCs/>
                <w:color w:val="FFFFFF"/>
                <w:sz w:val="19"/>
                <w:szCs w:val="19"/>
              </w:rPr>
            </w:pPr>
            <w:r w:rsidRPr="00766038">
              <w:rPr>
                <w:b/>
                <w:bCs/>
                <w:color w:val="FFFFFF"/>
                <w:sz w:val="19"/>
                <w:szCs w:val="19"/>
              </w:rPr>
              <w:t>Phase II R</w:t>
            </w:r>
            <w:r w:rsidR="00AE0EE2" w:rsidRPr="00766038">
              <w:rPr>
                <w:b/>
                <w:bCs/>
                <w:color w:val="FFFFFF"/>
                <w:sz w:val="19"/>
                <w:szCs w:val="19"/>
              </w:rPr>
              <w:t>eported Gross</w:t>
            </w:r>
            <w:r w:rsidRPr="00766038">
              <w:rPr>
                <w:b/>
                <w:bCs/>
                <w:color w:val="FFFFFF"/>
                <w:sz w:val="19"/>
                <w:szCs w:val="19"/>
              </w:rPr>
              <w:t xml:space="preserve"> Savings </w:t>
            </w:r>
            <w:r w:rsidRPr="00766038">
              <w:rPr>
                <w:b/>
                <w:bCs/>
                <w:color w:val="FFFFFF"/>
                <w:sz w:val="19"/>
                <w:szCs w:val="19"/>
                <w:vertAlign w:val="superscript"/>
              </w:rPr>
              <w:t>[f]</w:t>
            </w:r>
          </w:p>
        </w:tc>
        <w:tc>
          <w:tcPr>
            <w:tcW w:w="2790" w:type="dxa"/>
            <w:tcBorders>
              <w:top w:val="single" w:sz="8" w:space="0" w:color="448A99"/>
              <w:left w:val="nil"/>
              <w:bottom w:val="single" w:sz="8" w:space="0" w:color="448A99"/>
              <w:right w:val="single" w:sz="8" w:space="0" w:color="448A99"/>
            </w:tcBorders>
            <w:shd w:val="clear" w:color="000000" w:fill="448A99"/>
            <w:vAlign w:val="bottom"/>
            <w:hideMark/>
          </w:tcPr>
          <w:p w:rsidR="00A7594B" w:rsidRPr="00766038" w:rsidRDefault="00A7594B" w:rsidP="00B0359A">
            <w:pPr>
              <w:jc w:val="center"/>
              <w:rPr>
                <w:b/>
                <w:bCs/>
                <w:color w:val="FFFFFF"/>
                <w:sz w:val="19"/>
                <w:szCs w:val="19"/>
              </w:rPr>
            </w:pPr>
            <w:r w:rsidRPr="00766038">
              <w:rPr>
                <w:b/>
                <w:bCs/>
                <w:color w:val="FFFFFF"/>
                <w:sz w:val="19"/>
                <w:szCs w:val="19"/>
              </w:rPr>
              <w:t>Phase II V</w:t>
            </w:r>
            <w:r w:rsidR="00AE0EE2" w:rsidRPr="00766038">
              <w:rPr>
                <w:b/>
                <w:bCs/>
                <w:color w:val="FFFFFF"/>
                <w:sz w:val="19"/>
                <w:szCs w:val="19"/>
              </w:rPr>
              <w:t xml:space="preserve">erified </w:t>
            </w:r>
            <w:r w:rsidRPr="00766038">
              <w:rPr>
                <w:b/>
                <w:bCs/>
                <w:color w:val="FFFFFF"/>
                <w:sz w:val="19"/>
                <w:szCs w:val="19"/>
              </w:rPr>
              <w:t>G</w:t>
            </w:r>
            <w:r w:rsidR="00AE0EE2" w:rsidRPr="00766038">
              <w:rPr>
                <w:b/>
                <w:bCs/>
                <w:color w:val="FFFFFF"/>
                <w:sz w:val="19"/>
                <w:szCs w:val="19"/>
              </w:rPr>
              <w:t>ross</w:t>
            </w:r>
            <w:r w:rsidRPr="00766038">
              <w:rPr>
                <w:b/>
                <w:bCs/>
                <w:color w:val="FFFFFF"/>
                <w:sz w:val="19"/>
                <w:szCs w:val="19"/>
              </w:rPr>
              <w:t xml:space="preserve"> Savings </w:t>
            </w:r>
            <w:r w:rsidRPr="00766038">
              <w:rPr>
                <w:b/>
                <w:bCs/>
                <w:color w:val="FFFFFF"/>
                <w:sz w:val="19"/>
                <w:szCs w:val="19"/>
                <w:vertAlign w:val="superscript"/>
              </w:rPr>
              <w:t>[h]</w:t>
            </w:r>
          </w:p>
        </w:tc>
      </w:tr>
      <w:tr w:rsidR="00E7173E" w:rsidRPr="00766038" w:rsidTr="00D81811">
        <w:trPr>
          <w:trHeight w:val="315"/>
        </w:trPr>
        <w:tc>
          <w:tcPr>
            <w:tcW w:w="3800" w:type="dxa"/>
            <w:tcBorders>
              <w:top w:val="nil"/>
              <w:left w:val="single" w:sz="8" w:space="0" w:color="448A99"/>
              <w:bottom w:val="single" w:sz="8" w:space="0" w:color="448A99"/>
              <w:right w:val="single" w:sz="8" w:space="0" w:color="448A99"/>
            </w:tcBorders>
            <w:shd w:val="clear" w:color="000000" w:fill="D2EAF1"/>
            <w:vAlign w:val="center"/>
            <w:hideMark/>
          </w:tcPr>
          <w:p w:rsidR="00A7594B" w:rsidRPr="00766038" w:rsidRDefault="00A7594B" w:rsidP="00A7594B">
            <w:pPr>
              <w:jc w:val="left"/>
              <w:rPr>
                <w:color w:val="000000"/>
                <w:sz w:val="19"/>
                <w:szCs w:val="19"/>
              </w:rPr>
            </w:pPr>
            <w:r w:rsidRPr="00766038">
              <w:rPr>
                <w:color w:val="000000"/>
                <w:sz w:val="19"/>
                <w:szCs w:val="19"/>
              </w:rPr>
              <w:t>Total Energy Savings (MWh/yr)</w:t>
            </w:r>
          </w:p>
        </w:tc>
        <w:tc>
          <w:tcPr>
            <w:tcW w:w="2760" w:type="dxa"/>
            <w:tcBorders>
              <w:top w:val="nil"/>
              <w:left w:val="nil"/>
              <w:bottom w:val="single" w:sz="8" w:space="0" w:color="448A99"/>
              <w:right w:val="single" w:sz="8" w:space="0" w:color="448A99"/>
            </w:tcBorders>
            <w:shd w:val="clear" w:color="000000" w:fill="D2EAF1"/>
            <w:vAlign w:val="center"/>
            <w:hideMark/>
          </w:tcPr>
          <w:p w:rsidR="00A7594B" w:rsidRPr="00766038" w:rsidRDefault="00A7594B" w:rsidP="00A7594B">
            <w:pPr>
              <w:jc w:val="center"/>
              <w:rPr>
                <w:sz w:val="19"/>
                <w:szCs w:val="19"/>
              </w:rPr>
            </w:pPr>
            <w:r w:rsidRPr="00766038">
              <w:rPr>
                <w:sz w:val="19"/>
                <w:szCs w:val="19"/>
              </w:rPr>
              <w:t>3,305,997</w:t>
            </w:r>
          </w:p>
        </w:tc>
        <w:tc>
          <w:tcPr>
            <w:tcW w:w="2790" w:type="dxa"/>
            <w:tcBorders>
              <w:top w:val="nil"/>
              <w:left w:val="nil"/>
              <w:bottom w:val="single" w:sz="8" w:space="0" w:color="448A99"/>
              <w:right w:val="single" w:sz="8" w:space="0" w:color="448A99"/>
            </w:tcBorders>
            <w:shd w:val="clear" w:color="000000" w:fill="D2EAF1"/>
            <w:vAlign w:val="center"/>
            <w:hideMark/>
          </w:tcPr>
          <w:p w:rsidR="00A7594B" w:rsidRPr="00766038" w:rsidRDefault="00037CB4" w:rsidP="00EB7E3B">
            <w:pPr>
              <w:jc w:val="center"/>
              <w:rPr>
                <w:sz w:val="19"/>
                <w:szCs w:val="19"/>
              </w:rPr>
            </w:pPr>
            <w:r w:rsidRPr="00766038">
              <w:rPr>
                <w:sz w:val="19"/>
                <w:szCs w:val="19"/>
              </w:rPr>
              <w:t>3,370,614</w:t>
            </w:r>
          </w:p>
        </w:tc>
      </w:tr>
      <w:tr w:rsidR="00E7173E" w:rsidRPr="00766038" w:rsidTr="00D81811">
        <w:trPr>
          <w:trHeight w:val="315"/>
        </w:trPr>
        <w:tc>
          <w:tcPr>
            <w:tcW w:w="3800" w:type="dxa"/>
            <w:tcBorders>
              <w:top w:val="nil"/>
              <w:left w:val="single" w:sz="8" w:space="0" w:color="448A99"/>
              <w:bottom w:val="single" w:sz="8" w:space="0" w:color="448A99"/>
              <w:right w:val="single" w:sz="8" w:space="0" w:color="448A99"/>
            </w:tcBorders>
            <w:shd w:val="clear" w:color="auto" w:fill="auto"/>
            <w:vAlign w:val="center"/>
            <w:hideMark/>
          </w:tcPr>
          <w:p w:rsidR="00A7594B" w:rsidRPr="00766038" w:rsidRDefault="00A7594B" w:rsidP="00A7594B">
            <w:pPr>
              <w:jc w:val="left"/>
              <w:rPr>
                <w:color w:val="000000"/>
                <w:sz w:val="19"/>
                <w:szCs w:val="19"/>
              </w:rPr>
            </w:pPr>
            <w:r w:rsidRPr="00766038">
              <w:rPr>
                <w:color w:val="000000"/>
                <w:sz w:val="19"/>
                <w:szCs w:val="19"/>
              </w:rPr>
              <w:t>Total Demand Reduction (MW)</w:t>
            </w:r>
          </w:p>
        </w:tc>
        <w:tc>
          <w:tcPr>
            <w:tcW w:w="2760" w:type="dxa"/>
            <w:tcBorders>
              <w:top w:val="nil"/>
              <w:left w:val="nil"/>
              <w:bottom w:val="single" w:sz="8" w:space="0" w:color="448A99"/>
              <w:right w:val="single" w:sz="8" w:space="0" w:color="448A99"/>
            </w:tcBorders>
            <w:shd w:val="clear" w:color="auto" w:fill="auto"/>
            <w:vAlign w:val="center"/>
            <w:hideMark/>
          </w:tcPr>
          <w:p w:rsidR="00A7594B" w:rsidRPr="00766038" w:rsidRDefault="00A7594B" w:rsidP="00A7594B">
            <w:pPr>
              <w:jc w:val="center"/>
              <w:rPr>
                <w:sz w:val="19"/>
                <w:szCs w:val="19"/>
              </w:rPr>
            </w:pPr>
            <w:r w:rsidRPr="00766038">
              <w:rPr>
                <w:sz w:val="19"/>
                <w:szCs w:val="19"/>
              </w:rPr>
              <w:t>538</w:t>
            </w:r>
          </w:p>
        </w:tc>
        <w:tc>
          <w:tcPr>
            <w:tcW w:w="2790" w:type="dxa"/>
            <w:tcBorders>
              <w:top w:val="nil"/>
              <w:left w:val="nil"/>
              <w:bottom w:val="single" w:sz="8" w:space="0" w:color="448A99"/>
              <w:right w:val="single" w:sz="8" w:space="0" w:color="448A99"/>
            </w:tcBorders>
            <w:shd w:val="clear" w:color="auto" w:fill="auto"/>
            <w:vAlign w:val="center"/>
            <w:hideMark/>
          </w:tcPr>
          <w:p w:rsidR="00A7594B" w:rsidRPr="00766038" w:rsidRDefault="00A7594B" w:rsidP="00B30A2F">
            <w:pPr>
              <w:jc w:val="center"/>
              <w:rPr>
                <w:sz w:val="19"/>
                <w:szCs w:val="19"/>
              </w:rPr>
            </w:pPr>
            <w:r w:rsidRPr="00766038">
              <w:rPr>
                <w:sz w:val="19"/>
                <w:szCs w:val="19"/>
              </w:rPr>
              <w:t>524</w:t>
            </w:r>
          </w:p>
        </w:tc>
      </w:tr>
      <w:tr w:rsidR="00E7173E" w:rsidRPr="00766038" w:rsidTr="00D81811">
        <w:trPr>
          <w:trHeight w:val="315"/>
        </w:trPr>
        <w:tc>
          <w:tcPr>
            <w:tcW w:w="3800" w:type="dxa"/>
            <w:tcBorders>
              <w:top w:val="nil"/>
              <w:left w:val="single" w:sz="8" w:space="0" w:color="448A99"/>
              <w:bottom w:val="single" w:sz="8" w:space="0" w:color="448A99"/>
              <w:right w:val="single" w:sz="8" w:space="0" w:color="448A99"/>
            </w:tcBorders>
            <w:shd w:val="clear" w:color="000000" w:fill="D2EAF1"/>
            <w:vAlign w:val="center"/>
            <w:hideMark/>
          </w:tcPr>
          <w:p w:rsidR="00A7594B" w:rsidRPr="00766038" w:rsidRDefault="00A7594B" w:rsidP="00A7594B">
            <w:pPr>
              <w:jc w:val="left"/>
              <w:rPr>
                <w:color w:val="000000"/>
                <w:sz w:val="19"/>
                <w:szCs w:val="19"/>
              </w:rPr>
            </w:pPr>
            <w:r w:rsidRPr="00766038">
              <w:rPr>
                <w:color w:val="000000"/>
                <w:sz w:val="19"/>
                <w:szCs w:val="19"/>
              </w:rPr>
              <w:t xml:space="preserve">TRC Benefits ($1,000) </w:t>
            </w:r>
            <w:r w:rsidRPr="00766038">
              <w:rPr>
                <w:color w:val="000000"/>
                <w:sz w:val="19"/>
                <w:szCs w:val="19"/>
                <w:vertAlign w:val="superscript"/>
              </w:rPr>
              <w:t>[a]</w:t>
            </w:r>
          </w:p>
        </w:tc>
        <w:tc>
          <w:tcPr>
            <w:tcW w:w="2760" w:type="dxa"/>
            <w:tcBorders>
              <w:top w:val="nil"/>
              <w:left w:val="nil"/>
              <w:bottom w:val="single" w:sz="8" w:space="0" w:color="448A99"/>
              <w:right w:val="single" w:sz="8" w:space="0" w:color="448A99"/>
            </w:tcBorders>
            <w:shd w:val="clear" w:color="000000" w:fill="D2EAF1"/>
            <w:vAlign w:val="center"/>
            <w:hideMark/>
          </w:tcPr>
          <w:p w:rsidR="00A7594B" w:rsidRPr="00766038" w:rsidRDefault="00A7594B" w:rsidP="00A7594B">
            <w:pPr>
              <w:jc w:val="center"/>
              <w:rPr>
                <w:sz w:val="19"/>
                <w:szCs w:val="19"/>
              </w:rPr>
            </w:pPr>
            <w:r w:rsidRPr="00766038">
              <w:rPr>
                <w:sz w:val="19"/>
                <w:szCs w:val="19"/>
              </w:rPr>
              <w:t xml:space="preserve">N/A </w:t>
            </w:r>
            <w:r w:rsidRPr="00766038">
              <w:rPr>
                <w:sz w:val="19"/>
                <w:szCs w:val="19"/>
                <w:vertAlign w:val="superscript"/>
              </w:rPr>
              <w:t>[g]</w:t>
            </w:r>
          </w:p>
        </w:tc>
        <w:tc>
          <w:tcPr>
            <w:tcW w:w="2790" w:type="dxa"/>
            <w:tcBorders>
              <w:top w:val="nil"/>
              <w:left w:val="nil"/>
              <w:bottom w:val="single" w:sz="8" w:space="0" w:color="448A99"/>
              <w:right w:val="single" w:sz="8" w:space="0" w:color="448A99"/>
            </w:tcBorders>
            <w:shd w:val="clear" w:color="000000" w:fill="D2EAF1"/>
            <w:vAlign w:val="center"/>
            <w:hideMark/>
          </w:tcPr>
          <w:p w:rsidR="00A7594B" w:rsidRPr="00766038" w:rsidRDefault="006606CB" w:rsidP="00A7594B">
            <w:pPr>
              <w:jc w:val="center"/>
              <w:rPr>
                <w:sz w:val="19"/>
                <w:szCs w:val="19"/>
              </w:rPr>
            </w:pPr>
            <w:r w:rsidRPr="00766038">
              <w:rPr>
                <w:sz w:val="19"/>
                <w:szCs w:val="19"/>
              </w:rPr>
              <w:t>$2,197,248</w:t>
            </w:r>
          </w:p>
        </w:tc>
      </w:tr>
      <w:tr w:rsidR="00E7173E" w:rsidRPr="00766038" w:rsidTr="00D81811">
        <w:trPr>
          <w:trHeight w:val="315"/>
        </w:trPr>
        <w:tc>
          <w:tcPr>
            <w:tcW w:w="3800" w:type="dxa"/>
            <w:tcBorders>
              <w:top w:val="nil"/>
              <w:left w:val="single" w:sz="8" w:space="0" w:color="448A99"/>
              <w:bottom w:val="single" w:sz="8" w:space="0" w:color="448A99"/>
              <w:right w:val="single" w:sz="8" w:space="0" w:color="448A99"/>
            </w:tcBorders>
            <w:shd w:val="clear" w:color="auto" w:fill="auto"/>
            <w:vAlign w:val="center"/>
            <w:hideMark/>
          </w:tcPr>
          <w:p w:rsidR="00A7594B" w:rsidRPr="00766038" w:rsidRDefault="00A7594B" w:rsidP="00A7594B">
            <w:pPr>
              <w:jc w:val="left"/>
              <w:rPr>
                <w:color w:val="000000"/>
                <w:sz w:val="19"/>
                <w:szCs w:val="19"/>
              </w:rPr>
            </w:pPr>
            <w:r w:rsidRPr="00766038">
              <w:rPr>
                <w:color w:val="000000"/>
                <w:sz w:val="19"/>
                <w:szCs w:val="19"/>
              </w:rPr>
              <w:t xml:space="preserve">TRC Costs ($1,000) </w:t>
            </w:r>
            <w:r w:rsidRPr="00766038">
              <w:rPr>
                <w:color w:val="000000"/>
                <w:sz w:val="19"/>
                <w:szCs w:val="19"/>
                <w:vertAlign w:val="superscript"/>
              </w:rPr>
              <w:t>[b]</w:t>
            </w:r>
          </w:p>
        </w:tc>
        <w:tc>
          <w:tcPr>
            <w:tcW w:w="2760" w:type="dxa"/>
            <w:tcBorders>
              <w:top w:val="nil"/>
              <w:left w:val="nil"/>
              <w:bottom w:val="single" w:sz="8" w:space="0" w:color="448A99"/>
              <w:right w:val="single" w:sz="8" w:space="0" w:color="448A99"/>
            </w:tcBorders>
            <w:shd w:val="clear" w:color="auto" w:fill="auto"/>
            <w:vAlign w:val="center"/>
            <w:hideMark/>
          </w:tcPr>
          <w:p w:rsidR="00A7594B" w:rsidRPr="00766038" w:rsidRDefault="00A7594B" w:rsidP="00A7594B">
            <w:pPr>
              <w:jc w:val="center"/>
              <w:rPr>
                <w:sz w:val="19"/>
                <w:szCs w:val="19"/>
              </w:rPr>
            </w:pPr>
            <w:r w:rsidRPr="00766038">
              <w:rPr>
                <w:sz w:val="19"/>
                <w:szCs w:val="19"/>
              </w:rPr>
              <w:t xml:space="preserve">N/A </w:t>
            </w:r>
            <w:r w:rsidRPr="00766038">
              <w:rPr>
                <w:sz w:val="19"/>
                <w:szCs w:val="19"/>
                <w:vertAlign w:val="superscript"/>
              </w:rPr>
              <w:t>[g]</w:t>
            </w:r>
          </w:p>
        </w:tc>
        <w:tc>
          <w:tcPr>
            <w:tcW w:w="2790" w:type="dxa"/>
            <w:tcBorders>
              <w:top w:val="nil"/>
              <w:left w:val="nil"/>
              <w:bottom w:val="single" w:sz="8" w:space="0" w:color="448A99"/>
              <w:right w:val="single" w:sz="8" w:space="0" w:color="448A99"/>
            </w:tcBorders>
            <w:shd w:val="clear" w:color="auto" w:fill="auto"/>
            <w:vAlign w:val="center"/>
            <w:hideMark/>
          </w:tcPr>
          <w:p w:rsidR="00A7594B" w:rsidRPr="00766038" w:rsidRDefault="00A7594B" w:rsidP="00A7594B">
            <w:pPr>
              <w:jc w:val="center"/>
              <w:rPr>
                <w:sz w:val="19"/>
                <w:szCs w:val="19"/>
              </w:rPr>
            </w:pPr>
            <w:r w:rsidRPr="00766038">
              <w:rPr>
                <w:sz w:val="19"/>
                <w:szCs w:val="19"/>
              </w:rPr>
              <w:t>$1,286,220</w:t>
            </w:r>
          </w:p>
        </w:tc>
      </w:tr>
      <w:tr w:rsidR="00E7173E" w:rsidRPr="00766038" w:rsidTr="00D81811">
        <w:trPr>
          <w:trHeight w:val="315"/>
        </w:trPr>
        <w:tc>
          <w:tcPr>
            <w:tcW w:w="3800" w:type="dxa"/>
            <w:tcBorders>
              <w:top w:val="nil"/>
              <w:left w:val="single" w:sz="8" w:space="0" w:color="448A99"/>
              <w:bottom w:val="single" w:sz="8" w:space="0" w:color="448A99"/>
              <w:right w:val="single" w:sz="8" w:space="0" w:color="448A99"/>
            </w:tcBorders>
            <w:shd w:val="clear" w:color="000000" w:fill="D2EAF1"/>
            <w:vAlign w:val="center"/>
            <w:hideMark/>
          </w:tcPr>
          <w:p w:rsidR="00A7594B" w:rsidRPr="00766038" w:rsidRDefault="00A7594B" w:rsidP="00AE0EE2">
            <w:pPr>
              <w:jc w:val="left"/>
              <w:rPr>
                <w:color w:val="000000"/>
                <w:sz w:val="19"/>
                <w:szCs w:val="19"/>
              </w:rPr>
            </w:pPr>
            <w:r w:rsidRPr="00766038">
              <w:rPr>
                <w:color w:val="000000"/>
                <w:sz w:val="19"/>
                <w:szCs w:val="19"/>
              </w:rPr>
              <w:t xml:space="preserve">TRC </w:t>
            </w:r>
            <w:r w:rsidR="00AE0EE2" w:rsidRPr="00766038">
              <w:rPr>
                <w:color w:val="000000"/>
                <w:sz w:val="19"/>
                <w:szCs w:val="19"/>
              </w:rPr>
              <w:t>B/C</w:t>
            </w:r>
            <w:r w:rsidRPr="00766038">
              <w:rPr>
                <w:color w:val="000000"/>
                <w:sz w:val="19"/>
                <w:szCs w:val="19"/>
              </w:rPr>
              <w:t xml:space="preserve"> Ratio </w:t>
            </w:r>
            <w:r w:rsidRPr="00766038">
              <w:rPr>
                <w:color w:val="000000"/>
                <w:sz w:val="19"/>
                <w:szCs w:val="19"/>
                <w:vertAlign w:val="superscript"/>
              </w:rPr>
              <w:t>[c]</w:t>
            </w:r>
          </w:p>
        </w:tc>
        <w:tc>
          <w:tcPr>
            <w:tcW w:w="2760" w:type="dxa"/>
            <w:tcBorders>
              <w:top w:val="nil"/>
              <w:left w:val="nil"/>
              <w:bottom w:val="single" w:sz="8" w:space="0" w:color="448A99"/>
              <w:right w:val="single" w:sz="8" w:space="0" w:color="448A99"/>
            </w:tcBorders>
            <w:shd w:val="clear" w:color="000000" w:fill="D2EAF1"/>
            <w:vAlign w:val="center"/>
            <w:hideMark/>
          </w:tcPr>
          <w:p w:rsidR="00A7594B" w:rsidRPr="00766038" w:rsidRDefault="00A7594B" w:rsidP="00A7594B">
            <w:pPr>
              <w:jc w:val="center"/>
              <w:rPr>
                <w:sz w:val="19"/>
                <w:szCs w:val="19"/>
              </w:rPr>
            </w:pPr>
            <w:r w:rsidRPr="00766038">
              <w:rPr>
                <w:sz w:val="19"/>
                <w:szCs w:val="19"/>
              </w:rPr>
              <w:t xml:space="preserve">N/A </w:t>
            </w:r>
            <w:r w:rsidRPr="00766038">
              <w:rPr>
                <w:sz w:val="19"/>
                <w:szCs w:val="19"/>
                <w:vertAlign w:val="superscript"/>
              </w:rPr>
              <w:t>[g]</w:t>
            </w:r>
          </w:p>
        </w:tc>
        <w:tc>
          <w:tcPr>
            <w:tcW w:w="2790" w:type="dxa"/>
            <w:tcBorders>
              <w:top w:val="nil"/>
              <w:left w:val="nil"/>
              <w:bottom w:val="single" w:sz="8" w:space="0" w:color="448A99"/>
              <w:right w:val="single" w:sz="8" w:space="0" w:color="448A99"/>
            </w:tcBorders>
            <w:shd w:val="clear" w:color="000000" w:fill="D2EAF1"/>
            <w:vAlign w:val="center"/>
            <w:hideMark/>
          </w:tcPr>
          <w:p w:rsidR="00A7594B" w:rsidRPr="00766038" w:rsidRDefault="00A7594B" w:rsidP="00A7594B">
            <w:pPr>
              <w:jc w:val="center"/>
              <w:rPr>
                <w:sz w:val="19"/>
                <w:szCs w:val="19"/>
              </w:rPr>
            </w:pPr>
            <w:r w:rsidRPr="00766038">
              <w:rPr>
                <w:sz w:val="19"/>
                <w:szCs w:val="19"/>
              </w:rPr>
              <w:t>1.71</w:t>
            </w:r>
          </w:p>
        </w:tc>
      </w:tr>
      <w:tr w:rsidR="00E7173E" w:rsidRPr="00766038" w:rsidTr="00D81811">
        <w:trPr>
          <w:trHeight w:val="330"/>
        </w:trPr>
        <w:tc>
          <w:tcPr>
            <w:tcW w:w="3800" w:type="dxa"/>
            <w:tcBorders>
              <w:top w:val="nil"/>
              <w:left w:val="single" w:sz="8" w:space="0" w:color="448A99"/>
              <w:bottom w:val="single" w:sz="8" w:space="0" w:color="448A99"/>
              <w:right w:val="single" w:sz="8" w:space="0" w:color="448A99"/>
            </w:tcBorders>
            <w:shd w:val="clear" w:color="auto" w:fill="auto"/>
            <w:vAlign w:val="center"/>
            <w:hideMark/>
          </w:tcPr>
          <w:p w:rsidR="00A7594B" w:rsidRPr="00766038" w:rsidRDefault="00A7594B" w:rsidP="00A7594B">
            <w:pPr>
              <w:jc w:val="left"/>
              <w:rPr>
                <w:color w:val="000000"/>
                <w:sz w:val="19"/>
                <w:szCs w:val="19"/>
              </w:rPr>
            </w:pPr>
            <w:r w:rsidRPr="00766038">
              <w:rPr>
                <w:color w:val="000000"/>
                <w:sz w:val="19"/>
                <w:szCs w:val="19"/>
              </w:rPr>
              <w:t>CO</w:t>
            </w:r>
            <w:r w:rsidRPr="00766038">
              <w:rPr>
                <w:color w:val="000000"/>
                <w:sz w:val="19"/>
                <w:szCs w:val="19"/>
                <w:vertAlign w:val="subscript"/>
              </w:rPr>
              <w:t>2</w:t>
            </w:r>
            <w:r w:rsidRPr="00766038">
              <w:rPr>
                <w:color w:val="000000"/>
                <w:sz w:val="19"/>
                <w:szCs w:val="19"/>
              </w:rPr>
              <w:t xml:space="preserve"> Emissions Reduction (Tons) </w:t>
            </w:r>
            <w:r w:rsidRPr="00766038">
              <w:rPr>
                <w:color w:val="000000"/>
                <w:sz w:val="19"/>
                <w:szCs w:val="19"/>
                <w:vertAlign w:val="superscript"/>
              </w:rPr>
              <w:t>[d][e]</w:t>
            </w:r>
          </w:p>
        </w:tc>
        <w:tc>
          <w:tcPr>
            <w:tcW w:w="2760" w:type="dxa"/>
            <w:tcBorders>
              <w:top w:val="nil"/>
              <w:left w:val="nil"/>
              <w:bottom w:val="single" w:sz="8" w:space="0" w:color="448A99"/>
              <w:right w:val="single" w:sz="8" w:space="0" w:color="448A99"/>
            </w:tcBorders>
            <w:shd w:val="clear" w:color="auto" w:fill="auto"/>
            <w:vAlign w:val="center"/>
            <w:hideMark/>
          </w:tcPr>
          <w:p w:rsidR="00A7594B" w:rsidRPr="00766038" w:rsidRDefault="00A7594B" w:rsidP="00A7594B">
            <w:pPr>
              <w:jc w:val="center"/>
              <w:rPr>
                <w:sz w:val="19"/>
                <w:szCs w:val="19"/>
              </w:rPr>
            </w:pPr>
            <w:r w:rsidRPr="00766038">
              <w:rPr>
                <w:sz w:val="19"/>
                <w:szCs w:val="19"/>
              </w:rPr>
              <w:t>2,547,271</w:t>
            </w:r>
          </w:p>
        </w:tc>
        <w:tc>
          <w:tcPr>
            <w:tcW w:w="2790" w:type="dxa"/>
            <w:tcBorders>
              <w:top w:val="nil"/>
              <w:left w:val="nil"/>
              <w:bottom w:val="single" w:sz="8" w:space="0" w:color="448A99"/>
              <w:right w:val="single" w:sz="8" w:space="0" w:color="448A99"/>
            </w:tcBorders>
            <w:shd w:val="clear" w:color="auto" w:fill="auto"/>
            <w:vAlign w:val="center"/>
            <w:hideMark/>
          </w:tcPr>
          <w:p w:rsidR="00A7594B" w:rsidRPr="00766038" w:rsidRDefault="00EB7E3B" w:rsidP="00EB7E3B">
            <w:pPr>
              <w:jc w:val="center"/>
              <w:rPr>
                <w:sz w:val="19"/>
                <w:szCs w:val="19"/>
              </w:rPr>
            </w:pPr>
            <w:r w:rsidRPr="00766038">
              <w:rPr>
                <w:sz w:val="19"/>
                <w:szCs w:val="19"/>
              </w:rPr>
              <w:t>2,597,104</w:t>
            </w:r>
          </w:p>
        </w:tc>
      </w:tr>
      <w:tr w:rsidR="00A7594B" w:rsidRPr="007A007D" w:rsidTr="00D81811">
        <w:trPr>
          <w:trHeight w:val="3040"/>
        </w:trPr>
        <w:tc>
          <w:tcPr>
            <w:tcW w:w="9350" w:type="dxa"/>
            <w:gridSpan w:val="3"/>
            <w:tcBorders>
              <w:top w:val="single" w:sz="8" w:space="0" w:color="448A99"/>
              <w:left w:val="single" w:sz="8" w:space="0" w:color="448A99"/>
              <w:bottom w:val="single" w:sz="8" w:space="0" w:color="448A99"/>
              <w:right w:val="nil"/>
            </w:tcBorders>
            <w:shd w:val="clear" w:color="000000" w:fill="448A99"/>
            <w:vAlign w:val="center"/>
            <w:hideMark/>
          </w:tcPr>
          <w:p w:rsidR="00A7594B" w:rsidRPr="007A007D" w:rsidRDefault="00A7594B" w:rsidP="00515DCC">
            <w:pPr>
              <w:jc w:val="left"/>
              <w:rPr>
                <w:color w:val="FFFFFF"/>
                <w:sz w:val="18"/>
                <w:szCs w:val="19"/>
              </w:rPr>
            </w:pPr>
            <w:r w:rsidRPr="007A007D">
              <w:rPr>
                <w:color w:val="FFFFFF"/>
                <w:sz w:val="18"/>
                <w:szCs w:val="19"/>
              </w:rPr>
              <w:t xml:space="preserve">NOTES: </w:t>
            </w:r>
            <w:r w:rsidRPr="007A007D">
              <w:rPr>
                <w:color w:val="FFFFFF"/>
                <w:sz w:val="18"/>
                <w:szCs w:val="19"/>
              </w:rPr>
              <w:br/>
              <w:t>[a] Avoided supply costs, including the reduction in costs of electric energy, generation, transmission, and distribution capacity. Subject to TRC Order.</w:t>
            </w:r>
            <w:r w:rsidRPr="007A007D">
              <w:rPr>
                <w:color w:val="FFFFFF"/>
                <w:sz w:val="18"/>
                <w:szCs w:val="19"/>
              </w:rPr>
              <w:br/>
              <w:t>[b] Costs paid by the program administrator and participants plus the increase in supply costs for any period when load is increased.  Subject to TRC Order.</w:t>
            </w:r>
            <w:r w:rsidRPr="007A007D">
              <w:rPr>
                <w:color w:val="FFFFFF"/>
                <w:sz w:val="18"/>
                <w:szCs w:val="19"/>
              </w:rPr>
              <w:br/>
              <w:t>[c] Subject to the Commission’s August 31, 2012 TRC Order.</w:t>
            </w:r>
            <w:r w:rsidRPr="007A007D">
              <w:rPr>
                <w:color w:val="FFFFFF"/>
                <w:sz w:val="18"/>
                <w:szCs w:val="19"/>
              </w:rPr>
              <w:br/>
              <w:t>[d] CO</w:t>
            </w:r>
            <w:r w:rsidRPr="007A007D">
              <w:rPr>
                <w:color w:val="FFFFFF"/>
                <w:sz w:val="18"/>
                <w:szCs w:val="19"/>
                <w:vertAlign w:val="subscript"/>
              </w:rPr>
              <w:t>2</w:t>
            </w:r>
            <w:r w:rsidRPr="007A007D">
              <w:rPr>
                <w:color w:val="FFFFFF"/>
                <w:sz w:val="18"/>
                <w:szCs w:val="19"/>
              </w:rPr>
              <w:t xml:space="preserve"> conversion based on 1,541 lbs CO</w:t>
            </w:r>
            <w:r w:rsidRPr="007A007D">
              <w:rPr>
                <w:color w:val="FFFFFF"/>
                <w:sz w:val="18"/>
                <w:szCs w:val="19"/>
                <w:vertAlign w:val="subscript"/>
              </w:rPr>
              <w:t>2</w:t>
            </w:r>
            <w:r w:rsidRPr="007A007D">
              <w:rPr>
                <w:color w:val="FFFFFF"/>
                <w:sz w:val="18"/>
                <w:szCs w:val="19"/>
              </w:rPr>
              <w:t xml:space="preserve"> per MWh according to the latest available (2015) PJM Emission Report of marginal off-peak annual CO</w:t>
            </w:r>
            <w:r w:rsidRPr="007A007D">
              <w:rPr>
                <w:color w:val="FFFFFF"/>
                <w:sz w:val="18"/>
                <w:szCs w:val="19"/>
                <w:vertAlign w:val="subscript"/>
              </w:rPr>
              <w:t>2</w:t>
            </w:r>
            <w:r w:rsidRPr="007A007D">
              <w:rPr>
                <w:color w:val="FFFFFF"/>
                <w:sz w:val="18"/>
                <w:szCs w:val="19"/>
              </w:rPr>
              <w:t xml:space="preserve"> emission rate.</w:t>
            </w:r>
            <w:r w:rsidRPr="007A007D">
              <w:rPr>
                <w:color w:val="FFFFFF"/>
                <w:sz w:val="18"/>
                <w:szCs w:val="19"/>
              </w:rPr>
              <w:br/>
              <w:t>[e] CO</w:t>
            </w:r>
            <w:r w:rsidRPr="007A007D">
              <w:rPr>
                <w:color w:val="FFFFFF"/>
                <w:sz w:val="18"/>
                <w:szCs w:val="19"/>
                <w:vertAlign w:val="subscript"/>
              </w:rPr>
              <w:t>2</w:t>
            </w:r>
            <w:r w:rsidRPr="007A007D">
              <w:rPr>
                <w:color w:val="FFFFFF"/>
                <w:sz w:val="18"/>
                <w:szCs w:val="19"/>
              </w:rPr>
              <w:t xml:space="preserve"> emissions are reported due to </w:t>
            </w:r>
            <w:r w:rsidR="0096372C" w:rsidRPr="007A007D">
              <w:rPr>
                <w:color w:val="FFFFFF"/>
                <w:sz w:val="18"/>
                <w:szCs w:val="19"/>
              </w:rPr>
              <w:t>s</w:t>
            </w:r>
            <w:r w:rsidRPr="007A007D">
              <w:rPr>
                <w:color w:val="FFFFFF"/>
                <w:sz w:val="18"/>
                <w:szCs w:val="19"/>
              </w:rPr>
              <w:t>takeholder interest in this information and to recognize that reporting this information is recommended by the National Action Plan for Energy Efficiency.</w:t>
            </w:r>
            <w:r w:rsidRPr="007A007D">
              <w:rPr>
                <w:color w:val="FFFFFF"/>
                <w:sz w:val="18"/>
                <w:szCs w:val="19"/>
              </w:rPr>
              <w:br/>
              <w:t>[f] Phase II Reported Gross Impact is the cumulative program/portfolio Phase II Inception</w:t>
            </w:r>
            <w:r w:rsidR="0096372C" w:rsidRPr="007A007D">
              <w:rPr>
                <w:color w:val="FFFFFF"/>
                <w:sz w:val="18"/>
                <w:szCs w:val="19"/>
              </w:rPr>
              <w:t>-</w:t>
            </w:r>
            <w:r w:rsidRPr="007A007D">
              <w:rPr>
                <w:color w:val="FFFFFF"/>
                <w:sz w:val="18"/>
                <w:szCs w:val="19"/>
              </w:rPr>
              <w:t>to</w:t>
            </w:r>
            <w:r w:rsidR="0096372C" w:rsidRPr="007A007D">
              <w:rPr>
                <w:color w:val="FFFFFF"/>
                <w:sz w:val="18"/>
                <w:szCs w:val="19"/>
              </w:rPr>
              <w:t>-</w:t>
            </w:r>
            <w:r w:rsidRPr="007A007D">
              <w:rPr>
                <w:color w:val="FFFFFF"/>
                <w:sz w:val="18"/>
                <w:szCs w:val="19"/>
              </w:rPr>
              <w:t>Date</w:t>
            </w:r>
            <w:r w:rsidR="0096372C" w:rsidRPr="007A007D">
              <w:rPr>
                <w:color w:val="FFFFFF"/>
                <w:sz w:val="18"/>
                <w:szCs w:val="19"/>
              </w:rPr>
              <w:t>-</w:t>
            </w:r>
            <w:r w:rsidRPr="007A007D">
              <w:rPr>
                <w:color w:val="FFFFFF"/>
                <w:sz w:val="18"/>
                <w:szCs w:val="19"/>
              </w:rPr>
              <w:t>Reported Gross Savings.</w:t>
            </w:r>
            <w:r w:rsidRPr="007A007D">
              <w:rPr>
                <w:color w:val="FFFFFF"/>
                <w:sz w:val="18"/>
                <w:szCs w:val="19"/>
              </w:rPr>
              <w:br/>
              <w:t>[g] TRC Benefits and Costs are calculated only for verified savings, which reflect actual program results.</w:t>
            </w:r>
            <w:r w:rsidRPr="007A007D">
              <w:rPr>
                <w:color w:val="FFFFFF"/>
                <w:sz w:val="18"/>
                <w:szCs w:val="19"/>
              </w:rPr>
              <w:br/>
              <w:t>[h] Phase II Verified Impact is the cumulative program/portfolio Phase II Inception</w:t>
            </w:r>
            <w:r w:rsidR="001649DE" w:rsidRPr="007A007D">
              <w:rPr>
                <w:color w:val="FFFFFF"/>
                <w:sz w:val="18"/>
                <w:szCs w:val="19"/>
              </w:rPr>
              <w:t>-</w:t>
            </w:r>
            <w:r w:rsidRPr="007A007D">
              <w:rPr>
                <w:color w:val="FFFFFF"/>
                <w:sz w:val="18"/>
                <w:szCs w:val="19"/>
              </w:rPr>
              <w:t>to</w:t>
            </w:r>
            <w:r w:rsidR="001649DE" w:rsidRPr="007A007D">
              <w:rPr>
                <w:color w:val="FFFFFF"/>
                <w:sz w:val="18"/>
                <w:szCs w:val="19"/>
              </w:rPr>
              <w:t>-</w:t>
            </w:r>
            <w:r w:rsidRPr="007A007D">
              <w:rPr>
                <w:color w:val="FFFFFF"/>
                <w:sz w:val="18"/>
                <w:szCs w:val="19"/>
              </w:rPr>
              <w:t>Date</w:t>
            </w:r>
            <w:r w:rsidR="001649DE" w:rsidRPr="007A007D">
              <w:rPr>
                <w:color w:val="FFFFFF"/>
                <w:sz w:val="18"/>
                <w:szCs w:val="19"/>
              </w:rPr>
              <w:t xml:space="preserve"> </w:t>
            </w:r>
            <w:r w:rsidRPr="007A007D">
              <w:rPr>
                <w:color w:val="FFFFFF"/>
                <w:sz w:val="18"/>
                <w:szCs w:val="19"/>
              </w:rPr>
              <w:t>Verified Gross Savings.</w:t>
            </w:r>
          </w:p>
        </w:tc>
      </w:tr>
    </w:tbl>
    <w:p w:rsidR="006A7FE8" w:rsidRDefault="006A7FE8" w:rsidP="0043410E"/>
    <w:p w:rsidR="00622397" w:rsidRDefault="00B10031" w:rsidP="0043410E">
      <w:r>
        <w:fldChar w:fldCharType="begin"/>
      </w:r>
      <w:r>
        <w:instrText xml:space="preserve"> REF _Ref472402035 \h </w:instrText>
      </w:r>
      <w:r>
        <w:fldChar w:fldCharType="separate"/>
      </w:r>
      <w:r w:rsidR="00037CB4">
        <w:t xml:space="preserve">Figure </w:t>
      </w:r>
      <w:r w:rsidR="00037CB4">
        <w:rPr>
          <w:noProof/>
        </w:rPr>
        <w:t>2</w:t>
      </w:r>
      <w:r w:rsidR="00037CB4">
        <w:noBreakHyphen/>
      </w:r>
      <w:r w:rsidR="00037CB4">
        <w:rPr>
          <w:noProof/>
        </w:rPr>
        <w:t>16</w:t>
      </w:r>
      <w:r>
        <w:fldChar w:fldCharType="end"/>
      </w:r>
      <w:r>
        <w:t xml:space="preserve"> shows the Phase II verified gross savings</w:t>
      </w:r>
      <w:r w:rsidR="00A854FE">
        <w:t xml:space="preserve"> plus</w:t>
      </w:r>
      <w:r>
        <w:t xml:space="preserve"> Phase I carryover</w:t>
      </w:r>
      <w:r w:rsidR="00515DCC">
        <w:t xml:space="preserve"> (CO)</w:t>
      </w:r>
      <w:r>
        <w:t xml:space="preserve"> savings compared with the aggregated EDC compliance targets</w:t>
      </w:r>
      <w:r w:rsidR="00C659B0">
        <w:t xml:space="preserve"> for Phase II</w:t>
      </w:r>
      <w:r>
        <w:t xml:space="preserve">. The EDCs collectively achieved enough savings during Phase II to meet the combined target, with the Phase I </w:t>
      </w:r>
      <w:r w:rsidR="00FF0629">
        <w:t xml:space="preserve">carryover </w:t>
      </w:r>
      <w:r>
        <w:t>providing a surplus of savings.</w:t>
      </w:r>
    </w:p>
    <w:p w:rsidR="00910A97" w:rsidRDefault="00910A97" w:rsidP="0043410E"/>
    <w:p w:rsidR="00C659B0" w:rsidRDefault="00C659B0" w:rsidP="0043410E"/>
    <w:p w:rsidR="00C659B0" w:rsidRDefault="00C659B0" w:rsidP="0043410E"/>
    <w:p w:rsidR="00C659B0" w:rsidRDefault="00C659B0" w:rsidP="0043410E"/>
    <w:p w:rsidR="00C659B0" w:rsidRDefault="00C659B0" w:rsidP="0043410E"/>
    <w:p w:rsidR="00C659B0" w:rsidRDefault="00C659B0" w:rsidP="0043410E"/>
    <w:p w:rsidR="00C659B0" w:rsidRDefault="00C659B0" w:rsidP="0043410E"/>
    <w:p w:rsidR="00C659B0" w:rsidRDefault="00C659B0" w:rsidP="0043410E"/>
    <w:p w:rsidR="00C659B0" w:rsidRDefault="00C659B0" w:rsidP="0043410E"/>
    <w:p w:rsidR="00B10031" w:rsidRDefault="00C659B0" w:rsidP="004837FA">
      <w:pPr>
        <w:pStyle w:val="Caption"/>
      </w:pPr>
      <w:bookmarkStart w:id="165" w:name="_Ref472402035"/>
      <w:bookmarkStart w:id="166" w:name="_Toc472472223"/>
      <w:bookmarkStart w:id="167" w:name="_Toc488741802"/>
      <w:r>
        <w:rPr>
          <w:noProof/>
        </w:rPr>
        <w:drawing>
          <wp:anchor distT="0" distB="0" distL="114300" distR="114300" simplePos="0" relativeHeight="251685894" behindDoc="0" locked="0" layoutInCell="1" allowOverlap="1" wp14:anchorId="4853968A" wp14:editId="6466E06D">
            <wp:simplePos x="0" y="0"/>
            <wp:positionH relativeFrom="column">
              <wp:posOffset>158447</wp:posOffset>
            </wp:positionH>
            <wp:positionV relativeFrom="paragraph">
              <wp:posOffset>188595</wp:posOffset>
            </wp:positionV>
            <wp:extent cx="5624757" cy="315070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a:extLst>
                        <a:ext uri="{28A0092B-C50C-407E-A947-70E740481C1C}">
                          <a14:useLocalDpi xmlns:a14="http://schemas.microsoft.com/office/drawing/2010/main" val="0"/>
                        </a:ext>
                      </a:extLst>
                    </a:blip>
                    <a:srcRect r="3763" b="9736"/>
                    <a:stretch/>
                  </pic:blipFill>
                  <pic:spPr bwMode="auto">
                    <a:xfrm>
                      <a:off x="0" y="0"/>
                      <a:ext cx="5624757" cy="315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0031">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16</w:t>
      </w:r>
      <w:r w:rsidR="007973A4">
        <w:rPr>
          <w:noProof/>
        </w:rPr>
        <w:fldChar w:fldCharType="end"/>
      </w:r>
      <w:bookmarkEnd w:id="165"/>
      <w:r w:rsidR="00B10031">
        <w:t>: Phase II Verified Gross Energy Impacts Statewide</w:t>
      </w:r>
      <w:bookmarkEnd w:id="166"/>
      <w:bookmarkEnd w:id="167"/>
      <w:r w:rsidR="00927606">
        <w:t xml:space="preserve"> (MWh/yr)</w:t>
      </w:r>
    </w:p>
    <w:p w:rsidR="006A7FE8" w:rsidRDefault="006A7FE8" w:rsidP="004D17D8">
      <w:pPr>
        <w:jc w:val="center"/>
      </w:pPr>
    </w:p>
    <w:p w:rsidR="002047FF" w:rsidRDefault="002047FF"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C659B0" w:rsidRDefault="00C659B0" w:rsidP="007C6101"/>
    <w:p w:rsidR="006710CA" w:rsidRDefault="007C6101" w:rsidP="007C6101">
      <w:r>
        <w:fldChar w:fldCharType="begin"/>
      </w:r>
      <w:r>
        <w:instrText xml:space="preserve"> REF _Ref472402500 \h </w:instrText>
      </w:r>
      <w:r>
        <w:fldChar w:fldCharType="separate"/>
      </w:r>
      <w:r w:rsidR="00037CB4">
        <w:t xml:space="preserve">Table </w:t>
      </w:r>
      <w:r w:rsidR="00037CB4">
        <w:rPr>
          <w:noProof/>
        </w:rPr>
        <w:t>2</w:t>
      </w:r>
      <w:r w:rsidR="00037CB4">
        <w:noBreakHyphen/>
      </w:r>
      <w:r w:rsidR="00037CB4">
        <w:rPr>
          <w:noProof/>
        </w:rPr>
        <w:t>14</w:t>
      </w:r>
      <w:r>
        <w:fldChar w:fldCharType="end"/>
      </w:r>
      <w:r w:rsidR="006710CA">
        <w:t xml:space="preserve"> </w:t>
      </w:r>
      <w:r w:rsidR="00515DCC">
        <w:t>shows the</w:t>
      </w:r>
      <w:r w:rsidR="006710CA">
        <w:t xml:space="preserve"> Phase II gross and net lifetime energy savings. These impacts account for the measure life of the portfolio of measures offered by the EDCs. The gross lifetime savings are </w:t>
      </w:r>
      <w:r w:rsidR="006A44F5">
        <w:t>35</w:t>
      </w:r>
      <w:r w:rsidR="006710CA">
        <w:t xml:space="preserve"> million MWh. After accounting for </w:t>
      </w:r>
      <w:r w:rsidR="00515DCC">
        <w:t>NTG</w:t>
      </w:r>
      <w:r w:rsidR="006710CA">
        <w:t xml:space="preserve"> impacts, the net lifetime savings </w:t>
      </w:r>
      <w:r w:rsidR="006710CA" w:rsidRPr="006A44F5">
        <w:t>are 2</w:t>
      </w:r>
      <w:r w:rsidR="006A44F5" w:rsidRPr="006A44F5">
        <w:t>4</w:t>
      </w:r>
      <w:r w:rsidR="006710CA">
        <w:t xml:space="preserve"> million MWh in Phase II.</w:t>
      </w:r>
    </w:p>
    <w:p w:rsidR="007C6101" w:rsidRDefault="007C6101" w:rsidP="007C6101"/>
    <w:p w:rsidR="001D747B" w:rsidRDefault="001D747B" w:rsidP="004837FA">
      <w:pPr>
        <w:pStyle w:val="Caption"/>
      </w:pPr>
      <w:bookmarkStart w:id="168" w:name="_Ref472402500"/>
      <w:bookmarkStart w:id="169" w:name="_Toc472472167"/>
      <w:bookmarkStart w:id="170" w:name="_Toc488741745"/>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14</w:t>
      </w:r>
      <w:r w:rsidR="007973A4">
        <w:rPr>
          <w:noProof/>
        </w:rPr>
        <w:fldChar w:fldCharType="end"/>
      </w:r>
      <w:bookmarkEnd w:id="168"/>
      <w:r>
        <w:t xml:space="preserve">: Summary of Statewide Phase II Lifetime Annual </w:t>
      </w:r>
      <w:r w:rsidR="00515DCC">
        <w:t xml:space="preserve">Energy </w:t>
      </w:r>
      <w:r>
        <w:t>Savings</w:t>
      </w:r>
      <w:bookmarkEnd w:id="169"/>
      <w:bookmarkEnd w:id="170"/>
    </w:p>
    <w:tbl>
      <w:tblPr>
        <w:tblW w:w="9360" w:type="dxa"/>
        <w:tblInd w:w="-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5485"/>
        <w:gridCol w:w="3875"/>
      </w:tblGrid>
      <w:tr w:rsidR="00E7173E" w:rsidRPr="00766038" w:rsidTr="00766038">
        <w:trPr>
          <w:trHeight w:val="251"/>
          <w:tblHeader/>
        </w:trPr>
        <w:tc>
          <w:tcPr>
            <w:tcW w:w="5485" w:type="dxa"/>
            <w:shd w:val="clear" w:color="000000" w:fill="448A99"/>
            <w:noWrap/>
            <w:vAlign w:val="bottom"/>
            <w:hideMark/>
          </w:tcPr>
          <w:p w:rsidR="007C6101" w:rsidRPr="00766038" w:rsidRDefault="007C6101" w:rsidP="007C6101">
            <w:pPr>
              <w:jc w:val="left"/>
              <w:rPr>
                <w:b/>
                <w:bCs/>
                <w:color w:val="FFFFFF"/>
                <w:sz w:val="19"/>
                <w:szCs w:val="19"/>
              </w:rPr>
            </w:pPr>
            <w:r w:rsidRPr="00766038">
              <w:rPr>
                <w:b/>
                <w:bCs/>
                <w:color w:val="FFFFFF"/>
                <w:sz w:val="19"/>
                <w:szCs w:val="19"/>
              </w:rPr>
              <w:t>Element</w:t>
            </w:r>
          </w:p>
        </w:tc>
        <w:tc>
          <w:tcPr>
            <w:tcW w:w="3875" w:type="dxa"/>
            <w:shd w:val="clear" w:color="000000" w:fill="448A99"/>
            <w:vAlign w:val="bottom"/>
            <w:hideMark/>
          </w:tcPr>
          <w:p w:rsidR="007C6101" w:rsidRPr="00766038" w:rsidRDefault="007C6101" w:rsidP="007C6101">
            <w:pPr>
              <w:jc w:val="center"/>
              <w:rPr>
                <w:b/>
                <w:bCs/>
                <w:color w:val="FFFFFF"/>
                <w:sz w:val="19"/>
                <w:szCs w:val="19"/>
              </w:rPr>
            </w:pPr>
            <w:r w:rsidRPr="00766038">
              <w:rPr>
                <w:b/>
                <w:bCs/>
                <w:color w:val="FFFFFF"/>
                <w:sz w:val="19"/>
                <w:szCs w:val="19"/>
              </w:rPr>
              <w:t>Statewide Total</w:t>
            </w:r>
          </w:p>
        </w:tc>
      </w:tr>
      <w:tr w:rsidR="00E7173E" w:rsidRPr="00766038" w:rsidTr="00766038">
        <w:trPr>
          <w:trHeight w:val="331"/>
        </w:trPr>
        <w:tc>
          <w:tcPr>
            <w:tcW w:w="5485" w:type="dxa"/>
            <w:tcBorders>
              <w:top w:val="nil"/>
              <w:left w:val="single" w:sz="8" w:space="0" w:color="448A99"/>
              <w:bottom w:val="single" w:sz="8" w:space="0" w:color="448A99"/>
              <w:right w:val="single" w:sz="8" w:space="0" w:color="448A99"/>
            </w:tcBorders>
            <w:shd w:val="clear" w:color="auto" w:fill="auto"/>
            <w:vAlign w:val="center"/>
          </w:tcPr>
          <w:p w:rsidR="007C6101" w:rsidRPr="00766038" w:rsidRDefault="007C6101" w:rsidP="007C6101">
            <w:pPr>
              <w:jc w:val="left"/>
              <w:rPr>
                <w:color w:val="000000"/>
                <w:sz w:val="19"/>
                <w:szCs w:val="19"/>
              </w:rPr>
            </w:pPr>
            <w:r w:rsidRPr="00766038">
              <w:rPr>
                <w:color w:val="000000"/>
                <w:sz w:val="19"/>
                <w:szCs w:val="19"/>
              </w:rPr>
              <w:t>Phase II Gross Lifetime Savings (MWh)</w:t>
            </w:r>
          </w:p>
        </w:tc>
        <w:tc>
          <w:tcPr>
            <w:tcW w:w="3875" w:type="dxa"/>
            <w:tcBorders>
              <w:top w:val="nil"/>
              <w:left w:val="nil"/>
              <w:bottom w:val="single" w:sz="8" w:space="0" w:color="448A99"/>
              <w:right w:val="single" w:sz="8" w:space="0" w:color="448A99"/>
            </w:tcBorders>
            <w:shd w:val="clear" w:color="auto" w:fill="auto"/>
            <w:noWrap/>
            <w:vAlign w:val="center"/>
          </w:tcPr>
          <w:p w:rsidR="007C6101" w:rsidRPr="00766038" w:rsidRDefault="006A44F5" w:rsidP="007C6101">
            <w:pPr>
              <w:jc w:val="center"/>
              <w:rPr>
                <w:color w:val="000000"/>
                <w:sz w:val="19"/>
                <w:szCs w:val="19"/>
              </w:rPr>
            </w:pPr>
            <w:r w:rsidRPr="00766038">
              <w:rPr>
                <w:color w:val="000000"/>
                <w:sz w:val="19"/>
                <w:szCs w:val="19"/>
              </w:rPr>
              <w:t>35,023,525</w:t>
            </w:r>
          </w:p>
        </w:tc>
      </w:tr>
      <w:tr w:rsidR="00A874AC" w:rsidRPr="00766038" w:rsidTr="00766038">
        <w:trPr>
          <w:trHeight w:val="331"/>
        </w:trPr>
        <w:tc>
          <w:tcPr>
            <w:tcW w:w="5485" w:type="dxa"/>
            <w:tcBorders>
              <w:top w:val="nil"/>
              <w:left w:val="single" w:sz="8" w:space="0" w:color="448A99"/>
              <w:bottom w:val="single" w:sz="8" w:space="0" w:color="448A99"/>
              <w:right w:val="single" w:sz="8" w:space="0" w:color="448A99"/>
            </w:tcBorders>
            <w:shd w:val="clear" w:color="auto" w:fill="D2EAF1"/>
            <w:vAlign w:val="center"/>
          </w:tcPr>
          <w:p w:rsidR="007C6101" w:rsidRPr="00766038" w:rsidRDefault="007C6101" w:rsidP="007C6101">
            <w:pPr>
              <w:jc w:val="left"/>
              <w:rPr>
                <w:bCs/>
                <w:color w:val="000000"/>
                <w:sz w:val="19"/>
                <w:szCs w:val="19"/>
                <w:lang w:eastAsia="zh-CN"/>
              </w:rPr>
            </w:pPr>
            <w:r w:rsidRPr="00766038">
              <w:rPr>
                <w:color w:val="000000"/>
                <w:sz w:val="19"/>
                <w:szCs w:val="19"/>
              </w:rPr>
              <w:t>Phase II Net Lifetime Savings (MWh)</w:t>
            </w:r>
          </w:p>
        </w:tc>
        <w:tc>
          <w:tcPr>
            <w:tcW w:w="3875" w:type="dxa"/>
            <w:tcBorders>
              <w:top w:val="nil"/>
              <w:left w:val="nil"/>
              <w:bottom w:val="single" w:sz="8" w:space="0" w:color="448A99"/>
              <w:right w:val="single" w:sz="8" w:space="0" w:color="448A99"/>
            </w:tcBorders>
            <w:shd w:val="clear" w:color="auto" w:fill="D2EAF1"/>
            <w:noWrap/>
            <w:vAlign w:val="center"/>
          </w:tcPr>
          <w:p w:rsidR="007C6101" w:rsidRPr="00766038" w:rsidRDefault="006606CB" w:rsidP="007C6101">
            <w:pPr>
              <w:jc w:val="center"/>
              <w:rPr>
                <w:color w:val="000000"/>
                <w:sz w:val="19"/>
                <w:szCs w:val="19"/>
              </w:rPr>
            </w:pPr>
            <w:r w:rsidRPr="00766038">
              <w:rPr>
                <w:color w:val="000000"/>
                <w:sz w:val="19"/>
                <w:szCs w:val="19"/>
              </w:rPr>
              <w:t>24,269,892</w:t>
            </w:r>
          </w:p>
        </w:tc>
      </w:tr>
    </w:tbl>
    <w:p w:rsidR="001D747B" w:rsidRDefault="001D747B" w:rsidP="001D747B"/>
    <w:p w:rsidR="00515DCC" w:rsidRDefault="00515DCC" w:rsidP="001D747B">
      <w:r>
        <w:fldChar w:fldCharType="begin"/>
      </w:r>
      <w:r>
        <w:instrText xml:space="preserve"> REF _Ref473290150 \h </w:instrText>
      </w:r>
      <w:r>
        <w:fldChar w:fldCharType="separate"/>
      </w:r>
      <w:r w:rsidR="00037CB4">
        <w:t xml:space="preserve">Table </w:t>
      </w:r>
      <w:r w:rsidR="00037CB4">
        <w:rPr>
          <w:noProof/>
        </w:rPr>
        <w:t>2</w:t>
      </w:r>
      <w:r w:rsidR="00037CB4">
        <w:noBreakHyphen/>
      </w:r>
      <w:r w:rsidR="00037CB4">
        <w:rPr>
          <w:noProof/>
        </w:rPr>
        <w:t>15</w:t>
      </w:r>
      <w:r>
        <w:fldChar w:fldCharType="end"/>
      </w:r>
      <w:r>
        <w:t xml:space="preserve"> provides the Phase II reported and verified gross energy savings, as well as annual and lifetime net energy savings.</w:t>
      </w:r>
    </w:p>
    <w:p w:rsidR="004D17D8" w:rsidRDefault="004D17D8" w:rsidP="001D747B"/>
    <w:p w:rsidR="00B6697E" w:rsidRDefault="00B6697E" w:rsidP="004837FA">
      <w:pPr>
        <w:pStyle w:val="Caption"/>
      </w:pPr>
      <w:bookmarkStart w:id="171" w:name="_Ref473290150"/>
      <w:bookmarkStart w:id="172" w:name="_Toc472472168"/>
      <w:bookmarkStart w:id="173" w:name="_Toc488741746"/>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15</w:t>
      </w:r>
      <w:r w:rsidR="007973A4">
        <w:rPr>
          <w:noProof/>
        </w:rPr>
        <w:fldChar w:fldCharType="end"/>
      </w:r>
      <w:bookmarkEnd w:id="171"/>
      <w:r>
        <w:t>: Summary of Statewide Phase II Impacts by EDC</w:t>
      </w:r>
      <w:bookmarkEnd w:id="172"/>
      <w:bookmarkEnd w:id="173"/>
    </w:p>
    <w:tbl>
      <w:tblPr>
        <w:tblW w:w="9360" w:type="dxa"/>
        <w:tblInd w:w="-5" w:type="dxa"/>
        <w:tblLook w:val="04A0" w:firstRow="1" w:lastRow="0" w:firstColumn="1" w:lastColumn="0" w:noHBand="0" w:noVBand="1"/>
      </w:tblPr>
      <w:tblGrid>
        <w:gridCol w:w="1260"/>
        <w:gridCol w:w="2025"/>
        <w:gridCol w:w="2025"/>
        <w:gridCol w:w="2025"/>
        <w:gridCol w:w="2025"/>
      </w:tblGrid>
      <w:tr w:rsidR="00A874AC" w:rsidRPr="00766038" w:rsidTr="00705585">
        <w:trPr>
          <w:trHeight w:val="576"/>
          <w:tblHeader/>
        </w:trPr>
        <w:tc>
          <w:tcPr>
            <w:tcW w:w="1260" w:type="dxa"/>
            <w:tcBorders>
              <w:top w:val="single" w:sz="4" w:space="0" w:color="448A99"/>
              <w:left w:val="single" w:sz="4" w:space="0" w:color="448A99"/>
              <w:bottom w:val="single" w:sz="4" w:space="0" w:color="448A99"/>
              <w:right w:val="single" w:sz="8" w:space="0" w:color="448A99"/>
            </w:tcBorders>
            <w:shd w:val="clear" w:color="000000" w:fill="448A99"/>
            <w:vAlign w:val="bottom"/>
            <w:hideMark/>
          </w:tcPr>
          <w:p w:rsidR="00E75B4D" w:rsidRPr="00766038" w:rsidRDefault="00E75B4D" w:rsidP="00B0359A">
            <w:pPr>
              <w:rPr>
                <w:b/>
                <w:bCs/>
                <w:color w:val="FFFFFF"/>
                <w:sz w:val="19"/>
                <w:szCs w:val="19"/>
              </w:rPr>
            </w:pPr>
            <w:r w:rsidRPr="00766038">
              <w:rPr>
                <w:b/>
                <w:bCs/>
                <w:color w:val="FFFFFF"/>
                <w:sz w:val="19"/>
                <w:szCs w:val="19"/>
              </w:rPr>
              <w:t>EDC</w:t>
            </w:r>
          </w:p>
        </w:tc>
        <w:tc>
          <w:tcPr>
            <w:tcW w:w="2025" w:type="dxa"/>
            <w:tcBorders>
              <w:top w:val="single" w:sz="4" w:space="0" w:color="448A99"/>
              <w:left w:val="nil"/>
              <w:bottom w:val="single" w:sz="4" w:space="0" w:color="448A99"/>
              <w:right w:val="single" w:sz="8" w:space="0" w:color="448A99"/>
            </w:tcBorders>
            <w:shd w:val="clear" w:color="000000" w:fill="448A99"/>
            <w:vAlign w:val="bottom"/>
            <w:hideMark/>
          </w:tcPr>
          <w:p w:rsidR="00E75B4D" w:rsidRPr="00766038" w:rsidRDefault="00E75B4D" w:rsidP="00B0359A">
            <w:pPr>
              <w:jc w:val="center"/>
              <w:rPr>
                <w:b/>
                <w:bCs/>
                <w:color w:val="FFFFFF"/>
                <w:sz w:val="19"/>
                <w:szCs w:val="19"/>
              </w:rPr>
            </w:pPr>
            <w:r w:rsidRPr="00766038">
              <w:rPr>
                <w:b/>
                <w:bCs/>
                <w:color w:val="FFFFFF"/>
                <w:sz w:val="19"/>
                <w:szCs w:val="19"/>
              </w:rPr>
              <w:t>Phase II Reported Gross Savings (MWh/yr)</w:t>
            </w:r>
          </w:p>
        </w:tc>
        <w:tc>
          <w:tcPr>
            <w:tcW w:w="2025" w:type="dxa"/>
            <w:tcBorders>
              <w:top w:val="single" w:sz="4" w:space="0" w:color="448A99"/>
              <w:left w:val="nil"/>
              <w:bottom w:val="single" w:sz="4" w:space="0" w:color="448A99"/>
              <w:right w:val="single" w:sz="8" w:space="0" w:color="448A99"/>
            </w:tcBorders>
            <w:shd w:val="clear" w:color="000000" w:fill="448A99"/>
            <w:vAlign w:val="bottom"/>
            <w:hideMark/>
          </w:tcPr>
          <w:p w:rsidR="00E75B4D" w:rsidRPr="00766038" w:rsidRDefault="00E75B4D" w:rsidP="00B0359A">
            <w:pPr>
              <w:jc w:val="center"/>
              <w:rPr>
                <w:b/>
                <w:bCs/>
                <w:color w:val="FFFFFF"/>
                <w:sz w:val="19"/>
                <w:szCs w:val="19"/>
              </w:rPr>
            </w:pPr>
            <w:r w:rsidRPr="00766038">
              <w:rPr>
                <w:b/>
                <w:bCs/>
                <w:color w:val="FFFFFF"/>
                <w:sz w:val="19"/>
                <w:szCs w:val="19"/>
              </w:rPr>
              <w:t>Phase II Verified Gross Savings (MWh/yr)</w:t>
            </w:r>
          </w:p>
        </w:tc>
        <w:tc>
          <w:tcPr>
            <w:tcW w:w="2025" w:type="dxa"/>
            <w:tcBorders>
              <w:top w:val="single" w:sz="4" w:space="0" w:color="448A99"/>
              <w:left w:val="nil"/>
              <w:bottom w:val="single" w:sz="4" w:space="0" w:color="448A99"/>
              <w:right w:val="single" w:sz="8" w:space="0" w:color="448A99"/>
            </w:tcBorders>
            <w:shd w:val="clear" w:color="000000" w:fill="448A99"/>
            <w:vAlign w:val="bottom"/>
            <w:hideMark/>
          </w:tcPr>
          <w:p w:rsidR="00E75B4D" w:rsidRPr="00766038" w:rsidRDefault="00E75B4D" w:rsidP="00B0359A">
            <w:pPr>
              <w:jc w:val="center"/>
              <w:rPr>
                <w:b/>
                <w:bCs/>
                <w:color w:val="FFFFFF"/>
                <w:sz w:val="19"/>
                <w:szCs w:val="19"/>
              </w:rPr>
            </w:pPr>
            <w:r w:rsidRPr="00766038">
              <w:rPr>
                <w:b/>
                <w:bCs/>
                <w:color w:val="FFFFFF"/>
                <w:sz w:val="19"/>
                <w:szCs w:val="19"/>
              </w:rPr>
              <w:t>Phase II Net (MWh/yr)</w:t>
            </w:r>
          </w:p>
        </w:tc>
        <w:tc>
          <w:tcPr>
            <w:tcW w:w="2025" w:type="dxa"/>
            <w:tcBorders>
              <w:top w:val="single" w:sz="4" w:space="0" w:color="448A99"/>
              <w:left w:val="nil"/>
              <w:bottom w:val="single" w:sz="4" w:space="0" w:color="448A99"/>
              <w:right w:val="single" w:sz="4" w:space="0" w:color="448A99"/>
            </w:tcBorders>
            <w:shd w:val="clear" w:color="000000" w:fill="448A99"/>
            <w:vAlign w:val="bottom"/>
            <w:hideMark/>
          </w:tcPr>
          <w:p w:rsidR="00E75B4D" w:rsidRPr="00766038" w:rsidRDefault="00E75B4D" w:rsidP="00A42877">
            <w:pPr>
              <w:jc w:val="center"/>
              <w:rPr>
                <w:b/>
                <w:bCs/>
                <w:color w:val="FFFFFF"/>
                <w:sz w:val="19"/>
                <w:szCs w:val="19"/>
              </w:rPr>
            </w:pPr>
            <w:r w:rsidRPr="00766038">
              <w:rPr>
                <w:b/>
                <w:bCs/>
                <w:color w:val="FFFFFF"/>
                <w:sz w:val="19"/>
                <w:szCs w:val="19"/>
              </w:rPr>
              <w:t>Phase II Net Lifetime Savings (MWh)</w:t>
            </w:r>
          </w:p>
        </w:tc>
      </w:tr>
      <w:tr w:rsidR="00A874AC" w:rsidRPr="00766038" w:rsidTr="00766038">
        <w:trPr>
          <w:trHeight w:val="331"/>
        </w:trPr>
        <w:tc>
          <w:tcPr>
            <w:tcW w:w="1260" w:type="dxa"/>
            <w:tcBorders>
              <w:top w:val="single" w:sz="4" w:space="0" w:color="448A99"/>
              <w:left w:val="single" w:sz="8" w:space="0" w:color="448A99"/>
              <w:bottom w:val="single" w:sz="8" w:space="0" w:color="448A99"/>
              <w:right w:val="single" w:sz="8" w:space="0" w:color="448A99"/>
            </w:tcBorders>
            <w:shd w:val="clear" w:color="000000" w:fill="D2EAF1"/>
            <w:vAlign w:val="center"/>
            <w:hideMark/>
          </w:tcPr>
          <w:p w:rsidR="00E75B4D" w:rsidRPr="00766038" w:rsidRDefault="00E75B4D" w:rsidP="00E75B4D">
            <w:pPr>
              <w:jc w:val="left"/>
              <w:rPr>
                <w:color w:val="000000"/>
                <w:sz w:val="19"/>
                <w:szCs w:val="19"/>
              </w:rPr>
            </w:pPr>
            <w:r w:rsidRPr="00766038">
              <w:rPr>
                <w:color w:val="000000"/>
                <w:sz w:val="19"/>
                <w:szCs w:val="19"/>
              </w:rPr>
              <w:t>Duquesne</w:t>
            </w:r>
          </w:p>
        </w:tc>
        <w:tc>
          <w:tcPr>
            <w:tcW w:w="2025" w:type="dxa"/>
            <w:tcBorders>
              <w:top w:val="single" w:sz="4" w:space="0" w:color="448A99"/>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384,229</w:t>
            </w:r>
          </w:p>
        </w:tc>
        <w:tc>
          <w:tcPr>
            <w:tcW w:w="2025" w:type="dxa"/>
            <w:tcBorders>
              <w:top w:val="single" w:sz="4" w:space="0" w:color="448A99"/>
              <w:left w:val="nil"/>
              <w:bottom w:val="single" w:sz="8" w:space="0" w:color="448A99"/>
              <w:right w:val="single" w:sz="8" w:space="0" w:color="448A99"/>
            </w:tcBorders>
            <w:shd w:val="clear" w:color="000000" w:fill="D2EAF1"/>
            <w:vAlign w:val="center"/>
            <w:hideMark/>
          </w:tcPr>
          <w:p w:rsidR="00E75B4D" w:rsidRPr="00766038" w:rsidRDefault="003D4B5A" w:rsidP="00E75B4D">
            <w:pPr>
              <w:jc w:val="center"/>
              <w:rPr>
                <w:color w:val="000000"/>
                <w:sz w:val="19"/>
                <w:szCs w:val="19"/>
              </w:rPr>
            </w:pPr>
            <w:r w:rsidRPr="00766038">
              <w:rPr>
                <w:color w:val="000000"/>
                <w:sz w:val="19"/>
                <w:szCs w:val="19"/>
              </w:rPr>
              <w:t>377,189</w:t>
            </w:r>
          </w:p>
        </w:tc>
        <w:tc>
          <w:tcPr>
            <w:tcW w:w="2025" w:type="dxa"/>
            <w:tcBorders>
              <w:top w:val="single" w:sz="4" w:space="0" w:color="448A99"/>
              <w:left w:val="nil"/>
              <w:bottom w:val="single" w:sz="8" w:space="0" w:color="448A99"/>
              <w:right w:val="single" w:sz="8" w:space="0" w:color="448A99"/>
            </w:tcBorders>
            <w:shd w:val="clear" w:color="000000" w:fill="D2EAF1"/>
            <w:vAlign w:val="center"/>
            <w:hideMark/>
          </w:tcPr>
          <w:p w:rsidR="00E75B4D" w:rsidRPr="00766038" w:rsidRDefault="00CD76D5" w:rsidP="00E75B4D">
            <w:pPr>
              <w:jc w:val="center"/>
              <w:rPr>
                <w:color w:val="000000"/>
                <w:sz w:val="19"/>
                <w:szCs w:val="19"/>
              </w:rPr>
            </w:pPr>
            <w:r w:rsidRPr="00766038">
              <w:rPr>
                <w:color w:val="000000"/>
                <w:sz w:val="19"/>
                <w:szCs w:val="19"/>
              </w:rPr>
              <w:t>248,289</w:t>
            </w:r>
          </w:p>
        </w:tc>
        <w:tc>
          <w:tcPr>
            <w:tcW w:w="2025" w:type="dxa"/>
            <w:tcBorders>
              <w:top w:val="single" w:sz="4" w:space="0" w:color="448A99"/>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2,846,</w:t>
            </w:r>
            <w:r w:rsidR="00534BB3" w:rsidRPr="00766038">
              <w:rPr>
                <w:color w:val="000000"/>
                <w:sz w:val="19"/>
                <w:szCs w:val="19"/>
              </w:rPr>
              <w:t>268</w:t>
            </w:r>
          </w:p>
        </w:tc>
      </w:tr>
      <w:tr w:rsidR="00E7173E" w:rsidRPr="00766038" w:rsidTr="00766038">
        <w:trPr>
          <w:trHeight w:val="331"/>
        </w:trPr>
        <w:tc>
          <w:tcPr>
            <w:tcW w:w="1260" w:type="dxa"/>
            <w:tcBorders>
              <w:top w:val="nil"/>
              <w:left w:val="single" w:sz="8" w:space="0" w:color="448A99"/>
              <w:bottom w:val="single" w:sz="8" w:space="0" w:color="448A99"/>
              <w:right w:val="single" w:sz="8" w:space="0" w:color="448A99"/>
            </w:tcBorders>
            <w:shd w:val="clear" w:color="auto" w:fill="auto"/>
            <w:vAlign w:val="center"/>
            <w:hideMark/>
          </w:tcPr>
          <w:p w:rsidR="00E75B4D" w:rsidRPr="00766038" w:rsidRDefault="00E75B4D" w:rsidP="00E75B4D">
            <w:pPr>
              <w:jc w:val="left"/>
              <w:rPr>
                <w:color w:val="000000"/>
                <w:sz w:val="19"/>
                <w:szCs w:val="19"/>
              </w:rPr>
            </w:pPr>
            <w:r w:rsidRPr="00766038">
              <w:rPr>
                <w:color w:val="000000"/>
                <w:sz w:val="19"/>
                <w:szCs w:val="19"/>
              </w:rPr>
              <w:t>Met-Ed</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368,430</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368,235</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255,322</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2,257,400</w:t>
            </w:r>
          </w:p>
        </w:tc>
      </w:tr>
      <w:tr w:rsidR="00A874AC" w:rsidRPr="00766038" w:rsidTr="00766038">
        <w:trPr>
          <w:trHeight w:val="331"/>
        </w:trPr>
        <w:tc>
          <w:tcPr>
            <w:tcW w:w="1260" w:type="dxa"/>
            <w:tcBorders>
              <w:top w:val="nil"/>
              <w:left w:val="single" w:sz="8" w:space="0" w:color="448A99"/>
              <w:bottom w:val="single" w:sz="8" w:space="0" w:color="448A99"/>
              <w:right w:val="single" w:sz="8" w:space="0" w:color="448A99"/>
            </w:tcBorders>
            <w:shd w:val="clear" w:color="000000" w:fill="D2EAF1"/>
            <w:vAlign w:val="center"/>
            <w:hideMark/>
          </w:tcPr>
          <w:p w:rsidR="00E75B4D" w:rsidRPr="00766038" w:rsidRDefault="00E75B4D" w:rsidP="00E75B4D">
            <w:pPr>
              <w:jc w:val="left"/>
              <w:rPr>
                <w:color w:val="000000"/>
                <w:sz w:val="19"/>
                <w:szCs w:val="19"/>
              </w:rPr>
            </w:pPr>
            <w:r w:rsidRPr="00766038">
              <w:rPr>
                <w:color w:val="000000"/>
                <w:sz w:val="19"/>
                <w:szCs w:val="19"/>
              </w:rPr>
              <w:t>Penelec</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369,044</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368,508</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265,869</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2,490,361</w:t>
            </w:r>
          </w:p>
        </w:tc>
      </w:tr>
      <w:tr w:rsidR="00E7173E" w:rsidRPr="00766038" w:rsidTr="00766038">
        <w:trPr>
          <w:trHeight w:val="331"/>
        </w:trPr>
        <w:tc>
          <w:tcPr>
            <w:tcW w:w="1260" w:type="dxa"/>
            <w:tcBorders>
              <w:top w:val="nil"/>
              <w:left w:val="single" w:sz="8" w:space="0" w:color="448A99"/>
              <w:bottom w:val="single" w:sz="8" w:space="0" w:color="448A99"/>
              <w:right w:val="single" w:sz="8" w:space="0" w:color="448A99"/>
            </w:tcBorders>
            <w:shd w:val="clear" w:color="auto" w:fill="auto"/>
            <w:vAlign w:val="center"/>
            <w:hideMark/>
          </w:tcPr>
          <w:p w:rsidR="00E75B4D" w:rsidRPr="00766038" w:rsidRDefault="00E75B4D" w:rsidP="00E75B4D">
            <w:pPr>
              <w:jc w:val="left"/>
              <w:rPr>
                <w:color w:val="000000"/>
                <w:sz w:val="19"/>
                <w:szCs w:val="19"/>
              </w:rPr>
            </w:pPr>
            <w:r w:rsidRPr="00766038">
              <w:rPr>
                <w:color w:val="000000"/>
                <w:sz w:val="19"/>
                <w:szCs w:val="19"/>
              </w:rPr>
              <w:t>Penn Power</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104,933</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109,368</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72,774</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695,946</w:t>
            </w:r>
          </w:p>
        </w:tc>
      </w:tr>
      <w:tr w:rsidR="00A874AC" w:rsidRPr="00766038" w:rsidTr="00766038">
        <w:trPr>
          <w:trHeight w:val="331"/>
        </w:trPr>
        <w:tc>
          <w:tcPr>
            <w:tcW w:w="1260" w:type="dxa"/>
            <w:tcBorders>
              <w:top w:val="nil"/>
              <w:left w:val="single" w:sz="8" w:space="0" w:color="448A99"/>
              <w:bottom w:val="single" w:sz="8" w:space="0" w:color="448A99"/>
              <w:right w:val="single" w:sz="8" w:space="0" w:color="448A99"/>
            </w:tcBorders>
            <w:shd w:val="clear" w:color="000000" w:fill="D2EAF1"/>
            <w:vAlign w:val="center"/>
            <w:hideMark/>
          </w:tcPr>
          <w:p w:rsidR="00E75B4D" w:rsidRPr="00766038" w:rsidRDefault="00E75B4D" w:rsidP="005956C0">
            <w:pPr>
              <w:jc w:val="left"/>
              <w:rPr>
                <w:color w:val="000000"/>
                <w:sz w:val="19"/>
                <w:szCs w:val="19"/>
              </w:rPr>
            </w:pPr>
            <w:r w:rsidRPr="00766038">
              <w:rPr>
                <w:color w:val="000000"/>
                <w:sz w:val="19"/>
                <w:szCs w:val="19"/>
              </w:rPr>
              <w:t xml:space="preserve">West Penn </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357,544</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358,073</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254,263</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2,432,033</w:t>
            </w:r>
          </w:p>
        </w:tc>
      </w:tr>
      <w:tr w:rsidR="00E7173E" w:rsidRPr="00766038" w:rsidTr="00766038">
        <w:trPr>
          <w:trHeight w:val="331"/>
        </w:trPr>
        <w:tc>
          <w:tcPr>
            <w:tcW w:w="1260" w:type="dxa"/>
            <w:tcBorders>
              <w:top w:val="nil"/>
              <w:left w:val="single" w:sz="8" w:space="0" w:color="448A99"/>
              <w:bottom w:val="single" w:sz="8" w:space="0" w:color="448A99"/>
              <w:right w:val="single" w:sz="8" w:space="0" w:color="448A99"/>
            </w:tcBorders>
            <w:shd w:val="clear" w:color="auto" w:fill="auto"/>
            <w:vAlign w:val="center"/>
            <w:hideMark/>
          </w:tcPr>
          <w:p w:rsidR="00E75B4D" w:rsidRPr="00766038" w:rsidRDefault="00E75B4D" w:rsidP="00E75B4D">
            <w:pPr>
              <w:jc w:val="left"/>
              <w:rPr>
                <w:color w:val="000000"/>
                <w:sz w:val="19"/>
                <w:szCs w:val="19"/>
              </w:rPr>
            </w:pPr>
            <w:r w:rsidRPr="00766038">
              <w:rPr>
                <w:color w:val="000000"/>
                <w:sz w:val="19"/>
                <w:szCs w:val="19"/>
              </w:rPr>
              <w:t>PECO</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1,001,723</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1,090,505</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743,747</w:t>
            </w:r>
          </w:p>
        </w:tc>
        <w:tc>
          <w:tcPr>
            <w:tcW w:w="2025" w:type="dxa"/>
            <w:tcBorders>
              <w:top w:val="nil"/>
              <w:left w:val="nil"/>
              <w:bottom w:val="single" w:sz="8" w:space="0" w:color="448A99"/>
              <w:right w:val="single" w:sz="8" w:space="0" w:color="448A99"/>
            </w:tcBorders>
            <w:shd w:val="clear" w:color="auto" w:fill="auto"/>
            <w:vAlign w:val="center"/>
            <w:hideMark/>
          </w:tcPr>
          <w:p w:rsidR="00E75B4D" w:rsidRPr="00766038" w:rsidRDefault="00E75B4D" w:rsidP="00E75B4D">
            <w:pPr>
              <w:jc w:val="center"/>
              <w:rPr>
                <w:color w:val="000000"/>
                <w:sz w:val="19"/>
                <w:szCs w:val="19"/>
              </w:rPr>
            </w:pPr>
            <w:r w:rsidRPr="00766038">
              <w:rPr>
                <w:color w:val="000000"/>
                <w:sz w:val="19"/>
                <w:szCs w:val="19"/>
              </w:rPr>
              <w:t>7,475,429</w:t>
            </w:r>
          </w:p>
        </w:tc>
      </w:tr>
      <w:tr w:rsidR="00A874AC" w:rsidRPr="00766038" w:rsidTr="00766038">
        <w:trPr>
          <w:trHeight w:val="331"/>
        </w:trPr>
        <w:tc>
          <w:tcPr>
            <w:tcW w:w="1260" w:type="dxa"/>
            <w:tcBorders>
              <w:top w:val="nil"/>
              <w:left w:val="single" w:sz="8" w:space="0" w:color="448A99"/>
              <w:bottom w:val="single" w:sz="8" w:space="0" w:color="448A99"/>
              <w:right w:val="single" w:sz="8" w:space="0" w:color="448A99"/>
            </w:tcBorders>
            <w:shd w:val="clear" w:color="000000" w:fill="D2EAF1"/>
            <w:vAlign w:val="center"/>
            <w:hideMark/>
          </w:tcPr>
          <w:p w:rsidR="00E75B4D" w:rsidRPr="00766038" w:rsidRDefault="00E75B4D" w:rsidP="00E75B4D">
            <w:pPr>
              <w:jc w:val="left"/>
              <w:rPr>
                <w:color w:val="000000"/>
                <w:sz w:val="19"/>
                <w:szCs w:val="19"/>
              </w:rPr>
            </w:pPr>
            <w:r w:rsidRPr="00766038">
              <w:rPr>
                <w:color w:val="000000"/>
                <w:sz w:val="19"/>
                <w:szCs w:val="19"/>
              </w:rPr>
              <w:t>PPL</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720,094</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75526B" w:rsidP="00E75B4D">
            <w:pPr>
              <w:jc w:val="center"/>
              <w:rPr>
                <w:color w:val="000000"/>
                <w:sz w:val="19"/>
                <w:szCs w:val="19"/>
              </w:rPr>
            </w:pPr>
            <w:r w:rsidRPr="00766038">
              <w:rPr>
                <w:color w:val="000000"/>
                <w:sz w:val="19"/>
                <w:szCs w:val="19"/>
              </w:rPr>
              <w:t>698,736</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845C4B" w:rsidP="00E75B4D">
            <w:pPr>
              <w:jc w:val="center"/>
              <w:rPr>
                <w:color w:val="000000"/>
                <w:sz w:val="19"/>
                <w:szCs w:val="19"/>
              </w:rPr>
            </w:pPr>
            <w:r w:rsidRPr="00766038">
              <w:rPr>
                <w:color w:val="000000"/>
                <w:sz w:val="19"/>
                <w:szCs w:val="19"/>
              </w:rPr>
              <w:t>538,248</w:t>
            </w:r>
          </w:p>
        </w:tc>
        <w:tc>
          <w:tcPr>
            <w:tcW w:w="2025" w:type="dxa"/>
            <w:tcBorders>
              <w:top w:val="nil"/>
              <w:left w:val="nil"/>
              <w:bottom w:val="single" w:sz="8" w:space="0" w:color="448A99"/>
              <w:right w:val="single" w:sz="8" w:space="0" w:color="448A99"/>
            </w:tcBorders>
            <w:shd w:val="clear" w:color="000000" w:fill="D2EAF1"/>
            <w:vAlign w:val="center"/>
            <w:hideMark/>
          </w:tcPr>
          <w:p w:rsidR="00E75B4D" w:rsidRPr="00766038" w:rsidRDefault="00E75B4D" w:rsidP="00E75B4D">
            <w:pPr>
              <w:jc w:val="center"/>
              <w:rPr>
                <w:color w:val="000000"/>
                <w:sz w:val="19"/>
                <w:szCs w:val="19"/>
              </w:rPr>
            </w:pPr>
            <w:r w:rsidRPr="00766038">
              <w:rPr>
                <w:color w:val="000000"/>
                <w:sz w:val="19"/>
                <w:szCs w:val="19"/>
              </w:rPr>
              <w:t>6,072,455</w:t>
            </w:r>
          </w:p>
        </w:tc>
      </w:tr>
      <w:tr w:rsidR="00845C4B" w:rsidRPr="00766038" w:rsidTr="00766038">
        <w:trPr>
          <w:trHeight w:val="331"/>
        </w:trPr>
        <w:tc>
          <w:tcPr>
            <w:tcW w:w="1260" w:type="dxa"/>
            <w:tcBorders>
              <w:top w:val="nil"/>
              <w:left w:val="single" w:sz="8" w:space="0" w:color="448A99"/>
              <w:bottom w:val="single" w:sz="8" w:space="0" w:color="448A99"/>
              <w:right w:val="single" w:sz="8" w:space="0" w:color="448A99"/>
            </w:tcBorders>
            <w:shd w:val="clear" w:color="auto" w:fill="auto"/>
            <w:vAlign w:val="center"/>
            <w:hideMark/>
          </w:tcPr>
          <w:p w:rsidR="00845C4B" w:rsidRPr="00766038" w:rsidRDefault="00845C4B" w:rsidP="00845C4B">
            <w:pPr>
              <w:jc w:val="left"/>
              <w:rPr>
                <w:b/>
                <w:bCs/>
                <w:color w:val="000000"/>
                <w:sz w:val="19"/>
                <w:szCs w:val="19"/>
              </w:rPr>
            </w:pPr>
            <w:r w:rsidRPr="00766038">
              <w:rPr>
                <w:b/>
                <w:bCs/>
                <w:color w:val="000000"/>
                <w:sz w:val="19"/>
                <w:szCs w:val="19"/>
              </w:rPr>
              <w:t>Total</w:t>
            </w:r>
          </w:p>
        </w:tc>
        <w:tc>
          <w:tcPr>
            <w:tcW w:w="2025" w:type="dxa"/>
            <w:tcBorders>
              <w:top w:val="nil"/>
              <w:left w:val="nil"/>
              <w:bottom w:val="single" w:sz="8" w:space="0" w:color="448A99"/>
              <w:right w:val="single" w:sz="8" w:space="0" w:color="448A99"/>
            </w:tcBorders>
            <w:shd w:val="clear" w:color="auto" w:fill="auto"/>
            <w:vAlign w:val="center"/>
            <w:hideMark/>
          </w:tcPr>
          <w:p w:rsidR="00845C4B" w:rsidRPr="00766038" w:rsidRDefault="00845C4B" w:rsidP="00845C4B">
            <w:pPr>
              <w:jc w:val="center"/>
              <w:rPr>
                <w:b/>
                <w:bCs/>
                <w:color w:val="000000"/>
                <w:sz w:val="19"/>
                <w:szCs w:val="19"/>
              </w:rPr>
            </w:pPr>
            <w:r w:rsidRPr="00766038">
              <w:rPr>
                <w:b/>
                <w:bCs/>
                <w:color w:val="000000"/>
                <w:sz w:val="19"/>
                <w:szCs w:val="19"/>
              </w:rPr>
              <w:t>3,305,997</w:t>
            </w:r>
          </w:p>
        </w:tc>
        <w:tc>
          <w:tcPr>
            <w:tcW w:w="2025" w:type="dxa"/>
            <w:tcBorders>
              <w:top w:val="nil"/>
              <w:left w:val="nil"/>
              <w:bottom w:val="single" w:sz="8" w:space="0" w:color="448A99"/>
              <w:right w:val="single" w:sz="8" w:space="0" w:color="448A99"/>
            </w:tcBorders>
            <w:shd w:val="clear" w:color="auto" w:fill="auto"/>
            <w:vAlign w:val="center"/>
            <w:hideMark/>
          </w:tcPr>
          <w:p w:rsidR="00845C4B" w:rsidRPr="00766038" w:rsidRDefault="00845C4B" w:rsidP="00845C4B">
            <w:pPr>
              <w:jc w:val="center"/>
              <w:rPr>
                <w:b/>
                <w:bCs/>
                <w:color w:val="000000"/>
                <w:sz w:val="19"/>
                <w:szCs w:val="19"/>
              </w:rPr>
            </w:pPr>
            <w:r w:rsidRPr="00766038">
              <w:rPr>
                <w:b/>
                <w:bCs/>
                <w:color w:val="000000"/>
                <w:sz w:val="19"/>
                <w:szCs w:val="19"/>
              </w:rPr>
              <w:t>3,370,</w:t>
            </w:r>
            <w:r w:rsidR="004D059D" w:rsidRPr="00766038">
              <w:rPr>
                <w:b/>
                <w:bCs/>
                <w:color w:val="000000"/>
                <w:sz w:val="19"/>
                <w:szCs w:val="19"/>
              </w:rPr>
              <w:t>614</w:t>
            </w:r>
          </w:p>
        </w:tc>
        <w:tc>
          <w:tcPr>
            <w:tcW w:w="2025" w:type="dxa"/>
            <w:tcBorders>
              <w:top w:val="nil"/>
              <w:left w:val="nil"/>
              <w:bottom w:val="single" w:sz="8" w:space="0" w:color="448A99"/>
              <w:right w:val="single" w:sz="8" w:space="0" w:color="448A99"/>
            </w:tcBorders>
            <w:shd w:val="clear" w:color="auto" w:fill="auto"/>
            <w:vAlign w:val="center"/>
            <w:hideMark/>
          </w:tcPr>
          <w:p w:rsidR="00845C4B" w:rsidRPr="00766038" w:rsidRDefault="00845C4B" w:rsidP="00845C4B">
            <w:pPr>
              <w:jc w:val="center"/>
              <w:rPr>
                <w:b/>
                <w:bCs/>
                <w:color w:val="000000"/>
                <w:sz w:val="19"/>
                <w:szCs w:val="19"/>
              </w:rPr>
            </w:pPr>
            <w:r w:rsidRPr="00766038">
              <w:rPr>
                <w:b/>
                <w:bCs/>
                <w:color w:val="000000"/>
                <w:sz w:val="19"/>
                <w:szCs w:val="19"/>
              </w:rPr>
              <w:t>2,378,</w:t>
            </w:r>
            <w:r w:rsidR="00CD76D5" w:rsidRPr="00766038">
              <w:rPr>
                <w:b/>
                <w:bCs/>
                <w:color w:val="000000"/>
                <w:sz w:val="19"/>
                <w:szCs w:val="19"/>
              </w:rPr>
              <w:t>512</w:t>
            </w:r>
          </w:p>
        </w:tc>
        <w:tc>
          <w:tcPr>
            <w:tcW w:w="2025" w:type="dxa"/>
            <w:tcBorders>
              <w:top w:val="nil"/>
              <w:left w:val="nil"/>
              <w:bottom w:val="single" w:sz="8" w:space="0" w:color="448A99"/>
              <w:right w:val="single" w:sz="8" w:space="0" w:color="448A99"/>
            </w:tcBorders>
            <w:shd w:val="clear" w:color="auto" w:fill="auto"/>
            <w:vAlign w:val="center"/>
            <w:hideMark/>
          </w:tcPr>
          <w:p w:rsidR="00845C4B" w:rsidRPr="00766038" w:rsidRDefault="00CD76D5" w:rsidP="00845C4B">
            <w:pPr>
              <w:jc w:val="center"/>
              <w:rPr>
                <w:b/>
                <w:bCs/>
                <w:color w:val="000000"/>
                <w:sz w:val="19"/>
                <w:szCs w:val="19"/>
              </w:rPr>
            </w:pPr>
            <w:r w:rsidRPr="00766038">
              <w:rPr>
                <w:b/>
                <w:bCs/>
                <w:color w:val="000000"/>
                <w:sz w:val="19"/>
                <w:szCs w:val="19"/>
              </w:rPr>
              <w:t>24,269,892</w:t>
            </w:r>
          </w:p>
        </w:tc>
      </w:tr>
    </w:tbl>
    <w:p w:rsidR="00BF215F" w:rsidRDefault="00BF215F" w:rsidP="001D747B">
      <w:bookmarkStart w:id="174" w:name="_Toc472472096"/>
    </w:p>
    <w:p w:rsidR="006058D6" w:rsidRDefault="006058D6" w:rsidP="00E673F0">
      <w:pPr>
        <w:pStyle w:val="Heading3"/>
      </w:pPr>
      <w:bookmarkStart w:id="175" w:name="_Toc488765789"/>
      <w:r>
        <w:t>Duquesne</w:t>
      </w:r>
      <w:r w:rsidR="00DD6B4C">
        <w:t xml:space="preserve"> Light</w:t>
      </w:r>
      <w:bookmarkEnd w:id="174"/>
      <w:bookmarkEnd w:id="175"/>
    </w:p>
    <w:p w:rsidR="0043410E" w:rsidRDefault="001E4D27" w:rsidP="0043410E">
      <w:r>
        <w:fldChar w:fldCharType="begin"/>
      </w:r>
      <w:r>
        <w:instrText xml:space="preserve"> REF _Ref472267314 \h </w:instrText>
      </w:r>
      <w:r>
        <w:fldChar w:fldCharType="separate"/>
      </w:r>
      <w:r w:rsidR="00037CB4">
        <w:t xml:space="preserve">Table </w:t>
      </w:r>
      <w:r w:rsidR="00037CB4">
        <w:rPr>
          <w:noProof/>
        </w:rPr>
        <w:t>2</w:t>
      </w:r>
      <w:r w:rsidR="00037CB4">
        <w:noBreakHyphen/>
      </w:r>
      <w:r w:rsidR="00037CB4">
        <w:rPr>
          <w:noProof/>
        </w:rPr>
        <w:t>16</w:t>
      </w:r>
      <w:r>
        <w:fldChar w:fldCharType="end"/>
      </w:r>
      <w:r>
        <w:t xml:space="preserve"> </w:t>
      </w:r>
      <w:r w:rsidRPr="001E4D27">
        <w:t xml:space="preserve">provides an overview of Duquesne’s cumulative reported gross (RG) and verified gross (VG) savings impacts, and carryover (CO) savings since the inception </w:t>
      </w:r>
      <w:r w:rsidR="00C03CB0">
        <w:t xml:space="preserve">of its EE&amp;C programs </w:t>
      </w:r>
      <w:r w:rsidRPr="001E4D27">
        <w:t xml:space="preserve">through the end of </w:t>
      </w:r>
      <w:r>
        <w:t>Phase II.</w:t>
      </w:r>
    </w:p>
    <w:p w:rsidR="001E4D27" w:rsidRDefault="001E4D27" w:rsidP="0043410E"/>
    <w:p w:rsidR="0043410E" w:rsidRDefault="0043410E" w:rsidP="004837FA">
      <w:pPr>
        <w:pStyle w:val="Caption"/>
      </w:pPr>
      <w:bookmarkStart w:id="176" w:name="_Ref472267314"/>
      <w:bookmarkStart w:id="177" w:name="_Toc472472169"/>
      <w:bookmarkStart w:id="178" w:name="_Toc488741747"/>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16</w:t>
      </w:r>
      <w:r w:rsidR="007973A4">
        <w:rPr>
          <w:noProof/>
        </w:rPr>
        <w:fldChar w:fldCharType="end"/>
      </w:r>
      <w:bookmarkEnd w:id="176"/>
      <w:r>
        <w:t>:  Summary of Duquesne’s Phase II Savings Impacts</w:t>
      </w:r>
      <w:bookmarkEnd w:id="177"/>
      <w:bookmarkEnd w:id="178"/>
    </w:p>
    <w:tbl>
      <w:tblPr>
        <w:tblW w:w="9360" w:type="dxa"/>
        <w:tblInd w:w="-10" w:type="dxa"/>
        <w:tblLook w:val="04A0" w:firstRow="1" w:lastRow="0" w:firstColumn="1" w:lastColumn="0" w:noHBand="0" w:noVBand="1"/>
      </w:tblPr>
      <w:tblGrid>
        <w:gridCol w:w="2250"/>
        <w:gridCol w:w="1120"/>
        <w:gridCol w:w="1160"/>
        <w:gridCol w:w="960"/>
        <w:gridCol w:w="1180"/>
        <w:gridCol w:w="1380"/>
        <w:gridCol w:w="1310"/>
      </w:tblGrid>
      <w:tr w:rsidR="00A874AC" w:rsidRPr="00766038" w:rsidTr="00766038">
        <w:trPr>
          <w:trHeight w:val="825"/>
          <w:tblHeader/>
        </w:trPr>
        <w:tc>
          <w:tcPr>
            <w:tcW w:w="225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895552" w:rsidRPr="00766038" w:rsidRDefault="00895552" w:rsidP="00B0359A">
            <w:pPr>
              <w:rPr>
                <w:b/>
                <w:bCs/>
                <w:color w:val="FFFFFF"/>
                <w:sz w:val="19"/>
                <w:szCs w:val="19"/>
              </w:rPr>
            </w:pPr>
            <w:r w:rsidRPr="00766038">
              <w:rPr>
                <w:b/>
                <w:bCs/>
                <w:color w:val="FFFFFF"/>
                <w:sz w:val="19"/>
                <w:szCs w:val="19"/>
              </w:rPr>
              <w:t>Impact</w:t>
            </w:r>
          </w:p>
        </w:tc>
        <w:tc>
          <w:tcPr>
            <w:tcW w:w="112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766038" w:rsidRDefault="00895552" w:rsidP="00B0359A">
            <w:pPr>
              <w:jc w:val="center"/>
              <w:rPr>
                <w:b/>
                <w:bCs/>
                <w:color w:val="FFFFFF"/>
                <w:sz w:val="19"/>
                <w:szCs w:val="19"/>
              </w:rPr>
            </w:pPr>
            <w:r w:rsidRPr="00766038">
              <w:rPr>
                <w:b/>
                <w:bCs/>
                <w:color w:val="FFFFFF"/>
                <w:sz w:val="19"/>
                <w:szCs w:val="19"/>
              </w:rPr>
              <w:t xml:space="preserve">Phase II RG Savings </w:t>
            </w:r>
            <w:r w:rsidRPr="00766038">
              <w:rPr>
                <w:b/>
                <w:bCs/>
                <w:color w:val="FFFFFF"/>
                <w:sz w:val="19"/>
                <w:szCs w:val="19"/>
                <w:vertAlign w:val="superscript"/>
              </w:rPr>
              <w:t>[f]</w:t>
            </w:r>
          </w:p>
        </w:tc>
        <w:tc>
          <w:tcPr>
            <w:tcW w:w="116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766038" w:rsidRDefault="00895552" w:rsidP="00B0359A">
            <w:pPr>
              <w:jc w:val="center"/>
              <w:rPr>
                <w:b/>
                <w:bCs/>
                <w:color w:val="FFFFFF"/>
                <w:sz w:val="19"/>
                <w:szCs w:val="19"/>
              </w:rPr>
            </w:pPr>
            <w:r w:rsidRPr="00766038">
              <w:rPr>
                <w:b/>
                <w:bCs/>
                <w:color w:val="FFFFFF"/>
                <w:sz w:val="19"/>
                <w:szCs w:val="19"/>
              </w:rPr>
              <w:t xml:space="preserve">Phase II VG Savings </w:t>
            </w:r>
            <w:r w:rsidRPr="00766038">
              <w:rPr>
                <w:b/>
                <w:bCs/>
                <w:color w:val="FFFFFF"/>
                <w:sz w:val="19"/>
                <w:szCs w:val="19"/>
                <w:vertAlign w:val="superscript"/>
              </w:rPr>
              <w:t>[h]</w:t>
            </w:r>
          </w:p>
        </w:tc>
        <w:tc>
          <w:tcPr>
            <w:tcW w:w="96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766038" w:rsidRDefault="00895552" w:rsidP="00B0359A">
            <w:pPr>
              <w:jc w:val="center"/>
              <w:rPr>
                <w:b/>
                <w:bCs/>
                <w:color w:val="FFFFFF"/>
                <w:sz w:val="19"/>
                <w:szCs w:val="19"/>
              </w:rPr>
            </w:pPr>
            <w:r w:rsidRPr="00766038">
              <w:rPr>
                <w:b/>
                <w:bCs/>
                <w:color w:val="FFFFFF"/>
                <w:sz w:val="19"/>
                <w:szCs w:val="19"/>
              </w:rPr>
              <w:t>Phase I CO Savings</w:t>
            </w:r>
          </w:p>
        </w:tc>
        <w:tc>
          <w:tcPr>
            <w:tcW w:w="118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766038" w:rsidRDefault="00895552" w:rsidP="00B0359A">
            <w:pPr>
              <w:jc w:val="center"/>
              <w:rPr>
                <w:b/>
                <w:bCs/>
                <w:color w:val="FFFFFF"/>
                <w:sz w:val="19"/>
                <w:szCs w:val="19"/>
              </w:rPr>
            </w:pPr>
            <w:r w:rsidRPr="00766038">
              <w:rPr>
                <w:b/>
                <w:bCs/>
                <w:color w:val="FFFFFF"/>
                <w:sz w:val="19"/>
                <w:szCs w:val="19"/>
              </w:rPr>
              <w:t>Phase II VG + Phase I CO Savings</w:t>
            </w:r>
          </w:p>
        </w:tc>
        <w:tc>
          <w:tcPr>
            <w:tcW w:w="138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766038" w:rsidRDefault="00895552" w:rsidP="00B0359A">
            <w:pPr>
              <w:jc w:val="center"/>
              <w:rPr>
                <w:b/>
                <w:bCs/>
                <w:color w:val="FFFFFF"/>
                <w:sz w:val="19"/>
                <w:szCs w:val="19"/>
              </w:rPr>
            </w:pPr>
            <w:r w:rsidRPr="00766038">
              <w:rPr>
                <w:b/>
                <w:bCs/>
                <w:color w:val="FFFFFF"/>
                <w:sz w:val="19"/>
                <w:szCs w:val="19"/>
              </w:rPr>
              <w:t>May 31, 2016 Compliance Target (MWh)</w:t>
            </w:r>
          </w:p>
        </w:tc>
        <w:tc>
          <w:tcPr>
            <w:tcW w:w="131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766038" w:rsidRDefault="00895552" w:rsidP="00B0359A">
            <w:pPr>
              <w:jc w:val="center"/>
              <w:rPr>
                <w:b/>
                <w:bCs/>
                <w:color w:val="FFFFFF"/>
                <w:sz w:val="19"/>
                <w:szCs w:val="19"/>
              </w:rPr>
            </w:pPr>
            <w:r w:rsidRPr="00766038">
              <w:rPr>
                <w:b/>
                <w:bCs/>
                <w:color w:val="FFFFFF"/>
                <w:sz w:val="19"/>
                <w:szCs w:val="19"/>
              </w:rPr>
              <w:t xml:space="preserve">Savings Achieved as % of 2016 Targets </w:t>
            </w:r>
            <w:r w:rsidRPr="00766038">
              <w:rPr>
                <w:b/>
                <w:bCs/>
                <w:color w:val="FFFFFF"/>
                <w:sz w:val="19"/>
                <w:szCs w:val="19"/>
                <w:vertAlign w:val="superscript"/>
              </w:rPr>
              <w:t>[i]</w:t>
            </w:r>
          </w:p>
        </w:tc>
      </w:tr>
      <w:tr w:rsidR="00A874AC" w:rsidRPr="00766038" w:rsidTr="00705585">
        <w:trPr>
          <w:trHeight w:val="432"/>
        </w:trPr>
        <w:tc>
          <w:tcPr>
            <w:tcW w:w="2250" w:type="dxa"/>
            <w:tcBorders>
              <w:top w:val="nil"/>
              <w:left w:val="single" w:sz="8" w:space="0" w:color="448A99"/>
              <w:bottom w:val="single" w:sz="8" w:space="0" w:color="448A99"/>
              <w:right w:val="single" w:sz="8" w:space="0" w:color="448A99"/>
            </w:tcBorders>
            <w:shd w:val="clear" w:color="000000" w:fill="D2EAF1"/>
            <w:vAlign w:val="center"/>
            <w:hideMark/>
          </w:tcPr>
          <w:p w:rsidR="00895552" w:rsidRPr="00766038" w:rsidRDefault="00895552" w:rsidP="00895552">
            <w:pPr>
              <w:jc w:val="left"/>
              <w:rPr>
                <w:color w:val="000000"/>
                <w:sz w:val="19"/>
                <w:szCs w:val="19"/>
              </w:rPr>
            </w:pPr>
            <w:r w:rsidRPr="00766038">
              <w:rPr>
                <w:color w:val="000000"/>
                <w:sz w:val="19"/>
                <w:szCs w:val="19"/>
              </w:rPr>
              <w:t>Total Energy Savings (MWh/yr)</w:t>
            </w:r>
          </w:p>
        </w:tc>
        <w:tc>
          <w:tcPr>
            <w:tcW w:w="112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384,229</w:t>
            </w:r>
          </w:p>
        </w:tc>
        <w:tc>
          <w:tcPr>
            <w:tcW w:w="1160" w:type="dxa"/>
            <w:tcBorders>
              <w:top w:val="nil"/>
              <w:left w:val="nil"/>
              <w:bottom w:val="single" w:sz="8" w:space="0" w:color="448A99"/>
              <w:right w:val="single" w:sz="8" w:space="0" w:color="448A99"/>
            </w:tcBorders>
            <w:shd w:val="clear" w:color="000000" w:fill="D2EAF1"/>
            <w:vAlign w:val="center"/>
            <w:hideMark/>
          </w:tcPr>
          <w:p w:rsidR="00895552" w:rsidRPr="00766038" w:rsidRDefault="003D4B5A" w:rsidP="00895552">
            <w:pPr>
              <w:jc w:val="center"/>
              <w:rPr>
                <w:sz w:val="19"/>
                <w:szCs w:val="19"/>
              </w:rPr>
            </w:pPr>
            <w:r w:rsidRPr="00766038">
              <w:rPr>
                <w:sz w:val="19"/>
                <w:szCs w:val="19"/>
              </w:rPr>
              <w:t>377,189</w:t>
            </w:r>
          </w:p>
        </w:tc>
        <w:tc>
          <w:tcPr>
            <w:tcW w:w="96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133,717</w:t>
            </w:r>
          </w:p>
        </w:tc>
        <w:tc>
          <w:tcPr>
            <w:tcW w:w="1180" w:type="dxa"/>
            <w:tcBorders>
              <w:top w:val="nil"/>
              <w:left w:val="nil"/>
              <w:bottom w:val="single" w:sz="8" w:space="0" w:color="448A99"/>
              <w:right w:val="single" w:sz="8" w:space="0" w:color="448A99"/>
            </w:tcBorders>
            <w:shd w:val="clear" w:color="000000" w:fill="D2EAF1"/>
            <w:vAlign w:val="center"/>
            <w:hideMark/>
          </w:tcPr>
          <w:p w:rsidR="00895552" w:rsidRPr="00766038" w:rsidRDefault="0007135B" w:rsidP="00895552">
            <w:pPr>
              <w:jc w:val="center"/>
              <w:rPr>
                <w:sz w:val="19"/>
                <w:szCs w:val="19"/>
              </w:rPr>
            </w:pPr>
            <w:r w:rsidRPr="00766038">
              <w:rPr>
                <w:sz w:val="19"/>
                <w:szCs w:val="19"/>
              </w:rPr>
              <w:t>510,906</w:t>
            </w:r>
          </w:p>
        </w:tc>
        <w:tc>
          <w:tcPr>
            <w:tcW w:w="138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276,722</w:t>
            </w:r>
          </w:p>
        </w:tc>
        <w:tc>
          <w:tcPr>
            <w:tcW w:w="131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185%</w:t>
            </w:r>
          </w:p>
        </w:tc>
      </w:tr>
      <w:tr w:rsidR="00E7173E" w:rsidRPr="00766038" w:rsidTr="00705585">
        <w:trPr>
          <w:trHeight w:val="432"/>
        </w:trPr>
        <w:tc>
          <w:tcPr>
            <w:tcW w:w="2250" w:type="dxa"/>
            <w:tcBorders>
              <w:top w:val="nil"/>
              <w:left w:val="single" w:sz="8" w:space="0" w:color="448A99"/>
              <w:bottom w:val="single" w:sz="8" w:space="0" w:color="448A99"/>
              <w:right w:val="single" w:sz="8" w:space="0" w:color="448A99"/>
            </w:tcBorders>
            <w:shd w:val="clear" w:color="auto" w:fill="auto"/>
            <w:vAlign w:val="center"/>
            <w:hideMark/>
          </w:tcPr>
          <w:p w:rsidR="00895552" w:rsidRPr="00766038" w:rsidRDefault="00895552" w:rsidP="00895552">
            <w:pPr>
              <w:jc w:val="left"/>
              <w:rPr>
                <w:color w:val="000000"/>
                <w:sz w:val="19"/>
                <w:szCs w:val="19"/>
              </w:rPr>
            </w:pPr>
            <w:r w:rsidRPr="00766038">
              <w:rPr>
                <w:color w:val="000000"/>
                <w:sz w:val="19"/>
                <w:szCs w:val="19"/>
              </w:rPr>
              <w:t>Total Demand Reduction (MW)</w:t>
            </w:r>
          </w:p>
        </w:tc>
        <w:tc>
          <w:tcPr>
            <w:tcW w:w="112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43.813</w:t>
            </w:r>
          </w:p>
        </w:tc>
        <w:tc>
          <w:tcPr>
            <w:tcW w:w="1160" w:type="dxa"/>
            <w:tcBorders>
              <w:top w:val="nil"/>
              <w:left w:val="nil"/>
              <w:bottom w:val="single" w:sz="8" w:space="0" w:color="448A99"/>
              <w:right w:val="single" w:sz="8" w:space="0" w:color="448A99"/>
            </w:tcBorders>
            <w:shd w:val="clear" w:color="auto" w:fill="auto"/>
            <w:vAlign w:val="center"/>
            <w:hideMark/>
          </w:tcPr>
          <w:p w:rsidR="00895552" w:rsidRPr="00766038" w:rsidRDefault="004B51A9" w:rsidP="00895552">
            <w:pPr>
              <w:jc w:val="center"/>
              <w:rPr>
                <w:sz w:val="19"/>
                <w:szCs w:val="19"/>
              </w:rPr>
            </w:pPr>
            <w:r w:rsidRPr="00766038">
              <w:rPr>
                <w:sz w:val="19"/>
                <w:szCs w:val="19"/>
              </w:rPr>
              <w:t>45.615</w:t>
            </w:r>
          </w:p>
        </w:tc>
        <w:tc>
          <w:tcPr>
            <w:tcW w:w="96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N/A</w:t>
            </w:r>
          </w:p>
        </w:tc>
        <w:tc>
          <w:tcPr>
            <w:tcW w:w="1180" w:type="dxa"/>
            <w:tcBorders>
              <w:top w:val="nil"/>
              <w:left w:val="nil"/>
              <w:bottom w:val="single" w:sz="8" w:space="0" w:color="448A99"/>
              <w:right w:val="single" w:sz="8" w:space="0" w:color="448A99"/>
            </w:tcBorders>
            <w:shd w:val="clear" w:color="auto" w:fill="auto"/>
            <w:vAlign w:val="center"/>
            <w:hideMark/>
          </w:tcPr>
          <w:p w:rsidR="00895552" w:rsidRPr="00766038" w:rsidRDefault="004B51A9" w:rsidP="00895552">
            <w:pPr>
              <w:jc w:val="center"/>
              <w:rPr>
                <w:sz w:val="19"/>
                <w:szCs w:val="19"/>
              </w:rPr>
            </w:pPr>
            <w:r w:rsidRPr="00766038">
              <w:rPr>
                <w:sz w:val="19"/>
                <w:szCs w:val="19"/>
              </w:rPr>
              <w:t>45.615</w:t>
            </w:r>
          </w:p>
        </w:tc>
        <w:tc>
          <w:tcPr>
            <w:tcW w:w="138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N/A</w:t>
            </w:r>
          </w:p>
        </w:tc>
        <w:tc>
          <w:tcPr>
            <w:tcW w:w="131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N/A</w:t>
            </w:r>
          </w:p>
        </w:tc>
      </w:tr>
      <w:tr w:rsidR="00A874AC" w:rsidRPr="00766038" w:rsidTr="00705585">
        <w:trPr>
          <w:trHeight w:val="432"/>
        </w:trPr>
        <w:tc>
          <w:tcPr>
            <w:tcW w:w="2250" w:type="dxa"/>
            <w:tcBorders>
              <w:top w:val="nil"/>
              <w:left w:val="single" w:sz="8" w:space="0" w:color="448A99"/>
              <w:bottom w:val="single" w:sz="8" w:space="0" w:color="448A99"/>
              <w:right w:val="single" w:sz="8" w:space="0" w:color="448A99"/>
            </w:tcBorders>
            <w:shd w:val="clear" w:color="000000" w:fill="D2EAF1"/>
            <w:vAlign w:val="center"/>
            <w:hideMark/>
          </w:tcPr>
          <w:p w:rsidR="00895552" w:rsidRPr="00766038" w:rsidRDefault="00895552" w:rsidP="00895552">
            <w:pPr>
              <w:jc w:val="left"/>
              <w:rPr>
                <w:color w:val="000000"/>
                <w:sz w:val="19"/>
                <w:szCs w:val="19"/>
              </w:rPr>
            </w:pPr>
            <w:r w:rsidRPr="00766038">
              <w:rPr>
                <w:color w:val="000000"/>
                <w:sz w:val="19"/>
                <w:szCs w:val="19"/>
              </w:rPr>
              <w:t xml:space="preserve">TRC Benefits ($1,000) </w:t>
            </w:r>
            <w:r w:rsidRPr="00766038">
              <w:rPr>
                <w:color w:val="000000"/>
                <w:sz w:val="19"/>
                <w:szCs w:val="19"/>
                <w:vertAlign w:val="superscript"/>
              </w:rPr>
              <w:t>[a]</w:t>
            </w:r>
          </w:p>
        </w:tc>
        <w:tc>
          <w:tcPr>
            <w:tcW w:w="112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 xml:space="preserve">N/A </w:t>
            </w:r>
            <w:r w:rsidRPr="00766038">
              <w:rPr>
                <w:sz w:val="19"/>
                <w:szCs w:val="19"/>
                <w:vertAlign w:val="superscript"/>
              </w:rPr>
              <w:t>[g]</w:t>
            </w:r>
          </w:p>
        </w:tc>
        <w:tc>
          <w:tcPr>
            <w:tcW w:w="1160" w:type="dxa"/>
            <w:tcBorders>
              <w:top w:val="nil"/>
              <w:left w:val="nil"/>
              <w:bottom w:val="single" w:sz="8" w:space="0" w:color="448A99"/>
              <w:right w:val="single" w:sz="8" w:space="0" w:color="448A99"/>
            </w:tcBorders>
            <w:shd w:val="clear" w:color="000000" w:fill="D2EAF1"/>
            <w:vAlign w:val="center"/>
            <w:hideMark/>
          </w:tcPr>
          <w:p w:rsidR="00895552" w:rsidRPr="00766038" w:rsidRDefault="004B51A9" w:rsidP="00895552">
            <w:pPr>
              <w:jc w:val="center"/>
              <w:rPr>
                <w:sz w:val="19"/>
                <w:szCs w:val="19"/>
              </w:rPr>
            </w:pPr>
            <w:r w:rsidRPr="00766038">
              <w:rPr>
                <w:sz w:val="19"/>
                <w:szCs w:val="19"/>
              </w:rPr>
              <w:t>$206,670</w:t>
            </w:r>
          </w:p>
        </w:tc>
        <w:tc>
          <w:tcPr>
            <w:tcW w:w="96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N/A</w:t>
            </w:r>
          </w:p>
        </w:tc>
        <w:tc>
          <w:tcPr>
            <w:tcW w:w="1180" w:type="dxa"/>
            <w:tcBorders>
              <w:top w:val="nil"/>
              <w:left w:val="nil"/>
              <w:bottom w:val="single" w:sz="8" w:space="0" w:color="448A99"/>
              <w:right w:val="single" w:sz="8" w:space="0" w:color="448A99"/>
            </w:tcBorders>
            <w:shd w:val="clear" w:color="000000" w:fill="D2EAF1"/>
            <w:vAlign w:val="center"/>
            <w:hideMark/>
          </w:tcPr>
          <w:p w:rsidR="00895552" w:rsidRPr="00766038" w:rsidRDefault="004B51A9" w:rsidP="00895552">
            <w:pPr>
              <w:jc w:val="center"/>
              <w:rPr>
                <w:sz w:val="19"/>
                <w:szCs w:val="19"/>
              </w:rPr>
            </w:pPr>
            <w:r w:rsidRPr="00766038">
              <w:rPr>
                <w:sz w:val="19"/>
                <w:szCs w:val="19"/>
              </w:rPr>
              <w:t>$206,670</w:t>
            </w:r>
          </w:p>
        </w:tc>
        <w:tc>
          <w:tcPr>
            <w:tcW w:w="138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N/A</w:t>
            </w:r>
          </w:p>
        </w:tc>
        <w:tc>
          <w:tcPr>
            <w:tcW w:w="131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N/A</w:t>
            </w:r>
          </w:p>
        </w:tc>
      </w:tr>
      <w:tr w:rsidR="00E7173E" w:rsidRPr="00766038" w:rsidTr="00705585">
        <w:trPr>
          <w:trHeight w:val="432"/>
        </w:trPr>
        <w:tc>
          <w:tcPr>
            <w:tcW w:w="2250" w:type="dxa"/>
            <w:tcBorders>
              <w:top w:val="nil"/>
              <w:left w:val="single" w:sz="8" w:space="0" w:color="448A99"/>
              <w:bottom w:val="single" w:sz="8" w:space="0" w:color="448A99"/>
              <w:right w:val="single" w:sz="8" w:space="0" w:color="448A99"/>
            </w:tcBorders>
            <w:shd w:val="clear" w:color="auto" w:fill="auto"/>
            <w:vAlign w:val="center"/>
            <w:hideMark/>
          </w:tcPr>
          <w:p w:rsidR="00895552" w:rsidRPr="00766038" w:rsidRDefault="00895552" w:rsidP="00895552">
            <w:pPr>
              <w:jc w:val="left"/>
              <w:rPr>
                <w:color w:val="000000"/>
                <w:sz w:val="19"/>
                <w:szCs w:val="19"/>
              </w:rPr>
            </w:pPr>
            <w:r w:rsidRPr="00766038">
              <w:rPr>
                <w:color w:val="000000"/>
                <w:sz w:val="19"/>
                <w:szCs w:val="19"/>
              </w:rPr>
              <w:t xml:space="preserve">TRC Costs ($1,000) </w:t>
            </w:r>
            <w:r w:rsidRPr="00766038">
              <w:rPr>
                <w:color w:val="000000"/>
                <w:sz w:val="19"/>
                <w:szCs w:val="19"/>
                <w:vertAlign w:val="superscript"/>
              </w:rPr>
              <w:t>[b]</w:t>
            </w:r>
          </w:p>
        </w:tc>
        <w:tc>
          <w:tcPr>
            <w:tcW w:w="112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 xml:space="preserve">N/A </w:t>
            </w:r>
            <w:r w:rsidRPr="00766038">
              <w:rPr>
                <w:sz w:val="19"/>
                <w:szCs w:val="19"/>
                <w:vertAlign w:val="superscript"/>
              </w:rPr>
              <w:t>[g]</w:t>
            </w:r>
          </w:p>
        </w:tc>
        <w:tc>
          <w:tcPr>
            <w:tcW w:w="116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$101,477</w:t>
            </w:r>
          </w:p>
        </w:tc>
        <w:tc>
          <w:tcPr>
            <w:tcW w:w="96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N/A</w:t>
            </w:r>
          </w:p>
        </w:tc>
        <w:tc>
          <w:tcPr>
            <w:tcW w:w="118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$101,477</w:t>
            </w:r>
          </w:p>
        </w:tc>
        <w:tc>
          <w:tcPr>
            <w:tcW w:w="138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N/A</w:t>
            </w:r>
          </w:p>
        </w:tc>
        <w:tc>
          <w:tcPr>
            <w:tcW w:w="131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N/A</w:t>
            </w:r>
          </w:p>
        </w:tc>
      </w:tr>
      <w:tr w:rsidR="00A874AC" w:rsidRPr="00766038" w:rsidTr="00705585">
        <w:trPr>
          <w:trHeight w:val="432"/>
        </w:trPr>
        <w:tc>
          <w:tcPr>
            <w:tcW w:w="2250" w:type="dxa"/>
            <w:tcBorders>
              <w:top w:val="nil"/>
              <w:left w:val="single" w:sz="8" w:space="0" w:color="448A99"/>
              <w:bottom w:val="single" w:sz="8" w:space="0" w:color="448A99"/>
              <w:right w:val="single" w:sz="8" w:space="0" w:color="448A99"/>
            </w:tcBorders>
            <w:shd w:val="clear" w:color="000000" w:fill="D2EAF1"/>
            <w:vAlign w:val="center"/>
            <w:hideMark/>
          </w:tcPr>
          <w:p w:rsidR="00895552" w:rsidRPr="00766038" w:rsidRDefault="00895552" w:rsidP="003273A5">
            <w:pPr>
              <w:jc w:val="left"/>
              <w:rPr>
                <w:color w:val="000000"/>
                <w:sz w:val="19"/>
                <w:szCs w:val="19"/>
              </w:rPr>
            </w:pPr>
            <w:r w:rsidRPr="00766038">
              <w:rPr>
                <w:color w:val="000000"/>
                <w:sz w:val="19"/>
                <w:szCs w:val="19"/>
              </w:rPr>
              <w:t xml:space="preserve">TRC </w:t>
            </w:r>
            <w:r w:rsidR="003273A5" w:rsidRPr="00766038">
              <w:rPr>
                <w:color w:val="000000"/>
                <w:sz w:val="19"/>
                <w:szCs w:val="19"/>
              </w:rPr>
              <w:t>B/C</w:t>
            </w:r>
            <w:r w:rsidRPr="00766038">
              <w:rPr>
                <w:color w:val="000000"/>
                <w:sz w:val="19"/>
                <w:szCs w:val="19"/>
              </w:rPr>
              <w:t xml:space="preserve"> Ratio </w:t>
            </w:r>
            <w:r w:rsidRPr="00766038">
              <w:rPr>
                <w:color w:val="000000"/>
                <w:sz w:val="19"/>
                <w:szCs w:val="19"/>
                <w:vertAlign w:val="superscript"/>
              </w:rPr>
              <w:t>[c]</w:t>
            </w:r>
          </w:p>
        </w:tc>
        <w:tc>
          <w:tcPr>
            <w:tcW w:w="112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 xml:space="preserve">N/A </w:t>
            </w:r>
            <w:r w:rsidRPr="00766038">
              <w:rPr>
                <w:sz w:val="19"/>
                <w:szCs w:val="19"/>
                <w:vertAlign w:val="superscript"/>
              </w:rPr>
              <w:t>[g]</w:t>
            </w:r>
          </w:p>
        </w:tc>
        <w:tc>
          <w:tcPr>
            <w:tcW w:w="116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2.04</w:t>
            </w:r>
          </w:p>
        </w:tc>
        <w:tc>
          <w:tcPr>
            <w:tcW w:w="96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N/A</w:t>
            </w:r>
          </w:p>
        </w:tc>
        <w:tc>
          <w:tcPr>
            <w:tcW w:w="118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2.04</w:t>
            </w:r>
          </w:p>
        </w:tc>
        <w:tc>
          <w:tcPr>
            <w:tcW w:w="138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N/A</w:t>
            </w:r>
          </w:p>
        </w:tc>
        <w:tc>
          <w:tcPr>
            <w:tcW w:w="1310" w:type="dxa"/>
            <w:tcBorders>
              <w:top w:val="nil"/>
              <w:left w:val="nil"/>
              <w:bottom w:val="single" w:sz="8" w:space="0" w:color="448A99"/>
              <w:right w:val="single" w:sz="8" w:space="0" w:color="448A99"/>
            </w:tcBorders>
            <w:shd w:val="clear" w:color="000000" w:fill="D2EAF1"/>
            <w:vAlign w:val="center"/>
            <w:hideMark/>
          </w:tcPr>
          <w:p w:rsidR="00895552" w:rsidRPr="00766038" w:rsidRDefault="00895552" w:rsidP="00895552">
            <w:pPr>
              <w:jc w:val="center"/>
              <w:rPr>
                <w:sz w:val="19"/>
                <w:szCs w:val="19"/>
              </w:rPr>
            </w:pPr>
            <w:r w:rsidRPr="00766038">
              <w:rPr>
                <w:sz w:val="19"/>
                <w:szCs w:val="19"/>
              </w:rPr>
              <w:t>N/A</w:t>
            </w:r>
          </w:p>
        </w:tc>
      </w:tr>
      <w:tr w:rsidR="00E7173E" w:rsidRPr="00766038" w:rsidTr="00705585">
        <w:trPr>
          <w:trHeight w:val="432"/>
        </w:trPr>
        <w:tc>
          <w:tcPr>
            <w:tcW w:w="2250" w:type="dxa"/>
            <w:tcBorders>
              <w:top w:val="nil"/>
              <w:left w:val="single" w:sz="8" w:space="0" w:color="448A99"/>
              <w:bottom w:val="single" w:sz="8" w:space="0" w:color="448A99"/>
              <w:right w:val="single" w:sz="8" w:space="0" w:color="448A99"/>
            </w:tcBorders>
            <w:shd w:val="clear" w:color="auto" w:fill="auto"/>
            <w:vAlign w:val="center"/>
            <w:hideMark/>
          </w:tcPr>
          <w:p w:rsidR="00895552" w:rsidRPr="00766038" w:rsidRDefault="00895552" w:rsidP="00895552">
            <w:pPr>
              <w:jc w:val="left"/>
              <w:rPr>
                <w:color w:val="000000"/>
                <w:sz w:val="19"/>
                <w:szCs w:val="19"/>
              </w:rPr>
            </w:pPr>
            <w:r w:rsidRPr="00766038">
              <w:rPr>
                <w:color w:val="000000"/>
                <w:sz w:val="19"/>
                <w:szCs w:val="19"/>
              </w:rPr>
              <w:t>CO</w:t>
            </w:r>
            <w:r w:rsidRPr="00766038">
              <w:rPr>
                <w:color w:val="000000"/>
                <w:sz w:val="19"/>
                <w:szCs w:val="19"/>
                <w:vertAlign w:val="subscript"/>
              </w:rPr>
              <w:t>2</w:t>
            </w:r>
            <w:r w:rsidRPr="00766038">
              <w:rPr>
                <w:color w:val="000000"/>
                <w:sz w:val="19"/>
                <w:szCs w:val="19"/>
              </w:rPr>
              <w:t xml:space="preserve"> Emissions Reduction (Tons) </w:t>
            </w:r>
            <w:r w:rsidRPr="00766038">
              <w:rPr>
                <w:color w:val="000000"/>
                <w:sz w:val="19"/>
                <w:szCs w:val="19"/>
                <w:vertAlign w:val="superscript"/>
              </w:rPr>
              <w:t>[d][e]</w:t>
            </w:r>
          </w:p>
        </w:tc>
        <w:tc>
          <w:tcPr>
            <w:tcW w:w="112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296,048</w:t>
            </w:r>
          </w:p>
        </w:tc>
        <w:tc>
          <w:tcPr>
            <w:tcW w:w="116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290,670</w:t>
            </w:r>
          </w:p>
        </w:tc>
        <w:tc>
          <w:tcPr>
            <w:tcW w:w="96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103,029</w:t>
            </w:r>
          </w:p>
        </w:tc>
        <w:tc>
          <w:tcPr>
            <w:tcW w:w="118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393,699</w:t>
            </w:r>
          </w:p>
        </w:tc>
        <w:tc>
          <w:tcPr>
            <w:tcW w:w="138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N/A</w:t>
            </w:r>
          </w:p>
        </w:tc>
        <w:tc>
          <w:tcPr>
            <w:tcW w:w="1310" w:type="dxa"/>
            <w:tcBorders>
              <w:top w:val="nil"/>
              <w:left w:val="nil"/>
              <w:bottom w:val="single" w:sz="8" w:space="0" w:color="448A99"/>
              <w:right w:val="single" w:sz="8" w:space="0" w:color="448A99"/>
            </w:tcBorders>
            <w:shd w:val="clear" w:color="auto" w:fill="auto"/>
            <w:vAlign w:val="center"/>
            <w:hideMark/>
          </w:tcPr>
          <w:p w:rsidR="00895552" w:rsidRPr="00766038" w:rsidRDefault="00895552" w:rsidP="00895552">
            <w:pPr>
              <w:jc w:val="center"/>
              <w:rPr>
                <w:sz w:val="19"/>
                <w:szCs w:val="19"/>
              </w:rPr>
            </w:pPr>
            <w:r w:rsidRPr="00766038">
              <w:rPr>
                <w:sz w:val="19"/>
                <w:szCs w:val="19"/>
              </w:rPr>
              <w:t>N/A</w:t>
            </w:r>
          </w:p>
        </w:tc>
      </w:tr>
      <w:tr w:rsidR="00895552" w:rsidRPr="007A007D" w:rsidTr="00766038">
        <w:trPr>
          <w:trHeight w:val="3184"/>
        </w:trPr>
        <w:tc>
          <w:tcPr>
            <w:tcW w:w="9360" w:type="dxa"/>
            <w:gridSpan w:val="7"/>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895552" w:rsidRPr="007A007D" w:rsidRDefault="00895552" w:rsidP="00895552">
            <w:pPr>
              <w:jc w:val="left"/>
              <w:rPr>
                <w:color w:val="FFFFFF"/>
                <w:sz w:val="18"/>
                <w:szCs w:val="19"/>
              </w:rPr>
            </w:pPr>
            <w:r w:rsidRPr="007A007D">
              <w:rPr>
                <w:color w:val="FFFFFF"/>
                <w:sz w:val="18"/>
                <w:szCs w:val="19"/>
              </w:rPr>
              <w:t xml:space="preserve">NOTES: </w:t>
            </w:r>
            <w:r w:rsidRPr="007A007D">
              <w:rPr>
                <w:color w:val="FFFFFF"/>
                <w:sz w:val="18"/>
                <w:szCs w:val="19"/>
              </w:rPr>
              <w:br/>
              <w:t>[a] Avoided supply costs, including the reduction in costs of electric energy, generation, transmission, and distribution capacity. Subject to TRC Order.</w:t>
            </w:r>
            <w:r w:rsidRPr="007A007D">
              <w:rPr>
                <w:color w:val="FFFFFF"/>
                <w:sz w:val="18"/>
                <w:szCs w:val="19"/>
              </w:rPr>
              <w:br/>
              <w:t>[b] Costs paid by the program administrator and participants plus the increase in supply costs for any period when load is increased.  Subject to TRC Order.</w:t>
            </w:r>
            <w:r w:rsidRPr="007A007D">
              <w:rPr>
                <w:color w:val="FFFFFF"/>
                <w:sz w:val="18"/>
                <w:szCs w:val="19"/>
              </w:rPr>
              <w:br/>
              <w:t>[c] Subject to the Commission’s August 31, 2012 TRC Order.</w:t>
            </w:r>
            <w:r w:rsidRPr="007A007D">
              <w:rPr>
                <w:color w:val="FFFFFF"/>
                <w:sz w:val="18"/>
                <w:szCs w:val="19"/>
              </w:rPr>
              <w:br/>
              <w:t>[d] CO</w:t>
            </w:r>
            <w:r w:rsidRPr="007A007D">
              <w:rPr>
                <w:color w:val="FFFFFF"/>
                <w:sz w:val="18"/>
                <w:szCs w:val="19"/>
                <w:vertAlign w:val="subscript"/>
              </w:rPr>
              <w:t>2</w:t>
            </w:r>
            <w:r w:rsidRPr="007A007D">
              <w:rPr>
                <w:color w:val="FFFFFF"/>
                <w:sz w:val="18"/>
                <w:szCs w:val="19"/>
              </w:rPr>
              <w:t xml:space="preserve"> conversion based on 1,541 </w:t>
            </w:r>
            <w:r w:rsidR="00766038" w:rsidRPr="007A007D">
              <w:rPr>
                <w:color w:val="FFFFFF"/>
                <w:sz w:val="18"/>
                <w:szCs w:val="19"/>
              </w:rPr>
              <w:t>lbs.</w:t>
            </w:r>
            <w:r w:rsidRPr="007A007D">
              <w:rPr>
                <w:color w:val="FFFFFF"/>
                <w:sz w:val="18"/>
                <w:szCs w:val="19"/>
              </w:rPr>
              <w:t xml:space="preserve"> CO</w:t>
            </w:r>
            <w:r w:rsidRPr="007A007D">
              <w:rPr>
                <w:color w:val="FFFFFF"/>
                <w:sz w:val="18"/>
                <w:szCs w:val="19"/>
                <w:vertAlign w:val="subscript"/>
              </w:rPr>
              <w:t>2</w:t>
            </w:r>
            <w:r w:rsidRPr="007A007D">
              <w:rPr>
                <w:color w:val="FFFFFF"/>
                <w:sz w:val="18"/>
                <w:szCs w:val="19"/>
              </w:rPr>
              <w:t xml:space="preserve"> per MWh according to the latest available (2015) PJM Emission Report of marginal off-peak annual CO</w:t>
            </w:r>
            <w:r w:rsidRPr="007A007D">
              <w:rPr>
                <w:color w:val="FFFFFF"/>
                <w:sz w:val="18"/>
                <w:szCs w:val="19"/>
                <w:vertAlign w:val="subscript"/>
              </w:rPr>
              <w:t>2</w:t>
            </w:r>
            <w:r w:rsidRPr="007A007D">
              <w:rPr>
                <w:color w:val="FFFFFF"/>
                <w:sz w:val="18"/>
                <w:szCs w:val="19"/>
              </w:rPr>
              <w:t xml:space="preserve"> emission rate.</w:t>
            </w:r>
            <w:r w:rsidRPr="007A007D">
              <w:rPr>
                <w:color w:val="FFFFFF"/>
                <w:sz w:val="18"/>
                <w:szCs w:val="19"/>
              </w:rPr>
              <w:br/>
              <w:t>[e] CO</w:t>
            </w:r>
            <w:r w:rsidRPr="007A007D">
              <w:rPr>
                <w:color w:val="FFFFFF"/>
                <w:sz w:val="18"/>
                <w:szCs w:val="19"/>
                <w:vertAlign w:val="subscript"/>
              </w:rPr>
              <w:t>2</w:t>
            </w:r>
            <w:r w:rsidRPr="007A007D">
              <w:rPr>
                <w:color w:val="FFFFFF"/>
                <w:sz w:val="18"/>
                <w:szCs w:val="19"/>
              </w:rPr>
              <w:t xml:space="preserve"> emissions are reported due to Stakeholder interest in this information and to recognize that reporting this information is recommended by the National Action Plan for Energy Efficiency.</w:t>
            </w:r>
            <w:r w:rsidRPr="007A007D">
              <w:rPr>
                <w:color w:val="FFFFFF"/>
                <w:sz w:val="18"/>
                <w:szCs w:val="19"/>
              </w:rPr>
              <w:br/>
              <w:t>[f] Phase II Reported Gross Impact is the cumulative program/portfolio Phase II Inception to Date Reported Gross Savings.</w:t>
            </w:r>
            <w:r w:rsidRPr="007A007D">
              <w:rPr>
                <w:color w:val="FFFFFF"/>
                <w:sz w:val="18"/>
                <w:szCs w:val="19"/>
              </w:rPr>
              <w:br/>
              <w:t>[g] TRC Benefits and Costs are calculated only for verified savings, which reflect actual program results.</w:t>
            </w:r>
            <w:r w:rsidRPr="007A007D">
              <w:rPr>
                <w:color w:val="FFFFFF"/>
                <w:sz w:val="18"/>
                <w:szCs w:val="19"/>
              </w:rPr>
              <w:br/>
              <w:t>[h] Phase II Verified Impact is the cumulative program/portfolio Phase II Inception to Date Verified Gross Savings.</w:t>
            </w:r>
            <w:r w:rsidRPr="007A007D">
              <w:rPr>
                <w:color w:val="FFFFFF"/>
                <w:sz w:val="18"/>
                <w:szCs w:val="19"/>
              </w:rPr>
              <w:br/>
              <w:t>[i] Savings achieved based on Phase II Inception-to-Date Verified Gross Savings.</w:t>
            </w:r>
          </w:p>
        </w:tc>
      </w:tr>
    </w:tbl>
    <w:p w:rsidR="0043410E" w:rsidRPr="00705585" w:rsidRDefault="0043410E" w:rsidP="00705585"/>
    <w:p w:rsidR="00DD2811" w:rsidRDefault="00DD2811" w:rsidP="0043410E">
      <w:r w:rsidRPr="001928C8">
        <w:t>Duquesne achieved 1</w:t>
      </w:r>
      <w:r w:rsidR="001928C8" w:rsidRPr="001928C8">
        <w:t>85</w:t>
      </w:r>
      <w:r w:rsidRPr="001928C8">
        <w:t>% of its Act 129 Phase II energy savings target through the end of PY7. The TRC B/C ratio (or TRC ratio) of Duquesne’s programs</w:t>
      </w:r>
      <w:r>
        <w:t xml:space="preserve"> </w:t>
      </w:r>
      <w:r w:rsidRPr="001928C8">
        <w:t xml:space="preserve">was </w:t>
      </w:r>
      <w:r w:rsidR="001928C8" w:rsidRPr="001928C8">
        <w:t>2.04</w:t>
      </w:r>
      <w:r w:rsidRPr="001928C8">
        <w:t>, which</w:t>
      </w:r>
      <w:r>
        <w:t xml:space="preserve"> indicates that its portfolio of EE&amp;C programs is cost-effective on an aggregated basis.</w:t>
      </w:r>
    </w:p>
    <w:p w:rsidR="00DD2811" w:rsidRDefault="00DD2811" w:rsidP="0043410E"/>
    <w:p w:rsidR="000F5A29" w:rsidRDefault="000F5A29" w:rsidP="000F5A29">
      <w:r>
        <w:fldChar w:fldCharType="begin"/>
      </w:r>
      <w:r>
        <w:instrText xml:space="preserve"> REF _Ref476043206 \h </w:instrText>
      </w:r>
      <w:r>
        <w:fldChar w:fldCharType="separate"/>
      </w:r>
      <w:r w:rsidR="00037CB4">
        <w:t xml:space="preserve">Figure </w:t>
      </w:r>
      <w:r w:rsidR="00037CB4">
        <w:rPr>
          <w:noProof/>
        </w:rPr>
        <w:t>2</w:t>
      </w:r>
      <w:r w:rsidR="00037CB4">
        <w:noBreakHyphen/>
      </w:r>
      <w:r w:rsidR="00037CB4">
        <w:rPr>
          <w:noProof/>
        </w:rPr>
        <w:t>17</w:t>
      </w:r>
      <w:r>
        <w:fldChar w:fldCharType="end"/>
      </w:r>
      <w:r>
        <w:t xml:space="preserve"> </w:t>
      </w:r>
      <w:r w:rsidR="00DD2811" w:rsidRPr="000F5A29">
        <w:t>shows the verified gross savings after each program year during Phase II. The data in this figure do not include carryover savings from Phase</w:t>
      </w:r>
      <w:r w:rsidR="002E319D" w:rsidRPr="000F5A29">
        <w:t xml:space="preserve"> I</w:t>
      </w:r>
      <w:r w:rsidR="00DD2811" w:rsidRPr="000F5A29">
        <w:t>. The C</w:t>
      </w:r>
      <w:r w:rsidR="0097650B" w:rsidRPr="000F5A29">
        <w:t>/</w:t>
      </w:r>
      <w:r w:rsidR="00DD2811" w:rsidRPr="000F5A29">
        <w:t>I sector accounted for the highest savings for Duquesne during Phase II.</w:t>
      </w:r>
      <w:bookmarkStart w:id="179" w:name="_Ref472409643"/>
      <w:bookmarkStart w:id="180" w:name="_Toc472472224"/>
    </w:p>
    <w:p w:rsidR="000F5A29" w:rsidRPr="000F5A29" w:rsidRDefault="000F5A29" w:rsidP="000F5A29"/>
    <w:p w:rsidR="001928C8" w:rsidRDefault="00571154" w:rsidP="004837FA">
      <w:pPr>
        <w:pStyle w:val="Caption"/>
      </w:pPr>
      <w:bookmarkStart w:id="181" w:name="_Ref476043206"/>
      <w:bookmarkStart w:id="182" w:name="_Toc488741803"/>
      <w:r>
        <w:rPr>
          <w:noProof/>
        </w:rPr>
        <w:drawing>
          <wp:anchor distT="0" distB="0" distL="114300" distR="114300" simplePos="0" relativeHeight="251681798" behindDoc="1" locked="0" layoutInCell="1" allowOverlap="1" wp14:anchorId="1F39C4DF" wp14:editId="4510DE35">
            <wp:simplePos x="0" y="0"/>
            <wp:positionH relativeFrom="column">
              <wp:posOffset>88900</wp:posOffset>
            </wp:positionH>
            <wp:positionV relativeFrom="paragraph">
              <wp:posOffset>187104</wp:posOffset>
            </wp:positionV>
            <wp:extent cx="5724525" cy="306895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3068955"/>
                    </a:xfrm>
                    <a:prstGeom prst="rect">
                      <a:avLst/>
                    </a:prstGeom>
                    <a:noFill/>
                  </pic:spPr>
                </pic:pic>
              </a:graphicData>
            </a:graphic>
            <wp14:sizeRelH relativeFrom="page">
              <wp14:pctWidth>0</wp14:pctWidth>
            </wp14:sizeRelH>
            <wp14:sizeRelV relativeFrom="page">
              <wp14:pctHeight>0</wp14:pctHeight>
            </wp14:sizeRelV>
          </wp:anchor>
        </w:drawing>
      </w:r>
      <w:r w:rsidR="004F1B4F">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17</w:t>
      </w:r>
      <w:r w:rsidR="007973A4">
        <w:rPr>
          <w:noProof/>
        </w:rPr>
        <w:fldChar w:fldCharType="end"/>
      </w:r>
      <w:bookmarkEnd w:id="179"/>
      <w:bookmarkEnd w:id="181"/>
      <w:r w:rsidR="004F1B4F">
        <w:t xml:space="preserve">: </w:t>
      </w:r>
      <w:r w:rsidR="001928C8" w:rsidRPr="001928C8">
        <w:t>Duquesne Phase</w:t>
      </w:r>
      <w:r w:rsidR="001928C8">
        <w:t xml:space="preserve"> I</w:t>
      </w:r>
      <w:r w:rsidR="001928C8" w:rsidRPr="001928C8">
        <w:t xml:space="preserve">I </w:t>
      </w:r>
      <w:r w:rsidR="00105F3B">
        <w:t xml:space="preserve">Cumulative </w:t>
      </w:r>
      <w:r w:rsidR="001928C8">
        <w:t>V</w:t>
      </w:r>
      <w:r w:rsidR="001928C8" w:rsidRPr="001928C8">
        <w:t>erified</w:t>
      </w:r>
      <w:r w:rsidR="0097650B">
        <w:t xml:space="preserve"> Gross</w:t>
      </w:r>
      <w:r w:rsidR="001928C8" w:rsidRPr="001928C8">
        <w:t xml:space="preserve"> Savings by Program Year and Sector</w:t>
      </w:r>
      <w:bookmarkEnd w:id="180"/>
      <w:bookmarkEnd w:id="182"/>
    </w:p>
    <w:p w:rsidR="001928C8" w:rsidRDefault="001928C8" w:rsidP="00D06AEA">
      <w:pPr>
        <w:jc w:val="center"/>
      </w:pPr>
    </w:p>
    <w:p w:rsidR="006058D6" w:rsidRDefault="006058D6" w:rsidP="00E673F0">
      <w:pPr>
        <w:pStyle w:val="Heading3"/>
      </w:pPr>
      <w:bookmarkStart w:id="183" w:name="_Toc472472097"/>
      <w:bookmarkStart w:id="184" w:name="_Toc488765790"/>
      <w:r>
        <w:t>Met</w:t>
      </w:r>
      <w:r w:rsidR="00DD6B4C">
        <w:t>ropolitan Edison Company</w:t>
      </w:r>
      <w:bookmarkEnd w:id="183"/>
      <w:bookmarkEnd w:id="184"/>
    </w:p>
    <w:p w:rsidR="001E4D27" w:rsidRDefault="001E4D27" w:rsidP="001E4D27">
      <w:r>
        <w:fldChar w:fldCharType="begin"/>
      </w:r>
      <w:r>
        <w:instrText xml:space="preserve"> REF _Ref472267350 \h </w:instrText>
      </w:r>
      <w:r>
        <w:fldChar w:fldCharType="separate"/>
      </w:r>
      <w:r w:rsidR="00037CB4">
        <w:t xml:space="preserve">Table </w:t>
      </w:r>
      <w:r w:rsidR="00037CB4">
        <w:rPr>
          <w:noProof/>
        </w:rPr>
        <w:t>2</w:t>
      </w:r>
      <w:r w:rsidR="00037CB4">
        <w:noBreakHyphen/>
      </w:r>
      <w:r w:rsidR="00037CB4">
        <w:rPr>
          <w:noProof/>
        </w:rPr>
        <w:t>17</w:t>
      </w:r>
      <w:r>
        <w:fldChar w:fldCharType="end"/>
      </w:r>
      <w:r>
        <w:t xml:space="preserve"> </w:t>
      </w:r>
      <w:r w:rsidRPr="001E4D27">
        <w:t xml:space="preserve">provides an overview of </w:t>
      </w:r>
      <w:r>
        <w:t xml:space="preserve">Met-Ed’s cumulative </w:t>
      </w:r>
      <w:r w:rsidR="00A90285">
        <w:t xml:space="preserve">reported gross (RG) </w:t>
      </w:r>
      <w:r w:rsidR="00A90285" w:rsidRPr="001E4D27">
        <w:t xml:space="preserve">and verified gross </w:t>
      </w:r>
      <w:r w:rsidR="00A90285">
        <w:t xml:space="preserve">(VG) savings impacts, and carryover (CO) </w:t>
      </w:r>
      <w:r w:rsidR="00A90285" w:rsidRPr="001E4D27">
        <w:t xml:space="preserve">savings since the </w:t>
      </w:r>
      <w:r w:rsidR="00A90285">
        <w:t xml:space="preserve">inception of its </w:t>
      </w:r>
      <w:r w:rsidR="00A90285" w:rsidRPr="001E4D27">
        <w:t xml:space="preserve">EE&amp;C programs through </w:t>
      </w:r>
      <w:r w:rsidRPr="001E4D27">
        <w:t xml:space="preserve">the end of </w:t>
      </w:r>
      <w:r>
        <w:t>Phase II.</w:t>
      </w:r>
    </w:p>
    <w:p w:rsidR="0043410E" w:rsidRDefault="0043410E" w:rsidP="0043410E"/>
    <w:p w:rsidR="0043410E" w:rsidRDefault="0043410E" w:rsidP="004837FA">
      <w:pPr>
        <w:pStyle w:val="Caption"/>
      </w:pPr>
      <w:bookmarkStart w:id="185" w:name="_Ref472267350"/>
      <w:bookmarkStart w:id="186" w:name="_Toc472472170"/>
      <w:bookmarkStart w:id="187" w:name="_Toc488741748"/>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17</w:t>
      </w:r>
      <w:r w:rsidR="007973A4">
        <w:rPr>
          <w:noProof/>
        </w:rPr>
        <w:fldChar w:fldCharType="end"/>
      </w:r>
      <w:bookmarkEnd w:id="185"/>
      <w:r>
        <w:t>:  Summary of Met-Ed’s Phase II Savings Impacts</w:t>
      </w:r>
      <w:bookmarkEnd w:id="186"/>
      <w:bookmarkEnd w:id="187"/>
    </w:p>
    <w:tbl>
      <w:tblPr>
        <w:tblW w:w="9362" w:type="dxa"/>
        <w:tblInd w:w="-10" w:type="dxa"/>
        <w:tblLook w:val="04A0" w:firstRow="1" w:lastRow="0" w:firstColumn="1" w:lastColumn="0" w:noHBand="0" w:noVBand="1"/>
      </w:tblPr>
      <w:tblGrid>
        <w:gridCol w:w="2060"/>
        <w:gridCol w:w="1120"/>
        <w:gridCol w:w="1160"/>
        <w:gridCol w:w="960"/>
        <w:gridCol w:w="1180"/>
        <w:gridCol w:w="1380"/>
        <w:gridCol w:w="1502"/>
      </w:tblGrid>
      <w:tr w:rsidR="00A874AC" w:rsidRPr="00766038" w:rsidTr="00705585">
        <w:trPr>
          <w:trHeight w:val="720"/>
        </w:trPr>
        <w:tc>
          <w:tcPr>
            <w:tcW w:w="206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806A3" w:rsidRPr="00766038" w:rsidRDefault="00A806A3" w:rsidP="00B0359A">
            <w:pPr>
              <w:rPr>
                <w:b/>
                <w:bCs/>
                <w:color w:val="FFFFFF"/>
                <w:sz w:val="19"/>
                <w:szCs w:val="19"/>
              </w:rPr>
            </w:pPr>
            <w:r w:rsidRPr="00766038">
              <w:rPr>
                <w:b/>
                <w:bCs/>
                <w:color w:val="FFFFFF"/>
                <w:sz w:val="19"/>
                <w:szCs w:val="19"/>
              </w:rPr>
              <w:t>Impact</w:t>
            </w:r>
          </w:p>
        </w:tc>
        <w:tc>
          <w:tcPr>
            <w:tcW w:w="112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766038" w:rsidRDefault="00A806A3" w:rsidP="00B0359A">
            <w:pPr>
              <w:jc w:val="center"/>
              <w:rPr>
                <w:b/>
                <w:bCs/>
                <w:color w:val="FFFFFF"/>
                <w:sz w:val="19"/>
                <w:szCs w:val="19"/>
              </w:rPr>
            </w:pPr>
            <w:r w:rsidRPr="00766038">
              <w:rPr>
                <w:b/>
                <w:bCs/>
                <w:color w:val="FFFFFF"/>
                <w:sz w:val="19"/>
                <w:szCs w:val="19"/>
              </w:rPr>
              <w:t xml:space="preserve">Phase II RG Savings </w:t>
            </w:r>
            <w:r w:rsidRPr="00766038">
              <w:rPr>
                <w:b/>
                <w:bCs/>
                <w:color w:val="FFFFFF"/>
                <w:sz w:val="19"/>
                <w:szCs w:val="19"/>
                <w:vertAlign w:val="superscript"/>
              </w:rPr>
              <w:t>[f]</w:t>
            </w:r>
          </w:p>
        </w:tc>
        <w:tc>
          <w:tcPr>
            <w:tcW w:w="116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766038" w:rsidRDefault="00A806A3" w:rsidP="00B0359A">
            <w:pPr>
              <w:jc w:val="center"/>
              <w:rPr>
                <w:b/>
                <w:bCs/>
                <w:color w:val="FFFFFF"/>
                <w:sz w:val="19"/>
                <w:szCs w:val="19"/>
              </w:rPr>
            </w:pPr>
            <w:r w:rsidRPr="00766038">
              <w:rPr>
                <w:b/>
                <w:bCs/>
                <w:color w:val="FFFFFF"/>
                <w:sz w:val="19"/>
                <w:szCs w:val="19"/>
              </w:rPr>
              <w:t xml:space="preserve">Phase II VG Savings </w:t>
            </w:r>
            <w:r w:rsidRPr="00766038">
              <w:rPr>
                <w:b/>
                <w:bCs/>
                <w:color w:val="FFFFFF"/>
                <w:sz w:val="19"/>
                <w:szCs w:val="19"/>
                <w:vertAlign w:val="superscript"/>
              </w:rPr>
              <w:t>[h]</w:t>
            </w:r>
          </w:p>
        </w:tc>
        <w:tc>
          <w:tcPr>
            <w:tcW w:w="96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766038" w:rsidRDefault="00A806A3" w:rsidP="00B0359A">
            <w:pPr>
              <w:jc w:val="center"/>
              <w:rPr>
                <w:b/>
                <w:bCs/>
                <w:color w:val="FFFFFF"/>
                <w:sz w:val="19"/>
                <w:szCs w:val="19"/>
              </w:rPr>
            </w:pPr>
            <w:r w:rsidRPr="00766038">
              <w:rPr>
                <w:b/>
                <w:bCs/>
                <w:color w:val="FFFFFF"/>
                <w:sz w:val="19"/>
                <w:szCs w:val="19"/>
              </w:rPr>
              <w:t>Phase I CO Savings</w:t>
            </w:r>
          </w:p>
        </w:tc>
        <w:tc>
          <w:tcPr>
            <w:tcW w:w="118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766038" w:rsidRDefault="00A806A3" w:rsidP="00B0359A">
            <w:pPr>
              <w:jc w:val="center"/>
              <w:rPr>
                <w:b/>
                <w:bCs/>
                <w:color w:val="FFFFFF"/>
                <w:sz w:val="19"/>
                <w:szCs w:val="19"/>
              </w:rPr>
            </w:pPr>
            <w:r w:rsidRPr="00766038">
              <w:rPr>
                <w:b/>
                <w:bCs/>
                <w:color w:val="FFFFFF"/>
                <w:sz w:val="19"/>
                <w:szCs w:val="19"/>
              </w:rPr>
              <w:t>Phase II VG + Phase I CO Savings</w:t>
            </w:r>
          </w:p>
        </w:tc>
        <w:tc>
          <w:tcPr>
            <w:tcW w:w="138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766038" w:rsidRDefault="00A806A3" w:rsidP="00B0359A">
            <w:pPr>
              <w:jc w:val="center"/>
              <w:rPr>
                <w:b/>
                <w:bCs/>
                <w:color w:val="FFFFFF"/>
                <w:sz w:val="19"/>
                <w:szCs w:val="19"/>
              </w:rPr>
            </w:pPr>
            <w:r w:rsidRPr="00766038">
              <w:rPr>
                <w:b/>
                <w:bCs/>
                <w:color w:val="FFFFFF"/>
                <w:sz w:val="19"/>
                <w:szCs w:val="19"/>
              </w:rPr>
              <w:t>May 31, 2016 Compliance Target (MWh)</w:t>
            </w:r>
          </w:p>
        </w:tc>
        <w:tc>
          <w:tcPr>
            <w:tcW w:w="1502"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766038" w:rsidRDefault="00A806A3" w:rsidP="00B0359A">
            <w:pPr>
              <w:jc w:val="center"/>
              <w:rPr>
                <w:b/>
                <w:bCs/>
                <w:color w:val="FFFFFF"/>
                <w:sz w:val="19"/>
                <w:szCs w:val="19"/>
              </w:rPr>
            </w:pPr>
            <w:r w:rsidRPr="00766038">
              <w:rPr>
                <w:b/>
                <w:bCs/>
                <w:color w:val="FFFFFF"/>
                <w:sz w:val="19"/>
                <w:szCs w:val="19"/>
              </w:rPr>
              <w:t xml:space="preserve">Savings Achieved as % of 2016 Targets </w:t>
            </w:r>
            <w:r w:rsidRPr="00766038">
              <w:rPr>
                <w:b/>
                <w:bCs/>
                <w:color w:val="FFFFFF"/>
                <w:sz w:val="19"/>
                <w:szCs w:val="19"/>
                <w:vertAlign w:val="superscript"/>
              </w:rPr>
              <w:t>[i]</w:t>
            </w:r>
          </w:p>
        </w:tc>
      </w:tr>
      <w:tr w:rsidR="00A874AC" w:rsidRPr="00766038" w:rsidTr="00705585">
        <w:trPr>
          <w:trHeight w:val="432"/>
        </w:trPr>
        <w:tc>
          <w:tcPr>
            <w:tcW w:w="2060" w:type="dxa"/>
            <w:tcBorders>
              <w:top w:val="nil"/>
              <w:left w:val="single" w:sz="8" w:space="0" w:color="448A99"/>
              <w:bottom w:val="single" w:sz="8" w:space="0" w:color="448A99"/>
              <w:right w:val="single" w:sz="8" w:space="0" w:color="448A99"/>
            </w:tcBorders>
            <w:shd w:val="clear" w:color="000000" w:fill="D2EAF1"/>
            <w:vAlign w:val="center"/>
            <w:hideMark/>
          </w:tcPr>
          <w:p w:rsidR="00A806A3" w:rsidRPr="00766038" w:rsidRDefault="00A806A3" w:rsidP="00A806A3">
            <w:pPr>
              <w:jc w:val="left"/>
              <w:rPr>
                <w:color w:val="000000"/>
                <w:sz w:val="19"/>
                <w:szCs w:val="19"/>
              </w:rPr>
            </w:pPr>
            <w:r w:rsidRPr="00766038">
              <w:rPr>
                <w:color w:val="000000"/>
                <w:sz w:val="19"/>
                <w:szCs w:val="19"/>
              </w:rPr>
              <w:t>Total Energy Savings (MWh/yr)</w:t>
            </w:r>
          </w:p>
        </w:tc>
        <w:tc>
          <w:tcPr>
            <w:tcW w:w="112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368,430</w:t>
            </w:r>
          </w:p>
        </w:tc>
        <w:tc>
          <w:tcPr>
            <w:tcW w:w="116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368,235</w:t>
            </w:r>
          </w:p>
        </w:tc>
        <w:tc>
          <w:tcPr>
            <w:tcW w:w="96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47,187</w:t>
            </w:r>
          </w:p>
        </w:tc>
        <w:tc>
          <w:tcPr>
            <w:tcW w:w="118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415,422</w:t>
            </w:r>
          </w:p>
        </w:tc>
        <w:tc>
          <w:tcPr>
            <w:tcW w:w="138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337,753</w:t>
            </w:r>
          </w:p>
        </w:tc>
        <w:tc>
          <w:tcPr>
            <w:tcW w:w="1502"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123%</w:t>
            </w:r>
          </w:p>
        </w:tc>
      </w:tr>
      <w:tr w:rsidR="00E7173E" w:rsidRPr="00766038" w:rsidTr="00705585">
        <w:trPr>
          <w:trHeight w:val="432"/>
        </w:trPr>
        <w:tc>
          <w:tcPr>
            <w:tcW w:w="2060" w:type="dxa"/>
            <w:tcBorders>
              <w:top w:val="nil"/>
              <w:left w:val="single" w:sz="8" w:space="0" w:color="448A99"/>
              <w:bottom w:val="single" w:sz="8" w:space="0" w:color="448A99"/>
              <w:right w:val="single" w:sz="8" w:space="0" w:color="448A99"/>
            </w:tcBorders>
            <w:shd w:val="clear" w:color="auto" w:fill="auto"/>
            <w:vAlign w:val="center"/>
            <w:hideMark/>
          </w:tcPr>
          <w:p w:rsidR="00A806A3" w:rsidRPr="00766038" w:rsidRDefault="00A806A3" w:rsidP="00A806A3">
            <w:pPr>
              <w:jc w:val="left"/>
              <w:rPr>
                <w:color w:val="000000"/>
                <w:sz w:val="19"/>
                <w:szCs w:val="19"/>
              </w:rPr>
            </w:pPr>
            <w:r w:rsidRPr="00766038">
              <w:rPr>
                <w:color w:val="000000"/>
                <w:sz w:val="19"/>
                <w:szCs w:val="19"/>
              </w:rPr>
              <w:t>Total Demand Reduction (MW)</w:t>
            </w:r>
          </w:p>
        </w:tc>
        <w:tc>
          <w:tcPr>
            <w:tcW w:w="112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44.24</w:t>
            </w:r>
          </w:p>
        </w:tc>
        <w:tc>
          <w:tcPr>
            <w:tcW w:w="116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45.660</w:t>
            </w:r>
          </w:p>
        </w:tc>
        <w:tc>
          <w:tcPr>
            <w:tcW w:w="96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N/A</w:t>
            </w:r>
          </w:p>
        </w:tc>
        <w:tc>
          <w:tcPr>
            <w:tcW w:w="118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45.660</w:t>
            </w:r>
          </w:p>
        </w:tc>
        <w:tc>
          <w:tcPr>
            <w:tcW w:w="138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N/A</w:t>
            </w:r>
          </w:p>
        </w:tc>
        <w:tc>
          <w:tcPr>
            <w:tcW w:w="1502"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N/A</w:t>
            </w:r>
          </w:p>
        </w:tc>
      </w:tr>
      <w:tr w:rsidR="00A874AC" w:rsidRPr="00766038" w:rsidTr="00705585">
        <w:trPr>
          <w:trHeight w:val="432"/>
        </w:trPr>
        <w:tc>
          <w:tcPr>
            <w:tcW w:w="2060" w:type="dxa"/>
            <w:tcBorders>
              <w:top w:val="nil"/>
              <w:left w:val="single" w:sz="8" w:space="0" w:color="448A99"/>
              <w:bottom w:val="single" w:sz="8" w:space="0" w:color="448A99"/>
              <w:right w:val="single" w:sz="8" w:space="0" w:color="448A99"/>
            </w:tcBorders>
            <w:shd w:val="clear" w:color="000000" w:fill="D2EAF1"/>
            <w:vAlign w:val="center"/>
            <w:hideMark/>
          </w:tcPr>
          <w:p w:rsidR="00A806A3" w:rsidRPr="00766038" w:rsidRDefault="00A806A3" w:rsidP="00A806A3">
            <w:pPr>
              <w:jc w:val="left"/>
              <w:rPr>
                <w:color w:val="000000"/>
                <w:sz w:val="19"/>
                <w:szCs w:val="19"/>
              </w:rPr>
            </w:pPr>
            <w:r w:rsidRPr="00766038">
              <w:rPr>
                <w:color w:val="000000"/>
                <w:sz w:val="19"/>
                <w:szCs w:val="19"/>
              </w:rPr>
              <w:t xml:space="preserve">TRC Benefits ($1,000) </w:t>
            </w:r>
            <w:r w:rsidRPr="00766038">
              <w:rPr>
                <w:color w:val="000000"/>
                <w:sz w:val="19"/>
                <w:szCs w:val="19"/>
                <w:vertAlign w:val="superscript"/>
              </w:rPr>
              <w:t>[a]</w:t>
            </w:r>
          </w:p>
        </w:tc>
        <w:tc>
          <w:tcPr>
            <w:tcW w:w="112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 xml:space="preserve">N/A </w:t>
            </w:r>
            <w:r w:rsidRPr="00766038">
              <w:rPr>
                <w:sz w:val="19"/>
                <w:szCs w:val="19"/>
                <w:vertAlign w:val="superscript"/>
              </w:rPr>
              <w:t>[g]</w:t>
            </w:r>
          </w:p>
        </w:tc>
        <w:tc>
          <w:tcPr>
            <w:tcW w:w="116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$178,598</w:t>
            </w:r>
          </w:p>
        </w:tc>
        <w:tc>
          <w:tcPr>
            <w:tcW w:w="96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N/A</w:t>
            </w:r>
          </w:p>
        </w:tc>
        <w:tc>
          <w:tcPr>
            <w:tcW w:w="118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$178,598</w:t>
            </w:r>
          </w:p>
        </w:tc>
        <w:tc>
          <w:tcPr>
            <w:tcW w:w="138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N/A</w:t>
            </w:r>
          </w:p>
        </w:tc>
        <w:tc>
          <w:tcPr>
            <w:tcW w:w="1502"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N/A</w:t>
            </w:r>
          </w:p>
        </w:tc>
      </w:tr>
      <w:tr w:rsidR="00E7173E" w:rsidRPr="00766038" w:rsidTr="00705585">
        <w:trPr>
          <w:trHeight w:val="432"/>
        </w:trPr>
        <w:tc>
          <w:tcPr>
            <w:tcW w:w="2060" w:type="dxa"/>
            <w:tcBorders>
              <w:top w:val="nil"/>
              <w:left w:val="single" w:sz="8" w:space="0" w:color="448A99"/>
              <w:bottom w:val="single" w:sz="8" w:space="0" w:color="448A99"/>
              <w:right w:val="single" w:sz="8" w:space="0" w:color="448A99"/>
            </w:tcBorders>
            <w:shd w:val="clear" w:color="auto" w:fill="auto"/>
            <w:vAlign w:val="center"/>
            <w:hideMark/>
          </w:tcPr>
          <w:p w:rsidR="00A806A3" w:rsidRPr="00766038" w:rsidRDefault="00A806A3" w:rsidP="00A806A3">
            <w:pPr>
              <w:jc w:val="left"/>
              <w:rPr>
                <w:color w:val="000000"/>
                <w:sz w:val="19"/>
                <w:szCs w:val="19"/>
              </w:rPr>
            </w:pPr>
            <w:r w:rsidRPr="00766038">
              <w:rPr>
                <w:color w:val="000000"/>
                <w:sz w:val="19"/>
                <w:szCs w:val="19"/>
              </w:rPr>
              <w:t xml:space="preserve">TRC Costs ($1,000) </w:t>
            </w:r>
            <w:r w:rsidRPr="00766038">
              <w:rPr>
                <w:color w:val="000000"/>
                <w:sz w:val="19"/>
                <w:szCs w:val="19"/>
                <w:vertAlign w:val="superscript"/>
              </w:rPr>
              <w:t>[b]</w:t>
            </w:r>
          </w:p>
        </w:tc>
        <w:tc>
          <w:tcPr>
            <w:tcW w:w="112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 xml:space="preserve">N/A </w:t>
            </w:r>
            <w:r w:rsidRPr="00766038">
              <w:rPr>
                <w:sz w:val="19"/>
                <w:szCs w:val="19"/>
                <w:vertAlign w:val="superscript"/>
              </w:rPr>
              <w:t>[g]</w:t>
            </w:r>
          </w:p>
        </w:tc>
        <w:tc>
          <w:tcPr>
            <w:tcW w:w="116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$115,527</w:t>
            </w:r>
          </w:p>
        </w:tc>
        <w:tc>
          <w:tcPr>
            <w:tcW w:w="96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N/A</w:t>
            </w:r>
          </w:p>
        </w:tc>
        <w:tc>
          <w:tcPr>
            <w:tcW w:w="118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$115,527</w:t>
            </w:r>
          </w:p>
        </w:tc>
        <w:tc>
          <w:tcPr>
            <w:tcW w:w="138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N/A</w:t>
            </w:r>
          </w:p>
        </w:tc>
        <w:tc>
          <w:tcPr>
            <w:tcW w:w="1502"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N/A</w:t>
            </w:r>
          </w:p>
        </w:tc>
      </w:tr>
      <w:tr w:rsidR="00A874AC" w:rsidRPr="00766038" w:rsidTr="00705585">
        <w:trPr>
          <w:trHeight w:val="432"/>
        </w:trPr>
        <w:tc>
          <w:tcPr>
            <w:tcW w:w="2060" w:type="dxa"/>
            <w:tcBorders>
              <w:top w:val="nil"/>
              <w:left w:val="single" w:sz="8" w:space="0" w:color="448A99"/>
              <w:bottom w:val="single" w:sz="8" w:space="0" w:color="448A99"/>
              <w:right w:val="single" w:sz="8" w:space="0" w:color="448A99"/>
            </w:tcBorders>
            <w:shd w:val="clear" w:color="000000" w:fill="D2EAF1"/>
            <w:vAlign w:val="center"/>
            <w:hideMark/>
          </w:tcPr>
          <w:p w:rsidR="00A806A3" w:rsidRPr="00766038" w:rsidRDefault="00A806A3" w:rsidP="00A90285">
            <w:pPr>
              <w:jc w:val="left"/>
              <w:rPr>
                <w:color w:val="000000"/>
                <w:sz w:val="19"/>
                <w:szCs w:val="19"/>
              </w:rPr>
            </w:pPr>
            <w:r w:rsidRPr="00766038">
              <w:rPr>
                <w:color w:val="000000"/>
                <w:sz w:val="19"/>
                <w:szCs w:val="19"/>
              </w:rPr>
              <w:t xml:space="preserve">TRC </w:t>
            </w:r>
            <w:r w:rsidR="00A90285" w:rsidRPr="00766038">
              <w:rPr>
                <w:color w:val="000000"/>
                <w:sz w:val="19"/>
                <w:szCs w:val="19"/>
              </w:rPr>
              <w:t>B/C</w:t>
            </w:r>
            <w:r w:rsidRPr="00766038">
              <w:rPr>
                <w:color w:val="000000"/>
                <w:sz w:val="19"/>
                <w:szCs w:val="19"/>
              </w:rPr>
              <w:t xml:space="preserve"> Ratio </w:t>
            </w:r>
            <w:r w:rsidRPr="00766038">
              <w:rPr>
                <w:color w:val="000000"/>
                <w:sz w:val="19"/>
                <w:szCs w:val="19"/>
                <w:vertAlign w:val="superscript"/>
              </w:rPr>
              <w:t>[c]</w:t>
            </w:r>
          </w:p>
        </w:tc>
        <w:tc>
          <w:tcPr>
            <w:tcW w:w="112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 xml:space="preserve">N/A </w:t>
            </w:r>
            <w:r w:rsidRPr="00766038">
              <w:rPr>
                <w:sz w:val="19"/>
                <w:szCs w:val="19"/>
                <w:vertAlign w:val="superscript"/>
              </w:rPr>
              <w:t>[g]</w:t>
            </w:r>
          </w:p>
        </w:tc>
        <w:tc>
          <w:tcPr>
            <w:tcW w:w="116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1.55</w:t>
            </w:r>
          </w:p>
        </w:tc>
        <w:tc>
          <w:tcPr>
            <w:tcW w:w="96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N/A</w:t>
            </w:r>
          </w:p>
        </w:tc>
        <w:tc>
          <w:tcPr>
            <w:tcW w:w="118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1.55</w:t>
            </w:r>
          </w:p>
        </w:tc>
        <w:tc>
          <w:tcPr>
            <w:tcW w:w="1380"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N/A</w:t>
            </w:r>
          </w:p>
        </w:tc>
        <w:tc>
          <w:tcPr>
            <w:tcW w:w="1502" w:type="dxa"/>
            <w:tcBorders>
              <w:top w:val="nil"/>
              <w:left w:val="nil"/>
              <w:bottom w:val="single" w:sz="8" w:space="0" w:color="448A99"/>
              <w:right w:val="single" w:sz="8" w:space="0" w:color="448A99"/>
            </w:tcBorders>
            <w:shd w:val="clear" w:color="000000" w:fill="D2EAF1"/>
            <w:vAlign w:val="center"/>
            <w:hideMark/>
          </w:tcPr>
          <w:p w:rsidR="00A806A3" w:rsidRPr="00766038" w:rsidRDefault="00A806A3" w:rsidP="00A806A3">
            <w:pPr>
              <w:jc w:val="center"/>
              <w:rPr>
                <w:sz w:val="19"/>
                <w:szCs w:val="19"/>
              </w:rPr>
            </w:pPr>
            <w:r w:rsidRPr="00766038">
              <w:rPr>
                <w:sz w:val="19"/>
                <w:szCs w:val="19"/>
              </w:rPr>
              <w:t>N/A</w:t>
            </w:r>
          </w:p>
        </w:tc>
      </w:tr>
      <w:tr w:rsidR="00E7173E" w:rsidRPr="00766038" w:rsidTr="00705585">
        <w:trPr>
          <w:trHeight w:val="432"/>
        </w:trPr>
        <w:tc>
          <w:tcPr>
            <w:tcW w:w="2060" w:type="dxa"/>
            <w:tcBorders>
              <w:top w:val="nil"/>
              <w:left w:val="single" w:sz="8" w:space="0" w:color="448A99"/>
              <w:bottom w:val="single" w:sz="8" w:space="0" w:color="448A99"/>
              <w:right w:val="single" w:sz="8" w:space="0" w:color="448A99"/>
            </w:tcBorders>
            <w:shd w:val="clear" w:color="auto" w:fill="auto"/>
            <w:vAlign w:val="center"/>
            <w:hideMark/>
          </w:tcPr>
          <w:p w:rsidR="00A806A3" w:rsidRPr="00766038" w:rsidRDefault="00A806A3" w:rsidP="00A806A3">
            <w:pPr>
              <w:jc w:val="left"/>
              <w:rPr>
                <w:color w:val="000000"/>
                <w:sz w:val="19"/>
                <w:szCs w:val="19"/>
              </w:rPr>
            </w:pPr>
            <w:r w:rsidRPr="00766038">
              <w:rPr>
                <w:color w:val="000000"/>
                <w:sz w:val="19"/>
                <w:szCs w:val="19"/>
              </w:rPr>
              <w:t>CO</w:t>
            </w:r>
            <w:r w:rsidRPr="00766038">
              <w:rPr>
                <w:color w:val="000000"/>
                <w:sz w:val="19"/>
                <w:szCs w:val="19"/>
                <w:vertAlign w:val="subscript"/>
              </w:rPr>
              <w:t>2</w:t>
            </w:r>
            <w:r w:rsidRPr="00766038">
              <w:rPr>
                <w:color w:val="000000"/>
                <w:sz w:val="19"/>
                <w:szCs w:val="19"/>
              </w:rPr>
              <w:t xml:space="preserve"> Emissions Reduction (Tons) </w:t>
            </w:r>
            <w:r w:rsidRPr="00766038">
              <w:rPr>
                <w:color w:val="000000"/>
                <w:sz w:val="19"/>
                <w:szCs w:val="19"/>
                <w:vertAlign w:val="superscript"/>
              </w:rPr>
              <w:t>[d][e]</w:t>
            </w:r>
          </w:p>
        </w:tc>
        <w:tc>
          <w:tcPr>
            <w:tcW w:w="112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283,875</w:t>
            </w:r>
          </w:p>
        </w:tc>
        <w:tc>
          <w:tcPr>
            <w:tcW w:w="116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283,725</w:t>
            </w:r>
          </w:p>
        </w:tc>
        <w:tc>
          <w:tcPr>
            <w:tcW w:w="96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36,358</w:t>
            </w:r>
          </w:p>
        </w:tc>
        <w:tc>
          <w:tcPr>
            <w:tcW w:w="118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320,083</w:t>
            </w:r>
          </w:p>
        </w:tc>
        <w:tc>
          <w:tcPr>
            <w:tcW w:w="1380"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N/A</w:t>
            </w:r>
          </w:p>
        </w:tc>
        <w:tc>
          <w:tcPr>
            <w:tcW w:w="1502" w:type="dxa"/>
            <w:tcBorders>
              <w:top w:val="nil"/>
              <w:left w:val="nil"/>
              <w:bottom w:val="single" w:sz="8" w:space="0" w:color="448A99"/>
              <w:right w:val="single" w:sz="8" w:space="0" w:color="448A99"/>
            </w:tcBorders>
            <w:shd w:val="clear" w:color="auto" w:fill="auto"/>
            <w:vAlign w:val="center"/>
            <w:hideMark/>
          </w:tcPr>
          <w:p w:rsidR="00A806A3" w:rsidRPr="00766038" w:rsidRDefault="00A806A3" w:rsidP="00A806A3">
            <w:pPr>
              <w:jc w:val="center"/>
              <w:rPr>
                <w:sz w:val="19"/>
                <w:szCs w:val="19"/>
              </w:rPr>
            </w:pPr>
            <w:r w:rsidRPr="00766038">
              <w:rPr>
                <w:sz w:val="19"/>
                <w:szCs w:val="19"/>
              </w:rPr>
              <w:t>N/A</w:t>
            </w:r>
          </w:p>
        </w:tc>
      </w:tr>
      <w:tr w:rsidR="00A806A3" w:rsidRPr="00705585" w:rsidTr="00766038">
        <w:trPr>
          <w:trHeight w:val="3220"/>
        </w:trPr>
        <w:tc>
          <w:tcPr>
            <w:tcW w:w="9362" w:type="dxa"/>
            <w:gridSpan w:val="7"/>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A806A3" w:rsidRPr="00705585" w:rsidRDefault="00A806A3" w:rsidP="00A806A3">
            <w:pPr>
              <w:jc w:val="left"/>
              <w:rPr>
                <w:color w:val="FFFFFF"/>
                <w:sz w:val="18"/>
                <w:szCs w:val="19"/>
              </w:rPr>
            </w:pPr>
            <w:r w:rsidRPr="00705585">
              <w:rPr>
                <w:color w:val="FFFFFF"/>
                <w:sz w:val="18"/>
                <w:szCs w:val="19"/>
              </w:rPr>
              <w:t xml:space="preserve">NOTES: </w:t>
            </w:r>
            <w:r w:rsidRPr="00705585">
              <w:rPr>
                <w:color w:val="FFFFFF"/>
                <w:sz w:val="18"/>
                <w:szCs w:val="19"/>
              </w:rPr>
              <w:br/>
              <w:t>[a] Avoided supply costs, including the reduction in costs of electric energy, generation, transmission, and distribution capacity. Subject to TRC Order.</w:t>
            </w:r>
            <w:r w:rsidRPr="00705585">
              <w:rPr>
                <w:color w:val="FFFFFF"/>
                <w:sz w:val="18"/>
                <w:szCs w:val="19"/>
              </w:rPr>
              <w:br/>
              <w:t>[b] Costs paid by the program administrator and participants plus the increase in supply costs for any period when load is increased.  Subject to TRC Order.</w:t>
            </w:r>
            <w:r w:rsidRPr="00705585">
              <w:rPr>
                <w:color w:val="FFFFFF"/>
                <w:sz w:val="18"/>
                <w:szCs w:val="19"/>
              </w:rPr>
              <w:br/>
              <w:t>[c] Subject to the Commission’s August 31, 2012 TRC Order.</w:t>
            </w:r>
            <w:r w:rsidRPr="00705585">
              <w:rPr>
                <w:color w:val="FFFFFF"/>
                <w:sz w:val="18"/>
                <w:szCs w:val="19"/>
              </w:rPr>
              <w:br/>
              <w:t>[d] CO</w:t>
            </w:r>
            <w:r w:rsidRPr="00705585">
              <w:rPr>
                <w:color w:val="FFFFFF"/>
                <w:sz w:val="18"/>
                <w:szCs w:val="19"/>
                <w:vertAlign w:val="subscript"/>
              </w:rPr>
              <w:t>2</w:t>
            </w:r>
            <w:r w:rsidRPr="00705585">
              <w:rPr>
                <w:color w:val="FFFFFF"/>
                <w:sz w:val="18"/>
                <w:szCs w:val="19"/>
              </w:rPr>
              <w:t xml:space="preserve"> conversion based on 1,541 </w:t>
            </w:r>
            <w:r w:rsidR="00766038" w:rsidRPr="00705585">
              <w:rPr>
                <w:color w:val="FFFFFF"/>
                <w:sz w:val="18"/>
                <w:szCs w:val="19"/>
              </w:rPr>
              <w:t>lbs.</w:t>
            </w:r>
            <w:r w:rsidRPr="00705585">
              <w:rPr>
                <w:color w:val="FFFFFF"/>
                <w:sz w:val="18"/>
                <w:szCs w:val="19"/>
              </w:rPr>
              <w:t xml:space="preserve"> CO</w:t>
            </w:r>
            <w:r w:rsidRPr="00705585">
              <w:rPr>
                <w:color w:val="FFFFFF"/>
                <w:sz w:val="18"/>
                <w:szCs w:val="19"/>
                <w:vertAlign w:val="subscript"/>
              </w:rPr>
              <w:t>2</w:t>
            </w:r>
            <w:r w:rsidRPr="00705585">
              <w:rPr>
                <w:color w:val="FFFFFF"/>
                <w:sz w:val="18"/>
                <w:szCs w:val="19"/>
              </w:rPr>
              <w:t xml:space="preserve"> per MWh according to the latest available (2015) PJM Emission Report of marginal off-peak annual CO</w:t>
            </w:r>
            <w:r w:rsidRPr="00705585">
              <w:rPr>
                <w:color w:val="FFFFFF"/>
                <w:sz w:val="18"/>
                <w:szCs w:val="19"/>
                <w:vertAlign w:val="subscript"/>
              </w:rPr>
              <w:t>2</w:t>
            </w:r>
            <w:r w:rsidRPr="00705585">
              <w:rPr>
                <w:color w:val="FFFFFF"/>
                <w:sz w:val="18"/>
                <w:szCs w:val="19"/>
              </w:rPr>
              <w:t xml:space="preserve"> emission rate.</w:t>
            </w:r>
            <w:r w:rsidRPr="00705585">
              <w:rPr>
                <w:color w:val="FFFFFF"/>
                <w:sz w:val="18"/>
                <w:szCs w:val="19"/>
              </w:rPr>
              <w:br/>
              <w:t>[e] CO</w:t>
            </w:r>
            <w:r w:rsidRPr="00705585">
              <w:rPr>
                <w:color w:val="FFFFFF"/>
                <w:sz w:val="18"/>
                <w:szCs w:val="19"/>
                <w:vertAlign w:val="subscript"/>
              </w:rPr>
              <w:t>2</w:t>
            </w:r>
            <w:r w:rsidRPr="00705585">
              <w:rPr>
                <w:color w:val="FFFFFF"/>
                <w:sz w:val="18"/>
                <w:szCs w:val="19"/>
              </w:rPr>
              <w:t xml:space="preserve"> emissions are reported due to Stakeholder interest in this information and to recognize that reporting this information is recommended by the National Action Plan for Energy Efficiency.</w:t>
            </w:r>
            <w:r w:rsidRPr="00705585">
              <w:rPr>
                <w:color w:val="FFFFFF"/>
                <w:sz w:val="18"/>
                <w:szCs w:val="19"/>
              </w:rPr>
              <w:br/>
              <w:t>[f] Phase II Reported Gross Impact is the cumulative program/portfolio Phase II Inception to Date Reported Gross Savings.</w:t>
            </w:r>
            <w:r w:rsidRPr="00705585">
              <w:rPr>
                <w:color w:val="FFFFFF"/>
                <w:sz w:val="18"/>
                <w:szCs w:val="19"/>
              </w:rPr>
              <w:br/>
              <w:t>[g] TRC Benefits and Costs are calculated only for verified savings, which reflect actual program results.</w:t>
            </w:r>
            <w:r w:rsidRPr="00705585">
              <w:rPr>
                <w:color w:val="FFFFFF"/>
                <w:sz w:val="18"/>
                <w:szCs w:val="19"/>
              </w:rPr>
              <w:br/>
              <w:t>[h] Phase II Verified Impact is the cumulative program/portfolio Phase II Inception to Date Verified Gross Savings.</w:t>
            </w:r>
            <w:r w:rsidRPr="00705585">
              <w:rPr>
                <w:color w:val="FFFFFF"/>
                <w:sz w:val="18"/>
                <w:szCs w:val="19"/>
              </w:rPr>
              <w:br/>
              <w:t>[i] Savings achieved based on Phase II Inception-to-Date Verified Gross Savings.</w:t>
            </w:r>
          </w:p>
        </w:tc>
      </w:tr>
    </w:tbl>
    <w:p w:rsidR="0043410E" w:rsidRPr="0043410E" w:rsidRDefault="0043410E" w:rsidP="0043410E"/>
    <w:p w:rsidR="00895552" w:rsidRDefault="00A806A3" w:rsidP="00895552">
      <w:r>
        <w:t>Met-Ed</w:t>
      </w:r>
      <w:r w:rsidR="00895552">
        <w:t xml:space="preserve"> </w:t>
      </w:r>
      <w:r w:rsidR="00895552" w:rsidRPr="00A806A3">
        <w:t>achieved 1</w:t>
      </w:r>
      <w:r w:rsidRPr="00A806A3">
        <w:t>2</w:t>
      </w:r>
      <w:r w:rsidR="00895552" w:rsidRPr="00A806A3">
        <w:t>3% of</w:t>
      </w:r>
      <w:r w:rsidR="00895552">
        <w:t xml:space="preserve"> its Act 129 Phase II energy savings target through the end of PY7. The TRC ratio </w:t>
      </w:r>
      <w:r w:rsidR="00895552" w:rsidRPr="00A806A3">
        <w:t xml:space="preserve">of </w:t>
      </w:r>
      <w:r w:rsidRPr="00A806A3">
        <w:t>Met-Ed</w:t>
      </w:r>
      <w:r w:rsidR="00895552" w:rsidRPr="00A806A3">
        <w:t>’s programs was 1.</w:t>
      </w:r>
      <w:r w:rsidRPr="00A806A3">
        <w:t>55</w:t>
      </w:r>
      <w:r w:rsidR="00895552" w:rsidRPr="00A806A3">
        <w:t>, which indicates that its portfolio of EE&amp;C programs is cost-effective on an aggregated basis</w:t>
      </w:r>
      <w:r w:rsidR="00895552">
        <w:t>.</w:t>
      </w:r>
    </w:p>
    <w:p w:rsidR="00895552" w:rsidRDefault="00895552" w:rsidP="00895552"/>
    <w:p w:rsidR="0043410E" w:rsidRDefault="004F1B4F" w:rsidP="00895552">
      <w:r>
        <w:fldChar w:fldCharType="begin"/>
      </w:r>
      <w:r>
        <w:instrText xml:space="preserve"> REF _Ref472409679 \h </w:instrText>
      </w:r>
      <w:r>
        <w:fldChar w:fldCharType="separate"/>
      </w:r>
      <w:r w:rsidR="00037CB4">
        <w:t xml:space="preserve">Figure </w:t>
      </w:r>
      <w:r w:rsidR="00037CB4">
        <w:rPr>
          <w:noProof/>
        </w:rPr>
        <w:t>2</w:t>
      </w:r>
      <w:r w:rsidR="00037CB4">
        <w:noBreakHyphen/>
      </w:r>
      <w:r w:rsidR="00037CB4">
        <w:rPr>
          <w:noProof/>
        </w:rPr>
        <w:t>18</w:t>
      </w:r>
      <w:r>
        <w:fldChar w:fldCharType="end"/>
      </w:r>
      <w:r w:rsidR="00895552">
        <w:t xml:space="preserve"> shows the verified gross savings after each program year during Phase II. The data in this figure does not include carryover savings from Phase </w:t>
      </w:r>
      <w:r w:rsidR="00426848">
        <w:t>I</w:t>
      </w:r>
      <w:r w:rsidR="00895552">
        <w:t xml:space="preserve">. The </w:t>
      </w:r>
      <w:r w:rsidR="00A806A3">
        <w:t>residential</w:t>
      </w:r>
      <w:r w:rsidR="00895552">
        <w:t xml:space="preserve"> sector accounted for the highest savings for </w:t>
      </w:r>
      <w:r w:rsidR="00A806A3">
        <w:t>Met-Ed</w:t>
      </w:r>
      <w:r w:rsidR="00895552">
        <w:t xml:space="preserve"> during Phase II.</w:t>
      </w:r>
    </w:p>
    <w:p w:rsidR="00F3562D" w:rsidRDefault="00F3562D" w:rsidP="00895552"/>
    <w:p w:rsidR="00A806A3" w:rsidRDefault="004F1B4F" w:rsidP="004837FA">
      <w:pPr>
        <w:pStyle w:val="Caption"/>
      </w:pPr>
      <w:bookmarkStart w:id="188" w:name="_Ref472409679"/>
      <w:bookmarkStart w:id="189" w:name="_Toc472472225"/>
      <w:bookmarkStart w:id="190" w:name="_Toc488741804"/>
      <w:r>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18</w:t>
      </w:r>
      <w:r w:rsidR="007973A4">
        <w:rPr>
          <w:noProof/>
        </w:rPr>
        <w:fldChar w:fldCharType="end"/>
      </w:r>
      <w:bookmarkEnd w:id="188"/>
      <w:r>
        <w:t xml:space="preserve">: </w:t>
      </w:r>
      <w:r w:rsidR="00A806A3">
        <w:t>Met-Ed</w:t>
      </w:r>
      <w:r w:rsidR="00A806A3" w:rsidRPr="001928C8">
        <w:t xml:space="preserve"> Phase</w:t>
      </w:r>
      <w:r w:rsidR="00A806A3">
        <w:t xml:space="preserve"> I</w:t>
      </w:r>
      <w:r w:rsidR="00A806A3" w:rsidRPr="001928C8">
        <w:t>I</w:t>
      </w:r>
      <w:r w:rsidR="002E319D" w:rsidRPr="002E319D">
        <w:t xml:space="preserve"> </w:t>
      </w:r>
      <w:r w:rsidR="002E319D">
        <w:t>Cumulative</w:t>
      </w:r>
      <w:r w:rsidR="00A806A3" w:rsidRPr="001928C8">
        <w:t xml:space="preserve"> </w:t>
      </w:r>
      <w:r w:rsidR="00A806A3">
        <w:t>V</w:t>
      </w:r>
      <w:r w:rsidR="00A806A3" w:rsidRPr="001928C8">
        <w:t>erified</w:t>
      </w:r>
      <w:r w:rsidR="00A90285">
        <w:t xml:space="preserve"> Gross</w:t>
      </w:r>
      <w:r w:rsidR="00A806A3" w:rsidRPr="001928C8">
        <w:t xml:space="preserve"> Savings by Program Year and Sector</w:t>
      </w:r>
      <w:bookmarkEnd w:id="189"/>
      <w:bookmarkEnd w:id="190"/>
    </w:p>
    <w:p w:rsidR="00A806A3" w:rsidRPr="0043410E" w:rsidRDefault="00105F3B" w:rsidP="00895552">
      <w:r>
        <w:rPr>
          <w:noProof/>
        </w:rPr>
        <w:drawing>
          <wp:inline distT="0" distB="0" distL="0" distR="0" wp14:anchorId="18538067" wp14:editId="5671B1E1">
            <wp:extent cx="5780598" cy="3373727"/>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2752" cy="3380820"/>
                    </a:xfrm>
                    <a:prstGeom prst="rect">
                      <a:avLst/>
                    </a:prstGeom>
                    <a:noFill/>
                  </pic:spPr>
                </pic:pic>
              </a:graphicData>
            </a:graphic>
          </wp:inline>
        </w:drawing>
      </w:r>
    </w:p>
    <w:p w:rsidR="00D81811" w:rsidRDefault="00D81811" w:rsidP="00B0359A">
      <w:bookmarkStart w:id="191" w:name="_Toc472472098"/>
    </w:p>
    <w:p w:rsidR="006058D6" w:rsidRDefault="006058D6" w:rsidP="00E673F0">
      <w:pPr>
        <w:pStyle w:val="Heading3"/>
      </w:pPr>
      <w:bookmarkStart w:id="192" w:name="_Toc488765791"/>
      <w:r>
        <w:t>Pe</w:t>
      </w:r>
      <w:r w:rsidR="00DD6B4C">
        <w:t>nnsylvania Electric Company</w:t>
      </w:r>
      <w:bookmarkEnd w:id="191"/>
      <w:bookmarkEnd w:id="192"/>
    </w:p>
    <w:p w:rsidR="0043410E" w:rsidRDefault="00F3562D" w:rsidP="0043410E">
      <w:r>
        <w:fldChar w:fldCharType="begin"/>
      </w:r>
      <w:r>
        <w:instrText xml:space="preserve"> REF _Ref473729227 \h </w:instrText>
      </w:r>
      <w:r>
        <w:fldChar w:fldCharType="separate"/>
      </w:r>
      <w:r w:rsidR="00037CB4">
        <w:t xml:space="preserve">Table </w:t>
      </w:r>
      <w:r w:rsidR="00037CB4">
        <w:rPr>
          <w:noProof/>
        </w:rPr>
        <w:t>2</w:t>
      </w:r>
      <w:r w:rsidR="00037CB4">
        <w:noBreakHyphen/>
      </w:r>
      <w:r w:rsidR="00037CB4">
        <w:rPr>
          <w:noProof/>
        </w:rPr>
        <w:t>18</w:t>
      </w:r>
      <w:r>
        <w:fldChar w:fldCharType="end"/>
      </w:r>
      <w:r>
        <w:t xml:space="preserve"> </w:t>
      </w:r>
      <w:r w:rsidR="001E4D27" w:rsidRPr="001E4D27">
        <w:t xml:space="preserve">provides an overview of </w:t>
      </w:r>
      <w:r w:rsidR="00A90285">
        <w:t xml:space="preserve">Penelec’s cumulative reported gross (RG) </w:t>
      </w:r>
      <w:r w:rsidR="00A90285" w:rsidRPr="001E4D27">
        <w:t xml:space="preserve">and verified gross </w:t>
      </w:r>
      <w:r w:rsidR="00A90285">
        <w:t xml:space="preserve">(VG) savings impacts, and carryover (CO) </w:t>
      </w:r>
      <w:r w:rsidR="00A90285" w:rsidRPr="001E4D27">
        <w:t xml:space="preserve">savings since the inception </w:t>
      </w:r>
      <w:r w:rsidR="00A90285">
        <w:t xml:space="preserve">of its </w:t>
      </w:r>
      <w:r w:rsidR="00A90285" w:rsidRPr="001E4D27">
        <w:t>EE&amp;C programs</w:t>
      </w:r>
      <w:r w:rsidR="00A90285">
        <w:t xml:space="preserve"> </w:t>
      </w:r>
      <w:r w:rsidR="00A90285" w:rsidRPr="001E4D27">
        <w:t xml:space="preserve">through </w:t>
      </w:r>
      <w:r w:rsidR="001E4D27" w:rsidRPr="001E4D27">
        <w:t xml:space="preserve">the end of </w:t>
      </w:r>
      <w:r w:rsidR="001E4D27">
        <w:t>Phase II.</w:t>
      </w:r>
    </w:p>
    <w:p w:rsidR="0043410E" w:rsidRDefault="0043410E" w:rsidP="004837FA">
      <w:pPr>
        <w:pStyle w:val="Caption"/>
      </w:pPr>
      <w:bookmarkStart w:id="193" w:name="_Ref472267398"/>
      <w:bookmarkStart w:id="194" w:name="_Ref473729227"/>
      <w:bookmarkStart w:id="195" w:name="_Toc472472171"/>
      <w:bookmarkStart w:id="196" w:name="_Toc488741749"/>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18</w:t>
      </w:r>
      <w:r w:rsidR="007973A4">
        <w:rPr>
          <w:noProof/>
        </w:rPr>
        <w:fldChar w:fldCharType="end"/>
      </w:r>
      <w:bookmarkEnd w:id="193"/>
      <w:bookmarkEnd w:id="194"/>
      <w:r>
        <w:t>:  Summary of Penelec’s Phase II Savings Impacts</w:t>
      </w:r>
      <w:bookmarkEnd w:id="195"/>
      <w:bookmarkEnd w:id="196"/>
    </w:p>
    <w:tbl>
      <w:tblPr>
        <w:tblW w:w="9360" w:type="dxa"/>
        <w:tblInd w:w="-10" w:type="dxa"/>
        <w:tblLayout w:type="fixed"/>
        <w:tblLook w:val="04A0" w:firstRow="1" w:lastRow="0" w:firstColumn="1" w:lastColumn="0" w:noHBand="0" w:noVBand="1"/>
      </w:tblPr>
      <w:tblGrid>
        <w:gridCol w:w="2132"/>
        <w:gridCol w:w="1204"/>
        <w:gridCol w:w="1205"/>
        <w:gridCol w:w="1205"/>
        <w:gridCol w:w="1204"/>
        <w:gridCol w:w="1205"/>
        <w:gridCol w:w="1205"/>
      </w:tblGrid>
      <w:tr w:rsidR="00A874AC" w:rsidRPr="00766038" w:rsidTr="00766038">
        <w:trPr>
          <w:trHeight w:val="825"/>
        </w:trPr>
        <w:tc>
          <w:tcPr>
            <w:tcW w:w="2132"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FB7E70" w:rsidRPr="00766038" w:rsidRDefault="00FB7E70" w:rsidP="00B0359A">
            <w:pPr>
              <w:rPr>
                <w:b/>
                <w:bCs/>
                <w:color w:val="FFFFFF"/>
                <w:sz w:val="19"/>
                <w:szCs w:val="19"/>
              </w:rPr>
            </w:pPr>
            <w:r w:rsidRPr="00766038">
              <w:rPr>
                <w:b/>
                <w:bCs/>
                <w:color w:val="FFFFFF"/>
                <w:sz w:val="19"/>
                <w:szCs w:val="19"/>
              </w:rPr>
              <w:t>Impact</w:t>
            </w:r>
          </w:p>
        </w:tc>
        <w:tc>
          <w:tcPr>
            <w:tcW w:w="1204"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 xml:space="preserve">Phase II RG Savings </w:t>
            </w:r>
            <w:r w:rsidRPr="00766038">
              <w:rPr>
                <w:b/>
                <w:bCs/>
                <w:color w:val="FFFFFF"/>
                <w:sz w:val="19"/>
                <w:szCs w:val="19"/>
                <w:vertAlign w:val="superscript"/>
              </w:rPr>
              <w:t>[f]</w:t>
            </w:r>
          </w:p>
        </w:tc>
        <w:tc>
          <w:tcPr>
            <w:tcW w:w="1205"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 xml:space="preserve">Phase II VG Savings </w:t>
            </w:r>
            <w:r w:rsidRPr="00766038">
              <w:rPr>
                <w:b/>
                <w:bCs/>
                <w:color w:val="FFFFFF"/>
                <w:sz w:val="19"/>
                <w:szCs w:val="19"/>
                <w:vertAlign w:val="superscript"/>
              </w:rPr>
              <w:t>[h]</w:t>
            </w:r>
          </w:p>
        </w:tc>
        <w:tc>
          <w:tcPr>
            <w:tcW w:w="1205"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Phase I CO Savings</w:t>
            </w:r>
          </w:p>
        </w:tc>
        <w:tc>
          <w:tcPr>
            <w:tcW w:w="1204"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Phase II VG + Phase I CO Savings</w:t>
            </w:r>
          </w:p>
        </w:tc>
        <w:tc>
          <w:tcPr>
            <w:tcW w:w="1205"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May 31, 2016 Compliance Target (MWh)</w:t>
            </w:r>
          </w:p>
        </w:tc>
        <w:tc>
          <w:tcPr>
            <w:tcW w:w="1205"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 xml:space="preserve">Savings Achieved as % of 2016 Targets </w:t>
            </w:r>
            <w:r w:rsidRPr="00766038">
              <w:rPr>
                <w:b/>
                <w:bCs/>
                <w:color w:val="FFFFFF"/>
                <w:sz w:val="19"/>
                <w:szCs w:val="19"/>
                <w:vertAlign w:val="superscript"/>
              </w:rPr>
              <w:t>[i]</w:t>
            </w:r>
          </w:p>
        </w:tc>
      </w:tr>
      <w:tr w:rsidR="00A874AC" w:rsidRPr="00766038" w:rsidTr="00766038">
        <w:trPr>
          <w:trHeight w:val="488"/>
        </w:trPr>
        <w:tc>
          <w:tcPr>
            <w:tcW w:w="2132"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766038" w:rsidRDefault="00FB7E70" w:rsidP="00FB7E70">
            <w:pPr>
              <w:jc w:val="left"/>
              <w:rPr>
                <w:color w:val="000000"/>
                <w:sz w:val="19"/>
                <w:szCs w:val="19"/>
              </w:rPr>
            </w:pPr>
            <w:r w:rsidRPr="00766038">
              <w:rPr>
                <w:color w:val="000000"/>
                <w:sz w:val="19"/>
                <w:szCs w:val="19"/>
              </w:rPr>
              <w:t>Total Energy Savings (MWh/yr)</w:t>
            </w:r>
          </w:p>
        </w:tc>
        <w:tc>
          <w:tcPr>
            <w:tcW w:w="1204"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369,044</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368,508</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26,805</w:t>
            </w:r>
          </w:p>
        </w:tc>
        <w:tc>
          <w:tcPr>
            <w:tcW w:w="1204"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395,313</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318,813</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124%</w:t>
            </w:r>
          </w:p>
        </w:tc>
      </w:tr>
      <w:tr w:rsidR="00E7173E" w:rsidRPr="00766038" w:rsidTr="00766038">
        <w:trPr>
          <w:trHeight w:val="488"/>
        </w:trPr>
        <w:tc>
          <w:tcPr>
            <w:tcW w:w="2132" w:type="dxa"/>
            <w:tcBorders>
              <w:top w:val="nil"/>
              <w:left w:val="single" w:sz="8" w:space="0" w:color="448A99"/>
              <w:bottom w:val="single" w:sz="8" w:space="0" w:color="448A99"/>
              <w:right w:val="single" w:sz="8" w:space="0" w:color="448A99"/>
            </w:tcBorders>
            <w:shd w:val="clear" w:color="auto" w:fill="auto"/>
            <w:vAlign w:val="center"/>
            <w:hideMark/>
          </w:tcPr>
          <w:p w:rsidR="00FB7E70" w:rsidRPr="00766038" w:rsidRDefault="00FB7E70" w:rsidP="00FB7E70">
            <w:pPr>
              <w:jc w:val="left"/>
              <w:rPr>
                <w:color w:val="000000"/>
                <w:sz w:val="19"/>
                <w:szCs w:val="19"/>
              </w:rPr>
            </w:pPr>
            <w:r w:rsidRPr="00766038">
              <w:rPr>
                <w:color w:val="000000"/>
                <w:sz w:val="19"/>
                <w:szCs w:val="19"/>
              </w:rPr>
              <w:t>Total Demand Reduction (MW)</w:t>
            </w:r>
          </w:p>
        </w:tc>
        <w:tc>
          <w:tcPr>
            <w:tcW w:w="1204"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44.5</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44.310</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204"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44.310</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r>
      <w:tr w:rsidR="00A874AC" w:rsidRPr="00766038" w:rsidTr="00766038">
        <w:trPr>
          <w:trHeight w:val="488"/>
        </w:trPr>
        <w:tc>
          <w:tcPr>
            <w:tcW w:w="2132"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766038" w:rsidRDefault="00FB7E70" w:rsidP="00FB7E70">
            <w:pPr>
              <w:jc w:val="left"/>
              <w:rPr>
                <w:color w:val="000000"/>
                <w:sz w:val="19"/>
                <w:szCs w:val="19"/>
              </w:rPr>
            </w:pPr>
            <w:r w:rsidRPr="00766038">
              <w:rPr>
                <w:color w:val="000000"/>
                <w:sz w:val="19"/>
                <w:szCs w:val="19"/>
              </w:rPr>
              <w:t xml:space="preserve">TRC Benefits ($1,000) </w:t>
            </w:r>
            <w:r w:rsidRPr="00766038">
              <w:rPr>
                <w:color w:val="000000"/>
                <w:sz w:val="19"/>
                <w:szCs w:val="19"/>
                <w:vertAlign w:val="superscript"/>
              </w:rPr>
              <w:t>[a]</w:t>
            </w:r>
          </w:p>
        </w:tc>
        <w:tc>
          <w:tcPr>
            <w:tcW w:w="1204"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 xml:space="preserve">N/A </w:t>
            </w:r>
            <w:r w:rsidRPr="00766038">
              <w:rPr>
                <w:sz w:val="19"/>
                <w:szCs w:val="19"/>
                <w:vertAlign w:val="superscript"/>
              </w:rPr>
              <w:t>[g]</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$182,288</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c>
          <w:tcPr>
            <w:tcW w:w="1204"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$182,288</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r>
      <w:tr w:rsidR="00E7173E" w:rsidRPr="00766038" w:rsidTr="00766038">
        <w:trPr>
          <w:trHeight w:val="488"/>
        </w:trPr>
        <w:tc>
          <w:tcPr>
            <w:tcW w:w="2132" w:type="dxa"/>
            <w:tcBorders>
              <w:top w:val="nil"/>
              <w:left w:val="single" w:sz="8" w:space="0" w:color="448A99"/>
              <w:bottom w:val="single" w:sz="8" w:space="0" w:color="448A99"/>
              <w:right w:val="single" w:sz="8" w:space="0" w:color="448A99"/>
            </w:tcBorders>
            <w:shd w:val="clear" w:color="auto" w:fill="auto"/>
            <w:vAlign w:val="center"/>
            <w:hideMark/>
          </w:tcPr>
          <w:p w:rsidR="00FB7E70" w:rsidRPr="00766038" w:rsidRDefault="00FB7E70" w:rsidP="00FB7E70">
            <w:pPr>
              <w:jc w:val="left"/>
              <w:rPr>
                <w:color w:val="000000"/>
                <w:sz w:val="19"/>
                <w:szCs w:val="19"/>
              </w:rPr>
            </w:pPr>
            <w:r w:rsidRPr="00766038">
              <w:rPr>
                <w:color w:val="000000"/>
                <w:sz w:val="19"/>
                <w:szCs w:val="19"/>
              </w:rPr>
              <w:t xml:space="preserve">TRC Costs ($1,000) </w:t>
            </w:r>
            <w:r w:rsidRPr="00766038">
              <w:rPr>
                <w:color w:val="000000"/>
                <w:sz w:val="19"/>
                <w:szCs w:val="19"/>
                <w:vertAlign w:val="superscript"/>
              </w:rPr>
              <w:t>[b]</w:t>
            </w:r>
          </w:p>
        </w:tc>
        <w:tc>
          <w:tcPr>
            <w:tcW w:w="1204"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 xml:space="preserve">N/A </w:t>
            </w:r>
            <w:r w:rsidRPr="00766038">
              <w:rPr>
                <w:sz w:val="19"/>
                <w:szCs w:val="19"/>
                <w:vertAlign w:val="superscript"/>
              </w:rPr>
              <w:t>[g]</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$105,480</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204"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$105,480</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r>
      <w:tr w:rsidR="00A874AC" w:rsidRPr="00766038" w:rsidTr="00766038">
        <w:trPr>
          <w:trHeight w:val="488"/>
        </w:trPr>
        <w:tc>
          <w:tcPr>
            <w:tcW w:w="2132"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766038" w:rsidRDefault="00FB7E70" w:rsidP="00A90285">
            <w:pPr>
              <w:jc w:val="left"/>
              <w:rPr>
                <w:color w:val="000000"/>
                <w:sz w:val="19"/>
                <w:szCs w:val="19"/>
              </w:rPr>
            </w:pPr>
            <w:r w:rsidRPr="00766038">
              <w:rPr>
                <w:color w:val="000000"/>
                <w:sz w:val="19"/>
                <w:szCs w:val="19"/>
              </w:rPr>
              <w:t xml:space="preserve">TRC </w:t>
            </w:r>
            <w:r w:rsidR="00A90285" w:rsidRPr="00766038">
              <w:rPr>
                <w:color w:val="000000"/>
                <w:sz w:val="19"/>
                <w:szCs w:val="19"/>
              </w:rPr>
              <w:t>B/C</w:t>
            </w:r>
            <w:r w:rsidRPr="00766038">
              <w:rPr>
                <w:color w:val="000000"/>
                <w:sz w:val="19"/>
                <w:szCs w:val="19"/>
              </w:rPr>
              <w:t xml:space="preserve"> Ratio </w:t>
            </w:r>
            <w:r w:rsidRPr="00766038">
              <w:rPr>
                <w:color w:val="000000"/>
                <w:sz w:val="19"/>
                <w:szCs w:val="19"/>
                <w:vertAlign w:val="superscript"/>
              </w:rPr>
              <w:t>[c]</w:t>
            </w:r>
          </w:p>
        </w:tc>
        <w:tc>
          <w:tcPr>
            <w:tcW w:w="1204"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 xml:space="preserve">N/A </w:t>
            </w:r>
            <w:r w:rsidRPr="00766038">
              <w:rPr>
                <w:sz w:val="19"/>
                <w:szCs w:val="19"/>
                <w:vertAlign w:val="superscript"/>
              </w:rPr>
              <w:t>[g]</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1.73</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c>
          <w:tcPr>
            <w:tcW w:w="1204"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1.73</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c>
          <w:tcPr>
            <w:tcW w:w="1205"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r>
      <w:tr w:rsidR="00E7173E" w:rsidRPr="00766038" w:rsidTr="00766038">
        <w:trPr>
          <w:trHeight w:val="488"/>
        </w:trPr>
        <w:tc>
          <w:tcPr>
            <w:tcW w:w="2132" w:type="dxa"/>
            <w:tcBorders>
              <w:top w:val="nil"/>
              <w:left w:val="single" w:sz="8" w:space="0" w:color="448A99"/>
              <w:bottom w:val="single" w:sz="8" w:space="0" w:color="448A99"/>
              <w:right w:val="single" w:sz="8" w:space="0" w:color="448A99"/>
            </w:tcBorders>
            <w:shd w:val="clear" w:color="auto" w:fill="auto"/>
            <w:vAlign w:val="center"/>
            <w:hideMark/>
          </w:tcPr>
          <w:p w:rsidR="00FB7E70" w:rsidRPr="00766038" w:rsidRDefault="00FB7E70" w:rsidP="00FB7E70">
            <w:pPr>
              <w:jc w:val="left"/>
              <w:rPr>
                <w:color w:val="000000"/>
                <w:sz w:val="19"/>
                <w:szCs w:val="19"/>
              </w:rPr>
            </w:pPr>
            <w:r w:rsidRPr="00766038">
              <w:rPr>
                <w:color w:val="000000"/>
                <w:sz w:val="19"/>
                <w:szCs w:val="19"/>
              </w:rPr>
              <w:t>CO</w:t>
            </w:r>
            <w:r w:rsidRPr="00766038">
              <w:rPr>
                <w:color w:val="000000"/>
                <w:sz w:val="19"/>
                <w:szCs w:val="19"/>
                <w:vertAlign w:val="subscript"/>
              </w:rPr>
              <w:t>2</w:t>
            </w:r>
            <w:r w:rsidRPr="00766038">
              <w:rPr>
                <w:color w:val="000000"/>
                <w:sz w:val="19"/>
                <w:szCs w:val="19"/>
              </w:rPr>
              <w:t xml:space="preserve"> Emissions Reduction (Tons) </w:t>
            </w:r>
            <w:r w:rsidRPr="00766038">
              <w:rPr>
                <w:color w:val="000000"/>
                <w:sz w:val="19"/>
                <w:szCs w:val="19"/>
                <w:vertAlign w:val="superscript"/>
              </w:rPr>
              <w:t>[d][e]</w:t>
            </w:r>
          </w:p>
        </w:tc>
        <w:tc>
          <w:tcPr>
            <w:tcW w:w="1204"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284,348</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283,935</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20,653</w:t>
            </w:r>
          </w:p>
        </w:tc>
        <w:tc>
          <w:tcPr>
            <w:tcW w:w="1204"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304,589</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205"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r>
      <w:tr w:rsidR="00FB7E70" w:rsidRPr="007A007D" w:rsidTr="00766038">
        <w:trPr>
          <w:trHeight w:val="3265"/>
        </w:trPr>
        <w:tc>
          <w:tcPr>
            <w:tcW w:w="9360" w:type="dxa"/>
            <w:gridSpan w:val="7"/>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B7E70" w:rsidRPr="007A007D" w:rsidRDefault="00FB7E70" w:rsidP="00FB7E70">
            <w:pPr>
              <w:jc w:val="left"/>
              <w:rPr>
                <w:color w:val="FFFFFF"/>
                <w:sz w:val="18"/>
                <w:szCs w:val="19"/>
              </w:rPr>
            </w:pPr>
            <w:r w:rsidRPr="007A007D">
              <w:rPr>
                <w:color w:val="FFFFFF"/>
                <w:sz w:val="18"/>
                <w:szCs w:val="19"/>
              </w:rPr>
              <w:t xml:space="preserve">NOTES: </w:t>
            </w:r>
            <w:r w:rsidRPr="007A007D">
              <w:rPr>
                <w:color w:val="FFFFFF"/>
                <w:sz w:val="18"/>
                <w:szCs w:val="19"/>
              </w:rPr>
              <w:br/>
              <w:t>[a] Avoided supply costs, including the reduction in costs of electric energy, generation, transmission, and distribution capacity. Subject to TRC Order.</w:t>
            </w:r>
            <w:r w:rsidRPr="007A007D">
              <w:rPr>
                <w:color w:val="FFFFFF"/>
                <w:sz w:val="18"/>
                <w:szCs w:val="19"/>
              </w:rPr>
              <w:br/>
              <w:t>[b] Costs paid by the program administrator and participants plus the increase in supply costs for any period when load is increased.  Subject to TRC Order.</w:t>
            </w:r>
            <w:r w:rsidRPr="007A007D">
              <w:rPr>
                <w:color w:val="FFFFFF"/>
                <w:sz w:val="18"/>
                <w:szCs w:val="19"/>
              </w:rPr>
              <w:br/>
              <w:t>[c] Subject to the Commission’s August 31, 2012 TRC Order.</w:t>
            </w:r>
            <w:r w:rsidRPr="007A007D">
              <w:rPr>
                <w:color w:val="FFFFFF"/>
                <w:sz w:val="18"/>
                <w:szCs w:val="19"/>
              </w:rPr>
              <w:br/>
              <w:t>[d] CO</w:t>
            </w:r>
            <w:r w:rsidRPr="007A007D">
              <w:rPr>
                <w:color w:val="FFFFFF"/>
                <w:sz w:val="18"/>
                <w:szCs w:val="19"/>
                <w:vertAlign w:val="subscript"/>
              </w:rPr>
              <w:t>2</w:t>
            </w:r>
            <w:r w:rsidRPr="007A007D">
              <w:rPr>
                <w:color w:val="FFFFFF"/>
                <w:sz w:val="18"/>
                <w:szCs w:val="19"/>
              </w:rPr>
              <w:t xml:space="preserve"> conversion based on 1,541 </w:t>
            </w:r>
            <w:r w:rsidR="00766038" w:rsidRPr="007A007D">
              <w:rPr>
                <w:color w:val="FFFFFF"/>
                <w:sz w:val="18"/>
                <w:szCs w:val="19"/>
              </w:rPr>
              <w:t>lbs.</w:t>
            </w:r>
            <w:r w:rsidRPr="007A007D">
              <w:rPr>
                <w:color w:val="FFFFFF"/>
                <w:sz w:val="18"/>
                <w:szCs w:val="19"/>
              </w:rPr>
              <w:t xml:space="preserve"> CO</w:t>
            </w:r>
            <w:r w:rsidRPr="007A007D">
              <w:rPr>
                <w:color w:val="FFFFFF"/>
                <w:sz w:val="18"/>
                <w:szCs w:val="19"/>
                <w:vertAlign w:val="subscript"/>
              </w:rPr>
              <w:t>2</w:t>
            </w:r>
            <w:r w:rsidRPr="007A007D">
              <w:rPr>
                <w:color w:val="FFFFFF"/>
                <w:sz w:val="18"/>
                <w:szCs w:val="19"/>
              </w:rPr>
              <w:t xml:space="preserve"> per MWh according to the latest available (2015) PJM Emission Report of marginal off-peak annual CO</w:t>
            </w:r>
            <w:r w:rsidRPr="007A007D">
              <w:rPr>
                <w:color w:val="FFFFFF"/>
                <w:sz w:val="18"/>
                <w:szCs w:val="19"/>
                <w:vertAlign w:val="subscript"/>
              </w:rPr>
              <w:t>2</w:t>
            </w:r>
            <w:r w:rsidRPr="007A007D">
              <w:rPr>
                <w:color w:val="FFFFFF"/>
                <w:sz w:val="18"/>
                <w:szCs w:val="19"/>
              </w:rPr>
              <w:t xml:space="preserve"> emission rate.</w:t>
            </w:r>
            <w:r w:rsidRPr="007A007D">
              <w:rPr>
                <w:color w:val="FFFFFF"/>
                <w:sz w:val="18"/>
                <w:szCs w:val="19"/>
              </w:rPr>
              <w:br/>
              <w:t>[e] CO</w:t>
            </w:r>
            <w:r w:rsidRPr="007A007D">
              <w:rPr>
                <w:color w:val="FFFFFF"/>
                <w:sz w:val="18"/>
                <w:szCs w:val="19"/>
                <w:vertAlign w:val="subscript"/>
              </w:rPr>
              <w:t>2</w:t>
            </w:r>
            <w:r w:rsidRPr="007A007D">
              <w:rPr>
                <w:color w:val="FFFFFF"/>
                <w:sz w:val="18"/>
                <w:szCs w:val="19"/>
              </w:rPr>
              <w:t xml:space="preserve"> emissions are reported due to Stakeholder interest in this information and to recognize that reporting this information is recommended by the National Action Plan for Energy Efficiency.</w:t>
            </w:r>
            <w:r w:rsidRPr="007A007D">
              <w:rPr>
                <w:color w:val="FFFFFF"/>
                <w:sz w:val="18"/>
                <w:szCs w:val="19"/>
              </w:rPr>
              <w:br/>
              <w:t>[f] Phase II Reported Gross Impact is the cumulative program/portfolio Phase II Inception to Date Reported Gross Savings.</w:t>
            </w:r>
            <w:r w:rsidRPr="007A007D">
              <w:rPr>
                <w:color w:val="FFFFFF"/>
                <w:sz w:val="18"/>
                <w:szCs w:val="19"/>
              </w:rPr>
              <w:br/>
              <w:t>[g] TRC Benefits and Costs are calculated only for verified savings, which reflect actual program results.</w:t>
            </w:r>
            <w:r w:rsidRPr="007A007D">
              <w:rPr>
                <w:color w:val="FFFFFF"/>
                <w:sz w:val="18"/>
                <w:szCs w:val="19"/>
              </w:rPr>
              <w:br/>
              <w:t>[h] Phase II Verified Impact is the cumulative program/portfolio Phase II Inception to Date Verified Gross Savings.</w:t>
            </w:r>
            <w:r w:rsidRPr="007A007D">
              <w:rPr>
                <w:color w:val="FFFFFF"/>
                <w:sz w:val="18"/>
                <w:szCs w:val="19"/>
              </w:rPr>
              <w:br/>
              <w:t>[i] Savings achieved based on Phase II Inception-to-Date Verified Gross Savings.</w:t>
            </w:r>
          </w:p>
        </w:tc>
      </w:tr>
    </w:tbl>
    <w:p w:rsidR="00FB7E70" w:rsidRDefault="00FB7E70" w:rsidP="0043410E"/>
    <w:p w:rsidR="00A806A3" w:rsidRDefault="00FB7E70" w:rsidP="00A806A3">
      <w:r>
        <w:t>Penelec</w:t>
      </w:r>
      <w:r w:rsidR="00A806A3">
        <w:t xml:space="preserve"> </w:t>
      </w:r>
      <w:r w:rsidR="00A806A3" w:rsidRPr="00A806A3">
        <w:t>achieved 12</w:t>
      </w:r>
      <w:r w:rsidR="00326FE0">
        <w:t>4</w:t>
      </w:r>
      <w:r w:rsidR="00A806A3" w:rsidRPr="00A806A3">
        <w:t>% of</w:t>
      </w:r>
      <w:r w:rsidR="00A806A3">
        <w:t xml:space="preserve"> its Act 129 Phase II energy savings target through the end of PY7. The TRC ratio </w:t>
      </w:r>
      <w:r w:rsidR="00A806A3" w:rsidRPr="00A806A3">
        <w:t xml:space="preserve">of </w:t>
      </w:r>
      <w:r>
        <w:t>Penelec</w:t>
      </w:r>
      <w:r w:rsidR="00A806A3" w:rsidRPr="00A806A3">
        <w:t>’s programs was 1.</w:t>
      </w:r>
      <w:r>
        <w:t>73</w:t>
      </w:r>
      <w:r w:rsidR="00A806A3" w:rsidRPr="00A806A3">
        <w:t>, which indicates that its portfolio of EE&amp;C programs is cost-effective on an aggregated basis</w:t>
      </w:r>
      <w:r w:rsidR="00A806A3">
        <w:t>.</w:t>
      </w:r>
    </w:p>
    <w:p w:rsidR="00F3562D" w:rsidRDefault="00F3562D" w:rsidP="00A806A3"/>
    <w:p w:rsidR="00A806A3" w:rsidRDefault="00F3562D" w:rsidP="00A806A3">
      <w:r>
        <w:fldChar w:fldCharType="begin"/>
      </w:r>
      <w:r>
        <w:instrText xml:space="preserve"> REF _Ref473729228 \h </w:instrText>
      </w:r>
      <w:r>
        <w:fldChar w:fldCharType="separate"/>
      </w:r>
      <w:r w:rsidR="00037CB4">
        <w:t xml:space="preserve">Figure </w:t>
      </w:r>
      <w:r w:rsidR="00037CB4">
        <w:rPr>
          <w:noProof/>
        </w:rPr>
        <w:t>2</w:t>
      </w:r>
      <w:r w:rsidR="00037CB4">
        <w:noBreakHyphen/>
      </w:r>
      <w:r w:rsidR="00037CB4">
        <w:rPr>
          <w:noProof/>
        </w:rPr>
        <w:t>19</w:t>
      </w:r>
      <w:r>
        <w:fldChar w:fldCharType="end"/>
      </w:r>
      <w:r>
        <w:t xml:space="preserve"> </w:t>
      </w:r>
      <w:r w:rsidR="00A806A3">
        <w:t xml:space="preserve">shows the verified gross savings after each program year during Phase </w:t>
      </w:r>
      <w:r w:rsidR="00A90285">
        <w:t>II. The data in this figure do</w:t>
      </w:r>
      <w:r w:rsidR="00A806A3">
        <w:t xml:space="preserve"> not include carryover savings from Phase I. The residential sector accounted for the highest savings for </w:t>
      </w:r>
      <w:r w:rsidR="00FB7E70">
        <w:t>Penelec</w:t>
      </w:r>
      <w:r w:rsidR="00A806A3">
        <w:t xml:space="preserve"> during Phase II.</w:t>
      </w:r>
    </w:p>
    <w:p w:rsidR="00A806A3" w:rsidRPr="0043410E" w:rsidRDefault="004F1B4F" w:rsidP="004837FA">
      <w:pPr>
        <w:pStyle w:val="Caption"/>
      </w:pPr>
      <w:bookmarkStart w:id="197" w:name="_Ref472409695"/>
      <w:bookmarkStart w:id="198" w:name="_Ref473729228"/>
      <w:bookmarkStart w:id="199" w:name="_Toc472472226"/>
      <w:bookmarkStart w:id="200" w:name="_Toc488741805"/>
      <w:r>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19</w:t>
      </w:r>
      <w:r w:rsidR="007973A4">
        <w:rPr>
          <w:noProof/>
        </w:rPr>
        <w:fldChar w:fldCharType="end"/>
      </w:r>
      <w:bookmarkEnd w:id="197"/>
      <w:bookmarkEnd w:id="198"/>
      <w:r>
        <w:t xml:space="preserve">: </w:t>
      </w:r>
      <w:r w:rsidR="00FB7E70">
        <w:t>Penelec</w:t>
      </w:r>
      <w:r w:rsidR="00A806A3" w:rsidRPr="001928C8">
        <w:t xml:space="preserve"> Phase</w:t>
      </w:r>
      <w:r w:rsidR="00A806A3">
        <w:t xml:space="preserve"> I</w:t>
      </w:r>
      <w:r w:rsidR="00A806A3" w:rsidRPr="001928C8">
        <w:t xml:space="preserve">I </w:t>
      </w:r>
      <w:r w:rsidR="002E319D">
        <w:t xml:space="preserve">Cumulative </w:t>
      </w:r>
      <w:r w:rsidR="00A806A3">
        <w:t>V</w:t>
      </w:r>
      <w:r w:rsidR="00A806A3" w:rsidRPr="001928C8">
        <w:t>erified</w:t>
      </w:r>
      <w:r w:rsidR="00A90285">
        <w:t xml:space="preserve"> Gross</w:t>
      </w:r>
      <w:r w:rsidR="00A806A3" w:rsidRPr="001928C8">
        <w:t xml:space="preserve"> Savings by Program Year and Sector</w:t>
      </w:r>
      <w:bookmarkEnd w:id="199"/>
      <w:bookmarkEnd w:id="200"/>
    </w:p>
    <w:p w:rsidR="0043410E" w:rsidRDefault="00105F3B" w:rsidP="0043410E">
      <w:r>
        <w:rPr>
          <w:noProof/>
        </w:rPr>
        <w:drawing>
          <wp:inline distT="0" distB="0" distL="0" distR="0" wp14:anchorId="62C1E2FF" wp14:editId="432E3DCF">
            <wp:extent cx="5852160" cy="3142578"/>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2883" cy="3148336"/>
                    </a:xfrm>
                    <a:prstGeom prst="rect">
                      <a:avLst/>
                    </a:prstGeom>
                    <a:noFill/>
                  </pic:spPr>
                </pic:pic>
              </a:graphicData>
            </a:graphic>
          </wp:inline>
        </w:drawing>
      </w:r>
    </w:p>
    <w:p w:rsidR="00910A97" w:rsidRPr="0043410E" w:rsidRDefault="00910A97" w:rsidP="0043410E"/>
    <w:p w:rsidR="006058D6" w:rsidRDefault="006058D6" w:rsidP="00E673F0">
      <w:pPr>
        <w:pStyle w:val="Heading3"/>
      </w:pPr>
      <w:bookmarkStart w:id="201" w:name="_Toc472472099"/>
      <w:bookmarkStart w:id="202" w:name="_Toc488765792"/>
      <w:r>
        <w:t>Penn</w:t>
      </w:r>
      <w:r w:rsidR="00DD6B4C">
        <w:t>sylvania Power Company</w:t>
      </w:r>
      <w:bookmarkEnd w:id="201"/>
      <w:bookmarkEnd w:id="202"/>
    </w:p>
    <w:p w:rsidR="0043410E" w:rsidRDefault="00F3562D" w:rsidP="0043410E">
      <w:r>
        <w:fldChar w:fldCharType="begin"/>
      </w:r>
      <w:r>
        <w:instrText xml:space="preserve"> REF _Ref473729229 \h </w:instrText>
      </w:r>
      <w:r>
        <w:fldChar w:fldCharType="separate"/>
      </w:r>
      <w:r w:rsidR="00037CB4">
        <w:t xml:space="preserve">Table </w:t>
      </w:r>
      <w:r w:rsidR="00037CB4">
        <w:rPr>
          <w:noProof/>
        </w:rPr>
        <w:t>2</w:t>
      </w:r>
      <w:r w:rsidR="00037CB4">
        <w:noBreakHyphen/>
      </w:r>
      <w:r w:rsidR="00037CB4">
        <w:rPr>
          <w:noProof/>
        </w:rPr>
        <w:t>19</w:t>
      </w:r>
      <w:r>
        <w:fldChar w:fldCharType="end"/>
      </w:r>
      <w:r>
        <w:t xml:space="preserve"> </w:t>
      </w:r>
      <w:r w:rsidR="001E4D27" w:rsidRPr="001E4D27">
        <w:t xml:space="preserve">provides an overview of </w:t>
      </w:r>
      <w:r w:rsidR="001E4D27">
        <w:t xml:space="preserve">Penn Power’s </w:t>
      </w:r>
      <w:r w:rsidR="00A90285">
        <w:t xml:space="preserve">cumulative reported gross (RG) </w:t>
      </w:r>
      <w:r w:rsidR="00A90285" w:rsidRPr="001E4D27">
        <w:t xml:space="preserve">and verified gross </w:t>
      </w:r>
      <w:r w:rsidR="00A90285">
        <w:t xml:space="preserve">(VG) savings impacts, and carryover (CO) </w:t>
      </w:r>
      <w:r w:rsidR="00A90285" w:rsidRPr="001E4D27">
        <w:t xml:space="preserve">savings since the inception </w:t>
      </w:r>
      <w:r w:rsidR="00A90285">
        <w:t xml:space="preserve">of its </w:t>
      </w:r>
      <w:r w:rsidR="00A90285" w:rsidRPr="001E4D27">
        <w:t>EE&amp;C program</w:t>
      </w:r>
      <w:r w:rsidR="00A90285">
        <w:t xml:space="preserve">s </w:t>
      </w:r>
      <w:r w:rsidR="00A90285" w:rsidRPr="001E4D27">
        <w:t xml:space="preserve">through </w:t>
      </w:r>
      <w:r w:rsidR="001E4D27" w:rsidRPr="001E4D27">
        <w:t xml:space="preserve">the end of </w:t>
      </w:r>
      <w:r w:rsidR="001E4D27">
        <w:t>Phase II.</w:t>
      </w:r>
    </w:p>
    <w:p w:rsidR="0043410E" w:rsidRDefault="0043410E" w:rsidP="004837FA">
      <w:pPr>
        <w:pStyle w:val="Caption"/>
      </w:pPr>
      <w:bookmarkStart w:id="203" w:name="_Ref472267419"/>
      <w:bookmarkStart w:id="204" w:name="_Ref473729229"/>
      <w:bookmarkStart w:id="205" w:name="_Toc472472172"/>
      <w:bookmarkStart w:id="206" w:name="_Toc488741750"/>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19</w:t>
      </w:r>
      <w:r w:rsidR="007973A4">
        <w:rPr>
          <w:noProof/>
        </w:rPr>
        <w:fldChar w:fldCharType="end"/>
      </w:r>
      <w:bookmarkEnd w:id="203"/>
      <w:bookmarkEnd w:id="204"/>
      <w:r>
        <w:t>:  Summary of Penn Power’s Phase II Savings Impacts</w:t>
      </w:r>
      <w:bookmarkEnd w:id="205"/>
      <w:bookmarkEnd w:id="206"/>
    </w:p>
    <w:tbl>
      <w:tblPr>
        <w:tblW w:w="9450" w:type="dxa"/>
        <w:tblInd w:w="-10" w:type="dxa"/>
        <w:tblLayout w:type="fixed"/>
        <w:tblLook w:val="04A0" w:firstRow="1" w:lastRow="0" w:firstColumn="1" w:lastColumn="0" w:noHBand="0" w:noVBand="1"/>
      </w:tblPr>
      <w:tblGrid>
        <w:gridCol w:w="2330"/>
        <w:gridCol w:w="1170"/>
        <w:gridCol w:w="1170"/>
        <w:gridCol w:w="1170"/>
        <w:gridCol w:w="1170"/>
        <w:gridCol w:w="1170"/>
        <w:gridCol w:w="1270"/>
      </w:tblGrid>
      <w:tr w:rsidR="00A874AC" w:rsidRPr="00766038" w:rsidTr="00766038">
        <w:trPr>
          <w:trHeight w:val="825"/>
        </w:trPr>
        <w:tc>
          <w:tcPr>
            <w:tcW w:w="233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FB7E70" w:rsidRPr="00766038" w:rsidRDefault="00FB7E70" w:rsidP="00B0359A">
            <w:pPr>
              <w:rPr>
                <w:b/>
                <w:bCs/>
                <w:color w:val="FFFFFF"/>
                <w:sz w:val="19"/>
                <w:szCs w:val="19"/>
              </w:rPr>
            </w:pPr>
            <w:r w:rsidRPr="00766038">
              <w:rPr>
                <w:b/>
                <w:bCs/>
                <w:color w:val="FFFFFF"/>
                <w:sz w:val="19"/>
                <w:szCs w:val="19"/>
              </w:rPr>
              <w:t>Impact</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 xml:space="preserve">Phase II RG Savings </w:t>
            </w:r>
            <w:r w:rsidRPr="00766038">
              <w:rPr>
                <w:b/>
                <w:bCs/>
                <w:color w:val="FFFFFF"/>
                <w:sz w:val="19"/>
                <w:szCs w:val="19"/>
                <w:vertAlign w:val="superscript"/>
              </w:rPr>
              <w:t>[f]</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 xml:space="preserve">Phase II VG Savings </w:t>
            </w:r>
            <w:r w:rsidRPr="00766038">
              <w:rPr>
                <w:b/>
                <w:bCs/>
                <w:color w:val="FFFFFF"/>
                <w:sz w:val="19"/>
                <w:szCs w:val="19"/>
                <w:vertAlign w:val="superscript"/>
              </w:rPr>
              <w:t>[h]</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Phase I CO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Phase II VG + Phase I CO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May 31, 2016 Compliance Target (MWh)</w:t>
            </w:r>
          </w:p>
        </w:tc>
        <w:tc>
          <w:tcPr>
            <w:tcW w:w="12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766038" w:rsidRDefault="00FB7E70" w:rsidP="00B0359A">
            <w:pPr>
              <w:jc w:val="center"/>
              <w:rPr>
                <w:b/>
                <w:bCs/>
                <w:color w:val="FFFFFF"/>
                <w:sz w:val="19"/>
                <w:szCs w:val="19"/>
              </w:rPr>
            </w:pPr>
            <w:r w:rsidRPr="00766038">
              <w:rPr>
                <w:b/>
                <w:bCs/>
                <w:color w:val="FFFFFF"/>
                <w:sz w:val="19"/>
                <w:szCs w:val="19"/>
              </w:rPr>
              <w:t xml:space="preserve">Savings Achieved as % of 2016 Targets </w:t>
            </w:r>
            <w:r w:rsidRPr="00766038">
              <w:rPr>
                <w:b/>
                <w:bCs/>
                <w:color w:val="FFFFFF"/>
                <w:sz w:val="19"/>
                <w:szCs w:val="19"/>
                <w:vertAlign w:val="superscript"/>
              </w:rPr>
              <w:t>[i]</w:t>
            </w:r>
          </w:p>
        </w:tc>
      </w:tr>
      <w:tr w:rsidR="00A874AC" w:rsidRPr="00766038" w:rsidTr="00766038">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766038" w:rsidRDefault="00FB7E70" w:rsidP="00FB7E70">
            <w:pPr>
              <w:jc w:val="left"/>
              <w:rPr>
                <w:color w:val="000000"/>
                <w:sz w:val="19"/>
                <w:szCs w:val="19"/>
              </w:rPr>
            </w:pPr>
            <w:r w:rsidRPr="00766038">
              <w:rPr>
                <w:color w:val="000000"/>
                <w:sz w:val="19"/>
                <w:szCs w:val="19"/>
              </w:rPr>
              <w:t>Total Energy Savings (MWh/yr)</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104,933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109,368</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22,580</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131,948</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95,502</w:t>
            </w:r>
          </w:p>
        </w:tc>
        <w:tc>
          <w:tcPr>
            <w:tcW w:w="12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138%</w:t>
            </w:r>
          </w:p>
        </w:tc>
      </w:tr>
      <w:tr w:rsidR="00E7173E" w:rsidRPr="00766038" w:rsidTr="00766038">
        <w:trPr>
          <w:trHeight w:val="488"/>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FB7E70" w:rsidRPr="00766038" w:rsidRDefault="00FB7E70" w:rsidP="00FB7E70">
            <w:pPr>
              <w:jc w:val="left"/>
              <w:rPr>
                <w:color w:val="000000"/>
                <w:sz w:val="19"/>
                <w:szCs w:val="19"/>
              </w:rPr>
            </w:pPr>
            <w:r w:rsidRPr="00766038">
              <w:rPr>
                <w:color w:val="000000"/>
                <w:sz w:val="19"/>
                <w:szCs w:val="19"/>
              </w:rPr>
              <w:t>Total Demand Reduction (MW)</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12.18</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13.210</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13.210</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2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r>
      <w:tr w:rsidR="00A874AC" w:rsidRPr="00766038" w:rsidTr="00766038">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766038" w:rsidRDefault="00FB7E70" w:rsidP="00FB7E70">
            <w:pPr>
              <w:jc w:val="left"/>
              <w:rPr>
                <w:color w:val="000000"/>
                <w:sz w:val="19"/>
                <w:szCs w:val="19"/>
              </w:rPr>
            </w:pPr>
            <w:r w:rsidRPr="00766038">
              <w:rPr>
                <w:color w:val="000000"/>
                <w:sz w:val="19"/>
                <w:szCs w:val="19"/>
              </w:rPr>
              <w:t xml:space="preserve">TRC Benefits ($1,000) </w:t>
            </w:r>
            <w:r w:rsidRPr="00766038">
              <w:rPr>
                <w:color w:val="000000"/>
                <w:sz w:val="19"/>
                <w:szCs w:val="19"/>
                <w:vertAlign w:val="superscript"/>
              </w:rPr>
              <w:t>[a]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 xml:space="preserve">N/A </w:t>
            </w:r>
            <w:r w:rsidRPr="00766038">
              <w:rPr>
                <w:sz w:val="19"/>
                <w:szCs w:val="19"/>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$46,704</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$46,704</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c>
          <w:tcPr>
            <w:tcW w:w="12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r>
      <w:tr w:rsidR="00E7173E" w:rsidRPr="00766038" w:rsidTr="00766038">
        <w:trPr>
          <w:trHeight w:val="488"/>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FB7E70" w:rsidRPr="00766038" w:rsidRDefault="00FB7E70" w:rsidP="00FB7E70">
            <w:pPr>
              <w:jc w:val="left"/>
              <w:rPr>
                <w:color w:val="000000"/>
                <w:sz w:val="19"/>
                <w:szCs w:val="19"/>
              </w:rPr>
            </w:pPr>
            <w:r w:rsidRPr="00766038">
              <w:rPr>
                <w:color w:val="000000"/>
                <w:sz w:val="19"/>
                <w:szCs w:val="19"/>
              </w:rPr>
              <w:t xml:space="preserve">TRC Costs ($1,000) </w:t>
            </w:r>
            <w:r w:rsidRPr="00766038">
              <w:rPr>
                <w:color w:val="000000"/>
                <w:sz w:val="19"/>
                <w:szCs w:val="19"/>
                <w:vertAlign w:val="superscript"/>
              </w:rPr>
              <w:t>[b]</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 xml:space="preserve">N/A </w:t>
            </w:r>
            <w:r w:rsidRPr="00766038">
              <w:rPr>
                <w:sz w:val="19"/>
                <w:szCs w:val="19"/>
                <w:vertAlign w:val="superscript"/>
              </w:rPr>
              <w:t>[g]</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$41,382</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$41,382</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2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r>
      <w:tr w:rsidR="00A874AC" w:rsidRPr="00766038" w:rsidTr="00766038">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766038" w:rsidRDefault="00FB7E70" w:rsidP="00A90285">
            <w:pPr>
              <w:jc w:val="left"/>
              <w:rPr>
                <w:color w:val="000000"/>
                <w:sz w:val="19"/>
                <w:szCs w:val="19"/>
              </w:rPr>
            </w:pPr>
            <w:r w:rsidRPr="00766038">
              <w:rPr>
                <w:color w:val="000000"/>
                <w:sz w:val="19"/>
                <w:szCs w:val="19"/>
              </w:rPr>
              <w:t xml:space="preserve">TRC </w:t>
            </w:r>
            <w:r w:rsidR="00A90285" w:rsidRPr="00766038">
              <w:rPr>
                <w:color w:val="000000"/>
                <w:sz w:val="19"/>
                <w:szCs w:val="19"/>
              </w:rPr>
              <w:t>B/C</w:t>
            </w:r>
            <w:r w:rsidRPr="00766038">
              <w:rPr>
                <w:color w:val="000000"/>
                <w:sz w:val="19"/>
                <w:szCs w:val="19"/>
              </w:rPr>
              <w:t xml:space="preserve"> Ratio </w:t>
            </w:r>
            <w:r w:rsidRPr="00766038">
              <w:rPr>
                <w:color w:val="000000"/>
                <w:sz w:val="19"/>
                <w:szCs w:val="19"/>
                <w:vertAlign w:val="superscript"/>
              </w:rPr>
              <w:t>[c]</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 xml:space="preserve">N/A </w:t>
            </w:r>
            <w:r w:rsidRPr="00766038">
              <w:rPr>
                <w:sz w:val="19"/>
                <w:szCs w:val="19"/>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1.13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1.13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c>
          <w:tcPr>
            <w:tcW w:w="1270" w:type="dxa"/>
            <w:tcBorders>
              <w:top w:val="nil"/>
              <w:left w:val="nil"/>
              <w:bottom w:val="single" w:sz="8" w:space="0" w:color="448A99"/>
              <w:right w:val="single" w:sz="8" w:space="0" w:color="448A99"/>
            </w:tcBorders>
            <w:shd w:val="clear" w:color="000000" w:fill="D2EAF1"/>
            <w:vAlign w:val="center"/>
            <w:hideMark/>
          </w:tcPr>
          <w:p w:rsidR="00FB7E70" w:rsidRPr="00766038" w:rsidRDefault="00FB7E70" w:rsidP="00FB7E70">
            <w:pPr>
              <w:jc w:val="center"/>
              <w:rPr>
                <w:sz w:val="19"/>
                <w:szCs w:val="19"/>
              </w:rPr>
            </w:pPr>
            <w:r w:rsidRPr="00766038">
              <w:rPr>
                <w:sz w:val="19"/>
                <w:szCs w:val="19"/>
              </w:rPr>
              <w:t>N/A</w:t>
            </w:r>
          </w:p>
        </w:tc>
      </w:tr>
      <w:tr w:rsidR="00E7173E" w:rsidRPr="00766038" w:rsidTr="00766038">
        <w:trPr>
          <w:trHeight w:val="488"/>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FB7E70" w:rsidRPr="00766038" w:rsidRDefault="00FB7E70" w:rsidP="00FB7E70">
            <w:pPr>
              <w:jc w:val="left"/>
              <w:rPr>
                <w:color w:val="000000"/>
                <w:sz w:val="19"/>
                <w:szCs w:val="19"/>
              </w:rPr>
            </w:pPr>
            <w:r w:rsidRPr="00766038">
              <w:rPr>
                <w:color w:val="000000"/>
                <w:sz w:val="19"/>
                <w:szCs w:val="19"/>
              </w:rPr>
              <w:t>CO</w:t>
            </w:r>
            <w:r w:rsidRPr="00766038">
              <w:rPr>
                <w:color w:val="000000"/>
                <w:sz w:val="19"/>
                <w:szCs w:val="19"/>
                <w:vertAlign w:val="subscript"/>
              </w:rPr>
              <w:t>2</w:t>
            </w:r>
            <w:r w:rsidRPr="00766038">
              <w:rPr>
                <w:color w:val="000000"/>
                <w:sz w:val="19"/>
                <w:szCs w:val="19"/>
              </w:rPr>
              <w:t xml:space="preserve"> Emissions Reduction (Tons) </w:t>
            </w:r>
            <w:r w:rsidRPr="00766038">
              <w:rPr>
                <w:color w:val="000000"/>
                <w:sz w:val="19"/>
                <w:szCs w:val="19"/>
                <w:vertAlign w:val="superscript"/>
              </w:rPr>
              <w:t>[d][e]</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80,851</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84,268</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17,398</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101,666</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c>
          <w:tcPr>
            <w:tcW w:w="1270" w:type="dxa"/>
            <w:tcBorders>
              <w:top w:val="nil"/>
              <w:left w:val="nil"/>
              <w:bottom w:val="single" w:sz="8" w:space="0" w:color="448A99"/>
              <w:right w:val="single" w:sz="8" w:space="0" w:color="448A99"/>
            </w:tcBorders>
            <w:shd w:val="clear" w:color="auto" w:fill="auto"/>
            <w:vAlign w:val="center"/>
            <w:hideMark/>
          </w:tcPr>
          <w:p w:rsidR="00FB7E70" w:rsidRPr="00766038" w:rsidRDefault="00FB7E70" w:rsidP="00FB7E70">
            <w:pPr>
              <w:jc w:val="center"/>
              <w:rPr>
                <w:sz w:val="19"/>
                <w:szCs w:val="19"/>
              </w:rPr>
            </w:pPr>
            <w:r w:rsidRPr="00766038">
              <w:rPr>
                <w:sz w:val="19"/>
                <w:szCs w:val="19"/>
              </w:rPr>
              <w:t>N/A</w:t>
            </w:r>
          </w:p>
        </w:tc>
      </w:tr>
      <w:tr w:rsidR="00FB7E70" w:rsidRPr="00705585" w:rsidTr="00766038">
        <w:trPr>
          <w:trHeight w:val="3265"/>
        </w:trPr>
        <w:tc>
          <w:tcPr>
            <w:tcW w:w="9450" w:type="dxa"/>
            <w:gridSpan w:val="7"/>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B7E70" w:rsidRPr="00705585" w:rsidRDefault="00FB7E70" w:rsidP="00FB7E70">
            <w:pPr>
              <w:jc w:val="left"/>
              <w:rPr>
                <w:color w:val="FFFFFF"/>
                <w:sz w:val="18"/>
                <w:szCs w:val="19"/>
              </w:rPr>
            </w:pPr>
            <w:r w:rsidRPr="00705585">
              <w:rPr>
                <w:color w:val="FFFFFF"/>
                <w:sz w:val="18"/>
                <w:szCs w:val="19"/>
              </w:rPr>
              <w:t xml:space="preserve">NOTES: </w:t>
            </w:r>
            <w:r w:rsidRPr="00705585">
              <w:rPr>
                <w:color w:val="FFFFFF"/>
                <w:sz w:val="18"/>
                <w:szCs w:val="19"/>
              </w:rPr>
              <w:br/>
              <w:t>[a] Avoided supply costs, including the reduction in costs of electric energy, generation, transmission, and distribution capacity. Subject to TRC Order.</w:t>
            </w:r>
            <w:r w:rsidRPr="00705585">
              <w:rPr>
                <w:color w:val="FFFFFF"/>
                <w:sz w:val="18"/>
                <w:szCs w:val="19"/>
              </w:rPr>
              <w:br/>
              <w:t>[b] Costs paid by the program administrator and participants plus the increase in supply costs for any period when load is increased.  Subject to TRC Order.</w:t>
            </w:r>
            <w:r w:rsidRPr="00705585">
              <w:rPr>
                <w:color w:val="FFFFFF"/>
                <w:sz w:val="18"/>
                <w:szCs w:val="19"/>
              </w:rPr>
              <w:br/>
              <w:t>[c] Subject to the Commission’s August 31, 2012 TRC Order.</w:t>
            </w:r>
            <w:r w:rsidRPr="00705585">
              <w:rPr>
                <w:color w:val="FFFFFF"/>
                <w:sz w:val="18"/>
                <w:szCs w:val="19"/>
              </w:rPr>
              <w:br/>
              <w:t>[d] CO</w:t>
            </w:r>
            <w:r w:rsidRPr="00705585">
              <w:rPr>
                <w:color w:val="FFFFFF"/>
                <w:sz w:val="18"/>
                <w:szCs w:val="19"/>
                <w:vertAlign w:val="subscript"/>
              </w:rPr>
              <w:t>2</w:t>
            </w:r>
            <w:r w:rsidRPr="00705585">
              <w:rPr>
                <w:color w:val="FFFFFF"/>
                <w:sz w:val="18"/>
                <w:szCs w:val="19"/>
              </w:rPr>
              <w:t xml:space="preserve"> conversion based on 1,541 </w:t>
            </w:r>
            <w:r w:rsidR="00766038" w:rsidRPr="00705585">
              <w:rPr>
                <w:color w:val="FFFFFF"/>
                <w:sz w:val="18"/>
                <w:szCs w:val="19"/>
              </w:rPr>
              <w:t>lbs.</w:t>
            </w:r>
            <w:r w:rsidRPr="00705585">
              <w:rPr>
                <w:color w:val="FFFFFF"/>
                <w:sz w:val="18"/>
                <w:szCs w:val="19"/>
              </w:rPr>
              <w:t xml:space="preserve"> CO</w:t>
            </w:r>
            <w:r w:rsidRPr="00705585">
              <w:rPr>
                <w:color w:val="FFFFFF"/>
                <w:sz w:val="18"/>
                <w:szCs w:val="19"/>
                <w:vertAlign w:val="subscript"/>
              </w:rPr>
              <w:t>2</w:t>
            </w:r>
            <w:r w:rsidRPr="00705585">
              <w:rPr>
                <w:color w:val="FFFFFF"/>
                <w:sz w:val="18"/>
                <w:szCs w:val="19"/>
              </w:rPr>
              <w:t xml:space="preserve"> per MWh according to the latest available (2015) PJM Emission Report of marginal off-peak annual CO</w:t>
            </w:r>
            <w:r w:rsidRPr="00705585">
              <w:rPr>
                <w:color w:val="FFFFFF"/>
                <w:sz w:val="18"/>
                <w:szCs w:val="19"/>
                <w:vertAlign w:val="subscript"/>
              </w:rPr>
              <w:t>2</w:t>
            </w:r>
            <w:r w:rsidRPr="00705585">
              <w:rPr>
                <w:color w:val="FFFFFF"/>
                <w:sz w:val="18"/>
                <w:szCs w:val="19"/>
              </w:rPr>
              <w:t xml:space="preserve"> emission rate.</w:t>
            </w:r>
            <w:r w:rsidRPr="00705585">
              <w:rPr>
                <w:color w:val="FFFFFF"/>
                <w:sz w:val="18"/>
                <w:szCs w:val="19"/>
              </w:rPr>
              <w:br/>
              <w:t>[e] CO</w:t>
            </w:r>
            <w:r w:rsidRPr="00705585">
              <w:rPr>
                <w:color w:val="FFFFFF"/>
                <w:sz w:val="18"/>
                <w:szCs w:val="19"/>
                <w:vertAlign w:val="subscript"/>
              </w:rPr>
              <w:t>2</w:t>
            </w:r>
            <w:r w:rsidRPr="00705585">
              <w:rPr>
                <w:color w:val="FFFFFF"/>
                <w:sz w:val="18"/>
                <w:szCs w:val="19"/>
              </w:rPr>
              <w:t xml:space="preserve"> emissions are reported due to Stakeholder interest in this information and to recognize that reporting this information is recommended by the National Action Plan for Energy Efficiency.</w:t>
            </w:r>
            <w:r w:rsidRPr="00705585">
              <w:rPr>
                <w:color w:val="FFFFFF"/>
                <w:sz w:val="18"/>
                <w:szCs w:val="19"/>
              </w:rPr>
              <w:br/>
              <w:t>[f] Phase II Reported Gross Impact is the cumulative program/portfolio Phase II Inception to Date Reported Gross Savings.</w:t>
            </w:r>
            <w:r w:rsidRPr="00705585">
              <w:rPr>
                <w:color w:val="FFFFFF"/>
                <w:sz w:val="18"/>
                <w:szCs w:val="19"/>
              </w:rPr>
              <w:br/>
              <w:t>[g] TRC Benefits and Costs are calculated only for verified savings, which reflect actual program results.</w:t>
            </w:r>
            <w:r w:rsidRPr="00705585">
              <w:rPr>
                <w:color w:val="FFFFFF"/>
                <w:sz w:val="18"/>
                <w:szCs w:val="19"/>
              </w:rPr>
              <w:br/>
              <w:t>[h] Phase II Verified Impact is the cumulative program/portfolio Phase II Inception to Date Verified Gross Savings.</w:t>
            </w:r>
            <w:r w:rsidRPr="00705585">
              <w:rPr>
                <w:color w:val="FFFFFF"/>
                <w:sz w:val="18"/>
                <w:szCs w:val="19"/>
              </w:rPr>
              <w:br/>
              <w:t>[i] Savings achieved based on Phase II Inception-to-Date Verified Gross Savings.</w:t>
            </w:r>
          </w:p>
        </w:tc>
      </w:tr>
    </w:tbl>
    <w:p w:rsidR="0043410E" w:rsidRPr="00705585" w:rsidRDefault="0043410E" w:rsidP="00705585"/>
    <w:p w:rsidR="00A806A3" w:rsidRPr="00766038" w:rsidRDefault="00FB7E70" w:rsidP="00766038">
      <w:r w:rsidRPr="00766038">
        <w:t>Penn Power</w:t>
      </w:r>
      <w:r w:rsidR="00A806A3" w:rsidRPr="00766038">
        <w:t xml:space="preserve"> achieved 1</w:t>
      </w:r>
      <w:r w:rsidRPr="00766038">
        <w:t>38</w:t>
      </w:r>
      <w:r w:rsidR="00A806A3" w:rsidRPr="00766038">
        <w:t xml:space="preserve">% of its Act 129 Phase II energy savings target through the end of PY7. The TRC ratio of </w:t>
      </w:r>
      <w:r w:rsidRPr="00766038">
        <w:t>Penn Power</w:t>
      </w:r>
      <w:r w:rsidR="00A806A3" w:rsidRPr="00766038">
        <w:t>’s programs was 1.</w:t>
      </w:r>
      <w:r w:rsidRPr="00766038">
        <w:t>13</w:t>
      </w:r>
      <w:r w:rsidR="00A806A3" w:rsidRPr="00766038">
        <w:t>, which indicates that its portfolio of EE&amp;C programs is cost-effective on an aggregated basis.</w:t>
      </w:r>
    </w:p>
    <w:p w:rsidR="00F3562D" w:rsidRPr="00766038" w:rsidRDefault="00F3562D" w:rsidP="00766038"/>
    <w:p w:rsidR="00A806A3" w:rsidRPr="00766038" w:rsidRDefault="00F3562D" w:rsidP="00766038">
      <w:r w:rsidRPr="00766038">
        <w:fldChar w:fldCharType="begin"/>
      </w:r>
      <w:r w:rsidRPr="00766038">
        <w:instrText xml:space="preserve"> REF _Ref473729233 \h </w:instrText>
      </w:r>
      <w:r w:rsidRPr="00766038">
        <w:fldChar w:fldCharType="separate"/>
      </w:r>
      <w:r w:rsidR="00766038">
        <w:t xml:space="preserve">Figure </w:t>
      </w:r>
      <w:r w:rsidR="00766038">
        <w:rPr>
          <w:noProof/>
        </w:rPr>
        <w:t>2</w:t>
      </w:r>
      <w:r w:rsidR="00766038">
        <w:noBreakHyphen/>
      </w:r>
      <w:r w:rsidR="00766038">
        <w:rPr>
          <w:noProof/>
        </w:rPr>
        <w:t>20</w:t>
      </w:r>
      <w:r w:rsidRPr="00766038">
        <w:fldChar w:fldCharType="end"/>
      </w:r>
      <w:r w:rsidRPr="00766038">
        <w:t xml:space="preserve"> </w:t>
      </w:r>
      <w:r w:rsidR="00A806A3" w:rsidRPr="00766038">
        <w:t xml:space="preserve">shows the verified gross savings after each program year during Phase II. The data in this figure do not include carryover savings from Phase I. The residential sector accounted for the highest savings for </w:t>
      </w:r>
      <w:r w:rsidR="00FB7E70" w:rsidRPr="00766038">
        <w:t>Penn Power</w:t>
      </w:r>
      <w:r w:rsidR="00A806A3" w:rsidRPr="00766038">
        <w:t xml:space="preserve"> during Phase II.</w:t>
      </w:r>
    </w:p>
    <w:p w:rsidR="00E711F9" w:rsidRDefault="00E711F9" w:rsidP="00E711F9">
      <w:bookmarkStart w:id="207" w:name="_Ref472409715"/>
      <w:bookmarkStart w:id="208" w:name="_Toc472472227"/>
    </w:p>
    <w:p w:rsidR="00A806A3" w:rsidRPr="0043410E" w:rsidRDefault="004F1B4F" w:rsidP="004837FA">
      <w:pPr>
        <w:pStyle w:val="Caption"/>
      </w:pPr>
      <w:bookmarkStart w:id="209" w:name="_Ref473729233"/>
      <w:bookmarkStart w:id="210" w:name="_Toc488741806"/>
      <w:r>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20</w:t>
      </w:r>
      <w:r w:rsidR="007973A4">
        <w:rPr>
          <w:noProof/>
        </w:rPr>
        <w:fldChar w:fldCharType="end"/>
      </w:r>
      <w:bookmarkEnd w:id="207"/>
      <w:bookmarkEnd w:id="209"/>
      <w:r>
        <w:t xml:space="preserve">: </w:t>
      </w:r>
      <w:r w:rsidR="00FB7E70">
        <w:t>Penn Power</w:t>
      </w:r>
      <w:r w:rsidR="00A806A3" w:rsidRPr="001928C8">
        <w:t xml:space="preserve"> Phase</w:t>
      </w:r>
      <w:r w:rsidR="00A806A3">
        <w:t xml:space="preserve"> I</w:t>
      </w:r>
      <w:r w:rsidR="00A806A3" w:rsidRPr="001928C8">
        <w:t xml:space="preserve">I </w:t>
      </w:r>
      <w:r w:rsidR="002E319D">
        <w:t xml:space="preserve">Cumulative </w:t>
      </w:r>
      <w:r w:rsidR="00A806A3">
        <w:t>V</w:t>
      </w:r>
      <w:r w:rsidR="00A806A3" w:rsidRPr="001928C8">
        <w:t>erified</w:t>
      </w:r>
      <w:r w:rsidR="00A90285">
        <w:t xml:space="preserve"> Gross</w:t>
      </w:r>
      <w:r w:rsidR="00A806A3" w:rsidRPr="001928C8">
        <w:t xml:space="preserve"> Savings by Program Year and Sector</w:t>
      </w:r>
      <w:bookmarkEnd w:id="208"/>
      <w:bookmarkEnd w:id="210"/>
    </w:p>
    <w:p w:rsidR="0043410E" w:rsidRDefault="0043410E" w:rsidP="0043410E"/>
    <w:p w:rsidR="00236BF4" w:rsidRDefault="00105F3B" w:rsidP="0043410E">
      <w:r>
        <w:rPr>
          <w:noProof/>
        </w:rPr>
        <w:drawing>
          <wp:inline distT="0" distB="0" distL="0" distR="0" wp14:anchorId="6005FAA0" wp14:editId="606CB074">
            <wp:extent cx="5661329" cy="3040103"/>
            <wp:effectExtent l="0" t="0" r="0" b="825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1875" cy="3045766"/>
                    </a:xfrm>
                    <a:prstGeom prst="rect">
                      <a:avLst/>
                    </a:prstGeom>
                    <a:noFill/>
                  </pic:spPr>
                </pic:pic>
              </a:graphicData>
            </a:graphic>
          </wp:inline>
        </w:drawing>
      </w:r>
    </w:p>
    <w:p w:rsidR="00823FE0" w:rsidRDefault="00823FE0" w:rsidP="0043410E"/>
    <w:p w:rsidR="006058D6" w:rsidRDefault="006058D6" w:rsidP="00E673F0">
      <w:pPr>
        <w:pStyle w:val="Heading3"/>
      </w:pPr>
      <w:bookmarkStart w:id="211" w:name="_Toc472472100"/>
      <w:bookmarkStart w:id="212" w:name="_Toc488765793"/>
      <w:r>
        <w:t>West Penn Power</w:t>
      </w:r>
      <w:bookmarkEnd w:id="211"/>
      <w:bookmarkEnd w:id="212"/>
    </w:p>
    <w:p w:rsidR="0043410E" w:rsidRDefault="00F3562D" w:rsidP="0043410E">
      <w:r>
        <w:fldChar w:fldCharType="begin"/>
      </w:r>
      <w:r>
        <w:instrText xml:space="preserve"> REF _Ref473729255 \h </w:instrText>
      </w:r>
      <w:r>
        <w:fldChar w:fldCharType="separate"/>
      </w:r>
      <w:r w:rsidR="00037CB4">
        <w:t xml:space="preserve">Table </w:t>
      </w:r>
      <w:r w:rsidR="00037CB4">
        <w:rPr>
          <w:noProof/>
        </w:rPr>
        <w:t>2</w:t>
      </w:r>
      <w:r w:rsidR="00037CB4">
        <w:noBreakHyphen/>
      </w:r>
      <w:r w:rsidR="00037CB4">
        <w:rPr>
          <w:noProof/>
        </w:rPr>
        <w:t>20</w:t>
      </w:r>
      <w:r>
        <w:fldChar w:fldCharType="end"/>
      </w:r>
      <w:r>
        <w:t xml:space="preserve"> </w:t>
      </w:r>
      <w:r w:rsidR="00046A62" w:rsidRPr="001E4D27">
        <w:t xml:space="preserve">provides an overview of </w:t>
      </w:r>
      <w:r w:rsidR="00046A62">
        <w:t xml:space="preserve">West Penn’s </w:t>
      </w:r>
      <w:r w:rsidR="00A90285">
        <w:t xml:space="preserve">cumulative reported gross (RG) </w:t>
      </w:r>
      <w:r w:rsidR="00A90285" w:rsidRPr="001E4D27">
        <w:t xml:space="preserve">and verified gross </w:t>
      </w:r>
      <w:r w:rsidR="00A90285">
        <w:t xml:space="preserve">(VG) savings impacts, and carryover (CO) </w:t>
      </w:r>
      <w:r w:rsidR="00A90285" w:rsidRPr="001E4D27">
        <w:t>savings since the inception</w:t>
      </w:r>
      <w:r w:rsidR="00A90285">
        <w:t xml:space="preserve"> of its </w:t>
      </w:r>
      <w:r w:rsidR="00A90285" w:rsidRPr="001E4D27">
        <w:t>EE&amp;C programs through</w:t>
      </w:r>
      <w:r w:rsidR="00046A62" w:rsidRPr="001E4D27">
        <w:t xml:space="preserve"> the end of </w:t>
      </w:r>
      <w:r w:rsidR="00046A62">
        <w:t>Phase II.</w:t>
      </w:r>
    </w:p>
    <w:p w:rsidR="0043410E" w:rsidRDefault="0043410E" w:rsidP="004837FA">
      <w:pPr>
        <w:pStyle w:val="Caption"/>
      </w:pPr>
      <w:bookmarkStart w:id="213" w:name="_Ref472267483"/>
      <w:bookmarkStart w:id="214" w:name="_Ref473729255"/>
      <w:bookmarkStart w:id="215" w:name="_Toc472472173"/>
      <w:bookmarkStart w:id="216" w:name="_Toc488741751"/>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20</w:t>
      </w:r>
      <w:r w:rsidR="007973A4">
        <w:rPr>
          <w:noProof/>
        </w:rPr>
        <w:fldChar w:fldCharType="end"/>
      </w:r>
      <w:bookmarkEnd w:id="213"/>
      <w:bookmarkEnd w:id="214"/>
      <w:r>
        <w:t>:  Summary of West Penn</w:t>
      </w:r>
      <w:r w:rsidR="00046A62">
        <w:t>’s</w:t>
      </w:r>
      <w:r>
        <w:t xml:space="preserve"> Phase II Savings Impacts</w:t>
      </w:r>
      <w:bookmarkEnd w:id="215"/>
      <w:bookmarkEnd w:id="216"/>
    </w:p>
    <w:tbl>
      <w:tblPr>
        <w:tblW w:w="9392" w:type="dxa"/>
        <w:tblInd w:w="-10" w:type="dxa"/>
        <w:tblLayout w:type="fixed"/>
        <w:tblLook w:val="04A0" w:firstRow="1" w:lastRow="0" w:firstColumn="1" w:lastColumn="0" w:noHBand="0" w:noVBand="1"/>
      </w:tblPr>
      <w:tblGrid>
        <w:gridCol w:w="2132"/>
        <w:gridCol w:w="1170"/>
        <w:gridCol w:w="1170"/>
        <w:gridCol w:w="1170"/>
        <w:gridCol w:w="1170"/>
        <w:gridCol w:w="1378"/>
        <w:gridCol w:w="1188"/>
        <w:gridCol w:w="14"/>
      </w:tblGrid>
      <w:tr w:rsidR="00A874AC" w:rsidRPr="00766038" w:rsidTr="00766038">
        <w:trPr>
          <w:gridAfter w:val="1"/>
          <w:wAfter w:w="14" w:type="dxa"/>
          <w:trHeight w:val="825"/>
        </w:trPr>
        <w:tc>
          <w:tcPr>
            <w:tcW w:w="2132"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D34138" w:rsidRPr="00766038" w:rsidRDefault="00D34138" w:rsidP="00D06AEA">
            <w:pPr>
              <w:rPr>
                <w:b/>
                <w:bCs/>
                <w:color w:val="FFFFFF"/>
                <w:sz w:val="19"/>
                <w:szCs w:val="19"/>
              </w:rPr>
            </w:pPr>
            <w:r w:rsidRPr="00766038">
              <w:rPr>
                <w:b/>
                <w:bCs/>
                <w:color w:val="FFFFFF"/>
                <w:sz w:val="19"/>
                <w:szCs w:val="19"/>
              </w:rPr>
              <w:t>Impact</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D06AEA">
            <w:pPr>
              <w:jc w:val="center"/>
              <w:rPr>
                <w:b/>
                <w:bCs/>
                <w:color w:val="FFFFFF"/>
                <w:sz w:val="19"/>
                <w:szCs w:val="19"/>
              </w:rPr>
            </w:pPr>
            <w:r w:rsidRPr="00766038">
              <w:rPr>
                <w:b/>
                <w:bCs/>
                <w:color w:val="FFFFFF"/>
                <w:sz w:val="19"/>
                <w:szCs w:val="19"/>
              </w:rPr>
              <w:t xml:space="preserve">Phase II RG Savings </w:t>
            </w:r>
            <w:r w:rsidRPr="00766038">
              <w:rPr>
                <w:b/>
                <w:bCs/>
                <w:color w:val="FFFFFF"/>
                <w:sz w:val="19"/>
                <w:szCs w:val="19"/>
                <w:vertAlign w:val="superscript"/>
              </w:rPr>
              <w:t>[f]</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D06AEA">
            <w:pPr>
              <w:jc w:val="center"/>
              <w:rPr>
                <w:b/>
                <w:bCs/>
                <w:color w:val="FFFFFF"/>
                <w:sz w:val="19"/>
                <w:szCs w:val="19"/>
              </w:rPr>
            </w:pPr>
            <w:r w:rsidRPr="00766038">
              <w:rPr>
                <w:b/>
                <w:bCs/>
                <w:color w:val="FFFFFF"/>
                <w:sz w:val="19"/>
                <w:szCs w:val="19"/>
              </w:rPr>
              <w:t xml:space="preserve">Phase II VG Savings </w:t>
            </w:r>
            <w:r w:rsidRPr="00766038">
              <w:rPr>
                <w:b/>
                <w:bCs/>
                <w:color w:val="FFFFFF"/>
                <w:sz w:val="19"/>
                <w:szCs w:val="19"/>
                <w:vertAlign w:val="superscript"/>
              </w:rPr>
              <w:t>[h]</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D06AEA">
            <w:pPr>
              <w:jc w:val="center"/>
              <w:rPr>
                <w:b/>
                <w:bCs/>
                <w:color w:val="FFFFFF"/>
                <w:sz w:val="19"/>
                <w:szCs w:val="19"/>
              </w:rPr>
            </w:pPr>
            <w:r w:rsidRPr="00766038">
              <w:rPr>
                <w:b/>
                <w:bCs/>
                <w:color w:val="FFFFFF"/>
                <w:sz w:val="19"/>
                <w:szCs w:val="19"/>
              </w:rPr>
              <w:t>Phase I CO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D06AEA">
            <w:pPr>
              <w:jc w:val="center"/>
              <w:rPr>
                <w:b/>
                <w:bCs/>
                <w:color w:val="FFFFFF"/>
                <w:sz w:val="19"/>
                <w:szCs w:val="19"/>
              </w:rPr>
            </w:pPr>
            <w:r w:rsidRPr="00766038">
              <w:rPr>
                <w:b/>
                <w:bCs/>
                <w:color w:val="FFFFFF"/>
                <w:sz w:val="19"/>
                <w:szCs w:val="19"/>
              </w:rPr>
              <w:t>Phase II VG + Phase I CO Savings</w:t>
            </w:r>
          </w:p>
        </w:tc>
        <w:tc>
          <w:tcPr>
            <w:tcW w:w="1378"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D06AEA">
            <w:pPr>
              <w:jc w:val="center"/>
              <w:rPr>
                <w:b/>
                <w:bCs/>
                <w:color w:val="FFFFFF"/>
                <w:sz w:val="19"/>
                <w:szCs w:val="19"/>
              </w:rPr>
            </w:pPr>
            <w:r w:rsidRPr="00766038">
              <w:rPr>
                <w:b/>
                <w:bCs/>
                <w:color w:val="FFFFFF"/>
                <w:sz w:val="19"/>
                <w:szCs w:val="19"/>
              </w:rPr>
              <w:t>May 31, 2016 Compliance Target (MWh)</w:t>
            </w:r>
          </w:p>
        </w:tc>
        <w:tc>
          <w:tcPr>
            <w:tcW w:w="1188"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D06AEA">
            <w:pPr>
              <w:jc w:val="center"/>
              <w:rPr>
                <w:b/>
                <w:bCs/>
                <w:color w:val="FFFFFF"/>
                <w:sz w:val="19"/>
                <w:szCs w:val="19"/>
              </w:rPr>
            </w:pPr>
            <w:r w:rsidRPr="00766038">
              <w:rPr>
                <w:b/>
                <w:bCs/>
                <w:color w:val="FFFFFF"/>
                <w:sz w:val="19"/>
                <w:szCs w:val="19"/>
              </w:rPr>
              <w:t xml:space="preserve">Savings Achieved as % of 2016 Targets </w:t>
            </w:r>
            <w:r w:rsidRPr="00766038">
              <w:rPr>
                <w:b/>
                <w:bCs/>
                <w:color w:val="FFFFFF"/>
                <w:sz w:val="19"/>
                <w:szCs w:val="19"/>
                <w:vertAlign w:val="superscript"/>
              </w:rPr>
              <w:t>[i]</w:t>
            </w:r>
          </w:p>
        </w:tc>
      </w:tr>
      <w:tr w:rsidR="00A874AC" w:rsidRPr="00766038" w:rsidTr="00766038">
        <w:trPr>
          <w:gridAfter w:val="1"/>
          <w:wAfter w:w="14" w:type="dxa"/>
          <w:trHeight w:val="488"/>
        </w:trPr>
        <w:tc>
          <w:tcPr>
            <w:tcW w:w="2132"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766038" w:rsidRDefault="00D34138" w:rsidP="00D34138">
            <w:pPr>
              <w:jc w:val="left"/>
              <w:rPr>
                <w:color w:val="000000"/>
                <w:sz w:val="19"/>
                <w:szCs w:val="19"/>
              </w:rPr>
            </w:pPr>
            <w:r w:rsidRPr="00766038">
              <w:rPr>
                <w:color w:val="000000"/>
                <w:sz w:val="19"/>
                <w:szCs w:val="19"/>
              </w:rPr>
              <w:t>Total Energy Savings (MWh/yr)</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357,544</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358,073</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59,929</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418,002</w:t>
            </w:r>
          </w:p>
        </w:tc>
        <w:tc>
          <w:tcPr>
            <w:tcW w:w="1378"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337,533</w:t>
            </w:r>
          </w:p>
        </w:tc>
        <w:tc>
          <w:tcPr>
            <w:tcW w:w="1188"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124%</w:t>
            </w:r>
          </w:p>
        </w:tc>
      </w:tr>
      <w:tr w:rsidR="00E7173E" w:rsidRPr="00766038" w:rsidTr="00766038">
        <w:trPr>
          <w:gridAfter w:val="1"/>
          <w:wAfter w:w="14" w:type="dxa"/>
          <w:trHeight w:val="488"/>
        </w:trPr>
        <w:tc>
          <w:tcPr>
            <w:tcW w:w="2132" w:type="dxa"/>
            <w:tcBorders>
              <w:top w:val="nil"/>
              <w:left w:val="single" w:sz="8" w:space="0" w:color="448A99"/>
              <w:bottom w:val="single" w:sz="8" w:space="0" w:color="448A99"/>
              <w:right w:val="single" w:sz="8" w:space="0" w:color="448A99"/>
            </w:tcBorders>
            <w:shd w:val="clear" w:color="auto" w:fill="auto"/>
            <w:vAlign w:val="center"/>
            <w:hideMark/>
          </w:tcPr>
          <w:p w:rsidR="00D34138" w:rsidRPr="00766038" w:rsidRDefault="00D34138" w:rsidP="00D34138">
            <w:pPr>
              <w:jc w:val="left"/>
              <w:rPr>
                <w:color w:val="000000"/>
                <w:sz w:val="19"/>
                <w:szCs w:val="19"/>
              </w:rPr>
            </w:pPr>
            <w:r w:rsidRPr="00766038">
              <w:rPr>
                <w:color w:val="000000"/>
                <w:sz w:val="19"/>
                <w:szCs w:val="19"/>
              </w:rPr>
              <w:t>Total Demand Reduction (MW)</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44.27</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44.370</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44.370</w:t>
            </w:r>
          </w:p>
        </w:tc>
        <w:tc>
          <w:tcPr>
            <w:tcW w:w="1378"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8"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r>
      <w:tr w:rsidR="00A874AC" w:rsidRPr="00766038" w:rsidTr="00766038">
        <w:trPr>
          <w:gridAfter w:val="1"/>
          <w:wAfter w:w="14" w:type="dxa"/>
          <w:trHeight w:val="488"/>
        </w:trPr>
        <w:tc>
          <w:tcPr>
            <w:tcW w:w="2132"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766038" w:rsidRDefault="00D34138" w:rsidP="00D34138">
            <w:pPr>
              <w:jc w:val="left"/>
              <w:rPr>
                <w:color w:val="000000"/>
                <w:sz w:val="19"/>
                <w:szCs w:val="19"/>
              </w:rPr>
            </w:pPr>
            <w:r w:rsidRPr="00766038">
              <w:rPr>
                <w:color w:val="000000"/>
                <w:sz w:val="19"/>
                <w:szCs w:val="19"/>
              </w:rPr>
              <w:t xml:space="preserve">TRC Benefits ($1,000) </w:t>
            </w:r>
            <w:r w:rsidRPr="00766038">
              <w:rPr>
                <w:color w:val="000000"/>
                <w:sz w:val="19"/>
                <w:szCs w:val="19"/>
                <w:vertAlign w:val="superscript"/>
              </w:rPr>
              <w:t>[a]</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 xml:space="preserve">N/A </w:t>
            </w:r>
            <w:r w:rsidRPr="00766038">
              <w:rPr>
                <w:sz w:val="19"/>
                <w:szCs w:val="19"/>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$177,034</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$177,034</w:t>
            </w:r>
          </w:p>
        </w:tc>
        <w:tc>
          <w:tcPr>
            <w:tcW w:w="1378"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88"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r>
      <w:tr w:rsidR="00E7173E" w:rsidRPr="00766038" w:rsidTr="00766038">
        <w:trPr>
          <w:gridAfter w:val="1"/>
          <w:wAfter w:w="14" w:type="dxa"/>
          <w:trHeight w:val="488"/>
        </w:trPr>
        <w:tc>
          <w:tcPr>
            <w:tcW w:w="2132" w:type="dxa"/>
            <w:tcBorders>
              <w:top w:val="nil"/>
              <w:left w:val="single" w:sz="8" w:space="0" w:color="448A99"/>
              <w:bottom w:val="single" w:sz="8" w:space="0" w:color="448A99"/>
              <w:right w:val="single" w:sz="8" w:space="0" w:color="448A99"/>
            </w:tcBorders>
            <w:shd w:val="clear" w:color="auto" w:fill="auto"/>
            <w:vAlign w:val="center"/>
            <w:hideMark/>
          </w:tcPr>
          <w:p w:rsidR="00D34138" w:rsidRPr="00766038" w:rsidRDefault="00D34138" w:rsidP="00D34138">
            <w:pPr>
              <w:jc w:val="left"/>
              <w:rPr>
                <w:color w:val="000000"/>
                <w:sz w:val="19"/>
                <w:szCs w:val="19"/>
              </w:rPr>
            </w:pPr>
            <w:r w:rsidRPr="00766038">
              <w:rPr>
                <w:color w:val="000000"/>
                <w:sz w:val="19"/>
                <w:szCs w:val="19"/>
              </w:rPr>
              <w:t xml:space="preserve">TRC Costs ($1,000) </w:t>
            </w:r>
            <w:r w:rsidRPr="00766038">
              <w:rPr>
                <w:color w:val="000000"/>
                <w:sz w:val="19"/>
                <w:szCs w:val="19"/>
                <w:vertAlign w:val="superscript"/>
              </w:rPr>
              <w:t>[b]</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 xml:space="preserve">N/A </w:t>
            </w:r>
            <w:r w:rsidRPr="00766038">
              <w:rPr>
                <w:sz w:val="19"/>
                <w:szCs w:val="19"/>
                <w:vertAlign w:val="superscript"/>
              </w:rPr>
              <w:t>[g]</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$91,780</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$91,780</w:t>
            </w:r>
          </w:p>
        </w:tc>
        <w:tc>
          <w:tcPr>
            <w:tcW w:w="1378"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8"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r>
      <w:tr w:rsidR="00A874AC" w:rsidRPr="00766038" w:rsidTr="00766038">
        <w:trPr>
          <w:gridAfter w:val="1"/>
          <w:wAfter w:w="14" w:type="dxa"/>
          <w:trHeight w:val="488"/>
        </w:trPr>
        <w:tc>
          <w:tcPr>
            <w:tcW w:w="2132"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766038" w:rsidRDefault="00D34138" w:rsidP="00E82812">
            <w:pPr>
              <w:jc w:val="left"/>
              <w:rPr>
                <w:color w:val="000000"/>
                <w:sz w:val="19"/>
                <w:szCs w:val="19"/>
              </w:rPr>
            </w:pPr>
            <w:r w:rsidRPr="00766038">
              <w:rPr>
                <w:color w:val="000000"/>
                <w:sz w:val="19"/>
                <w:szCs w:val="19"/>
              </w:rPr>
              <w:t xml:space="preserve">TRC </w:t>
            </w:r>
            <w:r w:rsidR="00E82812" w:rsidRPr="00766038">
              <w:rPr>
                <w:color w:val="000000"/>
                <w:sz w:val="19"/>
                <w:szCs w:val="19"/>
              </w:rPr>
              <w:t>B/C</w:t>
            </w:r>
            <w:r w:rsidRPr="00766038">
              <w:rPr>
                <w:color w:val="000000"/>
                <w:sz w:val="19"/>
                <w:szCs w:val="19"/>
              </w:rPr>
              <w:t xml:space="preserve"> Ratio </w:t>
            </w:r>
            <w:r w:rsidRPr="00766038">
              <w:rPr>
                <w:color w:val="000000"/>
                <w:sz w:val="19"/>
                <w:szCs w:val="19"/>
                <w:vertAlign w:val="superscript"/>
              </w:rPr>
              <w:t>[c]</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 xml:space="preserve">N/A </w:t>
            </w:r>
            <w:r w:rsidRPr="00766038">
              <w:rPr>
                <w:sz w:val="19"/>
                <w:szCs w:val="19"/>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1.93</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1.93</w:t>
            </w:r>
          </w:p>
        </w:tc>
        <w:tc>
          <w:tcPr>
            <w:tcW w:w="1378"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88"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r>
      <w:tr w:rsidR="00E7173E" w:rsidRPr="00766038" w:rsidTr="00766038">
        <w:trPr>
          <w:gridAfter w:val="1"/>
          <w:wAfter w:w="14" w:type="dxa"/>
          <w:trHeight w:val="489"/>
        </w:trPr>
        <w:tc>
          <w:tcPr>
            <w:tcW w:w="2132" w:type="dxa"/>
            <w:tcBorders>
              <w:top w:val="nil"/>
              <w:left w:val="single" w:sz="8" w:space="0" w:color="448A99"/>
              <w:bottom w:val="single" w:sz="8" w:space="0" w:color="448A99"/>
              <w:right w:val="single" w:sz="8" w:space="0" w:color="448A99"/>
            </w:tcBorders>
            <w:shd w:val="clear" w:color="auto" w:fill="auto"/>
            <w:vAlign w:val="center"/>
            <w:hideMark/>
          </w:tcPr>
          <w:p w:rsidR="00D34138" w:rsidRPr="00766038" w:rsidRDefault="00D34138" w:rsidP="00D34138">
            <w:pPr>
              <w:jc w:val="left"/>
              <w:rPr>
                <w:color w:val="000000"/>
                <w:sz w:val="19"/>
                <w:szCs w:val="19"/>
              </w:rPr>
            </w:pPr>
            <w:r w:rsidRPr="00766038">
              <w:rPr>
                <w:color w:val="000000"/>
                <w:sz w:val="19"/>
                <w:szCs w:val="19"/>
              </w:rPr>
              <w:t>CO</w:t>
            </w:r>
            <w:r w:rsidRPr="00766038">
              <w:rPr>
                <w:color w:val="000000"/>
                <w:sz w:val="19"/>
                <w:szCs w:val="19"/>
                <w:vertAlign w:val="subscript"/>
              </w:rPr>
              <w:t>2</w:t>
            </w:r>
            <w:r w:rsidRPr="00766038">
              <w:rPr>
                <w:color w:val="000000"/>
                <w:sz w:val="19"/>
                <w:szCs w:val="19"/>
              </w:rPr>
              <w:t xml:space="preserve"> Emissions Reduction (Tons) </w:t>
            </w:r>
            <w:r w:rsidRPr="00766038">
              <w:rPr>
                <w:color w:val="000000"/>
                <w:sz w:val="19"/>
                <w:szCs w:val="19"/>
                <w:vertAlign w:val="superscript"/>
              </w:rPr>
              <w:t>[d][e]</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275,488</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275,895</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46,175</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322,071</w:t>
            </w:r>
          </w:p>
        </w:tc>
        <w:tc>
          <w:tcPr>
            <w:tcW w:w="1378"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8"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r>
      <w:tr w:rsidR="00D34138" w:rsidRPr="007A007D" w:rsidTr="00766038">
        <w:trPr>
          <w:trHeight w:val="3175"/>
        </w:trPr>
        <w:tc>
          <w:tcPr>
            <w:tcW w:w="9392" w:type="dxa"/>
            <w:gridSpan w:val="8"/>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D34138" w:rsidRPr="007A007D" w:rsidRDefault="00D34138" w:rsidP="00D34138">
            <w:pPr>
              <w:jc w:val="left"/>
              <w:rPr>
                <w:color w:val="FFFFFF"/>
                <w:sz w:val="18"/>
                <w:szCs w:val="19"/>
              </w:rPr>
            </w:pPr>
            <w:r w:rsidRPr="007A007D">
              <w:rPr>
                <w:color w:val="FFFFFF"/>
                <w:sz w:val="18"/>
                <w:szCs w:val="19"/>
              </w:rPr>
              <w:t xml:space="preserve">NOTES: </w:t>
            </w:r>
            <w:r w:rsidRPr="007A007D">
              <w:rPr>
                <w:color w:val="FFFFFF"/>
                <w:sz w:val="18"/>
                <w:szCs w:val="19"/>
              </w:rPr>
              <w:br/>
              <w:t>[a] Avoided supply costs, including the reduction in costs of electric energy, generation, transmission, and distribution capacity. Subject to TRC Order.</w:t>
            </w:r>
            <w:r w:rsidRPr="007A007D">
              <w:rPr>
                <w:color w:val="FFFFFF"/>
                <w:sz w:val="18"/>
                <w:szCs w:val="19"/>
              </w:rPr>
              <w:br/>
              <w:t>[b] Costs paid by the program administrator and participants plus the increase in supply costs for any period when load is increased.  Subject to TRC Order.</w:t>
            </w:r>
            <w:r w:rsidRPr="007A007D">
              <w:rPr>
                <w:color w:val="FFFFFF"/>
                <w:sz w:val="18"/>
                <w:szCs w:val="19"/>
              </w:rPr>
              <w:br/>
              <w:t>[c] Subject to the Commission’s August 31, 2012 TRC Order.</w:t>
            </w:r>
            <w:r w:rsidRPr="007A007D">
              <w:rPr>
                <w:color w:val="FFFFFF"/>
                <w:sz w:val="18"/>
                <w:szCs w:val="19"/>
              </w:rPr>
              <w:br/>
              <w:t>[d] CO</w:t>
            </w:r>
            <w:r w:rsidRPr="007A007D">
              <w:rPr>
                <w:color w:val="FFFFFF"/>
                <w:sz w:val="18"/>
                <w:szCs w:val="19"/>
                <w:vertAlign w:val="subscript"/>
              </w:rPr>
              <w:t>2</w:t>
            </w:r>
            <w:r w:rsidRPr="007A007D">
              <w:rPr>
                <w:color w:val="FFFFFF"/>
                <w:sz w:val="18"/>
                <w:szCs w:val="19"/>
              </w:rPr>
              <w:t xml:space="preserve"> conversion based on 1,541 lbs CO</w:t>
            </w:r>
            <w:r w:rsidRPr="007A007D">
              <w:rPr>
                <w:color w:val="FFFFFF"/>
                <w:sz w:val="18"/>
                <w:szCs w:val="19"/>
                <w:vertAlign w:val="subscript"/>
              </w:rPr>
              <w:t>2</w:t>
            </w:r>
            <w:r w:rsidRPr="007A007D">
              <w:rPr>
                <w:color w:val="FFFFFF"/>
                <w:sz w:val="18"/>
                <w:szCs w:val="19"/>
              </w:rPr>
              <w:t xml:space="preserve"> per MWh according to the latest available (2015) PJM Emission Report of marginal off-peak annual CO</w:t>
            </w:r>
            <w:r w:rsidRPr="007A007D">
              <w:rPr>
                <w:color w:val="FFFFFF"/>
                <w:sz w:val="18"/>
                <w:szCs w:val="19"/>
                <w:vertAlign w:val="subscript"/>
              </w:rPr>
              <w:t>2</w:t>
            </w:r>
            <w:r w:rsidRPr="007A007D">
              <w:rPr>
                <w:color w:val="FFFFFF"/>
                <w:sz w:val="18"/>
                <w:szCs w:val="19"/>
              </w:rPr>
              <w:t xml:space="preserve"> emission rate.</w:t>
            </w:r>
            <w:r w:rsidRPr="007A007D">
              <w:rPr>
                <w:color w:val="FFFFFF"/>
                <w:sz w:val="18"/>
                <w:szCs w:val="19"/>
              </w:rPr>
              <w:br/>
              <w:t>[e] CO</w:t>
            </w:r>
            <w:r w:rsidRPr="007A007D">
              <w:rPr>
                <w:color w:val="FFFFFF"/>
                <w:sz w:val="18"/>
                <w:szCs w:val="19"/>
                <w:vertAlign w:val="subscript"/>
              </w:rPr>
              <w:t>2</w:t>
            </w:r>
            <w:r w:rsidRPr="007A007D">
              <w:rPr>
                <w:color w:val="FFFFFF"/>
                <w:sz w:val="18"/>
                <w:szCs w:val="19"/>
              </w:rPr>
              <w:t xml:space="preserve"> emissions are reported due to Stakeholder interest in this information and to recognize that reporting this information is recommended by the National Action Plan for Energy Efficiency.</w:t>
            </w:r>
            <w:r w:rsidRPr="007A007D">
              <w:rPr>
                <w:color w:val="FFFFFF"/>
                <w:sz w:val="18"/>
                <w:szCs w:val="19"/>
              </w:rPr>
              <w:br/>
              <w:t>[f] Phase II Reported Gross Impact is the cumulative program/portfolio Phase II Inception to Date Reported Gross Savings.</w:t>
            </w:r>
            <w:r w:rsidRPr="007A007D">
              <w:rPr>
                <w:color w:val="FFFFFF"/>
                <w:sz w:val="18"/>
                <w:szCs w:val="19"/>
              </w:rPr>
              <w:br/>
              <w:t>[g] TRC Benefits and Costs are calculated only for verified savings, which reflect actual program results.</w:t>
            </w:r>
            <w:r w:rsidRPr="007A007D">
              <w:rPr>
                <w:color w:val="FFFFFF"/>
                <w:sz w:val="18"/>
                <w:szCs w:val="19"/>
              </w:rPr>
              <w:br/>
              <w:t>[h] Phase II Verified Impact is the cumulative program/portfolio Phase II Inception to Date Verified Gross Savings.</w:t>
            </w:r>
            <w:r w:rsidRPr="007A007D">
              <w:rPr>
                <w:color w:val="FFFFFF"/>
                <w:sz w:val="18"/>
                <w:szCs w:val="19"/>
              </w:rPr>
              <w:br/>
              <w:t>[i] Savings achieved based on Phase II Inception-to-Date Verified Gross Savings.</w:t>
            </w:r>
          </w:p>
        </w:tc>
      </w:tr>
    </w:tbl>
    <w:p w:rsidR="0043410E" w:rsidRDefault="0043410E" w:rsidP="0043410E"/>
    <w:p w:rsidR="00A806A3" w:rsidRDefault="00236BF4" w:rsidP="00A806A3">
      <w:r>
        <w:t>West Penn</w:t>
      </w:r>
      <w:r w:rsidR="00A806A3">
        <w:t xml:space="preserve"> </w:t>
      </w:r>
      <w:r w:rsidR="00A806A3" w:rsidRPr="00A806A3">
        <w:t>achieved 12</w:t>
      </w:r>
      <w:r>
        <w:t>4</w:t>
      </w:r>
      <w:r w:rsidR="00A806A3" w:rsidRPr="00A806A3">
        <w:t>% of</w:t>
      </w:r>
      <w:r w:rsidR="00A806A3">
        <w:t xml:space="preserve"> its Act 129 Phase II energy savings target through the end of PY7. The TRC ratio </w:t>
      </w:r>
      <w:r w:rsidR="00A806A3" w:rsidRPr="00A806A3">
        <w:t xml:space="preserve">of </w:t>
      </w:r>
      <w:r w:rsidR="007A3A5F">
        <w:t>West Penn</w:t>
      </w:r>
      <w:r w:rsidR="00A806A3" w:rsidRPr="00A806A3">
        <w:t>’s programs was 1.</w:t>
      </w:r>
      <w:r>
        <w:t>93</w:t>
      </w:r>
      <w:r w:rsidR="00A806A3" w:rsidRPr="00A806A3">
        <w:t>, which indicates that its portfolio of EE&amp;C programs is cost-effective on an aggregated basis</w:t>
      </w:r>
      <w:r w:rsidR="00A806A3">
        <w:t>.</w:t>
      </w:r>
    </w:p>
    <w:p w:rsidR="00D06AEA" w:rsidRDefault="00D06AEA" w:rsidP="00A806A3"/>
    <w:p w:rsidR="00A806A3" w:rsidRPr="00D06AEA" w:rsidRDefault="00D06AEA" w:rsidP="00D06AEA">
      <w:r w:rsidRPr="00D06AEA">
        <w:fldChar w:fldCharType="begin"/>
      </w:r>
      <w:r w:rsidRPr="00D06AEA">
        <w:instrText xml:space="preserve"> REF _Ref473708060 \h </w:instrText>
      </w:r>
      <w:r w:rsidRPr="00D06AEA">
        <w:fldChar w:fldCharType="separate"/>
      </w:r>
      <w:r w:rsidR="00037CB4">
        <w:t xml:space="preserve">Figure </w:t>
      </w:r>
      <w:r w:rsidR="00037CB4">
        <w:rPr>
          <w:noProof/>
        </w:rPr>
        <w:t>2</w:t>
      </w:r>
      <w:r w:rsidR="00037CB4">
        <w:noBreakHyphen/>
      </w:r>
      <w:r w:rsidR="00037CB4">
        <w:rPr>
          <w:noProof/>
        </w:rPr>
        <w:t>21</w:t>
      </w:r>
      <w:r w:rsidRPr="00D06AEA">
        <w:fldChar w:fldCharType="end"/>
      </w:r>
      <w:r w:rsidRPr="00D06AEA">
        <w:t xml:space="preserve"> </w:t>
      </w:r>
      <w:r w:rsidR="00A806A3" w:rsidRPr="00D06AEA">
        <w:t xml:space="preserve">shows the verified gross savings after each program year during Phase </w:t>
      </w:r>
      <w:r w:rsidR="00A90285" w:rsidRPr="00D06AEA">
        <w:t>II. The data in this figure do</w:t>
      </w:r>
      <w:r w:rsidR="00A806A3" w:rsidRPr="00D06AEA">
        <w:t xml:space="preserve"> not include carryover savings from Phase I. The residential sector accounted for the highest savings for </w:t>
      </w:r>
      <w:r w:rsidR="00236BF4" w:rsidRPr="00D06AEA">
        <w:t>West Penn</w:t>
      </w:r>
      <w:r w:rsidR="00A806A3" w:rsidRPr="00D06AEA">
        <w:t xml:space="preserve"> during Phase II.</w:t>
      </w:r>
    </w:p>
    <w:p w:rsidR="00A806A3" w:rsidRDefault="00A806A3" w:rsidP="00A806A3"/>
    <w:p w:rsidR="00A806A3" w:rsidRDefault="004F1B4F" w:rsidP="004837FA">
      <w:pPr>
        <w:pStyle w:val="Caption"/>
      </w:pPr>
      <w:bookmarkStart w:id="217" w:name="_Ref472409731"/>
      <w:bookmarkStart w:id="218" w:name="_Ref473708060"/>
      <w:bookmarkStart w:id="219" w:name="_Toc472472228"/>
      <w:bookmarkStart w:id="220" w:name="_Toc488741807"/>
      <w:r>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21</w:t>
      </w:r>
      <w:r w:rsidR="007973A4">
        <w:rPr>
          <w:noProof/>
        </w:rPr>
        <w:fldChar w:fldCharType="end"/>
      </w:r>
      <w:bookmarkEnd w:id="217"/>
      <w:bookmarkEnd w:id="218"/>
      <w:r>
        <w:t xml:space="preserve">: </w:t>
      </w:r>
      <w:r w:rsidR="00236BF4">
        <w:t xml:space="preserve">West Penn </w:t>
      </w:r>
      <w:r w:rsidR="00A806A3" w:rsidRPr="001928C8">
        <w:t>Phase</w:t>
      </w:r>
      <w:r w:rsidR="00A806A3">
        <w:t xml:space="preserve"> I</w:t>
      </w:r>
      <w:r w:rsidR="00A806A3" w:rsidRPr="001928C8">
        <w:t xml:space="preserve">I </w:t>
      </w:r>
      <w:r w:rsidR="002E319D">
        <w:t xml:space="preserve">Cumulative </w:t>
      </w:r>
      <w:r w:rsidR="00A806A3">
        <w:t>V</w:t>
      </w:r>
      <w:r w:rsidR="00A806A3" w:rsidRPr="001928C8">
        <w:t xml:space="preserve">erified </w:t>
      </w:r>
      <w:r w:rsidR="00A90285">
        <w:t xml:space="preserve">Gross </w:t>
      </w:r>
      <w:r w:rsidR="00A806A3" w:rsidRPr="001928C8">
        <w:t>Savings by Program Year and Sector</w:t>
      </w:r>
      <w:bookmarkEnd w:id="219"/>
      <w:bookmarkEnd w:id="220"/>
    </w:p>
    <w:p w:rsidR="00D34138" w:rsidRPr="0043410E" w:rsidRDefault="00105F3B" w:rsidP="00D81811">
      <w:pPr>
        <w:jc w:val="center"/>
      </w:pPr>
      <w:r>
        <w:rPr>
          <w:noProof/>
        </w:rPr>
        <w:drawing>
          <wp:inline distT="0" distB="0" distL="0" distR="0" wp14:anchorId="44BA344C" wp14:editId="0BD62C73">
            <wp:extent cx="5629275" cy="3022890"/>
            <wp:effectExtent l="0" t="0" r="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7819" cy="3032848"/>
                    </a:xfrm>
                    <a:prstGeom prst="rect">
                      <a:avLst/>
                    </a:prstGeom>
                    <a:noFill/>
                  </pic:spPr>
                </pic:pic>
              </a:graphicData>
            </a:graphic>
          </wp:inline>
        </w:drawing>
      </w:r>
    </w:p>
    <w:p w:rsidR="007B6E5B" w:rsidRDefault="007B6E5B" w:rsidP="0043410E"/>
    <w:p w:rsidR="00DD6B4C" w:rsidRDefault="00DD6B4C" w:rsidP="00E673F0">
      <w:pPr>
        <w:pStyle w:val="Heading3"/>
      </w:pPr>
      <w:bookmarkStart w:id="221" w:name="_Toc472472101"/>
      <w:bookmarkStart w:id="222" w:name="_Toc488765794"/>
      <w:r>
        <w:t>PECO Energy</w:t>
      </w:r>
      <w:bookmarkEnd w:id="221"/>
      <w:bookmarkEnd w:id="222"/>
    </w:p>
    <w:p w:rsidR="0043410E" w:rsidRDefault="00F3562D" w:rsidP="0043410E">
      <w:r>
        <w:fldChar w:fldCharType="begin"/>
      </w:r>
      <w:r>
        <w:instrText xml:space="preserve"> REF _Ref473729276 \h </w:instrText>
      </w:r>
      <w:r>
        <w:fldChar w:fldCharType="separate"/>
      </w:r>
      <w:r w:rsidR="00037CB4">
        <w:t xml:space="preserve">Table </w:t>
      </w:r>
      <w:r w:rsidR="00037CB4">
        <w:rPr>
          <w:noProof/>
        </w:rPr>
        <w:t>2</w:t>
      </w:r>
      <w:r w:rsidR="00037CB4">
        <w:noBreakHyphen/>
      </w:r>
      <w:r w:rsidR="00037CB4">
        <w:rPr>
          <w:noProof/>
        </w:rPr>
        <w:t>21</w:t>
      </w:r>
      <w:r>
        <w:fldChar w:fldCharType="end"/>
      </w:r>
      <w:r>
        <w:t xml:space="preserve"> </w:t>
      </w:r>
      <w:r w:rsidR="00046A62" w:rsidRPr="001E4D27">
        <w:t xml:space="preserve">provides an overview of </w:t>
      </w:r>
      <w:r w:rsidR="00046A62">
        <w:t xml:space="preserve">PECO’s cumulative </w:t>
      </w:r>
      <w:r w:rsidR="00A90285">
        <w:t xml:space="preserve">reported gross (RG) </w:t>
      </w:r>
      <w:r w:rsidR="00A90285" w:rsidRPr="001E4D27">
        <w:t xml:space="preserve">and verified gross </w:t>
      </w:r>
      <w:r w:rsidR="00A90285">
        <w:t xml:space="preserve">(VG) savings impacts, and carryover (CO) </w:t>
      </w:r>
      <w:r w:rsidR="00A90285" w:rsidRPr="001E4D27">
        <w:t xml:space="preserve">savings since the inception </w:t>
      </w:r>
      <w:r w:rsidR="00A90285">
        <w:t xml:space="preserve">of its </w:t>
      </w:r>
      <w:r w:rsidR="00A90285" w:rsidRPr="001E4D27">
        <w:t>EE&amp;C programs</w:t>
      </w:r>
      <w:r w:rsidR="00A90285">
        <w:t xml:space="preserve"> </w:t>
      </w:r>
      <w:r w:rsidR="00A90285" w:rsidRPr="001E4D27">
        <w:t xml:space="preserve">through </w:t>
      </w:r>
      <w:r w:rsidR="00046A62" w:rsidRPr="001E4D27">
        <w:t xml:space="preserve">the end of </w:t>
      </w:r>
      <w:r w:rsidR="00046A62">
        <w:t>Phase II.</w:t>
      </w:r>
    </w:p>
    <w:p w:rsidR="00D06AEA" w:rsidRDefault="00D06AEA" w:rsidP="000F5A29">
      <w:bookmarkStart w:id="223" w:name="_Ref472267518"/>
      <w:bookmarkStart w:id="224" w:name="_Toc472472174"/>
    </w:p>
    <w:p w:rsidR="0039002E" w:rsidRDefault="0039002E" w:rsidP="000F5A29"/>
    <w:p w:rsidR="0043410E" w:rsidRDefault="0043410E" w:rsidP="004837FA">
      <w:pPr>
        <w:pStyle w:val="Caption"/>
      </w:pPr>
      <w:bookmarkStart w:id="225" w:name="_Ref473729276"/>
      <w:bookmarkStart w:id="226" w:name="_Toc488741752"/>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21</w:t>
      </w:r>
      <w:r w:rsidR="007973A4">
        <w:rPr>
          <w:noProof/>
        </w:rPr>
        <w:fldChar w:fldCharType="end"/>
      </w:r>
      <w:bookmarkEnd w:id="223"/>
      <w:bookmarkEnd w:id="225"/>
      <w:r>
        <w:t>:  Summary of PECO</w:t>
      </w:r>
      <w:r w:rsidR="00A90285">
        <w:t>’s</w:t>
      </w:r>
      <w:r>
        <w:t xml:space="preserve"> Phase II Savings Impacts</w:t>
      </w:r>
      <w:bookmarkEnd w:id="224"/>
      <w:bookmarkEnd w:id="226"/>
    </w:p>
    <w:tbl>
      <w:tblPr>
        <w:tblW w:w="9398" w:type="dxa"/>
        <w:tblInd w:w="-10" w:type="dxa"/>
        <w:tblLayout w:type="fixed"/>
        <w:tblLook w:val="04A0" w:firstRow="1" w:lastRow="0" w:firstColumn="1" w:lastColumn="0" w:noHBand="0" w:noVBand="1"/>
      </w:tblPr>
      <w:tblGrid>
        <w:gridCol w:w="2240"/>
        <w:gridCol w:w="1185"/>
        <w:gridCol w:w="1185"/>
        <w:gridCol w:w="1185"/>
        <w:gridCol w:w="1185"/>
        <w:gridCol w:w="1210"/>
        <w:gridCol w:w="1195"/>
        <w:gridCol w:w="13"/>
      </w:tblGrid>
      <w:tr w:rsidR="00A874AC" w:rsidRPr="0077432E" w:rsidTr="00766038">
        <w:trPr>
          <w:gridAfter w:val="1"/>
          <w:wAfter w:w="13" w:type="dxa"/>
          <w:trHeight w:val="825"/>
        </w:trPr>
        <w:tc>
          <w:tcPr>
            <w:tcW w:w="224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D34138" w:rsidRPr="0077432E" w:rsidRDefault="00D34138" w:rsidP="0063254B">
            <w:pPr>
              <w:rPr>
                <w:b/>
                <w:bCs/>
                <w:color w:val="FFFFFF"/>
                <w:sz w:val="18"/>
                <w:szCs w:val="19"/>
              </w:rPr>
            </w:pPr>
            <w:r w:rsidRPr="0077432E">
              <w:rPr>
                <w:b/>
                <w:bCs/>
                <w:color w:val="FFFFFF"/>
                <w:sz w:val="18"/>
                <w:szCs w:val="19"/>
              </w:rPr>
              <w:t>Impact</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7432E" w:rsidRDefault="00D34138" w:rsidP="0063254B">
            <w:pPr>
              <w:jc w:val="center"/>
              <w:rPr>
                <w:b/>
                <w:bCs/>
                <w:color w:val="FFFFFF"/>
                <w:sz w:val="18"/>
                <w:szCs w:val="19"/>
              </w:rPr>
            </w:pPr>
            <w:r w:rsidRPr="0077432E">
              <w:rPr>
                <w:b/>
                <w:bCs/>
                <w:color w:val="FFFFFF"/>
                <w:sz w:val="18"/>
                <w:szCs w:val="19"/>
              </w:rPr>
              <w:t xml:space="preserve">Phase II RG Savings </w:t>
            </w:r>
            <w:r w:rsidRPr="0077432E">
              <w:rPr>
                <w:b/>
                <w:bCs/>
                <w:color w:val="FFFFFF"/>
                <w:sz w:val="18"/>
                <w:szCs w:val="19"/>
                <w:vertAlign w:val="superscript"/>
              </w:rPr>
              <w:t>[f]</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7432E" w:rsidRDefault="00D34138" w:rsidP="0063254B">
            <w:pPr>
              <w:jc w:val="center"/>
              <w:rPr>
                <w:b/>
                <w:bCs/>
                <w:color w:val="FFFFFF"/>
                <w:sz w:val="18"/>
                <w:szCs w:val="19"/>
              </w:rPr>
            </w:pPr>
            <w:r w:rsidRPr="0077432E">
              <w:rPr>
                <w:b/>
                <w:bCs/>
                <w:color w:val="FFFFFF"/>
                <w:sz w:val="18"/>
                <w:szCs w:val="19"/>
              </w:rPr>
              <w:t xml:space="preserve">Phase II VG Savings </w:t>
            </w:r>
            <w:r w:rsidRPr="0077432E">
              <w:rPr>
                <w:b/>
                <w:bCs/>
                <w:color w:val="FFFFFF"/>
                <w:sz w:val="18"/>
                <w:szCs w:val="19"/>
                <w:vertAlign w:val="superscript"/>
              </w:rPr>
              <w:t>[h]</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7432E" w:rsidRDefault="00D34138" w:rsidP="0063254B">
            <w:pPr>
              <w:jc w:val="center"/>
              <w:rPr>
                <w:b/>
                <w:bCs/>
                <w:color w:val="FFFFFF"/>
                <w:sz w:val="18"/>
                <w:szCs w:val="19"/>
              </w:rPr>
            </w:pPr>
            <w:r w:rsidRPr="0077432E">
              <w:rPr>
                <w:b/>
                <w:bCs/>
                <w:color w:val="FFFFFF"/>
                <w:sz w:val="18"/>
                <w:szCs w:val="19"/>
              </w:rPr>
              <w:t>Phase I CO Savings</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7432E" w:rsidRDefault="00D34138" w:rsidP="0063254B">
            <w:pPr>
              <w:jc w:val="center"/>
              <w:rPr>
                <w:b/>
                <w:bCs/>
                <w:color w:val="FFFFFF"/>
                <w:sz w:val="18"/>
                <w:szCs w:val="19"/>
              </w:rPr>
            </w:pPr>
            <w:r w:rsidRPr="0077432E">
              <w:rPr>
                <w:b/>
                <w:bCs/>
                <w:color w:val="FFFFFF"/>
                <w:sz w:val="18"/>
                <w:szCs w:val="19"/>
              </w:rPr>
              <w:t>Phase II VG + Phase I CO Savings</w:t>
            </w:r>
          </w:p>
        </w:tc>
        <w:tc>
          <w:tcPr>
            <w:tcW w:w="121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7432E" w:rsidRDefault="00D34138" w:rsidP="0063254B">
            <w:pPr>
              <w:jc w:val="center"/>
              <w:rPr>
                <w:b/>
                <w:bCs/>
                <w:color w:val="FFFFFF"/>
                <w:sz w:val="18"/>
                <w:szCs w:val="19"/>
              </w:rPr>
            </w:pPr>
            <w:r w:rsidRPr="0077432E">
              <w:rPr>
                <w:b/>
                <w:bCs/>
                <w:color w:val="FFFFFF"/>
                <w:sz w:val="18"/>
                <w:szCs w:val="19"/>
              </w:rPr>
              <w:t>May 31, 2016 Compliance Target (MWh)</w:t>
            </w:r>
          </w:p>
        </w:tc>
        <w:tc>
          <w:tcPr>
            <w:tcW w:w="119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7432E" w:rsidRDefault="00D34138" w:rsidP="0063254B">
            <w:pPr>
              <w:jc w:val="center"/>
              <w:rPr>
                <w:b/>
                <w:bCs/>
                <w:color w:val="FFFFFF"/>
                <w:sz w:val="18"/>
                <w:szCs w:val="19"/>
              </w:rPr>
            </w:pPr>
            <w:r w:rsidRPr="0077432E">
              <w:rPr>
                <w:b/>
                <w:bCs/>
                <w:color w:val="FFFFFF"/>
                <w:sz w:val="18"/>
                <w:szCs w:val="19"/>
              </w:rPr>
              <w:t xml:space="preserve">Savings Achieved as % of 2016 Targets </w:t>
            </w:r>
            <w:r w:rsidRPr="0077432E">
              <w:rPr>
                <w:b/>
                <w:bCs/>
                <w:color w:val="FFFFFF"/>
                <w:sz w:val="18"/>
                <w:szCs w:val="19"/>
                <w:vertAlign w:val="superscript"/>
              </w:rPr>
              <w:t>[i]</w:t>
            </w:r>
          </w:p>
        </w:tc>
      </w:tr>
      <w:tr w:rsidR="00A874AC" w:rsidRPr="00766038" w:rsidTr="00766038">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766038" w:rsidRDefault="00D34138" w:rsidP="00D34138">
            <w:pPr>
              <w:jc w:val="left"/>
              <w:rPr>
                <w:color w:val="000000"/>
                <w:sz w:val="19"/>
                <w:szCs w:val="19"/>
              </w:rPr>
            </w:pPr>
            <w:r w:rsidRPr="00766038">
              <w:rPr>
                <w:color w:val="000000"/>
                <w:sz w:val="19"/>
                <w:szCs w:val="19"/>
              </w:rPr>
              <w:t>Total Energy Savings (MWh/yr)</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1,001,723</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1,090,505</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242,793</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1,333,298</w:t>
            </w:r>
          </w:p>
        </w:tc>
        <w:tc>
          <w:tcPr>
            <w:tcW w:w="1210" w:type="dxa"/>
            <w:tcBorders>
              <w:top w:val="nil"/>
              <w:left w:val="nil"/>
              <w:bottom w:val="single" w:sz="8" w:space="0" w:color="448A99"/>
              <w:right w:val="single" w:sz="8" w:space="0" w:color="448A99"/>
            </w:tcBorders>
            <w:shd w:val="clear" w:color="000000" w:fill="D2EAF1"/>
            <w:vAlign w:val="center"/>
            <w:hideMark/>
          </w:tcPr>
          <w:p w:rsidR="00D34138" w:rsidRPr="00766038" w:rsidRDefault="00622397" w:rsidP="00D34138">
            <w:pPr>
              <w:jc w:val="center"/>
              <w:rPr>
                <w:sz w:val="19"/>
                <w:szCs w:val="19"/>
              </w:rPr>
            </w:pPr>
            <w:r w:rsidRPr="00766038">
              <w:rPr>
                <w:sz w:val="19"/>
                <w:szCs w:val="19"/>
              </w:rPr>
              <w:t>1,125,851</w:t>
            </w:r>
          </w:p>
        </w:tc>
        <w:tc>
          <w:tcPr>
            <w:tcW w:w="119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622397">
            <w:pPr>
              <w:jc w:val="center"/>
              <w:rPr>
                <w:sz w:val="19"/>
                <w:szCs w:val="19"/>
              </w:rPr>
            </w:pPr>
            <w:r w:rsidRPr="00766038">
              <w:rPr>
                <w:sz w:val="19"/>
                <w:szCs w:val="19"/>
              </w:rPr>
              <w:t>1</w:t>
            </w:r>
            <w:r w:rsidR="00622397" w:rsidRPr="00766038">
              <w:rPr>
                <w:sz w:val="19"/>
                <w:szCs w:val="19"/>
              </w:rPr>
              <w:t>18</w:t>
            </w:r>
            <w:r w:rsidRPr="00766038">
              <w:rPr>
                <w:sz w:val="19"/>
                <w:szCs w:val="19"/>
              </w:rPr>
              <w:t>%</w:t>
            </w:r>
          </w:p>
        </w:tc>
      </w:tr>
      <w:tr w:rsidR="00E7173E" w:rsidRPr="00766038" w:rsidTr="00766038">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766038" w:rsidRDefault="00D34138" w:rsidP="00D34138">
            <w:pPr>
              <w:jc w:val="left"/>
              <w:rPr>
                <w:color w:val="000000"/>
                <w:sz w:val="19"/>
                <w:szCs w:val="19"/>
              </w:rPr>
            </w:pPr>
            <w:r w:rsidRPr="00766038">
              <w:rPr>
                <w:color w:val="000000"/>
                <w:sz w:val="19"/>
                <w:szCs w:val="19"/>
              </w:rPr>
              <w:t>Total Demand Reduction (MW)</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204.1</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224.800</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224.800</w:t>
            </w:r>
          </w:p>
        </w:tc>
        <w:tc>
          <w:tcPr>
            <w:tcW w:w="121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9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r>
      <w:tr w:rsidR="00A874AC" w:rsidRPr="00766038" w:rsidTr="00766038">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766038" w:rsidRDefault="00D34138" w:rsidP="00D34138">
            <w:pPr>
              <w:jc w:val="left"/>
              <w:rPr>
                <w:color w:val="000000"/>
                <w:sz w:val="19"/>
                <w:szCs w:val="19"/>
              </w:rPr>
            </w:pPr>
            <w:r w:rsidRPr="00766038">
              <w:rPr>
                <w:color w:val="000000"/>
                <w:sz w:val="19"/>
                <w:szCs w:val="19"/>
              </w:rPr>
              <w:t xml:space="preserve">TRC Benefits ($1,000) </w:t>
            </w:r>
            <w:r w:rsidRPr="00766038">
              <w:rPr>
                <w:color w:val="000000"/>
                <w:sz w:val="19"/>
                <w:szCs w:val="19"/>
                <w:vertAlign w:val="superscript"/>
              </w:rPr>
              <w:t>[a]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 xml:space="preserve">N/A </w:t>
            </w:r>
            <w:r w:rsidRPr="00766038">
              <w:rPr>
                <w:sz w:val="19"/>
                <w:szCs w:val="19"/>
                <w:vertAlign w:val="superscript"/>
              </w:rPr>
              <w:t>[g]</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$906,714</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$906,714</w:t>
            </w:r>
          </w:p>
        </w:tc>
        <w:tc>
          <w:tcPr>
            <w:tcW w:w="121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9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r>
      <w:tr w:rsidR="00E7173E" w:rsidRPr="00766038" w:rsidTr="00766038">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766038" w:rsidRDefault="00D34138" w:rsidP="00D34138">
            <w:pPr>
              <w:jc w:val="left"/>
              <w:rPr>
                <w:color w:val="000000"/>
                <w:sz w:val="19"/>
                <w:szCs w:val="19"/>
              </w:rPr>
            </w:pPr>
            <w:r w:rsidRPr="00766038">
              <w:rPr>
                <w:color w:val="000000"/>
                <w:sz w:val="19"/>
                <w:szCs w:val="19"/>
              </w:rPr>
              <w:t xml:space="preserve">TRC Costs ($1,000) </w:t>
            </w:r>
            <w:r w:rsidRPr="00766038">
              <w:rPr>
                <w:color w:val="000000"/>
                <w:sz w:val="19"/>
                <w:szCs w:val="19"/>
                <w:vertAlign w:val="superscript"/>
              </w:rPr>
              <w:t>[b]</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 xml:space="preserve">N/A </w:t>
            </w:r>
            <w:r w:rsidRPr="00766038">
              <w:rPr>
                <w:sz w:val="19"/>
                <w:szCs w:val="19"/>
                <w:vertAlign w:val="superscript"/>
              </w:rPr>
              <w:t>[g]</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$516,392</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$516,392</w:t>
            </w:r>
          </w:p>
        </w:tc>
        <w:tc>
          <w:tcPr>
            <w:tcW w:w="121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9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r>
      <w:tr w:rsidR="00A874AC" w:rsidRPr="00766038" w:rsidTr="00766038">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766038" w:rsidRDefault="00D34138" w:rsidP="00A90285">
            <w:pPr>
              <w:jc w:val="left"/>
              <w:rPr>
                <w:color w:val="000000"/>
                <w:sz w:val="19"/>
                <w:szCs w:val="19"/>
              </w:rPr>
            </w:pPr>
            <w:r w:rsidRPr="00766038">
              <w:rPr>
                <w:color w:val="000000"/>
                <w:sz w:val="19"/>
                <w:szCs w:val="19"/>
              </w:rPr>
              <w:t xml:space="preserve">TRC </w:t>
            </w:r>
            <w:r w:rsidR="00A90285" w:rsidRPr="00766038">
              <w:rPr>
                <w:color w:val="000000"/>
                <w:sz w:val="19"/>
                <w:szCs w:val="19"/>
              </w:rPr>
              <w:t>B/C</w:t>
            </w:r>
            <w:r w:rsidRPr="00766038">
              <w:rPr>
                <w:color w:val="000000"/>
                <w:sz w:val="19"/>
                <w:szCs w:val="19"/>
              </w:rPr>
              <w:t xml:space="preserve"> Ratio </w:t>
            </w:r>
            <w:r w:rsidRPr="00766038">
              <w:rPr>
                <w:color w:val="000000"/>
                <w:sz w:val="19"/>
                <w:szCs w:val="19"/>
                <w:vertAlign w:val="superscript"/>
              </w:rPr>
              <w:t>[c]</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 xml:space="preserve">N/A </w:t>
            </w:r>
            <w:r w:rsidRPr="00766038">
              <w:rPr>
                <w:sz w:val="19"/>
                <w:szCs w:val="19"/>
                <w:vertAlign w:val="superscript"/>
              </w:rPr>
              <w:t>[g]</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1.76</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1.76</w:t>
            </w:r>
          </w:p>
        </w:tc>
        <w:tc>
          <w:tcPr>
            <w:tcW w:w="1210"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9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r>
      <w:tr w:rsidR="00E7173E" w:rsidRPr="00766038" w:rsidTr="00766038">
        <w:trPr>
          <w:gridAfter w:val="1"/>
          <w:wAfter w:w="13" w:type="dxa"/>
          <w:trHeight w:val="489"/>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766038" w:rsidRDefault="00D34138" w:rsidP="00D34138">
            <w:pPr>
              <w:jc w:val="left"/>
              <w:rPr>
                <w:color w:val="000000"/>
                <w:sz w:val="19"/>
                <w:szCs w:val="19"/>
              </w:rPr>
            </w:pPr>
            <w:r w:rsidRPr="00766038">
              <w:rPr>
                <w:color w:val="000000"/>
                <w:sz w:val="19"/>
                <w:szCs w:val="19"/>
              </w:rPr>
              <w:t>CO</w:t>
            </w:r>
            <w:r w:rsidRPr="00766038">
              <w:rPr>
                <w:color w:val="000000"/>
                <w:sz w:val="19"/>
                <w:szCs w:val="19"/>
                <w:vertAlign w:val="subscript"/>
              </w:rPr>
              <w:t>2</w:t>
            </w:r>
            <w:r w:rsidRPr="00766038">
              <w:rPr>
                <w:color w:val="000000"/>
                <w:sz w:val="19"/>
                <w:szCs w:val="19"/>
              </w:rPr>
              <w:t xml:space="preserve"> Emissions Reduction (Tons) </w:t>
            </w:r>
            <w:r w:rsidRPr="00766038">
              <w:rPr>
                <w:color w:val="000000"/>
                <w:sz w:val="19"/>
                <w:szCs w:val="19"/>
                <w:vertAlign w:val="superscript"/>
              </w:rPr>
              <w:t>[d][e]</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771,828</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840,234</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187,072</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1,027,306</w:t>
            </w:r>
          </w:p>
        </w:tc>
        <w:tc>
          <w:tcPr>
            <w:tcW w:w="1210"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9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r>
      <w:tr w:rsidR="00D34138" w:rsidRPr="007A007D" w:rsidTr="00766038">
        <w:trPr>
          <w:trHeight w:val="2995"/>
        </w:trPr>
        <w:tc>
          <w:tcPr>
            <w:tcW w:w="9398" w:type="dxa"/>
            <w:gridSpan w:val="8"/>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D34138" w:rsidRPr="007A007D" w:rsidRDefault="00D34138" w:rsidP="00D34138">
            <w:pPr>
              <w:jc w:val="left"/>
              <w:rPr>
                <w:color w:val="FFFFFF"/>
                <w:sz w:val="18"/>
                <w:szCs w:val="19"/>
              </w:rPr>
            </w:pPr>
            <w:r w:rsidRPr="007A007D">
              <w:rPr>
                <w:color w:val="FFFFFF"/>
                <w:sz w:val="18"/>
                <w:szCs w:val="19"/>
              </w:rPr>
              <w:t xml:space="preserve">NOTES: </w:t>
            </w:r>
            <w:r w:rsidRPr="007A007D">
              <w:rPr>
                <w:color w:val="FFFFFF"/>
                <w:sz w:val="18"/>
                <w:szCs w:val="19"/>
              </w:rPr>
              <w:br/>
              <w:t>[a] Avoided supply costs, including the reduction in costs of electric energy, generation, transmission, and distribution capacity. Subject to TRC Order.</w:t>
            </w:r>
            <w:r w:rsidRPr="007A007D">
              <w:rPr>
                <w:color w:val="FFFFFF"/>
                <w:sz w:val="18"/>
                <w:szCs w:val="19"/>
              </w:rPr>
              <w:br/>
              <w:t>[b] Costs paid by the program administrator and participants plus the increase in supply costs for any period when load is increased.  Subject to TRC Order.</w:t>
            </w:r>
            <w:r w:rsidRPr="007A007D">
              <w:rPr>
                <w:color w:val="FFFFFF"/>
                <w:sz w:val="18"/>
                <w:szCs w:val="19"/>
              </w:rPr>
              <w:br/>
              <w:t>[c] Subject to the Commission’s August 31, 2012 TRC Order.</w:t>
            </w:r>
            <w:r w:rsidRPr="007A007D">
              <w:rPr>
                <w:color w:val="FFFFFF"/>
                <w:sz w:val="18"/>
                <w:szCs w:val="19"/>
              </w:rPr>
              <w:br/>
              <w:t>[d] CO</w:t>
            </w:r>
            <w:r w:rsidRPr="007A007D">
              <w:rPr>
                <w:color w:val="FFFFFF"/>
                <w:sz w:val="18"/>
                <w:szCs w:val="19"/>
                <w:vertAlign w:val="subscript"/>
              </w:rPr>
              <w:t>2</w:t>
            </w:r>
            <w:r w:rsidRPr="007A007D">
              <w:rPr>
                <w:color w:val="FFFFFF"/>
                <w:sz w:val="18"/>
                <w:szCs w:val="19"/>
              </w:rPr>
              <w:t xml:space="preserve"> conversion based on 1,541 </w:t>
            </w:r>
            <w:r w:rsidR="00766038" w:rsidRPr="007A007D">
              <w:rPr>
                <w:color w:val="FFFFFF"/>
                <w:sz w:val="18"/>
                <w:szCs w:val="19"/>
              </w:rPr>
              <w:t>lbs.</w:t>
            </w:r>
            <w:r w:rsidRPr="007A007D">
              <w:rPr>
                <w:color w:val="FFFFFF"/>
                <w:sz w:val="18"/>
                <w:szCs w:val="19"/>
              </w:rPr>
              <w:t xml:space="preserve"> CO</w:t>
            </w:r>
            <w:r w:rsidRPr="007A007D">
              <w:rPr>
                <w:color w:val="FFFFFF"/>
                <w:sz w:val="18"/>
                <w:szCs w:val="19"/>
                <w:vertAlign w:val="subscript"/>
              </w:rPr>
              <w:t>2</w:t>
            </w:r>
            <w:r w:rsidRPr="007A007D">
              <w:rPr>
                <w:color w:val="FFFFFF"/>
                <w:sz w:val="18"/>
                <w:szCs w:val="19"/>
              </w:rPr>
              <w:t xml:space="preserve"> per MWh according to the latest available (2015) PJM Emission Report of marginal off-peak annual CO</w:t>
            </w:r>
            <w:r w:rsidRPr="007A007D">
              <w:rPr>
                <w:color w:val="FFFFFF"/>
                <w:sz w:val="18"/>
                <w:szCs w:val="19"/>
                <w:vertAlign w:val="subscript"/>
              </w:rPr>
              <w:t>2</w:t>
            </w:r>
            <w:r w:rsidRPr="007A007D">
              <w:rPr>
                <w:color w:val="FFFFFF"/>
                <w:sz w:val="18"/>
                <w:szCs w:val="19"/>
              </w:rPr>
              <w:t xml:space="preserve"> emission rate.</w:t>
            </w:r>
            <w:r w:rsidRPr="007A007D">
              <w:rPr>
                <w:color w:val="FFFFFF"/>
                <w:sz w:val="18"/>
                <w:szCs w:val="19"/>
              </w:rPr>
              <w:br/>
              <w:t>[e] CO</w:t>
            </w:r>
            <w:r w:rsidRPr="007A007D">
              <w:rPr>
                <w:color w:val="FFFFFF"/>
                <w:sz w:val="18"/>
                <w:szCs w:val="19"/>
                <w:vertAlign w:val="subscript"/>
              </w:rPr>
              <w:t>2</w:t>
            </w:r>
            <w:r w:rsidRPr="007A007D">
              <w:rPr>
                <w:color w:val="FFFFFF"/>
                <w:sz w:val="18"/>
                <w:szCs w:val="19"/>
              </w:rPr>
              <w:t xml:space="preserve"> emissions are reported due to Stakeholder interest in this information and to recognize that reporting this information is recommended by the National Action Plan for Energy Efficiency.</w:t>
            </w:r>
            <w:r w:rsidRPr="007A007D">
              <w:rPr>
                <w:color w:val="FFFFFF"/>
                <w:sz w:val="18"/>
                <w:szCs w:val="19"/>
              </w:rPr>
              <w:br/>
              <w:t>[f] Phase II Reported Gross Impact is the cumulative program/portfolio Phase II Inception to Date Reported Gross Savings.</w:t>
            </w:r>
            <w:r w:rsidRPr="007A007D">
              <w:rPr>
                <w:color w:val="FFFFFF"/>
                <w:sz w:val="18"/>
                <w:szCs w:val="19"/>
              </w:rPr>
              <w:br/>
              <w:t>[g] TRC Benefits and Costs are calculated only for verified savings, which reflect actual program results.</w:t>
            </w:r>
            <w:r w:rsidRPr="007A007D">
              <w:rPr>
                <w:color w:val="FFFFFF"/>
                <w:sz w:val="18"/>
                <w:szCs w:val="19"/>
              </w:rPr>
              <w:br/>
              <w:t>[h] Phase II Verified Impact is the cumulative program/portfolio Phase II Inception to Date Verified Gross Savings.</w:t>
            </w:r>
            <w:r w:rsidRPr="007A007D">
              <w:rPr>
                <w:color w:val="FFFFFF"/>
                <w:sz w:val="18"/>
                <w:szCs w:val="19"/>
              </w:rPr>
              <w:br/>
              <w:t>[i] Savings achieved based on Phase II Inception-to-Date Verified Gross Savings.</w:t>
            </w:r>
          </w:p>
        </w:tc>
      </w:tr>
    </w:tbl>
    <w:p w:rsidR="0043410E" w:rsidRDefault="0043410E" w:rsidP="0043410E"/>
    <w:p w:rsidR="00A806A3" w:rsidRDefault="00B36014" w:rsidP="00A806A3">
      <w:r>
        <w:t>PECO</w:t>
      </w:r>
      <w:r w:rsidR="00A806A3">
        <w:t xml:space="preserve"> </w:t>
      </w:r>
      <w:r w:rsidR="00A806A3" w:rsidRPr="00A806A3">
        <w:t>achieved 1</w:t>
      </w:r>
      <w:r w:rsidR="0062539D">
        <w:t>18</w:t>
      </w:r>
      <w:r w:rsidR="00A806A3" w:rsidRPr="00A806A3">
        <w:t>% of</w:t>
      </w:r>
      <w:r w:rsidR="00A806A3">
        <w:t xml:space="preserve"> its Act 129 Phase II energy savings target through the end of PY7. The TRC ratio </w:t>
      </w:r>
      <w:r w:rsidR="00A806A3" w:rsidRPr="00A806A3">
        <w:t xml:space="preserve">of </w:t>
      </w:r>
      <w:r>
        <w:t>PECO</w:t>
      </w:r>
      <w:r w:rsidR="00A806A3" w:rsidRPr="00A806A3">
        <w:t>’s programs was 1.</w:t>
      </w:r>
      <w:r>
        <w:t>76</w:t>
      </w:r>
      <w:r w:rsidR="00A806A3" w:rsidRPr="00A806A3">
        <w:t>, which indicates that its portfolio of EE&amp;C programs is cost-effective on an aggregated basis</w:t>
      </w:r>
      <w:r w:rsidR="00A806A3">
        <w:t>.</w:t>
      </w:r>
    </w:p>
    <w:p w:rsidR="00D06AEA" w:rsidRDefault="00D06AEA" w:rsidP="00A806A3"/>
    <w:p w:rsidR="00A806A3" w:rsidRDefault="00D06AEA" w:rsidP="00A806A3">
      <w:r>
        <w:fldChar w:fldCharType="begin"/>
      </w:r>
      <w:r>
        <w:instrText xml:space="preserve"> REF _Ref473708143 \h </w:instrText>
      </w:r>
      <w:r>
        <w:fldChar w:fldCharType="separate"/>
      </w:r>
      <w:r w:rsidR="00037CB4">
        <w:t xml:space="preserve">Figure </w:t>
      </w:r>
      <w:r w:rsidR="00037CB4">
        <w:rPr>
          <w:noProof/>
        </w:rPr>
        <w:t>2</w:t>
      </w:r>
      <w:r w:rsidR="00037CB4">
        <w:noBreakHyphen/>
      </w:r>
      <w:r w:rsidR="00037CB4">
        <w:rPr>
          <w:noProof/>
        </w:rPr>
        <w:t>22</w:t>
      </w:r>
      <w:r>
        <w:fldChar w:fldCharType="end"/>
      </w:r>
      <w:r>
        <w:t xml:space="preserve"> </w:t>
      </w:r>
      <w:r w:rsidR="00A806A3">
        <w:t xml:space="preserve">shows the verified gross savings after each program year during Phase </w:t>
      </w:r>
      <w:r w:rsidR="00A90285">
        <w:t>II. The data in this figure do</w:t>
      </w:r>
      <w:r w:rsidR="00A806A3">
        <w:t xml:space="preserve"> not include carryover savings from Phase I. The </w:t>
      </w:r>
      <w:r w:rsidR="008B594A">
        <w:t>C/I</w:t>
      </w:r>
      <w:r w:rsidR="00A806A3">
        <w:t xml:space="preserve"> sector accounted for the highest savings for </w:t>
      </w:r>
      <w:r w:rsidR="00B36014">
        <w:t>PECO</w:t>
      </w:r>
      <w:r w:rsidR="00A806A3">
        <w:t xml:space="preserve"> during Phase II.</w:t>
      </w:r>
    </w:p>
    <w:p w:rsidR="00956A49" w:rsidRDefault="00956A49" w:rsidP="00A806A3"/>
    <w:p w:rsidR="00A806A3" w:rsidRPr="0043410E" w:rsidRDefault="004F1B4F" w:rsidP="004837FA">
      <w:pPr>
        <w:pStyle w:val="Caption"/>
      </w:pPr>
      <w:bookmarkStart w:id="227" w:name="_Ref472409747"/>
      <w:bookmarkStart w:id="228" w:name="_Ref473708143"/>
      <w:bookmarkStart w:id="229" w:name="_Toc472472229"/>
      <w:bookmarkStart w:id="230" w:name="_Toc488741808"/>
      <w:r>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22</w:t>
      </w:r>
      <w:r w:rsidR="007973A4">
        <w:rPr>
          <w:noProof/>
        </w:rPr>
        <w:fldChar w:fldCharType="end"/>
      </w:r>
      <w:bookmarkEnd w:id="227"/>
      <w:bookmarkEnd w:id="228"/>
      <w:r>
        <w:t xml:space="preserve">: </w:t>
      </w:r>
      <w:r w:rsidR="00B36014">
        <w:t>PECO</w:t>
      </w:r>
      <w:r w:rsidR="00A806A3" w:rsidRPr="001928C8">
        <w:t xml:space="preserve"> Phase</w:t>
      </w:r>
      <w:r w:rsidR="00A806A3">
        <w:t xml:space="preserve"> I</w:t>
      </w:r>
      <w:r w:rsidR="00A806A3" w:rsidRPr="001928C8">
        <w:t xml:space="preserve">I </w:t>
      </w:r>
      <w:r w:rsidR="002E319D">
        <w:t xml:space="preserve">Cumulative </w:t>
      </w:r>
      <w:r w:rsidR="00A806A3">
        <w:t>V</w:t>
      </w:r>
      <w:r w:rsidR="00A806A3" w:rsidRPr="001928C8">
        <w:t>erified</w:t>
      </w:r>
      <w:r w:rsidR="00A90285">
        <w:t xml:space="preserve"> Gross</w:t>
      </w:r>
      <w:r w:rsidR="00A806A3" w:rsidRPr="001928C8">
        <w:t xml:space="preserve"> Savings by Program Year and Sector</w:t>
      </w:r>
      <w:bookmarkEnd w:id="229"/>
      <w:bookmarkEnd w:id="230"/>
    </w:p>
    <w:p w:rsidR="0043410E" w:rsidRDefault="00105F3B" w:rsidP="00D81811">
      <w:pPr>
        <w:jc w:val="center"/>
      </w:pPr>
      <w:r>
        <w:rPr>
          <w:noProof/>
        </w:rPr>
        <w:drawing>
          <wp:inline distT="0" distB="0" distL="0" distR="0" wp14:anchorId="46464DD0" wp14:editId="1CEE2328">
            <wp:extent cx="5476875" cy="294105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7947" cy="2952367"/>
                    </a:xfrm>
                    <a:prstGeom prst="rect">
                      <a:avLst/>
                    </a:prstGeom>
                    <a:noFill/>
                  </pic:spPr>
                </pic:pic>
              </a:graphicData>
            </a:graphic>
          </wp:inline>
        </w:drawing>
      </w:r>
    </w:p>
    <w:p w:rsidR="00D06AEA" w:rsidRDefault="00D06AEA" w:rsidP="00D06AEA"/>
    <w:p w:rsidR="00DD6B4C" w:rsidRDefault="00702765" w:rsidP="00E673F0">
      <w:pPr>
        <w:pStyle w:val="Heading3"/>
      </w:pPr>
      <w:bookmarkStart w:id="231" w:name="_Toc488765795"/>
      <w:r>
        <w:t>PPL</w:t>
      </w:r>
      <w:bookmarkEnd w:id="231"/>
    </w:p>
    <w:p w:rsidR="0043410E" w:rsidRDefault="00F3562D" w:rsidP="0043410E">
      <w:r>
        <w:fldChar w:fldCharType="begin"/>
      </w:r>
      <w:r>
        <w:instrText xml:space="preserve"> REF _Ref473729299 \h </w:instrText>
      </w:r>
      <w:r>
        <w:fldChar w:fldCharType="separate"/>
      </w:r>
      <w:r w:rsidR="00037CB4">
        <w:t xml:space="preserve">Table </w:t>
      </w:r>
      <w:r w:rsidR="00037CB4">
        <w:rPr>
          <w:noProof/>
        </w:rPr>
        <w:t>2</w:t>
      </w:r>
      <w:r w:rsidR="00037CB4">
        <w:noBreakHyphen/>
      </w:r>
      <w:r w:rsidR="00037CB4">
        <w:rPr>
          <w:noProof/>
        </w:rPr>
        <w:t>22</w:t>
      </w:r>
      <w:r>
        <w:fldChar w:fldCharType="end"/>
      </w:r>
      <w:r>
        <w:t xml:space="preserve"> </w:t>
      </w:r>
      <w:r w:rsidR="00046A62" w:rsidRPr="001E4D27">
        <w:t xml:space="preserve">provides an overview of </w:t>
      </w:r>
      <w:r w:rsidR="00046A62">
        <w:t xml:space="preserve">PPL’s cumulative </w:t>
      </w:r>
      <w:r w:rsidR="00A90285">
        <w:t xml:space="preserve">reported gross (RG) </w:t>
      </w:r>
      <w:r w:rsidR="00A90285" w:rsidRPr="001E4D27">
        <w:t xml:space="preserve">and verified gross </w:t>
      </w:r>
      <w:r w:rsidR="00A90285">
        <w:t xml:space="preserve">(VG) savings impacts, and carryover (CO) </w:t>
      </w:r>
      <w:r w:rsidR="00A90285" w:rsidRPr="001E4D27">
        <w:t>savings since the inception</w:t>
      </w:r>
      <w:r w:rsidR="00A90285">
        <w:t xml:space="preserve"> of its </w:t>
      </w:r>
      <w:r w:rsidR="00A90285" w:rsidRPr="001E4D27">
        <w:t xml:space="preserve">EE&amp;C programs through the end of </w:t>
      </w:r>
      <w:r w:rsidR="00A90285">
        <w:t>Phase II</w:t>
      </w:r>
      <w:r w:rsidR="00046A62">
        <w:t>.</w:t>
      </w:r>
    </w:p>
    <w:p w:rsidR="00D06AEA" w:rsidRPr="000F5A29" w:rsidRDefault="00D06AEA" w:rsidP="000F5A29">
      <w:bookmarkStart w:id="232" w:name="_Ref472267525"/>
      <w:bookmarkStart w:id="233" w:name="_Toc472472175"/>
    </w:p>
    <w:p w:rsidR="0043410E" w:rsidRDefault="0043410E" w:rsidP="004837FA">
      <w:pPr>
        <w:pStyle w:val="Caption"/>
      </w:pPr>
      <w:bookmarkStart w:id="234" w:name="_Ref473729299"/>
      <w:bookmarkStart w:id="235" w:name="_Toc488741753"/>
      <w:r>
        <w:t xml:space="preserve">Table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22</w:t>
      </w:r>
      <w:r w:rsidR="007973A4">
        <w:rPr>
          <w:noProof/>
        </w:rPr>
        <w:fldChar w:fldCharType="end"/>
      </w:r>
      <w:bookmarkEnd w:id="232"/>
      <w:bookmarkEnd w:id="234"/>
      <w:r>
        <w:t>: Summary of PPL’s Phase II Savings Impacts</w:t>
      </w:r>
      <w:bookmarkEnd w:id="233"/>
      <w:bookmarkEnd w:id="235"/>
    </w:p>
    <w:tbl>
      <w:tblPr>
        <w:tblW w:w="9403" w:type="dxa"/>
        <w:tblLayout w:type="fixed"/>
        <w:tblLook w:val="04A0" w:firstRow="1" w:lastRow="0" w:firstColumn="1" w:lastColumn="0" w:noHBand="0" w:noVBand="1"/>
      </w:tblPr>
      <w:tblGrid>
        <w:gridCol w:w="2240"/>
        <w:gridCol w:w="1185"/>
        <w:gridCol w:w="1185"/>
        <w:gridCol w:w="1185"/>
        <w:gridCol w:w="1185"/>
        <w:gridCol w:w="1228"/>
        <w:gridCol w:w="1185"/>
        <w:gridCol w:w="10"/>
      </w:tblGrid>
      <w:tr w:rsidR="00A874AC" w:rsidRPr="00766038" w:rsidTr="00592FD5">
        <w:trPr>
          <w:gridAfter w:val="1"/>
          <w:wAfter w:w="10" w:type="dxa"/>
          <w:trHeight w:val="825"/>
        </w:trPr>
        <w:tc>
          <w:tcPr>
            <w:tcW w:w="224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D34138" w:rsidRPr="00766038" w:rsidRDefault="00D34138" w:rsidP="0063254B">
            <w:pPr>
              <w:rPr>
                <w:b/>
                <w:bCs/>
                <w:color w:val="FFFFFF"/>
                <w:sz w:val="19"/>
                <w:szCs w:val="19"/>
              </w:rPr>
            </w:pPr>
            <w:r w:rsidRPr="00766038">
              <w:rPr>
                <w:b/>
                <w:bCs/>
                <w:color w:val="FFFFFF"/>
                <w:sz w:val="19"/>
                <w:szCs w:val="19"/>
              </w:rPr>
              <w:t>Impact</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63254B">
            <w:pPr>
              <w:jc w:val="center"/>
              <w:rPr>
                <w:b/>
                <w:bCs/>
                <w:color w:val="FFFFFF"/>
                <w:sz w:val="19"/>
                <w:szCs w:val="19"/>
              </w:rPr>
            </w:pPr>
            <w:r w:rsidRPr="00766038">
              <w:rPr>
                <w:b/>
                <w:bCs/>
                <w:color w:val="FFFFFF"/>
                <w:sz w:val="19"/>
                <w:szCs w:val="19"/>
              </w:rPr>
              <w:t xml:space="preserve">Phase II RG Savings </w:t>
            </w:r>
            <w:r w:rsidRPr="00766038">
              <w:rPr>
                <w:b/>
                <w:bCs/>
                <w:color w:val="FFFFFF"/>
                <w:sz w:val="19"/>
                <w:szCs w:val="19"/>
                <w:vertAlign w:val="superscript"/>
              </w:rPr>
              <w:t>[f]</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63254B">
            <w:pPr>
              <w:jc w:val="center"/>
              <w:rPr>
                <w:b/>
                <w:bCs/>
                <w:color w:val="FFFFFF"/>
                <w:sz w:val="19"/>
                <w:szCs w:val="19"/>
              </w:rPr>
            </w:pPr>
            <w:r w:rsidRPr="00766038">
              <w:rPr>
                <w:b/>
                <w:bCs/>
                <w:color w:val="FFFFFF"/>
                <w:sz w:val="19"/>
                <w:szCs w:val="19"/>
              </w:rPr>
              <w:t xml:space="preserve">Phase II VG Savings </w:t>
            </w:r>
            <w:r w:rsidRPr="00766038">
              <w:rPr>
                <w:b/>
                <w:bCs/>
                <w:color w:val="FFFFFF"/>
                <w:sz w:val="19"/>
                <w:szCs w:val="19"/>
                <w:vertAlign w:val="superscript"/>
              </w:rPr>
              <w:t>[h]</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63254B">
            <w:pPr>
              <w:jc w:val="center"/>
              <w:rPr>
                <w:b/>
                <w:bCs/>
                <w:color w:val="FFFFFF"/>
                <w:sz w:val="19"/>
                <w:szCs w:val="19"/>
              </w:rPr>
            </w:pPr>
            <w:r w:rsidRPr="00766038">
              <w:rPr>
                <w:b/>
                <w:bCs/>
                <w:color w:val="FFFFFF"/>
                <w:sz w:val="19"/>
                <w:szCs w:val="19"/>
              </w:rPr>
              <w:t>Phase I CO Savings</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63254B">
            <w:pPr>
              <w:jc w:val="center"/>
              <w:rPr>
                <w:b/>
                <w:bCs/>
                <w:color w:val="FFFFFF"/>
                <w:sz w:val="19"/>
                <w:szCs w:val="19"/>
              </w:rPr>
            </w:pPr>
            <w:r w:rsidRPr="00766038">
              <w:rPr>
                <w:b/>
                <w:bCs/>
                <w:color w:val="FFFFFF"/>
                <w:sz w:val="19"/>
                <w:szCs w:val="19"/>
              </w:rPr>
              <w:t>Phase II VG + Phase I CO Savings</w:t>
            </w:r>
          </w:p>
        </w:tc>
        <w:tc>
          <w:tcPr>
            <w:tcW w:w="1228"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63254B">
            <w:pPr>
              <w:jc w:val="center"/>
              <w:rPr>
                <w:b/>
                <w:bCs/>
                <w:color w:val="FFFFFF"/>
                <w:sz w:val="19"/>
                <w:szCs w:val="19"/>
              </w:rPr>
            </w:pPr>
            <w:r w:rsidRPr="00766038">
              <w:rPr>
                <w:b/>
                <w:bCs/>
                <w:color w:val="FFFFFF"/>
                <w:sz w:val="19"/>
                <w:szCs w:val="19"/>
              </w:rPr>
              <w:t>May 31, 2016 Compliance Target (MWh)</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766038" w:rsidRDefault="00D34138" w:rsidP="0063254B">
            <w:pPr>
              <w:jc w:val="center"/>
              <w:rPr>
                <w:b/>
                <w:bCs/>
                <w:color w:val="FFFFFF"/>
                <w:sz w:val="19"/>
                <w:szCs w:val="19"/>
              </w:rPr>
            </w:pPr>
            <w:r w:rsidRPr="00766038">
              <w:rPr>
                <w:b/>
                <w:bCs/>
                <w:color w:val="FFFFFF"/>
                <w:sz w:val="19"/>
                <w:szCs w:val="19"/>
              </w:rPr>
              <w:t xml:space="preserve">Savings Achieved as % of 2016 Targets </w:t>
            </w:r>
            <w:r w:rsidRPr="00766038">
              <w:rPr>
                <w:b/>
                <w:bCs/>
                <w:color w:val="FFFFFF"/>
                <w:sz w:val="19"/>
                <w:szCs w:val="19"/>
                <w:vertAlign w:val="superscript"/>
              </w:rPr>
              <w:t>[i]</w:t>
            </w:r>
          </w:p>
        </w:tc>
      </w:tr>
      <w:tr w:rsidR="00A874AC" w:rsidRPr="007660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766038" w:rsidRDefault="00D34138" w:rsidP="00D34138">
            <w:pPr>
              <w:jc w:val="left"/>
              <w:rPr>
                <w:color w:val="000000"/>
                <w:sz w:val="19"/>
                <w:szCs w:val="19"/>
              </w:rPr>
            </w:pPr>
            <w:r w:rsidRPr="00766038">
              <w:rPr>
                <w:color w:val="000000"/>
                <w:sz w:val="19"/>
                <w:szCs w:val="19"/>
              </w:rPr>
              <w:t>Total Energy Savings (MWh/yr)</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720,094</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0F45E7" w:rsidP="00D34138">
            <w:pPr>
              <w:jc w:val="center"/>
              <w:rPr>
                <w:sz w:val="19"/>
                <w:szCs w:val="19"/>
              </w:rPr>
            </w:pPr>
            <w:r w:rsidRPr="00766038">
              <w:rPr>
                <w:sz w:val="19"/>
                <w:szCs w:val="19"/>
              </w:rPr>
              <w:t>698,736</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495,636</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0F45E7" w:rsidP="00D34138">
            <w:pPr>
              <w:jc w:val="center"/>
              <w:rPr>
                <w:sz w:val="19"/>
                <w:szCs w:val="19"/>
              </w:rPr>
            </w:pPr>
            <w:r w:rsidRPr="00766038">
              <w:rPr>
                <w:sz w:val="19"/>
                <w:szCs w:val="19"/>
              </w:rPr>
              <w:t>1,194,372</w:t>
            </w:r>
          </w:p>
        </w:tc>
        <w:tc>
          <w:tcPr>
            <w:tcW w:w="1228" w:type="dxa"/>
            <w:tcBorders>
              <w:top w:val="nil"/>
              <w:left w:val="nil"/>
              <w:bottom w:val="single" w:sz="8" w:space="0" w:color="448A99"/>
              <w:right w:val="single" w:sz="8" w:space="0" w:color="448A99"/>
            </w:tcBorders>
            <w:shd w:val="clear" w:color="000000" w:fill="D2EAF1"/>
            <w:vAlign w:val="center"/>
            <w:hideMark/>
          </w:tcPr>
          <w:p w:rsidR="00D34138" w:rsidRPr="00766038" w:rsidRDefault="00622397" w:rsidP="00622397">
            <w:pPr>
              <w:jc w:val="center"/>
              <w:rPr>
                <w:sz w:val="19"/>
                <w:szCs w:val="19"/>
              </w:rPr>
            </w:pPr>
            <w:r w:rsidRPr="00766038">
              <w:rPr>
                <w:sz w:val="19"/>
                <w:szCs w:val="19"/>
              </w:rPr>
              <w:t>821,072</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0F45E7" w:rsidP="00D34138">
            <w:pPr>
              <w:jc w:val="center"/>
              <w:rPr>
                <w:sz w:val="19"/>
                <w:szCs w:val="19"/>
              </w:rPr>
            </w:pPr>
            <w:r w:rsidRPr="00766038">
              <w:rPr>
                <w:sz w:val="19"/>
                <w:szCs w:val="19"/>
              </w:rPr>
              <w:t>145</w:t>
            </w:r>
            <w:r w:rsidR="00D34138" w:rsidRPr="00766038">
              <w:rPr>
                <w:sz w:val="19"/>
                <w:szCs w:val="19"/>
              </w:rPr>
              <w:t>%</w:t>
            </w:r>
          </w:p>
        </w:tc>
      </w:tr>
      <w:tr w:rsidR="00E7173E" w:rsidRPr="007660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766038" w:rsidRDefault="00D34138" w:rsidP="00D34138">
            <w:pPr>
              <w:jc w:val="left"/>
              <w:rPr>
                <w:color w:val="000000"/>
                <w:sz w:val="19"/>
                <w:szCs w:val="19"/>
              </w:rPr>
            </w:pPr>
            <w:r w:rsidRPr="00766038">
              <w:rPr>
                <w:color w:val="000000"/>
                <w:sz w:val="19"/>
                <w:szCs w:val="19"/>
              </w:rPr>
              <w:t>Total Demand Reduction (MW)</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144.45</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106.270</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106.270</w:t>
            </w:r>
          </w:p>
        </w:tc>
        <w:tc>
          <w:tcPr>
            <w:tcW w:w="1228"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r>
      <w:tr w:rsidR="00A874AC" w:rsidRPr="007660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766038" w:rsidRDefault="00D34138" w:rsidP="00D34138">
            <w:pPr>
              <w:jc w:val="left"/>
              <w:rPr>
                <w:color w:val="000000"/>
                <w:sz w:val="19"/>
                <w:szCs w:val="19"/>
              </w:rPr>
            </w:pPr>
            <w:r w:rsidRPr="00766038">
              <w:rPr>
                <w:color w:val="000000"/>
                <w:sz w:val="19"/>
                <w:szCs w:val="19"/>
              </w:rPr>
              <w:t xml:space="preserve">TRC Benefits ($1,000) </w:t>
            </w:r>
            <w:r w:rsidRPr="00766038">
              <w:rPr>
                <w:color w:val="000000"/>
                <w:sz w:val="19"/>
                <w:szCs w:val="19"/>
                <w:vertAlign w:val="superscript"/>
              </w:rPr>
              <w:t>[a]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 xml:space="preserve">N/A </w:t>
            </w:r>
            <w:r w:rsidRPr="00766038">
              <w:rPr>
                <w:sz w:val="19"/>
                <w:szCs w:val="19"/>
                <w:vertAlign w:val="superscript"/>
              </w:rPr>
              <w:t>[g]</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$499,240</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$499,240</w:t>
            </w:r>
          </w:p>
        </w:tc>
        <w:tc>
          <w:tcPr>
            <w:tcW w:w="1228"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r>
      <w:tr w:rsidR="00E7173E" w:rsidRPr="007660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766038" w:rsidRDefault="00D34138" w:rsidP="00D34138">
            <w:pPr>
              <w:jc w:val="left"/>
              <w:rPr>
                <w:color w:val="000000"/>
                <w:sz w:val="19"/>
                <w:szCs w:val="19"/>
              </w:rPr>
            </w:pPr>
            <w:r w:rsidRPr="00766038">
              <w:rPr>
                <w:color w:val="000000"/>
                <w:sz w:val="19"/>
                <w:szCs w:val="19"/>
              </w:rPr>
              <w:t xml:space="preserve">TRC Costs ($1,000) </w:t>
            </w:r>
            <w:r w:rsidRPr="00766038">
              <w:rPr>
                <w:color w:val="000000"/>
                <w:sz w:val="19"/>
                <w:szCs w:val="19"/>
                <w:vertAlign w:val="superscript"/>
              </w:rPr>
              <w:t>[b]</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 xml:space="preserve">N/A </w:t>
            </w:r>
            <w:r w:rsidRPr="00766038">
              <w:rPr>
                <w:sz w:val="19"/>
                <w:szCs w:val="19"/>
                <w:vertAlign w:val="superscript"/>
              </w:rPr>
              <w:t>[g]</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w:t>
            </w:r>
            <w:r w:rsidR="00265558" w:rsidRPr="00766038">
              <w:rPr>
                <w:sz w:val="19"/>
                <w:szCs w:val="19"/>
              </w:rPr>
              <w:t>314</w:t>
            </w:r>
            <w:r w:rsidR="000F45E7" w:rsidRPr="00766038">
              <w:rPr>
                <w:sz w:val="19"/>
                <w:szCs w:val="19"/>
              </w:rPr>
              <w:t>,</w:t>
            </w:r>
            <w:r w:rsidR="00265558" w:rsidRPr="00766038">
              <w:rPr>
                <w:sz w:val="19"/>
                <w:szCs w:val="19"/>
              </w:rPr>
              <w:t>182</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265558" w:rsidP="00D34138">
            <w:pPr>
              <w:jc w:val="center"/>
              <w:rPr>
                <w:sz w:val="19"/>
                <w:szCs w:val="19"/>
              </w:rPr>
            </w:pPr>
            <w:r w:rsidRPr="00766038">
              <w:rPr>
                <w:sz w:val="19"/>
                <w:szCs w:val="19"/>
              </w:rPr>
              <w:t>$314,182</w:t>
            </w:r>
          </w:p>
        </w:tc>
        <w:tc>
          <w:tcPr>
            <w:tcW w:w="1228"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r>
      <w:tr w:rsidR="00A874AC" w:rsidRPr="007660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766038" w:rsidRDefault="00D34138" w:rsidP="00A90285">
            <w:pPr>
              <w:jc w:val="left"/>
              <w:rPr>
                <w:color w:val="000000"/>
                <w:sz w:val="19"/>
                <w:szCs w:val="19"/>
              </w:rPr>
            </w:pPr>
            <w:r w:rsidRPr="00766038">
              <w:rPr>
                <w:color w:val="000000"/>
                <w:sz w:val="19"/>
                <w:szCs w:val="19"/>
              </w:rPr>
              <w:t xml:space="preserve">TRC </w:t>
            </w:r>
            <w:r w:rsidR="00A90285" w:rsidRPr="00766038">
              <w:rPr>
                <w:color w:val="000000"/>
                <w:sz w:val="19"/>
                <w:szCs w:val="19"/>
              </w:rPr>
              <w:t>B/C</w:t>
            </w:r>
            <w:r w:rsidRPr="00766038">
              <w:rPr>
                <w:color w:val="000000"/>
                <w:sz w:val="19"/>
                <w:szCs w:val="19"/>
              </w:rPr>
              <w:t xml:space="preserve"> Ratio </w:t>
            </w:r>
            <w:r w:rsidRPr="00766038">
              <w:rPr>
                <w:color w:val="000000"/>
                <w:sz w:val="19"/>
                <w:szCs w:val="19"/>
                <w:vertAlign w:val="superscript"/>
              </w:rPr>
              <w:t>[c]</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 xml:space="preserve">N/A </w:t>
            </w:r>
            <w:r w:rsidRPr="00766038">
              <w:rPr>
                <w:sz w:val="19"/>
                <w:szCs w:val="19"/>
                <w:vertAlign w:val="superscript"/>
              </w:rPr>
              <w:t>[g]</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1.59</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1.59</w:t>
            </w:r>
          </w:p>
        </w:tc>
        <w:tc>
          <w:tcPr>
            <w:tcW w:w="1228"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766038" w:rsidRDefault="00D34138" w:rsidP="00D34138">
            <w:pPr>
              <w:jc w:val="center"/>
              <w:rPr>
                <w:sz w:val="19"/>
                <w:szCs w:val="19"/>
              </w:rPr>
            </w:pPr>
            <w:r w:rsidRPr="00766038">
              <w:rPr>
                <w:sz w:val="19"/>
                <w:szCs w:val="19"/>
              </w:rPr>
              <w:t>N/A</w:t>
            </w:r>
          </w:p>
        </w:tc>
      </w:tr>
      <w:tr w:rsidR="00E7173E" w:rsidRPr="00766038" w:rsidTr="00592FD5">
        <w:trPr>
          <w:gridAfter w:val="1"/>
          <w:wAfter w:w="10" w:type="dxa"/>
          <w:trHeight w:val="489"/>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766038" w:rsidRDefault="00D34138" w:rsidP="00D34138">
            <w:pPr>
              <w:jc w:val="left"/>
              <w:rPr>
                <w:color w:val="000000"/>
                <w:sz w:val="19"/>
                <w:szCs w:val="19"/>
              </w:rPr>
            </w:pPr>
            <w:r w:rsidRPr="00766038">
              <w:rPr>
                <w:color w:val="000000"/>
                <w:sz w:val="19"/>
                <w:szCs w:val="19"/>
              </w:rPr>
              <w:t>CO</w:t>
            </w:r>
            <w:r w:rsidRPr="00766038">
              <w:rPr>
                <w:color w:val="000000"/>
                <w:sz w:val="19"/>
                <w:szCs w:val="19"/>
                <w:vertAlign w:val="subscript"/>
              </w:rPr>
              <w:t>2</w:t>
            </w:r>
            <w:r w:rsidRPr="00766038">
              <w:rPr>
                <w:color w:val="000000"/>
                <w:sz w:val="19"/>
                <w:szCs w:val="19"/>
              </w:rPr>
              <w:t xml:space="preserve"> Emissions Reduction (Tons) </w:t>
            </w:r>
            <w:r w:rsidRPr="00766038">
              <w:rPr>
                <w:color w:val="000000"/>
                <w:sz w:val="19"/>
                <w:szCs w:val="19"/>
                <w:vertAlign w:val="superscript"/>
              </w:rPr>
              <w:t>[d][e]</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554,832</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0F45E7" w:rsidP="00D34138">
            <w:pPr>
              <w:jc w:val="center"/>
              <w:rPr>
                <w:sz w:val="19"/>
                <w:szCs w:val="19"/>
              </w:rPr>
            </w:pPr>
            <w:r w:rsidRPr="00766038">
              <w:rPr>
                <w:sz w:val="19"/>
                <w:szCs w:val="19"/>
              </w:rPr>
              <w:t>538,376</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381,888</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0F45E7" w:rsidP="00D34138">
            <w:pPr>
              <w:jc w:val="center"/>
              <w:rPr>
                <w:sz w:val="19"/>
                <w:szCs w:val="19"/>
              </w:rPr>
            </w:pPr>
            <w:r w:rsidRPr="00766038">
              <w:rPr>
                <w:sz w:val="19"/>
                <w:szCs w:val="19"/>
              </w:rPr>
              <w:t>920,264</w:t>
            </w:r>
          </w:p>
        </w:tc>
        <w:tc>
          <w:tcPr>
            <w:tcW w:w="1228"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766038" w:rsidRDefault="00D34138" w:rsidP="00D34138">
            <w:pPr>
              <w:jc w:val="center"/>
              <w:rPr>
                <w:sz w:val="19"/>
                <w:szCs w:val="19"/>
              </w:rPr>
            </w:pPr>
            <w:r w:rsidRPr="00766038">
              <w:rPr>
                <w:sz w:val="19"/>
                <w:szCs w:val="19"/>
              </w:rPr>
              <w:t>N/A</w:t>
            </w:r>
          </w:p>
        </w:tc>
      </w:tr>
      <w:tr w:rsidR="00D34138" w:rsidRPr="007A007D" w:rsidTr="00592FD5">
        <w:trPr>
          <w:trHeight w:val="3085"/>
        </w:trPr>
        <w:tc>
          <w:tcPr>
            <w:tcW w:w="9403" w:type="dxa"/>
            <w:gridSpan w:val="8"/>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D34138" w:rsidRPr="007A007D" w:rsidRDefault="00D34138" w:rsidP="00D34138">
            <w:pPr>
              <w:jc w:val="left"/>
              <w:rPr>
                <w:color w:val="FFFFFF"/>
                <w:sz w:val="18"/>
                <w:szCs w:val="19"/>
              </w:rPr>
            </w:pPr>
            <w:r w:rsidRPr="007A007D">
              <w:rPr>
                <w:color w:val="FFFFFF"/>
                <w:sz w:val="18"/>
                <w:szCs w:val="19"/>
              </w:rPr>
              <w:t xml:space="preserve">NOTES: </w:t>
            </w:r>
            <w:r w:rsidRPr="007A007D">
              <w:rPr>
                <w:color w:val="FFFFFF"/>
                <w:sz w:val="18"/>
                <w:szCs w:val="19"/>
              </w:rPr>
              <w:br/>
              <w:t>[a] Avoided supply costs, including the reduction in costs of electric energy, generation, transmission, and distribution capacity. Subject to TRC Order.</w:t>
            </w:r>
            <w:r w:rsidRPr="007A007D">
              <w:rPr>
                <w:color w:val="FFFFFF"/>
                <w:sz w:val="18"/>
                <w:szCs w:val="19"/>
              </w:rPr>
              <w:br/>
              <w:t>[b] Costs paid by the program administrator and participants plus the increase in supply costs for any period when load is increased.  Subject to TRC Order.</w:t>
            </w:r>
            <w:r w:rsidRPr="007A007D">
              <w:rPr>
                <w:color w:val="FFFFFF"/>
                <w:sz w:val="18"/>
                <w:szCs w:val="19"/>
              </w:rPr>
              <w:br/>
              <w:t>[c] Subject to the Commission’s August 31, 2012 TRC Order.</w:t>
            </w:r>
            <w:r w:rsidRPr="007A007D">
              <w:rPr>
                <w:color w:val="FFFFFF"/>
                <w:sz w:val="18"/>
                <w:szCs w:val="19"/>
              </w:rPr>
              <w:br/>
              <w:t>[d] CO</w:t>
            </w:r>
            <w:r w:rsidRPr="007A007D">
              <w:rPr>
                <w:color w:val="FFFFFF"/>
                <w:sz w:val="18"/>
                <w:szCs w:val="19"/>
                <w:vertAlign w:val="subscript"/>
              </w:rPr>
              <w:t>2</w:t>
            </w:r>
            <w:r w:rsidRPr="007A007D">
              <w:rPr>
                <w:color w:val="FFFFFF"/>
                <w:sz w:val="18"/>
                <w:szCs w:val="19"/>
              </w:rPr>
              <w:t xml:space="preserve"> conversion based on 1,541 </w:t>
            </w:r>
            <w:r w:rsidR="00766038" w:rsidRPr="007A007D">
              <w:rPr>
                <w:color w:val="FFFFFF"/>
                <w:sz w:val="18"/>
                <w:szCs w:val="19"/>
              </w:rPr>
              <w:t>lbs.</w:t>
            </w:r>
            <w:r w:rsidRPr="007A007D">
              <w:rPr>
                <w:color w:val="FFFFFF"/>
                <w:sz w:val="18"/>
                <w:szCs w:val="19"/>
              </w:rPr>
              <w:t xml:space="preserve"> CO</w:t>
            </w:r>
            <w:r w:rsidRPr="007A007D">
              <w:rPr>
                <w:color w:val="FFFFFF"/>
                <w:sz w:val="18"/>
                <w:szCs w:val="19"/>
                <w:vertAlign w:val="subscript"/>
              </w:rPr>
              <w:t>2</w:t>
            </w:r>
            <w:r w:rsidRPr="007A007D">
              <w:rPr>
                <w:color w:val="FFFFFF"/>
                <w:sz w:val="18"/>
                <w:szCs w:val="19"/>
              </w:rPr>
              <w:t xml:space="preserve"> per MWh according to the latest available (2015) PJM Emission Report of marginal off-peak annual CO</w:t>
            </w:r>
            <w:r w:rsidRPr="007A007D">
              <w:rPr>
                <w:color w:val="FFFFFF"/>
                <w:sz w:val="18"/>
                <w:szCs w:val="19"/>
                <w:vertAlign w:val="subscript"/>
              </w:rPr>
              <w:t>2</w:t>
            </w:r>
            <w:r w:rsidRPr="007A007D">
              <w:rPr>
                <w:color w:val="FFFFFF"/>
                <w:sz w:val="18"/>
                <w:szCs w:val="19"/>
              </w:rPr>
              <w:t xml:space="preserve"> emission rate.</w:t>
            </w:r>
            <w:r w:rsidRPr="007A007D">
              <w:rPr>
                <w:color w:val="FFFFFF"/>
                <w:sz w:val="18"/>
                <w:szCs w:val="19"/>
              </w:rPr>
              <w:br/>
              <w:t>[e] CO</w:t>
            </w:r>
            <w:r w:rsidRPr="007A007D">
              <w:rPr>
                <w:color w:val="FFFFFF"/>
                <w:sz w:val="18"/>
                <w:szCs w:val="19"/>
                <w:vertAlign w:val="subscript"/>
              </w:rPr>
              <w:t>2</w:t>
            </w:r>
            <w:r w:rsidRPr="007A007D">
              <w:rPr>
                <w:color w:val="FFFFFF"/>
                <w:sz w:val="18"/>
                <w:szCs w:val="19"/>
              </w:rPr>
              <w:t xml:space="preserve"> emissions are reported due to Stakeholder interest in this information and to recognize that reporting this information is recommended by the National Action Plan for Energy Efficiency.</w:t>
            </w:r>
            <w:r w:rsidRPr="007A007D">
              <w:rPr>
                <w:color w:val="FFFFFF"/>
                <w:sz w:val="18"/>
                <w:szCs w:val="19"/>
              </w:rPr>
              <w:br/>
              <w:t>[f] Phase II Reported Gross Impact is the cumulative program/portfolio Phase II Inception to Date Reported Gross Savings.</w:t>
            </w:r>
            <w:r w:rsidRPr="007A007D">
              <w:rPr>
                <w:color w:val="FFFFFF"/>
                <w:sz w:val="18"/>
                <w:szCs w:val="19"/>
              </w:rPr>
              <w:br/>
              <w:t>[g] TRC Benefits and Costs are calculated only for verified savings, which reflect actual program results.</w:t>
            </w:r>
            <w:r w:rsidRPr="007A007D">
              <w:rPr>
                <w:color w:val="FFFFFF"/>
                <w:sz w:val="18"/>
                <w:szCs w:val="19"/>
              </w:rPr>
              <w:br/>
              <w:t>[h] Phase II Verified Impact is the cumulative program/portfolio Phase II Inception to Date Verified Gross Savings.</w:t>
            </w:r>
            <w:r w:rsidRPr="007A007D">
              <w:rPr>
                <w:color w:val="FFFFFF"/>
                <w:sz w:val="18"/>
                <w:szCs w:val="19"/>
              </w:rPr>
              <w:br/>
              <w:t>[i] Savings achieved based on Phase II Inception-to-Date Verified Gross Savings.</w:t>
            </w:r>
          </w:p>
        </w:tc>
      </w:tr>
    </w:tbl>
    <w:p w:rsidR="0043410E" w:rsidRPr="0043410E" w:rsidRDefault="0043410E" w:rsidP="0043410E"/>
    <w:p w:rsidR="00A806A3" w:rsidRDefault="00933BF5" w:rsidP="00A806A3">
      <w:r>
        <w:t>PPL</w:t>
      </w:r>
      <w:r w:rsidR="00A806A3">
        <w:t xml:space="preserve"> </w:t>
      </w:r>
      <w:r w:rsidR="00A806A3" w:rsidRPr="00A806A3">
        <w:t xml:space="preserve">achieved </w:t>
      </w:r>
      <w:r w:rsidR="00537427">
        <w:t>14</w:t>
      </w:r>
      <w:r w:rsidR="00845C4B">
        <w:t>5</w:t>
      </w:r>
      <w:r w:rsidR="00A806A3" w:rsidRPr="00A806A3">
        <w:t>% of</w:t>
      </w:r>
      <w:r w:rsidR="00A806A3">
        <w:t xml:space="preserve"> its Act 129 Phase II energy savings target through the end of PY7</w:t>
      </w:r>
      <w:r w:rsidR="00537427">
        <w:t xml:space="preserve"> (including Phase I carryover)</w:t>
      </w:r>
      <w:r w:rsidR="00A806A3">
        <w:t xml:space="preserve">. The TRC ratio </w:t>
      </w:r>
      <w:r w:rsidR="00A806A3" w:rsidRPr="00A806A3">
        <w:t xml:space="preserve">of </w:t>
      </w:r>
      <w:r>
        <w:t>PPL</w:t>
      </w:r>
      <w:r w:rsidR="00A806A3" w:rsidRPr="00A806A3">
        <w:t>’s programs was 1.5</w:t>
      </w:r>
      <w:r>
        <w:t>9</w:t>
      </w:r>
      <w:r w:rsidR="00A806A3" w:rsidRPr="00A806A3">
        <w:t>, which indicates that its portfolio of EE&amp;C programs is cost-effective on an aggregated basis</w:t>
      </w:r>
      <w:r w:rsidR="00A806A3">
        <w:t>.</w:t>
      </w:r>
    </w:p>
    <w:p w:rsidR="00A806A3" w:rsidRDefault="00A806A3" w:rsidP="00A806A3"/>
    <w:p w:rsidR="00A806A3" w:rsidRDefault="004F1B4F" w:rsidP="00A806A3">
      <w:r>
        <w:fldChar w:fldCharType="begin"/>
      </w:r>
      <w:r>
        <w:instrText xml:space="preserve"> REF _Ref472409761 \h </w:instrText>
      </w:r>
      <w:r>
        <w:fldChar w:fldCharType="separate"/>
      </w:r>
      <w:r w:rsidR="00037CB4">
        <w:t xml:space="preserve">Figure </w:t>
      </w:r>
      <w:r w:rsidR="00037CB4">
        <w:rPr>
          <w:noProof/>
        </w:rPr>
        <w:t>2</w:t>
      </w:r>
      <w:r w:rsidR="00037CB4">
        <w:noBreakHyphen/>
      </w:r>
      <w:r w:rsidR="00037CB4">
        <w:rPr>
          <w:noProof/>
        </w:rPr>
        <w:t>23</w:t>
      </w:r>
      <w:r>
        <w:fldChar w:fldCharType="end"/>
      </w:r>
      <w:r w:rsidR="00A806A3">
        <w:t xml:space="preserve"> shows the </w:t>
      </w:r>
      <w:r w:rsidR="000C66A7">
        <w:t xml:space="preserve">cumulative </w:t>
      </w:r>
      <w:r w:rsidR="00A806A3">
        <w:t xml:space="preserve">verified gross savings after each program year during Phase II. The data in this figure does not include carryover savings from Phase I. The </w:t>
      </w:r>
      <w:r w:rsidR="00C03CB0">
        <w:t xml:space="preserve">C/I </w:t>
      </w:r>
      <w:r w:rsidR="00A806A3">
        <w:t xml:space="preserve">sector accounted for the highest savings for </w:t>
      </w:r>
      <w:r w:rsidR="00933BF5">
        <w:t>PPL</w:t>
      </w:r>
      <w:r w:rsidR="00A806A3">
        <w:t xml:space="preserve"> during Phase II.</w:t>
      </w:r>
    </w:p>
    <w:p w:rsidR="00823FE0" w:rsidRDefault="00823FE0" w:rsidP="00A806A3"/>
    <w:p w:rsidR="00E707E0" w:rsidRDefault="004F1B4F" w:rsidP="004837FA">
      <w:pPr>
        <w:pStyle w:val="Caption"/>
      </w:pPr>
      <w:bookmarkStart w:id="236" w:name="_Ref472409761"/>
      <w:bookmarkStart w:id="237" w:name="_Toc472472230"/>
      <w:bookmarkStart w:id="238" w:name="_Toc488741809"/>
      <w:r>
        <w:t xml:space="preserve">Figure </w:t>
      </w:r>
      <w:r w:rsidR="007973A4">
        <w:fldChar w:fldCharType="begin"/>
      </w:r>
      <w:r w:rsidR="007973A4">
        <w:instrText xml:space="preserve"> STYLEREF 1 \s </w:instrText>
      </w:r>
      <w:r w:rsidR="007973A4">
        <w:fldChar w:fldCharType="separate"/>
      </w:r>
      <w:r w:rsidR="00037CB4">
        <w:rPr>
          <w:noProof/>
        </w:rPr>
        <w:t>2</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23</w:t>
      </w:r>
      <w:r w:rsidR="007973A4">
        <w:rPr>
          <w:noProof/>
        </w:rPr>
        <w:fldChar w:fldCharType="end"/>
      </w:r>
      <w:bookmarkEnd w:id="236"/>
      <w:r>
        <w:t xml:space="preserve">: </w:t>
      </w:r>
      <w:r w:rsidR="00D34138">
        <w:t>PPL</w:t>
      </w:r>
      <w:r w:rsidR="00A806A3" w:rsidRPr="001928C8">
        <w:t xml:space="preserve"> Phase</w:t>
      </w:r>
      <w:r w:rsidR="00A806A3">
        <w:t xml:space="preserve"> I</w:t>
      </w:r>
      <w:r w:rsidR="00A806A3" w:rsidRPr="001928C8">
        <w:t xml:space="preserve">I </w:t>
      </w:r>
      <w:r w:rsidR="002E319D">
        <w:t xml:space="preserve">Cumulative </w:t>
      </w:r>
      <w:r w:rsidR="00A806A3">
        <w:t>V</w:t>
      </w:r>
      <w:r w:rsidR="00A806A3" w:rsidRPr="001928C8">
        <w:t>erified</w:t>
      </w:r>
      <w:r w:rsidR="00C03CB0">
        <w:t xml:space="preserve"> Gross</w:t>
      </w:r>
      <w:r w:rsidR="00A806A3" w:rsidRPr="001928C8">
        <w:t xml:space="preserve"> Savings by Program Year and Sector</w:t>
      </w:r>
      <w:bookmarkEnd w:id="237"/>
      <w:bookmarkEnd w:id="238"/>
    </w:p>
    <w:p w:rsidR="00E707E0" w:rsidRDefault="004E3F18" w:rsidP="00E707E0">
      <w:r>
        <w:rPr>
          <w:noProof/>
        </w:rPr>
        <w:drawing>
          <wp:inline distT="0" distB="0" distL="0" distR="0" wp14:anchorId="08A19594" wp14:editId="39F402FE">
            <wp:extent cx="6147809" cy="330134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61545" cy="3308716"/>
                    </a:xfrm>
                    <a:prstGeom prst="rect">
                      <a:avLst/>
                    </a:prstGeom>
                    <a:noFill/>
                  </pic:spPr>
                </pic:pic>
              </a:graphicData>
            </a:graphic>
          </wp:inline>
        </w:drawing>
      </w:r>
    </w:p>
    <w:p w:rsidR="006F6EBD" w:rsidRDefault="006F6EBD">
      <w:pPr>
        <w:jc w:val="left"/>
        <w:rPr>
          <w:rFonts w:ascii="Century Gothic" w:eastAsiaTheme="minorHAnsi" w:hAnsi="Century Gothic" w:cstheme="minorBidi"/>
          <w:caps/>
          <w:color w:val="FFFFFF" w:themeColor="background1"/>
          <w:spacing w:val="-20"/>
          <w:sz w:val="28"/>
        </w:rPr>
      </w:pPr>
      <w:bookmarkStart w:id="239" w:name="_Ref472258038"/>
      <w:bookmarkStart w:id="240" w:name="_Toc472472103"/>
      <w:r>
        <w:br w:type="page"/>
      </w:r>
    </w:p>
    <w:p w:rsidR="00D40FF6" w:rsidRPr="00705585" w:rsidRDefault="00D40FF6" w:rsidP="00705585">
      <w:pPr>
        <w:pStyle w:val="Heading1"/>
      </w:pPr>
      <w:bookmarkStart w:id="241" w:name="_Toc488765796"/>
      <w:r w:rsidRPr="00705585">
        <w:t xml:space="preserve">Demand </w:t>
      </w:r>
      <w:r w:rsidR="00AD56C0" w:rsidRPr="00705585">
        <w:t>Savings</w:t>
      </w:r>
      <w:r w:rsidR="00766038" w:rsidRPr="00705585">
        <w:t xml:space="preserve"> from Energy Efficiency│ </w:t>
      </w:r>
      <w:r w:rsidRPr="00705585">
        <w:t>P</w:t>
      </w:r>
      <w:r w:rsidR="00766038" w:rsidRPr="00705585">
        <w:t xml:space="preserve">rogram Year </w:t>
      </w:r>
      <w:r w:rsidRPr="00705585">
        <w:t xml:space="preserve">7 </w:t>
      </w:r>
      <w:r w:rsidR="00766038" w:rsidRPr="00705585">
        <w:t>&amp;</w:t>
      </w:r>
      <w:r w:rsidRPr="00705585">
        <w:t xml:space="preserve"> Phase II</w:t>
      </w:r>
      <w:bookmarkEnd w:id="239"/>
      <w:bookmarkEnd w:id="240"/>
      <w:bookmarkEnd w:id="241"/>
    </w:p>
    <w:p w:rsidR="00C726CF" w:rsidRDefault="00C726CF" w:rsidP="00C726CF">
      <w:r>
        <w:t xml:space="preserve">This section of the report </w:t>
      </w:r>
      <w:r w:rsidRPr="00204453">
        <w:t xml:space="preserve">discusses </w:t>
      </w:r>
      <w:r>
        <w:t xml:space="preserve">demand </w:t>
      </w:r>
      <w:r w:rsidRPr="00204453">
        <w:t>reduction</w:t>
      </w:r>
      <w:r>
        <w:t xml:space="preserve">s achieved </w:t>
      </w:r>
      <w:r w:rsidRPr="00204453">
        <w:t>under Act 129</w:t>
      </w:r>
      <w:r>
        <w:t xml:space="preserve"> </w:t>
      </w:r>
      <w:r w:rsidR="00F5458E">
        <w:t>by</w:t>
      </w:r>
      <w:r w:rsidR="00F95DF6">
        <w:t xml:space="preserve"> EDC</w:t>
      </w:r>
      <w:r>
        <w:t xml:space="preserve"> energy efficiency</w:t>
      </w:r>
      <w:r w:rsidR="00F95DF6">
        <w:t xml:space="preserve"> programs</w:t>
      </w:r>
      <w:r w:rsidR="00F5458E">
        <w:t>.</w:t>
      </w:r>
      <w:r w:rsidRPr="00204453">
        <w:t xml:space="preserve"> Th</w:t>
      </w:r>
      <w:r>
        <w:t>e demand reductions are provided on a statewide basis and by EDC, for both PY7 and Phase II</w:t>
      </w:r>
      <w:r w:rsidR="00F5458E">
        <w:t>.</w:t>
      </w:r>
    </w:p>
    <w:p w:rsidR="00C726CF" w:rsidRPr="00C726CF" w:rsidRDefault="00C726CF" w:rsidP="00C726CF"/>
    <w:p w:rsidR="00D40FF6" w:rsidRDefault="00D40FF6" w:rsidP="00E673F0">
      <w:pPr>
        <w:pStyle w:val="Heading2"/>
      </w:pPr>
      <w:bookmarkStart w:id="242" w:name="_Toc472472104"/>
      <w:bookmarkStart w:id="243" w:name="_Toc488765797"/>
      <w:r>
        <w:t>Results for Three-Year A</w:t>
      </w:r>
      <w:r w:rsidR="001F1AAA">
        <w:t>ct</w:t>
      </w:r>
      <w:r>
        <w:t xml:space="preserve"> 129 Phase II</w:t>
      </w:r>
      <w:bookmarkEnd w:id="242"/>
      <w:bookmarkEnd w:id="243"/>
    </w:p>
    <w:p w:rsidR="00375285" w:rsidRDefault="00375285" w:rsidP="00375285">
      <w:r>
        <w:t>Although there were no demand reduction targets in Phase II, EDCs tracked, evaluated, and reported peak demand savings for all</w:t>
      </w:r>
      <w:r w:rsidR="00F95DF6">
        <w:t xml:space="preserve"> energy efficiency</w:t>
      </w:r>
      <w:r>
        <w:t xml:space="preserve"> programs in all sectors. Demand evaluation was not held to the same confidence and precision requirements</w:t>
      </w:r>
      <w:r w:rsidR="00F95DF6">
        <w:t xml:space="preserve"> as established</w:t>
      </w:r>
      <w:r>
        <w:t xml:space="preserve"> for energy</w:t>
      </w:r>
      <w:r w:rsidR="00F95DF6">
        <w:t xml:space="preserve"> savings</w:t>
      </w:r>
      <w:r>
        <w:t xml:space="preserve"> at the program and portfolio level</w:t>
      </w:r>
      <w:r w:rsidR="00F5458E">
        <w:t>s</w:t>
      </w:r>
      <w:r>
        <w:t>. However, in the course of program energy evaluation, all EDCs managed to achieve 10% precision at the 90% confidence interval for demand</w:t>
      </w:r>
      <w:r w:rsidR="00F95DF6">
        <w:t xml:space="preserve"> savings</w:t>
      </w:r>
      <w:r>
        <w:t xml:space="preserve"> at the portfolio level for Phase II. This high level of precision gives the SWE confidence in the Phase II verified demand savings presented below.</w:t>
      </w:r>
    </w:p>
    <w:p w:rsidR="00375285" w:rsidRPr="00375285" w:rsidRDefault="00375285" w:rsidP="00375285"/>
    <w:p w:rsidR="00D40FF6" w:rsidRDefault="00D40FF6" w:rsidP="00E673F0">
      <w:pPr>
        <w:pStyle w:val="Heading3"/>
      </w:pPr>
      <w:bookmarkStart w:id="244" w:name="_Toc472472105"/>
      <w:bookmarkStart w:id="245" w:name="_Toc488765798"/>
      <w:r>
        <w:t>Statewide Summary</w:t>
      </w:r>
      <w:bookmarkEnd w:id="244"/>
      <w:bookmarkEnd w:id="245"/>
    </w:p>
    <w:p w:rsidR="00375285" w:rsidRDefault="003363E4" w:rsidP="00375285">
      <w:r>
        <w:fldChar w:fldCharType="begin"/>
      </w:r>
      <w:r>
        <w:instrText xml:space="preserve"> REF _Ref472346989 \h </w:instrText>
      </w:r>
      <w:r>
        <w:fldChar w:fldCharType="separate"/>
      </w:r>
      <w:r w:rsidR="00037CB4">
        <w:t xml:space="preserve">Table </w:t>
      </w:r>
      <w:r w:rsidR="00037CB4">
        <w:rPr>
          <w:noProof/>
        </w:rPr>
        <w:t>3</w:t>
      </w:r>
      <w:r w:rsidR="00037CB4">
        <w:noBreakHyphen/>
      </w:r>
      <w:r w:rsidR="00037CB4">
        <w:rPr>
          <w:noProof/>
        </w:rPr>
        <w:t>1</w:t>
      </w:r>
      <w:r>
        <w:fldChar w:fldCharType="end"/>
      </w:r>
      <w:r w:rsidR="00375285">
        <w:t xml:space="preserve"> summarizes the reported and verified </w:t>
      </w:r>
      <w:r w:rsidR="00F5458E">
        <w:t xml:space="preserve">gross </w:t>
      </w:r>
      <w:r w:rsidR="00375285">
        <w:t>demand reductions for each EDC for Phase II.</w:t>
      </w:r>
      <w:r w:rsidR="00A242AC" w:rsidRPr="00A242AC">
        <w:t xml:space="preserve"> </w:t>
      </w:r>
      <w:r w:rsidR="00A242AC">
        <w:t xml:space="preserve">Statewide, the verified gross savings were slightly less </w:t>
      </w:r>
      <w:r w:rsidR="004B4AD9">
        <w:t>than the reported gross savings</w:t>
      </w:r>
      <w:r w:rsidR="00A242AC">
        <w:t>.</w:t>
      </w:r>
    </w:p>
    <w:p w:rsidR="00375285" w:rsidRDefault="00375285" w:rsidP="00375285"/>
    <w:p w:rsidR="00375285" w:rsidRDefault="00375285" w:rsidP="004837FA">
      <w:pPr>
        <w:pStyle w:val="Caption"/>
      </w:pPr>
      <w:bookmarkStart w:id="246" w:name="_Ref472346989"/>
      <w:bookmarkStart w:id="247" w:name="_Toc472472176"/>
      <w:bookmarkStart w:id="248" w:name="_Toc488741754"/>
      <w:r>
        <w:t xml:space="preserve">Table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w:t>
      </w:r>
      <w:r w:rsidR="007973A4">
        <w:rPr>
          <w:noProof/>
        </w:rPr>
        <w:fldChar w:fldCharType="end"/>
      </w:r>
      <w:bookmarkEnd w:id="246"/>
      <w:r>
        <w:t>:</w:t>
      </w:r>
      <w:r w:rsidR="00A242AC">
        <w:t xml:space="preserve"> </w:t>
      </w:r>
      <w:r>
        <w:t xml:space="preserve">Phase II </w:t>
      </w:r>
      <w:r w:rsidR="004365AD">
        <w:t xml:space="preserve">Cumulative </w:t>
      </w:r>
      <w:r w:rsidR="00B60292">
        <w:t xml:space="preserve">Gross </w:t>
      </w:r>
      <w:r>
        <w:t>Demand Savings</w:t>
      </w:r>
      <w:bookmarkEnd w:id="247"/>
      <w:bookmarkEnd w:id="248"/>
    </w:p>
    <w:tbl>
      <w:tblPr>
        <w:tblW w:w="9353" w:type="dxa"/>
        <w:tblInd w:w="-5" w:type="dxa"/>
        <w:tblLayout w:type="fixed"/>
        <w:tblLook w:val="04A0" w:firstRow="1" w:lastRow="0" w:firstColumn="1" w:lastColumn="0" w:noHBand="0" w:noVBand="1"/>
      </w:tblPr>
      <w:tblGrid>
        <w:gridCol w:w="3117"/>
        <w:gridCol w:w="3118"/>
        <w:gridCol w:w="3118"/>
      </w:tblGrid>
      <w:tr w:rsidR="00A874AC" w:rsidRPr="00766038" w:rsidTr="00766038">
        <w:trPr>
          <w:cantSplit/>
          <w:trHeight w:val="511"/>
          <w:tblHeader/>
        </w:trPr>
        <w:tc>
          <w:tcPr>
            <w:tcW w:w="3117" w:type="dxa"/>
            <w:tcBorders>
              <w:top w:val="single" w:sz="4" w:space="0" w:color="448A99"/>
              <w:left w:val="single" w:sz="4" w:space="0" w:color="448A99"/>
              <w:bottom w:val="single" w:sz="4" w:space="0" w:color="448A99"/>
              <w:right w:val="single" w:sz="4" w:space="0" w:color="448A99"/>
            </w:tcBorders>
            <w:shd w:val="clear" w:color="000000" w:fill="448A99"/>
            <w:vAlign w:val="bottom"/>
            <w:hideMark/>
          </w:tcPr>
          <w:p w:rsidR="004B4AD9" w:rsidRPr="00766038" w:rsidRDefault="004B4AD9" w:rsidP="00375285">
            <w:pPr>
              <w:rPr>
                <w:b/>
                <w:bCs/>
                <w:color w:val="FFFFFF"/>
                <w:sz w:val="19"/>
                <w:szCs w:val="19"/>
              </w:rPr>
            </w:pPr>
            <w:r w:rsidRPr="00766038">
              <w:rPr>
                <w:b/>
                <w:bCs/>
                <w:color w:val="FFFFFF"/>
                <w:sz w:val="19"/>
                <w:szCs w:val="19"/>
              </w:rPr>
              <w:t>EDC</w:t>
            </w:r>
          </w:p>
        </w:tc>
        <w:tc>
          <w:tcPr>
            <w:tcW w:w="3118" w:type="dxa"/>
            <w:tcBorders>
              <w:top w:val="single" w:sz="8" w:space="0" w:color="448A99"/>
              <w:left w:val="nil"/>
              <w:bottom w:val="single" w:sz="8" w:space="0" w:color="448A99"/>
              <w:right w:val="single" w:sz="8" w:space="0" w:color="448A99"/>
            </w:tcBorders>
            <w:shd w:val="clear" w:color="000000" w:fill="448A99"/>
            <w:vAlign w:val="center"/>
          </w:tcPr>
          <w:p w:rsidR="004B4AD9" w:rsidRPr="00766038" w:rsidRDefault="004B4AD9" w:rsidP="00375285">
            <w:pPr>
              <w:jc w:val="center"/>
              <w:rPr>
                <w:b/>
                <w:bCs/>
                <w:color w:val="FFFFFF"/>
                <w:sz w:val="19"/>
                <w:szCs w:val="19"/>
              </w:rPr>
            </w:pPr>
            <w:r w:rsidRPr="00766038">
              <w:rPr>
                <w:b/>
                <w:bCs/>
                <w:color w:val="FFFFFF"/>
                <w:sz w:val="19"/>
                <w:szCs w:val="19"/>
              </w:rPr>
              <w:t>Phase II Reported Gross Demand Savings (MW)</w:t>
            </w:r>
          </w:p>
        </w:tc>
        <w:tc>
          <w:tcPr>
            <w:tcW w:w="3118" w:type="dxa"/>
            <w:tcBorders>
              <w:top w:val="single" w:sz="8" w:space="0" w:color="448A99"/>
              <w:left w:val="nil"/>
              <w:bottom w:val="single" w:sz="8" w:space="0" w:color="448A99"/>
              <w:right w:val="nil"/>
            </w:tcBorders>
            <w:shd w:val="clear" w:color="000000" w:fill="448A99"/>
            <w:vAlign w:val="center"/>
          </w:tcPr>
          <w:p w:rsidR="004B4AD9" w:rsidRPr="00766038" w:rsidRDefault="004B4AD9" w:rsidP="00375285">
            <w:pPr>
              <w:jc w:val="center"/>
              <w:rPr>
                <w:b/>
                <w:bCs/>
                <w:color w:val="FFFFFF" w:themeColor="background1"/>
                <w:sz w:val="19"/>
                <w:szCs w:val="19"/>
              </w:rPr>
            </w:pPr>
            <w:r w:rsidRPr="00766038">
              <w:rPr>
                <w:b/>
                <w:color w:val="FFFFFF" w:themeColor="background1"/>
                <w:sz w:val="19"/>
                <w:szCs w:val="19"/>
              </w:rPr>
              <w:t>Phase II Verified Gross Demand Savings (MW)</w:t>
            </w:r>
          </w:p>
        </w:tc>
      </w:tr>
      <w:tr w:rsidR="00A874AC" w:rsidRPr="00766038" w:rsidTr="007A007D">
        <w:trPr>
          <w:trHeight w:val="216"/>
        </w:trPr>
        <w:tc>
          <w:tcPr>
            <w:tcW w:w="3117" w:type="dxa"/>
            <w:tcBorders>
              <w:top w:val="nil"/>
              <w:left w:val="single" w:sz="8" w:space="0" w:color="448A99"/>
              <w:bottom w:val="single" w:sz="8" w:space="0" w:color="448A99"/>
              <w:right w:val="single" w:sz="8" w:space="0" w:color="448A99"/>
            </w:tcBorders>
            <w:shd w:val="clear" w:color="000000" w:fill="D2EAF1"/>
            <w:vAlign w:val="center"/>
          </w:tcPr>
          <w:p w:rsidR="004B4AD9" w:rsidRPr="00766038" w:rsidRDefault="004B4AD9" w:rsidP="00375285">
            <w:pPr>
              <w:rPr>
                <w:bCs/>
                <w:color w:val="000000"/>
                <w:sz w:val="19"/>
                <w:szCs w:val="19"/>
              </w:rPr>
            </w:pPr>
            <w:r w:rsidRPr="00766038">
              <w:rPr>
                <w:color w:val="000000"/>
                <w:sz w:val="19"/>
                <w:szCs w:val="19"/>
              </w:rPr>
              <w:t>Duquesne</w:t>
            </w:r>
          </w:p>
        </w:tc>
        <w:tc>
          <w:tcPr>
            <w:tcW w:w="3118" w:type="dxa"/>
            <w:tcBorders>
              <w:top w:val="single" w:sz="8" w:space="0" w:color="448A99"/>
              <w:left w:val="nil"/>
              <w:bottom w:val="single" w:sz="8" w:space="0" w:color="448A99"/>
              <w:right w:val="single" w:sz="8" w:space="0" w:color="448A99"/>
            </w:tcBorders>
            <w:shd w:val="clear" w:color="000000" w:fill="D2EAF1"/>
            <w:vAlign w:val="center"/>
          </w:tcPr>
          <w:p w:rsidR="004B4AD9" w:rsidRPr="00766038" w:rsidRDefault="004B4AD9" w:rsidP="00375285">
            <w:pPr>
              <w:jc w:val="center"/>
              <w:rPr>
                <w:sz w:val="19"/>
                <w:szCs w:val="19"/>
              </w:rPr>
            </w:pPr>
            <w:r w:rsidRPr="00766038">
              <w:rPr>
                <w:sz w:val="19"/>
                <w:szCs w:val="19"/>
              </w:rPr>
              <w:t>43.81</w:t>
            </w:r>
          </w:p>
        </w:tc>
        <w:tc>
          <w:tcPr>
            <w:tcW w:w="3118" w:type="dxa"/>
            <w:tcBorders>
              <w:top w:val="single" w:sz="8" w:space="0" w:color="448A99"/>
              <w:left w:val="single" w:sz="8" w:space="0" w:color="448A99"/>
              <w:bottom w:val="single" w:sz="8" w:space="0" w:color="448A99"/>
              <w:right w:val="single" w:sz="8" w:space="0" w:color="448A99"/>
            </w:tcBorders>
            <w:shd w:val="clear" w:color="000000" w:fill="D2EAF1"/>
            <w:vAlign w:val="center"/>
          </w:tcPr>
          <w:p w:rsidR="004B4AD9" w:rsidRPr="00766038" w:rsidRDefault="004B4AD9" w:rsidP="00375285">
            <w:pPr>
              <w:jc w:val="center"/>
              <w:rPr>
                <w:sz w:val="19"/>
                <w:szCs w:val="19"/>
              </w:rPr>
            </w:pPr>
            <w:r w:rsidRPr="00766038">
              <w:rPr>
                <w:sz w:val="19"/>
                <w:szCs w:val="19"/>
              </w:rPr>
              <w:t>45.</w:t>
            </w:r>
            <w:r w:rsidR="00A60DD7">
              <w:rPr>
                <w:sz w:val="19"/>
                <w:szCs w:val="19"/>
              </w:rPr>
              <w:t>615</w:t>
            </w:r>
          </w:p>
        </w:tc>
      </w:tr>
      <w:tr w:rsidR="004B4AD9" w:rsidRPr="00766038" w:rsidTr="007A007D">
        <w:trPr>
          <w:trHeight w:val="216"/>
        </w:trPr>
        <w:tc>
          <w:tcPr>
            <w:tcW w:w="3117" w:type="dxa"/>
            <w:tcBorders>
              <w:top w:val="nil"/>
              <w:left w:val="single" w:sz="8" w:space="0" w:color="448A99"/>
              <w:bottom w:val="single" w:sz="8" w:space="0" w:color="448A99"/>
              <w:right w:val="single" w:sz="8" w:space="0" w:color="448A99"/>
            </w:tcBorders>
            <w:shd w:val="clear" w:color="auto" w:fill="auto"/>
            <w:vAlign w:val="center"/>
          </w:tcPr>
          <w:p w:rsidR="004B4AD9" w:rsidRPr="00766038" w:rsidRDefault="004B4AD9" w:rsidP="00375285">
            <w:pPr>
              <w:rPr>
                <w:bCs/>
                <w:color w:val="000000"/>
                <w:sz w:val="19"/>
                <w:szCs w:val="19"/>
                <w:lang w:eastAsia="zh-CN"/>
              </w:rPr>
            </w:pPr>
            <w:r w:rsidRPr="00766038">
              <w:rPr>
                <w:color w:val="000000"/>
                <w:sz w:val="19"/>
                <w:szCs w:val="19"/>
              </w:rPr>
              <w:t>Met-Ed</w:t>
            </w:r>
          </w:p>
        </w:tc>
        <w:tc>
          <w:tcPr>
            <w:tcW w:w="3118" w:type="dxa"/>
            <w:tcBorders>
              <w:top w:val="single" w:sz="8" w:space="0" w:color="448A99"/>
              <w:left w:val="nil"/>
              <w:bottom w:val="single" w:sz="8" w:space="0" w:color="448A99"/>
              <w:right w:val="single" w:sz="8" w:space="0" w:color="448A99"/>
            </w:tcBorders>
            <w:shd w:val="clear" w:color="auto" w:fill="auto"/>
            <w:vAlign w:val="center"/>
          </w:tcPr>
          <w:p w:rsidR="004B4AD9" w:rsidRPr="00766038" w:rsidRDefault="004B4AD9" w:rsidP="00375285">
            <w:pPr>
              <w:jc w:val="center"/>
              <w:rPr>
                <w:sz w:val="19"/>
                <w:szCs w:val="19"/>
              </w:rPr>
            </w:pPr>
            <w:r w:rsidRPr="00766038">
              <w:rPr>
                <w:sz w:val="19"/>
                <w:szCs w:val="19"/>
              </w:rPr>
              <w:t>44.24</w:t>
            </w:r>
          </w:p>
        </w:tc>
        <w:tc>
          <w:tcPr>
            <w:tcW w:w="3118" w:type="dxa"/>
            <w:tcBorders>
              <w:top w:val="single" w:sz="8" w:space="0" w:color="448A99"/>
              <w:left w:val="single" w:sz="8" w:space="0" w:color="448A99"/>
              <w:bottom w:val="single" w:sz="8" w:space="0" w:color="448A99"/>
              <w:right w:val="single" w:sz="8" w:space="0" w:color="448A99"/>
            </w:tcBorders>
            <w:vAlign w:val="center"/>
          </w:tcPr>
          <w:p w:rsidR="004B4AD9" w:rsidRPr="00766038" w:rsidRDefault="004B4AD9" w:rsidP="00375285">
            <w:pPr>
              <w:jc w:val="center"/>
              <w:rPr>
                <w:sz w:val="19"/>
                <w:szCs w:val="19"/>
              </w:rPr>
            </w:pPr>
            <w:r w:rsidRPr="00766038">
              <w:rPr>
                <w:sz w:val="19"/>
                <w:szCs w:val="19"/>
              </w:rPr>
              <w:t>45.66</w:t>
            </w:r>
          </w:p>
        </w:tc>
      </w:tr>
      <w:tr w:rsidR="00A874AC" w:rsidRPr="00766038" w:rsidTr="007A007D">
        <w:trPr>
          <w:trHeight w:val="216"/>
        </w:trPr>
        <w:tc>
          <w:tcPr>
            <w:tcW w:w="3117" w:type="dxa"/>
            <w:tcBorders>
              <w:top w:val="nil"/>
              <w:left w:val="single" w:sz="8" w:space="0" w:color="448A99"/>
              <w:bottom w:val="single" w:sz="8" w:space="0" w:color="448A99"/>
              <w:right w:val="single" w:sz="8" w:space="0" w:color="448A99"/>
            </w:tcBorders>
            <w:shd w:val="clear" w:color="000000" w:fill="D2EAF1"/>
            <w:vAlign w:val="center"/>
          </w:tcPr>
          <w:p w:rsidR="004B4AD9" w:rsidRPr="00766038" w:rsidRDefault="004B4AD9" w:rsidP="00375285">
            <w:pPr>
              <w:rPr>
                <w:bCs/>
                <w:color w:val="000000"/>
                <w:sz w:val="19"/>
                <w:szCs w:val="19"/>
                <w:lang w:eastAsia="zh-CN"/>
              </w:rPr>
            </w:pPr>
            <w:r w:rsidRPr="00766038">
              <w:rPr>
                <w:color w:val="000000"/>
                <w:sz w:val="19"/>
                <w:szCs w:val="19"/>
              </w:rPr>
              <w:t>Penelec</w:t>
            </w:r>
          </w:p>
        </w:tc>
        <w:tc>
          <w:tcPr>
            <w:tcW w:w="3118" w:type="dxa"/>
            <w:tcBorders>
              <w:top w:val="single" w:sz="8" w:space="0" w:color="448A99"/>
              <w:left w:val="nil"/>
              <w:bottom w:val="single" w:sz="8" w:space="0" w:color="448A99"/>
              <w:right w:val="single" w:sz="8" w:space="0" w:color="448A99"/>
            </w:tcBorders>
            <w:shd w:val="clear" w:color="000000" w:fill="D2EAF1"/>
            <w:vAlign w:val="center"/>
          </w:tcPr>
          <w:p w:rsidR="004B4AD9" w:rsidRPr="00766038" w:rsidRDefault="004B4AD9" w:rsidP="00375285">
            <w:pPr>
              <w:jc w:val="center"/>
              <w:rPr>
                <w:sz w:val="19"/>
                <w:szCs w:val="19"/>
              </w:rPr>
            </w:pPr>
            <w:r w:rsidRPr="00766038">
              <w:rPr>
                <w:sz w:val="19"/>
                <w:szCs w:val="19"/>
              </w:rPr>
              <w:t>44.50</w:t>
            </w:r>
          </w:p>
        </w:tc>
        <w:tc>
          <w:tcPr>
            <w:tcW w:w="3118" w:type="dxa"/>
            <w:tcBorders>
              <w:top w:val="single" w:sz="8" w:space="0" w:color="448A99"/>
              <w:left w:val="single" w:sz="8" w:space="0" w:color="448A99"/>
              <w:bottom w:val="single" w:sz="8" w:space="0" w:color="448A99"/>
              <w:right w:val="single" w:sz="8" w:space="0" w:color="448A99"/>
            </w:tcBorders>
            <w:shd w:val="clear" w:color="000000" w:fill="D2EAF1"/>
            <w:vAlign w:val="center"/>
          </w:tcPr>
          <w:p w:rsidR="004B4AD9" w:rsidRPr="00766038" w:rsidRDefault="004B4AD9" w:rsidP="00375285">
            <w:pPr>
              <w:jc w:val="center"/>
              <w:rPr>
                <w:sz w:val="19"/>
                <w:szCs w:val="19"/>
              </w:rPr>
            </w:pPr>
            <w:r w:rsidRPr="00766038">
              <w:rPr>
                <w:sz w:val="19"/>
                <w:szCs w:val="19"/>
              </w:rPr>
              <w:t>44.31</w:t>
            </w:r>
          </w:p>
        </w:tc>
      </w:tr>
      <w:tr w:rsidR="004B4AD9" w:rsidRPr="00766038" w:rsidTr="007A007D">
        <w:trPr>
          <w:trHeight w:val="216"/>
        </w:trPr>
        <w:tc>
          <w:tcPr>
            <w:tcW w:w="3117" w:type="dxa"/>
            <w:tcBorders>
              <w:top w:val="nil"/>
              <w:left w:val="single" w:sz="8" w:space="0" w:color="448A99"/>
              <w:bottom w:val="single" w:sz="8" w:space="0" w:color="448A99"/>
              <w:right w:val="single" w:sz="8" w:space="0" w:color="448A99"/>
            </w:tcBorders>
            <w:shd w:val="clear" w:color="auto" w:fill="auto"/>
            <w:vAlign w:val="center"/>
          </w:tcPr>
          <w:p w:rsidR="004B4AD9" w:rsidRPr="00766038" w:rsidRDefault="004B4AD9" w:rsidP="00375285">
            <w:pPr>
              <w:rPr>
                <w:bCs/>
                <w:color w:val="000000"/>
                <w:sz w:val="19"/>
                <w:szCs w:val="19"/>
                <w:lang w:eastAsia="zh-CN"/>
              </w:rPr>
            </w:pPr>
            <w:r w:rsidRPr="00766038">
              <w:rPr>
                <w:color w:val="000000"/>
                <w:sz w:val="19"/>
                <w:szCs w:val="19"/>
              </w:rPr>
              <w:t>Penn Power</w:t>
            </w:r>
          </w:p>
        </w:tc>
        <w:tc>
          <w:tcPr>
            <w:tcW w:w="3118" w:type="dxa"/>
            <w:tcBorders>
              <w:top w:val="single" w:sz="8" w:space="0" w:color="448A99"/>
              <w:left w:val="nil"/>
              <w:bottom w:val="single" w:sz="8" w:space="0" w:color="448A99"/>
              <w:right w:val="single" w:sz="8" w:space="0" w:color="448A99"/>
            </w:tcBorders>
            <w:shd w:val="clear" w:color="auto" w:fill="auto"/>
            <w:vAlign w:val="center"/>
          </w:tcPr>
          <w:p w:rsidR="004B4AD9" w:rsidRPr="00766038" w:rsidRDefault="004B4AD9" w:rsidP="00375285">
            <w:pPr>
              <w:jc w:val="center"/>
              <w:rPr>
                <w:sz w:val="19"/>
                <w:szCs w:val="19"/>
              </w:rPr>
            </w:pPr>
            <w:r w:rsidRPr="00766038">
              <w:rPr>
                <w:sz w:val="19"/>
                <w:szCs w:val="19"/>
              </w:rPr>
              <w:t>12.18</w:t>
            </w:r>
          </w:p>
        </w:tc>
        <w:tc>
          <w:tcPr>
            <w:tcW w:w="3118" w:type="dxa"/>
            <w:tcBorders>
              <w:top w:val="single" w:sz="8" w:space="0" w:color="448A99"/>
              <w:left w:val="single" w:sz="8" w:space="0" w:color="448A99"/>
              <w:bottom w:val="single" w:sz="8" w:space="0" w:color="448A99"/>
              <w:right w:val="single" w:sz="8" w:space="0" w:color="448A99"/>
            </w:tcBorders>
            <w:vAlign w:val="center"/>
          </w:tcPr>
          <w:p w:rsidR="004B4AD9" w:rsidRPr="00766038" w:rsidRDefault="004B4AD9" w:rsidP="00375285">
            <w:pPr>
              <w:jc w:val="center"/>
              <w:rPr>
                <w:sz w:val="19"/>
                <w:szCs w:val="19"/>
              </w:rPr>
            </w:pPr>
            <w:r w:rsidRPr="00766038">
              <w:rPr>
                <w:sz w:val="19"/>
                <w:szCs w:val="19"/>
              </w:rPr>
              <w:t>13.21</w:t>
            </w:r>
          </w:p>
        </w:tc>
      </w:tr>
      <w:tr w:rsidR="00A874AC" w:rsidRPr="00766038" w:rsidTr="007A007D">
        <w:trPr>
          <w:trHeight w:val="216"/>
        </w:trPr>
        <w:tc>
          <w:tcPr>
            <w:tcW w:w="3117" w:type="dxa"/>
            <w:tcBorders>
              <w:top w:val="nil"/>
              <w:left w:val="single" w:sz="8" w:space="0" w:color="448A99"/>
              <w:bottom w:val="single" w:sz="8" w:space="0" w:color="448A99"/>
              <w:right w:val="single" w:sz="8" w:space="0" w:color="448A99"/>
            </w:tcBorders>
            <w:shd w:val="clear" w:color="000000" w:fill="D2EAF1"/>
            <w:vAlign w:val="center"/>
          </w:tcPr>
          <w:p w:rsidR="004B4AD9" w:rsidRPr="00766038" w:rsidRDefault="004B4AD9" w:rsidP="00375285">
            <w:pPr>
              <w:rPr>
                <w:bCs/>
                <w:color w:val="000000"/>
                <w:sz w:val="19"/>
                <w:szCs w:val="19"/>
                <w:lang w:eastAsia="zh-CN"/>
              </w:rPr>
            </w:pPr>
            <w:r w:rsidRPr="00766038">
              <w:rPr>
                <w:color w:val="000000"/>
                <w:sz w:val="19"/>
                <w:szCs w:val="19"/>
              </w:rPr>
              <w:t xml:space="preserve">West Penn </w:t>
            </w:r>
          </w:p>
        </w:tc>
        <w:tc>
          <w:tcPr>
            <w:tcW w:w="3118" w:type="dxa"/>
            <w:tcBorders>
              <w:top w:val="single" w:sz="8" w:space="0" w:color="448A99"/>
              <w:left w:val="nil"/>
              <w:bottom w:val="single" w:sz="8" w:space="0" w:color="448A99"/>
              <w:right w:val="single" w:sz="8" w:space="0" w:color="448A99"/>
            </w:tcBorders>
            <w:shd w:val="clear" w:color="000000" w:fill="D2EAF1"/>
            <w:vAlign w:val="center"/>
          </w:tcPr>
          <w:p w:rsidR="004B4AD9" w:rsidRPr="00766038" w:rsidRDefault="004B4AD9" w:rsidP="00375285">
            <w:pPr>
              <w:jc w:val="center"/>
              <w:rPr>
                <w:sz w:val="19"/>
                <w:szCs w:val="19"/>
              </w:rPr>
            </w:pPr>
            <w:r w:rsidRPr="00766038">
              <w:rPr>
                <w:sz w:val="19"/>
                <w:szCs w:val="19"/>
              </w:rPr>
              <w:t>44.27</w:t>
            </w:r>
          </w:p>
        </w:tc>
        <w:tc>
          <w:tcPr>
            <w:tcW w:w="3118" w:type="dxa"/>
            <w:tcBorders>
              <w:top w:val="single" w:sz="8" w:space="0" w:color="448A99"/>
              <w:left w:val="single" w:sz="8" w:space="0" w:color="448A99"/>
              <w:bottom w:val="single" w:sz="8" w:space="0" w:color="448A99"/>
              <w:right w:val="single" w:sz="8" w:space="0" w:color="448A99"/>
            </w:tcBorders>
            <w:shd w:val="clear" w:color="000000" w:fill="D2EAF1"/>
            <w:vAlign w:val="center"/>
          </w:tcPr>
          <w:p w:rsidR="004B4AD9" w:rsidRPr="00766038" w:rsidRDefault="004B4AD9" w:rsidP="00375285">
            <w:pPr>
              <w:jc w:val="center"/>
              <w:rPr>
                <w:sz w:val="19"/>
                <w:szCs w:val="19"/>
              </w:rPr>
            </w:pPr>
            <w:r w:rsidRPr="00766038">
              <w:rPr>
                <w:sz w:val="19"/>
                <w:szCs w:val="19"/>
              </w:rPr>
              <w:t>44.37</w:t>
            </w:r>
          </w:p>
        </w:tc>
      </w:tr>
      <w:tr w:rsidR="004B4AD9" w:rsidRPr="00766038" w:rsidTr="007A007D">
        <w:trPr>
          <w:trHeight w:val="216"/>
        </w:trPr>
        <w:tc>
          <w:tcPr>
            <w:tcW w:w="3117" w:type="dxa"/>
            <w:tcBorders>
              <w:top w:val="nil"/>
              <w:left w:val="single" w:sz="8" w:space="0" w:color="448A99"/>
              <w:bottom w:val="single" w:sz="8" w:space="0" w:color="448A99"/>
              <w:right w:val="single" w:sz="8" w:space="0" w:color="448A99"/>
            </w:tcBorders>
            <w:shd w:val="clear" w:color="auto" w:fill="auto"/>
            <w:vAlign w:val="center"/>
          </w:tcPr>
          <w:p w:rsidR="004B4AD9" w:rsidRPr="00766038" w:rsidRDefault="004B4AD9" w:rsidP="00375285">
            <w:pPr>
              <w:rPr>
                <w:bCs/>
                <w:color w:val="000000"/>
                <w:sz w:val="19"/>
                <w:szCs w:val="19"/>
              </w:rPr>
            </w:pPr>
            <w:r w:rsidRPr="00766038">
              <w:rPr>
                <w:color w:val="000000"/>
                <w:sz w:val="19"/>
                <w:szCs w:val="19"/>
              </w:rPr>
              <w:t>PECO</w:t>
            </w:r>
          </w:p>
        </w:tc>
        <w:tc>
          <w:tcPr>
            <w:tcW w:w="3118" w:type="dxa"/>
            <w:tcBorders>
              <w:top w:val="single" w:sz="8" w:space="0" w:color="448A99"/>
              <w:left w:val="nil"/>
              <w:bottom w:val="single" w:sz="8" w:space="0" w:color="448A99"/>
              <w:right w:val="single" w:sz="8" w:space="0" w:color="448A99"/>
            </w:tcBorders>
            <w:shd w:val="clear" w:color="auto" w:fill="auto"/>
            <w:vAlign w:val="center"/>
          </w:tcPr>
          <w:p w:rsidR="004B4AD9" w:rsidRPr="00766038" w:rsidRDefault="004B4AD9" w:rsidP="00375285">
            <w:pPr>
              <w:jc w:val="center"/>
              <w:rPr>
                <w:sz w:val="19"/>
                <w:szCs w:val="19"/>
              </w:rPr>
            </w:pPr>
            <w:r w:rsidRPr="00766038">
              <w:rPr>
                <w:sz w:val="19"/>
                <w:szCs w:val="19"/>
              </w:rPr>
              <w:t>204.1</w:t>
            </w:r>
          </w:p>
        </w:tc>
        <w:tc>
          <w:tcPr>
            <w:tcW w:w="3118" w:type="dxa"/>
            <w:tcBorders>
              <w:top w:val="single" w:sz="8" w:space="0" w:color="448A99"/>
              <w:left w:val="single" w:sz="8" w:space="0" w:color="448A99"/>
              <w:bottom w:val="single" w:sz="8" w:space="0" w:color="448A99"/>
              <w:right w:val="single" w:sz="8" w:space="0" w:color="448A99"/>
            </w:tcBorders>
            <w:vAlign w:val="center"/>
          </w:tcPr>
          <w:p w:rsidR="004B4AD9" w:rsidRPr="00766038" w:rsidRDefault="004B4AD9" w:rsidP="00375285">
            <w:pPr>
              <w:jc w:val="center"/>
              <w:rPr>
                <w:sz w:val="19"/>
                <w:szCs w:val="19"/>
              </w:rPr>
            </w:pPr>
            <w:r w:rsidRPr="00766038">
              <w:rPr>
                <w:sz w:val="19"/>
                <w:szCs w:val="19"/>
              </w:rPr>
              <w:t>224.8</w:t>
            </w:r>
          </w:p>
        </w:tc>
      </w:tr>
      <w:tr w:rsidR="00A874AC" w:rsidRPr="00766038" w:rsidTr="007A007D">
        <w:trPr>
          <w:trHeight w:val="216"/>
        </w:trPr>
        <w:tc>
          <w:tcPr>
            <w:tcW w:w="3117" w:type="dxa"/>
            <w:tcBorders>
              <w:top w:val="nil"/>
              <w:left w:val="single" w:sz="8" w:space="0" w:color="448A99"/>
              <w:bottom w:val="single" w:sz="8" w:space="0" w:color="448A99"/>
              <w:right w:val="single" w:sz="8" w:space="0" w:color="448A99"/>
            </w:tcBorders>
            <w:shd w:val="clear" w:color="000000" w:fill="D2EAF1"/>
            <w:vAlign w:val="center"/>
          </w:tcPr>
          <w:p w:rsidR="004B4AD9" w:rsidRPr="00766038" w:rsidRDefault="004B4AD9" w:rsidP="00375285">
            <w:pPr>
              <w:rPr>
                <w:bCs/>
                <w:color w:val="000000"/>
                <w:sz w:val="19"/>
                <w:szCs w:val="19"/>
              </w:rPr>
            </w:pPr>
            <w:r w:rsidRPr="00766038">
              <w:rPr>
                <w:color w:val="000000"/>
                <w:sz w:val="19"/>
                <w:szCs w:val="19"/>
              </w:rPr>
              <w:t>PPL</w:t>
            </w:r>
          </w:p>
        </w:tc>
        <w:tc>
          <w:tcPr>
            <w:tcW w:w="3118" w:type="dxa"/>
            <w:tcBorders>
              <w:top w:val="single" w:sz="8" w:space="0" w:color="448A99"/>
              <w:left w:val="nil"/>
              <w:bottom w:val="single" w:sz="8" w:space="0" w:color="448A99"/>
              <w:right w:val="single" w:sz="8" w:space="0" w:color="448A99"/>
            </w:tcBorders>
            <w:shd w:val="clear" w:color="000000" w:fill="D2EAF1"/>
            <w:vAlign w:val="center"/>
          </w:tcPr>
          <w:p w:rsidR="004B4AD9" w:rsidRPr="00766038" w:rsidRDefault="004B4AD9" w:rsidP="00375285">
            <w:pPr>
              <w:jc w:val="center"/>
              <w:rPr>
                <w:sz w:val="19"/>
                <w:szCs w:val="19"/>
              </w:rPr>
            </w:pPr>
            <w:r w:rsidRPr="00766038">
              <w:rPr>
                <w:sz w:val="19"/>
                <w:szCs w:val="19"/>
              </w:rPr>
              <w:t>144.45</w:t>
            </w:r>
          </w:p>
        </w:tc>
        <w:tc>
          <w:tcPr>
            <w:tcW w:w="3118" w:type="dxa"/>
            <w:tcBorders>
              <w:top w:val="single" w:sz="8" w:space="0" w:color="448A99"/>
              <w:left w:val="single" w:sz="8" w:space="0" w:color="448A99"/>
              <w:bottom w:val="single" w:sz="8" w:space="0" w:color="448A99"/>
              <w:right w:val="single" w:sz="8" w:space="0" w:color="448A99"/>
            </w:tcBorders>
            <w:shd w:val="clear" w:color="000000" w:fill="D2EAF1"/>
            <w:vAlign w:val="center"/>
          </w:tcPr>
          <w:p w:rsidR="004B4AD9" w:rsidRPr="00766038" w:rsidRDefault="004B4AD9" w:rsidP="00375285">
            <w:pPr>
              <w:jc w:val="center"/>
              <w:rPr>
                <w:sz w:val="19"/>
                <w:szCs w:val="19"/>
              </w:rPr>
            </w:pPr>
            <w:r w:rsidRPr="00766038">
              <w:rPr>
                <w:sz w:val="19"/>
                <w:szCs w:val="19"/>
              </w:rPr>
              <w:t>106.27</w:t>
            </w:r>
          </w:p>
        </w:tc>
      </w:tr>
      <w:tr w:rsidR="004B4AD9" w:rsidRPr="00766038" w:rsidTr="007A007D">
        <w:trPr>
          <w:trHeight w:val="216"/>
        </w:trPr>
        <w:tc>
          <w:tcPr>
            <w:tcW w:w="3117" w:type="dxa"/>
            <w:tcBorders>
              <w:top w:val="nil"/>
              <w:left w:val="single" w:sz="8" w:space="0" w:color="448A99"/>
              <w:bottom w:val="single" w:sz="8" w:space="0" w:color="448A99"/>
              <w:right w:val="single" w:sz="8" w:space="0" w:color="448A99"/>
            </w:tcBorders>
            <w:shd w:val="clear" w:color="auto" w:fill="auto"/>
            <w:vAlign w:val="center"/>
          </w:tcPr>
          <w:p w:rsidR="004B4AD9" w:rsidRPr="00766038" w:rsidRDefault="004B4AD9" w:rsidP="00375285">
            <w:pPr>
              <w:rPr>
                <w:b/>
                <w:bCs/>
                <w:iCs/>
                <w:color w:val="000000"/>
                <w:sz w:val="19"/>
                <w:szCs w:val="19"/>
              </w:rPr>
            </w:pPr>
            <w:r w:rsidRPr="00766038">
              <w:rPr>
                <w:b/>
                <w:bCs/>
                <w:color w:val="000000"/>
                <w:sz w:val="19"/>
                <w:szCs w:val="19"/>
              </w:rPr>
              <w:t>Total</w:t>
            </w:r>
          </w:p>
        </w:tc>
        <w:tc>
          <w:tcPr>
            <w:tcW w:w="3118" w:type="dxa"/>
            <w:tcBorders>
              <w:top w:val="single" w:sz="8" w:space="0" w:color="448A99"/>
              <w:left w:val="nil"/>
              <w:bottom w:val="single" w:sz="8" w:space="0" w:color="448A99"/>
              <w:right w:val="single" w:sz="8" w:space="0" w:color="448A99"/>
            </w:tcBorders>
            <w:shd w:val="clear" w:color="auto" w:fill="auto"/>
            <w:vAlign w:val="center"/>
          </w:tcPr>
          <w:p w:rsidR="004B4AD9" w:rsidRPr="00766038" w:rsidRDefault="004B4AD9" w:rsidP="00375285">
            <w:pPr>
              <w:jc w:val="center"/>
              <w:rPr>
                <w:b/>
                <w:bCs/>
                <w:iCs/>
                <w:color w:val="000000"/>
                <w:sz w:val="19"/>
                <w:szCs w:val="19"/>
              </w:rPr>
            </w:pPr>
            <w:r w:rsidRPr="00766038">
              <w:rPr>
                <w:b/>
                <w:bCs/>
                <w:iCs/>
                <w:color w:val="000000"/>
                <w:sz w:val="19"/>
                <w:szCs w:val="19"/>
              </w:rPr>
              <w:t>537.6</w:t>
            </w:r>
          </w:p>
        </w:tc>
        <w:tc>
          <w:tcPr>
            <w:tcW w:w="3118" w:type="dxa"/>
            <w:tcBorders>
              <w:top w:val="single" w:sz="8" w:space="0" w:color="448A99"/>
              <w:left w:val="single" w:sz="8" w:space="0" w:color="448A99"/>
              <w:bottom w:val="single" w:sz="8" w:space="0" w:color="448A99"/>
              <w:right w:val="single" w:sz="8" w:space="0" w:color="448A99"/>
            </w:tcBorders>
            <w:vAlign w:val="center"/>
          </w:tcPr>
          <w:p w:rsidR="004B4AD9" w:rsidRPr="00766038" w:rsidRDefault="004B4AD9" w:rsidP="00375285">
            <w:pPr>
              <w:jc w:val="center"/>
              <w:rPr>
                <w:b/>
                <w:bCs/>
                <w:iCs/>
                <w:color w:val="000000"/>
                <w:sz w:val="19"/>
                <w:szCs w:val="19"/>
              </w:rPr>
            </w:pPr>
            <w:r w:rsidRPr="00766038">
              <w:rPr>
                <w:b/>
                <w:sz w:val="19"/>
                <w:szCs w:val="19"/>
              </w:rPr>
              <w:t>524.2</w:t>
            </w:r>
            <w:r w:rsidR="00A60DD7">
              <w:rPr>
                <w:b/>
                <w:sz w:val="19"/>
                <w:szCs w:val="19"/>
              </w:rPr>
              <w:t>35</w:t>
            </w:r>
          </w:p>
        </w:tc>
      </w:tr>
    </w:tbl>
    <w:p w:rsidR="00375285" w:rsidRDefault="00375285" w:rsidP="00375285"/>
    <w:p w:rsidR="00375285" w:rsidRDefault="007735DA" w:rsidP="00375285">
      <w:r>
        <w:fldChar w:fldCharType="begin"/>
      </w:r>
      <w:r>
        <w:instrText xml:space="preserve"> REF _Ref472347417 \h </w:instrText>
      </w:r>
      <w:r>
        <w:fldChar w:fldCharType="separate"/>
      </w:r>
      <w:r w:rsidR="00037CB4">
        <w:t xml:space="preserve">Table </w:t>
      </w:r>
      <w:r w:rsidR="00037CB4">
        <w:rPr>
          <w:noProof/>
        </w:rPr>
        <w:t>3</w:t>
      </w:r>
      <w:r w:rsidR="00037CB4">
        <w:noBreakHyphen/>
      </w:r>
      <w:r w:rsidR="00037CB4">
        <w:rPr>
          <w:noProof/>
        </w:rPr>
        <w:t>2</w:t>
      </w:r>
      <w:r>
        <w:fldChar w:fldCharType="end"/>
      </w:r>
      <w:r w:rsidR="00375285">
        <w:t xml:space="preserve"> summarizes the Phase II </w:t>
      </w:r>
      <w:r>
        <w:t>v</w:t>
      </w:r>
      <w:r w:rsidR="00375285">
        <w:t xml:space="preserve">erified </w:t>
      </w:r>
      <w:r>
        <w:t>d</w:t>
      </w:r>
      <w:r w:rsidR="00375285">
        <w:t>emand reductions for each EDC, by sector.</w:t>
      </w:r>
      <w:r>
        <w:t xml:space="preserve"> The C</w:t>
      </w:r>
      <w:r w:rsidR="00B60292">
        <w:t>/I</w:t>
      </w:r>
      <w:r>
        <w:t xml:space="preserve"> sector accounted for the greatest proportion of demand savings across the state in Phase II.</w:t>
      </w:r>
      <w:r w:rsidR="00706F10">
        <w:t xml:space="preserve"> Figure 3-1 presents this </w:t>
      </w:r>
      <w:r w:rsidR="00780A4F">
        <w:t>PY5, PY6, and Phase II</w:t>
      </w:r>
      <w:r w:rsidR="00956A49">
        <w:t xml:space="preserve"> </w:t>
      </w:r>
      <w:r w:rsidR="00780A4F">
        <w:t xml:space="preserve">cumulative demand savings by sector </w:t>
      </w:r>
      <w:r w:rsidR="00706F10">
        <w:t>in graphical form.</w:t>
      </w:r>
    </w:p>
    <w:p w:rsidR="007735DA" w:rsidRDefault="007735DA" w:rsidP="00375285"/>
    <w:p w:rsidR="007735DA" w:rsidRDefault="007735DA" w:rsidP="004837FA">
      <w:pPr>
        <w:pStyle w:val="Caption"/>
      </w:pPr>
      <w:bookmarkStart w:id="249" w:name="_Ref472347417"/>
      <w:bookmarkStart w:id="250" w:name="_Toc472472177"/>
      <w:bookmarkStart w:id="251" w:name="_Toc488741755"/>
      <w:r>
        <w:t xml:space="preserve">Table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2</w:t>
      </w:r>
      <w:r w:rsidR="007973A4">
        <w:rPr>
          <w:noProof/>
        </w:rPr>
        <w:fldChar w:fldCharType="end"/>
      </w:r>
      <w:bookmarkEnd w:id="249"/>
      <w:r>
        <w:t xml:space="preserve">: Phase II </w:t>
      </w:r>
      <w:r w:rsidR="000206F5">
        <w:t xml:space="preserve">Cumulative </w:t>
      </w:r>
      <w:r w:rsidR="00B60292">
        <w:t xml:space="preserve">Verified </w:t>
      </w:r>
      <w:r>
        <w:t>Demand</w:t>
      </w:r>
      <w:r w:rsidR="00B60292">
        <w:t xml:space="preserve"> (MW)</w:t>
      </w:r>
      <w:r>
        <w:t xml:space="preserve"> Savings, by EDC and Sector</w:t>
      </w:r>
      <w:bookmarkEnd w:id="250"/>
      <w:bookmarkEnd w:id="251"/>
    </w:p>
    <w:tbl>
      <w:tblPr>
        <w:tblW w:w="9350" w:type="dxa"/>
        <w:tblInd w:w="-10" w:type="dxa"/>
        <w:tblLayout w:type="fixed"/>
        <w:tblLook w:val="04A0" w:firstRow="1" w:lastRow="0" w:firstColumn="1" w:lastColumn="0" w:noHBand="0" w:noVBand="1"/>
      </w:tblPr>
      <w:tblGrid>
        <w:gridCol w:w="1558"/>
        <w:gridCol w:w="1558"/>
        <w:gridCol w:w="1559"/>
        <w:gridCol w:w="1558"/>
        <w:gridCol w:w="1558"/>
        <w:gridCol w:w="1559"/>
      </w:tblGrid>
      <w:tr w:rsidR="00A874AC" w:rsidRPr="00766038" w:rsidTr="00766038">
        <w:trPr>
          <w:trHeight w:val="250"/>
          <w:tblHeader/>
        </w:trPr>
        <w:tc>
          <w:tcPr>
            <w:tcW w:w="1558" w:type="dxa"/>
            <w:tcBorders>
              <w:top w:val="single" w:sz="8" w:space="0" w:color="448A99"/>
              <w:left w:val="single" w:sz="8" w:space="0" w:color="448A99"/>
              <w:bottom w:val="single" w:sz="8" w:space="0" w:color="448A99"/>
              <w:right w:val="nil"/>
            </w:tcBorders>
            <w:shd w:val="clear" w:color="000000" w:fill="448A99"/>
            <w:vAlign w:val="center"/>
            <w:hideMark/>
          </w:tcPr>
          <w:p w:rsidR="00375285" w:rsidRPr="00766038" w:rsidRDefault="007735DA" w:rsidP="00375285">
            <w:pPr>
              <w:rPr>
                <w:b/>
                <w:bCs/>
                <w:color w:val="FFFFFF"/>
                <w:sz w:val="19"/>
                <w:szCs w:val="19"/>
              </w:rPr>
            </w:pPr>
            <w:r w:rsidRPr="00766038">
              <w:rPr>
                <w:b/>
                <w:bCs/>
                <w:color w:val="FFFFFF"/>
                <w:sz w:val="19"/>
                <w:szCs w:val="19"/>
              </w:rPr>
              <w:t>EDC</w:t>
            </w:r>
          </w:p>
        </w:tc>
        <w:tc>
          <w:tcPr>
            <w:tcW w:w="1558"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5285" w:rsidRPr="00766038" w:rsidRDefault="00375285" w:rsidP="00375285">
            <w:pPr>
              <w:jc w:val="center"/>
              <w:rPr>
                <w:b/>
                <w:bCs/>
                <w:color w:val="FFFFFF"/>
                <w:sz w:val="19"/>
                <w:szCs w:val="19"/>
              </w:rPr>
            </w:pPr>
            <w:r w:rsidRPr="00766038">
              <w:rPr>
                <w:b/>
                <w:bCs/>
                <w:color w:val="FFFFFF"/>
                <w:sz w:val="19"/>
                <w:szCs w:val="19"/>
              </w:rPr>
              <w:t>Residential</w:t>
            </w:r>
          </w:p>
        </w:tc>
        <w:tc>
          <w:tcPr>
            <w:tcW w:w="1559" w:type="dxa"/>
            <w:tcBorders>
              <w:top w:val="single" w:sz="8" w:space="0" w:color="448A99"/>
              <w:left w:val="nil"/>
              <w:bottom w:val="single" w:sz="8" w:space="0" w:color="448A99"/>
              <w:right w:val="single" w:sz="8" w:space="0" w:color="448A99"/>
            </w:tcBorders>
            <w:shd w:val="clear" w:color="000000" w:fill="448A99"/>
            <w:vAlign w:val="center"/>
            <w:hideMark/>
          </w:tcPr>
          <w:p w:rsidR="00375285" w:rsidRPr="00766038" w:rsidRDefault="00375285" w:rsidP="00B60292">
            <w:pPr>
              <w:jc w:val="center"/>
              <w:rPr>
                <w:b/>
                <w:bCs/>
                <w:color w:val="FFFFFF"/>
                <w:sz w:val="19"/>
                <w:szCs w:val="19"/>
              </w:rPr>
            </w:pPr>
            <w:r w:rsidRPr="00766038">
              <w:rPr>
                <w:b/>
                <w:bCs/>
                <w:color w:val="FFFFFF"/>
                <w:sz w:val="19"/>
                <w:szCs w:val="19"/>
              </w:rPr>
              <w:t>C</w:t>
            </w:r>
            <w:r w:rsidR="00B60292" w:rsidRPr="00766038">
              <w:rPr>
                <w:b/>
                <w:bCs/>
                <w:color w:val="FFFFFF"/>
                <w:sz w:val="19"/>
                <w:szCs w:val="19"/>
              </w:rPr>
              <w:t>/</w:t>
            </w:r>
            <w:r w:rsidRPr="00766038">
              <w:rPr>
                <w:b/>
                <w:bCs/>
                <w:color w:val="FFFFFF"/>
                <w:sz w:val="19"/>
                <w:szCs w:val="19"/>
              </w:rPr>
              <w:t>I</w:t>
            </w:r>
          </w:p>
        </w:tc>
        <w:tc>
          <w:tcPr>
            <w:tcW w:w="1558" w:type="dxa"/>
            <w:tcBorders>
              <w:top w:val="single" w:sz="8" w:space="0" w:color="448A99"/>
              <w:left w:val="nil"/>
              <w:bottom w:val="single" w:sz="8" w:space="0" w:color="448A99"/>
              <w:right w:val="single" w:sz="8" w:space="0" w:color="448A99"/>
            </w:tcBorders>
            <w:shd w:val="clear" w:color="000000" w:fill="448A99"/>
            <w:vAlign w:val="center"/>
            <w:hideMark/>
          </w:tcPr>
          <w:p w:rsidR="00375285" w:rsidRPr="00766038" w:rsidRDefault="00375285" w:rsidP="00375285">
            <w:pPr>
              <w:jc w:val="center"/>
              <w:rPr>
                <w:b/>
                <w:bCs/>
                <w:color w:val="FFFFFF"/>
                <w:sz w:val="19"/>
                <w:szCs w:val="19"/>
              </w:rPr>
            </w:pPr>
            <w:r w:rsidRPr="00766038">
              <w:rPr>
                <w:b/>
                <w:bCs/>
                <w:color w:val="FFFFFF"/>
                <w:sz w:val="19"/>
                <w:szCs w:val="19"/>
              </w:rPr>
              <w:t>GNI</w:t>
            </w:r>
          </w:p>
        </w:tc>
        <w:tc>
          <w:tcPr>
            <w:tcW w:w="1558" w:type="dxa"/>
            <w:tcBorders>
              <w:top w:val="single" w:sz="8" w:space="0" w:color="448A99"/>
              <w:left w:val="nil"/>
              <w:bottom w:val="single" w:sz="8" w:space="0" w:color="448A99"/>
              <w:right w:val="single" w:sz="8" w:space="0" w:color="448A99"/>
            </w:tcBorders>
            <w:shd w:val="clear" w:color="000000" w:fill="448A99"/>
            <w:vAlign w:val="center"/>
            <w:hideMark/>
          </w:tcPr>
          <w:p w:rsidR="00375285" w:rsidRPr="00766038" w:rsidRDefault="00375285" w:rsidP="00375285">
            <w:pPr>
              <w:jc w:val="center"/>
              <w:rPr>
                <w:b/>
                <w:bCs/>
                <w:color w:val="FFFFFF"/>
                <w:sz w:val="19"/>
                <w:szCs w:val="19"/>
              </w:rPr>
            </w:pPr>
            <w:r w:rsidRPr="00766038">
              <w:rPr>
                <w:b/>
                <w:bCs/>
                <w:color w:val="FFFFFF"/>
                <w:sz w:val="19"/>
                <w:szCs w:val="19"/>
              </w:rPr>
              <w:t>Low-Income</w:t>
            </w:r>
          </w:p>
        </w:tc>
        <w:tc>
          <w:tcPr>
            <w:tcW w:w="1559"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5285" w:rsidRPr="00766038" w:rsidRDefault="00375285" w:rsidP="00375285">
            <w:pPr>
              <w:jc w:val="center"/>
              <w:rPr>
                <w:b/>
                <w:bCs/>
                <w:color w:val="FFFFFF"/>
                <w:sz w:val="19"/>
                <w:szCs w:val="19"/>
              </w:rPr>
            </w:pPr>
            <w:r w:rsidRPr="00766038">
              <w:rPr>
                <w:b/>
                <w:bCs/>
                <w:color w:val="FFFFFF"/>
                <w:sz w:val="19"/>
                <w:szCs w:val="19"/>
              </w:rPr>
              <w:t>Total</w:t>
            </w:r>
          </w:p>
        </w:tc>
      </w:tr>
      <w:tr w:rsidR="00A874AC" w:rsidRPr="00766038" w:rsidTr="00766038">
        <w:trPr>
          <w:trHeight w:val="144"/>
        </w:trPr>
        <w:tc>
          <w:tcPr>
            <w:tcW w:w="1558" w:type="dxa"/>
            <w:tcBorders>
              <w:top w:val="nil"/>
              <w:left w:val="single" w:sz="8" w:space="0" w:color="448A99"/>
              <w:bottom w:val="single" w:sz="8" w:space="0" w:color="448A99"/>
              <w:right w:val="single" w:sz="8" w:space="0" w:color="448A99"/>
            </w:tcBorders>
            <w:shd w:val="clear" w:color="000000" w:fill="D2EAF1"/>
            <w:vAlign w:val="center"/>
            <w:hideMark/>
          </w:tcPr>
          <w:p w:rsidR="00375285" w:rsidRPr="00766038" w:rsidRDefault="00375285" w:rsidP="00375285">
            <w:pPr>
              <w:rPr>
                <w:color w:val="000000"/>
                <w:sz w:val="19"/>
                <w:szCs w:val="19"/>
              </w:rPr>
            </w:pPr>
            <w:r w:rsidRPr="00766038">
              <w:rPr>
                <w:color w:val="000000"/>
                <w:sz w:val="19"/>
                <w:szCs w:val="19"/>
              </w:rPr>
              <w:t>Duquesne</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10.79</w:t>
            </w:r>
          </w:p>
        </w:tc>
        <w:tc>
          <w:tcPr>
            <w:tcW w:w="1559"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29.08</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4.24</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55598C" w:rsidP="00375285">
            <w:pPr>
              <w:jc w:val="center"/>
              <w:rPr>
                <w:color w:val="000000"/>
                <w:sz w:val="19"/>
                <w:szCs w:val="19"/>
              </w:rPr>
            </w:pPr>
            <w:r>
              <w:rPr>
                <w:color w:val="000000"/>
                <w:sz w:val="19"/>
                <w:szCs w:val="19"/>
              </w:rPr>
              <w:t>1.50</w:t>
            </w:r>
          </w:p>
        </w:tc>
        <w:tc>
          <w:tcPr>
            <w:tcW w:w="1559" w:type="dxa"/>
            <w:tcBorders>
              <w:top w:val="single" w:sz="8" w:space="0" w:color="448A99"/>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45.6</w:t>
            </w:r>
            <w:r w:rsidR="0055598C">
              <w:rPr>
                <w:color w:val="000000"/>
                <w:sz w:val="19"/>
                <w:szCs w:val="19"/>
              </w:rPr>
              <w:t>1</w:t>
            </w:r>
          </w:p>
        </w:tc>
      </w:tr>
      <w:tr w:rsidR="00A874AC" w:rsidRPr="00766038" w:rsidTr="00766038">
        <w:trPr>
          <w:trHeight w:val="144"/>
        </w:trPr>
        <w:tc>
          <w:tcPr>
            <w:tcW w:w="1558" w:type="dxa"/>
            <w:tcBorders>
              <w:top w:val="nil"/>
              <w:left w:val="single" w:sz="8" w:space="0" w:color="448A99"/>
              <w:bottom w:val="single" w:sz="8" w:space="0" w:color="448A99"/>
              <w:right w:val="single" w:sz="8" w:space="0" w:color="448A99"/>
            </w:tcBorders>
            <w:shd w:val="clear" w:color="auto" w:fill="auto"/>
            <w:hideMark/>
          </w:tcPr>
          <w:p w:rsidR="00375285" w:rsidRPr="00766038" w:rsidRDefault="00375285" w:rsidP="00375285">
            <w:pPr>
              <w:rPr>
                <w:color w:val="000000"/>
                <w:sz w:val="19"/>
                <w:szCs w:val="19"/>
              </w:rPr>
            </w:pPr>
            <w:r w:rsidRPr="00766038">
              <w:rPr>
                <w:sz w:val="19"/>
                <w:szCs w:val="19"/>
              </w:rPr>
              <w:t>Met-Ed</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17.70</w:t>
            </w:r>
          </w:p>
        </w:tc>
        <w:tc>
          <w:tcPr>
            <w:tcW w:w="1559" w:type="dxa"/>
            <w:tcBorders>
              <w:top w:val="nil"/>
              <w:left w:val="nil"/>
              <w:bottom w:val="single" w:sz="8" w:space="0" w:color="448A99"/>
              <w:right w:val="single" w:sz="8" w:space="0" w:color="448A99"/>
            </w:tcBorders>
            <w:shd w:val="clear" w:color="auto" w:fill="auto"/>
            <w:vAlign w:val="center"/>
            <w:hideMark/>
          </w:tcPr>
          <w:p w:rsidR="00375285" w:rsidRPr="00766038" w:rsidRDefault="00375285" w:rsidP="00375285">
            <w:pPr>
              <w:jc w:val="center"/>
              <w:rPr>
                <w:color w:val="000000"/>
                <w:sz w:val="19"/>
                <w:szCs w:val="19"/>
              </w:rPr>
            </w:pPr>
            <w:r w:rsidRPr="00766038">
              <w:rPr>
                <w:color w:val="000000"/>
                <w:sz w:val="19"/>
                <w:szCs w:val="19"/>
              </w:rPr>
              <w:t>19.02</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6.43</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2.51</w:t>
            </w:r>
          </w:p>
        </w:tc>
        <w:tc>
          <w:tcPr>
            <w:tcW w:w="1559" w:type="dxa"/>
            <w:tcBorders>
              <w:top w:val="single" w:sz="8" w:space="0" w:color="448A99"/>
              <w:left w:val="single" w:sz="8" w:space="0" w:color="448A99"/>
              <w:bottom w:val="single" w:sz="8" w:space="0" w:color="448A99"/>
              <w:right w:val="single" w:sz="8" w:space="0" w:color="448A99"/>
            </w:tcBorders>
            <w:shd w:val="clear" w:color="auto" w:fill="auto"/>
            <w:noWrap/>
            <w:vAlign w:val="center"/>
            <w:hideMark/>
          </w:tcPr>
          <w:p w:rsidR="00375285" w:rsidRPr="00766038" w:rsidRDefault="00375285" w:rsidP="00375285">
            <w:pPr>
              <w:jc w:val="center"/>
              <w:rPr>
                <w:color w:val="000000"/>
                <w:sz w:val="19"/>
                <w:szCs w:val="19"/>
              </w:rPr>
            </w:pPr>
            <w:r w:rsidRPr="00766038">
              <w:rPr>
                <w:color w:val="000000"/>
                <w:sz w:val="19"/>
                <w:szCs w:val="19"/>
              </w:rPr>
              <w:t>45.66</w:t>
            </w:r>
          </w:p>
        </w:tc>
      </w:tr>
      <w:tr w:rsidR="00A874AC" w:rsidRPr="00766038" w:rsidTr="00766038">
        <w:trPr>
          <w:trHeight w:val="144"/>
        </w:trPr>
        <w:tc>
          <w:tcPr>
            <w:tcW w:w="1558" w:type="dxa"/>
            <w:tcBorders>
              <w:top w:val="nil"/>
              <w:left w:val="single" w:sz="8" w:space="0" w:color="448A99"/>
              <w:bottom w:val="single" w:sz="8" w:space="0" w:color="448A99"/>
              <w:right w:val="single" w:sz="8" w:space="0" w:color="448A99"/>
            </w:tcBorders>
            <w:shd w:val="clear" w:color="000000" w:fill="D2EAF1"/>
            <w:hideMark/>
          </w:tcPr>
          <w:p w:rsidR="00375285" w:rsidRPr="00766038" w:rsidRDefault="00375285" w:rsidP="00375285">
            <w:pPr>
              <w:rPr>
                <w:color w:val="000000"/>
                <w:sz w:val="19"/>
                <w:szCs w:val="19"/>
              </w:rPr>
            </w:pPr>
            <w:r w:rsidRPr="00766038">
              <w:rPr>
                <w:sz w:val="19"/>
                <w:szCs w:val="19"/>
              </w:rPr>
              <w:t>Penelec</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13.53</w:t>
            </w:r>
          </w:p>
        </w:tc>
        <w:tc>
          <w:tcPr>
            <w:tcW w:w="1559"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22.10</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5.93</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2.77</w:t>
            </w:r>
          </w:p>
        </w:tc>
        <w:tc>
          <w:tcPr>
            <w:tcW w:w="1559" w:type="dxa"/>
            <w:tcBorders>
              <w:top w:val="single" w:sz="8" w:space="0" w:color="448A99"/>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44.33</w:t>
            </w:r>
          </w:p>
        </w:tc>
      </w:tr>
      <w:tr w:rsidR="00A874AC" w:rsidRPr="00766038" w:rsidTr="00766038">
        <w:trPr>
          <w:trHeight w:val="144"/>
        </w:trPr>
        <w:tc>
          <w:tcPr>
            <w:tcW w:w="1558" w:type="dxa"/>
            <w:tcBorders>
              <w:top w:val="nil"/>
              <w:left w:val="single" w:sz="8" w:space="0" w:color="448A99"/>
              <w:bottom w:val="single" w:sz="8" w:space="0" w:color="448A99"/>
              <w:right w:val="single" w:sz="8" w:space="0" w:color="448A99"/>
            </w:tcBorders>
            <w:shd w:val="clear" w:color="auto" w:fill="auto"/>
            <w:hideMark/>
          </w:tcPr>
          <w:p w:rsidR="00375285" w:rsidRPr="00766038" w:rsidRDefault="00375285" w:rsidP="00375285">
            <w:pPr>
              <w:rPr>
                <w:color w:val="000000"/>
                <w:sz w:val="19"/>
                <w:szCs w:val="19"/>
              </w:rPr>
            </w:pPr>
            <w:r w:rsidRPr="00766038">
              <w:rPr>
                <w:sz w:val="19"/>
                <w:szCs w:val="19"/>
              </w:rPr>
              <w:t>Penn Power</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4.18</w:t>
            </w:r>
          </w:p>
        </w:tc>
        <w:tc>
          <w:tcPr>
            <w:tcW w:w="1559" w:type="dxa"/>
            <w:tcBorders>
              <w:top w:val="nil"/>
              <w:left w:val="nil"/>
              <w:bottom w:val="single" w:sz="8" w:space="0" w:color="448A99"/>
              <w:right w:val="single" w:sz="8" w:space="0" w:color="448A99"/>
            </w:tcBorders>
            <w:shd w:val="clear" w:color="auto" w:fill="auto"/>
            <w:vAlign w:val="center"/>
            <w:hideMark/>
          </w:tcPr>
          <w:p w:rsidR="00375285" w:rsidRPr="00766038" w:rsidRDefault="00375285" w:rsidP="00375285">
            <w:pPr>
              <w:jc w:val="center"/>
              <w:rPr>
                <w:color w:val="000000"/>
                <w:sz w:val="19"/>
                <w:szCs w:val="19"/>
              </w:rPr>
            </w:pPr>
            <w:r w:rsidRPr="00766038">
              <w:rPr>
                <w:color w:val="000000"/>
                <w:sz w:val="19"/>
                <w:szCs w:val="19"/>
              </w:rPr>
              <w:t>5.99</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2.49</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0.56</w:t>
            </w:r>
          </w:p>
        </w:tc>
        <w:tc>
          <w:tcPr>
            <w:tcW w:w="1559" w:type="dxa"/>
            <w:tcBorders>
              <w:top w:val="single" w:sz="8" w:space="0" w:color="448A99"/>
              <w:left w:val="single" w:sz="8" w:space="0" w:color="448A99"/>
              <w:bottom w:val="nil"/>
              <w:right w:val="single" w:sz="8" w:space="0" w:color="448A99"/>
            </w:tcBorders>
            <w:shd w:val="clear" w:color="auto" w:fill="auto"/>
            <w:noWrap/>
            <w:vAlign w:val="center"/>
            <w:hideMark/>
          </w:tcPr>
          <w:p w:rsidR="00375285" w:rsidRPr="00766038" w:rsidRDefault="00375285" w:rsidP="00375285">
            <w:pPr>
              <w:jc w:val="center"/>
              <w:rPr>
                <w:color w:val="000000"/>
                <w:sz w:val="19"/>
                <w:szCs w:val="19"/>
              </w:rPr>
            </w:pPr>
            <w:r w:rsidRPr="00766038">
              <w:rPr>
                <w:color w:val="000000"/>
                <w:sz w:val="19"/>
                <w:szCs w:val="19"/>
              </w:rPr>
              <w:t>13.22</w:t>
            </w:r>
          </w:p>
        </w:tc>
      </w:tr>
      <w:tr w:rsidR="00A874AC" w:rsidRPr="00766038" w:rsidTr="00766038">
        <w:trPr>
          <w:trHeight w:val="144"/>
        </w:trPr>
        <w:tc>
          <w:tcPr>
            <w:tcW w:w="1558" w:type="dxa"/>
            <w:tcBorders>
              <w:top w:val="nil"/>
              <w:left w:val="single" w:sz="8" w:space="0" w:color="448A99"/>
              <w:bottom w:val="single" w:sz="8" w:space="0" w:color="448A99"/>
              <w:right w:val="single" w:sz="8" w:space="0" w:color="448A99"/>
            </w:tcBorders>
            <w:shd w:val="clear" w:color="000000" w:fill="D2EAF1"/>
            <w:hideMark/>
          </w:tcPr>
          <w:p w:rsidR="00375285" w:rsidRPr="00766038" w:rsidRDefault="00375285" w:rsidP="00375285">
            <w:pPr>
              <w:rPr>
                <w:color w:val="000000"/>
                <w:sz w:val="19"/>
                <w:szCs w:val="19"/>
              </w:rPr>
            </w:pPr>
            <w:r w:rsidRPr="00766038">
              <w:rPr>
                <w:sz w:val="19"/>
                <w:szCs w:val="19"/>
              </w:rPr>
              <w:t xml:space="preserve">West Penn </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15.22</w:t>
            </w:r>
          </w:p>
        </w:tc>
        <w:tc>
          <w:tcPr>
            <w:tcW w:w="1559"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21.52</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5.46</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2.18</w:t>
            </w:r>
          </w:p>
        </w:tc>
        <w:tc>
          <w:tcPr>
            <w:tcW w:w="1559" w:type="dxa"/>
            <w:tcBorders>
              <w:top w:val="single" w:sz="8" w:space="0" w:color="448A99"/>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44.38</w:t>
            </w:r>
          </w:p>
        </w:tc>
      </w:tr>
      <w:tr w:rsidR="00A874AC" w:rsidRPr="00766038" w:rsidTr="00766038">
        <w:trPr>
          <w:trHeight w:val="144"/>
        </w:trPr>
        <w:tc>
          <w:tcPr>
            <w:tcW w:w="1558" w:type="dxa"/>
            <w:tcBorders>
              <w:top w:val="nil"/>
              <w:left w:val="single" w:sz="8" w:space="0" w:color="448A99"/>
              <w:bottom w:val="single" w:sz="8" w:space="0" w:color="448A99"/>
              <w:right w:val="single" w:sz="8" w:space="0" w:color="448A99"/>
            </w:tcBorders>
            <w:shd w:val="clear" w:color="auto" w:fill="auto"/>
            <w:vAlign w:val="center"/>
            <w:hideMark/>
          </w:tcPr>
          <w:p w:rsidR="00375285" w:rsidRPr="00766038" w:rsidRDefault="00375285" w:rsidP="00375285">
            <w:pPr>
              <w:rPr>
                <w:color w:val="000000"/>
                <w:sz w:val="19"/>
                <w:szCs w:val="19"/>
              </w:rPr>
            </w:pPr>
            <w:r w:rsidRPr="00766038">
              <w:rPr>
                <w:color w:val="000000"/>
                <w:sz w:val="19"/>
                <w:szCs w:val="19"/>
              </w:rPr>
              <w:t>PECO</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106.00</w:t>
            </w:r>
          </w:p>
        </w:tc>
        <w:tc>
          <w:tcPr>
            <w:tcW w:w="1559"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69.20</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38.00</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766038" w:rsidRDefault="00375285" w:rsidP="00375285">
            <w:pPr>
              <w:jc w:val="center"/>
              <w:rPr>
                <w:color w:val="000000"/>
                <w:sz w:val="19"/>
                <w:szCs w:val="19"/>
              </w:rPr>
            </w:pPr>
            <w:r w:rsidRPr="00766038">
              <w:rPr>
                <w:color w:val="000000"/>
                <w:sz w:val="19"/>
                <w:szCs w:val="19"/>
              </w:rPr>
              <w:t>11.50</w:t>
            </w:r>
          </w:p>
        </w:tc>
        <w:tc>
          <w:tcPr>
            <w:tcW w:w="1559" w:type="dxa"/>
            <w:tcBorders>
              <w:top w:val="nil"/>
              <w:left w:val="single" w:sz="8" w:space="0" w:color="448A99"/>
              <w:bottom w:val="single" w:sz="8" w:space="0" w:color="448A99"/>
              <w:right w:val="single" w:sz="8" w:space="0" w:color="448A99"/>
            </w:tcBorders>
            <w:shd w:val="clear" w:color="auto" w:fill="auto"/>
            <w:noWrap/>
            <w:vAlign w:val="center"/>
            <w:hideMark/>
          </w:tcPr>
          <w:p w:rsidR="00375285" w:rsidRPr="00766038" w:rsidRDefault="00375285" w:rsidP="00375285">
            <w:pPr>
              <w:jc w:val="center"/>
              <w:rPr>
                <w:color w:val="000000"/>
                <w:sz w:val="19"/>
                <w:szCs w:val="19"/>
              </w:rPr>
            </w:pPr>
            <w:r w:rsidRPr="00766038">
              <w:rPr>
                <w:color w:val="000000"/>
                <w:sz w:val="19"/>
                <w:szCs w:val="19"/>
              </w:rPr>
              <w:t>224.70</w:t>
            </w:r>
          </w:p>
        </w:tc>
      </w:tr>
      <w:tr w:rsidR="00A874AC" w:rsidRPr="00766038" w:rsidTr="00766038">
        <w:trPr>
          <w:trHeight w:val="144"/>
        </w:trPr>
        <w:tc>
          <w:tcPr>
            <w:tcW w:w="1558" w:type="dxa"/>
            <w:tcBorders>
              <w:top w:val="nil"/>
              <w:left w:val="single" w:sz="8" w:space="0" w:color="448A99"/>
              <w:bottom w:val="single" w:sz="8" w:space="0" w:color="448A99"/>
              <w:right w:val="single" w:sz="8" w:space="0" w:color="448A99"/>
            </w:tcBorders>
            <w:shd w:val="clear" w:color="000000" w:fill="D2EAF1"/>
            <w:vAlign w:val="center"/>
            <w:hideMark/>
          </w:tcPr>
          <w:p w:rsidR="00375285" w:rsidRPr="00766038" w:rsidRDefault="00375285" w:rsidP="00375285">
            <w:pPr>
              <w:rPr>
                <w:color w:val="000000"/>
                <w:sz w:val="19"/>
                <w:szCs w:val="19"/>
              </w:rPr>
            </w:pPr>
            <w:r w:rsidRPr="00766038">
              <w:rPr>
                <w:color w:val="000000"/>
                <w:sz w:val="19"/>
                <w:szCs w:val="19"/>
              </w:rPr>
              <w:t>PPL</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31.81</w:t>
            </w:r>
          </w:p>
        </w:tc>
        <w:tc>
          <w:tcPr>
            <w:tcW w:w="1559"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55.63</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14.41</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4.41</w:t>
            </w:r>
          </w:p>
        </w:tc>
        <w:tc>
          <w:tcPr>
            <w:tcW w:w="1559" w:type="dxa"/>
            <w:tcBorders>
              <w:top w:val="single" w:sz="8" w:space="0" w:color="448A99"/>
              <w:left w:val="nil"/>
              <w:bottom w:val="single" w:sz="8" w:space="0" w:color="448A99"/>
              <w:right w:val="single" w:sz="8" w:space="0" w:color="448A99"/>
            </w:tcBorders>
            <w:shd w:val="clear" w:color="000000" w:fill="D2EAF1"/>
            <w:vAlign w:val="center"/>
            <w:hideMark/>
          </w:tcPr>
          <w:p w:rsidR="00375285" w:rsidRPr="00766038" w:rsidRDefault="00375285" w:rsidP="00375285">
            <w:pPr>
              <w:jc w:val="center"/>
              <w:rPr>
                <w:color w:val="000000"/>
                <w:sz w:val="19"/>
                <w:szCs w:val="19"/>
              </w:rPr>
            </w:pPr>
            <w:r w:rsidRPr="00766038">
              <w:rPr>
                <w:color w:val="000000"/>
                <w:sz w:val="19"/>
                <w:szCs w:val="19"/>
              </w:rPr>
              <w:t>106.26</w:t>
            </w:r>
          </w:p>
        </w:tc>
      </w:tr>
      <w:tr w:rsidR="00A874AC" w:rsidRPr="00766038" w:rsidTr="00766038">
        <w:trPr>
          <w:trHeight w:val="144"/>
        </w:trPr>
        <w:tc>
          <w:tcPr>
            <w:tcW w:w="1558" w:type="dxa"/>
            <w:tcBorders>
              <w:top w:val="nil"/>
              <w:left w:val="single" w:sz="8" w:space="0" w:color="448A99"/>
              <w:bottom w:val="single" w:sz="8" w:space="0" w:color="448A99"/>
              <w:right w:val="single" w:sz="8" w:space="0" w:color="448A99"/>
            </w:tcBorders>
            <w:shd w:val="clear" w:color="auto" w:fill="auto"/>
            <w:vAlign w:val="center"/>
            <w:hideMark/>
          </w:tcPr>
          <w:p w:rsidR="00375285" w:rsidRPr="00766038" w:rsidRDefault="00375285" w:rsidP="00375285">
            <w:pPr>
              <w:rPr>
                <w:b/>
                <w:bCs/>
                <w:color w:val="000000"/>
                <w:sz w:val="19"/>
                <w:szCs w:val="19"/>
              </w:rPr>
            </w:pPr>
            <w:r w:rsidRPr="00766038">
              <w:rPr>
                <w:b/>
                <w:bCs/>
                <w:color w:val="000000"/>
                <w:sz w:val="19"/>
                <w:szCs w:val="19"/>
              </w:rPr>
              <w:t>Total</w:t>
            </w:r>
          </w:p>
        </w:tc>
        <w:tc>
          <w:tcPr>
            <w:tcW w:w="1558" w:type="dxa"/>
            <w:tcBorders>
              <w:top w:val="nil"/>
              <w:left w:val="nil"/>
              <w:bottom w:val="single" w:sz="8" w:space="0" w:color="448A99"/>
              <w:right w:val="single" w:sz="8" w:space="0" w:color="448A99"/>
            </w:tcBorders>
            <w:shd w:val="clear" w:color="auto" w:fill="auto"/>
            <w:vAlign w:val="center"/>
            <w:hideMark/>
          </w:tcPr>
          <w:p w:rsidR="00375285" w:rsidRPr="00766038" w:rsidRDefault="00375285" w:rsidP="00375285">
            <w:pPr>
              <w:jc w:val="center"/>
              <w:rPr>
                <w:b/>
                <w:bCs/>
                <w:color w:val="000000"/>
                <w:sz w:val="19"/>
                <w:szCs w:val="19"/>
              </w:rPr>
            </w:pPr>
            <w:r w:rsidRPr="00766038">
              <w:rPr>
                <w:b/>
                <w:bCs/>
                <w:color w:val="000000"/>
                <w:sz w:val="19"/>
                <w:szCs w:val="19"/>
              </w:rPr>
              <w:t>199.23</w:t>
            </w:r>
          </w:p>
        </w:tc>
        <w:tc>
          <w:tcPr>
            <w:tcW w:w="1559" w:type="dxa"/>
            <w:tcBorders>
              <w:top w:val="nil"/>
              <w:left w:val="nil"/>
              <w:bottom w:val="single" w:sz="8" w:space="0" w:color="448A99"/>
              <w:right w:val="single" w:sz="8" w:space="0" w:color="448A99"/>
            </w:tcBorders>
            <w:shd w:val="clear" w:color="auto" w:fill="auto"/>
            <w:vAlign w:val="center"/>
            <w:hideMark/>
          </w:tcPr>
          <w:p w:rsidR="00375285" w:rsidRPr="00766038" w:rsidRDefault="00375285" w:rsidP="00375285">
            <w:pPr>
              <w:jc w:val="center"/>
              <w:rPr>
                <w:b/>
                <w:bCs/>
                <w:color w:val="000000"/>
                <w:sz w:val="19"/>
                <w:szCs w:val="19"/>
              </w:rPr>
            </w:pPr>
            <w:r w:rsidRPr="00766038">
              <w:rPr>
                <w:b/>
                <w:bCs/>
                <w:color w:val="000000"/>
                <w:sz w:val="19"/>
                <w:szCs w:val="19"/>
              </w:rPr>
              <w:t>222.54</w:t>
            </w:r>
          </w:p>
        </w:tc>
        <w:tc>
          <w:tcPr>
            <w:tcW w:w="1558" w:type="dxa"/>
            <w:tcBorders>
              <w:top w:val="nil"/>
              <w:left w:val="nil"/>
              <w:bottom w:val="single" w:sz="8" w:space="0" w:color="448A99"/>
              <w:right w:val="single" w:sz="8" w:space="0" w:color="448A99"/>
            </w:tcBorders>
            <w:shd w:val="clear" w:color="auto" w:fill="auto"/>
            <w:vAlign w:val="center"/>
            <w:hideMark/>
          </w:tcPr>
          <w:p w:rsidR="00375285" w:rsidRPr="00766038" w:rsidRDefault="00375285" w:rsidP="00375285">
            <w:pPr>
              <w:jc w:val="center"/>
              <w:rPr>
                <w:b/>
                <w:bCs/>
                <w:color w:val="000000"/>
                <w:sz w:val="19"/>
                <w:szCs w:val="19"/>
              </w:rPr>
            </w:pPr>
            <w:r w:rsidRPr="00766038">
              <w:rPr>
                <w:b/>
                <w:bCs/>
                <w:color w:val="000000"/>
                <w:sz w:val="19"/>
                <w:szCs w:val="19"/>
              </w:rPr>
              <w:t>76.96</w:t>
            </w:r>
          </w:p>
        </w:tc>
        <w:tc>
          <w:tcPr>
            <w:tcW w:w="1558" w:type="dxa"/>
            <w:tcBorders>
              <w:top w:val="nil"/>
              <w:left w:val="nil"/>
              <w:bottom w:val="single" w:sz="8" w:space="0" w:color="448A99"/>
              <w:right w:val="single" w:sz="8" w:space="0" w:color="448A99"/>
            </w:tcBorders>
            <w:shd w:val="clear" w:color="auto" w:fill="auto"/>
            <w:vAlign w:val="center"/>
            <w:hideMark/>
          </w:tcPr>
          <w:p w:rsidR="00375285" w:rsidRPr="00766038" w:rsidRDefault="00375285" w:rsidP="00375285">
            <w:pPr>
              <w:jc w:val="center"/>
              <w:rPr>
                <w:b/>
                <w:bCs/>
                <w:color w:val="000000"/>
                <w:sz w:val="19"/>
                <w:szCs w:val="19"/>
              </w:rPr>
            </w:pPr>
            <w:r w:rsidRPr="00766038">
              <w:rPr>
                <w:b/>
                <w:bCs/>
                <w:color w:val="000000"/>
                <w:sz w:val="19"/>
                <w:szCs w:val="19"/>
              </w:rPr>
              <w:t>25.4</w:t>
            </w:r>
            <w:r w:rsidR="0055598C">
              <w:rPr>
                <w:b/>
                <w:bCs/>
                <w:color w:val="000000"/>
                <w:sz w:val="19"/>
                <w:szCs w:val="19"/>
              </w:rPr>
              <w:t>3</w:t>
            </w:r>
          </w:p>
        </w:tc>
        <w:tc>
          <w:tcPr>
            <w:tcW w:w="1559" w:type="dxa"/>
            <w:tcBorders>
              <w:top w:val="single" w:sz="8" w:space="0" w:color="448A99"/>
              <w:left w:val="nil"/>
              <w:bottom w:val="single" w:sz="8" w:space="0" w:color="448A99"/>
              <w:right w:val="single" w:sz="8" w:space="0" w:color="448A99"/>
            </w:tcBorders>
            <w:shd w:val="clear" w:color="auto" w:fill="auto"/>
            <w:vAlign w:val="center"/>
            <w:hideMark/>
          </w:tcPr>
          <w:p w:rsidR="00375285" w:rsidRPr="00766038" w:rsidRDefault="00375285" w:rsidP="00375285">
            <w:pPr>
              <w:jc w:val="center"/>
              <w:rPr>
                <w:b/>
                <w:bCs/>
                <w:color w:val="000000"/>
                <w:sz w:val="19"/>
                <w:szCs w:val="19"/>
              </w:rPr>
            </w:pPr>
            <w:r w:rsidRPr="00766038">
              <w:rPr>
                <w:b/>
                <w:bCs/>
                <w:color w:val="000000"/>
                <w:sz w:val="19"/>
                <w:szCs w:val="19"/>
              </w:rPr>
              <w:t>524.1</w:t>
            </w:r>
            <w:r w:rsidR="0055598C">
              <w:rPr>
                <w:b/>
                <w:bCs/>
                <w:color w:val="000000"/>
                <w:sz w:val="19"/>
                <w:szCs w:val="19"/>
              </w:rPr>
              <w:t>6</w:t>
            </w:r>
          </w:p>
        </w:tc>
      </w:tr>
    </w:tbl>
    <w:p w:rsidR="00375285" w:rsidRDefault="00706F10" w:rsidP="004837FA">
      <w:pPr>
        <w:pStyle w:val="Caption"/>
      </w:pPr>
      <w:bookmarkStart w:id="252" w:name="_Toc472472231"/>
      <w:bookmarkStart w:id="253" w:name="_Toc488741810"/>
      <w:r>
        <w:t xml:space="preserve">Figure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w:t>
      </w:r>
      <w:r w:rsidR="007973A4">
        <w:rPr>
          <w:noProof/>
        </w:rPr>
        <w:fldChar w:fldCharType="end"/>
      </w:r>
      <w:r>
        <w:t>:  Phase II</w:t>
      </w:r>
      <w:r w:rsidR="0097650B">
        <w:t xml:space="preserve"> </w:t>
      </w:r>
      <w:r w:rsidR="000206F5">
        <w:t xml:space="preserve">Cumulative </w:t>
      </w:r>
      <w:r w:rsidR="0097650B">
        <w:t>Verified</w:t>
      </w:r>
      <w:r w:rsidR="00961C29">
        <w:t xml:space="preserve"> Gross</w:t>
      </w:r>
      <w:r>
        <w:t xml:space="preserve"> Demand Savings</w:t>
      </w:r>
      <w:bookmarkEnd w:id="252"/>
      <w:bookmarkEnd w:id="253"/>
    </w:p>
    <w:p w:rsidR="00706F10" w:rsidRDefault="00961C29" w:rsidP="00375285">
      <w:r>
        <w:rPr>
          <w:noProof/>
        </w:rPr>
        <w:drawing>
          <wp:inline distT="0" distB="0" distL="0" distR="0" wp14:anchorId="612394E6" wp14:editId="2D143876">
            <wp:extent cx="5749290" cy="365188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9290" cy="3651885"/>
                    </a:xfrm>
                    <a:prstGeom prst="rect">
                      <a:avLst/>
                    </a:prstGeom>
                    <a:noFill/>
                  </pic:spPr>
                </pic:pic>
              </a:graphicData>
            </a:graphic>
          </wp:inline>
        </w:drawing>
      </w:r>
    </w:p>
    <w:p w:rsidR="00876A99" w:rsidRPr="00375285" w:rsidRDefault="00876A99" w:rsidP="00375285"/>
    <w:p w:rsidR="00DD6B4C" w:rsidRDefault="00DD6B4C" w:rsidP="00E673F0">
      <w:pPr>
        <w:pStyle w:val="Heading3"/>
      </w:pPr>
      <w:bookmarkStart w:id="254" w:name="_Toc472472106"/>
      <w:bookmarkStart w:id="255" w:name="_Toc488765799"/>
      <w:r>
        <w:t>Duquesne Light</w:t>
      </w:r>
      <w:bookmarkEnd w:id="254"/>
      <w:bookmarkEnd w:id="255"/>
    </w:p>
    <w:p w:rsidR="00CC4272" w:rsidRDefault="00CC4272" w:rsidP="00CC4272">
      <w:r>
        <w:fldChar w:fldCharType="begin"/>
      </w:r>
      <w:r>
        <w:instrText xml:space="preserve"> REF _Ref472349600 \h </w:instrText>
      </w:r>
      <w:r>
        <w:fldChar w:fldCharType="separate"/>
      </w:r>
      <w:r w:rsidR="00037CB4">
        <w:t xml:space="preserve">Table </w:t>
      </w:r>
      <w:r w:rsidR="00037CB4">
        <w:rPr>
          <w:noProof/>
        </w:rPr>
        <w:t>3</w:t>
      </w:r>
      <w:r w:rsidR="00037CB4">
        <w:noBreakHyphen/>
      </w:r>
      <w:r w:rsidR="00037CB4">
        <w:rPr>
          <w:noProof/>
        </w:rPr>
        <w:t>3</w:t>
      </w:r>
      <w:r>
        <w:fldChar w:fldCharType="end"/>
      </w:r>
      <w:r>
        <w:t xml:space="preserve"> presents Duquesne’s cumulative demand savings, stratified by sector. The C</w:t>
      </w:r>
      <w:r w:rsidR="0097650B">
        <w:t>/</w:t>
      </w:r>
      <w:r>
        <w:t>I sector accounted for nearly 60% of the total demand savings in Phase II.</w:t>
      </w:r>
      <w:r w:rsidR="008E4974">
        <w:t xml:space="preserve"> </w:t>
      </w:r>
      <w:r w:rsidR="00F13CD2">
        <w:fldChar w:fldCharType="begin"/>
      </w:r>
      <w:r w:rsidR="00F13CD2">
        <w:instrText xml:space="preserve"> REF _Ref472350375 \h </w:instrText>
      </w:r>
      <w:r w:rsidR="00F13CD2">
        <w:fldChar w:fldCharType="separate"/>
      </w:r>
      <w:r w:rsidR="00037CB4">
        <w:t xml:space="preserve">Figure </w:t>
      </w:r>
      <w:r w:rsidR="00037CB4">
        <w:rPr>
          <w:noProof/>
        </w:rPr>
        <w:t>3</w:t>
      </w:r>
      <w:r w:rsidR="00037CB4">
        <w:noBreakHyphen/>
      </w:r>
      <w:r w:rsidR="00037CB4">
        <w:rPr>
          <w:noProof/>
        </w:rPr>
        <w:t>2</w:t>
      </w:r>
      <w:r w:rsidR="00F13CD2">
        <w:fldChar w:fldCharType="end"/>
      </w:r>
      <w:r w:rsidR="008E4974">
        <w:t xml:space="preserve"> provides a graphical illustration of these savings.</w:t>
      </w:r>
    </w:p>
    <w:p w:rsidR="00CC4272" w:rsidRDefault="00CC4272" w:rsidP="00CC4272"/>
    <w:p w:rsidR="00CC4272" w:rsidRDefault="00CC4272" w:rsidP="004837FA">
      <w:pPr>
        <w:pStyle w:val="Caption"/>
      </w:pPr>
      <w:bookmarkStart w:id="256" w:name="_Ref472349600"/>
      <w:bookmarkStart w:id="257" w:name="_Toc472472178"/>
      <w:bookmarkStart w:id="258" w:name="_Toc488741756"/>
      <w:r>
        <w:t xml:space="preserve">Table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3</w:t>
      </w:r>
      <w:r w:rsidR="007973A4">
        <w:rPr>
          <w:noProof/>
        </w:rPr>
        <w:fldChar w:fldCharType="end"/>
      </w:r>
      <w:bookmarkEnd w:id="256"/>
      <w:r>
        <w:t xml:space="preserve">: </w:t>
      </w:r>
      <w:r w:rsidR="00D743F8">
        <w:t>Duquesne</w:t>
      </w:r>
      <w:r>
        <w:t xml:space="preserve"> Phase II </w:t>
      </w:r>
      <w:r w:rsidR="0078313D">
        <w:t xml:space="preserve">Cumulative </w:t>
      </w:r>
      <w:r>
        <w:t>Demand Savings, by Sector</w:t>
      </w:r>
      <w:bookmarkEnd w:id="257"/>
      <w:bookmarkEnd w:id="258"/>
    </w:p>
    <w:tbl>
      <w:tblPr>
        <w:tblW w:w="9350" w:type="dxa"/>
        <w:tblInd w:w="-10" w:type="dxa"/>
        <w:tblLook w:val="04A0" w:firstRow="1" w:lastRow="0" w:firstColumn="1" w:lastColumn="0" w:noHBand="0" w:noVBand="1"/>
      </w:tblPr>
      <w:tblGrid>
        <w:gridCol w:w="1843"/>
        <w:gridCol w:w="1501"/>
        <w:gridCol w:w="1501"/>
        <w:gridCol w:w="1502"/>
        <w:gridCol w:w="1501"/>
        <w:gridCol w:w="1502"/>
      </w:tblGrid>
      <w:tr w:rsidR="00A874AC" w:rsidRPr="00766038" w:rsidTr="00766038">
        <w:trPr>
          <w:trHeight w:val="117"/>
        </w:trPr>
        <w:tc>
          <w:tcPr>
            <w:tcW w:w="1843" w:type="dxa"/>
            <w:tcBorders>
              <w:top w:val="single" w:sz="8" w:space="0" w:color="448A99"/>
              <w:left w:val="single" w:sz="8" w:space="0" w:color="448A99"/>
              <w:bottom w:val="single" w:sz="8" w:space="0" w:color="448A99"/>
              <w:right w:val="nil"/>
            </w:tcBorders>
            <w:shd w:val="clear" w:color="000000" w:fill="448A99"/>
            <w:vAlign w:val="center"/>
            <w:hideMark/>
          </w:tcPr>
          <w:p w:rsidR="00CC4272" w:rsidRPr="00766038" w:rsidRDefault="00CC4272" w:rsidP="006F7DE9">
            <w:pPr>
              <w:rPr>
                <w:b/>
                <w:bCs/>
                <w:color w:val="FFFFFF"/>
                <w:sz w:val="19"/>
                <w:szCs w:val="19"/>
              </w:rPr>
            </w:pPr>
            <w:r w:rsidRPr="00766038">
              <w:rPr>
                <w:b/>
                <w:bCs/>
                <w:color w:val="FFFFFF"/>
                <w:sz w:val="19"/>
                <w:szCs w:val="19"/>
              </w:rPr>
              <w:t>Statewide</w:t>
            </w:r>
          </w:p>
        </w:tc>
        <w:tc>
          <w:tcPr>
            <w:tcW w:w="1501"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CC4272" w:rsidRPr="00766038" w:rsidRDefault="00CC4272" w:rsidP="006F7DE9">
            <w:pPr>
              <w:jc w:val="center"/>
              <w:rPr>
                <w:b/>
                <w:bCs/>
                <w:color w:val="FFFFFF"/>
                <w:sz w:val="19"/>
                <w:szCs w:val="19"/>
              </w:rPr>
            </w:pPr>
            <w:r w:rsidRPr="00766038">
              <w:rPr>
                <w:b/>
                <w:bCs/>
                <w:color w:val="FFFFFF"/>
                <w:sz w:val="19"/>
                <w:szCs w:val="19"/>
              </w:rPr>
              <w:t>Residential</w:t>
            </w:r>
          </w:p>
        </w:tc>
        <w:tc>
          <w:tcPr>
            <w:tcW w:w="1501" w:type="dxa"/>
            <w:tcBorders>
              <w:top w:val="single" w:sz="8" w:space="0" w:color="448A99"/>
              <w:left w:val="nil"/>
              <w:bottom w:val="single" w:sz="8" w:space="0" w:color="448A99"/>
              <w:right w:val="single" w:sz="8" w:space="0" w:color="448A99"/>
            </w:tcBorders>
            <w:shd w:val="clear" w:color="000000" w:fill="448A99"/>
            <w:vAlign w:val="center"/>
            <w:hideMark/>
          </w:tcPr>
          <w:p w:rsidR="00CC4272" w:rsidRPr="00766038" w:rsidRDefault="00CC4272" w:rsidP="0097650B">
            <w:pPr>
              <w:jc w:val="center"/>
              <w:rPr>
                <w:b/>
                <w:bCs/>
                <w:color w:val="FFFFFF"/>
                <w:sz w:val="19"/>
                <w:szCs w:val="19"/>
              </w:rPr>
            </w:pPr>
            <w:r w:rsidRPr="00766038">
              <w:rPr>
                <w:b/>
                <w:bCs/>
                <w:color w:val="FFFFFF"/>
                <w:sz w:val="19"/>
                <w:szCs w:val="19"/>
              </w:rPr>
              <w:t>C</w:t>
            </w:r>
            <w:r w:rsidR="0097650B" w:rsidRPr="00766038">
              <w:rPr>
                <w:b/>
                <w:bCs/>
                <w:color w:val="FFFFFF"/>
                <w:sz w:val="19"/>
                <w:szCs w:val="19"/>
              </w:rPr>
              <w:t>/</w:t>
            </w:r>
            <w:r w:rsidRPr="00766038">
              <w:rPr>
                <w:b/>
                <w:bCs/>
                <w:color w:val="FFFFFF"/>
                <w:sz w:val="19"/>
                <w:szCs w:val="19"/>
              </w:rPr>
              <w:t>I</w:t>
            </w:r>
          </w:p>
        </w:tc>
        <w:tc>
          <w:tcPr>
            <w:tcW w:w="1502" w:type="dxa"/>
            <w:tcBorders>
              <w:top w:val="single" w:sz="8" w:space="0" w:color="448A99"/>
              <w:left w:val="nil"/>
              <w:bottom w:val="single" w:sz="8" w:space="0" w:color="448A99"/>
              <w:right w:val="single" w:sz="8" w:space="0" w:color="448A99"/>
            </w:tcBorders>
            <w:shd w:val="clear" w:color="000000" w:fill="448A99"/>
            <w:vAlign w:val="center"/>
            <w:hideMark/>
          </w:tcPr>
          <w:p w:rsidR="00CC4272" w:rsidRPr="00766038" w:rsidRDefault="00CC4272" w:rsidP="006F7DE9">
            <w:pPr>
              <w:jc w:val="center"/>
              <w:rPr>
                <w:b/>
                <w:bCs/>
                <w:color w:val="FFFFFF"/>
                <w:sz w:val="19"/>
                <w:szCs w:val="19"/>
              </w:rPr>
            </w:pPr>
            <w:r w:rsidRPr="00766038">
              <w:rPr>
                <w:b/>
                <w:bCs/>
                <w:color w:val="FFFFFF"/>
                <w:sz w:val="19"/>
                <w:szCs w:val="19"/>
              </w:rPr>
              <w:t>GNI</w:t>
            </w:r>
          </w:p>
        </w:tc>
        <w:tc>
          <w:tcPr>
            <w:tcW w:w="1501" w:type="dxa"/>
            <w:tcBorders>
              <w:top w:val="single" w:sz="8" w:space="0" w:color="448A99"/>
              <w:left w:val="nil"/>
              <w:bottom w:val="single" w:sz="8" w:space="0" w:color="448A99"/>
              <w:right w:val="single" w:sz="8" w:space="0" w:color="448A99"/>
            </w:tcBorders>
            <w:shd w:val="clear" w:color="000000" w:fill="448A99"/>
            <w:vAlign w:val="center"/>
            <w:hideMark/>
          </w:tcPr>
          <w:p w:rsidR="00CC4272" w:rsidRPr="00766038" w:rsidRDefault="00CC4272" w:rsidP="006F7DE9">
            <w:pPr>
              <w:jc w:val="center"/>
              <w:rPr>
                <w:b/>
                <w:bCs/>
                <w:color w:val="FFFFFF"/>
                <w:sz w:val="19"/>
                <w:szCs w:val="19"/>
              </w:rPr>
            </w:pPr>
            <w:r w:rsidRPr="00766038">
              <w:rPr>
                <w:b/>
                <w:bCs/>
                <w:color w:val="FFFFFF"/>
                <w:sz w:val="19"/>
                <w:szCs w:val="19"/>
              </w:rPr>
              <w:t>Low-Income</w:t>
            </w:r>
          </w:p>
        </w:tc>
        <w:tc>
          <w:tcPr>
            <w:tcW w:w="1502" w:type="dxa"/>
            <w:tcBorders>
              <w:top w:val="single" w:sz="8" w:space="0" w:color="448A99"/>
              <w:left w:val="single" w:sz="8" w:space="0" w:color="448A99"/>
              <w:bottom w:val="single" w:sz="8" w:space="0" w:color="448A99"/>
              <w:right w:val="nil"/>
            </w:tcBorders>
            <w:shd w:val="clear" w:color="000000" w:fill="448A99"/>
            <w:vAlign w:val="center"/>
            <w:hideMark/>
          </w:tcPr>
          <w:p w:rsidR="00CC4272" w:rsidRPr="00766038" w:rsidRDefault="00CC4272" w:rsidP="006F7DE9">
            <w:pPr>
              <w:jc w:val="center"/>
              <w:rPr>
                <w:b/>
                <w:bCs/>
                <w:color w:val="FFFFFF"/>
                <w:sz w:val="19"/>
                <w:szCs w:val="19"/>
              </w:rPr>
            </w:pPr>
            <w:r w:rsidRPr="00766038">
              <w:rPr>
                <w:b/>
                <w:bCs/>
                <w:color w:val="FFFFFF"/>
                <w:sz w:val="19"/>
                <w:szCs w:val="19"/>
              </w:rPr>
              <w:t>Total</w:t>
            </w:r>
          </w:p>
        </w:tc>
      </w:tr>
      <w:tr w:rsidR="00A874AC" w:rsidRPr="00766038" w:rsidTr="00766038">
        <w:trPr>
          <w:trHeight w:val="432"/>
        </w:trPr>
        <w:tc>
          <w:tcPr>
            <w:tcW w:w="1843" w:type="dxa"/>
            <w:tcBorders>
              <w:top w:val="nil"/>
              <w:left w:val="single" w:sz="8" w:space="0" w:color="448A99"/>
              <w:bottom w:val="single" w:sz="8" w:space="0" w:color="448A99"/>
              <w:right w:val="nil"/>
            </w:tcBorders>
            <w:shd w:val="clear" w:color="000000" w:fill="D2EAF1"/>
            <w:vAlign w:val="center"/>
            <w:hideMark/>
          </w:tcPr>
          <w:p w:rsidR="00CC4272" w:rsidRPr="00766038" w:rsidRDefault="00CC4272" w:rsidP="006F7DE9">
            <w:pPr>
              <w:rPr>
                <w:b/>
                <w:bCs/>
                <w:color w:val="000000"/>
                <w:sz w:val="19"/>
                <w:szCs w:val="19"/>
              </w:rPr>
            </w:pPr>
            <w:r w:rsidRPr="00766038">
              <w:rPr>
                <w:b/>
                <w:bCs/>
                <w:color w:val="000000"/>
                <w:sz w:val="19"/>
                <w:szCs w:val="19"/>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hideMark/>
          </w:tcPr>
          <w:p w:rsidR="00CC4272" w:rsidRPr="00766038" w:rsidRDefault="00CC4272" w:rsidP="006F7DE9">
            <w:pPr>
              <w:jc w:val="center"/>
              <w:rPr>
                <w:color w:val="000000"/>
                <w:sz w:val="19"/>
                <w:szCs w:val="19"/>
              </w:rPr>
            </w:pPr>
            <w:r w:rsidRPr="00766038">
              <w:rPr>
                <w:color w:val="000000"/>
                <w:sz w:val="19"/>
                <w:szCs w:val="19"/>
              </w:rPr>
              <w:t>2.95</w:t>
            </w:r>
          </w:p>
        </w:tc>
        <w:tc>
          <w:tcPr>
            <w:tcW w:w="1501" w:type="dxa"/>
            <w:tcBorders>
              <w:top w:val="nil"/>
              <w:left w:val="nil"/>
              <w:bottom w:val="single" w:sz="8" w:space="0" w:color="448A99"/>
              <w:right w:val="single" w:sz="8" w:space="0" w:color="448A99"/>
            </w:tcBorders>
            <w:shd w:val="clear" w:color="000000" w:fill="D2EAF1"/>
            <w:vAlign w:val="center"/>
            <w:hideMark/>
          </w:tcPr>
          <w:p w:rsidR="00CC4272" w:rsidRPr="00766038" w:rsidRDefault="00CC4272" w:rsidP="006F7DE9">
            <w:pPr>
              <w:jc w:val="center"/>
              <w:rPr>
                <w:color w:val="000000"/>
                <w:sz w:val="19"/>
                <w:szCs w:val="19"/>
              </w:rPr>
            </w:pPr>
            <w:r w:rsidRPr="00766038">
              <w:rPr>
                <w:color w:val="000000"/>
                <w:sz w:val="19"/>
                <w:szCs w:val="19"/>
              </w:rPr>
              <w:t>13.07</w:t>
            </w:r>
          </w:p>
        </w:tc>
        <w:tc>
          <w:tcPr>
            <w:tcW w:w="1502" w:type="dxa"/>
            <w:tcBorders>
              <w:top w:val="nil"/>
              <w:left w:val="nil"/>
              <w:bottom w:val="single" w:sz="8" w:space="0" w:color="448A99"/>
              <w:right w:val="single" w:sz="8" w:space="0" w:color="448A99"/>
            </w:tcBorders>
            <w:shd w:val="clear" w:color="000000" w:fill="D2EAF1"/>
            <w:vAlign w:val="center"/>
            <w:hideMark/>
          </w:tcPr>
          <w:p w:rsidR="00CC4272" w:rsidRPr="00766038" w:rsidRDefault="00CC4272" w:rsidP="006F7DE9">
            <w:pPr>
              <w:jc w:val="center"/>
              <w:rPr>
                <w:color w:val="000000"/>
                <w:sz w:val="19"/>
                <w:szCs w:val="19"/>
              </w:rPr>
            </w:pPr>
            <w:r w:rsidRPr="00766038">
              <w:rPr>
                <w:color w:val="000000"/>
                <w:sz w:val="19"/>
                <w:szCs w:val="19"/>
              </w:rPr>
              <w:t>0.17</w:t>
            </w:r>
          </w:p>
        </w:tc>
        <w:tc>
          <w:tcPr>
            <w:tcW w:w="1501" w:type="dxa"/>
            <w:tcBorders>
              <w:top w:val="nil"/>
              <w:left w:val="nil"/>
              <w:bottom w:val="single" w:sz="8" w:space="0" w:color="448A99"/>
              <w:right w:val="single" w:sz="8" w:space="0" w:color="448A99"/>
            </w:tcBorders>
            <w:shd w:val="clear" w:color="000000" w:fill="D2EAF1"/>
            <w:vAlign w:val="center"/>
            <w:hideMark/>
          </w:tcPr>
          <w:p w:rsidR="00CC4272" w:rsidRPr="00766038" w:rsidRDefault="00CC4272" w:rsidP="006F7DE9">
            <w:pPr>
              <w:jc w:val="center"/>
              <w:rPr>
                <w:color w:val="000000"/>
                <w:sz w:val="19"/>
                <w:szCs w:val="19"/>
              </w:rPr>
            </w:pPr>
            <w:r w:rsidRPr="00766038">
              <w:rPr>
                <w:color w:val="000000"/>
                <w:sz w:val="19"/>
                <w:szCs w:val="19"/>
              </w:rPr>
              <w:t>0.71</w:t>
            </w:r>
          </w:p>
        </w:tc>
        <w:tc>
          <w:tcPr>
            <w:tcW w:w="1502" w:type="dxa"/>
            <w:tcBorders>
              <w:top w:val="nil"/>
              <w:left w:val="single" w:sz="8" w:space="0" w:color="448A99"/>
              <w:bottom w:val="single" w:sz="8" w:space="0" w:color="448A99"/>
              <w:right w:val="single" w:sz="8" w:space="0" w:color="448A99"/>
            </w:tcBorders>
            <w:shd w:val="clear" w:color="000000" w:fill="D2EAF1"/>
            <w:vAlign w:val="center"/>
            <w:hideMark/>
          </w:tcPr>
          <w:p w:rsidR="00CC4272" w:rsidRPr="00766038" w:rsidRDefault="00CC4272" w:rsidP="006F7DE9">
            <w:pPr>
              <w:jc w:val="center"/>
              <w:rPr>
                <w:color w:val="000000"/>
                <w:sz w:val="19"/>
                <w:szCs w:val="19"/>
              </w:rPr>
            </w:pPr>
            <w:r w:rsidRPr="00766038">
              <w:rPr>
                <w:color w:val="000000"/>
                <w:sz w:val="19"/>
                <w:szCs w:val="19"/>
              </w:rPr>
              <w:t>16.89</w:t>
            </w:r>
          </w:p>
        </w:tc>
      </w:tr>
      <w:tr w:rsidR="00A874AC" w:rsidRPr="00766038" w:rsidTr="00766038">
        <w:trPr>
          <w:trHeight w:val="432"/>
        </w:trPr>
        <w:tc>
          <w:tcPr>
            <w:tcW w:w="1843" w:type="dxa"/>
            <w:tcBorders>
              <w:top w:val="nil"/>
              <w:left w:val="single" w:sz="8" w:space="0" w:color="448A99"/>
              <w:bottom w:val="single" w:sz="8" w:space="0" w:color="448A99"/>
              <w:right w:val="nil"/>
            </w:tcBorders>
            <w:shd w:val="clear" w:color="000000" w:fill="FFFFFF"/>
            <w:vAlign w:val="center"/>
            <w:hideMark/>
          </w:tcPr>
          <w:p w:rsidR="00CC4272" w:rsidRPr="00766038" w:rsidRDefault="00CC4272" w:rsidP="006F7DE9">
            <w:pPr>
              <w:rPr>
                <w:b/>
                <w:bCs/>
                <w:color w:val="000000"/>
                <w:sz w:val="19"/>
                <w:szCs w:val="19"/>
              </w:rPr>
            </w:pPr>
            <w:r w:rsidRPr="00766038">
              <w:rPr>
                <w:b/>
                <w:bCs/>
                <w:color w:val="000000"/>
                <w:sz w:val="19"/>
                <w:szCs w:val="19"/>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hideMark/>
          </w:tcPr>
          <w:p w:rsidR="00CC4272" w:rsidRPr="00766038" w:rsidRDefault="00CC4272" w:rsidP="006F7DE9">
            <w:pPr>
              <w:jc w:val="center"/>
              <w:rPr>
                <w:color w:val="000000"/>
                <w:sz w:val="19"/>
                <w:szCs w:val="19"/>
              </w:rPr>
            </w:pPr>
            <w:r w:rsidRPr="00766038">
              <w:rPr>
                <w:color w:val="000000"/>
                <w:sz w:val="19"/>
                <w:szCs w:val="19"/>
              </w:rPr>
              <w:t>6.85</w:t>
            </w:r>
          </w:p>
        </w:tc>
        <w:tc>
          <w:tcPr>
            <w:tcW w:w="1501" w:type="dxa"/>
            <w:tcBorders>
              <w:top w:val="nil"/>
              <w:left w:val="nil"/>
              <w:bottom w:val="single" w:sz="8" w:space="0" w:color="448A99"/>
              <w:right w:val="single" w:sz="8" w:space="0" w:color="448A99"/>
            </w:tcBorders>
            <w:shd w:val="clear" w:color="auto" w:fill="auto"/>
            <w:vAlign w:val="center"/>
            <w:hideMark/>
          </w:tcPr>
          <w:p w:rsidR="00CC4272" w:rsidRPr="00766038" w:rsidRDefault="00CC4272" w:rsidP="006F7DE9">
            <w:pPr>
              <w:jc w:val="center"/>
              <w:rPr>
                <w:color w:val="000000"/>
                <w:sz w:val="19"/>
                <w:szCs w:val="19"/>
              </w:rPr>
            </w:pPr>
            <w:r w:rsidRPr="00766038">
              <w:rPr>
                <w:color w:val="000000"/>
                <w:sz w:val="19"/>
                <w:szCs w:val="19"/>
              </w:rPr>
              <w:t>22.23</w:t>
            </w:r>
          </w:p>
        </w:tc>
        <w:tc>
          <w:tcPr>
            <w:tcW w:w="1502" w:type="dxa"/>
            <w:tcBorders>
              <w:top w:val="nil"/>
              <w:left w:val="nil"/>
              <w:bottom w:val="single" w:sz="8" w:space="0" w:color="448A99"/>
              <w:right w:val="single" w:sz="8" w:space="0" w:color="448A99"/>
            </w:tcBorders>
            <w:shd w:val="clear" w:color="000000" w:fill="FFFFFF"/>
            <w:vAlign w:val="center"/>
            <w:hideMark/>
          </w:tcPr>
          <w:p w:rsidR="00CC4272" w:rsidRPr="00766038" w:rsidRDefault="00CC4272" w:rsidP="006F7DE9">
            <w:pPr>
              <w:jc w:val="center"/>
              <w:rPr>
                <w:color w:val="000000"/>
                <w:sz w:val="19"/>
                <w:szCs w:val="19"/>
              </w:rPr>
            </w:pPr>
            <w:r w:rsidRPr="00766038">
              <w:rPr>
                <w:color w:val="000000"/>
                <w:sz w:val="19"/>
                <w:szCs w:val="19"/>
              </w:rPr>
              <w:t>3.05</w:t>
            </w:r>
          </w:p>
        </w:tc>
        <w:tc>
          <w:tcPr>
            <w:tcW w:w="1501" w:type="dxa"/>
            <w:tcBorders>
              <w:top w:val="nil"/>
              <w:left w:val="nil"/>
              <w:bottom w:val="single" w:sz="8" w:space="0" w:color="448A99"/>
              <w:right w:val="single" w:sz="8" w:space="0" w:color="448A99"/>
            </w:tcBorders>
            <w:shd w:val="clear" w:color="000000" w:fill="FFFFFF"/>
            <w:vAlign w:val="center"/>
            <w:hideMark/>
          </w:tcPr>
          <w:p w:rsidR="00CC4272" w:rsidRPr="00766038" w:rsidRDefault="00CC4272" w:rsidP="006F7DE9">
            <w:pPr>
              <w:jc w:val="center"/>
              <w:rPr>
                <w:color w:val="000000"/>
                <w:sz w:val="19"/>
                <w:szCs w:val="19"/>
              </w:rPr>
            </w:pPr>
            <w:r w:rsidRPr="00766038">
              <w:rPr>
                <w:color w:val="000000"/>
                <w:sz w:val="19"/>
                <w:szCs w:val="19"/>
              </w:rPr>
              <w:t>1.06</w:t>
            </w:r>
          </w:p>
        </w:tc>
        <w:tc>
          <w:tcPr>
            <w:tcW w:w="1502" w:type="dxa"/>
            <w:tcBorders>
              <w:top w:val="nil"/>
              <w:left w:val="single" w:sz="8" w:space="0" w:color="448A99"/>
              <w:bottom w:val="single" w:sz="8" w:space="0" w:color="448A99"/>
              <w:right w:val="single" w:sz="8" w:space="0" w:color="448A99"/>
            </w:tcBorders>
            <w:shd w:val="clear" w:color="auto" w:fill="auto"/>
            <w:vAlign w:val="center"/>
            <w:hideMark/>
          </w:tcPr>
          <w:p w:rsidR="00CC4272" w:rsidRPr="00766038" w:rsidRDefault="00CC4272" w:rsidP="006F7DE9">
            <w:pPr>
              <w:jc w:val="center"/>
              <w:rPr>
                <w:color w:val="000000"/>
                <w:sz w:val="19"/>
                <w:szCs w:val="19"/>
              </w:rPr>
            </w:pPr>
            <w:r w:rsidRPr="00766038">
              <w:rPr>
                <w:color w:val="000000"/>
                <w:sz w:val="19"/>
                <w:szCs w:val="19"/>
              </w:rPr>
              <w:t>33.19</w:t>
            </w:r>
          </w:p>
        </w:tc>
      </w:tr>
      <w:tr w:rsidR="00A874AC" w:rsidRPr="00766038" w:rsidTr="00766038">
        <w:trPr>
          <w:trHeight w:val="432"/>
        </w:trPr>
        <w:tc>
          <w:tcPr>
            <w:tcW w:w="1843" w:type="dxa"/>
            <w:tcBorders>
              <w:top w:val="nil"/>
              <w:left w:val="single" w:sz="8" w:space="0" w:color="448A99"/>
              <w:bottom w:val="single" w:sz="8" w:space="0" w:color="448A99"/>
              <w:right w:val="nil"/>
            </w:tcBorders>
            <w:shd w:val="clear" w:color="000000" w:fill="D2EAF1"/>
            <w:vAlign w:val="center"/>
            <w:hideMark/>
          </w:tcPr>
          <w:p w:rsidR="00CC4272" w:rsidRPr="00766038" w:rsidRDefault="00CC4272" w:rsidP="006F7DE9">
            <w:pPr>
              <w:rPr>
                <w:b/>
                <w:bCs/>
                <w:color w:val="000000"/>
                <w:sz w:val="19"/>
                <w:szCs w:val="19"/>
              </w:rPr>
            </w:pPr>
            <w:r w:rsidRPr="00766038">
              <w:rPr>
                <w:b/>
                <w:bCs/>
                <w:color w:val="000000"/>
                <w:sz w:val="19"/>
                <w:szCs w:val="19"/>
              </w:rPr>
              <w:t>PY7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hideMark/>
          </w:tcPr>
          <w:p w:rsidR="00CC4272" w:rsidRPr="00766038" w:rsidRDefault="00CC4272" w:rsidP="006F7DE9">
            <w:pPr>
              <w:jc w:val="center"/>
              <w:rPr>
                <w:color w:val="000000"/>
                <w:sz w:val="19"/>
                <w:szCs w:val="19"/>
              </w:rPr>
            </w:pPr>
            <w:r w:rsidRPr="00766038">
              <w:rPr>
                <w:color w:val="000000"/>
                <w:sz w:val="19"/>
                <w:szCs w:val="19"/>
              </w:rPr>
              <w:t>10.79</w:t>
            </w:r>
          </w:p>
        </w:tc>
        <w:tc>
          <w:tcPr>
            <w:tcW w:w="1501" w:type="dxa"/>
            <w:tcBorders>
              <w:top w:val="nil"/>
              <w:left w:val="nil"/>
              <w:bottom w:val="single" w:sz="8" w:space="0" w:color="448A99"/>
              <w:right w:val="single" w:sz="8" w:space="0" w:color="448A99"/>
            </w:tcBorders>
            <w:shd w:val="clear" w:color="000000" w:fill="D2EAF1"/>
            <w:vAlign w:val="center"/>
            <w:hideMark/>
          </w:tcPr>
          <w:p w:rsidR="00CC4272" w:rsidRPr="00766038" w:rsidRDefault="00CC4272" w:rsidP="006F7DE9">
            <w:pPr>
              <w:jc w:val="center"/>
              <w:rPr>
                <w:color w:val="000000"/>
                <w:sz w:val="19"/>
                <w:szCs w:val="19"/>
              </w:rPr>
            </w:pPr>
            <w:r w:rsidRPr="00766038">
              <w:rPr>
                <w:color w:val="000000"/>
                <w:sz w:val="19"/>
                <w:szCs w:val="19"/>
              </w:rPr>
              <w:t>29.08</w:t>
            </w:r>
          </w:p>
        </w:tc>
        <w:tc>
          <w:tcPr>
            <w:tcW w:w="1502" w:type="dxa"/>
            <w:tcBorders>
              <w:top w:val="nil"/>
              <w:left w:val="nil"/>
              <w:bottom w:val="single" w:sz="8" w:space="0" w:color="448A99"/>
              <w:right w:val="single" w:sz="8" w:space="0" w:color="448A99"/>
            </w:tcBorders>
            <w:shd w:val="clear" w:color="000000" w:fill="D2EAF1"/>
            <w:vAlign w:val="center"/>
            <w:hideMark/>
          </w:tcPr>
          <w:p w:rsidR="00CC4272" w:rsidRPr="00766038" w:rsidRDefault="00CC4272" w:rsidP="006F7DE9">
            <w:pPr>
              <w:jc w:val="center"/>
              <w:rPr>
                <w:color w:val="000000"/>
                <w:sz w:val="19"/>
                <w:szCs w:val="19"/>
              </w:rPr>
            </w:pPr>
            <w:r w:rsidRPr="00766038">
              <w:rPr>
                <w:color w:val="000000"/>
                <w:sz w:val="19"/>
                <w:szCs w:val="19"/>
              </w:rPr>
              <w:t>4.24</w:t>
            </w:r>
          </w:p>
        </w:tc>
        <w:tc>
          <w:tcPr>
            <w:tcW w:w="1501" w:type="dxa"/>
            <w:tcBorders>
              <w:top w:val="nil"/>
              <w:left w:val="nil"/>
              <w:bottom w:val="single" w:sz="8" w:space="0" w:color="448A99"/>
              <w:right w:val="single" w:sz="8" w:space="0" w:color="448A99"/>
            </w:tcBorders>
            <w:shd w:val="clear" w:color="000000" w:fill="D2EAF1"/>
            <w:vAlign w:val="center"/>
            <w:hideMark/>
          </w:tcPr>
          <w:p w:rsidR="00CC4272" w:rsidRPr="00766038" w:rsidRDefault="006606CB" w:rsidP="006F7DE9">
            <w:pPr>
              <w:jc w:val="center"/>
              <w:rPr>
                <w:color w:val="000000"/>
                <w:sz w:val="19"/>
                <w:szCs w:val="19"/>
              </w:rPr>
            </w:pPr>
            <w:r w:rsidRPr="00766038">
              <w:rPr>
                <w:color w:val="000000"/>
                <w:sz w:val="19"/>
                <w:szCs w:val="19"/>
              </w:rPr>
              <w:t>1.50</w:t>
            </w:r>
          </w:p>
        </w:tc>
        <w:tc>
          <w:tcPr>
            <w:tcW w:w="1502" w:type="dxa"/>
            <w:tcBorders>
              <w:top w:val="nil"/>
              <w:left w:val="single" w:sz="8" w:space="0" w:color="448A99"/>
              <w:bottom w:val="single" w:sz="8" w:space="0" w:color="448A99"/>
              <w:right w:val="single" w:sz="8" w:space="0" w:color="448A99"/>
            </w:tcBorders>
            <w:shd w:val="clear" w:color="000000" w:fill="D2EAF1"/>
            <w:vAlign w:val="center"/>
            <w:hideMark/>
          </w:tcPr>
          <w:p w:rsidR="00CC4272" w:rsidRPr="00766038" w:rsidRDefault="006606CB" w:rsidP="006F7DE9">
            <w:pPr>
              <w:jc w:val="center"/>
              <w:rPr>
                <w:color w:val="000000"/>
                <w:sz w:val="19"/>
                <w:szCs w:val="19"/>
              </w:rPr>
            </w:pPr>
            <w:r w:rsidRPr="00766038">
              <w:rPr>
                <w:color w:val="000000"/>
                <w:sz w:val="19"/>
                <w:szCs w:val="19"/>
              </w:rPr>
              <w:t>45.615</w:t>
            </w:r>
          </w:p>
        </w:tc>
      </w:tr>
    </w:tbl>
    <w:p w:rsidR="00CC4272" w:rsidRDefault="00CC4272" w:rsidP="00CC4272"/>
    <w:p w:rsidR="00B914EA" w:rsidRDefault="00B914EA" w:rsidP="00CC4272"/>
    <w:p w:rsidR="00B914EA" w:rsidRDefault="00B914EA" w:rsidP="00CC4272"/>
    <w:p w:rsidR="00B914EA" w:rsidRDefault="00B914EA" w:rsidP="00CC4272"/>
    <w:p w:rsidR="00CC4272" w:rsidRDefault="00CC4272" w:rsidP="00CC4272"/>
    <w:p w:rsidR="00DB244B" w:rsidRDefault="00DB244B" w:rsidP="00CC4272"/>
    <w:p w:rsidR="00E1723F" w:rsidRDefault="00E1723F" w:rsidP="00CC4272"/>
    <w:p w:rsidR="00E1723F" w:rsidRDefault="00E1723F" w:rsidP="00CC4272"/>
    <w:p w:rsidR="00E1723F" w:rsidRDefault="00E1723F" w:rsidP="00CC4272"/>
    <w:p w:rsidR="00ED4EA3" w:rsidRDefault="00ED4EA3" w:rsidP="00CC4272"/>
    <w:p w:rsidR="00ED4EA3" w:rsidRDefault="00ED4EA3" w:rsidP="00CC4272"/>
    <w:p w:rsidR="008E4974" w:rsidRDefault="008E4974" w:rsidP="004837FA">
      <w:pPr>
        <w:pStyle w:val="Caption"/>
      </w:pPr>
      <w:bookmarkStart w:id="259" w:name="_Ref472350375"/>
      <w:bookmarkStart w:id="260" w:name="_Toc472472232"/>
      <w:bookmarkStart w:id="261" w:name="_Toc488741811"/>
      <w:r>
        <w:t xml:space="preserve">Figure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2</w:t>
      </w:r>
      <w:r w:rsidR="007973A4">
        <w:rPr>
          <w:noProof/>
        </w:rPr>
        <w:fldChar w:fldCharType="end"/>
      </w:r>
      <w:bookmarkEnd w:id="259"/>
      <w:r>
        <w:t xml:space="preserve">:  </w:t>
      </w:r>
      <w:r w:rsidR="00D743F8" w:rsidRPr="008E4974">
        <w:t>Duquesne</w:t>
      </w:r>
      <w:r w:rsidRPr="008E4974">
        <w:t xml:space="preserve"> Phase II </w:t>
      </w:r>
      <w:r w:rsidR="000206F5">
        <w:t>Cumulative</w:t>
      </w:r>
      <w:r w:rsidRPr="008E4974">
        <w:t xml:space="preserve"> Demand Savings, by Sector</w:t>
      </w:r>
      <w:bookmarkEnd w:id="260"/>
      <w:bookmarkEnd w:id="261"/>
    </w:p>
    <w:p w:rsidR="001C504E" w:rsidRDefault="00ED4EA3" w:rsidP="001C504E">
      <w:r>
        <w:rPr>
          <w:noProof/>
        </w:rPr>
        <w:drawing>
          <wp:inline distT="0" distB="0" distL="0" distR="0" wp14:anchorId="7BC6D8D6" wp14:editId="16797F02">
            <wp:extent cx="5871896" cy="3427012"/>
            <wp:effectExtent l="0" t="0" r="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0632" cy="3437947"/>
                    </a:xfrm>
                    <a:prstGeom prst="rect">
                      <a:avLst/>
                    </a:prstGeom>
                    <a:noFill/>
                  </pic:spPr>
                </pic:pic>
              </a:graphicData>
            </a:graphic>
          </wp:inline>
        </w:drawing>
      </w:r>
    </w:p>
    <w:p w:rsidR="001C504E" w:rsidRPr="001C504E" w:rsidRDefault="001C504E" w:rsidP="001C504E"/>
    <w:p w:rsidR="00DD6B4C" w:rsidRDefault="00DD6B4C" w:rsidP="00E673F0">
      <w:pPr>
        <w:pStyle w:val="Heading3"/>
      </w:pPr>
      <w:bookmarkStart w:id="262" w:name="_Toc472472107"/>
      <w:bookmarkStart w:id="263" w:name="_Toc488765800"/>
      <w:r>
        <w:t>Metropolitan Edison Company</w:t>
      </w:r>
      <w:bookmarkEnd w:id="262"/>
      <w:bookmarkEnd w:id="263"/>
    </w:p>
    <w:p w:rsidR="00F13CD2" w:rsidRDefault="00D9014E" w:rsidP="00D9014E">
      <w:r>
        <w:fldChar w:fldCharType="begin"/>
      </w:r>
      <w:r>
        <w:instrText xml:space="preserve"> REF _Ref472350611 \h </w:instrText>
      </w:r>
      <w:r>
        <w:fldChar w:fldCharType="separate"/>
      </w:r>
      <w:r w:rsidR="00766038">
        <w:t xml:space="preserve">Table </w:t>
      </w:r>
      <w:r w:rsidR="00766038">
        <w:rPr>
          <w:noProof/>
        </w:rPr>
        <w:t>3</w:t>
      </w:r>
      <w:r w:rsidR="00766038">
        <w:noBreakHyphen/>
      </w:r>
      <w:r w:rsidR="00766038">
        <w:rPr>
          <w:noProof/>
        </w:rPr>
        <w:t>4</w:t>
      </w:r>
      <w:r>
        <w:fldChar w:fldCharType="end"/>
      </w:r>
      <w:r>
        <w:t xml:space="preserve"> </w:t>
      </w:r>
      <w:r w:rsidR="00F13CD2" w:rsidRPr="00D9014E">
        <w:t>presents Med-Ed’s cumulative demand savings, by sector. The C</w:t>
      </w:r>
      <w:r w:rsidR="003B73AE" w:rsidRPr="00D9014E">
        <w:t>/</w:t>
      </w:r>
      <w:r w:rsidR="00F13CD2" w:rsidRPr="00D9014E">
        <w:t xml:space="preserve">I sector accounted for </w:t>
      </w:r>
      <w:r w:rsidR="00871F8D" w:rsidRPr="00D9014E">
        <w:t>35</w:t>
      </w:r>
      <w:r w:rsidR="00F13CD2" w:rsidRPr="00D9014E">
        <w:t xml:space="preserve">% of the total demand savings in Phase II. </w:t>
      </w:r>
      <w:r w:rsidR="00871F8D" w:rsidRPr="00D9014E">
        <w:fldChar w:fldCharType="begin"/>
      </w:r>
      <w:r w:rsidR="00871F8D" w:rsidRPr="00D9014E">
        <w:instrText xml:space="preserve"> REF _Ref472350672 \h </w:instrText>
      </w:r>
      <w:r w:rsidR="00871F8D" w:rsidRPr="00D9014E">
        <w:fldChar w:fldCharType="separate"/>
      </w:r>
      <w:r w:rsidR="00766038">
        <w:t xml:space="preserve">Figure </w:t>
      </w:r>
      <w:r w:rsidR="00766038">
        <w:rPr>
          <w:noProof/>
        </w:rPr>
        <w:t>3</w:t>
      </w:r>
      <w:r w:rsidR="00766038">
        <w:noBreakHyphen/>
      </w:r>
      <w:r w:rsidR="00766038">
        <w:rPr>
          <w:noProof/>
        </w:rPr>
        <w:t>3</w:t>
      </w:r>
      <w:r w:rsidR="00871F8D" w:rsidRPr="00D9014E">
        <w:fldChar w:fldCharType="end"/>
      </w:r>
      <w:r w:rsidR="00F13CD2">
        <w:t xml:space="preserve"> provides a graphical illustration of these savings.</w:t>
      </w:r>
    </w:p>
    <w:p w:rsidR="00F13CD2" w:rsidRDefault="00F13CD2" w:rsidP="00F13CD2"/>
    <w:p w:rsidR="00F13CD2" w:rsidRDefault="00F13CD2" w:rsidP="004837FA">
      <w:pPr>
        <w:pStyle w:val="Caption"/>
      </w:pPr>
      <w:bookmarkStart w:id="264" w:name="_Ref472350611"/>
      <w:bookmarkStart w:id="265" w:name="_Toc472472179"/>
      <w:bookmarkStart w:id="266" w:name="_Toc488741757"/>
      <w:r>
        <w:t xml:space="preserve">Table </w:t>
      </w:r>
      <w:r w:rsidR="007973A4">
        <w:fldChar w:fldCharType="begin"/>
      </w:r>
      <w:r w:rsidR="007973A4">
        <w:instrText xml:space="preserve"> STYLEREF 1 \s </w:instrText>
      </w:r>
      <w:r w:rsidR="007973A4">
        <w:fldChar w:fldCharType="separate"/>
      </w:r>
      <w:r w:rsidR="00766038">
        <w:rPr>
          <w:noProof/>
        </w:rPr>
        <w:t>3</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766038">
        <w:rPr>
          <w:noProof/>
        </w:rPr>
        <w:t>4</w:t>
      </w:r>
      <w:r w:rsidR="007973A4">
        <w:rPr>
          <w:noProof/>
        </w:rPr>
        <w:fldChar w:fldCharType="end"/>
      </w:r>
      <w:bookmarkEnd w:id="264"/>
      <w:r>
        <w:t xml:space="preserve">: Met-Ed Phase II </w:t>
      </w:r>
      <w:r w:rsidR="000206F5">
        <w:t>Cumulative</w:t>
      </w:r>
      <w:r>
        <w:t xml:space="preserve"> Demand Savings, by Sector</w:t>
      </w:r>
      <w:bookmarkEnd w:id="265"/>
      <w:bookmarkEnd w:id="266"/>
    </w:p>
    <w:tbl>
      <w:tblPr>
        <w:tblW w:w="9450" w:type="dxa"/>
        <w:tblInd w:w="-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843"/>
        <w:gridCol w:w="1501"/>
        <w:gridCol w:w="1501"/>
        <w:gridCol w:w="1502"/>
        <w:gridCol w:w="1501"/>
        <w:gridCol w:w="1602"/>
      </w:tblGrid>
      <w:tr w:rsidR="00A874AC" w:rsidRPr="00766038" w:rsidTr="00766038">
        <w:trPr>
          <w:trHeight w:val="198"/>
        </w:trPr>
        <w:tc>
          <w:tcPr>
            <w:tcW w:w="1843" w:type="dxa"/>
            <w:shd w:val="clear" w:color="000000" w:fill="448A99"/>
            <w:vAlign w:val="center"/>
            <w:hideMark/>
          </w:tcPr>
          <w:p w:rsidR="00F13CD2" w:rsidRPr="00766038" w:rsidRDefault="00F13CD2" w:rsidP="006F7DE9">
            <w:pPr>
              <w:rPr>
                <w:b/>
                <w:bCs/>
                <w:color w:val="FFFFFF"/>
                <w:sz w:val="19"/>
                <w:szCs w:val="19"/>
              </w:rPr>
            </w:pPr>
            <w:r w:rsidRPr="00766038">
              <w:rPr>
                <w:b/>
                <w:bCs/>
                <w:color w:val="FFFFFF"/>
                <w:sz w:val="19"/>
                <w:szCs w:val="19"/>
              </w:rPr>
              <w:t>Statewide</w:t>
            </w:r>
          </w:p>
        </w:tc>
        <w:tc>
          <w:tcPr>
            <w:tcW w:w="1501" w:type="dxa"/>
            <w:shd w:val="clear" w:color="000000" w:fill="448A99"/>
            <w:vAlign w:val="center"/>
            <w:hideMark/>
          </w:tcPr>
          <w:p w:rsidR="00F13CD2" w:rsidRPr="00766038" w:rsidRDefault="00F13CD2" w:rsidP="006F7DE9">
            <w:pPr>
              <w:jc w:val="center"/>
              <w:rPr>
                <w:b/>
                <w:bCs/>
                <w:color w:val="FFFFFF"/>
                <w:sz w:val="19"/>
                <w:szCs w:val="19"/>
              </w:rPr>
            </w:pPr>
            <w:r w:rsidRPr="00766038">
              <w:rPr>
                <w:b/>
                <w:bCs/>
                <w:color w:val="FFFFFF"/>
                <w:sz w:val="19"/>
                <w:szCs w:val="19"/>
              </w:rPr>
              <w:t>Residential</w:t>
            </w:r>
          </w:p>
        </w:tc>
        <w:tc>
          <w:tcPr>
            <w:tcW w:w="1501" w:type="dxa"/>
            <w:shd w:val="clear" w:color="000000" w:fill="448A99"/>
            <w:vAlign w:val="center"/>
            <w:hideMark/>
          </w:tcPr>
          <w:p w:rsidR="00F13CD2" w:rsidRPr="00766038" w:rsidRDefault="00F13CD2" w:rsidP="0097650B">
            <w:pPr>
              <w:jc w:val="center"/>
              <w:rPr>
                <w:b/>
                <w:bCs/>
                <w:color w:val="FFFFFF"/>
                <w:sz w:val="19"/>
                <w:szCs w:val="19"/>
              </w:rPr>
            </w:pPr>
            <w:r w:rsidRPr="00766038">
              <w:rPr>
                <w:b/>
                <w:bCs/>
                <w:color w:val="FFFFFF"/>
                <w:sz w:val="19"/>
                <w:szCs w:val="19"/>
              </w:rPr>
              <w:t>C</w:t>
            </w:r>
            <w:r w:rsidR="0097650B" w:rsidRPr="00766038">
              <w:rPr>
                <w:b/>
                <w:bCs/>
                <w:color w:val="FFFFFF"/>
                <w:sz w:val="19"/>
                <w:szCs w:val="19"/>
              </w:rPr>
              <w:t>/</w:t>
            </w:r>
            <w:r w:rsidRPr="00766038">
              <w:rPr>
                <w:b/>
                <w:bCs/>
                <w:color w:val="FFFFFF"/>
                <w:sz w:val="19"/>
                <w:szCs w:val="19"/>
              </w:rPr>
              <w:t>I</w:t>
            </w:r>
          </w:p>
        </w:tc>
        <w:tc>
          <w:tcPr>
            <w:tcW w:w="1502" w:type="dxa"/>
            <w:shd w:val="clear" w:color="000000" w:fill="448A99"/>
            <w:vAlign w:val="center"/>
            <w:hideMark/>
          </w:tcPr>
          <w:p w:rsidR="00F13CD2" w:rsidRPr="00766038" w:rsidRDefault="00F13CD2" w:rsidP="006F7DE9">
            <w:pPr>
              <w:jc w:val="center"/>
              <w:rPr>
                <w:b/>
                <w:bCs/>
                <w:color w:val="FFFFFF"/>
                <w:sz w:val="19"/>
                <w:szCs w:val="19"/>
              </w:rPr>
            </w:pPr>
            <w:r w:rsidRPr="00766038">
              <w:rPr>
                <w:b/>
                <w:bCs/>
                <w:color w:val="FFFFFF"/>
                <w:sz w:val="19"/>
                <w:szCs w:val="19"/>
              </w:rPr>
              <w:t>GNI</w:t>
            </w:r>
          </w:p>
        </w:tc>
        <w:tc>
          <w:tcPr>
            <w:tcW w:w="1501" w:type="dxa"/>
            <w:shd w:val="clear" w:color="000000" w:fill="448A99"/>
            <w:vAlign w:val="center"/>
            <w:hideMark/>
          </w:tcPr>
          <w:p w:rsidR="00F13CD2" w:rsidRPr="00766038" w:rsidRDefault="00F13CD2" w:rsidP="006F7DE9">
            <w:pPr>
              <w:jc w:val="center"/>
              <w:rPr>
                <w:b/>
                <w:bCs/>
                <w:color w:val="FFFFFF"/>
                <w:sz w:val="19"/>
                <w:szCs w:val="19"/>
              </w:rPr>
            </w:pPr>
            <w:r w:rsidRPr="00766038">
              <w:rPr>
                <w:b/>
                <w:bCs/>
                <w:color w:val="FFFFFF"/>
                <w:sz w:val="19"/>
                <w:szCs w:val="19"/>
              </w:rPr>
              <w:t>Low-Income</w:t>
            </w:r>
          </w:p>
        </w:tc>
        <w:tc>
          <w:tcPr>
            <w:tcW w:w="1602" w:type="dxa"/>
            <w:shd w:val="clear" w:color="000000" w:fill="448A99"/>
            <w:vAlign w:val="center"/>
            <w:hideMark/>
          </w:tcPr>
          <w:p w:rsidR="00F13CD2" w:rsidRPr="00766038" w:rsidRDefault="00F13CD2" w:rsidP="006F7DE9">
            <w:pPr>
              <w:jc w:val="center"/>
              <w:rPr>
                <w:b/>
                <w:bCs/>
                <w:color w:val="FFFFFF"/>
                <w:sz w:val="19"/>
                <w:szCs w:val="19"/>
              </w:rPr>
            </w:pPr>
            <w:r w:rsidRPr="00766038">
              <w:rPr>
                <w:b/>
                <w:bCs/>
                <w:color w:val="FFFFFF"/>
                <w:sz w:val="19"/>
                <w:szCs w:val="19"/>
              </w:rPr>
              <w:t>Total</w:t>
            </w:r>
          </w:p>
        </w:tc>
      </w:tr>
      <w:tr w:rsidR="00A874AC" w:rsidRPr="00766038" w:rsidTr="00766038">
        <w:trPr>
          <w:trHeight w:val="432"/>
        </w:trPr>
        <w:tc>
          <w:tcPr>
            <w:tcW w:w="1843" w:type="dxa"/>
            <w:shd w:val="clear" w:color="000000" w:fill="D2EAF1"/>
            <w:vAlign w:val="center"/>
            <w:hideMark/>
          </w:tcPr>
          <w:p w:rsidR="00871F8D" w:rsidRPr="00766038" w:rsidRDefault="00871F8D" w:rsidP="00871F8D">
            <w:pPr>
              <w:rPr>
                <w:b/>
                <w:bCs/>
                <w:color w:val="000000"/>
                <w:sz w:val="19"/>
                <w:szCs w:val="19"/>
              </w:rPr>
            </w:pPr>
            <w:r w:rsidRPr="00766038">
              <w:rPr>
                <w:b/>
                <w:bCs/>
                <w:color w:val="000000"/>
                <w:sz w:val="19"/>
                <w:szCs w:val="19"/>
              </w:rPr>
              <w:t>PY5</w:t>
            </w:r>
          </w:p>
        </w:tc>
        <w:tc>
          <w:tcPr>
            <w:tcW w:w="1501"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9.51</w:t>
            </w:r>
          </w:p>
        </w:tc>
        <w:tc>
          <w:tcPr>
            <w:tcW w:w="1501"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5.18</w:t>
            </w:r>
          </w:p>
        </w:tc>
        <w:tc>
          <w:tcPr>
            <w:tcW w:w="1502"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0.46</w:t>
            </w:r>
          </w:p>
        </w:tc>
        <w:tc>
          <w:tcPr>
            <w:tcW w:w="1501"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0.00</w:t>
            </w:r>
          </w:p>
        </w:tc>
        <w:tc>
          <w:tcPr>
            <w:tcW w:w="1602"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15.15</w:t>
            </w:r>
          </w:p>
        </w:tc>
      </w:tr>
      <w:tr w:rsidR="00A874AC" w:rsidRPr="00766038" w:rsidTr="00766038">
        <w:trPr>
          <w:trHeight w:val="432"/>
        </w:trPr>
        <w:tc>
          <w:tcPr>
            <w:tcW w:w="1843" w:type="dxa"/>
            <w:shd w:val="clear" w:color="000000" w:fill="FFFFFF"/>
            <w:vAlign w:val="center"/>
            <w:hideMark/>
          </w:tcPr>
          <w:p w:rsidR="00871F8D" w:rsidRPr="00766038" w:rsidRDefault="00871F8D" w:rsidP="00871F8D">
            <w:pPr>
              <w:rPr>
                <w:b/>
                <w:bCs/>
                <w:color w:val="000000"/>
                <w:sz w:val="19"/>
                <w:szCs w:val="19"/>
              </w:rPr>
            </w:pPr>
            <w:r w:rsidRPr="00766038">
              <w:rPr>
                <w:b/>
                <w:bCs/>
                <w:color w:val="000000"/>
                <w:sz w:val="19"/>
                <w:szCs w:val="19"/>
              </w:rPr>
              <w:t>PY6</w:t>
            </w:r>
          </w:p>
        </w:tc>
        <w:tc>
          <w:tcPr>
            <w:tcW w:w="1501" w:type="dxa"/>
            <w:shd w:val="clear" w:color="000000" w:fill="FFFFFF"/>
            <w:vAlign w:val="center"/>
          </w:tcPr>
          <w:p w:rsidR="00871F8D" w:rsidRPr="00766038" w:rsidRDefault="00871F8D" w:rsidP="00871F8D">
            <w:pPr>
              <w:jc w:val="center"/>
              <w:rPr>
                <w:color w:val="000000"/>
                <w:sz w:val="19"/>
                <w:szCs w:val="19"/>
              </w:rPr>
            </w:pPr>
            <w:r w:rsidRPr="00766038">
              <w:rPr>
                <w:color w:val="000000"/>
                <w:sz w:val="19"/>
                <w:szCs w:val="19"/>
              </w:rPr>
              <w:t>15.33</w:t>
            </w:r>
          </w:p>
        </w:tc>
        <w:tc>
          <w:tcPr>
            <w:tcW w:w="1501" w:type="dxa"/>
            <w:shd w:val="clear" w:color="auto" w:fill="auto"/>
            <w:vAlign w:val="center"/>
          </w:tcPr>
          <w:p w:rsidR="00871F8D" w:rsidRPr="00766038" w:rsidRDefault="00871F8D" w:rsidP="00871F8D">
            <w:pPr>
              <w:jc w:val="center"/>
              <w:rPr>
                <w:color w:val="000000"/>
                <w:sz w:val="19"/>
                <w:szCs w:val="19"/>
              </w:rPr>
            </w:pPr>
            <w:r w:rsidRPr="00766038">
              <w:rPr>
                <w:color w:val="000000"/>
                <w:sz w:val="19"/>
                <w:szCs w:val="19"/>
              </w:rPr>
              <w:t>10.95</w:t>
            </w:r>
          </w:p>
        </w:tc>
        <w:tc>
          <w:tcPr>
            <w:tcW w:w="1502" w:type="dxa"/>
            <w:shd w:val="clear" w:color="000000" w:fill="FFFFFF"/>
            <w:vAlign w:val="center"/>
          </w:tcPr>
          <w:p w:rsidR="00871F8D" w:rsidRPr="00766038" w:rsidRDefault="00871F8D" w:rsidP="00871F8D">
            <w:pPr>
              <w:jc w:val="center"/>
              <w:rPr>
                <w:color w:val="000000"/>
                <w:sz w:val="19"/>
                <w:szCs w:val="19"/>
              </w:rPr>
            </w:pPr>
            <w:r w:rsidRPr="00766038">
              <w:rPr>
                <w:color w:val="000000"/>
                <w:sz w:val="19"/>
                <w:szCs w:val="19"/>
              </w:rPr>
              <w:t>2.13</w:t>
            </w:r>
          </w:p>
        </w:tc>
        <w:tc>
          <w:tcPr>
            <w:tcW w:w="1501" w:type="dxa"/>
            <w:shd w:val="clear" w:color="000000" w:fill="FFFFFF"/>
            <w:vAlign w:val="center"/>
          </w:tcPr>
          <w:p w:rsidR="00871F8D" w:rsidRPr="00766038" w:rsidRDefault="00871F8D" w:rsidP="00871F8D">
            <w:pPr>
              <w:jc w:val="center"/>
              <w:rPr>
                <w:color w:val="000000"/>
                <w:sz w:val="19"/>
                <w:szCs w:val="19"/>
              </w:rPr>
            </w:pPr>
            <w:r w:rsidRPr="00766038">
              <w:rPr>
                <w:color w:val="000000"/>
                <w:sz w:val="19"/>
                <w:szCs w:val="19"/>
              </w:rPr>
              <w:t>0.39</w:t>
            </w:r>
          </w:p>
        </w:tc>
        <w:tc>
          <w:tcPr>
            <w:tcW w:w="1602" w:type="dxa"/>
            <w:shd w:val="clear" w:color="auto" w:fill="auto"/>
            <w:vAlign w:val="center"/>
          </w:tcPr>
          <w:p w:rsidR="00871F8D" w:rsidRPr="00766038" w:rsidRDefault="00871F8D" w:rsidP="00871F8D">
            <w:pPr>
              <w:jc w:val="center"/>
              <w:rPr>
                <w:color w:val="000000"/>
                <w:sz w:val="19"/>
                <w:szCs w:val="19"/>
              </w:rPr>
            </w:pPr>
            <w:r w:rsidRPr="00766038">
              <w:rPr>
                <w:color w:val="000000"/>
                <w:sz w:val="19"/>
                <w:szCs w:val="19"/>
              </w:rPr>
              <w:t>28.80</w:t>
            </w:r>
          </w:p>
        </w:tc>
      </w:tr>
      <w:tr w:rsidR="00A874AC" w:rsidRPr="00766038" w:rsidTr="00766038">
        <w:trPr>
          <w:trHeight w:val="432"/>
        </w:trPr>
        <w:tc>
          <w:tcPr>
            <w:tcW w:w="1843" w:type="dxa"/>
            <w:shd w:val="clear" w:color="000000" w:fill="D2EAF1"/>
            <w:vAlign w:val="center"/>
            <w:hideMark/>
          </w:tcPr>
          <w:p w:rsidR="00871F8D" w:rsidRPr="00766038" w:rsidRDefault="00871F8D" w:rsidP="00871F8D">
            <w:pPr>
              <w:rPr>
                <w:b/>
                <w:bCs/>
                <w:color w:val="000000"/>
                <w:sz w:val="19"/>
                <w:szCs w:val="19"/>
              </w:rPr>
            </w:pPr>
            <w:r w:rsidRPr="00766038">
              <w:rPr>
                <w:b/>
                <w:bCs/>
                <w:color w:val="000000"/>
                <w:sz w:val="19"/>
                <w:szCs w:val="19"/>
              </w:rPr>
              <w:t>PY7 (Phase II Total)</w:t>
            </w:r>
          </w:p>
        </w:tc>
        <w:tc>
          <w:tcPr>
            <w:tcW w:w="1501"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17.70</w:t>
            </w:r>
          </w:p>
        </w:tc>
        <w:tc>
          <w:tcPr>
            <w:tcW w:w="1501"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19.02</w:t>
            </w:r>
          </w:p>
        </w:tc>
        <w:tc>
          <w:tcPr>
            <w:tcW w:w="1502"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6.43</w:t>
            </w:r>
          </w:p>
        </w:tc>
        <w:tc>
          <w:tcPr>
            <w:tcW w:w="1501"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2.51</w:t>
            </w:r>
          </w:p>
        </w:tc>
        <w:tc>
          <w:tcPr>
            <w:tcW w:w="1602" w:type="dxa"/>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45.66</w:t>
            </w:r>
          </w:p>
        </w:tc>
      </w:tr>
    </w:tbl>
    <w:p w:rsidR="00F13CD2" w:rsidRDefault="00F13CD2" w:rsidP="00F13CD2"/>
    <w:p w:rsidR="00F13CD2" w:rsidRDefault="00F13CD2" w:rsidP="00F13CD2"/>
    <w:p w:rsidR="00DB244B" w:rsidRDefault="00DB244B" w:rsidP="00F13CD2"/>
    <w:p w:rsidR="00B914EA" w:rsidRDefault="00B914EA"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956A49" w:rsidRDefault="00956A49" w:rsidP="00F13CD2"/>
    <w:p w:rsidR="00DB244B" w:rsidRDefault="00DB244B" w:rsidP="00F13CD2"/>
    <w:p w:rsidR="00DB244B" w:rsidRDefault="00DB244B" w:rsidP="00F13CD2"/>
    <w:p w:rsidR="00F13CD2" w:rsidRDefault="00F13CD2" w:rsidP="004837FA">
      <w:pPr>
        <w:pStyle w:val="Caption"/>
      </w:pPr>
      <w:bookmarkStart w:id="267" w:name="_Ref472350672"/>
      <w:bookmarkStart w:id="268" w:name="_Toc472472233"/>
      <w:bookmarkStart w:id="269" w:name="_Toc488741812"/>
      <w:r>
        <w:t xml:space="preserve">Figure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3</w:t>
      </w:r>
      <w:r w:rsidR="007973A4">
        <w:rPr>
          <w:noProof/>
        </w:rPr>
        <w:fldChar w:fldCharType="end"/>
      </w:r>
      <w:bookmarkEnd w:id="267"/>
      <w:r>
        <w:t>: Met-Ed</w:t>
      </w:r>
      <w:r w:rsidRPr="008E4974">
        <w:t xml:space="preserve"> Phase II </w:t>
      </w:r>
      <w:r w:rsidR="000206F5">
        <w:t>Cumulative</w:t>
      </w:r>
      <w:r w:rsidRPr="008E4974">
        <w:t xml:space="preserve"> Demand Savings, by Sector</w:t>
      </w:r>
      <w:bookmarkEnd w:id="268"/>
      <w:bookmarkEnd w:id="269"/>
    </w:p>
    <w:p w:rsidR="001C504E" w:rsidRDefault="00ED4EA3" w:rsidP="001C504E">
      <w:r>
        <w:rPr>
          <w:noProof/>
        </w:rPr>
        <w:drawing>
          <wp:inline distT="0" distB="0" distL="0" distR="0" wp14:anchorId="4E0A2D8B" wp14:editId="778201B6">
            <wp:extent cx="5748793" cy="3355166"/>
            <wp:effectExtent l="0" t="0" r="444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7344" cy="3360156"/>
                    </a:xfrm>
                    <a:prstGeom prst="rect">
                      <a:avLst/>
                    </a:prstGeom>
                    <a:noFill/>
                  </pic:spPr>
                </pic:pic>
              </a:graphicData>
            </a:graphic>
          </wp:inline>
        </w:drawing>
      </w:r>
    </w:p>
    <w:p w:rsidR="00871F8D" w:rsidRPr="001C504E" w:rsidRDefault="00871F8D" w:rsidP="001C504E"/>
    <w:p w:rsidR="00DD6B4C" w:rsidRDefault="00DD6B4C" w:rsidP="00E673F0">
      <w:pPr>
        <w:pStyle w:val="Heading3"/>
      </w:pPr>
      <w:bookmarkStart w:id="270" w:name="_Toc472472108"/>
      <w:bookmarkStart w:id="271" w:name="_Toc488765801"/>
      <w:r>
        <w:t>Pennsylvania Electric Company</w:t>
      </w:r>
      <w:bookmarkEnd w:id="270"/>
      <w:bookmarkEnd w:id="271"/>
    </w:p>
    <w:p w:rsidR="00E1723F" w:rsidRDefault="00E1723F" w:rsidP="00E1723F">
      <w:r>
        <w:fldChar w:fldCharType="begin"/>
      </w:r>
      <w:r>
        <w:instrText xml:space="preserve"> REF _Ref472350619 \h </w:instrText>
      </w:r>
      <w:r>
        <w:fldChar w:fldCharType="separate"/>
      </w:r>
      <w:r w:rsidR="00037CB4">
        <w:t xml:space="preserve">Table </w:t>
      </w:r>
      <w:r w:rsidR="00037CB4">
        <w:rPr>
          <w:noProof/>
        </w:rPr>
        <w:t>3</w:t>
      </w:r>
      <w:r w:rsidR="00037CB4">
        <w:noBreakHyphen/>
      </w:r>
      <w:r w:rsidR="00037CB4">
        <w:rPr>
          <w:noProof/>
        </w:rPr>
        <w:t>5</w:t>
      </w:r>
      <w:r>
        <w:fldChar w:fldCharType="end"/>
      </w:r>
      <w:r>
        <w:t xml:space="preserve"> </w:t>
      </w:r>
      <w:r w:rsidR="00F13CD2" w:rsidRPr="00E1723F">
        <w:t>presents Penelec’s cumulative demand savings</w:t>
      </w:r>
      <w:r w:rsidR="0088331F" w:rsidRPr="00E1723F">
        <w:t>,</w:t>
      </w:r>
      <w:r w:rsidR="00F13CD2" w:rsidRPr="00E1723F">
        <w:t xml:space="preserve"> by sector. The C</w:t>
      </w:r>
      <w:r w:rsidR="0097650B" w:rsidRPr="00E1723F">
        <w:t>/</w:t>
      </w:r>
      <w:r w:rsidR="00F13CD2" w:rsidRPr="00E1723F">
        <w:t xml:space="preserve">I sector accounted for nearly </w:t>
      </w:r>
      <w:r w:rsidR="00871F8D" w:rsidRPr="00E1723F">
        <w:t>50</w:t>
      </w:r>
      <w:r w:rsidR="00F13CD2" w:rsidRPr="00E1723F">
        <w:t xml:space="preserve">% of the total demand savings in Phase II. </w:t>
      </w:r>
    </w:p>
    <w:p w:rsidR="00E1723F" w:rsidRDefault="00E1723F" w:rsidP="00E1723F"/>
    <w:p w:rsidR="00F13CD2" w:rsidRDefault="00E1723F" w:rsidP="00E1723F">
      <w:r>
        <w:fldChar w:fldCharType="begin"/>
      </w:r>
      <w:r>
        <w:instrText xml:space="preserve"> REF _Ref473730133 \h </w:instrText>
      </w:r>
      <w:r>
        <w:fldChar w:fldCharType="separate"/>
      </w:r>
      <w:r w:rsidR="00037CB4">
        <w:t xml:space="preserve">Figure </w:t>
      </w:r>
      <w:r w:rsidR="00037CB4">
        <w:rPr>
          <w:noProof/>
        </w:rPr>
        <w:t>3</w:t>
      </w:r>
      <w:r w:rsidR="00037CB4">
        <w:noBreakHyphen/>
      </w:r>
      <w:r w:rsidR="00037CB4">
        <w:rPr>
          <w:noProof/>
        </w:rPr>
        <w:t>4</w:t>
      </w:r>
      <w:r>
        <w:fldChar w:fldCharType="end"/>
      </w:r>
      <w:r>
        <w:t xml:space="preserve"> </w:t>
      </w:r>
      <w:r w:rsidR="00F13CD2">
        <w:t>provides a graphical illustration of these savings.</w:t>
      </w:r>
    </w:p>
    <w:p w:rsidR="00F13CD2" w:rsidRDefault="00F13CD2" w:rsidP="00F13CD2"/>
    <w:p w:rsidR="00F13CD2" w:rsidRDefault="00F13CD2" w:rsidP="004837FA">
      <w:pPr>
        <w:pStyle w:val="Caption"/>
      </w:pPr>
      <w:bookmarkStart w:id="272" w:name="_Ref472350619"/>
      <w:bookmarkStart w:id="273" w:name="_Toc472472180"/>
      <w:bookmarkStart w:id="274" w:name="_Toc488741758"/>
      <w:r>
        <w:t xml:space="preserve">Table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5</w:t>
      </w:r>
      <w:r w:rsidR="007973A4">
        <w:rPr>
          <w:noProof/>
        </w:rPr>
        <w:fldChar w:fldCharType="end"/>
      </w:r>
      <w:bookmarkEnd w:id="272"/>
      <w:r>
        <w:t xml:space="preserve">: Penelec Phase II </w:t>
      </w:r>
      <w:r w:rsidR="000206F5">
        <w:t>Cumulative</w:t>
      </w:r>
      <w:r>
        <w:t xml:space="preserve"> Demand Savings, by Sector</w:t>
      </w:r>
      <w:bookmarkEnd w:id="273"/>
      <w:bookmarkEnd w:id="274"/>
    </w:p>
    <w:tbl>
      <w:tblPr>
        <w:tblW w:w="9440" w:type="dxa"/>
        <w:tblLook w:val="04A0" w:firstRow="1" w:lastRow="0" w:firstColumn="1" w:lastColumn="0" w:noHBand="0" w:noVBand="1"/>
      </w:tblPr>
      <w:tblGrid>
        <w:gridCol w:w="1843"/>
        <w:gridCol w:w="1501"/>
        <w:gridCol w:w="1501"/>
        <w:gridCol w:w="1502"/>
        <w:gridCol w:w="1501"/>
        <w:gridCol w:w="1592"/>
      </w:tblGrid>
      <w:tr w:rsidR="00A874AC" w:rsidRPr="00766038" w:rsidTr="00705585">
        <w:trPr>
          <w:trHeight w:val="216"/>
        </w:trPr>
        <w:tc>
          <w:tcPr>
            <w:tcW w:w="1843" w:type="dxa"/>
            <w:tcBorders>
              <w:top w:val="single" w:sz="2" w:space="0" w:color="448A99"/>
              <w:left w:val="single" w:sz="8" w:space="0" w:color="448A99"/>
              <w:bottom w:val="single" w:sz="8" w:space="0" w:color="448A99"/>
              <w:right w:val="nil"/>
            </w:tcBorders>
            <w:shd w:val="clear" w:color="000000" w:fill="448A99"/>
            <w:vAlign w:val="center"/>
            <w:hideMark/>
          </w:tcPr>
          <w:p w:rsidR="00F13CD2" w:rsidRPr="00766038" w:rsidRDefault="00F13CD2" w:rsidP="006F7DE9">
            <w:pPr>
              <w:rPr>
                <w:b/>
                <w:bCs/>
                <w:color w:val="FFFFFF"/>
                <w:sz w:val="19"/>
                <w:szCs w:val="19"/>
              </w:rPr>
            </w:pPr>
            <w:r w:rsidRPr="00766038">
              <w:rPr>
                <w:b/>
                <w:bCs/>
                <w:color w:val="FFFFFF"/>
                <w:sz w:val="19"/>
                <w:szCs w:val="19"/>
              </w:rPr>
              <w:t>Statewide</w:t>
            </w:r>
          </w:p>
        </w:tc>
        <w:tc>
          <w:tcPr>
            <w:tcW w:w="1501" w:type="dxa"/>
            <w:tcBorders>
              <w:top w:val="single" w:sz="2" w:space="0" w:color="448A99"/>
              <w:left w:val="single" w:sz="8" w:space="0" w:color="448A99"/>
              <w:bottom w:val="single" w:sz="8" w:space="0" w:color="448A99"/>
              <w:right w:val="single" w:sz="8" w:space="0" w:color="448A99"/>
            </w:tcBorders>
            <w:shd w:val="clear" w:color="000000" w:fill="448A99"/>
            <w:vAlign w:val="center"/>
            <w:hideMark/>
          </w:tcPr>
          <w:p w:rsidR="00F13CD2" w:rsidRPr="00766038" w:rsidRDefault="00F13CD2" w:rsidP="006F7DE9">
            <w:pPr>
              <w:jc w:val="center"/>
              <w:rPr>
                <w:b/>
                <w:bCs/>
                <w:color w:val="FFFFFF"/>
                <w:sz w:val="19"/>
                <w:szCs w:val="19"/>
              </w:rPr>
            </w:pPr>
            <w:r w:rsidRPr="00766038">
              <w:rPr>
                <w:b/>
                <w:bCs/>
                <w:color w:val="FFFFFF"/>
                <w:sz w:val="19"/>
                <w:szCs w:val="19"/>
              </w:rPr>
              <w:t>Residential</w:t>
            </w:r>
          </w:p>
        </w:tc>
        <w:tc>
          <w:tcPr>
            <w:tcW w:w="1501" w:type="dxa"/>
            <w:tcBorders>
              <w:top w:val="single" w:sz="2" w:space="0" w:color="448A99"/>
              <w:left w:val="nil"/>
              <w:bottom w:val="single" w:sz="8" w:space="0" w:color="448A99"/>
              <w:right w:val="single" w:sz="8" w:space="0" w:color="448A99"/>
            </w:tcBorders>
            <w:shd w:val="clear" w:color="000000" w:fill="448A99"/>
            <w:vAlign w:val="center"/>
            <w:hideMark/>
          </w:tcPr>
          <w:p w:rsidR="00F13CD2" w:rsidRPr="00766038" w:rsidRDefault="00F13CD2" w:rsidP="0097650B">
            <w:pPr>
              <w:jc w:val="center"/>
              <w:rPr>
                <w:b/>
                <w:bCs/>
                <w:color w:val="FFFFFF"/>
                <w:sz w:val="19"/>
                <w:szCs w:val="19"/>
              </w:rPr>
            </w:pPr>
            <w:r w:rsidRPr="00766038">
              <w:rPr>
                <w:b/>
                <w:bCs/>
                <w:color w:val="FFFFFF"/>
                <w:sz w:val="19"/>
                <w:szCs w:val="19"/>
              </w:rPr>
              <w:t>C</w:t>
            </w:r>
            <w:r w:rsidR="0097650B" w:rsidRPr="00766038">
              <w:rPr>
                <w:b/>
                <w:bCs/>
                <w:color w:val="FFFFFF"/>
                <w:sz w:val="19"/>
                <w:szCs w:val="19"/>
              </w:rPr>
              <w:t>/</w:t>
            </w:r>
            <w:r w:rsidRPr="00766038">
              <w:rPr>
                <w:b/>
                <w:bCs/>
                <w:color w:val="FFFFFF"/>
                <w:sz w:val="19"/>
                <w:szCs w:val="19"/>
              </w:rPr>
              <w:t>I</w:t>
            </w:r>
          </w:p>
        </w:tc>
        <w:tc>
          <w:tcPr>
            <w:tcW w:w="1502" w:type="dxa"/>
            <w:tcBorders>
              <w:top w:val="single" w:sz="2" w:space="0" w:color="448A99"/>
              <w:left w:val="nil"/>
              <w:bottom w:val="single" w:sz="8" w:space="0" w:color="448A99"/>
              <w:right w:val="single" w:sz="8" w:space="0" w:color="448A99"/>
            </w:tcBorders>
            <w:shd w:val="clear" w:color="000000" w:fill="448A99"/>
            <w:vAlign w:val="center"/>
            <w:hideMark/>
          </w:tcPr>
          <w:p w:rsidR="00F13CD2" w:rsidRPr="00766038" w:rsidRDefault="00F13CD2" w:rsidP="006F7DE9">
            <w:pPr>
              <w:jc w:val="center"/>
              <w:rPr>
                <w:b/>
                <w:bCs/>
                <w:color w:val="FFFFFF"/>
                <w:sz w:val="19"/>
                <w:szCs w:val="19"/>
              </w:rPr>
            </w:pPr>
            <w:r w:rsidRPr="00766038">
              <w:rPr>
                <w:b/>
                <w:bCs/>
                <w:color w:val="FFFFFF"/>
                <w:sz w:val="19"/>
                <w:szCs w:val="19"/>
              </w:rPr>
              <w:t>GNI</w:t>
            </w:r>
          </w:p>
        </w:tc>
        <w:tc>
          <w:tcPr>
            <w:tcW w:w="1501" w:type="dxa"/>
            <w:tcBorders>
              <w:top w:val="single" w:sz="2" w:space="0" w:color="448A99"/>
              <w:left w:val="nil"/>
              <w:bottom w:val="single" w:sz="8" w:space="0" w:color="448A99"/>
              <w:right w:val="single" w:sz="8" w:space="0" w:color="448A99"/>
            </w:tcBorders>
            <w:shd w:val="clear" w:color="000000" w:fill="448A99"/>
            <w:vAlign w:val="center"/>
            <w:hideMark/>
          </w:tcPr>
          <w:p w:rsidR="00F13CD2" w:rsidRPr="00766038" w:rsidRDefault="00F13CD2" w:rsidP="006F7DE9">
            <w:pPr>
              <w:jc w:val="center"/>
              <w:rPr>
                <w:b/>
                <w:bCs/>
                <w:color w:val="FFFFFF"/>
                <w:sz w:val="19"/>
                <w:szCs w:val="19"/>
              </w:rPr>
            </w:pPr>
            <w:r w:rsidRPr="00766038">
              <w:rPr>
                <w:b/>
                <w:bCs/>
                <w:color w:val="FFFFFF"/>
                <w:sz w:val="19"/>
                <w:szCs w:val="19"/>
              </w:rPr>
              <w:t>Low-Income</w:t>
            </w:r>
          </w:p>
        </w:tc>
        <w:tc>
          <w:tcPr>
            <w:tcW w:w="1592" w:type="dxa"/>
            <w:tcBorders>
              <w:top w:val="single" w:sz="2" w:space="0" w:color="448A99"/>
              <w:left w:val="single" w:sz="8" w:space="0" w:color="448A99"/>
              <w:bottom w:val="single" w:sz="8" w:space="0" w:color="448A99"/>
              <w:right w:val="nil"/>
            </w:tcBorders>
            <w:shd w:val="clear" w:color="000000" w:fill="448A99"/>
            <w:vAlign w:val="center"/>
            <w:hideMark/>
          </w:tcPr>
          <w:p w:rsidR="00F13CD2" w:rsidRPr="00766038" w:rsidRDefault="00F13CD2" w:rsidP="006F7DE9">
            <w:pPr>
              <w:jc w:val="center"/>
              <w:rPr>
                <w:b/>
                <w:bCs/>
                <w:color w:val="FFFFFF"/>
                <w:sz w:val="19"/>
                <w:szCs w:val="19"/>
              </w:rPr>
            </w:pPr>
            <w:r w:rsidRPr="00766038">
              <w:rPr>
                <w:b/>
                <w:bCs/>
                <w:color w:val="FFFFFF"/>
                <w:sz w:val="19"/>
                <w:szCs w:val="19"/>
              </w:rPr>
              <w:t>Total</w:t>
            </w:r>
          </w:p>
        </w:tc>
      </w:tr>
      <w:tr w:rsidR="00A874AC" w:rsidRPr="00766038" w:rsidTr="00705585">
        <w:trPr>
          <w:trHeight w:val="360"/>
        </w:trPr>
        <w:tc>
          <w:tcPr>
            <w:tcW w:w="1843" w:type="dxa"/>
            <w:tcBorders>
              <w:top w:val="nil"/>
              <w:left w:val="single" w:sz="8" w:space="0" w:color="448A99"/>
              <w:bottom w:val="single" w:sz="8" w:space="0" w:color="448A99"/>
              <w:right w:val="nil"/>
            </w:tcBorders>
            <w:shd w:val="clear" w:color="000000" w:fill="D2EAF1"/>
            <w:vAlign w:val="center"/>
            <w:hideMark/>
          </w:tcPr>
          <w:p w:rsidR="00871F8D" w:rsidRPr="00766038" w:rsidRDefault="00871F8D" w:rsidP="00871F8D">
            <w:pPr>
              <w:rPr>
                <w:b/>
                <w:bCs/>
                <w:color w:val="000000"/>
                <w:sz w:val="19"/>
                <w:szCs w:val="19"/>
              </w:rPr>
            </w:pPr>
            <w:r w:rsidRPr="00766038">
              <w:rPr>
                <w:b/>
                <w:bCs/>
                <w:color w:val="000000"/>
                <w:sz w:val="19"/>
                <w:szCs w:val="19"/>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9.15</w:t>
            </w:r>
          </w:p>
        </w:tc>
        <w:tc>
          <w:tcPr>
            <w:tcW w:w="1501" w:type="dxa"/>
            <w:tcBorders>
              <w:top w:val="nil"/>
              <w:left w:val="nil"/>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4.65</w:t>
            </w:r>
          </w:p>
        </w:tc>
        <w:tc>
          <w:tcPr>
            <w:tcW w:w="1502" w:type="dxa"/>
            <w:tcBorders>
              <w:top w:val="nil"/>
              <w:left w:val="nil"/>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1.08</w:t>
            </w:r>
          </w:p>
        </w:tc>
        <w:tc>
          <w:tcPr>
            <w:tcW w:w="1501" w:type="dxa"/>
            <w:tcBorders>
              <w:top w:val="nil"/>
              <w:left w:val="nil"/>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0.00</w:t>
            </w:r>
          </w:p>
        </w:tc>
        <w:tc>
          <w:tcPr>
            <w:tcW w:w="1592" w:type="dxa"/>
            <w:tcBorders>
              <w:top w:val="nil"/>
              <w:left w:val="nil"/>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14.88</w:t>
            </w:r>
          </w:p>
        </w:tc>
      </w:tr>
      <w:tr w:rsidR="00A874AC" w:rsidRPr="00766038" w:rsidTr="00705585">
        <w:trPr>
          <w:trHeight w:val="360"/>
        </w:trPr>
        <w:tc>
          <w:tcPr>
            <w:tcW w:w="1843" w:type="dxa"/>
            <w:tcBorders>
              <w:top w:val="nil"/>
              <w:left w:val="single" w:sz="8" w:space="0" w:color="448A99"/>
              <w:bottom w:val="single" w:sz="8" w:space="0" w:color="448A99"/>
              <w:right w:val="nil"/>
            </w:tcBorders>
            <w:shd w:val="clear" w:color="000000" w:fill="FFFFFF"/>
            <w:vAlign w:val="center"/>
            <w:hideMark/>
          </w:tcPr>
          <w:p w:rsidR="00871F8D" w:rsidRPr="00766038" w:rsidRDefault="00871F8D" w:rsidP="00871F8D">
            <w:pPr>
              <w:rPr>
                <w:b/>
                <w:bCs/>
                <w:color w:val="000000"/>
                <w:sz w:val="19"/>
                <w:szCs w:val="19"/>
              </w:rPr>
            </w:pPr>
            <w:r w:rsidRPr="00766038">
              <w:rPr>
                <w:b/>
                <w:bCs/>
                <w:color w:val="000000"/>
                <w:sz w:val="19"/>
                <w:szCs w:val="19"/>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871F8D" w:rsidRPr="00766038" w:rsidRDefault="00871F8D" w:rsidP="00871F8D">
            <w:pPr>
              <w:jc w:val="center"/>
              <w:rPr>
                <w:color w:val="000000"/>
                <w:sz w:val="19"/>
                <w:szCs w:val="19"/>
              </w:rPr>
            </w:pPr>
            <w:r w:rsidRPr="00766038">
              <w:rPr>
                <w:color w:val="000000"/>
                <w:sz w:val="19"/>
                <w:szCs w:val="19"/>
              </w:rPr>
              <w:t>12.30</w:t>
            </w:r>
          </w:p>
        </w:tc>
        <w:tc>
          <w:tcPr>
            <w:tcW w:w="1501" w:type="dxa"/>
            <w:tcBorders>
              <w:top w:val="nil"/>
              <w:left w:val="nil"/>
              <w:bottom w:val="single" w:sz="8" w:space="0" w:color="448A99"/>
              <w:right w:val="single" w:sz="8" w:space="0" w:color="448A99"/>
            </w:tcBorders>
            <w:shd w:val="clear" w:color="auto" w:fill="auto"/>
            <w:vAlign w:val="center"/>
          </w:tcPr>
          <w:p w:rsidR="00871F8D" w:rsidRPr="00766038" w:rsidRDefault="00871F8D" w:rsidP="00871F8D">
            <w:pPr>
              <w:jc w:val="center"/>
              <w:rPr>
                <w:color w:val="000000"/>
                <w:sz w:val="19"/>
                <w:szCs w:val="19"/>
              </w:rPr>
            </w:pPr>
            <w:r w:rsidRPr="00766038">
              <w:rPr>
                <w:color w:val="000000"/>
                <w:sz w:val="19"/>
                <w:szCs w:val="19"/>
              </w:rPr>
              <w:t>11.64</w:t>
            </w:r>
          </w:p>
        </w:tc>
        <w:tc>
          <w:tcPr>
            <w:tcW w:w="1502" w:type="dxa"/>
            <w:tcBorders>
              <w:top w:val="nil"/>
              <w:left w:val="nil"/>
              <w:bottom w:val="single" w:sz="8" w:space="0" w:color="448A99"/>
              <w:right w:val="single" w:sz="8" w:space="0" w:color="448A99"/>
            </w:tcBorders>
            <w:shd w:val="clear" w:color="000000" w:fill="FFFFFF"/>
            <w:vAlign w:val="center"/>
          </w:tcPr>
          <w:p w:rsidR="00871F8D" w:rsidRPr="00766038" w:rsidRDefault="00871F8D" w:rsidP="00871F8D">
            <w:pPr>
              <w:jc w:val="center"/>
              <w:rPr>
                <w:color w:val="000000"/>
                <w:sz w:val="19"/>
                <w:szCs w:val="19"/>
              </w:rPr>
            </w:pPr>
            <w:r w:rsidRPr="00766038">
              <w:rPr>
                <w:color w:val="000000"/>
                <w:sz w:val="19"/>
                <w:szCs w:val="19"/>
              </w:rPr>
              <w:t>3.18</w:t>
            </w:r>
          </w:p>
        </w:tc>
        <w:tc>
          <w:tcPr>
            <w:tcW w:w="1501" w:type="dxa"/>
            <w:tcBorders>
              <w:top w:val="nil"/>
              <w:left w:val="nil"/>
              <w:bottom w:val="single" w:sz="8" w:space="0" w:color="448A99"/>
              <w:right w:val="single" w:sz="8" w:space="0" w:color="448A99"/>
            </w:tcBorders>
            <w:shd w:val="clear" w:color="000000" w:fill="FFFFFF"/>
            <w:vAlign w:val="center"/>
          </w:tcPr>
          <w:p w:rsidR="00871F8D" w:rsidRPr="00766038" w:rsidRDefault="00871F8D" w:rsidP="00871F8D">
            <w:pPr>
              <w:jc w:val="center"/>
              <w:rPr>
                <w:color w:val="000000"/>
                <w:sz w:val="19"/>
                <w:szCs w:val="19"/>
              </w:rPr>
            </w:pPr>
            <w:r w:rsidRPr="00766038">
              <w:rPr>
                <w:color w:val="000000"/>
                <w:sz w:val="19"/>
                <w:szCs w:val="19"/>
              </w:rPr>
              <w:t>0.55</w:t>
            </w:r>
          </w:p>
        </w:tc>
        <w:tc>
          <w:tcPr>
            <w:tcW w:w="1592" w:type="dxa"/>
            <w:tcBorders>
              <w:top w:val="nil"/>
              <w:left w:val="nil"/>
              <w:bottom w:val="single" w:sz="8" w:space="0" w:color="448A99"/>
              <w:right w:val="single" w:sz="8" w:space="0" w:color="448A99"/>
            </w:tcBorders>
            <w:shd w:val="clear" w:color="auto" w:fill="auto"/>
            <w:vAlign w:val="center"/>
          </w:tcPr>
          <w:p w:rsidR="00871F8D" w:rsidRPr="00766038" w:rsidRDefault="00871F8D" w:rsidP="00871F8D">
            <w:pPr>
              <w:jc w:val="center"/>
              <w:rPr>
                <w:color w:val="000000"/>
                <w:sz w:val="19"/>
                <w:szCs w:val="19"/>
              </w:rPr>
            </w:pPr>
            <w:r w:rsidRPr="00766038">
              <w:rPr>
                <w:color w:val="000000"/>
                <w:sz w:val="19"/>
                <w:szCs w:val="19"/>
              </w:rPr>
              <w:t>27.67</w:t>
            </w:r>
          </w:p>
        </w:tc>
      </w:tr>
      <w:tr w:rsidR="00A874AC" w:rsidRPr="00766038" w:rsidTr="00705585">
        <w:trPr>
          <w:trHeight w:val="360"/>
        </w:trPr>
        <w:tc>
          <w:tcPr>
            <w:tcW w:w="1843" w:type="dxa"/>
            <w:tcBorders>
              <w:top w:val="nil"/>
              <w:left w:val="single" w:sz="8" w:space="0" w:color="448A99"/>
              <w:bottom w:val="single" w:sz="8" w:space="0" w:color="448A99"/>
              <w:right w:val="nil"/>
            </w:tcBorders>
            <w:shd w:val="clear" w:color="000000" w:fill="D2EAF1"/>
            <w:vAlign w:val="center"/>
            <w:hideMark/>
          </w:tcPr>
          <w:p w:rsidR="00871F8D" w:rsidRPr="00766038" w:rsidRDefault="00871F8D" w:rsidP="00871F8D">
            <w:pPr>
              <w:rPr>
                <w:b/>
                <w:bCs/>
                <w:color w:val="000000"/>
                <w:sz w:val="19"/>
                <w:szCs w:val="19"/>
              </w:rPr>
            </w:pPr>
            <w:r w:rsidRPr="00766038">
              <w:rPr>
                <w:b/>
                <w:bCs/>
                <w:color w:val="000000"/>
                <w:sz w:val="19"/>
                <w:szCs w:val="19"/>
              </w:rPr>
              <w:t>PY7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13.53</w:t>
            </w:r>
          </w:p>
        </w:tc>
        <w:tc>
          <w:tcPr>
            <w:tcW w:w="1501" w:type="dxa"/>
            <w:tcBorders>
              <w:top w:val="nil"/>
              <w:left w:val="nil"/>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22.10</w:t>
            </w:r>
          </w:p>
        </w:tc>
        <w:tc>
          <w:tcPr>
            <w:tcW w:w="1502" w:type="dxa"/>
            <w:tcBorders>
              <w:top w:val="nil"/>
              <w:left w:val="nil"/>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5.93</w:t>
            </w:r>
          </w:p>
        </w:tc>
        <w:tc>
          <w:tcPr>
            <w:tcW w:w="1501" w:type="dxa"/>
            <w:tcBorders>
              <w:top w:val="nil"/>
              <w:left w:val="nil"/>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2.77</w:t>
            </w:r>
          </w:p>
        </w:tc>
        <w:tc>
          <w:tcPr>
            <w:tcW w:w="1592" w:type="dxa"/>
            <w:tcBorders>
              <w:top w:val="nil"/>
              <w:left w:val="nil"/>
              <w:bottom w:val="single" w:sz="8" w:space="0" w:color="448A99"/>
              <w:right w:val="single" w:sz="8" w:space="0" w:color="448A99"/>
            </w:tcBorders>
            <w:shd w:val="clear" w:color="000000" w:fill="D2EAF1"/>
            <w:vAlign w:val="center"/>
          </w:tcPr>
          <w:p w:rsidR="00871F8D" w:rsidRPr="00766038" w:rsidRDefault="00871F8D" w:rsidP="00871F8D">
            <w:pPr>
              <w:jc w:val="center"/>
              <w:rPr>
                <w:color w:val="000000"/>
                <w:sz w:val="19"/>
                <w:szCs w:val="19"/>
              </w:rPr>
            </w:pPr>
            <w:r w:rsidRPr="00766038">
              <w:rPr>
                <w:color w:val="000000"/>
                <w:sz w:val="19"/>
                <w:szCs w:val="19"/>
              </w:rPr>
              <w:t>44.33</w:t>
            </w:r>
          </w:p>
        </w:tc>
      </w:tr>
    </w:tbl>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F13CD2" w:rsidRDefault="00F13CD2" w:rsidP="00F13CD2"/>
    <w:p w:rsidR="00ED4EA3" w:rsidRDefault="00ED4EA3" w:rsidP="00F13CD2"/>
    <w:p w:rsidR="00F13CD2" w:rsidRDefault="00F13CD2" w:rsidP="004837FA">
      <w:pPr>
        <w:pStyle w:val="Caption"/>
      </w:pPr>
      <w:bookmarkStart w:id="275" w:name="_Ref472350680"/>
      <w:bookmarkStart w:id="276" w:name="_Ref473730133"/>
      <w:bookmarkStart w:id="277" w:name="_Toc472472234"/>
      <w:bookmarkStart w:id="278" w:name="_Toc488741813"/>
      <w:r>
        <w:t xml:space="preserve">Figure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4</w:t>
      </w:r>
      <w:r w:rsidR="007973A4">
        <w:rPr>
          <w:noProof/>
        </w:rPr>
        <w:fldChar w:fldCharType="end"/>
      </w:r>
      <w:bookmarkEnd w:id="275"/>
      <w:bookmarkEnd w:id="276"/>
      <w:r>
        <w:t xml:space="preserve">: </w:t>
      </w:r>
      <w:r w:rsidR="00871F8D">
        <w:t>Penelec</w:t>
      </w:r>
      <w:r w:rsidRPr="008E4974">
        <w:t xml:space="preserve"> Phase II </w:t>
      </w:r>
      <w:r w:rsidR="000206F5">
        <w:t>Cumulative</w:t>
      </w:r>
      <w:r w:rsidRPr="008E4974">
        <w:t xml:space="preserve"> Demand Savings, by Sector</w:t>
      </w:r>
      <w:bookmarkEnd w:id="277"/>
      <w:bookmarkEnd w:id="278"/>
    </w:p>
    <w:p w:rsidR="001C504E" w:rsidRDefault="00ED4EA3" w:rsidP="001C504E">
      <w:r>
        <w:rPr>
          <w:noProof/>
        </w:rPr>
        <w:drawing>
          <wp:inline distT="0" distB="0" distL="0" distR="0" wp14:anchorId="5188A99D" wp14:editId="02DFC7AD">
            <wp:extent cx="5831026" cy="3403159"/>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7876" cy="3412993"/>
                    </a:xfrm>
                    <a:prstGeom prst="rect">
                      <a:avLst/>
                    </a:prstGeom>
                    <a:noFill/>
                  </pic:spPr>
                </pic:pic>
              </a:graphicData>
            </a:graphic>
          </wp:inline>
        </w:drawing>
      </w:r>
    </w:p>
    <w:p w:rsidR="00871F8D" w:rsidRPr="001C504E" w:rsidRDefault="00871F8D" w:rsidP="001C504E"/>
    <w:p w:rsidR="00DD6B4C" w:rsidRDefault="00DD6B4C" w:rsidP="00E673F0">
      <w:pPr>
        <w:pStyle w:val="Heading3"/>
      </w:pPr>
      <w:bookmarkStart w:id="279" w:name="_Toc472472109"/>
      <w:bookmarkStart w:id="280" w:name="_Toc488765802"/>
      <w:r>
        <w:t>Pennsylvania Power Company</w:t>
      </w:r>
      <w:bookmarkEnd w:id="279"/>
      <w:bookmarkEnd w:id="280"/>
    </w:p>
    <w:p w:rsidR="00E1723F" w:rsidRDefault="00E1723F" w:rsidP="00E1723F">
      <w:r>
        <w:fldChar w:fldCharType="begin"/>
      </w:r>
      <w:r>
        <w:instrText xml:space="preserve"> REF _Ref472350626 \h </w:instrText>
      </w:r>
      <w:r>
        <w:fldChar w:fldCharType="separate"/>
      </w:r>
      <w:r w:rsidR="00037CB4">
        <w:t xml:space="preserve">Table </w:t>
      </w:r>
      <w:r w:rsidR="00037CB4">
        <w:rPr>
          <w:noProof/>
        </w:rPr>
        <w:t>3</w:t>
      </w:r>
      <w:r w:rsidR="00037CB4">
        <w:noBreakHyphen/>
      </w:r>
      <w:r w:rsidR="00037CB4">
        <w:rPr>
          <w:noProof/>
        </w:rPr>
        <w:t>6</w:t>
      </w:r>
      <w:r>
        <w:fldChar w:fldCharType="end"/>
      </w:r>
      <w:r>
        <w:t xml:space="preserve"> </w:t>
      </w:r>
      <w:r w:rsidR="00F13CD2" w:rsidRPr="00E1723F">
        <w:t>presents Penn Power’s cumulative demand savings, by sector. The C</w:t>
      </w:r>
      <w:r w:rsidR="0097650B" w:rsidRPr="00E1723F">
        <w:t>/</w:t>
      </w:r>
      <w:r w:rsidR="00F13CD2" w:rsidRPr="00E1723F">
        <w:t xml:space="preserve">I sector accounted for nearly </w:t>
      </w:r>
      <w:r w:rsidR="00871F8D" w:rsidRPr="00E1723F">
        <w:t>50</w:t>
      </w:r>
      <w:r w:rsidR="00F13CD2" w:rsidRPr="00E1723F">
        <w:t xml:space="preserve">% of the total demand savings in Phase II. </w:t>
      </w:r>
    </w:p>
    <w:p w:rsidR="000F5A29" w:rsidRDefault="000F5A29" w:rsidP="000F5A29"/>
    <w:p w:rsidR="00F13CD2" w:rsidRPr="000F5A29" w:rsidRDefault="000F5A29" w:rsidP="000F5A29">
      <w:r>
        <w:fldChar w:fldCharType="begin"/>
      </w:r>
      <w:r>
        <w:instrText xml:space="preserve"> REF _Ref476043411 \h </w:instrText>
      </w:r>
      <w:r>
        <w:fldChar w:fldCharType="separate"/>
      </w:r>
      <w:r w:rsidR="00037CB4">
        <w:t xml:space="preserve">Figure </w:t>
      </w:r>
      <w:r w:rsidR="00037CB4">
        <w:rPr>
          <w:noProof/>
        </w:rPr>
        <w:t>3</w:t>
      </w:r>
      <w:r w:rsidR="00037CB4">
        <w:noBreakHyphen/>
      </w:r>
      <w:r w:rsidR="00037CB4">
        <w:rPr>
          <w:noProof/>
        </w:rPr>
        <w:t>5</w:t>
      </w:r>
      <w:r>
        <w:fldChar w:fldCharType="end"/>
      </w:r>
      <w:r>
        <w:t xml:space="preserve"> </w:t>
      </w:r>
      <w:r w:rsidR="00F13CD2" w:rsidRPr="000F5A29">
        <w:t>provides a graphical illustration of these savings.</w:t>
      </w:r>
    </w:p>
    <w:p w:rsidR="00F13CD2" w:rsidRDefault="00F13CD2" w:rsidP="00F13CD2"/>
    <w:p w:rsidR="00F13CD2" w:rsidRDefault="00F13CD2" w:rsidP="004837FA">
      <w:pPr>
        <w:pStyle w:val="Caption"/>
      </w:pPr>
      <w:bookmarkStart w:id="281" w:name="_Ref472350626"/>
      <w:bookmarkStart w:id="282" w:name="_Toc472472181"/>
      <w:bookmarkStart w:id="283" w:name="_Toc488741759"/>
      <w:r>
        <w:t xml:space="preserve">Table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6</w:t>
      </w:r>
      <w:r w:rsidR="007973A4">
        <w:rPr>
          <w:noProof/>
        </w:rPr>
        <w:fldChar w:fldCharType="end"/>
      </w:r>
      <w:bookmarkEnd w:id="281"/>
      <w:r>
        <w:t xml:space="preserve">: Penn Power Phase II </w:t>
      </w:r>
      <w:r w:rsidR="000206F5">
        <w:t>Cumulative</w:t>
      </w:r>
      <w:r>
        <w:t xml:space="preserve"> Demand Savings, by Sector</w:t>
      </w:r>
      <w:bookmarkEnd w:id="282"/>
      <w:bookmarkEnd w:id="283"/>
    </w:p>
    <w:tbl>
      <w:tblPr>
        <w:tblW w:w="9350" w:type="dxa"/>
        <w:tblLook w:val="04A0" w:firstRow="1" w:lastRow="0" w:firstColumn="1" w:lastColumn="0" w:noHBand="0" w:noVBand="1"/>
      </w:tblPr>
      <w:tblGrid>
        <w:gridCol w:w="1843"/>
        <w:gridCol w:w="1501"/>
        <w:gridCol w:w="1501"/>
        <w:gridCol w:w="1502"/>
        <w:gridCol w:w="1501"/>
        <w:gridCol w:w="1502"/>
      </w:tblGrid>
      <w:tr w:rsidR="00A874AC" w:rsidRPr="00C61361" w:rsidTr="007A007D">
        <w:trPr>
          <w:trHeight w:val="144"/>
        </w:trPr>
        <w:tc>
          <w:tcPr>
            <w:tcW w:w="1843" w:type="dxa"/>
            <w:tcBorders>
              <w:top w:val="single" w:sz="2" w:space="0" w:color="448A99"/>
              <w:left w:val="single" w:sz="8" w:space="0" w:color="448A99"/>
              <w:bottom w:val="single" w:sz="8" w:space="0" w:color="448A99"/>
              <w:right w:val="nil"/>
            </w:tcBorders>
            <w:shd w:val="clear" w:color="000000" w:fill="448A99"/>
            <w:vAlign w:val="center"/>
            <w:hideMark/>
          </w:tcPr>
          <w:p w:rsidR="00F13CD2" w:rsidRPr="00C61361" w:rsidRDefault="00F13CD2" w:rsidP="006F7DE9">
            <w:pPr>
              <w:rPr>
                <w:b/>
                <w:bCs/>
                <w:color w:val="FFFFFF"/>
                <w:sz w:val="19"/>
                <w:szCs w:val="19"/>
              </w:rPr>
            </w:pPr>
            <w:r w:rsidRPr="00C61361">
              <w:rPr>
                <w:b/>
                <w:bCs/>
                <w:color w:val="FFFFFF"/>
                <w:sz w:val="19"/>
                <w:szCs w:val="19"/>
              </w:rPr>
              <w:t>Statewide</w:t>
            </w:r>
          </w:p>
        </w:tc>
        <w:tc>
          <w:tcPr>
            <w:tcW w:w="1501" w:type="dxa"/>
            <w:tcBorders>
              <w:top w:val="single" w:sz="2" w:space="0" w:color="448A99"/>
              <w:left w:val="single" w:sz="8" w:space="0" w:color="448A99"/>
              <w:bottom w:val="single" w:sz="8" w:space="0" w:color="448A99"/>
              <w:right w:val="single" w:sz="8" w:space="0" w:color="448A99"/>
            </w:tcBorders>
            <w:shd w:val="clear" w:color="000000" w:fill="448A99"/>
            <w:vAlign w:val="center"/>
            <w:hideMark/>
          </w:tcPr>
          <w:p w:rsidR="00F13CD2" w:rsidRPr="00C61361" w:rsidRDefault="00F13CD2" w:rsidP="006F7DE9">
            <w:pPr>
              <w:jc w:val="center"/>
              <w:rPr>
                <w:b/>
                <w:bCs/>
                <w:color w:val="FFFFFF"/>
                <w:sz w:val="19"/>
                <w:szCs w:val="19"/>
              </w:rPr>
            </w:pPr>
            <w:r w:rsidRPr="00C61361">
              <w:rPr>
                <w:b/>
                <w:bCs/>
                <w:color w:val="FFFFFF"/>
                <w:sz w:val="19"/>
                <w:szCs w:val="19"/>
              </w:rPr>
              <w:t>Residential</w:t>
            </w:r>
          </w:p>
        </w:tc>
        <w:tc>
          <w:tcPr>
            <w:tcW w:w="1501" w:type="dxa"/>
            <w:tcBorders>
              <w:top w:val="single" w:sz="2" w:space="0" w:color="448A99"/>
              <w:left w:val="nil"/>
              <w:bottom w:val="single" w:sz="8" w:space="0" w:color="448A99"/>
              <w:right w:val="single" w:sz="8" w:space="0" w:color="448A99"/>
            </w:tcBorders>
            <w:shd w:val="clear" w:color="000000" w:fill="448A99"/>
            <w:vAlign w:val="center"/>
            <w:hideMark/>
          </w:tcPr>
          <w:p w:rsidR="00F13CD2" w:rsidRPr="00C61361" w:rsidRDefault="00F13CD2" w:rsidP="0097650B">
            <w:pPr>
              <w:jc w:val="center"/>
              <w:rPr>
                <w:b/>
                <w:bCs/>
                <w:color w:val="FFFFFF"/>
                <w:sz w:val="19"/>
                <w:szCs w:val="19"/>
              </w:rPr>
            </w:pPr>
            <w:r w:rsidRPr="00C61361">
              <w:rPr>
                <w:b/>
                <w:bCs/>
                <w:color w:val="FFFFFF"/>
                <w:sz w:val="19"/>
                <w:szCs w:val="19"/>
              </w:rPr>
              <w:t>C</w:t>
            </w:r>
            <w:r w:rsidR="0097650B" w:rsidRPr="00C61361">
              <w:rPr>
                <w:b/>
                <w:bCs/>
                <w:color w:val="FFFFFF"/>
                <w:sz w:val="19"/>
                <w:szCs w:val="19"/>
              </w:rPr>
              <w:t>/</w:t>
            </w:r>
            <w:r w:rsidRPr="00C61361">
              <w:rPr>
                <w:b/>
                <w:bCs/>
                <w:color w:val="FFFFFF"/>
                <w:sz w:val="19"/>
                <w:szCs w:val="19"/>
              </w:rPr>
              <w:t>I</w:t>
            </w:r>
          </w:p>
        </w:tc>
        <w:tc>
          <w:tcPr>
            <w:tcW w:w="1502" w:type="dxa"/>
            <w:tcBorders>
              <w:top w:val="single" w:sz="2" w:space="0" w:color="448A99"/>
              <w:left w:val="nil"/>
              <w:bottom w:val="single" w:sz="8" w:space="0" w:color="448A99"/>
              <w:right w:val="single" w:sz="8" w:space="0" w:color="448A99"/>
            </w:tcBorders>
            <w:shd w:val="clear" w:color="000000" w:fill="448A99"/>
            <w:vAlign w:val="center"/>
            <w:hideMark/>
          </w:tcPr>
          <w:p w:rsidR="00F13CD2" w:rsidRPr="00C61361" w:rsidRDefault="00F13CD2" w:rsidP="006F7DE9">
            <w:pPr>
              <w:jc w:val="center"/>
              <w:rPr>
                <w:b/>
                <w:bCs/>
                <w:color w:val="FFFFFF"/>
                <w:sz w:val="19"/>
                <w:szCs w:val="19"/>
              </w:rPr>
            </w:pPr>
            <w:r w:rsidRPr="00C61361">
              <w:rPr>
                <w:b/>
                <w:bCs/>
                <w:color w:val="FFFFFF"/>
                <w:sz w:val="19"/>
                <w:szCs w:val="19"/>
              </w:rPr>
              <w:t>GNI</w:t>
            </w:r>
          </w:p>
        </w:tc>
        <w:tc>
          <w:tcPr>
            <w:tcW w:w="1501" w:type="dxa"/>
            <w:tcBorders>
              <w:top w:val="single" w:sz="2" w:space="0" w:color="448A99"/>
              <w:left w:val="nil"/>
              <w:bottom w:val="single" w:sz="8" w:space="0" w:color="448A99"/>
              <w:right w:val="single" w:sz="8" w:space="0" w:color="448A99"/>
            </w:tcBorders>
            <w:shd w:val="clear" w:color="000000" w:fill="448A99"/>
            <w:vAlign w:val="center"/>
            <w:hideMark/>
          </w:tcPr>
          <w:p w:rsidR="00F13CD2" w:rsidRPr="00C61361" w:rsidRDefault="00F13CD2" w:rsidP="006F7DE9">
            <w:pPr>
              <w:jc w:val="center"/>
              <w:rPr>
                <w:b/>
                <w:bCs/>
                <w:color w:val="FFFFFF"/>
                <w:sz w:val="19"/>
                <w:szCs w:val="19"/>
              </w:rPr>
            </w:pPr>
            <w:r w:rsidRPr="00C61361">
              <w:rPr>
                <w:b/>
                <w:bCs/>
                <w:color w:val="FFFFFF"/>
                <w:sz w:val="19"/>
                <w:szCs w:val="19"/>
              </w:rPr>
              <w:t>Low-Income</w:t>
            </w:r>
          </w:p>
        </w:tc>
        <w:tc>
          <w:tcPr>
            <w:tcW w:w="1502" w:type="dxa"/>
            <w:tcBorders>
              <w:top w:val="single" w:sz="2" w:space="0" w:color="448A99"/>
              <w:left w:val="single" w:sz="8" w:space="0" w:color="448A99"/>
              <w:bottom w:val="single" w:sz="8" w:space="0" w:color="448A99"/>
              <w:right w:val="nil"/>
            </w:tcBorders>
            <w:shd w:val="clear" w:color="000000" w:fill="448A99"/>
            <w:vAlign w:val="center"/>
            <w:hideMark/>
          </w:tcPr>
          <w:p w:rsidR="00F13CD2" w:rsidRPr="00C61361" w:rsidRDefault="00F13CD2" w:rsidP="006F7DE9">
            <w:pPr>
              <w:jc w:val="center"/>
              <w:rPr>
                <w:b/>
                <w:bCs/>
                <w:color w:val="FFFFFF"/>
                <w:sz w:val="19"/>
                <w:szCs w:val="19"/>
              </w:rPr>
            </w:pPr>
            <w:r w:rsidRPr="00C61361">
              <w:rPr>
                <w:b/>
                <w:bCs/>
                <w:color w:val="FFFFFF"/>
                <w:sz w:val="19"/>
                <w:szCs w:val="19"/>
              </w:rPr>
              <w:t>Total</w:t>
            </w:r>
          </w:p>
        </w:tc>
      </w:tr>
      <w:tr w:rsidR="00A874AC" w:rsidRPr="00C61361" w:rsidTr="007A007D">
        <w:trPr>
          <w:trHeight w:val="360"/>
        </w:trPr>
        <w:tc>
          <w:tcPr>
            <w:tcW w:w="1843" w:type="dxa"/>
            <w:tcBorders>
              <w:top w:val="nil"/>
              <w:left w:val="single" w:sz="8" w:space="0" w:color="448A99"/>
              <w:bottom w:val="single" w:sz="8" w:space="0" w:color="448A99"/>
              <w:right w:val="nil"/>
            </w:tcBorders>
            <w:shd w:val="clear" w:color="000000" w:fill="D2EAF1"/>
            <w:vAlign w:val="center"/>
            <w:hideMark/>
          </w:tcPr>
          <w:p w:rsidR="00871F8D" w:rsidRPr="00C61361" w:rsidRDefault="00871F8D" w:rsidP="00871F8D">
            <w:pPr>
              <w:rPr>
                <w:b/>
                <w:bCs/>
                <w:color w:val="000000"/>
                <w:sz w:val="19"/>
                <w:szCs w:val="19"/>
              </w:rPr>
            </w:pPr>
            <w:r w:rsidRPr="00C61361">
              <w:rPr>
                <w:b/>
                <w:bCs/>
                <w:color w:val="000000"/>
                <w:sz w:val="19"/>
                <w:szCs w:val="19"/>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2.11</w:t>
            </w:r>
          </w:p>
        </w:tc>
        <w:tc>
          <w:tcPr>
            <w:tcW w:w="1501"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1.33</w:t>
            </w:r>
          </w:p>
        </w:tc>
        <w:tc>
          <w:tcPr>
            <w:tcW w:w="1502"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0.16</w:t>
            </w:r>
          </w:p>
        </w:tc>
        <w:tc>
          <w:tcPr>
            <w:tcW w:w="1501"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0.00</w:t>
            </w:r>
          </w:p>
        </w:tc>
        <w:tc>
          <w:tcPr>
            <w:tcW w:w="1502"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3.60</w:t>
            </w:r>
          </w:p>
        </w:tc>
      </w:tr>
      <w:tr w:rsidR="00A874AC" w:rsidRPr="00C61361" w:rsidTr="007A007D">
        <w:trPr>
          <w:trHeight w:val="360"/>
        </w:trPr>
        <w:tc>
          <w:tcPr>
            <w:tcW w:w="1843" w:type="dxa"/>
            <w:tcBorders>
              <w:top w:val="nil"/>
              <w:left w:val="single" w:sz="8" w:space="0" w:color="448A99"/>
              <w:bottom w:val="single" w:sz="8" w:space="0" w:color="448A99"/>
              <w:right w:val="nil"/>
            </w:tcBorders>
            <w:shd w:val="clear" w:color="000000" w:fill="FFFFFF"/>
            <w:vAlign w:val="center"/>
            <w:hideMark/>
          </w:tcPr>
          <w:p w:rsidR="00871F8D" w:rsidRPr="00C61361" w:rsidRDefault="00871F8D" w:rsidP="00871F8D">
            <w:pPr>
              <w:rPr>
                <w:b/>
                <w:bCs/>
                <w:color w:val="000000"/>
                <w:sz w:val="19"/>
                <w:szCs w:val="19"/>
              </w:rPr>
            </w:pPr>
            <w:r w:rsidRPr="00C61361">
              <w:rPr>
                <w:b/>
                <w:bCs/>
                <w:color w:val="000000"/>
                <w:sz w:val="19"/>
                <w:szCs w:val="19"/>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871F8D" w:rsidRPr="00C61361" w:rsidRDefault="00871F8D" w:rsidP="00871F8D">
            <w:pPr>
              <w:jc w:val="center"/>
              <w:rPr>
                <w:color w:val="000000"/>
                <w:sz w:val="19"/>
                <w:szCs w:val="19"/>
              </w:rPr>
            </w:pPr>
            <w:r w:rsidRPr="00C61361">
              <w:rPr>
                <w:color w:val="000000"/>
                <w:sz w:val="19"/>
                <w:szCs w:val="19"/>
              </w:rPr>
              <w:t>4.01</w:t>
            </w:r>
          </w:p>
        </w:tc>
        <w:tc>
          <w:tcPr>
            <w:tcW w:w="1501" w:type="dxa"/>
            <w:tcBorders>
              <w:top w:val="nil"/>
              <w:left w:val="nil"/>
              <w:bottom w:val="single" w:sz="8" w:space="0" w:color="448A99"/>
              <w:right w:val="single" w:sz="8" w:space="0" w:color="448A99"/>
            </w:tcBorders>
            <w:shd w:val="clear" w:color="auto" w:fill="auto"/>
            <w:vAlign w:val="center"/>
          </w:tcPr>
          <w:p w:rsidR="00871F8D" w:rsidRPr="00C61361" w:rsidRDefault="00871F8D" w:rsidP="00871F8D">
            <w:pPr>
              <w:jc w:val="center"/>
              <w:rPr>
                <w:color w:val="000000"/>
                <w:sz w:val="19"/>
                <w:szCs w:val="19"/>
              </w:rPr>
            </w:pPr>
            <w:r w:rsidRPr="00C61361">
              <w:rPr>
                <w:color w:val="000000"/>
                <w:sz w:val="19"/>
                <w:szCs w:val="19"/>
              </w:rPr>
              <w:t>4.66</w:t>
            </w:r>
          </w:p>
        </w:tc>
        <w:tc>
          <w:tcPr>
            <w:tcW w:w="1502" w:type="dxa"/>
            <w:tcBorders>
              <w:top w:val="nil"/>
              <w:left w:val="nil"/>
              <w:bottom w:val="single" w:sz="8" w:space="0" w:color="448A99"/>
              <w:right w:val="single" w:sz="8" w:space="0" w:color="448A99"/>
            </w:tcBorders>
            <w:shd w:val="clear" w:color="000000" w:fill="FFFFFF"/>
            <w:vAlign w:val="center"/>
          </w:tcPr>
          <w:p w:rsidR="00871F8D" w:rsidRPr="00C61361" w:rsidRDefault="00871F8D" w:rsidP="00871F8D">
            <w:pPr>
              <w:jc w:val="center"/>
              <w:rPr>
                <w:color w:val="000000"/>
                <w:sz w:val="19"/>
                <w:szCs w:val="19"/>
              </w:rPr>
            </w:pPr>
            <w:r w:rsidRPr="00C61361">
              <w:rPr>
                <w:color w:val="000000"/>
                <w:sz w:val="19"/>
                <w:szCs w:val="19"/>
              </w:rPr>
              <w:t>1.40</w:t>
            </w:r>
          </w:p>
        </w:tc>
        <w:tc>
          <w:tcPr>
            <w:tcW w:w="1501" w:type="dxa"/>
            <w:tcBorders>
              <w:top w:val="nil"/>
              <w:left w:val="nil"/>
              <w:bottom w:val="single" w:sz="8" w:space="0" w:color="448A99"/>
              <w:right w:val="single" w:sz="8" w:space="0" w:color="448A99"/>
            </w:tcBorders>
            <w:shd w:val="clear" w:color="000000" w:fill="FFFFFF"/>
            <w:vAlign w:val="center"/>
          </w:tcPr>
          <w:p w:rsidR="00871F8D" w:rsidRPr="00C61361" w:rsidRDefault="00871F8D" w:rsidP="00871F8D">
            <w:pPr>
              <w:jc w:val="center"/>
              <w:rPr>
                <w:color w:val="000000"/>
                <w:sz w:val="19"/>
                <w:szCs w:val="19"/>
              </w:rPr>
            </w:pPr>
            <w:r w:rsidRPr="00C61361">
              <w:rPr>
                <w:color w:val="000000"/>
                <w:sz w:val="19"/>
                <w:szCs w:val="19"/>
              </w:rPr>
              <w:t>0.17</w:t>
            </w:r>
          </w:p>
        </w:tc>
        <w:tc>
          <w:tcPr>
            <w:tcW w:w="1502" w:type="dxa"/>
            <w:tcBorders>
              <w:top w:val="nil"/>
              <w:left w:val="nil"/>
              <w:bottom w:val="single" w:sz="8" w:space="0" w:color="448A99"/>
              <w:right w:val="single" w:sz="8" w:space="0" w:color="448A99"/>
            </w:tcBorders>
            <w:shd w:val="clear" w:color="auto" w:fill="auto"/>
            <w:vAlign w:val="center"/>
          </w:tcPr>
          <w:p w:rsidR="00871F8D" w:rsidRPr="00C61361" w:rsidRDefault="00871F8D" w:rsidP="00871F8D">
            <w:pPr>
              <w:jc w:val="center"/>
              <w:rPr>
                <w:color w:val="000000"/>
                <w:sz w:val="19"/>
                <w:szCs w:val="19"/>
              </w:rPr>
            </w:pPr>
            <w:r w:rsidRPr="00C61361">
              <w:rPr>
                <w:color w:val="000000"/>
                <w:sz w:val="19"/>
                <w:szCs w:val="19"/>
              </w:rPr>
              <w:t>10.24</w:t>
            </w:r>
          </w:p>
        </w:tc>
      </w:tr>
      <w:tr w:rsidR="00A874AC" w:rsidRPr="00C61361" w:rsidTr="007A007D">
        <w:trPr>
          <w:trHeight w:val="360"/>
        </w:trPr>
        <w:tc>
          <w:tcPr>
            <w:tcW w:w="1843" w:type="dxa"/>
            <w:tcBorders>
              <w:top w:val="nil"/>
              <w:left w:val="single" w:sz="8" w:space="0" w:color="448A99"/>
              <w:bottom w:val="single" w:sz="8" w:space="0" w:color="448A99"/>
              <w:right w:val="nil"/>
            </w:tcBorders>
            <w:shd w:val="clear" w:color="000000" w:fill="D2EAF1"/>
            <w:vAlign w:val="center"/>
            <w:hideMark/>
          </w:tcPr>
          <w:p w:rsidR="00871F8D" w:rsidRPr="00C61361" w:rsidRDefault="00871F8D" w:rsidP="00871F8D">
            <w:pPr>
              <w:rPr>
                <w:b/>
                <w:bCs/>
                <w:color w:val="000000"/>
                <w:sz w:val="19"/>
                <w:szCs w:val="19"/>
              </w:rPr>
            </w:pPr>
            <w:r w:rsidRPr="00C61361">
              <w:rPr>
                <w:b/>
                <w:bCs/>
                <w:color w:val="000000"/>
                <w:sz w:val="19"/>
                <w:szCs w:val="19"/>
              </w:rPr>
              <w:t>PY7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4.18</w:t>
            </w:r>
          </w:p>
        </w:tc>
        <w:tc>
          <w:tcPr>
            <w:tcW w:w="1501"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5.99</w:t>
            </w:r>
          </w:p>
        </w:tc>
        <w:tc>
          <w:tcPr>
            <w:tcW w:w="1502"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2.49</w:t>
            </w:r>
          </w:p>
        </w:tc>
        <w:tc>
          <w:tcPr>
            <w:tcW w:w="1501"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0.56</w:t>
            </w:r>
          </w:p>
        </w:tc>
        <w:tc>
          <w:tcPr>
            <w:tcW w:w="1502"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13.22</w:t>
            </w:r>
          </w:p>
        </w:tc>
      </w:tr>
    </w:tbl>
    <w:p w:rsidR="00F13CD2" w:rsidRDefault="00F13CD2" w:rsidP="00F13CD2"/>
    <w:p w:rsidR="00B914EA" w:rsidRDefault="00B914EA" w:rsidP="00F13CD2"/>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EC51EA" w:rsidRDefault="00EC51EA" w:rsidP="00F13CD2"/>
    <w:p w:rsidR="00EC51EA" w:rsidRDefault="00EC51EA" w:rsidP="00F13CD2"/>
    <w:p w:rsidR="00F13CD2" w:rsidRDefault="00F13CD2" w:rsidP="004837FA">
      <w:pPr>
        <w:pStyle w:val="Caption"/>
      </w:pPr>
      <w:bookmarkStart w:id="284" w:name="_Ref472350692"/>
      <w:bookmarkStart w:id="285" w:name="_Ref473730152"/>
      <w:bookmarkStart w:id="286" w:name="_Ref476043411"/>
      <w:bookmarkStart w:id="287" w:name="_Toc472472235"/>
      <w:bookmarkStart w:id="288" w:name="_Toc488741814"/>
      <w:r>
        <w:t xml:space="preserve">Figure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5</w:t>
      </w:r>
      <w:r w:rsidR="007973A4">
        <w:rPr>
          <w:noProof/>
        </w:rPr>
        <w:fldChar w:fldCharType="end"/>
      </w:r>
      <w:bookmarkEnd w:id="284"/>
      <w:bookmarkEnd w:id="285"/>
      <w:bookmarkEnd w:id="286"/>
      <w:r>
        <w:t>: Penn Power</w:t>
      </w:r>
      <w:r w:rsidRPr="008E4974">
        <w:t xml:space="preserve"> Phase II </w:t>
      </w:r>
      <w:r w:rsidR="000206F5">
        <w:t>Cumulative</w:t>
      </w:r>
      <w:r w:rsidRPr="008E4974">
        <w:t xml:space="preserve"> Demand Savings, by Sector</w:t>
      </w:r>
      <w:bookmarkEnd w:id="287"/>
      <w:bookmarkEnd w:id="288"/>
    </w:p>
    <w:p w:rsidR="001C504E" w:rsidRPr="001C504E" w:rsidRDefault="00ED4EA3" w:rsidP="001C504E">
      <w:r>
        <w:rPr>
          <w:noProof/>
        </w:rPr>
        <w:drawing>
          <wp:inline distT="0" distB="0" distL="0" distR="0" wp14:anchorId="5DFBF0F1" wp14:editId="25573721">
            <wp:extent cx="5953639" cy="347472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4099" cy="3480825"/>
                    </a:xfrm>
                    <a:prstGeom prst="rect">
                      <a:avLst/>
                    </a:prstGeom>
                    <a:noFill/>
                  </pic:spPr>
                </pic:pic>
              </a:graphicData>
            </a:graphic>
          </wp:inline>
        </w:drawing>
      </w:r>
    </w:p>
    <w:p w:rsidR="00EC51EA" w:rsidRPr="00EC51EA" w:rsidRDefault="00EC51EA" w:rsidP="00EC51EA">
      <w:bookmarkStart w:id="289" w:name="_Toc472472110"/>
    </w:p>
    <w:p w:rsidR="00DD6B4C" w:rsidRDefault="00DD6B4C" w:rsidP="00E673F0">
      <w:pPr>
        <w:pStyle w:val="Heading3"/>
      </w:pPr>
      <w:bookmarkStart w:id="290" w:name="_Toc488765803"/>
      <w:r>
        <w:t>West Penn Power</w:t>
      </w:r>
      <w:bookmarkEnd w:id="289"/>
      <w:bookmarkEnd w:id="290"/>
    </w:p>
    <w:p w:rsidR="00EC51EA" w:rsidRDefault="00E1723F" w:rsidP="00EC51EA">
      <w:r>
        <w:fldChar w:fldCharType="begin"/>
      </w:r>
      <w:r>
        <w:instrText xml:space="preserve"> REF _Ref472350631 \h </w:instrText>
      </w:r>
      <w:r>
        <w:fldChar w:fldCharType="separate"/>
      </w:r>
      <w:r w:rsidR="00037CB4">
        <w:t xml:space="preserve">Table </w:t>
      </w:r>
      <w:r w:rsidR="00037CB4">
        <w:rPr>
          <w:noProof/>
        </w:rPr>
        <w:t>3</w:t>
      </w:r>
      <w:r w:rsidR="00037CB4">
        <w:noBreakHyphen/>
      </w:r>
      <w:r w:rsidR="00037CB4">
        <w:rPr>
          <w:noProof/>
        </w:rPr>
        <w:t>7</w:t>
      </w:r>
      <w:r>
        <w:fldChar w:fldCharType="end"/>
      </w:r>
      <w:r w:rsidR="00EC51EA">
        <w:t xml:space="preserve"> </w:t>
      </w:r>
      <w:r w:rsidR="00F13CD2" w:rsidRPr="00EC51EA">
        <w:t>presents West Penn’s cumulative demand savings, by sector. The C</w:t>
      </w:r>
      <w:r w:rsidR="0097650B" w:rsidRPr="00EC51EA">
        <w:t>/</w:t>
      </w:r>
      <w:r w:rsidR="00F13CD2" w:rsidRPr="00EC51EA">
        <w:t xml:space="preserve">I sector accounted for nearly </w:t>
      </w:r>
      <w:r w:rsidR="00871F8D" w:rsidRPr="00EC51EA">
        <w:t>50</w:t>
      </w:r>
      <w:r w:rsidR="00F13CD2" w:rsidRPr="00EC51EA">
        <w:t xml:space="preserve">% of the total demand savings in Phase II. </w:t>
      </w:r>
    </w:p>
    <w:p w:rsidR="000F5A29" w:rsidRDefault="000F5A29" w:rsidP="00E1723F"/>
    <w:p w:rsidR="00F13CD2" w:rsidRPr="00E1723F" w:rsidRDefault="000F5A29" w:rsidP="00E1723F">
      <w:r>
        <w:fldChar w:fldCharType="begin"/>
      </w:r>
      <w:r>
        <w:instrText xml:space="preserve"> REF _Ref473708314 \h </w:instrText>
      </w:r>
      <w:r>
        <w:fldChar w:fldCharType="separate"/>
      </w:r>
      <w:r w:rsidR="00037CB4">
        <w:t xml:space="preserve">Figure </w:t>
      </w:r>
      <w:r w:rsidR="00037CB4">
        <w:rPr>
          <w:noProof/>
        </w:rPr>
        <w:t>3</w:t>
      </w:r>
      <w:r w:rsidR="00037CB4">
        <w:noBreakHyphen/>
      </w:r>
      <w:r w:rsidR="00037CB4">
        <w:rPr>
          <w:noProof/>
        </w:rPr>
        <w:t>6</w:t>
      </w:r>
      <w:r>
        <w:fldChar w:fldCharType="end"/>
      </w:r>
      <w:r>
        <w:t xml:space="preserve"> </w:t>
      </w:r>
      <w:r w:rsidR="00F13CD2" w:rsidRPr="00E1723F">
        <w:t>provides a graphical illustration of these savings.</w:t>
      </w:r>
    </w:p>
    <w:p w:rsidR="00F13CD2" w:rsidRDefault="00F13CD2" w:rsidP="00F13CD2"/>
    <w:p w:rsidR="00F13CD2" w:rsidRDefault="00F13CD2" w:rsidP="004837FA">
      <w:pPr>
        <w:pStyle w:val="Caption"/>
      </w:pPr>
      <w:bookmarkStart w:id="291" w:name="_Ref472350631"/>
      <w:bookmarkStart w:id="292" w:name="_Toc472472182"/>
      <w:bookmarkStart w:id="293" w:name="_Toc488741760"/>
      <w:r>
        <w:t xml:space="preserve">Table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7</w:t>
      </w:r>
      <w:r w:rsidR="007973A4">
        <w:rPr>
          <w:noProof/>
        </w:rPr>
        <w:fldChar w:fldCharType="end"/>
      </w:r>
      <w:bookmarkEnd w:id="291"/>
      <w:r>
        <w:t xml:space="preserve">: West Penn Phase II </w:t>
      </w:r>
      <w:r w:rsidR="000206F5">
        <w:t>Cumulative</w:t>
      </w:r>
      <w:r>
        <w:t xml:space="preserve"> Demand Savings, by Sector</w:t>
      </w:r>
      <w:bookmarkEnd w:id="292"/>
      <w:bookmarkEnd w:id="293"/>
    </w:p>
    <w:tbl>
      <w:tblPr>
        <w:tblW w:w="9350" w:type="dxa"/>
        <w:tblLook w:val="04A0" w:firstRow="1" w:lastRow="0" w:firstColumn="1" w:lastColumn="0" w:noHBand="0" w:noVBand="1"/>
      </w:tblPr>
      <w:tblGrid>
        <w:gridCol w:w="1843"/>
        <w:gridCol w:w="1501"/>
        <w:gridCol w:w="1501"/>
        <w:gridCol w:w="1502"/>
        <w:gridCol w:w="1501"/>
        <w:gridCol w:w="1502"/>
      </w:tblGrid>
      <w:tr w:rsidR="00A874AC" w:rsidRPr="00C61361" w:rsidTr="00705585">
        <w:trPr>
          <w:trHeight w:val="207"/>
        </w:trPr>
        <w:tc>
          <w:tcPr>
            <w:tcW w:w="1843" w:type="dxa"/>
            <w:tcBorders>
              <w:top w:val="nil"/>
              <w:left w:val="single" w:sz="8" w:space="0" w:color="448A99"/>
              <w:bottom w:val="single" w:sz="8" w:space="0" w:color="448A99"/>
              <w:right w:val="nil"/>
            </w:tcBorders>
            <w:shd w:val="clear" w:color="000000" w:fill="448A99"/>
            <w:vAlign w:val="center"/>
            <w:hideMark/>
          </w:tcPr>
          <w:p w:rsidR="00F13CD2" w:rsidRPr="00C61361" w:rsidRDefault="00F13CD2" w:rsidP="006F7DE9">
            <w:pPr>
              <w:rPr>
                <w:b/>
                <w:bCs/>
                <w:color w:val="FFFFFF"/>
                <w:sz w:val="19"/>
                <w:szCs w:val="19"/>
              </w:rPr>
            </w:pPr>
            <w:r w:rsidRPr="00C61361">
              <w:rPr>
                <w:b/>
                <w:bCs/>
                <w:color w:val="FFFFFF"/>
                <w:sz w:val="19"/>
                <w:szCs w:val="19"/>
              </w:rPr>
              <w:t>Statewide</w:t>
            </w:r>
          </w:p>
        </w:tc>
        <w:tc>
          <w:tcPr>
            <w:tcW w:w="1501" w:type="dxa"/>
            <w:tcBorders>
              <w:top w:val="nil"/>
              <w:left w:val="single" w:sz="8" w:space="0" w:color="448A99"/>
              <w:bottom w:val="single" w:sz="8" w:space="0" w:color="448A99"/>
              <w:right w:val="single" w:sz="8" w:space="0" w:color="448A99"/>
            </w:tcBorders>
            <w:shd w:val="clear" w:color="000000" w:fill="448A99"/>
            <w:vAlign w:val="center"/>
            <w:hideMark/>
          </w:tcPr>
          <w:p w:rsidR="00F13CD2" w:rsidRPr="00C61361" w:rsidRDefault="00F13CD2" w:rsidP="006F7DE9">
            <w:pPr>
              <w:jc w:val="center"/>
              <w:rPr>
                <w:b/>
                <w:bCs/>
                <w:color w:val="FFFFFF"/>
                <w:sz w:val="19"/>
                <w:szCs w:val="19"/>
              </w:rPr>
            </w:pPr>
            <w:r w:rsidRPr="00C61361">
              <w:rPr>
                <w:b/>
                <w:bCs/>
                <w:color w:val="FFFFFF"/>
                <w:sz w:val="19"/>
                <w:szCs w:val="19"/>
              </w:rPr>
              <w:t>Residential</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C61361" w:rsidRDefault="00F13CD2" w:rsidP="0097650B">
            <w:pPr>
              <w:jc w:val="center"/>
              <w:rPr>
                <w:b/>
                <w:bCs/>
                <w:color w:val="FFFFFF"/>
                <w:sz w:val="19"/>
                <w:szCs w:val="19"/>
              </w:rPr>
            </w:pPr>
            <w:r w:rsidRPr="00C61361">
              <w:rPr>
                <w:b/>
                <w:bCs/>
                <w:color w:val="FFFFFF"/>
                <w:sz w:val="19"/>
                <w:szCs w:val="19"/>
              </w:rPr>
              <w:t>C</w:t>
            </w:r>
            <w:r w:rsidR="0097650B" w:rsidRPr="00C61361">
              <w:rPr>
                <w:b/>
                <w:bCs/>
                <w:color w:val="FFFFFF"/>
                <w:sz w:val="19"/>
                <w:szCs w:val="19"/>
              </w:rPr>
              <w:t>/</w:t>
            </w:r>
            <w:r w:rsidRPr="00C61361">
              <w:rPr>
                <w:b/>
                <w:bCs/>
                <w:color w:val="FFFFFF"/>
                <w:sz w:val="19"/>
                <w:szCs w:val="19"/>
              </w:rPr>
              <w:t>I</w:t>
            </w:r>
          </w:p>
        </w:tc>
        <w:tc>
          <w:tcPr>
            <w:tcW w:w="1502" w:type="dxa"/>
            <w:tcBorders>
              <w:top w:val="nil"/>
              <w:left w:val="nil"/>
              <w:bottom w:val="single" w:sz="8" w:space="0" w:color="448A99"/>
              <w:right w:val="single" w:sz="8" w:space="0" w:color="448A99"/>
            </w:tcBorders>
            <w:shd w:val="clear" w:color="000000" w:fill="448A99"/>
            <w:vAlign w:val="center"/>
            <w:hideMark/>
          </w:tcPr>
          <w:p w:rsidR="00F13CD2" w:rsidRPr="00C61361" w:rsidRDefault="00F13CD2" w:rsidP="006F7DE9">
            <w:pPr>
              <w:jc w:val="center"/>
              <w:rPr>
                <w:b/>
                <w:bCs/>
                <w:color w:val="FFFFFF"/>
                <w:sz w:val="19"/>
                <w:szCs w:val="19"/>
              </w:rPr>
            </w:pPr>
            <w:r w:rsidRPr="00C61361">
              <w:rPr>
                <w:b/>
                <w:bCs/>
                <w:color w:val="FFFFFF"/>
                <w:sz w:val="19"/>
                <w:szCs w:val="19"/>
              </w:rPr>
              <w:t>GNI</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C61361" w:rsidRDefault="00F13CD2" w:rsidP="006F7DE9">
            <w:pPr>
              <w:jc w:val="center"/>
              <w:rPr>
                <w:b/>
                <w:bCs/>
                <w:color w:val="FFFFFF"/>
                <w:sz w:val="19"/>
                <w:szCs w:val="19"/>
              </w:rPr>
            </w:pPr>
            <w:r w:rsidRPr="00C61361">
              <w:rPr>
                <w:b/>
                <w:bCs/>
                <w:color w:val="FFFFFF"/>
                <w:sz w:val="19"/>
                <w:szCs w:val="19"/>
              </w:rPr>
              <w:t>Low-Income</w:t>
            </w:r>
          </w:p>
        </w:tc>
        <w:tc>
          <w:tcPr>
            <w:tcW w:w="1502" w:type="dxa"/>
            <w:tcBorders>
              <w:top w:val="nil"/>
              <w:left w:val="single" w:sz="8" w:space="0" w:color="448A99"/>
              <w:bottom w:val="single" w:sz="8" w:space="0" w:color="448A99"/>
              <w:right w:val="nil"/>
            </w:tcBorders>
            <w:shd w:val="clear" w:color="000000" w:fill="448A99"/>
            <w:vAlign w:val="center"/>
            <w:hideMark/>
          </w:tcPr>
          <w:p w:rsidR="00F13CD2" w:rsidRPr="00C61361" w:rsidRDefault="00F13CD2" w:rsidP="006F7DE9">
            <w:pPr>
              <w:jc w:val="center"/>
              <w:rPr>
                <w:b/>
                <w:bCs/>
                <w:color w:val="FFFFFF"/>
                <w:sz w:val="19"/>
                <w:szCs w:val="19"/>
              </w:rPr>
            </w:pPr>
            <w:r w:rsidRPr="00C61361">
              <w:rPr>
                <w:b/>
                <w:bCs/>
                <w:color w:val="FFFFFF"/>
                <w:sz w:val="19"/>
                <w:szCs w:val="19"/>
              </w:rPr>
              <w:t>Total</w:t>
            </w:r>
          </w:p>
        </w:tc>
      </w:tr>
      <w:tr w:rsidR="00A874AC" w:rsidRPr="00C61361" w:rsidTr="00705585">
        <w:trPr>
          <w:trHeight w:val="360"/>
        </w:trPr>
        <w:tc>
          <w:tcPr>
            <w:tcW w:w="1843" w:type="dxa"/>
            <w:tcBorders>
              <w:top w:val="nil"/>
              <w:left w:val="single" w:sz="8" w:space="0" w:color="448A99"/>
              <w:bottom w:val="single" w:sz="8" w:space="0" w:color="448A99"/>
              <w:right w:val="nil"/>
            </w:tcBorders>
            <w:shd w:val="clear" w:color="000000" w:fill="D2EAF1"/>
            <w:vAlign w:val="center"/>
            <w:hideMark/>
          </w:tcPr>
          <w:p w:rsidR="00871F8D" w:rsidRPr="00C61361" w:rsidRDefault="00871F8D" w:rsidP="00871F8D">
            <w:pPr>
              <w:rPr>
                <w:b/>
                <w:bCs/>
                <w:color w:val="000000"/>
                <w:sz w:val="19"/>
                <w:szCs w:val="19"/>
              </w:rPr>
            </w:pPr>
            <w:r w:rsidRPr="00C61361">
              <w:rPr>
                <w:b/>
                <w:bCs/>
                <w:color w:val="000000"/>
                <w:sz w:val="19"/>
                <w:szCs w:val="19"/>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9.89</w:t>
            </w:r>
          </w:p>
        </w:tc>
        <w:tc>
          <w:tcPr>
            <w:tcW w:w="1501"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4.10</w:t>
            </w:r>
          </w:p>
        </w:tc>
        <w:tc>
          <w:tcPr>
            <w:tcW w:w="1502"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0.87</w:t>
            </w:r>
          </w:p>
        </w:tc>
        <w:tc>
          <w:tcPr>
            <w:tcW w:w="1501"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0.00</w:t>
            </w:r>
          </w:p>
        </w:tc>
        <w:tc>
          <w:tcPr>
            <w:tcW w:w="1502"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14.86</w:t>
            </w:r>
          </w:p>
        </w:tc>
      </w:tr>
      <w:tr w:rsidR="00A874AC" w:rsidRPr="00C61361" w:rsidTr="00705585">
        <w:trPr>
          <w:trHeight w:val="360"/>
        </w:trPr>
        <w:tc>
          <w:tcPr>
            <w:tcW w:w="1843" w:type="dxa"/>
            <w:tcBorders>
              <w:top w:val="nil"/>
              <w:left w:val="single" w:sz="8" w:space="0" w:color="448A99"/>
              <w:bottom w:val="single" w:sz="8" w:space="0" w:color="448A99"/>
              <w:right w:val="nil"/>
            </w:tcBorders>
            <w:shd w:val="clear" w:color="000000" w:fill="FFFFFF"/>
            <w:vAlign w:val="center"/>
            <w:hideMark/>
          </w:tcPr>
          <w:p w:rsidR="00871F8D" w:rsidRPr="00C61361" w:rsidRDefault="00871F8D" w:rsidP="00871F8D">
            <w:pPr>
              <w:rPr>
                <w:b/>
                <w:bCs/>
                <w:color w:val="000000"/>
                <w:sz w:val="19"/>
                <w:szCs w:val="19"/>
              </w:rPr>
            </w:pPr>
            <w:r w:rsidRPr="00C61361">
              <w:rPr>
                <w:b/>
                <w:bCs/>
                <w:color w:val="000000"/>
                <w:sz w:val="19"/>
                <w:szCs w:val="19"/>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871F8D" w:rsidRPr="00C61361" w:rsidRDefault="00871F8D" w:rsidP="00871F8D">
            <w:pPr>
              <w:jc w:val="center"/>
              <w:rPr>
                <w:color w:val="000000"/>
                <w:sz w:val="19"/>
                <w:szCs w:val="19"/>
              </w:rPr>
            </w:pPr>
            <w:r w:rsidRPr="00C61361">
              <w:rPr>
                <w:color w:val="000000"/>
                <w:sz w:val="19"/>
                <w:szCs w:val="19"/>
              </w:rPr>
              <w:t>14.97</w:t>
            </w:r>
          </w:p>
        </w:tc>
        <w:tc>
          <w:tcPr>
            <w:tcW w:w="1501" w:type="dxa"/>
            <w:tcBorders>
              <w:top w:val="nil"/>
              <w:left w:val="nil"/>
              <w:bottom w:val="single" w:sz="8" w:space="0" w:color="448A99"/>
              <w:right w:val="single" w:sz="8" w:space="0" w:color="448A99"/>
            </w:tcBorders>
            <w:shd w:val="clear" w:color="auto" w:fill="auto"/>
            <w:vAlign w:val="center"/>
          </w:tcPr>
          <w:p w:rsidR="00871F8D" w:rsidRPr="00C61361" w:rsidRDefault="00871F8D" w:rsidP="00871F8D">
            <w:pPr>
              <w:jc w:val="center"/>
              <w:rPr>
                <w:color w:val="000000"/>
                <w:sz w:val="19"/>
                <w:szCs w:val="19"/>
              </w:rPr>
            </w:pPr>
            <w:r w:rsidRPr="00C61361">
              <w:rPr>
                <w:color w:val="000000"/>
                <w:sz w:val="19"/>
                <w:szCs w:val="19"/>
              </w:rPr>
              <w:t>11.96</w:t>
            </w:r>
          </w:p>
        </w:tc>
        <w:tc>
          <w:tcPr>
            <w:tcW w:w="1502" w:type="dxa"/>
            <w:tcBorders>
              <w:top w:val="nil"/>
              <w:left w:val="nil"/>
              <w:bottom w:val="single" w:sz="8" w:space="0" w:color="448A99"/>
              <w:right w:val="single" w:sz="8" w:space="0" w:color="448A99"/>
            </w:tcBorders>
            <w:shd w:val="clear" w:color="000000" w:fill="FFFFFF"/>
            <w:vAlign w:val="center"/>
          </w:tcPr>
          <w:p w:rsidR="00871F8D" w:rsidRPr="00C61361" w:rsidRDefault="00871F8D" w:rsidP="00871F8D">
            <w:pPr>
              <w:jc w:val="center"/>
              <w:rPr>
                <w:color w:val="000000"/>
                <w:sz w:val="19"/>
                <w:szCs w:val="19"/>
              </w:rPr>
            </w:pPr>
            <w:r w:rsidRPr="00C61361">
              <w:rPr>
                <w:color w:val="000000"/>
                <w:sz w:val="19"/>
                <w:szCs w:val="19"/>
              </w:rPr>
              <w:t>2.97</w:t>
            </w:r>
          </w:p>
        </w:tc>
        <w:tc>
          <w:tcPr>
            <w:tcW w:w="1501" w:type="dxa"/>
            <w:tcBorders>
              <w:top w:val="nil"/>
              <w:left w:val="nil"/>
              <w:bottom w:val="single" w:sz="8" w:space="0" w:color="448A99"/>
              <w:right w:val="single" w:sz="8" w:space="0" w:color="448A99"/>
            </w:tcBorders>
            <w:shd w:val="clear" w:color="000000" w:fill="FFFFFF"/>
            <w:vAlign w:val="center"/>
          </w:tcPr>
          <w:p w:rsidR="00871F8D" w:rsidRPr="00C61361" w:rsidRDefault="00871F8D" w:rsidP="00871F8D">
            <w:pPr>
              <w:jc w:val="center"/>
              <w:rPr>
                <w:color w:val="000000"/>
                <w:sz w:val="19"/>
                <w:szCs w:val="19"/>
              </w:rPr>
            </w:pPr>
            <w:r w:rsidRPr="00C61361">
              <w:rPr>
                <w:color w:val="000000"/>
                <w:sz w:val="19"/>
                <w:szCs w:val="19"/>
              </w:rPr>
              <w:t>0.30</w:t>
            </w:r>
          </w:p>
        </w:tc>
        <w:tc>
          <w:tcPr>
            <w:tcW w:w="1502" w:type="dxa"/>
            <w:tcBorders>
              <w:top w:val="nil"/>
              <w:left w:val="nil"/>
              <w:bottom w:val="single" w:sz="8" w:space="0" w:color="448A99"/>
              <w:right w:val="single" w:sz="8" w:space="0" w:color="448A99"/>
            </w:tcBorders>
            <w:shd w:val="clear" w:color="auto" w:fill="auto"/>
            <w:vAlign w:val="center"/>
          </w:tcPr>
          <w:p w:rsidR="00871F8D" w:rsidRPr="00C61361" w:rsidRDefault="00871F8D" w:rsidP="00871F8D">
            <w:pPr>
              <w:jc w:val="center"/>
              <w:rPr>
                <w:color w:val="000000"/>
                <w:sz w:val="19"/>
                <w:szCs w:val="19"/>
              </w:rPr>
            </w:pPr>
            <w:r w:rsidRPr="00C61361">
              <w:rPr>
                <w:color w:val="000000"/>
                <w:sz w:val="19"/>
                <w:szCs w:val="19"/>
              </w:rPr>
              <w:t>30.20</w:t>
            </w:r>
          </w:p>
        </w:tc>
      </w:tr>
      <w:tr w:rsidR="00A874AC" w:rsidRPr="00C61361" w:rsidTr="00705585">
        <w:trPr>
          <w:trHeight w:val="360"/>
        </w:trPr>
        <w:tc>
          <w:tcPr>
            <w:tcW w:w="1843" w:type="dxa"/>
            <w:tcBorders>
              <w:top w:val="nil"/>
              <w:left w:val="single" w:sz="8" w:space="0" w:color="448A99"/>
              <w:bottom w:val="single" w:sz="8" w:space="0" w:color="448A99"/>
              <w:right w:val="nil"/>
            </w:tcBorders>
            <w:shd w:val="clear" w:color="000000" w:fill="D2EAF1"/>
            <w:vAlign w:val="center"/>
            <w:hideMark/>
          </w:tcPr>
          <w:p w:rsidR="00871F8D" w:rsidRPr="00C61361" w:rsidRDefault="00871F8D" w:rsidP="00871F8D">
            <w:pPr>
              <w:rPr>
                <w:b/>
                <w:bCs/>
                <w:color w:val="000000"/>
                <w:sz w:val="19"/>
                <w:szCs w:val="19"/>
              </w:rPr>
            </w:pPr>
            <w:r w:rsidRPr="00C61361">
              <w:rPr>
                <w:b/>
                <w:bCs/>
                <w:color w:val="000000"/>
                <w:sz w:val="19"/>
                <w:szCs w:val="19"/>
              </w:rPr>
              <w:t>PY7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15.22</w:t>
            </w:r>
          </w:p>
        </w:tc>
        <w:tc>
          <w:tcPr>
            <w:tcW w:w="1501"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21.52</w:t>
            </w:r>
          </w:p>
        </w:tc>
        <w:tc>
          <w:tcPr>
            <w:tcW w:w="1502"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5.46</w:t>
            </w:r>
          </w:p>
        </w:tc>
        <w:tc>
          <w:tcPr>
            <w:tcW w:w="1501"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2.18</w:t>
            </w:r>
          </w:p>
        </w:tc>
        <w:tc>
          <w:tcPr>
            <w:tcW w:w="1502" w:type="dxa"/>
            <w:tcBorders>
              <w:top w:val="nil"/>
              <w:left w:val="nil"/>
              <w:bottom w:val="single" w:sz="8" w:space="0" w:color="448A99"/>
              <w:right w:val="single" w:sz="8" w:space="0" w:color="448A99"/>
            </w:tcBorders>
            <w:shd w:val="clear" w:color="000000" w:fill="D2EAF1"/>
            <w:vAlign w:val="center"/>
          </w:tcPr>
          <w:p w:rsidR="00871F8D" w:rsidRPr="00C61361" w:rsidRDefault="00871F8D" w:rsidP="00871F8D">
            <w:pPr>
              <w:jc w:val="center"/>
              <w:rPr>
                <w:color w:val="000000"/>
                <w:sz w:val="19"/>
                <w:szCs w:val="19"/>
              </w:rPr>
            </w:pPr>
            <w:r w:rsidRPr="00C61361">
              <w:rPr>
                <w:color w:val="000000"/>
                <w:sz w:val="19"/>
                <w:szCs w:val="19"/>
              </w:rPr>
              <w:t>44.38</w:t>
            </w:r>
          </w:p>
        </w:tc>
      </w:tr>
    </w:tbl>
    <w:p w:rsidR="00F13CD2" w:rsidRDefault="00F13CD2" w:rsidP="00F13CD2"/>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F13CD2" w:rsidRDefault="00F13CD2" w:rsidP="004837FA">
      <w:pPr>
        <w:pStyle w:val="Caption"/>
      </w:pPr>
      <w:bookmarkStart w:id="294" w:name="_Ref472350699"/>
      <w:bookmarkStart w:id="295" w:name="_Ref473708314"/>
      <w:bookmarkStart w:id="296" w:name="_Toc472472236"/>
      <w:bookmarkStart w:id="297" w:name="_Toc488741815"/>
      <w:r>
        <w:t xml:space="preserve">Figure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6</w:t>
      </w:r>
      <w:r w:rsidR="007973A4">
        <w:rPr>
          <w:noProof/>
        </w:rPr>
        <w:fldChar w:fldCharType="end"/>
      </w:r>
      <w:bookmarkEnd w:id="294"/>
      <w:bookmarkEnd w:id="295"/>
      <w:r>
        <w:t>: West Penn</w:t>
      </w:r>
      <w:r w:rsidRPr="008E4974">
        <w:t xml:space="preserve"> Phase II </w:t>
      </w:r>
      <w:r w:rsidR="000206F5">
        <w:t>Cumulative</w:t>
      </w:r>
      <w:r w:rsidRPr="008E4974">
        <w:t xml:space="preserve"> Demand Savings, by Sector</w:t>
      </w:r>
      <w:bookmarkEnd w:id="296"/>
      <w:bookmarkEnd w:id="297"/>
    </w:p>
    <w:p w:rsidR="001C504E" w:rsidRPr="001C504E" w:rsidRDefault="00ED4EA3" w:rsidP="001C504E">
      <w:r>
        <w:rPr>
          <w:noProof/>
        </w:rPr>
        <w:drawing>
          <wp:inline distT="0" distB="0" distL="0" distR="0" wp14:anchorId="1DEAB4D9" wp14:editId="5028A3BA">
            <wp:extent cx="5883275" cy="34321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3275" cy="3432175"/>
                    </a:xfrm>
                    <a:prstGeom prst="rect">
                      <a:avLst/>
                    </a:prstGeom>
                    <a:noFill/>
                  </pic:spPr>
                </pic:pic>
              </a:graphicData>
            </a:graphic>
          </wp:inline>
        </w:drawing>
      </w:r>
    </w:p>
    <w:p w:rsidR="00EC51EA" w:rsidRPr="00EC51EA" w:rsidRDefault="00EC51EA" w:rsidP="00EC51EA">
      <w:bookmarkStart w:id="298" w:name="_Toc472472111"/>
    </w:p>
    <w:p w:rsidR="00DD6B4C" w:rsidRDefault="00DD6B4C" w:rsidP="00E673F0">
      <w:pPr>
        <w:pStyle w:val="Heading3"/>
      </w:pPr>
      <w:bookmarkStart w:id="299" w:name="_Toc488765804"/>
      <w:r>
        <w:t>PECO Energy</w:t>
      </w:r>
      <w:bookmarkEnd w:id="298"/>
      <w:bookmarkEnd w:id="299"/>
    </w:p>
    <w:p w:rsidR="00F13CD2" w:rsidRDefault="00871F8D" w:rsidP="00F13CD2">
      <w:r>
        <w:fldChar w:fldCharType="begin"/>
      </w:r>
      <w:r>
        <w:instrText xml:space="preserve"> REF _Ref472350641 \h </w:instrText>
      </w:r>
      <w:r>
        <w:fldChar w:fldCharType="separate"/>
      </w:r>
      <w:r w:rsidR="00037CB4">
        <w:t xml:space="preserve">Table </w:t>
      </w:r>
      <w:r w:rsidR="00037CB4">
        <w:rPr>
          <w:noProof/>
        </w:rPr>
        <w:t>3</w:t>
      </w:r>
      <w:r w:rsidR="00037CB4">
        <w:noBreakHyphen/>
      </w:r>
      <w:r w:rsidR="00037CB4">
        <w:rPr>
          <w:noProof/>
        </w:rPr>
        <w:t>8</w:t>
      </w:r>
      <w:r>
        <w:fldChar w:fldCharType="end"/>
      </w:r>
      <w:r w:rsidR="00F13CD2">
        <w:t xml:space="preserve"> presents PECO’s cumulative demand savings, by sector. The </w:t>
      </w:r>
      <w:r>
        <w:t xml:space="preserve">residential </w:t>
      </w:r>
      <w:r w:rsidR="00F13CD2">
        <w:t xml:space="preserve">sector accounted for nearly </w:t>
      </w:r>
      <w:r>
        <w:t>5</w:t>
      </w:r>
      <w:r w:rsidR="00F13CD2">
        <w:t xml:space="preserve">0% of the total demand savings in Phase II. </w:t>
      </w:r>
      <w:r>
        <w:fldChar w:fldCharType="begin"/>
      </w:r>
      <w:r>
        <w:instrText xml:space="preserve"> REF _Ref472350705 \h </w:instrText>
      </w:r>
      <w:r>
        <w:fldChar w:fldCharType="separate"/>
      </w:r>
      <w:r w:rsidR="00037CB4">
        <w:t xml:space="preserve">Figure </w:t>
      </w:r>
      <w:r w:rsidR="00037CB4">
        <w:rPr>
          <w:noProof/>
        </w:rPr>
        <w:t>3</w:t>
      </w:r>
      <w:r w:rsidR="00037CB4">
        <w:noBreakHyphen/>
      </w:r>
      <w:r w:rsidR="00037CB4">
        <w:rPr>
          <w:noProof/>
        </w:rPr>
        <w:t>7</w:t>
      </w:r>
      <w:r>
        <w:fldChar w:fldCharType="end"/>
      </w:r>
      <w:r w:rsidR="00F13CD2">
        <w:t xml:space="preserve"> provides a graphical illustration of these savings.</w:t>
      </w:r>
    </w:p>
    <w:p w:rsidR="00F13CD2" w:rsidRDefault="00F13CD2" w:rsidP="00F13CD2"/>
    <w:p w:rsidR="00F13CD2" w:rsidRDefault="00F13CD2" w:rsidP="004837FA">
      <w:pPr>
        <w:pStyle w:val="Caption"/>
      </w:pPr>
      <w:bookmarkStart w:id="300" w:name="_Ref472350641"/>
      <w:bookmarkStart w:id="301" w:name="_Toc472472183"/>
      <w:bookmarkStart w:id="302" w:name="_Toc488741761"/>
      <w:r>
        <w:t xml:space="preserve">Table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8</w:t>
      </w:r>
      <w:r w:rsidR="007973A4">
        <w:rPr>
          <w:noProof/>
        </w:rPr>
        <w:fldChar w:fldCharType="end"/>
      </w:r>
      <w:bookmarkEnd w:id="300"/>
      <w:r>
        <w:t xml:space="preserve">: PECO Phase II </w:t>
      </w:r>
      <w:r w:rsidR="000206F5">
        <w:t>Cumulative</w:t>
      </w:r>
      <w:r>
        <w:t xml:space="preserve"> Demand Savings, by Sector</w:t>
      </w:r>
      <w:bookmarkEnd w:id="301"/>
      <w:bookmarkEnd w:id="302"/>
    </w:p>
    <w:tbl>
      <w:tblPr>
        <w:tblW w:w="9350" w:type="dxa"/>
        <w:tblLook w:val="04A0" w:firstRow="1" w:lastRow="0" w:firstColumn="1" w:lastColumn="0" w:noHBand="0" w:noVBand="1"/>
      </w:tblPr>
      <w:tblGrid>
        <w:gridCol w:w="1843"/>
        <w:gridCol w:w="1501"/>
        <w:gridCol w:w="1501"/>
        <w:gridCol w:w="1502"/>
        <w:gridCol w:w="1501"/>
        <w:gridCol w:w="1502"/>
      </w:tblGrid>
      <w:tr w:rsidR="00A874AC" w:rsidRPr="00461F1B" w:rsidTr="00705585">
        <w:trPr>
          <w:trHeight w:val="108"/>
        </w:trPr>
        <w:tc>
          <w:tcPr>
            <w:tcW w:w="1843" w:type="dxa"/>
            <w:tcBorders>
              <w:top w:val="single" w:sz="2" w:space="0" w:color="448A99"/>
              <w:left w:val="single" w:sz="8" w:space="0" w:color="448A99"/>
              <w:bottom w:val="single" w:sz="2" w:space="0" w:color="448A99"/>
              <w:right w:val="nil"/>
            </w:tcBorders>
            <w:shd w:val="clear" w:color="000000" w:fill="448A99"/>
            <w:vAlign w:val="center"/>
            <w:hideMark/>
          </w:tcPr>
          <w:p w:rsidR="00F13CD2" w:rsidRPr="00461F1B" w:rsidRDefault="00F13CD2" w:rsidP="006F7DE9">
            <w:pPr>
              <w:rPr>
                <w:b/>
                <w:bCs/>
                <w:color w:val="FFFFFF"/>
                <w:sz w:val="19"/>
                <w:szCs w:val="19"/>
              </w:rPr>
            </w:pPr>
            <w:r w:rsidRPr="00461F1B">
              <w:rPr>
                <w:b/>
                <w:bCs/>
                <w:color w:val="FFFFFF"/>
                <w:sz w:val="19"/>
                <w:szCs w:val="19"/>
              </w:rPr>
              <w:t>Statewide</w:t>
            </w:r>
          </w:p>
        </w:tc>
        <w:tc>
          <w:tcPr>
            <w:tcW w:w="1501" w:type="dxa"/>
            <w:tcBorders>
              <w:top w:val="single" w:sz="2" w:space="0" w:color="448A99"/>
              <w:left w:val="single" w:sz="8" w:space="0" w:color="448A99"/>
              <w:bottom w:val="single" w:sz="2" w:space="0" w:color="448A99"/>
              <w:right w:val="single" w:sz="8" w:space="0" w:color="448A99"/>
            </w:tcBorders>
            <w:shd w:val="clear" w:color="000000" w:fill="448A99"/>
            <w:vAlign w:val="center"/>
            <w:hideMark/>
          </w:tcPr>
          <w:p w:rsidR="00F13CD2" w:rsidRPr="00461F1B" w:rsidRDefault="00F13CD2" w:rsidP="006F7DE9">
            <w:pPr>
              <w:jc w:val="center"/>
              <w:rPr>
                <w:b/>
                <w:bCs/>
                <w:color w:val="FFFFFF"/>
                <w:sz w:val="19"/>
                <w:szCs w:val="19"/>
              </w:rPr>
            </w:pPr>
            <w:r w:rsidRPr="00461F1B">
              <w:rPr>
                <w:b/>
                <w:bCs/>
                <w:color w:val="FFFFFF"/>
                <w:sz w:val="19"/>
                <w:szCs w:val="19"/>
              </w:rPr>
              <w:t>Residential</w:t>
            </w:r>
          </w:p>
        </w:tc>
        <w:tc>
          <w:tcPr>
            <w:tcW w:w="1501" w:type="dxa"/>
            <w:tcBorders>
              <w:top w:val="single" w:sz="2" w:space="0" w:color="448A99"/>
              <w:left w:val="nil"/>
              <w:bottom w:val="single" w:sz="2" w:space="0" w:color="448A99"/>
              <w:right w:val="single" w:sz="8" w:space="0" w:color="448A99"/>
            </w:tcBorders>
            <w:shd w:val="clear" w:color="000000" w:fill="448A99"/>
            <w:vAlign w:val="center"/>
            <w:hideMark/>
          </w:tcPr>
          <w:p w:rsidR="00F13CD2" w:rsidRPr="00461F1B" w:rsidRDefault="00F13CD2" w:rsidP="0097650B">
            <w:pPr>
              <w:jc w:val="center"/>
              <w:rPr>
                <w:b/>
                <w:bCs/>
                <w:color w:val="FFFFFF"/>
                <w:sz w:val="19"/>
                <w:szCs w:val="19"/>
              </w:rPr>
            </w:pPr>
            <w:r w:rsidRPr="00461F1B">
              <w:rPr>
                <w:b/>
                <w:bCs/>
                <w:color w:val="FFFFFF"/>
                <w:sz w:val="19"/>
                <w:szCs w:val="19"/>
              </w:rPr>
              <w:t>C</w:t>
            </w:r>
            <w:r w:rsidR="0097650B" w:rsidRPr="00461F1B">
              <w:rPr>
                <w:b/>
                <w:bCs/>
                <w:color w:val="FFFFFF"/>
                <w:sz w:val="19"/>
                <w:szCs w:val="19"/>
              </w:rPr>
              <w:t>/</w:t>
            </w:r>
            <w:r w:rsidRPr="00461F1B">
              <w:rPr>
                <w:b/>
                <w:bCs/>
                <w:color w:val="FFFFFF"/>
                <w:sz w:val="19"/>
                <w:szCs w:val="19"/>
              </w:rPr>
              <w:t>I</w:t>
            </w:r>
          </w:p>
        </w:tc>
        <w:tc>
          <w:tcPr>
            <w:tcW w:w="1502" w:type="dxa"/>
            <w:tcBorders>
              <w:top w:val="single" w:sz="2" w:space="0" w:color="448A99"/>
              <w:left w:val="nil"/>
              <w:bottom w:val="single" w:sz="2" w:space="0" w:color="448A99"/>
              <w:right w:val="single" w:sz="8" w:space="0" w:color="448A99"/>
            </w:tcBorders>
            <w:shd w:val="clear" w:color="000000" w:fill="448A99"/>
            <w:vAlign w:val="center"/>
            <w:hideMark/>
          </w:tcPr>
          <w:p w:rsidR="00F13CD2" w:rsidRPr="00461F1B" w:rsidRDefault="00F13CD2" w:rsidP="006F7DE9">
            <w:pPr>
              <w:jc w:val="center"/>
              <w:rPr>
                <w:b/>
                <w:bCs/>
                <w:color w:val="FFFFFF"/>
                <w:sz w:val="19"/>
                <w:szCs w:val="19"/>
              </w:rPr>
            </w:pPr>
            <w:r w:rsidRPr="00461F1B">
              <w:rPr>
                <w:b/>
                <w:bCs/>
                <w:color w:val="FFFFFF"/>
                <w:sz w:val="19"/>
                <w:szCs w:val="19"/>
              </w:rPr>
              <w:t>GNI</w:t>
            </w:r>
          </w:p>
        </w:tc>
        <w:tc>
          <w:tcPr>
            <w:tcW w:w="1501" w:type="dxa"/>
            <w:tcBorders>
              <w:top w:val="single" w:sz="2" w:space="0" w:color="448A99"/>
              <w:left w:val="nil"/>
              <w:bottom w:val="single" w:sz="2" w:space="0" w:color="448A99"/>
              <w:right w:val="single" w:sz="8" w:space="0" w:color="448A99"/>
            </w:tcBorders>
            <w:shd w:val="clear" w:color="000000" w:fill="448A99"/>
            <w:vAlign w:val="center"/>
            <w:hideMark/>
          </w:tcPr>
          <w:p w:rsidR="00F13CD2" w:rsidRPr="00461F1B" w:rsidRDefault="00F13CD2" w:rsidP="006F7DE9">
            <w:pPr>
              <w:jc w:val="center"/>
              <w:rPr>
                <w:b/>
                <w:bCs/>
                <w:color w:val="FFFFFF"/>
                <w:sz w:val="19"/>
                <w:szCs w:val="19"/>
              </w:rPr>
            </w:pPr>
            <w:r w:rsidRPr="00461F1B">
              <w:rPr>
                <w:b/>
                <w:bCs/>
                <w:color w:val="FFFFFF"/>
                <w:sz w:val="19"/>
                <w:szCs w:val="19"/>
              </w:rPr>
              <w:t>Low-Income</w:t>
            </w:r>
          </w:p>
        </w:tc>
        <w:tc>
          <w:tcPr>
            <w:tcW w:w="1502" w:type="dxa"/>
            <w:tcBorders>
              <w:top w:val="single" w:sz="2" w:space="0" w:color="448A99"/>
              <w:left w:val="single" w:sz="8" w:space="0" w:color="448A99"/>
              <w:bottom w:val="single" w:sz="2" w:space="0" w:color="448A99"/>
              <w:right w:val="nil"/>
            </w:tcBorders>
            <w:shd w:val="clear" w:color="000000" w:fill="448A99"/>
            <w:vAlign w:val="center"/>
            <w:hideMark/>
          </w:tcPr>
          <w:p w:rsidR="00F13CD2" w:rsidRPr="00461F1B" w:rsidRDefault="00F13CD2" w:rsidP="006F7DE9">
            <w:pPr>
              <w:jc w:val="center"/>
              <w:rPr>
                <w:b/>
                <w:bCs/>
                <w:color w:val="FFFFFF"/>
                <w:sz w:val="19"/>
                <w:szCs w:val="19"/>
              </w:rPr>
            </w:pPr>
            <w:r w:rsidRPr="00461F1B">
              <w:rPr>
                <w:b/>
                <w:bCs/>
                <w:color w:val="FFFFFF"/>
                <w:sz w:val="19"/>
                <w:szCs w:val="19"/>
              </w:rPr>
              <w:t>Total</w:t>
            </w:r>
          </w:p>
        </w:tc>
      </w:tr>
      <w:tr w:rsidR="00A874AC" w:rsidRPr="00461F1B" w:rsidTr="00705585">
        <w:trPr>
          <w:trHeight w:val="360"/>
        </w:trPr>
        <w:tc>
          <w:tcPr>
            <w:tcW w:w="1843" w:type="dxa"/>
            <w:tcBorders>
              <w:top w:val="single" w:sz="2" w:space="0" w:color="448A99"/>
              <w:left w:val="single" w:sz="8" w:space="0" w:color="448A99"/>
              <w:bottom w:val="single" w:sz="8" w:space="0" w:color="448A99"/>
              <w:right w:val="nil"/>
            </w:tcBorders>
            <w:shd w:val="clear" w:color="000000" w:fill="D2EAF1"/>
            <w:vAlign w:val="center"/>
            <w:hideMark/>
          </w:tcPr>
          <w:p w:rsidR="00871F8D" w:rsidRPr="00461F1B" w:rsidRDefault="00871F8D" w:rsidP="00871F8D">
            <w:pPr>
              <w:rPr>
                <w:b/>
                <w:bCs/>
                <w:color w:val="000000"/>
                <w:sz w:val="19"/>
                <w:szCs w:val="19"/>
              </w:rPr>
            </w:pPr>
            <w:r w:rsidRPr="00461F1B">
              <w:rPr>
                <w:b/>
                <w:bCs/>
                <w:color w:val="000000"/>
                <w:sz w:val="19"/>
                <w:szCs w:val="19"/>
              </w:rPr>
              <w:t>PY5</w:t>
            </w:r>
          </w:p>
        </w:tc>
        <w:tc>
          <w:tcPr>
            <w:tcW w:w="1501" w:type="dxa"/>
            <w:tcBorders>
              <w:top w:val="single" w:sz="2" w:space="0" w:color="448A99"/>
              <w:left w:val="single" w:sz="8" w:space="0" w:color="448A99"/>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79.00</w:t>
            </w:r>
          </w:p>
        </w:tc>
        <w:tc>
          <w:tcPr>
            <w:tcW w:w="1501" w:type="dxa"/>
            <w:tcBorders>
              <w:top w:val="single" w:sz="2" w:space="0" w:color="448A99"/>
              <w:left w:val="nil"/>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19.40</w:t>
            </w:r>
          </w:p>
        </w:tc>
        <w:tc>
          <w:tcPr>
            <w:tcW w:w="1502" w:type="dxa"/>
            <w:tcBorders>
              <w:top w:val="single" w:sz="2" w:space="0" w:color="448A99"/>
              <w:left w:val="nil"/>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9.50</w:t>
            </w:r>
          </w:p>
        </w:tc>
        <w:tc>
          <w:tcPr>
            <w:tcW w:w="1501" w:type="dxa"/>
            <w:tcBorders>
              <w:top w:val="single" w:sz="2" w:space="0" w:color="448A99"/>
              <w:left w:val="nil"/>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2.20</w:t>
            </w:r>
          </w:p>
        </w:tc>
        <w:tc>
          <w:tcPr>
            <w:tcW w:w="1502" w:type="dxa"/>
            <w:tcBorders>
              <w:top w:val="single" w:sz="2" w:space="0" w:color="448A99"/>
              <w:left w:val="nil"/>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110.10</w:t>
            </w:r>
          </w:p>
        </w:tc>
      </w:tr>
      <w:tr w:rsidR="00A874AC" w:rsidRPr="00461F1B" w:rsidTr="00705585">
        <w:trPr>
          <w:trHeight w:val="360"/>
        </w:trPr>
        <w:tc>
          <w:tcPr>
            <w:tcW w:w="1843" w:type="dxa"/>
            <w:tcBorders>
              <w:top w:val="nil"/>
              <w:left w:val="single" w:sz="8" w:space="0" w:color="448A99"/>
              <w:bottom w:val="single" w:sz="8" w:space="0" w:color="448A99"/>
              <w:right w:val="nil"/>
            </w:tcBorders>
            <w:shd w:val="clear" w:color="000000" w:fill="FFFFFF"/>
            <w:vAlign w:val="center"/>
            <w:hideMark/>
          </w:tcPr>
          <w:p w:rsidR="00871F8D" w:rsidRPr="00461F1B" w:rsidRDefault="00871F8D" w:rsidP="00871F8D">
            <w:pPr>
              <w:rPr>
                <w:b/>
                <w:bCs/>
                <w:color w:val="000000"/>
                <w:sz w:val="19"/>
                <w:szCs w:val="19"/>
              </w:rPr>
            </w:pPr>
            <w:r w:rsidRPr="00461F1B">
              <w:rPr>
                <w:b/>
                <w:bCs/>
                <w:color w:val="000000"/>
                <w:sz w:val="19"/>
                <w:szCs w:val="19"/>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871F8D" w:rsidRPr="00461F1B" w:rsidRDefault="00871F8D" w:rsidP="00871F8D">
            <w:pPr>
              <w:jc w:val="center"/>
              <w:rPr>
                <w:color w:val="000000"/>
                <w:sz w:val="19"/>
                <w:szCs w:val="19"/>
              </w:rPr>
            </w:pPr>
            <w:r w:rsidRPr="00461F1B">
              <w:rPr>
                <w:color w:val="000000"/>
                <w:sz w:val="19"/>
                <w:szCs w:val="19"/>
              </w:rPr>
              <w:t>94.15</w:t>
            </w:r>
          </w:p>
        </w:tc>
        <w:tc>
          <w:tcPr>
            <w:tcW w:w="1501" w:type="dxa"/>
            <w:tcBorders>
              <w:top w:val="nil"/>
              <w:left w:val="nil"/>
              <w:bottom w:val="single" w:sz="8" w:space="0" w:color="448A99"/>
              <w:right w:val="single" w:sz="8" w:space="0" w:color="448A99"/>
            </w:tcBorders>
            <w:shd w:val="clear" w:color="auto" w:fill="auto"/>
            <w:vAlign w:val="center"/>
          </w:tcPr>
          <w:p w:rsidR="00871F8D" w:rsidRPr="00461F1B" w:rsidRDefault="00871F8D" w:rsidP="00871F8D">
            <w:pPr>
              <w:jc w:val="center"/>
              <w:rPr>
                <w:color w:val="000000"/>
                <w:sz w:val="19"/>
                <w:szCs w:val="19"/>
              </w:rPr>
            </w:pPr>
            <w:r w:rsidRPr="00461F1B">
              <w:rPr>
                <w:color w:val="000000"/>
                <w:sz w:val="19"/>
                <w:szCs w:val="19"/>
              </w:rPr>
              <w:t>38.10</w:t>
            </w:r>
          </w:p>
        </w:tc>
        <w:tc>
          <w:tcPr>
            <w:tcW w:w="1502" w:type="dxa"/>
            <w:tcBorders>
              <w:top w:val="nil"/>
              <w:left w:val="nil"/>
              <w:bottom w:val="single" w:sz="8" w:space="0" w:color="448A99"/>
              <w:right w:val="single" w:sz="8" w:space="0" w:color="448A99"/>
            </w:tcBorders>
            <w:shd w:val="clear" w:color="000000" w:fill="FFFFFF"/>
            <w:vAlign w:val="center"/>
          </w:tcPr>
          <w:p w:rsidR="00871F8D" w:rsidRPr="00461F1B" w:rsidRDefault="00871F8D" w:rsidP="00871F8D">
            <w:pPr>
              <w:jc w:val="center"/>
              <w:rPr>
                <w:color w:val="000000"/>
                <w:sz w:val="19"/>
                <w:szCs w:val="19"/>
              </w:rPr>
            </w:pPr>
            <w:r w:rsidRPr="00461F1B">
              <w:rPr>
                <w:color w:val="000000"/>
                <w:sz w:val="19"/>
                <w:szCs w:val="19"/>
              </w:rPr>
              <w:t>12.70</w:t>
            </w:r>
          </w:p>
        </w:tc>
        <w:tc>
          <w:tcPr>
            <w:tcW w:w="1501" w:type="dxa"/>
            <w:tcBorders>
              <w:top w:val="nil"/>
              <w:left w:val="nil"/>
              <w:bottom w:val="single" w:sz="8" w:space="0" w:color="448A99"/>
              <w:right w:val="single" w:sz="8" w:space="0" w:color="448A99"/>
            </w:tcBorders>
            <w:shd w:val="clear" w:color="000000" w:fill="FFFFFF"/>
            <w:vAlign w:val="center"/>
          </w:tcPr>
          <w:p w:rsidR="00871F8D" w:rsidRPr="00461F1B" w:rsidRDefault="00871F8D" w:rsidP="00871F8D">
            <w:pPr>
              <w:jc w:val="center"/>
              <w:rPr>
                <w:color w:val="000000"/>
                <w:sz w:val="19"/>
                <w:szCs w:val="19"/>
              </w:rPr>
            </w:pPr>
            <w:r w:rsidRPr="00461F1B">
              <w:rPr>
                <w:color w:val="000000"/>
                <w:sz w:val="19"/>
                <w:szCs w:val="19"/>
              </w:rPr>
              <w:t>4.70</w:t>
            </w:r>
          </w:p>
        </w:tc>
        <w:tc>
          <w:tcPr>
            <w:tcW w:w="1502" w:type="dxa"/>
            <w:tcBorders>
              <w:top w:val="nil"/>
              <w:left w:val="nil"/>
              <w:bottom w:val="single" w:sz="8" w:space="0" w:color="448A99"/>
              <w:right w:val="single" w:sz="8" w:space="0" w:color="448A99"/>
            </w:tcBorders>
            <w:shd w:val="clear" w:color="auto" w:fill="auto"/>
            <w:vAlign w:val="center"/>
          </w:tcPr>
          <w:p w:rsidR="00871F8D" w:rsidRPr="00461F1B" w:rsidRDefault="00871F8D" w:rsidP="00871F8D">
            <w:pPr>
              <w:jc w:val="center"/>
              <w:rPr>
                <w:color w:val="000000"/>
                <w:sz w:val="19"/>
                <w:szCs w:val="19"/>
              </w:rPr>
            </w:pPr>
            <w:r w:rsidRPr="00461F1B">
              <w:rPr>
                <w:color w:val="000000"/>
                <w:sz w:val="19"/>
                <w:szCs w:val="19"/>
              </w:rPr>
              <w:t>149.65</w:t>
            </w:r>
          </w:p>
        </w:tc>
      </w:tr>
      <w:tr w:rsidR="00A874AC" w:rsidRPr="00461F1B" w:rsidTr="00705585">
        <w:trPr>
          <w:trHeight w:val="360"/>
        </w:trPr>
        <w:tc>
          <w:tcPr>
            <w:tcW w:w="1843" w:type="dxa"/>
            <w:tcBorders>
              <w:top w:val="nil"/>
              <w:left w:val="single" w:sz="8" w:space="0" w:color="448A99"/>
              <w:bottom w:val="single" w:sz="8" w:space="0" w:color="448A99"/>
              <w:right w:val="nil"/>
            </w:tcBorders>
            <w:shd w:val="clear" w:color="000000" w:fill="D2EAF1"/>
            <w:vAlign w:val="center"/>
            <w:hideMark/>
          </w:tcPr>
          <w:p w:rsidR="00871F8D" w:rsidRPr="00461F1B" w:rsidRDefault="00871F8D" w:rsidP="00871F8D">
            <w:pPr>
              <w:rPr>
                <w:b/>
                <w:bCs/>
                <w:color w:val="000000"/>
                <w:sz w:val="19"/>
                <w:szCs w:val="19"/>
              </w:rPr>
            </w:pPr>
            <w:r w:rsidRPr="00461F1B">
              <w:rPr>
                <w:b/>
                <w:bCs/>
                <w:color w:val="000000"/>
                <w:sz w:val="19"/>
                <w:szCs w:val="19"/>
              </w:rPr>
              <w:t>PY7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106.00</w:t>
            </w:r>
          </w:p>
        </w:tc>
        <w:tc>
          <w:tcPr>
            <w:tcW w:w="1501" w:type="dxa"/>
            <w:tcBorders>
              <w:top w:val="nil"/>
              <w:left w:val="nil"/>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69.20</w:t>
            </w:r>
          </w:p>
        </w:tc>
        <w:tc>
          <w:tcPr>
            <w:tcW w:w="1502" w:type="dxa"/>
            <w:tcBorders>
              <w:top w:val="nil"/>
              <w:left w:val="nil"/>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38.00</w:t>
            </w:r>
          </w:p>
        </w:tc>
        <w:tc>
          <w:tcPr>
            <w:tcW w:w="1501" w:type="dxa"/>
            <w:tcBorders>
              <w:top w:val="nil"/>
              <w:left w:val="nil"/>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11.50</w:t>
            </w:r>
          </w:p>
        </w:tc>
        <w:tc>
          <w:tcPr>
            <w:tcW w:w="1502" w:type="dxa"/>
            <w:tcBorders>
              <w:top w:val="nil"/>
              <w:left w:val="nil"/>
              <w:bottom w:val="single" w:sz="8" w:space="0" w:color="448A99"/>
              <w:right w:val="single" w:sz="8" w:space="0" w:color="448A99"/>
            </w:tcBorders>
            <w:shd w:val="clear" w:color="000000" w:fill="D2EAF1"/>
            <w:vAlign w:val="center"/>
          </w:tcPr>
          <w:p w:rsidR="00871F8D" w:rsidRPr="00461F1B" w:rsidRDefault="00871F8D" w:rsidP="00871F8D">
            <w:pPr>
              <w:jc w:val="center"/>
              <w:rPr>
                <w:color w:val="000000"/>
                <w:sz w:val="19"/>
                <w:szCs w:val="19"/>
              </w:rPr>
            </w:pPr>
            <w:r w:rsidRPr="00461F1B">
              <w:rPr>
                <w:color w:val="000000"/>
                <w:sz w:val="19"/>
                <w:szCs w:val="19"/>
              </w:rPr>
              <w:t>224.70</w:t>
            </w:r>
          </w:p>
        </w:tc>
      </w:tr>
    </w:tbl>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ED4EA3" w:rsidRDefault="00ED4EA3" w:rsidP="00F13CD2"/>
    <w:p w:rsidR="0078313D" w:rsidRDefault="0078313D" w:rsidP="00F13CD2"/>
    <w:p w:rsidR="00F13CD2" w:rsidRDefault="00F13CD2" w:rsidP="004837FA">
      <w:pPr>
        <w:pStyle w:val="Caption"/>
      </w:pPr>
      <w:bookmarkStart w:id="303" w:name="_Ref472350705"/>
      <w:bookmarkStart w:id="304" w:name="_Toc472472237"/>
      <w:bookmarkStart w:id="305" w:name="_Toc488741816"/>
      <w:r>
        <w:t xml:space="preserve">Figure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7</w:t>
      </w:r>
      <w:r w:rsidR="007973A4">
        <w:rPr>
          <w:noProof/>
        </w:rPr>
        <w:fldChar w:fldCharType="end"/>
      </w:r>
      <w:bookmarkEnd w:id="303"/>
      <w:r>
        <w:t xml:space="preserve">: </w:t>
      </w:r>
      <w:r w:rsidR="00871F8D">
        <w:t>PECO</w:t>
      </w:r>
      <w:r w:rsidRPr="008E4974">
        <w:t xml:space="preserve"> Phase II </w:t>
      </w:r>
      <w:r w:rsidR="000206F5">
        <w:t>Cumulative</w:t>
      </w:r>
      <w:r w:rsidRPr="008E4974">
        <w:t xml:space="preserve"> Demand Savings, by Sector</w:t>
      </w:r>
      <w:bookmarkEnd w:id="304"/>
      <w:bookmarkEnd w:id="305"/>
    </w:p>
    <w:p w:rsidR="001C504E" w:rsidRPr="001C504E" w:rsidRDefault="00ED4EA3" w:rsidP="001C504E">
      <w:r>
        <w:rPr>
          <w:noProof/>
        </w:rPr>
        <w:drawing>
          <wp:inline distT="0" distB="0" distL="0" distR="0" wp14:anchorId="421DE791" wp14:editId="10498D14">
            <wp:extent cx="5912768" cy="3450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9744" cy="3454937"/>
                    </a:xfrm>
                    <a:prstGeom prst="rect">
                      <a:avLst/>
                    </a:prstGeom>
                    <a:noFill/>
                  </pic:spPr>
                </pic:pic>
              </a:graphicData>
            </a:graphic>
          </wp:inline>
        </w:drawing>
      </w:r>
    </w:p>
    <w:p w:rsidR="00EC51EA" w:rsidRPr="00EC51EA" w:rsidRDefault="00EC51EA" w:rsidP="00EC51EA"/>
    <w:p w:rsidR="00DD6B4C" w:rsidRDefault="000759CA" w:rsidP="00E673F0">
      <w:pPr>
        <w:pStyle w:val="Heading3"/>
      </w:pPr>
      <w:bookmarkStart w:id="306" w:name="_Toc488765805"/>
      <w:r>
        <w:t>PPL</w:t>
      </w:r>
      <w:bookmarkEnd w:id="306"/>
    </w:p>
    <w:p w:rsidR="00EC51EA" w:rsidRDefault="00E1723F" w:rsidP="00EC51EA">
      <w:r>
        <w:fldChar w:fldCharType="begin"/>
      </w:r>
      <w:r>
        <w:instrText xml:space="preserve"> REF _Ref472350647 \h </w:instrText>
      </w:r>
      <w:r>
        <w:fldChar w:fldCharType="separate"/>
      </w:r>
      <w:r w:rsidR="00037CB4">
        <w:t xml:space="preserve">Table </w:t>
      </w:r>
      <w:r w:rsidR="00037CB4">
        <w:rPr>
          <w:noProof/>
        </w:rPr>
        <w:t>3</w:t>
      </w:r>
      <w:r w:rsidR="00037CB4">
        <w:noBreakHyphen/>
      </w:r>
      <w:r w:rsidR="00037CB4">
        <w:rPr>
          <w:noProof/>
        </w:rPr>
        <w:t>9</w:t>
      </w:r>
      <w:r>
        <w:fldChar w:fldCharType="end"/>
      </w:r>
      <w:r>
        <w:t xml:space="preserve"> </w:t>
      </w:r>
      <w:r w:rsidR="00F13CD2" w:rsidRPr="00EC51EA">
        <w:t xml:space="preserve">presents </w:t>
      </w:r>
      <w:r w:rsidR="00871F8D" w:rsidRPr="00EC51EA">
        <w:t>PPL</w:t>
      </w:r>
      <w:r w:rsidR="00F13CD2" w:rsidRPr="00EC51EA">
        <w:t>’s cumulative demand savings, by sector. The C</w:t>
      </w:r>
      <w:r w:rsidR="0097650B" w:rsidRPr="00EC51EA">
        <w:t>/</w:t>
      </w:r>
      <w:r w:rsidR="00F13CD2" w:rsidRPr="00EC51EA">
        <w:t xml:space="preserve">I sector accounted for </w:t>
      </w:r>
      <w:r w:rsidR="00F6102E" w:rsidRPr="00EC51EA">
        <w:t>more than 50</w:t>
      </w:r>
      <w:r w:rsidR="00F13CD2" w:rsidRPr="00EC51EA">
        <w:t xml:space="preserve">% of the total demand savings in Phase II. </w:t>
      </w:r>
    </w:p>
    <w:p w:rsidR="00E1723F" w:rsidRDefault="00E1723F" w:rsidP="00EC51EA"/>
    <w:p w:rsidR="00F13CD2" w:rsidRDefault="00E1723F" w:rsidP="00EC51EA">
      <w:r>
        <w:fldChar w:fldCharType="begin"/>
      </w:r>
      <w:r>
        <w:instrText xml:space="preserve"> REF _Ref472350713 \h </w:instrText>
      </w:r>
      <w:r>
        <w:fldChar w:fldCharType="separate"/>
      </w:r>
      <w:r w:rsidR="00037CB4">
        <w:t xml:space="preserve">Figure </w:t>
      </w:r>
      <w:r w:rsidR="00037CB4">
        <w:rPr>
          <w:noProof/>
        </w:rPr>
        <w:t>3</w:t>
      </w:r>
      <w:r w:rsidR="00037CB4">
        <w:noBreakHyphen/>
      </w:r>
      <w:r w:rsidR="00037CB4">
        <w:rPr>
          <w:noProof/>
        </w:rPr>
        <w:t>8</w:t>
      </w:r>
      <w:r>
        <w:fldChar w:fldCharType="end"/>
      </w:r>
      <w:r w:rsidR="00F13CD2">
        <w:t xml:space="preserve"> provides a graphical illustration of these savings.</w:t>
      </w:r>
    </w:p>
    <w:p w:rsidR="00F13CD2" w:rsidRDefault="00F13CD2" w:rsidP="00F13CD2"/>
    <w:p w:rsidR="00F13CD2" w:rsidRDefault="00F13CD2" w:rsidP="004837FA">
      <w:pPr>
        <w:pStyle w:val="Caption"/>
      </w:pPr>
      <w:bookmarkStart w:id="307" w:name="_Ref472350647"/>
      <w:bookmarkStart w:id="308" w:name="_Toc472472184"/>
      <w:bookmarkStart w:id="309" w:name="_Toc488741762"/>
      <w:r>
        <w:t xml:space="preserve">Table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9</w:t>
      </w:r>
      <w:r w:rsidR="007973A4">
        <w:rPr>
          <w:noProof/>
        </w:rPr>
        <w:fldChar w:fldCharType="end"/>
      </w:r>
      <w:bookmarkEnd w:id="307"/>
      <w:r>
        <w:t xml:space="preserve">: </w:t>
      </w:r>
      <w:r w:rsidR="00871F8D">
        <w:t>PPL</w:t>
      </w:r>
      <w:r>
        <w:t xml:space="preserve"> Phase II </w:t>
      </w:r>
      <w:r w:rsidR="000206F5">
        <w:t>Cumulative</w:t>
      </w:r>
      <w:r>
        <w:t xml:space="preserve"> Demand Savings, by Sector</w:t>
      </w:r>
      <w:bookmarkEnd w:id="308"/>
      <w:bookmarkEnd w:id="309"/>
    </w:p>
    <w:tbl>
      <w:tblPr>
        <w:tblW w:w="9350" w:type="dxa"/>
        <w:tblLook w:val="04A0" w:firstRow="1" w:lastRow="0" w:firstColumn="1" w:lastColumn="0" w:noHBand="0" w:noVBand="1"/>
      </w:tblPr>
      <w:tblGrid>
        <w:gridCol w:w="1843"/>
        <w:gridCol w:w="1501"/>
        <w:gridCol w:w="1501"/>
        <w:gridCol w:w="1502"/>
        <w:gridCol w:w="1501"/>
        <w:gridCol w:w="1502"/>
      </w:tblGrid>
      <w:tr w:rsidR="00A874AC" w:rsidRPr="00461F1B" w:rsidTr="00705585">
        <w:trPr>
          <w:trHeight w:val="252"/>
        </w:trPr>
        <w:tc>
          <w:tcPr>
            <w:tcW w:w="1843" w:type="dxa"/>
            <w:tcBorders>
              <w:top w:val="single" w:sz="2" w:space="0" w:color="448A99"/>
              <w:left w:val="single" w:sz="8" w:space="0" w:color="448A99"/>
              <w:bottom w:val="single" w:sz="8" w:space="0" w:color="448A99"/>
              <w:right w:val="nil"/>
            </w:tcBorders>
            <w:shd w:val="clear" w:color="000000" w:fill="448A99"/>
            <w:vAlign w:val="center"/>
            <w:hideMark/>
          </w:tcPr>
          <w:p w:rsidR="00F13CD2" w:rsidRPr="00461F1B" w:rsidRDefault="00F13CD2" w:rsidP="006F7DE9">
            <w:pPr>
              <w:rPr>
                <w:b/>
                <w:bCs/>
                <w:color w:val="FFFFFF"/>
                <w:sz w:val="19"/>
                <w:szCs w:val="19"/>
              </w:rPr>
            </w:pPr>
            <w:r w:rsidRPr="00461F1B">
              <w:rPr>
                <w:b/>
                <w:bCs/>
                <w:color w:val="FFFFFF"/>
                <w:sz w:val="19"/>
                <w:szCs w:val="19"/>
              </w:rPr>
              <w:t>Statewide</w:t>
            </w:r>
          </w:p>
        </w:tc>
        <w:tc>
          <w:tcPr>
            <w:tcW w:w="1501" w:type="dxa"/>
            <w:tcBorders>
              <w:top w:val="single" w:sz="2" w:space="0" w:color="448A99"/>
              <w:left w:val="single" w:sz="8" w:space="0" w:color="448A99"/>
              <w:bottom w:val="single" w:sz="8" w:space="0" w:color="448A99"/>
              <w:right w:val="single" w:sz="8" w:space="0" w:color="448A99"/>
            </w:tcBorders>
            <w:shd w:val="clear" w:color="000000" w:fill="448A99"/>
            <w:vAlign w:val="center"/>
            <w:hideMark/>
          </w:tcPr>
          <w:p w:rsidR="00F13CD2" w:rsidRPr="00461F1B" w:rsidRDefault="00F13CD2" w:rsidP="006F7DE9">
            <w:pPr>
              <w:jc w:val="center"/>
              <w:rPr>
                <w:b/>
                <w:bCs/>
                <w:color w:val="FFFFFF"/>
                <w:sz w:val="19"/>
                <w:szCs w:val="19"/>
              </w:rPr>
            </w:pPr>
            <w:r w:rsidRPr="00461F1B">
              <w:rPr>
                <w:b/>
                <w:bCs/>
                <w:color w:val="FFFFFF"/>
                <w:sz w:val="19"/>
                <w:szCs w:val="19"/>
              </w:rPr>
              <w:t>Residential</w:t>
            </w:r>
          </w:p>
        </w:tc>
        <w:tc>
          <w:tcPr>
            <w:tcW w:w="1501" w:type="dxa"/>
            <w:tcBorders>
              <w:top w:val="single" w:sz="2" w:space="0" w:color="448A99"/>
              <w:left w:val="nil"/>
              <w:bottom w:val="single" w:sz="8" w:space="0" w:color="448A99"/>
              <w:right w:val="single" w:sz="8" w:space="0" w:color="448A99"/>
            </w:tcBorders>
            <w:shd w:val="clear" w:color="000000" w:fill="448A99"/>
            <w:vAlign w:val="center"/>
            <w:hideMark/>
          </w:tcPr>
          <w:p w:rsidR="00F13CD2" w:rsidRPr="00461F1B" w:rsidRDefault="00F13CD2" w:rsidP="0097650B">
            <w:pPr>
              <w:jc w:val="center"/>
              <w:rPr>
                <w:b/>
                <w:bCs/>
                <w:color w:val="FFFFFF"/>
                <w:sz w:val="19"/>
                <w:szCs w:val="19"/>
              </w:rPr>
            </w:pPr>
            <w:r w:rsidRPr="00461F1B">
              <w:rPr>
                <w:b/>
                <w:bCs/>
                <w:color w:val="FFFFFF"/>
                <w:sz w:val="19"/>
                <w:szCs w:val="19"/>
              </w:rPr>
              <w:t>C</w:t>
            </w:r>
            <w:r w:rsidR="0097650B" w:rsidRPr="00461F1B">
              <w:rPr>
                <w:b/>
                <w:bCs/>
                <w:color w:val="FFFFFF"/>
                <w:sz w:val="19"/>
                <w:szCs w:val="19"/>
              </w:rPr>
              <w:t>/</w:t>
            </w:r>
            <w:r w:rsidRPr="00461F1B">
              <w:rPr>
                <w:b/>
                <w:bCs/>
                <w:color w:val="FFFFFF"/>
                <w:sz w:val="19"/>
                <w:szCs w:val="19"/>
              </w:rPr>
              <w:t>I</w:t>
            </w:r>
          </w:p>
        </w:tc>
        <w:tc>
          <w:tcPr>
            <w:tcW w:w="1502" w:type="dxa"/>
            <w:tcBorders>
              <w:top w:val="single" w:sz="2" w:space="0" w:color="448A99"/>
              <w:left w:val="nil"/>
              <w:bottom w:val="single" w:sz="8" w:space="0" w:color="448A99"/>
              <w:right w:val="single" w:sz="8" w:space="0" w:color="448A99"/>
            </w:tcBorders>
            <w:shd w:val="clear" w:color="000000" w:fill="448A99"/>
            <w:vAlign w:val="center"/>
            <w:hideMark/>
          </w:tcPr>
          <w:p w:rsidR="00F13CD2" w:rsidRPr="00461F1B" w:rsidRDefault="00F13CD2" w:rsidP="006F7DE9">
            <w:pPr>
              <w:jc w:val="center"/>
              <w:rPr>
                <w:b/>
                <w:bCs/>
                <w:color w:val="FFFFFF"/>
                <w:sz w:val="19"/>
                <w:szCs w:val="19"/>
              </w:rPr>
            </w:pPr>
            <w:r w:rsidRPr="00461F1B">
              <w:rPr>
                <w:b/>
                <w:bCs/>
                <w:color w:val="FFFFFF"/>
                <w:sz w:val="19"/>
                <w:szCs w:val="19"/>
              </w:rPr>
              <w:t>GNI</w:t>
            </w:r>
          </w:p>
        </w:tc>
        <w:tc>
          <w:tcPr>
            <w:tcW w:w="1501" w:type="dxa"/>
            <w:tcBorders>
              <w:top w:val="single" w:sz="2" w:space="0" w:color="448A99"/>
              <w:left w:val="nil"/>
              <w:bottom w:val="single" w:sz="8" w:space="0" w:color="448A99"/>
              <w:right w:val="single" w:sz="8" w:space="0" w:color="448A99"/>
            </w:tcBorders>
            <w:shd w:val="clear" w:color="000000" w:fill="448A99"/>
            <w:vAlign w:val="center"/>
            <w:hideMark/>
          </w:tcPr>
          <w:p w:rsidR="00F13CD2" w:rsidRPr="00461F1B" w:rsidRDefault="00F13CD2" w:rsidP="006F7DE9">
            <w:pPr>
              <w:jc w:val="center"/>
              <w:rPr>
                <w:b/>
                <w:bCs/>
                <w:color w:val="FFFFFF"/>
                <w:sz w:val="19"/>
                <w:szCs w:val="19"/>
              </w:rPr>
            </w:pPr>
            <w:r w:rsidRPr="00461F1B">
              <w:rPr>
                <w:b/>
                <w:bCs/>
                <w:color w:val="FFFFFF"/>
                <w:sz w:val="19"/>
                <w:szCs w:val="19"/>
              </w:rPr>
              <w:t>Low-Income</w:t>
            </w:r>
          </w:p>
        </w:tc>
        <w:tc>
          <w:tcPr>
            <w:tcW w:w="1502" w:type="dxa"/>
            <w:tcBorders>
              <w:top w:val="single" w:sz="2" w:space="0" w:color="448A99"/>
              <w:left w:val="single" w:sz="8" w:space="0" w:color="448A99"/>
              <w:bottom w:val="single" w:sz="8" w:space="0" w:color="448A99"/>
              <w:right w:val="nil"/>
            </w:tcBorders>
            <w:shd w:val="clear" w:color="000000" w:fill="448A99"/>
            <w:vAlign w:val="center"/>
            <w:hideMark/>
          </w:tcPr>
          <w:p w:rsidR="00F13CD2" w:rsidRPr="00461F1B" w:rsidRDefault="00F13CD2" w:rsidP="006F7DE9">
            <w:pPr>
              <w:jc w:val="center"/>
              <w:rPr>
                <w:b/>
                <w:bCs/>
                <w:color w:val="FFFFFF"/>
                <w:sz w:val="19"/>
                <w:szCs w:val="19"/>
              </w:rPr>
            </w:pPr>
            <w:r w:rsidRPr="00461F1B">
              <w:rPr>
                <w:b/>
                <w:bCs/>
                <w:color w:val="FFFFFF"/>
                <w:sz w:val="19"/>
                <w:szCs w:val="19"/>
              </w:rPr>
              <w:t>Total</w:t>
            </w:r>
          </w:p>
        </w:tc>
      </w:tr>
      <w:tr w:rsidR="00A874AC" w:rsidRPr="00461F1B" w:rsidTr="00705585">
        <w:trPr>
          <w:trHeight w:val="360"/>
        </w:trPr>
        <w:tc>
          <w:tcPr>
            <w:tcW w:w="1843" w:type="dxa"/>
            <w:tcBorders>
              <w:top w:val="nil"/>
              <w:left w:val="single" w:sz="8" w:space="0" w:color="448A99"/>
              <w:bottom w:val="single" w:sz="8" w:space="0" w:color="448A99"/>
              <w:right w:val="nil"/>
            </w:tcBorders>
            <w:shd w:val="clear" w:color="000000" w:fill="D2EAF1"/>
            <w:vAlign w:val="center"/>
            <w:hideMark/>
          </w:tcPr>
          <w:p w:rsidR="00F6102E" w:rsidRPr="00461F1B" w:rsidRDefault="00F6102E" w:rsidP="00F6102E">
            <w:pPr>
              <w:rPr>
                <w:b/>
                <w:bCs/>
                <w:color w:val="000000"/>
                <w:sz w:val="19"/>
                <w:szCs w:val="19"/>
              </w:rPr>
            </w:pPr>
            <w:r w:rsidRPr="00461F1B">
              <w:rPr>
                <w:b/>
                <w:bCs/>
                <w:color w:val="000000"/>
                <w:sz w:val="19"/>
                <w:szCs w:val="19"/>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F6102E" w:rsidRPr="00461F1B" w:rsidRDefault="00F6102E" w:rsidP="00F6102E">
            <w:pPr>
              <w:jc w:val="center"/>
              <w:rPr>
                <w:color w:val="000000"/>
                <w:sz w:val="19"/>
                <w:szCs w:val="19"/>
              </w:rPr>
            </w:pPr>
            <w:r w:rsidRPr="00461F1B">
              <w:rPr>
                <w:color w:val="000000"/>
                <w:sz w:val="19"/>
                <w:szCs w:val="19"/>
              </w:rPr>
              <w:t>6.91</w:t>
            </w:r>
          </w:p>
        </w:tc>
        <w:tc>
          <w:tcPr>
            <w:tcW w:w="1501" w:type="dxa"/>
            <w:tcBorders>
              <w:top w:val="nil"/>
              <w:left w:val="nil"/>
              <w:bottom w:val="single" w:sz="8" w:space="0" w:color="448A99"/>
              <w:right w:val="single" w:sz="8" w:space="0" w:color="448A99"/>
            </w:tcBorders>
            <w:shd w:val="clear" w:color="000000" w:fill="D2EAF1"/>
            <w:vAlign w:val="center"/>
          </w:tcPr>
          <w:p w:rsidR="00F6102E" w:rsidRPr="00461F1B" w:rsidRDefault="00F6102E" w:rsidP="00F6102E">
            <w:pPr>
              <w:jc w:val="center"/>
              <w:rPr>
                <w:color w:val="000000"/>
                <w:sz w:val="19"/>
                <w:szCs w:val="19"/>
              </w:rPr>
            </w:pPr>
            <w:r w:rsidRPr="00461F1B">
              <w:rPr>
                <w:color w:val="000000"/>
                <w:sz w:val="19"/>
                <w:szCs w:val="19"/>
              </w:rPr>
              <w:t>15.60</w:t>
            </w:r>
          </w:p>
        </w:tc>
        <w:tc>
          <w:tcPr>
            <w:tcW w:w="1502" w:type="dxa"/>
            <w:tcBorders>
              <w:top w:val="nil"/>
              <w:left w:val="nil"/>
              <w:bottom w:val="single" w:sz="8" w:space="0" w:color="448A99"/>
              <w:right w:val="single" w:sz="8" w:space="0" w:color="448A99"/>
            </w:tcBorders>
            <w:shd w:val="clear" w:color="000000" w:fill="D2EAF1"/>
            <w:vAlign w:val="center"/>
          </w:tcPr>
          <w:p w:rsidR="00F6102E" w:rsidRPr="00461F1B" w:rsidRDefault="00F6102E" w:rsidP="00F6102E">
            <w:pPr>
              <w:jc w:val="center"/>
              <w:rPr>
                <w:color w:val="000000"/>
                <w:sz w:val="19"/>
                <w:szCs w:val="19"/>
              </w:rPr>
            </w:pPr>
            <w:r w:rsidRPr="00461F1B">
              <w:rPr>
                <w:color w:val="000000"/>
                <w:sz w:val="19"/>
                <w:szCs w:val="19"/>
              </w:rPr>
              <w:t>2.84</w:t>
            </w:r>
          </w:p>
        </w:tc>
        <w:tc>
          <w:tcPr>
            <w:tcW w:w="1501" w:type="dxa"/>
            <w:tcBorders>
              <w:top w:val="nil"/>
              <w:left w:val="nil"/>
              <w:bottom w:val="single" w:sz="8" w:space="0" w:color="448A99"/>
              <w:right w:val="single" w:sz="8" w:space="0" w:color="448A99"/>
            </w:tcBorders>
            <w:shd w:val="clear" w:color="000000" w:fill="D2EAF1"/>
            <w:vAlign w:val="center"/>
          </w:tcPr>
          <w:p w:rsidR="00F6102E" w:rsidRPr="00461F1B" w:rsidRDefault="00F6102E" w:rsidP="00F6102E">
            <w:pPr>
              <w:jc w:val="center"/>
              <w:rPr>
                <w:color w:val="000000"/>
                <w:sz w:val="19"/>
                <w:szCs w:val="19"/>
              </w:rPr>
            </w:pPr>
            <w:r w:rsidRPr="00461F1B">
              <w:rPr>
                <w:color w:val="000000"/>
                <w:sz w:val="19"/>
                <w:szCs w:val="19"/>
              </w:rPr>
              <w:t>0.59</w:t>
            </w:r>
          </w:p>
        </w:tc>
        <w:tc>
          <w:tcPr>
            <w:tcW w:w="1502" w:type="dxa"/>
            <w:tcBorders>
              <w:top w:val="nil"/>
              <w:left w:val="nil"/>
              <w:bottom w:val="single" w:sz="8" w:space="0" w:color="448A99"/>
              <w:right w:val="single" w:sz="8" w:space="0" w:color="448A99"/>
            </w:tcBorders>
            <w:shd w:val="clear" w:color="000000" w:fill="D2EAF1"/>
            <w:vAlign w:val="center"/>
          </w:tcPr>
          <w:p w:rsidR="00F6102E" w:rsidRPr="00461F1B" w:rsidRDefault="00F6102E" w:rsidP="00F6102E">
            <w:pPr>
              <w:jc w:val="center"/>
              <w:rPr>
                <w:color w:val="000000"/>
                <w:sz w:val="19"/>
                <w:szCs w:val="19"/>
              </w:rPr>
            </w:pPr>
            <w:r w:rsidRPr="00461F1B">
              <w:rPr>
                <w:color w:val="000000"/>
                <w:sz w:val="19"/>
                <w:szCs w:val="19"/>
              </w:rPr>
              <w:t>25.94</w:t>
            </w:r>
          </w:p>
        </w:tc>
      </w:tr>
      <w:tr w:rsidR="00A874AC" w:rsidRPr="00461F1B" w:rsidTr="00705585">
        <w:trPr>
          <w:trHeight w:val="360"/>
        </w:trPr>
        <w:tc>
          <w:tcPr>
            <w:tcW w:w="1843" w:type="dxa"/>
            <w:tcBorders>
              <w:top w:val="nil"/>
              <w:left w:val="single" w:sz="8" w:space="0" w:color="448A99"/>
              <w:bottom w:val="single" w:sz="8" w:space="0" w:color="448A99"/>
              <w:right w:val="nil"/>
            </w:tcBorders>
            <w:shd w:val="clear" w:color="000000" w:fill="FFFFFF"/>
            <w:vAlign w:val="center"/>
            <w:hideMark/>
          </w:tcPr>
          <w:p w:rsidR="00F6102E" w:rsidRPr="00461F1B" w:rsidRDefault="00F6102E" w:rsidP="00F6102E">
            <w:pPr>
              <w:rPr>
                <w:b/>
                <w:bCs/>
                <w:color w:val="000000"/>
                <w:sz w:val="19"/>
                <w:szCs w:val="19"/>
              </w:rPr>
            </w:pPr>
            <w:r w:rsidRPr="00461F1B">
              <w:rPr>
                <w:b/>
                <w:bCs/>
                <w:color w:val="000000"/>
                <w:sz w:val="19"/>
                <w:szCs w:val="19"/>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F6102E" w:rsidRPr="00461F1B" w:rsidRDefault="00F6102E" w:rsidP="00F6102E">
            <w:pPr>
              <w:jc w:val="center"/>
              <w:rPr>
                <w:color w:val="000000"/>
                <w:sz w:val="19"/>
                <w:szCs w:val="19"/>
              </w:rPr>
            </w:pPr>
            <w:r w:rsidRPr="00461F1B">
              <w:rPr>
                <w:color w:val="000000"/>
                <w:sz w:val="19"/>
                <w:szCs w:val="19"/>
              </w:rPr>
              <w:t>14.27</w:t>
            </w:r>
          </w:p>
        </w:tc>
        <w:tc>
          <w:tcPr>
            <w:tcW w:w="1501" w:type="dxa"/>
            <w:tcBorders>
              <w:top w:val="nil"/>
              <w:left w:val="nil"/>
              <w:bottom w:val="single" w:sz="8" w:space="0" w:color="448A99"/>
              <w:right w:val="single" w:sz="8" w:space="0" w:color="448A99"/>
            </w:tcBorders>
            <w:shd w:val="clear" w:color="auto" w:fill="auto"/>
            <w:vAlign w:val="center"/>
          </w:tcPr>
          <w:p w:rsidR="00F6102E" w:rsidRPr="00461F1B" w:rsidRDefault="00F6102E" w:rsidP="00F6102E">
            <w:pPr>
              <w:jc w:val="center"/>
              <w:rPr>
                <w:color w:val="000000"/>
                <w:sz w:val="19"/>
                <w:szCs w:val="19"/>
              </w:rPr>
            </w:pPr>
            <w:r w:rsidRPr="00461F1B">
              <w:rPr>
                <w:color w:val="000000"/>
                <w:sz w:val="19"/>
                <w:szCs w:val="19"/>
              </w:rPr>
              <w:t>32.93</w:t>
            </w:r>
          </w:p>
        </w:tc>
        <w:tc>
          <w:tcPr>
            <w:tcW w:w="1502" w:type="dxa"/>
            <w:tcBorders>
              <w:top w:val="nil"/>
              <w:left w:val="nil"/>
              <w:bottom w:val="single" w:sz="8" w:space="0" w:color="448A99"/>
              <w:right w:val="single" w:sz="8" w:space="0" w:color="448A99"/>
            </w:tcBorders>
            <w:shd w:val="clear" w:color="000000" w:fill="FFFFFF"/>
            <w:vAlign w:val="center"/>
          </w:tcPr>
          <w:p w:rsidR="00F6102E" w:rsidRPr="00461F1B" w:rsidRDefault="00F6102E" w:rsidP="00F6102E">
            <w:pPr>
              <w:jc w:val="center"/>
              <w:rPr>
                <w:color w:val="000000"/>
                <w:sz w:val="19"/>
                <w:szCs w:val="19"/>
              </w:rPr>
            </w:pPr>
            <w:r w:rsidRPr="00461F1B">
              <w:rPr>
                <w:color w:val="000000"/>
                <w:sz w:val="19"/>
                <w:szCs w:val="19"/>
              </w:rPr>
              <w:t>7.87</w:t>
            </w:r>
          </w:p>
        </w:tc>
        <w:tc>
          <w:tcPr>
            <w:tcW w:w="1501" w:type="dxa"/>
            <w:tcBorders>
              <w:top w:val="nil"/>
              <w:left w:val="nil"/>
              <w:bottom w:val="single" w:sz="8" w:space="0" w:color="448A99"/>
              <w:right w:val="single" w:sz="8" w:space="0" w:color="448A99"/>
            </w:tcBorders>
            <w:shd w:val="clear" w:color="000000" w:fill="FFFFFF"/>
            <w:vAlign w:val="center"/>
          </w:tcPr>
          <w:p w:rsidR="00F6102E" w:rsidRPr="00461F1B" w:rsidRDefault="00F6102E" w:rsidP="00F6102E">
            <w:pPr>
              <w:jc w:val="center"/>
              <w:rPr>
                <w:color w:val="000000"/>
                <w:sz w:val="19"/>
                <w:szCs w:val="19"/>
              </w:rPr>
            </w:pPr>
            <w:r w:rsidRPr="00461F1B">
              <w:rPr>
                <w:color w:val="000000"/>
                <w:sz w:val="19"/>
                <w:szCs w:val="19"/>
              </w:rPr>
              <w:t>1.44</w:t>
            </w:r>
          </w:p>
        </w:tc>
        <w:tc>
          <w:tcPr>
            <w:tcW w:w="1502" w:type="dxa"/>
            <w:tcBorders>
              <w:top w:val="nil"/>
              <w:left w:val="nil"/>
              <w:bottom w:val="single" w:sz="8" w:space="0" w:color="448A99"/>
              <w:right w:val="single" w:sz="8" w:space="0" w:color="448A99"/>
            </w:tcBorders>
            <w:shd w:val="clear" w:color="auto" w:fill="auto"/>
            <w:vAlign w:val="center"/>
          </w:tcPr>
          <w:p w:rsidR="00F6102E" w:rsidRPr="00461F1B" w:rsidRDefault="00F6102E" w:rsidP="00F6102E">
            <w:pPr>
              <w:jc w:val="center"/>
              <w:rPr>
                <w:color w:val="000000"/>
                <w:sz w:val="19"/>
                <w:szCs w:val="19"/>
              </w:rPr>
            </w:pPr>
            <w:r w:rsidRPr="00461F1B">
              <w:rPr>
                <w:color w:val="000000"/>
                <w:sz w:val="19"/>
                <w:szCs w:val="19"/>
              </w:rPr>
              <w:t>56.51</w:t>
            </w:r>
          </w:p>
        </w:tc>
      </w:tr>
      <w:tr w:rsidR="00A874AC" w:rsidRPr="00461F1B" w:rsidTr="00705585">
        <w:trPr>
          <w:trHeight w:val="360"/>
        </w:trPr>
        <w:tc>
          <w:tcPr>
            <w:tcW w:w="1843" w:type="dxa"/>
            <w:tcBorders>
              <w:top w:val="nil"/>
              <w:left w:val="single" w:sz="8" w:space="0" w:color="448A99"/>
              <w:bottom w:val="single" w:sz="8" w:space="0" w:color="448A99"/>
              <w:right w:val="nil"/>
            </w:tcBorders>
            <w:shd w:val="clear" w:color="000000" w:fill="D2EAF1"/>
            <w:vAlign w:val="center"/>
            <w:hideMark/>
          </w:tcPr>
          <w:p w:rsidR="00F6102E" w:rsidRPr="00461F1B" w:rsidRDefault="00F6102E" w:rsidP="00F6102E">
            <w:pPr>
              <w:rPr>
                <w:b/>
                <w:bCs/>
                <w:color w:val="000000"/>
                <w:sz w:val="19"/>
                <w:szCs w:val="19"/>
              </w:rPr>
            </w:pPr>
            <w:r w:rsidRPr="00461F1B">
              <w:rPr>
                <w:b/>
                <w:bCs/>
                <w:color w:val="000000"/>
                <w:sz w:val="19"/>
                <w:szCs w:val="19"/>
              </w:rPr>
              <w:t>PY7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F6102E" w:rsidRPr="00461F1B" w:rsidRDefault="00F6102E" w:rsidP="00F6102E">
            <w:pPr>
              <w:jc w:val="center"/>
              <w:rPr>
                <w:color w:val="000000"/>
                <w:sz w:val="19"/>
                <w:szCs w:val="19"/>
              </w:rPr>
            </w:pPr>
            <w:r w:rsidRPr="00461F1B">
              <w:rPr>
                <w:color w:val="000000"/>
                <w:sz w:val="19"/>
                <w:szCs w:val="19"/>
              </w:rPr>
              <w:t>31.81</w:t>
            </w:r>
          </w:p>
        </w:tc>
        <w:tc>
          <w:tcPr>
            <w:tcW w:w="1501" w:type="dxa"/>
            <w:tcBorders>
              <w:top w:val="nil"/>
              <w:left w:val="nil"/>
              <w:bottom w:val="single" w:sz="8" w:space="0" w:color="448A99"/>
              <w:right w:val="single" w:sz="8" w:space="0" w:color="448A99"/>
            </w:tcBorders>
            <w:shd w:val="clear" w:color="000000" w:fill="D2EAF1"/>
            <w:vAlign w:val="center"/>
          </w:tcPr>
          <w:p w:rsidR="00F6102E" w:rsidRPr="00461F1B" w:rsidRDefault="00F6102E" w:rsidP="00F6102E">
            <w:pPr>
              <w:jc w:val="center"/>
              <w:rPr>
                <w:color w:val="000000"/>
                <w:sz w:val="19"/>
                <w:szCs w:val="19"/>
              </w:rPr>
            </w:pPr>
            <w:r w:rsidRPr="00461F1B">
              <w:rPr>
                <w:color w:val="000000"/>
                <w:sz w:val="19"/>
                <w:szCs w:val="19"/>
              </w:rPr>
              <w:t>55.63</w:t>
            </w:r>
          </w:p>
        </w:tc>
        <w:tc>
          <w:tcPr>
            <w:tcW w:w="1502" w:type="dxa"/>
            <w:tcBorders>
              <w:top w:val="nil"/>
              <w:left w:val="nil"/>
              <w:bottom w:val="single" w:sz="8" w:space="0" w:color="448A99"/>
              <w:right w:val="single" w:sz="8" w:space="0" w:color="448A99"/>
            </w:tcBorders>
            <w:shd w:val="clear" w:color="000000" w:fill="D2EAF1"/>
            <w:vAlign w:val="center"/>
          </w:tcPr>
          <w:p w:rsidR="00F6102E" w:rsidRPr="00461F1B" w:rsidRDefault="00F6102E" w:rsidP="00F6102E">
            <w:pPr>
              <w:jc w:val="center"/>
              <w:rPr>
                <w:color w:val="000000"/>
                <w:sz w:val="19"/>
                <w:szCs w:val="19"/>
              </w:rPr>
            </w:pPr>
            <w:r w:rsidRPr="00461F1B">
              <w:rPr>
                <w:color w:val="000000"/>
                <w:sz w:val="19"/>
                <w:szCs w:val="19"/>
              </w:rPr>
              <w:t>14.41</w:t>
            </w:r>
          </w:p>
        </w:tc>
        <w:tc>
          <w:tcPr>
            <w:tcW w:w="1501" w:type="dxa"/>
            <w:tcBorders>
              <w:top w:val="nil"/>
              <w:left w:val="nil"/>
              <w:bottom w:val="single" w:sz="8" w:space="0" w:color="448A99"/>
              <w:right w:val="single" w:sz="8" w:space="0" w:color="448A99"/>
            </w:tcBorders>
            <w:shd w:val="clear" w:color="000000" w:fill="D2EAF1"/>
            <w:vAlign w:val="center"/>
          </w:tcPr>
          <w:p w:rsidR="00F6102E" w:rsidRPr="00461F1B" w:rsidRDefault="00F6102E" w:rsidP="00F6102E">
            <w:pPr>
              <w:jc w:val="center"/>
              <w:rPr>
                <w:color w:val="000000"/>
                <w:sz w:val="19"/>
                <w:szCs w:val="19"/>
              </w:rPr>
            </w:pPr>
            <w:r w:rsidRPr="00461F1B">
              <w:rPr>
                <w:color w:val="000000"/>
                <w:sz w:val="19"/>
                <w:szCs w:val="19"/>
              </w:rPr>
              <w:t>4.41</w:t>
            </w:r>
          </w:p>
        </w:tc>
        <w:tc>
          <w:tcPr>
            <w:tcW w:w="1502" w:type="dxa"/>
            <w:tcBorders>
              <w:top w:val="nil"/>
              <w:left w:val="nil"/>
              <w:bottom w:val="single" w:sz="8" w:space="0" w:color="448A99"/>
              <w:right w:val="single" w:sz="8" w:space="0" w:color="448A99"/>
            </w:tcBorders>
            <w:shd w:val="clear" w:color="000000" w:fill="D2EAF1"/>
            <w:vAlign w:val="center"/>
          </w:tcPr>
          <w:p w:rsidR="00F6102E" w:rsidRPr="00461F1B" w:rsidRDefault="00F6102E" w:rsidP="0078313D">
            <w:pPr>
              <w:jc w:val="center"/>
              <w:rPr>
                <w:color w:val="000000"/>
                <w:sz w:val="19"/>
                <w:szCs w:val="19"/>
              </w:rPr>
            </w:pPr>
            <w:r w:rsidRPr="00461F1B">
              <w:rPr>
                <w:color w:val="000000"/>
                <w:sz w:val="19"/>
                <w:szCs w:val="19"/>
              </w:rPr>
              <w:t>106.2</w:t>
            </w:r>
            <w:r w:rsidR="0078313D" w:rsidRPr="00461F1B">
              <w:rPr>
                <w:color w:val="000000"/>
                <w:sz w:val="19"/>
                <w:szCs w:val="19"/>
              </w:rPr>
              <w:t>7</w:t>
            </w:r>
          </w:p>
        </w:tc>
      </w:tr>
    </w:tbl>
    <w:p w:rsidR="00F13CD2" w:rsidRDefault="00F13CD2" w:rsidP="00F13CD2"/>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F13CD2" w:rsidRDefault="00F13CD2" w:rsidP="004837FA">
      <w:pPr>
        <w:pStyle w:val="Caption"/>
      </w:pPr>
      <w:bookmarkStart w:id="310" w:name="_Ref472350713"/>
      <w:bookmarkStart w:id="311" w:name="_Ref473708365"/>
      <w:bookmarkStart w:id="312" w:name="_Toc472472238"/>
      <w:bookmarkStart w:id="313" w:name="_Toc488741817"/>
      <w:r>
        <w:t xml:space="preserve">Figure </w:t>
      </w:r>
      <w:r w:rsidR="007973A4">
        <w:fldChar w:fldCharType="begin"/>
      </w:r>
      <w:r w:rsidR="007973A4">
        <w:instrText xml:space="preserve"> STYLEREF 1 \s </w:instrText>
      </w:r>
      <w:r w:rsidR="007973A4">
        <w:fldChar w:fldCharType="separate"/>
      </w:r>
      <w:r w:rsidR="00037CB4">
        <w:rPr>
          <w:noProof/>
        </w:rPr>
        <w:t>3</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8</w:t>
      </w:r>
      <w:r w:rsidR="007973A4">
        <w:rPr>
          <w:noProof/>
        </w:rPr>
        <w:fldChar w:fldCharType="end"/>
      </w:r>
      <w:bookmarkEnd w:id="310"/>
      <w:bookmarkEnd w:id="311"/>
      <w:r>
        <w:t xml:space="preserve">: </w:t>
      </w:r>
      <w:r w:rsidR="00871F8D">
        <w:t>PPL</w:t>
      </w:r>
      <w:r w:rsidRPr="008E4974">
        <w:t xml:space="preserve"> Phase II </w:t>
      </w:r>
      <w:r w:rsidR="000206F5">
        <w:t>Cumulative</w:t>
      </w:r>
      <w:r w:rsidRPr="008E4974">
        <w:t xml:space="preserve"> Demand Savings, by Sector</w:t>
      </w:r>
      <w:bookmarkEnd w:id="312"/>
      <w:bookmarkEnd w:id="313"/>
    </w:p>
    <w:p w:rsidR="00933BF5" w:rsidRDefault="00ED4EA3" w:rsidP="00933BF5">
      <w:pPr>
        <w:sectPr w:rsidR="00933BF5" w:rsidSect="00622F9F">
          <w:pgSz w:w="12240" w:h="15840"/>
          <w:pgMar w:top="1440" w:right="1440" w:bottom="1440" w:left="1440" w:header="720" w:footer="288" w:gutter="0"/>
          <w:pgNumType w:start="1"/>
          <w:cols w:space="720"/>
          <w:docGrid w:linePitch="360"/>
        </w:sectPr>
      </w:pPr>
      <w:r>
        <w:rPr>
          <w:noProof/>
        </w:rPr>
        <w:drawing>
          <wp:inline distT="0" distB="0" distL="0" distR="0" wp14:anchorId="70B60537" wp14:editId="11F2FDBA">
            <wp:extent cx="5953639" cy="34747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9635" cy="3484056"/>
                    </a:xfrm>
                    <a:prstGeom prst="rect">
                      <a:avLst/>
                    </a:prstGeom>
                    <a:noFill/>
                  </pic:spPr>
                </pic:pic>
              </a:graphicData>
            </a:graphic>
          </wp:inline>
        </w:drawing>
      </w:r>
    </w:p>
    <w:p w:rsidR="00D40FF6" w:rsidRPr="00705585" w:rsidRDefault="00D40FF6" w:rsidP="00705585">
      <w:pPr>
        <w:pStyle w:val="Heading1"/>
      </w:pPr>
      <w:bookmarkStart w:id="314" w:name="_Ref472258127"/>
      <w:bookmarkStart w:id="315" w:name="_Toc472472113"/>
      <w:bookmarkStart w:id="316" w:name="_Toc488765806"/>
      <w:r w:rsidRPr="00705585">
        <w:t xml:space="preserve">Act 129 Benefits </w:t>
      </w:r>
      <w:r w:rsidR="00461F1B" w:rsidRPr="00705585">
        <w:t>&amp;</w:t>
      </w:r>
      <w:r w:rsidRPr="00705585">
        <w:t xml:space="preserve"> Costs</w:t>
      </w:r>
      <w:bookmarkEnd w:id="314"/>
      <w:bookmarkEnd w:id="315"/>
      <w:bookmarkEnd w:id="316"/>
    </w:p>
    <w:p w:rsidR="00D57D34" w:rsidRPr="00D57D34" w:rsidRDefault="00F95DF6" w:rsidP="00D57D34">
      <w:r w:rsidRPr="00D57D34">
        <w:t>Act</w:t>
      </w:r>
      <w:r w:rsidR="00D57D34" w:rsidRPr="00D57D34">
        <w:t xml:space="preserve"> 129 directs the Commission to use a Total Resource Cost (TRC) test to analyze costs and benefits of the energy efficiency and conservation (EE&amp;C) p</w:t>
      </w:r>
      <w:r w:rsidR="00F5410E">
        <w:t>l</w:t>
      </w:r>
      <w:r w:rsidR="00D57D34" w:rsidRPr="00D57D34">
        <w:t>ans</w:t>
      </w:r>
      <w:r w:rsidR="00F5410E">
        <w:t>.</w:t>
      </w:r>
      <w:r w:rsidR="00D57D34" w:rsidRPr="00D57D34">
        <w:t xml:space="preserve">  Act 129 defines the TRC test </w:t>
      </w:r>
      <w:r w:rsidR="00121C81">
        <w:t>as</w:t>
      </w:r>
      <w:r w:rsidR="00D57D34" w:rsidRPr="00D57D34">
        <w:t xml:space="preserve"> “a standard test that is met if, over the effective life of each plan not to exceed 15 years, the net present value of the avoided monetary cost of supplying electricity is greater than the net present value of the monetary cost of energy efficiency measures.”</w:t>
      </w:r>
      <w:r w:rsidR="00D57D34" w:rsidRPr="00D57D34">
        <w:rPr>
          <w:vertAlign w:val="superscript"/>
        </w:rPr>
        <w:footnoteReference w:id="21"/>
      </w:r>
      <w:r w:rsidR="00D57D34" w:rsidRPr="00D57D34">
        <w:t xml:space="preserve">  The Commission entered its initial TRC Test Order for </w:t>
      </w:r>
      <w:r>
        <w:t xml:space="preserve">Phase I of </w:t>
      </w:r>
      <w:r w:rsidR="00D57D34" w:rsidRPr="00D57D34">
        <w:t>Act 129 on June 23, 2009, adapting the California TRC model</w:t>
      </w:r>
      <w:r w:rsidR="00D57D34" w:rsidRPr="00D57D34">
        <w:rPr>
          <w:vertAlign w:val="superscript"/>
        </w:rPr>
        <w:footnoteReference w:id="22"/>
      </w:r>
      <w:r w:rsidR="00D57D34" w:rsidRPr="00D57D34">
        <w:t xml:space="preserve"> for use in evaluating the costs and benefits of the EE&amp;C </w:t>
      </w:r>
      <w:r w:rsidR="00121C81">
        <w:t>p</w:t>
      </w:r>
      <w:r w:rsidR="00D57D34" w:rsidRPr="00D57D34">
        <w:t xml:space="preserve">lan.  Subsequent revisions to the TRC Test </w:t>
      </w:r>
      <w:r w:rsidR="00121C81">
        <w:t>O</w:t>
      </w:r>
      <w:r w:rsidR="00D57D34" w:rsidRPr="00D57D34">
        <w:t>rder have serve</w:t>
      </w:r>
      <w:r w:rsidR="00121C81">
        <w:t>d</w:t>
      </w:r>
      <w:r w:rsidR="00D57D34" w:rsidRPr="00D57D34">
        <w:t xml:space="preserve"> to address TRC clarifications or refinements regarding demand response program, fuel-switching, use of NTG</w:t>
      </w:r>
      <w:r w:rsidR="00121C81">
        <w:t>Rs</w:t>
      </w:r>
      <w:r w:rsidR="00D57D34" w:rsidRPr="00D57D34">
        <w:t>, general TRC calculations</w:t>
      </w:r>
      <w:r w:rsidR="00121C81">
        <w:t>,</w:t>
      </w:r>
      <w:r w:rsidR="00D57D34" w:rsidRPr="00D57D34">
        <w:t xml:space="preserve"> and other important issues.  In August 2012, the Commission adopted the 2013 TRC Test Order for Phase II of Act 129.</w:t>
      </w:r>
      <w:r w:rsidR="00D57D34" w:rsidRPr="00D57D34">
        <w:rPr>
          <w:vertAlign w:val="superscript"/>
        </w:rPr>
        <w:footnoteReference w:id="23"/>
      </w:r>
    </w:p>
    <w:p w:rsidR="005A7834" w:rsidRDefault="005A7834" w:rsidP="005A7834"/>
    <w:p w:rsidR="00D57D34" w:rsidRDefault="00D57D34" w:rsidP="00D57D34">
      <w:r w:rsidRPr="00D57D34">
        <w:t>A complete overview</w:t>
      </w:r>
      <w:r w:rsidR="00790DA9">
        <w:t xml:space="preserve"> of</w:t>
      </w:r>
      <w:r w:rsidRPr="00D57D34">
        <w:t xml:space="preserve"> the TRC </w:t>
      </w:r>
      <w:r w:rsidR="00121C81">
        <w:t>t</w:t>
      </w:r>
      <w:r w:rsidRPr="00D57D34">
        <w:t>est formulae, benefits, and costs can be found in the 2013 TRC Test Order for Phase II.</w:t>
      </w:r>
    </w:p>
    <w:p w:rsidR="00D57D34" w:rsidRDefault="00D57D34" w:rsidP="00D57D34"/>
    <w:p w:rsidR="00D57D34" w:rsidRPr="00705585" w:rsidRDefault="00D57D34" w:rsidP="00705585">
      <w:pPr>
        <w:pStyle w:val="Heading2"/>
      </w:pPr>
      <w:bookmarkStart w:id="317" w:name="_Toc472472114"/>
      <w:bookmarkStart w:id="318" w:name="_Toc488765807"/>
      <w:r w:rsidRPr="00705585">
        <w:t>Phase II TRC Test Results</w:t>
      </w:r>
      <w:bookmarkEnd w:id="317"/>
      <w:bookmarkEnd w:id="318"/>
    </w:p>
    <w:p w:rsidR="00D40FF6" w:rsidRDefault="00F25E7A" w:rsidP="00E673F0">
      <w:pPr>
        <w:pStyle w:val="Heading3"/>
      </w:pPr>
      <w:bookmarkStart w:id="319" w:name="_Toc472472115"/>
      <w:bookmarkStart w:id="320" w:name="_Toc488765808"/>
      <w:r>
        <w:t>TRC Test Results by Program Year</w:t>
      </w:r>
      <w:bookmarkEnd w:id="319"/>
      <w:bookmarkEnd w:id="320"/>
    </w:p>
    <w:p w:rsidR="00F51C86" w:rsidRDefault="00F25E7A" w:rsidP="00F51C86">
      <w:r>
        <w:fldChar w:fldCharType="begin"/>
      </w:r>
      <w:r>
        <w:instrText xml:space="preserve"> REF _Ref472459350 \h </w:instrText>
      </w:r>
      <w:r>
        <w:fldChar w:fldCharType="separate"/>
      </w:r>
      <w:r w:rsidR="00037CB4">
        <w:t xml:space="preserve">Table </w:t>
      </w:r>
      <w:r w:rsidR="00037CB4">
        <w:rPr>
          <w:noProof/>
        </w:rPr>
        <w:t>4</w:t>
      </w:r>
      <w:r w:rsidR="00037CB4">
        <w:noBreakHyphen/>
      </w:r>
      <w:r w:rsidR="00037CB4">
        <w:rPr>
          <w:noProof/>
        </w:rPr>
        <w:t>1</w:t>
      </w:r>
      <w:r>
        <w:fldChar w:fldCharType="end"/>
      </w:r>
      <w:r>
        <w:t xml:space="preserve"> details the TRC test NPV benefits, costs, and </w:t>
      </w:r>
      <w:r w:rsidR="00121C81">
        <w:t>B/C</w:t>
      </w:r>
      <w:r>
        <w:t xml:space="preserve"> ratio for each EDC’s portfolio of programs by program year, based on each EDCs PY5</w:t>
      </w:r>
      <w:r w:rsidR="00121C81">
        <w:t>–</w:t>
      </w:r>
      <w:r>
        <w:t>PY7 annual reports.</w:t>
      </w:r>
    </w:p>
    <w:p w:rsidR="00F25E7A" w:rsidRDefault="00F25E7A" w:rsidP="00F51C86"/>
    <w:p w:rsidR="00477B3C" w:rsidRDefault="00F25E7A" w:rsidP="00F25E7A">
      <w:r>
        <w:t>With the exception of one program year</w:t>
      </w:r>
      <w:r w:rsidR="00121C81">
        <w:t xml:space="preserve"> for Penn Power</w:t>
      </w:r>
      <w:r>
        <w:t>, all EDC portfolios were cost-effective in each year of Phase II. Although there was some variation</w:t>
      </w:r>
      <w:r w:rsidR="00F95DF6">
        <w:t xml:space="preserve"> of the level of the TRC ratio</w:t>
      </w:r>
      <w:r>
        <w:t xml:space="preserve"> </w:t>
      </w:r>
      <w:r w:rsidR="000E2058">
        <w:t>among</w:t>
      </w:r>
      <w:r>
        <w:t xml:space="preserve"> program year</w:t>
      </w:r>
      <w:r w:rsidR="000E2058">
        <w:t>s</w:t>
      </w:r>
      <w:r>
        <w:t xml:space="preserve"> within each EDC, the cost-effectiveness of statewide energy efficiency programs remained fairly stable, with a</w:t>
      </w:r>
      <w:r w:rsidR="00B20FCE">
        <w:t xml:space="preserve"> B/C</w:t>
      </w:r>
      <w:r>
        <w:t xml:space="preserve"> ratio between 1.6 and 1.7.  While the TRC ratios remained stable, benefits and costs increased each year of Phase II, signifying increased program activity over the course of Phase II.</w:t>
      </w:r>
    </w:p>
    <w:p w:rsidR="000C3F18" w:rsidRDefault="000C3F18" w:rsidP="00F25E7A">
      <w:pPr>
        <w:sectPr w:rsidR="000C3F18" w:rsidSect="00E45861">
          <w:pgSz w:w="12240" w:h="15840"/>
          <w:pgMar w:top="1440" w:right="1440" w:bottom="1440" w:left="1440" w:header="720" w:footer="432" w:gutter="0"/>
          <w:cols w:space="720"/>
          <w:docGrid w:linePitch="360"/>
        </w:sectPr>
      </w:pPr>
    </w:p>
    <w:p w:rsidR="00F25E7A" w:rsidRDefault="00F25E7A" w:rsidP="004837FA">
      <w:pPr>
        <w:pStyle w:val="Caption"/>
      </w:pPr>
      <w:bookmarkStart w:id="321" w:name="_Ref472459350"/>
      <w:bookmarkStart w:id="322" w:name="_Toc472472185"/>
      <w:bookmarkStart w:id="323" w:name="_Toc488741763"/>
      <w:r>
        <w:t xml:space="preserve">Table </w:t>
      </w:r>
      <w:r w:rsidR="007973A4">
        <w:fldChar w:fldCharType="begin"/>
      </w:r>
      <w:r w:rsidR="007973A4">
        <w:instrText xml:space="preserve"> STYLEREF 1 \s </w:instrText>
      </w:r>
      <w:r w:rsidR="007973A4">
        <w:fldChar w:fldCharType="separate"/>
      </w:r>
      <w:r w:rsidR="00037CB4">
        <w:rPr>
          <w:noProof/>
        </w:rPr>
        <w:t>4</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w:t>
      </w:r>
      <w:r w:rsidR="007973A4">
        <w:rPr>
          <w:noProof/>
        </w:rPr>
        <w:fldChar w:fldCharType="end"/>
      </w:r>
      <w:bookmarkEnd w:id="321"/>
      <w:r>
        <w:t>: Phase II Verified Gross TRC</w:t>
      </w:r>
      <w:r w:rsidR="00B20FCE">
        <w:t xml:space="preserve"> Benefits, Costs, and</w:t>
      </w:r>
      <w:r>
        <w:t xml:space="preserve"> Ratios by Program Year and EDC</w:t>
      </w:r>
      <w:bookmarkEnd w:id="322"/>
      <w:bookmarkEnd w:id="323"/>
    </w:p>
    <w:tbl>
      <w:tblPr>
        <w:tblW w:w="5046"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88"/>
        <w:gridCol w:w="1289"/>
        <w:gridCol w:w="1288"/>
        <w:gridCol w:w="1288"/>
        <w:gridCol w:w="7"/>
        <w:gridCol w:w="1281"/>
        <w:gridCol w:w="1288"/>
        <w:gridCol w:w="1242"/>
        <w:gridCol w:w="1296"/>
        <w:gridCol w:w="1296"/>
        <w:gridCol w:w="1277"/>
        <w:gridCol w:w="19"/>
      </w:tblGrid>
      <w:tr w:rsidR="00A874AC" w:rsidRPr="00461F1B" w:rsidTr="00705585">
        <w:trPr>
          <w:gridAfter w:val="1"/>
          <w:wAfter w:w="19" w:type="dxa"/>
          <w:cantSplit/>
          <w:trHeight w:val="141"/>
          <w:tblHeader/>
        </w:trPr>
        <w:tc>
          <w:tcPr>
            <w:tcW w:w="1488" w:type="dxa"/>
            <w:vMerge w:val="restart"/>
            <w:tcBorders>
              <w:right w:val="nil"/>
            </w:tcBorders>
            <w:shd w:val="clear" w:color="auto" w:fill="448A99"/>
            <w:vAlign w:val="bottom"/>
          </w:tcPr>
          <w:p w:rsidR="00477B3C" w:rsidRPr="00461F1B" w:rsidRDefault="00477B3C" w:rsidP="00380FF9">
            <w:pPr>
              <w:jc w:val="left"/>
              <w:rPr>
                <w:b/>
                <w:color w:val="FFFFFF"/>
                <w:sz w:val="19"/>
                <w:szCs w:val="19"/>
              </w:rPr>
            </w:pPr>
            <w:r w:rsidRPr="00461F1B">
              <w:rPr>
                <w:b/>
                <w:color w:val="FFFFFF"/>
                <w:sz w:val="19"/>
                <w:szCs w:val="19"/>
              </w:rPr>
              <w:t>EDC</w:t>
            </w:r>
          </w:p>
        </w:tc>
        <w:tc>
          <w:tcPr>
            <w:tcW w:w="3872" w:type="dxa"/>
            <w:gridSpan w:val="4"/>
            <w:tcBorders>
              <w:top w:val="nil"/>
              <w:left w:val="nil"/>
              <w:bottom w:val="single" w:sz="8" w:space="0" w:color="448A99"/>
              <w:right w:val="nil"/>
            </w:tcBorders>
            <w:shd w:val="clear" w:color="auto" w:fill="9C9393"/>
          </w:tcPr>
          <w:p w:rsidR="00477B3C" w:rsidRPr="00461F1B" w:rsidRDefault="00477B3C" w:rsidP="00380FF9">
            <w:pPr>
              <w:jc w:val="center"/>
              <w:rPr>
                <w:b/>
                <w:color w:val="FFFFFF"/>
                <w:sz w:val="19"/>
                <w:szCs w:val="19"/>
              </w:rPr>
            </w:pPr>
            <w:r w:rsidRPr="00461F1B">
              <w:rPr>
                <w:b/>
                <w:color w:val="FFFFFF"/>
                <w:sz w:val="19"/>
                <w:szCs w:val="19"/>
              </w:rPr>
              <w:t>PY5</w:t>
            </w:r>
          </w:p>
        </w:tc>
        <w:tc>
          <w:tcPr>
            <w:tcW w:w="3811" w:type="dxa"/>
            <w:gridSpan w:val="3"/>
            <w:tcBorders>
              <w:left w:val="nil"/>
            </w:tcBorders>
            <w:shd w:val="clear" w:color="auto" w:fill="448A99"/>
          </w:tcPr>
          <w:p w:rsidR="00477B3C" w:rsidRPr="00461F1B" w:rsidRDefault="00477B3C" w:rsidP="00380FF9">
            <w:pPr>
              <w:jc w:val="center"/>
              <w:rPr>
                <w:b/>
                <w:color w:val="FFFFFF"/>
                <w:sz w:val="19"/>
                <w:szCs w:val="19"/>
              </w:rPr>
            </w:pPr>
            <w:r w:rsidRPr="00461F1B">
              <w:rPr>
                <w:b/>
                <w:color w:val="FFFFFF"/>
                <w:sz w:val="19"/>
                <w:szCs w:val="19"/>
              </w:rPr>
              <w:t>PY6</w:t>
            </w:r>
          </w:p>
        </w:tc>
        <w:tc>
          <w:tcPr>
            <w:tcW w:w="3869" w:type="dxa"/>
            <w:gridSpan w:val="3"/>
            <w:shd w:val="clear" w:color="auto" w:fill="9C9393"/>
          </w:tcPr>
          <w:p w:rsidR="00477B3C" w:rsidRPr="00461F1B" w:rsidRDefault="00477B3C" w:rsidP="00380FF9">
            <w:pPr>
              <w:jc w:val="center"/>
              <w:rPr>
                <w:b/>
                <w:color w:val="FFFFFF"/>
                <w:sz w:val="19"/>
                <w:szCs w:val="19"/>
              </w:rPr>
            </w:pPr>
            <w:r w:rsidRPr="00461F1B">
              <w:rPr>
                <w:b/>
                <w:color w:val="FFFFFF"/>
                <w:sz w:val="19"/>
                <w:szCs w:val="19"/>
              </w:rPr>
              <w:t>PY7</w:t>
            </w:r>
          </w:p>
        </w:tc>
      </w:tr>
      <w:tr w:rsidR="00A874AC" w:rsidRPr="00461F1B" w:rsidTr="00705585">
        <w:trPr>
          <w:trHeight w:val="141"/>
        </w:trPr>
        <w:tc>
          <w:tcPr>
            <w:tcW w:w="1488" w:type="dxa"/>
            <w:vMerge/>
            <w:tcBorders>
              <w:right w:val="nil"/>
            </w:tcBorders>
            <w:shd w:val="clear" w:color="auto" w:fill="448A99"/>
          </w:tcPr>
          <w:p w:rsidR="00477B3C" w:rsidRPr="00461F1B" w:rsidRDefault="00477B3C" w:rsidP="0030404E">
            <w:pPr>
              <w:jc w:val="center"/>
              <w:rPr>
                <w:b/>
                <w:color w:val="FFFFFF" w:themeColor="background1"/>
                <w:sz w:val="19"/>
                <w:szCs w:val="19"/>
              </w:rPr>
            </w:pPr>
          </w:p>
        </w:tc>
        <w:tc>
          <w:tcPr>
            <w:tcW w:w="1289" w:type="dxa"/>
            <w:tcBorders>
              <w:top w:val="single" w:sz="8" w:space="0" w:color="448A99"/>
              <w:left w:val="nil"/>
              <w:right w:val="nil"/>
            </w:tcBorders>
            <w:shd w:val="clear" w:color="auto" w:fill="9C9393"/>
            <w:vAlign w:val="bottom"/>
          </w:tcPr>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Benefits</w:t>
            </w:r>
          </w:p>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($1000)</w:t>
            </w:r>
          </w:p>
        </w:tc>
        <w:tc>
          <w:tcPr>
            <w:tcW w:w="1288" w:type="dxa"/>
            <w:tcBorders>
              <w:top w:val="single" w:sz="8" w:space="0" w:color="448A99"/>
              <w:left w:val="nil"/>
              <w:right w:val="nil"/>
            </w:tcBorders>
            <w:shd w:val="clear" w:color="auto" w:fill="9C9393"/>
            <w:vAlign w:val="bottom"/>
          </w:tcPr>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Costs</w:t>
            </w:r>
          </w:p>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($1000)</w:t>
            </w:r>
          </w:p>
        </w:tc>
        <w:tc>
          <w:tcPr>
            <w:tcW w:w="1288" w:type="dxa"/>
            <w:tcBorders>
              <w:top w:val="single" w:sz="8" w:space="0" w:color="448A99"/>
              <w:left w:val="nil"/>
              <w:right w:val="nil"/>
            </w:tcBorders>
            <w:shd w:val="clear" w:color="auto" w:fill="9C9393"/>
            <w:vAlign w:val="bottom"/>
          </w:tcPr>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Ratio</w:t>
            </w:r>
          </w:p>
        </w:tc>
        <w:tc>
          <w:tcPr>
            <w:tcW w:w="1288" w:type="dxa"/>
            <w:gridSpan w:val="2"/>
            <w:tcBorders>
              <w:left w:val="nil"/>
            </w:tcBorders>
            <w:shd w:val="clear" w:color="auto" w:fill="448A99"/>
            <w:vAlign w:val="bottom"/>
          </w:tcPr>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Benefits</w:t>
            </w:r>
          </w:p>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($1000)</w:t>
            </w:r>
          </w:p>
        </w:tc>
        <w:tc>
          <w:tcPr>
            <w:tcW w:w="1288" w:type="dxa"/>
            <w:shd w:val="clear" w:color="auto" w:fill="448A99"/>
            <w:vAlign w:val="bottom"/>
          </w:tcPr>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Costs</w:t>
            </w:r>
          </w:p>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($1000)</w:t>
            </w:r>
          </w:p>
        </w:tc>
        <w:tc>
          <w:tcPr>
            <w:tcW w:w="1242" w:type="dxa"/>
            <w:shd w:val="clear" w:color="auto" w:fill="448A99"/>
            <w:vAlign w:val="bottom"/>
          </w:tcPr>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Ratio</w:t>
            </w:r>
          </w:p>
        </w:tc>
        <w:tc>
          <w:tcPr>
            <w:tcW w:w="1296" w:type="dxa"/>
            <w:tcBorders>
              <w:right w:val="nil"/>
            </w:tcBorders>
            <w:shd w:val="clear" w:color="auto" w:fill="9C9393"/>
            <w:vAlign w:val="bottom"/>
          </w:tcPr>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Benefits</w:t>
            </w:r>
          </w:p>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($1000)</w:t>
            </w:r>
          </w:p>
        </w:tc>
        <w:tc>
          <w:tcPr>
            <w:tcW w:w="1296" w:type="dxa"/>
            <w:tcBorders>
              <w:left w:val="nil"/>
              <w:right w:val="nil"/>
            </w:tcBorders>
            <w:shd w:val="clear" w:color="auto" w:fill="9C9393"/>
            <w:vAlign w:val="bottom"/>
          </w:tcPr>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Costs</w:t>
            </w:r>
          </w:p>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($1000)</w:t>
            </w:r>
          </w:p>
        </w:tc>
        <w:tc>
          <w:tcPr>
            <w:tcW w:w="1296" w:type="dxa"/>
            <w:gridSpan w:val="2"/>
            <w:tcBorders>
              <w:left w:val="nil"/>
            </w:tcBorders>
            <w:shd w:val="clear" w:color="auto" w:fill="9C9393"/>
            <w:vAlign w:val="bottom"/>
          </w:tcPr>
          <w:p w:rsidR="00477B3C" w:rsidRPr="00461F1B" w:rsidRDefault="00477B3C" w:rsidP="00477B3C">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Ratio</w:t>
            </w:r>
          </w:p>
        </w:tc>
      </w:tr>
      <w:tr w:rsidR="00A874AC" w:rsidRPr="00461F1B" w:rsidTr="00705585">
        <w:trPr>
          <w:trHeight w:val="648"/>
        </w:trPr>
        <w:tc>
          <w:tcPr>
            <w:tcW w:w="1488" w:type="dxa"/>
            <w:shd w:val="clear" w:color="auto" w:fill="D2EAF1"/>
          </w:tcPr>
          <w:p w:rsidR="00EF4777" w:rsidRPr="00461F1B" w:rsidRDefault="00EF4777" w:rsidP="00EF4777">
            <w:pPr>
              <w:jc w:val="left"/>
              <w:rPr>
                <w:sz w:val="19"/>
                <w:szCs w:val="19"/>
              </w:rPr>
            </w:pPr>
            <w:r w:rsidRPr="00461F1B">
              <w:rPr>
                <w:sz w:val="19"/>
                <w:szCs w:val="19"/>
              </w:rPr>
              <w:t>Duquesne</w:t>
            </w:r>
          </w:p>
        </w:tc>
        <w:tc>
          <w:tcPr>
            <w:tcW w:w="1289"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$49,664</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$20,161</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2.5</w:t>
            </w:r>
          </w:p>
        </w:tc>
        <w:tc>
          <w:tcPr>
            <w:tcW w:w="1288" w:type="dxa"/>
            <w:gridSpan w:val="2"/>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$69,452</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$40,373</w:t>
            </w:r>
          </w:p>
        </w:tc>
        <w:tc>
          <w:tcPr>
            <w:tcW w:w="1242"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1.7</w:t>
            </w:r>
          </w:p>
        </w:tc>
        <w:tc>
          <w:tcPr>
            <w:tcW w:w="1296" w:type="dxa"/>
            <w:shd w:val="clear" w:color="auto" w:fill="D2EAF1"/>
          </w:tcPr>
          <w:p w:rsidR="00EF4777" w:rsidRPr="00461F1B" w:rsidRDefault="008D1036" w:rsidP="00EF4777">
            <w:pPr>
              <w:jc w:val="center"/>
              <w:rPr>
                <w:rFonts w:asciiTheme="minorHAnsi" w:hAnsiTheme="minorHAnsi"/>
                <w:sz w:val="19"/>
                <w:szCs w:val="19"/>
              </w:rPr>
            </w:pPr>
            <w:r w:rsidRPr="00461F1B">
              <w:rPr>
                <w:rFonts w:asciiTheme="minorHAnsi" w:hAnsiTheme="minorHAnsi"/>
                <w:sz w:val="19"/>
                <w:szCs w:val="19"/>
              </w:rPr>
              <w:t>$87,554</w:t>
            </w:r>
          </w:p>
        </w:tc>
        <w:tc>
          <w:tcPr>
            <w:tcW w:w="1296"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$40,464</w:t>
            </w:r>
          </w:p>
        </w:tc>
        <w:tc>
          <w:tcPr>
            <w:tcW w:w="1296" w:type="dxa"/>
            <w:gridSpan w:val="2"/>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2.2</w:t>
            </w:r>
          </w:p>
        </w:tc>
      </w:tr>
      <w:tr w:rsidR="00EF4777" w:rsidRPr="00461F1B" w:rsidTr="00705585">
        <w:trPr>
          <w:trHeight w:val="648"/>
        </w:trPr>
        <w:tc>
          <w:tcPr>
            <w:tcW w:w="1488" w:type="dxa"/>
          </w:tcPr>
          <w:p w:rsidR="00EF4777" w:rsidRPr="00461F1B" w:rsidRDefault="00EF4777" w:rsidP="00EF4777">
            <w:pPr>
              <w:jc w:val="left"/>
              <w:rPr>
                <w:sz w:val="19"/>
                <w:szCs w:val="19"/>
              </w:rPr>
            </w:pPr>
            <w:r w:rsidRPr="00461F1B">
              <w:rPr>
                <w:sz w:val="19"/>
                <w:szCs w:val="19"/>
              </w:rPr>
              <w:t>Met-Ed</w:t>
            </w:r>
          </w:p>
        </w:tc>
        <w:tc>
          <w:tcPr>
            <w:tcW w:w="1289"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$55,851</w:t>
            </w:r>
          </w:p>
        </w:tc>
        <w:tc>
          <w:tcPr>
            <w:tcW w:w="1288"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$28,990</w:t>
            </w:r>
          </w:p>
        </w:tc>
        <w:tc>
          <w:tcPr>
            <w:tcW w:w="1288"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1.9</w:t>
            </w:r>
          </w:p>
        </w:tc>
        <w:tc>
          <w:tcPr>
            <w:tcW w:w="1288" w:type="dxa"/>
            <w:gridSpan w:val="2"/>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$48,185</w:t>
            </w:r>
          </w:p>
        </w:tc>
        <w:tc>
          <w:tcPr>
            <w:tcW w:w="1288"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$36,704</w:t>
            </w:r>
          </w:p>
        </w:tc>
        <w:tc>
          <w:tcPr>
            <w:tcW w:w="1242"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1.3</w:t>
            </w:r>
          </w:p>
        </w:tc>
        <w:tc>
          <w:tcPr>
            <w:tcW w:w="1296"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$74,561</w:t>
            </w:r>
          </w:p>
        </w:tc>
        <w:tc>
          <w:tcPr>
            <w:tcW w:w="1296"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$49,833</w:t>
            </w:r>
          </w:p>
        </w:tc>
        <w:tc>
          <w:tcPr>
            <w:tcW w:w="1296" w:type="dxa"/>
            <w:gridSpan w:val="2"/>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1.5</w:t>
            </w:r>
          </w:p>
        </w:tc>
      </w:tr>
      <w:tr w:rsidR="00A874AC" w:rsidRPr="00461F1B" w:rsidTr="00705585">
        <w:trPr>
          <w:trHeight w:val="648"/>
        </w:trPr>
        <w:tc>
          <w:tcPr>
            <w:tcW w:w="1488" w:type="dxa"/>
            <w:shd w:val="clear" w:color="auto" w:fill="D2EAF1"/>
          </w:tcPr>
          <w:p w:rsidR="00EF4777" w:rsidRPr="00461F1B" w:rsidRDefault="00EF4777" w:rsidP="00EF4777">
            <w:pPr>
              <w:jc w:val="left"/>
              <w:rPr>
                <w:sz w:val="19"/>
                <w:szCs w:val="19"/>
              </w:rPr>
            </w:pPr>
            <w:r w:rsidRPr="00461F1B">
              <w:rPr>
                <w:sz w:val="19"/>
                <w:szCs w:val="19"/>
              </w:rPr>
              <w:t>Penelec</w:t>
            </w:r>
          </w:p>
        </w:tc>
        <w:tc>
          <w:tcPr>
            <w:tcW w:w="1289"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$41,315</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$27,733</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1.5</w:t>
            </w:r>
          </w:p>
        </w:tc>
        <w:tc>
          <w:tcPr>
            <w:tcW w:w="1288" w:type="dxa"/>
            <w:gridSpan w:val="2"/>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$57,420</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$27,794</w:t>
            </w:r>
          </w:p>
        </w:tc>
        <w:tc>
          <w:tcPr>
            <w:tcW w:w="1242"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2.1</w:t>
            </w:r>
          </w:p>
        </w:tc>
        <w:tc>
          <w:tcPr>
            <w:tcW w:w="1296"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$78,244</w:t>
            </w:r>
          </w:p>
        </w:tc>
        <w:tc>
          <w:tcPr>
            <w:tcW w:w="1296"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$49,953</w:t>
            </w:r>
          </w:p>
        </w:tc>
        <w:tc>
          <w:tcPr>
            <w:tcW w:w="1296" w:type="dxa"/>
            <w:gridSpan w:val="2"/>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1.6</w:t>
            </w:r>
          </w:p>
        </w:tc>
      </w:tr>
      <w:tr w:rsidR="00EF4777" w:rsidRPr="00461F1B" w:rsidTr="00705585">
        <w:trPr>
          <w:trHeight w:val="648"/>
        </w:trPr>
        <w:tc>
          <w:tcPr>
            <w:tcW w:w="1488" w:type="dxa"/>
          </w:tcPr>
          <w:p w:rsidR="00EF4777" w:rsidRPr="00461F1B" w:rsidRDefault="00EF4777" w:rsidP="00EF4777">
            <w:pPr>
              <w:jc w:val="left"/>
              <w:rPr>
                <w:sz w:val="19"/>
                <w:szCs w:val="19"/>
              </w:rPr>
            </w:pPr>
            <w:r w:rsidRPr="00461F1B">
              <w:rPr>
                <w:sz w:val="19"/>
                <w:szCs w:val="19"/>
              </w:rPr>
              <w:t>Penn Power</w:t>
            </w:r>
          </w:p>
        </w:tc>
        <w:tc>
          <w:tcPr>
            <w:tcW w:w="1289"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$12,908</w:t>
            </w:r>
          </w:p>
        </w:tc>
        <w:tc>
          <w:tcPr>
            <w:tcW w:w="1288"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$11,861</w:t>
            </w:r>
          </w:p>
        </w:tc>
        <w:tc>
          <w:tcPr>
            <w:tcW w:w="1288"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1.1</w:t>
            </w:r>
          </w:p>
        </w:tc>
        <w:tc>
          <w:tcPr>
            <w:tcW w:w="1288" w:type="dxa"/>
            <w:gridSpan w:val="2"/>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$23,075</w:t>
            </w:r>
          </w:p>
        </w:tc>
        <w:tc>
          <w:tcPr>
            <w:tcW w:w="1288"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$17,936</w:t>
            </w:r>
          </w:p>
        </w:tc>
        <w:tc>
          <w:tcPr>
            <w:tcW w:w="1242"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1.3</w:t>
            </w:r>
          </w:p>
        </w:tc>
        <w:tc>
          <w:tcPr>
            <w:tcW w:w="1296"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$10,390</w:t>
            </w:r>
          </w:p>
        </w:tc>
        <w:tc>
          <w:tcPr>
            <w:tcW w:w="1296" w:type="dxa"/>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$11,684</w:t>
            </w:r>
          </w:p>
        </w:tc>
        <w:tc>
          <w:tcPr>
            <w:tcW w:w="1296" w:type="dxa"/>
            <w:gridSpan w:val="2"/>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0.9</w:t>
            </w:r>
          </w:p>
        </w:tc>
      </w:tr>
      <w:tr w:rsidR="00A874AC" w:rsidRPr="00461F1B" w:rsidTr="00705585">
        <w:trPr>
          <w:trHeight w:val="648"/>
        </w:trPr>
        <w:tc>
          <w:tcPr>
            <w:tcW w:w="1488" w:type="dxa"/>
            <w:shd w:val="clear" w:color="auto" w:fill="D2EAF1"/>
          </w:tcPr>
          <w:p w:rsidR="00EF4777" w:rsidRPr="00461F1B" w:rsidRDefault="00EF4777" w:rsidP="00EF4777">
            <w:pPr>
              <w:jc w:val="left"/>
              <w:rPr>
                <w:sz w:val="19"/>
                <w:szCs w:val="19"/>
              </w:rPr>
            </w:pPr>
            <w:r w:rsidRPr="00461F1B">
              <w:rPr>
                <w:sz w:val="19"/>
                <w:szCs w:val="19"/>
              </w:rPr>
              <w:t>West Penn Power</w:t>
            </w:r>
          </w:p>
        </w:tc>
        <w:tc>
          <w:tcPr>
            <w:tcW w:w="1289"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$46,360</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$29,800</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1.6</w:t>
            </w:r>
          </w:p>
        </w:tc>
        <w:tc>
          <w:tcPr>
            <w:tcW w:w="1288" w:type="dxa"/>
            <w:gridSpan w:val="2"/>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$60,459</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$34,688</w:t>
            </w:r>
          </w:p>
        </w:tc>
        <w:tc>
          <w:tcPr>
            <w:tcW w:w="1242"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1.7</w:t>
            </w:r>
          </w:p>
        </w:tc>
        <w:tc>
          <w:tcPr>
            <w:tcW w:w="1296"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$70,214</w:t>
            </w:r>
          </w:p>
        </w:tc>
        <w:tc>
          <w:tcPr>
            <w:tcW w:w="1296"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$38,943</w:t>
            </w:r>
          </w:p>
        </w:tc>
        <w:tc>
          <w:tcPr>
            <w:tcW w:w="1296" w:type="dxa"/>
            <w:gridSpan w:val="2"/>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1.8</w:t>
            </w:r>
          </w:p>
        </w:tc>
      </w:tr>
      <w:tr w:rsidR="00A874AC" w:rsidRPr="00461F1B" w:rsidTr="00705585">
        <w:trPr>
          <w:trHeight w:val="648"/>
        </w:trPr>
        <w:tc>
          <w:tcPr>
            <w:tcW w:w="1488" w:type="dxa"/>
            <w:shd w:val="clear" w:color="auto" w:fill="auto"/>
          </w:tcPr>
          <w:p w:rsidR="00EF4777" w:rsidRPr="00461F1B" w:rsidRDefault="00EF4777" w:rsidP="00EF4777">
            <w:pPr>
              <w:jc w:val="left"/>
              <w:rPr>
                <w:sz w:val="19"/>
                <w:szCs w:val="19"/>
              </w:rPr>
            </w:pPr>
            <w:r w:rsidRPr="00461F1B">
              <w:rPr>
                <w:sz w:val="19"/>
                <w:szCs w:val="19"/>
              </w:rPr>
              <w:t>PECO</w:t>
            </w:r>
          </w:p>
        </w:tc>
        <w:tc>
          <w:tcPr>
            <w:tcW w:w="1289" w:type="dxa"/>
            <w:shd w:val="clear" w:color="auto" w:fill="auto"/>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$207,526</w:t>
            </w:r>
          </w:p>
        </w:tc>
        <w:tc>
          <w:tcPr>
            <w:tcW w:w="1288" w:type="dxa"/>
            <w:shd w:val="clear" w:color="auto" w:fill="auto"/>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$140,885</w:t>
            </w:r>
          </w:p>
        </w:tc>
        <w:tc>
          <w:tcPr>
            <w:tcW w:w="1288" w:type="dxa"/>
            <w:shd w:val="clear" w:color="auto" w:fill="auto"/>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1.5</w:t>
            </w:r>
          </w:p>
        </w:tc>
        <w:tc>
          <w:tcPr>
            <w:tcW w:w="1288" w:type="dxa"/>
            <w:gridSpan w:val="2"/>
            <w:shd w:val="clear" w:color="auto" w:fill="auto"/>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$246,816</w:t>
            </w:r>
          </w:p>
        </w:tc>
        <w:tc>
          <w:tcPr>
            <w:tcW w:w="1288" w:type="dxa"/>
            <w:shd w:val="clear" w:color="auto" w:fill="auto"/>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$148,778</w:t>
            </w:r>
          </w:p>
        </w:tc>
        <w:tc>
          <w:tcPr>
            <w:tcW w:w="1242" w:type="dxa"/>
            <w:shd w:val="clear" w:color="auto" w:fill="auto"/>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1.7</w:t>
            </w:r>
          </w:p>
        </w:tc>
        <w:tc>
          <w:tcPr>
            <w:tcW w:w="1296" w:type="dxa"/>
            <w:shd w:val="clear" w:color="auto" w:fill="auto"/>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$446,838</w:t>
            </w:r>
          </w:p>
        </w:tc>
        <w:tc>
          <w:tcPr>
            <w:tcW w:w="1296" w:type="dxa"/>
            <w:shd w:val="clear" w:color="auto" w:fill="auto"/>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$219,343</w:t>
            </w:r>
          </w:p>
        </w:tc>
        <w:tc>
          <w:tcPr>
            <w:tcW w:w="1296" w:type="dxa"/>
            <w:gridSpan w:val="2"/>
            <w:shd w:val="clear" w:color="auto" w:fill="auto"/>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2.0</w:t>
            </w:r>
          </w:p>
        </w:tc>
      </w:tr>
      <w:tr w:rsidR="00A874AC" w:rsidRPr="00461F1B" w:rsidTr="00705585">
        <w:trPr>
          <w:trHeight w:val="648"/>
        </w:trPr>
        <w:tc>
          <w:tcPr>
            <w:tcW w:w="1488" w:type="dxa"/>
            <w:shd w:val="clear" w:color="auto" w:fill="D2EAF1"/>
          </w:tcPr>
          <w:p w:rsidR="00EF4777" w:rsidRPr="00461F1B" w:rsidRDefault="00EF4777" w:rsidP="00EF4777">
            <w:pPr>
              <w:jc w:val="left"/>
              <w:rPr>
                <w:sz w:val="19"/>
                <w:szCs w:val="19"/>
              </w:rPr>
            </w:pPr>
            <w:r w:rsidRPr="00461F1B">
              <w:rPr>
                <w:sz w:val="19"/>
                <w:szCs w:val="19"/>
              </w:rPr>
              <w:t>PPL</w:t>
            </w:r>
          </w:p>
        </w:tc>
        <w:tc>
          <w:tcPr>
            <w:tcW w:w="1289"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$140,338</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$63,781</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2.2</w:t>
            </w:r>
          </w:p>
        </w:tc>
        <w:tc>
          <w:tcPr>
            <w:tcW w:w="1288" w:type="dxa"/>
            <w:gridSpan w:val="2"/>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$168,596</w:t>
            </w:r>
          </w:p>
        </w:tc>
        <w:tc>
          <w:tcPr>
            <w:tcW w:w="1288"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$110,631</w:t>
            </w:r>
          </w:p>
        </w:tc>
        <w:tc>
          <w:tcPr>
            <w:tcW w:w="1242"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1.5</w:t>
            </w:r>
          </w:p>
        </w:tc>
        <w:tc>
          <w:tcPr>
            <w:tcW w:w="1296"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$238,285</w:t>
            </w:r>
          </w:p>
        </w:tc>
        <w:tc>
          <w:tcPr>
            <w:tcW w:w="1296" w:type="dxa"/>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$173,078</w:t>
            </w:r>
          </w:p>
        </w:tc>
        <w:tc>
          <w:tcPr>
            <w:tcW w:w="1296" w:type="dxa"/>
            <w:gridSpan w:val="2"/>
            <w:shd w:val="clear" w:color="auto" w:fill="D2EAF1"/>
          </w:tcPr>
          <w:p w:rsidR="00EF4777" w:rsidRPr="00461F1B" w:rsidRDefault="00EF4777" w:rsidP="00EF4777">
            <w:pPr>
              <w:jc w:val="center"/>
              <w:rPr>
                <w:rFonts w:asciiTheme="minorHAnsi" w:hAnsiTheme="minorHAnsi"/>
                <w:sz w:val="19"/>
                <w:szCs w:val="19"/>
              </w:rPr>
            </w:pPr>
            <w:r w:rsidRPr="00461F1B">
              <w:rPr>
                <w:rFonts w:asciiTheme="minorHAnsi" w:hAnsiTheme="minorHAnsi"/>
                <w:sz w:val="19"/>
                <w:szCs w:val="19"/>
              </w:rPr>
              <w:t>1.4</w:t>
            </w:r>
          </w:p>
        </w:tc>
      </w:tr>
      <w:tr w:rsidR="00A874AC" w:rsidRPr="00461F1B" w:rsidTr="00705585">
        <w:trPr>
          <w:trHeight w:val="648"/>
        </w:trPr>
        <w:tc>
          <w:tcPr>
            <w:tcW w:w="1488" w:type="dxa"/>
            <w:shd w:val="clear" w:color="auto" w:fill="auto"/>
          </w:tcPr>
          <w:p w:rsidR="00EF4777" w:rsidRPr="00461F1B" w:rsidRDefault="00EF4777" w:rsidP="00EF4777">
            <w:pPr>
              <w:rPr>
                <w:b/>
                <w:sz w:val="19"/>
                <w:szCs w:val="19"/>
              </w:rPr>
            </w:pPr>
            <w:r w:rsidRPr="00461F1B">
              <w:rPr>
                <w:b/>
                <w:sz w:val="19"/>
                <w:szCs w:val="19"/>
              </w:rPr>
              <w:t>Total</w:t>
            </w:r>
          </w:p>
        </w:tc>
        <w:tc>
          <w:tcPr>
            <w:tcW w:w="1289" w:type="dxa"/>
            <w:shd w:val="clear" w:color="auto" w:fill="auto"/>
          </w:tcPr>
          <w:p w:rsidR="00EF4777" w:rsidRPr="00461F1B" w:rsidRDefault="00EF4777" w:rsidP="00EF4777">
            <w:pPr>
              <w:jc w:val="center"/>
              <w:rPr>
                <w:b/>
                <w:sz w:val="19"/>
                <w:szCs w:val="19"/>
              </w:rPr>
            </w:pPr>
            <w:r w:rsidRPr="00461F1B">
              <w:rPr>
                <w:b/>
                <w:sz w:val="19"/>
                <w:szCs w:val="19"/>
              </w:rPr>
              <w:t>$553,962</w:t>
            </w:r>
          </w:p>
        </w:tc>
        <w:tc>
          <w:tcPr>
            <w:tcW w:w="1288" w:type="dxa"/>
            <w:shd w:val="clear" w:color="auto" w:fill="auto"/>
          </w:tcPr>
          <w:p w:rsidR="00EF4777" w:rsidRPr="00461F1B" w:rsidRDefault="00EF4777" w:rsidP="00EF4777">
            <w:pPr>
              <w:jc w:val="center"/>
              <w:rPr>
                <w:b/>
                <w:sz w:val="19"/>
                <w:szCs w:val="19"/>
              </w:rPr>
            </w:pPr>
            <w:r w:rsidRPr="00461F1B">
              <w:rPr>
                <w:b/>
                <w:sz w:val="19"/>
                <w:szCs w:val="19"/>
              </w:rPr>
              <w:t>$323,211</w:t>
            </w:r>
          </w:p>
        </w:tc>
        <w:tc>
          <w:tcPr>
            <w:tcW w:w="1288" w:type="dxa"/>
            <w:shd w:val="clear" w:color="auto" w:fill="auto"/>
          </w:tcPr>
          <w:p w:rsidR="00EF4777" w:rsidRPr="00461F1B" w:rsidRDefault="00EF4777" w:rsidP="00EF4777">
            <w:pPr>
              <w:jc w:val="center"/>
              <w:rPr>
                <w:b/>
                <w:sz w:val="19"/>
                <w:szCs w:val="19"/>
              </w:rPr>
            </w:pPr>
            <w:r w:rsidRPr="00461F1B">
              <w:rPr>
                <w:b/>
                <w:sz w:val="19"/>
                <w:szCs w:val="19"/>
              </w:rPr>
              <w:t>1.7</w:t>
            </w:r>
          </w:p>
        </w:tc>
        <w:tc>
          <w:tcPr>
            <w:tcW w:w="1288" w:type="dxa"/>
            <w:gridSpan w:val="2"/>
            <w:shd w:val="clear" w:color="auto" w:fill="auto"/>
          </w:tcPr>
          <w:p w:rsidR="00EF4777" w:rsidRPr="00461F1B" w:rsidRDefault="00EF4777" w:rsidP="00EF4777">
            <w:pPr>
              <w:jc w:val="center"/>
              <w:rPr>
                <w:b/>
                <w:sz w:val="19"/>
                <w:szCs w:val="19"/>
              </w:rPr>
            </w:pPr>
            <w:r w:rsidRPr="00461F1B">
              <w:rPr>
                <w:b/>
                <w:sz w:val="19"/>
                <w:szCs w:val="19"/>
              </w:rPr>
              <w:t>$674,003</w:t>
            </w:r>
          </w:p>
        </w:tc>
        <w:tc>
          <w:tcPr>
            <w:tcW w:w="1288" w:type="dxa"/>
            <w:shd w:val="clear" w:color="auto" w:fill="auto"/>
          </w:tcPr>
          <w:p w:rsidR="00EF4777" w:rsidRPr="00461F1B" w:rsidRDefault="00EF4777" w:rsidP="00EF4777">
            <w:pPr>
              <w:jc w:val="center"/>
              <w:rPr>
                <w:b/>
                <w:sz w:val="19"/>
                <w:szCs w:val="19"/>
              </w:rPr>
            </w:pPr>
            <w:r w:rsidRPr="00461F1B">
              <w:rPr>
                <w:b/>
                <w:sz w:val="19"/>
                <w:szCs w:val="19"/>
              </w:rPr>
              <w:t>$416,904</w:t>
            </w:r>
          </w:p>
        </w:tc>
        <w:tc>
          <w:tcPr>
            <w:tcW w:w="1242" w:type="dxa"/>
            <w:shd w:val="clear" w:color="auto" w:fill="auto"/>
          </w:tcPr>
          <w:p w:rsidR="00EF4777" w:rsidRPr="00461F1B" w:rsidRDefault="00EF4777" w:rsidP="00EF4777">
            <w:pPr>
              <w:jc w:val="center"/>
              <w:rPr>
                <w:b/>
                <w:sz w:val="19"/>
                <w:szCs w:val="19"/>
              </w:rPr>
            </w:pPr>
            <w:r w:rsidRPr="00461F1B">
              <w:rPr>
                <w:b/>
                <w:sz w:val="19"/>
                <w:szCs w:val="19"/>
              </w:rPr>
              <w:t>1.6</w:t>
            </w:r>
          </w:p>
        </w:tc>
        <w:tc>
          <w:tcPr>
            <w:tcW w:w="1296" w:type="dxa"/>
            <w:shd w:val="clear" w:color="auto" w:fill="auto"/>
          </w:tcPr>
          <w:p w:rsidR="00023A27" w:rsidRPr="00461F1B" w:rsidRDefault="00023A27" w:rsidP="00C0035C">
            <w:pPr>
              <w:jc w:val="center"/>
              <w:rPr>
                <w:b/>
                <w:sz w:val="19"/>
                <w:szCs w:val="19"/>
              </w:rPr>
            </w:pPr>
            <w:r w:rsidRPr="00461F1B">
              <w:rPr>
                <w:b/>
                <w:sz w:val="19"/>
                <w:szCs w:val="19"/>
              </w:rPr>
              <w:t>$1,006,086</w:t>
            </w:r>
          </w:p>
        </w:tc>
        <w:tc>
          <w:tcPr>
            <w:tcW w:w="1296" w:type="dxa"/>
            <w:shd w:val="clear" w:color="auto" w:fill="auto"/>
          </w:tcPr>
          <w:p w:rsidR="00EF4777" w:rsidRPr="00461F1B" w:rsidRDefault="00EF4777" w:rsidP="00EF4777">
            <w:pPr>
              <w:jc w:val="center"/>
              <w:rPr>
                <w:b/>
                <w:sz w:val="19"/>
                <w:szCs w:val="19"/>
              </w:rPr>
            </w:pPr>
            <w:r w:rsidRPr="00461F1B">
              <w:rPr>
                <w:b/>
                <w:sz w:val="19"/>
                <w:szCs w:val="19"/>
              </w:rPr>
              <w:t>$583,298</w:t>
            </w:r>
          </w:p>
        </w:tc>
        <w:tc>
          <w:tcPr>
            <w:tcW w:w="1296" w:type="dxa"/>
            <w:gridSpan w:val="2"/>
            <w:shd w:val="clear" w:color="auto" w:fill="auto"/>
          </w:tcPr>
          <w:p w:rsidR="00EF4777" w:rsidRPr="00461F1B" w:rsidRDefault="00EF4777" w:rsidP="00EF4777">
            <w:pPr>
              <w:jc w:val="center"/>
              <w:rPr>
                <w:b/>
                <w:sz w:val="19"/>
                <w:szCs w:val="19"/>
              </w:rPr>
            </w:pPr>
            <w:r w:rsidRPr="00461F1B">
              <w:rPr>
                <w:b/>
                <w:sz w:val="19"/>
                <w:szCs w:val="19"/>
              </w:rPr>
              <w:t>1.7</w:t>
            </w:r>
          </w:p>
        </w:tc>
      </w:tr>
    </w:tbl>
    <w:p w:rsidR="00F51C86" w:rsidRDefault="00F51C86" w:rsidP="00F51C86"/>
    <w:p w:rsidR="00477B3C" w:rsidRDefault="00477B3C" w:rsidP="00E673F0">
      <w:pPr>
        <w:pStyle w:val="Heading3"/>
        <w:sectPr w:rsidR="00477B3C" w:rsidSect="00477B3C">
          <w:headerReference w:type="default" r:id="rId65"/>
          <w:footerReference w:type="default" r:id="rId66"/>
          <w:pgSz w:w="15840" w:h="12240" w:orient="landscape"/>
          <w:pgMar w:top="1440" w:right="1440" w:bottom="1440" w:left="1440" w:header="720" w:footer="432" w:gutter="0"/>
          <w:cols w:space="720"/>
          <w:docGrid w:linePitch="360"/>
        </w:sectPr>
      </w:pPr>
      <w:bookmarkStart w:id="324" w:name="_Toc472472116"/>
    </w:p>
    <w:p w:rsidR="00D40FF6" w:rsidRDefault="00F25E7A" w:rsidP="00E673F0">
      <w:pPr>
        <w:pStyle w:val="Heading3"/>
      </w:pPr>
      <w:bookmarkStart w:id="325" w:name="_Toc488765809"/>
      <w:r>
        <w:t>TRC Test Results for Phase II – All Years Combined</w:t>
      </w:r>
      <w:bookmarkEnd w:id="324"/>
      <w:bookmarkEnd w:id="325"/>
    </w:p>
    <w:p w:rsidR="00F25E7A" w:rsidRDefault="009B65B8" w:rsidP="00F25E7A">
      <w:r>
        <w:fldChar w:fldCharType="begin"/>
      </w:r>
      <w:r>
        <w:instrText xml:space="preserve"> REF _Ref472459526 \h </w:instrText>
      </w:r>
      <w:r>
        <w:fldChar w:fldCharType="separate"/>
      </w:r>
      <w:r w:rsidR="00037CB4">
        <w:t xml:space="preserve">Table </w:t>
      </w:r>
      <w:r w:rsidR="00037CB4">
        <w:rPr>
          <w:noProof/>
        </w:rPr>
        <w:t>4</w:t>
      </w:r>
      <w:r w:rsidR="00037CB4">
        <w:noBreakHyphen/>
      </w:r>
      <w:r w:rsidR="00037CB4">
        <w:rPr>
          <w:noProof/>
        </w:rPr>
        <w:t>2</w:t>
      </w:r>
      <w:r>
        <w:fldChar w:fldCharType="end"/>
      </w:r>
      <w:r>
        <w:t xml:space="preserve"> </w:t>
      </w:r>
      <w:r w:rsidR="00F25E7A">
        <w:t xml:space="preserve">details the TRC test NPV benefits, costs, net benefits, and </w:t>
      </w:r>
      <w:r w:rsidR="00B20FCE">
        <w:t>B/C</w:t>
      </w:r>
      <w:r w:rsidR="00F25E7A">
        <w:t xml:space="preserve"> ratio for each EDC’s portfolio for all of Phase II, as reported in the</w:t>
      </w:r>
      <w:r w:rsidR="00B20FCE">
        <w:t xml:space="preserve"> EDCs’</w:t>
      </w:r>
      <w:r w:rsidR="00F25E7A">
        <w:t xml:space="preserve"> PY7 annual report</w:t>
      </w:r>
      <w:r w:rsidR="00B20FCE">
        <w:t>s</w:t>
      </w:r>
      <w:r w:rsidR="00F25E7A">
        <w:t>. For Phase II, the combined NPV lifetime net benefits (benefits – costs) of the EDC energy efficiency portfolios exceed</w:t>
      </w:r>
      <w:r w:rsidR="00B20FCE">
        <w:t>ed</w:t>
      </w:r>
      <w:r w:rsidR="00F25E7A">
        <w:t xml:space="preserve"> $900 million.</w:t>
      </w:r>
    </w:p>
    <w:p w:rsidR="00F25E7A" w:rsidRDefault="00F25E7A" w:rsidP="00F25E7A"/>
    <w:p w:rsidR="00FB4D74" w:rsidRPr="00F25E7A" w:rsidRDefault="009B65B8" w:rsidP="004837FA">
      <w:pPr>
        <w:pStyle w:val="Caption"/>
      </w:pPr>
      <w:bookmarkStart w:id="326" w:name="_Ref472459526"/>
      <w:bookmarkStart w:id="327" w:name="_Toc472472186"/>
      <w:bookmarkStart w:id="328" w:name="_Toc488741764"/>
      <w:r>
        <w:t xml:space="preserve">Table </w:t>
      </w:r>
      <w:r w:rsidR="007973A4">
        <w:fldChar w:fldCharType="begin"/>
      </w:r>
      <w:r w:rsidR="007973A4">
        <w:instrText xml:space="preserve"> STYLEREF 1 \s </w:instrText>
      </w:r>
      <w:r w:rsidR="007973A4">
        <w:fldChar w:fldCharType="separate"/>
      </w:r>
      <w:r w:rsidR="00037CB4">
        <w:rPr>
          <w:noProof/>
        </w:rPr>
        <w:t>4</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2</w:t>
      </w:r>
      <w:r w:rsidR="007973A4">
        <w:rPr>
          <w:noProof/>
        </w:rPr>
        <w:fldChar w:fldCharType="end"/>
      </w:r>
      <w:bookmarkEnd w:id="326"/>
      <w:r>
        <w:t>: Phase II Verified Gross TRC</w:t>
      </w:r>
      <w:r w:rsidR="00B20FCE">
        <w:t xml:space="preserve"> Benefits, Costs, and</w:t>
      </w:r>
      <w:r>
        <w:t xml:space="preserve"> Ratios by EDC</w:t>
      </w:r>
      <w:bookmarkEnd w:id="327"/>
      <w:bookmarkEnd w:id="328"/>
    </w:p>
    <w:tbl>
      <w:tblPr>
        <w:tblW w:w="5059"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76"/>
        <w:gridCol w:w="1918"/>
        <w:gridCol w:w="1919"/>
        <w:gridCol w:w="1918"/>
        <w:gridCol w:w="1919"/>
      </w:tblGrid>
      <w:tr w:rsidR="00477B3C" w:rsidRPr="00461F1B" w:rsidTr="00461F1B">
        <w:trPr>
          <w:cantSplit/>
          <w:trHeight w:val="141"/>
          <w:tblHeader/>
        </w:trPr>
        <w:tc>
          <w:tcPr>
            <w:tcW w:w="1776" w:type="dxa"/>
            <w:vMerge w:val="restart"/>
            <w:shd w:val="clear" w:color="auto" w:fill="448A99"/>
            <w:vAlign w:val="bottom"/>
          </w:tcPr>
          <w:p w:rsidR="00477B3C" w:rsidRPr="00461F1B" w:rsidRDefault="00477B3C" w:rsidP="00380FF9">
            <w:pPr>
              <w:jc w:val="left"/>
              <w:rPr>
                <w:b/>
                <w:color w:val="FFFFFF"/>
                <w:sz w:val="19"/>
                <w:szCs w:val="19"/>
              </w:rPr>
            </w:pPr>
            <w:r w:rsidRPr="00461F1B">
              <w:rPr>
                <w:b/>
                <w:color w:val="FFFFFF"/>
                <w:sz w:val="19"/>
                <w:szCs w:val="19"/>
              </w:rPr>
              <w:t>EDC</w:t>
            </w:r>
          </w:p>
        </w:tc>
        <w:tc>
          <w:tcPr>
            <w:tcW w:w="7674" w:type="dxa"/>
            <w:gridSpan w:val="4"/>
            <w:shd w:val="clear" w:color="auto" w:fill="448A99"/>
          </w:tcPr>
          <w:p w:rsidR="00477B3C" w:rsidRPr="00461F1B" w:rsidRDefault="00477B3C" w:rsidP="00380FF9">
            <w:pPr>
              <w:jc w:val="center"/>
              <w:rPr>
                <w:b/>
                <w:color w:val="FFFFFF"/>
                <w:sz w:val="19"/>
                <w:szCs w:val="19"/>
              </w:rPr>
            </w:pPr>
            <w:r w:rsidRPr="00461F1B">
              <w:rPr>
                <w:b/>
                <w:color w:val="FFFFFF"/>
                <w:sz w:val="19"/>
                <w:szCs w:val="19"/>
              </w:rPr>
              <w:t>Phase II (All Years)</w:t>
            </w:r>
          </w:p>
        </w:tc>
      </w:tr>
      <w:tr w:rsidR="00A874AC" w:rsidRPr="00461F1B" w:rsidTr="00461F1B">
        <w:trPr>
          <w:trHeight w:val="141"/>
        </w:trPr>
        <w:tc>
          <w:tcPr>
            <w:tcW w:w="1776" w:type="dxa"/>
            <w:vMerge/>
            <w:shd w:val="clear" w:color="auto" w:fill="9C9393"/>
          </w:tcPr>
          <w:p w:rsidR="00477B3C" w:rsidRPr="00461F1B" w:rsidRDefault="00477B3C" w:rsidP="00380FF9">
            <w:pPr>
              <w:jc w:val="left"/>
              <w:rPr>
                <w:b/>
                <w:color w:val="FFFFFF" w:themeColor="background1"/>
                <w:sz w:val="19"/>
                <w:szCs w:val="19"/>
              </w:rPr>
            </w:pPr>
          </w:p>
        </w:tc>
        <w:tc>
          <w:tcPr>
            <w:tcW w:w="1918" w:type="dxa"/>
            <w:shd w:val="clear" w:color="auto" w:fill="9C9393"/>
          </w:tcPr>
          <w:p w:rsidR="00477B3C" w:rsidRPr="00461F1B" w:rsidRDefault="00477B3C" w:rsidP="00380FF9">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Benefits</w:t>
            </w:r>
          </w:p>
          <w:p w:rsidR="00477B3C" w:rsidRPr="00461F1B" w:rsidRDefault="00477B3C" w:rsidP="00380FF9">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($1000)</w:t>
            </w:r>
          </w:p>
        </w:tc>
        <w:tc>
          <w:tcPr>
            <w:tcW w:w="1919" w:type="dxa"/>
            <w:shd w:val="clear" w:color="auto" w:fill="9C9393"/>
          </w:tcPr>
          <w:p w:rsidR="00477B3C" w:rsidRPr="00461F1B" w:rsidRDefault="00477B3C" w:rsidP="00380FF9">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Costs</w:t>
            </w:r>
          </w:p>
          <w:p w:rsidR="00477B3C" w:rsidRPr="00461F1B" w:rsidRDefault="00477B3C" w:rsidP="00380FF9">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($1000)</w:t>
            </w:r>
          </w:p>
        </w:tc>
        <w:tc>
          <w:tcPr>
            <w:tcW w:w="1918" w:type="dxa"/>
            <w:shd w:val="clear" w:color="auto" w:fill="9C9393"/>
          </w:tcPr>
          <w:p w:rsidR="00477B3C" w:rsidRPr="00461F1B" w:rsidRDefault="00477B3C" w:rsidP="00380FF9">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Net Benefits</w:t>
            </w:r>
          </w:p>
          <w:p w:rsidR="00477B3C" w:rsidRPr="00461F1B" w:rsidRDefault="00477B3C" w:rsidP="00380FF9">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($1000)</w:t>
            </w:r>
          </w:p>
        </w:tc>
        <w:tc>
          <w:tcPr>
            <w:tcW w:w="1919" w:type="dxa"/>
            <w:shd w:val="clear" w:color="auto" w:fill="9C9393"/>
          </w:tcPr>
          <w:p w:rsidR="00477B3C" w:rsidRPr="00461F1B" w:rsidRDefault="00477B3C" w:rsidP="00380FF9">
            <w:pPr>
              <w:autoSpaceDE w:val="0"/>
              <w:autoSpaceDN w:val="0"/>
              <w:adjustRightInd w:val="0"/>
              <w:contextualSpacing/>
              <w:jc w:val="center"/>
              <w:rPr>
                <w:b/>
                <w:color w:val="FFFFFF" w:themeColor="background1"/>
                <w:sz w:val="19"/>
                <w:szCs w:val="19"/>
              </w:rPr>
            </w:pPr>
            <w:r w:rsidRPr="00461F1B">
              <w:rPr>
                <w:b/>
                <w:color w:val="FFFFFF" w:themeColor="background1"/>
                <w:sz w:val="19"/>
                <w:szCs w:val="19"/>
              </w:rPr>
              <w:t>TRC Ratio</w:t>
            </w:r>
          </w:p>
        </w:tc>
      </w:tr>
      <w:tr w:rsidR="00A874AC" w:rsidRPr="00461F1B" w:rsidTr="00705585">
        <w:trPr>
          <w:trHeight w:val="288"/>
        </w:trPr>
        <w:tc>
          <w:tcPr>
            <w:tcW w:w="1776" w:type="dxa"/>
            <w:shd w:val="clear" w:color="auto" w:fill="D2EAF1"/>
          </w:tcPr>
          <w:p w:rsidR="00EF4777" w:rsidRPr="00461F1B" w:rsidRDefault="00EF4777" w:rsidP="00EF4777">
            <w:pPr>
              <w:jc w:val="left"/>
              <w:rPr>
                <w:sz w:val="19"/>
                <w:szCs w:val="19"/>
              </w:rPr>
            </w:pPr>
            <w:r w:rsidRPr="00461F1B">
              <w:rPr>
                <w:sz w:val="19"/>
                <w:szCs w:val="19"/>
              </w:rPr>
              <w:t>Duquesne</w:t>
            </w:r>
          </w:p>
        </w:tc>
        <w:tc>
          <w:tcPr>
            <w:tcW w:w="1918" w:type="dxa"/>
            <w:shd w:val="clear" w:color="auto" w:fill="D2EAF1"/>
          </w:tcPr>
          <w:p w:rsidR="00EF4777" w:rsidRPr="00461F1B" w:rsidRDefault="008E6416" w:rsidP="00C0035C">
            <w:pPr>
              <w:jc w:val="center"/>
              <w:rPr>
                <w:sz w:val="19"/>
                <w:szCs w:val="19"/>
              </w:rPr>
            </w:pPr>
            <w:r w:rsidRPr="00461F1B">
              <w:rPr>
                <w:sz w:val="19"/>
                <w:szCs w:val="19"/>
              </w:rPr>
              <w:t>$206,670</w:t>
            </w:r>
          </w:p>
        </w:tc>
        <w:tc>
          <w:tcPr>
            <w:tcW w:w="1919" w:type="dxa"/>
            <w:shd w:val="clear" w:color="auto" w:fill="D2EAF1"/>
          </w:tcPr>
          <w:p w:rsidR="00EF4777" w:rsidRPr="00461F1B" w:rsidRDefault="00EF4777" w:rsidP="00EF4777">
            <w:pPr>
              <w:jc w:val="center"/>
              <w:rPr>
                <w:sz w:val="19"/>
                <w:szCs w:val="19"/>
              </w:rPr>
            </w:pPr>
            <w:r w:rsidRPr="00461F1B">
              <w:rPr>
                <w:sz w:val="19"/>
                <w:szCs w:val="19"/>
              </w:rPr>
              <w:t>$101,477</w:t>
            </w:r>
          </w:p>
        </w:tc>
        <w:tc>
          <w:tcPr>
            <w:tcW w:w="1918" w:type="dxa"/>
            <w:shd w:val="clear" w:color="auto" w:fill="D2EAF1"/>
          </w:tcPr>
          <w:p w:rsidR="00EF4777" w:rsidRPr="00461F1B" w:rsidRDefault="008E6416" w:rsidP="00EF4777">
            <w:pPr>
              <w:jc w:val="center"/>
              <w:rPr>
                <w:sz w:val="19"/>
                <w:szCs w:val="19"/>
              </w:rPr>
            </w:pPr>
            <w:r w:rsidRPr="00461F1B">
              <w:rPr>
                <w:sz w:val="19"/>
                <w:szCs w:val="19"/>
              </w:rPr>
              <w:t>$105,193</w:t>
            </w:r>
          </w:p>
        </w:tc>
        <w:tc>
          <w:tcPr>
            <w:tcW w:w="1919" w:type="dxa"/>
            <w:shd w:val="clear" w:color="auto" w:fill="D2EAF1"/>
          </w:tcPr>
          <w:p w:rsidR="00EF4777" w:rsidRPr="00461F1B" w:rsidRDefault="00EF4777" w:rsidP="00EF4777">
            <w:pPr>
              <w:jc w:val="center"/>
              <w:rPr>
                <w:sz w:val="19"/>
                <w:szCs w:val="19"/>
              </w:rPr>
            </w:pPr>
            <w:r w:rsidRPr="00461F1B">
              <w:rPr>
                <w:sz w:val="19"/>
                <w:szCs w:val="19"/>
              </w:rPr>
              <w:t>2.0</w:t>
            </w:r>
          </w:p>
        </w:tc>
      </w:tr>
      <w:tr w:rsidR="00EF4777" w:rsidRPr="00461F1B" w:rsidTr="00705585">
        <w:trPr>
          <w:trHeight w:val="288"/>
        </w:trPr>
        <w:tc>
          <w:tcPr>
            <w:tcW w:w="1776" w:type="dxa"/>
          </w:tcPr>
          <w:p w:rsidR="00EF4777" w:rsidRPr="00461F1B" w:rsidRDefault="00EF4777" w:rsidP="00EF4777">
            <w:pPr>
              <w:jc w:val="left"/>
              <w:rPr>
                <w:sz w:val="19"/>
                <w:szCs w:val="19"/>
              </w:rPr>
            </w:pPr>
            <w:r w:rsidRPr="00461F1B">
              <w:rPr>
                <w:sz w:val="19"/>
                <w:szCs w:val="19"/>
              </w:rPr>
              <w:t>Met-Ed</w:t>
            </w:r>
          </w:p>
        </w:tc>
        <w:tc>
          <w:tcPr>
            <w:tcW w:w="1918" w:type="dxa"/>
          </w:tcPr>
          <w:p w:rsidR="00EF4777" w:rsidRPr="00461F1B" w:rsidRDefault="00EF4777" w:rsidP="00EF4777">
            <w:pPr>
              <w:jc w:val="center"/>
              <w:rPr>
                <w:sz w:val="19"/>
                <w:szCs w:val="19"/>
              </w:rPr>
            </w:pPr>
            <w:r w:rsidRPr="00461F1B">
              <w:rPr>
                <w:sz w:val="19"/>
                <w:szCs w:val="19"/>
              </w:rPr>
              <w:t>$178,598</w:t>
            </w:r>
          </w:p>
        </w:tc>
        <w:tc>
          <w:tcPr>
            <w:tcW w:w="1919" w:type="dxa"/>
          </w:tcPr>
          <w:p w:rsidR="00EF4777" w:rsidRPr="00461F1B" w:rsidRDefault="00EF4777" w:rsidP="00EF4777">
            <w:pPr>
              <w:jc w:val="center"/>
              <w:rPr>
                <w:sz w:val="19"/>
                <w:szCs w:val="19"/>
              </w:rPr>
            </w:pPr>
            <w:r w:rsidRPr="00461F1B">
              <w:rPr>
                <w:sz w:val="19"/>
                <w:szCs w:val="19"/>
              </w:rPr>
              <w:t>$115,527</w:t>
            </w:r>
          </w:p>
        </w:tc>
        <w:tc>
          <w:tcPr>
            <w:tcW w:w="1918" w:type="dxa"/>
          </w:tcPr>
          <w:p w:rsidR="00EF4777" w:rsidRPr="00461F1B" w:rsidRDefault="00EF4777" w:rsidP="00EF4777">
            <w:pPr>
              <w:jc w:val="center"/>
              <w:rPr>
                <w:sz w:val="19"/>
                <w:szCs w:val="19"/>
              </w:rPr>
            </w:pPr>
            <w:r w:rsidRPr="00461F1B">
              <w:rPr>
                <w:sz w:val="19"/>
                <w:szCs w:val="19"/>
              </w:rPr>
              <w:t>$63,071</w:t>
            </w:r>
          </w:p>
        </w:tc>
        <w:tc>
          <w:tcPr>
            <w:tcW w:w="1919" w:type="dxa"/>
          </w:tcPr>
          <w:p w:rsidR="00EF4777" w:rsidRPr="00461F1B" w:rsidRDefault="00EF4777" w:rsidP="00EF4777">
            <w:pPr>
              <w:jc w:val="center"/>
              <w:rPr>
                <w:sz w:val="19"/>
                <w:szCs w:val="19"/>
              </w:rPr>
            </w:pPr>
            <w:r w:rsidRPr="00461F1B">
              <w:rPr>
                <w:sz w:val="19"/>
                <w:szCs w:val="19"/>
              </w:rPr>
              <w:t>1.5</w:t>
            </w:r>
          </w:p>
        </w:tc>
      </w:tr>
      <w:tr w:rsidR="00A874AC" w:rsidRPr="00461F1B" w:rsidTr="00705585">
        <w:trPr>
          <w:trHeight w:val="288"/>
        </w:trPr>
        <w:tc>
          <w:tcPr>
            <w:tcW w:w="1776" w:type="dxa"/>
            <w:shd w:val="clear" w:color="auto" w:fill="D2EAF1"/>
          </w:tcPr>
          <w:p w:rsidR="00EF4777" w:rsidRPr="00461F1B" w:rsidRDefault="00EF4777" w:rsidP="00EF4777">
            <w:pPr>
              <w:jc w:val="left"/>
              <w:rPr>
                <w:sz w:val="19"/>
                <w:szCs w:val="19"/>
              </w:rPr>
            </w:pPr>
            <w:r w:rsidRPr="00461F1B">
              <w:rPr>
                <w:sz w:val="19"/>
                <w:szCs w:val="19"/>
              </w:rPr>
              <w:t>Penelec</w:t>
            </w:r>
          </w:p>
        </w:tc>
        <w:tc>
          <w:tcPr>
            <w:tcW w:w="1918" w:type="dxa"/>
            <w:shd w:val="clear" w:color="auto" w:fill="D2EAF1"/>
          </w:tcPr>
          <w:p w:rsidR="00EF4777" w:rsidRPr="00461F1B" w:rsidRDefault="00EF4777" w:rsidP="00EF4777">
            <w:pPr>
              <w:jc w:val="center"/>
              <w:rPr>
                <w:sz w:val="19"/>
                <w:szCs w:val="19"/>
              </w:rPr>
            </w:pPr>
            <w:r w:rsidRPr="00461F1B">
              <w:rPr>
                <w:sz w:val="19"/>
                <w:szCs w:val="19"/>
              </w:rPr>
              <w:t>$182,288</w:t>
            </w:r>
          </w:p>
        </w:tc>
        <w:tc>
          <w:tcPr>
            <w:tcW w:w="1919" w:type="dxa"/>
            <w:shd w:val="clear" w:color="auto" w:fill="D2EAF1"/>
          </w:tcPr>
          <w:p w:rsidR="00EF4777" w:rsidRPr="00461F1B" w:rsidRDefault="00EF4777" w:rsidP="00EF4777">
            <w:pPr>
              <w:jc w:val="center"/>
              <w:rPr>
                <w:sz w:val="19"/>
                <w:szCs w:val="19"/>
              </w:rPr>
            </w:pPr>
            <w:r w:rsidRPr="00461F1B">
              <w:rPr>
                <w:sz w:val="19"/>
                <w:szCs w:val="19"/>
              </w:rPr>
              <w:t>$105,480</w:t>
            </w:r>
          </w:p>
        </w:tc>
        <w:tc>
          <w:tcPr>
            <w:tcW w:w="1918" w:type="dxa"/>
            <w:shd w:val="clear" w:color="auto" w:fill="D2EAF1"/>
          </w:tcPr>
          <w:p w:rsidR="00EF4777" w:rsidRPr="00461F1B" w:rsidRDefault="00EF4777" w:rsidP="00EF4777">
            <w:pPr>
              <w:jc w:val="center"/>
              <w:rPr>
                <w:sz w:val="19"/>
                <w:szCs w:val="19"/>
              </w:rPr>
            </w:pPr>
            <w:r w:rsidRPr="00461F1B">
              <w:rPr>
                <w:sz w:val="19"/>
                <w:szCs w:val="19"/>
              </w:rPr>
              <w:t>$76,808</w:t>
            </w:r>
          </w:p>
        </w:tc>
        <w:tc>
          <w:tcPr>
            <w:tcW w:w="1919" w:type="dxa"/>
            <w:shd w:val="clear" w:color="auto" w:fill="D2EAF1"/>
          </w:tcPr>
          <w:p w:rsidR="00EF4777" w:rsidRPr="00461F1B" w:rsidRDefault="00EF4777" w:rsidP="00EF4777">
            <w:pPr>
              <w:jc w:val="center"/>
              <w:rPr>
                <w:sz w:val="19"/>
                <w:szCs w:val="19"/>
              </w:rPr>
            </w:pPr>
            <w:r w:rsidRPr="00461F1B">
              <w:rPr>
                <w:sz w:val="19"/>
                <w:szCs w:val="19"/>
              </w:rPr>
              <w:t>1.7</w:t>
            </w:r>
          </w:p>
        </w:tc>
      </w:tr>
      <w:tr w:rsidR="00EF4777" w:rsidRPr="00461F1B" w:rsidTr="00705585">
        <w:trPr>
          <w:trHeight w:val="288"/>
        </w:trPr>
        <w:tc>
          <w:tcPr>
            <w:tcW w:w="1776" w:type="dxa"/>
          </w:tcPr>
          <w:p w:rsidR="00EF4777" w:rsidRPr="00461F1B" w:rsidRDefault="00EF4777" w:rsidP="00EF4777">
            <w:pPr>
              <w:jc w:val="left"/>
              <w:rPr>
                <w:sz w:val="19"/>
                <w:szCs w:val="19"/>
              </w:rPr>
            </w:pPr>
            <w:r w:rsidRPr="00461F1B">
              <w:rPr>
                <w:sz w:val="19"/>
                <w:szCs w:val="19"/>
              </w:rPr>
              <w:t>Penn Power</w:t>
            </w:r>
          </w:p>
        </w:tc>
        <w:tc>
          <w:tcPr>
            <w:tcW w:w="1918" w:type="dxa"/>
          </w:tcPr>
          <w:p w:rsidR="00EF4777" w:rsidRPr="00461F1B" w:rsidRDefault="00EF4777" w:rsidP="00EF4777">
            <w:pPr>
              <w:jc w:val="center"/>
              <w:rPr>
                <w:sz w:val="19"/>
                <w:szCs w:val="19"/>
              </w:rPr>
            </w:pPr>
            <w:r w:rsidRPr="00461F1B">
              <w:rPr>
                <w:sz w:val="19"/>
                <w:szCs w:val="19"/>
              </w:rPr>
              <w:t>$46,704</w:t>
            </w:r>
          </w:p>
        </w:tc>
        <w:tc>
          <w:tcPr>
            <w:tcW w:w="1919" w:type="dxa"/>
          </w:tcPr>
          <w:p w:rsidR="00EF4777" w:rsidRPr="00461F1B" w:rsidRDefault="00EF4777" w:rsidP="00EF4777">
            <w:pPr>
              <w:jc w:val="center"/>
              <w:rPr>
                <w:sz w:val="19"/>
                <w:szCs w:val="19"/>
              </w:rPr>
            </w:pPr>
            <w:r w:rsidRPr="00461F1B">
              <w:rPr>
                <w:sz w:val="19"/>
                <w:szCs w:val="19"/>
              </w:rPr>
              <w:t>$41,382</w:t>
            </w:r>
          </w:p>
        </w:tc>
        <w:tc>
          <w:tcPr>
            <w:tcW w:w="1918" w:type="dxa"/>
          </w:tcPr>
          <w:p w:rsidR="00EF4777" w:rsidRPr="00461F1B" w:rsidRDefault="00EF4777" w:rsidP="00EF4777">
            <w:pPr>
              <w:jc w:val="center"/>
              <w:rPr>
                <w:sz w:val="19"/>
                <w:szCs w:val="19"/>
              </w:rPr>
            </w:pPr>
            <w:r w:rsidRPr="00461F1B">
              <w:rPr>
                <w:sz w:val="19"/>
                <w:szCs w:val="19"/>
              </w:rPr>
              <w:t>$5,322</w:t>
            </w:r>
          </w:p>
        </w:tc>
        <w:tc>
          <w:tcPr>
            <w:tcW w:w="1919" w:type="dxa"/>
          </w:tcPr>
          <w:p w:rsidR="00EF4777" w:rsidRPr="00461F1B" w:rsidRDefault="00EF4777" w:rsidP="00EF4777">
            <w:pPr>
              <w:jc w:val="center"/>
              <w:rPr>
                <w:sz w:val="19"/>
                <w:szCs w:val="19"/>
              </w:rPr>
            </w:pPr>
            <w:r w:rsidRPr="00461F1B">
              <w:rPr>
                <w:sz w:val="19"/>
                <w:szCs w:val="19"/>
              </w:rPr>
              <w:t>1.1</w:t>
            </w:r>
          </w:p>
        </w:tc>
      </w:tr>
      <w:tr w:rsidR="00A874AC" w:rsidRPr="00461F1B" w:rsidTr="00705585">
        <w:trPr>
          <w:trHeight w:val="288"/>
        </w:trPr>
        <w:tc>
          <w:tcPr>
            <w:tcW w:w="1776" w:type="dxa"/>
            <w:shd w:val="clear" w:color="auto" w:fill="D2EAF1"/>
          </w:tcPr>
          <w:p w:rsidR="00EF4777" w:rsidRPr="00461F1B" w:rsidRDefault="00EF4777" w:rsidP="00EF4777">
            <w:pPr>
              <w:jc w:val="left"/>
              <w:rPr>
                <w:sz w:val="19"/>
                <w:szCs w:val="19"/>
              </w:rPr>
            </w:pPr>
            <w:r w:rsidRPr="00461F1B">
              <w:rPr>
                <w:sz w:val="19"/>
                <w:szCs w:val="19"/>
              </w:rPr>
              <w:t>West Penn</w:t>
            </w:r>
          </w:p>
        </w:tc>
        <w:tc>
          <w:tcPr>
            <w:tcW w:w="1918" w:type="dxa"/>
            <w:shd w:val="clear" w:color="auto" w:fill="D2EAF1"/>
          </w:tcPr>
          <w:p w:rsidR="00EF4777" w:rsidRPr="00461F1B" w:rsidRDefault="00EF4777" w:rsidP="00EF4777">
            <w:pPr>
              <w:jc w:val="center"/>
              <w:rPr>
                <w:sz w:val="19"/>
                <w:szCs w:val="19"/>
              </w:rPr>
            </w:pPr>
            <w:r w:rsidRPr="00461F1B">
              <w:rPr>
                <w:sz w:val="19"/>
                <w:szCs w:val="19"/>
              </w:rPr>
              <w:t>$177,034</w:t>
            </w:r>
          </w:p>
        </w:tc>
        <w:tc>
          <w:tcPr>
            <w:tcW w:w="1919" w:type="dxa"/>
            <w:shd w:val="clear" w:color="auto" w:fill="D2EAF1"/>
          </w:tcPr>
          <w:p w:rsidR="00EF4777" w:rsidRPr="00461F1B" w:rsidRDefault="00EF4777" w:rsidP="00EF4777">
            <w:pPr>
              <w:jc w:val="center"/>
              <w:rPr>
                <w:sz w:val="19"/>
                <w:szCs w:val="19"/>
              </w:rPr>
            </w:pPr>
            <w:r w:rsidRPr="00461F1B">
              <w:rPr>
                <w:sz w:val="19"/>
                <w:szCs w:val="19"/>
              </w:rPr>
              <w:t>$91,780</w:t>
            </w:r>
          </w:p>
        </w:tc>
        <w:tc>
          <w:tcPr>
            <w:tcW w:w="1918" w:type="dxa"/>
            <w:shd w:val="clear" w:color="auto" w:fill="D2EAF1"/>
          </w:tcPr>
          <w:p w:rsidR="00EF4777" w:rsidRPr="00461F1B" w:rsidRDefault="00EF4777" w:rsidP="00EF4777">
            <w:pPr>
              <w:jc w:val="center"/>
              <w:rPr>
                <w:sz w:val="19"/>
                <w:szCs w:val="19"/>
              </w:rPr>
            </w:pPr>
            <w:r w:rsidRPr="00461F1B">
              <w:rPr>
                <w:sz w:val="19"/>
                <w:szCs w:val="19"/>
              </w:rPr>
              <w:t>$85,254</w:t>
            </w:r>
          </w:p>
        </w:tc>
        <w:tc>
          <w:tcPr>
            <w:tcW w:w="1919" w:type="dxa"/>
            <w:shd w:val="clear" w:color="auto" w:fill="D2EAF1"/>
          </w:tcPr>
          <w:p w:rsidR="00EF4777" w:rsidRPr="00461F1B" w:rsidRDefault="00EF4777" w:rsidP="00EF4777">
            <w:pPr>
              <w:jc w:val="center"/>
              <w:rPr>
                <w:sz w:val="19"/>
                <w:szCs w:val="19"/>
              </w:rPr>
            </w:pPr>
            <w:r w:rsidRPr="00461F1B">
              <w:rPr>
                <w:sz w:val="19"/>
                <w:szCs w:val="19"/>
              </w:rPr>
              <w:t>1.9</w:t>
            </w:r>
          </w:p>
        </w:tc>
      </w:tr>
      <w:tr w:rsidR="00EF4777" w:rsidRPr="00461F1B" w:rsidTr="00705585">
        <w:trPr>
          <w:trHeight w:val="288"/>
        </w:trPr>
        <w:tc>
          <w:tcPr>
            <w:tcW w:w="1776" w:type="dxa"/>
            <w:shd w:val="clear" w:color="auto" w:fill="auto"/>
          </w:tcPr>
          <w:p w:rsidR="00EF4777" w:rsidRPr="00461F1B" w:rsidRDefault="00EF4777" w:rsidP="00EF4777">
            <w:pPr>
              <w:jc w:val="left"/>
              <w:rPr>
                <w:sz w:val="19"/>
                <w:szCs w:val="19"/>
              </w:rPr>
            </w:pPr>
            <w:r w:rsidRPr="00461F1B">
              <w:rPr>
                <w:sz w:val="19"/>
                <w:szCs w:val="19"/>
              </w:rPr>
              <w:t>PECO</w:t>
            </w:r>
          </w:p>
        </w:tc>
        <w:tc>
          <w:tcPr>
            <w:tcW w:w="1918" w:type="dxa"/>
          </w:tcPr>
          <w:p w:rsidR="00EF4777" w:rsidRPr="00461F1B" w:rsidRDefault="00EF4777" w:rsidP="00EF4777">
            <w:pPr>
              <w:jc w:val="center"/>
              <w:rPr>
                <w:sz w:val="19"/>
                <w:szCs w:val="19"/>
              </w:rPr>
            </w:pPr>
            <w:r w:rsidRPr="00461F1B">
              <w:rPr>
                <w:sz w:val="19"/>
                <w:szCs w:val="19"/>
              </w:rPr>
              <w:t>$903,716</w:t>
            </w:r>
          </w:p>
        </w:tc>
        <w:tc>
          <w:tcPr>
            <w:tcW w:w="1919" w:type="dxa"/>
            <w:shd w:val="clear" w:color="auto" w:fill="auto"/>
          </w:tcPr>
          <w:p w:rsidR="00EF4777" w:rsidRPr="00461F1B" w:rsidRDefault="00EF4777" w:rsidP="00EF4777">
            <w:pPr>
              <w:jc w:val="center"/>
              <w:rPr>
                <w:sz w:val="19"/>
                <w:szCs w:val="19"/>
              </w:rPr>
            </w:pPr>
            <w:r w:rsidRPr="00461F1B">
              <w:rPr>
                <w:sz w:val="19"/>
                <w:szCs w:val="19"/>
              </w:rPr>
              <w:t>$516,392</w:t>
            </w:r>
          </w:p>
        </w:tc>
        <w:tc>
          <w:tcPr>
            <w:tcW w:w="1918" w:type="dxa"/>
            <w:shd w:val="clear" w:color="auto" w:fill="auto"/>
          </w:tcPr>
          <w:p w:rsidR="00EF4777" w:rsidRPr="00461F1B" w:rsidRDefault="00EF4777" w:rsidP="00EF4777">
            <w:pPr>
              <w:jc w:val="center"/>
              <w:rPr>
                <w:sz w:val="19"/>
                <w:szCs w:val="19"/>
              </w:rPr>
            </w:pPr>
            <w:r w:rsidRPr="00461F1B">
              <w:rPr>
                <w:sz w:val="19"/>
                <w:szCs w:val="19"/>
              </w:rPr>
              <w:t>$390,322</w:t>
            </w:r>
          </w:p>
        </w:tc>
        <w:tc>
          <w:tcPr>
            <w:tcW w:w="1919" w:type="dxa"/>
            <w:shd w:val="clear" w:color="auto" w:fill="auto"/>
          </w:tcPr>
          <w:p w:rsidR="00EF4777" w:rsidRPr="00461F1B" w:rsidRDefault="00EF4777" w:rsidP="00EF4777">
            <w:pPr>
              <w:jc w:val="center"/>
              <w:rPr>
                <w:sz w:val="19"/>
                <w:szCs w:val="19"/>
              </w:rPr>
            </w:pPr>
            <w:r w:rsidRPr="00461F1B">
              <w:rPr>
                <w:sz w:val="19"/>
                <w:szCs w:val="19"/>
              </w:rPr>
              <w:t>1.8</w:t>
            </w:r>
          </w:p>
        </w:tc>
      </w:tr>
      <w:tr w:rsidR="00A874AC" w:rsidRPr="00461F1B" w:rsidTr="00705585">
        <w:trPr>
          <w:trHeight w:val="288"/>
        </w:trPr>
        <w:tc>
          <w:tcPr>
            <w:tcW w:w="1776" w:type="dxa"/>
            <w:shd w:val="clear" w:color="auto" w:fill="D2EAF1"/>
          </w:tcPr>
          <w:p w:rsidR="00EF4777" w:rsidRPr="00461F1B" w:rsidRDefault="00EF4777" w:rsidP="00EF4777">
            <w:pPr>
              <w:jc w:val="left"/>
              <w:rPr>
                <w:sz w:val="19"/>
                <w:szCs w:val="19"/>
              </w:rPr>
            </w:pPr>
            <w:r w:rsidRPr="00461F1B">
              <w:rPr>
                <w:sz w:val="19"/>
                <w:szCs w:val="19"/>
              </w:rPr>
              <w:t>PPL</w:t>
            </w:r>
          </w:p>
        </w:tc>
        <w:tc>
          <w:tcPr>
            <w:tcW w:w="1918" w:type="dxa"/>
            <w:shd w:val="clear" w:color="auto" w:fill="D2EAF1"/>
          </w:tcPr>
          <w:p w:rsidR="00EF4777" w:rsidRPr="00461F1B" w:rsidRDefault="00EF4777" w:rsidP="00EF4777">
            <w:pPr>
              <w:jc w:val="center"/>
              <w:rPr>
                <w:sz w:val="19"/>
                <w:szCs w:val="19"/>
              </w:rPr>
            </w:pPr>
            <w:r w:rsidRPr="00461F1B">
              <w:rPr>
                <w:sz w:val="19"/>
                <w:szCs w:val="19"/>
              </w:rPr>
              <w:t>$499,240</w:t>
            </w:r>
          </w:p>
        </w:tc>
        <w:tc>
          <w:tcPr>
            <w:tcW w:w="1919" w:type="dxa"/>
            <w:shd w:val="clear" w:color="auto" w:fill="D2EAF1"/>
          </w:tcPr>
          <w:p w:rsidR="00EF4777" w:rsidRPr="00461F1B" w:rsidRDefault="00EF4777" w:rsidP="00EF4777">
            <w:pPr>
              <w:jc w:val="center"/>
              <w:rPr>
                <w:sz w:val="19"/>
                <w:szCs w:val="19"/>
              </w:rPr>
            </w:pPr>
            <w:r w:rsidRPr="00461F1B">
              <w:rPr>
                <w:sz w:val="19"/>
                <w:szCs w:val="19"/>
              </w:rPr>
              <w:t>$314,182</w:t>
            </w:r>
          </w:p>
        </w:tc>
        <w:tc>
          <w:tcPr>
            <w:tcW w:w="1918" w:type="dxa"/>
            <w:shd w:val="clear" w:color="auto" w:fill="D2EAF1"/>
          </w:tcPr>
          <w:p w:rsidR="00EF4777" w:rsidRPr="00461F1B" w:rsidRDefault="00EF4777" w:rsidP="00EF4777">
            <w:pPr>
              <w:jc w:val="center"/>
              <w:rPr>
                <w:sz w:val="19"/>
                <w:szCs w:val="19"/>
              </w:rPr>
            </w:pPr>
            <w:r w:rsidRPr="00461F1B">
              <w:rPr>
                <w:sz w:val="19"/>
                <w:szCs w:val="19"/>
              </w:rPr>
              <w:t>$185,058</w:t>
            </w:r>
          </w:p>
        </w:tc>
        <w:tc>
          <w:tcPr>
            <w:tcW w:w="1919" w:type="dxa"/>
            <w:shd w:val="clear" w:color="auto" w:fill="D2EAF1"/>
          </w:tcPr>
          <w:p w:rsidR="00EF4777" w:rsidRPr="00461F1B" w:rsidRDefault="00EF4777" w:rsidP="00EF4777">
            <w:pPr>
              <w:jc w:val="center"/>
              <w:rPr>
                <w:sz w:val="19"/>
                <w:szCs w:val="19"/>
              </w:rPr>
            </w:pPr>
            <w:r w:rsidRPr="00461F1B">
              <w:rPr>
                <w:sz w:val="19"/>
                <w:szCs w:val="19"/>
              </w:rPr>
              <w:t>1.6</w:t>
            </w:r>
          </w:p>
        </w:tc>
      </w:tr>
      <w:tr w:rsidR="00EF4777" w:rsidRPr="00461F1B" w:rsidTr="00705585">
        <w:trPr>
          <w:trHeight w:val="288"/>
        </w:trPr>
        <w:tc>
          <w:tcPr>
            <w:tcW w:w="1776" w:type="dxa"/>
            <w:shd w:val="clear" w:color="auto" w:fill="auto"/>
          </w:tcPr>
          <w:p w:rsidR="00EF4777" w:rsidRPr="00461F1B" w:rsidRDefault="00EF4777" w:rsidP="00EF4777">
            <w:pPr>
              <w:rPr>
                <w:b/>
                <w:sz w:val="19"/>
                <w:szCs w:val="19"/>
              </w:rPr>
            </w:pPr>
            <w:r w:rsidRPr="00461F1B">
              <w:rPr>
                <w:b/>
                <w:sz w:val="19"/>
                <w:szCs w:val="19"/>
              </w:rPr>
              <w:t>Total</w:t>
            </w:r>
          </w:p>
        </w:tc>
        <w:tc>
          <w:tcPr>
            <w:tcW w:w="1918" w:type="dxa"/>
          </w:tcPr>
          <w:p w:rsidR="00EF4777" w:rsidRPr="00461F1B" w:rsidRDefault="008E6416" w:rsidP="00C0035C">
            <w:pPr>
              <w:jc w:val="center"/>
              <w:rPr>
                <w:b/>
                <w:sz w:val="19"/>
                <w:szCs w:val="19"/>
              </w:rPr>
            </w:pPr>
            <w:r w:rsidRPr="00461F1B">
              <w:rPr>
                <w:b/>
                <w:sz w:val="19"/>
                <w:szCs w:val="19"/>
              </w:rPr>
              <w:t>$2,194,250</w:t>
            </w:r>
          </w:p>
        </w:tc>
        <w:tc>
          <w:tcPr>
            <w:tcW w:w="1919" w:type="dxa"/>
            <w:shd w:val="clear" w:color="auto" w:fill="auto"/>
          </w:tcPr>
          <w:p w:rsidR="00EF4777" w:rsidRPr="00461F1B" w:rsidRDefault="00EF4777" w:rsidP="00EF4777">
            <w:pPr>
              <w:jc w:val="center"/>
              <w:rPr>
                <w:b/>
                <w:sz w:val="19"/>
                <w:szCs w:val="19"/>
              </w:rPr>
            </w:pPr>
            <w:r w:rsidRPr="00461F1B">
              <w:rPr>
                <w:b/>
                <w:sz w:val="19"/>
                <w:szCs w:val="19"/>
              </w:rPr>
              <w:t>$1,286,220</w:t>
            </w:r>
          </w:p>
        </w:tc>
        <w:tc>
          <w:tcPr>
            <w:tcW w:w="1918" w:type="dxa"/>
            <w:shd w:val="clear" w:color="auto" w:fill="auto"/>
          </w:tcPr>
          <w:p w:rsidR="00EF4777" w:rsidRPr="00461F1B" w:rsidRDefault="008E6416" w:rsidP="00EF4777">
            <w:pPr>
              <w:jc w:val="center"/>
              <w:rPr>
                <w:b/>
                <w:sz w:val="19"/>
                <w:szCs w:val="19"/>
              </w:rPr>
            </w:pPr>
            <w:r w:rsidRPr="00461F1B">
              <w:rPr>
                <w:b/>
                <w:sz w:val="19"/>
                <w:szCs w:val="19"/>
              </w:rPr>
              <w:t>$911,028</w:t>
            </w:r>
          </w:p>
        </w:tc>
        <w:tc>
          <w:tcPr>
            <w:tcW w:w="1919" w:type="dxa"/>
            <w:shd w:val="clear" w:color="auto" w:fill="auto"/>
          </w:tcPr>
          <w:p w:rsidR="00EF4777" w:rsidRPr="00461F1B" w:rsidRDefault="00EF4777" w:rsidP="00EF4777">
            <w:pPr>
              <w:jc w:val="center"/>
              <w:rPr>
                <w:b/>
                <w:sz w:val="19"/>
                <w:szCs w:val="19"/>
              </w:rPr>
            </w:pPr>
            <w:r w:rsidRPr="00461F1B">
              <w:rPr>
                <w:b/>
                <w:sz w:val="19"/>
                <w:szCs w:val="19"/>
              </w:rPr>
              <w:t>1.7</w:t>
            </w:r>
          </w:p>
        </w:tc>
      </w:tr>
    </w:tbl>
    <w:p w:rsidR="00F25E7A" w:rsidRDefault="00F25E7A" w:rsidP="00FB4D74"/>
    <w:p w:rsidR="00696542" w:rsidRDefault="00F600EA" w:rsidP="00696542">
      <w:r>
        <w:t>Alt</w:t>
      </w:r>
      <w:r w:rsidR="00696542">
        <w:t xml:space="preserve">hough similar, the total Phase II benefits and costs are slightly different from the sum of the individual program year annual report values shown in </w:t>
      </w:r>
      <w:r w:rsidR="00696542">
        <w:fldChar w:fldCharType="begin"/>
      </w:r>
      <w:r w:rsidR="00696542">
        <w:instrText xml:space="preserve"> REF _Ref472459350 \h </w:instrText>
      </w:r>
      <w:r w:rsidR="00696542">
        <w:fldChar w:fldCharType="separate"/>
      </w:r>
      <w:r w:rsidR="00037CB4">
        <w:t xml:space="preserve">Table </w:t>
      </w:r>
      <w:r w:rsidR="00037CB4">
        <w:rPr>
          <w:noProof/>
        </w:rPr>
        <w:t>4</w:t>
      </w:r>
      <w:r w:rsidR="00037CB4">
        <w:noBreakHyphen/>
      </w:r>
      <w:r w:rsidR="00037CB4">
        <w:rPr>
          <w:noProof/>
        </w:rPr>
        <w:t>1</w:t>
      </w:r>
      <w:r w:rsidR="00696542">
        <w:fldChar w:fldCharType="end"/>
      </w:r>
      <w:r w:rsidR="00696542">
        <w:t>, as EDCs occasionally made minor revisions to the TRC models following SWE review of the models.  In addition, PPL reports Phase II benefits and costs by discounting all program year benefits and costs to the beginning of Phase II, producing total Phase II benefits that are less than the combined sum of individual reporting years.</w:t>
      </w:r>
      <w:r w:rsidR="00696542">
        <w:rPr>
          <w:rStyle w:val="FootnoteReference"/>
        </w:rPr>
        <w:footnoteReference w:id="24"/>
      </w:r>
    </w:p>
    <w:p w:rsidR="00696542" w:rsidRPr="00C6453D" w:rsidRDefault="00696542" w:rsidP="00696542"/>
    <w:p w:rsidR="00D40FF6" w:rsidRDefault="00696542" w:rsidP="00E673F0">
      <w:pPr>
        <w:pStyle w:val="Heading3"/>
      </w:pPr>
      <w:bookmarkStart w:id="329" w:name="_Toc472472117"/>
      <w:bookmarkStart w:id="330" w:name="_Toc488765810"/>
      <w:r>
        <w:t xml:space="preserve">Phase II TRC </w:t>
      </w:r>
      <w:r w:rsidR="00F600EA">
        <w:t xml:space="preserve">Test </w:t>
      </w:r>
      <w:r>
        <w:t>Results by Sector</w:t>
      </w:r>
      <w:bookmarkEnd w:id="329"/>
      <w:bookmarkEnd w:id="330"/>
    </w:p>
    <w:p w:rsidR="00696542" w:rsidRDefault="00696542" w:rsidP="00696542">
      <w:r>
        <w:fldChar w:fldCharType="begin"/>
      </w:r>
      <w:r>
        <w:instrText xml:space="preserve"> REF _Ref472459756 \h </w:instrText>
      </w:r>
      <w:r>
        <w:fldChar w:fldCharType="separate"/>
      </w:r>
      <w:r w:rsidR="00037CB4">
        <w:t xml:space="preserve">Figure </w:t>
      </w:r>
      <w:r w:rsidR="00037CB4">
        <w:rPr>
          <w:noProof/>
        </w:rPr>
        <w:t>4</w:t>
      </w:r>
      <w:r w:rsidR="00037CB4">
        <w:noBreakHyphen/>
      </w:r>
      <w:r w:rsidR="00037CB4">
        <w:rPr>
          <w:noProof/>
        </w:rPr>
        <w:t>1</w:t>
      </w:r>
      <w:r>
        <w:fldChar w:fldCharType="end"/>
      </w:r>
      <w:r>
        <w:t xml:space="preserve"> </w:t>
      </w:r>
      <w:r w:rsidRPr="00696542">
        <w:t>shows the total Phase II TRC ratios for all EDCs combined by sector. The residential sector inclu</w:t>
      </w:r>
      <w:r w:rsidR="00F600EA">
        <w:t>des all traditional residential</w:t>
      </w:r>
      <w:r w:rsidR="00B46519">
        <w:t xml:space="preserve"> </w:t>
      </w:r>
      <w:r w:rsidRPr="00696542">
        <w:t>sector programs, low</w:t>
      </w:r>
      <w:r w:rsidR="00F600EA">
        <w:t>-</w:t>
      </w:r>
      <w:r w:rsidRPr="00696542">
        <w:t>income programs, and b</w:t>
      </w:r>
      <w:r w:rsidR="00023473">
        <w:t xml:space="preserve">ehavior modification programs. </w:t>
      </w:r>
      <w:r w:rsidRPr="00696542">
        <w:t>The non</w:t>
      </w:r>
      <w:r w:rsidR="00F600EA">
        <w:t>-</w:t>
      </w:r>
      <w:r w:rsidRPr="00696542">
        <w:t xml:space="preserve">residential sector includes all </w:t>
      </w:r>
      <w:r w:rsidR="00F600EA">
        <w:t>C/I</w:t>
      </w:r>
      <w:r w:rsidRPr="00696542">
        <w:t>, master-meter buildings, and GNI programs.</w:t>
      </w:r>
    </w:p>
    <w:p w:rsidR="00696542" w:rsidRDefault="00696542" w:rsidP="00696542"/>
    <w:p w:rsidR="00A30624" w:rsidRDefault="00A30624" w:rsidP="00696542"/>
    <w:p w:rsidR="00A30624" w:rsidRDefault="00A30624" w:rsidP="00696542"/>
    <w:p w:rsidR="00A30624" w:rsidRDefault="00A30624" w:rsidP="00696542"/>
    <w:p w:rsidR="00A30624" w:rsidRDefault="00A30624" w:rsidP="00696542"/>
    <w:p w:rsidR="00A30624" w:rsidRDefault="00A30624" w:rsidP="00696542"/>
    <w:p w:rsidR="00A30624" w:rsidRDefault="00A30624" w:rsidP="00696542"/>
    <w:p w:rsidR="00A30624" w:rsidRDefault="00A30624" w:rsidP="00696542"/>
    <w:p w:rsidR="00477B3C" w:rsidRDefault="00477B3C" w:rsidP="00696542"/>
    <w:p w:rsidR="00477B3C" w:rsidRDefault="00477B3C" w:rsidP="00696542"/>
    <w:p w:rsidR="00477B3C" w:rsidRDefault="00477B3C" w:rsidP="00696542"/>
    <w:p w:rsidR="00477B3C" w:rsidRDefault="00477B3C" w:rsidP="00696542"/>
    <w:p w:rsidR="00477B3C" w:rsidRDefault="00477B3C" w:rsidP="00696542"/>
    <w:p w:rsidR="00B46519" w:rsidRDefault="00696542" w:rsidP="004837FA">
      <w:pPr>
        <w:pStyle w:val="Caption"/>
      </w:pPr>
      <w:bookmarkStart w:id="331" w:name="_Ref472459756"/>
      <w:bookmarkStart w:id="332" w:name="_Toc472472239"/>
      <w:bookmarkStart w:id="333" w:name="_Toc488741818"/>
      <w:r>
        <w:t xml:space="preserve">Figure </w:t>
      </w:r>
      <w:r w:rsidR="007973A4">
        <w:fldChar w:fldCharType="begin"/>
      </w:r>
      <w:r w:rsidR="007973A4">
        <w:instrText xml:space="preserve"> STYLEREF 1 \s </w:instrText>
      </w:r>
      <w:r w:rsidR="007973A4">
        <w:fldChar w:fldCharType="separate"/>
      </w:r>
      <w:r w:rsidR="00037CB4">
        <w:rPr>
          <w:noProof/>
        </w:rPr>
        <w:t>4</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w:t>
      </w:r>
      <w:r w:rsidR="007973A4">
        <w:rPr>
          <w:noProof/>
        </w:rPr>
        <w:fldChar w:fldCharType="end"/>
      </w:r>
      <w:bookmarkEnd w:id="331"/>
      <w:r>
        <w:t xml:space="preserve">: Phase II TRC Ratios by Portfolio </w:t>
      </w:r>
      <w:bookmarkEnd w:id="332"/>
      <w:r w:rsidR="00B46519">
        <w:t>Sector</w:t>
      </w:r>
      <w:bookmarkEnd w:id="333"/>
    </w:p>
    <w:p w:rsidR="00696542" w:rsidRPr="00A30624" w:rsidRDefault="00397FF8" w:rsidP="00A30624">
      <w:pPr>
        <w:jc w:val="center"/>
      </w:pPr>
      <w:r w:rsidRPr="00A30624">
        <w:rPr>
          <w:noProof/>
        </w:rPr>
        <w:drawing>
          <wp:inline distT="0" distB="0" distL="0" distR="0" wp14:anchorId="31FC8E08" wp14:editId="3301B758">
            <wp:extent cx="4343400" cy="260567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46961" cy="2607814"/>
                    </a:xfrm>
                    <a:prstGeom prst="rect">
                      <a:avLst/>
                    </a:prstGeom>
                    <a:noFill/>
                  </pic:spPr>
                </pic:pic>
              </a:graphicData>
            </a:graphic>
          </wp:inline>
        </w:drawing>
      </w:r>
    </w:p>
    <w:p w:rsidR="00A30624" w:rsidRDefault="00A30624" w:rsidP="001D447E"/>
    <w:p w:rsidR="001D447E" w:rsidRDefault="001D447E" w:rsidP="001D447E">
      <w:r>
        <w:t>Overall, the residential sector programs were slightly more cost-effective than non</w:t>
      </w:r>
      <w:r w:rsidR="00B46519">
        <w:t>-</w:t>
      </w:r>
      <w:r>
        <w:t>residential programs.</w:t>
      </w:r>
    </w:p>
    <w:p w:rsidR="00696542" w:rsidRPr="00696542" w:rsidRDefault="00696542" w:rsidP="00696542"/>
    <w:p w:rsidR="00D40FF6" w:rsidRDefault="001D447E" w:rsidP="00E673F0">
      <w:pPr>
        <w:pStyle w:val="Heading3"/>
        <w:rPr>
          <w:rStyle w:val="Heading3Char"/>
          <w:b/>
        </w:rPr>
      </w:pPr>
      <w:bookmarkStart w:id="334" w:name="_Toc472472118"/>
      <w:bookmarkStart w:id="335" w:name="_Toc488765811"/>
      <w:r>
        <w:rPr>
          <w:rStyle w:val="Heading3Char"/>
          <w:b/>
        </w:rPr>
        <w:t>TRC Test Results by Phase</w:t>
      </w:r>
      <w:bookmarkEnd w:id="334"/>
      <w:bookmarkEnd w:id="335"/>
    </w:p>
    <w:p w:rsidR="001D447E" w:rsidRDefault="001D447E" w:rsidP="001D447E">
      <w:r>
        <w:fldChar w:fldCharType="begin"/>
      </w:r>
      <w:r>
        <w:instrText xml:space="preserve"> REF _Ref472456668 \h </w:instrText>
      </w:r>
      <w:r>
        <w:fldChar w:fldCharType="separate"/>
      </w:r>
      <w:r w:rsidR="00037CB4">
        <w:t xml:space="preserve">Figure </w:t>
      </w:r>
      <w:r w:rsidR="00037CB4">
        <w:rPr>
          <w:noProof/>
        </w:rPr>
        <w:t>4</w:t>
      </w:r>
      <w:r w:rsidR="00037CB4">
        <w:noBreakHyphen/>
      </w:r>
      <w:r w:rsidR="00037CB4">
        <w:rPr>
          <w:noProof/>
        </w:rPr>
        <w:t>2</w:t>
      </w:r>
      <w:r>
        <w:fldChar w:fldCharType="end"/>
      </w:r>
      <w:r>
        <w:t xml:space="preserve"> shows the portfolio TRC</w:t>
      </w:r>
      <w:r w:rsidR="00B46519">
        <w:t xml:space="preserve"> ratios</w:t>
      </w:r>
      <w:r>
        <w:t xml:space="preserve"> for all EDCs combined by Phase I and II program years.  Overall, the combined Phase II portfolios were less cost-effective than in</w:t>
      </w:r>
      <w:r w:rsidR="00B46519">
        <w:t xml:space="preserve"> the</w:t>
      </w:r>
      <w:r>
        <w:t xml:space="preserve"> Phase I</w:t>
      </w:r>
      <w:r w:rsidR="00B46519">
        <w:t xml:space="preserve"> portfolios</w:t>
      </w:r>
      <w:r>
        <w:t xml:space="preserve">. </w:t>
      </w:r>
    </w:p>
    <w:p w:rsidR="001D447E" w:rsidRDefault="001D447E" w:rsidP="001D447E"/>
    <w:p w:rsidR="001D447E" w:rsidRPr="00100BB4" w:rsidRDefault="001D447E" w:rsidP="004837FA">
      <w:pPr>
        <w:pStyle w:val="Caption"/>
      </w:pPr>
      <w:bookmarkStart w:id="336" w:name="_Ref472456668"/>
      <w:bookmarkStart w:id="337" w:name="_Toc472472240"/>
      <w:bookmarkStart w:id="338" w:name="_Toc488741819"/>
      <w:r>
        <w:t xml:space="preserve">Figure </w:t>
      </w:r>
      <w:r w:rsidR="007973A4">
        <w:fldChar w:fldCharType="begin"/>
      </w:r>
      <w:r w:rsidR="007973A4">
        <w:instrText xml:space="preserve"> STYLEREF 1 \s </w:instrText>
      </w:r>
      <w:r w:rsidR="007973A4">
        <w:fldChar w:fldCharType="separate"/>
      </w:r>
      <w:r w:rsidR="00037CB4">
        <w:rPr>
          <w:noProof/>
        </w:rPr>
        <w:t>4</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2</w:t>
      </w:r>
      <w:r w:rsidR="007973A4">
        <w:rPr>
          <w:noProof/>
        </w:rPr>
        <w:fldChar w:fldCharType="end"/>
      </w:r>
      <w:bookmarkEnd w:id="336"/>
      <w:r>
        <w:t xml:space="preserve">: </w:t>
      </w:r>
      <w:r w:rsidR="00070E25">
        <w:t xml:space="preserve">Phase I and </w:t>
      </w:r>
      <w:r>
        <w:t>II TRC Ratios</w:t>
      </w:r>
      <w:bookmarkEnd w:id="337"/>
      <w:bookmarkEnd w:id="338"/>
    </w:p>
    <w:p w:rsidR="001D447E" w:rsidRDefault="001D447E" w:rsidP="001D447E">
      <w:pPr>
        <w:jc w:val="center"/>
      </w:pPr>
      <w:r>
        <w:rPr>
          <w:noProof/>
        </w:rPr>
        <w:drawing>
          <wp:inline distT="0" distB="0" distL="0" distR="0" wp14:anchorId="279E140F" wp14:editId="2358DB6E">
            <wp:extent cx="5172075" cy="24955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D447E" w:rsidRDefault="001D447E" w:rsidP="001D447E"/>
    <w:p w:rsidR="001D447E" w:rsidRDefault="001D447E" w:rsidP="001D447E">
      <w:r>
        <w:t>This result is not unexpected, as EDCs continue to diversify their portfolio</w:t>
      </w:r>
      <w:r w:rsidR="00070E25">
        <w:t>s</w:t>
      </w:r>
      <w:r>
        <w:t xml:space="preserve"> beyond traditional lighting programs and target hard to reach markets. In addition, the Phase I (PY2) ratios included </w:t>
      </w:r>
      <w:r w:rsidR="00070E25">
        <w:t>c</w:t>
      </w:r>
      <w:r>
        <w:t xml:space="preserve">onservation </w:t>
      </w:r>
      <w:r w:rsidR="00070E25">
        <w:t>v</w:t>
      </w:r>
      <w:r>
        <w:t xml:space="preserve">oltage </w:t>
      </w:r>
      <w:r w:rsidR="00070E25">
        <w:t>r</w:t>
      </w:r>
      <w:r>
        <w:t>eduction programs, which were highly cost-effective but not included in Phase II of Act 129.</w:t>
      </w:r>
    </w:p>
    <w:p w:rsidR="00461F1B" w:rsidRDefault="00461F1B" w:rsidP="001D447E">
      <w:pPr>
        <w:rPr>
          <w:rFonts w:eastAsiaTheme="minorHAnsi"/>
        </w:rPr>
      </w:pPr>
    </w:p>
    <w:p w:rsidR="00696542" w:rsidRPr="00C4216E" w:rsidRDefault="00696542" w:rsidP="00C4216E">
      <w:pPr>
        <w:pStyle w:val="Heading2"/>
      </w:pPr>
      <w:bookmarkStart w:id="339" w:name="_Toc472472119"/>
      <w:bookmarkStart w:id="340" w:name="_Toc488765812"/>
      <w:r w:rsidRPr="00C4216E">
        <w:t>Phase II TRC Audit Overview</w:t>
      </w:r>
      <w:bookmarkEnd w:id="339"/>
      <w:bookmarkEnd w:id="340"/>
    </w:p>
    <w:p w:rsidR="00696542" w:rsidRDefault="00696542" w:rsidP="00696542">
      <w:r>
        <w:t>For each program year of Phase II, the SWE reviewed the inputs and outputs of each EDC</w:t>
      </w:r>
      <w:r w:rsidR="009C44B4">
        <w:t>’s</w:t>
      </w:r>
      <w:r>
        <w:t xml:space="preserve"> TRC model to ensure accurate and consistent calculations of TRC benefits and costs.   A detailed discussion of each EDC’s TRC audit can be found in the</w:t>
      </w:r>
      <w:r w:rsidR="00714602" w:rsidRPr="00714602">
        <w:t xml:space="preserve"> </w:t>
      </w:r>
      <w:r w:rsidR="00714602">
        <w:t>Phase II SWE Annual Reports to the PUC for</w:t>
      </w:r>
      <w:r>
        <w:t xml:space="preserve"> PY5 and PY6, as well as</w:t>
      </w:r>
      <w:r w:rsidR="009C44B4">
        <w:t xml:space="preserve"> in</w:t>
      </w:r>
      <w:r>
        <w:t xml:space="preserve"> </w:t>
      </w:r>
      <w:r w:rsidR="004F6956">
        <w:t xml:space="preserve">Appendix </w:t>
      </w:r>
      <w:r>
        <w:t>A of this report. The SWE’s TRC audit included a review of EDC discount rates, line losses,</w:t>
      </w:r>
      <w:r w:rsidR="00714602" w:rsidRPr="00714602">
        <w:t xml:space="preserve"> </w:t>
      </w:r>
      <w:r w:rsidR="00714602">
        <w:t>forecasts of</w:t>
      </w:r>
      <w:r>
        <w:t xml:space="preserve"> avoided costs, assumed measure lives, incremental costs, and other relevant factors.</w:t>
      </w:r>
    </w:p>
    <w:p w:rsidR="00696542" w:rsidRDefault="00696542" w:rsidP="00696542"/>
    <w:p w:rsidR="00696542" w:rsidRDefault="00696542" w:rsidP="00E673F0">
      <w:pPr>
        <w:pStyle w:val="Heading3"/>
      </w:pPr>
      <w:bookmarkStart w:id="341" w:name="_Toc472472120"/>
      <w:bookmarkStart w:id="342" w:name="_Toc488765813"/>
      <w:r>
        <w:t>Discount Rates and Line Losses</w:t>
      </w:r>
      <w:bookmarkEnd w:id="341"/>
      <w:bookmarkEnd w:id="342"/>
    </w:p>
    <w:p w:rsidR="00696542" w:rsidRDefault="00696542" w:rsidP="00696542">
      <w:r>
        <w:t>The EDC discount rate and line loss factors</w:t>
      </w:r>
      <w:r w:rsidR="009C44B4">
        <w:t xml:space="preserve"> (LLFs)</w:t>
      </w:r>
      <w:r>
        <w:t xml:space="preserve"> are two underlying assumptions that have a considerable effect on the final TRC ratio.  The discount rate is used to compare the Net Present Value (NPV) of program benefits that will occur throughout a measure’s lifetime </w:t>
      </w:r>
      <w:r w:rsidR="009C44B4">
        <w:t>with</w:t>
      </w:r>
      <w:r>
        <w:t xml:space="preserve"> the up</w:t>
      </w:r>
      <w:r w:rsidR="009C44B4">
        <w:t>-</w:t>
      </w:r>
      <w:r>
        <w:t xml:space="preserve">front cost of installation and implementation. </w:t>
      </w:r>
      <w:r w:rsidR="009C44B4">
        <w:t>LLF</w:t>
      </w:r>
      <w:r>
        <w:t xml:space="preserve">s account for the energy lost during transmission </w:t>
      </w:r>
      <w:r w:rsidR="00F5410E">
        <w:t xml:space="preserve">and distribution </w:t>
      </w:r>
      <w:r>
        <w:t xml:space="preserve">due to electric resistance and adjust </w:t>
      </w:r>
      <w:r w:rsidR="00714602">
        <w:t xml:space="preserve">electricity </w:t>
      </w:r>
      <w:r>
        <w:t xml:space="preserve">savings from </w:t>
      </w:r>
      <w:r w:rsidR="00714602">
        <w:t xml:space="preserve">the </w:t>
      </w:r>
      <w:r>
        <w:t>meter level to</w:t>
      </w:r>
      <w:r w:rsidR="00714602">
        <w:t xml:space="preserve"> the</w:t>
      </w:r>
      <w:r>
        <w:t xml:space="preserve"> generation</w:t>
      </w:r>
      <w:r w:rsidR="00714602" w:rsidRPr="00714602">
        <w:t xml:space="preserve"> </w:t>
      </w:r>
      <w:r w:rsidR="00714602">
        <w:t>level of the electric grid</w:t>
      </w:r>
      <w:r>
        <w:t xml:space="preserve">. </w:t>
      </w:r>
    </w:p>
    <w:p w:rsidR="00696542" w:rsidRDefault="00696542" w:rsidP="00696542"/>
    <w:p w:rsidR="00696542" w:rsidRDefault="00696542" w:rsidP="00696542">
      <w:r>
        <w:t>The SWE Team reviewed the discount rate and line loss assumptions included in each EDC</w:t>
      </w:r>
      <w:r w:rsidR="009C44B4">
        <w:t>’s</w:t>
      </w:r>
      <w:r>
        <w:t xml:space="preserve"> TRC model to ensure consistency with the approved discount rate and line loss assumptions that were approved in the EDC’s Phase II EE&amp;C </w:t>
      </w:r>
      <w:r w:rsidR="009C44B4">
        <w:t>p</w:t>
      </w:r>
      <w:r>
        <w:t>lan. The SWE concludes that, with minor exceptions, the EDCs consistently and correctly applied their EE&amp;C approved discount rate and line loss assumptions in their respective Phase II TRC models.</w:t>
      </w:r>
    </w:p>
    <w:p w:rsidR="00696542" w:rsidRPr="0045384C" w:rsidRDefault="00696542" w:rsidP="00696542"/>
    <w:p w:rsidR="00696542" w:rsidRDefault="00696542" w:rsidP="00E673F0">
      <w:pPr>
        <w:pStyle w:val="Heading3"/>
      </w:pPr>
      <w:bookmarkStart w:id="343" w:name="_Toc472472121"/>
      <w:bookmarkStart w:id="344" w:name="_Toc488765814"/>
      <w:r>
        <w:t>Avoided Energy and Capacity Costs</w:t>
      </w:r>
      <w:bookmarkEnd w:id="343"/>
      <w:bookmarkEnd w:id="344"/>
    </w:p>
    <w:p w:rsidR="00696542" w:rsidRDefault="00696542" w:rsidP="00696542">
      <w:r>
        <w:t xml:space="preserve">Another critical element in the calculation of TRC benefits </w:t>
      </w:r>
      <w:r w:rsidR="009C44B4">
        <w:t>is</w:t>
      </w:r>
      <w:r>
        <w:t xml:space="preserve"> the value of avoided energy and capacity costs.  Avoided costs are the savings associated with not having to produce or purchase additional units of electricity.  Each EDC established a set of approved</w:t>
      </w:r>
      <w:r w:rsidR="009C44B4">
        <w:t xml:space="preserve"> avoided costs for Phase II in its </w:t>
      </w:r>
      <w:r>
        <w:t xml:space="preserve">respective EE&amp;C </w:t>
      </w:r>
      <w:r w:rsidR="009C44B4">
        <w:t>p</w:t>
      </w:r>
      <w:r>
        <w:t xml:space="preserve">lan.  Each program year, the SWE sought to confirm that the EDCs </w:t>
      </w:r>
      <w:r w:rsidR="009C44B4">
        <w:t>used</w:t>
      </w:r>
      <w:r>
        <w:t xml:space="preserve"> the appropriate avoided cost stream from </w:t>
      </w:r>
      <w:r w:rsidR="00714602">
        <w:t>the</w:t>
      </w:r>
      <w:r>
        <w:t xml:space="preserve"> avoided costs</w:t>
      </w:r>
      <w:r w:rsidR="00714602">
        <w:t xml:space="preserve"> included in their approved Phase II EE&amp;C Plans</w:t>
      </w:r>
      <w:r>
        <w:t xml:space="preserve">.  The SWE observed limited instances during Phase II where inaccurate avoided costs were applied in the calculation of TRC benefits, and coordinated with </w:t>
      </w:r>
      <w:r w:rsidR="00254D1C">
        <w:t xml:space="preserve">EDCs </w:t>
      </w:r>
      <w:r>
        <w:t xml:space="preserve">to produce revised </w:t>
      </w:r>
      <w:r w:rsidR="00B008F0">
        <w:t xml:space="preserve">TRC calculation </w:t>
      </w:r>
      <w:r>
        <w:t>results in these instances.</w:t>
      </w:r>
    </w:p>
    <w:p w:rsidR="00696542" w:rsidRPr="00512EBD" w:rsidRDefault="00696542" w:rsidP="00696542"/>
    <w:p w:rsidR="00696542" w:rsidRDefault="00696542" w:rsidP="00E673F0">
      <w:pPr>
        <w:pStyle w:val="Heading3"/>
      </w:pPr>
      <w:bookmarkStart w:id="345" w:name="_Toc472472122"/>
      <w:bookmarkStart w:id="346" w:name="_Toc488765815"/>
      <w:r>
        <w:t>Other Input Assumptions</w:t>
      </w:r>
      <w:bookmarkEnd w:id="345"/>
      <w:bookmarkEnd w:id="346"/>
    </w:p>
    <w:p w:rsidR="00696542" w:rsidRDefault="00696542" w:rsidP="00696542">
      <w:r>
        <w:t>The SWE also reviewed, in each program year and for each EDC, measure</w:t>
      </w:r>
      <w:r w:rsidR="009C44B4">
        <w:t xml:space="preserve">- and </w:t>
      </w:r>
      <w:r>
        <w:t>program</w:t>
      </w:r>
      <w:r w:rsidR="009C44B4">
        <w:t>-</w:t>
      </w:r>
      <w:r>
        <w:t xml:space="preserve"> specific savings, costs, and</w:t>
      </w:r>
      <w:r w:rsidR="00B008F0" w:rsidRPr="00B008F0">
        <w:t xml:space="preserve"> </w:t>
      </w:r>
      <w:r w:rsidR="00B008F0">
        <w:t>measure</w:t>
      </w:r>
      <w:r>
        <w:t xml:space="preserve"> useful lives.  The measure savings review ensured that the TRC models were consistent with individual TRM-specified measure savings values as well as aggregate program and portfolio savings for each program year.  The TRC audit also included a review of measure cost assumptions to ensure </w:t>
      </w:r>
      <w:r w:rsidR="009C44B4">
        <w:t xml:space="preserve">that </w:t>
      </w:r>
      <w:r>
        <w:t>reasonable EDC and participant costs were included in the TRC models. During Phase II, the SWE updated the SWE Incremental Cost Database to assist EDCs with a consistent set of incremental cost assumptions across the EDCs.  EDCs also u</w:t>
      </w:r>
      <w:r w:rsidR="009C44B4">
        <w:t>se</w:t>
      </w:r>
      <w:r>
        <w:t>d program year invoices and additional sources for incremental cost data.  The SWE reviewed these sources for reasonableness and accuracy. Last, the SWE reviewed the assumed measure life assumptions included in the TRC models for consistency with prescribed TRM values to ensure that TRC benefits were calculated throughout the proper lifetime of achieved savings.</w:t>
      </w:r>
    </w:p>
    <w:p w:rsidR="00696542" w:rsidRDefault="00696542" w:rsidP="00696542"/>
    <w:p w:rsidR="00696542" w:rsidRDefault="00696542" w:rsidP="00696542">
      <w:r>
        <w:t>Throughout Phase II, the SWE audit confirmed that, with minor exceptions, the EDC models used reasonable and accurate input assumptions.</w:t>
      </w:r>
    </w:p>
    <w:p w:rsidR="00034173" w:rsidRDefault="00034173" w:rsidP="00696542"/>
    <w:p w:rsidR="00696542" w:rsidRDefault="00696542" w:rsidP="00E673F0">
      <w:pPr>
        <w:pStyle w:val="Heading3"/>
      </w:pPr>
      <w:bookmarkStart w:id="347" w:name="_Toc472472123"/>
      <w:bookmarkStart w:id="348" w:name="_Toc488765816"/>
      <w:r>
        <w:t>Output Review</w:t>
      </w:r>
      <w:bookmarkEnd w:id="347"/>
      <w:bookmarkEnd w:id="348"/>
    </w:p>
    <w:p w:rsidR="00696542" w:rsidRDefault="00696542" w:rsidP="00696542">
      <w:r>
        <w:t xml:space="preserve">As a final component of the TRC model review, the SWE reviewed the calculations and TRC outputs to ensure consistency with the EDC </w:t>
      </w:r>
      <w:r w:rsidR="009C44B4">
        <w:t>a</w:t>
      </w:r>
      <w:r>
        <w:t xml:space="preserve">nnual </w:t>
      </w:r>
      <w:r w:rsidR="009C44B4">
        <w:t>r</w:t>
      </w:r>
      <w:r>
        <w:t xml:space="preserve">eports. Throughout PY5 and PY6, the SWE occasionally found some minor inconsistencies with the TRC benefits and costs in the EDC TRC models compared </w:t>
      </w:r>
      <w:r w:rsidR="009C44B4">
        <w:t>with</w:t>
      </w:r>
      <w:r>
        <w:t xml:space="preserve"> the reported values in the EDC </w:t>
      </w:r>
      <w:r w:rsidR="009C44B4">
        <w:t>a</w:t>
      </w:r>
      <w:r>
        <w:t xml:space="preserve">nnual </w:t>
      </w:r>
      <w:r w:rsidR="009C44B4">
        <w:t>r</w:t>
      </w:r>
      <w:r>
        <w:t xml:space="preserve">eports. Typically, these inconsistencies were minimal (less than 1%) and did not require any immediate action by the EDCs.  In PY7, the SWE found no reportable differences between </w:t>
      </w:r>
      <w:r w:rsidR="009C44B4">
        <w:t>the TRC model outputs compared with the reported values in the a</w:t>
      </w:r>
      <w:r>
        <w:t xml:space="preserve">nnual </w:t>
      </w:r>
      <w:r w:rsidR="009C44B4">
        <w:t>r</w:t>
      </w:r>
      <w:r>
        <w:t>eport</w:t>
      </w:r>
      <w:r w:rsidR="009C44B4">
        <w:t>s</w:t>
      </w:r>
      <w:r>
        <w:t xml:space="preserve">.  </w:t>
      </w:r>
    </w:p>
    <w:p w:rsidR="00696542" w:rsidRPr="00696542" w:rsidRDefault="00696542" w:rsidP="00696542"/>
    <w:p w:rsidR="00A30624" w:rsidRDefault="00A30624">
      <w:pPr>
        <w:jc w:val="left"/>
      </w:pPr>
      <w:r>
        <w:br w:type="page"/>
      </w:r>
    </w:p>
    <w:p w:rsidR="00D40FF6" w:rsidRPr="00461F1B" w:rsidRDefault="00D40FF6" w:rsidP="00E673F0">
      <w:pPr>
        <w:pStyle w:val="Heading1"/>
      </w:pPr>
      <w:bookmarkStart w:id="349" w:name="_Ref472258083"/>
      <w:bookmarkStart w:id="350" w:name="_Toc472472124"/>
      <w:bookmarkStart w:id="351" w:name="_Toc488765817"/>
      <w:r w:rsidRPr="00461F1B">
        <w:t>SWE Analysis of Phase II</w:t>
      </w:r>
      <w:bookmarkEnd w:id="349"/>
      <w:bookmarkEnd w:id="350"/>
      <w:r w:rsidR="004E3F18" w:rsidRPr="00461F1B">
        <w:t xml:space="preserve"> Program Delivery</w:t>
      </w:r>
      <w:bookmarkEnd w:id="351"/>
    </w:p>
    <w:p w:rsidR="00D40FF6" w:rsidRDefault="00D40FF6" w:rsidP="00E673F0">
      <w:pPr>
        <w:pStyle w:val="Heading2"/>
      </w:pPr>
      <w:bookmarkStart w:id="352" w:name="_Toc472472125"/>
      <w:bookmarkStart w:id="353" w:name="_Toc488765818"/>
      <w:r>
        <w:t>Introduction</w:t>
      </w:r>
      <w:bookmarkEnd w:id="352"/>
      <w:bookmarkEnd w:id="353"/>
    </w:p>
    <w:p w:rsidR="00FB4D74" w:rsidRDefault="00B3153D" w:rsidP="00FB4D74">
      <w:r w:rsidRPr="00B3153D">
        <w:t>This chapter presents the findings of the Phase II SWE analysis</w:t>
      </w:r>
      <w:r w:rsidR="004E3F18">
        <w:t xml:space="preserve"> of process evaluations and NTG research</w:t>
      </w:r>
      <w:r w:rsidRPr="00B3153D">
        <w:t>. It also presents a summary of best practices research conducted by the Phase II SWE and EM&amp;V protocol improvements that have been made based on this research, and emerging concepts for the design of energy efficiency programs</w:t>
      </w:r>
      <w:r w:rsidR="004E3F18">
        <w:t>.</w:t>
      </w:r>
    </w:p>
    <w:p w:rsidR="00B3153D" w:rsidRPr="00FB4D74" w:rsidRDefault="00B3153D" w:rsidP="00FB4D74"/>
    <w:p w:rsidR="00D40FF6" w:rsidRDefault="00D40FF6" w:rsidP="00E673F0">
      <w:pPr>
        <w:pStyle w:val="Heading2"/>
      </w:pPr>
      <w:bookmarkStart w:id="354" w:name="_Toc472472126"/>
      <w:bookmarkStart w:id="355" w:name="_Toc488765819"/>
      <w:r>
        <w:t>Process Evaluation</w:t>
      </w:r>
      <w:bookmarkEnd w:id="354"/>
      <w:bookmarkEnd w:id="355"/>
    </w:p>
    <w:p w:rsidR="00661E10" w:rsidRPr="00661E10" w:rsidRDefault="00692A58" w:rsidP="00E673F0">
      <w:pPr>
        <w:pStyle w:val="Heading3"/>
      </w:pPr>
      <w:bookmarkStart w:id="356" w:name="_Toc472472127"/>
      <w:bookmarkStart w:id="357" w:name="_Toc488765820"/>
      <w:r>
        <w:t>Role of Process Evaluation in Phase II</w:t>
      </w:r>
      <w:bookmarkEnd w:id="356"/>
      <w:bookmarkEnd w:id="357"/>
    </w:p>
    <w:p w:rsidR="00661E10" w:rsidRDefault="00661E10" w:rsidP="00661E10">
      <w:r w:rsidRPr="00661E10">
        <w:t>The PA PUC Implementation Order for Phase II of Act 129 identifies the need to “ensure that credible … process evaluations are available for Phase II.” The</w:t>
      </w:r>
      <w:r w:rsidR="00B008F0" w:rsidRPr="00B008F0">
        <w:t xml:space="preserve"> </w:t>
      </w:r>
      <w:r w:rsidR="00B008F0">
        <w:t>SWE</w:t>
      </w:r>
      <w:r w:rsidRPr="00661E10">
        <w:t xml:space="preserve"> Phase II Evaluation Framework describes the purpose of process evaluation (“to determine if there are ways to alter the program to improve program cost-effectiveness or the program’s efficiency in acquiring resources”), identifies ways in which decision-makers can use the results of process evaluations, and describes process evaluation approaches and methodologies. The framework also states two specific process evaluation requirements applying to the EDCs: (1) that each process evaluation have a detailed plan that describes the objectives, sampling plan (for surveys, interviews, or focus groups), research activities, and specific issues to be addressed, along with a schedule of milestones and deliverables; and (2) that every program have at least one process evaluation in every funding cycle or phase.</w:t>
      </w:r>
    </w:p>
    <w:p w:rsidR="007D5AC4" w:rsidRDefault="007D5AC4" w:rsidP="00661E10"/>
    <w:p w:rsidR="007D5AC4" w:rsidRDefault="007D5AC4" w:rsidP="00E673F0">
      <w:pPr>
        <w:pStyle w:val="Heading3"/>
      </w:pPr>
      <w:bookmarkStart w:id="358" w:name="_Toc488765821"/>
      <w:r>
        <w:t>SWE Analysis of Phase II Process Evaluation</w:t>
      </w:r>
      <w:bookmarkEnd w:id="358"/>
    </w:p>
    <w:p w:rsidR="007D5AC4" w:rsidRDefault="007D5AC4" w:rsidP="00E06516">
      <w:pPr>
        <w:spacing w:after="120"/>
      </w:pPr>
      <w:r w:rsidRPr="007D5AC4">
        <w:t>The SWE Team’s Phase I final report discussed several lessons learned in Phase I about process evaluations. Observing that more time had been spent in Phase I on laying the “essential impact evaluation foundation” for Act 129 programs than on ensuring consistent and effective process evaluations, the SWE Team identified the need for greater structure in process evaluation activities for Phase II, including the following:</w:t>
      </w:r>
    </w:p>
    <w:p w:rsidR="007D5AC4" w:rsidRPr="007D5AC4" w:rsidRDefault="007D5AC4" w:rsidP="00E646C9">
      <w:pPr>
        <w:pStyle w:val="ListParagraph"/>
        <w:numPr>
          <w:ilvl w:val="0"/>
          <w:numId w:val="50"/>
        </w:numPr>
        <w:tabs>
          <w:tab w:val="num" w:pos="360"/>
        </w:tabs>
        <w:ind w:left="360"/>
      </w:pPr>
      <w:r w:rsidRPr="007D5AC4">
        <w:t>Follow-up to ensure that EDCs act on evaluation contractors’ recommendations</w:t>
      </w:r>
    </w:p>
    <w:p w:rsidR="007D5AC4" w:rsidRPr="007D5AC4" w:rsidRDefault="007D5AC4" w:rsidP="00E646C9">
      <w:pPr>
        <w:pStyle w:val="ListParagraph"/>
        <w:numPr>
          <w:ilvl w:val="0"/>
          <w:numId w:val="50"/>
        </w:numPr>
        <w:tabs>
          <w:tab w:val="num" w:pos="360"/>
        </w:tabs>
        <w:ind w:left="360"/>
      </w:pPr>
      <w:r w:rsidRPr="007D5AC4">
        <w:t>SWE review of survey methods and instruments to ensure consistency across similar programs and thoroughness of evaluation across portfolios</w:t>
      </w:r>
    </w:p>
    <w:p w:rsidR="007D5AC4" w:rsidRPr="007D5AC4" w:rsidRDefault="007D5AC4" w:rsidP="00E646C9">
      <w:pPr>
        <w:pStyle w:val="ListParagraph"/>
        <w:numPr>
          <w:ilvl w:val="0"/>
          <w:numId w:val="50"/>
        </w:numPr>
        <w:tabs>
          <w:tab w:val="num" w:pos="360"/>
        </w:tabs>
        <w:ind w:left="360"/>
      </w:pPr>
      <w:r w:rsidRPr="007D5AC4">
        <w:t>Earlier feedback to EDCs on evaluation contractors’ process evaluation results</w:t>
      </w:r>
    </w:p>
    <w:p w:rsidR="007D5AC4" w:rsidRPr="007D5AC4" w:rsidRDefault="007D5AC4" w:rsidP="00E646C9">
      <w:pPr>
        <w:pStyle w:val="ListParagraph"/>
        <w:numPr>
          <w:ilvl w:val="0"/>
          <w:numId w:val="50"/>
        </w:numPr>
        <w:tabs>
          <w:tab w:val="num" w:pos="360"/>
        </w:tabs>
        <w:ind w:left="360"/>
      </w:pPr>
      <w:r w:rsidRPr="007D5AC4">
        <w:t xml:space="preserve">Clear and consistent process evaluation plans </w:t>
      </w:r>
    </w:p>
    <w:p w:rsidR="007D5AC4" w:rsidRPr="007D5AC4" w:rsidRDefault="007D5AC4" w:rsidP="00E646C9">
      <w:pPr>
        <w:pStyle w:val="ListParagraph"/>
        <w:numPr>
          <w:ilvl w:val="0"/>
          <w:numId w:val="50"/>
        </w:numPr>
        <w:tabs>
          <w:tab w:val="num" w:pos="360"/>
        </w:tabs>
        <w:ind w:left="360"/>
      </w:pPr>
      <w:r w:rsidRPr="007D5AC4">
        <w:t>Clear and consistent reporting formats, covering both methodology and results</w:t>
      </w:r>
    </w:p>
    <w:p w:rsidR="007D5AC4" w:rsidRPr="007D5AC4" w:rsidRDefault="007D5AC4" w:rsidP="007D5AC4"/>
    <w:p w:rsidR="007D5AC4" w:rsidRPr="007D5AC4" w:rsidRDefault="007D5AC4" w:rsidP="007D5AC4">
      <w:r w:rsidRPr="007D5AC4">
        <w:t>To help lay the groundwork for the additional process evaluation guidance in Phase II, the SWE Team identified several process evaluation best practices. Those best practices addressed the types of data that process evaluations use, how process evaluations are designed, what is included in the evaluation plans, and the need for at least one process evaluation of every program in each phase. The report also summarized the primary types of process evaluation activities: standard comprehensive process evaluation; market characterization and assessment evaluation; topic-specific focused evaluation; early feedback evaluation; and real-time evaluation.</w:t>
      </w:r>
    </w:p>
    <w:p w:rsidR="007D5AC4" w:rsidRPr="007D5AC4" w:rsidRDefault="007D5AC4" w:rsidP="007D5AC4"/>
    <w:p w:rsidR="007D5AC4" w:rsidRPr="007D5AC4" w:rsidRDefault="007D5AC4" w:rsidP="007D5AC4">
      <w:r w:rsidRPr="007D5AC4">
        <w:t>The lessons learned and best practices from the SWE’s Phase I final report informed the process evaluation guidance incorporated into the Act 129 Eva</w:t>
      </w:r>
      <w:r>
        <w:t xml:space="preserve">luation Framework for Phase II. </w:t>
      </w:r>
      <w:r w:rsidRPr="007D5AC4">
        <w:t xml:space="preserve">In addition, the SWE added a firm with nationally recognized process evaluation expertise to its Phase II team, to oversee the team’s process evaluation guidance and conduct the process evaluation audits. Those guidance and audit activities have largely produced the desired results of more comprehensive and consistent process evaluations. </w:t>
      </w:r>
    </w:p>
    <w:p w:rsidR="007D5AC4" w:rsidRPr="007D5AC4" w:rsidRDefault="007D5AC4" w:rsidP="007D5AC4"/>
    <w:p w:rsidR="007D5AC4" w:rsidRPr="007D5AC4" w:rsidRDefault="0055129E" w:rsidP="007D5AC4">
      <w:r>
        <w:t>During</w:t>
      </w:r>
      <w:r w:rsidR="00F909DB">
        <w:t xml:space="preserve"> </w:t>
      </w:r>
      <w:r w:rsidR="007D5AC4" w:rsidRPr="007D5AC4">
        <w:t>Phase II the evaluation contractors generally followed the framework’s guidelines, such as evaluating each program at least once during the phase. With some exceptions identified in the various SWE final reports, the contractors’ evaluations for the EDCs generally followed the evaluation plans and incorporated appropriate sampling approaches, and the annual reports used SWE-prescribed tables, reported findings based on research activities, and included actionable recommendations based on research findings. The reports typically described the methods adequately and presented findings clearly. Again, exceptions are noted in the PY5 and PY6 SWE annual reports.</w:t>
      </w:r>
    </w:p>
    <w:p w:rsidR="007D5AC4" w:rsidRPr="007D5AC4" w:rsidRDefault="007D5AC4" w:rsidP="007D5AC4"/>
    <w:p w:rsidR="007D5AC4" w:rsidRPr="007D5AC4" w:rsidRDefault="007D5AC4" w:rsidP="007D5AC4">
      <w:r w:rsidRPr="007D5AC4">
        <w:t>In nearly all cases, even if the reports followed SWE guidelines and satisfied SWE requirements, the SWE Team identified some areas for improvement. The SWE Team identified considerably more reporting shortcomings for one evaluation contractor than for the others in PY5. The reports from that contractor showed considerable improvements over time, such that the PY7 report was on par with those of the other contractors.</w:t>
      </w:r>
    </w:p>
    <w:p w:rsidR="007D5AC4" w:rsidRPr="007D5AC4" w:rsidRDefault="007D5AC4" w:rsidP="007D5AC4"/>
    <w:p w:rsidR="007D5AC4" w:rsidRPr="007D5AC4" w:rsidRDefault="007D5AC4" w:rsidP="007D5AC4">
      <w:r w:rsidRPr="007D5AC4">
        <w:t>To build on the progress made in Phase II, the SWE Team offers the following additional observations and analyses that suggest areas for continued improvement.</w:t>
      </w:r>
    </w:p>
    <w:p w:rsidR="007D5AC4" w:rsidRPr="007D5AC4" w:rsidRDefault="007D5AC4" w:rsidP="007D5AC4"/>
    <w:p w:rsidR="007D5AC4" w:rsidRPr="00461F1B" w:rsidRDefault="007D5AC4" w:rsidP="00E673F0">
      <w:pPr>
        <w:pStyle w:val="Heading4"/>
      </w:pPr>
      <w:r w:rsidRPr="00461F1B">
        <w:t>Timing of Process Evaluations</w:t>
      </w:r>
    </w:p>
    <w:p w:rsidR="007D5AC4" w:rsidRPr="007D5AC4" w:rsidRDefault="007D5AC4" w:rsidP="007D5AC4">
      <w:r w:rsidRPr="007D5AC4">
        <w:t>The Phase II Evaluation Framework requirement that every program have at least one process evaluation in every funding cycle or phase did a reasonable job of preventing long intervals of time between process evaluations for a given program, even if that program had only one process evaluation in Phase I (PY1–4) and one in Phase II (PY5–7). However, starting in Phase III, each phase will encompass five program years. This means a program could go eight years without a process evaluation if it has one in the first program year of one phase and does not have another until the last program year of the next phase.</w:t>
      </w:r>
    </w:p>
    <w:p w:rsidR="007D5AC4" w:rsidRPr="007D5AC4" w:rsidRDefault="007D5AC4" w:rsidP="007D5AC4"/>
    <w:p w:rsidR="007D5AC4" w:rsidRPr="007D5AC4" w:rsidRDefault="007D5AC4" w:rsidP="007D5AC4">
      <w:r w:rsidRPr="007D5AC4">
        <w:t>The SWE Team recognizes that the TUS should not prescriptively specify the maximum interval that may exist between process evaluations for a given program, as other considerations may take precedence in the timing of process evaluations. However, the SWE Team suggests that the framework or other written guidance should specify that the number of years since the previous evaluation be one of several considerations in determining the timing of process evaluations. Other such considerations should include changes in program design, delivery channels, implementers, measures, or incentive levels; higher- or lower-than-expected savings or participation; and preparation for new program cycles.</w:t>
      </w:r>
    </w:p>
    <w:p w:rsidR="007D5AC4" w:rsidRPr="007D5AC4" w:rsidRDefault="007D5AC4" w:rsidP="007D5AC4"/>
    <w:p w:rsidR="007D5AC4" w:rsidRPr="007D5AC4" w:rsidRDefault="007D5AC4" w:rsidP="00E673F0">
      <w:pPr>
        <w:pStyle w:val="Heading4"/>
      </w:pPr>
      <w:r w:rsidRPr="007D5AC4">
        <w:t>Tracking the Status of Recommendations</w:t>
      </w:r>
    </w:p>
    <w:p w:rsidR="007D5AC4" w:rsidRDefault="007D5AC4" w:rsidP="007D5AC4">
      <w:r w:rsidRPr="007D5AC4">
        <w:t xml:space="preserve">As noted above, one of the key concerns identified in the SWE’s Phase I final report was that there should be follow-up to ensure that EDCs act on evaluation contractors’ recommendations. For Phase II, the SWE has requested that the evaluation contractors include a table in their annual reports listing the recommendations made to the EDCs and the status of each recommendation—that is, whether the EDC has implemented (or plans to implement) it, is still considering it, or rejected it (and if the latter, the reasons for rejection). </w:t>
      </w:r>
      <w:r w:rsidR="0055129E">
        <w:t>For e</w:t>
      </w:r>
      <w:r w:rsidRPr="007D5AC4">
        <w:t>ach year</w:t>
      </w:r>
      <w:r w:rsidR="0055129E">
        <w:t xml:space="preserve"> of Phase II</w:t>
      </w:r>
      <w:r w:rsidRPr="007D5AC4">
        <w:t>, the program evaluation contractors have included such a table in the EDC annual reports.</w:t>
      </w:r>
    </w:p>
    <w:p w:rsidR="00E06516" w:rsidRPr="007D5AC4" w:rsidRDefault="00E06516" w:rsidP="007D5AC4"/>
    <w:p w:rsidR="007D5AC4" w:rsidRPr="007D5AC4" w:rsidRDefault="007D5AC4" w:rsidP="007D5AC4">
      <w:r>
        <w:fldChar w:fldCharType="begin"/>
      </w:r>
      <w:r>
        <w:instrText xml:space="preserve"> REF _Ref473704576 \h </w:instrText>
      </w:r>
      <w:r>
        <w:fldChar w:fldCharType="separate"/>
      </w:r>
      <w:r w:rsidR="00037CB4" w:rsidRPr="007D5AC4">
        <w:t xml:space="preserve">Table </w:t>
      </w:r>
      <w:r w:rsidR="00037CB4">
        <w:rPr>
          <w:noProof/>
        </w:rPr>
        <w:t>5</w:t>
      </w:r>
      <w:r w:rsidR="00037CB4">
        <w:noBreakHyphen/>
      </w:r>
      <w:r w:rsidR="00037CB4">
        <w:rPr>
          <w:noProof/>
        </w:rPr>
        <w:t>1</w:t>
      </w:r>
      <w:r>
        <w:fldChar w:fldCharType="end"/>
      </w:r>
      <w:r>
        <w:t xml:space="preserve"> </w:t>
      </w:r>
      <w:r w:rsidRPr="007D5AC4">
        <w:t>summarizes the status of the recommendations, as recorded in the annual reports, both across EDCs for each program year and across program years for the EDCs. This table shows a trend toward fewer recommendations made over time and an increase in the percentage of recommendations that the EDCs had implemented, or decided to implement, by the time the annual reports were submitted to the SWE.</w:t>
      </w:r>
    </w:p>
    <w:p w:rsidR="007D5AC4" w:rsidRPr="007D5AC4" w:rsidRDefault="007D5AC4" w:rsidP="007D5AC4"/>
    <w:p w:rsidR="007D5AC4" w:rsidRPr="007D5AC4" w:rsidRDefault="007D5AC4" w:rsidP="004837FA">
      <w:pPr>
        <w:pStyle w:val="Caption"/>
      </w:pPr>
      <w:bookmarkStart w:id="359" w:name="_Ref473704576"/>
      <w:bookmarkStart w:id="360" w:name="_Toc488741765"/>
      <w:r w:rsidRPr="0077432E">
        <w:t xml:space="preserve">Table </w:t>
      </w:r>
      <w:r w:rsidR="007973A4">
        <w:fldChar w:fldCharType="begin"/>
      </w:r>
      <w:r w:rsidR="007973A4">
        <w:instrText xml:space="preserve"> STYLEREF 1 \s </w:instrText>
      </w:r>
      <w:r w:rsidR="007973A4">
        <w:fldChar w:fldCharType="separate"/>
      </w:r>
      <w:r w:rsidR="00037CB4" w:rsidRPr="0077432E">
        <w:rPr>
          <w:noProof/>
        </w:rPr>
        <w:t>5</w:t>
      </w:r>
      <w:r w:rsidR="007973A4">
        <w:rPr>
          <w:noProof/>
        </w:rPr>
        <w:fldChar w:fldCharType="end"/>
      </w:r>
      <w:r w:rsidR="00E6042C" w:rsidRPr="0077432E">
        <w:noBreakHyphen/>
      </w:r>
      <w:r w:rsidR="007973A4">
        <w:fldChar w:fldCharType="begin"/>
      </w:r>
      <w:r w:rsidR="007973A4">
        <w:instrText xml:space="preserve"> SEQ Table \* ARABIC \s 1 </w:instrText>
      </w:r>
      <w:r w:rsidR="007973A4">
        <w:fldChar w:fldCharType="separate"/>
      </w:r>
      <w:r w:rsidR="00037CB4" w:rsidRPr="0077432E">
        <w:rPr>
          <w:noProof/>
        </w:rPr>
        <w:t>1</w:t>
      </w:r>
      <w:r w:rsidR="007973A4">
        <w:rPr>
          <w:noProof/>
        </w:rPr>
        <w:fldChar w:fldCharType="end"/>
      </w:r>
      <w:bookmarkEnd w:id="359"/>
      <w:r w:rsidRPr="0077432E">
        <w:t>: Summary of Status of Recommendations, by EDC and Program Year</w:t>
      </w:r>
      <w:bookmarkEnd w:id="360"/>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53"/>
        <w:gridCol w:w="1909"/>
        <w:gridCol w:w="1866"/>
        <w:gridCol w:w="1869"/>
        <w:gridCol w:w="1943"/>
      </w:tblGrid>
      <w:tr w:rsidR="00A874AC" w:rsidRPr="00461F1B" w:rsidTr="00197204">
        <w:trPr>
          <w:trHeight w:val="141"/>
          <w:tblHeader/>
        </w:trPr>
        <w:tc>
          <w:tcPr>
            <w:tcW w:w="1777" w:type="dxa"/>
            <w:tcBorders>
              <w:bottom w:val="single" w:sz="8" w:space="0" w:color="FFFFFF" w:themeColor="background1"/>
            </w:tcBorders>
            <w:shd w:val="clear" w:color="auto" w:fill="448A99"/>
            <w:vAlign w:val="bottom"/>
          </w:tcPr>
          <w:p w:rsidR="007D5AC4" w:rsidRPr="00461F1B" w:rsidRDefault="007D5AC4" w:rsidP="00E06516">
            <w:pPr>
              <w:jc w:val="center"/>
              <w:rPr>
                <w:b/>
                <w:color w:val="FFFFFF"/>
                <w:sz w:val="19"/>
                <w:szCs w:val="19"/>
              </w:rPr>
            </w:pPr>
          </w:p>
        </w:tc>
        <w:tc>
          <w:tcPr>
            <w:tcW w:w="1917" w:type="dxa"/>
            <w:tcBorders>
              <w:bottom w:val="single" w:sz="8" w:space="0" w:color="FFFFFF" w:themeColor="background1"/>
            </w:tcBorders>
            <w:shd w:val="clear" w:color="auto" w:fill="448A99"/>
            <w:vAlign w:val="bottom"/>
          </w:tcPr>
          <w:p w:rsidR="007D5AC4" w:rsidRPr="00461F1B" w:rsidRDefault="007D5AC4" w:rsidP="00E06516">
            <w:pPr>
              <w:jc w:val="center"/>
              <w:rPr>
                <w:b/>
                <w:color w:val="FFFFFF"/>
                <w:sz w:val="19"/>
                <w:szCs w:val="19"/>
              </w:rPr>
            </w:pPr>
            <w:r w:rsidRPr="00461F1B">
              <w:rPr>
                <w:b/>
                <w:color w:val="FFFFFF"/>
                <w:sz w:val="19"/>
                <w:szCs w:val="19"/>
              </w:rPr>
              <w:t>Number of Recommendations</w:t>
            </w:r>
          </w:p>
        </w:tc>
        <w:tc>
          <w:tcPr>
            <w:tcW w:w="1887" w:type="dxa"/>
            <w:tcBorders>
              <w:bottom w:val="single" w:sz="8" w:space="0" w:color="FFFFFF" w:themeColor="background1"/>
            </w:tcBorders>
            <w:shd w:val="clear" w:color="auto" w:fill="448A99"/>
            <w:vAlign w:val="bottom"/>
          </w:tcPr>
          <w:p w:rsidR="007D5AC4" w:rsidRPr="00461F1B" w:rsidRDefault="007D5AC4" w:rsidP="00E06516">
            <w:pPr>
              <w:jc w:val="center"/>
              <w:rPr>
                <w:b/>
                <w:color w:val="FFFFFF"/>
                <w:sz w:val="19"/>
                <w:szCs w:val="19"/>
              </w:rPr>
            </w:pPr>
            <w:r w:rsidRPr="00461F1B">
              <w:rPr>
                <w:b/>
                <w:color w:val="FFFFFF"/>
                <w:sz w:val="19"/>
                <w:szCs w:val="19"/>
              </w:rPr>
              <w:t>Percent Accepted or Implemented</w:t>
            </w:r>
          </w:p>
        </w:tc>
        <w:tc>
          <w:tcPr>
            <w:tcW w:w="1889" w:type="dxa"/>
            <w:tcBorders>
              <w:bottom w:val="single" w:sz="8" w:space="0" w:color="FFFFFF" w:themeColor="background1"/>
            </w:tcBorders>
            <w:shd w:val="clear" w:color="auto" w:fill="448A99"/>
            <w:vAlign w:val="bottom"/>
          </w:tcPr>
          <w:p w:rsidR="007D5AC4" w:rsidRPr="00461F1B" w:rsidRDefault="007D5AC4" w:rsidP="00E06516">
            <w:pPr>
              <w:jc w:val="center"/>
              <w:rPr>
                <w:b/>
                <w:color w:val="FFFFFF"/>
                <w:sz w:val="19"/>
                <w:szCs w:val="19"/>
              </w:rPr>
            </w:pPr>
            <w:r w:rsidRPr="00461F1B">
              <w:rPr>
                <w:b/>
                <w:color w:val="FFFFFF"/>
                <w:sz w:val="19"/>
                <w:szCs w:val="19"/>
              </w:rPr>
              <w:t>Percent under Consideration</w:t>
            </w:r>
          </w:p>
        </w:tc>
        <w:tc>
          <w:tcPr>
            <w:tcW w:w="1980" w:type="dxa"/>
            <w:tcBorders>
              <w:bottom w:val="single" w:sz="8" w:space="0" w:color="FFFFFF" w:themeColor="background1"/>
            </w:tcBorders>
            <w:shd w:val="clear" w:color="auto" w:fill="448A99"/>
            <w:vAlign w:val="bottom"/>
          </w:tcPr>
          <w:p w:rsidR="007D5AC4" w:rsidRPr="00461F1B" w:rsidRDefault="007D5AC4" w:rsidP="00E06516">
            <w:pPr>
              <w:jc w:val="center"/>
              <w:rPr>
                <w:b/>
                <w:color w:val="FFFFFF"/>
                <w:sz w:val="19"/>
                <w:szCs w:val="19"/>
              </w:rPr>
            </w:pPr>
            <w:r w:rsidRPr="00461F1B">
              <w:rPr>
                <w:b/>
                <w:color w:val="FFFFFF"/>
                <w:sz w:val="19"/>
                <w:szCs w:val="19"/>
              </w:rPr>
              <w:t>Percent Rejected</w:t>
            </w:r>
          </w:p>
        </w:tc>
      </w:tr>
      <w:tr w:rsidR="007D5AC4" w:rsidRPr="00461F1B" w:rsidTr="00197204">
        <w:trPr>
          <w:trHeight w:val="141"/>
          <w:tblHeader/>
        </w:trPr>
        <w:tc>
          <w:tcPr>
            <w:tcW w:w="9450" w:type="dxa"/>
            <w:gridSpan w:val="5"/>
            <w:tcBorders>
              <w:top w:val="single" w:sz="8" w:space="0" w:color="FFFFFF" w:themeColor="background1"/>
              <w:bottom w:val="single" w:sz="8" w:space="0" w:color="FFFFFF" w:themeColor="background1"/>
            </w:tcBorders>
            <w:shd w:val="clear" w:color="auto" w:fill="9C9393"/>
            <w:vAlign w:val="bottom"/>
          </w:tcPr>
          <w:p w:rsidR="007D5AC4" w:rsidRPr="00461F1B" w:rsidRDefault="007D5AC4" w:rsidP="00E06516">
            <w:pPr>
              <w:jc w:val="left"/>
              <w:rPr>
                <w:b/>
                <w:color w:val="FFFFFF"/>
                <w:sz w:val="19"/>
                <w:szCs w:val="19"/>
              </w:rPr>
            </w:pPr>
            <w:r w:rsidRPr="00461F1B">
              <w:rPr>
                <w:b/>
                <w:color w:val="FFFFFF"/>
                <w:sz w:val="19"/>
                <w:szCs w:val="19"/>
              </w:rPr>
              <w:t>Program Year Totals, across all EDCs</w:t>
            </w:r>
            <w:r w:rsidR="00835821">
              <w:rPr>
                <w:b/>
                <w:color w:val="FFFFFF"/>
                <w:sz w:val="19"/>
                <w:szCs w:val="19"/>
              </w:rPr>
              <w:t xml:space="preserve"> (as reported in each EDCs Annual Report)</w:t>
            </w:r>
          </w:p>
        </w:tc>
      </w:tr>
      <w:tr w:rsidR="00A874AC" w:rsidRPr="00461F1B" w:rsidTr="00197204">
        <w:trPr>
          <w:trHeight w:val="141"/>
        </w:trPr>
        <w:tc>
          <w:tcPr>
            <w:tcW w:w="1777" w:type="dxa"/>
            <w:tcBorders>
              <w:top w:val="single" w:sz="8" w:space="0" w:color="448A99"/>
              <w:left w:val="single" w:sz="8" w:space="0" w:color="448A99"/>
              <w:bottom w:val="single" w:sz="8" w:space="0" w:color="448A99"/>
              <w:right w:val="single" w:sz="8" w:space="0" w:color="448A99"/>
            </w:tcBorders>
            <w:shd w:val="clear" w:color="auto" w:fill="D2EAF1"/>
          </w:tcPr>
          <w:p w:rsidR="007D5AC4" w:rsidRPr="00461F1B" w:rsidRDefault="007D5AC4" w:rsidP="007D5AC4">
            <w:pPr>
              <w:jc w:val="left"/>
              <w:rPr>
                <w:sz w:val="19"/>
                <w:szCs w:val="19"/>
              </w:rPr>
            </w:pPr>
            <w:r w:rsidRPr="00461F1B">
              <w:rPr>
                <w:sz w:val="19"/>
                <w:szCs w:val="19"/>
              </w:rPr>
              <w:t>PY5</w:t>
            </w:r>
          </w:p>
        </w:tc>
        <w:tc>
          <w:tcPr>
            <w:tcW w:w="1917"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445</w:t>
            </w:r>
          </w:p>
        </w:tc>
        <w:tc>
          <w:tcPr>
            <w:tcW w:w="1887"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32%</w:t>
            </w:r>
          </w:p>
        </w:tc>
        <w:tc>
          <w:tcPr>
            <w:tcW w:w="1889"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67%</w:t>
            </w:r>
          </w:p>
        </w:tc>
        <w:tc>
          <w:tcPr>
            <w:tcW w:w="1980"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2%</w:t>
            </w:r>
          </w:p>
        </w:tc>
      </w:tr>
      <w:tr w:rsidR="007D5AC4" w:rsidRPr="00461F1B" w:rsidTr="00197204">
        <w:trPr>
          <w:trHeight w:val="141"/>
        </w:trPr>
        <w:tc>
          <w:tcPr>
            <w:tcW w:w="1777" w:type="dxa"/>
          </w:tcPr>
          <w:p w:rsidR="007D5AC4" w:rsidRPr="00461F1B" w:rsidRDefault="007D5AC4" w:rsidP="007D5AC4">
            <w:pPr>
              <w:jc w:val="left"/>
              <w:rPr>
                <w:sz w:val="19"/>
                <w:szCs w:val="19"/>
              </w:rPr>
            </w:pPr>
            <w:r w:rsidRPr="00461F1B">
              <w:rPr>
                <w:sz w:val="19"/>
                <w:szCs w:val="19"/>
              </w:rPr>
              <w:t>PY6</w:t>
            </w:r>
          </w:p>
        </w:tc>
        <w:tc>
          <w:tcPr>
            <w:tcW w:w="1917" w:type="dxa"/>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362</w:t>
            </w:r>
          </w:p>
        </w:tc>
        <w:tc>
          <w:tcPr>
            <w:tcW w:w="1887" w:type="dxa"/>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36%</w:t>
            </w:r>
          </w:p>
        </w:tc>
        <w:tc>
          <w:tcPr>
            <w:tcW w:w="1889" w:type="dxa"/>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61%</w:t>
            </w:r>
          </w:p>
        </w:tc>
        <w:tc>
          <w:tcPr>
            <w:tcW w:w="1980" w:type="dxa"/>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3%</w:t>
            </w:r>
          </w:p>
        </w:tc>
      </w:tr>
      <w:tr w:rsidR="00A874AC" w:rsidRPr="00461F1B" w:rsidTr="00197204">
        <w:trPr>
          <w:trHeight w:val="141"/>
        </w:trPr>
        <w:tc>
          <w:tcPr>
            <w:tcW w:w="1777" w:type="dxa"/>
            <w:tcBorders>
              <w:top w:val="single" w:sz="8" w:space="0" w:color="448A99"/>
              <w:left w:val="single" w:sz="8" w:space="0" w:color="448A99"/>
              <w:bottom w:val="single" w:sz="8" w:space="0" w:color="448A99"/>
              <w:right w:val="single" w:sz="8" w:space="0" w:color="448A99"/>
            </w:tcBorders>
            <w:shd w:val="clear" w:color="auto" w:fill="D2EAF1"/>
          </w:tcPr>
          <w:p w:rsidR="007D5AC4" w:rsidRPr="00461F1B" w:rsidRDefault="007D5AC4" w:rsidP="007D5AC4">
            <w:pPr>
              <w:jc w:val="left"/>
              <w:rPr>
                <w:sz w:val="19"/>
                <w:szCs w:val="19"/>
              </w:rPr>
            </w:pPr>
            <w:r w:rsidRPr="00461F1B">
              <w:rPr>
                <w:sz w:val="19"/>
                <w:szCs w:val="19"/>
              </w:rPr>
              <w:t>PY7</w:t>
            </w:r>
          </w:p>
        </w:tc>
        <w:tc>
          <w:tcPr>
            <w:tcW w:w="1917"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175</w:t>
            </w:r>
          </w:p>
        </w:tc>
        <w:tc>
          <w:tcPr>
            <w:tcW w:w="1887"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59%</w:t>
            </w:r>
          </w:p>
        </w:tc>
        <w:tc>
          <w:tcPr>
            <w:tcW w:w="1889"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30%</w:t>
            </w:r>
          </w:p>
        </w:tc>
        <w:tc>
          <w:tcPr>
            <w:tcW w:w="1980"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11%</w:t>
            </w:r>
          </w:p>
        </w:tc>
      </w:tr>
      <w:tr w:rsidR="007D5AC4" w:rsidRPr="00461F1B" w:rsidTr="00197204">
        <w:trPr>
          <w:trHeight w:val="141"/>
          <w:tblHeader/>
        </w:trPr>
        <w:tc>
          <w:tcPr>
            <w:tcW w:w="9450" w:type="dxa"/>
            <w:gridSpan w:val="5"/>
            <w:tcBorders>
              <w:top w:val="single" w:sz="8" w:space="0" w:color="FFFFFF" w:themeColor="background1"/>
              <w:bottom w:val="single" w:sz="8" w:space="0" w:color="FFFFFF" w:themeColor="background1"/>
            </w:tcBorders>
            <w:shd w:val="clear" w:color="auto" w:fill="9C9393"/>
            <w:vAlign w:val="bottom"/>
          </w:tcPr>
          <w:p w:rsidR="007D5AC4" w:rsidRPr="00461F1B" w:rsidRDefault="007D5AC4" w:rsidP="00E06516">
            <w:pPr>
              <w:jc w:val="left"/>
              <w:rPr>
                <w:b/>
                <w:color w:val="FFFFFF"/>
                <w:sz w:val="19"/>
                <w:szCs w:val="19"/>
              </w:rPr>
            </w:pPr>
            <w:r w:rsidRPr="00461F1B">
              <w:rPr>
                <w:b/>
                <w:color w:val="FFFFFF"/>
                <w:sz w:val="19"/>
                <w:szCs w:val="19"/>
              </w:rPr>
              <w:t>Phase II Totals, by EDC</w:t>
            </w:r>
            <w:r w:rsidR="00835821">
              <w:rPr>
                <w:b/>
                <w:color w:val="FFFFFF"/>
                <w:sz w:val="19"/>
                <w:szCs w:val="19"/>
              </w:rPr>
              <w:t xml:space="preserve"> (as reported in each EDCs Annual Report)</w:t>
            </w:r>
          </w:p>
        </w:tc>
      </w:tr>
      <w:tr w:rsidR="00A874AC" w:rsidRPr="00461F1B" w:rsidTr="00197204">
        <w:trPr>
          <w:trHeight w:val="141"/>
        </w:trPr>
        <w:tc>
          <w:tcPr>
            <w:tcW w:w="1777" w:type="dxa"/>
            <w:tcBorders>
              <w:top w:val="single" w:sz="8" w:space="0" w:color="FFFFFF" w:themeColor="background1"/>
            </w:tcBorders>
            <w:shd w:val="clear" w:color="auto" w:fill="D2EAF1"/>
          </w:tcPr>
          <w:p w:rsidR="007D5AC4" w:rsidRPr="00461F1B" w:rsidRDefault="007D5AC4" w:rsidP="007D5AC4">
            <w:pPr>
              <w:jc w:val="left"/>
              <w:rPr>
                <w:sz w:val="19"/>
                <w:szCs w:val="19"/>
              </w:rPr>
            </w:pPr>
            <w:r w:rsidRPr="00461F1B">
              <w:rPr>
                <w:sz w:val="19"/>
                <w:szCs w:val="19"/>
              </w:rPr>
              <w:t>Duquesne</w:t>
            </w:r>
          </w:p>
        </w:tc>
        <w:tc>
          <w:tcPr>
            <w:tcW w:w="1917" w:type="dxa"/>
            <w:tcBorders>
              <w:top w:val="single" w:sz="8" w:space="0" w:color="FFFFFF" w:themeColor="background1"/>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54</w:t>
            </w:r>
          </w:p>
        </w:tc>
        <w:tc>
          <w:tcPr>
            <w:tcW w:w="1887" w:type="dxa"/>
            <w:tcBorders>
              <w:top w:val="single" w:sz="8" w:space="0" w:color="FFFFFF" w:themeColor="background1"/>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0%</w:t>
            </w:r>
          </w:p>
        </w:tc>
        <w:tc>
          <w:tcPr>
            <w:tcW w:w="1889" w:type="dxa"/>
            <w:tcBorders>
              <w:top w:val="single" w:sz="8" w:space="0" w:color="FFFFFF" w:themeColor="background1"/>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78%</w:t>
            </w:r>
          </w:p>
        </w:tc>
        <w:tc>
          <w:tcPr>
            <w:tcW w:w="1980" w:type="dxa"/>
            <w:tcBorders>
              <w:top w:val="single" w:sz="8" w:space="0" w:color="FFFFFF" w:themeColor="background1"/>
            </w:tcBorders>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22%</w:t>
            </w:r>
          </w:p>
        </w:tc>
      </w:tr>
      <w:tr w:rsidR="007D5AC4" w:rsidRPr="00461F1B" w:rsidTr="00197204">
        <w:trPr>
          <w:trHeight w:val="141"/>
        </w:trPr>
        <w:tc>
          <w:tcPr>
            <w:tcW w:w="1777" w:type="dxa"/>
          </w:tcPr>
          <w:p w:rsidR="007D5AC4" w:rsidRPr="00461F1B" w:rsidRDefault="007D5AC4" w:rsidP="007D5AC4">
            <w:pPr>
              <w:jc w:val="left"/>
              <w:rPr>
                <w:sz w:val="19"/>
                <w:szCs w:val="19"/>
              </w:rPr>
            </w:pPr>
            <w:r w:rsidRPr="00461F1B">
              <w:rPr>
                <w:sz w:val="19"/>
                <w:szCs w:val="19"/>
              </w:rPr>
              <w:t>FirstEnergy EDCs</w:t>
            </w:r>
            <w:r w:rsidRPr="00461F1B">
              <w:rPr>
                <w:sz w:val="19"/>
                <w:szCs w:val="19"/>
                <w:vertAlign w:val="superscript"/>
              </w:rPr>
              <w:t>[a]</w:t>
            </w:r>
          </w:p>
        </w:tc>
        <w:tc>
          <w:tcPr>
            <w:tcW w:w="1917" w:type="dxa"/>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213</w:t>
            </w:r>
          </w:p>
        </w:tc>
        <w:tc>
          <w:tcPr>
            <w:tcW w:w="1887" w:type="dxa"/>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44%</w:t>
            </w:r>
          </w:p>
        </w:tc>
        <w:tc>
          <w:tcPr>
            <w:tcW w:w="1889" w:type="dxa"/>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52%</w:t>
            </w:r>
          </w:p>
        </w:tc>
        <w:tc>
          <w:tcPr>
            <w:tcW w:w="1980" w:type="dxa"/>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4%</w:t>
            </w:r>
          </w:p>
        </w:tc>
      </w:tr>
      <w:tr w:rsidR="00A874AC" w:rsidRPr="00461F1B" w:rsidTr="00197204">
        <w:trPr>
          <w:trHeight w:val="141"/>
        </w:trPr>
        <w:tc>
          <w:tcPr>
            <w:tcW w:w="1777" w:type="dxa"/>
            <w:shd w:val="clear" w:color="auto" w:fill="D2EAF1"/>
          </w:tcPr>
          <w:p w:rsidR="007D5AC4" w:rsidRPr="00461F1B" w:rsidRDefault="007D5AC4" w:rsidP="007D5AC4">
            <w:pPr>
              <w:jc w:val="left"/>
              <w:rPr>
                <w:sz w:val="19"/>
                <w:szCs w:val="19"/>
              </w:rPr>
            </w:pPr>
            <w:r w:rsidRPr="00461F1B">
              <w:rPr>
                <w:sz w:val="19"/>
                <w:szCs w:val="19"/>
              </w:rPr>
              <w:t>PECO</w:t>
            </w:r>
          </w:p>
        </w:tc>
        <w:tc>
          <w:tcPr>
            <w:tcW w:w="1917" w:type="dxa"/>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81</w:t>
            </w:r>
          </w:p>
        </w:tc>
        <w:tc>
          <w:tcPr>
            <w:tcW w:w="1887" w:type="dxa"/>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65%</w:t>
            </w:r>
          </w:p>
        </w:tc>
        <w:tc>
          <w:tcPr>
            <w:tcW w:w="1889" w:type="dxa"/>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32%</w:t>
            </w:r>
          </w:p>
        </w:tc>
        <w:tc>
          <w:tcPr>
            <w:tcW w:w="1980" w:type="dxa"/>
            <w:shd w:val="clear" w:color="auto" w:fill="D2EAF1"/>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2%</w:t>
            </w:r>
          </w:p>
        </w:tc>
      </w:tr>
      <w:tr w:rsidR="007D5AC4" w:rsidRPr="00461F1B" w:rsidTr="00197204">
        <w:trPr>
          <w:trHeight w:val="141"/>
        </w:trPr>
        <w:tc>
          <w:tcPr>
            <w:tcW w:w="1777" w:type="dxa"/>
            <w:tcBorders>
              <w:bottom w:val="single" w:sz="2" w:space="0" w:color="448A99"/>
            </w:tcBorders>
          </w:tcPr>
          <w:p w:rsidR="007D5AC4" w:rsidRPr="00461F1B" w:rsidRDefault="007D5AC4" w:rsidP="007D5AC4">
            <w:pPr>
              <w:jc w:val="left"/>
              <w:rPr>
                <w:sz w:val="19"/>
                <w:szCs w:val="19"/>
              </w:rPr>
            </w:pPr>
            <w:r w:rsidRPr="00461F1B">
              <w:rPr>
                <w:sz w:val="19"/>
                <w:szCs w:val="19"/>
              </w:rPr>
              <w:t>PPL</w:t>
            </w:r>
          </w:p>
        </w:tc>
        <w:tc>
          <w:tcPr>
            <w:tcW w:w="1917" w:type="dxa"/>
            <w:tcBorders>
              <w:bottom w:val="single" w:sz="2" w:space="0" w:color="448A99"/>
            </w:tcBorders>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634</w:t>
            </w:r>
          </w:p>
        </w:tc>
        <w:tc>
          <w:tcPr>
            <w:tcW w:w="1887" w:type="dxa"/>
            <w:tcBorders>
              <w:bottom w:val="single" w:sz="2" w:space="0" w:color="448A99"/>
            </w:tcBorders>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36%</w:t>
            </w:r>
          </w:p>
        </w:tc>
        <w:tc>
          <w:tcPr>
            <w:tcW w:w="1889" w:type="dxa"/>
            <w:tcBorders>
              <w:bottom w:val="single" w:sz="2" w:space="0" w:color="448A99"/>
            </w:tcBorders>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62%</w:t>
            </w:r>
          </w:p>
        </w:tc>
        <w:tc>
          <w:tcPr>
            <w:tcW w:w="1980" w:type="dxa"/>
            <w:tcBorders>
              <w:bottom w:val="single" w:sz="2" w:space="0" w:color="448A99"/>
            </w:tcBorders>
            <w:vAlign w:val="bottom"/>
          </w:tcPr>
          <w:p w:rsidR="007D5AC4" w:rsidRPr="00461F1B" w:rsidRDefault="007D5AC4" w:rsidP="007D5AC4">
            <w:pPr>
              <w:autoSpaceDE w:val="0"/>
              <w:autoSpaceDN w:val="0"/>
              <w:adjustRightInd w:val="0"/>
              <w:contextualSpacing/>
              <w:jc w:val="center"/>
              <w:rPr>
                <w:sz w:val="19"/>
                <w:szCs w:val="19"/>
              </w:rPr>
            </w:pPr>
            <w:r w:rsidRPr="00461F1B">
              <w:rPr>
                <w:sz w:val="19"/>
                <w:szCs w:val="19"/>
              </w:rPr>
              <w:t>2%</w:t>
            </w:r>
          </w:p>
        </w:tc>
      </w:tr>
      <w:tr w:rsidR="007D5AC4" w:rsidRPr="00C4216E" w:rsidTr="00197204">
        <w:trPr>
          <w:trHeight w:val="141"/>
          <w:tblHeader/>
        </w:trPr>
        <w:tc>
          <w:tcPr>
            <w:tcW w:w="9450" w:type="dxa"/>
            <w:gridSpan w:val="5"/>
            <w:tcBorders>
              <w:top w:val="single" w:sz="2" w:space="0" w:color="448A99"/>
              <w:left w:val="single" w:sz="2" w:space="0" w:color="448A99"/>
              <w:bottom w:val="single" w:sz="2" w:space="0" w:color="448A99"/>
              <w:right w:val="single" w:sz="2" w:space="0" w:color="448A99"/>
            </w:tcBorders>
            <w:shd w:val="clear" w:color="auto" w:fill="448A99"/>
            <w:vAlign w:val="bottom"/>
          </w:tcPr>
          <w:p w:rsidR="00197204" w:rsidRPr="00C4216E" w:rsidRDefault="00197204" w:rsidP="007D5AC4">
            <w:pPr>
              <w:rPr>
                <w:bCs/>
                <w:color w:val="FFFFFF" w:themeColor="background1"/>
                <w:sz w:val="18"/>
                <w:szCs w:val="19"/>
              </w:rPr>
            </w:pPr>
            <w:r w:rsidRPr="00C4216E">
              <w:rPr>
                <w:bCs/>
                <w:color w:val="FFFFFF" w:themeColor="background1"/>
                <w:sz w:val="18"/>
                <w:szCs w:val="19"/>
              </w:rPr>
              <w:t>NOTES:</w:t>
            </w:r>
          </w:p>
          <w:p w:rsidR="007D5AC4" w:rsidRPr="00C4216E" w:rsidRDefault="007D5AC4" w:rsidP="007D5AC4">
            <w:pPr>
              <w:rPr>
                <w:b/>
                <w:color w:val="FFFFFF"/>
                <w:sz w:val="18"/>
                <w:szCs w:val="19"/>
              </w:rPr>
            </w:pPr>
            <w:r w:rsidRPr="00C4216E">
              <w:rPr>
                <w:bCs/>
                <w:color w:val="FFFFFF" w:themeColor="background1"/>
                <w:sz w:val="18"/>
                <w:szCs w:val="19"/>
              </w:rPr>
              <w:t>[a]</w:t>
            </w:r>
            <w:r w:rsidRPr="00C4216E">
              <w:rPr>
                <w:b/>
                <w:color w:val="FFFFFF" w:themeColor="background1"/>
                <w:sz w:val="18"/>
                <w:szCs w:val="19"/>
              </w:rPr>
              <w:t xml:space="preserve"> </w:t>
            </w:r>
            <w:r w:rsidRPr="00C4216E">
              <w:rPr>
                <w:color w:val="FFFFFF" w:themeColor="background1"/>
                <w:sz w:val="18"/>
                <w:szCs w:val="19"/>
              </w:rPr>
              <w:t>FirstEnergy’s evaluation contractor, ADM, took unified process evaluation approaches across the four FirstEnergy EDCs, and so the annual evaluation reports of the four EDCs show identical or nearly identical information about the process evaluation, including recommendations. The SWE Team therefore presents the status of the recommendations for all FirstEnergy EDCs just once.</w:t>
            </w:r>
          </w:p>
        </w:tc>
      </w:tr>
    </w:tbl>
    <w:p w:rsidR="007D5AC4" w:rsidRPr="00197204" w:rsidRDefault="007D5AC4" w:rsidP="00197204"/>
    <w:p w:rsidR="007D5AC4" w:rsidRPr="007D5AC4" w:rsidRDefault="007D5AC4" w:rsidP="007D5AC4">
      <w:r w:rsidRPr="007D5AC4">
        <w:t>The SWE Team notes that, in every year, the Duquesne annual report showed that most of Navigant’s recommendations were still under consideration, while substantial percentages of the recommendations made to other EDCs had been accepted. The reason for this is not clear. In PY6, the SWE Team followed up with all EDCs to assess the status of PY5 recommendations that were still under consideration at the time of the PY5 EDC annual reports. That analysis found that Duquesne eventually implemented or planned to implement a large majority (83%) of the Navigant recommendations that previously were still under consideration.</w:t>
      </w:r>
      <w:r w:rsidR="00835821">
        <w:rPr>
          <w:rStyle w:val="FootnoteReference"/>
        </w:rPr>
        <w:footnoteReference w:id="25"/>
      </w:r>
      <w:r w:rsidRPr="007D5AC4">
        <w:t xml:space="preserve"> Similarly, when the SWE Team followed up with Duquesne to assess the status of the PY7 recommendations for the current report, Duquesne reported that it either planned to implement or already had implemented all of Navigant’s recommendations.</w:t>
      </w:r>
    </w:p>
    <w:p w:rsidR="007D5AC4" w:rsidRPr="007D5AC4" w:rsidRDefault="007D5AC4" w:rsidP="007D5AC4"/>
    <w:p w:rsidR="007D5AC4" w:rsidRPr="007D5AC4" w:rsidRDefault="007D5AC4" w:rsidP="007D5AC4">
      <w:pPr>
        <w:rPr>
          <w:sz w:val="24"/>
          <w:szCs w:val="24"/>
        </w:rPr>
      </w:pPr>
      <w:r w:rsidRPr="007D5AC4">
        <w:t>The SWE Team followed up with Duquesne to find out why it had not noted acceptance of any Navigant recommendations in time for that to be reflected in the annual reports. The Duquesne contact reported that the company was implementing a full Customer Care and Billing System starting at the end of 2014 and continuing into 2016. That activity drew much of the company’s resources. Therefore, for the annual reports, the company stated that recommendations were under consideration rather than committing to any recommendation and then later delaying implementation because the resources were not available.</w:t>
      </w:r>
    </w:p>
    <w:p w:rsidR="007D5AC4" w:rsidRPr="007D5AC4" w:rsidRDefault="007D5AC4" w:rsidP="007D5AC4"/>
    <w:p w:rsidR="007D5AC4" w:rsidRPr="007D5AC4" w:rsidRDefault="007D5AC4" w:rsidP="007D5AC4">
      <w:r w:rsidRPr="007D5AC4">
        <w:t xml:space="preserve">A contact for Duquesne’s evaluation consultant, Navigant, has noted that it should not matter whether the EDC annual report for a given program year identifies a given recommendation as accepted. The report appears in the middle of the following program year, so any recommendations in that report could not influence any major implementation decisions in that new program year. The SWE Team understands this point, </w:t>
      </w:r>
      <w:r w:rsidR="0055129E">
        <w:t>but does not agree with it. First, a key</w:t>
      </w:r>
      <w:r w:rsidR="0055129E" w:rsidRPr="007D5AC4">
        <w:t xml:space="preserve"> </w:t>
      </w:r>
      <w:r w:rsidRPr="007D5AC4">
        <w:t xml:space="preserve">purpose of </w:t>
      </w:r>
      <w:r w:rsidR="0055129E">
        <w:t xml:space="preserve">EDC </w:t>
      </w:r>
      <w:r w:rsidRPr="007D5AC4">
        <w:t xml:space="preserve">reporting </w:t>
      </w:r>
      <w:r w:rsidR="0055129E">
        <w:t>to the PUC the status of</w:t>
      </w:r>
      <w:r w:rsidR="0055129E" w:rsidRPr="007D5AC4">
        <w:t xml:space="preserve"> </w:t>
      </w:r>
      <w:r w:rsidRPr="007D5AC4">
        <w:t>recommendations and the EDCs’ responses to them is to show whether the evaluation contractors have provided clear and actionable recommendations and that the EDCs have given them due consideration.</w:t>
      </w:r>
      <w:r w:rsidR="0055129E">
        <w:t xml:space="preserve"> Second, it is the view of the Phase II SWE Team that evaluation recommendations that can improve the efficiency and effectiveness of a program can most often be implemented at any time, not just at the beginning of a program year.</w:t>
      </w:r>
    </w:p>
    <w:p w:rsidR="007D5AC4" w:rsidRPr="007D5AC4" w:rsidRDefault="007D5AC4" w:rsidP="007D5AC4"/>
    <w:p w:rsidR="007D5AC4" w:rsidRPr="007D5AC4" w:rsidRDefault="007D5AC4" w:rsidP="007D5AC4">
      <w:r w:rsidRPr="007D5AC4">
        <w:t>Therefore, the SWE Team recommends that the TUS and the SWE Team for Phase III consider developing guidance to ensure that all EDCs have or take adequate time to review and make decisions on their evaluation contractors’ recommendations prior to the deadline for the annual reports.</w:t>
      </w:r>
    </w:p>
    <w:p w:rsidR="007D5AC4" w:rsidRPr="00661E10" w:rsidRDefault="007D5AC4" w:rsidP="00661E10"/>
    <w:p w:rsidR="00661E10" w:rsidRPr="00661E10" w:rsidRDefault="00661E10" w:rsidP="00E673F0">
      <w:pPr>
        <w:pStyle w:val="Heading3"/>
      </w:pPr>
      <w:bookmarkStart w:id="361" w:name="_Toc472472128"/>
      <w:bookmarkStart w:id="362" w:name="_Toc488765822"/>
      <w:r w:rsidRPr="00661E10">
        <w:t>Results for Program Year 7 (2015–2016)</w:t>
      </w:r>
      <w:bookmarkEnd w:id="361"/>
      <w:bookmarkEnd w:id="362"/>
    </w:p>
    <w:p w:rsidR="00661E10" w:rsidRPr="00661E10" w:rsidRDefault="00661E10" w:rsidP="00E673F0">
      <w:pPr>
        <w:pStyle w:val="Heading4"/>
      </w:pPr>
      <w:r w:rsidRPr="00661E10">
        <w:t xml:space="preserve">Statewide Summary of Process Evaluation Activities </w:t>
      </w:r>
    </w:p>
    <w:p w:rsidR="0070710A" w:rsidRDefault="0070710A" w:rsidP="006433A9">
      <w:r w:rsidRPr="0070710A">
        <w:t>The PY7 process evaluations that the evaluation contractors conducted for the EDCs varied in extent. The evaluation framework requires process evaluations be conducted for each program at least once per phase; some PY6 evaluations addressed programs not addressed in PY7 or conducted assessment activities not conducted subsequently.</w:t>
      </w:r>
    </w:p>
    <w:p w:rsidR="0070710A" w:rsidRDefault="0070710A" w:rsidP="006433A9"/>
    <w:p w:rsidR="006433A9" w:rsidRPr="006433A9" w:rsidRDefault="0070710A" w:rsidP="006433A9">
      <w:r w:rsidRPr="0070710A">
        <w:t>The evaluations for PECO and PPL covered multiple programs in each sector. The process evaluation for Duquesne covered multiple residential programs, including the low-income program, and one combined evaluation of C/I programs. The least extensive scheduled PY7 evaluations were those for the FirstEnergy EDCs, which included separate evaluations of two residential programs and one combined evaluation of two non-residential programs. All evaluation contractors generally followed their respective PY7 evaluation plans (with a few exceptions, as noted below).</w:t>
      </w:r>
      <w:r w:rsidR="006433A9" w:rsidRPr="006433A9">
        <w:t xml:space="preserve"> </w:t>
      </w:r>
    </w:p>
    <w:p w:rsidR="006433A9" w:rsidRPr="006433A9" w:rsidRDefault="006433A9" w:rsidP="006433A9"/>
    <w:p w:rsidR="006433A9" w:rsidRPr="006433A9" w:rsidRDefault="006433A9" w:rsidP="006433A9">
      <w:r w:rsidRPr="006433A9">
        <w:t xml:space="preserve">Most evaluations incorporated data from multiple sources, generally including a review of key program documents and databases, </w:t>
      </w:r>
      <w:r w:rsidR="00455F2C">
        <w:t xml:space="preserve">participant </w:t>
      </w:r>
      <w:r w:rsidRPr="006433A9">
        <w:t xml:space="preserve">surveys, </w:t>
      </w:r>
      <w:r w:rsidR="00455F2C">
        <w:t>key market actor interviews or surveys</w:t>
      </w:r>
      <w:r w:rsidRPr="006433A9">
        <w:t>, and</w:t>
      </w:r>
      <w:r w:rsidR="00455F2C">
        <w:t xml:space="preserve"> program staff</w:t>
      </w:r>
      <w:r w:rsidRPr="006433A9">
        <w:t xml:space="preserve"> interviews</w:t>
      </w:r>
      <w:r w:rsidR="00455F2C">
        <w:t>. S</w:t>
      </w:r>
      <w:r w:rsidRPr="006433A9">
        <w:t xml:space="preserve">ome </w:t>
      </w:r>
      <w:r w:rsidR="00455F2C">
        <w:t xml:space="preserve">evaluations </w:t>
      </w:r>
      <w:r w:rsidRPr="006433A9">
        <w:t xml:space="preserve">also included data from nonparticipant or general population surveys. </w:t>
      </w:r>
      <w:r w:rsidR="00C26D87">
        <w:fldChar w:fldCharType="begin"/>
      </w:r>
      <w:r w:rsidR="00C26D87">
        <w:instrText xml:space="preserve"> REF _Ref471309533 \h </w:instrText>
      </w:r>
      <w:r w:rsidR="00C26D87">
        <w:fldChar w:fldCharType="separate"/>
      </w:r>
      <w:r w:rsidR="00037CB4">
        <w:t xml:space="preserve">Table </w:t>
      </w:r>
      <w:r w:rsidR="00037CB4">
        <w:rPr>
          <w:noProof/>
        </w:rPr>
        <w:t>5</w:t>
      </w:r>
      <w:r w:rsidR="00037CB4">
        <w:noBreakHyphen/>
      </w:r>
      <w:r w:rsidR="00037CB4">
        <w:rPr>
          <w:noProof/>
        </w:rPr>
        <w:t>2</w:t>
      </w:r>
      <w:r w:rsidR="00C26D87">
        <w:fldChar w:fldCharType="end"/>
      </w:r>
      <w:r w:rsidRPr="006433A9">
        <w:t xml:space="preserve"> summarizes the SWE Team’s statewide findings </w:t>
      </w:r>
      <w:r w:rsidR="00455F2C">
        <w:t>of the process evaluations.</w:t>
      </w:r>
    </w:p>
    <w:p w:rsidR="006433A9" w:rsidRPr="006433A9" w:rsidRDefault="006433A9" w:rsidP="006433A9"/>
    <w:p w:rsidR="006433A9" w:rsidRPr="006433A9" w:rsidRDefault="00C26D87" w:rsidP="004837FA">
      <w:pPr>
        <w:pStyle w:val="Caption"/>
      </w:pPr>
      <w:bookmarkStart w:id="363" w:name="_Ref471309533"/>
      <w:bookmarkStart w:id="364" w:name="_Toc472472187"/>
      <w:bookmarkStart w:id="365" w:name="_Toc488741766"/>
      <w:r>
        <w:t xml:space="preserve">Table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2</w:t>
      </w:r>
      <w:r w:rsidR="007973A4">
        <w:rPr>
          <w:noProof/>
        </w:rPr>
        <w:fldChar w:fldCharType="end"/>
      </w:r>
      <w:bookmarkEnd w:id="363"/>
      <w:r w:rsidR="00E3392B">
        <w:t>: PY</w:t>
      </w:r>
      <w:r>
        <w:t>7 – Summary of SWE Process Evaluation Findings</w:t>
      </w:r>
      <w:bookmarkEnd w:id="364"/>
      <w:bookmarkEnd w:id="365"/>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3051"/>
        <w:gridCol w:w="6289"/>
      </w:tblGrid>
      <w:tr w:rsidR="00E7173E" w:rsidRPr="00197204" w:rsidTr="00197204">
        <w:trPr>
          <w:cantSplit/>
          <w:trHeight w:val="141"/>
        </w:trPr>
        <w:tc>
          <w:tcPr>
            <w:tcW w:w="3075" w:type="dxa"/>
            <w:shd w:val="clear" w:color="auto" w:fill="448A99"/>
            <w:vAlign w:val="bottom"/>
          </w:tcPr>
          <w:p w:rsidR="006433A9" w:rsidRPr="00197204" w:rsidRDefault="006433A9" w:rsidP="006433A9">
            <w:pPr>
              <w:jc w:val="left"/>
              <w:rPr>
                <w:b/>
                <w:color w:val="FFFFFF"/>
                <w:sz w:val="19"/>
                <w:szCs w:val="19"/>
              </w:rPr>
            </w:pPr>
            <w:r w:rsidRPr="00197204">
              <w:rPr>
                <w:b/>
                <w:color w:val="FFFFFF"/>
                <w:sz w:val="19"/>
                <w:szCs w:val="19"/>
              </w:rPr>
              <w:t>SWE Evaluation Report Guideline</w:t>
            </w:r>
          </w:p>
        </w:tc>
        <w:tc>
          <w:tcPr>
            <w:tcW w:w="6375" w:type="dxa"/>
            <w:shd w:val="clear" w:color="auto" w:fill="448A99"/>
            <w:vAlign w:val="bottom"/>
          </w:tcPr>
          <w:p w:rsidR="006433A9" w:rsidRPr="00197204" w:rsidRDefault="006433A9" w:rsidP="006433A9">
            <w:pPr>
              <w:jc w:val="center"/>
              <w:rPr>
                <w:b/>
                <w:color w:val="FFFFFF"/>
                <w:sz w:val="19"/>
                <w:szCs w:val="19"/>
              </w:rPr>
            </w:pPr>
            <w:r w:rsidRPr="00197204">
              <w:rPr>
                <w:b/>
                <w:color w:val="FFFFFF"/>
                <w:sz w:val="19"/>
                <w:szCs w:val="19"/>
              </w:rPr>
              <w:t>SWE Findings</w:t>
            </w:r>
          </w:p>
        </w:tc>
      </w:tr>
      <w:tr w:rsidR="00E7173E" w:rsidRPr="00197204" w:rsidTr="00197204">
        <w:trPr>
          <w:trHeight w:val="488"/>
        </w:trPr>
        <w:tc>
          <w:tcPr>
            <w:tcW w:w="3075" w:type="dxa"/>
            <w:shd w:val="clear" w:color="auto" w:fill="D2EAF1"/>
          </w:tcPr>
          <w:p w:rsidR="006433A9" w:rsidRPr="00197204" w:rsidRDefault="006433A9" w:rsidP="006433A9">
            <w:pPr>
              <w:jc w:val="left"/>
              <w:rPr>
                <w:sz w:val="19"/>
                <w:szCs w:val="19"/>
              </w:rPr>
            </w:pPr>
            <w:r w:rsidRPr="00197204">
              <w:rPr>
                <w:sz w:val="19"/>
                <w:szCs w:val="19"/>
              </w:rPr>
              <w:t>Consistent with evaluation plan</w:t>
            </w:r>
          </w:p>
        </w:tc>
        <w:tc>
          <w:tcPr>
            <w:tcW w:w="6375" w:type="dxa"/>
            <w:shd w:val="clear" w:color="auto" w:fill="D2EAF1"/>
          </w:tcPr>
          <w:p w:rsidR="006433A9" w:rsidRPr="00197204" w:rsidRDefault="006433A9" w:rsidP="006433A9">
            <w:pPr>
              <w:autoSpaceDE w:val="0"/>
              <w:autoSpaceDN w:val="0"/>
              <w:adjustRightInd w:val="0"/>
              <w:contextualSpacing/>
              <w:jc w:val="left"/>
              <w:rPr>
                <w:rFonts w:cs="Calibri"/>
                <w:sz w:val="19"/>
                <w:szCs w:val="19"/>
              </w:rPr>
            </w:pPr>
            <w:r w:rsidRPr="00197204">
              <w:rPr>
                <w:sz w:val="19"/>
                <w:szCs w:val="19"/>
              </w:rPr>
              <w:t xml:space="preserve">Yes, with </w:t>
            </w:r>
            <w:r w:rsidR="008F2AC2" w:rsidRPr="00197204">
              <w:rPr>
                <w:sz w:val="19"/>
                <w:szCs w:val="19"/>
              </w:rPr>
              <w:t xml:space="preserve">very few </w:t>
            </w:r>
            <w:r w:rsidRPr="00197204">
              <w:rPr>
                <w:sz w:val="19"/>
                <w:szCs w:val="19"/>
              </w:rPr>
              <w:t>exceptions for PPL</w:t>
            </w:r>
            <w:r w:rsidR="0070710A" w:rsidRPr="00197204">
              <w:rPr>
                <w:sz w:val="19"/>
                <w:szCs w:val="19"/>
              </w:rPr>
              <w:t xml:space="preserve"> (exceptions noted in PPL annual report)</w:t>
            </w:r>
          </w:p>
        </w:tc>
      </w:tr>
      <w:tr w:rsidR="006433A9" w:rsidRPr="00197204" w:rsidTr="00197204">
        <w:trPr>
          <w:trHeight w:val="488"/>
        </w:trPr>
        <w:tc>
          <w:tcPr>
            <w:tcW w:w="3075" w:type="dxa"/>
          </w:tcPr>
          <w:p w:rsidR="006433A9" w:rsidRPr="00197204" w:rsidRDefault="006433A9" w:rsidP="00455F2C">
            <w:pPr>
              <w:jc w:val="left"/>
              <w:rPr>
                <w:sz w:val="19"/>
                <w:szCs w:val="19"/>
              </w:rPr>
            </w:pPr>
            <w:r w:rsidRPr="00197204">
              <w:rPr>
                <w:sz w:val="19"/>
                <w:szCs w:val="19"/>
              </w:rPr>
              <w:t>Methods clearly</w:t>
            </w:r>
            <w:r w:rsidR="00455F2C" w:rsidRPr="00197204">
              <w:rPr>
                <w:sz w:val="19"/>
                <w:szCs w:val="19"/>
              </w:rPr>
              <w:t xml:space="preserve"> explained</w:t>
            </w:r>
          </w:p>
        </w:tc>
        <w:tc>
          <w:tcPr>
            <w:tcW w:w="6375" w:type="dxa"/>
          </w:tcPr>
          <w:p w:rsidR="006433A9" w:rsidRPr="00197204" w:rsidRDefault="006433A9" w:rsidP="00455F2C">
            <w:pPr>
              <w:autoSpaceDE w:val="0"/>
              <w:autoSpaceDN w:val="0"/>
              <w:adjustRightInd w:val="0"/>
              <w:contextualSpacing/>
              <w:jc w:val="left"/>
              <w:rPr>
                <w:rFonts w:cs="Calibri"/>
                <w:sz w:val="19"/>
                <w:szCs w:val="19"/>
              </w:rPr>
            </w:pPr>
            <w:r w:rsidRPr="00197204">
              <w:rPr>
                <w:sz w:val="19"/>
                <w:szCs w:val="19"/>
              </w:rPr>
              <w:t>Yes, with some exceptions for PPL and FirstEnergy EDCs</w:t>
            </w:r>
          </w:p>
        </w:tc>
      </w:tr>
      <w:tr w:rsidR="00E7173E" w:rsidRPr="00197204" w:rsidTr="00197204">
        <w:trPr>
          <w:trHeight w:val="488"/>
        </w:trPr>
        <w:tc>
          <w:tcPr>
            <w:tcW w:w="3075" w:type="dxa"/>
            <w:shd w:val="clear" w:color="auto" w:fill="D2EAF1"/>
          </w:tcPr>
          <w:p w:rsidR="006433A9" w:rsidRPr="00197204" w:rsidRDefault="006433A9" w:rsidP="006433A9">
            <w:pPr>
              <w:jc w:val="left"/>
              <w:rPr>
                <w:sz w:val="19"/>
                <w:szCs w:val="19"/>
              </w:rPr>
            </w:pPr>
            <w:r w:rsidRPr="00197204">
              <w:rPr>
                <w:sz w:val="19"/>
                <w:szCs w:val="19"/>
              </w:rPr>
              <w:t>Sampling approach appropriate</w:t>
            </w:r>
          </w:p>
        </w:tc>
        <w:tc>
          <w:tcPr>
            <w:tcW w:w="6375" w:type="dxa"/>
            <w:shd w:val="clear" w:color="auto" w:fill="D2EAF1"/>
          </w:tcPr>
          <w:p w:rsidR="006433A9" w:rsidRPr="00197204" w:rsidRDefault="006433A9" w:rsidP="006433A9">
            <w:pPr>
              <w:autoSpaceDE w:val="0"/>
              <w:autoSpaceDN w:val="0"/>
              <w:adjustRightInd w:val="0"/>
              <w:contextualSpacing/>
              <w:jc w:val="left"/>
              <w:rPr>
                <w:rFonts w:cs="Calibri"/>
                <w:sz w:val="19"/>
                <w:szCs w:val="19"/>
              </w:rPr>
            </w:pPr>
            <w:r w:rsidRPr="00197204">
              <w:rPr>
                <w:sz w:val="19"/>
                <w:szCs w:val="19"/>
              </w:rPr>
              <w:t>Yes, for all EDCs (to the extent known*)</w:t>
            </w:r>
          </w:p>
        </w:tc>
      </w:tr>
      <w:tr w:rsidR="006433A9" w:rsidRPr="00197204" w:rsidTr="00197204">
        <w:trPr>
          <w:trHeight w:val="488"/>
        </w:trPr>
        <w:tc>
          <w:tcPr>
            <w:tcW w:w="3075" w:type="dxa"/>
          </w:tcPr>
          <w:p w:rsidR="006433A9" w:rsidRPr="00197204" w:rsidRDefault="00455F2C" w:rsidP="00455F2C">
            <w:pPr>
              <w:jc w:val="left"/>
              <w:rPr>
                <w:sz w:val="19"/>
                <w:szCs w:val="19"/>
              </w:rPr>
            </w:pPr>
            <w:r w:rsidRPr="00197204">
              <w:rPr>
                <w:sz w:val="19"/>
                <w:szCs w:val="19"/>
              </w:rPr>
              <w:t>K</w:t>
            </w:r>
            <w:r w:rsidR="006433A9" w:rsidRPr="00197204">
              <w:rPr>
                <w:sz w:val="19"/>
                <w:szCs w:val="19"/>
              </w:rPr>
              <w:t>ey findings</w:t>
            </w:r>
            <w:r w:rsidRPr="00197204">
              <w:rPr>
                <w:sz w:val="19"/>
                <w:szCs w:val="19"/>
              </w:rPr>
              <w:t xml:space="preserve"> provided</w:t>
            </w:r>
          </w:p>
        </w:tc>
        <w:tc>
          <w:tcPr>
            <w:tcW w:w="6375" w:type="dxa"/>
          </w:tcPr>
          <w:p w:rsidR="006433A9" w:rsidRPr="00197204" w:rsidRDefault="006433A9" w:rsidP="006433A9">
            <w:pPr>
              <w:autoSpaceDE w:val="0"/>
              <w:autoSpaceDN w:val="0"/>
              <w:adjustRightInd w:val="0"/>
              <w:contextualSpacing/>
              <w:jc w:val="left"/>
              <w:rPr>
                <w:rFonts w:cs="Calibri"/>
                <w:sz w:val="19"/>
                <w:szCs w:val="19"/>
              </w:rPr>
            </w:pPr>
            <w:r w:rsidRPr="00197204">
              <w:rPr>
                <w:sz w:val="19"/>
                <w:szCs w:val="19"/>
              </w:rPr>
              <w:t>Yes, for all EDCs</w:t>
            </w:r>
          </w:p>
        </w:tc>
      </w:tr>
      <w:tr w:rsidR="00E7173E" w:rsidRPr="00197204" w:rsidTr="00197204">
        <w:trPr>
          <w:trHeight w:val="489"/>
        </w:trPr>
        <w:tc>
          <w:tcPr>
            <w:tcW w:w="3075" w:type="dxa"/>
            <w:shd w:val="clear" w:color="auto" w:fill="D2EAF1"/>
          </w:tcPr>
          <w:p w:rsidR="006433A9" w:rsidRPr="00197204" w:rsidRDefault="00455F2C" w:rsidP="00455F2C">
            <w:pPr>
              <w:jc w:val="left"/>
              <w:rPr>
                <w:sz w:val="19"/>
                <w:szCs w:val="19"/>
              </w:rPr>
            </w:pPr>
            <w:r w:rsidRPr="00197204">
              <w:rPr>
                <w:sz w:val="19"/>
                <w:szCs w:val="19"/>
              </w:rPr>
              <w:t xml:space="preserve">Actionable, fact-based </w:t>
            </w:r>
            <w:r w:rsidR="006433A9" w:rsidRPr="00197204">
              <w:rPr>
                <w:sz w:val="19"/>
                <w:szCs w:val="19"/>
              </w:rPr>
              <w:t>recommendations</w:t>
            </w:r>
            <w:r w:rsidRPr="00197204">
              <w:rPr>
                <w:sz w:val="19"/>
                <w:szCs w:val="19"/>
              </w:rPr>
              <w:t xml:space="preserve"> provided</w:t>
            </w:r>
            <w:r w:rsidR="006433A9" w:rsidRPr="00197204">
              <w:rPr>
                <w:sz w:val="19"/>
                <w:szCs w:val="19"/>
              </w:rPr>
              <w:t xml:space="preserve"> </w:t>
            </w:r>
          </w:p>
        </w:tc>
        <w:tc>
          <w:tcPr>
            <w:tcW w:w="6375" w:type="dxa"/>
            <w:shd w:val="clear" w:color="auto" w:fill="D2EAF1"/>
          </w:tcPr>
          <w:p w:rsidR="006433A9" w:rsidRPr="00197204" w:rsidRDefault="006433A9" w:rsidP="00455F2C">
            <w:pPr>
              <w:autoSpaceDE w:val="0"/>
              <w:autoSpaceDN w:val="0"/>
              <w:adjustRightInd w:val="0"/>
              <w:contextualSpacing/>
              <w:jc w:val="left"/>
              <w:rPr>
                <w:rFonts w:cs="Calibri"/>
                <w:sz w:val="19"/>
                <w:szCs w:val="19"/>
              </w:rPr>
            </w:pPr>
            <w:r w:rsidRPr="00197204">
              <w:rPr>
                <w:sz w:val="19"/>
                <w:szCs w:val="19"/>
              </w:rPr>
              <w:t>Yes,</w:t>
            </w:r>
            <w:r w:rsidR="00455F2C" w:rsidRPr="00197204">
              <w:rPr>
                <w:sz w:val="19"/>
                <w:szCs w:val="19"/>
              </w:rPr>
              <w:t xml:space="preserve"> for all EDCs,</w:t>
            </w:r>
            <w:r w:rsidRPr="00197204">
              <w:rPr>
                <w:sz w:val="19"/>
                <w:szCs w:val="19"/>
              </w:rPr>
              <w:t xml:space="preserve"> with minor exceptions</w:t>
            </w:r>
          </w:p>
        </w:tc>
      </w:tr>
      <w:tr w:rsidR="00E7173E" w:rsidRPr="00197204" w:rsidTr="00197204">
        <w:trPr>
          <w:cantSplit/>
          <w:trHeight w:val="288"/>
          <w:tblHeader/>
        </w:trPr>
        <w:tc>
          <w:tcPr>
            <w:tcW w:w="9450" w:type="dxa"/>
            <w:gridSpan w:val="2"/>
            <w:shd w:val="clear" w:color="auto" w:fill="9C9393"/>
            <w:vAlign w:val="bottom"/>
          </w:tcPr>
          <w:p w:rsidR="006433A9" w:rsidRPr="00197204" w:rsidRDefault="006433A9" w:rsidP="00E06516">
            <w:pPr>
              <w:rPr>
                <w:b/>
                <w:color w:val="FFFFFF"/>
                <w:sz w:val="19"/>
                <w:szCs w:val="19"/>
              </w:rPr>
            </w:pPr>
            <w:r w:rsidRPr="00197204">
              <w:rPr>
                <w:b/>
                <w:color w:val="FFFFFF"/>
                <w:sz w:val="19"/>
                <w:szCs w:val="19"/>
              </w:rPr>
              <w:t>SWE Suggested Reporting Improvements**</w:t>
            </w:r>
          </w:p>
        </w:tc>
      </w:tr>
      <w:tr w:rsidR="006433A9" w:rsidRPr="00197204" w:rsidTr="00197204">
        <w:trPr>
          <w:trHeight w:val="141"/>
        </w:trPr>
        <w:tc>
          <w:tcPr>
            <w:tcW w:w="9450" w:type="dxa"/>
            <w:gridSpan w:val="2"/>
          </w:tcPr>
          <w:p w:rsidR="006433A9" w:rsidRPr="00197204" w:rsidRDefault="006433A9" w:rsidP="009349F1">
            <w:pPr>
              <w:numPr>
                <w:ilvl w:val="0"/>
                <w:numId w:val="11"/>
              </w:numPr>
              <w:autoSpaceDE w:val="0"/>
              <w:autoSpaceDN w:val="0"/>
              <w:adjustRightInd w:val="0"/>
              <w:ind w:left="232" w:hanging="180"/>
              <w:contextualSpacing/>
              <w:jc w:val="left"/>
              <w:rPr>
                <w:sz w:val="19"/>
                <w:szCs w:val="19"/>
              </w:rPr>
            </w:pPr>
            <w:r w:rsidRPr="00197204">
              <w:rPr>
                <w:sz w:val="19"/>
                <w:szCs w:val="19"/>
              </w:rPr>
              <w:t>When reporting response difference</w:t>
            </w:r>
            <w:r w:rsidR="00663A5C" w:rsidRPr="00197204">
              <w:rPr>
                <w:sz w:val="19"/>
                <w:szCs w:val="19"/>
              </w:rPr>
              <w:t>s</w:t>
            </w:r>
            <w:r w:rsidRPr="00197204">
              <w:rPr>
                <w:sz w:val="19"/>
                <w:szCs w:val="19"/>
              </w:rPr>
              <w:t xml:space="preserve"> </w:t>
            </w:r>
            <w:r w:rsidR="00663A5C" w:rsidRPr="00197204">
              <w:rPr>
                <w:sz w:val="19"/>
                <w:szCs w:val="19"/>
              </w:rPr>
              <w:t>between</w:t>
            </w:r>
            <w:r w:rsidRPr="00197204">
              <w:rPr>
                <w:sz w:val="19"/>
                <w:szCs w:val="19"/>
              </w:rPr>
              <w:t xml:space="preserve"> subgroups, indicate whether the differences were statistically significant, and </w:t>
            </w:r>
            <w:r w:rsidR="00663A5C" w:rsidRPr="00197204">
              <w:rPr>
                <w:sz w:val="19"/>
                <w:szCs w:val="19"/>
              </w:rPr>
              <w:t xml:space="preserve">according to </w:t>
            </w:r>
            <w:r w:rsidRPr="00197204">
              <w:rPr>
                <w:sz w:val="19"/>
                <w:szCs w:val="19"/>
              </w:rPr>
              <w:t>what test.</w:t>
            </w:r>
          </w:p>
          <w:p w:rsidR="006433A9" w:rsidRPr="00197204" w:rsidRDefault="006433A9" w:rsidP="009349F1">
            <w:pPr>
              <w:numPr>
                <w:ilvl w:val="0"/>
                <w:numId w:val="11"/>
              </w:numPr>
              <w:autoSpaceDE w:val="0"/>
              <w:autoSpaceDN w:val="0"/>
              <w:adjustRightInd w:val="0"/>
              <w:ind w:left="232" w:hanging="180"/>
              <w:contextualSpacing/>
              <w:jc w:val="left"/>
              <w:rPr>
                <w:sz w:val="19"/>
                <w:szCs w:val="19"/>
              </w:rPr>
            </w:pPr>
            <w:r w:rsidRPr="00197204">
              <w:rPr>
                <w:sz w:val="19"/>
                <w:szCs w:val="19"/>
              </w:rPr>
              <w:t>Provide additional insights, when possible, into causes for programs struggling to meet targets.</w:t>
            </w:r>
          </w:p>
          <w:p w:rsidR="006433A9" w:rsidRPr="00197204" w:rsidRDefault="006433A9" w:rsidP="009349F1">
            <w:pPr>
              <w:numPr>
                <w:ilvl w:val="0"/>
                <w:numId w:val="11"/>
              </w:numPr>
              <w:autoSpaceDE w:val="0"/>
              <w:autoSpaceDN w:val="0"/>
              <w:adjustRightInd w:val="0"/>
              <w:ind w:left="232" w:hanging="180"/>
              <w:contextualSpacing/>
              <w:jc w:val="left"/>
              <w:rPr>
                <w:sz w:val="19"/>
                <w:szCs w:val="19"/>
              </w:rPr>
            </w:pPr>
            <w:r w:rsidRPr="00197204">
              <w:rPr>
                <w:sz w:val="19"/>
                <w:szCs w:val="19"/>
              </w:rPr>
              <w:t>Where possible, connect recommendations to general conclusions based on multiple findings rather than single findings.</w:t>
            </w:r>
          </w:p>
          <w:p w:rsidR="006433A9" w:rsidRPr="00197204" w:rsidRDefault="006433A9" w:rsidP="009349F1">
            <w:pPr>
              <w:numPr>
                <w:ilvl w:val="0"/>
                <w:numId w:val="11"/>
              </w:numPr>
              <w:autoSpaceDE w:val="0"/>
              <w:autoSpaceDN w:val="0"/>
              <w:adjustRightInd w:val="0"/>
              <w:ind w:left="232" w:hanging="180"/>
              <w:contextualSpacing/>
              <w:jc w:val="left"/>
              <w:rPr>
                <w:rFonts w:cs="Calibri"/>
                <w:sz w:val="19"/>
                <w:szCs w:val="19"/>
              </w:rPr>
            </w:pPr>
            <w:r w:rsidRPr="00197204">
              <w:rPr>
                <w:sz w:val="19"/>
                <w:szCs w:val="19"/>
              </w:rPr>
              <w:t>Restrict the number of recommended actions identified in each recommendation.</w:t>
            </w:r>
          </w:p>
        </w:tc>
      </w:tr>
      <w:tr w:rsidR="00E7173E" w:rsidRPr="00C4216E" w:rsidTr="00197204">
        <w:trPr>
          <w:trHeight w:val="141"/>
        </w:trPr>
        <w:tc>
          <w:tcPr>
            <w:tcW w:w="9450" w:type="dxa"/>
            <w:gridSpan w:val="2"/>
            <w:shd w:val="clear" w:color="auto" w:fill="448A99"/>
          </w:tcPr>
          <w:p w:rsidR="00C03CB0" w:rsidRPr="00C4216E" w:rsidRDefault="00C03CB0" w:rsidP="006433A9">
            <w:pPr>
              <w:autoSpaceDE w:val="0"/>
              <w:autoSpaceDN w:val="0"/>
              <w:adjustRightInd w:val="0"/>
              <w:contextualSpacing/>
              <w:jc w:val="left"/>
              <w:rPr>
                <w:color w:val="FFFFFF" w:themeColor="background1"/>
                <w:sz w:val="18"/>
                <w:szCs w:val="19"/>
              </w:rPr>
            </w:pPr>
            <w:r w:rsidRPr="00C4216E">
              <w:rPr>
                <w:color w:val="FFFFFF" w:themeColor="background1"/>
                <w:sz w:val="18"/>
                <w:szCs w:val="19"/>
              </w:rPr>
              <w:t>NOTES:</w:t>
            </w:r>
          </w:p>
          <w:p w:rsidR="006433A9" w:rsidRPr="00C4216E" w:rsidRDefault="00455F2C" w:rsidP="006433A9">
            <w:pPr>
              <w:autoSpaceDE w:val="0"/>
              <w:autoSpaceDN w:val="0"/>
              <w:adjustRightInd w:val="0"/>
              <w:contextualSpacing/>
              <w:jc w:val="left"/>
              <w:rPr>
                <w:color w:val="FFFFFF" w:themeColor="background1"/>
                <w:sz w:val="18"/>
                <w:szCs w:val="19"/>
              </w:rPr>
            </w:pPr>
            <w:r w:rsidRPr="00C4216E">
              <w:rPr>
                <w:color w:val="FFFFFF" w:themeColor="background1"/>
                <w:sz w:val="18"/>
                <w:szCs w:val="19"/>
              </w:rPr>
              <w:t>*</w:t>
            </w:r>
            <w:r w:rsidR="006433A9" w:rsidRPr="00C4216E">
              <w:rPr>
                <w:color w:val="FFFFFF" w:themeColor="background1"/>
                <w:sz w:val="18"/>
                <w:szCs w:val="19"/>
              </w:rPr>
              <w:t>ADM</w:t>
            </w:r>
            <w:r w:rsidR="00176BB7" w:rsidRPr="00C4216E">
              <w:rPr>
                <w:color w:val="FFFFFF" w:themeColor="background1"/>
                <w:sz w:val="18"/>
                <w:szCs w:val="19"/>
              </w:rPr>
              <w:t>/Tetra Tech</w:t>
            </w:r>
            <w:r w:rsidR="006433A9" w:rsidRPr="00C4216E">
              <w:rPr>
                <w:color w:val="FFFFFF" w:themeColor="background1"/>
                <w:sz w:val="18"/>
                <w:szCs w:val="19"/>
              </w:rPr>
              <w:t xml:space="preserve"> team,</w:t>
            </w:r>
            <w:r w:rsidRPr="00C4216E">
              <w:rPr>
                <w:color w:val="FFFFFF" w:themeColor="background1"/>
                <w:sz w:val="18"/>
                <w:szCs w:val="19"/>
              </w:rPr>
              <w:t xml:space="preserve"> the evaluation contractor</w:t>
            </w:r>
            <w:r w:rsidR="006433A9" w:rsidRPr="00C4216E">
              <w:rPr>
                <w:color w:val="FFFFFF" w:themeColor="background1"/>
                <w:sz w:val="18"/>
                <w:szCs w:val="19"/>
              </w:rPr>
              <w:t xml:space="preserve"> for FirstEnergy, did not identify the number of trade allies interviewed for two programs.</w:t>
            </w:r>
          </w:p>
          <w:p w:rsidR="006433A9" w:rsidRPr="00C4216E" w:rsidRDefault="006433A9" w:rsidP="006433A9">
            <w:pPr>
              <w:autoSpaceDE w:val="0"/>
              <w:autoSpaceDN w:val="0"/>
              <w:adjustRightInd w:val="0"/>
              <w:contextualSpacing/>
              <w:jc w:val="left"/>
              <w:rPr>
                <w:color w:val="FFFFFF" w:themeColor="background1"/>
                <w:sz w:val="18"/>
                <w:szCs w:val="19"/>
              </w:rPr>
            </w:pPr>
            <w:r w:rsidRPr="00C4216E">
              <w:rPr>
                <w:color w:val="FFFFFF" w:themeColor="background1"/>
                <w:sz w:val="18"/>
                <w:szCs w:val="19"/>
              </w:rPr>
              <w:t>**Not all suggestions are applicable to all reports.</w:t>
            </w:r>
          </w:p>
        </w:tc>
      </w:tr>
    </w:tbl>
    <w:p w:rsidR="006433A9" w:rsidRPr="006433A9" w:rsidRDefault="006433A9" w:rsidP="006433A9">
      <w:r w:rsidRPr="006433A9">
        <w:t xml:space="preserve">The various EDCs’ evaluation </w:t>
      </w:r>
      <w:r w:rsidR="00C33BAD">
        <w:t>contractor</w:t>
      </w:r>
      <w:r w:rsidRPr="006433A9">
        <w:t>s identified</w:t>
      </w:r>
      <w:r w:rsidR="00C33BAD">
        <w:t xml:space="preserve"> a total of</w:t>
      </w:r>
      <w:r w:rsidRPr="006433A9">
        <w:t xml:space="preserve"> 198 key findings. Findings were largely program-specific, providing </w:t>
      </w:r>
      <w:r w:rsidR="00C33BAD">
        <w:t>few</w:t>
      </w:r>
      <w:r w:rsidRPr="006433A9">
        <w:t xml:space="preserve"> data on statewide trends</w:t>
      </w:r>
      <w:r w:rsidR="00C33BAD">
        <w:t>, except in three topic areas</w:t>
      </w:r>
      <w:r w:rsidRPr="006433A9">
        <w:t>.</w:t>
      </w:r>
      <w:r w:rsidR="00C33BAD">
        <w:t xml:space="preserve"> Foremost among those areas was program satisfaction, t</w:t>
      </w:r>
      <w:r w:rsidRPr="006433A9">
        <w:t>he single most common topic for findings</w:t>
      </w:r>
      <w:r w:rsidR="00C33BAD">
        <w:t xml:space="preserve"> (36)</w:t>
      </w:r>
      <w:r w:rsidRPr="006433A9">
        <w:t>. In nearly all cases, the finding was one of acceptably high program satisfaction among c</w:t>
      </w:r>
      <w:r w:rsidR="00E75813">
        <w:t xml:space="preserve">ustomers and/or market actors. Two other topic areas—efforts related to program success and residential uptake of efficient lighting—had sufficiently consistent bodies of findings to have statewide significance. </w:t>
      </w:r>
      <w:r w:rsidRPr="006433A9">
        <w:t xml:space="preserve"> </w:t>
      </w:r>
    </w:p>
    <w:p w:rsidR="006433A9" w:rsidRPr="006433A9" w:rsidRDefault="006433A9" w:rsidP="006433A9"/>
    <w:p w:rsidR="006433A9" w:rsidRPr="006433A9" w:rsidRDefault="006433A9" w:rsidP="006433A9">
      <w:r w:rsidRPr="006433A9">
        <w:t>Seven findings identified program efforts that helped promote program success. All seven were related either</w:t>
      </w:r>
      <w:r w:rsidR="00C97F52">
        <w:t xml:space="preserve"> to</w:t>
      </w:r>
      <w:r w:rsidRPr="006433A9">
        <w:t xml:space="preserve"> undertaking special program outreach efforts or </w:t>
      </w:r>
      <w:r w:rsidR="00C97F52">
        <w:t xml:space="preserve">to </w:t>
      </w:r>
      <w:r w:rsidRPr="006433A9">
        <w:t xml:space="preserve">expanding the number of market partners involved in program implementation. </w:t>
      </w:r>
      <w:r w:rsidR="00C97F52">
        <w:t>T</w:t>
      </w:r>
      <w:r w:rsidRPr="006433A9">
        <w:t>wo</w:t>
      </w:r>
      <w:r w:rsidR="00C97F52">
        <w:t xml:space="preserve"> of those</w:t>
      </w:r>
      <w:r w:rsidRPr="006433A9">
        <w:t xml:space="preserve"> findings specifically cited “limited time offer” marketing or incentive campaigns</w:t>
      </w:r>
      <w:r w:rsidR="00C97F52">
        <w:t>;</w:t>
      </w:r>
      <w:r w:rsidRPr="006433A9">
        <w:t xml:space="preserve"> one identified targeted marketing and personalized outreach efforts in a school program; two identified an increase in the number of</w:t>
      </w:r>
      <w:r w:rsidR="00EA5ECE">
        <w:t xml:space="preserve"> Customer Assistance Program</w:t>
      </w:r>
      <w:r w:rsidRPr="006433A9">
        <w:t xml:space="preserve"> </w:t>
      </w:r>
      <w:r w:rsidR="00EA5ECE">
        <w:t>(</w:t>
      </w:r>
      <w:r w:rsidRPr="006433A9">
        <w:t>CAP</w:t>
      </w:r>
      <w:r w:rsidR="00EA5ECE">
        <w:t>)</w:t>
      </w:r>
      <w:r w:rsidRPr="006433A9">
        <w:t xml:space="preserve"> agencies distribut</w:t>
      </w:r>
      <w:r w:rsidR="00C97F52">
        <w:t>ing</w:t>
      </w:r>
      <w:r w:rsidRPr="006433A9">
        <w:t xml:space="preserve"> energy efficiency kits; one </w:t>
      </w:r>
      <w:r w:rsidR="00C97F52">
        <w:t>cited</w:t>
      </w:r>
      <w:r w:rsidRPr="006433A9">
        <w:t xml:space="preserve"> identifying and requalifying committed trade allies; and one identified the use of an online application and toll-free number. </w:t>
      </w:r>
    </w:p>
    <w:p w:rsidR="006433A9" w:rsidRPr="006433A9" w:rsidRDefault="006433A9" w:rsidP="006433A9"/>
    <w:p w:rsidR="006433A9" w:rsidRPr="006433A9" w:rsidRDefault="00C97F52" w:rsidP="006433A9">
      <w:r>
        <w:t>F</w:t>
      </w:r>
      <w:r w:rsidR="006433A9" w:rsidRPr="006433A9">
        <w:t>ive findings identified specific weaknesses in program outreach (lack of tailoring of program messaging to household characteristics, lack of a clear call to action)</w:t>
      </w:r>
      <w:r w:rsidR="00073B05">
        <w:t>;</w:t>
      </w:r>
      <w:r w:rsidR="006433A9" w:rsidRPr="006433A9">
        <w:t xml:space="preserve"> lack of effect or a decreased effect of a specific outreach approach (postcards, limited-time higher incentives)</w:t>
      </w:r>
      <w:r w:rsidR="00073B05">
        <w:t>;</w:t>
      </w:r>
      <w:r w:rsidR="006433A9" w:rsidRPr="006433A9">
        <w:t xml:space="preserve"> or lack of program awareness or the need (according to participants) for more advertising.</w:t>
      </w:r>
    </w:p>
    <w:p w:rsidR="006433A9" w:rsidRPr="006433A9" w:rsidRDefault="006433A9" w:rsidP="006433A9"/>
    <w:p w:rsidR="006433A9" w:rsidRPr="006433A9" w:rsidRDefault="00073B05" w:rsidP="006433A9">
      <w:r>
        <w:t>Seven findings were</w:t>
      </w:r>
      <w:r w:rsidR="006433A9" w:rsidRPr="006433A9">
        <w:t xml:space="preserve"> relate</w:t>
      </w:r>
      <w:r>
        <w:t>d</w:t>
      </w:r>
      <w:r w:rsidR="006433A9" w:rsidRPr="006433A9">
        <w:t xml:space="preserve"> to increased residentia</w:t>
      </w:r>
      <w:r w:rsidR="00AB6949">
        <w:t>l uptake of efficient lighting</w:t>
      </w:r>
      <w:r w:rsidR="006433A9" w:rsidRPr="006433A9">
        <w:t xml:space="preserve">. </w:t>
      </w:r>
      <w:r w:rsidR="00AB6949">
        <w:t>F</w:t>
      </w:r>
      <w:r w:rsidR="006433A9" w:rsidRPr="006433A9">
        <w:t>our</w:t>
      </w:r>
      <w:r w:rsidR="00AB6949">
        <w:t xml:space="preserve"> of those findings</w:t>
      </w:r>
      <w:r w:rsidR="006433A9" w:rsidRPr="006433A9">
        <w:t xml:space="preserve"> pointed to increased uptake of </w:t>
      </w:r>
      <w:r w:rsidR="00C03CB0">
        <w:t>light emitting diode (</w:t>
      </w:r>
      <w:r w:rsidR="006433A9" w:rsidRPr="006433A9">
        <w:t>LED</w:t>
      </w:r>
      <w:r w:rsidR="00C03CB0">
        <w:t>)</w:t>
      </w:r>
      <w:r w:rsidR="006433A9" w:rsidRPr="006433A9">
        <w:t xml:space="preserve"> lighting</w:t>
      </w:r>
      <w:r w:rsidR="00AB6949">
        <w:t xml:space="preserve"> and</w:t>
      </w:r>
      <w:r w:rsidR="006433A9" w:rsidRPr="006433A9">
        <w:t xml:space="preserve"> specifically identified high percentages of LEDs in tenant units, high tenant satisfaction with LEDs, increased awareness and use of LEDs in the general customer population, and increased LED shelf space, at the expense of CFL shelf space.</w:t>
      </w:r>
    </w:p>
    <w:p w:rsidR="006433A9" w:rsidRPr="006433A9" w:rsidRDefault="006433A9" w:rsidP="006433A9"/>
    <w:p w:rsidR="006433A9" w:rsidRPr="006433A9" w:rsidRDefault="006433A9" w:rsidP="006433A9">
      <w:r w:rsidRPr="006433A9">
        <w:t>While a higher number of findings were related to reasons for lack of program success, those findings varied</w:t>
      </w:r>
      <w:r w:rsidR="00AB6949">
        <w:t xml:space="preserve"> considerably</w:t>
      </w:r>
      <w:r w:rsidRPr="006433A9">
        <w:t xml:space="preserve"> and </w:t>
      </w:r>
      <w:r w:rsidR="00AB6949">
        <w:t xml:space="preserve">were </w:t>
      </w:r>
      <w:r w:rsidRPr="006433A9">
        <w:t xml:space="preserve">generally program-specific. </w:t>
      </w:r>
      <w:r w:rsidR="00B47315">
        <w:t xml:space="preserve">A handful </w:t>
      </w:r>
      <w:r w:rsidR="00AB6949">
        <w:t>of the findings</w:t>
      </w:r>
      <w:r w:rsidRPr="006433A9">
        <w:t xml:space="preserve"> pointed </w:t>
      </w:r>
      <w:r w:rsidR="004F6956">
        <w:t xml:space="preserve">to </w:t>
      </w:r>
      <w:r w:rsidRPr="006433A9">
        <w:t xml:space="preserve">implementation- or process-related barriers (implementation delays, infrequent updates of program planning materials, lack of a means to offer more comprehensive projects, long project completion times, the need to obtain a permit from the Pennsylvania Department of Environmental </w:t>
      </w:r>
      <w:r w:rsidR="007965CF" w:rsidRPr="006433A9">
        <w:t>Protection</w:t>
      </w:r>
      <w:r w:rsidR="007965CF">
        <w:t xml:space="preserve"> (DEP)</w:t>
      </w:r>
      <w:r w:rsidRPr="006433A9">
        <w:t xml:space="preserve"> for certain projects, and rigidity of prescriptive incentive paths). </w:t>
      </w:r>
      <w:r w:rsidR="00B47315">
        <w:t>Other</w:t>
      </w:r>
      <w:r w:rsidRPr="006433A9">
        <w:t xml:space="preserve"> findings pointed to external barriers to success</w:t>
      </w:r>
      <w:r w:rsidR="00B47315">
        <w:t>; three findings</w:t>
      </w:r>
      <w:r w:rsidRPr="006433A9">
        <w:t xml:space="preserve"> </w:t>
      </w:r>
      <w:r w:rsidR="00B47315">
        <w:t>cited high i</w:t>
      </w:r>
      <w:r w:rsidRPr="006433A9">
        <w:t>nitial cost for three</w:t>
      </w:r>
      <w:r w:rsidR="00EA5ECE">
        <w:t>,</w:t>
      </w:r>
      <w:r w:rsidRPr="006433A9">
        <w:t xml:space="preserve"> </w:t>
      </w:r>
      <w:r w:rsidR="00EA5ECE">
        <w:t>and</w:t>
      </w:r>
      <w:r w:rsidRPr="006433A9">
        <w:t xml:space="preserve"> four findings were program-specific (bankruptcy of the appliance recycling implementer, a smaller-than-expected target population, customer distrust, feeling “shamed” by home energy reports</w:t>
      </w:r>
      <w:r w:rsidR="00345C47">
        <w:t xml:space="preserve"> (HERs)</w:t>
      </w:r>
      <w:r w:rsidRPr="006433A9">
        <w:t xml:space="preserve">, and difficulty obtaining commitment from project stakeholders). </w:t>
      </w:r>
    </w:p>
    <w:p w:rsidR="006433A9" w:rsidRPr="006433A9" w:rsidRDefault="006433A9" w:rsidP="006433A9"/>
    <w:p w:rsidR="006433A9" w:rsidRPr="006433A9" w:rsidRDefault="006433A9" w:rsidP="006433A9">
      <w:r w:rsidRPr="006433A9">
        <w:t>Several other findings addressed such perennial</w:t>
      </w:r>
      <w:r w:rsidR="00AB6949">
        <w:t xml:space="preserve"> issues</w:t>
      </w:r>
      <w:r w:rsidRPr="006433A9">
        <w:t xml:space="preserve"> as dissatisfaction with incentive amounts or processing time; the need for trained trade allies; paperwork requirements; participants’ lack of recall of program offerings or recommendations; and challenges in identifying eligible program participants.</w:t>
      </w:r>
    </w:p>
    <w:p w:rsidR="00661E10" w:rsidRDefault="00661E10" w:rsidP="00661E10"/>
    <w:p w:rsidR="009950E3" w:rsidRDefault="009950E3" w:rsidP="00661E10">
      <w:r>
        <w:t xml:space="preserve">Process evaluation activities and findings for each EDC are discussed in more detail in </w:t>
      </w:r>
      <w:r w:rsidR="00835821" w:rsidRPr="00835821">
        <w:t>Appendix B.</w:t>
      </w:r>
    </w:p>
    <w:p w:rsidR="00E3392B" w:rsidRDefault="00E3392B" w:rsidP="00661E10"/>
    <w:p w:rsidR="00661E10" w:rsidRPr="00661E10" w:rsidRDefault="00661E10" w:rsidP="00E673F0">
      <w:pPr>
        <w:pStyle w:val="Heading3"/>
      </w:pPr>
      <w:bookmarkStart w:id="366" w:name="_Toc472472129"/>
      <w:bookmarkStart w:id="367" w:name="_Toc488765823"/>
      <w:r w:rsidRPr="00661E10">
        <w:t>Results for Three-Year Act 129 Phase II</w:t>
      </w:r>
      <w:bookmarkEnd w:id="366"/>
      <w:bookmarkEnd w:id="367"/>
    </w:p>
    <w:p w:rsidR="00661E10" w:rsidRPr="00661E10" w:rsidRDefault="00661E10" w:rsidP="00771798">
      <w:pPr>
        <w:pStyle w:val="Heading4"/>
        <w:rPr>
          <w:rFonts w:eastAsiaTheme="minorHAnsi"/>
        </w:rPr>
      </w:pPr>
      <w:r w:rsidRPr="00661E10">
        <w:rPr>
          <w:rFonts w:eastAsiaTheme="minorHAnsi"/>
        </w:rPr>
        <w:t>Duquesne Light</w:t>
      </w:r>
    </w:p>
    <w:p w:rsidR="00661E10" w:rsidRPr="00771798" w:rsidRDefault="00661E10" w:rsidP="00771798">
      <w:pPr>
        <w:pStyle w:val="Heading5"/>
      </w:pPr>
      <w:r w:rsidRPr="00771798">
        <w:t>Process Evaluation Key Findings from Phase II</w:t>
      </w:r>
    </w:p>
    <w:p w:rsidR="00661E10" w:rsidRPr="00661E10" w:rsidRDefault="00661E10" w:rsidP="00661E10">
      <w:r w:rsidRPr="00661E10">
        <w:t>Across all</w:t>
      </w:r>
      <w:r w:rsidR="002F75DB">
        <w:t xml:space="preserve"> demand-side management</w:t>
      </w:r>
      <w:r w:rsidRPr="00661E10">
        <w:t xml:space="preserve"> </w:t>
      </w:r>
      <w:r w:rsidR="002F75DB">
        <w:t>(</w:t>
      </w:r>
      <w:r w:rsidRPr="00661E10">
        <w:t>DSM</w:t>
      </w:r>
      <w:r w:rsidR="002F75DB">
        <w:t>)</w:t>
      </w:r>
      <w:r w:rsidRPr="00661E10">
        <w:t xml:space="preserve"> programs, Duquesne exceeded its savings goals for Phase II by saving more than </w:t>
      </w:r>
      <w:r w:rsidR="00531EC8">
        <w:t>370,000</w:t>
      </w:r>
      <w:r w:rsidRPr="00661E10">
        <w:t xml:space="preserve"> MWh across the program years. Savings came from across the portfolio of programs, with some programs meeting or exceeding their specific goals whereas others did not meet their goals. Some of the largest programs, such as the Residential Energy Efficiency Program</w:t>
      </w:r>
      <w:r w:rsidRPr="00661E10">
        <w:rPr>
          <w:sz w:val="20"/>
          <w:szCs w:val="20"/>
        </w:rPr>
        <w:t xml:space="preserve"> (</w:t>
      </w:r>
      <w:r w:rsidRPr="00661E10">
        <w:t>REEP), commercial-sector upstream lighting, and commercial program work in the office</w:t>
      </w:r>
      <w:r w:rsidR="002F75DB">
        <w:t>-</w:t>
      </w:r>
      <w:r w:rsidRPr="00661E10">
        <w:t>building sector, exceeded their goals noticeably. Other programs, such as the School Energy Pledge</w:t>
      </w:r>
      <w:r w:rsidRPr="00661E10">
        <w:rPr>
          <w:sz w:val="20"/>
          <w:szCs w:val="20"/>
        </w:rPr>
        <w:t xml:space="preserve"> (</w:t>
      </w:r>
      <w:r w:rsidRPr="00661E10">
        <w:t>SEP) and Whole House Energy Audit Program</w:t>
      </w:r>
      <w:r w:rsidRPr="00661E10">
        <w:rPr>
          <w:sz w:val="20"/>
          <w:szCs w:val="20"/>
        </w:rPr>
        <w:t xml:space="preserve"> (</w:t>
      </w:r>
      <w:r w:rsidRPr="00661E10">
        <w:t xml:space="preserve">WHEAP), did not meet their specific Phase II goals. Navigant identified reasons why those programs did not meet their goals. For example, during Phase II Duquesne elected to replace SEP with a new program in Phase III and therefore did not emphasize SEP. </w:t>
      </w:r>
    </w:p>
    <w:p w:rsidR="00661E10" w:rsidRPr="00661E10" w:rsidRDefault="00661E10" w:rsidP="00661E10"/>
    <w:p w:rsidR="00661E10" w:rsidRPr="00661E10" w:rsidRDefault="00F02042" w:rsidP="00661E10">
      <w:r w:rsidRPr="003A0F59">
        <w:t>Across all programs, participants were generally satisfied, and a handful of participants in each program offered insights or suggestions for how to improve the program. These suggestions typically revolved around issues such as increasing awareness of programs or improving specific elements of the program, such as offering larger refrigerators in the Refrigerator Replacement component of the EDC’s program. No large-scale program improvements were noted by participants or program staff other than replacing SEP, because the market for SEP had been saturated in Phase II.</w:t>
      </w:r>
      <w:r w:rsidR="00661E10" w:rsidRPr="00661E10">
        <w:t xml:space="preserve">  </w:t>
      </w:r>
    </w:p>
    <w:p w:rsidR="00661E10" w:rsidRPr="00661E10" w:rsidRDefault="00661E10" w:rsidP="00661E10"/>
    <w:p w:rsidR="00661E10" w:rsidRPr="00661E10" w:rsidRDefault="00661E10" w:rsidP="00E673F0">
      <w:pPr>
        <w:pStyle w:val="Heading5"/>
      </w:pPr>
      <w:r w:rsidRPr="00661E10">
        <w:t>SWE Team Review of Process Evaluation</w:t>
      </w:r>
    </w:p>
    <w:p w:rsidR="00661E10" w:rsidRPr="00661E10" w:rsidRDefault="00661E10" w:rsidP="00A30624">
      <w:pPr>
        <w:spacing w:after="120"/>
      </w:pPr>
      <w:r w:rsidRPr="00661E10">
        <w:t>All Phase II evaluations (PY5, PY6, PY7) followed the evaluation plan. The random sampling for participant and nonparticipant surveys was appropriate, as was the purposive sampling used for staff and implementer interviews. Across the Phase II evaluations, Navigant did the following:</w:t>
      </w:r>
    </w:p>
    <w:p w:rsidR="00661E10" w:rsidRPr="00661E10" w:rsidRDefault="00661E10" w:rsidP="00E646C9">
      <w:pPr>
        <w:numPr>
          <w:ilvl w:val="0"/>
          <w:numId w:val="54"/>
        </w:numPr>
        <w:ind w:left="360"/>
        <w:contextualSpacing/>
        <w:rPr>
          <w:szCs w:val="20"/>
        </w:rPr>
      </w:pPr>
      <w:r w:rsidRPr="00661E10">
        <w:rPr>
          <w:szCs w:val="20"/>
        </w:rPr>
        <w:t>Followed the evaluation plan’s guidelines and activities.</w:t>
      </w:r>
    </w:p>
    <w:p w:rsidR="00661E10" w:rsidRPr="00661E10" w:rsidRDefault="00661E10" w:rsidP="00E646C9">
      <w:pPr>
        <w:numPr>
          <w:ilvl w:val="0"/>
          <w:numId w:val="54"/>
        </w:numPr>
        <w:ind w:left="360"/>
        <w:contextualSpacing/>
        <w:rPr>
          <w:szCs w:val="20"/>
        </w:rPr>
      </w:pPr>
      <w:r w:rsidRPr="00661E10">
        <w:rPr>
          <w:szCs w:val="20"/>
        </w:rPr>
        <w:t>Evaluated each program at least once across Phase II.</w:t>
      </w:r>
    </w:p>
    <w:p w:rsidR="00661E10" w:rsidRPr="00661E10" w:rsidRDefault="00661E10" w:rsidP="00E646C9">
      <w:pPr>
        <w:numPr>
          <w:ilvl w:val="0"/>
          <w:numId w:val="54"/>
        </w:numPr>
        <w:ind w:left="360"/>
        <w:contextualSpacing/>
        <w:rPr>
          <w:szCs w:val="20"/>
        </w:rPr>
      </w:pPr>
      <w:r w:rsidRPr="00661E10">
        <w:rPr>
          <w:szCs w:val="20"/>
        </w:rPr>
        <w:t>Used SWE-prescribed tables in the report.</w:t>
      </w:r>
    </w:p>
    <w:p w:rsidR="00661E10" w:rsidRPr="00661E10" w:rsidRDefault="00661E10" w:rsidP="00E646C9">
      <w:pPr>
        <w:numPr>
          <w:ilvl w:val="0"/>
          <w:numId w:val="54"/>
        </w:numPr>
        <w:ind w:left="360"/>
        <w:contextualSpacing/>
        <w:rPr>
          <w:szCs w:val="20"/>
        </w:rPr>
      </w:pPr>
      <w:r w:rsidRPr="00661E10">
        <w:rPr>
          <w:szCs w:val="20"/>
        </w:rPr>
        <w:t>Described its methods adequately.</w:t>
      </w:r>
    </w:p>
    <w:p w:rsidR="00661E10" w:rsidRPr="00661E10" w:rsidRDefault="00661E10" w:rsidP="00E646C9">
      <w:pPr>
        <w:numPr>
          <w:ilvl w:val="0"/>
          <w:numId w:val="54"/>
        </w:numPr>
        <w:ind w:left="360"/>
        <w:contextualSpacing/>
        <w:rPr>
          <w:szCs w:val="20"/>
        </w:rPr>
      </w:pPr>
      <w:r w:rsidRPr="00661E10">
        <w:rPr>
          <w:szCs w:val="20"/>
        </w:rPr>
        <w:t>Provided a summary of evaluation findings.</w:t>
      </w:r>
    </w:p>
    <w:p w:rsidR="00661E10" w:rsidRPr="00661E10" w:rsidRDefault="00661E10" w:rsidP="00E646C9">
      <w:pPr>
        <w:numPr>
          <w:ilvl w:val="0"/>
          <w:numId w:val="54"/>
        </w:numPr>
        <w:ind w:left="360"/>
        <w:contextualSpacing/>
        <w:rPr>
          <w:szCs w:val="20"/>
        </w:rPr>
      </w:pPr>
      <w:r w:rsidRPr="00661E10">
        <w:rPr>
          <w:szCs w:val="20"/>
        </w:rPr>
        <w:t>Reported findings based on research activities.</w:t>
      </w:r>
    </w:p>
    <w:p w:rsidR="00661E10" w:rsidRPr="00661E10" w:rsidRDefault="00661E10" w:rsidP="00E646C9">
      <w:pPr>
        <w:numPr>
          <w:ilvl w:val="0"/>
          <w:numId w:val="54"/>
        </w:numPr>
        <w:ind w:left="360"/>
        <w:contextualSpacing/>
        <w:rPr>
          <w:szCs w:val="20"/>
        </w:rPr>
      </w:pPr>
      <w:r w:rsidRPr="00661E10">
        <w:rPr>
          <w:szCs w:val="20"/>
        </w:rPr>
        <w:t>Created actionable recommendations based on research findings.</w:t>
      </w:r>
    </w:p>
    <w:p w:rsidR="00661E10" w:rsidRPr="00661E10" w:rsidRDefault="00661E10" w:rsidP="00661E10"/>
    <w:p w:rsidR="00F02042" w:rsidRDefault="00F02042" w:rsidP="00E06516">
      <w:pPr>
        <w:spacing w:after="120"/>
      </w:pPr>
      <w:r w:rsidRPr="003A0F59">
        <w:t>Overall, Navigant followed the SWE guidelines for evaluating Duquesne’s programs. The SWE provides the following issues that were noted in more than one of the Phase II SWE reports. The associated suggestions will make the reporting stronger in Phase III.</w:t>
      </w:r>
    </w:p>
    <w:p w:rsidR="00F02042" w:rsidRPr="003A0F59" w:rsidRDefault="00F02042" w:rsidP="00E646C9">
      <w:pPr>
        <w:numPr>
          <w:ilvl w:val="0"/>
          <w:numId w:val="55"/>
        </w:numPr>
        <w:ind w:left="360"/>
        <w:contextualSpacing/>
        <w:rPr>
          <w:szCs w:val="20"/>
        </w:rPr>
      </w:pPr>
      <w:r w:rsidRPr="003A0F59">
        <w:rPr>
          <w:szCs w:val="20"/>
        </w:rPr>
        <w:t xml:space="preserve">As noted in the PY6 SWE report and the PY7 SWE analysis in this document, Navigant generated recommendations based on findings rather than generating broader </w:t>
      </w:r>
      <w:r w:rsidRPr="003A0F59">
        <w:rPr>
          <w:i/>
          <w:szCs w:val="20"/>
        </w:rPr>
        <w:t>conclusions</w:t>
      </w:r>
      <w:r w:rsidRPr="003A0F59">
        <w:rPr>
          <w:szCs w:val="20"/>
        </w:rPr>
        <w:t xml:space="preserve"> that relied on multiple sources of information. Taking the intermediary step of generating a conclusion based on multiple findings (ideally from multiple sources, possibly from multiple years) can lead to stronger recommendations.</w:t>
      </w:r>
    </w:p>
    <w:p w:rsidR="00F02042" w:rsidRPr="003A0F59" w:rsidRDefault="00F02042" w:rsidP="00E646C9">
      <w:pPr>
        <w:numPr>
          <w:ilvl w:val="0"/>
          <w:numId w:val="55"/>
        </w:numPr>
        <w:ind w:left="360"/>
        <w:contextualSpacing/>
        <w:rPr>
          <w:szCs w:val="20"/>
        </w:rPr>
      </w:pPr>
      <w:r w:rsidRPr="003A0F59">
        <w:rPr>
          <w:szCs w:val="20"/>
        </w:rPr>
        <w:t xml:space="preserve">In some cases, Navigant discussed separate findings for two groups in a manner that seemed to imply a comparison but did not report statistical significance for the differences. Navigant clarified that the purpose was not to compare or contrast the groups, as the samples were too small to reveal statistically reliable differences, but to show the findings separately for each group. The SWE Team understands and appreciates this distinction and suggests that Navigant make that point explicit in such cases. </w:t>
      </w:r>
    </w:p>
    <w:p w:rsidR="00F02042" w:rsidRPr="003A0F59" w:rsidRDefault="00F02042" w:rsidP="00E646C9">
      <w:pPr>
        <w:numPr>
          <w:ilvl w:val="0"/>
          <w:numId w:val="55"/>
        </w:numPr>
        <w:ind w:left="360"/>
        <w:contextualSpacing/>
        <w:rPr>
          <w:szCs w:val="20"/>
        </w:rPr>
      </w:pPr>
      <w:r w:rsidRPr="003A0F59">
        <w:rPr>
          <w:szCs w:val="20"/>
        </w:rPr>
        <w:t xml:space="preserve">The PY6 SWE report and the PY7 SWE analysis in this document describe a few instances where the SWE Team found Navigant’s discussion of sample sizes confusing. The confusion may relate to lack of a clear explanation of when Navigant was referring to counts of </w:t>
      </w:r>
      <w:r w:rsidRPr="003A0F59">
        <w:rPr>
          <w:i/>
          <w:szCs w:val="20"/>
        </w:rPr>
        <w:t>respondents</w:t>
      </w:r>
      <w:r w:rsidRPr="003A0F59">
        <w:rPr>
          <w:szCs w:val="20"/>
        </w:rPr>
        <w:t xml:space="preserve"> and counts of </w:t>
      </w:r>
      <w:r w:rsidRPr="003A0F59">
        <w:rPr>
          <w:i/>
          <w:szCs w:val="20"/>
        </w:rPr>
        <w:t>responses</w:t>
      </w:r>
      <w:r w:rsidRPr="003A0F59">
        <w:rPr>
          <w:szCs w:val="20"/>
        </w:rPr>
        <w:t xml:space="preserve"> or to when and how the count for a given analysis was based on a subset formed from the result of a previous analysis. The SWE Team has brought these instances to Navigant’s attention and is seeking to clarify the source of confusion.</w:t>
      </w:r>
    </w:p>
    <w:p w:rsidR="00661E10" w:rsidRPr="00F02042" w:rsidRDefault="00F02042" w:rsidP="00E646C9">
      <w:pPr>
        <w:numPr>
          <w:ilvl w:val="0"/>
          <w:numId w:val="55"/>
        </w:numPr>
        <w:ind w:left="360"/>
        <w:contextualSpacing/>
        <w:rPr>
          <w:szCs w:val="20"/>
        </w:rPr>
      </w:pPr>
      <w:r w:rsidRPr="003A0F59">
        <w:rPr>
          <w:szCs w:val="20"/>
        </w:rPr>
        <w:t xml:space="preserve">The PY5, PY6, and PY7 reports do not provide details about the sample generation, the contact protocols, and a disposition summary of calls. These details, as suggested in the PY5 SWE report, “help the reader judge the adequacy of the research” and so would enhance future reporting. The Framework section 4.4.3 requires transparency in reporting about “the reasons the approach was selected, the sample, the questions used, and the methods used….” </w:t>
      </w:r>
    </w:p>
    <w:p w:rsidR="00661E10" w:rsidRPr="00661E10" w:rsidRDefault="00661E10" w:rsidP="00661E10"/>
    <w:p w:rsidR="00661E10" w:rsidRPr="00661E10" w:rsidRDefault="00661E10" w:rsidP="00661E10">
      <w:r w:rsidRPr="00661E10">
        <w:t>Addressing the above issues will make the reporting stronger in Phase III.</w:t>
      </w:r>
    </w:p>
    <w:p w:rsidR="00661E10" w:rsidRPr="00661E10" w:rsidRDefault="00661E10" w:rsidP="00661E10"/>
    <w:p w:rsidR="00661E10" w:rsidRPr="00661E10" w:rsidRDefault="00661E10" w:rsidP="00771798">
      <w:pPr>
        <w:pStyle w:val="Heading4"/>
        <w:rPr>
          <w:rFonts w:eastAsiaTheme="minorHAnsi"/>
        </w:rPr>
      </w:pPr>
      <w:bookmarkStart w:id="368" w:name="_Ref469667174"/>
      <w:r w:rsidRPr="00661E10">
        <w:rPr>
          <w:rFonts w:eastAsiaTheme="minorHAnsi"/>
        </w:rPr>
        <w:t>Metropolitan Edison</w:t>
      </w:r>
      <w:bookmarkEnd w:id="368"/>
    </w:p>
    <w:p w:rsidR="00661E10" w:rsidRPr="00661E10" w:rsidRDefault="00661E10" w:rsidP="00E673F0">
      <w:pPr>
        <w:pStyle w:val="Heading5"/>
      </w:pPr>
      <w:r w:rsidRPr="00661E10">
        <w:t>Process Evaluation Key Findings from Phase II</w:t>
      </w:r>
    </w:p>
    <w:p w:rsidR="00661E10" w:rsidRPr="00661E10" w:rsidRDefault="00661E10" w:rsidP="00661E10">
      <w:r w:rsidRPr="00661E10">
        <w:t>FirstEnergy implemented a common set of DSM programs across its four Pennsylvania EDCs—Met-Ed, Penelec, Penn Power, and West Penn. FirstEnergy’s evaluation contractors, ADM</w:t>
      </w:r>
      <w:r w:rsidR="00F02042">
        <w:t>/</w:t>
      </w:r>
      <w:r w:rsidRPr="00661E10">
        <w:t xml:space="preserve">Tetra Tech, used the same evaluation approaches and identified the same findings and recommendations for all four EDCs. </w:t>
      </w:r>
    </w:p>
    <w:p w:rsidR="00661E10" w:rsidRPr="00661E10" w:rsidRDefault="00661E10" w:rsidP="00661E10"/>
    <w:p w:rsidR="00661E10" w:rsidRPr="00661E10" w:rsidRDefault="00661E10" w:rsidP="00661E10">
      <w:r w:rsidRPr="00661E10">
        <w:t xml:space="preserve">Across all DSM programs, all four FirstEnergy EDCs exceeded each of their savings goals for Phase II. Savings came from across the portfolio of programs, with some programs meeting or exceeding their specific goals whereas others did not meet their goals. Some of the largest programs, such as the residential Products and Home Performance programs and the non-residential Efficient Equipment Program (Large), consistently exceeded their goals. Other programs, such as the residential Appliance Turn-In and non-residential Energy Efficient Buildings programs, fell short of their specific Phase II goals. </w:t>
      </w:r>
    </w:p>
    <w:p w:rsidR="00661E10" w:rsidRPr="00661E10" w:rsidRDefault="00661E10" w:rsidP="00661E10"/>
    <w:p w:rsidR="00661E10" w:rsidRPr="00661E10" w:rsidRDefault="00661E10" w:rsidP="00661E10">
      <w:r w:rsidRPr="00661E10">
        <w:t xml:space="preserve">Across the four EDCs’ programs, participants were generally satisfied. Contractors and other trade allies were also generally satisfied, but they commonly found handling program paperwork challenging. No large-scale program improvements were noted by participants or program staff in Phase II. </w:t>
      </w:r>
    </w:p>
    <w:p w:rsidR="00661E10" w:rsidRPr="00661E10" w:rsidRDefault="00661E10" w:rsidP="00661E10"/>
    <w:p w:rsidR="00661E10" w:rsidRPr="00661E10" w:rsidRDefault="00661E10" w:rsidP="00E673F0">
      <w:pPr>
        <w:pStyle w:val="Heading5"/>
      </w:pPr>
      <w:r w:rsidRPr="00661E10">
        <w:t>SWE Team Review of Process Evaluation</w:t>
      </w:r>
    </w:p>
    <w:p w:rsidR="00661E10" w:rsidRPr="00661E10" w:rsidRDefault="00661E10" w:rsidP="00A30624">
      <w:pPr>
        <w:spacing w:after="120"/>
      </w:pPr>
      <w:r w:rsidRPr="00661E10">
        <w:t>ADM</w:t>
      </w:r>
      <w:r w:rsidR="00F02042">
        <w:t>/</w:t>
      </w:r>
      <w:r w:rsidRPr="00661E10">
        <w:t>Tetra Tech conducted Phase II process evaluations generally following the evaluation plan. The data</w:t>
      </w:r>
      <w:r w:rsidR="002F75DB">
        <w:t>-</w:t>
      </w:r>
      <w:r w:rsidRPr="00661E10">
        <w:t>collection methodologies, including sampling strategies, were appropriate and adequately documented. The reports generally included valuable process findings. ADM</w:t>
      </w:r>
      <w:r w:rsidR="00F02042">
        <w:t>/</w:t>
      </w:r>
      <w:r w:rsidRPr="00661E10">
        <w:t xml:space="preserve">Tetra Tech adequately followed the SWE guidelines for evaluating FirstEnergy’s programs during Phase II and performed the following: </w:t>
      </w:r>
    </w:p>
    <w:p w:rsidR="00661E10" w:rsidRPr="00661E10" w:rsidRDefault="00661E10" w:rsidP="00E646C9">
      <w:pPr>
        <w:numPr>
          <w:ilvl w:val="0"/>
          <w:numId w:val="56"/>
        </w:numPr>
        <w:ind w:left="360"/>
        <w:contextualSpacing/>
        <w:rPr>
          <w:szCs w:val="20"/>
        </w:rPr>
      </w:pPr>
      <w:r w:rsidRPr="00661E10">
        <w:rPr>
          <w:szCs w:val="20"/>
        </w:rPr>
        <w:t xml:space="preserve">Followed the evaluation plan’s guidelines and activities. </w:t>
      </w:r>
    </w:p>
    <w:p w:rsidR="00661E10" w:rsidRPr="00661E10" w:rsidRDefault="00661E10" w:rsidP="00E646C9">
      <w:pPr>
        <w:numPr>
          <w:ilvl w:val="0"/>
          <w:numId w:val="56"/>
        </w:numPr>
        <w:ind w:left="360"/>
        <w:contextualSpacing/>
        <w:rPr>
          <w:szCs w:val="20"/>
        </w:rPr>
      </w:pPr>
      <w:r w:rsidRPr="00661E10">
        <w:rPr>
          <w:szCs w:val="20"/>
        </w:rPr>
        <w:t>Evaluated each program at least once across Phase II.</w:t>
      </w:r>
    </w:p>
    <w:p w:rsidR="00661E10" w:rsidRPr="00661E10" w:rsidRDefault="00661E10" w:rsidP="00E646C9">
      <w:pPr>
        <w:numPr>
          <w:ilvl w:val="0"/>
          <w:numId w:val="56"/>
        </w:numPr>
        <w:ind w:left="360"/>
        <w:contextualSpacing/>
        <w:rPr>
          <w:szCs w:val="20"/>
        </w:rPr>
      </w:pPr>
      <w:r w:rsidRPr="00661E10">
        <w:rPr>
          <w:szCs w:val="20"/>
        </w:rPr>
        <w:t>Used SWE-prescribed tables in the report.</w:t>
      </w:r>
    </w:p>
    <w:p w:rsidR="00661E10" w:rsidRPr="00661E10" w:rsidRDefault="00661E10" w:rsidP="00E646C9">
      <w:pPr>
        <w:numPr>
          <w:ilvl w:val="0"/>
          <w:numId w:val="56"/>
        </w:numPr>
        <w:ind w:left="360"/>
        <w:contextualSpacing/>
        <w:rPr>
          <w:szCs w:val="20"/>
        </w:rPr>
      </w:pPr>
      <w:r w:rsidRPr="00661E10">
        <w:rPr>
          <w:szCs w:val="20"/>
        </w:rPr>
        <w:t>Described its methods adequately.</w:t>
      </w:r>
    </w:p>
    <w:p w:rsidR="00661E10" w:rsidRPr="00661E10" w:rsidRDefault="00661E10" w:rsidP="00E646C9">
      <w:pPr>
        <w:numPr>
          <w:ilvl w:val="0"/>
          <w:numId w:val="56"/>
        </w:numPr>
        <w:ind w:left="360"/>
        <w:contextualSpacing/>
        <w:rPr>
          <w:szCs w:val="20"/>
        </w:rPr>
      </w:pPr>
      <w:r w:rsidRPr="00661E10">
        <w:rPr>
          <w:szCs w:val="20"/>
        </w:rPr>
        <w:t>Provided a summary of evaluation findings.</w:t>
      </w:r>
    </w:p>
    <w:p w:rsidR="00661E10" w:rsidRPr="00661E10" w:rsidRDefault="00661E10" w:rsidP="00E646C9">
      <w:pPr>
        <w:numPr>
          <w:ilvl w:val="0"/>
          <w:numId w:val="56"/>
        </w:numPr>
        <w:ind w:left="360"/>
        <w:contextualSpacing/>
        <w:rPr>
          <w:szCs w:val="20"/>
        </w:rPr>
      </w:pPr>
      <w:r w:rsidRPr="00661E10">
        <w:rPr>
          <w:szCs w:val="20"/>
        </w:rPr>
        <w:t>Reported findings based on research activities.</w:t>
      </w:r>
    </w:p>
    <w:p w:rsidR="00661E10" w:rsidRPr="00661E10" w:rsidRDefault="00661E10" w:rsidP="00E646C9">
      <w:pPr>
        <w:numPr>
          <w:ilvl w:val="0"/>
          <w:numId w:val="56"/>
        </w:numPr>
        <w:ind w:left="360"/>
        <w:contextualSpacing/>
        <w:rPr>
          <w:szCs w:val="20"/>
        </w:rPr>
      </w:pPr>
      <w:r w:rsidRPr="00661E10">
        <w:rPr>
          <w:szCs w:val="20"/>
        </w:rPr>
        <w:t>Created actionable recommendations based on research findings.</w:t>
      </w:r>
    </w:p>
    <w:p w:rsidR="00197204" w:rsidRPr="00197204" w:rsidRDefault="00197204" w:rsidP="00197204"/>
    <w:p w:rsidR="00661E10" w:rsidRPr="00661E10" w:rsidRDefault="00661E10" w:rsidP="00A30624">
      <w:pPr>
        <w:spacing w:after="120"/>
      </w:pPr>
      <w:r w:rsidRPr="00661E10">
        <w:t>Although ADM</w:t>
      </w:r>
      <w:r w:rsidR="00F02042">
        <w:t>/</w:t>
      </w:r>
      <w:r w:rsidRPr="00661E10">
        <w:t>Tetra Tech adequately fulfilled the evaluation requirements, the SWE found the following notable issues that should be addressed in Phase III evaluations:</w:t>
      </w:r>
    </w:p>
    <w:p w:rsidR="00661E10" w:rsidRPr="00661E10" w:rsidRDefault="00661E10" w:rsidP="00E646C9">
      <w:pPr>
        <w:numPr>
          <w:ilvl w:val="0"/>
          <w:numId w:val="57"/>
        </w:numPr>
        <w:ind w:left="360"/>
        <w:contextualSpacing/>
        <w:rPr>
          <w:szCs w:val="20"/>
        </w:rPr>
      </w:pPr>
      <w:r w:rsidRPr="00661E10">
        <w:rPr>
          <w:szCs w:val="20"/>
        </w:rPr>
        <w:t xml:space="preserve">A few elements of evaluation activities outlined in the evaluation plan were not included in the reports. For instance, the plan stated conducting benchmarking review for some residential programs and surveys of nonparticipating trade allies during PY5 and PY6, but the reports did not mention any of these activities. The SWE recommends that any significant deviations from the plan be justified. </w:t>
      </w:r>
    </w:p>
    <w:p w:rsidR="00661E10" w:rsidRPr="00661E10" w:rsidRDefault="00661E10" w:rsidP="00E646C9">
      <w:pPr>
        <w:numPr>
          <w:ilvl w:val="0"/>
          <w:numId w:val="57"/>
        </w:numPr>
        <w:ind w:left="360"/>
        <w:contextualSpacing/>
        <w:rPr>
          <w:szCs w:val="20"/>
        </w:rPr>
      </w:pPr>
      <w:r w:rsidRPr="00661E10">
        <w:rPr>
          <w:szCs w:val="20"/>
        </w:rPr>
        <w:t>Across the PY5–PY7 reports, discussions of sampling approaches for surveys as well as interviews often lacked sufficient justifications or details. Some additional methodology details would be valuable. The SWE recommends that sampling methodology for each data</w:t>
      </w:r>
      <w:r w:rsidR="002F75DB">
        <w:rPr>
          <w:szCs w:val="20"/>
        </w:rPr>
        <w:t>-</w:t>
      </w:r>
      <w:r w:rsidRPr="00661E10">
        <w:rPr>
          <w:szCs w:val="20"/>
        </w:rPr>
        <w:t xml:space="preserve">collection activity clearly discuss (1) the sizes of the population and completed sample and (2) sufficient sampling details, such as random, stratified random, or purposive sampling, that enable replication of the methodology. </w:t>
      </w:r>
    </w:p>
    <w:p w:rsidR="00661E10" w:rsidRPr="00661E10" w:rsidRDefault="00661E10" w:rsidP="00E646C9">
      <w:pPr>
        <w:numPr>
          <w:ilvl w:val="0"/>
          <w:numId w:val="57"/>
        </w:numPr>
        <w:ind w:left="360"/>
        <w:contextualSpacing/>
        <w:rPr>
          <w:szCs w:val="20"/>
        </w:rPr>
      </w:pPr>
      <w:r w:rsidRPr="00661E10">
        <w:rPr>
          <w:szCs w:val="20"/>
        </w:rPr>
        <w:t xml:space="preserve">Most process evaluation findings were based on the total sample across the four FirstEnergy EDCs, and the reports largely provided an identical set of findings across the four EDCs, while these EDCs produced different levels of program savings for different programs. The SWE recommends that the evaluation </w:t>
      </w:r>
      <w:r w:rsidR="002F75DB">
        <w:rPr>
          <w:szCs w:val="20"/>
        </w:rPr>
        <w:t>i</w:t>
      </w:r>
      <w:r w:rsidRPr="00661E10">
        <w:rPr>
          <w:szCs w:val="20"/>
        </w:rPr>
        <w:t xml:space="preserve">dentify some unique issues </w:t>
      </w:r>
      <w:r w:rsidR="002F75DB">
        <w:rPr>
          <w:szCs w:val="20"/>
        </w:rPr>
        <w:t xml:space="preserve">that </w:t>
      </w:r>
      <w:r w:rsidRPr="00661E10">
        <w:rPr>
          <w:szCs w:val="20"/>
        </w:rPr>
        <w:t xml:space="preserve">each EDC faces. </w:t>
      </w:r>
    </w:p>
    <w:p w:rsidR="00661E10" w:rsidRPr="00661E10" w:rsidRDefault="00661E10" w:rsidP="00661E10"/>
    <w:p w:rsidR="00661E10" w:rsidRPr="00661E10" w:rsidRDefault="00661E10" w:rsidP="00771798">
      <w:pPr>
        <w:pStyle w:val="Heading4"/>
        <w:rPr>
          <w:rFonts w:eastAsiaTheme="minorHAnsi"/>
        </w:rPr>
      </w:pPr>
      <w:r w:rsidRPr="00661E10">
        <w:rPr>
          <w:rFonts w:eastAsiaTheme="minorHAnsi"/>
        </w:rPr>
        <w:t>Pennsylvania Electric</w:t>
      </w:r>
      <w:r w:rsidRPr="00661E10">
        <w:rPr>
          <w:rFonts w:eastAsiaTheme="minorHAnsi"/>
        </w:rPr>
        <w:tab/>
      </w:r>
    </w:p>
    <w:p w:rsidR="00661E10" w:rsidRPr="00661E10" w:rsidRDefault="00661E10" w:rsidP="00661E10">
      <w:r w:rsidRPr="00661E10">
        <w:t>FirstEnergy’s evaluation contractor, ADM</w:t>
      </w:r>
      <w:r w:rsidR="000D7316">
        <w:t>/Tetra Tech</w:t>
      </w:r>
      <w:r w:rsidRPr="00661E10">
        <w:t xml:space="preserve">, took unified process evaluation approaches to these programs across the four FirstEnergy EDCs, including Penelec, and so the annual evaluation reports of the four EDCs report identical information about the process evaluation in each year. Therefore, the SWE Team’s audit summary described in Section </w:t>
      </w:r>
      <w:r w:rsidRPr="00661E10">
        <w:fldChar w:fldCharType="begin"/>
      </w:r>
      <w:r w:rsidRPr="00661E10">
        <w:instrText xml:space="preserve"> REF _Ref469667174 \r \h </w:instrText>
      </w:r>
      <w:r w:rsidRPr="00661E10">
        <w:fldChar w:fldCharType="separate"/>
      </w:r>
      <w:r w:rsidR="00037CB4">
        <w:t>5.2.4.2</w:t>
      </w:r>
      <w:r w:rsidRPr="00661E10">
        <w:fldChar w:fldCharType="end"/>
      </w:r>
      <w:r w:rsidRPr="00661E10">
        <w:t xml:space="preserve"> pertains to all four FirstEnergy </w:t>
      </w:r>
      <w:r w:rsidR="00F02042">
        <w:t>EDCs</w:t>
      </w:r>
      <w:r w:rsidRPr="00661E10">
        <w:t xml:space="preserve">, including Penelec. </w:t>
      </w:r>
    </w:p>
    <w:p w:rsidR="00661E10" w:rsidRPr="00661E10" w:rsidRDefault="00661E10" w:rsidP="00661E10"/>
    <w:p w:rsidR="00661E10" w:rsidRPr="00661E10" w:rsidRDefault="00661E10" w:rsidP="00771798">
      <w:pPr>
        <w:pStyle w:val="Heading4"/>
        <w:rPr>
          <w:rFonts w:eastAsiaTheme="minorHAnsi"/>
        </w:rPr>
      </w:pPr>
      <w:r w:rsidRPr="00661E10">
        <w:rPr>
          <w:rFonts w:eastAsiaTheme="minorHAnsi"/>
        </w:rPr>
        <w:t>Pennsylvania Power</w:t>
      </w:r>
      <w:r w:rsidRPr="00661E10">
        <w:rPr>
          <w:rFonts w:eastAsiaTheme="minorHAnsi"/>
        </w:rPr>
        <w:tab/>
      </w:r>
    </w:p>
    <w:p w:rsidR="00661E10" w:rsidRPr="00661E10" w:rsidRDefault="00661E10" w:rsidP="00661E10">
      <w:r w:rsidRPr="00661E10">
        <w:t>FirstEnergy’s evaluation contractor, ADM</w:t>
      </w:r>
      <w:r w:rsidR="000D7316">
        <w:t>/Tetra Tech</w:t>
      </w:r>
      <w:r w:rsidRPr="00661E10">
        <w:t xml:space="preserve">, took unified process evaluation approaches to these programs across the four FirstEnergy EDCs, including Penn Power, and so the annual evaluation reports of the four EDCs report identical information about the process evaluation in each year. Therefore, the SWE Team’s audit summary described in Section </w:t>
      </w:r>
      <w:r w:rsidRPr="00661E10">
        <w:fldChar w:fldCharType="begin"/>
      </w:r>
      <w:r w:rsidRPr="00661E10">
        <w:instrText xml:space="preserve"> REF _Ref469667174 \r \h </w:instrText>
      </w:r>
      <w:r w:rsidRPr="00661E10">
        <w:fldChar w:fldCharType="separate"/>
      </w:r>
      <w:r w:rsidR="00037CB4">
        <w:t>5.2.4.2</w:t>
      </w:r>
      <w:r w:rsidRPr="00661E10">
        <w:fldChar w:fldCharType="end"/>
      </w:r>
      <w:r w:rsidRPr="00661E10">
        <w:t xml:space="preserve"> pertains to all four FirstEnergy </w:t>
      </w:r>
      <w:r w:rsidR="00F02042">
        <w:t>EDCs</w:t>
      </w:r>
      <w:r w:rsidRPr="00661E10">
        <w:t xml:space="preserve">, including Penn Power. </w:t>
      </w:r>
    </w:p>
    <w:p w:rsidR="00661E10" w:rsidRPr="00661E10" w:rsidRDefault="00661E10" w:rsidP="00661E10"/>
    <w:p w:rsidR="00661E10" w:rsidRPr="00661E10" w:rsidRDefault="00661E10" w:rsidP="00771798">
      <w:pPr>
        <w:pStyle w:val="Heading4"/>
        <w:rPr>
          <w:rFonts w:eastAsiaTheme="minorHAnsi"/>
        </w:rPr>
      </w:pPr>
      <w:r w:rsidRPr="00661E10">
        <w:rPr>
          <w:rFonts w:eastAsiaTheme="minorHAnsi"/>
        </w:rPr>
        <w:t>West Penn Power</w:t>
      </w:r>
    </w:p>
    <w:p w:rsidR="00661E10" w:rsidRPr="00661E10" w:rsidRDefault="00661E10" w:rsidP="00661E10">
      <w:r w:rsidRPr="00661E10">
        <w:t>FirstEnergy’s evaluation contractor, ADM</w:t>
      </w:r>
      <w:r w:rsidR="000D7316">
        <w:t>/Tetra Tech</w:t>
      </w:r>
      <w:r w:rsidRPr="00661E10">
        <w:t xml:space="preserve">, took unified process evaluation approaches to these programs across the four FirstEnergy EDCs, including West Penn Power, and so the annual evaluation reports of the four EDCs report identical information about the process evaluation in each year. Therefore, the SWE Team’s audit summary described in Section </w:t>
      </w:r>
      <w:r w:rsidRPr="00661E10">
        <w:fldChar w:fldCharType="begin"/>
      </w:r>
      <w:r w:rsidRPr="00661E10">
        <w:instrText xml:space="preserve"> REF _Ref469667174 \r \h </w:instrText>
      </w:r>
      <w:r w:rsidRPr="00661E10">
        <w:fldChar w:fldCharType="separate"/>
      </w:r>
      <w:r w:rsidR="00037CB4">
        <w:t>5.2.4.2</w:t>
      </w:r>
      <w:r w:rsidRPr="00661E10">
        <w:fldChar w:fldCharType="end"/>
      </w:r>
      <w:r w:rsidRPr="00661E10">
        <w:t xml:space="preserve"> pertains to all four FirstEnergy </w:t>
      </w:r>
      <w:r w:rsidR="00F02042">
        <w:t>EDCs</w:t>
      </w:r>
      <w:r w:rsidRPr="00661E10">
        <w:t>, including West Penn Power.</w:t>
      </w:r>
    </w:p>
    <w:p w:rsidR="00661E10" w:rsidRPr="00661E10" w:rsidRDefault="00661E10" w:rsidP="00661E10"/>
    <w:p w:rsidR="00F44D58" w:rsidRPr="00661E10" w:rsidRDefault="00F44D58" w:rsidP="00771798">
      <w:pPr>
        <w:pStyle w:val="Heading4"/>
        <w:rPr>
          <w:rFonts w:eastAsiaTheme="minorHAnsi"/>
        </w:rPr>
      </w:pPr>
      <w:r w:rsidRPr="00661E10">
        <w:rPr>
          <w:rFonts w:eastAsiaTheme="minorHAnsi"/>
        </w:rPr>
        <w:t>PECO Energy</w:t>
      </w:r>
      <w:r w:rsidRPr="00661E10">
        <w:rPr>
          <w:rFonts w:eastAsiaTheme="minorHAnsi"/>
        </w:rPr>
        <w:tab/>
      </w:r>
    </w:p>
    <w:p w:rsidR="00F44D58" w:rsidRPr="00661E10" w:rsidRDefault="00F44D58" w:rsidP="00E673F0">
      <w:pPr>
        <w:pStyle w:val="Heading5"/>
      </w:pPr>
      <w:r w:rsidRPr="00661E10">
        <w:t>Process Evaluation Key Findings from Phase II</w:t>
      </w:r>
    </w:p>
    <w:p w:rsidR="00F44D58" w:rsidRPr="00661E10" w:rsidRDefault="00121908" w:rsidP="00F44D58">
      <w:r w:rsidRPr="00121908">
        <w:t>Across all DSM programs, when accounting for cumulative portfolio savings that include carry-over savings from Phase I, PECO exceeded the energy savings compliance target. Savings came from across the portfolio of programs, with some programs meeting or exceeding their specific goals whereas others did not meet their goals. Some of the largest programs, such as Smart Home Rebates (SHR), exceeded their goals noticeably. Other programs, such as Smart Appliance Recycling (SAR), did not meet their specific Phase II goals. For example, JACO’s bankruptcy during Phase II, which interfered with the delivery of participant rebates, was responsible for SAR failing to reach its PY7 and Phase II goals. Navigant identified reasons why programs exceeded or did not meet their goals.</w:t>
      </w:r>
      <w:r w:rsidR="00F44D58" w:rsidRPr="00661E10">
        <w:t xml:space="preserve"> </w:t>
      </w:r>
    </w:p>
    <w:p w:rsidR="00F44D58" w:rsidRPr="00661E10" w:rsidRDefault="00F44D58" w:rsidP="00F44D58"/>
    <w:p w:rsidR="00F44D58" w:rsidRPr="00661E10" w:rsidRDefault="00121908" w:rsidP="00F44D58">
      <w:r w:rsidRPr="00121908">
        <w:t>Across all programs, participants were generally satisfied. Participant feedback on PECO’s programs provided insights into the efficiency of the program delivery and opportunities for improvement. The latter revolved around issues such as increasing cross promotion of PECO programs and ways to simplify program delivery.  A decline in satisfaction was noted among the 10% of SAR’s PY7 participants impacted by JACO’s bankruptcy.</w:t>
      </w:r>
    </w:p>
    <w:p w:rsidR="00F44D58" w:rsidRDefault="00F44D58" w:rsidP="00F44D58"/>
    <w:p w:rsidR="00835821" w:rsidRDefault="00835821" w:rsidP="00F44D58"/>
    <w:p w:rsidR="00835821" w:rsidRPr="00661E10" w:rsidRDefault="00835821" w:rsidP="00F44D58"/>
    <w:p w:rsidR="00F44D58" w:rsidRPr="00661E10" w:rsidRDefault="00F44D58" w:rsidP="00E673F0">
      <w:pPr>
        <w:pStyle w:val="Heading5"/>
      </w:pPr>
      <w:r w:rsidRPr="00661E10">
        <w:t>SWE Team Review of Process Evaluation</w:t>
      </w:r>
    </w:p>
    <w:p w:rsidR="00F44D58" w:rsidRPr="00661E10" w:rsidRDefault="00F44D58" w:rsidP="00A30624">
      <w:pPr>
        <w:spacing w:after="120"/>
      </w:pPr>
      <w:r w:rsidRPr="00661E10">
        <w:t>The SWE Team’s review found that the PY5, PY6, and PY7 evaluations were consistent with Navigant’s Phase II evaluation plan. The random sampling for participant and nonparticipant surveys was appropriate, as was the purposive sampling used for staff, implementer, and market actor interviews. Across the Phase II evaluations, Navigant did the following:</w:t>
      </w:r>
    </w:p>
    <w:p w:rsidR="00F44D58" w:rsidRPr="00661E10" w:rsidRDefault="00F44D58" w:rsidP="00E646C9">
      <w:pPr>
        <w:numPr>
          <w:ilvl w:val="0"/>
          <w:numId w:val="58"/>
        </w:numPr>
        <w:ind w:left="360"/>
        <w:contextualSpacing/>
        <w:rPr>
          <w:szCs w:val="20"/>
        </w:rPr>
      </w:pPr>
      <w:r w:rsidRPr="00661E10">
        <w:rPr>
          <w:szCs w:val="20"/>
        </w:rPr>
        <w:t>Followed the evaluation plan’s guidelines and activities.</w:t>
      </w:r>
    </w:p>
    <w:p w:rsidR="00F44D58" w:rsidRPr="00661E10" w:rsidRDefault="00F44D58" w:rsidP="00E646C9">
      <w:pPr>
        <w:numPr>
          <w:ilvl w:val="0"/>
          <w:numId w:val="58"/>
        </w:numPr>
        <w:ind w:left="360"/>
        <w:contextualSpacing/>
        <w:rPr>
          <w:szCs w:val="20"/>
        </w:rPr>
      </w:pPr>
      <w:r w:rsidRPr="00661E10">
        <w:rPr>
          <w:szCs w:val="20"/>
        </w:rPr>
        <w:t>Evaluated each program at least once across Phase II.</w:t>
      </w:r>
    </w:p>
    <w:p w:rsidR="00F44D58" w:rsidRPr="00661E10" w:rsidRDefault="00F44D58" w:rsidP="00E646C9">
      <w:pPr>
        <w:numPr>
          <w:ilvl w:val="0"/>
          <w:numId w:val="58"/>
        </w:numPr>
        <w:ind w:left="360"/>
        <w:contextualSpacing/>
        <w:rPr>
          <w:szCs w:val="20"/>
        </w:rPr>
      </w:pPr>
      <w:r w:rsidRPr="00661E10">
        <w:rPr>
          <w:szCs w:val="20"/>
        </w:rPr>
        <w:t>Used SWE-prescribed tables in the report.</w:t>
      </w:r>
    </w:p>
    <w:p w:rsidR="00F44D58" w:rsidRPr="00661E10" w:rsidRDefault="00F44D58" w:rsidP="00E646C9">
      <w:pPr>
        <w:numPr>
          <w:ilvl w:val="0"/>
          <w:numId w:val="58"/>
        </w:numPr>
        <w:ind w:left="360"/>
        <w:contextualSpacing/>
        <w:rPr>
          <w:szCs w:val="20"/>
        </w:rPr>
      </w:pPr>
      <w:r w:rsidRPr="00661E10">
        <w:rPr>
          <w:szCs w:val="20"/>
        </w:rPr>
        <w:t>Described its methods adequately.</w:t>
      </w:r>
    </w:p>
    <w:p w:rsidR="00F44D58" w:rsidRPr="00661E10" w:rsidRDefault="00F44D58" w:rsidP="00E646C9">
      <w:pPr>
        <w:numPr>
          <w:ilvl w:val="0"/>
          <w:numId w:val="58"/>
        </w:numPr>
        <w:ind w:left="360"/>
        <w:contextualSpacing/>
        <w:rPr>
          <w:szCs w:val="20"/>
        </w:rPr>
      </w:pPr>
      <w:r w:rsidRPr="00661E10">
        <w:rPr>
          <w:szCs w:val="20"/>
        </w:rPr>
        <w:t>Provided a summary of evaluation findings.</w:t>
      </w:r>
    </w:p>
    <w:p w:rsidR="00F44D58" w:rsidRPr="00661E10" w:rsidRDefault="00F44D58" w:rsidP="00E646C9">
      <w:pPr>
        <w:numPr>
          <w:ilvl w:val="0"/>
          <w:numId w:val="58"/>
        </w:numPr>
        <w:ind w:left="360"/>
        <w:contextualSpacing/>
        <w:rPr>
          <w:szCs w:val="20"/>
        </w:rPr>
      </w:pPr>
      <w:r w:rsidRPr="00661E10">
        <w:rPr>
          <w:szCs w:val="20"/>
        </w:rPr>
        <w:t>Reported findings based on research activities.</w:t>
      </w:r>
    </w:p>
    <w:p w:rsidR="00F44D58" w:rsidRPr="00661E10" w:rsidRDefault="00F44D58" w:rsidP="00E646C9">
      <w:pPr>
        <w:numPr>
          <w:ilvl w:val="0"/>
          <w:numId w:val="58"/>
        </w:numPr>
        <w:ind w:left="360"/>
        <w:contextualSpacing/>
        <w:rPr>
          <w:szCs w:val="20"/>
        </w:rPr>
      </w:pPr>
      <w:r w:rsidRPr="00661E10">
        <w:rPr>
          <w:szCs w:val="20"/>
        </w:rPr>
        <w:t>Created actionable recommendations based on research findings.</w:t>
      </w:r>
    </w:p>
    <w:p w:rsidR="00F44D58" w:rsidRPr="00661E10" w:rsidRDefault="00F44D58" w:rsidP="00F44D58"/>
    <w:p w:rsidR="00F44D58" w:rsidRPr="00661E10" w:rsidRDefault="00F44D58" w:rsidP="00F44D58">
      <w:r w:rsidRPr="00661E10">
        <w:t xml:space="preserve">The PY5, PY6, and PY7 annual evaluation reports and supporting documentation generally provided a comprehensive overview of the process evaluation key findings and recommendations. Additionally, the PY7 report, compared with the PY5 and PY6 reports, included more detail on data gathered from interviews with market actors </w:t>
      </w:r>
      <w:r>
        <w:t>and</w:t>
      </w:r>
      <w:r w:rsidRPr="00661E10">
        <w:t xml:space="preserve"> program and implementer staff across various programs.  </w:t>
      </w:r>
    </w:p>
    <w:p w:rsidR="00F44D58" w:rsidRPr="00661E10" w:rsidRDefault="00F44D58" w:rsidP="00F44D58"/>
    <w:p w:rsidR="00F44D58" w:rsidRPr="00661E10" w:rsidRDefault="00F44D58" w:rsidP="00A30624">
      <w:pPr>
        <w:spacing w:after="120"/>
      </w:pPr>
      <w:r w:rsidRPr="00661E10">
        <w:t>Two issues were noted in more than one SWE report across Phase II:</w:t>
      </w:r>
    </w:p>
    <w:p w:rsidR="00F44D58" w:rsidRPr="00661E10" w:rsidRDefault="00F44D58" w:rsidP="00E646C9">
      <w:pPr>
        <w:numPr>
          <w:ilvl w:val="0"/>
          <w:numId w:val="58"/>
        </w:numPr>
        <w:ind w:left="360"/>
        <w:contextualSpacing/>
        <w:rPr>
          <w:szCs w:val="20"/>
        </w:rPr>
      </w:pPr>
      <w:r w:rsidRPr="00661E10">
        <w:rPr>
          <w:szCs w:val="20"/>
        </w:rPr>
        <w:t xml:space="preserve">As noted in the PY6 SWE report and the PY7 SWE analysis in this document, many recommendations were drawn from key findings rather than from conclusions. Taking the intermediary step of generating a conclusion based on multiple key findings can lead to stronger recommendations. </w:t>
      </w:r>
    </w:p>
    <w:p w:rsidR="00F44D58" w:rsidRPr="00661E10" w:rsidRDefault="005A1697" w:rsidP="00E646C9">
      <w:pPr>
        <w:numPr>
          <w:ilvl w:val="0"/>
          <w:numId w:val="58"/>
        </w:numPr>
        <w:ind w:left="360"/>
        <w:contextualSpacing/>
      </w:pPr>
      <w:r w:rsidRPr="005A1697">
        <w:rPr>
          <w:szCs w:val="20"/>
        </w:rPr>
        <w:t>The PY6 SWE report and the PY7 SWE analysis in this document note that Navigant did not report statistical significance when describing differences in groups. Providing statistical assessments would help the reader better understand the scale of noted differences, as well as explicitly noting when sample sizes are too small to conduct statistical assessments.</w:t>
      </w:r>
      <w:r w:rsidR="00F44D58" w:rsidRPr="00661E10">
        <w:rPr>
          <w:szCs w:val="20"/>
        </w:rPr>
        <w:t>”</w:t>
      </w:r>
    </w:p>
    <w:p w:rsidR="00F44D58" w:rsidRPr="00661E10" w:rsidRDefault="00F44D58" w:rsidP="00F44D58"/>
    <w:p w:rsidR="00F44D58" w:rsidRDefault="00F44D58" w:rsidP="00F44D58">
      <w:r w:rsidRPr="00661E10">
        <w:t>Addressing the above issues will make the reporting stronger in Phase III.</w:t>
      </w:r>
    </w:p>
    <w:p w:rsidR="008A2E24" w:rsidRPr="00661E10" w:rsidRDefault="008A2E24" w:rsidP="00F44D58"/>
    <w:p w:rsidR="00F44D58" w:rsidRPr="00661E10" w:rsidRDefault="00702765" w:rsidP="00771798">
      <w:pPr>
        <w:pStyle w:val="Heading4"/>
        <w:rPr>
          <w:rFonts w:eastAsiaTheme="minorHAnsi"/>
        </w:rPr>
      </w:pPr>
      <w:r>
        <w:rPr>
          <w:rFonts w:eastAsiaTheme="minorHAnsi"/>
        </w:rPr>
        <w:t>PPL</w:t>
      </w:r>
      <w:r w:rsidR="00F44D58" w:rsidRPr="00661E10">
        <w:rPr>
          <w:rFonts w:eastAsiaTheme="minorHAnsi"/>
        </w:rPr>
        <w:tab/>
      </w:r>
    </w:p>
    <w:p w:rsidR="00F44D58" w:rsidRPr="00661E10" w:rsidRDefault="00F44D58" w:rsidP="00E673F0">
      <w:pPr>
        <w:pStyle w:val="Heading5"/>
      </w:pPr>
      <w:r w:rsidRPr="00661E10">
        <w:t>Process Evaluation Key Findings from Phase II</w:t>
      </w:r>
    </w:p>
    <w:p w:rsidR="005A1697" w:rsidRDefault="005A1697" w:rsidP="005A1697">
      <w:r>
        <w:t>Across all DSM programs and pilots, PPL achieved 145% of its planned energy savings for Phase II, including carry-over savings from Phase I. Savings came from across the portfolio of programs, with most programs exceeding the estimates identified in the EE&amp;C Plan and a few programs slightly below the EE&amp;C Plan estimates. Cadmus identified reasons why those programs did not meet their estimates.</w:t>
      </w:r>
    </w:p>
    <w:p w:rsidR="005A1697" w:rsidRDefault="005A1697" w:rsidP="005A1697">
      <w:r>
        <w:t xml:space="preserve"> </w:t>
      </w:r>
    </w:p>
    <w:p w:rsidR="005A1697" w:rsidRDefault="005A1697" w:rsidP="005A1697">
      <w:r>
        <w:t xml:space="preserve">Across all programs, participants were satisfied, and a handful of participants in each program offered insights or suggestions for program improvements. These suggestions typically revolved around improving specific elements of the program, such as the applications, workshops, or program offerings. Program staff did not report any substantial program changes for Phase II but did note some changes for Phase III.  </w:t>
      </w:r>
    </w:p>
    <w:p w:rsidR="00F44D58" w:rsidRDefault="005A1697" w:rsidP="005A1697">
      <w:r>
        <w:t>The Master Metered Low-Income Multifamily Housing Program will not continue as a stand-alone program in Phase III; however, all multifamily buildings (both low income and market rate) are eligible to participate in the Phase III program offerings. Two pilots, the De Facto Heating Pilot (a component of the PY7 WRAP program) and the Wise Homes Pilot (a component of the PY7 E-PowerWise Program) will not continue or be mainstreamed in Phase III due to a variety of reasons, including cost per annual kWh saved. However, PPL will offer elements of the latter pilot as part of the Manufactured Home Park Initiative under the WRAP program. Offered measures will include LEDs and water measures (as offered by WRAP to all participants), as well as limited air sealing (without a blower door test or leakage assessment, as was done in the pilot).</w:t>
      </w:r>
    </w:p>
    <w:p w:rsidR="00835821" w:rsidRDefault="00835821" w:rsidP="005A1697"/>
    <w:p w:rsidR="00F44D58" w:rsidRPr="00661E10" w:rsidRDefault="00F44D58" w:rsidP="00E673F0">
      <w:pPr>
        <w:pStyle w:val="Heading5"/>
      </w:pPr>
      <w:r w:rsidRPr="00661E10">
        <w:t>SWE Team Review of Process Evaluation</w:t>
      </w:r>
    </w:p>
    <w:p w:rsidR="00F44D58" w:rsidRPr="00661E10" w:rsidRDefault="00F44D58" w:rsidP="00A30624">
      <w:pPr>
        <w:spacing w:after="120"/>
      </w:pPr>
      <w:r w:rsidRPr="00661E10">
        <w:t xml:space="preserve">All Phase II evaluations (PY5, PY6, PY7) followed the evaluation plan, with very few exceptions. The random sampling for participant and nonparticipant surveys, and the purposive sampling used for staff and implementer interviews, was appropriate, even though Cadmus was not able to achieve planned sample sizes for some survey efforts. </w:t>
      </w:r>
      <w:r w:rsidR="007C55F7">
        <w:t>Cadmus provided explanations where planned sample sizes were not achieved.</w:t>
      </w:r>
      <w:r w:rsidRPr="00661E10">
        <w:t xml:space="preserve"> Across the Phase II evaluations, Cadmus did the following:</w:t>
      </w:r>
    </w:p>
    <w:p w:rsidR="00F44D58" w:rsidRPr="00661E10" w:rsidRDefault="00F44D58" w:rsidP="00E646C9">
      <w:pPr>
        <w:numPr>
          <w:ilvl w:val="0"/>
          <w:numId w:val="59"/>
        </w:numPr>
        <w:ind w:left="360"/>
        <w:contextualSpacing/>
        <w:rPr>
          <w:szCs w:val="20"/>
        </w:rPr>
      </w:pPr>
      <w:r w:rsidRPr="00661E10">
        <w:rPr>
          <w:szCs w:val="20"/>
        </w:rPr>
        <w:t>Followed the evaluation plan’s guidelines and activities, with very few exceptions.</w:t>
      </w:r>
    </w:p>
    <w:p w:rsidR="00F44D58" w:rsidRPr="00661E10" w:rsidRDefault="00F44D58" w:rsidP="00E646C9">
      <w:pPr>
        <w:numPr>
          <w:ilvl w:val="0"/>
          <w:numId w:val="59"/>
        </w:numPr>
        <w:ind w:left="360"/>
        <w:contextualSpacing/>
        <w:rPr>
          <w:szCs w:val="20"/>
        </w:rPr>
      </w:pPr>
      <w:r w:rsidRPr="00661E10">
        <w:rPr>
          <w:szCs w:val="20"/>
        </w:rPr>
        <w:t>Evaluated each program at least once across Phase II.</w:t>
      </w:r>
    </w:p>
    <w:p w:rsidR="00F44D58" w:rsidRPr="00661E10" w:rsidRDefault="00F44D58" w:rsidP="00E646C9">
      <w:pPr>
        <w:numPr>
          <w:ilvl w:val="0"/>
          <w:numId w:val="59"/>
        </w:numPr>
        <w:ind w:left="360"/>
        <w:contextualSpacing/>
        <w:rPr>
          <w:szCs w:val="20"/>
        </w:rPr>
      </w:pPr>
      <w:r w:rsidRPr="00661E10">
        <w:rPr>
          <w:szCs w:val="20"/>
        </w:rPr>
        <w:t>Used SWE-prescribed tables in the report, with some exceptions for PY5.</w:t>
      </w:r>
    </w:p>
    <w:p w:rsidR="00F44D58" w:rsidRPr="00661E10" w:rsidRDefault="00F44D58" w:rsidP="00E646C9">
      <w:pPr>
        <w:numPr>
          <w:ilvl w:val="0"/>
          <w:numId w:val="59"/>
        </w:numPr>
        <w:ind w:left="360"/>
        <w:contextualSpacing/>
        <w:rPr>
          <w:szCs w:val="20"/>
        </w:rPr>
      </w:pPr>
      <w:r w:rsidRPr="00661E10">
        <w:rPr>
          <w:szCs w:val="20"/>
        </w:rPr>
        <w:t>Described its methods adequately, with a few exceptions in PY5 that were addressed in PY6 and PY7.</w:t>
      </w:r>
    </w:p>
    <w:p w:rsidR="00F44D58" w:rsidRPr="00661E10" w:rsidRDefault="00F44D58" w:rsidP="00E646C9">
      <w:pPr>
        <w:numPr>
          <w:ilvl w:val="0"/>
          <w:numId w:val="59"/>
        </w:numPr>
        <w:ind w:left="360"/>
        <w:contextualSpacing/>
        <w:rPr>
          <w:szCs w:val="20"/>
        </w:rPr>
      </w:pPr>
      <w:r w:rsidRPr="00661E10">
        <w:rPr>
          <w:szCs w:val="20"/>
        </w:rPr>
        <w:t>Provided a summary of evaluation findings.</w:t>
      </w:r>
    </w:p>
    <w:p w:rsidR="00F44D58" w:rsidRPr="00661E10" w:rsidRDefault="00F44D58" w:rsidP="00E646C9">
      <w:pPr>
        <w:numPr>
          <w:ilvl w:val="0"/>
          <w:numId w:val="59"/>
        </w:numPr>
        <w:ind w:left="360"/>
        <w:contextualSpacing/>
        <w:rPr>
          <w:szCs w:val="20"/>
        </w:rPr>
      </w:pPr>
      <w:r w:rsidRPr="00661E10">
        <w:rPr>
          <w:szCs w:val="20"/>
        </w:rPr>
        <w:t>Reported findings based on prescribed research questions and activities.</w:t>
      </w:r>
    </w:p>
    <w:p w:rsidR="00F44D58" w:rsidRPr="00661E10" w:rsidRDefault="00F44D58" w:rsidP="00E646C9">
      <w:pPr>
        <w:numPr>
          <w:ilvl w:val="0"/>
          <w:numId w:val="59"/>
        </w:numPr>
        <w:ind w:left="360"/>
        <w:contextualSpacing/>
        <w:rPr>
          <w:szCs w:val="20"/>
        </w:rPr>
      </w:pPr>
      <w:r w:rsidRPr="00661E10">
        <w:rPr>
          <w:szCs w:val="20"/>
        </w:rPr>
        <w:t>Created actionable recommendations based on research findings and conclusions.</w:t>
      </w:r>
    </w:p>
    <w:p w:rsidR="00F44D58" w:rsidRPr="00661E10" w:rsidRDefault="00F44D58" w:rsidP="00F44D58"/>
    <w:p w:rsidR="00F44D58" w:rsidRPr="00661E10" w:rsidRDefault="00F44D58" w:rsidP="00F44D58">
      <w:r w:rsidRPr="00661E10">
        <w:t xml:space="preserve">Cadmus implemented most of the SWE Team’s recommendations and improved its reports in each successive year. The SWE Team did not identify any issues that were present across </w:t>
      </w:r>
      <w:r w:rsidR="00BD1B4E" w:rsidRPr="00BD1B4E">
        <w:t xml:space="preserve">multiple </w:t>
      </w:r>
      <w:r w:rsidRPr="00661E10">
        <w:t>Phase II reports. Addressing the SWE Team’s few recommendations from the PY7 audit will make the reporting stronger in Phase III.</w:t>
      </w:r>
    </w:p>
    <w:p w:rsidR="00661E10" w:rsidRPr="00661E10" w:rsidRDefault="00661E10" w:rsidP="00661E10"/>
    <w:p w:rsidR="00661E10" w:rsidRPr="00661E10" w:rsidRDefault="00661E10" w:rsidP="00E673F0">
      <w:pPr>
        <w:pStyle w:val="Heading2"/>
      </w:pPr>
      <w:bookmarkStart w:id="369" w:name="_Toc472472130"/>
      <w:bookmarkStart w:id="370" w:name="_Toc488765824"/>
      <w:r w:rsidRPr="00661E10">
        <w:t>Net-to-Gross Research to Support Program Design</w:t>
      </w:r>
      <w:bookmarkEnd w:id="369"/>
      <w:bookmarkEnd w:id="370"/>
    </w:p>
    <w:p w:rsidR="00661E10" w:rsidRPr="00661E10" w:rsidRDefault="00F44D58" w:rsidP="00E673F0">
      <w:pPr>
        <w:pStyle w:val="Heading3"/>
      </w:pPr>
      <w:bookmarkStart w:id="371" w:name="_Toc472472131"/>
      <w:bookmarkStart w:id="372" w:name="_Toc488765825"/>
      <w:r>
        <w:t xml:space="preserve">Purpose of </w:t>
      </w:r>
      <w:r w:rsidR="00661E10" w:rsidRPr="00661E10">
        <w:t>Net-to-Gross</w:t>
      </w:r>
      <w:r>
        <w:t xml:space="preserve"> Research</w:t>
      </w:r>
      <w:bookmarkEnd w:id="371"/>
      <w:bookmarkEnd w:id="372"/>
    </w:p>
    <w:p w:rsidR="00661E10" w:rsidRPr="00661E10" w:rsidRDefault="00661E10" w:rsidP="00661E10">
      <w:r w:rsidRPr="00661E10">
        <w:t xml:space="preserve">The Phase II PA PUC Implementation Order specifies that in Phase II of Act 129, as in Phase I, compliance is based on meeting energy and demand reduction targets on gross verified savings. However, the PUC order also states that the EDCs should continue to use net verified savings to inform program design and implementation. </w:t>
      </w:r>
    </w:p>
    <w:p w:rsidR="00661E10" w:rsidRPr="00661E10" w:rsidRDefault="00661E10" w:rsidP="00661E10"/>
    <w:p w:rsidR="00661E10" w:rsidRPr="00661E10" w:rsidRDefault="00661E10" w:rsidP="00661E10">
      <w:r w:rsidRPr="00661E10">
        <w:t>Net savings are gross savings minus free-ridership plus spillover, where free-ridership is the savings that would have occurred even without the program</w:t>
      </w:r>
      <w:r w:rsidR="00E82812">
        <w:t>,</w:t>
      </w:r>
      <w:r w:rsidRPr="00661E10">
        <w:t xml:space="preserve"> and spillover is additional non-incented savings that occurred because of program influence. The ratio of net savings to gross savings is the net-to-gross ratio (NTGR), which is equal to 1 – FR + SO, where FR and SO represent free-ridership and spillover, each expressed as a proportion of gross savings. </w:t>
      </w:r>
    </w:p>
    <w:p w:rsidR="00661E10" w:rsidRDefault="00661E10" w:rsidP="00661E10">
      <w:r w:rsidRPr="00661E10">
        <w:t>This section summarizes the results from the EDCs’ NTG research, and the SWE Team’s determination of how closely the EDCs’ NTG evaluations aligned with the SWE guidelines.</w:t>
      </w:r>
    </w:p>
    <w:p w:rsidR="00CB2503" w:rsidRDefault="00CB2503" w:rsidP="00661E10"/>
    <w:p w:rsidR="007D5AC4" w:rsidRPr="00661E10" w:rsidRDefault="007D5AC4" w:rsidP="00E673F0">
      <w:pPr>
        <w:pStyle w:val="Heading3"/>
      </w:pPr>
      <w:bookmarkStart w:id="373" w:name="_Toc488765826"/>
      <w:r>
        <w:t>SWE Analysis of Phase II Net-to-Gross Reporting</w:t>
      </w:r>
      <w:bookmarkEnd w:id="373"/>
    </w:p>
    <w:p w:rsidR="007D5AC4" w:rsidRPr="007D5AC4" w:rsidRDefault="007D5AC4" w:rsidP="007D5AC4">
      <w:r w:rsidRPr="007D5AC4">
        <w:t>The Evaluation Framework states that NTG research should be conducted “to direct Act 129 program design and implementation” and provides detailed guidance on how NTG research should be conducted. For Phase II, the SWE Team introduced a common method for NTG estimation for downstream programs to help ensure consistent assessment of NTG across EDCs and programs. Since the evaluation contractors relied on this method—and typically executed it well—the NTG results across the EDCs are quite comparable, allowing for analysis of intra- and inter-EDC trends.</w:t>
      </w:r>
      <w:r>
        <w:t xml:space="preserve"> P</w:t>
      </w:r>
      <w:r w:rsidRPr="007D5AC4">
        <w:t>ortfolio-level NTG ratio (NTGR) decreased over Phase II for four EDCs (including three of the FirstEnergy EDCs), increased for one EDC, and showed no trend for two EDCs.</w:t>
      </w:r>
    </w:p>
    <w:p w:rsidR="007D5AC4" w:rsidRPr="007D5AC4" w:rsidRDefault="007D5AC4" w:rsidP="007D5AC4"/>
    <w:p w:rsidR="007D5AC4" w:rsidRDefault="007D5AC4" w:rsidP="007D5AC4">
      <w:r w:rsidRPr="007D5AC4">
        <w:t>The SWE Team has identified two additional areas in which further TUS and SWE guidance may be valuable in Phase III.</w:t>
      </w:r>
    </w:p>
    <w:p w:rsidR="00835821" w:rsidRPr="007D5AC4" w:rsidRDefault="00835821" w:rsidP="007D5AC4"/>
    <w:p w:rsidR="007D5AC4" w:rsidRPr="007D5AC4" w:rsidRDefault="007D5AC4" w:rsidP="00E673F0">
      <w:pPr>
        <w:pStyle w:val="Heading4"/>
      </w:pPr>
      <w:r w:rsidRPr="007D5AC4">
        <w:t>Comprehensiveness of NTG Research</w:t>
      </w:r>
    </w:p>
    <w:p w:rsidR="007D5AC4" w:rsidRPr="007D5AC4" w:rsidRDefault="007D5AC4" w:rsidP="007D5AC4">
      <w:r w:rsidRPr="007D5AC4">
        <w:t xml:space="preserve">The Evaluation Framework does not explicitly state that NTG research must be conducted for each program, nor does it state how often it must be conducted for a given program. This lack of specificity has led to some differences of understanding between the SWE Team and EDC evaluation contractors regarding the expectations for NTG research. </w:t>
      </w:r>
    </w:p>
    <w:p w:rsidR="007D5AC4" w:rsidRPr="007D5AC4" w:rsidRDefault="007D5AC4" w:rsidP="007D5AC4"/>
    <w:p w:rsidR="007D5AC4" w:rsidRPr="007D5AC4" w:rsidRDefault="007D5AC4" w:rsidP="007D5AC4">
      <w:r w:rsidRPr="007D5AC4">
        <w:t>The SWE Team believes that NTG research should be performed every year for high-impact programs (as defined by the Phase III SWE) and at least every three years for all other programs, unless an evaluation plan provides an acceptable reason not to conduct NTG research for a given program in a given year. The SWE Team understands that the new guidance in the Phase III framework is consistent with this perspective.</w:t>
      </w:r>
    </w:p>
    <w:p w:rsidR="007D5AC4" w:rsidRPr="007D5AC4" w:rsidRDefault="007D5AC4" w:rsidP="007D5AC4"/>
    <w:p w:rsidR="007D5AC4" w:rsidRPr="007D5AC4" w:rsidRDefault="007D5AC4" w:rsidP="00E673F0">
      <w:pPr>
        <w:pStyle w:val="Heading4"/>
      </w:pPr>
      <w:r w:rsidRPr="007D5AC4">
        <w:t>Assumption of an NTG Ratio of 1.0</w:t>
      </w:r>
    </w:p>
    <w:p w:rsidR="007D5AC4" w:rsidRPr="007D5AC4" w:rsidRDefault="007D5AC4" w:rsidP="007D5AC4">
      <w:r w:rsidRPr="007D5AC4">
        <w:t>The Phase II Evaluation Framework specified that the EDCs’ evaluation contractors should conduct NTG research “to inform program design and program planning.” In PY6 and PY7, evaluation contractors assumed an NTGR of 1.0 for most low-income programs as well as for some other residential and non-residential programs, under the rationale that the energy efficient measures were distributed at no cost to the recipients. The Phase II framework did not specify that any types of programs were exempt from NTG research—in fact, the framework identified the type of research often used for low-income programs—and therefore the SWE Team stated its disagreement with the evaluation contractors’ reasoning. Research conducted by SWE Team members in other jurisdictions indicates that the NTGR for low-income programs is often different from 1.0.</w:t>
      </w:r>
    </w:p>
    <w:p w:rsidR="007D5AC4" w:rsidRPr="007D5AC4" w:rsidRDefault="007D5AC4" w:rsidP="007D5AC4"/>
    <w:p w:rsidR="007D5AC4" w:rsidRPr="007D5AC4" w:rsidRDefault="007D5AC4" w:rsidP="008A2E24">
      <w:pPr>
        <w:spacing w:after="120"/>
      </w:pPr>
      <w:r w:rsidRPr="007D5AC4">
        <w:t>The SWE Team understands that the TUS does not believe that NTG research in the low-income sector is a priority. Moreover, there are some conditions under which NTG research may be inappropriate or unwarranted even in programs outside the low-income sector. The framework or other written guidance should identify the reasons for which NTG research may be waived. Such reasons may include, but are not necessarily limited to, the following:</w:t>
      </w:r>
    </w:p>
    <w:p w:rsidR="007D5AC4" w:rsidRPr="007D5AC4" w:rsidRDefault="007D5AC4" w:rsidP="00E646C9">
      <w:pPr>
        <w:pStyle w:val="ListParagraph"/>
        <w:numPr>
          <w:ilvl w:val="0"/>
          <w:numId w:val="60"/>
        </w:numPr>
        <w:ind w:left="360"/>
      </w:pPr>
      <w:r w:rsidRPr="007D5AC4">
        <w:t>The EDC is discontinuing the program.</w:t>
      </w:r>
    </w:p>
    <w:p w:rsidR="007D5AC4" w:rsidRPr="007D5AC4" w:rsidRDefault="007D5AC4" w:rsidP="00E646C9">
      <w:pPr>
        <w:pStyle w:val="ListParagraph"/>
        <w:numPr>
          <w:ilvl w:val="0"/>
          <w:numId w:val="60"/>
        </w:numPr>
        <w:ind w:left="360"/>
      </w:pPr>
      <w:r w:rsidRPr="007D5AC4">
        <w:t>The program represents a very low percentage of sector-level savings.</w:t>
      </w:r>
    </w:p>
    <w:p w:rsidR="007D5AC4" w:rsidRPr="007D5AC4" w:rsidRDefault="007D5AC4" w:rsidP="00E646C9">
      <w:pPr>
        <w:pStyle w:val="ListParagraph"/>
        <w:numPr>
          <w:ilvl w:val="0"/>
          <w:numId w:val="60"/>
        </w:numPr>
        <w:ind w:left="360"/>
      </w:pPr>
      <w:r w:rsidRPr="007D5AC4">
        <w:t>The program has a very small population, making it difficult to develop a statistically reliable sample.</w:t>
      </w:r>
    </w:p>
    <w:p w:rsidR="007D5AC4" w:rsidRPr="007D5AC4" w:rsidRDefault="007D5AC4" w:rsidP="007D5AC4"/>
    <w:p w:rsidR="00661E10" w:rsidRDefault="007D5AC4" w:rsidP="007D5AC4">
      <w:r w:rsidRPr="007D5AC4">
        <w:t xml:space="preserve">However, no-cost delivery of measures should not justify the assumption of no free-ridership in programs outside the low-income sector. The fact of how the participants got the measures through the program is independent of how they </w:t>
      </w:r>
      <w:r w:rsidRPr="007D5AC4">
        <w:rPr>
          <w:i/>
        </w:rPr>
        <w:t>would have</w:t>
      </w:r>
      <w:r w:rsidRPr="007D5AC4">
        <w:t xml:space="preserve"> gotten them if there had been no program.</w:t>
      </w:r>
    </w:p>
    <w:p w:rsidR="007D5AC4" w:rsidRPr="00661E10" w:rsidRDefault="007D5AC4" w:rsidP="007D5AC4"/>
    <w:p w:rsidR="00661E10" w:rsidRPr="00661E10" w:rsidRDefault="00661E10" w:rsidP="00E673F0">
      <w:pPr>
        <w:pStyle w:val="Heading3"/>
      </w:pPr>
      <w:bookmarkStart w:id="374" w:name="_Toc472472132"/>
      <w:bookmarkStart w:id="375" w:name="_Toc488765827"/>
      <w:r w:rsidRPr="00661E10">
        <w:t>Results for Program Year 7 (2015–2016)</w:t>
      </w:r>
      <w:bookmarkEnd w:id="374"/>
      <w:bookmarkEnd w:id="375"/>
    </w:p>
    <w:p w:rsidR="00661E10" w:rsidRPr="00661E10" w:rsidRDefault="00661E10" w:rsidP="00E673F0">
      <w:pPr>
        <w:pStyle w:val="Heading4"/>
      </w:pPr>
      <w:r w:rsidRPr="00661E10">
        <w:t xml:space="preserve">Summary of NTG </w:t>
      </w:r>
      <w:r w:rsidR="00F44D58">
        <w:t>Results</w:t>
      </w:r>
    </w:p>
    <w:p w:rsidR="00661E10" w:rsidRPr="00661E10" w:rsidRDefault="00ED5AFA" w:rsidP="00661E10">
      <w:r>
        <w:fldChar w:fldCharType="begin"/>
      </w:r>
      <w:r>
        <w:instrText xml:space="preserve"> REF _Ref471458663 \h </w:instrText>
      </w:r>
      <w:r>
        <w:fldChar w:fldCharType="separate"/>
      </w:r>
      <w:r w:rsidR="00037CB4" w:rsidRPr="00ED5AFA">
        <w:t xml:space="preserve">Table </w:t>
      </w:r>
      <w:r w:rsidR="00037CB4">
        <w:rPr>
          <w:noProof/>
        </w:rPr>
        <w:t>5</w:t>
      </w:r>
      <w:r w:rsidR="00037CB4">
        <w:noBreakHyphen/>
      </w:r>
      <w:r w:rsidR="00037CB4">
        <w:rPr>
          <w:noProof/>
        </w:rPr>
        <w:t>3</w:t>
      </w:r>
      <w:r>
        <w:fldChar w:fldCharType="end"/>
      </w:r>
      <w:r>
        <w:t xml:space="preserve"> </w:t>
      </w:r>
      <w:r w:rsidR="00661E10" w:rsidRPr="00661E10">
        <w:t xml:space="preserve">summarizes the portfolio-level free-ridership, spillover, and NTGRs reported by the EDCs in their PY7 annual reports. The EDCs estimated their portfolio-level NTGRs by weighting the program-level NTGRs by program savings. Reported results were fairly consistent across the EDCs, with most free-ridership estimates ranging from 0.32 to 0.39, most spillover estimates ranging from 0.01 to 0.06, and all NTGRs ranging from 0.60 to 0.76. Penn Power and PECO had the lowest portfolio-level NTGRs. </w:t>
      </w:r>
    </w:p>
    <w:p w:rsidR="00771798" w:rsidRPr="00661E10" w:rsidRDefault="00771798" w:rsidP="00661E10"/>
    <w:p w:rsidR="00661E10" w:rsidRPr="00ED5AFA" w:rsidRDefault="00ED5AFA" w:rsidP="004837FA">
      <w:pPr>
        <w:pStyle w:val="Caption"/>
      </w:pPr>
      <w:bookmarkStart w:id="376" w:name="_Ref471458663"/>
      <w:bookmarkStart w:id="377" w:name="_Ref408490153"/>
      <w:bookmarkStart w:id="378" w:name="_Toc409224989"/>
      <w:bookmarkStart w:id="379" w:name="_Toc409443541"/>
      <w:bookmarkStart w:id="380" w:name="_Toc410199260"/>
      <w:bookmarkStart w:id="381" w:name="_Toc444269702"/>
      <w:bookmarkStart w:id="382" w:name="_Toc472472188"/>
      <w:bookmarkStart w:id="383" w:name="_Toc488741767"/>
      <w:r w:rsidRPr="00ED5AFA">
        <w:t xml:space="preserve">Table </w:t>
      </w:r>
      <w:r w:rsidR="007973A4">
        <w:fldChar w:fldCharType="begin"/>
      </w:r>
      <w:r w:rsidR="007973A4">
        <w:instrText xml:space="preserve"> STYLEREF </w:instrText>
      </w:r>
      <w:r w:rsidR="007973A4">
        <w:instrText xml:space="preserve">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3</w:t>
      </w:r>
      <w:r w:rsidR="007973A4">
        <w:rPr>
          <w:noProof/>
        </w:rPr>
        <w:fldChar w:fldCharType="end"/>
      </w:r>
      <w:bookmarkEnd w:id="376"/>
      <w:r w:rsidRPr="00ED5AFA">
        <w:t>:</w:t>
      </w:r>
      <w:bookmarkEnd w:id="377"/>
      <w:r w:rsidR="00661E10" w:rsidRPr="00ED5AFA">
        <w:t xml:space="preserve"> PY7 Portfolio Net-to-Gross Ratios by EDC</w:t>
      </w:r>
      <w:bookmarkEnd w:id="378"/>
      <w:bookmarkEnd w:id="379"/>
      <w:bookmarkEnd w:id="380"/>
      <w:bookmarkEnd w:id="381"/>
      <w:bookmarkEnd w:id="382"/>
      <w:bookmarkEnd w:id="383"/>
    </w:p>
    <w:tbl>
      <w:tblPr>
        <w:tblW w:w="93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454"/>
        <w:gridCol w:w="2338"/>
        <w:gridCol w:w="2335"/>
        <w:gridCol w:w="2223"/>
      </w:tblGrid>
      <w:tr w:rsidR="00A874AC" w:rsidRPr="00CB2503" w:rsidTr="00CB2503">
        <w:trPr>
          <w:trHeight w:val="346"/>
        </w:trPr>
        <w:tc>
          <w:tcPr>
            <w:tcW w:w="2454" w:type="dxa"/>
            <w:shd w:val="clear" w:color="auto" w:fill="448A99"/>
            <w:hideMark/>
          </w:tcPr>
          <w:p w:rsidR="00661E10" w:rsidRPr="00CB2503" w:rsidRDefault="00661E10" w:rsidP="00661E10">
            <w:pPr>
              <w:rPr>
                <w:b/>
                <w:bCs/>
                <w:color w:val="FFFFFF"/>
                <w:sz w:val="19"/>
                <w:szCs w:val="19"/>
              </w:rPr>
            </w:pPr>
            <w:r w:rsidRPr="00CB2503">
              <w:rPr>
                <w:b/>
                <w:color w:val="FFFFFF"/>
                <w:sz w:val="19"/>
                <w:szCs w:val="19"/>
              </w:rPr>
              <w:t>EDC</w:t>
            </w:r>
          </w:p>
        </w:tc>
        <w:tc>
          <w:tcPr>
            <w:tcW w:w="2338" w:type="dxa"/>
            <w:shd w:val="clear" w:color="auto" w:fill="448A99"/>
            <w:hideMark/>
          </w:tcPr>
          <w:p w:rsidR="00661E10" w:rsidRPr="00CB2503" w:rsidRDefault="00661E10" w:rsidP="00661E10">
            <w:pPr>
              <w:jc w:val="center"/>
              <w:rPr>
                <w:b/>
                <w:bCs/>
                <w:color w:val="FFFFFF"/>
                <w:sz w:val="19"/>
                <w:szCs w:val="19"/>
              </w:rPr>
            </w:pPr>
            <w:r w:rsidRPr="00CB2503">
              <w:rPr>
                <w:b/>
                <w:color w:val="FFFFFF"/>
                <w:sz w:val="19"/>
                <w:szCs w:val="19"/>
              </w:rPr>
              <w:t xml:space="preserve">Free-Ridership </w:t>
            </w:r>
          </w:p>
        </w:tc>
        <w:tc>
          <w:tcPr>
            <w:tcW w:w="2335" w:type="dxa"/>
            <w:shd w:val="clear" w:color="auto" w:fill="448A99"/>
            <w:hideMark/>
          </w:tcPr>
          <w:p w:rsidR="00661E10" w:rsidRPr="00CB2503" w:rsidRDefault="00661E10" w:rsidP="00661E10">
            <w:pPr>
              <w:jc w:val="center"/>
              <w:rPr>
                <w:b/>
                <w:bCs/>
                <w:color w:val="FFFFFF"/>
                <w:sz w:val="19"/>
                <w:szCs w:val="19"/>
              </w:rPr>
            </w:pPr>
            <w:r w:rsidRPr="00CB2503">
              <w:rPr>
                <w:b/>
                <w:color w:val="FFFFFF"/>
                <w:sz w:val="19"/>
                <w:szCs w:val="19"/>
              </w:rPr>
              <w:t xml:space="preserve">Spillover </w:t>
            </w:r>
          </w:p>
        </w:tc>
        <w:tc>
          <w:tcPr>
            <w:tcW w:w="2223" w:type="dxa"/>
            <w:shd w:val="clear" w:color="auto" w:fill="448A99"/>
            <w:hideMark/>
          </w:tcPr>
          <w:p w:rsidR="00661E10" w:rsidRPr="00CB2503" w:rsidRDefault="00661E10" w:rsidP="00661E10">
            <w:pPr>
              <w:jc w:val="center"/>
              <w:rPr>
                <w:b/>
                <w:bCs/>
                <w:color w:val="FFFFFF"/>
                <w:sz w:val="19"/>
                <w:szCs w:val="19"/>
              </w:rPr>
            </w:pPr>
            <w:r w:rsidRPr="00CB2503">
              <w:rPr>
                <w:b/>
                <w:color w:val="FFFFFF"/>
                <w:sz w:val="19"/>
                <w:szCs w:val="19"/>
              </w:rPr>
              <w:t>NTGR</w:t>
            </w:r>
            <w:r w:rsidRPr="00CB2503">
              <w:rPr>
                <w:b/>
                <w:color w:val="FFFFFF"/>
                <w:sz w:val="19"/>
                <w:szCs w:val="19"/>
                <w:vertAlign w:val="superscript"/>
              </w:rPr>
              <w:t>[a]</w:t>
            </w:r>
          </w:p>
        </w:tc>
      </w:tr>
      <w:tr w:rsidR="00A874AC" w:rsidRPr="00CB2503" w:rsidTr="00CB2503">
        <w:trPr>
          <w:trHeight w:val="346"/>
        </w:trPr>
        <w:tc>
          <w:tcPr>
            <w:tcW w:w="2454" w:type="dxa"/>
            <w:shd w:val="clear" w:color="auto" w:fill="D2EAF1"/>
          </w:tcPr>
          <w:p w:rsidR="00661E10" w:rsidRPr="00CB2503" w:rsidRDefault="00661E10" w:rsidP="00661E10">
            <w:pPr>
              <w:rPr>
                <w:color w:val="000000"/>
                <w:sz w:val="19"/>
                <w:szCs w:val="19"/>
              </w:rPr>
            </w:pPr>
            <w:r w:rsidRPr="00CB2503">
              <w:rPr>
                <w:sz w:val="19"/>
                <w:szCs w:val="19"/>
              </w:rPr>
              <w:t>Duquesne</w:t>
            </w:r>
          </w:p>
        </w:tc>
        <w:tc>
          <w:tcPr>
            <w:tcW w:w="2338" w:type="dxa"/>
            <w:shd w:val="clear" w:color="auto" w:fill="D2EAF1"/>
            <w:noWrap/>
          </w:tcPr>
          <w:p w:rsidR="00661E10" w:rsidRPr="00CB2503" w:rsidRDefault="00661E10" w:rsidP="00661E10">
            <w:pPr>
              <w:jc w:val="center"/>
              <w:rPr>
                <w:color w:val="000000"/>
                <w:sz w:val="19"/>
                <w:szCs w:val="19"/>
              </w:rPr>
            </w:pPr>
            <w:r w:rsidRPr="00CB2503">
              <w:rPr>
                <w:color w:val="000000"/>
                <w:sz w:val="19"/>
                <w:szCs w:val="19"/>
              </w:rPr>
              <w:t>0.32</w:t>
            </w:r>
          </w:p>
        </w:tc>
        <w:tc>
          <w:tcPr>
            <w:tcW w:w="2335" w:type="dxa"/>
            <w:shd w:val="clear" w:color="auto" w:fill="D2EAF1"/>
            <w:noWrap/>
          </w:tcPr>
          <w:p w:rsidR="00661E10" w:rsidRPr="00CB2503" w:rsidRDefault="00661E10" w:rsidP="00661E10">
            <w:pPr>
              <w:jc w:val="center"/>
              <w:rPr>
                <w:sz w:val="19"/>
                <w:szCs w:val="19"/>
              </w:rPr>
            </w:pPr>
            <w:r w:rsidRPr="00CB2503">
              <w:rPr>
                <w:sz w:val="19"/>
                <w:szCs w:val="19"/>
              </w:rPr>
              <w:t>0.06</w:t>
            </w:r>
          </w:p>
        </w:tc>
        <w:tc>
          <w:tcPr>
            <w:tcW w:w="2223" w:type="dxa"/>
            <w:shd w:val="clear" w:color="auto" w:fill="D2EAF1"/>
            <w:noWrap/>
          </w:tcPr>
          <w:p w:rsidR="00661E10" w:rsidRPr="00CB2503" w:rsidRDefault="00661E10" w:rsidP="00661E10">
            <w:pPr>
              <w:jc w:val="center"/>
              <w:rPr>
                <w:sz w:val="19"/>
                <w:szCs w:val="19"/>
              </w:rPr>
            </w:pPr>
            <w:r w:rsidRPr="00CB2503">
              <w:rPr>
                <w:sz w:val="19"/>
                <w:szCs w:val="19"/>
              </w:rPr>
              <w:t>0.74</w:t>
            </w:r>
          </w:p>
        </w:tc>
      </w:tr>
      <w:tr w:rsidR="00E7173E" w:rsidRPr="00CB2503" w:rsidTr="00CB2503">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auto"/>
          </w:tcPr>
          <w:p w:rsidR="00661E10" w:rsidRPr="00CB2503" w:rsidRDefault="00661E10" w:rsidP="00661E10">
            <w:pPr>
              <w:rPr>
                <w:sz w:val="19"/>
                <w:szCs w:val="19"/>
              </w:rPr>
            </w:pPr>
            <w:r w:rsidRPr="00CB2503">
              <w:rPr>
                <w:sz w:val="19"/>
                <w:szCs w:val="19"/>
              </w:rPr>
              <w:t>FE: Met-Ed</w:t>
            </w:r>
          </w:p>
        </w:tc>
        <w:tc>
          <w:tcPr>
            <w:tcW w:w="2338"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CB2503" w:rsidRDefault="00661E10" w:rsidP="00661E10">
            <w:pPr>
              <w:jc w:val="center"/>
              <w:rPr>
                <w:sz w:val="19"/>
                <w:szCs w:val="19"/>
              </w:rPr>
            </w:pPr>
            <w:r w:rsidRPr="00CB2503">
              <w:rPr>
                <w:sz w:val="19"/>
                <w:szCs w:val="19"/>
              </w:rPr>
              <w:t>0.39</w:t>
            </w:r>
          </w:p>
        </w:tc>
        <w:tc>
          <w:tcPr>
            <w:tcW w:w="2335"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CB2503" w:rsidRDefault="00661E10" w:rsidP="00661E10">
            <w:pPr>
              <w:jc w:val="center"/>
              <w:rPr>
                <w:sz w:val="19"/>
                <w:szCs w:val="19"/>
              </w:rPr>
            </w:pPr>
            <w:r w:rsidRPr="00CB2503">
              <w:rPr>
                <w:sz w:val="19"/>
                <w:szCs w:val="19"/>
              </w:rPr>
              <w:t>0.06</w:t>
            </w:r>
          </w:p>
        </w:tc>
        <w:tc>
          <w:tcPr>
            <w:tcW w:w="2223"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CB2503" w:rsidRDefault="00661E10" w:rsidP="00661E10">
            <w:pPr>
              <w:jc w:val="center"/>
              <w:rPr>
                <w:sz w:val="19"/>
                <w:szCs w:val="19"/>
              </w:rPr>
            </w:pPr>
            <w:r w:rsidRPr="00CB2503">
              <w:rPr>
                <w:sz w:val="19"/>
                <w:szCs w:val="19"/>
              </w:rPr>
              <w:t>0.67</w:t>
            </w:r>
          </w:p>
        </w:tc>
      </w:tr>
      <w:tr w:rsidR="00A874AC" w:rsidRPr="00CB2503" w:rsidTr="00CB2503">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D2EAF1"/>
          </w:tcPr>
          <w:p w:rsidR="00661E10" w:rsidRPr="00CB2503" w:rsidRDefault="00661E10" w:rsidP="00661E10">
            <w:pPr>
              <w:rPr>
                <w:sz w:val="19"/>
                <w:szCs w:val="19"/>
              </w:rPr>
            </w:pPr>
            <w:r w:rsidRPr="00CB2503">
              <w:rPr>
                <w:sz w:val="19"/>
                <w:szCs w:val="19"/>
              </w:rPr>
              <w:t>FE: Penelec</w:t>
            </w:r>
          </w:p>
        </w:tc>
        <w:tc>
          <w:tcPr>
            <w:tcW w:w="2338"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CB2503" w:rsidRDefault="00661E10" w:rsidP="00661E10">
            <w:pPr>
              <w:jc w:val="center"/>
              <w:rPr>
                <w:sz w:val="19"/>
                <w:szCs w:val="19"/>
              </w:rPr>
            </w:pPr>
            <w:r w:rsidRPr="00CB2503">
              <w:rPr>
                <w:sz w:val="19"/>
                <w:szCs w:val="19"/>
              </w:rPr>
              <w:t>0.34</w:t>
            </w:r>
          </w:p>
        </w:tc>
        <w:tc>
          <w:tcPr>
            <w:tcW w:w="2335"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CB2503" w:rsidRDefault="00661E10" w:rsidP="00661E10">
            <w:pPr>
              <w:jc w:val="center"/>
              <w:rPr>
                <w:sz w:val="19"/>
                <w:szCs w:val="19"/>
              </w:rPr>
            </w:pPr>
            <w:r w:rsidRPr="00CB2503">
              <w:rPr>
                <w:sz w:val="19"/>
                <w:szCs w:val="19"/>
              </w:rPr>
              <w:t>0.06</w:t>
            </w:r>
          </w:p>
        </w:tc>
        <w:tc>
          <w:tcPr>
            <w:tcW w:w="2223"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CB2503" w:rsidRDefault="00661E10" w:rsidP="00661E10">
            <w:pPr>
              <w:jc w:val="center"/>
              <w:rPr>
                <w:sz w:val="19"/>
                <w:szCs w:val="19"/>
              </w:rPr>
            </w:pPr>
            <w:r w:rsidRPr="00CB2503">
              <w:rPr>
                <w:sz w:val="19"/>
                <w:szCs w:val="19"/>
              </w:rPr>
              <w:t>0.71</w:t>
            </w:r>
          </w:p>
        </w:tc>
      </w:tr>
      <w:tr w:rsidR="00E7173E" w:rsidRPr="00CB2503" w:rsidTr="00CB2503">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auto"/>
          </w:tcPr>
          <w:p w:rsidR="00661E10" w:rsidRPr="00CB2503" w:rsidRDefault="00661E10" w:rsidP="00661E10">
            <w:pPr>
              <w:rPr>
                <w:sz w:val="19"/>
                <w:szCs w:val="19"/>
              </w:rPr>
            </w:pPr>
            <w:r w:rsidRPr="00CB2503">
              <w:rPr>
                <w:sz w:val="19"/>
                <w:szCs w:val="19"/>
              </w:rPr>
              <w:t>FE: Penn Power</w:t>
            </w:r>
          </w:p>
        </w:tc>
        <w:tc>
          <w:tcPr>
            <w:tcW w:w="2338"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CB2503" w:rsidRDefault="00661E10" w:rsidP="00661E10">
            <w:pPr>
              <w:jc w:val="center"/>
              <w:rPr>
                <w:sz w:val="19"/>
                <w:szCs w:val="19"/>
              </w:rPr>
            </w:pPr>
            <w:r w:rsidRPr="00CB2503">
              <w:rPr>
                <w:sz w:val="19"/>
                <w:szCs w:val="19"/>
              </w:rPr>
              <w:t>0.49</w:t>
            </w:r>
          </w:p>
        </w:tc>
        <w:tc>
          <w:tcPr>
            <w:tcW w:w="2335"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CB2503" w:rsidRDefault="00661E10" w:rsidP="00661E10">
            <w:pPr>
              <w:jc w:val="center"/>
              <w:rPr>
                <w:sz w:val="19"/>
                <w:szCs w:val="19"/>
              </w:rPr>
            </w:pPr>
            <w:r w:rsidRPr="00CB2503">
              <w:rPr>
                <w:sz w:val="19"/>
                <w:szCs w:val="19"/>
              </w:rPr>
              <w:t>0.09</w:t>
            </w:r>
          </w:p>
        </w:tc>
        <w:tc>
          <w:tcPr>
            <w:tcW w:w="2223"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CB2503" w:rsidRDefault="00661E10" w:rsidP="00661E10">
            <w:pPr>
              <w:jc w:val="center"/>
              <w:rPr>
                <w:sz w:val="19"/>
                <w:szCs w:val="19"/>
              </w:rPr>
            </w:pPr>
            <w:r w:rsidRPr="00CB2503">
              <w:rPr>
                <w:sz w:val="19"/>
                <w:szCs w:val="19"/>
              </w:rPr>
              <w:t>0.60</w:t>
            </w:r>
          </w:p>
        </w:tc>
      </w:tr>
      <w:tr w:rsidR="00A874AC" w:rsidRPr="00CB2503" w:rsidTr="00CB2503">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D2EAF1"/>
          </w:tcPr>
          <w:p w:rsidR="00661E10" w:rsidRPr="00CB2503" w:rsidRDefault="00661E10" w:rsidP="00661E10">
            <w:pPr>
              <w:rPr>
                <w:sz w:val="19"/>
                <w:szCs w:val="19"/>
              </w:rPr>
            </w:pPr>
            <w:r w:rsidRPr="00CB2503">
              <w:rPr>
                <w:sz w:val="19"/>
                <w:szCs w:val="19"/>
              </w:rPr>
              <w:t>FE: West Penn</w:t>
            </w:r>
          </w:p>
        </w:tc>
        <w:tc>
          <w:tcPr>
            <w:tcW w:w="2338"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CB2503" w:rsidRDefault="00661E10" w:rsidP="00661E10">
            <w:pPr>
              <w:jc w:val="center"/>
              <w:rPr>
                <w:sz w:val="19"/>
                <w:szCs w:val="19"/>
              </w:rPr>
            </w:pPr>
            <w:r w:rsidRPr="00CB2503">
              <w:rPr>
                <w:sz w:val="19"/>
                <w:szCs w:val="19"/>
              </w:rPr>
              <w:t>0.34</w:t>
            </w:r>
          </w:p>
        </w:tc>
        <w:tc>
          <w:tcPr>
            <w:tcW w:w="2335"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CB2503" w:rsidRDefault="00661E10" w:rsidP="00661E10">
            <w:pPr>
              <w:jc w:val="center"/>
              <w:rPr>
                <w:sz w:val="19"/>
                <w:szCs w:val="19"/>
              </w:rPr>
            </w:pPr>
            <w:r w:rsidRPr="00CB2503">
              <w:rPr>
                <w:sz w:val="19"/>
                <w:szCs w:val="19"/>
              </w:rPr>
              <w:t>0.06</w:t>
            </w:r>
          </w:p>
        </w:tc>
        <w:tc>
          <w:tcPr>
            <w:tcW w:w="2223"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CB2503" w:rsidRDefault="00661E10" w:rsidP="00661E10">
            <w:pPr>
              <w:jc w:val="center"/>
              <w:rPr>
                <w:sz w:val="19"/>
                <w:szCs w:val="19"/>
              </w:rPr>
            </w:pPr>
            <w:r w:rsidRPr="00CB2503">
              <w:rPr>
                <w:sz w:val="19"/>
                <w:szCs w:val="19"/>
              </w:rPr>
              <w:t>0.72</w:t>
            </w:r>
          </w:p>
        </w:tc>
      </w:tr>
      <w:tr w:rsidR="00E7173E" w:rsidRPr="00CB2503" w:rsidTr="00CB2503">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auto"/>
          </w:tcPr>
          <w:p w:rsidR="00661E10" w:rsidRPr="00CB2503" w:rsidRDefault="00661E10" w:rsidP="00661E10">
            <w:pPr>
              <w:rPr>
                <w:sz w:val="19"/>
                <w:szCs w:val="19"/>
              </w:rPr>
            </w:pPr>
            <w:r w:rsidRPr="00CB2503">
              <w:rPr>
                <w:sz w:val="19"/>
                <w:szCs w:val="19"/>
              </w:rPr>
              <w:t>PECO</w:t>
            </w:r>
          </w:p>
        </w:tc>
        <w:tc>
          <w:tcPr>
            <w:tcW w:w="2338"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CB2503" w:rsidRDefault="00661E10" w:rsidP="00661E10">
            <w:pPr>
              <w:jc w:val="center"/>
              <w:rPr>
                <w:sz w:val="19"/>
                <w:szCs w:val="19"/>
              </w:rPr>
            </w:pPr>
            <w:r w:rsidRPr="00CB2503">
              <w:rPr>
                <w:sz w:val="19"/>
                <w:szCs w:val="19"/>
              </w:rPr>
              <w:t>0.39</w:t>
            </w:r>
          </w:p>
        </w:tc>
        <w:tc>
          <w:tcPr>
            <w:tcW w:w="2335"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CB2503" w:rsidRDefault="00661E10" w:rsidP="00661E10">
            <w:pPr>
              <w:jc w:val="center"/>
              <w:rPr>
                <w:sz w:val="19"/>
                <w:szCs w:val="19"/>
              </w:rPr>
            </w:pPr>
            <w:r w:rsidRPr="00CB2503">
              <w:rPr>
                <w:sz w:val="19"/>
                <w:szCs w:val="19"/>
              </w:rPr>
              <w:t>0.01</w:t>
            </w:r>
          </w:p>
        </w:tc>
        <w:tc>
          <w:tcPr>
            <w:tcW w:w="2223"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CB2503" w:rsidRDefault="00661E10" w:rsidP="00661E10">
            <w:pPr>
              <w:jc w:val="center"/>
              <w:rPr>
                <w:sz w:val="19"/>
                <w:szCs w:val="19"/>
              </w:rPr>
            </w:pPr>
            <w:r w:rsidRPr="00CB2503">
              <w:rPr>
                <w:sz w:val="19"/>
                <w:szCs w:val="19"/>
              </w:rPr>
              <w:t>0.62</w:t>
            </w:r>
          </w:p>
        </w:tc>
      </w:tr>
      <w:tr w:rsidR="00A874AC" w:rsidRPr="00CB2503" w:rsidTr="00CB2503">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D2EAF1"/>
          </w:tcPr>
          <w:p w:rsidR="00661E10" w:rsidRPr="00CB2503" w:rsidRDefault="00661E10" w:rsidP="00661E10">
            <w:pPr>
              <w:rPr>
                <w:sz w:val="19"/>
                <w:szCs w:val="19"/>
              </w:rPr>
            </w:pPr>
            <w:r w:rsidRPr="00CB2503">
              <w:rPr>
                <w:sz w:val="19"/>
                <w:szCs w:val="19"/>
              </w:rPr>
              <w:t>PPL</w:t>
            </w:r>
          </w:p>
        </w:tc>
        <w:tc>
          <w:tcPr>
            <w:tcW w:w="2338"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CB2503" w:rsidRDefault="00661E10" w:rsidP="00661E10">
            <w:pPr>
              <w:jc w:val="center"/>
              <w:rPr>
                <w:sz w:val="19"/>
                <w:szCs w:val="19"/>
              </w:rPr>
            </w:pPr>
            <w:r w:rsidRPr="00CB2503">
              <w:rPr>
                <w:sz w:val="19"/>
                <w:szCs w:val="19"/>
              </w:rPr>
              <w:t>0.24</w:t>
            </w:r>
          </w:p>
        </w:tc>
        <w:tc>
          <w:tcPr>
            <w:tcW w:w="2335"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CB2503" w:rsidRDefault="00661E10" w:rsidP="00661E10">
            <w:pPr>
              <w:jc w:val="center"/>
              <w:rPr>
                <w:sz w:val="19"/>
                <w:szCs w:val="19"/>
              </w:rPr>
            </w:pPr>
            <w:r w:rsidRPr="00CB2503">
              <w:rPr>
                <w:sz w:val="19"/>
                <w:szCs w:val="19"/>
              </w:rPr>
              <w:t>0.00</w:t>
            </w:r>
          </w:p>
        </w:tc>
        <w:tc>
          <w:tcPr>
            <w:tcW w:w="2223"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CB2503" w:rsidRDefault="00661E10" w:rsidP="00661E10">
            <w:pPr>
              <w:jc w:val="center"/>
              <w:rPr>
                <w:sz w:val="19"/>
                <w:szCs w:val="19"/>
              </w:rPr>
            </w:pPr>
            <w:r w:rsidRPr="00CB2503">
              <w:rPr>
                <w:sz w:val="19"/>
                <w:szCs w:val="19"/>
              </w:rPr>
              <w:t>0.76</w:t>
            </w:r>
          </w:p>
        </w:tc>
      </w:tr>
      <w:tr w:rsidR="00E7173E" w:rsidRPr="00771798" w:rsidTr="00CB2503">
        <w:trPr>
          <w:trHeight w:val="346"/>
        </w:trPr>
        <w:tc>
          <w:tcPr>
            <w:tcW w:w="9350" w:type="dxa"/>
            <w:gridSpan w:val="4"/>
            <w:tcBorders>
              <w:top w:val="single" w:sz="8" w:space="0" w:color="448A99"/>
              <w:left w:val="single" w:sz="8" w:space="0" w:color="448A99"/>
              <w:bottom w:val="single" w:sz="8" w:space="0" w:color="448A99"/>
              <w:right w:val="single" w:sz="8" w:space="0" w:color="448A99"/>
            </w:tcBorders>
            <w:shd w:val="clear" w:color="auto" w:fill="448A99"/>
          </w:tcPr>
          <w:p w:rsidR="00661E10" w:rsidRPr="00771798" w:rsidRDefault="00661E10" w:rsidP="00661E10">
            <w:pPr>
              <w:jc w:val="left"/>
              <w:rPr>
                <w:rFonts w:eastAsia="Calibri"/>
                <w:color w:val="FFFFFF"/>
                <w:sz w:val="18"/>
                <w:szCs w:val="19"/>
              </w:rPr>
            </w:pPr>
            <w:r w:rsidRPr="00771798">
              <w:rPr>
                <w:rFonts w:eastAsia="Calibri"/>
                <w:color w:val="FFFFFF"/>
                <w:sz w:val="18"/>
                <w:szCs w:val="19"/>
              </w:rPr>
              <w:t>NOTE</w:t>
            </w:r>
            <w:r w:rsidR="00CB2503" w:rsidRPr="00771798">
              <w:rPr>
                <w:rFonts w:eastAsia="Calibri"/>
                <w:color w:val="FFFFFF"/>
                <w:sz w:val="18"/>
                <w:szCs w:val="19"/>
              </w:rPr>
              <w:t>S</w:t>
            </w:r>
            <w:r w:rsidR="00630371" w:rsidRPr="00771798">
              <w:rPr>
                <w:rFonts w:eastAsia="Calibri"/>
                <w:color w:val="FFFFFF"/>
                <w:sz w:val="18"/>
                <w:szCs w:val="19"/>
              </w:rPr>
              <w:t>:</w:t>
            </w:r>
          </w:p>
          <w:p w:rsidR="00661E10" w:rsidRPr="00771798" w:rsidRDefault="00661E10" w:rsidP="00661E10">
            <w:pPr>
              <w:jc w:val="left"/>
              <w:rPr>
                <w:rFonts w:eastAsia="Calibri"/>
                <w:color w:val="FFFFFF"/>
                <w:sz w:val="18"/>
                <w:szCs w:val="19"/>
              </w:rPr>
            </w:pPr>
            <w:r w:rsidRPr="00771798">
              <w:rPr>
                <w:rFonts w:eastAsia="Calibri"/>
                <w:color w:val="FFFFFF"/>
                <w:sz w:val="18"/>
                <w:szCs w:val="19"/>
                <w:vertAlign w:val="superscript"/>
              </w:rPr>
              <w:t>[a]</w:t>
            </w:r>
            <w:r w:rsidRPr="00771798">
              <w:rPr>
                <w:rFonts w:eastAsia="Calibri"/>
                <w:color w:val="FFFFFF"/>
                <w:sz w:val="18"/>
                <w:szCs w:val="19"/>
              </w:rPr>
              <w:t xml:space="preserve"> NTGR = 1 – free-ridership + spillover. In some cases, the NTGR shown in the table may not equal exactly 1 – free-ridership + spillover because of rounding.</w:t>
            </w:r>
          </w:p>
        </w:tc>
      </w:tr>
    </w:tbl>
    <w:p w:rsidR="00661E10" w:rsidRPr="00661E10" w:rsidRDefault="00661E10" w:rsidP="00661E10">
      <w:pPr>
        <w:rPr>
          <w:highlight w:val="lightGray"/>
        </w:rPr>
      </w:pPr>
    </w:p>
    <w:p w:rsidR="00661E10" w:rsidRPr="00661E10" w:rsidRDefault="00BD1B4E" w:rsidP="00661E10">
      <w:bookmarkStart w:id="384" w:name="_Toc430274428"/>
      <w:bookmarkStart w:id="385" w:name="_Toc444269545"/>
      <w:r w:rsidRPr="003A0F59">
        <w:t>Although comparison across EDCs is challenging because of differences in the way EDCs package their program offerings, it appears that the 0.60 NTGR for Penn Power may have been driven by NTGR values in the C/I small business segment, while the 0.62 NTGR for PECO may have been driven by NTGR values for the residential Smart Home Rebates program, as well as for commercial new construction and for the GNI sector overall.</w:t>
      </w:r>
    </w:p>
    <w:p w:rsidR="00661E10" w:rsidRPr="00661E10" w:rsidRDefault="00661E10" w:rsidP="00661E10"/>
    <w:p w:rsidR="00661E10" w:rsidRPr="00661E10" w:rsidRDefault="00661E10" w:rsidP="00E673F0">
      <w:pPr>
        <w:pStyle w:val="Heading4"/>
      </w:pPr>
      <w:r w:rsidRPr="00661E10">
        <w:t>Summary of NTG Audits for Each EDC</w:t>
      </w:r>
      <w:bookmarkEnd w:id="384"/>
      <w:bookmarkEnd w:id="385"/>
      <w:r w:rsidRPr="00661E10">
        <w:t xml:space="preserve"> </w:t>
      </w:r>
    </w:p>
    <w:p w:rsidR="00661E10" w:rsidRDefault="00D9014E" w:rsidP="00661E10">
      <w:r>
        <w:fldChar w:fldCharType="begin"/>
      </w:r>
      <w:r>
        <w:instrText xml:space="preserve"> REF _Ref473731705 \h </w:instrText>
      </w:r>
      <w:r>
        <w:fldChar w:fldCharType="separate"/>
      </w:r>
      <w:r w:rsidR="00037CB4" w:rsidRPr="00ED5AFA">
        <w:t xml:space="preserve">Table </w:t>
      </w:r>
      <w:r w:rsidR="00037CB4">
        <w:rPr>
          <w:noProof/>
        </w:rPr>
        <w:t>5</w:t>
      </w:r>
      <w:r w:rsidR="00037CB4">
        <w:noBreakHyphen/>
      </w:r>
      <w:r w:rsidR="00037CB4">
        <w:rPr>
          <w:noProof/>
        </w:rPr>
        <w:t>4</w:t>
      </w:r>
      <w:r>
        <w:fldChar w:fldCharType="end"/>
      </w:r>
      <w:r>
        <w:t xml:space="preserve"> </w:t>
      </w:r>
      <w:r w:rsidR="00A126C2" w:rsidRPr="00A126C2">
        <w:t>summarizes the SWE Team’s findings regarding the EDCs’ use of common NTG methods. In cases in which common methods are required, all EDCs either used the common methods or used them with acceptable modifications. Some EDCs also used other acceptable methods for program types for which the SWE Team did not establish a common method. All evaluation contractors provided NTG data for all programs evaluated in PY7 (where primary data were collected), with one exception: the evaluation contractors did not consistently provide the underlying calculations that combined strata-level values into reported program-level values</w:t>
      </w:r>
      <w:r w:rsidR="00661E10" w:rsidRPr="00661E10">
        <w:t xml:space="preserve">. </w:t>
      </w:r>
    </w:p>
    <w:p w:rsidR="008156B6" w:rsidRDefault="008156B6" w:rsidP="00661E10"/>
    <w:p w:rsidR="00661E10" w:rsidRPr="00ED5AFA" w:rsidRDefault="00ED5AFA" w:rsidP="004837FA">
      <w:pPr>
        <w:pStyle w:val="Caption"/>
      </w:pPr>
      <w:bookmarkStart w:id="386" w:name="_Ref471458708"/>
      <w:bookmarkStart w:id="387" w:name="_Ref473731705"/>
      <w:bookmarkStart w:id="388" w:name="_Ref408490005"/>
      <w:bookmarkStart w:id="389" w:name="_Toc409224988"/>
      <w:bookmarkStart w:id="390" w:name="_Toc409443540"/>
      <w:bookmarkStart w:id="391" w:name="_Toc410199259"/>
      <w:bookmarkStart w:id="392" w:name="_Toc444269701"/>
      <w:bookmarkStart w:id="393" w:name="_Toc472472189"/>
      <w:bookmarkStart w:id="394" w:name="_Toc488741768"/>
      <w:r w:rsidRPr="00ED5AFA">
        <w:t xml:space="preserve">Table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4</w:t>
      </w:r>
      <w:r w:rsidR="007973A4">
        <w:rPr>
          <w:noProof/>
        </w:rPr>
        <w:fldChar w:fldCharType="end"/>
      </w:r>
      <w:bookmarkEnd w:id="386"/>
      <w:bookmarkEnd w:id="387"/>
      <w:r w:rsidR="00661E10" w:rsidRPr="00ED5AFA">
        <w:t>: Summary of</w:t>
      </w:r>
      <w:r w:rsidR="00630371">
        <w:t xml:space="preserve"> SWE</w:t>
      </w:r>
      <w:r w:rsidR="00661E10" w:rsidRPr="00ED5AFA">
        <w:t xml:space="preserve"> Findings on the Application of NTG Method</w:t>
      </w:r>
      <w:bookmarkEnd w:id="388"/>
      <w:bookmarkEnd w:id="389"/>
      <w:bookmarkEnd w:id="390"/>
      <w:bookmarkEnd w:id="391"/>
      <w:r w:rsidR="00661E10" w:rsidRPr="00ED5AFA">
        <w:t>s by EDCs</w:t>
      </w:r>
      <w:bookmarkEnd w:id="392"/>
      <w:bookmarkEnd w:id="393"/>
      <w:bookmarkEnd w:id="394"/>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63"/>
        <w:gridCol w:w="2559"/>
        <w:gridCol w:w="2559"/>
        <w:gridCol w:w="2559"/>
      </w:tblGrid>
      <w:tr w:rsidR="00A874AC" w:rsidRPr="00CB2503" w:rsidTr="00CB2503">
        <w:trPr>
          <w:trHeight w:val="20"/>
          <w:tblHeader/>
        </w:trPr>
        <w:tc>
          <w:tcPr>
            <w:tcW w:w="890" w:type="pct"/>
            <w:shd w:val="clear" w:color="auto" w:fill="448A99"/>
            <w:vAlign w:val="bottom"/>
            <w:hideMark/>
          </w:tcPr>
          <w:p w:rsidR="00661E10" w:rsidRPr="00CB2503" w:rsidRDefault="00661E10" w:rsidP="00661E10">
            <w:pPr>
              <w:rPr>
                <w:b/>
                <w:bCs/>
                <w:color w:val="FFFFFF"/>
                <w:sz w:val="19"/>
                <w:szCs w:val="19"/>
              </w:rPr>
            </w:pPr>
            <w:r w:rsidRPr="00CB2503">
              <w:rPr>
                <w:b/>
                <w:color w:val="FFFFFF"/>
                <w:sz w:val="19"/>
                <w:szCs w:val="19"/>
              </w:rPr>
              <w:t>EDC</w:t>
            </w:r>
          </w:p>
        </w:tc>
        <w:tc>
          <w:tcPr>
            <w:tcW w:w="1370" w:type="pct"/>
            <w:shd w:val="clear" w:color="auto" w:fill="448A99"/>
            <w:vAlign w:val="bottom"/>
            <w:hideMark/>
          </w:tcPr>
          <w:p w:rsidR="00661E10" w:rsidRPr="00CB2503" w:rsidRDefault="00661E10" w:rsidP="00661E10">
            <w:pPr>
              <w:jc w:val="center"/>
              <w:rPr>
                <w:b/>
                <w:bCs/>
                <w:color w:val="FFFFFF"/>
                <w:sz w:val="19"/>
                <w:szCs w:val="19"/>
              </w:rPr>
            </w:pPr>
            <w:r w:rsidRPr="00CB2503">
              <w:rPr>
                <w:b/>
                <w:color w:val="FFFFFF"/>
                <w:sz w:val="19"/>
                <w:szCs w:val="19"/>
              </w:rPr>
              <w:t>NTG Data and Documents Available?</w:t>
            </w:r>
          </w:p>
        </w:tc>
        <w:tc>
          <w:tcPr>
            <w:tcW w:w="1370" w:type="pct"/>
            <w:shd w:val="clear" w:color="auto" w:fill="448A99"/>
            <w:vAlign w:val="bottom"/>
            <w:hideMark/>
          </w:tcPr>
          <w:p w:rsidR="00661E10" w:rsidRPr="00CB2503" w:rsidRDefault="00661E10" w:rsidP="00661E10">
            <w:pPr>
              <w:jc w:val="center"/>
              <w:rPr>
                <w:b/>
                <w:bCs/>
                <w:color w:val="FFFFFF"/>
                <w:sz w:val="19"/>
                <w:szCs w:val="19"/>
              </w:rPr>
            </w:pPr>
            <w:r w:rsidRPr="00CB2503">
              <w:rPr>
                <w:b/>
                <w:color w:val="FFFFFF"/>
                <w:sz w:val="19"/>
                <w:szCs w:val="19"/>
              </w:rPr>
              <w:t>Common NTG Methods Used?</w:t>
            </w:r>
          </w:p>
        </w:tc>
        <w:tc>
          <w:tcPr>
            <w:tcW w:w="1370" w:type="pct"/>
            <w:shd w:val="clear" w:color="auto" w:fill="448A99"/>
            <w:vAlign w:val="bottom"/>
            <w:hideMark/>
          </w:tcPr>
          <w:p w:rsidR="00661E10" w:rsidRPr="00CB2503" w:rsidRDefault="00661E10" w:rsidP="00661E10">
            <w:pPr>
              <w:jc w:val="center"/>
              <w:rPr>
                <w:b/>
                <w:bCs/>
                <w:color w:val="FFFFFF"/>
                <w:sz w:val="19"/>
                <w:szCs w:val="19"/>
              </w:rPr>
            </w:pPr>
            <w:r w:rsidRPr="00CB2503">
              <w:rPr>
                <w:b/>
                <w:color w:val="FFFFFF"/>
                <w:sz w:val="19"/>
                <w:szCs w:val="19"/>
              </w:rPr>
              <w:t>Common NTG Methods Applied Correctly?</w:t>
            </w:r>
          </w:p>
        </w:tc>
      </w:tr>
      <w:tr w:rsidR="00A874AC" w:rsidRPr="00CB2503" w:rsidTr="00CB2503">
        <w:trPr>
          <w:trHeight w:val="488"/>
        </w:trPr>
        <w:tc>
          <w:tcPr>
            <w:tcW w:w="890" w:type="pct"/>
            <w:shd w:val="clear" w:color="auto" w:fill="D2EAF1"/>
          </w:tcPr>
          <w:p w:rsidR="00661E10" w:rsidRPr="00CB2503" w:rsidRDefault="00661E10" w:rsidP="00661E10">
            <w:pPr>
              <w:rPr>
                <w:color w:val="000000"/>
                <w:sz w:val="19"/>
                <w:szCs w:val="19"/>
              </w:rPr>
            </w:pPr>
            <w:r w:rsidRPr="00CB2503">
              <w:rPr>
                <w:sz w:val="19"/>
                <w:szCs w:val="19"/>
              </w:rPr>
              <w:t>Duquesne</w:t>
            </w:r>
          </w:p>
        </w:tc>
        <w:tc>
          <w:tcPr>
            <w:tcW w:w="1370" w:type="pct"/>
            <w:shd w:val="clear" w:color="auto" w:fill="D2EAF1"/>
            <w:noWrap/>
          </w:tcPr>
          <w:p w:rsidR="00661E10" w:rsidRPr="00CB2503" w:rsidRDefault="00661E10" w:rsidP="00661E10">
            <w:pPr>
              <w:jc w:val="center"/>
              <w:rPr>
                <w:color w:val="000000"/>
                <w:sz w:val="19"/>
                <w:szCs w:val="19"/>
              </w:rPr>
            </w:pPr>
            <w:r w:rsidRPr="00CB2503">
              <w:rPr>
                <w:sz w:val="19"/>
                <w:szCs w:val="19"/>
              </w:rPr>
              <w:t>Yes, with noted exceptions</w:t>
            </w:r>
          </w:p>
        </w:tc>
        <w:tc>
          <w:tcPr>
            <w:tcW w:w="1370" w:type="pct"/>
            <w:shd w:val="clear" w:color="auto" w:fill="D2EAF1"/>
            <w:noWrap/>
          </w:tcPr>
          <w:p w:rsidR="00661E10" w:rsidRPr="00CB2503" w:rsidRDefault="00661E10" w:rsidP="00661E10">
            <w:pPr>
              <w:jc w:val="center"/>
              <w:rPr>
                <w:sz w:val="19"/>
                <w:szCs w:val="19"/>
              </w:rPr>
            </w:pPr>
            <w:r w:rsidRPr="00CB2503">
              <w:rPr>
                <w:sz w:val="19"/>
                <w:szCs w:val="19"/>
              </w:rPr>
              <w:t>Yes, with acceptable modifications</w:t>
            </w:r>
          </w:p>
        </w:tc>
        <w:tc>
          <w:tcPr>
            <w:tcW w:w="1370" w:type="pct"/>
            <w:shd w:val="clear" w:color="auto" w:fill="D2EAF1"/>
            <w:noWrap/>
          </w:tcPr>
          <w:p w:rsidR="00661E10" w:rsidRPr="00CB2503" w:rsidRDefault="00661E10" w:rsidP="00661E10">
            <w:pPr>
              <w:jc w:val="center"/>
              <w:rPr>
                <w:sz w:val="19"/>
                <w:szCs w:val="19"/>
              </w:rPr>
            </w:pPr>
            <w:r w:rsidRPr="00CB2503">
              <w:rPr>
                <w:sz w:val="19"/>
                <w:szCs w:val="19"/>
              </w:rPr>
              <w:t>Yes</w:t>
            </w:r>
          </w:p>
        </w:tc>
      </w:tr>
      <w:tr w:rsidR="00E7173E" w:rsidRPr="00CB2503" w:rsidTr="00CB2503">
        <w:trPr>
          <w:trHeight w:val="488"/>
        </w:trPr>
        <w:tc>
          <w:tcPr>
            <w:tcW w:w="890" w:type="pct"/>
            <w:shd w:val="clear" w:color="auto" w:fill="auto"/>
          </w:tcPr>
          <w:p w:rsidR="00661E10" w:rsidRPr="00CB2503" w:rsidRDefault="00661E10" w:rsidP="00661E10">
            <w:pPr>
              <w:rPr>
                <w:sz w:val="19"/>
                <w:szCs w:val="19"/>
              </w:rPr>
            </w:pPr>
            <w:r w:rsidRPr="00CB2503">
              <w:rPr>
                <w:sz w:val="19"/>
                <w:szCs w:val="19"/>
              </w:rPr>
              <w:t>FirstEnergy EDCs</w:t>
            </w:r>
            <w:r w:rsidRPr="00CB2503">
              <w:rPr>
                <w:sz w:val="19"/>
                <w:szCs w:val="19"/>
                <w:vertAlign w:val="superscript"/>
              </w:rPr>
              <w:t>[a]</w:t>
            </w:r>
          </w:p>
        </w:tc>
        <w:tc>
          <w:tcPr>
            <w:tcW w:w="1370" w:type="pct"/>
            <w:shd w:val="clear" w:color="auto" w:fill="auto"/>
            <w:noWrap/>
          </w:tcPr>
          <w:p w:rsidR="00661E10" w:rsidRPr="00CB2503" w:rsidRDefault="00661E10" w:rsidP="00661E10">
            <w:pPr>
              <w:jc w:val="center"/>
              <w:rPr>
                <w:sz w:val="19"/>
                <w:szCs w:val="19"/>
              </w:rPr>
            </w:pPr>
            <w:r w:rsidRPr="00CB2503">
              <w:rPr>
                <w:sz w:val="19"/>
                <w:szCs w:val="19"/>
              </w:rPr>
              <w:t>Yes, with noted exceptions</w:t>
            </w:r>
          </w:p>
        </w:tc>
        <w:tc>
          <w:tcPr>
            <w:tcW w:w="1370" w:type="pct"/>
            <w:shd w:val="clear" w:color="auto" w:fill="auto"/>
            <w:noWrap/>
          </w:tcPr>
          <w:p w:rsidR="00661E10" w:rsidRPr="00CB2503" w:rsidRDefault="00661E10" w:rsidP="00661E10">
            <w:pPr>
              <w:jc w:val="center"/>
              <w:rPr>
                <w:sz w:val="19"/>
                <w:szCs w:val="19"/>
              </w:rPr>
            </w:pPr>
            <w:r w:rsidRPr="00CB2503">
              <w:rPr>
                <w:sz w:val="19"/>
                <w:szCs w:val="19"/>
              </w:rPr>
              <w:t>Yes, with few exceptions</w:t>
            </w:r>
          </w:p>
        </w:tc>
        <w:tc>
          <w:tcPr>
            <w:tcW w:w="1370" w:type="pct"/>
            <w:shd w:val="clear" w:color="auto" w:fill="auto"/>
            <w:noWrap/>
          </w:tcPr>
          <w:p w:rsidR="00661E10" w:rsidRPr="00CB2503" w:rsidRDefault="00661E10" w:rsidP="00661E10">
            <w:pPr>
              <w:jc w:val="center"/>
              <w:rPr>
                <w:sz w:val="19"/>
                <w:szCs w:val="19"/>
              </w:rPr>
            </w:pPr>
            <w:r w:rsidRPr="00CB2503">
              <w:rPr>
                <w:sz w:val="19"/>
                <w:szCs w:val="19"/>
              </w:rPr>
              <w:t>Yes</w:t>
            </w:r>
          </w:p>
        </w:tc>
      </w:tr>
      <w:tr w:rsidR="00A874AC" w:rsidRPr="00CB2503" w:rsidTr="00CB2503">
        <w:trPr>
          <w:trHeight w:val="488"/>
        </w:trPr>
        <w:tc>
          <w:tcPr>
            <w:tcW w:w="890" w:type="pct"/>
            <w:shd w:val="clear" w:color="auto" w:fill="D2EAF1"/>
          </w:tcPr>
          <w:p w:rsidR="00661E10" w:rsidRPr="00CB2503" w:rsidRDefault="00661E10" w:rsidP="00661E10">
            <w:pPr>
              <w:rPr>
                <w:color w:val="000000"/>
                <w:sz w:val="19"/>
                <w:szCs w:val="19"/>
              </w:rPr>
            </w:pPr>
            <w:r w:rsidRPr="00CB2503">
              <w:rPr>
                <w:sz w:val="19"/>
                <w:szCs w:val="19"/>
              </w:rPr>
              <w:t>PECO</w:t>
            </w:r>
          </w:p>
        </w:tc>
        <w:tc>
          <w:tcPr>
            <w:tcW w:w="1370" w:type="pct"/>
            <w:shd w:val="clear" w:color="auto" w:fill="D2EAF1"/>
            <w:noWrap/>
          </w:tcPr>
          <w:p w:rsidR="00661E10" w:rsidRPr="00CB2503" w:rsidRDefault="00661E10" w:rsidP="00661E10">
            <w:pPr>
              <w:jc w:val="center"/>
              <w:rPr>
                <w:sz w:val="19"/>
                <w:szCs w:val="19"/>
              </w:rPr>
            </w:pPr>
            <w:r w:rsidRPr="00CB2503">
              <w:rPr>
                <w:sz w:val="19"/>
                <w:szCs w:val="19"/>
              </w:rPr>
              <w:t>Yes, with noted exceptions</w:t>
            </w:r>
          </w:p>
        </w:tc>
        <w:tc>
          <w:tcPr>
            <w:tcW w:w="1370" w:type="pct"/>
            <w:shd w:val="clear" w:color="auto" w:fill="D2EAF1"/>
            <w:noWrap/>
          </w:tcPr>
          <w:p w:rsidR="00661E10" w:rsidRPr="00CB2503" w:rsidRDefault="00661E10" w:rsidP="00661E10">
            <w:pPr>
              <w:jc w:val="center"/>
              <w:rPr>
                <w:sz w:val="19"/>
                <w:szCs w:val="19"/>
              </w:rPr>
            </w:pPr>
            <w:r w:rsidRPr="00CB2503">
              <w:rPr>
                <w:sz w:val="19"/>
                <w:szCs w:val="19"/>
              </w:rPr>
              <w:t>Yes</w:t>
            </w:r>
          </w:p>
        </w:tc>
        <w:tc>
          <w:tcPr>
            <w:tcW w:w="1370" w:type="pct"/>
            <w:shd w:val="clear" w:color="auto" w:fill="D2EAF1"/>
            <w:noWrap/>
          </w:tcPr>
          <w:p w:rsidR="00661E10" w:rsidRPr="00CB2503" w:rsidRDefault="00661E10" w:rsidP="00661E10">
            <w:pPr>
              <w:jc w:val="center"/>
              <w:rPr>
                <w:sz w:val="19"/>
                <w:szCs w:val="19"/>
              </w:rPr>
            </w:pPr>
            <w:r w:rsidRPr="00CB2503">
              <w:rPr>
                <w:sz w:val="19"/>
                <w:szCs w:val="19"/>
              </w:rPr>
              <w:t>Yes</w:t>
            </w:r>
          </w:p>
        </w:tc>
      </w:tr>
      <w:tr w:rsidR="00E7173E" w:rsidRPr="00CB2503" w:rsidTr="00CB2503">
        <w:trPr>
          <w:trHeight w:val="489"/>
        </w:trPr>
        <w:tc>
          <w:tcPr>
            <w:tcW w:w="890" w:type="pct"/>
            <w:shd w:val="clear" w:color="auto" w:fill="auto"/>
          </w:tcPr>
          <w:p w:rsidR="00661E10" w:rsidRPr="00CB2503" w:rsidRDefault="00661E10" w:rsidP="00661E10">
            <w:pPr>
              <w:rPr>
                <w:color w:val="000000"/>
                <w:sz w:val="19"/>
                <w:szCs w:val="19"/>
              </w:rPr>
            </w:pPr>
            <w:r w:rsidRPr="00CB2503">
              <w:rPr>
                <w:sz w:val="19"/>
                <w:szCs w:val="19"/>
              </w:rPr>
              <w:t>PPL</w:t>
            </w:r>
          </w:p>
        </w:tc>
        <w:tc>
          <w:tcPr>
            <w:tcW w:w="1370" w:type="pct"/>
            <w:shd w:val="clear" w:color="auto" w:fill="auto"/>
            <w:noWrap/>
          </w:tcPr>
          <w:p w:rsidR="00661E10" w:rsidRPr="00CB2503" w:rsidRDefault="00661E10" w:rsidP="00661E10">
            <w:pPr>
              <w:jc w:val="center"/>
              <w:rPr>
                <w:sz w:val="19"/>
                <w:szCs w:val="19"/>
              </w:rPr>
            </w:pPr>
            <w:r w:rsidRPr="00CB2503">
              <w:rPr>
                <w:sz w:val="19"/>
                <w:szCs w:val="19"/>
              </w:rPr>
              <w:t>Yes, with noted exceptions</w:t>
            </w:r>
          </w:p>
        </w:tc>
        <w:tc>
          <w:tcPr>
            <w:tcW w:w="1370" w:type="pct"/>
            <w:shd w:val="clear" w:color="auto" w:fill="auto"/>
            <w:noWrap/>
          </w:tcPr>
          <w:p w:rsidR="00661E10" w:rsidRPr="00CB2503" w:rsidRDefault="00661E10" w:rsidP="00661E10">
            <w:pPr>
              <w:jc w:val="center"/>
              <w:rPr>
                <w:sz w:val="19"/>
                <w:szCs w:val="19"/>
              </w:rPr>
            </w:pPr>
            <w:r w:rsidRPr="00CB2503">
              <w:rPr>
                <w:sz w:val="19"/>
                <w:szCs w:val="19"/>
              </w:rPr>
              <w:t>Yes, with acceptable modifications</w:t>
            </w:r>
          </w:p>
        </w:tc>
        <w:tc>
          <w:tcPr>
            <w:tcW w:w="1370" w:type="pct"/>
            <w:shd w:val="clear" w:color="auto" w:fill="auto"/>
            <w:noWrap/>
          </w:tcPr>
          <w:p w:rsidR="00661E10" w:rsidRPr="00CB2503" w:rsidRDefault="00661E10" w:rsidP="00661E10">
            <w:pPr>
              <w:jc w:val="center"/>
              <w:rPr>
                <w:sz w:val="19"/>
                <w:szCs w:val="19"/>
              </w:rPr>
            </w:pPr>
            <w:r w:rsidRPr="00CB2503">
              <w:rPr>
                <w:sz w:val="19"/>
                <w:szCs w:val="19"/>
              </w:rPr>
              <w:t xml:space="preserve">Yes </w:t>
            </w:r>
          </w:p>
        </w:tc>
      </w:tr>
      <w:tr w:rsidR="00E7173E" w:rsidRPr="00771798" w:rsidTr="00CB2503">
        <w:trPr>
          <w:trHeight w:val="288"/>
        </w:trPr>
        <w:tc>
          <w:tcPr>
            <w:tcW w:w="5000" w:type="pct"/>
            <w:gridSpan w:val="4"/>
            <w:shd w:val="clear" w:color="auto" w:fill="448A99"/>
          </w:tcPr>
          <w:p w:rsidR="00661E10" w:rsidRPr="00771798" w:rsidRDefault="00661E10" w:rsidP="00661E10">
            <w:pPr>
              <w:jc w:val="left"/>
              <w:rPr>
                <w:rFonts w:eastAsia="Calibri"/>
                <w:color w:val="FFFFFF"/>
                <w:sz w:val="18"/>
                <w:szCs w:val="19"/>
              </w:rPr>
            </w:pPr>
            <w:r w:rsidRPr="00771798">
              <w:rPr>
                <w:rFonts w:eastAsia="Calibri"/>
                <w:color w:val="FFFFFF"/>
                <w:sz w:val="18"/>
                <w:szCs w:val="19"/>
              </w:rPr>
              <w:t>NOTE</w:t>
            </w:r>
            <w:r w:rsidR="00CB2503" w:rsidRPr="00771798">
              <w:rPr>
                <w:rFonts w:eastAsia="Calibri"/>
                <w:color w:val="FFFFFF"/>
                <w:sz w:val="18"/>
                <w:szCs w:val="19"/>
              </w:rPr>
              <w:t>S</w:t>
            </w:r>
            <w:r w:rsidR="00630371" w:rsidRPr="00771798">
              <w:rPr>
                <w:rFonts w:eastAsia="Calibri"/>
                <w:color w:val="FFFFFF"/>
                <w:sz w:val="18"/>
                <w:szCs w:val="19"/>
              </w:rPr>
              <w:t>:</w:t>
            </w:r>
          </w:p>
          <w:p w:rsidR="00661E10" w:rsidRPr="00771798" w:rsidRDefault="00661E10" w:rsidP="00661E10">
            <w:pPr>
              <w:jc w:val="left"/>
              <w:rPr>
                <w:rFonts w:eastAsia="Calibri"/>
                <w:b/>
                <w:color w:val="FFFFFF"/>
                <w:sz w:val="18"/>
                <w:szCs w:val="19"/>
              </w:rPr>
            </w:pPr>
            <w:r w:rsidRPr="00771798">
              <w:rPr>
                <w:color w:val="FFFFFF"/>
                <w:sz w:val="18"/>
                <w:szCs w:val="19"/>
                <w:vertAlign w:val="superscript"/>
              </w:rPr>
              <w:t>[a]</w:t>
            </w:r>
            <w:r w:rsidRPr="00771798">
              <w:rPr>
                <w:color w:val="FFFFFF"/>
                <w:sz w:val="18"/>
                <w:szCs w:val="19"/>
              </w:rPr>
              <w:t xml:space="preserve"> </w:t>
            </w:r>
            <w:r w:rsidRPr="00771798">
              <w:rPr>
                <w:rFonts w:eastAsia="Calibri"/>
                <w:color w:val="FFFFFF"/>
                <w:sz w:val="18"/>
                <w:szCs w:val="19"/>
              </w:rPr>
              <w:t>The evaluation contractor for FirstEnergy applied the same NTG methods for all four FirstEnergy EDCs.</w:t>
            </w:r>
          </w:p>
        </w:tc>
      </w:tr>
    </w:tbl>
    <w:p w:rsidR="00661E10" w:rsidRPr="00661E10" w:rsidRDefault="00661E10" w:rsidP="00661E10"/>
    <w:p w:rsidR="00661E10" w:rsidRPr="00661E10" w:rsidRDefault="00661E10" w:rsidP="00E673F0">
      <w:pPr>
        <w:pStyle w:val="Heading4"/>
      </w:pPr>
      <w:r w:rsidRPr="00661E10">
        <w:t>Summary of NTG by Sector</w:t>
      </w:r>
    </w:p>
    <w:p w:rsidR="00661E10" w:rsidRPr="00661E10" w:rsidRDefault="00ED5AFA" w:rsidP="00661E10">
      <w:r w:rsidRPr="00ED5AFA">
        <w:rPr>
          <w:rFonts w:asciiTheme="minorHAnsi" w:hAnsiTheme="minorHAnsi"/>
        </w:rPr>
        <w:fldChar w:fldCharType="begin"/>
      </w:r>
      <w:r w:rsidRPr="00ED5AFA">
        <w:rPr>
          <w:rFonts w:asciiTheme="minorHAnsi" w:hAnsiTheme="minorHAnsi"/>
        </w:rPr>
        <w:instrText xml:space="preserve"> REF _Ref471458750 \h  \* MERGEFORMAT </w:instrText>
      </w:r>
      <w:r w:rsidRPr="00ED5AFA">
        <w:rPr>
          <w:rFonts w:asciiTheme="minorHAnsi" w:hAnsiTheme="minorHAnsi"/>
        </w:rPr>
      </w:r>
      <w:r w:rsidRPr="00ED5AFA">
        <w:rPr>
          <w:rFonts w:asciiTheme="minorHAnsi" w:hAnsiTheme="minorHAnsi"/>
        </w:rPr>
        <w:fldChar w:fldCharType="separate"/>
      </w:r>
      <w:r w:rsidR="00037CB4" w:rsidRPr="00B81A2F">
        <w:rPr>
          <w:rFonts w:asciiTheme="minorHAnsi" w:hAnsiTheme="minorHAnsi"/>
          <w:bCs/>
        </w:rPr>
        <w:t xml:space="preserve">Table </w:t>
      </w:r>
      <w:r w:rsidR="00037CB4" w:rsidRPr="00B81A2F">
        <w:rPr>
          <w:rFonts w:asciiTheme="minorHAnsi" w:hAnsiTheme="minorHAnsi"/>
          <w:bCs/>
          <w:noProof/>
        </w:rPr>
        <w:t>5</w:t>
      </w:r>
      <w:r w:rsidR="00037CB4" w:rsidRPr="00B81A2F">
        <w:rPr>
          <w:rFonts w:asciiTheme="minorHAnsi" w:hAnsiTheme="minorHAnsi"/>
          <w:bCs/>
          <w:noProof/>
        </w:rPr>
        <w:noBreakHyphen/>
        <w:t>5</w:t>
      </w:r>
      <w:r w:rsidRPr="00ED5AFA">
        <w:rPr>
          <w:rFonts w:asciiTheme="minorHAnsi" w:hAnsiTheme="minorHAnsi"/>
        </w:rPr>
        <w:fldChar w:fldCharType="end"/>
      </w:r>
      <w:r w:rsidR="00661E10" w:rsidRPr="00661E10">
        <w:t xml:space="preserve"> </w:t>
      </w:r>
      <w:r w:rsidR="00FF4DE1" w:rsidRPr="00FF4DE1">
        <w:t>shows the EDCs’ NTGR calculations across sectors. In the residential sector, program-specific NTGRs ranged from 0.26 to 0.99. In the low-income sector, in three PPL low income programs the evaluation contractor assumed a program-specific NTGR of 1.00 for three low-income programs (one whose impact evaluation methodology generates net savings and two that provide measures to customers seeking help paying electric bills). The good news is that following the Phase II SWE Team’s PY6 recommendation, all EDCs performed NTG studies on their low-income programs for the first time. In the non-residential sector, program-specific NTGRs ranged from 0.39 to 0.89 (with the exception of one program for which the evaluation contractor assumed an NTGR of 1.00).</w:t>
      </w:r>
    </w:p>
    <w:p w:rsidR="00661E10" w:rsidRPr="00661E10" w:rsidRDefault="00661E10" w:rsidP="00661E10">
      <w:bookmarkStart w:id="395" w:name="_Ref408996050"/>
      <w:bookmarkStart w:id="396" w:name="_Toc409224990"/>
      <w:bookmarkStart w:id="397" w:name="_Toc409443542"/>
      <w:bookmarkStart w:id="398" w:name="_Toc410199261"/>
    </w:p>
    <w:p w:rsidR="00661E10" w:rsidRPr="00661E10" w:rsidRDefault="00661E10" w:rsidP="004837FA">
      <w:pPr>
        <w:pStyle w:val="Caption"/>
      </w:pPr>
      <w:bookmarkStart w:id="399" w:name="_Ref471458750"/>
      <w:bookmarkStart w:id="400" w:name="_Toc444269703"/>
      <w:bookmarkStart w:id="401" w:name="_Toc472472190"/>
      <w:bookmarkStart w:id="402" w:name="_Toc488741769"/>
      <w:r w:rsidRPr="00661E10">
        <w:t xml:space="preserve">Table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5</w:t>
      </w:r>
      <w:r w:rsidR="007973A4">
        <w:rPr>
          <w:noProof/>
        </w:rPr>
        <w:fldChar w:fldCharType="end"/>
      </w:r>
      <w:bookmarkEnd w:id="395"/>
      <w:bookmarkEnd w:id="399"/>
      <w:r w:rsidRPr="00661E10">
        <w:t>: PY7 Net-to-Gross Ratios by Sector and Program</w:t>
      </w:r>
      <w:bookmarkEnd w:id="396"/>
      <w:bookmarkEnd w:id="397"/>
      <w:bookmarkEnd w:id="398"/>
      <w:r w:rsidRPr="00661E10">
        <w:t xml:space="preserve"> – All EDCs</w:t>
      </w:r>
      <w:bookmarkEnd w:id="400"/>
      <w:bookmarkEnd w:id="401"/>
      <w:bookmarkEnd w:id="402"/>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57"/>
        <w:gridCol w:w="3273"/>
        <w:gridCol w:w="1186"/>
        <w:gridCol w:w="1261"/>
        <w:gridCol w:w="1072"/>
        <w:gridCol w:w="1091"/>
      </w:tblGrid>
      <w:tr w:rsidR="00A874AC" w:rsidRPr="00CB2503" w:rsidTr="00CB2503">
        <w:trPr>
          <w:trHeight w:val="20"/>
          <w:tblHeader/>
        </w:trPr>
        <w:tc>
          <w:tcPr>
            <w:tcW w:w="780" w:type="pct"/>
            <w:shd w:val="clear" w:color="auto" w:fill="448A99"/>
            <w:vAlign w:val="bottom"/>
            <w:hideMark/>
          </w:tcPr>
          <w:p w:rsidR="00661E10" w:rsidRPr="00CB2503" w:rsidRDefault="00661E10" w:rsidP="00661E10">
            <w:pPr>
              <w:jc w:val="left"/>
              <w:rPr>
                <w:b/>
                <w:bCs/>
                <w:color w:val="FFFFFF"/>
                <w:sz w:val="19"/>
                <w:szCs w:val="19"/>
              </w:rPr>
            </w:pPr>
            <w:r w:rsidRPr="00CB2503">
              <w:rPr>
                <w:b/>
                <w:color w:val="FFFFFF"/>
                <w:sz w:val="19"/>
                <w:szCs w:val="19"/>
              </w:rPr>
              <w:t>EDC</w:t>
            </w:r>
          </w:p>
        </w:tc>
        <w:tc>
          <w:tcPr>
            <w:tcW w:w="1752"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Program</w:t>
            </w:r>
          </w:p>
        </w:tc>
        <w:tc>
          <w:tcPr>
            <w:tcW w:w="635"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Free-Ridership</w:t>
            </w:r>
          </w:p>
        </w:tc>
        <w:tc>
          <w:tcPr>
            <w:tcW w:w="675"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Spillover</w:t>
            </w:r>
          </w:p>
        </w:tc>
        <w:tc>
          <w:tcPr>
            <w:tcW w:w="574"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NTGR</w:t>
            </w:r>
            <w:r w:rsidRPr="00CB2503">
              <w:rPr>
                <w:b/>
                <w:color w:val="FFFFFF"/>
                <w:sz w:val="19"/>
                <w:szCs w:val="19"/>
                <w:vertAlign w:val="superscript"/>
              </w:rPr>
              <w:t>[a]</w:t>
            </w:r>
          </w:p>
        </w:tc>
        <w:tc>
          <w:tcPr>
            <w:tcW w:w="584" w:type="pct"/>
            <w:shd w:val="clear" w:color="auto" w:fill="448A99"/>
            <w:vAlign w:val="bottom"/>
          </w:tcPr>
          <w:p w:rsidR="00661E10" w:rsidRPr="00CB2503" w:rsidRDefault="00661E10" w:rsidP="00661E10">
            <w:pPr>
              <w:jc w:val="center"/>
              <w:rPr>
                <w:b/>
                <w:color w:val="FFFFFF"/>
                <w:sz w:val="19"/>
                <w:szCs w:val="19"/>
                <w:vertAlign w:val="superscript"/>
              </w:rPr>
            </w:pPr>
            <w:r w:rsidRPr="00CB2503">
              <w:rPr>
                <w:b/>
                <w:color w:val="FFFFFF"/>
                <w:sz w:val="19"/>
                <w:szCs w:val="19"/>
              </w:rPr>
              <w:t>Sample Size</w:t>
            </w:r>
            <w:r w:rsidRPr="00CB2503">
              <w:rPr>
                <w:b/>
                <w:color w:val="FFFFFF"/>
                <w:sz w:val="19"/>
                <w:szCs w:val="19"/>
                <w:vertAlign w:val="superscript"/>
              </w:rPr>
              <w:t>[b]</w:t>
            </w:r>
          </w:p>
        </w:tc>
      </w:tr>
      <w:tr w:rsidR="00E7173E" w:rsidRPr="00CB2503" w:rsidTr="00CB2503">
        <w:trPr>
          <w:trHeight w:val="144"/>
        </w:trPr>
        <w:tc>
          <w:tcPr>
            <w:tcW w:w="5000" w:type="pct"/>
            <w:gridSpan w:val="6"/>
            <w:shd w:val="clear" w:color="auto" w:fill="9C9393"/>
            <w:hideMark/>
          </w:tcPr>
          <w:p w:rsidR="00661E10" w:rsidRPr="00CB2503" w:rsidRDefault="00661E10" w:rsidP="00661E10">
            <w:pPr>
              <w:jc w:val="left"/>
              <w:rPr>
                <w:b/>
                <w:bCs/>
                <w:i/>
                <w:color w:val="FFFFFF"/>
                <w:sz w:val="19"/>
                <w:szCs w:val="19"/>
              </w:rPr>
            </w:pPr>
            <w:r w:rsidRPr="00CB2503">
              <w:rPr>
                <w:b/>
                <w:color w:val="FFFFFF"/>
                <w:sz w:val="19"/>
                <w:szCs w:val="19"/>
              </w:rPr>
              <w:t>Residential Sector</w:t>
            </w:r>
          </w:p>
        </w:tc>
      </w:tr>
      <w:tr w:rsidR="00A874AC" w:rsidRPr="00CB2503" w:rsidTr="00CB2503">
        <w:trPr>
          <w:trHeight w:val="488"/>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Duquesne</w:t>
            </w:r>
          </w:p>
        </w:tc>
        <w:tc>
          <w:tcPr>
            <w:tcW w:w="1752" w:type="pct"/>
            <w:shd w:val="clear" w:color="auto" w:fill="D2EAF1"/>
            <w:noWrap/>
          </w:tcPr>
          <w:p w:rsidR="00661E10" w:rsidRPr="00CB2503" w:rsidRDefault="00661E10" w:rsidP="00661E10">
            <w:pPr>
              <w:jc w:val="left"/>
              <w:rPr>
                <w:color w:val="000000"/>
                <w:sz w:val="19"/>
                <w:szCs w:val="19"/>
              </w:rPr>
            </w:pPr>
            <w:r w:rsidRPr="00CB2503">
              <w:rPr>
                <w:sz w:val="19"/>
                <w:szCs w:val="19"/>
              </w:rPr>
              <w:t>Residential Energy Efficiency Program (REEP)</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0.54</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0.23</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0.69</w:t>
            </w:r>
          </w:p>
        </w:tc>
        <w:tc>
          <w:tcPr>
            <w:tcW w:w="584" w:type="pct"/>
            <w:shd w:val="clear" w:color="auto" w:fill="D2EAF1"/>
            <w:vAlign w:val="center"/>
          </w:tcPr>
          <w:p w:rsidR="00661E10" w:rsidRPr="00CB2503" w:rsidRDefault="00661E10" w:rsidP="00661E10">
            <w:pPr>
              <w:jc w:val="center"/>
              <w:rPr>
                <w:color w:val="000000"/>
                <w:sz w:val="19"/>
                <w:szCs w:val="19"/>
              </w:rPr>
            </w:pPr>
            <w:r w:rsidRPr="00CB2503">
              <w:rPr>
                <w:sz w:val="19"/>
                <w:szCs w:val="19"/>
              </w:rPr>
              <w:t>99</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Residential Appliance Recycling Program (RARP)</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0.72</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0.04</w:t>
            </w:r>
          </w:p>
        </w:tc>
        <w:tc>
          <w:tcPr>
            <w:tcW w:w="574" w:type="pct"/>
            <w:shd w:val="clear" w:color="auto" w:fill="auto"/>
            <w:noWrap/>
            <w:vAlign w:val="center"/>
          </w:tcPr>
          <w:p w:rsidR="00661E10" w:rsidRPr="00CB2503" w:rsidRDefault="00661E10" w:rsidP="00661E10">
            <w:pPr>
              <w:jc w:val="center"/>
              <w:rPr>
                <w:sz w:val="19"/>
                <w:szCs w:val="19"/>
              </w:rPr>
            </w:pPr>
            <w:r w:rsidRPr="00CB2503">
              <w:rPr>
                <w:sz w:val="19"/>
                <w:szCs w:val="19"/>
              </w:rPr>
              <w:t>0.32</w:t>
            </w:r>
          </w:p>
        </w:tc>
        <w:tc>
          <w:tcPr>
            <w:tcW w:w="584" w:type="pct"/>
            <w:shd w:val="clear" w:color="auto" w:fill="auto"/>
            <w:vAlign w:val="center"/>
          </w:tcPr>
          <w:p w:rsidR="00661E10" w:rsidRPr="00CB2503" w:rsidRDefault="00661E10" w:rsidP="00661E10">
            <w:pPr>
              <w:jc w:val="center"/>
              <w:rPr>
                <w:color w:val="000000"/>
                <w:sz w:val="19"/>
                <w:szCs w:val="19"/>
              </w:rPr>
            </w:pPr>
            <w:r w:rsidRPr="00CB2503">
              <w:rPr>
                <w:sz w:val="19"/>
                <w:szCs w:val="19"/>
              </w:rPr>
              <w:t>109</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Residential Home Energy</w:t>
            </w:r>
          </w:p>
          <w:p w:rsidR="00661E10" w:rsidRPr="00CB2503" w:rsidRDefault="00661E10" w:rsidP="00661E10">
            <w:pPr>
              <w:jc w:val="left"/>
              <w:rPr>
                <w:sz w:val="19"/>
                <w:szCs w:val="19"/>
              </w:rPr>
            </w:pPr>
            <w:r w:rsidRPr="00CB2503">
              <w:rPr>
                <w:sz w:val="19"/>
                <w:szCs w:val="19"/>
              </w:rPr>
              <w:t>Report (HER) Program</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N/A</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N/A</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N/A</w:t>
            </w:r>
          </w:p>
        </w:tc>
        <w:tc>
          <w:tcPr>
            <w:tcW w:w="584" w:type="pct"/>
            <w:shd w:val="clear" w:color="auto" w:fill="D2EAF1"/>
            <w:vAlign w:val="center"/>
          </w:tcPr>
          <w:p w:rsidR="00661E10" w:rsidRPr="00CB2503" w:rsidRDefault="00661E10" w:rsidP="00661E10">
            <w:pPr>
              <w:jc w:val="center"/>
              <w:rPr>
                <w:sz w:val="19"/>
                <w:szCs w:val="19"/>
              </w:rPr>
            </w:pPr>
            <w:r w:rsidRPr="00CB2503">
              <w:rPr>
                <w:sz w:val="19"/>
                <w:szCs w:val="19"/>
              </w:rPr>
              <w:t>N/A</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School Energy Pledge Program (SEP)</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0.31</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0.19</w:t>
            </w:r>
          </w:p>
        </w:tc>
        <w:tc>
          <w:tcPr>
            <w:tcW w:w="574" w:type="pct"/>
            <w:shd w:val="clear" w:color="auto" w:fill="auto"/>
            <w:noWrap/>
            <w:vAlign w:val="center"/>
          </w:tcPr>
          <w:p w:rsidR="00661E10" w:rsidRPr="00CB2503" w:rsidRDefault="00661E10" w:rsidP="00661E10">
            <w:pPr>
              <w:jc w:val="center"/>
              <w:rPr>
                <w:sz w:val="19"/>
                <w:szCs w:val="19"/>
              </w:rPr>
            </w:pPr>
            <w:r w:rsidRPr="00CB2503">
              <w:rPr>
                <w:sz w:val="19"/>
                <w:szCs w:val="19"/>
              </w:rPr>
              <w:t>0.87</w:t>
            </w:r>
          </w:p>
        </w:tc>
        <w:tc>
          <w:tcPr>
            <w:tcW w:w="584" w:type="pct"/>
            <w:shd w:val="clear" w:color="auto" w:fill="auto"/>
            <w:vAlign w:val="center"/>
          </w:tcPr>
          <w:p w:rsidR="00661E10" w:rsidRPr="00CB2503" w:rsidRDefault="00661E10" w:rsidP="00661E10">
            <w:pPr>
              <w:jc w:val="center"/>
              <w:rPr>
                <w:color w:val="000000"/>
                <w:sz w:val="19"/>
                <w:szCs w:val="19"/>
              </w:rPr>
            </w:pPr>
            <w:r w:rsidRPr="00CB2503">
              <w:rPr>
                <w:sz w:val="19"/>
                <w:szCs w:val="19"/>
              </w:rPr>
              <w:t>27</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Whole House Energy Audit Program (WHEAP)</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0.33</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0.06</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0.73</w:t>
            </w:r>
          </w:p>
        </w:tc>
        <w:tc>
          <w:tcPr>
            <w:tcW w:w="584" w:type="pct"/>
            <w:shd w:val="clear" w:color="auto" w:fill="D2EAF1"/>
            <w:vAlign w:val="center"/>
          </w:tcPr>
          <w:p w:rsidR="00661E10" w:rsidRPr="00CB2503" w:rsidRDefault="00661E10" w:rsidP="00661E10">
            <w:pPr>
              <w:jc w:val="center"/>
              <w:rPr>
                <w:color w:val="000000"/>
                <w:sz w:val="19"/>
                <w:szCs w:val="19"/>
              </w:rPr>
            </w:pPr>
            <w:r w:rsidRPr="00CB2503">
              <w:rPr>
                <w:sz w:val="19"/>
                <w:szCs w:val="19"/>
              </w:rPr>
              <w:t>22</w:t>
            </w:r>
          </w:p>
        </w:tc>
      </w:tr>
      <w:tr w:rsidR="00E7173E" w:rsidRPr="00CB2503" w:rsidTr="00CB2503">
        <w:trPr>
          <w:trHeight w:val="488"/>
        </w:trPr>
        <w:tc>
          <w:tcPr>
            <w:tcW w:w="780" w:type="pct"/>
            <w:vMerge w:val="restart"/>
            <w:shd w:val="clear" w:color="auto" w:fill="auto"/>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Met-Ed</w:t>
            </w:r>
          </w:p>
        </w:tc>
        <w:tc>
          <w:tcPr>
            <w:tcW w:w="1752" w:type="pct"/>
            <w:shd w:val="clear" w:color="auto" w:fill="auto"/>
            <w:noWrap/>
          </w:tcPr>
          <w:p w:rsidR="00661E10" w:rsidRPr="00CB2503" w:rsidRDefault="00661E10" w:rsidP="00661E10">
            <w:pPr>
              <w:jc w:val="left"/>
              <w:rPr>
                <w:sz w:val="19"/>
                <w:szCs w:val="19"/>
              </w:rPr>
            </w:pPr>
            <w:r w:rsidRPr="00CB2503">
              <w:rPr>
                <w:sz w:val="19"/>
                <w:szCs w:val="19"/>
              </w:rPr>
              <w:t>Appliance Turn-In</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0.75</w:t>
            </w:r>
            <w:r w:rsidRPr="00CB2503">
              <w:rPr>
                <w:sz w:val="19"/>
                <w:szCs w:val="19"/>
                <w:vertAlign w:val="superscript"/>
              </w:rPr>
              <w:t>[c]</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0.26</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71</w:t>
            </w:r>
          </w:p>
        </w:tc>
      </w:tr>
      <w:tr w:rsidR="00A874AC" w:rsidRPr="00CB2503" w:rsidTr="00CB2503">
        <w:trPr>
          <w:trHeight w:val="488"/>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Energy Efficient Products</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0.38</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0.05</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0.67</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137</w:t>
            </w:r>
          </w:p>
        </w:tc>
      </w:tr>
      <w:tr w:rsidR="00E7173E" w:rsidRPr="00CB2503" w:rsidTr="00CB2503">
        <w:trPr>
          <w:trHeight w:val="488"/>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Home Performance</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0.36</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0.06</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0.70</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88"/>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Penelec</w:t>
            </w:r>
          </w:p>
        </w:tc>
        <w:tc>
          <w:tcPr>
            <w:tcW w:w="1752" w:type="pct"/>
            <w:shd w:val="clear" w:color="auto" w:fill="D2EAF1"/>
            <w:noWrap/>
          </w:tcPr>
          <w:p w:rsidR="00661E10" w:rsidRPr="00CB2503" w:rsidRDefault="00661E10" w:rsidP="00661E10">
            <w:pPr>
              <w:jc w:val="left"/>
              <w:rPr>
                <w:sz w:val="19"/>
                <w:szCs w:val="19"/>
              </w:rPr>
            </w:pPr>
            <w:r w:rsidRPr="00CB2503">
              <w:rPr>
                <w:sz w:val="19"/>
                <w:szCs w:val="19"/>
              </w:rPr>
              <w:t>Appliance Turn-In</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0.66</w:t>
            </w:r>
            <w:r w:rsidRPr="00CB2503">
              <w:rPr>
                <w:sz w:val="19"/>
                <w:szCs w:val="19"/>
                <w:vertAlign w:val="superscript"/>
              </w:rPr>
              <w:t>[c]</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0.34</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59</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Energy Efficient Products</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0.38</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0.02</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0.65</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131</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Home Performance</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0.34</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0.04</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0.70</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E7173E" w:rsidRPr="00CB2503" w:rsidTr="00CB2503">
        <w:trPr>
          <w:trHeight w:val="488"/>
        </w:trPr>
        <w:tc>
          <w:tcPr>
            <w:tcW w:w="780" w:type="pct"/>
            <w:vMerge w:val="restart"/>
            <w:shd w:val="clear" w:color="auto" w:fill="auto"/>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Penn Power</w:t>
            </w:r>
          </w:p>
        </w:tc>
        <w:tc>
          <w:tcPr>
            <w:tcW w:w="1752" w:type="pct"/>
            <w:shd w:val="clear" w:color="auto" w:fill="auto"/>
            <w:noWrap/>
          </w:tcPr>
          <w:p w:rsidR="00661E10" w:rsidRPr="00CB2503" w:rsidRDefault="00661E10" w:rsidP="00661E10">
            <w:pPr>
              <w:jc w:val="left"/>
              <w:rPr>
                <w:sz w:val="19"/>
                <w:szCs w:val="19"/>
              </w:rPr>
            </w:pPr>
            <w:r w:rsidRPr="00CB2503">
              <w:rPr>
                <w:sz w:val="19"/>
                <w:szCs w:val="19"/>
              </w:rPr>
              <w:t>Appliance Turn-In</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0.59</w:t>
            </w:r>
            <w:r w:rsidRPr="00CB2503">
              <w:rPr>
                <w:sz w:val="19"/>
                <w:szCs w:val="19"/>
                <w:vertAlign w:val="superscript"/>
              </w:rPr>
              <w:t>[c]</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0.42</w:t>
            </w:r>
          </w:p>
        </w:tc>
        <w:tc>
          <w:tcPr>
            <w:tcW w:w="584" w:type="pct"/>
            <w:shd w:val="clear" w:color="auto" w:fill="auto"/>
            <w:vAlign w:val="center"/>
          </w:tcPr>
          <w:p w:rsidR="00661E10" w:rsidRPr="00CB2503" w:rsidRDefault="00690FCF" w:rsidP="00661E10">
            <w:pPr>
              <w:jc w:val="center"/>
              <w:rPr>
                <w:b/>
                <w:bCs/>
                <w:color w:val="000000"/>
                <w:sz w:val="19"/>
                <w:szCs w:val="19"/>
              </w:rPr>
            </w:pPr>
            <w:r w:rsidRPr="00CB2503">
              <w:rPr>
                <w:sz w:val="19"/>
                <w:szCs w:val="19"/>
              </w:rPr>
              <w:t>52</w:t>
            </w:r>
          </w:p>
        </w:tc>
      </w:tr>
      <w:tr w:rsidR="00A874AC" w:rsidRPr="00CB2503" w:rsidTr="00CB2503">
        <w:trPr>
          <w:trHeight w:val="488"/>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Energy Efficient Products</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0.36</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0.02</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0.67</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101</w:t>
            </w:r>
          </w:p>
        </w:tc>
      </w:tr>
      <w:tr w:rsidR="00E7173E" w:rsidRPr="00CB2503" w:rsidTr="00CB2503">
        <w:trPr>
          <w:trHeight w:val="489"/>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Home Performance</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0.40</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0.10</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0.70</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88"/>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West Penn</w:t>
            </w:r>
          </w:p>
        </w:tc>
        <w:tc>
          <w:tcPr>
            <w:tcW w:w="1752" w:type="pct"/>
            <w:shd w:val="clear" w:color="auto" w:fill="D2EAF1"/>
            <w:noWrap/>
          </w:tcPr>
          <w:p w:rsidR="00661E10" w:rsidRPr="00CB2503" w:rsidRDefault="00661E10" w:rsidP="00661E10">
            <w:pPr>
              <w:jc w:val="left"/>
              <w:rPr>
                <w:sz w:val="19"/>
                <w:szCs w:val="19"/>
              </w:rPr>
            </w:pPr>
            <w:r w:rsidRPr="00CB2503">
              <w:rPr>
                <w:sz w:val="19"/>
                <w:szCs w:val="19"/>
              </w:rPr>
              <w:t>Appliance Turn-In</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0.69</w:t>
            </w:r>
            <w:r w:rsidRPr="00CB2503">
              <w:rPr>
                <w:sz w:val="19"/>
                <w:szCs w:val="19"/>
                <w:vertAlign w:val="superscript"/>
              </w:rPr>
              <w:t>[c]</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0.31</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66</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Energy Efficient Products</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0.38</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0.01</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0.63</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131</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Home Performance</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0.02</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0.01</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0.99</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E7173E" w:rsidRPr="00CB2503" w:rsidTr="00CB2503">
        <w:trPr>
          <w:trHeight w:val="488"/>
        </w:trPr>
        <w:tc>
          <w:tcPr>
            <w:tcW w:w="780" w:type="pct"/>
            <w:vMerge w:val="restart"/>
            <w:shd w:val="clear" w:color="auto" w:fill="auto"/>
          </w:tcPr>
          <w:p w:rsidR="00661E10" w:rsidRPr="00CB2503" w:rsidRDefault="00661E10" w:rsidP="00661E10">
            <w:pPr>
              <w:jc w:val="left"/>
              <w:rPr>
                <w:color w:val="000000"/>
                <w:sz w:val="19"/>
                <w:szCs w:val="19"/>
              </w:rPr>
            </w:pPr>
            <w:r w:rsidRPr="00CB2503">
              <w:rPr>
                <w:color w:val="000000"/>
                <w:sz w:val="19"/>
                <w:szCs w:val="19"/>
              </w:rPr>
              <w:t>PECO</w:t>
            </w:r>
          </w:p>
        </w:tc>
        <w:tc>
          <w:tcPr>
            <w:tcW w:w="1752" w:type="pct"/>
            <w:shd w:val="clear" w:color="auto" w:fill="auto"/>
            <w:noWrap/>
          </w:tcPr>
          <w:p w:rsidR="00661E10" w:rsidRPr="00CB2503" w:rsidRDefault="00661E10" w:rsidP="00661E10">
            <w:pPr>
              <w:jc w:val="left"/>
              <w:rPr>
                <w:sz w:val="19"/>
                <w:szCs w:val="19"/>
              </w:rPr>
            </w:pPr>
            <w:r w:rsidRPr="00CB2503">
              <w:rPr>
                <w:sz w:val="19"/>
                <w:szCs w:val="19"/>
              </w:rPr>
              <w:t>Smart Home Rebates (SHR)</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0.49</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0.03</w:t>
            </w:r>
          </w:p>
        </w:tc>
        <w:tc>
          <w:tcPr>
            <w:tcW w:w="574" w:type="pct"/>
            <w:shd w:val="clear" w:color="auto" w:fill="auto"/>
            <w:noWrap/>
            <w:vAlign w:val="center"/>
          </w:tcPr>
          <w:p w:rsidR="00661E10" w:rsidRPr="00CB2503" w:rsidRDefault="003B56A8" w:rsidP="00661E10">
            <w:pPr>
              <w:jc w:val="center"/>
              <w:rPr>
                <w:sz w:val="19"/>
                <w:szCs w:val="19"/>
              </w:rPr>
            </w:pPr>
            <w:r w:rsidRPr="00CB2503">
              <w:rPr>
                <w:sz w:val="19"/>
                <w:szCs w:val="19"/>
              </w:rPr>
              <w:t>0.54</w:t>
            </w:r>
          </w:p>
        </w:tc>
        <w:tc>
          <w:tcPr>
            <w:tcW w:w="584" w:type="pct"/>
            <w:shd w:val="clear" w:color="auto" w:fill="auto"/>
            <w:vAlign w:val="center"/>
          </w:tcPr>
          <w:p w:rsidR="00661E10" w:rsidRPr="00CB2503" w:rsidRDefault="00661E10" w:rsidP="00661E10">
            <w:pPr>
              <w:jc w:val="center"/>
              <w:rPr>
                <w:color w:val="000000"/>
                <w:sz w:val="19"/>
                <w:szCs w:val="19"/>
              </w:rPr>
            </w:pPr>
            <w:r w:rsidRPr="00CB2503">
              <w:rPr>
                <w:sz w:val="19"/>
                <w:szCs w:val="19"/>
              </w:rPr>
              <w:t>542</w:t>
            </w:r>
          </w:p>
        </w:tc>
      </w:tr>
      <w:tr w:rsidR="00A874AC" w:rsidRPr="00CB2503" w:rsidTr="00CB2503">
        <w:trPr>
          <w:trHeight w:val="488"/>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Smart House Call</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0.13</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0.07</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0.94</w:t>
            </w:r>
          </w:p>
        </w:tc>
        <w:tc>
          <w:tcPr>
            <w:tcW w:w="584" w:type="pct"/>
            <w:shd w:val="clear" w:color="auto" w:fill="D2EAF1"/>
            <w:vAlign w:val="center"/>
          </w:tcPr>
          <w:p w:rsidR="00661E10" w:rsidRPr="00CB2503" w:rsidRDefault="00661E10" w:rsidP="00661E10">
            <w:pPr>
              <w:jc w:val="center"/>
              <w:rPr>
                <w:sz w:val="19"/>
                <w:szCs w:val="19"/>
              </w:rPr>
            </w:pPr>
            <w:r w:rsidRPr="00CB2503">
              <w:rPr>
                <w:sz w:val="19"/>
                <w:szCs w:val="19"/>
              </w:rPr>
              <w:t>130</w:t>
            </w:r>
          </w:p>
        </w:tc>
      </w:tr>
      <w:tr w:rsidR="00E7173E" w:rsidRPr="00CB2503" w:rsidTr="00CB2503">
        <w:trPr>
          <w:trHeight w:val="488"/>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vAlign w:val="center"/>
          </w:tcPr>
          <w:p w:rsidR="00661E10" w:rsidRPr="00CB2503" w:rsidRDefault="00661E10" w:rsidP="00661E10">
            <w:pPr>
              <w:jc w:val="left"/>
              <w:rPr>
                <w:sz w:val="19"/>
                <w:szCs w:val="19"/>
              </w:rPr>
            </w:pPr>
            <w:r w:rsidRPr="00CB2503">
              <w:rPr>
                <w:sz w:val="19"/>
                <w:szCs w:val="19"/>
              </w:rPr>
              <w:t>Smart Builder Rebates (SBR)</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0.50</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sz w:val="19"/>
                <w:szCs w:val="19"/>
              </w:rPr>
            </w:pPr>
            <w:r w:rsidRPr="00CB2503">
              <w:rPr>
                <w:sz w:val="19"/>
                <w:szCs w:val="19"/>
              </w:rPr>
              <w:t>0.50</w:t>
            </w:r>
          </w:p>
        </w:tc>
        <w:tc>
          <w:tcPr>
            <w:tcW w:w="584" w:type="pct"/>
            <w:shd w:val="clear" w:color="auto" w:fill="auto"/>
            <w:vAlign w:val="center"/>
          </w:tcPr>
          <w:p w:rsidR="00661E10" w:rsidRPr="00CB2503" w:rsidDel="00944DDE" w:rsidRDefault="00661E10" w:rsidP="00661E10">
            <w:pPr>
              <w:jc w:val="center"/>
              <w:rPr>
                <w:sz w:val="19"/>
                <w:szCs w:val="19"/>
              </w:rPr>
            </w:pPr>
            <w:r w:rsidRPr="00CB2503">
              <w:rPr>
                <w:sz w:val="19"/>
                <w:szCs w:val="19"/>
              </w:rPr>
              <w:t>7</w:t>
            </w:r>
          </w:p>
        </w:tc>
      </w:tr>
      <w:tr w:rsidR="00A874AC" w:rsidRPr="00CB2503" w:rsidTr="00CB2503">
        <w:trPr>
          <w:trHeight w:val="488"/>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Smart Appliance Recycling (SAR)</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0.50</w:t>
            </w:r>
          </w:p>
        </w:tc>
        <w:tc>
          <w:tcPr>
            <w:tcW w:w="675" w:type="pct"/>
            <w:shd w:val="clear" w:color="auto" w:fill="D2EAF1"/>
            <w:noWrap/>
            <w:vAlign w:val="center"/>
          </w:tcPr>
          <w:p w:rsidR="00661E10" w:rsidRPr="00CB2503" w:rsidRDefault="003B56A8" w:rsidP="00661E10">
            <w:pPr>
              <w:jc w:val="center"/>
              <w:rPr>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0.50</w:t>
            </w:r>
          </w:p>
        </w:tc>
        <w:tc>
          <w:tcPr>
            <w:tcW w:w="584" w:type="pct"/>
            <w:shd w:val="clear" w:color="auto" w:fill="D2EAF1"/>
            <w:vAlign w:val="center"/>
          </w:tcPr>
          <w:p w:rsidR="00661E10" w:rsidRPr="00CB2503" w:rsidRDefault="00661E10" w:rsidP="00661E10">
            <w:pPr>
              <w:jc w:val="center"/>
              <w:rPr>
                <w:color w:val="000000"/>
                <w:sz w:val="19"/>
                <w:szCs w:val="19"/>
              </w:rPr>
            </w:pPr>
            <w:r w:rsidRPr="00CB2503">
              <w:rPr>
                <w:sz w:val="19"/>
                <w:szCs w:val="19"/>
              </w:rPr>
              <w:t>140</w:t>
            </w:r>
          </w:p>
        </w:tc>
      </w:tr>
      <w:tr w:rsidR="00E7173E" w:rsidRPr="00CB2503" w:rsidTr="00CB2503">
        <w:trPr>
          <w:trHeight w:val="488"/>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Smart Multi-Family (SMF) Solutions Program</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0.43</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0.01</w:t>
            </w:r>
          </w:p>
        </w:tc>
        <w:tc>
          <w:tcPr>
            <w:tcW w:w="574" w:type="pct"/>
            <w:shd w:val="clear" w:color="auto" w:fill="auto"/>
            <w:noWrap/>
            <w:vAlign w:val="center"/>
          </w:tcPr>
          <w:p w:rsidR="00661E10" w:rsidRPr="00CB2503" w:rsidRDefault="00661E10" w:rsidP="00661E10">
            <w:pPr>
              <w:jc w:val="center"/>
              <w:rPr>
                <w:sz w:val="19"/>
                <w:szCs w:val="19"/>
              </w:rPr>
            </w:pPr>
            <w:r w:rsidRPr="00CB2503">
              <w:rPr>
                <w:sz w:val="19"/>
                <w:szCs w:val="19"/>
              </w:rPr>
              <w:t>0.59</w:t>
            </w:r>
          </w:p>
        </w:tc>
        <w:tc>
          <w:tcPr>
            <w:tcW w:w="584" w:type="pct"/>
            <w:shd w:val="clear" w:color="auto" w:fill="auto"/>
            <w:vAlign w:val="center"/>
          </w:tcPr>
          <w:p w:rsidR="00661E10" w:rsidRPr="00CB2503" w:rsidRDefault="00661E10" w:rsidP="00661E10">
            <w:pPr>
              <w:jc w:val="center"/>
              <w:rPr>
                <w:color w:val="000000"/>
                <w:sz w:val="19"/>
                <w:szCs w:val="19"/>
              </w:rPr>
            </w:pPr>
            <w:r w:rsidRPr="00CB2503">
              <w:rPr>
                <w:sz w:val="19"/>
                <w:szCs w:val="19"/>
              </w:rPr>
              <w:t>48</w:t>
            </w:r>
          </w:p>
        </w:tc>
      </w:tr>
      <w:tr w:rsidR="00A874AC" w:rsidRPr="00CB2503" w:rsidTr="00CB2503">
        <w:trPr>
          <w:trHeight w:val="488"/>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Smart AC Saver – Residential</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N/A</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N/A</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N/A</w:t>
            </w:r>
          </w:p>
        </w:tc>
        <w:tc>
          <w:tcPr>
            <w:tcW w:w="584" w:type="pct"/>
            <w:shd w:val="clear" w:color="auto" w:fill="D2EAF1"/>
            <w:vAlign w:val="center"/>
          </w:tcPr>
          <w:p w:rsidR="00661E10" w:rsidRPr="00CB2503" w:rsidRDefault="00661E10" w:rsidP="00661E10">
            <w:pPr>
              <w:jc w:val="center"/>
              <w:rPr>
                <w:color w:val="000000"/>
                <w:sz w:val="19"/>
                <w:szCs w:val="19"/>
              </w:rPr>
            </w:pPr>
            <w:r w:rsidRPr="00CB2503">
              <w:rPr>
                <w:sz w:val="19"/>
                <w:szCs w:val="19"/>
              </w:rPr>
              <w:t>N/A</w:t>
            </w:r>
          </w:p>
        </w:tc>
      </w:tr>
      <w:tr w:rsidR="00A874AC" w:rsidRPr="00CB2503" w:rsidTr="00CB2503">
        <w:trPr>
          <w:trHeight w:val="488"/>
        </w:trPr>
        <w:tc>
          <w:tcPr>
            <w:tcW w:w="780" w:type="pct"/>
            <w:vMerge w:val="restart"/>
            <w:shd w:val="clear" w:color="auto" w:fill="D2EAF1"/>
          </w:tcPr>
          <w:p w:rsidR="00661E10" w:rsidRPr="00CB2503" w:rsidRDefault="00661E10" w:rsidP="00661E10">
            <w:pPr>
              <w:jc w:val="left"/>
              <w:rPr>
                <w:color w:val="000000"/>
                <w:sz w:val="19"/>
                <w:szCs w:val="19"/>
              </w:rPr>
            </w:pPr>
            <w:r w:rsidRPr="00CB2503">
              <w:rPr>
                <w:color w:val="000000"/>
                <w:sz w:val="19"/>
                <w:szCs w:val="19"/>
              </w:rPr>
              <w:t>PPL</w:t>
            </w:r>
          </w:p>
        </w:tc>
        <w:tc>
          <w:tcPr>
            <w:tcW w:w="1752" w:type="pct"/>
            <w:shd w:val="clear" w:color="auto" w:fill="auto"/>
            <w:noWrap/>
          </w:tcPr>
          <w:p w:rsidR="00661E10" w:rsidRPr="00CB2503" w:rsidRDefault="00661E10" w:rsidP="00661E10">
            <w:pPr>
              <w:jc w:val="left"/>
              <w:rPr>
                <w:b/>
                <w:bCs/>
                <w:color w:val="000000"/>
                <w:sz w:val="19"/>
                <w:szCs w:val="19"/>
              </w:rPr>
            </w:pPr>
            <w:r w:rsidRPr="00CB2503">
              <w:rPr>
                <w:sz w:val="19"/>
                <w:szCs w:val="19"/>
              </w:rPr>
              <w:t>Residential Retail Program</w:t>
            </w:r>
            <w:r w:rsidR="00F366C8" w:rsidRPr="00CB2503">
              <w:rPr>
                <w:sz w:val="19"/>
                <w:szCs w:val="19"/>
                <w:vertAlign w:val="superscript"/>
              </w:rPr>
              <w:t>[c]</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0.39</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0.61</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84</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b/>
                <w:bCs/>
                <w:color w:val="000000"/>
                <w:sz w:val="19"/>
                <w:szCs w:val="19"/>
              </w:rPr>
            </w:pPr>
            <w:r w:rsidRPr="00CB2503">
              <w:rPr>
                <w:sz w:val="19"/>
                <w:szCs w:val="19"/>
              </w:rPr>
              <w:t>Appliance Recycling Program (ARP)</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0.40</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0.60</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Residential Home Comfort</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0.42</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0.04</w:t>
            </w:r>
          </w:p>
        </w:tc>
        <w:tc>
          <w:tcPr>
            <w:tcW w:w="574" w:type="pct"/>
            <w:shd w:val="clear" w:color="auto" w:fill="auto"/>
            <w:noWrap/>
            <w:vAlign w:val="center"/>
          </w:tcPr>
          <w:p w:rsidR="00661E10" w:rsidRPr="00CB2503" w:rsidDel="007E2517" w:rsidRDefault="00661E10" w:rsidP="00661E10">
            <w:pPr>
              <w:jc w:val="center"/>
              <w:rPr>
                <w:sz w:val="19"/>
                <w:szCs w:val="19"/>
              </w:rPr>
            </w:pPr>
            <w:r w:rsidRPr="00CB2503">
              <w:rPr>
                <w:sz w:val="19"/>
                <w:szCs w:val="19"/>
              </w:rPr>
              <w:t>0.61</w:t>
            </w:r>
          </w:p>
        </w:tc>
        <w:tc>
          <w:tcPr>
            <w:tcW w:w="584" w:type="pct"/>
            <w:shd w:val="clear" w:color="auto" w:fill="auto"/>
            <w:vAlign w:val="center"/>
          </w:tcPr>
          <w:p w:rsidR="00661E10" w:rsidRPr="00CB2503" w:rsidRDefault="00661E10" w:rsidP="00661E10">
            <w:pPr>
              <w:jc w:val="center"/>
              <w:rPr>
                <w:sz w:val="19"/>
                <w:szCs w:val="19"/>
              </w:rPr>
            </w:pPr>
            <w:r w:rsidRPr="00CB2503">
              <w:rPr>
                <w:sz w:val="19"/>
                <w:szCs w:val="19"/>
              </w:rPr>
              <w:t>224</w:t>
            </w:r>
          </w:p>
        </w:tc>
      </w:tr>
      <w:tr w:rsidR="00A874AC" w:rsidRPr="00CB2503" w:rsidTr="00CB2503">
        <w:trPr>
          <w:trHeight w:val="488"/>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b/>
                <w:bCs/>
                <w:color w:val="000000"/>
                <w:sz w:val="19"/>
                <w:szCs w:val="19"/>
              </w:rPr>
            </w:pPr>
            <w:r w:rsidRPr="00CB2503">
              <w:rPr>
                <w:sz w:val="19"/>
                <w:szCs w:val="19"/>
              </w:rPr>
              <w:t>Student and Parent Energy-Efficiency Education Program</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N/A</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N/A</w:t>
            </w:r>
          </w:p>
        </w:tc>
        <w:tc>
          <w:tcPr>
            <w:tcW w:w="574" w:type="pct"/>
            <w:shd w:val="clear" w:color="auto" w:fill="D2EAF1"/>
            <w:noWrap/>
            <w:vAlign w:val="center"/>
          </w:tcPr>
          <w:p w:rsidR="00661E10" w:rsidRPr="00CB2503" w:rsidRDefault="00F366C8" w:rsidP="00661E10">
            <w:pPr>
              <w:jc w:val="center"/>
              <w:rPr>
                <w:b/>
                <w:bCs/>
                <w:color w:val="000000"/>
                <w:sz w:val="19"/>
                <w:szCs w:val="19"/>
              </w:rPr>
            </w:pPr>
            <w:r w:rsidRPr="00CB2503">
              <w:rPr>
                <w:sz w:val="19"/>
                <w:szCs w:val="19"/>
              </w:rPr>
              <w:t>1.0</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89"/>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b/>
                <w:bCs/>
                <w:color w:val="000000"/>
                <w:sz w:val="19"/>
                <w:szCs w:val="19"/>
              </w:rPr>
            </w:pPr>
            <w:r w:rsidRPr="00CB2503">
              <w:rPr>
                <w:sz w:val="19"/>
                <w:szCs w:val="19"/>
              </w:rPr>
              <w:t>Residential Energy-Efficiency Behavior &amp; Education Program</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N/A</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N/A</w:t>
            </w:r>
          </w:p>
        </w:tc>
        <w:tc>
          <w:tcPr>
            <w:tcW w:w="574" w:type="pct"/>
            <w:shd w:val="clear" w:color="auto" w:fill="auto"/>
            <w:noWrap/>
            <w:vAlign w:val="center"/>
          </w:tcPr>
          <w:p w:rsidR="00661E10" w:rsidRPr="00CB2503" w:rsidRDefault="00F366C8" w:rsidP="00661E10">
            <w:pPr>
              <w:jc w:val="center"/>
              <w:rPr>
                <w:b/>
                <w:bCs/>
                <w:color w:val="000000"/>
                <w:sz w:val="19"/>
                <w:szCs w:val="19"/>
              </w:rPr>
            </w:pPr>
            <w:r w:rsidRPr="00CB2503">
              <w:rPr>
                <w:sz w:val="19"/>
                <w:szCs w:val="19"/>
              </w:rPr>
              <w:t>1.0</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E7173E" w:rsidRPr="00CB2503" w:rsidTr="00CB2503">
        <w:trPr>
          <w:trHeight w:val="144"/>
        </w:trPr>
        <w:tc>
          <w:tcPr>
            <w:tcW w:w="5000" w:type="pct"/>
            <w:gridSpan w:val="6"/>
            <w:shd w:val="clear" w:color="auto" w:fill="9C9393"/>
            <w:vAlign w:val="center"/>
            <w:hideMark/>
          </w:tcPr>
          <w:p w:rsidR="00661E10" w:rsidRPr="00CB2503" w:rsidRDefault="00661E10" w:rsidP="00661E10">
            <w:pPr>
              <w:jc w:val="left"/>
              <w:rPr>
                <w:b/>
                <w:bCs/>
                <w:i/>
                <w:color w:val="FFFFFF"/>
                <w:sz w:val="19"/>
                <w:szCs w:val="19"/>
              </w:rPr>
            </w:pPr>
            <w:r w:rsidRPr="00CB2503">
              <w:rPr>
                <w:b/>
                <w:color w:val="FFFFFF"/>
                <w:sz w:val="19"/>
                <w:szCs w:val="19"/>
              </w:rPr>
              <w:t>Low-Income Sector</w:t>
            </w:r>
          </w:p>
        </w:tc>
      </w:tr>
      <w:tr w:rsidR="00A874AC" w:rsidRPr="00CB2503" w:rsidTr="00CB2503">
        <w:trPr>
          <w:trHeight w:val="490"/>
        </w:trPr>
        <w:tc>
          <w:tcPr>
            <w:tcW w:w="780" w:type="pct"/>
            <w:shd w:val="clear" w:color="auto" w:fill="auto"/>
          </w:tcPr>
          <w:p w:rsidR="00661E10" w:rsidRPr="00CB2503" w:rsidRDefault="00661E10" w:rsidP="00661E10">
            <w:pPr>
              <w:jc w:val="left"/>
              <w:rPr>
                <w:i/>
                <w:color w:val="000000"/>
                <w:sz w:val="19"/>
                <w:szCs w:val="19"/>
              </w:rPr>
            </w:pPr>
            <w:r w:rsidRPr="00CB2503">
              <w:rPr>
                <w:sz w:val="19"/>
                <w:szCs w:val="19"/>
              </w:rPr>
              <w:t>Duquesne</w:t>
            </w:r>
          </w:p>
        </w:tc>
        <w:tc>
          <w:tcPr>
            <w:tcW w:w="1752" w:type="pct"/>
            <w:shd w:val="clear" w:color="auto" w:fill="D2EAF1"/>
            <w:noWrap/>
          </w:tcPr>
          <w:p w:rsidR="00661E10" w:rsidRPr="00CB2503" w:rsidRDefault="00661E10" w:rsidP="00661E10">
            <w:pPr>
              <w:jc w:val="left"/>
              <w:rPr>
                <w:b/>
                <w:bCs/>
                <w:color w:val="000000"/>
                <w:sz w:val="19"/>
                <w:szCs w:val="19"/>
              </w:rPr>
            </w:pPr>
            <w:r w:rsidRPr="00CB2503">
              <w:rPr>
                <w:sz w:val="19"/>
                <w:szCs w:val="19"/>
              </w:rPr>
              <w:t>Low-Income Energy Efficiency Program (LIEEP)</w:t>
            </w:r>
          </w:p>
        </w:tc>
        <w:tc>
          <w:tcPr>
            <w:tcW w:w="635" w:type="pct"/>
            <w:shd w:val="clear" w:color="auto" w:fill="D2EAF1"/>
            <w:noWrap/>
          </w:tcPr>
          <w:p w:rsidR="00661E10" w:rsidRPr="00CB2503" w:rsidRDefault="00661E10" w:rsidP="00661E10">
            <w:pPr>
              <w:jc w:val="center"/>
              <w:rPr>
                <w:b/>
                <w:bCs/>
                <w:color w:val="000000"/>
                <w:sz w:val="19"/>
                <w:szCs w:val="19"/>
              </w:rPr>
            </w:pPr>
            <w:r w:rsidRPr="00CB2503">
              <w:rPr>
                <w:sz w:val="19"/>
                <w:szCs w:val="19"/>
              </w:rPr>
              <w:t>0.26</w:t>
            </w:r>
          </w:p>
        </w:tc>
        <w:tc>
          <w:tcPr>
            <w:tcW w:w="675" w:type="pct"/>
            <w:shd w:val="clear" w:color="auto" w:fill="D2EAF1"/>
            <w:noWrap/>
          </w:tcPr>
          <w:p w:rsidR="00661E10" w:rsidRPr="00CB2503" w:rsidRDefault="00661E10" w:rsidP="00661E10">
            <w:pPr>
              <w:jc w:val="center"/>
              <w:rPr>
                <w:b/>
                <w:bCs/>
                <w:color w:val="000000"/>
                <w:sz w:val="19"/>
                <w:szCs w:val="19"/>
              </w:rPr>
            </w:pPr>
            <w:r w:rsidRPr="00CB2503">
              <w:rPr>
                <w:sz w:val="19"/>
                <w:szCs w:val="19"/>
              </w:rPr>
              <w:t>0.10</w:t>
            </w:r>
            <w:r w:rsidRPr="00CB2503">
              <w:rPr>
                <w:sz w:val="19"/>
                <w:szCs w:val="19"/>
                <w:vertAlign w:val="superscript"/>
              </w:rPr>
              <w:t>[c]</w:t>
            </w:r>
          </w:p>
        </w:tc>
        <w:tc>
          <w:tcPr>
            <w:tcW w:w="574" w:type="pct"/>
            <w:shd w:val="clear" w:color="auto" w:fill="D2EAF1"/>
            <w:noWrap/>
          </w:tcPr>
          <w:p w:rsidR="00661E10" w:rsidRPr="00CB2503" w:rsidRDefault="00661E10" w:rsidP="00661E10">
            <w:pPr>
              <w:jc w:val="center"/>
              <w:rPr>
                <w:b/>
                <w:bCs/>
                <w:color w:val="000000"/>
                <w:sz w:val="19"/>
                <w:szCs w:val="19"/>
              </w:rPr>
            </w:pPr>
            <w:r w:rsidRPr="00CB2503">
              <w:rPr>
                <w:sz w:val="19"/>
                <w:szCs w:val="19"/>
              </w:rPr>
              <w:t>0.83</w:t>
            </w:r>
            <w:r w:rsidRPr="00CB2503">
              <w:rPr>
                <w:sz w:val="19"/>
                <w:szCs w:val="19"/>
                <w:vertAlign w:val="superscript"/>
              </w:rPr>
              <w:t>[c]</w:t>
            </w:r>
          </w:p>
        </w:tc>
        <w:tc>
          <w:tcPr>
            <w:tcW w:w="584" w:type="pct"/>
            <w:shd w:val="clear" w:color="auto" w:fill="D2EAF1"/>
          </w:tcPr>
          <w:p w:rsidR="00661E10" w:rsidRPr="00CB2503" w:rsidRDefault="00F366C8" w:rsidP="00F366C8">
            <w:pPr>
              <w:jc w:val="center"/>
              <w:rPr>
                <w:b/>
                <w:bCs/>
                <w:color w:val="000000"/>
                <w:sz w:val="19"/>
                <w:szCs w:val="19"/>
                <w:vertAlign w:val="superscript"/>
              </w:rPr>
            </w:pPr>
            <w:r w:rsidRPr="00CB2503">
              <w:rPr>
                <w:sz w:val="19"/>
                <w:szCs w:val="19"/>
              </w:rPr>
              <w:t>162</w:t>
            </w:r>
            <w:r w:rsidR="00661E10" w:rsidRPr="00CB2503">
              <w:rPr>
                <w:sz w:val="19"/>
                <w:szCs w:val="19"/>
                <w:vertAlign w:val="superscript"/>
              </w:rPr>
              <w:t>[c]</w:t>
            </w:r>
          </w:p>
        </w:tc>
      </w:tr>
      <w:tr w:rsidR="00A874AC" w:rsidRPr="00CB2503" w:rsidTr="00CB2503">
        <w:trPr>
          <w:trHeight w:val="490"/>
        </w:trPr>
        <w:tc>
          <w:tcPr>
            <w:tcW w:w="780" w:type="pct"/>
            <w:shd w:val="clear" w:color="auto" w:fill="D2EAF1"/>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Med-Ed</w:t>
            </w:r>
          </w:p>
        </w:tc>
        <w:tc>
          <w:tcPr>
            <w:tcW w:w="1752" w:type="pct"/>
            <w:shd w:val="clear" w:color="auto" w:fill="auto"/>
            <w:noWrap/>
          </w:tcPr>
          <w:p w:rsidR="00661E10" w:rsidRPr="00CB2503" w:rsidRDefault="00661E10" w:rsidP="00661E10">
            <w:pPr>
              <w:jc w:val="left"/>
              <w:rPr>
                <w:sz w:val="19"/>
                <w:szCs w:val="19"/>
              </w:rPr>
            </w:pPr>
            <w:r w:rsidRPr="00CB2503">
              <w:rPr>
                <w:sz w:val="19"/>
                <w:szCs w:val="19"/>
              </w:rPr>
              <w:t>Low-Income</w:t>
            </w:r>
          </w:p>
        </w:tc>
        <w:tc>
          <w:tcPr>
            <w:tcW w:w="63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0.33</w:t>
            </w:r>
          </w:p>
        </w:tc>
        <w:tc>
          <w:tcPr>
            <w:tcW w:w="67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0.16</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0.83</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43</w:t>
            </w:r>
          </w:p>
        </w:tc>
      </w:tr>
      <w:tr w:rsidR="00A874AC" w:rsidRPr="00CB2503" w:rsidTr="00CB2503">
        <w:trPr>
          <w:trHeight w:val="490"/>
        </w:trPr>
        <w:tc>
          <w:tcPr>
            <w:tcW w:w="780" w:type="pct"/>
            <w:shd w:val="clear" w:color="auto" w:fill="auto"/>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Penelec</w:t>
            </w:r>
          </w:p>
        </w:tc>
        <w:tc>
          <w:tcPr>
            <w:tcW w:w="1752" w:type="pct"/>
            <w:shd w:val="clear" w:color="auto" w:fill="D2EAF1"/>
            <w:noWrap/>
          </w:tcPr>
          <w:p w:rsidR="00661E10" w:rsidRPr="00CB2503" w:rsidRDefault="00661E10" w:rsidP="00661E10">
            <w:pPr>
              <w:jc w:val="left"/>
              <w:rPr>
                <w:sz w:val="19"/>
                <w:szCs w:val="19"/>
              </w:rPr>
            </w:pPr>
            <w:r w:rsidRPr="00CB2503">
              <w:rPr>
                <w:sz w:val="19"/>
                <w:szCs w:val="19"/>
              </w:rPr>
              <w:t>Low-Income</w:t>
            </w:r>
          </w:p>
        </w:tc>
        <w:tc>
          <w:tcPr>
            <w:tcW w:w="635" w:type="pct"/>
            <w:shd w:val="clear" w:color="auto" w:fill="D2EAF1"/>
            <w:noWrap/>
            <w:vAlign w:val="center"/>
          </w:tcPr>
          <w:p w:rsidR="00661E10" w:rsidRPr="00CB2503" w:rsidRDefault="00661E10" w:rsidP="00661E10">
            <w:pPr>
              <w:jc w:val="center"/>
              <w:rPr>
                <w:bCs/>
                <w:color w:val="000000"/>
                <w:sz w:val="19"/>
                <w:szCs w:val="19"/>
              </w:rPr>
            </w:pPr>
            <w:r w:rsidRPr="00CB2503">
              <w:rPr>
                <w:bCs/>
                <w:color w:val="000000"/>
                <w:sz w:val="19"/>
                <w:szCs w:val="19"/>
              </w:rPr>
              <w:t>0.26</w:t>
            </w:r>
          </w:p>
        </w:tc>
        <w:tc>
          <w:tcPr>
            <w:tcW w:w="675" w:type="pct"/>
            <w:shd w:val="clear" w:color="auto" w:fill="D2EAF1"/>
            <w:noWrap/>
            <w:vAlign w:val="center"/>
          </w:tcPr>
          <w:p w:rsidR="00661E10" w:rsidRPr="00CB2503" w:rsidRDefault="00661E10" w:rsidP="00661E10">
            <w:pPr>
              <w:jc w:val="center"/>
              <w:rPr>
                <w:bCs/>
                <w:color w:val="000000"/>
                <w:sz w:val="19"/>
                <w:szCs w:val="19"/>
              </w:rPr>
            </w:pPr>
            <w:r w:rsidRPr="00CB2503">
              <w:rPr>
                <w:bCs/>
                <w:color w:val="000000"/>
                <w:sz w:val="19"/>
                <w:szCs w:val="19"/>
              </w:rPr>
              <w:t>0.09</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bCs/>
                <w:color w:val="000000"/>
                <w:sz w:val="19"/>
                <w:szCs w:val="19"/>
              </w:rPr>
              <w:t>0.82</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bCs/>
                <w:color w:val="000000"/>
                <w:sz w:val="19"/>
                <w:szCs w:val="19"/>
              </w:rPr>
              <w:t>44</w:t>
            </w:r>
          </w:p>
        </w:tc>
      </w:tr>
      <w:tr w:rsidR="00A874AC" w:rsidRPr="00CB2503" w:rsidTr="00CB2503">
        <w:trPr>
          <w:trHeight w:val="490"/>
        </w:trPr>
        <w:tc>
          <w:tcPr>
            <w:tcW w:w="780" w:type="pct"/>
            <w:shd w:val="clear" w:color="auto" w:fill="D2EAF1"/>
          </w:tcPr>
          <w:p w:rsidR="00661E10" w:rsidRPr="00CB2503" w:rsidRDefault="00661E10" w:rsidP="008D7254">
            <w:pPr>
              <w:jc w:val="left"/>
              <w:rPr>
                <w:color w:val="000000"/>
                <w:sz w:val="19"/>
                <w:szCs w:val="19"/>
              </w:rPr>
            </w:pPr>
            <w:r w:rsidRPr="00CB2503">
              <w:rPr>
                <w:sz w:val="19"/>
                <w:szCs w:val="19"/>
              </w:rPr>
              <w:t xml:space="preserve">FE: </w:t>
            </w:r>
            <w:r w:rsidRPr="00CB2503">
              <w:rPr>
                <w:color w:val="000000"/>
                <w:sz w:val="19"/>
                <w:szCs w:val="19"/>
              </w:rPr>
              <w:t>Penn Power</w:t>
            </w:r>
          </w:p>
        </w:tc>
        <w:tc>
          <w:tcPr>
            <w:tcW w:w="1752" w:type="pct"/>
            <w:shd w:val="clear" w:color="auto" w:fill="auto"/>
            <w:noWrap/>
          </w:tcPr>
          <w:p w:rsidR="00661E10" w:rsidRPr="00CB2503" w:rsidRDefault="00661E10" w:rsidP="00661E10">
            <w:pPr>
              <w:jc w:val="left"/>
              <w:rPr>
                <w:sz w:val="19"/>
                <w:szCs w:val="19"/>
              </w:rPr>
            </w:pPr>
            <w:r w:rsidRPr="00CB2503">
              <w:rPr>
                <w:sz w:val="19"/>
                <w:szCs w:val="19"/>
              </w:rPr>
              <w:t>Low-Income</w:t>
            </w:r>
          </w:p>
        </w:tc>
        <w:tc>
          <w:tcPr>
            <w:tcW w:w="63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0.28</w:t>
            </w:r>
          </w:p>
        </w:tc>
        <w:tc>
          <w:tcPr>
            <w:tcW w:w="67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0.17</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0.89</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46</w:t>
            </w:r>
          </w:p>
        </w:tc>
      </w:tr>
      <w:tr w:rsidR="00A874AC" w:rsidRPr="00CB2503" w:rsidTr="00CB2503">
        <w:trPr>
          <w:trHeight w:val="490"/>
        </w:trPr>
        <w:tc>
          <w:tcPr>
            <w:tcW w:w="780" w:type="pct"/>
            <w:shd w:val="clear" w:color="auto" w:fill="auto"/>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West Penn</w:t>
            </w:r>
          </w:p>
        </w:tc>
        <w:tc>
          <w:tcPr>
            <w:tcW w:w="1752" w:type="pct"/>
            <w:shd w:val="clear" w:color="auto" w:fill="D2EAF1"/>
            <w:noWrap/>
          </w:tcPr>
          <w:p w:rsidR="00661E10" w:rsidRPr="00CB2503" w:rsidRDefault="00661E10" w:rsidP="00661E10">
            <w:pPr>
              <w:jc w:val="left"/>
              <w:rPr>
                <w:sz w:val="19"/>
                <w:szCs w:val="19"/>
              </w:rPr>
            </w:pPr>
            <w:r w:rsidRPr="00CB2503">
              <w:rPr>
                <w:sz w:val="19"/>
                <w:szCs w:val="19"/>
              </w:rPr>
              <w:t>Low-Income</w:t>
            </w:r>
          </w:p>
        </w:tc>
        <w:tc>
          <w:tcPr>
            <w:tcW w:w="635" w:type="pct"/>
            <w:shd w:val="clear" w:color="auto" w:fill="D2EAF1"/>
            <w:noWrap/>
            <w:vAlign w:val="center"/>
          </w:tcPr>
          <w:p w:rsidR="00661E10" w:rsidRPr="00CB2503" w:rsidRDefault="00661E10" w:rsidP="00661E10">
            <w:pPr>
              <w:jc w:val="center"/>
              <w:rPr>
                <w:bCs/>
                <w:color w:val="000000"/>
                <w:sz w:val="19"/>
                <w:szCs w:val="19"/>
              </w:rPr>
            </w:pPr>
            <w:r w:rsidRPr="00CB2503">
              <w:rPr>
                <w:sz w:val="19"/>
                <w:szCs w:val="19"/>
              </w:rPr>
              <w:t>0.27</w:t>
            </w:r>
          </w:p>
        </w:tc>
        <w:tc>
          <w:tcPr>
            <w:tcW w:w="675" w:type="pct"/>
            <w:shd w:val="clear" w:color="auto" w:fill="D2EAF1"/>
            <w:noWrap/>
            <w:vAlign w:val="center"/>
          </w:tcPr>
          <w:p w:rsidR="00661E10" w:rsidRPr="00CB2503" w:rsidRDefault="00661E10" w:rsidP="00661E10">
            <w:pPr>
              <w:jc w:val="center"/>
              <w:rPr>
                <w:bCs/>
                <w:color w:val="000000"/>
                <w:sz w:val="19"/>
                <w:szCs w:val="19"/>
              </w:rPr>
            </w:pPr>
            <w:r w:rsidRPr="00CB2503">
              <w:rPr>
                <w:sz w:val="19"/>
                <w:szCs w:val="19"/>
              </w:rPr>
              <w:t>0.17</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0.90</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46</w:t>
            </w:r>
          </w:p>
        </w:tc>
      </w:tr>
      <w:tr w:rsidR="00A874AC" w:rsidRPr="00CB2503" w:rsidTr="00CB2503">
        <w:trPr>
          <w:trHeight w:val="490"/>
        </w:trPr>
        <w:tc>
          <w:tcPr>
            <w:tcW w:w="780" w:type="pct"/>
            <w:shd w:val="clear" w:color="auto" w:fill="D2EAF1"/>
          </w:tcPr>
          <w:p w:rsidR="00661E10" w:rsidRPr="00CB2503" w:rsidRDefault="00661E10" w:rsidP="00661E10">
            <w:pPr>
              <w:jc w:val="left"/>
              <w:rPr>
                <w:i/>
                <w:color w:val="000000"/>
                <w:sz w:val="19"/>
                <w:szCs w:val="19"/>
              </w:rPr>
            </w:pPr>
            <w:r w:rsidRPr="00CB2503">
              <w:rPr>
                <w:color w:val="000000"/>
                <w:sz w:val="19"/>
                <w:szCs w:val="19"/>
              </w:rPr>
              <w:t>PECO</w:t>
            </w:r>
          </w:p>
        </w:tc>
        <w:tc>
          <w:tcPr>
            <w:tcW w:w="1752" w:type="pct"/>
            <w:shd w:val="clear" w:color="auto" w:fill="auto"/>
            <w:noWrap/>
            <w:vAlign w:val="center"/>
          </w:tcPr>
          <w:p w:rsidR="00661E10" w:rsidRPr="00CB2503" w:rsidRDefault="00661E10" w:rsidP="00661E10">
            <w:pPr>
              <w:jc w:val="left"/>
              <w:rPr>
                <w:b/>
                <w:bCs/>
                <w:color w:val="000000"/>
                <w:sz w:val="19"/>
                <w:szCs w:val="19"/>
              </w:rPr>
            </w:pPr>
            <w:r w:rsidRPr="00CB2503">
              <w:rPr>
                <w:color w:val="000000"/>
                <w:sz w:val="19"/>
                <w:szCs w:val="19"/>
              </w:rPr>
              <w:t>Low-Income Energy Efficiency Program (LIEEP)</w:t>
            </w:r>
          </w:p>
        </w:tc>
        <w:tc>
          <w:tcPr>
            <w:tcW w:w="63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0.19</w:t>
            </w:r>
          </w:p>
        </w:tc>
        <w:tc>
          <w:tcPr>
            <w:tcW w:w="67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0.81</w:t>
            </w:r>
          </w:p>
        </w:tc>
        <w:tc>
          <w:tcPr>
            <w:tcW w:w="584" w:type="pct"/>
            <w:shd w:val="clear" w:color="auto" w:fill="auto"/>
            <w:vAlign w:val="center"/>
          </w:tcPr>
          <w:p w:rsidR="00661E10" w:rsidRPr="00CB2503" w:rsidRDefault="00661E10" w:rsidP="00661E10">
            <w:pPr>
              <w:jc w:val="center"/>
              <w:rPr>
                <w:bCs/>
                <w:color w:val="000000"/>
                <w:sz w:val="19"/>
                <w:szCs w:val="19"/>
              </w:rPr>
            </w:pPr>
            <w:r w:rsidRPr="00CB2503">
              <w:rPr>
                <w:sz w:val="19"/>
                <w:szCs w:val="19"/>
              </w:rPr>
              <w:t>90</w:t>
            </w:r>
          </w:p>
        </w:tc>
      </w:tr>
      <w:tr w:rsidR="00A874AC" w:rsidRPr="00CB2503" w:rsidTr="00CB2503">
        <w:trPr>
          <w:trHeight w:val="490"/>
        </w:trPr>
        <w:tc>
          <w:tcPr>
            <w:tcW w:w="780" w:type="pct"/>
            <w:vMerge w:val="restart"/>
            <w:shd w:val="clear" w:color="auto" w:fill="auto"/>
          </w:tcPr>
          <w:p w:rsidR="00661E10" w:rsidRPr="00CB2503" w:rsidRDefault="00661E10" w:rsidP="00661E10">
            <w:pPr>
              <w:jc w:val="left"/>
              <w:rPr>
                <w:i/>
                <w:color w:val="000000"/>
                <w:sz w:val="19"/>
                <w:szCs w:val="19"/>
              </w:rPr>
            </w:pPr>
            <w:r w:rsidRPr="00CB2503">
              <w:rPr>
                <w:color w:val="000000"/>
                <w:sz w:val="19"/>
                <w:szCs w:val="19"/>
              </w:rPr>
              <w:t>PPL</w:t>
            </w:r>
          </w:p>
        </w:tc>
        <w:tc>
          <w:tcPr>
            <w:tcW w:w="1752" w:type="pct"/>
            <w:shd w:val="clear" w:color="auto" w:fill="D2EAF1"/>
            <w:noWrap/>
          </w:tcPr>
          <w:p w:rsidR="00661E10" w:rsidRPr="00CB2503" w:rsidRDefault="00661E10" w:rsidP="00661E10">
            <w:pPr>
              <w:jc w:val="left"/>
              <w:rPr>
                <w:b/>
                <w:bCs/>
                <w:color w:val="000000"/>
                <w:sz w:val="19"/>
                <w:szCs w:val="19"/>
              </w:rPr>
            </w:pPr>
            <w:r w:rsidRPr="00CB2503">
              <w:rPr>
                <w:sz w:val="19"/>
                <w:szCs w:val="19"/>
              </w:rPr>
              <w:t>E-Power Wise</w:t>
            </w:r>
            <w:r w:rsidRPr="00CB2503">
              <w:rPr>
                <w:sz w:val="19"/>
                <w:szCs w:val="19"/>
                <w:vertAlign w:val="superscript"/>
              </w:rPr>
              <w:t xml:space="preserve"> </w:t>
            </w:r>
          </w:p>
        </w:tc>
        <w:tc>
          <w:tcPr>
            <w:tcW w:w="635" w:type="pct"/>
            <w:shd w:val="clear" w:color="auto" w:fill="D2EAF1"/>
            <w:noWrap/>
            <w:vAlign w:val="center"/>
          </w:tcPr>
          <w:p w:rsidR="00661E10" w:rsidRPr="00CB2503" w:rsidRDefault="00661E10" w:rsidP="00661E10">
            <w:pPr>
              <w:jc w:val="center"/>
              <w:rPr>
                <w:bCs/>
                <w:color w:val="000000"/>
                <w:sz w:val="19"/>
                <w:szCs w:val="19"/>
              </w:rPr>
            </w:pPr>
            <w:r w:rsidRPr="00CB2503">
              <w:rPr>
                <w:sz w:val="19"/>
                <w:szCs w:val="19"/>
              </w:rPr>
              <w:t>N/A</w:t>
            </w:r>
          </w:p>
        </w:tc>
        <w:tc>
          <w:tcPr>
            <w:tcW w:w="675" w:type="pct"/>
            <w:shd w:val="clear" w:color="auto" w:fill="D2EAF1"/>
            <w:noWrap/>
            <w:vAlign w:val="center"/>
          </w:tcPr>
          <w:p w:rsidR="00661E10" w:rsidRPr="00CB2503" w:rsidRDefault="00661E10" w:rsidP="00661E10">
            <w:pPr>
              <w:jc w:val="center"/>
              <w:rPr>
                <w:bCs/>
                <w:color w:val="000000"/>
                <w:sz w:val="19"/>
                <w:szCs w:val="19"/>
              </w:rPr>
            </w:pPr>
            <w:r w:rsidRPr="00CB2503">
              <w:rPr>
                <w:sz w:val="19"/>
                <w:szCs w:val="19"/>
              </w:rPr>
              <w:t>N/A</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1.00</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Low-Income Energy Efficiency</w:t>
            </w:r>
          </w:p>
          <w:p w:rsidR="00661E10" w:rsidRPr="00CB2503" w:rsidRDefault="00661E10" w:rsidP="00661E10">
            <w:pPr>
              <w:jc w:val="left"/>
              <w:rPr>
                <w:sz w:val="19"/>
                <w:szCs w:val="19"/>
              </w:rPr>
            </w:pPr>
            <w:r w:rsidRPr="00CB2503">
              <w:rPr>
                <w:sz w:val="19"/>
                <w:szCs w:val="19"/>
              </w:rPr>
              <w:t>Behavior &amp; Education</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N/A</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N/A</w:t>
            </w:r>
          </w:p>
        </w:tc>
        <w:tc>
          <w:tcPr>
            <w:tcW w:w="574" w:type="pct"/>
            <w:shd w:val="clear" w:color="auto" w:fill="auto"/>
            <w:noWrap/>
          </w:tcPr>
          <w:p w:rsidR="00661E10" w:rsidRPr="00CB2503" w:rsidRDefault="00661E10" w:rsidP="00661E10">
            <w:pPr>
              <w:jc w:val="center"/>
              <w:rPr>
                <w:sz w:val="19"/>
                <w:szCs w:val="19"/>
              </w:rPr>
            </w:pPr>
            <w:r w:rsidRPr="00CB2503">
              <w:rPr>
                <w:sz w:val="19"/>
                <w:szCs w:val="19"/>
              </w:rPr>
              <w:t>1.00</w:t>
            </w:r>
          </w:p>
        </w:tc>
        <w:tc>
          <w:tcPr>
            <w:tcW w:w="584" w:type="pct"/>
            <w:shd w:val="clear" w:color="auto" w:fill="auto"/>
            <w:vAlign w:val="center"/>
          </w:tcPr>
          <w:p w:rsidR="00661E10" w:rsidRPr="00CB2503" w:rsidRDefault="00661E10" w:rsidP="00661E10">
            <w:pPr>
              <w:jc w:val="center"/>
              <w:rPr>
                <w:sz w:val="19"/>
                <w:szCs w:val="19"/>
              </w:rPr>
            </w:pPr>
            <w:r w:rsidRPr="00CB2503">
              <w:rPr>
                <w:sz w:val="19"/>
                <w:szCs w:val="19"/>
              </w:rPr>
              <w:t>N/A</w:t>
            </w:r>
          </w:p>
        </w:tc>
      </w:tr>
      <w:tr w:rsidR="00A874AC" w:rsidRPr="00CB2503" w:rsidTr="00CB2503">
        <w:trPr>
          <w:trHeight w:val="490"/>
        </w:trPr>
        <w:tc>
          <w:tcPr>
            <w:tcW w:w="780" w:type="pct"/>
            <w:vMerge/>
            <w:shd w:val="clear" w:color="auto" w:fill="auto"/>
          </w:tcPr>
          <w:p w:rsidR="00661E10" w:rsidRPr="00CB2503" w:rsidRDefault="00661E10" w:rsidP="00661E10">
            <w:pPr>
              <w:jc w:val="left"/>
              <w:rPr>
                <w:i/>
                <w:color w:val="000000"/>
                <w:sz w:val="19"/>
                <w:szCs w:val="19"/>
              </w:rPr>
            </w:pPr>
          </w:p>
        </w:tc>
        <w:tc>
          <w:tcPr>
            <w:tcW w:w="1752" w:type="pct"/>
            <w:shd w:val="clear" w:color="auto" w:fill="D2EAF1"/>
            <w:noWrap/>
          </w:tcPr>
          <w:p w:rsidR="00661E10" w:rsidRPr="00CB2503" w:rsidRDefault="00661E10" w:rsidP="00661E10">
            <w:pPr>
              <w:jc w:val="left"/>
              <w:rPr>
                <w:b/>
                <w:bCs/>
                <w:color w:val="000000"/>
                <w:sz w:val="19"/>
                <w:szCs w:val="19"/>
              </w:rPr>
            </w:pPr>
            <w:r w:rsidRPr="00CB2503">
              <w:rPr>
                <w:sz w:val="19"/>
                <w:szCs w:val="19"/>
              </w:rPr>
              <w:t>Low-Income Winter Relief Assistance Program (WRAP)</w:t>
            </w:r>
          </w:p>
        </w:tc>
        <w:tc>
          <w:tcPr>
            <w:tcW w:w="635" w:type="pct"/>
            <w:shd w:val="clear" w:color="auto" w:fill="D2EAF1"/>
            <w:noWrap/>
            <w:vAlign w:val="center"/>
          </w:tcPr>
          <w:p w:rsidR="00661E10" w:rsidRPr="00CB2503" w:rsidRDefault="00661E10" w:rsidP="00661E10">
            <w:pPr>
              <w:jc w:val="center"/>
              <w:rPr>
                <w:bCs/>
                <w:color w:val="000000"/>
                <w:sz w:val="19"/>
                <w:szCs w:val="19"/>
              </w:rPr>
            </w:pPr>
            <w:r w:rsidRPr="00CB2503">
              <w:rPr>
                <w:sz w:val="19"/>
                <w:szCs w:val="19"/>
              </w:rPr>
              <w:t>N/A</w:t>
            </w:r>
          </w:p>
        </w:tc>
        <w:tc>
          <w:tcPr>
            <w:tcW w:w="675" w:type="pct"/>
            <w:shd w:val="clear" w:color="auto" w:fill="D2EAF1"/>
            <w:noWrap/>
            <w:vAlign w:val="center"/>
          </w:tcPr>
          <w:p w:rsidR="00661E10" w:rsidRPr="00CB2503" w:rsidRDefault="00661E10" w:rsidP="00661E10">
            <w:pPr>
              <w:jc w:val="center"/>
              <w:rPr>
                <w:bCs/>
                <w:color w:val="000000"/>
                <w:sz w:val="19"/>
                <w:szCs w:val="19"/>
              </w:rPr>
            </w:pPr>
            <w:r w:rsidRPr="00CB2503">
              <w:rPr>
                <w:sz w:val="19"/>
                <w:szCs w:val="19"/>
              </w:rPr>
              <w:t>N/A</w:t>
            </w:r>
          </w:p>
        </w:tc>
        <w:tc>
          <w:tcPr>
            <w:tcW w:w="574" w:type="pct"/>
            <w:shd w:val="clear" w:color="auto" w:fill="D2EAF1"/>
            <w:noWrap/>
          </w:tcPr>
          <w:p w:rsidR="00661E10" w:rsidRPr="00CB2503" w:rsidRDefault="00661E10" w:rsidP="00661E10">
            <w:pPr>
              <w:jc w:val="center"/>
              <w:rPr>
                <w:b/>
                <w:bCs/>
                <w:color w:val="000000"/>
                <w:sz w:val="19"/>
                <w:szCs w:val="19"/>
              </w:rPr>
            </w:pPr>
            <w:r w:rsidRPr="00CB2503">
              <w:rPr>
                <w:sz w:val="19"/>
                <w:szCs w:val="19"/>
              </w:rPr>
              <w:t>1.00</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E7173E" w:rsidRPr="00CB2503" w:rsidTr="00CB2503">
        <w:trPr>
          <w:trHeight w:val="144"/>
        </w:trPr>
        <w:tc>
          <w:tcPr>
            <w:tcW w:w="5000" w:type="pct"/>
            <w:gridSpan w:val="6"/>
            <w:shd w:val="clear" w:color="auto" w:fill="9C9393"/>
            <w:vAlign w:val="center"/>
            <w:hideMark/>
          </w:tcPr>
          <w:p w:rsidR="00661E10" w:rsidRPr="00CB2503" w:rsidRDefault="00661E10" w:rsidP="00661E10">
            <w:pPr>
              <w:jc w:val="left"/>
              <w:rPr>
                <w:b/>
                <w:bCs/>
                <w:i/>
                <w:color w:val="FFFFFF"/>
                <w:sz w:val="19"/>
                <w:szCs w:val="19"/>
              </w:rPr>
            </w:pPr>
            <w:r w:rsidRPr="00CB2503">
              <w:rPr>
                <w:b/>
                <w:color w:val="FFFFFF"/>
                <w:sz w:val="19"/>
                <w:szCs w:val="19"/>
              </w:rPr>
              <w:t>Non-Residential Sector</w:t>
            </w:r>
          </w:p>
        </w:tc>
      </w:tr>
      <w:tr w:rsidR="00A874AC" w:rsidRPr="00CB2503" w:rsidTr="00CB2503">
        <w:trPr>
          <w:trHeight w:val="490"/>
        </w:trPr>
        <w:tc>
          <w:tcPr>
            <w:tcW w:w="780" w:type="pct"/>
            <w:vMerge w:val="restart"/>
            <w:shd w:val="clear" w:color="auto" w:fill="D2EAF1"/>
          </w:tcPr>
          <w:p w:rsidR="00661E10" w:rsidRPr="00CB2503" w:rsidRDefault="00661E10" w:rsidP="00661E10">
            <w:pPr>
              <w:jc w:val="left"/>
              <w:rPr>
                <w:i/>
                <w:color w:val="000000"/>
                <w:sz w:val="19"/>
                <w:szCs w:val="19"/>
              </w:rPr>
            </w:pPr>
            <w:r w:rsidRPr="00CB2503">
              <w:rPr>
                <w:sz w:val="19"/>
                <w:szCs w:val="19"/>
              </w:rPr>
              <w:t>Duquesne</w:t>
            </w:r>
          </w:p>
        </w:tc>
        <w:tc>
          <w:tcPr>
            <w:tcW w:w="1752" w:type="pct"/>
            <w:shd w:val="clear" w:color="auto" w:fill="auto"/>
            <w:noWrap/>
          </w:tcPr>
          <w:p w:rsidR="00661E10" w:rsidRPr="00CB2503" w:rsidRDefault="00661E10" w:rsidP="00661E10">
            <w:pPr>
              <w:jc w:val="left"/>
              <w:rPr>
                <w:b/>
                <w:bCs/>
                <w:color w:val="000000"/>
                <w:sz w:val="19"/>
                <w:szCs w:val="19"/>
              </w:rPr>
            </w:pPr>
            <w:r w:rsidRPr="00CB2503">
              <w:rPr>
                <w:sz w:val="19"/>
                <w:szCs w:val="19"/>
              </w:rPr>
              <w:t>Commercial Program Group</w:t>
            </w:r>
          </w:p>
        </w:tc>
        <w:tc>
          <w:tcPr>
            <w:tcW w:w="635" w:type="pct"/>
            <w:shd w:val="clear" w:color="auto" w:fill="auto"/>
            <w:noWrap/>
          </w:tcPr>
          <w:p w:rsidR="00661E10" w:rsidRPr="00CB2503" w:rsidRDefault="00661E10" w:rsidP="00661E10">
            <w:pPr>
              <w:jc w:val="center"/>
              <w:rPr>
                <w:b/>
                <w:bCs/>
                <w:sz w:val="19"/>
                <w:szCs w:val="19"/>
              </w:rPr>
            </w:pPr>
            <w:r w:rsidRPr="00CB2503">
              <w:rPr>
                <w:sz w:val="19"/>
                <w:szCs w:val="19"/>
              </w:rPr>
              <w:t>0.33</w:t>
            </w:r>
            <w:r w:rsidR="00F366C8" w:rsidRPr="00CB2503">
              <w:rPr>
                <w:b/>
                <w:sz w:val="19"/>
                <w:szCs w:val="19"/>
                <w:vertAlign w:val="superscript"/>
              </w:rPr>
              <w:t>[d</w:t>
            </w:r>
            <w:r w:rsidRPr="00CB2503">
              <w:rPr>
                <w:b/>
                <w:sz w:val="19"/>
                <w:szCs w:val="19"/>
                <w:vertAlign w:val="superscript"/>
              </w:rPr>
              <w:t>]</w:t>
            </w:r>
          </w:p>
        </w:tc>
        <w:tc>
          <w:tcPr>
            <w:tcW w:w="675" w:type="pct"/>
            <w:shd w:val="clear" w:color="auto" w:fill="auto"/>
            <w:noWrap/>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auto"/>
            <w:noWrap/>
          </w:tcPr>
          <w:p w:rsidR="00661E10" w:rsidRPr="00CB2503" w:rsidRDefault="00661E10" w:rsidP="00661E10">
            <w:pPr>
              <w:jc w:val="center"/>
              <w:rPr>
                <w:b/>
                <w:bCs/>
                <w:color w:val="000000"/>
                <w:sz w:val="19"/>
                <w:szCs w:val="19"/>
              </w:rPr>
            </w:pPr>
            <w:r w:rsidRPr="00CB2503">
              <w:rPr>
                <w:sz w:val="19"/>
                <w:szCs w:val="19"/>
              </w:rPr>
              <w:t>0.67</w:t>
            </w:r>
          </w:p>
        </w:tc>
        <w:tc>
          <w:tcPr>
            <w:tcW w:w="584" w:type="pct"/>
            <w:shd w:val="clear" w:color="auto" w:fill="auto"/>
          </w:tcPr>
          <w:p w:rsidR="00661E10" w:rsidRPr="00CB2503" w:rsidRDefault="00661E10" w:rsidP="00661E10">
            <w:pPr>
              <w:jc w:val="center"/>
              <w:rPr>
                <w:b/>
                <w:bCs/>
                <w:color w:val="000000"/>
                <w:sz w:val="19"/>
                <w:szCs w:val="19"/>
              </w:rPr>
            </w:pPr>
            <w:r w:rsidRPr="00CB2503">
              <w:rPr>
                <w:sz w:val="19"/>
                <w:szCs w:val="19"/>
              </w:rPr>
              <w:t>38</w:t>
            </w:r>
          </w:p>
        </w:tc>
      </w:tr>
      <w:tr w:rsidR="00A874AC" w:rsidRPr="00CB2503" w:rsidTr="00CB2503">
        <w:trPr>
          <w:trHeight w:val="490"/>
        </w:trPr>
        <w:tc>
          <w:tcPr>
            <w:tcW w:w="780" w:type="pct"/>
            <w:vMerge/>
            <w:shd w:val="clear" w:color="auto" w:fill="D2EAF1"/>
          </w:tcPr>
          <w:p w:rsidR="00661E10" w:rsidRPr="00CB2503" w:rsidRDefault="00661E10" w:rsidP="00661E10">
            <w:pPr>
              <w:jc w:val="left"/>
              <w:rPr>
                <w:i/>
                <w:color w:val="000000"/>
                <w:sz w:val="19"/>
                <w:szCs w:val="19"/>
              </w:rPr>
            </w:pPr>
          </w:p>
        </w:tc>
        <w:tc>
          <w:tcPr>
            <w:tcW w:w="1752" w:type="pct"/>
            <w:shd w:val="clear" w:color="auto" w:fill="D2EAF1"/>
            <w:noWrap/>
          </w:tcPr>
          <w:p w:rsidR="00661E10" w:rsidRPr="00CB2503" w:rsidRDefault="00661E10" w:rsidP="00661E10">
            <w:pPr>
              <w:jc w:val="left"/>
              <w:rPr>
                <w:b/>
                <w:bCs/>
                <w:color w:val="000000"/>
                <w:sz w:val="19"/>
                <w:szCs w:val="19"/>
              </w:rPr>
            </w:pPr>
            <w:r w:rsidRPr="00CB2503">
              <w:rPr>
                <w:sz w:val="19"/>
                <w:szCs w:val="19"/>
              </w:rPr>
              <w:t>Industrial Program</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0.32</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0.68</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18</w:t>
            </w:r>
          </w:p>
        </w:tc>
      </w:tr>
      <w:tr w:rsidR="00E7173E" w:rsidRPr="00CB2503" w:rsidTr="00CB2503">
        <w:trPr>
          <w:trHeight w:val="490"/>
        </w:trPr>
        <w:tc>
          <w:tcPr>
            <w:tcW w:w="780" w:type="pct"/>
            <w:vMerge w:val="restart"/>
            <w:shd w:val="clear" w:color="auto" w:fill="auto"/>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Med-Ed</w:t>
            </w:r>
          </w:p>
        </w:tc>
        <w:tc>
          <w:tcPr>
            <w:tcW w:w="1752" w:type="pct"/>
            <w:shd w:val="clear" w:color="auto" w:fill="auto"/>
            <w:noWrap/>
          </w:tcPr>
          <w:p w:rsidR="00661E10" w:rsidRPr="00CB2503" w:rsidRDefault="00661E10" w:rsidP="00661E10">
            <w:pPr>
              <w:jc w:val="left"/>
              <w:rPr>
                <w:bCs/>
                <w:color w:val="000000"/>
                <w:sz w:val="19"/>
                <w:szCs w:val="19"/>
              </w:rPr>
            </w:pPr>
            <w:r w:rsidRPr="00CB2503">
              <w:rPr>
                <w:sz w:val="19"/>
                <w:szCs w:val="19"/>
              </w:rPr>
              <w:t>Small C/I Equipment</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0.45</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0.11</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0.66</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bCs/>
                <w:color w:val="000000"/>
                <w:sz w:val="19"/>
                <w:szCs w:val="19"/>
              </w:rPr>
            </w:pPr>
            <w:r w:rsidRPr="00CB2503">
              <w:rPr>
                <w:sz w:val="19"/>
                <w:szCs w:val="19"/>
              </w:rPr>
              <w:t>Large C/I Equipment</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0.34</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0.05</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0.72</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E7173E"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Small C/I Buildings</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0.32</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0.01</w:t>
            </w:r>
            <w:r w:rsidRPr="00CB2503">
              <w:rPr>
                <w:sz w:val="19"/>
                <w:szCs w:val="19"/>
                <w:vertAlign w:val="superscript"/>
              </w:rPr>
              <w:t>[c]</w:t>
            </w:r>
          </w:p>
        </w:tc>
        <w:tc>
          <w:tcPr>
            <w:tcW w:w="574" w:type="pct"/>
            <w:shd w:val="clear" w:color="auto" w:fill="auto"/>
            <w:noWrap/>
            <w:vAlign w:val="center"/>
          </w:tcPr>
          <w:p w:rsidR="00661E10" w:rsidRPr="00CB2503" w:rsidRDefault="00661E10" w:rsidP="00661E10">
            <w:pPr>
              <w:jc w:val="center"/>
              <w:rPr>
                <w:sz w:val="19"/>
                <w:szCs w:val="19"/>
              </w:rPr>
            </w:pPr>
            <w:r w:rsidRPr="00CB2503">
              <w:rPr>
                <w:sz w:val="19"/>
                <w:szCs w:val="19"/>
              </w:rPr>
              <w:t>0.69</w:t>
            </w:r>
          </w:p>
        </w:tc>
        <w:tc>
          <w:tcPr>
            <w:tcW w:w="584" w:type="pct"/>
            <w:shd w:val="clear" w:color="auto" w:fill="auto"/>
            <w:vAlign w:val="center"/>
          </w:tcPr>
          <w:p w:rsidR="00661E10" w:rsidRPr="00CB2503" w:rsidRDefault="00661E10" w:rsidP="00661E10">
            <w:pPr>
              <w:jc w:val="center"/>
              <w:rPr>
                <w:sz w:val="19"/>
                <w:szCs w:val="19"/>
              </w:rPr>
            </w:pPr>
            <w:r w:rsidRPr="00CB2503">
              <w:rPr>
                <w:sz w:val="19"/>
                <w:szCs w:val="19"/>
              </w:rPr>
              <w:t>122</w:t>
            </w:r>
          </w:p>
        </w:tc>
      </w:tr>
      <w:tr w:rsidR="00A874AC"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Large C/I Buildings</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0.62</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0.39</w:t>
            </w:r>
          </w:p>
        </w:tc>
        <w:tc>
          <w:tcPr>
            <w:tcW w:w="584" w:type="pct"/>
            <w:shd w:val="clear" w:color="auto" w:fill="D2EAF1"/>
            <w:vAlign w:val="center"/>
          </w:tcPr>
          <w:p w:rsidR="00661E10" w:rsidRPr="00CB2503" w:rsidRDefault="00661E10" w:rsidP="00661E10">
            <w:pPr>
              <w:jc w:val="center"/>
              <w:rPr>
                <w:sz w:val="19"/>
                <w:szCs w:val="19"/>
              </w:rPr>
            </w:pPr>
            <w:r w:rsidRPr="00CB2503">
              <w:rPr>
                <w:sz w:val="19"/>
                <w:szCs w:val="19"/>
              </w:rPr>
              <w:t>11</w:t>
            </w:r>
          </w:p>
        </w:tc>
      </w:tr>
      <w:tr w:rsidR="00E7173E"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bCs/>
                <w:color w:val="000000"/>
                <w:sz w:val="19"/>
                <w:szCs w:val="19"/>
              </w:rPr>
            </w:pPr>
            <w:r w:rsidRPr="00CB2503">
              <w:rPr>
                <w:sz w:val="19"/>
                <w:szCs w:val="19"/>
              </w:rPr>
              <w:t>Government and Institutional</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0.38</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0.11</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0.73</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Penelec</w:t>
            </w:r>
          </w:p>
        </w:tc>
        <w:tc>
          <w:tcPr>
            <w:tcW w:w="1752" w:type="pct"/>
            <w:shd w:val="clear" w:color="auto" w:fill="D2EAF1"/>
            <w:noWrap/>
          </w:tcPr>
          <w:p w:rsidR="00661E10" w:rsidRPr="00CB2503" w:rsidRDefault="00661E10" w:rsidP="00661E10">
            <w:pPr>
              <w:jc w:val="left"/>
              <w:rPr>
                <w:bCs/>
                <w:color w:val="000000"/>
                <w:sz w:val="19"/>
                <w:szCs w:val="19"/>
              </w:rPr>
            </w:pPr>
            <w:r w:rsidRPr="00CB2503">
              <w:rPr>
                <w:sz w:val="19"/>
                <w:szCs w:val="19"/>
              </w:rPr>
              <w:t>Small C/I Equipment</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0.38</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0.12</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0.75</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bCs/>
                <w:color w:val="000000"/>
                <w:sz w:val="19"/>
                <w:szCs w:val="19"/>
              </w:rPr>
            </w:pPr>
            <w:r w:rsidRPr="00CB2503">
              <w:rPr>
                <w:sz w:val="19"/>
                <w:szCs w:val="19"/>
              </w:rPr>
              <w:t>Large C/I Equipment</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0.26</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0.07</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0.81</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Small C/I Buildings</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0.36</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0.64</w:t>
            </w:r>
          </w:p>
        </w:tc>
        <w:tc>
          <w:tcPr>
            <w:tcW w:w="584" w:type="pct"/>
            <w:shd w:val="clear" w:color="auto" w:fill="D2EAF1"/>
            <w:vAlign w:val="center"/>
          </w:tcPr>
          <w:p w:rsidR="00661E10" w:rsidRPr="00CB2503" w:rsidRDefault="00661E10" w:rsidP="00661E10">
            <w:pPr>
              <w:jc w:val="center"/>
              <w:rPr>
                <w:sz w:val="19"/>
                <w:szCs w:val="19"/>
              </w:rPr>
            </w:pPr>
            <w:r w:rsidRPr="00CB2503">
              <w:rPr>
                <w:sz w:val="19"/>
                <w:szCs w:val="19"/>
              </w:rPr>
              <w:t>73</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Large C/I Buildings</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0.50</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sz w:val="19"/>
                <w:szCs w:val="19"/>
              </w:rPr>
            </w:pPr>
            <w:r w:rsidRPr="00CB2503">
              <w:rPr>
                <w:sz w:val="19"/>
                <w:szCs w:val="19"/>
              </w:rPr>
              <w:t>0.50</w:t>
            </w:r>
          </w:p>
        </w:tc>
        <w:tc>
          <w:tcPr>
            <w:tcW w:w="584" w:type="pct"/>
            <w:shd w:val="clear" w:color="auto" w:fill="auto"/>
            <w:vAlign w:val="center"/>
          </w:tcPr>
          <w:p w:rsidR="00661E10" w:rsidRPr="00CB2503" w:rsidRDefault="00661E10" w:rsidP="00661E10">
            <w:pPr>
              <w:jc w:val="center"/>
              <w:rPr>
                <w:sz w:val="19"/>
                <w:szCs w:val="19"/>
              </w:rPr>
            </w:pPr>
            <w:r w:rsidRPr="00CB2503">
              <w:rPr>
                <w:sz w:val="19"/>
                <w:szCs w:val="19"/>
              </w:rPr>
              <w:t>5</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bCs/>
                <w:color w:val="000000"/>
                <w:sz w:val="19"/>
                <w:szCs w:val="19"/>
              </w:rPr>
            </w:pPr>
            <w:r w:rsidRPr="00CB2503">
              <w:rPr>
                <w:sz w:val="19"/>
                <w:szCs w:val="19"/>
              </w:rPr>
              <w:t>Government and Institutional</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0.38</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0.11</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0.73</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E7173E" w:rsidRPr="00CB2503" w:rsidTr="00CB2503">
        <w:trPr>
          <w:trHeight w:val="490"/>
        </w:trPr>
        <w:tc>
          <w:tcPr>
            <w:tcW w:w="780" w:type="pct"/>
            <w:vMerge w:val="restart"/>
            <w:shd w:val="clear" w:color="auto" w:fill="auto"/>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Penn Power</w:t>
            </w:r>
          </w:p>
        </w:tc>
        <w:tc>
          <w:tcPr>
            <w:tcW w:w="1752" w:type="pct"/>
            <w:shd w:val="clear" w:color="auto" w:fill="auto"/>
            <w:noWrap/>
          </w:tcPr>
          <w:p w:rsidR="00661E10" w:rsidRPr="00CB2503" w:rsidRDefault="00661E10" w:rsidP="00661E10">
            <w:pPr>
              <w:jc w:val="left"/>
              <w:rPr>
                <w:bCs/>
                <w:color w:val="000000"/>
                <w:sz w:val="19"/>
                <w:szCs w:val="19"/>
              </w:rPr>
            </w:pPr>
            <w:r w:rsidRPr="00CB2503">
              <w:rPr>
                <w:sz w:val="19"/>
                <w:szCs w:val="19"/>
              </w:rPr>
              <w:t>Small C/I Equipment</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0.68</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0.13</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0.44</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bCs/>
                <w:color w:val="000000"/>
                <w:sz w:val="19"/>
                <w:szCs w:val="19"/>
              </w:rPr>
            </w:pPr>
            <w:r w:rsidRPr="00CB2503">
              <w:rPr>
                <w:sz w:val="19"/>
                <w:szCs w:val="19"/>
              </w:rPr>
              <w:t>Large C/I Equipment</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0.33</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0.11</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0.78</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E7173E"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Small C/I Buildings</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0.55</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sz w:val="19"/>
                <w:szCs w:val="19"/>
              </w:rPr>
            </w:pPr>
            <w:r w:rsidRPr="00CB2503">
              <w:rPr>
                <w:sz w:val="19"/>
                <w:szCs w:val="19"/>
              </w:rPr>
              <w:t>0.45</w:t>
            </w:r>
          </w:p>
        </w:tc>
        <w:tc>
          <w:tcPr>
            <w:tcW w:w="584" w:type="pct"/>
            <w:shd w:val="clear" w:color="auto" w:fill="auto"/>
            <w:vAlign w:val="center"/>
          </w:tcPr>
          <w:p w:rsidR="00661E10" w:rsidRPr="00CB2503" w:rsidRDefault="00661E10" w:rsidP="00661E10">
            <w:pPr>
              <w:jc w:val="center"/>
              <w:rPr>
                <w:sz w:val="19"/>
                <w:szCs w:val="19"/>
              </w:rPr>
            </w:pPr>
            <w:r w:rsidRPr="00CB2503">
              <w:rPr>
                <w:sz w:val="19"/>
                <w:szCs w:val="19"/>
              </w:rPr>
              <w:t>16</w:t>
            </w:r>
          </w:p>
        </w:tc>
      </w:tr>
      <w:tr w:rsidR="00A874AC"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Large C/I Buildings</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0.50</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0.50</w:t>
            </w:r>
          </w:p>
        </w:tc>
        <w:tc>
          <w:tcPr>
            <w:tcW w:w="584" w:type="pct"/>
            <w:shd w:val="clear" w:color="auto" w:fill="D2EAF1"/>
            <w:vAlign w:val="center"/>
          </w:tcPr>
          <w:p w:rsidR="00661E10" w:rsidRPr="00CB2503" w:rsidRDefault="00661E10" w:rsidP="00661E10">
            <w:pPr>
              <w:jc w:val="center"/>
              <w:rPr>
                <w:sz w:val="19"/>
                <w:szCs w:val="19"/>
              </w:rPr>
            </w:pPr>
            <w:r w:rsidRPr="00CB2503">
              <w:rPr>
                <w:sz w:val="19"/>
                <w:szCs w:val="19"/>
              </w:rPr>
              <w:t>1</w:t>
            </w:r>
          </w:p>
        </w:tc>
      </w:tr>
      <w:tr w:rsidR="00E7173E"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bCs/>
                <w:color w:val="000000"/>
                <w:sz w:val="19"/>
                <w:szCs w:val="19"/>
              </w:rPr>
            </w:pPr>
            <w:r w:rsidRPr="00CB2503">
              <w:rPr>
                <w:sz w:val="19"/>
                <w:szCs w:val="19"/>
              </w:rPr>
              <w:t>Government and Institutional</w:t>
            </w:r>
          </w:p>
        </w:tc>
        <w:tc>
          <w:tcPr>
            <w:tcW w:w="63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0.38</w:t>
            </w:r>
          </w:p>
        </w:tc>
        <w:tc>
          <w:tcPr>
            <w:tcW w:w="67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0.11</w:t>
            </w:r>
          </w:p>
        </w:tc>
        <w:tc>
          <w:tcPr>
            <w:tcW w:w="574"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0.73</w:t>
            </w:r>
          </w:p>
        </w:tc>
        <w:tc>
          <w:tcPr>
            <w:tcW w:w="584" w:type="pct"/>
            <w:shd w:val="clear" w:color="auto" w:fill="auto"/>
            <w:vAlign w:val="center"/>
          </w:tcPr>
          <w:p w:rsidR="00661E10" w:rsidRPr="00CB2503" w:rsidRDefault="00661E10" w:rsidP="00661E10">
            <w:pPr>
              <w:jc w:val="center"/>
              <w:rPr>
                <w:bCs/>
                <w:color w:val="000000"/>
                <w:sz w:val="19"/>
                <w:szCs w:val="19"/>
              </w:rPr>
            </w:pPr>
            <w:r w:rsidRPr="00CB2503">
              <w:rPr>
                <w:sz w:val="19"/>
                <w:szCs w:val="19"/>
              </w:rPr>
              <w:t>N/A</w:t>
            </w:r>
          </w:p>
        </w:tc>
      </w:tr>
      <w:tr w:rsidR="00A874AC" w:rsidRPr="00CB2503" w:rsidTr="00CB2503">
        <w:trPr>
          <w:trHeight w:val="490"/>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 xml:space="preserve">FE: </w:t>
            </w:r>
            <w:r w:rsidRPr="00CB2503">
              <w:rPr>
                <w:color w:val="000000"/>
                <w:sz w:val="19"/>
                <w:szCs w:val="19"/>
              </w:rPr>
              <w:t>West Penn</w:t>
            </w:r>
          </w:p>
        </w:tc>
        <w:tc>
          <w:tcPr>
            <w:tcW w:w="1752" w:type="pct"/>
            <w:shd w:val="clear" w:color="auto" w:fill="D2EAF1"/>
            <w:noWrap/>
          </w:tcPr>
          <w:p w:rsidR="00661E10" w:rsidRPr="00CB2503" w:rsidRDefault="00661E10" w:rsidP="00661E10">
            <w:pPr>
              <w:jc w:val="left"/>
              <w:rPr>
                <w:bCs/>
                <w:color w:val="000000"/>
                <w:sz w:val="19"/>
                <w:szCs w:val="19"/>
              </w:rPr>
            </w:pPr>
            <w:r w:rsidRPr="00CB2503">
              <w:rPr>
                <w:sz w:val="19"/>
                <w:szCs w:val="19"/>
              </w:rPr>
              <w:t>Small C/I Equipment</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0.39</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0.10</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0.72</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bCs/>
                <w:color w:val="000000"/>
                <w:sz w:val="19"/>
                <w:szCs w:val="19"/>
              </w:rPr>
            </w:pPr>
            <w:r w:rsidRPr="00CB2503">
              <w:rPr>
                <w:sz w:val="19"/>
                <w:szCs w:val="19"/>
              </w:rPr>
              <w:t>Large C/I Equipment</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0.35</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0.08</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0.73</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Small C/I Buildings</w:t>
            </w:r>
          </w:p>
        </w:tc>
        <w:tc>
          <w:tcPr>
            <w:tcW w:w="635" w:type="pct"/>
            <w:shd w:val="clear" w:color="auto" w:fill="D2EAF1"/>
            <w:noWrap/>
            <w:vAlign w:val="center"/>
          </w:tcPr>
          <w:p w:rsidR="00661E10" w:rsidRPr="00CB2503" w:rsidRDefault="00661E10" w:rsidP="00661E10">
            <w:pPr>
              <w:jc w:val="center"/>
              <w:rPr>
                <w:b/>
                <w:sz w:val="19"/>
                <w:szCs w:val="19"/>
              </w:rPr>
            </w:pPr>
            <w:r w:rsidRPr="00CB2503">
              <w:rPr>
                <w:sz w:val="19"/>
                <w:szCs w:val="19"/>
              </w:rPr>
              <w:t>0.40</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0.60</w:t>
            </w:r>
          </w:p>
        </w:tc>
        <w:tc>
          <w:tcPr>
            <w:tcW w:w="584" w:type="pct"/>
            <w:shd w:val="clear" w:color="auto" w:fill="D2EAF1"/>
            <w:vAlign w:val="center"/>
          </w:tcPr>
          <w:p w:rsidR="00661E10" w:rsidRPr="00CB2503" w:rsidRDefault="00661E10" w:rsidP="00661E10">
            <w:pPr>
              <w:jc w:val="center"/>
              <w:rPr>
                <w:sz w:val="19"/>
                <w:szCs w:val="19"/>
              </w:rPr>
            </w:pPr>
            <w:r w:rsidRPr="00CB2503">
              <w:rPr>
                <w:sz w:val="19"/>
                <w:szCs w:val="19"/>
              </w:rPr>
              <w:t>83</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sz w:val="19"/>
                <w:szCs w:val="19"/>
              </w:rPr>
            </w:pPr>
            <w:r w:rsidRPr="00CB2503">
              <w:rPr>
                <w:sz w:val="19"/>
                <w:szCs w:val="19"/>
              </w:rPr>
              <w:t>Large C/I Buildings</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0.52</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sz w:val="19"/>
                <w:szCs w:val="19"/>
              </w:rPr>
            </w:pPr>
            <w:r w:rsidRPr="00CB2503">
              <w:rPr>
                <w:sz w:val="19"/>
                <w:szCs w:val="19"/>
              </w:rPr>
              <w:t>0.48</w:t>
            </w:r>
          </w:p>
        </w:tc>
        <w:tc>
          <w:tcPr>
            <w:tcW w:w="584" w:type="pct"/>
            <w:shd w:val="clear" w:color="auto" w:fill="auto"/>
            <w:vAlign w:val="center"/>
          </w:tcPr>
          <w:p w:rsidR="00661E10" w:rsidRPr="00CB2503" w:rsidRDefault="00661E10" w:rsidP="00661E10">
            <w:pPr>
              <w:jc w:val="center"/>
              <w:rPr>
                <w:sz w:val="19"/>
                <w:szCs w:val="19"/>
              </w:rPr>
            </w:pPr>
            <w:r w:rsidRPr="00CB2503">
              <w:rPr>
                <w:sz w:val="19"/>
                <w:szCs w:val="19"/>
              </w:rPr>
              <w:t>9</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bCs/>
                <w:color w:val="000000"/>
                <w:sz w:val="19"/>
                <w:szCs w:val="19"/>
              </w:rPr>
            </w:pPr>
            <w:r w:rsidRPr="00CB2503">
              <w:rPr>
                <w:sz w:val="19"/>
                <w:szCs w:val="19"/>
              </w:rPr>
              <w:t>Government and Institutional</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0.38</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0.11</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0.73</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N/A</w:t>
            </w:r>
          </w:p>
        </w:tc>
      </w:tr>
      <w:tr w:rsidR="00E7173E" w:rsidRPr="00CB2503" w:rsidTr="00CB2503">
        <w:trPr>
          <w:trHeight w:val="490"/>
        </w:trPr>
        <w:tc>
          <w:tcPr>
            <w:tcW w:w="780" w:type="pct"/>
            <w:vMerge w:val="restart"/>
            <w:shd w:val="clear" w:color="auto" w:fill="auto"/>
          </w:tcPr>
          <w:p w:rsidR="00661E10" w:rsidRPr="00CB2503" w:rsidRDefault="00661E10" w:rsidP="00661E10">
            <w:pPr>
              <w:jc w:val="left"/>
              <w:rPr>
                <w:color w:val="000000"/>
                <w:sz w:val="19"/>
                <w:szCs w:val="19"/>
              </w:rPr>
            </w:pPr>
            <w:r w:rsidRPr="00CB2503">
              <w:rPr>
                <w:color w:val="000000"/>
                <w:sz w:val="19"/>
                <w:szCs w:val="19"/>
              </w:rPr>
              <w:t>PECO</w:t>
            </w:r>
          </w:p>
        </w:tc>
        <w:tc>
          <w:tcPr>
            <w:tcW w:w="1752" w:type="pct"/>
            <w:shd w:val="clear" w:color="auto" w:fill="auto"/>
            <w:noWrap/>
          </w:tcPr>
          <w:p w:rsidR="00661E10" w:rsidRPr="00CB2503" w:rsidRDefault="00661E10" w:rsidP="00661E10">
            <w:pPr>
              <w:jc w:val="left"/>
              <w:rPr>
                <w:b/>
                <w:bCs/>
                <w:color w:val="000000"/>
                <w:sz w:val="19"/>
                <w:szCs w:val="19"/>
              </w:rPr>
            </w:pPr>
            <w:r w:rsidRPr="00CB2503">
              <w:rPr>
                <w:sz w:val="19"/>
                <w:szCs w:val="19"/>
              </w:rPr>
              <w:t>Smart Equipment Incentives (SEI) – C/I</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0.37</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0.01</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0.64</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51</w:t>
            </w:r>
          </w:p>
        </w:tc>
      </w:tr>
      <w:tr w:rsidR="00A874AC"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b/>
                <w:bCs/>
                <w:color w:val="000000"/>
                <w:sz w:val="19"/>
                <w:szCs w:val="19"/>
              </w:rPr>
            </w:pPr>
            <w:r w:rsidRPr="00CB2503">
              <w:rPr>
                <w:sz w:val="19"/>
                <w:szCs w:val="19"/>
              </w:rPr>
              <w:t>Smart Equipment Incentives (SEI) – GNI</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0.58</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0.01</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0.43</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35</w:t>
            </w:r>
          </w:p>
        </w:tc>
      </w:tr>
      <w:tr w:rsidR="00E7173E"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b/>
                <w:bCs/>
                <w:color w:val="000000"/>
                <w:sz w:val="19"/>
                <w:szCs w:val="19"/>
              </w:rPr>
            </w:pPr>
            <w:r w:rsidRPr="00CB2503">
              <w:rPr>
                <w:sz w:val="19"/>
                <w:szCs w:val="19"/>
              </w:rPr>
              <w:t>Smart Construction Incentives (SCI)</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0.48</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0.52</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b/>
                <w:bCs/>
                <w:color w:val="000000"/>
                <w:sz w:val="19"/>
                <w:szCs w:val="19"/>
              </w:rPr>
            </w:pPr>
            <w:r w:rsidRPr="00CB2503">
              <w:rPr>
                <w:sz w:val="19"/>
                <w:szCs w:val="19"/>
              </w:rPr>
              <w:t>Smart Multi-Family (SMF) Solutions Program</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0.38</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0.62</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22</w:t>
            </w:r>
          </w:p>
        </w:tc>
      </w:tr>
      <w:tr w:rsidR="00E7173E"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b/>
                <w:bCs/>
                <w:color w:val="000000"/>
                <w:sz w:val="19"/>
                <w:szCs w:val="19"/>
              </w:rPr>
            </w:pPr>
            <w:r w:rsidRPr="00CB2503">
              <w:rPr>
                <w:sz w:val="19"/>
                <w:szCs w:val="19"/>
              </w:rPr>
              <w:t>Smart AC Saver – Commercial</w:t>
            </w:r>
            <w:r w:rsidRPr="00CB2503">
              <w:rPr>
                <w:sz w:val="19"/>
                <w:szCs w:val="19"/>
                <w:vertAlign w:val="superscript"/>
              </w:rPr>
              <w:t xml:space="preserve"> </w:t>
            </w:r>
          </w:p>
        </w:tc>
        <w:tc>
          <w:tcPr>
            <w:tcW w:w="63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N/A</w:t>
            </w:r>
          </w:p>
        </w:tc>
        <w:tc>
          <w:tcPr>
            <w:tcW w:w="675" w:type="pct"/>
            <w:shd w:val="clear" w:color="auto" w:fill="auto"/>
            <w:noWrap/>
            <w:vAlign w:val="center"/>
          </w:tcPr>
          <w:p w:rsidR="00661E10" w:rsidRPr="00CB2503" w:rsidRDefault="00661E10" w:rsidP="00661E10">
            <w:pPr>
              <w:jc w:val="center"/>
              <w:rPr>
                <w:bCs/>
                <w:color w:val="000000"/>
                <w:sz w:val="19"/>
                <w:szCs w:val="19"/>
              </w:rPr>
            </w:pPr>
            <w:r w:rsidRPr="00CB2503">
              <w:rPr>
                <w:sz w:val="19"/>
                <w:szCs w:val="19"/>
              </w:rPr>
              <w:t>N/A</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N/A</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auto"/>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Smart On-Site (SOS)</w:t>
            </w:r>
          </w:p>
        </w:tc>
        <w:tc>
          <w:tcPr>
            <w:tcW w:w="635" w:type="pct"/>
            <w:shd w:val="clear" w:color="auto" w:fill="D2EAF1"/>
            <w:noWrap/>
            <w:vAlign w:val="center"/>
          </w:tcPr>
          <w:p w:rsidR="00661E10" w:rsidRPr="00CB2503" w:rsidRDefault="00661E10" w:rsidP="00661E10">
            <w:pPr>
              <w:jc w:val="center"/>
              <w:rPr>
                <w:sz w:val="19"/>
                <w:szCs w:val="19"/>
              </w:rPr>
            </w:pPr>
            <w:r w:rsidRPr="00CB2503">
              <w:rPr>
                <w:sz w:val="19"/>
                <w:szCs w:val="19"/>
              </w:rPr>
              <w:t>0.11</w:t>
            </w:r>
          </w:p>
        </w:tc>
        <w:tc>
          <w:tcPr>
            <w:tcW w:w="675" w:type="pct"/>
            <w:shd w:val="clear" w:color="auto" w:fill="D2EAF1"/>
            <w:noWrap/>
            <w:vAlign w:val="center"/>
          </w:tcPr>
          <w:p w:rsidR="00661E10" w:rsidRPr="00CB2503" w:rsidRDefault="00661E10" w:rsidP="00661E10">
            <w:pPr>
              <w:jc w:val="center"/>
              <w:rPr>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sz w:val="19"/>
                <w:szCs w:val="19"/>
              </w:rPr>
            </w:pPr>
            <w:r w:rsidRPr="00CB2503">
              <w:rPr>
                <w:sz w:val="19"/>
                <w:szCs w:val="19"/>
              </w:rPr>
              <w:t>0.89</w:t>
            </w:r>
          </w:p>
        </w:tc>
        <w:tc>
          <w:tcPr>
            <w:tcW w:w="584" w:type="pct"/>
            <w:shd w:val="clear" w:color="auto" w:fill="D2EAF1"/>
            <w:vAlign w:val="center"/>
          </w:tcPr>
          <w:p w:rsidR="00661E10" w:rsidRPr="00CB2503" w:rsidRDefault="00661E10" w:rsidP="00661E10">
            <w:pPr>
              <w:jc w:val="center"/>
              <w:rPr>
                <w:sz w:val="19"/>
                <w:szCs w:val="19"/>
              </w:rPr>
            </w:pPr>
            <w:r w:rsidRPr="00CB2503">
              <w:rPr>
                <w:sz w:val="19"/>
                <w:szCs w:val="19"/>
              </w:rPr>
              <w:t>6</w:t>
            </w:r>
          </w:p>
        </w:tc>
      </w:tr>
      <w:tr w:rsidR="003F0DB1" w:rsidRPr="00CB2503" w:rsidTr="00CB2503">
        <w:trPr>
          <w:trHeight w:val="490"/>
        </w:trPr>
        <w:tc>
          <w:tcPr>
            <w:tcW w:w="780" w:type="pct"/>
            <w:vMerge/>
            <w:shd w:val="clear" w:color="auto" w:fill="auto"/>
          </w:tcPr>
          <w:p w:rsidR="003F0DB1" w:rsidRPr="00CB2503" w:rsidRDefault="003F0DB1" w:rsidP="003F0DB1">
            <w:pPr>
              <w:jc w:val="left"/>
              <w:rPr>
                <w:color w:val="000000"/>
                <w:sz w:val="19"/>
                <w:szCs w:val="19"/>
              </w:rPr>
            </w:pPr>
          </w:p>
        </w:tc>
        <w:tc>
          <w:tcPr>
            <w:tcW w:w="1752" w:type="pct"/>
            <w:shd w:val="clear" w:color="auto" w:fill="auto"/>
            <w:noWrap/>
          </w:tcPr>
          <w:p w:rsidR="003F0DB1" w:rsidRPr="00CB2503" w:rsidRDefault="003F0DB1" w:rsidP="003F0DB1">
            <w:pPr>
              <w:jc w:val="left"/>
              <w:rPr>
                <w:sz w:val="19"/>
                <w:szCs w:val="19"/>
              </w:rPr>
            </w:pPr>
            <w:r w:rsidRPr="00CB2503">
              <w:rPr>
                <w:sz w:val="19"/>
                <w:szCs w:val="19"/>
              </w:rPr>
              <w:t>Smart Business Solutions (SBS)</w:t>
            </w:r>
            <w:r w:rsidR="005F4C4F" w:rsidRPr="00CB2503">
              <w:rPr>
                <w:sz w:val="19"/>
                <w:szCs w:val="19"/>
                <w:vertAlign w:val="superscript"/>
              </w:rPr>
              <w:t>[e]</w:t>
            </w:r>
          </w:p>
        </w:tc>
        <w:tc>
          <w:tcPr>
            <w:tcW w:w="635" w:type="pct"/>
            <w:shd w:val="clear" w:color="auto" w:fill="auto"/>
            <w:noWrap/>
            <w:vAlign w:val="center"/>
          </w:tcPr>
          <w:p w:rsidR="003F0DB1" w:rsidRPr="00CB2503" w:rsidRDefault="003F0DB1" w:rsidP="003F0DB1">
            <w:pPr>
              <w:jc w:val="center"/>
              <w:rPr>
                <w:sz w:val="19"/>
                <w:szCs w:val="19"/>
              </w:rPr>
            </w:pPr>
            <w:r w:rsidRPr="00CB2503">
              <w:rPr>
                <w:sz w:val="19"/>
                <w:szCs w:val="19"/>
              </w:rPr>
              <w:t>0.10</w:t>
            </w:r>
          </w:p>
        </w:tc>
        <w:tc>
          <w:tcPr>
            <w:tcW w:w="675" w:type="pct"/>
            <w:shd w:val="clear" w:color="auto" w:fill="auto"/>
            <w:noWrap/>
            <w:vAlign w:val="center"/>
          </w:tcPr>
          <w:p w:rsidR="003F0DB1" w:rsidRPr="00CB2503" w:rsidRDefault="003F0DB1" w:rsidP="003F0DB1">
            <w:pPr>
              <w:jc w:val="center"/>
              <w:rPr>
                <w:sz w:val="19"/>
                <w:szCs w:val="19"/>
              </w:rPr>
            </w:pPr>
            <w:r w:rsidRPr="00CB2503">
              <w:rPr>
                <w:sz w:val="19"/>
                <w:szCs w:val="19"/>
              </w:rPr>
              <w:t>0.00</w:t>
            </w:r>
          </w:p>
        </w:tc>
        <w:tc>
          <w:tcPr>
            <w:tcW w:w="574" w:type="pct"/>
            <w:shd w:val="clear" w:color="auto" w:fill="auto"/>
            <w:noWrap/>
            <w:vAlign w:val="center"/>
          </w:tcPr>
          <w:p w:rsidR="003F0DB1" w:rsidRPr="00CB2503" w:rsidRDefault="003F0DB1" w:rsidP="003F0DB1">
            <w:pPr>
              <w:jc w:val="center"/>
              <w:rPr>
                <w:sz w:val="19"/>
                <w:szCs w:val="19"/>
              </w:rPr>
            </w:pPr>
            <w:r w:rsidRPr="00CB2503">
              <w:rPr>
                <w:sz w:val="19"/>
                <w:szCs w:val="19"/>
              </w:rPr>
              <w:t>0.90</w:t>
            </w:r>
          </w:p>
        </w:tc>
        <w:tc>
          <w:tcPr>
            <w:tcW w:w="584" w:type="pct"/>
            <w:shd w:val="clear" w:color="auto" w:fill="auto"/>
            <w:vAlign w:val="center"/>
          </w:tcPr>
          <w:p w:rsidR="003F0DB1" w:rsidRPr="00CB2503" w:rsidRDefault="003F0DB1" w:rsidP="003F0DB1">
            <w:pPr>
              <w:jc w:val="center"/>
              <w:rPr>
                <w:sz w:val="19"/>
                <w:szCs w:val="19"/>
              </w:rPr>
            </w:pPr>
            <w:r w:rsidRPr="00CB2503">
              <w:rPr>
                <w:sz w:val="19"/>
                <w:szCs w:val="19"/>
              </w:rPr>
              <w:t>N/A</w:t>
            </w:r>
          </w:p>
        </w:tc>
      </w:tr>
      <w:tr w:rsidR="00A874AC" w:rsidRPr="00CB2503" w:rsidTr="00CB2503">
        <w:trPr>
          <w:trHeight w:val="490"/>
        </w:trPr>
        <w:tc>
          <w:tcPr>
            <w:tcW w:w="780" w:type="pct"/>
            <w:vMerge w:val="restart"/>
            <w:shd w:val="clear" w:color="auto" w:fill="D2EAF1"/>
          </w:tcPr>
          <w:p w:rsidR="00661E10" w:rsidRPr="00CB2503" w:rsidRDefault="00661E10" w:rsidP="00661E10">
            <w:pPr>
              <w:jc w:val="left"/>
              <w:rPr>
                <w:color w:val="000000"/>
                <w:sz w:val="19"/>
                <w:szCs w:val="19"/>
              </w:rPr>
            </w:pPr>
            <w:r w:rsidRPr="00CB2503">
              <w:rPr>
                <w:color w:val="000000"/>
                <w:sz w:val="19"/>
                <w:szCs w:val="19"/>
              </w:rPr>
              <w:t>PPL</w:t>
            </w:r>
          </w:p>
        </w:tc>
        <w:tc>
          <w:tcPr>
            <w:tcW w:w="1752" w:type="pct"/>
            <w:shd w:val="clear" w:color="auto" w:fill="D2EAF1"/>
            <w:noWrap/>
          </w:tcPr>
          <w:p w:rsidR="00661E10" w:rsidRPr="00CB2503" w:rsidRDefault="00661E10" w:rsidP="00661E10">
            <w:pPr>
              <w:jc w:val="left"/>
              <w:rPr>
                <w:b/>
                <w:bCs/>
                <w:color w:val="000000"/>
                <w:sz w:val="19"/>
                <w:szCs w:val="19"/>
              </w:rPr>
            </w:pPr>
            <w:r w:rsidRPr="00CB2503">
              <w:rPr>
                <w:sz w:val="19"/>
                <w:szCs w:val="19"/>
              </w:rPr>
              <w:t>Prescriptive Equipment Program</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0.23</w:t>
            </w:r>
          </w:p>
        </w:tc>
        <w:tc>
          <w:tcPr>
            <w:tcW w:w="67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0.77</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77</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b/>
                <w:bCs/>
                <w:color w:val="000000"/>
                <w:sz w:val="19"/>
                <w:szCs w:val="19"/>
              </w:rPr>
            </w:pPr>
            <w:r w:rsidRPr="00CB2503">
              <w:rPr>
                <w:sz w:val="19"/>
                <w:szCs w:val="19"/>
              </w:rPr>
              <w:t>Custom Incentive Program</w:t>
            </w:r>
          </w:p>
        </w:tc>
        <w:tc>
          <w:tcPr>
            <w:tcW w:w="63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0.39</w:t>
            </w:r>
          </w:p>
        </w:tc>
        <w:tc>
          <w:tcPr>
            <w:tcW w:w="675"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574" w:type="pct"/>
            <w:shd w:val="clear" w:color="auto" w:fill="auto"/>
            <w:noWrap/>
            <w:vAlign w:val="center"/>
          </w:tcPr>
          <w:p w:rsidR="00661E10" w:rsidRPr="00CB2503" w:rsidRDefault="00661E10" w:rsidP="00661E10">
            <w:pPr>
              <w:jc w:val="center"/>
              <w:rPr>
                <w:b/>
                <w:bCs/>
                <w:color w:val="000000"/>
                <w:sz w:val="19"/>
                <w:szCs w:val="19"/>
              </w:rPr>
            </w:pPr>
            <w:r w:rsidRPr="00CB2503">
              <w:rPr>
                <w:sz w:val="19"/>
                <w:szCs w:val="19"/>
              </w:rPr>
              <w:t>0.61</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21</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sz w:val="19"/>
                <w:szCs w:val="19"/>
              </w:rPr>
            </w:pPr>
            <w:r w:rsidRPr="00CB2503">
              <w:rPr>
                <w:sz w:val="19"/>
                <w:szCs w:val="19"/>
              </w:rPr>
              <w:t>School Benchmarking</w:t>
            </w:r>
          </w:p>
        </w:tc>
        <w:tc>
          <w:tcPr>
            <w:tcW w:w="635" w:type="pct"/>
            <w:shd w:val="clear" w:color="auto" w:fill="D2EAF1"/>
            <w:noWrap/>
            <w:vAlign w:val="center"/>
          </w:tcPr>
          <w:p w:rsidR="00661E10" w:rsidRPr="00CB2503" w:rsidRDefault="005F4C4F" w:rsidP="00661E10">
            <w:pPr>
              <w:jc w:val="center"/>
              <w:rPr>
                <w:sz w:val="19"/>
                <w:szCs w:val="19"/>
              </w:rPr>
            </w:pPr>
            <w:r w:rsidRPr="00CB2503">
              <w:rPr>
                <w:sz w:val="19"/>
                <w:szCs w:val="19"/>
              </w:rPr>
              <w:t>NS</w:t>
            </w:r>
          </w:p>
        </w:tc>
        <w:tc>
          <w:tcPr>
            <w:tcW w:w="675" w:type="pct"/>
            <w:shd w:val="clear" w:color="auto" w:fill="D2EAF1"/>
            <w:noWrap/>
            <w:vAlign w:val="center"/>
          </w:tcPr>
          <w:p w:rsidR="00661E10" w:rsidRPr="00CB2503" w:rsidRDefault="005F4C4F" w:rsidP="00661E10">
            <w:pPr>
              <w:jc w:val="center"/>
              <w:rPr>
                <w:sz w:val="19"/>
                <w:szCs w:val="19"/>
              </w:rPr>
            </w:pPr>
            <w:r w:rsidRPr="00CB2503">
              <w:rPr>
                <w:sz w:val="19"/>
                <w:szCs w:val="19"/>
              </w:rPr>
              <w:t>NS</w:t>
            </w:r>
          </w:p>
        </w:tc>
        <w:tc>
          <w:tcPr>
            <w:tcW w:w="574" w:type="pct"/>
            <w:shd w:val="clear" w:color="auto" w:fill="D2EAF1"/>
            <w:noWrap/>
            <w:vAlign w:val="center"/>
          </w:tcPr>
          <w:p w:rsidR="00661E10" w:rsidRPr="00CB2503" w:rsidRDefault="00661E10" w:rsidP="005F4C4F">
            <w:pPr>
              <w:jc w:val="center"/>
              <w:rPr>
                <w:sz w:val="19"/>
                <w:szCs w:val="19"/>
              </w:rPr>
            </w:pPr>
            <w:r w:rsidRPr="00CB2503">
              <w:rPr>
                <w:sz w:val="19"/>
                <w:szCs w:val="19"/>
              </w:rPr>
              <w:t>N</w:t>
            </w:r>
            <w:r w:rsidR="005F4C4F" w:rsidRPr="00CB2503">
              <w:rPr>
                <w:sz w:val="19"/>
                <w:szCs w:val="19"/>
              </w:rPr>
              <w:t>S</w:t>
            </w:r>
          </w:p>
        </w:tc>
        <w:tc>
          <w:tcPr>
            <w:tcW w:w="584" w:type="pct"/>
            <w:shd w:val="clear" w:color="auto" w:fill="D2EAF1"/>
            <w:vAlign w:val="center"/>
          </w:tcPr>
          <w:p w:rsidR="00661E10" w:rsidRPr="00CB2503" w:rsidRDefault="00661E10" w:rsidP="005F4C4F">
            <w:pPr>
              <w:jc w:val="center"/>
              <w:rPr>
                <w:sz w:val="19"/>
                <w:szCs w:val="19"/>
              </w:rPr>
            </w:pPr>
            <w:r w:rsidRPr="00CB2503">
              <w:rPr>
                <w:sz w:val="19"/>
                <w:szCs w:val="19"/>
              </w:rPr>
              <w:t>N</w:t>
            </w:r>
            <w:r w:rsidR="005F4C4F" w:rsidRPr="00CB2503">
              <w:rPr>
                <w:sz w:val="19"/>
                <w:szCs w:val="19"/>
              </w:rPr>
              <w:t>S</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auto"/>
            <w:noWrap/>
          </w:tcPr>
          <w:p w:rsidR="00661E10" w:rsidRPr="00CB2503" w:rsidRDefault="00661E10" w:rsidP="00661E10">
            <w:pPr>
              <w:jc w:val="left"/>
              <w:rPr>
                <w:b/>
                <w:bCs/>
                <w:color w:val="000000"/>
                <w:sz w:val="19"/>
                <w:szCs w:val="19"/>
              </w:rPr>
            </w:pPr>
            <w:r w:rsidRPr="00CB2503">
              <w:rPr>
                <w:sz w:val="19"/>
                <w:szCs w:val="19"/>
              </w:rPr>
              <w:t>Master Metered Low-Income Multifamily (MMMF) Program</w:t>
            </w:r>
          </w:p>
        </w:tc>
        <w:tc>
          <w:tcPr>
            <w:tcW w:w="635" w:type="pct"/>
            <w:shd w:val="clear" w:color="auto" w:fill="auto"/>
            <w:noWrap/>
            <w:vAlign w:val="center"/>
          </w:tcPr>
          <w:p w:rsidR="00661E10" w:rsidRPr="00CB2503" w:rsidRDefault="00661E10" w:rsidP="00661E10">
            <w:pPr>
              <w:jc w:val="center"/>
              <w:rPr>
                <w:sz w:val="19"/>
                <w:szCs w:val="19"/>
              </w:rPr>
            </w:pPr>
            <w:r w:rsidRPr="00CB2503">
              <w:rPr>
                <w:sz w:val="19"/>
                <w:szCs w:val="19"/>
              </w:rPr>
              <w:t xml:space="preserve">N/A </w:t>
            </w:r>
          </w:p>
        </w:tc>
        <w:tc>
          <w:tcPr>
            <w:tcW w:w="675" w:type="pct"/>
            <w:shd w:val="clear" w:color="auto" w:fill="auto"/>
            <w:noWrap/>
            <w:vAlign w:val="center"/>
          </w:tcPr>
          <w:p w:rsidR="00661E10" w:rsidRPr="00CB2503" w:rsidRDefault="00661E10" w:rsidP="00661E10">
            <w:pPr>
              <w:jc w:val="center"/>
              <w:rPr>
                <w:sz w:val="19"/>
                <w:szCs w:val="19"/>
              </w:rPr>
            </w:pPr>
            <w:r w:rsidRPr="00CB2503">
              <w:rPr>
                <w:sz w:val="19"/>
                <w:szCs w:val="19"/>
              </w:rPr>
              <w:t xml:space="preserve">N/A </w:t>
            </w:r>
          </w:p>
        </w:tc>
        <w:tc>
          <w:tcPr>
            <w:tcW w:w="574" w:type="pct"/>
            <w:shd w:val="clear" w:color="auto" w:fill="auto"/>
            <w:noWrap/>
            <w:vAlign w:val="center"/>
          </w:tcPr>
          <w:p w:rsidR="00661E10" w:rsidRPr="00CB2503" w:rsidRDefault="00661E10" w:rsidP="00661E10">
            <w:pPr>
              <w:jc w:val="center"/>
              <w:rPr>
                <w:sz w:val="19"/>
                <w:szCs w:val="19"/>
              </w:rPr>
            </w:pPr>
            <w:r w:rsidRPr="00CB2503">
              <w:rPr>
                <w:sz w:val="19"/>
                <w:szCs w:val="19"/>
              </w:rPr>
              <w:t xml:space="preserve">Not reported </w:t>
            </w:r>
          </w:p>
        </w:tc>
        <w:tc>
          <w:tcPr>
            <w:tcW w:w="584" w:type="pct"/>
            <w:shd w:val="clear" w:color="auto" w:fill="auto"/>
            <w:vAlign w:val="center"/>
          </w:tcPr>
          <w:p w:rsidR="00661E10" w:rsidRPr="00CB2503" w:rsidRDefault="00661E10" w:rsidP="00661E10">
            <w:pPr>
              <w:jc w:val="center"/>
              <w:rPr>
                <w:b/>
                <w:bCs/>
                <w:color w:val="000000"/>
                <w:sz w:val="19"/>
                <w:szCs w:val="19"/>
              </w:rPr>
            </w:pPr>
            <w:r w:rsidRPr="00CB2503">
              <w:rPr>
                <w:sz w:val="19"/>
                <w:szCs w:val="19"/>
              </w:rPr>
              <w:t>N/A</w:t>
            </w:r>
          </w:p>
        </w:tc>
      </w:tr>
      <w:tr w:rsidR="00A874AC" w:rsidRPr="00CB2503" w:rsidTr="00CB2503">
        <w:trPr>
          <w:trHeight w:val="490"/>
        </w:trPr>
        <w:tc>
          <w:tcPr>
            <w:tcW w:w="780" w:type="pct"/>
            <w:vMerge/>
            <w:shd w:val="clear" w:color="auto" w:fill="D2EAF1"/>
          </w:tcPr>
          <w:p w:rsidR="00661E10" w:rsidRPr="00CB2503" w:rsidRDefault="00661E10" w:rsidP="00661E10">
            <w:pPr>
              <w:jc w:val="left"/>
              <w:rPr>
                <w:color w:val="000000"/>
                <w:sz w:val="19"/>
                <w:szCs w:val="19"/>
              </w:rPr>
            </w:pPr>
          </w:p>
        </w:tc>
        <w:tc>
          <w:tcPr>
            <w:tcW w:w="1752" w:type="pct"/>
            <w:shd w:val="clear" w:color="auto" w:fill="D2EAF1"/>
            <w:noWrap/>
          </w:tcPr>
          <w:p w:rsidR="00661E10" w:rsidRPr="00CB2503" w:rsidRDefault="00661E10" w:rsidP="00661E10">
            <w:pPr>
              <w:jc w:val="left"/>
              <w:rPr>
                <w:bCs/>
                <w:color w:val="000000"/>
                <w:sz w:val="19"/>
                <w:szCs w:val="19"/>
              </w:rPr>
            </w:pPr>
            <w:r w:rsidRPr="00CB2503">
              <w:rPr>
                <w:sz w:val="19"/>
                <w:szCs w:val="19"/>
              </w:rPr>
              <w:t>Continuous Energy Improvement (CEI) Program</w:t>
            </w:r>
          </w:p>
        </w:tc>
        <w:tc>
          <w:tcPr>
            <w:tcW w:w="635"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0.00</w:t>
            </w:r>
          </w:p>
        </w:tc>
        <w:tc>
          <w:tcPr>
            <w:tcW w:w="675" w:type="pct"/>
            <w:shd w:val="clear" w:color="auto" w:fill="D2EAF1"/>
            <w:noWrap/>
            <w:vAlign w:val="center"/>
          </w:tcPr>
          <w:p w:rsidR="00661E10" w:rsidRPr="00CB2503" w:rsidRDefault="00D815AF" w:rsidP="00661E10">
            <w:pPr>
              <w:jc w:val="center"/>
              <w:rPr>
                <w:b/>
                <w:bCs/>
                <w:color w:val="000000"/>
                <w:sz w:val="19"/>
                <w:szCs w:val="19"/>
              </w:rPr>
            </w:pPr>
            <w:r w:rsidRPr="00CB2503">
              <w:rPr>
                <w:bCs/>
                <w:color w:val="000000"/>
                <w:sz w:val="19"/>
                <w:szCs w:val="19"/>
              </w:rPr>
              <w:t>0.00</w:t>
            </w:r>
          </w:p>
        </w:tc>
        <w:tc>
          <w:tcPr>
            <w:tcW w:w="574"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1.00</w:t>
            </w:r>
          </w:p>
        </w:tc>
        <w:tc>
          <w:tcPr>
            <w:tcW w:w="584" w:type="pct"/>
            <w:shd w:val="clear" w:color="auto" w:fill="D2EAF1"/>
            <w:vAlign w:val="center"/>
          </w:tcPr>
          <w:p w:rsidR="00661E10" w:rsidRPr="00CB2503" w:rsidRDefault="00661E10" w:rsidP="00661E10">
            <w:pPr>
              <w:jc w:val="center"/>
              <w:rPr>
                <w:b/>
                <w:bCs/>
                <w:color w:val="000000"/>
                <w:sz w:val="19"/>
                <w:szCs w:val="19"/>
              </w:rPr>
            </w:pPr>
            <w:r w:rsidRPr="00CB2503">
              <w:rPr>
                <w:sz w:val="19"/>
                <w:szCs w:val="19"/>
              </w:rPr>
              <w:t>23</w:t>
            </w:r>
          </w:p>
        </w:tc>
      </w:tr>
      <w:tr w:rsidR="00E7173E" w:rsidRPr="00771798" w:rsidTr="00CB2503">
        <w:trPr>
          <w:trHeight w:val="288"/>
        </w:trPr>
        <w:tc>
          <w:tcPr>
            <w:tcW w:w="5000" w:type="pct"/>
            <w:gridSpan w:val="6"/>
            <w:shd w:val="clear" w:color="auto" w:fill="448A99"/>
          </w:tcPr>
          <w:p w:rsidR="00661E10" w:rsidRPr="00771798" w:rsidRDefault="00661E10" w:rsidP="00661E10">
            <w:pPr>
              <w:jc w:val="left"/>
              <w:rPr>
                <w:bCs/>
                <w:color w:val="FFFFFF"/>
                <w:sz w:val="18"/>
                <w:szCs w:val="19"/>
              </w:rPr>
            </w:pPr>
            <w:r w:rsidRPr="00771798">
              <w:rPr>
                <w:bCs/>
                <w:color w:val="FFFFFF"/>
                <w:sz w:val="18"/>
                <w:szCs w:val="19"/>
              </w:rPr>
              <w:t>NOTES</w:t>
            </w:r>
            <w:r w:rsidR="00630371" w:rsidRPr="00771798">
              <w:rPr>
                <w:bCs/>
                <w:color w:val="FFFFFF"/>
                <w:sz w:val="18"/>
                <w:szCs w:val="19"/>
              </w:rPr>
              <w:t>:</w:t>
            </w:r>
          </w:p>
          <w:p w:rsidR="00661E10" w:rsidRPr="00771798" w:rsidRDefault="00661E10" w:rsidP="00661E10">
            <w:pPr>
              <w:jc w:val="left"/>
              <w:rPr>
                <w:color w:val="FFFFFF"/>
                <w:sz w:val="18"/>
                <w:szCs w:val="19"/>
              </w:rPr>
            </w:pPr>
            <w:r w:rsidRPr="00771798">
              <w:rPr>
                <w:color w:val="FFFFFF"/>
                <w:sz w:val="18"/>
                <w:szCs w:val="19"/>
                <w:vertAlign w:val="superscript"/>
              </w:rPr>
              <w:t>[a]</w:t>
            </w:r>
            <w:r w:rsidRPr="00771798">
              <w:rPr>
                <w:bCs/>
                <w:color w:val="FFFFFF"/>
                <w:sz w:val="18"/>
                <w:szCs w:val="19"/>
              </w:rPr>
              <w:t xml:space="preserve"> </w:t>
            </w:r>
            <w:r w:rsidRPr="00771798">
              <w:rPr>
                <w:color w:val="FFFFFF"/>
                <w:sz w:val="18"/>
                <w:szCs w:val="19"/>
              </w:rPr>
              <w:t xml:space="preserve">NTGR = 1 – free-ridership + spillover. In some cases, the NTGR shown in the table may not equal exactly 1 – </w:t>
            </w:r>
            <w:r w:rsidRPr="00771798">
              <w:rPr>
                <w:rFonts w:eastAsia="Calibri"/>
                <w:color w:val="FFFFFF"/>
                <w:sz w:val="18"/>
                <w:szCs w:val="19"/>
              </w:rPr>
              <w:t>free-ridership + spillover</w:t>
            </w:r>
            <w:r w:rsidRPr="00771798">
              <w:rPr>
                <w:color w:val="FFFFFF"/>
                <w:sz w:val="18"/>
                <w:szCs w:val="19"/>
              </w:rPr>
              <w:t xml:space="preserve"> because of rounding.</w:t>
            </w:r>
          </w:p>
          <w:p w:rsidR="00661E10" w:rsidRPr="00771798" w:rsidRDefault="00661E10" w:rsidP="00661E10">
            <w:pPr>
              <w:jc w:val="left"/>
              <w:rPr>
                <w:bCs/>
                <w:color w:val="FFFFFF"/>
                <w:sz w:val="18"/>
                <w:szCs w:val="19"/>
              </w:rPr>
            </w:pPr>
            <w:r w:rsidRPr="00771798">
              <w:rPr>
                <w:color w:val="FFFFFF"/>
                <w:sz w:val="18"/>
                <w:szCs w:val="19"/>
                <w:vertAlign w:val="superscript"/>
              </w:rPr>
              <w:t>[b]</w:t>
            </w:r>
            <w:r w:rsidRPr="00771798">
              <w:rPr>
                <w:bCs/>
                <w:color w:val="FFFFFF"/>
                <w:sz w:val="18"/>
                <w:szCs w:val="19"/>
              </w:rPr>
              <w:t xml:space="preserve"> </w:t>
            </w:r>
            <w:r w:rsidR="005F4C4F" w:rsidRPr="00771798">
              <w:rPr>
                <w:bCs/>
                <w:color w:val="FFFFFF"/>
                <w:sz w:val="18"/>
                <w:szCs w:val="19"/>
              </w:rPr>
              <w:t>N/A denotes programs for which no sample was collected to estimate NTGR. NS denotes programs for which no savings are claimed</w:t>
            </w:r>
            <w:r w:rsidRPr="00771798">
              <w:rPr>
                <w:bCs/>
                <w:color w:val="FFFFFF"/>
                <w:sz w:val="18"/>
                <w:szCs w:val="19"/>
              </w:rPr>
              <w:t>.</w:t>
            </w:r>
          </w:p>
          <w:p w:rsidR="00F366C8" w:rsidRPr="00771798" w:rsidRDefault="00F366C8" w:rsidP="00661E10">
            <w:pPr>
              <w:jc w:val="left"/>
              <w:rPr>
                <w:bCs/>
                <w:color w:val="FFFFFF"/>
                <w:sz w:val="18"/>
                <w:szCs w:val="19"/>
              </w:rPr>
            </w:pPr>
            <w:r w:rsidRPr="00771798">
              <w:rPr>
                <w:bCs/>
                <w:color w:val="FFFFFF"/>
                <w:sz w:val="18"/>
                <w:szCs w:val="19"/>
                <w:vertAlign w:val="superscript"/>
              </w:rPr>
              <w:t>[c]</w:t>
            </w:r>
            <w:r w:rsidRPr="00771798">
              <w:rPr>
                <w:bCs/>
                <w:color w:val="FFFFFF"/>
                <w:sz w:val="18"/>
                <w:szCs w:val="19"/>
              </w:rPr>
              <w:t xml:space="preserve"> Program-level NTGR combines downstream and upstream NTG values. Downstream NTGR was estimated from surveys with 84 participants. Upstream NTGR was estimated using sales data.</w:t>
            </w:r>
          </w:p>
          <w:p w:rsidR="00661E10" w:rsidRPr="00771798" w:rsidRDefault="00661E10" w:rsidP="00F366C8">
            <w:pPr>
              <w:jc w:val="left"/>
              <w:rPr>
                <w:color w:val="FFFFFF"/>
                <w:sz w:val="18"/>
                <w:szCs w:val="19"/>
              </w:rPr>
            </w:pPr>
            <w:r w:rsidRPr="00771798">
              <w:rPr>
                <w:color w:val="FFFFFF"/>
                <w:sz w:val="18"/>
                <w:szCs w:val="19"/>
                <w:vertAlign w:val="superscript"/>
              </w:rPr>
              <w:t>[</w:t>
            </w:r>
            <w:r w:rsidR="00F366C8" w:rsidRPr="00771798">
              <w:rPr>
                <w:color w:val="FFFFFF"/>
                <w:sz w:val="18"/>
                <w:szCs w:val="19"/>
                <w:vertAlign w:val="superscript"/>
              </w:rPr>
              <w:t>d</w:t>
            </w:r>
            <w:r w:rsidRPr="00771798">
              <w:rPr>
                <w:color w:val="FFFFFF"/>
                <w:sz w:val="18"/>
                <w:szCs w:val="19"/>
                <w:vertAlign w:val="superscript"/>
              </w:rPr>
              <w:t>]</w:t>
            </w:r>
            <w:r w:rsidRPr="00771798">
              <w:rPr>
                <w:color w:val="FFFFFF"/>
                <w:sz w:val="18"/>
                <w:szCs w:val="19"/>
              </w:rPr>
              <w:t xml:space="preserve"> Denotes misprinted value in the PY7 annual report. The value reported in this table is the actual value.</w:t>
            </w:r>
          </w:p>
          <w:p w:rsidR="005F4C4F" w:rsidRPr="00771798" w:rsidRDefault="005F4C4F" w:rsidP="00F366C8">
            <w:pPr>
              <w:jc w:val="left"/>
              <w:rPr>
                <w:bCs/>
                <w:color w:val="FFFFFF"/>
                <w:sz w:val="18"/>
                <w:szCs w:val="19"/>
              </w:rPr>
            </w:pPr>
            <w:r w:rsidRPr="00771798">
              <w:rPr>
                <w:color w:val="FFFFFF"/>
                <w:sz w:val="18"/>
                <w:szCs w:val="19"/>
                <w:vertAlign w:val="superscript"/>
              </w:rPr>
              <w:t>[e]</w:t>
            </w:r>
            <w:r w:rsidRPr="00771798">
              <w:rPr>
                <w:bCs/>
                <w:color w:val="FFFFFF"/>
                <w:sz w:val="18"/>
                <w:szCs w:val="19"/>
              </w:rPr>
              <w:t xml:space="preserve"> No NTGR research was performed for this program in PY7. The PY7 report provided NTGR data estimated by the PY5 evaluation.</w:t>
            </w:r>
          </w:p>
        </w:tc>
      </w:tr>
    </w:tbl>
    <w:p w:rsidR="00661E10" w:rsidRPr="00661E10" w:rsidRDefault="00661E10" w:rsidP="00661E10"/>
    <w:p w:rsidR="00661E10" w:rsidRPr="00661E10" w:rsidRDefault="00661E10" w:rsidP="00661E10">
      <w:r w:rsidRPr="00661E10">
        <w:t>The distribution of NTGRs was somewhat tighter for non-residential than for residential programs. To illustrate this point, while the mean NTGR across residential programs (0.60) was similar to that for non-residential programs (0.64, excluding the program where NTGR was assumed to 1.00), the standard deviation for residential programs (0.20) was half again as great as that for non-residential programs (0.13). Simply put, two-thirds of residential programs had standard deviations that fell within a range of 0.40 to 0.80, while a comparable proportion of the non-residential programs had standard deviations within a smaller range of about 0.50 to 0.77.</w:t>
      </w:r>
    </w:p>
    <w:p w:rsidR="00CB1517" w:rsidRPr="00661E10" w:rsidRDefault="00CB1517" w:rsidP="00661E10"/>
    <w:p w:rsidR="00661E10" w:rsidRPr="00661E10" w:rsidRDefault="00661E10" w:rsidP="00661E10">
      <w:r w:rsidRPr="00661E10">
        <w:t>Among residential programs, appliance recycling programs tended to have a lower NTGR (mean = 0.38) and rebate programs a comparatively higher NTGR (mean = 0.69). These differences are largely a function of free-ridership, as spillover was typically low in both types of programs. In the non-residential sector, differences in how EDCs package their program offerings make it harder to detect trends among program types.</w:t>
      </w:r>
    </w:p>
    <w:p w:rsidR="00661E10" w:rsidRPr="00661E10" w:rsidRDefault="00661E10" w:rsidP="00661E10"/>
    <w:p w:rsidR="00661E10" w:rsidRPr="00661E10" w:rsidRDefault="00661E10" w:rsidP="00661E10">
      <w:r w:rsidRPr="00661E10">
        <w:t xml:space="preserve">Evaluation contractors assumed an NTGR of 1.0 for most low-income programs as well as for three residential programs that were not low-income and for one non-residential program. The Evaluation Framework does not specify any conditions under which EDCs and their evaluation contractors may assume an NTGR of any specific value for any program, including low-income programs. The SWE questioned evaluation contractors’ assumption of an NTGR of 1.0 for low-income programs in the PY6 report and continues to assert that the assumption is not justified. </w:t>
      </w:r>
    </w:p>
    <w:p w:rsidR="00661E10" w:rsidRPr="00661E10" w:rsidRDefault="00661E10" w:rsidP="00661E10"/>
    <w:p w:rsidR="00661E10" w:rsidRPr="00661E10" w:rsidRDefault="00661E10" w:rsidP="00661E10">
      <w:r w:rsidRPr="00661E10">
        <w:t>There may be circumstances in which it is reasonable to assume lack of free-ridership (the primary factor driving the NTGR). This may be the case for one residential and one non-residential program with an assumed NTGR value of 1.0 that were demand curtailment programs. In those cases, the evaluation contractor indicated that there would be no motive to curtail demand without the program.</w:t>
      </w:r>
    </w:p>
    <w:p w:rsidR="00661E10" w:rsidRPr="00661E10" w:rsidRDefault="00661E10" w:rsidP="00661E10"/>
    <w:p w:rsidR="00661E10" w:rsidRPr="00661E10" w:rsidRDefault="00661E10" w:rsidP="00661E10">
      <w:r w:rsidRPr="00661E10">
        <w:t>In the case of the two other residential non-low-income programs, the SWE Team does not agree with the assertion that assuming an NTGR of 1.0 was justified because the energy efficient measures were distributed at no cost to the recipients. It is possible that some of the program participants would have installed the measures even if they had not received them through the program. Therefore, the fact that the measures were distributed at no cost to the recipient does not ensure that there were no free-riders.</w:t>
      </w:r>
    </w:p>
    <w:p w:rsidR="00661E10" w:rsidRPr="00661E10" w:rsidRDefault="00661E10" w:rsidP="00661E10"/>
    <w:p w:rsidR="00661E10" w:rsidRPr="00661E10" w:rsidRDefault="00661E10" w:rsidP="00E673F0">
      <w:pPr>
        <w:pStyle w:val="Heading3"/>
      </w:pPr>
      <w:bookmarkStart w:id="403" w:name="_Toc472472133"/>
      <w:bookmarkStart w:id="404" w:name="_Toc488765828"/>
      <w:r w:rsidRPr="00661E10">
        <w:t>Results for Three-Year Act 129 Phase II</w:t>
      </w:r>
      <w:bookmarkEnd w:id="403"/>
      <w:bookmarkEnd w:id="404"/>
    </w:p>
    <w:p w:rsidR="00D9014E" w:rsidRDefault="00661E10" w:rsidP="00D9014E">
      <w:r w:rsidRPr="00D9014E">
        <w:t>This section shows each EDC’s program-specific NTGRs for PY5, PY6, and PY7 and notes trends across the program years.</w:t>
      </w:r>
      <w:r w:rsidR="005F4C4F" w:rsidRPr="00D9014E">
        <w:t xml:space="preserve"> </w:t>
      </w:r>
    </w:p>
    <w:p w:rsidR="00D9014E" w:rsidRPr="005F4C4F" w:rsidRDefault="00D9014E" w:rsidP="00D9014E"/>
    <w:p w:rsidR="00661E10" w:rsidRDefault="00D9014E" w:rsidP="00D9014E">
      <w:r>
        <w:fldChar w:fldCharType="begin"/>
      </w:r>
      <w:r>
        <w:instrText xml:space="preserve"> REF _Ref473709359 \h </w:instrText>
      </w:r>
      <w:r>
        <w:fldChar w:fldCharType="separate"/>
      </w:r>
      <w:r w:rsidR="00037CB4" w:rsidRPr="005F4C4F">
        <w:t xml:space="preserve">Figure </w:t>
      </w:r>
      <w:r w:rsidR="00037CB4">
        <w:rPr>
          <w:noProof/>
        </w:rPr>
        <w:t>5</w:t>
      </w:r>
      <w:r w:rsidR="00037CB4">
        <w:noBreakHyphen/>
      </w:r>
      <w:r w:rsidR="00037CB4">
        <w:rPr>
          <w:noProof/>
        </w:rPr>
        <w:t>1</w:t>
      </w:r>
      <w:r>
        <w:fldChar w:fldCharType="end"/>
      </w:r>
      <w:r>
        <w:t xml:space="preserve"> </w:t>
      </w:r>
      <w:r w:rsidR="005F4C4F" w:rsidRPr="005F4C4F">
        <w:t>illustrates the portfolio NTGRs for each ECD for PY6 and PY7. Duquesne and PPL show a modest increase in portfolio NTGR from PY6 to PY7 (8 and 5 percentage points, respectively), West Penn Power shows no change, and the remaining four EDCs show decreases ranging from 6 to 15 percentage points.</w:t>
      </w:r>
    </w:p>
    <w:p w:rsidR="00514A0E" w:rsidRDefault="00514A0E" w:rsidP="00661E10"/>
    <w:p w:rsidR="00514A0E" w:rsidRDefault="00514A0E" w:rsidP="00661E10">
      <w:r w:rsidRPr="003A0F59">
        <w:t>Two changes in evaluation methods influenced portfolio PY7 NTGRs. One, the gross savings methodology for the appliance recycling programs changed in the 2015 TRM to eliminate add-backs for replacement appliances. This change tends to yield a higher gross impact and a lower NTGR.</w:t>
      </w:r>
      <w:r w:rsidRPr="003A0F59">
        <w:rPr>
          <w:rStyle w:val="FootnoteReference"/>
        </w:rPr>
        <w:footnoteReference w:id="26"/>
      </w:r>
      <w:r w:rsidRPr="003A0F59">
        <w:t xml:space="preserve"> Two, most of the NTGRs for the low-income programs were lower in PY7 than in PY6, for which the NTGR had been assumed by most EDCs to be 1.0</w:t>
      </w:r>
      <w:r>
        <w:t>.</w:t>
      </w:r>
      <w:r>
        <w:rPr>
          <w:rStyle w:val="FootnoteReference"/>
        </w:rPr>
        <w:footnoteReference w:id="27"/>
      </w:r>
    </w:p>
    <w:p w:rsidR="005F4C4F" w:rsidRDefault="005F4C4F" w:rsidP="00661E10"/>
    <w:p w:rsidR="005F4C4F" w:rsidRPr="005F4C4F" w:rsidRDefault="005F4C4F" w:rsidP="004837FA">
      <w:pPr>
        <w:pStyle w:val="Caption"/>
      </w:pPr>
      <w:bookmarkStart w:id="405" w:name="_Ref473552118"/>
      <w:bookmarkStart w:id="406" w:name="_Ref473709359"/>
      <w:bookmarkStart w:id="407" w:name="_Toc488741820"/>
      <w:r w:rsidRPr="005F4C4F">
        <w:t xml:space="preserve">Figure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w:t>
      </w:r>
      <w:r w:rsidR="007973A4">
        <w:rPr>
          <w:noProof/>
        </w:rPr>
        <w:fldChar w:fldCharType="end"/>
      </w:r>
      <w:bookmarkEnd w:id="405"/>
      <w:bookmarkEnd w:id="406"/>
      <w:r w:rsidRPr="005F4C4F">
        <w:t>: Portfolio NTGR for PY6 and PY7, by EDC</w:t>
      </w:r>
      <w:bookmarkEnd w:id="407"/>
    </w:p>
    <w:p w:rsidR="005F4C4F" w:rsidRPr="00661E10" w:rsidRDefault="005F4C4F" w:rsidP="002C134F">
      <w:pPr>
        <w:jc w:val="center"/>
      </w:pPr>
      <w:r>
        <w:rPr>
          <w:noProof/>
        </w:rPr>
        <w:drawing>
          <wp:inline distT="0" distB="0" distL="0" distR="0" wp14:anchorId="63A8510D" wp14:editId="4B3A55BC">
            <wp:extent cx="5944235" cy="301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235" cy="3017520"/>
                    </a:xfrm>
                    <a:prstGeom prst="rect">
                      <a:avLst/>
                    </a:prstGeom>
                    <a:noFill/>
                  </pic:spPr>
                </pic:pic>
              </a:graphicData>
            </a:graphic>
          </wp:inline>
        </w:drawing>
      </w:r>
    </w:p>
    <w:p w:rsidR="00661E10" w:rsidRPr="00771798" w:rsidRDefault="00661E10" w:rsidP="00771798">
      <w:pPr>
        <w:pStyle w:val="Heading4"/>
      </w:pPr>
      <w:r w:rsidRPr="00771798">
        <w:t>Duquesne Light Phase II NTG Summary</w:t>
      </w:r>
    </w:p>
    <w:p w:rsidR="00661E10" w:rsidRPr="00661E10" w:rsidRDefault="00ED5AFA" w:rsidP="00661E10">
      <w:r>
        <w:fldChar w:fldCharType="begin"/>
      </w:r>
      <w:r>
        <w:instrText xml:space="preserve"> REF _Ref471458827 \h </w:instrText>
      </w:r>
      <w:r>
        <w:fldChar w:fldCharType="separate"/>
      </w:r>
      <w:r w:rsidR="00037CB4" w:rsidRPr="00ED5AFA">
        <w:t xml:space="preserve">Table </w:t>
      </w:r>
      <w:r w:rsidR="00037CB4">
        <w:rPr>
          <w:noProof/>
        </w:rPr>
        <w:t>5</w:t>
      </w:r>
      <w:r w:rsidR="00037CB4">
        <w:noBreakHyphen/>
      </w:r>
      <w:r w:rsidR="00037CB4">
        <w:rPr>
          <w:noProof/>
        </w:rPr>
        <w:t>6</w:t>
      </w:r>
      <w:r>
        <w:fldChar w:fldCharType="end"/>
      </w:r>
      <w:r>
        <w:t xml:space="preserve"> </w:t>
      </w:r>
      <w:r w:rsidR="00661E10" w:rsidRPr="00661E10">
        <w:t>shows Duquesne’s Phase II NTGRs by program year. Despite intra</w:t>
      </w:r>
      <w:r w:rsidR="004A6B12">
        <w:t>-</w:t>
      </w:r>
      <w:r w:rsidR="00661E10" w:rsidRPr="00661E10">
        <w:t>program variation, portfolio-level NTGR increased steadily throughout Phase II.</w:t>
      </w:r>
    </w:p>
    <w:p w:rsidR="00661E10" w:rsidRPr="00661E10" w:rsidRDefault="00661E10" w:rsidP="00661E10">
      <w:r w:rsidRPr="00661E10">
        <w:t xml:space="preserve"> </w:t>
      </w:r>
    </w:p>
    <w:p w:rsidR="00661E10" w:rsidRPr="00ED5AFA" w:rsidRDefault="00ED5AFA" w:rsidP="004837FA">
      <w:pPr>
        <w:pStyle w:val="Caption"/>
      </w:pPr>
      <w:bookmarkStart w:id="408" w:name="_Ref471458827"/>
      <w:bookmarkStart w:id="409" w:name="_Toc472472191"/>
      <w:bookmarkStart w:id="410" w:name="_Toc488741770"/>
      <w:r w:rsidRPr="00ED5AFA">
        <w:t xml:space="preserve">Table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6</w:t>
      </w:r>
      <w:r w:rsidR="007973A4">
        <w:rPr>
          <w:noProof/>
        </w:rPr>
        <w:fldChar w:fldCharType="end"/>
      </w:r>
      <w:bookmarkEnd w:id="408"/>
      <w:r w:rsidR="00661E10" w:rsidRPr="00ED5AFA">
        <w:t>: Duquesne’s Phase II NTGRs by Program Year</w:t>
      </w:r>
      <w:bookmarkEnd w:id="409"/>
      <w:bookmarkEnd w:id="410"/>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54"/>
        <w:gridCol w:w="3387"/>
        <w:gridCol w:w="1394"/>
        <w:gridCol w:w="1394"/>
        <w:gridCol w:w="1711"/>
      </w:tblGrid>
      <w:tr w:rsidR="00A874AC" w:rsidRPr="00CB2503" w:rsidTr="00CB2503">
        <w:trPr>
          <w:trHeight w:val="20"/>
          <w:tblHeader/>
        </w:trPr>
        <w:tc>
          <w:tcPr>
            <w:tcW w:w="779" w:type="pct"/>
            <w:shd w:val="clear" w:color="auto" w:fill="448A99"/>
            <w:vAlign w:val="bottom"/>
            <w:hideMark/>
          </w:tcPr>
          <w:p w:rsidR="00661E10" w:rsidRPr="00CB2503" w:rsidRDefault="00661E10" w:rsidP="00661E10">
            <w:pPr>
              <w:jc w:val="left"/>
              <w:rPr>
                <w:b/>
                <w:bCs/>
                <w:color w:val="FFFFFF"/>
                <w:sz w:val="19"/>
                <w:szCs w:val="19"/>
              </w:rPr>
            </w:pPr>
            <w:r w:rsidRPr="00CB2503">
              <w:rPr>
                <w:b/>
                <w:color w:val="FFFFFF"/>
                <w:sz w:val="19"/>
                <w:szCs w:val="19"/>
              </w:rPr>
              <w:t>Sector</w:t>
            </w:r>
          </w:p>
        </w:tc>
        <w:tc>
          <w:tcPr>
            <w:tcW w:w="1813"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Program</w:t>
            </w:r>
          </w:p>
        </w:tc>
        <w:tc>
          <w:tcPr>
            <w:tcW w:w="746"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PY5</w:t>
            </w:r>
          </w:p>
        </w:tc>
        <w:tc>
          <w:tcPr>
            <w:tcW w:w="746"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PY6</w:t>
            </w:r>
          </w:p>
        </w:tc>
        <w:tc>
          <w:tcPr>
            <w:tcW w:w="916"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PY7</w:t>
            </w:r>
          </w:p>
        </w:tc>
      </w:tr>
      <w:tr w:rsidR="00A874AC" w:rsidRPr="00CB2503" w:rsidTr="00CB2503">
        <w:trPr>
          <w:trHeight w:val="20"/>
        </w:trPr>
        <w:tc>
          <w:tcPr>
            <w:tcW w:w="779" w:type="pct"/>
            <w:vMerge w:val="restart"/>
            <w:shd w:val="clear" w:color="auto" w:fill="D2EAF1"/>
          </w:tcPr>
          <w:p w:rsidR="00661E10" w:rsidRPr="00CB2503" w:rsidRDefault="00661E10" w:rsidP="00661E10">
            <w:pPr>
              <w:jc w:val="left"/>
              <w:rPr>
                <w:color w:val="000000"/>
                <w:sz w:val="19"/>
                <w:szCs w:val="19"/>
              </w:rPr>
            </w:pPr>
            <w:r w:rsidRPr="00CB2503">
              <w:rPr>
                <w:sz w:val="19"/>
                <w:szCs w:val="19"/>
              </w:rPr>
              <w:t>Residential</w:t>
            </w:r>
          </w:p>
        </w:tc>
        <w:tc>
          <w:tcPr>
            <w:tcW w:w="1813" w:type="pct"/>
            <w:shd w:val="clear" w:color="auto" w:fill="D2EAF1"/>
            <w:noWrap/>
          </w:tcPr>
          <w:p w:rsidR="00661E10" w:rsidRPr="00CB2503" w:rsidRDefault="00661E10" w:rsidP="00661E10">
            <w:pPr>
              <w:jc w:val="left"/>
              <w:rPr>
                <w:color w:val="000000"/>
                <w:sz w:val="19"/>
                <w:szCs w:val="19"/>
              </w:rPr>
            </w:pPr>
            <w:r w:rsidRPr="00CB2503">
              <w:rPr>
                <w:sz w:val="19"/>
                <w:szCs w:val="19"/>
              </w:rPr>
              <w:t>Residential Energy Efficiency Program (REEP)</w:t>
            </w:r>
          </w:p>
        </w:tc>
        <w:tc>
          <w:tcPr>
            <w:tcW w:w="746" w:type="pct"/>
            <w:shd w:val="clear" w:color="auto" w:fill="D2EAF1"/>
            <w:noWrap/>
            <w:vAlign w:val="center"/>
          </w:tcPr>
          <w:p w:rsidR="00661E10" w:rsidRPr="00CB2503" w:rsidRDefault="00661E10" w:rsidP="00661E10">
            <w:pPr>
              <w:jc w:val="center"/>
              <w:rPr>
                <w:sz w:val="19"/>
                <w:szCs w:val="19"/>
              </w:rPr>
            </w:pPr>
            <w:r w:rsidRPr="00CB2503">
              <w:rPr>
                <w:sz w:val="19"/>
                <w:szCs w:val="19"/>
              </w:rPr>
              <w:t>0.56</w:t>
            </w:r>
          </w:p>
        </w:tc>
        <w:tc>
          <w:tcPr>
            <w:tcW w:w="746" w:type="pct"/>
            <w:shd w:val="clear" w:color="auto" w:fill="D2EAF1"/>
            <w:noWrap/>
            <w:vAlign w:val="center"/>
          </w:tcPr>
          <w:p w:rsidR="00661E10" w:rsidRPr="00CB2503" w:rsidRDefault="00661E10" w:rsidP="00661E10">
            <w:pPr>
              <w:jc w:val="center"/>
              <w:rPr>
                <w:sz w:val="19"/>
                <w:szCs w:val="19"/>
              </w:rPr>
            </w:pPr>
            <w:r w:rsidRPr="00CB2503">
              <w:rPr>
                <w:sz w:val="19"/>
                <w:szCs w:val="19"/>
              </w:rPr>
              <w:t>0.69</w:t>
            </w:r>
          </w:p>
        </w:tc>
        <w:tc>
          <w:tcPr>
            <w:tcW w:w="916" w:type="pct"/>
            <w:shd w:val="clear" w:color="auto" w:fill="D2EAF1"/>
            <w:noWrap/>
            <w:vAlign w:val="center"/>
          </w:tcPr>
          <w:p w:rsidR="00661E10" w:rsidRPr="00CB2503" w:rsidRDefault="00661E10" w:rsidP="00661E10">
            <w:pPr>
              <w:jc w:val="center"/>
              <w:rPr>
                <w:sz w:val="19"/>
                <w:szCs w:val="19"/>
              </w:rPr>
            </w:pPr>
            <w:r w:rsidRPr="00CB2503">
              <w:rPr>
                <w:sz w:val="19"/>
                <w:szCs w:val="19"/>
              </w:rPr>
              <w:t>0.69</w:t>
            </w:r>
          </w:p>
        </w:tc>
      </w:tr>
      <w:tr w:rsidR="00A874AC" w:rsidRPr="00CB2503" w:rsidTr="00CB2503">
        <w:trPr>
          <w:trHeight w:val="20"/>
        </w:trPr>
        <w:tc>
          <w:tcPr>
            <w:tcW w:w="779" w:type="pct"/>
            <w:vMerge/>
            <w:shd w:val="clear" w:color="auto" w:fill="D2EAF1"/>
          </w:tcPr>
          <w:p w:rsidR="00661E10" w:rsidRPr="00CB2503" w:rsidRDefault="00661E10" w:rsidP="00661E10">
            <w:pPr>
              <w:jc w:val="left"/>
              <w:rPr>
                <w:color w:val="000000"/>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Residential Appliance Recycling Program (RARP)</w:t>
            </w:r>
          </w:p>
        </w:tc>
        <w:tc>
          <w:tcPr>
            <w:tcW w:w="746" w:type="pct"/>
            <w:shd w:val="clear" w:color="auto" w:fill="auto"/>
            <w:noWrap/>
            <w:vAlign w:val="center"/>
          </w:tcPr>
          <w:p w:rsidR="00661E10" w:rsidRPr="00CB2503" w:rsidRDefault="00661E10" w:rsidP="00661E10">
            <w:pPr>
              <w:jc w:val="center"/>
              <w:rPr>
                <w:sz w:val="19"/>
                <w:szCs w:val="19"/>
              </w:rPr>
            </w:pPr>
            <w:r w:rsidRPr="00CB2503">
              <w:rPr>
                <w:sz w:val="19"/>
                <w:szCs w:val="19"/>
              </w:rPr>
              <w:t>0.47</w:t>
            </w:r>
          </w:p>
        </w:tc>
        <w:tc>
          <w:tcPr>
            <w:tcW w:w="746" w:type="pct"/>
            <w:shd w:val="clear" w:color="auto" w:fill="auto"/>
            <w:noWrap/>
            <w:vAlign w:val="center"/>
          </w:tcPr>
          <w:p w:rsidR="00661E10" w:rsidRPr="00CB2503" w:rsidRDefault="00661E10" w:rsidP="00661E10">
            <w:pPr>
              <w:jc w:val="center"/>
              <w:rPr>
                <w:sz w:val="19"/>
                <w:szCs w:val="19"/>
              </w:rPr>
            </w:pPr>
            <w:r w:rsidRPr="00CB2503">
              <w:rPr>
                <w:sz w:val="19"/>
                <w:szCs w:val="19"/>
              </w:rPr>
              <w:t>0.64</w:t>
            </w:r>
          </w:p>
        </w:tc>
        <w:tc>
          <w:tcPr>
            <w:tcW w:w="916" w:type="pct"/>
            <w:shd w:val="clear" w:color="auto" w:fill="auto"/>
            <w:noWrap/>
            <w:vAlign w:val="center"/>
          </w:tcPr>
          <w:p w:rsidR="00661E10" w:rsidRPr="00CB2503" w:rsidRDefault="00661E10" w:rsidP="00661E10">
            <w:pPr>
              <w:jc w:val="center"/>
              <w:rPr>
                <w:sz w:val="19"/>
                <w:szCs w:val="19"/>
              </w:rPr>
            </w:pPr>
            <w:r w:rsidRPr="00CB2503">
              <w:rPr>
                <w:sz w:val="19"/>
                <w:szCs w:val="19"/>
              </w:rPr>
              <w:t>0.32</w:t>
            </w:r>
          </w:p>
        </w:tc>
      </w:tr>
      <w:tr w:rsidR="00A874AC" w:rsidRPr="00CB2503" w:rsidTr="00CB2503">
        <w:trPr>
          <w:trHeight w:val="20"/>
        </w:trPr>
        <w:tc>
          <w:tcPr>
            <w:tcW w:w="779" w:type="pct"/>
            <w:vMerge/>
            <w:shd w:val="clear" w:color="auto" w:fill="D2EAF1"/>
          </w:tcPr>
          <w:p w:rsidR="00661E10" w:rsidRPr="00CB2503" w:rsidRDefault="00661E10" w:rsidP="00661E10">
            <w:pPr>
              <w:jc w:val="left"/>
              <w:rPr>
                <w:color w:val="000000"/>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Residential Home Energy</w:t>
            </w:r>
          </w:p>
          <w:p w:rsidR="00661E10" w:rsidRPr="00CB2503" w:rsidRDefault="00661E10" w:rsidP="00661E10">
            <w:pPr>
              <w:jc w:val="left"/>
              <w:rPr>
                <w:sz w:val="19"/>
                <w:szCs w:val="19"/>
              </w:rPr>
            </w:pPr>
            <w:r w:rsidRPr="00CB2503">
              <w:rPr>
                <w:sz w:val="19"/>
                <w:szCs w:val="19"/>
              </w:rPr>
              <w:t>Report (HER) Program</w:t>
            </w:r>
          </w:p>
        </w:tc>
        <w:tc>
          <w:tcPr>
            <w:tcW w:w="746" w:type="pct"/>
            <w:shd w:val="clear" w:color="auto" w:fill="D2EAF1"/>
            <w:noWrap/>
            <w:vAlign w:val="center"/>
          </w:tcPr>
          <w:p w:rsidR="00661E10" w:rsidRPr="00CB2503" w:rsidRDefault="00661E10" w:rsidP="00661E10">
            <w:pPr>
              <w:jc w:val="center"/>
              <w:rPr>
                <w:sz w:val="19"/>
                <w:szCs w:val="19"/>
              </w:rPr>
            </w:pPr>
            <w:r w:rsidRPr="00CB2503">
              <w:rPr>
                <w:sz w:val="19"/>
                <w:szCs w:val="19"/>
              </w:rPr>
              <w:t>*</w:t>
            </w:r>
          </w:p>
        </w:tc>
        <w:tc>
          <w:tcPr>
            <w:tcW w:w="746" w:type="pct"/>
            <w:shd w:val="clear" w:color="auto" w:fill="D2EAF1"/>
            <w:noWrap/>
            <w:vAlign w:val="center"/>
          </w:tcPr>
          <w:p w:rsidR="00661E10" w:rsidRPr="00CB2503" w:rsidRDefault="00661E10" w:rsidP="00661E10">
            <w:pPr>
              <w:jc w:val="center"/>
              <w:rPr>
                <w:sz w:val="19"/>
                <w:szCs w:val="19"/>
              </w:rPr>
            </w:pPr>
            <w:r w:rsidRPr="00CB2503">
              <w:rPr>
                <w:sz w:val="19"/>
                <w:szCs w:val="19"/>
              </w:rPr>
              <w:t>*</w:t>
            </w:r>
          </w:p>
        </w:tc>
        <w:tc>
          <w:tcPr>
            <w:tcW w:w="916" w:type="pct"/>
            <w:shd w:val="clear" w:color="auto" w:fill="D2EAF1"/>
            <w:noWrap/>
            <w:vAlign w:val="center"/>
          </w:tcPr>
          <w:p w:rsidR="00661E10" w:rsidRPr="00CB2503" w:rsidRDefault="00661E10" w:rsidP="00661E10">
            <w:pPr>
              <w:jc w:val="center"/>
              <w:rPr>
                <w:sz w:val="19"/>
                <w:szCs w:val="19"/>
              </w:rPr>
            </w:pPr>
            <w:r w:rsidRPr="00CB2503">
              <w:rPr>
                <w:sz w:val="19"/>
                <w:szCs w:val="19"/>
              </w:rPr>
              <w:t>N/A</w:t>
            </w:r>
          </w:p>
        </w:tc>
      </w:tr>
      <w:tr w:rsidR="00A874AC" w:rsidRPr="00CB2503" w:rsidTr="00CB2503">
        <w:trPr>
          <w:trHeight w:val="20"/>
        </w:trPr>
        <w:tc>
          <w:tcPr>
            <w:tcW w:w="779" w:type="pct"/>
            <w:vMerge/>
            <w:shd w:val="clear" w:color="auto" w:fill="D2EAF1"/>
          </w:tcPr>
          <w:p w:rsidR="00661E10" w:rsidRPr="00CB2503" w:rsidRDefault="00661E10" w:rsidP="00661E10">
            <w:pPr>
              <w:jc w:val="left"/>
              <w:rPr>
                <w:color w:val="000000"/>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School Energy Pledge Program (SEP)</w:t>
            </w:r>
          </w:p>
        </w:tc>
        <w:tc>
          <w:tcPr>
            <w:tcW w:w="746" w:type="pct"/>
            <w:shd w:val="clear" w:color="auto" w:fill="auto"/>
            <w:noWrap/>
            <w:vAlign w:val="center"/>
          </w:tcPr>
          <w:p w:rsidR="00661E10" w:rsidRPr="00CB2503" w:rsidRDefault="00661E10" w:rsidP="00661E10">
            <w:pPr>
              <w:jc w:val="center"/>
              <w:rPr>
                <w:sz w:val="19"/>
                <w:szCs w:val="19"/>
              </w:rPr>
            </w:pPr>
            <w:r w:rsidRPr="00CB2503">
              <w:rPr>
                <w:sz w:val="19"/>
                <w:szCs w:val="19"/>
              </w:rPr>
              <w:t>0.85</w:t>
            </w:r>
          </w:p>
        </w:tc>
        <w:tc>
          <w:tcPr>
            <w:tcW w:w="746" w:type="pct"/>
            <w:shd w:val="clear" w:color="auto" w:fill="auto"/>
            <w:noWrap/>
            <w:vAlign w:val="center"/>
          </w:tcPr>
          <w:p w:rsidR="00661E10" w:rsidRPr="00CB2503" w:rsidRDefault="00661E10" w:rsidP="00661E10">
            <w:pPr>
              <w:jc w:val="center"/>
              <w:rPr>
                <w:sz w:val="19"/>
                <w:szCs w:val="19"/>
              </w:rPr>
            </w:pPr>
            <w:r w:rsidRPr="00CB2503">
              <w:rPr>
                <w:sz w:val="19"/>
                <w:szCs w:val="19"/>
              </w:rPr>
              <w:t>0.92</w:t>
            </w:r>
          </w:p>
        </w:tc>
        <w:tc>
          <w:tcPr>
            <w:tcW w:w="916" w:type="pct"/>
            <w:shd w:val="clear" w:color="auto" w:fill="auto"/>
            <w:noWrap/>
            <w:vAlign w:val="center"/>
          </w:tcPr>
          <w:p w:rsidR="00661E10" w:rsidRPr="00CB2503" w:rsidRDefault="00661E10" w:rsidP="00661E10">
            <w:pPr>
              <w:jc w:val="center"/>
              <w:rPr>
                <w:sz w:val="19"/>
                <w:szCs w:val="19"/>
              </w:rPr>
            </w:pPr>
            <w:r w:rsidRPr="00CB2503">
              <w:rPr>
                <w:sz w:val="19"/>
                <w:szCs w:val="19"/>
              </w:rPr>
              <w:t>0.87</w:t>
            </w:r>
          </w:p>
        </w:tc>
      </w:tr>
      <w:tr w:rsidR="00A874AC" w:rsidRPr="00CB2503" w:rsidTr="00CB2503">
        <w:trPr>
          <w:trHeight w:val="20"/>
        </w:trPr>
        <w:tc>
          <w:tcPr>
            <w:tcW w:w="779" w:type="pct"/>
            <w:vMerge/>
            <w:shd w:val="clear" w:color="auto" w:fill="D2EAF1"/>
          </w:tcPr>
          <w:p w:rsidR="00661E10" w:rsidRPr="00CB2503" w:rsidRDefault="00661E10" w:rsidP="00661E10">
            <w:pPr>
              <w:jc w:val="left"/>
              <w:rPr>
                <w:color w:val="000000"/>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Whole House Energy Audit Program (WHEAP)</w:t>
            </w:r>
          </w:p>
        </w:tc>
        <w:tc>
          <w:tcPr>
            <w:tcW w:w="746" w:type="pct"/>
            <w:shd w:val="clear" w:color="auto" w:fill="D2EAF1"/>
            <w:noWrap/>
            <w:vAlign w:val="center"/>
          </w:tcPr>
          <w:p w:rsidR="00661E10" w:rsidRPr="00CB2503" w:rsidRDefault="00661E10" w:rsidP="00661E10">
            <w:pPr>
              <w:jc w:val="center"/>
              <w:rPr>
                <w:sz w:val="19"/>
                <w:szCs w:val="19"/>
              </w:rPr>
            </w:pPr>
            <w:r w:rsidRPr="00CB2503">
              <w:rPr>
                <w:sz w:val="19"/>
                <w:szCs w:val="19"/>
              </w:rPr>
              <w:t>*</w:t>
            </w:r>
          </w:p>
        </w:tc>
        <w:tc>
          <w:tcPr>
            <w:tcW w:w="746" w:type="pct"/>
            <w:shd w:val="clear" w:color="auto" w:fill="D2EAF1"/>
            <w:noWrap/>
            <w:vAlign w:val="center"/>
          </w:tcPr>
          <w:p w:rsidR="00661E10" w:rsidRPr="00CB2503" w:rsidRDefault="00661E10" w:rsidP="00661E10">
            <w:pPr>
              <w:jc w:val="center"/>
              <w:rPr>
                <w:sz w:val="19"/>
                <w:szCs w:val="19"/>
              </w:rPr>
            </w:pPr>
            <w:r w:rsidRPr="00CB2503">
              <w:rPr>
                <w:sz w:val="19"/>
                <w:szCs w:val="19"/>
              </w:rPr>
              <w:t>0.84</w:t>
            </w:r>
          </w:p>
        </w:tc>
        <w:tc>
          <w:tcPr>
            <w:tcW w:w="916" w:type="pct"/>
            <w:shd w:val="clear" w:color="auto" w:fill="D2EAF1"/>
            <w:noWrap/>
            <w:vAlign w:val="center"/>
          </w:tcPr>
          <w:p w:rsidR="00661E10" w:rsidRPr="00CB2503" w:rsidRDefault="00661E10" w:rsidP="00661E10">
            <w:pPr>
              <w:jc w:val="center"/>
              <w:rPr>
                <w:sz w:val="19"/>
                <w:szCs w:val="19"/>
              </w:rPr>
            </w:pPr>
            <w:r w:rsidRPr="00CB2503">
              <w:rPr>
                <w:sz w:val="19"/>
                <w:szCs w:val="19"/>
              </w:rPr>
              <w:t>0.73</w:t>
            </w:r>
          </w:p>
        </w:tc>
      </w:tr>
      <w:tr w:rsidR="00A874AC" w:rsidRPr="00CB2503" w:rsidTr="00CB2503">
        <w:trPr>
          <w:trHeight w:val="20"/>
        </w:trPr>
        <w:tc>
          <w:tcPr>
            <w:tcW w:w="779" w:type="pct"/>
            <w:shd w:val="clear" w:color="auto" w:fill="auto"/>
          </w:tcPr>
          <w:p w:rsidR="00661E10" w:rsidRPr="00CB2503" w:rsidRDefault="00661E10" w:rsidP="00661E10">
            <w:pPr>
              <w:jc w:val="left"/>
              <w:rPr>
                <w:color w:val="000000"/>
                <w:sz w:val="19"/>
                <w:szCs w:val="19"/>
              </w:rPr>
            </w:pPr>
            <w:r w:rsidRPr="00CB2503">
              <w:rPr>
                <w:sz w:val="19"/>
                <w:szCs w:val="19"/>
              </w:rPr>
              <w:t>Low-Income</w:t>
            </w:r>
          </w:p>
        </w:tc>
        <w:tc>
          <w:tcPr>
            <w:tcW w:w="1813" w:type="pct"/>
            <w:shd w:val="clear" w:color="auto" w:fill="FFFFFF" w:themeFill="background1"/>
            <w:noWrap/>
          </w:tcPr>
          <w:p w:rsidR="00661E10" w:rsidRPr="00CB2503" w:rsidRDefault="00661E10" w:rsidP="00661E10">
            <w:pPr>
              <w:jc w:val="left"/>
              <w:rPr>
                <w:sz w:val="19"/>
                <w:szCs w:val="19"/>
              </w:rPr>
            </w:pPr>
            <w:r w:rsidRPr="00CB2503">
              <w:rPr>
                <w:sz w:val="19"/>
                <w:szCs w:val="19"/>
              </w:rPr>
              <w:t>Low-Income Energy Efficiency Program (LIEEP)</w:t>
            </w:r>
          </w:p>
        </w:tc>
        <w:tc>
          <w:tcPr>
            <w:tcW w:w="746" w:type="pct"/>
            <w:shd w:val="clear" w:color="auto" w:fill="FFFFFF" w:themeFill="background1"/>
            <w:noWrap/>
            <w:vAlign w:val="center"/>
          </w:tcPr>
          <w:p w:rsidR="00661E10" w:rsidRPr="00CB2503" w:rsidRDefault="00661E10" w:rsidP="00661E10">
            <w:pPr>
              <w:jc w:val="center"/>
              <w:rPr>
                <w:bCs/>
                <w:color w:val="000000"/>
                <w:sz w:val="19"/>
                <w:szCs w:val="19"/>
              </w:rPr>
            </w:pPr>
            <w:r w:rsidRPr="00CB2503">
              <w:rPr>
                <w:bCs/>
                <w:color w:val="000000"/>
                <w:sz w:val="19"/>
                <w:szCs w:val="19"/>
              </w:rPr>
              <w:t>0.54</w:t>
            </w:r>
          </w:p>
        </w:tc>
        <w:tc>
          <w:tcPr>
            <w:tcW w:w="746" w:type="pct"/>
            <w:shd w:val="clear" w:color="auto" w:fill="FFFFFF" w:themeFill="background1"/>
            <w:noWrap/>
            <w:vAlign w:val="center"/>
          </w:tcPr>
          <w:p w:rsidR="00661E10" w:rsidRPr="00CB2503" w:rsidRDefault="00661E10" w:rsidP="00661E10">
            <w:pPr>
              <w:jc w:val="center"/>
              <w:rPr>
                <w:b/>
                <w:bCs/>
                <w:color w:val="000000"/>
                <w:sz w:val="19"/>
                <w:szCs w:val="19"/>
              </w:rPr>
            </w:pPr>
            <w:r w:rsidRPr="00CB2503">
              <w:rPr>
                <w:sz w:val="19"/>
                <w:szCs w:val="19"/>
              </w:rPr>
              <w:t>0.76</w:t>
            </w:r>
          </w:p>
        </w:tc>
        <w:tc>
          <w:tcPr>
            <w:tcW w:w="916" w:type="pct"/>
            <w:shd w:val="clear" w:color="auto" w:fill="FFFFFF" w:themeFill="background1"/>
            <w:noWrap/>
            <w:vAlign w:val="center"/>
          </w:tcPr>
          <w:p w:rsidR="00661E10" w:rsidRPr="00CB2503" w:rsidRDefault="00661E10" w:rsidP="00661E10">
            <w:pPr>
              <w:jc w:val="center"/>
              <w:rPr>
                <w:b/>
                <w:bCs/>
                <w:color w:val="000000"/>
                <w:sz w:val="19"/>
                <w:szCs w:val="19"/>
              </w:rPr>
            </w:pPr>
            <w:r w:rsidRPr="00CB2503">
              <w:rPr>
                <w:sz w:val="19"/>
                <w:szCs w:val="19"/>
              </w:rPr>
              <w:t>0.81</w:t>
            </w:r>
          </w:p>
        </w:tc>
      </w:tr>
      <w:tr w:rsidR="00A874AC" w:rsidRPr="00CB2503" w:rsidTr="00CB2503">
        <w:trPr>
          <w:trHeight w:val="20"/>
        </w:trPr>
        <w:tc>
          <w:tcPr>
            <w:tcW w:w="779" w:type="pct"/>
            <w:vMerge w:val="restart"/>
            <w:shd w:val="clear" w:color="auto" w:fill="D2EAF1"/>
          </w:tcPr>
          <w:p w:rsidR="00661E10" w:rsidRPr="00CB2503" w:rsidRDefault="00661E10" w:rsidP="00661E10">
            <w:pPr>
              <w:jc w:val="left"/>
              <w:rPr>
                <w:color w:val="000000"/>
                <w:sz w:val="19"/>
                <w:szCs w:val="19"/>
              </w:rPr>
            </w:pPr>
            <w:r w:rsidRPr="00CB2503">
              <w:rPr>
                <w:sz w:val="19"/>
                <w:szCs w:val="19"/>
              </w:rPr>
              <w:t>Non-Residential</w:t>
            </w:r>
          </w:p>
        </w:tc>
        <w:tc>
          <w:tcPr>
            <w:tcW w:w="1813" w:type="pct"/>
            <w:shd w:val="clear" w:color="auto" w:fill="D2EAF1"/>
            <w:noWrap/>
          </w:tcPr>
          <w:p w:rsidR="00661E10" w:rsidRPr="00CB2503" w:rsidRDefault="00661E10" w:rsidP="00661E10">
            <w:pPr>
              <w:jc w:val="left"/>
              <w:rPr>
                <w:sz w:val="19"/>
                <w:szCs w:val="19"/>
              </w:rPr>
            </w:pPr>
            <w:r w:rsidRPr="00CB2503">
              <w:rPr>
                <w:sz w:val="19"/>
                <w:szCs w:val="19"/>
              </w:rPr>
              <w:t>Commercial Program Group</w:t>
            </w:r>
          </w:p>
        </w:tc>
        <w:tc>
          <w:tcPr>
            <w:tcW w:w="746" w:type="pct"/>
            <w:shd w:val="clear" w:color="auto" w:fill="D2EAF1"/>
            <w:noWrap/>
            <w:vAlign w:val="center"/>
          </w:tcPr>
          <w:p w:rsidR="00661E10" w:rsidRPr="00CB2503" w:rsidRDefault="00661E10" w:rsidP="00661E10">
            <w:pPr>
              <w:jc w:val="center"/>
              <w:rPr>
                <w:bCs/>
                <w:color w:val="000000"/>
                <w:sz w:val="19"/>
                <w:szCs w:val="19"/>
              </w:rPr>
            </w:pPr>
            <w:r w:rsidRPr="00CB2503">
              <w:rPr>
                <w:bCs/>
                <w:color w:val="000000"/>
                <w:sz w:val="19"/>
                <w:szCs w:val="19"/>
              </w:rPr>
              <w:t>0.52</w:t>
            </w:r>
          </w:p>
        </w:tc>
        <w:tc>
          <w:tcPr>
            <w:tcW w:w="746"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w:t>
            </w:r>
          </w:p>
        </w:tc>
        <w:tc>
          <w:tcPr>
            <w:tcW w:w="916" w:type="pct"/>
            <w:shd w:val="clear" w:color="auto" w:fill="D2EAF1"/>
            <w:noWrap/>
            <w:vAlign w:val="center"/>
          </w:tcPr>
          <w:p w:rsidR="00661E10" w:rsidRPr="00CB2503" w:rsidRDefault="00661E10" w:rsidP="00661E10">
            <w:pPr>
              <w:jc w:val="center"/>
              <w:rPr>
                <w:b/>
                <w:bCs/>
                <w:color w:val="000000"/>
                <w:sz w:val="19"/>
                <w:szCs w:val="19"/>
              </w:rPr>
            </w:pPr>
            <w:r w:rsidRPr="00CB2503">
              <w:rPr>
                <w:sz w:val="19"/>
                <w:szCs w:val="19"/>
              </w:rPr>
              <w:t>0.67</w:t>
            </w:r>
          </w:p>
        </w:tc>
      </w:tr>
      <w:tr w:rsidR="00A874AC" w:rsidRPr="00CB2503" w:rsidTr="00CB2503">
        <w:trPr>
          <w:trHeight w:val="20"/>
        </w:trPr>
        <w:tc>
          <w:tcPr>
            <w:tcW w:w="779" w:type="pct"/>
            <w:vMerge/>
            <w:shd w:val="clear" w:color="auto" w:fill="D2EAF1"/>
          </w:tcPr>
          <w:p w:rsidR="00661E10" w:rsidRPr="00CB2503" w:rsidRDefault="00661E10" w:rsidP="00661E10">
            <w:pPr>
              <w:jc w:val="left"/>
              <w:rPr>
                <w:sz w:val="19"/>
                <w:szCs w:val="19"/>
              </w:rPr>
            </w:pPr>
          </w:p>
        </w:tc>
        <w:tc>
          <w:tcPr>
            <w:tcW w:w="1813" w:type="pct"/>
            <w:shd w:val="clear" w:color="auto" w:fill="FFFFFF" w:themeFill="background1"/>
            <w:noWrap/>
          </w:tcPr>
          <w:p w:rsidR="00661E10" w:rsidRPr="00CB2503" w:rsidRDefault="00661E10" w:rsidP="00661E10">
            <w:pPr>
              <w:jc w:val="left"/>
              <w:rPr>
                <w:sz w:val="19"/>
                <w:szCs w:val="19"/>
              </w:rPr>
            </w:pPr>
            <w:r w:rsidRPr="00CB2503">
              <w:rPr>
                <w:sz w:val="19"/>
                <w:szCs w:val="19"/>
              </w:rPr>
              <w:t>Industrial Program</w:t>
            </w:r>
          </w:p>
        </w:tc>
        <w:tc>
          <w:tcPr>
            <w:tcW w:w="746" w:type="pct"/>
            <w:shd w:val="clear" w:color="auto" w:fill="FFFFFF" w:themeFill="background1"/>
            <w:noWrap/>
            <w:vAlign w:val="center"/>
          </w:tcPr>
          <w:p w:rsidR="00661E10" w:rsidRPr="00CB2503" w:rsidRDefault="00661E10" w:rsidP="00661E10">
            <w:pPr>
              <w:jc w:val="center"/>
              <w:rPr>
                <w:bCs/>
                <w:color w:val="000000"/>
                <w:sz w:val="19"/>
                <w:szCs w:val="19"/>
              </w:rPr>
            </w:pPr>
            <w:r w:rsidRPr="00CB2503">
              <w:rPr>
                <w:bCs/>
                <w:color w:val="000000"/>
                <w:sz w:val="19"/>
                <w:szCs w:val="19"/>
              </w:rPr>
              <w:t>0.24</w:t>
            </w:r>
          </w:p>
        </w:tc>
        <w:tc>
          <w:tcPr>
            <w:tcW w:w="746" w:type="pct"/>
            <w:shd w:val="clear" w:color="auto" w:fill="FFFFFF" w:themeFill="background1"/>
            <w:noWrap/>
            <w:vAlign w:val="center"/>
          </w:tcPr>
          <w:p w:rsidR="00661E10" w:rsidRPr="00CB2503" w:rsidRDefault="00661E10" w:rsidP="00661E10">
            <w:pPr>
              <w:jc w:val="center"/>
              <w:rPr>
                <w:sz w:val="19"/>
                <w:szCs w:val="19"/>
              </w:rPr>
            </w:pPr>
            <w:r w:rsidRPr="00CB2503">
              <w:rPr>
                <w:sz w:val="19"/>
                <w:szCs w:val="19"/>
              </w:rPr>
              <w:t>*</w:t>
            </w:r>
          </w:p>
        </w:tc>
        <w:tc>
          <w:tcPr>
            <w:tcW w:w="916" w:type="pct"/>
            <w:shd w:val="clear" w:color="auto" w:fill="FFFFFF" w:themeFill="background1"/>
            <w:noWrap/>
            <w:vAlign w:val="center"/>
          </w:tcPr>
          <w:p w:rsidR="00661E10" w:rsidRPr="00CB2503" w:rsidRDefault="00661E10" w:rsidP="00661E10">
            <w:pPr>
              <w:jc w:val="center"/>
              <w:rPr>
                <w:sz w:val="19"/>
                <w:szCs w:val="19"/>
              </w:rPr>
            </w:pPr>
            <w:r w:rsidRPr="00CB2503">
              <w:rPr>
                <w:sz w:val="19"/>
                <w:szCs w:val="19"/>
              </w:rPr>
              <w:t>0.68</w:t>
            </w:r>
          </w:p>
        </w:tc>
      </w:tr>
      <w:tr w:rsidR="00A874AC" w:rsidRPr="00CB2503" w:rsidTr="00CB2503">
        <w:trPr>
          <w:trHeight w:val="20"/>
        </w:trPr>
        <w:tc>
          <w:tcPr>
            <w:tcW w:w="779" w:type="pct"/>
            <w:vMerge/>
            <w:shd w:val="clear" w:color="auto" w:fill="D2EAF1"/>
          </w:tcPr>
          <w:p w:rsidR="00661E10" w:rsidRPr="00CB2503" w:rsidRDefault="00661E10" w:rsidP="00661E10">
            <w:pPr>
              <w:jc w:val="left"/>
              <w:rPr>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Small Commercial Direct Install (SCDI) Program</w:t>
            </w:r>
          </w:p>
        </w:tc>
        <w:tc>
          <w:tcPr>
            <w:tcW w:w="746" w:type="pct"/>
            <w:shd w:val="clear" w:color="auto" w:fill="D2EAF1"/>
            <w:noWrap/>
            <w:vAlign w:val="center"/>
          </w:tcPr>
          <w:p w:rsidR="00661E10" w:rsidRPr="00CB2503" w:rsidRDefault="00661E10" w:rsidP="00661E10">
            <w:pPr>
              <w:jc w:val="center"/>
              <w:rPr>
                <w:bCs/>
                <w:color w:val="000000"/>
                <w:sz w:val="19"/>
                <w:szCs w:val="19"/>
              </w:rPr>
            </w:pPr>
            <w:r w:rsidRPr="00CB2503">
              <w:rPr>
                <w:bCs/>
                <w:color w:val="000000"/>
                <w:sz w:val="19"/>
                <w:szCs w:val="19"/>
              </w:rPr>
              <w:t>*</w:t>
            </w:r>
          </w:p>
        </w:tc>
        <w:tc>
          <w:tcPr>
            <w:tcW w:w="746" w:type="pct"/>
            <w:shd w:val="clear" w:color="auto" w:fill="D2EAF1"/>
            <w:noWrap/>
            <w:vAlign w:val="center"/>
          </w:tcPr>
          <w:p w:rsidR="00661E10" w:rsidRPr="00CB2503" w:rsidRDefault="00661E10" w:rsidP="00661E10">
            <w:pPr>
              <w:jc w:val="center"/>
              <w:rPr>
                <w:sz w:val="19"/>
                <w:szCs w:val="19"/>
              </w:rPr>
            </w:pPr>
            <w:r w:rsidRPr="00CB2503">
              <w:rPr>
                <w:sz w:val="19"/>
                <w:szCs w:val="19"/>
              </w:rPr>
              <w:t>0.99</w:t>
            </w:r>
          </w:p>
        </w:tc>
        <w:tc>
          <w:tcPr>
            <w:tcW w:w="916" w:type="pct"/>
            <w:shd w:val="clear" w:color="auto" w:fill="D2EAF1"/>
            <w:noWrap/>
            <w:vAlign w:val="center"/>
          </w:tcPr>
          <w:p w:rsidR="00661E10" w:rsidRPr="00CB2503" w:rsidRDefault="00661E10" w:rsidP="00661E10">
            <w:pPr>
              <w:jc w:val="center"/>
              <w:rPr>
                <w:sz w:val="19"/>
                <w:szCs w:val="19"/>
              </w:rPr>
            </w:pPr>
            <w:r w:rsidRPr="00CB2503">
              <w:rPr>
                <w:sz w:val="19"/>
                <w:szCs w:val="19"/>
              </w:rPr>
              <w:t>*</w:t>
            </w:r>
          </w:p>
        </w:tc>
      </w:tr>
      <w:tr w:rsidR="00A874AC" w:rsidRPr="00CB2503" w:rsidTr="00CB2503">
        <w:trPr>
          <w:trHeight w:val="20"/>
        </w:trPr>
        <w:tc>
          <w:tcPr>
            <w:tcW w:w="779" w:type="pct"/>
            <w:vMerge/>
            <w:shd w:val="clear" w:color="auto" w:fill="D2EAF1"/>
          </w:tcPr>
          <w:p w:rsidR="00661E10" w:rsidRPr="00CB2503" w:rsidRDefault="00661E10" w:rsidP="00661E10">
            <w:pPr>
              <w:jc w:val="left"/>
              <w:rPr>
                <w:color w:val="000000"/>
                <w:sz w:val="19"/>
                <w:szCs w:val="19"/>
              </w:rPr>
            </w:pPr>
          </w:p>
        </w:tc>
        <w:tc>
          <w:tcPr>
            <w:tcW w:w="1813" w:type="pct"/>
            <w:shd w:val="clear" w:color="auto" w:fill="FFFFFF" w:themeFill="background1"/>
            <w:noWrap/>
          </w:tcPr>
          <w:p w:rsidR="00661E10" w:rsidRPr="00CB2503" w:rsidRDefault="00661E10" w:rsidP="00661E10">
            <w:pPr>
              <w:jc w:val="left"/>
              <w:rPr>
                <w:sz w:val="19"/>
                <w:szCs w:val="19"/>
              </w:rPr>
            </w:pPr>
            <w:r w:rsidRPr="00CB2503">
              <w:rPr>
                <w:sz w:val="19"/>
                <w:szCs w:val="19"/>
              </w:rPr>
              <w:t>Multifamily Housing Retrofit (MFHR) Program</w:t>
            </w:r>
          </w:p>
        </w:tc>
        <w:tc>
          <w:tcPr>
            <w:tcW w:w="746" w:type="pct"/>
            <w:shd w:val="clear" w:color="auto" w:fill="FFFFFF" w:themeFill="background1"/>
            <w:noWrap/>
            <w:vAlign w:val="center"/>
          </w:tcPr>
          <w:p w:rsidR="00661E10" w:rsidRPr="00CB2503" w:rsidRDefault="00661E10" w:rsidP="00661E10">
            <w:pPr>
              <w:jc w:val="center"/>
              <w:rPr>
                <w:bCs/>
                <w:color w:val="000000"/>
                <w:sz w:val="19"/>
                <w:szCs w:val="19"/>
              </w:rPr>
            </w:pPr>
            <w:r w:rsidRPr="00CB2503">
              <w:rPr>
                <w:bCs/>
                <w:color w:val="000000"/>
                <w:sz w:val="19"/>
                <w:szCs w:val="19"/>
              </w:rPr>
              <w:t>*</w:t>
            </w:r>
          </w:p>
        </w:tc>
        <w:tc>
          <w:tcPr>
            <w:tcW w:w="746" w:type="pct"/>
            <w:shd w:val="clear" w:color="auto" w:fill="FFFFFF" w:themeFill="background1"/>
            <w:noWrap/>
            <w:vAlign w:val="center"/>
          </w:tcPr>
          <w:p w:rsidR="00661E10" w:rsidRPr="00CB2503" w:rsidRDefault="00661E10" w:rsidP="00661E10">
            <w:pPr>
              <w:jc w:val="center"/>
              <w:rPr>
                <w:b/>
                <w:bCs/>
                <w:color w:val="000000"/>
                <w:sz w:val="19"/>
                <w:szCs w:val="19"/>
              </w:rPr>
            </w:pPr>
            <w:r w:rsidRPr="00CB2503">
              <w:rPr>
                <w:sz w:val="19"/>
                <w:szCs w:val="19"/>
              </w:rPr>
              <w:t>0.95</w:t>
            </w:r>
          </w:p>
        </w:tc>
        <w:tc>
          <w:tcPr>
            <w:tcW w:w="916" w:type="pct"/>
            <w:shd w:val="clear" w:color="auto" w:fill="FFFFFF" w:themeFill="background1"/>
            <w:noWrap/>
            <w:vAlign w:val="center"/>
          </w:tcPr>
          <w:p w:rsidR="00661E10" w:rsidRPr="00CB2503" w:rsidRDefault="00661E10" w:rsidP="00661E10">
            <w:pPr>
              <w:jc w:val="center"/>
              <w:rPr>
                <w:b/>
                <w:bCs/>
                <w:color w:val="000000"/>
                <w:sz w:val="19"/>
                <w:szCs w:val="19"/>
              </w:rPr>
            </w:pPr>
            <w:r w:rsidRPr="00CB2503">
              <w:rPr>
                <w:sz w:val="19"/>
                <w:szCs w:val="19"/>
              </w:rPr>
              <w:t>*</w:t>
            </w:r>
          </w:p>
        </w:tc>
      </w:tr>
      <w:tr w:rsidR="00E7173E" w:rsidRPr="00CB2503" w:rsidTr="00CB2503">
        <w:trPr>
          <w:trHeight w:val="288"/>
        </w:trPr>
        <w:tc>
          <w:tcPr>
            <w:tcW w:w="2592" w:type="pct"/>
            <w:gridSpan w:val="2"/>
            <w:shd w:val="clear" w:color="auto" w:fill="auto"/>
          </w:tcPr>
          <w:p w:rsidR="00661E10" w:rsidRPr="00CB2503" w:rsidRDefault="00661E10" w:rsidP="00661E10">
            <w:pPr>
              <w:jc w:val="center"/>
              <w:rPr>
                <w:b/>
                <w:sz w:val="19"/>
                <w:szCs w:val="19"/>
              </w:rPr>
            </w:pPr>
            <w:r w:rsidRPr="00CB2503">
              <w:rPr>
                <w:b/>
                <w:color w:val="000000"/>
                <w:sz w:val="19"/>
                <w:szCs w:val="19"/>
              </w:rPr>
              <w:t>Portfolio</w:t>
            </w:r>
          </w:p>
        </w:tc>
        <w:tc>
          <w:tcPr>
            <w:tcW w:w="746" w:type="pct"/>
            <w:shd w:val="clear" w:color="auto" w:fill="auto"/>
            <w:noWrap/>
            <w:vAlign w:val="center"/>
          </w:tcPr>
          <w:p w:rsidR="00661E10" w:rsidRPr="00CB2503" w:rsidRDefault="00661E10" w:rsidP="00661E10">
            <w:pPr>
              <w:jc w:val="center"/>
              <w:rPr>
                <w:b/>
                <w:bCs/>
                <w:color w:val="000000"/>
                <w:sz w:val="19"/>
                <w:szCs w:val="19"/>
              </w:rPr>
            </w:pPr>
            <w:r w:rsidRPr="00CB2503">
              <w:rPr>
                <w:b/>
                <w:bCs/>
                <w:color w:val="000000"/>
                <w:sz w:val="19"/>
                <w:szCs w:val="19"/>
              </w:rPr>
              <w:t>0.55</w:t>
            </w:r>
          </w:p>
        </w:tc>
        <w:tc>
          <w:tcPr>
            <w:tcW w:w="746" w:type="pct"/>
            <w:shd w:val="clear" w:color="auto" w:fill="auto"/>
            <w:noWrap/>
            <w:vAlign w:val="center"/>
          </w:tcPr>
          <w:p w:rsidR="00661E10" w:rsidRPr="00CB2503" w:rsidRDefault="00661E10" w:rsidP="00661E10">
            <w:pPr>
              <w:jc w:val="center"/>
              <w:rPr>
                <w:b/>
                <w:bCs/>
                <w:color w:val="000000"/>
                <w:sz w:val="19"/>
                <w:szCs w:val="19"/>
              </w:rPr>
            </w:pPr>
            <w:r w:rsidRPr="00CB2503">
              <w:rPr>
                <w:b/>
                <w:sz w:val="19"/>
                <w:szCs w:val="19"/>
              </w:rPr>
              <w:t>0.66</w:t>
            </w:r>
          </w:p>
        </w:tc>
        <w:tc>
          <w:tcPr>
            <w:tcW w:w="916" w:type="pct"/>
            <w:shd w:val="clear" w:color="auto" w:fill="auto"/>
            <w:noWrap/>
            <w:vAlign w:val="center"/>
          </w:tcPr>
          <w:p w:rsidR="00661E10" w:rsidRPr="00CB2503" w:rsidRDefault="00661E10" w:rsidP="00661E10">
            <w:pPr>
              <w:jc w:val="center"/>
              <w:rPr>
                <w:b/>
                <w:sz w:val="19"/>
                <w:szCs w:val="19"/>
              </w:rPr>
            </w:pPr>
            <w:r w:rsidRPr="00CB2503">
              <w:rPr>
                <w:b/>
                <w:sz w:val="19"/>
                <w:szCs w:val="19"/>
              </w:rPr>
              <w:t>0.74</w:t>
            </w:r>
          </w:p>
        </w:tc>
      </w:tr>
      <w:tr w:rsidR="00E7173E" w:rsidRPr="00771798" w:rsidTr="00CB2503">
        <w:trPr>
          <w:trHeight w:val="288"/>
        </w:trPr>
        <w:tc>
          <w:tcPr>
            <w:tcW w:w="5000" w:type="pct"/>
            <w:gridSpan w:val="5"/>
            <w:shd w:val="clear" w:color="auto" w:fill="448A99"/>
          </w:tcPr>
          <w:p w:rsidR="00661E10" w:rsidRPr="00771798" w:rsidRDefault="00661E10" w:rsidP="00661E10">
            <w:pPr>
              <w:jc w:val="left"/>
              <w:rPr>
                <w:color w:val="FFFFFF"/>
                <w:sz w:val="18"/>
                <w:szCs w:val="19"/>
              </w:rPr>
            </w:pPr>
            <w:r w:rsidRPr="00771798">
              <w:rPr>
                <w:color w:val="FFFFFF"/>
                <w:sz w:val="18"/>
                <w:szCs w:val="19"/>
              </w:rPr>
              <w:t>NOTE</w:t>
            </w:r>
            <w:r w:rsidR="00CB2503" w:rsidRPr="00771798">
              <w:rPr>
                <w:color w:val="FFFFFF"/>
                <w:sz w:val="18"/>
                <w:szCs w:val="19"/>
              </w:rPr>
              <w:t>S</w:t>
            </w:r>
            <w:r w:rsidR="00630371" w:rsidRPr="00771798">
              <w:rPr>
                <w:color w:val="FFFFFF"/>
                <w:sz w:val="18"/>
                <w:szCs w:val="19"/>
              </w:rPr>
              <w:t>:</w:t>
            </w:r>
          </w:p>
          <w:p w:rsidR="00661E10" w:rsidRPr="00771798" w:rsidRDefault="00661E10" w:rsidP="00514A0E">
            <w:pPr>
              <w:jc w:val="left"/>
              <w:rPr>
                <w:color w:val="FFFFFF" w:themeColor="background1"/>
                <w:sz w:val="18"/>
                <w:szCs w:val="19"/>
              </w:rPr>
            </w:pPr>
            <w:r w:rsidRPr="00771798">
              <w:rPr>
                <w:color w:val="FFFFFF" w:themeColor="background1"/>
                <w:sz w:val="18"/>
                <w:szCs w:val="19"/>
              </w:rPr>
              <w:t>*</w:t>
            </w:r>
            <w:r w:rsidR="00514A0E" w:rsidRPr="00771798">
              <w:rPr>
                <w:color w:val="FFFFFF" w:themeColor="background1"/>
                <w:sz w:val="18"/>
                <w:szCs w:val="19"/>
              </w:rPr>
              <w:t>Denotes that no NTGR research was conducted in that year.</w:t>
            </w:r>
          </w:p>
        </w:tc>
      </w:tr>
    </w:tbl>
    <w:p w:rsidR="00661E10" w:rsidRDefault="00661E10" w:rsidP="00661E10">
      <w:pPr>
        <w:rPr>
          <w:color w:val="000000"/>
        </w:rPr>
      </w:pPr>
    </w:p>
    <w:p w:rsidR="00661E10" w:rsidRPr="00661E10" w:rsidRDefault="00661E10" w:rsidP="00E673F0">
      <w:pPr>
        <w:pStyle w:val="Heading4"/>
      </w:pPr>
      <w:r w:rsidRPr="00661E10">
        <w:t>Metropolitan Edison Phase II NTG Summary</w:t>
      </w:r>
    </w:p>
    <w:p w:rsidR="00661E10" w:rsidRPr="00661E10" w:rsidRDefault="002C134F" w:rsidP="002C134F">
      <w:r>
        <w:fldChar w:fldCharType="begin"/>
      </w:r>
      <w:r>
        <w:instrText xml:space="preserve"> REF _Ref471458871 \h </w:instrText>
      </w:r>
      <w:r>
        <w:fldChar w:fldCharType="separate"/>
      </w:r>
      <w:r w:rsidR="00037CB4" w:rsidRPr="00ED5AFA">
        <w:t xml:space="preserve">Table </w:t>
      </w:r>
      <w:r w:rsidR="00037CB4">
        <w:rPr>
          <w:noProof/>
        </w:rPr>
        <w:t>5</w:t>
      </w:r>
      <w:r w:rsidR="00037CB4">
        <w:noBreakHyphen/>
      </w:r>
      <w:r w:rsidR="00037CB4">
        <w:rPr>
          <w:noProof/>
        </w:rPr>
        <w:t>7</w:t>
      </w:r>
      <w:r>
        <w:fldChar w:fldCharType="end"/>
      </w:r>
      <w:r>
        <w:t xml:space="preserve"> </w:t>
      </w:r>
      <w:r w:rsidR="00661E10" w:rsidRPr="002C134F">
        <w:t xml:space="preserve">shows Met-Ed’s Phase II NTGRs by program year. Met-Ed did not conduct any NTG evaluation activities during PY5. Most programs experienced a drop in NTGR from PY6 to PY7, which resulted in a lower portfolio-level NTGR in PY7. </w:t>
      </w:r>
      <w:r w:rsidR="00514A0E" w:rsidRPr="002C134F">
        <w:t xml:space="preserve">The change in evaluation methodologies for appliance recycling and low income (see text associated with </w:t>
      </w:r>
      <w:r>
        <w:fldChar w:fldCharType="begin"/>
      </w:r>
      <w:r>
        <w:instrText xml:space="preserve"> REF _Ref473709359 \h </w:instrText>
      </w:r>
      <w:r>
        <w:fldChar w:fldCharType="separate"/>
      </w:r>
      <w:r w:rsidR="00037CB4" w:rsidRPr="005F4C4F">
        <w:t xml:space="preserve">Figure </w:t>
      </w:r>
      <w:r w:rsidR="00037CB4">
        <w:rPr>
          <w:noProof/>
        </w:rPr>
        <w:t>5</w:t>
      </w:r>
      <w:r w:rsidR="00037CB4">
        <w:noBreakHyphen/>
      </w:r>
      <w:r w:rsidR="00037CB4">
        <w:rPr>
          <w:noProof/>
        </w:rPr>
        <w:t>1</w:t>
      </w:r>
      <w:r>
        <w:fldChar w:fldCharType="end"/>
      </w:r>
      <w:r w:rsidR="00514A0E" w:rsidRPr="00514A0E">
        <w:t>), as well as first-time NTGR estimates in PY7 for two programs, contributed to the decrease</w:t>
      </w:r>
      <w:r w:rsidR="00B90CD9">
        <w:t>.</w:t>
      </w:r>
    </w:p>
    <w:p w:rsidR="00661E10" w:rsidRPr="00661E10" w:rsidRDefault="00661E10" w:rsidP="00661E10"/>
    <w:p w:rsidR="00661E10" w:rsidRPr="00ED5AFA" w:rsidRDefault="00ED5AFA" w:rsidP="004837FA">
      <w:pPr>
        <w:pStyle w:val="Caption"/>
      </w:pPr>
      <w:bookmarkStart w:id="411" w:name="_Ref471458871"/>
      <w:bookmarkStart w:id="412" w:name="_Toc472472192"/>
      <w:bookmarkStart w:id="413" w:name="_Toc488741771"/>
      <w:r w:rsidRPr="00ED5AFA">
        <w:t xml:space="preserve">Table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7</w:t>
      </w:r>
      <w:r w:rsidR="007973A4">
        <w:rPr>
          <w:noProof/>
        </w:rPr>
        <w:fldChar w:fldCharType="end"/>
      </w:r>
      <w:bookmarkEnd w:id="411"/>
      <w:r w:rsidR="00661E10" w:rsidRPr="00ED5AFA">
        <w:t>: Met-Ed’s Phase II NTGRs by Program Year</w:t>
      </w:r>
      <w:bookmarkEnd w:id="412"/>
      <w:bookmarkEnd w:id="413"/>
    </w:p>
    <w:tbl>
      <w:tblPr>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30"/>
        <w:gridCol w:w="3323"/>
        <w:gridCol w:w="1394"/>
        <w:gridCol w:w="1394"/>
        <w:gridCol w:w="1799"/>
      </w:tblGrid>
      <w:tr w:rsidR="00A874AC" w:rsidRPr="00CB2503" w:rsidTr="00CB2503">
        <w:trPr>
          <w:trHeight w:val="20"/>
          <w:tblHeader/>
        </w:trPr>
        <w:tc>
          <w:tcPr>
            <w:tcW w:w="766" w:type="pct"/>
            <w:shd w:val="clear" w:color="auto" w:fill="448A99"/>
            <w:vAlign w:val="bottom"/>
            <w:hideMark/>
          </w:tcPr>
          <w:p w:rsidR="00661E10" w:rsidRPr="00CB2503" w:rsidRDefault="00661E10" w:rsidP="00661E10">
            <w:pPr>
              <w:jc w:val="left"/>
              <w:rPr>
                <w:b/>
                <w:bCs/>
                <w:color w:val="FFFFFF"/>
                <w:sz w:val="19"/>
                <w:szCs w:val="19"/>
              </w:rPr>
            </w:pPr>
            <w:r w:rsidRPr="00CB2503">
              <w:rPr>
                <w:b/>
                <w:color w:val="FFFFFF"/>
                <w:sz w:val="19"/>
                <w:szCs w:val="19"/>
              </w:rPr>
              <w:t>Sector</w:t>
            </w:r>
          </w:p>
        </w:tc>
        <w:tc>
          <w:tcPr>
            <w:tcW w:w="1779"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Program</w:t>
            </w:r>
          </w:p>
        </w:tc>
        <w:tc>
          <w:tcPr>
            <w:tcW w:w="746"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PY5</w:t>
            </w:r>
          </w:p>
        </w:tc>
        <w:tc>
          <w:tcPr>
            <w:tcW w:w="746"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PY6</w:t>
            </w:r>
          </w:p>
        </w:tc>
        <w:tc>
          <w:tcPr>
            <w:tcW w:w="963"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PY7</w:t>
            </w:r>
          </w:p>
        </w:tc>
      </w:tr>
      <w:tr w:rsidR="00A874AC" w:rsidRPr="00CB2503" w:rsidTr="00771798">
        <w:trPr>
          <w:trHeight w:val="216"/>
        </w:trPr>
        <w:tc>
          <w:tcPr>
            <w:tcW w:w="766" w:type="pct"/>
            <w:vMerge w:val="restart"/>
            <w:shd w:val="clear" w:color="auto" w:fill="D2EAF1"/>
          </w:tcPr>
          <w:p w:rsidR="00661E10" w:rsidRPr="00CB2503" w:rsidRDefault="00661E10" w:rsidP="00661E10">
            <w:pPr>
              <w:jc w:val="left"/>
              <w:rPr>
                <w:color w:val="000000"/>
                <w:sz w:val="19"/>
                <w:szCs w:val="19"/>
              </w:rPr>
            </w:pPr>
            <w:r w:rsidRPr="00CB2503">
              <w:rPr>
                <w:sz w:val="19"/>
                <w:szCs w:val="19"/>
              </w:rPr>
              <w:t>Residential</w:t>
            </w:r>
          </w:p>
        </w:tc>
        <w:tc>
          <w:tcPr>
            <w:tcW w:w="1779" w:type="pct"/>
            <w:shd w:val="clear" w:color="auto" w:fill="D2EAF1"/>
            <w:noWrap/>
          </w:tcPr>
          <w:p w:rsidR="00661E10" w:rsidRPr="00CB2503" w:rsidRDefault="00661E10" w:rsidP="00661E10">
            <w:pPr>
              <w:jc w:val="left"/>
              <w:rPr>
                <w:color w:val="000000"/>
                <w:sz w:val="19"/>
                <w:szCs w:val="19"/>
              </w:rPr>
            </w:pPr>
            <w:r w:rsidRPr="00CB2503">
              <w:rPr>
                <w:sz w:val="19"/>
                <w:szCs w:val="19"/>
              </w:rPr>
              <w:t>Appliance Turn-In</w:t>
            </w:r>
          </w:p>
        </w:tc>
        <w:tc>
          <w:tcPr>
            <w:tcW w:w="746" w:type="pct"/>
            <w:shd w:val="clear" w:color="auto" w:fill="D2EAF1"/>
            <w:noWrap/>
          </w:tcPr>
          <w:p w:rsidR="00661E10" w:rsidRPr="00CB2503" w:rsidRDefault="00661E10" w:rsidP="00661E10">
            <w:pPr>
              <w:jc w:val="center"/>
              <w:rPr>
                <w:sz w:val="19"/>
                <w:szCs w:val="19"/>
              </w:rPr>
            </w:pPr>
            <w:r w:rsidRPr="00CB2503">
              <w:rPr>
                <w:sz w:val="19"/>
                <w:szCs w:val="19"/>
              </w:rPr>
              <w:t>*</w:t>
            </w:r>
          </w:p>
        </w:tc>
        <w:tc>
          <w:tcPr>
            <w:tcW w:w="746" w:type="pct"/>
            <w:shd w:val="clear" w:color="auto" w:fill="D2EAF1"/>
            <w:noWrap/>
          </w:tcPr>
          <w:p w:rsidR="00661E10" w:rsidRPr="00CB2503" w:rsidRDefault="00661E10" w:rsidP="00661E10">
            <w:pPr>
              <w:jc w:val="center"/>
              <w:rPr>
                <w:sz w:val="19"/>
                <w:szCs w:val="19"/>
              </w:rPr>
            </w:pPr>
            <w:r w:rsidRPr="00CB2503">
              <w:rPr>
                <w:sz w:val="19"/>
                <w:szCs w:val="19"/>
              </w:rPr>
              <w:t>0.57</w:t>
            </w:r>
          </w:p>
        </w:tc>
        <w:tc>
          <w:tcPr>
            <w:tcW w:w="963" w:type="pct"/>
            <w:shd w:val="clear" w:color="auto" w:fill="D2EAF1"/>
            <w:noWrap/>
          </w:tcPr>
          <w:p w:rsidR="00661E10" w:rsidRPr="00CB2503" w:rsidRDefault="00661E10" w:rsidP="00661E10">
            <w:pPr>
              <w:jc w:val="center"/>
              <w:rPr>
                <w:sz w:val="19"/>
                <w:szCs w:val="19"/>
              </w:rPr>
            </w:pPr>
            <w:r w:rsidRPr="00CB2503">
              <w:rPr>
                <w:sz w:val="19"/>
                <w:szCs w:val="19"/>
              </w:rPr>
              <w:t>0.26</w:t>
            </w:r>
          </w:p>
        </w:tc>
      </w:tr>
      <w:tr w:rsidR="005E6D04" w:rsidRPr="00CB2503" w:rsidTr="00771798">
        <w:trPr>
          <w:trHeight w:val="216"/>
        </w:trPr>
        <w:tc>
          <w:tcPr>
            <w:tcW w:w="766" w:type="pct"/>
            <w:vMerge/>
            <w:shd w:val="clear" w:color="auto" w:fill="D2EAF1"/>
          </w:tcPr>
          <w:p w:rsidR="00661E10" w:rsidRPr="00CB2503" w:rsidRDefault="00661E10" w:rsidP="00661E10">
            <w:pPr>
              <w:jc w:val="left"/>
              <w:rPr>
                <w:color w:val="000000"/>
                <w:sz w:val="19"/>
                <w:szCs w:val="19"/>
              </w:rPr>
            </w:pPr>
          </w:p>
        </w:tc>
        <w:tc>
          <w:tcPr>
            <w:tcW w:w="1779" w:type="pct"/>
            <w:shd w:val="clear" w:color="auto" w:fill="auto"/>
            <w:noWrap/>
          </w:tcPr>
          <w:p w:rsidR="00661E10" w:rsidRPr="00CB2503" w:rsidRDefault="00661E10" w:rsidP="00661E10">
            <w:pPr>
              <w:jc w:val="left"/>
              <w:rPr>
                <w:sz w:val="19"/>
                <w:szCs w:val="19"/>
              </w:rPr>
            </w:pPr>
            <w:r w:rsidRPr="00CB2503">
              <w:rPr>
                <w:sz w:val="19"/>
                <w:szCs w:val="19"/>
              </w:rPr>
              <w:t>Energy Efficient Products</w:t>
            </w:r>
          </w:p>
        </w:tc>
        <w:tc>
          <w:tcPr>
            <w:tcW w:w="746" w:type="pct"/>
            <w:shd w:val="clear" w:color="auto" w:fill="auto"/>
            <w:noWrap/>
          </w:tcPr>
          <w:p w:rsidR="00661E10" w:rsidRPr="00CB2503" w:rsidRDefault="00661E10" w:rsidP="00661E10">
            <w:pPr>
              <w:jc w:val="center"/>
              <w:rPr>
                <w:sz w:val="19"/>
                <w:szCs w:val="19"/>
              </w:rPr>
            </w:pPr>
            <w:r w:rsidRPr="00CB2503">
              <w:rPr>
                <w:sz w:val="19"/>
                <w:szCs w:val="19"/>
              </w:rPr>
              <w:t>*</w:t>
            </w:r>
          </w:p>
        </w:tc>
        <w:tc>
          <w:tcPr>
            <w:tcW w:w="746" w:type="pct"/>
            <w:shd w:val="clear" w:color="auto" w:fill="auto"/>
            <w:noWrap/>
          </w:tcPr>
          <w:p w:rsidR="00661E10" w:rsidRPr="00CB2503" w:rsidRDefault="00661E10" w:rsidP="00661E10">
            <w:pPr>
              <w:jc w:val="center"/>
              <w:rPr>
                <w:sz w:val="19"/>
                <w:szCs w:val="19"/>
              </w:rPr>
            </w:pPr>
            <w:r w:rsidRPr="00CB2503">
              <w:rPr>
                <w:sz w:val="19"/>
                <w:szCs w:val="19"/>
              </w:rPr>
              <w:t>0.65</w:t>
            </w:r>
          </w:p>
        </w:tc>
        <w:tc>
          <w:tcPr>
            <w:tcW w:w="963" w:type="pct"/>
            <w:shd w:val="clear" w:color="auto" w:fill="auto"/>
            <w:noWrap/>
          </w:tcPr>
          <w:p w:rsidR="00661E10" w:rsidRPr="00CB2503" w:rsidRDefault="00661E10" w:rsidP="00661E10">
            <w:pPr>
              <w:jc w:val="center"/>
              <w:rPr>
                <w:sz w:val="19"/>
                <w:szCs w:val="19"/>
              </w:rPr>
            </w:pPr>
            <w:r w:rsidRPr="00CB2503">
              <w:rPr>
                <w:sz w:val="19"/>
                <w:szCs w:val="19"/>
              </w:rPr>
              <w:t>0.67</w:t>
            </w:r>
          </w:p>
        </w:tc>
      </w:tr>
      <w:tr w:rsidR="00A874AC" w:rsidRPr="00CB2503" w:rsidTr="00771798">
        <w:trPr>
          <w:trHeight w:val="216"/>
        </w:trPr>
        <w:tc>
          <w:tcPr>
            <w:tcW w:w="766" w:type="pct"/>
            <w:vMerge/>
            <w:shd w:val="clear" w:color="auto" w:fill="D2EAF1"/>
          </w:tcPr>
          <w:p w:rsidR="00661E10" w:rsidRPr="00CB2503" w:rsidRDefault="00661E10" w:rsidP="00661E10">
            <w:pPr>
              <w:jc w:val="left"/>
              <w:rPr>
                <w:color w:val="000000"/>
                <w:sz w:val="19"/>
                <w:szCs w:val="19"/>
              </w:rPr>
            </w:pPr>
          </w:p>
        </w:tc>
        <w:tc>
          <w:tcPr>
            <w:tcW w:w="1779" w:type="pct"/>
            <w:shd w:val="clear" w:color="auto" w:fill="D2EAF1"/>
            <w:noWrap/>
          </w:tcPr>
          <w:p w:rsidR="00661E10" w:rsidRPr="00CB2503" w:rsidRDefault="00661E10" w:rsidP="00661E10">
            <w:pPr>
              <w:jc w:val="left"/>
              <w:rPr>
                <w:sz w:val="19"/>
                <w:szCs w:val="19"/>
              </w:rPr>
            </w:pPr>
            <w:r w:rsidRPr="00CB2503">
              <w:rPr>
                <w:sz w:val="19"/>
                <w:szCs w:val="19"/>
              </w:rPr>
              <w:t>Home Performance</w:t>
            </w:r>
          </w:p>
        </w:tc>
        <w:tc>
          <w:tcPr>
            <w:tcW w:w="746" w:type="pct"/>
            <w:shd w:val="clear" w:color="auto" w:fill="D2EAF1"/>
            <w:noWrap/>
          </w:tcPr>
          <w:p w:rsidR="00661E10" w:rsidRPr="00CB2503" w:rsidRDefault="00661E10" w:rsidP="00661E10">
            <w:pPr>
              <w:jc w:val="center"/>
              <w:rPr>
                <w:sz w:val="19"/>
                <w:szCs w:val="19"/>
              </w:rPr>
            </w:pPr>
            <w:r w:rsidRPr="00CB2503">
              <w:rPr>
                <w:sz w:val="19"/>
                <w:szCs w:val="19"/>
              </w:rPr>
              <w:t>*</w:t>
            </w:r>
          </w:p>
        </w:tc>
        <w:tc>
          <w:tcPr>
            <w:tcW w:w="746" w:type="pct"/>
            <w:shd w:val="clear" w:color="auto" w:fill="D2EAF1"/>
            <w:noWrap/>
          </w:tcPr>
          <w:p w:rsidR="00661E10" w:rsidRPr="00CB2503" w:rsidRDefault="00661E10" w:rsidP="00661E10">
            <w:pPr>
              <w:jc w:val="center"/>
              <w:rPr>
                <w:sz w:val="19"/>
                <w:szCs w:val="19"/>
              </w:rPr>
            </w:pPr>
            <w:r w:rsidRPr="00CB2503">
              <w:rPr>
                <w:sz w:val="19"/>
                <w:szCs w:val="19"/>
              </w:rPr>
              <w:t>0.89</w:t>
            </w:r>
          </w:p>
        </w:tc>
        <w:tc>
          <w:tcPr>
            <w:tcW w:w="963" w:type="pct"/>
            <w:shd w:val="clear" w:color="auto" w:fill="D2EAF1"/>
            <w:noWrap/>
          </w:tcPr>
          <w:p w:rsidR="00661E10" w:rsidRPr="00CB2503" w:rsidRDefault="00661E10" w:rsidP="00661E10">
            <w:pPr>
              <w:jc w:val="center"/>
              <w:rPr>
                <w:sz w:val="19"/>
                <w:szCs w:val="19"/>
              </w:rPr>
            </w:pPr>
            <w:r w:rsidRPr="00CB2503">
              <w:rPr>
                <w:sz w:val="19"/>
                <w:szCs w:val="19"/>
              </w:rPr>
              <w:t>0.70</w:t>
            </w:r>
          </w:p>
        </w:tc>
      </w:tr>
      <w:tr w:rsidR="00E7173E" w:rsidRPr="00CB2503" w:rsidTr="00771798">
        <w:trPr>
          <w:trHeight w:val="216"/>
        </w:trPr>
        <w:tc>
          <w:tcPr>
            <w:tcW w:w="766" w:type="pct"/>
            <w:shd w:val="clear" w:color="auto" w:fill="auto"/>
          </w:tcPr>
          <w:p w:rsidR="00661E10" w:rsidRPr="00CB2503" w:rsidRDefault="00661E10" w:rsidP="00661E10">
            <w:pPr>
              <w:jc w:val="left"/>
              <w:rPr>
                <w:color w:val="000000"/>
                <w:sz w:val="19"/>
                <w:szCs w:val="19"/>
              </w:rPr>
            </w:pPr>
            <w:r w:rsidRPr="00CB2503">
              <w:rPr>
                <w:sz w:val="19"/>
                <w:szCs w:val="19"/>
              </w:rPr>
              <w:t>Low-Income</w:t>
            </w:r>
          </w:p>
        </w:tc>
        <w:tc>
          <w:tcPr>
            <w:tcW w:w="1779" w:type="pct"/>
            <w:shd w:val="clear" w:color="auto" w:fill="auto"/>
            <w:noWrap/>
          </w:tcPr>
          <w:p w:rsidR="00661E10" w:rsidRPr="00CB2503" w:rsidRDefault="00661E10" w:rsidP="00661E10">
            <w:pPr>
              <w:jc w:val="left"/>
              <w:rPr>
                <w:sz w:val="19"/>
                <w:szCs w:val="19"/>
              </w:rPr>
            </w:pPr>
            <w:r w:rsidRPr="00CB2503">
              <w:rPr>
                <w:sz w:val="19"/>
                <w:szCs w:val="19"/>
              </w:rPr>
              <w:t xml:space="preserve">Low-Income </w:t>
            </w:r>
          </w:p>
        </w:tc>
        <w:tc>
          <w:tcPr>
            <w:tcW w:w="746" w:type="pct"/>
            <w:shd w:val="clear" w:color="auto" w:fill="auto"/>
            <w:noWrap/>
          </w:tcPr>
          <w:p w:rsidR="00661E10" w:rsidRPr="00CB2503" w:rsidRDefault="00661E10" w:rsidP="00661E10">
            <w:pPr>
              <w:jc w:val="center"/>
              <w:rPr>
                <w:bCs/>
                <w:color w:val="000000"/>
                <w:sz w:val="19"/>
                <w:szCs w:val="19"/>
              </w:rPr>
            </w:pPr>
            <w:r w:rsidRPr="00CB2503">
              <w:rPr>
                <w:sz w:val="19"/>
                <w:szCs w:val="19"/>
              </w:rPr>
              <w:t>*</w:t>
            </w:r>
          </w:p>
        </w:tc>
        <w:tc>
          <w:tcPr>
            <w:tcW w:w="746"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1.00</w:t>
            </w:r>
          </w:p>
        </w:tc>
        <w:tc>
          <w:tcPr>
            <w:tcW w:w="963" w:type="pct"/>
            <w:shd w:val="clear" w:color="auto" w:fill="auto"/>
            <w:noWrap/>
          </w:tcPr>
          <w:p w:rsidR="00661E10" w:rsidRPr="00CB2503" w:rsidRDefault="00661E10" w:rsidP="00661E10">
            <w:pPr>
              <w:jc w:val="center"/>
              <w:rPr>
                <w:bCs/>
                <w:color w:val="000000"/>
                <w:sz w:val="19"/>
                <w:szCs w:val="19"/>
              </w:rPr>
            </w:pPr>
            <w:r w:rsidRPr="00CB2503">
              <w:rPr>
                <w:sz w:val="19"/>
                <w:szCs w:val="19"/>
              </w:rPr>
              <w:t>0.83</w:t>
            </w:r>
          </w:p>
        </w:tc>
      </w:tr>
      <w:tr w:rsidR="00A874AC" w:rsidRPr="00CB2503" w:rsidTr="00771798">
        <w:trPr>
          <w:trHeight w:val="216"/>
        </w:trPr>
        <w:tc>
          <w:tcPr>
            <w:tcW w:w="766" w:type="pct"/>
            <w:vMerge w:val="restart"/>
            <w:shd w:val="clear" w:color="auto" w:fill="D2EAF1"/>
          </w:tcPr>
          <w:p w:rsidR="00661E10" w:rsidRPr="00CB2503" w:rsidRDefault="00661E10" w:rsidP="00661E10">
            <w:pPr>
              <w:jc w:val="left"/>
              <w:rPr>
                <w:color w:val="000000"/>
                <w:sz w:val="19"/>
                <w:szCs w:val="19"/>
              </w:rPr>
            </w:pPr>
            <w:r w:rsidRPr="00CB2503">
              <w:rPr>
                <w:sz w:val="19"/>
                <w:szCs w:val="19"/>
              </w:rPr>
              <w:t>Non-Residential</w:t>
            </w:r>
          </w:p>
        </w:tc>
        <w:tc>
          <w:tcPr>
            <w:tcW w:w="1779" w:type="pct"/>
            <w:shd w:val="clear" w:color="auto" w:fill="D2EAF1"/>
            <w:noWrap/>
          </w:tcPr>
          <w:p w:rsidR="00661E10" w:rsidRPr="00CB2503" w:rsidRDefault="00661E10" w:rsidP="00661E10">
            <w:pPr>
              <w:jc w:val="left"/>
              <w:rPr>
                <w:sz w:val="19"/>
                <w:szCs w:val="19"/>
              </w:rPr>
            </w:pPr>
            <w:r w:rsidRPr="00CB2503">
              <w:rPr>
                <w:sz w:val="19"/>
                <w:szCs w:val="19"/>
              </w:rPr>
              <w:t>Small C/I Equipment</w:t>
            </w:r>
          </w:p>
        </w:tc>
        <w:tc>
          <w:tcPr>
            <w:tcW w:w="746" w:type="pct"/>
            <w:shd w:val="clear" w:color="auto" w:fill="D2EAF1"/>
            <w:noWrap/>
          </w:tcPr>
          <w:p w:rsidR="00661E10" w:rsidRPr="00CB2503" w:rsidRDefault="00661E10" w:rsidP="00661E10">
            <w:pPr>
              <w:jc w:val="center"/>
              <w:rPr>
                <w:bCs/>
                <w:color w:val="000000"/>
                <w:sz w:val="19"/>
                <w:szCs w:val="19"/>
              </w:rPr>
            </w:pPr>
            <w:r w:rsidRPr="00CB2503">
              <w:rPr>
                <w:sz w:val="19"/>
                <w:szCs w:val="19"/>
              </w:rPr>
              <w:t>*</w:t>
            </w:r>
          </w:p>
        </w:tc>
        <w:tc>
          <w:tcPr>
            <w:tcW w:w="746" w:type="pct"/>
            <w:shd w:val="clear" w:color="auto" w:fill="D2EAF1"/>
            <w:noWrap/>
          </w:tcPr>
          <w:p w:rsidR="00661E10" w:rsidRPr="00CB2503" w:rsidRDefault="00661E10" w:rsidP="00661E10">
            <w:pPr>
              <w:jc w:val="center"/>
              <w:rPr>
                <w:bCs/>
                <w:color w:val="000000"/>
                <w:sz w:val="19"/>
                <w:szCs w:val="19"/>
              </w:rPr>
            </w:pPr>
            <w:r w:rsidRPr="00CB2503">
              <w:rPr>
                <w:sz w:val="19"/>
                <w:szCs w:val="19"/>
              </w:rPr>
              <w:t>0.71</w:t>
            </w:r>
          </w:p>
        </w:tc>
        <w:tc>
          <w:tcPr>
            <w:tcW w:w="963" w:type="pct"/>
            <w:shd w:val="clear" w:color="auto" w:fill="D2EAF1"/>
            <w:noWrap/>
          </w:tcPr>
          <w:p w:rsidR="00661E10" w:rsidRPr="00CB2503" w:rsidRDefault="00661E10" w:rsidP="00661E10">
            <w:pPr>
              <w:jc w:val="center"/>
              <w:rPr>
                <w:bCs/>
                <w:color w:val="000000"/>
                <w:sz w:val="19"/>
                <w:szCs w:val="19"/>
              </w:rPr>
            </w:pPr>
            <w:r w:rsidRPr="00CB2503">
              <w:rPr>
                <w:sz w:val="19"/>
                <w:szCs w:val="19"/>
              </w:rPr>
              <w:t>0.66</w:t>
            </w:r>
          </w:p>
        </w:tc>
      </w:tr>
      <w:tr w:rsidR="005E6D04" w:rsidRPr="00CB2503" w:rsidTr="00771798">
        <w:trPr>
          <w:trHeight w:val="216"/>
        </w:trPr>
        <w:tc>
          <w:tcPr>
            <w:tcW w:w="766" w:type="pct"/>
            <w:vMerge/>
            <w:shd w:val="clear" w:color="auto" w:fill="D2EAF1"/>
          </w:tcPr>
          <w:p w:rsidR="00661E10" w:rsidRPr="00CB2503" w:rsidRDefault="00661E10" w:rsidP="00661E10">
            <w:pPr>
              <w:jc w:val="left"/>
              <w:rPr>
                <w:sz w:val="19"/>
                <w:szCs w:val="19"/>
              </w:rPr>
            </w:pPr>
          </w:p>
        </w:tc>
        <w:tc>
          <w:tcPr>
            <w:tcW w:w="1779" w:type="pct"/>
            <w:shd w:val="clear" w:color="auto" w:fill="auto"/>
            <w:noWrap/>
          </w:tcPr>
          <w:p w:rsidR="00661E10" w:rsidRPr="00CB2503" w:rsidRDefault="00661E10" w:rsidP="00661E10">
            <w:pPr>
              <w:jc w:val="left"/>
              <w:rPr>
                <w:sz w:val="19"/>
                <w:szCs w:val="19"/>
              </w:rPr>
            </w:pPr>
            <w:r w:rsidRPr="00CB2503">
              <w:rPr>
                <w:sz w:val="19"/>
                <w:szCs w:val="19"/>
              </w:rPr>
              <w:t>Large C/I Equipment</w:t>
            </w:r>
          </w:p>
        </w:tc>
        <w:tc>
          <w:tcPr>
            <w:tcW w:w="746" w:type="pct"/>
            <w:shd w:val="clear" w:color="auto" w:fill="auto"/>
            <w:noWrap/>
          </w:tcPr>
          <w:p w:rsidR="00661E10" w:rsidRPr="00CB2503" w:rsidRDefault="00661E10" w:rsidP="00661E10">
            <w:pPr>
              <w:jc w:val="center"/>
              <w:rPr>
                <w:bCs/>
                <w:color w:val="000000"/>
                <w:sz w:val="19"/>
                <w:szCs w:val="19"/>
              </w:rPr>
            </w:pPr>
            <w:r w:rsidRPr="00CB2503">
              <w:rPr>
                <w:sz w:val="19"/>
                <w:szCs w:val="19"/>
              </w:rPr>
              <w:t>*</w:t>
            </w:r>
          </w:p>
        </w:tc>
        <w:tc>
          <w:tcPr>
            <w:tcW w:w="746" w:type="pct"/>
            <w:shd w:val="clear" w:color="auto" w:fill="auto"/>
            <w:noWrap/>
          </w:tcPr>
          <w:p w:rsidR="00661E10" w:rsidRPr="00CB2503" w:rsidRDefault="00661E10" w:rsidP="00661E10">
            <w:pPr>
              <w:jc w:val="center"/>
              <w:rPr>
                <w:sz w:val="19"/>
                <w:szCs w:val="19"/>
              </w:rPr>
            </w:pPr>
            <w:r w:rsidRPr="00CB2503">
              <w:rPr>
                <w:sz w:val="19"/>
                <w:szCs w:val="19"/>
              </w:rPr>
              <w:t>0.73</w:t>
            </w:r>
          </w:p>
        </w:tc>
        <w:tc>
          <w:tcPr>
            <w:tcW w:w="963" w:type="pct"/>
            <w:shd w:val="clear" w:color="auto" w:fill="auto"/>
            <w:noWrap/>
          </w:tcPr>
          <w:p w:rsidR="00661E10" w:rsidRPr="00CB2503" w:rsidRDefault="00661E10" w:rsidP="00661E10">
            <w:pPr>
              <w:jc w:val="center"/>
              <w:rPr>
                <w:sz w:val="19"/>
                <w:szCs w:val="19"/>
              </w:rPr>
            </w:pPr>
            <w:r w:rsidRPr="00CB2503">
              <w:rPr>
                <w:sz w:val="19"/>
                <w:szCs w:val="19"/>
              </w:rPr>
              <w:t>0.72</w:t>
            </w:r>
          </w:p>
        </w:tc>
      </w:tr>
      <w:tr w:rsidR="00A874AC" w:rsidRPr="00CB2503" w:rsidTr="00771798">
        <w:trPr>
          <w:trHeight w:val="216"/>
        </w:trPr>
        <w:tc>
          <w:tcPr>
            <w:tcW w:w="766" w:type="pct"/>
            <w:vMerge/>
            <w:shd w:val="clear" w:color="auto" w:fill="D2EAF1"/>
          </w:tcPr>
          <w:p w:rsidR="00661E10" w:rsidRPr="00CB2503" w:rsidRDefault="00661E10" w:rsidP="00661E10">
            <w:pPr>
              <w:jc w:val="left"/>
              <w:rPr>
                <w:sz w:val="19"/>
                <w:szCs w:val="19"/>
              </w:rPr>
            </w:pPr>
          </w:p>
        </w:tc>
        <w:tc>
          <w:tcPr>
            <w:tcW w:w="1779" w:type="pct"/>
            <w:shd w:val="clear" w:color="auto" w:fill="D2EAF1"/>
            <w:noWrap/>
          </w:tcPr>
          <w:p w:rsidR="00661E10" w:rsidRPr="00CB2503" w:rsidRDefault="00661E10" w:rsidP="00661E10">
            <w:pPr>
              <w:jc w:val="left"/>
              <w:rPr>
                <w:sz w:val="19"/>
                <w:szCs w:val="19"/>
              </w:rPr>
            </w:pPr>
            <w:r w:rsidRPr="00CB2503">
              <w:rPr>
                <w:sz w:val="19"/>
                <w:szCs w:val="19"/>
              </w:rPr>
              <w:t>Small C/I Buildings</w:t>
            </w:r>
          </w:p>
        </w:tc>
        <w:tc>
          <w:tcPr>
            <w:tcW w:w="746" w:type="pct"/>
            <w:shd w:val="clear" w:color="auto" w:fill="D2EAF1"/>
            <w:noWrap/>
          </w:tcPr>
          <w:p w:rsidR="00661E10" w:rsidRPr="00CB2503" w:rsidRDefault="00661E10" w:rsidP="00661E10">
            <w:pPr>
              <w:jc w:val="center"/>
              <w:rPr>
                <w:bCs/>
                <w:color w:val="000000"/>
                <w:sz w:val="19"/>
                <w:szCs w:val="19"/>
              </w:rPr>
            </w:pPr>
            <w:r w:rsidRPr="00CB2503">
              <w:rPr>
                <w:sz w:val="19"/>
                <w:szCs w:val="19"/>
              </w:rPr>
              <w:t>*</w:t>
            </w:r>
          </w:p>
        </w:tc>
        <w:tc>
          <w:tcPr>
            <w:tcW w:w="746" w:type="pct"/>
            <w:shd w:val="clear" w:color="auto" w:fill="D2EAF1"/>
            <w:noWrap/>
          </w:tcPr>
          <w:p w:rsidR="00661E10" w:rsidRPr="00CB2503" w:rsidRDefault="00661E10" w:rsidP="00661E10">
            <w:pPr>
              <w:jc w:val="center"/>
              <w:rPr>
                <w:sz w:val="19"/>
                <w:szCs w:val="19"/>
              </w:rPr>
            </w:pPr>
            <w:r w:rsidRPr="00CB2503">
              <w:rPr>
                <w:sz w:val="19"/>
                <w:szCs w:val="19"/>
              </w:rPr>
              <w:t>*</w:t>
            </w:r>
          </w:p>
        </w:tc>
        <w:tc>
          <w:tcPr>
            <w:tcW w:w="963" w:type="pct"/>
            <w:shd w:val="clear" w:color="auto" w:fill="D2EAF1"/>
            <w:noWrap/>
          </w:tcPr>
          <w:p w:rsidR="00661E10" w:rsidRPr="00CB2503" w:rsidRDefault="00661E10" w:rsidP="00661E10">
            <w:pPr>
              <w:jc w:val="center"/>
              <w:rPr>
                <w:sz w:val="19"/>
                <w:szCs w:val="19"/>
              </w:rPr>
            </w:pPr>
            <w:r w:rsidRPr="00CB2503">
              <w:rPr>
                <w:sz w:val="19"/>
                <w:szCs w:val="19"/>
              </w:rPr>
              <w:t>0.69</w:t>
            </w:r>
          </w:p>
        </w:tc>
      </w:tr>
      <w:tr w:rsidR="005E6D04" w:rsidRPr="00CB2503" w:rsidTr="00771798">
        <w:trPr>
          <w:trHeight w:val="216"/>
        </w:trPr>
        <w:tc>
          <w:tcPr>
            <w:tcW w:w="766" w:type="pct"/>
            <w:vMerge/>
            <w:shd w:val="clear" w:color="auto" w:fill="D2EAF1"/>
          </w:tcPr>
          <w:p w:rsidR="00661E10" w:rsidRPr="00CB2503" w:rsidRDefault="00661E10" w:rsidP="00661E10">
            <w:pPr>
              <w:jc w:val="left"/>
              <w:rPr>
                <w:sz w:val="19"/>
                <w:szCs w:val="19"/>
              </w:rPr>
            </w:pPr>
          </w:p>
        </w:tc>
        <w:tc>
          <w:tcPr>
            <w:tcW w:w="1779" w:type="pct"/>
            <w:shd w:val="clear" w:color="auto" w:fill="auto"/>
            <w:noWrap/>
          </w:tcPr>
          <w:p w:rsidR="00661E10" w:rsidRPr="00CB2503" w:rsidRDefault="00661E10" w:rsidP="00661E10">
            <w:pPr>
              <w:jc w:val="left"/>
              <w:rPr>
                <w:sz w:val="19"/>
                <w:szCs w:val="19"/>
              </w:rPr>
            </w:pPr>
            <w:r w:rsidRPr="00CB2503">
              <w:rPr>
                <w:sz w:val="19"/>
                <w:szCs w:val="19"/>
              </w:rPr>
              <w:t>Large C/I Buildings</w:t>
            </w:r>
          </w:p>
        </w:tc>
        <w:tc>
          <w:tcPr>
            <w:tcW w:w="746" w:type="pct"/>
            <w:shd w:val="clear" w:color="auto" w:fill="auto"/>
            <w:noWrap/>
          </w:tcPr>
          <w:p w:rsidR="00661E10" w:rsidRPr="00CB2503" w:rsidRDefault="00661E10" w:rsidP="00661E10">
            <w:pPr>
              <w:jc w:val="center"/>
              <w:rPr>
                <w:bCs/>
                <w:color w:val="000000"/>
                <w:sz w:val="19"/>
                <w:szCs w:val="19"/>
              </w:rPr>
            </w:pPr>
            <w:r w:rsidRPr="00CB2503">
              <w:rPr>
                <w:sz w:val="19"/>
                <w:szCs w:val="19"/>
              </w:rPr>
              <w:t>*</w:t>
            </w:r>
          </w:p>
        </w:tc>
        <w:tc>
          <w:tcPr>
            <w:tcW w:w="746" w:type="pct"/>
            <w:shd w:val="clear" w:color="auto" w:fill="auto"/>
            <w:noWrap/>
          </w:tcPr>
          <w:p w:rsidR="00661E10" w:rsidRPr="00CB2503" w:rsidRDefault="00661E10" w:rsidP="00661E10">
            <w:pPr>
              <w:jc w:val="center"/>
              <w:rPr>
                <w:sz w:val="19"/>
                <w:szCs w:val="19"/>
              </w:rPr>
            </w:pPr>
            <w:r w:rsidRPr="00CB2503">
              <w:rPr>
                <w:sz w:val="19"/>
                <w:szCs w:val="19"/>
              </w:rPr>
              <w:t>*</w:t>
            </w:r>
          </w:p>
        </w:tc>
        <w:tc>
          <w:tcPr>
            <w:tcW w:w="963" w:type="pct"/>
            <w:shd w:val="clear" w:color="auto" w:fill="auto"/>
            <w:noWrap/>
          </w:tcPr>
          <w:p w:rsidR="00661E10" w:rsidRPr="00CB2503" w:rsidRDefault="00661E10" w:rsidP="00661E10">
            <w:pPr>
              <w:jc w:val="center"/>
              <w:rPr>
                <w:sz w:val="19"/>
                <w:szCs w:val="19"/>
              </w:rPr>
            </w:pPr>
            <w:r w:rsidRPr="00CB2503">
              <w:rPr>
                <w:sz w:val="19"/>
                <w:szCs w:val="19"/>
              </w:rPr>
              <w:t>0.39</w:t>
            </w:r>
          </w:p>
        </w:tc>
      </w:tr>
      <w:tr w:rsidR="00A874AC" w:rsidRPr="00CB2503" w:rsidTr="00771798">
        <w:trPr>
          <w:trHeight w:val="216"/>
        </w:trPr>
        <w:tc>
          <w:tcPr>
            <w:tcW w:w="766" w:type="pct"/>
            <w:vMerge/>
            <w:shd w:val="clear" w:color="auto" w:fill="D2EAF1"/>
          </w:tcPr>
          <w:p w:rsidR="00661E10" w:rsidRPr="00CB2503" w:rsidRDefault="00661E10" w:rsidP="00661E10">
            <w:pPr>
              <w:jc w:val="left"/>
              <w:rPr>
                <w:color w:val="000000"/>
                <w:sz w:val="19"/>
                <w:szCs w:val="19"/>
              </w:rPr>
            </w:pPr>
          </w:p>
        </w:tc>
        <w:tc>
          <w:tcPr>
            <w:tcW w:w="1779" w:type="pct"/>
            <w:shd w:val="clear" w:color="auto" w:fill="D2EAF1"/>
            <w:noWrap/>
          </w:tcPr>
          <w:p w:rsidR="00661E10" w:rsidRPr="00CB2503" w:rsidRDefault="00661E10" w:rsidP="00661E10">
            <w:pPr>
              <w:jc w:val="left"/>
              <w:rPr>
                <w:sz w:val="19"/>
                <w:szCs w:val="19"/>
              </w:rPr>
            </w:pPr>
            <w:r w:rsidRPr="00CB2503">
              <w:rPr>
                <w:sz w:val="19"/>
                <w:szCs w:val="19"/>
              </w:rPr>
              <w:t>Government and Institutional</w:t>
            </w:r>
          </w:p>
        </w:tc>
        <w:tc>
          <w:tcPr>
            <w:tcW w:w="746" w:type="pct"/>
            <w:shd w:val="clear" w:color="auto" w:fill="D2EAF1"/>
            <w:noWrap/>
          </w:tcPr>
          <w:p w:rsidR="00661E10" w:rsidRPr="00CB2503" w:rsidRDefault="00661E10" w:rsidP="00661E10">
            <w:pPr>
              <w:jc w:val="center"/>
              <w:rPr>
                <w:bCs/>
                <w:color w:val="000000"/>
                <w:sz w:val="19"/>
                <w:szCs w:val="19"/>
              </w:rPr>
            </w:pPr>
            <w:r w:rsidRPr="00CB2503">
              <w:rPr>
                <w:sz w:val="19"/>
                <w:szCs w:val="19"/>
              </w:rPr>
              <w:t>*</w:t>
            </w:r>
          </w:p>
        </w:tc>
        <w:tc>
          <w:tcPr>
            <w:tcW w:w="746" w:type="pct"/>
            <w:shd w:val="clear" w:color="auto" w:fill="D2EAF1"/>
            <w:noWrap/>
          </w:tcPr>
          <w:p w:rsidR="00661E10" w:rsidRPr="00CB2503" w:rsidRDefault="00661E10" w:rsidP="00661E10">
            <w:pPr>
              <w:jc w:val="center"/>
              <w:rPr>
                <w:bCs/>
                <w:color w:val="000000"/>
                <w:sz w:val="19"/>
                <w:szCs w:val="19"/>
              </w:rPr>
            </w:pPr>
            <w:r w:rsidRPr="00CB2503">
              <w:rPr>
                <w:sz w:val="19"/>
                <w:szCs w:val="19"/>
              </w:rPr>
              <w:t>0.73</w:t>
            </w:r>
          </w:p>
        </w:tc>
        <w:tc>
          <w:tcPr>
            <w:tcW w:w="963" w:type="pct"/>
            <w:shd w:val="clear" w:color="auto" w:fill="D2EAF1"/>
            <w:noWrap/>
          </w:tcPr>
          <w:p w:rsidR="00661E10" w:rsidRPr="00CB2503" w:rsidRDefault="00661E10" w:rsidP="00661E10">
            <w:pPr>
              <w:jc w:val="center"/>
              <w:rPr>
                <w:bCs/>
                <w:color w:val="000000"/>
                <w:sz w:val="19"/>
                <w:szCs w:val="19"/>
              </w:rPr>
            </w:pPr>
            <w:r w:rsidRPr="00CB2503">
              <w:rPr>
                <w:sz w:val="19"/>
                <w:szCs w:val="19"/>
              </w:rPr>
              <w:t>0.73</w:t>
            </w:r>
          </w:p>
        </w:tc>
      </w:tr>
      <w:tr w:rsidR="00E7173E" w:rsidRPr="00CB2503" w:rsidTr="00771798">
        <w:trPr>
          <w:trHeight w:val="216"/>
        </w:trPr>
        <w:tc>
          <w:tcPr>
            <w:tcW w:w="2545" w:type="pct"/>
            <w:gridSpan w:val="2"/>
            <w:shd w:val="clear" w:color="auto" w:fill="auto"/>
          </w:tcPr>
          <w:p w:rsidR="00661E10" w:rsidRPr="00CB2503" w:rsidRDefault="00661E10" w:rsidP="00661E10">
            <w:pPr>
              <w:jc w:val="center"/>
              <w:rPr>
                <w:b/>
                <w:sz w:val="19"/>
                <w:szCs w:val="19"/>
              </w:rPr>
            </w:pPr>
            <w:r w:rsidRPr="00CB2503">
              <w:rPr>
                <w:b/>
                <w:color w:val="000000"/>
                <w:sz w:val="19"/>
                <w:szCs w:val="19"/>
              </w:rPr>
              <w:t>Portfolio</w:t>
            </w:r>
          </w:p>
        </w:tc>
        <w:tc>
          <w:tcPr>
            <w:tcW w:w="746" w:type="pct"/>
            <w:shd w:val="clear" w:color="auto" w:fill="auto"/>
            <w:noWrap/>
          </w:tcPr>
          <w:p w:rsidR="00661E10" w:rsidRPr="00CB2503" w:rsidRDefault="00661E10" w:rsidP="00661E10">
            <w:pPr>
              <w:jc w:val="center"/>
              <w:rPr>
                <w:b/>
                <w:bCs/>
                <w:color w:val="000000"/>
                <w:sz w:val="19"/>
                <w:szCs w:val="19"/>
              </w:rPr>
            </w:pPr>
            <w:r w:rsidRPr="00CB2503">
              <w:rPr>
                <w:b/>
                <w:bCs/>
                <w:color w:val="000000"/>
                <w:sz w:val="19"/>
                <w:szCs w:val="19"/>
              </w:rPr>
              <w:t>*</w:t>
            </w:r>
          </w:p>
        </w:tc>
        <w:tc>
          <w:tcPr>
            <w:tcW w:w="746" w:type="pct"/>
            <w:shd w:val="clear" w:color="auto" w:fill="auto"/>
            <w:noWrap/>
          </w:tcPr>
          <w:p w:rsidR="00661E10" w:rsidRPr="00CB2503" w:rsidRDefault="00661E10" w:rsidP="00661E10">
            <w:pPr>
              <w:jc w:val="center"/>
              <w:rPr>
                <w:b/>
                <w:bCs/>
                <w:color w:val="000000"/>
                <w:sz w:val="19"/>
                <w:szCs w:val="19"/>
              </w:rPr>
            </w:pPr>
            <w:r w:rsidRPr="00CB2503">
              <w:rPr>
                <w:b/>
                <w:sz w:val="19"/>
                <w:szCs w:val="19"/>
              </w:rPr>
              <w:t>0.80</w:t>
            </w:r>
          </w:p>
        </w:tc>
        <w:tc>
          <w:tcPr>
            <w:tcW w:w="963" w:type="pct"/>
            <w:shd w:val="clear" w:color="auto" w:fill="auto"/>
            <w:noWrap/>
          </w:tcPr>
          <w:p w:rsidR="00661E10" w:rsidRPr="00CB2503" w:rsidRDefault="00661E10" w:rsidP="00661E10">
            <w:pPr>
              <w:jc w:val="center"/>
              <w:rPr>
                <w:b/>
                <w:sz w:val="19"/>
                <w:szCs w:val="19"/>
              </w:rPr>
            </w:pPr>
            <w:r w:rsidRPr="00CB2503">
              <w:rPr>
                <w:b/>
                <w:sz w:val="19"/>
                <w:szCs w:val="19"/>
              </w:rPr>
              <w:t>0.67</w:t>
            </w:r>
          </w:p>
        </w:tc>
      </w:tr>
      <w:tr w:rsidR="00E7173E" w:rsidRPr="00771798" w:rsidTr="00CB2503">
        <w:trPr>
          <w:trHeight w:val="288"/>
        </w:trPr>
        <w:tc>
          <w:tcPr>
            <w:tcW w:w="5000" w:type="pct"/>
            <w:gridSpan w:val="5"/>
            <w:shd w:val="clear" w:color="auto" w:fill="448A99"/>
          </w:tcPr>
          <w:p w:rsidR="00661E10" w:rsidRPr="00771798" w:rsidRDefault="00661E10" w:rsidP="00661E10">
            <w:pPr>
              <w:jc w:val="left"/>
              <w:rPr>
                <w:color w:val="FFFFFF"/>
                <w:sz w:val="18"/>
                <w:szCs w:val="19"/>
              </w:rPr>
            </w:pPr>
            <w:r w:rsidRPr="00771798">
              <w:rPr>
                <w:color w:val="FFFFFF"/>
                <w:sz w:val="18"/>
                <w:szCs w:val="19"/>
              </w:rPr>
              <w:t>NOTE</w:t>
            </w:r>
            <w:r w:rsidR="00CB2503" w:rsidRPr="00771798">
              <w:rPr>
                <w:color w:val="FFFFFF"/>
                <w:sz w:val="18"/>
                <w:szCs w:val="19"/>
              </w:rPr>
              <w:t>S</w:t>
            </w:r>
            <w:r w:rsidR="00630371" w:rsidRPr="00771798">
              <w:rPr>
                <w:color w:val="FFFFFF"/>
                <w:sz w:val="18"/>
                <w:szCs w:val="19"/>
              </w:rPr>
              <w:t>:</w:t>
            </w:r>
          </w:p>
          <w:p w:rsidR="00661E10" w:rsidRPr="00771798" w:rsidRDefault="00661E10" w:rsidP="00661E10">
            <w:pPr>
              <w:jc w:val="left"/>
              <w:rPr>
                <w:color w:val="FFFFFF" w:themeColor="background1"/>
                <w:sz w:val="18"/>
                <w:szCs w:val="19"/>
              </w:rPr>
            </w:pPr>
            <w:r w:rsidRPr="00771798">
              <w:rPr>
                <w:color w:val="FFFFFF" w:themeColor="background1"/>
                <w:sz w:val="18"/>
                <w:szCs w:val="19"/>
              </w:rPr>
              <w:t>* Denotes programs/NTGRs that were not included in a given annual report.</w:t>
            </w:r>
          </w:p>
        </w:tc>
      </w:tr>
    </w:tbl>
    <w:p w:rsidR="00661E10" w:rsidRPr="00661E10" w:rsidRDefault="00661E10" w:rsidP="00661E10">
      <w:pPr>
        <w:rPr>
          <w:color w:val="000000"/>
        </w:rPr>
      </w:pPr>
    </w:p>
    <w:p w:rsidR="00661E10" w:rsidRPr="00661E10" w:rsidRDefault="00661E10" w:rsidP="00E673F0">
      <w:pPr>
        <w:pStyle w:val="Heading4"/>
      </w:pPr>
      <w:r w:rsidRPr="00661E10">
        <w:t>Pennsylvania Electric Phase II NTG Summary</w:t>
      </w:r>
    </w:p>
    <w:p w:rsidR="00661E10" w:rsidRPr="00661E10" w:rsidRDefault="00547434" w:rsidP="00547434">
      <w:r>
        <w:fldChar w:fldCharType="begin"/>
      </w:r>
      <w:r>
        <w:instrText xml:space="preserve"> REF _Ref471458923 \h </w:instrText>
      </w:r>
      <w:r>
        <w:fldChar w:fldCharType="separate"/>
      </w:r>
      <w:r w:rsidR="00037CB4" w:rsidRPr="00ED5AFA">
        <w:t xml:space="preserve">Table </w:t>
      </w:r>
      <w:r w:rsidR="00037CB4">
        <w:rPr>
          <w:noProof/>
        </w:rPr>
        <w:t>5</w:t>
      </w:r>
      <w:r w:rsidR="00037CB4">
        <w:noBreakHyphen/>
      </w:r>
      <w:r w:rsidR="00037CB4">
        <w:rPr>
          <w:noProof/>
        </w:rPr>
        <w:t>8</w:t>
      </w:r>
      <w:r>
        <w:fldChar w:fldCharType="end"/>
      </w:r>
      <w:r>
        <w:t xml:space="preserve"> </w:t>
      </w:r>
      <w:r w:rsidR="00661E10" w:rsidRPr="00547434">
        <w:t xml:space="preserve">shows Penelec’s Phase II NTGRs by program year. Penelec did not conduct any NTG evaluation activities during PY5. There was considerable intra-program NTGR variation from PY6 to PY7, leading to a lower portfolio-level NTGR in PY7. </w:t>
      </w:r>
      <w:r w:rsidR="00B90CD9" w:rsidRPr="00547434">
        <w:t>The change in evaluation methodologies for appliance recycling and low income (see text associated with</w:t>
      </w:r>
      <w:r>
        <w:t xml:space="preserve"> </w:t>
      </w:r>
      <w:r>
        <w:fldChar w:fldCharType="begin"/>
      </w:r>
      <w:r>
        <w:instrText xml:space="preserve"> REF _Ref473709359 \h </w:instrText>
      </w:r>
      <w:r>
        <w:fldChar w:fldCharType="separate"/>
      </w:r>
      <w:r w:rsidR="00037CB4" w:rsidRPr="005F4C4F">
        <w:t xml:space="preserve">Figure </w:t>
      </w:r>
      <w:r w:rsidR="00037CB4">
        <w:rPr>
          <w:noProof/>
        </w:rPr>
        <w:t>5</w:t>
      </w:r>
      <w:r w:rsidR="00037CB4">
        <w:noBreakHyphen/>
      </w:r>
      <w:r w:rsidR="00037CB4">
        <w:rPr>
          <w:noProof/>
        </w:rPr>
        <w:t>1</w:t>
      </w:r>
      <w:r>
        <w:fldChar w:fldCharType="end"/>
      </w:r>
      <w:r w:rsidR="00B90CD9" w:rsidRPr="003A0F59">
        <w:t>), as well as first-time NTGR estimates in PY7 for two programs, contributed to the decrease.</w:t>
      </w:r>
    </w:p>
    <w:p w:rsidR="00661E10" w:rsidRPr="00661E10" w:rsidRDefault="00661E10" w:rsidP="00661E10"/>
    <w:p w:rsidR="00661E10" w:rsidRPr="00ED5AFA" w:rsidRDefault="00ED5AFA" w:rsidP="004837FA">
      <w:pPr>
        <w:pStyle w:val="Caption"/>
      </w:pPr>
      <w:bookmarkStart w:id="414" w:name="_Ref471458923"/>
      <w:bookmarkStart w:id="415" w:name="_Toc472472193"/>
      <w:bookmarkStart w:id="416" w:name="_Toc488741772"/>
      <w:r w:rsidRPr="00ED5AFA">
        <w:t xml:space="preserve">Table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8</w:t>
      </w:r>
      <w:r w:rsidR="007973A4">
        <w:rPr>
          <w:noProof/>
        </w:rPr>
        <w:fldChar w:fldCharType="end"/>
      </w:r>
      <w:bookmarkEnd w:id="414"/>
      <w:r w:rsidR="00661E10" w:rsidRPr="00ED5AFA">
        <w:t>: Penelec’s Phase II NTGRs by Program Year</w:t>
      </w:r>
      <w:bookmarkEnd w:id="415"/>
      <w:bookmarkEnd w:id="416"/>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56"/>
        <w:gridCol w:w="3387"/>
        <w:gridCol w:w="1422"/>
        <w:gridCol w:w="1422"/>
        <w:gridCol w:w="1653"/>
      </w:tblGrid>
      <w:tr w:rsidR="00A874AC" w:rsidRPr="00CB2503" w:rsidTr="00CB2503">
        <w:trPr>
          <w:trHeight w:val="20"/>
          <w:tblHeader/>
        </w:trPr>
        <w:tc>
          <w:tcPr>
            <w:tcW w:w="780" w:type="pct"/>
            <w:shd w:val="clear" w:color="auto" w:fill="448A99"/>
            <w:vAlign w:val="bottom"/>
            <w:hideMark/>
          </w:tcPr>
          <w:p w:rsidR="00661E10" w:rsidRPr="00CB2503" w:rsidRDefault="00661E10" w:rsidP="00661E10">
            <w:pPr>
              <w:jc w:val="left"/>
              <w:rPr>
                <w:b/>
                <w:bCs/>
                <w:color w:val="FFFFFF"/>
                <w:sz w:val="19"/>
                <w:szCs w:val="19"/>
              </w:rPr>
            </w:pPr>
            <w:r w:rsidRPr="00CB2503">
              <w:rPr>
                <w:b/>
                <w:color w:val="FFFFFF"/>
                <w:sz w:val="19"/>
                <w:szCs w:val="19"/>
              </w:rPr>
              <w:t>Sector</w:t>
            </w:r>
          </w:p>
        </w:tc>
        <w:tc>
          <w:tcPr>
            <w:tcW w:w="1813"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Program</w:t>
            </w:r>
          </w:p>
        </w:tc>
        <w:tc>
          <w:tcPr>
            <w:tcW w:w="761"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PY5</w:t>
            </w:r>
          </w:p>
        </w:tc>
        <w:tc>
          <w:tcPr>
            <w:tcW w:w="761"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PY6</w:t>
            </w:r>
          </w:p>
        </w:tc>
        <w:tc>
          <w:tcPr>
            <w:tcW w:w="885"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PY7</w:t>
            </w:r>
          </w:p>
        </w:tc>
      </w:tr>
      <w:tr w:rsidR="00A874AC" w:rsidRPr="00CB2503" w:rsidTr="00CB2503">
        <w:trPr>
          <w:trHeight w:val="288"/>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Residential</w:t>
            </w:r>
          </w:p>
        </w:tc>
        <w:tc>
          <w:tcPr>
            <w:tcW w:w="1813" w:type="pct"/>
            <w:shd w:val="clear" w:color="auto" w:fill="D2EAF1"/>
            <w:noWrap/>
          </w:tcPr>
          <w:p w:rsidR="00661E10" w:rsidRPr="00CB2503" w:rsidRDefault="00661E10" w:rsidP="00661E10">
            <w:pPr>
              <w:jc w:val="left"/>
              <w:rPr>
                <w:color w:val="000000"/>
                <w:sz w:val="19"/>
                <w:szCs w:val="19"/>
              </w:rPr>
            </w:pPr>
            <w:r w:rsidRPr="00CB2503">
              <w:rPr>
                <w:sz w:val="19"/>
                <w:szCs w:val="19"/>
              </w:rPr>
              <w:t>Appliance Turn-In</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0.49</w:t>
            </w:r>
          </w:p>
        </w:tc>
        <w:tc>
          <w:tcPr>
            <w:tcW w:w="885" w:type="pct"/>
            <w:shd w:val="clear" w:color="auto" w:fill="D2EAF1"/>
            <w:noWrap/>
          </w:tcPr>
          <w:p w:rsidR="00661E10" w:rsidRPr="00CB2503" w:rsidRDefault="00661E10" w:rsidP="00661E10">
            <w:pPr>
              <w:jc w:val="center"/>
              <w:rPr>
                <w:sz w:val="19"/>
                <w:szCs w:val="19"/>
              </w:rPr>
            </w:pPr>
            <w:r w:rsidRPr="00CB2503">
              <w:rPr>
                <w:sz w:val="19"/>
                <w:szCs w:val="19"/>
              </w:rPr>
              <w:t>0.34</w:t>
            </w:r>
          </w:p>
        </w:tc>
      </w:tr>
      <w:tr w:rsidR="005E6D04" w:rsidRPr="00CB2503" w:rsidTr="00CB2503">
        <w:trPr>
          <w:trHeight w:val="288"/>
        </w:trPr>
        <w:tc>
          <w:tcPr>
            <w:tcW w:w="780" w:type="pct"/>
            <w:vMerge/>
            <w:shd w:val="clear" w:color="auto" w:fill="D2EAF1"/>
          </w:tcPr>
          <w:p w:rsidR="00661E10" w:rsidRPr="00CB2503" w:rsidRDefault="00661E10" w:rsidP="00661E10">
            <w:pPr>
              <w:jc w:val="left"/>
              <w:rPr>
                <w:color w:val="000000"/>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Energy Efficient Products</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0.54</w:t>
            </w:r>
          </w:p>
        </w:tc>
        <w:tc>
          <w:tcPr>
            <w:tcW w:w="885" w:type="pct"/>
            <w:shd w:val="clear" w:color="auto" w:fill="auto"/>
            <w:noWrap/>
          </w:tcPr>
          <w:p w:rsidR="00661E10" w:rsidRPr="00CB2503" w:rsidRDefault="00661E10" w:rsidP="00661E10">
            <w:pPr>
              <w:jc w:val="center"/>
              <w:rPr>
                <w:sz w:val="19"/>
                <w:szCs w:val="19"/>
              </w:rPr>
            </w:pPr>
            <w:r w:rsidRPr="00CB2503">
              <w:rPr>
                <w:sz w:val="19"/>
                <w:szCs w:val="19"/>
              </w:rPr>
              <w:t>0.65</w:t>
            </w:r>
          </w:p>
        </w:tc>
      </w:tr>
      <w:tr w:rsidR="00A874AC" w:rsidRPr="00CB2503" w:rsidTr="00CB2503">
        <w:trPr>
          <w:trHeight w:val="288"/>
        </w:trPr>
        <w:tc>
          <w:tcPr>
            <w:tcW w:w="780" w:type="pct"/>
            <w:vMerge/>
            <w:shd w:val="clear" w:color="auto" w:fill="D2EAF1"/>
          </w:tcPr>
          <w:p w:rsidR="00661E10" w:rsidRPr="00CB2503" w:rsidRDefault="00661E10" w:rsidP="00661E10">
            <w:pPr>
              <w:jc w:val="left"/>
              <w:rPr>
                <w:color w:val="000000"/>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Home Performance</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0.87</w:t>
            </w:r>
          </w:p>
        </w:tc>
        <w:tc>
          <w:tcPr>
            <w:tcW w:w="885" w:type="pct"/>
            <w:shd w:val="clear" w:color="auto" w:fill="D2EAF1"/>
            <w:noWrap/>
          </w:tcPr>
          <w:p w:rsidR="00661E10" w:rsidRPr="00CB2503" w:rsidRDefault="00661E10" w:rsidP="00661E10">
            <w:pPr>
              <w:jc w:val="center"/>
              <w:rPr>
                <w:sz w:val="19"/>
                <w:szCs w:val="19"/>
              </w:rPr>
            </w:pPr>
            <w:r w:rsidRPr="00CB2503">
              <w:rPr>
                <w:sz w:val="19"/>
                <w:szCs w:val="19"/>
              </w:rPr>
              <w:t>0.70</w:t>
            </w:r>
          </w:p>
        </w:tc>
      </w:tr>
      <w:tr w:rsidR="00E7173E" w:rsidRPr="00CB2503" w:rsidTr="00CB2503">
        <w:trPr>
          <w:trHeight w:val="288"/>
        </w:trPr>
        <w:tc>
          <w:tcPr>
            <w:tcW w:w="780" w:type="pct"/>
            <w:shd w:val="clear" w:color="auto" w:fill="auto"/>
          </w:tcPr>
          <w:p w:rsidR="00661E10" w:rsidRPr="00CB2503" w:rsidRDefault="00661E10" w:rsidP="00661E10">
            <w:pPr>
              <w:jc w:val="left"/>
              <w:rPr>
                <w:color w:val="000000"/>
                <w:sz w:val="19"/>
                <w:szCs w:val="19"/>
              </w:rPr>
            </w:pPr>
            <w:r w:rsidRPr="00CB2503">
              <w:rPr>
                <w:sz w:val="19"/>
                <w:szCs w:val="19"/>
              </w:rPr>
              <w:t>Low-Income</w:t>
            </w:r>
          </w:p>
        </w:tc>
        <w:tc>
          <w:tcPr>
            <w:tcW w:w="1813" w:type="pct"/>
            <w:shd w:val="clear" w:color="auto" w:fill="auto"/>
            <w:noWrap/>
          </w:tcPr>
          <w:p w:rsidR="00661E10" w:rsidRPr="00CB2503" w:rsidRDefault="00661E10" w:rsidP="00661E10">
            <w:pPr>
              <w:jc w:val="left"/>
              <w:rPr>
                <w:sz w:val="19"/>
                <w:szCs w:val="19"/>
              </w:rPr>
            </w:pPr>
            <w:r w:rsidRPr="00CB2503">
              <w:rPr>
                <w:sz w:val="19"/>
                <w:szCs w:val="19"/>
              </w:rPr>
              <w:t xml:space="preserve">Low-Income </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1.00</w:t>
            </w:r>
          </w:p>
        </w:tc>
        <w:tc>
          <w:tcPr>
            <w:tcW w:w="885"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0.82</w:t>
            </w:r>
          </w:p>
        </w:tc>
      </w:tr>
      <w:tr w:rsidR="00A874AC" w:rsidRPr="00CB2503" w:rsidTr="00CB2503">
        <w:trPr>
          <w:trHeight w:val="288"/>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Non-Residential</w:t>
            </w:r>
          </w:p>
        </w:tc>
        <w:tc>
          <w:tcPr>
            <w:tcW w:w="1813" w:type="pct"/>
            <w:shd w:val="clear" w:color="auto" w:fill="D2EAF1"/>
            <w:noWrap/>
          </w:tcPr>
          <w:p w:rsidR="00661E10" w:rsidRPr="00CB2503" w:rsidRDefault="00661E10" w:rsidP="00661E10">
            <w:pPr>
              <w:jc w:val="left"/>
              <w:rPr>
                <w:sz w:val="19"/>
                <w:szCs w:val="19"/>
              </w:rPr>
            </w:pPr>
            <w:r w:rsidRPr="00CB2503">
              <w:rPr>
                <w:sz w:val="19"/>
                <w:szCs w:val="19"/>
              </w:rPr>
              <w:t>Small C/I Equipment</w:t>
            </w:r>
          </w:p>
        </w:tc>
        <w:tc>
          <w:tcPr>
            <w:tcW w:w="761"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D2EAF1"/>
            <w:noWrap/>
          </w:tcPr>
          <w:p w:rsidR="00661E10" w:rsidRPr="00CB2503" w:rsidRDefault="00661E10" w:rsidP="00661E10">
            <w:pPr>
              <w:jc w:val="center"/>
              <w:rPr>
                <w:bCs/>
                <w:color w:val="000000"/>
                <w:sz w:val="19"/>
                <w:szCs w:val="19"/>
              </w:rPr>
            </w:pPr>
            <w:r w:rsidRPr="00CB2503">
              <w:rPr>
                <w:sz w:val="19"/>
                <w:szCs w:val="19"/>
              </w:rPr>
              <w:t>0.75</w:t>
            </w:r>
          </w:p>
        </w:tc>
        <w:tc>
          <w:tcPr>
            <w:tcW w:w="885" w:type="pct"/>
            <w:shd w:val="clear" w:color="auto" w:fill="D2EAF1"/>
            <w:noWrap/>
          </w:tcPr>
          <w:p w:rsidR="00661E10" w:rsidRPr="00CB2503" w:rsidRDefault="00661E10" w:rsidP="00661E10">
            <w:pPr>
              <w:jc w:val="center"/>
              <w:rPr>
                <w:bCs/>
                <w:color w:val="000000"/>
                <w:sz w:val="19"/>
                <w:szCs w:val="19"/>
              </w:rPr>
            </w:pPr>
            <w:r w:rsidRPr="00CB2503">
              <w:rPr>
                <w:sz w:val="19"/>
                <w:szCs w:val="19"/>
              </w:rPr>
              <w:t>0.75</w:t>
            </w:r>
          </w:p>
        </w:tc>
      </w:tr>
      <w:tr w:rsidR="005E6D04" w:rsidRPr="00CB2503" w:rsidTr="00CB2503">
        <w:trPr>
          <w:trHeight w:val="288"/>
        </w:trPr>
        <w:tc>
          <w:tcPr>
            <w:tcW w:w="780" w:type="pct"/>
            <w:vMerge/>
            <w:shd w:val="clear" w:color="auto" w:fill="D2EAF1"/>
          </w:tcPr>
          <w:p w:rsidR="00661E10" w:rsidRPr="00CB2503" w:rsidRDefault="00661E10" w:rsidP="00661E10">
            <w:pPr>
              <w:jc w:val="left"/>
              <w:rPr>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Large C/I Equipment</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0.80</w:t>
            </w:r>
          </w:p>
        </w:tc>
        <w:tc>
          <w:tcPr>
            <w:tcW w:w="885" w:type="pct"/>
            <w:shd w:val="clear" w:color="auto" w:fill="auto"/>
            <w:noWrap/>
          </w:tcPr>
          <w:p w:rsidR="00661E10" w:rsidRPr="00CB2503" w:rsidRDefault="00661E10" w:rsidP="00661E10">
            <w:pPr>
              <w:jc w:val="center"/>
              <w:rPr>
                <w:sz w:val="19"/>
                <w:szCs w:val="19"/>
              </w:rPr>
            </w:pPr>
            <w:r w:rsidRPr="00CB2503">
              <w:rPr>
                <w:sz w:val="19"/>
                <w:szCs w:val="19"/>
              </w:rPr>
              <w:t>0.81</w:t>
            </w:r>
          </w:p>
        </w:tc>
      </w:tr>
      <w:tr w:rsidR="00A874AC" w:rsidRPr="00CB2503" w:rsidTr="00CB2503">
        <w:trPr>
          <w:trHeight w:val="288"/>
        </w:trPr>
        <w:tc>
          <w:tcPr>
            <w:tcW w:w="780" w:type="pct"/>
            <w:vMerge/>
            <w:shd w:val="clear" w:color="auto" w:fill="D2EAF1"/>
          </w:tcPr>
          <w:p w:rsidR="00661E10" w:rsidRPr="00CB2503" w:rsidRDefault="00661E10" w:rsidP="00661E10">
            <w:pPr>
              <w:jc w:val="left"/>
              <w:rPr>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Small C/I Buildings</w:t>
            </w:r>
          </w:p>
        </w:tc>
        <w:tc>
          <w:tcPr>
            <w:tcW w:w="761"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w:t>
            </w:r>
          </w:p>
        </w:tc>
        <w:tc>
          <w:tcPr>
            <w:tcW w:w="885" w:type="pct"/>
            <w:shd w:val="clear" w:color="auto" w:fill="D2EAF1"/>
            <w:noWrap/>
          </w:tcPr>
          <w:p w:rsidR="00661E10" w:rsidRPr="00CB2503" w:rsidRDefault="00661E10" w:rsidP="00661E10">
            <w:pPr>
              <w:jc w:val="center"/>
              <w:rPr>
                <w:sz w:val="19"/>
                <w:szCs w:val="19"/>
              </w:rPr>
            </w:pPr>
            <w:r w:rsidRPr="00CB2503">
              <w:rPr>
                <w:sz w:val="19"/>
                <w:szCs w:val="19"/>
              </w:rPr>
              <w:t>0.64</w:t>
            </w:r>
          </w:p>
        </w:tc>
      </w:tr>
      <w:tr w:rsidR="005E6D04" w:rsidRPr="00CB2503" w:rsidTr="00CB2503">
        <w:trPr>
          <w:trHeight w:val="288"/>
        </w:trPr>
        <w:tc>
          <w:tcPr>
            <w:tcW w:w="780" w:type="pct"/>
            <w:vMerge/>
            <w:shd w:val="clear" w:color="auto" w:fill="D2EAF1"/>
          </w:tcPr>
          <w:p w:rsidR="00661E10" w:rsidRPr="00CB2503" w:rsidRDefault="00661E10" w:rsidP="00661E10">
            <w:pPr>
              <w:jc w:val="left"/>
              <w:rPr>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Large C/I Buildings</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w:t>
            </w:r>
          </w:p>
        </w:tc>
        <w:tc>
          <w:tcPr>
            <w:tcW w:w="885" w:type="pct"/>
            <w:shd w:val="clear" w:color="auto" w:fill="auto"/>
            <w:noWrap/>
          </w:tcPr>
          <w:p w:rsidR="00661E10" w:rsidRPr="00CB2503" w:rsidRDefault="00661E10" w:rsidP="00661E10">
            <w:pPr>
              <w:jc w:val="center"/>
              <w:rPr>
                <w:sz w:val="19"/>
                <w:szCs w:val="19"/>
              </w:rPr>
            </w:pPr>
            <w:r w:rsidRPr="00CB2503">
              <w:rPr>
                <w:sz w:val="19"/>
                <w:szCs w:val="19"/>
              </w:rPr>
              <w:t>0.50</w:t>
            </w:r>
          </w:p>
        </w:tc>
      </w:tr>
      <w:tr w:rsidR="00A874AC" w:rsidRPr="00CB2503" w:rsidTr="00CB2503">
        <w:trPr>
          <w:trHeight w:val="288"/>
        </w:trPr>
        <w:tc>
          <w:tcPr>
            <w:tcW w:w="780" w:type="pct"/>
            <w:vMerge/>
            <w:shd w:val="clear" w:color="auto" w:fill="D2EAF1"/>
          </w:tcPr>
          <w:p w:rsidR="00661E10" w:rsidRPr="00CB2503" w:rsidRDefault="00661E10" w:rsidP="00661E10">
            <w:pPr>
              <w:jc w:val="left"/>
              <w:rPr>
                <w:color w:val="000000"/>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Government and Institutional</w:t>
            </w:r>
          </w:p>
        </w:tc>
        <w:tc>
          <w:tcPr>
            <w:tcW w:w="761"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D2EAF1"/>
            <w:noWrap/>
          </w:tcPr>
          <w:p w:rsidR="00661E10" w:rsidRPr="00CB2503" w:rsidRDefault="00661E10" w:rsidP="00661E10">
            <w:pPr>
              <w:jc w:val="center"/>
              <w:rPr>
                <w:bCs/>
                <w:color w:val="000000"/>
                <w:sz w:val="19"/>
                <w:szCs w:val="19"/>
              </w:rPr>
            </w:pPr>
            <w:r w:rsidRPr="00CB2503">
              <w:rPr>
                <w:sz w:val="19"/>
                <w:szCs w:val="19"/>
              </w:rPr>
              <w:t>0.57</w:t>
            </w:r>
          </w:p>
        </w:tc>
        <w:tc>
          <w:tcPr>
            <w:tcW w:w="885" w:type="pct"/>
            <w:shd w:val="clear" w:color="auto" w:fill="D2EAF1"/>
            <w:noWrap/>
          </w:tcPr>
          <w:p w:rsidR="00661E10" w:rsidRPr="00CB2503" w:rsidRDefault="00661E10" w:rsidP="00661E10">
            <w:pPr>
              <w:jc w:val="center"/>
              <w:rPr>
                <w:bCs/>
                <w:color w:val="000000"/>
                <w:sz w:val="19"/>
                <w:szCs w:val="19"/>
              </w:rPr>
            </w:pPr>
            <w:r w:rsidRPr="00CB2503">
              <w:rPr>
                <w:sz w:val="19"/>
                <w:szCs w:val="19"/>
              </w:rPr>
              <w:t>0.73</w:t>
            </w:r>
          </w:p>
        </w:tc>
      </w:tr>
      <w:tr w:rsidR="00E7173E" w:rsidRPr="00CB2503" w:rsidTr="00CB2503">
        <w:trPr>
          <w:trHeight w:val="288"/>
        </w:trPr>
        <w:tc>
          <w:tcPr>
            <w:tcW w:w="2593" w:type="pct"/>
            <w:gridSpan w:val="2"/>
            <w:shd w:val="clear" w:color="auto" w:fill="auto"/>
          </w:tcPr>
          <w:p w:rsidR="00661E10" w:rsidRPr="00CB2503" w:rsidRDefault="00661E10" w:rsidP="00661E10">
            <w:pPr>
              <w:jc w:val="center"/>
              <w:rPr>
                <w:b/>
                <w:sz w:val="19"/>
                <w:szCs w:val="19"/>
              </w:rPr>
            </w:pPr>
            <w:r w:rsidRPr="00CB2503">
              <w:rPr>
                <w:b/>
                <w:color w:val="000000"/>
                <w:sz w:val="19"/>
                <w:szCs w:val="19"/>
              </w:rPr>
              <w:t>Portfolio</w:t>
            </w:r>
          </w:p>
        </w:tc>
        <w:tc>
          <w:tcPr>
            <w:tcW w:w="761" w:type="pct"/>
            <w:shd w:val="clear" w:color="auto" w:fill="auto"/>
            <w:noWrap/>
          </w:tcPr>
          <w:p w:rsidR="00661E10" w:rsidRPr="00CB2503" w:rsidRDefault="00661E10" w:rsidP="00661E10">
            <w:pPr>
              <w:jc w:val="center"/>
              <w:rPr>
                <w:b/>
                <w:bCs/>
                <w:color w:val="000000"/>
                <w:sz w:val="19"/>
                <w:szCs w:val="19"/>
              </w:rPr>
            </w:pPr>
            <w:r w:rsidRPr="00CB2503">
              <w:rPr>
                <w:b/>
                <w:bCs/>
                <w:color w:val="000000"/>
                <w:sz w:val="19"/>
                <w:szCs w:val="19"/>
              </w:rPr>
              <w:t>*</w:t>
            </w:r>
          </w:p>
        </w:tc>
        <w:tc>
          <w:tcPr>
            <w:tcW w:w="761" w:type="pct"/>
            <w:shd w:val="clear" w:color="auto" w:fill="auto"/>
            <w:noWrap/>
          </w:tcPr>
          <w:p w:rsidR="00661E10" w:rsidRPr="00CB2503" w:rsidRDefault="00661E10" w:rsidP="00661E10">
            <w:pPr>
              <w:jc w:val="center"/>
              <w:rPr>
                <w:b/>
                <w:bCs/>
                <w:color w:val="000000"/>
                <w:sz w:val="19"/>
                <w:szCs w:val="19"/>
              </w:rPr>
            </w:pPr>
            <w:r w:rsidRPr="00CB2503">
              <w:rPr>
                <w:b/>
                <w:bCs/>
                <w:color w:val="000000"/>
                <w:sz w:val="19"/>
                <w:szCs w:val="19"/>
              </w:rPr>
              <w:t>0.78</w:t>
            </w:r>
          </w:p>
        </w:tc>
        <w:tc>
          <w:tcPr>
            <w:tcW w:w="885" w:type="pct"/>
            <w:shd w:val="clear" w:color="auto" w:fill="auto"/>
            <w:noWrap/>
          </w:tcPr>
          <w:p w:rsidR="00661E10" w:rsidRPr="00CB2503" w:rsidRDefault="00661E10" w:rsidP="00661E10">
            <w:pPr>
              <w:jc w:val="center"/>
              <w:rPr>
                <w:b/>
                <w:sz w:val="19"/>
                <w:szCs w:val="19"/>
              </w:rPr>
            </w:pPr>
            <w:r w:rsidRPr="00CB2503">
              <w:rPr>
                <w:b/>
                <w:sz w:val="19"/>
                <w:szCs w:val="19"/>
              </w:rPr>
              <w:t>0.71</w:t>
            </w:r>
          </w:p>
        </w:tc>
      </w:tr>
      <w:tr w:rsidR="00E7173E" w:rsidRPr="00771798" w:rsidTr="00CB2503">
        <w:trPr>
          <w:trHeight w:val="288"/>
        </w:trPr>
        <w:tc>
          <w:tcPr>
            <w:tcW w:w="5000" w:type="pct"/>
            <w:gridSpan w:val="5"/>
            <w:shd w:val="clear" w:color="auto" w:fill="448A99"/>
          </w:tcPr>
          <w:p w:rsidR="00661E10" w:rsidRPr="00771798" w:rsidRDefault="00661E10" w:rsidP="00661E10">
            <w:pPr>
              <w:jc w:val="left"/>
              <w:rPr>
                <w:color w:val="FFFFFF"/>
                <w:sz w:val="18"/>
                <w:szCs w:val="19"/>
              </w:rPr>
            </w:pPr>
            <w:r w:rsidRPr="00771798">
              <w:rPr>
                <w:color w:val="FFFFFF"/>
                <w:sz w:val="18"/>
                <w:szCs w:val="19"/>
              </w:rPr>
              <w:t>NOTE</w:t>
            </w:r>
            <w:r w:rsidR="00CB2503" w:rsidRPr="00771798">
              <w:rPr>
                <w:color w:val="FFFFFF"/>
                <w:sz w:val="18"/>
                <w:szCs w:val="19"/>
              </w:rPr>
              <w:t>S</w:t>
            </w:r>
            <w:r w:rsidR="00630371" w:rsidRPr="00771798">
              <w:rPr>
                <w:color w:val="FFFFFF"/>
                <w:sz w:val="18"/>
                <w:szCs w:val="19"/>
              </w:rPr>
              <w:t>:</w:t>
            </w:r>
          </w:p>
          <w:p w:rsidR="00661E10" w:rsidRPr="00771798" w:rsidRDefault="00661E10" w:rsidP="00661E10">
            <w:pPr>
              <w:jc w:val="left"/>
              <w:rPr>
                <w:color w:val="FFFFFF" w:themeColor="background1"/>
                <w:sz w:val="18"/>
                <w:szCs w:val="19"/>
              </w:rPr>
            </w:pPr>
            <w:r w:rsidRPr="00771798">
              <w:rPr>
                <w:color w:val="FFFFFF" w:themeColor="background1"/>
                <w:sz w:val="18"/>
                <w:szCs w:val="19"/>
              </w:rPr>
              <w:t>* Denotes programs/NTGRs that were not included in a given annual report.</w:t>
            </w:r>
          </w:p>
        </w:tc>
      </w:tr>
    </w:tbl>
    <w:p w:rsidR="00661E10" w:rsidRPr="00661E10" w:rsidRDefault="00661E10" w:rsidP="00661E10"/>
    <w:p w:rsidR="00661E10" w:rsidRPr="00661E10" w:rsidRDefault="00661E10" w:rsidP="00E673F0">
      <w:pPr>
        <w:pStyle w:val="Heading4"/>
      </w:pPr>
      <w:r w:rsidRPr="00661E10">
        <w:t>Pennsylvania Power Phase II NTG Summary</w:t>
      </w:r>
    </w:p>
    <w:p w:rsidR="00661E10" w:rsidRPr="00661E10" w:rsidRDefault="007631BE" w:rsidP="007631BE">
      <w:r>
        <w:fldChar w:fldCharType="begin"/>
      </w:r>
      <w:r>
        <w:instrText xml:space="preserve"> REF _Ref471458949 \h </w:instrText>
      </w:r>
      <w:r>
        <w:fldChar w:fldCharType="separate"/>
      </w:r>
      <w:r w:rsidR="00037CB4" w:rsidRPr="00ED5AFA">
        <w:t xml:space="preserve">Table </w:t>
      </w:r>
      <w:r w:rsidR="00037CB4">
        <w:rPr>
          <w:noProof/>
        </w:rPr>
        <w:t>5</w:t>
      </w:r>
      <w:r w:rsidR="00037CB4">
        <w:noBreakHyphen/>
      </w:r>
      <w:r w:rsidR="00037CB4">
        <w:rPr>
          <w:noProof/>
        </w:rPr>
        <w:t>9</w:t>
      </w:r>
      <w:r>
        <w:fldChar w:fldCharType="end"/>
      </w:r>
      <w:r>
        <w:t xml:space="preserve"> </w:t>
      </w:r>
      <w:r w:rsidR="00661E10" w:rsidRPr="007631BE">
        <w:t>shows Penn Power’s Phase II NTGRs by program year. Penn Power did not conduct any NTG evaluation activities during PY5. There was considerable intra-program NTGR variation from PY6 to PY7, leading to a lower portfolio-level NTGR in PY7.</w:t>
      </w:r>
      <w:r w:rsidR="00B90CD9" w:rsidRPr="007631BE">
        <w:t xml:space="preserve"> The change in evaluation methodologies for appliance recycling and low income (see text associated with</w:t>
      </w:r>
      <w:r>
        <w:t xml:space="preserve"> </w:t>
      </w:r>
      <w:r>
        <w:fldChar w:fldCharType="begin"/>
      </w:r>
      <w:r>
        <w:instrText xml:space="preserve"> REF _Ref473709359 \h </w:instrText>
      </w:r>
      <w:r>
        <w:fldChar w:fldCharType="separate"/>
      </w:r>
      <w:r w:rsidR="00037CB4" w:rsidRPr="005F4C4F">
        <w:t xml:space="preserve">Figure </w:t>
      </w:r>
      <w:r w:rsidR="00037CB4">
        <w:rPr>
          <w:noProof/>
        </w:rPr>
        <w:t>5</w:t>
      </w:r>
      <w:r w:rsidR="00037CB4">
        <w:noBreakHyphen/>
      </w:r>
      <w:r w:rsidR="00037CB4">
        <w:rPr>
          <w:noProof/>
        </w:rPr>
        <w:t>1</w:t>
      </w:r>
      <w:r>
        <w:fldChar w:fldCharType="end"/>
      </w:r>
      <w:r w:rsidR="00B90CD9" w:rsidRPr="003A0F59">
        <w:t>), as well as first-time NTGR estimates in PY7 for two programs, contributed to the decrease.</w:t>
      </w:r>
      <w:r w:rsidR="00661E10" w:rsidRPr="00661E10">
        <w:rPr>
          <w:i/>
        </w:rPr>
        <w:t xml:space="preserve"> </w:t>
      </w:r>
    </w:p>
    <w:p w:rsidR="00661E10" w:rsidRPr="00661E10" w:rsidRDefault="00661E10" w:rsidP="00661E10"/>
    <w:p w:rsidR="00661E10" w:rsidRPr="00ED5AFA" w:rsidRDefault="00ED5AFA" w:rsidP="004837FA">
      <w:pPr>
        <w:pStyle w:val="Caption"/>
      </w:pPr>
      <w:bookmarkStart w:id="417" w:name="_Ref471458949"/>
      <w:bookmarkStart w:id="418" w:name="_Toc472472194"/>
      <w:bookmarkStart w:id="419" w:name="_Toc488741773"/>
      <w:r w:rsidRPr="00ED5AFA">
        <w:t xml:space="preserve">Table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9</w:t>
      </w:r>
      <w:r w:rsidR="007973A4">
        <w:rPr>
          <w:noProof/>
        </w:rPr>
        <w:fldChar w:fldCharType="end"/>
      </w:r>
      <w:bookmarkEnd w:id="417"/>
      <w:r w:rsidR="00661E10" w:rsidRPr="00ED5AFA">
        <w:t>: Penn Power’s Phase II NTGRs by Program Year</w:t>
      </w:r>
      <w:bookmarkEnd w:id="418"/>
      <w:bookmarkEnd w:id="419"/>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56"/>
        <w:gridCol w:w="3387"/>
        <w:gridCol w:w="1422"/>
        <w:gridCol w:w="1422"/>
        <w:gridCol w:w="1653"/>
      </w:tblGrid>
      <w:tr w:rsidR="00A874AC" w:rsidRPr="00CB2503" w:rsidTr="00CB2503">
        <w:trPr>
          <w:trHeight w:val="20"/>
          <w:tblHeader/>
        </w:trPr>
        <w:tc>
          <w:tcPr>
            <w:tcW w:w="780" w:type="pct"/>
            <w:shd w:val="clear" w:color="auto" w:fill="448A99"/>
            <w:vAlign w:val="bottom"/>
            <w:hideMark/>
          </w:tcPr>
          <w:p w:rsidR="00661E10" w:rsidRPr="00CB2503" w:rsidRDefault="00661E10" w:rsidP="00661E10">
            <w:pPr>
              <w:jc w:val="left"/>
              <w:rPr>
                <w:b/>
                <w:bCs/>
                <w:color w:val="FFFFFF"/>
                <w:sz w:val="19"/>
                <w:szCs w:val="19"/>
              </w:rPr>
            </w:pPr>
            <w:r w:rsidRPr="00CB2503">
              <w:rPr>
                <w:b/>
                <w:color w:val="FFFFFF"/>
                <w:sz w:val="19"/>
                <w:szCs w:val="19"/>
              </w:rPr>
              <w:t>Sector</w:t>
            </w:r>
          </w:p>
        </w:tc>
        <w:tc>
          <w:tcPr>
            <w:tcW w:w="1813"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Program</w:t>
            </w:r>
          </w:p>
        </w:tc>
        <w:tc>
          <w:tcPr>
            <w:tcW w:w="761"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PY5</w:t>
            </w:r>
          </w:p>
        </w:tc>
        <w:tc>
          <w:tcPr>
            <w:tcW w:w="761"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PY6</w:t>
            </w:r>
          </w:p>
        </w:tc>
        <w:tc>
          <w:tcPr>
            <w:tcW w:w="885"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PY7</w:t>
            </w:r>
          </w:p>
        </w:tc>
      </w:tr>
      <w:tr w:rsidR="00A874AC" w:rsidRPr="00CB2503" w:rsidTr="00CB2503">
        <w:trPr>
          <w:trHeight w:val="288"/>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Residential</w:t>
            </w:r>
          </w:p>
        </w:tc>
        <w:tc>
          <w:tcPr>
            <w:tcW w:w="1813" w:type="pct"/>
            <w:shd w:val="clear" w:color="auto" w:fill="D2EAF1"/>
            <w:noWrap/>
          </w:tcPr>
          <w:p w:rsidR="00661E10" w:rsidRPr="00CB2503" w:rsidRDefault="00661E10" w:rsidP="00661E10">
            <w:pPr>
              <w:jc w:val="left"/>
              <w:rPr>
                <w:color w:val="000000"/>
                <w:sz w:val="19"/>
                <w:szCs w:val="19"/>
              </w:rPr>
            </w:pPr>
            <w:r w:rsidRPr="00CB2503">
              <w:rPr>
                <w:sz w:val="19"/>
                <w:szCs w:val="19"/>
              </w:rPr>
              <w:t>Appliance Turn-In</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0.53</w:t>
            </w:r>
          </w:p>
        </w:tc>
        <w:tc>
          <w:tcPr>
            <w:tcW w:w="885" w:type="pct"/>
            <w:shd w:val="clear" w:color="auto" w:fill="D2EAF1"/>
            <w:noWrap/>
          </w:tcPr>
          <w:p w:rsidR="00661E10" w:rsidRPr="00CB2503" w:rsidRDefault="00661E10" w:rsidP="00661E10">
            <w:pPr>
              <w:jc w:val="center"/>
              <w:rPr>
                <w:sz w:val="19"/>
                <w:szCs w:val="19"/>
              </w:rPr>
            </w:pPr>
            <w:r w:rsidRPr="00CB2503">
              <w:rPr>
                <w:sz w:val="19"/>
                <w:szCs w:val="19"/>
              </w:rPr>
              <w:t>0.42</w:t>
            </w:r>
          </w:p>
        </w:tc>
      </w:tr>
      <w:tr w:rsidR="005E6D04" w:rsidRPr="00CB2503" w:rsidTr="00CB2503">
        <w:trPr>
          <w:trHeight w:val="288"/>
        </w:trPr>
        <w:tc>
          <w:tcPr>
            <w:tcW w:w="780" w:type="pct"/>
            <w:vMerge/>
            <w:shd w:val="clear" w:color="auto" w:fill="D2EAF1"/>
          </w:tcPr>
          <w:p w:rsidR="00661E10" w:rsidRPr="00CB2503" w:rsidRDefault="00661E10" w:rsidP="00661E10">
            <w:pPr>
              <w:jc w:val="left"/>
              <w:rPr>
                <w:color w:val="000000"/>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Energy Efficient Products</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0.57</w:t>
            </w:r>
          </w:p>
        </w:tc>
        <w:tc>
          <w:tcPr>
            <w:tcW w:w="885" w:type="pct"/>
            <w:shd w:val="clear" w:color="auto" w:fill="auto"/>
            <w:noWrap/>
          </w:tcPr>
          <w:p w:rsidR="00661E10" w:rsidRPr="00CB2503" w:rsidRDefault="00661E10" w:rsidP="00661E10">
            <w:pPr>
              <w:jc w:val="center"/>
              <w:rPr>
                <w:sz w:val="19"/>
                <w:szCs w:val="19"/>
              </w:rPr>
            </w:pPr>
            <w:r w:rsidRPr="00CB2503">
              <w:rPr>
                <w:sz w:val="19"/>
                <w:szCs w:val="19"/>
              </w:rPr>
              <w:t>0.67</w:t>
            </w:r>
          </w:p>
        </w:tc>
      </w:tr>
      <w:tr w:rsidR="00A874AC" w:rsidRPr="00CB2503" w:rsidTr="00CB2503">
        <w:trPr>
          <w:trHeight w:val="288"/>
        </w:trPr>
        <w:tc>
          <w:tcPr>
            <w:tcW w:w="780" w:type="pct"/>
            <w:vMerge/>
            <w:shd w:val="clear" w:color="auto" w:fill="D2EAF1"/>
          </w:tcPr>
          <w:p w:rsidR="00661E10" w:rsidRPr="00CB2503" w:rsidRDefault="00661E10" w:rsidP="00661E10">
            <w:pPr>
              <w:jc w:val="left"/>
              <w:rPr>
                <w:color w:val="000000"/>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Home Performance</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0.88</w:t>
            </w:r>
          </w:p>
        </w:tc>
        <w:tc>
          <w:tcPr>
            <w:tcW w:w="885" w:type="pct"/>
            <w:shd w:val="clear" w:color="auto" w:fill="D2EAF1"/>
            <w:noWrap/>
          </w:tcPr>
          <w:p w:rsidR="00661E10" w:rsidRPr="00CB2503" w:rsidRDefault="00661E10" w:rsidP="00661E10">
            <w:pPr>
              <w:jc w:val="center"/>
              <w:rPr>
                <w:sz w:val="19"/>
                <w:szCs w:val="19"/>
              </w:rPr>
            </w:pPr>
            <w:r w:rsidRPr="00CB2503">
              <w:rPr>
                <w:sz w:val="19"/>
                <w:szCs w:val="19"/>
              </w:rPr>
              <w:t>0.70</w:t>
            </w:r>
          </w:p>
        </w:tc>
      </w:tr>
      <w:tr w:rsidR="00E7173E" w:rsidRPr="00CB2503" w:rsidTr="00C066E9">
        <w:trPr>
          <w:trHeight w:val="317"/>
        </w:trPr>
        <w:tc>
          <w:tcPr>
            <w:tcW w:w="780" w:type="pct"/>
            <w:shd w:val="clear" w:color="auto" w:fill="auto"/>
          </w:tcPr>
          <w:p w:rsidR="00661E10" w:rsidRPr="00CB2503" w:rsidRDefault="00661E10" w:rsidP="00661E10">
            <w:pPr>
              <w:jc w:val="left"/>
              <w:rPr>
                <w:color w:val="000000"/>
                <w:sz w:val="19"/>
                <w:szCs w:val="19"/>
              </w:rPr>
            </w:pPr>
            <w:r w:rsidRPr="00CB2503">
              <w:rPr>
                <w:sz w:val="19"/>
                <w:szCs w:val="19"/>
              </w:rPr>
              <w:t>Low-Income</w:t>
            </w:r>
          </w:p>
        </w:tc>
        <w:tc>
          <w:tcPr>
            <w:tcW w:w="1813" w:type="pct"/>
            <w:shd w:val="clear" w:color="auto" w:fill="auto"/>
            <w:noWrap/>
          </w:tcPr>
          <w:p w:rsidR="00661E10" w:rsidRPr="00CB2503" w:rsidRDefault="00661E10" w:rsidP="00661E10">
            <w:pPr>
              <w:jc w:val="left"/>
              <w:rPr>
                <w:sz w:val="19"/>
                <w:szCs w:val="19"/>
              </w:rPr>
            </w:pPr>
            <w:r w:rsidRPr="00CB2503">
              <w:rPr>
                <w:sz w:val="19"/>
                <w:szCs w:val="19"/>
              </w:rPr>
              <w:t xml:space="preserve">Low-Income </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1.00</w:t>
            </w:r>
          </w:p>
        </w:tc>
        <w:tc>
          <w:tcPr>
            <w:tcW w:w="885" w:type="pct"/>
            <w:shd w:val="clear" w:color="auto" w:fill="auto"/>
            <w:noWrap/>
          </w:tcPr>
          <w:p w:rsidR="00661E10" w:rsidRPr="00CB2503" w:rsidRDefault="00661E10" w:rsidP="00661E10">
            <w:pPr>
              <w:jc w:val="center"/>
              <w:rPr>
                <w:bCs/>
                <w:color w:val="000000"/>
                <w:sz w:val="19"/>
                <w:szCs w:val="19"/>
              </w:rPr>
            </w:pPr>
            <w:r w:rsidRPr="00CB2503">
              <w:rPr>
                <w:sz w:val="19"/>
                <w:szCs w:val="19"/>
              </w:rPr>
              <w:t>0.89</w:t>
            </w:r>
          </w:p>
        </w:tc>
      </w:tr>
      <w:tr w:rsidR="00A874AC" w:rsidRPr="00CB2503" w:rsidTr="00CB2503">
        <w:trPr>
          <w:trHeight w:val="288"/>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Non-Residential</w:t>
            </w:r>
          </w:p>
        </w:tc>
        <w:tc>
          <w:tcPr>
            <w:tcW w:w="1813" w:type="pct"/>
            <w:shd w:val="clear" w:color="auto" w:fill="D2EAF1"/>
            <w:noWrap/>
          </w:tcPr>
          <w:p w:rsidR="00661E10" w:rsidRPr="00CB2503" w:rsidRDefault="00661E10" w:rsidP="00661E10">
            <w:pPr>
              <w:jc w:val="left"/>
              <w:rPr>
                <w:sz w:val="19"/>
                <w:szCs w:val="19"/>
              </w:rPr>
            </w:pPr>
            <w:r w:rsidRPr="00CB2503">
              <w:rPr>
                <w:sz w:val="19"/>
                <w:szCs w:val="19"/>
              </w:rPr>
              <w:t>Small C/I Equipment</w:t>
            </w:r>
          </w:p>
        </w:tc>
        <w:tc>
          <w:tcPr>
            <w:tcW w:w="761"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D2EAF1"/>
            <w:noWrap/>
          </w:tcPr>
          <w:p w:rsidR="00661E10" w:rsidRPr="00CB2503" w:rsidRDefault="00661E10" w:rsidP="00661E10">
            <w:pPr>
              <w:jc w:val="center"/>
              <w:rPr>
                <w:bCs/>
                <w:color w:val="000000"/>
                <w:sz w:val="19"/>
                <w:szCs w:val="19"/>
              </w:rPr>
            </w:pPr>
            <w:r w:rsidRPr="00CB2503">
              <w:rPr>
                <w:sz w:val="19"/>
                <w:szCs w:val="19"/>
              </w:rPr>
              <w:t>0.39</w:t>
            </w:r>
          </w:p>
        </w:tc>
        <w:tc>
          <w:tcPr>
            <w:tcW w:w="885" w:type="pct"/>
            <w:shd w:val="clear" w:color="auto" w:fill="D2EAF1"/>
            <w:noWrap/>
          </w:tcPr>
          <w:p w:rsidR="00661E10" w:rsidRPr="00CB2503" w:rsidRDefault="00661E10" w:rsidP="00661E10">
            <w:pPr>
              <w:jc w:val="center"/>
              <w:rPr>
                <w:bCs/>
                <w:color w:val="000000"/>
                <w:sz w:val="19"/>
                <w:szCs w:val="19"/>
              </w:rPr>
            </w:pPr>
            <w:r w:rsidRPr="00CB2503">
              <w:rPr>
                <w:sz w:val="19"/>
                <w:szCs w:val="19"/>
              </w:rPr>
              <w:t>0.44</w:t>
            </w:r>
          </w:p>
        </w:tc>
      </w:tr>
      <w:tr w:rsidR="005E6D04" w:rsidRPr="00CB2503" w:rsidTr="00CB2503">
        <w:trPr>
          <w:trHeight w:val="288"/>
        </w:trPr>
        <w:tc>
          <w:tcPr>
            <w:tcW w:w="780" w:type="pct"/>
            <w:vMerge/>
            <w:shd w:val="clear" w:color="auto" w:fill="D2EAF1"/>
          </w:tcPr>
          <w:p w:rsidR="00661E10" w:rsidRPr="00CB2503" w:rsidRDefault="00661E10" w:rsidP="00661E10">
            <w:pPr>
              <w:jc w:val="left"/>
              <w:rPr>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Large C/I Equipment</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0.75</w:t>
            </w:r>
          </w:p>
        </w:tc>
        <w:tc>
          <w:tcPr>
            <w:tcW w:w="885" w:type="pct"/>
            <w:shd w:val="clear" w:color="auto" w:fill="auto"/>
            <w:noWrap/>
          </w:tcPr>
          <w:p w:rsidR="00661E10" w:rsidRPr="00CB2503" w:rsidRDefault="00661E10" w:rsidP="00661E10">
            <w:pPr>
              <w:jc w:val="center"/>
              <w:rPr>
                <w:sz w:val="19"/>
                <w:szCs w:val="19"/>
              </w:rPr>
            </w:pPr>
            <w:r w:rsidRPr="00CB2503">
              <w:rPr>
                <w:sz w:val="19"/>
                <w:szCs w:val="19"/>
              </w:rPr>
              <w:t>0.78</w:t>
            </w:r>
          </w:p>
        </w:tc>
      </w:tr>
      <w:tr w:rsidR="00A874AC" w:rsidRPr="00CB2503" w:rsidTr="00CB2503">
        <w:trPr>
          <w:trHeight w:val="288"/>
        </w:trPr>
        <w:tc>
          <w:tcPr>
            <w:tcW w:w="780" w:type="pct"/>
            <w:vMerge/>
            <w:shd w:val="clear" w:color="auto" w:fill="D2EAF1"/>
          </w:tcPr>
          <w:p w:rsidR="00661E10" w:rsidRPr="00CB2503" w:rsidRDefault="00661E10" w:rsidP="00661E10">
            <w:pPr>
              <w:jc w:val="left"/>
              <w:rPr>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Small C/I Buildings</w:t>
            </w:r>
          </w:p>
        </w:tc>
        <w:tc>
          <w:tcPr>
            <w:tcW w:w="761"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w:t>
            </w:r>
          </w:p>
        </w:tc>
        <w:tc>
          <w:tcPr>
            <w:tcW w:w="885" w:type="pct"/>
            <w:shd w:val="clear" w:color="auto" w:fill="D2EAF1"/>
            <w:noWrap/>
          </w:tcPr>
          <w:p w:rsidR="00661E10" w:rsidRPr="00CB2503" w:rsidRDefault="00661E10" w:rsidP="00661E10">
            <w:pPr>
              <w:jc w:val="center"/>
              <w:rPr>
                <w:sz w:val="19"/>
                <w:szCs w:val="19"/>
              </w:rPr>
            </w:pPr>
            <w:r w:rsidRPr="00CB2503">
              <w:rPr>
                <w:sz w:val="19"/>
                <w:szCs w:val="19"/>
              </w:rPr>
              <w:t>0.45</w:t>
            </w:r>
          </w:p>
        </w:tc>
      </w:tr>
      <w:tr w:rsidR="005E6D04" w:rsidRPr="00CB2503" w:rsidTr="00CB2503">
        <w:trPr>
          <w:trHeight w:val="288"/>
        </w:trPr>
        <w:tc>
          <w:tcPr>
            <w:tcW w:w="780" w:type="pct"/>
            <w:vMerge/>
            <w:shd w:val="clear" w:color="auto" w:fill="D2EAF1"/>
          </w:tcPr>
          <w:p w:rsidR="00661E10" w:rsidRPr="00CB2503" w:rsidRDefault="00661E10" w:rsidP="00661E10">
            <w:pPr>
              <w:jc w:val="left"/>
              <w:rPr>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Large C/I Buildings</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w:t>
            </w:r>
          </w:p>
        </w:tc>
        <w:tc>
          <w:tcPr>
            <w:tcW w:w="885" w:type="pct"/>
            <w:shd w:val="clear" w:color="auto" w:fill="auto"/>
            <w:noWrap/>
          </w:tcPr>
          <w:p w:rsidR="00661E10" w:rsidRPr="00CB2503" w:rsidRDefault="00661E10" w:rsidP="00661E10">
            <w:pPr>
              <w:jc w:val="center"/>
              <w:rPr>
                <w:sz w:val="19"/>
                <w:szCs w:val="19"/>
              </w:rPr>
            </w:pPr>
            <w:r w:rsidRPr="00CB2503">
              <w:rPr>
                <w:sz w:val="19"/>
                <w:szCs w:val="19"/>
              </w:rPr>
              <w:t>0.50</w:t>
            </w:r>
          </w:p>
        </w:tc>
      </w:tr>
      <w:tr w:rsidR="00A874AC" w:rsidRPr="00CB2503" w:rsidTr="00CB2503">
        <w:trPr>
          <w:trHeight w:val="288"/>
        </w:trPr>
        <w:tc>
          <w:tcPr>
            <w:tcW w:w="780" w:type="pct"/>
            <w:vMerge/>
            <w:shd w:val="clear" w:color="auto" w:fill="D2EAF1"/>
          </w:tcPr>
          <w:p w:rsidR="00661E10" w:rsidRPr="00CB2503" w:rsidRDefault="00661E10" w:rsidP="00661E10">
            <w:pPr>
              <w:jc w:val="left"/>
              <w:rPr>
                <w:color w:val="000000"/>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Government and Institutional</w:t>
            </w:r>
          </w:p>
        </w:tc>
        <w:tc>
          <w:tcPr>
            <w:tcW w:w="761"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D2EAF1"/>
            <w:noWrap/>
          </w:tcPr>
          <w:p w:rsidR="00661E10" w:rsidRPr="00CB2503" w:rsidRDefault="00661E10" w:rsidP="00661E10">
            <w:pPr>
              <w:jc w:val="center"/>
              <w:rPr>
                <w:bCs/>
                <w:color w:val="000000"/>
                <w:sz w:val="19"/>
                <w:szCs w:val="19"/>
              </w:rPr>
            </w:pPr>
            <w:r w:rsidRPr="00CB2503">
              <w:rPr>
                <w:sz w:val="19"/>
                <w:szCs w:val="19"/>
              </w:rPr>
              <w:t>0.57</w:t>
            </w:r>
          </w:p>
        </w:tc>
        <w:tc>
          <w:tcPr>
            <w:tcW w:w="885" w:type="pct"/>
            <w:shd w:val="clear" w:color="auto" w:fill="D2EAF1"/>
            <w:noWrap/>
          </w:tcPr>
          <w:p w:rsidR="00661E10" w:rsidRPr="00CB2503" w:rsidRDefault="00661E10" w:rsidP="00661E10">
            <w:pPr>
              <w:jc w:val="center"/>
              <w:rPr>
                <w:bCs/>
                <w:color w:val="000000"/>
                <w:sz w:val="19"/>
                <w:szCs w:val="19"/>
              </w:rPr>
            </w:pPr>
            <w:r w:rsidRPr="00CB2503">
              <w:rPr>
                <w:sz w:val="19"/>
                <w:szCs w:val="19"/>
              </w:rPr>
              <w:t>0.73</w:t>
            </w:r>
          </w:p>
        </w:tc>
      </w:tr>
      <w:tr w:rsidR="00E7173E" w:rsidRPr="00CB2503" w:rsidTr="00CB2503">
        <w:trPr>
          <w:trHeight w:val="288"/>
        </w:trPr>
        <w:tc>
          <w:tcPr>
            <w:tcW w:w="2593" w:type="pct"/>
            <w:gridSpan w:val="2"/>
            <w:shd w:val="clear" w:color="auto" w:fill="auto"/>
          </w:tcPr>
          <w:p w:rsidR="00661E10" w:rsidRPr="00CB2503" w:rsidRDefault="00661E10" w:rsidP="00661E10">
            <w:pPr>
              <w:jc w:val="center"/>
              <w:rPr>
                <w:b/>
                <w:sz w:val="19"/>
                <w:szCs w:val="19"/>
              </w:rPr>
            </w:pPr>
            <w:r w:rsidRPr="00CB2503">
              <w:rPr>
                <w:b/>
                <w:color w:val="000000"/>
                <w:sz w:val="19"/>
                <w:szCs w:val="19"/>
              </w:rPr>
              <w:t>Portfolio</w:t>
            </w:r>
          </w:p>
        </w:tc>
        <w:tc>
          <w:tcPr>
            <w:tcW w:w="761" w:type="pct"/>
            <w:shd w:val="clear" w:color="auto" w:fill="auto"/>
            <w:noWrap/>
          </w:tcPr>
          <w:p w:rsidR="00661E10" w:rsidRPr="00CB2503" w:rsidRDefault="00661E10" w:rsidP="00661E10">
            <w:pPr>
              <w:jc w:val="center"/>
              <w:rPr>
                <w:b/>
                <w:bCs/>
                <w:color w:val="000000"/>
                <w:sz w:val="19"/>
                <w:szCs w:val="19"/>
              </w:rPr>
            </w:pPr>
            <w:r w:rsidRPr="00CB2503">
              <w:rPr>
                <w:b/>
                <w:bCs/>
                <w:color w:val="000000"/>
                <w:sz w:val="19"/>
                <w:szCs w:val="19"/>
              </w:rPr>
              <w:t>*</w:t>
            </w:r>
          </w:p>
        </w:tc>
        <w:tc>
          <w:tcPr>
            <w:tcW w:w="761" w:type="pct"/>
            <w:shd w:val="clear" w:color="auto" w:fill="auto"/>
            <w:noWrap/>
          </w:tcPr>
          <w:p w:rsidR="00661E10" w:rsidRPr="00CB2503" w:rsidRDefault="00661E10" w:rsidP="00661E10">
            <w:pPr>
              <w:jc w:val="center"/>
              <w:rPr>
                <w:b/>
                <w:bCs/>
                <w:color w:val="000000"/>
                <w:sz w:val="19"/>
                <w:szCs w:val="19"/>
              </w:rPr>
            </w:pPr>
            <w:r w:rsidRPr="00CB2503">
              <w:rPr>
                <w:b/>
                <w:bCs/>
                <w:color w:val="000000"/>
                <w:sz w:val="19"/>
                <w:szCs w:val="19"/>
              </w:rPr>
              <w:t>0.75</w:t>
            </w:r>
          </w:p>
        </w:tc>
        <w:tc>
          <w:tcPr>
            <w:tcW w:w="885" w:type="pct"/>
            <w:shd w:val="clear" w:color="auto" w:fill="auto"/>
            <w:noWrap/>
          </w:tcPr>
          <w:p w:rsidR="00661E10" w:rsidRPr="00CB2503" w:rsidRDefault="00661E10" w:rsidP="00661E10">
            <w:pPr>
              <w:jc w:val="center"/>
              <w:rPr>
                <w:b/>
                <w:sz w:val="19"/>
                <w:szCs w:val="19"/>
              </w:rPr>
            </w:pPr>
            <w:r w:rsidRPr="00CB2503">
              <w:rPr>
                <w:b/>
                <w:sz w:val="19"/>
                <w:szCs w:val="19"/>
              </w:rPr>
              <w:t>0.60</w:t>
            </w:r>
          </w:p>
        </w:tc>
      </w:tr>
      <w:tr w:rsidR="00E7173E" w:rsidRPr="00771798" w:rsidTr="00CB2503">
        <w:trPr>
          <w:trHeight w:val="288"/>
        </w:trPr>
        <w:tc>
          <w:tcPr>
            <w:tcW w:w="5000" w:type="pct"/>
            <w:gridSpan w:val="5"/>
            <w:shd w:val="clear" w:color="auto" w:fill="448A99"/>
          </w:tcPr>
          <w:p w:rsidR="00661E10" w:rsidRPr="00771798" w:rsidRDefault="00661E10" w:rsidP="00661E10">
            <w:pPr>
              <w:jc w:val="left"/>
              <w:rPr>
                <w:color w:val="FFFFFF"/>
                <w:sz w:val="18"/>
                <w:szCs w:val="19"/>
              </w:rPr>
            </w:pPr>
            <w:r w:rsidRPr="00771798">
              <w:rPr>
                <w:color w:val="FFFFFF"/>
                <w:sz w:val="18"/>
                <w:szCs w:val="19"/>
              </w:rPr>
              <w:t>NOTE</w:t>
            </w:r>
            <w:r w:rsidR="00CB2503" w:rsidRPr="00771798">
              <w:rPr>
                <w:color w:val="FFFFFF"/>
                <w:sz w:val="18"/>
                <w:szCs w:val="19"/>
              </w:rPr>
              <w:t>S</w:t>
            </w:r>
            <w:r w:rsidR="00630371" w:rsidRPr="00771798">
              <w:rPr>
                <w:color w:val="FFFFFF"/>
                <w:sz w:val="18"/>
                <w:szCs w:val="19"/>
              </w:rPr>
              <w:t>:</w:t>
            </w:r>
          </w:p>
          <w:p w:rsidR="00661E10" w:rsidRPr="00771798" w:rsidRDefault="00661E10" w:rsidP="00661E10">
            <w:pPr>
              <w:jc w:val="left"/>
              <w:rPr>
                <w:color w:val="FFFFFF" w:themeColor="background1"/>
                <w:sz w:val="18"/>
                <w:szCs w:val="19"/>
              </w:rPr>
            </w:pPr>
            <w:r w:rsidRPr="00771798">
              <w:rPr>
                <w:color w:val="FFFFFF" w:themeColor="background1"/>
                <w:sz w:val="18"/>
                <w:szCs w:val="19"/>
              </w:rPr>
              <w:t>* Denotes programs/NTGRs that were not included in a given annual report.</w:t>
            </w:r>
          </w:p>
        </w:tc>
      </w:tr>
    </w:tbl>
    <w:p w:rsidR="00661E10" w:rsidRPr="00C066E9" w:rsidRDefault="00661E10" w:rsidP="00C066E9"/>
    <w:p w:rsidR="00661E10" w:rsidRPr="00661E10" w:rsidRDefault="00661E10" w:rsidP="00771798">
      <w:pPr>
        <w:pStyle w:val="Heading4"/>
        <w:rPr>
          <w:rFonts w:eastAsiaTheme="minorHAnsi"/>
        </w:rPr>
      </w:pPr>
      <w:r w:rsidRPr="00661E10">
        <w:rPr>
          <w:rFonts w:eastAsiaTheme="minorHAnsi"/>
        </w:rPr>
        <w:t>West Penn Power Phase II NTG Summary</w:t>
      </w:r>
    </w:p>
    <w:p w:rsidR="00661E10" w:rsidRPr="00661E10" w:rsidRDefault="00ED5AFA" w:rsidP="00661E10">
      <w:r>
        <w:fldChar w:fldCharType="begin"/>
      </w:r>
      <w:r>
        <w:instrText xml:space="preserve"> REF _Ref471458995 \h </w:instrText>
      </w:r>
      <w:r>
        <w:fldChar w:fldCharType="separate"/>
      </w:r>
      <w:r w:rsidR="00037CB4" w:rsidRPr="00ED5AFA">
        <w:t xml:space="preserve">Table </w:t>
      </w:r>
      <w:r w:rsidR="00037CB4">
        <w:rPr>
          <w:noProof/>
        </w:rPr>
        <w:t>5</w:t>
      </w:r>
      <w:r w:rsidR="00037CB4">
        <w:noBreakHyphen/>
      </w:r>
      <w:r w:rsidR="00037CB4">
        <w:rPr>
          <w:noProof/>
        </w:rPr>
        <w:t>10</w:t>
      </w:r>
      <w:r>
        <w:fldChar w:fldCharType="end"/>
      </w:r>
      <w:r>
        <w:t xml:space="preserve"> s</w:t>
      </w:r>
      <w:r w:rsidR="00661E10" w:rsidRPr="00661E10">
        <w:t>hows West Penn’s Phase II NTGRs by program year. West Penn did not conduct any NTG evaluation activities during PY5.</w:t>
      </w:r>
      <w:r w:rsidR="00661E10" w:rsidRPr="00661E10">
        <w:rPr>
          <w:i/>
        </w:rPr>
        <w:t xml:space="preserve"> </w:t>
      </w:r>
      <w:r w:rsidR="00661E10" w:rsidRPr="00661E10">
        <w:t>Due to minimal intra-program NTGR variation from PY6 to PY7, the portfolio-level NTGR was stable across the two years.</w:t>
      </w:r>
      <w:r w:rsidR="00661E10" w:rsidRPr="00661E10">
        <w:rPr>
          <w:i/>
        </w:rPr>
        <w:t xml:space="preserve"> </w:t>
      </w:r>
    </w:p>
    <w:p w:rsidR="00661E10" w:rsidRPr="00661E10" w:rsidRDefault="00661E10" w:rsidP="00661E10"/>
    <w:p w:rsidR="00661E10" w:rsidRPr="00ED5AFA" w:rsidRDefault="00ED5AFA" w:rsidP="004837FA">
      <w:pPr>
        <w:pStyle w:val="Caption"/>
      </w:pPr>
      <w:bookmarkStart w:id="420" w:name="_Ref471458995"/>
      <w:bookmarkStart w:id="421" w:name="_Toc472472195"/>
      <w:bookmarkStart w:id="422" w:name="_Toc488741774"/>
      <w:r w:rsidRPr="00ED5AFA">
        <w:t xml:space="preserve">Table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10</w:t>
      </w:r>
      <w:r w:rsidR="007973A4">
        <w:rPr>
          <w:noProof/>
        </w:rPr>
        <w:fldChar w:fldCharType="end"/>
      </w:r>
      <w:bookmarkEnd w:id="420"/>
      <w:r w:rsidR="00661E10" w:rsidRPr="00ED5AFA">
        <w:t>: West Penn’s Phase II NTGRs by Program Year</w:t>
      </w:r>
      <w:bookmarkEnd w:id="421"/>
      <w:bookmarkEnd w:id="422"/>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56"/>
        <w:gridCol w:w="3387"/>
        <w:gridCol w:w="1422"/>
        <w:gridCol w:w="1422"/>
        <w:gridCol w:w="1653"/>
      </w:tblGrid>
      <w:tr w:rsidR="00A874AC" w:rsidRPr="00CB2503" w:rsidTr="00CB2503">
        <w:trPr>
          <w:trHeight w:val="20"/>
          <w:tblHeader/>
        </w:trPr>
        <w:tc>
          <w:tcPr>
            <w:tcW w:w="780" w:type="pct"/>
            <w:shd w:val="clear" w:color="auto" w:fill="448A99"/>
            <w:vAlign w:val="bottom"/>
            <w:hideMark/>
          </w:tcPr>
          <w:p w:rsidR="00661E10" w:rsidRPr="00CB2503" w:rsidRDefault="00661E10" w:rsidP="00661E10">
            <w:pPr>
              <w:jc w:val="left"/>
              <w:rPr>
                <w:b/>
                <w:bCs/>
                <w:color w:val="FFFFFF"/>
                <w:sz w:val="19"/>
                <w:szCs w:val="19"/>
              </w:rPr>
            </w:pPr>
            <w:r w:rsidRPr="00CB2503">
              <w:rPr>
                <w:b/>
                <w:color w:val="FFFFFF"/>
                <w:sz w:val="19"/>
                <w:szCs w:val="19"/>
              </w:rPr>
              <w:t>Sector</w:t>
            </w:r>
          </w:p>
        </w:tc>
        <w:tc>
          <w:tcPr>
            <w:tcW w:w="1813"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Program</w:t>
            </w:r>
          </w:p>
        </w:tc>
        <w:tc>
          <w:tcPr>
            <w:tcW w:w="761"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PY5</w:t>
            </w:r>
          </w:p>
        </w:tc>
        <w:tc>
          <w:tcPr>
            <w:tcW w:w="761"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PY6</w:t>
            </w:r>
          </w:p>
        </w:tc>
        <w:tc>
          <w:tcPr>
            <w:tcW w:w="885"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PY7</w:t>
            </w:r>
          </w:p>
        </w:tc>
      </w:tr>
      <w:tr w:rsidR="00A874AC" w:rsidRPr="00CB2503" w:rsidTr="00CB2503">
        <w:trPr>
          <w:trHeight w:val="288"/>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Residential</w:t>
            </w:r>
          </w:p>
        </w:tc>
        <w:tc>
          <w:tcPr>
            <w:tcW w:w="1813" w:type="pct"/>
            <w:shd w:val="clear" w:color="auto" w:fill="D2EAF1"/>
            <w:noWrap/>
          </w:tcPr>
          <w:p w:rsidR="00661E10" w:rsidRPr="00CB2503" w:rsidRDefault="00661E10" w:rsidP="00661E10">
            <w:pPr>
              <w:jc w:val="left"/>
              <w:rPr>
                <w:color w:val="000000"/>
                <w:sz w:val="19"/>
                <w:szCs w:val="19"/>
              </w:rPr>
            </w:pPr>
            <w:r w:rsidRPr="00CB2503">
              <w:rPr>
                <w:sz w:val="19"/>
                <w:szCs w:val="19"/>
              </w:rPr>
              <w:t>Appliance Turn-In</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0.32</w:t>
            </w:r>
          </w:p>
        </w:tc>
        <w:tc>
          <w:tcPr>
            <w:tcW w:w="885" w:type="pct"/>
            <w:shd w:val="clear" w:color="auto" w:fill="D2EAF1"/>
            <w:noWrap/>
          </w:tcPr>
          <w:p w:rsidR="00661E10" w:rsidRPr="00CB2503" w:rsidRDefault="00661E10" w:rsidP="00661E10">
            <w:pPr>
              <w:jc w:val="center"/>
              <w:rPr>
                <w:sz w:val="19"/>
                <w:szCs w:val="19"/>
              </w:rPr>
            </w:pPr>
            <w:r w:rsidRPr="00CB2503">
              <w:rPr>
                <w:sz w:val="19"/>
                <w:szCs w:val="19"/>
              </w:rPr>
              <w:t>0.31</w:t>
            </w:r>
          </w:p>
        </w:tc>
      </w:tr>
      <w:tr w:rsidR="005E6D04" w:rsidRPr="00CB2503" w:rsidTr="00CB2503">
        <w:trPr>
          <w:trHeight w:val="288"/>
        </w:trPr>
        <w:tc>
          <w:tcPr>
            <w:tcW w:w="780" w:type="pct"/>
            <w:vMerge/>
            <w:shd w:val="clear" w:color="auto" w:fill="D2EAF1"/>
          </w:tcPr>
          <w:p w:rsidR="00661E10" w:rsidRPr="00CB2503" w:rsidRDefault="00661E10" w:rsidP="00661E10">
            <w:pPr>
              <w:jc w:val="left"/>
              <w:rPr>
                <w:color w:val="000000"/>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Energy Efficient Products</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0.52</w:t>
            </w:r>
          </w:p>
        </w:tc>
        <w:tc>
          <w:tcPr>
            <w:tcW w:w="885" w:type="pct"/>
            <w:shd w:val="clear" w:color="auto" w:fill="auto"/>
            <w:noWrap/>
          </w:tcPr>
          <w:p w:rsidR="00661E10" w:rsidRPr="00CB2503" w:rsidRDefault="00661E10" w:rsidP="00661E10">
            <w:pPr>
              <w:jc w:val="center"/>
              <w:rPr>
                <w:sz w:val="19"/>
                <w:szCs w:val="19"/>
              </w:rPr>
            </w:pPr>
            <w:r w:rsidRPr="00CB2503">
              <w:rPr>
                <w:sz w:val="19"/>
                <w:szCs w:val="19"/>
              </w:rPr>
              <w:t>0.63</w:t>
            </w:r>
          </w:p>
        </w:tc>
      </w:tr>
      <w:tr w:rsidR="00A874AC" w:rsidRPr="00CB2503" w:rsidTr="00CB2503">
        <w:trPr>
          <w:trHeight w:val="288"/>
        </w:trPr>
        <w:tc>
          <w:tcPr>
            <w:tcW w:w="780" w:type="pct"/>
            <w:vMerge/>
            <w:shd w:val="clear" w:color="auto" w:fill="D2EAF1"/>
          </w:tcPr>
          <w:p w:rsidR="00661E10" w:rsidRPr="00CB2503" w:rsidRDefault="00661E10" w:rsidP="00661E10">
            <w:pPr>
              <w:jc w:val="left"/>
              <w:rPr>
                <w:color w:val="000000"/>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Home Performance</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w:t>
            </w:r>
          </w:p>
        </w:tc>
        <w:tc>
          <w:tcPr>
            <w:tcW w:w="761" w:type="pct"/>
            <w:shd w:val="clear" w:color="auto" w:fill="D2EAF1"/>
            <w:noWrap/>
          </w:tcPr>
          <w:p w:rsidR="00661E10" w:rsidRPr="00CB2503" w:rsidRDefault="00661E10" w:rsidP="00661E10">
            <w:pPr>
              <w:jc w:val="center"/>
              <w:rPr>
                <w:sz w:val="19"/>
                <w:szCs w:val="19"/>
              </w:rPr>
            </w:pPr>
            <w:r w:rsidRPr="00CB2503">
              <w:rPr>
                <w:sz w:val="19"/>
                <w:szCs w:val="19"/>
              </w:rPr>
              <w:t>0.99</w:t>
            </w:r>
          </w:p>
        </w:tc>
        <w:tc>
          <w:tcPr>
            <w:tcW w:w="885" w:type="pct"/>
            <w:shd w:val="clear" w:color="auto" w:fill="D2EAF1"/>
            <w:noWrap/>
          </w:tcPr>
          <w:p w:rsidR="00661E10" w:rsidRPr="00CB2503" w:rsidRDefault="00661E10" w:rsidP="00661E10">
            <w:pPr>
              <w:jc w:val="center"/>
              <w:rPr>
                <w:sz w:val="19"/>
                <w:szCs w:val="19"/>
              </w:rPr>
            </w:pPr>
            <w:r w:rsidRPr="00CB2503">
              <w:rPr>
                <w:sz w:val="19"/>
                <w:szCs w:val="19"/>
              </w:rPr>
              <w:t>0.99</w:t>
            </w:r>
          </w:p>
        </w:tc>
      </w:tr>
      <w:tr w:rsidR="00E7173E" w:rsidRPr="00CB2503" w:rsidTr="00CB2503">
        <w:trPr>
          <w:trHeight w:val="288"/>
        </w:trPr>
        <w:tc>
          <w:tcPr>
            <w:tcW w:w="780" w:type="pct"/>
            <w:shd w:val="clear" w:color="auto" w:fill="auto"/>
          </w:tcPr>
          <w:p w:rsidR="00661E10" w:rsidRPr="00CB2503" w:rsidRDefault="00661E10" w:rsidP="00661E10">
            <w:pPr>
              <w:jc w:val="left"/>
              <w:rPr>
                <w:color w:val="000000"/>
                <w:sz w:val="19"/>
                <w:szCs w:val="19"/>
              </w:rPr>
            </w:pPr>
            <w:r w:rsidRPr="00CB2503">
              <w:rPr>
                <w:sz w:val="19"/>
                <w:szCs w:val="19"/>
              </w:rPr>
              <w:t>Low-Income</w:t>
            </w:r>
          </w:p>
        </w:tc>
        <w:tc>
          <w:tcPr>
            <w:tcW w:w="1813" w:type="pct"/>
            <w:shd w:val="clear" w:color="auto" w:fill="auto"/>
            <w:noWrap/>
          </w:tcPr>
          <w:p w:rsidR="00661E10" w:rsidRPr="00CB2503" w:rsidRDefault="00661E10" w:rsidP="00661E10">
            <w:pPr>
              <w:jc w:val="left"/>
              <w:rPr>
                <w:sz w:val="19"/>
                <w:szCs w:val="19"/>
              </w:rPr>
            </w:pPr>
            <w:r w:rsidRPr="00CB2503">
              <w:rPr>
                <w:sz w:val="19"/>
                <w:szCs w:val="19"/>
              </w:rPr>
              <w:t xml:space="preserve">Low-Income </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1.00</w:t>
            </w:r>
          </w:p>
        </w:tc>
        <w:tc>
          <w:tcPr>
            <w:tcW w:w="885" w:type="pct"/>
            <w:shd w:val="clear" w:color="auto" w:fill="auto"/>
            <w:noWrap/>
          </w:tcPr>
          <w:p w:rsidR="00661E10" w:rsidRPr="00CB2503" w:rsidRDefault="00661E10" w:rsidP="00661E10">
            <w:pPr>
              <w:jc w:val="center"/>
              <w:rPr>
                <w:bCs/>
                <w:color w:val="000000"/>
                <w:sz w:val="19"/>
                <w:szCs w:val="19"/>
              </w:rPr>
            </w:pPr>
            <w:r w:rsidRPr="00CB2503">
              <w:rPr>
                <w:sz w:val="19"/>
                <w:szCs w:val="19"/>
              </w:rPr>
              <w:t>0.90</w:t>
            </w:r>
          </w:p>
        </w:tc>
      </w:tr>
      <w:tr w:rsidR="00A874AC" w:rsidRPr="00CB2503" w:rsidTr="00CB2503">
        <w:trPr>
          <w:trHeight w:val="288"/>
        </w:trPr>
        <w:tc>
          <w:tcPr>
            <w:tcW w:w="780" w:type="pct"/>
            <w:vMerge w:val="restart"/>
            <w:shd w:val="clear" w:color="auto" w:fill="D2EAF1"/>
          </w:tcPr>
          <w:p w:rsidR="00661E10" w:rsidRPr="00CB2503" w:rsidRDefault="00661E10" w:rsidP="00661E10">
            <w:pPr>
              <w:jc w:val="left"/>
              <w:rPr>
                <w:color w:val="000000"/>
                <w:sz w:val="19"/>
                <w:szCs w:val="19"/>
              </w:rPr>
            </w:pPr>
            <w:r w:rsidRPr="00CB2503">
              <w:rPr>
                <w:sz w:val="19"/>
                <w:szCs w:val="19"/>
              </w:rPr>
              <w:t>Non-Residential</w:t>
            </w:r>
          </w:p>
        </w:tc>
        <w:tc>
          <w:tcPr>
            <w:tcW w:w="1813" w:type="pct"/>
            <w:shd w:val="clear" w:color="auto" w:fill="D2EAF1"/>
            <w:noWrap/>
          </w:tcPr>
          <w:p w:rsidR="00661E10" w:rsidRPr="00CB2503" w:rsidRDefault="00661E10" w:rsidP="00661E10">
            <w:pPr>
              <w:jc w:val="left"/>
              <w:rPr>
                <w:sz w:val="19"/>
                <w:szCs w:val="19"/>
              </w:rPr>
            </w:pPr>
            <w:r w:rsidRPr="00CB2503">
              <w:rPr>
                <w:sz w:val="19"/>
                <w:szCs w:val="19"/>
              </w:rPr>
              <w:t>Small C/I Equipment</w:t>
            </w:r>
          </w:p>
        </w:tc>
        <w:tc>
          <w:tcPr>
            <w:tcW w:w="761"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D2EAF1"/>
            <w:noWrap/>
          </w:tcPr>
          <w:p w:rsidR="00661E10" w:rsidRPr="00CB2503" w:rsidRDefault="00661E10" w:rsidP="00661E10">
            <w:pPr>
              <w:jc w:val="center"/>
              <w:rPr>
                <w:bCs/>
                <w:color w:val="000000"/>
                <w:sz w:val="19"/>
                <w:szCs w:val="19"/>
              </w:rPr>
            </w:pPr>
            <w:r w:rsidRPr="00CB2503">
              <w:rPr>
                <w:sz w:val="19"/>
                <w:szCs w:val="19"/>
              </w:rPr>
              <w:t>0.71</w:t>
            </w:r>
          </w:p>
        </w:tc>
        <w:tc>
          <w:tcPr>
            <w:tcW w:w="885" w:type="pct"/>
            <w:shd w:val="clear" w:color="auto" w:fill="D2EAF1"/>
            <w:noWrap/>
          </w:tcPr>
          <w:p w:rsidR="00661E10" w:rsidRPr="00CB2503" w:rsidRDefault="00661E10" w:rsidP="00661E10">
            <w:pPr>
              <w:jc w:val="center"/>
              <w:rPr>
                <w:bCs/>
                <w:color w:val="000000"/>
                <w:sz w:val="19"/>
                <w:szCs w:val="19"/>
              </w:rPr>
            </w:pPr>
            <w:r w:rsidRPr="00CB2503">
              <w:rPr>
                <w:sz w:val="19"/>
                <w:szCs w:val="19"/>
              </w:rPr>
              <w:t>0.72</w:t>
            </w:r>
          </w:p>
        </w:tc>
      </w:tr>
      <w:tr w:rsidR="005E6D04" w:rsidRPr="00CB2503" w:rsidTr="00CB2503">
        <w:trPr>
          <w:trHeight w:val="288"/>
        </w:trPr>
        <w:tc>
          <w:tcPr>
            <w:tcW w:w="780" w:type="pct"/>
            <w:vMerge/>
            <w:shd w:val="clear" w:color="auto" w:fill="D2EAF1"/>
          </w:tcPr>
          <w:p w:rsidR="00661E10" w:rsidRPr="00CB2503" w:rsidRDefault="00661E10" w:rsidP="00661E10">
            <w:pPr>
              <w:jc w:val="left"/>
              <w:rPr>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Large C/I Equipment</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auto"/>
            <w:noWrap/>
          </w:tcPr>
          <w:p w:rsidR="00661E10" w:rsidRPr="00CB2503" w:rsidRDefault="00661E10" w:rsidP="00661E10">
            <w:pPr>
              <w:jc w:val="center"/>
              <w:rPr>
                <w:sz w:val="19"/>
                <w:szCs w:val="19"/>
              </w:rPr>
            </w:pPr>
            <w:r w:rsidRPr="00CB2503">
              <w:rPr>
                <w:sz w:val="19"/>
                <w:szCs w:val="19"/>
              </w:rPr>
              <w:t>0.73</w:t>
            </w:r>
          </w:p>
        </w:tc>
        <w:tc>
          <w:tcPr>
            <w:tcW w:w="885" w:type="pct"/>
            <w:shd w:val="clear" w:color="auto" w:fill="auto"/>
            <w:noWrap/>
          </w:tcPr>
          <w:p w:rsidR="00661E10" w:rsidRPr="00CB2503" w:rsidRDefault="00661E10" w:rsidP="00661E10">
            <w:pPr>
              <w:jc w:val="center"/>
              <w:rPr>
                <w:sz w:val="19"/>
                <w:szCs w:val="19"/>
              </w:rPr>
            </w:pPr>
            <w:r w:rsidRPr="00CB2503">
              <w:rPr>
                <w:sz w:val="19"/>
                <w:szCs w:val="19"/>
              </w:rPr>
              <w:t>0.73</w:t>
            </w:r>
          </w:p>
        </w:tc>
      </w:tr>
      <w:tr w:rsidR="00A874AC" w:rsidRPr="00CB2503" w:rsidTr="00CB2503">
        <w:trPr>
          <w:trHeight w:val="288"/>
        </w:trPr>
        <w:tc>
          <w:tcPr>
            <w:tcW w:w="780" w:type="pct"/>
            <w:vMerge/>
            <w:shd w:val="clear" w:color="auto" w:fill="D2EAF1"/>
          </w:tcPr>
          <w:p w:rsidR="00661E10" w:rsidRPr="00CB2503" w:rsidRDefault="00661E10" w:rsidP="00661E10">
            <w:pPr>
              <w:jc w:val="left"/>
              <w:rPr>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Small C/I Buildings</w:t>
            </w:r>
          </w:p>
        </w:tc>
        <w:tc>
          <w:tcPr>
            <w:tcW w:w="761"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D2EAF1"/>
            <w:noWrap/>
          </w:tcPr>
          <w:p w:rsidR="00661E10" w:rsidRPr="00CB2503" w:rsidRDefault="00661E10" w:rsidP="00661E10">
            <w:pPr>
              <w:jc w:val="center"/>
              <w:rPr>
                <w:sz w:val="19"/>
                <w:szCs w:val="19"/>
              </w:rPr>
            </w:pPr>
            <w:r w:rsidRPr="00CB2503">
              <w:rPr>
                <w:bCs/>
                <w:color w:val="000000"/>
                <w:sz w:val="19"/>
                <w:szCs w:val="19"/>
              </w:rPr>
              <w:t>*</w:t>
            </w:r>
          </w:p>
        </w:tc>
        <w:tc>
          <w:tcPr>
            <w:tcW w:w="885" w:type="pct"/>
            <w:shd w:val="clear" w:color="auto" w:fill="D2EAF1"/>
            <w:noWrap/>
          </w:tcPr>
          <w:p w:rsidR="00661E10" w:rsidRPr="00CB2503" w:rsidRDefault="00661E10" w:rsidP="00661E10">
            <w:pPr>
              <w:jc w:val="center"/>
              <w:rPr>
                <w:sz w:val="19"/>
                <w:szCs w:val="19"/>
              </w:rPr>
            </w:pPr>
            <w:r w:rsidRPr="00CB2503">
              <w:rPr>
                <w:sz w:val="19"/>
                <w:szCs w:val="19"/>
              </w:rPr>
              <w:t>0.60</w:t>
            </w:r>
          </w:p>
        </w:tc>
      </w:tr>
      <w:tr w:rsidR="005E6D04" w:rsidRPr="00CB2503" w:rsidTr="00CB2503">
        <w:trPr>
          <w:trHeight w:val="288"/>
        </w:trPr>
        <w:tc>
          <w:tcPr>
            <w:tcW w:w="780" w:type="pct"/>
            <w:vMerge/>
            <w:shd w:val="clear" w:color="auto" w:fill="D2EAF1"/>
          </w:tcPr>
          <w:p w:rsidR="00661E10" w:rsidRPr="00CB2503" w:rsidRDefault="00661E10" w:rsidP="00661E10">
            <w:pPr>
              <w:jc w:val="left"/>
              <w:rPr>
                <w:sz w:val="19"/>
                <w:szCs w:val="19"/>
              </w:rPr>
            </w:pPr>
          </w:p>
        </w:tc>
        <w:tc>
          <w:tcPr>
            <w:tcW w:w="1813" w:type="pct"/>
            <w:shd w:val="clear" w:color="auto" w:fill="auto"/>
            <w:noWrap/>
          </w:tcPr>
          <w:p w:rsidR="00661E10" w:rsidRPr="00CB2503" w:rsidRDefault="00661E10" w:rsidP="00661E10">
            <w:pPr>
              <w:jc w:val="left"/>
              <w:rPr>
                <w:sz w:val="19"/>
                <w:szCs w:val="19"/>
              </w:rPr>
            </w:pPr>
            <w:r w:rsidRPr="00CB2503">
              <w:rPr>
                <w:sz w:val="19"/>
                <w:szCs w:val="19"/>
              </w:rPr>
              <w:t>Large C/I Buildings</w:t>
            </w:r>
          </w:p>
        </w:tc>
        <w:tc>
          <w:tcPr>
            <w:tcW w:w="761"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auto"/>
            <w:noWrap/>
          </w:tcPr>
          <w:p w:rsidR="00661E10" w:rsidRPr="00CB2503" w:rsidRDefault="00661E10" w:rsidP="00661E10">
            <w:pPr>
              <w:jc w:val="center"/>
              <w:rPr>
                <w:sz w:val="19"/>
                <w:szCs w:val="19"/>
              </w:rPr>
            </w:pPr>
            <w:r w:rsidRPr="00CB2503">
              <w:rPr>
                <w:bCs/>
                <w:color w:val="000000"/>
                <w:sz w:val="19"/>
                <w:szCs w:val="19"/>
              </w:rPr>
              <w:t>*</w:t>
            </w:r>
          </w:p>
        </w:tc>
        <w:tc>
          <w:tcPr>
            <w:tcW w:w="885" w:type="pct"/>
            <w:shd w:val="clear" w:color="auto" w:fill="auto"/>
            <w:noWrap/>
          </w:tcPr>
          <w:p w:rsidR="00661E10" w:rsidRPr="00CB2503" w:rsidRDefault="00661E10" w:rsidP="00661E10">
            <w:pPr>
              <w:jc w:val="center"/>
              <w:rPr>
                <w:sz w:val="19"/>
                <w:szCs w:val="19"/>
              </w:rPr>
            </w:pPr>
            <w:r w:rsidRPr="00CB2503">
              <w:rPr>
                <w:sz w:val="19"/>
                <w:szCs w:val="19"/>
              </w:rPr>
              <w:t>0.48</w:t>
            </w:r>
          </w:p>
        </w:tc>
      </w:tr>
      <w:tr w:rsidR="00A874AC" w:rsidRPr="00CB2503" w:rsidTr="00CB2503">
        <w:trPr>
          <w:trHeight w:val="288"/>
        </w:trPr>
        <w:tc>
          <w:tcPr>
            <w:tcW w:w="780" w:type="pct"/>
            <w:vMerge/>
            <w:shd w:val="clear" w:color="auto" w:fill="D2EAF1"/>
          </w:tcPr>
          <w:p w:rsidR="00661E10" w:rsidRPr="00CB2503" w:rsidRDefault="00661E10" w:rsidP="00661E10">
            <w:pPr>
              <w:jc w:val="left"/>
              <w:rPr>
                <w:color w:val="000000"/>
                <w:sz w:val="19"/>
                <w:szCs w:val="19"/>
              </w:rPr>
            </w:pPr>
          </w:p>
        </w:tc>
        <w:tc>
          <w:tcPr>
            <w:tcW w:w="1813" w:type="pct"/>
            <w:shd w:val="clear" w:color="auto" w:fill="D2EAF1"/>
            <w:noWrap/>
          </w:tcPr>
          <w:p w:rsidR="00661E10" w:rsidRPr="00CB2503" w:rsidRDefault="00661E10" w:rsidP="00661E10">
            <w:pPr>
              <w:jc w:val="left"/>
              <w:rPr>
                <w:sz w:val="19"/>
                <w:szCs w:val="19"/>
              </w:rPr>
            </w:pPr>
            <w:r w:rsidRPr="00CB2503">
              <w:rPr>
                <w:sz w:val="19"/>
                <w:szCs w:val="19"/>
              </w:rPr>
              <w:t>Government and Institutional</w:t>
            </w:r>
          </w:p>
        </w:tc>
        <w:tc>
          <w:tcPr>
            <w:tcW w:w="761"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w:t>
            </w:r>
          </w:p>
        </w:tc>
        <w:tc>
          <w:tcPr>
            <w:tcW w:w="761" w:type="pct"/>
            <w:shd w:val="clear" w:color="auto" w:fill="D2EAF1"/>
            <w:noWrap/>
          </w:tcPr>
          <w:p w:rsidR="00661E10" w:rsidRPr="00CB2503" w:rsidRDefault="00661E10" w:rsidP="00661E10">
            <w:pPr>
              <w:jc w:val="center"/>
              <w:rPr>
                <w:bCs/>
                <w:color w:val="000000"/>
                <w:sz w:val="19"/>
                <w:szCs w:val="19"/>
              </w:rPr>
            </w:pPr>
            <w:r w:rsidRPr="00CB2503">
              <w:rPr>
                <w:sz w:val="19"/>
                <w:szCs w:val="19"/>
              </w:rPr>
              <w:t>0.57</w:t>
            </w:r>
          </w:p>
        </w:tc>
        <w:tc>
          <w:tcPr>
            <w:tcW w:w="885" w:type="pct"/>
            <w:shd w:val="clear" w:color="auto" w:fill="D2EAF1"/>
            <w:noWrap/>
          </w:tcPr>
          <w:p w:rsidR="00661E10" w:rsidRPr="00CB2503" w:rsidRDefault="00661E10" w:rsidP="00661E10">
            <w:pPr>
              <w:jc w:val="center"/>
              <w:rPr>
                <w:bCs/>
                <w:color w:val="000000"/>
                <w:sz w:val="19"/>
                <w:szCs w:val="19"/>
              </w:rPr>
            </w:pPr>
            <w:r w:rsidRPr="00CB2503">
              <w:rPr>
                <w:sz w:val="19"/>
                <w:szCs w:val="19"/>
              </w:rPr>
              <w:t>0.73</w:t>
            </w:r>
          </w:p>
        </w:tc>
      </w:tr>
      <w:tr w:rsidR="00E7173E" w:rsidRPr="00CB2503" w:rsidTr="00CB2503">
        <w:trPr>
          <w:trHeight w:val="288"/>
        </w:trPr>
        <w:tc>
          <w:tcPr>
            <w:tcW w:w="2593" w:type="pct"/>
            <w:gridSpan w:val="2"/>
            <w:shd w:val="clear" w:color="auto" w:fill="auto"/>
          </w:tcPr>
          <w:p w:rsidR="00661E10" w:rsidRPr="00CB2503" w:rsidRDefault="00661E10" w:rsidP="00661E10">
            <w:pPr>
              <w:jc w:val="center"/>
              <w:rPr>
                <w:b/>
                <w:sz w:val="19"/>
                <w:szCs w:val="19"/>
              </w:rPr>
            </w:pPr>
            <w:r w:rsidRPr="00CB2503">
              <w:rPr>
                <w:b/>
                <w:color w:val="000000"/>
                <w:sz w:val="19"/>
                <w:szCs w:val="19"/>
              </w:rPr>
              <w:t>Portfolio</w:t>
            </w:r>
          </w:p>
        </w:tc>
        <w:tc>
          <w:tcPr>
            <w:tcW w:w="761" w:type="pct"/>
            <w:shd w:val="clear" w:color="auto" w:fill="auto"/>
            <w:noWrap/>
          </w:tcPr>
          <w:p w:rsidR="00661E10" w:rsidRPr="00CB2503" w:rsidRDefault="00661E10" w:rsidP="00661E10">
            <w:pPr>
              <w:jc w:val="center"/>
              <w:rPr>
                <w:b/>
                <w:bCs/>
                <w:color w:val="000000"/>
                <w:sz w:val="19"/>
                <w:szCs w:val="19"/>
              </w:rPr>
            </w:pPr>
            <w:r w:rsidRPr="00CB2503">
              <w:rPr>
                <w:b/>
                <w:bCs/>
                <w:color w:val="000000"/>
                <w:sz w:val="19"/>
                <w:szCs w:val="19"/>
              </w:rPr>
              <w:t>*</w:t>
            </w:r>
          </w:p>
        </w:tc>
        <w:tc>
          <w:tcPr>
            <w:tcW w:w="761" w:type="pct"/>
            <w:shd w:val="clear" w:color="auto" w:fill="auto"/>
            <w:noWrap/>
          </w:tcPr>
          <w:p w:rsidR="00661E10" w:rsidRPr="00CB2503" w:rsidRDefault="00661E10" w:rsidP="00661E10">
            <w:pPr>
              <w:jc w:val="center"/>
              <w:rPr>
                <w:b/>
                <w:bCs/>
                <w:color w:val="000000"/>
                <w:sz w:val="19"/>
                <w:szCs w:val="19"/>
              </w:rPr>
            </w:pPr>
            <w:r w:rsidRPr="00CB2503">
              <w:rPr>
                <w:b/>
                <w:bCs/>
                <w:color w:val="000000"/>
                <w:sz w:val="19"/>
                <w:szCs w:val="19"/>
              </w:rPr>
              <w:t>0.73</w:t>
            </w:r>
          </w:p>
        </w:tc>
        <w:tc>
          <w:tcPr>
            <w:tcW w:w="885" w:type="pct"/>
            <w:shd w:val="clear" w:color="auto" w:fill="auto"/>
            <w:noWrap/>
          </w:tcPr>
          <w:p w:rsidR="00661E10" w:rsidRPr="00CB2503" w:rsidRDefault="00661E10" w:rsidP="00661E10">
            <w:pPr>
              <w:jc w:val="center"/>
              <w:rPr>
                <w:b/>
                <w:sz w:val="19"/>
                <w:szCs w:val="19"/>
              </w:rPr>
            </w:pPr>
            <w:r w:rsidRPr="00CB2503">
              <w:rPr>
                <w:b/>
                <w:sz w:val="19"/>
                <w:szCs w:val="19"/>
              </w:rPr>
              <w:t>0.72</w:t>
            </w:r>
          </w:p>
        </w:tc>
      </w:tr>
      <w:tr w:rsidR="00E7173E" w:rsidRPr="00771798" w:rsidTr="00CB2503">
        <w:trPr>
          <w:trHeight w:val="288"/>
        </w:trPr>
        <w:tc>
          <w:tcPr>
            <w:tcW w:w="5000" w:type="pct"/>
            <w:gridSpan w:val="5"/>
            <w:shd w:val="clear" w:color="auto" w:fill="448A99"/>
          </w:tcPr>
          <w:p w:rsidR="00661E10" w:rsidRPr="00771798" w:rsidRDefault="00661E10" w:rsidP="00661E10">
            <w:pPr>
              <w:jc w:val="left"/>
              <w:rPr>
                <w:color w:val="FFFFFF"/>
                <w:sz w:val="18"/>
                <w:szCs w:val="19"/>
              </w:rPr>
            </w:pPr>
            <w:r w:rsidRPr="00771798">
              <w:rPr>
                <w:color w:val="FFFFFF"/>
                <w:sz w:val="18"/>
                <w:szCs w:val="19"/>
              </w:rPr>
              <w:t>NOTE</w:t>
            </w:r>
            <w:r w:rsidR="00CB2503" w:rsidRPr="00771798">
              <w:rPr>
                <w:color w:val="FFFFFF"/>
                <w:sz w:val="18"/>
                <w:szCs w:val="19"/>
              </w:rPr>
              <w:t>S</w:t>
            </w:r>
            <w:r w:rsidR="00630371" w:rsidRPr="00771798">
              <w:rPr>
                <w:color w:val="FFFFFF"/>
                <w:sz w:val="18"/>
                <w:szCs w:val="19"/>
              </w:rPr>
              <w:t>:</w:t>
            </w:r>
          </w:p>
          <w:p w:rsidR="00661E10" w:rsidRPr="00771798" w:rsidRDefault="00661E10" w:rsidP="00661E10">
            <w:pPr>
              <w:jc w:val="left"/>
              <w:rPr>
                <w:color w:val="FFFFFF" w:themeColor="background1"/>
                <w:sz w:val="18"/>
                <w:szCs w:val="19"/>
              </w:rPr>
            </w:pPr>
            <w:r w:rsidRPr="00771798">
              <w:rPr>
                <w:color w:val="FFFFFF" w:themeColor="background1"/>
                <w:sz w:val="18"/>
                <w:szCs w:val="19"/>
              </w:rPr>
              <w:t>* Denotes programs/NTGRs that were not included in a given annual report.</w:t>
            </w:r>
          </w:p>
        </w:tc>
      </w:tr>
    </w:tbl>
    <w:p w:rsidR="00C81F40" w:rsidRDefault="00C81F40" w:rsidP="00661E10"/>
    <w:p w:rsidR="00661E10" w:rsidRPr="00661E10" w:rsidRDefault="00661E10" w:rsidP="00E673F0">
      <w:pPr>
        <w:pStyle w:val="Heading4"/>
      </w:pPr>
      <w:r w:rsidRPr="00661E10">
        <w:t>PECO Energy Phase II NTG Summary</w:t>
      </w:r>
    </w:p>
    <w:p w:rsidR="00661E10" w:rsidRPr="00661E10" w:rsidRDefault="00ED5AFA" w:rsidP="00661E10">
      <w:r>
        <w:fldChar w:fldCharType="begin"/>
      </w:r>
      <w:r>
        <w:instrText xml:space="preserve"> REF _Ref471459031 \h </w:instrText>
      </w:r>
      <w:r>
        <w:fldChar w:fldCharType="separate"/>
      </w:r>
      <w:r w:rsidR="00037CB4" w:rsidRPr="00ED5AFA">
        <w:t xml:space="preserve">Table </w:t>
      </w:r>
      <w:r w:rsidR="00037CB4">
        <w:rPr>
          <w:noProof/>
        </w:rPr>
        <w:t>5</w:t>
      </w:r>
      <w:r w:rsidR="00037CB4">
        <w:noBreakHyphen/>
      </w:r>
      <w:r w:rsidR="00037CB4">
        <w:rPr>
          <w:noProof/>
        </w:rPr>
        <w:t>11</w:t>
      </w:r>
      <w:r>
        <w:fldChar w:fldCharType="end"/>
      </w:r>
      <w:r>
        <w:t xml:space="preserve"> </w:t>
      </w:r>
      <w:r w:rsidR="00661E10" w:rsidRPr="00661E10">
        <w:t xml:space="preserve">shows </w:t>
      </w:r>
      <w:r w:rsidR="00B90CD9" w:rsidRPr="003A0F59">
        <w:t>PECO’s Phase II NTGRs by program year. There was considerable intra-program NTGR variation from PY6 to PY7, leading to a lower portfolio-level NTGR in PY7</w:t>
      </w:r>
      <w:r w:rsidR="00661E10" w:rsidRPr="00661E10">
        <w:t>.</w:t>
      </w:r>
    </w:p>
    <w:p w:rsidR="00661E10" w:rsidRPr="00661E10" w:rsidRDefault="00661E10" w:rsidP="00661E10">
      <w:r w:rsidRPr="00661E10">
        <w:t xml:space="preserve"> </w:t>
      </w:r>
    </w:p>
    <w:p w:rsidR="00661E10" w:rsidRPr="00ED5AFA" w:rsidRDefault="00ED5AFA" w:rsidP="004837FA">
      <w:pPr>
        <w:pStyle w:val="Caption"/>
      </w:pPr>
      <w:bookmarkStart w:id="423" w:name="_Ref471459031"/>
      <w:bookmarkStart w:id="424" w:name="_Toc472472196"/>
      <w:bookmarkStart w:id="425" w:name="_Toc488741775"/>
      <w:r w:rsidRPr="00ED5AFA">
        <w:t xml:space="preserve">Table </w:t>
      </w:r>
      <w:r w:rsidR="007973A4">
        <w:fldChar w:fldCharType="begin"/>
      </w:r>
      <w:r w:rsidR="007973A4">
        <w:instrText xml:space="preserve"> STYLEREF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11</w:t>
      </w:r>
      <w:r w:rsidR="007973A4">
        <w:rPr>
          <w:noProof/>
        </w:rPr>
        <w:fldChar w:fldCharType="end"/>
      </w:r>
      <w:bookmarkEnd w:id="423"/>
      <w:r w:rsidR="00661E10" w:rsidRPr="00ED5AFA">
        <w:t>: PECO’s Phase II NTGRs by Program Year</w:t>
      </w:r>
      <w:bookmarkEnd w:id="424"/>
      <w:bookmarkEnd w:id="425"/>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167"/>
        <w:gridCol w:w="3674"/>
        <w:gridCol w:w="1416"/>
        <w:gridCol w:w="1416"/>
        <w:gridCol w:w="1648"/>
        <w:gridCol w:w="19"/>
      </w:tblGrid>
      <w:tr w:rsidR="00A874AC" w:rsidRPr="00CB2503" w:rsidTr="00C066E9">
        <w:trPr>
          <w:gridAfter w:val="1"/>
          <w:wAfter w:w="10" w:type="pct"/>
          <w:trHeight w:val="20"/>
        </w:trPr>
        <w:tc>
          <w:tcPr>
            <w:tcW w:w="625" w:type="pct"/>
            <w:shd w:val="clear" w:color="auto" w:fill="448A99"/>
            <w:vAlign w:val="bottom"/>
            <w:hideMark/>
          </w:tcPr>
          <w:p w:rsidR="00661E10" w:rsidRPr="00CB2503" w:rsidRDefault="00661E10" w:rsidP="00661E10">
            <w:pPr>
              <w:jc w:val="left"/>
              <w:rPr>
                <w:b/>
                <w:bCs/>
                <w:color w:val="FFFFFF"/>
                <w:sz w:val="19"/>
                <w:szCs w:val="19"/>
              </w:rPr>
            </w:pPr>
            <w:r w:rsidRPr="00CB2503">
              <w:rPr>
                <w:b/>
                <w:color w:val="FFFFFF"/>
                <w:sz w:val="19"/>
                <w:szCs w:val="19"/>
              </w:rPr>
              <w:t>Sector</w:t>
            </w:r>
          </w:p>
        </w:tc>
        <w:tc>
          <w:tcPr>
            <w:tcW w:w="1967"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Program</w:t>
            </w:r>
          </w:p>
        </w:tc>
        <w:tc>
          <w:tcPr>
            <w:tcW w:w="758"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PY5</w:t>
            </w:r>
            <w:r w:rsidRPr="00CB2503">
              <w:rPr>
                <w:b/>
                <w:bCs/>
                <w:color w:val="FFFFFF"/>
                <w:sz w:val="19"/>
                <w:szCs w:val="19"/>
                <w:vertAlign w:val="superscript"/>
              </w:rPr>
              <w:t>[a]</w:t>
            </w:r>
          </w:p>
        </w:tc>
        <w:tc>
          <w:tcPr>
            <w:tcW w:w="758"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PY6</w:t>
            </w:r>
          </w:p>
        </w:tc>
        <w:tc>
          <w:tcPr>
            <w:tcW w:w="882"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PY7</w:t>
            </w:r>
          </w:p>
        </w:tc>
      </w:tr>
      <w:tr w:rsidR="00A874AC" w:rsidRPr="00CB2503" w:rsidTr="00C066E9">
        <w:trPr>
          <w:gridAfter w:val="1"/>
          <w:wAfter w:w="10" w:type="pct"/>
          <w:trHeight w:val="288"/>
        </w:trPr>
        <w:tc>
          <w:tcPr>
            <w:tcW w:w="625" w:type="pct"/>
            <w:vMerge w:val="restart"/>
            <w:shd w:val="clear" w:color="auto" w:fill="D2EAF1"/>
          </w:tcPr>
          <w:p w:rsidR="00661E10" w:rsidRPr="00CB2503" w:rsidRDefault="00661E10" w:rsidP="00661E10">
            <w:pPr>
              <w:jc w:val="left"/>
              <w:rPr>
                <w:color w:val="000000"/>
                <w:sz w:val="19"/>
                <w:szCs w:val="19"/>
              </w:rPr>
            </w:pPr>
            <w:r w:rsidRPr="00CB2503">
              <w:rPr>
                <w:sz w:val="19"/>
                <w:szCs w:val="19"/>
              </w:rPr>
              <w:t>Residential</w:t>
            </w:r>
          </w:p>
        </w:tc>
        <w:tc>
          <w:tcPr>
            <w:tcW w:w="1967" w:type="pct"/>
            <w:shd w:val="clear" w:color="auto" w:fill="D2EAF1"/>
            <w:noWrap/>
            <w:vAlign w:val="center"/>
          </w:tcPr>
          <w:p w:rsidR="00661E10" w:rsidRPr="00CB2503" w:rsidRDefault="00661E10" w:rsidP="00661E10">
            <w:pPr>
              <w:jc w:val="left"/>
              <w:rPr>
                <w:color w:val="000000"/>
                <w:sz w:val="19"/>
                <w:szCs w:val="19"/>
              </w:rPr>
            </w:pPr>
            <w:r w:rsidRPr="00CB2503">
              <w:rPr>
                <w:sz w:val="19"/>
                <w:szCs w:val="19"/>
              </w:rPr>
              <w:t>Smart Home Rebates (SHR)</w:t>
            </w:r>
          </w:p>
        </w:tc>
        <w:tc>
          <w:tcPr>
            <w:tcW w:w="758" w:type="pct"/>
            <w:shd w:val="clear" w:color="auto" w:fill="D2EAF1"/>
            <w:noWrap/>
          </w:tcPr>
          <w:p w:rsidR="00661E10" w:rsidRPr="00CB2503" w:rsidRDefault="00661E10" w:rsidP="00661E10">
            <w:pPr>
              <w:jc w:val="center"/>
              <w:rPr>
                <w:sz w:val="19"/>
                <w:szCs w:val="19"/>
              </w:rPr>
            </w:pPr>
            <w:r w:rsidRPr="00CB2503">
              <w:rPr>
                <w:sz w:val="19"/>
                <w:szCs w:val="19"/>
              </w:rPr>
              <w:t>0.5</w:t>
            </w:r>
          </w:p>
        </w:tc>
        <w:tc>
          <w:tcPr>
            <w:tcW w:w="758" w:type="pct"/>
            <w:shd w:val="clear" w:color="auto" w:fill="D2EAF1"/>
            <w:noWrap/>
          </w:tcPr>
          <w:p w:rsidR="00661E10" w:rsidRPr="00CB2503" w:rsidRDefault="00B90CD9" w:rsidP="00661E10">
            <w:pPr>
              <w:jc w:val="center"/>
              <w:rPr>
                <w:sz w:val="19"/>
                <w:szCs w:val="19"/>
              </w:rPr>
            </w:pPr>
            <w:r w:rsidRPr="00CB2503">
              <w:rPr>
                <w:sz w:val="19"/>
                <w:szCs w:val="19"/>
              </w:rPr>
              <w:t>0.49</w:t>
            </w:r>
          </w:p>
        </w:tc>
        <w:tc>
          <w:tcPr>
            <w:tcW w:w="882" w:type="pct"/>
            <w:shd w:val="clear" w:color="auto" w:fill="D2EAF1"/>
            <w:noWrap/>
          </w:tcPr>
          <w:p w:rsidR="00661E10" w:rsidRPr="00CB2503" w:rsidRDefault="00B90CD9" w:rsidP="00661E10">
            <w:pPr>
              <w:jc w:val="center"/>
              <w:rPr>
                <w:sz w:val="19"/>
                <w:szCs w:val="19"/>
              </w:rPr>
            </w:pPr>
            <w:r w:rsidRPr="00CB2503">
              <w:rPr>
                <w:sz w:val="19"/>
                <w:szCs w:val="19"/>
              </w:rPr>
              <w:t>0.54</w:t>
            </w:r>
          </w:p>
        </w:tc>
      </w:tr>
      <w:tr w:rsidR="005E6D04"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color w:val="000000"/>
                <w:sz w:val="19"/>
                <w:szCs w:val="19"/>
              </w:rPr>
            </w:pPr>
          </w:p>
        </w:tc>
        <w:tc>
          <w:tcPr>
            <w:tcW w:w="1967" w:type="pct"/>
            <w:shd w:val="clear" w:color="auto" w:fill="auto"/>
            <w:noWrap/>
            <w:vAlign w:val="center"/>
          </w:tcPr>
          <w:p w:rsidR="00661E10" w:rsidRPr="00CB2503" w:rsidRDefault="00661E10" w:rsidP="00661E10">
            <w:pPr>
              <w:jc w:val="left"/>
              <w:rPr>
                <w:sz w:val="19"/>
                <w:szCs w:val="19"/>
              </w:rPr>
            </w:pPr>
            <w:r w:rsidRPr="00CB2503">
              <w:rPr>
                <w:sz w:val="19"/>
                <w:szCs w:val="19"/>
              </w:rPr>
              <w:t>Smart House Call</w:t>
            </w:r>
          </w:p>
        </w:tc>
        <w:tc>
          <w:tcPr>
            <w:tcW w:w="758" w:type="pct"/>
            <w:shd w:val="clear" w:color="auto" w:fill="auto"/>
            <w:noWrap/>
          </w:tcPr>
          <w:p w:rsidR="00661E10" w:rsidRPr="00CB2503" w:rsidRDefault="00661E10" w:rsidP="00661E10">
            <w:pPr>
              <w:jc w:val="center"/>
              <w:rPr>
                <w:sz w:val="19"/>
                <w:szCs w:val="19"/>
              </w:rPr>
            </w:pPr>
            <w:r w:rsidRPr="00CB2503">
              <w:rPr>
                <w:sz w:val="19"/>
                <w:szCs w:val="19"/>
              </w:rPr>
              <w:t>0.9</w:t>
            </w:r>
          </w:p>
        </w:tc>
        <w:tc>
          <w:tcPr>
            <w:tcW w:w="758" w:type="pct"/>
            <w:shd w:val="clear" w:color="auto" w:fill="auto"/>
            <w:noWrap/>
          </w:tcPr>
          <w:p w:rsidR="00661E10" w:rsidRPr="00CB2503" w:rsidRDefault="00B90CD9" w:rsidP="00B90CD9">
            <w:pPr>
              <w:jc w:val="center"/>
              <w:rPr>
                <w:sz w:val="19"/>
                <w:szCs w:val="19"/>
              </w:rPr>
            </w:pPr>
            <w:r w:rsidRPr="00CB2503">
              <w:rPr>
                <w:sz w:val="19"/>
                <w:szCs w:val="19"/>
              </w:rPr>
              <w:t>1.15</w:t>
            </w:r>
          </w:p>
        </w:tc>
        <w:tc>
          <w:tcPr>
            <w:tcW w:w="882" w:type="pct"/>
            <w:shd w:val="clear" w:color="auto" w:fill="auto"/>
            <w:noWrap/>
          </w:tcPr>
          <w:p w:rsidR="00661E10" w:rsidRPr="00CB2503" w:rsidRDefault="00661E10" w:rsidP="00661E10">
            <w:pPr>
              <w:jc w:val="center"/>
              <w:rPr>
                <w:sz w:val="19"/>
                <w:szCs w:val="19"/>
              </w:rPr>
            </w:pPr>
            <w:r w:rsidRPr="00CB2503">
              <w:rPr>
                <w:sz w:val="19"/>
                <w:szCs w:val="19"/>
              </w:rPr>
              <w:t>0.94</w:t>
            </w:r>
          </w:p>
        </w:tc>
      </w:tr>
      <w:tr w:rsidR="00A874AC"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color w:val="000000"/>
                <w:sz w:val="19"/>
                <w:szCs w:val="19"/>
              </w:rPr>
            </w:pPr>
          </w:p>
        </w:tc>
        <w:tc>
          <w:tcPr>
            <w:tcW w:w="1967" w:type="pct"/>
            <w:shd w:val="clear" w:color="auto" w:fill="D2EAF1"/>
            <w:noWrap/>
            <w:vAlign w:val="center"/>
          </w:tcPr>
          <w:p w:rsidR="00661E10" w:rsidRPr="00CB2503" w:rsidRDefault="00661E10" w:rsidP="00661E10">
            <w:pPr>
              <w:jc w:val="left"/>
              <w:rPr>
                <w:sz w:val="19"/>
                <w:szCs w:val="19"/>
              </w:rPr>
            </w:pPr>
            <w:r w:rsidRPr="00CB2503">
              <w:rPr>
                <w:sz w:val="19"/>
                <w:szCs w:val="19"/>
              </w:rPr>
              <w:t>Smart Builder Rebates (SBR)</w:t>
            </w:r>
          </w:p>
        </w:tc>
        <w:tc>
          <w:tcPr>
            <w:tcW w:w="758" w:type="pct"/>
            <w:shd w:val="clear" w:color="auto" w:fill="D2EAF1"/>
            <w:noWrap/>
          </w:tcPr>
          <w:p w:rsidR="00661E10" w:rsidRPr="00CB2503" w:rsidRDefault="00661E10" w:rsidP="00661E10">
            <w:pPr>
              <w:jc w:val="center"/>
              <w:rPr>
                <w:sz w:val="19"/>
                <w:szCs w:val="19"/>
              </w:rPr>
            </w:pPr>
            <w:r w:rsidRPr="00CB2503">
              <w:rPr>
                <w:sz w:val="19"/>
                <w:szCs w:val="19"/>
              </w:rPr>
              <w:t>N/A</w:t>
            </w:r>
          </w:p>
        </w:tc>
        <w:tc>
          <w:tcPr>
            <w:tcW w:w="758" w:type="pct"/>
            <w:shd w:val="clear" w:color="auto" w:fill="D2EAF1"/>
            <w:noWrap/>
          </w:tcPr>
          <w:p w:rsidR="00661E10" w:rsidRPr="00CB2503" w:rsidRDefault="00661E10" w:rsidP="00661E10">
            <w:pPr>
              <w:jc w:val="center"/>
              <w:rPr>
                <w:sz w:val="19"/>
                <w:szCs w:val="19"/>
              </w:rPr>
            </w:pPr>
            <w:r w:rsidRPr="00CB2503">
              <w:rPr>
                <w:sz w:val="19"/>
                <w:szCs w:val="19"/>
              </w:rPr>
              <w:t>*</w:t>
            </w:r>
          </w:p>
        </w:tc>
        <w:tc>
          <w:tcPr>
            <w:tcW w:w="882" w:type="pct"/>
            <w:shd w:val="clear" w:color="auto" w:fill="D2EAF1"/>
            <w:noWrap/>
          </w:tcPr>
          <w:p w:rsidR="00661E10" w:rsidRPr="00CB2503" w:rsidRDefault="00661E10" w:rsidP="00661E10">
            <w:pPr>
              <w:jc w:val="center"/>
              <w:rPr>
                <w:sz w:val="19"/>
                <w:szCs w:val="19"/>
              </w:rPr>
            </w:pPr>
            <w:r w:rsidRPr="00CB2503">
              <w:rPr>
                <w:sz w:val="19"/>
                <w:szCs w:val="19"/>
              </w:rPr>
              <w:t>0.50</w:t>
            </w:r>
          </w:p>
        </w:tc>
      </w:tr>
      <w:tr w:rsidR="005E6D04"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color w:val="000000"/>
                <w:sz w:val="19"/>
                <w:szCs w:val="19"/>
              </w:rPr>
            </w:pPr>
          </w:p>
        </w:tc>
        <w:tc>
          <w:tcPr>
            <w:tcW w:w="1967" w:type="pct"/>
            <w:shd w:val="clear" w:color="auto" w:fill="auto"/>
            <w:noWrap/>
            <w:vAlign w:val="center"/>
          </w:tcPr>
          <w:p w:rsidR="00661E10" w:rsidRPr="00CB2503" w:rsidRDefault="00661E10" w:rsidP="00661E10">
            <w:pPr>
              <w:jc w:val="left"/>
              <w:rPr>
                <w:sz w:val="19"/>
                <w:szCs w:val="19"/>
              </w:rPr>
            </w:pPr>
            <w:r w:rsidRPr="00CB2503">
              <w:rPr>
                <w:sz w:val="19"/>
                <w:szCs w:val="19"/>
              </w:rPr>
              <w:t>Smart Appliance Recycling (SAR)</w:t>
            </w:r>
          </w:p>
        </w:tc>
        <w:tc>
          <w:tcPr>
            <w:tcW w:w="758" w:type="pct"/>
            <w:shd w:val="clear" w:color="auto" w:fill="auto"/>
            <w:noWrap/>
          </w:tcPr>
          <w:p w:rsidR="00661E10" w:rsidRPr="00CB2503" w:rsidRDefault="00661E10" w:rsidP="00661E10">
            <w:pPr>
              <w:jc w:val="center"/>
              <w:rPr>
                <w:sz w:val="19"/>
                <w:szCs w:val="19"/>
              </w:rPr>
            </w:pPr>
            <w:r w:rsidRPr="00CB2503">
              <w:rPr>
                <w:sz w:val="19"/>
                <w:szCs w:val="19"/>
              </w:rPr>
              <w:t>0.3</w:t>
            </w:r>
          </w:p>
        </w:tc>
        <w:tc>
          <w:tcPr>
            <w:tcW w:w="758" w:type="pct"/>
            <w:shd w:val="clear" w:color="auto" w:fill="auto"/>
            <w:noWrap/>
          </w:tcPr>
          <w:p w:rsidR="00661E10" w:rsidRPr="00CB2503" w:rsidRDefault="00661E10" w:rsidP="00661E10">
            <w:pPr>
              <w:jc w:val="center"/>
              <w:rPr>
                <w:sz w:val="19"/>
                <w:szCs w:val="19"/>
              </w:rPr>
            </w:pPr>
            <w:r w:rsidRPr="00CB2503">
              <w:rPr>
                <w:sz w:val="19"/>
                <w:szCs w:val="19"/>
              </w:rPr>
              <w:t>0.35</w:t>
            </w:r>
          </w:p>
        </w:tc>
        <w:tc>
          <w:tcPr>
            <w:tcW w:w="882" w:type="pct"/>
            <w:shd w:val="clear" w:color="auto" w:fill="auto"/>
            <w:noWrap/>
          </w:tcPr>
          <w:p w:rsidR="00661E10" w:rsidRPr="00CB2503" w:rsidRDefault="00661E10" w:rsidP="00661E10">
            <w:pPr>
              <w:jc w:val="center"/>
              <w:rPr>
                <w:sz w:val="19"/>
                <w:szCs w:val="19"/>
              </w:rPr>
            </w:pPr>
            <w:r w:rsidRPr="00CB2503">
              <w:rPr>
                <w:sz w:val="19"/>
                <w:szCs w:val="19"/>
              </w:rPr>
              <w:t>0.50</w:t>
            </w:r>
          </w:p>
        </w:tc>
      </w:tr>
      <w:tr w:rsidR="00A874AC"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color w:val="000000"/>
                <w:sz w:val="19"/>
                <w:szCs w:val="19"/>
              </w:rPr>
            </w:pPr>
          </w:p>
        </w:tc>
        <w:tc>
          <w:tcPr>
            <w:tcW w:w="1967" w:type="pct"/>
            <w:shd w:val="clear" w:color="auto" w:fill="D2EAF1"/>
            <w:noWrap/>
            <w:vAlign w:val="center"/>
          </w:tcPr>
          <w:p w:rsidR="00661E10" w:rsidRPr="00CB2503" w:rsidRDefault="00661E10" w:rsidP="00661E10">
            <w:pPr>
              <w:jc w:val="left"/>
              <w:rPr>
                <w:sz w:val="19"/>
                <w:szCs w:val="19"/>
              </w:rPr>
            </w:pPr>
            <w:r w:rsidRPr="00CB2503">
              <w:rPr>
                <w:sz w:val="19"/>
                <w:szCs w:val="19"/>
              </w:rPr>
              <w:t>Smart Multi-Family (SMF) Solutions Program</w:t>
            </w:r>
          </w:p>
        </w:tc>
        <w:tc>
          <w:tcPr>
            <w:tcW w:w="758" w:type="pct"/>
            <w:shd w:val="clear" w:color="auto" w:fill="D2EAF1"/>
            <w:noWrap/>
          </w:tcPr>
          <w:p w:rsidR="00661E10" w:rsidRPr="00CB2503" w:rsidRDefault="00661E10" w:rsidP="00661E10">
            <w:pPr>
              <w:jc w:val="center"/>
              <w:rPr>
                <w:sz w:val="19"/>
                <w:szCs w:val="19"/>
              </w:rPr>
            </w:pPr>
            <w:r w:rsidRPr="00CB2503">
              <w:rPr>
                <w:sz w:val="19"/>
                <w:szCs w:val="19"/>
              </w:rPr>
              <w:t>N/A</w:t>
            </w:r>
          </w:p>
        </w:tc>
        <w:tc>
          <w:tcPr>
            <w:tcW w:w="758" w:type="pct"/>
            <w:shd w:val="clear" w:color="auto" w:fill="D2EAF1"/>
            <w:noWrap/>
          </w:tcPr>
          <w:p w:rsidR="00661E10" w:rsidRPr="00CB2503" w:rsidRDefault="00661E10" w:rsidP="00661E10">
            <w:pPr>
              <w:jc w:val="center"/>
              <w:rPr>
                <w:sz w:val="19"/>
                <w:szCs w:val="19"/>
              </w:rPr>
            </w:pPr>
            <w:r w:rsidRPr="00CB2503">
              <w:rPr>
                <w:sz w:val="19"/>
                <w:szCs w:val="19"/>
              </w:rPr>
              <w:t>0.75</w:t>
            </w:r>
          </w:p>
        </w:tc>
        <w:tc>
          <w:tcPr>
            <w:tcW w:w="882" w:type="pct"/>
            <w:shd w:val="clear" w:color="auto" w:fill="D2EAF1"/>
            <w:noWrap/>
          </w:tcPr>
          <w:p w:rsidR="00661E10" w:rsidRPr="00CB2503" w:rsidRDefault="00661E10" w:rsidP="00661E10">
            <w:pPr>
              <w:jc w:val="center"/>
              <w:rPr>
                <w:sz w:val="19"/>
                <w:szCs w:val="19"/>
              </w:rPr>
            </w:pPr>
            <w:r w:rsidRPr="00CB2503">
              <w:rPr>
                <w:sz w:val="19"/>
                <w:szCs w:val="19"/>
              </w:rPr>
              <w:t>0.59</w:t>
            </w:r>
          </w:p>
        </w:tc>
      </w:tr>
      <w:tr w:rsidR="005E6D04"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color w:val="000000"/>
                <w:sz w:val="19"/>
                <w:szCs w:val="19"/>
              </w:rPr>
            </w:pPr>
          </w:p>
        </w:tc>
        <w:tc>
          <w:tcPr>
            <w:tcW w:w="1967" w:type="pct"/>
            <w:shd w:val="clear" w:color="auto" w:fill="auto"/>
            <w:noWrap/>
            <w:vAlign w:val="center"/>
          </w:tcPr>
          <w:p w:rsidR="00661E10" w:rsidRPr="00CB2503" w:rsidRDefault="00661E10" w:rsidP="00661E10">
            <w:pPr>
              <w:jc w:val="left"/>
              <w:rPr>
                <w:sz w:val="19"/>
                <w:szCs w:val="19"/>
              </w:rPr>
            </w:pPr>
            <w:r w:rsidRPr="00CB2503">
              <w:rPr>
                <w:sz w:val="19"/>
                <w:szCs w:val="19"/>
              </w:rPr>
              <w:t>Smart AC Saver – Residential</w:t>
            </w:r>
          </w:p>
        </w:tc>
        <w:tc>
          <w:tcPr>
            <w:tcW w:w="758" w:type="pct"/>
            <w:shd w:val="clear" w:color="auto" w:fill="auto"/>
            <w:noWrap/>
          </w:tcPr>
          <w:p w:rsidR="00661E10" w:rsidRPr="00CB2503" w:rsidRDefault="00661E10" w:rsidP="00661E10">
            <w:pPr>
              <w:jc w:val="center"/>
              <w:rPr>
                <w:sz w:val="19"/>
                <w:szCs w:val="19"/>
              </w:rPr>
            </w:pPr>
            <w:r w:rsidRPr="00CB2503">
              <w:rPr>
                <w:sz w:val="19"/>
                <w:szCs w:val="19"/>
              </w:rPr>
              <w:t>N/A</w:t>
            </w:r>
          </w:p>
        </w:tc>
        <w:tc>
          <w:tcPr>
            <w:tcW w:w="758" w:type="pct"/>
            <w:shd w:val="clear" w:color="auto" w:fill="auto"/>
            <w:noWrap/>
          </w:tcPr>
          <w:p w:rsidR="00661E10" w:rsidRPr="00CB2503" w:rsidRDefault="00661E10" w:rsidP="00661E10">
            <w:pPr>
              <w:jc w:val="center"/>
              <w:rPr>
                <w:sz w:val="19"/>
                <w:szCs w:val="19"/>
              </w:rPr>
            </w:pPr>
            <w:r w:rsidRPr="00CB2503">
              <w:rPr>
                <w:sz w:val="19"/>
                <w:szCs w:val="19"/>
              </w:rPr>
              <w:t>1.00</w:t>
            </w:r>
          </w:p>
        </w:tc>
        <w:tc>
          <w:tcPr>
            <w:tcW w:w="882" w:type="pct"/>
            <w:shd w:val="clear" w:color="auto" w:fill="auto"/>
            <w:noWrap/>
          </w:tcPr>
          <w:p w:rsidR="00661E10" w:rsidRPr="00CB2503" w:rsidRDefault="00661E10" w:rsidP="00661E10">
            <w:pPr>
              <w:jc w:val="center"/>
              <w:rPr>
                <w:sz w:val="19"/>
                <w:szCs w:val="19"/>
              </w:rPr>
            </w:pPr>
            <w:r w:rsidRPr="00CB2503">
              <w:rPr>
                <w:sz w:val="19"/>
                <w:szCs w:val="19"/>
              </w:rPr>
              <w:t>N/A</w:t>
            </w:r>
          </w:p>
        </w:tc>
      </w:tr>
      <w:tr w:rsidR="00A874AC" w:rsidRPr="00CB2503" w:rsidTr="00C066E9">
        <w:trPr>
          <w:gridAfter w:val="1"/>
          <w:wAfter w:w="10" w:type="pct"/>
          <w:trHeight w:val="288"/>
        </w:trPr>
        <w:tc>
          <w:tcPr>
            <w:tcW w:w="625" w:type="pct"/>
            <w:shd w:val="clear" w:color="auto" w:fill="auto"/>
          </w:tcPr>
          <w:p w:rsidR="00661E10" w:rsidRPr="00CB2503" w:rsidRDefault="00661E10" w:rsidP="00661E10">
            <w:pPr>
              <w:jc w:val="left"/>
              <w:rPr>
                <w:color w:val="000000"/>
                <w:sz w:val="19"/>
                <w:szCs w:val="19"/>
              </w:rPr>
            </w:pPr>
            <w:r w:rsidRPr="00CB2503">
              <w:rPr>
                <w:sz w:val="19"/>
                <w:szCs w:val="19"/>
              </w:rPr>
              <w:t>Low-Income</w:t>
            </w:r>
          </w:p>
        </w:tc>
        <w:tc>
          <w:tcPr>
            <w:tcW w:w="1967" w:type="pct"/>
            <w:shd w:val="clear" w:color="auto" w:fill="D2EAF1"/>
            <w:noWrap/>
            <w:vAlign w:val="center"/>
          </w:tcPr>
          <w:p w:rsidR="00661E10" w:rsidRPr="00CB2503" w:rsidRDefault="00661E10" w:rsidP="00661E10">
            <w:pPr>
              <w:jc w:val="left"/>
              <w:rPr>
                <w:sz w:val="19"/>
                <w:szCs w:val="19"/>
              </w:rPr>
            </w:pPr>
            <w:r w:rsidRPr="00CB2503">
              <w:rPr>
                <w:color w:val="000000"/>
                <w:sz w:val="19"/>
                <w:szCs w:val="19"/>
              </w:rPr>
              <w:t>Low-Income Energy Efficiency Program (LIEEP)</w:t>
            </w:r>
          </w:p>
        </w:tc>
        <w:tc>
          <w:tcPr>
            <w:tcW w:w="758"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1.0</w:t>
            </w:r>
          </w:p>
        </w:tc>
        <w:tc>
          <w:tcPr>
            <w:tcW w:w="758"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1.00</w:t>
            </w:r>
          </w:p>
        </w:tc>
        <w:tc>
          <w:tcPr>
            <w:tcW w:w="882" w:type="pct"/>
            <w:shd w:val="clear" w:color="auto" w:fill="D2EAF1"/>
            <w:noWrap/>
          </w:tcPr>
          <w:p w:rsidR="00661E10" w:rsidRPr="00CB2503" w:rsidRDefault="00661E10" w:rsidP="00661E10">
            <w:pPr>
              <w:jc w:val="center"/>
              <w:rPr>
                <w:bCs/>
                <w:color w:val="000000"/>
                <w:sz w:val="19"/>
                <w:szCs w:val="19"/>
              </w:rPr>
            </w:pPr>
            <w:r w:rsidRPr="00CB2503">
              <w:rPr>
                <w:sz w:val="19"/>
                <w:szCs w:val="19"/>
              </w:rPr>
              <w:t>0.81</w:t>
            </w:r>
          </w:p>
        </w:tc>
      </w:tr>
      <w:tr w:rsidR="005E6D04" w:rsidRPr="00CB2503" w:rsidTr="00C066E9">
        <w:trPr>
          <w:gridAfter w:val="1"/>
          <w:wAfter w:w="10" w:type="pct"/>
          <w:trHeight w:val="288"/>
        </w:trPr>
        <w:tc>
          <w:tcPr>
            <w:tcW w:w="625" w:type="pct"/>
            <w:vMerge w:val="restart"/>
            <w:shd w:val="clear" w:color="auto" w:fill="D2EAF1"/>
          </w:tcPr>
          <w:p w:rsidR="00661E10" w:rsidRPr="00CB2503" w:rsidRDefault="00661E10" w:rsidP="00661E10">
            <w:pPr>
              <w:jc w:val="left"/>
              <w:rPr>
                <w:color w:val="000000"/>
                <w:sz w:val="19"/>
                <w:szCs w:val="19"/>
              </w:rPr>
            </w:pPr>
            <w:r w:rsidRPr="00CB2503">
              <w:rPr>
                <w:sz w:val="19"/>
                <w:szCs w:val="19"/>
              </w:rPr>
              <w:t>Non-Residential</w:t>
            </w:r>
          </w:p>
        </w:tc>
        <w:tc>
          <w:tcPr>
            <w:tcW w:w="1967" w:type="pct"/>
            <w:shd w:val="clear" w:color="auto" w:fill="auto"/>
            <w:noWrap/>
            <w:vAlign w:val="center"/>
          </w:tcPr>
          <w:p w:rsidR="00661E10" w:rsidRPr="00CB2503" w:rsidRDefault="00661E10" w:rsidP="00661E10">
            <w:pPr>
              <w:jc w:val="left"/>
              <w:rPr>
                <w:sz w:val="19"/>
                <w:szCs w:val="19"/>
              </w:rPr>
            </w:pPr>
            <w:r w:rsidRPr="00CB2503">
              <w:rPr>
                <w:sz w:val="19"/>
                <w:szCs w:val="19"/>
              </w:rPr>
              <w:t>Smart Equipment Incentives (SEI) – C/I</w:t>
            </w:r>
          </w:p>
        </w:tc>
        <w:tc>
          <w:tcPr>
            <w:tcW w:w="758"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0.7</w:t>
            </w:r>
          </w:p>
        </w:tc>
        <w:tc>
          <w:tcPr>
            <w:tcW w:w="758" w:type="pct"/>
            <w:shd w:val="clear" w:color="auto" w:fill="auto"/>
            <w:noWrap/>
          </w:tcPr>
          <w:p w:rsidR="00661E10" w:rsidRPr="00CB2503" w:rsidRDefault="00B90CD9" w:rsidP="00661E10">
            <w:pPr>
              <w:jc w:val="center"/>
              <w:rPr>
                <w:bCs/>
                <w:color w:val="000000"/>
                <w:sz w:val="19"/>
                <w:szCs w:val="19"/>
              </w:rPr>
            </w:pPr>
            <w:r w:rsidRPr="00CB2503">
              <w:rPr>
                <w:sz w:val="19"/>
                <w:szCs w:val="19"/>
              </w:rPr>
              <w:t>0.81</w:t>
            </w:r>
          </w:p>
        </w:tc>
        <w:tc>
          <w:tcPr>
            <w:tcW w:w="882" w:type="pct"/>
            <w:shd w:val="clear" w:color="auto" w:fill="auto"/>
            <w:noWrap/>
          </w:tcPr>
          <w:p w:rsidR="00661E10" w:rsidRPr="00CB2503" w:rsidRDefault="00661E10" w:rsidP="00661E10">
            <w:pPr>
              <w:jc w:val="center"/>
              <w:rPr>
                <w:bCs/>
                <w:color w:val="000000"/>
                <w:sz w:val="19"/>
                <w:szCs w:val="19"/>
              </w:rPr>
            </w:pPr>
            <w:r w:rsidRPr="00CB2503">
              <w:rPr>
                <w:sz w:val="19"/>
                <w:szCs w:val="19"/>
              </w:rPr>
              <w:t>0.64</w:t>
            </w:r>
          </w:p>
        </w:tc>
      </w:tr>
      <w:tr w:rsidR="00A874AC"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sz w:val="19"/>
                <w:szCs w:val="19"/>
              </w:rPr>
            </w:pPr>
          </w:p>
        </w:tc>
        <w:tc>
          <w:tcPr>
            <w:tcW w:w="1967" w:type="pct"/>
            <w:shd w:val="clear" w:color="auto" w:fill="D2EAF1"/>
            <w:noWrap/>
            <w:vAlign w:val="center"/>
          </w:tcPr>
          <w:p w:rsidR="00661E10" w:rsidRPr="00CB2503" w:rsidRDefault="00661E10" w:rsidP="00661E10">
            <w:pPr>
              <w:jc w:val="left"/>
              <w:rPr>
                <w:sz w:val="19"/>
                <w:szCs w:val="19"/>
              </w:rPr>
            </w:pPr>
            <w:r w:rsidRPr="00CB2503">
              <w:rPr>
                <w:sz w:val="19"/>
                <w:szCs w:val="19"/>
              </w:rPr>
              <w:t>Smart Equipment Incentives (SEI) – GNI</w:t>
            </w:r>
          </w:p>
        </w:tc>
        <w:tc>
          <w:tcPr>
            <w:tcW w:w="758"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0.4</w:t>
            </w:r>
          </w:p>
        </w:tc>
        <w:tc>
          <w:tcPr>
            <w:tcW w:w="758" w:type="pct"/>
            <w:shd w:val="clear" w:color="auto" w:fill="D2EAF1"/>
            <w:noWrap/>
          </w:tcPr>
          <w:p w:rsidR="00661E10" w:rsidRPr="00CB2503" w:rsidRDefault="00661E10" w:rsidP="00661E10">
            <w:pPr>
              <w:jc w:val="center"/>
              <w:rPr>
                <w:sz w:val="19"/>
                <w:szCs w:val="19"/>
              </w:rPr>
            </w:pPr>
            <w:r w:rsidRPr="00CB2503">
              <w:rPr>
                <w:sz w:val="19"/>
                <w:szCs w:val="19"/>
              </w:rPr>
              <w:t>0.42</w:t>
            </w:r>
          </w:p>
        </w:tc>
        <w:tc>
          <w:tcPr>
            <w:tcW w:w="882" w:type="pct"/>
            <w:shd w:val="clear" w:color="auto" w:fill="D2EAF1"/>
            <w:noWrap/>
          </w:tcPr>
          <w:p w:rsidR="00661E10" w:rsidRPr="00CB2503" w:rsidRDefault="00661E10" w:rsidP="00661E10">
            <w:pPr>
              <w:jc w:val="center"/>
              <w:rPr>
                <w:sz w:val="19"/>
                <w:szCs w:val="19"/>
              </w:rPr>
            </w:pPr>
            <w:r w:rsidRPr="00CB2503">
              <w:rPr>
                <w:sz w:val="19"/>
                <w:szCs w:val="19"/>
              </w:rPr>
              <w:t>0.43</w:t>
            </w:r>
          </w:p>
        </w:tc>
      </w:tr>
      <w:tr w:rsidR="005E6D04"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sz w:val="19"/>
                <w:szCs w:val="19"/>
              </w:rPr>
            </w:pPr>
          </w:p>
        </w:tc>
        <w:tc>
          <w:tcPr>
            <w:tcW w:w="1967" w:type="pct"/>
            <w:shd w:val="clear" w:color="auto" w:fill="auto"/>
            <w:noWrap/>
            <w:vAlign w:val="center"/>
          </w:tcPr>
          <w:p w:rsidR="00661E10" w:rsidRPr="00CB2503" w:rsidRDefault="00661E10" w:rsidP="00661E10">
            <w:pPr>
              <w:jc w:val="left"/>
              <w:rPr>
                <w:sz w:val="19"/>
                <w:szCs w:val="19"/>
              </w:rPr>
            </w:pPr>
            <w:r w:rsidRPr="00CB2503">
              <w:rPr>
                <w:sz w:val="19"/>
                <w:szCs w:val="19"/>
              </w:rPr>
              <w:t>Smart Construction Incentives (SCI)</w:t>
            </w:r>
          </w:p>
        </w:tc>
        <w:tc>
          <w:tcPr>
            <w:tcW w:w="758"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N/A</w:t>
            </w:r>
          </w:p>
        </w:tc>
        <w:tc>
          <w:tcPr>
            <w:tcW w:w="758" w:type="pct"/>
            <w:shd w:val="clear" w:color="auto" w:fill="auto"/>
            <w:noWrap/>
          </w:tcPr>
          <w:p w:rsidR="00661E10" w:rsidRPr="00CB2503" w:rsidRDefault="00661E10" w:rsidP="00661E10">
            <w:pPr>
              <w:jc w:val="center"/>
              <w:rPr>
                <w:sz w:val="19"/>
                <w:szCs w:val="19"/>
              </w:rPr>
            </w:pPr>
            <w:r w:rsidRPr="00CB2503">
              <w:rPr>
                <w:sz w:val="19"/>
                <w:szCs w:val="19"/>
              </w:rPr>
              <w:t>0.52</w:t>
            </w:r>
          </w:p>
        </w:tc>
        <w:tc>
          <w:tcPr>
            <w:tcW w:w="882" w:type="pct"/>
            <w:shd w:val="clear" w:color="auto" w:fill="auto"/>
            <w:noWrap/>
          </w:tcPr>
          <w:p w:rsidR="00661E10" w:rsidRPr="00CB2503" w:rsidRDefault="00661E10" w:rsidP="00661E10">
            <w:pPr>
              <w:jc w:val="center"/>
              <w:rPr>
                <w:sz w:val="19"/>
                <w:szCs w:val="19"/>
              </w:rPr>
            </w:pPr>
            <w:r w:rsidRPr="00CB2503">
              <w:rPr>
                <w:sz w:val="19"/>
                <w:szCs w:val="19"/>
              </w:rPr>
              <w:t>0.52</w:t>
            </w:r>
          </w:p>
        </w:tc>
      </w:tr>
      <w:tr w:rsidR="00A874AC"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sz w:val="19"/>
                <w:szCs w:val="19"/>
              </w:rPr>
            </w:pPr>
          </w:p>
        </w:tc>
        <w:tc>
          <w:tcPr>
            <w:tcW w:w="1967" w:type="pct"/>
            <w:shd w:val="clear" w:color="auto" w:fill="D2EAF1"/>
            <w:noWrap/>
            <w:vAlign w:val="center"/>
          </w:tcPr>
          <w:p w:rsidR="00661E10" w:rsidRPr="00CB2503" w:rsidRDefault="00661E10" w:rsidP="00661E10">
            <w:pPr>
              <w:jc w:val="left"/>
              <w:rPr>
                <w:sz w:val="19"/>
                <w:szCs w:val="19"/>
              </w:rPr>
            </w:pPr>
            <w:r w:rsidRPr="00CB2503">
              <w:rPr>
                <w:sz w:val="19"/>
                <w:szCs w:val="19"/>
              </w:rPr>
              <w:t>Smart Multi-Family (SMF) Solutions Program</w:t>
            </w:r>
          </w:p>
        </w:tc>
        <w:tc>
          <w:tcPr>
            <w:tcW w:w="758"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N/A</w:t>
            </w:r>
          </w:p>
        </w:tc>
        <w:tc>
          <w:tcPr>
            <w:tcW w:w="758" w:type="pct"/>
            <w:shd w:val="clear" w:color="auto" w:fill="D2EAF1"/>
            <w:noWrap/>
          </w:tcPr>
          <w:p w:rsidR="00661E10" w:rsidRPr="00CB2503" w:rsidRDefault="00661E10" w:rsidP="00661E10">
            <w:pPr>
              <w:jc w:val="center"/>
              <w:rPr>
                <w:bCs/>
                <w:color w:val="000000"/>
                <w:sz w:val="19"/>
                <w:szCs w:val="19"/>
              </w:rPr>
            </w:pPr>
            <w:r w:rsidRPr="00CB2503">
              <w:rPr>
                <w:sz w:val="19"/>
                <w:szCs w:val="19"/>
              </w:rPr>
              <w:t>0.83</w:t>
            </w:r>
          </w:p>
        </w:tc>
        <w:tc>
          <w:tcPr>
            <w:tcW w:w="882" w:type="pct"/>
            <w:shd w:val="clear" w:color="auto" w:fill="D2EAF1"/>
            <w:noWrap/>
          </w:tcPr>
          <w:p w:rsidR="00661E10" w:rsidRPr="00CB2503" w:rsidRDefault="00661E10" w:rsidP="00661E10">
            <w:pPr>
              <w:jc w:val="center"/>
              <w:rPr>
                <w:sz w:val="19"/>
                <w:szCs w:val="19"/>
              </w:rPr>
            </w:pPr>
            <w:r w:rsidRPr="00CB2503">
              <w:rPr>
                <w:sz w:val="19"/>
                <w:szCs w:val="19"/>
              </w:rPr>
              <w:t>0.62</w:t>
            </w:r>
          </w:p>
        </w:tc>
      </w:tr>
      <w:tr w:rsidR="005E6D04"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sz w:val="19"/>
                <w:szCs w:val="19"/>
              </w:rPr>
            </w:pPr>
          </w:p>
        </w:tc>
        <w:tc>
          <w:tcPr>
            <w:tcW w:w="1967" w:type="pct"/>
            <w:shd w:val="clear" w:color="auto" w:fill="auto"/>
            <w:noWrap/>
            <w:vAlign w:val="center"/>
          </w:tcPr>
          <w:p w:rsidR="00661E10" w:rsidRPr="00CB2503" w:rsidRDefault="00661E10" w:rsidP="00661E10">
            <w:pPr>
              <w:jc w:val="left"/>
              <w:rPr>
                <w:sz w:val="19"/>
                <w:szCs w:val="19"/>
              </w:rPr>
            </w:pPr>
            <w:r w:rsidRPr="00CB2503">
              <w:rPr>
                <w:sz w:val="19"/>
                <w:szCs w:val="19"/>
              </w:rPr>
              <w:t>Smart AC Saver – Commercial</w:t>
            </w:r>
          </w:p>
        </w:tc>
        <w:tc>
          <w:tcPr>
            <w:tcW w:w="758" w:type="pct"/>
            <w:shd w:val="clear" w:color="auto" w:fill="auto"/>
            <w:noWrap/>
          </w:tcPr>
          <w:p w:rsidR="00661E10" w:rsidRPr="00CB2503" w:rsidRDefault="00661E10" w:rsidP="00661E10">
            <w:pPr>
              <w:jc w:val="center"/>
              <w:rPr>
                <w:bCs/>
                <w:color w:val="000000"/>
                <w:sz w:val="19"/>
                <w:szCs w:val="19"/>
              </w:rPr>
            </w:pPr>
            <w:r w:rsidRPr="00CB2503">
              <w:rPr>
                <w:sz w:val="19"/>
                <w:szCs w:val="19"/>
              </w:rPr>
              <w:t>N/A</w:t>
            </w:r>
          </w:p>
        </w:tc>
        <w:tc>
          <w:tcPr>
            <w:tcW w:w="758" w:type="pct"/>
            <w:shd w:val="clear" w:color="auto" w:fill="auto"/>
            <w:noWrap/>
          </w:tcPr>
          <w:p w:rsidR="00661E10" w:rsidRPr="00CB2503" w:rsidRDefault="00661E10" w:rsidP="00661E10">
            <w:pPr>
              <w:jc w:val="center"/>
              <w:rPr>
                <w:bCs/>
                <w:color w:val="000000"/>
                <w:sz w:val="19"/>
                <w:szCs w:val="19"/>
              </w:rPr>
            </w:pPr>
            <w:r w:rsidRPr="00CB2503">
              <w:rPr>
                <w:sz w:val="19"/>
                <w:szCs w:val="19"/>
              </w:rPr>
              <w:t>1.00</w:t>
            </w:r>
          </w:p>
        </w:tc>
        <w:tc>
          <w:tcPr>
            <w:tcW w:w="882" w:type="pct"/>
            <w:shd w:val="clear" w:color="auto" w:fill="auto"/>
            <w:noWrap/>
          </w:tcPr>
          <w:p w:rsidR="00661E10" w:rsidRPr="00CB2503" w:rsidRDefault="00661E10" w:rsidP="00661E10">
            <w:pPr>
              <w:jc w:val="center"/>
              <w:rPr>
                <w:sz w:val="19"/>
                <w:szCs w:val="19"/>
              </w:rPr>
            </w:pPr>
            <w:r w:rsidRPr="00CB2503">
              <w:rPr>
                <w:sz w:val="19"/>
                <w:szCs w:val="19"/>
              </w:rPr>
              <w:t>N/A</w:t>
            </w:r>
          </w:p>
        </w:tc>
      </w:tr>
      <w:tr w:rsidR="00A874AC"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sz w:val="19"/>
                <w:szCs w:val="19"/>
              </w:rPr>
            </w:pPr>
          </w:p>
        </w:tc>
        <w:tc>
          <w:tcPr>
            <w:tcW w:w="1967" w:type="pct"/>
            <w:shd w:val="clear" w:color="auto" w:fill="D2EAF1"/>
            <w:noWrap/>
            <w:vAlign w:val="center"/>
          </w:tcPr>
          <w:p w:rsidR="00661E10" w:rsidRPr="00CB2503" w:rsidRDefault="00661E10" w:rsidP="00661E10">
            <w:pPr>
              <w:jc w:val="left"/>
              <w:rPr>
                <w:sz w:val="19"/>
                <w:szCs w:val="19"/>
              </w:rPr>
            </w:pPr>
            <w:r w:rsidRPr="00CB2503">
              <w:rPr>
                <w:sz w:val="19"/>
                <w:szCs w:val="19"/>
              </w:rPr>
              <w:t>Smart On-Site (SOS)</w:t>
            </w:r>
          </w:p>
        </w:tc>
        <w:tc>
          <w:tcPr>
            <w:tcW w:w="758" w:type="pct"/>
            <w:shd w:val="clear" w:color="auto" w:fill="D2EAF1"/>
            <w:noWrap/>
          </w:tcPr>
          <w:p w:rsidR="00661E10" w:rsidRPr="00CB2503" w:rsidRDefault="00661E10" w:rsidP="00661E10">
            <w:pPr>
              <w:jc w:val="center"/>
              <w:rPr>
                <w:bCs/>
                <w:color w:val="000000"/>
                <w:sz w:val="19"/>
                <w:szCs w:val="19"/>
              </w:rPr>
            </w:pPr>
            <w:r w:rsidRPr="00CB2503">
              <w:rPr>
                <w:bCs/>
                <w:color w:val="000000"/>
                <w:sz w:val="19"/>
                <w:szCs w:val="19"/>
              </w:rPr>
              <w:t>0.8</w:t>
            </w:r>
          </w:p>
        </w:tc>
        <w:tc>
          <w:tcPr>
            <w:tcW w:w="758" w:type="pct"/>
            <w:shd w:val="clear" w:color="auto" w:fill="D2EAF1"/>
            <w:noWrap/>
          </w:tcPr>
          <w:p w:rsidR="00661E10" w:rsidRPr="00CB2503" w:rsidRDefault="00661E10" w:rsidP="00661E10">
            <w:pPr>
              <w:jc w:val="center"/>
              <w:rPr>
                <w:sz w:val="19"/>
                <w:szCs w:val="19"/>
              </w:rPr>
            </w:pPr>
            <w:r w:rsidRPr="00CB2503">
              <w:rPr>
                <w:sz w:val="19"/>
                <w:szCs w:val="19"/>
              </w:rPr>
              <w:t>*</w:t>
            </w:r>
          </w:p>
        </w:tc>
        <w:tc>
          <w:tcPr>
            <w:tcW w:w="882" w:type="pct"/>
            <w:shd w:val="clear" w:color="auto" w:fill="D2EAF1"/>
            <w:noWrap/>
          </w:tcPr>
          <w:p w:rsidR="00661E10" w:rsidRPr="00CB2503" w:rsidRDefault="00661E10" w:rsidP="00661E10">
            <w:pPr>
              <w:jc w:val="center"/>
              <w:rPr>
                <w:sz w:val="19"/>
                <w:szCs w:val="19"/>
              </w:rPr>
            </w:pPr>
            <w:r w:rsidRPr="00CB2503">
              <w:rPr>
                <w:sz w:val="19"/>
                <w:szCs w:val="19"/>
              </w:rPr>
              <w:t>0.89</w:t>
            </w:r>
          </w:p>
        </w:tc>
      </w:tr>
      <w:tr w:rsidR="005E6D04" w:rsidRPr="00CB2503" w:rsidTr="00C066E9">
        <w:trPr>
          <w:gridAfter w:val="1"/>
          <w:wAfter w:w="10" w:type="pct"/>
          <w:trHeight w:val="288"/>
        </w:trPr>
        <w:tc>
          <w:tcPr>
            <w:tcW w:w="625" w:type="pct"/>
            <w:vMerge/>
            <w:shd w:val="clear" w:color="auto" w:fill="D2EAF1"/>
          </w:tcPr>
          <w:p w:rsidR="00661E10" w:rsidRPr="00CB2503" w:rsidRDefault="00661E10" w:rsidP="00661E10">
            <w:pPr>
              <w:jc w:val="left"/>
              <w:rPr>
                <w:color w:val="000000"/>
                <w:sz w:val="19"/>
                <w:szCs w:val="19"/>
              </w:rPr>
            </w:pPr>
          </w:p>
        </w:tc>
        <w:tc>
          <w:tcPr>
            <w:tcW w:w="1967" w:type="pct"/>
            <w:shd w:val="clear" w:color="auto" w:fill="auto"/>
            <w:noWrap/>
            <w:vAlign w:val="center"/>
          </w:tcPr>
          <w:p w:rsidR="00661E10" w:rsidRPr="00CB2503" w:rsidRDefault="00661E10" w:rsidP="00661E10">
            <w:pPr>
              <w:jc w:val="left"/>
              <w:rPr>
                <w:sz w:val="19"/>
                <w:szCs w:val="19"/>
              </w:rPr>
            </w:pPr>
            <w:r w:rsidRPr="00CB2503">
              <w:rPr>
                <w:sz w:val="19"/>
                <w:szCs w:val="19"/>
              </w:rPr>
              <w:t>Smart Business Solutions (SBS)</w:t>
            </w:r>
          </w:p>
        </w:tc>
        <w:tc>
          <w:tcPr>
            <w:tcW w:w="758" w:type="pct"/>
            <w:shd w:val="clear" w:color="auto" w:fill="auto"/>
            <w:noWrap/>
          </w:tcPr>
          <w:p w:rsidR="00661E10" w:rsidRPr="00CB2503" w:rsidRDefault="00661E10" w:rsidP="00661E10">
            <w:pPr>
              <w:jc w:val="center"/>
              <w:rPr>
                <w:bCs/>
                <w:color w:val="000000"/>
                <w:sz w:val="19"/>
                <w:szCs w:val="19"/>
              </w:rPr>
            </w:pPr>
            <w:r w:rsidRPr="00CB2503">
              <w:rPr>
                <w:bCs/>
                <w:color w:val="000000"/>
                <w:sz w:val="19"/>
                <w:szCs w:val="19"/>
              </w:rPr>
              <w:t>0.9</w:t>
            </w:r>
          </w:p>
        </w:tc>
        <w:tc>
          <w:tcPr>
            <w:tcW w:w="758" w:type="pct"/>
            <w:shd w:val="clear" w:color="auto" w:fill="auto"/>
            <w:noWrap/>
          </w:tcPr>
          <w:p w:rsidR="00661E10" w:rsidRPr="00CB2503" w:rsidRDefault="00B90CD9" w:rsidP="00B90CD9">
            <w:pPr>
              <w:jc w:val="center"/>
              <w:rPr>
                <w:bCs/>
                <w:color w:val="000000"/>
                <w:sz w:val="19"/>
                <w:szCs w:val="19"/>
              </w:rPr>
            </w:pPr>
            <w:r w:rsidRPr="00CB2503">
              <w:rPr>
                <w:bCs/>
                <w:color w:val="000000"/>
                <w:sz w:val="19"/>
                <w:szCs w:val="19"/>
              </w:rPr>
              <w:t>0.9</w:t>
            </w:r>
            <w:r w:rsidRPr="00CB2503">
              <w:rPr>
                <w:bCs/>
                <w:color w:val="000000"/>
                <w:sz w:val="19"/>
                <w:szCs w:val="19"/>
                <w:vertAlign w:val="superscript"/>
              </w:rPr>
              <w:t>[b]</w:t>
            </w:r>
          </w:p>
        </w:tc>
        <w:tc>
          <w:tcPr>
            <w:tcW w:w="882" w:type="pct"/>
            <w:shd w:val="clear" w:color="auto" w:fill="auto"/>
            <w:noWrap/>
          </w:tcPr>
          <w:p w:rsidR="00661E10" w:rsidRPr="00CB2503" w:rsidRDefault="00661E10" w:rsidP="00661E10">
            <w:pPr>
              <w:jc w:val="center"/>
              <w:rPr>
                <w:bCs/>
                <w:color w:val="000000"/>
                <w:sz w:val="19"/>
                <w:szCs w:val="19"/>
              </w:rPr>
            </w:pPr>
            <w:r w:rsidRPr="00CB2503">
              <w:rPr>
                <w:sz w:val="19"/>
                <w:szCs w:val="19"/>
              </w:rPr>
              <w:t>Not reported</w:t>
            </w:r>
          </w:p>
        </w:tc>
      </w:tr>
      <w:tr w:rsidR="00A874AC" w:rsidRPr="00CB2503" w:rsidTr="00C066E9">
        <w:trPr>
          <w:gridAfter w:val="1"/>
          <w:wAfter w:w="11" w:type="pct"/>
          <w:trHeight w:val="288"/>
        </w:trPr>
        <w:tc>
          <w:tcPr>
            <w:tcW w:w="2592" w:type="pct"/>
            <w:gridSpan w:val="2"/>
            <w:shd w:val="clear" w:color="auto" w:fill="auto"/>
          </w:tcPr>
          <w:p w:rsidR="00661E10" w:rsidRPr="00CB2503" w:rsidRDefault="00661E10" w:rsidP="00661E10">
            <w:pPr>
              <w:jc w:val="center"/>
              <w:rPr>
                <w:b/>
                <w:sz w:val="19"/>
                <w:szCs w:val="19"/>
              </w:rPr>
            </w:pPr>
            <w:r w:rsidRPr="00CB2503">
              <w:rPr>
                <w:b/>
                <w:color w:val="000000"/>
                <w:sz w:val="19"/>
                <w:szCs w:val="19"/>
              </w:rPr>
              <w:t>Portfolio</w:t>
            </w:r>
          </w:p>
        </w:tc>
        <w:tc>
          <w:tcPr>
            <w:tcW w:w="758" w:type="pct"/>
            <w:shd w:val="clear" w:color="auto" w:fill="D2EAF1"/>
            <w:noWrap/>
          </w:tcPr>
          <w:p w:rsidR="00661E10" w:rsidRPr="00CB2503" w:rsidRDefault="00661E10" w:rsidP="00661E10">
            <w:pPr>
              <w:jc w:val="center"/>
              <w:rPr>
                <w:b/>
                <w:bCs/>
                <w:color w:val="000000"/>
                <w:sz w:val="19"/>
                <w:szCs w:val="19"/>
              </w:rPr>
            </w:pPr>
            <w:r w:rsidRPr="00CB2503">
              <w:rPr>
                <w:b/>
                <w:bCs/>
                <w:color w:val="000000"/>
                <w:sz w:val="19"/>
                <w:szCs w:val="19"/>
              </w:rPr>
              <w:t>0.7</w:t>
            </w:r>
          </w:p>
        </w:tc>
        <w:tc>
          <w:tcPr>
            <w:tcW w:w="758" w:type="pct"/>
            <w:shd w:val="clear" w:color="auto" w:fill="D2EAF1"/>
            <w:noWrap/>
          </w:tcPr>
          <w:p w:rsidR="00661E10" w:rsidRPr="00CB2503" w:rsidRDefault="00661E10" w:rsidP="00661E10">
            <w:pPr>
              <w:jc w:val="center"/>
              <w:rPr>
                <w:b/>
                <w:bCs/>
                <w:color w:val="000000"/>
                <w:sz w:val="19"/>
                <w:szCs w:val="19"/>
              </w:rPr>
            </w:pPr>
            <w:r w:rsidRPr="00CB2503">
              <w:rPr>
                <w:b/>
                <w:bCs/>
                <w:color w:val="000000"/>
                <w:sz w:val="19"/>
                <w:szCs w:val="19"/>
              </w:rPr>
              <w:t>0.68</w:t>
            </w:r>
          </w:p>
        </w:tc>
        <w:tc>
          <w:tcPr>
            <w:tcW w:w="881" w:type="pct"/>
            <w:shd w:val="clear" w:color="auto" w:fill="D2EAF1"/>
            <w:noWrap/>
          </w:tcPr>
          <w:p w:rsidR="00661E10" w:rsidRPr="00CB2503" w:rsidRDefault="00661E10" w:rsidP="00661E10">
            <w:pPr>
              <w:jc w:val="center"/>
              <w:rPr>
                <w:b/>
                <w:sz w:val="19"/>
                <w:szCs w:val="19"/>
              </w:rPr>
            </w:pPr>
            <w:r w:rsidRPr="00CB2503">
              <w:rPr>
                <w:b/>
                <w:sz w:val="19"/>
                <w:szCs w:val="19"/>
              </w:rPr>
              <w:t>0.62</w:t>
            </w:r>
          </w:p>
        </w:tc>
      </w:tr>
      <w:tr w:rsidR="00E7173E" w:rsidRPr="00771798" w:rsidTr="00C066E9">
        <w:trPr>
          <w:trHeight w:val="288"/>
        </w:trPr>
        <w:tc>
          <w:tcPr>
            <w:tcW w:w="5000" w:type="pct"/>
            <w:gridSpan w:val="6"/>
            <w:shd w:val="clear" w:color="auto" w:fill="448A99"/>
          </w:tcPr>
          <w:p w:rsidR="00661E10" w:rsidRPr="00771798" w:rsidRDefault="00661E10" w:rsidP="00661E10">
            <w:pPr>
              <w:jc w:val="left"/>
              <w:rPr>
                <w:color w:val="FFFFFF"/>
                <w:sz w:val="18"/>
                <w:szCs w:val="19"/>
              </w:rPr>
            </w:pPr>
            <w:r w:rsidRPr="00771798">
              <w:rPr>
                <w:color w:val="FFFFFF"/>
                <w:sz w:val="18"/>
                <w:szCs w:val="19"/>
              </w:rPr>
              <w:t>NOTES</w:t>
            </w:r>
            <w:r w:rsidR="00630371" w:rsidRPr="00771798">
              <w:rPr>
                <w:color w:val="FFFFFF"/>
                <w:sz w:val="18"/>
                <w:szCs w:val="19"/>
              </w:rPr>
              <w:t>:</w:t>
            </w:r>
          </w:p>
          <w:p w:rsidR="00B90CD9" w:rsidRPr="00771798" w:rsidRDefault="00661E10" w:rsidP="00661E10">
            <w:pPr>
              <w:jc w:val="left"/>
              <w:rPr>
                <w:color w:val="FFFFFF" w:themeColor="background1"/>
                <w:sz w:val="18"/>
                <w:szCs w:val="19"/>
              </w:rPr>
            </w:pPr>
            <w:r w:rsidRPr="00771798">
              <w:rPr>
                <w:color w:val="FFFFFF" w:themeColor="background1"/>
                <w:sz w:val="18"/>
                <w:szCs w:val="19"/>
                <w:vertAlign w:val="superscript"/>
              </w:rPr>
              <w:t>[a]</w:t>
            </w:r>
            <w:r w:rsidRPr="00771798">
              <w:rPr>
                <w:color w:val="FFFFFF" w:themeColor="background1"/>
                <w:sz w:val="18"/>
                <w:szCs w:val="19"/>
              </w:rPr>
              <w:t xml:space="preserve"> Navigant reported to the tenth decimal place in PY5.</w:t>
            </w:r>
          </w:p>
          <w:p w:rsidR="00661E10" w:rsidRPr="00771798" w:rsidRDefault="00B90CD9" w:rsidP="00661E10">
            <w:pPr>
              <w:jc w:val="left"/>
              <w:rPr>
                <w:color w:val="FFFFFF" w:themeColor="background1"/>
                <w:sz w:val="18"/>
                <w:szCs w:val="19"/>
              </w:rPr>
            </w:pPr>
            <w:r w:rsidRPr="00771798">
              <w:rPr>
                <w:color w:val="FFFFFF" w:themeColor="background1"/>
                <w:sz w:val="18"/>
                <w:szCs w:val="19"/>
                <w:vertAlign w:val="superscript"/>
              </w:rPr>
              <w:t>[b]</w:t>
            </w:r>
            <w:r w:rsidRPr="00771798">
              <w:rPr>
                <w:color w:val="FFFFFF" w:themeColor="background1"/>
                <w:sz w:val="18"/>
                <w:szCs w:val="19"/>
              </w:rPr>
              <w:t xml:space="preserve"> In PY6, Navigant reported the PY5 estimate.</w:t>
            </w:r>
          </w:p>
          <w:p w:rsidR="00661E10" w:rsidRPr="00771798" w:rsidRDefault="00661E10" w:rsidP="00661E10">
            <w:pPr>
              <w:jc w:val="left"/>
              <w:rPr>
                <w:color w:val="FFFFFF" w:themeColor="background1"/>
                <w:sz w:val="18"/>
                <w:szCs w:val="19"/>
              </w:rPr>
            </w:pPr>
            <w:r w:rsidRPr="00771798">
              <w:rPr>
                <w:color w:val="FFFFFF" w:themeColor="background1"/>
                <w:sz w:val="18"/>
                <w:szCs w:val="19"/>
              </w:rPr>
              <w:t>* Denotes programs/NTGRs that were not included in a given annual report.</w:t>
            </w:r>
          </w:p>
        </w:tc>
      </w:tr>
    </w:tbl>
    <w:p w:rsidR="00661E10" w:rsidRDefault="00661E10" w:rsidP="00661E10"/>
    <w:p w:rsidR="00661E10" w:rsidRPr="00661E10" w:rsidRDefault="00702765" w:rsidP="00E673F0">
      <w:pPr>
        <w:pStyle w:val="Heading4"/>
      </w:pPr>
      <w:r>
        <w:t>PPL</w:t>
      </w:r>
      <w:r w:rsidR="00661E10" w:rsidRPr="00661E10">
        <w:t xml:space="preserve"> Phase II NTG Summary</w:t>
      </w:r>
    </w:p>
    <w:p w:rsidR="00823FE0" w:rsidRDefault="00ED5AFA" w:rsidP="00661E10">
      <w:r>
        <w:fldChar w:fldCharType="begin"/>
      </w:r>
      <w:r>
        <w:instrText xml:space="preserve"> REF _Ref471459080 \h </w:instrText>
      </w:r>
      <w:r>
        <w:fldChar w:fldCharType="separate"/>
      </w:r>
      <w:r w:rsidR="00037CB4" w:rsidRPr="00ED5AFA">
        <w:t xml:space="preserve">Table </w:t>
      </w:r>
      <w:r w:rsidR="00037CB4">
        <w:rPr>
          <w:noProof/>
        </w:rPr>
        <w:t>5</w:t>
      </w:r>
      <w:r w:rsidR="00037CB4">
        <w:noBreakHyphen/>
      </w:r>
      <w:r w:rsidR="00037CB4">
        <w:rPr>
          <w:noProof/>
        </w:rPr>
        <w:t>12</w:t>
      </w:r>
      <w:r>
        <w:fldChar w:fldCharType="end"/>
      </w:r>
      <w:r>
        <w:t xml:space="preserve"> </w:t>
      </w:r>
      <w:r w:rsidR="00661E10" w:rsidRPr="00661E10">
        <w:t xml:space="preserve">shows PPL’s Phase II NTGRs by program year. Due to minimal intra-program NTGR variation from PY6 to PY7, the portfolio-level NTGR experienced minimal fluctuation in Phase II. </w:t>
      </w:r>
    </w:p>
    <w:p w:rsidR="00147500" w:rsidRDefault="00147500" w:rsidP="00661E10"/>
    <w:p w:rsidR="00661E10" w:rsidRPr="00ED5AFA" w:rsidRDefault="00ED5AFA" w:rsidP="004837FA">
      <w:pPr>
        <w:pStyle w:val="Caption"/>
      </w:pPr>
      <w:bookmarkStart w:id="426" w:name="_Ref471459080"/>
      <w:bookmarkStart w:id="427" w:name="_Toc472472197"/>
      <w:bookmarkStart w:id="428" w:name="_Toc488741776"/>
      <w:r w:rsidRPr="00ED5AFA">
        <w:t xml:space="preserve">Table </w:t>
      </w:r>
      <w:r w:rsidR="007973A4">
        <w:fldChar w:fldCharType="begin"/>
      </w:r>
      <w:r w:rsidR="007973A4">
        <w:instrText xml:space="preserve"> STYLE</w:instrText>
      </w:r>
      <w:r w:rsidR="007973A4">
        <w:instrText xml:space="preserve">REF 1 \s </w:instrText>
      </w:r>
      <w:r w:rsidR="007973A4">
        <w:fldChar w:fldCharType="separate"/>
      </w:r>
      <w:r w:rsidR="00037CB4">
        <w:rPr>
          <w:noProof/>
        </w:rPr>
        <w:t>5</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12</w:t>
      </w:r>
      <w:r w:rsidR="007973A4">
        <w:rPr>
          <w:noProof/>
        </w:rPr>
        <w:fldChar w:fldCharType="end"/>
      </w:r>
      <w:bookmarkEnd w:id="426"/>
      <w:r w:rsidR="00661E10" w:rsidRPr="00ED5AFA">
        <w:t>: PPL’s Phase II NTGRs by Program Year</w:t>
      </w:r>
      <w:bookmarkEnd w:id="427"/>
      <w:bookmarkEnd w:id="428"/>
    </w:p>
    <w:tbl>
      <w:tblPr>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56"/>
        <w:gridCol w:w="3387"/>
        <w:gridCol w:w="1422"/>
        <w:gridCol w:w="1422"/>
        <w:gridCol w:w="1653"/>
      </w:tblGrid>
      <w:tr w:rsidR="00A874AC" w:rsidRPr="00CB2503" w:rsidTr="00CB2503">
        <w:trPr>
          <w:trHeight w:val="20"/>
          <w:tblHeader/>
        </w:trPr>
        <w:tc>
          <w:tcPr>
            <w:tcW w:w="780" w:type="pct"/>
            <w:shd w:val="clear" w:color="auto" w:fill="448A99"/>
            <w:vAlign w:val="bottom"/>
            <w:hideMark/>
          </w:tcPr>
          <w:p w:rsidR="00661E10" w:rsidRPr="00CB2503" w:rsidRDefault="00661E10" w:rsidP="00661E10">
            <w:pPr>
              <w:jc w:val="left"/>
              <w:rPr>
                <w:b/>
                <w:bCs/>
                <w:color w:val="FFFFFF"/>
                <w:sz w:val="19"/>
                <w:szCs w:val="19"/>
              </w:rPr>
            </w:pPr>
            <w:r w:rsidRPr="00CB2503">
              <w:rPr>
                <w:b/>
                <w:color w:val="FFFFFF"/>
                <w:sz w:val="19"/>
                <w:szCs w:val="19"/>
              </w:rPr>
              <w:t>Sector</w:t>
            </w:r>
          </w:p>
        </w:tc>
        <w:tc>
          <w:tcPr>
            <w:tcW w:w="1813"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Program</w:t>
            </w:r>
          </w:p>
        </w:tc>
        <w:tc>
          <w:tcPr>
            <w:tcW w:w="761"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PY5</w:t>
            </w:r>
          </w:p>
        </w:tc>
        <w:tc>
          <w:tcPr>
            <w:tcW w:w="761"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PY6</w:t>
            </w:r>
          </w:p>
        </w:tc>
        <w:tc>
          <w:tcPr>
            <w:tcW w:w="885" w:type="pct"/>
            <w:shd w:val="clear" w:color="auto" w:fill="448A99"/>
            <w:vAlign w:val="bottom"/>
            <w:hideMark/>
          </w:tcPr>
          <w:p w:rsidR="00661E10" w:rsidRPr="00CB2503" w:rsidRDefault="00661E10" w:rsidP="00661E10">
            <w:pPr>
              <w:jc w:val="center"/>
              <w:rPr>
                <w:b/>
                <w:bCs/>
                <w:color w:val="FFFFFF"/>
                <w:sz w:val="19"/>
                <w:szCs w:val="19"/>
              </w:rPr>
            </w:pPr>
            <w:r w:rsidRPr="00CB2503">
              <w:rPr>
                <w:b/>
                <w:bCs/>
                <w:color w:val="FFFFFF"/>
                <w:sz w:val="19"/>
                <w:szCs w:val="19"/>
              </w:rPr>
              <w:t>PY7</w:t>
            </w:r>
          </w:p>
        </w:tc>
      </w:tr>
      <w:tr w:rsidR="00A874AC" w:rsidRPr="00CB2503" w:rsidTr="00CB2503">
        <w:trPr>
          <w:trHeight w:val="288"/>
        </w:trPr>
        <w:tc>
          <w:tcPr>
            <w:tcW w:w="780" w:type="pct"/>
            <w:vMerge w:val="restart"/>
            <w:shd w:val="clear" w:color="auto" w:fill="D2EAF1"/>
          </w:tcPr>
          <w:p w:rsidR="00B90CD9" w:rsidRPr="00CB2503" w:rsidRDefault="00B90CD9" w:rsidP="00B90CD9">
            <w:pPr>
              <w:jc w:val="left"/>
              <w:rPr>
                <w:color w:val="000000"/>
                <w:sz w:val="19"/>
                <w:szCs w:val="19"/>
              </w:rPr>
            </w:pPr>
            <w:r w:rsidRPr="00CB2503">
              <w:rPr>
                <w:sz w:val="19"/>
                <w:szCs w:val="19"/>
              </w:rPr>
              <w:t>Residential</w:t>
            </w:r>
          </w:p>
        </w:tc>
        <w:tc>
          <w:tcPr>
            <w:tcW w:w="1813" w:type="pct"/>
            <w:shd w:val="clear" w:color="auto" w:fill="D2EAF1"/>
            <w:noWrap/>
          </w:tcPr>
          <w:p w:rsidR="00B90CD9" w:rsidRPr="00CB2503" w:rsidRDefault="00B90CD9" w:rsidP="00B90CD9">
            <w:pPr>
              <w:jc w:val="left"/>
              <w:rPr>
                <w:color w:val="000000"/>
                <w:sz w:val="19"/>
                <w:szCs w:val="19"/>
              </w:rPr>
            </w:pPr>
            <w:r w:rsidRPr="00CB2503">
              <w:rPr>
                <w:sz w:val="19"/>
                <w:szCs w:val="19"/>
              </w:rPr>
              <w:t>Residential Retail Program</w:t>
            </w:r>
          </w:p>
        </w:tc>
        <w:tc>
          <w:tcPr>
            <w:tcW w:w="761" w:type="pct"/>
            <w:shd w:val="clear" w:color="auto" w:fill="D2EAF1"/>
            <w:noWrap/>
          </w:tcPr>
          <w:p w:rsidR="00B90CD9" w:rsidRPr="00CB2503" w:rsidRDefault="00B90CD9" w:rsidP="00B90CD9">
            <w:pPr>
              <w:jc w:val="center"/>
              <w:rPr>
                <w:sz w:val="19"/>
                <w:szCs w:val="19"/>
                <w:vertAlign w:val="superscript"/>
              </w:rPr>
            </w:pPr>
            <w:r w:rsidRPr="00CB2503">
              <w:rPr>
                <w:sz w:val="19"/>
                <w:szCs w:val="19"/>
              </w:rPr>
              <w:t>0.57/0.84</w:t>
            </w:r>
            <w:r w:rsidRPr="00CB2503">
              <w:rPr>
                <w:sz w:val="19"/>
                <w:szCs w:val="19"/>
                <w:vertAlign w:val="superscript"/>
              </w:rPr>
              <w:t>[a]</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0.52</w:t>
            </w:r>
          </w:p>
        </w:tc>
        <w:tc>
          <w:tcPr>
            <w:tcW w:w="885" w:type="pct"/>
            <w:shd w:val="clear" w:color="auto" w:fill="D2EAF1"/>
            <w:noWrap/>
          </w:tcPr>
          <w:p w:rsidR="00B90CD9" w:rsidRPr="00CB2503" w:rsidRDefault="00B90CD9" w:rsidP="00B90CD9">
            <w:pPr>
              <w:jc w:val="center"/>
              <w:rPr>
                <w:sz w:val="19"/>
                <w:szCs w:val="19"/>
              </w:rPr>
            </w:pPr>
            <w:r w:rsidRPr="00CB2503">
              <w:rPr>
                <w:sz w:val="19"/>
                <w:szCs w:val="19"/>
              </w:rPr>
              <w:t>0.61</w:t>
            </w:r>
          </w:p>
        </w:tc>
      </w:tr>
      <w:tr w:rsidR="00B90CD9" w:rsidRPr="00CB2503" w:rsidTr="00CB2503">
        <w:trPr>
          <w:trHeight w:val="288"/>
        </w:trPr>
        <w:tc>
          <w:tcPr>
            <w:tcW w:w="780" w:type="pct"/>
            <w:vMerge/>
            <w:shd w:val="clear" w:color="auto" w:fill="D2EAF1"/>
          </w:tcPr>
          <w:p w:rsidR="00B90CD9" w:rsidRPr="00CB2503" w:rsidRDefault="00B90CD9" w:rsidP="00B90CD9">
            <w:pPr>
              <w:jc w:val="left"/>
              <w:rPr>
                <w:color w:val="000000"/>
                <w:sz w:val="19"/>
                <w:szCs w:val="19"/>
              </w:rPr>
            </w:pPr>
          </w:p>
        </w:tc>
        <w:tc>
          <w:tcPr>
            <w:tcW w:w="1813" w:type="pct"/>
            <w:shd w:val="clear" w:color="auto" w:fill="auto"/>
            <w:noWrap/>
          </w:tcPr>
          <w:p w:rsidR="00B90CD9" w:rsidRPr="00CB2503" w:rsidRDefault="00B90CD9" w:rsidP="00B90CD9">
            <w:pPr>
              <w:jc w:val="left"/>
              <w:rPr>
                <w:sz w:val="19"/>
                <w:szCs w:val="19"/>
              </w:rPr>
            </w:pPr>
            <w:r w:rsidRPr="00CB2503">
              <w:rPr>
                <w:sz w:val="19"/>
                <w:szCs w:val="19"/>
              </w:rPr>
              <w:t>Appliance Recycling Program (ARP)</w:t>
            </w:r>
          </w:p>
        </w:tc>
        <w:tc>
          <w:tcPr>
            <w:tcW w:w="761" w:type="pct"/>
            <w:shd w:val="clear" w:color="auto" w:fill="auto"/>
            <w:noWrap/>
          </w:tcPr>
          <w:p w:rsidR="00B90CD9" w:rsidRPr="00CB2503" w:rsidRDefault="00B90CD9" w:rsidP="00B90CD9">
            <w:pPr>
              <w:jc w:val="center"/>
              <w:rPr>
                <w:sz w:val="19"/>
                <w:szCs w:val="19"/>
              </w:rPr>
            </w:pPr>
            <w:r w:rsidRPr="00CB2503">
              <w:rPr>
                <w:sz w:val="19"/>
                <w:szCs w:val="19"/>
              </w:rPr>
              <w:t>0.74</w:t>
            </w:r>
          </w:p>
        </w:tc>
        <w:tc>
          <w:tcPr>
            <w:tcW w:w="761" w:type="pct"/>
            <w:shd w:val="clear" w:color="auto" w:fill="auto"/>
            <w:noWrap/>
          </w:tcPr>
          <w:p w:rsidR="00B90CD9" w:rsidRPr="00CB2503" w:rsidRDefault="00B90CD9" w:rsidP="00B90CD9">
            <w:pPr>
              <w:jc w:val="center"/>
              <w:rPr>
                <w:sz w:val="19"/>
                <w:szCs w:val="19"/>
              </w:rPr>
            </w:pPr>
            <w:r w:rsidRPr="00CB2503">
              <w:rPr>
                <w:sz w:val="19"/>
                <w:szCs w:val="19"/>
              </w:rPr>
              <w:t>0.60</w:t>
            </w:r>
          </w:p>
        </w:tc>
        <w:tc>
          <w:tcPr>
            <w:tcW w:w="885" w:type="pct"/>
            <w:shd w:val="clear" w:color="auto" w:fill="auto"/>
            <w:noWrap/>
          </w:tcPr>
          <w:p w:rsidR="00B90CD9" w:rsidRPr="00CB2503" w:rsidRDefault="00B90CD9" w:rsidP="00B90CD9">
            <w:pPr>
              <w:jc w:val="center"/>
              <w:rPr>
                <w:sz w:val="19"/>
                <w:szCs w:val="19"/>
              </w:rPr>
            </w:pPr>
            <w:r w:rsidRPr="00CB2503">
              <w:rPr>
                <w:sz w:val="19"/>
                <w:szCs w:val="19"/>
              </w:rPr>
              <w:t>0.60</w:t>
            </w:r>
          </w:p>
        </w:tc>
      </w:tr>
      <w:tr w:rsidR="00A874AC" w:rsidRPr="00CB2503" w:rsidTr="00CB2503">
        <w:trPr>
          <w:trHeight w:val="288"/>
        </w:trPr>
        <w:tc>
          <w:tcPr>
            <w:tcW w:w="780" w:type="pct"/>
            <w:vMerge/>
            <w:shd w:val="clear" w:color="auto" w:fill="D2EAF1"/>
          </w:tcPr>
          <w:p w:rsidR="00B90CD9" w:rsidRPr="00CB2503" w:rsidRDefault="00B90CD9" w:rsidP="00B90CD9">
            <w:pPr>
              <w:jc w:val="left"/>
              <w:rPr>
                <w:color w:val="000000"/>
                <w:sz w:val="19"/>
                <w:szCs w:val="19"/>
              </w:rPr>
            </w:pPr>
          </w:p>
        </w:tc>
        <w:tc>
          <w:tcPr>
            <w:tcW w:w="1813" w:type="pct"/>
            <w:shd w:val="clear" w:color="auto" w:fill="D2EAF1"/>
            <w:noWrap/>
          </w:tcPr>
          <w:p w:rsidR="00B90CD9" w:rsidRPr="00CB2503" w:rsidRDefault="00B90CD9" w:rsidP="00B90CD9">
            <w:pPr>
              <w:jc w:val="left"/>
              <w:rPr>
                <w:sz w:val="19"/>
                <w:szCs w:val="19"/>
              </w:rPr>
            </w:pPr>
            <w:r w:rsidRPr="00CB2503">
              <w:rPr>
                <w:sz w:val="19"/>
                <w:szCs w:val="19"/>
              </w:rPr>
              <w:t>Residential Home Comfort</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0.58</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0.60</w:t>
            </w:r>
          </w:p>
        </w:tc>
        <w:tc>
          <w:tcPr>
            <w:tcW w:w="885" w:type="pct"/>
            <w:shd w:val="clear" w:color="auto" w:fill="D2EAF1"/>
            <w:noWrap/>
          </w:tcPr>
          <w:p w:rsidR="00B90CD9" w:rsidRPr="00CB2503" w:rsidRDefault="00B90CD9" w:rsidP="00B90CD9">
            <w:pPr>
              <w:jc w:val="center"/>
              <w:rPr>
                <w:sz w:val="19"/>
                <w:szCs w:val="19"/>
              </w:rPr>
            </w:pPr>
            <w:r w:rsidRPr="00CB2503">
              <w:rPr>
                <w:sz w:val="19"/>
                <w:szCs w:val="19"/>
              </w:rPr>
              <w:t>0.61</w:t>
            </w:r>
          </w:p>
        </w:tc>
      </w:tr>
      <w:tr w:rsidR="00B90CD9" w:rsidRPr="00CB2503" w:rsidTr="00CB2503">
        <w:trPr>
          <w:trHeight w:val="288"/>
        </w:trPr>
        <w:tc>
          <w:tcPr>
            <w:tcW w:w="780" w:type="pct"/>
            <w:vMerge/>
            <w:shd w:val="clear" w:color="auto" w:fill="D2EAF1"/>
          </w:tcPr>
          <w:p w:rsidR="00B90CD9" w:rsidRPr="00CB2503" w:rsidRDefault="00B90CD9" w:rsidP="00B90CD9">
            <w:pPr>
              <w:jc w:val="left"/>
              <w:rPr>
                <w:color w:val="000000"/>
                <w:sz w:val="19"/>
                <w:szCs w:val="19"/>
              </w:rPr>
            </w:pPr>
          </w:p>
        </w:tc>
        <w:tc>
          <w:tcPr>
            <w:tcW w:w="1813" w:type="pct"/>
            <w:shd w:val="clear" w:color="auto" w:fill="auto"/>
            <w:noWrap/>
          </w:tcPr>
          <w:p w:rsidR="00B90CD9" w:rsidRPr="00CB2503" w:rsidRDefault="00B90CD9" w:rsidP="00B90CD9">
            <w:pPr>
              <w:jc w:val="left"/>
              <w:rPr>
                <w:sz w:val="19"/>
                <w:szCs w:val="19"/>
              </w:rPr>
            </w:pPr>
            <w:r w:rsidRPr="00CB2503">
              <w:rPr>
                <w:sz w:val="19"/>
                <w:szCs w:val="19"/>
              </w:rPr>
              <w:t>Student and Parent Energy-Efficiency Education Program</w:t>
            </w:r>
          </w:p>
        </w:tc>
        <w:tc>
          <w:tcPr>
            <w:tcW w:w="761" w:type="pct"/>
            <w:shd w:val="clear" w:color="auto" w:fill="auto"/>
            <w:noWrap/>
          </w:tcPr>
          <w:p w:rsidR="00B90CD9" w:rsidRPr="00CB2503" w:rsidRDefault="00B90CD9" w:rsidP="00B90CD9">
            <w:pPr>
              <w:jc w:val="center"/>
              <w:rPr>
                <w:sz w:val="19"/>
                <w:szCs w:val="19"/>
              </w:rPr>
            </w:pPr>
            <w:r w:rsidRPr="00CB2503">
              <w:rPr>
                <w:sz w:val="19"/>
                <w:szCs w:val="19"/>
              </w:rPr>
              <w:t>1.00</w:t>
            </w:r>
          </w:p>
        </w:tc>
        <w:tc>
          <w:tcPr>
            <w:tcW w:w="761" w:type="pct"/>
            <w:shd w:val="clear" w:color="auto" w:fill="auto"/>
            <w:noWrap/>
          </w:tcPr>
          <w:p w:rsidR="00B90CD9" w:rsidRPr="00CB2503" w:rsidRDefault="00B90CD9" w:rsidP="00B90CD9">
            <w:pPr>
              <w:jc w:val="center"/>
              <w:rPr>
                <w:sz w:val="19"/>
                <w:szCs w:val="19"/>
              </w:rPr>
            </w:pPr>
            <w:r w:rsidRPr="00CB2503">
              <w:rPr>
                <w:sz w:val="19"/>
                <w:szCs w:val="19"/>
              </w:rPr>
              <w:t>1.00</w:t>
            </w:r>
          </w:p>
        </w:tc>
        <w:tc>
          <w:tcPr>
            <w:tcW w:w="885" w:type="pct"/>
            <w:shd w:val="clear" w:color="auto" w:fill="auto"/>
            <w:noWrap/>
          </w:tcPr>
          <w:p w:rsidR="00B90CD9" w:rsidRPr="00CB2503" w:rsidRDefault="00B90CD9" w:rsidP="00B90CD9">
            <w:pPr>
              <w:jc w:val="center"/>
              <w:rPr>
                <w:sz w:val="19"/>
                <w:szCs w:val="19"/>
              </w:rPr>
            </w:pPr>
            <w:r w:rsidRPr="00CB2503">
              <w:rPr>
                <w:sz w:val="19"/>
                <w:szCs w:val="19"/>
              </w:rPr>
              <w:t>1.00</w:t>
            </w:r>
          </w:p>
        </w:tc>
      </w:tr>
      <w:tr w:rsidR="00A874AC" w:rsidRPr="00CB2503" w:rsidTr="00CB2503">
        <w:trPr>
          <w:trHeight w:val="288"/>
        </w:trPr>
        <w:tc>
          <w:tcPr>
            <w:tcW w:w="780" w:type="pct"/>
            <w:vMerge/>
            <w:shd w:val="clear" w:color="auto" w:fill="D2EAF1"/>
          </w:tcPr>
          <w:p w:rsidR="00B90CD9" w:rsidRPr="00CB2503" w:rsidRDefault="00B90CD9" w:rsidP="00B90CD9">
            <w:pPr>
              <w:jc w:val="left"/>
              <w:rPr>
                <w:color w:val="000000"/>
                <w:sz w:val="19"/>
                <w:szCs w:val="19"/>
              </w:rPr>
            </w:pPr>
          </w:p>
        </w:tc>
        <w:tc>
          <w:tcPr>
            <w:tcW w:w="1813" w:type="pct"/>
            <w:shd w:val="clear" w:color="auto" w:fill="D2EAF1"/>
            <w:noWrap/>
          </w:tcPr>
          <w:p w:rsidR="00B90CD9" w:rsidRPr="00CB2503" w:rsidRDefault="00B90CD9" w:rsidP="00B90CD9">
            <w:pPr>
              <w:jc w:val="left"/>
              <w:rPr>
                <w:sz w:val="19"/>
                <w:szCs w:val="19"/>
              </w:rPr>
            </w:pPr>
            <w:r w:rsidRPr="00CB2503">
              <w:rPr>
                <w:sz w:val="19"/>
                <w:szCs w:val="19"/>
              </w:rPr>
              <w:t>Residential Energy-Efficiency Behavior &amp; Education Program</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1.00</w:t>
            </w:r>
          </w:p>
        </w:tc>
        <w:tc>
          <w:tcPr>
            <w:tcW w:w="885" w:type="pct"/>
            <w:shd w:val="clear" w:color="auto" w:fill="D2EAF1"/>
            <w:noWrap/>
          </w:tcPr>
          <w:p w:rsidR="00B90CD9" w:rsidRPr="00CB2503" w:rsidRDefault="00B90CD9" w:rsidP="00B90CD9">
            <w:pPr>
              <w:jc w:val="center"/>
              <w:rPr>
                <w:sz w:val="19"/>
                <w:szCs w:val="19"/>
              </w:rPr>
            </w:pPr>
            <w:r w:rsidRPr="00CB2503">
              <w:rPr>
                <w:sz w:val="19"/>
                <w:szCs w:val="19"/>
              </w:rPr>
              <w:t>1.00</w:t>
            </w:r>
          </w:p>
        </w:tc>
      </w:tr>
      <w:tr w:rsidR="00B90CD9" w:rsidRPr="00CB2503" w:rsidTr="00CB2503">
        <w:trPr>
          <w:trHeight w:val="288"/>
        </w:trPr>
        <w:tc>
          <w:tcPr>
            <w:tcW w:w="780" w:type="pct"/>
            <w:vMerge w:val="restart"/>
            <w:shd w:val="clear" w:color="auto" w:fill="auto"/>
          </w:tcPr>
          <w:p w:rsidR="00B90CD9" w:rsidRPr="00CB2503" w:rsidRDefault="00B90CD9" w:rsidP="00B90CD9">
            <w:pPr>
              <w:jc w:val="left"/>
              <w:rPr>
                <w:color w:val="000000"/>
                <w:sz w:val="19"/>
                <w:szCs w:val="19"/>
              </w:rPr>
            </w:pPr>
            <w:r w:rsidRPr="00CB2503">
              <w:rPr>
                <w:sz w:val="19"/>
                <w:szCs w:val="19"/>
              </w:rPr>
              <w:t>Low-Income</w:t>
            </w:r>
          </w:p>
        </w:tc>
        <w:tc>
          <w:tcPr>
            <w:tcW w:w="1813" w:type="pct"/>
            <w:shd w:val="clear" w:color="auto" w:fill="auto"/>
            <w:noWrap/>
          </w:tcPr>
          <w:p w:rsidR="00B90CD9" w:rsidRPr="00CB2503" w:rsidRDefault="00B90CD9" w:rsidP="00B90CD9">
            <w:pPr>
              <w:jc w:val="left"/>
              <w:rPr>
                <w:sz w:val="19"/>
                <w:szCs w:val="19"/>
              </w:rPr>
            </w:pPr>
            <w:r w:rsidRPr="00CB2503">
              <w:rPr>
                <w:sz w:val="19"/>
                <w:szCs w:val="19"/>
              </w:rPr>
              <w:t>E-Power Wise</w:t>
            </w:r>
            <w:r w:rsidRPr="00CB2503">
              <w:rPr>
                <w:sz w:val="19"/>
                <w:szCs w:val="19"/>
                <w:vertAlign w:val="superscript"/>
              </w:rPr>
              <w:t xml:space="preserve"> </w:t>
            </w:r>
          </w:p>
        </w:tc>
        <w:tc>
          <w:tcPr>
            <w:tcW w:w="761" w:type="pct"/>
            <w:shd w:val="clear" w:color="auto" w:fill="auto"/>
            <w:noWrap/>
          </w:tcPr>
          <w:p w:rsidR="00B90CD9" w:rsidRPr="00CB2503" w:rsidRDefault="00B90CD9" w:rsidP="00B90CD9">
            <w:pPr>
              <w:jc w:val="center"/>
              <w:rPr>
                <w:sz w:val="19"/>
                <w:szCs w:val="19"/>
              </w:rPr>
            </w:pPr>
            <w:r w:rsidRPr="00CB2503">
              <w:rPr>
                <w:sz w:val="19"/>
                <w:szCs w:val="19"/>
              </w:rPr>
              <w:t>1.00</w:t>
            </w:r>
          </w:p>
        </w:tc>
        <w:tc>
          <w:tcPr>
            <w:tcW w:w="761" w:type="pct"/>
            <w:shd w:val="clear" w:color="auto" w:fill="auto"/>
            <w:noWrap/>
          </w:tcPr>
          <w:p w:rsidR="00B90CD9" w:rsidRPr="00CB2503" w:rsidRDefault="00B90CD9" w:rsidP="00B90CD9">
            <w:pPr>
              <w:jc w:val="center"/>
              <w:rPr>
                <w:bCs/>
                <w:color w:val="000000"/>
                <w:sz w:val="19"/>
                <w:szCs w:val="19"/>
              </w:rPr>
            </w:pPr>
            <w:r w:rsidRPr="00CB2503">
              <w:rPr>
                <w:bCs/>
                <w:color w:val="000000"/>
                <w:sz w:val="19"/>
                <w:szCs w:val="19"/>
              </w:rPr>
              <w:t>1.00</w:t>
            </w:r>
          </w:p>
        </w:tc>
        <w:tc>
          <w:tcPr>
            <w:tcW w:w="885" w:type="pct"/>
            <w:shd w:val="clear" w:color="auto" w:fill="auto"/>
            <w:noWrap/>
          </w:tcPr>
          <w:p w:rsidR="00B90CD9" w:rsidRPr="00CB2503" w:rsidRDefault="00B90CD9" w:rsidP="00B90CD9">
            <w:pPr>
              <w:jc w:val="center"/>
              <w:rPr>
                <w:bCs/>
                <w:color w:val="000000"/>
                <w:sz w:val="19"/>
                <w:szCs w:val="19"/>
              </w:rPr>
            </w:pPr>
            <w:r w:rsidRPr="00CB2503">
              <w:rPr>
                <w:sz w:val="19"/>
                <w:szCs w:val="19"/>
              </w:rPr>
              <w:t>1.00</w:t>
            </w:r>
          </w:p>
        </w:tc>
      </w:tr>
      <w:tr w:rsidR="00A874AC" w:rsidRPr="00CB2503" w:rsidTr="00CB2503">
        <w:trPr>
          <w:trHeight w:val="288"/>
        </w:trPr>
        <w:tc>
          <w:tcPr>
            <w:tcW w:w="780" w:type="pct"/>
            <w:vMerge/>
            <w:shd w:val="clear" w:color="auto" w:fill="auto"/>
          </w:tcPr>
          <w:p w:rsidR="00B90CD9" w:rsidRPr="00CB2503" w:rsidRDefault="00B90CD9" w:rsidP="00B90CD9">
            <w:pPr>
              <w:jc w:val="left"/>
              <w:rPr>
                <w:sz w:val="19"/>
                <w:szCs w:val="19"/>
              </w:rPr>
            </w:pPr>
          </w:p>
        </w:tc>
        <w:tc>
          <w:tcPr>
            <w:tcW w:w="1813" w:type="pct"/>
            <w:shd w:val="clear" w:color="auto" w:fill="D2EAF1"/>
            <w:noWrap/>
          </w:tcPr>
          <w:p w:rsidR="00B90CD9" w:rsidRPr="00CB2503" w:rsidRDefault="00B90CD9" w:rsidP="00B90CD9">
            <w:pPr>
              <w:jc w:val="left"/>
              <w:rPr>
                <w:sz w:val="19"/>
                <w:szCs w:val="19"/>
              </w:rPr>
            </w:pPr>
            <w:r w:rsidRPr="00CB2503">
              <w:rPr>
                <w:sz w:val="19"/>
                <w:szCs w:val="19"/>
              </w:rPr>
              <w:t>Low-Income Energy Efficiency</w:t>
            </w:r>
          </w:p>
          <w:p w:rsidR="00B90CD9" w:rsidRPr="00CB2503" w:rsidRDefault="00B90CD9" w:rsidP="00B90CD9">
            <w:pPr>
              <w:jc w:val="left"/>
              <w:rPr>
                <w:color w:val="000000"/>
                <w:sz w:val="19"/>
                <w:szCs w:val="19"/>
              </w:rPr>
            </w:pPr>
            <w:r w:rsidRPr="00CB2503">
              <w:rPr>
                <w:sz w:val="19"/>
                <w:szCs w:val="19"/>
              </w:rPr>
              <w:t>Behavior &amp; Education</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w:t>
            </w:r>
          </w:p>
        </w:tc>
        <w:tc>
          <w:tcPr>
            <w:tcW w:w="761" w:type="pct"/>
            <w:shd w:val="clear" w:color="auto" w:fill="D2EAF1"/>
            <w:noWrap/>
          </w:tcPr>
          <w:p w:rsidR="00B90CD9" w:rsidRPr="00CB2503" w:rsidRDefault="00B90CD9" w:rsidP="00B90CD9">
            <w:pPr>
              <w:jc w:val="center"/>
              <w:rPr>
                <w:bCs/>
                <w:color w:val="000000"/>
                <w:sz w:val="19"/>
                <w:szCs w:val="19"/>
              </w:rPr>
            </w:pPr>
            <w:r w:rsidRPr="00CB2503">
              <w:rPr>
                <w:bCs/>
                <w:color w:val="000000"/>
                <w:sz w:val="19"/>
                <w:szCs w:val="19"/>
              </w:rPr>
              <w:t>*</w:t>
            </w:r>
          </w:p>
        </w:tc>
        <w:tc>
          <w:tcPr>
            <w:tcW w:w="885" w:type="pct"/>
            <w:shd w:val="clear" w:color="auto" w:fill="D2EAF1"/>
            <w:noWrap/>
          </w:tcPr>
          <w:p w:rsidR="00B90CD9" w:rsidRPr="00CB2503" w:rsidRDefault="00B90CD9" w:rsidP="00B90CD9">
            <w:pPr>
              <w:jc w:val="center"/>
              <w:rPr>
                <w:bCs/>
                <w:color w:val="000000"/>
                <w:sz w:val="19"/>
                <w:szCs w:val="19"/>
              </w:rPr>
            </w:pPr>
            <w:r w:rsidRPr="00CB2503">
              <w:rPr>
                <w:sz w:val="19"/>
                <w:szCs w:val="19"/>
              </w:rPr>
              <w:t>1.00</w:t>
            </w:r>
          </w:p>
        </w:tc>
      </w:tr>
      <w:tr w:rsidR="00B90CD9" w:rsidRPr="00CB2503" w:rsidTr="00CB2503">
        <w:trPr>
          <w:trHeight w:val="288"/>
        </w:trPr>
        <w:tc>
          <w:tcPr>
            <w:tcW w:w="780" w:type="pct"/>
            <w:vMerge/>
            <w:shd w:val="clear" w:color="auto" w:fill="auto"/>
          </w:tcPr>
          <w:p w:rsidR="00B90CD9" w:rsidRPr="00CB2503" w:rsidRDefault="00B90CD9" w:rsidP="00B90CD9">
            <w:pPr>
              <w:jc w:val="left"/>
              <w:rPr>
                <w:sz w:val="19"/>
                <w:szCs w:val="19"/>
              </w:rPr>
            </w:pPr>
          </w:p>
        </w:tc>
        <w:tc>
          <w:tcPr>
            <w:tcW w:w="1813" w:type="pct"/>
            <w:shd w:val="clear" w:color="auto" w:fill="auto"/>
            <w:noWrap/>
          </w:tcPr>
          <w:p w:rsidR="00B90CD9" w:rsidRPr="00CB2503" w:rsidRDefault="00B90CD9" w:rsidP="00B90CD9">
            <w:pPr>
              <w:jc w:val="left"/>
              <w:rPr>
                <w:color w:val="000000"/>
                <w:sz w:val="19"/>
                <w:szCs w:val="19"/>
              </w:rPr>
            </w:pPr>
            <w:r w:rsidRPr="00CB2503">
              <w:rPr>
                <w:sz w:val="19"/>
                <w:szCs w:val="19"/>
              </w:rPr>
              <w:t>Low-Income Winter Relief Assistance Program (WRAP)</w:t>
            </w:r>
          </w:p>
        </w:tc>
        <w:tc>
          <w:tcPr>
            <w:tcW w:w="761" w:type="pct"/>
            <w:shd w:val="clear" w:color="auto" w:fill="auto"/>
            <w:noWrap/>
          </w:tcPr>
          <w:p w:rsidR="00B90CD9" w:rsidRPr="00CB2503" w:rsidRDefault="00B90CD9" w:rsidP="00B90CD9">
            <w:pPr>
              <w:jc w:val="center"/>
              <w:rPr>
                <w:sz w:val="19"/>
                <w:szCs w:val="19"/>
              </w:rPr>
            </w:pPr>
            <w:r w:rsidRPr="00CB2503">
              <w:rPr>
                <w:sz w:val="19"/>
                <w:szCs w:val="19"/>
              </w:rPr>
              <w:t>1.00</w:t>
            </w:r>
          </w:p>
        </w:tc>
        <w:tc>
          <w:tcPr>
            <w:tcW w:w="761" w:type="pct"/>
            <w:shd w:val="clear" w:color="auto" w:fill="auto"/>
            <w:noWrap/>
          </w:tcPr>
          <w:p w:rsidR="00B90CD9" w:rsidRPr="00CB2503" w:rsidRDefault="00B90CD9" w:rsidP="00B90CD9">
            <w:pPr>
              <w:jc w:val="center"/>
              <w:rPr>
                <w:bCs/>
                <w:color w:val="000000"/>
                <w:sz w:val="19"/>
                <w:szCs w:val="19"/>
              </w:rPr>
            </w:pPr>
            <w:r w:rsidRPr="00CB2503">
              <w:rPr>
                <w:bCs/>
                <w:color w:val="000000"/>
                <w:sz w:val="19"/>
                <w:szCs w:val="19"/>
              </w:rPr>
              <w:t>1.00</w:t>
            </w:r>
          </w:p>
        </w:tc>
        <w:tc>
          <w:tcPr>
            <w:tcW w:w="885" w:type="pct"/>
            <w:shd w:val="clear" w:color="auto" w:fill="auto"/>
            <w:noWrap/>
          </w:tcPr>
          <w:p w:rsidR="00B90CD9" w:rsidRPr="00CB2503" w:rsidRDefault="00B90CD9" w:rsidP="00B90CD9">
            <w:pPr>
              <w:jc w:val="center"/>
              <w:rPr>
                <w:bCs/>
                <w:color w:val="000000"/>
                <w:sz w:val="19"/>
                <w:szCs w:val="19"/>
              </w:rPr>
            </w:pPr>
            <w:r w:rsidRPr="00CB2503">
              <w:rPr>
                <w:sz w:val="19"/>
                <w:szCs w:val="19"/>
              </w:rPr>
              <w:t>1.00</w:t>
            </w:r>
          </w:p>
        </w:tc>
      </w:tr>
      <w:tr w:rsidR="00A874AC" w:rsidRPr="00CB2503" w:rsidTr="00CB2503">
        <w:trPr>
          <w:trHeight w:val="288"/>
        </w:trPr>
        <w:tc>
          <w:tcPr>
            <w:tcW w:w="780" w:type="pct"/>
            <w:vMerge w:val="restart"/>
            <w:shd w:val="clear" w:color="auto" w:fill="D2EAF1"/>
          </w:tcPr>
          <w:p w:rsidR="00B90CD9" w:rsidRPr="00CB2503" w:rsidRDefault="00B90CD9" w:rsidP="00B90CD9">
            <w:pPr>
              <w:jc w:val="left"/>
              <w:rPr>
                <w:color w:val="000000"/>
                <w:sz w:val="19"/>
                <w:szCs w:val="19"/>
              </w:rPr>
            </w:pPr>
            <w:r w:rsidRPr="00CB2503">
              <w:rPr>
                <w:sz w:val="19"/>
                <w:szCs w:val="19"/>
              </w:rPr>
              <w:t>Non-Residential</w:t>
            </w:r>
          </w:p>
        </w:tc>
        <w:tc>
          <w:tcPr>
            <w:tcW w:w="1813" w:type="pct"/>
            <w:shd w:val="clear" w:color="auto" w:fill="D2EAF1"/>
            <w:noWrap/>
          </w:tcPr>
          <w:p w:rsidR="00B90CD9" w:rsidRPr="00CB2503" w:rsidRDefault="00B90CD9" w:rsidP="00B90CD9">
            <w:pPr>
              <w:jc w:val="left"/>
              <w:rPr>
                <w:sz w:val="19"/>
                <w:szCs w:val="19"/>
              </w:rPr>
            </w:pPr>
            <w:r w:rsidRPr="00CB2503">
              <w:rPr>
                <w:sz w:val="19"/>
                <w:szCs w:val="19"/>
              </w:rPr>
              <w:t>Prescriptive Equipment Program</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0.75</w:t>
            </w:r>
          </w:p>
        </w:tc>
        <w:tc>
          <w:tcPr>
            <w:tcW w:w="761" w:type="pct"/>
            <w:shd w:val="clear" w:color="auto" w:fill="D2EAF1"/>
            <w:noWrap/>
          </w:tcPr>
          <w:p w:rsidR="00B90CD9" w:rsidRPr="00CB2503" w:rsidRDefault="00B90CD9" w:rsidP="00B90CD9">
            <w:pPr>
              <w:jc w:val="center"/>
              <w:rPr>
                <w:bCs/>
                <w:color w:val="000000"/>
                <w:sz w:val="19"/>
                <w:szCs w:val="19"/>
              </w:rPr>
            </w:pPr>
            <w:r w:rsidRPr="00CB2503">
              <w:rPr>
                <w:sz w:val="19"/>
                <w:szCs w:val="19"/>
              </w:rPr>
              <w:t>0.74</w:t>
            </w:r>
          </w:p>
        </w:tc>
        <w:tc>
          <w:tcPr>
            <w:tcW w:w="885" w:type="pct"/>
            <w:shd w:val="clear" w:color="auto" w:fill="D2EAF1"/>
            <w:noWrap/>
          </w:tcPr>
          <w:p w:rsidR="00B90CD9" w:rsidRPr="00CB2503" w:rsidRDefault="00B90CD9" w:rsidP="00B90CD9">
            <w:pPr>
              <w:jc w:val="center"/>
              <w:rPr>
                <w:bCs/>
                <w:color w:val="000000"/>
                <w:sz w:val="19"/>
                <w:szCs w:val="19"/>
              </w:rPr>
            </w:pPr>
            <w:r w:rsidRPr="00CB2503">
              <w:rPr>
                <w:sz w:val="19"/>
                <w:szCs w:val="19"/>
              </w:rPr>
              <w:t>0.77</w:t>
            </w:r>
          </w:p>
        </w:tc>
      </w:tr>
      <w:tr w:rsidR="00B90CD9" w:rsidRPr="00CB2503" w:rsidTr="00CB2503">
        <w:trPr>
          <w:trHeight w:val="288"/>
        </w:trPr>
        <w:tc>
          <w:tcPr>
            <w:tcW w:w="780" w:type="pct"/>
            <w:vMerge/>
            <w:shd w:val="clear" w:color="auto" w:fill="D2EAF1"/>
          </w:tcPr>
          <w:p w:rsidR="00B90CD9" w:rsidRPr="00CB2503" w:rsidRDefault="00B90CD9" w:rsidP="00B90CD9">
            <w:pPr>
              <w:jc w:val="left"/>
              <w:rPr>
                <w:sz w:val="19"/>
                <w:szCs w:val="19"/>
              </w:rPr>
            </w:pPr>
          </w:p>
        </w:tc>
        <w:tc>
          <w:tcPr>
            <w:tcW w:w="1813" w:type="pct"/>
            <w:shd w:val="clear" w:color="auto" w:fill="auto"/>
            <w:noWrap/>
          </w:tcPr>
          <w:p w:rsidR="00B90CD9" w:rsidRPr="00CB2503" w:rsidRDefault="00B90CD9" w:rsidP="00B90CD9">
            <w:pPr>
              <w:jc w:val="left"/>
              <w:rPr>
                <w:sz w:val="19"/>
                <w:szCs w:val="19"/>
              </w:rPr>
            </w:pPr>
            <w:r w:rsidRPr="00CB2503">
              <w:rPr>
                <w:sz w:val="19"/>
                <w:szCs w:val="19"/>
              </w:rPr>
              <w:t>Custom Incentive Program</w:t>
            </w:r>
          </w:p>
        </w:tc>
        <w:tc>
          <w:tcPr>
            <w:tcW w:w="761" w:type="pct"/>
            <w:shd w:val="clear" w:color="auto" w:fill="auto"/>
            <w:noWrap/>
          </w:tcPr>
          <w:p w:rsidR="00B90CD9" w:rsidRPr="00CB2503" w:rsidRDefault="00B90CD9" w:rsidP="00B90CD9">
            <w:pPr>
              <w:jc w:val="center"/>
              <w:rPr>
                <w:sz w:val="19"/>
                <w:szCs w:val="19"/>
              </w:rPr>
            </w:pPr>
            <w:r w:rsidRPr="00CB2503">
              <w:rPr>
                <w:sz w:val="19"/>
                <w:szCs w:val="19"/>
              </w:rPr>
              <w:t>0.55</w:t>
            </w:r>
          </w:p>
        </w:tc>
        <w:tc>
          <w:tcPr>
            <w:tcW w:w="761" w:type="pct"/>
            <w:shd w:val="clear" w:color="auto" w:fill="auto"/>
            <w:noWrap/>
          </w:tcPr>
          <w:p w:rsidR="00B90CD9" w:rsidRPr="00CB2503" w:rsidRDefault="00B90CD9" w:rsidP="00B90CD9">
            <w:pPr>
              <w:jc w:val="center"/>
              <w:rPr>
                <w:sz w:val="19"/>
                <w:szCs w:val="19"/>
              </w:rPr>
            </w:pPr>
            <w:r w:rsidRPr="00CB2503">
              <w:rPr>
                <w:sz w:val="19"/>
                <w:szCs w:val="19"/>
              </w:rPr>
              <w:t>0.45</w:t>
            </w:r>
          </w:p>
        </w:tc>
        <w:tc>
          <w:tcPr>
            <w:tcW w:w="885" w:type="pct"/>
            <w:shd w:val="clear" w:color="auto" w:fill="auto"/>
            <w:noWrap/>
          </w:tcPr>
          <w:p w:rsidR="00B90CD9" w:rsidRPr="00CB2503" w:rsidRDefault="00B90CD9" w:rsidP="00B90CD9">
            <w:pPr>
              <w:jc w:val="center"/>
              <w:rPr>
                <w:sz w:val="19"/>
                <w:szCs w:val="19"/>
              </w:rPr>
            </w:pPr>
            <w:r w:rsidRPr="00CB2503">
              <w:rPr>
                <w:sz w:val="19"/>
                <w:szCs w:val="19"/>
              </w:rPr>
              <w:t>0.61</w:t>
            </w:r>
          </w:p>
        </w:tc>
      </w:tr>
      <w:tr w:rsidR="00A874AC" w:rsidRPr="00CB2503" w:rsidTr="00CB2503">
        <w:trPr>
          <w:trHeight w:val="288"/>
        </w:trPr>
        <w:tc>
          <w:tcPr>
            <w:tcW w:w="780" w:type="pct"/>
            <w:vMerge/>
            <w:shd w:val="clear" w:color="auto" w:fill="D2EAF1"/>
          </w:tcPr>
          <w:p w:rsidR="00B90CD9" w:rsidRPr="00CB2503" w:rsidRDefault="00B90CD9" w:rsidP="00B90CD9">
            <w:pPr>
              <w:jc w:val="left"/>
              <w:rPr>
                <w:sz w:val="19"/>
                <w:szCs w:val="19"/>
              </w:rPr>
            </w:pPr>
          </w:p>
        </w:tc>
        <w:tc>
          <w:tcPr>
            <w:tcW w:w="1813" w:type="pct"/>
            <w:shd w:val="clear" w:color="auto" w:fill="D2EAF1"/>
            <w:noWrap/>
          </w:tcPr>
          <w:p w:rsidR="00B90CD9" w:rsidRPr="00CB2503" w:rsidRDefault="00B90CD9" w:rsidP="00B90CD9">
            <w:pPr>
              <w:jc w:val="left"/>
              <w:rPr>
                <w:sz w:val="19"/>
                <w:szCs w:val="19"/>
              </w:rPr>
            </w:pPr>
            <w:r w:rsidRPr="00CB2503">
              <w:rPr>
                <w:sz w:val="19"/>
                <w:szCs w:val="19"/>
              </w:rPr>
              <w:t>School Benchmarking</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NS</w:t>
            </w:r>
            <w:r w:rsidRPr="00CB2503">
              <w:rPr>
                <w:sz w:val="19"/>
                <w:szCs w:val="19"/>
                <w:vertAlign w:val="superscript"/>
              </w:rPr>
              <w:t>[b]</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NS</w:t>
            </w:r>
          </w:p>
        </w:tc>
        <w:tc>
          <w:tcPr>
            <w:tcW w:w="885" w:type="pct"/>
            <w:shd w:val="clear" w:color="auto" w:fill="D2EAF1"/>
            <w:noWrap/>
          </w:tcPr>
          <w:p w:rsidR="00B90CD9" w:rsidRPr="00CB2503" w:rsidRDefault="00B90CD9" w:rsidP="00B90CD9">
            <w:pPr>
              <w:jc w:val="center"/>
              <w:rPr>
                <w:sz w:val="19"/>
                <w:szCs w:val="19"/>
              </w:rPr>
            </w:pPr>
            <w:r w:rsidRPr="00CB2503">
              <w:rPr>
                <w:sz w:val="19"/>
                <w:szCs w:val="19"/>
              </w:rPr>
              <w:t>NS</w:t>
            </w:r>
          </w:p>
        </w:tc>
      </w:tr>
      <w:tr w:rsidR="00B90CD9" w:rsidRPr="00CB2503" w:rsidTr="00CB2503">
        <w:trPr>
          <w:trHeight w:val="288"/>
        </w:trPr>
        <w:tc>
          <w:tcPr>
            <w:tcW w:w="780" w:type="pct"/>
            <w:vMerge/>
            <w:shd w:val="clear" w:color="auto" w:fill="D2EAF1"/>
          </w:tcPr>
          <w:p w:rsidR="00B90CD9" w:rsidRPr="00CB2503" w:rsidRDefault="00B90CD9" w:rsidP="00B90CD9">
            <w:pPr>
              <w:jc w:val="left"/>
              <w:rPr>
                <w:sz w:val="19"/>
                <w:szCs w:val="19"/>
              </w:rPr>
            </w:pPr>
          </w:p>
        </w:tc>
        <w:tc>
          <w:tcPr>
            <w:tcW w:w="1813" w:type="pct"/>
            <w:shd w:val="clear" w:color="auto" w:fill="auto"/>
            <w:noWrap/>
          </w:tcPr>
          <w:p w:rsidR="00B90CD9" w:rsidRPr="00CB2503" w:rsidRDefault="00B90CD9" w:rsidP="00B90CD9">
            <w:pPr>
              <w:jc w:val="left"/>
              <w:rPr>
                <w:sz w:val="19"/>
                <w:szCs w:val="19"/>
              </w:rPr>
            </w:pPr>
            <w:r w:rsidRPr="00CB2503">
              <w:rPr>
                <w:sz w:val="19"/>
                <w:szCs w:val="19"/>
              </w:rPr>
              <w:t>Master Metered Low-Income Multifamily (MMMF) Program</w:t>
            </w:r>
          </w:p>
        </w:tc>
        <w:tc>
          <w:tcPr>
            <w:tcW w:w="761" w:type="pct"/>
            <w:shd w:val="clear" w:color="auto" w:fill="auto"/>
            <w:noWrap/>
          </w:tcPr>
          <w:p w:rsidR="00B90CD9" w:rsidRPr="00CB2503" w:rsidRDefault="00B90CD9" w:rsidP="00B90CD9">
            <w:pPr>
              <w:jc w:val="center"/>
              <w:rPr>
                <w:sz w:val="19"/>
                <w:szCs w:val="19"/>
              </w:rPr>
            </w:pPr>
            <w:r w:rsidRPr="00CB2503">
              <w:rPr>
                <w:sz w:val="19"/>
                <w:szCs w:val="19"/>
              </w:rPr>
              <w:t>0.77</w:t>
            </w:r>
          </w:p>
        </w:tc>
        <w:tc>
          <w:tcPr>
            <w:tcW w:w="761" w:type="pct"/>
            <w:shd w:val="clear" w:color="auto" w:fill="auto"/>
            <w:noWrap/>
          </w:tcPr>
          <w:p w:rsidR="00B90CD9" w:rsidRPr="00CB2503" w:rsidRDefault="00B90CD9" w:rsidP="00B90CD9">
            <w:pPr>
              <w:jc w:val="center"/>
              <w:rPr>
                <w:bCs/>
                <w:color w:val="000000"/>
                <w:sz w:val="19"/>
                <w:szCs w:val="19"/>
              </w:rPr>
            </w:pPr>
            <w:r w:rsidRPr="00CB2503">
              <w:rPr>
                <w:sz w:val="19"/>
                <w:szCs w:val="19"/>
              </w:rPr>
              <w:t>0.86</w:t>
            </w:r>
          </w:p>
        </w:tc>
        <w:tc>
          <w:tcPr>
            <w:tcW w:w="885" w:type="pct"/>
            <w:shd w:val="clear" w:color="auto" w:fill="auto"/>
            <w:noWrap/>
          </w:tcPr>
          <w:p w:rsidR="00B90CD9" w:rsidRPr="00CB2503" w:rsidRDefault="00B90CD9" w:rsidP="00B90CD9">
            <w:pPr>
              <w:jc w:val="center"/>
              <w:rPr>
                <w:sz w:val="19"/>
                <w:szCs w:val="19"/>
              </w:rPr>
            </w:pPr>
            <w:r w:rsidRPr="00CB2503">
              <w:rPr>
                <w:sz w:val="19"/>
                <w:szCs w:val="19"/>
              </w:rPr>
              <w:t>*</w:t>
            </w:r>
          </w:p>
        </w:tc>
      </w:tr>
      <w:tr w:rsidR="00A874AC" w:rsidRPr="00CB2503" w:rsidTr="00CB2503">
        <w:trPr>
          <w:trHeight w:val="288"/>
        </w:trPr>
        <w:tc>
          <w:tcPr>
            <w:tcW w:w="780" w:type="pct"/>
            <w:vMerge/>
            <w:shd w:val="clear" w:color="auto" w:fill="D2EAF1"/>
          </w:tcPr>
          <w:p w:rsidR="00B90CD9" w:rsidRPr="00CB2503" w:rsidRDefault="00B90CD9" w:rsidP="00B90CD9">
            <w:pPr>
              <w:jc w:val="left"/>
              <w:rPr>
                <w:sz w:val="19"/>
                <w:szCs w:val="19"/>
              </w:rPr>
            </w:pPr>
          </w:p>
        </w:tc>
        <w:tc>
          <w:tcPr>
            <w:tcW w:w="1813" w:type="pct"/>
            <w:shd w:val="clear" w:color="auto" w:fill="D2EAF1"/>
            <w:noWrap/>
          </w:tcPr>
          <w:p w:rsidR="00B90CD9" w:rsidRPr="00CB2503" w:rsidRDefault="00B90CD9" w:rsidP="00B90CD9">
            <w:pPr>
              <w:jc w:val="left"/>
              <w:rPr>
                <w:sz w:val="19"/>
                <w:szCs w:val="19"/>
              </w:rPr>
            </w:pPr>
            <w:r w:rsidRPr="00CB2503">
              <w:rPr>
                <w:sz w:val="19"/>
                <w:szCs w:val="19"/>
              </w:rPr>
              <w:t>Continuous Energy Improvement (CEI) Program</w:t>
            </w:r>
          </w:p>
        </w:tc>
        <w:tc>
          <w:tcPr>
            <w:tcW w:w="761" w:type="pct"/>
            <w:shd w:val="clear" w:color="auto" w:fill="D2EAF1"/>
            <w:noWrap/>
          </w:tcPr>
          <w:p w:rsidR="00B90CD9" w:rsidRPr="00CB2503" w:rsidRDefault="00B90CD9" w:rsidP="00B90CD9">
            <w:pPr>
              <w:jc w:val="center"/>
              <w:rPr>
                <w:sz w:val="19"/>
                <w:szCs w:val="19"/>
              </w:rPr>
            </w:pPr>
            <w:r w:rsidRPr="00CB2503">
              <w:rPr>
                <w:sz w:val="19"/>
                <w:szCs w:val="19"/>
              </w:rPr>
              <w:t>N/A</w:t>
            </w:r>
          </w:p>
        </w:tc>
        <w:tc>
          <w:tcPr>
            <w:tcW w:w="761" w:type="pct"/>
            <w:shd w:val="clear" w:color="auto" w:fill="D2EAF1"/>
            <w:noWrap/>
          </w:tcPr>
          <w:p w:rsidR="00B90CD9" w:rsidRPr="00CB2503" w:rsidRDefault="00B90CD9" w:rsidP="00B90CD9">
            <w:pPr>
              <w:jc w:val="center"/>
              <w:rPr>
                <w:bCs/>
                <w:color w:val="000000"/>
                <w:sz w:val="19"/>
                <w:szCs w:val="19"/>
              </w:rPr>
            </w:pPr>
            <w:r w:rsidRPr="00CB2503">
              <w:rPr>
                <w:sz w:val="19"/>
                <w:szCs w:val="19"/>
              </w:rPr>
              <w:t>1.00</w:t>
            </w:r>
          </w:p>
        </w:tc>
        <w:tc>
          <w:tcPr>
            <w:tcW w:w="885" w:type="pct"/>
            <w:shd w:val="clear" w:color="auto" w:fill="D2EAF1"/>
            <w:noWrap/>
          </w:tcPr>
          <w:p w:rsidR="00B90CD9" w:rsidRPr="00CB2503" w:rsidRDefault="00B90CD9" w:rsidP="00B90CD9">
            <w:pPr>
              <w:jc w:val="center"/>
              <w:rPr>
                <w:sz w:val="19"/>
                <w:szCs w:val="19"/>
              </w:rPr>
            </w:pPr>
            <w:r w:rsidRPr="00CB2503">
              <w:rPr>
                <w:sz w:val="19"/>
                <w:szCs w:val="19"/>
              </w:rPr>
              <w:t>1.00</w:t>
            </w:r>
          </w:p>
        </w:tc>
      </w:tr>
      <w:tr w:rsidR="00B90CD9" w:rsidRPr="00CB2503" w:rsidTr="00CB2503">
        <w:trPr>
          <w:trHeight w:val="288"/>
        </w:trPr>
        <w:tc>
          <w:tcPr>
            <w:tcW w:w="2593" w:type="pct"/>
            <w:gridSpan w:val="2"/>
            <w:shd w:val="clear" w:color="auto" w:fill="auto"/>
          </w:tcPr>
          <w:p w:rsidR="00B90CD9" w:rsidRPr="00CB2503" w:rsidRDefault="00B90CD9" w:rsidP="00B90CD9">
            <w:pPr>
              <w:jc w:val="center"/>
              <w:rPr>
                <w:b/>
                <w:sz w:val="19"/>
                <w:szCs w:val="19"/>
              </w:rPr>
            </w:pPr>
            <w:r w:rsidRPr="00CB2503">
              <w:rPr>
                <w:b/>
                <w:color w:val="000000"/>
                <w:sz w:val="19"/>
                <w:szCs w:val="19"/>
              </w:rPr>
              <w:t>Portfolio</w:t>
            </w:r>
          </w:p>
        </w:tc>
        <w:tc>
          <w:tcPr>
            <w:tcW w:w="761" w:type="pct"/>
            <w:shd w:val="clear" w:color="auto" w:fill="auto"/>
            <w:noWrap/>
          </w:tcPr>
          <w:p w:rsidR="00B90CD9" w:rsidRPr="00CB2503" w:rsidRDefault="00B90CD9" w:rsidP="00B90CD9">
            <w:pPr>
              <w:jc w:val="center"/>
              <w:rPr>
                <w:b/>
                <w:bCs/>
                <w:color w:val="000000"/>
                <w:sz w:val="19"/>
                <w:szCs w:val="19"/>
              </w:rPr>
            </w:pPr>
            <w:r w:rsidRPr="00CB2503">
              <w:rPr>
                <w:b/>
                <w:bCs/>
                <w:color w:val="000000"/>
                <w:sz w:val="19"/>
                <w:szCs w:val="19"/>
              </w:rPr>
              <w:t>0.79</w:t>
            </w:r>
          </w:p>
        </w:tc>
        <w:tc>
          <w:tcPr>
            <w:tcW w:w="761" w:type="pct"/>
            <w:shd w:val="clear" w:color="auto" w:fill="auto"/>
            <w:noWrap/>
          </w:tcPr>
          <w:p w:rsidR="00B90CD9" w:rsidRPr="00CB2503" w:rsidRDefault="00B90CD9" w:rsidP="00B90CD9">
            <w:pPr>
              <w:jc w:val="center"/>
              <w:rPr>
                <w:b/>
                <w:bCs/>
                <w:color w:val="000000"/>
                <w:sz w:val="19"/>
                <w:szCs w:val="19"/>
              </w:rPr>
            </w:pPr>
            <w:r w:rsidRPr="00CB2503">
              <w:rPr>
                <w:b/>
                <w:bCs/>
                <w:color w:val="000000"/>
                <w:sz w:val="19"/>
                <w:szCs w:val="19"/>
              </w:rPr>
              <w:t>0.79</w:t>
            </w:r>
          </w:p>
        </w:tc>
        <w:tc>
          <w:tcPr>
            <w:tcW w:w="885" w:type="pct"/>
            <w:shd w:val="clear" w:color="auto" w:fill="auto"/>
            <w:noWrap/>
          </w:tcPr>
          <w:p w:rsidR="00B90CD9" w:rsidRPr="00CB2503" w:rsidRDefault="00B90CD9" w:rsidP="00B90CD9">
            <w:pPr>
              <w:jc w:val="center"/>
              <w:rPr>
                <w:b/>
                <w:sz w:val="19"/>
                <w:szCs w:val="19"/>
              </w:rPr>
            </w:pPr>
            <w:r w:rsidRPr="00CB2503">
              <w:rPr>
                <w:b/>
                <w:sz w:val="19"/>
                <w:szCs w:val="19"/>
              </w:rPr>
              <w:t>0.71</w:t>
            </w:r>
          </w:p>
        </w:tc>
      </w:tr>
      <w:tr w:rsidR="00E7173E" w:rsidRPr="00771798" w:rsidTr="00CB2503">
        <w:trPr>
          <w:trHeight w:val="288"/>
        </w:trPr>
        <w:tc>
          <w:tcPr>
            <w:tcW w:w="5000" w:type="pct"/>
            <w:gridSpan w:val="5"/>
            <w:shd w:val="clear" w:color="auto" w:fill="448A99"/>
          </w:tcPr>
          <w:p w:rsidR="00661E10" w:rsidRPr="00771798" w:rsidRDefault="00630371" w:rsidP="00661E10">
            <w:pPr>
              <w:jc w:val="left"/>
              <w:rPr>
                <w:color w:val="FFFFFF" w:themeColor="background1"/>
                <w:sz w:val="18"/>
                <w:szCs w:val="19"/>
              </w:rPr>
            </w:pPr>
            <w:r w:rsidRPr="00771798">
              <w:rPr>
                <w:color w:val="FFFFFF" w:themeColor="background1"/>
                <w:sz w:val="18"/>
                <w:szCs w:val="19"/>
              </w:rPr>
              <w:t>NOTES:</w:t>
            </w:r>
          </w:p>
          <w:p w:rsidR="00B90CD9" w:rsidRPr="00771798" w:rsidRDefault="00661E10" w:rsidP="00661E10">
            <w:pPr>
              <w:jc w:val="left"/>
              <w:rPr>
                <w:color w:val="FFFFFF" w:themeColor="background1"/>
                <w:sz w:val="18"/>
                <w:szCs w:val="19"/>
              </w:rPr>
            </w:pPr>
            <w:r w:rsidRPr="00771798">
              <w:rPr>
                <w:color w:val="FFFFFF" w:themeColor="background1"/>
                <w:sz w:val="18"/>
                <w:szCs w:val="19"/>
                <w:vertAlign w:val="superscript"/>
              </w:rPr>
              <w:t>[a]</w:t>
            </w:r>
            <w:r w:rsidRPr="00771798">
              <w:rPr>
                <w:color w:val="FFFFFF" w:themeColor="background1"/>
                <w:sz w:val="18"/>
                <w:szCs w:val="19"/>
              </w:rPr>
              <w:t xml:space="preserve"> Cadmus reported equipment (NTGR</w:t>
            </w:r>
            <w:r w:rsidR="00630371" w:rsidRPr="00771798">
              <w:rPr>
                <w:color w:val="FFFFFF" w:themeColor="background1"/>
                <w:sz w:val="18"/>
                <w:szCs w:val="19"/>
              </w:rPr>
              <w:t xml:space="preserve"> </w:t>
            </w:r>
            <w:r w:rsidRPr="00771798">
              <w:rPr>
                <w:color w:val="FFFFFF" w:themeColor="background1"/>
                <w:sz w:val="18"/>
                <w:szCs w:val="19"/>
              </w:rPr>
              <w:t>=</w:t>
            </w:r>
            <w:r w:rsidR="00630371" w:rsidRPr="00771798">
              <w:rPr>
                <w:color w:val="FFFFFF" w:themeColor="background1"/>
                <w:sz w:val="18"/>
                <w:szCs w:val="19"/>
              </w:rPr>
              <w:t xml:space="preserve"> </w:t>
            </w:r>
            <w:r w:rsidRPr="00771798">
              <w:rPr>
                <w:color w:val="FFFFFF" w:themeColor="background1"/>
                <w:sz w:val="18"/>
                <w:szCs w:val="19"/>
              </w:rPr>
              <w:t>0.57) and upstream lighting (NTGR</w:t>
            </w:r>
            <w:r w:rsidR="00630371" w:rsidRPr="00771798">
              <w:rPr>
                <w:color w:val="FFFFFF" w:themeColor="background1"/>
                <w:sz w:val="18"/>
                <w:szCs w:val="19"/>
              </w:rPr>
              <w:t xml:space="preserve"> </w:t>
            </w:r>
            <w:r w:rsidRPr="00771798">
              <w:rPr>
                <w:color w:val="FFFFFF" w:themeColor="background1"/>
                <w:sz w:val="18"/>
                <w:szCs w:val="19"/>
              </w:rPr>
              <w:t>=</w:t>
            </w:r>
            <w:r w:rsidR="00630371" w:rsidRPr="00771798">
              <w:rPr>
                <w:color w:val="FFFFFF" w:themeColor="background1"/>
                <w:sz w:val="18"/>
                <w:szCs w:val="19"/>
              </w:rPr>
              <w:t xml:space="preserve"> </w:t>
            </w:r>
            <w:r w:rsidRPr="00771798">
              <w:rPr>
                <w:color w:val="FFFFFF" w:themeColor="background1"/>
                <w:sz w:val="18"/>
                <w:szCs w:val="19"/>
              </w:rPr>
              <w:t>0.84) separately in PY5.</w:t>
            </w:r>
          </w:p>
          <w:p w:rsidR="00661E10" w:rsidRPr="00771798" w:rsidRDefault="00B90CD9" w:rsidP="00661E10">
            <w:pPr>
              <w:jc w:val="left"/>
              <w:rPr>
                <w:color w:val="FFFFFF" w:themeColor="background1"/>
                <w:sz w:val="18"/>
                <w:szCs w:val="19"/>
              </w:rPr>
            </w:pPr>
            <w:r w:rsidRPr="00771798">
              <w:rPr>
                <w:bCs/>
                <w:color w:val="FFFFFF"/>
                <w:sz w:val="18"/>
                <w:szCs w:val="19"/>
                <w:vertAlign w:val="superscript"/>
              </w:rPr>
              <w:t>[b]</w:t>
            </w:r>
            <w:r w:rsidRPr="00771798">
              <w:rPr>
                <w:bCs/>
                <w:color w:val="FFFFFF"/>
                <w:sz w:val="18"/>
                <w:szCs w:val="19"/>
              </w:rPr>
              <w:t xml:space="preserve"> NS denotes programs for which no savings are claimed.</w:t>
            </w:r>
          </w:p>
          <w:p w:rsidR="00661E10" w:rsidRPr="00771798" w:rsidRDefault="00661E10" w:rsidP="00661E10">
            <w:pPr>
              <w:jc w:val="left"/>
              <w:rPr>
                <w:color w:val="FFFFFF" w:themeColor="background1"/>
                <w:sz w:val="18"/>
                <w:szCs w:val="19"/>
              </w:rPr>
            </w:pPr>
            <w:r w:rsidRPr="00771798">
              <w:rPr>
                <w:color w:val="FFFFFF" w:themeColor="background1"/>
                <w:sz w:val="18"/>
                <w:szCs w:val="19"/>
              </w:rPr>
              <w:t>* Denotes programs/NTGRs that were not included in a given annual report.</w:t>
            </w:r>
          </w:p>
        </w:tc>
      </w:tr>
    </w:tbl>
    <w:p w:rsidR="00FB4D74" w:rsidRPr="00FB4D74" w:rsidRDefault="00FB4D74" w:rsidP="00FB4D74"/>
    <w:p w:rsidR="00D40FF6" w:rsidRDefault="00D40FF6" w:rsidP="00E673F0">
      <w:pPr>
        <w:pStyle w:val="Heading2"/>
      </w:pPr>
      <w:bookmarkStart w:id="429" w:name="_Toc472472134"/>
      <w:bookmarkStart w:id="430" w:name="_Toc488765829"/>
      <w:r>
        <w:t>Best Practices and Lessons Learned</w:t>
      </w:r>
      <w:bookmarkEnd w:id="429"/>
      <w:bookmarkEnd w:id="430"/>
      <w:r w:rsidRPr="00D40FF6">
        <w:t xml:space="preserve"> </w:t>
      </w:r>
    </w:p>
    <w:p w:rsidR="00215243" w:rsidRPr="008A5E9E" w:rsidRDefault="00215243" w:rsidP="00E673F0">
      <w:pPr>
        <w:pStyle w:val="Heading3"/>
      </w:pPr>
      <w:bookmarkStart w:id="431" w:name="_Toc472472135"/>
      <w:bookmarkStart w:id="432" w:name="_Toc488765830"/>
      <w:r w:rsidRPr="008A5E9E">
        <w:t>Evaluation, Measurement, and Verification Best Practices</w:t>
      </w:r>
      <w:bookmarkEnd w:id="431"/>
      <w:bookmarkEnd w:id="432"/>
    </w:p>
    <w:p w:rsidR="00215243" w:rsidRPr="00FB6015" w:rsidRDefault="00215243" w:rsidP="00215243">
      <w:r>
        <w:t>During Phase II t</w:t>
      </w:r>
      <w:r w:rsidRPr="00FB6015">
        <w:t>he SWE Team continued to search for and identify EM&amp;V best practices from across the United States that could be implemented in Pennsylvania. The following sections discuss examples of such best practices that the SWE Team has identified and that are now in place either</w:t>
      </w:r>
      <w:r>
        <w:t xml:space="preserve"> in</w:t>
      </w:r>
      <w:r w:rsidRPr="00FB6015">
        <w:t xml:space="preserve"> the SWE Evaluation Framework or the 2016 Pennsylvania TRM.</w:t>
      </w:r>
    </w:p>
    <w:p w:rsidR="00215243" w:rsidRPr="00FB6015" w:rsidRDefault="00215243" w:rsidP="00215243"/>
    <w:p w:rsidR="00215243" w:rsidRPr="008A5E9E" w:rsidRDefault="00215243" w:rsidP="00E673F0">
      <w:pPr>
        <w:pStyle w:val="Heading4"/>
      </w:pPr>
      <w:r w:rsidRPr="008A5E9E">
        <w:t>Department of Energy Uniform Method</w:t>
      </w:r>
      <w:r>
        <w:t>s</w:t>
      </w:r>
      <w:r w:rsidRPr="008A5E9E">
        <w:t xml:space="preserve"> Project Protocols</w:t>
      </w:r>
    </w:p>
    <w:p w:rsidR="00215243" w:rsidRPr="00FB6015" w:rsidRDefault="00215243" w:rsidP="00215243">
      <w:r w:rsidRPr="00FB6015">
        <w:t xml:space="preserve">The </w:t>
      </w:r>
      <w:r>
        <w:t>U.S.</w:t>
      </w:r>
      <w:r w:rsidRPr="00FB6015">
        <w:t xml:space="preserve"> DOE’s UMP</w:t>
      </w:r>
      <w:r w:rsidRPr="00FB6015">
        <w:rPr>
          <w:vertAlign w:val="superscript"/>
        </w:rPr>
        <w:footnoteReference w:id="28"/>
      </w:r>
      <w:r w:rsidRPr="00FB6015">
        <w:t xml:space="preserve"> develops M&amp;V protocols for evaluating program energy savings. The UMP includes all the major commercial and residential energy efficiency programs in the United S</w:t>
      </w:r>
      <w:r w:rsidR="00630371">
        <w:t>t</w:t>
      </w:r>
      <w:r w:rsidRPr="00FB6015">
        <w:t>ates. The DOE’s Office of Energy Efficiency and Renewable Energy leads the UMP, and the National Renewable Energy Laboratory manages the common components of the UMP. The protocols are developed with a combination of inputs from technical experts throughout the energy industry. Cadmus organizes this aspect of the project, and its goal is to promote the idea that using one specific M&amp;V protocol for calculating energy savings will increase the overall accuracy of reported savings.</w:t>
      </w:r>
      <w:r>
        <w:t xml:space="preserve"> The SWE Phase I and II project manager, Dick Spellman of GDS Associates, serves on the Technical Advisory Group that reviews new UMP protocols before they are finalized. </w:t>
      </w:r>
    </w:p>
    <w:p w:rsidR="00215243" w:rsidRPr="00FB6015" w:rsidRDefault="00215243" w:rsidP="00215243"/>
    <w:p w:rsidR="00215243" w:rsidRPr="00FB6015" w:rsidRDefault="00215243" w:rsidP="00215243">
      <w:r w:rsidRPr="00FB6015">
        <w:t>The SWE Team identified the UMP protocol for residential appliance recycling programs as one that should be adopted in Pennsylvania. It became evident that there was a need for a common approach among EDCs for determining free-ridership and net savings for appliance recycling programs. As a result, in PY5 the SWE</w:t>
      </w:r>
      <w:r>
        <w:t xml:space="preserve"> Team</w:t>
      </w:r>
      <w:r w:rsidRPr="00FB6015">
        <w:t xml:space="preserve"> issued</w:t>
      </w:r>
      <w:r>
        <w:t xml:space="preserve"> a guidance memo (</w:t>
      </w:r>
      <w:r w:rsidRPr="00FB6015">
        <w:t>GM-026</w:t>
      </w:r>
      <w:r>
        <w:t>)</w:t>
      </w:r>
      <w:r w:rsidRPr="00FB6015">
        <w:t xml:space="preserve"> </w:t>
      </w:r>
      <w:r>
        <w:t>that</w:t>
      </w:r>
      <w:r w:rsidRPr="00FB6015">
        <w:t xml:space="preserve"> incorporated the UMP protocol for determining free-ridership and net savings. It was then fully incorporated into the 2015 TRM as the protocol for determining both gross and net savings for residential refrigerator recycling.</w:t>
      </w:r>
    </w:p>
    <w:p w:rsidR="00215243" w:rsidRPr="00FB6015" w:rsidRDefault="00215243" w:rsidP="00215243"/>
    <w:p w:rsidR="00215243" w:rsidRDefault="00215243" w:rsidP="00215243">
      <w:r w:rsidRPr="00FB6015">
        <w:t>The UMP protocols for calculating savings for residential and commercial lighting recommend conducting metering studies to determine</w:t>
      </w:r>
      <w:r w:rsidR="006A3F1F">
        <w:t xml:space="preserve"> hours of use</w:t>
      </w:r>
      <w:r w:rsidRPr="00FB6015">
        <w:t xml:space="preserve"> </w:t>
      </w:r>
      <w:r w:rsidR="006A3F1F">
        <w:t>(</w:t>
      </w:r>
      <w:r w:rsidRPr="00FB6015">
        <w:t>HOUs</w:t>
      </w:r>
      <w:r w:rsidR="006A3F1F">
        <w:t>)</w:t>
      </w:r>
      <w:r w:rsidRPr="00FB6015">
        <w:t xml:space="preserve"> for such equipment. In following these guidelines, the SWE conducted comprehensive, Pennsylvania-specific residential and commercial lighting studies at the beginning of Phase II to collect HOU data for lighting. The HOU and</w:t>
      </w:r>
      <w:r w:rsidR="000073C3">
        <w:t xml:space="preserve"> coincidence factor (</w:t>
      </w:r>
      <w:r w:rsidRPr="00FB6015">
        <w:t>CF</w:t>
      </w:r>
      <w:r w:rsidR="000073C3">
        <w:t>)</w:t>
      </w:r>
      <w:r w:rsidRPr="00FB6015">
        <w:t xml:space="preserve"> results from these studies are now incorporated into the 2016 </w:t>
      </w:r>
      <w:r>
        <w:t>Pennsylvania</w:t>
      </w:r>
      <w:r w:rsidRPr="00FB6015">
        <w:t xml:space="preserve"> TRM.</w:t>
      </w:r>
    </w:p>
    <w:p w:rsidR="00771798" w:rsidRDefault="00771798" w:rsidP="00215243"/>
    <w:p w:rsidR="00215243" w:rsidRDefault="00215243" w:rsidP="00215243">
      <w:r w:rsidRPr="00FB6015">
        <w:t>The SWE</w:t>
      </w:r>
      <w:r>
        <w:t xml:space="preserve"> Team</w:t>
      </w:r>
      <w:r w:rsidRPr="00FB6015">
        <w:t xml:space="preserve"> manages a Technical Working Group (TWG) to discuss and approve the inclusion of UMP protocols on a case-by-case basis. A thorough vetting of the applicability of each protocol for Pennsylvania is organized and accomplished by parties from the EDCs and their </w:t>
      </w:r>
      <w:r>
        <w:rPr>
          <w:color w:val="000000"/>
        </w:rPr>
        <w:t>evaluation contractors</w:t>
      </w:r>
      <w:r w:rsidRPr="00FB6015">
        <w:t xml:space="preserve">, the TUS, and members of the SWE Team. All protocols are opened to public comment before incorporation into the </w:t>
      </w:r>
      <w:r>
        <w:t xml:space="preserve">Pennsylvania </w:t>
      </w:r>
      <w:r w:rsidRPr="00FB6015">
        <w:t>TRM.</w:t>
      </w:r>
    </w:p>
    <w:p w:rsidR="00771798" w:rsidRPr="00FB6015" w:rsidRDefault="00771798" w:rsidP="00215243"/>
    <w:p w:rsidR="00215243" w:rsidRPr="008A5E9E" w:rsidRDefault="00215243" w:rsidP="00E673F0">
      <w:pPr>
        <w:pStyle w:val="Heading4"/>
      </w:pPr>
      <w:r w:rsidRPr="008A5E9E">
        <w:t>Net-to-Gross Protocols</w:t>
      </w:r>
    </w:p>
    <w:p w:rsidR="00215243" w:rsidRPr="00FB6015" w:rsidRDefault="00215243" w:rsidP="00215243">
      <w:r w:rsidRPr="00FB6015">
        <w:t xml:space="preserve">The </w:t>
      </w:r>
      <w:r>
        <w:t xml:space="preserve">Phase II </w:t>
      </w:r>
      <w:r w:rsidRPr="00FB6015">
        <w:t>SWE Team worked with the Pennsylvania NTG TWG to identify and develop best practices for developing NTG</w:t>
      </w:r>
      <w:r>
        <w:t>Rs</w:t>
      </w:r>
      <w:r w:rsidRPr="00FB6015">
        <w:t xml:space="preserve"> for different types of energy efficiency programs. The SWE Team emphasized that the lack of a common approach would lead to different NTG</w:t>
      </w:r>
      <w:r>
        <w:t>R</w:t>
      </w:r>
      <w:r w:rsidRPr="00FB6015">
        <w:t xml:space="preserve">s, and thus the group concentrated on discussing the pros and cons of different protocols from other states and the viability of measure-level assessments for Phase III. </w:t>
      </w:r>
    </w:p>
    <w:p w:rsidR="00215243" w:rsidRPr="00FB6015" w:rsidRDefault="00215243" w:rsidP="00215243"/>
    <w:p w:rsidR="00215243" w:rsidRPr="00FB6015" w:rsidRDefault="00215243" w:rsidP="00215243">
      <w:r w:rsidRPr="00FB6015">
        <w:t xml:space="preserve">This NTG protocol has been adopted by the TWG, and EDCs </w:t>
      </w:r>
      <w:r>
        <w:t>used</w:t>
      </w:r>
      <w:r w:rsidRPr="00FB6015">
        <w:t xml:space="preserve"> this NTG protocol in Phase II EM&amp;V plans. The SWE</w:t>
      </w:r>
      <w:r>
        <w:t xml:space="preserve"> Team</w:t>
      </w:r>
      <w:r w:rsidRPr="00FB6015">
        <w:t xml:space="preserve"> also determined that the TWG</w:t>
      </w:r>
      <w:r>
        <w:t xml:space="preserve"> is</w:t>
      </w:r>
      <w:r w:rsidRPr="00FB6015">
        <w:t xml:space="preserve"> a beneficial source of feedback from the EDCs on NTG issues and should be an integral part of the planning process. </w:t>
      </w:r>
    </w:p>
    <w:p w:rsidR="00215243" w:rsidRPr="00FB6015" w:rsidRDefault="00215243" w:rsidP="00215243">
      <w:r w:rsidRPr="00FB6015">
        <w:t xml:space="preserve"> </w:t>
      </w:r>
    </w:p>
    <w:p w:rsidR="00215243" w:rsidRPr="008A5E9E" w:rsidRDefault="00215243" w:rsidP="00E673F0">
      <w:pPr>
        <w:pStyle w:val="Heading4"/>
      </w:pPr>
      <w:r w:rsidRPr="008A5E9E">
        <w:t>Residential Site</w:t>
      </w:r>
      <w:r>
        <w:t>-</w:t>
      </w:r>
      <w:r w:rsidRPr="008A5E9E">
        <w:t>Inspection Protocols</w:t>
      </w:r>
    </w:p>
    <w:p w:rsidR="00215243" w:rsidRPr="008A5E9E" w:rsidRDefault="00215243" w:rsidP="00215243">
      <w:pPr>
        <w:rPr>
          <w:highlight w:val="lightGray"/>
        </w:rPr>
      </w:pPr>
      <w:r w:rsidRPr="00FB6015">
        <w:t xml:space="preserve">The </w:t>
      </w:r>
      <w:r>
        <w:t xml:space="preserve">Phase II </w:t>
      </w:r>
      <w:r w:rsidRPr="00FB6015">
        <w:t xml:space="preserve">SWE identified best practices for making better use of residential on-site inspection results collected by EDCs, EDC implementation contractors, or EDC evaluation contractors. During Phase II the SWE has significantly clarified how EDCs are to collect and report the results of such EDC-sponsored residential on-site inspections. During Phase I the results of such inspections were not routinely collected into a central EDC database, and during Phase I EDCs could not readily provide statistics to the SWE on the percentage of inspections conducted that showed discrepancies. Additionally, the SWE conducted its own independent site visits, the results of which were not statistically significant and which potentially duplicated the EDC </w:t>
      </w:r>
      <w:r>
        <w:rPr>
          <w:color w:val="000000"/>
        </w:rPr>
        <w:t>evaluation contractors’</w:t>
      </w:r>
      <w:r w:rsidRPr="00D85274">
        <w:rPr>
          <w:color w:val="000000"/>
        </w:rPr>
        <w:t xml:space="preserve"> </w:t>
      </w:r>
      <w:r w:rsidRPr="00FB6015">
        <w:t>visits. Now the SWE has more transparent data</w:t>
      </w:r>
      <w:r>
        <w:t xml:space="preserve"> provided by the EDCs</w:t>
      </w:r>
      <w:r w:rsidRPr="00FB6015">
        <w:t xml:space="preserve"> on the number and percentage of EDC inspections where equipment is reported as being installed or not installed, along with other discrepancies.</w:t>
      </w:r>
      <w:r>
        <w:rPr>
          <w:rStyle w:val="FootnoteReference"/>
        </w:rPr>
        <w:footnoteReference w:id="29"/>
      </w:r>
      <w:r w:rsidRPr="00FB6015">
        <w:t xml:space="preserve"> Therefore, the SWE is focusing its resources on reviewing the results gleaned from the extensive </w:t>
      </w:r>
      <w:r>
        <w:t>on-</w:t>
      </w:r>
      <w:r w:rsidRPr="00FB6015">
        <w:t xml:space="preserve">site visits already being performed </w:t>
      </w:r>
      <w:r>
        <w:t>by the EDCs and their implementation contractors or evaluation contractors</w:t>
      </w:r>
      <w:r w:rsidRPr="00FB6015">
        <w:t>.</w:t>
      </w:r>
    </w:p>
    <w:p w:rsidR="00215243" w:rsidRDefault="00215243" w:rsidP="00215243">
      <w:pPr>
        <w:pStyle w:val="AppendixFHeading2"/>
        <w:numPr>
          <w:ilvl w:val="0"/>
          <w:numId w:val="0"/>
        </w:numPr>
        <w:rPr>
          <w:rFonts w:ascii="Calibri" w:hAnsi="Calibri"/>
          <w:b w:val="0"/>
          <w:color w:val="auto"/>
        </w:rPr>
      </w:pPr>
    </w:p>
    <w:p w:rsidR="00215243" w:rsidRPr="008A5E9E" w:rsidRDefault="00215243" w:rsidP="00E673F0">
      <w:pPr>
        <w:pStyle w:val="Heading4"/>
      </w:pPr>
      <w:r w:rsidRPr="008A5E9E">
        <w:t>Lighting Audit Tool</w:t>
      </w:r>
    </w:p>
    <w:p w:rsidR="00215243" w:rsidRPr="00FB6015" w:rsidRDefault="00215243" w:rsidP="00215243">
      <w:pPr>
        <w:rPr>
          <w:rFonts w:cs="Calibri"/>
        </w:rPr>
      </w:pPr>
      <w:r w:rsidRPr="00FB6015">
        <w:rPr>
          <w:rFonts w:cs="Calibri"/>
        </w:rPr>
        <w:t xml:space="preserve">A significant update was made to the TRM Appendix C </w:t>
      </w:r>
      <w:r>
        <w:rPr>
          <w:rFonts w:cs="Calibri"/>
        </w:rPr>
        <w:t>l</w:t>
      </w:r>
      <w:r w:rsidRPr="00FB6015">
        <w:rPr>
          <w:rFonts w:cs="Calibri"/>
        </w:rPr>
        <w:t xml:space="preserve">ighting </w:t>
      </w:r>
      <w:r>
        <w:rPr>
          <w:rFonts w:cs="Calibri"/>
        </w:rPr>
        <w:t>c</w:t>
      </w:r>
      <w:r w:rsidRPr="00FB6015">
        <w:rPr>
          <w:rFonts w:cs="Calibri"/>
        </w:rPr>
        <w:t xml:space="preserve">alculator during PY6 based on numerous industry best practices as well as feedback from the EDCs and their </w:t>
      </w:r>
      <w:r>
        <w:rPr>
          <w:color w:val="000000"/>
        </w:rPr>
        <w:t>evaluation contractors</w:t>
      </w:r>
      <w:r w:rsidRPr="00FB6015">
        <w:rPr>
          <w:rFonts w:cs="Calibri"/>
        </w:rPr>
        <w:t>. The</w:t>
      </w:r>
      <w:r>
        <w:rPr>
          <w:rFonts w:cs="Calibri"/>
        </w:rPr>
        <w:t>se</w:t>
      </w:r>
      <w:r w:rsidRPr="00FB6015">
        <w:rPr>
          <w:rFonts w:cs="Calibri"/>
        </w:rPr>
        <w:t xml:space="preserve"> modifications help</w:t>
      </w:r>
      <w:r>
        <w:rPr>
          <w:rFonts w:cs="Calibri"/>
        </w:rPr>
        <w:t>ed</w:t>
      </w:r>
      <w:r w:rsidRPr="00FB6015">
        <w:rPr>
          <w:rFonts w:cs="Calibri"/>
        </w:rPr>
        <w:t xml:space="preserve"> address the dual baseline issue encountered during some lighting retrofits and how to account for the savings in a concise manner.</w:t>
      </w:r>
    </w:p>
    <w:p w:rsidR="00215243" w:rsidRDefault="00215243" w:rsidP="00215243">
      <w:pPr>
        <w:pStyle w:val="AppendixFHeading2"/>
        <w:numPr>
          <w:ilvl w:val="0"/>
          <w:numId w:val="0"/>
        </w:numPr>
        <w:rPr>
          <w:rFonts w:ascii="Calibri" w:hAnsi="Calibri"/>
          <w:b w:val="0"/>
          <w:color w:val="auto"/>
        </w:rPr>
      </w:pPr>
    </w:p>
    <w:p w:rsidR="00215243" w:rsidRPr="008A5E9E" w:rsidRDefault="00215243" w:rsidP="00E673F0">
      <w:pPr>
        <w:pStyle w:val="Heading4"/>
      </w:pPr>
      <w:r w:rsidRPr="008A5E9E">
        <w:t>Demand Response Protocols</w:t>
      </w:r>
    </w:p>
    <w:p w:rsidR="00215243" w:rsidRPr="008A5E9E" w:rsidRDefault="00215243" w:rsidP="00215243">
      <w:pPr>
        <w:rPr>
          <w:rFonts w:eastAsia="MS Gothic"/>
        </w:rPr>
      </w:pPr>
      <w:r w:rsidRPr="008A5E9E">
        <w:rPr>
          <w:rFonts w:eastAsia="MS Gothic"/>
        </w:rPr>
        <w:t xml:space="preserve">Phase III of Act 129 includes goals for peak demand reduction through demand response. In order to consistently govern and determine savings for these programs, the SWE drafted both residential and commercial demand response measures that are included in the 2016 TRM. As foundations for these protocols, the SWE used existing guidelines established by the PJM </w:t>
      </w:r>
      <w:r>
        <w:rPr>
          <w:rFonts w:eastAsia="MS Gothic"/>
        </w:rPr>
        <w:t>Interconnection, LLC,</w:t>
      </w:r>
      <w:r w:rsidRPr="008A5E9E">
        <w:rPr>
          <w:rFonts w:eastAsia="MS Gothic"/>
        </w:rPr>
        <w:t xml:space="preserve"> regional transmission organization. PJM’s long-standing and constantly updated guidelines for estimating savings attributed to demand response are industry standard and serve as a best practice for these types of programs. For residential programs, the SWE built the protocol </w:t>
      </w:r>
      <w:r w:rsidR="00AF6D8F">
        <w:rPr>
          <w:rFonts w:eastAsia="MS Gothic"/>
        </w:rPr>
        <w:t>using</w:t>
      </w:r>
      <w:r w:rsidRPr="008A5E9E">
        <w:rPr>
          <w:rFonts w:eastAsia="MS Gothic"/>
        </w:rPr>
        <w:t xml:space="preserve"> PJM Manual 19, which governs load forecasting and analysis. For C/I programs, the SWE built the protocol </w:t>
      </w:r>
      <w:r w:rsidR="00AF6D8F">
        <w:rPr>
          <w:rFonts w:eastAsia="MS Gothic"/>
        </w:rPr>
        <w:t>using</w:t>
      </w:r>
      <w:r w:rsidRPr="008A5E9E">
        <w:rPr>
          <w:rFonts w:eastAsia="MS Gothic"/>
        </w:rPr>
        <w:t xml:space="preserve"> PJM Manual 11.</w:t>
      </w:r>
    </w:p>
    <w:p w:rsidR="00215243" w:rsidRPr="008A5E9E" w:rsidRDefault="00215243" w:rsidP="00215243">
      <w:pPr>
        <w:rPr>
          <w:rFonts w:eastAsia="MS Gothic"/>
        </w:rPr>
      </w:pPr>
    </w:p>
    <w:p w:rsidR="00215243" w:rsidRPr="008A5E9E" w:rsidRDefault="00215243" w:rsidP="00E673F0">
      <w:pPr>
        <w:pStyle w:val="Heading4"/>
      </w:pPr>
      <w:r w:rsidRPr="008A5E9E">
        <w:t>Best Practices Workshop</w:t>
      </w:r>
    </w:p>
    <w:p w:rsidR="00215243" w:rsidRDefault="00215243" w:rsidP="00215243">
      <w:r>
        <w:t>To assist EDCs and their evaluation contractors in planning and carrying out effective process evaluations, the SWE Team presented a workshop on best practices in process and market evaluations during the quarterly</w:t>
      </w:r>
      <w:r w:rsidR="000073C3">
        <w:t xml:space="preserve"> Program Evaluation Group</w:t>
      </w:r>
      <w:r>
        <w:t xml:space="preserve"> </w:t>
      </w:r>
      <w:r w:rsidR="000073C3">
        <w:t>(</w:t>
      </w:r>
      <w:r>
        <w:t>PEG</w:t>
      </w:r>
      <w:r w:rsidR="000073C3">
        <w:t>)</w:t>
      </w:r>
      <w:r>
        <w:t xml:space="preserve"> meeting held on June 20, 2014. In this workshop, the SWE Team identified four areas of best practice: design of the process evaluation, execution of the process evaluation, the process evaluation report, and the response to the report. </w:t>
      </w:r>
    </w:p>
    <w:p w:rsidR="00215243" w:rsidRDefault="00215243" w:rsidP="00215243"/>
    <w:p w:rsidR="00215243" w:rsidRDefault="00215243" w:rsidP="00215243">
      <w:r>
        <w:t>The SWE Team identified several protocols and guidelines for process evaluations, including the New York Process Evaluation Protocols</w:t>
      </w:r>
      <w:r w:rsidR="000073C3">
        <w:t>, which the June 2015 Phase II Evaluation F</w:t>
      </w:r>
      <w:r>
        <w:t xml:space="preserve">ramework references. Based on the New York protocols, the workshop summarized best practices relating to whom to include in planning, when to conduct process evaluations, ongoing monitoring, and important process evaluation activities. The workshop also covered program logic modeling, which is not mentioned in the New York protocols. </w:t>
      </w:r>
    </w:p>
    <w:p w:rsidR="00215243" w:rsidRDefault="00215243" w:rsidP="00215243"/>
    <w:p w:rsidR="00215243" w:rsidRDefault="00215243" w:rsidP="00215243">
      <w:r>
        <w:t xml:space="preserve">Finally, the workshop included a guided discussion of lessons learned about best practices. Discussion topics covered timing of evaluations; important research questions to address; the use of process evaluation as a management tool; the evaluation scope and execution; and evaluation reporting, including recommendations and the program staff’s response. </w:t>
      </w:r>
    </w:p>
    <w:p w:rsidR="00FB4D74" w:rsidRPr="00FB4D74" w:rsidRDefault="00FB4D74" w:rsidP="00FB4D74"/>
    <w:p w:rsidR="00D40FF6" w:rsidRDefault="00D40FF6" w:rsidP="00E673F0">
      <w:pPr>
        <w:pStyle w:val="Heading2"/>
      </w:pPr>
      <w:bookmarkStart w:id="433" w:name="_Toc472472136"/>
      <w:bookmarkStart w:id="434" w:name="_Toc488765831"/>
      <w:r>
        <w:t>Technical Reference Manual</w:t>
      </w:r>
      <w:bookmarkEnd w:id="433"/>
      <w:bookmarkEnd w:id="434"/>
    </w:p>
    <w:p w:rsidR="004C6E59" w:rsidRDefault="004C6E59" w:rsidP="004C6E59">
      <w:r>
        <w:t xml:space="preserve">The Pennsylvania </w:t>
      </w:r>
      <w:r w:rsidR="000073C3">
        <w:t>TRM</w:t>
      </w:r>
      <w:r>
        <w:t xml:space="preserve"> was not updated in PY7, as the design for the Phase III TRM (to be in effect for PY8) was completed during PY6. The Phase III, or 2016 TRM</w:t>
      </w:r>
      <w:r w:rsidR="00C81F40">
        <w:t xml:space="preserve">, </w:t>
      </w:r>
      <w:r>
        <w:t xml:space="preserve">became </w:t>
      </w:r>
      <w:r w:rsidRPr="00922B8C">
        <w:t>effective June 1, 201</w:t>
      </w:r>
      <w:r>
        <w:t xml:space="preserve">6 and contained protocols that were designed to align with the potential shifts in policy or code legislation for a large portion of the phase, without the need for significant modification. </w:t>
      </w:r>
      <w:r w:rsidRPr="00922B8C">
        <w:t>The 201</w:t>
      </w:r>
      <w:r>
        <w:t>6</w:t>
      </w:r>
      <w:r w:rsidRPr="00922B8C">
        <w:t xml:space="preserve"> TRM Final Order (with manual and appendices) was approved</w:t>
      </w:r>
      <w:r>
        <w:t xml:space="preserve"> early in PY7,</w:t>
      </w:r>
      <w:r w:rsidRPr="00922B8C">
        <w:t xml:space="preserve"> on </w:t>
      </w:r>
      <w:r>
        <w:t>July 8</w:t>
      </w:r>
      <w:r w:rsidRPr="00922B8C">
        <w:t>, 201</w:t>
      </w:r>
      <w:r>
        <w:t>5</w:t>
      </w:r>
      <w:r w:rsidRPr="00922B8C">
        <w:t>.</w:t>
      </w:r>
    </w:p>
    <w:p w:rsidR="004C6E59" w:rsidRPr="00922B8C" w:rsidRDefault="004C6E59" w:rsidP="007631BE">
      <w:pPr>
        <w:spacing w:after="120"/>
      </w:pPr>
      <w:r>
        <w:t xml:space="preserve">The TRM Working Group was active, however, during PY7 and engaged both the Phase II and Phase III SWE for a collaborative effort to design an Interim Measure Protocol (IMP) to address the learning or </w:t>
      </w:r>
      <w:r w:rsidR="006D1E4D">
        <w:t>s</w:t>
      </w:r>
      <w:r>
        <w:t xml:space="preserve">mart thermostat savings potential, as requested by the EDCs and their </w:t>
      </w:r>
      <w:r w:rsidRPr="006A5AC1">
        <w:t>evaluation contractor</w:t>
      </w:r>
      <w:r>
        <w:t xml:space="preserve">s. Formal written comments were collected from all Working Group participants and were discussed with the </w:t>
      </w:r>
      <w:r w:rsidRPr="007B1FA1">
        <w:t>TUS</w:t>
      </w:r>
      <w:r>
        <w:t xml:space="preserve">. Multiple facets of the measure design were analyzed and compared </w:t>
      </w:r>
      <w:r w:rsidR="000073C3">
        <w:t xml:space="preserve">with </w:t>
      </w:r>
      <w:r>
        <w:t>recent studies across the country, in an effort to provide deemed savings values in accordance with the TRM design. A substantial portion of the analysis focused on the following characteristics of the measure protocols:</w:t>
      </w:r>
    </w:p>
    <w:p w:rsidR="004C6E59" w:rsidRPr="00922B8C" w:rsidRDefault="004C6E59" w:rsidP="00CB2503">
      <w:pPr>
        <w:numPr>
          <w:ilvl w:val="0"/>
          <w:numId w:val="61"/>
        </w:numPr>
        <w:spacing w:after="60"/>
        <w:ind w:left="360"/>
      </w:pPr>
      <w:r>
        <w:t>The definitions of “smart” or “learning” and “</w:t>
      </w:r>
      <w:r w:rsidR="007631BE">
        <w:t>Wi-Fi</w:t>
      </w:r>
      <w:r>
        <w:t xml:space="preserve"> enabled” as they relate to the current industry thermostat offerings, and how those definitions continue to evolve.</w:t>
      </w:r>
    </w:p>
    <w:p w:rsidR="004C6E59" w:rsidRPr="00922B8C" w:rsidRDefault="004C6E59" w:rsidP="00CB2503">
      <w:pPr>
        <w:numPr>
          <w:ilvl w:val="0"/>
          <w:numId w:val="61"/>
        </w:numPr>
        <w:spacing w:after="60"/>
        <w:ind w:left="360"/>
      </w:pPr>
      <w:r>
        <w:t>Whether the “geo-fencing” feature should be included as a prerequisite for the technology and the approach to deemed savings in the measure. Significant discussion also occurred around the pros and cons of the occupancy-sensing capabilities of the current technologies.</w:t>
      </w:r>
    </w:p>
    <w:p w:rsidR="004C6E59" w:rsidRDefault="004C6E59" w:rsidP="00CB2503">
      <w:pPr>
        <w:numPr>
          <w:ilvl w:val="0"/>
          <w:numId w:val="61"/>
        </w:numPr>
        <w:spacing w:after="60"/>
        <w:ind w:left="360"/>
      </w:pPr>
      <w:r>
        <w:t xml:space="preserve">The variation in savings factors that were found in the industry studies collected and the viability of a de-rate factor for the IMP. </w:t>
      </w:r>
    </w:p>
    <w:p w:rsidR="004C6E59" w:rsidRDefault="004C6E59" w:rsidP="00E646C9">
      <w:pPr>
        <w:numPr>
          <w:ilvl w:val="0"/>
          <w:numId w:val="61"/>
        </w:numPr>
        <w:ind w:left="360"/>
      </w:pPr>
      <w:r>
        <w:t>Equipment characteristics of the participant populations and the primary fuel sources for heating and cooling.</w:t>
      </w:r>
    </w:p>
    <w:p w:rsidR="0055637D" w:rsidRDefault="0055637D" w:rsidP="004C6E59"/>
    <w:p w:rsidR="004C6E59" w:rsidRDefault="004C6E59" w:rsidP="004C6E59">
      <w:r>
        <w:t xml:space="preserve">The TRM Working Group also developed an IMP designed to augment the existing refrigerator recycling measure, so that it can address a direct-install program designed for low-income participants. Comments were collected, and a final version of the IMP was released on July 20, 2016. </w:t>
      </w:r>
    </w:p>
    <w:p w:rsidR="00CB2503" w:rsidRPr="00FB4D74" w:rsidRDefault="00CB2503" w:rsidP="00FB4D74"/>
    <w:p w:rsidR="00AC2B6F" w:rsidRDefault="00D40FF6" w:rsidP="00E673F0">
      <w:pPr>
        <w:pStyle w:val="Heading2"/>
      </w:pPr>
      <w:bookmarkStart w:id="435" w:name="_Toc472472137"/>
      <w:bookmarkStart w:id="436" w:name="_Toc488765832"/>
      <w:r>
        <w:t>Recommendations for Program Improvements for Subsequent ACT 129 Phases</w:t>
      </w:r>
      <w:bookmarkEnd w:id="435"/>
      <w:bookmarkEnd w:id="436"/>
    </w:p>
    <w:p w:rsidR="00C24970" w:rsidRDefault="00980869" w:rsidP="00C24970">
      <w:r w:rsidRPr="00980869">
        <w:t>One of the key contractual responsibilities of the Phase II SWE is to make recommendations for Act 129 program modifications and improvements. This section presents recommendations for program improvements based on a literature search of recent energy efficiency and demand response papers presented at major national conferences.</w:t>
      </w:r>
    </w:p>
    <w:p w:rsidR="00C24970" w:rsidRPr="00C73237" w:rsidRDefault="00C24970" w:rsidP="00C24970">
      <w:pPr>
        <w:rPr>
          <w:rFonts w:asciiTheme="minorHAnsi" w:hAnsiTheme="minorHAnsi"/>
          <w:b/>
          <w:smallCaps/>
        </w:rPr>
      </w:pPr>
    </w:p>
    <w:p w:rsidR="00C24970" w:rsidRPr="003B49C7" w:rsidRDefault="00C24970" w:rsidP="00E673F0">
      <w:pPr>
        <w:pStyle w:val="Heading3"/>
      </w:pPr>
      <w:bookmarkStart w:id="437" w:name="_Toc472472138"/>
      <w:bookmarkStart w:id="438" w:name="_Toc488765833"/>
      <w:r w:rsidRPr="003B49C7">
        <w:t>Emerging Ideas in Program Design and Implementation</w:t>
      </w:r>
      <w:bookmarkEnd w:id="437"/>
      <w:bookmarkEnd w:id="438"/>
    </w:p>
    <w:p w:rsidR="00C24970" w:rsidRPr="00FB6015" w:rsidRDefault="00C24970" w:rsidP="00C24970">
      <w:r w:rsidRPr="007F6D49">
        <w:t>In order to fulfi</w:t>
      </w:r>
      <w:r>
        <w:t>l</w:t>
      </w:r>
      <w:r w:rsidRPr="007F6D49">
        <w:t>l the SWE’s contractual obligation to provide recommendations for program improvements</w:t>
      </w:r>
      <w:r>
        <w:t>, t</w:t>
      </w:r>
      <w:r w:rsidRPr="00FB6015">
        <w:t>he SWE</w:t>
      </w:r>
      <w:r>
        <w:t xml:space="preserve"> Team</w:t>
      </w:r>
      <w:r w:rsidRPr="00FB6015">
        <w:t xml:space="preserve"> reviewed recent industry literature, focusing on identifying emerging trends in program design and implementation. This review sought to identify emerging program approaches that the Pennsylvania EDCs may wish to consider, recognizing that the context in which each program operates is unique and that an approach that is promising in one area may not succeed in another area.</w:t>
      </w:r>
    </w:p>
    <w:p w:rsidR="00C24970" w:rsidRPr="00FB6015" w:rsidRDefault="00C24970" w:rsidP="00C24970">
      <w:r w:rsidRPr="00FB6015">
        <w:t xml:space="preserve"> </w:t>
      </w:r>
    </w:p>
    <w:p w:rsidR="00C24970" w:rsidRDefault="00C24970" w:rsidP="00C24970">
      <w:r w:rsidRPr="00FB6015" w:rsidDel="006D6256">
        <w:t>T</w:t>
      </w:r>
      <w:r w:rsidRPr="00FB6015">
        <w:t xml:space="preserve">he SWE Team reviewed the proceedings of the 2014 </w:t>
      </w:r>
      <w:r>
        <w:t>American Council for an Energy-Efficient Economy</w:t>
      </w:r>
      <w:r w:rsidRPr="00FB6015">
        <w:t xml:space="preserve"> (ACEEE) Summer Study on Energy Efficiency in Buildings, the 2015 </w:t>
      </w:r>
      <w:r>
        <w:t>Association of Energy Service Professionals</w:t>
      </w:r>
      <w:r w:rsidRPr="00FB6015">
        <w:t xml:space="preserve"> (AESP) National Conference, and </w:t>
      </w:r>
      <w:r>
        <w:t xml:space="preserve">the </w:t>
      </w:r>
      <w:r w:rsidRPr="00FB6015">
        <w:t xml:space="preserve">2014 </w:t>
      </w:r>
      <w:r>
        <w:t>International Energy Program Evaluation Conference</w:t>
      </w:r>
      <w:r w:rsidRPr="00FB6015">
        <w:t xml:space="preserve"> (IEPEC)</w:t>
      </w:r>
      <w:r>
        <w:t>,</w:t>
      </w:r>
      <w:r w:rsidRPr="00FB6015">
        <w:t xml:space="preserve"> and identified 50 papers relevant to program design and implementation. </w:t>
      </w:r>
    </w:p>
    <w:p w:rsidR="00C24970" w:rsidRDefault="00C24970" w:rsidP="00C24970"/>
    <w:p w:rsidR="00C24970" w:rsidRPr="00FB6015" w:rsidRDefault="00C24970" w:rsidP="00C24970">
      <w:pPr>
        <w:spacing w:after="120"/>
      </w:pPr>
      <w:r w:rsidRPr="00FB6015">
        <w:t>The majority of these papers can be divided into four categories:</w:t>
      </w:r>
    </w:p>
    <w:p w:rsidR="00C24970" w:rsidRPr="00A112B7" w:rsidRDefault="00C24970" w:rsidP="00CB2503">
      <w:pPr>
        <w:pStyle w:val="ListParagraph"/>
        <w:numPr>
          <w:ilvl w:val="0"/>
          <w:numId w:val="62"/>
        </w:numPr>
        <w:spacing w:after="60"/>
        <w:ind w:left="360"/>
        <w:contextualSpacing w:val="0"/>
      </w:pPr>
      <w:r w:rsidRPr="00A112B7">
        <w:t>Innovative marketing and outreach approaches</w:t>
      </w:r>
    </w:p>
    <w:p w:rsidR="00C24970" w:rsidRPr="00A112B7" w:rsidRDefault="00C24970" w:rsidP="00CB2503">
      <w:pPr>
        <w:pStyle w:val="ListParagraph"/>
        <w:numPr>
          <w:ilvl w:val="0"/>
          <w:numId w:val="62"/>
        </w:numPr>
        <w:spacing w:after="60"/>
        <w:ind w:left="360"/>
        <w:contextualSpacing w:val="0"/>
      </w:pPr>
      <w:r w:rsidRPr="00A112B7">
        <w:t>Midstream approaches to lighting and plug load</w:t>
      </w:r>
    </w:p>
    <w:p w:rsidR="00C24970" w:rsidRPr="00A112B7" w:rsidRDefault="00C24970" w:rsidP="00CB2503">
      <w:pPr>
        <w:pStyle w:val="ListParagraph"/>
        <w:numPr>
          <w:ilvl w:val="0"/>
          <w:numId w:val="62"/>
        </w:numPr>
        <w:spacing w:after="60"/>
        <w:ind w:left="360"/>
        <w:contextualSpacing w:val="0"/>
      </w:pPr>
      <w:r w:rsidRPr="00A112B7">
        <w:t>Shifting strategies in whole-building upgrades</w:t>
      </w:r>
    </w:p>
    <w:p w:rsidR="00C24970" w:rsidRPr="00A112B7" w:rsidRDefault="00C24970" w:rsidP="00E646C9">
      <w:pPr>
        <w:pStyle w:val="ListParagraph"/>
        <w:numPr>
          <w:ilvl w:val="0"/>
          <w:numId w:val="62"/>
        </w:numPr>
        <w:ind w:left="360"/>
      </w:pPr>
      <w:r w:rsidRPr="00A112B7">
        <w:t>Behavioral interventions</w:t>
      </w:r>
    </w:p>
    <w:p w:rsidR="00C24970" w:rsidRPr="00FB6015" w:rsidRDefault="00C24970" w:rsidP="00C24970">
      <w:r w:rsidRPr="00FB6015">
        <w:t xml:space="preserve">After reviewing the papers in each category, the SWE Team sought additional sources to fill any remaining information gaps, including program evaluation reports as well as reports by the State and Local Energy Efficiency Action Network (SEE Action) and other industry groups. The remainder of this section summarizes findings from the industry literature in each of the four areas identified. </w:t>
      </w:r>
    </w:p>
    <w:p w:rsidR="00C24970" w:rsidRPr="00FB6015" w:rsidRDefault="00C24970" w:rsidP="00C24970"/>
    <w:p w:rsidR="00C24970" w:rsidRPr="008A5E9E" w:rsidRDefault="00C24970" w:rsidP="00E673F0">
      <w:pPr>
        <w:pStyle w:val="Heading4"/>
      </w:pPr>
      <w:r w:rsidRPr="008A5E9E">
        <w:t>Innovative Marketing and Outreach Approaches</w:t>
      </w:r>
    </w:p>
    <w:p w:rsidR="00C24970" w:rsidRPr="00FB6015" w:rsidRDefault="00C24970" w:rsidP="00C24970">
      <w:r w:rsidRPr="00FB6015">
        <w:t xml:space="preserve">In a diverse service territory, no single marketing message is likely to appeal to all customers. As a result, </w:t>
      </w:r>
      <w:r>
        <w:t xml:space="preserve">program administrators (PAs) </w:t>
      </w:r>
      <w:r w:rsidRPr="00FB6015">
        <w:t xml:space="preserve">seek to identify the customers most likely to participate in their programs and reach out to </w:t>
      </w:r>
      <w:r>
        <w:t>them</w:t>
      </w:r>
      <w:r w:rsidRPr="00FB6015">
        <w:t xml:space="preserve"> with the messages most likely to resonate with them. Recent industry literature focuses on two approaches to this type of targeted marketing</w:t>
      </w:r>
      <w:r>
        <w:t>. O</w:t>
      </w:r>
      <w:r w:rsidRPr="00FB6015">
        <w:t xml:space="preserve">ne draws on the growing array of customer data available to PAs, while the other seeks to leverage existing communities and social relationships. </w:t>
      </w:r>
    </w:p>
    <w:p w:rsidR="00034173" w:rsidRPr="00FB6015" w:rsidRDefault="00034173" w:rsidP="00C24970"/>
    <w:p w:rsidR="00C24970" w:rsidRPr="007B2589" w:rsidRDefault="00C24970" w:rsidP="00E673F0">
      <w:pPr>
        <w:pStyle w:val="Heading5"/>
      </w:pPr>
      <w:r w:rsidRPr="007B2589">
        <w:t>Data-</w:t>
      </w:r>
      <w:r>
        <w:t>B</w:t>
      </w:r>
      <w:r w:rsidRPr="007B2589">
        <w:t>ased Targeting Approaches</w:t>
      </w:r>
    </w:p>
    <w:p w:rsidR="00C24970" w:rsidRPr="00FB6015" w:rsidRDefault="00C24970" w:rsidP="00C24970">
      <w:r w:rsidRPr="00FB6015">
        <w:t xml:space="preserve">PAs have access to a great deal of information about their customers, which they can supplement with purchased data and their own primary research. These data include customer demographics, energy usage, and </w:t>
      </w:r>
      <w:r>
        <w:t xml:space="preserve">home </w:t>
      </w:r>
      <w:r w:rsidRPr="00FB6015">
        <w:t xml:space="preserve">characteristics. Industry literature detailed the experience of two PAs—Pacific Gas &amp; Electric (PG&amp;E) and Northeast Utilities—that used such data to identify the customers most likely to participate in particular program offerings. Both PAs conducted classification and regression tree analyses to identify common characteristics among program participants, anticipating that other customers who shared those characteristics would be more likely to participate. </w:t>
      </w:r>
    </w:p>
    <w:p w:rsidR="00C24970" w:rsidRPr="00FB6015" w:rsidRDefault="00C24970" w:rsidP="00C24970"/>
    <w:p w:rsidR="00C24970" w:rsidRPr="00FB6015" w:rsidRDefault="00C24970" w:rsidP="00C24970">
      <w:r w:rsidRPr="00FB6015">
        <w:t>Northeast Utilities identified three characteristics associated with greater program participation (level of natural gas usage, home value, and home equity loan-to-value ratio), which together indicate both the potential to benefit from weatherization and the likely ability to afford an energy upgrade project. Northeast Utilities used an experimental design to test the effectiveness of a mailing promoting the program in generating interest among customers with the identified characteristics. Initial findings indicated that customers with the identified characteristics scheduled and completed audits at a greater rate than customers who did not have those characteristics but received the mailing and customers who had those characteristics but did not receive the mailing.</w:t>
      </w:r>
    </w:p>
    <w:p w:rsidR="00C24970" w:rsidRPr="00FB6015" w:rsidRDefault="00C24970" w:rsidP="00C24970"/>
    <w:p w:rsidR="00C24970" w:rsidRPr="00FB6015" w:rsidRDefault="00C24970" w:rsidP="00C24970">
      <w:r w:rsidRPr="00FB6015">
        <w:t>PG&amp;E identified 13 indicators</w:t>
      </w:r>
      <w:r>
        <w:t>—</w:t>
      </w:r>
      <w:r w:rsidRPr="00FB6015">
        <w:t>including the age and size of the home, the amount of time the homeowner had lived there, the number of people in the household, and the household’s energy usage and billing characteristics that were associated with participation</w:t>
      </w:r>
      <w:r>
        <w:t>—</w:t>
      </w:r>
      <w:r w:rsidRPr="00FB6015">
        <w:t xml:space="preserve">from which it developed a propensity score to rate customers’ likelihood of program participation. PG&amp;E conducted an analysis comparing program participants </w:t>
      </w:r>
      <w:r w:rsidR="00524B80">
        <w:t>with</w:t>
      </w:r>
      <w:r w:rsidRPr="00FB6015">
        <w:t xml:space="preserve"> those who began, but did not complete, the participation process. The program dropouts had characteristics</w:t>
      </w:r>
      <w:r w:rsidRPr="0045581F">
        <w:t xml:space="preserve"> </w:t>
      </w:r>
      <w:r w:rsidRPr="00FB6015">
        <w:t xml:space="preserve">similar to </w:t>
      </w:r>
      <w:r>
        <w:t xml:space="preserve">those of </w:t>
      </w:r>
      <w:r w:rsidRPr="00FB6015">
        <w:t>complete participants in many ways, but expressed a lower sense of self-efficacy in controlling their energy savings.</w:t>
      </w:r>
    </w:p>
    <w:p w:rsidR="00C24970" w:rsidRPr="00FB6015" w:rsidRDefault="00C24970" w:rsidP="00C24970"/>
    <w:p w:rsidR="00C24970" w:rsidRPr="007B2589" w:rsidRDefault="00C24970" w:rsidP="00E673F0">
      <w:pPr>
        <w:pStyle w:val="Heading5"/>
      </w:pPr>
      <w:r w:rsidRPr="007B2589">
        <w:t>Community-</w:t>
      </w:r>
      <w:r>
        <w:t>B</w:t>
      </w:r>
      <w:r w:rsidRPr="007B2589">
        <w:t>ased Outreach Approaches</w:t>
      </w:r>
    </w:p>
    <w:p w:rsidR="00C24970" w:rsidRPr="00FB6015" w:rsidRDefault="00C24970" w:rsidP="00C24970">
      <w:r w:rsidRPr="00FB6015">
        <w:t>Another strategy PAs have used to reach targeted participants seeks to leverage social and community dynamics, often following the tenets of Community Based Social Marketing (CBSM). Recent industry literature describes three broad community-based outreach approaches: use of third-party advocates as trusted messengers, individual contact with potential participants, and neighborhood targeting.</w:t>
      </w:r>
    </w:p>
    <w:p w:rsidR="00C24970" w:rsidRDefault="00C24970" w:rsidP="00C24970"/>
    <w:p w:rsidR="00C066E9" w:rsidRDefault="00C066E9" w:rsidP="00C24970"/>
    <w:p w:rsidR="00C066E9" w:rsidRDefault="00C066E9" w:rsidP="00C24970"/>
    <w:p w:rsidR="00C24970" w:rsidRPr="007631BE" w:rsidRDefault="00C24970" w:rsidP="00E673F0">
      <w:pPr>
        <w:pStyle w:val="Heading5"/>
      </w:pPr>
      <w:r w:rsidRPr="007631BE">
        <w:t xml:space="preserve">Trusted </w:t>
      </w:r>
      <w:r w:rsidRPr="00386B76">
        <w:t>Messengers</w:t>
      </w:r>
    </w:p>
    <w:p w:rsidR="00C24970" w:rsidRPr="00FB6015" w:rsidRDefault="00C24970" w:rsidP="00C24970">
      <w:r w:rsidRPr="00FB6015">
        <w:t>A common strategy that efficiency programs have used to reach a targeted community involves identifying a trusted individual or organization within that community and working with that person or group to spread the program’s message. In a summary of six CBSM programs in Wisconsin, the implementer</w:t>
      </w:r>
      <w:r>
        <w:t>,</w:t>
      </w:r>
      <w:r w:rsidRPr="00FB6015">
        <w:t xml:space="preserve"> </w:t>
      </w:r>
      <w:r>
        <w:t>Wisconsin Energy Conservation Corporation,</w:t>
      </w:r>
      <w:r w:rsidRPr="00FB6015">
        <w:t xml:space="preserve"> found this type of outreach more effective than traditional advertising or presentations by a program or utility representative. One of the Wisconsin CBSM programs found a statistically significant increase in program participation when a well-known community member recommended the iCan Conserve program. </w:t>
      </w:r>
    </w:p>
    <w:p w:rsidR="00C24970" w:rsidRPr="00FB6015" w:rsidRDefault="00C24970" w:rsidP="00C24970"/>
    <w:p w:rsidR="00C24970" w:rsidRPr="00FB6015" w:rsidRDefault="00C24970" w:rsidP="00C24970">
      <w:r w:rsidRPr="00FB6015">
        <w:t>These strategies may be particularly effective in hard-to-reach populations where it is difficult for program staff to build rapport with community members. Nonetheless, these types of approaches can also pose challenges for PAs: community groups may lack the time and resources to promote an efficiency program, particularly if energy efficiency and sustainability are not part of the group’s mission. As a result, providing education and support to such third-party program advocates can be time- and resource-intensive for utility staff. One Wisconsin program found a way to leverage the trusted messenger approach without the time commitment of supporting community groups</w:t>
      </w:r>
      <w:r>
        <w:t>,</w:t>
      </w:r>
      <w:r w:rsidRPr="00FB6015">
        <w:t xml:space="preserve"> by printing marketing materials that included quotes about the program from local residents. The implementer found that this added credibility for residents, and that “the names associated with the quotes were one of the first things </w:t>
      </w:r>
      <w:r w:rsidR="005877DB">
        <w:t>participants noticed.”</w:t>
      </w:r>
      <w:r w:rsidRPr="00FB6015">
        <w:fldChar w:fldCharType="begin"/>
      </w:r>
      <w:r w:rsidRPr="00FB6015">
        <w:instrText xml:space="preserve"> ADDIN ZOTERO_ITEM CSL_CITATION {"citationID":"Bzo92i3Q","properties":{"formattedCitation":"(Lightbourn 2014)","plainCitation":"(Lightbourn 2014)"},"citationItems":[{"id":280,"uris":["http://zotero.org/groups/277947/items/DCXNZNZI"],"uri":["http://zotero.org/groups/277947/items/DCXNZNZI"],"itemData":{"id":280,"type":"paper-conference","title":"Community Marketing: What Worked? What Didn't? What We Would Do Again","publisher":"Association of Energy Services Professionals","publisher-place":"Phoenix, AZ","event":"AESP National Conference","event-place":"Phoenix, AZ","author":[{"family":"Lightbourn","given":"Steve"}],"issued":{"date-parts":[["2014"]]}}}],"schema":"https://github.com/citation-style-language/schema/raw/master/csl-citation.json"} </w:instrText>
      </w:r>
      <w:r w:rsidRPr="00FB6015">
        <w:fldChar w:fldCharType="end"/>
      </w:r>
    </w:p>
    <w:p w:rsidR="00C24970" w:rsidRDefault="00C24970" w:rsidP="00C24970"/>
    <w:p w:rsidR="00C24970" w:rsidRPr="00386B76" w:rsidRDefault="00C24970" w:rsidP="00E673F0">
      <w:pPr>
        <w:pStyle w:val="Heading5"/>
      </w:pPr>
      <w:r w:rsidRPr="00386B76">
        <w:t>Individual Contact</w:t>
      </w:r>
    </w:p>
    <w:p w:rsidR="00C24970" w:rsidRPr="00FB6015" w:rsidRDefault="00C24970" w:rsidP="00C24970">
      <w:r w:rsidRPr="00FB6015">
        <w:t xml:space="preserve">One study of six CBSM programs found one-on-one interactions with potential participants, particularly in combination with a trusted messenger, to be one of the most effective outreach strategies, generating greater interest in the program than multiple touches from more traditional marketing approaches. This type of individual contact can also draw on staff members, contractors, or members of community groups with the necessary language skills and cultural understanding to reach members of non-English-speaking communities. </w:t>
      </w:r>
    </w:p>
    <w:p w:rsidR="00C24970" w:rsidRPr="00FB6015" w:rsidRDefault="00C24970" w:rsidP="00C24970"/>
    <w:p w:rsidR="00C24970" w:rsidRPr="00FB6015" w:rsidRDefault="00C24970" w:rsidP="00C24970">
      <w:pPr>
        <w:rPr>
          <w:bCs/>
        </w:rPr>
      </w:pPr>
      <w:r w:rsidRPr="00FB6015">
        <w:t xml:space="preserve">This type of individual outreach is very expensive for PAs to provide. As a result, some grantees in the American Recovery and Reinvestment Act (ARRA) funded </w:t>
      </w:r>
      <w:r>
        <w:t xml:space="preserve">the </w:t>
      </w:r>
      <w:r w:rsidRPr="00FB6015">
        <w:t xml:space="preserve">Better Buildings Neighborhood Program (BBNP) </w:t>
      </w:r>
      <w:r>
        <w:t>and</w:t>
      </w:r>
      <w:r w:rsidRPr="00FB6015">
        <w:t xml:space="preserve"> used open houses and similar events to create an opportunity to bring their programs into this type of individual or small group contact with a larger number of people</w:t>
      </w:r>
      <w:r w:rsidRPr="00FB6015">
        <w:rPr>
          <w:bCs/>
        </w:rPr>
        <w:t xml:space="preserve">. </w:t>
      </w:r>
      <w:r w:rsidRPr="00FB6015">
        <w:t>These open houses or house parties typically included a presentation describing the benefits of energy upgrades, the program offerings, and the participation process. In some cases, a contractor would conduct an audit during the event, describing the process and findings</w:t>
      </w:r>
      <w:r>
        <w:t>;</w:t>
      </w:r>
      <w:r w:rsidRPr="00FB6015">
        <w:t xml:space="preserve"> in other</w:t>
      </w:r>
      <w:r>
        <w:t xml:space="preserve"> cases</w:t>
      </w:r>
      <w:r w:rsidRPr="00FB6015">
        <w:t>, visitors could tour a home that had received upgrades, with signage highlighting the improvements. The events also provided attendees with an opportunity to speak with program staff and contractors individually</w:t>
      </w:r>
      <w:r>
        <w:t>,</w:t>
      </w:r>
      <w:r w:rsidRPr="00FB6015">
        <w:t xml:space="preserve"> to address any questions or concerns they might have</w:t>
      </w:r>
      <w:r w:rsidRPr="00FB6015">
        <w:rPr>
          <w:bCs/>
        </w:rPr>
        <w:t>.</w:t>
      </w:r>
    </w:p>
    <w:p w:rsidR="00147500" w:rsidRPr="00FB6015" w:rsidRDefault="00147500" w:rsidP="00C24970"/>
    <w:p w:rsidR="00C24970" w:rsidRPr="00386B76" w:rsidRDefault="00C24970" w:rsidP="00E673F0">
      <w:pPr>
        <w:pStyle w:val="Heading5"/>
      </w:pPr>
      <w:r w:rsidRPr="00386B76">
        <w:t>Neighborhood Targeting</w:t>
      </w:r>
    </w:p>
    <w:p w:rsidR="00C24970" w:rsidRPr="00FB6015" w:rsidRDefault="00C24970" w:rsidP="00C24970">
      <w:pPr>
        <w:spacing w:after="120"/>
      </w:pPr>
      <w:r w:rsidRPr="00FB6015">
        <w:t xml:space="preserve">Some programs have sought to both increase the efficiency of their outreach efforts and leverage neighbor-to-neighbor social dynamics by focusing intensive outreach in a specifically targeted geographic area. This was a common approach among BBNP grantees. Programs selected neighborhoods to target based on a </w:t>
      </w:r>
      <w:r>
        <w:t>variety</w:t>
      </w:r>
      <w:r w:rsidRPr="00FB6015">
        <w:t xml:space="preserve"> of factors, ranging from housing stock and demographic characteristics to the presence of strong neighborhood associations and community groups</w:t>
      </w:r>
      <w:r w:rsidRPr="00FB6015">
        <w:rPr>
          <w:bCs/>
        </w:rPr>
        <w:t xml:space="preserve">. </w:t>
      </w:r>
      <w:r w:rsidRPr="00FB6015">
        <w:t>In most cases, these strategies did not achieve their desired results, but the experience of the BBNP grantees provides some lessons learned for neighborhood targeting:</w:t>
      </w:r>
    </w:p>
    <w:p w:rsidR="00C24970" w:rsidRPr="00FB6015" w:rsidRDefault="00C24970" w:rsidP="00386B76">
      <w:pPr>
        <w:numPr>
          <w:ilvl w:val="0"/>
          <w:numId w:val="63"/>
        </w:numPr>
        <w:spacing w:after="60"/>
        <w:ind w:left="360"/>
        <w:rPr>
          <w:szCs w:val="20"/>
          <w:lang w:val="x-none" w:eastAsia="x-none"/>
        </w:rPr>
      </w:pPr>
      <w:r w:rsidRPr="00386B76">
        <w:rPr>
          <w:rFonts w:ascii="Century Gothic" w:hAnsi="Century Gothic"/>
          <w:b/>
          <w:color w:val="404040" w:themeColor="text1" w:themeTint="BF"/>
          <w:sz w:val="20"/>
          <w:szCs w:val="20"/>
          <w:lang w:val="x-none" w:eastAsia="x-none"/>
        </w:rPr>
        <w:t xml:space="preserve">Do </w:t>
      </w:r>
      <w:r w:rsidR="00386B76" w:rsidRPr="00386B76">
        <w:rPr>
          <w:rFonts w:ascii="Century Gothic" w:hAnsi="Century Gothic"/>
          <w:b/>
          <w:color w:val="404040" w:themeColor="text1" w:themeTint="BF"/>
          <w:sz w:val="20"/>
          <w:szCs w:val="20"/>
          <w:lang w:val="x-none" w:eastAsia="x-none"/>
        </w:rPr>
        <w:t xml:space="preserve">Not Constrain Participation </w:t>
      </w:r>
      <w:r w:rsidR="00386B76">
        <w:rPr>
          <w:rFonts w:ascii="Century Gothic" w:hAnsi="Century Gothic"/>
          <w:b/>
          <w:color w:val="404040" w:themeColor="text1" w:themeTint="BF"/>
          <w:sz w:val="20"/>
          <w:szCs w:val="20"/>
          <w:lang w:eastAsia="x-none"/>
        </w:rPr>
        <w:t>T</w:t>
      </w:r>
      <w:r w:rsidR="00386B76" w:rsidRPr="00386B76">
        <w:rPr>
          <w:rFonts w:ascii="Century Gothic" w:hAnsi="Century Gothic"/>
          <w:b/>
          <w:color w:val="404040" w:themeColor="text1" w:themeTint="BF"/>
          <w:sz w:val="20"/>
          <w:szCs w:val="20"/>
          <w:lang w:val="x-none" w:eastAsia="x-none"/>
        </w:rPr>
        <w:t>o The Targeted Area</w:t>
      </w:r>
      <w:r w:rsidRPr="00A112B7">
        <w:rPr>
          <w:rFonts w:ascii="Century Gothic" w:hAnsi="Century Gothic"/>
          <w:sz w:val="24"/>
          <w:szCs w:val="20"/>
          <w:lang w:val="x-none" w:eastAsia="x-none"/>
        </w:rPr>
        <w:t>|</w:t>
      </w:r>
      <w:r w:rsidRPr="00FB6015">
        <w:rPr>
          <w:szCs w:val="20"/>
          <w:lang w:val="x-none" w:eastAsia="x-none"/>
        </w:rPr>
        <w:t xml:space="preserve"> Requiring program participants to reside within a narrow targeted area can limit the potential for a program to leverage social relationships other than those among neighbors. </w:t>
      </w:r>
    </w:p>
    <w:p w:rsidR="00C24970" w:rsidRPr="00FB6015" w:rsidRDefault="00C24970" w:rsidP="00386B76">
      <w:pPr>
        <w:numPr>
          <w:ilvl w:val="0"/>
          <w:numId w:val="63"/>
        </w:numPr>
        <w:spacing w:after="60"/>
        <w:ind w:left="360"/>
        <w:rPr>
          <w:szCs w:val="20"/>
          <w:lang w:val="x-none" w:eastAsia="x-none"/>
        </w:rPr>
      </w:pPr>
      <w:r w:rsidRPr="00386B76">
        <w:rPr>
          <w:rFonts w:ascii="Century Gothic" w:hAnsi="Century Gothic"/>
          <w:b/>
          <w:color w:val="404040" w:themeColor="text1" w:themeTint="BF"/>
          <w:sz w:val="20"/>
          <w:szCs w:val="20"/>
          <w:lang w:val="x-none" w:eastAsia="x-none"/>
        </w:rPr>
        <w:t xml:space="preserve">Ensure </w:t>
      </w:r>
      <w:r w:rsidR="00386B76" w:rsidRPr="00386B76">
        <w:rPr>
          <w:rFonts w:ascii="Century Gothic" w:hAnsi="Century Gothic"/>
          <w:b/>
          <w:color w:val="404040" w:themeColor="text1" w:themeTint="BF"/>
          <w:sz w:val="20"/>
          <w:szCs w:val="20"/>
          <w:lang w:val="x-none" w:eastAsia="x-none"/>
        </w:rPr>
        <w:t xml:space="preserve">That The Targeted Area </w:t>
      </w:r>
      <w:r w:rsidR="00771798">
        <w:rPr>
          <w:rFonts w:ascii="Century Gothic" w:hAnsi="Century Gothic"/>
          <w:b/>
          <w:color w:val="404040" w:themeColor="text1" w:themeTint="BF"/>
          <w:sz w:val="20"/>
          <w:szCs w:val="20"/>
          <w:lang w:eastAsia="x-none"/>
        </w:rPr>
        <w:t>I</w:t>
      </w:r>
      <w:r w:rsidR="00386B76" w:rsidRPr="00386B76">
        <w:rPr>
          <w:rFonts w:ascii="Century Gothic" w:hAnsi="Century Gothic"/>
          <w:b/>
          <w:color w:val="404040" w:themeColor="text1" w:themeTint="BF"/>
          <w:sz w:val="20"/>
          <w:szCs w:val="20"/>
          <w:lang w:val="x-none" w:eastAsia="x-none"/>
        </w:rPr>
        <w:t>s Large Enough To Provide Sufficient Project Volume</w:t>
      </w:r>
      <w:r w:rsidRPr="00A112B7">
        <w:rPr>
          <w:rFonts w:ascii="Century Gothic" w:hAnsi="Century Gothic"/>
          <w:sz w:val="24"/>
          <w:szCs w:val="20"/>
          <w:lang w:val="x-none" w:eastAsia="x-none"/>
        </w:rPr>
        <w:t>|</w:t>
      </w:r>
      <w:r w:rsidRPr="00FB6015">
        <w:rPr>
          <w:szCs w:val="20"/>
          <w:lang w:val="x-none" w:eastAsia="x-none"/>
        </w:rPr>
        <w:t xml:space="preserve"> Targeting too small a population may constrain a program’s ability to generate enough initial participation to gain traction, particularly if the upgrades the program promotes are relatively unknown or expensive.</w:t>
      </w:r>
    </w:p>
    <w:p w:rsidR="00C24970" w:rsidRDefault="00C24970" w:rsidP="00E646C9">
      <w:pPr>
        <w:numPr>
          <w:ilvl w:val="0"/>
          <w:numId w:val="63"/>
        </w:numPr>
        <w:ind w:left="360"/>
        <w:rPr>
          <w:szCs w:val="20"/>
          <w:lang w:val="x-none" w:eastAsia="x-none"/>
        </w:rPr>
      </w:pPr>
      <w:r w:rsidRPr="00386B76">
        <w:rPr>
          <w:rFonts w:ascii="Century Gothic" w:hAnsi="Century Gothic"/>
          <w:b/>
          <w:color w:val="404040" w:themeColor="text1" w:themeTint="BF"/>
          <w:sz w:val="20"/>
          <w:szCs w:val="20"/>
          <w:lang w:val="x-none" w:eastAsia="x-none"/>
        </w:rPr>
        <w:t xml:space="preserve">More </w:t>
      </w:r>
      <w:r w:rsidR="00386B76" w:rsidRPr="00386B76">
        <w:rPr>
          <w:rFonts w:ascii="Century Gothic" w:hAnsi="Century Gothic"/>
          <w:b/>
          <w:color w:val="404040" w:themeColor="text1" w:themeTint="BF"/>
          <w:sz w:val="20"/>
          <w:szCs w:val="20"/>
          <w:lang w:val="x-none" w:eastAsia="x-none"/>
        </w:rPr>
        <w:t>Visible Upgrades May Be Better Candidates For Neighborhood Targeting</w:t>
      </w:r>
      <w:r w:rsidRPr="00A112B7">
        <w:rPr>
          <w:rFonts w:ascii="Century Gothic" w:hAnsi="Century Gothic"/>
          <w:sz w:val="24"/>
          <w:szCs w:val="20"/>
          <w:lang w:val="x-none" w:eastAsia="x-none"/>
        </w:rPr>
        <w:t>|</w:t>
      </w:r>
      <w:r w:rsidRPr="00FB6015">
        <w:rPr>
          <w:szCs w:val="20"/>
          <w:lang w:val="x-none" w:eastAsia="x-none"/>
        </w:rPr>
        <w:t xml:space="preserve"> For example, neighborhood-focused approaches have been successful in increasing uptake of solar photovoltaic systems. These approaches were less successful in promoting whole-house energy upgrades.</w:t>
      </w:r>
    </w:p>
    <w:p w:rsidR="00034173" w:rsidRPr="00E72F67" w:rsidRDefault="00034173" w:rsidP="00865B5D"/>
    <w:p w:rsidR="00C24970" w:rsidRPr="008A5E9E" w:rsidRDefault="00C24970" w:rsidP="00E673F0">
      <w:pPr>
        <w:pStyle w:val="Heading4"/>
      </w:pPr>
      <w:r w:rsidRPr="008A5E9E">
        <w:t>Midstream Approaches to Lighting and Plug Load</w:t>
      </w:r>
    </w:p>
    <w:p w:rsidR="00C24970" w:rsidRPr="00FB6015" w:rsidRDefault="00C24970" w:rsidP="00C24970">
      <w:r w:rsidRPr="00FB6015">
        <w:t>Lighting has traditionally been a key source of residential energy savings for PAs. However, changes in the lighting market driven by recent changes in standards have altered the baseline over which programs achieve savings. Programs have also been challenged to effectively integrate LED technologies as products rapidly evolve and prices fall. Recent industry literature suggests that opportunities remain to increase the efficiency of residential lighting, but the changing context in which programs operate has led some PAs to seek new program approaches.</w:t>
      </w:r>
    </w:p>
    <w:p w:rsidR="00C24970" w:rsidRPr="00FB6015" w:rsidRDefault="00C24970" w:rsidP="00C24970"/>
    <w:p w:rsidR="00C24970" w:rsidRPr="00FB6015" w:rsidRDefault="00C24970" w:rsidP="00C24970">
      <w:r w:rsidRPr="00FB6015">
        <w:t xml:space="preserve">Residential plug loads are another end use in which PAs have recently sought new program approaches. While the energy use of other end uses has decreased over the past decades, plug loads’ proportion of residential electric loads has grown, and plug load energy use is projected to continue to grow. Plug loads, made up of many small consumer electronics and other household products, pose challenges for traditional efficiency program approaches. The energy use and potential energy savings of any given plug load product are generally small. As a result, incentives large enough to influence an end user’s purchase decision are unlikely to be cost-effective. </w:t>
      </w:r>
    </w:p>
    <w:p w:rsidR="00C24970" w:rsidRPr="00FB6015" w:rsidRDefault="00C24970" w:rsidP="00C24970"/>
    <w:p w:rsidR="00C24970" w:rsidRPr="00FB6015" w:rsidRDefault="00C24970" w:rsidP="00C24970">
      <w:r w:rsidRPr="00FB6015">
        <w:t xml:space="preserve">PAs have looked to new midstream program approaches as a solution to the challenges they face in both lighting and plug loads. Lighting programs have long used midstream and upstream buy-downs to reduce the prices of efficient lamps. However, while buy-downs typically are designed to minimize the impact of the intervention on the retailer’s business outcomes, these new program approaches seek to change retailers’ behavior to motivate them to consider energy efficiency in their business decisions and take action to increase sales of efficient products. </w:t>
      </w:r>
    </w:p>
    <w:p w:rsidR="00C24970" w:rsidRPr="00FB6015" w:rsidRDefault="00C24970" w:rsidP="00C24970"/>
    <w:p w:rsidR="00C24970" w:rsidRPr="005877DB" w:rsidRDefault="00C24970" w:rsidP="00E673F0">
      <w:pPr>
        <w:pStyle w:val="Heading5"/>
      </w:pPr>
      <w:r w:rsidRPr="005877DB">
        <w:t>Market Lift</w:t>
      </w:r>
    </w:p>
    <w:p w:rsidR="00C24970" w:rsidRPr="00FB6015" w:rsidRDefault="00C24970" w:rsidP="00C24970">
      <w:r w:rsidRPr="00D84D07">
        <w:t>Market lift</w:t>
      </w:r>
      <w:r w:rsidRPr="00FB6015">
        <w:t xml:space="preserve"> programs offer retailers incentives for sales of efficient products that exceed a predefined baseline level. </w:t>
      </w:r>
      <w:r>
        <w:t>The</w:t>
      </w:r>
      <w:r w:rsidRPr="00FB6015">
        <w:t xml:space="preserve"> programs do not specify the actions the retailers take to achieve an increase in sales; retailers are free to apply the incentives to price discounts, promotions of qualified products, or profits. A primary benefit of a market lift approach from the PA’s perspective is a high NTG</w:t>
      </w:r>
      <w:r>
        <w:t>R</w:t>
      </w:r>
      <w:r w:rsidRPr="00FB6015">
        <w:t>. A traditional buy-down or an approach that incentivizes sales of every efficient unit sold inevitably provides</w:t>
      </w:r>
      <w:r>
        <w:t xml:space="preserve"> </w:t>
      </w:r>
      <w:r w:rsidRPr="00FB6015">
        <w:t>incentives on products that would have sold in the absence of the program. Because a lift program only incentivizes sales above a baseline, it can claim a</w:t>
      </w:r>
      <w:r>
        <w:t>n</w:t>
      </w:r>
      <w:r w:rsidRPr="00FB6015">
        <w:t xml:space="preserve"> NTG</w:t>
      </w:r>
      <w:r>
        <w:t>R</w:t>
      </w:r>
      <w:r w:rsidRPr="00FB6015">
        <w:t xml:space="preserve"> of 100%.</w:t>
      </w:r>
      <w:r w:rsidRPr="00FB6015">
        <w:rPr>
          <w:vertAlign w:val="superscript"/>
        </w:rPr>
        <w:footnoteReference w:id="30"/>
      </w:r>
    </w:p>
    <w:p w:rsidR="00C24970" w:rsidRPr="00FB6015" w:rsidRDefault="00C24970" w:rsidP="00C24970"/>
    <w:p w:rsidR="00C24970" w:rsidRPr="00FB6015" w:rsidRDefault="00C24970" w:rsidP="00C24970">
      <w:r w:rsidRPr="00FB6015">
        <w:t xml:space="preserve">A small group of PAs, including PAs in Oregon, Vermont, and Massachusetts, recently conducted market lift pilots to increase sales of CFLs. In all cases, the pilots successfully increased sales of CFLs over baseline. The pilots also encountered challenges. Many retailers were reluctant to participate in a lift approach. Lift approaches can be risky for retailers </w:t>
      </w:r>
      <w:r>
        <w:t>because they</w:t>
      </w:r>
      <w:r w:rsidRPr="00FB6015">
        <w:t xml:space="preserve"> may not receive any compensation for the actions they take and costs they incur to increase sales of efficient products if sales do not exceed the program’s baseline. National retailers also work with many PAs across the country and may be reluctant to agree to a program approach that is unique to only a few PAs.</w:t>
      </w:r>
    </w:p>
    <w:p w:rsidR="00C24970" w:rsidRDefault="00C24970" w:rsidP="00C24970"/>
    <w:p w:rsidR="00C24970" w:rsidRPr="005877DB" w:rsidRDefault="00C24970" w:rsidP="00E673F0">
      <w:pPr>
        <w:pStyle w:val="Heading5"/>
      </w:pPr>
      <w:r w:rsidRPr="005877DB">
        <w:t>Retail Products Portfolio</w:t>
      </w:r>
    </w:p>
    <w:p w:rsidR="00C24970" w:rsidRPr="00FB6015" w:rsidRDefault="00C24970" w:rsidP="00C24970">
      <w:r w:rsidRPr="00FB6015">
        <w:t xml:space="preserve">The Retail Products Portfolio (RPP) Program </w:t>
      </w:r>
      <w:r>
        <w:t xml:space="preserve">offered by PG&amp;E </w:t>
      </w:r>
      <w:r w:rsidRPr="00FB6015">
        <w:t>targets a range of consumer electronics and appliance products.</w:t>
      </w:r>
      <w:r w:rsidRPr="00FB6015">
        <w:rPr>
          <w:vertAlign w:val="superscript"/>
        </w:rPr>
        <w:footnoteReference w:id="31"/>
      </w:r>
      <w:r w:rsidRPr="00FB6015">
        <w:t xml:space="preserve"> RPP offers participating retailers an incentive for each unit sold in the participating PAs’ service territories that meets a program-defined efficiency specification.</w:t>
      </w:r>
      <w:r w:rsidRPr="00FB6015">
        <w:rPr>
          <w:vertAlign w:val="superscript"/>
        </w:rPr>
        <w:footnoteReference w:id="32"/>
      </w:r>
      <w:r w:rsidRPr="00FB6015">
        <w:t xml:space="preserve"> The PAs supporting RPP anticipate that these incentives will effectively increase the profit margin that efficient products offer to retailers and thus motivate retailers to take action to sell more efficient products. RPP works with large retailers, and the program anticipates that, while its per-unit incentives would not be enough to influence an end user’s purchase decision, in aggregate they will be sufficient to motivate retailers to take action. </w:t>
      </w:r>
    </w:p>
    <w:p w:rsidR="00C24970" w:rsidRPr="00FB6015" w:rsidRDefault="00C24970" w:rsidP="00C24970"/>
    <w:p w:rsidR="00C24970" w:rsidRPr="00FB6015" w:rsidRDefault="00C24970" w:rsidP="00C24970">
      <w:r w:rsidRPr="00FB6015">
        <w:t xml:space="preserve">Unlike a more traditional buy-down, RPP does not specify how retailers apply the incentives they receive. Reducing the sales price is one of a few actions the program anticipates retailers might take to increase sales of efficient products. Other actions retailers might take include favoring efficient products in ads and other promotions, giving efficient products more prominent placement in the store, and increasing the proportion of efficient products in their product assortments. Some PAs plan to require participating retailers to submit an annual plan detailing the steps they will take to increase sales of efficient products. </w:t>
      </w:r>
    </w:p>
    <w:p w:rsidR="00C24970" w:rsidRPr="00FB6015" w:rsidRDefault="00C24970" w:rsidP="00C24970"/>
    <w:p w:rsidR="00C24970" w:rsidRPr="00FB6015" w:rsidRDefault="00C24970" w:rsidP="00C24970">
      <w:r w:rsidRPr="00FB6015">
        <w:t xml:space="preserve">Retailers make many of the decisions </w:t>
      </w:r>
      <w:r>
        <w:t xml:space="preserve">that </w:t>
      </w:r>
      <w:r w:rsidRPr="00FB6015">
        <w:t xml:space="preserve">RPP seeks to influence—including decisions about assortment and promotion—at a national level. As a result, the program can have a greater influence on retailers’ decisions as its incentives cover a greater proportion of their markets. To this end, through the ENERGY STAR program, the U.S. </w:t>
      </w:r>
      <w:r>
        <w:t>EPA</w:t>
      </w:r>
      <w:r w:rsidRPr="00FB6015">
        <w:t xml:space="preserve"> has taken a coordinating role seeking to encourage PAs around the country to offer RPP and align their offerings with those of other PAs to the extent possible. This coordination is also designed to increase retailer engagement by presenting retailers with a single, large efficiency program rather than multiple small programs that might struggle to gain a retailer’s attention.     </w:t>
      </w:r>
    </w:p>
    <w:p w:rsidR="00C24970" w:rsidRPr="00FB6015" w:rsidRDefault="00C24970" w:rsidP="00C24970"/>
    <w:p w:rsidR="00C24970" w:rsidRPr="00FB6015" w:rsidRDefault="00C24970" w:rsidP="00C24970">
      <w:r w:rsidRPr="00FB6015">
        <w:t>RPP is relatively new. PG&amp;E worked with a single retailer to implement an RPP pilot from November 2013 to December 2014</w:t>
      </w:r>
      <w:r>
        <w:t>. T</w:t>
      </w:r>
      <w:r w:rsidRPr="00FB6015">
        <w:t>he Northwest Energy Efficiency Alliance implemented an RPP pilot with multiple retailers in 2014 and 2015. Evaluations of both pilots found that retailers engaged with the efforts, although the pilots’ small scale</w:t>
      </w:r>
      <w:r w:rsidR="00524B80">
        <w:t>s</w:t>
      </w:r>
      <w:r w:rsidRPr="00FB6015">
        <w:t xml:space="preserve"> limited their results. The PG&amp;E pilot increased</w:t>
      </w:r>
      <w:r w:rsidR="00524B80">
        <w:t xml:space="preserve"> sales of efficient products by a</w:t>
      </w:r>
      <w:r w:rsidRPr="00FB6015">
        <w:t>n average</w:t>
      </w:r>
      <w:r w:rsidR="00524B80">
        <w:t xml:space="preserve"> of</w:t>
      </w:r>
      <w:r w:rsidRPr="00FB6015">
        <w:t xml:space="preserve"> approximately 5% across all the product categories it targeted. </w:t>
      </w:r>
    </w:p>
    <w:p w:rsidR="00C24970" w:rsidRDefault="00C24970" w:rsidP="00C24970"/>
    <w:p w:rsidR="00C24970" w:rsidRPr="005877DB" w:rsidRDefault="00C24970" w:rsidP="00E673F0">
      <w:pPr>
        <w:pStyle w:val="Heading5"/>
      </w:pPr>
      <w:r w:rsidRPr="005877DB">
        <w:t>Common Challenges of New Midstream Approaches</w:t>
      </w:r>
    </w:p>
    <w:p w:rsidR="00C24970" w:rsidRPr="00FB6015" w:rsidRDefault="00C24970" w:rsidP="00C24970">
      <w:r w:rsidRPr="00FB6015">
        <w:t xml:space="preserve">Both the RPP model and a market lift approach share two related challenges. First, both models require programs to obtain full category sales data (including both qualified and nonqualified units) from participating retailers. Retailers guard their sales data closely, and programs must provide the retailer with a sufficiently compelling value proposition to motivate them to provide data. Retailers have provided data to national programs like ENERGY STAR and regional ones like RPP, and </w:t>
      </w:r>
      <w:r>
        <w:t xml:space="preserve">to </w:t>
      </w:r>
      <w:r w:rsidRPr="00FB6015">
        <w:t xml:space="preserve">RPP’s predecessor business and consumer electronics programs. However, </w:t>
      </w:r>
      <w:r>
        <w:t>retailers</w:t>
      </w:r>
      <w:r w:rsidRPr="00FB6015">
        <w:t xml:space="preserve"> may be reluctant to provide data to smaller-scale program efforts and may be reluctant to provide the level of data PAs and their </w:t>
      </w:r>
      <w:r>
        <w:rPr>
          <w:color w:val="000000"/>
        </w:rPr>
        <w:t>evaluation contractors</w:t>
      </w:r>
      <w:r w:rsidRPr="00D85274">
        <w:rPr>
          <w:color w:val="000000"/>
        </w:rPr>
        <w:t xml:space="preserve"> </w:t>
      </w:r>
      <w:r w:rsidRPr="00FB6015">
        <w:t xml:space="preserve">would like. </w:t>
      </w:r>
    </w:p>
    <w:p w:rsidR="00C24970" w:rsidRPr="00FB6015" w:rsidRDefault="00C24970" w:rsidP="00C24970"/>
    <w:p w:rsidR="00C24970" w:rsidRDefault="00C24970" w:rsidP="00C24970">
      <w:r w:rsidRPr="00FB6015">
        <w:t>The second challenge both models face is in defining a baseline level of sales. While incentives payments depend on the baseline definition in a lift approach, PAs must also develop a baseline for RPP in order to evaluate the program’s effects. The experience of the PAs piloting lift approaches demonstrate</w:t>
      </w:r>
      <w:r>
        <w:t>s</w:t>
      </w:r>
      <w:r w:rsidRPr="00FB6015">
        <w:t xml:space="preserve"> the challenges </w:t>
      </w:r>
      <w:r>
        <w:t xml:space="preserve">that </w:t>
      </w:r>
      <w:r w:rsidRPr="00FB6015">
        <w:t xml:space="preserve">developing a baseline can pose. One PA selected a comparison area outside its program area against which to measure baseline but had to find a different comparison area when a natural disaster in its original comparison area affected sales of CFLs. Comparison area analyses face further challenges in a program model like RPP that seeks to influence decisions </w:t>
      </w:r>
      <w:r>
        <w:t xml:space="preserve">that </w:t>
      </w:r>
      <w:r w:rsidRPr="00FB6015">
        <w:t xml:space="preserve">retailers make on a national level. To the extent that these programs succeed in influencing national product assortment or promotional decisions, those changes would be present in both the program area and any comparison area. </w:t>
      </w:r>
      <w:r>
        <w:rPr>
          <w:color w:val="000000"/>
        </w:rPr>
        <w:t>Evaluation contractors</w:t>
      </w:r>
      <w:r w:rsidRPr="00D85274">
        <w:rPr>
          <w:color w:val="000000"/>
        </w:rPr>
        <w:t xml:space="preserve"> </w:t>
      </w:r>
      <w:r w:rsidRPr="00FB6015">
        <w:t xml:space="preserve">are working to develop ways to identify the effects of these national decisions, but no approach has gained widespread acceptance to date. </w:t>
      </w:r>
    </w:p>
    <w:p w:rsidR="00386B76" w:rsidRDefault="00386B76" w:rsidP="00C24970"/>
    <w:p w:rsidR="00C24970" w:rsidRPr="008A5E9E" w:rsidRDefault="00C24970" w:rsidP="00E673F0">
      <w:pPr>
        <w:pStyle w:val="Heading4"/>
      </w:pPr>
      <w:bookmarkStart w:id="439" w:name="_Toc472472139"/>
      <w:r w:rsidRPr="008A5E9E">
        <w:t>Shifting Strategies in Whole-Building Upgrades</w:t>
      </w:r>
      <w:bookmarkEnd w:id="439"/>
    </w:p>
    <w:p w:rsidR="00C24970" w:rsidRPr="00FB6015" w:rsidRDefault="00C24970" w:rsidP="00C24970">
      <w:r w:rsidRPr="00D15DF7">
        <w:t>Whole-house energy</w:t>
      </w:r>
      <w:r w:rsidRPr="00FB6015">
        <w:t xml:space="preserve"> upgrade programs have focused on encouraging homeowners to complete a single, comprehensive energy upgrade project and developing a market of trade allies focused on providing those comprehensive upgrades. Recently, </w:t>
      </w:r>
      <w:r>
        <w:t xml:space="preserve">the </w:t>
      </w:r>
      <w:r w:rsidRPr="00FB6015">
        <w:t>experience</w:t>
      </w:r>
      <w:r>
        <w:t xml:space="preserve"> of PAs</w:t>
      </w:r>
      <w:r w:rsidRPr="00FB6015">
        <w:t>, including many ARRA</w:t>
      </w:r>
      <w:r w:rsidR="00C81F40">
        <w:t xml:space="preserve"> (</w:t>
      </w:r>
      <w:r w:rsidR="00072F06">
        <w:t>American Recovery and Reinvestment Act</w:t>
      </w:r>
      <w:r w:rsidR="00C81F40">
        <w:t>)</w:t>
      </w:r>
      <w:r w:rsidRPr="00FB6015">
        <w:t xml:space="preserve"> grantees who</w:t>
      </w:r>
      <w:r w:rsidR="00524B80">
        <w:t xml:space="preserve"> </w:t>
      </w:r>
      <w:r w:rsidRPr="00FB6015">
        <w:t>focused</w:t>
      </w:r>
      <w:r w:rsidR="00524B80">
        <w:t xml:space="preserve"> heavily</w:t>
      </w:r>
      <w:r w:rsidRPr="00FB6015">
        <w:t xml:space="preserve"> on these types of upgrades, has suggested there may be a benefit to adopting an approach that </w:t>
      </w:r>
      <w:r>
        <w:t xml:space="preserve">is </w:t>
      </w:r>
      <w:r w:rsidRPr="00FB6015">
        <w:t>closely integrated with the existing home improvement market. Recent industry literature provides findings on the roles of audits and contractor training that are relevant to this shift in whole-house program approach, as well as the potential benefits and limitations of financing in driving energy upgrades.</w:t>
      </w:r>
    </w:p>
    <w:p w:rsidR="00C24970" w:rsidRPr="00FB6015" w:rsidRDefault="00C24970" w:rsidP="00C24970"/>
    <w:p w:rsidR="00C24970" w:rsidRPr="007B2589" w:rsidRDefault="00C24970" w:rsidP="00E673F0">
      <w:pPr>
        <w:pStyle w:val="Heading5"/>
      </w:pPr>
      <w:r w:rsidRPr="007B2589">
        <w:t>Audit Approaches</w:t>
      </w:r>
    </w:p>
    <w:p w:rsidR="00C24970" w:rsidRPr="00FB6015" w:rsidRDefault="00C24970" w:rsidP="00C24970">
      <w:r w:rsidRPr="00FB6015">
        <w:t xml:space="preserve">An analysis of 54 comprehensive residential efficiency programs supported by grants from the ARRA-funded BBNP found that offering multiple audit types predicted program success across a range of factors. In particular, grantees found that offering less expensive and less comprehensive audits resulted in a wider range of participants engaging in the program, including those who may be interested in completing some efficiency improvements but are not prepared to complete a comprehensive project. Grantees who took this approach achieved similar levels of average energy savings per upgrade as grantees who offered only comprehensive audits, but did so at a considerably lower cost. Another study comparing phone-based energy audits to in-person audits similarly found no significant increase in customer satisfaction or uptake of audit recommendations among participants who received in-home audits relative to those who received phone advising. </w:t>
      </w:r>
    </w:p>
    <w:p w:rsidR="00C24970" w:rsidRPr="00FB6015" w:rsidRDefault="00C24970" w:rsidP="00C24970"/>
    <w:p w:rsidR="00C24970" w:rsidRPr="00FB6015" w:rsidRDefault="00C24970" w:rsidP="00C24970">
      <w:r w:rsidRPr="00FB6015">
        <w:t xml:space="preserve">The BBNP grantees who offered less comprehensive assessment options in addition to comprehensive audits nonetheless took steps to encourage participants to install multiple measures. While these grantees relied on prescriptive incentives for participants who did not receive comprehensive audits, their incentive structures required participants to install a set number or package of measures, provided bonuses for installation of multiple measures, or both. In many cases these programs would also reach out to participants after their upgrades were complete, hoping to leverage an initial positive experience and encourage them to make additional improvements.  </w:t>
      </w:r>
    </w:p>
    <w:p w:rsidR="00C24970" w:rsidRPr="00FB6015" w:rsidRDefault="00C24970" w:rsidP="00C24970"/>
    <w:p w:rsidR="00C24970" w:rsidRPr="00FB6015" w:rsidRDefault="00C24970" w:rsidP="00C24970">
      <w:r w:rsidRPr="00FB6015">
        <w:t xml:space="preserve">Other effective audit practices identified in industry literature include charging customers at least a nominal fee for the audit. Programs have found that doing so helps reduce the number of audit participants who are curious about what the audit might find but not seriously interested in completing an energy upgrade. Thus, audit fees can increase audit-to-retrofit conversion rates. Providing direct installation of measures during the audit is another practice that industry sources have found to be effective. These measures can allow the program to claim some energy savings from audit participants who do not go on to make additional energy upgrades. Programs offering direct measure installation have also generated high customer satisfaction. </w:t>
      </w:r>
    </w:p>
    <w:p w:rsidR="00C24970" w:rsidRPr="00FB6015" w:rsidRDefault="00C24970" w:rsidP="00C24970"/>
    <w:p w:rsidR="00C24970" w:rsidRPr="009F5A3D" w:rsidRDefault="00C24970" w:rsidP="00E673F0">
      <w:pPr>
        <w:pStyle w:val="Heading5"/>
      </w:pPr>
      <w:r w:rsidRPr="009F5A3D">
        <w:t>Contractor Engagement and Training</w:t>
      </w:r>
    </w:p>
    <w:p w:rsidR="00C24970" w:rsidRPr="00FB6015" w:rsidRDefault="00C24970" w:rsidP="00C24970">
      <w:r w:rsidRPr="00FB6015">
        <w:t xml:space="preserve">In the </w:t>
      </w:r>
      <w:r w:rsidR="00C22A39" w:rsidRPr="00FB6015">
        <w:t>home improvement</w:t>
      </w:r>
      <w:r w:rsidRPr="00FB6015">
        <w:t xml:space="preserve"> market as a whole, general home remodeling contractors and HVAC contractors complete most projects; contractors dedicated specifically to energy efficiency improvements conduct relatively few projects. As a result, recent industry literature suggests that, for energy upgrades to attain significant scale, PAs will need to engage contractors across multiple building trades, looking beyond those who have adopted energy upgrades as a business focus. </w:t>
      </w:r>
    </w:p>
    <w:p w:rsidR="00C24970" w:rsidRPr="00FB6015" w:rsidRDefault="00C24970" w:rsidP="00C24970"/>
    <w:p w:rsidR="00C24970" w:rsidRPr="00FB6015" w:rsidRDefault="00C24970" w:rsidP="00C24970">
      <w:r w:rsidRPr="00FB6015">
        <w:t xml:space="preserve">Consistent with this approach, the evaluation of the BBNP found that programs with a larger number of participating contractors were more likely to be successful. Homeowners’ practices in selecting a contractor for home improvement projects likely contribute to both this finding and the importance of programs engaging with a wide range of contractors. Homeowners most often select contractors for home improvement projects based on word-of-mouth recommendations, past experience working with the contractor, or some other type of previous personal relationship with the contractor. Roughly half of homeowners contact only one contractor for any given project. As a result, working with a larger pool of participating contractors may increase the likelihood that a homeowner would contact one of a program’s trade ally contractors for any given project, giving that contractor an opportunity to recommend energy upgrades. </w:t>
      </w:r>
    </w:p>
    <w:p w:rsidR="00C24970" w:rsidRPr="00FB6015" w:rsidRDefault="00C24970" w:rsidP="00C24970"/>
    <w:p w:rsidR="00C24970" w:rsidRPr="00FB6015" w:rsidRDefault="00C24970" w:rsidP="00C24970">
      <w:r w:rsidRPr="00FB6015">
        <w:t>As the only program representative likely to be present at the time a homeowner decides whether or not to move forward with an energy upgrade, trade ally contractors play a key role in selling energy upgrade projects. As a result, contractor training, and particularly training in sales skills, can play an important role in the success of efficiency programs. The BBNP evaluation found that grantees who did not offer contractor training were significantly more likely to be among the least successful, and the more types of training a grantee offered, the more likely they were to be successful. BBNP grantees drew on a variety of providers for contractor training, ranging from national training vendors to community colleges to equipment manufacturers’ representatives. Grantees also used both in-the-field mentoring and classroom training.</w:t>
      </w:r>
    </w:p>
    <w:p w:rsidR="00C24970" w:rsidRDefault="00C24970" w:rsidP="00C24970"/>
    <w:p w:rsidR="00C24970" w:rsidRPr="009F5A3D" w:rsidRDefault="00C24970" w:rsidP="00E673F0">
      <w:pPr>
        <w:pStyle w:val="Heading5"/>
      </w:pPr>
      <w:r w:rsidRPr="009F5A3D">
        <w:t>Financing</w:t>
      </w:r>
    </w:p>
    <w:p w:rsidR="00C24970" w:rsidRPr="00FB6015" w:rsidRDefault="00C24970" w:rsidP="00C24970">
      <w:r w:rsidRPr="00FB6015">
        <w:t>PAs have long looked to financing as a tool to increase uptake of comprehensive home energy upgrades by eliminating the up</w:t>
      </w:r>
      <w:r>
        <w:t>-</w:t>
      </w:r>
      <w:r w:rsidRPr="00FB6015">
        <w:t>front costs of those upgrades to homeowners. Recently, a growing number of PAs have launched energy efficiency financing offerings as a way to leverage private funds to meet increasing energy savings targets. The experience of these PAs provides lessons learned on the role financing can play in residential energy upgrade programs.</w:t>
      </w:r>
    </w:p>
    <w:p w:rsidR="00C24970" w:rsidRPr="00FB6015" w:rsidRDefault="00C24970" w:rsidP="00C24970">
      <w:r w:rsidRPr="00FB6015">
        <w:t xml:space="preserve"> </w:t>
      </w:r>
    </w:p>
    <w:p w:rsidR="00C24970" w:rsidRPr="00FB6015" w:rsidRDefault="00C24970" w:rsidP="00C24970">
      <w:r w:rsidRPr="00FB6015">
        <w:t xml:space="preserve">The BBNP grantees and other </w:t>
      </w:r>
      <w:r>
        <w:t>PAs</w:t>
      </w:r>
      <w:r w:rsidRPr="00FB6015">
        <w:t xml:space="preserve"> found that financing is not appealing to many program participants, but it is valuable to those who use it. Eighteen percent of all participants in residential BBNP-funded programs that offered loans used them. This figure is consistent with the loan uptake range of 10%</w:t>
      </w:r>
      <w:r>
        <w:t>–</w:t>
      </w:r>
      <w:r w:rsidRPr="00FB6015">
        <w:t xml:space="preserve">20% that </w:t>
      </w:r>
      <w:r>
        <w:t>PAs</w:t>
      </w:r>
      <w:r w:rsidRPr="00FB6015">
        <w:t xml:space="preserve"> around the country have identified as typical for residential financing programs. Nonetheless, a large majority of participants in BBNP-funded programs who received loans (73%) reported that the availability of the loan was important in their decision to make upgrades. </w:t>
      </w:r>
    </w:p>
    <w:p w:rsidR="00C24970" w:rsidRPr="00FB6015" w:rsidRDefault="00C24970" w:rsidP="00C24970"/>
    <w:p w:rsidR="00C24970" w:rsidRDefault="00C24970" w:rsidP="00C24970">
      <w:r w:rsidRPr="006B1374">
        <w:t>Consistent</w:t>
      </w:r>
      <w:r w:rsidRPr="00FB6015">
        <w:t xml:space="preserve"> with the limited appeal of financing among efficiency program participants, industry literature suggests that financing is most effective as a sales tool to address the specific concerns that prevent an individual homeowner from moving forward with an upgrade. Financing is less effective as a marketing tool seeking to generate interest in energy upgrades among the general public. BBNP grantees found that offering low interest rates increases uptake of financing offerings. Nonetheless, lenders may be unwilling to use expanded or alternate underwriting criteria for loans offered at very low interest rates.</w:t>
      </w:r>
      <w:r w:rsidRPr="00FB6015">
        <w:rPr>
          <w:vertAlign w:val="superscript"/>
        </w:rPr>
        <w:footnoteReference w:id="33"/>
      </w:r>
      <w:r w:rsidRPr="00FB6015">
        <w:t xml:space="preserve"> As a result, programs offering very low rates may do so at the expense of a program’s ability to reach low</w:t>
      </w:r>
      <w:r>
        <w:t>-</w:t>
      </w:r>
      <w:r w:rsidRPr="00FB6015">
        <w:t xml:space="preserve"> and moderate</w:t>
      </w:r>
      <w:r>
        <w:t>-</w:t>
      </w:r>
      <w:r w:rsidRPr="00FB6015">
        <w:t>income homeowners who are less likely to have other financing options.</w:t>
      </w:r>
    </w:p>
    <w:p w:rsidR="008B5045" w:rsidRPr="00FB6015" w:rsidRDefault="008B5045" w:rsidP="00C24970"/>
    <w:p w:rsidR="00C24970" w:rsidRPr="00FB6015" w:rsidRDefault="00C24970" w:rsidP="00C24970">
      <w:r w:rsidRPr="00FB6015">
        <w:t xml:space="preserve">It is important for programs to seamlessly integrate financing into their processes and make participation easy for homeowners. Providing loans involves a wide range of actors and communication flows that have not traditionally been part of efficiency programs, and the long processes that can result may lead participants to drop out of the program before completing the process. </w:t>
      </w:r>
    </w:p>
    <w:p w:rsidR="00C24970" w:rsidRPr="00FB6015" w:rsidRDefault="00C24970" w:rsidP="00C24970"/>
    <w:p w:rsidR="00C24970" w:rsidRPr="00FB6015" w:rsidRDefault="00C24970" w:rsidP="00C24970">
      <w:r w:rsidRPr="00FB6015">
        <w:t>Increased convenience for participants is one of the primary benefits programs have seen in offering loan repayment on the participant’s utility or property tax bill. Nonetheless, on-bill repayment has the potential to offer a variety of additional benefits: by attaching loans to a meter or property, programs may be able to overcome some homeowners’ concerns that they would move before seeing financial returns on any investments they make in energy efficiency. Further</w:t>
      </w:r>
      <w:r>
        <w:t>more</w:t>
      </w:r>
      <w:r w:rsidRPr="00FB6015">
        <w:t>, on-bill repayment has the potential to reduce the lender’s risk because there is very low delinquency on utility bills</w:t>
      </w:r>
      <w:r>
        <w:t>,</w:t>
      </w:r>
      <w:r w:rsidRPr="00FB6015">
        <w:t xml:space="preserve"> and programs can impose utility service disconnection as a penalty for nonpayment of on-bill loans. </w:t>
      </w:r>
    </w:p>
    <w:p w:rsidR="00C24970" w:rsidRPr="00FB6015" w:rsidRDefault="00C24970" w:rsidP="00C24970"/>
    <w:p w:rsidR="00C24970" w:rsidRPr="00FB6015" w:rsidRDefault="00C24970" w:rsidP="00C24970">
      <w:r w:rsidRPr="00FB6015">
        <w:t>Many of the potential benefits of on-bill lending remain untested on a large scale. A review of programs across the country found that default rates for on-bill lending programs were low (less than 2%), regardless of whether the program included the possibility of utility service disconnection for nonpayment. To date, programs have relatively little experience with loans transferring from one resident to another. The benefits of transferability depend on the new resident accepting the loan, and the proportion of loans that transfer relative to those that are paid off before a property is sold is unclear.</w:t>
      </w:r>
      <w:r w:rsidRPr="00FB6015">
        <w:rPr>
          <w:vertAlign w:val="superscript"/>
        </w:rPr>
        <w:footnoteReference w:id="34"/>
      </w:r>
      <w:r w:rsidRPr="00FB6015">
        <w:t xml:space="preserve"> </w:t>
      </w:r>
    </w:p>
    <w:p w:rsidR="00C24970" w:rsidRPr="00FB6015" w:rsidRDefault="00C24970" w:rsidP="00C24970"/>
    <w:p w:rsidR="00C24970" w:rsidRPr="00C22A39" w:rsidRDefault="00C24970" w:rsidP="00E673F0">
      <w:pPr>
        <w:pStyle w:val="Heading4"/>
      </w:pPr>
      <w:bookmarkStart w:id="440" w:name="_Toc472472140"/>
      <w:r w:rsidRPr="00C22A39">
        <w:t>Behavioral Interventions</w:t>
      </w:r>
      <w:bookmarkEnd w:id="440"/>
    </w:p>
    <w:p w:rsidR="00C24970" w:rsidRPr="00FB6015" w:rsidRDefault="00C24970" w:rsidP="00C24970">
      <w:r w:rsidRPr="00FB6015">
        <w:t xml:space="preserve">Recent industry literature reflects a growing focus among energy efficiency program </w:t>
      </w:r>
      <w:r>
        <w:t>PAs</w:t>
      </w:r>
      <w:r w:rsidRPr="00FB6015">
        <w:t xml:space="preserve"> on using strategies from social and behavioral science to motivate people to reduce their energy consumption. Two elements stand out in the way regulators and PAs have defined these programs: they are based on the deliberate application of social science theory</w:t>
      </w:r>
      <w:r w:rsidR="00524B80">
        <w:t>,</w:t>
      </w:r>
      <w:r w:rsidRPr="00FB6015">
        <w:t xml:space="preserve"> and</w:t>
      </w:r>
      <w:r w:rsidR="00524B80">
        <w:t xml:space="preserve"> they</w:t>
      </w:r>
      <w:r w:rsidRPr="00FB6015">
        <w:t xml:space="preserve"> identify specific behaviors that they seek to change. As described below, industry literature identified three common behavioral strategies and two primary challenges that behavioral programs face.</w:t>
      </w:r>
    </w:p>
    <w:p w:rsidR="008B5045" w:rsidRDefault="008B5045" w:rsidP="00C24970"/>
    <w:p w:rsidR="00771798" w:rsidRDefault="00771798" w:rsidP="00C24970"/>
    <w:p w:rsidR="00C24970" w:rsidRPr="009F5A3D" w:rsidRDefault="00C24970" w:rsidP="00E673F0">
      <w:pPr>
        <w:pStyle w:val="Heading5"/>
      </w:pPr>
      <w:r w:rsidRPr="009F5A3D">
        <w:t>Behavioral Strategies</w:t>
      </w:r>
    </w:p>
    <w:p w:rsidR="00C24970" w:rsidRPr="00FB6015" w:rsidRDefault="00C24970" w:rsidP="00C24970">
      <w:r w:rsidRPr="00FB6015">
        <w:t>As noted above, programs seeking to bring about behavior</w:t>
      </w:r>
      <w:r>
        <w:t>al</w:t>
      </w:r>
      <w:r w:rsidRPr="00FB6015">
        <w:t xml:space="preserve"> change do so by leveraging specific interventions based in social science theory. Catalogs of behavioral interventions have identified 33 strategies to influence energy use that fit into 12 categories. This section describes three of the most common strategies PAs have employed, based on industry literature. </w:t>
      </w:r>
    </w:p>
    <w:p w:rsidR="00C24970" w:rsidRPr="00FB6015" w:rsidRDefault="00C24970" w:rsidP="00C24970"/>
    <w:p w:rsidR="00C24970" w:rsidRPr="008C4F49" w:rsidRDefault="00C24970" w:rsidP="00E673F0">
      <w:pPr>
        <w:pStyle w:val="Heading5"/>
      </w:pPr>
      <w:r w:rsidRPr="008C4F49">
        <w:t>Social Norms</w:t>
      </w:r>
    </w:p>
    <w:p w:rsidR="00C24970" w:rsidRPr="00FB6015" w:rsidRDefault="00C24970" w:rsidP="00C24970">
      <w:r w:rsidRPr="0094299A">
        <w:t>Social</w:t>
      </w:r>
      <w:r w:rsidRPr="00FB6015">
        <w:t xml:space="preserve"> norms form when individuals observe other members of their community adopting a particular behavior and come to view that behavior as “widely accepted, socially supported, and therefore natural</w:t>
      </w:r>
      <w:r>
        <w:t>.</w:t>
      </w:r>
      <w:r w:rsidRPr="00FB6015">
        <w:t>”</w:t>
      </w:r>
      <w:r>
        <w:rPr>
          <w:rStyle w:val="FootnoteReference"/>
        </w:rPr>
        <w:footnoteReference w:id="35"/>
      </w:r>
      <w:r w:rsidRPr="00FB6015">
        <w:t xml:space="preserve"> Interventions seeking to leverage social norms as a behavioral strategy compare participants </w:t>
      </w:r>
      <w:r>
        <w:t>with</w:t>
      </w:r>
      <w:r w:rsidRPr="00FB6015">
        <w:t xml:space="preserve"> other members of their community and make community members’ energy saving</w:t>
      </w:r>
      <w:r>
        <w:t>s</w:t>
      </w:r>
      <w:r w:rsidRPr="00FB6015">
        <w:t xml:space="preserve"> actions visible in order to build norms around the targeted energy saving</w:t>
      </w:r>
      <w:r>
        <w:t>s</w:t>
      </w:r>
      <w:r w:rsidRPr="00FB6015">
        <w:t xml:space="preserve"> behaviors. These interventions also often seek to leverage existing social networks, and messages delivered by individuals who are influential within those networks can be particularly effective in building norms and motivating behavior. HER programs that compare participants </w:t>
      </w:r>
      <w:r>
        <w:t>with</w:t>
      </w:r>
      <w:r w:rsidRPr="00FB6015">
        <w:t xml:space="preserve"> their neighbors may be the most common strategy PAs have used to leverage social norms. Other strategies drawing on social norms include competitions, opt-in feedback programs, and benchmarking programs. </w:t>
      </w:r>
    </w:p>
    <w:p w:rsidR="00C24970" w:rsidRPr="00FB6015" w:rsidRDefault="00C24970" w:rsidP="00C24970"/>
    <w:p w:rsidR="00C24970" w:rsidRPr="00FB6015" w:rsidRDefault="00C24970" w:rsidP="00C24970">
      <w:r w:rsidRPr="00FB6015">
        <w:t>The Ontario Power Authority’s Project Porchlight is an example of a program seeking to leverage social norms to influence behavior. The program encouraged residents in targeted neighborhoods to replace the incandescent lamps in their porch lights with CFLs. Volunteers went door-to-door in their own neighborhoods distributing CFLs and encouraging their neighbors to install them. The program anticipated that this peer-to-peer interaction would build social norms encouraging the use of CFLs. The program operated in four Canadian provinces and three U.S. states and distributed a large number of CFLs for a very low cost of saved energy</w:t>
      </w:r>
      <w:r>
        <w:t xml:space="preserve"> </w:t>
      </w:r>
      <w:r w:rsidRPr="00FB6015">
        <w:t xml:space="preserve">($0.01/kWh). </w:t>
      </w:r>
    </w:p>
    <w:p w:rsidR="003F64A2" w:rsidRPr="00FB6015" w:rsidRDefault="003F64A2" w:rsidP="00C24970"/>
    <w:p w:rsidR="00C24970" w:rsidRPr="008C4F49" w:rsidRDefault="00C24970" w:rsidP="00E673F0">
      <w:pPr>
        <w:pStyle w:val="Heading5"/>
      </w:pPr>
      <w:r w:rsidRPr="008C4F49">
        <w:t>Feedback</w:t>
      </w:r>
    </w:p>
    <w:p w:rsidR="00C24970" w:rsidRPr="00FB6015" w:rsidRDefault="00C24970" w:rsidP="00C24970">
      <w:r w:rsidRPr="00FB6015">
        <w:t>Feedback programs provide participants with information about their energy use, which they can use to inform decisions on energy saving</w:t>
      </w:r>
      <w:r>
        <w:t>s</w:t>
      </w:r>
      <w:r w:rsidRPr="00FB6015">
        <w:t xml:space="preserve"> actions and potentially see the results of those actions. Asynchronous feedback programs provide participants with information about their energy use over a defined period in the past. HERs are the most common form of asynchronous feedback </w:t>
      </w:r>
      <w:r>
        <w:t xml:space="preserve">that </w:t>
      </w:r>
      <w:r w:rsidRPr="00FB6015">
        <w:t>PAs are currently using.</w:t>
      </w:r>
      <w:r w:rsidRPr="00FB6015">
        <w:rPr>
          <w:vertAlign w:val="superscript"/>
        </w:rPr>
        <w:footnoteReference w:id="36"/>
      </w:r>
      <w:r w:rsidRPr="00FB6015">
        <w:t xml:space="preserve"> These programs typically generate net energy savings ranging from 0.9% to 2.2%. </w:t>
      </w:r>
    </w:p>
    <w:p w:rsidR="00C24970" w:rsidRPr="00FB6015" w:rsidRDefault="00C24970" w:rsidP="00C24970"/>
    <w:p w:rsidR="00C24970" w:rsidRDefault="00C24970" w:rsidP="00C24970">
      <w:r w:rsidRPr="00FB6015">
        <w:t>Real-time feedback programs provide customers with information about their home’s current energy use, through an online portal, mobile app, in-home display, or smart thermostat. These programs allow participants to observe the immediate impact of changes in behavior on their energy use. PAs have used real-time feedback to support real-time pricing and behavioral demand response programs. Southern California Edison’s (SCE</w:t>
      </w:r>
      <w:r w:rsidR="00AD795C">
        <w:t>’s</w:t>
      </w:r>
      <w:r w:rsidRPr="00FB6015">
        <w:t>) SmartConnect Program provides in-home displays and offers tools to help participants set a budget, including alerts when they approach the budget and suggestions for actions they can take to stay within their budget. The program also alerts customers on days when incentives are available for behavioral demand response savings.</w:t>
      </w:r>
      <w:r w:rsidRPr="00FB6015">
        <w:rPr>
          <w:vertAlign w:val="superscript"/>
        </w:rPr>
        <w:footnoteReference w:id="37"/>
      </w:r>
      <w:r w:rsidRPr="00FB6015">
        <w:t xml:space="preserve"> While SCE’s SmartConnect Program does not include real-time pricing, its approach is consistent with research that has found that real-time pricing programs are most effective when integrated with other behavioral strategies like goal</w:t>
      </w:r>
      <w:r>
        <w:t xml:space="preserve"> </w:t>
      </w:r>
      <w:r w:rsidRPr="00FB6015">
        <w:t>setting and notifications.</w:t>
      </w:r>
    </w:p>
    <w:p w:rsidR="00C24970" w:rsidRPr="00FB6015" w:rsidRDefault="00C24970" w:rsidP="00C24970"/>
    <w:p w:rsidR="00C24970" w:rsidRPr="008C4F49" w:rsidRDefault="00C24970" w:rsidP="00E673F0">
      <w:pPr>
        <w:pStyle w:val="Heading5"/>
      </w:pPr>
      <w:r w:rsidRPr="008C4F49">
        <w:t>Commitment</w:t>
      </w:r>
    </w:p>
    <w:p w:rsidR="00C24970" w:rsidRPr="00FB6015" w:rsidRDefault="00C24970" w:rsidP="00C24970">
      <w:r w:rsidRPr="00FB6015">
        <w:t>Social scientists have found that individuals are more likely to follow through on an action if they make a public commitment or publicly state a goal to take that action. The public nature of these commitments can provide social pressure to follow through with the action and generate an uncomfortable sense of cognitive dissonance if the individual does not follow</w:t>
      </w:r>
      <w:r>
        <w:t xml:space="preserve"> </w:t>
      </w:r>
      <w:r w:rsidRPr="00FB6015">
        <w:t>through.</w:t>
      </w:r>
      <w:r w:rsidRPr="00FB6015">
        <w:rPr>
          <w:vertAlign w:val="superscript"/>
        </w:rPr>
        <w:footnoteReference w:id="38"/>
      </w:r>
      <w:r w:rsidRPr="00FB6015">
        <w:t xml:space="preserve"> Programs seeking to leverage commitment as a behavior change strategy have asked participants to make public pledges to save energy, and have used competitions as a way to motivate participants to make and follow through on commitments.</w:t>
      </w:r>
    </w:p>
    <w:p w:rsidR="00C24970" w:rsidRPr="00FB6015" w:rsidRDefault="00C24970" w:rsidP="00C24970"/>
    <w:p w:rsidR="00C24970" w:rsidRPr="00FB6015" w:rsidRDefault="00C24970" w:rsidP="00C24970">
      <w:r w:rsidRPr="00FB6015">
        <w:t>Entergy Solutions Rewards is a pledge program in Arkansas that asks customers to sign a pledge committing to energy savings behaviors. The behaviors vary but include pledges to change the dryer lint filter, install CFLs, use an advanced power strip, or lower the thermostat</w:t>
      </w:r>
      <w:r>
        <w:t xml:space="preserve"> setting</w:t>
      </w:r>
      <w:r w:rsidRPr="00FB6015">
        <w:t xml:space="preserve"> in winter.</w:t>
      </w:r>
      <w:r w:rsidRPr="00FB6015">
        <w:rPr>
          <w:vertAlign w:val="superscript"/>
        </w:rPr>
        <w:footnoteReference w:id="39"/>
      </w:r>
      <w:r w:rsidRPr="00FB6015">
        <w:t xml:space="preserve"> Respondents are rewarded with a $5 gift card to Walmart, Barnes and Noble, or a variety of other retailers and restaurants.</w:t>
      </w:r>
      <w:r w:rsidRPr="00FB6015">
        <w:rPr>
          <w:vertAlign w:val="superscript"/>
        </w:rPr>
        <w:footnoteReference w:id="40"/>
      </w:r>
    </w:p>
    <w:p w:rsidR="00C22A39" w:rsidRPr="00FB6015" w:rsidRDefault="00C22A39" w:rsidP="00C24970"/>
    <w:p w:rsidR="00C24970" w:rsidRPr="008A5E9E" w:rsidRDefault="00C24970" w:rsidP="00E673F0">
      <w:pPr>
        <w:pStyle w:val="Heading5"/>
      </w:pPr>
      <w:r w:rsidRPr="008A5E9E">
        <w:t>Designing Behavioral Interventions for Evaluation</w:t>
      </w:r>
    </w:p>
    <w:p w:rsidR="00C24970" w:rsidRPr="00FB6015" w:rsidRDefault="00C24970" w:rsidP="00C24970">
      <w:r w:rsidRPr="00FB6015">
        <w:t xml:space="preserve">Traditional efficiency program evaluation approaches focus on identifying the impact of a discrete action—like replacing a piece of equipment or making an improvement to a building—on a participant’s energy use. Participants’ responses to behavioral programs may not include these types of large, one-time actions. Instead they may include many smaller activities to reduce energy use. As a result, behavioral programs require distinct evaluation approaches, and incorporation of these approaches often has implications for program design. Two approaches to measure the impact of behavioral programs are pre- and post-treatment comparisons and controlled experiments. </w:t>
      </w:r>
    </w:p>
    <w:p w:rsidR="00C24970" w:rsidRPr="00FB6015" w:rsidRDefault="00C24970" w:rsidP="00C24970"/>
    <w:p w:rsidR="00C24970" w:rsidRPr="00FB6015" w:rsidRDefault="00C24970" w:rsidP="00C24970">
      <w:r w:rsidRPr="00FB6015">
        <w:t xml:space="preserve">Pre- and post-treatment comparisons evaluate an intervention by comparing the energy use of </w:t>
      </w:r>
      <w:r>
        <w:t xml:space="preserve">individual </w:t>
      </w:r>
      <w:r w:rsidRPr="00FB6015">
        <w:t xml:space="preserve">participants prior to </w:t>
      </w:r>
      <w:r>
        <w:t>and</w:t>
      </w:r>
      <w:r w:rsidRPr="00FB6015">
        <w:t xml:space="preserve"> following the intervention. This approach can be effective for programs in which participants opt in (rather than being randomly selected). Individuals </w:t>
      </w:r>
      <w:r>
        <w:t>who</w:t>
      </w:r>
      <w:r w:rsidRPr="00FB6015">
        <w:t xml:space="preserve"> opt in to the program may not be representative of the population, making it difficult to identify a control group that would serve as an effective comparison. Pre</w:t>
      </w:r>
      <w:r>
        <w:t xml:space="preserve">- and </w:t>
      </w:r>
      <w:r w:rsidRPr="00FB6015">
        <w:t>post</w:t>
      </w:r>
      <w:r>
        <w:t>-treatment</w:t>
      </w:r>
      <w:r w:rsidRPr="00FB6015">
        <w:t xml:space="preserve"> comparisons also face challenges, however, in that factors external to the program intervention, like seasonal changes and changes in energy use associated with changing economic conditions, may alter participants’ energy use between the pre- and post-treatment time periods. </w:t>
      </w:r>
    </w:p>
    <w:p w:rsidR="00C24970" w:rsidRPr="00FB6015" w:rsidRDefault="00C24970" w:rsidP="00C24970"/>
    <w:p w:rsidR="00C24970" w:rsidRDefault="00C24970" w:rsidP="00C24970">
      <w:r w:rsidRPr="00FB6015">
        <w:t>Randomized controlled experiments define both a treatment group, which receives the intervention, and a control group, which does not receive the intervention, and compare the energy use of the two groups. More complex experimental designs may identify multiple treatment groups to receive varying elements of the intervention in order to isolate the effects of specific elements. To effectively design the experiment</w:t>
      </w:r>
      <w:r>
        <w:t>,</w:t>
      </w:r>
      <w:r w:rsidRPr="00FB6015">
        <w:t xml:space="preserve"> PAs must carefully select the treatment and control groups to ensure that they do not differ across any characteristics that might influence their energy use or response to the intervention. These types of controlled experiments are most effective with relatively straight-forward program designs, and have been used to evaluate real-time feedback and </w:t>
      </w:r>
      <w:r>
        <w:t>HER</w:t>
      </w:r>
      <w:r w:rsidRPr="00FB6015">
        <w:t xml:space="preserve"> programs.</w:t>
      </w:r>
    </w:p>
    <w:p w:rsidR="00980869" w:rsidRPr="00980869" w:rsidRDefault="00740F78" w:rsidP="00E673F0">
      <w:pPr>
        <w:pStyle w:val="Heading3"/>
      </w:pPr>
      <w:bookmarkStart w:id="441" w:name="_Toc472472141"/>
      <w:bookmarkStart w:id="442" w:name="_Toc488765834"/>
      <w:r>
        <w:t>Process Evaluation Recommendations</w:t>
      </w:r>
      <w:bookmarkEnd w:id="441"/>
      <w:bookmarkEnd w:id="442"/>
    </w:p>
    <w:p w:rsidR="008C02DB" w:rsidRDefault="008C02DB" w:rsidP="0055637D">
      <w:r>
        <w:t xml:space="preserve">Based on the recommendations provided by evaluation contractors and included in the EDCs’ PY7 annual reports, and making an effort to include at least one recommendation for each program type, the SWE Team has identified the following recommendations as having the greatest potential impact. </w:t>
      </w:r>
      <w:r w:rsidR="005C1363">
        <w:t>In some cases, the SWE Team had edited the recommendations for length.</w:t>
      </w:r>
    </w:p>
    <w:p w:rsidR="008C02DB" w:rsidRDefault="008C02DB" w:rsidP="0055637D"/>
    <w:p w:rsidR="008C02DB" w:rsidRPr="00C22A39" w:rsidRDefault="00C22A39" w:rsidP="00771798">
      <w:pPr>
        <w:rPr>
          <w:rFonts w:ascii="Century Gothic" w:hAnsi="Century Gothic"/>
          <w:b/>
          <w:color w:val="404040" w:themeColor="text1" w:themeTint="BF"/>
          <w:spacing w:val="-12"/>
          <w:sz w:val="21"/>
          <w:szCs w:val="21"/>
        </w:rPr>
      </w:pPr>
      <w:r w:rsidRPr="00C22A39">
        <w:rPr>
          <w:rFonts w:ascii="Century Gothic" w:hAnsi="Century Gothic"/>
          <w:b/>
          <w:color w:val="404040" w:themeColor="text1" w:themeTint="BF"/>
          <w:spacing w:val="-12"/>
          <w:sz w:val="21"/>
          <w:szCs w:val="21"/>
        </w:rPr>
        <w:t>RESIDENTIAL PRODUCTS</w:t>
      </w:r>
    </w:p>
    <w:p w:rsidR="008C02DB" w:rsidRDefault="008C02DB" w:rsidP="00E646C9">
      <w:pPr>
        <w:pStyle w:val="ListParagraph"/>
        <w:numPr>
          <w:ilvl w:val="0"/>
          <w:numId w:val="64"/>
        </w:numPr>
        <w:ind w:left="360"/>
        <w:contextualSpacing w:val="0"/>
      </w:pPr>
      <w:r>
        <w:t>FirstEnergy: Review rebate paperwork processes to identify opportunities to streamline documentation requirements and notify contractors and customers more quickly if project documentation is incomplete.</w:t>
      </w:r>
    </w:p>
    <w:p w:rsidR="008C02DB" w:rsidRDefault="008C02DB" w:rsidP="00E646C9">
      <w:pPr>
        <w:pStyle w:val="ListParagraph"/>
        <w:numPr>
          <w:ilvl w:val="0"/>
          <w:numId w:val="64"/>
        </w:numPr>
        <w:ind w:left="360"/>
        <w:contextualSpacing w:val="0"/>
      </w:pPr>
      <w:r>
        <w:t xml:space="preserve">PECO: Focus </w:t>
      </w:r>
      <w:r w:rsidR="00DF6590">
        <w:t>outreach</w:t>
      </w:r>
      <w:r>
        <w:t xml:space="preserve"> efforts on HVAC installers for the non-lighting aspect of Smart Home Rebates program in Phase III as the program ramps back up and invites new installation companies to join.</w:t>
      </w:r>
    </w:p>
    <w:p w:rsidR="008C02DB" w:rsidRDefault="008C02DB" w:rsidP="00E646C9">
      <w:pPr>
        <w:pStyle w:val="ListParagraph"/>
        <w:numPr>
          <w:ilvl w:val="0"/>
          <w:numId w:val="64"/>
        </w:numPr>
        <w:ind w:left="360"/>
        <w:contextualSpacing w:val="0"/>
      </w:pPr>
      <w:r>
        <w:t>PPL: Consider implementing an online model number look-up mechanism for customers, including incentive levels, to minimize confusion when tiered rebates are offered for the same type of appliance.</w:t>
      </w:r>
    </w:p>
    <w:p w:rsidR="008C02DB" w:rsidRDefault="008C02DB" w:rsidP="0055637D"/>
    <w:p w:rsidR="008C02DB" w:rsidRPr="00C22A39" w:rsidRDefault="00C22A39" w:rsidP="00771798">
      <w:pPr>
        <w:rPr>
          <w:rFonts w:ascii="Century Gothic" w:hAnsi="Century Gothic"/>
          <w:b/>
          <w:color w:val="404040" w:themeColor="text1" w:themeTint="BF"/>
          <w:sz w:val="21"/>
          <w:szCs w:val="21"/>
        </w:rPr>
      </w:pPr>
      <w:r w:rsidRPr="00C22A39">
        <w:rPr>
          <w:rFonts w:ascii="Century Gothic" w:hAnsi="Century Gothic"/>
          <w:b/>
          <w:color w:val="404040" w:themeColor="text1" w:themeTint="BF"/>
          <w:sz w:val="21"/>
          <w:szCs w:val="21"/>
        </w:rPr>
        <w:t>RESIDENTIAL LIGHTING</w:t>
      </w:r>
    </w:p>
    <w:p w:rsidR="008C02DB" w:rsidRDefault="008C02DB" w:rsidP="00E646C9">
      <w:pPr>
        <w:pStyle w:val="ListParagraph"/>
        <w:numPr>
          <w:ilvl w:val="0"/>
          <w:numId w:val="65"/>
        </w:numPr>
        <w:ind w:left="360"/>
        <w:contextualSpacing w:val="0"/>
      </w:pPr>
      <w:r>
        <w:t xml:space="preserve">Duquesne: If Phase III activities shift from promoting primarily CFLs to LEDs, consider updating or changing Wattley, the Watt Choices image, to look less like a CFL. </w:t>
      </w:r>
    </w:p>
    <w:p w:rsidR="008C02DB" w:rsidRDefault="008C02DB" w:rsidP="00E646C9">
      <w:pPr>
        <w:pStyle w:val="ListParagraph"/>
        <w:numPr>
          <w:ilvl w:val="0"/>
          <w:numId w:val="65"/>
        </w:numPr>
        <w:ind w:left="360"/>
        <w:contextualSpacing w:val="0"/>
      </w:pPr>
      <w:r>
        <w:t>PPL: Investigate the feasibility of using product placement as a lower-cost mechanism for generating sales lift.</w:t>
      </w:r>
    </w:p>
    <w:p w:rsidR="008C02DB" w:rsidRDefault="008C02DB" w:rsidP="0055637D"/>
    <w:p w:rsidR="008C02DB" w:rsidRPr="00C22A39" w:rsidRDefault="00C22A39" w:rsidP="00771798">
      <w:pPr>
        <w:rPr>
          <w:rFonts w:ascii="Century Gothic" w:hAnsi="Century Gothic"/>
          <w:b/>
          <w:color w:val="404040" w:themeColor="text1" w:themeTint="BF"/>
          <w:sz w:val="21"/>
          <w:szCs w:val="21"/>
        </w:rPr>
      </w:pPr>
      <w:r w:rsidRPr="00C22A39">
        <w:rPr>
          <w:rFonts w:ascii="Century Gothic" w:hAnsi="Century Gothic"/>
          <w:b/>
          <w:color w:val="404040" w:themeColor="text1" w:themeTint="BF"/>
          <w:sz w:val="21"/>
          <w:szCs w:val="21"/>
        </w:rPr>
        <w:t>RESIDENTIAL NEW HOMES</w:t>
      </w:r>
    </w:p>
    <w:p w:rsidR="008C02DB" w:rsidRDefault="008C02DB" w:rsidP="00E646C9">
      <w:pPr>
        <w:pStyle w:val="ListParagraph"/>
        <w:numPr>
          <w:ilvl w:val="0"/>
          <w:numId w:val="65"/>
        </w:numPr>
        <w:ind w:left="360"/>
        <w:contextualSpacing w:val="0"/>
      </w:pPr>
      <w:r>
        <w:t xml:space="preserve">FirstEnergy: As the Home Performance – New Construction </w:t>
      </w:r>
      <w:r w:rsidR="00AF6D8F">
        <w:t>program</w:t>
      </w:r>
      <w:r>
        <w:t xml:space="preserve"> becomes more streamlined or as incentives change, attempt to attract builders who began with the program but dropped out.</w:t>
      </w:r>
    </w:p>
    <w:p w:rsidR="00147500" w:rsidRDefault="00147500" w:rsidP="0055637D"/>
    <w:p w:rsidR="008C02DB" w:rsidRPr="00C22A39" w:rsidRDefault="00C22A39" w:rsidP="00771798">
      <w:pPr>
        <w:rPr>
          <w:rFonts w:ascii="Century Gothic" w:hAnsi="Century Gothic"/>
          <w:b/>
          <w:color w:val="404040" w:themeColor="text1" w:themeTint="BF"/>
          <w:sz w:val="21"/>
          <w:szCs w:val="21"/>
        </w:rPr>
      </w:pPr>
      <w:r w:rsidRPr="00C22A39">
        <w:rPr>
          <w:rFonts w:ascii="Century Gothic" w:hAnsi="Century Gothic"/>
          <w:b/>
          <w:color w:val="404040" w:themeColor="text1" w:themeTint="BF"/>
          <w:sz w:val="21"/>
          <w:szCs w:val="21"/>
        </w:rPr>
        <w:t>RESIDENTIAL OTHER</w:t>
      </w:r>
    </w:p>
    <w:p w:rsidR="008C02DB" w:rsidRDefault="008C02DB" w:rsidP="00E646C9">
      <w:pPr>
        <w:pStyle w:val="ListParagraph"/>
        <w:numPr>
          <w:ilvl w:val="0"/>
          <w:numId w:val="65"/>
        </w:numPr>
        <w:ind w:left="360"/>
        <w:contextualSpacing w:val="0"/>
      </w:pPr>
      <w:r w:rsidRPr="00336369">
        <w:t>Duquesne: With the new and differently implemented Whole House Energy Audit Program (WHEAP), track the</w:t>
      </w:r>
      <w:r>
        <w:t xml:space="preserve"> awareness of and implementation rate for </w:t>
      </w:r>
      <w:r w:rsidRPr="00336369">
        <w:t xml:space="preserve">Residential </w:t>
      </w:r>
      <w:r w:rsidR="00174831">
        <w:t>Energy Efficiency</w:t>
      </w:r>
      <w:r w:rsidRPr="00336369">
        <w:t xml:space="preserve"> Program (REEP) rebates among</w:t>
      </w:r>
      <w:r>
        <w:t xml:space="preserve"> WHEAP participants, to determine whether the link between the two programs is being made effectively to participants. </w:t>
      </w:r>
    </w:p>
    <w:p w:rsidR="008C02DB" w:rsidRDefault="008C02DB" w:rsidP="00E646C9">
      <w:pPr>
        <w:pStyle w:val="ListParagraph"/>
        <w:numPr>
          <w:ilvl w:val="0"/>
          <w:numId w:val="65"/>
        </w:numPr>
        <w:ind w:left="360"/>
        <w:contextualSpacing w:val="0"/>
      </w:pPr>
      <w:r>
        <w:t>Duquesne: If it is cost-effective, consider using the REEP</w:t>
      </w:r>
      <w:r w:rsidR="00FC2F51">
        <w:t xml:space="preserve"> and</w:t>
      </w:r>
      <w:r>
        <w:t xml:space="preserve"> </w:t>
      </w:r>
      <w:r w:rsidRPr="00F872B6">
        <w:t>Low-Income Energy Efficiency Program (LIEEP) kits</w:t>
      </w:r>
      <w:r>
        <w:t xml:space="preserve"> to introduce LEDs to participants in addition to one or more CFLs, as LEDs may result in lower free-ridership. </w:t>
      </w:r>
    </w:p>
    <w:p w:rsidR="008C02DB" w:rsidRDefault="008C02DB" w:rsidP="0055637D"/>
    <w:p w:rsidR="008C02DB" w:rsidRPr="00C22A39" w:rsidRDefault="00C22A39" w:rsidP="00771798">
      <w:pPr>
        <w:rPr>
          <w:rFonts w:ascii="Century Gothic" w:hAnsi="Century Gothic"/>
          <w:b/>
          <w:color w:val="404040" w:themeColor="text1" w:themeTint="BF"/>
          <w:sz w:val="21"/>
          <w:szCs w:val="21"/>
        </w:rPr>
      </w:pPr>
      <w:r w:rsidRPr="00C22A39">
        <w:rPr>
          <w:rFonts w:ascii="Century Gothic" w:hAnsi="Century Gothic"/>
          <w:b/>
          <w:color w:val="404040" w:themeColor="text1" w:themeTint="BF"/>
          <w:sz w:val="21"/>
          <w:szCs w:val="21"/>
        </w:rPr>
        <w:t>LOW-INCOME</w:t>
      </w:r>
    </w:p>
    <w:p w:rsidR="008C02DB" w:rsidRDefault="008C02DB" w:rsidP="00E646C9">
      <w:pPr>
        <w:pStyle w:val="ListParagraph"/>
        <w:numPr>
          <w:ilvl w:val="0"/>
          <w:numId w:val="65"/>
        </w:numPr>
        <w:ind w:left="360"/>
        <w:contextualSpacing w:val="0"/>
      </w:pPr>
      <w:r>
        <w:t xml:space="preserve">PECO: Develop targeted </w:t>
      </w:r>
      <w:r w:rsidRPr="00F872B6">
        <w:t xml:space="preserve">Low-Income Energy Efficiency </w:t>
      </w:r>
      <w:r>
        <w:t>(LEEP) program materials that prioritize next steps and guide customers to the most appropriate program component, and ensure that schedule expectations are clear and applied consistently across customers.</w:t>
      </w:r>
    </w:p>
    <w:p w:rsidR="00E3392B" w:rsidRPr="00E3392B" w:rsidRDefault="00E3392B" w:rsidP="00E3392B"/>
    <w:p w:rsidR="008C02DB" w:rsidRPr="00C22A39" w:rsidRDefault="00C22A39" w:rsidP="00771798">
      <w:pPr>
        <w:rPr>
          <w:rFonts w:ascii="Century Gothic" w:hAnsi="Century Gothic"/>
          <w:b/>
          <w:color w:val="404040" w:themeColor="text1" w:themeTint="BF"/>
          <w:sz w:val="21"/>
          <w:szCs w:val="21"/>
        </w:rPr>
      </w:pPr>
      <w:r w:rsidRPr="00C22A39">
        <w:rPr>
          <w:rFonts w:ascii="Century Gothic" w:hAnsi="Century Gothic"/>
          <w:b/>
          <w:color w:val="404040" w:themeColor="text1" w:themeTint="BF"/>
          <w:sz w:val="21"/>
          <w:szCs w:val="21"/>
        </w:rPr>
        <w:t>NON-RESIDENTIAL</w:t>
      </w:r>
    </w:p>
    <w:p w:rsidR="008C02DB" w:rsidRDefault="008C02DB" w:rsidP="00E646C9">
      <w:pPr>
        <w:pStyle w:val="ListParagraph"/>
        <w:numPr>
          <w:ilvl w:val="0"/>
          <w:numId w:val="65"/>
        </w:numPr>
        <w:ind w:left="360"/>
        <w:contextualSpacing w:val="0"/>
      </w:pPr>
      <w:r>
        <w:t xml:space="preserve">PECO: Use the limited time offer as a lever in future years if participation is low in the Smart Equipment </w:t>
      </w:r>
      <w:r w:rsidRPr="00F872B6">
        <w:t>Incentives (SEI) program</w:t>
      </w:r>
      <w:r>
        <w:t>.</w:t>
      </w:r>
    </w:p>
    <w:p w:rsidR="008C02DB" w:rsidRDefault="008C02DB" w:rsidP="00E646C9">
      <w:pPr>
        <w:pStyle w:val="ListParagraph"/>
        <w:numPr>
          <w:ilvl w:val="0"/>
          <w:numId w:val="65"/>
        </w:numPr>
        <w:ind w:left="360"/>
        <w:contextualSpacing w:val="0"/>
      </w:pPr>
      <w:r>
        <w:t>PECO: Set final Phase III Smart On-</w:t>
      </w:r>
      <w:r w:rsidRPr="00F872B6">
        <w:t>Site (SOS) project</w:t>
      </w:r>
      <w:r>
        <w:t xml:space="preserve"> enrollment deadlines of January 1, 2019 for projects over 1 MW and January 1, 2020 for projects less than 1 MW, to mitigate completion risks that lead to portfolio-level uncertainty.</w:t>
      </w:r>
    </w:p>
    <w:p w:rsidR="008C02DB" w:rsidRDefault="008C02DB" w:rsidP="00E646C9">
      <w:pPr>
        <w:pStyle w:val="ListParagraph"/>
        <w:numPr>
          <w:ilvl w:val="0"/>
          <w:numId w:val="65"/>
        </w:numPr>
        <w:ind w:left="360"/>
        <w:contextualSpacing w:val="0"/>
      </w:pPr>
      <w:r>
        <w:t>PPL: Consider incorporating a way for applicants to track the status of their application online.</w:t>
      </w:r>
    </w:p>
    <w:p w:rsidR="008C02DB" w:rsidRDefault="008C02DB" w:rsidP="00E646C9">
      <w:pPr>
        <w:pStyle w:val="ListParagraph"/>
        <w:numPr>
          <w:ilvl w:val="0"/>
          <w:numId w:val="65"/>
        </w:numPr>
        <w:ind w:left="360"/>
        <w:contextualSpacing w:val="0"/>
      </w:pPr>
      <w:r>
        <w:t>PPL: Improve the application process by providing examples of completed applications on the website and providing a contact to answer questions.</w:t>
      </w:r>
    </w:p>
    <w:p w:rsidR="008C02DB" w:rsidRDefault="008C02DB" w:rsidP="0055637D"/>
    <w:p w:rsidR="008C02DB" w:rsidRDefault="008C02DB" w:rsidP="0055637D">
      <w:pPr>
        <w:spacing w:after="120"/>
      </w:pPr>
      <w:r>
        <w:t xml:space="preserve">The SWE Team also identified three </w:t>
      </w:r>
      <w:r w:rsidR="00923EA9">
        <w:t xml:space="preserve">SWE </w:t>
      </w:r>
      <w:r>
        <w:t xml:space="preserve">recommendations from the PY6 </w:t>
      </w:r>
      <w:r w:rsidR="005C1363">
        <w:t xml:space="preserve">EDC </w:t>
      </w:r>
      <w:r>
        <w:t>annual reports that, based on findings from PY7, bear repetition and elaboration:</w:t>
      </w:r>
    </w:p>
    <w:p w:rsidR="008C02DB" w:rsidRDefault="008C02DB" w:rsidP="00E646C9">
      <w:pPr>
        <w:pStyle w:val="ListParagraph"/>
        <w:numPr>
          <w:ilvl w:val="0"/>
          <w:numId w:val="65"/>
        </w:numPr>
        <w:ind w:left="360"/>
        <w:contextualSpacing w:val="0"/>
      </w:pPr>
      <w:r w:rsidRPr="00B36688">
        <w:t xml:space="preserve">There is still evidence of high free-ridership for several EDC programs, and there is even evidence that free-ridership has increased over Phase II for some EDCs. </w:t>
      </w:r>
      <w:r w:rsidR="005C1363" w:rsidRPr="005C1363">
        <w:t>While the SWE Team acknowledges and understands that free-ridership is one of several factors that EDCs consider when making decisions to modify programs, the SWE Team reiterates the recommendation, from the PY6 SWE Annual Report, that when high free-ridership exists, EDCs should examine program requirements and practices to determine whether free-ridership can be reduced and suggest some methods for doing so</w:t>
      </w:r>
      <w:r w:rsidRPr="00B36688">
        <w:t>.</w:t>
      </w:r>
      <w:r w:rsidRPr="00B1382F">
        <w:t xml:space="preserve"> </w:t>
      </w:r>
    </w:p>
    <w:p w:rsidR="008C02DB" w:rsidRPr="008C3D92" w:rsidRDefault="008C02DB" w:rsidP="00E646C9">
      <w:pPr>
        <w:pStyle w:val="ListParagraph"/>
        <w:numPr>
          <w:ilvl w:val="0"/>
          <w:numId w:val="65"/>
        </w:numPr>
        <w:ind w:left="360"/>
        <w:contextualSpacing w:val="0"/>
      </w:pPr>
      <w:r>
        <w:t>R</w:t>
      </w:r>
      <w:r w:rsidRPr="00A86072">
        <w:t>etailers and contractors are an important source of program info</w:t>
      </w:r>
      <w:r>
        <w:t xml:space="preserve">rmation, and they respond to </w:t>
      </w:r>
      <w:r w:rsidRPr="008C3D92">
        <w:t xml:space="preserve">direct, personal contact. </w:t>
      </w:r>
      <w:r>
        <w:t xml:space="preserve">When programs involve these market actors, the programs should </w:t>
      </w:r>
      <w:r w:rsidRPr="008C3D92">
        <w:t xml:space="preserve">engage with </w:t>
      </w:r>
      <w:r>
        <w:t xml:space="preserve">them </w:t>
      </w:r>
      <w:r w:rsidRPr="008C3D92">
        <w:t>directly and personally to encourage sales, which may help increase program participation.</w:t>
      </w:r>
    </w:p>
    <w:p w:rsidR="008C02DB" w:rsidRDefault="008C02DB" w:rsidP="00E646C9">
      <w:pPr>
        <w:pStyle w:val="ListParagraph"/>
        <w:numPr>
          <w:ilvl w:val="0"/>
          <w:numId w:val="65"/>
        </w:numPr>
        <w:ind w:left="360"/>
        <w:contextualSpacing w:val="0"/>
      </w:pPr>
      <w:r>
        <w:t>Process evaluations of home audit programs continue to demonstrate opportunities for getting audit participants to make energy efficient purchases and upgrades. The PY7 process evaluations for PECO and PPL included recommendations for increasing conversion that centered around greater follow-</w:t>
      </w:r>
      <w:r w:rsidRPr="00F35A02">
        <w:t>up (creating a checklist for auditors that includes following</w:t>
      </w:r>
      <w:r>
        <w:t xml:space="preserve"> </w:t>
      </w:r>
      <w:r w:rsidRPr="00F35A02">
        <w:t>up with customers)</w:t>
      </w:r>
      <w:r>
        <w:t xml:space="preserve"> and improving cross-promotion of programs (</w:t>
      </w:r>
      <w:r w:rsidRPr="00F35A02">
        <w:t>engaging with auditors more</w:t>
      </w:r>
      <w:r>
        <w:t>,</w:t>
      </w:r>
      <w:r w:rsidRPr="00F35A02">
        <w:t xml:space="preserve"> to improve their ability to cross</w:t>
      </w:r>
      <w:r>
        <w:t>-</w:t>
      </w:r>
      <w:r w:rsidRPr="00F35A02">
        <w:t>promote programs</w:t>
      </w:r>
      <w:r>
        <w:t xml:space="preserve">, and </w:t>
      </w:r>
      <w:r w:rsidRPr="00F35A02">
        <w:t>adding banners on rebate form</w:t>
      </w:r>
      <w:r>
        <w:t>s</w:t>
      </w:r>
      <w:r w:rsidRPr="00F35A02">
        <w:t xml:space="preserve"> or other infographics </w:t>
      </w:r>
      <w:r>
        <w:t>for</w:t>
      </w:r>
      <w:r w:rsidRPr="00F35A02">
        <w:t xml:space="preserve"> program materials and utility contact info</w:t>
      </w:r>
      <w:r>
        <w:t>). In addition, the SWE Team reiterates the recommendation that EDCs conduct research to estimate the level of energy efficient purchases and installations (whether incented or not) that result from home energy audits. The research should account for the fact that an audit one year may influence actions in subsequent years.</w:t>
      </w:r>
    </w:p>
    <w:p w:rsidR="008C02DB" w:rsidRDefault="008C02DB" w:rsidP="0055637D"/>
    <w:p w:rsidR="008C02DB" w:rsidRDefault="008C02DB" w:rsidP="0055637D">
      <w:pPr>
        <w:spacing w:after="120"/>
      </w:pPr>
      <w:r>
        <w:t>The SWE Team offers the following recommendations for all EDCs, based on the literature review of innovative program practices in the non-residential sector:</w:t>
      </w:r>
    </w:p>
    <w:p w:rsidR="008C02DB" w:rsidRPr="00156966" w:rsidRDefault="008C02DB" w:rsidP="00E646C9">
      <w:pPr>
        <w:pStyle w:val="ListParagraph"/>
        <w:numPr>
          <w:ilvl w:val="0"/>
          <w:numId w:val="65"/>
        </w:numPr>
        <w:ind w:left="360"/>
        <w:contextualSpacing w:val="0"/>
      </w:pPr>
      <w:r>
        <w:t xml:space="preserve">For commercial lighting programs, consider providing incentives for </w:t>
      </w:r>
      <w:r w:rsidRPr="00156966">
        <w:t>comprehensive changes to lighting system</w:t>
      </w:r>
      <w:r>
        <w:t>s</w:t>
      </w:r>
      <w:r w:rsidRPr="00156966">
        <w:t xml:space="preserve"> </w:t>
      </w:r>
      <w:r>
        <w:t>(such as through redesign, delamping, or including advanced controls)</w:t>
      </w:r>
      <w:r w:rsidRPr="00156966">
        <w:t xml:space="preserve">, rather than </w:t>
      </w:r>
      <w:r>
        <w:t xml:space="preserve">or in addition to </w:t>
      </w:r>
      <w:r w:rsidRPr="00156966">
        <w:t xml:space="preserve">one-for-one </w:t>
      </w:r>
      <w:r>
        <w:t>replacements, with incentives based on changes to lighting power density.</w:t>
      </w:r>
    </w:p>
    <w:p w:rsidR="008C02DB" w:rsidRPr="00156966" w:rsidRDefault="008C02DB" w:rsidP="00E646C9">
      <w:pPr>
        <w:pStyle w:val="ListParagraph"/>
        <w:numPr>
          <w:ilvl w:val="0"/>
          <w:numId w:val="65"/>
        </w:numPr>
        <w:ind w:left="360"/>
        <w:contextualSpacing w:val="0"/>
      </w:pPr>
      <w:r>
        <w:t>For commercial lighting programs, consider working with distributors in designing midstream lighting programs (if this is not already being done), because of the distributors’ central position in the supply chain.</w:t>
      </w:r>
    </w:p>
    <w:p w:rsidR="008C02DB" w:rsidRDefault="008C02DB" w:rsidP="00E646C9">
      <w:pPr>
        <w:pStyle w:val="ListParagraph"/>
        <w:numPr>
          <w:ilvl w:val="0"/>
          <w:numId w:val="65"/>
        </w:numPr>
        <w:ind w:left="360"/>
        <w:contextualSpacing w:val="0"/>
      </w:pPr>
      <w:r>
        <w:t>For small businesses, reassess the level of custom- or micro-targeting for this segment. Some programs are starting to replace vertical segmentation strategies (e.g., based on energy usage) with strategies that incorporate other customer characteristics, such as business type or geographic density of businesses in the customer’s area. These tailored marketing approaches</w:t>
      </w:r>
      <w:r w:rsidRPr="00FA47B6">
        <w:t xml:space="preserve"> </w:t>
      </w:r>
      <w:r>
        <w:t>have the potential to better</w:t>
      </w:r>
      <w:r w:rsidRPr="00FA47B6">
        <w:t xml:space="preserve"> predict the probability of participat</w:t>
      </w:r>
      <w:r>
        <w:t>ing</w:t>
      </w:r>
      <w:r w:rsidRPr="00FA47B6">
        <w:t xml:space="preserve"> in a program</w:t>
      </w:r>
      <w:r>
        <w:t xml:space="preserve"> than does relying on traditional vertical segmentation strategies.</w:t>
      </w:r>
    </w:p>
    <w:p w:rsidR="008156B6" w:rsidRDefault="008156B6">
      <w:pPr>
        <w:jc w:val="left"/>
        <w:rPr>
          <w:rFonts w:ascii="Century Gothic" w:eastAsiaTheme="minorHAnsi" w:hAnsi="Century Gothic" w:cstheme="minorBidi"/>
          <w:smallCaps/>
          <w:color w:val="FFFFFF" w:themeColor="background1"/>
          <w:sz w:val="32"/>
        </w:rPr>
      </w:pPr>
      <w:bookmarkStart w:id="443" w:name="_Ref472258103"/>
      <w:bookmarkStart w:id="444" w:name="_Toc472472142"/>
      <w:r>
        <w:br w:type="page"/>
      </w:r>
    </w:p>
    <w:p w:rsidR="00477745" w:rsidRPr="00C22A39" w:rsidRDefault="00477745" w:rsidP="00E673F0">
      <w:pPr>
        <w:pStyle w:val="Heading1"/>
      </w:pPr>
      <w:bookmarkStart w:id="445" w:name="_Toc488765835"/>
      <w:r w:rsidRPr="00C22A39">
        <w:t xml:space="preserve">Phase I </w:t>
      </w:r>
      <w:r w:rsidR="00C22A39">
        <w:t>&amp;</w:t>
      </w:r>
      <w:r w:rsidRPr="00C22A39">
        <w:t xml:space="preserve"> Phase II Savings</w:t>
      </w:r>
      <w:bookmarkEnd w:id="443"/>
      <w:bookmarkEnd w:id="444"/>
      <w:bookmarkEnd w:id="445"/>
    </w:p>
    <w:p w:rsidR="00F874FE" w:rsidRDefault="00F874FE" w:rsidP="00F874FE">
      <w:pPr>
        <w:spacing w:after="120"/>
      </w:pPr>
      <w:r>
        <w:t>The Pennsylvania PUC’s TUS staff requested that the Phase II SWE include in this report information on the trends in program energy savings, EDC annual expenditures, and the utility cost per first-year kWh saved over the seven years covered by Phases I and II of Act 129. To respond to this request, the Phase II SWE created an Excel database that includes detailed data on each EDC’s Phase I and II savings, EDC expenditures, and costs per first-year kWh saved. This chapter presents tables showing all of the data collected by the Phase II SWE Team regarding these items, and figures showing trends in the data by EDC and statewide (for all EDCs combined) over Phases I and II. There are several overarching observations that the Phase II SWE Team has about the data presented in this chapter:</w:t>
      </w:r>
    </w:p>
    <w:p w:rsidR="00F874FE" w:rsidRPr="0055637D" w:rsidRDefault="00F874FE" w:rsidP="00E646C9">
      <w:pPr>
        <w:pStyle w:val="ListParagraph"/>
        <w:numPr>
          <w:ilvl w:val="0"/>
          <w:numId w:val="66"/>
        </w:numPr>
        <w:ind w:left="360"/>
      </w:pPr>
      <w:r w:rsidRPr="0055637D">
        <w:t>Over the seven years of Phases I and II, the statewide cost per first-year kWh saved (for all EDCs combined) ranged from a low of $0.12 in PY2 to $0.1</w:t>
      </w:r>
      <w:r>
        <w:t>8</w:t>
      </w:r>
      <w:r w:rsidRPr="0055637D">
        <w:t xml:space="preserve"> in PY6 (see </w:t>
      </w:r>
      <w:r w:rsidR="00E3392B">
        <w:fldChar w:fldCharType="begin"/>
      </w:r>
      <w:r w:rsidR="00E3392B">
        <w:instrText xml:space="preserve"> REF _Ref476043778 \h </w:instrText>
      </w:r>
      <w:r w:rsidR="00E3392B">
        <w:fldChar w:fldCharType="separate"/>
      </w:r>
      <w:r w:rsidR="00037CB4" w:rsidRPr="008078CC">
        <w:t xml:space="preserve">Table </w:t>
      </w:r>
      <w:r w:rsidR="00037CB4">
        <w:rPr>
          <w:noProof/>
        </w:rPr>
        <w:t>6</w:t>
      </w:r>
      <w:r w:rsidR="00037CB4">
        <w:noBreakHyphen/>
      </w:r>
      <w:r w:rsidR="00037CB4">
        <w:rPr>
          <w:noProof/>
        </w:rPr>
        <w:t>1</w:t>
      </w:r>
      <w:r w:rsidR="00E3392B">
        <w:fldChar w:fldCharType="end"/>
      </w:r>
      <w:r w:rsidRPr="0055637D">
        <w:t>). While some EDCs were concerned during Phase I that acquisition costs per first-year kWh-saved would end up being well over $0.30 during Phase II, this did not happen.</w:t>
      </w:r>
    </w:p>
    <w:p w:rsidR="00F874FE" w:rsidRPr="0055637D" w:rsidRDefault="00F874FE" w:rsidP="00E646C9">
      <w:pPr>
        <w:pStyle w:val="ListParagraph"/>
        <w:numPr>
          <w:ilvl w:val="0"/>
          <w:numId w:val="66"/>
        </w:numPr>
        <w:ind w:left="360"/>
      </w:pPr>
      <w:r w:rsidRPr="0055637D">
        <w:t>In five of the seven years of Phases I and II, the acquisition cost per first-year kWh saved for non-residential programs was equal to or lower than</w:t>
      </w:r>
      <w:r>
        <w:t xml:space="preserve"> that</w:t>
      </w:r>
      <w:r w:rsidRPr="0055637D">
        <w:t xml:space="preserve"> for residential programs (see </w:t>
      </w:r>
      <w:r w:rsidR="00E3392B">
        <w:fldChar w:fldCharType="begin"/>
      </w:r>
      <w:r w:rsidR="00E3392B">
        <w:instrText xml:space="preserve"> REF _Ref476043778 \h </w:instrText>
      </w:r>
      <w:r w:rsidR="00E3392B">
        <w:fldChar w:fldCharType="separate"/>
      </w:r>
      <w:r w:rsidR="00037CB4" w:rsidRPr="008078CC">
        <w:t xml:space="preserve">Table </w:t>
      </w:r>
      <w:r w:rsidR="00037CB4">
        <w:rPr>
          <w:noProof/>
        </w:rPr>
        <w:t>6</w:t>
      </w:r>
      <w:r w:rsidR="00037CB4">
        <w:noBreakHyphen/>
      </w:r>
      <w:r w:rsidR="00037CB4">
        <w:rPr>
          <w:noProof/>
        </w:rPr>
        <w:t>1</w:t>
      </w:r>
      <w:r w:rsidR="00E3392B">
        <w:fldChar w:fldCharType="end"/>
      </w:r>
      <w:r w:rsidRPr="0055637D">
        <w:t>).</w:t>
      </w:r>
    </w:p>
    <w:p w:rsidR="00F874FE" w:rsidRPr="0055637D" w:rsidRDefault="00F874FE" w:rsidP="00E646C9">
      <w:pPr>
        <w:pStyle w:val="ListParagraph"/>
        <w:numPr>
          <w:ilvl w:val="0"/>
          <w:numId w:val="66"/>
        </w:numPr>
        <w:ind w:left="360"/>
      </w:pPr>
      <w:r w:rsidRPr="0055637D">
        <w:t xml:space="preserve">A regression trend fit to the annual statewide cost per first-year kWh saved data clearly shows a gradual increasing trend over the seven years of Phases I and II (see </w:t>
      </w:r>
      <w:r w:rsidR="00595FC6">
        <w:fldChar w:fldCharType="begin"/>
      </w:r>
      <w:r w:rsidR="00595FC6">
        <w:instrText xml:space="preserve"> REF _Ref476043803 \h </w:instrText>
      </w:r>
      <w:r w:rsidR="00595FC6">
        <w:fldChar w:fldCharType="separate"/>
      </w:r>
      <w:r w:rsidR="00037CB4" w:rsidRPr="00CB115E">
        <w:t xml:space="preserve">Figure </w:t>
      </w:r>
      <w:r w:rsidR="00037CB4">
        <w:rPr>
          <w:noProof/>
        </w:rPr>
        <w:t>6</w:t>
      </w:r>
      <w:r w:rsidR="00037CB4">
        <w:noBreakHyphen/>
      </w:r>
      <w:r w:rsidR="00037CB4">
        <w:rPr>
          <w:noProof/>
        </w:rPr>
        <w:t>6</w:t>
      </w:r>
      <w:r w:rsidR="00595FC6">
        <w:fldChar w:fldCharType="end"/>
      </w:r>
      <w:r w:rsidRPr="0055637D">
        <w:t xml:space="preserve">). This is good news for Pennsylvania ratepayers </w:t>
      </w:r>
      <w:r>
        <w:t>in that it</w:t>
      </w:r>
      <w:r w:rsidRPr="0055637D">
        <w:t xml:space="preserve"> indicates that utility program delivery costs remained very stable in both </w:t>
      </w:r>
      <w:r>
        <w:t>Phases I and II, as compared to initial concerns expressed by some that costs may reach upwards of $0.30 per kWh within this time period.</w:t>
      </w:r>
    </w:p>
    <w:p w:rsidR="00F874FE" w:rsidRPr="0055637D" w:rsidRDefault="00F874FE" w:rsidP="00E646C9">
      <w:pPr>
        <w:pStyle w:val="ListParagraph"/>
        <w:numPr>
          <w:ilvl w:val="0"/>
          <w:numId w:val="66"/>
        </w:numPr>
        <w:ind w:left="360"/>
      </w:pPr>
      <w:r w:rsidRPr="0055637D">
        <w:t>While there was substantial variability across EDCs in the utility cost per kWh saved for all sectors, this variability decreased markedly after PY1.</w:t>
      </w:r>
    </w:p>
    <w:p w:rsidR="00F874FE" w:rsidRPr="0055637D" w:rsidRDefault="00F874FE" w:rsidP="00E646C9">
      <w:pPr>
        <w:pStyle w:val="ListParagraph"/>
        <w:numPr>
          <w:ilvl w:val="0"/>
          <w:numId w:val="66"/>
        </w:numPr>
        <w:ind w:left="360"/>
      </w:pPr>
      <w:r w:rsidRPr="0055637D">
        <w:t>The total (all sectors combined) cumulative annual kWh savings at the end of Phases I and II for each EDC</w:t>
      </w:r>
      <w:r>
        <w:t>, expressed</w:t>
      </w:r>
      <w:r w:rsidRPr="0055637D">
        <w:t xml:space="preserve"> as a percentage of the total baseline kWh sales for 2010 for each EDC ranged from a low of 5.35% for West Penn to a high of 6.88% for PECO (see </w:t>
      </w:r>
      <w:r w:rsidR="00E3392B">
        <w:fldChar w:fldCharType="begin"/>
      </w:r>
      <w:r w:rsidR="00E3392B">
        <w:instrText xml:space="preserve"> REF _Ref472429905 \h </w:instrText>
      </w:r>
      <w:r w:rsidR="00E3392B">
        <w:fldChar w:fldCharType="separate"/>
      </w:r>
      <w:r w:rsidR="00037CB4">
        <w:t xml:space="preserve">Figure </w:t>
      </w:r>
      <w:r w:rsidR="00037CB4">
        <w:rPr>
          <w:noProof/>
        </w:rPr>
        <w:t>6</w:t>
      </w:r>
      <w:r w:rsidR="00037CB4">
        <w:noBreakHyphen/>
      </w:r>
      <w:r w:rsidR="00037CB4">
        <w:rPr>
          <w:noProof/>
        </w:rPr>
        <w:t>7</w:t>
      </w:r>
      <w:r w:rsidR="00E3392B">
        <w:fldChar w:fldCharType="end"/>
      </w:r>
      <w:r w:rsidRPr="0055637D">
        <w:t xml:space="preserve">). </w:t>
      </w:r>
    </w:p>
    <w:p w:rsidR="00F874FE" w:rsidRDefault="00F874FE" w:rsidP="00E646C9">
      <w:pPr>
        <w:pStyle w:val="ListParagraph"/>
        <w:numPr>
          <w:ilvl w:val="0"/>
          <w:numId w:val="66"/>
        </w:numPr>
        <w:ind w:left="360"/>
      </w:pPr>
      <w:r w:rsidRPr="0055637D">
        <w:t>None of the seven EDCs spent all of their combined Phase I and II budgets over these two phases. This suggests that EDCs could have saved more electricity with more aggressive and more extensive program activities and marketing. The percent of the Phase I and II budgets spent by the EDCs ranged from a low of 78.58</w:t>
      </w:r>
      <w:r>
        <w:t xml:space="preserve">% for PECO to a high 89.65% for PPL (see </w:t>
      </w:r>
      <w:r w:rsidR="00E3392B">
        <w:fldChar w:fldCharType="begin"/>
      </w:r>
      <w:r w:rsidR="00E3392B">
        <w:instrText xml:space="preserve"> REF _Ref472429895 \h </w:instrText>
      </w:r>
      <w:r w:rsidR="00E3392B">
        <w:fldChar w:fldCharType="separate"/>
      </w:r>
      <w:r w:rsidR="00037CB4">
        <w:t xml:space="preserve">Figure </w:t>
      </w:r>
      <w:r w:rsidR="00037CB4">
        <w:rPr>
          <w:noProof/>
        </w:rPr>
        <w:t>6</w:t>
      </w:r>
      <w:r w:rsidR="00037CB4">
        <w:noBreakHyphen/>
      </w:r>
      <w:r w:rsidR="00037CB4">
        <w:rPr>
          <w:noProof/>
        </w:rPr>
        <w:t>8</w:t>
      </w:r>
      <w:r w:rsidR="00E3392B">
        <w:fldChar w:fldCharType="end"/>
      </w:r>
      <w:r>
        <w:t>).</w:t>
      </w:r>
    </w:p>
    <w:p w:rsidR="00F874FE" w:rsidRPr="0055637D" w:rsidRDefault="00F874FE" w:rsidP="00F874FE"/>
    <w:p w:rsidR="00F874FE" w:rsidRDefault="00F874FE" w:rsidP="00E673F0">
      <w:pPr>
        <w:pStyle w:val="Heading3"/>
        <w:numPr>
          <w:ilvl w:val="0"/>
          <w:numId w:val="0"/>
        </w:numPr>
      </w:pPr>
      <w:bookmarkStart w:id="446" w:name="_Toc472472143"/>
      <w:bookmarkStart w:id="447" w:name="_Toc488765836"/>
      <w:r>
        <w:t xml:space="preserve">6.1 </w:t>
      </w:r>
      <w:r w:rsidRPr="00E17793">
        <w:t>Cost Per kWh</w:t>
      </w:r>
      <w:bookmarkEnd w:id="446"/>
      <w:bookmarkEnd w:id="447"/>
    </w:p>
    <w:p w:rsidR="00F874FE" w:rsidRDefault="00E3392B" w:rsidP="00F874FE">
      <w:r>
        <w:fldChar w:fldCharType="begin"/>
      </w:r>
      <w:r>
        <w:instrText xml:space="preserve"> REF _Ref476043778 \h </w:instrText>
      </w:r>
      <w:r>
        <w:fldChar w:fldCharType="separate"/>
      </w:r>
      <w:r w:rsidR="00037CB4" w:rsidRPr="008078CC">
        <w:t xml:space="preserve">Table </w:t>
      </w:r>
      <w:r w:rsidR="00037CB4">
        <w:rPr>
          <w:noProof/>
        </w:rPr>
        <w:t>6</w:t>
      </w:r>
      <w:r w:rsidR="00037CB4">
        <w:noBreakHyphen/>
      </w:r>
      <w:r w:rsidR="00037CB4">
        <w:rPr>
          <w:noProof/>
        </w:rPr>
        <w:t>1</w:t>
      </w:r>
      <w:r>
        <w:fldChar w:fldCharType="end"/>
      </w:r>
      <w:r>
        <w:t xml:space="preserve"> through </w:t>
      </w:r>
      <w:r>
        <w:fldChar w:fldCharType="begin"/>
      </w:r>
      <w:r>
        <w:instrText xml:space="preserve"> REF _Ref476043841 \h </w:instrText>
      </w:r>
      <w:r>
        <w:fldChar w:fldCharType="separate"/>
      </w:r>
      <w:r w:rsidR="00037CB4" w:rsidRPr="009011F4">
        <w:t xml:space="preserve">Table </w:t>
      </w:r>
      <w:r w:rsidR="00037CB4">
        <w:rPr>
          <w:noProof/>
        </w:rPr>
        <w:t>6</w:t>
      </w:r>
      <w:r w:rsidR="00037CB4">
        <w:noBreakHyphen/>
      </w:r>
      <w:r w:rsidR="00037CB4">
        <w:rPr>
          <w:noProof/>
        </w:rPr>
        <w:t>9</w:t>
      </w:r>
      <w:r>
        <w:fldChar w:fldCharType="end"/>
      </w:r>
      <w:r>
        <w:t xml:space="preserve"> </w:t>
      </w:r>
      <w:r w:rsidR="00F874FE">
        <w:t>present detailed historical data on the total annual utility costs, incremental annual kWh savings, and annual cost per first-year kWh saved for each sector by program year and EDC</w:t>
      </w:r>
      <w:r w:rsidR="00093DFB">
        <w:t xml:space="preserve"> for all years in Phases I and II</w:t>
      </w:r>
      <w:r w:rsidR="00F874FE">
        <w:t xml:space="preserve">. </w:t>
      </w:r>
      <w:r>
        <w:fldChar w:fldCharType="begin"/>
      </w:r>
      <w:r>
        <w:instrText xml:space="preserve"> REF _Ref476043865 \h </w:instrText>
      </w:r>
      <w:r>
        <w:fldChar w:fldCharType="separate"/>
      </w:r>
      <w:r w:rsidR="00037CB4" w:rsidRPr="001C7E80">
        <w:t xml:space="preserve">Figure </w:t>
      </w:r>
      <w:r w:rsidR="00037CB4">
        <w:rPr>
          <w:noProof/>
        </w:rPr>
        <w:t>6</w:t>
      </w:r>
      <w:r w:rsidR="00037CB4">
        <w:noBreakHyphen/>
      </w:r>
      <w:r w:rsidR="00037CB4">
        <w:rPr>
          <w:noProof/>
        </w:rPr>
        <w:t>1</w:t>
      </w:r>
      <w:r>
        <w:fldChar w:fldCharType="end"/>
      </w:r>
      <w:r>
        <w:t xml:space="preserve"> through </w:t>
      </w:r>
      <w:r>
        <w:fldChar w:fldCharType="begin"/>
      </w:r>
      <w:r>
        <w:instrText xml:space="preserve"> REF _Ref476043803 \h </w:instrText>
      </w:r>
      <w:r>
        <w:fldChar w:fldCharType="separate"/>
      </w:r>
      <w:r w:rsidR="00037CB4" w:rsidRPr="00CB115E">
        <w:t xml:space="preserve">Figure </w:t>
      </w:r>
      <w:r w:rsidR="00037CB4">
        <w:rPr>
          <w:noProof/>
        </w:rPr>
        <w:t>6</w:t>
      </w:r>
      <w:r w:rsidR="00037CB4">
        <w:noBreakHyphen/>
      </w:r>
      <w:r w:rsidR="00037CB4">
        <w:rPr>
          <w:noProof/>
        </w:rPr>
        <w:t>6</w:t>
      </w:r>
      <w:r>
        <w:fldChar w:fldCharType="end"/>
      </w:r>
      <w:r>
        <w:t xml:space="preserve"> </w:t>
      </w:r>
      <w:r w:rsidR="00F874FE">
        <w:t xml:space="preserve">show the cost per first-year kWh for each sector </w:t>
      </w:r>
      <w:r w:rsidR="00F874FE" w:rsidRPr="00014A5E">
        <w:t>(residential non-low-income, residential low-income, residential total, and non-residential total) by program year and EDC, as well as totals for all sectors and for all EDCs combined.</w:t>
      </w:r>
      <w:r w:rsidR="00F874FE">
        <w:t xml:space="preserve"> These tables and figures are useful for comparing the cost per first-year kWh saved across EDCs and across PY1 to PY7. </w:t>
      </w:r>
    </w:p>
    <w:p w:rsidR="00F874FE" w:rsidRDefault="00F874FE" w:rsidP="00F874FE">
      <w:r>
        <w:t xml:space="preserve"> </w:t>
      </w:r>
    </w:p>
    <w:p w:rsidR="00E56C41" w:rsidRDefault="00F874FE" w:rsidP="00E56C41">
      <w:pPr>
        <w:sectPr w:rsidR="00E56C41" w:rsidSect="00E06516">
          <w:headerReference w:type="default" r:id="rId70"/>
          <w:footerReference w:type="default" r:id="rId71"/>
          <w:pgSz w:w="12240" w:h="15840"/>
          <w:pgMar w:top="1440" w:right="1440" w:bottom="1440" w:left="1440" w:header="720" w:footer="288" w:gutter="0"/>
          <w:cols w:space="720"/>
          <w:docGrid w:linePitch="360"/>
        </w:sectPr>
      </w:pPr>
      <w:r>
        <w:t>The utility cost per first-year kWh saved for all EDCs combined was very similar across the seven program years, varying from a low of $0.12 per kWh to a high of $0.18 per kWh, however, there was much variation among the EDCs. For example, in PY1 there was a range of $0.82, with West Penn having a cost of $0.90 per first-year kWh saved and PECO having cost of $0.08. This range was greatly reduced over the next six years. In PY7, this average utility cost across all seven EDCs was $0.15 per first-year kWh saved, with PPL having a cost of $0.21 per first-year kWh saved and Penelec having a cost of $0.10 per kWh. There does not seem to be a pattern where one EDC was regularly higher than the others.</w:t>
      </w:r>
    </w:p>
    <w:p w:rsidR="00F874FE" w:rsidRDefault="00F874FE" w:rsidP="004837FA">
      <w:pPr>
        <w:pStyle w:val="Caption"/>
      </w:pPr>
      <w:bookmarkStart w:id="448" w:name="_Ref476043778"/>
      <w:bookmarkStart w:id="449" w:name="_Toc472472198"/>
      <w:bookmarkStart w:id="450" w:name="_Toc488741777"/>
      <w:r w:rsidRPr="008078CC">
        <w:t xml:space="preserve">Table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1</w:t>
      </w:r>
      <w:r w:rsidR="007973A4">
        <w:rPr>
          <w:noProof/>
        </w:rPr>
        <w:fldChar w:fldCharType="end"/>
      </w:r>
      <w:bookmarkEnd w:id="448"/>
      <w:r w:rsidRPr="008078CC">
        <w:t xml:space="preserve">: Costs, Annual </w:t>
      </w:r>
      <w:r>
        <w:t>kWh Savings, and Cost per First-</w:t>
      </w:r>
      <w:r w:rsidRPr="008078CC">
        <w:t>Year kWh</w:t>
      </w:r>
      <w:r w:rsidR="00093DFB">
        <w:t xml:space="preserve"> Saved</w:t>
      </w:r>
      <w:r w:rsidRPr="008078CC">
        <w:t xml:space="preserve"> by Program Year – All EDCs Combined</w:t>
      </w:r>
      <w:bookmarkEnd w:id="449"/>
      <w:bookmarkEnd w:id="450"/>
    </w:p>
    <w:tbl>
      <w:tblPr>
        <w:tblW w:w="13132" w:type="dxa"/>
        <w:tblInd w:w="-100" w:type="dxa"/>
        <w:tblLook w:val="04A0" w:firstRow="1" w:lastRow="0" w:firstColumn="1" w:lastColumn="0" w:noHBand="0" w:noVBand="1"/>
      </w:tblPr>
      <w:tblGrid>
        <w:gridCol w:w="1440"/>
        <w:gridCol w:w="2424"/>
        <w:gridCol w:w="1178"/>
        <w:gridCol w:w="1322"/>
        <w:gridCol w:w="1322"/>
        <w:gridCol w:w="1322"/>
        <w:gridCol w:w="1322"/>
        <w:gridCol w:w="1322"/>
        <w:gridCol w:w="1480"/>
      </w:tblGrid>
      <w:tr w:rsidR="00A874AC" w:rsidRPr="00C22A39" w:rsidTr="00C22A39">
        <w:trPr>
          <w:trHeight w:val="315"/>
        </w:trPr>
        <w:tc>
          <w:tcPr>
            <w:tcW w:w="1440"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PY1</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PY2</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PY3</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PY4</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PY5</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PY6</w:t>
            </w:r>
          </w:p>
        </w:tc>
        <w:tc>
          <w:tcPr>
            <w:tcW w:w="1480" w:type="dxa"/>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PY7</w:t>
            </w:r>
          </w:p>
        </w:tc>
      </w:tr>
      <w:tr w:rsidR="00A874AC" w:rsidRPr="00C22A39" w:rsidTr="00C22A39">
        <w:trPr>
          <w:trHeight w:val="488"/>
        </w:trPr>
        <w:tc>
          <w:tcPr>
            <w:tcW w:w="1440" w:type="dxa"/>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F874FE" w:rsidP="00A25BE1">
            <w:pPr>
              <w:jc w:val="center"/>
              <w:rPr>
                <w:b/>
                <w:color w:val="000000"/>
                <w:sz w:val="19"/>
                <w:szCs w:val="19"/>
              </w:rPr>
            </w:pPr>
            <w:r w:rsidRPr="00C22A39">
              <w:rPr>
                <w:b/>
                <w:color w:val="000000"/>
                <w:sz w:val="19"/>
                <w:szCs w:val="19"/>
              </w:rPr>
              <w:t>Total</w:t>
            </w:r>
            <w:r w:rsidR="004558F9" w:rsidRPr="00C22A39">
              <w:rPr>
                <w:b/>
                <w:color w:val="000000"/>
                <w:sz w:val="19"/>
                <w:szCs w:val="19"/>
              </w:rPr>
              <w:t xml:space="preserve"> Utility</w:t>
            </w:r>
            <w:r w:rsidRPr="00C22A39">
              <w:rPr>
                <w:b/>
                <w:color w:val="000000"/>
                <w:sz w:val="19"/>
                <w:szCs w:val="19"/>
              </w:rPr>
              <w:t xml:space="preserve"> Costs</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$21,098,011</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$77,769,017</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$78,044,381</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$65,509,242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$77,730,330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$88,751,988</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$101,192,878</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b/>
                <w:color w:val="000000"/>
                <w:sz w:val="19"/>
                <w:szCs w:val="19"/>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$5,116,208</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$23,784,122</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$25,945,124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$19,818,325</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$21,142,334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$25,239,356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$25,117,620</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b/>
                <w:color w:val="000000"/>
                <w:sz w:val="19"/>
                <w:szCs w:val="19"/>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$26,214,219</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$101,553,139</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$103,989,505</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$85,327,567</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$98,872,664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$113,991,344</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$126,310,498</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b/>
                <w:color w:val="000000"/>
                <w:sz w:val="19"/>
                <w:szCs w:val="19"/>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$9,902,453</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$76,868,755</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$101,793,117</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$124,074,172</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$68,181,380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$86,789,656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$102,139,032</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b/>
                <w:color w:val="000000"/>
                <w:sz w:val="19"/>
                <w:szCs w:val="19"/>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$36,116,672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$178,421,894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$205,782,622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$209,401,740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$167,054,044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$200,781,000</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$228,449,530</w:t>
            </w:r>
          </w:p>
        </w:tc>
      </w:tr>
      <w:tr w:rsidR="00A874AC" w:rsidRPr="00C22A39" w:rsidTr="00C22A39">
        <w:trPr>
          <w:trHeight w:val="488"/>
        </w:trPr>
        <w:tc>
          <w:tcPr>
            <w:tcW w:w="1440" w:type="dxa"/>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4558F9" w:rsidP="00A25BE1">
            <w:pPr>
              <w:jc w:val="center"/>
              <w:rPr>
                <w:b/>
                <w:color w:val="000000"/>
                <w:sz w:val="19"/>
                <w:szCs w:val="19"/>
              </w:rPr>
            </w:pPr>
            <w:r w:rsidRPr="00C22A39">
              <w:rPr>
                <w:b/>
                <w:color w:val="000000"/>
                <w:sz w:val="19"/>
                <w:szCs w:val="19"/>
              </w:rPr>
              <w:t xml:space="preserve">First-Year </w:t>
            </w:r>
            <w:r w:rsidR="00F874FE" w:rsidRPr="00C22A39">
              <w:rPr>
                <w:b/>
                <w:color w:val="000000"/>
                <w:sz w:val="19"/>
                <w:szCs w:val="19"/>
              </w:rPr>
              <w:t>kWh Saved</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223,016,526</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759,004,979</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647,471,524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709,774,218</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560,751,746</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523,196,336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714,005,249</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b/>
                <w:color w:val="000000"/>
                <w:sz w:val="19"/>
                <w:szCs w:val="19"/>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6,180,298</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63,605,860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51,172,000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57,013,305</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53,772,074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36,611,000</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47,066,000</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b/>
                <w:color w:val="000000"/>
                <w:sz w:val="19"/>
                <w:szCs w:val="19"/>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229,196,824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822,610,839</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698,643,524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766,787,522</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614,523,820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559,807,336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761,071,249</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b/>
                <w:color w:val="000000"/>
                <w:sz w:val="19"/>
                <w:szCs w:val="19"/>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57,632,392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634,442,432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728,364,476</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961,231,478</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404,631,180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544,686,664</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745,248,751</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b/>
                <w:color w:val="000000"/>
                <w:sz w:val="19"/>
                <w:szCs w:val="19"/>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286,829,216</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1,457,053,271</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1,427,008,000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1,728,019,000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1,019,155,000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1,104,494,000</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1,506,320,000</w:t>
            </w:r>
          </w:p>
        </w:tc>
      </w:tr>
      <w:tr w:rsidR="00A874AC" w:rsidRPr="00C22A39" w:rsidTr="00C22A39">
        <w:trPr>
          <w:trHeight w:val="488"/>
        </w:trPr>
        <w:tc>
          <w:tcPr>
            <w:tcW w:w="1440" w:type="dxa"/>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4558F9" w:rsidP="00A25BE1">
            <w:pPr>
              <w:jc w:val="center"/>
              <w:rPr>
                <w:b/>
                <w:color w:val="000000"/>
                <w:sz w:val="19"/>
                <w:szCs w:val="19"/>
              </w:rPr>
            </w:pPr>
            <w:r w:rsidRPr="00C22A39">
              <w:rPr>
                <w:b/>
                <w:color w:val="000000"/>
                <w:sz w:val="19"/>
                <w:szCs w:val="19"/>
              </w:rPr>
              <w:t xml:space="preserve">Utility </w:t>
            </w:r>
            <w:r w:rsidR="00F874FE" w:rsidRPr="00C22A39">
              <w:rPr>
                <w:b/>
                <w:color w:val="000000"/>
                <w:sz w:val="19"/>
                <w:szCs w:val="19"/>
              </w:rPr>
              <w:t>$/kWh</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color w:val="000000"/>
                <w:sz w:val="19"/>
                <w:szCs w:val="19"/>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$0.83</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$0.37</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$0.51</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$0.35</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$0.39</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$0.69</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$0.53</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color w:val="000000"/>
                <w:sz w:val="19"/>
                <w:szCs w:val="19"/>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$0.15</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$0.20</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$0.17</w:t>
            </w:r>
          </w:p>
        </w:tc>
      </w:tr>
      <w:tr w:rsidR="00A874AC" w:rsidRPr="00C22A39" w:rsidTr="00C22A39">
        <w:trPr>
          <w:trHeight w:val="488"/>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color w:val="000000"/>
                <w:sz w:val="19"/>
                <w:szCs w:val="19"/>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0" w:type="auto"/>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$0.14</w:t>
            </w:r>
          </w:p>
        </w:tc>
      </w:tr>
      <w:tr w:rsidR="00A874AC" w:rsidRPr="00C22A39" w:rsidTr="00C22A39">
        <w:trPr>
          <w:trHeight w:val="489"/>
        </w:trPr>
        <w:tc>
          <w:tcPr>
            <w:tcW w:w="1440" w:type="dxa"/>
            <w:vMerge/>
            <w:tcBorders>
              <w:top w:val="nil"/>
              <w:left w:val="single" w:sz="8" w:space="0" w:color="448A99"/>
              <w:bottom w:val="single" w:sz="8" w:space="0" w:color="448A99"/>
              <w:right w:val="single" w:sz="8" w:space="0" w:color="448A99"/>
            </w:tcBorders>
            <w:vAlign w:val="center"/>
            <w:hideMark/>
          </w:tcPr>
          <w:p w:rsidR="00F874FE" w:rsidRPr="00C22A39" w:rsidRDefault="00F874FE" w:rsidP="00C81F40">
            <w:pPr>
              <w:jc w:val="left"/>
              <w:rPr>
                <w:color w:val="000000"/>
                <w:sz w:val="19"/>
                <w:szCs w:val="19"/>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and Non-Residential Combined</w:t>
            </w:r>
            <w:r w:rsidR="00093DFB" w:rsidRPr="00C22A39">
              <w:rPr>
                <w:rStyle w:val="FootnoteReference"/>
                <w:color w:val="000000"/>
                <w:sz w:val="19"/>
                <w:szCs w:val="19"/>
              </w:rPr>
              <w:footnoteReference w:id="41"/>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$0.18</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$0.15</w:t>
            </w:r>
          </w:p>
        </w:tc>
      </w:tr>
    </w:tbl>
    <w:p w:rsidR="00F874FE" w:rsidRDefault="00F874FE" w:rsidP="00F874FE"/>
    <w:p w:rsidR="00F874FE" w:rsidRPr="00C81F40" w:rsidRDefault="00F874FE" w:rsidP="00C81F40">
      <w:pPr>
        <w:jc w:val="left"/>
        <w:rPr>
          <w:rFonts w:ascii="Century Gothic" w:hAnsi="Century Gothic"/>
          <w:b/>
          <w:sz w:val="18"/>
        </w:rPr>
      </w:pPr>
      <w:bookmarkStart w:id="451" w:name="_Toc472472199"/>
      <w:r>
        <w:br w:type="page"/>
      </w:r>
    </w:p>
    <w:p w:rsidR="00F874FE" w:rsidRDefault="00F874FE" w:rsidP="004837FA">
      <w:pPr>
        <w:pStyle w:val="Caption"/>
      </w:pPr>
      <w:bookmarkStart w:id="452" w:name="_Toc488741778"/>
      <w:r w:rsidRPr="0002004F">
        <w:t xml:space="preserve">Table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2</w:t>
      </w:r>
      <w:r w:rsidR="007973A4">
        <w:rPr>
          <w:noProof/>
        </w:rPr>
        <w:fldChar w:fldCharType="end"/>
      </w:r>
      <w:r w:rsidRPr="0002004F">
        <w:t xml:space="preserve">: Total Costs, </w:t>
      </w:r>
      <w:r w:rsidR="005A0D9B">
        <w:t xml:space="preserve">Verified Gross </w:t>
      </w:r>
      <w:r w:rsidRPr="0002004F">
        <w:t xml:space="preserve">kWh Savings, and Cost per </w:t>
      </w:r>
      <w:r w:rsidR="00093DFB">
        <w:t xml:space="preserve">First-Year </w:t>
      </w:r>
      <w:r w:rsidRPr="0002004F">
        <w:t>kWh</w:t>
      </w:r>
      <w:r w:rsidR="00093DFB">
        <w:t xml:space="preserve"> Saved</w:t>
      </w:r>
      <w:r w:rsidRPr="0002004F">
        <w:t xml:space="preserve"> by EDC for All Years Combined</w:t>
      </w:r>
      <w:bookmarkEnd w:id="451"/>
      <w:bookmarkEnd w:id="452"/>
    </w:p>
    <w:tbl>
      <w:tblPr>
        <w:tblW w:w="5077" w:type="pct"/>
        <w:tblInd w:w="-100" w:type="dxa"/>
        <w:tblLook w:val="04A0" w:firstRow="1" w:lastRow="0" w:firstColumn="1" w:lastColumn="0" w:noHBand="0" w:noVBand="1"/>
      </w:tblPr>
      <w:tblGrid>
        <w:gridCol w:w="1339"/>
        <w:gridCol w:w="1463"/>
        <w:gridCol w:w="1464"/>
        <w:gridCol w:w="1464"/>
        <w:gridCol w:w="1464"/>
        <w:gridCol w:w="1464"/>
        <w:gridCol w:w="1464"/>
        <w:gridCol w:w="1464"/>
        <w:gridCol w:w="1553"/>
      </w:tblGrid>
      <w:tr w:rsidR="009D19F3" w:rsidRPr="00C22A39" w:rsidTr="00771798">
        <w:trPr>
          <w:trHeight w:val="315"/>
        </w:trPr>
        <w:tc>
          <w:tcPr>
            <w:tcW w:w="510"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55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Duquesne</w:t>
            </w:r>
          </w:p>
        </w:tc>
        <w:tc>
          <w:tcPr>
            <w:tcW w:w="55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Met Ed</w:t>
            </w:r>
          </w:p>
        </w:tc>
        <w:tc>
          <w:tcPr>
            <w:tcW w:w="55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Penelec</w:t>
            </w:r>
          </w:p>
        </w:tc>
        <w:tc>
          <w:tcPr>
            <w:tcW w:w="55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Penn Power</w:t>
            </w:r>
          </w:p>
        </w:tc>
        <w:tc>
          <w:tcPr>
            <w:tcW w:w="55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West Penn</w:t>
            </w:r>
          </w:p>
        </w:tc>
        <w:tc>
          <w:tcPr>
            <w:tcW w:w="55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PECO</w:t>
            </w:r>
          </w:p>
        </w:tc>
        <w:tc>
          <w:tcPr>
            <w:tcW w:w="55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PPL</w:t>
            </w:r>
          </w:p>
        </w:tc>
        <w:tc>
          <w:tcPr>
            <w:tcW w:w="594"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Total</w:t>
            </w:r>
          </w:p>
        </w:tc>
      </w:tr>
      <w:tr w:rsidR="009D19F3" w:rsidRPr="00C22A39" w:rsidTr="00771798">
        <w:trPr>
          <w:trHeight w:val="464"/>
        </w:trPr>
        <w:tc>
          <w:tcPr>
            <w:tcW w:w="510" w:type="pc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F874FE" w:rsidP="00A25BE1">
            <w:pPr>
              <w:jc w:val="center"/>
              <w:rPr>
                <w:b/>
                <w:color w:val="000000"/>
                <w:sz w:val="19"/>
                <w:szCs w:val="19"/>
              </w:rPr>
            </w:pPr>
            <w:r w:rsidRPr="00C22A39">
              <w:rPr>
                <w:b/>
                <w:color w:val="000000"/>
                <w:sz w:val="19"/>
                <w:szCs w:val="19"/>
              </w:rPr>
              <w:t>Total</w:t>
            </w:r>
            <w:r w:rsidR="004558F9" w:rsidRPr="00C22A39">
              <w:rPr>
                <w:b/>
                <w:color w:val="000000"/>
                <w:sz w:val="19"/>
                <w:szCs w:val="19"/>
              </w:rPr>
              <w:t xml:space="preserve"> Utility</w:t>
            </w:r>
            <w:r w:rsidRPr="00C22A39">
              <w:rPr>
                <w:b/>
                <w:color w:val="000000"/>
                <w:sz w:val="19"/>
                <w:szCs w:val="19"/>
              </w:rPr>
              <w:t xml:space="preserve"> Costs</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$114,851,379</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$122,820,357</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$105,445,344</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$33,835,238</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$125,985,384</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$361,910,066</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$361,159,735</w:t>
            </w:r>
          </w:p>
        </w:tc>
        <w:tc>
          <w:tcPr>
            <w:tcW w:w="59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$1,226,007,502</w:t>
            </w:r>
          </w:p>
        </w:tc>
      </w:tr>
      <w:tr w:rsidR="009D19F3" w:rsidRPr="00C22A39" w:rsidTr="00771798">
        <w:trPr>
          <w:trHeight w:val="464"/>
        </w:trPr>
        <w:tc>
          <w:tcPr>
            <w:tcW w:w="510" w:type="pc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093DFB" w:rsidP="00A25BE1">
            <w:pPr>
              <w:jc w:val="center"/>
              <w:rPr>
                <w:b/>
                <w:color w:val="000000"/>
                <w:sz w:val="19"/>
                <w:szCs w:val="19"/>
              </w:rPr>
            </w:pPr>
            <w:r w:rsidRPr="00C22A39">
              <w:rPr>
                <w:b/>
                <w:color w:val="000000"/>
                <w:sz w:val="19"/>
                <w:szCs w:val="19"/>
              </w:rPr>
              <w:t xml:space="preserve">First-Year </w:t>
            </w:r>
            <w:r w:rsidR="00F874FE" w:rsidRPr="00C22A39">
              <w:rPr>
                <w:b/>
                <w:color w:val="000000"/>
                <w:sz w:val="19"/>
                <w:szCs w:val="19"/>
              </w:rPr>
              <w:t>kWh Saved</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882,</w:t>
            </w:r>
            <w:r w:rsidR="005A0D9B">
              <w:rPr>
                <w:color w:val="000000"/>
                <w:sz w:val="19"/>
                <w:szCs w:val="19"/>
              </w:rPr>
              <w:t>328</w:t>
            </w:r>
            <w:r w:rsidRPr="00C22A39">
              <w:rPr>
                <w:color w:val="000000"/>
                <w:sz w:val="19"/>
                <w:szCs w:val="19"/>
              </w:rPr>
              <w:t>,794</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934,683,672</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872,485,094</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289,167,557</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1,084,939,370</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2,065,246,000</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2,399,969,000</w:t>
            </w:r>
          </w:p>
        </w:tc>
        <w:tc>
          <w:tcPr>
            <w:tcW w:w="59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8,528,</w:t>
            </w:r>
            <w:r w:rsidR="005A0D9B">
              <w:rPr>
                <w:color w:val="000000"/>
                <w:sz w:val="19"/>
                <w:szCs w:val="19"/>
              </w:rPr>
              <w:t>819</w:t>
            </w:r>
            <w:r w:rsidRPr="00C22A39">
              <w:rPr>
                <w:color w:val="000000"/>
                <w:sz w:val="19"/>
                <w:szCs w:val="19"/>
              </w:rPr>
              <w:t>,487</w:t>
            </w:r>
          </w:p>
        </w:tc>
      </w:tr>
      <w:tr w:rsidR="009D19F3" w:rsidRPr="00C22A39" w:rsidTr="00771798">
        <w:trPr>
          <w:trHeight w:val="464"/>
        </w:trPr>
        <w:tc>
          <w:tcPr>
            <w:tcW w:w="510" w:type="pc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4558F9" w:rsidP="00A25BE1">
            <w:pPr>
              <w:jc w:val="center"/>
              <w:rPr>
                <w:b/>
                <w:color w:val="000000"/>
                <w:sz w:val="19"/>
                <w:szCs w:val="19"/>
              </w:rPr>
            </w:pPr>
            <w:r w:rsidRPr="00C22A39">
              <w:rPr>
                <w:b/>
                <w:color w:val="000000"/>
                <w:sz w:val="19"/>
                <w:szCs w:val="19"/>
              </w:rPr>
              <w:t xml:space="preserve">Utility </w:t>
            </w:r>
            <w:r w:rsidR="00F874FE" w:rsidRPr="00C22A39">
              <w:rPr>
                <w:b/>
                <w:color w:val="000000"/>
                <w:sz w:val="19"/>
                <w:szCs w:val="19"/>
              </w:rPr>
              <w:t>$/kWh</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$0.18</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$0.15</w:t>
            </w:r>
          </w:p>
        </w:tc>
        <w:tc>
          <w:tcPr>
            <w:tcW w:w="59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r>
      <w:tr w:rsidR="009D19F3" w:rsidRPr="00C22A39" w:rsidTr="00771798">
        <w:trPr>
          <w:trHeight w:val="464"/>
        </w:trPr>
        <w:tc>
          <w:tcPr>
            <w:tcW w:w="510" w:type="pc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F874FE" w:rsidP="00A25BE1">
            <w:pPr>
              <w:jc w:val="center"/>
              <w:rPr>
                <w:b/>
                <w:color w:val="000000"/>
                <w:sz w:val="19"/>
                <w:szCs w:val="19"/>
              </w:rPr>
            </w:pPr>
            <w:r w:rsidRPr="00C22A39">
              <w:rPr>
                <w:b/>
                <w:color w:val="000000"/>
                <w:sz w:val="19"/>
                <w:szCs w:val="19"/>
              </w:rPr>
              <w:t>$ Savings</w:t>
            </w:r>
            <w:r w:rsidRPr="00C22A39">
              <w:rPr>
                <w:rStyle w:val="FootnoteReference"/>
                <w:b/>
                <w:color w:val="000000"/>
                <w:sz w:val="19"/>
                <w:szCs w:val="19"/>
              </w:rPr>
              <w:footnoteReference w:id="42"/>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$552,</w:t>
            </w:r>
            <w:r w:rsidR="005A0D9B">
              <w:rPr>
                <w:color w:val="000000"/>
                <w:sz w:val="19"/>
                <w:szCs w:val="19"/>
              </w:rPr>
              <w:t>517</w:t>
            </w:r>
            <w:r w:rsidRPr="00C22A39">
              <w:rPr>
                <w:color w:val="000000"/>
                <w:sz w:val="19"/>
                <w:szCs w:val="19"/>
              </w:rPr>
              <w:t>,000</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$553,100,000</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$523,488,000</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$169,428,000</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$592,973,000</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$2,194,255,000</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$1,803,876,000</w:t>
            </w:r>
          </w:p>
        </w:tc>
        <w:tc>
          <w:tcPr>
            <w:tcW w:w="59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$6,389,6</w:t>
            </w:r>
            <w:r w:rsidR="005A0D9B">
              <w:rPr>
                <w:color w:val="000000"/>
                <w:sz w:val="19"/>
                <w:szCs w:val="19"/>
              </w:rPr>
              <w:t>37</w:t>
            </w:r>
            <w:r w:rsidRPr="00C22A39">
              <w:rPr>
                <w:color w:val="000000"/>
                <w:sz w:val="19"/>
                <w:szCs w:val="19"/>
              </w:rPr>
              <w:t>,000</w:t>
            </w:r>
          </w:p>
        </w:tc>
      </w:tr>
    </w:tbl>
    <w:p w:rsidR="00F874FE" w:rsidRPr="00254D0A" w:rsidRDefault="00F874FE" w:rsidP="009D19F3"/>
    <w:p w:rsidR="00F874FE" w:rsidRDefault="00F874FE" w:rsidP="004837FA">
      <w:pPr>
        <w:pStyle w:val="Caption"/>
      </w:pPr>
      <w:bookmarkStart w:id="453" w:name="_Toc472472200"/>
      <w:bookmarkStart w:id="454" w:name="_Toc488741779"/>
      <w:r w:rsidRPr="0002004F">
        <w:t xml:space="preserve">Table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3</w:t>
      </w:r>
      <w:r w:rsidR="007973A4">
        <w:rPr>
          <w:noProof/>
        </w:rPr>
        <w:fldChar w:fldCharType="end"/>
      </w:r>
      <w:r w:rsidRPr="0002004F">
        <w:t xml:space="preserve">: Duquesne Costs, </w:t>
      </w:r>
      <w:r w:rsidR="005A0D9B">
        <w:t xml:space="preserve">Verified Gross </w:t>
      </w:r>
      <w:r w:rsidRPr="0002004F">
        <w:t xml:space="preserve">Annual </w:t>
      </w:r>
      <w:r>
        <w:t>kWh Savings, and Cost per First-</w:t>
      </w:r>
      <w:r w:rsidRPr="0002004F">
        <w:t>Year kWh</w:t>
      </w:r>
      <w:r w:rsidR="00093DFB">
        <w:t xml:space="preserve"> Saved</w:t>
      </w:r>
      <w:r w:rsidRPr="0002004F">
        <w:t xml:space="preserve"> by Program Year</w:t>
      </w:r>
      <w:bookmarkEnd w:id="453"/>
      <w:bookmarkEnd w:id="454"/>
    </w:p>
    <w:tbl>
      <w:tblPr>
        <w:tblW w:w="5077" w:type="pct"/>
        <w:tblInd w:w="-100" w:type="dxa"/>
        <w:tblLook w:val="04A0" w:firstRow="1" w:lastRow="0" w:firstColumn="1" w:lastColumn="0" w:noHBand="0" w:noVBand="1"/>
      </w:tblPr>
      <w:tblGrid>
        <w:gridCol w:w="1425"/>
        <w:gridCol w:w="2392"/>
        <w:gridCol w:w="1332"/>
        <w:gridCol w:w="1332"/>
        <w:gridCol w:w="1332"/>
        <w:gridCol w:w="1332"/>
        <w:gridCol w:w="1332"/>
        <w:gridCol w:w="1332"/>
        <w:gridCol w:w="1330"/>
      </w:tblGrid>
      <w:tr w:rsidR="00A874AC" w:rsidRPr="00C22A39" w:rsidTr="00C22A39">
        <w:trPr>
          <w:trHeight w:val="300"/>
          <w:tblHeader/>
        </w:trPr>
        <w:tc>
          <w:tcPr>
            <w:tcW w:w="542"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910"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PY1</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PY2</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PY3</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PY4</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PY5</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PY6</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PY7</w:t>
            </w:r>
          </w:p>
        </w:tc>
      </w:tr>
      <w:tr w:rsidR="00A874AC" w:rsidRPr="00C22A39" w:rsidTr="00C22A39">
        <w:trPr>
          <w:trHeight w:val="488"/>
        </w:trPr>
        <w:tc>
          <w:tcPr>
            <w:tcW w:w="542"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F874FE" w:rsidP="00A25BE1">
            <w:pPr>
              <w:jc w:val="center"/>
              <w:rPr>
                <w:b/>
                <w:color w:val="000000"/>
                <w:sz w:val="19"/>
                <w:szCs w:val="19"/>
              </w:rPr>
            </w:pPr>
            <w:r w:rsidRPr="00C22A39">
              <w:rPr>
                <w:b/>
                <w:color w:val="000000"/>
                <w:sz w:val="19"/>
                <w:szCs w:val="19"/>
              </w:rPr>
              <w:t xml:space="preserve">Total </w:t>
            </w:r>
            <w:r w:rsidR="004558F9" w:rsidRPr="00C22A39">
              <w:rPr>
                <w:b/>
                <w:color w:val="000000"/>
                <w:sz w:val="19"/>
                <w:szCs w:val="19"/>
              </w:rPr>
              <w:t xml:space="preserve">Utility </w:t>
            </w:r>
            <w:r w:rsidRPr="00C22A39">
              <w:rPr>
                <w:b/>
                <w:color w:val="000000"/>
                <w:sz w:val="19"/>
                <w:szCs w:val="19"/>
              </w:rPr>
              <w:t>Costs</w:t>
            </w:r>
          </w:p>
        </w:tc>
        <w:tc>
          <w:tcPr>
            <w:tcW w:w="910"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$812,402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$4,074,163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$7,923,777</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$8,992,405</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$6,343,275</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$7,052,000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$6,224,692</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$214,397</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$780,431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$768,225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$651,342</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$1,753,199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$692,000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$351,182</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$1,026,799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$4,854,594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$8,692,003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$9,643,746</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$8,096,474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$7,744,000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$6,575,874</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-$2,585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$11,251,030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$15,119,997</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$13,908,264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$7,187,526</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$11,249,000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$9,504,657</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$1,024,214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$16,105,624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$23,812,000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$23,552,010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$15,284,000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$18,993,000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$16,080,530</w:t>
            </w:r>
          </w:p>
        </w:tc>
      </w:tr>
      <w:tr w:rsidR="00A874AC" w:rsidRPr="00C22A39" w:rsidTr="00C22A39">
        <w:trPr>
          <w:trHeight w:val="488"/>
        </w:trPr>
        <w:tc>
          <w:tcPr>
            <w:tcW w:w="542"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4558F9" w:rsidP="00A25BE1">
            <w:pPr>
              <w:jc w:val="center"/>
              <w:rPr>
                <w:b/>
                <w:color w:val="000000"/>
                <w:sz w:val="19"/>
                <w:szCs w:val="19"/>
              </w:rPr>
            </w:pPr>
            <w:r w:rsidRPr="00C22A39">
              <w:rPr>
                <w:b/>
                <w:color w:val="000000"/>
                <w:sz w:val="19"/>
                <w:szCs w:val="19"/>
              </w:rPr>
              <w:t xml:space="preserve">First-Year </w:t>
            </w:r>
            <w:r w:rsidR="00F874FE" w:rsidRPr="00C22A39">
              <w:rPr>
                <w:b/>
                <w:color w:val="000000"/>
                <w:sz w:val="19"/>
                <w:szCs w:val="19"/>
              </w:rPr>
              <w:t>kWh Saved</w:t>
            </w:r>
          </w:p>
        </w:tc>
        <w:tc>
          <w:tcPr>
            <w:tcW w:w="910"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2,123,875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47,499,391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80,834,000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59,458,000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51,077,000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36,818,000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62,571,000</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413,512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15,649,108</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7,403,000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13,713,000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12,798,000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2,293,000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3,9</w:t>
            </w:r>
            <w:r w:rsidR="005A0D9B">
              <w:rPr>
                <w:color w:val="000000"/>
                <w:sz w:val="19"/>
                <w:szCs w:val="19"/>
              </w:rPr>
              <w:t>1</w:t>
            </w:r>
            <w:r w:rsidR="00EE44A9">
              <w:rPr>
                <w:color w:val="000000"/>
                <w:sz w:val="19"/>
                <w:szCs w:val="19"/>
              </w:rPr>
              <w:t>7</w:t>
            </w:r>
            <w:r w:rsidRPr="00C22A39">
              <w:rPr>
                <w:color w:val="000000"/>
                <w:sz w:val="19"/>
                <w:szCs w:val="19"/>
              </w:rPr>
              <w:t>,000</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2,537,387</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63,148,499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88,237,000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73,171,000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63,875,000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39,111,000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66,</w:t>
            </w:r>
            <w:r w:rsidR="005A0D9B">
              <w:rPr>
                <w:color w:val="000000"/>
                <w:sz w:val="19"/>
                <w:szCs w:val="19"/>
              </w:rPr>
              <w:t>488</w:t>
            </w:r>
            <w:r w:rsidRPr="00C22A39">
              <w:rPr>
                <w:color w:val="000000"/>
                <w:sz w:val="19"/>
                <w:szCs w:val="19"/>
              </w:rPr>
              <w:t>,000</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w:t>
            </w:r>
            <w:r w:rsidRPr="00C22A39">
              <w:rPr>
                <w:rStyle w:val="FootnoteReference"/>
                <w:color w:val="000000"/>
                <w:sz w:val="19"/>
                <w:szCs w:val="19"/>
              </w:rPr>
              <w:footnoteReference w:id="43"/>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101,710,908</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51,832,000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131,880,000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64,546,000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60,153,000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75,639,000</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2,537,387</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164,859,407</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140,069,000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205,051,000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128,421,000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99,264,000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142,1</w:t>
            </w:r>
            <w:r w:rsidR="00EE44A9">
              <w:rPr>
                <w:color w:val="000000"/>
                <w:sz w:val="19"/>
                <w:szCs w:val="19"/>
              </w:rPr>
              <w:t>27</w:t>
            </w:r>
            <w:r w:rsidRPr="00C22A39">
              <w:rPr>
                <w:color w:val="000000"/>
                <w:sz w:val="19"/>
                <w:szCs w:val="19"/>
              </w:rPr>
              <w:t>,000</w:t>
            </w:r>
          </w:p>
        </w:tc>
      </w:tr>
      <w:tr w:rsidR="00A874AC" w:rsidRPr="00C22A39" w:rsidTr="00C22A39">
        <w:trPr>
          <w:trHeight w:val="488"/>
        </w:trPr>
        <w:tc>
          <w:tcPr>
            <w:tcW w:w="542"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4558F9" w:rsidP="00A25BE1">
            <w:pPr>
              <w:jc w:val="center"/>
              <w:rPr>
                <w:b/>
                <w:color w:val="000000"/>
                <w:sz w:val="19"/>
                <w:szCs w:val="19"/>
              </w:rPr>
            </w:pPr>
            <w:r w:rsidRPr="00C22A39">
              <w:rPr>
                <w:b/>
                <w:color w:val="000000"/>
                <w:sz w:val="19"/>
                <w:szCs w:val="19"/>
              </w:rPr>
              <w:t xml:space="preserve">Utility </w:t>
            </w:r>
            <w:r w:rsidR="00F874FE" w:rsidRPr="00C22A39">
              <w:rPr>
                <w:b/>
                <w:color w:val="000000"/>
                <w:sz w:val="19"/>
                <w:szCs w:val="19"/>
              </w:rPr>
              <w:t>$/kWh</w:t>
            </w:r>
          </w:p>
        </w:tc>
        <w:tc>
          <w:tcPr>
            <w:tcW w:w="910"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$0.38</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$0.15</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$0.52</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$0.09</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$0.40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$0.08</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$0.29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$0.13</w:t>
            </w:r>
          </w:p>
        </w:tc>
      </w:tr>
      <w:tr w:rsidR="00A874AC" w:rsidRPr="00C22A39" w:rsidTr="00C22A39">
        <w:trPr>
          <w:trHeight w:val="488"/>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10"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and Non-Residential Combined</w:t>
            </w:r>
            <w:r w:rsidR="00610475" w:rsidRPr="00C22A39">
              <w:rPr>
                <w:color w:val="000000"/>
                <w:sz w:val="19"/>
                <w:szCs w:val="19"/>
              </w:rPr>
              <w:t xml:space="preserve"> (weighted average)</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$0.40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r>
    </w:tbl>
    <w:p w:rsidR="00F874FE" w:rsidRPr="00F874FE" w:rsidRDefault="00F874FE" w:rsidP="009D19F3">
      <w:bookmarkStart w:id="455" w:name="_Toc472472201"/>
    </w:p>
    <w:p w:rsidR="00F874FE" w:rsidRDefault="00F874FE" w:rsidP="004837FA">
      <w:pPr>
        <w:pStyle w:val="Caption"/>
      </w:pPr>
      <w:bookmarkStart w:id="456" w:name="_Toc488741780"/>
      <w:r w:rsidRPr="009011F4">
        <w:t xml:space="preserve">Table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4</w:t>
      </w:r>
      <w:r w:rsidR="007973A4">
        <w:rPr>
          <w:noProof/>
        </w:rPr>
        <w:fldChar w:fldCharType="end"/>
      </w:r>
      <w:r w:rsidRPr="009011F4">
        <w:t xml:space="preserve">: Met-Ed Costs, Annual </w:t>
      </w:r>
      <w:r>
        <w:t>kWh Savings, and Cost per First-</w:t>
      </w:r>
      <w:r w:rsidRPr="009011F4">
        <w:t>Year kWh</w:t>
      </w:r>
      <w:r w:rsidR="00093DFB">
        <w:t xml:space="preserve"> Saved</w:t>
      </w:r>
      <w:r w:rsidRPr="009011F4">
        <w:t xml:space="preserve"> by Program Year</w:t>
      </w:r>
      <w:bookmarkEnd w:id="455"/>
      <w:bookmarkEnd w:id="456"/>
    </w:p>
    <w:tbl>
      <w:tblPr>
        <w:tblW w:w="5077" w:type="pct"/>
        <w:tblInd w:w="-100" w:type="dxa"/>
        <w:tblLook w:val="04A0" w:firstRow="1" w:lastRow="0" w:firstColumn="1" w:lastColumn="0" w:noHBand="0" w:noVBand="1"/>
      </w:tblPr>
      <w:tblGrid>
        <w:gridCol w:w="1446"/>
        <w:gridCol w:w="2374"/>
        <w:gridCol w:w="1332"/>
        <w:gridCol w:w="1332"/>
        <w:gridCol w:w="1332"/>
        <w:gridCol w:w="1332"/>
        <w:gridCol w:w="1332"/>
        <w:gridCol w:w="1332"/>
        <w:gridCol w:w="1327"/>
      </w:tblGrid>
      <w:tr w:rsidR="00C22A39" w:rsidRPr="00C22A39" w:rsidTr="00C22A39">
        <w:trPr>
          <w:trHeight w:val="315"/>
          <w:tblHeader/>
        </w:trPr>
        <w:tc>
          <w:tcPr>
            <w:tcW w:w="550"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90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PY1</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PY2</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PY3</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PY4</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PY5</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PY6</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PY7</w:t>
            </w:r>
          </w:p>
        </w:tc>
      </w:tr>
      <w:tr w:rsidR="00C22A39" w:rsidRPr="00C22A39" w:rsidTr="00C22A39">
        <w:trPr>
          <w:trHeight w:val="488"/>
        </w:trPr>
        <w:tc>
          <w:tcPr>
            <w:tcW w:w="55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F874FE" w:rsidP="00A25BE1">
            <w:pPr>
              <w:jc w:val="center"/>
              <w:rPr>
                <w:b/>
                <w:color w:val="000000"/>
                <w:sz w:val="19"/>
                <w:szCs w:val="19"/>
              </w:rPr>
            </w:pPr>
            <w:r w:rsidRPr="00C22A39">
              <w:rPr>
                <w:b/>
                <w:color w:val="000000"/>
                <w:sz w:val="19"/>
                <w:szCs w:val="19"/>
              </w:rPr>
              <w:t xml:space="preserve">Total </w:t>
            </w:r>
            <w:r w:rsidR="004558F9" w:rsidRPr="00C22A39">
              <w:rPr>
                <w:b/>
                <w:color w:val="000000"/>
                <w:sz w:val="19"/>
                <w:szCs w:val="19"/>
              </w:rPr>
              <w:t xml:space="preserve">Utility </w:t>
            </w:r>
            <w:r w:rsidRPr="00C22A39">
              <w:rPr>
                <w:b/>
                <w:color w:val="000000"/>
                <w:sz w:val="19"/>
                <w:szCs w:val="19"/>
              </w:rPr>
              <w:t>Costs</w:t>
            </w:r>
          </w:p>
        </w:tc>
        <w:tc>
          <w:tcPr>
            <w:tcW w:w="90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$2,392,918</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$12,413,000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$10,214,403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$14,082,499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$12,625,449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$10,063,680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$8,709,000</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$179,834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$1,173,065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$1,247,027</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$1,287,852</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$1,761,025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$1,637,015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$1,659,000</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w:t>
            </w:r>
            <w:r w:rsidR="00610475" w:rsidRPr="00C22A39">
              <w:rPr>
                <w:color w:val="000000"/>
                <w:sz w:val="19"/>
                <w:szCs w:val="19"/>
              </w:rPr>
              <w:t>572</w:t>
            </w:r>
            <w:r w:rsidRPr="00C22A39">
              <w:rPr>
                <w:color w:val="000000"/>
                <w:sz w:val="19"/>
                <w:szCs w:val="19"/>
              </w:rPr>
              <w:t>,752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$13,586,065</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$11,461,429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$15,370,351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$14,386,474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$11,700,695</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$10,368,000</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$994,982</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$12,344,616</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$4,182,571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$7,658,590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$4,390,526</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$5,205,305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$8,598,000</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$3,567,734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$25,930,681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$15,644,000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$23,028,942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$18,777,000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$16,906,000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$18,966,000</w:t>
            </w:r>
          </w:p>
        </w:tc>
      </w:tr>
      <w:tr w:rsidR="00C22A39" w:rsidRPr="00C22A39" w:rsidTr="00C22A39">
        <w:trPr>
          <w:trHeight w:val="488"/>
        </w:trPr>
        <w:tc>
          <w:tcPr>
            <w:tcW w:w="550"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4558F9" w:rsidP="00A25BE1">
            <w:pPr>
              <w:jc w:val="center"/>
              <w:rPr>
                <w:b/>
                <w:color w:val="000000"/>
                <w:sz w:val="19"/>
                <w:szCs w:val="19"/>
              </w:rPr>
            </w:pPr>
            <w:r w:rsidRPr="00C22A39">
              <w:rPr>
                <w:b/>
                <w:color w:val="000000"/>
                <w:sz w:val="19"/>
                <w:szCs w:val="19"/>
              </w:rPr>
              <w:t xml:space="preserve">First-Year </w:t>
            </w:r>
            <w:r w:rsidR="00F874FE" w:rsidRPr="00C22A39">
              <w:rPr>
                <w:b/>
                <w:color w:val="000000"/>
                <w:sz w:val="19"/>
                <w:szCs w:val="19"/>
              </w:rPr>
              <w:t>kWh Saved</w:t>
            </w:r>
          </w:p>
        </w:tc>
        <w:tc>
          <w:tcPr>
            <w:tcW w:w="90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11,426,380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82,036,589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71,908,000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109,822,000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96,883,000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90,954,000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97,572,000</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64,764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3,771,732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799,000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1,096,000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3,391,000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1,949,000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1,123,000</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11,491,144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85,808,321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72,707,000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110,918,000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100,274,000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92,903,000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98,695,000</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5,783,979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80,929,228</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47,011,000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80,821,000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33,792,000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40,826,000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72,724,000</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17,275,123</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166,737,549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119,718,000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191,739,000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134,066,000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133,729,000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171,419,000</w:t>
            </w:r>
          </w:p>
        </w:tc>
      </w:tr>
      <w:tr w:rsidR="00C22A39" w:rsidRPr="00C22A39" w:rsidTr="00C22A39">
        <w:trPr>
          <w:trHeight w:val="488"/>
        </w:trPr>
        <w:tc>
          <w:tcPr>
            <w:tcW w:w="55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4558F9" w:rsidP="00A25BE1">
            <w:pPr>
              <w:jc w:val="center"/>
              <w:rPr>
                <w:b/>
                <w:color w:val="000000"/>
                <w:sz w:val="19"/>
                <w:szCs w:val="19"/>
              </w:rPr>
            </w:pPr>
            <w:r w:rsidRPr="00C22A39">
              <w:rPr>
                <w:b/>
                <w:color w:val="000000"/>
                <w:sz w:val="19"/>
                <w:szCs w:val="19"/>
              </w:rPr>
              <w:t xml:space="preserve">Utility </w:t>
            </w:r>
            <w:r w:rsidR="00F874FE" w:rsidRPr="00C22A39">
              <w:rPr>
                <w:b/>
                <w:color w:val="000000"/>
                <w:sz w:val="19"/>
                <w:szCs w:val="19"/>
              </w:rPr>
              <w:t>$/kWh</w:t>
            </w:r>
          </w:p>
        </w:tc>
        <w:tc>
          <w:tcPr>
            <w:tcW w:w="90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$0.15</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$0.09</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$2.78</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$1.56</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$1.18</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$0.52</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$0.84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$1.48</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r>
      <w:tr w:rsidR="00C22A39" w:rsidRPr="00C22A39" w:rsidTr="00C22A39">
        <w:trPr>
          <w:trHeight w:val="488"/>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$0.12</w:t>
            </w:r>
          </w:p>
        </w:tc>
      </w:tr>
      <w:tr w:rsidR="00C22A39" w:rsidRPr="00C22A39" w:rsidTr="00C22A39">
        <w:trPr>
          <w:trHeight w:val="489"/>
        </w:trPr>
        <w:tc>
          <w:tcPr>
            <w:tcW w:w="55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9D19F3">
            <w:pPr>
              <w:jc w:val="left"/>
              <w:rPr>
                <w:b/>
                <w:color w:val="000000"/>
                <w:sz w:val="19"/>
                <w:szCs w:val="19"/>
              </w:rPr>
            </w:pPr>
          </w:p>
        </w:tc>
        <w:tc>
          <w:tcPr>
            <w:tcW w:w="90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and Non-Residential Combined</w:t>
            </w:r>
            <w:r w:rsidR="00610475" w:rsidRPr="00C22A39">
              <w:rPr>
                <w:color w:val="000000"/>
                <w:sz w:val="19"/>
                <w:szCs w:val="19"/>
              </w:rPr>
              <w:t xml:space="preserve"> (weighted average)</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r>
    </w:tbl>
    <w:p w:rsidR="00F874FE" w:rsidRPr="00F874FE" w:rsidRDefault="00F874FE" w:rsidP="009D19F3">
      <w:bookmarkStart w:id="457" w:name="_Toc472472202"/>
    </w:p>
    <w:p w:rsidR="00F874FE" w:rsidRDefault="00F874FE" w:rsidP="004837FA">
      <w:pPr>
        <w:pStyle w:val="Caption"/>
      </w:pPr>
      <w:bookmarkStart w:id="458" w:name="_Toc488741781"/>
      <w:r w:rsidRPr="009011F4">
        <w:t xml:space="preserve">Table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5</w:t>
      </w:r>
      <w:r w:rsidR="007973A4">
        <w:rPr>
          <w:noProof/>
        </w:rPr>
        <w:fldChar w:fldCharType="end"/>
      </w:r>
      <w:r w:rsidRPr="009011F4">
        <w:t>: Penelec Costs, Annual kWh Savings, and Cost per First</w:t>
      </w:r>
      <w:r>
        <w:t>-</w:t>
      </w:r>
      <w:r w:rsidRPr="009011F4">
        <w:t>Year kWh</w:t>
      </w:r>
      <w:r w:rsidR="00093DFB">
        <w:t xml:space="preserve"> Saved</w:t>
      </w:r>
      <w:r w:rsidRPr="009011F4">
        <w:t xml:space="preserve"> by Program Year</w:t>
      </w:r>
      <w:bookmarkEnd w:id="457"/>
      <w:bookmarkEnd w:id="458"/>
    </w:p>
    <w:tbl>
      <w:tblPr>
        <w:tblW w:w="5071" w:type="pct"/>
        <w:tblInd w:w="-100" w:type="dxa"/>
        <w:tblLook w:val="04A0" w:firstRow="1" w:lastRow="0" w:firstColumn="1" w:lastColumn="0" w:noHBand="0" w:noVBand="1"/>
      </w:tblPr>
      <w:tblGrid>
        <w:gridCol w:w="1440"/>
        <w:gridCol w:w="2373"/>
        <w:gridCol w:w="1328"/>
        <w:gridCol w:w="1331"/>
        <w:gridCol w:w="1331"/>
        <w:gridCol w:w="1328"/>
        <w:gridCol w:w="1331"/>
        <w:gridCol w:w="1331"/>
        <w:gridCol w:w="1331"/>
      </w:tblGrid>
      <w:tr w:rsidR="00A874AC" w:rsidRPr="00C22A39" w:rsidTr="00C22A39">
        <w:trPr>
          <w:trHeight w:val="315"/>
          <w:tblHeader/>
        </w:trPr>
        <w:tc>
          <w:tcPr>
            <w:tcW w:w="549"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904"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PY1</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PY2</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PY3</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PY4</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PY5</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PY6</w:t>
            </w:r>
          </w:p>
        </w:tc>
        <w:tc>
          <w:tcPr>
            <w:tcW w:w="50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PY7</w:t>
            </w:r>
          </w:p>
        </w:tc>
      </w:tr>
      <w:tr w:rsidR="00A874AC" w:rsidRPr="00C22A39" w:rsidTr="00C22A39">
        <w:trPr>
          <w:trHeight w:val="488"/>
        </w:trPr>
        <w:tc>
          <w:tcPr>
            <w:tcW w:w="549"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F874FE" w:rsidP="00A25BE1">
            <w:pPr>
              <w:jc w:val="center"/>
              <w:rPr>
                <w:b/>
                <w:color w:val="000000"/>
                <w:sz w:val="19"/>
                <w:szCs w:val="19"/>
              </w:rPr>
            </w:pPr>
            <w:r w:rsidRPr="00C22A39">
              <w:rPr>
                <w:b/>
                <w:color w:val="000000"/>
                <w:sz w:val="19"/>
                <w:szCs w:val="19"/>
              </w:rPr>
              <w:t xml:space="preserve">Total </w:t>
            </w:r>
            <w:r w:rsidR="004558F9" w:rsidRPr="00C22A39">
              <w:rPr>
                <w:b/>
                <w:color w:val="000000"/>
                <w:sz w:val="19"/>
                <w:szCs w:val="19"/>
              </w:rPr>
              <w:t xml:space="preserve">Utility </w:t>
            </w:r>
            <w:r w:rsidRPr="00C22A39">
              <w:rPr>
                <w:b/>
                <w:color w:val="000000"/>
                <w:sz w:val="19"/>
                <w:szCs w:val="19"/>
              </w:rPr>
              <w:t>Costs</w:t>
            </w:r>
          </w:p>
        </w:tc>
        <w:tc>
          <w:tcPr>
            <w:tcW w:w="90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$2,310,592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$9,570,741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$8,897,934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$9,843,208</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$11,343,710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$8,770,559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$7,222,916</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b/>
                <w:color w:val="000000"/>
                <w:sz w:val="19"/>
                <w:szCs w:val="19"/>
              </w:rPr>
            </w:pPr>
          </w:p>
        </w:tc>
        <w:tc>
          <w:tcPr>
            <w:tcW w:w="90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$132,718</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$1,695,740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$1,698,978</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$1,574,038</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$2,552,044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$2,072,021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$2,224,976</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b/>
                <w:color w:val="000000"/>
                <w:sz w:val="19"/>
                <w:szCs w:val="19"/>
              </w:rPr>
            </w:pPr>
          </w:p>
        </w:tc>
        <w:tc>
          <w:tcPr>
            <w:tcW w:w="90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$2,443,310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$11,266,481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$10,596,913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$11,417,246</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$13,895,754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$10,842,580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$9,447,892</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b/>
                <w:color w:val="000000"/>
                <w:sz w:val="19"/>
                <w:szCs w:val="19"/>
              </w:rPr>
            </w:pPr>
          </w:p>
        </w:tc>
        <w:tc>
          <w:tcPr>
            <w:tcW w:w="90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$1,078,899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$3,570,654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$6,559,087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$7,368,754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$4,041,246</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$5,877,420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$7,039,108</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b/>
                <w:color w:val="000000"/>
                <w:sz w:val="19"/>
                <w:szCs w:val="19"/>
              </w:rPr>
            </w:pPr>
          </w:p>
        </w:tc>
        <w:tc>
          <w:tcPr>
            <w:tcW w:w="90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$3,522,209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$14,837,135</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$17,156,000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$18,786,000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$17,937,000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$16,720,000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$16,487,000</w:t>
            </w:r>
          </w:p>
        </w:tc>
      </w:tr>
      <w:tr w:rsidR="00A874AC" w:rsidRPr="00C22A39" w:rsidTr="00C22A39">
        <w:trPr>
          <w:trHeight w:val="488"/>
        </w:trPr>
        <w:tc>
          <w:tcPr>
            <w:tcW w:w="549"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4558F9" w:rsidP="00A25BE1">
            <w:pPr>
              <w:jc w:val="center"/>
              <w:rPr>
                <w:b/>
                <w:color w:val="000000"/>
                <w:sz w:val="19"/>
                <w:szCs w:val="19"/>
              </w:rPr>
            </w:pPr>
            <w:r w:rsidRPr="00C22A39">
              <w:rPr>
                <w:b/>
                <w:color w:val="000000"/>
                <w:sz w:val="19"/>
                <w:szCs w:val="19"/>
              </w:rPr>
              <w:t xml:space="preserve">First-Year </w:t>
            </w:r>
            <w:r w:rsidR="00F874FE" w:rsidRPr="00C22A39">
              <w:rPr>
                <w:b/>
                <w:color w:val="000000"/>
                <w:sz w:val="19"/>
                <w:szCs w:val="19"/>
              </w:rPr>
              <w:t>kWh Saved</w:t>
            </w:r>
          </w:p>
        </w:tc>
        <w:tc>
          <w:tcPr>
            <w:tcW w:w="90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10,168,452</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78,457,352</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66,991,000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92,973,000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81,449,000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74,944,000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89,114,000</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b/>
                <w:color w:val="000000"/>
                <w:sz w:val="19"/>
                <w:szCs w:val="19"/>
              </w:rPr>
            </w:pPr>
          </w:p>
        </w:tc>
        <w:tc>
          <w:tcPr>
            <w:tcW w:w="90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81,432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4,618,224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1,357,000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1,324,000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5,051,000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2,755,000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1,982,000</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b/>
                <w:color w:val="000000"/>
                <w:sz w:val="19"/>
                <w:szCs w:val="19"/>
              </w:rPr>
            </w:pPr>
          </w:p>
        </w:tc>
        <w:tc>
          <w:tcPr>
            <w:tcW w:w="90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10,249,884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83,075,576</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68,348,000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94,297,000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86,500,000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77,699,000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91,096,000</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b/>
                <w:color w:val="000000"/>
                <w:sz w:val="19"/>
                <w:szCs w:val="19"/>
              </w:rPr>
            </w:pPr>
          </w:p>
        </w:tc>
        <w:tc>
          <w:tcPr>
            <w:tcW w:w="90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3,245,391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88,288,243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57,368,000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54,510,000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28,231,000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56,275,000</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73,302,000</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b/>
                <w:color w:val="000000"/>
                <w:sz w:val="19"/>
                <w:szCs w:val="19"/>
              </w:rPr>
            </w:pPr>
          </w:p>
        </w:tc>
        <w:tc>
          <w:tcPr>
            <w:tcW w:w="90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13,495,275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171,363,819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125,716,000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148,807,000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114,731,000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133,974,000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164,398,000</w:t>
            </w:r>
          </w:p>
        </w:tc>
      </w:tr>
      <w:tr w:rsidR="00A874AC" w:rsidRPr="00C22A39" w:rsidTr="00C22A39">
        <w:trPr>
          <w:trHeight w:val="488"/>
        </w:trPr>
        <w:tc>
          <w:tcPr>
            <w:tcW w:w="549"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4558F9" w:rsidP="00A25BE1">
            <w:pPr>
              <w:jc w:val="center"/>
              <w:rPr>
                <w:b/>
                <w:color w:val="000000"/>
                <w:sz w:val="19"/>
                <w:szCs w:val="19"/>
              </w:rPr>
            </w:pPr>
            <w:r w:rsidRPr="00C22A39">
              <w:rPr>
                <w:b/>
                <w:color w:val="000000"/>
                <w:sz w:val="19"/>
                <w:szCs w:val="19"/>
              </w:rPr>
              <w:t xml:space="preserve">Utility </w:t>
            </w:r>
            <w:r w:rsidR="00F874FE" w:rsidRPr="00C22A39">
              <w:rPr>
                <w:b/>
                <w:color w:val="000000"/>
                <w:sz w:val="19"/>
                <w:szCs w:val="19"/>
              </w:rPr>
              <w:t>$/kWh</w:t>
            </w:r>
          </w:p>
        </w:tc>
        <w:tc>
          <w:tcPr>
            <w:tcW w:w="90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$0.08</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color w:val="000000"/>
                <w:sz w:val="19"/>
                <w:szCs w:val="19"/>
              </w:rPr>
            </w:pPr>
          </w:p>
        </w:tc>
        <w:tc>
          <w:tcPr>
            <w:tcW w:w="90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$1.63</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$0.37</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$1.19</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$0.51</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$0.75</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$1.12</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color w:val="000000"/>
                <w:sz w:val="19"/>
                <w:szCs w:val="19"/>
              </w:rPr>
            </w:pPr>
          </w:p>
        </w:tc>
        <w:tc>
          <w:tcPr>
            <w:tcW w:w="90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r>
      <w:tr w:rsidR="00A874AC" w:rsidRPr="00C22A39" w:rsidTr="00C22A39">
        <w:trPr>
          <w:trHeight w:val="488"/>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color w:val="000000"/>
                <w:sz w:val="19"/>
                <w:szCs w:val="19"/>
              </w:rPr>
            </w:pPr>
          </w:p>
        </w:tc>
        <w:tc>
          <w:tcPr>
            <w:tcW w:w="90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$0.33</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0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$0.10</w:t>
            </w:r>
          </w:p>
        </w:tc>
      </w:tr>
      <w:tr w:rsidR="00A874AC" w:rsidRPr="00C22A39" w:rsidTr="00C22A39">
        <w:trPr>
          <w:trHeight w:val="489"/>
        </w:trPr>
        <w:tc>
          <w:tcPr>
            <w:tcW w:w="549"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F06C91">
            <w:pPr>
              <w:jc w:val="left"/>
              <w:rPr>
                <w:color w:val="000000"/>
                <w:sz w:val="19"/>
                <w:szCs w:val="19"/>
              </w:rPr>
            </w:pPr>
          </w:p>
        </w:tc>
        <w:tc>
          <w:tcPr>
            <w:tcW w:w="90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and Non-Residential Combined</w:t>
            </w:r>
            <w:r w:rsidR="00610475" w:rsidRPr="00C22A39">
              <w:rPr>
                <w:color w:val="000000"/>
                <w:sz w:val="19"/>
                <w:szCs w:val="19"/>
              </w:rPr>
              <w:t xml:space="preserve"> (weighted average)</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$0.26</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0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r>
    </w:tbl>
    <w:p w:rsidR="00093DFB" w:rsidRPr="00771798" w:rsidRDefault="00093DFB" w:rsidP="00771798">
      <w:bookmarkStart w:id="459" w:name="_Toc472472203"/>
    </w:p>
    <w:p w:rsidR="00F874FE" w:rsidRDefault="00F874FE" w:rsidP="004837FA">
      <w:pPr>
        <w:pStyle w:val="Caption"/>
      </w:pPr>
      <w:bookmarkStart w:id="460" w:name="_Toc488741782"/>
      <w:r w:rsidRPr="009011F4">
        <w:t xml:space="preserve">Table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6</w:t>
      </w:r>
      <w:r w:rsidR="007973A4">
        <w:rPr>
          <w:noProof/>
        </w:rPr>
        <w:fldChar w:fldCharType="end"/>
      </w:r>
      <w:r w:rsidRPr="009011F4">
        <w:t xml:space="preserve">: Penn Power Costs, Annual </w:t>
      </w:r>
      <w:r>
        <w:t>kWh Savings, and Cost per First-</w:t>
      </w:r>
      <w:r w:rsidRPr="009011F4">
        <w:t>Year kWh</w:t>
      </w:r>
      <w:r w:rsidR="00093DFB">
        <w:t xml:space="preserve"> Saved</w:t>
      </w:r>
      <w:r w:rsidRPr="009011F4">
        <w:t xml:space="preserve"> by Program Year</w:t>
      </w:r>
      <w:bookmarkEnd w:id="459"/>
      <w:bookmarkEnd w:id="460"/>
    </w:p>
    <w:tbl>
      <w:tblPr>
        <w:tblW w:w="5077" w:type="pct"/>
        <w:tblInd w:w="-100" w:type="dxa"/>
        <w:tblLook w:val="04A0" w:firstRow="1" w:lastRow="0" w:firstColumn="1" w:lastColumn="0" w:noHBand="0" w:noVBand="1"/>
      </w:tblPr>
      <w:tblGrid>
        <w:gridCol w:w="1420"/>
        <w:gridCol w:w="2303"/>
        <w:gridCol w:w="1346"/>
        <w:gridCol w:w="1345"/>
        <w:gridCol w:w="1345"/>
        <w:gridCol w:w="1345"/>
        <w:gridCol w:w="1345"/>
        <w:gridCol w:w="1345"/>
        <w:gridCol w:w="1345"/>
      </w:tblGrid>
      <w:tr w:rsidR="00C22A39" w:rsidRPr="00C22A39" w:rsidTr="00C22A39">
        <w:trPr>
          <w:trHeight w:val="315"/>
          <w:tblHeader/>
        </w:trPr>
        <w:tc>
          <w:tcPr>
            <w:tcW w:w="540"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87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51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PY1</w:t>
            </w:r>
          </w:p>
        </w:tc>
        <w:tc>
          <w:tcPr>
            <w:tcW w:w="51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PY2</w:t>
            </w:r>
          </w:p>
        </w:tc>
        <w:tc>
          <w:tcPr>
            <w:tcW w:w="51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PY3</w:t>
            </w:r>
          </w:p>
        </w:tc>
        <w:tc>
          <w:tcPr>
            <w:tcW w:w="51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PY4</w:t>
            </w:r>
          </w:p>
        </w:tc>
        <w:tc>
          <w:tcPr>
            <w:tcW w:w="51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PY5</w:t>
            </w:r>
          </w:p>
        </w:tc>
        <w:tc>
          <w:tcPr>
            <w:tcW w:w="51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PY6</w:t>
            </w:r>
          </w:p>
        </w:tc>
        <w:tc>
          <w:tcPr>
            <w:tcW w:w="51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PY7</w:t>
            </w:r>
          </w:p>
        </w:tc>
      </w:tr>
      <w:tr w:rsidR="00C22A39" w:rsidRPr="00C22A39" w:rsidTr="00C22A39">
        <w:trPr>
          <w:trHeight w:val="488"/>
        </w:trPr>
        <w:tc>
          <w:tcPr>
            <w:tcW w:w="54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 xml:space="preserve">Total </w:t>
            </w:r>
            <w:r w:rsidR="004558F9" w:rsidRPr="00C22A39">
              <w:rPr>
                <w:color w:val="000000"/>
                <w:sz w:val="19"/>
                <w:szCs w:val="19"/>
              </w:rPr>
              <w:t xml:space="preserve">Utility </w:t>
            </w:r>
            <w:r w:rsidRPr="00C22A39">
              <w:rPr>
                <w:color w:val="000000"/>
                <w:sz w:val="19"/>
                <w:szCs w:val="19"/>
              </w:rPr>
              <w:t>Costs</w:t>
            </w:r>
          </w:p>
        </w:tc>
        <w:tc>
          <w:tcPr>
            <w:tcW w:w="87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$525,962</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$2,804,351</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$2,831,344</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$3,654,736</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$4,218,044</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$2,652,000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$1,383,000</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$29,716</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$571,641</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$288,785</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$42,000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$824,000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$493,000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$670,000</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$555,678</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$3,375,992</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$3,120,129</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$3,696,736</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$5,042,044</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$3,145,000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$2,053,000</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$301,870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$3,570,654</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$912,871</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$2,628,264</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$1,318,000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$2,251,000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$1,864,000</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$857,548</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$6,946,646</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$4,033,000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$6,325,000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$6,360,044</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$5,396,000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$3,917,000</w:t>
            </w:r>
          </w:p>
        </w:tc>
      </w:tr>
      <w:tr w:rsidR="00C22A39" w:rsidRPr="00C22A39" w:rsidTr="00C22A39">
        <w:trPr>
          <w:trHeight w:val="488"/>
        </w:trPr>
        <w:tc>
          <w:tcPr>
            <w:tcW w:w="540"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4558F9" w:rsidP="00A25BE1">
            <w:pPr>
              <w:jc w:val="center"/>
              <w:rPr>
                <w:color w:val="000000"/>
                <w:sz w:val="19"/>
                <w:szCs w:val="19"/>
              </w:rPr>
            </w:pPr>
            <w:r w:rsidRPr="00C22A39">
              <w:rPr>
                <w:color w:val="000000"/>
                <w:sz w:val="19"/>
                <w:szCs w:val="19"/>
              </w:rPr>
              <w:t xml:space="preserve">First-Year </w:t>
            </w:r>
            <w:r w:rsidR="00F874FE" w:rsidRPr="00C22A39">
              <w:rPr>
                <w:color w:val="000000"/>
                <w:sz w:val="19"/>
                <w:szCs w:val="19"/>
              </w:rPr>
              <w:t>kWh Saved</w:t>
            </w:r>
          </w:p>
        </w:tc>
        <w:tc>
          <w:tcPr>
            <w:tcW w:w="87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5,451,292</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27,346,277</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25,038,000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35,383,000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29,105,000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22,252,000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12,471,000</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19,240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2,085,616</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163,000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w:t>
            </w:r>
            <w:r w:rsidRPr="00C22A39">
              <w:rPr>
                <w:rStyle w:val="FootnoteReference"/>
                <w:color w:val="000000"/>
                <w:sz w:val="19"/>
                <w:szCs w:val="19"/>
              </w:rPr>
              <w:footnoteReference w:id="44"/>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1,168,000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1,010,000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550,000</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5,470,532</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29,431,893</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25,201,000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35,383,000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30,273,000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23,262,000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13,021,000</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651,682</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31,611,450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15,980,000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22,573,000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7,797,000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34,252,000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14,260,000</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6,122,214</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61,043,343</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41,181,000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57,956,000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38,070,000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57,514,000</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27,281,000</w:t>
            </w:r>
          </w:p>
        </w:tc>
      </w:tr>
      <w:tr w:rsidR="00C22A39" w:rsidRPr="00C22A39" w:rsidTr="00C22A39">
        <w:trPr>
          <w:trHeight w:val="488"/>
        </w:trPr>
        <w:tc>
          <w:tcPr>
            <w:tcW w:w="54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4558F9" w:rsidP="00A25BE1">
            <w:pPr>
              <w:jc w:val="center"/>
              <w:rPr>
                <w:color w:val="000000"/>
                <w:sz w:val="19"/>
                <w:szCs w:val="19"/>
              </w:rPr>
            </w:pPr>
            <w:r w:rsidRPr="00C22A39">
              <w:rPr>
                <w:color w:val="000000"/>
                <w:sz w:val="19"/>
                <w:szCs w:val="19"/>
              </w:rPr>
              <w:t xml:space="preserve">Utility </w:t>
            </w:r>
            <w:r w:rsidR="00F874FE" w:rsidRPr="00C22A39">
              <w:rPr>
                <w:color w:val="000000"/>
                <w:sz w:val="19"/>
                <w:szCs w:val="19"/>
              </w:rPr>
              <w:t>$/kWh</w:t>
            </w:r>
          </w:p>
        </w:tc>
        <w:tc>
          <w:tcPr>
            <w:tcW w:w="87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$1.54</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$0.27</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$1.77</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N/A</w:t>
            </w:r>
            <w:r w:rsidRPr="00C22A39">
              <w:rPr>
                <w:rStyle w:val="FootnoteReference"/>
                <w:color w:val="000000"/>
                <w:sz w:val="19"/>
                <w:szCs w:val="19"/>
              </w:rPr>
              <w:footnoteReference w:id="45"/>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$0.71</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$0.49</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$1.22</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$0.46</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$0.06</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$0.07</w:t>
            </w:r>
          </w:p>
        </w:tc>
        <w:tc>
          <w:tcPr>
            <w:tcW w:w="512"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$0.13</w:t>
            </w:r>
          </w:p>
        </w:tc>
      </w:tr>
      <w:tr w:rsidR="00C22A39" w:rsidRPr="00C22A39" w:rsidTr="00C22A39">
        <w:trPr>
          <w:trHeight w:val="488"/>
        </w:trPr>
        <w:tc>
          <w:tcPr>
            <w:tcW w:w="540"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7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and Non-Residential Combined</w:t>
            </w:r>
            <w:r w:rsidR="00610475" w:rsidRPr="00C22A39">
              <w:rPr>
                <w:color w:val="000000"/>
                <w:sz w:val="19"/>
                <w:szCs w:val="19"/>
              </w:rPr>
              <w:t xml:space="preserve"> (weighted average)</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512"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r>
    </w:tbl>
    <w:p w:rsidR="00F874FE" w:rsidRPr="004C6EDA" w:rsidRDefault="00F874FE" w:rsidP="004C6EDA"/>
    <w:p w:rsidR="00F874FE" w:rsidRDefault="00F874FE" w:rsidP="004837FA">
      <w:pPr>
        <w:pStyle w:val="Caption"/>
      </w:pPr>
      <w:bookmarkStart w:id="461" w:name="_Toc472472204"/>
      <w:bookmarkStart w:id="462" w:name="_Toc488741783"/>
      <w:r w:rsidRPr="009011F4">
        <w:t xml:space="preserve">Table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7</w:t>
      </w:r>
      <w:r w:rsidR="007973A4">
        <w:rPr>
          <w:noProof/>
        </w:rPr>
        <w:fldChar w:fldCharType="end"/>
      </w:r>
      <w:r w:rsidRPr="009011F4">
        <w:t xml:space="preserve">: West Penn Costs, Annual </w:t>
      </w:r>
      <w:r>
        <w:t>kWh Savings, and Cost per First-</w:t>
      </w:r>
      <w:r w:rsidRPr="009011F4">
        <w:t>Year kWh</w:t>
      </w:r>
      <w:r w:rsidR="00093DFB">
        <w:t xml:space="preserve"> Saved</w:t>
      </w:r>
      <w:r w:rsidRPr="009011F4">
        <w:t xml:space="preserve"> by Program Year</w:t>
      </w:r>
      <w:bookmarkEnd w:id="461"/>
      <w:bookmarkEnd w:id="462"/>
    </w:p>
    <w:tbl>
      <w:tblPr>
        <w:tblW w:w="5077" w:type="pct"/>
        <w:tblInd w:w="-100" w:type="dxa"/>
        <w:tblLook w:val="04A0" w:firstRow="1" w:lastRow="0" w:firstColumn="1" w:lastColumn="0" w:noHBand="0" w:noVBand="1"/>
      </w:tblPr>
      <w:tblGrid>
        <w:gridCol w:w="1413"/>
        <w:gridCol w:w="2278"/>
        <w:gridCol w:w="1348"/>
        <w:gridCol w:w="1351"/>
        <w:gridCol w:w="1348"/>
        <w:gridCol w:w="1351"/>
        <w:gridCol w:w="1348"/>
        <w:gridCol w:w="1351"/>
        <w:gridCol w:w="1351"/>
      </w:tblGrid>
      <w:tr w:rsidR="00C22A39" w:rsidRPr="00C22A39" w:rsidTr="00C22A39">
        <w:trPr>
          <w:trHeight w:val="315"/>
          <w:tblHeader/>
        </w:trPr>
        <w:tc>
          <w:tcPr>
            <w:tcW w:w="538"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86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51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PY1</w:t>
            </w:r>
          </w:p>
        </w:tc>
        <w:tc>
          <w:tcPr>
            <w:tcW w:w="514"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PY2</w:t>
            </w:r>
          </w:p>
        </w:tc>
        <w:tc>
          <w:tcPr>
            <w:tcW w:w="51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PY3</w:t>
            </w:r>
          </w:p>
        </w:tc>
        <w:tc>
          <w:tcPr>
            <w:tcW w:w="514"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PY4</w:t>
            </w:r>
          </w:p>
        </w:tc>
        <w:tc>
          <w:tcPr>
            <w:tcW w:w="51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PY5</w:t>
            </w:r>
          </w:p>
        </w:tc>
        <w:tc>
          <w:tcPr>
            <w:tcW w:w="514"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PY6</w:t>
            </w:r>
          </w:p>
        </w:tc>
        <w:tc>
          <w:tcPr>
            <w:tcW w:w="514"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PY7</w:t>
            </w:r>
          </w:p>
        </w:tc>
      </w:tr>
      <w:tr w:rsidR="00C22A39" w:rsidRPr="00C22A39" w:rsidTr="00C22A39">
        <w:trPr>
          <w:trHeight w:val="488"/>
        </w:trPr>
        <w:tc>
          <w:tcPr>
            <w:tcW w:w="538"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 xml:space="preserve">Total </w:t>
            </w:r>
            <w:r w:rsidR="004558F9" w:rsidRPr="00C22A39">
              <w:rPr>
                <w:color w:val="000000"/>
                <w:sz w:val="19"/>
                <w:szCs w:val="19"/>
              </w:rPr>
              <w:t xml:space="preserve">Utility </w:t>
            </w:r>
            <w:r w:rsidRPr="00C22A39">
              <w:rPr>
                <w:color w:val="000000"/>
                <w:sz w:val="19"/>
                <w:szCs w:val="19"/>
              </w:rPr>
              <w:t>Costs</w:t>
            </w:r>
          </w:p>
        </w:tc>
        <w:tc>
          <w:tcPr>
            <w:tcW w:w="86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$2,104,529</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$6,531,579</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$14,142,085</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$7,480,890</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$11,532,486</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$7,636,926</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$6,940,543</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$272,046</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$3,695,271</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$5,254,505</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$3,032,593</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$1,828,026</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$2,124,011</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$2,561,000</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$2,376,575</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$10,226,850</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$19,396,590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$10,513,483</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$13,360,513</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$9,760,938</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$9,501,543</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$2,363,946</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$3,180,457</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$8,463,410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$16,674,073</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$5,484,487</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$7,051,062</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$7,631,457</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$4,740,521</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$13,407,307</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$27,860,000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$27,187,556</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$18,845,000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$16,812,000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$17,133,000</w:t>
            </w:r>
          </w:p>
        </w:tc>
      </w:tr>
      <w:tr w:rsidR="00C22A39" w:rsidRPr="00C22A39" w:rsidTr="00C22A39">
        <w:trPr>
          <w:trHeight w:val="488"/>
        </w:trPr>
        <w:tc>
          <w:tcPr>
            <w:tcW w:w="538"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4558F9" w:rsidP="00A25BE1">
            <w:pPr>
              <w:jc w:val="center"/>
              <w:rPr>
                <w:color w:val="000000"/>
                <w:sz w:val="19"/>
                <w:szCs w:val="19"/>
              </w:rPr>
            </w:pPr>
            <w:r w:rsidRPr="00C22A39">
              <w:rPr>
                <w:color w:val="000000"/>
                <w:sz w:val="19"/>
                <w:szCs w:val="19"/>
              </w:rPr>
              <w:t xml:space="preserve">First-Year </w:t>
            </w:r>
            <w:r w:rsidR="00F874FE" w:rsidRPr="00C22A39">
              <w:rPr>
                <w:color w:val="000000"/>
                <w:sz w:val="19"/>
                <w:szCs w:val="19"/>
              </w:rPr>
              <w:t>kWh Saved</w:t>
            </w:r>
          </w:p>
        </w:tc>
        <w:tc>
          <w:tcPr>
            <w:tcW w:w="86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1,801,020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54,857,100</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137,460,000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95,007,000</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96,924,000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83,244,000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85,814,000</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844,000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5,978,530</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7,760,000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3,788,000</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1,722,000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1,743,000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1,261,000</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2,645,020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60,835,630</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145,220,000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98,795,000</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98,646,000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84,987,000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87,075,000</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2,633,680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26,730,040</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156,563,000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147,293,000</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31,792,000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70,039,000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71,685,000</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5,278,700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87,565,670</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301,783,000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246,088,000</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130,438,000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155,026,000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158,760,000</w:t>
            </w:r>
          </w:p>
        </w:tc>
      </w:tr>
      <w:tr w:rsidR="00C22A39" w:rsidRPr="00C22A39" w:rsidTr="00C22A39">
        <w:trPr>
          <w:trHeight w:val="488"/>
        </w:trPr>
        <w:tc>
          <w:tcPr>
            <w:tcW w:w="538"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4558F9" w:rsidP="00A25BE1">
            <w:pPr>
              <w:jc w:val="center"/>
              <w:rPr>
                <w:color w:val="000000"/>
                <w:sz w:val="19"/>
                <w:szCs w:val="19"/>
              </w:rPr>
            </w:pPr>
            <w:r w:rsidRPr="00C22A39">
              <w:rPr>
                <w:color w:val="000000"/>
                <w:sz w:val="19"/>
                <w:szCs w:val="19"/>
              </w:rPr>
              <w:t xml:space="preserve">Utility </w:t>
            </w:r>
            <w:r w:rsidR="00F874FE" w:rsidRPr="00C22A39">
              <w:rPr>
                <w:color w:val="000000"/>
                <w:sz w:val="19"/>
                <w:szCs w:val="19"/>
              </w:rPr>
              <w:t>$/kWh</w:t>
            </w:r>
          </w:p>
        </w:tc>
        <w:tc>
          <w:tcPr>
            <w:tcW w:w="86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$1.17</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$0.08</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$0.08</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$0.32</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$0.62</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$0.68</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$0.80</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$1.06</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$1.22</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$2.03</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$0.90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$0.90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$0.05</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4"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$0.11</w:t>
            </w:r>
          </w:p>
        </w:tc>
      </w:tr>
      <w:tr w:rsidR="00C22A39" w:rsidRPr="00C22A39" w:rsidTr="00C22A39">
        <w:trPr>
          <w:trHeight w:val="488"/>
        </w:trPr>
        <w:tc>
          <w:tcPr>
            <w:tcW w:w="53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8B6BE7">
            <w:pPr>
              <w:jc w:val="left"/>
              <w:rPr>
                <w:color w:val="000000"/>
                <w:sz w:val="19"/>
                <w:szCs w:val="19"/>
              </w:rPr>
            </w:pPr>
          </w:p>
        </w:tc>
        <w:tc>
          <w:tcPr>
            <w:tcW w:w="86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and Non-Residential Combined</w:t>
            </w:r>
            <w:r w:rsidR="00610475" w:rsidRPr="00C22A39">
              <w:rPr>
                <w:color w:val="000000"/>
                <w:sz w:val="19"/>
                <w:szCs w:val="19"/>
              </w:rPr>
              <w:t xml:space="preserve"> (weighted average)</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$0.90</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$0.15</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4"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r>
    </w:tbl>
    <w:p w:rsidR="00F874FE" w:rsidRPr="004C6EDA" w:rsidRDefault="00F874FE" w:rsidP="004C6EDA">
      <w:bookmarkStart w:id="463" w:name="_Toc472472205"/>
    </w:p>
    <w:p w:rsidR="00F874FE" w:rsidRDefault="00F874FE" w:rsidP="004837FA">
      <w:pPr>
        <w:pStyle w:val="Caption"/>
      </w:pPr>
      <w:bookmarkStart w:id="464" w:name="_Toc488741784"/>
      <w:r w:rsidRPr="009011F4">
        <w:t xml:space="preserve">Table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8</w:t>
      </w:r>
      <w:r w:rsidR="007973A4">
        <w:rPr>
          <w:noProof/>
        </w:rPr>
        <w:fldChar w:fldCharType="end"/>
      </w:r>
      <w:r w:rsidRPr="009011F4">
        <w:t xml:space="preserve">: PECO Costs, Annual </w:t>
      </w:r>
      <w:r>
        <w:t>kWh Savings, and Cost per First-</w:t>
      </w:r>
      <w:r w:rsidRPr="009011F4">
        <w:t>Year kWh</w:t>
      </w:r>
      <w:r w:rsidR="00093DFB">
        <w:t xml:space="preserve"> Saved</w:t>
      </w:r>
      <w:r w:rsidRPr="009011F4">
        <w:t xml:space="preserve"> by Program Year</w:t>
      </w:r>
      <w:bookmarkEnd w:id="463"/>
      <w:bookmarkEnd w:id="464"/>
    </w:p>
    <w:tbl>
      <w:tblPr>
        <w:tblW w:w="5077" w:type="pct"/>
        <w:tblInd w:w="-100" w:type="dxa"/>
        <w:tblLook w:val="04A0" w:firstRow="1" w:lastRow="0" w:firstColumn="1" w:lastColumn="0" w:noHBand="0" w:noVBand="1"/>
      </w:tblPr>
      <w:tblGrid>
        <w:gridCol w:w="1441"/>
        <w:gridCol w:w="2215"/>
        <w:gridCol w:w="1353"/>
        <w:gridCol w:w="1356"/>
        <w:gridCol w:w="1356"/>
        <w:gridCol w:w="1353"/>
        <w:gridCol w:w="1356"/>
        <w:gridCol w:w="1356"/>
        <w:gridCol w:w="1353"/>
      </w:tblGrid>
      <w:tr w:rsidR="00C22A39" w:rsidRPr="00C22A39" w:rsidTr="00C22A39">
        <w:trPr>
          <w:trHeight w:val="315"/>
          <w:tblHeader/>
        </w:trPr>
        <w:tc>
          <w:tcPr>
            <w:tcW w:w="548"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84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515"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PY1</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PY2</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PY3</w:t>
            </w:r>
          </w:p>
        </w:tc>
        <w:tc>
          <w:tcPr>
            <w:tcW w:w="515"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PY4</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PY5</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PY6</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PY7</w:t>
            </w:r>
          </w:p>
        </w:tc>
      </w:tr>
      <w:tr w:rsidR="00C22A39" w:rsidRPr="00C22A39" w:rsidTr="00BA1C97">
        <w:trPr>
          <w:trHeight w:val="648"/>
        </w:trPr>
        <w:tc>
          <w:tcPr>
            <w:tcW w:w="548"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 xml:space="preserve">Total </w:t>
            </w:r>
            <w:r w:rsidR="004558F9" w:rsidRPr="00C22A39">
              <w:rPr>
                <w:color w:val="000000"/>
                <w:sz w:val="19"/>
                <w:szCs w:val="19"/>
              </w:rPr>
              <w:t xml:space="preserve">Utility </w:t>
            </w:r>
            <w:r w:rsidRPr="00C22A39">
              <w:rPr>
                <w:color w:val="000000"/>
                <w:sz w:val="19"/>
                <w:szCs w:val="19"/>
              </w:rPr>
              <w:t>Costs</w:t>
            </w: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$9,725,502</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$30,057,000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$12,855,631</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$7,724,002</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$15,148,942</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$34,305,712</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$43,638,538</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$1,208,467</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$6,068,000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$6,415,814</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$6,019,807</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$7,396,053</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$10,470,536</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$8,783,087</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$10,933,969</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$36,125,000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$19,271,445</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$13,743,809</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$22,544,995</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$44,776,247</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$52,421,625</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$2,632,722</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$17,722,000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$18,313,555</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$28,059,566</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$29,469,005</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$27,168,753</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$38,727,375</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$13,566,691</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$53,847,000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$37,585,000</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$41,803,375</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$52,014,000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$71,945,000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$91,149,000</w:t>
            </w:r>
          </w:p>
        </w:tc>
      </w:tr>
      <w:tr w:rsidR="00C22A39" w:rsidRPr="00C22A39" w:rsidTr="00BA1C97">
        <w:trPr>
          <w:trHeight w:val="648"/>
        </w:trPr>
        <w:tc>
          <w:tcPr>
            <w:tcW w:w="548"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4558F9" w:rsidP="00A25BE1">
            <w:pPr>
              <w:jc w:val="center"/>
              <w:rPr>
                <w:color w:val="000000"/>
                <w:sz w:val="19"/>
                <w:szCs w:val="19"/>
              </w:rPr>
            </w:pPr>
            <w:r w:rsidRPr="00C22A39">
              <w:rPr>
                <w:color w:val="000000"/>
                <w:sz w:val="19"/>
                <w:szCs w:val="19"/>
              </w:rPr>
              <w:t xml:space="preserve">First-Year </w:t>
            </w:r>
            <w:r w:rsidR="00F874FE" w:rsidRPr="00C22A39">
              <w:rPr>
                <w:color w:val="000000"/>
                <w:sz w:val="19"/>
                <w:szCs w:val="19"/>
              </w:rPr>
              <w:t>kWh Saved</w:t>
            </w: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140,676,000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255,857,000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61,708,000</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26,411,964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95,834,241</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115,379,000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235,720,000</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3,286,000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24,664,000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24,652,000</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30,320,305</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23,268,074</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18,716,000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18,304,000</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143,962,000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280,521,000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86,360,000</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56,732,268</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119,102,315</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134,095,000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254,024,000</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15,856,700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112,480,300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107,949,000</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152,092,732</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154,262,685</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173,532,000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274,276,000</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159,818,700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393,001,300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194,309,000</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208,825,000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273,365,000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307,627,000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528,300,000</w:t>
            </w:r>
          </w:p>
        </w:tc>
      </w:tr>
      <w:tr w:rsidR="00C22A39" w:rsidRPr="00C22A39" w:rsidTr="00BA1C97">
        <w:trPr>
          <w:trHeight w:val="648"/>
        </w:trPr>
        <w:tc>
          <w:tcPr>
            <w:tcW w:w="548"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4558F9" w:rsidP="00A25BE1">
            <w:pPr>
              <w:jc w:val="center"/>
              <w:rPr>
                <w:color w:val="000000"/>
                <w:sz w:val="19"/>
                <w:szCs w:val="19"/>
              </w:rPr>
            </w:pPr>
            <w:r w:rsidRPr="00C22A39">
              <w:rPr>
                <w:color w:val="000000"/>
                <w:sz w:val="19"/>
                <w:szCs w:val="19"/>
              </w:rPr>
              <w:t xml:space="preserve">Utility </w:t>
            </w:r>
            <w:r w:rsidR="00F874FE" w:rsidRPr="00C22A39">
              <w:rPr>
                <w:color w:val="000000"/>
                <w:sz w:val="19"/>
                <w:szCs w:val="19"/>
              </w:rPr>
              <w:t>$/kWh</w:t>
            </w: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$0.07</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$0.21</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$0.29</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$0.30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$0.19</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$0.37</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$0.25</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$0.26</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$0.20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$0.32</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$0.56</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$0.48</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$0.08</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$0.22</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$0.24</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$0.33</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$0.21</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15"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$0.18</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$0.14</w:t>
            </w:r>
          </w:p>
        </w:tc>
      </w:tr>
      <w:tr w:rsidR="00C22A39" w:rsidRPr="00C22A39" w:rsidTr="00BA1C97">
        <w:trPr>
          <w:trHeight w:val="648"/>
        </w:trPr>
        <w:tc>
          <w:tcPr>
            <w:tcW w:w="548"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and Non-Residential Combined</w:t>
            </w:r>
            <w:r w:rsidR="00610475" w:rsidRPr="00C22A39">
              <w:rPr>
                <w:color w:val="000000"/>
                <w:sz w:val="19"/>
                <w:szCs w:val="19"/>
              </w:rPr>
              <w:t xml:space="preserve"> (weighted average)</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$0.08</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$0.14</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15"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$0.23</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$0.17</w:t>
            </w:r>
          </w:p>
        </w:tc>
      </w:tr>
    </w:tbl>
    <w:p w:rsidR="00F874FE" w:rsidRPr="00BA1C97" w:rsidRDefault="00F874FE" w:rsidP="00BA1C97">
      <w:bookmarkStart w:id="465" w:name="_Toc472472206"/>
    </w:p>
    <w:p w:rsidR="00F874FE" w:rsidRDefault="00F874FE" w:rsidP="004837FA">
      <w:pPr>
        <w:pStyle w:val="Caption"/>
      </w:pPr>
      <w:bookmarkStart w:id="466" w:name="_Ref476043841"/>
      <w:bookmarkStart w:id="467" w:name="_Toc488741785"/>
      <w:r w:rsidRPr="009011F4">
        <w:t xml:space="preserve">Table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E6042C">
        <w:noBreakHyphen/>
      </w:r>
      <w:r w:rsidR="007973A4">
        <w:fldChar w:fldCharType="begin"/>
      </w:r>
      <w:r w:rsidR="007973A4">
        <w:instrText xml:space="preserve"> SEQ Table \* ARABIC \s 1 </w:instrText>
      </w:r>
      <w:r w:rsidR="007973A4">
        <w:fldChar w:fldCharType="separate"/>
      </w:r>
      <w:r w:rsidR="00037CB4">
        <w:rPr>
          <w:noProof/>
        </w:rPr>
        <w:t>9</w:t>
      </w:r>
      <w:r w:rsidR="007973A4">
        <w:rPr>
          <w:noProof/>
        </w:rPr>
        <w:fldChar w:fldCharType="end"/>
      </w:r>
      <w:bookmarkEnd w:id="466"/>
      <w:r w:rsidRPr="009011F4">
        <w:t xml:space="preserve">: PPL Costs, Annual </w:t>
      </w:r>
      <w:r>
        <w:t>kWh Savings, and Cost per First-</w:t>
      </w:r>
      <w:r w:rsidRPr="009011F4">
        <w:t>Year kWh</w:t>
      </w:r>
      <w:r w:rsidR="00093DFB">
        <w:t xml:space="preserve"> Saved</w:t>
      </w:r>
      <w:r w:rsidRPr="009011F4">
        <w:t xml:space="preserve"> by Program Year</w:t>
      </w:r>
      <w:bookmarkEnd w:id="465"/>
      <w:bookmarkEnd w:id="467"/>
    </w:p>
    <w:tbl>
      <w:tblPr>
        <w:tblW w:w="5077" w:type="pct"/>
        <w:tblInd w:w="-100" w:type="dxa"/>
        <w:tblLook w:val="04A0" w:firstRow="1" w:lastRow="0" w:firstColumn="1" w:lastColumn="0" w:noHBand="0" w:noVBand="1"/>
      </w:tblPr>
      <w:tblGrid>
        <w:gridCol w:w="1425"/>
        <w:gridCol w:w="2216"/>
        <w:gridCol w:w="1357"/>
        <w:gridCol w:w="1357"/>
        <w:gridCol w:w="1357"/>
        <w:gridCol w:w="1356"/>
        <w:gridCol w:w="1356"/>
        <w:gridCol w:w="1356"/>
        <w:gridCol w:w="1359"/>
      </w:tblGrid>
      <w:tr w:rsidR="00A874AC" w:rsidRPr="00C22A39" w:rsidTr="00C22A39">
        <w:trPr>
          <w:trHeight w:val="315"/>
          <w:tblHeader/>
        </w:trPr>
        <w:tc>
          <w:tcPr>
            <w:tcW w:w="542"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84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 </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PY1</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PY2</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PY3</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PY4</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PY5</w:t>
            </w:r>
          </w:p>
        </w:tc>
        <w:tc>
          <w:tcPr>
            <w:tcW w:w="51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PY6</w:t>
            </w:r>
          </w:p>
        </w:tc>
        <w:tc>
          <w:tcPr>
            <w:tcW w:w="51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C22A39" w:rsidRDefault="00F874FE" w:rsidP="00A25BE1">
            <w:pPr>
              <w:jc w:val="center"/>
              <w:rPr>
                <w:b/>
                <w:bCs/>
                <w:color w:val="FFFFFF"/>
                <w:sz w:val="19"/>
                <w:szCs w:val="19"/>
              </w:rPr>
            </w:pPr>
            <w:r w:rsidRPr="00C22A39">
              <w:rPr>
                <w:b/>
                <w:bCs/>
                <w:color w:val="FFFFFF"/>
                <w:sz w:val="19"/>
                <w:szCs w:val="19"/>
              </w:rPr>
              <w:t>PY7</w:t>
            </w:r>
          </w:p>
        </w:tc>
      </w:tr>
      <w:tr w:rsidR="00A874AC" w:rsidRPr="00C22A39" w:rsidTr="00BA1C97">
        <w:trPr>
          <w:trHeight w:val="504"/>
        </w:trPr>
        <w:tc>
          <w:tcPr>
            <w:tcW w:w="542"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 xml:space="preserve">Total </w:t>
            </w:r>
            <w:r w:rsidR="004558F9" w:rsidRPr="00C22A39">
              <w:rPr>
                <w:color w:val="000000"/>
                <w:sz w:val="19"/>
                <w:szCs w:val="19"/>
              </w:rPr>
              <w:t xml:space="preserve">Utility </w:t>
            </w:r>
            <w:r w:rsidRPr="00C22A39">
              <w:rPr>
                <w:color w:val="000000"/>
                <w:sz w:val="19"/>
                <w:szCs w:val="19"/>
              </w:rPr>
              <w:t>Costs</w:t>
            </w: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$3,226,106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$12,318,183</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$21,179,207</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$13,731,502</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$16,518,424</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$18,271,110</w:t>
            </w:r>
          </w:p>
        </w:tc>
        <w:tc>
          <w:tcPr>
            <w:tcW w:w="51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$27,074,190</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$3,079,030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$9,799,974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$10,271,789</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$7,210,694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$5,027,986</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$7,750,774</w:t>
            </w:r>
          </w:p>
        </w:tc>
        <w:tc>
          <w:tcPr>
            <w:tcW w:w="51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$8,868,375</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$6,305,136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$22,118,157</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$31,450,996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$20,942,195</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$21,546,410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$26,021,885</w:t>
            </w:r>
          </w:p>
        </w:tc>
        <w:tc>
          <w:tcPr>
            <w:tcW w:w="51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$35,942,565</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$2,532,619</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$25,229,344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$48,241,626</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$47,776,661</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$16,290,590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$27,987,115</w:t>
            </w:r>
          </w:p>
        </w:tc>
        <w:tc>
          <w:tcPr>
            <w:tcW w:w="51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$28,774,435</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$8,837,755</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$47,347,501</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$79,692,622</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$68,718,857</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$37,837,000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$54,009,000</w:t>
            </w:r>
          </w:p>
        </w:tc>
        <w:tc>
          <w:tcPr>
            <w:tcW w:w="51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$64,717,000</w:t>
            </w:r>
          </w:p>
        </w:tc>
      </w:tr>
      <w:tr w:rsidR="00A874AC" w:rsidRPr="00C22A39" w:rsidTr="00BA1C97">
        <w:trPr>
          <w:trHeight w:val="504"/>
        </w:trPr>
        <w:tc>
          <w:tcPr>
            <w:tcW w:w="542"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C22A39" w:rsidRDefault="004558F9" w:rsidP="00A25BE1">
            <w:pPr>
              <w:jc w:val="center"/>
              <w:rPr>
                <w:color w:val="000000"/>
                <w:sz w:val="19"/>
                <w:szCs w:val="19"/>
              </w:rPr>
            </w:pPr>
            <w:r w:rsidRPr="00C22A39">
              <w:rPr>
                <w:color w:val="000000"/>
                <w:sz w:val="19"/>
                <w:szCs w:val="19"/>
              </w:rPr>
              <w:t xml:space="preserve">First-Year </w:t>
            </w:r>
            <w:r w:rsidR="00F874FE" w:rsidRPr="00C22A39">
              <w:rPr>
                <w:color w:val="000000"/>
                <w:sz w:val="19"/>
                <w:szCs w:val="19"/>
              </w:rPr>
              <w:t>kWh Saved</w:t>
            </w: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51,369,507</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212,951,270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203,532,524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290,719,254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109,479,504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99,605,336</w:t>
            </w:r>
          </w:p>
        </w:tc>
        <w:tc>
          <w:tcPr>
            <w:tcW w:w="51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130,743,249</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1,471,350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6,838,650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9,038,000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6,772,000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6,374,000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8,145,000</w:t>
            </w:r>
          </w:p>
        </w:tc>
        <w:tc>
          <w:tcPr>
            <w:tcW w:w="51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19,870,000</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52,840,857</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219,789,920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212,570,524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297,491,254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115,853,504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107,750,336</w:t>
            </w:r>
          </w:p>
        </w:tc>
        <w:tc>
          <w:tcPr>
            <w:tcW w:w="51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150,613,249</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29,460,960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192,692,263</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291,661,476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372,061,746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84,210,496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109,609,664</w:t>
            </w:r>
          </w:p>
        </w:tc>
        <w:tc>
          <w:tcPr>
            <w:tcW w:w="51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163,362,751</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Total</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82,301,817</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412,482,183</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504,232,000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669,553,000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200,064,000</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217,360,000</w:t>
            </w:r>
          </w:p>
        </w:tc>
        <w:tc>
          <w:tcPr>
            <w:tcW w:w="51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313,976,000</w:t>
            </w:r>
          </w:p>
        </w:tc>
      </w:tr>
      <w:tr w:rsidR="00A874AC" w:rsidRPr="00C22A39" w:rsidTr="00BA1C97">
        <w:trPr>
          <w:trHeight w:val="504"/>
        </w:trPr>
        <w:tc>
          <w:tcPr>
            <w:tcW w:w="542"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C22A39" w:rsidRDefault="004558F9" w:rsidP="00A25BE1">
            <w:pPr>
              <w:jc w:val="center"/>
              <w:rPr>
                <w:color w:val="000000"/>
                <w:sz w:val="19"/>
                <w:szCs w:val="19"/>
              </w:rPr>
            </w:pPr>
            <w:r w:rsidRPr="00C22A39">
              <w:rPr>
                <w:color w:val="000000"/>
                <w:sz w:val="19"/>
                <w:szCs w:val="19"/>
              </w:rPr>
              <w:t xml:space="preserve">Utility </w:t>
            </w:r>
            <w:r w:rsidR="00F874FE" w:rsidRPr="00C22A39">
              <w:rPr>
                <w:color w:val="000000"/>
                <w:sz w:val="19"/>
                <w:szCs w:val="19"/>
              </w:rPr>
              <w:t>$/kWh</w:t>
            </w: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Non Low Income</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$0.05</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$0.15</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$0.18</w:t>
            </w:r>
          </w:p>
        </w:tc>
        <w:tc>
          <w:tcPr>
            <w:tcW w:w="51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$0.21</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Residential Low Income</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$2.09</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$1.43</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$1.14</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$1.06</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$0.79</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$0.95</w:t>
            </w:r>
          </w:p>
        </w:tc>
        <w:tc>
          <w:tcPr>
            <w:tcW w:w="51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$0.45</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Total</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$0.12</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$0.15</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$0.07</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$0.24</w:t>
            </w:r>
          </w:p>
        </w:tc>
        <w:tc>
          <w:tcPr>
            <w:tcW w:w="51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$0.24</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Non-Residential Total</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$0.09</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$0.17</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$0.13</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16"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$0.26</w:t>
            </w:r>
          </w:p>
        </w:tc>
        <w:tc>
          <w:tcPr>
            <w:tcW w:w="517" w:type="pct"/>
            <w:tcBorders>
              <w:top w:val="nil"/>
              <w:left w:val="nil"/>
              <w:bottom w:val="single" w:sz="8" w:space="0" w:color="448A99"/>
              <w:right w:val="single" w:sz="8" w:space="0" w:color="448A99"/>
            </w:tcBorders>
            <w:shd w:val="clear" w:color="auto" w:fill="auto"/>
            <w:vAlign w:val="center"/>
            <w:hideMark/>
          </w:tcPr>
          <w:p w:rsidR="00F874FE" w:rsidRPr="00C22A39" w:rsidRDefault="00F874FE" w:rsidP="00A25BE1">
            <w:pPr>
              <w:jc w:val="center"/>
              <w:rPr>
                <w:color w:val="000000"/>
                <w:sz w:val="19"/>
                <w:szCs w:val="19"/>
              </w:rPr>
            </w:pPr>
            <w:r w:rsidRPr="00C22A39">
              <w:rPr>
                <w:color w:val="000000"/>
                <w:sz w:val="19"/>
                <w:szCs w:val="19"/>
              </w:rPr>
              <w:t>$0.18</w:t>
            </w:r>
          </w:p>
        </w:tc>
      </w:tr>
      <w:tr w:rsidR="00A874AC" w:rsidRPr="00C22A39" w:rsidTr="00BA1C97">
        <w:trPr>
          <w:trHeight w:val="504"/>
        </w:trPr>
        <w:tc>
          <w:tcPr>
            <w:tcW w:w="542" w:type="pct"/>
            <w:vMerge/>
            <w:tcBorders>
              <w:top w:val="nil"/>
              <w:left w:val="single" w:sz="8" w:space="0" w:color="448A99"/>
              <w:bottom w:val="single" w:sz="8" w:space="0" w:color="448A99"/>
              <w:right w:val="single" w:sz="8" w:space="0" w:color="448A99"/>
            </w:tcBorders>
            <w:vAlign w:val="center"/>
            <w:hideMark/>
          </w:tcPr>
          <w:p w:rsidR="00F874FE" w:rsidRPr="00C22A39" w:rsidRDefault="00F874FE" w:rsidP="00A25BE1">
            <w:pPr>
              <w:jc w:val="left"/>
              <w:rPr>
                <w:color w:val="000000"/>
                <w:sz w:val="19"/>
                <w:szCs w:val="19"/>
              </w:rPr>
            </w:pPr>
          </w:p>
        </w:tc>
        <w:tc>
          <w:tcPr>
            <w:tcW w:w="843"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Residential and Non-Residential Combined</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$0.11</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$0.16</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$0.10</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$0.19</w:t>
            </w:r>
          </w:p>
        </w:tc>
        <w:tc>
          <w:tcPr>
            <w:tcW w:w="516"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$0.25</w:t>
            </w:r>
          </w:p>
        </w:tc>
        <w:tc>
          <w:tcPr>
            <w:tcW w:w="517" w:type="pct"/>
            <w:tcBorders>
              <w:top w:val="nil"/>
              <w:left w:val="nil"/>
              <w:bottom w:val="single" w:sz="8" w:space="0" w:color="448A99"/>
              <w:right w:val="single" w:sz="8" w:space="0" w:color="448A99"/>
            </w:tcBorders>
            <w:shd w:val="clear" w:color="000000" w:fill="D2EAF1"/>
            <w:vAlign w:val="center"/>
            <w:hideMark/>
          </w:tcPr>
          <w:p w:rsidR="00F874FE" w:rsidRPr="00C22A39" w:rsidRDefault="00F874FE" w:rsidP="00A25BE1">
            <w:pPr>
              <w:jc w:val="center"/>
              <w:rPr>
                <w:color w:val="000000"/>
                <w:sz w:val="19"/>
                <w:szCs w:val="19"/>
              </w:rPr>
            </w:pPr>
            <w:r w:rsidRPr="00C22A39">
              <w:rPr>
                <w:color w:val="000000"/>
                <w:sz w:val="19"/>
                <w:szCs w:val="19"/>
              </w:rPr>
              <w:t>$0.21</w:t>
            </w:r>
          </w:p>
        </w:tc>
      </w:tr>
    </w:tbl>
    <w:p w:rsidR="00E56C41" w:rsidRDefault="00E56C41" w:rsidP="00E56C41"/>
    <w:p w:rsidR="00E56C41" w:rsidRDefault="00E56C41" w:rsidP="00E56C41">
      <w:pPr>
        <w:sectPr w:rsidR="00E56C41" w:rsidSect="00B87BB2">
          <w:headerReference w:type="default" r:id="rId72"/>
          <w:footerReference w:type="default" r:id="rId73"/>
          <w:pgSz w:w="15840" w:h="12240" w:orient="landscape"/>
          <w:pgMar w:top="1260" w:right="1440" w:bottom="810" w:left="1440" w:header="720" w:footer="288" w:gutter="0"/>
          <w:cols w:space="720"/>
          <w:docGrid w:linePitch="360"/>
        </w:sectPr>
      </w:pPr>
    </w:p>
    <w:p w:rsidR="00F874FE" w:rsidRPr="001C7E80" w:rsidRDefault="00F874FE" w:rsidP="004837FA">
      <w:pPr>
        <w:pStyle w:val="Caption"/>
      </w:pPr>
      <w:bookmarkStart w:id="468" w:name="_Ref476043865"/>
      <w:bookmarkStart w:id="469" w:name="_Toc472472241"/>
      <w:bookmarkStart w:id="470" w:name="_Toc488741821"/>
      <w:r w:rsidRPr="001C7E80">
        <w:t xml:space="preserve">Figure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1</w:t>
      </w:r>
      <w:r w:rsidR="007973A4">
        <w:rPr>
          <w:noProof/>
        </w:rPr>
        <w:fldChar w:fldCharType="end"/>
      </w:r>
      <w:bookmarkEnd w:id="468"/>
      <w:r w:rsidRPr="001C7E80">
        <w:t xml:space="preserve">: </w:t>
      </w:r>
      <w:r w:rsidR="004558F9">
        <w:t xml:space="preserve">Utility </w:t>
      </w:r>
      <w:r>
        <w:t>Cost per First-</w:t>
      </w:r>
      <w:r w:rsidRPr="001C7E80">
        <w:t>Year kWh</w:t>
      </w:r>
      <w:r w:rsidR="00093DFB">
        <w:t xml:space="preserve"> Saved</w:t>
      </w:r>
      <w:r w:rsidRPr="001C7E80">
        <w:t xml:space="preserve"> – Residential Non-Low-Income</w:t>
      </w:r>
      <w:bookmarkEnd w:id="469"/>
      <w:bookmarkEnd w:id="470"/>
    </w:p>
    <w:p w:rsidR="00F874FE" w:rsidRDefault="00F874FE" w:rsidP="004837FA">
      <w:pPr>
        <w:pStyle w:val="Caption"/>
      </w:pPr>
      <w:r>
        <w:rPr>
          <w:noProof/>
        </w:rPr>
        <w:drawing>
          <wp:inline distT="0" distB="0" distL="0" distR="0" wp14:anchorId="17F7EA5C" wp14:editId="1CE695D4">
            <wp:extent cx="4618404" cy="2811585"/>
            <wp:effectExtent l="0" t="0" r="0" b="825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874FE" w:rsidRPr="00F52B41" w:rsidRDefault="00F874FE" w:rsidP="00F874FE"/>
    <w:p w:rsidR="00F874FE" w:rsidRPr="00CB115E" w:rsidRDefault="00F874FE" w:rsidP="004837FA">
      <w:pPr>
        <w:pStyle w:val="Caption"/>
      </w:pPr>
      <w:bookmarkStart w:id="471" w:name="_Toc472472242"/>
      <w:bookmarkStart w:id="472" w:name="_Toc488741822"/>
      <w:r w:rsidRPr="00CB115E">
        <w:t xml:space="preserve">Figure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2</w:t>
      </w:r>
      <w:r w:rsidR="007973A4">
        <w:rPr>
          <w:noProof/>
        </w:rPr>
        <w:fldChar w:fldCharType="end"/>
      </w:r>
      <w:r w:rsidRPr="00CB115E">
        <w:t xml:space="preserve">: </w:t>
      </w:r>
      <w:r w:rsidR="004558F9">
        <w:t xml:space="preserve">Utility </w:t>
      </w:r>
      <w:r w:rsidRPr="00CB115E">
        <w:t>Cost per First</w:t>
      </w:r>
      <w:r>
        <w:t>-</w:t>
      </w:r>
      <w:r w:rsidRPr="00CB115E">
        <w:t>Year kWh</w:t>
      </w:r>
      <w:r w:rsidR="00093DFB">
        <w:t xml:space="preserve"> Saved</w:t>
      </w:r>
      <w:r w:rsidRPr="00CB115E">
        <w:t xml:space="preserve"> – Residential Low-Income</w:t>
      </w:r>
      <w:bookmarkEnd w:id="471"/>
      <w:bookmarkEnd w:id="472"/>
    </w:p>
    <w:p w:rsidR="00F874FE" w:rsidRDefault="001310D5" w:rsidP="00F874FE">
      <w:pPr>
        <w:jc w:val="center"/>
      </w:pPr>
      <w:r>
        <w:rPr>
          <w:noProof/>
        </w:rPr>
        <w:drawing>
          <wp:inline distT="0" distB="0" distL="0" distR="0" wp14:anchorId="0D96F9E1" wp14:editId="4541804C">
            <wp:extent cx="4591050" cy="2809875"/>
            <wp:effectExtent l="0" t="0" r="0" b="9525"/>
            <wp:docPr id="29" name="Picture 29" descr="cid:image010.png@01D3049D.CC1DA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10.png@01D3049D.CC1DADB0"/>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4591050" cy="2809875"/>
                    </a:xfrm>
                    <a:prstGeom prst="rect">
                      <a:avLst/>
                    </a:prstGeom>
                    <a:noFill/>
                    <a:ln>
                      <a:noFill/>
                    </a:ln>
                  </pic:spPr>
                </pic:pic>
              </a:graphicData>
            </a:graphic>
          </wp:inline>
        </w:drawing>
      </w:r>
    </w:p>
    <w:p w:rsidR="00F874FE" w:rsidRDefault="00F874FE" w:rsidP="004837FA">
      <w:pPr>
        <w:pStyle w:val="Caption"/>
      </w:pPr>
    </w:p>
    <w:p w:rsidR="00F874FE" w:rsidRDefault="00F874FE" w:rsidP="004837FA">
      <w:pPr>
        <w:pStyle w:val="Caption"/>
      </w:pPr>
    </w:p>
    <w:p w:rsidR="00F874FE" w:rsidRDefault="00F874FE" w:rsidP="004837FA">
      <w:pPr>
        <w:pStyle w:val="Caption"/>
      </w:pPr>
    </w:p>
    <w:p w:rsidR="00F874FE" w:rsidRDefault="00F874FE" w:rsidP="004837FA">
      <w:pPr>
        <w:pStyle w:val="Caption"/>
      </w:pPr>
    </w:p>
    <w:p w:rsidR="00F874FE" w:rsidRDefault="00F874FE" w:rsidP="00A25BE1"/>
    <w:p w:rsidR="00F874FE" w:rsidRDefault="00F874FE" w:rsidP="00A25BE1"/>
    <w:p w:rsidR="00F874FE" w:rsidRPr="0076242A" w:rsidRDefault="00F874FE" w:rsidP="00A25BE1"/>
    <w:p w:rsidR="00F874FE" w:rsidRPr="00CB115E" w:rsidRDefault="00F874FE" w:rsidP="004837FA">
      <w:pPr>
        <w:pStyle w:val="Caption"/>
      </w:pPr>
      <w:bookmarkStart w:id="473" w:name="_Toc472472243"/>
      <w:bookmarkStart w:id="474" w:name="_Toc488741823"/>
      <w:r w:rsidRPr="00CB115E">
        <w:t xml:space="preserve">Figure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3</w:t>
      </w:r>
      <w:r w:rsidR="007973A4">
        <w:rPr>
          <w:noProof/>
        </w:rPr>
        <w:fldChar w:fldCharType="end"/>
      </w:r>
      <w:r w:rsidRPr="00CB115E">
        <w:t xml:space="preserve">: </w:t>
      </w:r>
      <w:r w:rsidR="004558F9">
        <w:t xml:space="preserve">Utility </w:t>
      </w:r>
      <w:r>
        <w:t>Cost per First-</w:t>
      </w:r>
      <w:r w:rsidRPr="00CB115E">
        <w:t>Year kWh</w:t>
      </w:r>
      <w:r w:rsidR="00093DFB">
        <w:t xml:space="preserve"> Saved</w:t>
      </w:r>
      <w:r w:rsidRPr="00CB115E">
        <w:t xml:space="preserve"> – Residential Total</w:t>
      </w:r>
      <w:bookmarkEnd w:id="473"/>
      <w:bookmarkEnd w:id="474"/>
    </w:p>
    <w:p w:rsidR="00F874FE" w:rsidRDefault="001310D5" w:rsidP="00F874FE">
      <w:pPr>
        <w:jc w:val="center"/>
      </w:pPr>
      <w:r>
        <w:rPr>
          <w:noProof/>
        </w:rPr>
        <w:drawing>
          <wp:inline distT="0" distB="0" distL="0" distR="0" wp14:anchorId="379EB9C3" wp14:editId="3F666813">
            <wp:extent cx="4924425" cy="2819400"/>
            <wp:effectExtent l="0" t="0" r="9525" b="0"/>
            <wp:docPr id="43" name="Picture 43" descr="cid:image011.png@01D3049D.CC1DA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11.png@01D3049D.CC1DADB0"/>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4924425" cy="2819400"/>
                    </a:xfrm>
                    <a:prstGeom prst="rect">
                      <a:avLst/>
                    </a:prstGeom>
                    <a:noFill/>
                    <a:ln>
                      <a:noFill/>
                    </a:ln>
                  </pic:spPr>
                </pic:pic>
              </a:graphicData>
            </a:graphic>
          </wp:inline>
        </w:drawing>
      </w:r>
    </w:p>
    <w:p w:rsidR="001310D5" w:rsidRDefault="001310D5" w:rsidP="00F874FE">
      <w:pPr>
        <w:jc w:val="center"/>
      </w:pPr>
    </w:p>
    <w:p w:rsidR="00F874FE" w:rsidRDefault="00F874FE" w:rsidP="00F874FE">
      <w:pPr>
        <w:jc w:val="center"/>
      </w:pPr>
    </w:p>
    <w:p w:rsidR="00F874FE" w:rsidRPr="00CB115E" w:rsidRDefault="00F874FE" w:rsidP="004837FA">
      <w:pPr>
        <w:pStyle w:val="Caption"/>
      </w:pPr>
      <w:bookmarkStart w:id="475" w:name="_Toc472472244"/>
      <w:bookmarkStart w:id="476" w:name="_Toc488741824"/>
      <w:r w:rsidRPr="00CB115E">
        <w:t xml:space="preserve">Figure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4</w:t>
      </w:r>
      <w:r w:rsidR="007973A4">
        <w:rPr>
          <w:noProof/>
        </w:rPr>
        <w:fldChar w:fldCharType="end"/>
      </w:r>
      <w:r w:rsidRPr="00CB115E">
        <w:t xml:space="preserve">: </w:t>
      </w:r>
      <w:r w:rsidR="004558F9">
        <w:t xml:space="preserve">Utility </w:t>
      </w:r>
      <w:r>
        <w:t>Cost per First-</w:t>
      </w:r>
      <w:r w:rsidRPr="00CB115E">
        <w:t>Year kWh</w:t>
      </w:r>
      <w:r w:rsidR="00093DFB">
        <w:t xml:space="preserve"> Saved</w:t>
      </w:r>
      <w:r w:rsidRPr="00CB115E">
        <w:t xml:space="preserve"> – Non-Residential Total</w:t>
      </w:r>
      <w:bookmarkEnd w:id="475"/>
      <w:bookmarkEnd w:id="476"/>
    </w:p>
    <w:p w:rsidR="00F874FE" w:rsidRDefault="00F874FE" w:rsidP="00F874FE">
      <w:pPr>
        <w:jc w:val="center"/>
      </w:pPr>
      <w:r>
        <w:rPr>
          <w:noProof/>
        </w:rPr>
        <w:drawing>
          <wp:inline distT="0" distB="0" distL="0" distR="0" wp14:anchorId="1480514F" wp14:editId="19BBFBF9">
            <wp:extent cx="4609550" cy="2811584"/>
            <wp:effectExtent l="0" t="0" r="63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874FE" w:rsidRDefault="00F874FE" w:rsidP="004837FA">
      <w:pPr>
        <w:pStyle w:val="Caption"/>
      </w:pPr>
    </w:p>
    <w:p w:rsidR="00F874FE" w:rsidRDefault="00F874FE" w:rsidP="004837FA">
      <w:pPr>
        <w:pStyle w:val="Caption"/>
      </w:pPr>
    </w:p>
    <w:p w:rsidR="00F874FE" w:rsidRDefault="00F874FE" w:rsidP="004837FA">
      <w:pPr>
        <w:pStyle w:val="Caption"/>
      </w:pPr>
    </w:p>
    <w:p w:rsidR="00F874FE" w:rsidRDefault="00F874FE" w:rsidP="004837FA">
      <w:pPr>
        <w:pStyle w:val="Caption"/>
      </w:pPr>
    </w:p>
    <w:p w:rsidR="00F874FE" w:rsidRDefault="00F874FE" w:rsidP="00A25BE1"/>
    <w:p w:rsidR="00F874FE" w:rsidRDefault="00F874FE" w:rsidP="00A25BE1"/>
    <w:p w:rsidR="00F874FE" w:rsidRDefault="00F874FE" w:rsidP="00A25BE1"/>
    <w:p w:rsidR="00F874FE" w:rsidRPr="00313653" w:rsidRDefault="00F874FE" w:rsidP="00A25BE1"/>
    <w:p w:rsidR="00F874FE" w:rsidRPr="00CB115E" w:rsidRDefault="00F874FE" w:rsidP="004837FA">
      <w:pPr>
        <w:pStyle w:val="Caption"/>
      </w:pPr>
      <w:bookmarkStart w:id="477" w:name="_Toc472472245"/>
      <w:bookmarkStart w:id="478" w:name="_Toc488741825"/>
      <w:r w:rsidRPr="00CB115E">
        <w:t xml:space="preserve">Figure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5</w:t>
      </w:r>
      <w:r w:rsidR="007973A4">
        <w:rPr>
          <w:noProof/>
        </w:rPr>
        <w:fldChar w:fldCharType="end"/>
      </w:r>
      <w:r w:rsidRPr="00CB115E">
        <w:t xml:space="preserve">: </w:t>
      </w:r>
      <w:r w:rsidR="004558F9">
        <w:t xml:space="preserve">Utility </w:t>
      </w:r>
      <w:r w:rsidRPr="00CB115E">
        <w:t>Cost per First</w:t>
      </w:r>
      <w:r>
        <w:t>-</w:t>
      </w:r>
      <w:r w:rsidRPr="00CB115E">
        <w:t>Year kWh</w:t>
      </w:r>
      <w:r w:rsidR="00093DFB">
        <w:t xml:space="preserve"> Saved</w:t>
      </w:r>
      <w:r w:rsidRPr="00CB115E">
        <w:t xml:space="preserve"> – Total All Sectors</w:t>
      </w:r>
      <w:bookmarkEnd w:id="477"/>
      <w:bookmarkEnd w:id="478"/>
    </w:p>
    <w:p w:rsidR="00F874FE" w:rsidRDefault="001310D5" w:rsidP="00F874FE">
      <w:pPr>
        <w:jc w:val="center"/>
      </w:pPr>
      <w:r>
        <w:rPr>
          <w:noProof/>
        </w:rPr>
        <w:drawing>
          <wp:inline distT="0" distB="0" distL="0" distR="0" wp14:anchorId="50C3EA12" wp14:editId="6D15455E">
            <wp:extent cx="4581525" cy="2809875"/>
            <wp:effectExtent l="0" t="0" r="9525" b="9525"/>
            <wp:docPr id="54" name="Picture 54" descr="cid:image012.png@01D3049D.CC1DA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cid:image012.png@01D3049D.CC1DADB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4581525" cy="2809875"/>
                    </a:xfrm>
                    <a:prstGeom prst="rect">
                      <a:avLst/>
                    </a:prstGeom>
                    <a:noFill/>
                    <a:ln>
                      <a:noFill/>
                    </a:ln>
                  </pic:spPr>
                </pic:pic>
              </a:graphicData>
            </a:graphic>
          </wp:inline>
        </w:drawing>
      </w:r>
    </w:p>
    <w:p w:rsidR="00F874FE" w:rsidRDefault="00F874FE" w:rsidP="004837FA">
      <w:pPr>
        <w:pStyle w:val="Caption"/>
      </w:pPr>
    </w:p>
    <w:p w:rsidR="00F874FE" w:rsidRPr="00CB115E" w:rsidRDefault="00F874FE" w:rsidP="004837FA">
      <w:pPr>
        <w:pStyle w:val="Caption"/>
      </w:pPr>
      <w:bookmarkStart w:id="479" w:name="_Ref476043803"/>
      <w:bookmarkStart w:id="480" w:name="_Toc472472246"/>
      <w:bookmarkStart w:id="481" w:name="_Toc488741826"/>
      <w:r w:rsidRPr="00CB115E">
        <w:t xml:space="preserve">Figure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6</w:t>
      </w:r>
      <w:r w:rsidR="007973A4">
        <w:rPr>
          <w:noProof/>
        </w:rPr>
        <w:fldChar w:fldCharType="end"/>
      </w:r>
      <w:bookmarkEnd w:id="479"/>
      <w:r w:rsidRPr="00CB115E">
        <w:t xml:space="preserve">: </w:t>
      </w:r>
      <w:r w:rsidR="004558F9">
        <w:t xml:space="preserve">Utility </w:t>
      </w:r>
      <w:r w:rsidRPr="00CB115E">
        <w:t>Cost per First</w:t>
      </w:r>
      <w:r>
        <w:t>-Year kWh</w:t>
      </w:r>
      <w:r w:rsidR="00093DFB">
        <w:t xml:space="preserve"> Saved</w:t>
      </w:r>
      <w:r>
        <w:t xml:space="preserve"> – All EDCs C</w:t>
      </w:r>
      <w:r w:rsidRPr="00CB115E">
        <w:t>ombined</w:t>
      </w:r>
      <w:bookmarkEnd w:id="480"/>
      <w:bookmarkEnd w:id="481"/>
    </w:p>
    <w:p w:rsidR="00F874FE" w:rsidRDefault="001310D5" w:rsidP="00F874FE">
      <w:pPr>
        <w:jc w:val="center"/>
      </w:pPr>
      <w:r>
        <w:rPr>
          <w:noProof/>
        </w:rPr>
        <w:drawing>
          <wp:inline distT="0" distB="0" distL="0" distR="0" wp14:anchorId="70EFD968" wp14:editId="537BDFD7">
            <wp:extent cx="5372100" cy="2400300"/>
            <wp:effectExtent l="0" t="0" r="0" b="0"/>
            <wp:docPr id="55" name="Picture 55" descr="cid:image013.png@01D3049D.CC1DA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descr="cid:image013.png@01D3049D.CC1DADB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372100" cy="2400300"/>
                    </a:xfrm>
                    <a:prstGeom prst="rect">
                      <a:avLst/>
                    </a:prstGeom>
                    <a:noFill/>
                    <a:ln>
                      <a:noFill/>
                    </a:ln>
                  </pic:spPr>
                </pic:pic>
              </a:graphicData>
            </a:graphic>
          </wp:inline>
        </w:drawing>
      </w:r>
    </w:p>
    <w:p w:rsidR="00E56C41" w:rsidRDefault="00E56C41" w:rsidP="00E56C41"/>
    <w:p w:rsidR="00F874FE" w:rsidRDefault="00F874FE" w:rsidP="00E673F0">
      <w:pPr>
        <w:pStyle w:val="Heading3"/>
        <w:numPr>
          <w:ilvl w:val="0"/>
          <w:numId w:val="0"/>
        </w:numPr>
      </w:pPr>
      <w:bookmarkStart w:id="482" w:name="_Toc472472144"/>
      <w:bookmarkStart w:id="483" w:name="_Toc488765837"/>
      <w:r>
        <w:t xml:space="preserve">6.2 </w:t>
      </w:r>
      <w:r w:rsidRPr="00E17793">
        <w:t xml:space="preserve">Cumulative Annual Phase I and II </w:t>
      </w:r>
      <w:r>
        <w:t>C</w:t>
      </w:r>
      <w:r w:rsidRPr="00E17793">
        <w:t xml:space="preserve">ombined kWh </w:t>
      </w:r>
      <w:r>
        <w:t>Savings</w:t>
      </w:r>
      <w:bookmarkEnd w:id="482"/>
      <w:bookmarkEnd w:id="483"/>
    </w:p>
    <w:p w:rsidR="00F874FE" w:rsidRDefault="00F874FE" w:rsidP="00F874FE">
      <w:r>
        <w:fldChar w:fldCharType="begin"/>
      </w:r>
      <w:r>
        <w:instrText xml:space="preserve"> REF _Ref472429905 \h </w:instrText>
      </w:r>
      <w:r>
        <w:fldChar w:fldCharType="separate"/>
      </w:r>
      <w:r w:rsidR="009C0DF1">
        <w:t xml:space="preserve">Figure </w:t>
      </w:r>
      <w:r w:rsidR="009C0DF1">
        <w:rPr>
          <w:noProof/>
        </w:rPr>
        <w:t>6</w:t>
      </w:r>
      <w:r w:rsidR="009C0DF1">
        <w:noBreakHyphen/>
      </w:r>
      <w:r w:rsidR="009C0DF1">
        <w:rPr>
          <w:noProof/>
        </w:rPr>
        <w:t>7</w:t>
      </w:r>
      <w:r>
        <w:fldChar w:fldCharType="end"/>
      </w:r>
      <w:r>
        <w:t xml:space="preserve"> shows the combined cumulative annual kWh savings at the end of Phases I and II</w:t>
      </w:r>
      <w:r w:rsidR="00093DFB">
        <w:t xml:space="preserve"> (results added for both P</w:t>
      </w:r>
      <w:r w:rsidR="004558F9">
        <w:t>ha</w:t>
      </w:r>
      <w:r w:rsidR="00093DFB">
        <w:t>ses)</w:t>
      </w:r>
      <w:r>
        <w:t xml:space="preserve"> as a percentage of the total baseline kWh sales for 2010 for each EDC. The savings percentages are very close across the EDCs, with PECO having the highest at 6.88% and West Penn the lowest at 5.35%.</w:t>
      </w:r>
    </w:p>
    <w:p w:rsidR="00F874FE" w:rsidRDefault="00F874FE" w:rsidP="00F874FE">
      <w:r>
        <w:t xml:space="preserve"> </w:t>
      </w:r>
    </w:p>
    <w:p w:rsidR="00F874FE" w:rsidRDefault="00F874FE" w:rsidP="00A25BE1"/>
    <w:p w:rsidR="00F874FE" w:rsidRDefault="00F874FE" w:rsidP="004837FA">
      <w:pPr>
        <w:pStyle w:val="Caption"/>
      </w:pPr>
    </w:p>
    <w:p w:rsidR="00F874FE" w:rsidRDefault="00F874FE" w:rsidP="00A25BE1"/>
    <w:p w:rsidR="00F874FE" w:rsidRDefault="00F874FE" w:rsidP="00F874FE"/>
    <w:p w:rsidR="00F874FE" w:rsidRDefault="00F874FE" w:rsidP="00F874FE"/>
    <w:p w:rsidR="00F874FE" w:rsidRPr="00313653" w:rsidRDefault="00F874FE" w:rsidP="00F874FE"/>
    <w:p w:rsidR="00F874FE" w:rsidRPr="006356F7" w:rsidRDefault="00F874FE" w:rsidP="004837FA">
      <w:pPr>
        <w:pStyle w:val="Caption"/>
        <w:rPr>
          <w:i/>
        </w:rPr>
      </w:pPr>
      <w:bookmarkStart w:id="484" w:name="_Ref472429905"/>
      <w:bookmarkStart w:id="485" w:name="_Toc472472247"/>
      <w:bookmarkStart w:id="486" w:name="_Toc488741827"/>
      <w:r>
        <w:t xml:space="preserve">Figure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7</w:t>
      </w:r>
      <w:r w:rsidR="007973A4">
        <w:rPr>
          <w:noProof/>
        </w:rPr>
        <w:fldChar w:fldCharType="end"/>
      </w:r>
      <w:bookmarkEnd w:id="484"/>
      <w:r>
        <w:t xml:space="preserve">: </w:t>
      </w:r>
      <w:r w:rsidRPr="006356F7">
        <w:t>Combined Cumulative Annual kWh Savings as Percentage of 2010 Sales</w:t>
      </w:r>
      <w:bookmarkEnd w:id="485"/>
      <w:bookmarkEnd w:id="486"/>
    </w:p>
    <w:p w:rsidR="00F874FE" w:rsidRDefault="00F874FE" w:rsidP="00F874FE">
      <w:pPr>
        <w:jc w:val="center"/>
      </w:pPr>
      <w:r>
        <w:rPr>
          <w:noProof/>
        </w:rPr>
        <w:drawing>
          <wp:inline distT="0" distB="0" distL="0" distR="0" wp14:anchorId="410B8FAD" wp14:editId="7393C586">
            <wp:extent cx="5955030" cy="2381083"/>
            <wp:effectExtent l="0" t="0" r="762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67860" cy="2386213"/>
                    </a:xfrm>
                    <a:prstGeom prst="rect">
                      <a:avLst/>
                    </a:prstGeom>
                    <a:noFill/>
                  </pic:spPr>
                </pic:pic>
              </a:graphicData>
            </a:graphic>
          </wp:inline>
        </w:drawing>
      </w:r>
    </w:p>
    <w:p w:rsidR="00F874FE" w:rsidRDefault="00F874FE" w:rsidP="00F874FE"/>
    <w:p w:rsidR="00F874FE" w:rsidRDefault="00F874FE" w:rsidP="00F874FE">
      <w:r>
        <w:fldChar w:fldCharType="begin"/>
      </w:r>
      <w:r>
        <w:instrText xml:space="preserve"> REF _Ref472429895 \h </w:instrText>
      </w:r>
      <w:r>
        <w:fldChar w:fldCharType="separate"/>
      </w:r>
      <w:r w:rsidR="00037CB4">
        <w:t xml:space="preserve">Figure </w:t>
      </w:r>
      <w:r w:rsidR="00037CB4">
        <w:rPr>
          <w:noProof/>
        </w:rPr>
        <w:t>6</w:t>
      </w:r>
      <w:r w:rsidR="00037CB4">
        <w:noBreakHyphen/>
      </w:r>
      <w:r w:rsidR="00037CB4">
        <w:rPr>
          <w:noProof/>
        </w:rPr>
        <w:t>8</w:t>
      </w:r>
      <w:r>
        <w:fldChar w:fldCharType="end"/>
      </w:r>
      <w:r>
        <w:t xml:space="preserve"> shows the cumulative spending for Phases I and II as a percentage of the Phase I and II budgets. These percentages range from 78.58% (PECO) to 89.65% (PPL).</w:t>
      </w:r>
    </w:p>
    <w:p w:rsidR="00F874FE" w:rsidRDefault="00F874FE" w:rsidP="00F874FE"/>
    <w:p w:rsidR="00F874FE" w:rsidRPr="00EE643B" w:rsidRDefault="00F874FE" w:rsidP="004837FA">
      <w:pPr>
        <w:pStyle w:val="Caption"/>
        <w:rPr>
          <w:i/>
        </w:rPr>
      </w:pPr>
      <w:bookmarkStart w:id="487" w:name="_Ref472429895"/>
      <w:bookmarkStart w:id="488" w:name="_Toc472472248"/>
      <w:bookmarkStart w:id="489" w:name="_Toc488741828"/>
      <w:r>
        <w:t xml:space="preserve">Figure </w:t>
      </w:r>
      <w:r w:rsidR="007973A4">
        <w:fldChar w:fldCharType="begin"/>
      </w:r>
      <w:r w:rsidR="007973A4">
        <w:instrText xml:space="preserve"> STYLEREF 1 \s </w:instrText>
      </w:r>
      <w:r w:rsidR="007973A4">
        <w:fldChar w:fldCharType="separate"/>
      </w:r>
      <w:r w:rsidR="00037CB4">
        <w:rPr>
          <w:noProof/>
        </w:rPr>
        <w:t>6</w:t>
      </w:r>
      <w:r w:rsidR="007973A4">
        <w:rPr>
          <w:noProof/>
        </w:rPr>
        <w:fldChar w:fldCharType="end"/>
      </w:r>
      <w:r w:rsidR="00DA1ADA">
        <w:noBreakHyphen/>
      </w:r>
      <w:r w:rsidR="007973A4">
        <w:fldChar w:fldCharType="begin"/>
      </w:r>
      <w:r w:rsidR="007973A4">
        <w:instrText xml:space="preserve"> SEQ Figure \* ARABIC \s 1 </w:instrText>
      </w:r>
      <w:r w:rsidR="007973A4">
        <w:fldChar w:fldCharType="separate"/>
      </w:r>
      <w:r w:rsidR="00037CB4">
        <w:rPr>
          <w:noProof/>
        </w:rPr>
        <w:t>8</w:t>
      </w:r>
      <w:r w:rsidR="007973A4">
        <w:rPr>
          <w:noProof/>
        </w:rPr>
        <w:fldChar w:fldCharType="end"/>
      </w:r>
      <w:bookmarkEnd w:id="487"/>
      <w:r>
        <w:t xml:space="preserve">: Cumulative </w:t>
      </w:r>
      <w:r w:rsidR="004558F9">
        <w:t xml:space="preserve">Utility </w:t>
      </w:r>
      <w:r>
        <w:t>Spending for Phases I and II as Percentage of Phase I and II Budgets</w:t>
      </w:r>
      <w:bookmarkEnd w:id="488"/>
      <w:bookmarkEnd w:id="489"/>
    </w:p>
    <w:p w:rsidR="00F874FE" w:rsidRDefault="00F874FE" w:rsidP="00F874FE">
      <w:pPr>
        <w:jc w:val="center"/>
      </w:pPr>
      <w:r>
        <w:rPr>
          <w:noProof/>
        </w:rPr>
        <w:drawing>
          <wp:inline distT="0" distB="0" distL="0" distR="0" wp14:anchorId="070D922E" wp14:editId="2EADA2CA">
            <wp:extent cx="5955527" cy="2518754"/>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63364" cy="2522068"/>
                    </a:xfrm>
                    <a:prstGeom prst="rect">
                      <a:avLst/>
                    </a:prstGeom>
                    <a:noFill/>
                  </pic:spPr>
                </pic:pic>
              </a:graphicData>
            </a:graphic>
          </wp:inline>
        </w:drawing>
      </w:r>
    </w:p>
    <w:p w:rsidR="00004534" w:rsidRDefault="00004534" w:rsidP="00E673F0">
      <w:pPr>
        <w:pStyle w:val="Heading2"/>
      </w:pPr>
      <w:r w:rsidRPr="00CA4CB7">
        <w:br w:type="page"/>
      </w:r>
    </w:p>
    <w:p w:rsidR="00004534" w:rsidRPr="009C0DF1" w:rsidRDefault="009C0DF1" w:rsidP="00E673F0">
      <w:pPr>
        <w:pStyle w:val="Heading1"/>
      </w:pPr>
      <w:bookmarkStart w:id="490" w:name="_Ref472258110"/>
      <w:bookmarkStart w:id="491" w:name="_Toc472472145"/>
      <w:bookmarkStart w:id="492" w:name="_Toc488765838"/>
      <w:r>
        <w:t xml:space="preserve">Findings, Conclusions &amp; </w:t>
      </w:r>
      <w:r w:rsidR="00004534" w:rsidRPr="009C0DF1">
        <w:t>Recommendations</w:t>
      </w:r>
      <w:bookmarkEnd w:id="490"/>
      <w:bookmarkEnd w:id="491"/>
      <w:bookmarkEnd w:id="492"/>
    </w:p>
    <w:p w:rsidR="00516B91" w:rsidRDefault="00516B91" w:rsidP="00FC0BC7">
      <w:pPr>
        <w:spacing w:after="120"/>
      </w:pPr>
      <w:r>
        <w:t xml:space="preserve">The </w:t>
      </w:r>
      <w:r w:rsidR="00014A5E">
        <w:t>SWE</w:t>
      </w:r>
      <w:r>
        <w:t xml:space="preserve"> Team, led by GDS, has worked diligently to guide the implementation of Act 129 from its inception and has improved the overall process through two phases of hard work from all parties involved including</w:t>
      </w:r>
      <w:r w:rsidR="00014A5E">
        <w:t xml:space="preserve">, the EDCs, TUS, </w:t>
      </w:r>
      <w:r w:rsidR="00137DDC">
        <w:t>evaluation</w:t>
      </w:r>
      <w:r w:rsidR="006B6E78">
        <w:t xml:space="preserve"> contractors</w:t>
      </w:r>
      <w:r w:rsidR="0040730A">
        <w:t>,</w:t>
      </w:r>
      <w:r w:rsidR="00014A5E">
        <w:t xml:space="preserve"> </w:t>
      </w:r>
      <w:r w:rsidR="006B6E78">
        <w:t xml:space="preserve">program implementation </w:t>
      </w:r>
      <w:r w:rsidR="00014A5E">
        <w:t>contractors, and s</w:t>
      </w:r>
      <w:r>
        <w:t>takeholders</w:t>
      </w:r>
      <w:r w:rsidR="00014A5E">
        <w:t>. Highlights of Phase II are</w:t>
      </w:r>
      <w:r>
        <w:t>:</w:t>
      </w:r>
    </w:p>
    <w:p w:rsidR="00516B91" w:rsidRPr="00E241E1" w:rsidRDefault="009C0DF1" w:rsidP="009C0DF1">
      <w:pPr>
        <w:pStyle w:val="ListParagraph"/>
        <w:numPr>
          <w:ilvl w:val="0"/>
          <w:numId w:val="46"/>
        </w:numPr>
        <w:spacing w:after="120"/>
        <w:ind w:left="360"/>
        <w:contextualSpacing w:val="0"/>
      </w:pPr>
      <w:r w:rsidRPr="009C0DF1">
        <w:rPr>
          <w:rFonts w:ascii="Century Gothic" w:hAnsi="Century Gothic"/>
          <w:b/>
          <w:color w:val="404040" w:themeColor="text1" w:themeTint="BF"/>
          <w:spacing w:val="-12"/>
        </w:rPr>
        <w:t>FINDING 1</w:t>
      </w:r>
      <w:r w:rsidRPr="009C0DF1">
        <w:rPr>
          <w:rFonts w:ascii="Century Gothic" w:hAnsi="Century Gothic"/>
          <w:color w:val="404040" w:themeColor="text1" w:themeTint="BF"/>
          <w:spacing w:val="-12"/>
          <w:sz w:val="26"/>
          <w:szCs w:val="26"/>
        </w:rPr>
        <w:t>│</w:t>
      </w:r>
      <w:r>
        <w:rPr>
          <w:rFonts w:ascii="Century Gothic" w:hAnsi="Century Gothic"/>
          <w:b/>
          <w:color w:val="404040" w:themeColor="text1" w:themeTint="BF"/>
          <w:spacing w:val="-12"/>
        </w:rPr>
        <w:t xml:space="preserve"> </w:t>
      </w:r>
      <w:r w:rsidR="00516B91">
        <w:rPr>
          <w:i/>
        </w:rPr>
        <w:t>All EDCs met their compliance targets for energy savings, low-income</w:t>
      </w:r>
      <w:r w:rsidR="00014A5E">
        <w:rPr>
          <w:i/>
        </w:rPr>
        <w:t>,</w:t>
      </w:r>
      <w:r w:rsidR="00516B91">
        <w:rPr>
          <w:i/>
        </w:rPr>
        <w:t xml:space="preserve"> and GNI carve-outs</w:t>
      </w:r>
      <w:r w:rsidR="00014A5E">
        <w:rPr>
          <w:i/>
        </w:rPr>
        <w:t>.</w:t>
      </w:r>
    </w:p>
    <w:p w:rsidR="00516B91" w:rsidRPr="00E241E1" w:rsidRDefault="009C0DF1" w:rsidP="009C0DF1">
      <w:pPr>
        <w:pStyle w:val="ListParagraph"/>
        <w:numPr>
          <w:ilvl w:val="0"/>
          <w:numId w:val="46"/>
        </w:numPr>
        <w:spacing w:after="120"/>
        <w:ind w:left="360"/>
        <w:contextualSpacing w:val="0"/>
      </w:pPr>
      <w:r w:rsidRPr="009C0DF1">
        <w:rPr>
          <w:rFonts w:ascii="Century Gothic" w:hAnsi="Century Gothic"/>
          <w:b/>
          <w:color w:val="404040" w:themeColor="text1" w:themeTint="BF"/>
          <w:spacing w:val="-12"/>
        </w:rPr>
        <w:t>FINDING 2</w:t>
      </w:r>
      <w:r w:rsidRPr="009C0DF1">
        <w:rPr>
          <w:rFonts w:ascii="Century Gothic" w:hAnsi="Century Gothic"/>
          <w:i/>
          <w:color w:val="404040" w:themeColor="text1" w:themeTint="BF"/>
          <w:sz w:val="26"/>
          <w:szCs w:val="26"/>
        </w:rPr>
        <w:t>│</w:t>
      </w:r>
      <w:r>
        <w:rPr>
          <w:i/>
          <w:color w:val="404040" w:themeColor="text1" w:themeTint="BF"/>
        </w:rPr>
        <w:t xml:space="preserve"> </w:t>
      </w:r>
      <w:r w:rsidR="006B6E78">
        <w:rPr>
          <w:i/>
        </w:rPr>
        <w:t xml:space="preserve">During </w:t>
      </w:r>
      <w:r w:rsidR="00516B91" w:rsidRPr="00516B91">
        <w:rPr>
          <w:i/>
        </w:rPr>
        <w:t>Phase II</w:t>
      </w:r>
      <w:r w:rsidR="006B6E78">
        <w:rPr>
          <w:i/>
        </w:rPr>
        <w:t>, five of the seven Pennsylvania EDCs</w:t>
      </w:r>
      <w:r w:rsidR="00516B91" w:rsidRPr="00516B91">
        <w:rPr>
          <w:i/>
        </w:rPr>
        <w:t xml:space="preserve"> exceeded the</w:t>
      </w:r>
      <w:r w:rsidR="006B6E78">
        <w:rPr>
          <w:i/>
        </w:rPr>
        <w:t>ir Phase II savings</w:t>
      </w:r>
      <w:r w:rsidR="00516B91" w:rsidRPr="00516B91">
        <w:rPr>
          <w:i/>
        </w:rPr>
        <w:t xml:space="preserve"> targets without accounting for Phase I carr</w:t>
      </w:r>
      <w:r w:rsidR="00014A5E">
        <w:rPr>
          <w:i/>
        </w:rPr>
        <w:t>yover savings</w:t>
      </w:r>
      <w:r w:rsidR="006B6E78">
        <w:rPr>
          <w:i/>
        </w:rPr>
        <w:t>.</w:t>
      </w:r>
      <w:r w:rsidR="00014A5E">
        <w:rPr>
          <w:i/>
        </w:rPr>
        <w:t xml:space="preserve"> PPL and PECO </w:t>
      </w:r>
      <w:r w:rsidR="006B6E78">
        <w:rPr>
          <w:i/>
        </w:rPr>
        <w:t xml:space="preserve">had to make use of </w:t>
      </w:r>
      <w:r w:rsidR="00516B91" w:rsidRPr="00516B91">
        <w:rPr>
          <w:i/>
        </w:rPr>
        <w:t>the</w:t>
      </w:r>
      <w:r w:rsidR="00F40B6D">
        <w:rPr>
          <w:i/>
        </w:rPr>
        <w:t>ir Phase I</w:t>
      </w:r>
      <w:r w:rsidR="00516B91" w:rsidRPr="00516B91">
        <w:rPr>
          <w:i/>
        </w:rPr>
        <w:t xml:space="preserve"> carryover savings to meet their respective </w:t>
      </w:r>
      <w:r w:rsidR="006B6E78">
        <w:rPr>
          <w:i/>
        </w:rPr>
        <w:t xml:space="preserve">Phase II savings </w:t>
      </w:r>
      <w:r w:rsidR="00516B91" w:rsidRPr="00516B91">
        <w:rPr>
          <w:i/>
        </w:rPr>
        <w:t>targets</w:t>
      </w:r>
      <w:r w:rsidR="003763DA">
        <w:rPr>
          <w:i/>
        </w:rPr>
        <w:t xml:space="preserve"> (as </w:t>
      </w:r>
      <w:r w:rsidR="00CA6476">
        <w:rPr>
          <w:i/>
        </w:rPr>
        <w:t>designed</w:t>
      </w:r>
      <w:r w:rsidR="003763DA">
        <w:rPr>
          <w:i/>
        </w:rPr>
        <w:t xml:space="preserve"> in their EE&amp;C Plans)</w:t>
      </w:r>
      <w:r w:rsidR="00516B91" w:rsidRPr="00516B91">
        <w:rPr>
          <w:i/>
        </w:rPr>
        <w:t>, though their Phase II energy savings achievements were strong as well.</w:t>
      </w:r>
      <w:r w:rsidR="006B6E78" w:rsidRPr="00A25BE1">
        <w:rPr>
          <w:i/>
        </w:rPr>
        <w:t xml:space="preserve"> </w:t>
      </w:r>
      <w:r w:rsidR="006B6E78">
        <w:rPr>
          <w:i/>
        </w:rPr>
        <w:t>It is important to note that PECO and PPL have no carry-over savings for Phase III.</w:t>
      </w:r>
      <w:r w:rsidR="00516B91">
        <w:rPr>
          <w:i/>
          <w:highlight w:val="yellow"/>
        </w:rPr>
        <w:t xml:space="preserve"> </w:t>
      </w:r>
    </w:p>
    <w:p w:rsidR="00516B91" w:rsidRPr="00516B91" w:rsidRDefault="009C0DF1" w:rsidP="009C0DF1">
      <w:pPr>
        <w:pStyle w:val="ListParagraph"/>
        <w:numPr>
          <w:ilvl w:val="0"/>
          <w:numId w:val="46"/>
        </w:numPr>
        <w:ind w:left="360"/>
        <w:contextualSpacing w:val="0"/>
      </w:pPr>
      <w:r w:rsidRPr="009C0DF1">
        <w:rPr>
          <w:rFonts w:ascii="Century Gothic" w:hAnsi="Century Gothic"/>
          <w:b/>
          <w:color w:val="404040" w:themeColor="text1" w:themeTint="BF"/>
          <w:spacing w:val="-12"/>
        </w:rPr>
        <w:t>FINDING 3</w:t>
      </w:r>
      <w:r w:rsidRPr="009C0DF1">
        <w:rPr>
          <w:rFonts w:ascii="Century Gothic" w:hAnsi="Century Gothic"/>
          <w:i/>
          <w:sz w:val="26"/>
          <w:szCs w:val="26"/>
        </w:rPr>
        <w:t>│</w:t>
      </w:r>
      <w:r>
        <w:rPr>
          <w:i/>
        </w:rPr>
        <w:t xml:space="preserve"> </w:t>
      </w:r>
      <w:r w:rsidR="00516B91" w:rsidRPr="00516B91">
        <w:rPr>
          <w:i/>
        </w:rPr>
        <w:t>The TRC</w:t>
      </w:r>
      <w:r w:rsidR="006B6E78">
        <w:rPr>
          <w:i/>
        </w:rPr>
        <w:t xml:space="preserve"> ratio</w:t>
      </w:r>
      <w:r w:rsidR="00516B91" w:rsidRPr="00516B91">
        <w:rPr>
          <w:i/>
        </w:rPr>
        <w:t xml:space="preserve"> results were strong in each year of Phase II. The </w:t>
      </w:r>
      <w:r w:rsidR="006B6E78">
        <w:rPr>
          <w:i/>
        </w:rPr>
        <w:t xml:space="preserve">overall statewide </w:t>
      </w:r>
      <w:r w:rsidR="00516B91" w:rsidRPr="00516B91">
        <w:rPr>
          <w:i/>
        </w:rPr>
        <w:t xml:space="preserve">TRC ratio was </w:t>
      </w:r>
      <w:r w:rsidR="00014A5E" w:rsidRPr="00516B91">
        <w:rPr>
          <w:i/>
        </w:rPr>
        <w:t>1.</w:t>
      </w:r>
      <w:r w:rsidR="00BD283A">
        <w:rPr>
          <w:i/>
        </w:rPr>
        <w:t>7</w:t>
      </w:r>
      <w:r w:rsidR="00014A5E" w:rsidRPr="00516B91">
        <w:rPr>
          <w:i/>
        </w:rPr>
        <w:t xml:space="preserve"> in PY5, 1</w:t>
      </w:r>
      <w:r w:rsidR="00BD283A">
        <w:rPr>
          <w:i/>
        </w:rPr>
        <w:t>.6</w:t>
      </w:r>
      <w:r w:rsidR="00014A5E" w:rsidRPr="00516B91">
        <w:rPr>
          <w:i/>
        </w:rPr>
        <w:t xml:space="preserve"> in PY6</w:t>
      </w:r>
      <w:r w:rsidR="00014A5E">
        <w:rPr>
          <w:i/>
        </w:rPr>
        <w:t>,</w:t>
      </w:r>
      <w:r w:rsidR="00014A5E" w:rsidRPr="00516B91">
        <w:rPr>
          <w:i/>
        </w:rPr>
        <w:t xml:space="preserve"> and 1.</w:t>
      </w:r>
      <w:r w:rsidR="00BD283A">
        <w:rPr>
          <w:i/>
        </w:rPr>
        <w:t>7</w:t>
      </w:r>
      <w:r w:rsidR="00014A5E" w:rsidRPr="00516B91">
        <w:rPr>
          <w:i/>
        </w:rPr>
        <w:t xml:space="preserve"> in PY7</w:t>
      </w:r>
      <w:r w:rsidR="00516B91" w:rsidRPr="00516B91">
        <w:rPr>
          <w:i/>
        </w:rPr>
        <w:t xml:space="preserve">. </w:t>
      </w:r>
    </w:p>
    <w:p w:rsidR="00A07AB2" w:rsidRDefault="00A07AB2" w:rsidP="009C0DF1"/>
    <w:p w:rsidR="00516B91" w:rsidRDefault="00516B91" w:rsidP="00FC0BC7">
      <w:pPr>
        <w:spacing w:after="120"/>
      </w:pPr>
      <w:r>
        <w:t>It is notable that efficiencies were gained in many aspects of program delivery by the EDCs since Phase I</w:t>
      </w:r>
      <w:r w:rsidR="00480BDD">
        <w:t>,</w:t>
      </w:r>
      <w:r>
        <w:t xml:space="preserve"> and likewise by the staff assigned to provide implementation and evaluation. Adjusting through the changes in the product delivery market and code legislation, the actors in the Act 129 program improved the cost</w:t>
      </w:r>
      <w:r w:rsidR="00480BDD">
        <w:t>-</w:t>
      </w:r>
      <w:r>
        <w:t xml:space="preserve">effectiveness of many parts of the portfolios and introduced </w:t>
      </w:r>
      <w:r w:rsidR="00480BDD">
        <w:t>a significant number</w:t>
      </w:r>
      <w:r>
        <w:t xml:space="preserve"> of innovative pilot programs and measures. Some of these efforts are:</w:t>
      </w:r>
    </w:p>
    <w:p w:rsidR="00516B91" w:rsidRDefault="00516B91" w:rsidP="00E646C9">
      <w:pPr>
        <w:pStyle w:val="ListParagraph"/>
        <w:numPr>
          <w:ilvl w:val="0"/>
          <w:numId w:val="46"/>
        </w:numPr>
        <w:spacing w:after="160" w:line="259" w:lineRule="auto"/>
        <w:ind w:left="360"/>
      </w:pPr>
      <w:r>
        <w:t xml:space="preserve">Smart thermostat measure creation </w:t>
      </w:r>
    </w:p>
    <w:p w:rsidR="00516B91" w:rsidRDefault="00516B91" w:rsidP="00E646C9">
      <w:pPr>
        <w:pStyle w:val="ListParagraph"/>
        <w:numPr>
          <w:ilvl w:val="0"/>
          <w:numId w:val="46"/>
        </w:numPr>
        <w:spacing w:after="160" w:line="259" w:lineRule="auto"/>
        <w:ind w:left="360"/>
      </w:pPr>
      <w:r>
        <w:t xml:space="preserve">De </w:t>
      </w:r>
      <w:r w:rsidR="0077746F">
        <w:t>f</w:t>
      </w:r>
      <w:r>
        <w:t xml:space="preserve">acto Heating Pilot measure creation </w:t>
      </w:r>
    </w:p>
    <w:p w:rsidR="00516B91" w:rsidRDefault="00480BDD" w:rsidP="00E646C9">
      <w:pPr>
        <w:pStyle w:val="ListParagraph"/>
        <w:numPr>
          <w:ilvl w:val="0"/>
          <w:numId w:val="46"/>
        </w:numPr>
        <w:spacing w:after="160" w:line="259" w:lineRule="auto"/>
        <w:ind w:left="360"/>
      </w:pPr>
      <w:r>
        <w:t>HVAC m</w:t>
      </w:r>
      <w:r w:rsidR="00516B91">
        <w:t>ini-split savings modification</w:t>
      </w:r>
    </w:p>
    <w:p w:rsidR="00516B91" w:rsidRPr="0078175B" w:rsidRDefault="00516B91" w:rsidP="00516B91">
      <w:pPr>
        <w:pStyle w:val="ListParagraph"/>
        <w:rPr>
          <w:highlight w:val="yellow"/>
        </w:rPr>
      </w:pPr>
    </w:p>
    <w:p w:rsidR="00516B91" w:rsidRDefault="00516B91" w:rsidP="00FC0BC7">
      <w:pPr>
        <w:spacing w:after="120"/>
      </w:pPr>
      <w:r>
        <w:t xml:space="preserve">Additionally, </w:t>
      </w:r>
      <w:r w:rsidR="00480BDD">
        <w:t>several studies</w:t>
      </w:r>
      <w:r>
        <w:t xml:space="preserve"> were performed by the SWE during Phase II:</w:t>
      </w:r>
    </w:p>
    <w:p w:rsidR="00516B91" w:rsidRDefault="00516B91" w:rsidP="00E646C9">
      <w:pPr>
        <w:pStyle w:val="ListParagraph"/>
        <w:numPr>
          <w:ilvl w:val="0"/>
          <w:numId w:val="46"/>
        </w:numPr>
        <w:spacing w:after="160" w:line="259" w:lineRule="auto"/>
        <w:ind w:left="360"/>
      </w:pPr>
      <w:r w:rsidRPr="00805221">
        <w:t xml:space="preserve">Pennsylvania Statewide Residential </w:t>
      </w:r>
      <w:r>
        <w:t>and Commercial Baseline Study, April, 2014</w:t>
      </w:r>
    </w:p>
    <w:p w:rsidR="00516B91" w:rsidRDefault="00516B91" w:rsidP="00E646C9">
      <w:pPr>
        <w:pStyle w:val="ListParagraph"/>
        <w:numPr>
          <w:ilvl w:val="0"/>
          <w:numId w:val="46"/>
        </w:numPr>
        <w:spacing w:after="160" w:line="259" w:lineRule="auto"/>
        <w:ind w:left="360"/>
      </w:pPr>
      <w:r>
        <w:t>SWE</w:t>
      </w:r>
      <w:r w:rsidRPr="00805221">
        <w:t xml:space="preserve"> Energy Efficiency Potential</w:t>
      </w:r>
      <w:r>
        <w:t xml:space="preserve"> Study</w:t>
      </w:r>
      <w:r w:rsidRPr="00805221">
        <w:t xml:space="preserve"> for Pennsylvania, </w:t>
      </w:r>
      <w:r>
        <w:t>February, 2015</w:t>
      </w:r>
    </w:p>
    <w:p w:rsidR="00516B91" w:rsidRDefault="00516B91" w:rsidP="00E646C9">
      <w:pPr>
        <w:pStyle w:val="ListParagraph"/>
        <w:numPr>
          <w:ilvl w:val="0"/>
          <w:numId w:val="46"/>
        </w:numPr>
        <w:spacing w:after="160" w:line="259" w:lineRule="auto"/>
        <w:ind w:left="360"/>
      </w:pPr>
      <w:r w:rsidRPr="006C254A">
        <w:t>Distributed Generation Potential Study</w:t>
      </w:r>
      <w:r>
        <w:t>, April, 2015</w:t>
      </w:r>
    </w:p>
    <w:p w:rsidR="00516B91" w:rsidRDefault="00516B91" w:rsidP="00E646C9">
      <w:pPr>
        <w:pStyle w:val="ListParagraph"/>
        <w:numPr>
          <w:ilvl w:val="0"/>
          <w:numId w:val="46"/>
        </w:numPr>
        <w:spacing w:after="160" w:line="259" w:lineRule="auto"/>
        <w:ind w:left="360"/>
      </w:pPr>
      <w:r w:rsidRPr="00FB5E5A">
        <w:t>Demand Response Potential for Pennsylvania, February, 2015</w:t>
      </w:r>
    </w:p>
    <w:p w:rsidR="00516B91" w:rsidRDefault="00516B91" w:rsidP="00E646C9">
      <w:pPr>
        <w:pStyle w:val="ListParagraph"/>
        <w:numPr>
          <w:ilvl w:val="0"/>
          <w:numId w:val="46"/>
        </w:numPr>
        <w:spacing w:after="160" w:line="259" w:lineRule="auto"/>
        <w:ind w:left="360"/>
      </w:pPr>
      <w:r w:rsidRPr="00757A0C">
        <w:t>Residential Behavioral Program Persistence Study</w:t>
      </w:r>
      <w:r w:rsidR="00480BDD">
        <w:t xml:space="preserve">, </w:t>
      </w:r>
      <w:r w:rsidR="00B65A9D">
        <w:t>December, 2015</w:t>
      </w:r>
    </w:p>
    <w:p w:rsidR="00516B91" w:rsidRDefault="00516B91" w:rsidP="00E646C9">
      <w:pPr>
        <w:pStyle w:val="ListParagraph"/>
        <w:numPr>
          <w:ilvl w:val="0"/>
          <w:numId w:val="46"/>
        </w:numPr>
        <w:spacing w:after="160" w:line="259" w:lineRule="auto"/>
        <w:ind w:left="360"/>
      </w:pPr>
      <w:r w:rsidRPr="003544B9">
        <w:t>Statewide Commercial and Residential Light Metering Study</w:t>
      </w:r>
      <w:r w:rsidR="00B65A9D">
        <w:t>, January, 2014</w:t>
      </w:r>
    </w:p>
    <w:p w:rsidR="00073ECB" w:rsidRDefault="00073ECB" w:rsidP="00073ECB">
      <w:r>
        <w:t xml:space="preserve">Please see Appendix </w:t>
      </w:r>
      <w:r w:rsidR="00480BDD">
        <w:t>E</w:t>
      </w:r>
      <w:r>
        <w:t xml:space="preserve"> for a compendium of Phase II reports and memos for more information.</w:t>
      </w:r>
    </w:p>
    <w:p w:rsidR="00073ECB" w:rsidRPr="00073ECB" w:rsidRDefault="00073ECB" w:rsidP="00073ECB"/>
    <w:p w:rsidR="00516B91" w:rsidRPr="009C0DF1" w:rsidRDefault="009C0DF1" w:rsidP="00516B91">
      <w:pPr>
        <w:rPr>
          <w:rFonts w:ascii="Century Gothic" w:hAnsi="Century Gothic"/>
          <w:b/>
          <w:color w:val="404040" w:themeColor="text1" w:themeTint="BF"/>
          <w:spacing w:val="-12"/>
          <w:sz w:val="24"/>
          <w:szCs w:val="24"/>
        </w:rPr>
      </w:pPr>
      <w:r w:rsidRPr="009C0DF1">
        <w:rPr>
          <w:rFonts w:ascii="Century Gothic" w:hAnsi="Century Gothic"/>
          <w:b/>
          <w:color w:val="404040" w:themeColor="text1" w:themeTint="BF"/>
          <w:spacing w:val="-12"/>
          <w:sz w:val="24"/>
          <w:szCs w:val="24"/>
        </w:rPr>
        <w:t>RECOMMENDATIONS</w:t>
      </w:r>
    </w:p>
    <w:p w:rsidR="00516B91" w:rsidRDefault="000D3721" w:rsidP="00FC0BC7">
      <w:pPr>
        <w:spacing w:after="120"/>
      </w:pPr>
      <w:r>
        <w:t>The SWE Team makes the following recommendations to the Commission to help maintain and improve future Act 129 activities. This consolidated list</w:t>
      </w:r>
      <w:r w:rsidR="00480BDD">
        <w:t xml:space="preserve"> is</w:t>
      </w:r>
      <w:r>
        <w:t xml:space="preserve"> based on the findings and recommendations in the </w:t>
      </w:r>
      <w:r>
        <w:fldChar w:fldCharType="begin"/>
      </w:r>
      <w:r>
        <w:instrText xml:space="preserve"> REF _Ref472258019 \h </w:instrText>
      </w:r>
      <w:r>
        <w:fldChar w:fldCharType="separate"/>
      </w:r>
      <w:r w:rsidR="00037CB4" w:rsidRPr="00DA1ADA">
        <w:t>Executive Summary</w:t>
      </w:r>
      <w:r>
        <w:fldChar w:fldCharType="end"/>
      </w:r>
      <w:r>
        <w:t>.</w:t>
      </w:r>
    </w:p>
    <w:p w:rsidR="00743C18" w:rsidRPr="003D41F4" w:rsidRDefault="00743C18" w:rsidP="00E646C9">
      <w:pPr>
        <w:numPr>
          <w:ilvl w:val="0"/>
          <w:numId w:val="44"/>
        </w:numPr>
        <w:spacing w:after="120"/>
        <w:ind w:left="360"/>
        <w:rPr>
          <w:szCs w:val="20"/>
        </w:rPr>
      </w:pPr>
      <w:r w:rsidRPr="003D41F4">
        <w:rPr>
          <w:szCs w:val="20"/>
        </w:rPr>
        <w:t>The SWE Team reviewed EDC reported and evaluated savings and generally affirm</w:t>
      </w:r>
      <w:r>
        <w:rPr>
          <w:szCs w:val="20"/>
        </w:rPr>
        <w:t>s</w:t>
      </w:r>
      <w:r w:rsidRPr="003D41F4">
        <w:rPr>
          <w:szCs w:val="20"/>
        </w:rPr>
        <w:t xml:space="preserve"> their validity. The SWE Team does</w:t>
      </w:r>
      <w:r>
        <w:rPr>
          <w:szCs w:val="20"/>
        </w:rPr>
        <w:t>,</w:t>
      </w:r>
      <w:r w:rsidRPr="003D41F4">
        <w:rPr>
          <w:szCs w:val="20"/>
        </w:rPr>
        <w:t xml:space="preserve"> however</w:t>
      </w:r>
      <w:r>
        <w:rPr>
          <w:szCs w:val="20"/>
        </w:rPr>
        <w:t>,</w:t>
      </w:r>
      <w:r w:rsidRPr="003D41F4">
        <w:rPr>
          <w:szCs w:val="20"/>
        </w:rPr>
        <w:t xml:space="preserve"> note </w:t>
      </w:r>
      <w:r>
        <w:rPr>
          <w:szCs w:val="20"/>
        </w:rPr>
        <w:t>a few</w:t>
      </w:r>
      <w:r w:rsidRPr="003D41F4">
        <w:rPr>
          <w:szCs w:val="20"/>
        </w:rPr>
        <w:t xml:space="preserve"> small errors in the calculations of reported MWh and MW savings</w:t>
      </w:r>
      <w:r w:rsidRPr="009A5F8F">
        <w:rPr>
          <w:szCs w:val="20"/>
        </w:rPr>
        <w:t xml:space="preserve"> </w:t>
      </w:r>
      <w:r w:rsidRPr="00EC756E">
        <w:rPr>
          <w:szCs w:val="20"/>
        </w:rPr>
        <w:t>for some of the EDCs</w:t>
      </w:r>
      <w:r w:rsidRPr="003D41F4">
        <w:rPr>
          <w:szCs w:val="20"/>
        </w:rPr>
        <w:t xml:space="preserve">. For example, </w:t>
      </w:r>
      <w:r w:rsidRPr="003D41F4">
        <w:t>some EDCs did not use the applicable Pennsylvania TRM values or algorithms when reporting gross verified savings for some energy efficiency measures.</w:t>
      </w:r>
      <w:r w:rsidRPr="003D41F4">
        <w:rPr>
          <w:szCs w:val="20"/>
        </w:rPr>
        <w:t xml:space="preserve"> </w:t>
      </w:r>
      <w:r w:rsidRPr="003D41F4">
        <w:t xml:space="preserve">This report identifies where such errors have been made and makes recommendations on how they should be corrected. </w:t>
      </w:r>
      <w:r w:rsidRPr="003D41F4">
        <w:rPr>
          <w:szCs w:val="20"/>
        </w:rPr>
        <w:t>The SWE Team recommends that any errors in reported</w:t>
      </w:r>
      <w:r>
        <w:rPr>
          <w:szCs w:val="20"/>
        </w:rPr>
        <w:t xml:space="preserve"> PY5, PY6 or</w:t>
      </w:r>
      <w:r w:rsidRPr="003D41F4">
        <w:rPr>
          <w:szCs w:val="20"/>
        </w:rPr>
        <w:t xml:space="preserve"> PY7 verified </w:t>
      </w:r>
      <w:r>
        <w:rPr>
          <w:szCs w:val="20"/>
        </w:rPr>
        <w:t xml:space="preserve">incremental or cumulative annual </w:t>
      </w:r>
      <w:r w:rsidRPr="003D41F4">
        <w:rPr>
          <w:szCs w:val="20"/>
        </w:rPr>
        <w:t xml:space="preserve">MWh or MW savings or reported benefit/cost calculations for an </w:t>
      </w:r>
      <w:r w:rsidRPr="003D41F4">
        <w:t>EDC be corrected</w:t>
      </w:r>
      <w:r w:rsidR="00D51D9D">
        <w:rPr>
          <w:rStyle w:val="FootnoteReference"/>
        </w:rPr>
        <w:footnoteReference w:id="46"/>
      </w:r>
      <w:r w:rsidRPr="003D41F4">
        <w:t xml:space="preserve"> and </w:t>
      </w:r>
      <w:r>
        <w:t xml:space="preserve">that </w:t>
      </w:r>
      <w:r w:rsidRPr="003D41F4">
        <w:t>a revised EDC final Phase II annual report be filed with the Commission by May 31, 2017.</w:t>
      </w:r>
      <w:r w:rsidRPr="003D41F4">
        <w:rPr>
          <w:rStyle w:val="FootnoteReference"/>
        </w:rPr>
        <w:footnoteReference w:id="47"/>
      </w:r>
    </w:p>
    <w:p w:rsidR="00CD1942" w:rsidRPr="00A43D08" w:rsidRDefault="00CD1942" w:rsidP="00E646C9">
      <w:pPr>
        <w:numPr>
          <w:ilvl w:val="0"/>
          <w:numId w:val="44"/>
        </w:numPr>
        <w:spacing w:after="120"/>
        <w:ind w:left="360"/>
        <w:rPr>
          <w:szCs w:val="20"/>
        </w:rPr>
      </w:pPr>
      <w:r w:rsidRPr="00A43D08">
        <w:t>In the SWE’s PY6 report, the SWE</w:t>
      </w:r>
      <w:r w:rsidRPr="00A43D08">
        <w:rPr>
          <w:bCs/>
          <w:lang w:val="x-none"/>
        </w:rPr>
        <w:t xml:space="preserve"> recommended that net-to-gross (NTG) research be conducted for all market segments where an EDC offers Act 129 programs, including the residential low-income sector</w:t>
      </w:r>
      <w:r w:rsidRPr="00A43D08">
        <w:rPr>
          <w:bCs/>
        </w:rPr>
        <w:t>.</w:t>
      </w:r>
      <w:r w:rsidRPr="00A43D08">
        <w:rPr>
          <w:bCs/>
          <w:vertAlign w:val="superscript"/>
        </w:rPr>
        <w:footnoteReference w:id="48"/>
      </w:r>
      <w:r w:rsidRPr="00A43D08">
        <w:rPr>
          <w:bCs/>
        </w:rPr>
        <w:t xml:space="preserve"> During PY7, six of the seven EDCs followed this recommendation. The EDCs </w:t>
      </w:r>
      <w:r>
        <w:rPr>
          <w:bCs/>
        </w:rPr>
        <w:t xml:space="preserve">conducted primary research and found </w:t>
      </w:r>
      <w:r w:rsidRPr="00A43D08">
        <w:rPr>
          <w:bCs/>
        </w:rPr>
        <w:t xml:space="preserve">that the NTG ratios (NTGRs) for their low-income programs ranged from 81% to 90%. This research shows that the NTGR for low-income programs is not 100%. </w:t>
      </w:r>
      <w:r>
        <w:rPr>
          <w:bCs/>
        </w:rPr>
        <w:t xml:space="preserve">An NTGR below 100% indicates that some of the program participants could have completed some of the upgrades on their own. This information is useful for program planning and design to ensure that measures are targeted to customers who cannot install them on their own. </w:t>
      </w:r>
      <w:r w:rsidRPr="00A43D08">
        <w:rPr>
          <w:bCs/>
        </w:rPr>
        <w:t xml:space="preserve">Going forward, the Phase II SWE Team recommends that NTG market research for residential low-income programs be conducted at least once in every Act 129 Phase. The Phase II SWE Team also recommends that the Commission consider setting the default NTGR ratio for Phase III for residential low-income programs </w:t>
      </w:r>
      <w:r>
        <w:rPr>
          <w:bCs/>
        </w:rPr>
        <w:t>at</w:t>
      </w:r>
      <w:r w:rsidRPr="00A43D08">
        <w:rPr>
          <w:bCs/>
        </w:rPr>
        <w:t xml:space="preserve"> 90 percent given the NTGR research results</w:t>
      </w:r>
      <w:r>
        <w:rPr>
          <w:bCs/>
        </w:rPr>
        <w:t xml:space="preserve"> in Phase II.</w:t>
      </w:r>
    </w:p>
    <w:p w:rsidR="00743C18" w:rsidRPr="003678AD" w:rsidRDefault="00743C18" w:rsidP="00E646C9">
      <w:pPr>
        <w:numPr>
          <w:ilvl w:val="0"/>
          <w:numId w:val="44"/>
        </w:numPr>
        <w:spacing w:after="120"/>
        <w:ind w:left="360"/>
        <w:rPr>
          <w:szCs w:val="20"/>
        </w:rPr>
      </w:pPr>
      <w:r w:rsidRPr="003678AD">
        <w:rPr>
          <w:szCs w:val="20"/>
        </w:rPr>
        <w:t xml:space="preserve">The overall TRC test </w:t>
      </w:r>
      <w:r w:rsidRPr="006A5AC1">
        <w:t xml:space="preserve">benefit/cost </w:t>
      </w:r>
      <w:r>
        <w:t>ratio (</w:t>
      </w:r>
      <w:r w:rsidRPr="003678AD">
        <w:rPr>
          <w:szCs w:val="20"/>
        </w:rPr>
        <w:t>B/C ratio</w:t>
      </w:r>
      <w:r>
        <w:rPr>
          <w:szCs w:val="20"/>
        </w:rPr>
        <w:t>)</w:t>
      </w:r>
      <w:r w:rsidRPr="003678AD">
        <w:rPr>
          <w:szCs w:val="20"/>
        </w:rPr>
        <w:t>, as reported by the EDCs and consolidated across each EDC for PY7</w:t>
      </w:r>
      <w:r w:rsidRPr="006814F5">
        <w:rPr>
          <w:szCs w:val="20"/>
        </w:rPr>
        <w:t>, is 1.8. The net present</w:t>
      </w:r>
      <w:r w:rsidRPr="003678AD">
        <w:rPr>
          <w:szCs w:val="20"/>
        </w:rPr>
        <w:t xml:space="preserve"> value (NPV) savings to Pennsylvania ratepayers reported by the EDCs for PY7 </w:t>
      </w:r>
      <w:r w:rsidRPr="00DB46DD">
        <w:rPr>
          <w:szCs w:val="20"/>
        </w:rPr>
        <w:t xml:space="preserve">is </w:t>
      </w:r>
      <w:r w:rsidRPr="00DB46DD">
        <w:rPr>
          <w:bCs/>
          <w:szCs w:val="20"/>
        </w:rPr>
        <w:t>$443 million (</w:t>
      </w:r>
      <w:r w:rsidR="00BD283A">
        <w:rPr>
          <w:bCs/>
          <w:szCs w:val="20"/>
        </w:rPr>
        <w:t>~</w:t>
      </w:r>
      <w:r w:rsidRPr="00DB46DD">
        <w:rPr>
          <w:bCs/>
          <w:szCs w:val="20"/>
        </w:rPr>
        <w:t xml:space="preserve">$1 billion in benefits </w:t>
      </w:r>
      <w:r w:rsidR="00BD283A">
        <w:rPr>
          <w:bCs/>
          <w:szCs w:val="20"/>
        </w:rPr>
        <w:t>minus</w:t>
      </w:r>
      <w:r w:rsidRPr="00DB46DD">
        <w:rPr>
          <w:bCs/>
          <w:szCs w:val="20"/>
        </w:rPr>
        <w:t xml:space="preserve"> </w:t>
      </w:r>
      <w:r w:rsidR="00BD283A">
        <w:rPr>
          <w:bCs/>
          <w:szCs w:val="20"/>
        </w:rPr>
        <w:t>~</w:t>
      </w:r>
      <w:r w:rsidRPr="00DB46DD">
        <w:rPr>
          <w:bCs/>
          <w:szCs w:val="20"/>
        </w:rPr>
        <w:t>$5</w:t>
      </w:r>
      <w:r w:rsidR="00BD283A">
        <w:rPr>
          <w:bCs/>
          <w:szCs w:val="20"/>
        </w:rPr>
        <w:t>60</w:t>
      </w:r>
      <w:r w:rsidRPr="00DB46DD">
        <w:rPr>
          <w:bCs/>
          <w:szCs w:val="20"/>
        </w:rPr>
        <w:t xml:space="preserve"> million</w:t>
      </w:r>
      <w:r w:rsidRPr="003678AD">
        <w:rPr>
          <w:bCs/>
          <w:szCs w:val="20"/>
        </w:rPr>
        <w:t xml:space="preserve"> in costs)</w:t>
      </w:r>
      <w:r w:rsidRPr="003678AD">
        <w:rPr>
          <w:szCs w:val="20"/>
        </w:rPr>
        <w:t>. In those instances, where calculation errors cause</w:t>
      </w:r>
      <w:r>
        <w:rPr>
          <w:szCs w:val="20"/>
        </w:rPr>
        <w:t>d</w:t>
      </w:r>
      <w:r w:rsidRPr="003678AD">
        <w:rPr>
          <w:szCs w:val="20"/>
        </w:rPr>
        <w:t xml:space="preserve"> the </w:t>
      </w:r>
      <w:r>
        <w:rPr>
          <w:szCs w:val="20"/>
        </w:rPr>
        <w:t>NPV</w:t>
      </w:r>
      <w:r w:rsidRPr="003678AD">
        <w:rPr>
          <w:szCs w:val="20"/>
        </w:rPr>
        <w:t xml:space="preserve"> savings for an EDC’s PY7 program portfolio to change by </w:t>
      </w:r>
      <w:r>
        <w:rPr>
          <w:szCs w:val="20"/>
        </w:rPr>
        <w:t>1%</w:t>
      </w:r>
      <w:r w:rsidRPr="003678AD">
        <w:rPr>
          <w:szCs w:val="20"/>
        </w:rPr>
        <w:t xml:space="preserve"> or more, the SWE Team recommends that the EDC cost-effectiveness calculations be corrected and a revised EDC PY7 </w:t>
      </w:r>
      <w:r>
        <w:rPr>
          <w:szCs w:val="20"/>
        </w:rPr>
        <w:t>r</w:t>
      </w:r>
      <w:r w:rsidRPr="003678AD">
        <w:rPr>
          <w:szCs w:val="20"/>
        </w:rPr>
        <w:t>eport be filed with the Commission</w:t>
      </w:r>
      <w:r>
        <w:rPr>
          <w:szCs w:val="20"/>
        </w:rPr>
        <w:t xml:space="preserve"> by May 31, 2017</w:t>
      </w:r>
      <w:r w:rsidRPr="003678AD">
        <w:rPr>
          <w:szCs w:val="20"/>
        </w:rPr>
        <w:t>.</w:t>
      </w:r>
      <w:r w:rsidR="004E75B0">
        <w:rPr>
          <w:rStyle w:val="FootnoteReference"/>
          <w:szCs w:val="20"/>
        </w:rPr>
        <w:footnoteReference w:id="49"/>
      </w:r>
      <w:r w:rsidRPr="003678AD">
        <w:rPr>
          <w:szCs w:val="20"/>
        </w:rPr>
        <w:t xml:space="preserve">  </w:t>
      </w:r>
    </w:p>
    <w:p w:rsidR="00743C18" w:rsidRPr="000E6245" w:rsidRDefault="00743C18" w:rsidP="00E646C9">
      <w:pPr>
        <w:numPr>
          <w:ilvl w:val="0"/>
          <w:numId w:val="44"/>
        </w:numPr>
        <w:tabs>
          <w:tab w:val="left" w:pos="360"/>
        </w:tabs>
        <w:spacing w:after="120"/>
        <w:ind w:left="360"/>
      </w:pPr>
      <w:r w:rsidRPr="00A43D08">
        <w:rPr>
          <w:szCs w:val="20"/>
        </w:rPr>
        <w:t>Based on the SWE Team audit activities conducted from PY5 to PY7, there still is evidence of high free-ridership for several EDC programs. For purposes of this report, the Phase II SWE defines high free-ridership as a rate above 50%. In the residential sector, free-ridership was highest for appliance and HVAC rebate and upstream lighting programs; it varied from moderate to high for appliance recycling; it was lowest for home performance and kit distribution programs. In the non-residential sector, free-ridership was highest in programs targeting small businesses, custom projects, and the GNI sector. When high free-ridership exists, the SWE Team recommends that EDCs should reexamine program design elements to determine whether free-ridership can be reduced in the future. All EDCs should continue to consider actions to reduce free-ridership in Phase III. In the non-residential sector, if any EDCs still allow customers to submit rebate applications after equipment purchase (and do not specify an eligibility time period), they should consider implementing a 90-day rebate eligibility clause for such purchases.</w:t>
      </w:r>
      <w:r w:rsidRPr="00A43D08">
        <w:rPr>
          <w:szCs w:val="20"/>
          <w:vertAlign w:val="superscript"/>
        </w:rPr>
        <w:footnoteReference w:id="50"/>
      </w:r>
    </w:p>
    <w:p w:rsidR="00743C18" w:rsidRPr="000E6245" w:rsidRDefault="00743C18" w:rsidP="00E646C9">
      <w:pPr>
        <w:numPr>
          <w:ilvl w:val="0"/>
          <w:numId w:val="44"/>
        </w:numPr>
        <w:tabs>
          <w:tab w:val="left" w:pos="360"/>
        </w:tabs>
        <w:spacing w:after="120"/>
        <w:ind w:left="360"/>
      </w:pPr>
      <w:r>
        <w:t>EDC p</w:t>
      </w:r>
      <w:r w:rsidRPr="000E6245">
        <w:t>rocess evaluations of home audit programs continued to show opportunities for greater conversion of audit participants to program participants. The SWE Team recommends that EDCs conduct research to track over time the percentage of home energy audits that result in purchases and installations of energy efficiency measures. Then the SWE can develop a comparison of these percentages across EDC audit programs. Having such comparative information across EDCs will help the SWE develop findings, best practices</w:t>
      </w:r>
      <w:r>
        <w:t>,</w:t>
      </w:r>
      <w:r w:rsidRPr="000E6245">
        <w:t xml:space="preserve"> and recommendations on program strategies that lead to the highest conversion rates </w:t>
      </w:r>
      <w:r>
        <w:t>from</w:t>
      </w:r>
      <w:r w:rsidRPr="000E6245">
        <w:t xml:space="preserve"> audit participants to program participants.</w:t>
      </w:r>
    </w:p>
    <w:p w:rsidR="00743C18" w:rsidRDefault="00743C18" w:rsidP="00E646C9">
      <w:pPr>
        <w:numPr>
          <w:ilvl w:val="0"/>
          <w:numId w:val="44"/>
        </w:numPr>
        <w:spacing w:after="120"/>
        <w:ind w:left="360"/>
      </w:pPr>
      <w:r w:rsidRPr="000E6245">
        <w:t>During Phase III, EDC database tracking systems should continue to adjust as necessary to capture sufficient measure detail so that the applicable TRM algorithms can be used to verify reported savings values and assumptions. The SWE Team found some instances in which the PY7 EDC tracking systems lacked the ability to capture these details. The SWE Team’s specific recommendations for each EDC’s data</w:t>
      </w:r>
      <w:r>
        <w:t>-</w:t>
      </w:r>
      <w:r w:rsidRPr="000E6245">
        <w:t>tracking and reporting system are provided in</w:t>
      </w:r>
      <w:r>
        <w:t xml:space="preserve"> Appendix A</w:t>
      </w:r>
      <w:r w:rsidRPr="000E6245">
        <w:t xml:space="preserve"> of this report.</w:t>
      </w:r>
    </w:p>
    <w:p w:rsidR="00743C18" w:rsidRPr="000E6245" w:rsidRDefault="00743C18" w:rsidP="00E646C9">
      <w:pPr>
        <w:numPr>
          <w:ilvl w:val="0"/>
          <w:numId w:val="44"/>
        </w:numPr>
        <w:spacing w:after="120"/>
        <w:ind w:left="360"/>
      </w:pPr>
      <w:r w:rsidRPr="002A0B26">
        <w:t>During Phase II the percentage of participants in EDC residential low income programs receiving either a telephone or on-site inspection varied significantly among EDCs. Going forward, the Phase II SWE Team recommends that the TUS staff and Phase III SWE consider establishing clearer guidelines for the number of telephone and on-site inspections that need to be performed for residential low-income programs. The design of these guidelines will need to take into account differences in EDC low income programs. These guidelines should establish minimum requirements for the number and types of telephone and/or on-site inspections that need to be performed for low-income programs</w:t>
      </w:r>
      <w:r>
        <w:t>.</w:t>
      </w:r>
    </w:p>
    <w:p w:rsidR="00743C18" w:rsidRDefault="00743C18" w:rsidP="00E646C9">
      <w:pPr>
        <w:numPr>
          <w:ilvl w:val="0"/>
          <w:numId w:val="44"/>
        </w:numPr>
        <w:spacing w:after="120"/>
        <w:ind w:left="360"/>
      </w:pPr>
      <w:r w:rsidRPr="00204CD2">
        <w:t>The SWE Team found that 9% of the verified savings in the non-residential sector in PY7 came from residential upstream lighting programs. This is a significant reduction from the 21% reported in PY5</w:t>
      </w:r>
      <w:r w:rsidR="0020632A">
        <w:t>.</w:t>
      </w:r>
      <w:r w:rsidRPr="00204CD2">
        <w:t xml:space="preserve"> </w:t>
      </w:r>
      <w:r w:rsidR="004D77A3">
        <w:t>T</w:t>
      </w:r>
      <w:r w:rsidRPr="00204CD2">
        <w:t xml:space="preserve">he FirstEnergy </w:t>
      </w:r>
      <w:r>
        <w:t>c</w:t>
      </w:r>
      <w:r w:rsidRPr="00204CD2">
        <w:t>ompanies</w:t>
      </w:r>
      <w:r w:rsidR="004D77A3">
        <w:t xml:space="preserve"> already reported low amounts of cross sector savings from sales of high efficiency bulbs through its residential lighting programs. The other four EDCs </w:t>
      </w:r>
      <w:r w:rsidRPr="00204CD2">
        <w:t xml:space="preserve">reported substantial drops in the cross-sector savings associated with these </w:t>
      </w:r>
      <w:r w:rsidRPr="00E83316">
        <w:t>upstream bulb programs</w:t>
      </w:r>
      <w:r w:rsidR="004D77A3">
        <w:t xml:space="preserve"> as compared to levels in PY5</w:t>
      </w:r>
      <w:r w:rsidRPr="00E83316">
        <w:t>. For Duquesne for PY7, the amount verified in this category was actually 0%. For PECO and PPL, the percentages verified were 14% and 1</w:t>
      </w:r>
      <w:r>
        <w:t>2</w:t>
      </w:r>
      <w:r w:rsidRPr="00E83316">
        <w:t>%, respectively</w:t>
      </w:r>
      <w:r>
        <w:t xml:space="preserve">, </w:t>
      </w:r>
      <w:r w:rsidRPr="005B0234">
        <w:t>with those for the FirstEnergy companies ranging from 0.5% for Penn Power to 4.7% for Penelec and West Penn Power. The SWE Team recommends continued cross-sector sales analysis, as the findings show there are important shifts in the MWh and MW savings being reported in this category</w:t>
      </w:r>
      <w:r w:rsidRPr="00204CD2">
        <w:t>.</w:t>
      </w:r>
    </w:p>
    <w:p w:rsidR="00743C18" w:rsidRPr="00204CD2" w:rsidRDefault="00743C18" w:rsidP="00E646C9">
      <w:pPr>
        <w:numPr>
          <w:ilvl w:val="0"/>
          <w:numId w:val="44"/>
        </w:numPr>
        <w:spacing w:after="120"/>
        <w:ind w:left="360"/>
      </w:pPr>
      <w:r w:rsidRPr="00AE505B">
        <w:t xml:space="preserve">For all four EDCs under the FirstEnergy umbrella in Pennsylvania, the SWE found that kWh and kW savings calculations for PY7 for commercial and industrial </w:t>
      </w:r>
      <w:r>
        <w:t>(C/I)</w:t>
      </w:r>
      <w:r w:rsidRPr="00AE505B">
        <w:t xml:space="preserve"> </w:t>
      </w:r>
      <w:r w:rsidR="007C4FB4">
        <w:t xml:space="preserve">lighting </w:t>
      </w:r>
      <w:r w:rsidRPr="00AE505B">
        <w:t>projects were performed using a modified version of the 2015 Pennsylvania TRM Appendix C calculator. Use of the modified calculator makes it much more difficult for the SWE Team to review and verify the kWh and kW savings calculations for these types of energy efficiency projects.  The Phase I</w:t>
      </w:r>
      <w:r>
        <w:t>I</w:t>
      </w:r>
      <w:r w:rsidRPr="00AE505B">
        <w:t xml:space="preserve"> SWE recommends that go</w:t>
      </w:r>
      <w:r>
        <w:t>i</w:t>
      </w:r>
      <w:r w:rsidRPr="00AE505B">
        <w:t>ng forward the original Appendix C calculator be used</w:t>
      </w:r>
      <w:r>
        <w:t>.</w:t>
      </w:r>
    </w:p>
    <w:p w:rsidR="00743C18" w:rsidRPr="00B153B2" w:rsidRDefault="00743C18" w:rsidP="00E646C9">
      <w:pPr>
        <w:numPr>
          <w:ilvl w:val="0"/>
          <w:numId w:val="44"/>
        </w:numPr>
        <w:spacing w:after="120"/>
        <w:ind w:left="360"/>
      </w:pPr>
      <w:r w:rsidRPr="00B153B2">
        <w:t>SWE audit activities revealed that the EDCs that conducted process evaluations generally were consistent with the Phase II Act 129 Evaluation Framework but in some cases could have provided greater detail about methods and findings to support their conclusions.</w:t>
      </w:r>
      <w:r w:rsidRPr="00B153B2">
        <w:rPr>
          <w:iCs/>
        </w:rPr>
        <w:t xml:space="preserve"> The SWE Team </w:t>
      </w:r>
      <w:r>
        <w:rPr>
          <w:iCs/>
        </w:rPr>
        <w:t xml:space="preserve">makes the following </w:t>
      </w:r>
      <w:r w:rsidRPr="00B153B2">
        <w:rPr>
          <w:iCs/>
        </w:rPr>
        <w:t xml:space="preserve">recommendations </w:t>
      </w:r>
      <w:r>
        <w:rPr>
          <w:iCs/>
        </w:rPr>
        <w:t>for</w:t>
      </w:r>
      <w:r w:rsidRPr="00B153B2">
        <w:rPr>
          <w:iCs/>
        </w:rPr>
        <w:t xml:space="preserve"> improving process evaluations in the future: </w:t>
      </w:r>
    </w:p>
    <w:p w:rsidR="00743C18" w:rsidRDefault="00743C18" w:rsidP="00771798">
      <w:pPr>
        <w:numPr>
          <w:ilvl w:val="1"/>
          <w:numId w:val="44"/>
        </w:numPr>
        <w:spacing w:after="50"/>
        <w:ind w:left="720"/>
      </w:pPr>
      <w:r>
        <w:t>EDC process evaluation reports should identify analysis methods, including level of analysis, and types of statistical tests performed.</w:t>
      </w:r>
    </w:p>
    <w:p w:rsidR="00743C18" w:rsidRDefault="00743C18" w:rsidP="00771798">
      <w:pPr>
        <w:numPr>
          <w:ilvl w:val="1"/>
          <w:numId w:val="44"/>
        </w:numPr>
        <w:spacing w:after="50"/>
        <w:ind w:left="720"/>
      </w:pPr>
      <w:r>
        <w:t>When reporting response differences among subgroups, indicate whether the differences were statistically significant, and by what test.</w:t>
      </w:r>
    </w:p>
    <w:p w:rsidR="00743C18" w:rsidRDefault="00743C18" w:rsidP="00771798">
      <w:pPr>
        <w:numPr>
          <w:ilvl w:val="1"/>
          <w:numId w:val="44"/>
        </w:numPr>
        <w:spacing w:after="50"/>
        <w:ind w:left="720"/>
      </w:pPr>
      <w:r>
        <w:t>Provide additional insights, when possible, into causes for programs struggling to meet participation and kWh/yr and kW savings targets.</w:t>
      </w:r>
    </w:p>
    <w:p w:rsidR="00743C18" w:rsidRDefault="00743C18" w:rsidP="00771798">
      <w:pPr>
        <w:numPr>
          <w:ilvl w:val="1"/>
          <w:numId w:val="44"/>
        </w:numPr>
        <w:spacing w:after="50"/>
        <w:ind w:left="720"/>
      </w:pPr>
      <w:r>
        <w:t>Where possible, connect process evaluation recommendations to general conclusions based on multiple findings rather than to single findings.</w:t>
      </w:r>
    </w:p>
    <w:p w:rsidR="00743C18" w:rsidRPr="00B153B2" w:rsidRDefault="00743C18" w:rsidP="009C0DF1">
      <w:pPr>
        <w:numPr>
          <w:ilvl w:val="1"/>
          <w:numId w:val="44"/>
        </w:numPr>
        <w:spacing w:after="60"/>
        <w:ind w:left="720"/>
      </w:pPr>
      <w:r>
        <w:t>Restrict the number of recommended actions identified in each process evaluation recommendation.</w:t>
      </w:r>
    </w:p>
    <w:p w:rsidR="00743C18" w:rsidRPr="00C62389" w:rsidRDefault="00743C18" w:rsidP="00E646C9">
      <w:pPr>
        <w:numPr>
          <w:ilvl w:val="0"/>
          <w:numId w:val="44"/>
        </w:numPr>
        <w:spacing w:after="120"/>
        <w:ind w:left="360"/>
      </w:pPr>
      <w:r w:rsidRPr="00B153B2">
        <w:t xml:space="preserve">The SWE process evaluation audit activities for the PY7 programs found that the evaluation contractors made </w:t>
      </w:r>
      <w:r>
        <w:t>175</w:t>
      </w:r>
      <w:r w:rsidRPr="00B153B2">
        <w:t xml:space="preserve"> Phase II process evaluation recommendations to the EDCs. Of this total,</w:t>
      </w:r>
      <w:r>
        <w:t xml:space="preserve"> the EDCs’ annual reports</w:t>
      </w:r>
      <w:r w:rsidRPr="00B153B2">
        <w:t xml:space="preserve"> </w:t>
      </w:r>
      <w:r>
        <w:t>indicated that 103</w:t>
      </w:r>
      <w:r w:rsidRPr="00B153B2">
        <w:t xml:space="preserve"> </w:t>
      </w:r>
      <w:r>
        <w:t xml:space="preserve">(59%) </w:t>
      </w:r>
      <w:r w:rsidRPr="00B153B2">
        <w:t xml:space="preserve">were implemented </w:t>
      </w:r>
      <w:r>
        <w:t xml:space="preserve">(or accepted for planned implementation) </w:t>
      </w:r>
      <w:r w:rsidRPr="00B153B2">
        <w:t xml:space="preserve">by the EDCs, </w:t>
      </w:r>
      <w:r>
        <w:t>53 (30%)</w:t>
      </w:r>
      <w:r w:rsidRPr="00B153B2">
        <w:t xml:space="preserve"> were still being considered for implementation, and </w:t>
      </w:r>
      <w:r>
        <w:t>19 (11%)</w:t>
      </w:r>
      <w:r w:rsidRPr="00B153B2">
        <w:t xml:space="preserve"> were rejected by the EDCs. Th</w:t>
      </w:r>
      <w:r>
        <w:t xml:space="preserve">e 59% </w:t>
      </w:r>
      <w:r w:rsidRPr="00B153B2">
        <w:t xml:space="preserve">acceptance rate </w:t>
      </w:r>
      <w:r>
        <w:t xml:space="preserve">is considerably higher than that from PY5 (32%) and PY6 (36%). The 11% rejection rate also was higher than that from PY5 and PY6 (2% and 3%, respectively). In the PY6 SWE annual report, the SWE Team noted the high percentage of </w:t>
      </w:r>
      <w:r w:rsidRPr="00A85162">
        <w:t xml:space="preserve">recommendations still under consideration, attributing </w:t>
      </w:r>
      <w:r>
        <w:t xml:space="preserve">it </w:t>
      </w:r>
      <w:r w:rsidRPr="00A85162">
        <w:t>to the short interval between the dates that the evaluation contractors submitted their recommendations to the EDCs and the deadline for submitting the EDC annual reports</w:t>
      </w:r>
      <w:r>
        <w:t>. The SWE</w:t>
      </w:r>
      <w:r w:rsidRPr="00A85162">
        <w:t xml:space="preserve"> recommended that the EDCs establish priorit</w:t>
      </w:r>
      <w:r>
        <w:t>ies</w:t>
      </w:r>
      <w:r w:rsidRPr="00A85162">
        <w:t xml:space="preserve"> for the process evaluation recommendations so that the most important recommendations are resolved quickly.</w:t>
      </w:r>
      <w:r>
        <w:t xml:space="preserve"> Additional information obtained for this Phase II SWE Final Report sheds more light on this issue. The SWE Team observed that in every program year of Phase II, the annual report for one EDC showed that no recommendations were yet accepted. </w:t>
      </w:r>
      <w:r w:rsidR="00BD283A">
        <w:t>C</w:t>
      </w:r>
      <w:r>
        <w:t xml:space="preserve">oncerns about committing resources during a major information technology (IT) implementation that occurred throughout Phase II reportedly prevented the EDC from identifying recommendations as accepted or implemented in time for the annual report. This only partly explains the high overall percentage of recommendations that remained under consideration at the time of the annual reports, however. While that EDC had the highest percentage of Phase II recommendations under consideration, it also had the fewest recommendations to consider. Dropping that EDC out of the analysis had a minimal effect on the overall percentage of recommendations still under consideration. The purpose of having EDCs indicate the status of recommendations in their annual reports is to show whether the evaluation </w:t>
      </w:r>
      <w:r>
        <w:rPr>
          <w:color w:val="000000"/>
        </w:rPr>
        <w:t>contractors</w:t>
      </w:r>
      <w:r w:rsidRPr="00D85274">
        <w:rPr>
          <w:color w:val="000000"/>
        </w:rPr>
        <w:t xml:space="preserve"> </w:t>
      </w:r>
      <w:r>
        <w:t>have provided clear and actionable recommendations and whether the EDCs have given them due consideration. Therefore, the SWE Team recommends that instead of identifying each recommendation as implemented, under consideration, or rejected, the EDCs identify them as implemented, high priority for implementation, medium priority for implementation, low priority for implementation, or rejected.</w:t>
      </w:r>
    </w:p>
    <w:p w:rsidR="00743C18" w:rsidRDefault="00743C18" w:rsidP="00E646C9">
      <w:pPr>
        <w:numPr>
          <w:ilvl w:val="0"/>
          <w:numId w:val="44"/>
        </w:numPr>
        <w:spacing w:after="120"/>
        <w:ind w:left="360"/>
        <w:rPr>
          <w:szCs w:val="20"/>
        </w:rPr>
      </w:pPr>
      <w:r w:rsidRPr="00BE046F">
        <w:rPr>
          <w:szCs w:val="20"/>
        </w:rPr>
        <w:t>The EDC PY5</w:t>
      </w:r>
      <w:r>
        <w:rPr>
          <w:szCs w:val="20"/>
        </w:rPr>
        <w:t>,</w:t>
      </w:r>
      <w:r w:rsidRPr="00BE046F">
        <w:rPr>
          <w:szCs w:val="20"/>
        </w:rPr>
        <w:t xml:space="preserve"> PY6</w:t>
      </w:r>
      <w:r>
        <w:rPr>
          <w:szCs w:val="20"/>
        </w:rPr>
        <w:t>, and PY7</w:t>
      </w:r>
      <w:r w:rsidRPr="00BE046F">
        <w:rPr>
          <w:szCs w:val="20"/>
        </w:rPr>
        <w:t xml:space="preserve"> annual reports to the PUC show different participation rates across EDCs for similar types of programs. The SWE</w:t>
      </w:r>
      <w:r w:rsidRPr="00AE505B">
        <w:rPr>
          <w:szCs w:val="20"/>
        </w:rPr>
        <w:t xml:space="preserve"> </w:t>
      </w:r>
      <w:r w:rsidRPr="004B07FF">
        <w:rPr>
          <w:szCs w:val="20"/>
        </w:rPr>
        <w:t>recommends that the TUS staff</w:t>
      </w:r>
      <w:r w:rsidRPr="00BE046F">
        <w:rPr>
          <w:szCs w:val="20"/>
        </w:rPr>
        <w:t xml:space="preserve"> </w:t>
      </w:r>
      <w:r w:rsidRPr="00CF6FDA">
        <w:rPr>
          <w:szCs w:val="20"/>
        </w:rPr>
        <w:t>and the Phase III SWE conduct a study to examine this issue more thoroughly in order to understand the factors causing these different levels of participation, including whether the EDCs are calculating and reporting participation rates on the same basis. The results of this analysis can be used for two purposes</w:t>
      </w:r>
      <w:r w:rsidRPr="00BE046F">
        <w:rPr>
          <w:szCs w:val="20"/>
        </w:rPr>
        <w:t xml:space="preserve">: </w:t>
      </w:r>
    </w:p>
    <w:p w:rsidR="00743C18" w:rsidRDefault="00771798" w:rsidP="00771798">
      <w:pPr>
        <w:numPr>
          <w:ilvl w:val="1"/>
          <w:numId w:val="44"/>
        </w:numPr>
        <w:spacing w:after="50"/>
        <w:ind w:left="720"/>
        <w:rPr>
          <w:szCs w:val="20"/>
        </w:rPr>
      </w:pPr>
      <w:r>
        <w:rPr>
          <w:szCs w:val="20"/>
        </w:rPr>
        <w:t>T</w:t>
      </w:r>
      <w:r w:rsidR="00743C18" w:rsidRPr="00BE046F">
        <w:rPr>
          <w:szCs w:val="20"/>
        </w:rPr>
        <w:t>o clarify how program participation levels and participation rates should be calculated and reported to the PUC</w:t>
      </w:r>
      <w:r w:rsidR="00743C18">
        <w:rPr>
          <w:szCs w:val="20"/>
        </w:rPr>
        <w:t>;</w:t>
      </w:r>
      <w:r w:rsidR="00743C18" w:rsidRPr="00BE046F">
        <w:rPr>
          <w:szCs w:val="20"/>
        </w:rPr>
        <w:t xml:space="preserve"> and</w:t>
      </w:r>
      <w:r w:rsidR="00743C18">
        <w:rPr>
          <w:szCs w:val="20"/>
        </w:rPr>
        <w:t>,</w:t>
      </w:r>
      <w:r w:rsidR="00743C18" w:rsidRPr="00BE046F">
        <w:rPr>
          <w:szCs w:val="20"/>
        </w:rPr>
        <w:t xml:space="preserve"> </w:t>
      </w:r>
    </w:p>
    <w:p w:rsidR="00743C18" w:rsidRPr="00BE046F" w:rsidRDefault="00771798" w:rsidP="00E646C9">
      <w:pPr>
        <w:numPr>
          <w:ilvl w:val="1"/>
          <w:numId w:val="44"/>
        </w:numPr>
        <w:spacing w:after="120"/>
        <w:ind w:left="720"/>
        <w:rPr>
          <w:szCs w:val="20"/>
        </w:rPr>
      </w:pPr>
      <w:r>
        <w:rPr>
          <w:szCs w:val="20"/>
        </w:rPr>
        <w:t>T</w:t>
      </w:r>
      <w:r w:rsidR="00743C18" w:rsidRPr="00BE046F">
        <w:rPr>
          <w:szCs w:val="20"/>
        </w:rPr>
        <w:t xml:space="preserve">o </w:t>
      </w:r>
      <w:r w:rsidR="00743C18">
        <w:rPr>
          <w:szCs w:val="20"/>
        </w:rPr>
        <w:t>identify</w:t>
      </w:r>
      <w:r w:rsidR="00743C18" w:rsidRPr="00BE046F">
        <w:rPr>
          <w:szCs w:val="20"/>
        </w:rPr>
        <w:t xml:space="preserve"> whether any EDC should consider modifying the design attributes (marketing strategy, delivery channels, incentive levels, education and outreach efforts, etc.) of a program in order to improve program efficiency and effectiveness. Such modifications or enhancements to these aspects of program design are very important when trying </w:t>
      </w:r>
      <w:r w:rsidR="00743C18">
        <w:rPr>
          <w:szCs w:val="20"/>
        </w:rPr>
        <w:t>to improve participation rates.</w:t>
      </w:r>
    </w:p>
    <w:p w:rsidR="00743C18" w:rsidRPr="00BE046F" w:rsidRDefault="00743C18" w:rsidP="00E646C9">
      <w:pPr>
        <w:numPr>
          <w:ilvl w:val="0"/>
          <w:numId w:val="44"/>
        </w:numPr>
        <w:spacing w:after="120"/>
        <w:ind w:left="360"/>
      </w:pPr>
      <w:r w:rsidRPr="00BE046F">
        <w:t xml:space="preserve">Evaluations of home energy audit programs may show opportunities for greater conversion from audits to incented projects, with some evaluations identifying specific market barriers. Conversion of an energy audit participant to a program participant may not occur within the same program year. Going forward, the SWE recommends that EDC </w:t>
      </w:r>
      <w:r>
        <w:rPr>
          <w:color w:val="000000"/>
        </w:rPr>
        <w:t>evaluation contractors</w:t>
      </w:r>
      <w:r w:rsidRPr="00D85274">
        <w:rPr>
          <w:color w:val="000000"/>
        </w:rPr>
        <w:t xml:space="preserve"> </w:t>
      </w:r>
      <w:r w:rsidRPr="00BE046F">
        <w:t xml:space="preserve">should investigate whether customers who had </w:t>
      </w:r>
      <w:r>
        <w:t xml:space="preserve">energy </w:t>
      </w:r>
      <w:r w:rsidRPr="00BE046F">
        <w:t xml:space="preserve">audits in a given program are more likely than customers who did not receive an audit to carry out incented projects in later program years. Currently such data or information </w:t>
      </w:r>
      <w:r w:rsidR="008C64D2">
        <w:t>is</w:t>
      </w:r>
      <w:r w:rsidRPr="00BE046F">
        <w:t xml:space="preserve"> not available for the EDC home energy audit programs. EDCs also should investigate ways to overcome identified barriers and in general increase follow-up outreach to audit participants to encourage conversion.</w:t>
      </w:r>
    </w:p>
    <w:p w:rsidR="00743C18" w:rsidRPr="00BE046F" w:rsidRDefault="00743C18" w:rsidP="00E646C9">
      <w:pPr>
        <w:pStyle w:val="ListParagraph"/>
        <w:numPr>
          <w:ilvl w:val="0"/>
          <w:numId w:val="44"/>
        </w:numPr>
        <w:spacing w:after="120"/>
        <w:ind w:left="360"/>
        <w:contextualSpacing w:val="0"/>
      </w:pPr>
      <w:r w:rsidRPr="00BE046F">
        <w:t xml:space="preserve">The process evaluation of </w:t>
      </w:r>
      <w:r>
        <w:t>PPL’s</w:t>
      </w:r>
      <w:r w:rsidRPr="00BE046F">
        <w:t xml:space="preserve"> residential lighting program</w:t>
      </w:r>
      <w:r>
        <w:t xml:space="preserve"> (that offered only discounted LEDs throughout Phase II) </w:t>
      </w:r>
      <w:r w:rsidRPr="00BE046F">
        <w:t>found that</w:t>
      </w:r>
      <w:r>
        <w:t xml:space="preserve"> </w:t>
      </w:r>
      <w:r w:rsidR="00A86F54">
        <w:t xml:space="preserve">disposal behavior for </w:t>
      </w:r>
      <w:r>
        <w:t>compact fluorescent light (</w:t>
      </w:r>
      <w:r w:rsidRPr="00BE046F">
        <w:t>CFL</w:t>
      </w:r>
      <w:r>
        <w:t>) bulbs</w:t>
      </w:r>
      <w:r w:rsidRPr="00BE046F">
        <w:t xml:space="preserve"> remains relatively unchanged from prior years, with over half of customers disposing of CFLs in the trash, in spite of</w:t>
      </w:r>
      <w:r>
        <w:t xml:space="preserve"> there being</w:t>
      </w:r>
      <w:r w:rsidRPr="00BE046F">
        <w:t xml:space="preserve"> more recycling bins in diverse locations.</w:t>
      </w:r>
      <w:r>
        <w:t xml:space="preserve"> T</w:t>
      </w:r>
      <w:r w:rsidRPr="00BE046F">
        <w:t>he SWE recommends that</w:t>
      </w:r>
      <w:r w:rsidRPr="00101D57">
        <w:t xml:space="preserve"> </w:t>
      </w:r>
      <w:r>
        <w:t>if this is not already addressed by the EDCs, that</w:t>
      </w:r>
      <w:r w:rsidRPr="00BE046F">
        <w:t xml:space="preserve"> the EDCs work together during </w:t>
      </w:r>
      <w:r>
        <w:t>Phase III</w:t>
      </w:r>
      <w:r w:rsidRPr="00BE046F">
        <w:t xml:space="preserve"> to modify the education and outreach portion of residential lighting programs</w:t>
      </w:r>
      <w:r>
        <w:t>,</w:t>
      </w:r>
      <w:r w:rsidRPr="00BE046F">
        <w:t xml:space="preserve"> in order to increase significantly the percentage of customers who dispose of CFLs in recycling bins.</w:t>
      </w:r>
    </w:p>
    <w:p w:rsidR="00743C18" w:rsidRPr="006042F7" w:rsidRDefault="00743C18" w:rsidP="00E646C9">
      <w:pPr>
        <w:pStyle w:val="ListParagraph"/>
        <w:numPr>
          <w:ilvl w:val="0"/>
          <w:numId w:val="44"/>
        </w:numPr>
        <w:spacing w:after="120"/>
        <w:ind w:left="360"/>
        <w:contextualSpacing w:val="0"/>
      </w:pPr>
      <w:r w:rsidRPr="00C2362E">
        <w:t xml:space="preserve">The SWE Team found a few instances where EDCs did not use measure lives listed in the TRM in their calculations of the TRC test. The SWE recommends that the TRM be used as the primary source for measure life values when they are available and listed in the Pennsylvania TRM. In addition, the SWE recommends that errors in the use of measure lives be corrected in each EDC’s final report for Phase II, if these corrections will cause the overall EDC portfolio TRC ratio for PY7 to change by more than plus or minus </w:t>
      </w:r>
      <w:r w:rsidR="00A86F54">
        <w:t>one</w:t>
      </w:r>
      <w:r w:rsidRPr="00C2362E">
        <w:t xml:space="preserve"> percent</w:t>
      </w:r>
      <w:r w:rsidRPr="006042F7">
        <w:t>.</w:t>
      </w:r>
    </w:p>
    <w:p w:rsidR="00743C18" w:rsidRPr="00AE505B" w:rsidRDefault="00743C18" w:rsidP="00E646C9">
      <w:pPr>
        <w:pStyle w:val="ListParagraph"/>
        <w:numPr>
          <w:ilvl w:val="0"/>
          <w:numId w:val="44"/>
        </w:numPr>
        <w:spacing w:after="120"/>
        <w:ind w:left="360"/>
        <w:contextualSpacing w:val="0"/>
      </w:pPr>
      <w:r w:rsidRPr="00F67288">
        <w:t>The SWE Team recommends that EDCs provide additional documentation of the methodology and data used to calculate cross-sector residential lighting and low-income sales. In order to provide more foundation for the calculations of cross-sector sales estimates, the SWE recommends that each EDC should report the sample sizes used for the evaluation research, the distribution of intercept stores (name of store, size of store, etc.), distribution of weekend versus weekday intercept surveys, and time of year the intercept surveys were administered. This information would allow the SWE Team to understand whether there may have been any changes over time in the methodology used by EDCs to estimate cross-sector sales. Changing the methodology over time can affect the research results. The SWE wants to ensure that changes in estimates of such cross-sector sales of lighting products are driven entirely by changes to program design rather than changes in research methods and sampling techniques. Given the upstream residential lighting programs’ significant contribution to each EDC’s portfolio savings, the SWE Team recommends that the EDC evaluation contractors include additional details regarding the research methods in future annual reports as well as a discussion related to differences in parameter estimates. The Phase II SWE also recommends that the Phase III SWE consider developing guidelines or protocols for research methods to be used for determining cross sector sales</w:t>
      </w:r>
      <w:r w:rsidRPr="00AE505B">
        <w:t xml:space="preserve">. </w:t>
      </w:r>
    </w:p>
    <w:p w:rsidR="00743C18" w:rsidRPr="00AE505B" w:rsidRDefault="00743C18" w:rsidP="00E646C9">
      <w:pPr>
        <w:pStyle w:val="bullettext"/>
        <w:numPr>
          <w:ilvl w:val="0"/>
          <w:numId w:val="44"/>
        </w:numPr>
        <w:ind w:left="360"/>
      </w:pPr>
      <w:r w:rsidRPr="00AE505B">
        <w:t>The SWE recommends that thorough auditing of program applications for C/I measures be continued by EDCs, to ensure clarity of the project files for the subsequent SWE review.</w:t>
      </w:r>
    </w:p>
    <w:p w:rsidR="00743C18" w:rsidRPr="00AE505B" w:rsidRDefault="00743C18" w:rsidP="00E646C9">
      <w:pPr>
        <w:pStyle w:val="ListParagraph"/>
        <w:numPr>
          <w:ilvl w:val="0"/>
          <w:numId w:val="44"/>
        </w:numPr>
        <w:spacing w:after="120"/>
        <w:ind w:left="360"/>
        <w:contextualSpacing w:val="0"/>
      </w:pPr>
      <w:r w:rsidRPr="00AE505B">
        <w:t xml:space="preserve">The SWE Team found that all EDCs either used the approved common NTG research methods or used them with acceptable modifications. Some EDCs also used other acceptable methods where the SWE Team did not establish a common method. The SWE Team continues to recommend that, where applicable, the EDC </w:t>
      </w:r>
      <w:r w:rsidRPr="00AE505B">
        <w:rPr>
          <w:color w:val="000000"/>
        </w:rPr>
        <w:t>evaluation contractor</w:t>
      </w:r>
      <w:r>
        <w:rPr>
          <w:color w:val="000000"/>
        </w:rPr>
        <w:t>’s</w:t>
      </w:r>
      <w:r w:rsidRPr="00AE505B">
        <w:rPr>
          <w:color w:val="000000"/>
        </w:rPr>
        <w:t xml:space="preserve"> </w:t>
      </w:r>
      <w:r w:rsidRPr="00AE505B">
        <w:t>report explicitly state how a given survey instrument differs from the common NTG method approved by the SWE and TUS, and why the EDC survey instrument, if different than the common method, would not produce a systematically different result from the result that would be achieved if the common method were used.</w:t>
      </w:r>
    </w:p>
    <w:p w:rsidR="00D40FF6" w:rsidRDefault="00D40FF6" w:rsidP="00004534">
      <w:r>
        <w:br w:type="page"/>
      </w:r>
    </w:p>
    <w:p w:rsidR="00450725" w:rsidRPr="009C0DF1" w:rsidRDefault="0054148B" w:rsidP="00771798">
      <w:pPr>
        <w:pStyle w:val="Heading1"/>
        <w:numPr>
          <w:ilvl w:val="0"/>
          <w:numId w:val="0"/>
        </w:numPr>
      </w:pPr>
      <w:bookmarkStart w:id="493" w:name="_Ref472437683"/>
      <w:bookmarkStart w:id="494" w:name="_Toc472472146"/>
      <w:bookmarkStart w:id="495" w:name="_Toc488765839"/>
      <w:bookmarkStart w:id="496" w:name="_Toc405557129"/>
      <w:bookmarkEnd w:id="56"/>
      <w:bookmarkEnd w:id="57"/>
      <w:bookmarkEnd w:id="58"/>
      <w:r w:rsidRPr="009C0DF1">
        <w:rPr>
          <w:rStyle w:val="Heading1Char"/>
          <w:rFonts w:ascii="Broadway" w:hAnsi="Broadway"/>
          <w:caps/>
          <w:sz w:val="32"/>
          <w:shd w:val="clear" w:color="auto" w:fill="auto"/>
        </w:rPr>
        <w:t>Appendix A</w:t>
      </w:r>
      <w:r w:rsidR="009C0DF1">
        <w:t xml:space="preserve"> </w:t>
      </w:r>
      <w:r w:rsidR="00450725" w:rsidRPr="009C0DF1">
        <w:t xml:space="preserve"> </w:t>
      </w:r>
      <w:r w:rsidR="009C0DF1">
        <w:t xml:space="preserve">Program Year </w:t>
      </w:r>
      <w:r w:rsidR="00450725" w:rsidRPr="009C0DF1">
        <w:t xml:space="preserve">7 Audit Activities </w:t>
      </w:r>
      <w:r w:rsidR="009C0DF1">
        <w:t xml:space="preserve">&amp; </w:t>
      </w:r>
      <w:r w:rsidR="00450725" w:rsidRPr="009C0DF1">
        <w:t>Findings</w:t>
      </w:r>
      <w:bookmarkEnd w:id="493"/>
      <w:bookmarkEnd w:id="494"/>
      <w:bookmarkEnd w:id="495"/>
    </w:p>
    <w:p w:rsidR="00F20B3A" w:rsidRDefault="00F20B3A" w:rsidP="00F20B3A">
      <w:r>
        <w:t xml:space="preserve">Appendix A provides the PY7 audit activities and findings for each EDC. </w:t>
      </w:r>
    </w:p>
    <w:p w:rsidR="0009063A" w:rsidRDefault="0009063A" w:rsidP="00F20B3A"/>
    <w:p w:rsidR="00CA4CB7" w:rsidRPr="009C0DF1" w:rsidRDefault="00950837" w:rsidP="00353645">
      <w:pPr>
        <w:pStyle w:val="AppendixAHeading1"/>
      </w:pPr>
      <w:r w:rsidRPr="009C0DF1">
        <w:t>Duquesne</w:t>
      </w:r>
      <w:r w:rsidR="00D54D62" w:rsidRPr="009C0DF1">
        <w:t xml:space="preserve"> Light</w:t>
      </w:r>
    </w:p>
    <w:p w:rsidR="00735BA9" w:rsidRDefault="00735BA9" w:rsidP="00735BA9">
      <w:r w:rsidRPr="00735BA9">
        <w:t xml:space="preserve">This </w:t>
      </w:r>
      <w:r>
        <w:t>section</w:t>
      </w:r>
      <w:r w:rsidRPr="00735BA9">
        <w:t xml:space="preserve"> summarizes Duquesne’s program performance </w:t>
      </w:r>
      <w:r>
        <w:t>through PY7</w:t>
      </w:r>
      <w:r w:rsidRPr="00735BA9">
        <w:t>. It includes an overview of the cumulative energy savings and demand reductions achieved by Duquesne’s Act 129 EE&amp;C programs in Phase II; an overview of the TRC test results for each program and for the portfolio of programs; a discussion of the activities completed by Duquesne’s evaluation contractor to conduct M&amp;V of Duquesne’s EE&amp;C programs and to calculate the cost-effectiveness of the portfolio of programs; a description of the work and findings of the SWE Team audits; and the SWE Team’s recommendations of actions to help improve Duquesne’s programs in the future</w:t>
      </w:r>
      <w:r>
        <w:t>.</w:t>
      </w:r>
    </w:p>
    <w:p w:rsidR="005253C9" w:rsidRDefault="005253C9" w:rsidP="00735BA9"/>
    <w:p w:rsidR="00950837" w:rsidRPr="009C0DF1" w:rsidRDefault="00950837" w:rsidP="000D3563">
      <w:pPr>
        <w:pStyle w:val="AppendixAHeading2"/>
      </w:pPr>
      <w:r w:rsidRPr="009C0DF1">
        <w:t>Summary of Energy and Demand Reductions</w:t>
      </w:r>
      <w:r w:rsidR="0061651B" w:rsidRPr="009C0DF1">
        <w:tab/>
      </w:r>
    </w:p>
    <w:p w:rsidR="009B3C51" w:rsidRDefault="009B3C51" w:rsidP="009B3C51">
      <w:r>
        <w:t>This section lists the</w:t>
      </w:r>
      <w:r w:rsidR="00D54D62">
        <w:t xml:space="preserve"> programs that</w:t>
      </w:r>
      <w:r>
        <w:t xml:space="preserve"> provided energy savings in PY7 and includes the energy and demand savings contributed by each program offered during Phase II. The sector-level verified gross and net energy savings achieved in PY7 are also provided. </w:t>
      </w:r>
    </w:p>
    <w:p w:rsidR="009B3C51" w:rsidRPr="009B3C51" w:rsidRDefault="009B3C51" w:rsidP="009B3C51"/>
    <w:p w:rsidR="00950837" w:rsidRPr="009C0DF1" w:rsidRDefault="00950837" w:rsidP="009C0DF1">
      <w:pPr>
        <w:pStyle w:val="AppendixAHeading3"/>
      </w:pPr>
      <w:r w:rsidRPr="009C0DF1">
        <w:t>Phase II Savings by Program</w:t>
      </w:r>
    </w:p>
    <w:p w:rsidR="00E41D9C" w:rsidRDefault="00D34B3E" w:rsidP="004B480A">
      <w:r>
        <w:fldChar w:fldCharType="begin"/>
      </w:r>
      <w:r>
        <w:instrText xml:space="preserve"> REF _Ref472434525 \h </w:instrText>
      </w:r>
      <w:r>
        <w:fldChar w:fldCharType="separate"/>
      </w:r>
      <w:r w:rsidR="00037CB4">
        <w:t>Table A-</w:t>
      </w:r>
      <w:r w:rsidR="00037CB4">
        <w:rPr>
          <w:noProof/>
        </w:rPr>
        <w:t>1</w:t>
      </w:r>
      <w:r>
        <w:fldChar w:fldCharType="end"/>
      </w:r>
      <w:r w:rsidR="004B480A">
        <w:t xml:space="preserve"> </w:t>
      </w:r>
      <w:r w:rsidR="004B480A" w:rsidRPr="004B480A">
        <w:t>lists</w:t>
      </w:r>
      <w:r w:rsidR="004B480A">
        <w:t xml:space="preserve"> the</w:t>
      </w:r>
      <w:r w:rsidR="004B480A" w:rsidRPr="004B480A">
        <w:t xml:space="preserve"> </w:t>
      </w:r>
      <w:r w:rsidR="004B480A">
        <w:t>Duquesne</w:t>
      </w:r>
      <w:r w:rsidR="004B480A" w:rsidRPr="004B480A">
        <w:t xml:space="preserve"> EE&amp;C programs</w:t>
      </w:r>
      <w:r w:rsidR="004B480A">
        <w:t xml:space="preserve"> that yielded reported savings in PY7.</w:t>
      </w:r>
      <w:r w:rsidR="005564DE">
        <w:t xml:space="preserve"> </w:t>
      </w:r>
      <w:r w:rsidR="005564DE">
        <w:fldChar w:fldCharType="begin"/>
      </w:r>
      <w:r w:rsidR="005564DE">
        <w:instrText xml:space="preserve"> REF _Ref473202158 \h </w:instrText>
      </w:r>
      <w:r w:rsidR="005564DE">
        <w:fldChar w:fldCharType="separate"/>
      </w:r>
      <w:r w:rsidR="00037CB4">
        <w:t>Table A-</w:t>
      </w:r>
      <w:r w:rsidR="00037CB4">
        <w:rPr>
          <w:noProof/>
        </w:rPr>
        <w:t>2</w:t>
      </w:r>
      <w:r w:rsidR="005564DE">
        <w:fldChar w:fldCharType="end"/>
      </w:r>
      <w:r w:rsidR="004B480A">
        <w:t xml:space="preserve"> shows the verified gross energy and demand savings of each program at the conclusion of Phase II. The upstream lighting program was the largest contributor of both energy and demand savings.</w:t>
      </w:r>
      <w:r w:rsidR="00D900B5">
        <w:t xml:space="preserve"> </w:t>
      </w:r>
    </w:p>
    <w:p w:rsidR="00D900B5" w:rsidRDefault="00D900B5" w:rsidP="004B480A"/>
    <w:p w:rsidR="00E41D9C" w:rsidRDefault="00D34B3E" w:rsidP="004837FA">
      <w:pPr>
        <w:pStyle w:val="Caption"/>
      </w:pPr>
      <w:bookmarkStart w:id="497" w:name="_Ref472434525"/>
      <w:bookmarkStart w:id="498" w:name="_Toc472472410"/>
      <w:bookmarkStart w:id="499" w:name="_Toc488741829"/>
      <w:r>
        <w:t>Table A-</w:t>
      </w:r>
      <w:r w:rsidR="007973A4">
        <w:fldChar w:fldCharType="begin"/>
      </w:r>
      <w:r w:rsidR="007973A4">
        <w:instrText xml:space="preserve"> SEQ Table_A- \* ARABIC </w:instrText>
      </w:r>
      <w:r w:rsidR="007973A4">
        <w:fldChar w:fldCharType="separate"/>
      </w:r>
      <w:r w:rsidR="00037CB4">
        <w:rPr>
          <w:noProof/>
        </w:rPr>
        <w:t>1</w:t>
      </w:r>
      <w:r w:rsidR="007973A4">
        <w:rPr>
          <w:noProof/>
        </w:rPr>
        <w:fldChar w:fldCharType="end"/>
      </w:r>
      <w:bookmarkEnd w:id="497"/>
      <w:r w:rsidR="00E41D9C" w:rsidRPr="00E41D9C">
        <w:t>: Duquesne EE&amp;C Programs wi</w:t>
      </w:r>
      <w:r w:rsidR="00E41D9C">
        <w:t>th Reported Gross Savings in PY7</w:t>
      </w:r>
      <w:bookmarkEnd w:id="498"/>
      <w:bookmarkEnd w:id="499"/>
    </w:p>
    <w:tbl>
      <w:tblPr>
        <w:tblW w:w="9350" w:type="dxa"/>
        <w:tblInd w:w="-10" w:type="dxa"/>
        <w:tblLook w:val="04A0" w:firstRow="1" w:lastRow="0" w:firstColumn="1" w:lastColumn="0" w:noHBand="0" w:noVBand="1"/>
      </w:tblPr>
      <w:tblGrid>
        <w:gridCol w:w="4660"/>
        <w:gridCol w:w="4690"/>
      </w:tblGrid>
      <w:tr w:rsidR="00E7173E" w:rsidRPr="009C0DF1" w:rsidTr="009C0DF1">
        <w:trPr>
          <w:trHeight w:val="144"/>
          <w:tblHeader/>
        </w:trPr>
        <w:tc>
          <w:tcPr>
            <w:tcW w:w="466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EB11FA" w:rsidRPr="009C0DF1" w:rsidRDefault="00EB11FA" w:rsidP="0009063A">
            <w:pPr>
              <w:rPr>
                <w:b/>
                <w:bCs/>
                <w:color w:val="FFFFFF"/>
                <w:sz w:val="19"/>
                <w:szCs w:val="19"/>
              </w:rPr>
            </w:pPr>
            <w:r w:rsidRPr="009C0DF1">
              <w:rPr>
                <w:b/>
                <w:bCs/>
                <w:color w:val="FFFFFF"/>
                <w:sz w:val="19"/>
                <w:szCs w:val="19"/>
              </w:rPr>
              <w:t>Programs Reporting PY7 Gross Savings</w:t>
            </w:r>
          </w:p>
        </w:tc>
        <w:tc>
          <w:tcPr>
            <w:tcW w:w="4690"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9C0DF1" w:rsidRDefault="00EB11FA" w:rsidP="0009063A">
            <w:pPr>
              <w:jc w:val="center"/>
              <w:rPr>
                <w:b/>
                <w:bCs/>
                <w:color w:val="FFFFFF"/>
                <w:sz w:val="19"/>
                <w:szCs w:val="19"/>
              </w:rPr>
            </w:pPr>
            <w:r w:rsidRPr="009C0DF1">
              <w:rPr>
                <w:b/>
                <w:bCs/>
                <w:color w:val="FFFFFF"/>
                <w:sz w:val="19"/>
                <w:szCs w:val="19"/>
              </w:rPr>
              <w:t>Sector(s)</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rPr>
                <w:color w:val="000000"/>
                <w:sz w:val="19"/>
                <w:szCs w:val="19"/>
              </w:rPr>
            </w:pPr>
            <w:r w:rsidRPr="009C0DF1">
              <w:rPr>
                <w:color w:val="000000"/>
                <w:sz w:val="19"/>
                <w:szCs w:val="19"/>
              </w:rPr>
              <w:t>Residential: EE Program (REEP):  Rebate Program</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09063A">
            <w:pPr>
              <w:jc w:val="center"/>
              <w:rPr>
                <w:color w:val="000000"/>
                <w:sz w:val="19"/>
                <w:szCs w:val="19"/>
              </w:rPr>
            </w:pPr>
            <w:r w:rsidRPr="009C0DF1">
              <w:rPr>
                <w:color w:val="000000"/>
                <w:sz w:val="19"/>
                <w:szCs w:val="19"/>
              </w:rPr>
              <w:t>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rPr>
                <w:color w:val="000000"/>
                <w:sz w:val="19"/>
                <w:szCs w:val="19"/>
              </w:rPr>
            </w:pPr>
            <w:r w:rsidRPr="009C0DF1">
              <w:rPr>
                <w:color w:val="000000"/>
                <w:sz w:val="19"/>
                <w:szCs w:val="19"/>
              </w:rPr>
              <w:t>Residential: EE Program (Upstream Lighting)</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09063A">
            <w:pPr>
              <w:jc w:val="center"/>
              <w:rPr>
                <w:color w:val="000000"/>
                <w:sz w:val="19"/>
                <w:szCs w:val="19"/>
              </w:rPr>
            </w:pPr>
            <w:r w:rsidRPr="009C0DF1">
              <w:rPr>
                <w:color w:val="000000"/>
                <w:sz w:val="19"/>
                <w:szCs w:val="19"/>
              </w:rPr>
              <w:t>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rPr>
                <w:color w:val="000000"/>
                <w:sz w:val="19"/>
                <w:szCs w:val="19"/>
              </w:rPr>
            </w:pPr>
            <w:r w:rsidRPr="009C0DF1">
              <w:rPr>
                <w:color w:val="000000"/>
                <w:sz w:val="19"/>
                <w:szCs w:val="19"/>
              </w:rPr>
              <w:t>Residential: School Energy Pledge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09063A">
            <w:pPr>
              <w:jc w:val="center"/>
              <w:rPr>
                <w:color w:val="000000"/>
                <w:sz w:val="19"/>
                <w:szCs w:val="19"/>
              </w:rPr>
            </w:pPr>
            <w:r w:rsidRPr="009C0DF1">
              <w:rPr>
                <w:color w:val="000000"/>
                <w:sz w:val="19"/>
                <w:szCs w:val="19"/>
              </w:rPr>
              <w:t>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rPr>
                <w:color w:val="000000"/>
                <w:sz w:val="19"/>
                <w:szCs w:val="19"/>
              </w:rPr>
            </w:pPr>
            <w:r w:rsidRPr="009C0DF1">
              <w:rPr>
                <w:color w:val="000000"/>
                <w:sz w:val="19"/>
                <w:szCs w:val="19"/>
              </w:rPr>
              <w:t>Residential: Appliance Recycling</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09063A">
            <w:pPr>
              <w:jc w:val="center"/>
              <w:rPr>
                <w:color w:val="000000"/>
                <w:sz w:val="19"/>
                <w:szCs w:val="19"/>
              </w:rPr>
            </w:pPr>
            <w:r w:rsidRPr="009C0DF1">
              <w:rPr>
                <w:color w:val="000000"/>
                <w:sz w:val="19"/>
                <w:szCs w:val="19"/>
              </w:rPr>
              <w:t>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rPr>
                <w:color w:val="000000"/>
                <w:sz w:val="19"/>
                <w:szCs w:val="19"/>
              </w:rPr>
            </w:pPr>
            <w:r w:rsidRPr="009C0DF1">
              <w:rPr>
                <w:color w:val="000000"/>
                <w:sz w:val="19"/>
                <w:szCs w:val="19"/>
              </w:rPr>
              <w:t>Residential:  Whole House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09063A">
            <w:pPr>
              <w:jc w:val="center"/>
              <w:rPr>
                <w:color w:val="000000"/>
                <w:sz w:val="19"/>
                <w:szCs w:val="19"/>
              </w:rPr>
            </w:pPr>
            <w:r w:rsidRPr="009C0DF1">
              <w:rPr>
                <w:color w:val="000000"/>
                <w:sz w:val="19"/>
                <w:szCs w:val="19"/>
              </w:rPr>
              <w:t>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rPr>
                <w:color w:val="000000"/>
                <w:sz w:val="19"/>
                <w:szCs w:val="19"/>
              </w:rPr>
            </w:pPr>
            <w:r w:rsidRPr="009C0DF1">
              <w:rPr>
                <w:color w:val="000000"/>
                <w:sz w:val="19"/>
                <w:szCs w:val="19"/>
              </w:rPr>
              <w:t>Residential: Low-Income EE</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09063A">
            <w:pPr>
              <w:jc w:val="center"/>
              <w:rPr>
                <w:color w:val="000000"/>
                <w:sz w:val="19"/>
                <w:szCs w:val="19"/>
              </w:rPr>
            </w:pPr>
            <w:r w:rsidRPr="009C0DF1">
              <w:rPr>
                <w:color w:val="000000"/>
                <w:sz w:val="19"/>
                <w:szCs w:val="19"/>
              </w:rPr>
              <w:t>Low-Income</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rPr>
                <w:color w:val="000000"/>
                <w:sz w:val="19"/>
                <w:szCs w:val="19"/>
              </w:rPr>
            </w:pPr>
            <w:r w:rsidRPr="009C0DF1">
              <w:rPr>
                <w:color w:val="000000"/>
                <w:sz w:val="19"/>
                <w:szCs w:val="19"/>
              </w:rPr>
              <w:t>Residential: Low-Income EE (Upstream Lighting)</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09063A">
            <w:pPr>
              <w:jc w:val="center"/>
              <w:rPr>
                <w:color w:val="000000"/>
                <w:sz w:val="19"/>
                <w:szCs w:val="19"/>
              </w:rPr>
            </w:pPr>
            <w:r w:rsidRPr="009C0DF1">
              <w:rPr>
                <w:color w:val="000000"/>
                <w:sz w:val="19"/>
                <w:szCs w:val="19"/>
              </w:rPr>
              <w:t>Low-Income</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rPr>
                <w:color w:val="000000"/>
                <w:sz w:val="19"/>
                <w:szCs w:val="19"/>
              </w:rPr>
            </w:pPr>
            <w:r w:rsidRPr="009C0DF1">
              <w:rPr>
                <w:color w:val="000000"/>
                <w:sz w:val="19"/>
                <w:szCs w:val="19"/>
              </w:rPr>
              <w:t>Residential: Low-Income EE (Home Energy Report)</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09063A">
            <w:pPr>
              <w:jc w:val="center"/>
              <w:rPr>
                <w:color w:val="000000"/>
                <w:sz w:val="19"/>
                <w:szCs w:val="19"/>
              </w:rPr>
            </w:pPr>
            <w:r w:rsidRPr="009C0DF1">
              <w:rPr>
                <w:color w:val="000000"/>
                <w:sz w:val="19"/>
                <w:szCs w:val="19"/>
              </w:rPr>
              <w:t>Low-Income</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rPr>
                <w:color w:val="000000"/>
                <w:sz w:val="19"/>
                <w:szCs w:val="19"/>
              </w:rPr>
            </w:pPr>
            <w:r w:rsidRPr="009C0DF1">
              <w:rPr>
                <w:color w:val="000000"/>
                <w:sz w:val="19"/>
                <w:szCs w:val="19"/>
              </w:rPr>
              <w:t>Commercial Sector Umbrella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rPr>
                <w:color w:val="000000"/>
                <w:sz w:val="19"/>
                <w:szCs w:val="19"/>
              </w:rPr>
            </w:pPr>
            <w:r w:rsidRPr="009C0DF1">
              <w:rPr>
                <w:color w:val="000000"/>
                <w:sz w:val="19"/>
                <w:szCs w:val="19"/>
              </w:rPr>
              <w:t>Healthcare EE</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rPr>
                <w:color w:val="000000"/>
                <w:sz w:val="19"/>
                <w:szCs w:val="19"/>
              </w:rPr>
            </w:pPr>
            <w:r w:rsidRPr="009C0DF1">
              <w:rPr>
                <w:color w:val="000000"/>
                <w:sz w:val="19"/>
                <w:szCs w:val="19"/>
              </w:rPr>
              <w:t>Industrial Sector Umbrella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rPr>
                <w:color w:val="000000"/>
                <w:sz w:val="19"/>
                <w:szCs w:val="19"/>
              </w:rPr>
            </w:pPr>
            <w:r w:rsidRPr="009C0DF1">
              <w:rPr>
                <w:color w:val="000000"/>
                <w:sz w:val="19"/>
                <w:szCs w:val="19"/>
              </w:rPr>
              <w:t>Chemical Products EE</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rPr>
                <w:color w:val="000000"/>
                <w:sz w:val="19"/>
                <w:szCs w:val="19"/>
              </w:rPr>
            </w:pPr>
            <w:r w:rsidRPr="009C0DF1">
              <w:rPr>
                <w:color w:val="000000"/>
                <w:sz w:val="19"/>
                <w:szCs w:val="19"/>
              </w:rPr>
              <w:t>Mixed Industrial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rPr>
                <w:color w:val="000000"/>
                <w:sz w:val="19"/>
                <w:szCs w:val="19"/>
              </w:rPr>
            </w:pPr>
            <w:r w:rsidRPr="009C0DF1">
              <w:rPr>
                <w:color w:val="000000"/>
                <w:sz w:val="19"/>
                <w:szCs w:val="19"/>
              </w:rPr>
              <w:t>Office Building - Large EE</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rPr>
                <w:color w:val="000000"/>
                <w:sz w:val="19"/>
                <w:szCs w:val="19"/>
              </w:rPr>
            </w:pPr>
            <w:r w:rsidRPr="009C0DF1">
              <w:rPr>
                <w:color w:val="000000"/>
                <w:sz w:val="19"/>
                <w:szCs w:val="19"/>
              </w:rPr>
              <w:t>Primary Metals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rPr>
                <w:color w:val="000000"/>
                <w:sz w:val="19"/>
                <w:szCs w:val="19"/>
              </w:rPr>
            </w:pPr>
            <w:r w:rsidRPr="009C0DF1">
              <w:rPr>
                <w:color w:val="000000"/>
                <w:sz w:val="19"/>
                <w:szCs w:val="19"/>
              </w:rPr>
              <w:t>Public Agency / Non-Profit</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rPr>
                <w:color w:val="000000"/>
                <w:sz w:val="19"/>
                <w:szCs w:val="19"/>
              </w:rPr>
            </w:pPr>
            <w:r w:rsidRPr="009C0DF1">
              <w:rPr>
                <w:color w:val="000000"/>
                <w:sz w:val="19"/>
                <w:szCs w:val="19"/>
              </w:rPr>
              <w:t>Retail Stores - Small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rPr>
                <w:color w:val="000000"/>
                <w:sz w:val="19"/>
                <w:szCs w:val="19"/>
              </w:rPr>
            </w:pPr>
            <w:r w:rsidRPr="009C0DF1">
              <w:rPr>
                <w:color w:val="000000"/>
                <w:sz w:val="19"/>
                <w:szCs w:val="19"/>
              </w:rPr>
              <w:t>Multifamily Housing Retrofit</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r w:rsidR="00E7173E" w:rsidRPr="009C0DF1" w:rsidTr="009C0DF1">
        <w:trPr>
          <w:trHeight w:val="288"/>
        </w:trPr>
        <w:tc>
          <w:tcPr>
            <w:tcW w:w="4660" w:type="dxa"/>
            <w:tcBorders>
              <w:top w:val="nil"/>
              <w:left w:val="single" w:sz="8" w:space="0" w:color="448A99"/>
              <w:bottom w:val="single" w:sz="8" w:space="0" w:color="448A99"/>
              <w:right w:val="single" w:sz="8" w:space="0" w:color="448A99"/>
            </w:tcBorders>
            <w:shd w:val="clear" w:color="000000" w:fill="FFFFFF"/>
            <w:vAlign w:val="center"/>
            <w:hideMark/>
          </w:tcPr>
          <w:p w:rsidR="00EB11FA" w:rsidRPr="009C0DF1" w:rsidRDefault="00EB11FA" w:rsidP="00EB11FA">
            <w:pPr>
              <w:rPr>
                <w:color w:val="000000"/>
                <w:sz w:val="19"/>
                <w:szCs w:val="19"/>
              </w:rPr>
            </w:pPr>
            <w:r w:rsidRPr="009C0DF1">
              <w:rPr>
                <w:color w:val="000000"/>
                <w:sz w:val="19"/>
                <w:szCs w:val="19"/>
              </w:rPr>
              <w:t>Small Commercial Direct Install</w:t>
            </w:r>
          </w:p>
        </w:tc>
        <w:tc>
          <w:tcPr>
            <w:tcW w:w="4690" w:type="dxa"/>
            <w:tcBorders>
              <w:top w:val="nil"/>
              <w:left w:val="nil"/>
              <w:bottom w:val="single" w:sz="8" w:space="0" w:color="448A99"/>
              <w:right w:val="single" w:sz="8" w:space="0" w:color="448A99"/>
            </w:tcBorders>
            <w:shd w:val="clear" w:color="000000" w:fill="FFFFFF"/>
            <w:vAlign w:val="center"/>
            <w:hideMark/>
          </w:tcPr>
          <w:p w:rsidR="00EB11FA" w:rsidRPr="009C0DF1" w:rsidRDefault="00EB11FA" w:rsidP="0009063A">
            <w:pPr>
              <w:jc w:val="center"/>
              <w:rPr>
                <w:color w:val="000000"/>
                <w:sz w:val="19"/>
                <w:szCs w:val="19"/>
              </w:rPr>
            </w:pPr>
            <w:r w:rsidRPr="009C0DF1">
              <w:rPr>
                <w:color w:val="000000"/>
                <w:sz w:val="19"/>
                <w:szCs w:val="19"/>
              </w:rPr>
              <w:t>Non-Residential</w:t>
            </w:r>
          </w:p>
        </w:tc>
      </w:tr>
    </w:tbl>
    <w:p w:rsidR="005A1DB5" w:rsidRDefault="00D34B3E" w:rsidP="004837FA">
      <w:pPr>
        <w:pStyle w:val="Caption"/>
      </w:pPr>
      <w:bookmarkStart w:id="500" w:name="_Ref473202158"/>
      <w:bookmarkStart w:id="501" w:name="_Toc472472411"/>
      <w:bookmarkStart w:id="502" w:name="_Toc488741830"/>
      <w:r>
        <w:t>Table A-</w:t>
      </w:r>
      <w:r w:rsidR="007973A4">
        <w:fldChar w:fldCharType="begin"/>
      </w:r>
      <w:r w:rsidR="007973A4">
        <w:instrText xml:space="preserve"> SEQ Table_A- \* ARABIC </w:instrText>
      </w:r>
      <w:r w:rsidR="007973A4">
        <w:fldChar w:fldCharType="separate"/>
      </w:r>
      <w:r w:rsidR="00037CB4">
        <w:rPr>
          <w:noProof/>
        </w:rPr>
        <w:t>2</w:t>
      </w:r>
      <w:r w:rsidR="007973A4">
        <w:rPr>
          <w:noProof/>
        </w:rPr>
        <w:fldChar w:fldCharType="end"/>
      </w:r>
      <w:bookmarkEnd w:id="500"/>
      <w:r w:rsidR="005A1DB5" w:rsidRPr="00E41D9C">
        <w:t xml:space="preserve">: </w:t>
      </w:r>
      <w:r w:rsidR="005A1DB5" w:rsidRPr="005A1DB5">
        <w:t>Summary of Duquesne EE&amp;C Program Impacts on Verified Gross Portfolio Savings</w:t>
      </w:r>
      <w:bookmarkEnd w:id="501"/>
      <w:bookmarkEnd w:id="502"/>
    </w:p>
    <w:tbl>
      <w:tblPr>
        <w:tblW w:w="9360" w:type="dxa"/>
        <w:tblInd w:w="-10" w:type="dxa"/>
        <w:tblLayout w:type="fixed"/>
        <w:tblLook w:val="04A0" w:firstRow="1" w:lastRow="0" w:firstColumn="1" w:lastColumn="0" w:noHBand="0" w:noVBand="1"/>
      </w:tblPr>
      <w:tblGrid>
        <w:gridCol w:w="4850"/>
        <w:gridCol w:w="1127"/>
        <w:gridCol w:w="1128"/>
        <w:gridCol w:w="1127"/>
        <w:gridCol w:w="1128"/>
      </w:tblGrid>
      <w:tr w:rsidR="00A874AC" w:rsidRPr="009C0DF1" w:rsidTr="009C0DF1">
        <w:trPr>
          <w:trHeight w:val="853"/>
          <w:tblHeader/>
        </w:trPr>
        <w:tc>
          <w:tcPr>
            <w:tcW w:w="485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EB11FA" w:rsidRPr="009C0DF1" w:rsidRDefault="00EB11FA" w:rsidP="001C5C8F">
            <w:pPr>
              <w:rPr>
                <w:b/>
                <w:bCs/>
                <w:color w:val="FFFFFF"/>
                <w:sz w:val="19"/>
                <w:szCs w:val="19"/>
              </w:rPr>
            </w:pPr>
            <w:r w:rsidRPr="009C0DF1">
              <w:rPr>
                <w:b/>
                <w:bCs/>
                <w:color w:val="FFFFFF"/>
                <w:sz w:val="19"/>
                <w:szCs w:val="19"/>
              </w:rPr>
              <w:t>Program</w:t>
            </w:r>
          </w:p>
        </w:tc>
        <w:tc>
          <w:tcPr>
            <w:tcW w:w="1127"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9C0DF1" w:rsidRDefault="00EB11FA" w:rsidP="001C5C8F">
            <w:pPr>
              <w:jc w:val="center"/>
              <w:rPr>
                <w:b/>
                <w:bCs/>
                <w:color w:val="FFFFFF"/>
                <w:sz w:val="19"/>
                <w:szCs w:val="19"/>
              </w:rPr>
            </w:pPr>
            <w:r w:rsidRPr="009C0DF1">
              <w:rPr>
                <w:b/>
                <w:bCs/>
                <w:color w:val="FFFFFF"/>
                <w:sz w:val="19"/>
                <w:szCs w:val="19"/>
              </w:rPr>
              <w:t>Phase II VG Savings (MWh)</w:t>
            </w:r>
          </w:p>
        </w:tc>
        <w:tc>
          <w:tcPr>
            <w:tcW w:w="1128"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9C0DF1" w:rsidRDefault="00EB11FA" w:rsidP="001C5C8F">
            <w:pPr>
              <w:jc w:val="center"/>
              <w:rPr>
                <w:b/>
                <w:bCs/>
                <w:color w:val="FFFFFF"/>
                <w:sz w:val="19"/>
                <w:szCs w:val="19"/>
              </w:rPr>
            </w:pPr>
            <w:r w:rsidRPr="009C0DF1">
              <w:rPr>
                <w:b/>
                <w:bCs/>
                <w:color w:val="FFFFFF"/>
                <w:sz w:val="19"/>
                <w:szCs w:val="19"/>
              </w:rPr>
              <w:t>Percent of Portfolio Phase II VG MWh Savings</w:t>
            </w:r>
          </w:p>
        </w:tc>
        <w:tc>
          <w:tcPr>
            <w:tcW w:w="1127"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9C0DF1" w:rsidRDefault="00EB11FA" w:rsidP="001C5C8F">
            <w:pPr>
              <w:jc w:val="center"/>
              <w:rPr>
                <w:b/>
                <w:bCs/>
                <w:color w:val="FFFFFF"/>
                <w:sz w:val="19"/>
                <w:szCs w:val="19"/>
              </w:rPr>
            </w:pPr>
            <w:r w:rsidRPr="009C0DF1">
              <w:rPr>
                <w:b/>
                <w:bCs/>
                <w:color w:val="FFFFFF"/>
                <w:sz w:val="19"/>
                <w:szCs w:val="19"/>
              </w:rPr>
              <w:t>Phase II VG Savings (MW)</w:t>
            </w:r>
          </w:p>
        </w:tc>
        <w:tc>
          <w:tcPr>
            <w:tcW w:w="1128"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9C0DF1" w:rsidRDefault="00EB11FA" w:rsidP="001C5C8F">
            <w:pPr>
              <w:jc w:val="center"/>
              <w:rPr>
                <w:b/>
                <w:bCs/>
                <w:color w:val="FFFFFF"/>
                <w:sz w:val="19"/>
                <w:szCs w:val="19"/>
              </w:rPr>
            </w:pPr>
            <w:r w:rsidRPr="009C0DF1">
              <w:rPr>
                <w:b/>
                <w:bCs/>
                <w:color w:val="FFFFFF"/>
                <w:sz w:val="19"/>
                <w:szCs w:val="19"/>
              </w:rPr>
              <w:t>Percent of Portfolio Phase II VG MW Savings</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Residential: EE Program (REEP):  Rebate Program</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8,301</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2%</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1.089</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2%</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Residential: EE Program (Upstream Lighting)</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109,372</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29%</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8.876</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19%</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Residential: School Energy Pledge</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435</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0%</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0.028</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0%</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Residential: Appliance Recycling</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6,229</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2%</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0.788</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2%</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Residential:  Whole House</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120</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0%</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0.012</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0%</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Residential:  Home Energy Report Program</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26,094</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7%</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0.000</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0%</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Residential: Low-Income EE</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702AB3" w:rsidP="00EB11FA">
            <w:pPr>
              <w:jc w:val="center"/>
              <w:rPr>
                <w:color w:val="000000"/>
                <w:sz w:val="19"/>
                <w:szCs w:val="19"/>
              </w:rPr>
            </w:pPr>
            <w:r>
              <w:rPr>
                <w:color w:val="000000"/>
                <w:sz w:val="19"/>
                <w:szCs w:val="19"/>
              </w:rPr>
              <w:t>3,351</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1%</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0.</w:t>
            </w:r>
            <w:r w:rsidR="00702AB3">
              <w:rPr>
                <w:color w:val="000000"/>
                <w:sz w:val="19"/>
                <w:szCs w:val="19"/>
              </w:rPr>
              <w:t>419</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1%</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 xml:space="preserve">Residential: Low-Income EE </w:t>
            </w:r>
            <w:r w:rsidRPr="009C0DF1">
              <w:rPr>
                <w:i/>
                <w:color w:val="000000"/>
                <w:sz w:val="19"/>
                <w:szCs w:val="19"/>
              </w:rPr>
              <w:t>(Upstream Lighting)</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13,573</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4%</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0.833</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2%</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9C0DF1" w:rsidP="00EB11FA">
            <w:pPr>
              <w:jc w:val="left"/>
              <w:rPr>
                <w:color w:val="000000"/>
                <w:sz w:val="19"/>
                <w:szCs w:val="19"/>
              </w:rPr>
            </w:pPr>
            <w:r>
              <w:rPr>
                <w:color w:val="000000"/>
                <w:sz w:val="19"/>
                <w:szCs w:val="19"/>
              </w:rPr>
              <w:t xml:space="preserve">Residential: </w:t>
            </w:r>
            <w:r w:rsidR="00EB11FA" w:rsidRPr="009C0DF1">
              <w:rPr>
                <w:color w:val="000000"/>
                <w:sz w:val="19"/>
                <w:szCs w:val="19"/>
              </w:rPr>
              <w:t xml:space="preserve">Low Income </w:t>
            </w:r>
            <w:r w:rsidR="004B480A" w:rsidRPr="009C0DF1">
              <w:rPr>
                <w:color w:val="000000"/>
                <w:sz w:val="19"/>
                <w:szCs w:val="19"/>
              </w:rPr>
              <w:t xml:space="preserve">EE </w:t>
            </w:r>
            <w:r w:rsidR="004B480A" w:rsidRPr="009C0DF1">
              <w:rPr>
                <w:i/>
                <w:color w:val="000000"/>
                <w:sz w:val="18"/>
                <w:szCs w:val="19"/>
              </w:rPr>
              <w:t>(</w:t>
            </w:r>
            <w:r w:rsidR="00EB11FA" w:rsidRPr="009C0DF1">
              <w:rPr>
                <w:i/>
                <w:color w:val="000000"/>
                <w:sz w:val="18"/>
                <w:szCs w:val="19"/>
              </w:rPr>
              <w:t>Home Energy Report Program)</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2,085</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1%</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0.000</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0%</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Commercial Sector Umbrella EE</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7,747</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2%</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1.179</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3%</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Commercial Sector Umbrella EE (Upstream Lighting)</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27,079</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7%</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7.591</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17%</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Healthcare EE</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6,679</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2%</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0.486</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1%</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Industrial Sector Umbrella EE</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1,751</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0%</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0.344</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1%</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Chemical Products EE</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19,407</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5%</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2.550</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6%</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Mixed Industrial EE</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13,888</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4%</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1.956</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4%</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Office Building - Large EE</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36,879</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10%</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5.305</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12%</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Office Building - Small EE</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838</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0%</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0.203</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0%</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Primary Metals EE</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45,091</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12%</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5.307</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12%</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Public Agency / Non-Profit</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21,964</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6%</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4.085</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9%</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color w:val="000000"/>
                <w:sz w:val="19"/>
                <w:szCs w:val="19"/>
              </w:rPr>
            </w:pPr>
            <w:r w:rsidRPr="009C0DF1">
              <w:rPr>
                <w:color w:val="000000"/>
                <w:sz w:val="19"/>
                <w:szCs w:val="19"/>
              </w:rPr>
              <w:t>Retail Stores - Small EE</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color w:val="000000"/>
                <w:sz w:val="19"/>
                <w:szCs w:val="19"/>
              </w:rPr>
            </w:pPr>
            <w:r w:rsidRPr="009C0DF1">
              <w:rPr>
                <w:color w:val="000000"/>
                <w:sz w:val="19"/>
                <w:szCs w:val="19"/>
              </w:rPr>
              <w:t>7,468</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2%</w:t>
            </w:r>
          </w:p>
        </w:tc>
        <w:tc>
          <w:tcPr>
            <w:tcW w:w="1127"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1.709</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color w:val="000000"/>
                <w:sz w:val="19"/>
                <w:szCs w:val="19"/>
              </w:rPr>
            </w:pPr>
            <w:r w:rsidRPr="009C0DF1">
              <w:rPr>
                <w:color w:val="000000"/>
                <w:sz w:val="19"/>
                <w:szCs w:val="19"/>
              </w:rPr>
              <w:t>4%</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Retail Stores - Large EE</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6,896</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2%</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1.546</w:t>
            </w:r>
          </w:p>
        </w:tc>
        <w:tc>
          <w:tcPr>
            <w:tcW w:w="1128"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3%</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FFFFFF"/>
            <w:vAlign w:val="center"/>
            <w:hideMark/>
          </w:tcPr>
          <w:p w:rsidR="00EB11FA" w:rsidRPr="009C0DF1" w:rsidRDefault="00EB11FA" w:rsidP="00EB11FA">
            <w:pPr>
              <w:jc w:val="left"/>
              <w:rPr>
                <w:color w:val="000000"/>
                <w:sz w:val="19"/>
                <w:szCs w:val="19"/>
              </w:rPr>
            </w:pPr>
            <w:r w:rsidRPr="009C0DF1">
              <w:rPr>
                <w:color w:val="000000"/>
                <w:sz w:val="19"/>
                <w:szCs w:val="19"/>
              </w:rPr>
              <w:t>Multifamily Housing Retrofit</w:t>
            </w:r>
          </w:p>
        </w:tc>
        <w:tc>
          <w:tcPr>
            <w:tcW w:w="1127" w:type="dxa"/>
            <w:tcBorders>
              <w:top w:val="nil"/>
              <w:left w:val="nil"/>
              <w:bottom w:val="single" w:sz="8" w:space="0" w:color="448A99"/>
              <w:right w:val="single" w:sz="8" w:space="0" w:color="448A99"/>
            </w:tcBorders>
            <w:shd w:val="clear" w:color="000000" w:fill="FFFFFF"/>
            <w:vAlign w:val="center"/>
            <w:hideMark/>
          </w:tcPr>
          <w:p w:rsidR="00EB11FA" w:rsidRPr="009C0DF1" w:rsidRDefault="00EB11FA" w:rsidP="00EB11FA">
            <w:pPr>
              <w:jc w:val="center"/>
              <w:rPr>
                <w:color w:val="000000"/>
                <w:sz w:val="19"/>
                <w:szCs w:val="19"/>
              </w:rPr>
            </w:pPr>
            <w:r w:rsidRPr="009C0DF1">
              <w:rPr>
                <w:color w:val="000000"/>
                <w:sz w:val="19"/>
                <w:szCs w:val="19"/>
              </w:rPr>
              <w:t>4,276</w:t>
            </w:r>
          </w:p>
        </w:tc>
        <w:tc>
          <w:tcPr>
            <w:tcW w:w="1128" w:type="dxa"/>
            <w:tcBorders>
              <w:top w:val="nil"/>
              <w:left w:val="nil"/>
              <w:bottom w:val="single" w:sz="8" w:space="0" w:color="448A99"/>
              <w:right w:val="single" w:sz="8" w:space="0" w:color="448A99"/>
            </w:tcBorders>
            <w:shd w:val="clear" w:color="000000" w:fill="FFFFFF"/>
            <w:noWrap/>
            <w:vAlign w:val="center"/>
            <w:hideMark/>
          </w:tcPr>
          <w:p w:rsidR="00EB11FA" w:rsidRPr="009C0DF1" w:rsidRDefault="00EB11FA" w:rsidP="00EB11FA">
            <w:pPr>
              <w:jc w:val="center"/>
              <w:rPr>
                <w:color w:val="000000"/>
                <w:sz w:val="19"/>
                <w:szCs w:val="19"/>
              </w:rPr>
            </w:pPr>
            <w:r w:rsidRPr="009C0DF1">
              <w:rPr>
                <w:color w:val="000000"/>
                <w:sz w:val="19"/>
                <w:szCs w:val="19"/>
              </w:rPr>
              <w:t>1%</w:t>
            </w:r>
          </w:p>
        </w:tc>
        <w:tc>
          <w:tcPr>
            <w:tcW w:w="1127" w:type="dxa"/>
            <w:tcBorders>
              <w:top w:val="nil"/>
              <w:left w:val="nil"/>
              <w:bottom w:val="single" w:sz="8" w:space="0" w:color="448A99"/>
              <w:right w:val="single" w:sz="8" w:space="0" w:color="448A99"/>
            </w:tcBorders>
            <w:shd w:val="clear" w:color="000000" w:fill="FFFFFF"/>
            <w:vAlign w:val="center"/>
            <w:hideMark/>
          </w:tcPr>
          <w:p w:rsidR="00EB11FA" w:rsidRPr="009C0DF1" w:rsidRDefault="00EB11FA" w:rsidP="00EB11FA">
            <w:pPr>
              <w:jc w:val="center"/>
              <w:rPr>
                <w:color w:val="000000"/>
                <w:sz w:val="19"/>
                <w:szCs w:val="19"/>
              </w:rPr>
            </w:pPr>
            <w:r w:rsidRPr="009C0DF1">
              <w:rPr>
                <w:color w:val="000000"/>
                <w:sz w:val="19"/>
                <w:szCs w:val="19"/>
              </w:rPr>
              <w:t>0.404</w:t>
            </w:r>
          </w:p>
        </w:tc>
        <w:tc>
          <w:tcPr>
            <w:tcW w:w="1128" w:type="dxa"/>
            <w:tcBorders>
              <w:top w:val="nil"/>
              <w:left w:val="nil"/>
              <w:bottom w:val="single" w:sz="8" w:space="0" w:color="448A99"/>
              <w:right w:val="single" w:sz="8" w:space="0" w:color="448A99"/>
            </w:tcBorders>
            <w:shd w:val="clear" w:color="000000" w:fill="FFFFFF"/>
            <w:vAlign w:val="center"/>
            <w:hideMark/>
          </w:tcPr>
          <w:p w:rsidR="00EB11FA" w:rsidRPr="009C0DF1" w:rsidRDefault="00EB11FA" w:rsidP="00EB11FA">
            <w:pPr>
              <w:jc w:val="center"/>
              <w:rPr>
                <w:color w:val="000000"/>
                <w:sz w:val="19"/>
                <w:szCs w:val="19"/>
              </w:rPr>
            </w:pPr>
            <w:r w:rsidRPr="009C0DF1">
              <w:rPr>
                <w:color w:val="000000"/>
                <w:sz w:val="19"/>
                <w:szCs w:val="19"/>
              </w:rPr>
              <w:t>1%</w:t>
            </w:r>
          </w:p>
        </w:tc>
      </w:tr>
      <w:tr w:rsidR="00A874AC"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9C0DF1" w:rsidRDefault="00EB11FA" w:rsidP="00EB11FA">
            <w:pPr>
              <w:jc w:val="left"/>
              <w:rPr>
                <w:color w:val="000000"/>
                <w:sz w:val="19"/>
                <w:szCs w:val="19"/>
              </w:rPr>
            </w:pPr>
            <w:r w:rsidRPr="009C0DF1">
              <w:rPr>
                <w:color w:val="000000"/>
                <w:sz w:val="19"/>
                <w:szCs w:val="19"/>
              </w:rPr>
              <w:t>Small Commercial Direct Install</w:t>
            </w:r>
          </w:p>
        </w:tc>
        <w:tc>
          <w:tcPr>
            <w:tcW w:w="1127" w:type="dxa"/>
            <w:tcBorders>
              <w:top w:val="nil"/>
              <w:left w:val="nil"/>
              <w:bottom w:val="single" w:sz="8" w:space="0" w:color="448A99"/>
              <w:right w:val="single" w:sz="8" w:space="0" w:color="448A99"/>
            </w:tcBorders>
            <w:shd w:val="clear" w:color="000000" w:fill="D2EAF1"/>
            <w:vAlign w:val="center"/>
            <w:hideMark/>
          </w:tcPr>
          <w:p w:rsidR="00EB11FA" w:rsidRPr="009C0DF1" w:rsidRDefault="00EB11FA" w:rsidP="00EB11FA">
            <w:pPr>
              <w:jc w:val="center"/>
              <w:rPr>
                <w:color w:val="000000"/>
                <w:sz w:val="19"/>
                <w:szCs w:val="19"/>
              </w:rPr>
            </w:pPr>
            <w:r w:rsidRPr="009C0DF1">
              <w:rPr>
                <w:color w:val="000000"/>
                <w:sz w:val="19"/>
                <w:szCs w:val="19"/>
              </w:rPr>
              <w:t>7,667</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2%</w:t>
            </w:r>
          </w:p>
        </w:tc>
        <w:tc>
          <w:tcPr>
            <w:tcW w:w="1127"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0.904</w:t>
            </w:r>
          </w:p>
        </w:tc>
        <w:tc>
          <w:tcPr>
            <w:tcW w:w="1128" w:type="dxa"/>
            <w:tcBorders>
              <w:top w:val="nil"/>
              <w:left w:val="nil"/>
              <w:bottom w:val="single" w:sz="8" w:space="0" w:color="448A99"/>
              <w:right w:val="single" w:sz="8" w:space="0" w:color="448A99"/>
            </w:tcBorders>
            <w:shd w:val="clear" w:color="000000" w:fill="D2EAF1"/>
            <w:noWrap/>
            <w:vAlign w:val="center"/>
            <w:hideMark/>
          </w:tcPr>
          <w:p w:rsidR="00EB11FA" w:rsidRPr="009C0DF1" w:rsidRDefault="00EB11FA" w:rsidP="00EB11FA">
            <w:pPr>
              <w:jc w:val="center"/>
              <w:rPr>
                <w:color w:val="000000"/>
                <w:sz w:val="19"/>
                <w:szCs w:val="19"/>
              </w:rPr>
            </w:pPr>
            <w:r w:rsidRPr="009C0DF1">
              <w:rPr>
                <w:color w:val="000000"/>
                <w:sz w:val="19"/>
                <w:szCs w:val="19"/>
              </w:rPr>
              <w:t>2%</w:t>
            </w:r>
          </w:p>
        </w:tc>
      </w:tr>
      <w:tr w:rsidR="00E7173E" w:rsidRPr="009C0DF1" w:rsidTr="009C0DF1">
        <w:trPr>
          <w:trHeight w:val="317"/>
        </w:trPr>
        <w:tc>
          <w:tcPr>
            <w:tcW w:w="4850" w:type="dxa"/>
            <w:tcBorders>
              <w:top w:val="nil"/>
              <w:left w:val="single" w:sz="8" w:space="0" w:color="448A99"/>
              <w:bottom w:val="single" w:sz="8" w:space="0" w:color="448A99"/>
              <w:right w:val="single" w:sz="8" w:space="0" w:color="448A99"/>
            </w:tcBorders>
            <w:shd w:val="clear" w:color="auto" w:fill="auto"/>
            <w:vAlign w:val="center"/>
            <w:hideMark/>
          </w:tcPr>
          <w:p w:rsidR="00EB11FA" w:rsidRPr="009C0DF1" w:rsidRDefault="00EB11FA" w:rsidP="00EB11FA">
            <w:pPr>
              <w:jc w:val="left"/>
              <w:rPr>
                <w:b/>
                <w:bCs/>
                <w:i/>
                <w:iCs/>
                <w:color w:val="000000"/>
                <w:sz w:val="19"/>
                <w:szCs w:val="19"/>
              </w:rPr>
            </w:pPr>
            <w:r w:rsidRPr="009C0DF1">
              <w:rPr>
                <w:b/>
                <w:bCs/>
                <w:i/>
                <w:iCs/>
                <w:color w:val="000000"/>
                <w:sz w:val="19"/>
                <w:szCs w:val="19"/>
              </w:rPr>
              <w:t>Total Portfolio</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3D4B5A" w:rsidP="00EB11FA">
            <w:pPr>
              <w:jc w:val="center"/>
              <w:rPr>
                <w:b/>
                <w:bCs/>
                <w:i/>
                <w:iCs/>
                <w:color w:val="000000"/>
                <w:sz w:val="19"/>
                <w:szCs w:val="19"/>
              </w:rPr>
            </w:pPr>
            <w:r w:rsidRPr="009C0DF1">
              <w:rPr>
                <w:b/>
                <w:bCs/>
                <w:i/>
                <w:iCs/>
                <w:color w:val="000000"/>
                <w:sz w:val="19"/>
                <w:szCs w:val="19"/>
              </w:rPr>
              <w:t>377,189</w:t>
            </w:r>
          </w:p>
        </w:tc>
        <w:tc>
          <w:tcPr>
            <w:tcW w:w="1128" w:type="dxa"/>
            <w:tcBorders>
              <w:top w:val="nil"/>
              <w:left w:val="nil"/>
              <w:bottom w:val="single" w:sz="8" w:space="0" w:color="448A99"/>
              <w:right w:val="single" w:sz="8" w:space="0" w:color="448A99"/>
            </w:tcBorders>
            <w:shd w:val="clear" w:color="auto" w:fill="auto"/>
            <w:noWrap/>
            <w:vAlign w:val="center"/>
            <w:hideMark/>
          </w:tcPr>
          <w:p w:rsidR="00EB11FA" w:rsidRPr="009C0DF1" w:rsidRDefault="00EB11FA" w:rsidP="00EB11FA">
            <w:pPr>
              <w:jc w:val="center"/>
              <w:rPr>
                <w:b/>
                <w:bCs/>
                <w:i/>
                <w:iCs/>
                <w:color w:val="000000"/>
                <w:sz w:val="19"/>
                <w:szCs w:val="19"/>
              </w:rPr>
            </w:pPr>
            <w:r w:rsidRPr="009C0DF1">
              <w:rPr>
                <w:b/>
                <w:bCs/>
                <w:i/>
                <w:iCs/>
                <w:color w:val="000000"/>
                <w:sz w:val="19"/>
                <w:szCs w:val="19"/>
              </w:rPr>
              <w:t>100%</w:t>
            </w:r>
          </w:p>
        </w:tc>
        <w:tc>
          <w:tcPr>
            <w:tcW w:w="1127"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b/>
                <w:bCs/>
                <w:i/>
                <w:iCs/>
                <w:color w:val="000000"/>
                <w:sz w:val="19"/>
                <w:szCs w:val="19"/>
              </w:rPr>
            </w:pPr>
            <w:r w:rsidRPr="009C0DF1">
              <w:rPr>
                <w:b/>
                <w:bCs/>
                <w:i/>
                <w:iCs/>
                <w:color w:val="000000"/>
                <w:sz w:val="19"/>
                <w:szCs w:val="19"/>
              </w:rPr>
              <w:t>45.6</w:t>
            </w:r>
            <w:r w:rsidR="001310D5">
              <w:rPr>
                <w:b/>
                <w:bCs/>
                <w:i/>
                <w:iCs/>
                <w:color w:val="000000"/>
                <w:sz w:val="19"/>
                <w:szCs w:val="19"/>
              </w:rPr>
              <w:t>15</w:t>
            </w:r>
          </w:p>
        </w:tc>
        <w:tc>
          <w:tcPr>
            <w:tcW w:w="1128" w:type="dxa"/>
            <w:tcBorders>
              <w:top w:val="nil"/>
              <w:left w:val="nil"/>
              <w:bottom w:val="single" w:sz="8" w:space="0" w:color="448A99"/>
              <w:right w:val="single" w:sz="8" w:space="0" w:color="448A99"/>
            </w:tcBorders>
            <w:shd w:val="clear" w:color="auto" w:fill="auto"/>
            <w:vAlign w:val="center"/>
            <w:hideMark/>
          </w:tcPr>
          <w:p w:rsidR="00EB11FA" w:rsidRPr="009C0DF1" w:rsidRDefault="00EB11FA" w:rsidP="00EB11FA">
            <w:pPr>
              <w:jc w:val="center"/>
              <w:rPr>
                <w:b/>
                <w:bCs/>
                <w:i/>
                <w:iCs/>
                <w:color w:val="000000"/>
                <w:sz w:val="19"/>
                <w:szCs w:val="19"/>
              </w:rPr>
            </w:pPr>
            <w:r w:rsidRPr="009C0DF1">
              <w:rPr>
                <w:b/>
                <w:bCs/>
                <w:i/>
                <w:iCs/>
                <w:color w:val="000000"/>
                <w:sz w:val="19"/>
                <w:szCs w:val="19"/>
              </w:rPr>
              <w:t>100%</w:t>
            </w:r>
          </w:p>
        </w:tc>
      </w:tr>
    </w:tbl>
    <w:p w:rsidR="008B45A8" w:rsidRDefault="008B45A8" w:rsidP="008B45A8"/>
    <w:p w:rsidR="00950837" w:rsidRPr="00A1305C" w:rsidRDefault="00950837" w:rsidP="009C0DF1">
      <w:pPr>
        <w:pStyle w:val="AppendixAHeading3"/>
      </w:pPr>
      <w:r w:rsidRPr="00A1305C">
        <w:t xml:space="preserve">PY7 </w:t>
      </w:r>
      <w:r w:rsidR="00735BA9" w:rsidRPr="00A1305C">
        <w:t>Gross and Net Savings by Sector</w:t>
      </w:r>
    </w:p>
    <w:p w:rsidR="008B45A8" w:rsidRDefault="00C23348" w:rsidP="00C23348">
      <w:r w:rsidRPr="00C23348">
        <w:t>The sector-level verified gross and net energy savings achieved in PY7 are provided</w:t>
      </w:r>
      <w:r>
        <w:t xml:space="preserve"> in </w:t>
      </w:r>
      <w:r>
        <w:fldChar w:fldCharType="begin"/>
      </w:r>
      <w:r>
        <w:instrText xml:space="preserve"> REF _Ref472358183 \h </w:instrText>
      </w:r>
      <w:r>
        <w:fldChar w:fldCharType="separate"/>
      </w:r>
      <w:r w:rsidR="00037CB4" w:rsidRPr="00E41D9C">
        <w:t>Table A-</w:t>
      </w:r>
      <w:r w:rsidR="00037CB4">
        <w:rPr>
          <w:noProof/>
        </w:rPr>
        <w:t>3</w:t>
      </w:r>
      <w:r>
        <w:fldChar w:fldCharType="end"/>
      </w:r>
      <w:r w:rsidR="00FC0D6B">
        <w:t>.</w:t>
      </w:r>
      <w:r>
        <w:t xml:space="preserve"> In PY7, the net energy savings were approximately 75% of the gross energy savings.</w:t>
      </w:r>
    </w:p>
    <w:p w:rsidR="00C23348" w:rsidRPr="00C23348" w:rsidRDefault="00C23348" w:rsidP="00C23348"/>
    <w:p w:rsidR="008B45A8" w:rsidRDefault="008B45A8" w:rsidP="004837FA">
      <w:pPr>
        <w:pStyle w:val="Caption"/>
      </w:pPr>
      <w:bookmarkStart w:id="503" w:name="_Ref472358183"/>
      <w:bookmarkStart w:id="504" w:name="_Toc472472412"/>
      <w:bookmarkStart w:id="505" w:name="_Toc488741831"/>
      <w:r w:rsidRPr="00E41D9C">
        <w:t>Table A-</w:t>
      </w:r>
      <w:r w:rsidR="007973A4">
        <w:fldChar w:fldCharType="begin"/>
      </w:r>
      <w:r w:rsidR="007973A4">
        <w:instrText xml:space="preserve"> SEQ Table_A- \* ARABIC </w:instrText>
      </w:r>
      <w:r w:rsidR="007973A4">
        <w:fldChar w:fldCharType="separate"/>
      </w:r>
      <w:r w:rsidR="00037CB4">
        <w:rPr>
          <w:noProof/>
        </w:rPr>
        <w:t>3</w:t>
      </w:r>
      <w:r w:rsidR="007973A4">
        <w:rPr>
          <w:noProof/>
        </w:rPr>
        <w:fldChar w:fldCharType="end"/>
      </w:r>
      <w:bookmarkEnd w:id="503"/>
      <w:r w:rsidRPr="00E41D9C">
        <w:t xml:space="preserve">: </w:t>
      </w:r>
      <w:r w:rsidRPr="008B45A8">
        <w:t>Summary of Duquesne EE&amp;C Verified Net Savings – by Sector</w:t>
      </w:r>
      <w:bookmarkEnd w:id="504"/>
      <w:bookmarkEnd w:id="505"/>
    </w:p>
    <w:tbl>
      <w:tblPr>
        <w:tblW w:w="9360" w:type="dxa"/>
        <w:tblInd w:w="-10" w:type="dxa"/>
        <w:tblLook w:val="04A0" w:firstRow="1" w:lastRow="0" w:firstColumn="1" w:lastColumn="0" w:noHBand="0" w:noVBand="1"/>
      </w:tblPr>
      <w:tblGrid>
        <w:gridCol w:w="1440"/>
        <w:gridCol w:w="1980"/>
        <w:gridCol w:w="1980"/>
        <w:gridCol w:w="1980"/>
        <w:gridCol w:w="1980"/>
      </w:tblGrid>
      <w:tr w:rsidR="00A874AC" w:rsidRPr="009C0DF1" w:rsidTr="009C0DF1">
        <w:trPr>
          <w:trHeight w:val="439"/>
          <w:tblHeader/>
        </w:trPr>
        <w:tc>
          <w:tcPr>
            <w:tcW w:w="144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C23348" w:rsidRPr="009C0DF1" w:rsidRDefault="00C23348" w:rsidP="009349F1">
            <w:pPr>
              <w:rPr>
                <w:b/>
                <w:bCs/>
                <w:color w:val="FFFFFF"/>
                <w:sz w:val="19"/>
                <w:szCs w:val="19"/>
              </w:rPr>
            </w:pPr>
            <w:r w:rsidRPr="009C0DF1">
              <w:rPr>
                <w:b/>
                <w:bCs/>
                <w:color w:val="FFFFFF"/>
                <w:sz w:val="19"/>
                <w:szCs w:val="19"/>
              </w:rPr>
              <w:t>Sector</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C23348" w:rsidRPr="009C0DF1" w:rsidRDefault="00C23348" w:rsidP="009349F1">
            <w:pPr>
              <w:jc w:val="center"/>
              <w:rPr>
                <w:b/>
                <w:bCs/>
                <w:color w:val="FFFFFF"/>
                <w:sz w:val="19"/>
                <w:szCs w:val="19"/>
              </w:rPr>
            </w:pPr>
            <w:r w:rsidRPr="009C0DF1">
              <w:rPr>
                <w:b/>
                <w:bCs/>
                <w:color w:val="FFFFFF"/>
                <w:sz w:val="19"/>
                <w:szCs w:val="19"/>
              </w:rPr>
              <w:t>PY7 VG Savings (MWh/yr)</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C23348" w:rsidRPr="009C0DF1" w:rsidRDefault="00C23348" w:rsidP="009349F1">
            <w:pPr>
              <w:jc w:val="center"/>
              <w:rPr>
                <w:b/>
                <w:bCs/>
                <w:color w:val="FFFFFF"/>
                <w:sz w:val="19"/>
                <w:szCs w:val="19"/>
              </w:rPr>
            </w:pPr>
            <w:r w:rsidRPr="009C0DF1">
              <w:rPr>
                <w:b/>
                <w:bCs/>
                <w:color w:val="FFFFFF"/>
                <w:sz w:val="19"/>
                <w:szCs w:val="19"/>
              </w:rPr>
              <w:t>PY7 Verified Net Savings (MWh/yr)</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C23348" w:rsidRPr="009C0DF1" w:rsidRDefault="00C23348" w:rsidP="009349F1">
            <w:pPr>
              <w:jc w:val="center"/>
              <w:rPr>
                <w:b/>
                <w:bCs/>
                <w:color w:val="FFFFFF"/>
                <w:sz w:val="19"/>
                <w:szCs w:val="19"/>
              </w:rPr>
            </w:pPr>
            <w:r w:rsidRPr="009C0DF1">
              <w:rPr>
                <w:b/>
                <w:bCs/>
                <w:color w:val="FFFFFF"/>
                <w:sz w:val="19"/>
                <w:szCs w:val="19"/>
              </w:rPr>
              <w:t>Phase II VG Savings (MWh/yr)</w:t>
            </w:r>
          </w:p>
        </w:tc>
        <w:tc>
          <w:tcPr>
            <w:tcW w:w="1980" w:type="dxa"/>
            <w:tcBorders>
              <w:top w:val="single" w:sz="8" w:space="0" w:color="448A99"/>
              <w:left w:val="nil"/>
              <w:bottom w:val="single" w:sz="8" w:space="0" w:color="448A99"/>
              <w:right w:val="single" w:sz="8" w:space="0" w:color="448A99"/>
            </w:tcBorders>
            <w:shd w:val="clear" w:color="000000" w:fill="448A99"/>
            <w:vAlign w:val="bottom"/>
            <w:hideMark/>
          </w:tcPr>
          <w:p w:rsidR="00C23348" w:rsidRPr="009C0DF1" w:rsidRDefault="00C23348" w:rsidP="009349F1">
            <w:pPr>
              <w:jc w:val="center"/>
              <w:rPr>
                <w:b/>
                <w:bCs/>
                <w:color w:val="FFFFFF"/>
                <w:sz w:val="19"/>
                <w:szCs w:val="19"/>
              </w:rPr>
            </w:pPr>
            <w:r w:rsidRPr="009C0DF1">
              <w:rPr>
                <w:b/>
                <w:bCs/>
                <w:color w:val="FFFFFF"/>
                <w:sz w:val="19"/>
                <w:szCs w:val="19"/>
              </w:rPr>
              <w:t>Phase II Verified Net Savings (MWh/yr)</w:t>
            </w:r>
          </w:p>
        </w:tc>
      </w:tr>
      <w:tr w:rsidR="00E7173E" w:rsidRPr="009C0DF1" w:rsidTr="009C0DF1">
        <w:trPr>
          <w:trHeight w:val="288"/>
        </w:trPr>
        <w:tc>
          <w:tcPr>
            <w:tcW w:w="1440" w:type="dxa"/>
            <w:tcBorders>
              <w:top w:val="nil"/>
              <w:left w:val="single" w:sz="8" w:space="0" w:color="448A99"/>
              <w:bottom w:val="single" w:sz="8" w:space="0" w:color="448A99"/>
              <w:right w:val="single" w:sz="8" w:space="0" w:color="448A99"/>
            </w:tcBorders>
            <w:shd w:val="clear" w:color="auto" w:fill="auto"/>
            <w:noWrap/>
            <w:vAlign w:val="center"/>
            <w:hideMark/>
          </w:tcPr>
          <w:p w:rsidR="00C23348" w:rsidRPr="009C0DF1" w:rsidRDefault="00C23348" w:rsidP="00C23348">
            <w:pPr>
              <w:jc w:val="left"/>
              <w:rPr>
                <w:color w:val="000000"/>
                <w:sz w:val="19"/>
                <w:szCs w:val="19"/>
              </w:rPr>
            </w:pPr>
            <w:r w:rsidRPr="009C0DF1">
              <w:rPr>
                <w:color w:val="000000"/>
                <w:sz w:val="19"/>
                <w:szCs w:val="19"/>
              </w:rPr>
              <w:t>Residential</w:t>
            </w:r>
          </w:p>
        </w:tc>
        <w:tc>
          <w:tcPr>
            <w:tcW w:w="1980" w:type="dxa"/>
            <w:tcBorders>
              <w:top w:val="nil"/>
              <w:left w:val="nil"/>
              <w:bottom w:val="single" w:sz="8" w:space="0" w:color="448A99"/>
              <w:right w:val="single" w:sz="8" w:space="0" w:color="448A99"/>
            </w:tcBorders>
            <w:shd w:val="clear" w:color="auto" w:fill="auto"/>
            <w:vAlign w:val="center"/>
            <w:hideMark/>
          </w:tcPr>
          <w:p w:rsidR="00C23348" w:rsidRPr="009C0DF1" w:rsidRDefault="00C23348" w:rsidP="00C23348">
            <w:pPr>
              <w:jc w:val="center"/>
              <w:rPr>
                <w:color w:val="000000"/>
                <w:sz w:val="19"/>
                <w:szCs w:val="19"/>
              </w:rPr>
            </w:pPr>
            <w:r w:rsidRPr="009C0DF1">
              <w:rPr>
                <w:color w:val="000000"/>
                <w:sz w:val="19"/>
                <w:szCs w:val="19"/>
              </w:rPr>
              <w:t>68,641</w:t>
            </w:r>
          </w:p>
        </w:tc>
        <w:tc>
          <w:tcPr>
            <w:tcW w:w="1980" w:type="dxa"/>
            <w:tcBorders>
              <w:top w:val="nil"/>
              <w:left w:val="nil"/>
              <w:bottom w:val="single" w:sz="8" w:space="0" w:color="448A99"/>
              <w:right w:val="single" w:sz="8" w:space="0" w:color="448A99"/>
            </w:tcBorders>
            <w:shd w:val="clear" w:color="auto" w:fill="auto"/>
            <w:vAlign w:val="center"/>
            <w:hideMark/>
          </w:tcPr>
          <w:p w:rsidR="00C23348" w:rsidRPr="009C0DF1" w:rsidRDefault="00C23348" w:rsidP="00C23348">
            <w:pPr>
              <w:jc w:val="center"/>
              <w:rPr>
                <w:color w:val="000000"/>
                <w:sz w:val="19"/>
                <w:szCs w:val="19"/>
              </w:rPr>
            </w:pPr>
            <w:r w:rsidRPr="009C0DF1">
              <w:rPr>
                <w:color w:val="000000"/>
                <w:sz w:val="19"/>
                <w:szCs w:val="19"/>
              </w:rPr>
              <w:t>55,283</w:t>
            </w:r>
          </w:p>
        </w:tc>
        <w:tc>
          <w:tcPr>
            <w:tcW w:w="1980" w:type="dxa"/>
            <w:tcBorders>
              <w:top w:val="nil"/>
              <w:left w:val="nil"/>
              <w:bottom w:val="single" w:sz="8" w:space="0" w:color="448A99"/>
              <w:right w:val="single" w:sz="8" w:space="0" w:color="448A99"/>
            </w:tcBorders>
            <w:shd w:val="clear" w:color="auto" w:fill="auto"/>
            <w:vAlign w:val="center"/>
            <w:hideMark/>
          </w:tcPr>
          <w:p w:rsidR="00C23348" w:rsidRPr="009C0DF1" w:rsidRDefault="003D4B5A" w:rsidP="00C23348">
            <w:pPr>
              <w:jc w:val="center"/>
              <w:rPr>
                <w:color w:val="000000"/>
                <w:sz w:val="19"/>
                <w:szCs w:val="19"/>
              </w:rPr>
            </w:pPr>
            <w:r w:rsidRPr="009C0DF1">
              <w:rPr>
                <w:color w:val="000000"/>
                <w:sz w:val="19"/>
                <w:szCs w:val="19"/>
              </w:rPr>
              <w:t>173,664</w:t>
            </w:r>
          </w:p>
        </w:tc>
        <w:tc>
          <w:tcPr>
            <w:tcW w:w="1980" w:type="dxa"/>
            <w:tcBorders>
              <w:top w:val="nil"/>
              <w:left w:val="nil"/>
              <w:bottom w:val="single" w:sz="8" w:space="0" w:color="448A99"/>
              <w:right w:val="single" w:sz="8" w:space="0" w:color="448A99"/>
            </w:tcBorders>
            <w:shd w:val="clear" w:color="auto" w:fill="auto"/>
            <w:vAlign w:val="center"/>
            <w:hideMark/>
          </w:tcPr>
          <w:p w:rsidR="00C23348" w:rsidRPr="009C0DF1" w:rsidRDefault="00C23348" w:rsidP="00C23348">
            <w:pPr>
              <w:jc w:val="center"/>
              <w:rPr>
                <w:color w:val="000000"/>
                <w:sz w:val="19"/>
                <w:szCs w:val="19"/>
              </w:rPr>
            </w:pPr>
            <w:r w:rsidRPr="009C0DF1">
              <w:rPr>
                <w:color w:val="000000"/>
                <w:sz w:val="19"/>
                <w:szCs w:val="19"/>
              </w:rPr>
              <w:t>116,825</w:t>
            </w:r>
          </w:p>
        </w:tc>
      </w:tr>
      <w:tr w:rsidR="00A874AC" w:rsidRPr="009C0DF1" w:rsidTr="009C0DF1">
        <w:trPr>
          <w:trHeight w:val="288"/>
        </w:trPr>
        <w:tc>
          <w:tcPr>
            <w:tcW w:w="1440" w:type="dxa"/>
            <w:tcBorders>
              <w:top w:val="nil"/>
              <w:left w:val="single" w:sz="8" w:space="0" w:color="448A99"/>
              <w:bottom w:val="single" w:sz="8" w:space="0" w:color="448A99"/>
              <w:right w:val="single" w:sz="8" w:space="0" w:color="448A99"/>
            </w:tcBorders>
            <w:shd w:val="clear" w:color="000000" w:fill="D2EAF1"/>
            <w:noWrap/>
            <w:vAlign w:val="center"/>
            <w:hideMark/>
          </w:tcPr>
          <w:p w:rsidR="00C23348" w:rsidRPr="009C0DF1" w:rsidRDefault="00C23348" w:rsidP="0097650B">
            <w:pPr>
              <w:jc w:val="left"/>
              <w:rPr>
                <w:color w:val="000000"/>
                <w:sz w:val="19"/>
                <w:szCs w:val="19"/>
              </w:rPr>
            </w:pPr>
            <w:r w:rsidRPr="009C0DF1">
              <w:rPr>
                <w:color w:val="000000"/>
                <w:sz w:val="19"/>
                <w:szCs w:val="19"/>
              </w:rPr>
              <w:t>C</w:t>
            </w:r>
            <w:r w:rsidR="0097650B" w:rsidRPr="009C0DF1">
              <w:rPr>
                <w:color w:val="000000"/>
                <w:sz w:val="19"/>
                <w:szCs w:val="19"/>
              </w:rPr>
              <w:t>/</w:t>
            </w:r>
            <w:r w:rsidRPr="009C0DF1">
              <w:rPr>
                <w:color w:val="000000"/>
                <w:sz w:val="19"/>
                <w:szCs w:val="19"/>
              </w:rPr>
              <w:t>I</w:t>
            </w:r>
          </w:p>
        </w:tc>
        <w:tc>
          <w:tcPr>
            <w:tcW w:w="1980" w:type="dxa"/>
            <w:tcBorders>
              <w:top w:val="nil"/>
              <w:left w:val="nil"/>
              <w:bottom w:val="single" w:sz="8" w:space="0" w:color="448A99"/>
              <w:right w:val="single" w:sz="8" w:space="0" w:color="448A99"/>
            </w:tcBorders>
            <w:shd w:val="clear" w:color="000000" w:fill="D2EAF1"/>
            <w:vAlign w:val="center"/>
            <w:hideMark/>
          </w:tcPr>
          <w:p w:rsidR="00C23348" w:rsidRPr="009C0DF1" w:rsidRDefault="00C23348" w:rsidP="00C23348">
            <w:pPr>
              <w:jc w:val="center"/>
              <w:rPr>
                <w:color w:val="000000"/>
                <w:sz w:val="19"/>
                <w:szCs w:val="19"/>
              </w:rPr>
            </w:pPr>
            <w:r w:rsidRPr="009C0DF1">
              <w:rPr>
                <w:color w:val="000000"/>
                <w:sz w:val="19"/>
                <w:szCs w:val="19"/>
              </w:rPr>
              <w:t>6</w:t>
            </w:r>
            <w:r w:rsidR="00326330" w:rsidRPr="009C0DF1">
              <w:rPr>
                <w:color w:val="000000"/>
                <w:sz w:val="19"/>
                <w:szCs w:val="19"/>
              </w:rPr>
              <w:t>4</w:t>
            </w:r>
            <w:r w:rsidRPr="009C0DF1">
              <w:rPr>
                <w:color w:val="000000"/>
                <w:sz w:val="19"/>
                <w:szCs w:val="19"/>
              </w:rPr>
              <w:t>,368</w:t>
            </w:r>
          </w:p>
        </w:tc>
        <w:tc>
          <w:tcPr>
            <w:tcW w:w="1980" w:type="dxa"/>
            <w:tcBorders>
              <w:top w:val="nil"/>
              <w:left w:val="nil"/>
              <w:bottom w:val="single" w:sz="8" w:space="0" w:color="448A99"/>
              <w:right w:val="single" w:sz="8" w:space="0" w:color="448A99"/>
            </w:tcBorders>
            <w:shd w:val="clear" w:color="000000" w:fill="D2EAF1"/>
            <w:vAlign w:val="center"/>
            <w:hideMark/>
          </w:tcPr>
          <w:p w:rsidR="00C23348" w:rsidRPr="009C0DF1" w:rsidRDefault="00C23348" w:rsidP="00C23348">
            <w:pPr>
              <w:jc w:val="center"/>
              <w:rPr>
                <w:color w:val="000000"/>
                <w:sz w:val="19"/>
                <w:szCs w:val="19"/>
              </w:rPr>
            </w:pPr>
            <w:r w:rsidRPr="009C0DF1">
              <w:rPr>
                <w:color w:val="000000"/>
                <w:sz w:val="19"/>
                <w:szCs w:val="19"/>
              </w:rPr>
              <w:t>42,341</w:t>
            </w:r>
          </w:p>
        </w:tc>
        <w:tc>
          <w:tcPr>
            <w:tcW w:w="1980" w:type="dxa"/>
            <w:tcBorders>
              <w:top w:val="nil"/>
              <w:left w:val="nil"/>
              <w:bottom w:val="single" w:sz="8" w:space="0" w:color="448A99"/>
              <w:right w:val="single" w:sz="8" w:space="0" w:color="448A99"/>
            </w:tcBorders>
            <w:shd w:val="clear" w:color="000000" w:fill="D2EAF1"/>
            <w:vAlign w:val="center"/>
            <w:hideMark/>
          </w:tcPr>
          <w:p w:rsidR="00C23348" w:rsidRPr="009C0DF1" w:rsidRDefault="00C23348" w:rsidP="00C23348">
            <w:pPr>
              <w:jc w:val="center"/>
              <w:rPr>
                <w:color w:val="000000"/>
                <w:sz w:val="19"/>
                <w:szCs w:val="19"/>
              </w:rPr>
            </w:pPr>
            <w:r w:rsidRPr="009C0DF1">
              <w:rPr>
                <w:color w:val="000000"/>
                <w:sz w:val="19"/>
                <w:szCs w:val="19"/>
              </w:rPr>
              <w:t>181,390</w:t>
            </w:r>
          </w:p>
        </w:tc>
        <w:tc>
          <w:tcPr>
            <w:tcW w:w="1980" w:type="dxa"/>
            <w:tcBorders>
              <w:top w:val="nil"/>
              <w:left w:val="nil"/>
              <w:bottom w:val="single" w:sz="8" w:space="0" w:color="448A99"/>
              <w:right w:val="single" w:sz="8" w:space="0" w:color="448A99"/>
            </w:tcBorders>
            <w:shd w:val="clear" w:color="000000" w:fill="D2EAF1"/>
            <w:vAlign w:val="center"/>
            <w:hideMark/>
          </w:tcPr>
          <w:p w:rsidR="00C23348" w:rsidRPr="009C0DF1" w:rsidRDefault="00C23348" w:rsidP="00C23348">
            <w:pPr>
              <w:jc w:val="center"/>
              <w:rPr>
                <w:color w:val="000000"/>
                <w:sz w:val="19"/>
                <w:szCs w:val="19"/>
              </w:rPr>
            </w:pPr>
            <w:r w:rsidRPr="009C0DF1">
              <w:rPr>
                <w:color w:val="000000"/>
                <w:sz w:val="19"/>
                <w:szCs w:val="19"/>
              </w:rPr>
              <w:t>115,439</w:t>
            </w:r>
          </w:p>
        </w:tc>
      </w:tr>
      <w:tr w:rsidR="00E7173E" w:rsidRPr="009C0DF1" w:rsidTr="009C0DF1">
        <w:trPr>
          <w:trHeight w:val="288"/>
        </w:trPr>
        <w:tc>
          <w:tcPr>
            <w:tcW w:w="1440" w:type="dxa"/>
            <w:tcBorders>
              <w:top w:val="nil"/>
              <w:left w:val="single" w:sz="8" w:space="0" w:color="448A99"/>
              <w:bottom w:val="single" w:sz="8" w:space="0" w:color="448A99"/>
              <w:right w:val="single" w:sz="8" w:space="0" w:color="448A99"/>
            </w:tcBorders>
            <w:shd w:val="clear" w:color="auto" w:fill="auto"/>
            <w:noWrap/>
            <w:vAlign w:val="center"/>
            <w:hideMark/>
          </w:tcPr>
          <w:p w:rsidR="00C23348" w:rsidRPr="009C0DF1" w:rsidRDefault="00C23348" w:rsidP="00C23348">
            <w:pPr>
              <w:jc w:val="left"/>
              <w:rPr>
                <w:color w:val="000000"/>
                <w:sz w:val="19"/>
                <w:szCs w:val="19"/>
              </w:rPr>
            </w:pPr>
            <w:r w:rsidRPr="009C0DF1">
              <w:rPr>
                <w:color w:val="000000"/>
                <w:sz w:val="19"/>
                <w:szCs w:val="19"/>
              </w:rPr>
              <w:t>GNI</w:t>
            </w:r>
          </w:p>
        </w:tc>
        <w:tc>
          <w:tcPr>
            <w:tcW w:w="1980" w:type="dxa"/>
            <w:tcBorders>
              <w:top w:val="nil"/>
              <w:left w:val="nil"/>
              <w:bottom w:val="single" w:sz="8" w:space="0" w:color="448A99"/>
              <w:right w:val="single" w:sz="8" w:space="0" w:color="448A99"/>
            </w:tcBorders>
            <w:shd w:val="clear" w:color="auto" w:fill="auto"/>
            <w:vAlign w:val="center"/>
            <w:hideMark/>
          </w:tcPr>
          <w:p w:rsidR="00C23348" w:rsidRPr="009C0DF1" w:rsidRDefault="00C23348" w:rsidP="00C23348">
            <w:pPr>
              <w:jc w:val="center"/>
              <w:rPr>
                <w:color w:val="000000"/>
                <w:sz w:val="19"/>
                <w:szCs w:val="19"/>
              </w:rPr>
            </w:pPr>
            <w:r w:rsidRPr="009C0DF1">
              <w:rPr>
                <w:color w:val="000000"/>
                <w:sz w:val="19"/>
                <w:szCs w:val="19"/>
              </w:rPr>
              <w:t>9,178</w:t>
            </w:r>
          </w:p>
        </w:tc>
        <w:tc>
          <w:tcPr>
            <w:tcW w:w="1980" w:type="dxa"/>
            <w:tcBorders>
              <w:top w:val="nil"/>
              <w:left w:val="nil"/>
              <w:bottom w:val="single" w:sz="8" w:space="0" w:color="448A99"/>
              <w:right w:val="single" w:sz="8" w:space="0" w:color="448A99"/>
            </w:tcBorders>
            <w:shd w:val="clear" w:color="auto" w:fill="auto"/>
            <w:vAlign w:val="center"/>
            <w:hideMark/>
          </w:tcPr>
          <w:p w:rsidR="00C23348" w:rsidRPr="009C0DF1" w:rsidRDefault="00C23348" w:rsidP="00C23348">
            <w:pPr>
              <w:jc w:val="center"/>
              <w:rPr>
                <w:color w:val="000000"/>
                <w:sz w:val="19"/>
                <w:szCs w:val="19"/>
              </w:rPr>
            </w:pPr>
            <w:r w:rsidRPr="009C0DF1">
              <w:rPr>
                <w:color w:val="000000"/>
                <w:sz w:val="19"/>
                <w:szCs w:val="19"/>
              </w:rPr>
              <w:t>7,375</w:t>
            </w:r>
          </w:p>
        </w:tc>
        <w:tc>
          <w:tcPr>
            <w:tcW w:w="1980" w:type="dxa"/>
            <w:tcBorders>
              <w:top w:val="nil"/>
              <w:left w:val="nil"/>
              <w:bottom w:val="single" w:sz="8" w:space="0" w:color="448A99"/>
              <w:right w:val="single" w:sz="8" w:space="0" w:color="448A99"/>
            </w:tcBorders>
            <w:shd w:val="clear" w:color="auto" w:fill="auto"/>
            <w:vAlign w:val="center"/>
            <w:hideMark/>
          </w:tcPr>
          <w:p w:rsidR="00C23348" w:rsidRPr="009C0DF1" w:rsidRDefault="00C23348" w:rsidP="00C23348">
            <w:pPr>
              <w:jc w:val="center"/>
              <w:rPr>
                <w:color w:val="000000"/>
                <w:sz w:val="19"/>
                <w:szCs w:val="19"/>
              </w:rPr>
            </w:pPr>
            <w:r w:rsidRPr="009C0DF1">
              <w:rPr>
                <w:color w:val="000000"/>
                <w:sz w:val="19"/>
                <w:szCs w:val="19"/>
              </w:rPr>
              <w:t>22,135</w:t>
            </w:r>
          </w:p>
        </w:tc>
        <w:tc>
          <w:tcPr>
            <w:tcW w:w="1980" w:type="dxa"/>
            <w:tcBorders>
              <w:top w:val="nil"/>
              <w:left w:val="nil"/>
              <w:bottom w:val="single" w:sz="8" w:space="0" w:color="448A99"/>
              <w:right w:val="single" w:sz="8" w:space="0" w:color="448A99"/>
            </w:tcBorders>
            <w:shd w:val="clear" w:color="auto" w:fill="auto"/>
            <w:vAlign w:val="center"/>
            <w:hideMark/>
          </w:tcPr>
          <w:p w:rsidR="00C23348" w:rsidRPr="009C0DF1" w:rsidRDefault="00C23348" w:rsidP="00C23348">
            <w:pPr>
              <w:jc w:val="center"/>
              <w:rPr>
                <w:color w:val="000000"/>
                <w:sz w:val="19"/>
                <w:szCs w:val="19"/>
              </w:rPr>
            </w:pPr>
            <w:r w:rsidRPr="009C0DF1">
              <w:rPr>
                <w:color w:val="000000"/>
                <w:sz w:val="19"/>
                <w:szCs w:val="19"/>
              </w:rPr>
              <w:t>16,055</w:t>
            </w:r>
          </w:p>
        </w:tc>
      </w:tr>
      <w:tr w:rsidR="00A874AC" w:rsidRPr="009C0DF1" w:rsidTr="009C0DF1">
        <w:trPr>
          <w:trHeight w:val="288"/>
        </w:trPr>
        <w:tc>
          <w:tcPr>
            <w:tcW w:w="1440" w:type="dxa"/>
            <w:tcBorders>
              <w:top w:val="nil"/>
              <w:left w:val="single" w:sz="8" w:space="0" w:color="448A99"/>
              <w:bottom w:val="single" w:sz="8" w:space="0" w:color="448A99"/>
              <w:right w:val="single" w:sz="8" w:space="0" w:color="448A99"/>
            </w:tcBorders>
            <w:shd w:val="clear" w:color="000000" w:fill="D2EAF1"/>
            <w:noWrap/>
            <w:vAlign w:val="center"/>
            <w:hideMark/>
          </w:tcPr>
          <w:p w:rsidR="00C23348" w:rsidRPr="009C0DF1" w:rsidRDefault="00C23348" w:rsidP="00C23348">
            <w:pPr>
              <w:jc w:val="left"/>
              <w:rPr>
                <w:b/>
                <w:bCs/>
                <w:i/>
                <w:iCs/>
                <w:color w:val="000000"/>
                <w:sz w:val="19"/>
                <w:szCs w:val="19"/>
              </w:rPr>
            </w:pPr>
            <w:r w:rsidRPr="009C0DF1">
              <w:rPr>
                <w:b/>
                <w:bCs/>
                <w:i/>
                <w:iCs/>
                <w:color w:val="000000"/>
                <w:sz w:val="19"/>
                <w:szCs w:val="19"/>
              </w:rPr>
              <w:t>Total Portfolio</w:t>
            </w:r>
          </w:p>
        </w:tc>
        <w:tc>
          <w:tcPr>
            <w:tcW w:w="1980" w:type="dxa"/>
            <w:tcBorders>
              <w:top w:val="nil"/>
              <w:left w:val="nil"/>
              <w:bottom w:val="single" w:sz="8" w:space="0" w:color="448A99"/>
              <w:right w:val="single" w:sz="8" w:space="0" w:color="448A99"/>
            </w:tcBorders>
            <w:shd w:val="clear" w:color="000000" w:fill="D2EAF1"/>
            <w:vAlign w:val="center"/>
            <w:hideMark/>
          </w:tcPr>
          <w:p w:rsidR="00C23348" w:rsidRPr="009C0DF1" w:rsidRDefault="00C23348" w:rsidP="00C23348">
            <w:pPr>
              <w:jc w:val="center"/>
              <w:rPr>
                <w:b/>
                <w:bCs/>
                <w:i/>
                <w:iCs/>
                <w:color w:val="000000"/>
                <w:sz w:val="19"/>
                <w:szCs w:val="19"/>
              </w:rPr>
            </w:pPr>
            <w:r w:rsidRPr="009C0DF1">
              <w:rPr>
                <w:b/>
                <w:bCs/>
                <w:i/>
                <w:iCs/>
                <w:color w:val="000000"/>
                <w:sz w:val="19"/>
                <w:szCs w:val="19"/>
              </w:rPr>
              <w:t>14</w:t>
            </w:r>
            <w:r w:rsidR="00326330" w:rsidRPr="009C0DF1">
              <w:rPr>
                <w:b/>
                <w:bCs/>
                <w:i/>
                <w:iCs/>
                <w:color w:val="000000"/>
                <w:sz w:val="19"/>
                <w:szCs w:val="19"/>
              </w:rPr>
              <w:t>2</w:t>
            </w:r>
            <w:r w:rsidRPr="009C0DF1">
              <w:rPr>
                <w:b/>
                <w:bCs/>
                <w:i/>
                <w:iCs/>
                <w:color w:val="000000"/>
                <w:sz w:val="19"/>
                <w:szCs w:val="19"/>
              </w:rPr>
              <w:t>,187</w:t>
            </w:r>
          </w:p>
        </w:tc>
        <w:tc>
          <w:tcPr>
            <w:tcW w:w="1980" w:type="dxa"/>
            <w:tcBorders>
              <w:top w:val="nil"/>
              <w:left w:val="nil"/>
              <w:bottom w:val="single" w:sz="8" w:space="0" w:color="448A99"/>
              <w:right w:val="single" w:sz="8" w:space="0" w:color="448A99"/>
            </w:tcBorders>
            <w:shd w:val="clear" w:color="000000" w:fill="D2EAF1"/>
            <w:vAlign w:val="center"/>
            <w:hideMark/>
          </w:tcPr>
          <w:p w:rsidR="00C23348" w:rsidRPr="009C0DF1" w:rsidRDefault="00C23348" w:rsidP="00C23348">
            <w:pPr>
              <w:jc w:val="center"/>
              <w:rPr>
                <w:b/>
                <w:bCs/>
                <w:i/>
                <w:iCs/>
                <w:color w:val="000000"/>
                <w:sz w:val="19"/>
                <w:szCs w:val="19"/>
              </w:rPr>
            </w:pPr>
            <w:r w:rsidRPr="009C0DF1">
              <w:rPr>
                <w:b/>
                <w:bCs/>
                <w:i/>
                <w:iCs/>
                <w:color w:val="000000"/>
                <w:sz w:val="19"/>
                <w:szCs w:val="19"/>
              </w:rPr>
              <w:t>104,999</w:t>
            </w:r>
          </w:p>
        </w:tc>
        <w:tc>
          <w:tcPr>
            <w:tcW w:w="1980" w:type="dxa"/>
            <w:tcBorders>
              <w:top w:val="nil"/>
              <w:left w:val="nil"/>
              <w:bottom w:val="single" w:sz="8" w:space="0" w:color="448A99"/>
              <w:right w:val="single" w:sz="8" w:space="0" w:color="448A99"/>
            </w:tcBorders>
            <w:shd w:val="clear" w:color="000000" w:fill="D2EAF1"/>
            <w:vAlign w:val="center"/>
            <w:hideMark/>
          </w:tcPr>
          <w:p w:rsidR="00C23348" w:rsidRPr="009C0DF1" w:rsidRDefault="003D4B5A" w:rsidP="00C23348">
            <w:pPr>
              <w:jc w:val="center"/>
              <w:rPr>
                <w:b/>
                <w:bCs/>
                <w:i/>
                <w:iCs/>
                <w:color w:val="000000"/>
                <w:sz w:val="19"/>
                <w:szCs w:val="19"/>
              </w:rPr>
            </w:pPr>
            <w:r w:rsidRPr="009C0DF1">
              <w:rPr>
                <w:b/>
                <w:bCs/>
                <w:i/>
                <w:iCs/>
                <w:color w:val="000000"/>
                <w:sz w:val="19"/>
                <w:szCs w:val="19"/>
              </w:rPr>
              <w:t>377,189</w:t>
            </w:r>
          </w:p>
        </w:tc>
        <w:tc>
          <w:tcPr>
            <w:tcW w:w="1980" w:type="dxa"/>
            <w:tcBorders>
              <w:top w:val="nil"/>
              <w:left w:val="nil"/>
              <w:bottom w:val="single" w:sz="8" w:space="0" w:color="448A99"/>
              <w:right w:val="single" w:sz="8" w:space="0" w:color="448A99"/>
            </w:tcBorders>
            <w:shd w:val="clear" w:color="000000" w:fill="D2EAF1"/>
            <w:vAlign w:val="center"/>
            <w:hideMark/>
          </w:tcPr>
          <w:p w:rsidR="00C23348" w:rsidRPr="009C0DF1" w:rsidRDefault="00C23348" w:rsidP="00C23348">
            <w:pPr>
              <w:jc w:val="center"/>
              <w:rPr>
                <w:b/>
                <w:bCs/>
                <w:i/>
                <w:iCs/>
                <w:color w:val="000000"/>
                <w:sz w:val="19"/>
                <w:szCs w:val="19"/>
              </w:rPr>
            </w:pPr>
            <w:r w:rsidRPr="009C0DF1">
              <w:rPr>
                <w:b/>
                <w:bCs/>
                <w:i/>
                <w:iCs/>
                <w:color w:val="000000"/>
                <w:sz w:val="19"/>
                <w:szCs w:val="19"/>
              </w:rPr>
              <w:t>248,319</w:t>
            </w:r>
          </w:p>
        </w:tc>
      </w:tr>
    </w:tbl>
    <w:p w:rsidR="008B45A8" w:rsidRPr="009349F1" w:rsidRDefault="008B45A8" w:rsidP="009349F1"/>
    <w:p w:rsidR="00950837" w:rsidRPr="000D3563" w:rsidRDefault="00950837" w:rsidP="000D3563">
      <w:pPr>
        <w:pStyle w:val="AppendixAHeading2"/>
      </w:pPr>
      <w:r w:rsidRPr="000D3563">
        <w:t>Total Resource Cost Test</w:t>
      </w:r>
    </w:p>
    <w:p w:rsidR="002F0470" w:rsidRDefault="002F0470" w:rsidP="002F0470">
      <w:r>
        <w:fldChar w:fldCharType="begin"/>
      </w:r>
      <w:r>
        <w:instrText xml:space="preserve"> REF _Ref472444027 \h </w:instrText>
      </w:r>
      <w:r>
        <w:fldChar w:fldCharType="separate"/>
      </w:r>
      <w:r w:rsidR="00037CB4" w:rsidRPr="00E41D9C">
        <w:t>Table A-</w:t>
      </w:r>
      <w:r w:rsidR="00037CB4">
        <w:rPr>
          <w:noProof/>
        </w:rPr>
        <w:t>4</w:t>
      </w:r>
      <w:r>
        <w:fldChar w:fldCharType="end"/>
      </w:r>
      <w:r w:rsidRPr="002F0470">
        <w:t xml:space="preserve"> </w:t>
      </w:r>
      <w:r w:rsidRPr="007906EA">
        <w:t xml:space="preserve">presents TRC </w:t>
      </w:r>
      <w:r>
        <w:t xml:space="preserve">NPV </w:t>
      </w:r>
      <w:r w:rsidRPr="007906EA">
        <w:t xml:space="preserve">benefits, TRC </w:t>
      </w:r>
      <w:r>
        <w:t xml:space="preserve">NPV </w:t>
      </w:r>
      <w:r w:rsidRPr="007906EA">
        <w:t>costs, present value</w:t>
      </w:r>
      <w:r>
        <w:t xml:space="preserve"> of net benefits, and</w:t>
      </w:r>
      <w:r w:rsidR="00FC0D6B">
        <w:t xml:space="preserve"> the</w:t>
      </w:r>
      <w:r>
        <w:t xml:space="preserve"> TRC ratio</w:t>
      </w:r>
      <w:r w:rsidRPr="007906EA">
        <w:t xml:space="preserve"> f</w:t>
      </w:r>
      <w:r>
        <w:t>or Duquesne’s PY</w:t>
      </w:r>
      <w:r w:rsidR="00FC0D6B">
        <w:t>7</w:t>
      </w:r>
      <w:r>
        <w:t xml:space="preserve"> </w:t>
      </w:r>
      <w:r w:rsidRPr="007906EA">
        <w:t>individual programs</w:t>
      </w:r>
      <w:r>
        <w:t xml:space="preserve"> and total </w:t>
      </w:r>
      <w:r w:rsidRPr="00F62113">
        <w:t>portfolio according to the Duquesne TRC model provided to the SWE</w:t>
      </w:r>
      <w:r>
        <w:t xml:space="preserve"> for review</w:t>
      </w:r>
      <w:r w:rsidRPr="00F62113">
        <w:t xml:space="preserve">.  </w:t>
      </w:r>
      <w:r w:rsidRPr="00EE0E65">
        <w:t xml:space="preserve">The SWE found no initial inconsistencies between the TRC model outputs and </w:t>
      </w:r>
      <w:r>
        <w:t>the TRC results shown in the PY7</w:t>
      </w:r>
      <w:r w:rsidRPr="00EE0E65">
        <w:t xml:space="preserve"> </w:t>
      </w:r>
      <w:r>
        <w:t>a</w:t>
      </w:r>
      <w:r w:rsidRPr="00EE0E65">
        <w:t xml:space="preserve">nnual </w:t>
      </w:r>
      <w:r>
        <w:t>r</w:t>
      </w:r>
      <w:r w:rsidRPr="00EE0E65">
        <w:t>eport.</w:t>
      </w:r>
    </w:p>
    <w:p w:rsidR="00A84212" w:rsidRDefault="00A84212" w:rsidP="00A84212"/>
    <w:p w:rsidR="008B45A8" w:rsidRDefault="008B45A8" w:rsidP="004837FA">
      <w:pPr>
        <w:pStyle w:val="Caption"/>
      </w:pPr>
      <w:bookmarkStart w:id="506" w:name="_Ref472444027"/>
      <w:bookmarkStart w:id="507" w:name="_Toc472472413"/>
      <w:bookmarkStart w:id="508" w:name="_Toc488741832"/>
      <w:r w:rsidRPr="00E41D9C">
        <w:t>Table A-</w:t>
      </w:r>
      <w:r w:rsidR="007973A4">
        <w:fldChar w:fldCharType="begin"/>
      </w:r>
      <w:r w:rsidR="007973A4">
        <w:instrText xml:space="preserve"> SEQ Table_A- \* ARABIC </w:instrText>
      </w:r>
      <w:r w:rsidR="007973A4">
        <w:fldChar w:fldCharType="separate"/>
      </w:r>
      <w:r w:rsidR="00037CB4">
        <w:rPr>
          <w:noProof/>
        </w:rPr>
        <w:t>4</w:t>
      </w:r>
      <w:r w:rsidR="007973A4">
        <w:rPr>
          <w:noProof/>
        </w:rPr>
        <w:fldChar w:fldCharType="end"/>
      </w:r>
      <w:bookmarkEnd w:id="506"/>
      <w:r w:rsidRPr="00E41D9C">
        <w:t xml:space="preserve">: </w:t>
      </w:r>
      <w:r w:rsidRPr="008B45A8">
        <w:t>Summary of Duquesne’s PY</w:t>
      </w:r>
      <w:r>
        <w:t>7</w:t>
      </w:r>
      <w:r w:rsidRPr="008B45A8">
        <w:t xml:space="preserve"> TRC Factors and Results</w:t>
      </w:r>
      <w:bookmarkEnd w:id="507"/>
      <w:bookmarkEnd w:id="508"/>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50"/>
        <w:gridCol w:w="1552"/>
        <w:gridCol w:w="1553"/>
        <w:gridCol w:w="1552"/>
        <w:gridCol w:w="1553"/>
      </w:tblGrid>
      <w:tr w:rsidR="00A874AC" w:rsidRPr="000D3563" w:rsidTr="009349F1">
        <w:trPr>
          <w:trHeight w:val="629"/>
          <w:tblHeader/>
          <w:jc w:val="center"/>
        </w:trPr>
        <w:tc>
          <w:tcPr>
            <w:tcW w:w="3150" w:type="dxa"/>
            <w:shd w:val="clear" w:color="000000" w:fill="448A99"/>
            <w:noWrap/>
            <w:vAlign w:val="bottom"/>
            <w:hideMark/>
          </w:tcPr>
          <w:p w:rsidR="002F0470" w:rsidRPr="000D3563" w:rsidRDefault="002F0470" w:rsidP="002F0470">
            <w:pPr>
              <w:jc w:val="left"/>
              <w:rPr>
                <w:b/>
                <w:bCs/>
                <w:color w:val="FFFFFF"/>
                <w:sz w:val="19"/>
                <w:szCs w:val="19"/>
              </w:rPr>
            </w:pPr>
            <w:r w:rsidRPr="000D3563">
              <w:rPr>
                <w:b/>
                <w:bCs/>
                <w:color w:val="FFFFFF"/>
                <w:sz w:val="19"/>
                <w:szCs w:val="19"/>
              </w:rPr>
              <w:t>Program</w:t>
            </w:r>
          </w:p>
        </w:tc>
        <w:tc>
          <w:tcPr>
            <w:tcW w:w="1552" w:type="dxa"/>
            <w:shd w:val="clear" w:color="000000" w:fill="448A99"/>
            <w:vAlign w:val="bottom"/>
            <w:hideMark/>
          </w:tcPr>
          <w:p w:rsidR="002F0470" w:rsidRPr="000D3563" w:rsidRDefault="002F0470" w:rsidP="002F0470">
            <w:pPr>
              <w:jc w:val="center"/>
              <w:rPr>
                <w:b/>
                <w:bCs/>
                <w:color w:val="FFFFFF"/>
                <w:sz w:val="19"/>
                <w:szCs w:val="19"/>
              </w:rPr>
            </w:pPr>
            <w:r w:rsidRPr="000D3563">
              <w:rPr>
                <w:b/>
                <w:bCs/>
                <w:color w:val="FFFFFF"/>
                <w:sz w:val="19"/>
                <w:szCs w:val="19"/>
              </w:rPr>
              <w:t>TRC NPV Benefits</w:t>
            </w:r>
          </w:p>
          <w:p w:rsidR="002F0470" w:rsidRPr="000D3563" w:rsidRDefault="002F0470" w:rsidP="002F0470">
            <w:pPr>
              <w:jc w:val="center"/>
              <w:rPr>
                <w:rFonts w:eastAsia="Calibri"/>
                <w:b/>
                <w:bCs/>
                <w:color w:val="FFFFFF"/>
                <w:sz w:val="19"/>
                <w:szCs w:val="19"/>
              </w:rPr>
            </w:pPr>
            <w:r w:rsidRPr="000D3563">
              <w:rPr>
                <w:b/>
                <w:bCs/>
                <w:color w:val="FFFFFF"/>
                <w:sz w:val="19"/>
                <w:szCs w:val="19"/>
              </w:rPr>
              <w:t>($)</w:t>
            </w:r>
          </w:p>
        </w:tc>
        <w:tc>
          <w:tcPr>
            <w:tcW w:w="1553" w:type="dxa"/>
            <w:shd w:val="clear" w:color="000000" w:fill="448A99"/>
            <w:vAlign w:val="bottom"/>
            <w:hideMark/>
          </w:tcPr>
          <w:p w:rsidR="002F0470" w:rsidRPr="000D3563" w:rsidRDefault="002F0470" w:rsidP="002F0470">
            <w:pPr>
              <w:jc w:val="center"/>
              <w:rPr>
                <w:rFonts w:eastAsia="Calibri"/>
                <w:b/>
                <w:bCs/>
                <w:color w:val="FFFFFF"/>
                <w:sz w:val="19"/>
                <w:szCs w:val="19"/>
              </w:rPr>
            </w:pPr>
            <w:r w:rsidRPr="000D3563">
              <w:rPr>
                <w:b/>
                <w:bCs/>
                <w:color w:val="FFFFFF"/>
                <w:sz w:val="19"/>
                <w:szCs w:val="19"/>
              </w:rPr>
              <w:t>TRC NPV Costs</w:t>
            </w:r>
          </w:p>
          <w:p w:rsidR="002F0470" w:rsidRPr="000D3563" w:rsidRDefault="002F0470" w:rsidP="002F0470">
            <w:pPr>
              <w:jc w:val="center"/>
              <w:rPr>
                <w:rFonts w:eastAsia="Calibri"/>
                <w:b/>
                <w:bCs/>
                <w:color w:val="FFFFFF"/>
                <w:sz w:val="19"/>
                <w:szCs w:val="19"/>
              </w:rPr>
            </w:pPr>
            <w:r w:rsidRPr="000D3563">
              <w:rPr>
                <w:b/>
                <w:bCs/>
                <w:color w:val="FFFFFF"/>
                <w:sz w:val="19"/>
                <w:szCs w:val="19"/>
              </w:rPr>
              <w:t>($)</w:t>
            </w:r>
          </w:p>
        </w:tc>
        <w:tc>
          <w:tcPr>
            <w:tcW w:w="1552" w:type="dxa"/>
            <w:shd w:val="clear" w:color="000000" w:fill="448A99"/>
            <w:vAlign w:val="bottom"/>
          </w:tcPr>
          <w:p w:rsidR="002F0470" w:rsidRPr="000D3563" w:rsidRDefault="002F0470" w:rsidP="002F0470">
            <w:pPr>
              <w:jc w:val="center"/>
              <w:rPr>
                <w:rFonts w:eastAsia="Calibri"/>
                <w:b/>
                <w:bCs/>
                <w:color w:val="FFFFFF"/>
                <w:sz w:val="19"/>
                <w:szCs w:val="19"/>
              </w:rPr>
            </w:pPr>
            <w:r w:rsidRPr="000D3563">
              <w:rPr>
                <w:b/>
                <w:bCs/>
                <w:color w:val="FFFFFF"/>
                <w:sz w:val="19"/>
                <w:szCs w:val="19"/>
              </w:rPr>
              <w:t>Present Value of Net Benefits</w:t>
            </w:r>
          </w:p>
          <w:p w:rsidR="002F0470" w:rsidRPr="000D3563" w:rsidRDefault="002F0470" w:rsidP="002F0470">
            <w:pPr>
              <w:jc w:val="center"/>
              <w:rPr>
                <w:rFonts w:eastAsia="Calibri"/>
                <w:b/>
                <w:bCs/>
                <w:color w:val="FFFFFF"/>
                <w:sz w:val="19"/>
                <w:szCs w:val="19"/>
              </w:rPr>
            </w:pPr>
            <w:r w:rsidRPr="000D3563">
              <w:rPr>
                <w:b/>
                <w:bCs/>
                <w:color w:val="FFFFFF"/>
                <w:sz w:val="19"/>
                <w:szCs w:val="19"/>
              </w:rPr>
              <w:t>($)</w:t>
            </w:r>
          </w:p>
        </w:tc>
        <w:tc>
          <w:tcPr>
            <w:tcW w:w="1553" w:type="dxa"/>
            <w:shd w:val="clear" w:color="000000" w:fill="448A99"/>
            <w:noWrap/>
            <w:vAlign w:val="bottom"/>
            <w:hideMark/>
          </w:tcPr>
          <w:p w:rsidR="002F0470" w:rsidRPr="000D3563" w:rsidRDefault="002F0470" w:rsidP="002F0470">
            <w:pPr>
              <w:jc w:val="center"/>
              <w:rPr>
                <w:rFonts w:eastAsia="Calibri"/>
                <w:b/>
                <w:bCs/>
                <w:color w:val="FFFFFF"/>
                <w:sz w:val="19"/>
                <w:szCs w:val="19"/>
              </w:rPr>
            </w:pPr>
            <w:r w:rsidRPr="000D3563">
              <w:rPr>
                <w:b/>
                <w:bCs/>
                <w:color w:val="FFFFFF"/>
                <w:sz w:val="19"/>
                <w:szCs w:val="19"/>
              </w:rPr>
              <w:t>TRC Ratio</w:t>
            </w:r>
          </w:p>
        </w:tc>
      </w:tr>
      <w:tr w:rsidR="00A874AC" w:rsidRPr="000D3563" w:rsidTr="009349F1">
        <w:trPr>
          <w:trHeight w:val="346"/>
          <w:jc w:val="center"/>
        </w:trPr>
        <w:tc>
          <w:tcPr>
            <w:tcW w:w="3150" w:type="dxa"/>
            <w:shd w:val="clear" w:color="000000" w:fill="D2EAF1"/>
            <w:noWrap/>
            <w:vAlign w:val="center"/>
          </w:tcPr>
          <w:p w:rsidR="00C97965" w:rsidRPr="000D3563" w:rsidRDefault="00C97965" w:rsidP="00C97965">
            <w:pPr>
              <w:jc w:val="left"/>
              <w:rPr>
                <w:bCs/>
                <w:sz w:val="19"/>
                <w:szCs w:val="19"/>
              </w:rPr>
            </w:pPr>
            <w:r w:rsidRPr="000D3563">
              <w:rPr>
                <w:rFonts w:cs="Arial"/>
                <w:bCs/>
                <w:sz w:val="19"/>
                <w:szCs w:val="19"/>
              </w:rPr>
              <w:t>Residential EE Program</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sz w:val="19"/>
                <w:szCs w:val="19"/>
              </w:rPr>
              <w:t>$26,015,654</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$9,182,514</w:t>
            </w:r>
          </w:p>
        </w:tc>
        <w:tc>
          <w:tcPr>
            <w:tcW w:w="1552" w:type="dxa"/>
            <w:tcBorders>
              <w:top w:val="nil"/>
              <w:left w:val="nil"/>
              <w:bottom w:val="single" w:sz="8" w:space="0" w:color="448A99"/>
              <w:right w:val="single" w:sz="8" w:space="0" w:color="448A99"/>
            </w:tcBorders>
            <w:shd w:val="clear" w:color="000000" w:fill="D2EAF1"/>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$16,833,140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2.83</w:t>
            </w:r>
          </w:p>
        </w:tc>
      </w:tr>
      <w:tr w:rsidR="00C97965" w:rsidRPr="000D3563" w:rsidTr="00BC615D">
        <w:trPr>
          <w:trHeight w:val="346"/>
          <w:jc w:val="center"/>
        </w:trPr>
        <w:tc>
          <w:tcPr>
            <w:tcW w:w="3150" w:type="dxa"/>
            <w:shd w:val="clear" w:color="auto" w:fill="auto"/>
            <w:noWrap/>
            <w:vAlign w:val="center"/>
          </w:tcPr>
          <w:p w:rsidR="00C97965" w:rsidRPr="000D3563" w:rsidRDefault="00C97965" w:rsidP="00C97965">
            <w:pPr>
              <w:jc w:val="left"/>
              <w:rPr>
                <w:bCs/>
                <w:sz w:val="19"/>
                <w:szCs w:val="19"/>
              </w:rPr>
            </w:pPr>
            <w:r w:rsidRPr="000D3563">
              <w:rPr>
                <w:rFonts w:cs="Arial"/>
                <w:bCs/>
                <w:sz w:val="19"/>
                <w:szCs w:val="19"/>
              </w:rPr>
              <w:t>School Energy Pledge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sz w:val="19"/>
                <w:szCs w:val="19"/>
              </w:rPr>
              <w:t>$8,252</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$141,335 </w:t>
            </w:r>
          </w:p>
        </w:tc>
        <w:tc>
          <w:tcPr>
            <w:tcW w:w="1552" w:type="dxa"/>
            <w:tcBorders>
              <w:top w:val="nil"/>
              <w:left w:val="nil"/>
              <w:bottom w:val="single" w:sz="8" w:space="0" w:color="448A99"/>
              <w:right w:val="single" w:sz="8" w:space="0" w:color="448A99"/>
            </w:tcBorders>
            <w:shd w:val="clear" w:color="auto" w:fill="auto"/>
            <w:vAlign w:val="center"/>
          </w:tcPr>
          <w:p w:rsidR="00C97965" w:rsidRPr="000D3563" w:rsidRDefault="00C97965" w:rsidP="00C97965">
            <w:pPr>
              <w:jc w:val="center"/>
              <w:rPr>
                <w:rFonts w:cs="Arial"/>
                <w:color w:val="000000"/>
                <w:sz w:val="19"/>
                <w:szCs w:val="19"/>
              </w:rPr>
            </w:pPr>
            <w:r w:rsidRPr="000D3563">
              <w:rPr>
                <w:rFonts w:cs="Arial"/>
                <w:color w:val="FF0000"/>
                <w:sz w:val="19"/>
                <w:szCs w:val="19"/>
              </w:rPr>
              <w:t>($133,083)</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0.06</w:t>
            </w:r>
          </w:p>
        </w:tc>
      </w:tr>
      <w:tr w:rsidR="00A874AC" w:rsidRPr="000D3563" w:rsidTr="009349F1">
        <w:trPr>
          <w:trHeight w:val="346"/>
          <w:jc w:val="center"/>
        </w:trPr>
        <w:tc>
          <w:tcPr>
            <w:tcW w:w="3150" w:type="dxa"/>
            <w:shd w:val="clear" w:color="000000" w:fill="D2EAF1"/>
            <w:noWrap/>
            <w:vAlign w:val="center"/>
          </w:tcPr>
          <w:p w:rsidR="00C97965" w:rsidRPr="000D3563" w:rsidRDefault="00C97965" w:rsidP="00C97965">
            <w:pPr>
              <w:jc w:val="left"/>
              <w:rPr>
                <w:bCs/>
                <w:sz w:val="19"/>
                <w:szCs w:val="19"/>
              </w:rPr>
            </w:pPr>
            <w:r w:rsidRPr="000D3563">
              <w:rPr>
                <w:rFonts w:cs="Arial"/>
                <w:bCs/>
                <w:sz w:val="19"/>
                <w:szCs w:val="19"/>
              </w:rPr>
              <w:t>Appliance Recycling</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sz w:val="19"/>
                <w:szCs w:val="19"/>
              </w:rPr>
              <w:t>$652,924</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$489,749 </w:t>
            </w:r>
          </w:p>
        </w:tc>
        <w:tc>
          <w:tcPr>
            <w:tcW w:w="1552" w:type="dxa"/>
            <w:tcBorders>
              <w:top w:val="nil"/>
              <w:left w:val="nil"/>
              <w:bottom w:val="single" w:sz="8" w:space="0" w:color="448A99"/>
              <w:right w:val="single" w:sz="8" w:space="0" w:color="448A99"/>
            </w:tcBorders>
            <w:shd w:val="clear" w:color="000000" w:fill="D2EAF1"/>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$163,175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1.50</w:t>
            </w:r>
          </w:p>
        </w:tc>
      </w:tr>
      <w:tr w:rsidR="00C97965" w:rsidRPr="000D3563" w:rsidTr="00BC615D">
        <w:trPr>
          <w:trHeight w:val="346"/>
          <w:jc w:val="center"/>
        </w:trPr>
        <w:tc>
          <w:tcPr>
            <w:tcW w:w="3150" w:type="dxa"/>
            <w:shd w:val="clear" w:color="auto" w:fill="auto"/>
            <w:noWrap/>
            <w:vAlign w:val="center"/>
          </w:tcPr>
          <w:p w:rsidR="00C97965" w:rsidRPr="000D3563" w:rsidRDefault="00C97965" w:rsidP="00C97965">
            <w:pPr>
              <w:jc w:val="left"/>
              <w:rPr>
                <w:bCs/>
                <w:sz w:val="19"/>
                <w:szCs w:val="19"/>
              </w:rPr>
            </w:pPr>
            <w:r w:rsidRPr="000D3563">
              <w:rPr>
                <w:rFonts w:cs="Arial"/>
                <w:bCs/>
                <w:sz w:val="19"/>
                <w:szCs w:val="19"/>
              </w:rPr>
              <w:t>Whole House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sz w:val="19"/>
                <w:szCs w:val="19"/>
              </w:rPr>
              <w:t>$10,004</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$370,397 </w:t>
            </w:r>
          </w:p>
        </w:tc>
        <w:tc>
          <w:tcPr>
            <w:tcW w:w="1552" w:type="dxa"/>
            <w:tcBorders>
              <w:top w:val="nil"/>
              <w:left w:val="nil"/>
              <w:bottom w:val="single" w:sz="8" w:space="0" w:color="448A99"/>
              <w:right w:val="single" w:sz="8" w:space="0" w:color="448A99"/>
            </w:tcBorders>
            <w:shd w:val="clear" w:color="auto" w:fill="auto"/>
            <w:vAlign w:val="center"/>
          </w:tcPr>
          <w:p w:rsidR="00C97965" w:rsidRPr="000D3563" w:rsidRDefault="00C97965" w:rsidP="00C97965">
            <w:pPr>
              <w:jc w:val="center"/>
              <w:rPr>
                <w:rFonts w:cs="Arial"/>
                <w:color w:val="000000"/>
                <w:sz w:val="19"/>
                <w:szCs w:val="19"/>
              </w:rPr>
            </w:pPr>
            <w:r w:rsidRPr="000D3563">
              <w:rPr>
                <w:rFonts w:cs="Arial"/>
                <w:color w:val="FF0000"/>
                <w:sz w:val="19"/>
                <w:szCs w:val="19"/>
              </w:rPr>
              <w:t>($360,394)</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0.03</w:t>
            </w:r>
          </w:p>
        </w:tc>
      </w:tr>
      <w:tr w:rsidR="00A874AC" w:rsidRPr="000D3563" w:rsidTr="009349F1">
        <w:trPr>
          <w:trHeight w:val="346"/>
          <w:jc w:val="center"/>
        </w:trPr>
        <w:tc>
          <w:tcPr>
            <w:tcW w:w="3150" w:type="dxa"/>
            <w:shd w:val="clear" w:color="000000" w:fill="D2EAF1"/>
            <w:noWrap/>
            <w:vAlign w:val="center"/>
          </w:tcPr>
          <w:p w:rsidR="00C97965" w:rsidRPr="000D3563" w:rsidRDefault="00C97965" w:rsidP="00C97965">
            <w:pPr>
              <w:jc w:val="left"/>
              <w:rPr>
                <w:bCs/>
                <w:sz w:val="19"/>
                <w:szCs w:val="19"/>
              </w:rPr>
            </w:pPr>
            <w:r w:rsidRPr="000D3563">
              <w:rPr>
                <w:rFonts w:cs="Arial"/>
                <w:bCs/>
                <w:sz w:val="19"/>
                <w:szCs w:val="19"/>
              </w:rPr>
              <w:t>Home Energy Reports</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sz w:val="19"/>
                <w:szCs w:val="19"/>
              </w:rPr>
              <w:t>$1,292,138</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$710,616</w:t>
            </w:r>
          </w:p>
        </w:tc>
        <w:tc>
          <w:tcPr>
            <w:tcW w:w="1552" w:type="dxa"/>
            <w:tcBorders>
              <w:top w:val="nil"/>
              <w:left w:val="nil"/>
              <w:bottom w:val="single" w:sz="8" w:space="0" w:color="448A99"/>
              <w:right w:val="single" w:sz="8" w:space="0" w:color="448A99"/>
            </w:tcBorders>
            <w:shd w:val="clear" w:color="000000" w:fill="D2EAF1"/>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$581,522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1.82</w:t>
            </w:r>
          </w:p>
        </w:tc>
      </w:tr>
      <w:tr w:rsidR="00C97965" w:rsidRPr="000D3563" w:rsidTr="00BC615D">
        <w:trPr>
          <w:trHeight w:val="346"/>
          <w:jc w:val="center"/>
        </w:trPr>
        <w:tc>
          <w:tcPr>
            <w:tcW w:w="3150" w:type="dxa"/>
            <w:shd w:val="clear" w:color="auto" w:fill="auto"/>
            <w:noWrap/>
            <w:vAlign w:val="center"/>
          </w:tcPr>
          <w:p w:rsidR="00C97965" w:rsidRPr="000D3563" w:rsidRDefault="00C97965" w:rsidP="00C97965">
            <w:pPr>
              <w:jc w:val="left"/>
              <w:rPr>
                <w:bCs/>
                <w:sz w:val="19"/>
                <w:szCs w:val="19"/>
              </w:rPr>
            </w:pPr>
            <w:r w:rsidRPr="000D3563">
              <w:rPr>
                <w:rFonts w:cs="Arial"/>
                <w:bCs/>
                <w:sz w:val="19"/>
                <w:szCs w:val="19"/>
              </w:rPr>
              <w:t>Low-Income EE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sz w:val="19"/>
                <w:szCs w:val="19"/>
              </w:rPr>
              <w:t>$1,</w:t>
            </w:r>
            <w:r w:rsidR="0014398B">
              <w:rPr>
                <w:sz w:val="19"/>
                <w:szCs w:val="19"/>
              </w:rPr>
              <w:t>175,731</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$453,848</w:t>
            </w:r>
          </w:p>
        </w:tc>
        <w:tc>
          <w:tcPr>
            <w:tcW w:w="1552" w:type="dxa"/>
            <w:tcBorders>
              <w:top w:val="nil"/>
              <w:left w:val="nil"/>
              <w:bottom w:val="single" w:sz="8" w:space="0" w:color="448A99"/>
              <w:right w:val="single" w:sz="8" w:space="0" w:color="448A99"/>
            </w:tcBorders>
            <w:shd w:val="clear" w:color="auto" w:fill="auto"/>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w:t>
            </w:r>
            <w:r w:rsidR="0014398B">
              <w:rPr>
                <w:rFonts w:cs="Arial"/>
                <w:color w:val="000000"/>
                <w:sz w:val="19"/>
                <w:szCs w:val="19"/>
              </w:rPr>
              <w:t>721,883</w:t>
            </w:r>
            <w:r w:rsidRPr="000D3563">
              <w:rPr>
                <w:rFonts w:cs="Arial"/>
                <w:color w:val="000000"/>
                <w:sz w:val="19"/>
                <w:szCs w:val="19"/>
              </w:rPr>
              <w:t xml:space="preserve">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2.</w:t>
            </w:r>
            <w:r w:rsidR="0014398B">
              <w:rPr>
                <w:rFonts w:cs="Arial"/>
                <w:color w:val="000000"/>
                <w:sz w:val="19"/>
                <w:szCs w:val="19"/>
              </w:rPr>
              <w:t>59</w:t>
            </w:r>
          </w:p>
        </w:tc>
      </w:tr>
      <w:tr w:rsidR="00A874AC" w:rsidRPr="000D3563" w:rsidTr="009349F1">
        <w:trPr>
          <w:trHeight w:val="346"/>
          <w:jc w:val="center"/>
        </w:trPr>
        <w:tc>
          <w:tcPr>
            <w:tcW w:w="3150" w:type="dxa"/>
            <w:shd w:val="clear" w:color="000000" w:fill="D2EAF1"/>
            <w:vAlign w:val="center"/>
          </w:tcPr>
          <w:p w:rsidR="00C97965" w:rsidRPr="000D3563" w:rsidRDefault="00C97965" w:rsidP="00C97965">
            <w:pPr>
              <w:jc w:val="left"/>
              <w:rPr>
                <w:bCs/>
                <w:sz w:val="19"/>
                <w:szCs w:val="19"/>
              </w:rPr>
            </w:pPr>
            <w:r w:rsidRPr="000D3563">
              <w:rPr>
                <w:rFonts w:cs="Arial"/>
                <w:bCs/>
                <w:sz w:val="19"/>
                <w:szCs w:val="19"/>
              </w:rPr>
              <w:t>Commercial Sector Umbrella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sz w:val="19"/>
                <w:szCs w:val="19"/>
              </w:rPr>
              <w:t>$5,193,435</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$2,426,126 </w:t>
            </w:r>
          </w:p>
        </w:tc>
        <w:tc>
          <w:tcPr>
            <w:tcW w:w="1552" w:type="dxa"/>
            <w:tcBorders>
              <w:top w:val="nil"/>
              <w:left w:val="nil"/>
              <w:bottom w:val="single" w:sz="8" w:space="0" w:color="448A99"/>
              <w:right w:val="single" w:sz="8" w:space="0" w:color="448A99"/>
            </w:tcBorders>
            <w:shd w:val="clear" w:color="000000" w:fill="D2EAF1"/>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$2,767,309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2.14</w:t>
            </w:r>
          </w:p>
        </w:tc>
      </w:tr>
      <w:tr w:rsidR="00C97965" w:rsidRPr="000D3563" w:rsidTr="00BC615D">
        <w:trPr>
          <w:trHeight w:val="346"/>
          <w:jc w:val="center"/>
        </w:trPr>
        <w:tc>
          <w:tcPr>
            <w:tcW w:w="3150" w:type="dxa"/>
            <w:shd w:val="clear" w:color="auto" w:fill="auto"/>
            <w:vAlign w:val="center"/>
          </w:tcPr>
          <w:p w:rsidR="00C97965" w:rsidRPr="000D3563" w:rsidRDefault="00C97965" w:rsidP="00C97965">
            <w:pPr>
              <w:jc w:val="left"/>
              <w:rPr>
                <w:sz w:val="19"/>
                <w:szCs w:val="19"/>
              </w:rPr>
            </w:pPr>
            <w:r w:rsidRPr="000D3563">
              <w:rPr>
                <w:rFonts w:cs="Arial"/>
                <w:bCs/>
                <w:sz w:val="19"/>
                <w:szCs w:val="19"/>
              </w:rPr>
              <w:t>Healthcare EE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sz w:val="19"/>
                <w:szCs w:val="19"/>
              </w:rPr>
              <w:t>$3,210,938</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$1,580,628 </w:t>
            </w:r>
          </w:p>
        </w:tc>
        <w:tc>
          <w:tcPr>
            <w:tcW w:w="1552" w:type="dxa"/>
            <w:tcBorders>
              <w:top w:val="nil"/>
              <w:left w:val="nil"/>
              <w:bottom w:val="single" w:sz="8" w:space="0" w:color="448A99"/>
              <w:right w:val="single" w:sz="8" w:space="0" w:color="448A99"/>
            </w:tcBorders>
            <w:shd w:val="clear" w:color="auto" w:fill="auto"/>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$1,630,310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2.03</w:t>
            </w:r>
          </w:p>
        </w:tc>
      </w:tr>
      <w:tr w:rsidR="00A874AC" w:rsidRPr="000D3563" w:rsidTr="009349F1">
        <w:trPr>
          <w:trHeight w:val="346"/>
          <w:jc w:val="center"/>
        </w:trPr>
        <w:tc>
          <w:tcPr>
            <w:tcW w:w="3150" w:type="dxa"/>
            <w:shd w:val="clear" w:color="000000" w:fill="D2EAF1"/>
            <w:vAlign w:val="center"/>
          </w:tcPr>
          <w:p w:rsidR="00C97965" w:rsidRPr="000D3563" w:rsidRDefault="00C97965" w:rsidP="00C97965">
            <w:pPr>
              <w:jc w:val="left"/>
              <w:rPr>
                <w:bCs/>
                <w:sz w:val="19"/>
                <w:szCs w:val="19"/>
              </w:rPr>
            </w:pPr>
            <w:r w:rsidRPr="000D3563">
              <w:rPr>
                <w:rFonts w:cs="Arial"/>
                <w:bCs/>
                <w:sz w:val="19"/>
                <w:szCs w:val="19"/>
              </w:rPr>
              <w:t>Industrial Sector Umbrella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sz w:val="19"/>
                <w:szCs w:val="19"/>
              </w:rPr>
              <w:t>$56,094</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$101,625 </w:t>
            </w:r>
          </w:p>
        </w:tc>
        <w:tc>
          <w:tcPr>
            <w:tcW w:w="1552" w:type="dxa"/>
            <w:tcBorders>
              <w:top w:val="nil"/>
              <w:left w:val="nil"/>
              <w:bottom w:val="single" w:sz="8" w:space="0" w:color="448A99"/>
              <w:right w:val="single" w:sz="8" w:space="0" w:color="448A99"/>
            </w:tcBorders>
            <w:shd w:val="clear" w:color="000000" w:fill="D2EAF1"/>
            <w:vAlign w:val="center"/>
          </w:tcPr>
          <w:p w:rsidR="00C97965" w:rsidRPr="000D3563" w:rsidRDefault="00C97965" w:rsidP="00C97965">
            <w:pPr>
              <w:jc w:val="center"/>
              <w:rPr>
                <w:rFonts w:cs="Arial"/>
                <w:color w:val="000000"/>
                <w:sz w:val="19"/>
                <w:szCs w:val="19"/>
              </w:rPr>
            </w:pPr>
            <w:r w:rsidRPr="000D3563">
              <w:rPr>
                <w:rFonts w:cs="Arial"/>
                <w:color w:val="FF0000"/>
                <w:sz w:val="19"/>
                <w:szCs w:val="19"/>
              </w:rPr>
              <w:t>($45,532)</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0.55</w:t>
            </w:r>
          </w:p>
        </w:tc>
      </w:tr>
      <w:tr w:rsidR="00C97965" w:rsidRPr="000D3563" w:rsidTr="00BC615D">
        <w:trPr>
          <w:trHeight w:val="346"/>
          <w:jc w:val="center"/>
        </w:trPr>
        <w:tc>
          <w:tcPr>
            <w:tcW w:w="3150" w:type="dxa"/>
            <w:shd w:val="clear" w:color="auto" w:fill="auto"/>
            <w:vAlign w:val="center"/>
          </w:tcPr>
          <w:p w:rsidR="00C97965" w:rsidRPr="000D3563" w:rsidRDefault="00C97965" w:rsidP="00C97965">
            <w:pPr>
              <w:jc w:val="left"/>
              <w:rPr>
                <w:bCs/>
                <w:sz w:val="19"/>
                <w:szCs w:val="19"/>
              </w:rPr>
            </w:pPr>
            <w:r w:rsidRPr="000D3563">
              <w:rPr>
                <w:rFonts w:cs="Arial"/>
                <w:bCs/>
                <w:sz w:val="19"/>
                <w:szCs w:val="19"/>
              </w:rPr>
              <w:t>Chemical Products EE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sz w:val="19"/>
                <w:szCs w:val="19"/>
              </w:rPr>
              <w:t>$15,169,346</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$6,242,843 </w:t>
            </w:r>
          </w:p>
        </w:tc>
        <w:tc>
          <w:tcPr>
            <w:tcW w:w="1552" w:type="dxa"/>
            <w:tcBorders>
              <w:top w:val="nil"/>
              <w:left w:val="nil"/>
              <w:bottom w:val="single" w:sz="8" w:space="0" w:color="448A99"/>
              <w:right w:val="single" w:sz="8" w:space="0" w:color="448A99"/>
            </w:tcBorders>
            <w:shd w:val="clear" w:color="auto" w:fill="auto"/>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$8,926,502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2.43</w:t>
            </w:r>
          </w:p>
        </w:tc>
      </w:tr>
      <w:tr w:rsidR="00A874AC" w:rsidRPr="000D3563" w:rsidTr="009349F1">
        <w:trPr>
          <w:trHeight w:val="346"/>
          <w:jc w:val="center"/>
        </w:trPr>
        <w:tc>
          <w:tcPr>
            <w:tcW w:w="3150" w:type="dxa"/>
            <w:shd w:val="clear" w:color="000000" w:fill="D2EAF1"/>
            <w:noWrap/>
            <w:vAlign w:val="center"/>
          </w:tcPr>
          <w:p w:rsidR="00C97965" w:rsidRPr="000D3563" w:rsidRDefault="00C97965" w:rsidP="00C97965">
            <w:pPr>
              <w:jc w:val="left"/>
              <w:rPr>
                <w:bCs/>
                <w:sz w:val="19"/>
                <w:szCs w:val="19"/>
              </w:rPr>
            </w:pPr>
            <w:r w:rsidRPr="000D3563">
              <w:rPr>
                <w:rFonts w:cs="Arial"/>
                <w:bCs/>
                <w:iCs/>
                <w:sz w:val="19"/>
                <w:szCs w:val="19"/>
              </w:rPr>
              <w:t>Mixed Industrial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sz w:val="19"/>
                <w:szCs w:val="19"/>
              </w:rPr>
              <w:t>$3,532,819</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$929,713 </w:t>
            </w:r>
          </w:p>
        </w:tc>
        <w:tc>
          <w:tcPr>
            <w:tcW w:w="1552" w:type="dxa"/>
            <w:tcBorders>
              <w:top w:val="nil"/>
              <w:left w:val="nil"/>
              <w:bottom w:val="single" w:sz="8" w:space="0" w:color="448A99"/>
              <w:right w:val="single" w:sz="8" w:space="0" w:color="448A99"/>
            </w:tcBorders>
            <w:shd w:val="clear" w:color="000000" w:fill="D2EAF1"/>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$2,603,106</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3.80</w:t>
            </w:r>
          </w:p>
        </w:tc>
      </w:tr>
      <w:tr w:rsidR="00C97965" w:rsidRPr="000D3563" w:rsidTr="00BC615D">
        <w:trPr>
          <w:trHeight w:val="346"/>
          <w:jc w:val="center"/>
        </w:trPr>
        <w:tc>
          <w:tcPr>
            <w:tcW w:w="3150" w:type="dxa"/>
            <w:shd w:val="clear" w:color="auto" w:fill="auto"/>
            <w:vAlign w:val="center"/>
          </w:tcPr>
          <w:p w:rsidR="00C97965" w:rsidRPr="000D3563" w:rsidRDefault="00C97965" w:rsidP="00C97965">
            <w:pPr>
              <w:jc w:val="left"/>
              <w:rPr>
                <w:bCs/>
                <w:sz w:val="19"/>
                <w:szCs w:val="19"/>
              </w:rPr>
            </w:pPr>
            <w:r w:rsidRPr="000D3563">
              <w:rPr>
                <w:rFonts w:cs="Arial"/>
                <w:bCs/>
                <w:sz w:val="19"/>
                <w:szCs w:val="19"/>
              </w:rPr>
              <w:t>Office Buildings EE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sz w:val="19"/>
                <w:szCs w:val="19"/>
              </w:rPr>
              <w:t>$6,496,345</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$5,371,514 </w:t>
            </w:r>
          </w:p>
        </w:tc>
        <w:tc>
          <w:tcPr>
            <w:tcW w:w="1552" w:type="dxa"/>
            <w:tcBorders>
              <w:top w:val="nil"/>
              <w:left w:val="nil"/>
              <w:bottom w:val="single" w:sz="8" w:space="0" w:color="448A99"/>
              <w:right w:val="single" w:sz="8" w:space="0" w:color="448A99"/>
            </w:tcBorders>
            <w:shd w:val="clear" w:color="auto" w:fill="auto"/>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$1,124,831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1.21</w:t>
            </w:r>
          </w:p>
        </w:tc>
      </w:tr>
      <w:tr w:rsidR="00A874AC" w:rsidRPr="000D3563" w:rsidTr="009349F1">
        <w:trPr>
          <w:trHeight w:val="346"/>
          <w:jc w:val="center"/>
        </w:trPr>
        <w:tc>
          <w:tcPr>
            <w:tcW w:w="3150" w:type="dxa"/>
            <w:shd w:val="clear" w:color="000000" w:fill="D2EAF1"/>
            <w:noWrap/>
            <w:vAlign w:val="center"/>
          </w:tcPr>
          <w:p w:rsidR="00C97965" w:rsidRPr="000D3563" w:rsidRDefault="00C97965" w:rsidP="00C97965">
            <w:pPr>
              <w:jc w:val="left"/>
              <w:rPr>
                <w:bCs/>
                <w:sz w:val="19"/>
                <w:szCs w:val="19"/>
              </w:rPr>
            </w:pPr>
            <w:r w:rsidRPr="000D3563">
              <w:rPr>
                <w:rFonts w:cs="Arial"/>
                <w:bCs/>
                <w:iCs/>
                <w:sz w:val="19"/>
                <w:szCs w:val="19"/>
              </w:rPr>
              <w:t>Primary Metals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sz w:val="19"/>
                <w:szCs w:val="19"/>
              </w:rPr>
              <w:t>$15,184,961</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$2,966,511 </w:t>
            </w:r>
          </w:p>
        </w:tc>
        <w:tc>
          <w:tcPr>
            <w:tcW w:w="1552" w:type="dxa"/>
            <w:tcBorders>
              <w:top w:val="nil"/>
              <w:left w:val="nil"/>
              <w:bottom w:val="single" w:sz="8" w:space="0" w:color="448A99"/>
              <w:right w:val="single" w:sz="8" w:space="0" w:color="448A99"/>
            </w:tcBorders>
            <w:shd w:val="clear" w:color="000000" w:fill="D2EAF1"/>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$12,218,450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5.12</w:t>
            </w:r>
          </w:p>
        </w:tc>
      </w:tr>
      <w:tr w:rsidR="00C97965" w:rsidRPr="000D3563" w:rsidTr="00BC615D">
        <w:trPr>
          <w:trHeight w:val="346"/>
          <w:jc w:val="center"/>
        </w:trPr>
        <w:tc>
          <w:tcPr>
            <w:tcW w:w="3150" w:type="dxa"/>
            <w:shd w:val="clear" w:color="auto" w:fill="auto"/>
            <w:noWrap/>
            <w:vAlign w:val="center"/>
          </w:tcPr>
          <w:p w:rsidR="00C97965" w:rsidRPr="000D3563" w:rsidRDefault="00C97965" w:rsidP="00C97965">
            <w:pPr>
              <w:jc w:val="left"/>
              <w:rPr>
                <w:bCs/>
                <w:sz w:val="19"/>
                <w:szCs w:val="19"/>
              </w:rPr>
            </w:pPr>
            <w:r w:rsidRPr="000D3563">
              <w:rPr>
                <w:rFonts w:cs="Arial"/>
                <w:bCs/>
                <w:sz w:val="19"/>
                <w:szCs w:val="19"/>
              </w:rPr>
              <w:t>Public Agency/Non-Profit</w:t>
            </w:r>
          </w:p>
        </w:tc>
        <w:tc>
          <w:tcPr>
            <w:tcW w:w="1552"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sz w:val="19"/>
                <w:szCs w:val="19"/>
              </w:rPr>
              <w:t>$7,136,617</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$6,219,144 </w:t>
            </w:r>
          </w:p>
        </w:tc>
        <w:tc>
          <w:tcPr>
            <w:tcW w:w="1552" w:type="dxa"/>
            <w:tcBorders>
              <w:top w:val="nil"/>
              <w:left w:val="nil"/>
              <w:bottom w:val="single" w:sz="8" w:space="0" w:color="448A99"/>
              <w:right w:val="single" w:sz="8" w:space="0" w:color="448A99"/>
            </w:tcBorders>
            <w:shd w:val="clear" w:color="auto" w:fill="auto"/>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$917,473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1.15</w:t>
            </w:r>
          </w:p>
        </w:tc>
      </w:tr>
      <w:tr w:rsidR="00A874AC" w:rsidRPr="000D3563" w:rsidTr="009349F1">
        <w:trPr>
          <w:trHeight w:val="346"/>
          <w:jc w:val="center"/>
        </w:trPr>
        <w:tc>
          <w:tcPr>
            <w:tcW w:w="3150" w:type="dxa"/>
            <w:tcBorders>
              <w:bottom w:val="single" w:sz="4" w:space="0" w:color="448A99"/>
            </w:tcBorders>
            <w:shd w:val="clear" w:color="000000" w:fill="D2EAF1"/>
            <w:noWrap/>
            <w:vAlign w:val="center"/>
          </w:tcPr>
          <w:p w:rsidR="00C97965" w:rsidRPr="000D3563" w:rsidRDefault="00C97965" w:rsidP="00C97965">
            <w:pPr>
              <w:jc w:val="left"/>
              <w:rPr>
                <w:bCs/>
                <w:iCs/>
                <w:sz w:val="19"/>
                <w:szCs w:val="19"/>
              </w:rPr>
            </w:pPr>
            <w:r w:rsidRPr="000D3563">
              <w:rPr>
                <w:rFonts w:cs="Arial"/>
                <w:bCs/>
                <w:sz w:val="19"/>
                <w:szCs w:val="19"/>
              </w:rPr>
              <w:t>Retail Stores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sz w:val="19"/>
                <w:szCs w:val="19"/>
              </w:rPr>
              <w:t>$41,619</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$216,249 </w:t>
            </w:r>
          </w:p>
        </w:tc>
        <w:tc>
          <w:tcPr>
            <w:tcW w:w="1552" w:type="dxa"/>
            <w:tcBorders>
              <w:top w:val="nil"/>
              <w:left w:val="nil"/>
              <w:bottom w:val="single" w:sz="8" w:space="0" w:color="448A99"/>
              <w:right w:val="single" w:sz="8" w:space="0" w:color="448A99"/>
            </w:tcBorders>
            <w:shd w:val="clear" w:color="000000" w:fill="D2EAF1"/>
            <w:vAlign w:val="center"/>
          </w:tcPr>
          <w:p w:rsidR="00C97965" w:rsidRPr="000D3563" w:rsidRDefault="00C97965" w:rsidP="00C97965">
            <w:pPr>
              <w:jc w:val="center"/>
              <w:rPr>
                <w:rFonts w:cs="Arial"/>
                <w:color w:val="000000"/>
                <w:sz w:val="19"/>
                <w:szCs w:val="19"/>
              </w:rPr>
            </w:pPr>
            <w:r w:rsidRPr="000D3563">
              <w:rPr>
                <w:rFonts w:cs="Arial"/>
                <w:color w:val="FF0000"/>
                <w:sz w:val="19"/>
                <w:szCs w:val="19"/>
              </w:rPr>
              <w:t>($174,630)</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0.19</w:t>
            </w:r>
          </w:p>
        </w:tc>
      </w:tr>
      <w:tr w:rsidR="00C97965" w:rsidRPr="000D3563" w:rsidTr="00BC615D">
        <w:trPr>
          <w:trHeight w:val="346"/>
          <w:jc w:val="center"/>
        </w:trPr>
        <w:tc>
          <w:tcPr>
            <w:tcW w:w="3150" w:type="dxa"/>
            <w:tcBorders>
              <w:bottom w:val="single" w:sz="4" w:space="0" w:color="448A99"/>
            </w:tcBorders>
            <w:shd w:val="clear" w:color="auto" w:fill="auto"/>
            <w:noWrap/>
            <w:vAlign w:val="center"/>
          </w:tcPr>
          <w:p w:rsidR="00C97965" w:rsidRPr="000D3563" w:rsidRDefault="00C97965" w:rsidP="00C97965">
            <w:pPr>
              <w:jc w:val="left"/>
              <w:rPr>
                <w:bCs/>
                <w:iCs/>
                <w:sz w:val="19"/>
                <w:szCs w:val="19"/>
              </w:rPr>
            </w:pPr>
            <w:r w:rsidRPr="000D3563">
              <w:rPr>
                <w:rFonts w:cs="Arial"/>
                <w:sz w:val="19"/>
                <w:szCs w:val="19"/>
              </w:rPr>
              <w:t>Multifamily Housing Retrofit</w:t>
            </w:r>
          </w:p>
        </w:tc>
        <w:tc>
          <w:tcPr>
            <w:tcW w:w="1552"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sz w:val="19"/>
                <w:szCs w:val="19"/>
              </w:rPr>
              <w:t>$878,354</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$1,690,457 </w:t>
            </w:r>
          </w:p>
        </w:tc>
        <w:tc>
          <w:tcPr>
            <w:tcW w:w="1552" w:type="dxa"/>
            <w:tcBorders>
              <w:top w:val="nil"/>
              <w:left w:val="nil"/>
              <w:bottom w:val="single" w:sz="8" w:space="0" w:color="448A99"/>
              <w:right w:val="single" w:sz="8" w:space="0" w:color="448A99"/>
            </w:tcBorders>
            <w:shd w:val="clear" w:color="auto" w:fill="auto"/>
            <w:vAlign w:val="center"/>
          </w:tcPr>
          <w:p w:rsidR="00C97965" w:rsidRPr="000D3563" w:rsidRDefault="00C97965" w:rsidP="00C97965">
            <w:pPr>
              <w:jc w:val="center"/>
              <w:rPr>
                <w:rFonts w:cs="Arial"/>
                <w:color w:val="000000"/>
                <w:sz w:val="19"/>
                <w:szCs w:val="19"/>
              </w:rPr>
            </w:pPr>
            <w:r w:rsidRPr="000D3563">
              <w:rPr>
                <w:rFonts w:cs="Arial"/>
                <w:color w:val="FF0000"/>
                <w:sz w:val="19"/>
                <w:szCs w:val="19"/>
              </w:rPr>
              <w:t>($812,104)</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0.52</w:t>
            </w:r>
          </w:p>
        </w:tc>
      </w:tr>
      <w:tr w:rsidR="00A874AC" w:rsidRPr="000D3563" w:rsidTr="009349F1">
        <w:trPr>
          <w:trHeight w:val="346"/>
          <w:jc w:val="center"/>
        </w:trPr>
        <w:tc>
          <w:tcPr>
            <w:tcW w:w="3150" w:type="dxa"/>
            <w:shd w:val="clear" w:color="auto" w:fill="D2EAF1"/>
            <w:noWrap/>
            <w:vAlign w:val="center"/>
          </w:tcPr>
          <w:p w:rsidR="00C97965" w:rsidRPr="000D3563" w:rsidRDefault="00C97965" w:rsidP="00C97965">
            <w:pPr>
              <w:jc w:val="left"/>
              <w:rPr>
                <w:b/>
                <w:bCs/>
                <w:iCs/>
                <w:sz w:val="19"/>
                <w:szCs w:val="19"/>
              </w:rPr>
            </w:pPr>
            <w:r w:rsidRPr="000D3563">
              <w:rPr>
                <w:rFonts w:cs="Arial"/>
                <w:bCs/>
                <w:sz w:val="19"/>
                <w:szCs w:val="19"/>
              </w:rPr>
              <w:t>Small Commercial Direct Install</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sz w:val="19"/>
                <w:szCs w:val="19"/>
              </w:rPr>
              <w:t>$1,584,438</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$1,371,088 </w:t>
            </w:r>
          </w:p>
        </w:tc>
        <w:tc>
          <w:tcPr>
            <w:tcW w:w="1552" w:type="dxa"/>
            <w:tcBorders>
              <w:top w:val="nil"/>
              <w:left w:val="nil"/>
              <w:bottom w:val="single" w:sz="8" w:space="0" w:color="448A99"/>
              <w:right w:val="single" w:sz="8" w:space="0" w:color="448A99"/>
            </w:tcBorders>
            <w:shd w:val="clear" w:color="000000" w:fill="D2EAF1"/>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 xml:space="preserve">$213,350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0D3563" w:rsidRDefault="00C97965" w:rsidP="00C97965">
            <w:pPr>
              <w:jc w:val="center"/>
              <w:rPr>
                <w:rFonts w:cs="Arial"/>
                <w:color w:val="000000"/>
                <w:sz w:val="19"/>
                <w:szCs w:val="19"/>
              </w:rPr>
            </w:pPr>
            <w:r w:rsidRPr="000D3563">
              <w:rPr>
                <w:rFonts w:cs="Arial"/>
                <w:color w:val="000000"/>
                <w:sz w:val="19"/>
                <w:szCs w:val="19"/>
              </w:rPr>
              <w:t>1.16</w:t>
            </w:r>
          </w:p>
        </w:tc>
      </w:tr>
      <w:tr w:rsidR="00C97965" w:rsidRPr="000D3563" w:rsidTr="00BC615D">
        <w:trPr>
          <w:trHeight w:val="346"/>
          <w:jc w:val="center"/>
        </w:trPr>
        <w:tc>
          <w:tcPr>
            <w:tcW w:w="3150" w:type="dxa"/>
            <w:shd w:val="clear" w:color="auto" w:fill="auto"/>
            <w:noWrap/>
            <w:vAlign w:val="center"/>
          </w:tcPr>
          <w:p w:rsidR="00C97965" w:rsidRPr="000D3563" w:rsidRDefault="00C97965" w:rsidP="00C97965">
            <w:pPr>
              <w:jc w:val="left"/>
              <w:rPr>
                <w:rFonts w:cs="Arial"/>
                <w:b/>
                <w:bCs/>
                <w:iCs/>
                <w:sz w:val="19"/>
                <w:szCs w:val="19"/>
              </w:rPr>
            </w:pPr>
            <w:r w:rsidRPr="000D3563">
              <w:rPr>
                <w:rFonts w:cs="Arial"/>
                <w:b/>
                <w:bCs/>
                <w:iCs/>
                <w:sz w:val="19"/>
                <w:szCs w:val="19"/>
              </w:rPr>
              <w:t>Total Portfolio</w:t>
            </w:r>
          </w:p>
        </w:tc>
        <w:tc>
          <w:tcPr>
            <w:tcW w:w="1552"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b/>
                <w:bCs/>
                <w:color w:val="000000"/>
                <w:sz w:val="19"/>
                <w:szCs w:val="19"/>
              </w:rPr>
            </w:pPr>
            <w:r w:rsidRPr="000D3563">
              <w:rPr>
                <w:b/>
                <w:sz w:val="19"/>
                <w:szCs w:val="19"/>
              </w:rPr>
              <w:t>$87,</w:t>
            </w:r>
            <w:r w:rsidR="0014398B">
              <w:rPr>
                <w:b/>
                <w:sz w:val="19"/>
                <w:szCs w:val="19"/>
              </w:rPr>
              <w:t>639,668</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b/>
                <w:bCs/>
                <w:color w:val="000000"/>
                <w:sz w:val="19"/>
                <w:szCs w:val="19"/>
              </w:rPr>
            </w:pPr>
            <w:r w:rsidRPr="000D3563">
              <w:rPr>
                <w:rFonts w:cs="Arial"/>
                <w:b/>
                <w:bCs/>
                <w:color w:val="000000"/>
                <w:sz w:val="19"/>
                <w:szCs w:val="19"/>
              </w:rPr>
              <w:t xml:space="preserve">$40,464,358 </w:t>
            </w:r>
          </w:p>
        </w:tc>
        <w:tc>
          <w:tcPr>
            <w:tcW w:w="1552" w:type="dxa"/>
            <w:tcBorders>
              <w:top w:val="nil"/>
              <w:left w:val="nil"/>
              <w:bottom w:val="single" w:sz="8" w:space="0" w:color="448A99"/>
              <w:right w:val="single" w:sz="8" w:space="0" w:color="448A99"/>
            </w:tcBorders>
            <w:shd w:val="clear" w:color="auto" w:fill="auto"/>
            <w:vAlign w:val="center"/>
          </w:tcPr>
          <w:p w:rsidR="00C97965" w:rsidRPr="000D3563" w:rsidRDefault="00C97965" w:rsidP="00C97965">
            <w:pPr>
              <w:jc w:val="center"/>
              <w:rPr>
                <w:rFonts w:cs="Arial"/>
                <w:b/>
                <w:bCs/>
                <w:color w:val="000000"/>
                <w:sz w:val="19"/>
                <w:szCs w:val="19"/>
              </w:rPr>
            </w:pPr>
            <w:r w:rsidRPr="000D3563">
              <w:rPr>
                <w:rFonts w:cs="Arial"/>
                <w:b/>
                <w:bCs/>
                <w:color w:val="000000"/>
                <w:sz w:val="19"/>
                <w:szCs w:val="19"/>
              </w:rPr>
              <w:t>$47,</w:t>
            </w:r>
            <w:r w:rsidR="0014398B">
              <w:rPr>
                <w:rFonts w:cs="Arial"/>
                <w:b/>
                <w:bCs/>
                <w:color w:val="000000"/>
                <w:sz w:val="19"/>
                <w:szCs w:val="19"/>
              </w:rPr>
              <w:t>175</w:t>
            </w:r>
            <w:r w:rsidRPr="000D3563">
              <w:rPr>
                <w:rFonts w:cs="Arial"/>
                <w:b/>
                <w:bCs/>
                <w:color w:val="000000"/>
                <w:sz w:val="19"/>
                <w:szCs w:val="19"/>
              </w:rPr>
              <w:t>,</w:t>
            </w:r>
            <w:r w:rsidR="0014398B">
              <w:rPr>
                <w:rFonts w:cs="Arial"/>
                <w:b/>
                <w:bCs/>
                <w:color w:val="000000"/>
                <w:sz w:val="19"/>
                <w:szCs w:val="19"/>
              </w:rPr>
              <w:t>310</w:t>
            </w:r>
          </w:p>
        </w:tc>
        <w:tc>
          <w:tcPr>
            <w:tcW w:w="1553" w:type="dxa"/>
            <w:tcBorders>
              <w:top w:val="nil"/>
              <w:left w:val="nil"/>
              <w:bottom w:val="single" w:sz="8" w:space="0" w:color="448A99"/>
              <w:right w:val="single" w:sz="8" w:space="0" w:color="448A99"/>
            </w:tcBorders>
            <w:shd w:val="clear" w:color="auto" w:fill="auto"/>
            <w:noWrap/>
            <w:vAlign w:val="center"/>
          </w:tcPr>
          <w:p w:rsidR="00C97965" w:rsidRPr="000D3563" w:rsidRDefault="00C97965" w:rsidP="00C97965">
            <w:pPr>
              <w:jc w:val="center"/>
              <w:rPr>
                <w:rFonts w:cs="Arial"/>
                <w:b/>
                <w:bCs/>
                <w:color w:val="000000"/>
                <w:sz w:val="19"/>
                <w:szCs w:val="19"/>
              </w:rPr>
            </w:pPr>
            <w:r w:rsidRPr="000D3563">
              <w:rPr>
                <w:rFonts w:cs="Arial"/>
                <w:b/>
                <w:bCs/>
                <w:color w:val="000000"/>
                <w:sz w:val="19"/>
                <w:szCs w:val="19"/>
              </w:rPr>
              <w:t>2.1</w:t>
            </w:r>
            <w:r w:rsidR="0014398B">
              <w:rPr>
                <w:rFonts w:cs="Arial"/>
                <w:b/>
                <w:bCs/>
                <w:color w:val="000000"/>
                <w:sz w:val="19"/>
                <w:szCs w:val="19"/>
              </w:rPr>
              <w:t>7</w:t>
            </w:r>
          </w:p>
        </w:tc>
      </w:tr>
    </w:tbl>
    <w:p w:rsidR="00A84212" w:rsidRDefault="00A84212" w:rsidP="00A84212"/>
    <w:p w:rsidR="00B471BA" w:rsidRDefault="00B471BA" w:rsidP="00B471BA">
      <w:pPr>
        <w:pStyle w:val="bullettext"/>
      </w:pPr>
      <w:r>
        <w:t>In summary, 12</w:t>
      </w:r>
      <w:r w:rsidRPr="00937416">
        <w:t xml:space="preserve"> of 17 </w:t>
      </w:r>
      <w:r>
        <w:t xml:space="preserve">Duquesne programs </w:t>
      </w:r>
      <w:r w:rsidRPr="00937416">
        <w:t>were found to be cost-effective</w:t>
      </w:r>
      <w:r>
        <w:t xml:space="preserve"> and 5</w:t>
      </w:r>
      <w:r w:rsidRPr="00937416">
        <w:t xml:space="preserve"> were found to be non-cost-effective. </w:t>
      </w:r>
      <w:r>
        <w:t xml:space="preserve">Home Energy Reports, Commercial Sector Umbrella EE, Healthcare EE, and Chemical Products EE all transitioned to be cost-effective in PY7, likely due to increased participation offsetting fixed costs.  Conversely, Retail Stores EE, which saw a significant decrease in participation, was not cost-effective in PY7. </w:t>
      </w:r>
      <w:r w:rsidRPr="00937416">
        <w:t>The breakout of cost-effective and non-cos</w:t>
      </w:r>
      <w:r>
        <w:t>t-effective programs is shown</w:t>
      </w:r>
      <w:r w:rsidRPr="00937416">
        <w:t xml:space="preserve"> below.</w:t>
      </w:r>
    </w:p>
    <w:p w:rsidR="000D3563" w:rsidRDefault="000D3563" w:rsidP="00B471BA">
      <w:pPr>
        <w:pStyle w:val="bullettext"/>
      </w:pPr>
    </w:p>
    <w:p w:rsidR="000D3563" w:rsidRPr="00937416" w:rsidRDefault="000D3563" w:rsidP="00B471BA">
      <w:pPr>
        <w:pStyle w:val="bullettext"/>
      </w:pPr>
    </w:p>
    <w:p w:rsidR="00B471BA" w:rsidRPr="0055598C" w:rsidRDefault="0055598C" w:rsidP="00B471BA">
      <w:pPr>
        <w:rPr>
          <w:rFonts w:ascii="Century Gothic" w:hAnsi="Century Gothic"/>
          <w:b/>
          <w:color w:val="404040" w:themeColor="text1" w:themeTint="BF"/>
          <w:spacing w:val="-12"/>
        </w:rPr>
      </w:pPr>
      <w:r w:rsidRPr="0055598C">
        <w:rPr>
          <w:rFonts w:ascii="Century Gothic" w:hAnsi="Century Gothic"/>
          <w:b/>
          <w:color w:val="404040" w:themeColor="text1" w:themeTint="BF"/>
          <w:spacing w:val="-12"/>
        </w:rPr>
        <w:t>COST-EFFECTIVE PROGRAMS</w:t>
      </w:r>
    </w:p>
    <w:p w:rsidR="00B471BA" w:rsidRPr="00937416" w:rsidRDefault="00B471BA" w:rsidP="00B471BA">
      <w:pPr>
        <w:spacing w:after="60"/>
        <w:rPr>
          <w:b/>
          <w:color w:val="448A99"/>
        </w:rPr>
      </w:pPr>
      <w:r w:rsidRPr="00937416">
        <w:rPr>
          <w:b/>
          <w:color w:val="448A99"/>
        </w:rPr>
        <w:t>(TRC Ratio &gt; 1.0)</w:t>
      </w:r>
    </w:p>
    <w:p w:rsidR="0055598C" w:rsidRDefault="0055598C" w:rsidP="00E646C9">
      <w:pPr>
        <w:numPr>
          <w:ilvl w:val="0"/>
          <w:numId w:val="47"/>
        </w:numPr>
        <w:ind w:left="360"/>
        <w:rPr>
          <w:i/>
        </w:rPr>
        <w:sectPr w:rsidR="0055598C" w:rsidSect="00F52B41">
          <w:headerReference w:type="default" r:id="rId86"/>
          <w:footerReference w:type="default" r:id="rId87"/>
          <w:headerReference w:type="first" r:id="rId88"/>
          <w:footerReference w:type="first" r:id="rId89"/>
          <w:pgSz w:w="12240" w:h="15840"/>
          <w:pgMar w:top="1440" w:right="1440" w:bottom="1440" w:left="1440" w:header="720" w:footer="288" w:gutter="0"/>
          <w:cols w:space="720"/>
          <w:titlePg/>
          <w:docGrid w:linePitch="360"/>
        </w:sectPr>
      </w:pPr>
    </w:p>
    <w:p w:rsidR="00B471BA" w:rsidRDefault="00B471BA" w:rsidP="0055598C">
      <w:pPr>
        <w:numPr>
          <w:ilvl w:val="0"/>
          <w:numId w:val="47"/>
        </w:numPr>
        <w:ind w:left="360"/>
        <w:jc w:val="left"/>
        <w:rPr>
          <w:i/>
        </w:rPr>
      </w:pPr>
      <w:r w:rsidRPr="00937416">
        <w:rPr>
          <w:i/>
        </w:rPr>
        <w:t>Residential Energy Efficiency Program</w:t>
      </w:r>
    </w:p>
    <w:p w:rsidR="00B471BA" w:rsidRDefault="00B471BA" w:rsidP="0055598C">
      <w:pPr>
        <w:numPr>
          <w:ilvl w:val="0"/>
          <w:numId w:val="47"/>
        </w:numPr>
        <w:ind w:left="360"/>
        <w:jc w:val="left"/>
        <w:rPr>
          <w:i/>
        </w:rPr>
      </w:pPr>
      <w:r w:rsidRPr="00937416">
        <w:rPr>
          <w:i/>
        </w:rPr>
        <w:t>Residential Appliance Recycling Program</w:t>
      </w:r>
    </w:p>
    <w:p w:rsidR="00B471BA" w:rsidRPr="00AD4817" w:rsidRDefault="00B471BA" w:rsidP="0055598C">
      <w:pPr>
        <w:numPr>
          <w:ilvl w:val="0"/>
          <w:numId w:val="47"/>
        </w:numPr>
        <w:ind w:left="360"/>
        <w:jc w:val="left"/>
        <w:rPr>
          <w:i/>
        </w:rPr>
      </w:pPr>
      <w:r>
        <w:rPr>
          <w:i/>
        </w:rPr>
        <w:t>Home Energy Reports</w:t>
      </w:r>
    </w:p>
    <w:p w:rsidR="00B471BA" w:rsidRDefault="00B471BA" w:rsidP="0055598C">
      <w:pPr>
        <w:numPr>
          <w:ilvl w:val="0"/>
          <w:numId w:val="47"/>
        </w:numPr>
        <w:ind w:left="360"/>
        <w:jc w:val="left"/>
        <w:rPr>
          <w:i/>
        </w:rPr>
      </w:pPr>
      <w:r w:rsidRPr="00937416">
        <w:rPr>
          <w:i/>
        </w:rPr>
        <w:t>Low-Income Energy Efficiency Program</w:t>
      </w:r>
    </w:p>
    <w:p w:rsidR="00B471BA" w:rsidRDefault="00B471BA" w:rsidP="0055598C">
      <w:pPr>
        <w:numPr>
          <w:ilvl w:val="0"/>
          <w:numId w:val="47"/>
        </w:numPr>
        <w:ind w:left="360"/>
        <w:jc w:val="left"/>
        <w:rPr>
          <w:i/>
        </w:rPr>
      </w:pPr>
      <w:r w:rsidRPr="00937416">
        <w:rPr>
          <w:i/>
        </w:rPr>
        <w:t>Commercial Sector Umbrella EE</w:t>
      </w:r>
    </w:p>
    <w:p w:rsidR="00B471BA" w:rsidRDefault="00B471BA" w:rsidP="0055598C">
      <w:pPr>
        <w:numPr>
          <w:ilvl w:val="0"/>
          <w:numId w:val="47"/>
        </w:numPr>
        <w:ind w:left="360"/>
        <w:jc w:val="left"/>
        <w:rPr>
          <w:i/>
        </w:rPr>
      </w:pPr>
      <w:r w:rsidRPr="00937416">
        <w:rPr>
          <w:i/>
        </w:rPr>
        <w:t>Healthcare EE</w:t>
      </w:r>
    </w:p>
    <w:p w:rsidR="00B471BA" w:rsidRPr="00937416" w:rsidRDefault="00B471BA" w:rsidP="0055598C">
      <w:pPr>
        <w:numPr>
          <w:ilvl w:val="0"/>
          <w:numId w:val="47"/>
        </w:numPr>
        <w:ind w:left="360"/>
        <w:jc w:val="left"/>
        <w:rPr>
          <w:i/>
        </w:rPr>
      </w:pPr>
      <w:r w:rsidRPr="00937416">
        <w:rPr>
          <w:i/>
        </w:rPr>
        <w:t>Chemical Products EE</w:t>
      </w:r>
    </w:p>
    <w:p w:rsidR="00B471BA" w:rsidRPr="00AD4817" w:rsidRDefault="00B471BA" w:rsidP="0055598C">
      <w:pPr>
        <w:numPr>
          <w:ilvl w:val="0"/>
          <w:numId w:val="47"/>
        </w:numPr>
        <w:ind w:left="360"/>
        <w:jc w:val="left"/>
        <w:rPr>
          <w:i/>
        </w:rPr>
      </w:pPr>
      <w:r w:rsidRPr="00937416">
        <w:rPr>
          <w:i/>
        </w:rPr>
        <w:t>Mixed Industrial</w:t>
      </w:r>
    </w:p>
    <w:p w:rsidR="00B471BA" w:rsidRDefault="00B471BA" w:rsidP="0055598C">
      <w:pPr>
        <w:numPr>
          <w:ilvl w:val="0"/>
          <w:numId w:val="47"/>
        </w:numPr>
        <w:ind w:left="360"/>
        <w:jc w:val="left"/>
        <w:rPr>
          <w:i/>
        </w:rPr>
      </w:pPr>
      <w:r w:rsidRPr="00937416">
        <w:rPr>
          <w:i/>
        </w:rPr>
        <w:t>Office Building EE</w:t>
      </w:r>
    </w:p>
    <w:p w:rsidR="00B471BA" w:rsidRPr="00AD4817" w:rsidRDefault="00B471BA" w:rsidP="0055598C">
      <w:pPr>
        <w:numPr>
          <w:ilvl w:val="0"/>
          <w:numId w:val="47"/>
        </w:numPr>
        <w:ind w:left="360"/>
        <w:jc w:val="left"/>
        <w:rPr>
          <w:i/>
        </w:rPr>
      </w:pPr>
      <w:r w:rsidRPr="00937416">
        <w:rPr>
          <w:i/>
        </w:rPr>
        <w:t>Primary Metals EE</w:t>
      </w:r>
    </w:p>
    <w:p w:rsidR="00B471BA" w:rsidRPr="00937416" w:rsidRDefault="00B471BA" w:rsidP="0055598C">
      <w:pPr>
        <w:numPr>
          <w:ilvl w:val="0"/>
          <w:numId w:val="47"/>
        </w:numPr>
        <w:ind w:left="360"/>
        <w:jc w:val="left"/>
        <w:rPr>
          <w:i/>
        </w:rPr>
      </w:pPr>
      <w:r w:rsidRPr="00937416">
        <w:rPr>
          <w:i/>
        </w:rPr>
        <w:t>Public Agency/Non-Profit</w:t>
      </w:r>
    </w:p>
    <w:p w:rsidR="00B471BA" w:rsidRDefault="00B471BA" w:rsidP="0055598C">
      <w:pPr>
        <w:numPr>
          <w:ilvl w:val="0"/>
          <w:numId w:val="47"/>
        </w:numPr>
        <w:ind w:left="360"/>
        <w:jc w:val="left"/>
        <w:rPr>
          <w:i/>
        </w:rPr>
      </w:pPr>
      <w:r w:rsidRPr="00937416">
        <w:rPr>
          <w:i/>
        </w:rPr>
        <w:t>Small Commercial Direct Install</w:t>
      </w:r>
    </w:p>
    <w:p w:rsidR="0055598C" w:rsidRDefault="0055598C" w:rsidP="00B471BA">
      <w:pPr>
        <w:sectPr w:rsidR="0055598C" w:rsidSect="0055598C">
          <w:type w:val="continuous"/>
          <w:pgSz w:w="12240" w:h="15840"/>
          <w:pgMar w:top="1440" w:right="1440" w:bottom="1440" w:left="1440" w:header="720" w:footer="288" w:gutter="0"/>
          <w:cols w:num="2" w:space="180"/>
          <w:titlePg/>
          <w:docGrid w:linePitch="360"/>
        </w:sectPr>
      </w:pPr>
    </w:p>
    <w:p w:rsidR="00B471BA" w:rsidRPr="00937416" w:rsidRDefault="00B471BA" w:rsidP="00B471BA"/>
    <w:p w:rsidR="00B471BA" w:rsidRPr="0055598C" w:rsidRDefault="0055598C" w:rsidP="00B471BA">
      <w:pPr>
        <w:rPr>
          <w:rFonts w:ascii="Century Gothic" w:hAnsi="Century Gothic"/>
          <w:b/>
          <w:color w:val="404040" w:themeColor="text1" w:themeTint="BF"/>
          <w:spacing w:val="-12"/>
        </w:rPr>
      </w:pPr>
      <w:r w:rsidRPr="0055598C">
        <w:rPr>
          <w:rFonts w:ascii="Century Gothic" w:hAnsi="Century Gothic"/>
          <w:b/>
          <w:color w:val="404040" w:themeColor="text1" w:themeTint="BF"/>
          <w:spacing w:val="-12"/>
        </w:rPr>
        <w:t>NON-COST-EFFECTIVE PROGRAMS</w:t>
      </w:r>
    </w:p>
    <w:p w:rsidR="00B471BA" w:rsidRPr="00937416" w:rsidRDefault="00B471BA" w:rsidP="00B471BA">
      <w:pPr>
        <w:spacing w:after="60"/>
        <w:rPr>
          <w:b/>
          <w:color w:val="448A99"/>
        </w:rPr>
      </w:pPr>
      <w:r w:rsidRPr="00937416">
        <w:rPr>
          <w:b/>
          <w:color w:val="448A99"/>
        </w:rPr>
        <w:t>(TRC Ratio &lt; 1.0)</w:t>
      </w:r>
    </w:p>
    <w:p w:rsidR="0055598C" w:rsidRDefault="0055598C" w:rsidP="00E646C9">
      <w:pPr>
        <w:numPr>
          <w:ilvl w:val="0"/>
          <w:numId w:val="47"/>
        </w:numPr>
        <w:ind w:left="360"/>
        <w:rPr>
          <w:i/>
        </w:rPr>
        <w:sectPr w:rsidR="0055598C" w:rsidSect="0055598C">
          <w:type w:val="continuous"/>
          <w:pgSz w:w="12240" w:h="15840"/>
          <w:pgMar w:top="1440" w:right="1440" w:bottom="1440" w:left="1440" w:header="720" w:footer="288" w:gutter="0"/>
          <w:cols w:space="720"/>
          <w:titlePg/>
          <w:docGrid w:linePitch="360"/>
        </w:sectPr>
      </w:pPr>
    </w:p>
    <w:p w:rsidR="00B471BA" w:rsidRPr="00937416" w:rsidRDefault="00B471BA" w:rsidP="0055598C">
      <w:pPr>
        <w:numPr>
          <w:ilvl w:val="0"/>
          <w:numId w:val="47"/>
        </w:numPr>
        <w:ind w:left="360"/>
        <w:jc w:val="left"/>
        <w:rPr>
          <w:i/>
        </w:rPr>
      </w:pPr>
      <w:r w:rsidRPr="00937416">
        <w:rPr>
          <w:i/>
        </w:rPr>
        <w:t>School Energy Pledge Program</w:t>
      </w:r>
    </w:p>
    <w:p w:rsidR="00B471BA" w:rsidRDefault="00B471BA" w:rsidP="0055598C">
      <w:pPr>
        <w:numPr>
          <w:ilvl w:val="0"/>
          <w:numId w:val="47"/>
        </w:numPr>
        <w:ind w:left="360"/>
        <w:jc w:val="left"/>
        <w:rPr>
          <w:i/>
        </w:rPr>
      </w:pPr>
      <w:r w:rsidRPr="00937416">
        <w:rPr>
          <w:i/>
        </w:rPr>
        <w:t>Whole House EE</w:t>
      </w:r>
    </w:p>
    <w:p w:rsidR="00B471BA" w:rsidRPr="00937416" w:rsidRDefault="00B471BA" w:rsidP="0055598C">
      <w:pPr>
        <w:numPr>
          <w:ilvl w:val="0"/>
          <w:numId w:val="47"/>
        </w:numPr>
        <w:ind w:left="360"/>
        <w:jc w:val="left"/>
        <w:rPr>
          <w:i/>
        </w:rPr>
      </w:pPr>
      <w:r w:rsidRPr="00937416">
        <w:rPr>
          <w:i/>
        </w:rPr>
        <w:t>Industrial Sector Umbrella EE</w:t>
      </w:r>
    </w:p>
    <w:p w:rsidR="00B471BA" w:rsidRPr="009C3E08" w:rsidRDefault="00B471BA" w:rsidP="0055598C">
      <w:pPr>
        <w:numPr>
          <w:ilvl w:val="0"/>
          <w:numId w:val="47"/>
        </w:numPr>
        <w:ind w:left="360"/>
        <w:jc w:val="left"/>
        <w:rPr>
          <w:i/>
        </w:rPr>
      </w:pPr>
      <w:r w:rsidRPr="00937416">
        <w:rPr>
          <w:i/>
        </w:rPr>
        <w:t>Retail Stores EE</w:t>
      </w:r>
    </w:p>
    <w:p w:rsidR="0055598C" w:rsidRDefault="00B471BA" w:rsidP="0055598C">
      <w:pPr>
        <w:numPr>
          <w:ilvl w:val="0"/>
          <w:numId w:val="47"/>
        </w:numPr>
        <w:ind w:left="360"/>
        <w:jc w:val="left"/>
        <w:rPr>
          <w:i/>
        </w:rPr>
        <w:sectPr w:rsidR="0055598C" w:rsidSect="0055598C">
          <w:type w:val="continuous"/>
          <w:pgSz w:w="12240" w:h="15840"/>
          <w:pgMar w:top="1440" w:right="1440" w:bottom="1440" w:left="1440" w:header="720" w:footer="288" w:gutter="0"/>
          <w:cols w:num="2" w:space="180"/>
          <w:titlePg/>
          <w:docGrid w:linePitch="360"/>
        </w:sectPr>
      </w:pPr>
      <w:r w:rsidRPr="00937416">
        <w:rPr>
          <w:i/>
        </w:rPr>
        <w:t>Multifamily Housing Retrofit</w:t>
      </w:r>
    </w:p>
    <w:p w:rsidR="00B471BA" w:rsidRDefault="00B471BA" w:rsidP="00B471BA">
      <w:pPr>
        <w:rPr>
          <w:highlight w:val="lightGray"/>
        </w:rPr>
      </w:pPr>
    </w:p>
    <w:p w:rsidR="00950837" w:rsidRPr="000D3563" w:rsidRDefault="00950837" w:rsidP="000D3563">
      <w:pPr>
        <w:pStyle w:val="AppendixAHeading3"/>
      </w:pPr>
      <w:r w:rsidRPr="000D3563">
        <w:t>Assumptions and Inputs</w:t>
      </w:r>
    </w:p>
    <w:p w:rsidR="008B45A8" w:rsidRDefault="00B471BA" w:rsidP="002F0470">
      <w:r w:rsidRPr="00FA66F0">
        <w:t xml:space="preserve">Duquesne used a discount rate of 6.9% in its TRC model to discount program benefits and costs for all programs. This rate was used to compare the NPV of program benefits that will occur later in a measure’s lifetime to the upfront costs of installation and implementation. Duquesne </w:t>
      </w:r>
      <w:r>
        <w:t>reported</w:t>
      </w:r>
      <w:r w:rsidRPr="00FA66F0">
        <w:t xml:space="preserve"> a LLF of </w:t>
      </w:r>
      <w:r>
        <w:t>6.9</w:t>
      </w:r>
      <w:r w:rsidRPr="00FA66F0">
        <w:t>% for calculating energy and demand</w:t>
      </w:r>
      <w:r>
        <w:t xml:space="preserve"> savings for all programs in PY7</w:t>
      </w:r>
      <w:r w:rsidRPr="00FA66F0">
        <w:t>.</w:t>
      </w:r>
      <w:r w:rsidR="003454CA">
        <w:t xml:space="preserve"> </w:t>
      </w:r>
      <w:r>
        <w:rPr>
          <w:rStyle w:val="FootnoteReference"/>
        </w:rPr>
        <w:footnoteReference w:id="51"/>
      </w:r>
      <w:r>
        <w:t xml:space="preserve"> </w:t>
      </w:r>
      <w:r w:rsidR="002F0470">
        <w:fldChar w:fldCharType="begin"/>
      </w:r>
      <w:r w:rsidR="002F0470">
        <w:instrText xml:space="preserve"> REF _Ref472444117 \h </w:instrText>
      </w:r>
      <w:r w:rsidR="002F0470">
        <w:fldChar w:fldCharType="separate"/>
      </w:r>
      <w:r w:rsidR="00037CB4" w:rsidRPr="00E41D9C">
        <w:t>Table A-</w:t>
      </w:r>
      <w:r w:rsidR="00037CB4">
        <w:rPr>
          <w:noProof/>
        </w:rPr>
        <w:t>5</w:t>
      </w:r>
      <w:r w:rsidR="002F0470">
        <w:fldChar w:fldCharType="end"/>
      </w:r>
      <w:r w:rsidR="002F0470">
        <w:t xml:space="preserve"> </w:t>
      </w:r>
      <w:r w:rsidR="002F0470" w:rsidRPr="00FA66F0">
        <w:t xml:space="preserve">shows </w:t>
      </w:r>
      <w:r w:rsidR="002F0470">
        <w:t>the</w:t>
      </w:r>
      <w:r w:rsidR="002F0470" w:rsidRPr="00FA66F0">
        <w:t xml:space="preserve"> discount rates and </w:t>
      </w:r>
      <w:r w:rsidR="002F0470">
        <w:t xml:space="preserve">the </w:t>
      </w:r>
      <w:r w:rsidR="002F0470" w:rsidRPr="00FA66F0">
        <w:t xml:space="preserve">energy and demand LLF values </w:t>
      </w:r>
      <w:r w:rsidR="002F0470">
        <w:t>that</w:t>
      </w:r>
      <w:r w:rsidR="002F0470" w:rsidRPr="00FA66F0">
        <w:t xml:space="preserve"> Duquesne used for all programs</w:t>
      </w:r>
      <w:r w:rsidR="002F0470">
        <w:t xml:space="preserve"> in their TRC model</w:t>
      </w:r>
      <w:r w:rsidR="002F0470" w:rsidRPr="00FA66F0">
        <w:t>.</w:t>
      </w:r>
    </w:p>
    <w:p w:rsidR="002F0470" w:rsidRPr="002F0470" w:rsidRDefault="00102D9E" w:rsidP="0017534C">
      <w:r>
        <w:tab/>
      </w:r>
    </w:p>
    <w:p w:rsidR="008B45A8" w:rsidRDefault="008B45A8" w:rsidP="004837FA">
      <w:pPr>
        <w:pStyle w:val="Caption"/>
      </w:pPr>
      <w:bookmarkStart w:id="509" w:name="_Ref472444117"/>
      <w:bookmarkStart w:id="510" w:name="_Toc472472414"/>
      <w:bookmarkStart w:id="511" w:name="_Toc488741833"/>
      <w:r w:rsidRPr="00E41D9C">
        <w:t>Table A-</w:t>
      </w:r>
      <w:r w:rsidR="007973A4">
        <w:fldChar w:fldCharType="begin"/>
      </w:r>
      <w:r w:rsidR="007973A4">
        <w:instrText xml:space="preserve"> SEQ Table_A- \* ARABIC </w:instrText>
      </w:r>
      <w:r w:rsidR="007973A4">
        <w:fldChar w:fldCharType="separate"/>
      </w:r>
      <w:r w:rsidR="00037CB4">
        <w:rPr>
          <w:noProof/>
        </w:rPr>
        <w:t>5</w:t>
      </w:r>
      <w:r w:rsidR="007973A4">
        <w:rPr>
          <w:noProof/>
        </w:rPr>
        <w:fldChar w:fldCharType="end"/>
      </w:r>
      <w:bookmarkEnd w:id="509"/>
      <w:r w:rsidRPr="00E41D9C">
        <w:t xml:space="preserve">: </w:t>
      </w:r>
      <w:r w:rsidRPr="008B45A8">
        <w:t xml:space="preserve">Duquesne’s </w:t>
      </w:r>
      <w:r>
        <w:t>Discount Rates and Line Loss Factors</w:t>
      </w:r>
      <w:bookmarkEnd w:id="510"/>
      <w:bookmarkEnd w:id="511"/>
    </w:p>
    <w:tbl>
      <w:tblPr>
        <w:tblW w:w="9306"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366"/>
        <w:gridCol w:w="1485"/>
        <w:gridCol w:w="1485"/>
        <w:gridCol w:w="1485"/>
        <w:gridCol w:w="1485"/>
      </w:tblGrid>
      <w:tr w:rsidR="00A874AC" w:rsidRPr="000D3563" w:rsidTr="009349F1">
        <w:trPr>
          <w:trHeight w:val="260"/>
          <w:tblHeader/>
          <w:jc w:val="center"/>
        </w:trPr>
        <w:tc>
          <w:tcPr>
            <w:tcW w:w="3366" w:type="dxa"/>
            <w:shd w:val="clear" w:color="000000" w:fill="448A99"/>
            <w:vAlign w:val="bottom"/>
            <w:hideMark/>
          </w:tcPr>
          <w:p w:rsidR="002F0470" w:rsidRPr="000D3563" w:rsidRDefault="002F0470" w:rsidP="002F0470">
            <w:pPr>
              <w:jc w:val="left"/>
              <w:rPr>
                <w:b/>
                <w:bCs/>
                <w:color w:val="FFFFFF"/>
                <w:sz w:val="19"/>
                <w:szCs w:val="19"/>
              </w:rPr>
            </w:pPr>
            <w:r w:rsidRPr="000D3563">
              <w:rPr>
                <w:b/>
                <w:bCs/>
                <w:color w:val="FFFFFF"/>
                <w:sz w:val="19"/>
                <w:szCs w:val="19"/>
              </w:rPr>
              <w:t>Program</w:t>
            </w:r>
          </w:p>
        </w:tc>
        <w:tc>
          <w:tcPr>
            <w:tcW w:w="1485" w:type="dxa"/>
            <w:shd w:val="clear" w:color="000000" w:fill="448A99"/>
            <w:vAlign w:val="bottom"/>
            <w:hideMark/>
          </w:tcPr>
          <w:p w:rsidR="002F0470" w:rsidRPr="000D3563" w:rsidRDefault="002F0470" w:rsidP="002F0470">
            <w:pPr>
              <w:jc w:val="center"/>
              <w:rPr>
                <w:b/>
                <w:bCs/>
                <w:color w:val="FFFFFF"/>
                <w:sz w:val="19"/>
                <w:szCs w:val="19"/>
              </w:rPr>
            </w:pPr>
            <w:r w:rsidRPr="000D3563">
              <w:rPr>
                <w:b/>
                <w:bCs/>
                <w:color w:val="FFFFFF"/>
                <w:sz w:val="19"/>
                <w:szCs w:val="19"/>
              </w:rPr>
              <w:t>Sector</w:t>
            </w:r>
          </w:p>
        </w:tc>
        <w:tc>
          <w:tcPr>
            <w:tcW w:w="1485" w:type="dxa"/>
            <w:shd w:val="clear" w:color="000000" w:fill="448A99"/>
            <w:vAlign w:val="bottom"/>
            <w:hideMark/>
          </w:tcPr>
          <w:p w:rsidR="002F0470" w:rsidRPr="000D3563" w:rsidRDefault="002F0470" w:rsidP="002F0470">
            <w:pPr>
              <w:jc w:val="center"/>
              <w:rPr>
                <w:b/>
                <w:bCs/>
                <w:color w:val="FFFFFF"/>
                <w:sz w:val="19"/>
                <w:szCs w:val="19"/>
              </w:rPr>
            </w:pPr>
            <w:r w:rsidRPr="000D3563">
              <w:rPr>
                <w:b/>
                <w:bCs/>
                <w:color w:val="FFFFFF"/>
                <w:sz w:val="19"/>
                <w:szCs w:val="19"/>
              </w:rPr>
              <w:t>Discount Rate</w:t>
            </w:r>
          </w:p>
        </w:tc>
        <w:tc>
          <w:tcPr>
            <w:tcW w:w="1485" w:type="dxa"/>
            <w:shd w:val="clear" w:color="000000" w:fill="448A99"/>
            <w:vAlign w:val="bottom"/>
            <w:hideMark/>
          </w:tcPr>
          <w:p w:rsidR="002F0470" w:rsidRPr="000D3563" w:rsidRDefault="002F0470" w:rsidP="002F0470">
            <w:pPr>
              <w:jc w:val="center"/>
              <w:rPr>
                <w:b/>
                <w:bCs/>
                <w:color w:val="FFFFFF"/>
                <w:sz w:val="19"/>
                <w:szCs w:val="19"/>
              </w:rPr>
            </w:pPr>
            <w:r w:rsidRPr="000D3563">
              <w:rPr>
                <w:b/>
                <w:bCs/>
                <w:color w:val="FFFFFF"/>
                <w:sz w:val="19"/>
                <w:szCs w:val="19"/>
              </w:rPr>
              <w:t>Energy LLF</w:t>
            </w:r>
            <w:r w:rsidRPr="000D3563">
              <w:rPr>
                <w:b/>
                <w:bCs/>
                <w:color w:val="FFFFFF"/>
                <w:sz w:val="19"/>
                <w:szCs w:val="19"/>
                <w:vertAlign w:val="superscript"/>
              </w:rPr>
              <w:t>[a]</w:t>
            </w:r>
          </w:p>
        </w:tc>
        <w:tc>
          <w:tcPr>
            <w:tcW w:w="1485" w:type="dxa"/>
            <w:shd w:val="clear" w:color="000000" w:fill="448A99"/>
            <w:vAlign w:val="bottom"/>
            <w:hideMark/>
          </w:tcPr>
          <w:p w:rsidR="002F0470" w:rsidRPr="000D3563" w:rsidRDefault="002F0470" w:rsidP="002F0470">
            <w:pPr>
              <w:jc w:val="center"/>
              <w:rPr>
                <w:b/>
                <w:bCs/>
                <w:color w:val="FFFFFF"/>
                <w:sz w:val="19"/>
                <w:szCs w:val="19"/>
              </w:rPr>
            </w:pPr>
            <w:r w:rsidRPr="000D3563">
              <w:rPr>
                <w:b/>
                <w:bCs/>
                <w:color w:val="FFFFFF"/>
                <w:sz w:val="19"/>
                <w:szCs w:val="19"/>
              </w:rPr>
              <w:t>Demand LLF</w:t>
            </w:r>
            <w:r w:rsidRPr="000D3563">
              <w:rPr>
                <w:b/>
                <w:bCs/>
                <w:color w:val="FFFFFF"/>
                <w:sz w:val="19"/>
                <w:szCs w:val="19"/>
                <w:vertAlign w:val="superscript"/>
              </w:rPr>
              <w:t>[a]</w:t>
            </w:r>
          </w:p>
        </w:tc>
      </w:tr>
      <w:tr w:rsidR="00A874AC" w:rsidRPr="000D3563" w:rsidTr="005C1352">
        <w:trPr>
          <w:trHeight w:val="346"/>
          <w:jc w:val="center"/>
        </w:trPr>
        <w:tc>
          <w:tcPr>
            <w:tcW w:w="3366" w:type="dxa"/>
            <w:shd w:val="clear" w:color="000000" w:fill="D2EAF1"/>
            <w:noWrap/>
            <w:vAlign w:val="center"/>
          </w:tcPr>
          <w:p w:rsidR="00C97965" w:rsidRPr="000D3563" w:rsidRDefault="00C97965" w:rsidP="00C97965">
            <w:pPr>
              <w:jc w:val="left"/>
              <w:rPr>
                <w:bCs/>
                <w:color w:val="000000"/>
                <w:sz w:val="19"/>
                <w:szCs w:val="19"/>
              </w:rPr>
            </w:pPr>
            <w:r w:rsidRPr="000D3563">
              <w:rPr>
                <w:rFonts w:cs="Arial"/>
                <w:bCs/>
                <w:sz w:val="19"/>
                <w:szCs w:val="19"/>
              </w:rPr>
              <w:t>Residential EE Program</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Residential</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C97965" w:rsidRPr="000D3563" w:rsidTr="00BC615D">
        <w:trPr>
          <w:trHeight w:val="346"/>
          <w:jc w:val="center"/>
        </w:trPr>
        <w:tc>
          <w:tcPr>
            <w:tcW w:w="3366" w:type="dxa"/>
            <w:shd w:val="clear" w:color="auto" w:fill="auto"/>
            <w:noWrap/>
            <w:vAlign w:val="center"/>
          </w:tcPr>
          <w:p w:rsidR="00C97965" w:rsidRPr="000D3563" w:rsidRDefault="00C97965" w:rsidP="00C97965">
            <w:pPr>
              <w:jc w:val="left"/>
              <w:rPr>
                <w:bCs/>
                <w:color w:val="000000"/>
                <w:sz w:val="19"/>
                <w:szCs w:val="19"/>
              </w:rPr>
            </w:pPr>
            <w:r w:rsidRPr="000D3563">
              <w:rPr>
                <w:rFonts w:cs="Arial"/>
                <w:bCs/>
                <w:sz w:val="19"/>
                <w:szCs w:val="19"/>
              </w:rPr>
              <w:t>School Energy Pledge</w:t>
            </w:r>
          </w:p>
        </w:tc>
        <w:tc>
          <w:tcPr>
            <w:tcW w:w="1485" w:type="dxa"/>
            <w:shd w:val="clear" w:color="auto" w:fill="auto"/>
            <w:noWrap/>
            <w:vAlign w:val="center"/>
          </w:tcPr>
          <w:p w:rsidR="00C97965" w:rsidRPr="000D3563" w:rsidRDefault="00C97965" w:rsidP="00C97965">
            <w:pPr>
              <w:jc w:val="center"/>
              <w:rPr>
                <w:color w:val="000000"/>
                <w:sz w:val="19"/>
                <w:szCs w:val="19"/>
              </w:rPr>
            </w:pPr>
            <w:r w:rsidRPr="000D3563">
              <w:rPr>
                <w:color w:val="000000"/>
                <w:sz w:val="19"/>
                <w:szCs w:val="19"/>
              </w:rPr>
              <w:t>Residential</w:t>
            </w:r>
          </w:p>
        </w:tc>
        <w:tc>
          <w:tcPr>
            <w:tcW w:w="1485" w:type="dxa"/>
            <w:shd w:val="clear" w:color="auto" w:fill="auto"/>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auto"/>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auto"/>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000000" w:fill="D2EAF1"/>
            <w:noWrap/>
            <w:vAlign w:val="center"/>
          </w:tcPr>
          <w:p w:rsidR="00C97965" w:rsidRPr="000D3563" w:rsidRDefault="00C97965" w:rsidP="00C97965">
            <w:pPr>
              <w:jc w:val="left"/>
              <w:rPr>
                <w:bCs/>
                <w:color w:val="000000"/>
                <w:sz w:val="19"/>
                <w:szCs w:val="19"/>
              </w:rPr>
            </w:pPr>
            <w:r w:rsidRPr="000D3563">
              <w:rPr>
                <w:rFonts w:cs="Arial"/>
                <w:bCs/>
                <w:sz w:val="19"/>
                <w:szCs w:val="19"/>
              </w:rPr>
              <w:t>Appliance Recycling</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Residential</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C97965" w:rsidRPr="000D3563" w:rsidTr="00BC615D">
        <w:trPr>
          <w:trHeight w:val="346"/>
          <w:jc w:val="center"/>
        </w:trPr>
        <w:tc>
          <w:tcPr>
            <w:tcW w:w="3366" w:type="dxa"/>
            <w:shd w:val="clear" w:color="auto" w:fill="auto"/>
            <w:noWrap/>
            <w:vAlign w:val="center"/>
          </w:tcPr>
          <w:p w:rsidR="00C97965" w:rsidRPr="000D3563" w:rsidRDefault="00C97965" w:rsidP="00C97965">
            <w:pPr>
              <w:jc w:val="left"/>
              <w:rPr>
                <w:bCs/>
                <w:color w:val="000000"/>
                <w:sz w:val="19"/>
                <w:szCs w:val="19"/>
              </w:rPr>
            </w:pPr>
            <w:r w:rsidRPr="000D3563">
              <w:rPr>
                <w:rFonts w:cs="Arial"/>
                <w:bCs/>
                <w:sz w:val="19"/>
                <w:szCs w:val="19"/>
              </w:rPr>
              <w:t>Whole House</w:t>
            </w:r>
          </w:p>
        </w:tc>
        <w:tc>
          <w:tcPr>
            <w:tcW w:w="1485" w:type="dxa"/>
            <w:shd w:val="clear" w:color="auto" w:fill="auto"/>
            <w:noWrap/>
            <w:vAlign w:val="center"/>
          </w:tcPr>
          <w:p w:rsidR="00C97965" w:rsidRPr="000D3563" w:rsidRDefault="00C97965" w:rsidP="00C97965">
            <w:pPr>
              <w:jc w:val="center"/>
              <w:rPr>
                <w:color w:val="000000"/>
                <w:sz w:val="19"/>
                <w:szCs w:val="19"/>
              </w:rPr>
            </w:pPr>
            <w:r w:rsidRPr="000D3563">
              <w:rPr>
                <w:color w:val="000000"/>
                <w:sz w:val="19"/>
                <w:szCs w:val="19"/>
              </w:rPr>
              <w:t>Residential</w:t>
            </w:r>
          </w:p>
        </w:tc>
        <w:tc>
          <w:tcPr>
            <w:tcW w:w="1485" w:type="dxa"/>
            <w:shd w:val="clear" w:color="auto" w:fill="auto"/>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auto"/>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auto"/>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000000" w:fill="D2EAF1"/>
            <w:noWrap/>
            <w:vAlign w:val="center"/>
          </w:tcPr>
          <w:p w:rsidR="00C97965" w:rsidRPr="000D3563" w:rsidRDefault="00C97965" w:rsidP="00C97965">
            <w:pPr>
              <w:jc w:val="left"/>
              <w:rPr>
                <w:bCs/>
                <w:color w:val="000000"/>
                <w:sz w:val="19"/>
                <w:szCs w:val="19"/>
              </w:rPr>
            </w:pPr>
            <w:r w:rsidRPr="000D3563">
              <w:rPr>
                <w:rFonts w:cs="Arial"/>
                <w:bCs/>
                <w:sz w:val="19"/>
                <w:szCs w:val="19"/>
              </w:rPr>
              <w:t>Home Energy Reports</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Residential</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000000"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FFFFFF"/>
            <w:noWrap/>
            <w:vAlign w:val="center"/>
          </w:tcPr>
          <w:p w:rsidR="00C97965" w:rsidRPr="000D3563" w:rsidRDefault="00C97965" w:rsidP="00C97965">
            <w:pPr>
              <w:jc w:val="left"/>
              <w:rPr>
                <w:bCs/>
                <w:color w:val="000000"/>
                <w:sz w:val="19"/>
                <w:szCs w:val="19"/>
              </w:rPr>
            </w:pPr>
            <w:r w:rsidRPr="000D3563">
              <w:rPr>
                <w:rFonts w:cs="Arial"/>
                <w:bCs/>
                <w:sz w:val="19"/>
                <w:szCs w:val="19"/>
              </w:rPr>
              <w:t>Low-Income EE</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Low Income</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D2EAF1"/>
            <w:noWrap/>
            <w:vAlign w:val="center"/>
          </w:tcPr>
          <w:p w:rsidR="00C97965" w:rsidRPr="000D3563" w:rsidRDefault="00C97965" w:rsidP="00C97965">
            <w:pPr>
              <w:jc w:val="left"/>
              <w:rPr>
                <w:bCs/>
                <w:color w:val="000000"/>
                <w:sz w:val="19"/>
                <w:szCs w:val="19"/>
              </w:rPr>
            </w:pPr>
            <w:r w:rsidRPr="000D3563">
              <w:rPr>
                <w:rFonts w:cs="Arial"/>
                <w:bCs/>
                <w:sz w:val="19"/>
                <w:szCs w:val="19"/>
              </w:rPr>
              <w:t>Commercial Sector Umbrella EE</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Commercial</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FFFFFF"/>
            <w:noWrap/>
            <w:vAlign w:val="center"/>
          </w:tcPr>
          <w:p w:rsidR="00C97965" w:rsidRPr="000D3563" w:rsidRDefault="00C97965" w:rsidP="00C97965">
            <w:pPr>
              <w:jc w:val="left"/>
              <w:rPr>
                <w:bCs/>
                <w:color w:val="000000"/>
                <w:sz w:val="19"/>
                <w:szCs w:val="19"/>
              </w:rPr>
            </w:pPr>
            <w:r w:rsidRPr="000D3563">
              <w:rPr>
                <w:rFonts w:cs="Arial"/>
                <w:bCs/>
                <w:sz w:val="19"/>
                <w:szCs w:val="19"/>
              </w:rPr>
              <w:t>Healthcare EE</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Commercial</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D2EAF1"/>
            <w:noWrap/>
            <w:vAlign w:val="center"/>
          </w:tcPr>
          <w:p w:rsidR="00C97965" w:rsidRPr="000D3563" w:rsidRDefault="00C97965" w:rsidP="00C97965">
            <w:pPr>
              <w:jc w:val="left"/>
              <w:rPr>
                <w:bCs/>
                <w:color w:val="000000"/>
                <w:sz w:val="19"/>
                <w:szCs w:val="19"/>
              </w:rPr>
            </w:pPr>
            <w:r w:rsidRPr="000D3563">
              <w:rPr>
                <w:rFonts w:cs="Arial"/>
                <w:bCs/>
                <w:sz w:val="19"/>
                <w:szCs w:val="19"/>
              </w:rPr>
              <w:t>Industrial Sector Umbrella EE</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Industrial</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FFFFFF"/>
            <w:noWrap/>
            <w:vAlign w:val="center"/>
          </w:tcPr>
          <w:p w:rsidR="00C97965" w:rsidRPr="000D3563" w:rsidRDefault="00C97965" w:rsidP="00C97965">
            <w:pPr>
              <w:jc w:val="left"/>
              <w:rPr>
                <w:bCs/>
                <w:color w:val="000000"/>
                <w:sz w:val="19"/>
                <w:szCs w:val="19"/>
              </w:rPr>
            </w:pPr>
            <w:r w:rsidRPr="000D3563">
              <w:rPr>
                <w:rFonts w:cs="Arial"/>
                <w:bCs/>
                <w:sz w:val="19"/>
                <w:szCs w:val="19"/>
              </w:rPr>
              <w:t>Chemical Products EE</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Industrial</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D2EAF1"/>
            <w:noWrap/>
            <w:vAlign w:val="center"/>
          </w:tcPr>
          <w:p w:rsidR="00C97965" w:rsidRPr="000D3563" w:rsidRDefault="00C97965" w:rsidP="00C97965">
            <w:pPr>
              <w:jc w:val="left"/>
              <w:rPr>
                <w:bCs/>
                <w:color w:val="000000"/>
                <w:sz w:val="19"/>
                <w:szCs w:val="19"/>
              </w:rPr>
            </w:pPr>
            <w:r w:rsidRPr="000D3563">
              <w:rPr>
                <w:rFonts w:cs="Arial"/>
                <w:bCs/>
                <w:iCs/>
                <w:sz w:val="19"/>
                <w:szCs w:val="19"/>
              </w:rPr>
              <w:t>Mixed Industrial EE</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Industrial</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FFFFFF"/>
            <w:noWrap/>
            <w:vAlign w:val="center"/>
          </w:tcPr>
          <w:p w:rsidR="00C97965" w:rsidRPr="000D3563" w:rsidRDefault="00C97965" w:rsidP="00C97965">
            <w:pPr>
              <w:jc w:val="left"/>
              <w:rPr>
                <w:bCs/>
                <w:color w:val="000000"/>
                <w:sz w:val="19"/>
                <w:szCs w:val="19"/>
              </w:rPr>
            </w:pPr>
            <w:r w:rsidRPr="000D3563">
              <w:rPr>
                <w:rFonts w:cs="Arial"/>
                <w:bCs/>
                <w:sz w:val="19"/>
                <w:szCs w:val="19"/>
              </w:rPr>
              <w:t>Office Buildings EE</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Commercial</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D2EAF1"/>
            <w:noWrap/>
            <w:vAlign w:val="center"/>
          </w:tcPr>
          <w:p w:rsidR="00C97965" w:rsidRPr="000D3563" w:rsidRDefault="00C97965" w:rsidP="00C97965">
            <w:pPr>
              <w:jc w:val="left"/>
              <w:rPr>
                <w:bCs/>
                <w:color w:val="000000"/>
                <w:sz w:val="19"/>
                <w:szCs w:val="19"/>
              </w:rPr>
            </w:pPr>
            <w:r w:rsidRPr="000D3563">
              <w:rPr>
                <w:rFonts w:cs="Arial"/>
                <w:bCs/>
                <w:iCs/>
                <w:sz w:val="19"/>
                <w:szCs w:val="19"/>
              </w:rPr>
              <w:t>Primary Metals EE</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Industrial</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FFFFFF"/>
            <w:noWrap/>
            <w:vAlign w:val="center"/>
          </w:tcPr>
          <w:p w:rsidR="00C97965" w:rsidRPr="000D3563" w:rsidRDefault="00C97965" w:rsidP="00C97965">
            <w:pPr>
              <w:jc w:val="left"/>
              <w:rPr>
                <w:bCs/>
                <w:color w:val="000000"/>
                <w:sz w:val="19"/>
                <w:szCs w:val="19"/>
              </w:rPr>
            </w:pPr>
            <w:r w:rsidRPr="000D3563">
              <w:rPr>
                <w:rFonts w:cs="Arial"/>
                <w:bCs/>
                <w:sz w:val="19"/>
                <w:szCs w:val="19"/>
              </w:rPr>
              <w:t>Public Agency/Non-Profit</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Commercial</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D2EAF1"/>
            <w:noWrap/>
            <w:vAlign w:val="center"/>
          </w:tcPr>
          <w:p w:rsidR="00C97965" w:rsidRPr="000D3563" w:rsidRDefault="00C97965" w:rsidP="00C97965">
            <w:pPr>
              <w:jc w:val="left"/>
              <w:rPr>
                <w:bCs/>
                <w:color w:val="000000"/>
                <w:sz w:val="19"/>
                <w:szCs w:val="19"/>
              </w:rPr>
            </w:pPr>
            <w:r w:rsidRPr="000D3563">
              <w:rPr>
                <w:rFonts w:cs="Arial"/>
                <w:bCs/>
                <w:sz w:val="19"/>
                <w:szCs w:val="19"/>
              </w:rPr>
              <w:t>Retail Stores EE</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Commercial</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2EAF1"/>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FFFFFF"/>
            <w:noWrap/>
            <w:vAlign w:val="center"/>
          </w:tcPr>
          <w:p w:rsidR="00C97965" w:rsidRPr="000D3563" w:rsidRDefault="00C97965" w:rsidP="00C97965">
            <w:pPr>
              <w:jc w:val="left"/>
              <w:rPr>
                <w:bCs/>
                <w:color w:val="000000"/>
                <w:sz w:val="19"/>
                <w:szCs w:val="19"/>
              </w:rPr>
            </w:pPr>
            <w:r w:rsidRPr="000D3563">
              <w:rPr>
                <w:rFonts w:cs="Arial"/>
                <w:sz w:val="19"/>
                <w:szCs w:val="19"/>
              </w:rPr>
              <w:t>Multifamily Housing Retrofit</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Commercial</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FFFFFF"/>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A874AC" w:rsidRPr="000D3563" w:rsidTr="005C1352">
        <w:trPr>
          <w:trHeight w:val="346"/>
          <w:jc w:val="center"/>
        </w:trPr>
        <w:tc>
          <w:tcPr>
            <w:tcW w:w="3366" w:type="dxa"/>
            <w:shd w:val="clear" w:color="auto" w:fill="DAEEF3"/>
            <w:noWrap/>
            <w:vAlign w:val="center"/>
          </w:tcPr>
          <w:p w:rsidR="00C97965" w:rsidRPr="000D3563" w:rsidRDefault="00C97965" w:rsidP="00C97965">
            <w:pPr>
              <w:jc w:val="left"/>
              <w:rPr>
                <w:bCs/>
                <w:color w:val="000000"/>
                <w:sz w:val="19"/>
                <w:szCs w:val="19"/>
              </w:rPr>
            </w:pPr>
            <w:r w:rsidRPr="000D3563">
              <w:rPr>
                <w:rFonts w:cs="Arial"/>
                <w:bCs/>
                <w:sz w:val="19"/>
                <w:szCs w:val="19"/>
              </w:rPr>
              <w:t>Small Commercial Direct Install</w:t>
            </w:r>
          </w:p>
        </w:tc>
        <w:tc>
          <w:tcPr>
            <w:tcW w:w="1485" w:type="dxa"/>
            <w:shd w:val="clear" w:color="auto" w:fill="DAEEF3"/>
            <w:noWrap/>
            <w:vAlign w:val="center"/>
          </w:tcPr>
          <w:p w:rsidR="00C97965" w:rsidRPr="000D3563" w:rsidRDefault="00C97965" w:rsidP="00C97965">
            <w:pPr>
              <w:jc w:val="center"/>
              <w:rPr>
                <w:color w:val="000000"/>
                <w:sz w:val="19"/>
                <w:szCs w:val="19"/>
              </w:rPr>
            </w:pPr>
            <w:r w:rsidRPr="000D3563">
              <w:rPr>
                <w:color w:val="000000"/>
                <w:sz w:val="19"/>
                <w:szCs w:val="19"/>
              </w:rPr>
              <w:t>Commercial</w:t>
            </w:r>
          </w:p>
        </w:tc>
        <w:tc>
          <w:tcPr>
            <w:tcW w:w="1485" w:type="dxa"/>
            <w:shd w:val="clear" w:color="auto" w:fill="DAEEF3"/>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AEEF3"/>
            <w:noWrap/>
            <w:vAlign w:val="center"/>
          </w:tcPr>
          <w:p w:rsidR="00C97965" w:rsidRPr="000D3563" w:rsidRDefault="00C97965" w:rsidP="00C97965">
            <w:pPr>
              <w:jc w:val="center"/>
              <w:rPr>
                <w:color w:val="000000"/>
                <w:sz w:val="19"/>
                <w:szCs w:val="19"/>
              </w:rPr>
            </w:pPr>
            <w:r w:rsidRPr="000D3563">
              <w:rPr>
                <w:color w:val="000000"/>
                <w:sz w:val="19"/>
                <w:szCs w:val="19"/>
              </w:rPr>
              <w:t>6.9%</w:t>
            </w:r>
          </w:p>
        </w:tc>
        <w:tc>
          <w:tcPr>
            <w:tcW w:w="1485" w:type="dxa"/>
            <w:shd w:val="clear" w:color="auto" w:fill="DAEEF3"/>
            <w:noWrap/>
            <w:vAlign w:val="center"/>
          </w:tcPr>
          <w:p w:rsidR="00C97965" w:rsidRPr="000D3563" w:rsidRDefault="00C97965" w:rsidP="00C97965">
            <w:pPr>
              <w:jc w:val="center"/>
              <w:rPr>
                <w:color w:val="000000"/>
                <w:sz w:val="19"/>
                <w:szCs w:val="19"/>
              </w:rPr>
            </w:pPr>
            <w:r w:rsidRPr="000D3563">
              <w:rPr>
                <w:color w:val="000000"/>
                <w:sz w:val="19"/>
                <w:szCs w:val="19"/>
              </w:rPr>
              <w:t>6.9%</w:t>
            </w:r>
          </w:p>
        </w:tc>
      </w:tr>
      <w:tr w:rsidR="00E7173E" w:rsidRPr="00771798" w:rsidTr="00BC615D">
        <w:trPr>
          <w:trHeight w:val="346"/>
          <w:jc w:val="center"/>
        </w:trPr>
        <w:tc>
          <w:tcPr>
            <w:tcW w:w="9306" w:type="dxa"/>
            <w:gridSpan w:val="5"/>
            <w:shd w:val="clear" w:color="auto" w:fill="448A99"/>
            <w:noWrap/>
            <w:vAlign w:val="center"/>
          </w:tcPr>
          <w:p w:rsidR="002F0470" w:rsidRPr="00771798" w:rsidRDefault="00E05E21" w:rsidP="002F0470">
            <w:pPr>
              <w:jc w:val="left"/>
              <w:rPr>
                <w:color w:val="FFFFFF"/>
                <w:sz w:val="18"/>
                <w:szCs w:val="19"/>
              </w:rPr>
            </w:pPr>
            <w:r w:rsidRPr="00771798">
              <w:rPr>
                <w:color w:val="FFFFFF"/>
                <w:sz w:val="18"/>
                <w:szCs w:val="19"/>
              </w:rPr>
              <w:t>NOTE</w:t>
            </w:r>
            <w:r w:rsidR="000D3563" w:rsidRPr="00771798">
              <w:rPr>
                <w:color w:val="FFFFFF"/>
                <w:sz w:val="18"/>
                <w:szCs w:val="19"/>
              </w:rPr>
              <w:t>S</w:t>
            </w:r>
            <w:r w:rsidRPr="00771798">
              <w:rPr>
                <w:color w:val="FFFFFF"/>
                <w:sz w:val="18"/>
                <w:szCs w:val="19"/>
              </w:rPr>
              <w:t>:</w:t>
            </w:r>
          </w:p>
          <w:p w:rsidR="002F0470" w:rsidRPr="00771798" w:rsidRDefault="002F0470" w:rsidP="00C97965">
            <w:pPr>
              <w:jc w:val="left"/>
              <w:rPr>
                <w:color w:val="000000"/>
                <w:sz w:val="18"/>
                <w:szCs w:val="19"/>
              </w:rPr>
            </w:pPr>
            <w:r w:rsidRPr="00771798">
              <w:rPr>
                <w:color w:val="FFFFFF"/>
                <w:sz w:val="18"/>
                <w:szCs w:val="19"/>
              </w:rPr>
              <w:t xml:space="preserve">[a] </w:t>
            </w:r>
            <w:r w:rsidR="00E05E21" w:rsidRPr="00771798">
              <w:rPr>
                <w:color w:val="FFFFFF"/>
                <w:sz w:val="18"/>
                <w:szCs w:val="19"/>
              </w:rPr>
              <w:t xml:space="preserve">Duquesne’s PY6 annual report </w:t>
            </w:r>
            <w:r w:rsidRPr="00771798">
              <w:rPr>
                <w:color w:val="FFFFFF"/>
                <w:sz w:val="18"/>
                <w:szCs w:val="19"/>
              </w:rPr>
              <w:t>shows li</w:t>
            </w:r>
            <w:r w:rsidR="00C97965" w:rsidRPr="00771798">
              <w:rPr>
                <w:color w:val="FFFFFF"/>
                <w:sz w:val="18"/>
                <w:szCs w:val="19"/>
              </w:rPr>
              <w:t>ne losses as a multiplier (1.074</w:t>
            </w:r>
            <w:r w:rsidRPr="00771798">
              <w:rPr>
                <w:color w:val="FFFFFF"/>
                <w:sz w:val="18"/>
                <w:szCs w:val="19"/>
              </w:rPr>
              <w:t>).</w:t>
            </w:r>
          </w:p>
        </w:tc>
      </w:tr>
    </w:tbl>
    <w:p w:rsidR="008B45A8" w:rsidRDefault="008B45A8" w:rsidP="008B45A8"/>
    <w:p w:rsidR="00B471BA" w:rsidRPr="008A5E9E" w:rsidRDefault="00B471BA" w:rsidP="00B471BA">
      <w:pPr>
        <w:rPr>
          <w:highlight w:val="lightGray"/>
        </w:rPr>
      </w:pPr>
      <w:r w:rsidRPr="00FA66F0">
        <w:t xml:space="preserve">Duquesne’s </w:t>
      </w:r>
      <w:r>
        <w:t>B/C</w:t>
      </w:r>
      <w:r w:rsidRPr="00FA66F0">
        <w:t xml:space="preserve"> model assigned an EUL to each measure listed in Duquesne’s TRC model. The details of the EULs were listed in Duquesne’s Phase II Measure Table in the extract databases that were submitted to the SWE Team. The SWE Team spot-checked the measure lives in the Duquesne TRC model again</w:t>
      </w:r>
      <w:r>
        <w:t>st the measure lives in the 2015</w:t>
      </w:r>
      <w:r w:rsidRPr="00FA66F0">
        <w:t xml:space="preserve"> TRM and found </w:t>
      </w:r>
      <w:r>
        <w:t>no variances</w:t>
      </w:r>
      <w:r w:rsidRPr="00FA66F0">
        <w:t xml:space="preserve">. </w:t>
      </w:r>
      <w:r>
        <w:t xml:space="preserve">The SWE notes that Duquesne corrected any inconsistencies detected in prior Phase II program years. </w:t>
      </w:r>
      <w:r w:rsidRPr="00FA66F0">
        <w:t xml:space="preserve">The SWE Team also found the measure lives applied to custom measures not explicitly stated in the TRM to be reasonable. </w:t>
      </w:r>
    </w:p>
    <w:p w:rsidR="00B471BA" w:rsidRPr="008A5E9E" w:rsidRDefault="00B471BA" w:rsidP="00B471BA">
      <w:pPr>
        <w:rPr>
          <w:highlight w:val="lightGray"/>
        </w:rPr>
      </w:pPr>
    </w:p>
    <w:p w:rsidR="00B471BA" w:rsidRPr="00FA66F0" w:rsidRDefault="00B471BA" w:rsidP="00B471BA">
      <w:r>
        <w:t>As in prior Phase II program years, t</w:t>
      </w:r>
      <w:r w:rsidRPr="00FA66F0">
        <w:t>he evaluation contractor, Navigant, applied incremental costs at the measure level for both the residential and non-residential programs in the Duquesne TRC model. Navigant listed sources for the cost assumptions clearly in the TRC model as well as</w:t>
      </w:r>
      <w:r>
        <w:t xml:space="preserve"> in Appendix B of Duquesne’s PY7</w:t>
      </w:r>
      <w:r w:rsidRPr="00FA66F0">
        <w:t xml:space="preserve"> annual report. The incremental cost values came from a variety of sources, including the SWE incremental cost database, C</w:t>
      </w:r>
      <w:r>
        <w:t>/</w:t>
      </w:r>
      <w:r w:rsidRPr="00FA66F0">
        <w:t>I Fluorescent Lighting Cost Study</w:t>
      </w:r>
      <w:r>
        <w:t>,</w:t>
      </w:r>
      <w:r w:rsidRPr="00FA66F0">
        <w:rPr>
          <w:vertAlign w:val="superscript"/>
        </w:rPr>
        <w:footnoteReference w:id="52"/>
      </w:r>
      <w:r w:rsidRPr="00FA66F0">
        <w:t xml:space="preserve"> and actual invoice costs in Duquesne’s </w:t>
      </w:r>
      <w:r w:rsidRPr="00020D87">
        <w:rPr>
          <w:color w:val="000000"/>
        </w:rPr>
        <w:t>Program Management and Reporting System</w:t>
      </w:r>
      <w:r w:rsidRPr="00FA66F0">
        <w:t xml:space="preserve"> </w:t>
      </w:r>
      <w:r>
        <w:t>(</w:t>
      </w:r>
      <w:r w:rsidRPr="00FA66F0">
        <w:t>PMRS</w:t>
      </w:r>
      <w:r>
        <w:t>)</w:t>
      </w:r>
      <w:r w:rsidRPr="00FA66F0">
        <w:t xml:space="preserve"> database.</w:t>
      </w:r>
    </w:p>
    <w:p w:rsidR="00B471BA" w:rsidRPr="008A5E9E" w:rsidRDefault="00B471BA" w:rsidP="00B471BA">
      <w:pPr>
        <w:rPr>
          <w:highlight w:val="lightGray"/>
        </w:rPr>
      </w:pPr>
    </w:p>
    <w:p w:rsidR="00B471BA" w:rsidRPr="008A5E9E" w:rsidRDefault="00B471BA" w:rsidP="00B471BA">
      <w:pPr>
        <w:rPr>
          <w:highlight w:val="lightGray"/>
        </w:rPr>
      </w:pPr>
      <w:r w:rsidRPr="00FA66F0">
        <w:t>The TRC model drew the energy and demand impacts from the PMRS database, which used TRM-specified values and equations to assign ex ante annual savings values to completed measures. The TRC analysis was based on ex post verified savings, so the model adjusted program impacts by an applicable realization rate. The model applied separate realization rates to energy and demand impact</w:t>
      </w:r>
      <w:r w:rsidRPr="0044653F">
        <w:t xml:space="preserve">s. The SWE Team found </w:t>
      </w:r>
      <w:r>
        <w:t>no observable differences</w:t>
      </w:r>
      <w:r w:rsidRPr="0044653F">
        <w:t xml:space="preserve"> in the</w:t>
      </w:r>
      <w:r>
        <w:t xml:space="preserve"> TRC model and the PY7 Annual Report for both verified gross energy and demand.</w:t>
      </w:r>
    </w:p>
    <w:p w:rsidR="00B471BA" w:rsidRPr="00FA66F0" w:rsidRDefault="00B471BA" w:rsidP="00B471BA"/>
    <w:p w:rsidR="00B471BA" w:rsidRDefault="00B471BA" w:rsidP="00B471BA">
      <w:r>
        <w:t>In PY7, the 2015</w:t>
      </w:r>
      <w:r w:rsidRPr="00FA66F0">
        <w:t xml:space="preserve"> TRM specifically instruct</w:t>
      </w:r>
      <w:r>
        <w:t>ed</w:t>
      </w:r>
      <w:r w:rsidRPr="00FA66F0">
        <w:t xml:space="preserve"> EDCs to account for dual baselines with regard to T12 linear fluorescent replacements. The dual baseline adjustment impacts the lifetime energy and demand savings of measures, but </w:t>
      </w:r>
      <w:r>
        <w:t>did</w:t>
      </w:r>
      <w:r w:rsidRPr="00FA66F0">
        <w:t xml:space="preserve"> not impact</w:t>
      </w:r>
      <w:r>
        <w:t xml:space="preserve"> first-year savings for PY7</w:t>
      </w:r>
      <w:r w:rsidRPr="00FA66F0">
        <w:t>. EDCs may choose to reflect the dual baselines either by applying savings adjustment factors or by reducing the EUL to adjust lifetime savings. The Duquesne TRC model uses an adjusted EUL to account for the dual baseline measures</w:t>
      </w:r>
      <w:r>
        <w:t>.</w:t>
      </w:r>
    </w:p>
    <w:p w:rsidR="002F0470" w:rsidRDefault="002F0470" w:rsidP="002F0470"/>
    <w:p w:rsidR="00950837" w:rsidRPr="00D34B3E" w:rsidRDefault="00950837" w:rsidP="009C0DF1">
      <w:pPr>
        <w:pStyle w:val="AppendixAHeading3"/>
      </w:pPr>
      <w:r w:rsidRPr="00D34B3E">
        <w:t>Avoided Cost</w:t>
      </w:r>
      <w:r w:rsidR="002F0470">
        <w:t xml:space="preserve"> of Energy and</w:t>
      </w:r>
      <w:r w:rsidRPr="00D34B3E">
        <w:t xml:space="preserve"> Capacity</w:t>
      </w:r>
    </w:p>
    <w:p w:rsidR="008B45A8" w:rsidRDefault="00C97965" w:rsidP="002F0470">
      <w:r w:rsidRPr="00C97965">
        <w:t>The PY7 D</w:t>
      </w:r>
      <w:r w:rsidR="00A77C59">
        <w:t>uquesne</w:t>
      </w:r>
      <w:r w:rsidR="00BC615D">
        <w:t xml:space="preserve"> </w:t>
      </w:r>
      <w:r w:rsidRPr="00C97965">
        <w:t>TRC Models use the Phase II approved avoided costs of energy and capacity.</w:t>
      </w:r>
      <w:r>
        <w:rPr>
          <w:rStyle w:val="FootnoteReference"/>
        </w:rPr>
        <w:footnoteReference w:id="53"/>
      </w:r>
      <w:r w:rsidRPr="00F0357F">
        <w:t xml:space="preserve"> </w:t>
      </w:r>
      <w:r w:rsidRPr="00C97965">
        <w:t>The PY7 models were updated to select the appropriat</w:t>
      </w:r>
      <w:r>
        <w:t>e PY7 stream of avoided costs.</w:t>
      </w:r>
    </w:p>
    <w:p w:rsidR="00B471BA" w:rsidRPr="002F0470" w:rsidRDefault="00B471BA" w:rsidP="002F0470"/>
    <w:p w:rsidR="00950837" w:rsidRDefault="00950837" w:rsidP="009C0DF1">
      <w:pPr>
        <w:pStyle w:val="AppendixAHeading3"/>
      </w:pPr>
      <w:r>
        <w:t>Conclusions and Recommendations</w:t>
      </w:r>
    </w:p>
    <w:p w:rsidR="00C32A57" w:rsidRDefault="00C97965" w:rsidP="00C32A57">
      <w:r w:rsidRPr="00904883">
        <w:t xml:space="preserve">The </w:t>
      </w:r>
      <w:r>
        <w:t>D</w:t>
      </w:r>
      <w:r w:rsidR="00A77C59">
        <w:t>uquesne</w:t>
      </w:r>
      <w:r>
        <w:t xml:space="preserve"> </w:t>
      </w:r>
      <w:r w:rsidRPr="00F0357F">
        <w:t xml:space="preserve">TRC model is performing all of the B/C calculations in accordance with the 2013 TRC Order. The SWE Team review of the </w:t>
      </w:r>
      <w:r>
        <w:t>D</w:t>
      </w:r>
      <w:r w:rsidR="00A77C59">
        <w:t>uquesne</w:t>
      </w:r>
      <w:r w:rsidRPr="00F0357F">
        <w:t xml:space="preserve"> TRC model found no calculation errors and believes the PY7 TRC benefits, costs, and ratio</w:t>
      </w:r>
      <w:r>
        <w:t>s to be reasonable and accurate</w:t>
      </w:r>
      <w:r w:rsidR="00B471BA" w:rsidRPr="00B471BA">
        <w:t>.</w:t>
      </w:r>
    </w:p>
    <w:p w:rsidR="00904883" w:rsidRDefault="00904883" w:rsidP="00C32A57"/>
    <w:p w:rsidR="0055598C" w:rsidRDefault="0055598C" w:rsidP="00C32A57"/>
    <w:p w:rsidR="0055598C" w:rsidRPr="00C32A57" w:rsidRDefault="0055598C" w:rsidP="00C32A57"/>
    <w:p w:rsidR="00950837" w:rsidRDefault="00950837" w:rsidP="000D3563">
      <w:pPr>
        <w:pStyle w:val="AppendixAHeading2"/>
      </w:pPr>
      <w:r w:rsidRPr="00915BAC">
        <w:t>Status</w:t>
      </w:r>
      <w:r>
        <w:t xml:space="preserve"> of Evaluation Activities</w:t>
      </w:r>
    </w:p>
    <w:p w:rsidR="009847AC" w:rsidRPr="009847AC" w:rsidRDefault="009847AC" w:rsidP="009847AC">
      <w:r w:rsidRPr="009847AC">
        <w:t>This section discusses the status of Duquesne EM&amp;V plans, M&amp;V activities and findings, and process evaluation activities and findings.</w:t>
      </w:r>
    </w:p>
    <w:p w:rsidR="009847AC" w:rsidRDefault="009847AC" w:rsidP="009847AC"/>
    <w:p w:rsidR="00B023C7" w:rsidRPr="00C32A57" w:rsidRDefault="00950837" w:rsidP="009C0DF1">
      <w:pPr>
        <w:pStyle w:val="AppendixAHeading3"/>
      </w:pPr>
      <w:bookmarkStart w:id="512" w:name="_Ref472937128"/>
      <w:r w:rsidRPr="00C32A57">
        <w:t>Status of Evaluation, Measurement</w:t>
      </w:r>
      <w:r w:rsidR="00E05E21">
        <w:t>,</w:t>
      </w:r>
      <w:r w:rsidRPr="00C32A57">
        <w:t xml:space="preserve"> and Verification Plans</w:t>
      </w:r>
      <w:bookmarkEnd w:id="512"/>
    </w:p>
    <w:p w:rsidR="00496A99" w:rsidRPr="009472F6" w:rsidRDefault="00496A99" w:rsidP="00496A99">
      <w:pPr>
        <w:pStyle w:val="bullettext"/>
      </w:pPr>
      <w:r w:rsidRPr="009472F6">
        <w:t>The standardization of evaluation protocols across EDCs was outlined in the Phase II Evaluation Framework in order to create consistency in evaluation practices across EDCs. The SWE Evaluation Framework that was applicable for PY</w:t>
      </w:r>
      <w:r w:rsidR="00686718">
        <w:t>7</w:t>
      </w:r>
      <w:r w:rsidRPr="009472F6">
        <w:t xml:space="preserve">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48"/>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496A99" w:rsidRDefault="00496A99" w:rsidP="00B023C7">
      <w:pPr>
        <w:pStyle w:val="bullettext"/>
        <w:spacing w:after="0"/>
      </w:pPr>
    </w:p>
    <w:p w:rsidR="00B023C7" w:rsidRDefault="00735BA9" w:rsidP="00B023C7">
      <w:pPr>
        <w:pStyle w:val="bullettext"/>
        <w:spacing w:after="0"/>
      </w:pPr>
      <w:r>
        <w:fldChar w:fldCharType="begin"/>
      </w:r>
      <w:r>
        <w:instrText xml:space="preserve"> REF _Ref472356018 \h </w:instrText>
      </w:r>
      <w:r>
        <w:fldChar w:fldCharType="separate"/>
      </w:r>
      <w:r w:rsidR="00037CB4">
        <w:t>Table A-</w:t>
      </w:r>
      <w:r w:rsidR="00037CB4">
        <w:rPr>
          <w:noProof/>
        </w:rPr>
        <w:t>6</w:t>
      </w:r>
      <w:r>
        <w:fldChar w:fldCharType="end"/>
      </w:r>
      <w:r w:rsidR="00B023C7">
        <w:t xml:space="preserve"> displays k</w:t>
      </w:r>
      <w:r w:rsidR="00B023C7" w:rsidRPr="009472F6">
        <w:t xml:space="preserve">ey milestones completed by </w:t>
      </w:r>
      <w:r w:rsidR="00B023C7">
        <w:t>Duquesne</w:t>
      </w:r>
      <w:r w:rsidR="00B023C7" w:rsidRPr="009472F6">
        <w:t xml:space="preserve"> and the SWE</w:t>
      </w:r>
      <w:r w:rsidR="00B023C7">
        <w:t xml:space="preserve"> for the company’s Phase II EM&amp;V Plan</w:t>
      </w:r>
      <w:r w:rsidR="00B023C7" w:rsidRPr="009472F6">
        <w:t>.</w:t>
      </w:r>
      <w:r w:rsidR="00B023C7" w:rsidRPr="00E517E5">
        <w:t xml:space="preserve"> Th</w:t>
      </w:r>
      <w:r w:rsidR="00B023C7">
        <w:t>e</w:t>
      </w:r>
      <w:r w:rsidR="00B023C7" w:rsidRPr="00E517E5">
        <w:t xml:space="preserve"> </w:t>
      </w:r>
      <w:r w:rsidR="00B023C7">
        <w:t>t</w:t>
      </w:r>
      <w:r w:rsidR="00B023C7" w:rsidRPr="00E517E5">
        <w:t>able shows all of the key milestones relating to the Duquesne Phase II EM&amp;V Plan that have occurred to date during Phase II</w:t>
      </w:r>
      <w:r w:rsidR="00B023C7">
        <w:t>,</w:t>
      </w:r>
      <w:r w:rsidR="00B023C7" w:rsidRPr="00E517E5">
        <w:t xml:space="preserve"> in order to provide a complete picture of the on-going refinement of this plan</w:t>
      </w:r>
      <w:r w:rsidR="00B023C7">
        <w:t>.</w:t>
      </w:r>
    </w:p>
    <w:p w:rsidR="00823FE0" w:rsidRPr="009472F6" w:rsidRDefault="00823FE0" w:rsidP="00B023C7">
      <w:pPr>
        <w:pStyle w:val="bullettext"/>
        <w:spacing w:after="0"/>
      </w:pPr>
    </w:p>
    <w:p w:rsidR="00B023C7" w:rsidRPr="009472F6" w:rsidRDefault="00735BA9" w:rsidP="004837FA">
      <w:pPr>
        <w:pStyle w:val="Caption"/>
      </w:pPr>
      <w:bookmarkStart w:id="513" w:name="_Ref472356018"/>
      <w:bookmarkStart w:id="514" w:name="_Toc445206184"/>
      <w:bookmarkStart w:id="515" w:name="_Toc472472415"/>
      <w:bookmarkStart w:id="516" w:name="_Toc488741834"/>
      <w:r>
        <w:t>Table A-</w:t>
      </w:r>
      <w:r w:rsidR="007973A4">
        <w:fldChar w:fldCharType="begin"/>
      </w:r>
      <w:r w:rsidR="007973A4">
        <w:instrText xml:space="preserve"> SEQ Table_A- \* ARABIC </w:instrText>
      </w:r>
      <w:r w:rsidR="007973A4">
        <w:fldChar w:fldCharType="separate"/>
      </w:r>
      <w:r w:rsidR="00037CB4">
        <w:rPr>
          <w:noProof/>
        </w:rPr>
        <w:t>6</w:t>
      </w:r>
      <w:r w:rsidR="007973A4">
        <w:rPr>
          <w:noProof/>
        </w:rPr>
        <w:fldChar w:fldCharType="end"/>
      </w:r>
      <w:bookmarkEnd w:id="513"/>
      <w:r w:rsidR="00B023C7" w:rsidRPr="009472F6">
        <w:t>: Key Milestones Reached for Duquesne’s Phase II EM&amp;V Plan</w:t>
      </w:r>
      <w:bookmarkEnd w:id="514"/>
      <w:bookmarkEnd w:id="515"/>
      <w:bookmarkEnd w:id="516"/>
    </w:p>
    <w:tbl>
      <w:tblPr>
        <w:tblW w:w="9355" w:type="dxa"/>
        <w:tblLayout w:type="fixed"/>
        <w:tblLook w:val="04A0" w:firstRow="1" w:lastRow="0" w:firstColumn="1" w:lastColumn="0" w:noHBand="0" w:noVBand="1"/>
      </w:tblPr>
      <w:tblGrid>
        <w:gridCol w:w="2543"/>
        <w:gridCol w:w="6812"/>
      </w:tblGrid>
      <w:tr w:rsidR="00E7173E" w:rsidRPr="000D3563" w:rsidTr="000D3563">
        <w:trPr>
          <w:cantSplit/>
          <w:trHeight w:val="197"/>
          <w:tblHeader/>
        </w:trPr>
        <w:tc>
          <w:tcPr>
            <w:tcW w:w="2543"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B023C7" w:rsidRPr="000D3563" w:rsidRDefault="00B023C7" w:rsidP="008C2D5E">
            <w:pPr>
              <w:jc w:val="left"/>
              <w:rPr>
                <w:b/>
                <w:bCs/>
                <w:color w:val="FFFFFF"/>
                <w:sz w:val="19"/>
                <w:szCs w:val="19"/>
              </w:rPr>
            </w:pPr>
            <w:r w:rsidRPr="000D3563">
              <w:rPr>
                <w:b/>
                <w:bCs/>
                <w:color w:val="FFFFFF"/>
                <w:sz w:val="19"/>
                <w:szCs w:val="19"/>
              </w:rPr>
              <w:t>Date</w:t>
            </w:r>
          </w:p>
        </w:tc>
        <w:tc>
          <w:tcPr>
            <w:tcW w:w="6812" w:type="dxa"/>
            <w:tcBorders>
              <w:top w:val="single" w:sz="4" w:space="0" w:color="448A99"/>
              <w:left w:val="nil"/>
              <w:bottom w:val="single" w:sz="4" w:space="0" w:color="448A99"/>
              <w:right w:val="single" w:sz="4" w:space="0" w:color="448A99"/>
            </w:tcBorders>
            <w:shd w:val="clear" w:color="000000" w:fill="448A99"/>
            <w:vAlign w:val="bottom"/>
          </w:tcPr>
          <w:p w:rsidR="00B023C7" w:rsidRPr="000D3563" w:rsidRDefault="00B023C7" w:rsidP="008C2D5E">
            <w:pPr>
              <w:jc w:val="left"/>
              <w:rPr>
                <w:b/>
                <w:bCs/>
                <w:color w:val="FFFFFF"/>
                <w:sz w:val="19"/>
                <w:szCs w:val="19"/>
              </w:rPr>
            </w:pPr>
            <w:r w:rsidRPr="000D3563">
              <w:rPr>
                <w:b/>
                <w:bCs/>
                <w:color w:val="FFFFFF"/>
                <w:sz w:val="19"/>
                <w:szCs w:val="19"/>
              </w:rPr>
              <w:t>Event</w:t>
            </w:r>
          </w:p>
        </w:tc>
      </w:tr>
      <w:tr w:rsidR="00E7173E" w:rsidRPr="000D3563" w:rsidTr="000D3563">
        <w:trPr>
          <w:trHeight w:val="464"/>
        </w:trPr>
        <w:tc>
          <w:tcPr>
            <w:tcW w:w="2543" w:type="dxa"/>
            <w:tcBorders>
              <w:top w:val="nil"/>
              <w:left w:val="single" w:sz="4" w:space="0" w:color="448A99"/>
              <w:bottom w:val="single" w:sz="4" w:space="0" w:color="448A99"/>
              <w:right w:val="single" w:sz="4" w:space="0" w:color="448A99"/>
            </w:tcBorders>
            <w:shd w:val="clear" w:color="auto" w:fill="D2EAF1"/>
          </w:tcPr>
          <w:p w:rsidR="00B023C7" w:rsidRPr="000D3563" w:rsidRDefault="00B023C7" w:rsidP="008C2D5E">
            <w:pPr>
              <w:rPr>
                <w:bCs/>
                <w:color w:val="000000"/>
                <w:sz w:val="19"/>
                <w:szCs w:val="19"/>
              </w:rPr>
            </w:pPr>
            <w:r w:rsidRPr="000D3563">
              <w:rPr>
                <w:sz w:val="19"/>
                <w:szCs w:val="19"/>
              </w:rPr>
              <w:t>September 6, 2013</w:t>
            </w:r>
          </w:p>
        </w:tc>
        <w:tc>
          <w:tcPr>
            <w:tcW w:w="6812" w:type="dxa"/>
            <w:tcBorders>
              <w:top w:val="nil"/>
              <w:left w:val="nil"/>
              <w:bottom w:val="single" w:sz="4" w:space="0" w:color="448A99"/>
              <w:right w:val="single" w:sz="4" w:space="0" w:color="448A99"/>
            </w:tcBorders>
            <w:shd w:val="clear" w:color="auto" w:fill="D2EAF1"/>
          </w:tcPr>
          <w:p w:rsidR="00B023C7" w:rsidRPr="000D3563" w:rsidRDefault="00B023C7" w:rsidP="008C2D5E">
            <w:pPr>
              <w:jc w:val="left"/>
              <w:rPr>
                <w:color w:val="000000"/>
                <w:sz w:val="19"/>
                <w:szCs w:val="19"/>
              </w:rPr>
            </w:pPr>
            <w:r w:rsidRPr="000D3563">
              <w:rPr>
                <w:sz w:val="19"/>
                <w:szCs w:val="19"/>
              </w:rPr>
              <w:t>Duquesne submits first draft of Phase II evaluation plan to the PUC and SWE</w:t>
            </w:r>
          </w:p>
        </w:tc>
      </w:tr>
      <w:tr w:rsidR="00E7173E" w:rsidRPr="000D3563" w:rsidTr="000D3563">
        <w:trPr>
          <w:trHeight w:val="464"/>
        </w:trPr>
        <w:tc>
          <w:tcPr>
            <w:tcW w:w="2543" w:type="dxa"/>
            <w:tcBorders>
              <w:top w:val="nil"/>
              <w:left w:val="single" w:sz="4" w:space="0" w:color="448A99"/>
              <w:bottom w:val="single" w:sz="4" w:space="0" w:color="448A99"/>
              <w:right w:val="single" w:sz="4" w:space="0" w:color="448A99"/>
            </w:tcBorders>
            <w:shd w:val="clear" w:color="auto" w:fill="auto"/>
          </w:tcPr>
          <w:p w:rsidR="00B023C7" w:rsidRPr="000D3563" w:rsidRDefault="00B023C7" w:rsidP="008C2D5E">
            <w:pPr>
              <w:rPr>
                <w:bCs/>
                <w:color w:val="000000"/>
                <w:sz w:val="19"/>
                <w:szCs w:val="19"/>
                <w:lang w:eastAsia="zh-CN"/>
              </w:rPr>
            </w:pPr>
            <w:r w:rsidRPr="000D3563">
              <w:rPr>
                <w:sz w:val="19"/>
                <w:szCs w:val="19"/>
              </w:rPr>
              <w:t>October 13, 2013</w:t>
            </w:r>
          </w:p>
        </w:tc>
        <w:tc>
          <w:tcPr>
            <w:tcW w:w="6812" w:type="dxa"/>
            <w:tcBorders>
              <w:top w:val="nil"/>
              <w:left w:val="nil"/>
              <w:bottom w:val="single" w:sz="4" w:space="0" w:color="448A99"/>
              <w:right w:val="single" w:sz="4" w:space="0" w:color="448A99"/>
            </w:tcBorders>
            <w:shd w:val="clear" w:color="auto" w:fill="auto"/>
          </w:tcPr>
          <w:p w:rsidR="00B023C7" w:rsidRPr="000D3563" w:rsidRDefault="00B023C7" w:rsidP="008C2D5E">
            <w:pPr>
              <w:jc w:val="left"/>
              <w:rPr>
                <w:color w:val="000000"/>
                <w:sz w:val="19"/>
                <w:szCs w:val="19"/>
              </w:rPr>
            </w:pPr>
            <w:r w:rsidRPr="000D3563">
              <w:rPr>
                <w:sz w:val="19"/>
                <w:szCs w:val="19"/>
              </w:rPr>
              <w:t>SWE returns comments on the Duquesne evaluation plan to Duquesne</w:t>
            </w:r>
          </w:p>
        </w:tc>
      </w:tr>
      <w:tr w:rsidR="00E7173E" w:rsidRPr="000D3563" w:rsidTr="000D3563">
        <w:trPr>
          <w:trHeight w:val="464"/>
        </w:trPr>
        <w:tc>
          <w:tcPr>
            <w:tcW w:w="2543" w:type="dxa"/>
            <w:tcBorders>
              <w:top w:val="nil"/>
              <w:left w:val="single" w:sz="4" w:space="0" w:color="448A99"/>
              <w:bottom w:val="single" w:sz="4" w:space="0" w:color="448A99"/>
              <w:right w:val="single" w:sz="4" w:space="0" w:color="448A99"/>
            </w:tcBorders>
            <w:shd w:val="clear" w:color="auto" w:fill="D2EAF1"/>
          </w:tcPr>
          <w:p w:rsidR="00B023C7" w:rsidRPr="000D3563" w:rsidRDefault="00B023C7" w:rsidP="008C2D5E">
            <w:pPr>
              <w:rPr>
                <w:bCs/>
                <w:color w:val="000000"/>
                <w:sz w:val="19"/>
                <w:szCs w:val="19"/>
                <w:lang w:eastAsia="zh-CN"/>
              </w:rPr>
            </w:pPr>
            <w:r w:rsidRPr="000D3563">
              <w:rPr>
                <w:sz w:val="19"/>
                <w:szCs w:val="19"/>
              </w:rPr>
              <w:t>November 13, 2013</w:t>
            </w:r>
          </w:p>
        </w:tc>
        <w:tc>
          <w:tcPr>
            <w:tcW w:w="6812" w:type="dxa"/>
            <w:tcBorders>
              <w:top w:val="nil"/>
              <w:left w:val="nil"/>
              <w:bottom w:val="single" w:sz="4" w:space="0" w:color="448A99"/>
              <w:right w:val="single" w:sz="4" w:space="0" w:color="448A99"/>
            </w:tcBorders>
            <w:shd w:val="clear" w:color="auto" w:fill="D2EAF1"/>
          </w:tcPr>
          <w:p w:rsidR="00B023C7" w:rsidRPr="000D3563" w:rsidRDefault="00B023C7" w:rsidP="008C2D5E">
            <w:pPr>
              <w:jc w:val="left"/>
              <w:rPr>
                <w:color w:val="000000"/>
                <w:sz w:val="19"/>
                <w:szCs w:val="19"/>
              </w:rPr>
            </w:pPr>
            <w:r w:rsidRPr="000D3563">
              <w:rPr>
                <w:sz w:val="19"/>
                <w:szCs w:val="19"/>
              </w:rPr>
              <w:t>SWE sends a list of “items that be must addressed” to Duquesne</w:t>
            </w:r>
          </w:p>
        </w:tc>
      </w:tr>
      <w:tr w:rsidR="00E7173E" w:rsidRPr="000D3563" w:rsidTr="000D3563">
        <w:trPr>
          <w:trHeight w:val="464"/>
        </w:trPr>
        <w:tc>
          <w:tcPr>
            <w:tcW w:w="2543" w:type="dxa"/>
            <w:tcBorders>
              <w:top w:val="nil"/>
              <w:left w:val="single" w:sz="4" w:space="0" w:color="448A99"/>
              <w:bottom w:val="single" w:sz="4" w:space="0" w:color="448A99"/>
              <w:right w:val="single" w:sz="4" w:space="0" w:color="448A99"/>
            </w:tcBorders>
            <w:shd w:val="clear" w:color="auto" w:fill="auto"/>
          </w:tcPr>
          <w:p w:rsidR="00B023C7" w:rsidRPr="000D3563" w:rsidRDefault="00B023C7" w:rsidP="008C2D5E">
            <w:pPr>
              <w:rPr>
                <w:bCs/>
                <w:color w:val="000000"/>
                <w:sz w:val="19"/>
                <w:szCs w:val="19"/>
                <w:lang w:eastAsia="zh-CN"/>
              </w:rPr>
            </w:pPr>
            <w:r w:rsidRPr="000D3563">
              <w:rPr>
                <w:sz w:val="19"/>
                <w:szCs w:val="19"/>
              </w:rPr>
              <w:t>December 31, 2013</w:t>
            </w:r>
          </w:p>
        </w:tc>
        <w:tc>
          <w:tcPr>
            <w:tcW w:w="6812" w:type="dxa"/>
            <w:tcBorders>
              <w:top w:val="nil"/>
              <w:left w:val="nil"/>
              <w:bottom w:val="single" w:sz="4" w:space="0" w:color="448A99"/>
              <w:right w:val="single" w:sz="4" w:space="0" w:color="448A99"/>
            </w:tcBorders>
            <w:shd w:val="clear" w:color="auto" w:fill="auto"/>
          </w:tcPr>
          <w:p w:rsidR="00B023C7" w:rsidRPr="000D3563" w:rsidRDefault="00B023C7" w:rsidP="008C2D5E">
            <w:pPr>
              <w:jc w:val="left"/>
              <w:rPr>
                <w:color w:val="000000"/>
                <w:sz w:val="19"/>
                <w:szCs w:val="19"/>
              </w:rPr>
            </w:pPr>
            <w:r w:rsidRPr="000D3563">
              <w:rPr>
                <w:sz w:val="19"/>
                <w:szCs w:val="19"/>
              </w:rPr>
              <w:t>Duquesne submits revised Phase II evaluation plan to the PUC and SWE</w:t>
            </w:r>
          </w:p>
        </w:tc>
      </w:tr>
      <w:tr w:rsidR="00E7173E" w:rsidRPr="000D3563" w:rsidTr="000D3563">
        <w:trPr>
          <w:trHeight w:val="464"/>
        </w:trPr>
        <w:tc>
          <w:tcPr>
            <w:tcW w:w="2543" w:type="dxa"/>
            <w:tcBorders>
              <w:top w:val="nil"/>
              <w:left w:val="single" w:sz="4" w:space="0" w:color="448A99"/>
              <w:bottom w:val="single" w:sz="4" w:space="0" w:color="448A99"/>
              <w:right w:val="single" w:sz="4" w:space="0" w:color="448A99"/>
            </w:tcBorders>
            <w:shd w:val="clear" w:color="auto" w:fill="D2EAF1"/>
          </w:tcPr>
          <w:p w:rsidR="00B023C7" w:rsidRPr="000D3563" w:rsidRDefault="00B023C7" w:rsidP="008C2D5E">
            <w:pPr>
              <w:rPr>
                <w:bCs/>
                <w:color w:val="000000"/>
                <w:sz w:val="19"/>
                <w:szCs w:val="19"/>
                <w:lang w:eastAsia="zh-CN"/>
              </w:rPr>
            </w:pPr>
            <w:r w:rsidRPr="000D3563">
              <w:rPr>
                <w:sz w:val="19"/>
                <w:szCs w:val="19"/>
              </w:rPr>
              <w:t>January 9, 2014</w:t>
            </w:r>
          </w:p>
        </w:tc>
        <w:tc>
          <w:tcPr>
            <w:tcW w:w="6812" w:type="dxa"/>
            <w:tcBorders>
              <w:top w:val="nil"/>
              <w:left w:val="nil"/>
              <w:bottom w:val="single" w:sz="4" w:space="0" w:color="448A99"/>
              <w:right w:val="single" w:sz="4" w:space="0" w:color="448A99"/>
            </w:tcBorders>
            <w:shd w:val="clear" w:color="auto" w:fill="D2EAF1"/>
          </w:tcPr>
          <w:p w:rsidR="00B023C7" w:rsidRPr="000D3563" w:rsidRDefault="00B023C7" w:rsidP="008C2D5E">
            <w:pPr>
              <w:jc w:val="left"/>
              <w:rPr>
                <w:color w:val="000000"/>
                <w:sz w:val="19"/>
                <w:szCs w:val="19"/>
              </w:rPr>
            </w:pPr>
            <w:r w:rsidRPr="000D3563">
              <w:rPr>
                <w:sz w:val="19"/>
                <w:szCs w:val="19"/>
              </w:rPr>
              <w:t>Duquesne submits revised table for the evaluation plan for the Duquesne HER Program</w:t>
            </w:r>
          </w:p>
        </w:tc>
      </w:tr>
      <w:tr w:rsidR="00E7173E" w:rsidRPr="000D3563" w:rsidTr="000D3563">
        <w:trPr>
          <w:trHeight w:val="464"/>
        </w:trPr>
        <w:tc>
          <w:tcPr>
            <w:tcW w:w="2543" w:type="dxa"/>
            <w:tcBorders>
              <w:top w:val="nil"/>
              <w:left w:val="single" w:sz="4" w:space="0" w:color="448A99"/>
              <w:bottom w:val="single" w:sz="4" w:space="0" w:color="448A99"/>
              <w:right w:val="single" w:sz="4" w:space="0" w:color="448A99"/>
            </w:tcBorders>
            <w:shd w:val="clear" w:color="auto" w:fill="auto"/>
          </w:tcPr>
          <w:p w:rsidR="00B023C7" w:rsidRPr="000D3563" w:rsidRDefault="00B023C7" w:rsidP="008C2D5E">
            <w:pPr>
              <w:rPr>
                <w:bCs/>
                <w:color w:val="000000"/>
                <w:sz w:val="19"/>
                <w:szCs w:val="19"/>
              </w:rPr>
            </w:pPr>
            <w:r w:rsidRPr="000D3563">
              <w:rPr>
                <w:sz w:val="19"/>
                <w:szCs w:val="19"/>
              </w:rPr>
              <w:t>March 21, 2014</w:t>
            </w:r>
          </w:p>
        </w:tc>
        <w:tc>
          <w:tcPr>
            <w:tcW w:w="6812" w:type="dxa"/>
            <w:tcBorders>
              <w:top w:val="nil"/>
              <w:left w:val="nil"/>
              <w:bottom w:val="single" w:sz="4" w:space="0" w:color="448A99"/>
              <w:right w:val="single" w:sz="4" w:space="0" w:color="448A99"/>
            </w:tcBorders>
            <w:shd w:val="clear" w:color="auto" w:fill="auto"/>
          </w:tcPr>
          <w:p w:rsidR="00B023C7" w:rsidRPr="000D3563" w:rsidRDefault="00B023C7" w:rsidP="008C2D5E">
            <w:pPr>
              <w:jc w:val="left"/>
              <w:rPr>
                <w:color w:val="000000"/>
                <w:sz w:val="19"/>
                <w:szCs w:val="19"/>
              </w:rPr>
            </w:pPr>
            <w:r w:rsidRPr="000D3563">
              <w:rPr>
                <w:sz w:val="19"/>
                <w:szCs w:val="19"/>
              </w:rPr>
              <w:t>SWE confirms that Duquesne’s final Phase II evaluation plan is approved by the SWE</w:t>
            </w:r>
          </w:p>
        </w:tc>
      </w:tr>
      <w:tr w:rsidR="00E7173E" w:rsidRPr="000D3563" w:rsidTr="000D3563">
        <w:trPr>
          <w:trHeight w:val="464"/>
        </w:trPr>
        <w:tc>
          <w:tcPr>
            <w:tcW w:w="2543" w:type="dxa"/>
            <w:tcBorders>
              <w:top w:val="nil"/>
              <w:left w:val="single" w:sz="4" w:space="0" w:color="448A99"/>
              <w:bottom w:val="single" w:sz="8" w:space="0" w:color="448A99"/>
              <w:right w:val="single" w:sz="4" w:space="0" w:color="448A99"/>
            </w:tcBorders>
            <w:shd w:val="clear" w:color="auto" w:fill="D2EAF1"/>
          </w:tcPr>
          <w:p w:rsidR="00B023C7" w:rsidRPr="000D3563" w:rsidRDefault="00B023C7" w:rsidP="008C2D5E">
            <w:pPr>
              <w:rPr>
                <w:bCs/>
                <w:color w:val="000000"/>
                <w:sz w:val="19"/>
                <w:szCs w:val="19"/>
              </w:rPr>
            </w:pPr>
            <w:r w:rsidRPr="000D3563">
              <w:rPr>
                <w:sz w:val="19"/>
                <w:szCs w:val="19"/>
              </w:rPr>
              <w:t>June 1, 2014</w:t>
            </w:r>
          </w:p>
        </w:tc>
        <w:tc>
          <w:tcPr>
            <w:tcW w:w="6812" w:type="dxa"/>
            <w:tcBorders>
              <w:top w:val="nil"/>
              <w:left w:val="nil"/>
              <w:bottom w:val="single" w:sz="8" w:space="0" w:color="448A99"/>
              <w:right w:val="single" w:sz="4" w:space="0" w:color="448A99"/>
            </w:tcBorders>
            <w:shd w:val="clear" w:color="auto" w:fill="D2EAF1"/>
          </w:tcPr>
          <w:p w:rsidR="00B023C7" w:rsidRPr="000D3563" w:rsidRDefault="00B023C7" w:rsidP="008C2D5E">
            <w:pPr>
              <w:jc w:val="left"/>
              <w:rPr>
                <w:color w:val="000000"/>
                <w:sz w:val="19"/>
                <w:szCs w:val="19"/>
              </w:rPr>
            </w:pPr>
            <w:r w:rsidRPr="000D3563">
              <w:rPr>
                <w:sz w:val="19"/>
                <w:szCs w:val="19"/>
              </w:rPr>
              <w:t>PY6 starts</w:t>
            </w:r>
          </w:p>
        </w:tc>
      </w:tr>
      <w:tr w:rsidR="00E7173E" w:rsidRPr="000D3563" w:rsidTr="000D3563">
        <w:trPr>
          <w:trHeight w:val="464"/>
        </w:trPr>
        <w:tc>
          <w:tcPr>
            <w:tcW w:w="2543" w:type="dxa"/>
            <w:tcBorders>
              <w:top w:val="single" w:sz="8" w:space="0" w:color="448A99"/>
              <w:left w:val="single" w:sz="4" w:space="0" w:color="448A99"/>
              <w:bottom w:val="single" w:sz="4" w:space="0" w:color="448A99"/>
              <w:right w:val="single" w:sz="4" w:space="0" w:color="448A99"/>
            </w:tcBorders>
            <w:shd w:val="clear" w:color="auto" w:fill="FFFFFF"/>
          </w:tcPr>
          <w:p w:rsidR="00B023C7" w:rsidRPr="000D3563" w:rsidRDefault="00B023C7" w:rsidP="008C2D5E">
            <w:pPr>
              <w:rPr>
                <w:sz w:val="19"/>
                <w:szCs w:val="19"/>
                <w:highlight w:val="cyan"/>
              </w:rPr>
            </w:pPr>
            <w:r w:rsidRPr="000D3563">
              <w:rPr>
                <w:sz w:val="19"/>
                <w:szCs w:val="19"/>
              </w:rPr>
              <w:t>July 21, 2015</w:t>
            </w:r>
          </w:p>
        </w:tc>
        <w:tc>
          <w:tcPr>
            <w:tcW w:w="6812" w:type="dxa"/>
            <w:tcBorders>
              <w:top w:val="single" w:sz="8" w:space="0" w:color="448A99"/>
              <w:left w:val="nil"/>
              <w:bottom w:val="single" w:sz="4" w:space="0" w:color="448A99"/>
              <w:right w:val="single" w:sz="4" w:space="0" w:color="448A99"/>
            </w:tcBorders>
            <w:shd w:val="clear" w:color="auto" w:fill="FFFFFF"/>
          </w:tcPr>
          <w:p w:rsidR="00B023C7" w:rsidRPr="000D3563" w:rsidRDefault="00B023C7" w:rsidP="008C2D5E">
            <w:pPr>
              <w:jc w:val="left"/>
              <w:rPr>
                <w:sz w:val="19"/>
                <w:szCs w:val="19"/>
                <w:highlight w:val="cyan"/>
              </w:rPr>
            </w:pPr>
            <w:r w:rsidRPr="000D3563">
              <w:rPr>
                <w:color w:val="000000"/>
                <w:sz w:val="19"/>
                <w:szCs w:val="19"/>
              </w:rPr>
              <w:t>Duquesne submits revisions to Duquesne PY6 EM&amp;V Plan</w:t>
            </w:r>
          </w:p>
        </w:tc>
      </w:tr>
    </w:tbl>
    <w:p w:rsidR="00B023C7" w:rsidRDefault="00B023C7" w:rsidP="00B023C7">
      <w:pPr>
        <w:pStyle w:val="bullettext"/>
        <w:spacing w:after="0"/>
      </w:pPr>
      <w:r w:rsidRPr="004927F4">
        <w:t xml:space="preserve">Duquesne’s draft EM&amp;V Plan, submitted September 6, 2013, provided proposed evaluation objectives and ongoing evaluation activities for all of </w:t>
      </w:r>
      <w:r>
        <w:t>Duquesne’s</w:t>
      </w:r>
      <w:r w:rsidRPr="004927F4">
        <w:t xml:space="preserve"> programs. The plan presented key evaluation issues, impact evaluation details, process evaluation details, sampling plans, and key contacts for each of Duquesne’s programs. The SWE Team reviewed the plan and submitted comments on </w:t>
      </w:r>
      <w:r>
        <w:t>it</w:t>
      </w:r>
      <w:r w:rsidRPr="004927F4">
        <w:t xml:space="preserve"> to Duquesne. Substantive recommendations for revisions to the plan were limited to a series of common tasks. The SWE’s comments </w:t>
      </w:r>
      <w:r>
        <w:t>were</w:t>
      </w:r>
      <w:r w:rsidRPr="004927F4">
        <w:t xml:space="preserve"> summarized in the SWE</w:t>
      </w:r>
      <w:r>
        <w:t>’s</w:t>
      </w:r>
      <w:r w:rsidRPr="004927F4">
        <w:t xml:space="preserve"> PY5 </w:t>
      </w:r>
      <w:r>
        <w:t>a</w:t>
      </w:r>
      <w:r w:rsidRPr="004927F4">
        <w:t xml:space="preserve">nnual </w:t>
      </w:r>
      <w:r>
        <w:t>r</w:t>
      </w:r>
      <w:r w:rsidRPr="004927F4">
        <w:t>eport to the PUC. The revisions to the Duquesne</w:t>
      </w:r>
      <w:r w:rsidRPr="004927F4" w:rsidDel="00FA31D8">
        <w:t xml:space="preserve"> </w:t>
      </w:r>
      <w:r w:rsidRPr="004927F4">
        <w:t xml:space="preserve">evaluation plan </w:t>
      </w:r>
      <w:r>
        <w:t xml:space="preserve">that were </w:t>
      </w:r>
      <w:r w:rsidRPr="004927F4">
        <w:t>p</w:t>
      </w:r>
      <w:r w:rsidRPr="008A5E9E">
        <w:rPr>
          <w:color w:val="000000"/>
        </w:rPr>
        <w:t xml:space="preserve">rovided by the company on December 31, 2013 and January 9, 2014 were </w:t>
      </w:r>
      <w:r w:rsidRPr="00306EB2">
        <w:t xml:space="preserve">approved by the SWE Team.  </w:t>
      </w:r>
    </w:p>
    <w:p w:rsidR="00B023C7" w:rsidRPr="00306EB2" w:rsidRDefault="00B023C7" w:rsidP="00B023C7">
      <w:pPr>
        <w:pStyle w:val="bullettext"/>
        <w:spacing w:after="0"/>
      </w:pPr>
    </w:p>
    <w:p w:rsidR="00B023C7" w:rsidRDefault="00B023C7" w:rsidP="00B023C7">
      <w:pPr>
        <w:spacing w:after="120"/>
      </w:pPr>
      <w:r>
        <w:t>Duquesne made three clarifications to its evaluation plan for PY6. The three clarifications were not formally submitted until PY6 had concluded, but they are mentioned here because of their relevance to the evaluation of PY6 program activity:</w:t>
      </w:r>
    </w:p>
    <w:p w:rsidR="00B023C7" w:rsidRPr="00C67FD0" w:rsidRDefault="00B023C7" w:rsidP="00D405A7">
      <w:pPr>
        <w:pStyle w:val="ListParagraph"/>
        <w:numPr>
          <w:ilvl w:val="0"/>
          <w:numId w:val="24"/>
        </w:numPr>
        <w:spacing w:after="120"/>
        <w:ind w:left="360"/>
        <w:contextualSpacing w:val="0"/>
      </w:pPr>
      <w:r w:rsidRPr="00C67FD0">
        <w:t xml:space="preserve">Duquesne </w:t>
      </w:r>
      <w:r w:rsidRPr="00387E3E">
        <w:t xml:space="preserve">clarified to the SWE that the </w:t>
      </w:r>
      <w:r>
        <w:t>c</w:t>
      </w:r>
      <w:r w:rsidRPr="00387E3E">
        <w:t xml:space="preserve">ompany’s </w:t>
      </w:r>
      <w:r w:rsidRPr="00C67FD0">
        <w:t xml:space="preserve">C/I programs </w:t>
      </w:r>
      <w:r>
        <w:t>are</w:t>
      </w:r>
      <w:r w:rsidRPr="00C67FD0">
        <w:t xml:space="preserve"> grouped into </w:t>
      </w:r>
      <w:r>
        <w:t>three</w:t>
      </w:r>
      <w:r w:rsidRPr="00C67FD0">
        <w:t xml:space="preserve"> non-residential </w:t>
      </w:r>
      <w:r>
        <w:t>program groups (within two</w:t>
      </w:r>
      <w:r w:rsidRPr="00C67FD0">
        <w:t xml:space="preserve"> non-residential</w:t>
      </w:r>
      <w:r>
        <w:t>-</w:t>
      </w:r>
      <w:r w:rsidRPr="00C67FD0">
        <w:t>sector market segment</w:t>
      </w:r>
      <w:r>
        <w:t>s)</w:t>
      </w:r>
      <w:r w:rsidRPr="00C67FD0">
        <w:t xml:space="preserve"> based on shared characteristics. The</w:t>
      </w:r>
      <w:r>
        <w:t>se</w:t>
      </w:r>
      <w:r w:rsidRPr="00C67FD0">
        <w:t xml:space="preserve"> groups</w:t>
      </w:r>
      <w:r>
        <w:t xml:space="preserve">, which </w:t>
      </w:r>
      <w:r w:rsidRPr="00387E3E">
        <w:t>have existed since Phase I of Act 129</w:t>
      </w:r>
      <w:r>
        <w:t>,</w:t>
      </w:r>
      <w:r w:rsidRPr="00C67FD0">
        <w:t xml:space="preserve"> are the Commercial Program Group, GNI Program Group, and Industrial Program Group.</w:t>
      </w:r>
      <w:r w:rsidRPr="00387E3E">
        <w:rPr>
          <w:szCs w:val="22"/>
        </w:rPr>
        <w:t xml:space="preserve"> </w:t>
      </w:r>
      <w:r w:rsidRPr="00C67FD0">
        <w:t xml:space="preserve">Each program group includes multiple subprograms. All programs have the same incentives and measures. The differences among programs are marketing channel and approach. </w:t>
      </w:r>
    </w:p>
    <w:p w:rsidR="00B023C7" w:rsidRDefault="00B023C7" w:rsidP="00D405A7">
      <w:pPr>
        <w:pStyle w:val="ListParagraph"/>
        <w:numPr>
          <w:ilvl w:val="0"/>
          <w:numId w:val="24"/>
        </w:numPr>
        <w:spacing w:after="120"/>
        <w:ind w:left="360"/>
        <w:contextualSpacing w:val="0"/>
      </w:pPr>
      <w:r w:rsidRPr="00C67FD0">
        <w:t xml:space="preserve">Duquesne </w:t>
      </w:r>
      <w:r>
        <w:t>clarified information about</w:t>
      </w:r>
      <w:r w:rsidRPr="00C67FD0">
        <w:t xml:space="preserve"> two new Act 129 programs: </w:t>
      </w:r>
      <w:r w:rsidR="00D9014E" w:rsidRPr="00C67FD0">
        <w:t>The</w:t>
      </w:r>
      <w:r w:rsidRPr="00C67FD0">
        <w:t xml:space="preserve"> Small Commercial Direct Install Program and the Multifamily Housing Retrofit Program</w:t>
      </w:r>
      <w:r>
        <w:t>.</w:t>
      </w:r>
      <w:r w:rsidRPr="00387E3E">
        <w:rPr>
          <w:szCs w:val="22"/>
        </w:rPr>
        <w:t xml:space="preserve"> </w:t>
      </w:r>
      <w:r>
        <w:rPr>
          <w:szCs w:val="22"/>
        </w:rPr>
        <w:t>Duquesne</w:t>
      </w:r>
      <w:r w:rsidRPr="00387E3E">
        <w:rPr>
          <w:szCs w:val="22"/>
        </w:rPr>
        <w:t xml:space="preserve"> </w:t>
      </w:r>
      <w:r w:rsidRPr="00387E3E">
        <w:t>explain</w:t>
      </w:r>
      <w:r>
        <w:t>ed</w:t>
      </w:r>
      <w:r w:rsidRPr="00387E3E">
        <w:t xml:space="preserve"> that </w:t>
      </w:r>
      <w:r>
        <w:t>its</w:t>
      </w:r>
      <w:r w:rsidRPr="00387E3E">
        <w:t xml:space="preserve"> PY6 evaluation plan indicated that these two new programs would be evaluated after the programs were launched</w:t>
      </w:r>
      <w:r w:rsidRPr="00C67FD0">
        <w:t>.</w:t>
      </w:r>
    </w:p>
    <w:p w:rsidR="00B023C7" w:rsidRDefault="00B023C7" w:rsidP="00D405A7">
      <w:pPr>
        <w:pStyle w:val="ListParagraph"/>
        <w:numPr>
          <w:ilvl w:val="0"/>
          <w:numId w:val="24"/>
        </w:numPr>
        <w:ind w:left="360"/>
        <w:contextualSpacing w:val="0"/>
      </w:pPr>
      <w:r w:rsidRPr="00387E3E">
        <w:t xml:space="preserve">Duquesne clarified to the SWE that </w:t>
      </w:r>
      <w:r>
        <w:t>s</w:t>
      </w:r>
      <w:r w:rsidRPr="00BA7A87">
        <w:t xml:space="preserve">ampling for the Commercial and GNI </w:t>
      </w:r>
      <w:r>
        <w:t>p</w:t>
      </w:r>
      <w:r w:rsidRPr="00BA7A87">
        <w:t xml:space="preserve">rogram </w:t>
      </w:r>
      <w:r w:rsidR="00A77C59">
        <w:t>g</w:t>
      </w:r>
      <w:r w:rsidR="00A77C59" w:rsidRPr="00BA7A87">
        <w:t>roup’s</w:t>
      </w:r>
      <w:r w:rsidRPr="00BA7A87">
        <w:t xml:space="preserve"> project verification will be at the project level. </w:t>
      </w:r>
      <w:r w:rsidRPr="00387E3E">
        <w:t xml:space="preserve">The </w:t>
      </w:r>
      <w:r>
        <w:t>c</w:t>
      </w:r>
      <w:r w:rsidRPr="00387E3E">
        <w:t xml:space="preserve">ompany clarified that </w:t>
      </w:r>
      <w:r>
        <w:t>s</w:t>
      </w:r>
      <w:r w:rsidRPr="00BA7A87">
        <w:t>ampling for the Industrial Program Group will be at the measure level. This sampling was implemented successfully for PY5 and was repeated for PY6. Non-residential sampling include</w:t>
      </w:r>
      <w:r>
        <w:t>d</w:t>
      </w:r>
      <w:r w:rsidRPr="00BA7A87">
        <w:t xml:space="preserve"> stratification based on expected energy savings from PY5. </w:t>
      </w:r>
      <w:r w:rsidRPr="00387E3E">
        <w:t>In July 2015 Duquesne clarified to the SWE the sampling plan for the Industrial Program Group</w:t>
      </w:r>
      <w:r>
        <w:t>.</w:t>
      </w:r>
    </w:p>
    <w:p w:rsidR="00B023C7" w:rsidRDefault="00B023C7" w:rsidP="0017534C">
      <w:pPr>
        <w:jc w:val="left"/>
      </w:pPr>
    </w:p>
    <w:p w:rsidR="00950837" w:rsidRDefault="00950837" w:rsidP="009C0DF1">
      <w:pPr>
        <w:pStyle w:val="AppendixAHeading3"/>
      </w:pPr>
      <w:r>
        <w:t>Measurement and Verification Activities and Findings</w:t>
      </w:r>
    </w:p>
    <w:p w:rsidR="0001310B" w:rsidRPr="00990EAD" w:rsidRDefault="0001310B" w:rsidP="0001310B">
      <w:pPr>
        <w:pStyle w:val="bullettext"/>
      </w:pPr>
      <w:r w:rsidRPr="0089522D">
        <w:t xml:space="preserve">By the end of PY7, Duquesne had achieved </w:t>
      </w:r>
      <w:r w:rsidR="00686718" w:rsidRPr="0089522D">
        <w:t>13</w:t>
      </w:r>
      <w:r w:rsidR="00A04A88">
        <w:t>6</w:t>
      </w:r>
      <w:r w:rsidR="00686718" w:rsidRPr="0089522D">
        <w:t xml:space="preserve">% </w:t>
      </w:r>
      <w:r w:rsidRPr="0089522D">
        <w:t xml:space="preserve">of its total Phase II energy savings compliance target, based on aggregated verified </w:t>
      </w:r>
      <w:r>
        <w:t xml:space="preserve">Phase II </w:t>
      </w:r>
      <w:r w:rsidRPr="0089522D">
        <w:t xml:space="preserve">savings, and </w:t>
      </w:r>
      <w:r w:rsidR="009B0A5A" w:rsidRPr="0089522D">
        <w:t>18</w:t>
      </w:r>
      <w:r w:rsidR="009B0A5A">
        <w:t>5</w:t>
      </w:r>
      <w:r w:rsidRPr="0089522D">
        <w:t xml:space="preserve">% of </w:t>
      </w:r>
      <w:r>
        <w:t xml:space="preserve">its </w:t>
      </w:r>
      <w:r w:rsidRPr="0089522D">
        <w:t xml:space="preserve">energy savings compliance target </w:t>
      </w:r>
      <w:r>
        <w:t xml:space="preserve">if </w:t>
      </w:r>
      <w:r w:rsidRPr="0089522D">
        <w:t>the Phase I carryover savings</w:t>
      </w:r>
      <w:r>
        <w:t xml:space="preserve"> are included</w:t>
      </w:r>
      <w:r w:rsidRPr="0089522D">
        <w:t>. Realization rates compare gross savings</w:t>
      </w:r>
      <w:r w:rsidRPr="00990EAD">
        <w:t xml:space="preserve"> reported by the EDC </w:t>
      </w:r>
      <w:r w:rsidR="00686718">
        <w:t>with</w:t>
      </w:r>
      <w:r w:rsidRPr="00990EAD">
        <w:t xml:space="preserve"> the verified gross savings determined by the EDC evaluation contractor through M&amp;V activities. The calculation for realization rate is:</w:t>
      </w:r>
    </w:p>
    <w:p w:rsidR="0001310B" w:rsidRPr="0003720B" w:rsidRDefault="0001310B" w:rsidP="0001310B">
      <w:pPr>
        <w:jc w:val="center"/>
      </w:pPr>
      <m:oMathPara>
        <m:oMathParaPr>
          <m:jc m:val="center"/>
        </m:oMathParaPr>
        <m:oMath>
          <m:r>
            <w:rPr>
              <w:rFonts w:ascii="Cambria Math" w:hAnsi="Cambria Math"/>
            </w:rPr>
            <m:t>Realization Rate=</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Verified Savings</m:t>
                  </m:r>
                </m:e>
              </m:nary>
            </m:num>
            <m:den>
              <m:nary>
                <m:naryPr>
                  <m:chr m:val="∑"/>
                  <m:limLoc m:val="undOvr"/>
                  <m:subHide m:val="1"/>
                  <m:supHide m:val="1"/>
                  <m:ctrlPr>
                    <w:rPr>
                      <w:rFonts w:ascii="Cambria Math" w:hAnsi="Cambria Math"/>
                      <w:i/>
                    </w:rPr>
                  </m:ctrlPr>
                </m:naryPr>
                <m:sub/>
                <m:sup/>
                <m:e>
                  <m:r>
                    <w:rPr>
                      <w:rFonts w:ascii="Cambria Math" w:hAnsi="Cambria Math"/>
                    </w:rPr>
                    <m:t>Reported Savings</m:t>
                  </m:r>
                </m:e>
              </m:nary>
            </m:den>
          </m:f>
        </m:oMath>
      </m:oMathPara>
    </w:p>
    <w:p w:rsidR="0001310B" w:rsidRPr="008A5E9E" w:rsidRDefault="0001310B" w:rsidP="0001310B">
      <w:pPr>
        <w:rPr>
          <w:highlight w:val="lightGray"/>
        </w:rPr>
      </w:pPr>
    </w:p>
    <w:p w:rsidR="0001310B" w:rsidRDefault="0001310B" w:rsidP="0001310B">
      <w:r w:rsidRPr="00990EAD">
        <w:t>Realization rates are calculated based on a census of all program participants or on a sample of program participants and applied to all program participants. A realization rate of 100% indicates that the EDC’s evaluation contractor was able to verify all savings reported by the EDC. A realization rate of less than 100% indicates that reported savings were overestimated</w:t>
      </w:r>
      <w:r>
        <w:t>. A</w:t>
      </w:r>
      <w:r w:rsidRPr="00990EAD">
        <w:t xml:space="preserve"> realization rate of more than 100% indicates that reported savings were underestimated.</w:t>
      </w:r>
    </w:p>
    <w:p w:rsidR="0001310B" w:rsidRDefault="0001310B" w:rsidP="0001310B"/>
    <w:p w:rsidR="0001310B" w:rsidRDefault="00A07AB2" w:rsidP="0001310B">
      <w:r>
        <w:fldChar w:fldCharType="begin"/>
      </w:r>
      <w:r>
        <w:instrText xml:space="preserve"> REF _Ref473714331 \h </w:instrText>
      </w:r>
      <w:r>
        <w:fldChar w:fldCharType="separate"/>
      </w:r>
      <w:r w:rsidR="00037CB4">
        <w:t>Table A-</w:t>
      </w:r>
      <w:r w:rsidR="00037CB4">
        <w:rPr>
          <w:noProof/>
        </w:rPr>
        <w:t>7</w:t>
      </w:r>
      <w:r>
        <w:fldChar w:fldCharType="end"/>
      </w:r>
      <w:r>
        <w:t xml:space="preserve"> </w:t>
      </w:r>
      <w:r w:rsidR="0001310B">
        <w:t>summarizes</w:t>
      </w:r>
      <w:r w:rsidR="0001310B" w:rsidRPr="00804CA3">
        <w:t xml:space="preserve"> the realization rates</w:t>
      </w:r>
      <w:r w:rsidR="0001310B">
        <w:t>, and associated precision estimates,</w:t>
      </w:r>
      <w:r w:rsidR="0001310B" w:rsidRPr="00804CA3">
        <w:t xml:space="preserve"> for energy and demand savings for each of Duquesne’s </w:t>
      </w:r>
      <w:r w:rsidR="0001310B">
        <w:t>energy efficiency programs in PY7. The realization rates and precision estimates are</w:t>
      </w:r>
      <w:r w:rsidR="0001310B" w:rsidRPr="00804CA3">
        <w:t xml:space="preserve"> based on activities conducted by Navigant</w:t>
      </w:r>
      <w:r w:rsidR="0001310B">
        <w:t>,</w:t>
      </w:r>
      <w:r w:rsidR="0001310B" w:rsidRPr="00804CA3">
        <w:t xml:space="preserve"> on details provided in Duquesne’s </w:t>
      </w:r>
      <w:r w:rsidR="0001310B">
        <w:t>PY7</w:t>
      </w:r>
      <w:r w:rsidR="0001310B" w:rsidRPr="00804CA3">
        <w:t xml:space="preserve"> </w:t>
      </w:r>
      <w:r w:rsidR="0001310B">
        <w:t>a</w:t>
      </w:r>
      <w:r w:rsidR="0001310B" w:rsidRPr="00804CA3">
        <w:t xml:space="preserve">nnual </w:t>
      </w:r>
      <w:r w:rsidR="0001310B">
        <w:t>r</w:t>
      </w:r>
      <w:r w:rsidR="0001310B" w:rsidRPr="00804CA3">
        <w:t xml:space="preserve">eport, and on information obtained from the SWE </w:t>
      </w:r>
      <w:r w:rsidR="00DD49B2">
        <w:t>Team’s data requests and audit.</w:t>
      </w:r>
    </w:p>
    <w:p w:rsidR="009349F1" w:rsidRPr="0055598C" w:rsidRDefault="009349F1" w:rsidP="0055598C">
      <w:bookmarkStart w:id="517" w:name="_Ref472362937"/>
      <w:bookmarkStart w:id="518" w:name="_Toc472472416"/>
    </w:p>
    <w:p w:rsidR="008B45A8" w:rsidRPr="009472F6" w:rsidRDefault="008B45A8" w:rsidP="004837FA">
      <w:pPr>
        <w:pStyle w:val="Caption"/>
      </w:pPr>
      <w:bookmarkStart w:id="519" w:name="_Ref473714331"/>
      <w:bookmarkStart w:id="520" w:name="_Toc488741835"/>
      <w:r>
        <w:t>Table A-</w:t>
      </w:r>
      <w:r w:rsidR="007973A4">
        <w:fldChar w:fldCharType="begin"/>
      </w:r>
      <w:r w:rsidR="007973A4">
        <w:instrText xml:space="preserve"> SEQ Table_A- \* ARABIC </w:instrText>
      </w:r>
      <w:r w:rsidR="007973A4">
        <w:fldChar w:fldCharType="separate"/>
      </w:r>
      <w:r w:rsidR="00037CB4">
        <w:rPr>
          <w:noProof/>
        </w:rPr>
        <w:t>7</w:t>
      </w:r>
      <w:r w:rsidR="007973A4">
        <w:rPr>
          <w:noProof/>
        </w:rPr>
        <w:fldChar w:fldCharType="end"/>
      </w:r>
      <w:bookmarkEnd w:id="517"/>
      <w:bookmarkEnd w:id="519"/>
      <w:r w:rsidRPr="009472F6">
        <w:t xml:space="preserve">: </w:t>
      </w:r>
      <w:r>
        <w:t xml:space="preserve">Duquesne Energy Efficiency Programs – Realization Rates for Energy and </w:t>
      </w:r>
      <w:r w:rsidR="0001310B" w:rsidRPr="00804CA3">
        <w:t>Demand Savings</w:t>
      </w:r>
      <w:r w:rsidR="0001310B">
        <w:t xml:space="preserve"> in PY7</w:t>
      </w:r>
      <w:bookmarkEnd w:id="518"/>
      <w:bookmarkEnd w:id="520"/>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4348"/>
        <w:gridCol w:w="1251"/>
        <w:gridCol w:w="1252"/>
        <w:gridCol w:w="1252"/>
        <w:gridCol w:w="1252"/>
      </w:tblGrid>
      <w:tr w:rsidR="00A874AC" w:rsidRPr="000D3563" w:rsidTr="000D3563">
        <w:trPr>
          <w:cantSplit/>
          <w:trHeight w:val="615"/>
          <w:tblHeader/>
        </w:trPr>
        <w:tc>
          <w:tcPr>
            <w:tcW w:w="4348" w:type="dxa"/>
            <w:shd w:val="clear" w:color="000000" w:fill="448A99"/>
            <w:vAlign w:val="bottom"/>
            <w:hideMark/>
          </w:tcPr>
          <w:p w:rsidR="0001310B" w:rsidRPr="000D3563" w:rsidRDefault="0001310B" w:rsidP="00AC55E9">
            <w:pPr>
              <w:jc w:val="left"/>
              <w:rPr>
                <w:b/>
                <w:bCs/>
                <w:color w:val="FFFFFF"/>
                <w:sz w:val="19"/>
                <w:szCs w:val="19"/>
              </w:rPr>
            </w:pPr>
            <w:r w:rsidRPr="000D3563">
              <w:rPr>
                <w:b/>
                <w:bCs/>
                <w:color w:val="FFFFFF"/>
                <w:sz w:val="19"/>
                <w:szCs w:val="19"/>
              </w:rPr>
              <w:t>Program</w:t>
            </w:r>
          </w:p>
        </w:tc>
        <w:tc>
          <w:tcPr>
            <w:tcW w:w="1251" w:type="dxa"/>
            <w:shd w:val="clear" w:color="000000" w:fill="448A99"/>
            <w:vAlign w:val="bottom"/>
            <w:hideMark/>
          </w:tcPr>
          <w:p w:rsidR="0001310B" w:rsidRPr="000D3563" w:rsidRDefault="0001310B" w:rsidP="00AC55E9">
            <w:pPr>
              <w:jc w:val="center"/>
              <w:rPr>
                <w:b/>
                <w:bCs/>
                <w:color w:val="FFFFFF"/>
                <w:sz w:val="19"/>
                <w:szCs w:val="19"/>
              </w:rPr>
            </w:pPr>
            <w:r w:rsidRPr="000D3563">
              <w:rPr>
                <w:b/>
                <w:bCs/>
                <w:color w:val="FFFFFF"/>
                <w:sz w:val="19"/>
                <w:szCs w:val="19"/>
              </w:rPr>
              <w:t>Realization Rate –</w:t>
            </w:r>
          </w:p>
          <w:p w:rsidR="0001310B" w:rsidRPr="000D3563" w:rsidRDefault="0001310B" w:rsidP="00AC55E9">
            <w:pPr>
              <w:jc w:val="center"/>
              <w:rPr>
                <w:b/>
                <w:bCs/>
                <w:color w:val="FFFFFF"/>
                <w:sz w:val="19"/>
                <w:szCs w:val="19"/>
              </w:rPr>
            </w:pPr>
            <w:r w:rsidRPr="000D3563">
              <w:rPr>
                <w:b/>
                <w:bCs/>
                <w:color w:val="FFFFFF"/>
                <w:sz w:val="19"/>
                <w:szCs w:val="19"/>
              </w:rPr>
              <w:t>Energy</w:t>
            </w:r>
          </w:p>
        </w:tc>
        <w:tc>
          <w:tcPr>
            <w:tcW w:w="1252" w:type="dxa"/>
            <w:shd w:val="clear" w:color="000000" w:fill="448A99"/>
            <w:vAlign w:val="bottom"/>
          </w:tcPr>
          <w:p w:rsidR="0001310B" w:rsidRPr="000D3563" w:rsidRDefault="0001310B" w:rsidP="00AC55E9">
            <w:pPr>
              <w:jc w:val="center"/>
              <w:rPr>
                <w:b/>
                <w:bCs/>
                <w:color w:val="FFFFFF"/>
                <w:sz w:val="19"/>
                <w:szCs w:val="19"/>
              </w:rPr>
            </w:pPr>
            <w:r w:rsidRPr="000D3563">
              <w:rPr>
                <w:b/>
                <w:bCs/>
                <w:color w:val="FFFFFF"/>
                <w:sz w:val="19"/>
                <w:szCs w:val="19"/>
              </w:rPr>
              <w:t xml:space="preserve">Achieved </w:t>
            </w:r>
            <w:r w:rsidR="0026677E" w:rsidRPr="000D3563">
              <w:rPr>
                <w:b/>
                <w:bCs/>
                <w:color w:val="FFFFFF"/>
                <w:sz w:val="19"/>
                <w:szCs w:val="19"/>
              </w:rPr>
              <w:t xml:space="preserve">Sampling </w:t>
            </w:r>
            <w:r w:rsidRPr="000D3563">
              <w:rPr>
                <w:b/>
                <w:bCs/>
                <w:color w:val="FFFFFF"/>
                <w:sz w:val="19"/>
                <w:szCs w:val="19"/>
              </w:rPr>
              <w:t>Precision – Energy</w:t>
            </w:r>
            <w:r w:rsidR="0026677E" w:rsidRPr="000D3563">
              <w:rPr>
                <w:b/>
                <w:bCs/>
                <w:color w:val="FFFFFF"/>
                <w:sz w:val="19"/>
                <w:szCs w:val="19"/>
                <w:vertAlign w:val="superscript"/>
              </w:rPr>
              <w:t>[b]</w:t>
            </w:r>
          </w:p>
        </w:tc>
        <w:tc>
          <w:tcPr>
            <w:tcW w:w="1252" w:type="dxa"/>
            <w:shd w:val="clear" w:color="000000" w:fill="448A99"/>
            <w:vAlign w:val="bottom"/>
            <w:hideMark/>
          </w:tcPr>
          <w:p w:rsidR="0001310B" w:rsidRPr="000D3563" w:rsidRDefault="0001310B" w:rsidP="00AC55E9">
            <w:pPr>
              <w:jc w:val="center"/>
              <w:rPr>
                <w:b/>
                <w:bCs/>
                <w:color w:val="FFFFFF"/>
                <w:sz w:val="19"/>
                <w:szCs w:val="19"/>
              </w:rPr>
            </w:pPr>
            <w:r w:rsidRPr="000D3563">
              <w:rPr>
                <w:b/>
                <w:bCs/>
                <w:color w:val="FFFFFF"/>
                <w:sz w:val="19"/>
                <w:szCs w:val="19"/>
              </w:rPr>
              <w:t>Realization Rate –Demand</w:t>
            </w:r>
          </w:p>
        </w:tc>
        <w:tc>
          <w:tcPr>
            <w:tcW w:w="1252" w:type="dxa"/>
            <w:shd w:val="clear" w:color="000000" w:fill="448A99"/>
            <w:vAlign w:val="bottom"/>
          </w:tcPr>
          <w:p w:rsidR="0001310B" w:rsidRPr="000D3563" w:rsidRDefault="0001310B" w:rsidP="00AC55E9">
            <w:pPr>
              <w:jc w:val="center"/>
              <w:rPr>
                <w:b/>
                <w:bCs/>
                <w:color w:val="FFFFFF"/>
                <w:sz w:val="19"/>
                <w:szCs w:val="19"/>
              </w:rPr>
            </w:pPr>
            <w:r w:rsidRPr="000D3563">
              <w:rPr>
                <w:b/>
                <w:bCs/>
                <w:color w:val="FFFFFF"/>
                <w:sz w:val="19"/>
                <w:szCs w:val="19"/>
              </w:rPr>
              <w:t xml:space="preserve">Achieved </w:t>
            </w:r>
            <w:r w:rsidR="0026677E" w:rsidRPr="000D3563">
              <w:rPr>
                <w:b/>
                <w:bCs/>
                <w:color w:val="FFFFFF"/>
                <w:sz w:val="19"/>
                <w:szCs w:val="19"/>
              </w:rPr>
              <w:t xml:space="preserve">Sampling </w:t>
            </w:r>
            <w:r w:rsidRPr="000D3563">
              <w:rPr>
                <w:b/>
                <w:bCs/>
                <w:color w:val="FFFFFF"/>
                <w:sz w:val="19"/>
                <w:szCs w:val="19"/>
              </w:rPr>
              <w:t xml:space="preserve">Precision </w:t>
            </w:r>
            <w:r w:rsidR="00686718" w:rsidRPr="000D3563">
              <w:rPr>
                <w:b/>
                <w:bCs/>
                <w:color w:val="FFFFFF"/>
                <w:sz w:val="19"/>
                <w:szCs w:val="19"/>
              </w:rPr>
              <w:t>–</w:t>
            </w:r>
            <w:r w:rsidRPr="000D3563">
              <w:rPr>
                <w:b/>
                <w:bCs/>
                <w:color w:val="FFFFFF"/>
                <w:sz w:val="19"/>
                <w:szCs w:val="19"/>
              </w:rPr>
              <w:t xml:space="preserve"> Demand</w:t>
            </w:r>
          </w:p>
        </w:tc>
      </w:tr>
      <w:tr w:rsidR="00E7173E" w:rsidRPr="000D3563" w:rsidTr="000D3563">
        <w:trPr>
          <w:trHeight w:val="288"/>
        </w:trPr>
        <w:tc>
          <w:tcPr>
            <w:tcW w:w="4348" w:type="dxa"/>
            <w:shd w:val="clear" w:color="auto" w:fill="auto"/>
            <w:vAlign w:val="center"/>
          </w:tcPr>
          <w:p w:rsidR="0001310B" w:rsidRPr="000D3563" w:rsidRDefault="0001310B" w:rsidP="00AC55E9">
            <w:pPr>
              <w:jc w:val="left"/>
              <w:rPr>
                <w:color w:val="000000"/>
                <w:sz w:val="19"/>
                <w:szCs w:val="19"/>
              </w:rPr>
            </w:pPr>
            <w:r w:rsidRPr="000D3563">
              <w:rPr>
                <w:sz w:val="19"/>
                <w:szCs w:val="19"/>
              </w:rPr>
              <w:t>Residential: EE Program (REEP): Rebate Program</w:t>
            </w:r>
          </w:p>
        </w:tc>
        <w:tc>
          <w:tcPr>
            <w:tcW w:w="1251" w:type="dxa"/>
            <w:shd w:val="clear" w:color="auto" w:fill="auto"/>
            <w:vAlign w:val="center"/>
          </w:tcPr>
          <w:p w:rsidR="0001310B" w:rsidRPr="000D3563" w:rsidRDefault="0001310B" w:rsidP="00AC55E9">
            <w:pPr>
              <w:jc w:val="center"/>
              <w:rPr>
                <w:color w:val="000000"/>
                <w:sz w:val="19"/>
                <w:szCs w:val="19"/>
                <w:highlight w:val="yellow"/>
              </w:rPr>
            </w:pPr>
            <w:r w:rsidRPr="000D3563">
              <w:rPr>
                <w:sz w:val="19"/>
                <w:szCs w:val="19"/>
              </w:rPr>
              <w:t>76%</w:t>
            </w:r>
          </w:p>
        </w:tc>
        <w:tc>
          <w:tcPr>
            <w:tcW w:w="1252" w:type="dxa"/>
            <w:vAlign w:val="center"/>
          </w:tcPr>
          <w:p w:rsidR="0001310B" w:rsidRPr="000D3563" w:rsidRDefault="0001310B" w:rsidP="00AC55E9">
            <w:pPr>
              <w:jc w:val="center"/>
              <w:rPr>
                <w:color w:val="000000"/>
                <w:sz w:val="19"/>
                <w:szCs w:val="19"/>
              </w:rPr>
            </w:pPr>
            <w:r w:rsidRPr="000D3563">
              <w:rPr>
                <w:sz w:val="19"/>
                <w:szCs w:val="19"/>
              </w:rPr>
              <w:t>12%</w:t>
            </w:r>
          </w:p>
        </w:tc>
        <w:tc>
          <w:tcPr>
            <w:tcW w:w="1252" w:type="dxa"/>
            <w:shd w:val="clear" w:color="auto" w:fill="auto"/>
            <w:vAlign w:val="center"/>
          </w:tcPr>
          <w:p w:rsidR="0001310B" w:rsidRPr="000D3563" w:rsidRDefault="0001310B" w:rsidP="00AC55E9">
            <w:pPr>
              <w:jc w:val="center"/>
              <w:rPr>
                <w:color w:val="000000"/>
                <w:sz w:val="19"/>
                <w:szCs w:val="19"/>
              </w:rPr>
            </w:pPr>
            <w:r w:rsidRPr="000D3563">
              <w:rPr>
                <w:sz w:val="19"/>
                <w:szCs w:val="19"/>
              </w:rPr>
              <w:t>87%</w:t>
            </w:r>
          </w:p>
        </w:tc>
        <w:tc>
          <w:tcPr>
            <w:tcW w:w="1252" w:type="dxa"/>
            <w:vAlign w:val="center"/>
          </w:tcPr>
          <w:p w:rsidR="0001310B" w:rsidRPr="000D3563" w:rsidRDefault="0001310B" w:rsidP="00AC55E9">
            <w:pPr>
              <w:jc w:val="center"/>
              <w:rPr>
                <w:color w:val="000000"/>
                <w:sz w:val="19"/>
                <w:szCs w:val="19"/>
              </w:rPr>
            </w:pPr>
            <w:r w:rsidRPr="000D3563">
              <w:rPr>
                <w:sz w:val="19"/>
                <w:szCs w:val="19"/>
              </w:rPr>
              <w:t>8%</w:t>
            </w:r>
          </w:p>
        </w:tc>
      </w:tr>
      <w:tr w:rsidR="00A874AC" w:rsidRPr="000D3563" w:rsidTr="000D3563">
        <w:trPr>
          <w:trHeight w:val="288"/>
        </w:trPr>
        <w:tc>
          <w:tcPr>
            <w:tcW w:w="4348" w:type="dxa"/>
            <w:shd w:val="clear" w:color="000000" w:fill="D2EAF1"/>
            <w:vAlign w:val="center"/>
          </w:tcPr>
          <w:p w:rsidR="0001310B" w:rsidRPr="000D3563" w:rsidRDefault="0001310B" w:rsidP="00AC55E9">
            <w:pPr>
              <w:jc w:val="left"/>
              <w:rPr>
                <w:color w:val="000000"/>
                <w:sz w:val="19"/>
                <w:szCs w:val="19"/>
              </w:rPr>
            </w:pPr>
            <w:r w:rsidRPr="000D3563">
              <w:rPr>
                <w:sz w:val="19"/>
                <w:szCs w:val="19"/>
              </w:rPr>
              <w:t>Residential: EE Program (Upstream Lighting)</w:t>
            </w:r>
          </w:p>
        </w:tc>
        <w:tc>
          <w:tcPr>
            <w:tcW w:w="1251"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102%</w:t>
            </w:r>
          </w:p>
        </w:tc>
        <w:tc>
          <w:tcPr>
            <w:tcW w:w="1252"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0%</w:t>
            </w:r>
          </w:p>
        </w:tc>
        <w:tc>
          <w:tcPr>
            <w:tcW w:w="1252"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102%</w:t>
            </w:r>
          </w:p>
        </w:tc>
        <w:tc>
          <w:tcPr>
            <w:tcW w:w="1252"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0%</w:t>
            </w:r>
          </w:p>
        </w:tc>
      </w:tr>
      <w:tr w:rsidR="00E7173E" w:rsidRPr="000D3563" w:rsidTr="000D3563">
        <w:trPr>
          <w:trHeight w:val="288"/>
        </w:trPr>
        <w:tc>
          <w:tcPr>
            <w:tcW w:w="4348" w:type="dxa"/>
            <w:shd w:val="clear" w:color="auto" w:fill="auto"/>
            <w:vAlign w:val="center"/>
          </w:tcPr>
          <w:p w:rsidR="0001310B" w:rsidRPr="000D3563" w:rsidRDefault="0001310B" w:rsidP="00AC55E9">
            <w:pPr>
              <w:jc w:val="left"/>
              <w:rPr>
                <w:color w:val="000000"/>
                <w:sz w:val="19"/>
                <w:szCs w:val="19"/>
              </w:rPr>
            </w:pPr>
            <w:r w:rsidRPr="000D3563">
              <w:rPr>
                <w:sz w:val="19"/>
                <w:szCs w:val="19"/>
              </w:rPr>
              <w:t>Residential: School Energy Pledge</w:t>
            </w:r>
          </w:p>
        </w:tc>
        <w:tc>
          <w:tcPr>
            <w:tcW w:w="1251" w:type="dxa"/>
            <w:shd w:val="clear" w:color="auto" w:fill="auto"/>
            <w:vAlign w:val="center"/>
          </w:tcPr>
          <w:p w:rsidR="0001310B" w:rsidRPr="000D3563" w:rsidRDefault="0001310B" w:rsidP="00AC55E9">
            <w:pPr>
              <w:jc w:val="center"/>
              <w:rPr>
                <w:color w:val="000000"/>
                <w:sz w:val="19"/>
                <w:szCs w:val="19"/>
              </w:rPr>
            </w:pPr>
            <w:r w:rsidRPr="000D3563">
              <w:rPr>
                <w:sz w:val="19"/>
                <w:szCs w:val="19"/>
              </w:rPr>
              <w:t>66%</w:t>
            </w:r>
          </w:p>
        </w:tc>
        <w:tc>
          <w:tcPr>
            <w:tcW w:w="1252" w:type="dxa"/>
            <w:vAlign w:val="center"/>
          </w:tcPr>
          <w:p w:rsidR="0001310B" w:rsidRPr="000D3563" w:rsidRDefault="0001310B" w:rsidP="00AC55E9">
            <w:pPr>
              <w:jc w:val="center"/>
              <w:rPr>
                <w:color w:val="000000"/>
                <w:sz w:val="19"/>
                <w:szCs w:val="19"/>
              </w:rPr>
            </w:pPr>
            <w:r w:rsidRPr="000D3563">
              <w:rPr>
                <w:sz w:val="19"/>
                <w:szCs w:val="19"/>
              </w:rPr>
              <w:t>16%</w:t>
            </w:r>
          </w:p>
        </w:tc>
        <w:tc>
          <w:tcPr>
            <w:tcW w:w="1252" w:type="dxa"/>
            <w:shd w:val="clear" w:color="auto" w:fill="auto"/>
            <w:vAlign w:val="center"/>
          </w:tcPr>
          <w:p w:rsidR="0001310B" w:rsidRPr="000D3563" w:rsidRDefault="0001310B" w:rsidP="00AC55E9">
            <w:pPr>
              <w:jc w:val="center"/>
              <w:rPr>
                <w:color w:val="000000"/>
                <w:sz w:val="19"/>
                <w:szCs w:val="19"/>
              </w:rPr>
            </w:pPr>
            <w:r w:rsidRPr="000D3563">
              <w:rPr>
                <w:sz w:val="19"/>
                <w:szCs w:val="19"/>
              </w:rPr>
              <w:t>71%</w:t>
            </w:r>
          </w:p>
        </w:tc>
        <w:tc>
          <w:tcPr>
            <w:tcW w:w="1252" w:type="dxa"/>
            <w:vAlign w:val="center"/>
          </w:tcPr>
          <w:p w:rsidR="0001310B" w:rsidRPr="000D3563" w:rsidRDefault="0001310B" w:rsidP="00AC55E9">
            <w:pPr>
              <w:jc w:val="center"/>
              <w:rPr>
                <w:color w:val="000000"/>
                <w:sz w:val="19"/>
                <w:szCs w:val="19"/>
              </w:rPr>
            </w:pPr>
            <w:r w:rsidRPr="000D3563">
              <w:rPr>
                <w:sz w:val="19"/>
                <w:szCs w:val="19"/>
              </w:rPr>
              <w:t>18%</w:t>
            </w:r>
          </w:p>
        </w:tc>
      </w:tr>
      <w:tr w:rsidR="00A874AC" w:rsidRPr="000D3563" w:rsidTr="000D3563">
        <w:trPr>
          <w:trHeight w:val="288"/>
        </w:trPr>
        <w:tc>
          <w:tcPr>
            <w:tcW w:w="4348" w:type="dxa"/>
            <w:shd w:val="clear" w:color="000000" w:fill="D2EAF1"/>
            <w:vAlign w:val="center"/>
          </w:tcPr>
          <w:p w:rsidR="0001310B" w:rsidRPr="000D3563" w:rsidRDefault="0001310B" w:rsidP="00AC55E9">
            <w:pPr>
              <w:jc w:val="left"/>
              <w:rPr>
                <w:color w:val="000000"/>
                <w:sz w:val="19"/>
                <w:szCs w:val="19"/>
              </w:rPr>
            </w:pPr>
            <w:r w:rsidRPr="000D3563">
              <w:rPr>
                <w:sz w:val="19"/>
                <w:szCs w:val="19"/>
              </w:rPr>
              <w:t>Residential: Appliance Recycling</w:t>
            </w:r>
          </w:p>
        </w:tc>
        <w:tc>
          <w:tcPr>
            <w:tcW w:w="1251"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101%</w:t>
            </w:r>
          </w:p>
        </w:tc>
        <w:tc>
          <w:tcPr>
            <w:tcW w:w="1252"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1%</w:t>
            </w:r>
          </w:p>
        </w:tc>
        <w:tc>
          <w:tcPr>
            <w:tcW w:w="1252"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101%</w:t>
            </w:r>
          </w:p>
        </w:tc>
        <w:tc>
          <w:tcPr>
            <w:tcW w:w="1252"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1%</w:t>
            </w:r>
          </w:p>
        </w:tc>
      </w:tr>
      <w:tr w:rsidR="00E7173E" w:rsidRPr="000D3563" w:rsidTr="000D3563">
        <w:trPr>
          <w:trHeight w:val="288"/>
        </w:trPr>
        <w:tc>
          <w:tcPr>
            <w:tcW w:w="4348" w:type="dxa"/>
            <w:shd w:val="clear" w:color="auto" w:fill="auto"/>
            <w:vAlign w:val="center"/>
          </w:tcPr>
          <w:p w:rsidR="0001310B" w:rsidRPr="000D3563" w:rsidRDefault="0001310B" w:rsidP="00AC55E9">
            <w:pPr>
              <w:jc w:val="left"/>
              <w:rPr>
                <w:color w:val="000000"/>
                <w:sz w:val="19"/>
                <w:szCs w:val="19"/>
              </w:rPr>
            </w:pPr>
            <w:r w:rsidRPr="000D3563">
              <w:rPr>
                <w:sz w:val="19"/>
                <w:szCs w:val="19"/>
              </w:rPr>
              <w:t xml:space="preserve">Residential: Whole House </w:t>
            </w:r>
          </w:p>
        </w:tc>
        <w:tc>
          <w:tcPr>
            <w:tcW w:w="1251" w:type="dxa"/>
            <w:shd w:val="clear" w:color="auto" w:fill="auto"/>
            <w:vAlign w:val="center"/>
          </w:tcPr>
          <w:p w:rsidR="0001310B" w:rsidRPr="000D3563" w:rsidRDefault="0001310B" w:rsidP="00AC55E9">
            <w:pPr>
              <w:jc w:val="center"/>
              <w:rPr>
                <w:color w:val="000000"/>
                <w:sz w:val="19"/>
                <w:szCs w:val="19"/>
                <w:highlight w:val="yellow"/>
              </w:rPr>
            </w:pPr>
            <w:r w:rsidRPr="000D3563">
              <w:rPr>
                <w:sz w:val="19"/>
                <w:szCs w:val="19"/>
              </w:rPr>
              <w:t>89%</w:t>
            </w:r>
          </w:p>
        </w:tc>
        <w:tc>
          <w:tcPr>
            <w:tcW w:w="1252" w:type="dxa"/>
            <w:vAlign w:val="center"/>
          </w:tcPr>
          <w:p w:rsidR="0001310B" w:rsidRPr="000D3563" w:rsidRDefault="0001310B" w:rsidP="00AC55E9">
            <w:pPr>
              <w:jc w:val="center"/>
              <w:rPr>
                <w:color w:val="000000"/>
                <w:sz w:val="19"/>
                <w:szCs w:val="19"/>
              </w:rPr>
            </w:pPr>
            <w:r w:rsidRPr="000D3563">
              <w:rPr>
                <w:sz w:val="19"/>
                <w:szCs w:val="19"/>
              </w:rPr>
              <w:t>6%</w:t>
            </w:r>
          </w:p>
        </w:tc>
        <w:tc>
          <w:tcPr>
            <w:tcW w:w="1252" w:type="dxa"/>
            <w:shd w:val="clear" w:color="auto" w:fill="auto"/>
            <w:vAlign w:val="center"/>
          </w:tcPr>
          <w:p w:rsidR="0001310B" w:rsidRPr="000D3563" w:rsidRDefault="0001310B" w:rsidP="00AC55E9">
            <w:pPr>
              <w:jc w:val="center"/>
              <w:rPr>
                <w:color w:val="000000"/>
                <w:sz w:val="19"/>
                <w:szCs w:val="19"/>
              </w:rPr>
            </w:pPr>
            <w:r w:rsidRPr="000D3563">
              <w:rPr>
                <w:sz w:val="19"/>
                <w:szCs w:val="19"/>
              </w:rPr>
              <w:t>87%</w:t>
            </w:r>
          </w:p>
        </w:tc>
        <w:tc>
          <w:tcPr>
            <w:tcW w:w="1252" w:type="dxa"/>
            <w:vAlign w:val="center"/>
          </w:tcPr>
          <w:p w:rsidR="0001310B" w:rsidRPr="000D3563" w:rsidRDefault="0001310B" w:rsidP="00AC55E9">
            <w:pPr>
              <w:jc w:val="center"/>
              <w:rPr>
                <w:color w:val="000000"/>
                <w:sz w:val="19"/>
                <w:szCs w:val="19"/>
              </w:rPr>
            </w:pPr>
            <w:r w:rsidRPr="000D3563">
              <w:rPr>
                <w:sz w:val="19"/>
                <w:szCs w:val="19"/>
              </w:rPr>
              <w:t>6%</w:t>
            </w:r>
          </w:p>
        </w:tc>
      </w:tr>
      <w:tr w:rsidR="00A874AC" w:rsidRPr="000D3563" w:rsidTr="000D3563">
        <w:trPr>
          <w:trHeight w:val="288"/>
        </w:trPr>
        <w:tc>
          <w:tcPr>
            <w:tcW w:w="4348" w:type="dxa"/>
            <w:shd w:val="clear" w:color="000000" w:fill="D2EAF1"/>
            <w:vAlign w:val="center"/>
          </w:tcPr>
          <w:p w:rsidR="0001310B" w:rsidRPr="000D3563" w:rsidRDefault="0001310B" w:rsidP="00AC55E9">
            <w:pPr>
              <w:jc w:val="left"/>
              <w:rPr>
                <w:color w:val="000000"/>
                <w:sz w:val="19"/>
                <w:szCs w:val="19"/>
              </w:rPr>
            </w:pPr>
            <w:r w:rsidRPr="000D3563">
              <w:rPr>
                <w:sz w:val="19"/>
                <w:szCs w:val="19"/>
              </w:rPr>
              <w:t>Residential: Low-Income EE</w:t>
            </w:r>
          </w:p>
        </w:tc>
        <w:tc>
          <w:tcPr>
            <w:tcW w:w="1251" w:type="dxa"/>
            <w:shd w:val="clear" w:color="000000" w:fill="D2EAF1"/>
            <w:vAlign w:val="center"/>
          </w:tcPr>
          <w:p w:rsidR="0001310B" w:rsidRPr="000D3563" w:rsidRDefault="0001310B" w:rsidP="00AC55E9">
            <w:pPr>
              <w:jc w:val="center"/>
              <w:rPr>
                <w:color w:val="000000"/>
                <w:sz w:val="19"/>
                <w:szCs w:val="19"/>
                <w:highlight w:val="yellow"/>
              </w:rPr>
            </w:pPr>
            <w:r w:rsidRPr="000D3563">
              <w:rPr>
                <w:sz w:val="19"/>
                <w:szCs w:val="19"/>
              </w:rPr>
              <w:t>96%</w:t>
            </w:r>
          </w:p>
        </w:tc>
        <w:tc>
          <w:tcPr>
            <w:tcW w:w="1252"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2%</w:t>
            </w:r>
          </w:p>
        </w:tc>
        <w:tc>
          <w:tcPr>
            <w:tcW w:w="1252"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97%</w:t>
            </w:r>
          </w:p>
        </w:tc>
        <w:tc>
          <w:tcPr>
            <w:tcW w:w="1252" w:type="dxa"/>
            <w:shd w:val="clear" w:color="000000" w:fill="D2EAF1"/>
            <w:vAlign w:val="center"/>
          </w:tcPr>
          <w:p w:rsidR="0001310B" w:rsidRPr="000D3563" w:rsidRDefault="0001310B" w:rsidP="00AC55E9">
            <w:pPr>
              <w:jc w:val="center"/>
              <w:rPr>
                <w:color w:val="000000"/>
                <w:sz w:val="19"/>
                <w:szCs w:val="19"/>
              </w:rPr>
            </w:pPr>
            <w:r w:rsidRPr="000D3563">
              <w:rPr>
                <w:sz w:val="19"/>
                <w:szCs w:val="19"/>
              </w:rPr>
              <w:t>2%</w:t>
            </w:r>
          </w:p>
        </w:tc>
      </w:tr>
      <w:tr w:rsidR="00A874AC" w:rsidRPr="000D3563" w:rsidTr="000D3563">
        <w:trPr>
          <w:trHeight w:val="288"/>
        </w:trPr>
        <w:tc>
          <w:tcPr>
            <w:tcW w:w="4348" w:type="dxa"/>
            <w:shd w:val="clear" w:color="000000" w:fill="FFFFFF"/>
            <w:vAlign w:val="center"/>
          </w:tcPr>
          <w:p w:rsidR="0001310B" w:rsidRPr="000D3563" w:rsidRDefault="0001310B" w:rsidP="00AC55E9">
            <w:pPr>
              <w:jc w:val="left"/>
              <w:rPr>
                <w:sz w:val="19"/>
                <w:szCs w:val="19"/>
              </w:rPr>
            </w:pPr>
            <w:r w:rsidRPr="000D3563">
              <w:rPr>
                <w:sz w:val="19"/>
                <w:szCs w:val="19"/>
              </w:rPr>
              <w:t xml:space="preserve">Residential: Low-Income EE (Upstream </w:t>
            </w:r>
            <w:r w:rsidR="009349F1" w:rsidRPr="000D3563">
              <w:rPr>
                <w:sz w:val="19"/>
                <w:szCs w:val="19"/>
              </w:rPr>
              <w:t>Lighting)</w:t>
            </w:r>
            <w:r w:rsidR="009349F1" w:rsidRPr="000D3563">
              <w:rPr>
                <w:sz w:val="19"/>
                <w:szCs w:val="19"/>
                <w:vertAlign w:val="superscript"/>
              </w:rPr>
              <w:t xml:space="preserve"> [</w:t>
            </w:r>
            <w:r w:rsidR="0026677E" w:rsidRPr="000D3563">
              <w:rPr>
                <w:sz w:val="19"/>
                <w:szCs w:val="19"/>
                <w:vertAlign w:val="superscript"/>
              </w:rPr>
              <w:t>a]</w:t>
            </w:r>
          </w:p>
        </w:tc>
        <w:tc>
          <w:tcPr>
            <w:tcW w:w="1251" w:type="dxa"/>
            <w:shd w:val="clear" w:color="000000" w:fill="FFFFFF"/>
            <w:vAlign w:val="center"/>
          </w:tcPr>
          <w:p w:rsidR="0001310B" w:rsidRPr="000D3563" w:rsidRDefault="0001310B" w:rsidP="00AC55E9">
            <w:pPr>
              <w:jc w:val="center"/>
              <w:rPr>
                <w:color w:val="000000"/>
                <w:sz w:val="19"/>
                <w:szCs w:val="19"/>
                <w:highlight w:val="yellow"/>
              </w:rPr>
            </w:pPr>
            <w:r w:rsidRPr="000D3563">
              <w:rPr>
                <w:sz w:val="19"/>
                <w:szCs w:val="19"/>
              </w:rPr>
              <w:t>101%</w:t>
            </w:r>
          </w:p>
        </w:tc>
        <w:tc>
          <w:tcPr>
            <w:tcW w:w="1252" w:type="dxa"/>
            <w:shd w:val="clear" w:color="000000" w:fill="FFFFFF"/>
            <w:vAlign w:val="center"/>
          </w:tcPr>
          <w:p w:rsidR="0001310B" w:rsidRPr="000D3563" w:rsidRDefault="0001310B" w:rsidP="00AC55E9">
            <w:pPr>
              <w:jc w:val="center"/>
              <w:rPr>
                <w:color w:val="000000"/>
                <w:sz w:val="19"/>
                <w:szCs w:val="19"/>
              </w:rPr>
            </w:pPr>
            <w:r w:rsidRPr="000D3563">
              <w:rPr>
                <w:sz w:val="19"/>
                <w:szCs w:val="19"/>
              </w:rPr>
              <w:t>0%</w:t>
            </w:r>
          </w:p>
        </w:tc>
        <w:tc>
          <w:tcPr>
            <w:tcW w:w="1252" w:type="dxa"/>
            <w:shd w:val="clear" w:color="000000" w:fill="FFFFFF"/>
            <w:vAlign w:val="center"/>
          </w:tcPr>
          <w:p w:rsidR="0001310B" w:rsidRPr="000D3563" w:rsidRDefault="0001310B" w:rsidP="00AC55E9">
            <w:pPr>
              <w:jc w:val="center"/>
              <w:rPr>
                <w:color w:val="000000"/>
                <w:sz w:val="19"/>
                <w:szCs w:val="19"/>
              </w:rPr>
            </w:pPr>
            <w:r w:rsidRPr="000D3563">
              <w:rPr>
                <w:sz w:val="19"/>
                <w:szCs w:val="19"/>
              </w:rPr>
              <w:t>101%</w:t>
            </w:r>
          </w:p>
        </w:tc>
        <w:tc>
          <w:tcPr>
            <w:tcW w:w="1252" w:type="dxa"/>
            <w:shd w:val="clear" w:color="000000" w:fill="FFFFFF"/>
            <w:vAlign w:val="center"/>
          </w:tcPr>
          <w:p w:rsidR="0001310B" w:rsidRPr="000D3563" w:rsidRDefault="0001310B" w:rsidP="00AC55E9">
            <w:pPr>
              <w:jc w:val="center"/>
              <w:rPr>
                <w:color w:val="000000"/>
                <w:sz w:val="19"/>
                <w:szCs w:val="19"/>
              </w:rPr>
            </w:pPr>
            <w:r w:rsidRPr="000D3563">
              <w:rPr>
                <w:sz w:val="19"/>
                <w:szCs w:val="19"/>
              </w:rPr>
              <w:t>0%</w:t>
            </w:r>
          </w:p>
        </w:tc>
      </w:tr>
      <w:tr w:rsidR="00A874AC" w:rsidRPr="000D3563" w:rsidTr="000D3563">
        <w:trPr>
          <w:trHeight w:val="288"/>
        </w:trPr>
        <w:tc>
          <w:tcPr>
            <w:tcW w:w="4348" w:type="dxa"/>
            <w:shd w:val="clear" w:color="auto" w:fill="D2EAF1"/>
            <w:vAlign w:val="center"/>
          </w:tcPr>
          <w:p w:rsidR="0001310B" w:rsidRPr="000D3563" w:rsidRDefault="0001310B" w:rsidP="00AC55E9">
            <w:pPr>
              <w:jc w:val="left"/>
              <w:rPr>
                <w:sz w:val="19"/>
                <w:szCs w:val="19"/>
              </w:rPr>
            </w:pPr>
            <w:r w:rsidRPr="000D3563">
              <w:rPr>
                <w:sz w:val="19"/>
                <w:szCs w:val="19"/>
              </w:rPr>
              <w:t>Residential: Low-Income Home Energy Reports</w:t>
            </w:r>
          </w:p>
        </w:tc>
        <w:tc>
          <w:tcPr>
            <w:tcW w:w="1251" w:type="dxa"/>
            <w:shd w:val="clear" w:color="auto" w:fill="D2EAF1"/>
            <w:vAlign w:val="center"/>
          </w:tcPr>
          <w:p w:rsidR="0001310B" w:rsidRPr="000D3563" w:rsidRDefault="0001310B" w:rsidP="00AC55E9">
            <w:pPr>
              <w:jc w:val="center"/>
              <w:rPr>
                <w:sz w:val="19"/>
                <w:szCs w:val="19"/>
              </w:rPr>
            </w:pPr>
            <w:r w:rsidRPr="000D3563">
              <w:rPr>
                <w:sz w:val="19"/>
                <w:szCs w:val="19"/>
              </w:rPr>
              <w:t>102%</w:t>
            </w:r>
          </w:p>
        </w:tc>
        <w:tc>
          <w:tcPr>
            <w:tcW w:w="1252" w:type="dxa"/>
            <w:shd w:val="clear" w:color="auto" w:fill="D2EAF1"/>
            <w:vAlign w:val="center"/>
          </w:tcPr>
          <w:p w:rsidR="0001310B" w:rsidRPr="000D3563" w:rsidRDefault="0001310B" w:rsidP="00AC55E9">
            <w:pPr>
              <w:jc w:val="center"/>
              <w:rPr>
                <w:sz w:val="19"/>
                <w:szCs w:val="19"/>
              </w:rPr>
            </w:pPr>
            <w:r w:rsidRPr="000D3563">
              <w:rPr>
                <w:sz w:val="19"/>
                <w:szCs w:val="19"/>
              </w:rPr>
              <w:t>0%</w:t>
            </w:r>
          </w:p>
        </w:tc>
        <w:tc>
          <w:tcPr>
            <w:tcW w:w="1252" w:type="dxa"/>
            <w:shd w:val="clear" w:color="auto" w:fill="D2EAF1"/>
            <w:vAlign w:val="center"/>
          </w:tcPr>
          <w:p w:rsidR="0001310B" w:rsidRPr="000D3563" w:rsidRDefault="0001310B" w:rsidP="00AC55E9">
            <w:pPr>
              <w:jc w:val="center"/>
              <w:rPr>
                <w:sz w:val="19"/>
                <w:szCs w:val="19"/>
              </w:rPr>
            </w:pPr>
            <w:r w:rsidRPr="000D3563">
              <w:rPr>
                <w:sz w:val="19"/>
                <w:szCs w:val="19"/>
              </w:rPr>
              <w:t>NA</w:t>
            </w:r>
          </w:p>
        </w:tc>
        <w:tc>
          <w:tcPr>
            <w:tcW w:w="1252" w:type="dxa"/>
            <w:shd w:val="clear" w:color="auto" w:fill="D2EAF1"/>
            <w:vAlign w:val="center"/>
          </w:tcPr>
          <w:p w:rsidR="0001310B" w:rsidRPr="000D3563" w:rsidRDefault="0001310B" w:rsidP="00AC55E9">
            <w:pPr>
              <w:jc w:val="center"/>
              <w:rPr>
                <w:sz w:val="19"/>
                <w:szCs w:val="19"/>
              </w:rPr>
            </w:pPr>
            <w:r w:rsidRPr="000D3563">
              <w:rPr>
                <w:sz w:val="19"/>
                <w:szCs w:val="19"/>
              </w:rPr>
              <w:t>NA</w:t>
            </w:r>
          </w:p>
        </w:tc>
      </w:tr>
      <w:tr w:rsidR="00A874AC" w:rsidRPr="000D3563" w:rsidTr="000D3563">
        <w:trPr>
          <w:trHeight w:val="288"/>
        </w:trPr>
        <w:tc>
          <w:tcPr>
            <w:tcW w:w="4348" w:type="dxa"/>
            <w:shd w:val="clear" w:color="000000" w:fill="FFFFFF"/>
            <w:vAlign w:val="center"/>
          </w:tcPr>
          <w:p w:rsidR="0001310B" w:rsidRPr="000D3563" w:rsidRDefault="0001310B" w:rsidP="00AC55E9">
            <w:pPr>
              <w:jc w:val="left"/>
              <w:rPr>
                <w:sz w:val="19"/>
                <w:szCs w:val="19"/>
              </w:rPr>
            </w:pPr>
            <w:r w:rsidRPr="000D3563">
              <w:rPr>
                <w:sz w:val="19"/>
                <w:szCs w:val="19"/>
              </w:rPr>
              <w:t>Residential: Home Energy Reports</w:t>
            </w:r>
          </w:p>
        </w:tc>
        <w:tc>
          <w:tcPr>
            <w:tcW w:w="1251" w:type="dxa"/>
            <w:shd w:val="clear" w:color="000000" w:fill="FFFFFF"/>
            <w:vAlign w:val="center"/>
          </w:tcPr>
          <w:p w:rsidR="0001310B" w:rsidRPr="000D3563" w:rsidRDefault="0001310B" w:rsidP="00AC55E9">
            <w:pPr>
              <w:jc w:val="center"/>
              <w:rPr>
                <w:sz w:val="19"/>
                <w:szCs w:val="19"/>
                <w:highlight w:val="yellow"/>
              </w:rPr>
            </w:pPr>
            <w:r w:rsidRPr="000D3563">
              <w:rPr>
                <w:sz w:val="19"/>
                <w:szCs w:val="19"/>
              </w:rPr>
              <w:t>99%</w:t>
            </w:r>
          </w:p>
        </w:tc>
        <w:tc>
          <w:tcPr>
            <w:tcW w:w="1252" w:type="dxa"/>
            <w:shd w:val="clear" w:color="000000" w:fill="FFFFFF"/>
            <w:vAlign w:val="center"/>
          </w:tcPr>
          <w:p w:rsidR="0001310B" w:rsidRPr="000D3563" w:rsidRDefault="0001310B" w:rsidP="00AC55E9">
            <w:pPr>
              <w:jc w:val="center"/>
              <w:rPr>
                <w:sz w:val="19"/>
                <w:szCs w:val="19"/>
              </w:rPr>
            </w:pPr>
            <w:r w:rsidRPr="000D3563">
              <w:rPr>
                <w:sz w:val="19"/>
                <w:szCs w:val="19"/>
              </w:rPr>
              <w:t>0%</w:t>
            </w:r>
          </w:p>
        </w:tc>
        <w:tc>
          <w:tcPr>
            <w:tcW w:w="1252" w:type="dxa"/>
            <w:shd w:val="clear" w:color="000000" w:fill="FFFFFF"/>
            <w:vAlign w:val="center"/>
          </w:tcPr>
          <w:p w:rsidR="0001310B" w:rsidRPr="000D3563" w:rsidRDefault="0001310B" w:rsidP="00AC55E9">
            <w:pPr>
              <w:jc w:val="center"/>
              <w:rPr>
                <w:sz w:val="19"/>
                <w:szCs w:val="19"/>
                <w:highlight w:val="yellow"/>
              </w:rPr>
            </w:pPr>
            <w:r w:rsidRPr="000D3563">
              <w:rPr>
                <w:sz w:val="19"/>
                <w:szCs w:val="19"/>
              </w:rPr>
              <w:t>NA</w:t>
            </w:r>
          </w:p>
        </w:tc>
        <w:tc>
          <w:tcPr>
            <w:tcW w:w="1252" w:type="dxa"/>
            <w:shd w:val="clear" w:color="000000" w:fill="FFFFFF"/>
            <w:vAlign w:val="center"/>
          </w:tcPr>
          <w:p w:rsidR="0001310B" w:rsidRPr="000D3563" w:rsidRDefault="0001310B" w:rsidP="00AC55E9">
            <w:pPr>
              <w:jc w:val="center"/>
              <w:rPr>
                <w:sz w:val="19"/>
                <w:szCs w:val="19"/>
              </w:rPr>
            </w:pPr>
            <w:r w:rsidRPr="000D3563">
              <w:rPr>
                <w:sz w:val="19"/>
                <w:szCs w:val="19"/>
              </w:rPr>
              <w:t>NA</w:t>
            </w:r>
          </w:p>
        </w:tc>
      </w:tr>
      <w:tr w:rsidR="00A874AC" w:rsidRPr="000D3563" w:rsidTr="000D3563">
        <w:trPr>
          <w:trHeight w:val="288"/>
        </w:trPr>
        <w:tc>
          <w:tcPr>
            <w:tcW w:w="4348" w:type="dxa"/>
            <w:shd w:val="clear" w:color="000000" w:fill="D2EAF1"/>
            <w:vAlign w:val="center"/>
          </w:tcPr>
          <w:p w:rsidR="0023582E" w:rsidRPr="000D3563" w:rsidRDefault="0023582E" w:rsidP="0023582E">
            <w:pPr>
              <w:jc w:val="left"/>
              <w:rPr>
                <w:sz w:val="19"/>
                <w:szCs w:val="19"/>
              </w:rPr>
            </w:pPr>
            <w:r w:rsidRPr="000D3563">
              <w:rPr>
                <w:sz w:val="19"/>
                <w:szCs w:val="19"/>
              </w:rPr>
              <w:t>Commercial Sector Umbrella EE</w:t>
            </w:r>
          </w:p>
        </w:tc>
        <w:tc>
          <w:tcPr>
            <w:tcW w:w="1251" w:type="dxa"/>
            <w:shd w:val="clear" w:color="000000" w:fill="D2EAF1"/>
            <w:vAlign w:val="center"/>
          </w:tcPr>
          <w:p w:rsidR="0023582E" w:rsidRPr="000D3563" w:rsidRDefault="0023582E" w:rsidP="0023582E">
            <w:pPr>
              <w:jc w:val="center"/>
              <w:rPr>
                <w:sz w:val="19"/>
                <w:szCs w:val="19"/>
              </w:rPr>
            </w:pPr>
            <w:r w:rsidRPr="000D3563">
              <w:rPr>
                <w:sz w:val="19"/>
                <w:szCs w:val="19"/>
              </w:rPr>
              <w:t>103%</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4%</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113</w:t>
            </w:r>
            <w:r w:rsidR="0026677E" w:rsidRPr="000D3563">
              <w:rPr>
                <w:sz w:val="19"/>
                <w:szCs w:val="19"/>
              </w:rPr>
              <w:t>%</w:t>
            </w:r>
          </w:p>
        </w:tc>
        <w:tc>
          <w:tcPr>
            <w:tcW w:w="1252" w:type="dxa"/>
            <w:shd w:val="clear" w:color="000000" w:fill="D2EAF1"/>
            <w:vAlign w:val="center"/>
          </w:tcPr>
          <w:p w:rsidR="0023582E" w:rsidRPr="000D3563" w:rsidRDefault="0026677E" w:rsidP="0023582E">
            <w:pPr>
              <w:jc w:val="center"/>
              <w:rPr>
                <w:sz w:val="19"/>
                <w:szCs w:val="19"/>
              </w:rPr>
            </w:pPr>
            <w:r w:rsidRPr="000D3563">
              <w:rPr>
                <w:sz w:val="19"/>
                <w:szCs w:val="19"/>
              </w:rPr>
              <w:t>20.8%</w:t>
            </w:r>
          </w:p>
        </w:tc>
      </w:tr>
      <w:tr w:rsidR="00A874AC" w:rsidRPr="000D3563" w:rsidTr="000D3563">
        <w:trPr>
          <w:trHeight w:val="288"/>
        </w:trPr>
        <w:tc>
          <w:tcPr>
            <w:tcW w:w="4348" w:type="dxa"/>
            <w:shd w:val="clear" w:color="000000" w:fill="FFFFFF"/>
            <w:vAlign w:val="center"/>
          </w:tcPr>
          <w:p w:rsidR="0023582E" w:rsidRPr="000D3563" w:rsidRDefault="0023582E" w:rsidP="0023582E">
            <w:pPr>
              <w:jc w:val="left"/>
              <w:rPr>
                <w:sz w:val="19"/>
                <w:szCs w:val="19"/>
              </w:rPr>
            </w:pPr>
            <w:r w:rsidRPr="000D3563">
              <w:rPr>
                <w:sz w:val="19"/>
                <w:szCs w:val="19"/>
              </w:rPr>
              <w:t>Commercial Sector Umbrella EE (Upstream Lighting)</w:t>
            </w:r>
          </w:p>
        </w:tc>
        <w:tc>
          <w:tcPr>
            <w:tcW w:w="1251" w:type="dxa"/>
            <w:shd w:val="clear" w:color="000000" w:fill="FFFFFF"/>
            <w:vAlign w:val="center"/>
          </w:tcPr>
          <w:p w:rsidR="0023582E" w:rsidRPr="000D3563" w:rsidRDefault="0023582E" w:rsidP="0023582E">
            <w:pPr>
              <w:jc w:val="center"/>
              <w:rPr>
                <w:sz w:val="19"/>
                <w:szCs w:val="19"/>
              </w:rPr>
            </w:pPr>
            <w:r w:rsidRPr="000D3563">
              <w:rPr>
                <w:sz w:val="19"/>
                <w:szCs w:val="19"/>
              </w:rPr>
              <w:t>103%</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4%</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113</w:t>
            </w:r>
            <w:r w:rsidR="0026677E" w:rsidRPr="000D3563">
              <w:rPr>
                <w:sz w:val="19"/>
                <w:szCs w:val="19"/>
              </w:rPr>
              <w:t>%</w:t>
            </w:r>
          </w:p>
        </w:tc>
        <w:tc>
          <w:tcPr>
            <w:tcW w:w="1252" w:type="dxa"/>
            <w:shd w:val="clear" w:color="000000" w:fill="FFFFFF"/>
            <w:vAlign w:val="center"/>
          </w:tcPr>
          <w:p w:rsidR="0023582E" w:rsidRPr="000D3563" w:rsidRDefault="0026677E" w:rsidP="0023582E">
            <w:pPr>
              <w:jc w:val="center"/>
              <w:rPr>
                <w:sz w:val="19"/>
                <w:szCs w:val="19"/>
              </w:rPr>
            </w:pPr>
            <w:r w:rsidRPr="000D3563">
              <w:rPr>
                <w:sz w:val="19"/>
                <w:szCs w:val="19"/>
              </w:rPr>
              <w:t>20.8%</w:t>
            </w:r>
          </w:p>
        </w:tc>
      </w:tr>
      <w:tr w:rsidR="00A874AC" w:rsidRPr="000D3563" w:rsidTr="000D3563">
        <w:trPr>
          <w:trHeight w:val="288"/>
        </w:trPr>
        <w:tc>
          <w:tcPr>
            <w:tcW w:w="4348" w:type="dxa"/>
            <w:shd w:val="clear" w:color="000000" w:fill="D2EAF1"/>
            <w:vAlign w:val="center"/>
          </w:tcPr>
          <w:p w:rsidR="0023582E" w:rsidRPr="000D3563" w:rsidRDefault="0023582E" w:rsidP="0023582E">
            <w:pPr>
              <w:jc w:val="left"/>
              <w:rPr>
                <w:sz w:val="19"/>
                <w:szCs w:val="19"/>
              </w:rPr>
            </w:pPr>
            <w:r w:rsidRPr="000D3563">
              <w:rPr>
                <w:sz w:val="19"/>
                <w:szCs w:val="19"/>
              </w:rPr>
              <w:t>Healthcare EE</w:t>
            </w:r>
          </w:p>
        </w:tc>
        <w:tc>
          <w:tcPr>
            <w:tcW w:w="1251" w:type="dxa"/>
            <w:shd w:val="clear" w:color="000000" w:fill="D2EAF1"/>
            <w:vAlign w:val="center"/>
          </w:tcPr>
          <w:p w:rsidR="0023582E" w:rsidRPr="000D3563" w:rsidRDefault="0023582E" w:rsidP="0023582E">
            <w:pPr>
              <w:jc w:val="center"/>
              <w:rPr>
                <w:sz w:val="19"/>
                <w:szCs w:val="19"/>
              </w:rPr>
            </w:pPr>
            <w:r w:rsidRPr="000D3563">
              <w:rPr>
                <w:sz w:val="19"/>
                <w:szCs w:val="19"/>
              </w:rPr>
              <w:t>103%</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4%</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113</w:t>
            </w:r>
            <w:r w:rsidR="0026677E" w:rsidRPr="000D3563">
              <w:rPr>
                <w:sz w:val="19"/>
                <w:szCs w:val="19"/>
              </w:rPr>
              <w:t>%</w:t>
            </w:r>
          </w:p>
        </w:tc>
        <w:tc>
          <w:tcPr>
            <w:tcW w:w="1252" w:type="dxa"/>
            <w:shd w:val="clear" w:color="000000" w:fill="D2EAF1"/>
            <w:vAlign w:val="center"/>
          </w:tcPr>
          <w:p w:rsidR="0023582E" w:rsidRPr="000D3563" w:rsidRDefault="0026677E" w:rsidP="0026677E">
            <w:pPr>
              <w:jc w:val="center"/>
              <w:rPr>
                <w:sz w:val="19"/>
                <w:szCs w:val="19"/>
              </w:rPr>
            </w:pPr>
            <w:r w:rsidRPr="000D3563">
              <w:rPr>
                <w:sz w:val="19"/>
                <w:szCs w:val="19"/>
              </w:rPr>
              <w:t>20.8%</w:t>
            </w:r>
          </w:p>
        </w:tc>
      </w:tr>
      <w:tr w:rsidR="00A874AC" w:rsidRPr="000D3563" w:rsidTr="000D3563">
        <w:trPr>
          <w:trHeight w:val="288"/>
        </w:trPr>
        <w:tc>
          <w:tcPr>
            <w:tcW w:w="4348" w:type="dxa"/>
            <w:shd w:val="clear" w:color="000000" w:fill="FFFFFF"/>
            <w:vAlign w:val="center"/>
          </w:tcPr>
          <w:p w:rsidR="0023582E" w:rsidRPr="000D3563" w:rsidRDefault="0023582E" w:rsidP="0023582E">
            <w:pPr>
              <w:jc w:val="left"/>
              <w:rPr>
                <w:sz w:val="19"/>
                <w:szCs w:val="19"/>
              </w:rPr>
            </w:pPr>
            <w:r w:rsidRPr="000D3563">
              <w:rPr>
                <w:sz w:val="19"/>
                <w:szCs w:val="19"/>
              </w:rPr>
              <w:t>Industrial Sector Umbrella EE</w:t>
            </w:r>
          </w:p>
        </w:tc>
        <w:tc>
          <w:tcPr>
            <w:tcW w:w="1251" w:type="dxa"/>
            <w:shd w:val="clear" w:color="000000" w:fill="FFFFFF"/>
            <w:vAlign w:val="center"/>
          </w:tcPr>
          <w:p w:rsidR="0023582E" w:rsidRPr="000D3563" w:rsidRDefault="0023582E" w:rsidP="0023582E">
            <w:pPr>
              <w:jc w:val="center"/>
              <w:rPr>
                <w:sz w:val="19"/>
                <w:szCs w:val="19"/>
              </w:rPr>
            </w:pPr>
            <w:r w:rsidRPr="000D3563">
              <w:rPr>
                <w:sz w:val="19"/>
                <w:szCs w:val="19"/>
              </w:rPr>
              <w:t>99%</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2%</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94</w:t>
            </w:r>
            <w:r w:rsidR="0026677E" w:rsidRPr="000D3563">
              <w:rPr>
                <w:sz w:val="19"/>
                <w:szCs w:val="19"/>
              </w:rPr>
              <w:t>%</w:t>
            </w:r>
          </w:p>
        </w:tc>
        <w:tc>
          <w:tcPr>
            <w:tcW w:w="1252" w:type="dxa"/>
            <w:shd w:val="clear" w:color="000000" w:fill="FFFFFF"/>
            <w:vAlign w:val="center"/>
          </w:tcPr>
          <w:p w:rsidR="0023582E" w:rsidRPr="000D3563" w:rsidRDefault="0026677E" w:rsidP="0023582E">
            <w:pPr>
              <w:jc w:val="center"/>
              <w:rPr>
                <w:sz w:val="19"/>
                <w:szCs w:val="19"/>
              </w:rPr>
            </w:pPr>
            <w:r w:rsidRPr="000D3563">
              <w:rPr>
                <w:sz w:val="19"/>
                <w:szCs w:val="19"/>
              </w:rPr>
              <w:t>6.4%</w:t>
            </w:r>
          </w:p>
        </w:tc>
      </w:tr>
      <w:tr w:rsidR="00A874AC" w:rsidRPr="000D3563" w:rsidTr="000D3563">
        <w:trPr>
          <w:trHeight w:val="288"/>
        </w:trPr>
        <w:tc>
          <w:tcPr>
            <w:tcW w:w="4348" w:type="dxa"/>
            <w:shd w:val="clear" w:color="000000" w:fill="D2EAF1"/>
            <w:vAlign w:val="center"/>
          </w:tcPr>
          <w:p w:rsidR="0023582E" w:rsidRPr="000D3563" w:rsidRDefault="0023582E" w:rsidP="0023582E">
            <w:pPr>
              <w:jc w:val="left"/>
              <w:rPr>
                <w:sz w:val="19"/>
                <w:szCs w:val="19"/>
              </w:rPr>
            </w:pPr>
            <w:r w:rsidRPr="000D3563">
              <w:rPr>
                <w:sz w:val="19"/>
                <w:szCs w:val="19"/>
              </w:rPr>
              <w:t>Chemical Products EE</w:t>
            </w:r>
          </w:p>
        </w:tc>
        <w:tc>
          <w:tcPr>
            <w:tcW w:w="1251" w:type="dxa"/>
            <w:shd w:val="clear" w:color="000000" w:fill="D2EAF1"/>
            <w:vAlign w:val="center"/>
          </w:tcPr>
          <w:p w:rsidR="0023582E" w:rsidRPr="000D3563" w:rsidRDefault="0023582E" w:rsidP="0023582E">
            <w:pPr>
              <w:jc w:val="center"/>
              <w:rPr>
                <w:sz w:val="19"/>
                <w:szCs w:val="19"/>
              </w:rPr>
            </w:pPr>
            <w:r w:rsidRPr="000D3563">
              <w:rPr>
                <w:sz w:val="19"/>
                <w:szCs w:val="19"/>
              </w:rPr>
              <w:t>99%</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2%</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94</w:t>
            </w:r>
            <w:r w:rsidR="0026677E" w:rsidRPr="000D3563">
              <w:rPr>
                <w:sz w:val="19"/>
                <w:szCs w:val="19"/>
              </w:rPr>
              <w:t>%</w:t>
            </w:r>
          </w:p>
        </w:tc>
        <w:tc>
          <w:tcPr>
            <w:tcW w:w="1252" w:type="dxa"/>
            <w:shd w:val="clear" w:color="000000" w:fill="D2EAF1"/>
            <w:vAlign w:val="center"/>
          </w:tcPr>
          <w:p w:rsidR="0023582E" w:rsidRPr="000D3563" w:rsidRDefault="0026677E" w:rsidP="0023582E">
            <w:pPr>
              <w:jc w:val="center"/>
              <w:rPr>
                <w:sz w:val="19"/>
                <w:szCs w:val="19"/>
              </w:rPr>
            </w:pPr>
            <w:r w:rsidRPr="000D3563">
              <w:rPr>
                <w:sz w:val="19"/>
                <w:szCs w:val="19"/>
              </w:rPr>
              <w:t>6.4%</w:t>
            </w:r>
          </w:p>
        </w:tc>
      </w:tr>
      <w:tr w:rsidR="00A874AC" w:rsidRPr="000D3563" w:rsidTr="000D3563">
        <w:trPr>
          <w:trHeight w:val="288"/>
        </w:trPr>
        <w:tc>
          <w:tcPr>
            <w:tcW w:w="4348" w:type="dxa"/>
            <w:shd w:val="clear" w:color="000000" w:fill="FFFFFF"/>
            <w:vAlign w:val="center"/>
          </w:tcPr>
          <w:p w:rsidR="0023582E" w:rsidRPr="000D3563" w:rsidRDefault="0023582E" w:rsidP="0023582E">
            <w:pPr>
              <w:jc w:val="left"/>
              <w:rPr>
                <w:sz w:val="19"/>
                <w:szCs w:val="19"/>
              </w:rPr>
            </w:pPr>
            <w:r w:rsidRPr="000D3563">
              <w:rPr>
                <w:sz w:val="19"/>
                <w:szCs w:val="19"/>
              </w:rPr>
              <w:t>Mixed Industrial EE</w:t>
            </w:r>
          </w:p>
        </w:tc>
        <w:tc>
          <w:tcPr>
            <w:tcW w:w="1251" w:type="dxa"/>
            <w:shd w:val="clear" w:color="000000" w:fill="FFFFFF"/>
            <w:vAlign w:val="center"/>
          </w:tcPr>
          <w:p w:rsidR="0023582E" w:rsidRPr="000D3563" w:rsidRDefault="0023582E" w:rsidP="0023582E">
            <w:pPr>
              <w:jc w:val="center"/>
              <w:rPr>
                <w:sz w:val="19"/>
                <w:szCs w:val="19"/>
              </w:rPr>
            </w:pPr>
            <w:r w:rsidRPr="000D3563">
              <w:rPr>
                <w:sz w:val="19"/>
                <w:szCs w:val="19"/>
              </w:rPr>
              <w:t>99%</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2%</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94</w:t>
            </w:r>
            <w:r w:rsidR="0026677E" w:rsidRPr="000D3563">
              <w:rPr>
                <w:sz w:val="19"/>
                <w:szCs w:val="19"/>
              </w:rPr>
              <w:t>%</w:t>
            </w:r>
          </w:p>
        </w:tc>
        <w:tc>
          <w:tcPr>
            <w:tcW w:w="1252" w:type="dxa"/>
            <w:shd w:val="clear" w:color="000000" w:fill="FFFFFF"/>
            <w:vAlign w:val="center"/>
          </w:tcPr>
          <w:p w:rsidR="0023582E" w:rsidRPr="000D3563" w:rsidRDefault="0026677E" w:rsidP="0023582E">
            <w:pPr>
              <w:jc w:val="center"/>
              <w:rPr>
                <w:sz w:val="19"/>
                <w:szCs w:val="19"/>
              </w:rPr>
            </w:pPr>
            <w:r w:rsidRPr="000D3563">
              <w:rPr>
                <w:sz w:val="19"/>
                <w:szCs w:val="19"/>
              </w:rPr>
              <w:t>6.4%</w:t>
            </w:r>
          </w:p>
        </w:tc>
      </w:tr>
      <w:tr w:rsidR="00A874AC" w:rsidRPr="000D3563" w:rsidTr="000D3563">
        <w:trPr>
          <w:trHeight w:val="288"/>
        </w:trPr>
        <w:tc>
          <w:tcPr>
            <w:tcW w:w="4348" w:type="dxa"/>
            <w:shd w:val="clear" w:color="000000" w:fill="D2EAF1"/>
            <w:vAlign w:val="center"/>
          </w:tcPr>
          <w:p w:rsidR="0023582E" w:rsidRPr="000D3563" w:rsidRDefault="0023582E" w:rsidP="0023582E">
            <w:pPr>
              <w:jc w:val="left"/>
              <w:rPr>
                <w:sz w:val="19"/>
                <w:szCs w:val="19"/>
              </w:rPr>
            </w:pPr>
            <w:r w:rsidRPr="000D3563">
              <w:rPr>
                <w:sz w:val="19"/>
                <w:szCs w:val="19"/>
              </w:rPr>
              <w:t>Office Building – Large EE</w:t>
            </w:r>
          </w:p>
        </w:tc>
        <w:tc>
          <w:tcPr>
            <w:tcW w:w="1251" w:type="dxa"/>
            <w:shd w:val="clear" w:color="000000" w:fill="D2EAF1"/>
            <w:vAlign w:val="center"/>
          </w:tcPr>
          <w:p w:rsidR="0023582E" w:rsidRPr="000D3563" w:rsidRDefault="0023582E" w:rsidP="0023582E">
            <w:pPr>
              <w:jc w:val="center"/>
              <w:rPr>
                <w:sz w:val="19"/>
                <w:szCs w:val="19"/>
              </w:rPr>
            </w:pPr>
            <w:r w:rsidRPr="000D3563">
              <w:rPr>
                <w:sz w:val="19"/>
                <w:szCs w:val="19"/>
              </w:rPr>
              <w:t>103%</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4%</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113</w:t>
            </w:r>
            <w:r w:rsidR="0026677E" w:rsidRPr="000D3563">
              <w:rPr>
                <w:sz w:val="19"/>
                <w:szCs w:val="19"/>
              </w:rPr>
              <w:t>%</w:t>
            </w:r>
          </w:p>
        </w:tc>
        <w:tc>
          <w:tcPr>
            <w:tcW w:w="1252" w:type="dxa"/>
            <w:shd w:val="clear" w:color="000000" w:fill="D2EAF1"/>
            <w:vAlign w:val="center"/>
          </w:tcPr>
          <w:p w:rsidR="0023582E" w:rsidRPr="000D3563" w:rsidRDefault="0026677E" w:rsidP="0023582E">
            <w:pPr>
              <w:jc w:val="center"/>
              <w:rPr>
                <w:sz w:val="19"/>
                <w:szCs w:val="19"/>
              </w:rPr>
            </w:pPr>
            <w:r w:rsidRPr="000D3563">
              <w:rPr>
                <w:sz w:val="19"/>
                <w:szCs w:val="19"/>
              </w:rPr>
              <w:t>20.8%</w:t>
            </w:r>
          </w:p>
        </w:tc>
      </w:tr>
      <w:tr w:rsidR="00A874AC" w:rsidRPr="000D3563" w:rsidTr="000D3563">
        <w:trPr>
          <w:trHeight w:val="288"/>
        </w:trPr>
        <w:tc>
          <w:tcPr>
            <w:tcW w:w="4348" w:type="dxa"/>
            <w:shd w:val="clear" w:color="000000" w:fill="FFFFFF"/>
            <w:vAlign w:val="center"/>
          </w:tcPr>
          <w:p w:rsidR="0023582E" w:rsidRPr="000D3563" w:rsidRDefault="0023582E" w:rsidP="0023582E">
            <w:pPr>
              <w:jc w:val="left"/>
              <w:rPr>
                <w:sz w:val="19"/>
                <w:szCs w:val="19"/>
              </w:rPr>
            </w:pPr>
            <w:r w:rsidRPr="000D3563">
              <w:rPr>
                <w:sz w:val="19"/>
                <w:szCs w:val="19"/>
              </w:rPr>
              <w:t>Office Building – Small EE</w:t>
            </w:r>
          </w:p>
        </w:tc>
        <w:tc>
          <w:tcPr>
            <w:tcW w:w="1251" w:type="dxa"/>
            <w:shd w:val="clear" w:color="000000" w:fill="FFFFFF"/>
            <w:vAlign w:val="center"/>
          </w:tcPr>
          <w:p w:rsidR="0023582E" w:rsidRPr="000D3563" w:rsidRDefault="0023582E" w:rsidP="0023582E">
            <w:pPr>
              <w:jc w:val="center"/>
              <w:rPr>
                <w:sz w:val="19"/>
                <w:szCs w:val="19"/>
              </w:rPr>
            </w:pPr>
            <w:r w:rsidRPr="000D3563">
              <w:rPr>
                <w:sz w:val="19"/>
                <w:szCs w:val="19"/>
              </w:rPr>
              <w:t>103%</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4%</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113</w:t>
            </w:r>
            <w:r w:rsidR="0026677E" w:rsidRPr="000D3563">
              <w:rPr>
                <w:sz w:val="19"/>
                <w:szCs w:val="19"/>
              </w:rPr>
              <w:t>%</w:t>
            </w:r>
          </w:p>
        </w:tc>
        <w:tc>
          <w:tcPr>
            <w:tcW w:w="1252" w:type="dxa"/>
            <w:shd w:val="clear" w:color="000000" w:fill="FFFFFF"/>
            <w:vAlign w:val="center"/>
          </w:tcPr>
          <w:p w:rsidR="0023582E" w:rsidRPr="000D3563" w:rsidRDefault="0026677E" w:rsidP="0023582E">
            <w:pPr>
              <w:jc w:val="center"/>
              <w:rPr>
                <w:sz w:val="19"/>
                <w:szCs w:val="19"/>
              </w:rPr>
            </w:pPr>
            <w:r w:rsidRPr="000D3563">
              <w:rPr>
                <w:sz w:val="19"/>
                <w:szCs w:val="19"/>
              </w:rPr>
              <w:t>20.8%</w:t>
            </w:r>
          </w:p>
        </w:tc>
      </w:tr>
      <w:tr w:rsidR="00A874AC" w:rsidRPr="000D3563" w:rsidTr="000D3563">
        <w:trPr>
          <w:trHeight w:val="288"/>
        </w:trPr>
        <w:tc>
          <w:tcPr>
            <w:tcW w:w="4348" w:type="dxa"/>
            <w:shd w:val="clear" w:color="000000" w:fill="D2EAF1"/>
            <w:vAlign w:val="center"/>
          </w:tcPr>
          <w:p w:rsidR="0023582E" w:rsidRPr="000D3563" w:rsidRDefault="0023582E" w:rsidP="0023582E">
            <w:pPr>
              <w:jc w:val="left"/>
              <w:rPr>
                <w:sz w:val="19"/>
                <w:szCs w:val="19"/>
              </w:rPr>
            </w:pPr>
            <w:r w:rsidRPr="000D3563">
              <w:rPr>
                <w:sz w:val="19"/>
                <w:szCs w:val="19"/>
              </w:rPr>
              <w:t>Primary Metals EE</w:t>
            </w:r>
          </w:p>
        </w:tc>
        <w:tc>
          <w:tcPr>
            <w:tcW w:w="1251" w:type="dxa"/>
            <w:shd w:val="clear" w:color="000000" w:fill="D2EAF1"/>
            <w:vAlign w:val="center"/>
          </w:tcPr>
          <w:p w:rsidR="0023582E" w:rsidRPr="000D3563" w:rsidRDefault="0023582E" w:rsidP="0023582E">
            <w:pPr>
              <w:jc w:val="center"/>
              <w:rPr>
                <w:sz w:val="19"/>
                <w:szCs w:val="19"/>
              </w:rPr>
            </w:pPr>
            <w:r w:rsidRPr="000D3563">
              <w:rPr>
                <w:sz w:val="19"/>
                <w:szCs w:val="19"/>
              </w:rPr>
              <w:t>99%</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2%</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94</w:t>
            </w:r>
            <w:r w:rsidR="0026677E" w:rsidRPr="000D3563">
              <w:rPr>
                <w:sz w:val="19"/>
                <w:szCs w:val="19"/>
              </w:rPr>
              <w:t>%</w:t>
            </w:r>
          </w:p>
        </w:tc>
        <w:tc>
          <w:tcPr>
            <w:tcW w:w="1252" w:type="dxa"/>
            <w:shd w:val="clear" w:color="000000" w:fill="D2EAF1"/>
            <w:vAlign w:val="center"/>
          </w:tcPr>
          <w:p w:rsidR="0023582E" w:rsidRPr="000D3563" w:rsidRDefault="0026677E" w:rsidP="0023582E">
            <w:pPr>
              <w:jc w:val="center"/>
              <w:rPr>
                <w:sz w:val="19"/>
                <w:szCs w:val="19"/>
              </w:rPr>
            </w:pPr>
            <w:r w:rsidRPr="000D3563">
              <w:rPr>
                <w:sz w:val="19"/>
                <w:szCs w:val="19"/>
              </w:rPr>
              <w:t>6.4%</w:t>
            </w:r>
          </w:p>
        </w:tc>
      </w:tr>
      <w:tr w:rsidR="00A874AC" w:rsidRPr="000D3563" w:rsidTr="000D3563">
        <w:trPr>
          <w:trHeight w:val="288"/>
        </w:trPr>
        <w:tc>
          <w:tcPr>
            <w:tcW w:w="4348" w:type="dxa"/>
            <w:shd w:val="clear" w:color="000000" w:fill="FFFFFF"/>
            <w:vAlign w:val="center"/>
          </w:tcPr>
          <w:p w:rsidR="0023582E" w:rsidRPr="000D3563" w:rsidRDefault="0023582E" w:rsidP="0023582E">
            <w:pPr>
              <w:jc w:val="left"/>
              <w:rPr>
                <w:sz w:val="19"/>
                <w:szCs w:val="19"/>
              </w:rPr>
            </w:pPr>
            <w:r w:rsidRPr="000D3563">
              <w:rPr>
                <w:sz w:val="19"/>
                <w:szCs w:val="19"/>
              </w:rPr>
              <w:t>Public Agency / Non-Profit</w:t>
            </w:r>
          </w:p>
        </w:tc>
        <w:tc>
          <w:tcPr>
            <w:tcW w:w="1251" w:type="dxa"/>
            <w:shd w:val="clear" w:color="000000" w:fill="FFFFFF"/>
            <w:vAlign w:val="center"/>
          </w:tcPr>
          <w:p w:rsidR="0023582E" w:rsidRPr="000D3563" w:rsidRDefault="0023582E" w:rsidP="0023582E">
            <w:pPr>
              <w:jc w:val="center"/>
              <w:rPr>
                <w:sz w:val="19"/>
                <w:szCs w:val="19"/>
              </w:rPr>
            </w:pPr>
            <w:r w:rsidRPr="000D3563">
              <w:rPr>
                <w:sz w:val="19"/>
                <w:szCs w:val="19"/>
              </w:rPr>
              <w:t>85%</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10%</w:t>
            </w:r>
          </w:p>
        </w:tc>
        <w:tc>
          <w:tcPr>
            <w:tcW w:w="1252" w:type="dxa"/>
            <w:shd w:val="clear" w:color="000000" w:fill="FFFFFF"/>
            <w:vAlign w:val="center"/>
          </w:tcPr>
          <w:p w:rsidR="0023582E" w:rsidRPr="000D3563" w:rsidRDefault="0023582E" w:rsidP="0023582E">
            <w:pPr>
              <w:jc w:val="center"/>
              <w:rPr>
                <w:sz w:val="19"/>
                <w:szCs w:val="19"/>
              </w:rPr>
            </w:pPr>
            <w:r w:rsidRPr="000D3563">
              <w:rPr>
                <w:sz w:val="19"/>
                <w:szCs w:val="19"/>
              </w:rPr>
              <w:t>74</w:t>
            </w:r>
            <w:r w:rsidR="0026677E" w:rsidRPr="000D3563">
              <w:rPr>
                <w:sz w:val="19"/>
                <w:szCs w:val="19"/>
              </w:rPr>
              <w:t>%</w:t>
            </w:r>
          </w:p>
        </w:tc>
        <w:tc>
          <w:tcPr>
            <w:tcW w:w="1252" w:type="dxa"/>
            <w:shd w:val="clear" w:color="000000" w:fill="FFFFFF"/>
            <w:vAlign w:val="center"/>
          </w:tcPr>
          <w:p w:rsidR="0023582E" w:rsidRPr="000D3563" w:rsidRDefault="0026677E" w:rsidP="0023582E">
            <w:pPr>
              <w:jc w:val="center"/>
              <w:rPr>
                <w:sz w:val="19"/>
                <w:szCs w:val="19"/>
              </w:rPr>
            </w:pPr>
            <w:r w:rsidRPr="000D3563">
              <w:rPr>
                <w:sz w:val="19"/>
                <w:szCs w:val="19"/>
              </w:rPr>
              <w:t>28.0%</w:t>
            </w:r>
          </w:p>
        </w:tc>
      </w:tr>
      <w:tr w:rsidR="00A874AC" w:rsidRPr="000D3563" w:rsidTr="000D3563">
        <w:trPr>
          <w:trHeight w:val="288"/>
        </w:trPr>
        <w:tc>
          <w:tcPr>
            <w:tcW w:w="4348" w:type="dxa"/>
            <w:shd w:val="clear" w:color="000000" w:fill="D2EAF1"/>
            <w:vAlign w:val="center"/>
          </w:tcPr>
          <w:p w:rsidR="0023582E" w:rsidRPr="000D3563" w:rsidRDefault="0023582E" w:rsidP="0023582E">
            <w:pPr>
              <w:jc w:val="left"/>
              <w:rPr>
                <w:sz w:val="19"/>
                <w:szCs w:val="19"/>
              </w:rPr>
            </w:pPr>
            <w:r w:rsidRPr="000D3563">
              <w:rPr>
                <w:sz w:val="19"/>
                <w:szCs w:val="19"/>
              </w:rPr>
              <w:t>Retail Stores – Small EE</w:t>
            </w:r>
          </w:p>
        </w:tc>
        <w:tc>
          <w:tcPr>
            <w:tcW w:w="1251" w:type="dxa"/>
            <w:shd w:val="clear" w:color="000000" w:fill="D2EAF1"/>
            <w:vAlign w:val="center"/>
          </w:tcPr>
          <w:p w:rsidR="0023582E" w:rsidRPr="000D3563" w:rsidRDefault="0023582E" w:rsidP="0023582E">
            <w:pPr>
              <w:jc w:val="center"/>
              <w:rPr>
                <w:sz w:val="19"/>
                <w:szCs w:val="19"/>
              </w:rPr>
            </w:pPr>
            <w:r w:rsidRPr="000D3563">
              <w:rPr>
                <w:sz w:val="19"/>
                <w:szCs w:val="19"/>
              </w:rPr>
              <w:t>103%</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4%</w:t>
            </w:r>
          </w:p>
        </w:tc>
        <w:tc>
          <w:tcPr>
            <w:tcW w:w="1252" w:type="dxa"/>
            <w:shd w:val="clear" w:color="000000" w:fill="D2EAF1"/>
            <w:vAlign w:val="center"/>
          </w:tcPr>
          <w:p w:rsidR="0023582E" w:rsidRPr="000D3563" w:rsidRDefault="0023582E" w:rsidP="0023582E">
            <w:pPr>
              <w:jc w:val="center"/>
              <w:rPr>
                <w:sz w:val="19"/>
                <w:szCs w:val="19"/>
              </w:rPr>
            </w:pPr>
            <w:r w:rsidRPr="000D3563">
              <w:rPr>
                <w:sz w:val="19"/>
                <w:szCs w:val="19"/>
              </w:rPr>
              <w:t>113</w:t>
            </w:r>
            <w:r w:rsidR="0026677E" w:rsidRPr="000D3563">
              <w:rPr>
                <w:sz w:val="19"/>
                <w:szCs w:val="19"/>
              </w:rPr>
              <w:t>%</w:t>
            </w:r>
          </w:p>
        </w:tc>
        <w:tc>
          <w:tcPr>
            <w:tcW w:w="1252" w:type="dxa"/>
            <w:shd w:val="clear" w:color="000000" w:fill="D2EAF1"/>
            <w:vAlign w:val="center"/>
          </w:tcPr>
          <w:p w:rsidR="0023582E" w:rsidRPr="000D3563" w:rsidRDefault="0026677E" w:rsidP="0023582E">
            <w:pPr>
              <w:jc w:val="center"/>
              <w:rPr>
                <w:sz w:val="19"/>
                <w:szCs w:val="19"/>
              </w:rPr>
            </w:pPr>
            <w:r w:rsidRPr="000D3563">
              <w:rPr>
                <w:sz w:val="19"/>
                <w:szCs w:val="19"/>
              </w:rPr>
              <w:t>20.8%</w:t>
            </w:r>
          </w:p>
        </w:tc>
      </w:tr>
      <w:tr w:rsidR="00E7173E" w:rsidRPr="000D3563" w:rsidTr="000D3563">
        <w:trPr>
          <w:trHeight w:val="288"/>
        </w:trPr>
        <w:tc>
          <w:tcPr>
            <w:tcW w:w="4348" w:type="dxa"/>
            <w:shd w:val="clear" w:color="auto" w:fill="auto"/>
            <w:vAlign w:val="center"/>
          </w:tcPr>
          <w:p w:rsidR="0023582E" w:rsidRPr="000D3563" w:rsidRDefault="0023582E" w:rsidP="00AC55E9">
            <w:pPr>
              <w:jc w:val="left"/>
              <w:rPr>
                <w:sz w:val="19"/>
                <w:szCs w:val="19"/>
              </w:rPr>
            </w:pPr>
            <w:r w:rsidRPr="000D3563">
              <w:rPr>
                <w:sz w:val="19"/>
                <w:szCs w:val="19"/>
              </w:rPr>
              <w:t>Retail Stores – Large EE</w:t>
            </w:r>
          </w:p>
        </w:tc>
        <w:tc>
          <w:tcPr>
            <w:tcW w:w="1251" w:type="dxa"/>
            <w:shd w:val="clear" w:color="auto" w:fill="auto"/>
            <w:vAlign w:val="center"/>
          </w:tcPr>
          <w:p w:rsidR="0023582E" w:rsidRPr="000D3563" w:rsidRDefault="0023582E" w:rsidP="00AC55E9">
            <w:pPr>
              <w:jc w:val="center"/>
              <w:rPr>
                <w:sz w:val="19"/>
                <w:szCs w:val="19"/>
              </w:rPr>
            </w:pPr>
            <w:r w:rsidRPr="000D3563">
              <w:rPr>
                <w:sz w:val="19"/>
                <w:szCs w:val="19"/>
              </w:rPr>
              <w:t>103%</w:t>
            </w:r>
          </w:p>
        </w:tc>
        <w:tc>
          <w:tcPr>
            <w:tcW w:w="1252" w:type="dxa"/>
            <w:shd w:val="clear" w:color="auto" w:fill="auto"/>
            <w:vAlign w:val="center"/>
          </w:tcPr>
          <w:p w:rsidR="0023582E" w:rsidRPr="000D3563" w:rsidRDefault="0023582E" w:rsidP="00AC55E9">
            <w:pPr>
              <w:jc w:val="center"/>
              <w:rPr>
                <w:sz w:val="19"/>
                <w:szCs w:val="19"/>
              </w:rPr>
            </w:pPr>
            <w:r w:rsidRPr="000D3563">
              <w:rPr>
                <w:sz w:val="19"/>
                <w:szCs w:val="19"/>
              </w:rPr>
              <w:t>4%</w:t>
            </w:r>
          </w:p>
        </w:tc>
        <w:tc>
          <w:tcPr>
            <w:tcW w:w="1252" w:type="dxa"/>
            <w:shd w:val="clear" w:color="auto" w:fill="auto"/>
            <w:vAlign w:val="center"/>
          </w:tcPr>
          <w:p w:rsidR="0023582E" w:rsidRPr="000D3563" w:rsidRDefault="0026677E" w:rsidP="00AC55E9">
            <w:pPr>
              <w:jc w:val="center"/>
              <w:rPr>
                <w:sz w:val="19"/>
                <w:szCs w:val="19"/>
              </w:rPr>
            </w:pPr>
            <w:r w:rsidRPr="000D3563">
              <w:rPr>
                <w:sz w:val="19"/>
                <w:szCs w:val="19"/>
              </w:rPr>
              <w:t>113%</w:t>
            </w:r>
          </w:p>
        </w:tc>
        <w:tc>
          <w:tcPr>
            <w:tcW w:w="1252" w:type="dxa"/>
            <w:shd w:val="clear" w:color="auto" w:fill="auto"/>
            <w:vAlign w:val="center"/>
          </w:tcPr>
          <w:p w:rsidR="0023582E" w:rsidRPr="000D3563" w:rsidRDefault="0026677E" w:rsidP="00AC55E9">
            <w:pPr>
              <w:jc w:val="center"/>
              <w:rPr>
                <w:sz w:val="19"/>
                <w:szCs w:val="19"/>
              </w:rPr>
            </w:pPr>
            <w:r w:rsidRPr="000D3563">
              <w:rPr>
                <w:sz w:val="19"/>
                <w:szCs w:val="19"/>
              </w:rPr>
              <w:t>20.8%</w:t>
            </w:r>
          </w:p>
        </w:tc>
      </w:tr>
      <w:tr w:rsidR="00A874AC" w:rsidRPr="000D3563" w:rsidTr="000D3563">
        <w:trPr>
          <w:trHeight w:val="288"/>
        </w:trPr>
        <w:tc>
          <w:tcPr>
            <w:tcW w:w="4348" w:type="dxa"/>
            <w:shd w:val="clear" w:color="auto" w:fill="D2EAF1"/>
            <w:vAlign w:val="center"/>
          </w:tcPr>
          <w:p w:rsidR="0026677E" w:rsidRPr="000D3563" w:rsidRDefault="0026677E" w:rsidP="00AC55E9">
            <w:pPr>
              <w:jc w:val="left"/>
              <w:rPr>
                <w:sz w:val="19"/>
                <w:szCs w:val="19"/>
              </w:rPr>
            </w:pPr>
            <w:r w:rsidRPr="000D3563">
              <w:rPr>
                <w:sz w:val="19"/>
                <w:szCs w:val="19"/>
              </w:rPr>
              <w:t>Multifamily Housing Retrofit</w:t>
            </w:r>
          </w:p>
        </w:tc>
        <w:tc>
          <w:tcPr>
            <w:tcW w:w="1251" w:type="dxa"/>
            <w:shd w:val="clear" w:color="auto" w:fill="D2EAF1"/>
            <w:vAlign w:val="center"/>
          </w:tcPr>
          <w:p w:rsidR="0026677E" w:rsidRPr="000D3563" w:rsidRDefault="0026677E" w:rsidP="00AC55E9">
            <w:pPr>
              <w:jc w:val="center"/>
              <w:rPr>
                <w:sz w:val="19"/>
                <w:szCs w:val="19"/>
              </w:rPr>
            </w:pPr>
            <w:r w:rsidRPr="000D3563">
              <w:rPr>
                <w:sz w:val="19"/>
                <w:szCs w:val="19"/>
              </w:rPr>
              <w:t>85%</w:t>
            </w:r>
          </w:p>
        </w:tc>
        <w:tc>
          <w:tcPr>
            <w:tcW w:w="1252" w:type="dxa"/>
            <w:shd w:val="clear" w:color="auto" w:fill="D2EAF1"/>
            <w:vAlign w:val="center"/>
          </w:tcPr>
          <w:p w:rsidR="0026677E" w:rsidRPr="000D3563" w:rsidRDefault="0026677E" w:rsidP="00AC55E9">
            <w:pPr>
              <w:jc w:val="center"/>
              <w:rPr>
                <w:sz w:val="19"/>
                <w:szCs w:val="19"/>
              </w:rPr>
            </w:pPr>
            <w:r w:rsidRPr="000D3563">
              <w:rPr>
                <w:sz w:val="19"/>
                <w:szCs w:val="19"/>
              </w:rPr>
              <w:t>10%</w:t>
            </w:r>
          </w:p>
        </w:tc>
        <w:tc>
          <w:tcPr>
            <w:tcW w:w="1252" w:type="dxa"/>
            <w:shd w:val="clear" w:color="auto" w:fill="D2EAF1"/>
            <w:vAlign w:val="center"/>
          </w:tcPr>
          <w:p w:rsidR="0026677E" w:rsidRPr="000D3563" w:rsidRDefault="0026677E" w:rsidP="00AC55E9">
            <w:pPr>
              <w:jc w:val="center"/>
              <w:rPr>
                <w:sz w:val="19"/>
                <w:szCs w:val="19"/>
              </w:rPr>
            </w:pPr>
            <w:r w:rsidRPr="000D3563">
              <w:rPr>
                <w:sz w:val="19"/>
                <w:szCs w:val="19"/>
              </w:rPr>
              <w:t>74%</w:t>
            </w:r>
          </w:p>
        </w:tc>
        <w:tc>
          <w:tcPr>
            <w:tcW w:w="1252" w:type="dxa"/>
            <w:shd w:val="clear" w:color="auto" w:fill="D2EAF1"/>
            <w:vAlign w:val="center"/>
          </w:tcPr>
          <w:p w:rsidR="0026677E" w:rsidRPr="000D3563" w:rsidRDefault="0026677E" w:rsidP="00AC55E9">
            <w:pPr>
              <w:jc w:val="center"/>
              <w:rPr>
                <w:sz w:val="19"/>
                <w:szCs w:val="19"/>
              </w:rPr>
            </w:pPr>
            <w:r w:rsidRPr="000D3563">
              <w:rPr>
                <w:sz w:val="19"/>
                <w:szCs w:val="19"/>
              </w:rPr>
              <w:t>28.8%</w:t>
            </w:r>
          </w:p>
        </w:tc>
      </w:tr>
      <w:tr w:rsidR="00E7173E" w:rsidRPr="000D3563" w:rsidTr="000D3563">
        <w:trPr>
          <w:trHeight w:val="288"/>
        </w:trPr>
        <w:tc>
          <w:tcPr>
            <w:tcW w:w="4348" w:type="dxa"/>
            <w:shd w:val="clear" w:color="auto" w:fill="auto"/>
            <w:vAlign w:val="center"/>
          </w:tcPr>
          <w:p w:rsidR="0026677E" w:rsidRPr="000D3563" w:rsidRDefault="0026677E" w:rsidP="00AC55E9">
            <w:pPr>
              <w:jc w:val="left"/>
              <w:rPr>
                <w:sz w:val="19"/>
                <w:szCs w:val="19"/>
              </w:rPr>
            </w:pPr>
            <w:r w:rsidRPr="000D3563">
              <w:rPr>
                <w:sz w:val="19"/>
                <w:szCs w:val="19"/>
              </w:rPr>
              <w:t>Small Commercial Direct Install</w:t>
            </w:r>
          </w:p>
        </w:tc>
        <w:tc>
          <w:tcPr>
            <w:tcW w:w="1251" w:type="dxa"/>
            <w:shd w:val="clear" w:color="auto" w:fill="auto"/>
            <w:vAlign w:val="center"/>
          </w:tcPr>
          <w:p w:rsidR="0026677E" w:rsidRPr="000D3563" w:rsidRDefault="0026677E" w:rsidP="00AC55E9">
            <w:pPr>
              <w:jc w:val="center"/>
              <w:rPr>
                <w:sz w:val="19"/>
                <w:szCs w:val="19"/>
              </w:rPr>
            </w:pPr>
            <w:r w:rsidRPr="000D3563">
              <w:rPr>
                <w:sz w:val="19"/>
                <w:szCs w:val="19"/>
              </w:rPr>
              <w:t>103%</w:t>
            </w:r>
          </w:p>
        </w:tc>
        <w:tc>
          <w:tcPr>
            <w:tcW w:w="1252" w:type="dxa"/>
            <w:shd w:val="clear" w:color="auto" w:fill="auto"/>
            <w:vAlign w:val="center"/>
          </w:tcPr>
          <w:p w:rsidR="0026677E" w:rsidRPr="000D3563" w:rsidRDefault="0026677E" w:rsidP="00AC55E9">
            <w:pPr>
              <w:jc w:val="center"/>
              <w:rPr>
                <w:sz w:val="19"/>
                <w:szCs w:val="19"/>
              </w:rPr>
            </w:pPr>
            <w:r w:rsidRPr="000D3563">
              <w:rPr>
                <w:sz w:val="19"/>
                <w:szCs w:val="19"/>
              </w:rPr>
              <w:t>4%</w:t>
            </w:r>
          </w:p>
        </w:tc>
        <w:tc>
          <w:tcPr>
            <w:tcW w:w="1252" w:type="dxa"/>
            <w:shd w:val="clear" w:color="auto" w:fill="auto"/>
            <w:vAlign w:val="center"/>
          </w:tcPr>
          <w:p w:rsidR="0026677E" w:rsidRPr="000D3563" w:rsidRDefault="0026677E" w:rsidP="00AC55E9">
            <w:pPr>
              <w:jc w:val="center"/>
              <w:rPr>
                <w:sz w:val="19"/>
                <w:szCs w:val="19"/>
              </w:rPr>
            </w:pPr>
            <w:r w:rsidRPr="000D3563">
              <w:rPr>
                <w:sz w:val="19"/>
                <w:szCs w:val="19"/>
              </w:rPr>
              <w:t>113%</w:t>
            </w:r>
          </w:p>
        </w:tc>
        <w:tc>
          <w:tcPr>
            <w:tcW w:w="1252" w:type="dxa"/>
            <w:shd w:val="clear" w:color="auto" w:fill="auto"/>
            <w:vAlign w:val="center"/>
          </w:tcPr>
          <w:p w:rsidR="0026677E" w:rsidRPr="000D3563" w:rsidRDefault="0026677E" w:rsidP="00AC55E9">
            <w:pPr>
              <w:jc w:val="center"/>
              <w:rPr>
                <w:sz w:val="19"/>
                <w:szCs w:val="19"/>
              </w:rPr>
            </w:pPr>
            <w:r w:rsidRPr="000D3563">
              <w:rPr>
                <w:sz w:val="19"/>
                <w:szCs w:val="19"/>
              </w:rPr>
              <w:t>20.8%</w:t>
            </w:r>
          </w:p>
        </w:tc>
      </w:tr>
      <w:tr w:rsidR="00E7173E" w:rsidRPr="004F3A51" w:rsidTr="000D3563">
        <w:trPr>
          <w:trHeight w:val="346"/>
        </w:trPr>
        <w:tc>
          <w:tcPr>
            <w:tcW w:w="9355" w:type="dxa"/>
            <w:gridSpan w:val="5"/>
            <w:shd w:val="clear" w:color="auto" w:fill="448A99"/>
            <w:vAlign w:val="center"/>
          </w:tcPr>
          <w:p w:rsidR="0001310B" w:rsidRPr="004F3A51" w:rsidRDefault="0001310B" w:rsidP="00AC55E9">
            <w:pPr>
              <w:jc w:val="left"/>
              <w:rPr>
                <w:bCs/>
                <w:color w:val="FFFFFF"/>
                <w:sz w:val="18"/>
                <w:szCs w:val="19"/>
              </w:rPr>
            </w:pPr>
            <w:r w:rsidRPr="004F3A51">
              <w:rPr>
                <w:bCs/>
                <w:color w:val="FFFFFF"/>
                <w:sz w:val="18"/>
                <w:szCs w:val="19"/>
              </w:rPr>
              <w:t>NOTE</w:t>
            </w:r>
            <w:r w:rsidR="000D3563" w:rsidRPr="004F3A51">
              <w:rPr>
                <w:bCs/>
                <w:color w:val="FFFFFF"/>
                <w:sz w:val="18"/>
                <w:szCs w:val="19"/>
              </w:rPr>
              <w:t>S</w:t>
            </w:r>
            <w:r w:rsidR="00686718" w:rsidRPr="004F3A51">
              <w:rPr>
                <w:bCs/>
                <w:color w:val="FFFFFF"/>
                <w:sz w:val="18"/>
                <w:szCs w:val="19"/>
              </w:rPr>
              <w:t>:</w:t>
            </w:r>
          </w:p>
          <w:p w:rsidR="0001310B" w:rsidRPr="004F3A51" w:rsidRDefault="0001310B" w:rsidP="00AC55E9">
            <w:pPr>
              <w:jc w:val="left"/>
              <w:rPr>
                <w:bCs/>
                <w:color w:val="FFFFFF"/>
                <w:sz w:val="18"/>
                <w:szCs w:val="19"/>
              </w:rPr>
            </w:pPr>
            <w:r w:rsidRPr="004F3A51">
              <w:rPr>
                <w:color w:val="FFFFFF"/>
                <w:sz w:val="18"/>
                <w:szCs w:val="19"/>
                <w:vertAlign w:val="superscript"/>
              </w:rPr>
              <w:t>[a]</w:t>
            </w:r>
            <w:r w:rsidRPr="004F3A51">
              <w:rPr>
                <w:sz w:val="18"/>
                <w:szCs w:val="19"/>
              </w:rPr>
              <w:t xml:space="preserve"> </w:t>
            </w:r>
            <w:r w:rsidRPr="004F3A51">
              <w:rPr>
                <w:bCs/>
                <w:color w:val="FFFFFF"/>
                <w:sz w:val="18"/>
                <w:szCs w:val="19"/>
              </w:rPr>
              <w:t>Commercial portion of upstream lighting program is shown separately, as in the Duquesne PY7 annual report.</w:t>
            </w:r>
          </w:p>
          <w:p w:rsidR="0026677E" w:rsidRPr="004F3A51" w:rsidRDefault="0026677E" w:rsidP="00AC55E9">
            <w:pPr>
              <w:jc w:val="left"/>
              <w:rPr>
                <w:color w:val="000000"/>
                <w:sz w:val="18"/>
                <w:szCs w:val="19"/>
              </w:rPr>
            </w:pPr>
            <w:r w:rsidRPr="004F3A51">
              <w:rPr>
                <w:bCs/>
                <w:color w:val="FFFFFF"/>
                <w:sz w:val="18"/>
                <w:szCs w:val="19"/>
                <w:vertAlign w:val="superscript"/>
              </w:rPr>
              <w:t>[b]</w:t>
            </w:r>
            <w:r w:rsidRPr="004F3A51">
              <w:rPr>
                <w:bCs/>
                <w:color w:val="FFFFFF"/>
                <w:sz w:val="18"/>
                <w:szCs w:val="19"/>
              </w:rPr>
              <w:t xml:space="preserve"> PY7 precision estimates are at the 85% confidence level.</w:t>
            </w:r>
          </w:p>
        </w:tc>
      </w:tr>
    </w:tbl>
    <w:p w:rsidR="008B45A8" w:rsidRPr="00C630A7" w:rsidRDefault="008B45A8" w:rsidP="00C630A7"/>
    <w:p w:rsidR="0001310B" w:rsidRDefault="0001310B" w:rsidP="0001310B">
      <w:pPr>
        <w:autoSpaceDE w:val="0"/>
        <w:autoSpaceDN w:val="0"/>
        <w:adjustRightInd w:val="0"/>
      </w:pPr>
      <w:r w:rsidRPr="00D6603C">
        <w:t xml:space="preserve">The Duquesne residential programs saw improved results for both energy and demand realization rates in PY7 relative to PY6, and the overall residential </w:t>
      </w:r>
      <w:r>
        <w:t xml:space="preserve">energy </w:t>
      </w:r>
      <w:r w:rsidRPr="00D6603C">
        <w:t>realization rate increased slightly again for the third year in a row, from 98% in PY5 to 99% in PY6 to 100% in PY7</w:t>
      </w:r>
      <w:r>
        <w:t xml:space="preserve">. </w:t>
      </w:r>
      <w:r w:rsidRPr="00F65B02">
        <w:t xml:space="preserve">Realization rates for energy savings from Duquesne’s residential programs </w:t>
      </w:r>
      <w:r>
        <w:t xml:space="preserve">in PY7 </w:t>
      </w:r>
      <w:r w:rsidRPr="00F65B02">
        <w:t>range</w:t>
      </w:r>
      <w:r>
        <w:t>d</w:t>
      </w:r>
      <w:r w:rsidRPr="00F65B02">
        <w:t xml:space="preserve"> from a low of 66% (School Energy Pledge) to a high of 10</w:t>
      </w:r>
      <w:r w:rsidR="00A04A88">
        <w:t>2</w:t>
      </w:r>
      <w:r w:rsidRPr="00F65B02">
        <w:t>% (</w:t>
      </w:r>
      <w:r w:rsidR="00A04A88">
        <w:t>Low-Income Home Energy Reports</w:t>
      </w:r>
      <w:r w:rsidRPr="00F65B02">
        <w:t>).</w:t>
      </w:r>
      <w:r>
        <w:t xml:space="preserve"> </w:t>
      </w:r>
      <w:r w:rsidRPr="00D6603C">
        <w:t>Realization rates for demand reductions range</w:t>
      </w:r>
      <w:r>
        <w:t>d</w:t>
      </w:r>
      <w:r w:rsidRPr="00D6603C">
        <w:t xml:space="preserve"> from 71% (School Energy Pledge) to 102% (Upstream Lighting).</w:t>
      </w:r>
      <w:r>
        <w:t xml:space="preserve"> The consistently low realization rates for Duquesne’s residential School Energy Pledge and REEP kits programs can be attributed to the consistently lower installation rates for the equipment included in the kits.</w:t>
      </w:r>
    </w:p>
    <w:p w:rsidR="0001310B" w:rsidRDefault="0001310B" w:rsidP="0001310B">
      <w:pPr>
        <w:autoSpaceDE w:val="0"/>
        <w:autoSpaceDN w:val="0"/>
        <w:adjustRightInd w:val="0"/>
      </w:pPr>
    </w:p>
    <w:p w:rsidR="0001310B" w:rsidRDefault="0001310B" w:rsidP="0001310B">
      <w:pPr>
        <w:autoSpaceDE w:val="0"/>
        <w:autoSpaceDN w:val="0"/>
        <w:adjustRightInd w:val="0"/>
        <w:rPr>
          <w:rFonts w:cs="Calibri"/>
        </w:rPr>
      </w:pPr>
      <w:r w:rsidRPr="00216E27">
        <w:t xml:space="preserve">Neither Navigant nor Duquesne (nor Duquesne’s CSP) administered any on-site inspections for the residential program M&amp;V process. Per Duquesne’s EM&amp;V Plan, Section 3.2, the basic level of verification rigor was to be used for TRM deemed savings measures and </w:t>
      </w:r>
      <w:r>
        <w:t xml:space="preserve">for </w:t>
      </w:r>
      <w:r w:rsidRPr="00216E27">
        <w:t>measures with rebates</w:t>
      </w:r>
      <w:r>
        <w:t xml:space="preserve"> of</w:t>
      </w:r>
      <w:r w:rsidRPr="00216E27">
        <w:t xml:space="preserve"> less than $2,000. The basic level of verification rigor included a telephone survey of a random sample of participants to verify participation and installation (except for the Upstream Lighting Program, where end-use customer participant information </w:t>
      </w:r>
      <w:r>
        <w:t>was</w:t>
      </w:r>
      <w:r w:rsidRPr="00216E27">
        <w:t xml:space="preserve"> unavailable).</w:t>
      </w:r>
      <w:r>
        <w:t xml:space="preserve"> </w:t>
      </w:r>
      <w:r>
        <w:fldChar w:fldCharType="begin"/>
      </w:r>
      <w:r>
        <w:instrText xml:space="preserve"> REF _Ref472363066 \h </w:instrText>
      </w:r>
      <w:r>
        <w:fldChar w:fldCharType="separate"/>
      </w:r>
      <w:r w:rsidR="00037CB4">
        <w:t>Table A-</w:t>
      </w:r>
      <w:r w:rsidR="00037CB4">
        <w:rPr>
          <w:noProof/>
        </w:rPr>
        <w:t>8</w:t>
      </w:r>
      <w:r>
        <w:fldChar w:fldCharType="end"/>
      </w:r>
      <w:r w:rsidRPr="00216E27">
        <w:t xml:space="preserve"> presents an overview of the M&amp;V verification process and findings</w:t>
      </w:r>
      <w:r>
        <w:t xml:space="preserve"> for residential programs</w:t>
      </w:r>
      <w:r w:rsidRPr="00216E27">
        <w:rPr>
          <w:rFonts w:cs="Calibri"/>
        </w:rPr>
        <w:t>.</w:t>
      </w:r>
    </w:p>
    <w:p w:rsidR="0001310B" w:rsidRDefault="0001310B" w:rsidP="0001310B">
      <w:pPr>
        <w:autoSpaceDE w:val="0"/>
        <w:autoSpaceDN w:val="0"/>
        <w:adjustRightInd w:val="0"/>
        <w:rPr>
          <w:rFonts w:cs="Calibri"/>
        </w:rPr>
      </w:pPr>
    </w:p>
    <w:p w:rsidR="0001310B" w:rsidRDefault="0001310B" w:rsidP="004837FA">
      <w:pPr>
        <w:pStyle w:val="Caption"/>
        <w:rPr>
          <w:rFonts w:cs="Calibri"/>
        </w:rPr>
      </w:pPr>
      <w:bookmarkStart w:id="521" w:name="_Ref472363066"/>
      <w:bookmarkStart w:id="522" w:name="_Toc472472417"/>
      <w:bookmarkStart w:id="523" w:name="_Toc488741836"/>
      <w:r>
        <w:t>Table A-</w:t>
      </w:r>
      <w:r w:rsidR="007973A4">
        <w:fldChar w:fldCharType="begin"/>
      </w:r>
      <w:r w:rsidR="007973A4">
        <w:instrText xml:space="preserve"> SEQ Table_A- \* ARABIC </w:instrText>
      </w:r>
      <w:r w:rsidR="007973A4">
        <w:fldChar w:fldCharType="separate"/>
      </w:r>
      <w:r w:rsidR="00037CB4">
        <w:rPr>
          <w:noProof/>
        </w:rPr>
        <w:t>8</w:t>
      </w:r>
      <w:r w:rsidR="007973A4">
        <w:rPr>
          <w:noProof/>
        </w:rPr>
        <w:fldChar w:fldCharType="end"/>
      </w:r>
      <w:bookmarkEnd w:id="521"/>
      <w:r>
        <w:t xml:space="preserve">: </w:t>
      </w:r>
      <w:r w:rsidRPr="0001310B">
        <w:t>Overview of Duquesne Residential Program M&amp;V and Installation Rate</w:t>
      </w:r>
      <w:bookmarkEnd w:id="522"/>
      <w:bookmarkEnd w:id="523"/>
    </w:p>
    <w:tbl>
      <w:tblPr>
        <w:tblW w:w="944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15"/>
        <w:gridCol w:w="1566"/>
        <w:gridCol w:w="1566"/>
        <w:gridCol w:w="1566"/>
        <w:gridCol w:w="1566"/>
        <w:gridCol w:w="1566"/>
      </w:tblGrid>
      <w:tr w:rsidR="00A874AC" w:rsidRPr="0055598C" w:rsidTr="0055598C">
        <w:trPr>
          <w:trHeight w:val="720"/>
          <w:tblHeader/>
        </w:trPr>
        <w:tc>
          <w:tcPr>
            <w:tcW w:w="1615" w:type="dxa"/>
            <w:shd w:val="clear" w:color="auto" w:fill="448A99"/>
            <w:noWrap/>
            <w:vAlign w:val="bottom"/>
            <w:hideMark/>
          </w:tcPr>
          <w:p w:rsidR="0001310B" w:rsidRPr="0055598C" w:rsidRDefault="0001310B" w:rsidP="00AC55E9">
            <w:pPr>
              <w:jc w:val="left"/>
              <w:rPr>
                <w:b/>
                <w:color w:val="FFFFFF"/>
                <w:sz w:val="19"/>
                <w:szCs w:val="19"/>
              </w:rPr>
            </w:pPr>
            <w:r w:rsidRPr="0055598C">
              <w:rPr>
                <w:b/>
                <w:color w:val="FFFFFF"/>
                <w:sz w:val="19"/>
                <w:szCs w:val="19"/>
              </w:rPr>
              <w:t>Program</w:t>
            </w:r>
          </w:p>
        </w:tc>
        <w:tc>
          <w:tcPr>
            <w:tcW w:w="1566" w:type="dxa"/>
            <w:shd w:val="clear" w:color="auto" w:fill="448A99"/>
            <w:noWrap/>
            <w:vAlign w:val="bottom"/>
            <w:hideMark/>
          </w:tcPr>
          <w:p w:rsidR="0001310B" w:rsidRPr="0055598C" w:rsidRDefault="0001310B" w:rsidP="00AC55E9">
            <w:pPr>
              <w:jc w:val="center"/>
              <w:rPr>
                <w:b/>
                <w:color w:val="FFFFFF"/>
                <w:sz w:val="19"/>
                <w:szCs w:val="19"/>
              </w:rPr>
            </w:pPr>
            <w:r w:rsidRPr="0055598C">
              <w:rPr>
                <w:b/>
                <w:color w:val="FFFFFF"/>
                <w:sz w:val="19"/>
                <w:szCs w:val="19"/>
              </w:rPr>
              <w:t>Component</w:t>
            </w:r>
          </w:p>
        </w:tc>
        <w:tc>
          <w:tcPr>
            <w:tcW w:w="1566" w:type="dxa"/>
            <w:shd w:val="clear" w:color="auto" w:fill="448A99"/>
            <w:vAlign w:val="bottom"/>
            <w:hideMark/>
          </w:tcPr>
          <w:p w:rsidR="0001310B" w:rsidRPr="0055598C" w:rsidRDefault="0001310B" w:rsidP="00AC55E9">
            <w:pPr>
              <w:jc w:val="center"/>
              <w:rPr>
                <w:b/>
                <w:color w:val="FFFFFF"/>
                <w:sz w:val="19"/>
                <w:szCs w:val="19"/>
              </w:rPr>
            </w:pPr>
            <w:r w:rsidRPr="0055598C">
              <w:rPr>
                <w:b/>
                <w:color w:val="FFFFFF"/>
                <w:sz w:val="19"/>
                <w:szCs w:val="19"/>
              </w:rPr>
              <w:t>Inspections Entity (CSP, EDC, M&amp;V, Other)</w:t>
            </w:r>
          </w:p>
        </w:tc>
        <w:tc>
          <w:tcPr>
            <w:tcW w:w="1566" w:type="dxa"/>
            <w:shd w:val="clear" w:color="auto" w:fill="448A99"/>
            <w:vAlign w:val="bottom"/>
            <w:hideMark/>
          </w:tcPr>
          <w:p w:rsidR="0001310B" w:rsidRPr="0055598C" w:rsidRDefault="0001310B" w:rsidP="00AC55E9">
            <w:pPr>
              <w:jc w:val="center"/>
              <w:rPr>
                <w:b/>
                <w:color w:val="FFFFFF"/>
                <w:sz w:val="19"/>
                <w:szCs w:val="19"/>
              </w:rPr>
            </w:pPr>
            <w:r w:rsidRPr="0055598C">
              <w:rPr>
                <w:b/>
                <w:color w:val="FFFFFF"/>
                <w:sz w:val="19"/>
                <w:szCs w:val="19"/>
              </w:rPr>
              <w:t>Telephone or On-Site</w:t>
            </w:r>
          </w:p>
        </w:tc>
        <w:tc>
          <w:tcPr>
            <w:tcW w:w="1566" w:type="dxa"/>
            <w:shd w:val="clear" w:color="auto" w:fill="448A99"/>
            <w:noWrap/>
            <w:vAlign w:val="bottom"/>
            <w:hideMark/>
          </w:tcPr>
          <w:p w:rsidR="0001310B" w:rsidRPr="0055598C" w:rsidRDefault="0001310B" w:rsidP="00AC55E9">
            <w:pPr>
              <w:jc w:val="center"/>
              <w:rPr>
                <w:b/>
                <w:color w:val="FFFFFF"/>
                <w:sz w:val="19"/>
                <w:szCs w:val="19"/>
              </w:rPr>
            </w:pPr>
            <w:r w:rsidRPr="0055598C">
              <w:rPr>
                <w:b/>
                <w:color w:val="FFFFFF"/>
                <w:sz w:val="19"/>
                <w:szCs w:val="19"/>
              </w:rPr>
              <w:t>Sample Size – Participant (Part), Measure</w:t>
            </w:r>
          </w:p>
        </w:tc>
        <w:tc>
          <w:tcPr>
            <w:tcW w:w="1566" w:type="dxa"/>
            <w:shd w:val="clear" w:color="auto" w:fill="448A99"/>
            <w:noWrap/>
            <w:vAlign w:val="bottom"/>
            <w:hideMark/>
          </w:tcPr>
          <w:p w:rsidR="0001310B" w:rsidRPr="0055598C" w:rsidRDefault="0001310B" w:rsidP="00AC55E9">
            <w:pPr>
              <w:jc w:val="center"/>
              <w:rPr>
                <w:b/>
                <w:color w:val="FFFFFF"/>
                <w:sz w:val="19"/>
                <w:szCs w:val="19"/>
              </w:rPr>
            </w:pPr>
            <w:r w:rsidRPr="0055598C">
              <w:rPr>
                <w:b/>
                <w:color w:val="FFFFFF"/>
                <w:sz w:val="19"/>
                <w:szCs w:val="19"/>
              </w:rPr>
              <w:t>Notes on Installation Rate</w:t>
            </w:r>
          </w:p>
        </w:tc>
      </w:tr>
      <w:tr w:rsidR="00A874AC" w:rsidRPr="0055598C" w:rsidTr="0055598C">
        <w:trPr>
          <w:trHeight w:val="697"/>
        </w:trPr>
        <w:tc>
          <w:tcPr>
            <w:tcW w:w="1615" w:type="dxa"/>
            <w:vMerge w:val="restart"/>
            <w:shd w:val="clear" w:color="auto" w:fill="D2EAF1"/>
            <w:noWrap/>
          </w:tcPr>
          <w:p w:rsidR="0001310B" w:rsidRPr="0055598C" w:rsidRDefault="0001310B" w:rsidP="00AC55E9">
            <w:pPr>
              <w:jc w:val="left"/>
              <w:rPr>
                <w:b/>
                <w:bCs/>
                <w:color w:val="000000"/>
                <w:sz w:val="19"/>
                <w:szCs w:val="19"/>
              </w:rPr>
            </w:pPr>
            <w:r w:rsidRPr="0055598C">
              <w:rPr>
                <w:b/>
                <w:bCs/>
                <w:color w:val="000000"/>
                <w:sz w:val="19"/>
                <w:szCs w:val="19"/>
              </w:rPr>
              <w:t>Residential: EE Program (REEP): Rebate Program</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Rebate</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M&amp;V</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Telephone</w:t>
            </w:r>
          </w:p>
        </w:tc>
        <w:tc>
          <w:tcPr>
            <w:tcW w:w="1566" w:type="dxa"/>
            <w:shd w:val="clear" w:color="auto" w:fill="D2EAF1"/>
          </w:tcPr>
          <w:p w:rsidR="0001310B" w:rsidRPr="0055598C" w:rsidRDefault="0001310B" w:rsidP="00AC55E9">
            <w:pPr>
              <w:jc w:val="center"/>
              <w:rPr>
                <w:color w:val="000000"/>
                <w:sz w:val="19"/>
                <w:szCs w:val="19"/>
              </w:rPr>
            </w:pPr>
            <w:r w:rsidRPr="0055598C">
              <w:rPr>
                <w:sz w:val="19"/>
                <w:szCs w:val="19"/>
              </w:rPr>
              <w:t>Part n=59, Measure n=</w:t>
            </w:r>
            <w:r w:rsidR="00E95AD8" w:rsidRPr="0055598C">
              <w:rPr>
                <w:sz w:val="19"/>
                <w:szCs w:val="19"/>
              </w:rPr>
              <w:t>84</w:t>
            </w:r>
          </w:p>
        </w:tc>
        <w:tc>
          <w:tcPr>
            <w:tcW w:w="1566" w:type="dxa"/>
            <w:shd w:val="clear" w:color="auto" w:fill="D2EAF1"/>
          </w:tcPr>
          <w:p w:rsidR="0001310B" w:rsidRPr="0055598C" w:rsidRDefault="0001310B" w:rsidP="00AC55E9">
            <w:pPr>
              <w:jc w:val="center"/>
              <w:rPr>
                <w:color w:val="000000"/>
                <w:sz w:val="19"/>
                <w:szCs w:val="19"/>
              </w:rPr>
            </w:pPr>
            <w:r w:rsidRPr="0055598C">
              <w:rPr>
                <w:sz w:val="19"/>
                <w:szCs w:val="19"/>
              </w:rPr>
              <w:t>One programmable thermostat not installed</w:t>
            </w:r>
          </w:p>
        </w:tc>
      </w:tr>
      <w:tr w:rsidR="00A874AC" w:rsidRPr="0055598C" w:rsidTr="0055598C">
        <w:trPr>
          <w:trHeight w:val="697"/>
        </w:trPr>
        <w:tc>
          <w:tcPr>
            <w:tcW w:w="1615" w:type="dxa"/>
            <w:vMerge/>
            <w:shd w:val="clear" w:color="auto" w:fill="D2EAF1"/>
          </w:tcPr>
          <w:p w:rsidR="0001310B" w:rsidRPr="0055598C" w:rsidRDefault="0001310B" w:rsidP="00AC55E9">
            <w:pPr>
              <w:jc w:val="left"/>
              <w:rPr>
                <w:bCs/>
                <w:color w:val="000000"/>
                <w:sz w:val="19"/>
                <w:szCs w:val="19"/>
              </w:rPr>
            </w:pP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Kits</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M&amp;V</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Telephone</w:t>
            </w:r>
          </w:p>
        </w:tc>
        <w:tc>
          <w:tcPr>
            <w:tcW w:w="1566" w:type="dxa"/>
            <w:shd w:val="clear" w:color="auto" w:fill="D2EAF1"/>
          </w:tcPr>
          <w:p w:rsidR="0001310B" w:rsidRPr="0055598C" w:rsidRDefault="0001310B" w:rsidP="00AC55E9">
            <w:pPr>
              <w:jc w:val="center"/>
              <w:rPr>
                <w:color w:val="000000"/>
                <w:sz w:val="19"/>
                <w:szCs w:val="19"/>
              </w:rPr>
            </w:pPr>
            <w:r w:rsidRPr="0055598C">
              <w:rPr>
                <w:sz w:val="19"/>
                <w:szCs w:val="19"/>
              </w:rPr>
              <w:t>Part n=2</w:t>
            </w:r>
            <w:r w:rsidR="00E95AD8" w:rsidRPr="0055598C">
              <w:rPr>
                <w:sz w:val="19"/>
                <w:szCs w:val="19"/>
              </w:rPr>
              <w:t>5</w:t>
            </w:r>
            <w:r w:rsidRPr="0055598C">
              <w:rPr>
                <w:sz w:val="19"/>
                <w:szCs w:val="19"/>
              </w:rPr>
              <w:t>, Measure n=</w:t>
            </w:r>
            <w:r w:rsidR="00E95AD8" w:rsidRPr="0055598C">
              <w:rPr>
                <w:sz w:val="19"/>
                <w:szCs w:val="19"/>
              </w:rPr>
              <w:t>175</w:t>
            </w:r>
          </w:p>
        </w:tc>
        <w:tc>
          <w:tcPr>
            <w:tcW w:w="1566" w:type="dxa"/>
            <w:shd w:val="clear" w:color="auto" w:fill="D2EAF1"/>
          </w:tcPr>
          <w:p w:rsidR="0001310B" w:rsidRPr="0055598C" w:rsidRDefault="0001310B" w:rsidP="00AC55E9">
            <w:pPr>
              <w:jc w:val="center"/>
              <w:rPr>
                <w:sz w:val="19"/>
                <w:szCs w:val="19"/>
              </w:rPr>
            </w:pPr>
            <w:r w:rsidRPr="0055598C">
              <w:rPr>
                <w:sz w:val="19"/>
                <w:szCs w:val="19"/>
              </w:rPr>
              <w:t xml:space="preserve">37% of CFLs not installed; 30% of smart strips not installed; </w:t>
            </w:r>
          </w:p>
          <w:p w:rsidR="0001310B" w:rsidRPr="0055598C" w:rsidRDefault="0001310B" w:rsidP="00AC55E9">
            <w:pPr>
              <w:jc w:val="center"/>
              <w:rPr>
                <w:color w:val="000000"/>
                <w:sz w:val="19"/>
                <w:szCs w:val="19"/>
              </w:rPr>
            </w:pPr>
            <w:r w:rsidRPr="0055598C">
              <w:rPr>
                <w:sz w:val="19"/>
                <w:szCs w:val="19"/>
              </w:rPr>
              <w:t>39% of LED nightlights not installed</w:t>
            </w:r>
          </w:p>
        </w:tc>
      </w:tr>
      <w:tr w:rsidR="00A874AC" w:rsidRPr="0055598C" w:rsidTr="0055598C">
        <w:trPr>
          <w:trHeight w:val="512"/>
        </w:trPr>
        <w:tc>
          <w:tcPr>
            <w:tcW w:w="1615" w:type="dxa"/>
            <w:vMerge/>
            <w:shd w:val="clear" w:color="auto" w:fill="D2EAF1"/>
          </w:tcPr>
          <w:p w:rsidR="0001310B" w:rsidRPr="0055598C" w:rsidRDefault="0001310B" w:rsidP="00AC55E9">
            <w:pPr>
              <w:jc w:val="left"/>
              <w:rPr>
                <w:bCs/>
                <w:color w:val="000000"/>
                <w:sz w:val="19"/>
                <w:szCs w:val="19"/>
                <w:highlight w:val="yellow"/>
              </w:rPr>
            </w:pP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Lighting</w:t>
            </w:r>
          </w:p>
        </w:tc>
        <w:tc>
          <w:tcPr>
            <w:tcW w:w="1566" w:type="dxa"/>
            <w:shd w:val="clear" w:color="auto" w:fill="D2EAF1"/>
            <w:noWrap/>
          </w:tcPr>
          <w:p w:rsidR="0001310B" w:rsidRPr="0055598C" w:rsidRDefault="0001310B" w:rsidP="00AC55E9">
            <w:pPr>
              <w:jc w:val="center"/>
              <w:rPr>
                <w:color w:val="000000"/>
                <w:sz w:val="19"/>
                <w:szCs w:val="19"/>
              </w:rPr>
            </w:pPr>
            <w:r w:rsidRPr="0055598C">
              <w:rPr>
                <w:color w:val="000000"/>
                <w:sz w:val="19"/>
                <w:szCs w:val="19"/>
              </w:rPr>
              <w:t>N/A</w:t>
            </w:r>
          </w:p>
        </w:tc>
        <w:tc>
          <w:tcPr>
            <w:tcW w:w="1566" w:type="dxa"/>
            <w:shd w:val="clear" w:color="auto" w:fill="D2EAF1"/>
            <w:noWrap/>
          </w:tcPr>
          <w:p w:rsidR="0001310B" w:rsidRPr="0055598C" w:rsidRDefault="0001310B" w:rsidP="00AC55E9">
            <w:pPr>
              <w:jc w:val="center"/>
              <w:rPr>
                <w:color w:val="000000"/>
                <w:sz w:val="19"/>
                <w:szCs w:val="19"/>
              </w:rPr>
            </w:pPr>
            <w:r w:rsidRPr="0055598C">
              <w:rPr>
                <w:color w:val="000000"/>
                <w:sz w:val="19"/>
                <w:szCs w:val="19"/>
              </w:rPr>
              <w:t>N/A</w:t>
            </w:r>
          </w:p>
        </w:tc>
        <w:tc>
          <w:tcPr>
            <w:tcW w:w="1566" w:type="dxa"/>
            <w:shd w:val="clear" w:color="auto" w:fill="D2EAF1"/>
            <w:noWrap/>
          </w:tcPr>
          <w:p w:rsidR="0001310B" w:rsidRPr="0055598C" w:rsidRDefault="0001310B" w:rsidP="00AC55E9">
            <w:pPr>
              <w:jc w:val="center"/>
              <w:rPr>
                <w:color w:val="000000"/>
                <w:sz w:val="19"/>
                <w:szCs w:val="19"/>
              </w:rPr>
            </w:pPr>
            <w:r w:rsidRPr="0055598C">
              <w:rPr>
                <w:color w:val="000000"/>
                <w:sz w:val="19"/>
                <w:szCs w:val="19"/>
              </w:rPr>
              <w:t>N/A</w:t>
            </w:r>
          </w:p>
        </w:tc>
        <w:tc>
          <w:tcPr>
            <w:tcW w:w="1566" w:type="dxa"/>
            <w:shd w:val="clear" w:color="auto" w:fill="D2EAF1"/>
            <w:noWrap/>
          </w:tcPr>
          <w:p w:rsidR="0001310B" w:rsidRPr="0055598C" w:rsidRDefault="0001310B" w:rsidP="00AC55E9">
            <w:pPr>
              <w:jc w:val="center"/>
              <w:rPr>
                <w:color w:val="000000"/>
                <w:sz w:val="19"/>
                <w:szCs w:val="19"/>
              </w:rPr>
            </w:pPr>
            <w:r w:rsidRPr="0055598C">
              <w:rPr>
                <w:color w:val="000000"/>
                <w:sz w:val="19"/>
                <w:szCs w:val="19"/>
              </w:rPr>
              <w:t>N/A</w:t>
            </w:r>
          </w:p>
        </w:tc>
      </w:tr>
      <w:tr w:rsidR="00E7173E" w:rsidRPr="0055598C" w:rsidTr="0055598C">
        <w:trPr>
          <w:trHeight w:val="697"/>
        </w:trPr>
        <w:tc>
          <w:tcPr>
            <w:tcW w:w="1615" w:type="dxa"/>
            <w:shd w:val="clear" w:color="auto" w:fill="auto"/>
            <w:noWrap/>
          </w:tcPr>
          <w:p w:rsidR="0001310B" w:rsidRPr="0055598C" w:rsidRDefault="0001310B" w:rsidP="00AC55E9">
            <w:pPr>
              <w:jc w:val="left"/>
              <w:rPr>
                <w:bCs/>
                <w:color w:val="000000"/>
                <w:sz w:val="19"/>
                <w:szCs w:val="19"/>
              </w:rPr>
            </w:pPr>
            <w:r w:rsidRPr="0055598C">
              <w:rPr>
                <w:b/>
                <w:bCs/>
                <w:sz w:val="19"/>
                <w:szCs w:val="19"/>
              </w:rPr>
              <w:t>Residential:  School Energy Pledge (SEP)</w:t>
            </w:r>
          </w:p>
        </w:tc>
        <w:tc>
          <w:tcPr>
            <w:tcW w:w="1566" w:type="dxa"/>
            <w:shd w:val="clear" w:color="auto" w:fill="auto"/>
            <w:noWrap/>
          </w:tcPr>
          <w:p w:rsidR="0001310B" w:rsidRPr="0055598C" w:rsidRDefault="0001310B" w:rsidP="00AC55E9">
            <w:pPr>
              <w:jc w:val="center"/>
              <w:rPr>
                <w:color w:val="000000"/>
                <w:sz w:val="19"/>
                <w:szCs w:val="19"/>
              </w:rPr>
            </w:pPr>
            <w:r w:rsidRPr="0055598C">
              <w:rPr>
                <w:sz w:val="19"/>
                <w:szCs w:val="19"/>
              </w:rPr>
              <w:t>All</w:t>
            </w:r>
          </w:p>
        </w:tc>
        <w:tc>
          <w:tcPr>
            <w:tcW w:w="1566" w:type="dxa"/>
            <w:shd w:val="clear" w:color="auto" w:fill="auto"/>
            <w:noWrap/>
          </w:tcPr>
          <w:p w:rsidR="0001310B" w:rsidRPr="0055598C" w:rsidRDefault="0001310B" w:rsidP="00AC55E9">
            <w:pPr>
              <w:jc w:val="center"/>
              <w:rPr>
                <w:color w:val="000000"/>
                <w:sz w:val="19"/>
                <w:szCs w:val="19"/>
              </w:rPr>
            </w:pPr>
            <w:r w:rsidRPr="0055598C">
              <w:rPr>
                <w:sz w:val="19"/>
                <w:szCs w:val="19"/>
              </w:rPr>
              <w:t>M&amp;V</w:t>
            </w:r>
          </w:p>
        </w:tc>
        <w:tc>
          <w:tcPr>
            <w:tcW w:w="1566" w:type="dxa"/>
            <w:shd w:val="clear" w:color="auto" w:fill="auto"/>
            <w:noWrap/>
          </w:tcPr>
          <w:p w:rsidR="0001310B" w:rsidRPr="0055598C" w:rsidRDefault="0001310B" w:rsidP="00AC55E9">
            <w:pPr>
              <w:jc w:val="center"/>
              <w:rPr>
                <w:color w:val="000000"/>
                <w:sz w:val="19"/>
                <w:szCs w:val="19"/>
              </w:rPr>
            </w:pPr>
            <w:r w:rsidRPr="0055598C">
              <w:rPr>
                <w:sz w:val="19"/>
                <w:szCs w:val="19"/>
              </w:rPr>
              <w:t>Telephone</w:t>
            </w:r>
          </w:p>
        </w:tc>
        <w:tc>
          <w:tcPr>
            <w:tcW w:w="1566" w:type="dxa"/>
            <w:shd w:val="clear" w:color="auto" w:fill="auto"/>
          </w:tcPr>
          <w:p w:rsidR="0001310B" w:rsidRPr="0055598C" w:rsidRDefault="0001310B" w:rsidP="00AC55E9">
            <w:pPr>
              <w:jc w:val="center"/>
              <w:rPr>
                <w:color w:val="000000"/>
                <w:sz w:val="19"/>
                <w:szCs w:val="19"/>
                <w:highlight w:val="yellow"/>
              </w:rPr>
            </w:pPr>
            <w:r w:rsidRPr="0055598C">
              <w:rPr>
                <w:sz w:val="19"/>
                <w:szCs w:val="19"/>
              </w:rPr>
              <w:t>Part n=27, Measure n=216</w:t>
            </w:r>
          </w:p>
        </w:tc>
        <w:tc>
          <w:tcPr>
            <w:tcW w:w="1566" w:type="dxa"/>
            <w:shd w:val="clear" w:color="auto" w:fill="auto"/>
          </w:tcPr>
          <w:p w:rsidR="0001310B" w:rsidRPr="0055598C" w:rsidRDefault="0001310B" w:rsidP="00AC55E9">
            <w:pPr>
              <w:jc w:val="center"/>
              <w:rPr>
                <w:color w:val="000000"/>
                <w:sz w:val="19"/>
                <w:szCs w:val="19"/>
                <w:highlight w:val="yellow"/>
              </w:rPr>
            </w:pPr>
            <w:r w:rsidRPr="0055598C">
              <w:rPr>
                <w:sz w:val="19"/>
                <w:szCs w:val="19"/>
              </w:rPr>
              <w:t xml:space="preserve">30% of CFLs, 50% of </w:t>
            </w:r>
            <w:r w:rsidRPr="0055598C">
              <w:rPr>
                <w:sz w:val="19"/>
                <w:szCs w:val="19"/>
                <w:u w:val="words"/>
              </w:rPr>
              <w:t>limelights</w:t>
            </w:r>
            <w:r w:rsidRPr="0055598C">
              <w:rPr>
                <w:sz w:val="19"/>
                <w:szCs w:val="19"/>
              </w:rPr>
              <w:t xml:space="preserve">, and 30% of smart strips not installed </w:t>
            </w:r>
          </w:p>
        </w:tc>
      </w:tr>
      <w:tr w:rsidR="00A874AC" w:rsidRPr="0055598C" w:rsidTr="0055598C">
        <w:trPr>
          <w:trHeight w:val="697"/>
        </w:trPr>
        <w:tc>
          <w:tcPr>
            <w:tcW w:w="1615" w:type="dxa"/>
            <w:shd w:val="clear" w:color="auto" w:fill="D2EAF1"/>
            <w:noWrap/>
          </w:tcPr>
          <w:p w:rsidR="0001310B" w:rsidRPr="0055598C" w:rsidRDefault="0001310B" w:rsidP="00AC55E9">
            <w:pPr>
              <w:jc w:val="left"/>
              <w:rPr>
                <w:bCs/>
                <w:color w:val="000000"/>
                <w:sz w:val="19"/>
                <w:szCs w:val="19"/>
              </w:rPr>
            </w:pPr>
            <w:r w:rsidRPr="0055598C">
              <w:rPr>
                <w:b/>
                <w:bCs/>
                <w:sz w:val="19"/>
                <w:szCs w:val="19"/>
              </w:rPr>
              <w:t>Residential Appliance Recycling (RARP)</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All</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M&amp;V</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Telephone</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Part n=109, Measure n=115</w:t>
            </w:r>
          </w:p>
        </w:tc>
        <w:tc>
          <w:tcPr>
            <w:tcW w:w="1566" w:type="dxa"/>
            <w:shd w:val="clear" w:color="auto" w:fill="D2EAF1"/>
          </w:tcPr>
          <w:p w:rsidR="0001310B" w:rsidRPr="0055598C" w:rsidRDefault="0001310B" w:rsidP="00AC55E9">
            <w:pPr>
              <w:jc w:val="center"/>
              <w:rPr>
                <w:sz w:val="19"/>
                <w:szCs w:val="19"/>
              </w:rPr>
            </w:pPr>
            <w:r w:rsidRPr="0055598C">
              <w:rPr>
                <w:sz w:val="19"/>
                <w:szCs w:val="19"/>
              </w:rPr>
              <w:t>Three additional refrigerators not in database</w:t>
            </w:r>
          </w:p>
          <w:p w:rsidR="0001310B" w:rsidRPr="0055598C" w:rsidRDefault="0001310B" w:rsidP="00AC55E9">
            <w:pPr>
              <w:jc w:val="center"/>
              <w:rPr>
                <w:color w:val="000000"/>
                <w:sz w:val="19"/>
                <w:szCs w:val="19"/>
              </w:rPr>
            </w:pPr>
            <w:r w:rsidRPr="0055598C">
              <w:rPr>
                <w:sz w:val="19"/>
                <w:szCs w:val="19"/>
              </w:rPr>
              <w:t>were recycled</w:t>
            </w:r>
          </w:p>
        </w:tc>
      </w:tr>
      <w:tr w:rsidR="00E7173E" w:rsidRPr="0055598C" w:rsidTr="0055598C">
        <w:trPr>
          <w:trHeight w:val="697"/>
        </w:trPr>
        <w:tc>
          <w:tcPr>
            <w:tcW w:w="1615" w:type="dxa"/>
            <w:shd w:val="clear" w:color="auto" w:fill="auto"/>
            <w:noWrap/>
          </w:tcPr>
          <w:p w:rsidR="0001310B" w:rsidRPr="0055598C" w:rsidRDefault="0001310B" w:rsidP="00AC55E9">
            <w:pPr>
              <w:jc w:val="left"/>
              <w:rPr>
                <w:b/>
                <w:bCs/>
                <w:color w:val="000000"/>
                <w:sz w:val="19"/>
                <w:szCs w:val="19"/>
              </w:rPr>
            </w:pPr>
            <w:r w:rsidRPr="0055598C">
              <w:rPr>
                <w:b/>
                <w:bCs/>
                <w:color w:val="000000"/>
                <w:sz w:val="19"/>
                <w:szCs w:val="19"/>
              </w:rPr>
              <w:t>Residential:  Whole House (WHEAP)</w:t>
            </w:r>
          </w:p>
        </w:tc>
        <w:tc>
          <w:tcPr>
            <w:tcW w:w="1566" w:type="dxa"/>
            <w:shd w:val="clear" w:color="auto" w:fill="auto"/>
            <w:noWrap/>
          </w:tcPr>
          <w:p w:rsidR="0001310B" w:rsidRPr="0055598C" w:rsidRDefault="0001310B" w:rsidP="00AC55E9">
            <w:pPr>
              <w:jc w:val="center"/>
              <w:rPr>
                <w:color w:val="000000"/>
                <w:sz w:val="19"/>
                <w:szCs w:val="19"/>
              </w:rPr>
            </w:pPr>
            <w:r w:rsidRPr="0055598C">
              <w:rPr>
                <w:sz w:val="19"/>
                <w:szCs w:val="19"/>
              </w:rPr>
              <w:t>All</w:t>
            </w:r>
          </w:p>
        </w:tc>
        <w:tc>
          <w:tcPr>
            <w:tcW w:w="1566" w:type="dxa"/>
            <w:shd w:val="clear" w:color="auto" w:fill="auto"/>
            <w:noWrap/>
          </w:tcPr>
          <w:p w:rsidR="0001310B" w:rsidRPr="0055598C" w:rsidRDefault="0001310B" w:rsidP="00AC55E9">
            <w:pPr>
              <w:jc w:val="center"/>
              <w:rPr>
                <w:color w:val="000000"/>
                <w:sz w:val="19"/>
                <w:szCs w:val="19"/>
              </w:rPr>
            </w:pPr>
            <w:r w:rsidRPr="0055598C">
              <w:rPr>
                <w:sz w:val="19"/>
                <w:szCs w:val="19"/>
              </w:rPr>
              <w:t>M&amp;V</w:t>
            </w:r>
          </w:p>
        </w:tc>
        <w:tc>
          <w:tcPr>
            <w:tcW w:w="1566" w:type="dxa"/>
            <w:shd w:val="clear" w:color="auto" w:fill="auto"/>
            <w:noWrap/>
          </w:tcPr>
          <w:p w:rsidR="0001310B" w:rsidRPr="0055598C" w:rsidRDefault="0001310B" w:rsidP="00AC55E9">
            <w:pPr>
              <w:jc w:val="center"/>
              <w:rPr>
                <w:color w:val="000000"/>
                <w:sz w:val="19"/>
                <w:szCs w:val="19"/>
              </w:rPr>
            </w:pPr>
            <w:r w:rsidRPr="0055598C">
              <w:rPr>
                <w:sz w:val="19"/>
                <w:szCs w:val="19"/>
              </w:rPr>
              <w:t>Telephone</w:t>
            </w:r>
          </w:p>
        </w:tc>
        <w:tc>
          <w:tcPr>
            <w:tcW w:w="1566" w:type="dxa"/>
            <w:shd w:val="clear" w:color="auto" w:fill="auto"/>
          </w:tcPr>
          <w:p w:rsidR="0001310B" w:rsidRPr="0055598C" w:rsidRDefault="0001310B" w:rsidP="00AC55E9">
            <w:pPr>
              <w:jc w:val="center"/>
              <w:rPr>
                <w:color w:val="000000"/>
                <w:sz w:val="19"/>
                <w:szCs w:val="19"/>
                <w:highlight w:val="yellow"/>
              </w:rPr>
            </w:pPr>
            <w:r w:rsidRPr="0055598C">
              <w:rPr>
                <w:sz w:val="19"/>
                <w:szCs w:val="19"/>
              </w:rPr>
              <w:t>Part n=</w:t>
            </w:r>
            <w:r w:rsidR="009B0A5A" w:rsidRPr="0055598C">
              <w:rPr>
                <w:sz w:val="19"/>
                <w:szCs w:val="19"/>
              </w:rPr>
              <w:t>22</w:t>
            </w:r>
            <w:r w:rsidRPr="0055598C">
              <w:rPr>
                <w:sz w:val="19"/>
                <w:szCs w:val="19"/>
              </w:rPr>
              <w:t>, Measure n=</w:t>
            </w:r>
            <w:r w:rsidR="00E95AD8" w:rsidRPr="0055598C">
              <w:rPr>
                <w:sz w:val="19"/>
                <w:szCs w:val="19"/>
              </w:rPr>
              <w:t>222</w:t>
            </w:r>
          </w:p>
        </w:tc>
        <w:tc>
          <w:tcPr>
            <w:tcW w:w="1566" w:type="dxa"/>
            <w:shd w:val="clear" w:color="auto" w:fill="auto"/>
          </w:tcPr>
          <w:p w:rsidR="0001310B" w:rsidRPr="0055598C" w:rsidRDefault="0001310B" w:rsidP="00AC55E9">
            <w:pPr>
              <w:jc w:val="center"/>
              <w:rPr>
                <w:color w:val="000000"/>
                <w:sz w:val="19"/>
                <w:szCs w:val="19"/>
                <w:highlight w:val="yellow"/>
              </w:rPr>
            </w:pPr>
            <w:r w:rsidRPr="0055598C">
              <w:rPr>
                <w:color w:val="000000"/>
                <w:sz w:val="19"/>
                <w:szCs w:val="19"/>
              </w:rPr>
              <w:t>3% of CFLs not installed; 1 of 1 smart strip not installed</w:t>
            </w:r>
          </w:p>
        </w:tc>
      </w:tr>
      <w:tr w:rsidR="00A874AC" w:rsidRPr="0055598C" w:rsidTr="0055598C">
        <w:trPr>
          <w:trHeight w:val="697"/>
        </w:trPr>
        <w:tc>
          <w:tcPr>
            <w:tcW w:w="1615" w:type="dxa"/>
            <w:vMerge w:val="restart"/>
            <w:shd w:val="clear" w:color="auto" w:fill="D2EAF1"/>
          </w:tcPr>
          <w:p w:rsidR="0001310B" w:rsidRPr="0055598C" w:rsidRDefault="0001310B" w:rsidP="00AC55E9">
            <w:pPr>
              <w:jc w:val="left"/>
              <w:rPr>
                <w:b/>
                <w:bCs/>
                <w:color w:val="000000"/>
                <w:sz w:val="19"/>
                <w:szCs w:val="19"/>
              </w:rPr>
            </w:pPr>
            <w:r w:rsidRPr="0055598C">
              <w:rPr>
                <w:b/>
                <w:bCs/>
                <w:color w:val="000000"/>
                <w:sz w:val="19"/>
                <w:szCs w:val="19"/>
              </w:rPr>
              <w:t>Residential: Low-Income EE (LIEEP)</w:t>
            </w:r>
          </w:p>
        </w:tc>
        <w:tc>
          <w:tcPr>
            <w:tcW w:w="1566" w:type="dxa"/>
            <w:shd w:val="clear" w:color="auto" w:fill="D2EAF1"/>
            <w:noWrap/>
          </w:tcPr>
          <w:p w:rsidR="0001310B" w:rsidRPr="0055598C" w:rsidRDefault="0001310B" w:rsidP="00AC55E9">
            <w:pPr>
              <w:jc w:val="center"/>
              <w:rPr>
                <w:sz w:val="19"/>
                <w:szCs w:val="19"/>
              </w:rPr>
            </w:pPr>
            <w:r w:rsidRPr="0055598C">
              <w:rPr>
                <w:sz w:val="19"/>
                <w:szCs w:val="19"/>
              </w:rPr>
              <w:t>Rebates/Kits/ RARP/SEP/</w:t>
            </w:r>
          </w:p>
          <w:p w:rsidR="0001310B" w:rsidRPr="0055598C" w:rsidRDefault="0001310B" w:rsidP="00AC55E9">
            <w:pPr>
              <w:jc w:val="center"/>
              <w:rPr>
                <w:sz w:val="19"/>
                <w:szCs w:val="19"/>
              </w:rPr>
            </w:pPr>
            <w:r w:rsidRPr="0055598C">
              <w:rPr>
                <w:sz w:val="19"/>
                <w:szCs w:val="19"/>
              </w:rPr>
              <w:t xml:space="preserve">WHEAP </w:t>
            </w:r>
          </w:p>
        </w:tc>
        <w:tc>
          <w:tcPr>
            <w:tcW w:w="1566" w:type="dxa"/>
            <w:shd w:val="clear" w:color="auto" w:fill="D2EAF1"/>
            <w:noWrap/>
          </w:tcPr>
          <w:p w:rsidR="0001310B" w:rsidRPr="0055598C" w:rsidRDefault="0001310B" w:rsidP="00AC55E9">
            <w:pPr>
              <w:jc w:val="center"/>
              <w:rPr>
                <w:sz w:val="19"/>
                <w:szCs w:val="19"/>
              </w:rPr>
            </w:pPr>
            <w:r w:rsidRPr="0055598C">
              <w:rPr>
                <w:sz w:val="19"/>
                <w:szCs w:val="19"/>
              </w:rPr>
              <w:t>M&amp;V</w:t>
            </w:r>
          </w:p>
        </w:tc>
        <w:tc>
          <w:tcPr>
            <w:tcW w:w="1566" w:type="dxa"/>
            <w:shd w:val="clear" w:color="auto" w:fill="D2EAF1"/>
            <w:noWrap/>
          </w:tcPr>
          <w:p w:rsidR="0001310B" w:rsidRPr="0055598C" w:rsidRDefault="0001310B" w:rsidP="00AC55E9">
            <w:pPr>
              <w:jc w:val="center"/>
              <w:rPr>
                <w:sz w:val="19"/>
                <w:szCs w:val="19"/>
              </w:rPr>
            </w:pPr>
            <w:r w:rsidRPr="0055598C">
              <w:rPr>
                <w:sz w:val="19"/>
                <w:szCs w:val="19"/>
              </w:rPr>
              <w:t>Telephone</w:t>
            </w:r>
          </w:p>
        </w:tc>
        <w:tc>
          <w:tcPr>
            <w:tcW w:w="1566" w:type="dxa"/>
            <w:shd w:val="clear" w:color="auto" w:fill="D2EAF1"/>
            <w:noWrap/>
          </w:tcPr>
          <w:p w:rsidR="0001310B" w:rsidRPr="0055598C" w:rsidRDefault="0001310B" w:rsidP="00AC55E9">
            <w:pPr>
              <w:jc w:val="center"/>
              <w:rPr>
                <w:sz w:val="19"/>
                <w:szCs w:val="19"/>
              </w:rPr>
            </w:pPr>
            <w:r w:rsidRPr="0055598C">
              <w:rPr>
                <w:sz w:val="19"/>
                <w:szCs w:val="19"/>
              </w:rPr>
              <w:t>Part n=96, Measure n=338</w:t>
            </w:r>
          </w:p>
        </w:tc>
        <w:tc>
          <w:tcPr>
            <w:tcW w:w="1566" w:type="dxa"/>
            <w:shd w:val="clear" w:color="auto" w:fill="D2EAF1"/>
            <w:noWrap/>
          </w:tcPr>
          <w:p w:rsidR="0001310B" w:rsidRPr="0055598C" w:rsidRDefault="0001310B" w:rsidP="00AC55E9">
            <w:pPr>
              <w:jc w:val="center"/>
              <w:rPr>
                <w:sz w:val="19"/>
                <w:szCs w:val="19"/>
                <w:highlight w:val="yellow"/>
              </w:rPr>
            </w:pPr>
            <w:r w:rsidRPr="0055598C">
              <w:rPr>
                <w:sz w:val="19"/>
                <w:szCs w:val="19"/>
              </w:rPr>
              <w:t>1 thermostat not installed; 29% of kits not installed; 2 additional refrigerators recycled; 37% of SEP kits not installed; 10% of WHEAP CFLs not installed</w:t>
            </w:r>
          </w:p>
        </w:tc>
      </w:tr>
      <w:tr w:rsidR="00A874AC" w:rsidRPr="0055598C" w:rsidTr="0055598C">
        <w:trPr>
          <w:trHeight w:val="697"/>
        </w:trPr>
        <w:tc>
          <w:tcPr>
            <w:tcW w:w="1615" w:type="dxa"/>
            <w:vMerge/>
            <w:shd w:val="clear" w:color="auto" w:fill="D2EAF1"/>
          </w:tcPr>
          <w:p w:rsidR="0001310B" w:rsidRPr="0055598C" w:rsidRDefault="0001310B" w:rsidP="00AC55E9">
            <w:pPr>
              <w:jc w:val="left"/>
              <w:rPr>
                <w:bCs/>
                <w:color w:val="000000"/>
                <w:sz w:val="19"/>
                <w:szCs w:val="19"/>
                <w:highlight w:val="yellow"/>
              </w:rPr>
            </w:pPr>
          </w:p>
        </w:tc>
        <w:tc>
          <w:tcPr>
            <w:tcW w:w="1566" w:type="dxa"/>
            <w:shd w:val="clear" w:color="auto" w:fill="D2EAF1"/>
            <w:noWrap/>
          </w:tcPr>
          <w:p w:rsidR="0001310B" w:rsidRPr="0055598C" w:rsidRDefault="0001310B" w:rsidP="00AC55E9">
            <w:pPr>
              <w:jc w:val="center"/>
              <w:rPr>
                <w:sz w:val="19"/>
                <w:szCs w:val="19"/>
              </w:rPr>
            </w:pPr>
            <w:r w:rsidRPr="0055598C">
              <w:rPr>
                <w:sz w:val="19"/>
                <w:szCs w:val="19"/>
              </w:rPr>
              <w:t>Lighting</w:t>
            </w:r>
          </w:p>
        </w:tc>
        <w:tc>
          <w:tcPr>
            <w:tcW w:w="1566" w:type="dxa"/>
            <w:shd w:val="clear" w:color="auto" w:fill="D2EAF1"/>
            <w:noWrap/>
          </w:tcPr>
          <w:p w:rsidR="0001310B" w:rsidRPr="0055598C" w:rsidRDefault="0001310B" w:rsidP="00AC55E9">
            <w:pPr>
              <w:jc w:val="center"/>
              <w:rPr>
                <w:sz w:val="19"/>
                <w:szCs w:val="19"/>
              </w:rPr>
            </w:pPr>
            <w:r w:rsidRPr="0055598C">
              <w:rPr>
                <w:sz w:val="19"/>
                <w:szCs w:val="19"/>
              </w:rPr>
              <w:t>N/A</w:t>
            </w:r>
          </w:p>
        </w:tc>
        <w:tc>
          <w:tcPr>
            <w:tcW w:w="1566" w:type="dxa"/>
            <w:shd w:val="clear" w:color="auto" w:fill="D2EAF1"/>
            <w:noWrap/>
          </w:tcPr>
          <w:p w:rsidR="0001310B" w:rsidRPr="0055598C" w:rsidRDefault="0001310B" w:rsidP="00AC55E9">
            <w:pPr>
              <w:jc w:val="center"/>
              <w:rPr>
                <w:sz w:val="19"/>
                <w:szCs w:val="19"/>
              </w:rPr>
            </w:pPr>
            <w:r w:rsidRPr="0055598C">
              <w:rPr>
                <w:sz w:val="19"/>
                <w:szCs w:val="19"/>
              </w:rPr>
              <w:t>N/A</w:t>
            </w:r>
          </w:p>
        </w:tc>
        <w:tc>
          <w:tcPr>
            <w:tcW w:w="1566" w:type="dxa"/>
            <w:shd w:val="clear" w:color="auto" w:fill="D2EAF1"/>
            <w:noWrap/>
          </w:tcPr>
          <w:p w:rsidR="0001310B" w:rsidRPr="0055598C" w:rsidRDefault="0001310B" w:rsidP="00AC55E9">
            <w:pPr>
              <w:jc w:val="center"/>
              <w:rPr>
                <w:sz w:val="19"/>
                <w:szCs w:val="19"/>
              </w:rPr>
            </w:pPr>
            <w:r w:rsidRPr="0055598C">
              <w:rPr>
                <w:sz w:val="19"/>
                <w:szCs w:val="19"/>
              </w:rPr>
              <w:t>N/A</w:t>
            </w:r>
          </w:p>
        </w:tc>
        <w:tc>
          <w:tcPr>
            <w:tcW w:w="1566" w:type="dxa"/>
            <w:shd w:val="clear" w:color="auto" w:fill="D2EAF1"/>
            <w:noWrap/>
          </w:tcPr>
          <w:p w:rsidR="0001310B" w:rsidRPr="0055598C" w:rsidRDefault="0001310B" w:rsidP="00AC55E9">
            <w:pPr>
              <w:jc w:val="center"/>
              <w:rPr>
                <w:color w:val="000000"/>
                <w:sz w:val="19"/>
                <w:szCs w:val="19"/>
              </w:rPr>
            </w:pPr>
            <w:r w:rsidRPr="0055598C">
              <w:rPr>
                <w:sz w:val="19"/>
                <w:szCs w:val="19"/>
              </w:rPr>
              <w:t>N/A</w:t>
            </w:r>
          </w:p>
        </w:tc>
      </w:tr>
      <w:tr w:rsidR="00A874AC" w:rsidRPr="0055598C" w:rsidTr="0055598C">
        <w:trPr>
          <w:trHeight w:val="697"/>
        </w:trPr>
        <w:tc>
          <w:tcPr>
            <w:tcW w:w="1615" w:type="dxa"/>
            <w:shd w:val="clear" w:color="auto" w:fill="auto"/>
          </w:tcPr>
          <w:p w:rsidR="0001310B" w:rsidRPr="0055598C" w:rsidRDefault="0001310B" w:rsidP="00AC55E9">
            <w:pPr>
              <w:jc w:val="left"/>
              <w:rPr>
                <w:b/>
                <w:bCs/>
                <w:color w:val="000000"/>
                <w:sz w:val="19"/>
                <w:szCs w:val="19"/>
              </w:rPr>
            </w:pPr>
            <w:r w:rsidRPr="0055598C">
              <w:rPr>
                <w:b/>
                <w:bCs/>
                <w:color w:val="000000"/>
                <w:sz w:val="19"/>
                <w:szCs w:val="19"/>
              </w:rPr>
              <w:t>Residential: Home Energy Reports (includes Low-Income)</w:t>
            </w:r>
          </w:p>
        </w:tc>
        <w:tc>
          <w:tcPr>
            <w:tcW w:w="1566" w:type="dxa"/>
            <w:shd w:val="clear" w:color="auto" w:fill="auto"/>
            <w:noWrap/>
          </w:tcPr>
          <w:p w:rsidR="0001310B" w:rsidRPr="0055598C" w:rsidRDefault="0001310B" w:rsidP="00AC55E9">
            <w:pPr>
              <w:jc w:val="center"/>
              <w:rPr>
                <w:sz w:val="19"/>
                <w:szCs w:val="19"/>
              </w:rPr>
            </w:pPr>
            <w:r w:rsidRPr="0055598C">
              <w:rPr>
                <w:sz w:val="19"/>
                <w:szCs w:val="19"/>
              </w:rPr>
              <w:t>All</w:t>
            </w:r>
          </w:p>
        </w:tc>
        <w:tc>
          <w:tcPr>
            <w:tcW w:w="1566" w:type="dxa"/>
            <w:shd w:val="clear" w:color="auto" w:fill="auto"/>
            <w:noWrap/>
          </w:tcPr>
          <w:p w:rsidR="0001310B" w:rsidRPr="0055598C" w:rsidRDefault="0001310B" w:rsidP="00AC55E9">
            <w:pPr>
              <w:jc w:val="center"/>
              <w:rPr>
                <w:sz w:val="19"/>
                <w:szCs w:val="19"/>
              </w:rPr>
            </w:pPr>
            <w:r w:rsidRPr="0055598C">
              <w:rPr>
                <w:sz w:val="19"/>
                <w:szCs w:val="19"/>
              </w:rPr>
              <w:t>N/A</w:t>
            </w:r>
          </w:p>
        </w:tc>
        <w:tc>
          <w:tcPr>
            <w:tcW w:w="1566" w:type="dxa"/>
            <w:shd w:val="clear" w:color="auto" w:fill="auto"/>
            <w:noWrap/>
          </w:tcPr>
          <w:p w:rsidR="0001310B" w:rsidRPr="0055598C" w:rsidRDefault="0001310B" w:rsidP="00AC55E9">
            <w:pPr>
              <w:jc w:val="center"/>
              <w:rPr>
                <w:sz w:val="19"/>
                <w:szCs w:val="19"/>
              </w:rPr>
            </w:pPr>
            <w:r w:rsidRPr="0055598C">
              <w:rPr>
                <w:sz w:val="19"/>
                <w:szCs w:val="19"/>
              </w:rPr>
              <w:t>Billing Analysis</w:t>
            </w:r>
          </w:p>
        </w:tc>
        <w:tc>
          <w:tcPr>
            <w:tcW w:w="1566" w:type="dxa"/>
            <w:shd w:val="clear" w:color="auto" w:fill="auto"/>
            <w:noWrap/>
          </w:tcPr>
          <w:p w:rsidR="0001310B" w:rsidRPr="0055598C" w:rsidRDefault="0001310B" w:rsidP="00AC55E9">
            <w:pPr>
              <w:jc w:val="center"/>
              <w:rPr>
                <w:sz w:val="19"/>
                <w:szCs w:val="19"/>
              </w:rPr>
            </w:pPr>
            <w:r w:rsidRPr="0055598C">
              <w:rPr>
                <w:sz w:val="19"/>
                <w:szCs w:val="19"/>
              </w:rPr>
              <w:t>Census</w:t>
            </w:r>
          </w:p>
        </w:tc>
        <w:tc>
          <w:tcPr>
            <w:tcW w:w="1566" w:type="dxa"/>
            <w:shd w:val="clear" w:color="auto" w:fill="auto"/>
            <w:noWrap/>
          </w:tcPr>
          <w:p w:rsidR="0001310B" w:rsidRPr="0055598C" w:rsidRDefault="0001310B" w:rsidP="00AC55E9">
            <w:pPr>
              <w:jc w:val="center"/>
              <w:rPr>
                <w:sz w:val="19"/>
                <w:szCs w:val="19"/>
              </w:rPr>
            </w:pPr>
            <w:r w:rsidRPr="0055598C">
              <w:rPr>
                <w:sz w:val="19"/>
                <w:szCs w:val="19"/>
              </w:rPr>
              <w:t>N/A</w:t>
            </w:r>
          </w:p>
        </w:tc>
      </w:tr>
    </w:tbl>
    <w:p w:rsidR="004045A0" w:rsidRPr="0055598C" w:rsidRDefault="004045A0" w:rsidP="0055598C">
      <w:pPr>
        <w:pStyle w:val="AppendixAHeading4"/>
      </w:pPr>
      <w:r w:rsidRPr="0055598C">
        <w:t>Residential Programs</w:t>
      </w:r>
    </w:p>
    <w:p w:rsidR="0001310B" w:rsidRPr="00216E27" w:rsidRDefault="0001310B" w:rsidP="0001310B">
      <w:r w:rsidRPr="00216E27">
        <w:t xml:space="preserve">The discussion below provides an in-depth review of Navigant’s M&amp;V activities and findings for each of the residential programs. </w:t>
      </w:r>
    </w:p>
    <w:p w:rsidR="0001310B" w:rsidRPr="003A4AF5" w:rsidRDefault="0001310B" w:rsidP="0001310B">
      <w:pPr>
        <w:autoSpaceDE w:val="0"/>
        <w:autoSpaceDN w:val="0"/>
        <w:adjustRightInd w:val="0"/>
        <w:rPr>
          <w:rFonts w:cs="Calibri"/>
          <w:highlight w:val="yellow"/>
        </w:rPr>
      </w:pPr>
    </w:p>
    <w:p w:rsidR="0001310B" w:rsidRPr="00D03E3F" w:rsidRDefault="0001310B" w:rsidP="0001310B">
      <w:pPr>
        <w:autoSpaceDE w:val="0"/>
        <w:autoSpaceDN w:val="0"/>
        <w:adjustRightInd w:val="0"/>
        <w:rPr>
          <w:rFonts w:cs="Calibri"/>
        </w:rPr>
      </w:pPr>
      <w:r w:rsidRPr="00D03E3F">
        <w:rPr>
          <w:rFonts w:cs="Calibri"/>
        </w:rPr>
        <w:t xml:space="preserve">The evaluation contractor’s primary M&amp;V efforts for REEP varied based on the program component. For efficiency kits and rebates, the primary M&amp;V activity included a telephone survey of a random sample of participants, based on subprogram strata, to verify installations and estimate installation rates. </w:t>
      </w:r>
      <w:r>
        <w:rPr>
          <w:rFonts w:cs="Calibri"/>
        </w:rPr>
        <w:t xml:space="preserve">The REEP rebates evaluation also included an application review for the same sample of phone verification participants. </w:t>
      </w:r>
      <w:r w:rsidRPr="00D03E3F">
        <w:rPr>
          <w:rFonts w:cs="Calibri"/>
        </w:rPr>
        <w:t xml:space="preserve">The non-lighting </w:t>
      </w:r>
      <w:r>
        <w:rPr>
          <w:rFonts w:cs="Calibri"/>
        </w:rPr>
        <w:t xml:space="preserve">evaluation </w:t>
      </w:r>
      <w:r w:rsidRPr="00D03E3F">
        <w:rPr>
          <w:rFonts w:cs="Calibri"/>
        </w:rPr>
        <w:t xml:space="preserve">approach included random sampling of participants using a simple ratio estimator </w:t>
      </w:r>
      <w:r w:rsidRPr="003B3C24">
        <w:t>(a statistical parameter which is the ratio of the means of two variables)</w:t>
      </w:r>
      <w:r>
        <w:t xml:space="preserve"> </w:t>
      </w:r>
      <w:r w:rsidRPr="00D03E3F">
        <w:rPr>
          <w:rFonts w:cs="Calibri"/>
        </w:rPr>
        <w:t xml:space="preserve">to review the measure and project qualification, verify participation and installation, verify deemed savings application, and then apply the sample population realization rate to the entire participant population. The upstream lighting component received database verification consistent with the SWE audit approach and verified the PMRS tracking database records against the implementer-based invoicing system (ECOVA) and included a complete baseline wattage review and TRM algorithm verification. </w:t>
      </w:r>
    </w:p>
    <w:p w:rsidR="0001310B" w:rsidRPr="003A4AF5" w:rsidRDefault="0001310B" w:rsidP="0001310B">
      <w:pPr>
        <w:autoSpaceDE w:val="0"/>
        <w:autoSpaceDN w:val="0"/>
        <w:adjustRightInd w:val="0"/>
        <w:rPr>
          <w:rFonts w:cs="Calibri"/>
          <w:highlight w:val="yellow"/>
        </w:rPr>
      </w:pPr>
    </w:p>
    <w:p w:rsidR="0001310B" w:rsidRPr="003A4AF5" w:rsidRDefault="0001310B" w:rsidP="0001310B">
      <w:pPr>
        <w:autoSpaceDE w:val="0"/>
        <w:autoSpaceDN w:val="0"/>
        <w:adjustRightInd w:val="0"/>
        <w:rPr>
          <w:rFonts w:cs="Calibri"/>
          <w:highlight w:val="yellow"/>
        </w:rPr>
      </w:pPr>
      <w:r w:rsidRPr="00D03E3F">
        <w:rPr>
          <w:rFonts w:cs="Calibri"/>
        </w:rPr>
        <w:t>Similar to the results of the PY6 evaluation, the kits component of the program had the lowest realization rate, which is attributable to participants n</w:t>
      </w:r>
      <w:r w:rsidRPr="00514278">
        <w:rPr>
          <w:rFonts w:cs="Calibri"/>
        </w:rPr>
        <w:t>ot installing some or all of the CFLs (n=4 of 15 did not install any), smart strips (n=4 of 15 are not using</w:t>
      </w:r>
      <w:r>
        <w:rPr>
          <w:rFonts w:cs="Calibri"/>
        </w:rPr>
        <w:t xml:space="preserve"> the measure</w:t>
      </w:r>
      <w:r w:rsidRPr="00514278">
        <w:rPr>
          <w:rFonts w:cs="Calibri"/>
        </w:rPr>
        <w:t xml:space="preserve">), or LED nightlights (n=2 of 15 did not install). Installation rates for the kits </w:t>
      </w:r>
      <w:r>
        <w:rPr>
          <w:rFonts w:cs="Calibri"/>
        </w:rPr>
        <w:t xml:space="preserve">have </w:t>
      </w:r>
      <w:r w:rsidRPr="00514278">
        <w:rPr>
          <w:rFonts w:cs="Calibri"/>
        </w:rPr>
        <w:t>remained unchanged</w:t>
      </w:r>
      <w:r>
        <w:rPr>
          <w:rFonts w:cs="Calibri"/>
        </w:rPr>
        <w:t>—at about 63%—since PY6</w:t>
      </w:r>
      <w:r w:rsidRPr="00514278">
        <w:rPr>
          <w:rFonts w:cs="Calibri"/>
        </w:rPr>
        <w:t>.</w:t>
      </w:r>
      <w:r w:rsidRPr="00294451">
        <w:rPr>
          <w:rFonts w:cs="Calibri"/>
        </w:rPr>
        <w:t xml:space="preserve"> </w:t>
      </w:r>
      <w:r>
        <w:rPr>
          <w:rFonts w:cs="Calibri"/>
        </w:rPr>
        <w:t>The achieved sample size fell well short of the EM&amp;V planned sample size due to the low PY7 participation levels for this program. T</w:t>
      </w:r>
      <w:r w:rsidRPr="00294451">
        <w:rPr>
          <w:rFonts w:cs="Calibri"/>
        </w:rPr>
        <w:t>he energy savings realization rate for REEP (rebate, kits, and upstream components combined) has improved, climbing from 95% in PY5 to 99% in PY6 and 101% in PY7. The</w:t>
      </w:r>
      <w:r w:rsidRPr="003B3C24">
        <w:rPr>
          <w:rFonts w:cs="Calibri"/>
        </w:rPr>
        <w:t xml:space="preserve"> improvement can be attributed to the </w:t>
      </w:r>
      <w:r>
        <w:rPr>
          <w:rFonts w:cs="Calibri"/>
        </w:rPr>
        <w:t xml:space="preserve">improvement in application of TRM savings within the PMRS database coupled with the </w:t>
      </w:r>
      <w:r w:rsidRPr="003B3C24">
        <w:rPr>
          <w:rFonts w:cs="Calibri"/>
        </w:rPr>
        <w:t xml:space="preserve">shift in overall savings toward the upstream lighting component: in PY5, the upstream lighting component represented 82% of REEP savings, compared with 95% in </w:t>
      </w:r>
      <w:r w:rsidRPr="00294451">
        <w:rPr>
          <w:rFonts w:cs="Calibri"/>
        </w:rPr>
        <w:t>PY6 and PY7.</w:t>
      </w:r>
    </w:p>
    <w:p w:rsidR="0001310B" w:rsidRPr="003A4AF5" w:rsidRDefault="0001310B" w:rsidP="0001310B">
      <w:pPr>
        <w:autoSpaceDE w:val="0"/>
        <w:autoSpaceDN w:val="0"/>
        <w:adjustRightInd w:val="0"/>
        <w:rPr>
          <w:rFonts w:cs="Calibri"/>
          <w:highlight w:val="yellow"/>
        </w:rPr>
      </w:pPr>
    </w:p>
    <w:p w:rsidR="0001310B" w:rsidRPr="003A4AF5" w:rsidRDefault="0001310B" w:rsidP="0001310B">
      <w:pPr>
        <w:autoSpaceDE w:val="0"/>
        <w:autoSpaceDN w:val="0"/>
        <w:adjustRightInd w:val="0"/>
        <w:rPr>
          <w:rFonts w:cs="Calibri"/>
          <w:highlight w:val="yellow"/>
        </w:rPr>
      </w:pPr>
      <w:r w:rsidRPr="003B3C24">
        <w:t>The evaluation contractor’s primary M&amp;V efforts for SEP included a survey of a random sample of participants to verify installations and estimate realization rates. The approach included random sampling of participants using a simple ratio estimator to review the measure and project qualification, verify participation and installation, verify deemed savings application, an</w:t>
      </w:r>
      <w:r w:rsidRPr="008C48EB">
        <w:t xml:space="preserve">d then apply the sample population realization rate to the entire participant population. </w:t>
      </w:r>
      <w:r>
        <w:rPr>
          <w:rFonts w:cs="Calibri"/>
        </w:rPr>
        <w:t xml:space="preserve">The achieved sample size fell well short of the EM&amp;V planned sample size due to the low PY7 participation levels for this program. </w:t>
      </w:r>
      <w:r w:rsidRPr="008C48EB">
        <w:t xml:space="preserve">The relatively low savings realization rate of SEP is due to </w:t>
      </w:r>
      <w:r w:rsidRPr="008C48EB">
        <w:rPr>
          <w:rFonts w:cs="Calibri"/>
        </w:rPr>
        <w:t xml:space="preserve">participants not installing the CFLs </w:t>
      </w:r>
      <w:r>
        <w:rPr>
          <w:rFonts w:cs="Calibri"/>
        </w:rPr>
        <w:t xml:space="preserve">and smart strips </w:t>
      </w:r>
      <w:r w:rsidRPr="008C48EB">
        <w:rPr>
          <w:rFonts w:cs="Calibri"/>
        </w:rPr>
        <w:t>(n=</w:t>
      </w:r>
      <w:r>
        <w:rPr>
          <w:rFonts w:cs="Calibri"/>
        </w:rPr>
        <w:t>8</w:t>
      </w:r>
      <w:r w:rsidRPr="008C48EB">
        <w:rPr>
          <w:rFonts w:cs="Calibri"/>
        </w:rPr>
        <w:t xml:space="preserve"> out of </w:t>
      </w:r>
      <w:r>
        <w:rPr>
          <w:rFonts w:cs="Calibri"/>
        </w:rPr>
        <w:t>27</w:t>
      </w:r>
      <w:r w:rsidRPr="008C48EB">
        <w:rPr>
          <w:rFonts w:cs="Calibri"/>
        </w:rPr>
        <w:t>) and LED limelights (n=</w:t>
      </w:r>
      <w:r>
        <w:rPr>
          <w:rFonts w:cs="Calibri"/>
        </w:rPr>
        <w:t>14</w:t>
      </w:r>
      <w:r w:rsidRPr="008C48EB">
        <w:rPr>
          <w:rFonts w:cs="Calibri"/>
        </w:rPr>
        <w:t xml:space="preserve"> out of </w:t>
      </w:r>
      <w:r>
        <w:rPr>
          <w:rFonts w:cs="Calibri"/>
        </w:rPr>
        <w:t>27</w:t>
      </w:r>
      <w:r w:rsidRPr="008C48EB">
        <w:rPr>
          <w:rFonts w:cs="Calibri"/>
        </w:rPr>
        <w:t>)</w:t>
      </w:r>
      <w:r>
        <w:rPr>
          <w:rFonts w:cs="Calibri"/>
        </w:rPr>
        <w:t>.</w:t>
      </w:r>
      <w:r w:rsidRPr="008C48EB">
        <w:rPr>
          <w:rFonts w:cs="Calibri"/>
        </w:rPr>
        <w:t xml:space="preserve"> Though the energy savings realization rate for this program had declined from PY5 (73%) to PY6 (56%), it rebounded in PY7</w:t>
      </w:r>
      <w:r w:rsidR="00833FC6">
        <w:rPr>
          <w:rFonts w:cs="Calibri"/>
        </w:rPr>
        <w:t xml:space="preserve"> (66%)</w:t>
      </w:r>
      <w:r>
        <w:rPr>
          <w:rFonts w:cs="Calibri"/>
        </w:rPr>
        <w:t>.</w:t>
      </w:r>
      <w:r>
        <w:rPr>
          <w:rStyle w:val="FootnoteReference"/>
        </w:rPr>
        <w:footnoteReference w:id="54"/>
      </w:r>
      <w:r w:rsidRPr="008C48EB">
        <w:rPr>
          <w:rFonts w:cs="Calibri"/>
        </w:rPr>
        <w:t xml:space="preserve"> </w:t>
      </w:r>
    </w:p>
    <w:p w:rsidR="0001310B" w:rsidRPr="003A4AF5" w:rsidRDefault="0001310B" w:rsidP="0001310B">
      <w:pPr>
        <w:autoSpaceDE w:val="0"/>
        <w:autoSpaceDN w:val="0"/>
        <w:adjustRightInd w:val="0"/>
        <w:rPr>
          <w:rFonts w:cs="Calibri"/>
          <w:highlight w:val="yellow"/>
        </w:rPr>
      </w:pPr>
    </w:p>
    <w:p w:rsidR="0001310B" w:rsidRPr="003A4AF5" w:rsidRDefault="0001310B" w:rsidP="0001310B">
      <w:pPr>
        <w:rPr>
          <w:highlight w:val="yellow"/>
        </w:rPr>
      </w:pPr>
      <w:r w:rsidRPr="003B3C24">
        <w:rPr>
          <w:rFonts w:cs="Calibri"/>
        </w:rPr>
        <w:t xml:space="preserve">The evaluation contractor’s primary RARP M&amp;V efforts included a survey of a random sample of participants to verify removal or replacement and estimate realization rates. </w:t>
      </w:r>
      <w:r w:rsidRPr="003B3C24">
        <w:t xml:space="preserve">The approach included random sampling of participants using a simple ratio estimator to review the measure and project qualification, verify participation and installation, verify deemed savings application, and then apply the sample population realization rate to the entire participant population. </w:t>
      </w:r>
      <w:r w:rsidRPr="008A79A5">
        <w:rPr>
          <w:rFonts w:cs="Calibri"/>
        </w:rPr>
        <w:t>The energy realization rate for this program has remained high, at 102% in PY5, 101% in PY6, and 101% in PY7.</w:t>
      </w:r>
    </w:p>
    <w:p w:rsidR="0001310B" w:rsidRPr="003A4AF5" w:rsidRDefault="0001310B" w:rsidP="0001310B">
      <w:pPr>
        <w:rPr>
          <w:highlight w:val="yellow"/>
        </w:rPr>
      </w:pPr>
    </w:p>
    <w:p w:rsidR="0001310B" w:rsidRPr="003A4AF5" w:rsidRDefault="0001310B" w:rsidP="0001310B">
      <w:pPr>
        <w:autoSpaceDE w:val="0"/>
        <w:autoSpaceDN w:val="0"/>
        <w:adjustRightInd w:val="0"/>
        <w:rPr>
          <w:rFonts w:eastAsia="Calibri" w:cs="Calibri"/>
          <w:highlight w:val="yellow"/>
        </w:rPr>
      </w:pPr>
      <w:r w:rsidRPr="00076DA4">
        <w:rPr>
          <w:rFonts w:cs="Calibri"/>
        </w:rPr>
        <w:t>The WHEAP is a relatively new program</w:t>
      </w:r>
      <w:r>
        <w:rPr>
          <w:rFonts w:cs="Calibri"/>
        </w:rPr>
        <w:t>,</w:t>
      </w:r>
      <w:r w:rsidRPr="00076DA4">
        <w:rPr>
          <w:rFonts w:cs="Calibri"/>
        </w:rPr>
        <w:t xml:space="preserve"> with </w:t>
      </w:r>
      <w:r>
        <w:rPr>
          <w:rFonts w:cs="Calibri"/>
        </w:rPr>
        <w:t xml:space="preserve">rollout </w:t>
      </w:r>
      <w:r w:rsidRPr="00076DA4">
        <w:rPr>
          <w:rFonts w:cs="Calibri"/>
        </w:rPr>
        <w:t xml:space="preserve">first occurring in PY6. The </w:t>
      </w:r>
      <w:r w:rsidRPr="00076DA4">
        <w:t xml:space="preserve">evaluation contractor’s primary M&amp;V efforts included a survey of a random sample of participants to verify installations and estimate verification rates. The approach included random sampling of participants using a simple ratio estimator to review the measure and project qualification, verify participation and installation, verify deemed savings application, and then apply the sample population realization rate to the entire participant population. </w:t>
      </w:r>
      <w:r>
        <w:rPr>
          <w:rFonts w:cs="Calibri"/>
        </w:rPr>
        <w:t xml:space="preserve">The achieved sample size fell well short of the EM&amp;V planned sample size due to the low PY7 participation levels for this program. </w:t>
      </w:r>
      <w:r w:rsidRPr="00076DA4">
        <w:rPr>
          <w:rFonts w:eastAsia="Calibri" w:cs="Calibri"/>
        </w:rPr>
        <w:t xml:space="preserve">For the </w:t>
      </w:r>
      <w:r>
        <w:rPr>
          <w:rFonts w:eastAsia="Calibri" w:cs="Calibri"/>
        </w:rPr>
        <w:t xml:space="preserve">previous </w:t>
      </w:r>
      <w:r w:rsidRPr="00076DA4">
        <w:rPr>
          <w:rFonts w:eastAsia="Calibri" w:cs="Calibri"/>
        </w:rPr>
        <w:t xml:space="preserve">PY6 WHEAP impact evaluation, two strata were defined (exclusive of LIEEP participants): </w:t>
      </w:r>
      <w:r>
        <w:rPr>
          <w:rFonts w:eastAsia="Calibri" w:cs="Calibri"/>
        </w:rPr>
        <w:t>w</w:t>
      </w:r>
      <w:r w:rsidRPr="00076DA4">
        <w:rPr>
          <w:rFonts w:eastAsia="Calibri" w:cs="Calibri"/>
        </w:rPr>
        <w:t xml:space="preserve">hole </w:t>
      </w:r>
      <w:r>
        <w:rPr>
          <w:rFonts w:eastAsia="Calibri" w:cs="Calibri"/>
        </w:rPr>
        <w:t>h</w:t>
      </w:r>
      <w:r w:rsidRPr="00076DA4">
        <w:rPr>
          <w:rFonts w:eastAsia="Calibri" w:cs="Calibri"/>
        </w:rPr>
        <w:t xml:space="preserve">ouse </w:t>
      </w:r>
      <w:r>
        <w:rPr>
          <w:rFonts w:eastAsia="Calibri" w:cs="Calibri"/>
        </w:rPr>
        <w:t>s</w:t>
      </w:r>
      <w:r w:rsidRPr="00076DA4">
        <w:rPr>
          <w:rFonts w:eastAsia="Calibri" w:cs="Calibri"/>
        </w:rPr>
        <w:t xml:space="preserve">mall and </w:t>
      </w:r>
      <w:r>
        <w:rPr>
          <w:rFonts w:eastAsia="Calibri" w:cs="Calibri"/>
        </w:rPr>
        <w:t>w</w:t>
      </w:r>
      <w:r w:rsidRPr="00076DA4">
        <w:rPr>
          <w:rFonts w:eastAsia="Calibri" w:cs="Calibri"/>
        </w:rPr>
        <w:t xml:space="preserve">hole </w:t>
      </w:r>
      <w:r>
        <w:rPr>
          <w:rFonts w:eastAsia="Calibri" w:cs="Calibri"/>
        </w:rPr>
        <w:t>h</w:t>
      </w:r>
      <w:r w:rsidRPr="00076DA4">
        <w:rPr>
          <w:rFonts w:eastAsia="Calibri" w:cs="Calibri"/>
        </w:rPr>
        <w:t xml:space="preserve">ouse </w:t>
      </w:r>
      <w:r>
        <w:rPr>
          <w:rFonts w:eastAsia="Calibri" w:cs="Calibri"/>
        </w:rPr>
        <w:t>l</w:t>
      </w:r>
      <w:r w:rsidRPr="00076DA4">
        <w:rPr>
          <w:rFonts w:eastAsia="Calibri" w:cs="Calibri"/>
        </w:rPr>
        <w:t xml:space="preserve">arge. Based on the results of the PY6 evaluation, Navigant noted in the PY7 report that there wasn’t the anticipated level of installation rate variation across these two strata. It was because of the lack of variation coupled with the smaller overall </w:t>
      </w:r>
      <w:r>
        <w:rPr>
          <w:rFonts w:eastAsia="Calibri" w:cs="Calibri"/>
        </w:rPr>
        <w:t xml:space="preserve">PY7 </w:t>
      </w:r>
      <w:r w:rsidRPr="00076DA4">
        <w:rPr>
          <w:rFonts w:eastAsia="Calibri" w:cs="Calibri"/>
        </w:rPr>
        <w:t xml:space="preserve">population size that Navigant chose to create a </w:t>
      </w:r>
      <w:r>
        <w:rPr>
          <w:rFonts w:eastAsia="Calibri" w:cs="Calibri"/>
        </w:rPr>
        <w:t xml:space="preserve">single-stratum </w:t>
      </w:r>
      <w:r w:rsidRPr="00076DA4">
        <w:rPr>
          <w:rFonts w:eastAsia="Calibri" w:cs="Calibri"/>
        </w:rPr>
        <w:t>sample for PY7.</w:t>
      </w:r>
      <w:r w:rsidRPr="003A4AF5">
        <w:rPr>
          <w:rFonts w:eastAsia="Calibri" w:cs="Calibri"/>
          <w:highlight w:val="yellow"/>
        </w:rPr>
        <w:t xml:space="preserve"> </w:t>
      </w:r>
    </w:p>
    <w:p w:rsidR="0001310B" w:rsidRPr="003A4AF5" w:rsidRDefault="0001310B" w:rsidP="0001310B">
      <w:pPr>
        <w:autoSpaceDE w:val="0"/>
        <w:autoSpaceDN w:val="0"/>
        <w:adjustRightInd w:val="0"/>
        <w:rPr>
          <w:rFonts w:eastAsia="Calibri" w:cs="Calibri"/>
          <w:highlight w:val="yellow"/>
        </w:rPr>
      </w:pPr>
    </w:p>
    <w:p w:rsidR="0001310B" w:rsidRPr="003F5952" w:rsidRDefault="0001310B" w:rsidP="0001310B">
      <w:pPr>
        <w:autoSpaceDE w:val="0"/>
        <w:autoSpaceDN w:val="0"/>
        <w:adjustRightInd w:val="0"/>
        <w:rPr>
          <w:rFonts w:cs="Calibri"/>
          <w:color w:val="FF0000"/>
          <w:highlight w:val="yellow"/>
        </w:rPr>
      </w:pPr>
      <w:r w:rsidRPr="00762061">
        <w:rPr>
          <w:rFonts w:eastAsia="Calibri" w:cs="Calibri"/>
        </w:rPr>
        <w:t>The</w:t>
      </w:r>
      <w:r w:rsidRPr="00386924">
        <w:rPr>
          <w:rFonts w:eastAsia="Calibri" w:cs="Calibri"/>
        </w:rPr>
        <w:t xml:space="preserve"> PY7 </w:t>
      </w:r>
      <w:r>
        <w:rPr>
          <w:rFonts w:eastAsia="Calibri" w:cs="Calibri"/>
        </w:rPr>
        <w:t xml:space="preserve">WHEAP </w:t>
      </w:r>
      <w:r w:rsidRPr="00386924">
        <w:rPr>
          <w:rFonts w:eastAsia="Calibri" w:cs="Calibri"/>
        </w:rPr>
        <w:t xml:space="preserve">evaluation </w:t>
      </w:r>
      <w:r w:rsidRPr="00C34F3B">
        <w:rPr>
          <w:rFonts w:eastAsia="Calibri" w:cs="Calibri"/>
        </w:rPr>
        <w:t>found that a majority of WHEAP customers were low-income</w:t>
      </w:r>
      <w:r>
        <w:rPr>
          <w:rFonts w:eastAsia="Calibri" w:cs="Calibri"/>
        </w:rPr>
        <w:t>–consistent with PY6 results</w:t>
      </w:r>
      <w:r w:rsidRPr="00C34F3B">
        <w:rPr>
          <w:rFonts w:eastAsia="Calibri" w:cs="Calibri"/>
        </w:rPr>
        <w:t>. Navigant reviewed CSP documentation against the PMRS system data to confirm the appropriate classification of participants as market</w:t>
      </w:r>
      <w:r>
        <w:rPr>
          <w:rFonts w:eastAsia="Calibri" w:cs="Calibri"/>
        </w:rPr>
        <w:t>-</w:t>
      </w:r>
      <w:r w:rsidRPr="00C34F3B">
        <w:rPr>
          <w:rFonts w:eastAsia="Calibri" w:cs="Calibri"/>
        </w:rPr>
        <w:t>rate or low</w:t>
      </w:r>
      <w:r>
        <w:rPr>
          <w:rFonts w:eastAsia="Calibri" w:cs="Calibri"/>
        </w:rPr>
        <w:t>-</w:t>
      </w:r>
      <w:r w:rsidRPr="00C34F3B">
        <w:rPr>
          <w:rFonts w:eastAsia="Calibri" w:cs="Calibri"/>
        </w:rPr>
        <w:t>income and noted that the classification as low</w:t>
      </w:r>
      <w:r>
        <w:rPr>
          <w:rFonts w:eastAsia="Calibri" w:cs="Calibri"/>
        </w:rPr>
        <w:t>-</w:t>
      </w:r>
      <w:r w:rsidRPr="00C34F3B">
        <w:rPr>
          <w:rFonts w:eastAsia="Calibri" w:cs="Calibri"/>
        </w:rPr>
        <w:t xml:space="preserve">income was not always reflected in PMRS. Navigant reclassified participants and associated reported savings from WHEAP to LIEEP WHEAP where appropriate. </w:t>
      </w:r>
      <w:r>
        <w:rPr>
          <w:rFonts w:eastAsia="Calibri" w:cs="Calibri"/>
        </w:rPr>
        <w:t xml:space="preserve">The </w:t>
      </w:r>
      <w:r w:rsidRPr="00386924">
        <w:rPr>
          <w:rFonts w:eastAsia="Calibri" w:cs="Calibri"/>
        </w:rPr>
        <w:t>small evaluation sample</w:t>
      </w:r>
      <w:r>
        <w:rPr>
          <w:rStyle w:val="FootnoteReference"/>
          <w:rFonts w:eastAsia="Calibri"/>
        </w:rPr>
        <w:footnoteReference w:id="55"/>
      </w:r>
      <w:r w:rsidRPr="00386924">
        <w:rPr>
          <w:rFonts w:eastAsia="Calibri" w:cs="Calibri"/>
        </w:rPr>
        <w:t xml:space="preserve"> contained 50% more LIEEP participants than market</w:t>
      </w:r>
      <w:r>
        <w:rPr>
          <w:rFonts w:eastAsia="Calibri" w:cs="Calibri"/>
        </w:rPr>
        <w:t>-</w:t>
      </w:r>
      <w:r w:rsidRPr="00386924">
        <w:rPr>
          <w:rFonts w:eastAsia="Calibri" w:cs="Calibri"/>
        </w:rPr>
        <w:t>rate, for a combined sample size of only 22 participants</w:t>
      </w:r>
      <w:r>
        <w:rPr>
          <w:rFonts w:eastAsia="Calibri" w:cs="Calibri"/>
        </w:rPr>
        <w:t xml:space="preserve"> (9 market-rate, 13 low-income)</w:t>
      </w:r>
      <w:r w:rsidRPr="00386924">
        <w:rPr>
          <w:rFonts w:eastAsia="Calibri" w:cs="Calibri"/>
        </w:rPr>
        <w:t>. Because of the small sample size, Navigant decided to combine the market</w:t>
      </w:r>
      <w:r>
        <w:rPr>
          <w:rFonts w:eastAsia="Calibri" w:cs="Calibri"/>
        </w:rPr>
        <w:t>-</w:t>
      </w:r>
      <w:r w:rsidRPr="00386924">
        <w:rPr>
          <w:rFonts w:eastAsia="Calibri" w:cs="Calibri"/>
        </w:rPr>
        <w:t>rate and LIEEP participants into a single stratum</w:t>
      </w:r>
      <w:r>
        <w:rPr>
          <w:rFonts w:eastAsia="Calibri" w:cs="Calibri"/>
        </w:rPr>
        <w:t>,</w:t>
      </w:r>
      <w:r w:rsidRPr="00386924">
        <w:rPr>
          <w:rFonts w:eastAsia="Calibri" w:cs="Calibri"/>
        </w:rPr>
        <w:t xml:space="preserve"> to increase the verification precision.</w:t>
      </w:r>
      <w:r>
        <w:rPr>
          <w:rFonts w:eastAsia="Calibri" w:cs="Calibri"/>
        </w:rPr>
        <w:t xml:space="preserve"> </w:t>
      </w:r>
      <w:r w:rsidRPr="00C34F3B">
        <w:rPr>
          <w:rFonts w:eastAsia="Calibri" w:cs="Calibri"/>
        </w:rPr>
        <w:t xml:space="preserve">The evaluation found WHEAP energy realization rates </w:t>
      </w:r>
      <w:r>
        <w:rPr>
          <w:rFonts w:eastAsia="Calibri" w:cs="Calibri"/>
        </w:rPr>
        <w:t>to be</w:t>
      </w:r>
      <w:r w:rsidRPr="00C34F3B">
        <w:rPr>
          <w:rFonts w:eastAsia="Calibri" w:cs="Calibri"/>
        </w:rPr>
        <w:t xml:space="preserve"> 89</w:t>
      </w:r>
      <w:r>
        <w:rPr>
          <w:rFonts w:eastAsia="Calibri" w:cs="Calibri"/>
        </w:rPr>
        <w:t>%</w:t>
      </w:r>
      <w:r w:rsidRPr="00C34F3B">
        <w:rPr>
          <w:rFonts w:eastAsia="Calibri" w:cs="Calibri"/>
        </w:rPr>
        <w:t xml:space="preserve">, proving yet again that even with </w:t>
      </w:r>
      <w:r>
        <w:rPr>
          <w:rFonts w:eastAsia="Calibri" w:cs="Calibri"/>
        </w:rPr>
        <w:t xml:space="preserve">a </w:t>
      </w:r>
      <w:r w:rsidRPr="00C34F3B">
        <w:rPr>
          <w:rFonts w:eastAsia="Calibri" w:cs="Calibri"/>
        </w:rPr>
        <w:t xml:space="preserve">direct installation </w:t>
      </w:r>
      <w:r>
        <w:rPr>
          <w:rFonts w:eastAsia="Calibri" w:cs="Calibri"/>
        </w:rPr>
        <w:t xml:space="preserve">program </w:t>
      </w:r>
      <w:r w:rsidRPr="00C34F3B">
        <w:rPr>
          <w:rFonts w:eastAsia="Calibri" w:cs="Calibri"/>
        </w:rPr>
        <w:t xml:space="preserve">delivery, </w:t>
      </w:r>
      <w:r>
        <w:rPr>
          <w:rFonts w:eastAsia="Calibri" w:cs="Calibri"/>
        </w:rPr>
        <w:t>participants can be expected to remove some of the installed equipment</w:t>
      </w:r>
      <w:r w:rsidRPr="00C34F3B">
        <w:rPr>
          <w:rFonts w:eastAsia="Calibri" w:cs="Calibri"/>
        </w:rPr>
        <w:t xml:space="preserve">. </w:t>
      </w:r>
      <w:r>
        <w:rPr>
          <w:rFonts w:eastAsia="Calibri" w:cs="Calibri"/>
        </w:rPr>
        <w:t xml:space="preserve">As an example, Navigant noted that </w:t>
      </w:r>
      <w:r w:rsidRPr="003859C1">
        <w:rPr>
          <w:rFonts w:eastAsia="Calibri" w:cs="Calibri"/>
        </w:rPr>
        <w:t xml:space="preserve">one participant reported that only 1 of the 10 CFLs remained installed: some lamps had either broken or burned out. </w:t>
      </w:r>
    </w:p>
    <w:p w:rsidR="0001310B" w:rsidRPr="003A4AF5" w:rsidRDefault="0001310B" w:rsidP="0001310B">
      <w:pPr>
        <w:rPr>
          <w:highlight w:val="yellow"/>
        </w:rPr>
      </w:pPr>
    </w:p>
    <w:p w:rsidR="0001310B" w:rsidRPr="00FE7A6E" w:rsidRDefault="0001310B" w:rsidP="0001310B">
      <w:pPr>
        <w:autoSpaceDE w:val="0"/>
        <w:autoSpaceDN w:val="0"/>
        <w:adjustRightInd w:val="0"/>
        <w:rPr>
          <w:rFonts w:eastAsia="Calibri" w:cs="Calibri"/>
        </w:rPr>
      </w:pPr>
      <w:r w:rsidRPr="00C736CE">
        <w:rPr>
          <w:rFonts w:cs="Calibri"/>
        </w:rPr>
        <w:t>The evaluation contractor’s primary M&amp;V efforts for LIEEP included a survey of a random sample of participants based on subprogram strata (</w:t>
      </w:r>
      <w:r>
        <w:rPr>
          <w:rFonts w:cs="Calibri"/>
        </w:rPr>
        <w:t xml:space="preserve">equipment rebates, </w:t>
      </w:r>
      <w:r w:rsidRPr="00C736CE">
        <w:rPr>
          <w:rFonts w:cs="Calibri"/>
        </w:rPr>
        <w:t>effi</w:t>
      </w:r>
      <w:r>
        <w:rPr>
          <w:rFonts w:cs="Calibri"/>
        </w:rPr>
        <w:t xml:space="preserve">ciency kits, </w:t>
      </w:r>
      <w:r w:rsidRPr="00C736CE">
        <w:rPr>
          <w:rFonts w:cs="Calibri"/>
        </w:rPr>
        <w:t>SEP</w:t>
      </w:r>
      <w:r>
        <w:rPr>
          <w:rFonts w:cs="Calibri"/>
        </w:rPr>
        <w:t>, RARP</w:t>
      </w:r>
      <w:r w:rsidRPr="00C736CE">
        <w:rPr>
          <w:rFonts w:cs="Calibri"/>
        </w:rPr>
        <w:t xml:space="preserve">, </w:t>
      </w:r>
      <w:r>
        <w:rPr>
          <w:rFonts w:cs="Calibri"/>
        </w:rPr>
        <w:t xml:space="preserve">and </w:t>
      </w:r>
      <w:r w:rsidRPr="00C736CE">
        <w:rPr>
          <w:rFonts w:cs="Calibri"/>
        </w:rPr>
        <w:t>WHEAP) to verify installations and estimate installation rates.</w:t>
      </w:r>
      <w:r w:rsidRPr="00C736CE">
        <w:rPr>
          <w:rStyle w:val="FootnoteReference"/>
        </w:rPr>
        <w:footnoteReference w:id="56"/>
      </w:r>
      <w:r w:rsidRPr="00C736CE">
        <w:rPr>
          <w:rFonts w:cs="Calibri"/>
        </w:rPr>
        <w:t xml:space="preserve"> The upstream lighting </w:t>
      </w:r>
      <w:r>
        <w:rPr>
          <w:rFonts w:cs="Calibri"/>
        </w:rPr>
        <w:t xml:space="preserve">and HER </w:t>
      </w:r>
      <w:r w:rsidRPr="00C736CE">
        <w:rPr>
          <w:rFonts w:cs="Calibri"/>
        </w:rPr>
        <w:t>component</w:t>
      </w:r>
      <w:r>
        <w:rPr>
          <w:rFonts w:cs="Calibri"/>
        </w:rPr>
        <w:t>s</w:t>
      </w:r>
      <w:r w:rsidRPr="00C736CE">
        <w:rPr>
          <w:rFonts w:cs="Calibri"/>
        </w:rPr>
        <w:t xml:space="preserve"> </w:t>
      </w:r>
      <w:r>
        <w:rPr>
          <w:rFonts w:cs="Calibri"/>
        </w:rPr>
        <w:t xml:space="preserve">were </w:t>
      </w:r>
      <w:r w:rsidRPr="00C736CE">
        <w:rPr>
          <w:rFonts w:cs="Calibri"/>
        </w:rPr>
        <w:t>evaluated separately</w:t>
      </w:r>
      <w:r>
        <w:rPr>
          <w:rFonts w:cs="Calibri"/>
        </w:rPr>
        <w:t>.</w:t>
      </w:r>
      <w:r w:rsidRPr="00C736CE">
        <w:rPr>
          <w:rFonts w:cs="Calibri"/>
        </w:rPr>
        <w:t xml:space="preserve"> </w:t>
      </w:r>
      <w:r>
        <w:rPr>
          <w:rFonts w:cs="Calibri"/>
        </w:rPr>
        <w:t xml:space="preserve">The upstream lighting component </w:t>
      </w:r>
      <w:r w:rsidRPr="00C736CE">
        <w:rPr>
          <w:rFonts w:cs="Calibri"/>
        </w:rPr>
        <w:t>received database verification consistent with the SWE audit approach, and verified the PMRS tracking database records against the implementer-based invoicing system (ECOVA)</w:t>
      </w:r>
      <w:r w:rsidRPr="00C736CE">
        <w:rPr>
          <w:rFonts w:eastAsia="Calibri" w:cs="Calibri"/>
        </w:rPr>
        <w:t xml:space="preserve">. </w:t>
      </w:r>
      <w:r>
        <w:rPr>
          <w:rFonts w:eastAsia="Calibri" w:cs="Calibri"/>
        </w:rPr>
        <w:t xml:space="preserve">The low-income HER component evaluation included the same overall HER </w:t>
      </w:r>
      <w:r w:rsidRPr="00FE7A6E">
        <w:rPr>
          <w:rFonts w:eastAsia="Calibri" w:cs="Calibri"/>
        </w:rPr>
        <w:t xml:space="preserve">approach, which included a billing analysis. </w:t>
      </w:r>
      <w:r w:rsidRPr="00FE7A6E">
        <w:rPr>
          <w:rFonts w:cs="Calibri"/>
        </w:rPr>
        <w:t>The LIEEP-based percentage of upstream lighting CFLs was assigned based on the previous PY6 general population telephone survey (4.9% in PY6). In addition, 2.3% of all LEDs were assigned to LIEEP</w:t>
      </w:r>
      <w:r>
        <w:rPr>
          <w:rFonts w:cs="Calibri"/>
        </w:rPr>
        <w:t xml:space="preserve">; </w:t>
      </w:r>
      <w:r w:rsidRPr="00FE7A6E">
        <w:rPr>
          <w:rFonts w:eastAsia="Calibri" w:cs="Calibri"/>
        </w:rPr>
        <w:t>the associated levels of savings and incentive costs were allocated to LIEEP.</w:t>
      </w:r>
      <w:r w:rsidRPr="00FE7A6E">
        <w:rPr>
          <w:rFonts w:cs="Calibri"/>
        </w:rPr>
        <w:t xml:space="preserve"> The non-lighting approach included random sampling of participants using a simple ratio</w:t>
      </w:r>
      <w:r w:rsidRPr="00C736CE">
        <w:rPr>
          <w:rFonts w:cs="Calibri"/>
        </w:rPr>
        <w:t xml:space="preserve"> estimator, to review the measure and project qualification, verify participation and installation, verify deemed savings application, and then apply the sample population realization rate to the entire participant population. </w:t>
      </w:r>
    </w:p>
    <w:p w:rsidR="0001310B" w:rsidRPr="003A4AF5" w:rsidRDefault="0001310B" w:rsidP="0001310B">
      <w:pPr>
        <w:autoSpaceDE w:val="0"/>
        <w:autoSpaceDN w:val="0"/>
        <w:adjustRightInd w:val="0"/>
        <w:rPr>
          <w:rFonts w:cs="Calibri"/>
          <w:highlight w:val="yellow"/>
        </w:rPr>
      </w:pPr>
    </w:p>
    <w:p w:rsidR="0001310B" w:rsidRPr="00CE0B38" w:rsidRDefault="0001310B" w:rsidP="0001310B">
      <w:pPr>
        <w:autoSpaceDE w:val="0"/>
        <w:autoSpaceDN w:val="0"/>
        <w:adjustRightInd w:val="0"/>
        <w:rPr>
          <w:rFonts w:cs="Calibri"/>
        </w:rPr>
      </w:pPr>
      <w:r w:rsidRPr="00CE0B38">
        <w:rPr>
          <w:rFonts w:cs="Calibri"/>
        </w:rPr>
        <w:t xml:space="preserve">The SEP component of the program had the lowest realization rate, attributable to participants not installing all three measures (CFLs, smart strips, and LED nightlights). The SEP component of LIEEP showed slightly lower installation rates (63%) relative to the stand-alone SEP (69%). The kits component of LIEEP had a lower installation rate in PY7 (71%) than in PY6 (90%) but was consistent with PY5 installation rates (69%). The </w:t>
      </w:r>
      <w:r>
        <w:rPr>
          <w:rFonts w:cs="Calibri"/>
        </w:rPr>
        <w:t xml:space="preserve">overall </w:t>
      </w:r>
      <w:r w:rsidRPr="00CE0B38">
        <w:rPr>
          <w:rFonts w:cs="Calibri"/>
        </w:rPr>
        <w:t xml:space="preserve">energy savings realization rate for LIEEP has remained high, climbing from 94% in PY4 to 98% in PY6 and remaining at 98% in PY7.  </w:t>
      </w:r>
    </w:p>
    <w:p w:rsidR="0001310B" w:rsidRPr="003A4AF5" w:rsidRDefault="0001310B" w:rsidP="0001310B">
      <w:pPr>
        <w:autoSpaceDE w:val="0"/>
        <w:autoSpaceDN w:val="0"/>
        <w:adjustRightInd w:val="0"/>
        <w:rPr>
          <w:rFonts w:cs="Calibri"/>
          <w:highlight w:val="yellow"/>
        </w:rPr>
      </w:pPr>
    </w:p>
    <w:p w:rsidR="0001310B" w:rsidRDefault="0001310B" w:rsidP="0001310B">
      <w:pPr>
        <w:autoSpaceDE w:val="0"/>
        <w:autoSpaceDN w:val="0"/>
        <w:adjustRightInd w:val="0"/>
        <w:rPr>
          <w:rFonts w:eastAsia="Calibri" w:cs="Calibri"/>
        </w:rPr>
      </w:pPr>
      <w:r>
        <w:rPr>
          <w:rFonts w:eastAsia="Calibri" w:cs="Calibri"/>
        </w:rPr>
        <w:t>As in</w:t>
      </w:r>
      <w:r w:rsidRPr="00136EEE">
        <w:rPr>
          <w:rFonts w:eastAsia="Calibri" w:cs="Calibri"/>
        </w:rPr>
        <w:t xml:space="preserve"> WHEAP for market</w:t>
      </w:r>
      <w:r>
        <w:rPr>
          <w:rFonts w:eastAsia="Calibri" w:cs="Calibri"/>
        </w:rPr>
        <w:t>-</w:t>
      </w:r>
      <w:r w:rsidRPr="00136EEE">
        <w:rPr>
          <w:rFonts w:eastAsia="Calibri" w:cs="Calibri"/>
        </w:rPr>
        <w:t xml:space="preserve">rate customers, the low-income WHEAP component became active during PY6. WHEAP offers income-eligible customers whole home audits, free of charge, where auditors and assessors conduct examinations of home characteristics and offer recommendations to reduce energy consumption and improve </w:t>
      </w:r>
      <w:r w:rsidRPr="00E14394">
        <w:rPr>
          <w:rFonts w:eastAsia="Calibri" w:cs="Calibri"/>
        </w:rPr>
        <w:t>home comfort. Additionally, WHEAP offers low-income participants direct-install measures at no charge. The LIEEP component of WHEAP showed consistent installation rates</w:t>
      </w:r>
      <w:r>
        <w:rPr>
          <w:rFonts w:eastAsia="Calibri" w:cs="Calibri"/>
        </w:rPr>
        <w:t>,</w:t>
      </w:r>
      <w:r w:rsidRPr="00E14394">
        <w:rPr>
          <w:rFonts w:eastAsia="Calibri" w:cs="Calibri"/>
        </w:rPr>
        <w:t xml:space="preserve"> as </w:t>
      </w:r>
      <w:r>
        <w:rPr>
          <w:rFonts w:eastAsia="Calibri" w:cs="Calibri"/>
        </w:rPr>
        <w:t xml:space="preserve">did </w:t>
      </w:r>
      <w:r w:rsidRPr="00E14394">
        <w:rPr>
          <w:rFonts w:eastAsia="Calibri" w:cs="Calibri"/>
        </w:rPr>
        <w:t xml:space="preserve">the overall WHEAP program (89% overall). </w:t>
      </w:r>
      <w:r>
        <w:rPr>
          <w:rFonts w:eastAsia="Calibri" w:cs="Calibri"/>
        </w:rPr>
        <w:t>T</w:t>
      </w:r>
      <w:r w:rsidRPr="00E14394">
        <w:rPr>
          <w:rFonts w:eastAsia="Calibri" w:cs="Calibri"/>
        </w:rPr>
        <w:t xml:space="preserve">he LIEEP RARP verification effort confirmed that </w:t>
      </w:r>
      <w:r>
        <w:rPr>
          <w:rFonts w:eastAsia="Calibri" w:cs="Calibri"/>
        </w:rPr>
        <w:t xml:space="preserve">reported </w:t>
      </w:r>
      <w:r w:rsidRPr="00E14394">
        <w:rPr>
          <w:rFonts w:eastAsia="Calibri" w:cs="Calibri"/>
        </w:rPr>
        <w:t xml:space="preserve">appliances were recycled </w:t>
      </w:r>
      <w:r>
        <w:rPr>
          <w:rFonts w:eastAsia="Calibri" w:cs="Calibri"/>
        </w:rPr>
        <w:t xml:space="preserve">along with </w:t>
      </w:r>
      <w:r w:rsidRPr="00E14394">
        <w:rPr>
          <w:rFonts w:eastAsia="Calibri" w:cs="Calibri"/>
        </w:rPr>
        <w:t>two additional recycled refrigerators that were not logged in the PMRS system (versus one additional recycled refrigerator for market</w:t>
      </w:r>
      <w:r>
        <w:rPr>
          <w:rFonts w:eastAsia="Calibri" w:cs="Calibri"/>
        </w:rPr>
        <w:t>-</w:t>
      </w:r>
      <w:r w:rsidRPr="00E14394">
        <w:rPr>
          <w:rFonts w:eastAsia="Calibri" w:cs="Calibri"/>
        </w:rPr>
        <w:t xml:space="preserve">rate RARP); the realization rate was 105%, accounting for the two additional recycled units. </w:t>
      </w:r>
    </w:p>
    <w:p w:rsidR="0001310B" w:rsidRDefault="0001310B" w:rsidP="0001310B">
      <w:pPr>
        <w:autoSpaceDE w:val="0"/>
        <w:autoSpaceDN w:val="0"/>
        <w:adjustRightInd w:val="0"/>
        <w:rPr>
          <w:rFonts w:cs="Calibri"/>
        </w:rPr>
      </w:pPr>
    </w:p>
    <w:p w:rsidR="0001310B" w:rsidRPr="00536B64" w:rsidRDefault="0001310B" w:rsidP="0001310B">
      <w:pPr>
        <w:autoSpaceDE w:val="0"/>
        <w:autoSpaceDN w:val="0"/>
        <w:adjustRightInd w:val="0"/>
        <w:rPr>
          <w:rFonts w:cs="Calibri"/>
        </w:rPr>
      </w:pPr>
      <w:r>
        <w:rPr>
          <w:rFonts w:cs="Calibri"/>
        </w:rPr>
        <w:t>The HER</w:t>
      </w:r>
      <w:r w:rsidRPr="00173F46">
        <w:rPr>
          <w:rFonts w:cs="Calibri"/>
        </w:rPr>
        <w:t xml:space="preserve"> </w:t>
      </w:r>
      <w:r>
        <w:rPr>
          <w:rFonts w:cs="Calibri"/>
        </w:rPr>
        <w:t xml:space="preserve">Program </w:t>
      </w:r>
      <w:r w:rsidRPr="00173F46">
        <w:rPr>
          <w:rFonts w:cs="Calibri"/>
        </w:rPr>
        <w:t>was</w:t>
      </w:r>
      <w:r w:rsidRPr="00C736CE">
        <w:rPr>
          <w:rFonts w:cs="Calibri"/>
        </w:rPr>
        <w:t xml:space="preserve"> launched in PY4 and targets high-use residential customers. The program included a</w:t>
      </w:r>
      <w:r>
        <w:rPr>
          <w:rFonts w:cs="Calibri"/>
        </w:rPr>
        <w:t xml:space="preserve"> </w:t>
      </w:r>
      <w:r w:rsidRPr="00C736CE">
        <w:rPr>
          <w:rFonts w:cs="Calibri"/>
        </w:rPr>
        <w:t xml:space="preserve">total of over 225,400 participant enrollees, </w:t>
      </w:r>
      <w:r>
        <w:rPr>
          <w:rFonts w:cs="Calibri"/>
        </w:rPr>
        <w:t>with just</w:t>
      </w:r>
      <w:r w:rsidRPr="00C736CE">
        <w:rPr>
          <w:rFonts w:cs="Calibri"/>
        </w:rPr>
        <w:t xml:space="preserve"> over </w:t>
      </w:r>
      <w:r>
        <w:rPr>
          <w:rFonts w:cs="Calibri"/>
        </w:rPr>
        <w:t>10%</w:t>
      </w:r>
      <w:r w:rsidRPr="00C736CE">
        <w:rPr>
          <w:rFonts w:cs="Calibri"/>
        </w:rPr>
        <w:t xml:space="preserve"> </w:t>
      </w:r>
      <w:r>
        <w:rPr>
          <w:rFonts w:cs="Calibri"/>
        </w:rPr>
        <w:t xml:space="preserve">of </w:t>
      </w:r>
      <w:r w:rsidRPr="005159EF">
        <w:rPr>
          <w:rFonts w:cs="Calibri"/>
        </w:rPr>
        <w:t>participants (</w:t>
      </w:r>
      <w:r w:rsidRPr="00C736CE">
        <w:rPr>
          <w:rFonts w:cs="Calibri"/>
        </w:rPr>
        <w:t>25,000</w:t>
      </w:r>
      <w:r w:rsidRPr="005159EF">
        <w:rPr>
          <w:rFonts w:cs="Calibri"/>
        </w:rPr>
        <w:t>)</w:t>
      </w:r>
      <w:r w:rsidRPr="00C736CE">
        <w:rPr>
          <w:rFonts w:cs="Calibri"/>
        </w:rPr>
        <w:t xml:space="preserve"> </w:t>
      </w:r>
      <w:r>
        <w:rPr>
          <w:rFonts w:cs="Calibri"/>
        </w:rPr>
        <w:t xml:space="preserve">being </w:t>
      </w:r>
      <w:r w:rsidRPr="00C736CE">
        <w:rPr>
          <w:rFonts w:cs="Calibri"/>
        </w:rPr>
        <w:t>low</w:t>
      </w:r>
      <w:r>
        <w:rPr>
          <w:rFonts w:cs="Calibri"/>
        </w:rPr>
        <w:t>-</w:t>
      </w:r>
      <w:r w:rsidRPr="00C736CE">
        <w:rPr>
          <w:rFonts w:cs="Calibri"/>
        </w:rPr>
        <w:t>income.</w:t>
      </w:r>
      <w:r>
        <w:rPr>
          <w:rFonts w:cs="Calibri"/>
        </w:rPr>
        <w:t xml:space="preserve"> </w:t>
      </w:r>
      <w:r w:rsidRPr="005159EF">
        <w:rPr>
          <w:rFonts w:cs="Calibri"/>
        </w:rPr>
        <w:t xml:space="preserve">Since the HER </w:t>
      </w:r>
      <w:r>
        <w:rPr>
          <w:rFonts w:cs="Calibri"/>
        </w:rPr>
        <w:t>P</w:t>
      </w:r>
      <w:r w:rsidRPr="005159EF">
        <w:rPr>
          <w:rFonts w:cs="Calibri"/>
        </w:rPr>
        <w:t xml:space="preserve">rogram is considered a behavioral program, savings from delivery of the reports </w:t>
      </w:r>
      <w:r w:rsidRPr="0053488D">
        <w:rPr>
          <w:rFonts w:cs="Calibri"/>
        </w:rPr>
        <w:t xml:space="preserve">have a one-year lifetime for as long as the reports are being delivered. </w:t>
      </w:r>
      <w:r>
        <w:rPr>
          <w:rFonts w:cs="Calibri"/>
        </w:rPr>
        <w:t>Only s</w:t>
      </w:r>
      <w:r w:rsidRPr="0053488D">
        <w:rPr>
          <w:rFonts w:cs="Calibri"/>
        </w:rPr>
        <w:t xml:space="preserve">avings originating from the PY7 HER </w:t>
      </w:r>
      <w:r>
        <w:rPr>
          <w:rFonts w:cs="Calibri"/>
        </w:rPr>
        <w:t>P</w:t>
      </w:r>
      <w:r w:rsidRPr="0053488D">
        <w:rPr>
          <w:rFonts w:cs="Calibri"/>
        </w:rPr>
        <w:t>rogram are counted toward Duquesne</w:t>
      </w:r>
      <w:r>
        <w:rPr>
          <w:rFonts w:cs="Calibri"/>
        </w:rPr>
        <w:t>’s</w:t>
      </w:r>
      <w:r w:rsidRPr="0053488D">
        <w:rPr>
          <w:rFonts w:cs="Calibri"/>
        </w:rPr>
        <w:t xml:space="preserve"> compliance goals for </w:t>
      </w:r>
      <w:r w:rsidRPr="00536B64">
        <w:rPr>
          <w:rFonts w:cs="Calibri"/>
        </w:rPr>
        <w:t>Phase II</w:t>
      </w:r>
      <w:r>
        <w:rPr>
          <w:rFonts w:cs="Calibri"/>
        </w:rPr>
        <w:t>,</w:t>
      </w:r>
      <w:r w:rsidRPr="00536B64">
        <w:rPr>
          <w:rFonts w:cs="Calibri"/>
        </w:rPr>
        <w:t xml:space="preserve"> as opposed to previous </w:t>
      </w:r>
      <w:r>
        <w:rPr>
          <w:rFonts w:cs="Calibri"/>
        </w:rPr>
        <w:t>P</w:t>
      </w:r>
      <w:r w:rsidRPr="00536B64">
        <w:rPr>
          <w:rFonts w:cs="Calibri"/>
        </w:rPr>
        <w:t>hase II HER participants (from PY5 or PY6)</w:t>
      </w:r>
      <w:r>
        <w:rPr>
          <w:rFonts w:cs="Calibri"/>
        </w:rPr>
        <w:t>.</w:t>
      </w:r>
      <w:r w:rsidRPr="00536B64">
        <w:rPr>
          <w:rStyle w:val="FootnoteReference"/>
        </w:rPr>
        <w:footnoteReference w:id="57"/>
      </w:r>
      <w:r w:rsidRPr="00536B64">
        <w:rPr>
          <w:rFonts w:cs="Calibri"/>
        </w:rPr>
        <w:t xml:space="preserve"> </w:t>
      </w:r>
    </w:p>
    <w:p w:rsidR="0001310B" w:rsidRPr="00536B64" w:rsidRDefault="0001310B" w:rsidP="0001310B">
      <w:pPr>
        <w:autoSpaceDE w:val="0"/>
        <w:autoSpaceDN w:val="0"/>
        <w:adjustRightInd w:val="0"/>
        <w:rPr>
          <w:rFonts w:cs="Calibri"/>
        </w:rPr>
      </w:pPr>
    </w:p>
    <w:p w:rsidR="0001310B" w:rsidRPr="00536B64" w:rsidRDefault="0001310B" w:rsidP="0001310B">
      <w:pPr>
        <w:autoSpaceDE w:val="0"/>
        <w:autoSpaceDN w:val="0"/>
        <w:adjustRightInd w:val="0"/>
        <w:rPr>
          <w:rFonts w:cs="Calibri"/>
        </w:rPr>
      </w:pPr>
      <w:r w:rsidRPr="00536B64">
        <w:rPr>
          <w:rFonts w:cs="Calibri"/>
        </w:rPr>
        <w:t xml:space="preserve">Navigant developed a linear fixed effects regression </w:t>
      </w:r>
      <w:r>
        <w:rPr>
          <w:rFonts w:cs="Calibri"/>
        </w:rPr>
        <w:t xml:space="preserve">(LFER) model </w:t>
      </w:r>
      <w:r w:rsidRPr="00536B64">
        <w:rPr>
          <w:rFonts w:cs="Calibri"/>
        </w:rPr>
        <w:t>to estimate verified PY7 HER savings. Navigant used a census of three independent waves of participants</w:t>
      </w:r>
      <w:r>
        <w:rPr>
          <w:rFonts w:cs="Calibri"/>
        </w:rPr>
        <w:t xml:space="preserve"> who received reports starting in </w:t>
      </w:r>
      <w:r w:rsidRPr="004C2A8E">
        <w:rPr>
          <w:rFonts w:cs="Calibri"/>
        </w:rPr>
        <w:t>March of PY6</w:t>
      </w:r>
      <w:r>
        <w:rPr>
          <w:rFonts w:cs="Calibri"/>
        </w:rPr>
        <w:t>:</w:t>
      </w:r>
      <w:r w:rsidRPr="00536B64">
        <w:rPr>
          <w:rFonts w:cs="Calibri"/>
        </w:rPr>
        <w:t xml:space="preserve"> </w:t>
      </w:r>
      <w:r>
        <w:rPr>
          <w:rFonts w:cs="Calibri"/>
        </w:rPr>
        <w:t xml:space="preserve">the first wave was </w:t>
      </w:r>
      <w:r w:rsidRPr="004C2A8E">
        <w:rPr>
          <w:rFonts w:cs="Calibri"/>
        </w:rPr>
        <w:t xml:space="preserve">households that were </w:t>
      </w:r>
      <w:r>
        <w:rPr>
          <w:rFonts w:cs="Calibri"/>
        </w:rPr>
        <w:t xml:space="preserve">originally </w:t>
      </w:r>
      <w:r w:rsidRPr="004C2A8E">
        <w:rPr>
          <w:rFonts w:cs="Calibri"/>
        </w:rPr>
        <w:t>enrolled in the program during PY4 and still</w:t>
      </w:r>
      <w:r>
        <w:rPr>
          <w:rFonts w:cs="Calibri"/>
        </w:rPr>
        <w:t xml:space="preserve"> </w:t>
      </w:r>
      <w:r w:rsidRPr="004C2A8E">
        <w:rPr>
          <w:rFonts w:cs="Calibri"/>
        </w:rPr>
        <w:t xml:space="preserve">had active accounts with Duquesne, </w:t>
      </w:r>
      <w:r>
        <w:rPr>
          <w:rFonts w:cs="Calibri"/>
        </w:rPr>
        <w:t xml:space="preserve">plus one </w:t>
      </w:r>
      <w:r w:rsidRPr="004C2A8E">
        <w:rPr>
          <w:rFonts w:cs="Calibri"/>
        </w:rPr>
        <w:t>market</w:t>
      </w:r>
      <w:r>
        <w:rPr>
          <w:rFonts w:cs="Calibri"/>
        </w:rPr>
        <w:t>-</w:t>
      </w:r>
      <w:r w:rsidRPr="004C2A8E">
        <w:rPr>
          <w:rFonts w:cs="Calibri"/>
        </w:rPr>
        <w:t xml:space="preserve">rate and </w:t>
      </w:r>
      <w:r>
        <w:rPr>
          <w:rFonts w:cs="Calibri"/>
        </w:rPr>
        <w:t xml:space="preserve">one </w:t>
      </w:r>
      <w:r w:rsidRPr="004C2A8E">
        <w:rPr>
          <w:rFonts w:cs="Calibri"/>
        </w:rPr>
        <w:t>low</w:t>
      </w:r>
      <w:r>
        <w:rPr>
          <w:rFonts w:cs="Calibri"/>
        </w:rPr>
        <w:t>-</w:t>
      </w:r>
      <w:r w:rsidRPr="004C2A8E">
        <w:rPr>
          <w:rFonts w:cs="Calibri"/>
        </w:rPr>
        <w:t>income</w:t>
      </w:r>
      <w:r>
        <w:rPr>
          <w:rFonts w:cs="Calibri"/>
        </w:rPr>
        <w:t xml:space="preserve"> </w:t>
      </w:r>
      <w:r w:rsidRPr="004C2A8E">
        <w:rPr>
          <w:rFonts w:cs="Calibri"/>
        </w:rPr>
        <w:t xml:space="preserve">customer </w:t>
      </w:r>
      <w:r>
        <w:rPr>
          <w:rFonts w:cs="Calibri"/>
        </w:rPr>
        <w:t xml:space="preserve">who </w:t>
      </w:r>
      <w:r w:rsidRPr="004C2A8E">
        <w:rPr>
          <w:rFonts w:cs="Calibri"/>
        </w:rPr>
        <w:t>began receiving reports at the same time.</w:t>
      </w:r>
      <w:r>
        <w:rPr>
          <w:rFonts w:cs="Calibri"/>
        </w:rPr>
        <w:t xml:space="preserve"> </w:t>
      </w:r>
      <w:r w:rsidRPr="00536B64">
        <w:rPr>
          <w:rFonts w:cs="Calibri"/>
        </w:rPr>
        <w:t xml:space="preserve">Because the program </w:t>
      </w:r>
      <w:r>
        <w:rPr>
          <w:rFonts w:cs="Calibri"/>
        </w:rPr>
        <w:t>used</w:t>
      </w:r>
      <w:r w:rsidRPr="00536B64">
        <w:rPr>
          <w:rFonts w:cs="Calibri"/>
        </w:rPr>
        <w:t xml:space="preserve"> a </w:t>
      </w:r>
      <w:r>
        <w:rPr>
          <w:rFonts w:cs="Calibri"/>
        </w:rPr>
        <w:t>r</w:t>
      </w:r>
      <w:r w:rsidRPr="00536B64">
        <w:rPr>
          <w:rFonts w:cs="Calibri"/>
        </w:rPr>
        <w:t xml:space="preserve">andomized </w:t>
      </w:r>
      <w:r>
        <w:rPr>
          <w:rFonts w:cs="Calibri"/>
        </w:rPr>
        <w:t>c</w:t>
      </w:r>
      <w:r w:rsidRPr="00536B64">
        <w:rPr>
          <w:rFonts w:cs="Calibri"/>
        </w:rPr>
        <w:t xml:space="preserve">ontrol </w:t>
      </w:r>
      <w:r>
        <w:rPr>
          <w:rFonts w:cs="Calibri"/>
        </w:rPr>
        <w:t>t</w:t>
      </w:r>
      <w:r w:rsidRPr="00536B64">
        <w:rPr>
          <w:rFonts w:cs="Calibri"/>
        </w:rPr>
        <w:t xml:space="preserve">rial (RCT) experimental design, households were already randomized into treatment and control groups for an unbiased sample to evaluate savings. The HER electric energy verified realization rate was </w:t>
      </w:r>
      <w:r>
        <w:rPr>
          <w:rFonts w:cs="Calibri"/>
        </w:rPr>
        <w:t>within 1% of the reported energy savings</w:t>
      </w:r>
      <w:r w:rsidRPr="00536B64">
        <w:rPr>
          <w:rFonts w:cs="Calibri"/>
        </w:rPr>
        <w:t xml:space="preserve">. </w:t>
      </w:r>
    </w:p>
    <w:p w:rsidR="0001310B" w:rsidRDefault="0001310B" w:rsidP="0001310B">
      <w:pPr>
        <w:autoSpaceDE w:val="0"/>
        <w:autoSpaceDN w:val="0"/>
        <w:adjustRightInd w:val="0"/>
      </w:pPr>
    </w:p>
    <w:p w:rsidR="004045A0" w:rsidRDefault="004045A0" w:rsidP="0055598C">
      <w:pPr>
        <w:pStyle w:val="AppendixAHeading4"/>
      </w:pPr>
      <w:r>
        <w:t>Non-Residential Programs</w:t>
      </w:r>
    </w:p>
    <w:p w:rsidR="001F1648" w:rsidRDefault="001F1648" w:rsidP="001F1648">
      <w:pPr>
        <w:rPr>
          <w:rFonts w:eastAsia="MS Mincho"/>
        </w:rPr>
      </w:pPr>
      <w:r w:rsidRPr="001F1648">
        <w:rPr>
          <w:rFonts w:eastAsia="MS Mincho"/>
        </w:rPr>
        <w:t>Realization rates for Duquesne’s C/I programs’ energy savings ranged from 85% to 103% in PY7. Realization rates for demand reductions from these programs ranged from 74% to 113%. Duquesne achieved the 15% precision requirement for kWh in all of its non-residential programs. It also achieved better than 15% precision for demand savings, although this is not a requirement for Phase II.</w:t>
      </w:r>
    </w:p>
    <w:p w:rsidR="004C59E0" w:rsidRPr="001F1648" w:rsidRDefault="004C59E0" w:rsidP="001F1648">
      <w:pPr>
        <w:rPr>
          <w:rFonts w:eastAsia="MS Mincho"/>
        </w:rPr>
      </w:pPr>
    </w:p>
    <w:p w:rsidR="00B060D3" w:rsidRDefault="00D9014E" w:rsidP="001F1648">
      <w:pPr>
        <w:rPr>
          <w:rFonts w:eastAsia="MS Mincho"/>
        </w:rPr>
      </w:pPr>
      <w:r>
        <w:rPr>
          <w:rFonts w:eastAsia="MS Mincho"/>
        </w:rPr>
        <w:fldChar w:fldCharType="begin"/>
      </w:r>
      <w:r>
        <w:rPr>
          <w:rFonts w:eastAsia="MS Mincho"/>
        </w:rPr>
        <w:instrText xml:space="preserve"> REF _Ref472395860 \h </w:instrText>
      </w:r>
      <w:r>
        <w:rPr>
          <w:rFonts w:eastAsia="MS Mincho"/>
        </w:rPr>
      </w:r>
      <w:r>
        <w:rPr>
          <w:rFonts w:eastAsia="MS Mincho"/>
        </w:rPr>
        <w:fldChar w:fldCharType="separate"/>
      </w:r>
      <w:r w:rsidR="00037CB4">
        <w:t>Figure A-</w:t>
      </w:r>
      <w:r w:rsidR="00037CB4">
        <w:rPr>
          <w:noProof/>
        </w:rPr>
        <w:t>1</w:t>
      </w:r>
      <w:r>
        <w:rPr>
          <w:rFonts w:eastAsia="MS Mincho"/>
        </w:rPr>
        <w:fldChar w:fldCharType="end"/>
      </w:r>
      <w:r w:rsidR="004C59E0">
        <w:rPr>
          <w:rFonts w:eastAsia="MS Mincho"/>
        </w:rPr>
        <w:t xml:space="preserve"> </w:t>
      </w:r>
      <w:r w:rsidR="001F1648" w:rsidRPr="001F1648">
        <w:rPr>
          <w:rFonts w:eastAsia="MS Mincho"/>
        </w:rPr>
        <w:t>displays the frequency of each M&amp;V approach performed by Navigant in PY7 for Duquesne’s Commercial and GNI Program Groups evaluation sample and the verified energy savings associated with each M&amp;V approach. The enhanced rigor used in the evaluations includes International Performance Measurement and Verification Protocol (IPMVP) Options A, B, C, and D. Option A combines the measurement of key parameters of retrofitted equipment with the use of stipulated values for other measurement parameters. Option B involves more robust measurement of the retrofitted system’s continuous energy usage, typically through short-term power metering. Option C consists of utility billing analysis to determine energy savings. Typically, 12 months of pre- and post-installation billing data are required for this approach. Option D involves modeling energy performance of a facility before and after the efficiency measure is installed.</w:t>
      </w:r>
    </w:p>
    <w:p w:rsidR="00B060D3" w:rsidRDefault="00B060D3" w:rsidP="001F1648">
      <w:pPr>
        <w:rPr>
          <w:rFonts w:eastAsia="MS Mincho"/>
        </w:rPr>
      </w:pPr>
    </w:p>
    <w:p w:rsidR="001F1648" w:rsidRPr="001F1648" w:rsidRDefault="001F1648" w:rsidP="004837FA">
      <w:pPr>
        <w:pStyle w:val="Caption"/>
      </w:pPr>
      <w:bookmarkStart w:id="524" w:name="_Ref472395860"/>
      <w:bookmarkStart w:id="525" w:name="_Toc408557547"/>
      <w:bookmarkStart w:id="526" w:name="_Toc408999423"/>
      <w:bookmarkStart w:id="527" w:name="_Toc409224948"/>
      <w:bookmarkStart w:id="528" w:name="_Toc409443627"/>
      <w:bookmarkStart w:id="529" w:name="_Toc444269814"/>
      <w:bookmarkStart w:id="530" w:name="_Toc488742012"/>
      <w:r>
        <w:t>Figure A-</w:t>
      </w:r>
      <w:r w:rsidR="007973A4">
        <w:fldChar w:fldCharType="begin"/>
      </w:r>
      <w:r w:rsidR="007973A4">
        <w:instrText xml:space="preserve"> SEQ Figure_A- \* ARAB</w:instrText>
      </w:r>
      <w:r w:rsidR="007973A4">
        <w:instrText xml:space="preserve">IC </w:instrText>
      </w:r>
      <w:r w:rsidR="007973A4">
        <w:fldChar w:fldCharType="separate"/>
      </w:r>
      <w:r w:rsidR="00037CB4">
        <w:rPr>
          <w:noProof/>
        </w:rPr>
        <w:t>1</w:t>
      </w:r>
      <w:r w:rsidR="007973A4">
        <w:rPr>
          <w:noProof/>
        </w:rPr>
        <w:fldChar w:fldCharType="end"/>
      </w:r>
      <w:bookmarkEnd w:id="524"/>
      <w:r>
        <w:t xml:space="preserve">: </w:t>
      </w:r>
      <w:r w:rsidRPr="001F1648">
        <w:t>Frequency of and Associated Energy Savings by M&amp;V Approach – Commercial and GNI Program Groups</w:t>
      </w:r>
      <w:bookmarkEnd w:id="525"/>
      <w:bookmarkEnd w:id="526"/>
      <w:bookmarkEnd w:id="527"/>
      <w:bookmarkEnd w:id="528"/>
      <w:bookmarkEnd w:id="529"/>
      <w:bookmarkEnd w:id="530"/>
    </w:p>
    <w:p w:rsidR="001F1648" w:rsidRPr="001F1648" w:rsidRDefault="00173FA2" w:rsidP="001F1648">
      <w:pPr>
        <w:jc w:val="center"/>
        <w:rPr>
          <w:rFonts w:eastAsia="MS Mincho"/>
        </w:rPr>
      </w:pPr>
      <w:r>
        <w:rPr>
          <w:rFonts w:eastAsia="MS Mincho"/>
          <w:noProof/>
        </w:rPr>
        <w:drawing>
          <wp:inline distT="0" distB="0" distL="0" distR="0" wp14:anchorId="564ADC13" wp14:editId="10E9A3B1">
            <wp:extent cx="5897265" cy="220648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0">
                      <a:extLst>
                        <a:ext uri="{28A0092B-C50C-407E-A947-70E740481C1C}">
                          <a14:useLocalDpi xmlns:a14="http://schemas.microsoft.com/office/drawing/2010/main" val="0"/>
                        </a:ext>
                      </a:extLst>
                    </a:blip>
                    <a:srcRect t="5095" b="7893"/>
                    <a:stretch/>
                  </pic:blipFill>
                  <pic:spPr bwMode="auto">
                    <a:xfrm>
                      <a:off x="0" y="0"/>
                      <a:ext cx="5907655" cy="2210374"/>
                    </a:xfrm>
                    <a:prstGeom prst="rect">
                      <a:avLst/>
                    </a:prstGeom>
                    <a:noFill/>
                    <a:ln>
                      <a:noFill/>
                    </a:ln>
                    <a:extLst>
                      <a:ext uri="{53640926-AAD7-44D8-BBD7-CCE9431645EC}">
                        <a14:shadowObscured xmlns:a14="http://schemas.microsoft.com/office/drawing/2010/main"/>
                      </a:ext>
                    </a:extLst>
                  </pic:spPr>
                </pic:pic>
              </a:graphicData>
            </a:graphic>
          </wp:inline>
        </w:drawing>
      </w:r>
    </w:p>
    <w:p w:rsidR="00A07AB2" w:rsidRDefault="00A07AB2" w:rsidP="001F1648">
      <w:pPr>
        <w:rPr>
          <w:rFonts w:eastAsia="MS Mincho"/>
        </w:rPr>
      </w:pPr>
    </w:p>
    <w:p w:rsidR="001F1648" w:rsidRPr="001F1648" w:rsidRDefault="00D9014E" w:rsidP="001F1648">
      <w:r>
        <w:rPr>
          <w:rFonts w:eastAsia="MS Mincho"/>
        </w:rPr>
        <w:fldChar w:fldCharType="begin"/>
      </w:r>
      <w:r>
        <w:rPr>
          <w:rFonts w:eastAsia="MS Mincho"/>
        </w:rPr>
        <w:instrText xml:space="preserve"> REF _Ref472395860 \h </w:instrText>
      </w:r>
      <w:r>
        <w:rPr>
          <w:rFonts w:eastAsia="MS Mincho"/>
        </w:rPr>
      </w:r>
      <w:r>
        <w:rPr>
          <w:rFonts w:eastAsia="MS Mincho"/>
        </w:rPr>
        <w:fldChar w:fldCharType="separate"/>
      </w:r>
      <w:r w:rsidR="00037CB4">
        <w:t>Figure A-</w:t>
      </w:r>
      <w:r w:rsidR="00037CB4">
        <w:rPr>
          <w:noProof/>
        </w:rPr>
        <w:t>1</w:t>
      </w:r>
      <w:r>
        <w:rPr>
          <w:rFonts w:eastAsia="MS Mincho"/>
        </w:rPr>
        <w:fldChar w:fldCharType="end"/>
      </w:r>
      <w:r w:rsidR="00C255BD">
        <w:rPr>
          <w:rFonts w:eastAsia="MS Mincho"/>
        </w:rPr>
        <w:t xml:space="preserve"> </w:t>
      </w:r>
      <w:r w:rsidR="001F1648" w:rsidRPr="001F1648">
        <w:t xml:space="preserve"> </w:t>
      </w:r>
      <w:r w:rsidR="00173FA2" w:rsidRPr="00173FA2">
        <w:t>indicates that Navigant used IPMVP Option A for 71% of the projects selected for sampling, yet these made up 28% of the total savings for the program. The majority of the savings were evaluated using Option C. All projects were evaluated with enhanced rigor</w:t>
      </w:r>
      <w:r w:rsidR="001F1648" w:rsidRPr="001F1648">
        <w:t xml:space="preserve">. </w:t>
      </w:r>
    </w:p>
    <w:p w:rsidR="00BC624A" w:rsidRDefault="00BC624A" w:rsidP="001F1648"/>
    <w:p w:rsidR="001F1648" w:rsidRDefault="00BC624A" w:rsidP="001F1648">
      <w:r>
        <w:rPr>
          <w:rFonts w:eastAsia="MS Mincho"/>
        </w:rPr>
        <w:fldChar w:fldCharType="begin"/>
      </w:r>
      <w:r>
        <w:rPr>
          <w:rFonts w:eastAsia="MS Mincho"/>
        </w:rPr>
        <w:instrText xml:space="preserve"> REF _Ref473711729 \h </w:instrText>
      </w:r>
      <w:r>
        <w:rPr>
          <w:rFonts w:eastAsia="MS Mincho"/>
        </w:rPr>
      </w:r>
      <w:r>
        <w:rPr>
          <w:rFonts w:eastAsia="MS Mincho"/>
        </w:rPr>
        <w:fldChar w:fldCharType="separate"/>
      </w:r>
      <w:r w:rsidR="00037CB4">
        <w:t>Figure A-</w:t>
      </w:r>
      <w:r w:rsidR="00037CB4">
        <w:rPr>
          <w:noProof/>
        </w:rPr>
        <w:t>2</w:t>
      </w:r>
      <w:r>
        <w:rPr>
          <w:rFonts w:eastAsia="MS Mincho"/>
        </w:rPr>
        <w:fldChar w:fldCharType="end"/>
      </w:r>
      <w:r>
        <w:rPr>
          <w:rFonts w:eastAsia="MS Mincho"/>
        </w:rPr>
        <w:t xml:space="preserve"> </w:t>
      </w:r>
      <w:r w:rsidR="00173FA2" w:rsidRPr="00173FA2">
        <w:t>breaks out the share of projects evaluated and the associated verified savings using each M&amp;V approach for the Industrial Program Group. IPMVP Option A was used for a majority of the projects in this program group, yet this only accounted for 11% of the savings. The majority of the savings (89%) were evaluated with Option B. All projects were evaluated with enhanced rigor</w:t>
      </w:r>
      <w:r w:rsidR="001F1648" w:rsidRPr="001F1648">
        <w:t xml:space="preserve">. </w:t>
      </w:r>
    </w:p>
    <w:p w:rsidR="005D6981" w:rsidRDefault="005D6981" w:rsidP="001F1648"/>
    <w:p w:rsidR="001F1648" w:rsidRPr="001F1648" w:rsidRDefault="005A5050" w:rsidP="004837FA">
      <w:pPr>
        <w:pStyle w:val="Caption"/>
      </w:pPr>
      <w:bookmarkStart w:id="531" w:name="_Ref472395933"/>
      <w:bookmarkStart w:id="532" w:name="_Ref473711729"/>
      <w:bookmarkStart w:id="533" w:name="_Toc408557548"/>
      <w:bookmarkStart w:id="534" w:name="_Toc408999424"/>
      <w:bookmarkStart w:id="535" w:name="_Toc409224949"/>
      <w:bookmarkStart w:id="536" w:name="_Toc409443628"/>
      <w:bookmarkStart w:id="537" w:name="_Toc444269815"/>
      <w:bookmarkStart w:id="538" w:name="_Toc488742013"/>
      <w:r>
        <w:t>Figure A-</w:t>
      </w:r>
      <w:r w:rsidR="007973A4">
        <w:fldChar w:fldCharType="begin"/>
      </w:r>
      <w:r w:rsidR="007973A4">
        <w:instrText xml:space="preserve"> SEQ Figure_A- \* ARABIC </w:instrText>
      </w:r>
      <w:r w:rsidR="007973A4">
        <w:fldChar w:fldCharType="separate"/>
      </w:r>
      <w:r w:rsidR="00037CB4">
        <w:rPr>
          <w:noProof/>
        </w:rPr>
        <w:t>2</w:t>
      </w:r>
      <w:r w:rsidR="007973A4">
        <w:rPr>
          <w:noProof/>
        </w:rPr>
        <w:fldChar w:fldCharType="end"/>
      </w:r>
      <w:bookmarkEnd w:id="531"/>
      <w:bookmarkEnd w:id="532"/>
      <w:r w:rsidR="00C255BD">
        <w:rPr>
          <w:noProof/>
        </w:rPr>
        <w:t>:</w:t>
      </w:r>
      <w:r w:rsidR="001F1648" w:rsidRPr="001F1648">
        <w:t xml:space="preserve"> Frequency of and Associated Energy Savings by M&amp;V Approach – </w:t>
      </w:r>
      <w:bookmarkEnd w:id="533"/>
      <w:bookmarkEnd w:id="534"/>
      <w:bookmarkEnd w:id="535"/>
      <w:bookmarkEnd w:id="536"/>
      <w:r w:rsidR="001F1648" w:rsidRPr="001F1648">
        <w:t>Industrial Program Group</w:t>
      </w:r>
      <w:bookmarkEnd w:id="537"/>
      <w:bookmarkEnd w:id="538"/>
    </w:p>
    <w:p w:rsidR="001F1648" w:rsidRPr="001F1648" w:rsidRDefault="00173FA2" w:rsidP="001F1648">
      <w:pPr>
        <w:jc w:val="center"/>
      </w:pPr>
      <w:r>
        <w:rPr>
          <w:noProof/>
        </w:rPr>
        <w:drawing>
          <wp:inline distT="0" distB="0" distL="0" distR="0" wp14:anchorId="6E396828" wp14:editId="2B5DC2D7">
            <wp:extent cx="5683680" cy="20971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1">
                      <a:extLst>
                        <a:ext uri="{28A0092B-C50C-407E-A947-70E740481C1C}">
                          <a14:useLocalDpi xmlns:a14="http://schemas.microsoft.com/office/drawing/2010/main" val="0"/>
                        </a:ext>
                      </a:extLst>
                    </a:blip>
                    <a:srcRect t="4879" b="9312"/>
                    <a:stretch/>
                  </pic:blipFill>
                  <pic:spPr bwMode="auto">
                    <a:xfrm>
                      <a:off x="0" y="0"/>
                      <a:ext cx="5711886" cy="2107565"/>
                    </a:xfrm>
                    <a:prstGeom prst="rect">
                      <a:avLst/>
                    </a:prstGeom>
                    <a:noFill/>
                    <a:ln>
                      <a:noFill/>
                    </a:ln>
                    <a:extLst>
                      <a:ext uri="{53640926-AAD7-44D8-BBD7-CCE9431645EC}">
                        <a14:shadowObscured xmlns:a14="http://schemas.microsoft.com/office/drawing/2010/main"/>
                      </a:ext>
                    </a:extLst>
                  </pic:spPr>
                </pic:pic>
              </a:graphicData>
            </a:graphic>
          </wp:inline>
        </w:drawing>
      </w:r>
    </w:p>
    <w:p w:rsidR="009349F1" w:rsidRDefault="009349F1" w:rsidP="001F1648"/>
    <w:p w:rsidR="001F1648" w:rsidRPr="001F1648" w:rsidRDefault="001F1648" w:rsidP="001F1648">
      <w:r w:rsidRPr="001F1648">
        <w:t>Two additional programs, the Small Commercial Direct Install Program and the Multifamily Housing Retrofit Program, received separate treatment in PY6 because they were new that year, but in PY7 they were evaluated as part of the Commercial Program Group.</w:t>
      </w:r>
    </w:p>
    <w:p w:rsidR="0001310B" w:rsidRPr="008A749F" w:rsidRDefault="0001310B" w:rsidP="0001310B">
      <w:pPr>
        <w:autoSpaceDE w:val="0"/>
        <w:autoSpaceDN w:val="0"/>
        <w:adjustRightInd w:val="0"/>
        <w:rPr>
          <w:highlight w:val="yellow"/>
        </w:rPr>
      </w:pPr>
    </w:p>
    <w:p w:rsidR="00950837" w:rsidRDefault="00950837" w:rsidP="009C0DF1">
      <w:pPr>
        <w:pStyle w:val="AppendixAHeading3"/>
      </w:pPr>
      <w:r>
        <w:t>Process Evaluation Activities and Findings</w:t>
      </w:r>
    </w:p>
    <w:p w:rsidR="009558E7" w:rsidRDefault="009B2C2C" w:rsidP="009B2C2C">
      <w:r w:rsidRPr="00661E10">
        <w:t>The process evaluation that Navigant conducted included a review of key program documents and databases, surveys of participants, surveys of those who opted not to receive HERs, and interviews with program staff.</w:t>
      </w:r>
      <w:r>
        <w:t xml:space="preserve"> </w:t>
      </w:r>
      <w:r w:rsidR="008D11AB">
        <w:fldChar w:fldCharType="begin"/>
      </w:r>
      <w:r w:rsidR="008D11AB">
        <w:instrText xml:space="preserve"> REF _Ref473377837 \h </w:instrText>
      </w:r>
      <w:r w:rsidR="008D11AB">
        <w:fldChar w:fldCharType="separate"/>
      </w:r>
      <w:r w:rsidR="00037CB4" w:rsidRPr="009B2C2C">
        <w:t>Table A-</w:t>
      </w:r>
      <w:r w:rsidR="00037CB4">
        <w:rPr>
          <w:noProof/>
        </w:rPr>
        <w:t>9</w:t>
      </w:r>
      <w:r w:rsidR="008D11AB">
        <w:fldChar w:fldCharType="end"/>
      </w:r>
      <w:r>
        <w:t xml:space="preserve"> </w:t>
      </w:r>
      <w:r w:rsidRPr="00661E10">
        <w:t>summarizes the data sources used and the key findings for each program.</w:t>
      </w:r>
    </w:p>
    <w:p w:rsidR="009B2C2C" w:rsidRPr="009B2C2C" w:rsidRDefault="009B2C2C" w:rsidP="004837FA">
      <w:pPr>
        <w:pStyle w:val="Caption"/>
      </w:pPr>
      <w:bookmarkStart w:id="539" w:name="_Ref473377837"/>
      <w:bookmarkStart w:id="540" w:name="_Toc412795696"/>
      <w:bookmarkStart w:id="541" w:name="_Toc444269726"/>
      <w:bookmarkStart w:id="542" w:name="_Toc472472418"/>
      <w:bookmarkStart w:id="543" w:name="_Toc488741837"/>
      <w:r w:rsidRPr="009B2C2C">
        <w:t>Table A-</w:t>
      </w:r>
      <w:r w:rsidR="007973A4">
        <w:fldChar w:fldCharType="begin"/>
      </w:r>
      <w:r w:rsidR="007973A4">
        <w:instrText xml:space="preserve"> SEQ Table_A- \* ARABIC </w:instrText>
      </w:r>
      <w:r w:rsidR="007973A4">
        <w:fldChar w:fldCharType="separate"/>
      </w:r>
      <w:r w:rsidR="00037CB4">
        <w:rPr>
          <w:noProof/>
        </w:rPr>
        <w:t>9</w:t>
      </w:r>
      <w:r w:rsidR="007973A4">
        <w:rPr>
          <w:noProof/>
        </w:rPr>
        <w:fldChar w:fldCharType="end"/>
      </w:r>
      <w:bookmarkEnd w:id="539"/>
      <w:r w:rsidRPr="009B2C2C">
        <w:t>: Summary of Key Findings and Data Sources – Duquesne</w:t>
      </w:r>
      <w:bookmarkEnd w:id="540"/>
      <w:bookmarkEnd w:id="541"/>
      <w:bookmarkEnd w:id="542"/>
      <w:bookmarkEnd w:id="543"/>
    </w:p>
    <w:tbl>
      <w:tblPr>
        <w:tblW w:w="944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20"/>
        <w:gridCol w:w="5060"/>
        <w:gridCol w:w="2860"/>
      </w:tblGrid>
      <w:tr w:rsidR="00A874AC" w:rsidRPr="0055598C" w:rsidTr="0055598C">
        <w:trPr>
          <w:cantSplit/>
          <w:trHeight w:val="141"/>
          <w:tblHeader/>
        </w:trPr>
        <w:tc>
          <w:tcPr>
            <w:tcW w:w="1520" w:type="dxa"/>
            <w:shd w:val="clear" w:color="auto" w:fill="448A99"/>
            <w:vAlign w:val="bottom"/>
            <w:hideMark/>
          </w:tcPr>
          <w:p w:rsidR="009B2C2C" w:rsidRPr="0055598C" w:rsidRDefault="009B2C2C" w:rsidP="00D900B5">
            <w:pPr>
              <w:jc w:val="left"/>
              <w:rPr>
                <w:b/>
                <w:color w:val="FFFFFF"/>
                <w:sz w:val="19"/>
                <w:szCs w:val="19"/>
              </w:rPr>
            </w:pPr>
            <w:r w:rsidRPr="0055598C">
              <w:rPr>
                <w:b/>
                <w:color w:val="FFFFFF"/>
                <w:sz w:val="19"/>
                <w:szCs w:val="19"/>
              </w:rPr>
              <w:t>Program</w:t>
            </w:r>
          </w:p>
        </w:tc>
        <w:tc>
          <w:tcPr>
            <w:tcW w:w="5060" w:type="dxa"/>
            <w:shd w:val="clear" w:color="auto" w:fill="448A99"/>
            <w:vAlign w:val="bottom"/>
            <w:hideMark/>
          </w:tcPr>
          <w:p w:rsidR="009B2C2C" w:rsidRPr="0055598C" w:rsidRDefault="009B2C2C" w:rsidP="00D900B5">
            <w:pPr>
              <w:jc w:val="center"/>
              <w:rPr>
                <w:b/>
                <w:color w:val="FFFFFF"/>
                <w:sz w:val="19"/>
                <w:szCs w:val="19"/>
              </w:rPr>
            </w:pPr>
            <w:r w:rsidRPr="0055598C">
              <w:rPr>
                <w:b/>
                <w:color w:val="FFFFFF"/>
                <w:sz w:val="19"/>
                <w:szCs w:val="19"/>
              </w:rPr>
              <w:t>Key Findings</w:t>
            </w:r>
          </w:p>
        </w:tc>
        <w:tc>
          <w:tcPr>
            <w:tcW w:w="2860" w:type="dxa"/>
            <w:shd w:val="clear" w:color="auto" w:fill="448A99"/>
            <w:vAlign w:val="bottom"/>
            <w:hideMark/>
          </w:tcPr>
          <w:p w:rsidR="009B2C2C" w:rsidRPr="0055598C" w:rsidRDefault="009B2C2C" w:rsidP="00D900B5">
            <w:pPr>
              <w:jc w:val="center"/>
              <w:rPr>
                <w:b/>
                <w:color w:val="FFFFFF"/>
                <w:sz w:val="19"/>
                <w:szCs w:val="19"/>
              </w:rPr>
            </w:pPr>
            <w:r w:rsidRPr="0055598C">
              <w:rPr>
                <w:b/>
                <w:color w:val="FFFFFF"/>
                <w:sz w:val="19"/>
                <w:szCs w:val="19"/>
              </w:rPr>
              <w:t>Data Sources</w:t>
            </w:r>
          </w:p>
        </w:tc>
      </w:tr>
      <w:tr w:rsidR="00E7173E" w:rsidRPr="0055598C" w:rsidTr="0055598C">
        <w:trPr>
          <w:trHeight w:val="141"/>
        </w:trPr>
        <w:tc>
          <w:tcPr>
            <w:tcW w:w="9440" w:type="dxa"/>
            <w:gridSpan w:val="3"/>
            <w:shd w:val="clear" w:color="auto" w:fill="9C9393"/>
            <w:hideMark/>
          </w:tcPr>
          <w:p w:rsidR="009B2C2C" w:rsidRPr="0055598C" w:rsidRDefault="009B2C2C" w:rsidP="00D900B5">
            <w:pPr>
              <w:jc w:val="left"/>
              <w:rPr>
                <w:b/>
                <w:i/>
                <w:color w:val="FFFFFF"/>
                <w:sz w:val="19"/>
                <w:szCs w:val="19"/>
              </w:rPr>
            </w:pPr>
            <w:r w:rsidRPr="0055598C">
              <w:rPr>
                <w:b/>
                <w:color w:val="FFFFFF"/>
                <w:sz w:val="19"/>
                <w:szCs w:val="19"/>
              </w:rPr>
              <w:t>Residential Sector</w:t>
            </w:r>
          </w:p>
        </w:tc>
      </w:tr>
      <w:tr w:rsidR="00E7173E" w:rsidRPr="0055598C" w:rsidTr="0055598C">
        <w:trPr>
          <w:trHeight w:val="141"/>
        </w:trPr>
        <w:tc>
          <w:tcPr>
            <w:tcW w:w="1520" w:type="dxa"/>
            <w:shd w:val="clear" w:color="auto" w:fill="D2EAF1"/>
          </w:tcPr>
          <w:p w:rsidR="009B2C2C" w:rsidRPr="0055598C" w:rsidRDefault="009B2C2C" w:rsidP="00D900B5">
            <w:pPr>
              <w:jc w:val="left"/>
              <w:rPr>
                <w:sz w:val="19"/>
                <w:szCs w:val="19"/>
              </w:rPr>
            </w:pPr>
            <w:r w:rsidRPr="0055598C">
              <w:rPr>
                <w:sz w:val="19"/>
                <w:szCs w:val="19"/>
              </w:rPr>
              <w:t>Residential Energy Efficiency Program (REEP)</w:t>
            </w:r>
          </w:p>
        </w:tc>
        <w:tc>
          <w:tcPr>
            <w:tcW w:w="5060" w:type="dxa"/>
            <w:shd w:val="clear" w:color="auto" w:fill="D2EAF1"/>
          </w:tcPr>
          <w:p w:rsidR="009B2C2C" w:rsidRPr="0055598C" w:rsidRDefault="009B2C2C" w:rsidP="009349F1">
            <w:pPr>
              <w:numPr>
                <w:ilvl w:val="0"/>
                <w:numId w:val="12"/>
              </w:numPr>
              <w:autoSpaceDE w:val="0"/>
              <w:autoSpaceDN w:val="0"/>
              <w:adjustRightInd w:val="0"/>
              <w:ind w:left="232" w:hanging="180"/>
              <w:contextualSpacing/>
              <w:jc w:val="left"/>
              <w:rPr>
                <w:rFonts w:cs="Calibri"/>
                <w:sz w:val="19"/>
                <w:szCs w:val="19"/>
              </w:rPr>
            </w:pPr>
            <w:r w:rsidRPr="0055598C">
              <w:rPr>
                <w:rFonts w:cs="Calibri"/>
                <w:sz w:val="19"/>
                <w:szCs w:val="19"/>
              </w:rPr>
              <w:t xml:space="preserve">Rebate participants learned about rebates online, at retail stores, and from contractors. </w:t>
            </w:r>
          </w:p>
          <w:p w:rsidR="009B2C2C" w:rsidRPr="0055598C" w:rsidRDefault="009B2C2C" w:rsidP="009349F1">
            <w:pPr>
              <w:numPr>
                <w:ilvl w:val="0"/>
                <w:numId w:val="12"/>
              </w:numPr>
              <w:autoSpaceDE w:val="0"/>
              <w:autoSpaceDN w:val="0"/>
              <w:adjustRightInd w:val="0"/>
              <w:ind w:left="232" w:hanging="180"/>
              <w:contextualSpacing/>
              <w:jc w:val="left"/>
              <w:rPr>
                <w:rFonts w:cs="Calibri"/>
                <w:sz w:val="19"/>
                <w:szCs w:val="19"/>
              </w:rPr>
            </w:pPr>
            <w:r w:rsidRPr="0055598C">
              <w:rPr>
                <w:rFonts w:cs="Calibri"/>
                <w:sz w:val="19"/>
                <w:szCs w:val="19"/>
              </w:rPr>
              <w:t>Events and online information were the most influential sources of information.</w:t>
            </w:r>
          </w:p>
          <w:p w:rsidR="009B2C2C" w:rsidRPr="0055598C" w:rsidRDefault="009B2C2C" w:rsidP="009349F1">
            <w:pPr>
              <w:numPr>
                <w:ilvl w:val="0"/>
                <w:numId w:val="12"/>
              </w:numPr>
              <w:autoSpaceDE w:val="0"/>
              <w:autoSpaceDN w:val="0"/>
              <w:adjustRightInd w:val="0"/>
              <w:ind w:left="232" w:hanging="180"/>
              <w:contextualSpacing/>
              <w:jc w:val="left"/>
              <w:rPr>
                <w:rFonts w:cs="Calibri"/>
                <w:sz w:val="19"/>
                <w:szCs w:val="19"/>
              </w:rPr>
            </w:pPr>
            <w:r w:rsidRPr="0055598C">
              <w:rPr>
                <w:rFonts w:cs="Calibri"/>
                <w:sz w:val="19"/>
                <w:szCs w:val="19"/>
              </w:rPr>
              <w:t>Participants were generally satisfied with the rebate program.</w:t>
            </w:r>
          </w:p>
          <w:p w:rsidR="009B2C2C" w:rsidRPr="0055598C" w:rsidRDefault="009B2C2C" w:rsidP="009349F1">
            <w:pPr>
              <w:numPr>
                <w:ilvl w:val="0"/>
                <w:numId w:val="12"/>
              </w:numPr>
              <w:autoSpaceDE w:val="0"/>
              <w:autoSpaceDN w:val="0"/>
              <w:adjustRightInd w:val="0"/>
              <w:ind w:left="232" w:hanging="180"/>
              <w:contextualSpacing/>
              <w:jc w:val="left"/>
              <w:rPr>
                <w:rFonts w:cs="Calibri"/>
                <w:sz w:val="19"/>
                <w:szCs w:val="19"/>
              </w:rPr>
            </w:pPr>
            <w:r w:rsidRPr="0055598C">
              <w:rPr>
                <w:rFonts w:cs="Calibri"/>
                <w:sz w:val="19"/>
                <w:szCs w:val="19"/>
              </w:rPr>
              <w:t xml:space="preserve">Kit participants learned about the kits largely via online sources, family and friends, and email. </w:t>
            </w:r>
          </w:p>
          <w:p w:rsidR="009B2C2C" w:rsidRPr="0055598C" w:rsidRDefault="009B2C2C" w:rsidP="009349F1">
            <w:pPr>
              <w:numPr>
                <w:ilvl w:val="0"/>
                <w:numId w:val="12"/>
              </w:numPr>
              <w:autoSpaceDE w:val="0"/>
              <w:autoSpaceDN w:val="0"/>
              <w:adjustRightInd w:val="0"/>
              <w:ind w:left="232" w:hanging="180"/>
              <w:contextualSpacing/>
              <w:jc w:val="left"/>
              <w:rPr>
                <w:rFonts w:cs="Calibri"/>
                <w:sz w:val="19"/>
                <w:szCs w:val="19"/>
              </w:rPr>
            </w:pPr>
            <w:r w:rsidRPr="0055598C">
              <w:rPr>
                <w:rFonts w:cs="Calibri"/>
                <w:sz w:val="19"/>
                <w:szCs w:val="19"/>
              </w:rPr>
              <w:t>Kit participants were largely satisfied with the program.</w:t>
            </w:r>
          </w:p>
          <w:p w:rsidR="009B2C2C" w:rsidRPr="0055598C" w:rsidRDefault="009B2C2C" w:rsidP="009349F1">
            <w:pPr>
              <w:numPr>
                <w:ilvl w:val="0"/>
                <w:numId w:val="12"/>
              </w:numPr>
              <w:autoSpaceDE w:val="0"/>
              <w:autoSpaceDN w:val="0"/>
              <w:adjustRightInd w:val="0"/>
              <w:ind w:left="232" w:hanging="180"/>
              <w:contextualSpacing/>
              <w:jc w:val="left"/>
              <w:rPr>
                <w:rFonts w:cs="Calibri"/>
                <w:sz w:val="19"/>
                <w:szCs w:val="19"/>
              </w:rPr>
            </w:pPr>
            <w:r w:rsidRPr="0055598C">
              <w:rPr>
                <w:rFonts w:cs="Calibri"/>
                <w:sz w:val="19"/>
                <w:szCs w:val="19"/>
              </w:rPr>
              <w:t>Kit participants made five suggestions for ways to improve the program offerings or outreach.</w:t>
            </w:r>
          </w:p>
        </w:tc>
        <w:tc>
          <w:tcPr>
            <w:tcW w:w="2860" w:type="dxa"/>
            <w:shd w:val="clear" w:color="auto" w:fill="D2EAF1"/>
          </w:tcPr>
          <w:p w:rsidR="009B2C2C" w:rsidRPr="0055598C" w:rsidRDefault="009B2C2C" w:rsidP="009349F1">
            <w:pPr>
              <w:numPr>
                <w:ilvl w:val="0"/>
                <w:numId w:val="12"/>
              </w:numPr>
              <w:autoSpaceDE w:val="0"/>
              <w:autoSpaceDN w:val="0"/>
              <w:adjustRightInd w:val="0"/>
              <w:ind w:left="232" w:hanging="180"/>
              <w:contextualSpacing/>
              <w:jc w:val="left"/>
              <w:rPr>
                <w:sz w:val="19"/>
                <w:szCs w:val="19"/>
              </w:rPr>
            </w:pPr>
            <w:r w:rsidRPr="0055598C">
              <w:rPr>
                <w:sz w:val="19"/>
                <w:szCs w:val="19"/>
              </w:rPr>
              <w:t>Program manager (n=1)</w:t>
            </w:r>
          </w:p>
          <w:p w:rsidR="009B2C2C" w:rsidRPr="0055598C" w:rsidRDefault="009B2C2C" w:rsidP="009349F1">
            <w:pPr>
              <w:numPr>
                <w:ilvl w:val="0"/>
                <w:numId w:val="12"/>
              </w:numPr>
              <w:autoSpaceDE w:val="0"/>
              <w:autoSpaceDN w:val="0"/>
              <w:adjustRightInd w:val="0"/>
              <w:ind w:left="232" w:hanging="180"/>
              <w:contextualSpacing/>
              <w:jc w:val="left"/>
              <w:rPr>
                <w:sz w:val="19"/>
                <w:szCs w:val="19"/>
              </w:rPr>
            </w:pPr>
            <w:r w:rsidRPr="0055598C">
              <w:rPr>
                <w:sz w:val="19"/>
                <w:szCs w:val="19"/>
              </w:rPr>
              <w:t>Rebate participants (n=59, 55 market rate and 4 low-income)</w:t>
            </w:r>
          </w:p>
          <w:p w:rsidR="009B2C2C" w:rsidRPr="0055598C" w:rsidRDefault="009B2C2C" w:rsidP="009349F1">
            <w:pPr>
              <w:numPr>
                <w:ilvl w:val="0"/>
                <w:numId w:val="12"/>
              </w:numPr>
              <w:autoSpaceDE w:val="0"/>
              <w:autoSpaceDN w:val="0"/>
              <w:adjustRightInd w:val="0"/>
              <w:ind w:left="232" w:hanging="180"/>
              <w:contextualSpacing/>
              <w:jc w:val="left"/>
              <w:rPr>
                <w:sz w:val="19"/>
                <w:szCs w:val="19"/>
              </w:rPr>
            </w:pPr>
            <w:r w:rsidRPr="0055598C">
              <w:rPr>
                <w:sz w:val="19"/>
                <w:szCs w:val="19"/>
              </w:rPr>
              <w:t>Kit participants (n=15)</w:t>
            </w:r>
          </w:p>
        </w:tc>
      </w:tr>
      <w:tr w:rsidR="009B2C2C" w:rsidRPr="0055598C" w:rsidTr="0055598C">
        <w:trPr>
          <w:trHeight w:val="141"/>
        </w:trPr>
        <w:tc>
          <w:tcPr>
            <w:tcW w:w="1520" w:type="dxa"/>
          </w:tcPr>
          <w:p w:rsidR="009B2C2C" w:rsidRPr="0055598C" w:rsidRDefault="009B2C2C" w:rsidP="00D900B5">
            <w:pPr>
              <w:jc w:val="left"/>
              <w:rPr>
                <w:sz w:val="19"/>
                <w:szCs w:val="19"/>
              </w:rPr>
            </w:pPr>
            <w:r w:rsidRPr="0055598C">
              <w:rPr>
                <w:sz w:val="19"/>
                <w:szCs w:val="19"/>
              </w:rPr>
              <w:t>Residential Appliance Recycling Program (RARP)</w:t>
            </w:r>
          </w:p>
        </w:tc>
        <w:tc>
          <w:tcPr>
            <w:tcW w:w="5060" w:type="dxa"/>
          </w:tcPr>
          <w:p w:rsidR="009B2C2C" w:rsidRPr="0055598C" w:rsidRDefault="009B2C2C" w:rsidP="009349F1">
            <w:pPr>
              <w:numPr>
                <w:ilvl w:val="0"/>
                <w:numId w:val="11"/>
              </w:numPr>
              <w:autoSpaceDE w:val="0"/>
              <w:autoSpaceDN w:val="0"/>
              <w:adjustRightInd w:val="0"/>
              <w:ind w:left="232" w:hanging="180"/>
              <w:contextualSpacing/>
              <w:jc w:val="left"/>
              <w:rPr>
                <w:rFonts w:cs="Calibri"/>
                <w:sz w:val="19"/>
                <w:szCs w:val="19"/>
              </w:rPr>
            </w:pPr>
            <w:r w:rsidRPr="0055598C">
              <w:rPr>
                <w:rFonts w:cs="Calibri"/>
                <w:sz w:val="19"/>
                <w:szCs w:val="19"/>
              </w:rPr>
              <w:t xml:space="preserve">Participants heard about the program largely through family and friends, television, or bill inserts. </w:t>
            </w:r>
          </w:p>
          <w:p w:rsidR="009B2C2C" w:rsidRPr="0055598C" w:rsidRDefault="009B2C2C" w:rsidP="009349F1">
            <w:pPr>
              <w:numPr>
                <w:ilvl w:val="0"/>
                <w:numId w:val="11"/>
              </w:numPr>
              <w:autoSpaceDE w:val="0"/>
              <w:autoSpaceDN w:val="0"/>
              <w:adjustRightInd w:val="0"/>
              <w:ind w:left="232" w:hanging="180"/>
              <w:contextualSpacing/>
              <w:jc w:val="left"/>
              <w:rPr>
                <w:rFonts w:cs="Calibri"/>
                <w:sz w:val="19"/>
                <w:szCs w:val="19"/>
              </w:rPr>
            </w:pPr>
            <w:r w:rsidRPr="0055598C">
              <w:rPr>
                <w:rFonts w:cs="Calibri"/>
                <w:sz w:val="19"/>
                <w:szCs w:val="19"/>
              </w:rPr>
              <w:t>Satisfaction was high among participants, except for the time it took to receive the incentive. Recipients were probably less satisfied with this component because of JACO’s exit from the program.</w:t>
            </w:r>
          </w:p>
          <w:p w:rsidR="009B2C2C" w:rsidRPr="0055598C" w:rsidRDefault="009B2C2C" w:rsidP="009349F1">
            <w:pPr>
              <w:numPr>
                <w:ilvl w:val="0"/>
                <w:numId w:val="11"/>
              </w:numPr>
              <w:autoSpaceDE w:val="0"/>
              <w:autoSpaceDN w:val="0"/>
              <w:adjustRightInd w:val="0"/>
              <w:ind w:left="232" w:hanging="180"/>
              <w:contextualSpacing/>
              <w:jc w:val="left"/>
              <w:rPr>
                <w:rFonts w:cs="Calibri"/>
                <w:sz w:val="19"/>
                <w:szCs w:val="19"/>
              </w:rPr>
            </w:pPr>
            <w:r w:rsidRPr="0055598C">
              <w:rPr>
                <w:rFonts w:cs="Calibri"/>
                <w:sz w:val="19"/>
                <w:szCs w:val="19"/>
              </w:rPr>
              <w:t>Less than half of participants noted ways to improve the program. The most commonly cited ways were to improve rebate processing time and program advertising.</w:t>
            </w:r>
          </w:p>
          <w:p w:rsidR="009B2C2C" w:rsidRPr="0055598C" w:rsidRDefault="009B2C2C" w:rsidP="009349F1">
            <w:pPr>
              <w:numPr>
                <w:ilvl w:val="0"/>
                <w:numId w:val="11"/>
              </w:numPr>
              <w:autoSpaceDE w:val="0"/>
              <w:autoSpaceDN w:val="0"/>
              <w:adjustRightInd w:val="0"/>
              <w:ind w:left="232" w:hanging="180"/>
              <w:contextualSpacing/>
              <w:jc w:val="left"/>
              <w:rPr>
                <w:rFonts w:cs="Calibri"/>
                <w:sz w:val="19"/>
                <w:szCs w:val="19"/>
              </w:rPr>
            </w:pPr>
            <w:r w:rsidRPr="0055598C">
              <w:rPr>
                <w:rFonts w:cs="Calibri"/>
                <w:sz w:val="19"/>
                <w:szCs w:val="19"/>
              </w:rPr>
              <w:t>The cash incentive and convenience of participating were the main reasons respondents chose to participate.</w:t>
            </w:r>
          </w:p>
        </w:tc>
        <w:tc>
          <w:tcPr>
            <w:tcW w:w="2860" w:type="dxa"/>
          </w:tcPr>
          <w:p w:rsidR="009B2C2C" w:rsidRPr="0055598C" w:rsidRDefault="009B2C2C" w:rsidP="009349F1">
            <w:pPr>
              <w:numPr>
                <w:ilvl w:val="0"/>
                <w:numId w:val="12"/>
              </w:numPr>
              <w:autoSpaceDE w:val="0"/>
              <w:autoSpaceDN w:val="0"/>
              <w:adjustRightInd w:val="0"/>
              <w:ind w:left="232" w:hanging="180"/>
              <w:contextualSpacing/>
              <w:jc w:val="left"/>
              <w:rPr>
                <w:sz w:val="19"/>
                <w:szCs w:val="19"/>
              </w:rPr>
            </w:pPr>
            <w:r w:rsidRPr="0055598C">
              <w:rPr>
                <w:sz w:val="19"/>
                <w:szCs w:val="19"/>
              </w:rPr>
              <w:t>Participants (n=109)</w:t>
            </w:r>
          </w:p>
        </w:tc>
      </w:tr>
      <w:tr w:rsidR="00E7173E" w:rsidRPr="0055598C" w:rsidTr="0055598C">
        <w:trPr>
          <w:trHeight w:val="141"/>
        </w:trPr>
        <w:tc>
          <w:tcPr>
            <w:tcW w:w="1520" w:type="dxa"/>
            <w:shd w:val="clear" w:color="auto" w:fill="D2EAF1"/>
          </w:tcPr>
          <w:p w:rsidR="009B2C2C" w:rsidRPr="0055598C" w:rsidRDefault="009B2C2C" w:rsidP="00D900B5">
            <w:pPr>
              <w:jc w:val="left"/>
              <w:rPr>
                <w:sz w:val="19"/>
                <w:szCs w:val="19"/>
              </w:rPr>
            </w:pPr>
            <w:r w:rsidRPr="0055598C">
              <w:rPr>
                <w:sz w:val="19"/>
                <w:szCs w:val="19"/>
              </w:rPr>
              <w:t>School Energy Pledge Program (SEP)</w:t>
            </w:r>
          </w:p>
        </w:tc>
        <w:tc>
          <w:tcPr>
            <w:tcW w:w="5060" w:type="dxa"/>
            <w:shd w:val="clear" w:color="auto" w:fill="D2EAF1"/>
          </w:tcPr>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rFonts w:cs="Calibri"/>
                <w:sz w:val="19"/>
                <w:szCs w:val="19"/>
              </w:rPr>
              <w:t>The program did not meet its program year goals and is being replaced in Phase III.</w:t>
            </w:r>
            <w:r w:rsidRPr="0055598C">
              <w:rPr>
                <w:sz w:val="19"/>
                <w:szCs w:val="19"/>
              </w:rPr>
              <w:t xml:space="preserve"> </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Satisfaction was high among participants.</w:t>
            </w:r>
          </w:p>
          <w:p w:rsidR="009B2C2C" w:rsidRPr="0055598C" w:rsidRDefault="009B2C2C" w:rsidP="009349F1">
            <w:pPr>
              <w:numPr>
                <w:ilvl w:val="0"/>
                <w:numId w:val="11"/>
              </w:numPr>
              <w:autoSpaceDE w:val="0"/>
              <w:autoSpaceDN w:val="0"/>
              <w:adjustRightInd w:val="0"/>
              <w:ind w:left="232" w:hanging="180"/>
              <w:contextualSpacing/>
              <w:jc w:val="left"/>
              <w:rPr>
                <w:color w:val="365F91"/>
                <w:sz w:val="19"/>
                <w:szCs w:val="19"/>
              </w:rPr>
            </w:pPr>
            <w:r w:rsidRPr="0055598C">
              <w:rPr>
                <w:sz w:val="19"/>
                <w:szCs w:val="19"/>
              </w:rPr>
              <w:t>Across Phase II, parents cited the information about the program supplied by their children as the reason they elected to participate.</w:t>
            </w:r>
          </w:p>
          <w:p w:rsidR="009B2C2C" w:rsidRPr="0055598C" w:rsidRDefault="009B2C2C" w:rsidP="009349F1">
            <w:pPr>
              <w:numPr>
                <w:ilvl w:val="0"/>
                <w:numId w:val="11"/>
              </w:numPr>
              <w:autoSpaceDE w:val="0"/>
              <w:autoSpaceDN w:val="0"/>
              <w:adjustRightInd w:val="0"/>
              <w:ind w:left="232" w:hanging="180"/>
              <w:contextualSpacing/>
              <w:jc w:val="left"/>
              <w:rPr>
                <w:color w:val="365F91"/>
                <w:sz w:val="19"/>
                <w:szCs w:val="19"/>
              </w:rPr>
            </w:pPr>
            <w:r w:rsidRPr="0055598C">
              <w:rPr>
                <w:sz w:val="19"/>
                <w:szCs w:val="19"/>
              </w:rPr>
              <w:t>Suggestions for improvements included offering more products in the kits, more education for students about reducing energy use, and increasing awareness of the program.</w:t>
            </w:r>
          </w:p>
        </w:tc>
        <w:tc>
          <w:tcPr>
            <w:tcW w:w="2860" w:type="dxa"/>
            <w:shd w:val="clear" w:color="auto" w:fill="D2EAF1"/>
          </w:tcPr>
          <w:p w:rsidR="009B2C2C" w:rsidRPr="0055598C" w:rsidRDefault="009B2C2C" w:rsidP="009349F1">
            <w:pPr>
              <w:numPr>
                <w:ilvl w:val="0"/>
                <w:numId w:val="11"/>
              </w:numPr>
              <w:autoSpaceDE w:val="0"/>
              <w:autoSpaceDN w:val="0"/>
              <w:adjustRightInd w:val="0"/>
              <w:ind w:left="232" w:hanging="180"/>
              <w:contextualSpacing/>
              <w:jc w:val="left"/>
              <w:rPr>
                <w:rFonts w:cs="Calibri"/>
                <w:sz w:val="19"/>
                <w:szCs w:val="19"/>
              </w:rPr>
            </w:pPr>
            <w:r w:rsidRPr="0055598C">
              <w:rPr>
                <w:rFonts w:cs="Calibri"/>
                <w:sz w:val="19"/>
                <w:szCs w:val="19"/>
              </w:rPr>
              <w:t>Program manager (n=1)</w:t>
            </w:r>
          </w:p>
          <w:p w:rsidR="009B2C2C" w:rsidRPr="0055598C" w:rsidRDefault="009B2C2C" w:rsidP="009349F1">
            <w:pPr>
              <w:numPr>
                <w:ilvl w:val="0"/>
                <w:numId w:val="11"/>
              </w:numPr>
              <w:autoSpaceDE w:val="0"/>
              <w:autoSpaceDN w:val="0"/>
              <w:adjustRightInd w:val="0"/>
              <w:ind w:left="232" w:hanging="180"/>
              <w:contextualSpacing/>
              <w:jc w:val="left"/>
              <w:rPr>
                <w:rFonts w:cs="Calibri"/>
                <w:sz w:val="19"/>
                <w:szCs w:val="19"/>
              </w:rPr>
            </w:pPr>
            <w:r w:rsidRPr="0055598C">
              <w:rPr>
                <w:sz w:val="19"/>
                <w:szCs w:val="19"/>
              </w:rPr>
              <w:t>Participants (n=27, 14 market rate and 13 low-income)</w:t>
            </w:r>
          </w:p>
        </w:tc>
      </w:tr>
      <w:tr w:rsidR="009B2C2C" w:rsidRPr="0055598C" w:rsidTr="0055598C">
        <w:trPr>
          <w:trHeight w:val="141"/>
        </w:trPr>
        <w:tc>
          <w:tcPr>
            <w:tcW w:w="1520" w:type="dxa"/>
          </w:tcPr>
          <w:p w:rsidR="009B2C2C" w:rsidRPr="0055598C" w:rsidRDefault="009B2C2C" w:rsidP="00D900B5">
            <w:pPr>
              <w:pStyle w:val="Default"/>
              <w:rPr>
                <w:sz w:val="19"/>
                <w:szCs w:val="19"/>
              </w:rPr>
            </w:pPr>
            <w:r w:rsidRPr="0055598C">
              <w:rPr>
                <w:sz w:val="19"/>
                <w:szCs w:val="19"/>
              </w:rPr>
              <w:t xml:space="preserve">Whole House Energy Audit Program </w:t>
            </w:r>
          </w:p>
          <w:p w:rsidR="009B2C2C" w:rsidRPr="0055598C" w:rsidRDefault="009B2C2C" w:rsidP="00D900B5">
            <w:pPr>
              <w:jc w:val="left"/>
              <w:rPr>
                <w:sz w:val="19"/>
                <w:szCs w:val="19"/>
              </w:rPr>
            </w:pPr>
            <w:r w:rsidRPr="0055598C">
              <w:rPr>
                <w:sz w:val="19"/>
                <w:szCs w:val="19"/>
              </w:rPr>
              <w:t>(WHEAP)</w:t>
            </w:r>
          </w:p>
        </w:tc>
        <w:tc>
          <w:tcPr>
            <w:tcW w:w="5060" w:type="dxa"/>
          </w:tcPr>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Participants heard about the program from multiple sources.</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Interactions with people knowledgeable about the program were more influential than items like bill inserts and ads.</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Program satisfaction was generally high, and almost all respondents reported they would recommend the program to others.</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Of those not satisfied with the program, two did not like the small size of the refrigerator, two did not see reductions in their bills, and one did not like the service received from the auditor.</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Two respondents installed efficient equipment without an incentive because of their participation in the program.</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Most participants could not recall their audit recommendations.</w:t>
            </w:r>
          </w:p>
        </w:tc>
        <w:tc>
          <w:tcPr>
            <w:tcW w:w="2860" w:type="dxa"/>
          </w:tcPr>
          <w:p w:rsidR="009B2C2C" w:rsidRPr="0055598C" w:rsidRDefault="009B2C2C" w:rsidP="009349F1">
            <w:pPr>
              <w:numPr>
                <w:ilvl w:val="0"/>
                <w:numId w:val="11"/>
              </w:numPr>
              <w:autoSpaceDE w:val="0"/>
              <w:autoSpaceDN w:val="0"/>
              <w:adjustRightInd w:val="0"/>
              <w:ind w:left="232" w:hanging="180"/>
              <w:contextualSpacing/>
              <w:jc w:val="left"/>
              <w:rPr>
                <w:rFonts w:cs="Calibri"/>
                <w:sz w:val="19"/>
                <w:szCs w:val="19"/>
              </w:rPr>
            </w:pPr>
            <w:r w:rsidRPr="0055598C">
              <w:rPr>
                <w:sz w:val="19"/>
                <w:szCs w:val="19"/>
              </w:rPr>
              <w:t>Participants (n=22, 9 market rate and 13 low-income)</w:t>
            </w:r>
          </w:p>
        </w:tc>
      </w:tr>
      <w:tr w:rsidR="00E7173E" w:rsidRPr="0055598C" w:rsidTr="0055598C">
        <w:trPr>
          <w:trHeight w:val="141"/>
        </w:trPr>
        <w:tc>
          <w:tcPr>
            <w:tcW w:w="1520" w:type="dxa"/>
            <w:shd w:val="clear" w:color="auto" w:fill="D2E7F0"/>
          </w:tcPr>
          <w:p w:rsidR="009B2C2C" w:rsidRPr="0055598C" w:rsidRDefault="009B2C2C" w:rsidP="00D900B5">
            <w:pPr>
              <w:jc w:val="left"/>
              <w:rPr>
                <w:sz w:val="19"/>
                <w:szCs w:val="19"/>
              </w:rPr>
            </w:pPr>
            <w:r w:rsidRPr="0055598C">
              <w:rPr>
                <w:sz w:val="19"/>
                <w:szCs w:val="19"/>
              </w:rPr>
              <w:t>Residential Home Energy Report Program (HER)</w:t>
            </w:r>
          </w:p>
        </w:tc>
        <w:tc>
          <w:tcPr>
            <w:tcW w:w="5060" w:type="dxa"/>
            <w:shd w:val="clear" w:color="auto" w:fill="D2E7F0"/>
          </w:tcPr>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More than one-quarter of HER recipients could not recall receiving HERs.</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More than one-third of HER recipients reported that the purpose of the HER was to compare their energy use to others, and slightly more than one-quarter reported that it was to persuade them to use less energy.</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The large majority of respondents reported satisfaction with the HERs and described the reports as accurate.</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HER recipients most commonly reported valuing the comparison of energy use to prior years and the energy savings tips.</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HER recipients and those who opted out of receiving HERs reported making energy efficiency upgrades in the last 12 months.</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 xml:space="preserve">Opt-out customers chose to opt out because they did not find the information valuable, felt shamed by the reports, </w:t>
            </w:r>
            <w:r w:rsidR="00A04A88" w:rsidRPr="0055598C">
              <w:rPr>
                <w:sz w:val="19"/>
                <w:szCs w:val="19"/>
              </w:rPr>
              <w:t>or</w:t>
            </w:r>
            <w:r w:rsidRPr="0055598C">
              <w:rPr>
                <w:sz w:val="19"/>
                <w:szCs w:val="19"/>
              </w:rPr>
              <w:t xml:space="preserve"> did not have time to read the reports.</w:t>
            </w:r>
          </w:p>
        </w:tc>
        <w:tc>
          <w:tcPr>
            <w:tcW w:w="2860" w:type="dxa"/>
            <w:shd w:val="clear" w:color="auto" w:fill="D2E7F0"/>
          </w:tcPr>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Participants (n=134, 59 market rate and 75 low-income)</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 xml:space="preserve">Customers who opted out of receiving HERs (n=30) </w:t>
            </w:r>
          </w:p>
        </w:tc>
      </w:tr>
      <w:tr w:rsidR="00E7173E" w:rsidRPr="0055598C" w:rsidTr="0055598C">
        <w:trPr>
          <w:trHeight w:val="141"/>
        </w:trPr>
        <w:tc>
          <w:tcPr>
            <w:tcW w:w="9440" w:type="dxa"/>
            <w:gridSpan w:val="3"/>
            <w:shd w:val="clear" w:color="auto" w:fill="9C9393"/>
            <w:hideMark/>
          </w:tcPr>
          <w:p w:rsidR="009B2C2C" w:rsidRPr="0055598C" w:rsidRDefault="009B2C2C" w:rsidP="00D900B5">
            <w:pPr>
              <w:ind w:left="139" w:hanging="180"/>
              <w:jc w:val="left"/>
              <w:rPr>
                <w:b/>
                <w:i/>
                <w:sz w:val="19"/>
                <w:szCs w:val="19"/>
              </w:rPr>
            </w:pPr>
            <w:r w:rsidRPr="0055598C">
              <w:rPr>
                <w:b/>
                <w:color w:val="FFFFFF"/>
                <w:sz w:val="19"/>
                <w:szCs w:val="19"/>
              </w:rPr>
              <w:t>Low-Income Sector</w:t>
            </w:r>
          </w:p>
        </w:tc>
      </w:tr>
      <w:tr w:rsidR="00E7173E" w:rsidRPr="0055598C" w:rsidTr="0055598C">
        <w:trPr>
          <w:trHeight w:val="141"/>
        </w:trPr>
        <w:tc>
          <w:tcPr>
            <w:tcW w:w="1520" w:type="dxa"/>
            <w:shd w:val="clear" w:color="auto" w:fill="D2EAF1"/>
            <w:vAlign w:val="center"/>
          </w:tcPr>
          <w:p w:rsidR="009B2C2C" w:rsidRPr="0055598C" w:rsidRDefault="009B2C2C" w:rsidP="00D900B5">
            <w:pPr>
              <w:jc w:val="left"/>
              <w:rPr>
                <w:color w:val="000000"/>
                <w:sz w:val="19"/>
                <w:szCs w:val="19"/>
              </w:rPr>
            </w:pPr>
            <w:r w:rsidRPr="0055598C">
              <w:rPr>
                <w:color w:val="000000"/>
                <w:sz w:val="19"/>
                <w:szCs w:val="19"/>
              </w:rPr>
              <w:t>Low-Income Energy Efficiency Program (LIEEP)</w:t>
            </w:r>
          </w:p>
        </w:tc>
        <w:tc>
          <w:tcPr>
            <w:tcW w:w="5060" w:type="dxa"/>
            <w:shd w:val="clear" w:color="auto" w:fill="D2EAF1"/>
          </w:tcPr>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Many low-income responses were combined with market-rate responses for each program. The exception was for REEP kits and RARP, where low-income responses were reported separately.</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Satisfaction was high, and most REEP kit participants would recommend the program to others.</w:t>
            </w:r>
          </w:p>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About two-thirds of kit recipients provided recommendations to improve the program, including improving advertising and providing a better nightlight.</w:t>
            </w:r>
          </w:p>
        </w:tc>
        <w:tc>
          <w:tcPr>
            <w:tcW w:w="2860" w:type="dxa"/>
            <w:shd w:val="clear" w:color="auto" w:fill="D2EAF1"/>
          </w:tcPr>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Participants (n=25 REEP kits, 40 RARP)</w:t>
            </w:r>
          </w:p>
        </w:tc>
      </w:tr>
      <w:tr w:rsidR="00E7173E" w:rsidRPr="0055598C" w:rsidTr="0055598C">
        <w:trPr>
          <w:trHeight w:val="141"/>
        </w:trPr>
        <w:tc>
          <w:tcPr>
            <w:tcW w:w="9440" w:type="dxa"/>
            <w:gridSpan w:val="3"/>
            <w:shd w:val="clear" w:color="auto" w:fill="9C9393"/>
            <w:hideMark/>
          </w:tcPr>
          <w:p w:rsidR="009B2C2C" w:rsidRPr="0055598C" w:rsidRDefault="009B2C2C" w:rsidP="00D900B5">
            <w:pPr>
              <w:ind w:left="139" w:hanging="180"/>
              <w:jc w:val="left"/>
              <w:rPr>
                <w:b/>
                <w:i/>
                <w:sz w:val="19"/>
                <w:szCs w:val="19"/>
              </w:rPr>
            </w:pPr>
            <w:r w:rsidRPr="0055598C">
              <w:rPr>
                <w:b/>
                <w:color w:val="FFFFFF"/>
                <w:sz w:val="19"/>
                <w:szCs w:val="19"/>
              </w:rPr>
              <w:t>Non-Residential Sector</w:t>
            </w:r>
          </w:p>
        </w:tc>
      </w:tr>
      <w:tr w:rsidR="009B2C2C" w:rsidRPr="0055598C" w:rsidTr="0055598C">
        <w:trPr>
          <w:trHeight w:val="141"/>
        </w:trPr>
        <w:tc>
          <w:tcPr>
            <w:tcW w:w="1520" w:type="dxa"/>
          </w:tcPr>
          <w:p w:rsidR="009B2C2C" w:rsidRPr="0055598C" w:rsidRDefault="009B2C2C" w:rsidP="00D900B5">
            <w:pPr>
              <w:jc w:val="left"/>
              <w:rPr>
                <w:sz w:val="19"/>
                <w:szCs w:val="19"/>
              </w:rPr>
            </w:pPr>
            <w:r w:rsidRPr="0055598C">
              <w:rPr>
                <w:sz w:val="19"/>
                <w:szCs w:val="19"/>
              </w:rPr>
              <w:t>Commercial and Industrial Programs</w:t>
            </w:r>
          </w:p>
        </w:tc>
        <w:tc>
          <w:tcPr>
            <w:tcW w:w="5060" w:type="dxa"/>
            <w:vAlign w:val="bottom"/>
          </w:tcPr>
          <w:p w:rsidR="009B2C2C" w:rsidRPr="0055598C" w:rsidRDefault="009B2C2C" w:rsidP="009349F1">
            <w:pPr>
              <w:numPr>
                <w:ilvl w:val="0"/>
                <w:numId w:val="10"/>
              </w:numPr>
              <w:autoSpaceDE w:val="0"/>
              <w:autoSpaceDN w:val="0"/>
              <w:adjustRightInd w:val="0"/>
              <w:ind w:left="142" w:hanging="180"/>
              <w:contextualSpacing/>
              <w:jc w:val="left"/>
              <w:rPr>
                <w:rFonts w:cs="Calibri"/>
                <w:sz w:val="19"/>
                <w:szCs w:val="19"/>
              </w:rPr>
            </w:pPr>
            <w:r w:rsidRPr="0055598C">
              <w:rPr>
                <w:rFonts w:cs="Calibri"/>
                <w:sz w:val="19"/>
                <w:szCs w:val="19"/>
              </w:rPr>
              <w:t>Participants largely reported satisfaction with the program. A small subset noted dissatisfaction with the length of time to receive rebate checks, and one noted dissatisfaction with communication with the program staff.</w:t>
            </w:r>
          </w:p>
        </w:tc>
        <w:tc>
          <w:tcPr>
            <w:tcW w:w="2860" w:type="dxa"/>
          </w:tcPr>
          <w:p w:rsidR="009B2C2C" w:rsidRPr="0055598C" w:rsidRDefault="009B2C2C" w:rsidP="009349F1">
            <w:pPr>
              <w:numPr>
                <w:ilvl w:val="0"/>
                <w:numId w:val="11"/>
              </w:numPr>
              <w:autoSpaceDE w:val="0"/>
              <w:autoSpaceDN w:val="0"/>
              <w:adjustRightInd w:val="0"/>
              <w:ind w:left="232" w:hanging="180"/>
              <w:contextualSpacing/>
              <w:jc w:val="left"/>
              <w:rPr>
                <w:sz w:val="19"/>
                <w:szCs w:val="19"/>
              </w:rPr>
            </w:pPr>
            <w:r w:rsidRPr="0055598C">
              <w:rPr>
                <w:sz w:val="19"/>
                <w:szCs w:val="19"/>
              </w:rPr>
              <w:t>Participants (n=36)</w:t>
            </w:r>
          </w:p>
        </w:tc>
      </w:tr>
    </w:tbl>
    <w:p w:rsidR="00A07AB2" w:rsidRDefault="00A07AB2" w:rsidP="00A32676"/>
    <w:p w:rsidR="00950837" w:rsidRDefault="00950837" w:rsidP="000D3563">
      <w:pPr>
        <w:pStyle w:val="AppendixAHeading2"/>
      </w:pPr>
      <w:r>
        <w:t>Statewide Evaluator Audit Activities and Findings</w:t>
      </w:r>
    </w:p>
    <w:p w:rsidR="00AC391E" w:rsidRDefault="00AC391E" w:rsidP="00AC391E">
      <w:r w:rsidRPr="00531E49">
        <w:t>This section presents the</w:t>
      </w:r>
      <w:r>
        <w:t xml:space="preserve"> activities of the</w:t>
      </w:r>
      <w:r w:rsidRPr="00531E49">
        <w:t xml:space="preserve"> SWE Team</w:t>
      </w:r>
      <w:r>
        <w:t>’s</w:t>
      </w:r>
      <w:r w:rsidRPr="00531E49">
        <w:t xml:space="preserve"> audit</w:t>
      </w:r>
      <w:r>
        <w:t>s</w:t>
      </w:r>
      <w:r w:rsidRPr="00531E49">
        <w:t xml:space="preserve"> </w:t>
      </w:r>
      <w:r>
        <w:t>of Duquesne’s portfolio of programs</w:t>
      </w:r>
      <w:r w:rsidRPr="00531E49">
        <w:t xml:space="preserve">. </w:t>
      </w:r>
      <w:r>
        <w:t>It provides</w:t>
      </w:r>
      <w:r w:rsidRPr="00531E49">
        <w:t xml:space="preserve"> summary</w:t>
      </w:r>
      <w:r>
        <w:t xml:space="preserve"> information and </w:t>
      </w:r>
      <w:r w:rsidRPr="00531E49">
        <w:t>key findings from the SWE Team’s residential, low-income, non-residential, and NTG and process evaluation audit activities.</w:t>
      </w:r>
    </w:p>
    <w:p w:rsidR="00AC391E" w:rsidRPr="00AC391E" w:rsidRDefault="00AC391E" w:rsidP="00AC391E"/>
    <w:p w:rsidR="00950837" w:rsidRPr="00E37A0C" w:rsidRDefault="00950837" w:rsidP="009C0DF1">
      <w:pPr>
        <w:pStyle w:val="AppendixAHeading3"/>
      </w:pPr>
      <w:r w:rsidRPr="00E37A0C">
        <w:t>Residential Program Audit Summary</w:t>
      </w:r>
    </w:p>
    <w:p w:rsidR="00AC391E" w:rsidRDefault="00AC391E" w:rsidP="00AC391E">
      <w:pPr>
        <w:rPr>
          <w:color w:val="FF0000"/>
        </w:rPr>
      </w:pPr>
      <w:r w:rsidRPr="0026419C">
        <w:t xml:space="preserve">Overall, the </w:t>
      </w:r>
      <w:r w:rsidRPr="000554E6">
        <w:t>SWE</w:t>
      </w:r>
      <w:r w:rsidRPr="0026419C">
        <w:t xml:space="preserve"> Team </w:t>
      </w:r>
      <w:r>
        <w:t>identified</w:t>
      </w:r>
      <w:r w:rsidRPr="0026419C">
        <w:t xml:space="preserve"> </w:t>
      </w:r>
      <w:r>
        <w:t>only minor issues and</w:t>
      </w:r>
      <w:r w:rsidRPr="0026419C">
        <w:t xml:space="preserve"> concerns related to the installation rates, verification process, </w:t>
      </w:r>
      <w:r>
        <w:t>and</w:t>
      </w:r>
      <w:r w:rsidRPr="0026419C">
        <w:t xml:space="preserve"> application of TRM-based savings for Duquesne’s residential programs. </w:t>
      </w:r>
      <w:r>
        <w:t xml:space="preserve">As an example, each of the residential program sections appears to contain an error in reporting Phase II versus PY7 results. </w:t>
      </w:r>
      <w:r w:rsidRPr="00F1194F">
        <w:t xml:space="preserve">The first table </w:t>
      </w:r>
      <w:r>
        <w:t xml:space="preserve">in each residential program </w:t>
      </w:r>
      <w:r w:rsidRPr="00F1194F">
        <w:t>section</w:t>
      </w:r>
      <w:r>
        <w:t xml:space="preserve"> is</w:t>
      </w:r>
      <w:r w:rsidRPr="00F1194F">
        <w:t xml:space="preserve"> titled “Phase II [Program Name] Reported Results by Customer Sector</w:t>
      </w:r>
      <w:r>
        <w:t>,</w:t>
      </w:r>
      <w:r w:rsidRPr="00F1194F">
        <w:t>” yet the text above each table states “shows [Program Name] participation and savings for PY7.” Since the table is reflecting Phase II results, it is likely that the “PY7” text needs to be updated to “Phase II</w:t>
      </w:r>
      <w:r>
        <w:t>.</w:t>
      </w:r>
      <w:r w:rsidRPr="00F1194F">
        <w:t>”</w:t>
      </w:r>
      <w:r w:rsidRPr="006E3D64">
        <w:rPr>
          <w:color w:val="FF0000"/>
        </w:rPr>
        <w:t xml:space="preserve"> </w:t>
      </w:r>
    </w:p>
    <w:p w:rsidR="00AC391E" w:rsidRDefault="00AC391E" w:rsidP="00AC391E">
      <w:pPr>
        <w:rPr>
          <w:color w:val="FF0000"/>
        </w:rPr>
      </w:pPr>
    </w:p>
    <w:p w:rsidR="00AC391E" w:rsidRPr="0026019F" w:rsidRDefault="00AC391E" w:rsidP="00AC391E">
      <w:r>
        <w:t>As was the case for previous Phase II SWE audits, t</w:t>
      </w:r>
      <w:r w:rsidRPr="00B10C6F">
        <w:t xml:space="preserve">he </w:t>
      </w:r>
      <w:r>
        <w:t>PY7 audit process was aided by the comprehensive and well-documented</w:t>
      </w:r>
      <w:r w:rsidRPr="00B10C6F">
        <w:t xml:space="preserve"> worksheets provided by Duquesne’s evaluation contractor, Navigant</w:t>
      </w:r>
      <w:r>
        <w:t>.</w:t>
      </w:r>
      <w:r w:rsidRPr="00B10C6F">
        <w:t xml:space="preserve"> </w:t>
      </w:r>
      <w:r>
        <w:t>The evaluation worksheets and documentation</w:t>
      </w:r>
      <w:r w:rsidRPr="00B10C6F">
        <w:t xml:space="preserve"> were extremely helpful and easy to follow, and were mostly consistent with the SWE Team’s audit procedures. This allowed the SWE Team to </w:t>
      </w:r>
      <w:r>
        <w:t xml:space="preserve">focus on performing a </w:t>
      </w:r>
      <w:r w:rsidRPr="00B10C6F">
        <w:t>detailed review and audit of the PY7 residential evaluation</w:t>
      </w:r>
      <w:r>
        <w:t xml:space="preserve"> rather than spending time trying to interpret the data and analysis</w:t>
      </w:r>
      <w:r w:rsidRPr="00B10C6F">
        <w:t xml:space="preserve">. </w:t>
      </w:r>
    </w:p>
    <w:p w:rsidR="00AC391E" w:rsidRDefault="00AC391E" w:rsidP="00AC391E"/>
    <w:p w:rsidR="00AC391E" w:rsidRDefault="00AC391E" w:rsidP="00AC391E">
      <w:r w:rsidRPr="004763E3">
        <w:t xml:space="preserve">The SWE Team identified </w:t>
      </w:r>
      <w:r w:rsidR="003F7792">
        <w:t>one</w:t>
      </w:r>
      <w:r w:rsidRPr="004763E3">
        <w:t xml:space="preserve"> area that could be improved, and these recommendations were made in PY6 as well. The first </w:t>
      </w:r>
      <w:r>
        <w:t>is</w:t>
      </w:r>
      <w:r w:rsidRPr="004763E3">
        <w:t xml:space="preserve"> to include a discussion regarding installation and verification (impact</w:t>
      </w:r>
      <w:r>
        <w:t>-</w:t>
      </w:r>
      <w:r w:rsidRPr="004763E3">
        <w:t xml:space="preserve">related) findings to make it clear which measures or components of the programs require improvement. </w:t>
      </w:r>
      <w:r>
        <w:t xml:space="preserve">This was particularly the case for the REEP rebates program. </w:t>
      </w:r>
      <w:r w:rsidRPr="004763E3">
        <w:t>This level of detail was missing from the PY6 evaluation report and continues to be missing from the PY7 report</w:t>
      </w:r>
      <w:r>
        <w:t xml:space="preserve"> for some of the programs</w:t>
      </w:r>
      <w:r w:rsidRPr="004763E3">
        <w:t>.</w:t>
      </w:r>
      <w:r w:rsidRPr="00041B6D">
        <w:t xml:space="preserve"> </w:t>
      </w:r>
    </w:p>
    <w:p w:rsidR="00AC391E" w:rsidRDefault="00AC391E" w:rsidP="00AC391E"/>
    <w:p w:rsidR="0046287C" w:rsidRDefault="00AC391E" w:rsidP="00AC391E">
      <w:r w:rsidRPr="004763E3">
        <w:t xml:space="preserve">The results of the SWE Team’s audits of </w:t>
      </w:r>
      <w:r>
        <w:t>five</w:t>
      </w:r>
      <w:r w:rsidRPr="004763E3">
        <w:t xml:space="preserve"> residential </w:t>
      </w:r>
      <w:r>
        <w:t xml:space="preserve">Duquesne </w:t>
      </w:r>
      <w:r w:rsidRPr="004763E3">
        <w:t>programs</w:t>
      </w:r>
      <w:r>
        <w:t>—</w:t>
      </w:r>
      <w:r w:rsidRPr="004763E3">
        <w:t>REEP, SEP, RARP, WHEAP</w:t>
      </w:r>
      <w:r>
        <w:t>, and HER—</w:t>
      </w:r>
      <w:r w:rsidRPr="004763E3">
        <w:t>are discussed below.</w:t>
      </w:r>
    </w:p>
    <w:p w:rsidR="00D64F35" w:rsidRDefault="00D64F35" w:rsidP="00AC391E"/>
    <w:p w:rsidR="0046287C" w:rsidRPr="0055598C" w:rsidRDefault="00B11257" w:rsidP="0055598C">
      <w:pPr>
        <w:pStyle w:val="AppendixAHeading4"/>
      </w:pPr>
      <w:r w:rsidRPr="0055598C">
        <w:t>Residential Energy Efficiency Program – Rebate, Kits, and Upstream Lighting</w:t>
      </w:r>
    </w:p>
    <w:p w:rsidR="00B11257" w:rsidRDefault="00B11257" w:rsidP="00B11257">
      <w:pPr>
        <w:rPr>
          <w:highlight w:val="yellow"/>
        </w:rPr>
      </w:pPr>
      <w:r w:rsidRPr="007F4DD0">
        <w:t>For the rebate</w:t>
      </w:r>
      <w:r w:rsidRPr="00620A24">
        <w:t xml:space="preserve"> and kits components of </w:t>
      </w:r>
      <w:r>
        <w:t>REEP</w:t>
      </w:r>
      <w:r w:rsidRPr="00620A24">
        <w:t xml:space="preserve">, the SWE Team reviewed the evaluation </w:t>
      </w:r>
      <w:r>
        <w:t>contractor’s</w:t>
      </w:r>
      <w:r w:rsidRPr="00620A24">
        <w:t xml:space="preserve"> methods and findings and decided that since </w:t>
      </w:r>
      <w:r>
        <w:t>s</w:t>
      </w:r>
      <w:r w:rsidRPr="00620A24">
        <w:t>tep 1 of the annual audit, a desk review of a random sample of rebate applications, had not been performed</w:t>
      </w:r>
      <w:r>
        <w:t xml:space="preserve"> by the SWE Team</w:t>
      </w:r>
      <w:r w:rsidRPr="00620A24">
        <w:t xml:space="preserve"> for the past several years</w:t>
      </w:r>
      <w:r>
        <w:t>,</w:t>
      </w:r>
      <w:r w:rsidRPr="00620A24">
        <w:t xml:space="preserve"> it was warranted</w:t>
      </w:r>
      <w:r>
        <w:t xml:space="preserve"> for PY7.</w:t>
      </w:r>
      <w:r w:rsidRPr="00620A24">
        <w:rPr>
          <w:rStyle w:val="FootnoteReference"/>
        </w:rPr>
        <w:footnoteReference w:id="58"/>
      </w:r>
      <w:r w:rsidRPr="00620A24">
        <w:t xml:space="preserve"> The SWE Team reviewed the evaluation contractor’s analysis in the files “SWE DR Item </w:t>
      </w:r>
      <w:r>
        <w:t>1 and 7</w:t>
      </w:r>
      <w:r w:rsidRPr="00620A24">
        <w:t xml:space="preserve"> - DLC</w:t>
      </w:r>
      <w:r w:rsidRPr="00E42C60">
        <w:t xml:space="preserve"> </w:t>
      </w:r>
      <w:r>
        <w:t>PY7</w:t>
      </w:r>
      <w:r w:rsidRPr="00E42C60">
        <w:t xml:space="preserve"> </w:t>
      </w:r>
      <w:r w:rsidRPr="00620A24">
        <w:t xml:space="preserve">REEP </w:t>
      </w:r>
      <w:r w:rsidRPr="00E42C60">
        <w:t xml:space="preserve">Rebates_RR </w:t>
      </w:r>
      <w:r w:rsidRPr="00620A24">
        <w:t xml:space="preserve">FR SO.xlsx” and verified that the methodology </w:t>
      </w:r>
      <w:r>
        <w:t xml:space="preserve">for measure savings </w:t>
      </w:r>
      <w:r w:rsidRPr="00620A24">
        <w:t xml:space="preserve">and </w:t>
      </w:r>
      <w:r>
        <w:t xml:space="preserve">applicable TRM </w:t>
      </w:r>
      <w:r w:rsidRPr="00620A24">
        <w:t xml:space="preserve">values used were </w:t>
      </w:r>
      <w:r>
        <w:t>valid</w:t>
      </w:r>
      <w:r w:rsidRPr="00620A24">
        <w:t xml:space="preserve">. </w:t>
      </w:r>
      <w:r w:rsidRPr="0000332B">
        <w:t xml:space="preserve">The SWE Team also reviewed the data tracked in Duquesne’s PMRS database and tracking system to verify that Duquesne </w:t>
      </w:r>
      <w:r>
        <w:t>used</w:t>
      </w:r>
      <w:r w:rsidRPr="0000332B">
        <w:t xml:space="preserve"> the appropriate savings values and algorithms from the 2015 TRM. </w:t>
      </w:r>
      <w:r w:rsidRPr="00C05892">
        <w:t xml:space="preserve">During this review, the SWE Team </w:t>
      </w:r>
      <w:r>
        <w:t>did not</w:t>
      </w:r>
      <w:r w:rsidRPr="00C05892">
        <w:t xml:space="preserve"> identify any discrepancies between the PMRS tracking system and the 2015 TRM. </w:t>
      </w:r>
    </w:p>
    <w:p w:rsidR="00B11257" w:rsidRDefault="00B11257" w:rsidP="00B11257">
      <w:pPr>
        <w:rPr>
          <w:highlight w:val="yellow"/>
        </w:rPr>
      </w:pPr>
    </w:p>
    <w:p w:rsidR="00B11257" w:rsidRPr="0026019F" w:rsidRDefault="00B11257" w:rsidP="00B11257">
      <w:r>
        <w:t>The SWE Team identified one area of confusion in the REEP findings’ tables. Table 2-2: REEP Sampling Strategy for PY7 reports that the achieved sample size for REEP rebates was 84, which is not the sum of participants surveyed as reported in the raw survey data. There were 84 rebates submitted for 59 unique participants, so it is likely that this is a simple data-entry error. The value “84” should be corrected to “59.” Likewise, the Program Total for Achieved Sample Size also needs to be revised to account for this correction (updating the value to 74 from 99)</w:t>
      </w:r>
      <w:r w:rsidR="00527ECA">
        <w:t>.</w:t>
      </w:r>
      <w:r>
        <w:t xml:space="preserve"> These values likely need to be updated as well in Table 2-5: REEP Sampling Strategy for PY7 NTG Research. The PY6 annual report showed REEP sampling based on unique participants, not on overall number of measures installed for those participants.</w:t>
      </w:r>
    </w:p>
    <w:p w:rsidR="00B11257" w:rsidRPr="007557BA" w:rsidRDefault="00B11257" w:rsidP="00B11257">
      <w:pPr>
        <w:rPr>
          <w:highlight w:val="yellow"/>
        </w:rPr>
      </w:pPr>
    </w:p>
    <w:p w:rsidR="00B11257" w:rsidRPr="005246CB" w:rsidRDefault="00B11257" w:rsidP="00B11257">
      <w:r w:rsidRPr="00876034">
        <w:t xml:space="preserve">The SWE </w:t>
      </w:r>
      <w:r>
        <w:t>T</w:t>
      </w:r>
      <w:r w:rsidRPr="00876034">
        <w:t xml:space="preserve">eam verified the REEP kits savings calculations against the 2015 TRM. Navigant had correctly copied all of the applicable lighting and water savings measures and applied the appropriate assumptions from the TRM. There were no errors or recommended adjustments to the REEP kits based on the SWE </w:t>
      </w:r>
      <w:r>
        <w:t>T</w:t>
      </w:r>
      <w:r w:rsidRPr="00876034">
        <w:t xml:space="preserve">eam review. While the kits were verified as being 100% accurate, the SWE </w:t>
      </w:r>
      <w:r>
        <w:t>T</w:t>
      </w:r>
      <w:r w:rsidRPr="00876034">
        <w:t xml:space="preserve">eam did uncover a few data anomalies with the application review of REEP rebates. </w:t>
      </w:r>
      <w:r>
        <w:t xml:space="preserve">For the REEP application desk review, the SWE Team used the file </w:t>
      </w:r>
      <w:r w:rsidRPr="00620A24">
        <w:t>“SWE DR Item 1 - DLC PY7 REEP Application Review.xlsx”</w:t>
      </w:r>
      <w:r>
        <w:t xml:space="preserve"> and</w:t>
      </w:r>
      <w:r w:rsidRPr="00620A24">
        <w:t xml:space="preserve"> </w:t>
      </w:r>
      <w:r>
        <w:t>selected a random sample of 10 participants from the Navigant application review, and performed its own quality check on the applications. The measures reviewed included ductless mini-split heat pumps, central air conditioners, refrigerators and clothes washers, heat pump water heater, and an ENERGY STAR TV.</w:t>
      </w:r>
    </w:p>
    <w:p w:rsidR="00B11257" w:rsidRPr="00B707C8" w:rsidRDefault="00B11257" w:rsidP="00B11257">
      <w:pPr>
        <w:rPr>
          <w:highlight w:val="yellow"/>
        </w:rPr>
      </w:pPr>
    </w:p>
    <w:p w:rsidR="00B11257" w:rsidRDefault="00B11257" w:rsidP="00B11257">
      <w:r>
        <w:t>The SWE Team reviewed the applications and verified that the correct input assumptions were used for TRM-based savings. Navigant had identified and made adjustments to 51 of the 83 measures in its application review, resulting in a 104.8% energy realization rate. The SWE Team identified</w:t>
      </w:r>
      <w:r w:rsidRPr="00095186">
        <w:t xml:space="preserve"> </w:t>
      </w:r>
      <w:r>
        <w:t>only one measure with incorrect verified savings: a “</w:t>
      </w:r>
      <w:r w:rsidRPr="00353451">
        <w:t>Refrigerator Manual Defrost</w:t>
      </w:r>
      <w:r>
        <w:t>” with 28 kWh savings. Navigant had reassigned the savings as 38 kWh based on reclassification of the measure as “</w:t>
      </w:r>
      <w:r w:rsidRPr="009B44F6">
        <w:t>3I. Refrigerator-freezers—automatic defrost with top-mounted freezer with an automatic icemaker without through-the-door ice service.</w:t>
      </w:r>
      <w:r>
        <w:t>” The SWE Team reviewed the application and found that the evaluation’s refrigerator correction was n</w:t>
      </w:r>
      <w:r w:rsidRPr="0092754F">
        <w:t xml:space="preserve">ot </w:t>
      </w:r>
      <w:r>
        <w:t>properly assigned</w:t>
      </w:r>
      <w:r w:rsidRPr="0092754F">
        <w:t xml:space="preserve">, </w:t>
      </w:r>
      <w:r>
        <w:t>as this purchase was a</w:t>
      </w:r>
      <w:r w:rsidRPr="0092754F">
        <w:t xml:space="preserve"> side</w:t>
      </w:r>
      <w:r>
        <w:t>-</w:t>
      </w:r>
      <w:r w:rsidRPr="0092754F">
        <w:t>by</w:t>
      </w:r>
      <w:r>
        <w:t>-</w:t>
      </w:r>
      <w:r w:rsidRPr="0092754F">
        <w:t>side with in</w:t>
      </w:r>
      <w:r>
        <w:t>-</w:t>
      </w:r>
      <w:r w:rsidRPr="0092754F">
        <w:t xml:space="preserve">door ice, </w:t>
      </w:r>
      <w:r>
        <w:t xml:space="preserve">showing a 2015 </w:t>
      </w:r>
      <w:r w:rsidRPr="0092754F">
        <w:t xml:space="preserve">TRM savings </w:t>
      </w:r>
      <w:r>
        <w:t xml:space="preserve">of </w:t>
      </w:r>
      <w:r w:rsidRPr="0092754F">
        <w:t>58</w:t>
      </w:r>
      <w:r>
        <w:t xml:space="preserve"> </w:t>
      </w:r>
      <w:r w:rsidRPr="0092754F">
        <w:t>kWh</w:t>
      </w:r>
      <w:r>
        <w:t>. Incorporating this change into the realization rates (easily performed since Navigant had allowed dynamic realization rate estimation in its documentation) showed a 0.1% increase in the realization rate.</w:t>
      </w:r>
    </w:p>
    <w:p w:rsidR="00B11257" w:rsidRDefault="00B11257" w:rsidP="00B11257"/>
    <w:p w:rsidR="00B11257" w:rsidRPr="0071151F" w:rsidRDefault="00B11257" w:rsidP="00B11257">
      <w:r>
        <w:t>For the upstream lighting component of the program, the SWE Team reviewed the invoice data submitted by ECOVA to verify that the PMRS database and tracking system were reporting bulb counts correctly. The SWE Team found no discrepancy from the ECOVA invoices against the evaluation contractor analysis file “SWE DR Item 1 DLC PY7 Upstream Lighting Database from ECOVA.xlsx.” T</w:t>
      </w:r>
      <w:r w:rsidRPr="00CC4E35">
        <w:t>he SWE Team was able to review this step easily since the evaluation contractor’s analysis was included in the ECOVA invoice file and the batch and transaction identification made cross-referencing intuitive</w:t>
      </w:r>
      <w:r>
        <w:t>. The SWE Team found a small discrepancy in the savings values reported in the PY7 compliance report against ECOVA totals. The quantity of bulbs was 0.2% greater in the ECOVA invoices than in the PMRS database and tracking system. This bulb quantity drives savings calculations, resulting in values that are slightly lower than what is reported in ECOVA database files. The SWE Team understands that the ECOVA database and invoices do not report returned units as timely as Duquesne is able to in the PMRS database and tracking system, explaining why ECOVA quantities are slightly greater. Since the discrepancy is so minor, the SWE Team does not recommend further review.</w:t>
      </w:r>
    </w:p>
    <w:p w:rsidR="00B11257" w:rsidRPr="008A749F" w:rsidRDefault="00B11257" w:rsidP="00B11257">
      <w:pPr>
        <w:rPr>
          <w:highlight w:val="yellow"/>
        </w:rPr>
      </w:pPr>
    </w:p>
    <w:p w:rsidR="00B11257" w:rsidRDefault="00B11257" w:rsidP="00B11257">
      <w:r>
        <w:t>T</w:t>
      </w:r>
      <w:r w:rsidRPr="00CC4E35">
        <w:t xml:space="preserve">he SWE Team </w:t>
      </w:r>
      <w:r>
        <w:t xml:space="preserve">also </w:t>
      </w:r>
      <w:r w:rsidRPr="00CC4E35">
        <w:t xml:space="preserve">reviewed the </w:t>
      </w:r>
      <w:r>
        <w:t xml:space="preserve">upstream lighting </w:t>
      </w:r>
      <w:r w:rsidRPr="00CC4E35">
        <w:t>data tracked in Duquesne’s PMRS database and tracking system</w:t>
      </w:r>
      <w:r>
        <w:t>,</w:t>
      </w:r>
      <w:r w:rsidRPr="00CC4E35">
        <w:t xml:space="preserve"> to verify that Duquesne was using the appropriate savings values and algorithms from the 2015 TRM. Similar to </w:t>
      </w:r>
      <w:r>
        <w:t xml:space="preserve">in </w:t>
      </w:r>
      <w:r w:rsidRPr="00CC4E35">
        <w:t xml:space="preserve">the PY6 audit, the Duquesne evaluation contractor had performed a complete audit, including summarizing the total ex ante savings and bulb counts, and verifying the application of the TRM-based algorithms and baseline assumptions of all the bulbs (i.e., a census review). The file used by the SWE Team for this audit was titled “SWE DR Item 1 - DLC PY7 ECOVA TRM Comparison.xlsx.” </w:t>
      </w:r>
    </w:p>
    <w:p w:rsidR="00B11257" w:rsidRDefault="00B11257" w:rsidP="00B11257"/>
    <w:p w:rsidR="00B11257" w:rsidRPr="000E7061" w:rsidRDefault="00B11257" w:rsidP="00B11257">
      <w:r>
        <w:t>The SWE Team reviewed 10 of the largest bulb sales to assess whether they received the correct TRM inputs (including baseline wattage, in-service rates, hours of use, and interactive effects). It did not identify any issues within the evaluation worksheet, as Navigant had correctly applied appropriate baseline wattages and other inputs to all audit-sampled bulbs.</w:t>
      </w:r>
    </w:p>
    <w:p w:rsidR="00AC391E" w:rsidRPr="008A749F" w:rsidRDefault="00AC391E" w:rsidP="00AC391E">
      <w:pPr>
        <w:rPr>
          <w:highlight w:val="yellow"/>
        </w:rPr>
      </w:pPr>
    </w:p>
    <w:p w:rsidR="00C24F61" w:rsidRPr="00C24C4D" w:rsidRDefault="00C24F61" w:rsidP="0055598C">
      <w:pPr>
        <w:pStyle w:val="AppendixAHeading4"/>
      </w:pPr>
      <w:r w:rsidRPr="00C24C4D">
        <w:t>Residential: School Energy Pledge Program</w:t>
      </w:r>
    </w:p>
    <w:p w:rsidR="00C24F61" w:rsidRDefault="00C24F61" w:rsidP="00C24F61">
      <w:r w:rsidRPr="007557BA">
        <w:t xml:space="preserve">The SWE Team reviewed the evaluation contractor’s methods and findings and determined that </w:t>
      </w:r>
      <w:r>
        <w:t>s</w:t>
      </w:r>
      <w:r w:rsidRPr="007557BA">
        <w:t xml:space="preserve">tep 1 of the annual SWE audit, a desk review of a random sample of rebate applications, was not warranted due to the structure of </w:t>
      </w:r>
      <w:r>
        <w:t>SEP</w:t>
      </w:r>
      <w:r w:rsidRPr="007557BA">
        <w:t xml:space="preserve"> (only a pledge form is required for participation). Historical findings from PY2 through PY</w:t>
      </w:r>
      <w:r>
        <w:t>7</w:t>
      </w:r>
      <w:r w:rsidRPr="007557BA">
        <w:t xml:space="preserve"> did not reveal discrepancies between pledges and PMRS database participation records. In fact, there hasn’t been a single instance of an unverified pledge participant (though there have been instances of participants not installing portions of the kit) over the past several years. </w:t>
      </w:r>
      <w:r>
        <w:t>T</w:t>
      </w:r>
      <w:r w:rsidR="00843B44">
        <w:t>he</w:t>
      </w:r>
      <w:r>
        <w:t xml:space="preserve"> SWE Team verified that participation and savings values were reported consistently in Duquesne’s PMRS database and tracking system with values reported in the evaluation contractor’s report.</w:t>
      </w:r>
    </w:p>
    <w:p w:rsidR="00C24F61" w:rsidRDefault="00C24F61" w:rsidP="00C24F61"/>
    <w:p w:rsidR="00C24F61" w:rsidRDefault="00C24F61" w:rsidP="00C24F61">
      <w:r>
        <w:t>T</w:t>
      </w:r>
      <w:r w:rsidRPr="007557BA">
        <w:t>he SWE Team reviewed the data tracked in Duquesne’s PMRS database and tracking system to verify that Duquesne was using the appropriate savings values and algorithms from the 2015 TRM. There were no adjustments or changes made to the verified gross savings estimates reported by the evaluation contractor, nor were any issues or data anomalies found during the SWE audit process.</w:t>
      </w:r>
      <w:r>
        <w:t xml:space="preserve"> The SWE Team </w:t>
      </w:r>
      <w:r w:rsidR="00C83389">
        <w:t xml:space="preserve">also </w:t>
      </w:r>
      <w:r>
        <w:t xml:space="preserve">reviewed the calculations in the evaluation contractor’s analysis files (“SWE DR Item 1 and 7 – DLC PY7 SEP_RR FR SO.xlsx”) and found there were no adjustments or changes made to the realization rates for energy and demand. </w:t>
      </w:r>
    </w:p>
    <w:p w:rsidR="00C24F61" w:rsidRDefault="00C24F61" w:rsidP="00C24F61"/>
    <w:p w:rsidR="00C24F61" w:rsidRDefault="00C24F61" w:rsidP="00C24F61">
      <w:r>
        <w:t>The previous (PY6) recommendation provided by the SWE Team was to include “a brief discussion that helps identify specific measures or components of the program that are driving the verified realization rates,” and the SWE Team found that the PY7 evaluation report included specific details on which measures were not being installed for step 3 of the evaluation process (installation verification). The level of detail included in this year’s evaluation provided a clear explanation as to what was driving down realization rates, but still lacked any discussion for step 4, deemed savings verification, and if the overall realization rates were being driven by installation verificatio</w:t>
      </w:r>
      <w:r w:rsidRPr="009C7CEA">
        <w:t xml:space="preserve">n (step 3) or deemed savings verification (step 4). The SWE </w:t>
      </w:r>
      <w:r>
        <w:t>T</w:t>
      </w:r>
      <w:r w:rsidRPr="009C7CEA">
        <w:t xml:space="preserve">eam determined through </w:t>
      </w:r>
      <w:r>
        <w:t>its</w:t>
      </w:r>
      <w:r w:rsidRPr="009C7CEA">
        <w:t xml:space="preserve"> review of the SEP evaluation worksheet (SWE DR Item 1 and 7 - DLC PY7 SEP_RR FR SO.xlsx, “TRM and PMRS Lookups” worksheet) that the realization rates were indeed driven entirely by the installation verification.</w:t>
      </w:r>
    </w:p>
    <w:p w:rsidR="00C24F61" w:rsidRDefault="00C24F61" w:rsidP="00C24F61"/>
    <w:p w:rsidR="00C24F61" w:rsidRDefault="00C24F61" w:rsidP="00C24F61">
      <w:r>
        <w:t xml:space="preserve">Similar to in PY6, there was a significant drop in kit participation in PY7 </w:t>
      </w:r>
      <w:r w:rsidRPr="004C289E">
        <w:t>(from 289 to 125).</w:t>
      </w:r>
      <w:r>
        <w:t xml:space="preserve"> Program participation appears to have stabilized, and the SWE Team is supportive of Duquesne’s plans to evaluate any recommendations to SEP in Phase III of the program.</w:t>
      </w:r>
    </w:p>
    <w:p w:rsidR="00823FE0" w:rsidRDefault="00823FE0" w:rsidP="00C24F61"/>
    <w:p w:rsidR="00C24F61" w:rsidRPr="00C24C4D" w:rsidRDefault="00C24F61" w:rsidP="0055598C">
      <w:pPr>
        <w:pStyle w:val="AppendixAHeading4"/>
      </w:pPr>
      <w:r w:rsidRPr="00C24C4D">
        <w:t xml:space="preserve">Residential: </w:t>
      </w:r>
      <w:r>
        <w:t>Appliance Recycling</w:t>
      </w:r>
      <w:r w:rsidRPr="00C24C4D">
        <w:t xml:space="preserve"> Program</w:t>
      </w:r>
    </w:p>
    <w:p w:rsidR="00C24F61" w:rsidRDefault="00C24F61" w:rsidP="00C24F61">
      <w:r w:rsidRPr="0000761D">
        <w:t xml:space="preserve">The SWE Team reviewed the evaluation contractor’s methods and findings and determined that </w:t>
      </w:r>
      <w:r>
        <w:t>s</w:t>
      </w:r>
      <w:r w:rsidRPr="0000761D">
        <w:t xml:space="preserve">tep 1 of the annual SWE audit, a desk review of a random sample of JACO invoices, was not warranted due to the administration of a comparable desk review performed by the evaluation contractor, Navigant. The SWE Team reviewed the JACO-supplied database and cross-checked the freezer and refrigerator units against the PMRS database and verified the unit counts between these two data sources. </w:t>
      </w:r>
    </w:p>
    <w:p w:rsidR="00C24F61" w:rsidRDefault="00C24F61" w:rsidP="00C24F61"/>
    <w:p w:rsidR="00C24F61" w:rsidRDefault="00C24F61" w:rsidP="00C24F61">
      <w:r>
        <w:t>The evaluation contractor reported that the implementation contractor (JACO) ceased business operations during PY7 due to financial challenges, resulting in Duquesne having to end all RARP activities in Q3 of PY7. The SWE Team confirmed that there was zero participation for Q4, as reported in the PMRS database and tracking data</w:t>
      </w:r>
      <w:r w:rsidRPr="0058624C">
        <w:t xml:space="preserve">. </w:t>
      </w:r>
    </w:p>
    <w:p w:rsidR="00C24F61" w:rsidRDefault="00C24F61" w:rsidP="00C24F61"/>
    <w:p w:rsidR="00C24F61" w:rsidRPr="00B5532B" w:rsidRDefault="00C24F61" w:rsidP="00C24F61">
      <w:r w:rsidRPr="0000761D">
        <w:t>The SWE Team confirmed that Duquesne used the correct values for energy savings from the 2015 TRM in the calculation of net saving</w:t>
      </w:r>
      <w:r w:rsidRPr="00167B3F">
        <w:t xml:space="preserve">s. For the TRM review, the SWE </w:t>
      </w:r>
      <w:r>
        <w:t>T</w:t>
      </w:r>
      <w:r w:rsidRPr="00167B3F">
        <w:t xml:space="preserve">eam verified the PMRS claimed savings against the 2015 TRM, and cross-checked </w:t>
      </w:r>
      <w:r>
        <w:t xml:space="preserve">that </w:t>
      </w:r>
      <w:r w:rsidRPr="00167B3F">
        <w:t xml:space="preserve">the values used by Navigant were consistent with the 2015 TRM as well. </w:t>
      </w:r>
      <w:r>
        <w:t>T</w:t>
      </w:r>
      <w:r w:rsidRPr="00167B3F">
        <w:t xml:space="preserve">he review verified that the deemed savings matched </w:t>
      </w:r>
      <w:r>
        <w:t xml:space="preserve">the TRM, </w:t>
      </w:r>
      <w:r w:rsidRPr="00167B3F">
        <w:t xml:space="preserve">and if any additional EDC-collected inputs could have been leveraged for use in updating the TRM savings. The SWE </w:t>
      </w:r>
      <w:r>
        <w:t>T</w:t>
      </w:r>
      <w:r w:rsidRPr="00167B3F">
        <w:t xml:space="preserve">eam found that </w:t>
      </w:r>
      <w:r>
        <w:t xml:space="preserve">the </w:t>
      </w:r>
      <w:r w:rsidRPr="00167B3F">
        <w:t>part</w:t>
      </w:r>
      <w:r>
        <w:t>-</w:t>
      </w:r>
      <w:r w:rsidRPr="00167B3F">
        <w:t>use f</w:t>
      </w:r>
      <w:r>
        <w:t>actors calculated (94% for refrigerator, [n</w:t>
      </w:r>
      <w:r w:rsidRPr="00167B3F">
        <w:t>=122</w:t>
      </w:r>
      <w:r>
        <w:t>] a</w:t>
      </w:r>
      <w:r w:rsidRPr="00167B3F">
        <w:t>nd 100% for freezer</w:t>
      </w:r>
      <w:r>
        <w:t xml:space="preserve"> [n</w:t>
      </w:r>
      <w:r w:rsidRPr="00167B3F">
        <w:t>=24</w:t>
      </w:r>
      <w:r>
        <w:t>]</w:t>
      </w:r>
      <w:r w:rsidRPr="00167B3F">
        <w:t xml:space="preserve">) </w:t>
      </w:r>
      <w:r>
        <w:t xml:space="preserve">were estimated from the participant survey, </w:t>
      </w:r>
      <w:r w:rsidRPr="00167B3F">
        <w:t xml:space="preserve">but </w:t>
      </w:r>
      <w:r>
        <w:t xml:space="preserve">ultimately were </w:t>
      </w:r>
      <w:r w:rsidRPr="00167B3F">
        <w:t xml:space="preserve">not applied to savings. </w:t>
      </w:r>
      <w:r>
        <w:t>As noted on p</w:t>
      </w:r>
      <w:r w:rsidRPr="00167B3F">
        <w:t>age 144</w:t>
      </w:r>
      <w:r>
        <w:t xml:space="preserve"> of the 2015</w:t>
      </w:r>
      <w:r w:rsidRPr="00167B3F">
        <w:t xml:space="preserve"> TRM</w:t>
      </w:r>
      <w:r>
        <w:t>,</w:t>
      </w:r>
      <w:r w:rsidRPr="00167B3F">
        <w:t xml:space="preserve"> </w:t>
      </w:r>
      <w:r>
        <w:t>“</w:t>
      </w:r>
      <w:r w:rsidRPr="00167B3F">
        <w:t xml:space="preserve">EDCs may elect to calculate an EDC specific part-use factor for a specific program year. In the event an EDC desires to calculate an EDC specific part-use factor, EDCs should use the methodology described in section 4.3 of the DOE, Uniform Methods Project protocol </w:t>
      </w:r>
      <w:r>
        <w:t>‘</w:t>
      </w:r>
      <w:r w:rsidRPr="00167B3F">
        <w:t>Refrigerator Recycling Evaluation Protocol</w:t>
      </w:r>
      <w:r>
        <w:t>’</w:t>
      </w:r>
      <w:r w:rsidRPr="00167B3F">
        <w:t>, April 2013</w:t>
      </w:r>
      <w:r>
        <w:t xml:space="preserve">.” It was not clear </w:t>
      </w:r>
      <w:r w:rsidR="00C126BF">
        <w:t xml:space="preserve">from the report </w:t>
      </w:r>
      <w:r>
        <w:t>why the part-use factor was calculated yet not applied to the PY7 realization rate.</w:t>
      </w:r>
      <w:r w:rsidR="00C126BF">
        <w:t xml:space="preserve"> However, the evaluation contractor later clarified that the TRM value, based on a larger sample, was used instead, while the data on the Duquesne Light-specific part-use factor was collected to assist the SWE in its future updates of the TRM, as needed</w:t>
      </w:r>
      <w:r>
        <w:t>.</w:t>
      </w:r>
    </w:p>
    <w:p w:rsidR="00C24F61" w:rsidRDefault="00C24F61" w:rsidP="00C24F61"/>
    <w:p w:rsidR="00C24F61" w:rsidRDefault="00C24F61" w:rsidP="00C24F61">
      <w:r>
        <w:t xml:space="preserve">For realization rate estimation, the evaluation contractor analyzed telephone survey response verifications of appliances being recycled. The SWE Team reviewed the calculations for realization rates of energy and demand in the evaluation contractor’s analysis file (“SWE DR Item 1 and 7 – DLC PY7 RARP_RR FR SO.xlsx”) and found no adjustments or changes required. The evaluation contractor found one more recycled appliance than was reported in the PMRS data and tracking system (for market-rate participants), which resulted in a realization rate of over 100%. The data provided to the evaluation contractor by JACO showed that for this 1 participant of 109 surveyed, only one refrigerator was picked up by JACO. However, in the telephone survey verification, the participant reported that two refrigerators were picked up by JACO. </w:t>
      </w:r>
    </w:p>
    <w:p w:rsidR="005D6981" w:rsidRDefault="005D6981" w:rsidP="00C24F61">
      <w:pPr>
        <w:rPr>
          <w:color w:val="FF0000"/>
        </w:rPr>
      </w:pPr>
    </w:p>
    <w:p w:rsidR="00C24F61" w:rsidRDefault="00C24F61" w:rsidP="0055598C">
      <w:pPr>
        <w:pStyle w:val="AppendixAHeading4"/>
      </w:pPr>
      <w:r>
        <w:t>Residential:  Whole House Energy Audit Program</w:t>
      </w:r>
    </w:p>
    <w:p w:rsidR="00C24F61" w:rsidRDefault="00C24F61" w:rsidP="00C24F61">
      <w:r w:rsidRPr="002541C5">
        <w:t xml:space="preserve">The SWE Team reviewed the evaluation contractor’s methods and findings and determined that </w:t>
      </w:r>
      <w:r>
        <w:t>s</w:t>
      </w:r>
      <w:r w:rsidRPr="002541C5">
        <w:t xml:space="preserve">tep 1 of the annual SWE audit, a desk review of a random sample of audit invoices, was not warranted due to the administration of a comparable desk review performed by the evaluation contractor, </w:t>
      </w:r>
      <w:r w:rsidRPr="00EF08F7">
        <w:t>Navigant. The SWE Team reviewed the evaluation contractor desk review file (</w:t>
      </w:r>
      <w:r>
        <w:t>“</w:t>
      </w:r>
      <w:r w:rsidRPr="00EF08F7">
        <w:t>SWE DR Item 1 and 7 - DLC PY7 WHEAP_RR FR SO.xlsx</w:t>
      </w:r>
      <w:r>
        <w:t>”</w:t>
      </w:r>
      <w:r w:rsidRPr="00EF08F7">
        <w:t>) and cross-checked the reported units against the PMRS database and verified the unit counts</w:t>
      </w:r>
      <w:r>
        <w:t xml:space="preserve"> and participant counts</w:t>
      </w:r>
      <w:r w:rsidRPr="00EF08F7">
        <w:t xml:space="preserve"> between these two data sources. </w:t>
      </w:r>
      <w:r w:rsidRPr="00300AB6">
        <w:t xml:space="preserve">Similar to </w:t>
      </w:r>
      <w:r>
        <w:t xml:space="preserve">in </w:t>
      </w:r>
      <w:r w:rsidRPr="00300AB6">
        <w:t xml:space="preserve">the SEP and REEP kits programs, </w:t>
      </w:r>
      <w:r>
        <w:t>WHEAP</w:t>
      </w:r>
      <w:r w:rsidRPr="00300AB6">
        <w:t xml:space="preserve"> relied on lighting (CFLs and </w:t>
      </w:r>
      <w:r>
        <w:t xml:space="preserve">LED </w:t>
      </w:r>
      <w:r w:rsidRPr="00300AB6">
        <w:t>nightlights), small domestic hot water (faucet aerators, low-flow showerheads, and pipe wrap), and plug load (smart strip) measures</w:t>
      </w:r>
      <w:r>
        <w:t xml:space="preserve"> to achieve energy savings</w:t>
      </w:r>
      <w:r w:rsidRPr="00300AB6">
        <w:t>. Ultimately, there were no adjustments or changes made to the verified gross savings estimates reported by the evaluation contractor</w:t>
      </w:r>
      <w:r>
        <w:t>,</w:t>
      </w:r>
      <w:r w:rsidRPr="00300AB6">
        <w:t xml:space="preserve"> except to account for installation rates or disconnects between verified measure quantities and tracking database reported quantities.</w:t>
      </w:r>
    </w:p>
    <w:p w:rsidR="00C24F61" w:rsidRDefault="00C24F61" w:rsidP="00C24F61">
      <w:pPr>
        <w:rPr>
          <w:highlight w:val="yellow"/>
        </w:rPr>
      </w:pPr>
    </w:p>
    <w:p w:rsidR="00C24F61" w:rsidRPr="008C4E24" w:rsidRDefault="00C24F61" w:rsidP="00C24F61">
      <w:r w:rsidRPr="008C4E24">
        <w:t>The evaluation contractor report</w:t>
      </w:r>
      <w:r>
        <w:t>ed</w:t>
      </w:r>
      <w:r w:rsidRPr="008C4E24">
        <w:t xml:space="preserve"> realization rates that differ</w:t>
      </w:r>
      <w:r>
        <w:t>ed</w:t>
      </w:r>
      <w:r w:rsidRPr="008C4E24">
        <w:t xml:space="preserve"> from the calculated values in the evaluation contractor desk review file. The evaluation contractor identified this discrepancy in the report, explaining that the discrepancy stems from the value for one respondent </w:t>
      </w:r>
      <w:r>
        <w:t>being</w:t>
      </w:r>
      <w:r w:rsidRPr="008C4E24">
        <w:t xml:space="preserve"> correct in the CSP, but not in the PMRS. The SWE Team was unable to confirm this finding, yet accepts the effort of the evaluation contractor to rectify the issue.</w:t>
      </w:r>
    </w:p>
    <w:p w:rsidR="00C24F61" w:rsidRPr="008A749F" w:rsidRDefault="00C24F61" w:rsidP="00C24F61">
      <w:pPr>
        <w:rPr>
          <w:highlight w:val="yellow"/>
        </w:rPr>
      </w:pPr>
    </w:p>
    <w:p w:rsidR="00C24F61" w:rsidRPr="00146C5B" w:rsidRDefault="00C24F61" w:rsidP="00C24F61">
      <w:r w:rsidRPr="00146C5B">
        <w:t>The SWE Team confirmed that Duquesne (and Navigant’s verification) used the correct values for energy savings of the direct-install measures from the 2015 TRM in the calculation of savings. Navigant noted, and the SWE Team agrees, that Duquesne is likely using a conservative savings estimate by not using the early replacement baseline conditions for lighting and defaulting to the TRM-based defaults when bulbs are directly installed by a contractor.</w:t>
      </w:r>
      <w:r w:rsidRPr="00146C5B">
        <w:rPr>
          <w:vertAlign w:val="superscript"/>
        </w:rPr>
        <w:footnoteReference w:id="59"/>
      </w:r>
      <w:r w:rsidRPr="00146C5B">
        <w:t xml:space="preserve"> As noted throughout the 2015 TRM, EDC data gathering is allowed for input savings parameters</w:t>
      </w:r>
      <w:r>
        <w:t>,</w:t>
      </w:r>
      <w:r w:rsidRPr="00146C5B">
        <w:t xml:space="preserve"> to more accurately depict the proper default savings for the WHEAP direct-install measures. Instead, the program relied on default values for faucet aerator (68.3 kWh</w:t>
      </w:r>
      <w:r>
        <w:t>,</w:t>
      </w:r>
      <w:r w:rsidRPr="00146C5B">
        <w:t xml:space="preserve"> unknown room type) and assumed a consistent </w:t>
      </w:r>
      <w:r>
        <w:t>4</w:t>
      </w:r>
      <w:r w:rsidRPr="00146C5B">
        <w:t xml:space="preserve"> feet of pipe wrap (40 kWh at 10 kWh per foot) for each pipe wrap installation.</w:t>
      </w:r>
      <w:r w:rsidRPr="00146C5B" w:rsidDel="00F1775F">
        <w:t xml:space="preserve"> </w:t>
      </w:r>
    </w:p>
    <w:p w:rsidR="00C24F61" w:rsidRDefault="00C24F61" w:rsidP="00C24F61">
      <w:pPr>
        <w:rPr>
          <w:highlight w:val="yellow"/>
        </w:rPr>
      </w:pPr>
    </w:p>
    <w:p w:rsidR="00C24F61" w:rsidRDefault="00C24F61" w:rsidP="00C24F61">
      <w:r>
        <w:t xml:space="preserve">Consistent with </w:t>
      </w:r>
      <w:r w:rsidRPr="00146C5B">
        <w:t>other program evaluations discussed above, the WHEAP section of the annual report did not include a summary re</w:t>
      </w:r>
      <w:r>
        <w:t>view</w:t>
      </w:r>
      <w:r w:rsidRPr="00146C5B">
        <w:t>ing the realization rate and overall findings. Again, the SWE</w:t>
      </w:r>
      <w:r>
        <w:t xml:space="preserve"> T</w:t>
      </w:r>
      <w:r w:rsidRPr="00146C5B">
        <w:t>eam determine</w:t>
      </w:r>
      <w:r>
        <w:t>d</w:t>
      </w:r>
      <w:r w:rsidRPr="00146C5B">
        <w:t xml:space="preserve">, based on a review of the "TRM and PMRS Lookups" worksheet in the </w:t>
      </w:r>
      <w:r>
        <w:t>“</w:t>
      </w:r>
      <w:r w:rsidRPr="00146C5B">
        <w:t>SWE DR Item 1 and 7 - DLC PY7 SEP_RR FR SO.xlsx</w:t>
      </w:r>
      <w:r>
        <w:t>”</w:t>
      </w:r>
      <w:r w:rsidRPr="00146C5B">
        <w:t xml:space="preserve"> file, that the overall realization rate was based on participant installation verification only and did not include any adjustments to account for step 4, deemed savings verification.</w:t>
      </w:r>
      <w:r>
        <w:t xml:space="preserve"> Additionally, although a minor discrepancy, the description for “</w:t>
      </w:r>
      <w:r w:rsidRPr="00EB2AC9">
        <w:t>Step 3 – Participation and Installation Verification</w:t>
      </w:r>
      <w:r>
        <w:t>,”</w:t>
      </w:r>
      <w:r w:rsidRPr="00EB2AC9">
        <w:t xml:space="preserve"> included a note regarding two strata: “Telephone surveys were identical between the two strata</w:t>
      </w:r>
      <w:r>
        <w:t>.</w:t>
      </w:r>
      <w:r w:rsidRPr="00EB2AC9">
        <w:t>” Since there was only a single stratum for PY7, this text is likely a holdover from the PY6 report and should be updated to reflect the PY7 sample stratification.</w:t>
      </w:r>
      <w:r>
        <w:t xml:space="preserve"> Fina</w:t>
      </w:r>
      <w:r w:rsidRPr="00215CD4">
        <w:t xml:space="preserve">lly, the </w:t>
      </w:r>
      <w:r>
        <w:t xml:space="preserve">evaluation contractor’s </w:t>
      </w:r>
      <w:r w:rsidRPr="00215CD4">
        <w:t xml:space="preserve">WHEAP excel file, in the </w:t>
      </w:r>
      <w:r>
        <w:t>“</w:t>
      </w:r>
      <w:r w:rsidRPr="00215CD4">
        <w:t>TRM and PMRS Lookups” worksheet, did not include the savings assumptions for additional WHEAP measures (</w:t>
      </w:r>
      <w:r>
        <w:t>which</w:t>
      </w:r>
      <w:r w:rsidRPr="00215CD4">
        <w:t xml:space="preserve"> were outside the kits assumptions </w:t>
      </w:r>
      <w:r>
        <w:t>that</w:t>
      </w:r>
      <w:r w:rsidRPr="00215CD4">
        <w:t xml:space="preserve"> were listed). These include the 9</w:t>
      </w:r>
      <w:r>
        <w:t>W</w:t>
      </w:r>
      <w:r w:rsidRPr="00215CD4">
        <w:t xml:space="preserve"> and 14</w:t>
      </w:r>
      <w:r>
        <w:t>W</w:t>
      </w:r>
      <w:r w:rsidRPr="00215CD4">
        <w:t xml:space="preserve"> candle bulb, the 16W R30 bulb, and the whole home water heater pipe wrap.</w:t>
      </w:r>
      <w:r>
        <w:t xml:space="preserve"> The SWE Team was able to verify the reported per unit savings for these measures, but it would have been ideal for Navigant to have included its replication of the correct TRM savings for these measures as well.</w:t>
      </w:r>
    </w:p>
    <w:p w:rsidR="0055598C" w:rsidRPr="009817A2" w:rsidRDefault="0055598C" w:rsidP="00C24F61">
      <w:pPr>
        <w:rPr>
          <w:color w:val="FF0000"/>
        </w:rPr>
      </w:pPr>
    </w:p>
    <w:p w:rsidR="00C24F61" w:rsidRDefault="00C24F61" w:rsidP="0055598C">
      <w:pPr>
        <w:pStyle w:val="AppendixAHeading4"/>
      </w:pPr>
      <w:r>
        <w:t>Residential: Home Energy Reports Program</w:t>
      </w:r>
    </w:p>
    <w:p w:rsidR="00C24F61" w:rsidRPr="00556B03" w:rsidRDefault="00C24F61" w:rsidP="00A07AB2">
      <w:pPr>
        <w:spacing w:after="120"/>
      </w:pPr>
      <w:r w:rsidRPr="00556B03">
        <w:t xml:space="preserve">The SWE Team reviewed the approach Navigant used to develop the HER verified savings. As noted in </w:t>
      </w:r>
      <w:r w:rsidRPr="00666A96">
        <w:t xml:space="preserve">Section </w:t>
      </w:r>
      <w:r w:rsidR="00632217">
        <w:fldChar w:fldCharType="begin"/>
      </w:r>
      <w:r w:rsidR="00632217">
        <w:instrText xml:space="preserve"> REF _Ref472937128 \r \h </w:instrText>
      </w:r>
      <w:r w:rsidR="00632217">
        <w:fldChar w:fldCharType="separate"/>
      </w:r>
      <w:r w:rsidR="00037CB4">
        <w:t>A.1.3.1</w:t>
      </w:r>
      <w:r w:rsidR="00632217">
        <w:fldChar w:fldCharType="end"/>
      </w:r>
      <w:r w:rsidR="00632217">
        <w:t xml:space="preserve"> </w:t>
      </w:r>
      <w:r w:rsidRPr="00556B03">
        <w:t xml:space="preserve">above, Navigant developed a billing analysis using the treatment and control groups as defined by </w:t>
      </w:r>
      <w:r w:rsidR="00527ECA">
        <w:t xml:space="preserve">the </w:t>
      </w:r>
      <w:r w:rsidRPr="00556B03">
        <w:t xml:space="preserve">original program design and implemented by the CSP, OPower. The SWE Team did </w:t>
      </w:r>
      <w:r>
        <w:t>not</w:t>
      </w:r>
      <w:r w:rsidRPr="00556B03">
        <w:t xml:space="preserve"> attempt to recreate the billing analysis, nor did </w:t>
      </w:r>
      <w:r>
        <w:t>it</w:t>
      </w:r>
      <w:r w:rsidRPr="00556B03">
        <w:t xml:space="preserve"> attempt rerunning the model to replicate the results. </w:t>
      </w:r>
      <w:r>
        <w:t>Rather, t</w:t>
      </w:r>
      <w:r w:rsidRPr="00556B03">
        <w:t xml:space="preserve">he </w:t>
      </w:r>
      <w:r>
        <w:t xml:space="preserve">SWE Team developed some </w:t>
      </w:r>
      <w:r w:rsidRPr="00556B03">
        <w:t xml:space="preserve">key </w:t>
      </w:r>
      <w:r>
        <w:t>questions</w:t>
      </w:r>
      <w:r w:rsidRPr="00556B03">
        <w:t xml:space="preserve"> </w:t>
      </w:r>
      <w:r>
        <w:t>about the HER evaluations, generally checking if the evaluation design</w:t>
      </w:r>
      <w:r w:rsidRPr="00556B03">
        <w:t xml:space="preserve"> follow</w:t>
      </w:r>
      <w:r>
        <w:t>ed</w:t>
      </w:r>
      <w:r w:rsidRPr="00556B03">
        <w:t xml:space="preserve"> best</w:t>
      </w:r>
      <w:r>
        <w:t xml:space="preserve"> </w:t>
      </w:r>
      <w:r w:rsidRPr="00556B03">
        <w:t>practices</w:t>
      </w:r>
      <w:r>
        <w:t>, including following the recommended approach in the UMP.</w:t>
      </w:r>
      <w:r w:rsidRPr="00556B03">
        <w:rPr>
          <w:rStyle w:val="FootnoteReference"/>
        </w:rPr>
        <w:footnoteReference w:id="60"/>
      </w:r>
      <w:r>
        <w:t xml:space="preserve"> The SWE Team’s summary of the evaluation assessment for each of the </w:t>
      </w:r>
      <w:r w:rsidRPr="00556B03">
        <w:t>associated</w:t>
      </w:r>
      <w:r>
        <w:t xml:space="preserve"> au</w:t>
      </w:r>
      <w:r w:rsidR="00527ECA">
        <w:t>dit questions is outlined below:</w:t>
      </w:r>
      <w:r>
        <w:t xml:space="preserve"> </w:t>
      </w:r>
    </w:p>
    <w:p w:rsidR="00C24F61" w:rsidRPr="00F17578" w:rsidRDefault="00C24F61" w:rsidP="00F17578">
      <w:pPr>
        <w:pStyle w:val="ListParagraph"/>
        <w:numPr>
          <w:ilvl w:val="0"/>
          <w:numId w:val="49"/>
        </w:numPr>
        <w:spacing w:after="60"/>
        <w:ind w:left="360"/>
        <w:contextualSpacing w:val="0"/>
        <w:rPr>
          <w:b/>
          <w:i/>
          <w:color w:val="404040" w:themeColor="text1" w:themeTint="BF"/>
          <w:sz w:val="24"/>
        </w:rPr>
      </w:pPr>
      <w:r w:rsidRPr="00F17578">
        <w:rPr>
          <w:b/>
          <w:i/>
          <w:color w:val="404040" w:themeColor="text1" w:themeTint="BF"/>
          <w:sz w:val="24"/>
        </w:rPr>
        <w:t xml:space="preserve">Did the evaluation design use the RCT approach? </w:t>
      </w:r>
    </w:p>
    <w:p w:rsidR="00C24F61" w:rsidRDefault="00C24F61" w:rsidP="00A07AB2">
      <w:r>
        <w:t>Yes, the HER analysis followed the standard protocols as defined in the UMP. In fact, the UMP protocols were developed in part based on the findings from a SEE</w:t>
      </w:r>
      <w:r w:rsidR="00A04A88">
        <w:t xml:space="preserve"> Action</w:t>
      </w:r>
      <w:r>
        <w:t xml:space="preserve"> report that was referenced several times in the Duquesne report and formed the basis for Navigant’s approach.</w:t>
      </w:r>
      <w:r>
        <w:rPr>
          <w:rStyle w:val="FootnoteReference"/>
        </w:rPr>
        <w:footnoteReference w:id="61"/>
      </w:r>
    </w:p>
    <w:p w:rsidR="00A07AB2" w:rsidRDefault="00A07AB2" w:rsidP="00A07AB2"/>
    <w:p w:rsidR="00C24F61" w:rsidRPr="00F17578" w:rsidRDefault="00C24F61" w:rsidP="00F17578">
      <w:pPr>
        <w:pStyle w:val="ListParagraph"/>
        <w:numPr>
          <w:ilvl w:val="0"/>
          <w:numId w:val="49"/>
        </w:numPr>
        <w:spacing w:after="60"/>
        <w:ind w:left="360"/>
        <w:contextualSpacing w:val="0"/>
        <w:rPr>
          <w:b/>
          <w:i/>
          <w:color w:val="404040" w:themeColor="text1" w:themeTint="BF"/>
          <w:sz w:val="24"/>
        </w:rPr>
      </w:pPr>
      <w:r w:rsidRPr="00F17578">
        <w:rPr>
          <w:b/>
          <w:i/>
          <w:color w:val="404040" w:themeColor="text1" w:themeTint="BF"/>
          <w:sz w:val="24"/>
        </w:rPr>
        <w:t>Were the length of the study and baseline periods sufficient (normally one year) and clearly identified?</w:t>
      </w:r>
    </w:p>
    <w:p w:rsidR="00C24F61" w:rsidRDefault="00C24F61" w:rsidP="00A07AB2">
      <w:r>
        <w:t xml:space="preserve">To determine if the length of the study and baseline periods were sufficient, the SWE Team had to contact Navigant to learn more about the research, since the report lacked the details necessary to answer these questions. After discussion with Navigant, the SWE Team learned that the analysis included a sufficient baseline period and length of study, though it would have been ideal to include this detail in the report, for full transparency.  </w:t>
      </w:r>
    </w:p>
    <w:p w:rsidR="00A07AB2" w:rsidRDefault="00A07AB2" w:rsidP="00A07AB2"/>
    <w:p w:rsidR="00C24F61" w:rsidRPr="00F17578" w:rsidRDefault="00C24F61" w:rsidP="00F17578">
      <w:pPr>
        <w:pStyle w:val="ListParagraph"/>
        <w:numPr>
          <w:ilvl w:val="0"/>
          <w:numId w:val="49"/>
        </w:numPr>
        <w:spacing w:after="60"/>
        <w:ind w:left="360"/>
        <w:contextualSpacing w:val="0"/>
        <w:rPr>
          <w:b/>
          <w:i/>
          <w:color w:val="404040" w:themeColor="text1" w:themeTint="BF"/>
          <w:sz w:val="24"/>
        </w:rPr>
      </w:pPr>
      <w:r w:rsidRPr="00F17578">
        <w:rPr>
          <w:b/>
          <w:i/>
          <w:color w:val="404040" w:themeColor="text1" w:themeTint="BF"/>
          <w:sz w:val="24"/>
        </w:rPr>
        <w:t>Did the model use a difference-in-differences approach and include interaction variables?</w:t>
      </w:r>
    </w:p>
    <w:p w:rsidR="00C24F61" w:rsidRDefault="00C24F61" w:rsidP="00A07AB2">
      <w:r>
        <w:t xml:space="preserve">Yes, Navigant developed an LFER, whereby the average daily consumption was a function of participant group (treatment versus control), if the utility bill was pre-or post-program start date, and the interaction was between these two variables (post treatment). Navigant validated the LFER model by including a post-program regression model, the results of which provided </w:t>
      </w:r>
      <w:r w:rsidRPr="00F20E1D">
        <w:t xml:space="preserve">values consistent with those of </w:t>
      </w:r>
      <w:r>
        <w:t xml:space="preserve">the LFER model. </w:t>
      </w:r>
    </w:p>
    <w:p w:rsidR="00A07AB2" w:rsidRDefault="00A07AB2" w:rsidP="00A07AB2"/>
    <w:p w:rsidR="00C24F61" w:rsidRPr="00F17578" w:rsidRDefault="00C24F61" w:rsidP="00F17578">
      <w:pPr>
        <w:pStyle w:val="ListParagraph"/>
        <w:numPr>
          <w:ilvl w:val="0"/>
          <w:numId w:val="49"/>
        </w:numPr>
        <w:spacing w:after="60"/>
        <w:ind w:left="360"/>
        <w:contextualSpacing w:val="0"/>
        <w:rPr>
          <w:b/>
          <w:i/>
          <w:color w:val="404040" w:themeColor="text1" w:themeTint="BF"/>
          <w:sz w:val="24"/>
        </w:rPr>
      </w:pPr>
      <w:r w:rsidRPr="00F17578">
        <w:rPr>
          <w:b/>
          <w:i/>
          <w:color w:val="404040" w:themeColor="text1" w:themeTint="BF"/>
          <w:sz w:val="24"/>
        </w:rPr>
        <w:t>Was there an equivalency check on the treatment-group versus control-group usage?</w:t>
      </w:r>
    </w:p>
    <w:p w:rsidR="00C24F61" w:rsidRDefault="00C24F61" w:rsidP="00A07AB2">
      <w:r>
        <w:t>An equivalency check ensures that there was no statistical difference for pre-program electric energy usage between the treatment and control groups. To determine if an equivalency check was performed, the SWE Team had to contact Navigant to learn more about the research, since the report lacked the details necessary to answer this question. After discussion with Navigant, the SWE Team learned that the analysis included an equivalency check, and received a detailed description of the analysis, though this was not included in the annual report. According to this analysis, Navigant concluded “</w:t>
      </w:r>
      <w:r w:rsidRPr="00757426">
        <w:t>that the differences in average daily energy use by month were not statistically significant using either month by month T-tests or the regression model, Navigant concludes that the March 2016 HER program households were randomly allocated to the treatment and control groups.</w:t>
      </w:r>
      <w:r>
        <w:t>”</w:t>
      </w:r>
    </w:p>
    <w:p w:rsidR="00C24F61" w:rsidRPr="00F17578" w:rsidRDefault="00C24F61" w:rsidP="00F17578">
      <w:pPr>
        <w:pStyle w:val="ListParagraph"/>
        <w:numPr>
          <w:ilvl w:val="0"/>
          <w:numId w:val="49"/>
        </w:numPr>
        <w:spacing w:after="60"/>
        <w:ind w:left="360"/>
        <w:contextualSpacing w:val="0"/>
        <w:rPr>
          <w:b/>
          <w:i/>
          <w:color w:val="404040" w:themeColor="text1" w:themeTint="BF"/>
          <w:sz w:val="24"/>
        </w:rPr>
      </w:pPr>
      <w:r w:rsidRPr="00F17578">
        <w:rPr>
          <w:b/>
          <w:i/>
          <w:color w:val="404040" w:themeColor="text1" w:themeTint="BF"/>
          <w:sz w:val="24"/>
        </w:rPr>
        <w:t>Were account closures properly handled?</w:t>
      </w:r>
    </w:p>
    <w:p w:rsidR="00C24F61" w:rsidRDefault="00C24F61" w:rsidP="00A07AB2">
      <w:pPr>
        <w:rPr>
          <w:color w:val="000000"/>
        </w:rPr>
      </w:pPr>
      <w:r>
        <w:rPr>
          <w:color w:val="000000"/>
        </w:rPr>
        <w:t>Account closures</w:t>
      </w:r>
      <w:r w:rsidR="00490E5C">
        <w:rPr>
          <w:color w:val="000000"/>
        </w:rPr>
        <w:t xml:space="preserve"> and </w:t>
      </w:r>
      <w:r w:rsidR="00490E5C" w:rsidRPr="00033461">
        <w:rPr>
          <w:color w:val="000000"/>
        </w:rPr>
        <w:t xml:space="preserve">changes in tenants at the same </w:t>
      </w:r>
      <w:r w:rsidR="00490E5C">
        <w:rPr>
          <w:color w:val="000000"/>
        </w:rPr>
        <w:t>address</w:t>
      </w:r>
      <w:r>
        <w:rPr>
          <w:color w:val="000000"/>
        </w:rPr>
        <w:t xml:space="preserve"> </w:t>
      </w:r>
      <w:r w:rsidRPr="00033461">
        <w:rPr>
          <w:color w:val="000000"/>
        </w:rPr>
        <w:t xml:space="preserve">should be </w:t>
      </w:r>
      <w:r>
        <w:rPr>
          <w:color w:val="000000"/>
        </w:rPr>
        <w:t xml:space="preserve">excluded </w:t>
      </w:r>
      <w:r w:rsidRPr="00033461">
        <w:rPr>
          <w:color w:val="000000"/>
        </w:rPr>
        <w:t xml:space="preserve">from the </w:t>
      </w:r>
      <w:r>
        <w:rPr>
          <w:color w:val="000000"/>
        </w:rPr>
        <w:t>analysis</w:t>
      </w:r>
      <w:r w:rsidR="00490E5C">
        <w:rPr>
          <w:color w:val="000000"/>
        </w:rPr>
        <w:t>,</w:t>
      </w:r>
      <w:r w:rsidR="00490E5C" w:rsidRPr="00490E5C">
        <w:rPr>
          <w:color w:val="000000"/>
        </w:rPr>
        <w:t xml:space="preserve"> </w:t>
      </w:r>
      <w:r w:rsidR="00490E5C" w:rsidRPr="00033461">
        <w:rPr>
          <w:color w:val="000000"/>
        </w:rPr>
        <w:t>for both the control</w:t>
      </w:r>
      <w:r w:rsidR="00490E5C">
        <w:rPr>
          <w:color w:val="000000"/>
        </w:rPr>
        <w:fldChar w:fldCharType="begin"/>
      </w:r>
      <w:r w:rsidR="00490E5C">
        <w:instrText xml:space="preserve"> XE "</w:instrText>
      </w:r>
      <w:r w:rsidR="00490E5C" w:rsidRPr="00033461">
        <w:rPr>
          <w:color w:val="000000"/>
        </w:rPr>
        <w:instrText>control</w:instrText>
      </w:r>
      <w:r w:rsidR="00490E5C">
        <w:instrText>" \t "</w:instrText>
      </w:r>
      <w:r w:rsidR="00490E5C">
        <w:rPr>
          <w:i/>
        </w:rPr>
        <w:instrText>See</w:instrText>
      </w:r>
      <w:r w:rsidR="00490E5C">
        <w:instrText xml:space="preserve"> control group" </w:instrText>
      </w:r>
      <w:r w:rsidR="00490E5C">
        <w:rPr>
          <w:color w:val="000000"/>
        </w:rPr>
        <w:fldChar w:fldCharType="end"/>
      </w:r>
      <w:r w:rsidR="00490E5C" w:rsidRPr="00033461">
        <w:rPr>
          <w:color w:val="000000"/>
        </w:rPr>
        <w:t xml:space="preserve"> and treatment group</w:t>
      </w:r>
      <w:r w:rsidR="00490E5C">
        <w:rPr>
          <w:color w:val="000000"/>
        </w:rPr>
        <w:fldChar w:fldCharType="begin"/>
      </w:r>
      <w:r w:rsidR="00490E5C">
        <w:instrText xml:space="preserve"> XE "</w:instrText>
      </w:r>
      <w:r w:rsidR="00490E5C" w:rsidRPr="00033461">
        <w:rPr>
          <w:color w:val="000000"/>
        </w:rPr>
        <w:instrText>treatment group</w:instrText>
      </w:r>
      <w:r w:rsidR="00490E5C">
        <w:instrText xml:space="preserve">" </w:instrText>
      </w:r>
      <w:r w:rsidR="00490E5C">
        <w:rPr>
          <w:color w:val="000000"/>
        </w:rPr>
        <w:fldChar w:fldCharType="end"/>
      </w:r>
      <w:r w:rsidR="00490E5C" w:rsidRPr="00033461">
        <w:rPr>
          <w:color w:val="000000"/>
        </w:rPr>
        <w:t>s</w:t>
      </w:r>
      <w:r>
        <w:rPr>
          <w:color w:val="000000"/>
        </w:rPr>
        <w:t>. Navigant indicated that account closures were excluded from the analysis and stated that these participants were “</w:t>
      </w:r>
      <w:r w:rsidRPr="00632379">
        <w:rPr>
          <w:color w:val="000000"/>
        </w:rPr>
        <w:t>omitted from the regression analysis to estimate program effects but were included in the</w:t>
      </w:r>
      <w:r>
        <w:rPr>
          <w:color w:val="000000"/>
        </w:rPr>
        <w:t xml:space="preserve"> </w:t>
      </w:r>
      <w:r w:rsidRPr="00632379">
        <w:rPr>
          <w:color w:val="000000"/>
        </w:rPr>
        <w:t>estimate of total program savings for the time prior to when they moved away</w:t>
      </w:r>
      <w:r>
        <w:rPr>
          <w:color w:val="000000"/>
        </w:rPr>
        <w:t>.”</w:t>
      </w:r>
    </w:p>
    <w:p w:rsidR="00A07AB2" w:rsidRDefault="00A07AB2" w:rsidP="00A07AB2">
      <w:pPr>
        <w:rPr>
          <w:color w:val="000000"/>
        </w:rPr>
      </w:pPr>
    </w:p>
    <w:p w:rsidR="00C24F61" w:rsidRPr="00F17578" w:rsidRDefault="00C24F61" w:rsidP="00F17578">
      <w:pPr>
        <w:pStyle w:val="ListParagraph"/>
        <w:numPr>
          <w:ilvl w:val="0"/>
          <w:numId w:val="49"/>
        </w:numPr>
        <w:spacing w:after="60"/>
        <w:ind w:left="360"/>
        <w:contextualSpacing w:val="0"/>
        <w:rPr>
          <w:b/>
          <w:i/>
          <w:color w:val="404040" w:themeColor="text1" w:themeTint="BF"/>
          <w:sz w:val="24"/>
        </w:rPr>
      </w:pPr>
      <w:r w:rsidRPr="00F17578">
        <w:rPr>
          <w:b/>
          <w:i/>
          <w:color w:val="404040" w:themeColor="text1" w:themeTint="BF"/>
          <w:sz w:val="24"/>
        </w:rPr>
        <w:t>Did the analysis control for double counting savings?</w:t>
      </w:r>
    </w:p>
    <w:p w:rsidR="00C24F61" w:rsidRDefault="00C24F61" w:rsidP="00A07AB2">
      <w:pPr>
        <w:spacing w:after="120"/>
        <w:rPr>
          <w:color w:val="FF0000"/>
        </w:rPr>
      </w:pPr>
      <w:r>
        <w:t xml:space="preserve">For those HER participants who also participated in other Duquesne efficiency programs, the incremental savings associated with the program rebated equipment installation is considered double counting of savings, since the equipment savings are already being claimed by another program. Because both treatment- and control-group participants may have participated in other programs, the approach used to net out the double-counted savings is to estimate if the average treatment-group non-HER program savings exceeds the control-group non-HER program savings. In the Duquesne report, Navigant notes that “The verified ex-post energy savings for HER in PY7 and Phase II were 26,094 MWh, after accounting for double-counted savings with other Duquesne Light energy efficiency programs.” </w:t>
      </w:r>
      <w:r w:rsidRPr="00451EA2">
        <w:t xml:space="preserve">While Navigant noted that </w:t>
      </w:r>
      <w:r>
        <w:t>it</w:t>
      </w:r>
      <w:r w:rsidRPr="00451EA2">
        <w:t xml:space="preserve"> accounted for duplicate savings, the report lacked sufficient details on how this was accomplished. The SWE </w:t>
      </w:r>
      <w:r>
        <w:t>T</w:t>
      </w:r>
      <w:r w:rsidRPr="00451EA2">
        <w:t xml:space="preserve">eam contacted Navigant to learn about how </w:t>
      </w:r>
      <w:r>
        <w:t>it</w:t>
      </w:r>
      <w:r w:rsidRPr="00451EA2">
        <w:t xml:space="preserve"> accounted for </w:t>
      </w:r>
      <w:r w:rsidRPr="00757426">
        <w:t>duplicate savings. Navigant provided the following additional details regarding the savings double counting:</w:t>
      </w:r>
    </w:p>
    <w:p w:rsidR="00C24F61" w:rsidRPr="00757426" w:rsidRDefault="00C24F61" w:rsidP="00A07AB2">
      <w:pPr>
        <w:ind w:left="720" w:right="720"/>
        <w:rPr>
          <w:i/>
        </w:rPr>
      </w:pPr>
      <w:r w:rsidRPr="00757426">
        <w:rPr>
          <w:i/>
        </w:rPr>
        <w:t>“Both treatment and control groups, using results of the double-counting analysis conducted as part of the evaluation of the PY4 program. Duquesne Light changed its account numbering system just prior to PY7 program initiation, and the evaluation team was not able to link account numbers for the purposes of matching participants with tracking data for other Duquesne Light residential programs. This meant that documentation of PY7 treatment and control group participation in other Duquesne Light programs in PY6 and PY7 could not be determined. Therefore, the team used the double-counting value obtained when the PY4 evaluation was conducted (just under 5%). Since the PY4 double-counting value was atypically high compared to other OPower program evaluations Navigant has evaluated (~1%), this was believed to be a very conservative assumption.”</w:t>
      </w:r>
    </w:p>
    <w:p w:rsidR="00C24F61" w:rsidRDefault="00C24F61" w:rsidP="00A07AB2"/>
    <w:p w:rsidR="00C24F61" w:rsidRDefault="00C24F61" w:rsidP="00A07AB2">
      <w:r w:rsidRPr="00451EA2">
        <w:t xml:space="preserve">The SWE </w:t>
      </w:r>
      <w:r>
        <w:t>T</w:t>
      </w:r>
      <w:r w:rsidRPr="00451EA2">
        <w:t>eam</w:t>
      </w:r>
      <w:r>
        <w:t xml:space="preserve"> agrees with Navigant that this was a conservative approach to address duplicative savings and does not have any concerns with its approach, given the constraints of not having account numbers to update the analysis for PY7.</w:t>
      </w:r>
    </w:p>
    <w:p w:rsidR="00A07AB2" w:rsidRDefault="00A07AB2" w:rsidP="00A07AB2"/>
    <w:p w:rsidR="00C24F61" w:rsidRPr="00F17578" w:rsidRDefault="00C24F61" w:rsidP="00F17578">
      <w:pPr>
        <w:pStyle w:val="ListParagraph"/>
        <w:numPr>
          <w:ilvl w:val="0"/>
          <w:numId w:val="49"/>
        </w:numPr>
        <w:spacing w:after="60"/>
        <w:ind w:left="360"/>
        <w:contextualSpacing w:val="0"/>
        <w:rPr>
          <w:b/>
          <w:i/>
          <w:color w:val="404040" w:themeColor="text1" w:themeTint="BF"/>
          <w:sz w:val="24"/>
        </w:rPr>
      </w:pPr>
      <w:r w:rsidRPr="00F17578">
        <w:rPr>
          <w:b/>
          <w:i/>
          <w:color w:val="404040" w:themeColor="text1" w:themeTint="BF"/>
          <w:sz w:val="24"/>
        </w:rPr>
        <w:t>Were savings within the commonly identified range (approximately 2% of annual usage)?</w:t>
      </w:r>
    </w:p>
    <w:p w:rsidR="00C24F61" w:rsidRDefault="00C24F61" w:rsidP="00A07AB2">
      <w:r>
        <w:t>Residential behavioral program evaluations should include the percentage of annual usage represented by the program savings. Savings claimed or evaluated by other HER programs have varied between 0.5% and 3% of annual usage.</w:t>
      </w:r>
      <w:r>
        <w:rPr>
          <w:rStyle w:val="FootnoteReference"/>
        </w:rPr>
        <w:footnoteReference w:id="62"/>
      </w:r>
      <w:r>
        <w:t xml:space="preserve"> The Duquesne report lacked any details on the claimed or realized savings as a percentage of annual usage. Navigant provided documentation to the SWE Team, which included a spreadsheet (“</w:t>
      </w:r>
      <w:r w:rsidRPr="00FA6B05">
        <w:t>Duquesne HER PY7 Regression Outputs for SWE Data Request</w:t>
      </w:r>
      <w:r>
        <w:t xml:space="preserve">.xlsx”) that detailed the relative savings percentages across the three waves of participants that were used for the regression. Savings ranged between 0.9% and 1.9% across the three waves, with the lowest estimate, 0.9%, showing the highest relative precision, of +/– 60%. This lack of precision was due to the second wave having the lowest participant count (less than half the count of the third wave). The report, in Table 6-3: </w:t>
      </w:r>
      <w:r w:rsidRPr="00AC484B">
        <w:t>PY7 HER Summary of Evaluation Results for Energy</w:t>
      </w:r>
      <w:r>
        <w:t>, shows 0% relative precision, which is the sampling precision but not the verified savings precision, which across the three waves appears to be between 14% and 60%.</w:t>
      </w:r>
    </w:p>
    <w:p w:rsidR="00A07AB2" w:rsidRDefault="00A07AB2" w:rsidP="00A07AB2"/>
    <w:p w:rsidR="00C24F61" w:rsidRPr="00F17578" w:rsidRDefault="00C24F61" w:rsidP="00F17578">
      <w:pPr>
        <w:pStyle w:val="ListParagraph"/>
        <w:numPr>
          <w:ilvl w:val="0"/>
          <w:numId w:val="49"/>
        </w:numPr>
        <w:spacing w:after="60"/>
        <w:ind w:left="360"/>
        <w:contextualSpacing w:val="0"/>
        <w:rPr>
          <w:b/>
          <w:i/>
          <w:color w:val="404040" w:themeColor="text1" w:themeTint="BF"/>
          <w:sz w:val="24"/>
        </w:rPr>
      </w:pPr>
      <w:r w:rsidRPr="00F17578">
        <w:rPr>
          <w:b/>
          <w:i/>
          <w:color w:val="404040" w:themeColor="text1" w:themeTint="BF"/>
          <w:sz w:val="24"/>
        </w:rPr>
        <w:t>Did the evaluation report include sufficient details regarding the analysis, findings, and statistical significance?</w:t>
      </w:r>
    </w:p>
    <w:p w:rsidR="00C24F61" w:rsidRPr="00C24F61" w:rsidRDefault="00C24F61" w:rsidP="00C24F61">
      <w:r w:rsidRPr="00FA6B05">
        <w:t xml:space="preserve">Overall, the Duquesne report did not include sufficient details on the HER analysis and findings. The SWE </w:t>
      </w:r>
      <w:r>
        <w:t>T</w:t>
      </w:r>
      <w:r w:rsidRPr="00FA6B05">
        <w:t>eam believes that Navigant followed best practices in the model design a</w:t>
      </w:r>
      <w:r w:rsidRPr="00795F68">
        <w:t xml:space="preserve">nd analysis, but did not report the details and evidence that would allow the SWE </w:t>
      </w:r>
      <w:r>
        <w:t>T</w:t>
      </w:r>
      <w:r w:rsidRPr="00795F68">
        <w:t xml:space="preserve">eam to conclude </w:t>
      </w:r>
      <w:r>
        <w:t xml:space="preserve">that </w:t>
      </w:r>
      <w:r w:rsidRPr="00795F68">
        <w:t xml:space="preserve">the HER analysis was comprehensive and robust. It was only through additional communication with Navigant </w:t>
      </w:r>
      <w:r>
        <w:t>that</w:t>
      </w:r>
      <w:r w:rsidRPr="00795F68">
        <w:t xml:space="preserve"> the SWE </w:t>
      </w:r>
      <w:r>
        <w:t>T</w:t>
      </w:r>
      <w:r w:rsidRPr="00795F68">
        <w:t xml:space="preserve">eam </w:t>
      </w:r>
      <w:r>
        <w:t>had</w:t>
      </w:r>
      <w:r w:rsidRPr="00795F68">
        <w:t xml:space="preserve"> sufficient analysis details </w:t>
      </w:r>
      <w:r>
        <w:t>to</w:t>
      </w:r>
      <w:r w:rsidRPr="00795F68">
        <w:t xml:space="preserve"> </w:t>
      </w:r>
      <w:r w:rsidR="00EC4FB1" w:rsidRPr="00795F68">
        <w:t>answer</w:t>
      </w:r>
      <w:r w:rsidRPr="00795F68">
        <w:t xml:space="preserve"> all of </w:t>
      </w:r>
      <w:r>
        <w:t>the team’s</w:t>
      </w:r>
      <w:r w:rsidRPr="00795F68">
        <w:t xml:space="preserve"> questions and concerns. </w:t>
      </w:r>
      <w:r>
        <w:t>While there is often a balance between providing sufficient but not overwhelming amounts of analytic details, the SWE Team believes that Navigant was too conservative in its documentation of the HER billing analysis and should include the additional details noted above.</w:t>
      </w:r>
    </w:p>
    <w:p w:rsidR="00C24F61" w:rsidRPr="00C24F61" w:rsidRDefault="00C24F61" w:rsidP="00C24F61"/>
    <w:p w:rsidR="00950837" w:rsidRDefault="00950837" w:rsidP="009C0DF1">
      <w:pPr>
        <w:pStyle w:val="AppendixAHeading3"/>
      </w:pPr>
      <w:r>
        <w:t>Low-Income Program and Audit Summary</w:t>
      </w:r>
    </w:p>
    <w:p w:rsidR="00C24F61" w:rsidRPr="00A07DF4" w:rsidRDefault="00C24F61" w:rsidP="00C24F61">
      <w:pPr>
        <w:rPr>
          <w:highlight w:val="yellow"/>
        </w:rPr>
      </w:pPr>
      <w:r w:rsidRPr="00043844">
        <w:t xml:space="preserve">The SWE Team reviewed the evaluation contractor’s methods and findings and determined that </w:t>
      </w:r>
      <w:r>
        <w:t>s</w:t>
      </w:r>
      <w:r w:rsidRPr="00043844">
        <w:t xml:space="preserve">tep 1 of the annual SWE audit, a desk review of a random sample of rebate applications, was warranted since the past </w:t>
      </w:r>
      <w:r w:rsidRPr="00AC484B">
        <w:t>several audits have not included an application review</w:t>
      </w:r>
      <w:r>
        <w:t>.</w:t>
      </w:r>
      <w:r w:rsidRPr="00AC484B">
        <w:rPr>
          <w:rStyle w:val="FootnoteReference"/>
        </w:rPr>
        <w:footnoteReference w:id="63"/>
      </w:r>
      <w:r w:rsidRPr="00AF0D3F">
        <w:t xml:space="preserve"> The SWE Team reviewed the data tracked in Duquesne’s PMRS database and tracking system to verify that Duquesne was using the appropriate savings values and algorithms from the 2015 TRM. The SWE Team confirmed that all verified per-measure savings, participant counts, and program energy and demand impacts were consistent with the 2015 TRM. The program evaluation found that </w:t>
      </w:r>
      <w:r w:rsidRPr="00AF0D3F">
        <w:rPr>
          <w:rFonts w:cs="Calibri"/>
        </w:rPr>
        <w:t xml:space="preserve">ISRs, as determined through telephone participant surveys, for energy efficiency kits were considerably higher than those ISRs evaluated in PY6 (due to higher installation rates for all three measures). </w:t>
      </w:r>
      <w:r w:rsidRPr="00AF0D3F">
        <w:t>This audit found no adjustments or changes that should be made to the verified gross savings estimates reported by the evaluation contractor.</w:t>
      </w:r>
    </w:p>
    <w:p w:rsidR="00C24F61" w:rsidRDefault="00C24F61" w:rsidP="00C24F61">
      <w:pPr>
        <w:rPr>
          <w:highlight w:val="yellow"/>
        </w:rPr>
      </w:pPr>
    </w:p>
    <w:p w:rsidR="00C24F61" w:rsidRDefault="00C24F61" w:rsidP="00C24F61">
      <w:pPr>
        <w:rPr>
          <w:color w:val="FF0000"/>
        </w:rPr>
      </w:pPr>
      <w:r>
        <w:t xml:space="preserve">The SWE Team did catch a few minor errors in the annual report. The fourth row of Table 1-6: Phase II Low Income Sector Compliance (Percentage of Savings) likely carried over text from a previous report. The note “Sum of First Two Rows” likely should be updated to read “Sum of First Three Rows,” since the values in corresponding columns line up this way. Additionally, </w:t>
      </w:r>
      <w:r w:rsidRPr="00965954">
        <w:t>Table 7-2: LIEEP Sampling Strategy for PY7</w:t>
      </w:r>
      <w:r>
        <w:t xml:space="preserve"> included an error for evaluation activity. An application review was listed as included for the low-income kits component, though this research activity was actually performed for the low-income rebates </w:t>
      </w:r>
      <w:r w:rsidR="003F7792">
        <w:t>component.</w:t>
      </w:r>
    </w:p>
    <w:p w:rsidR="00C24F61" w:rsidRDefault="00C24F61" w:rsidP="00C24F61">
      <w:pPr>
        <w:rPr>
          <w:highlight w:val="yellow"/>
        </w:rPr>
      </w:pPr>
    </w:p>
    <w:p w:rsidR="00C24F61" w:rsidRPr="00D274AB" w:rsidRDefault="00C24F61" w:rsidP="00C24F61">
      <w:r w:rsidRPr="00D274AB">
        <w:t>Table 7-2: LIEEP Sampling Strategy for PY7 contained a few minor errors. The program name for one measure was incorrectly identified in the PMRS database and tracking system, and this error rippled through population counts, gross saving estimates</w:t>
      </w:r>
      <w:r>
        <w:t>,</w:t>
      </w:r>
      <w:r w:rsidRPr="00D274AB">
        <w:t xml:space="preserve"> and gross demand savings. The Freezer Recycling – Replace measure was being captured under the LIEEP </w:t>
      </w:r>
      <w:r>
        <w:t>r</w:t>
      </w:r>
      <w:r w:rsidRPr="00D274AB">
        <w:t>ebates program</w:t>
      </w:r>
      <w:r>
        <w:t xml:space="preserve"> but</w:t>
      </w:r>
      <w:r w:rsidRPr="00D274AB">
        <w:t xml:space="preserve"> should have been identified as the LIEEP RARP program. </w:t>
      </w:r>
      <w:r>
        <w:t>The low-income r</w:t>
      </w:r>
      <w:r w:rsidRPr="00D274AB">
        <w:t xml:space="preserve">ebates population size needs to be updated to 139 from 152, and LIEEP RARP participation needs to be updated to 403 from 390. Likewise, reported gross energy saving values need to be updated for the </w:t>
      </w:r>
      <w:r>
        <w:t>low-income r</w:t>
      </w:r>
      <w:r w:rsidRPr="00D274AB">
        <w:t>ebates program. Last, gross demand savings values s</w:t>
      </w:r>
      <w:r>
        <w:t>hould</w:t>
      </w:r>
      <w:r w:rsidRPr="00D274AB">
        <w:t xml:space="preserve"> to be updated to </w:t>
      </w:r>
      <w:r>
        <w:t>0</w:t>
      </w:r>
      <w:r w:rsidRPr="00D274AB">
        <w:t xml:space="preserve">.048 from </w:t>
      </w:r>
      <w:r>
        <w:t>0</w:t>
      </w:r>
      <w:r w:rsidRPr="00D274AB">
        <w:t xml:space="preserve">.046 in the LIEEP RARP, and from </w:t>
      </w:r>
      <w:r>
        <w:t>0</w:t>
      </w:r>
      <w:r w:rsidRPr="00D274AB">
        <w:t xml:space="preserve">.009 to </w:t>
      </w:r>
      <w:r>
        <w:t>0</w:t>
      </w:r>
      <w:r w:rsidRPr="00D274AB">
        <w:t xml:space="preserve">.007 in the LIEEP </w:t>
      </w:r>
      <w:r>
        <w:t>r</w:t>
      </w:r>
      <w:r w:rsidRPr="00D274AB">
        <w:t>ebates program.</w:t>
      </w:r>
      <w:r>
        <w:t xml:space="preserve"> </w:t>
      </w:r>
      <w:r w:rsidRPr="00D274AB">
        <w:t xml:space="preserve">The last minor errors found across the LIEEP programs were in Table 7-2: LIEEP Sampling Strategy for PY7. Achieved sample size values were off by a count of </w:t>
      </w:r>
      <w:r>
        <w:t>1</w:t>
      </w:r>
      <w:r w:rsidRPr="00D274AB">
        <w:t xml:space="preserve"> for the </w:t>
      </w:r>
      <w:r>
        <w:t>low-income</w:t>
      </w:r>
      <w:r w:rsidRPr="00D274AB">
        <w:t xml:space="preserve"> RARP and </w:t>
      </w:r>
      <w:r>
        <w:t>low-income</w:t>
      </w:r>
      <w:r w:rsidR="003F7792">
        <w:t xml:space="preserve"> WHEAP programs.</w:t>
      </w:r>
    </w:p>
    <w:p w:rsidR="00C24F61" w:rsidRPr="00D274AB" w:rsidRDefault="00C24F61" w:rsidP="00C24F61">
      <w:r w:rsidRPr="00D274AB">
        <w:t xml:space="preserve">The SWE Team recommends including a discussion of realization rate calculations in the report because it was not </w:t>
      </w:r>
      <w:r>
        <w:t xml:space="preserve">clear </w:t>
      </w:r>
      <w:r w:rsidRPr="00D274AB">
        <w:t xml:space="preserve">why one calculation was ultimately decided on over another. Navigant provided the following statement when the discrepancy of two realization rates was brought to </w:t>
      </w:r>
      <w:r>
        <w:t>its</w:t>
      </w:r>
      <w:r w:rsidRPr="00D274AB">
        <w:t xml:space="preserve"> attention</w:t>
      </w:r>
      <w:r>
        <w:t>:</w:t>
      </w:r>
      <w:r w:rsidRPr="00D274AB">
        <w:t xml:space="preserve"> “the survey results should be combined with the application file review</w:t>
      </w:r>
      <w:r>
        <w:t>.” This</w:t>
      </w:r>
      <w:r w:rsidRPr="00D274AB">
        <w:t xml:space="preserve"> helped the SWE Team rectify realization rates. The audit found no adjustments or changes that should be made to the realization rate values.</w:t>
      </w:r>
    </w:p>
    <w:p w:rsidR="00C24F61" w:rsidRPr="00D66177" w:rsidRDefault="00C24F61" w:rsidP="00C24F61"/>
    <w:p w:rsidR="00C24F61" w:rsidRPr="008A749F" w:rsidRDefault="00C24F61" w:rsidP="00C24F61">
      <w:pPr>
        <w:rPr>
          <w:highlight w:val="yellow"/>
        </w:rPr>
      </w:pPr>
      <w:r w:rsidRPr="006A1A97">
        <w:t xml:space="preserve">The SWE Team did not review any site inspections or </w:t>
      </w:r>
      <w:r w:rsidR="00490E5C">
        <w:t>quality assurance/quality control (</w:t>
      </w:r>
      <w:r w:rsidRPr="006A1A97">
        <w:t>QA/QC</w:t>
      </w:r>
      <w:r w:rsidR="00490E5C">
        <w:t>)</w:t>
      </w:r>
      <w:r w:rsidRPr="006A1A97">
        <w:t xml:space="preserve"> procedures from low-income installations, as neither Duquesne, its evaluation contractor, or any other Duquesne third-party vendor administered any on-site-based inspections or QA/QC procedures for this program during PY7. (As noted above, the evaluation contractor verified installations via a telephone survey.) All of the other EDCs conduct on-site inspections on a sample of installations for their low-income programs.</w:t>
      </w:r>
      <w:r w:rsidRPr="006A1A97">
        <w:rPr>
          <w:vertAlign w:val="superscript"/>
        </w:rPr>
        <w:footnoteReference w:id="64"/>
      </w:r>
      <w:r w:rsidRPr="006A1A97">
        <w:t xml:space="preserve"> During PY6, the SWE Team considered on-site QA/QC unnecessary due to the specific structure and implementation model of the Duquesne low-income program. As has been previously noted by the evaluation contractor, Duquesne’s LIEEP is similar to REEP (rebates, kits, and lighting), RARP, WHEAP, and SEP</w:t>
      </w:r>
      <w:r>
        <w:t>,</w:t>
      </w:r>
      <w:r w:rsidRPr="006A1A97">
        <w:t xml:space="preserve"> except that participation in those programs by those who qualify as low-income </w:t>
      </w:r>
      <w:r>
        <w:t>is</w:t>
      </w:r>
      <w:r w:rsidRPr="006A1A97">
        <w:t xml:space="preserve"> counted for LIEEP rather than the individual other residential programs. In PY7, even though Duquesne introduced a whole-home retrofit program similar to </w:t>
      </w:r>
      <w:r>
        <w:t xml:space="preserve">that of </w:t>
      </w:r>
      <w:r w:rsidRPr="006A1A97">
        <w:t xml:space="preserve">other EDCs in which on-site QA/QC inspection may be considered, the current Duquesne WHEAP program is a simple direct-install with lighting, small domestic hot water, and plug load measures. If the Duquesne program expands and offers more </w:t>
      </w:r>
      <w:r w:rsidRPr="00AC484B">
        <w:t>comprehensive retrofit measures (air sealing, insulation, HVAC, etc.)</w:t>
      </w:r>
      <w:r w:rsidR="00490E5C">
        <w:t>,</w:t>
      </w:r>
      <w:r w:rsidRPr="00AC484B">
        <w:t xml:space="preserve"> then on-site QA/QC will be more critical. The SWE should continue to monitor and assess the need to perform on-site inspections for the Duquesne low</w:t>
      </w:r>
      <w:r>
        <w:t>-</w:t>
      </w:r>
      <w:r w:rsidRPr="00AC484B">
        <w:t>income program.</w:t>
      </w:r>
    </w:p>
    <w:p w:rsidR="00C24F61" w:rsidRPr="008A749F" w:rsidRDefault="00C24F61" w:rsidP="00C24F61">
      <w:pPr>
        <w:rPr>
          <w:highlight w:val="yellow"/>
        </w:rPr>
      </w:pPr>
    </w:p>
    <w:p w:rsidR="00C24F61" w:rsidRDefault="00C24F61" w:rsidP="00C24F61">
      <w:r w:rsidRPr="00447DB0">
        <w:t xml:space="preserve">The SWE Team verified that Duquesne was in compliance with the requirement that the number of energy conservation measures offered to low‐income households be, at a minimum, proportionate to those households’ share of the total energy usage in Duquesne’s service territory. </w:t>
      </w:r>
      <w:r>
        <w:t xml:space="preserve">PY7 low-income program compliance was unchanged relative to PY6: </w:t>
      </w:r>
      <w:r w:rsidRPr="0056383E">
        <w:t xml:space="preserve">Duquesne offered 14 types of measures to the low-income sector in PY7, which is consistent with the quantity offered in PY6. The number of measures offered through the low-income program represented 14.4% of the total number of types of measures offered across all customer sectors. </w:t>
      </w:r>
      <w:r w:rsidRPr="00447DB0">
        <w:t>This level substantially exceeds Duquesne’s Act 129 compliance target of 8.4%.</w:t>
      </w:r>
    </w:p>
    <w:p w:rsidR="00C24F61" w:rsidRPr="00C24F61" w:rsidRDefault="00C24F61" w:rsidP="00C24F61"/>
    <w:p w:rsidR="00950837" w:rsidRDefault="00950837" w:rsidP="009C0DF1">
      <w:pPr>
        <w:pStyle w:val="AppendixAHeading3"/>
      </w:pPr>
      <w:r>
        <w:t>Non-Residential Program Audit Summary</w:t>
      </w:r>
    </w:p>
    <w:p w:rsidR="00932AE2" w:rsidRPr="00D85274" w:rsidRDefault="00932AE2" w:rsidP="00932AE2">
      <w:r w:rsidRPr="00D85274">
        <w:t>The SWE Team reviewed project files to audit the accuracy of the savings values stored in the program</w:t>
      </w:r>
      <w:r>
        <w:t>-</w:t>
      </w:r>
      <w:r w:rsidRPr="00D85274">
        <w:t xml:space="preserve">tracking database and to confirm that calculations were performed in accordance with the applicable TRM, or by some other reasonable methodology. The SWE Team reviewed 11 of the sample projects submitted, which included interior and exterior lighting retrofits, </w:t>
      </w:r>
      <w:r w:rsidR="00C21C45">
        <w:t>variable frequency drives (</w:t>
      </w:r>
      <w:r w:rsidRPr="00D85274">
        <w:t>VFDs</w:t>
      </w:r>
      <w:r w:rsidR="00C21C45">
        <w:t>)</w:t>
      </w:r>
      <w:r w:rsidRPr="00D85274">
        <w:t xml:space="preserve">, industrial process improvements, and efficient chillers. At this time, the SWE Team only requests that the clarity and orderliness of project files </w:t>
      </w:r>
      <w:r>
        <w:t>be</w:t>
      </w:r>
      <w:r w:rsidRPr="00D85274">
        <w:t xml:space="preserve"> maintained going into Phase III.</w:t>
      </w:r>
    </w:p>
    <w:p w:rsidR="00932AE2" w:rsidRPr="00D85274" w:rsidRDefault="00932AE2" w:rsidP="00932AE2"/>
    <w:p w:rsidR="00932AE2" w:rsidRDefault="00932AE2" w:rsidP="00932AE2">
      <w:r w:rsidRPr="00D85274">
        <w:t xml:space="preserve">The SWE Team reviewed Duquesne’s PY7 sample design to ensure its compliance with the Evaluation Framework. The results are displayed in </w:t>
      </w:r>
      <w:r w:rsidR="00FA1E14">
        <w:fldChar w:fldCharType="begin"/>
      </w:r>
      <w:r w:rsidR="00FA1E14">
        <w:instrText xml:space="preserve"> REF _Ref472360727 \h </w:instrText>
      </w:r>
      <w:r w:rsidR="00FA1E14">
        <w:fldChar w:fldCharType="separate"/>
      </w:r>
      <w:r w:rsidR="00037CB4">
        <w:t>Table A-</w:t>
      </w:r>
      <w:r w:rsidR="00037CB4">
        <w:rPr>
          <w:noProof/>
        </w:rPr>
        <w:t>10</w:t>
      </w:r>
      <w:r w:rsidR="00FA1E14">
        <w:fldChar w:fldCharType="end"/>
      </w:r>
      <w:r w:rsidRPr="00D85274">
        <w:t>, showing relative precision at the 85% confidence level.</w:t>
      </w:r>
    </w:p>
    <w:p w:rsidR="00A07AB2" w:rsidRDefault="00A07AB2" w:rsidP="00932AE2"/>
    <w:p w:rsidR="00932AE2" w:rsidRPr="00D85274" w:rsidRDefault="00FA1E14" w:rsidP="004837FA">
      <w:pPr>
        <w:pStyle w:val="Caption"/>
      </w:pPr>
      <w:bookmarkStart w:id="544" w:name="_Ref472360727"/>
      <w:bookmarkStart w:id="545" w:name="_Toc409225003"/>
      <w:bookmarkStart w:id="546" w:name="_Toc409443555"/>
      <w:bookmarkStart w:id="547" w:name="_Toc445206189"/>
      <w:bookmarkStart w:id="548" w:name="_Toc472472419"/>
      <w:bookmarkStart w:id="549" w:name="_Toc488741838"/>
      <w:r>
        <w:t>Table A-</w:t>
      </w:r>
      <w:r w:rsidR="007973A4">
        <w:fldChar w:fldCharType="begin"/>
      </w:r>
      <w:r w:rsidR="007973A4">
        <w:instrText xml:space="preserve"> SEQ Table_A- \* ARABIC </w:instrText>
      </w:r>
      <w:r w:rsidR="007973A4">
        <w:fldChar w:fldCharType="separate"/>
      </w:r>
      <w:r w:rsidR="00037CB4">
        <w:rPr>
          <w:noProof/>
        </w:rPr>
        <w:t>10</w:t>
      </w:r>
      <w:r w:rsidR="007973A4">
        <w:rPr>
          <w:noProof/>
        </w:rPr>
        <w:fldChar w:fldCharType="end"/>
      </w:r>
      <w:bookmarkEnd w:id="544"/>
      <w:r>
        <w:t xml:space="preserve">: </w:t>
      </w:r>
      <w:r w:rsidR="00932AE2" w:rsidRPr="00D85274">
        <w:t>Compliance across Sample Designs for Duquesne’s PY7 Non-Residential Program Groups</w:t>
      </w:r>
      <w:bookmarkEnd w:id="545"/>
      <w:bookmarkEnd w:id="546"/>
      <w:bookmarkEnd w:id="547"/>
      <w:bookmarkEnd w:id="548"/>
      <w:bookmarkEnd w:id="549"/>
    </w:p>
    <w:tbl>
      <w:tblPr>
        <w:tblW w:w="944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150"/>
        <w:gridCol w:w="2430"/>
        <w:gridCol w:w="2430"/>
        <w:gridCol w:w="2430"/>
      </w:tblGrid>
      <w:tr w:rsidR="00A874AC" w:rsidRPr="00F17578" w:rsidTr="00F17578">
        <w:trPr>
          <w:cantSplit/>
          <w:trHeight w:val="432"/>
          <w:tblHeader/>
        </w:trPr>
        <w:tc>
          <w:tcPr>
            <w:tcW w:w="2150" w:type="dxa"/>
            <w:shd w:val="clear" w:color="000000" w:fill="448A99"/>
            <w:vAlign w:val="bottom"/>
            <w:hideMark/>
          </w:tcPr>
          <w:p w:rsidR="00932AE2" w:rsidRPr="00F17578" w:rsidRDefault="00932AE2" w:rsidP="006F7DE9">
            <w:pPr>
              <w:jc w:val="left"/>
              <w:rPr>
                <w:b/>
                <w:bCs/>
                <w:color w:val="FFFFFF"/>
                <w:sz w:val="19"/>
                <w:szCs w:val="19"/>
              </w:rPr>
            </w:pPr>
            <w:r w:rsidRPr="00F17578">
              <w:rPr>
                <w:b/>
                <w:bCs/>
                <w:color w:val="FFFFFF"/>
                <w:sz w:val="19"/>
                <w:szCs w:val="19"/>
              </w:rPr>
              <w:t>Program Group</w:t>
            </w:r>
          </w:p>
        </w:tc>
        <w:tc>
          <w:tcPr>
            <w:tcW w:w="2430" w:type="dxa"/>
            <w:shd w:val="clear" w:color="000000" w:fill="448A99"/>
            <w:vAlign w:val="bottom"/>
            <w:hideMark/>
          </w:tcPr>
          <w:p w:rsidR="00932AE2" w:rsidRPr="00F17578" w:rsidRDefault="00932AE2" w:rsidP="006F7DE9">
            <w:pPr>
              <w:jc w:val="center"/>
              <w:rPr>
                <w:b/>
                <w:bCs/>
                <w:color w:val="FFFFFF"/>
                <w:sz w:val="19"/>
                <w:szCs w:val="19"/>
              </w:rPr>
            </w:pPr>
            <w:r w:rsidRPr="00F17578">
              <w:rPr>
                <w:b/>
                <w:bCs/>
                <w:color w:val="FFFFFF"/>
                <w:sz w:val="19"/>
                <w:szCs w:val="19"/>
              </w:rPr>
              <w:t>Relative Precision at 85% CL for Energy</w:t>
            </w:r>
          </w:p>
        </w:tc>
        <w:tc>
          <w:tcPr>
            <w:tcW w:w="2430" w:type="dxa"/>
            <w:shd w:val="clear" w:color="000000" w:fill="448A99"/>
            <w:vAlign w:val="bottom"/>
            <w:hideMark/>
          </w:tcPr>
          <w:p w:rsidR="00932AE2" w:rsidRPr="00F17578" w:rsidRDefault="00932AE2" w:rsidP="006F7DE9">
            <w:pPr>
              <w:jc w:val="center"/>
              <w:rPr>
                <w:b/>
                <w:bCs/>
                <w:color w:val="FFFFFF"/>
                <w:sz w:val="19"/>
                <w:szCs w:val="19"/>
              </w:rPr>
            </w:pPr>
            <w:r w:rsidRPr="00F17578">
              <w:rPr>
                <w:b/>
                <w:bCs/>
                <w:color w:val="FFFFFF"/>
                <w:sz w:val="19"/>
                <w:szCs w:val="19"/>
              </w:rPr>
              <w:t>Relative Precision at 85% CL for Demand</w:t>
            </w:r>
          </w:p>
        </w:tc>
        <w:tc>
          <w:tcPr>
            <w:tcW w:w="2430" w:type="dxa"/>
            <w:shd w:val="clear" w:color="000000" w:fill="448A99"/>
            <w:vAlign w:val="bottom"/>
            <w:hideMark/>
          </w:tcPr>
          <w:p w:rsidR="00932AE2" w:rsidRPr="00F17578" w:rsidRDefault="00932AE2" w:rsidP="006F7DE9">
            <w:pPr>
              <w:jc w:val="center"/>
              <w:rPr>
                <w:b/>
                <w:bCs/>
                <w:color w:val="FFFFFF"/>
                <w:sz w:val="19"/>
                <w:szCs w:val="19"/>
              </w:rPr>
            </w:pPr>
            <w:r w:rsidRPr="00F17578">
              <w:rPr>
                <w:b/>
                <w:bCs/>
                <w:color w:val="FFFFFF"/>
                <w:sz w:val="19"/>
                <w:szCs w:val="19"/>
              </w:rPr>
              <w:t>Compliance with Evaluation Framework</w:t>
            </w:r>
          </w:p>
        </w:tc>
      </w:tr>
      <w:tr w:rsidR="00A874AC" w:rsidRPr="00F17578" w:rsidTr="00F17578">
        <w:trPr>
          <w:trHeight w:val="288"/>
        </w:trPr>
        <w:tc>
          <w:tcPr>
            <w:tcW w:w="2150" w:type="dxa"/>
            <w:shd w:val="clear" w:color="000000" w:fill="D2EAF1"/>
            <w:noWrap/>
            <w:vAlign w:val="center"/>
          </w:tcPr>
          <w:p w:rsidR="00932AE2" w:rsidRPr="00F17578" w:rsidRDefault="00932AE2" w:rsidP="006F7DE9">
            <w:pPr>
              <w:jc w:val="left"/>
              <w:rPr>
                <w:bCs/>
                <w:sz w:val="19"/>
                <w:szCs w:val="19"/>
              </w:rPr>
            </w:pPr>
            <w:r w:rsidRPr="00F17578">
              <w:rPr>
                <w:bCs/>
                <w:sz w:val="19"/>
                <w:szCs w:val="19"/>
              </w:rPr>
              <w:t>Commercial</w:t>
            </w:r>
          </w:p>
        </w:tc>
        <w:tc>
          <w:tcPr>
            <w:tcW w:w="2430" w:type="dxa"/>
            <w:shd w:val="clear" w:color="000000" w:fill="D2EAF1"/>
            <w:noWrap/>
            <w:vAlign w:val="center"/>
          </w:tcPr>
          <w:p w:rsidR="00932AE2" w:rsidRPr="00F17578" w:rsidRDefault="00932AE2" w:rsidP="006F7DE9">
            <w:pPr>
              <w:jc w:val="center"/>
              <w:rPr>
                <w:sz w:val="19"/>
                <w:szCs w:val="19"/>
              </w:rPr>
            </w:pPr>
            <w:r w:rsidRPr="00F17578">
              <w:rPr>
                <w:sz w:val="19"/>
                <w:szCs w:val="19"/>
              </w:rPr>
              <w:t>4%</w:t>
            </w:r>
          </w:p>
        </w:tc>
        <w:tc>
          <w:tcPr>
            <w:tcW w:w="2430" w:type="dxa"/>
            <w:shd w:val="clear" w:color="000000" w:fill="D2EAF1"/>
            <w:noWrap/>
            <w:vAlign w:val="center"/>
          </w:tcPr>
          <w:p w:rsidR="00932AE2" w:rsidRPr="00F17578" w:rsidRDefault="00932AE2" w:rsidP="006F7DE9">
            <w:pPr>
              <w:jc w:val="center"/>
              <w:rPr>
                <w:sz w:val="19"/>
                <w:szCs w:val="19"/>
              </w:rPr>
            </w:pPr>
            <w:r w:rsidRPr="00F17578">
              <w:rPr>
                <w:sz w:val="19"/>
                <w:szCs w:val="19"/>
              </w:rPr>
              <w:t>21%</w:t>
            </w:r>
          </w:p>
        </w:tc>
        <w:tc>
          <w:tcPr>
            <w:tcW w:w="2430" w:type="dxa"/>
            <w:shd w:val="clear" w:color="000000" w:fill="D2EAF1"/>
            <w:noWrap/>
            <w:vAlign w:val="center"/>
          </w:tcPr>
          <w:p w:rsidR="00932AE2" w:rsidRPr="00F17578" w:rsidRDefault="00932AE2" w:rsidP="006F7DE9">
            <w:pPr>
              <w:jc w:val="center"/>
              <w:rPr>
                <w:color w:val="00B050"/>
                <w:sz w:val="19"/>
                <w:szCs w:val="19"/>
              </w:rPr>
            </w:pPr>
            <w:r w:rsidRPr="00F17578">
              <w:rPr>
                <w:color w:val="00B050"/>
                <w:sz w:val="19"/>
                <w:szCs w:val="19"/>
              </w:rPr>
              <w:sym w:font="Wingdings" w:char="F0FC"/>
            </w:r>
          </w:p>
        </w:tc>
      </w:tr>
      <w:tr w:rsidR="00E7173E" w:rsidRPr="00F17578" w:rsidTr="00F17578">
        <w:trPr>
          <w:trHeight w:val="288"/>
        </w:trPr>
        <w:tc>
          <w:tcPr>
            <w:tcW w:w="2150" w:type="dxa"/>
            <w:shd w:val="clear" w:color="auto" w:fill="auto"/>
            <w:noWrap/>
            <w:vAlign w:val="center"/>
          </w:tcPr>
          <w:p w:rsidR="00932AE2" w:rsidRPr="00F17578" w:rsidRDefault="00932AE2" w:rsidP="006F7DE9">
            <w:pPr>
              <w:jc w:val="left"/>
              <w:rPr>
                <w:bCs/>
                <w:sz w:val="19"/>
                <w:szCs w:val="19"/>
              </w:rPr>
            </w:pPr>
            <w:r w:rsidRPr="00F17578">
              <w:rPr>
                <w:bCs/>
                <w:sz w:val="19"/>
                <w:szCs w:val="19"/>
              </w:rPr>
              <w:t>Industrial</w:t>
            </w:r>
          </w:p>
        </w:tc>
        <w:tc>
          <w:tcPr>
            <w:tcW w:w="2430" w:type="dxa"/>
            <w:shd w:val="clear" w:color="auto" w:fill="auto"/>
            <w:noWrap/>
            <w:vAlign w:val="center"/>
          </w:tcPr>
          <w:p w:rsidR="00932AE2" w:rsidRPr="00F17578" w:rsidRDefault="00932AE2" w:rsidP="006F7DE9">
            <w:pPr>
              <w:jc w:val="center"/>
              <w:rPr>
                <w:sz w:val="19"/>
                <w:szCs w:val="19"/>
              </w:rPr>
            </w:pPr>
            <w:r w:rsidRPr="00F17578">
              <w:rPr>
                <w:sz w:val="19"/>
                <w:szCs w:val="19"/>
              </w:rPr>
              <w:t>2%</w:t>
            </w:r>
          </w:p>
        </w:tc>
        <w:tc>
          <w:tcPr>
            <w:tcW w:w="2430" w:type="dxa"/>
            <w:shd w:val="clear" w:color="auto" w:fill="auto"/>
            <w:noWrap/>
            <w:vAlign w:val="center"/>
          </w:tcPr>
          <w:p w:rsidR="00932AE2" w:rsidRPr="00F17578" w:rsidRDefault="00932AE2" w:rsidP="006F7DE9">
            <w:pPr>
              <w:jc w:val="center"/>
              <w:rPr>
                <w:sz w:val="19"/>
                <w:szCs w:val="19"/>
              </w:rPr>
            </w:pPr>
            <w:r w:rsidRPr="00F17578">
              <w:rPr>
                <w:sz w:val="19"/>
                <w:szCs w:val="19"/>
              </w:rPr>
              <w:t>6%</w:t>
            </w:r>
          </w:p>
        </w:tc>
        <w:tc>
          <w:tcPr>
            <w:tcW w:w="2430" w:type="dxa"/>
            <w:shd w:val="clear" w:color="auto" w:fill="auto"/>
            <w:noWrap/>
            <w:vAlign w:val="center"/>
          </w:tcPr>
          <w:p w:rsidR="00932AE2" w:rsidRPr="00F17578" w:rsidRDefault="00932AE2" w:rsidP="006F7DE9">
            <w:pPr>
              <w:jc w:val="center"/>
              <w:rPr>
                <w:color w:val="00B050"/>
                <w:sz w:val="19"/>
                <w:szCs w:val="19"/>
              </w:rPr>
            </w:pPr>
            <w:r w:rsidRPr="00F17578">
              <w:rPr>
                <w:color w:val="00B050"/>
                <w:sz w:val="19"/>
                <w:szCs w:val="19"/>
              </w:rPr>
              <w:sym w:font="Wingdings" w:char="F0FC"/>
            </w:r>
          </w:p>
        </w:tc>
      </w:tr>
      <w:tr w:rsidR="00A874AC" w:rsidRPr="00F17578" w:rsidTr="00F17578">
        <w:trPr>
          <w:trHeight w:val="288"/>
        </w:trPr>
        <w:tc>
          <w:tcPr>
            <w:tcW w:w="2150" w:type="dxa"/>
            <w:shd w:val="clear" w:color="000000" w:fill="D2EAF1"/>
            <w:noWrap/>
            <w:vAlign w:val="center"/>
          </w:tcPr>
          <w:p w:rsidR="00932AE2" w:rsidRPr="00F17578" w:rsidRDefault="00932AE2" w:rsidP="006F7DE9">
            <w:pPr>
              <w:jc w:val="left"/>
              <w:rPr>
                <w:bCs/>
                <w:sz w:val="19"/>
                <w:szCs w:val="19"/>
              </w:rPr>
            </w:pPr>
            <w:r w:rsidRPr="00F17578">
              <w:rPr>
                <w:bCs/>
                <w:sz w:val="19"/>
                <w:szCs w:val="19"/>
              </w:rPr>
              <w:t>GNI</w:t>
            </w:r>
          </w:p>
        </w:tc>
        <w:tc>
          <w:tcPr>
            <w:tcW w:w="2430" w:type="dxa"/>
            <w:shd w:val="clear" w:color="000000" w:fill="D2EAF1"/>
            <w:noWrap/>
            <w:vAlign w:val="center"/>
          </w:tcPr>
          <w:p w:rsidR="00932AE2" w:rsidRPr="00F17578" w:rsidRDefault="00932AE2" w:rsidP="006F7DE9">
            <w:pPr>
              <w:jc w:val="center"/>
              <w:rPr>
                <w:sz w:val="19"/>
                <w:szCs w:val="19"/>
              </w:rPr>
            </w:pPr>
            <w:r w:rsidRPr="00F17578">
              <w:rPr>
                <w:bCs/>
                <w:sz w:val="19"/>
                <w:szCs w:val="19"/>
              </w:rPr>
              <w:t>9%</w:t>
            </w:r>
          </w:p>
        </w:tc>
        <w:tc>
          <w:tcPr>
            <w:tcW w:w="2430" w:type="dxa"/>
            <w:shd w:val="clear" w:color="000000" w:fill="D2EAF1"/>
            <w:noWrap/>
            <w:vAlign w:val="center"/>
          </w:tcPr>
          <w:p w:rsidR="00932AE2" w:rsidRPr="00F17578" w:rsidRDefault="00932AE2" w:rsidP="006F7DE9">
            <w:pPr>
              <w:jc w:val="center"/>
              <w:rPr>
                <w:sz w:val="19"/>
                <w:szCs w:val="19"/>
              </w:rPr>
            </w:pPr>
            <w:r w:rsidRPr="00F17578">
              <w:rPr>
                <w:bCs/>
                <w:sz w:val="19"/>
                <w:szCs w:val="19"/>
              </w:rPr>
              <w:t>29%</w:t>
            </w:r>
          </w:p>
        </w:tc>
        <w:tc>
          <w:tcPr>
            <w:tcW w:w="2430" w:type="dxa"/>
            <w:shd w:val="clear" w:color="000000" w:fill="D2EAF1"/>
            <w:noWrap/>
            <w:vAlign w:val="center"/>
          </w:tcPr>
          <w:p w:rsidR="00932AE2" w:rsidRPr="00F17578" w:rsidRDefault="00932AE2" w:rsidP="006F7DE9">
            <w:pPr>
              <w:jc w:val="center"/>
              <w:rPr>
                <w:color w:val="00B050"/>
                <w:sz w:val="19"/>
                <w:szCs w:val="19"/>
              </w:rPr>
            </w:pPr>
            <w:r w:rsidRPr="00F17578">
              <w:rPr>
                <w:color w:val="00B050"/>
                <w:sz w:val="19"/>
                <w:szCs w:val="19"/>
              </w:rPr>
              <w:sym w:font="Wingdings" w:char="F0FC"/>
            </w:r>
          </w:p>
        </w:tc>
      </w:tr>
    </w:tbl>
    <w:p w:rsidR="005D6981" w:rsidRDefault="005D6981" w:rsidP="00932AE2"/>
    <w:p w:rsidR="00932AE2" w:rsidRPr="00D85274" w:rsidRDefault="00932AE2" w:rsidP="00932AE2">
      <w:r w:rsidRPr="00D85274">
        <w:t xml:space="preserve">The goal of 15% precision at the 85% confidence level for energy was reached for all non-residential program groups in PY7. Details about each program evaluation sample are presented </w:t>
      </w:r>
      <w:r w:rsidR="00C033CF">
        <w:t>below</w:t>
      </w:r>
      <w:r w:rsidRPr="00D85274">
        <w:t>.</w:t>
      </w:r>
    </w:p>
    <w:p w:rsidR="00932AE2" w:rsidRPr="00D85274" w:rsidRDefault="00932AE2" w:rsidP="00932AE2"/>
    <w:p w:rsidR="00932AE2" w:rsidRPr="00D85274" w:rsidRDefault="00932AE2" w:rsidP="00932AE2">
      <w:r w:rsidRPr="00D85274">
        <w:t xml:space="preserve">As part of the audit process, the SWE Team performed 10 ride-along site inspections of non-residential projects to oversee Duquesne’s on-site evaluation practices. The projects selected for ride-along inspection encompassed lighting upgrades, chiller optimizations, and VFD installations. The SWE Team approved all 10 of the sampled project inspections. Details about all 10 projects and their associated findings are presented </w:t>
      </w:r>
      <w:r w:rsidR="00C033CF">
        <w:t>below</w:t>
      </w:r>
      <w:r w:rsidRPr="00D85274">
        <w:t>.</w:t>
      </w:r>
    </w:p>
    <w:p w:rsidR="00932AE2" w:rsidRDefault="00932AE2" w:rsidP="00932AE2"/>
    <w:p w:rsidR="00932AE2" w:rsidRDefault="00932AE2" w:rsidP="00932AE2">
      <w:r w:rsidRPr="00D85274">
        <w:t xml:space="preserve">The SWE Team performed a verified savings analysis on six submitted projects, checking for accuracy of the calculations, appropriateness of the evaluation method, and level of rigor selections. The SWE Team approved of Navigant’s evaluation methodologies and savings calculations across all projects. The SWE Team found a very high level of organization of project files and a high degree of completeness and clarity among the site reports. The results of the verified savings analysis are </w:t>
      </w:r>
      <w:r>
        <w:t>presented</w:t>
      </w:r>
      <w:r w:rsidRPr="00D85274">
        <w:t xml:space="preserve"> </w:t>
      </w:r>
      <w:r w:rsidR="00C033CF">
        <w:t>below</w:t>
      </w:r>
      <w:r w:rsidRPr="00D85274">
        <w:t>.</w:t>
      </w:r>
    </w:p>
    <w:p w:rsidR="00C033CF" w:rsidRDefault="00C033CF" w:rsidP="00932AE2"/>
    <w:p w:rsidR="00C033CF" w:rsidRDefault="00C033CF" w:rsidP="0055598C">
      <w:pPr>
        <w:pStyle w:val="AppendixAHeading4"/>
      </w:pPr>
      <w:r>
        <w:t>Project Files Review</w:t>
      </w:r>
    </w:p>
    <w:p w:rsidR="00C033CF" w:rsidRDefault="00C033CF" w:rsidP="00C033CF">
      <w:pPr>
        <w:rPr>
          <w:color w:val="000000"/>
        </w:rPr>
      </w:pPr>
      <w:r w:rsidRPr="006E6583">
        <w:rPr>
          <w:color w:val="000000"/>
        </w:rPr>
        <w:t>The SWE Team review of non-residential projects completed by Duquesne in PY7 was done using project documentation files that Duquesne uploaded to the SWE Team SharePoint site quarterly. These files included project-level savings calculation workbooks, equipment invoices, customer incentive agreements, and post-inspection forms. The SWE Team reviewed 11 of the sample projects submitted, which included interior and exterior lighting retrofits, VFDs, industrial process improvements, and efficient chillers.</w:t>
      </w:r>
    </w:p>
    <w:p w:rsidR="00AE303A" w:rsidRDefault="00AE303A" w:rsidP="00C033CF">
      <w:pPr>
        <w:rPr>
          <w:color w:val="000000"/>
        </w:rPr>
      </w:pPr>
    </w:p>
    <w:p w:rsidR="00AE303A" w:rsidRDefault="00AE303A" w:rsidP="00C033CF">
      <w:pPr>
        <w:rPr>
          <w:color w:val="000000"/>
        </w:rPr>
      </w:pPr>
      <w:r>
        <w:rPr>
          <w:color w:val="000000"/>
        </w:rPr>
        <w:fldChar w:fldCharType="begin"/>
      </w:r>
      <w:r>
        <w:rPr>
          <w:color w:val="000000"/>
        </w:rPr>
        <w:instrText xml:space="preserve"> REF _Ref472462508 \h </w:instrText>
      </w:r>
      <w:r>
        <w:rPr>
          <w:color w:val="000000"/>
        </w:rPr>
      </w:r>
      <w:r>
        <w:rPr>
          <w:color w:val="000000"/>
        </w:rPr>
        <w:fldChar w:fldCharType="separate"/>
      </w:r>
      <w:r w:rsidR="00037CB4">
        <w:t>Table A-</w:t>
      </w:r>
      <w:r w:rsidR="00037CB4">
        <w:rPr>
          <w:noProof/>
        </w:rPr>
        <w:t>11</w:t>
      </w:r>
      <w:r>
        <w:rPr>
          <w:color w:val="000000"/>
        </w:rPr>
        <w:fldChar w:fldCharType="end"/>
      </w:r>
      <w:r>
        <w:rPr>
          <w:color w:val="000000"/>
        </w:rPr>
        <w:t xml:space="preserve"> </w:t>
      </w:r>
      <w:r w:rsidRPr="006E6583">
        <w:rPr>
          <w:color w:val="000000"/>
        </w:rPr>
        <w:t xml:space="preserve">presents an overview of the projects that were reviewed by the SWE </w:t>
      </w:r>
      <w:r>
        <w:rPr>
          <w:color w:val="000000"/>
        </w:rPr>
        <w:t xml:space="preserve">Team </w:t>
      </w:r>
      <w:r w:rsidRPr="006E6583">
        <w:rPr>
          <w:color w:val="000000"/>
        </w:rPr>
        <w:t>and the findings</w:t>
      </w:r>
      <w:r>
        <w:rPr>
          <w:color w:val="000000"/>
        </w:rPr>
        <w:t>.</w:t>
      </w:r>
    </w:p>
    <w:p w:rsidR="00AE303A" w:rsidRDefault="00AE303A" w:rsidP="00C033CF">
      <w:pPr>
        <w:rPr>
          <w:color w:val="000000"/>
        </w:rPr>
        <w:sectPr w:rsidR="00AE303A" w:rsidSect="0055598C">
          <w:type w:val="continuous"/>
          <w:pgSz w:w="12240" w:h="15840"/>
          <w:pgMar w:top="1440" w:right="1440" w:bottom="1440" w:left="1440" w:header="720" w:footer="288" w:gutter="0"/>
          <w:cols w:space="720"/>
          <w:titlePg/>
          <w:docGrid w:linePitch="360"/>
        </w:sectPr>
      </w:pPr>
    </w:p>
    <w:p w:rsidR="00AE303A" w:rsidRDefault="00AE303A" w:rsidP="004837FA">
      <w:pPr>
        <w:pStyle w:val="Caption"/>
      </w:pPr>
      <w:bookmarkStart w:id="550" w:name="_Ref472462508"/>
      <w:bookmarkStart w:id="551" w:name="_Toc472472420"/>
      <w:bookmarkStart w:id="552" w:name="_Toc488741839"/>
      <w:r>
        <w:t>Table A-</w:t>
      </w:r>
      <w:r w:rsidR="007973A4">
        <w:fldChar w:fldCharType="begin"/>
      </w:r>
      <w:r w:rsidR="007973A4">
        <w:instrText xml:space="preserve"> SEQ Table_A- \* ARABIC </w:instrText>
      </w:r>
      <w:r w:rsidR="007973A4">
        <w:fldChar w:fldCharType="separate"/>
      </w:r>
      <w:r w:rsidR="00037CB4">
        <w:rPr>
          <w:noProof/>
        </w:rPr>
        <w:t>11</w:t>
      </w:r>
      <w:r w:rsidR="007973A4">
        <w:rPr>
          <w:noProof/>
        </w:rPr>
        <w:fldChar w:fldCharType="end"/>
      </w:r>
      <w:bookmarkEnd w:id="550"/>
      <w:r>
        <w:t>: Duquesne PY7 Project File Review Summary</w:t>
      </w:r>
      <w:bookmarkEnd w:id="551"/>
      <w:bookmarkEnd w:id="552"/>
    </w:p>
    <w:tbl>
      <w:tblPr>
        <w:tblStyle w:val="AnnualReportTableStyle"/>
        <w:tblW w:w="13045" w:type="dxa"/>
        <w:tblLook w:val="04A0" w:firstRow="1" w:lastRow="0" w:firstColumn="1" w:lastColumn="0" w:noHBand="0" w:noVBand="1"/>
      </w:tblPr>
      <w:tblGrid>
        <w:gridCol w:w="1737"/>
        <w:gridCol w:w="1190"/>
        <w:gridCol w:w="2288"/>
        <w:gridCol w:w="1021"/>
        <w:gridCol w:w="990"/>
        <w:gridCol w:w="1440"/>
        <w:gridCol w:w="1252"/>
        <w:gridCol w:w="1377"/>
        <w:gridCol w:w="1750"/>
      </w:tblGrid>
      <w:tr w:rsidR="00A874AC" w:rsidRPr="00F17578" w:rsidTr="00F17578">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737" w:type="dxa"/>
            <w:noWrap/>
            <w:vAlign w:val="bottom"/>
            <w:hideMark/>
          </w:tcPr>
          <w:p w:rsidR="00AE303A" w:rsidRPr="00F17578" w:rsidRDefault="00AE303A" w:rsidP="00380FF9">
            <w:pPr>
              <w:rPr>
                <w:b w:val="0"/>
                <w:bCs/>
                <w:sz w:val="19"/>
                <w:szCs w:val="19"/>
              </w:rPr>
            </w:pPr>
            <w:r w:rsidRPr="00F17578">
              <w:rPr>
                <w:bCs/>
                <w:sz w:val="19"/>
                <w:szCs w:val="19"/>
              </w:rPr>
              <w:t>Project Number</w:t>
            </w:r>
          </w:p>
        </w:tc>
        <w:tc>
          <w:tcPr>
            <w:tcW w:w="1190" w:type="dxa"/>
            <w:noWrap/>
            <w:vAlign w:val="bottom"/>
            <w:hideMark/>
          </w:tcPr>
          <w:p w:rsidR="00AE303A" w:rsidRPr="00F17578" w:rsidRDefault="00C21C45"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17578">
              <w:rPr>
                <w:bCs/>
                <w:sz w:val="19"/>
                <w:szCs w:val="19"/>
              </w:rPr>
              <w:t>Sector</w:t>
            </w:r>
          </w:p>
        </w:tc>
        <w:tc>
          <w:tcPr>
            <w:tcW w:w="2288" w:type="dxa"/>
            <w:vAlign w:val="bottom"/>
            <w:hideMark/>
          </w:tcPr>
          <w:p w:rsidR="00AE303A" w:rsidRPr="00F17578"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17578">
              <w:rPr>
                <w:bCs/>
                <w:sz w:val="19"/>
                <w:szCs w:val="19"/>
              </w:rPr>
              <w:t>Project Description</w:t>
            </w:r>
          </w:p>
        </w:tc>
        <w:tc>
          <w:tcPr>
            <w:tcW w:w="1021" w:type="dxa"/>
            <w:vAlign w:val="bottom"/>
            <w:hideMark/>
          </w:tcPr>
          <w:p w:rsidR="00AE303A" w:rsidRPr="00F17578"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17578">
              <w:rPr>
                <w:bCs/>
                <w:sz w:val="19"/>
                <w:szCs w:val="19"/>
              </w:rPr>
              <w:t>Are all files included?</w:t>
            </w:r>
          </w:p>
        </w:tc>
        <w:tc>
          <w:tcPr>
            <w:tcW w:w="990" w:type="dxa"/>
            <w:vAlign w:val="bottom"/>
            <w:hideMark/>
          </w:tcPr>
          <w:p w:rsidR="00AE303A" w:rsidRPr="00F17578"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17578">
              <w:rPr>
                <w:bCs/>
                <w:sz w:val="19"/>
                <w:szCs w:val="19"/>
              </w:rPr>
              <w:t>Do values match program tracking data?</w:t>
            </w:r>
          </w:p>
        </w:tc>
        <w:tc>
          <w:tcPr>
            <w:tcW w:w="1440" w:type="dxa"/>
            <w:vAlign w:val="bottom"/>
            <w:hideMark/>
          </w:tcPr>
          <w:p w:rsidR="00AE303A" w:rsidRPr="00F17578"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17578">
              <w:rPr>
                <w:bCs/>
                <w:sz w:val="19"/>
                <w:szCs w:val="19"/>
              </w:rPr>
              <w:t>Equipment discrepancy between invoices and calculations?</w:t>
            </w:r>
          </w:p>
        </w:tc>
        <w:tc>
          <w:tcPr>
            <w:tcW w:w="1252" w:type="dxa"/>
            <w:vAlign w:val="bottom"/>
            <w:hideMark/>
          </w:tcPr>
          <w:p w:rsidR="00AE303A" w:rsidRPr="00F17578"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17578">
              <w:rPr>
                <w:bCs/>
                <w:sz w:val="19"/>
                <w:szCs w:val="19"/>
              </w:rPr>
              <w:t>Sufficient info for SWE to follow?</w:t>
            </w:r>
          </w:p>
        </w:tc>
        <w:tc>
          <w:tcPr>
            <w:tcW w:w="1377" w:type="dxa"/>
            <w:vAlign w:val="bottom"/>
            <w:hideMark/>
          </w:tcPr>
          <w:p w:rsidR="00AE303A" w:rsidRPr="00F17578"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17578">
              <w:rPr>
                <w:bCs/>
                <w:sz w:val="19"/>
                <w:szCs w:val="19"/>
              </w:rPr>
              <w:t>For TRM measures, are correct algorithms and HOU values used?</w:t>
            </w:r>
          </w:p>
        </w:tc>
        <w:tc>
          <w:tcPr>
            <w:tcW w:w="1750" w:type="dxa"/>
            <w:vAlign w:val="bottom"/>
            <w:hideMark/>
          </w:tcPr>
          <w:p w:rsidR="00AE303A" w:rsidRPr="00F17578"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17578">
              <w:rPr>
                <w:bCs/>
                <w:sz w:val="19"/>
                <w:szCs w:val="19"/>
              </w:rPr>
              <w:t>For Custom measures, is the methodology clear and auditable? Is it a sensible approach?</w:t>
            </w:r>
          </w:p>
        </w:tc>
      </w:tr>
      <w:tr w:rsidR="00A874AC" w:rsidRPr="00F17578" w:rsidTr="00F1757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0479510921.16.01</w:t>
            </w:r>
          </w:p>
        </w:tc>
        <w:tc>
          <w:tcPr>
            <w:tcW w:w="11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Commercial</w:t>
            </w:r>
          </w:p>
        </w:tc>
        <w:tc>
          <w:tcPr>
            <w:tcW w:w="2288" w:type="dxa"/>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Lighting retrofit and delamping</w:t>
            </w:r>
          </w:p>
        </w:tc>
        <w:tc>
          <w:tcPr>
            <w:tcW w:w="1021"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9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75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N/A</w:t>
            </w:r>
          </w:p>
        </w:tc>
      </w:tr>
      <w:tr w:rsidR="00AE303A" w:rsidRPr="00F17578" w:rsidTr="00F17578">
        <w:trPr>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1348100890.20.01</w:t>
            </w:r>
          </w:p>
        </w:tc>
        <w:tc>
          <w:tcPr>
            <w:tcW w:w="119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Commercial</w:t>
            </w:r>
          </w:p>
        </w:tc>
        <w:tc>
          <w:tcPr>
            <w:tcW w:w="2288" w:type="dxa"/>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Lighting retrofit (LED)</w:t>
            </w:r>
          </w:p>
        </w:tc>
        <w:tc>
          <w:tcPr>
            <w:tcW w:w="1021"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990" w:type="dxa"/>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75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N/A</w:t>
            </w:r>
          </w:p>
        </w:tc>
      </w:tr>
      <w:tr w:rsidR="00A874AC" w:rsidRPr="00F17578" w:rsidTr="00F1757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2802720321.23.02</w:t>
            </w:r>
          </w:p>
        </w:tc>
        <w:tc>
          <w:tcPr>
            <w:tcW w:w="11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Industrial</w:t>
            </w:r>
          </w:p>
        </w:tc>
        <w:tc>
          <w:tcPr>
            <w:tcW w:w="2288" w:type="dxa"/>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Lighting retrofit</w:t>
            </w:r>
          </w:p>
        </w:tc>
        <w:tc>
          <w:tcPr>
            <w:tcW w:w="1021"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9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75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N/A</w:t>
            </w:r>
          </w:p>
        </w:tc>
      </w:tr>
      <w:tr w:rsidR="00AE303A" w:rsidRPr="00F17578" w:rsidTr="00F17578">
        <w:trPr>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 xml:space="preserve">5180200889.25.01 </w:t>
            </w:r>
          </w:p>
        </w:tc>
        <w:tc>
          <w:tcPr>
            <w:tcW w:w="119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Industrial</w:t>
            </w:r>
          </w:p>
        </w:tc>
        <w:tc>
          <w:tcPr>
            <w:tcW w:w="2288" w:type="dxa"/>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Lighting retrofit (outdoor MH to LED)</w:t>
            </w:r>
          </w:p>
        </w:tc>
        <w:tc>
          <w:tcPr>
            <w:tcW w:w="1021"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99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75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N/A</w:t>
            </w:r>
          </w:p>
        </w:tc>
      </w:tr>
      <w:tr w:rsidR="00A874AC" w:rsidRPr="00F17578" w:rsidTr="00F1757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6000006806.26.07</w:t>
            </w:r>
          </w:p>
        </w:tc>
        <w:tc>
          <w:tcPr>
            <w:tcW w:w="11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Commercial</w:t>
            </w:r>
          </w:p>
        </w:tc>
        <w:tc>
          <w:tcPr>
            <w:tcW w:w="2288" w:type="dxa"/>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Custom (2 centrifugal chiller retrofit, pump VFDs, and cooling tower fan VFDs)</w:t>
            </w:r>
          </w:p>
        </w:tc>
        <w:tc>
          <w:tcPr>
            <w:tcW w:w="1021"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990" w:type="dxa"/>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N/A</w:t>
            </w:r>
          </w:p>
        </w:tc>
        <w:tc>
          <w:tcPr>
            <w:tcW w:w="175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r>
      <w:tr w:rsidR="00AE303A" w:rsidRPr="00F17578" w:rsidTr="00F17578">
        <w:trPr>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8094410797.23.03</w:t>
            </w:r>
          </w:p>
        </w:tc>
        <w:tc>
          <w:tcPr>
            <w:tcW w:w="119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Industrial</w:t>
            </w:r>
          </w:p>
        </w:tc>
        <w:tc>
          <w:tcPr>
            <w:tcW w:w="2288" w:type="dxa"/>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Lighting retrofit (outdoor MH to LED)</w:t>
            </w:r>
          </w:p>
        </w:tc>
        <w:tc>
          <w:tcPr>
            <w:tcW w:w="1021"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99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75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N/A</w:t>
            </w:r>
          </w:p>
        </w:tc>
      </w:tr>
      <w:tr w:rsidR="00A874AC" w:rsidRPr="00F17578" w:rsidTr="00F1757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0113630227.16.01</w:t>
            </w:r>
          </w:p>
        </w:tc>
        <w:tc>
          <w:tcPr>
            <w:tcW w:w="11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Commercial</w:t>
            </w:r>
          </w:p>
        </w:tc>
        <w:tc>
          <w:tcPr>
            <w:tcW w:w="2288" w:type="dxa"/>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Lighting retrofit (MH to T5)</w:t>
            </w:r>
          </w:p>
        </w:tc>
        <w:tc>
          <w:tcPr>
            <w:tcW w:w="1021"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9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75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N/A</w:t>
            </w:r>
          </w:p>
        </w:tc>
      </w:tr>
      <w:tr w:rsidR="00AE303A" w:rsidRPr="00F17578" w:rsidTr="00F17578">
        <w:trPr>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0490399186.18.01</w:t>
            </w:r>
          </w:p>
        </w:tc>
        <w:tc>
          <w:tcPr>
            <w:tcW w:w="119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Commercial</w:t>
            </w:r>
          </w:p>
        </w:tc>
        <w:tc>
          <w:tcPr>
            <w:tcW w:w="2288" w:type="dxa"/>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Lighting retrofit (inc. and hal. to LED)</w:t>
            </w:r>
          </w:p>
        </w:tc>
        <w:tc>
          <w:tcPr>
            <w:tcW w:w="1021"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99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75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N/A</w:t>
            </w:r>
          </w:p>
        </w:tc>
      </w:tr>
      <w:tr w:rsidR="00A874AC" w:rsidRPr="00F17578" w:rsidTr="00F1757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4630110635.23.01</w:t>
            </w:r>
          </w:p>
        </w:tc>
        <w:tc>
          <w:tcPr>
            <w:tcW w:w="11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Industrial</w:t>
            </w:r>
          </w:p>
        </w:tc>
        <w:tc>
          <w:tcPr>
            <w:tcW w:w="2288" w:type="dxa"/>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Lighting retrofit (inc. to LED)</w:t>
            </w:r>
          </w:p>
        </w:tc>
        <w:tc>
          <w:tcPr>
            <w:tcW w:w="1021"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9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75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N/A</w:t>
            </w:r>
          </w:p>
        </w:tc>
      </w:tr>
      <w:tr w:rsidR="00AE303A" w:rsidRPr="00F17578" w:rsidTr="00F17578">
        <w:trPr>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5443020177.16.01</w:t>
            </w:r>
          </w:p>
        </w:tc>
        <w:tc>
          <w:tcPr>
            <w:tcW w:w="119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Commercial</w:t>
            </w:r>
          </w:p>
        </w:tc>
        <w:tc>
          <w:tcPr>
            <w:tcW w:w="2288" w:type="dxa"/>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Lighting retrofit (MH to LED)</w:t>
            </w:r>
          </w:p>
        </w:tc>
        <w:tc>
          <w:tcPr>
            <w:tcW w:w="1021"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99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Yes</w:t>
            </w:r>
          </w:p>
        </w:tc>
        <w:tc>
          <w:tcPr>
            <w:tcW w:w="1750" w:type="dxa"/>
            <w:noWrap/>
            <w:hideMark/>
          </w:tcPr>
          <w:p w:rsidR="00AE303A" w:rsidRPr="00F17578"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F17578">
              <w:rPr>
                <w:color w:val="000000"/>
                <w:sz w:val="19"/>
                <w:szCs w:val="19"/>
              </w:rPr>
              <w:t>N/A</w:t>
            </w:r>
          </w:p>
        </w:tc>
      </w:tr>
      <w:tr w:rsidR="00A874AC" w:rsidRPr="00F17578" w:rsidTr="00F1757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F17578" w:rsidRDefault="00AE303A" w:rsidP="00380FF9">
            <w:pPr>
              <w:jc w:val="left"/>
              <w:rPr>
                <w:b w:val="0"/>
                <w:color w:val="000000"/>
                <w:sz w:val="19"/>
                <w:szCs w:val="19"/>
              </w:rPr>
            </w:pPr>
            <w:r w:rsidRPr="00F17578">
              <w:rPr>
                <w:b w:val="0"/>
                <w:color w:val="000000"/>
                <w:sz w:val="19"/>
                <w:szCs w:val="19"/>
              </w:rPr>
              <w:t>0332040586.24.19</w:t>
            </w:r>
          </w:p>
        </w:tc>
        <w:tc>
          <w:tcPr>
            <w:tcW w:w="119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Industrial</w:t>
            </w:r>
          </w:p>
        </w:tc>
        <w:tc>
          <w:tcPr>
            <w:tcW w:w="2288" w:type="dxa"/>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Custom (automated temperature control valves)</w:t>
            </w:r>
          </w:p>
        </w:tc>
        <w:tc>
          <w:tcPr>
            <w:tcW w:w="1021"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990" w:type="dxa"/>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44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No</w:t>
            </w:r>
          </w:p>
        </w:tc>
        <w:tc>
          <w:tcPr>
            <w:tcW w:w="1252"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c>
          <w:tcPr>
            <w:tcW w:w="1377"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N/A</w:t>
            </w:r>
          </w:p>
        </w:tc>
        <w:tc>
          <w:tcPr>
            <w:tcW w:w="1750" w:type="dxa"/>
            <w:noWrap/>
            <w:hideMark/>
          </w:tcPr>
          <w:p w:rsidR="00AE303A" w:rsidRPr="00F17578"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F17578">
              <w:rPr>
                <w:color w:val="000000"/>
                <w:sz w:val="19"/>
                <w:szCs w:val="19"/>
              </w:rPr>
              <w:t>Yes</w:t>
            </w:r>
          </w:p>
        </w:tc>
      </w:tr>
    </w:tbl>
    <w:p w:rsidR="00AE303A" w:rsidRPr="00AE303A" w:rsidRDefault="00AE303A" w:rsidP="00AE303A">
      <w:pPr>
        <w:sectPr w:rsidR="00AE303A" w:rsidRPr="00AE303A" w:rsidSect="005C3E63">
          <w:headerReference w:type="default" r:id="rId92"/>
          <w:footerReference w:type="default" r:id="rId93"/>
          <w:headerReference w:type="first" r:id="rId94"/>
          <w:footerReference w:type="first" r:id="rId95"/>
          <w:pgSz w:w="15840" w:h="12240" w:orient="landscape"/>
          <w:pgMar w:top="1440" w:right="1440" w:bottom="1440" w:left="1440" w:header="720" w:footer="288" w:gutter="0"/>
          <w:cols w:space="720"/>
          <w:titlePg/>
          <w:docGrid w:linePitch="360"/>
        </w:sectPr>
      </w:pPr>
    </w:p>
    <w:p w:rsidR="00AE303A" w:rsidRPr="006E6583" w:rsidRDefault="00AE303A" w:rsidP="00AE303A">
      <w:pPr>
        <w:rPr>
          <w:color w:val="000000"/>
        </w:rPr>
      </w:pPr>
      <w:r w:rsidRPr="006E6583">
        <w:rPr>
          <w:color w:val="000000"/>
        </w:rPr>
        <w:t xml:space="preserve">In PY6 the SWE Team review of Duquesne’s project files was almost seamless, identifying only minimal inconsistencies across documentation, and only two issues detrimental to the SWE Team’s understanding of the projects. Project files were found to be conclusive and organized, with few exceptions. In PY7 this continued, with no issues discovered in the course of the project file reviews. At this time, the SWE Team only requests that the clarity and orderliness of project files </w:t>
      </w:r>
      <w:r>
        <w:rPr>
          <w:color w:val="000000"/>
        </w:rPr>
        <w:t>be</w:t>
      </w:r>
      <w:r w:rsidRPr="006E6583">
        <w:rPr>
          <w:color w:val="000000"/>
        </w:rPr>
        <w:t xml:space="preserve"> maintained going into Phase III.</w:t>
      </w:r>
    </w:p>
    <w:p w:rsidR="00AE303A" w:rsidRPr="006E6583" w:rsidRDefault="00AE303A" w:rsidP="00AE303A"/>
    <w:p w:rsidR="00AE303A" w:rsidRPr="006E6583" w:rsidRDefault="00AE303A" w:rsidP="0055598C">
      <w:pPr>
        <w:pStyle w:val="AppendixAHeading4"/>
        <w:rPr>
          <w:rFonts w:eastAsia="Calibri"/>
        </w:rPr>
      </w:pPr>
      <w:bookmarkStart w:id="553" w:name="_Toc408557467"/>
      <w:r w:rsidRPr="006E6583">
        <w:rPr>
          <w:rFonts w:eastAsia="Calibri"/>
        </w:rPr>
        <w:t>Sample Design Review</w:t>
      </w:r>
      <w:bookmarkEnd w:id="553"/>
    </w:p>
    <w:p w:rsidR="00AE303A" w:rsidRPr="006E6583" w:rsidRDefault="00AE303A" w:rsidP="00AE303A">
      <w:pPr>
        <w:spacing w:after="120"/>
      </w:pPr>
      <w:r w:rsidRPr="006E6583">
        <w:t>Duquesne’s PY7 annual report provided detailed information about the sample design for the PY7 gross impact evaluation of non-residential programs. Programs in the non-residential sector were divided into three groups: commercial, industrial, and GNI. GNI programs were separated from the commercial programs and formed a single evaluation group because their contribution to the non-residential sector’s savings was greater than 20% in PY</w:t>
      </w:r>
      <w:r w:rsidR="00030A16">
        <w:t>6</w:t>
      </w:r>
      <w:r w:rsidRPr="006E6583">
        <w:t>. This approach is aligned with the guidance in the Evaluation Framework.</w:t>
      </w:r>
      <w:r w:rsidRPr="006E6583">
        <w:rPr>
          <w:rFonts w:cs="Calibri"/>
        </w:rPr>
        <w:t xml:space="preserve"> The Small Commercial Direct Install Program and the MFHR Program were new in PY6 and were sampled separately to ensure </w:t>
      </w:r>
      <w:r>
        <w:rPr>
          <w:rFonts w:cs="Calibri"/>
        </w:rPr>
        <w:t xml:space="preserve">that </w:t>
      </w:r>
      <w:r w:rsidRPr="006E6583">
        <w:rPr>
          <w:rFonts w:cs="Calibri"/>
        </w:rPr>
        <w:t>their realization rates weren’t too dissimilar from the rest of the Commercial Program Group. This was verified as true in PY6</w:t>
      </w:r>
      <w:r w:rsidR="00C21C45">
        <w:rPr>
          <w:rFonts w:cs="Calibri"/>
        </w:rPr>
        <w:t>;</w:t>
      </w:r>
      <w:r w:rsidRPr="006E6583">
        <w:rPr>
          <w:rFonts w:cs="Calibri"/>
        </w:rPr>
        <w:t xml:space="preserve"> thus for PY7 these programs are included in the Commercial and GNI Program </w:t>
      </w:r>
      <w:r>
        <w:rPr>
          <w:rFonts w:cs="Calibri"/>
        </w:rPr>
        <w:t>g</w:t>
      </w:r>
      <w:r w:rsidRPr="006E6583">
        <w:rPr>
          <w:rFonts w:cs="Calibri"/>
        </w:rPr>
        <w:t xml:space="preserve">roups as appropriate. </w:t>
      </w:r>
      <w:r w:rsidRPr="006E6583">
        <w:t>Duquesne’s evaluation contractor addressed three main evaluation groups for the non-residential sector’s gross impact evaluation:</w:t>
      </w:r>
    </w:p>
    <w:p w:rsidR="00AE303A" w:rsidRPr="00554E00" w:rsidRDefault="00AE303A" w:rsidP="00E646C9">
      <w:pPr>
        <w:pStyle w:val="ListParagraph"/>
        <w:numPr>
          <w:ilvl w:val="0"/>
          <w:numId w:val="31"/>
        </w:numPr>
        <w:ind w:left="360"/>
      </w:pPr>
      <w:r w:rsidRPr="00554E00">
        <w:t>Commercial Program Group</w:t>
      </w:r>
    </w:p>
    <w:p w:rsidR="00AE303A" w:rsidRPr="00554E00" w:rsidRDefault="00AE303A" w:rsidP="00E646C9">
      <w:pPr>
        <w:pStyle w:val="ListParagraph"/>
        <w:numPr>
          <w:ilvl w:val="0"/>
          <w:numId w:val="31"/>
        </w:numPr>
        <w:ind w:left="360"/>
      </w:pPr>
      <w:r w:rsidRPr="00554E00">
        <w:t>Industrial Program Group</w:t>
      </w:r>
    </w:p>
    <w:p w:rsidR="00AE303A" w:rsidRPr="00554E00" w:rsidRDefault="00AE303A" w:rsidP="00E646C9">
      <w:pPr>
        <w:pStyle w:val="ListParagraph"/>
        <w:numPr>
          <w:ilvl w:val="0"/>
          <w:numId w:val="31"/>
        </w:numPr>
        <w:ind w:left="360"/>
      </w:pPr>
      <w:r w:rsidRPr="00554E00">
        <w:t>GNI Program Group</w:t>
      </w:r>
    </w:p>
    <w:p w:rsidR="00AE303A" w:rsidRDefault="00AE303A" w:rsidP="00AE303A"/>
    <w:p w:rsidR="00AE303A" w:rsidRPr="006E6583" w:rsidRDefault="00AE303A" w:rsidP="00AE303A">
      <w:r w:rsidRPr="006E6583">
        <w:t>Duquesne’s targeted level of precision for each of the three evaluation groups was ±15% at the 85% confidence level. The SWE Team reviewed this approach and determined that it was appropriate and met the minimum annual confidence</w:t>
      </w:r>
      <w:r>
        <w:t>/</w:t>
      </w:r>
      <w:r w:rsidRPr="006E6583">
        <w:t>precision level requirement in the Evaluation Framework.</w:t>
      </w:r>
    </w:p>
    <w:p w:rsidR="00AE303A" w:rsidRPr="006E6583" w:rsidRDefault="00AE303A" w:rsidP="00AE303A">
      <w:pPr>
        <w:rPr>
          <w:b/>
          <w:i/>
        </w:rPr>
      </w:pPr>
    </w:p>
    <w:p w:rsidR="00AE303A" w:rsidRPr="008C7396" w:rsidRDefault="00AE303A" w:rsidP="008C7396">
      <w:pPr>
        <w:pStyle w:val="AppendixAHeading5"/>
      </w:pPr>
      <w:r w:rsidRPr="008C7396">
        <w:t>Commercial Program Group</w:t>
      </w:r>
    </w:p>
    <w:p w:rsidR="00AE303A" w:rsidRPr="006E6583" w:rsidRDefault="00AE303A" w:rsidP="00AE303A">
      <w:pPr>
        <w:autoSpaceDE w:val="0"/>
        <w:autoSpaceDN w:val="0"/>
        <w:adjustRightInd w:val="0"/>
        <w:rPr>
          <w:rFonts w:cs="Calibri"/>
        </w:rPr>
      </w:pPr>
      <w:r w:rsidRPr="006E6583">
        <w:t>The Commercial Program Group includes an overall umbrella program and six market-segment programs: Office, Public Agency, Retail, Healthcare,</w:t>
      </w:r>
      <w:r w:rsidRPr="006E6583">
        <w:rPr>
          <w:rFonts w:cs="Calibri"/>
        </w:rPr>
        <w:t xml:space="preserve"> Small Commercial Direct Install Program, and the MFHR Program.</w:t>
      </w:r>
      <w:r w:rsidRPr="006E6583">
        <w:t xml:space="preserve"> The stratification was based on a project’s level of ex ante energy savings (kWh), and a simple random sample was selected from each stratum. Duquesne’s PY7 commercial-sector sampling strategy is shown in </w:t>
      </w:r>
      <w:r>
        <w:fldChar w:fldCharType="begin"/>
      </w:r>
      <w:r>
        <w:instrText xml:space="preserve"> REF _Ref472462626 \h </w:instrText>
      </w:r>
      <w:r>
        <w:fldChar w:fldCharType="separate"/>
      </w:r>
      <w:r w:rsidR="00037CB4">
        <w:t>Table A-</w:t>
      </w:r>
      <w:r w:rsidR="00037CB4">
        <w:rPr>
          <w:noProof/>
        </w:rPr>
        <w:t>12</w:t>
      </w:r>
      <w:r>
        <w:fldChar w:fldCharType="end"/>
      </w:r>
      <w:r w:rsidRPr="006E6583">
        <w:t>.</w:t>
      </w:r>
    </w:p>
    <w:p w:rsidR="00AE303A" w:rsidRPr="006E6583" w:rsidRDefault="00AE303A" w:rsidP="00AE303A"/>
    <w:p w:rsidR="00AE303A" w:rsidRPr="006E6583" w:rsidRDefault="00AE303A" w:rsidP="004837FA">
      <w:pPr>
        <w:pStyle w:val="Caption"/>
      </w:pPr>
      <w:bookmarkStart w:id="554" w:name="_Ref472462626"/>
      <w:bookmarkStart w:id="555" w:name="_Toc410199377"/>
      <w:bookmarkStart w:id="556" w:name="_Toc431462322"/>
      <w:bookmarkStart w:id="557" w:name="_Toc444269838"/>
      <w:bookmarkStart w:id="558" w:name="_Toc472472421"/>
      <w:bookmarkStart w:id="559" w:name="_Toc488741840"/>
      <w:r>
        <w:t>Table A-</w:t>
      </w:r>
      <w:r w:rsidR="007973A4">
        <w:fldChar w:fldCharType="begin"/>
      </w:r>
      <w:r w:rsidR="007973A4">
        <w:instrText xml:space="preserve"> SEQ Table_A- \* ARABIC </w:instrText>
      </w:r>
      <w:r w:rsidR="007973A4">
        <w:fldChar w:fldCharType="separate"/>
      </w:r>
      <w:r w:rsidR="00037CB4">
        <w:rPr>
          <w:noProof/>
        </w:rPr>
        <w:t>12</w:t>
      </w:r>
      <w:r w:rsidR="007973A4">
        <w:rPr>
          <w:noProof/>
        </w:rPr>
        <w:fldChar w:fldCharType="end"/>
      </w:r>
      <w:bookmarkEnd w:id="554"/>
      <w:r>
        <w:t xml:space="preserve">: </w:t>
      </w:r>
      <w:r w:rsidRPr="006E6583">
        <w:t>Duquesne’s PY7 Sampling Strategy – Commercial Program Group</w:t>
      </w:r>
      <w:bookmarkEnd w:id="555"/>
      <w:bookmarkEnd w:id="556"/>
      <w:bookmarkEnd w:id="557"/>
      <w:bookmarkEnd w:id="558"/>
      <w:bookmarkEnd w:id="559"/>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800"/>
        <w:gridCol w:w="1669"/>
        <w:gridCol w:w="1670"/>
        <w:gridCol w:w="1669"/>
        <w:gridCol w:w="1552"/>
      </w:tblGrid>
      <w:tr w:rsidR="00A874AC" w:rsidRPr="00F17578" w:rsidTr="00F17578">
        <w:trPr>
          <w:trHeight w:val="20"/>
        </w:trPr>
        <w:tc>
          <w:tcPr>
            <w:tcW w:w="2800" w:type="dxa"/>
            <w:shd w:val="clear" w:color="auto" w:fill="448A99"/>
            <w:vAlign w:val="bottom"/>
            <w:hideMark/>
          </w:tcPr>
          <w:p w:rsidR="00AE303A" w:rsidRPr="00F17578" w:rsidRDefault="00AE303A" w:rsidP="00380FF9">
            <w:pPr>
              <w:jc w:val="left"/>
              <w:rPr>
                <w:b/>
                <w:bCs/>
                <w:color w:val="FFFFFF"/>
                <w:sz w:val="19"/>
                <w:szCs w:val="19"/>
              </w:rPr>
            </w:pPr>
            <w:r w:rsidRPr="00F17578">
              <w:rPr>
                <w:b/>
                <w:bCs/>
                <w:color w:val="FFFFFF"/>
                <w:sz w:val="19"/>
                <w:szCs w:val="19"/>
              </w:rPr>
              <w:t>Stratum</w:t>
            </w:r>
          </w:p>
        </w:tc>
        <w:tc>
          <w:tcPr>
            <w:tcW w:w="166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Population</w:t>
            </w:r>
          </w:p>
        </w:tc>
        <w:tc>
          <w:tcPr>
            <w:tcW w:w="1670"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Target Levels of Confidence &amp; Precision</w:t>
            </w:r>
          </w:p>
        </w:tc>
        <w:tc>
          <w:tcPr>
            <w:tcW w:w="166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Target Sample Size</w:t>
            </w:r>
          </w:p>
        </w:tc>
        <w:tc>
          <w:tcPr>
            <w:tcW w:w="1552"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Achieved Sample Size</w:t>
            </w:r>
          </w:p>
        </w:tc>
      </w:tr>
      <w:tr w:rsidR="00A874AC" w:rsidRPr="00F17578" w:rsidTr="004F3A51">
        <w:trPr>
          <w:trHeight w:val="288"/>
        </w:trPr>
        <w:tc>
          <w:tcPr>
            <w:tcW w:w="2800" w:type="dxa"/>
            <w:shd w:val="clear" w:color="auto" w:fill="D2EAF1"/>
          </w:tcPr>
          <w:p w:rsidR="00AE303A" w:rsidRPr="00F17578" w:rsidRDefault="00AE303A" w:rsidP="00380FF9">
            <w:pPr>
              <w:jc w:val="left"/>
              <w:rPr>
                <w:bCs/>
                <w:color w:val="000000"/>
                <w:sz w:val="19"/>
                <w:szCs w:val="19"/>
              </w:rPr>
            </w:pPr>
            <w:r w:rsidRPr="00F17578">
              <w:rPr>
                <w:bCs/>
                <w:color w:val="000000"/>
                <w:sz w:val="19"/>
                <w:szCs w:val="19"/>
              </w:rPr>
              <w:t>Commercial – Large</w:t>
            </w:r>
          </w:p>
        </w:tc>
        <w:tc>
          <w:tcPr>
            <w:tcW w:w="1669" w:type="dxa"/>
            <w:shd w:val="clear" w:color="auto" w:fill="D2EAF1"/>
            <w:noWrap/>
          </w:tcPr>
          <w:p w:rsidR="00AE303A" w:rsidRPr="00F17578" w:rsidRDefault="00AE303A" w:rsidP="00380FF9">
            <w:pPr>
              <w:jc w:val="center"/>
              <w:rPr>
                <w:color w:val="000000"/>
                <w:sz w:val="19"/>
                <w:szCs w:val="19"/>
              </w:rPr>
            </w:pPr>
            <w:r w:rsidRPr="00F17578">
              <w:rPr>
                <w:rFonts w:eastAsiaTheme="minorHAnsi" w:cs="Calibri"/>
                <w:sz w:val="19"/>
                <w:szCs w:val="19"/>
              </w:rPr>
              <w:t>1</w:t>
            </w:r>
          </w:p>
        </w:tc>
        <w:tc>
          <w:tcPr>
            <w:tcW w:w="1670" w:type="dxa"/>
            <w:shd w:val="clear" w:color="auto" w:fill="D2EAF1"/>
            <w:noWrap/>
          </w:tcPr>
          <w:p w:rsidR="00AE303A" w:rsidRPr="00F17578" w:rsidRDefault="00AE303A" w:rsidP="00380FF9">
            <w:pPr>
              <w:jc w:val="center"/>
              <w:rPr>
                <w:sz w:val="19"/>
                <w:szCs w:val="19"/>
              </w:rPr>
            </w:pPr>
            <w:r w:rsidRPr="00F17578">
              <w:rPr>
                <w:sz w:val="19"/>
                <w:szCs w:val="19"/>
              </w:rPr>
              <w:t>85%/15%</w:t>
            </w:r>
          </w:p>
        </w:tc>
        <w:tc>
          <w:tcPr>
            <w:tcW w:w="1669" w:type="dxa"/>
            <w:shd w:val="clear" w:color="auto" w:fill="D2EAF1"/>
            <w:noWrap/>
          </w:tcPr>
          <w:p w:rsidR="00AE303A" w:rsidRPr="00F17578" w:rsidRDefault="00AE303A" w:rsidP="00380FF9">
            <w:pPr>
              <w:jc w:val="center"/>
              <w:rPr>
                <w:sz w:val="19"/>
                <w:szCs w:val="19"/>
              </w:rPr>
            </w:pPr>
            <w:r w:rsidRPr="00F17578">
              <w:rPr>
                <w:sz w:val="19"/>
                <w:szCs w:val="19"/>
              </w:rPr>
              <w:t>1</w:t>
            </w:r>
          </w:p>
        </w:tc>
        <w:tc>
          <w:tcPr>
            <w:tcW w:w="1552" w:type="dxa"/>
            <w:shd w:val="clear" w:color="auto" w:fill="D2EAF1"/>
            <w:noWrap/>
          </w:tcPr>
          <w:p w:rsidR="00AE303A" w:rsidRPr="00F17578" w:rsidRDefault="00AE303A" w:rsidP="00380FF9">
            <w:pPr>
              <w:jc w:val="center"/>
              <w:rPr>
                <w:sz w:val="19"/>
                <w:szCs w:val="19"/>
              </w:rPr>
            </w:pPr>
            <w:r w:rsidRPr="00F17578">
              <w:rPr>
                <w:sz w:val="19"/>
                <w:szCs w:val="19"/>
              </w:rPr>
              <w:t>1</w:t>
            </w:r>
          </w:p>
        </w:tc>
      </w:tr>
      <w:tr w:rsidR="00E7173E" w:rsidRPr="00F17578" w:rsidTr="004F3A51">
        <w:trPr>
          <w:trHeight w:val="288"/>
        </w:trPr>
        <w:tc>
          <w:tcPr>
            <w:tcW w:w="2800" w:type="dxa"/>
            <w:shd w:val="clear" w:color="auto" w:fill="auto"/>
          </w:tcPr>
          <w:p w:rsidR="00AE303A" w:rsidRPr="00F17578" w:rsidRDefault="00AE303A" w:rsidP="00380FF9">
            <w:pPr>
              <w:jc w:val="left"/>
              <w:rPr>
                <w:bCs/>
                <w:color w:val="000000"/>
                <w:sz w:val="19"/>
                <w:szCs w:val="19"/>
              </w:rPr>
            </w:pPr>
            <w:r w:rsidRPr="00F17578">
              <w:rPr>
                <w:bCs/>
                <w:color w:val="000000"/>
                <w:sz w:val="19"/>
                <w:szCs w:val="19"/>
              </w:rPr>
              <w:t>Commercial – Medium</w:t>
            </w:r>
          </w:p>
        </w:tc>
        <w:tc>
          <w:tcPr>
            <w:tcW w:w="1669" w:type="dxa"/>
            <w:shd w:val="clear" w:color="auto" w:fill="auto"/>
            <w:noWrap/>
          </w:tcPr>
          <w:p w:rsidR="00AE303A" w:rsidRPr="00F17578" w:rsidRDefault="00AE303A" w:rsidP="00380FF9">
            <w:pPr>
              <w:jc w:val="center"/>
              <w:rPr>
                <w:sz w:val="19"/>
                <w:szCs w:val="19"/>
              </w:rPr>
            </w:pPr>
            <w:r w:rsidRPr="00F17578">
              <w:rPr>
                <w:rFonts w:eastAsiaTheme="minorHAnsi" w:cs="Calibri"/>
                <w:sz w:val="19"/>
                <w:szCs w:val="19"/>
              </w:rPr>
              <w:t>17</w:t>
            </w:r>
          </w:p>
        </w:tc>
        <w:tc>
          <w:tcPr>
            <w:tcW w:w="1670" w:type="dxa"/>
            <w:shd w:val="clear" w:color="auto" w:fill="auto"/>
            <w:noWrap/>
          </w:tcPr>
          <w:p w:rsidR="00AE303A" w:rsidRPr="00F17578" w:rsidRDefault="00AE303A" w:rsidP="00380FF9">
            <w:pPr>
              <w:jc w:val="center"/>
              <w:rPr>
                <w:sz w:val="19"/>
                <w:szCs w:val="19"/>
              </w:rPr>
            </w:pPr>
            <w:r w:rsidRPr="00F17578">
              <w:rPr>
                <w:sz w:val="19"/>
                <w:szCs w:val="19"/>
              </w:rPr>
              <w:t>85%/15%</w:t>
            </w:r>
          </w:p>
        </w:tc>
        <w:tc>
          <w:tcPr>
            <w:tcW w:w="1669" w:type="dxa"/>
            <w:shd w:val="clear" w:color="auto" w:fill="auto"/>
            <w:noWrap/>
          </w:tcPr>
          <w:p w:rsidR="00AE303A" w:rsidRPr="00F17578" w:rsidRDefault="00AE303A" w:rsidP="00380FF9">
            <w:pPr>
              <w:jc w:val="center"/>
              <w:rPr>
                <w:sz w:val="19"/>
                <w:szCs w:val="19"/>
              </w:rPr>
            </w:pPr>
            <w:r w:rsidRPr="00F17578">
              <w:rPr>
                <w:sz w:val="19"/>
                <w:szCs w:val="19"/>
              </w:rPr>
              <w:t>6</w:t>
            </w:r>
          </w:p>
        </w:tc>
        <w:tc>
          <w:tcPr>
            <w:tcW w:w="1552" w:type="dxa"/>
            <w:shd w:val="clear" w:color="auto" w:fill="auto"/>
            <w:noWrap/>
          </w:tcPr>
          <w:p w:rsidR="00AE303A" w:rsidRPr="00F17578" w:rsidRDefault="00AE303A" w:rsidP="00380FF9">
            <w:pPr>
              <w:jc w:val="center"/>
              <w:rPr>
                <w:sz w:val="19"/>
                <w:szCs w:val="19"/>
              </w:rPr>
            </w:pPr>
            <w:r w:rsidRPr="00F17578">
              <w:rPr>
                <w:sz w:val="19"/>
                <w:szCs w:val="19"/>
              </w:rPr>
              <w:t>6</w:t>
            </w:r>
          </w:p>
        </w:tc>
      </w:tr>
      <w:tr w:rsidR="00A874AC" w:rsidRPr="00F17578" w:rsidTr="004F3A51">
        <w:trPr>
          <w:trHeight w:val="288"/>
        </w:trPr>
        <w:tc>
          <w:tcPr>
            <w:tcW w:w="2800" w:type="dxa"/>
            <w:shd w:val="clear" w:color="auto" w:fill="D2EAF1"/>
          </w:tcPr>
          <w:p w:rsidR="00AE303A" w:rsidRPr="00F17578" w:rsidRDefault="00AE303A" w:rsidP="00380FF9">
            <w:pPr>
              <w:jc w:val="left"/>
              <w:rPr>
                <w:bCs/>
                <w:color w:val="000000"/>
                <w:sz w:val="19"/>
                <w:szCs w:val="19"/>
              </w:rPr>
            </w:pPr>
            <w:r w:rsidRPr="00F17578">
              <w:rPr>
                <w:bCs/>
                <w:color w:val="000000"/>
                <w:sz w:val="19"/>
                <w:szCs w:val="19"/>
              </w:rPr>
              <w:t>Commercial – Small</w:t>
            </w:r>
          </w:p>
        </w:tc>
        <w:tc>
          <w:tcPr>
            <w:tcW w:w="1669" w:type="dxa"/>
            <w:shd w:val="clear" w:color="auto" w:fill="D2EAF1"/>
            <w:noWrap/>
          </w:tcPr>
          <w:p w:rsidR="00AE303A" w:rsidRPr="00F17578" w:rsidRDefault="00AE303A" w:rsidP="00380FF9">
            <w:pPr>
              <w:jc w:val="center"/>
              <w:rPr>
                <w:sz w:val="19"/>
                <w:szCs w:val="19"/>
              </w:rPr>
            </w:pPr>
            <w:r w:rsidRPr="00F17578">
              <w:rPr>
                <w:rFonts w:eastAsiaTheme="minorHAnsi" w:cs="Calibri"/>
                <w:sz w:val="19"/>
                <w:szCs w:val="19"/>
              </w:rPr>
              <w:t>40</w:t>
            </w:r>
          </w:p>
        </w:tc>
        <w:tc>
          <w:tcPr>
            <w:tcW w:w="1670" w:type="dxa"/>
            <w:shd w:val="clear" w:color="auto" w:fill="D2EAF1"/>
            <w:noWrap/>
          </w:tcPr>
          <w:p w:rsidR="00AE303A" w:rsidRPr="00F17578" w:rsidRDefault="00AE303A" w:rsidP="00380FF9">
            <w:pPr>
              <w:jc w:val="center"/>
              <w:rPr>
                <w:sz w:val="19"/>
                <w:szCs w:val="19"/>
              </w:rPr>
            </w:pPr>
            <w:r w:rsidRPr="00F17578">
              <w:rPr>
                <w:sz w:val="19"/>
                <w:szCs w:val="19"/>
              </w:rPr>
              <w:t>85%/15%</w:t>
            </w:r>
          </w:p>
        </w:tc>
        <w:tc>
          <w:tcPr>
            <w:tcW w:w="1669" w:type="dxa"/>
            <w:shd w:val="clear" w:color="auto" w:fill="D2EAF1"/>
            <w:noWrap/>
          </w:tcPr>
          <w:p w:rsidR="00AE303A" w:rsidRPr="00F17578" w:rsidRDefault="00AE303A" w:rsidP="00380FF9">
            <w:pPr>
              <w:jc w:val="center"/>
              <w:rPr>
                <w:sz w:val="19"/>
                <w:szCs w:val="19"/>
              </w:rPr>
            </w:pPr>
            <w:r w:rsidRPr="00F17578">
              <w:rPr>
                <w:sz w:val="19"/>
                <w:szCs w:val="19"/>
              </w:rPr>
              <w:t>6</w:t>
            </w:r>
          </w:p>
        </w:tc>
        <w:tc>
          <w:tcPr>
            <w:tcW w:w="1552" w:type="dxa"/>
            <w:shd w:val="clear" w:color="auto" w:fill="D2EAF1"/>
            <w:noWrap/>
          </w:tcPr>
          <w:p w:rsidR="00AE303A" w:rsidRPr="00F17578" w:rsidRDefault="00AE303A" w:rsidP="00380FF9">
            <w:pPr>
              <w:jc w:val="center"/>
              <w:rPr>
                <w:sz w:val="19"/>
                <w:szCs w:val="19"/>
              </w:rPr>
            </w:pPr>
            <w:r w:rsidRPr="00F17578">
              <w:rPr>
                <w:sz w:val="19"/>
                <w:szCs w:val="19"/>
              </w:rPr>
              <w:t>3</w:t>
            </w:r>
          </w:p>
        </w:tc>
      </w:tr>
      <w:tr w:rsidR="00E7173E" w:rsidRPr="00F17578" w:rsidTr="004F3A51">
        <w:trPr>
          <w:trHeight w:val="288"/>
        </w:trPr>
        <w:tc>
          <w:tcPr>
            <w:tcW w:w="2800" w:type="dxa"/>
            <w:shd w:val="clear" w:color="auto" w:fill="auto"/>
            <w:vAlign w:val="center"/>
          </w:tcPr>
          <w:p w:rsidR="00AE303A" w:rsidRPr="00F17578" w:rsidRDefault="00AE303A" w:rsidP="00380FF9">
            <w:pPr>
              <w:jc w:val="left"/>
              <w:rPr>
                <w:b/>
                <w:bCs/>
                <w:color w:val="000000"/>
                <w:sz w:val="19"/>
                <w:szCs w:val="19"/>
              </w:rPr>
            </w:pPr>
            <w:r w:rsidRPr="00F17578">
              <w:rPr>
                <w:b/>
                <w:bCs/>
                <w:color w:val="000000"/>
                <w:sz w:val="19"/>
                <w:szCs w:val="19"/>
              </w:rPr>
              <w:t>Program Total</w:t>
            </w:r>
          </w:p>
        </w:tc>
        <w:tc>
          <w:tcPr>
            <w:tcW w:w="1669" w:type="dxa"/>
            <w:shd w:val="clear" w:color="auto" w:fill="auto"/>
            <w:noWrap/>
            <w:vAlign w:val="center"/>
          </w:tcPr>
          <w:p w:rsidR="00AE303A" w:rsidRPr="00F17578" w:rsidRDefault="00AE303A" w:rsidP="00380FF9">
            <w:pPr>
              <w:jc w:val="center"/>
              <w:rPr>
                <w:b/>
                <w:sz w:val="19"/>
                <w:szCs w:val="19"/>
              </w:rPr>
            </w:pPr>
            <w:r w:rsidRPr="00F17578">
              <w:rPr>
                <w:b/>
                <w:sz w:val="19"/>
                <w:szCs w:val="19"/>
              </w:rPr>
              <w:t>58</w:t>
            </w:r>
          </w:p>
        </w:tc>
        <w:tc>
          <w:tcPr>
            <w:tcW w:w="1670" w:type="dxa"/>
            <w:shd w:val="clear" w:color="auto" w:fill="auto"/>
            <w:noWrap/>
            <w:vAlign w:val="center"/>
          </w:tcPr>
          <w:p w:rsidR="00AE303A" w:rsidRPr="00F17578" w:rsidRDefault="00AE303A" w:rsidP="00380FF9">
            <w:pPr>
              <w:jc w:val="center"/>
              <w:rPr>
                <w:b/>
                <w:sz w:val="19"/>
                <w:szCs w:val="19"/>
              </w:rPr>
            </w:pPr>
            <w:r w:rsidRPr="00F17578">
              <w:rPr>
                <w:b/>
                <w:sz w:val="19"/>
                <w:szCs w:val="19"/>
              </w:rPr>
              <w:t>85%/15%</w:t>
            </w:r>
          </w:p>
        </w:tc>
        <w:tc>
          <w:tcPr>
            <w:tcW w:w="1669" w:type="dxa"/>
            <w:shd w:val="clear" w:color="auto" w:fill="auto"/>
            <w:noWrap/>
            <w:vAlign w:val="center"/>
          </w:tcPr>
          <w:p w:rsidR="00AE303A" w:rsidRPr="00F17578" w:rsidRDefault="00AE303A" w:rsidP="00380FF9">
            <w:pPr>
              <w:jc w:val="center"/>
              <w:rPr>
                <w:b/>
                <w:sz w:val="19"/>
                <w:szCs w:val="19"/>
              </w:rPr>
            </w:pPr>
            <w:r w:rsidRPr="00F17578">
              <w:rPr>
                <w:b/>
                <w:sz w:val="19"/>
                <w:szCs w:val="19"/>
              </w:rPr>
              <w:t>13</w:t>
            </w:r>
          </w:p>
        </w:tc>
        <w:tc>
          <w:tcPr>
            <w:tcW w:w="1552" w:type="dxa"/>
            <w:shd w:val="clear" w:color="auto" w:fill="auto"/>
            <w:noWrap/>
            <w:vAlign w:val="center"/>
          </w:tcPr>
          <w:p w:rsidR="00AE303A" w:rsidRPr="00F17578" w:rsidRDefault="00AE303A" w:rsidP="00380FF9">
            <w:pPr>
              <w:jc w:val="center"/>
              <w:rPr>
                <w:b/>
                <w:sz w:val="19"/>
                <w:szCs w:val="19"/>
              </w:rPr>
            </w:pPr>
            <w:r w:rsidRPr="00F17578">
              <w:rPr>
                <w:b/>
                <w:sz w:val="19"/>
                <w:szCs w:val="19"/>
              </w:rPr>
              <w:t>10</w:t>
            </w:r>
          </w:p>
        </w:tc>
      </w:tr>
    </w:tbl>
    <w:p w:rsidR="00AE303A" w:rsidRPr="006E6583" w:rsidRDefault="00AE303A" w:rsidP="00AE303A"/>
    <w:p w:rsidR="00AE303A" w:rsidRDefault="00AE303A" w:rsidP="00AE303A">
      <w:r w:rsidRPr="006E6583">
        <w:t xml:space="preserve">Duquesne’s evaluation contractor used a stratified ratio estimator calculated from the sample to adjust the ex ante energy and demand savings in Duquesne’s PMRS data-tracking system and to calculate ex post savings for the Commercial Program Group. The achieved precision values in </w:t>
      </w:r>
      <w:r>
        <w:fldChar w:fldCharType="begin"/>
      </w:r>
      <w:r>
        <w:instrText xml:space="preserve"> REF _Ref471722944 \h </w:instrText>
      </w:r>
      <w:r>
        <w:fldChar w:fldCharType="separate"/>
      </w:r>
      <w:r w:rsidR="00037CB4">
        <w:t>Table A-</w:t>
      </w:r>
      <w:r w:rsidR="00037CB4">
        <w:rPr>
          <w:noProof/>
        </w:rPr>
        <w:t>13</w:t>
      </w:r>
      <w:r>
        <w:fldChar w:fldCharType="end"/>
      </w:r>
      <w:r w:rsidRPr="006E6583">
        <w:t xml:space="preserve"> show that Duquesne met the 85%/15% confidence</w:t>
      </w:r>
      <w:r>
        <w:t>/</w:t>
      </w:r>
      <w:r w:rsidRPr="006E6583">
        <w:t>precision level for energy but not for peak demand. The Evaluation Framework requires that only ±15% precision be achieved for energy savings.</w:t>
      </w:r>
    </w:p>
    <w:p w:rsidR="00AE303A" w:rsidRPr="006E6583" w:rsidRDefault="00AE303A" w:rsidP="004837FA">
      <w:pPr>
        <w:pStyle w:val="Caption"/>
      </w:pPr>
      <w:bookmarkStart w:id="560" w:name="_Ref471722944"/>
      <w:bookmarkStart w:id="561" w:name="_Toc410199378"/>
      <w:bookmarkStart w:id="562" w:name="_Toc431462323"/>
      <w:bookmarkStart w:id="563" w:name="_Toc444269839"/>
      <w:bookmarkStart w:id="564" w:name="_Toc472472422"/>
      <w:bookmarkStart w:id="565" w:name="_Toc488741841"/>
      <w:r>
        <w:t>Table A-</w:t>
      </w:r>
      <w:r w:rsidR="007973A4">
        <w:fldChar w:fldCharType="begin"/>
      </w:r>
      <w:r w:rsidR="007973A4">
        <w:instrText xml:space="preserve"> SEQ Table_A- \* ARABIC </w:instrText>
      </w:r>
      <w:r w:rsidR="007973A4">
        <w:fldChar w:fldCharType="separate"/>
      </w:r>
      <w:r w:rsidR="00037CB4">
        <w:rPr>
          <w:noProof/>
        </w:rPr>
        <w:t>13</w:t>
      </w:r>
      <w:r w:rsidR="007973A4">
        <w:rPr>
          <w:noProof/>
        </w:rPr>
        <w:fldChar w:fldCharType="end"/>
      </w:r>
      <w:bookmarkEnd w:id="560"/>
      <w:r w:rsidRPr="006E6583">
        <w:t>:</w:t>
      </w:r>
      <w:r>
        <w:t xml:space="preserve"> </w:t>
      </w:r>
      <w:r w:rsidRPr="006E6583">
        <w:t>Observed Coefficients of Variation and Relative Precisions – Duquesne’s Commercial Program Group</w:t>
      </w:r>
      <w:bookmarkEnd w:id="561"/>
      <w:bookmarkEnd w:id="562"/>
      <w:bookmarkEnd w:id="563"/>
      <w:bookmarkEnd w:id="564"/>
      <w:bookmarkEnd w:id="565"/>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682"/>
        <w:gridCol w:w="1669"/>
        <w:gridCol w:w="1670"/>
        <w:gridCol w:w="1669"/>
        <w:gridCol w:w="1670"/>
      </w:tblGrid>
      <w:tr w:rsidR="00A874AC" w:rsidRPr="00F17578" w:rsidTr="00380FF9">
        <w:trPr>
          <w:trHeight w:val="20"/>
          <w:tblHeader/>
          <w:jc w:val="center"/>
        </w:trPr>
        <w:tc>
          <w:tcPr>
            <w:tcW w:w="2682" w:type="dxa"/>
            <w:shd w:val="clear" w:color="auto" w:fill="448A99"/>
            <w:vAlign w:val="bottom"/>
            <w:hideMark/>
          </w:tcPr>
          <w:p w:rsidR="00AE303A" w:rsidRPr="00F17578" w:rsidRDefault="00AE303A" w:rsidP="00380FF9">
            <w:pPr>
              <w:jc w:val="left"/>
              <w:rPr>
                <w:b/>
                <w:bCs/>
                <w:color w:val="FFFFFF"/>
                <w:sz w:val="19"/>
                <w:szCs w:val="19"/>
              </w:rPr>
            </w:pPr>
            <w:r w:rsidRPr="00F17578">
              <w:rPr>
                <w:b/>
                <w:bCs/>
                <w:color w:val="FFFFFF"/>
                <w:sz w:val="19"/>
                <w:szCs w:val="19"/>
              </w:rPr>
              <w:t>Stratum</w:t>
            </w:r>
          </w:p>
        </w:tc>
        <w:tc>
          <w:tcPr>
            <w:tcW w:w="166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Observed Coefficient of Variation (C</w:t>
            </w:r>
            <w:r w:rsidRPr="00F17578">
              <w:rPr>
                <w:b/>
                <w:bCs/>
                <w:color w:val="FFFFFF"/>
                <w:sz w:val="19"/>
                <w:szCs w:val="19"/>
                <w:vertAlign w:val="subscript"/>
              </w:rPr>
              <w:t>v</w:t>
            </w:r>
            <w:r w:rsidRPr="00F17578">
              <w:rPr>
                <w:b/>
                <w:bCs/>
                <w:color w:val="FFFFFF"/>
                <w:sz w:val="19"/>
                <w:szCs w:val="19"/>
              </w:rPr>
              <w:t>) or Proportion in Sample Design for Energy</w:t>
            </w:r>
          </w:p>
        </w:tc>
        <w:tc>
          <w:tcPr>
            <w:tcW w:w="1670"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Relative Precision at 85% C.L. for Energy</w:t>
            </w:r>
          </w:p>
        </w:tc>
        <w:tc>
          <w:tcPr>
            <w:tcW w:w="166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Observed Coefficient of Variation (C</w:t>
            </w:r>
            <w:r w:rsidRPr="00F17578">
              <w:rPr>
                <w:b/>
                <w:bCs/>
                <w:color w:val="FFFFFF"/>
                <w:sz w:val="19"/>
                <w:szCs w:val="19"/>
                <w:vertAlign w:val="subscript"/>
              </w:rPr>
              <w:t>v</w:t>
            </w:r>
            <w:r w:rsidRPr="00F17578">
              <w:rPr>
                <w:b/>
                <w:bCs/>
                <w:color w:val="FFFFFF"/>
                <w:sz w:val="19"/>
                <w:szCs w:val="19"/>
              </w:rPr>
              <w:t>) or Proportion in Sample Design for Demand</w:t>
            </w:r>
          </w:p>
        </w:tc>
        <w:tc>
          <w:tcPr>
            <w:tcW w:w="1670"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Relative Precision at 85% C.L. for Demand</w:t>
            </w:r>
          </w:p>
        </w:tc>
      </w:tr>
      <w:tr w:rsidR="00A874AC" w:rsidRPr="00F17578" w:rsidTr="004F3A51">
        <w:trPr>
          <w:trHeight w:val="288"/>
          <w:jc w:val="center"/>
        </w:trPr>
        <w:tc>
          <w:tcPr>
            <w:tcW w:w="2682" w:type="dxa"/>
            <w:shd w:val="clear" w:color="auto" w:fill="D2EAF1"/>
          </w:tcPr>
          <w:p w:rsidR="00AE303A" w:rsidRPr="00F17578" w:rsidRDefault="00AE303A" w:rsidP="00380FF9">
            <w:pPr>
              <w:jc w:val="left"/>
              <w:rPr>
                <w:bCs/>
                <w:color w:val="000000"/>
                <w:sz w:val="19"/>
                <w:szCs w:val="19"/>
              </w:rPr>
            </w:pPr>
            <w:r w:rsidRPr="00F17578">
              <w:rPr>
                <w:bCs/>
                <w:color w:val="000000"/>
                <w:sz w:val="19"/>
                <w:szCs w:val="19"/>
              </w:rPr>
              <w:t>Commercial – Large</w:t>
            </w:r>
          </w:p>
        </w:tc>
        <w:tc>
          <w:tcPr>
            <w:tcW w:w="1669" w:type="dxa"/>
            <w:shd w:val="clear" w:color="auto" w:fill="D2EAF1"/>
            <w:noWrap/>
          </w:tcPr>
          <w:p w:rsidR="00AE303A" w:rsidRPr="00F17578" w:rsidRDefault="00AE303A" w:rsidP="00380FF9">
            <w:pPr>
              <w:jc w:val="center"/>
              <w:rPr>
                <w:color w:val="000000"/>
                <w:sz w:val="19"/>
                <w:szCs w:val="19"/>
              </w:rPr>
            </w:pPr>
            <w:r w:rsidRPr="00F17578">
              <w:rPr>
                <w:rFonts w:eastAsiaTheme="minorHAnsi" w:cs="Calibri"/>
                <w:sz w:val="19"/>
                <w:szCs w:val="19"/>
              </w:rPr>
              <w:t>0.00</w:t>
            </w:r>
          </w:p>
        </w:tc>
        <w:tc>
          <w:tcPr>
            <w:tcW w:w="1670" w:type="dxa"/>
            <w:shd w:val="clear" w:color="auto" w:fill="D2EAF1"/>
            <w:noWrap/>
          </w:tcPr>
          <w:p w:rsidR="00AE303A" w:rsidRPr="00F17578" w:rsidRDefault="00AE303A" w:rsidP="00380FF9">
            <w:pPr>
              <w:jc w:val="center"/>
              <w:rPr>
                <w:sz w:val="19"/>
                <w:szCs w:val="19"/>
              </w:rPr>
            </w:pPr>
            <w:r w:rsidRPr="00F17578">
              <w:rPr>
                <w:sz w:val="19"/>
                <w:szCs w:val="19"/>
              </w:rPr>
              <w:t>0%</w:t>
            </w:r>
          </w:p>
        </w:tc>
        <w:tc>
          <w:tcPr>
            <w:tcW w:w="1669" w:type="dxa"/>
            <w:shd w:val="clear" w:color="auto" w:fill="D2EAF1"/>
            <w:noWrap/>
          </w:tcPr>
          <w:p w:rsidR="00AE303A" w:rsidRPr="00F17578" w:rsidRDefault="00AE303A" w:rsidP="00380FF9">
            <w:pPr>
              <w:jc w:val="center"/>
              <w:rPr>
                <w:sz w:val="19"/>
                <w:szCs w:val="19"/>
              </w:rPr>
            </w:pPr>
            <w:r w:rsidRPr="00F17578">
              <w:rPr>
                <w:sz w:val="19"/>
                <w:szCs w:val="19"/>
              </w:rPr>
              <w:t>N/A</w:t>
            </w:r>
          </w:p>
        </w:tc>
        <w:tc>
          <w:tcPr>
            <w:tcW w:w="1670" w:type="dxa"/>
            <w:shd w:val="clear" w:color="auto" w:fill="D2EAF1"/>
            <w:noWrap/>
          </w:tcPr>
          <w:p w:rsidR="00AE303A" w:rsidRPr="00F17578" w:rsidRDefault="00AE303A" w:rsidP="00380FF9">
            <w:pPr>
              <w:jc w:val="center"/>
              <w:rPr>
                <w:sz w:val="19"/>
                <w:szCs w:val="19"/>
              </w:rPr>
            </w:pPr>
            <w:r w:rsidRPr="00F17578">
              <w:rPr>
                <w:sz w:val="19"/>
                <w:szCs w:val="19"/>
              </w:rPr>
              <w:t>0%</w:t>
            </w:r>
          </w:p>
        </w:tc>
      </w:tr>
      <w:tr w:rsidR="00E7173E" w:rsidRPr="00F17578" w:rsidTr="004F3A51">
        <w:trPr>
          <w:trHeight w:val="288"/>
          <w:jc w:val="center"/>
        </w:trPr>
        <w:tc>
          <w:tcPr>
            <w:tcW w:w="2682" w:type="dxa"/>
            <w:shd w:val="clear" w:color="auto" w:fill="auto"/>
          </w:tcPr>
          <w:p w:rsidR="00AE303A" w:rsidRPr="00F17578" w:rsidRDefault="00AE303A" w:rsidP="00380FF9">
            <w:pPr>
              <w:jc w:val="left"/>
              <w:rPr>
                <w:bCs/>
                <w:color w:val="000000"/>
                <w:sz w:val="19"/>
                <w:szCs w:val="19"/>
              </w:rPr>
            </w:pPr>
            <w:r w:rsidRPr="00F17578">
              <w:rPr>
                <w:bCs/>
                <w:color w:val="000000"/>
                <w:sz w:val="19"/>
                <w:szCs w:val="19"/>
              </w:rPr>
              <w:t>Commercial – Medium</w:t>
            </w:r>
          </w:p>
        </w:tc>
        <w:tc>
          <w:tcPr>
            <w:tcW w:w="1669" w:type="dxa"/>
            <w:shd w:val="clear" w:color="auto" w:fill="auto"/>
            <w:noWrap/>
          </w:tcPr>
          <w:p w:rsidR="00AE303A" w:rsidRPr="00F17578" w:rsidRDefault="00AE303A" w:rsidP="00380FF9">
            <w:pPr>
              <w:jc w:val="center"/>
              <w:rPr>
                <w:sz w:val="19"/>
                <w:szCs w:val="19"/>
              </w:rPr>
            </w:pPr>
            <w:r w:rsidRPr="00F17578">
              <w:rPr>
                <w:rFonts w:eastAsiaTheme="minorHAnsi" w:cs="Calibri"/>
                <w:sz w:val="19"/>
                <w:szCs w:val="19"/>
              </w:rPr>
              <w:t>0.11</w:t>
            </w:r>
          </w:p>
        </w:tc>
        <w:tc>
          <w:tcPr>
            <w:tcW w:w="1670" w:type="dxa"/>
            <w:shd w:val="clear" w:color="auto" w:fill="auto"/>
            <w:noWrap/>
          </w:tcPr>
          <w:p w:rsidR="00AE303A" w:rsidRPr="00F17578" w:rsidRDefault="00AE303A" w:rsidP="00380FF9">
            <w:pPr>
              <w:jc w:val="center"/>
              <w:rPr>
                <w:sz w:val="19"/>
                <w:szCs w:val="19"/>
              </w:rPr>
            </w:pPr>
            <w:r w:rsidRPr="00F17578">
              <w:rPr>
                <w:sz w:val="19"/>
                <w:szCs w:val="19"/>
              </w:rPr>
              <w:t>6%</w:t>
            </w:r>
          </w:p>
        </w:tc>
        <w:tc>
          <w:tcPr>
            <w:tcW w:w="1669" w:type="dxa"/>
            <w:shd w:val="clear" w:color="auto" w:fill="auto"/>
            <w:noWrap/>
          </w:tcPr>
          <w:p w:rsidR="00AE303A" w:rsidRPr="00F17578" w:rsidRDefault="00AE303A" w:rsidP="00380FF9">
            <w:pPr>
              <w:jc w:val="center"/>
              <w:rPr>
                <w:sz w:val="19"/>
                <w:szCs w:val="19"/>
              </w:rPr>
            </w:pPr>
            <w:r w:rsidRPr="00F17578">
              <w:rPr>
                <w:sz w:val="19"/>
                <w:szCs w:val="19"/>
              </w:rPr>
              <w:t>0.48</w:t>
            </w:r>
          </w:p>
        </w:tc>
        <w:tc>
          <w:tcPr>
            <w:tcW w:w="1670" w:type="dxa"/>
            <w:shd w:val="clear" w:color="auto" w:fill="auto"/>
            <w:noWrap/>
          </w:tcPr>
          <w:p w:rsidR="00AE303A" w:rsidRPr="00F17578" w:rsidRDefault="00AE303A" w:rsidP="00380FF9">
            <w:pPr>
              <w:jc w:val="center"/>
              <w:rPr>
                <w:sz w:val="19"/>
                <w:szCs w:val="19"/>
              </w:rPr>
            </w:pPr>
            <w:r w:rsidRPr="00F17578">
              <w:rPr>
                <w:sz w:val="19"/>
                <w:szCs w:val="19"/>
              </w:rPr>
              <w:t>27%</w:t>
            </w:r>
          </w:p>
        </w:tc>
      </w:tr>
      <w:tr w:rsidR="00A874AC" w:rsidRPr="00F17578" w:rsidTr="004F3A51">
        <w:trPr>
          <w:trHeight w:val="288"/>
          <w:jc w:val="center"/>
        </w:trPr>
        <w:tc>
          <w:tcPr>
            <w:tcW w:w="2682" w:type="dxa"/>
            <w:shd w:val="clear" w:color="auto" w:fill="D2EAF1"/>
          </w:tcPr>
          <w:p w:rsidR="00AE303A" w:rsidRPr="00F17578" w:rsidRDefault="00AE303A" w:rsidP="00380FF9">
            <w:pPr>
              <w:jc w:val="left"/>
              <w:rPr>
                <w:bCs/>
                <w:color w:val="000000"/>
                <w:sz w:val="19"/>
                <w:szCs w:val="19"/>
              </w:rPr>
            </w:pPr>
            <w:r w:rsidRPr="00F17578">
              <w:rPr>
                <w:bCs/>
                <w:color w:val="000000"/>
                <w:sz w:val="19"/>
                <w:szCs w:val="19"/>
              </w:rPr>
              <w:t>Commercial – Small</w:t>
            </w:r>
          </w:p>
        </w:tc>
        <w:tc>
          <w:tcPr>
            <w:tcW w:w="1669" w:type="dxa"/>
            <w:shd w:val="clear" w:color="auto" w:fill="D2EAF1"/>
            <w:noWrap/>
          </w:tcPr>
          <w:p w:rsidR="00AE303A" w:rsidRPr="00F17578" w:rsidRDefault="00AE303A" w:rsidP="00380FF9">
            <w:pPr>
              <w:jc w:val="center"/>
              <w:rPr>
                <w:sz w:val="19"/>
                <w:szCs w:val="19"/>
              </w:rPr>
            </w:pPr>
            <w:r w:rsidRPr="00F17578">
              <w:rPr>
                <w:rFonts w:eastAsiaTheme="minorHAnsi" w:cs="Calibri"/>
                <w:sz w:val="19"/>
                <w:szCs w:val="19"/>
              </w:rPr>
              <w:t>0.00</w:t>
            </w:r>
          </w:p>
        </w:tc>
        <w:tc>
          <w:tcPr>
            <w:tcW w:w="1670" w:type="dxa"/>
            <w:shd w:val="clear" w:color="auto" w:fill="D2EAF1"/>
            <w:noWrap/>
          </w:tcPr>
          <w:p w:rsidR="00AE303A" w:rsidRPr="00F17578" w:rsidRDefault="00AE303A" w:rsidP="00380FF9">
            <w:pPr>
              <w:jc w:val="center"/>
              <w:rPr>
                <w:sz w:val="19"/>
                <w:szCs w:val="19"/>
              </w:rPr>
            </w:pPr>
            <w:r w:rsidRPr="00F17578">
              <w:rPr>
                <w:sz w:val="19"/>
                <w:szCs w:val="19"/>
              </w:rPr>
              <w:t>0%</w:t>
            </w:r>
          </w:p>
        </w:tc>
        <w:tc>
          <w:tcPr>
            <w:tcW w:w="1669" w:type="dxa"/>
            <w:shd w:val="clear" w:color="auto" w:fill="D2EAF1"/>
            <w:noWrap/>
          </w:tcPr>
          <w:p w:rsidR="00AE303A" w:rsidRPr="00F17578" w:rsidRDefault="00AE303A" w:rsidP="00380FF9">
            <w:pPr>
              <w:jc w:val="center"/>
              <w:rPr>
                <w:sz w:val="19"/>
                <w:szCs w:val="19"/>
              </w:rPr>
            </w:pPr>
            <w:r w:rsidRPr="00F17578">
              <w:rPr>
                <w:sz w:val="19"/>
                <w:szCs w:val="19"/>
              </w:rPr>
              <w:t>0.00</w:t>
            </w:r>
          </w:p>
        </w:tc>
        <w:tc>
          <w:tcPr>
            <w:tcW w:w="1670" w:type="dxa"/>
            <w:shd w:val="clear" w:color="auto" w:fill="D2EAF1"/>
            <w:noWrap/>
          </w:tcPr>
          <w:p w:rsidR="00AE303A" w:rsidRPr="00F17578" w:rsidRDefault="00AE303A" w:rsidP="00380FF9">
            <w:pPr>
              <w:jc w:val="center"/>
              <w:rPr>
                <w:sz w:val="19"/>
                <w:szCs w:val="19"/>
              </w:rPr>
            </w:pPr>
            <w:r w:rsidRPr="00F17578">
              <w:rPr>
                <w:sz w:val="19"/>
                <w:szCs w:val="19"/>
              </w:rPr>
              <w:t>0%</w:t>
            </w:r>
          </w:p>
        </w:tc>
      </w:tr>
      <w:tr w:rsidR="00E7173E" w:rsidRPr="00F17578" w:rsidTr="004F3A51">
        <w:trPr>
          <w:trHeight w:val="288"/>
          <w:jc w:val="center"/>
        </w:trPr>
        <w:tc>
          <w:tcPr>
            <w:tcW w:w="2682" w:type="dxa"/>
            <w:shd w:val="clear" w:color="auto" w:fill="auto"/>
          </w:tcPr>
          <w:p w:rsidR="00AE303A" w:rsidRPr="00F17578" w:rsidRDefault="00AE303A" w:rsidP="00380FF9">
            <w:pPr>
              <w:jc w:val="left"/>
              <w:rPr>
                <w:b/>
                <w:bCs/>
                <w:color w:val="000000"/>
                <w:sz w:val="19"/>
                <w:szCs w:val="19"/>
              </w:rPr>
            </w:pPr>
            <w:r w:rsidRPr="00F17578">
              <w:rPr>
                <w:b/>
                <w:bCs/>
                <w:color w:val="000000"/>
                <w:sz w:val="19"/>
                <w:szCs w:val="19"/>
              </w:rPr>
              <w:t>Program Total</w:t>
            </w:r>
          </w:p>
        </w:tc>
        <w:tc>
          <w:tcPr>
            <w:tcW w:w="1669" w:type="dxa"/>
            <w:shd w:val="clear" w:color="auto" w:fill="auto"/>
            <w:noWrap/>
            <w:vAlign w:val="center"/>
          </w:tcPr>
          <w:p w:rsidR="00AE303A" w:rsidRPr="00F17578" w:rsidRDefault="00AE303A" w:rsidP="00380FF9">
            <w:pPr>
              <w:jc w:val="center"/>
              <w:rPr>
                <w:b/>
                <w:sz w:val="19"/>
                <w:szCs w:val="19"/>
              </w:rPr>
            </w:pPr>
          </w:p>
        </w:tc>
        <w:tc>
          <w:tcPr>
            <w:tcW w:w="1670" w:type="dxa"/>
            <w:shd w:val="clear" w:color="auto" w:fill="auto"/>
            <w:noWrap/>
            <w:vAlign w:val="center"/>
          </w:tcPr>
          <w:p w:rsidR="00AE303A" w:rsidRPr="00F17578" w:rsidRDefault="00AE303A" w:rsidP="00380FF9">
            <w:pPr>
              <w:jc w:val="center"/>
              <w:rPr>
                <w:b/>
                <w:sz w:val="19"/>
                <w:szCs w:val="19"/>
              </w:rPr>
            </w:pPr>
            <w:r w:rsidRPr="00F17578">
              <w:rPr>
                <w:b/>
                <w:sz w:val="19"/>
                <w:szCs w:val="19"/>
              </w:rPr>
              <w:t>4%</w:t>
            </w:r>
          </w:p>
        </w:tc>
        <w:tc>
          <w:tcPr>
            <w:tcW w:w="1669" w:type="dxa"/>
            <w:shd w:val="clear" w:color="auto" w:fill="auto"/>
            <w:noWrap/>
            <w:vAlign w:val="center"/>
          </w:tcPr>
          <w:p w:rsidR="00AE303A" w:rsidRPr="00F17578" w:rsidRDefault="00AE303A" w:rsidP="00380FF9">
            <w:pPr>
              <w:jc w:val="center"/>
              <w:rPr>
                <w:b/>
                <w:sz w:val="19"/>
                <w:szCs w:val="19"/>
              </w:rPr>
            </w:pPr>
          </w:p>
        </w:tc>
        <w:tc>
          <w:tcPr>
            <w:tcW w:w="1670" w:type="dxa"/>
            <w:shd w:val="clear" w:color="auto" w:fill="auto"/>
            <w:noWrap/>
            <w:vAlign w:val="center"/>
          </w:tcPr>
          <w:p w:rsidR="00AE303A" w:rsidRPr="00F17578" w:rsidRDefault="00AE303A" w:rsidP="00380FF9">
            <w:pPr>
              <w:jc w:val="center"/>
              <w:rPr>
                <w:b/>
                <w:sz w:val="19"/>
                <w:szCs w:val="19"/>
              </w:rPr>
            </w:pPr>
            <w:r w:rsidRPr="00F17578">
              <w:rPr>
                <w:b/>
                <w:sz w:val="19"/>
                <w:szCs w:val="19"/>
              </w:rPr>
              <w:t>21%</w:t>
            </w:r>
          </w:p>
        </w:tc>
      </w:tr>
    </w:tbl>
    <w:p w:rsidR="00AE303A" w:rsidRPr="006E6583" w:rsidRDefault="00AE303A" w:rsidP="00AE303A"/>
    <w:p w:rsidR="00AE303A" w:rsidRPr="006E6583" w:rsidRDefault="00AE303A" w:rsidP="008C7396">
      <w:pPr>
        <w:pStyle w:val="AppendixAHeading5"/>
      </w:pPr>
      <w:r w:rsidRPr="006E6583">
        <w:t>Industrial Program Group</w:t>
      </w:r>
    </w:p>
    <w:p w:rsidR="00AE303A" w:rsidRPr="006E6583" w:rsidRDefault="00AE303A" w:rsidP="00AE303A">
      <w:r w:rsidRPr="006E6583">
        <w:t xml:space="preserve">The Industrial Program Group includes an overall umbrella program and three market-segment programs: Primary Metals, Chemical Products, and Mixed Industrial. A single industrial project may have a large number of measures within the project, so sample selection was at the measure level instead of the project level. While on-site, the evaluation contractor verified as many additional completed measures as was feasible, as well as the measure initially selected in the sample. The SWE Team reviewed this approach and determined it was appropriate. Duquesne’s PY7 sampling strategy for the Industrial Program Group is shown in </w:t>
      </w:r>
      <w:r w:rsidRPr="006E6583">
        <w:fldChar w:fldCharType="begin"/>
      </w:r>
      <w:r w:rsidRPr="006E6583">
        <w:instrText xml:space="preserve"> REF _Ref433895851 \h  \* MERGEFORMAT </w:instrText>
      </w:r>
      <w:r w:rsidRPr="006E6583">
        <w:fldChar w:fldCharType="separate"/>
      </w:r>
      <w:r w:rsidR="00037CB4" w:rsidRPr="00B81A2F">
        <w:t>Table A-14</w:t>
      </w:r>
      <w:r w:rsidRPr="006E6583">
        <w:fldChar w:fldCharType="end"/>
      </w:r>
      <w:r w:rsidRPr="006E6583">
        <w:t>.</w:t>
      </w:r>
    </w:p>
    <w:p w:rsidR="00AE303A" w:rsidRPr="006E6583" w:rsidRDefault="00AE303A" w:rsidP="00AE303A"/>
    <w:p w:rsidR="00AE303A" w:rsidRPr="006E6583" w:rsidRDefault="00AE303A" w:rsidP="00AE303A">
      <w:pPr>
        <w:spacing w:after="120"/>
        <w:jc w:val="center"/>
        <w:rPr>
          <w:rFonts w:ascii="Century Gothic" w:hAnsi="Century Gothic"/>
          <w:b/>
          <w:bCs/>
          <w:sz w:val="18"/>
          <w:szCs w:val="18"/>
        </w:rPr>
      </w:pPr>
      <w:bookmarkStart w:id="566" w:name="_Ref433895851"/>
      <w:bookmarkStart w:id="567" w:name="_Toc410199379"/>
      <w:bookmarkStart w:id="568" w:name="_Toc431462324"/>
      <w:bookmarkStart w:id="569" w:name="_Toc444269840"/>
      <w:bookmarkStart w:id="570" w:name="_Toc472472423"/>
      <w:bookmarkStart w:id="571" w:name="_Toc488741842"/>
      <w:r w:rsidRPr="006E6583">
        <w:rPr>
          <w:rFonts w:ascii="Century Gothic" w:hAnsi="Century Gothic"/>
          <w:b/>
          <w:bCs/>
          <w:sz w:val="18"/>
          <w:szCs w:val="18"/>
        </w:rPr>
        <w:t>Table A-</w:t>
      </w:r>
      <w:r w:rsidRPr="006E6583">
        <w:rPr>
          <w:rFonts w:ascii="Century Gothic" w:hAnsi="Century Gothic"/>
          <w:b/>
          <w:bCs/>
          <w:sz w:val="18"/>
          <w:szCs w:val="18"/>
        </w:rPr>
        <w:fldChar w:fldCharType="begin"/>
      </w:r>
      <w:r w:rsidRPr="006E6583">
        <w:rPr>
          <w:rFonts w:ascii="Century Gothic" w:hAnsi="Century Gothic"/>
          <w:b/>
          <w:bCs/>
          <w:sz w:val="18"/>
          <w:szCs w:val="18"/>
        </w:rPr>
        <w:instrText xml:space="preserve"> SEQ Table_A- \* ARABIC </w:instrText>
      </w:r>
      <w:r w:rsidRPr="006E6583">
        <w:rPr>
          <w:rFonts w:ascii="Century Gothic" w:hAnsi="Century Gothic"/>
          <w:b/>
          <w:bCs/>
          <w:sz w:val="18"/>
          <w:szCs w:val="18"/>
        </w:rPr>
        <w:fldChar w:fldCharType="separate"/>
      </w:r>
      <w:r w:rsidR="00037CB4">
        <w:rPr>
          <w:rFonts w:ascii="Century Gothic" w:hAnsi="Century Gothic"/>
          <w:b/>
          <w:bCs/>
          <w:noProof/>
          <w:sz w:val="18"/>
          <w:szCs w:val="18"/>
        </w:rPr>
        <w:t>14</w:t>
      </w:r>
      <w:r w:rsidRPr="006E6583">
        <w:rPr>
          <w:rFonts w:ascii="Century Gothic" w:hAnsi="Century Gothic"/>
          <w:b/>
          <w:bCs/>
          <w:sz w:val="18"/>
          <w:szCs w:val="18"/>
        </w:rPr>
        <w:fldChar w:fldCharType="end"/>
      </w:r>
      <w:bookmarkEnd w:id="566"/>
      <w:r w:rsidRPr="006E6583">
        <w:rPr>
          <w:rFonts w:ascii="Century Gothic" w:hAnsi="Century Gothic"/>
          <w:b/>
          <w:bCs/>
          <w:sz w:val="18"/>
          <w:szCs w:val="18"/>
        </w:rPr>
        <w:t>: Duquesne’s PY7 Sampling Strategy – Industrial Program Group</w:t>
      </w:r>
      <w:bookmarkEnd w:id="567"/>
      <w:bookmarkEnd w:id="568"/>
      <w:bookmarkEnd w:id="569"/>
      <w:bookmarkEnd w:id="570"/>
      <w:bookmarkEnd w:id="571"/>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83"/>
        <w:gridCol w:w="1844"/>
        <w:gridCol w:w="1844"/>
        <w:gridCol w:w="1844"/>
        <w:gridCol w:w="1845"/>
      </w:tblGrid>
      <w:tr w:rsidR="00A874AC" w:rsidRPr="00F17578" w:rsidTr="00380FF9">
        <w:trPr>
          <w:trHeight w:val="20"/>
          <w:jc w:val="center"/>
        </w:trPr>
        <w:tc>
          <w:tcPr>
            <w:tcW w:w="1983" w:type="dxa"/>
            <w:shd w:val="clear" w:color="auto" w:fill="448A99"/>
            <w:vAlign w:val="bottom"/>
            <w:hideMark/>
          </w:tcPr>
          <w:p w:rsidR="00AE303A" w:rsidRPr="00F17578" w:rsidRDefault="00AE303A" w:rsidP="00380FF9">
            <w:pPr>
              <w:rPr>
                <w:b/>
                <w:bCs/>
                <w:color w:val="FFFFFF"/>
                <w:sz w:val="19"/>
                <w:szCs w:val="19"/>
              </w:rPr>
            </w:pPr>
            <w:r w:rsidRPr="00F17578">
              <w:rPr>
                <w:b/>
                <w:bCs/>
                <w:color w:val="FFFFFF"/>
                <w:sz w:val="19"/>
                <w:szCs w:val="19"/>
              </w:rPr>
              <w:t>Stratum</w:t>
            </w:r>
          </w:p>
        </w:tc>
        <w:tc>
          <w:tcPr>
            <w:tcW w:w="1844"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 xml:space="preserve">Population </w:t>
            </w:r>
            <w:r w:rsidRPr="00F17578">
              <w:rPr>
                <w:b/>
                <w:bCs/>
                <w:color w:val="FFFFFF"/>
                <w:sz w:val="19"/>
                <w:szCs w:val="19"/>
              </w:rPr>
              <w:br/>
              <w:t>(measures)</w:t>
            </w:r>
          </w:p>
        </w:tc>
        <w:tc>
          <w:tcPr>
            <w:tcW w:w="1844"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Target Levels of Confidence &amp; Precision</w:t>
            </w:r>
          </w:p>
        </w:tc>
        <w:tc>
          <w:tcPr>
            <w:tcW w:w="1844"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Target Sample Size</w:t>
            </w:r>
          </w:p>
        </w:tc>
        <w:tc>
          <w:tcPr>
            <w:tcW w:w="1845"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Achieved Sample Size</w:t>
            </w:r>
          </w:p>
        </w:tc>
      </w:tr>
      <w:tr w:rsidR="00A874AC" w:rsidRPr="00F17578" w:rsidTr="004F3A51">
        <w:trPr>
          <w:trHeight w:val="288"/>
          <w:jc w:val="center"/>
        </w:trPr>
        <w:tc>
          <w:tcPr>
            <w:tcW w:w="1983" w:type="dxa"/>
            <w:shd w:val="clear" w:color="auto" w:fill="D2EAF1"/>
          </w:tcPr>
          <w:p w:rsidR="00AE303A" w:rsidRPr="00F17578" w:rsidRDefault="00AE303A" w:rsidP="00C21C45">
            <w:pPr>
              <w:rPr>
                <w:bCs/>
                <w:color w:val="000000"/>
                <w:sz w:val="19"/>
                <w:szCs w:val="19"/>
              </w:rPr>
            </w:pPr>
            <w:r w:rsidRPr="00F17578">
              <w:rPr>
                <w:bCs/>
                <w:color w:val="000000"/>
                <w:sz w:val="19"/>
                <w:szCs w:val="19"/>
              </w:rPr>
              <w:t xml:space="preserve">Industrial – </w:t>
            </w:r>
            <w:r w:rsidR="00C21C45" w:rsidRPr="00F17578">
              <w:rPr>
                <w:bCs/>
                <w:color w:val="000000"/>
                <w:sz w:val="19"/>
                <w:szCs w:val="19"/>
              </w:rPr>
              <w:t>L</w:t>
            </w:r>
            <w:r w:rsidRPr="00F17578">
              <w:rPr>
                <w:bCs/>
                <w:color w:val="000000"/>
                <w:sz w:val="19"/>
                <w:szCs w:val="19"/>
              </w:rPr>
              <w:t>arge</w:t>
            </w:r>
          </w:p>
        </w:tc>
        <w:tc>
          <w:tcPr>
            <w:tcW w:w="1844" w:type="dxa"/>
            <w:shd w:val="clear" w:color="auto" w:fill="D2EAF1"/>
            <w:noWrap/>
          </w:tcPr>
          <w:p w:rsidR="00AE303A" w:rsidRPr="00F17578" w:rsidRDefault="00AE303A" w:rsidP="00380FF9">
            <w:pPr>
              <w:jc w:val="center"/>
              <w:rPr>
                <w:color w:val="000000"/>
                <w:sz w:val="19"/>
                <w:szCs w:val="19"/>
              </w:rPr>
            </w:pPr>
            <w:r w:rsidRPr="00F17578">
              <w:rPr>
                <w:sz w:val="19"/>
                <w:szCs w:val="19"/>
              </w:rPr>
              <w:t>6</w:t>
            </w:r>
          </w:p>
        </w:tc>
        <w:tc>
          <w:tcPr>
            <w:tcW w:w="1844" w:type="dxa"/>
            <w:shd w:val="clear" w:color="auto" w:fill="D2EAF1"/>
            <w:noWrap/>
          </w:tcPr>
          <w:p w:rsidR="00AE303A" w:rsidRPr="00F17578" w:rsidRDefault="00AE303A" w:rsidP="00380FF9">
            <w:pPr>
              <w:jc w:val="center"/>
              <w:rPr>
                <w:sz w:val="19"/>
                <w:szCs w:val="19"/>
              </w:rPr>
            </w:pPr>
            <w:r w:rsidRPr="00F17578">
              <w:rPr>
                <w:sz w:val="19"/>
                <w:szCs w:val="19"/>
              </w:rPr>
              <w:t>85%/15%</w:t>
            </w:r>
          </w:p>
        </w:tc>
        <w:tc>
          <w:tcPr>
            <w:tcW w:w="1844" w:type="dxa"/>
            <w:shd w:val="clear" w:color="auto" w:fill="D2EAF1"/>
            <w:noWrap/>
          </w:tcPr>
          <w:p w:rsidR="00AE303A" w:rsidRPr="00F17578" w:rsidRDefault="00AE303A" w:rsidP="00380FF9">
            <w:pPr>
              <w:jc w:val="center"/>
              <w:rPr>
                <w:sz w:val="19"/>
                <w:szCs w:val="19"/>
              </w:rPr>
            </w:pPr>
            <w:r w:rsidRPr="00F17578">
              <w:rPr>
                <w:sz w:val="19"/>
                <w:szCs w:val="19"/>
              </w:rPr>
              <w:t>5</w:t>
            </w:r>
          </w:p>
        </w:tc>
        <w:tc>
          <w:tcPr>
            <w:tcW w:w="1845" w:type="dxa"/>
            <w:shd w:val="clear" w:color="auto" w:fill="D2EAF1"/>
            <w:noWrap/>
          </w:tcPr>
          <w:p w:rsidR="00AE303A" w:rsidRPr="00F17578" w:rsidRDefault="00AE303A" w:rsidP="00380FF9">
            <w:pPr>
              <w:jc w:val="center"/>
              <w:rPr>
                <w:sz w:val="19"/>
                <w:szCs w:val="19"/>
              </w:rPr>
            </w:pPr>
            <w:r w:rsidRPr="00F17578">
              <w:rPr>
                <w:sz w:val="19"/>
                <w:szCs w:val="19"/>
              </w:rPr>
              <w:t>4</w:t>
            </w:r>
          </w:p>
        </w:tc>
      </w:tr>
      <w:tr w:rsidR="00E7173E" w:rsidRPr="00F17578" w:rsidTr="004F3A51">
        <w:trPr>
          <w:trHeight w:val="288"/>
          <w:jc w:val="center"/>
        </w:trPr>
        <w:tc>
          <w:tcPr>
            <w:tcW w:w="1983" w:type="dxa"/>
            <w:shd w:val="clear" w:color="auto" w:fill="auto"/>
          </w:tcPr>
          <w:p w:rsidR="00AE303A" w:rsidRPr="00F17578" w:rsidRDefault="00C21C45" w:rsidP="00380FF9">
            <w:pPr>
              <w:rPr>
                <w:bCs/>
                <w:color w:val="000000"/>
                <w:sz w:val="19"/>
                <w:szCs w:val="19"/>
              </w:rPr>
            </w:pPr>
            <w:r w:rsidRPr="00F17578">
              <w:rPr>
                <w:bCs/>
                <w:color w:val="000000"/>
                <w:sz w:val="19"/>
                <w:szCs w:val="19"/>
              </w:rPr>
              <w:t>Industrial – M</w:t>
            </w:r>
            <w:r w:rsidR="00AE303A" w:rsidRPr="00F17578">
              <w:rPr>
                <w:bCs/>
                <w:color w:val="000000"/>
                <w:sz w:val="19"/>
                <w:szCs w:val="19"/>
              </w:rPr>
              <w:t>edium</w:t>
            </w:r>
          </w:p>
        </w:tc>
        <w:tc>
          <w:tcPr>
            <w:tcW w:w="1844" w:type="dxa"/>
            <w:shd w:val="clear" w:color="auto" w:fill="auto"/>
            <w:noWrap/>
          </w:tcPr>
          <w:p w:rsidR="00AE303A" w:rsidRPr="00F17578" w:rsidRDefault="00AE303A" w:rsidP="00380FF9">
            <w:pPr>
              <w:jc w:val="center"/>
              <w:rPr>
                <w:sz w:val="19"/>
                <w:szCs w:val="19"/>
              </w:rPr>
            </w:pPr>
            <w:r w:rsidRPr="00F17578">
              <w:rPr>
                <w:sz w:val="19"/>
                <w:szCs w:val="19"/>
              </w:rPr>
              <w:t>16</w:t>
            </w:r>
          </w:p>
        </w:tc>
        <w:tc>
          <w:tcPr>
            <w:tcW w:w="1844" w:type="dxa"/>
            <w:shd w:val="clear" w:color="auto" w:fill="auto"/>
            <w:noWrap/>
          </w:tcPr>
          <w:p w:rsidR="00AE303A" w:rsidRPr="00F17578" w:rsidRDefault="00AE303A" w:rsidP="00380FF9">
            <w:pPr>
              <w:jc w:val="center"/>
              <w:rPr>
                <w:sz w:val="19"/>
                <w:szCs w:val="19"/>
              </w:rPr>
            </w:pPr>
            <w:r w:rsidRPr="00F17578">
              <w:rPr>
                <w:sz w:val="19"/>
                <w:szCs w:val="19"/>
              </w:rPr>
              <w:t>85%/15%</w:t>
            </w:r>
          </w:p>
        </w:tc>
        <w:tc>
          <w:tcPr>
            <w:tcW w:w="1844" w:type="dxa"/>
            <w:shd w:val="clear" w:color="auto" w:fill="auto"/>
            <w:noWrap/>
          </w:tcPr>
          <w:p w:rsidR="00AE303A" w:rsidRPr="00F17578" w:rsidRDefault="00AE303A" w:rsidP="00380FF9">
            <w:pPr>
              <w:jc w:val="center"/>
              <w:rPr>
                <w:sz w:val="19"/>
                <w:szCs w:val="19"/>
              </w:rPr>
            </w:pPr>
            <w:r w:rsidRPr="00F17578">
              <w:rPr>
                <w:sz w:val="19"/>
                <w:szCs w:val="19"/>
              </w:rPr>
              <w:t>6</w:t>
            </w:r>
          </w:p>
        </w:tc>
        <w:tc>
          <w:tcPr>
            <w:tcW w:w="1845" w:type="dxa"/>
            <w:shd w:val="clear" w:color="auto" w:fill="auto"/>
            <w:noWrap/>
          </w:tcPr>
          <w:p w:rsidR="00AE303A" w:rsidRPr="00F17578" w:rsidRDefault="00AE303A" w:rsidP="00380FF9">
            <w:pPr>
              <w:jc w:val="center"/>
              <w:rPr>
                <w:sz w:val="19"/>
                <w:szCs w:val="19"/>
              </w:rPr>
            </w:pPr>
            <w:r w:rsidRPr="00F17578">
              <w:rPr>
                <w:sz w:val="19"/>
                <w:szCs w:val="19"/>
              </w:rPr>
              <w:t>7</w:t>
            </w:r>
          </w:p>
        </w:tc>
      </w:tr>
      <w:tr w:rsidR="00A874AC" w:rsidRPr="00F17578" w:rsidTr="004F3A51">
        <w:trPr>
          <w:trHeight w:val="288"/>
          <w:jc w:val="center"/>
        </w:trPr>
        <w:tc>
          <w:tcPr>
            <w:tcW w:w="1983" w:type="dxa"/>
            <w:shd w:val="clear" w:color="auto" w:fill="D2EAF1"/>
          </w:tcPr>
          <w:p w:rsidR="00AE303A" w:rsidRPr="00F17578" w:rsidRDefault="00AE303A" w:rsidP="00C21C45">
            <w:pPr>
              <w:rPr>
                <w:bCs/>
                <w:color w:val="000000"/>
                <w:sz w:val="19"/>
                <w:szCs w:val="19"/>
              </w:rPr>
            </w:pPr>
            <w:r w:rsidRPr="00F17578">
              <w:rPr>
                <w:bCs/>
                <w:color w:val="000000"/>
                <w:sz w:val="19"/>
                <w:szCs w:val="19"/>
              </w:rPr>
              <w:t xml:space="preserve">Industrial – </w:t>
            </w:r>
            <w:r w:rsidR="00C21C45" w:rsidRPr="00F17578">
              <w:rPr>
                <w:bCs/>
                <w:color w:val="000000"/>
                <w:sz w:val="19"/>
                <w:szCs w:val="19"/>
              </w:rPr>
              <w:t>S</w:t>
            </w:r>
            <w:r w:rsidRPr="00F17578">
              <w:rPr>
                <w:bCs/>
                <w:color w:val="000000"/>
                <w:sz w:val="19"/>
                <w:szCs w:val="19"/>
              </w:rPr>
              <w:t>mall</w:t>
            </w:r>
          </w:p>
        </w:tc>
        <w:tc>
          <w:tcPr>
            <w:tcW w:w="1844" w:type="dxa"/>
            <w:shd w:val="clear" w:color="auto" w:fill="D2EAF1"/>
            <w:noWrap/>
          </w:tcPr>
          <w:p w:rsidR="00AE303A" w:rsidRPr="00F17578" w:rsidRDefault="00AE303A" w:rsidP="00380FF9">
            <w:pPr>
              <w:jc w:val="center"/>
              <w:rPr>
                <w:sz w:val="19"/>
                <w:szCs w:val="19"/>
              </w:rPr>
            </w:pPr>
            <w:r w:rsidRPr="00F17578">
              <w:rPr>
                <w:sz w:val="19"/>
                <w:szCs w:val="19"/>
              </w:rPr>
              <w:t>94</w:t>
            </w:r>
          </w:p>
        </w:tc>
        <w:tc>
          <w:tcPr>
            <w:tcW w:w="1844" w:type="dxa"/>
            <w:shd w:val="clear" w:color="auto" w:fill="D2EAF1"/>
            <w:noWrap/>
          </w:tcPr>
          <w:p w:rsidR="00AE303A" w:rsidRPr="00F17578" w:rsidRDefault="00AE303A" w:rsidP="00380FF9">
            <w:pPr>
              <w:jc w:val="center"/>
              <w:rPr>
                <w:sz w:val="19"/>
                <w:szCs w:val="19"/>
              </w:rPr>
            </w:pPr>
            <w:r w:rsidRPr="00F17578">
              <w:rPr>
                <w:sz w:val="19"/>
                <w:szCs w:val="19"/>
              </w:rPr>
              <w:t>85%/15%</w:t>
            </w:r>
          </w:p>
        </w:tc>
        <w:tc>
          <w:tcPr>
            <w:tcW w:w="1844" w:type="dxa"/>
            <w:shd w:val="clear" w:color="auto" w:fill="D2EAF1"/>
            <w:noWrap/>
          </w:tcPr>
          <w:p w:rsidR="00AE303A" w:rsidRPr="00F17578" w:rsidRDefault="00AE303A" w:rsidP="00380FF9">
            <w:pPr>
              <w:jc w:val="center"/>
              <w:rPr>
                <w:sz w:val="19"/>
                <w:szCs w:val="19"/>
              </w:rPr>
            </w:pPr>
            <w:r w:rsidRPr="00F17578">
              <w:rPr>
                <w:sz w:val="19"/>
                <w:szCs w:val="19"/>
              </w:rPr>
              <w:t>4</w:t>
            </w:r>
          </w:p>
        </w:tc>
        <w:tc>
          <w:tcPr>
            <w:tcW w:w="1845" w:type="dxa"/>
            <w:shd w:val="clear" w:color="auto" w:fill="D2EAF1"/>
            <w:noWrap/>
          </w:tcPr>
          <w:p w:rsidR="00AE303A" w:rsidRPr="00F17578" w:rsidRDefault="00AE303A" w:rsidP="00380FF9">
            <w:pPr>
              <w:jc w:val="center"/>
              <w:rPr>
                <w:sz w:val="19"/>
                <w:szCs w:val="19"/>
              </w:rPr>
            </w:pPr>
            <w:r w:rsidRPr="00F17578">
              <w:rPr>
                <w:sz w:val="19"/>
                <w:szCs w:val="19"/>
              </w:rPr>
              <w:t>5</w:t>
            </w:r>
          </w:p>
        </w:tc>
      </w:tr>
      <w:tr w:rsidR="00E7173E" w:rsidRPr="00F17578" w:rsidTr="004F3A51">
        <w:trPr>
          <w:trHeight w:val="288"/>
          <w:jc w:val="center"/>
        </w:trPr>
        <w:tc>
          <w:tcPr>
            <w:tcW w:w="1983" w:type="dxa"/>
            <w:shd w:val="clear" w:color="auto" w:fill="auto"/>
          </w:tcPr>
          <w:p w:rsidR="00AE303A" w:rsidRPr="00F17578" w:rsidRDefault="00AE303A" w:rsidP="00380FF9">
            <w:pPr>
              <w:rPr>
                <w:b/>
                <w:bCs/>
                <w:color w:val="000000"/>
                <w:sz w:val="19"/>
                <w:szCs w:val="19"/>
              </w:rPr>
            </w:pPr>
            <w:r w:rsidRPr="00F17578">
              <w:rPr>
                <w:b/>
                <w:bCs/>
                <w:color w:val="000000"/>
                <w:sz w:val="19"/>
                <w:szCs w:val="19"/>
              </w:rPr>
              <w:t>Program Total</w:t>
            </w:r>
          </w:p>
        </w:tc>
        <w:tc>
          <w:tcPr>
            <w:tcW w:w="1844" w:type="dxa"/>
            <w:shd w:val="clear" w:color="auto" w:fill="auto"/>
            <w:noWrap/>
          </w:tcPr>
          <w:p w:rsidR="00AE303A" w:rsidRPr="00F17578" w:rsidRDefault="00AE303A" w:rsidP="00380FF9">
            <w:pPr>
              <w:jc w:val="center"/>
              <w:rPr>
                <w:b/>
                <w:sz w:val="19"/>
                <w:szCs w:val="19"/>
              </w:rPr>
            </w:pPr>
            <w:r w:rsidRPr="00F17578">
              <w:rPr>
                <w:b/>
                <w:sz w:val="19"/>
                <w:szCs w:val="19"/>
              </w:rPr>
              <w:t>116</w:t>
            </w:r>
          </w:p>
        </w:tc>
        <w:tc>
          <w:tcPr>
            <w:tcW w:w="1844" w:type="dxa"/>
            <w:shd w:val="clear" w:color="auto" w:fill="auto"/>
            <w:noWrap/>
          </w:tcPr>
          <w:p w:rsidR="00AE303A" w:rsidRPr="00F17578" w:rsidRDefault="00AE303A" w:rsidP="00380FF9">
            <w:pPr>
              <w:jc w:val="center"/>
              <w:rPr>
                <w:b/>
                <w:sz w:val="19"/>
                <w:szCs w:val="19"/>
              </w:rPr>
            </w:pPr>
            <w:r w:rsidRPr="00F17578">
              <w:rPr>
                <w:b/>
                <w:sz w:val="19"/>
                <w:szCs w:val="19"/>
              </w:rPr>
              <w:t>85%/15%</w:t>
            </w:r>
          </w:p>
        </w:tc>
        <w:tc>
          <w:tcPr>
            <w:tcW w:w="1844" w:type="dxa"/>
            <w:shd w:val="clear" w:color="auto" w:fill="auto"/>
            <w:noWrap/>
          </w:tcPr>
          <w:p w:rsidR="00AE303A" w:rsidRPr="00F17578" w:rsidRDefault="00AE303A" w:rsidP="00380FF9">
            <w:pPr>
              <w:jc w:val="center"/>
              <w:rPr>
                <w:b/>
                <w:sz w:val="19"/>
                <w:szCs w:val="19"/>
              </w:rPr>
            </w:pPr>
            <w:r w:rsidRPr="00F17578">
              <w:rPr>
                <w:b/>
                <w:sz w:val="19"/>
                <w:szCs w:val="19"/>
              </w:rPr>
              <w:t>15</w:t>
            </w:r>
          </w:p>
        </w:tc>
        <w:tc>
          <w:tcPr>
            <w:tcW w:w="1845" w:type="dxa"/>
            <w:shd w:val="clear" w:color="auto" w:fill="auto"/>
            <w:noWrap/>
          </w:tcPr>
          <w:p w:rsidR="00AE303A" w:rsidRPr="00F17578" w:rsidRDefault="00AE303A" w:rsidP="00380FF9">
            <w:pPr>
              <w:jc w:val="center"/>
              <w:rPr>
                <w:b/>
                <w:sz w:val="19"/>
                <w:szCs w:val="19"/>
              </w:rPr>
            </w:pPr>
            <w:r w:rsidRPr="00F17578">
              <w:rPr>
                <w:b/>
                <w:sz w:val="19"/>
                <w:szCs w:val="19"/>
              </w:rPr>
              <w:t>16</w:t>
            </w:r>
          </w:p>
        </w:tc>
      </w:tr>
    </w:tbl>
    <w:p w:rsidR="00AE303A" w:rsidRPr="006E6583" w:rsidRDefault="00AE303A" w:rsidP="00AE303A"/>
    <w:p w:rsidR="00AE303A" w:rsidRPr="006E6583" w:rsidRDefault="00AE303A" w:rsidP="00AE303A">
      <w:r w:rsidRPr="006E6583">
        <w:t xml:space="preserve">The achieved precision values are shown in </w:t>
      </w:r>
      <w:r w:rsidRPr="006E6583">
        <w:fldChar w:fldCharType="begin"/>
      </w:r>
      <w:r w:rsidRPr="006E6583">
        <w:instrText xml:space="preserve"> REF _Ref433895903 \h  \* MERGEFORMAT </w:instrText>
      </w:r>
      <w:r w:rsidRPr="006E6583">
        <w:fldChar w:fldCharType="separate"/>
      </w:r>
      <w:r w:rsidR="00037CB4" w:rsidRPr="00B81A2F">
        <w:t>Table A-15</w:t>
      </w:r>
      <w:r w:rsidRPr="006E6583">
        <w:fldChar w:fldCharType="end"/>
      </w:r>
      <w:r w:rsidRPr="006E6583">
        <w:t>. Duquesne met the 85%/15% confidence</w:t>
      </w:r>
      <w:r>
        <w:t>/</w:t>
      </w:r>
      <w:r w:rsidRPr="006E6583">
        <w:t>precision level for both energy and peak demand.</w:t>
      </w:r>
    </w:p>
    <w:p w:rsidR="00A227FD" w:rsidRPr="006E6583" w:rsidRDefault="00A227FD" w:rsidP="00AE303A">
      <w:bookmarkStart w:id="572" w:name="_Ref409136934"/>
      <w:bookmarkStart w:id="573" w:name="_Ref410118283"/>
      <w:bookmarkStart w:id="574" w:name="_Toc410199380"/>
    </w:p>
    <w:p w:rsidR="00AE303A" w:rsidRPr="006E6583" w:rsidRDefault="00AE303A" w:rsidP="00AE303A">
      <w:pPr>
        <w:spacing w:after="120"/>
        <w:jc w:val="center"/>
        <w:rPr>
          <w:rFonts w:ascii="Century Gothic" w:hAnsi="Century Gothic"/>
          <w:b/>
          <w:bCs/>
          <w:sz w:val="18"/>
          <w:szCs w:val="18"/>
        </w:rPr>
      </w:pPr>
      <w:bookmarkStart w:id="575" w:name="_Ref433895903"/>
      <w:bookmarkStart w:id="576" w:name="_Toc431462325"/>
      <w:bookmarkStart w:id="577" w:name="_Toc444269841"/>
      <w:bookmarkStart w:id="578" w:name="_Toc472472424"/>
      <w:bookmarkStart w:id="579" w:name="_Toc488741843"/>
      <w:bookmarkEnd w:id="572"/>
      <w:bookmarkEnd w:id="573"/>
      <w:r w:rsidRPr="006E6583">
        <w:rPr>
          <w:rFonts w:ascii="Century Gothic" w:hAnsi="Century Gothic"/>
          <w:b/>
          <w:bCs/>
          <w:sz w:val="18"/>
          <w:szCs w:val="18"/>
        </w:rPr>
        <w:t>Table A-</w:t>
      </w:r>
      <w:r w:rsidRPr="006E6583">
        <w:rPr>
          <w:rFonts w:ascii="Century Gothic" w:hAnsi="Century Gothic"/>
          <w:b/>
          <w:bCs/>
          <w:sz w:val="18"/>
          <w:szCs w:val="18"/>
        </w:rPr>
        <w:fldChar w:fldCharType="begin"/>
      </w:r>
      <w:r w:rsidRPr="006E6583">
        <w:rPr>
          <w:rFonts w:ascii="Century Gothic" w:hAnsi="Century Gothic"/>
          <w:b/>
          <w:bCs/>
          <w:sz w:val="18"/>
          <w:szCs w:val="18"/>
        </w:rPr>
        <w:instrText xml:space="preserve"> SEQ Table_A- \* ARABIC </w:instrText>
      </w:r>
      <w:r w:rsidRPr="006E6583">
        <w:rPr>
          <w:rFonts w:ascii="Century Gothic" w:hAnsi="Century Gothic"/>
          <w:b/>
          <w:bCs/>
          <w:sz w:val="18"/>
          <w:szCs w:val="18"/>
        </w:rPr>
        <w:fldChar w:fldCharType="separate"/>
      </w:r>
      <w:r w:rsidR="00037CB4">
        <w:rPr>
          <w:rFonts w:ascii="Century Gothic" w:hAnsi="Century Gothic"/>
          <w:b/>
          <w:bCs/>
          <w:noProof/>
          <w:sz w:val="18"/>
          <w:szCs w:val="18"/>
        </w:rPr>
        <w:t>15</w:t>
      </w:r>
      <w:r w:rsidRPr="006E6583">
        <w:rPr>
          <w:rFonts w:ascii="Century Gothic" w:hAnsi="Century Gothic"/>
          <w:b/>
          <w:bCs/>
          <w:sz w:val="18"/>
          <w:szCs w:val="18"/>
        </w:rPr>
        <w:fldChar w:fldCharType="end"/>
      </w:r>
      <w:bookmarkEnd w:id="575"/>
      <w:r w:rsidRPr="006E6583">
        <w:rPr>
          <w:rFonts w:ascii="Century Gothic" w:hAnsi="Century Gothic"/>
          <w:b/>
          <w:bCs/>
          <w:sz w:val="18"/>
          <w:szCs w:val="18"/>
        </w:rPr>
        <w:t>: Observed Coefficients of Variation and Relative Precision – Duquesne’s Industrial Program Group</w:t>
      </w:r>
      <w:bookmarkEnd w:id="574"/>
      <w:bookmarkEnd w:id="576"/>
      <w:bookmarkEnd w:id="577"/>
      <w:bookmarkEnd w:id="578"/>
      <w:bookmarkEnd w:id="579"/>
    </w:p>
    <w:tbl>
      <w:tblPr>
        <w:tblW w:w="944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121"/>
        <w:gridCol w:w="1839"/>
        <w:gridCol w:w="1839"/>
        <w:gridCol w:w="1839"/>
        <w:gridCol w:w="1802"/>
      </w:tblGrid>
      <w:tr w:rsidR="00A874AC" w:rsidRPr="00F17578" w:rsidTr="00F17578">
        <w:trPr>
          <w:trHeight w:val="20"/>
          <w:tblHeader/>
        </w:trPr>
        <w:tc>
          <w:tcPr>
            <w:tcW w:w="2121" w:type="dxa"/>
            <w:shd w:val="clear" w:color="auto" w:fill="448A99"/>
            <w:vAlign w:val="bottom"/>
            <w:hideMark/>
          </w:tcPr>
          <w:p w:rsidR="00AE303A" w:rsidRPr="00F17578" w:rsidRDefault="00AE303A" w:rsidP="00380FF9">
            <w:pPr>
              <w:jc w:val="left"/>
              <w:rPr>
                <w:b/>
                <w:bCs/>
                <w:color w:val="FFFFFF"/>
                <w:sz w:val="19"/>
                <w:szCs w:val="19"/>
              </w:rPr>
            </w:pPr>
            <w:r w:rsidRPr="00F17578">
              <w:rPr>
                <w:b/>
                <w:bCs/>
                <w:color w:val="FFFFFF"/>
                <w:sz w:val="19"/>
                <w:szCs w:val="19"/>
              </w:rPr>
              <w:t>Stratum</w:t>
            </w:r>
          </w:p>
        </w:tc>
        <w:tc>
          <w:tcPr>
            <w:tcW w:w="183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Observed Coefficient of Variation (C</w:t>
            </w:r>
            <w:r w:rsidRPr="00F17578">
              <w:rPr>
                <w:b/>
                <w:bCs/>
                <w:color w:val="FFFFFF"/>
                <w:sz w:val="19"/>
                <w:szCs w:val="19"/>
                <w:vertAlign w:val="subscript"/>
              </w:rPr>
              <w:t>v</w:t>
            </w:r>
            <w:r w:rsidRPr="00F17578">
              <w:rPr>
                <w:b/>
                <w:bCs/>
                <w:color w:val="FFFFFF"/>
                <w:sz w:val="19"/>
                <w:szCs w:val="19"/>
              </w:rPr>
              <w:t>) or Proportion in Sample Design for Energy</w:t>
            </w:r>
          </w:p>
        </w:tc>
        <w:tc>
          <w:tcPr>
            <w:tcW w:w="183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Relative Precision at 85% C.L. for Energy</w:t>
            </w:r>
          </w:p>
        </w:tc>
        <w:tc>
          <w:tcPr>
            <w:tcW w:w="183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Observed Coefficient of Variation (C</w:t>
            </w:r>
            <w:r w:rsidRPr="00F17578">
              <w:rPr>
                <w:b/>
                <w:bCs/>
                <w:color w:val="FFFFFF"/>
                <w:sz w:val="19"/>
                <w:szCs w:val="19"/>
                <w:vertAlign w:val="subscript"/>
              </w:rPr>
              <w:t>v</w:t>
            </w:r>
            <w:r w:rsidRPr="00F17578">
              <w:rPr>
                <w:b/>
                <w:bCs/>
                <w:color w:val="FFFFFF"/>
                <w:sz w:val="19"/>
                <w:szCs w:val="19"/>
              </w:rPr>
              <w:t>) or Proportion in Sample Design for Demand</w:t>
            </w:r>
          </w:p>
        </w:tc>
        <w:tc>
          <w:tcPr>
            <w:tcW w:w="1802"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Relative Precision at 85% C.L. for Demand</w:t>
            </w:r>
          </w:p>
        </w:tc>
      </w:tr>
      <w:tr w:rsidR="00A874AC" w:rsidRPr="00F17578" w:rsidTr="004F3A51">
        <w:trPr>
          <w:trHeight w:val="288"/>
        </w:trPr>
        <w:tc>
          <w:tcPr>
            <w:tcW w:w="2121" w:type="dxa"/>
            <w:shd w:val="clear" w:color="auto" w:fill="D2EAF1"/>
          </w:tcPr>
          <w:p w:rsidR="00C21C45" w:rsidRPr="00F17578" w:rsidRDefault="00C21C45" w:rsidP="00C21C45">
            <w:pPr>
              <w:jc w:val="left"/>
              <w:rPr>
                <w:bCs/>
                <w:color w:val="000000"/>
                <w:sz w:val="19"/>
                <w:szCs w:val="19"/>
              </w:rPr>
            </w:pPr>
            <w:r w:rsidRPr="00F17578">
              <w:rPr>
                <w:bCs/>
                <w:color w:val="000000"/>
                <w:sz w:val="19"/>
                <w:szCs w:val="19"/>
              </w:rPr>
              <w:t>Industrial – Large</w:t>
            </w:r>
          </w:p>
        </w:tc>
        <w:tc>
          <w:tcPr>
            <w:tcW w:w="1839" w:type="dxa"/>
            <w:shd w:val="clear" w:color="auto" w:fill="D2EAF1"/>
            <w:noWrap/>
          </w:tcPr>
          <w:p w:rsidR="00C21C45" w:rsidRPr="00F17578" w:rsidRDefault="00C21C45" w:rsidP="00C21C45">
            <w:pPr>
              <w:jc w:val="center"/>
              <w:rPr>
                <w:color w:val="000000"/>
                <w:sz w:val="19"/>
                <w:szCs w:val="19"/>
              </w:rPr>
            </w:pPr>
            <w:r w:rsidRPr="00F17578">
              <w:rPr>
                <w:sz w:val="19"/>
                <w:szCs w:val="19"/>
              </w:rPr>
              <w:t>0.05</w:t>
            </w:r>
          </w:p>
        </w:tc>
        <w:tc>
          <w:tcPr>
            <w:tcW w:w="1839" w:type="dxa"/>
            <w:shd w:val="clear" w:color="auto" w:fill="D2EAF1"/>
            <w:noWrap/>
          </w:tcPr>
          <w:p w:rsidR="00C21C45" w:rsidRPr="00F17578" w:rsidRDefault="00C21C45" w:rsidP="00C21C45">
            <w:pPr>
              <w:jc w:val="center"/>
              <w:rPr>
                <w:sz w:val="19"/>
                <w:szCs w:val="19"/>
              </w:rPr>
            </w:pPr>
            <w:r w:rsidRPr="00F17578">
              <w:rPr>
                <w:sz w:val="19"/>
                <w:szCs w:val="19"/>
              </w:rPr>
              <w:t>2.7%</w:t>
            </w:r>
          </w:p>
        </w:tc>
        <w:tc>
          <w:tcPr>
            <w:tcW w:w="1839" w:type="dxa"/>
            <w:shd w:val="clear" w:color="auto" w:fill="D2EAF1"/>
            <w:noWrap/>
          </w:tcPr>
          <w:p w:rsidR="00C21C45" w:rsidRPr="00F17578" w:rsidRDefault="00C21C45" w:rsidP="00C21C45">
            <w:pPr>
              <w:jc w:val="center"/>
              <w:rPr>
                <w:sz w:val="19"/>
                <w:szCs w:val="19"/>
              </w:rPr>
            </w:pPr>
            <w:r w:rsidRPr="00F17578">
              <w:rPr>
                <w:sz w:val="19"/>
                <w:szCs w:val="19"/>
              </w:rPr>
              <w:t>0.16</w:t>
            </w:r>
          </w:p>
        </w:tc>
        <w:tc>
          <w:tcPr>
            <w:tcW w:w="1802" w:type="dxa"/>
            <w:shd w:val="clear" w:color="auto" w:fill="D2EAF1"/>
            <w:noWrap/>
          </w:tcPr>
          <w:p w:rsidR="00C21C45" w:rsidRPr="00F17578" w:rsidRDefault="00C21C45" w:rsidP="00C21C45">
            <w:pPr>
              <w:jc w:val="center"/>
              <w:rPr>
                <w:sz w:val="19"/>
                <w:szCs w:val="19"/>
              </w:rPr>
            </w:pPr>
            <w:r w:rsidRPr="00F17578">
              <w:rPr>
                <w:sz w:val="19"/>
                <w:szCs w:val="19"/>
              </w:rPr>
              <w:t>8.9%</w:t>
            </w:r>
          </w:p>
        </w:tc>
      </w:tr>
      <w:tr w:rsidR="00C21C45" w:rsidRPr="00F17578" w:rsidTr="004F3A51">
        <w:trPr>
          <w:trHeight w:val="288"/>
        </w:trPr>
        <w:tc>
          <w:tcPr>
            <w:tcW w:w="2121" w:type="dxa"/>
            <w:shd w:val="clear" w:color="auto" w:fill="auto"/>
          </w:tcPr>
          <w:p w:rsidR="00C21C45" w:rsidRPr="00F17578" w:rsidRDefault="00C21C45" w:rsidP="00C21C45">
            <w:pPr>
              <w:jc w:val="left"/>
              <w:rPr>
                <w:bCs/>
                <w:color w:val="000000"/>
                <w:sz w:val="19"/>
                <w:szCs w:val="19"/>
              </w:rPr>
            </w:pPr>
            <w:r w:rsidRPr="00F17578">
              <w:rPr>
                <w:bCs/>
                <w:color w:val="000000"/>
                <w:sz w:val="19"/>
                <w:szCs w:val="19"/>
              </w:rPr>
              <w:t>Industrial – Medium</w:t>
            </w:r>
          </w:p>
        </w:tc>
        <w:tc>
          <w:tcPr>
            <w:tcW w:w="1839" w:type="dxa"/>
            <w:shd w:val="clear" w:color="auto" w:fill="auto"/>
            <w:noWrap/>
          </w:tcPr>
          <w:p w:rsidR="00C21C45" w:rsidRPr="00F17578" w:rsidRDefault="00C21C45" w:rsidP="00C21C45">
            <w:pPr>
              <w:jc w:val="center"/>
              <w:rPr>
                <w:sz w:val="19"/>
                <w:szCs w:val="19"/>
              </w:rPr>
            </w:pPr>
            <w:r w:rsidRPr="00F17578">
              <w:rPr>
                <w:sz w:val="19"/>
                <w:szCs w:val="19"/>
              </w:rPr>
              <w:t>0.13</w:t>
            </w:r>
          </w:p>
        </w:tc>
        <w:tc>
          <w:tcPr>
            <w:tcW w:w="1839" w:type="dxa"/>
            <w:shd w:val="clear" w:color="auto" w:fill="auto"/>
            <w:noWrap/>
          </w:tcPr>
          <w:p w:rsidR="00C21C45" w:rsidRPr="00F17578" w:rsidRDefault="00C21C45" w:rsidP="00C21C45">
            <w:pPr>
              <w:jc w:val="center"/>
              <w:rPr>
                <w:sz w:val="19"/>
                <w:szCs w:val="19"/>
              </w:rPr>
            </w:pPr>
            <w:r w:rsidRPr="00F17578">
              <w:rPr>
                <w:sz w:val="19"/>
                <w:szCs w:val="19"/>
              </w:rPr>
              <w:t>6.0%</w:t>
            </w:r>
          </w:p>
        </w:tc>
        <w:tc>
          <w:tcPr>
            <w:tcW w:w="1839" w:type="dxa"/>
            <w:shd w:val="clear" w:color="auto" w:fill="auto"/>
            <w:noWrap/>
          </w:tcPr>
          <w:p w:rsidR="00C21C45" w:rsidRPr="00F17578" w:rsidRDefault="00C21C45" w:rsidP="00C21C45">
            <w:pPr>
              <w:jc w:val="center"/>
              <w:rPr>
                <w:sz w:val="19"/>
                <w:szCs w:val="19"/>
              </w:rPr>
            </w:pPr>
            <w:r w:rsidRPr="00F17578">
              <w:rPr>
                <w:sz w:val="19"/>
                <w:szCs w:val="19"/>
              </w:rPr>
              <w:t>0.47</w:t>
            </w:r>
          </w:p>
        </w:tc>
        <w:tc>
          <w:tcPr>
            <w:tcW w:w="1802" w:type="dxa"/>
            <w:shd w:val="clear" w:color="auto" w:fill="auto"/>
            <w:noWrap/>
          </w:tcPr>
          <w:p w:rsidR="00C21C45" w:rsidRPr="00F17578" w:rsidRDefault="00C21C45" w:rsidP="00C21C45">
            <w:pPr>
              <w:jc w:val="center"/>
              <w:rPr>
                <w:sz w:val="19"/>
                <w:szCs w:val="19"/>
              </w:rPr>
            </w:pPr>
            <w:r w:rsidRPr="00F17578">
              <w:rPr>
                <w:sz w:val="19"/>
                <w:szCs w:val="19"/>
              </w:rPr>
              <w:t>22.0%</w:t>
            </w:r>
          </w:p>
        </w:tc>
      </w:tr>
      <w:tr w:rsidR="00A874AC" w:rsidRPr="00F17578" w:rsidTr="004F3A51">
        <w:trPr>
          <w:trHeight w:val="288"/>
        </w:trPr>
        <w:tc>
          <w:tcPr>
            <w:tcW w:w="2121" w:type="dxa"/>
            <w:shd w:val="clear" w:color="auto" w:fill="D2EAF1"/>
          </w:tcPr>
          <w:p w:rsidR="00C21C45" w:rsidRPr="00F17578" w:rsidRDefault="00C21C45" w:rsidP="00C21C45">
            <w:pPr>
              <w:jc w:val="left"/>
              <w:rPr>
                <w:bCs/>
                <w:color w:val="000000"/>
                <w:sz w:val="19"/>
                <w:szCs w:val="19"/>
              </w:rPr>
            </w:pPr>
            <w:r w:rsidRPr="00F17578">
              <w:rPr>
                <w:bCs/>
                <w:color w:val="000000"/>
                <w:sz w:val="19"/>
                <w:szCs w:val="19"/>
              </w:rPr>
              <w:t>Industrial – Small</w:t>
            </w:r>
          </w:p>
        </w:tc>
        <w:tc>
          <w:tcPr>
            <w:tcW w:w="1839" w:type="dxa"/>
            <w:shd w:val="clear" w:color="auto" w:fill="D2EAF1"/>
            <w:noWrap/>
          </w:tcPr>
          <w:p w:rsidR="00C21C45" w:rsidRPr="00F17578" w:rsidRDefault="00C21C45" w:rsidP="00C21C45">
            <w:pPr>
              <w:jc w:val="center"/>
              <w:rPr>
                <w:sz w:val="19"/>
                <w:szCs w:val="19"/>
              </w:rPr>
            </w:pPr>
            <w:r w:rsidRPr="00F17578">
              <w:rPr>
                <w:sz w:val="19"/>
                <w:szCs w:val="19"/>
              </w:rPr>
              <w:t>0.01</w:t>
            </w:r>
          </w:p>
        </w:tc>
        <w:tc>
          <w:tcPr>
            <w:tcW w:w="1839" w:type="dxa"/>
            <w:shd w:val="clear" w:color="auto" w:fill="D2EAF1"/>
            <w:noWrap/>
          </w:tcPr>
          <w:p w:rsidR="00C21C45" w:rsidRPr="00F17578" w:rsidRDefault="00C21C45" w:rsidP="00C21C45">
            <w:pPr>
              <w:jc w:val="center"/>
              <w:rPr>
                <w:sz w:val="19"/>
                <w:szCs w:val="19"/>
              </w:rPr>
            </w:pPr>
            <w:r w:rsidRPr="00F17578">
              <w:rPr>
                <w:sz w:val="19"/>
                <w:szCs w:val="19"/>
              </w:rPr>
              <w:t>0.8%</w:t>
            </w:r>
          </w:p>
        </w:tc>
        <w:tc>
          <w:tcPr>
            <w:tcW w:w="1839" w:type="dxa"/>
            <w:shd w:val="clear" w:color="auto" w:fill="D2EAF1"/>
            <w:noWrap/>
          </w:tcPr>
          <w:p w:rsidR="00C21C45" w:rsidRPr="00F17578" w:rsidRDefault="00C21C45" w:rsidP="00C21C45">
            <w:pPr>
              <w:jc w:val="center"/>
              <w:rPr>
                <w:sz w:val="19"/>
                <w:szCs w:val="19"/>
              </w:rPr>
            </w:pPr>
            <w:r w:rsidRPr="00F17578">
              <w:rPr>
                <w:sz w:val="19"/>
                <w:szCs w:val="19"/>
              </w:rPr>
              <w:t>0.00</w:t>
            </w:r>
          </w:p>
        </w:tc>
        <w:tc>
          <w:tcPr>
            <w:tcW w:w="1802" w:type="dxa"/>
            <w:shd w:val="clear" w:color="auto" w:fill="D2EAF1"/>
            <w:noWrap/>
          </w:tcPr>
          <w:p w:rsidR="00C21C45" w:rsidRPr="00F17578" w:rsidRDefault="00C21C45" w:rsidP="00C21C45">
            <w:pPr>
              <w:jc w:val="center"/>
              <w:rPr>
                <w:sz w:val="19"/>
                <w:szCs w:val="19"/>
              </w:rPr>
            </w:pPr>
            <w:r w:rsidRPr="00F17578">
              <w:rPr>
                <w:sz w:val="19"/>
                <w:szCs w:val="19"/>
              </w:rPr>
              <w:t>0.2%</w:t>
            </w:r>
          </w:p>
        </w:tc>
      </w:tr>
      <w:tr w:rsidR="00E7173E" w:rsidRPr="00F17578" w:rsidTr="004F3A51">
        <w:trPr>
          <w:trHeight w:val="288"/>
        </w:trPr>
        <w:tc>
          <w:tcPr>
            <w:tcW w:w="2121" w:type="dxa"/>
            <w:shd w:val="clear" w:color="auto" w:fill="auto"/>
          </w:tcPr>
          <w:p w:rsidR="00AE303A" w:rsidRPr="00F17578" w:rsidRDefault="00AE303A" w:rsidP="00380FF9">
            <w:pPr>
              <w:jc w:val="left"/>
              <w:rPr>
                <w:b/>
                <w:bCs/>
                <w:color w:val="000000"/>
                <w:sz w:val="19"/>
                <w:szCs w:val="19"/>
              </w:rPr>
            </w:pPr>
            <w:r w:rsidRPr="00F17578">
              <w:rPr>
                <w:b/>
                <w:bCs/>
                <w:color w:val="000000"/>
                <w:sz w:val="19"/>
                <w:szCs w:val="19"/>
              </w:rPr>
              <w:t>Program Total</w:t>
            </w:r>
          </w:p>
        </w:tc>
        <w:tc>
          <w:tcPr>
            <w:tcW w:w="1839" w:type="dxa"/>
            <w:shd w:val="clear" w:color="auto" w:fill="auto"/>
            <w:noWrap/>
          </w:tcPr>
          <w:p w:rsidR="00AE303A" w:rsidRPr="00F17578" w:rsidRDefault="00AE303A" w:rsidP="00380FF9">
            <w:pPr>
              <w:jc w:val="center"/>
              <w:rPr>
                <w:b/>
                <w:sz w:val="19"/>
                <w:szCs w:val="19"/>
              </w:rPr>
            </w:pPr>
          </w:p>
        </w:tc>
        <w:tc>
          <w:tcPr>
            <w:tcW w:w="1839" w:type="dxa"/>
            <w:shd w:val="clear" w:color="auto" w:fill="auto"/>
            <w:noWrap/>
          </w:tcPr>
          <w:p w:rsidR="00AE303A" w:rsidRPr="00F17578" w:rsidRDefault="00AE303A" w:rsidP="00380FF9">
            <w:pPr>
              <w:jc w:val="center"/>
              <w:rPr>
                <w:b/>
                <w:sz w:val="19"/>
                <w:szCs w:val="19"/>
              </w:rPr>
            </w:pPr>
            <w:r w:rsidRPr="00F17578">
              <w:rPr>
                <w:b/>
                <w:sz w:val="19"/>
                <w:szCs w:val="19"/>
              </w:rPr>
              <w:t>1.9%</w:t>
            </w:r>
          </w:p>
        </w:tc>
        <w:tc>
          <w:tcPr>
            <w:tcW w:w="1839" w:type="dxa"/>
            <w:shd w:val="clear" w:color="auto" w:fill="auto"/>
            <w:noWrap/>
          </w:tcPr>
          <w:p w:rsidR="00AE303A" w:rsidRPr="00F17578" w:rsidRDefault="00AE303A" w:rsidP="00380FF9">
            <w:pPr>
              <w:jc w:val="center"/>
              <w:rPr>
                <w:b/>
                <w:sz w:val="19"/>
                <w:szCs w:val="19"/>
              </w:rPr>
            </w:pPr>
          </w:p>
        </w:tc>
        <w:tc>
          <w:tcPr>
            <w:tcW w:w="1802" w:type="dxa"/>
            <w:shd w:val="clear" w:color="auto" w:fill="auto"/>
            <w:noWrap/>
          </w:tcPr>
          <w:p w:rsidR="00AE303A" w:rsidRPr="00F17578" w:rsidRDefault="00AE303A" w:rsidP="00380FF9">
            <w:pPr>
              <w:jc w:val="center"/>
              <w:rPr>
                <w:b/>
                <w:sz w:val="19"/>
                <w:szCs w:val="19"/>
              </w:rPr>
            </w:pPr>
            <w:r w:rsidRPr="00F17578">
              <w:rPr>
                <w:b/>
                <w:sz w:val="19"/>
                <w:szCs w:val="19"/>
              </w:rPr>
              <w:t>6.4%</w:t>
            </w:r>
          </w:p>
        </w:tc>
      </w:tr>
    </w:tbl>
    <w:p w:rsidR="00AE303A" w:rsidRPr="006E6583" w:rsidRDefault="00AE303A" w:rsidP="00AE303A"/>
    <w:p w:rsidR="00AE303A" w:rsidRPr="006E6583" w:rsidRDefault="00AE303A" w:rsidP="008C7396">
      <w:pPr>
        <w:pStyle w:val="AppendixAHeading5"/>
      </w:pPr>
      <w:r w:rsidRPr="006E6583">
        <w:t>GNI Program Group</w:t>
      </w:r>
    </w:p>
    <w:p w:rsidR="00AE303A" w:rsidRPr="006E6583" w:rsidRDefault="00AE303A" w:rsidP="00AE303A">
      <w:r w:rsidRPr="006E6583">
        <w:t xml:space="preserve">The GNI Program Group was treated as its own evaluation group, in accordance with the Evaluation Framework, because </w:t>
      </w:r>
      <w:r w:rsidRPr="006E6583">
        <w:rPr>
          <w:rFonts w:cs="Calibri"/>
        </w:rPr>
        <w:t>savings exceeded 20% of the non-residential sector savings in the previous year.</w:t>
      </w:r>
      <w:r w:rsidRPr="006E6583">
        <w:t xml:space="preserve"> Similar to </w:t>
      </w:r>
      <w:r>
        <w:t xml:space="preserve">in </w:t>
      </w:r>
      <w:r w:rsidRPr="006E6583">
        <w:t xml:space="preserve">the Commercial Program Group, the GNI Program Group sampling approach was at the project level. Two strata were defined in the GNI Program Group: </w:t>
      </w:r>
      <w:r>
        <w:t>s</w:t>
      </w:r>
      <w:r w:rsidRPr="006E6583">
        <w:t xml:space="preserve">mall and </w:t>
      </w:r>
      <w:r>
        <w:t>l</w:t>
      </w:r>
      <w:r w:rsidRPr="006E6583">
        <w:t xml:space="preserve">arge. The sampling strategy for the GNI Program Group is shown in </w:t>
      </w:r>
      <w:r w:rsidRPr="006E6583">
        <w:fldChar w:fldCharType="begin"/>
      </w:r>
      <w:r w:rsidRPr="006E6583">
        <w:instrText xml:space="preserve"> REF _Ref433895925 \h  \* MERGEFORMAT </w:instrText>
      </w:r>
      <w:r w:rsidRPr="006E6583">
        <w:fldChar w:fldCharType="separate"/>
      </w:r>
      <w:r w:rsidR="00037CB4" w:rsidRPr="00B81A2F">
        <w:t>Table A-16</w:t>
      </w:r>
      <w:r w:rsidRPr="006E6583">
        <w:fldChar w:fldCharType="end"/>
      </w:r>
      <w:r w:rsidRPr="006E6583">
        <w:t xml:space="preserve">, and the achieved precision values are shown in </w:t>
      </w:r>
      <w:r w:rsidRPr="006E6583">
        <w:fldChar w:fldCharType="begin"/>
      </w:r>
      <w:r w:rsidRPr="006E6583">
        <w:instrText xml:space="preserve"> REF _Ref440034426 \h  \* MERGEFORMAT </w:instrText>
      </w:r>
      <w:r w:rsidRPr="006E6583">
        <w:fldChar w:fldCharType="separate"/>
      </w:r>
      <w:r w:rsidR="00037CB4" w:rsidRPr="00B81A2F">
        <w:rPr>
          <w:bCs/>
        </w:rPr>
        <w:t>Table A-17</w:t>
      </w:r>
      <w:r w:rsidRPr="006E6583">
        <w:fldChar w:fldCharType="end"/>
      </w:r>
      <w:r w:rsidRPr="006E6583">
        <w:t xml:space="preserve">. </w:t>
      </w:r>
      <w:bookmarkStart w:id="580" w:name="_Ref409136969"/>
    </w:p>
    <w:p w:rsidR="00AE303A" w:rsidRPr="006E6583" w:rsidRDefault="00AE303A" w:rsidP="00AE303A"/>
    <w:p w:rsidR="00AE303A" w:rsidRPr="006E6583" w:rsidRDefault="00AE303A" w:rsidP="00AE303A">
      <w:pPr>
        <w:spacing w:after="120"/>
        <w:jc w:val="center"/>
        <w:rPr>
          <w:rFonts w:ascii="Century Gothic" w:hAnsi="Century Gothic"/>
          <w:b/>
          <w:bCs/>
          <w:sz w:val="18"/>
          <w:szCs w:val="18"/>
        </w:rPr>
      </w:pPr>
      <w:bookmarkStart w:id="581" w:name="_Ref433895925"/>
      <w:bookmarkStart w:id="582" w:name="_Toc410199381"/>
      <w:bookmarkStart w:id="583" w:name="_Toc431462326"/>
      <w:bookmarkStart w:id="584" w:name="_Toc444269842"/>
      <w:bookmarkStart w:id="585" w:name="_Toc472472425"/>
      <w:bookmarkStart w:id="586" w:name="_Toc488741844"/>
      <w:bookmarkEnd w:id="580"/>
      <w:r w:rsidRPr="006E6583">
        <w:rPr>
          <w:rFonts w:ascii="Century Gothic" w:hAnsi="Century Gothic"/>
          <w:b/>
          <w:bCs/>
          <w:sz w:val="18"/>
          <w:szCs w:val="18"/>
        </w:rPr>
        <w:t>Table A-</w:t>
      </w:r>
      <w:r w:rsidRPr="006E6583">
        <w:rPr>
          <w:rFonts w:ascii="Century Gothic" w:hAnsi="Century Gothic"/>
          <w:b/>
          <w:bCs/>
          <w:sz w:val="18"/>
          <w:szCs w:val="18"/>
        </w:rPr>
        <w:fldChar w:fldCharType="begin"/>
      </w:r>
      <w:r w:rsidRPr="006E6583">
        <w:rPr>
          <w:rFonts w:ascii="Century Gothic" w:hAnsi="Century Gothic"/>
          <w:b/>
          <w:bCs/>
          <w:sz w:val="18"/>
          <w:szCs w:val="18"/>
        </w:rPr>
        <w:instrText xml:space="preserve"> SEQ Table_A- \* ARABIC </w:instrText>
      </w:r>
      <w:r w:rsidRPr="006E6583">
        <w:rPr>
          <w:rFonts w:ascii="Century Gothic" w:hAnsi="Century Gothic"/>
          <w:b/>
          <w:bCs/>
          <w:sz w:val="18"/>
          <w:szCs w:val="18"/>
        </w:rPr>
        <w:fldChar w:fldCharType="separate"/>
      </w:r>
      <w:r w:rsidR="00037CB4">
        <w:rPr>
          <w:rFonts w:ascii="Century Gothic" w:hAnsi="Century Gothic"/>
          <w:b/>
          <w:bCs/>
          <w:noProof/>
          <w:sz w:val="18"/>
          <w:szCs w:val="18"/>
        </w:rPr>
        <w:t>16</w:t>
      </w:r>
      <w:r w:rsidRPr="006E6583">
        <w:rPr>
          <w:rFonts w:ascii="Century Gothic" w:hAnsi="Century Gothic"/>
          <w:b/>
          <w:bCs/>
          <w:sz w:val="18"/>
          <w:szCs w:val="18"/>
        </w:rPr>
        <w:fldChar w:fldCharType="end"/>
      </w:r>
      <w:bookmarkEnd w:id="581"/>
      <w:r w:rsidRPr="006E6583">
        <w:rPr>
          <w:rFonts w:ascii="Century Gothic" w:hAnsi="Century Gothic"/>
          <w:b/>
          <w:bCs/>
          <w:sz w:val="18"/>
          <w:szCs w:val="18"/>
        </w:rPr>
        <w:t>: Duquesne’s PY7 Sampling Strategy – GNI Program Group</w:t>
      </w:r>
      <w:bookmarkEnd w:id="582"/>
      <w:bookmarkEnd w:id="583"/>
      <w:bookmarkEnd w:id="584"/>
      <w:bookmarkEnd w:id="585"/>
      <w:bookmarkEnd w:id="586"/>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21"/>
        <w:gridCol w:w="1889"/>
        <w:gridCol w:w="1889"/>
        <w:gridCol w:w="1889"/>
        <w:gridCol w:w="1772"/>
      </w:tblGrid>
      <w:tr w:rsidR="00A874AC" w:rsidRPr="00F17578" w:rsidTr="00F17578">
        <w:trPr>
          <w:trHeight w:val="20"/>
        </w:trPr>
        <w:tc>
          <w:tcPr>
            <w:tcW w:w="1921" w:type="dxa"/>
            <w:shd w:val="clear" w:color="auto" w:fill="448A99"/>
            <w:vAlign w:val="bottom"/>
            <w:hideMark/>
          </w:tcPr>
          <w:p w:rsidR="00AE303A" w:rsidRPr="00F17578" w:rsidRDefault="00AE303A" w:rsidP="00380FF9">
            <w:pPr>
              <w:jc w:val="left"/>
              <w:rPr>
                <w:b/>
                <w:bCs/>
                <w:color w:val="FFFFFF"/>
                <w:sz w:val="19"/>
                <w:szCs w:val="19"/>
              </w:rPr>
            </w:pPr>
            <w:r w:rsidRPr="00F17578">
              <w:rPr>
                <w:b/>
                <w:bCs/>
                <w:color w:val="FFFFFF"/>
                <w:sz w:val="19"/>
                <w:szCs w:val="19"/>
              </w:rPr>
              <w:t>Stratum</w:t>
            </w:r>
          </w:p>
        </w:tc>
        <w:tc>
          <w:tcPr>
            <w:tcW w:w="188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Population</w:t>
            </w:r>
          </w:p>
        </w:tc>
        <w:tc>
          <w:tcPr>
            <w:tcW w:w="188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Target Levels of Confidence &amp; Precision</w:t>
            </w:r>
          </w:p>
        </w:tc>
        <w:tc>
          <w:tcPr>
            <w:tcW w:w="188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Target Sample Size</w:t>
            </w:r>
          </w:p>
        </w:tc>
        <w:tc>
          <w:tcPr>
            <w:tcW w:w="1772"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Achieved Sample Size</w:t>
            </w:r>
          </w:p>
        </w:tc>
      </w:tr>
      <w:tr w:rsidR="00A874AC" w:rsidRPr="00F17578" w:rsidTr="00F17578">
        <w:trPr>
          <w:trHeight w:val="302"/>
        </w:trPr>
        <w:tc>
          <w:tcPr>
            <w:tcW w:w="1921" w:type="dxa"/>
            <w:shd w:val="clear" w:color="auto" w:fill="D2EAF1"/>
          </w:tcPr>
          <w:p w:rsidR="00AE303A" w:rsidRPr="00F17578" w:rsidRDefault="00AE303A" w:rsidP="008D11AB">
            <w:pPr>
              <w:jc w:val="left"/>
              <w:rPr>
                <w:bCs/>
                <w:color w:val="000000"/>
                <w:sz w:val="19"/>
                <w:szCs w:val="19"/>
              </w:rPr>
            </w:pPr>
            <w:r w:rsidRPr="00F17578">
              <w:rPr>
                <w:bCs/>
                <w:color w:val="000000"/>
                <w:sz w:val="19"/>
                <w:szCs w:val="19"/>
              </w:rPr>
              <w:t xml:space="preserve">GNI – </w:t>
            </w:r>
            <w:r w:rsidR="008D11AB" w:rsidRPr="00F17578">
              <w:rPr>
                <w:bCs/>
                <w:color w:val="000000"/>
                <w:sz w:val="19"/>
                <w:szCs w:val="19"/>
              </w:rPr>
              <w:t>L</w:t>
            </w:r>
            <w:r w:rsidRPr="00F17578">
              <w:rPr>
                <w:bCs/>
                <w:color w:val="000000"/>
                <w:sz w:val="19"/>
                <w:szCs w:val="19"/>
              </w:rPr>
              <w:t>arge</w:t>
            </w:r>
          </w:p>
        </w:tc>
        <w:tc>
          <w:tcPr>
            <w:tcW w:w="1889" w:type="dxa"/>
            <w:shd w:val="clear" w:color="auto" w:fill="D2EAF1"/>
            <w:noWrap/>
          </w:tcPr>
          <w:p w:rsidR="00AE303A" w:rsidRPr="00F17578" w:rsidRDefault="00AE303A" w:rsidP="00380FF9">
            <w:pPr>
              <w:jc w:val="center"/>
              <w:rPr>
                <w:sz w:val="19"/>
                <w:szCs w:val="19"/>
              </w:rPr>
            </w:pPr>
            <w:r w:rsidRPr="00F17578">
              <w:rPr>
                <w:sz w:val="19"/>
                <w:szCs w:val="19"/>
              </w:rPr>
              <w:t>7</w:t>
            </w:r>
          </w:p>
        </w:tc>
        <w:tc>
          <w:tcPr>
            <w:tcW w:w="1889" w:type="dxa"/>
            <w:shd w:val="clear" w:color="auto" w:fill="D2EAF1"/>
            <w:noWrap/>
          </w:tcPr>
          <w:p w:rsidR="00AE303A" w:rsidRPr="00F17578" w:rsidRDefault="00AE303A" w:rsidP="00380FF9">
            <w:pPr>
              <w:jc w:val="center"/>
              <w:rPr>
                <w:sz w:val="19"/>
                <w:szCs w:val="19"/>
              </w:rPr>
            </w:pPr>
            <w:r w:rsidRPr="00F17578">
              <w:rPr>
                <w:sz w:val="19"/>
                <w:szCs w:val="19"/>
              </w:rPr>
              <w:t>85</w:t>
            </w:r>
            <w:r w:rsidR="00507295" w:rsidRPr="00F17578">
              <w:rPr>
                <w:sz w:val="19"/>
                <w:szCs w:val="19"/>
              </w:rPr>
              <w:t>%</w:t>
            </w:r>
            <w:r w:rsidRPr="00F17578">
              <w:rPr>
                <w:sz w:val="19"/>
                <w:szCs w:val="19"/>
              </w:rPr>
              <w:t>/15%</w:t>
            </w:r>
          </w:p>
        </w:tc>
        <w:tc>
          <w:tcPr>
            <w:tcW w:w="1889" w:type="dxa"/>
            <w:shd w:val="clear" w:color="auto" w:fill="D2EAF1"/>
            <w:noWrap/>
          </w:tcPr>
          <w:p w:rsidR="00AE303A" w:rsidRPr="00F17578" w:rsidRDefault="00AE303A" w:rsidP="00380FF9">
            <w:pPr>
              <w:jc w:val="center"/>
              <w:rPr>
                <w:sz w:val="19"/>
                <w:szCs w:val="19"/>
              </w:rPr>
            </w:pPr>
            <w:r w:rsidRPr="00F17578">
              <w:rPr>
                <w:sz w:val="19"/>
                <w:szCs w:val="19"/>
              </w:rPr>
              <w:t>5</w:t>
            </w:r>
          </w:p>
        </w:tc>
        <w:tc>
          <w:tcPr>
            <w:tcW w:w="1772" w:type="dxa"/>
            <w:shd w:val="clear" w:color="auto" w:fill="D2EAF1"/>
            <w:noWrap/>
          </w:tcPr>
          <w:p w:rsidR="00AE303A" w:rsidRPr="00F17578" w:rsidRDefault="00AE303A" w:rsidP="00380FF9">
            <w:pPr>
              <w:jc w:val="center"/>
              <w:rPr>
                <w:sz w:val="19"/>
                <w:szCs w:val="19"/>
              </w:rPr>
            </w:pPr>
            <w:r w:rsidRPr="00F17578">
              <w:rPr>
                <w:sz w:val="19"/>
                <w:szCs w:val="19"/>
              </w:rPr>
              <w:t>7</w:t>
            </w:r>
          </w:p>
        </w:tc>
      </w:tr>
      <w:tr w:rsidR="00E7173E" w:rsidRPr="00F17578" w:rsidTr="00F17578">
        <w:trPr>
          <w:trHeight w:val="302"/>
        </w:trPr>
        <w:tc>
          <w:tcPr>
            <w:tcW w:w="1921" w:type="dxa"/>
            <w:shd w:val="clear" w:color="auto" w:fill="auto"/>
          </w:tcPr>
          <w:p w:rsidR="00AE303A" w:rsidRPr="00F17578" w:rsidRDefault="00AE303A" w:rsidP="008D11AB">
            <w:pPr>
              <w:jc w:val="left"/>
              <w:rPr>
                <w:bCs/>
                <w:color w:val="000000"/>
                <w:sz w:val="19"/>
                <w:szCs w:val="19"/>
              </w:rPr>
            </w:pPr>
            <w:r w:rsidRPr="00F17578">
              <w:rPr>
                <w:bCs/>
                <w:color w:val="000000"/>
                <w:sz w:val="19"/>
                <w:szCs w:val="19"/>
              </w:rPr>
              <w:t xml:space="preserve">GNI – </w:t>
            </w:r>
            <w:r w:rsidR="008D11AB" w:rsidRPr="00F17578">
              <w:rPr>
                <w:bCs/>
                <w:color w:val="000000"/>
                <w:sz w:val="19"/>
                <w:szCs w:val="19"/>
              </w:rPr>
              <w:t>S</w:t>
            </w:r>
            <w:r w:rsidRPr="00F17578">
              <w:rPr>
                <w:bCs/>
                <w:color w:val="000000"/>
                <w:sz w:val="19"/>
                <w:szCs w:val="19"/>
              </w:rPr>
              <w:t>mall</w:t>
            </w:r>
          </w:p>
        </w:tc>
        <w:tc>
          <w:tcPr>
            <w:tcW w:w="1889" w:type="dxa"/>
            <w:shd w:val="clear" w:color="auto" w:fill="auto"/>
            <w:noWrap/>
          </w:tcPr>
          <w:p w:rsidR="00AE303A" w:rsidRPr="00F17578" w:rsidRDefault="00AE303A" w:rsidP="00380FF9">
            <w:pPr>
              <w:jc w:val="center"/>
              <w:rPr>
                <w:sz w:val="19"/>
                <w:szCs w:val="19"/>
              </w:rPr>
            </w:pPr>
            <w:r w:rsidRPr="00F17578">
              <w:rPr>
                <w:sz w:val="19"/>
                <w:szCs w:val="19"/>
              </w:rPr>
              <w:t>55</w:t>
            </w:r>
          </w:p>
        </w:tc>
        <w:tc>
          <w:tcPr>
            <w:tcW w:w="1889" w:type="dxa"/>
            <w:shd w:val="clear" w:color="auto" w:fill="auto"/>
            <w:noWrap/>
          </w:tcPr>
          <w:p w:rsidR="00AE303A" w:rsidRPr="00F17578" w:rsidRDefault="00AE303A" w:rsidP="00380FF9">
            <w:pPr>
              <w:jc w:val="center"/>
              <w:rPr>
                <w:sz w:val="19"/>
                <w:szCs w:val="19"/>
              </w:rPr>
            </w:pPr>
            <w:r w:rsidRPr="00F17578">
              <w:rPr>
                <w:sz w:val="19"/>
                <w:szCs w:val="19"/>
              </w:rPr>
              <w:t>85%/15%</w:t>
            </w:r>
          </w:p>
        </w:tc>
        <w:tc>
          <w:tcPr>
            <w:tcW w:w="1889" w:type="dxa"/>
            <w:shd w:val="clear" w:color="auto" w:fill="auto"/>
            <w:noWrap/>
          </w:tcPr>
          <w:p w:rsidR="00AE303A" w:rsidRPr="00F17578" w:rsidRDefault="00AE303A" w:rsidP="00380FF9">
            <w:pPr>
              <w:jc w:val="center"/>
              <w:rPr>
                <w:sz w:val="19"/>
                <w:szCs w:val="19"/>
              </w:rPr>
            </w:pPr>
            <w:r w:rsidRPr="00F17578">
              <w:rPr>
                <w:sz w:val="19"/>
                <w:szCs w:val="19"/>
              </w:rPr>
              <w:t>8</w:t>
            </w:r>
          </w:p>
        </w:tc>
        <w:tc>
          <w:tcPr>
            <w:tcW w:w="1772" w:type="dxa"/>
            <w:shd w:val="clear" w:color="auto" w:fill="auto"/>
            <w:noWrap/>
          </w:tcPr>
          <w:p w:rsidR="00AE303A" w:rsidRPr="00F17578" w:rsidRDefault="00AE303A" w:rsidP="00380FF9">
            <w:pPr>
              <w:jc w:val="center"/>
              <w:rPr>
                <w:sz w:val="19"/>
                <w:szCs w:val="19"/>
              </w:rPr>
            </w:pPr>
            <w:r w:rsidRPr="00F17578">
              <w:rPr>
                <w:sz w:val="19"/>
                <w:szCs w:val="19"/>
              </w:rPr>
              <w:t>7</w:t>
            </w:r>
          </w:p>
        </w:tc>
      </w:tr>
      <w:tr w:rsidR="00A874AC" w:rsidRPr="00F17578" w:rsidTr="00F17578">
        <w:trPr>
          <w:trHeight w:val="302"/>
        </w:trPr>
        <w:tc>
          <w:tcPr>
            <w:tcW w:w="1921" w:type="dxa"/>
            <w:shd w:val="clear" w:color="auto" w:fill="D2EAF1"/>
          </w:tcPr>
          <w:p w:rsidR="00AE303A" w:rsidRPr="00F17578" w:rsidRDefault="00AE303A" w:rsidP="00380FF9">
            <w:pPr>
              <w:jc w:val="left"/>
              <w:rPr>
                <w:b/>
                <w:bCs/>
                <w:color w:val="000000"/>
                <w:sz w:val="19"/>
                <w:szCs w:val="19"/>
              </w:rPr>
            </w:pPr>
            <w:r w:rsidRPr="00F17578">
              <w:rPr>
                <w:b/>
                <w:bCs/>
                <w:color w:val="000000"/>
                <w:sz w:val="19"/>
                <w:szCs w:val="19"/>
              </w:rPr>
              <w:t>Program Total</w:t>
            </w:r>
          </w:p>
        </w:tc>
        <w:tc>
          <w:tcPr>
            <w:tcW w:w="1889" w:type="dxa"/>
            <w:shd w:val="clear" w:color="auto" w:fill="D2EAF1"/>
            <w:noWrap/>
          </w:tcPr>
          <w:p w:rsidR="00AE303A" w:rsidRPr="00F17578" w:rsidRDefault="00AE303A" w:rsidP="00380FF9">
            <w:pPr>
              <w:jc w:val="center"/>
              <w:rPr>
                <w:b/>
                <w:sz w:val="19"/>
                <w:szCs w:val="19"/>
              </w:rPr>
            </w:pPr>
            <w:r w:rsidRPr="00F17578">
              <w:rPr>
                <w:b/>
                <w:sz w:val="19"/>
                <w:szCs w:val="19"/>
              </w:rPr>
              <w:t>62</w:t>
            </w:r>
          </w:p>
        </w:tc>
        <w:tc>
          <w:tcPr>
            <w:tcW w:w="1889" w:type="dxa"/>
            <w:shd w:val="clear" w:color="auto" w:fill="D2EAF1"/>
            <w:noWrap/>
          </w:tcPr>
          <w:p w:rsidR="00AE303A" w:rsidRPr="00F17578" w:rsidRDefault="00AE303A" w:rsidP="00380FF9">
            <w:pPr>
              <w:jc w:val="center"/>
              <w:rPr>
                <w:b/>
                <w:sz w:val="19"/>
                <w:szCs w:val="19"/>
              </w:rPr>
            </w:pPr>
            <w:r w:rsidRPr="00F17578">
              <w:rPr>
                <w:b/>
                <w:sz w:val="19"/>
                <w:szCs w:val="19"/>
              </w:rPr>
              <w:t>85%/15%</w:t>
            </w:r>
          </w:p>
        </w:tc>
        <w:tc>
          <w:tcPr>
            <w:tcW w:w="1889" w:type="dxa"/>
            <w:shd w:val="clear" w:color="auto" w:fill="D2EAF1"/>
            <w:noWrap/>
          </w:tcPr>
          <w:p w:rsidR="00AE303A" w:rsidRPr="00F17578" w:rsidRDefault="00AE303A" w:rsidP="00380FF9">
            <w:pPr>
              <w:jc w:val="center"/>
              <w:rPr>
                <w:b/>
                <w:sz w:val="19"/>
                <w:szCs w:val="19"/>
              </w:rPr>
            </w:pPr>
            <w:r w:rsidRPr="00F17578">
              <w:rPr>
                <w:b/>
                <w:sz w:val="19"/>
                <w:szCs w:val="19"/>
              </w:rPr>
              <w:t>13</w:t>
            </w:r>
          </w:p>
        </w:tc>
        <w:tc>
          <w:tcPr>
            <w:tcW w:w="1772" w:type="dxa"/>
            <w:shd w:val="clear" w:color="auto" w:fill="D2EAF1"/>
            <w:noWrap/>
          </w:tcPr>
          <w:p w:rsidR="00AE303A" w:rsidRPr="00F17578" w:rsidRDefault="00AE303A" w:rsidP="00380FF9">
            <w:pPr>
              <w:jc w:val="center"/>
              <w:rPr>
                <w:b/>
                <w:sz w:val="19"/>
                <w:szCs w:val="19"/>
              </w:rPr>
            </w:pPr>
            <w:r w:rsidRPr="00F17578">
              <w:rPr>
                <w:b/>
                <w:sz w:val="19"/>
                <w:szCs w:val="19"/>
              </w:rPr>
              <w:t>14</w:t>
            </w:r>
          </w:p>
        </w:tc>
      </w:tr>
    </w:tbl>
    <w:p w:rsidR="00AE303A" w:rsidRPr="006E6583" w:rsidRDefault="00AE303A" w:rsidP="00AE303A"/>
    <w:p w:rsidR="00AE303A" w:rsidRPr="006E6583" w:rsidRDefault="00AE303A" w:rsidP="00AE303A">
      <w:pPr>
        <w:spacing w:after="120"/>
        <w:jc w:val="center"/>
        <w:rPr>
          <w:rFonts w:ascii="Century Gothic" w:hAnsi="Century Gothic"/>
          <w:b/>
          <w:bCs/>
          <w:sz w:val="18"/>
          <w:szCs w:val="18"/>
        </w:rPr>
      </w:pPr>
      <w:bookmarkStart w:id="587" w:name="_Ref440034426"/>
      <w:bookmarkStart w:id="588" w:name="_Toc410199382"/>
      <w:bookmarkStart w:id="589" w:name="_Toc431462327"/>
      <w:bookmarkStart w:id="590" w:name="_Toc444269843"/>
      <w:bookmarkStart w:id="591" w:name="_Toc472472426"/>
      <w:bookmarkStart w:id="592" w:name="_Toc488741845"/>
      <w:r w:rsidRPr="006E6583">
        <w:rPr>
          <w:rFonts w:ascii="Century Gothic" w:hAnsi="Century Gothic"/>
          <w:b/>
          <w:bCs/>
          <w:sz w:val="18"/>
          <w:szCs w:val="18"/>
        </w:rPr>
        <w:t>Table A-</w:t>
      </w:r>
      <w:r w:rsidRPr="006E6583">
        <w:rPr>
          <w:rFonts w:ascii="Century Gothic" w:hAnsi="Century Gothic"/>
          <w:b/>
          <w:bCs/>
          <w:sz w:val="18"/>
          <w:szCs w:val="18"/>
        </w:rPr>
        <w:fldChar w:fldCharType="begin"/>
      </w:r>
      <w:r w:rsidRPr="006E6583">
        <w:rPr>
          <w:rFonts w:ascii="Century Gothic" w:hAnsi="Century Gothic"/>
          <w:b/>
          <w:bCs/>
          <w:sz w:val="18"/>
          <w:szCs w:val="18"/>
        </w:rPr>
        <w:instrText xml:space="preserve"> SEQ Table_A- \* ARABIC </w:instrText>
      </w:r>
      <w:r w:rsidRPr="006E6583">
        <w:rPr>
          <w:rFonts w:ascii="Century Gothic" w:hAnsi="Century Gothic"/>
          <w:b/>
          <w:bCs/>
          <w:sz w:val="18"/>
          <w:szCs w:val="18"/>
        </w:rPr>
        <w:fldChar w:fldCharType="separate"/>
      </w:r>
      <w:r w:rsidR="00037CB4">
        <w:rPr>
          <w:rFonts w:ascii="Century Gothic" w:hAnsi="Century Gothic"/>
          <w:b/>
          <w:bCs/>
          <w:noProof/>
          <w:sz w:val="18"/>
          <w:szCs w:val="18"/>
        </w:rPr>
        <w:t>17</w:t>
      </w:r>
      <w:r w:rsidRPr="006E6583">
        <w:rPr>
          <w:rFonts w:ascii="Century Gothic" w:hAnsi="Century Gothic"/>
          <w:b/>
          <w:bCs/>
          <w:sz w:val="18"/>
          <w:szCs w:val="18"/>
        </w:rPr>
        <w:fldChar w:fldCharType="end"/>
      </w:r>
      <w:bookmarkEnd w:id="587"/>
      <w:r w:rsidRPr="006E6583">
        <w:rPr>
          <w:rFonts w:ascii="Century Gothic" w:hAnsi="Century Gothic"/>
          <w:b/>
          <w:bCs/>
          <w:sz w:val="18"/>
          <w:szCs w:val="18"/>
        </w:rPr>
        <w:t>: Observed Coefficients of Variation and Relative Precision – Duquesne GNI Program Group</w:t>
      </w:r>
      <w:bookmarkEnd w:id="588"/>
      <w:bookmarkEnd w:id="589"/>
      <w:bookmarkEnd w:id="590"/>
      <w:bookmarkEnd w:id="591"/>
      <w:bookmarkEnd w:id="592"/>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121"/>
        <w:gridCol w:w="1839"/>
        <w:gridCol w:w="1839"/>
        <w:gridCol w:w="1839"/>
        <w:gridCol w:w="1722"/>
      </w:tblGrid>
      <w:tr w:rsidR="00A874AC" w:rsidRPr="00F17578" w:rsidTr="00F17578">
        <w:trPr>
          <w:trHeight w:val="20"/>
          <w:tblHeader/>
        </w:trPr>
        <w:tc>
          <w:tcPr>
            <w:tcW w:w="2121" w:type="dxa"/>
            <w:shd w:val="clear" w:color="auto" w:fill="448A99"/>
            <w:vAlign w:val="bottom"/>
            <w:hideMark/>
          </w:tcPr>
          <w:p w:rsidR="00AE303A" w:rsidRPr="00F17578" w:rsidRDefault="00AE303A" w:rsidP="00380FF9">
            <w:pPr>
              <w:jc w:val="left"/>
              <w:rPr>
                <w:b/>
                <w:bCs/>
                <w:color w:val="FFFFFF"/>
                <w:sz w:val="19"/>
                <w:szCs w:val="19"/>
              </w:rPr>
            </w:pPr>
            <w:r w:rsidRPr="00F17578">
              <w:rPr>
                <w:b/>
                <w:bCs/>
                <w:color w:val="FFFFFF"/>
                <w:sz w:val="19"/>
                <w:szCs w:val="19"/>
              </w:rPr>
              <w:t>Stratum</w:t>
            </w:r>
          </w:p>
        </w:tc>
        <w:tc>
          <w:tcPr>
            <w:tcW w:w="183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Observed Coefficient of Variation (C</w:t>
            </w:r>
            <w:r w:rsidRPr="00F17578">
              <w:rPr>
                <w:b/>
                <w:bCs/>
                <w:color w:val="FFFFFF"/>
                <w:sz w:val="19"/>
                <w:szCs w:val="19"/>
                <w:vertAlign w:val="subscript"/>
              </w:rPr>
              <w:t>v</w:t>
            </w:r>
            <w:r w:rsidRPr="00F17578">
              <w:rPr>
                <w:b/>
                <w:bCs/>
                <w:color w:val="FFFFFF"/>
                <w:sz w:val="19"/>
                <w:szCs w:val="19"/>
              </w:rPr>
              <w:t>) or Proportion in Sample Design for Energy</w:t>
            </w:r>
          </w:p>
        </w:tc>
        <w:tc>
          <w:tcPr>
            <w:tcW w:w="183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Relative Precision at 85% C.L. for Energy</w:t>
            </w:r>
          </w:p>
        </w:tc>
        <w:tc>
          <w:tcPr>
            <w:tcW w:w="1839"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Observed Coefficient of Variation (C</w:t>
            </w:r>
            <w:r w:rsidRPr="00F17578">
              <w:rPr>
                <w:b/>
                <w:bCs/>
                <w:color w:val="FFFFFF"/>
                <w:sz w:val="19"/>
                <w:szCs w:val="19"/>
                <w:vertAlign w:val="subscript"/>
              </w:rPr>
              <w:t>v</w:t>
            </w:r>
            <w:r w:rsidRPr="00F17578">
              <w:rPr>
                <w:b/>
                <w:bCs/>
                <w:color w:val="FFFFFF"/>
                <w:sz w:val="19"/>
                <w:szCs w:val="19"/>
              </w:rPr>
              <w:t>) or Proportion in Sample Design for Demand</w:t>
            </w:r>
          </w:p>
        </w:tc>
        <w:tc>
          <w:tcPr>
            <w:tcW w:w="1722" w:type="dxa"/>
            <w:shd w:val="clear" w:color="auto" w:fill="448A99"/>
            <w:vAlign w:val="bottom"/>
            <w:hideMark/>
          </w:tcPr>
          <w:p w:rsidR="00AE303A" w:rsidRPr="00F17578" w:rsidRDefault="00AE303A" w:rsidP="00380FF9">
            <w:pPr>
              <w:jc w:val="center"/>
              <w:rPr>
                <w:b/>
                <w:bCs/>
                <w:color w:val="FFFFFF"/>
                <w:sz w:val="19"/>
                <w:szCs w:val="19"/>
              </w:rPr>
            </w:pPr>
            <w:r w:rsidRPr="00F17578">
              <w:rPr>
                <w:b/>
                <w:bCs/>
                <w:color w:val="FFFFFF"/>
                <w:sz w:val="19"/>
                <w:szCs w:val="19"/>
              </w:rPr>
              <w:t>Relative Precision at 85% C.L. for Demand</w:t>
            </w:r>
          </w:p>
        </w:tc>
      </w:tr>
      <w:tr w:rsidR="00A874AC" w:rsidRPr="00F17578" w:rsidTr="00F17578">
        <w:trPr>
          <w:trHeight w:val="302"/>
        </w:trPr>
        <w:tc>
          <w:tcPr>
            <w:tcW w:w="2121" w:type="dxa"/>
            <w:shd w:val="clear" w:color="auto" w:fill="D2EAF1"/>
          </w:tcPr>
          <w:p w:rsidR="00AE303A" w:rsidRPr="00F17578" w:rsidRDefault="00AE303A" w:rsidP="008D11AB">
            <w:pPr>
              <w:jc w:val="left"/>
              <w:rPr>
                <w:bCs/>
                <w:color w:val="000000"/>
                <w:sz w:val="19"/>
                <w:szCs w:val="19"/>
              </w:rPr>
            </w:pPr>
            <w:r w:rsidRPr="00F17578">
              <w:rPr>
                <w:bCs/>
                <w:color w:val="000000"/>
                <w:sz w:val="19"/>
                <w:szCs w:val="19"/>
              </w:rPr>
              <w:t xml:space="preserve">GNI – </w:t>
            </w:r>
            <w:r w:rsidR="008D11AB" w:rsidRPr="00F17578">
              <w:rPr>
                <w:bCs/>
                <w:color w:val="000000"/>
                <w:sz w:val="19"/>
                <w:szCs w:val="19"/>
              </w:rPr>
              <w:t>L</w:t>
            </w:r>
            <w:r w:rsidRPr="00F17578">
              <w:rPr>
                <w:bCs/>
                <w:color w:val="000000"/>
                <w:sz w:val="19"/>
                <w:szCs w:val="19"/>
              </w:rPr>
              <w:t>arge</w:t>
            </w:r>
          </w:p>
        </w:tc>
        <w:tc>
          <w:tcPr>
            <w:tcW w:w="1839" w:type="dxa"/>
            <w:shd w:val="clear" w:color="auto" w:fill="D2EAF1"/>
            <w:noWrap/>
          </w:tcPr>
          <w:p w:rsidR="00AE303A" w:rsidRPr="00F17578" w:rsidRDefault="00AE303A" w:rsidP="00380FF9">
            <w:pPr>
              <w:jc w:val="center"/>
              <w:rPr>
                <w:color w:val="000000"/>
                <w:sz w:val="19"/>
                <w:szCs w:val="19"/>
              </w:rPr>
            </w:pPr>
            <w:r w:rsidRPr="00F17578">
              <w:rPr>
                <w:sz w:val="19"/>
                <w:szCs w:val="19"/>
              </w:rPr>
              <w:t>0.17</w:t>
            </w:r>
          </w:p>
        </w:tc>
        <w:tc>
          <w:tcPr>
            <w:tcW w:w="1839" w:type="dxa"/>
            <w:shd w:val="clear" w:color="auto" w:fill="D2EAF1"/>
            <w:noWrap/>
          </w:tcPr>
          <w:p w:rsidR="00AE303A" w:rsidRPr="00F17578" w:rsidRDefault="00AE303A" w:rsidP="00380FF9">
            <w:pPr>
              <w:jc w:val="center"/>
              <w:rPr>
                <w:sz w:val="19"/>
                <w:szCs w:val="19"/>
              </w:rPr>
            </w:pPr>
            <w:r w:rsidRPr="00F17578">
              <w:rPr>
                <w:sz w:val="19"/>
                <w:szCs w:val="19"/>
              </w:rPr>
              <w:t>0%</w:t>
            </w:r>
          </w:p>
        </w:tc>
        <w:tc>
          <w:tcPr>
            <w:tcW w:w="1839" w:type="dxa"/>
            <w:shd w:val="clear" w:color="auto" w:fill="D2EAF1"/>
            <w:noWrap/>
          </w:tcPr>
          <w:p w:rsidR="00AE303A" w:rsidRPr="00F17578" w:rsidRDefault="00AE303A" w:rsidP="00380FF9">
            <w:pPr>
              <w:jc w:val="center"/>
              <w:rPr>
                <w:sz w:val="19"/>
                <w:szCs w:val="19"/>
              </w:rPr>
            </w:pPr>
            <w:r w:rsidRPr="00F17578">
              <w:rPr>
                <w:sz w:val="19"/>
                <w:szCs w:val="19"/>
              </w:rPr>
              <w:t>0.91</w:t>
            </w:r>
          </w:p>
        </w:tc>
        <w:tc>
          <w:tcPr>
            <w:tcW w:w="1722" w:type="dxa"/>
            <w:shd w:val="clear" w:color="auto" w:fill="D2EAF1"/>
            <w:noWrap/>
          </w:tcPr>
          <w:p w:rsidR="00AE303A" w:rsidRPr="00F17578" w:rsidRDefault="00AE303A" w:rsidP="00380FF9">
            <w:pPr>
              <w:jc w:val="center"/>
              <w:rPr>
                <w:sz w:val="19"/>
                <w:szCs w:val="19"/>
              </w:rPr>
            </w:pPr>
            <w:r w:rsidRPr="00F17578">
              <w:rPr>
                <w:sz w:val="19"/>
                <w:szCs w:val="19"/>
              </w:rPr>
              <w:t>57%</w:t>
            </w:r>
          </w:p>
        </w:tc>
      </w:tr>
      <w:tr w:rsidR="00E7173E" w:rsidRPr="00F17578" w:rsidTr="00F17578">
        <w:trPr>
          <w:trHeight w:val="302"/>
        </w:trPr>
        <w:tc>
          <w:tcPr>
            <w:tcW w:w="2121" w:type="dxa"/>
            <w:shd w:val="clear" w:color="auto" w:fill="auto"/>
          </w:tcPr>
          <w:p w:rsidR="00AE303A" w:rsidRPr="00F17578" w:rsidRDefault="00AE303A" w:rsidP="00380FF9">
            <w:pPr>
              <w:jc w:val="left"/>
              <w:rPr>
                <w:bCs/>
                <w:color w:val="000000"/>
                <w:sz w:val="19"/>
                <w:szCs w:val="19"/>
              </w:rPr>
            </w:pPr>
            <w:r w:rsidRPr="00F17578">
              <w:rPr>
                <w:bCs/>
                <w:color w:val="000000"/>
                <w:sz w:val="19"/>
                <w:szCs w:val="19"/>
              </w:rPr>
              <w:t xml:space="preserve">GNI – </w:t>
            </w:r>
            <w:r w:rsidR="008D11AB" w:rsidRPr="00F17578">
              <w:rPr>
                <w:bCs/>
                <w:color w:val="000000"/>
                <w:sz w:val="19"/>
                <w:szCs w:val="19"/>
              </w:rPr>
              <w:t>S</w:t>
            </w:r>
            <w:r w:rsidRPr="00F17578">
              <w:rPr>
                <w:bCs/>
                <w:color w:val="000000"/>
                <w:sz w:val="19"/>
                <w:szCs w:val="19"/>
              </w:rPr>
              <w:t>mall</w:t>
            </w:r>
          </w:p>
        </w:tc>
        <w:tc>
          <w:tcPr>
            <w:tcW w:w="1839" w:type="dxa"/>
            <w:shd w:val="clear" w:color="auto" w:fill="auto"/>
            <w:noWrap/>
          </w:tcPr>
          <w:p w:rsidR="00AE303A" w:rsidRPr="00F17578" w:rsidRDefault="00AE303A" w:rsidP="00380FF9">
            <w:pPr>
              <w:jc w:val="center"/>
              <w:rPr>
                <w:sz w:val="19"/>
                <w:szCs w:val="19"/>
              </w:rPr>
            </w:pPr>
            <w:r w:rsidRPr="00F17578">
              <w:rPr>
                <w:sz w:val="19"/>
                <w:szCs w:val="19"/>
              </w:rPr>
              <w:t>1.01</w:t>
            </w:r>
          </w:p>
        </w:tc>
        <w:tc>
          <w:tcPr>
            <w:tcW w:w="1839" w:type="dxa"/>
            <w:shd w:val="clear" w:color="auto" w:fill="auto"/>
            <w:noWrap/>
          </w:tcPr>
          <w:p w:rsidR="00AE303A" w:rsidRPr="00F17578" w:rsidRDefault="00AE303A" w:rsidP="00380FF9">
            <w:pPr>
              <w:jc w:val="center"/>
              <w:rPr>
                <w:sz w:val="19"/>
                <w:szCs w:val="19"/>
              </w:rPr>
            </w:pPr>
            <w:r w:rsidRPr="00F17578">
              <w:rPr>
                <w:sz w:val="19"/>
                <w:szCs w:val="19"/>
              </w:rPr>
              <w:t>59%</w:t>
            </w:r>
          </w:p>
        </w:tc>
        <w:tc>
          <w:tcPr>
            <w:tcW w:w="1839" w:type="dxa"/>
            <w:shd w:val="clear" w:color="auto" w:fill="auto"/>
            <w:noWrap/>
          </w:tcPr>
          <w:p w:rsidR="00AE303A" w:rsidRPr="00F17578" w:rsidRDefault="00AE303A" w:rsidP="00380FF9">
            <w:pPr>
              <w:jc w:val="center"/>
              <w:rPr>
                <w:sz w:val="19"/>
                <w:szCs w:val="19"/>
              </w:rPr>
            </w:pPr>
            <w:r w:rsidRPr="00F17578">
              <w:rPr>
                <w:sz w:val="19"/>
                <w:szCs w:val="19"/>
              </w:rPr>
              <w:t>1.00</w:t>
            </w:r>
          </w:p>
        </w:tc>
        <w:tc>
          <w:tcPr>
            <w:tcW w:w="1722" w:type="dxa"/>
            <w:shd w:val="clear" w:color="auto" w:fill="auto"/>
            <w:noWrap/>
          </w:tcPr>
          <w:p w:rsidR="00AE303A" w:rsidRPr="00F17578" w:rsidRDefault="00AE303A" w:rsidP="00380FF9">
            <w:pPr>
              <w:jc w:val="center"/>
              <w:rPr>
                <w:sz w:val="19"/>
                <w:szCs w:val="19"/>
              </w:rPr>
            </w:pPr>
            <w:r w:rsidRPr="00F17578">
              <w:rPr>
                <w:sz w:val="19"/>
                <w:szCs w:val="19"/>
              </w:rPr>
              <w:t>58%</w:t>
            </w:r>
          </w:p>
        </w:tc>
      </w:tr>
      <w:tr w:rsidR="00A874AC" w:rsidRPr="00F17578" w:rsidTr="00F17578">
        <w:trPr>
          <w:trHeight w:val="302"/>
        </w:trPr>
        <w:tc>
          <w:tcPr>
            <w:tcW w:w="2121" w:type="dxa"/>
            <w:shd w:val="clear" w:color="auto" w:fill="D2EAF1"/>
          </w:tcPr>
          <w:p w:rsidR="00AE303A" w:rsidRPr="00F17578" w:rsidRDefault="00AE303A" w:rsidP="00380FF9">
            <w:pPr>
              <w:jc w:val="left"/>
              <w:rPr>
                <w:b/>
                <w:bCs/>
                <w:color w:val="000000"/>
                <w:sz w:val="19"/>
                <w:szCs w:val="19"/>
              </w:rPr>
            </w:pPr>
            <w:r w:rsidRPr="00F17578">
              <w:rPr>
                <w:b/>
                <w:bCs/>
                <w:color w:val="000000"/>
                <w:sz w:val="19"/>
                <w:szCs w:val="19"/>
              </w:rPr>
              <w:t>Program Total</w:t>
            </w:r>
          </w:p>
        </w:tc>
        <w:tc>
          <w:tcPr>
            <w:tcW w:w="1839" w:type="dxa"/>
            <w:shd w:val="clear" w:color="auto" w:fill="D2EAF1"/>
            <w:noWrap/>
          </w:tcPr>
          <w:p w:rsidR="00AE303A" w:rsidRPr="00F17578" w:rsidRDefault="00AE303A" w:rsidP="00380FF9">
            <w:pPr>
              <w:jc w:val="center"/>
              <w:rPr>
                <w:b/>
                <w:sz w:val="19"/>
                <w:szCs w:val="19"/>
              </w:rPr>
            </w:pPr>
          </w:p>
        </w:tc>
        <w:tc>
          <w:tcPr>
            <w:tcW w:w="1839" w:type="dxa"/>
            <w:shd w:val="clear" w:color="auto" w:fill="D2EAF1"/>
            <w:noWrap/>
          </w:tcPr>
          <w:p w:rsidR="00AE303A" w:rsidRPr="00F17578" w:rsidRDefault="00AE303A" w:rsidP="00380FF9">
            <w:pPr>
              <w:jc w:val="center"/>
              <w:rPr>
                <w:b/>
                <w:sz w:val="19"/>
                <w:szCs w:val="19"/>
              </w:rPr>
            </w:pPr>
            <w:r w:rsidRPr="00F17578">
              <w:rPr>
                <w:b/>
                <w:sz w:val="19"/>
                <w:szCs w:val="19"/>
              </w:rPr>
              <w:t>9%</w:t>
            </w:r>
          </w:p>
        </w:tc>
        <w:tc>
          <w:tcPr>
            <w:tcW w:w="1839" w:type="dxa"/>
            <w:shd w:val="clear" w:color="auto" w:fill="D2EAF1"/>
            <w:noWrap/>
          </w:tcPr>
          <w:p w:rsidR="00AE303A" w:rsidRPr="00F17578" w:rsidRDefault="00AE303A" w:rsidP="00380FF9">
            <w:pPr>
              <w:jc w:val="center"/>
              <w:rPr>
                <w:b/>
                <w:sz w:val="19"/>
                <w:szCs w:val="19"/>
              </w:rPr>
            </w:pPr>
          </w:p>
        </w:tc>
        <w:tc>
          <w:tcPr>
            <w:tcW w:w="1722" w:type="dxa"/>
            <w:shd w:val="clear" w:color="auto" w:fill="D2EAF1"/>
            <w:noWrap/>
          </w:tcPr>
          <w:p w:rsidR="00AE303A" w:rsidRPr="00F17578" w:rsidRDefault="00AE303A" w:rsidP="00380FF9">
            <w:pPr>
              <w:jc w:val="center"/>
              <w:rPr>
                <w:b/>
                <w:sz w:val="19"/>
                <w:szCs w:val="19"/>
              </w:rPr>
            </w:pPr>
            <w:r w:rsidRPr="00F17578">
              <w:rPr>
                <w:b/>
                <w:sz w:val="19"/>
                <w:szCs w:val="19"/>
              </w:rPr>
              <w:t>29%</w:t>
            </w:r>
          </w:p>
        </w:tc>
      </w:tr>
    </w:tbl>
    <w:p w:rsidR="00AE303A" w:rsidRPr="006E6583" w:rsidRDefault="00AE303A" w:rsidP="00AE303A"/>
    <w:p w:rsidR="00AE303A" w:rsidRDefault="00AE303A" w:rsidP="00AE303A">
      <w:r w:rsidRPr="006E6583">
        <w:t>Duquesne’s evaluation contractor used a stratified ratio estimator calculated from the sample to adjust the ex</w:t>
      </w:r>
      <w:r>
        <w:t xml:space="preserve"> </w:t>
      </w:r>
      <w:r w:rsidRPr="006E6583">
        <w:t>ante energy and demand savings in Duquesne’s PMRS data</w:t>
      </w:r>
      <w:r>
        <w:t>-</w:t>
      </w:r>
      <w:r w:rsidRPr="006E6583">
        <w:t xml:space="preserve">tracking system and to calculate ex post savings for the GNI Program Group. The achieved precision values in </w:t>
      </w:r>
      <w:r w:rsidRPr="006E6583">
        <w:fldChar w:fldCharType="begin"/>
      </w:r>
      <w:r w:rsidRPr="006E6583">
        <w:instrText xml:space="preserve"> REF _Ref440034426 \h  \* MERGEFORMAT </w:instrText>
      </w:r>
      <w:r w:rsidRPr="006E6583">
        <w:fldChar w:fldCharType="separate"/>
      </w:r>
      <w:r w:rsidR="00037CB4" w:rsidRPr="00B81A2F">
        <w:rPr>
          <w:bCs/>
        </w:rPr>
        <w:t>Table A-17</w:t>
      </w:r>
      <w:r w:rsidRPr="006E6583">
        <w:fldChar w:fldCharType="end"/>
      </w:r>
      <w:r w:rsidRPr="006E6583">
        <w:t xml:space="preserve"> show that Duquesne met the 85%/15% confidence</w:t>
      </w:r>
      <w:r>
        <w:t>/</w:t>
      </w:r>
      <w:r w:rsidRPr="006E6583">
        <w:t>precision level for energy but not for peak demand. This is an improvement over PY6</w:t>
      </w:r>
      <w:r>
        <w:t>,</w:t>
      </w:r>
      <w:r w:rsidRPr="006E6583">
        <w:t xml:space="preserve"> where the 15% relative precision target was met for demand but not </w:t>
      </w:r>
      <w:r>
        <w:t xml:space="preserve">for </w:t>
      </w:r>
      <w:r w:rsidRPr="006E6583">
        <w:t>energy.</w:t>
      </w:r>
    </w:p>
    <w:p w:rsidR="00F17578" w:rsidRPr="006E6583" w:rsidRDefault="00F17578" w:rsidP="00AE303A"/>
    <w:p w:rsidR="00AE303A" w:rsidRPr="003B2BD3" w:rsidRDefault="00AE303A" w:rsidP="0055598C">
      <w:pPr>
        <w:pStyle w:val="AppendixAHeading4"/>
        <w:rPr>
          <w:rFonts w:eastAsia="Calibri"/>
        </w:rPr>
      </w:pPr>
      <w:bookmarkStart w:id="593" w:name="_Ref408430647"/>
      <w:bookmarkStart w:id="594" w:name="_Toc408557468"/>
      <w:r w:rsidRPr="003B2BD3">
        <w:rPr>
          <w:rFonts w:eastAsia="Calibri"/>
        </w:rPr>
        <w:t>Ride-Along Site Inspections</w:t>
      </w:r>
      <w:bookmarkEnd w:id="593"/>
      <w:bookmarkEnd w:id="594"/>
    </w:p>
    <w:p w:rsidR="00AE303A" w:rsidRPr="003B2BD3" w:rsidRDefault="00823FE0" w:rsidP="00AE303A">
      <w:pPr>
        <w:spacing w:after="120"/>
      </w:pPr>
      <w:r>
        <w:rPr>
          <w:highlight w:val="yellow"/>
        </w:rPr>
        <w:fldChar w:fldCharType="begin"/>
      </w:r>
      <w:r>
        <w:instrText xml:space="preserve"> REF _Ref472471403 \h </w:instrText>
      </w:r>
      <w:r>
        <w:rPr>
          <w:highlight w:val="yellow"/>
        </w:rPr>
      </w:r>
      <w:r>
        <w:rPr>
          <w:highlight w:val="yellow"/>
        </w:rPr>
        <w:fldChar w:fldCharType="separate"/>
      </w:r>
      <w:r w:rsidR="00037CB4" w:rsidRPr="00423027">
        <w:t>Table A-</w:t>
      </w:r>
      <w:r w:rsidR="00037CB4">
        <w:rPr>
          <w:noProof/>
        </w:rPr>
        <w:t>18</w:t>
      </w:r>
      <w:r>
        <w:rPr>
          <w:highlight w:val="yellow"/>
        </w:rPr>
        <w:fldChar w:fldCharType="end"/>
      </w:r>
      <w:r w:rsidR="00AE303A" w:rsidRPr="003B2BD3">
        <w:t xml:space="preserve"> summarizes the SWE Team’s PY7 ride-along site inspections of Duquesne’s non-residential project installations. The Duquesne PY7 site inspection findings are categorized into two types: </w:t>
      </w:r>
    </w:p>
    <w:p w:rsidR="00AE303A" w:rsidRPr="003B2BD3" w:rsidRDefault="00AE303A" w:rsidP="00E646C9">
      <w:pPr>
        <w:numPr>
          <w:ilvl w:val="0"/>
          <w:numId w:val="32"/>
        </w:numPr>
        <w:spacing w:after="120"/>
        <w:ind w:left="360"/>
      </w:pPr>
      <w:r w:rsidRPr="003B2BD3">
        <w:t xml:space="preserve">Evaluation (Eval) findings are associated with ride-along site inspections and may reflect site activities or evaluation contractor savings calculations or reports. </w:t>
      </w:r>
    </w:p>
    <w:p w:rsidR="00AE303A" w:rsidRPr="003B2BD3" w:rsidRDefault="00AE303A" w:rsidP="00E646C9">
      <w:pPr>
        <w:numPr>
          <w:ilvl w:val="0"/>
          <w:numId w:val="32"/>
        </w:numPr>
        <w:ind w:left="360"/>
      </w:pPr>
      <w:r w:rsidRPr="003B2BD3">
        <w:t xml:space="preserve">Process (Pro) findings are associated with project applications, documents, or implementation activities. </w:t>
      </w:r>
    </w:p>
    <w:p w:rsidR="00AE303A" w:rsidRDefault="00AE303A" w:rsidP="00623F28">
      <w:pPr>
        <w:contextualSpacing/>
        <w:rPr>
          <w:rFonts w:cs="Calibri"/>
          <w:color w:val="000000"/>
          <w:szCs w:val="20"/>
          <w:highlight w:val="yellow"/>
        </w:rPr>
      </w:pPr>
    </w:p>
    <w:p w:rsidR="00423027" w:rsidRDefault="00423027" w:rsidP="00623F28">
      <w:pPr>
        <w:contextualSpacing/>
        <w:rPr>
          <w:rFonts w:cs="Calibri"/>
          <w:color w:val="000000"/>
          <w:szCs w:val="20"/>
          <w:highlight w:val="yellow"/>
        </w:rPr>
        <w:sectPr w:rsidR="00423027" w:rsidSect="005C3E63">
          <w:headerReference w:type="default" r:id="rId96"/>
          <w:footerReference w:type="default" r:id="rId97"/>
          <w:headerReference w:type="first" r:id="rId98"/>
          <w:footerReference w:type="first" r:id="rId99"/>
          <w:pgSz w:w="12240" w:h="15840"/>
          <w:pgMar w:top="1440" w:right="1440" w:bottom="1440" w:left="1440" w:header="720" w:footer="288" w:gutter="0"/>
          <w:cols w:space="720"/>
          <w:titlePg/>
          <w:docGrid w:linePitch="360"/>
        </w:sectPr>
      </w:pPr>
    </w:p>
    <w:p w:rsidR="00423027" w:rsidRDefault="00423027" w:rsidP="004837FA">
      <w:pPr>
        <w:pStyle w:val="Caption"/>
      </w:pPr>
      <w:bookmarkStart w:id="595" w:name="_Ref472471403"/>
      <w:bookmarkStart w:id="596" w:name="_Toc472472427"/>
      <w:bookmarkStart w:id="597" w:name="_Toc488741846"/>
      <w:r w:rsidRPr="00423027">
        <w:t>Table A-</w:t>
      </w:r>
      <w:r w:rsidR="007973A4">
        <w:fldChar w:fldCharType="begin"/>
      </w:r>
      <w:r w:rsidR="007973A4">
        <w:instrText xml:space="preserve"> SEQ Table_A- \* ARABIC </w:instrText>
      </w:r>
      <w:r w:rsidR="007973A4">
        <w:fldChar w:fldCharType="separate"/>
      </w:r>
      <w:r w:rsidR="00037CB4">
        <w:rPr>
          <w:noProof/>
        </w:rPr>
        <w:t>18</w:t>
      </w:r>
      <w:r w:rsidR="007973A4">
        <w:rPr>
          <w:noProof/>
        </w:rPr>
        <w:fldChar w:fldCharType="end"/>
      </w:r>
      <w:bookmarkEnd w:id="595"/>
      <w:r w:rsidRPr="00423027">
        <w:t>: Duquesne’s PY7 Non-Residential Site Inspection Findings</w:t>
      </w:r>
      <w:bookmarkEnd w:id="596"/>
      <w:bookmarkEnd w:id="597"/>
    </w:p>
    <w:tbl>
      <w:tblPr>
        <w:tblW w:w="1304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880"/>
        <w:gridCol w:w="1592"/>
        <w:gridCol w:w="3780"/>
        <w:gridCol w:w="944"/>
        <w:gridCol w:w="4844"/>
      </w:tblGrid>
      <w:tr w:rsidR="00A874AC" w:rsidRPr="00F17578" w:rsidTr="00F17578">
        <w:trPr>
          <w:trHeight w:val="300"/>
          <w:tblHeader/>
        </w:trPr>
        <w:tc>
          <w:tcPr>
            <w:tcW w:w="1880" w:type="dxa"/>
            <w:shd w:val="clear" w:color="auto" w:fill="448A99"/>
            <w:noWrap/>
            <w:vAlign w:val="bottom"/>
            <w:hideMark/>
          </w:tcPr>
          <w:p w:rsidR="00423027" w:rsidRPr="00F17578" w:rsidRDefault="00423027" w:rsidP="00380FF9">
            <w:pPr>
              <w:jc w:val="left"/>
              <w:rPr>
                <w:b/>
                <w:bCs/>
                <w:color w:val="FFFFFF"/>
                <w:sz w:val="19"/>
                <w:szCs w:val="19"/>
              </w:rPr>
            </w:pPr>
            <w:r w:rsidRPr="00F17578">
              <w:rPr>
                <w:b/>
                <w:bCs/>
                <w:color w:val="FFFFFF"/>
                <w:sz w:val="19"/>
                <w:szCs w:val="19"/>
              </w:rPr>
              <w:t>Project ID</w:t>
            </w:r>
          </w:p>
        </w:tc>
        <w:tc>
          <w:tcPr>
            <w:tcW w:w="1592" w:type="dxa"/>
            <w:shd w:val="clear" w:color="auto" w:fill="448A99"/>
            <w:noWrap/>
            <w:vAlign w:val="bottom"/>
            <w:hideMark/>
          </w:tcPr>
          <w:p w:rsidR="00423027" w:rsidRPr="00F17578" w:rsidRDefault="00423027" w:rsidP="00380FF9">
            <w:pPr>
              <w:jc w:val="center"/>
              <w:rPr>
                <w:b/>
                <w:bCs/>
                <w:color w:val="FFFFFF"/>
                <w:sz w:val="19"/>
                <w:szCs w:val="19"/>
              </w:rPr>
            </w:pPr>
            <w:r w:rsidRPr="00F17578">
              <w:rPr>
                <w:b/>
                <w:bCs/>
                <w:color w:val="FFFFFF"/>
                <w:sz w:val="19"/>
                <w:szCs w:val="19"/>
              </w:rPr>
              <w:t>Technology</w:t>
            </w:r>
          </w:p>
        </w:tc>
        <w:tc>
          <w:tcPr>
            <w:tcW w:w="3780" w:type="dxa"/>
            <w:shd w:val="clear" w:color="auto" w:fill="448A99"/>
            <w:noWrap/>
            <w:vAlign w:val="bottom"/>
            <w:hideMark/>
          </w:tcPr>
          <w:p w:rsidR="00423027" w:rsidRPr="00F17578" w:rsidRDefault="00423027" w:rsidP="00380FF9">
            <w:pPr>
              <w:jc w:val="center"/>
              <w:rPr>
                <w:b/>
                <w:bCs/>
                <w:color w:val="FFFFFF"/>
                <w:sz w:val="19"/>
                <w:szCs w:val="19"/>
              </w:rPr>
            </w:pPr>
            <w:r w:rsidRPr="00F17578">
              <w:rPr>
                <w:b/>
                <w:bCs/>
                <w:color w:val="FFFFFF"/>
                <w:sz w:val="19"/>
                <w:szCs w:val="19"/>
              </w:rPr>
              <w:t>Finding</w:t>
            </w:r>
          </w:p>
        </w:tc>
        <w:tc>
          <w:tcPr>
            <w:tcW w:w="944" w:type="dxa"/>
            <w:shd w:val="clear" w:color="auto" w:fill="448A99"/>
            <w:noWrap/>
            <w:vAlign w:val="bottom"/>
            <w:hideMark/>
          </w:tcPr>
          <w:p w:rsidR="00423027" w:rsidRPr="00F17578" w:rsidRDefault="00423027" w:rsidP="00380FF9">
            <w:pPr>
              <w:jc w:val="center"/>
              <w:rPr>
                <w:b/>
                <w:bCs/>
                <w:color w:val="FFFFFF"/>
                <w:sz w:val="19"/>
                <w:szCs w:val="19"/>
              </w:rPr>
            </w:pPr>
            <w:r w:rsidRPr="00F17578">
              <w:rPr>
                <w:b/>
                <w:bCs/>
                <w:color w:val="FFFFFF"/>
                <w:sz w:val="19"/>
                <w:szCs w:val="19"/>
              </w:rPr>
              <w:t>Finding Type</w:t>
            </w:r>
          </w:p>
        </w:tc>
        <w:tc>
          <w:tcPr>
            <w:tcW w:w="4844" w:type="dxa"/>
            <w:shd w:val="clear" w:color="auto" w:fill="448A99"/>
            <w:noWrap/>
            <w:vAlign w:val="bottom"/>
            <w:hideMark/>
          </w:tcPr>
          <w:p w:rsidR="00423027" w:rsidRPr="00F17578" w:rsidRDefault="00423027" w:rsidP="00380FF9">
            <w:pPr>
              <w:jc w:val="center"/>
              <w:rPr>
                <w:b/>
                <w:bCs/>
                <w:color w:val="FFFFFF"/>
                <w:sz w:val="19"/>
                <w:szCs w:val="19"/>
              </w:rPr>
            </w:pPr>
            <w:r w:rsidRPr="00F17578">
              <w:rPr>
                <w:b/>
                <w:bCs/>
                <w:color w:val="FFFFFF"/>
                <w:sz w:val="19"/>
                <w:szCs w:val="19"/>
              </w:rPr>
              <w:t>Resolution</w:t>
            </w:r>
          </w:p>
        </w:tc>
      </w:tr>
      <w:tr w:rsidR="00A874AC" w:rsidRPr="00F17578" w:rsidTr="00F17578">
        <w:trPr>
          <w:trHeight w:val="977"/>
        </w:trPr>
        <w:tc>
          <w:tcPr>
            <w:tcW w:w="1880" w:type="dxa"/>
            <w:shd w:val="clear" w:color="auto" w:fill="D2EAF1"/>
            <w:noWrap/>
          </w:tcPr>
          <w:p w:rsidR="00423027" w:rsidRPr="00F17578" w:rsidRDefault="00423027" w:rsidP="00380FF9">
            <w:pPr>
              <w:rPr>
                <w:sz w:val="19"/>
                <w:szCs w:val="19"/>
              </w:rPr>
            </w:pPr>
            <w:r w:rsidRPr="00F17578">
              <w:rPr>
                <w:sz w:val="19"/>
                <w:szCs w:val="19"/>
              </w:rPr>
              <w:t>5354550495.25.01</w:t>
            </w:r>
          </w:p>
        </w:tc>
        <w:tc>
          <w:tcPr>
            <w:tcW w:w="1592" w:type="dxa"/>
            <w:shd w:val="clear" w:color="auto" w:fill="D2EAF1"/>
            <w:noWrap/>
          </w:tcPr>
          <w:p w:rsidR="00423027" w:rsidRPr="00F17578" w:rsidRDefault="00423027" w:rsidP="00380FF9">
            <w:pPr>
              <w:jc w:val="center"/>
              <w:rPr>
                <w:sz w:val="19"/>
                <w:szCs w:val="19"/>
              </w:rPr>
            </w:pPr>
            <w:r w:rsidRPr="00F17578">
              <w:rPr>
                <w:sz w:val="19"/>
                <w:szCs w:val="19"/>
              </w:rPr>
              <w:t>Lighting</w:t>
            </w:r>
          </w:p>
        </w:tc>
        <w:tc>
          <w:tcPr>
            <w:tcW w:w="3780" w:type="dxa"/>
            <w:shd w:val="clear" w:color="auto" w:fill="D2EAF1"/>
            <w:noWrap/>
          </w:tcPr>
          <w:p w:rsidR="00423027" w:rsidRPr="00F17578" w:rsidRDefault="00423027" w:rsidP="00380FF9">
            <w:pPr>
              <w:jc w:val="center"/>
              <w:rPr>
                <w:color w:val="000000"/>
                <w:sz w:val="19"/>
                <w:szCs w:val="19"/>
              </w:rPr>
            </w:pPr>
            <w:r w:rsidRPr="00F17578">
              <w:rPr>
                <w:sz w:val="19"/>
                <w:szCs w:val="19"/>
              </w:rPr>
              <w:t>Occupancy sensors were discovered at the site inspection.</w:t>
            </w:r>
          </w:p>
        </w:tc>
        <w:tc>
          <w:tcPr>
            <w:tcW w:w="944" w:type="dxa"/>
            <w:shd w:val="clear" w:color="auto" w:fill="D2EAF1"/>
            <w:noWrap/>
          </w:tcPr>
          <w:p w:rsidR="00423027" w:rsidRPr="00F17578" w:rsidRDefault="00423027" w:rsidP="00380FF9">
            <w:pPr>
              <w:jc w:val="center"/>
              <w:rPr>
                <w:color w:val="000000"/>
                <w:sz w:val="19"/>
                <w:szCs w:val="19"/>
              </w:rPr>
            </w:pPr>
            <w:r w:rsidRPr="00F17578">
              <w:rPr>
                <w:color w:val="000000"/>
                <w:sz w:val="19"/>
                <w:szCs w:val="19"/>
              </w:rPr>
              <w:t>Eval</w:t>
            </w:r>
          </w:p>
        </w:tc>
        <w:tc>
          <w:tcPr>
            <w:tcW w:w="4844" w:type="dxa"/>
            <w:shd w:val="clear" w:color="auto" w:fill="D2EAF1"/>
            <w:noWrap/>
          </w:tcPr>
          <w:p w:rsidR="00423027" w:rsidRPr="00F17578" w:rsidRDefault="00423027" w:rsidP="00380FF9">
            <w:pPr>
              <w:jc w:val="center"/>
              <w:rPr>
                <w:color w:val="000000"/>
                <w:sz w:val="19"/>
                <w:szCs w:val="19"/>
              </w:rPr>
            </w:pPr>
            <w:r w:rsidRPr="00F17578">
              <w:rPr>
                <w:sz w:val="19"/>
                <w:szCs w:val="19"/>
              </w:rPr>
              <w:t>The verified savings accounted for the addition of the occupancy sensors and the SWE Team had no further recommendations.</w:t>
            </w:r>
          </w:p>
        </w:tc>
      </w:tr>
      <w:tr w:rsidR="00E7173E" w:rsidRPr="00F17578" w:rsidTr="00F17578">
        <w:trPr>
          <w:trHeight w:val="977"/>
        </w:trPr>
        <w:tc>
          <w:tcPr>
            <w:tcW w:w="1880" w:type="dxa"/>
            <w:shd w:val="clear" w:color="auto" w:fill="auto"/>
            <w:noWrap/>
          </w:tcPr>
          <w:p w:rsidR="00423027" w:rsidRPr="00F17578" w:rsidRDefault="00423027" w:rsidP="00380FF9">
            <w:pPr>
              <w:rPr>
                <w:sz w:val="19"/>
                <w:szCs w:val="19"/>
              </w:rPr>
            </w:pPr>
            <w:r w:rsidRPr="00F17578">
              <w:rPr>
                <w:sz w:val="19"/>
                <w:szCs w:val="19"/>
              </w:rPr>
              <w:t>8777310842.19.01</w:t>
            </w:r>
          </w:p>
        </w:tc>
        <w:tc>
          <w:tcPr>
            <w:tcW w:w="1592" w:type="dxa"/>
            <w:shd w:val="clear" w:color="auto" w:fill="auto"/>
            <w:noWrap/>
          </w:tcPr>
          <w:p w:rsidR="00423027" w:rsidRPr="00F17578" w:rsidRDefault="00423027" w:rsidP="00380FF9">
            <w:pPr>
              <w:jc w:val="center"/>
              <w:rPr>
                <w:sz w:val="19"/>
                <w:szCs w:val="19"/>
              </w:rPr>
            </w:pPr>
            <w:r w:rsidRPr="00F17578">
              <w:rPr>
                <w:sz w:val="19"/>
                <w:szCs w:val="19"/>
              </w:rPr>
              <w:t>Lighting</w:t>
            </w:r>
          </w:p>
        </w:tc>
        <w:tc>
          <w:tcPr>
            <w:tcW w:w="3780" w:type="dxa"/>
            <w:shd w:val="clear" w:color="auto" w:fill="auto"/>
            <w:noWrap/>
          </w:tcPr>
          <w:p w:rsidR="00423027" w:rsidRPr="00F17578" w:rsidRDefault="00423027" w:rsidP="00380FF9">
            <w:pPr>
              <w:jc w:val="center"/>
              <w:rPr>
                <w:color w:val="000000"/>
                <w:sz w:val="19"/>
                <w:szCs w:val="19"/>
              </w:rPr>
            </w:pPr>
            <w:r w:rsidRPr="00F17578">
              <w:rPr>
                <w:sz w:val="19"/>
                <w:szCs w:val="19"/>
              </w:rPr>
              <w:t>Minor discrepancies concerning the fixture count were discovered on-site.</w:t>
            </w:r>
          </w:p>
        </w:tc>
        <w:tc>
          <w:tcPr>
            <w:tcW w:w="944" w:type="dxa"/>
            <w:shd w:val="clear" w:color="auto" w:fill="auto"/>
            <w:noWrap/>
          </w:tcPr>
          <w:p w:rsidR="00423027" w:rsidRPr="00F17578" w:rsidRDefault="00423027" w:rsidP="00380FF9">
            <w:pPr>
              <w:jc w:val="center"/>
              <w:rPr>
                <w:color w:val="000000"/>
                <w:sz w:val="19"/>
                <w:szCs w:val="19"/>
                <w:highlight w:val="yellow"/>
              </w:rPr>
            </w:pPr>
            <w:r w:rsidRPr="00F17578">
              <w:rPr>
                <w:sz w:val="19"/>
                <w:szCs w:val="19"/>
              </w:rPr>
              <w:t>Eval</w:t>
            </w:r>
          </w:p>
        </w:tc>
        <w:tc>
          <w:tcPr>
            <w:tcW w:w="4844" w:type="dxa"/>
            <w:shd w:val="clear" w:color="auto" w:fill="auto"/>
            <w:noWrap/>
          </w:tcPr>
          <w:p w:rsidR="00423027" w:rsidRPr="00F17578" w:rsidRDefault="00423027" w:rsidP="00380FF9">
            <w:pPr>
              <w:jc w:val="center"/>
              <w:rPr>
                <w:color w:val="000000"/>
                <w:sz w:val="19"/>
                <w:szCs w:val="19"/>
              </w:rPr>
            </w:pPr>
            <w:r w:rsidRPr="00F17578">
              <w:rPr>
                <w:sz w:val="19"/>
                <w:szCs w:val="19"/>
              </w:rPr>
              <w:t>The verified savings accounted for the change in fixture count and the SWE Team had no further recommendations.</w:t>
            </w:r>
          </w:p>
        </w:tc>
      </w:tr>
      <w:tr w:rsidR="00A874AC" w:rsidRPr="00F17578" w:rsidTr="00F17578">
        <w:trPr>
          <w:trHeight w:val="977"/>
        </w:trPr>
        <w:tc>
          <w:tcPr>
            <w:tcW w:w="1880" w:type="dxa"/>
            <w:shd w:val="clear" w:color="auto" w:fill="D2EAF1"/>
            <w:noWrap/>
          </w:tcPr>
          <w:p w:rsidR="00423027" w:rsidRPr="00F17578" w:rsidRDefault="00423027" w:rsidP="00380FF9">
            <w:pPr>
              <w:rPr>
                <w:sz w:val="19"/>
                <w:szCs w:val="19"/>
              </w:rPr>
            </w:pPr>
            <w:r w:rsidRPr="00F17578">
              <w:rPr>
                <w:sz w:val="19"/>
                <w:szCs w:val="19"/>
              </w:rPr>
              <w:t>8000650287.19.01</w:t>
            </w:r>
          </w:p>
        </w:tc>
        <w:tc>
          <w:tcPr>
            <w:tcW w:w="1592" w:type="dxa"/>
            <w:shd w:val="clear" w:color="auto" w:fill="D2EAF1"/>
            <w:noWrap/>
          </w:tcPr>
          <w:p w:rsidR="00423027" w:rsidRPr="00F17578" w:rsidRDefault="00423027" w:rsidP="00380FF9">
            <w:pPr>
              <w:jc w:val="center"/>
              <w:rPr>
                <w:sz w:val="19"/>
                <w:szCs w:val="19"/>
              </w:rPr>
            </w:pPr>
            <w:r w:rsidRPr="00F17578">
              <w:rPr>
                <w:sz w:val="19"/>
                <w:szCs w:val="19"/>
              </w:rPr>
              <w:t>HVAC (chillers, VFDs)</w:t>
            </w:r>
          </w:p>
        </w:tc>
        <w:tc>
          <w:tcPr>
            <w:tcW w:w="3780" w:type="dxa"/>
            <w:shd w:val="clear" w:color="auto" w:fill="D2EAF1"/>
            <w:noWrap/>
          </w:tcPr>
          <w:p w:rsidR="00423027" w:rsidRPr="00F17578" w:rsidRDefault="00423027" w:rsidP="00380FF9">
            <w:pPr>
              <w:jc w:val="center"/>
              <w:rPr>
                <w:color w:val="000000"/>
                <w:sz w:val="19"/>
                <w:szCs w:val="19"/>
                <w:highlight w:val="yellow"/>
              </w:rPr>
            </w:pPr>
            <w:r w:rsidRPr="00F17578">
              <w:rPr>
                <w:sz w:val="19"/>
                <w:szCs w:val="19"/>
              </w:rPr>
              <w:t>Generally, all retrofitted equipment and controls were verified as reported and inputs to the energy savings calculations reflected what was found on-site.</w:t>
            </w:r>
          </w:p>
        </w:tc>
        <w:tc>
          <w:tcPr>
            <w:tcW w:w="944" w:type="dxa"/>
            <w:shd w:val="clear" w:color="auto" w:fill="D2EAF1"/>
            <w:noWrap/>
          </w:tcPr>
          <w:p w:rsidR="00423027" w:rsidRPr="00F17578" w:rsidRDefault="00423027" w:rsidP="00380FF9">
            <w:pPr>
              <w:jc w:val="center"/>
              <w:rPr>
                <w:color w:val="000000"/>
                <w:sz w:val="19"/>
                <w:szCs w:val="19"/>
                <w:highlight w:val="yellow"/>
              </w:rPr>
            </w:pPr>
            <w:r w:rsidRPr="00F17578">
              <w:rPr>
                <w:sz w:val="19"/>
                <w:szCs w:val="19"/>
              </w:rPr>
              <w:t>Eval</w:t>
            </w:r>
          </w:p>
        </w:tc>
        <w:tc>
          <w:tcPr>
            <w:tcW w:w="4844" w:type="dxa"/>
            <w:shd w:val="clear" w:color="auto" w:fill="D2EAF1"/>
            <w:noWrap/>
          </w:tcPr>
          <w:p w:rsidR="00423027" w:rsidRPr="00F17578" w:rsidRDefault="00423027" w:rsidP="00380FF9">
            <w:pPr>
              <w:jc w:val="center"/>
              <w:rPr>
                <w:color w:val="000000"/>
                <w:sz w:val="19"/>
                <w:szCs w:val="19"/>
                <w:highlight w:val="yellow"/>
              </w:rPr>
            </w:pPr>
            <w:r w:rsidRPr="00F17578">
              <w:rPr>
                <w:sz w:val="19"/>
                <w:szCs w:val="19"/>
              </w:rPr>
              <w:t>The SWE Team had no recommendations based on its review of this project.</w:t>
            </w:r>
          </w:p>
        </w:tc>
      </w:tr>
      <w:tr w:rsidR="00E7173E" w:rsidRPr="00F17578" w:rsidTr="00F17578">
        <w:trPr>
          <w:trHeight w:val="977"/>
        </w:trPr>
        <w:tc>
          <w:tcPr>
            <w:tcW w:w="1880" w:type="dxa"/>
            <w:shd w:val="clear" w:color="auto" w:fill="auto"/>
            <w:noWrap/>
          </w:tcPr>
          <w:p w:rsidR="00423027" w:rsidRPr="00F17578" w:rsidRDefault="00423027" w:rsidP="00380FF9">
            <w:pPr>
              <w:rPr>
                <w:sz w:val="19"/>
                <w:szCs w:val="19"/>
              </w:rPr>
            </w:pPr>
            <w:r w:rsidRPr="00F17578">
              <w:rPr>
                <w:sz w:val="19"/>
                <w:szCs w:val="19"/>
              </w:rPr>
              <w:t>0304430541.16.01</w:t>
            </w:r>
          </w:p>
        </w:tc>
        <w:tc>
          <w:tcPr>
            <w:tcW w:w="1592" w:type="dxa"/>
            <w:shd w:val="clear" w:color="auto" w:fill="auto"/>
            <w:noWrap/>
          </w:tcPr>
          <w:p w:rsidR="00423027" w:rsidRPr="00F17578" w:rsidRDefault="00423027" w:rsidP="00380FF9">
            <w:pPr>
              <w:jc w:val="center"/>
              <w:rPr>
                <w:sz w:val="19"/>
                <w:szCs w:val="19"/>
              </w:rPr>
            </w:pPr>
            <w:r w:rsidRPr="00F17578">
              <w:rPr>
                <w:sz w:val="19"/>
                <w:szCs w:val="19"/>
              </w:rPr>
              <w:t>Lighting</w:t>
            </w:r>
          </w:p>
        </w:tc>
        <w:tc>
          <w:tcPr>
            <w:tcW w:w="3780" w:type="dxa"/>
            <w:shd w:val="clear" w:color="auto" w:fill="auto"/>
            <w:noWrap/>
          </w:tcPr>
          <w:p w:rsidR="00423027" w:rsidRPr="00F17578" w:rsidRDefault="00423027" w:rsidP="00380FF9">
            <w:pPr>
              <w:jc w:val="center"/>
              <w:rPr>
                <w:color w:val="000000"/>
                <w:sz w:val="19"/>
                <w:szCs w:val="19"/>
                <w:highlight w:val="yellow"/>
              </w:rPr>
            </w:pPr>
            <w:r w:rsidRPr="00F17578">
              <w:rPr>
                <w:sz w:val="19"/>
                <w:szCs w:val="19"/>
              </w:rPr>
              <w:t>The SWE Team found that the evaluation contractor’s review of the project is accurate.</w:t>
            </w:r>
          </w:p>
        </w:tc>
        <w:tc>
          <w:tcPr>
            <w:tcW w:w="944" w:type="dxa"/>
            <w:shd w:val="clear" w:color="auto" w:fill="auto"/>
            <w:noWrap/>
          </w:tcPr>
          <w:p w:rsidR="00423027" w:rsidRPr="00F17578" w:rsidRDefault="00423027" w:rsidP="00380FF9">
            <w:pPr>
              <w:jc w:val="center"/>
              <w:rPr>
                <w:color w:val="000000"/>
                <w:sz w:val="19"/>
                <w:szCs w:val="19"/>
                <w:highlight w:val="yellow"/>
              </w:rPr>
            </w:pPr>
            <w:r w:rsidRPr="00F17578">
              <w:rPr>
                <w:sz w:val="19"/>
                <w:szCs w:val="19"/>
              </w:rPr>
              <w:t>Eval</w:t>
            </w:r>
          </w:p>
        </w:tc>
        <w:tc>
          <w:tcPr>
            <w:tcW w:w="4844" w:type="dxa"/>
            <w:shd w:val="clear" w:color="auto" w:fill="auto"/>
            <w:noWrap/>
          </w:tcPr>
          <w:p w:rsidR="00423027" w:rsidRPr="00F17578" w:rsidRDefault="00423027" w:rsidP="00380FF9">
            <w:pPr>
              <w:jc w:val="center"/>
              <w:rPr>
                <w:color w:val="000000"/>
                <w:sz w:val="19"/>
                <w:szCs w:val="19"/>
                <w:highlight w:val="yellow"/>
              </w:rPr>
            </w:pPr>
            <w:r w:rsidRPr="00F17578">
              <w:rPr>
                <w:sz w:val="19"/>
                <w:szCs w:val="19"/>
              </w:rPr>
              <w:t>The SWE Team had no recommendations based on its review of this project.</w:t>
            </w:r>
          </w:p>
        </w:tc>
      </w:tr>
      <w:tr w:rsidR="00A874AC" w:rsidRPr="00F17578" w:rsidTr="00F17578">
        <w:trPr>
          <w:trHeight w:val="977"/>
        </w:trPr>
        <w:tc>
          <w:tcPr>
            <w:tcW w:w="1880" w:type="dxa"/>
            <w:shd w:val="clear" w:color="auto" w:fill="D2EAF1"/>
            <w:noWrap/>
          </w:tcPr>
          <w:p w:rsidR="00423027" w:rsidRPr="00F17578" w:rsidRDefault="00423027" w:rsidP="00380FF9">
            <w:pPr>
              <w:rPr>
                <w:sz w:val="19"/>
                <w:szCs w:val="19"/>
              </w:rPr>
            </w:pPr>
            <w:r w:rsidRPr="00F17578">
              <w:rPr>
                <w:sz w:val="19"/>
                <w:szCs w:val="19"/>
              </w:rPr>
              <w:t>9302070578.20.01</w:t>
            </w:r>
          </w:p>
        </w:tc>
        <w:tc>
          <w:tcPr>
            <w:tcW w:w="1592" w:type="dxa"/>
            <w:shd w:val="clear" w:color="auto" w:fill="D2EAF1"/>
            <w:noWrap/>
          </w:tcPr>
          <w:p w:rsidR="00423027" w:rsidRPr="00F17578" w:rsidRDefault="00423027" w:rsidP="00380FF9">
            <w:pPr>
              <w:jc w:val="center"/>
              <w:rPr>
                <w:sz w:val="19"/>
                <w:szCs w:val="19"/>
              </w:rPr>
            </w:pPr>
            <w:r w:rsidRPr="00F17578">
              <w:rPr>
                <w:sz w:val="19"/>
                <w:szCs w:val="19"/>
              </w:rPr>
              <w:t>HVAC (chillers, VFDs, HTX)</w:t>
            </w:r>
          </w:p>
        </w:tc>
        <w:tc>
          <w:tcPr>
            <w:tcW w:w="3780" w:type="dxa"/>
            <w:shd w:val="clear" w:color="auto" w:fill="D2EAF1"/>
            <w:noWrap/>
          </w:tcPr>
          <w:p w:rsidR="00423027" w:rsidRPr="00F17578" w:rsidRDefault="00423027" w:rsidP="00380FF9">
            <w:pPr>
              <w:jc w:val="center"/>
              <w:rPr>
                <w:sz w:val="19"/>
                <w:szCs w:val="19"/>
              </w:rPr>
            </w:pPr>
            <w:r w:rsidRPr="00F17578">
              <w:rPr>
                <w:sz w:val="19"/>
                <w:szCs w:val="19"/>
              </w:rPr>
              <w:t>The SWE Team found that the evaluation contractor’s</w:t>
            </w:r>
            <w:r w:rsidRPr="00F17578" w:rsidDel="006054DE">
              <w:rPr>
                <w:sz w:val="19"/>
                <w:szCs w:val="19"/>
              </w:rPr>
              <w:t xml:space="preserve"> </w:t>
            </w:r>
            <w:r w:rsidRPr="00F17578">
              <w:rPr>
                <w:sz w:val="19"/>
                <w:szCs w:val="19"/>
              </w:rPr>
              <w:t>review of the project is accurate.</w:t>
            </w:r>
          </w:p>
        </w:tc>
        <w:tc>
          <w:tcPr>
            <w:tcW w:w="944" w:type="dxa"/>
            <w:shd w:val="clear" w:color="auto" w:fill="D2EAF1"/>
            <w:noWrap/>
          </w:tcPr>
          <w:p w:rsidR="00423027" w:rsidRPr="00F17578" w:rsidRDefault="00423027" w:rsidP="00380FF9">
            <w:pPr>
              <w:jc w:val="center"/>
              <w:rPr>
                <w:sz w:val="19"/>
                <w:szCs w:val="19"/>
              </w:rPr>
            </w:pPr>
            <w:r w:rsidRPr="00F17578">
              <w:rPr>
                <w:sz w:val="19"/>
                <w:szCs w:val="19"/>
              </w:rPr>
              <w:t>Eval</w:t>
            </w:r>
          </w:p>
        </w:tc>
        <w:tc>
          <w:tcPr>
            <w:tcW w:w="4844" w:type="dxa"/>
            <w:shd w:val="clear" w:color="auto" w:fill="D2EAF1"/>
            <w:noWrap/>
          </w:tcPr>
          <w:p w:rsidR="00423027" w:rsidRPr="00F17578" w:rsidRDefault="00423027" w:rsidP="00380FF9">
            <w:pPr>
              <w:jc w:val="center"/>
              <w:rPr>
                <w:sz w:val="19"/>
                <w:szCs w:val="19"/>
              </w:rPr>
            </w:pPr>
            <w:r w:rsidRPr="00F17578">
              <w:rPr>
                <w:sz w:val="19"/>
                <w:szCs w:val="19"/>
              </w:rPr>
              <w:t>The SWE Team had no recommendations based on its review of this project.</w:t>
            </w:r>
          </w:p>
        </w:tc>
      </w:tr>
      <w:tr w:rsidR="00E7173E" w:rsidRPr="00F17578" w:rsidTr="00F17578">
        <w:trPr>
          <w:trHeight w:val="977"/>
        </w:trPr>
        <w:tc>
          <w:tcPr>
            <w:tcW w:w="1880" w:type="dxa"/>
            <w:shd w:val="clear" w:color="auto" w:fill="auto"/>
            <w:noWrap/>
          </w:tcPr>
          <w:p w:rsidR="00423027" w:rsidRPr="00F17578" w:rsidRDefault="00423027" w:rsidP="00380FF9">
            <w:pPr>
              <w:rPr>
                <w:sz w:val="19"/>
                <w:szCs w:val="19"/>
              </w:rPr>
            </w:pPr>
            <w:r w:rsidRPr="00F17578">
              <w:rPr>
                <w:sz w:val="19"/>
                <w:szCs w:val="19"/>
              </w:rPr>
              <w:t>6000006806.26.07</w:t>
            </w:r>
          </w:p>
        </w:tc>
        <w:tc>
          <w:tcPr>
            <w:tcW w:w="1592" w:type="dxa"/>
            <w:shd w:val="clear" w:color="auto" w:fill="auto"/>
            <w:noWrap/>
          </w:tcPr>
          <w:p w:rsidR="00423027" w:rsidRPr="00F17578" w:rsidRDefault="00423027" w:rsidP="00380FF9">
            <w:pPr>
              <w:jc w:val="center"/>
              <w:rPr>
                <w:sz w:val="19"/>
                <w:szCs w:val="19"/>
              </w:rPr>
            </w:pPr>
            <w:r w:rsidRPr="00F17578">
              <w:rPr>
                <w:sz w:val="19"/>
                <w:szCs w:val="19"/>
              </w:rPr>
              <w:t>HVAC (chillers, VFDs)</w:t>
            </w:r>
          </w:p>
        </w:tc>
        <w:tc>
          <w:tcPr>
            <w:tcW w:w="3780" w:type="dxa"/>
            <w:shd w:val="clear" w:color="auto" w:fill="auto"/>
            <w:noWrap/>
          </w:tcPr>
          <w:p w:rsidR="00423027" w:rsidRPr="00F17578" w:rsidRDefault="00423027" w:rsidP="00380FF9">
            <w:pPr>
              <w:jc w:val="center"/>
              <w:rPr>
                <w:sz w:val="19"/>
                <w:szCs w:val="19"/>
              </w:rPr>
            </w:pPr>
            <w:r w:rsidRPr="00F17578">
              <w:rPr>
                <w:sz w:val="19"/>
                <w:szCs w:val="19"/>
              </w:rPr>
              <w:t>The SWE Team found that the evaluation contractor’s</w:t>
            </w:r>
            <w:r w:rsidRPr="00F17578" w:rsidDel="006054DE">
              <w:rPr>
                <w:sz w:val="19"/>
                <w:szCs w:val="19"/>
              </w:rPr>
              <w:t xml:space="preserve"> </w:t>
            </w:r>
            <w:r w:rsidRPr="00F17578">
              <w:rPr>
                <w:sz w:val="19"/>
                <w:szCs w:val="19"/>
              </w:rPr>
              <w:t>review of the project is accurate.</w:t>
            </w:r>
          </w:p>
        </w:tc>
        <w:tc>
          <w:tcPr>
            <w:tcW w:w="944" w:type="dxa"/>
            <w:shd w:val="clear" w:color="auto" w:fill="auto"/>
            <w:noWrap/>
          </w:tcPr>
          <w:p w:rsidR="00423027" w:rsidRPr="00F17578" w:rsidRDefault="00423027" w:rsidP="00380FF9">
            <w:pPr>
              <w:jc w:val="center"/>
              <w:rPr>
                <w:sz w:val="19"/>
                <w:szCs w:val="19"/>
              </w:rPr>
            </w:pPr>
            <w:r w:rsidRPr="00F17578">
              <w:rPr>
                <w:sz w:val="19"/>
                <w:szCs w:val="19"/>
              </w:rPr>
              <w:t>Eval</w:t>
            </w:r>
          </w:p>
        </w:tc>
        <w:tc>
          <w:tcPr>
            <w:tcW w:w="4844" w:type="dxa"/>
            <w:shd w:val="clear" w:color="auto" w:fill="auto"/>
            <w:noWrap/>
          </w:tcPr>
          <w:p w:rsidR="00423027" w:rsidRPr="00F17578" w:rsidRDefault="00423027" w:rsidP="00380FF9">
            <w:pPr>
              <w:jc w:val="center"/>
              <w:rPr>
                <w:sz w:val="19"/>
                <w:szCs w:val="19"/>
              </w:rPr>
            </w:pPr>
            <w:r w:rsidRPr="00F17578">
              <w:rPr>
                <w:sz w:val="19"/>
                <w:szCs w:val="19"/>
              </w:rPr>
              <w:t>The SWE Team had no recommendations based on its review of this project.</w:t>
            </w:r>
          </w:p>
        </w:tc>
      </w:tr>
      <w:tr w:rsidR="00A874AC" w:rsidRPr="00F17578" w:rsidTr="00F17578">
        <w:trPr>
          <w:trHeight w:val="977"/>
        </w:trPr>
        <w:tc>
          <w:tcPr>
            <w:tcW w:w="1880" w:type="dxa"/>
            <w:shd w:val="clear" w:color="auto" w:fill="D2EAF1"/>
            <w:noWrap/>
          </w:tcPr>
          <w:p w:rsidR="00423027" w:rsidRPr="00F17578" w:rsidRDefault="00423027" w:rsidP="00380FF9">
            <w:pPr>
              <w:rPr>
                <w:sz w:val="19"/>
                <w:szCs w:val="19"/>
              </w:rPr>
            </w:pPr>
            <w:r w:rsidRPr="00F17578">
              <w:rPr>
                <w:sz w:val="19"/>
                <w:szCs w:val="19"/>
              </w:rPr>
              <w:t>0449510785.16.01</w:t>
            </w:r>
          </w:p>
        </w:tc>
        <w:tc>
          <w:tcPr>
            <w:tcW w:w="1592" w:type="dxa"/>
            <w:shd w:val="clear" w:color="auto" w:fill="D2EAF1"/>
            <w:noWrap/>
          </w:tcPr>
          <w:p w:rsidR="00423027" w:rsidRPr="00F17578" w:rsidRDefault="00423027" w:rsidP="00380FF9">
            <w:pPr>
              <w:jc w:val="center"/>
              <w:rPr>
                <w:sz w:val="19"/>
                <w:szCs w:val="19"/>
              </w:rPr>
            </w:pPr>
            <w:r w:rsidRPr="00F17578">
              <w:rPr>
                <w:sz w:val="19"/>
                <w:szCs w:val="19"/>
              </w:rPr>
              <w:t>Lighting</w:t>
            </w:r>
          </w:p>
        </w:tc>
        <w:tc>
          <w:tcPr>
            <w:tcW w:w="3780" w:type="dxa"/>
            <w:shd w:val="clear" w:color="auto" w:fill="D2EAF1"/>
            <w:noWrap/>
          </w:tcPr>
          <w:p w:rsidR="00423027" w:rsidRPr="00F17578" w:rsidRDefault="00423027" w:rsidP="00380FF9">
            <w:pPr>
              <w:jc w:val="center"/>
              <w:rPr>
                <w:sz w:val="19"/>
                <w:szCs w:val="19"/>
              </w:rPr>
            </w:pPr>
            <w:r w:rsidRPr="00F17578">
              <w:rPr>
                <w:sz w:val="19"/>
                <w:szCs w:val="19"/>
              </w:rPr>
              <w:t>Occupancy sensors were discovered at the site inspection.</w:t>
            </w:r>
          </w:p>
        </w:tc>
        <w:tc>
          <w:tcPr>
            <w:tcW w:w="944" w:type="dxa"/>
            <w:shd w:val="clear" w:color="auto" w:fill="D2EAF1"/>
            <w:noWrap/>
          </w:tcPr>
          <w:p w:rsidR="00423027" w:rsidRPr="00F17578" w:rsidRDefault="00423027" w:rsidP="00380FF9">
            <w:pPr>
              <w:jc w:val="center"/>
              <w:rPr>
                <w:sz w:val="19"/>
                <w:szCs w:val="19"/>
              </w:rPr>
            </w:pPr>
            <w:r w:rsidRPr="00F17578">
              <w:rPr>
                <w:sz w:val="19"/>
                <w:szCs w:val="19"/>
              </w:rPr>
              <w:t>Eval</w:t>
            </w:r>
          </w:p>
        </w:tc>
        <w:tc>
          <w:tcPr>
            <w:tcW w:w="4844" w:type="dxa"/>
            <w:shd w:val="clear" w:color="auto" w:fill="D2EAF1"/>
            <w:noWrap/>
          </w:tcPr>
          <w:p w:rsidR="00423027" w:rsidRPr="00F17578" w:rsidRDefault="00423027" w:rsidP="00380FF9">
            <w:pPr>
              <w:jc w:val="center"/>
              <w:rPr>
                <w:sz w:val="19"/>
                <w:szCs w:val="19"/>
              </w:rPr>
            </w:pPr>
            <w:r w:rsidRPr="00F17578">
              <w:rPr>
                <w:sz w:val="19"/>
                <w:szCs w:val="19"/>
              </w:rPr>
              <w:t>The verified savings accounted for the addition of the occupancy sensors and the SWE Team had no further recommendations.</w:t>
            </w:r>
          </w:p>
        </w:tc>
      </w:tr>
      <w:tr w:rsidR="00E7173E" w:rsidRPr="00F17578" w:rsidTr="00F17578">
        <w:trPr>
          <w:trHeight w:val="977"/>
        </w:trPr>
        <w:tc>
          <w:tcPr>
            <w:tcW w:w="1880" w:type="dxa"/>
            <w:shd w:val="clear" w:color="auto" w:fill="auto"/>
            <w:noWrap/>
          </w:tcPr>
          <w:p w:rsidR="00423027" w:rsidRPr="00F17578" w:rsidRDefault="00423027" w:rsidP="00380FF9">
            <w:pPr>
              <w:rPr>
                <w:sz w:val="19"/>
                <w:szCs w:val="19"/>
              </w:rPr>
            </w:pPr>
            <w:r w:rsidRPr="00F17578">
              <w:rPr>
                <w:sz w:val="19"/>
                <w:szCs w:val="19"/>
              </w:rPr>
              <w:t>3113581629.18.01</w:t>
            </w:r>
          </w:p>
        </w:tc>
        <w:tc>
          <w:tcPr>
            <w:tcW w:w="1592" w:type="dxa"/>
            <w:shd w:val="clear" w:color="auto" w:fill="auto"/>
            <w:noWrap/>
          </w:tcPr>
          <w:p w:rsidR="00423027" w:rsidRPr="00F17578" w:rsidRDefault="00423027" w:rsidP="00380FF9">
            <w:pPr>
              <w:jc w:val="center"/>
              <w:rPr>
                <w:sz w:val="19"/>
                <w:szCs w:val="19"/>
              </w:rPr>
            </w:pPr>
            <w:r w:rsidRPr="00F17578">
              <w:rPr>
                <w:sz w:val="19"/>
                <w:szCs w:val="19"/>
              </w:rPr>
              <w:t>HVAC (pump VFDs)</w:t>
            </w:r>
          </w:p>
        </w:tc>
        <w:tc>
          <w:tcPr>
            <w:tcW w:w="3780" w:type="dxa"/>
            <w:shd w:val="clear" w:color="auto" w:fill="auto"/>
            <w:noWrap/>
          </w:tcPr>
          <w:p w:rsidR="00423027" w:rsidRPr="00F17578" w:rsidRDefault="00423027" w:rsidP="00380FF9">
            <w:pPr>
              <w:jc w:val="center"/>
              <w:rPr>
                <w:sz w:val="19"/>
                <w:szCs w:val="19"/>
              </w:rPr>
            </w:pPr>
            <w:r w:rsidRPr="00F17578">
              <w:rPr>
                <w:sz w:val="19"/>
                <w:szCs w:val="19"/>
              </w:rPr>
              <w:t>Upon inspection, it was discovered that the VFDs were not being used as the program rules dictate and were only being used for soft starts.</w:t>
            </w:r>
          </w:p>
        </w:tc>
        <w:tc>
          <w:tcPr>
            <w:tcW w:w="944" w:type="dxa"/>
            <w:shd w:val="clear" w:color="auto" w:fill="auto"/>
            <w:noWrap/>
          </w:tcPr>
          <w:p w:rsidR="00423027" w:rsidRPr="00F17578" w:rsidRDefault="00423027" w:rsidP="00380FF9">
            <w:pPr>
              <w:jc w:val="center"/>
              <w:rPr>
                <w:color w:val="000000"/>
                <w:sz w:val="19"/>
                <w:szCs w:val="19"/>
              </w:rPr>
            </w:pPr>
            <w:r w:rsidRPr="00F17578">
              <w:rPr>
                <w:color w:val="000000"/>
                <w:sz w:val="19"/>
                <w:szCs w:val="19"/>
              </w:rPr>
              <w:t>Pro</w:t>
            </w:r>
          </w:p>
        </w:tc>
        <w:tc>
          <w:tcPr>
            <w:tcW w:w="4844" w:type="dxa"/>
            <w:shd w:val="clear" w:color="auto" w:fill="auto"/>
            <w:noWrap/>
          </w:tcPr>
          <w:p w:rsidR="00423027" w:rsidRPr="00F17578" w:rsidRDefault="00423027" w:rsidP="00380FF9">
            <w:pPr>
              <w:jc w:val="center"/>
              <w:rPr>
                <w:sz w:val="19"/>
                <w:szCs w:val="19"/>
              </w:rPr>
            </w:pPr>
            <w:r w:rsidRPr="00F17578">
              <w:rPr>
                <w:sz w:val="19"/>
                <w:szCs w:val="19"/>
              </w:rPr>
              <w:t>The verified savings evaluation did account for the site findings and the SWE Team had no further recommendations for this project.</w:t>
            </w:r>
          </w:p>
          <w:p w:rsidR="00423027" w:rsidRPr="00F17578" w:rsidRDefault="00423027" w:rsidP="00380FF9">
            <w:pPr>
              <w:jc w:val="center"/>
              <w:rPr>
                <w:color w:val="000000"/>
                <w:sz w:val="19"/>
                <w:szCs w:val="19"/>
              </w:rPr>
            </w:pPr>
          </w:p>
        </w:tc>
      </w:tr>
      <w:tr w:rsidR="00A874AC" w:rsidRPr="00F17578" w:rsidTr="00F17578">
        <w:trPr>
          <w:trHeight w:val="977"/>
        </w:trPr>
        <w:tc>
          <w:tcPr>
            <w:tcW w:w="1880" w:type="dxa"/>
            <w:shd w:val="clear" w:color="auto" w:fill="D2EAF1"/>
            <w:noWrap/>
          </w:tcPr>
          <w:p w:rsidR="00423027" w:rsidRPr="00F17578" w:rsidRDefault="00423027" w:rsidP="00380FF9">
            <w:pPr>
              <w:rPr>
                <w:sz w:val="19"/>
                <w:szCs w:val="19"/>
              </w:rPr>
            </w:pPr>
            <w:r w:rsidRPr="00F17578">
              <w:rPr>
                <w:sz w:val="19"/>
                <w:szCs w:val="19"/>
              </w:rPr>
              <w:t>7844100128.16.01</w:t>
            </w:r>
          </w:p>
        </w:tc>
        <w:tc>
          <w:tcPr>
            <w:tcW w:w="1592" w:type="dxa"/>
            <w:shd w:val="clear" w:color="auto" w:fill="D2EAF1"/>
            <w:noWrap/>
          </w:tcPr>
          <w:p w:rsidR="00423027" w:rsidRPr="00F17578" w:rsidRDefault="00423027" w:rsidP="00380FF9">
            <w:pPr>
              <w:jc w:val="center"/>
              <w:rPr>
                <w:sz w:val="19"/>
                <w:szCs w:val="19"/>
              </w:rPr>
            </w:pPr>
            <w:r w:rsidRPr="00F17578">
              <w:rPr>
                <w:sz w:val="19"/>
                <w:szCs w:val="19"/>
              </w:rPr>
              <w:t>HVAC (retro-commissioning)</w:t>
            </w:r>
          </w:p>
        </w:tc>
        <w:tc>
          <w:tcPr>
            <w:tcW w:w="3780" w:type="dxa"/>
            <w:shd w:val="clear" w:color="auto" w:fill="D2EAF1"/>
            <w:noWrap/>
          </w:tcPr>
          <w:p w:rsidR="00423027" w:rsidRPr="00F17578" w:rsidRDefault="00423027" w:rsidP="00380FF9">
            <w:pPr>
              <w:jc w:val="center"/>
              <w:rPr>
                <w:color w:val="000000"/>
                <w:sz w:val="19"/>
                <w:szCs w:val="19"/>
              </w:rPr>
            </w:pPr>
            <w:r w:rsidRPr="00F17578">
              <w:rPr>
                <w:sz w:val="19"/>
                <w:szCs w:val="19"/>
              </w:rPr>
              <w:t>At the site visit it was discovered that not all of the retro-commissioning measures were fully completed.</w:t>
            </w:r>
          </w:p>
        </w:tc>
        <w:tc>
          <w:tcPr>
            <w:tcW w:w="944" w:type="dxa"/>
            <w:shd w:val="clear" w:color="auto" w:fill="D2EAF1"/>
            <w:noWrap/>
          </w:tcPr>
          <w:p w:rsidR="00423027" w:rsidRPr="00F17578" w:rsidRDefault="00423027" w:rsidP="00380FF9">
            <w:pPr>
              <w:jc w:val="center"/>
              <w:rPr>
                <w:color w:val="000000"/>
                <w:sz w:val="19"/>
                <w:szCs w:val="19"/>
              </w:rPr>
            </w:pPr>
            <w:r w:rsidRPr="00F17578">
              <w:rPr>
                <w:sz w:val="19"/>
                <w:szCs w:val="19"/>
              </w:rPr>
              <w:t>Eval</w:t>
            </w:r>
          </w:p>
        </w:tc>
        <w:tc>
          <w:tcPr>
            <w:tcW w:w="4844" w:type="dxa"/>
            <w:shd w:val="clear" w:color="auto" w:fill="D2EAF1"/>
            <w:noWrap/>
          </w:tcPr>
          <w:p w:rsidR="00423027" w:rsidRPr="00F17578" w:rsidRDefault="00423027" w:rsidP="00380FF9">
            <w:pPr>
              <w:jc w:val="center"/>
              <w:rPr>
                <w:color w:val="000000"/>
                <w:sz w:val="19"/>
                <w:szCs w:val="19"/>
                <w:highlight w:val="yellow"/>
              </w:rPr>
            </w:pPr>
            <w:r w:rsidRPr="00F17578">
              <w:rPr>
                <w:sz w:val="19"/>
                <w:szCs w:val="19"/>
              </w:rPr>
              <w:t>The verified savings evaluation did account for the site findings and the SWE Team had no further recommendations for this project.</w:t>
            </w:r>
          </w:p>
        </w:tc>
      </w:tr>
      <w:tr w:rsidR="00E7173E" w:rsidRPr="00F17578" w:rsidTr="00F17578">
        <w:trPr>
          <w:trHeight w:val="977"/>
        </w:trPr>
        <w:tc>
          <w:tcPr>
            <w:tcW w:w="1880" w:type="dxa"/>
            <w:shd w:val="clear" w:color="auto" w:fill="auto"/>
            <w:noWrap/>
          </w:tcPr>
          <w:p w:rsidR="00423027" w:rsidRPr="00F17578" w:rsidRDefault="00423027" w:rsidP="00380FF9">
            <w:pPr>
              <w:rPr>
                <w:sz w:val="19"/>
                <w:szCs w:val="19"/>
              </w:rPr>
            </w:pPr>
            <w:r w:rsidRPr="00F17578">
              <w:rPr>
                <w:sz w:val="19"/>
                <w:szCs w:val="19"/>
              </w:rPr>
              <w:t>1415560639.21.01</w:t>
            </w:r>
          </w:p>
        </w:tc>
        <w:tc>
          <w:tcPr>
            <w:tcW w:w="1592" w:type="dxa"/>
            <w:shd w:val="clear" w:color="auto" w:fill="auto"/>
            <w:noWrap/>
          </w:tcPr>
          <w:p w:rsidR="00423027" w:rsidRPr="00F17578" w:rsidRDefault="00423027" w:rsidP="00380FF9">
            <w:pPr>
              <w:jc w:val="center"/>
              <w:rPr>
                <w:sz w:val="19"/>
                <w:szCs w:val="19"/>
              </w:rPr>
            </w:pPr>
            <w:r w:rsidRPr="00F17578">
              <w:rPr>
                <w:sz w:val="19"/>
                <w:szCs w:val="19"/>
              </w:rPr>
              <w:t>HVAC (retro-commissioning)</w:t>
            </w:r>
          </w:p>
        </w:tc>
        <w:tc>
          <w:tcPr>
            <w:tcW w:w="3780" w:type="dxa"/>
            <w:shd w:val="clear" w:color="auto" w:fill="auto"/>
            <w:noWrap/>
          </w:tcPr>
          <w:p w:rsidR="00423027" w:rsidRPr="00F17578" w:rsidRDefault="00423027" w:rsidP="00380FF9">
            <w:pPr>
              <w:jc w:val="center"/>
              <w:rPr>
                <w:sz w:val="19"/>
                <w:szCs w:val="19"/>
              </w:rPr>
            </w:pPr>
            <w:r w:rsidRPr="00F17578">
              <w:rPr>
                <w:sz w:val="19"/>
                <w:szCs w:val="19"/>
              </w:rPr>
              <w:t>At the site visit it was discovered that not all of the retro-commissioning measures were completed.</w:t>
            </w:r>
          </w:p>
        </w:tc>
        <w:tc>
          <w:tcPr>
            <w:tcW w:w="944" w:type="dxa"/>
            <w:shd w:val="clear" w:color="auto" w:fill="auto"/>
            <w:noWrap/>
          </w:tcPr>
          <w:p w:rsidR="00423027" w:rsidRPr="00F17578" w:rsidRDefault="00423027" w:rsidP="00380FF9">
            <w:pPr>
              <w:jc w:val="center"/>
              <w:rPr>
                <w:sz w:val="19"/>
                <w:szCs w:val="19"/>
              </w:rPr>
            </w:pPr>
            <w:r w:rsidRPr="00F17578">
              <w:rPr>
                <w:sz w:val="19"/>
                <w:szCs w:val="19"/>
              </w:rPr>
              <w:t>Eval</w:t>
            </w:r>
          </w:p>
        </w:tc>
        <w:tc>
          <w:tcPr>
            <w:tcW w:w="4844" w:type="dxa"/>
            <w:shd w:val="clear" w:color="auto" w:fill="auto"/>
            <w:noWrap/>
          </w:tcPr>
          <w:p w:rsidR="00423027" w:rsidRPr="00F17578" w:rsidRDefault="00423027" w:rsidP="00380FF9">
            <w:pPr>
              <w:jc w:val="center"/>
              <w:rPr>
                <w:sz w:val="19"/>
                <w:szCs w:val="19"/>
              </w:rPr>
            </w:pPr>
            <w:r w:rsidRPr="00F17578">
              <w:rPr>
                <w:sz w:val="19"/>
                <w:szCs w:val="19"/>
              </w:rPr>
              <w:t>The verified savings evaluation did account for the site findings and the SWE Team had no further recommendations for this project.</w:t>
            </w:r>
          </w:p>
        </w:tc>
      </w:tr>
    </w:tbl>
    <w:p w:rsidR="00423027" w:rsidRPr="00423027" w:rsidRDefault="00423027" w:rsidP="00423027">
      <w:pPr>
        <w:sectPr w:rsidR="00423027" w:rsidRPr="00423027" w:rsidSect="00E45861">
          <w:headerReference w:type="default" r:id="rId100"/>
          <w:footerReference w:type="default" r:id="rId101"/>
          <w:headerReference w:type="first" r:id="rId102"/>
          <w:footerReference w:type="first" r:id="rId103"/>
          <w:pgSz w:w="15840" w:h="12240" w:orient="landscape"/>
          <w:pgMar w:top="1440" w:right="1440" w:bottom="1440" w:left="1440" w:header="720" w:footer="403" w:gutter="0"/>
          <w:cols w:space="720"/>
          <w:titlePg/>
          <w:docGrid w:linePitch="360"/>
        </w:sectPr>
      </w:pPr>
    </w:p>
    <w:p w:rsidR="00623F28" w:rsidRPr="00423027" w:rsidRDefault="00423027" w:rsidP="0055598C">
      <w:pPr>
        <w:pStyle w:val="AppendixAHeading4"/>
      </w:pPr>
      <w:r w:rsidRPr="00423027">
        <w:t>Verified Savings Review</w:t>
      </w:r>
    </w:p>
    <w:p w:rsidR="00423027" w:rsidRPr="003458B1" w:rsidRDefault="00423027" w:rsidP="00423027">
      <w:pPr>
        <w:rPr>
          <w:color w:val="000000"/>
        </w:rPr>
      </w:pPr>
      <w:r w:rsidRPr="003458B1">
        <w:rPr>
          <w:color w:val="000000"/>
        </w:rPr>
        <w:t xml:space="preserve">The SWE Team requested a subset of sampled projects for detailed review and generally found that appropriate M&amp;V methods were used. The SWE Team was impressed with the level of organization of project files and the completeness and clarity of the site </w:t>
      </w:r>
      <w:r w:rsidRPr="00423027">
        <w:rPr>
          <w:color w:val="000000"/>
        </w:rPr>
        <w:t xml:space="preserve">reports. </w:t>
      </w:r>
      <w:r w:rsidRPr="00423027">
        <w:rPr>
          <w:color w:val="000000"/>
        </w:rPr>
        <w:fldChar w:fldCharType="begin"/>
      </w:r>
      <w:r w:rsidRPr="00423027">
        <w:rPr>
          <w:color w:val="000000"/>
        </w:rPr>
        <w:instrText xml:space="preserve"> REF _Ref440036921 \h  \* MERGEFORMAT </w:instrText>
      </w:r>
      <w:r w:rsidRPr="00423027">
        <w:rPr>
          <w:color w:val="000000"/>
        </w:rPr>
      </w:r>
      <w:r w:rsidRPr="00423027">
        <w:rPr>
          <w:color w:val="000000"/>
        </w:rPr>
        <w:fldChar w:fldCharType="separate"/>
      </w:r>
      <w:r w:rsidR="00037CB4" w:rsidRPr="00B81A2F">
        <w:rPr>
          <w:bCs/>
        </w:rPr>
        <w:t>Table A-19</w:t>
      </w:r>
      <w:r w:rsidRPr="00423027">
        <w:rPr>
          <w:color w:val="000000"/>
        </w:rPr>
        <w:fldChar w:fldCharType="end"/>
      </w:r>
      <w:r w:rsidRPr="00423027">
        <w:rPr>
          <w:color w:val="000000"/>
        </w:rPr>
        <w:t xml:space="preserve"> provides</w:t>
      </w:r>
      <w:r w:rsidRPr="003458B1">
        <w:rPr>
          <w:color w:val="000000"/>
        </w:rPr>
        <w:t xml:space="preserve"> an overview of the SWE Team’s verified savings review.</w:t>
      </w:r>
    </w:p>
    <w:p w:rsidR="00423027" w:rsidRPr="003458B1" w:rsidRDefault="00423027" w:rsidP="00423027">
      <w:pPr>
        <w:rPr>
          <w:color w:val="000000"/>
        </w:rPr>
      </w:pPr>
    </w:p>
    <w:p w:rsidR="00423027" w:rsidRPr="003458B1" w:rsidRDefault="00423027" w:rsidP="00423027">
      <w:pPr>
        <w:spacing w:after="120"/>
        <w:jc w:val="center"/>
        <w:rPr>
          <w:rFonts w:ascii="Century Gothic" w:hAnsi="Century Gothic"/>
          <w:b/>
          <w:bCs/>
          <w:sz w:val="18"/>
          <w:szCs w:val="18"/>
        </w:rPr>
      </w:pPr>
      <w:bookmarkStart w:id="598" w:name="_Ref440036921"/>
      <w:bookmarkStart w:id="599" w:name="_Toc410199384"/>
      <w:bookmarkStart w:id="600" w:name="_Toc431462329"/>
      <w:bookmarkStart w:id="601" w:name="_Toc444269849"/>
      <w:bookmarkStart w:id="602" w:name="_Toc472472428"/>
      <w:bookmarkStart w:id="603" w:name="_Toc488741847"/>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19</w:t>
      </w:r>
      <w:r w:rsidRPr="003458B1">
        <w:rPr>
          <w:rFonts w:ascii="Century Gothic" w:hAnsi="Century Gothic"/>
          <w:b/>
          <w:bCs/>
          <w:sz w:val="18"/>
          <w:szCs w:val="18"/>
        </w:rPr>
        <w:fldChar w:fldCharType="end"/>
      </w:r>
      <w:bookmarkEnd w:id="598"/>
      <w:r w:rsidRPr="003458B1">
        <w:rPr>
          <w:rFonts w:ascii="Century Gothic" w:hAnsi="Century Gothic"/>
          <w:b/>
          <w:bCs/>
          <w:sz w:val="18"/>
          <w:szCs w:val="18"/>
        </w:rPr>
        <w:t>: Overview of Duquesne Projects Included in SWE Team Verified Savings Review</w:t>
      </w:r>
      <w:bookmarkEnd w:id="599"/>
      <w:bookmarkEnd w:id="600"/>
      <w:bookmarkEnd w:id="601"/>
      <w:bookmarkEnd w:id="602"/>
      <w:bookmarkEnd w:id="603"/>
    </w:p>
    <w:tbl>
      <w:tblPr>
        <w:tblW w:w="0" w:type="auto"/>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2082"/>
        <w:gridCol w:w="1956"/>
        <w:gridCol w:w="1290"/>
        <w:gridCol w:w="1286"/>
        <w:gridCol w:w="1503"/>
        <w:gridCol w:w="1233"/>
      </w:tblGrid>
      <w:tr w:rsidR="00A874AC" w:rsidRPr="00F17578" w:rsidTr="00F17578">
        <w:trPr>
          <w:trHeight w:val="885"/>
        </w:trPr>
        <w:tc>
          <w:tcPr>
            <w:tcW w:w="2082" w:type="dxa"/>
            <w:shd w:val="clear" w:color="auto" w:fill="448A99"/>
            <w:vAlign w:val="bottom"/>
          </w:tcPr>
          <w:p w:rsidR="00423027" w:rsidRPr="00F17578" w:rsidRDefault="00423027" w:rsidP="00380FF9">
            <w:pPr>
              <w:jc w:val="left"/>
              <w:rPr>
                <w:rFonts w:eastAsia="Calibri"/>
                <w:b/>
                <w:color w:val="FFFFFF"/>
                <w:sz w:val="19"/>
                <w:szCs w:val="19"/>
              </w:rPr>
            </w:pPr>
            <w:r w:rsidRPr="00F17578">
              <w:rPr>
                <w:rFonts w:eastAsia="Calibri"/>
                <w:b/>
                <w:color w:val="FFFFFF"/>
                <w:sz w:val="19"/>
                <w:szCs w:val="19"/>
              </w:rPr>
              <w:t>Program</w:t>
            </w:r>
          </w:p>
        </w:tc>
        <w:tc>
          <w:tcPr>
            <w:tcW w:w="1956" w:type="dxa"/>
            <w:shd w:val="clear" w:color="auto" w:fill="448A99"/>
            <w:vAlign w:val="bottom"/>
          </w:tcPr>
          <w:p w:rsidR="00423027" w:rsidRPr="00F17578" w:rsidRDefault="00423027" w:rsidP="00380FF9">
            <w:pPr>
              <w:jc w:val="center"/>
              <w:rPr>
                <w:rFonts w:eastAsia="Calibri"/>
                <w:b/>
                <w:color w:val="FFFFFF"/>
                <w:sz w:val="19"/>
                <w:szCs w:val="19"/>
              </w:rPr>
            </w:pPr>
            <w:r w:rsidRPr="00F17578">
              <w:rPr>
                <w:rFonts w:eastAsia="Calibri"/>
                <w:b/>
                <w:color w:val="FFFFFF"/>
                <w:sz w:val="19"/>
                <w:szCs w:val="19"/>
              </w:rPr>
              <w:t>Project Number</w:t>
            </w:r>
          </w:p>
        </w:tc>
        <w:tc>
          <w:tcPr>
            <w:tcW w:w="1290" w:type="dxa"/>
            <w:shd w:val="clear" w:color="auto" w:fill="448A99"/>
            <w:vAlign w:val="bottom"/>
          </w:tcPr>
          <w:p w:rsidR="00423027" w:rsidRPr="00F17578" w:rsidRDefault="00423027" w:rsidP="00380FF9">
            <w:pPr>
              <w:jc w:val="center"/>
              <w:rPr>
                <w:rFonts w:eastAsia="Calibri"/>
                <w:b/>
                <w:color w:val="FFFFFF"/>
                <w:sz w:val="19"/>
                <w:szCs w:val="19"/>
              </w:rPr>
            </w:pPr>
            <w:r w:rsidRPr="00F17578">
              <w:rPr>
                <w:rFonts w:eastAsia="Calibri"/>
                <w:b/>
                <w:color w:val="FFFFFF"/>
                <w:sz w:val="19"/>
                <w:szCs w:val="19"/>
              </w:rPr>
              <w:t>Verified Energy Savings (kWh)</w:t>
            </w:r>
          </w:p>
        </w:tc>
        <w:tc>
          <w:tcPr>
            <w:tcW w:w="1286" w:type="dxa"/>
            <w:shd w:val="clear" w:color="auto" w:fill="448A99"/>
            <w:vAlign w:val="bottom"/>
          </w:tcPr>
          <w:p w:rsidR="00423027" w:rsidRPr="00F17578" w:rsidRDefault="00423027" w:rsidP="00380FF9">
            <w:pPr>
              <w:jc w:val="center"/>
              <w:rPr>
                <w:rFonts w:eastAsia="Calibri"/>
                <w:b/>
                <w:color w:val="FFFFFF"/>
                <w:sz w:val="19"/>
                <w:szCs w:val="19"/>
              </w:rPr>
            </w:pPr>
            <w:r w:rsidRPr="00F17578">
              <w:rPr>
                <w:rFonts w:eastAsia="Calibri"/>
                <w:b/>
                <w:color w:val="FFFFFF"/>
                <w:sz w:val="19"/>
                <w:szCs w:val="19"/>
              </w:rPr>
              <w:t>Verified Demand Savings (kW)</w:t>
            </w:r>
          </w:p>
        </w:tc>
        <w:tc>
          <w:tcPr>
            <w:tcW w:w="1503" w:type="dxa"/>
            <w:shd w:val="clear" w:color="auto" w:fill="448A99"/>
            <w:vAlign w:val="bottom"/>
          </w:tcPr>
          <w:p w:rsidR="00423027" w:rsidRPr="00F17578" w:rsidRDefault="00423027" w:rsidP="00380FF9">
            <w:pPr>
              <w:jc w:val="center"/>
              <w:rPr>
                <w:rFonts w:eastAsia="Calibri"/>
                <w:b/>
                <w:color w:val="FFFFFF"/>
                <w:sz w:val="19"/>
                <w:szCs w:val="19"/>
              </w:rPr>
            </w:pPr>
            <w:r w:rsidRPr="00F17578">
              <w:rPr>
                <w:rFonts w:eastAsia="Calibri"/>
                <w:b/>
                <w:color w:val="FFFFFF"/>
                <w:sz w:val="19"/>
                <w:szCs w:val="19"/>
              </w:rPr>
              <w:t>Evaluation Activity</w:t>
            </w:r>
          </w:p>
        </w:tc>
        <w:tc>
          <w:tcPr>
            <w:tcW w:w="1233" w:type="dxa"/>
            <w:shd w:val="clear" w:color="auto" w:fill="448A99"/>
            <w:vAlign w:val="bottom"/>
          </w:tcPr>
          <w:p w:rsidR="00423027" w:rsidRPr="00F17578" w:rsidRDefault="00423027" w:rsidP="00380FF9">
            <w:pPr>
              <w:jc w:val="center"/>
              <w:rPr>
                <w:rFonts w:eastAsia="Calibri"/>
                <w:b/>
                <w:color w:val="FFFFFF"/>
                <w:sz w:val="19"/>
                <w:szCs w:val="19"/>
              </w:rPr>
            </w:pPr>
            <w:r w:rsidRPr="00F17578">
              <w:rPr>
                <w:rFonts w:eastAsia="Calibri"/>
                <w:b/>
                <w:color w:val="FFFFFF"/>
                <w:sz w:val="19"/>
                <w:szCs w:val="19"/>
              </w:rPr>
              <w:t>IPMVP Method</w:t>
            </w:r>
          </w:p>
        </w:tc>
      </w:tr>
      <w:tr w:rsidR="00A874AC" w:rsidRPr="00F17578" w:rsidTr="00F17578">
        <w:trPr>
          <w:trHeight w:val="977"/>
        </w:trPr>
        <w:tc>
          <w:tcPr>
            <w:tcW w:w="2082" w:type="dxa"/>
            <w:shd w:val="clear" w:color="auto" w:fill="D2EAF1"/>
            <w:vAlign w:val="center"/>
          </w:tcPr>
          <w:p w:rsidR="00423027" w:rsidRPr="00F17578" w:rsidRDefault="00423027" w:rsidP="00380FF9">
            <w:pPr>
              <w:jc w:val="left"/>
              <w:rPr>
                <w:sz w:val="19"/>
                <w:szCs w:val="19"/>
              </w:rPr>
            </w:pPr>
            <w:r w:rsidRPr="00F17578">
              <w:rPr>
                <w:sz w:val="19"/>
                <w:szCs w:val="19"/>
              </w:rPr>
              <w:t>Commercial – medium</w:t>
            </w:r>
          </w:p>
        </w:tc>
        <w:tc>
          <w:tcPr>
            <w:tcW w:w="1956" w:type="dxa"/>
            <w:shd w:val="clear" w:color="auto" w:fill="D2EAF1"/>
            <w:vAlign w:val="center"/>
          </w:tcPr>
          <w:p w:rsidR="00423027" w:rsidRPr="00F17578" w:rsidRDefault="00423027" w:rsidP="00380FF9">
            <w:pPr>
              <w:jc w:val="center"/>
              <w:rPr>
                <w:sz w:val="19"/>
                <w:szCs w:val="19"/>
              </w:rPr>
            </w:pPr>
            <w:r w:rsidRPr="00F17578">
              <w:rPr>
                <w:sz w:val="19"/>
                <w:szCs w:val="19"/>
              </w:rPr>
              <w:t>2111340135.20.01</w:t>
            </w:r>
          </w:p>
        </w:tc>
        <w:tc>
          <w:tcPr>
            <w:tcW w:w="1290" w:type="dxa"/>
            <w:shd w:val="clear" w:color="auto" w:fill="D2EAF1"/>
            <w:vAlign w:val="center"/>
          </w:tcPr>
          <w:p w:rsidR="00423027" w:rsidRPr="00F17578" w:rsidRDefault="00423027" w:rsidP="00380FF9">
            <w:pPr>
              <w:jc w:val="center"/>
              <w:rPr>
                <w:sz w:val="19"/>
                <w:szCs w:val="19"/>
              </w:rPr>
            </w:pPr>
            <w:r w:rsidRPr="00F17578">
              <w:rPr>
                <w:sz w:val="19"/>
                <w:szCs w:val="19"/>
              </w:rPr>
              <w:t>546,945</w:t>
            </w:r>
          </w:p>
        </w:tc>
        <w:tc>
          <w:tcPr>
            <w:tcW w:w="1286" w:type="dxa"/>
            <w:shd w:val="clear" w:color="auto" w:fill="D2EAF1"/>
            <w:vAlign w:val="center"/>
          </w:tcPr>
          <w:p w:rsidR="00423027" w:rsidRPr="00F17578" w:rsidRDefault="00423027" w:rsidP="00380FF9">
            <w:pPr>
              <w:jc w:val="center"/>
              <w:rPr>
                <w:sz w:val="19"/>
                <w:szCs w:val="19"/>
              </w:rPr>
            </w:pPr>
            <w:r w:rsidRPr="00F17578">
              <w:rPr>
                <w:sz w:val="19"/>
                <w:szCs w:val="19"/>
              </w:rPr>
              <w:t>88.87</w:t>
            </w:r>
          </w:p>
        </w:tc>
        <w:tc>
          <w:tcPr>
            <w:tcW w:w="1503" w:type="dxa"/>
            <w:shd w:val="clear" w:color="auto" w:fill="D2EAF1"/>
            <w:vAlign w:val="center"/>
          </w:tcPr>
          <w:p w:rsidR="00423027" w:rsidRPr="00F17578" w:rsidRDefault="00423027" w:rsidP="00380FF9">
            <w:pPr>
              <w:jc w:val="center"/>
              <w:rPr>
                <w:rFonts w:cs="Calibri"/>
                <w:color w:val="000000"/>
                <w:sz w:val="19"/>
                <w:szCs w:val="19"/>
              </w:rPr>
            </w:pPr>
            <w:r w:rsidRPr="00F17578">
              <w:rPr>
                <w:rFonts w:cs="Calibri"/>
                <w:color w:val="000000"/>
                <w:sz w:val="19"/>
                <w:szCs w:val="19"/>
              </w:rPr>
              <w:t>Site inspection, file review, metering</w:t>
            </w:r>
          </w:p>
        </w:tc>
        <w:tc>
          <w:tcPr>
            <w:tcW w:w="1233" w:type="dxa"/>
            <w:shd w:val="clear" w:color="auto" w:fill="D2EAF1"/>
            <w:vAlign w:val="center"/>
          </w:tcPr>
          <w:p w:rsidR="00423027" w:rsidRPr="00F17578" w:rsidRDefault="00423027" w:rsidP="00380FF9">
            <w:pPr>
              <w:jc w:val="center"/>
              <w:rPr>
                <w:sz w:val="19"/>
                <w:szCs w:val="19"/>
              </w:rPr>
            </w:pPr>
            <w:r w:rsidRPr="00F17578">
              <w:rPr>
                <w:sz w:val="19"/>
                <w:szCs w:val="19"/>
              </w:rPr>
              <w:t>Option A</w:t>
            </w:r>
          </w:p>
        </w:tc>
      </w:tr>
      <w:tr w:rsidR="00E7173E" w:rsidRPr="00F17578" w:rsidTr="00F17578">
        <w:trPr>
          <w:trHeight w:val="977"/>
        </w:trPr>
        <w:tc>
          <w:tcPr>
            <w:tcW w:w="2082" w:type="dxa"/>
            <w:shd w:val="clear" w:color="auto" w:fill="auto"/>
            <w:vAlign w:val="center"/>
          </w:tcPr>
          <w:p w:rsidR="00423027" w:rsidRPr="00F17578" w:rsidRDefault="00423027" w:rsidP="00380FF9">
            <w:pPr>
              <w:jc w:val="left"/>
              <w:rPr>
                <w:sz w:val="19"/>
                <w:szCs w:val="19"/>
              </w:rPr>
            </w:pPr>
            <w:r w:rsidRPr="00F17578">
              <w:rPr>
                <w:sz w:val="19"/>
                <w:szCs w:val="19"/>
              </w:rPr>
              <w:t>Industrial – large</w:t>
            </w:r>
          </w:p>
        </w:tc>
        <w:tc>
          <w:tcPr>
            <w:tcW w:w="1956" w:type="dxa"/>
            <w:shd w:val="clear" w:color="auto" w:fill="auto"/>
            <w:vAlign w:val="center"/>
          </w:tcPr>
          <w:p w:rsidR="00423027" w:rsidRPr="00F17578" w:rsidRDefault="00423027" w:rsidP="00380FF9">
            <w:pPr>
              <w:jc w:val="center"/>
              <w:rPr>
                <w:sz w:val="19"/>
                <w:szCs w:val="19"/>
              </w:rPr>
            </w:pPr>
            <w:r w:rsidRPr="00F17578">
              <w:rPr>
                <w:sz w:val="19"/>
                <w:szCs w:val="19"/>
              </w:rPr>
              <w:t>6058860790.23.01</w:t>
            </w:r>
          </w:p>
        </w:tc>
        <w:tc>
          <w:tcPr>
            <w:tcW w:w="1290" w:type="dxa"/>
            <w:shd w:val="clear" w:color="auto" w:fill="auto"/>
            <w:vAlign w:val="center"/>
          </w:tcPr>
          <w:p w:rsidR="00423027" w:rsidRPr="00F17578" w:rsidRDefault="00423027" w:rsidP="00380FF9">
            <w:pPr>
              <w:jc w:val="center"/>
              <w:rPr>
                <w:sz w:val="19"/>
                <w:szCs w:val="19"/>
              </w:rPr>
            </w:pPr>
            <w:r w:rsidRPr="00F17578">
              <w:rPr>
                <w:sz w:val="19"/>
                <w:szCs w:val="19"/>
              </w:rPr>
              <w:t>1,085,481</w:t>
            </w:r>
          </w:p>
        </w:tc>
        <w:tc>
          <w:tcPr>
            <w:tcW w:w="1286" w:type="dxa"/>
            <w:shd w:val="clear" w:color="auto" w:fill="auto"/>
            <w:vAlign w:val="center"/>
          </w:tcPr>
          <w:p w:rsidR="00423027" w:rsidRPr="00F17578" w:rsidRDefault="00423027" w:rsidP="00380FF9">
            <w:pPr>
              <w:jc w:val="center"/>
              <w:rPr>
                <w:sz w:val="19"/>
                <w:szCs w:val="19"/>
              </w:rPr>
            </w:pPr>
            <w:r w:rsidRPr="00F17578">
              <w:rPr>
                <w:sz w:val="19"/>
                <w:szCs w:val="19"/>
              </w:rPr>
              <w:t>96.74</w:t>
            </w:r>
          </w:p>
        </w:tc>
        <w:tc>
          <w:tcPr>
            <w:tcW w:w="1503" w:type="dxa"/>
            <w:shd w:val="clear" w:color="auto" w:fill="auto"/>
            <w:vAlign w:val="center"/>
          </w:tcPr>
          <w:p w:rsidR="00423027" w:rsidRPr="00F17578" w:rsidRDefault="00423027" w:rsidP="00380FF9">
            <w:pPr>
              <w:jc w:val="center"/>
              <w:rPr>
                <w:rFonts w:cs="Calibri"/>
                <w:color w:val="000000"/>
                <w:sz w:val="19"/>
                <w:szCs w:val="19"/>
              </w:rPr>
            </w:pPr>
            <w:r w:rsidRPr="00F17578">
              <w:rPr>
                <w:rFonts w:cs="Calibri"/>
                <w:color w:val="000000"/>
                <w:sz w:val="19"/>
                <w:szCs w:val="19"/>
              </w:rPr>
              <w:t>Site inspection, file review, metering</w:t>
            </w:r>
          </w:p>
        </w:tc>
        <w:tc>
          <w:tcPr>
            <w:tcW w:w="1233" w:type="dxa"/>
            <w:shd w:val="clear" w:color="auto" w:fill="auto"/>
            <w:vAlign w:val="center"/>
          </w:tcPr>
          <w:p w:rsidR="00423027" w:rsidRPr="00F17578" w:rsidRDefault="00423027" w:rsidP="00380FF9">
            <w:pPr>
              <w:jc w:val="center"/>
              <w:rPr>
                <w:sz w:val="19"/>
                <w:szCs w:val="19"/>
              </w:rPr>
            </w:pPr>
            <w:r w:rsidRPr="00F17578">
              <w:rPr>
                <w:sz w:val="19"/>
                <w:szCs w:val="19"/>
              </w:rPr>
              <w:t>Option A</w:t>
            </w:r>
          </w:p>
        </w:tc>
      </w:tr>
      <w:tr w:rsidR="00A874AC" w:rsidRPr="00F17578" w:rsidTr="00F17578">
        <w:trPr>
          <w:trHeight w:val="977"/>
        </w:trPr>
        <w:tc>
          <w:tcPr>
            <w:tcW w:w="2082" w:type="dxa"/>
            <w:shd w:val="clear" w:color="auto" w:fill="D2EAF1"/>
            <w:vAlign w:val="center"/>
          </w:tcPr>
          <w:p w:rsidR="00423027" w:rsidRPr="00F17578" w:rsidRDefault="00423027" w:rsidP="00380FF9">
            <w:pPr>
              <w:jc w:val="left"/>
              <w:rPr>
                <w:sz w:val="19"/>
                <w:szCs w:val="19"/>
              </w:rPr>
            </w:pPr>
            <w:r w:rsidRPr="00F17578">
              <w:rPr>
                <w:sz w:val="19"/>
                <w:szCs w:val="19"/>
              </w:rPr>
              <w:t>Industrial – medium</w:t>
            </w:r>
          </w:p>
        </w:tc>
        <w:tc>
          <w:tcPr>
            <w:tcW w:w="1956" w:type="dxa"/>
            <w:shd w:val="clear" w:color="auto" w:fill="D2EAF1"/>
            <w:vAlign w:val="center"/>
          </w:tcPr>
          <w:p w:rsidR="00423027" w:rsidRPr="00F17578" w:rsidRDefault="00423027" w:rsidP="00380FF9">
            <w:pPr>
              <w:jc w:val="center"/>
              <w:rPr>
                <w:sz w:val="19"/>
                <w:szCs w:val="19"/>
              </w:rPr>
            </w:pPr>
            <w:r w:rsidRPr="00F17578">
              <w:rPr>
                <w:sz w:val="19"/>
                <w:szCs w:val="19"/>
              </w:rPr>
              <w:t>1737650740.23.01</w:t>
            </w:r>
          </w:p>
        </w:tc>
        <w:tc>
          <w:tcPr>
            <w:tcW w:w="1290" w:type="dxa"/>
            <w:shd w:val="clear" w:color="auto" w:fill="D2EAF1"/>
            <w:vAlign w:val="center"/>
          </w:tcPr>
          <w:p w:rsidR="00423027" w:rsidRPr="00F17578" w:rsidRDefault="00423027" w:rsidP="00380FF9">
            <w:pPr>
              <w:jc w:val="center"/>
              <w:rPr>
                <w:sz w:val="19"/>
                <w:szCs w:val="19"/>
              </w:rPr>
            </w:pPr>
            <w:r w:rsidRPr="00F17578">
              <w:rPr>
                <w:sz w:val="19"/>
                <w:szCs w:val="19"/>
              </w:rPr>
              <w:t>121,262</w:t>
            </w:r>
          </w:p>
        </w:tc>
        <w:tc>
          <w:tcPr>
            <w:tcW w:w="1286" w:type="dxa"/>
            <w:shd w:val="clear" w:color="auto" w:fill="D2EAF1"/>
            <w:vAlign w:val="center"/>
          </w:tcPr>
          <w:p w:rsidR="00423027" w:rsidRPr="00F17578" w:rsidRDefault="00423027" w:rsidP="00380FF9">
            <w:pPr>
              <w:jc w:val="center"/>
              <w:rPr>
                <w:sz w:val="19"/>
                <w:szCs w:val="19"/>
              </w:rPr>
            </w:pPr>
            <w:r w:rsidRPr="00F17578">
              <w:rPr>
                <w:sz w:val="19"/>
                <w:szCs w:val="19"/>
              </w:rPr>
              <w:t>14.15</w:t>
            </w:r>
          </w:p>
        </w:tc>
        <w:tc>
          <w:tcPr>
            <w:tcW w:w="1503" w:type="dxa"/>
            <w:shd w:val="clear" w:color="auto" w:fill="D2EAF1"/>
            <w:vAlign w:val="center"/>
          </w:tcPr>
          <w:p w:rsidR="00423027" w:rsidRPr="00F17578" w:rsidRDefault="00423027" w:rsidP="00380FF9">
            <w:pPr>
              <w:jc w:val="center"/>
              <w:rPr>
                <w:rFonts w:cs="Calibri"/>
                <w:color w:val="000000"/>
                <w:sz w:val="19"/>
                <w:szCs w:val="19"/>
              </w:rPr>
            </w:pPr>
            <w:r w:rsidRPr="00F17578">
              <w:rPr>
                <w:rFonts w:cs="Calibri"/>
                <w:color w:val="000000"/>
                <w:sz w:val="19"/>
                <w:szCs w:val="19"/>
              </w:rPr>
              <w:t>Site inspection, file review, analysis of trending data</w:t>
            </w:r>
          </w:p>
        </w:tc>
        <w:tc>
          <w:tcPr>
            <w:tcW w:w="1233" w:type="dxa"/>
            <w:shd w:val="clear" w:color="auto" w:fill="D2EAF1"/>
            <w:vAlign w:val="center"/>
          </w:tcPr>
          <w:p w:rsidR="00423027" w:rsidRPr="00F17578" w:rsidRDefault="00423027" w:rsidP="00380FF9">
            <w:pPr>
              <w:jc w:val="center"/>
              <w:rPr>
                <w:sz w:val="19"/>
                <w:szCs w:val="19"/>
              </w:rPr>
            </w:pPr>
            <w:r w:rsidRPr="00F17578">
              <w:rPr>
                <w:sz w:val="19"/>
                <w:szCs w:val="19"/>
              </w:rPr>
              <w:t>Option A</w:t>
            </w:r>
          </w:p>
        </w:tc>
      </w:tr>
      <w:tr w:rsidR="00E7173E" w:rsidRPr="00F17578" w:rsidTr="00F17578">
        <w:trPr>
          <w:trHeight w:val="977"/>
        </w:trPr>
        <w:tc>
          <w:tcPr>
            <w:tcW w:w="2082" w:type="dxa"/>
            <w:shd w:val="clear" w:color="auto" w:fill="auto"/>
            <w:vAlign w:val="center"/>
          </w:tcPr>
          <w:p w:rsidR="00423027" w:rsidRPr="00F17578" w:rsidRDefault="00423027" w:rsidP="00380FF9">
            <w:pPr>
              <w:jc w:val="left"/>
              <w:rPr>
                <w:sz w:val="19"/>
                <w:szCs w:val="19"/>
              </w:rPr>
            </w:pPr>
            <w:r w:rsidRPr="00F17578">
              <w:rPr>
                <w:sz w:val="19"/>
                <w:szCs w:val="19"/>
              </w:rPr>
              <w:t>Commercial – small</w:t>
            </w:r>
          </w:p>
        </w:tc>
        <w:tc>
          <w:tcPr>
            <w:tcW w:w="1956" w:type="dxa"/>
            <w:shd w:val="clear" w:color="auto" w:fill="auto"/>
            <w:vAlign w:val="center"/>
          </w:tcPr>
          <w:p w:rsidR="00423027" w:rsidRPr="00F17578" w:rsidRDefault="00423027" w:rsidP="00380FF9">
            <w:pPr>
              <w:jc w:val="center"/>
              <w:rPr>
                <w:sz w:val="19"/>
                <w:szCs w:val="19"/>
              </w:rPr>
            </w:pPr>
            <w:r w:rsidRPr="00F17578">
              <w:rPr>
                <w:sz w:val="19"/>
                <w:szCs w:val="19"/>
              </w:rPr>
              <w:t>3000672792.17.01</w:t>
            </w:r>
          </w:p>
        </w:tc>
        <w:tc>
          <w:tcPr>
            <w:tcW w:w="1290" w:type="dxa"/>
            <w:shd w:val="clear" w:color="auto" w:fill="auto"/>
            <w:vAlign w:val="center"/>
          </w:tcPr>
          <w:p w:rsidR="00423027" w:rsidRPr="00F17578" w:rsidRDefault="00423027" w:rsidP="00380FF9">
            <w:pPr>
              <w:jc w:val="center"/>
              <w:rPr>
                <w:sz w:val="19"/>
                <w:szCs w:val="19"/>
              </w:rPr>
            </w:pPr>
            <w:r w:rsidRPr="00F17578">
              <w:rPr>
                <w:sz w:val="19"/>
                <w:szCs w:val="19"/>
              </w:rPr>
              <w:t>48,819</w:t>
            </w:r>
          </w:p>
        </w:tc>
        <w:tc>
          <w:tcPr>
            <w:tcW w:w="1286" w:type="dxa"/>
            <w:shd w:val="clear" w:color="auto" w:fill="auto"/>
            <w:vAlign w:val="center"/>
          </w:tcPr>
          <w:p w:rsidR="00423027" w:rsidRPr="00F17578" w:rsidRDefault="00423027" w:rsidP="00380FF9">
            <w:pPr>
              <w:jc w:val="center"/>
              <w:rPr>
                <w:sz w:val="19"/>
                <w:szCs w:val="19"/>
              </w:rPr>
            </w:pPr>
            <w:r w:rsidRPr="00F17578">
              <w:rPr>
                <w:sz w:val="19"/>
                <w:szCs w:val="19"/>
              </w:rPr>
              <w:t>6.21</w:t>
            </w:r>
          </w:p>
        </w:tc>
        <w:tc>
          <w:tcPr>
            <w:tcW w:w="1503" w:type="dxa"/>
            <w:shd w:val="clear" w:color="auto" w:fill="auto"/>
            <w:vAlign w:val="center"/>
          </w:tcPr>
          <w:p w:rsidR="00423027" w:rsidRPr="00F17578" w:rsidRDefault="00423027" w:rsidP="00380FF9">
            <w:pPr>
              <w:jc w:val="center"/>
              <w:rPr>
                <w:rFonts w:cs="Calibri"/>
                <w:color w:val="000000"/>
                <w:sz w:val="19"/>
                <w:szCs w:val="19"/>
              </w:rPr>
            </w:pPr>
            <w:r w:rsidRPr="00F17578">
              <w:rPr>
                <w:rFonts w:cs="Calibri"/>
                <w:color w:val="000000"/>
                <w:sz w:val="19"/>
                <w:szCs w:val="19"/>
              </w:rPr>
              <w:t>Site inspection, file review</w:t>
            </w:r>
          </w:p>
        </w:tc>
        <w:tc>
          <w:tcPr>
            <w:tcW w:w="1233" w:type="dxa"/>
            <w:shd w:val="clear" w:color="auto" w:fill="auto"/>
            <w:vAlign w:val="center"/>
          </w:tcPr>
          <w:p w:rsidR="00423027" w:rsidRPr="00F17578" w:rsidRDefault="00423027" w:rsidP="00380FF9">
            <w:pPr>
              <w:jc w:val="center"/>
              <w:rPr>
                <w:sz w:val="19"/>
                <w:szCs w:val="19"/>
              </w:rPr>
            </w:pPr>
            <w:r w:rsidRPr="00F17578">
              <w:rPr>
                <w:sz w:val="19"/>
                <w:szCs w:val="19"/>
              </w:rPr>
              <w:t>Option A</w:t>
            </w:r>
          </w:p>
        </w:tc>
      </w:tr>
      <w:tr w:rsidR="00A874AC" w:rsidRPr="00F17578" w:rsidTr="00F17578">
        <w:trPr>
          <w:trHeight w:val="977"/>
        </w:trPr>
        <w:tc>
          <w:tcPr>
            <w:tcW w:w="2082" w:type="dxa"/>
            <w:shd w:val="clear" w:color="auto" w:fill="D2EAF1"/>
            <w:vAlign w:val="center"/>
          </w:tcPr>
          <w:p w:rsidR="00423027" w:rsidRPr="00F17578" w:rsidRDefault="00423027" w:rsidP="00380FF9">
            <w:pPr>
              <w:jc w:val="left"/>
              <w:rPr>
                <w:sz w:val="19"/>
                <w:szCs w:val="19"/>
              </w:rPr>
            </w:pPr>
            <w:r w:rsidRPr="00F17578">
              <w:rPr>
                <w:sz w:val="19"/>
                <w:szCs w:val="19"/>
              </w:rPr>
              <w:t>Commercial – GNI</w:t>
            </w:r>
          </w:p>
        </w:tc>
        <w:tc>
          <w:tcPr>
            <w:tcW w:w="1956" w:type="dxa"/>
            <w:shd w:val="clear" w:color="auto" w:fill="D2EAF1"/>
            <w:vAlign w:val="center"/>
          </w:tcPr>
          <w:p w:rsidR="00423027" w:rsidRPr="00F17578" w:rsidRDefault="00423027" w:rsidP="00380FF9">
            <w:pPr>
              <w:jc w:val="center"/>
              <w:rPr>
                <w:sz w:val="19"/>
                <w:szCs w:val="19"/>
              </w:rPr>
            </w:pPr>
            <w:r w:rsidRPr="00F17578">
              <w:rPr>
                <w:sz w:val="19"/>
                <w:szCs w:val="19"/>
              </w:rPr>
              <w:t>4493770854.21.01</w:t>
            </w:r>
          </w:p>
        </w:tc>
        <w:tc>
          <w:tcPr>
            <w:tcW w:w="1290" w:type="dxa"/>
            <w:shd w:val="clear" w:color="auto" w:fill="D2EAF1"/>
            <w:vAlign w:val="center"/>
          </w:tcPr>
          <w:p w:rsidR="00423027" w:rsidRPr="00F17578" w:rsidRDefault="00423027" w:rsidP="00380FF9">
            <w:pPr>
              <w:jc w:val="center"/>
              <w:rPr>
                <w:sz w:val="19"/>
                <w:szCs w:val="19"/>
              </w:rPr>
            </w:pPr>
            <w:r w:rsidRPr="00F17578">
              <w:rPr>
                <w:sz w:val="19"/>
                <w:szCs w:val="19"/>
              </w:rPr>
              <w:t>1,915,267</w:t>
            </w:r>
          </w:p>
        </w:tc>
        <w:tc>
          <w:tcPr>
            <w:tcW w:w="1286" w:type="dxa"/>
            <w:shd w:val="clear" w:color="auto" w:fill="D2EAF1"/>
            <w:vAlign w:val="center"/>
          </w:tcPr>
          <w:p w:rsidR="00423027" w:rsidRPr="00F17578" w:rsidRDefault="00423027" w:rsidP="00380FF9">
            <w:pPr>
              <w:jc w:val="center"/>
              <w:rPr>
                <w:sz w:val="19"/>
                <w:szCs w:val="19"/>
              </w:rPr>
            </w:pPr>
            <w:r w:rsidRPr="00F17578">
              <w:rPr>
                <w:sz w:val="19"/>
                <w:szCs w:val="19"/>
              </w:rPr>
              <w:t>0.00</w:t>
            </w:r>
          </w:p>
        </w:tc>
        <w:tc>
          <w:tcPr>
            <w:tcW w:w="1503" w:type="dxa"/>
            <w:shd w:val="clear" w:color="auto" w:fill="D2EAF1"/>
            <w:vAlign w:val="center"/>
          </w:tcPr>
          <w:p w:rsidR="00423027" w:rsidRPr="00F17578" w:rsidRDefault="00423027" w:rsidP="00380FF9">
            <w:pPr>
              <w:jc w:val="center"/>
              <w:rPr>
                <w:rFonts w:cs="Calibri"/>
                <w:color w:val="000000"/>
                <w:sz w:val="19"/>
                <w:szCs w:val="19"/>
              </w:rPr>
            </w:pPr>
            <w:r w:rsidRPr="00F17578">
              <w:rPr>
                <w:rFonts w:cs="Calibri"/>
                <w:color w:val="000000"/>
                <w:sz w:val="19"/>
                <w:szCs w:val="19"/>
              </w:rPr>
              <w:t>Site inspection, file review, analysis of trending data</w:t>
            </w:r>
          </w:p>
        </w:tc>
        <w:tc>
          <w:tcPr>
            <w:tcW w:w="1233" w:type="dxa"/>
            <w:shd w:val="clear" w:color="auto" w:fill="D2EAF1"/>
            <w:vAlign w:val="center"/>
          </w:tcPr>
          <w:p w:rsidR="00423027" w:rsidRPr="00F17578" w:rsidRDefault="00423027" w:rsidP="00030A16">
            <w:pPr>
              <w:jc w:val="center"/>
              <w:rPr>
                <w:sz w:val="19"/>
                <w:szCs w:val="19"/>
              </w:rPr>
            </w:pPr>
            <w:r w:rsidRPr="00F17578">
              <w:rPr>
                <w:sz w:val="19"/>
                <w:szCs w:val="19"/>
              </w:rPr>
              <w:t xml:space="preserve">Option </w:t>
            </w:r>
            <w:r w:rsidR="00030A16" w:rsidRPr="00F17578">
              <w:rPr>
                <w:sz w:val="19"/>
                <w:szCs w:val="19"/>
              </w:rPr>
              <w:t>B and C</w:t>
            </w:r>
          </w:p>
        </w:tc>
      </w:tr>
      <w:tr w:rsidR="00E7173E" w:rsidRPr="00F17578" w:rsidTr="00F17578">
        <w:trPr>
          <w:trHeight w:val="977"/>
        </w:trPr>
        <w:tc>
          <w:tcPr>
            <w:tcW w:w="2082" w:type="dxa"/>
            <w:shd w:val="clear" w:color="auto" w:fill="auto"/>
            <w:vAlign w:val="center"/>
          </w:tcPr>
          <w:p w:rsidR="00423027" w:rsidRPr="00F17578" w:rsidRDefault="00423027" w:rsidP="00380FF9">
            <w:pPr>
              <w:jc w:val="left"/>
              <w:rPr>
                <w:sz w:val="19"/>
                <w:szCs w:val="19"/>
              </w:rPr>
            </w:pPr>
            <w:r w:rsidRPr="00F17578">
              <w:rPr>
                <w:sz w:val="19"/>
                <w:szCs w:val="19"/>
              </w:rPr>
              <w:t>Commercial – multifamily</w:t>
            </w:r>
          </w:p>
        </w:tc>
        <w:tc>
          <w:tcPr>
            <w:tcW w:w="1956" w:type="dxa"/>
            <w:shd w:val="clear" w:color="auto" w:fill="auto"/>
            <w:vAlign w:val="center"/>
          </w:tcPr>
          <w:p w:rsidR="00423027" w:rsidRPr="00F17578" w:rsidRDefault="00423027" w:rsidP="00380FF9">
            <w:pPr>
              <w:jc w:val="center"/>
              <w:rPr>
                <w:sz w:val="19"/>
                <w:szCs w:val="19"/>
              </w:rPr>
            </w:pPr>
            <w:r w:rsidRPr="00F17578">
              <w:rPr>
                <w:sz w:val="19"/>
                <w:szCs w:val="19"/>
              </w:rPr>
              <w:t>9805860054.51.01</w:t>
            </w:r>
          </w:p>
        </w:tc>
        <w:tc>
          <w:tcPr>
            <w:tcW w:w="1290" w:type="dxa"/>
            <w:shd w:val="clear" w:color="auto" w:fill="auto"/>
            <w:vAlign w:val="center"/>
          </w:tcPr>
          <w:p w:rsidR="00423027" w:rsidRPr="00F17578" w:rsidRDefault="00423027" w:rsidP="00380FF9">
            <w:pPr>
              <w:jc w:val="center"/>
              <w:rPr>
                <w:sz w:val="19"/>
                <w:szCs w:val="19"/>
              </w:rPr>
            </w:pPr>
            <w:r w:rsidRPr="00F17578">
              <w:rPr>
                <w:sz w:val="19"/>
                <w:szCs w:val="19"/>
              </w:rPr>
              <w:t>19,631</w:t>
            </w:r>
          </w:p>
        </w:tc>
        <w:tc>
          <w:tcPr>
            <w:tcW w:w="1286" w:type="dxa"/>
            <w:shd w:val="clear" w:color="auto" w:fill="auto"/>
            <w:vAlign w:val="center"/>
          </w:tcPr>
          <w:p w:rsidR="00423027" w:rsidRPr="00F17578" w:rsidRDefault="00423027" w:rsidP="00380FF9">
            <w:pPr>
              <w:jc w:val="center"/>
              <w:rPr>
                <w:sz w:val="19"/>
                <w:szCs w:val="19"/>
              </w:rPr>
            </w:pPr>
            <w:r w:rsidRPr="00F17578">
              <w:rPr>
                <w:sz w:val="19"/>
                <w:szCs w:val="19"/>
              </w:rPr>
              <w:t>1.87</w:t>
            </w:r>
          </w:p>
        </w:tc>
        <w:tc>
          <w:tcPr>
            <w:tcW w:w="1503" w:type="dxa"/>
            <w:shd w:val="clear" w:color="auto" w:fill="auto"/>
            <w:vAlign w:val="center"/>
          </w:tcPr>
          <w:p w:rsidR="00423027" w:rsidRPr="00F17578" w:rsidRDefault="00423027" w:rsidP="00380FF9">
            <w:pPr>
              <w:jc w:val="center"/>
              <w:rPr>
                <w:rFonts w:cs="Calibri"/>
                <w:color w:val="000000"/>
                <w:sz w:val="19"/>
                <w:szCs w:val="19"/>
              </w:rPr>
            </w:pPr>
            <w:r w:rsidRPr="00F17578">
              <w:rPr>
                <w:rFonts w:cs="Calibri"/>
                <w:color w:val="000000"/>
                <w:sz w:val="19"/>
                <w:szCs w:val="19"/>
              </w:rPr>
              <w:t>Site inspection, file review</w:t>
            </w:r>
          </w:p>
        </w:tc>
        <w:tc>
          <w:tcPr>
            <w:tcW w:w="1233" w:type="dxa"/>
            <w:shd w:val="clear" w:color="auto" w:fill="auto"/>
            <w:vAlign w:val="center"/>
          </w:tcPr>
          <w:p w:rsidR="00423027" w:rsidRPr="00F17578" w:rsidRDefault="00423027" w:rsidP="00380FF9">
            <w:pPr>
              <w:jc w:val="center"/>
              <w:rPr>
                <w:sz w:val="19"/>
                <w:szCs w:val="19"/>
              </w:rPr>
            </w:pPr>
            <w:r w:rsidRPr="00F17578">
              <w:rPr>
                <w:sz w:val="19"/>
                <w:szCs w:val="19"/>
              </w:rPr>
              <w:t>Option A</w:t>
            </w:r>
          </w:p>
        </w:tc>
      </w:tr>
    </w:tbl>
    <w:p w:rsidR="00423027" w:rsidRPr="003458B1" w:rsidRDefault="00423027" w:rsidP="00423027">
      <w:pPr>
        <w:rPr>
          <w:color w:val="000000"/>
        </w:rPr>
      </w:pPr>
    </w:p>
    <w:p w:rsidR="00423027" w:rsidRPr="003458B1" w:rsidRDefault="00423027" w:rsidP="00423027">
      <w:pPr>
        <w:rPr>
          <w:color w:val="000000"/>
        </w:rPr>
      </w:pPr>
      <w:r w:rsidRPr="003458B1">
        <w:rPr>
          <w:color w:val="000000"/>
        </w:rPr>
        <w:t xml:space="preserve">Project 2111340135.20.01 generated 546,945 kWh in energy savings and 88.87kW in demand savings. The project involved a lighting retrofit where 1,819 fixtures were replaced with LEDs in a </w:t>
      </w:r>
      <w:r w:rsidR="00030A16">
        <w:rPr>
          <w:color w:val="000000"/>
        </w:rPr>
        <w:t xml:space="preserve">hotel. </w:t>
      </w:r>
      <w:r w:rsidRPr="003458B1">
        <w:rPr>
          <w:color w:val="000000"/>
        </w:rPr>
        <w:t>Navigant performed on-site verification of the installed equipment quantities, locations, and controls schedules. Metering was required as savings were greater than 500,000 kWh, so light loggers were deployed. Navigant used the metered HOU and CF values and provided a completed Appendix C Lighting calculator. The lower verified savings values (kWh</w:t>
      </w:r>
      <w:r w:rsidR="00C21C45">
        <w:rPr>
          <w:color w:val="000000"/>
        </w:rPr>
        <w:t xml:space="preserve"> realization rate</w:t>
      </w:r>
      <w:r w:rsidRPr="003458B1">
        <w:rPr>
          <w:color w:val="000000"/>
        </w:rPr>
        <w:t xml:space="preserve"> of 87%) resulted primarily from Navigant’s use of metered HOU. The high k</w:t>
      </w:r>
      <w:r w:rsidR="00C21C45">
        <w:rPr>
          <w:color w:val="000000"/>
        </w:rPr>
        <w:t>W realization rate was due to an</w:t>
      </w:r>
      <w:r w:rsidRPr="003458B1">
        <w:rPr>
          <w:color w:val="000000"/>
        </w:rPr>
        <w:t xml:space="preserve"> incorrect, low ex</w:t>
      </w:r>
      <w:r>
        <w:rPr>
          <w:color w:val="000000"/>
        </w:rPr>
        <w:t xml:space="preserve"> </w:t>
      </w:r>
      <w:r w:rsidRPr="003458B1">
        <w:rPr>
          <w:color w:val="000000"/>
        </w:rPr>
        <w:t xml:space="preserve">ante value listed in the tracking system. </w:t>
      </w:r>
    </w:p>
    <w:p w:rsidR="00423027" w:rsidRPr="003458B1" w:rsidRDefault="00423027" w:rsidP="00423027">
      <w:pPr>
        <w:rPr>
          <w:color w:val="000000"/>
        </w:rPr>
      </w:pPr>
    </w:p>
    <w:p w:rsidR="00423027" w:rsidRPr="003458B1" w:rsidRDefault="00423027" w:rsidP="00423027">
      <w:r w:rsidRPr="003458B1">
        <w:t xml:space="preserve">Project number 6058860790.23.01 involved a new construction lighting project wherein 1,218 LEDs and 619 occupancy sensors were installed in a refrigerated warehouse. The </w:t>
      </w:r>
      <w:r>
        <w:t>s</w:t>
      </w:r>
      <w:r w:rsidRPr="003458B1">
        <w:t>pace-by-</w:t>
      </w:r>
      <w:r>
        <w:t>s</w:t>
      </w:r>
      <w:r w:rsidRPr="003458B1">
        <w:t xml:space="preserve">pace </w:t>
      </w:r>
      <w:r>
        <w:t>m</w:t>
      </w:r>
      <w:r w:rsidRPr="003458B1">
        <w:t xml:space="preserve">ethod was used to determine the minimum lighting power density for the baseline. Metering was performed since the expected savings were </w:t>
      </w:r>
      <w:r>
        <w:t xml:space="preserve">greater than </w:t>
      </w:r>
      <w:r w:rsidRPr="003458B1">
        <w:t>500,000 kWh</w:t>
      </w:r>
      <w:r w:rsidR="00C21C45">
        <w:t>,</w:t>
      </w:r>
      <w:r w:rsidRPr="003458B1">
        <w:t xml:space="preserve"> in order to determine HOU for the fixtures. The reported fixture wattages and configurations were installed as reported. The kWh and kW realization rates of 103% and 118%, respectively, were due to a different savings factor determined through metering as well as a small error in the tracking database.</w:t>
      </w:r>
    </w:p>
    <w:p w:rsidR="00423027" w:rsidRPr="003458B1" w:rsidRDefault="00423027" w:rsidP="00423027"/>
    <w:p w:rsidR="00423027" w:rsidRPr="003458B1" w:rsidRDefault="00423027" w:rsidP="00423027">
      <w:r w:rsidRPr="003458B1">
        <w:t xml:space="preserve">Project number 1737650740.23.01 involved compressed air leak remediation as well as the installation of </w:t>
      </w:r>
      <w:r>
        <w:t>four</w:t>
      </w:r>
      <w:r w:rsidRPr="003458B1">
        <w:t xml:space="preserve"> no-loss condensate drains an industrial facility. In attempting to schedule a site visit for the project, Navigant discovered that the factory had been shut down.</w:t>
      </w:r>
    </w:p>
    <w:p w:rsidR="00423027" w:rsidRPr="003458B1" w:rsidRDefault="00423027" w:rsidP="00423027"/>
    <w:p w:rsidR="00423027" w:rsidRPr="003458B1" w:rsidRDefault="00423027" w:rsidP="00423027">
      <w:r w:rsidRPr="003458B1">
        <w:t xml:space="preserve">Project number 3000672792.17.01 involved </w:t>
      </w:r>
      <w:r>
        <w:t xml:space="preserve">a </w:t>
      </w:r>
      <w:r w:rsidRPr="003458B1">
        <w:t xml:space="preserve">lighting retrofit project wherein 118 fixtures were retrofitted with LEDs at a gas station. </w:t>
      </w:r>
      <w:r w:rsidRPr="003458B1">
        <w:rPr>
          <w:color w:val="000000"/>
        </w:rPr>
        <w:t>Karpinski performed on-site verification of the installed equipment quantities, locations, and controls schedules.</w:t>
      </w:r>
      <w:r w:rsidRPr="003458B1">
        <w:t xml:space="preserve"> All fixtures were confirmed to have 8</w:t>
      </w:r>
      <w:r>
        <w:t>,</w:t>
      </w:r>
      <w:r w:rsidRPr="003458B1">
        <w:t>760 hours of operation. No values of kWh and kW were changed, resulting in realization rates of 100%.</w:t>
      </w:r>
    </w:p>
    <w:p w:rsidR="00423027" w:rsidRPr="003458B1" w:rsidRDefault="00423027" w:rsidP="00423027"/>
    <w:p w:rsidR="00423027" w:rsidRPr="003458B1" w:rsidRDefault="00423027" w:rsidP="00423027">
      <w:r w:rsidRPr="003458B1">
        <w:t xml:space="preserve">Project number 4493770854.21.01 involved retro-commissioning </w:t>
      </w:r>
      <w:r w:rsidR="00A30D34">
        <w:t>the HVAC system at a hospital</w:t>
      </w:r>
      <w:r w:rsidRPr="003458B1">
        <w:t>. The project included economizer optimization, controls upgrades, chiller plant optimization, chilled water temp</w:t>
      </w:r>
      <w:r>
        <w:t>erature</w:t>
      </w:r>
      <w:r w:rsidRPr="003458B1">
        <w:t xml:space="preserve"> reset, condenser water temp</w:t>
      </w:r>
      <w:r>
        <w:t>erature</w:t>
      </w:r>
      <w:r w:rsidRPr="003458B1">
        <w:t xml:space="preserve"> reset, and VFD installation. The evaluation contractor verified correct operation of all retro-commissioning measures. The SWE agrees with the analysis and level of rigor.</w:t>
      </w:r>
    </w:p>
    <w:p w:rsidR="00423027" w:rsidRPr="003458B1" w:rsidRDefault="00423027" w:rsidP="00423027"/>
    <w:p w:rsidR="00423027" w:rsidRPr="003458B1" w:rsidRDefault="00423027" w:rsidP="00423027">
      <w:r w:rsidRPr="003458B1">
        <w:t>Project number 9805860054.51.01 involved interior and exterior lighting retrofit at a multifamily building. Following the site verification visit, Navigant used the TRM Appendix C tool to calculate an updated ex post savings estimate. The SWE agrees with the analysis and level of rigor, except the kWh value listed in the calculator (19,631 kWh) doesn’t match the ex</w:t>
      </w:r>
      <w:r>
        <w:t xml:space="preserve"> </w:t>
      </w:r>
      <w:r w:rsidRPr="003458B1">
        <w:t>post value presented in the project report (19,822 kWh). This is less than a 1% difference, so no correction is necessary.</w:t>
      </w:r>
    </w:p>
    <w:p w:rsidR="00423027" w:rsidRPr="00423027" w:rsidRDefault="00423027" w:rsidP="00423027"/>
    <w:p w:rsidR="00950837" w:rsidRDefault="00950837" w:rsidP="009C0DF1">
      <w:pPr>
        <w:pStyle w:val="AppendixAHeading3"/>
      </w:pPr>
      <w:r>
        <w:t>Net-to-Gross and Process Evaluation Audit Summary</w:t>
      </w:r>
    </w:p>
    <w:p w:rsidR="00450725" w:rsidRPr="00661E10" w:rsidRDefault="00450725" w:rsidP="00450725">
      <w:r w:rsidRPr="00661E10">
        <w:t xml:space="preserve">The SWE Team’s audit included a review of the process evaluation methods, findings, conclusions, and recommendations in the PY7 annual report to determine whether they were consistent with the reporting template provided by the SWE. The SWE Team’s audit of the process reports also included a review of process-related methods and research activities to determine whether they were consistent with the approved evaluation plan, and a review of the linkage between findings, conclusions, and recommendations. </w:t>
      </w:r>
    </w:p>
    <w:p w:rsidR="00450725" w:rsidRPr="00661E10" w:rsidRDefault="00450725" w:rsidP="00450725">
      <w:pPr>
        <w:rPr>
          <w:shd w:val="clear" w:color="auto" w:fill="D9D9D9"/>
        </w:rPr>
      </w:pPr>
    </w:p>
    <w:p w:rsidR="00450725" w:rsidRPr="00661E10" w:rsidRDefault="00450725" w:rsidP="00450725">
      <w:r w:rsidRPr="00661E10">
        <w:t>Overall, the process evaluations appeared to be consistent with the evaluation plan. The sampling approaches for the process evaluation activities were appropriate. The participant surveys either attempted a census or used a simple or stratified random sampling approach. Each participant sample achieved at least 85/15 confidence/precision at the program level as per the evaluation plan.</w:t>
      </w:r>
      <w:r w:rsidRPr="00661E10">
        <w:rPr>
          <w:vertAlign w:val="superscript"/>
        </w:rPr>
        <w:footnoteReference w:id="65"/>
      </w:r>
      <w:r w:rsidRPr="00661E10">
        <w:t xml:space="preserve"> For other research activities—the in-depth interviews with program staff, implementers, or other program actors—the sampling was purposive. In a few instances, participants or measures in certain strata were over- or underrepresented in the sample. The </w:t>
      </w:r>
      <w:r>
        <w:t xml:space="preserve">PY7 </w:t>
      </w:r>
      <w:r w:rsidRPr="00661E10">
        <w:t>annual report does not discuss implications of this over- or underrepresentation on reported findings.</w:t>
      </w:r>
    </w:p>
    <w:p w:rsidR="00450725" w:rsidRPr="00661E10" w:rsidRDefault="00450725" w:rsidP="00450725"/>
    <w:p w:rsidR="00450725" w:rsidRPr="00661E10" w:rsidRDefault="00450725" w:rsidP="001C391A">
      <w:pPr>
        <w:spacing w:after="120"/>
      </w:pPr>
      <w:r w:rsidRPr="00661E10">
        <w:t>The report provided a comprehensive overview of the process evaluation key findings and recommendations. The SWE Team noted some areas in which the reporting, while following SWE guidelines, could be improved. Such areas included consistently identifying in tables and graphs when multiple responses are allowed, reporting data from scaled responses, and reporting categorized open-ended responses. The SWE Team considered these to be relatively minor issues.</w:t>
      </w:r>
      <w:r w:rsidR="002A78C7">
        <w:t xml:space="preserve"> Details are in Appendix </w:t>
      </w:r>
      <w:r w:rsidR="002A78C7">
        <w:fldChar w:fldCharType="begin"/>
      </w:r>
      <w:r w:rsidR="002A78C7">
        <w:instrText xml:space="preserve"> REF _Ref473273308 \r \h </w:instrText>
      </w:r>
      <w:r w:rsidR="002A78C7">
        <w:fldChar w:fldCharType="separate"/>
      </w:r>
      <w:r w:rsidR="00037CB4">
        <w:t>B.1</w:t>
      </w:r>
      <w:r w:rsidR="002A78C7">
        <w:fldChar w:fldCharType="end"/>
      </w:r>
      <w:r w:rsidR="002A78C7">
        <w:t>.</w:t>
      </w:r>
      <w:r w:rsidRPr="00661E10">
        <w:t xml:space="preserve"> Two items that are discussed in</w:t>
      </w:r>
      <w:r>
        <w:t xml:space="preserve"> the appendix </w:t>
      </w:r>
      <w:r w:rsidRPr="00661E10">
        <w:t>are also worth noting here:</w:t>
      </w:r>
    </w:p>
    <w:p w:rsidR="00450725" w:rsidRPr="00661E10" w:rsidRDefault="00450725" w:rsidP="00E646C9">
      <w:pPr>
        <w:numPr>
          <w:ilvl w:val="0"/>
          <w:numId w:val="67"/>
        </w:numPr>
        <w:ind w:left="360"/>
        <w:contextualSpacing/>
        <w:rPr>
          <w:szCs w:val="20"/>
        </w:rPr>
      </w:pPr>
      <w:r w:rsidRPr="00661E10">
        <w:rPr>
          <w:szCs w:val="20"/>
        </w:rPr>
        <w:t xml:space="preserve">There were limited conclusions and recommendations related to process results even though several programs (WHEAP, HER, and LIEEP) are struggling to meet their savings </w:t>
      </w:r>
      <w:r w:rsidR="000D7316">
        <w:rPr>
          <w:szCs w:val="20"/>
        </w:rPr>
        <w:t>objectives</w:t>
      </w:r>
      <w:r w:rsidRPr="00661E10">
        <w:rPr>
          <w:szCs w:val="20"/>
        </w:rPr>
        <w:t xml:space="preserve">. Additional insights, particularly from participants, into why some of these programs are struggling to meet </w:t>
      </w:r>
      <w:r w:rsidR="000D7316">
        <w:rPr>
          <w:szCs w:val="20"/>
        </w:rPr>
        <w:t>objectives</w:t>
      </w:r>
      <w:r w:rsidR="000D7316" w:rsidRPr="00661E10">
        <w:rPr>
          <w:szCs w:val="20"/>
        </w:rPr>
        <w:t xml:space="preserve"> </w:t>
      </w:r>
      <w:r w:rsidRPr="00661E10">
        <w:rPr>
          <w:szCs w:val="20"/>
        </w:rPr>
        <w:t xml:space="preserve">would be valuable. </w:t>
      </w:r>
    </w:p>
    <w:p w:rsidR="00450725" w:rsidRPr="00661E10" w:rsidRDefault="00450725" w:rsidP="00E646C9">
      <w:pPr>
        <w:numPr>
          <w:ilvl w:val="0"/>
          <w:numId w:val="67"/>
        </w:numPr>
        <w:ind w:left="360"/>
        <w:contextualSpacing/>
        <w:rPr>
          <w:szCs w:val="20"/>
        </w:rPr>
      </w:pPr>
      <w:r w:rsidRPr="00661E10">
        <w:rPr>
          <w:szCs w:val="20"/>
        </w:rPr>
        <w:t xml:space="preserve">When pointing out differences between groups such as a difference between market-rate and low-income respondents, Navigant did not comment on statistical significance. Therefore, in several cases it is not clear whether the differences seen fall within the bounds of what would be expected. </w:t>
      </w:r>
      <w:r w:rsidR="00AD40AC" w:rsidRPr="00AD40AC">
        <w:rPr>
          <w:szCs w:val="20"/>
        </w:rPr>
        <w:t>If sample sizes were not designed to make group comparisons, then Navigant should note that in the report</w:t>
      </w:r>
      <w:r w:rsidR="00AD40AC">
        <w:rPr>
          <w:szCs w:val="20"/>
        </w:rPr>
        <w:t>.</w:t>
      </w:r>
    </w:p>
    <w:p w:rsidR="00450725" w:rsidRPr="00661E10" w:rsidRDefault="00450725" w:rsidP="00450725"/>
    <w:p w:rsidR="00450725" w:rsidRPr="00661E10" w:rsidRDefault="00450725" w:rsidP="00450725">
      <w:r w:rsidRPr="00661E10">
        <w:t>The report documents included a summary of methods and findings, a table of recommendations, and a description of the status of prior recommendations. The report generally included sufficient detail for the SWE Team and others to assess the methods, findings, conclusions, and recommendations.</w:t>
      </w:r>
    </w:p>
    <w:p w:rsidR="00450725" w:rsidRPr="00661E10" w:rsidRDefault="00450725" w:rsidP="00450725"/>
    <w:p w:rsidR="00450725" w:rsidRPr="001C391A" w:rsidRDefault="00450725" w:rsidP="001C391A">
      <w:r w:rsidRPr="001C391A">
        <w:t xml:space="preserve">Detailed summaries of the SWE Team’s review of the process evaluation by program </w:t>
      </w:r>
      <w:r w:rsidR="002A78C7" w:rsidRPr="001C391A">
        <w:t xml:space="preserve">are </w:t>
      </w:r>
      <w:r w:rsidR="00325FB9">
        <w:t xml:space="preserve">contained </w:t>
      </w:r>
      <w:r w:rsidR="002A78C7" w:rsidRPr="001C391A">
        <w:t xml:space="preserve">in Appendix </w:t>
      </w:r>
      <w:r w:rsidR="002A78C7" w:rsidRPr="001C391A">
        <w:fldChar w:fldCharType="begin"/>
      </w:r>
      <w:r w:rsidR="002A78C7" w:rsidRPr="001C391A">
        <w:instrText xml:space="preserve"> REF _Ref473273308 \r \h </w:instrText>
      </w:r>
      <w:r w:rsidR="002A78C7" w:rsidRPr="001C391A">
        <w:fldChar w:fldCharType="separate"/>
      </w:r>
      <w:r w:rsidR="00037CB4">
        <w:t>B.1</w:t>
      </w:r>
      <w:r w:rsidR="002A78C7" w:rsidRPr="001C391A">
        <w:fldChar w:fldCharType="end"/>
      </w:r>
      <w:r w:rsidR="002A78C7" w:rsidRPr="001C391A">
        <w:t>.</w:t>
      </w:r>
    </w:p>
    <w:p w:rsidR="00952607" w:rsidRPr="001C391A" w:rsidRDefault="00952607" w:rsidP="001C391A"/>
    <w:p w:rsidR="00450725" w:rsidRDefault="00823FE0" w:rsidP="00450725">
      <w:r>
        <w:fldChar w:fldCharType="begin"/>
      </w:r>
      <w:r>
        <w:instrText xml:space="preserve"> REF _Ref472471463 \h </w:instrText>
      </w:r>
      <w:r>
        <w:fldChar w:fldCharType="separate"/>
      </w:r>
      <w:r w:rsidR="00037CB4" w:rsidRPr="00823FE0">
        <w:t>Table A-</w:t>
      </w:r>
      <w:r w:rsidR="00037CB4">
        <w:rPr>
          <w:noProof/>
        </w:rPr>
        <w:t>20</w:t>
      </w:r>
      <w:r>
        <w:fldChar w:fldCharType="end"/>
      </w:r>
      <w:r w:rsidR="00450725" w:rsidRPr="006C05B5">
        <w:t xml:space="preserve"> summarizes the results of the SWE Team’s audit of Navigant’s NTG assessment of the Duquesne programs.</w:t>
      </w:r>
    </w:p>
    <w:p w:rsidR="00450725" w:rsidRPr="006C05B5" w:rsidRDefault="00450725" w:rsidP="00450725"/>
    <w:p w:rsidR="00450725" w:rsidRPr="00823FE0" w:rsidRDefault="00823FE0" w:rsidP="004837FA">
      <w:pPr>
        <w:pStyle w:val="Caption"/>
      </w:pPr>
      <w:bookmarkStart w:id="604" w:name="_Ref472471463"/>
      <w:bookmarkStart w:id="605" w:name="_Toc409225004"/>
      <w:bookmarkStart w:id="606" w:name="_Toc409443556"/>
      <w:bookmarkStart w:id="607" w:name="_Toc444269729"/>
      <w:bookmarkStart w:id="608" w:name="_Toc472472429"/>
      <w:bookmarkStart w:id="609" w:name="_Toc488741848"/>
      <w:r w:rsidRPr="00823FE0">
        <w:t>Table A-</w:t>
      </w:r>
      <w:r w:rsidR="007973A4">
        <w:fldChar w:fldCharType="begin"/>
      </w:r>
      <w:r w:rsidR="007973A4">
        <w:instrText xml:space="preserve"> SEQ Table_A- \* ARABIC </w:instrText>
      </w:r>
      <w:r w:rsidR="007973A4">
        <w:fldChar w:fldCharType="separate"/>
      </w:r>
      <w:r w:rsidR="00037CB4">
        <w:rPr>
          <w:noProof/>
        </w:rPr>
        <w:t>20</w:t>
      </w:r>
      <w:r w:rsidR="007973A4">
        <w:rPr>
          <w:noProof/>
        </w:rPr>
        <w:fldChar w:fldCharType="end"/>
      </w:r>
      <w:bookmarkEnd w:id="604"/>
      <w:r w:rsidRPr="00823FE0">
        <w:t xml:space="preserve">: </w:t>
      </w:r>
      <w:r w:rsidR="00450725" w:rsidRPr="00823FE0">
        <w:t>Summary of SWE Team Review of Duquesne NTG Evaluations</w:t>
      </w:r>
      <w:bookmarkEnd w:id="605"/>
      <w:bookmarkEnd w:id="606"/>
      <w:bookmarkEnd w:id="607"/>
      <w:bookmarkEnd w:id="608"/>
      <w:bookmarkEnd w:id="609"/>
    </w:p>
    <w:tbl>
      <w:tblPr>
        <w:tblW w:w="9337"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4567"/>
        <w:gridCol w:w="4770"/>
      </w:tblGrid>
      <w:tr w:rsidR="00E7173E" w:rsidRPr="00F17578" w:rsidTr="00DD4CC7">
        <w:trPr>
          <w:trHeight w:val="346"/>
          <w:tblHeader/>
          <w:jc w:val="center"/>
        </w:trPr>
        <w:tc>
          <w:tcPr>
            <w:tcW w:w="4567" w:type="dxa"/>
            <w:shd w:val="clear" w:color="auto" w:fill="448A99"/>
            <w:vAlign w:val="bottom"/>
          </w:tcPr>
          <w:p w:rsidR="00450725" w:rsidRPr="00F17578" w:rsidRDefault="00450725" w:rsidP="00D900B5">
            <w:pPr>
              <w:rPr>
                <w:b/>
                <w:color w:val="FFFFFF"/>
                <w:sz w:val="19"/>
                <w:szCs w:val="19"/>
              </w:rPr>
            </w:pPr>
            <w:r w:rsidRPr="00F17578">
              <w:rPr>
                <w:b/>
                <w:color w:val="FFFFFF"/>
                <w:sz w:val="19"/>
                <w:szCs w:val="19"/>
              </w:rPr>
              <w:t>Elements Reviewed in the Duquesne Annual Report</w:t>
            </w:r>
          </w:p>
        </w:tc>
        <w:tc>
          <w:tcPr>
            <w:tcW w:w="4770"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SWE Findings</w:t>
            </w:r>
          </w:p>
        </w:tc>
      </w:tr>
      <w:tr w:rsidR="00E7173E" w:rsidRPr="00F17578" w:rsidTr="00DD4CC7">
        <w:trPr>
          <w:trHeight w:val="288"/>
          <w:jc w:val="center"/>
        </w:trPr>
        <w:tc>
          <w:tcPr>
            <w:tcW w:w="9337" w:type="dxa"/>
            <w:gridSpan w:val="2"/>
            <w:shd w:val="clear" w:color="auto" w:fill="9C9393"/>
            <w:vAlign w:val="center"/>
          </w:tcPr>
          <w:p w:rsidR="00450725" w:rsidRPr="00F17578" w:rsidRDefault="00450725" w:rsidP="00D900B5">
            <w:pPr>
              <w:jc w:val="left"/>
              <w:rPr>
                <w:b/>
                <w:color w:val="FFFFFF"/>
                <w:sz w:val="19"/>
                <w:szCs w:val="19"/>
              </w:rPr>
            </w:pPr>
            <w:r w:rsidRPr="00F17578">
              <w:rPr>
                <w:b/>
                <w:color w:val="FFFFFF"/>
                <w:sz w:val="19"/>
                <w:szCs w:val="19"/>
              </w:rPr>
              <w:t>Use of NTG Common Method or Explanation for Alternate Method</w:t>
            </w:r>
          </w:p>
        </w:tc>
      </w:tr>
      <w:tr w:rsidR="00E7173E" w:rsidRPr="00F17578" w:rsidTr="00DD4CC7">
        <w:trPr>
          <w:trHeight w:val="346"/>
          <w:jc w:val="center"/>
        </w:trPr>
        <w:tc>
          <w:tcPr>
            <w:tcW w:w="4567" w:type="dxa"/>
            <w:shd w:val="clear" w:color="auto" w:fill="D2EAF1"/>
            <w:vAlign w:val="center"/>
          </w:tcPr>
          <w:p w:rsidR="00450725" w:rsidRPr="00F17578" w:rsidRDefault="00450725" w:rsidP="00D900B5">
            <w:pPr>
              <w:jc w:val="left"/>
              <w:rPr>
                <w:sz w:val="19"/>
                <w:szCs w:val="19"/>
              </w:rPr>
            </w:pPr>
            <w:r w:rsidRPr="00F17578">
              <w:rPr>
                <w:sz w:val="19"/>
                <w:szCs w:val="19"/>
              </w:rPr>
              <w:t>Availability of NTG data files and documents</w:t>
            </w:r>
          </w:p>
        </w:tc>
        <w:tc>
          <w:tcPr>
            <w:tcW w:w="4770" w:type="dxa"/>
            <w:shd w:val="clear" w:color="auto" w:fill="D2EAF1"/>
            <w:vAlign w:val="center"/>
          </w:tcPr>
          <w:p w:rsidR="00450725" w:rsidRPr="00F17578" w:rsidRDefault="00450725" w:rsidP="00D900B5">
            <w:pPr>
              <w:jc w:val="center"/>
              <w:rPr>
                <w:sz w:val="19"/>
                <w:szCs w:val="19"/>
              </w:rPr>
            </w:pPr>
            <w:r w:rsidRPr="00F17578">
              <w:rPr>
                <w:sz w:val="19"/>
                <w:szCs w:val="19"/>
              </w:rPr>
              <w:t>Yes, with exceptions noted</w:t>
            </w:r>
          </w:p>
        </w:tc>
      </w:tr>
      <w:tr w:rsidR="00E7173E" w:rsidRPr="00F17578" w:rsidTr="00DD4CC7">
        <w:trPr>
          <w:trHeight w:val="346"/>
          <w:jc w:val="center"/>
        </w:trPr>
        <w:tc>
          <w:tcPr>
            <w:tcW w:w="4567" w:type="dxa"/>
            <w:shd w:val="clear" w:color="auto" w:fill="auto"/>
            <w:vAlign w:val="center"/>
          </w:tcPr>
          <w:p w:rsidR="00450725" w:rsidRPr="00F17578" w:rsidRDefault="00450725" w:rsidP="00D900B5">
            <w:pPr>
              <w:jc w:val="left"/>
              <w:rPr>
                <w:sz w:val="19"/>
                <w:szCs w:val="19"/>
              </w:rPr>
            </w:pPr>
            <w:r w:rsidRPr="00F17578">
              <w:rPr>
                <w:sz w:val="19"/>
                <w:szCs w:val="19"/>
              </w:rPr>
              <w:t>NTG method used – the common method or another</w:t>
            </w:r>
          </w:p>
        </w:tc>
        <w:tc>
          <w:tcPr>
            <w:tcW w:w="4770" w:type="dxa"/>
            <w:shd w:val="clear" w:color="auto" w:fill="auto"/>
            <w:vAlign w:val="center"/>
          </w:tcPr>
          <w:p w:rsidR="00450725" w:rsidRPr="00F17578" w:rsidRDefault="00450725" w:rsidP="00D900B5">
            <w:pPr>
              <w:jc w:val="center"/>
              <w:rPr>
                <w:sz w:val="19"/>
                <w:szCs w:val="19"/>
              </w:rPr>
            </w:pPr>
            <w:r w:rsidRPr="00F17578">
              <w:rPr>
                <w:sz w:val="19"/>
                <w:szCs w:val="19"/>
              </w:rPr>
              <w:t>Common method, with acceptable modifications</w:t>
            </w:r>
          </w:p>
        </w:tc>
      </w:tr>
      <w:tr w:rsidR="00E7173E" w:rsidRPr="00F17578" w:rsidTr="00DD4CC7">
        <w:trPr>
          <w:trHeight w:val="346"/>
          <w:jc w:val="center"/>
        </w:trPr>
        <w:tc>
          <w:tcPr>
            <w:tcW w:w="4567" w:type="dxa"/>
            <w:shd w:val="clear" w:color="auto" w:fill="D2EAF1"/>
            <w:vAlign w:val="center"/>
          </w:tcPr>
          <w:p w:rsidR="00450725" w:rsidRPr="00F17578" w:rsidRDefault="00450725" w:rsidP="00D900B5">
            <w:pPr>
              <w:jc w:val="left"/>
              <w:rPr>
                <w:sz w:val="19"/>
                <w:szCs w:val="19"/>
              </w:rPr>
            </w:pPr>
            <w:r w:rsidRPr="00F17578">
              <w:rPr>
                <w:sz w:val="19"/>
                <w:szCs w:val="19"/>
              </w:rPr>
              <w:t>NTG common method applied correctly</w:t>
            </w:r>
          </w:p>
        </w:tc>
        <w:tc>
          <w:tcPr>
            <w:tcW w:w="4770" w:type="dxa"/>
            <w:shd w:val="clear" w:color="auto" w:fill="D2EAF1"/>
            <w:vAlign w:val="center"/>
          </w:tcPr>
          <w:p w:rsidR="00450725" w:rsidRPr="00F17578" w:rsidRDefault="00450725" w:rsidP="00D900B5">
            <w:pPr>
              <w:jc w:val="center"/>
              <w:rPr>
                <w:sz w:val="19"/>
                <w:szCs w:val="19"/>
              </w:rPr>
            </w:pPr>
            <w:r w:rsidRPr="00F17578">
              <w:rPr>
                <w:sz w:val="19"/>
                <w:szCs w:val="19"/>
              </w:rPr>
              <w:t>Yes</w:t>
            </w:r>
          </w:p>
        </w:tc>
      </w:tr>
    </w:tbl>
    <w:p w:rsidR="00450725" w:rsidRPr="006C05B5" w:rsidRDefault="00450725" w:rsidP="00450725"/>
    <w:p w:rsidR="00450725" w:rsidRPr="006C05B5" w:rsidRDefault="00450725" w:rsidP="00450725">
      <w:pPr>
        <w:rPr>
          <w:highlight w:val="lightGray"/>
        </w:rPr>
      </w:pPr>
      <w:r w:rsidRPr="006C05B5">
        <w:t>The following subsections present detailed discussions of the SWE Team’s NTG audits of Duquesne programs in PY7 and summarize the findings, specifically the audit of NTG reporting and related files. The results are provided for residential, low-income, and non-residential programs.</w:t>
      </w:r>
    </w:p>
    <w:p w:rsidR="00450725" w:rsidRDefault="00450725" w:rsidP="00450725"/>
    <w:p w:rsidR="00450725" w:rsidRPr="006C05B5" w:rsidRDefault="00450725" w:rsidP="0055598C">
      <w:pPr>
        <w:pStyle w:val="AppendixAHeading4"/>
      </w:pPr>
      <w:bookmarkStart w:id="610" w:name="_Ref473209494"/>
      <w:r>
        <w:t>Residential Programs</w:t>
      </w:r>
      <w:bookmarkEnd w:id="610"/>
    </w:p>
    <w:p w:rsidR="00450725" w:rsidRPr="006C05B5" w:rsidRDefault="00450725" w:rsidP="00450725">
      <w:pPr>
        <w:autoSpaceDE w:val="0"/>
        <w:autoSpaceDN w:val="0"/>
        <w:adjustRightInd w:val="0"/>
      </w:pPr>
      <w:r w:rsidRPr="006C05B5">
        <w:t xml:space="preserve">Navigant estimated NTG for four residential programs: REEP, RARP, SEP, and WHEAP. Navigant did not estimate NTG for the Residential HER Program, since </w:t>
      </w:r>
      <w:r w:rsidRPr="006C05B5">
        <w:rPr>
          <w:rFonts w:cs="Calibri"/>
        </w:rPr>
        <w:t>free-ridership and participant spillover</w:t>
      </w:r>
      <w:r w:rsidR="00C21C45">
        <w:rPr>
          <w:rFonts w:cs="Calibri"/>
        </w:rPr>
        <w:t xml:space="preserve"> </w:t>
      </w:r>
      <w:r w:rsidRPr="006C05B5">
        <w:rPr>
          <w:rFonts w:cs="Calibri"/>
        </w:rPr>
        <w:t>are already incorporated in the impact analysis.</w:t>
      </w:r>
      <w:r w:rsidRPr="006C05B5">
        <w:t xml:space="preserve"> As in the PY5 and PY6 evaluations, Navigant used the SWE common approach, with one slight deviation: Navigant incorporated a “delay factor” into residential NTG calculations that adjusted free-ridership scores by how long respondents reported they would have delayed their program-qualifying activity. The SWE Team believes this modification would not introduce a systematically different result from the common method and is thus consistent with the intent of the common method. However, the SWE Team suggests that evaluation reports explicitly state how a given instrument differs from the common method and why it would not produce a systematically different result. </w:t>
      </w:r>
    </w:p>
    <w:p w:rsidR="00450725" w:rsidRPr="006C05B5" w:rsidRDefault="00450725" w:rsidP="00450725">
      <w:r w:rsidRPr="006C05B5">
        <w:t xml:space="preserve">Navigant used a hybrid approach to estimate NTGR for REEP: Navigant used PY6 results for the upstream lighting component of the program, and conducted primary data collection and analysis for rebate and kit measures. Navigant used a savings-weighted approach to combine these various estimates into program-level free-ridership, spillover, and NTGR for PY7. </w:t>
      </w:r>
    </w:p>
    <w:p w:rsidR="00450725" w:rsidRPr="006C05B5" w:rsidRDefault="00450725" w:rsidP="00450725"/>
    <w:p w:rsidR="00450725" w:rsidRPr="006C05B5" w:rsidRDefault="00450725" w:rsidP="00450725">
      <w:r w:rsidRPr="006C05B5">
        <w:t xml:space="preserve">Navigant summarized the NTG methodology in the Duquesne PY7 annual report. The detailed methods reported in the PY7 annual report were typically sufficiently clear. </w:t>
      </w:r>
    </w:p>
    <w:p w:rsidR="00450725" w:rsidRPr="006C05B5" w:rsidRDefault="00450725" w:rsidP="00450725"/>
    <w:p w:rsidR="00450725" w:rsidRPr="006C05B5" w:rsidRDefault="00450725" w:rsidP="00450725">
      <w:r w:rsidRPr="006C05B5">
        <w:t>Navigant provided the SWE Team with most of its NTG calculations, together with the raw survey data, in Excel workbooks. The workbook revealed a typo in the RARP chapter: RARP NTGR is 32%, not 34% as reported in the workbook. Navigant confirmed via email that 32% is the correct value.</w:t>
      </w:r>
    </w:p>
    <w:p w:rsidR="00450725" w:rsidRPr="006C05B5" w:rsidRDefault="00450725" w:rsidP="00450725">
      <w:pPr>
        <w:rPr>
          <w:highlight w:val="lightGray"/>
        </w:rPr>
      </w:pPr>
    </w:p>
    <w:p w:rsidR="00450725" w:rsidRPr="006C05B5" w:rsidRDefault="00823FE0" w:rsidP="00450725">
      <w:pPr>
        <w:rPr>
          <w:highlight w:val="lightGray"/>
        </w:rPr>
      </w:pPr>
      <w:r>
        <w:fldChar w:fldCharType="begin"/>
      </w:r>
      <w:r>
        <w:instrText xml:space="preserve"> REF _Ref472471497 \h </w:instrText>
      </w:r>
      <w:r>
        <w:fldChar w:fldCharType="separate"/>
      </w:r>
      <w:r w:rsidR="00037CB4" w:rsidRPr="00823FE0">
        <w:t>Table A-</w:t>
      </w:r>
      <w:r w:rsidR="00037CB4">
        <w:rPr>
          <w:noProof/>
        </w:rPr>
        <w:t>21</w:t>
      </w:r>
      <w:r>
        <w:fldChar w:fldCharType="end"/>
      </w:r>
      <w:r w:rsidR="00450725" w:rsidRPr="006C05B5">
        <w:t xml:space="preserve"> summarizes the SWE Team’s review of the NTG activities by program. The SWE Team found Navigant’s description of the NTG methods to be relatively clear and the application of the SWE common methods to be error-free. However, the workbooks provided did not include the calculations that combined strata estimates into program-level estimates.</w:t>
      </w:r>
      <w:r w:rsidR="00450725" w:rsidRPr="006C05B5">
        <w:rPr>
          <w:highlight w:val="lightGray"/>
        </w:rPr>
        <w:t xml:space="preserve"> </w:t>
      </w:r>
    </w:p>
    <w:p w:rsidR="00450725" w:rsidRPr="006C05B5" w:rsidRDefault="00450725" w:rsidP="00450725">
      <w:pPr>
        <w:rPr>
          <w:highlight w:val="lightGray"/>
        </w:rPr>
      </w:pPr>
    </w:p>
    <w:p w:rsidR="00450725" w:rsidRPr="00823FE0" w:rsidRDefault="00823FE0" w:rsidP="004837FA">
      <w:pPr>
        <w:pStyle w:val="Caption"/>
      </w:pPr>
      <w:bookmarkStart w:id="611" w:name="_Ref472471497"/>
      <w:bookmarkStart w:id="612" w:name="_Toc409225005"/>
      <w:bookmarkStart w:id="613" w:name="_Toc409443557"/>
      <w:bookmarkStart w:id="614" w:name="_Toc444269730"/>
      <w:bookmarkStart w:id="615" w:name="_Toc472472430"/>
      <w:bookmarkStart w:id="616" w:name="_Toc488741849"/>
      <w:r w:rsidRPr="00823FE0">
        <w:t>Table A-</w:t>
      </w:r>
      <w:r w:rsidR="007973A4">
        <w:fldChar w:fldCharType="begin"/>
      </w:r>
      <w:r w:rsidR="007973A4">
        <w:instrText xml:space="preserve"> SEQ Table_A- \* ARABIC </w:instrText>
      </w:r>
      <w:r w:rsidR="007973A4">
        <w:fldChar w:fldCharType="separate"/>
      </w:r>
      <w:r w:rsidR="00037CB4">
        <w:rPr>
          <w:noProof/>
        </w:rPr>
        <w:t>21</w:t>
      </w:r>
      <w:r w:rsidR="007973A4">
        <w:rPr>
          <w:noProof/>
        </w:rPr>
        <w:fldChar w:fldCharType="end"/>
      </w:r>
      <w:bookmarkEnd w:id="611"/>
      <w:r w:rsidRPr="00823FE0">
        <w:t xml:space="preserve">: </w:t>
      </w:r>
      <w:r w:rsidR="00450725" w:rsidRPr="00823FE0">
        <w:t>Summary of NTG Audit of Duquesne’s Residential Programs</w:t>
      </w:r>
      <w:bookmarkEnd w:id="612"/>
      <w:bookmarkEnd w:id="613"/>
      <w:bookmarkEnd w:id="614"/>
      <w:bookmarkEnd w:id="615"/>
      <w:bookmarkEnd w:id="616"/>
    </w:p>
    <w:tbl>
      <w:tblPr>
        <w:tblW w:w="9351"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07"/>
        <w:gridCol w:w="3112"/>
        <w:gridCol w:w="4632"/>
      </w:tblGrid>
      <w:tr w:rsidR="00A874AC" w:rsidRPr="00F17578" w:rsidTr="005C3E63">
        <w:trPr>
          <w:cantSplit/>
          <w:tblHeader/>
          <w:jc w:val="center"/>
        </w:trPr>
        <w:tc>
          <w:tcPr>
            <w:tcW w:w="1607" w:type="dxa"/>
            <w:shd w:val="clear" w:color="auto" w:fill="448A99"/>
            <w:vAlign w:val="bottom"/>
          </w:tcPr>
          <w:p w:rsidR="00450725" w:rsidRPr="00F17578" w:rsidRDefault="00450725" w:rsidP="00D900B5">
            <w:pPr>
              <w:jc w:val="left"/>
              <w:rPr>
                <w:b/>
                <w:color w:val="FFFFFF"/>
                <w:sz w:val="19"/>
                <w:szCs w:val="19"/>
              </w:rPr>
            </w:pPr>
            <w:r w:rsidRPr="00F17578">
              <w:rPr>
                <w:b/>
                <w:color w:val="FFFFFF"/>
                <w:sz w:val="19"/>
                <w:szCs w:val="19"/>
              </w:rPr>
              <w:t>Program</w:t>
            </w:r>
          </w:p>
        </w:tc>
        <w:tc>
          <w:tcPr>
            <w:tcW w:w="3112"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NTG Method</w:t>
            </w:r>
          </w:p>
        </w:tc>
        <w:tc>
          <w:tcPr>
            <w:tcW w:w="4632"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Review Comments</w:t>
            </w:r>
          </w:p>
        </w:tc>
      </w:tr>
      <w:tr w:rsidR="00E7173E" w:rsidRPr="00F17578" w:rsidTr="005C3E63">
        <w:trPr>
          <w:trHeight w:val="1295"/>
          <w:jc w:val="center"/>
        </w:trPr>
        <w:tc>
          <w:tcPr>
            <w:tcW w:w="1607" w:type="dxa"/>
            <w:shd w:val="clear" w:color="auto" w:fill="D2EAF1"/>
          </w:tcPr>
          <w:p w:rsidR="00450725" w:rsidRPr="00F17578" w:rsidRDefault="00450725" w:rsidP="00D900B5">
            <w:pPr>
              <w:jc w:val="left"/>
              <w:rPr>
                <w:color w:val="548DD4"/>
                <w:sz w:val="19"/>
                <w:szCs w:val="19"/>
              </w:rPr>
            </w:pPr>
            <w:r w:rsidRPr="00F17578">
              <w:rPr>
                <w:sz w:val="19"/>
                <w:szCs w:val="19"/>
              </w:rPr>
              <w:t>Residential Energy Efficiency Program (REEP)</w:t>
            </w:r>
          </w:p>
        </w:tc>
        <w:tc>
          <w:tcPr>
            <w:tcW w:w="3112" w:type="dxa"/>
            <w:shd w:val="clear" w:color="auto" w:fill="D2EAF1"/>
          </w:tcPr>
          <w:p w:rsidR="00450725" w:rsidRPr="00F17578" w:rsidRDefault="00450725" w:rsidP="00D900B5">
            <w:pPr>
              <w:jc w:val="left"/>
              <w:rPr>
                <w:color w:val="548DD4"/>
                <w:sz w:val="19"/>
                <w:szCs w:val="19"/>
              </w:rPr>
            </w:pPr>
            <w:r w:rsidRPr="00F17578">
              <w:rPr>
                <w:sz w:val="19"/>
                <w:szCs w:val="19"/>
              </w:rPr>
              <w:t>The common method was used for downstream components, with acceptable modifications. Navigant used the PY6 values for PY7 upstream lighting NTG.</w:t>
            </w:r>
          </w:p>
        </w:tc>
        <w:tc>
          <w:tcPr>
            <w:tcW w:w="4632" w:type="dxa"/>
            <w:shd w:val="clear" w:color="auto" w:fill="D2EAF1"/>
          </w:tcPr>
          <w:p w:rsidR="00450725" w:rsidRPr="00F17578" w:rsidRDefault="00450725" w:rsidP="00D900B5">
            <w:pPr>
              <w:jc w:val="left"/>
              <w:rPr>
                <w:sz w:val="19"/>
                <w:szCs w:val="19"/>
              </w:rPr>
            </w:pPr>
            <w:r w:rsidRPr="00F17578">
              <w:rPr>
                <w:sz w:val="19"/>
                <w:szCs w:val="19"/>
              </w:rPr>
              <w:t xml:space="preserve">The detailed methods reported in the PY7 annual report were sufficiently clear. </w:t>
            </w:r>
          </w:p>
        </w:tc>
      </w:tr>
      <w:tr w:rsidR="00450725" w:rsidRPr="00F17578" w:rsidTr="005C3E63">
        <w:trPr>
          <w:trHeight w:val="2249"/>
          <w:jc w:val="center"/>
        </w:trPr>
        <w:tc>
          <w:tcPr>
            <w:tcW w:w="1607" w:type="dxa"/>
          </w:tcPr>
          <w:p w:rsidR="00450725" w:rsidRPr="00F17578" w:rsidRDefault="00450725" w:rsidP="00D900B5">
            <w:pPr>
              <w:jc w:val="left"/>
              <w:rPr>
                <w:color w:val="548DD4"/>
                <w:sz w:val="19"/>
                <w:szCs w:val="19"/>
              </w:rPr>
            </w:pPr>
            <w:r w:rsidRPr="00F17578">
              <w:rPr>
                <w:sz w:val="19"/>
                <w:szCs w:val="19"/>
              </w:rPr>
              <w:t>Residential Appliance Recycling Program (RARP)</w:t>
            </w:r>
          </w:p>
        </w:tc>
        <w:tc>
          <w:tcPr>
            <w:tcW w:w="3112" w:type="dxa"/>
          </w:tcPr>
          <w:p w:rsidR="00450725" w:rsidRPr="00F17578" w:rsidRDefault="00450725" w:rsidP="00D900B5">
            <w:pPr>
              <w:jc w:val="left"/>
              <w:rPr>
                <w:color w:val="548DD4"/>
                <w:sz w:val="19"/>
                <w:szCs w:val="19"/>
              </w:rPr>
            </w:pPr>
            <w:r w:rsidRPr="00F17578">
              <w:rPr>
                <w:sz w:val="19"/>
                <w:szCs w:val="19"/>
              </w:rPr>
              <w:t>The common method was used.</w:t>
            </w:r>
          </w:p>
        </w:tc>
        <w:tc>
          <w:tcPr>
            <w:tcW w:w="4632" w:type="dxa"/>
          </w:tcPr>
          <w:p w:rsidR="00450725" w:rsidRPr="00F17578" w:rsidRDefault="00450725" w:rsidP="00D900B5">
            <w:pPr>
              <w:jc w:val="left"/>
              <w:rPr>
                <w:sz w:val="19"/>
                <w:szCs w:val="19"/>
              </w:rPr>
            </w:pPr>
            <w:r w:rsidRPr="00F17578">
              <w:rPr>
                <w:sz w:val="19"/>
                <w:szCs w:val="19"/>
              </w:rPr>
              <w:t>Navigant used the common method to estimate NTG. The final kWh net savings that included adjustments to net savings based on each scenario were included in the workbook. FR was calculated correctly at the participant level.</w:t>
            </w:r>
          </w:p>
          <w:p w:rsidR="00450725" w:rsidRPr="00F17578" w:rsidRDefault="00450725" w:rsidP="00D900B5">
            <w:pPr>
              <w:jc w:val="left"/>
              <w:rPr>
                <w:sz w:val="19"/>
                <w:szCs w:val="19"/>
              </w:rPr>
            </w:pPr>
            <w:r w:rsidRPr="00F17578">
              <w:rPr>
                <w:sz w:val="19"/>
                <w:szCs w:val="19"/>
              </w:rPr>
              <w:t>Navigant reported two different NTGRs – 32% in the Overview of Portfolio chapter and 34% in the RARP chapter. The Excel workbook reports the NTGR to be 32%; thus 34% is a typo.</w:t>
            </w:r>
          </w:p>
        </w:tc>
      </w:tr>
      <w:tr w:rsidR="00E7173E" w:rsidRPr="00F17578" w:rsidTr="005C3E63">
        <w:trPr>
          <w:trHeight w:val="1538"/>
          <w:jc w:val="center"/>
        </w:trPr>
        <w:tc>
          <w:tcPr>
            <w:tcW w:w="1607" w:type="dxa"/>
            <w:shd w:val="clear" w:color="auto" w:fill="D2EAF1"/>
          </w:tcPr>
          <w:p w:rsidR="00450725" w:rsidRPr="00F17578" w:rsidRDefault="00450725" w:rsidP="00D900B5">
            <w:pPr>
              <w:jc w:val="left"/>
              <w:rPr>
                <w:color w:val="548DD4"/>
                <w:sz w:val="19"/>
                <w:szCs w:val="19"/>
              </w:rPr>
            </w:pPr>
            <w:r w:rsidRPr="00F17578">
              <w:rPr>
                <w:sz w:val="19"/>
                <w:szCs w:val="19"/>
              </w:rPr>
              <w:t>School Energy Pledge Program (SEP)</w:t>
            </w:r>
          </w:p>
        </w:tc>
        <w:tc>
          <w:tcPr>
            <w:tcW w:w="3112" w:type="dxa"/>
            <w:shd w:val="clear" w:color="auto" w:fill="D2EAF1"/>
          </w:tcPr>
          <w:p w:rsidR="00450725" w:rsidRPr="00F17578" w:rsidRDefault="00450725" w:rsidP="00D900B5">
            <w:pPr>
              <w:jc w:val="left"/>
              <w:rPr>
                <w:color w:val="548DD4"/>
                <w:sz w:val="19"/>
                <w:szCs w:val="19"/>
              </w:rPr>
            </w:pPr>
            <w:r w:rsidRPr="00F17578">
              <w:rPr>
                <w:sz w:val="19"/>
                <w:szCs w:val="19"/>
              </w:rPr>
              <w:t>The common method was used, with acceptable modifications.</w:t>
            </w:r>
          </w:p>
        </w:tc>
        <w:tc>
          <w:tcPr>
            <w:tcW w:w="4632" w:type="dxa"/>
            <w:shd w:val="clear" w:color="auto" w:fill="D2EAF1"/>
          </w:tcPr>
          <w:p w:rsidR="00450725" w:rsidRPr="00F17578" w:rsidRDefault="00450725" w:rsidP="00D900B5">
            <w:pPr>
              <w:jc w:val="left"/>
              <w:rPr>
                <w:sz w:val="19"/>
                <w:szCs w:val="19"/>
              </w:rPr>
            </w:pPr>
            <w:r w:rsidRPr="00F17578">
              <w:rPr>
                <w:sz w:val="19"/>
                <w:szCs w:val="19"/>
              </w:rPr>
              <w:t xml:space="preserve">The detailed methods reported in the PY7 annual report were sufficiently clear. </w:t>
            </w:r>
          </w:p>
          <w:p w:rsidR="00450725" w:rsidRPr="00F17578" w:rsidRDefault="00450725" w:rsidP="00D900B5">
            <w:pPr>
              <w:jc w:val="left"/>
              <w:rPr>
                <w:sz w:val="19"/>
                <w:szCs w:val="19"/>
              </w:rPr>
            </w:pPr>
            <w:r w:rsidRPr="00F17578">
              <w:rPr>
                <w:sz w:val="19"/>
                <w:szCs w:val="19"/>
              </w:rPr>
              <w:t>Navigant made acceptable adjustments to the FR intention calculations, including adjustments for number of items installed and for plans to purchase at a later date.</w:t>
            </w:r>
          </w:p>
        </w:tc>
      </w:tr>
      <w:tr w:rsidR="00E7173E" w:rsidRPr="00F17578" w:rsidTr="005C3E63">
        <w:trPr>
          <w:trHeight w:val="2042"/>
          <w:jc w:val="center"/>
        </w:trPr>
        <w:tc>
          <w:tcPr>
            <w:tcW w:w="1607" w:type="dxa"/>
            <w:shd w:val="clear" w:color="auto" w:fill="FFFFFF"/>
          </w:tcPr>
          <w:p w:rsidR="00450725" w:rsidRPr="00F17578" w:rsidRDefault="00450725" w:rsidP="00D900B5">
            <w:pPr>
              <w:jc w:val="left"/>
              <w:rPr>
                <w:color w:val="548DD4"/>
                <w:sz w:val="19"/>
                <w:szCs w:val="19"/>
              </w:rPr>
            </w:pPr>
            <w:r w:rsidRPr="00F17578">
              <w:rPr>
                <w:sz w:val="19"/>
                <w:szCs w:val="19"/>
              </w:rPr>
              <w:t>Whole House Energy Audit Program (WHEAP)</w:t>
            </w:r>
          </w:p>
        </w:tc>
        <w:tc>
          <w:tcPr>
            <w:tcW w:w="3112" w:type="dxa"/>
            <w:shd w:val="clear" w:color="auto" w:fill="FFFFFF"/>
          </w:tcPr>
          <w:p w:rsidR="00450725" w:rsidRPr="00F17578" w:rsidRDefault="00450725" w:rsidP="00D900B5">
            <w:pPr>
              <w:jc w:val="left"/>
              <w:rPr>
                <w:color w:val="548DD4"/>
                <w:sz w:val="19"/>
                <w:szCs w:val="19"/>
              </w:rPr>
            </w:pPr>
            <w:r w:rsidRPr="00F17578">
              <w:rPr>
                <w:sz w:val="19"/>
                <w:szCs w:val="19"/>
              </w:rPr>
              <w:t>The common method was used, with acceptable modifications.</w:t>
            </w:r>
          </w:p>
        </w:tc>
        <w:tc>
          <w:tcPr>
            <w:tcW w:w="4632" w:type="dxa"/>
            <w:shd w:val="clear" w:color="auto" w:fill="FFFFFF"/>
          </w:tcPr>
          <w:p w:rsidR="00450725" w:rsidRPr="00F17578" w:rsidRDefault="00450725" w:rsidP="00D900B5">
            <w:pPr>
              <w:jc w:val="left"/>
              <w:rPr>
                <w:sz w:val="19"/>
                <w:szCs w:val="19"/>
              </w:rPr>
            </w:pPr>
            <w:r w:rsidRPr="00F17578">
              <w:rPr>
                <w:sz w:val="19"/>
                <w:szCs w:val="19"/>
              </w:rPr>
              <w:t>The detailed methods reported in the PY7 annual report were sufficiently clear.</w:t>
            </w:r>
          </w:p>
          <w:p w:rsidR="00450725" w:rsidRPr="00F17578" w:rsidRDefault="00450725" w:rsidP="00D900B5">
            <w:pPr>
              <w:jc w:val="left"/>
              <w:rPr>
                <w:sz w:val="19"/>
                <w:szCs w:val="19"/>
              </w:rPr>
            </w:pPr>
            <w:r w:rsidRPr="00F17578">
              <w:rPr>
                <w:sz w:val="19"/>
                <w:szCs w:val="19"/>
              </w:rPr>
              <w:t>Navigant made acceptable adjustments to the FR intention calculations, including adjustments for number of items installed and for plans to purchase at a later date.</w:t>
            </w:r>
          </w:p>
          <w:p w:rsidR="00450725" w:rsidRPr="00F17578" w:rsidRDefault="00450725" w:rsidP="00D900B5">
            <w:pPr>
              <w:jc w:val="left"/>
              <w:rPr>
                <w:sz w:val="19"/>
                <w:szCs w:val="19"/>
              </w:rPr>
            </w:pPr>
            <w:r w:rsidRPr="00F17578">
              <w:rPr>
                <w:sz w:val="19"/>
                <w:szCs w:val="19"/>
              </w:rPr>
              <w:t>Market rate and low-income participants were analyzed together when calculating NTGR for WHEAP.</w:t>
            </w:r>
          </w:p>
        </w:tc>
      </w:tr>
      <w:tr w:rsidR="00E7173E" w:rsidRPr="00F17578" w:rsidTr="005C3E63">
        <w:trPr>
          <w:trHeight w:val="1070"/>
          <w:jc w:val="center"/>
        </w:trPr>
        <w:tc>
          <w:tcPr>
            <w:tcW w:w="1607" w:type="dxa"/>
            <w:shd w:val="clear" w:color="auto" w:fill="D2EAF1"/>
          </w:tcPr>
          <w:p w:rsidR="00450725" w:rsidRPr="00F17578" w:rsidRDefault="00450725" w:rsidP="00D900B5">
            <w:pPr>
              <w:jc w:val="left"/>
              <w:rPr>
                <w:sz w:val="19"/>
                <w:szCs w:val="19"/>
              </w:rPr>
            </w:pPr>
            <w:r w:rsidRPr="00F17578">
              <w:rPr>
                <w:sz w:val="19"/>
                <w:szCs w:val="19"/>
              </w:rPr>
              <w:t>Residential Home Energy Report (HER) Program</w:t>
            </w:r>
          </w:p>
        </w:tc>
        <w:tc>
          <w:tcPr>
            <w:tcW w:w="3112" w:type="dxa"/>
            <w:shd w:val="clear" w:color="auto" w:fill="D2EAF1"/>
          </w:tcPr>
          <w:p w:rsidR="00450725" w:rsidRPr="00F17578" w:rsidRDefault="00450725" w:rsidP="00D900B5">
            <w:pPr>
              <w:jc w:val="left"/>
              <w:rPr>
                <w:sz w:val="19"/>
                <w:szCs w:val="19"/>
              </w:rPr>
            </w:pPr>
            <w:r w:rsidRPr="00F17578">
              <w:rPr>
                <w:sz w:val="19"/>
                <w:szCs w:val="19"/>
              </w:rPr>
              <w:t>Not estimated; impact analysis accounts for FR and SO.</w:t>
            </w:r>
          </w:p>
        </w:tc>
        <w:tc>
          <w:tcPr>
            <w:tcW w:w="4632" w:type="dxa"/>
            <w:shd w:val="clear" w:color="auto" w:fill="D2EAF1"/>
          </w:tcPr>
          <w:p w:rsidR="00450725" w:rsidRPr="00F17578" w:rsidRDefault="00450725" w:rsidP="00D900B5">
            <w:pPr>
              <w:jc w:val="left"/>
              <w:rPr>
                <w:sz w:val="19"/>
                <w:szCs w:val="19"/>
              </w:rPr>
            </w:pPr>
            <w:r w:rsidRPr="00F17578">
              <w:rPr>
                <w:sz w:val="19"/>
                <w:szCs w:val="19"/>
              </w:rPr>
              <w:t>Navigant did not estimate NTGR, as the randomized control trial (RCT) approach to impact analysis results in net savings.</w:t>
            </w:r>
          </w:p>
        </w:tc>
      </w:tr>
    </w:tbl>
    <w:p w:rsidR="00450725" w:rsidRPr="006C05B5" w:rsidRDefault="00450725" w:rsidP="00450725"/>
    <w:p w:rsidR="00450725" w:rsidRPr="006C05B5" w:rsidRDefault="00823FE0" w:rsidP="00450725">
      <w:r>
        <w:fldChar w:fldCharType="begin"/>
      </w:r>
      <w:r>
        <w:instrText xml:space="preserve"> REF _Ref472471556 \h </w:instrText>
      </w:r>
      <w:r>
        <w:fldChar w:fldCharType="separate"/>
      </w:r>
      <w:r w:rsidR="00037CB4" w:rsidRPr="00B9149B">
        <w:t>Table A-</w:t>
      </w:r>
      <w:r w:rsidR="00037CB4">
        <w:rPr>
          <w:noProof/>
        </w:rPr>
        <w:t>22</w:t>
      </w:r>
      <w:r>
        <w:fldChar w:fldCharType="end"/>
      </w:r>
      <w:r w:rsidR="00450725" w:rsidRPr="006C05B5">
        <w:t xml:space="preserve"> summarizes NTG findings from the Duquesne annual report. </w:t>
      </w:r>
      <w:r w:rsidR="00C21C45">
        <w:t xml:space="preserve">The </w:t>
      </w:r>
      <w:r w:rsidR="00450725" w:rsidRPr="006C05B5">
        <w:t>NTG</w:t>
      </w:r>
      <w:r w:rsidR="00C21C45">
        <w:t>R</w:t>
      </w:r>
      <w:r w:rsidR="00450725" w:rsidRPr="006C05B5">
        <w:t xml:space="preserve"> was greatest for SEP and lowest for RARP.</w:t>
      </w:r>
    </w:p>
    <w:p w:rsidR="00450725" w:rsidRPr="006C05B5" w:rsidRDefault="00450725" w:rsidP="00450725">
      <w:pPr>
        <w:rPr>
          <w:highlight w:val="lightGray"/>
        </w:rPr>
      </w:pPr>
    </w:p>
    <w:p w:rsidR="00450725" w:rsidRPr="00B9149B" w:rsidRDefault="00823FE0" w:rsidP="004837FA">
      <w:pPr>
        <w:pStyle w:val="Caption"/>
      </w:pPr>
      <w:bookmarkStart w:id="617" w:name="_Ref472471556"/>
      <w:bookmarkStart w:id="618" w:name="_Toc409225006"/>
      <w:bookmarkStart w:id="619" w:name="_Toc409443558"/>
      <w:bookmarkStart w:id="620" w:name="_Toc444269731"/>
      <w:bookmarkStart w:id="621" w:name="_Toc472472431"/>
      <w:bookmarkStart w:id="622" w:name="_Toc488741850"/>
      <w:r w:rsidRPr="00B9149B">
        <w:t>Table A-</w:t>
      </w:r>
      <w:r w:rsidR="007973A4">
        <w:fldChar w:fldCharType="begin"/>
      </w:r>
      <w:r w:rsidR="007973A4">
        <w:instrText xml:space="preserve"> SEQ Table_A- \* ARABIC </w:instrText>
      </w:r>
      <w:r w:rsidR="007973A4">
        <w:fldChar w:fldCharType="separate"/>
      </w:r>
      <w:r w:rsidR="00037CB4">
        <w:rPr>
          <w:noProof/>
        </w:rPr>
        <w:t>22</w:t>
      </w:r>
      <w:r w:rsidR="007973A4">
        <w:rPr>
          <w:noProof/>
        </w:rPr>
        <w:fldChar w:fldCharType="end"/>
      </w:r>
      <w:bookmarkEnd w:id="617"/>
      <w:r w:rsidRPr="00B9149B">
        <w:t xml:space="preserve">: </w:t>
      </w:r>
      <w:r w:rsidR="00450725" w:rsidRPr="00B9149B">
        <w:t>Summary of NTG Estimates for Duquesne’s Residential Program</w:t>
      </w:r>
      <w:bookmarkEnd w:id="618"/>
      <w:bookmarkEnd w:id="619"/>
      <w:bookmarkEnd w:id="620"/>
      <w:r w:rsidR="00450725" w:rsidRPr="00B9149B">
        <w:t>s</w:t>
      </w:r>
      <w:bookmarkEnd w:id="621"/>
      <w:bookmarkEnd w:id="622"/>
    </w:p>
    <w:tbl>
      <w:tblPr>
        <w:tblW w:w="0" w:type="auto"/>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2"/>
        <w:gridCol w:w="3487"/>
        <w:gridCol w:w="1158"/>
        <w:gridCol w:w="1238"/>
        <w:gridCol w:w="1120"/>
        <w:gridCol w:w="1097"/>
      </w:tblGrid>
      <w:tr w:rsidR="00A874AC" w:rsidRPr="00F17578" w:rsidTr="00F17578">
        <w:trPr>
          <w:tblHeader/>
        </w:trPr>
        <w:tc>
          <w:tcPr>
            <w:tcW w:w="1142" w:type="dxa"/>
            <w:shd w:val="clear" w:color="auto" w:fill="448A99"/>
            <w:vAlign w:val="bottom"/>
          </w:tcPr>
          <w:p w:rsidR="00450725" w:rsidRPr="00F17578" w:rsidRDefault="00450725" w:rsidP="00D900B5">
            <w:pPr>
              <w:jc w:val="left"/>
              <w:rPr>
                <w:b/>
                <w:color w:val="FFFFFF"/>
                <w:sz w:val="19"/>
                <w:szCs w:val="19"/>
              </w:rPr>
            </w:pPr>
            <w:r w:rsidRPr="00F17578">
              <w:rPr>
                <w:b/>
                <w:color w:val="FFFFFF"/>
                <w:sz w:val="19"/>
                <w:szCs w:val="19"/>
              </w:rPr>
              <w:t>Approach</w:t>
            </w:r>
          </w:p>
        </w:tc>
        <w:tc>
          <w:tcPr>
            <w:tcW w:w="3487"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Program</w:t>
            </w:r>
          </w:p>
        </w:tc>
        <w:tc>
          <w:tcPr>
            <w:tcW w:w="1158"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Free-Ridership</w:t>
            </w:r>
          </w:p>
        </w:tc>
        <w:tc>
          <w:tcPr>
            <w:tcW w:w="1238"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Spillover</w:t>
            </w:r>
          </w:p>
        </w:tc>
        <w:tc>
          <w:tcPr>
            <w:tcW w:w="1120"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NTGR</w:t>
            </w:r>
            <w:r w:rsidRPr="00F17578">
              <w:rPr>
                <w:b/>
                <w:color w:val="FFFFFF"/>
                <w:sz w:val="19"/>
                <w:szCs w:val="19"/>
                <w:vertAlign w:val="superscript"/>
              </w:rPr>
              <w:t>[a]</w:t>
            </w:r>
          </w:p>
        </w:tc>
        <w:tc>
          <w:tcPr>
            <w:tcW w:w="1097"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Sample Size</w:t>
            </w:r>
            <w:r w:rsidRPr="00F17578">
              <w:rPr>
                <w:b/>
                <w:color w:val="FFFFFF"/>
                <w:sz w:val="19"/>
                <w:szCs w:val="19"/>
                <w:vertAlign w:val="superscript"/>
              </w:rPr>
              <w:t>[b]</w:t>
            </w:r>
          </w:p>
        </w:tc>
      </w:tr>
      <w:tr w:rsidR="00A874AC" w:rsidRPr="00F17578" w:rsidTr="00F17578">
        <w:trPr>
          <w:trHeight w:val="346"/>
        </w:trPr>
        <w:tc>
          <w:tcPr>
            <w:tcW w:w="1142" w:type="dxa"/>
            <w:vMerge w:val="restart"/>
            <w:shd w:val="clear" w:color="auto" w:fill="D2EAF1"/>
          </w:tcPr>
          <w:p w:rsidR="00450725" w:rsidRPr="00F17578" w:rsidRDefault="00450725" w:rsidP="00D900B5">
            <w:pPr>
              <w:jc w:val="left"/>
              <w:rPr>
                <w:sz w:val="19"/>
                <w:szCs w:val="19"/>
              </w:rPr>
            </w:pPr>
            <w:r w:rsidRPr="00F17578">
              <w:rPr>
                <w:sz w:val="19"/>
                <w:szCs w:val="19"/>
              </w:rPr>
              <w:t>Estimated</w:t>
            </w:r>
          </w:p>
        </w:tc>
        <w:tc>
          <w:tcPr>
            <w:tcW w:w="3487" w:type="dxa"/>
            <w:shd w:val="clear" w:color="auto" w:fill="D2EAF1"/>
            <w:vAlign w:val="center"/>
          </w:tcPr>
          <w:p w:rsidR="00450725" w:rsidRPr="00F17578" w:rsidRDefault="00450725" w:rsidP="00D900B5">
            <w:pPr>
              <w:jc w:val="left"/>
              <w:rPr>
                <w:sz w:val="19"/>
                <w:szCs w:val="19"/>
              </w:rPr>
            </w:pPr>
            <w:r w:rsidRPr="00F17578">
              <w:rPr>
                <w:sz w:val="19"/>
                <w:szCs w:val="19"/>
              </w:rPr>
              <w:t>Residential Energy Efficiency Program (REEP)</w:t>
            </w:r>
          </w:p>
        </w:tc>
        <w:tc>
          <w:tcPr>
            <w:tcW w:w="1158" w:type="dxa"/>
            <w:shd w:val="clear" w:color="auto" w:fill="D2EAF1"/>
          </w:tcPr>
          <w:p w:rsidR="00450725" w:rsidRPr="00F17578" w:rsidRDefault="00450725" w:rsidP="00D900B5">
            <w:pPr>
              <w:jc w:val="center"/>
              <w:rPr>
                <w:sz w:val="19"/>
                <w:szCs w:val="19"/>
              </w:rPr>
            </w:pPr>
            <w:r w:rsidRPr="00F17578">
              <w:rPr>
                <w:sz w:val="19"/>
                <w:szCs w:val="19"/>
              </w:rPr>
              <w:t>0.54</w:t>
            </w:r>
          </w:p>
        </w:tc>
        <w:tc>
          <w:tcPr>
            <w:tcW w:w="1238" w:type="dxa"/>
            <w:shd w:val="clear" w:color="auto" w:fill="D2EAF1"/>
          </w:tcPr>
          <w:p w:rsidR="00450725" w:rsidRPr="00F17578" w:rsidRDefault="00450725" w:rsidP="00D900B5">
            <w:pPr>
              <w:jc w:val="center"/>
              <w:rPr>
                <w:sz w:val="19"/>
                <w:szCs w:val="19"/>
              </w:rPr>
            </w:pPr>
            <w:r w:rsidRPr="00F17578">
              <w:rPr>
                <w:sz w:val="19"/>
                <w:szCs w:val="19"/>
              </w:rPr>
              <w:t>0.23</w:t>
            </w:r>
          </w:p>
        </w:tc>
        <w:tc>
          <w:tcPr>
            <w:tcW w:w="1120" w:type="dxa"/>
            <w:shd w:val="clear" w:color="auto" w:fill="D2EAF1"/>
          </w:tcPr>
          <w:p w:rsidR="00450725" w:rsidRPr="00F17578" w:rsidRDefault="00450725" w:rsidP="00D900B5">
            <w:pPr>
              <w:jc w:val="center"/>
              <w:rPr>
                <w:sz w:val="19"/>
                <w:szCs w:val="19"/>
              </w:rPr>
            </w:pPr>
            <w:r w:rsidRPr="00F17578">
              <w:rPr>
                <w:sz w:val="19"/>
                <w:szCs w:val="19"/>
              </w:rPr>
              <w:t>0.69</w:t>
            </w:r>
          </w:p>
        </w:tc>
        <w:tc>
          <w:tcPr>
            <w:tcW w:w="1097" w:type="dxa"/>
            <w:shd w:val="clear" w:color="auto" w:fill="D2EAF1"/>
          </w:tcPr>
          <w:p w:rsidR="00450725" w:rsidRPr="00F17578" w:rsidRDefault="00450725" w:rsidP="00D900B5">
            <w:pPr>
              <w:jc w:val="center"/>
              <w:rPr>
                <w:sz w:val="19"/>
                <w:szCs w:val="19"/>
              </w:rPr>
            </w:pPr>
            <w:r w:rsidRPr="00F17578">
              <w:rPr>
                <w:sz w:val="19"/>
                <w:szCs w:val="19"/>
              </w:rPr>
              <w:t>99</w:t>
            </w:r>
          </w:p>
        </w:tc>
      </w:tr>
      <w:tr w:rsidR="00450725" w:rsidRPr="00F17578" w:rsidTr="00F17578">
        <w:trPr>
          <w:trHeight w:val="346"/>
        </w:trPr>
        <w:tc>
          <w:tcPr>
            <w:tcW w:w="1142" w:type="dxa"/>
            <w:vMerge/>
          </w:tcPr>
          <w:p w:rsidR="00450725" w:rsidRPr="00F17578" w:rsidRDefault="00450725" w:rsidP="00D900B5">
            <w:pPr>
              <w:jc w:val="left"/>
              <w:rPr>
                <w:sz w:val="19"/>
                <w:szCs w:val="19"/>
              </w:rPr>
            </w:pPr>
          </w:p>
        </w:tc>
        <w:tc>
          <w:tcPr>
            <w:tcW w:w="3487" w:type="dxa"/>
            <w:vAlign w:val="center"/>
          </w:tcPr>
          <w:p w:rsidR="00450725" w:rsidRPr="00F17578" w:rsidRDefault="00450725" w:rsidP="00D900B5">
            <w:pPr>
              <w:jc w:val="left"/>
              <w:rPr>
                <w:sz w:val="19"/>
                <w:szCs w:val="19"/>
              </w:rPr>
            </w:pPr>
            <w:r w:rsidRPr="00F17578">
              <w:rPr>
                <w:sz w:val="19"/>
                <w:szCs w:val="19"/>
              </w:rPr>
              <w:t>Residential Appliance Recycling Program (RARP)</w:t>
            </w:r>
          </w:p>
        </w:tc>
        <w:tc>
          <w:tcPr>
            <w:tcW w:w="1158" w:type="dxa"/>
          </w:tcPr>
          <w:p w:rsidR="00450725" w:rsidRPr="00F17578" w:rsidRDefault="00450725" w:rsidP="00D900B5">
            <w:pPr>
              <w:jc w:val="center"/>
              <w:rPr>
                <w:sz w:val="19"/>
                <w:szCs w:val="19"/>
              </w:rPr>
            </w:pPr>
            <w:r w:rsidRPr="00F17578">
              <w:rPr>
                <w:sz w:val="19"/>
                <w:szCs w:val="19"/>
              </w:rPr>
              <w:t>0.72</w:t>
            </w:r>
          </w:p>
        </w:tc>
        <w:tc>
          <w:tcPr>
            <w:tcW w:w="1238" w:type="dxa"/>
          </w:tcPr>
          <w:p w:rsidR="00450725" w:rsidRPr="00F17578" w:rsidRDefault="00450725" w:rsidP="00D900B5">
            <w:pPr>
              <w:jc w:val="center"/>
              <w:rPr>
                <w:sz w:val="19"/>
                <w:szCs w:val="19"/>
              </w:rPr>
            </w:pPr>
            <w:r w:rsidRPr="00F17578">
              <w:rPr>
                <w:sz w:val="19"/>
                <w:szCs w:val="19"/>
              </w:rPr>
              <w:t>0.04</w:t>
            </w:r>
          </w:p>
        </w:tc>
        <w:tc>
          <w:tcPr>
            <w:tcW w:w="1120" w:type="dxa"/>
          </w:tcPr>
          <w:p w:rsidR="00450725" w:rsidRPr="00F17578" w:rsidRDefault="00450725" w:rsidP="00D900B5">
            <w:pPr>
              <w:jc w:val="center"/>
              <w:rPr>
                <w:sz w:val="19"/>
                <w:szCs w:val="19"/>
              </w:rPr>
            </w:pPr>
            <w:r w:rsidRPr="00F17578">
              <w:rPr>
                <w:sz w:val="19"/>
                <w:szCs w:val="19"/>
              </w:rPr>
              <w:t>0.32</w:t>
            </w:r>
          </w:p>
        </w:tc>
        <w:tc>
          <w:tcPr>
            <w:tcW w:w="1097" w:type="dxa"/>
          </w:tcPr>
          <w:p w:rsidR="00450725" w:rsidRPr="00F17578" w:rsidRDefault="00450725" w:rsidP="00D900B5">
            <w:pPr>
              <w:jc w:val="center"/>
              <w:rPr>
                <w:sz w:val="19"/>
                <w:szCs w:val="19"/>
              </w:rPr>
            </w:pPr>
            <w:r w:rsidRPr="00F17578">
              <w:rPr>
                <w:sz w:val="19"/>
                <w:szCs w:val="19"/>
              </w:rPr>
              <w:t>109</w:t>
            </w:r>
          </w:p>
        </w:tc>
      </w:tr>
      <w:tr w:rsidR="00A874AC" w:rsidRPr="00F17578" w:rsidTr="00F17578">
        <w:trPr>
          <w:trHeight w:val="346"/>
        </w:trPr>
        <w:tc>
          <w:tcPr>
            <w:tcW w:w="1142" w:type="dxa"/>
            <w:vMerge/>
          </w:tcPr>
          <w:p w:rsidR="00450725" w:rsidRPr="00F17578" w:rsidRDefault="00450725" w:rsidP="00D900B5">
            <w:pPr>
              <w:jc w:val="left"/>
              <w:rPr>
                <w:sz w:val="19"/>
                <w:szCs w:val="19"/>
              </w:rPr>
            </w:pPr>
          </w:p>
        </w:tc>
        <w:tc>
          <w:tcPr>
            <w:tcW w:w="3487" w:type="dxa"/>
            <w:shd w:val="clear" w:color="auto" w:fill="D2EAF1"/>
            <w:vAlign w:val="center"/>
          </w:tcPr>
          <w:p w:rsidR="00450725" w:rsidRPr="00F17578" w:rsidRDefault="00450725" w:rsidP="00D900B5">
            <w:pPr>
              <w:jc w:val="left"/>
              <w:rPr>
                <w:sz w:val="19"/>
                <w:szCs w:val="19"/>
              </w:rPr>
            </w:pPr>
            <w:r w:rsidRPr="00F17578">
              <w:rPr>
                <w:sz w:val="19"/>
                <w:szCs w:val="19"/>
              </w:rPr>
              <w:t>School Energy Pledge Program (SEP)</w:t>
            </w:r>
          </w:p>
        </w:tc>
        <w:tc>
          <w:tcPr>
            <w:tcW w:w="1158" w:type="dxa"/>
            <w:shd w:val="clear" w:color="auto" w:fill="D2EAF1"/>
          </w:tcPr>
          <w:p w:rsidR="00450725" w:rsidRPr="00F17578" w:rsidRDefault="00450725" w:rsidP="00D900B5">
            <w:pPr>
              <w:jc w:val="center"/>
              <w:rPr>
                <w:sz w:val="19"/>
                <w:szCs w:val="19"/>
              </w:rPr>
            </w:pPr>
            <w:r w:rsidRPr="00F17578">
              <w:rPr>
                <w:sz w:val="19"/>
                <w:szCs w:val="19"/>
              </w:rPr>
              <w:t>0.31</w:t>
            </w:r>
          </w:p>
        </w:tc>
        <w:tc>
          <w:tcPr>
            <w:tcW w:w="1238" w:type="dxa"/>
            <w:shd w:val="clear" w:color="auto" w:fill="D2EAF1"/>
          </w:tcPr>
          <w:p w:rsidR="00450725" w:rsidRPr="00F17578" w:rsidRDefault="00450725" w:rsidP="00D900B5">
            <w:pPr>
              <w:jc w:val="center"/>
              <w:rPr>
                <w:sz w:val="19"/>
                <w:szCs w:val="19"/>
              </w:rPr>
            </w:pPr>
            <w:r w:rsidRPr="00F17578">
              <w:rPr>
                <w:sz w:val="19"/>
                <w:szCs w:val="19"/>
              </w:rPr>
              <w:t>0.19</w:t>
            </w:r>
          </w:p>
        </w:tc>
        <w:tc>
          <w:tcPr>
            <w:tcW w:w="1120" w:type="dxa"/>
            <w:shd w:val="clear" w:color="auto" w:fill="D2EAF1"/>
          </w:tcPr>
          <w:p w:rsidR="00450725" w:rsidRPr="00F17578" w:rsidRDefault="00450725" w:rsidP="00D900B5">
            <w:pPr>
              <w:jc w:val="center"/>
              <w:rPr>
                <w:sz w:val="19"/>
                <w:szCs w:val="19"/>
              </w:rPr>
            </w:pPr>
            <w:r w:rsidRPr="00F17578">
              <w:rPr>
                <w:sz w:val="19"/>
                <w:szCs w:val="19"/>
              </w:rPr>
              <w:t>0.87</w:t>
            </w:r>
          </w:p>
        </w:tc>
        <w:tc>
          <w:tcPr>
            <w:tcW w:w="1097" w:type="dxa"/>
            <w:shd w:val="clear" w:color="auto" w:fill="D2EAF1"/>
          </w:tcPr>
          <w:p w:rsidR="00450725" w:rsidRPr="00F17578" w:rsidRDefault="00450725" w:rsidP="00D900B5">
            <w:pPr>
              <w:jc w:val="center"/>
              <w:rPr>
                <w:sz w:val="19"/>
                <w:szCs w:val="19"/>
              </w:rPr>
            </w:pPr>
            <w:r w:rsidRPr="00F17578">
              <w:rPr>
                <w:sz w:val="19"/>
                <w:szCs w:val="19"/>
              </w:rPr>
              <w:t>27</w:t>
            </w:r>
          </w:p>
        </w:tc>
      </w:tr>
      <w:tr w:rsidR="00E7173E" w:rsidRPr="00F17578" w:rsidTr="00F17578">
        <w:trPr>
          <w:trHeight w:val="346"/>
        </w:trPr>
        <w:tc>
          <w:tcPr>
            <w:tcW w:w="1142" w:type="dxa"/>
            <w:vMerge/>
          </w:tcPr>
          <w:p w:rsidR="00450725" w:rsidRPr="00F17578" w:rsidRDefault="00450725" w:rsidP="00D900B5">
            <w:pPr>
              <w:jc w:val="left"/>
              <w:rPr>
                <w:sz w:val="19"/>
                <w:szCs w:val="19"/>
              </w:rPr>
            </w:pPr>
          </w:p>
        </w:tc>
        <w:tc>
          <w:tcPr>
            <w:tcW w:w="3487" w:type="dxa"/>
            <w:shd w:val="clear" w:color="auto" w:fill="auto"/>
            <w:vAlign w:val="center"/>
          </w:tcPr>
          <w:p w:rsidR="00450725" w:rsidRPr="00F17578" w:rsidDel="00AC52AD" w:rsidRDefault="00450725" w:rsidP="00D900B5">
            <w:pPr>
              <w:jc w:val="left"/>
              <w:rPr>
                <w:sz w:val="19"/>
                <w:szCs w:val="19"/>
              </w:rPr>
            </w:pPr>
            <w:r w:rsidRPr="00F17578">
              <w:rPr>
                <w:sz w:val="19"/>
                <w:szCs w:val="19"/>
              </w:rPr>
              <w:t>Whole House Energy Audit Program (WHEAP)</w:t>
            </w:r>
          </w:p>
        </w:tc>
        <w:tc>
          <w:tcPr>
            <w:tcW w:w="1158" w:type="dxa"/>
            <w:shd w:val="clear" w:color="auto" w:fill="auto"/>
          </w:tcPr>
          <w:p w:rsidR="00450725" w:rsidRPr="00F17578" w:rsidRDefault="00450725" w:rsidP="00D900B5">
            <w:pPr>
              <w:jc w:val="center"/>
              <w:rPr>
                <w:sz w:val="19"/>
                <w:szCs w:val="19"/>
              </w:rPr>
            </w:pPr>
            <w:r w:rsidRPr="00F17578">
              <w:rPr>
                <w:sz w:val="19"/>
                <w:szCs w:val="19"/>
              </w:rPr>
              <w:t>0.33</w:t>
            </w:r>
          </w:p>
        </w:tc>
        <w:tc>
          <w:tcPr>
            <w:tcW w:w="1238" w:type="dxa"/>
            <w:shd w:val="clear" w:color="auto" w:fill="auto"/>
          </w:tcPr>
          <w:p w:rsidR="00450725" w:rsidRPr="00F17578" w:rsidRDefault="00450725" w:rsidP="00D900B5">
            <w:pPr>
              <w:jc w:val="center"/>
              <w:rPr>
                <w:sz w:val="19"/>
                <w:szCs w:val="19"/>
              </w:rPr>
            </w:pPr>
            <w:r w:rsidRPr="00F17578">
              <w:rPr>
                <w:sz w:val="19"/>
                <w:szCs w:val="19"/>
              </w:rPr>
              <w:t>0.06</w:t>
            </w:r>
          </w:p>
        </w:tc>
        <w:tc>
          <w:tcPr>
            <w:tcW w:w="1120" w:type="dxa"/>
            <w:shd w:val="clear" w:color="auto" w:fill="auto"/>
          </w:tcPr>
          <w:p w:rsidR="00450725" w:rsidRPr="00F17578" w:rsidRDefault="00450725" w:rsidP="00D900B5">
            <w:pPr>
              <w:jc w:val="center"/>
              <w:rPr>
                <w:sz w:val="19"/>
                <w:szCs w:val="19"/>
              </w:rPr>
            </w:pPr>
            <w:r w:rsidRPr="00F17578">
              <w:rPr>
                <w:sz w:val="19"/>
                <w:szCs w:val="19"/>
              </w:rPr>
              <w:t>0.73</w:t>
            </w:r>
          </w:p>
        </w:tc>
        <w:tc>
          <w:tcPr>
            <w:tcW w:w="1097" w:type="dxa"/>
            <w:shd w:val="clear" w:color="auto" w:fill="auto"/>
            <w:vAlign w:val="center"/>
          </w:tcPr>
          <w:p w:rsidR="00450725" w:rsidRPr="00F17578" w:rsidRDefault="00450725" w:rsidP="00D900B5">
            <w:pPr>
              <w:jc w:val="center"/>
              <w:rPr>
                <w:sz w:val="19"/>
                <w:szCs w:val="19"/>
              </w:rPr>
            </w:pPr>
            <w:r w:rsidRPr="00F17578">
              <w:rPr>
                <w:sz w:val="19"/>
                <w:szCs w:val="19"/>
              </w:rPr>
              <w:t>22</w:t>
            </w:r>
          </w:p>
        </w:tc>
      </w:tr>
      <w:tr w:rsidR="00E7173E" w:rsidRPr="00F17578" w:rsidTr="00F17578">
        <w:trPr>
          <w:trHeight w:val="346"/>
        </w:trPr>
        <w:tc>
          <w:tcPr>
            <w:tcW w:w="1142" w:type="dxa"/>
          </w:tcPr>
          <w:p w:rsidR="00450725" w:rsidRPr="00F17578" w:rsidRDefault="00450725" w:rsidP="00D900B5">
            <w:pPr>
              <w:jc w:val="left"/>
              <w:rPr>
                <w:sz w:val="19"/>
                <w:szCs w:val="19"/>
              </w:rPr>
            </w:pPr>
            <w:r w:rsidRPr="00F17578">
              <w:rPr>
                <w:sz w:val="19"/>
                <w:szCs w:val="19"/>
              </w:rPr>
              <w:t>Not calculated</w:t>
            </w:r>
          </w:p>
        </w:tc>
        <w:tc>
          <w:tcPr>
            <w:tcW w:w="3487" w:type="dxa"/>
            <w:shd w:val="clear" w:color="auto" w:fill="auto"/>
            <w:vAlign w:val="center"/>
          </w:tcPr>
          <w:p w:rsidR="00450725" w:rsidRPr="00F17578" w:rsidRDefault="00450725" w:rsidP="00D900B5">
            <w:pPr>
              <w:jc w:val="left"/>
              <w:rPr>
                <w:sz w:val="19"/>
                <w:szCs w:val="19"/>
              </w:rPr>
            </w:pPr>
            <w:r w:rsidRPr="00F17578">
              <w:rPr>
                <w:sz w:val="19"/>
                <w:szCs w:val="19"/>
              </w:rPr>
              <w:t>Residential Home Energy</w:t>
            </w:r>
          </w:p>
          <w:p w:rsidR="00450725" w:rsidRPr="00F17578" w:rsidRDefault="00450725" w:rsidP="00D900B5">
            <w:pPr>
              <w:jc w:val="left"/>
              <w:rPr>
                <w:sz w:val="19"/>
                <w:szCs w:val="19"/>
              </w:rPr>
            </w:pPr>
            <w:r w:rsidRPr="00F17578">
              <w:rPr>
                <w:sz w:val="19"/>
                <w:szCs w:val="19"/>
              </w:rPr>
              <w:t>Report (HER) Program</w:t>
            </w:r>
          </w:p>
        </w:tc>
        <w:tc>
          <w:tcPr>
            <w:tcW w:w="1158" w:type="dxa"/>
            <w:shd w:val="clear" w:color="auto" w:fill="auto"/>
          </w:tcPr>
          <w:p w:rsidR="00450725" w:rsidRPr="00F17578" w:rsidRDefault="00450725" w:rsidP="00D900B5">
            <w:pPr>
              <w:jc w:val="center"/>
              <w:rPr>
                <w:sz w:val="19"/>
                <w:szCs w:val="19"/>
              </w:rPr>
            </w:pPr>
            <w:r w:rsidRPr="00F17578">
              <w:rPr>
                <w:sz w:val="19"/>
                <w:szCs w:val="19"/>
              </w:rPr>
              <w:t>N/A</w:t>
            </w:r>
          </w:p>
        </w:tc>
        <w:tc>
          <w:tcPr>
            <w:tcW w:w="1238" w:type="dxa"/>
            <w:shd w:val="clear" w:color="auto" w:fill="auto"/>
          </w:tcPr>
          <w:p w:rsidR="00450725" w:rsidRPr="00F17578" w:rsidRDefault="00450725" w:rsidP="00D900B5">
            <w:pPr>
              <w:jc w:val="center"/>
              <w:rPr>
                <w:sz w:val="19"/>
                <w:szCs w:val="19"/>
              </w:rPr>
            </w:pPr>
            <w:r w:rsidRPr="00F17578">
              <w:rPr>
                <w:sz w:val="19"/>
                <w:szCs w:val="19"/>
              </w:rPr>
              <w:t>N/A</w:t>
            </w:r>
          </w:p>
        </w:tc>
        <w:tc>
          <w:tcPr>
            <w:tcW w:w="1120" w:type="dxa"/>
            <w:shd w:val="clear" w:color="auto" w:fill="auto"/>
          </w:tcPr>
          <w:p w:rsidR="00450725" w:rsidRPr="00F17578" w:rsidRDefault="00450725" w:rsidP="00D900B5">
            <w:pPr>
              <w:jc w:val="center"/>
              <w:rPr>
                <w:sz w:val="19"/>
                <w:szCs w:val="19"/>
              </w:rPr>
            </w:pPr>
            <w:r w:rsidRPr="00F17578">
              <w:rPr>
                <w:sz w:val="19"/>
                <w:szCs w:val="19"/>
              </w:rPr>
              <w:t>N/A</w:t>
            </w:r>
          </w:p>
        </w:tc>
        <w:tc>
          <w:tcPr>
            <w:tcW w:w="1097" w:type="dxa"/>
            <w:shd w:val="clear" w:color="auto" w:fill="auto"/>
          </w:tcPr>
          <w:p w:rsidR="00450725" w:rsidRPr="00F17578" w:rsidDel="00441F9D" w:rsidRDefault="00450725" w:rsidP="00D900B5">
            <w:pPr>
              <w:jc w:val="center"/>
              <w:rPr>
                <w:sz w:val="19"/>
                <w:szCs w:val="19"/>
              </w:rPr>
            </w:pPr>
            <w:r w:rsidRPr="00F17578">
              <w:rPr>
                <w:sz w:val="19"/>
                <w:szCs w:val="19"/>
              </w:rPr>
              <w:t>N/A</w:t>
            </w:r>
          </w:p>
        </w:tc>
      </w:tr>
      <w:tr w:rsidR="00E7173E" w:rsidRPr="004F3A51" w:rsidTr="00F17578">
        <w:tc>
          <w:tcPr>
            <w:tcW w:w="9242" w:type="dxa"/>
            <w:gridSpan w:val="6"/>
            <w:shd w:val="clear" w:color="auto" w:fill="448A99"/>
          </w:tcPr>
          <w:p w:rsidR="00450725" w:rsidRPr="004F3A51" w:rsidRDefault="00450725" w:rsidP="00D900B5">
            <w:pPr>
              <w:jc w:val="left"/>
              <w:rPr>
                <w:color w:val="FFFFFF"/>
                <w:sz w:val="18"/>
                <w:szCs w:val="19"/>
              </w:rPr>
            </w:pPr>
            <w:r w:rsidRPr="004F3A51">
              <w:rPr>
                <w:color w:val="FFFFFF"/>
                <w:sz w:val="18"/>
                <w:szCs w:val="19"/>
              </w:rPr>
              <w:t>NOTES</w:t>
            </w:r>
            <w:r w:rsidR="00EA0C08" w:rsidRPr="004F3A51">
              <w:rPr>
                <w:color w:val="FFFFFF"/>
                <w:sz w:val="18"/>
                <w:szCs w:val="19"/>
              </w:rPr>
              <w:t>:</w:t>
            </w:r>
          </w:p>
          <w:p w:rsidR="00450725" w:rsidRPr="004F3A51" w:rsidRDefault="00450725" w:rsidP="00D900B5">
            <w:pPr>
              <w:jc w:val="left"/>
              <w:rPr>
                <w:color w:val="FFFFFF"/>
                <w:sz w:val="18"/>
                <w:szCs w:val="19"/>
              </w:rPr>
            </w:pPr>
            <w:r w:rsidRPr="004F3A51">
              <w:rPr>
                <w:color w:val="FFFFFF"/>
                <w:sz w:val="18"/>
                <w:szCs w:val="19"/>
                <w:vertAlign w:val="superscript"/>
              </w:rPr>
              <w:t>[a]</w:t>
            </w:r>
            <w:r w:rsidRPr="004F3A51">
              <w:rPr>
                <w:bCs/>
                <w:color w:val="FFFFFF"/>
                <w:sz w:val="18"/>
                <w:szCs w:val="19"/>
              </w:rPr>
              <w:t xml:space="preserve"> </w:t>
            </w:r>
            <w:r w:rsidRPr="004F3A51">
              <w:rPr>
                <w:color w:val="FFFFFF"/>
                <w:sz w:val="18"/>
                <w:szCs w:val="19"/>
              </w:rPr>
              <w:t xml:space="preserve">NTGR = 1 – free-ridership + spillover. In some cases, the NTGR shown in the table may not equal exactly 1 – </w:t>
            </w:r>
            <w:r w:rsidRPr="004F3A51">
              <w:rPr>
                <w:rFonts w:eastAsia="Calibri"/>
                <w:color w:val="FFFFFF"/>
                <w:sz w:val="18"/>
                <w:szCs w:val="19"/>
              </w:rPr>
              <w:t>free-ridership + spillover</w:t>
            </w:r>
            <w:r w:rsidRPr="004F3A51">
              <w:rPr>
                <w:color w:val="FFFFFF"/>
                <w:sz w:val="18"/>
                <w:szCs w:val="19"/>
              </w:rPr>
              <w:t xml:space="preserve"> because of rounding.</w:t>
            </w:r>
          </w:p>
          <w:p w:rsidR="00450725" w:rsidRPr="004F3A51" w:rsidRDefault="00450725" w:rsidP="00D900B5">
            <w:pPr>
              <w:jc w:val="left"/>
              <w:rPr>
                <w:color w:val="FFFFFF"/>
                <w:sz w:val="18"/>
                <w:szCs w:val="19"/>
              </w:rPr>
            </w:pPr>
            <w:r w:rsidRPr="004F3A51">
              <w:rPr>
                <w:color w:val="FFFFFF"/>
                <w:sz w:val="18"/>
                <w:szCs w:val="19"/>
                <w:vertAlign w:val="superscript"/>
              </w:rPr>
              <w:t>[b]</w:t>
            </w:r>
            <w:r w:rsidRPr="004F3A51">
              <w:rPr>
                <w:color w:val="FFFFFF"/>
                <w:sz w:val="18"/>
                <w:szCs w:val="19"/>
              </w:rPr>
              <w:t xml:space="preserve"> The sample sizes provided at least 85/15 confidence/precision. </w:t>
            </w:r>
          </w:p>
        </w:tc>
      </w:tr>
    </w:tbl>
    <w:p w:rsidR="00450725" w:rsidRPr="006C05B5" w:rsidRDefault="00450725" w:rsidP="00450725"/>
    <w:p w:rsidR="00450725" w:rsidRDefault="00450725" w:rsidP="0055598C">
      <w:pPr>
        <w:pStyle w:val="AppendixAHeading4"/>
      </w:pPr>
      <w:r>
        <w:t>Low-Income Residential Programs</w:t>
      </w:r>
    </w:p>
    <w:p w:rsidR="00450725" w:rsidRPr="006C05B5" w:rsidRDefault="00450725" w:rsidP="00450725">
      <w:pPr>
        <w:rPr>
          <w:highlight w:val="lightGray"/>
        </w:rPr>
      </w:pPr>
      <w:r w:rsidRPr="006C05B5">
        <w:t>LIEEP participants were low-income participants within each of the residential programs described above (</w:t>
      </w:r>
      <w:r w:rsidR="001A5B6F">
        <w:t xml:space="preserve">see </w:t>
      </w:r>
      <w:r w:rsidRPr="006C05B5">
        <w:t>Section</w:t>
      </w:r>
      <w:r w:rsidR="00923DBC">
        <w:t xml:space="preserve"> </w:t>
      </w:r>
      <w:r w:rsidR="00923DBC">
        <w:fldChar w:fldCharType="begin"/>
      </w:r>
      <w:r w:rsidR="00923DBC">
        <w:instrText xml:space="preserve"> REF _Ref473209494 \r \h </w:instrText>
      </w:r>
      <w:r w:rsidR="00923DBC">
        <w:fldChar w:fldCharType="separate"/>
      </w:r>
      <w:r w:rsidR="00037CB4">
        <w:t>A.1.4.4.1</w:t>
      </w:r>
      <w:r w:rsidR="00923DBC">
        <w:fldChar w:fldCharType="end"/>
      </w:r>
      <w:r w:rsidRPr="006C05B5">
        <w:t xml:space="preserve">). Therefore, the comments in </w:t>
      </w:r>
      <w:r w:rsidR="00A04A88" w:rsidRPr="006C05B5">
        <w:t>Section</w:t>
      </w:r>
      <w:r w:rsidR="00A04A88">
        <w:t xml:space="preserve"> </w:t>
      </w:r>
      <w:r w:rsidR="00A04A88">
        <w:fldChar w:fldCharType="begin"/>
      </w:r>
      <w:r w:rsidR="00A04A88">
        <w:instrText xml:space="preserve"> REF _Ref473209494 \r \h </w:instrText>
      </w:r>
      <w:r w:rsidR="00A04A88">
        <w:fldChar w:fldCharType="separate"/>
      </w:r>
      <w:r w:rsidR="00037CB4">
        <w:t>A.1.4.4.1</w:t>
      </w:r>
      <w:r w:rsidR="00A04A88">
        <w:fldChar w:fldCharType="end"/>
      </w:r>
      <w:r w:rsidR="00A04A88">
        <w:t xml:space="preserve"> </w:t>
      </w:r>
      <w:r w:rsidRPr="006C05B5">
        <w:t xml:space="preserve">also apply here. </w:t>
      </w:r>
    </w:p>
    <w:p w:rsidR="001C391A" w:rsidRDefault="001C391A" w:rsidP="00450725"/>
    <w:p w:rsidR="00450725" w:rsidRPr="006C05B5" w:rsidRDefault="001C391A" w:rsidP="00450725">
      <w:r>
        <w:fldChar w:fldCharType="begin"/>
      </w:r>
      <w:r>
        <w:instrText xml:space="preserve"> REF _Ref473715203 \h </w:instrText>
      </w:r>
      <w:r>
        <w:fldChar w:fldCharType="separate"/>
      </w:r>
      <w:r w:rsidR="00037CB4" w:rsidRPr="00823FE0">
        <w:t>Table A-</w:t>
      </w:r>
      <w:r w:rsidR="00037CB4">
        <w:rPr>
          <w:noProof/>
        </w:rPr>
        <w:t>23</w:t>
      </w:r>
      <w:r>
        <w:fldChar w:fldCharType="end"/>
      </w:r>
      <w:r>
        <w:t xml:space="preserve"> </w:t>
      </w:r>
      <w:r w:rsidR="00450725" w:rsidRPr="006C05B5">
        <w:t>summarizes the SWE Team’s review of the low-income NTG activities. The SWE Team found Navigant’s description of the NTG methods to be relatively clear and the application of the SWE common methods to be error-free.</w:t>
      </w:r>
      <w:bookmarkStart w:id="623" w:name="_Ref408849672"/>
      <w:bookmarkStart w:id="624" w:name="_Toc409225007"/>
      <w:bookmarkStart w:id="625" w:name="_Toc409443559"/>
      <w:r w:rsidR="00450725" w:rsidRPr="006C05B5">
        <w:t xml:space="preserve"> However, the SWE Team’s review of Navigant’s NTG data files revealed some reporting errors, which Navigant confirmed via email. </w:t>
      </w:r>
      <w:r w:rsidR="00F143C0">
        <w:fldChar w:fldCharType="begin"/>
      </w:r>
      <w:r w:rsidR="00F143C0">
        <w:instrText xml:space="preserve"> REF _Ref472471640 \h </w:instrText>
      </w:r>
      <w:r w:rsidR="00F143C0">
        <w:fldChar w:fldCharType="separate"/>
      </w:r>
      <w:r w:rsidR="00037CB4" w:rsidRPr="00823FE0">
        <w:t>Table A-</w:t>
      </w:r>
      <w:r w:rsidR="00037CB4">
        <w:rPr>
          <w:noProof/>
        </w:rPr>
        <w:t>24</w:t>
      </w:r>
      <w:r w:rsidR="00F143C0">
        <w:fldChar w:fldCharType="end"/>
      </w:r>
      <w:r w:rsidR="00F143C0">
        <w:t xml:space="preserve"> </w:t>
      </w:r>
      <w:r w:rsidR="00450725" w:rsidRPr="006C05B5">
        <w:t>shows the corrected values.</w:t>
      </w:r>
    </w:p>
    <w:p w:rsidR="001C391A" w:rsidRPr="00F17578" w:rsidRDefault="001C391A" w:rsidP="00F17578">
      <w:bookmarkStart w:id="626" w:name="_Ref472471609"/>
      <w:bookmarkStart w:id="627" w:name="_Toc444269732"/>
      <w:bookmarkStart w:id="628" w:name="_Toc472472432"/>
      <w:bookmarkEnd w:id="623"/>
    </w:p>
    <w:p w:rsidR="00450725" w:rsidRPr="00823FE0" w:rsidRDefault="00823FE0" w:rsidP="004837FA">
      <w:pPr>
        <w:pStyle w:val="Caption"/>
      </w:pPr>
      <w:bookmarkStart w:id="629" w:name="_Ref473715203"/>
      <w:bookmarkStart w:id="630" w:name="_Toc488741851"/>
      <w:r w:rsidRPr="00823FE0">
        <w:t>Table A-</w:t>
      </w:r>
      <w:r w:rsidR="007973A4">
        <w:fldChar w:fldCharType="begin"/>
      </w:r>
      <w:r w:rsidR="007973A4">
        <w:instrText xml:space="preserve"> SEQ Table_A- \* ARABIC </w:instrText>
      </w:r>
      <w:r w:rsidR="007973A4">
        <w:fldChar w:fldCharType="separate"/>
      </w:r>
      <w:r w:rsidR="00037CB4">
        <w:rPr>
          <w:noProof/>
        </w:rPr>
        <w:t>23</w:t>
      </w:r>
      <w:r w:rsidR="007973A4">
        <w:rPr>
          <w:noProof/>
        </w:rPr>
        <w:fldChar w:fldCharType="end"/>
      </w:r>
      <w:bookmarkEnd w:id="626"/>
      <w:bookmarkEnd w:id="629"/>
      <w:r w:rsidRPr="00823FE0">
        <w:t xml:space="preserve">: </w:t>
      </w:r>
      <w:r w:rsidR="00450725" w:rsidRPr="00823FE0">
        <w:t>Summary of NTG Audit of Duquesne’s</w:t>
      </w:r>
      <w:r w:rsidR="00450725" w:rsidRPr="00823FE0" w:rsidDel="00FB4C9C">
        <w:t xml:space="preserve"> </w:t>
      </w:r>
      <w:r w:rsidR="00450725" w:rsidRPr="00823FE0">
        <w:t>Low-Income Program</w:t>
      </w:r>
      <w:bookmarkEnd w:id="624"/>
      <w:bookmarkEnd w:id="625"/>
      <w:bookmarkEnd w:id="627"/>
      <w:bookmarkEnd w:id="628"/>
      <w:bookmarkEnd w:id="630"/>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92"/>
        <w:gridCol w:w="3078"/>
        <w:gridCol w:w="4590"/>
      </w:tblGrid>
      <w:tr w:rsidR="00E7173E" w:rsidRPr="00F17578" w:rsidTr="00F17578">
        <w:trPr>
          <w:trHeight w:val="368"/>
          <w:tblHeader/>
        </w:trPr>
        <w:tc>
          <w:tcPr>
            <w:tcW w:w="1692" w:type="dxa"/>
            <w:shd w:val="clear" w:color="auto" w:fill="448A99"/>
            <w:vAlign w:val="bottom"/>
          </w:tcPr>
          <w:p w:rsidR="00450725" w:rsidRPr="00F17578" w:rsidRDefault="00450725" w:rsidP="00D900B5">
            <w:pPr>
              <w:jc w:val="left"/>
              <w:rPr>
                <w:b/>
                <w:color w:val="FFFFFF"/>
                <w:sz w:val="19"/>
                <w:szCs w:val="19"/>
              </w:rPr>
            </w:pPr>
            <w:r w:rsidRPr="00F17578">
              <w:rPr>
                <w:b/>
                <w:color w:val="FFFFFF"/>
                <w:sz w:val="19"/>
                <w:szCs w:val="19"/>
              </w:rPr>
              <w:t>Program</w:t>
            </w:r>
          </w:p>
        </w:tc>
        <w:tc>
          <w:tcPr>
            <w:tcW w:w="3078"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NTG Method</w:t>
            </w:r>
          </w:p>
        </w:tc>
        <w:tc>
          <w:tcPr>
            <w:tcW w:w="4590" w:type="dxa"/>
            <w:shd w:val="clear" w:color="auto" w:fill="448A99"/>
            <w:vAlign w:val="bottom"/>
          </w:tcPr>
          <w:p w:rsidR="00450725" w:rsidRPr="00F17578" w:rsidRDefault="00450725" w:rsidP="00D900B5">
            <w:pPr>
              <w:jc w:val="center"/>
              <w:rPr>
                <w:b/>
                <w:color w:val="FFFFFF"/>
                <w:sz w:val="19"/>
                <w:szCs w:val="19"/>
              </w:rPr>
            </w:pPr>
            <w:r w:rsidRPr="00F17578">
              <w:rPr>
                <w:b/>
                <w:color w:val="FFFFFF"/>
                <w:sz w:val="19"/>
                <w:szCs w:val="19"/>
              </w:rPr>
              <w:t>Review Comments</w:t>
            </w:r>
          </w:p>
        </w:tc>
      </w:tr>
      <w:tr w:rsidR="00E7173E" w:rsidRPr="00F17578" w:rsidTr="00F17578">
        <w:tc>
          <w:tcPr>
            <w:tcW w:w="1692" w:type="dxa"/>
            <w:shd w:val="clear" w:color="auto" w:fill="D2EAF1"/>
          </w:tcPr>
          <w:p w:rsidR="00450725" w:rsidRPr="00F17578" w:rsidRDefault="00450725" w:rsidP="00D900B5">
            <w:pPr>
              <w:jc w:val="left"/>
              <w:rPr>
                <w:color w:val="000000"/>
                <w:sz w:val="19"/>
                <w:szCs w:val="19"/>
              </w:rPr>
            </w:pPr>
            <w:r w:rsidRPr="00F17578">
              <w:rPr>
                <w:sz w:val="19"/>
                <w:szCs w:val="19"/>
              </w:rPr>
              <w:t>Low-Income Energy Efficiency Program (LIEEP)</w:t>
            </w:r>
          </w:p>
        </w:tc>
        <w:tc>
          <w:tcPr>
            <w:tcW w:w="3078" w:type="dxa"/>
            <w:shd w:val="clear" w:color="auto" w:fill="D2EAF1"/>
          </w:tcPr>
          <w:p w:rsidR="00450725" w:rsidRPr="00F17578" w:rsidRDefault="00450725" w:rsidP="00D900B5">
            <w:pPr>
              <w:jc w:val="left"/>
              <w:rPr>
                <w:sz w:val="19"/>
                <w:szCs w:val="19"/>
              </w:rPr>
            </w:pPr>
            <w:r w:rsidRPr="00F17578">
              <w:rPr>
                <w:sz w:val="19"/>
                <w:szCs w:val="19"/>
              </w:rPr>
              <w:t>The common method was used for downstream components, with acceptable modifications. Navigant used a method informed by the common method to estimate upstream lighting NTG.</w:t>
            </w:r>
          </w:p>
        </w:tc>
        <w:tc>
          <w:tcPr>
            <w:tcW w:w="4590" w:type="dxa"/>
            <w:shd w:val="clear" w:color="auto" w:fill="D2EAF1"/>
          </w:tcPr>
          <w:p w:rsidR="00450725" w:rsidRPr="00F17578" w:rsidRDefault="00450725" w:rsidP="001A5B6F">
            <w:pPr>
              <w:jc w:val="left"/>
              <w:rPr>
                <w:sz w:val="19"/>
                <w:szCs w:val="19"/>
              </w:rPr>
            </w:pPr>
            <w:r w:rsidRPr="00F17578">
              <w:rPr>
                <w:sz w:val="19"/>
                <w:szCs w:val="19"/>
              </w:rPr>
              <w:t>Participants were low-income participants within each program, so the comments in</w:t>
            </w:r>
            <w:r w:rsidR="00F143C0" w:rsidRPr="00F17578">
              <w:rPr>
                <w:sz w:val="19"/>
                <w:szCs w:val="19"/>
              </w:rPr>
              <w:t xml:space="preserve"> </w:t>
            </w:r>
            <w:r w:rsidR="00F143C0" w:rsidRPr="00F17578">
              <w:rPr>
                <w:sz w:val="19"/>
                <w:szCs w:val="19"/>
              </w:rPr>
              <w:fldChar w:fldCharType="begin"/>
            </w:r>
            <w:r w:rsidR="00F143C0" w:rsidRPr="00F17578">
              <w:rPr>
                <w:sz w:val="19"/>
                <w:szCs w:val="19"/>
              </w:rPr>
              <w:instrText xml:space="preserve"> REF _Ref472471497 \h  \* MERGEFORMAT </w:instrText>
            </w:r>
            <w:r w:rsidR="00F143C0" w:rsidRPr="00F17578">
              <w:rPr>
                <w:sz w:val="19"/>
                <w:szCs w:val="19"/>
              </w:rPr>
            </w:r>
            <w:r w:rsidR="00F143C0" w:rsidRPr="00F17578">
              <w:rPr>
                <w:sz w:val="19"/>
                <w:szCs w:val="19"/>
              </w:rPr>
              <w:fldChar w:fldCharType="separate"/>
            </w:r>
            <w:r w:rsidR="00037CB4" w:rsidRPr="00F17578">
              <w:rPr>
                <w:sz w:val="19"/>
                <w:szCs w:val="19"/>
              </w:rPr>
              <w:t>Table A-21</w:t>
            </w:r>
            <w:r w:rsidR="00F143C0" w:rsidRPr="00F17578">
              <w:rPr>
                <w:sz w:val="19"/>
                <w:szCs w:val="19"/>
              </w:rPr>
              <w:fldChar w:fldCharType="end"/>
            </w:r>
            <w:r w:rsidRPr="00F17578">
              <w:rPr>
                <w:sz w:val="19"/>
                <w:szCs w:val="19"/>
              </w:rPr>
              <w:t xml:space="preserve"> apply here as well. Navigant misprinted </w:t>
            </w:r>
            <w:r w:rsidR="001A5B6F" w:rsidRPr="00F17578">
              <w:rPr>
                <w:sz w:val="19"/>
                <w:szCs w:val="19"/>
              </w:rPr>
              <w:t>spillover</w:t>
            </w:r>
            <w:r w:rsidRPr="00F17578">
              <w:rPr>
                <w:sz w:val="19"/>
                <w:szCs w:val="19"/>
              </w:rPr>
              <w:t xml:space="preserve">, NTGR, and sample size in the PY7 report. </w:t>
            </w:r>
          </w:p>
        </w:tc>
      </w:tr>
    </w:tbl>
    <w:p w:rsidR="00450725" w:rsidRPr="006C05B5" w:rsidRDefault="00450725" w:rsidP="00450725"/>
    <w:p w:rsidR="00450725" w:rsidRPr="006C05B5" w:rsidRDefault="00823FE0" w:rsidP="00450725">
      <w:r>
        <w:fldChar w:fldCharType="begin"/>
      </w:r>
      <w:r>
        <w:instrText xml:space="preserve"> REF _Ref472471640 \h </w:instrText>
      </w:r>
      <w:r>
        <w:fldChar w:fldCharType="separate"/>
      </w:r>
      <w:r w:rsidR="00037CB4" w:rsidRPr="00823FE0">
        <w:t>Table A-</w:t>
      </w:r>
      <w:r w:rsidR="00037CB4">
        <w:rPr>
          <w:noProof/>
        </w:rPr>
        <w:t>24</w:t>
      </w:r>
      <w:r>
        <w:fldChar w:fldCharType="end"/>
      </w:r>
      <w:r w:rsidR="00450725" w:rsidRPr="006C05B5">
        <w:t xml:space="preserve"> shows the NTG ratio as reported in the Duquesne PY7 annual report.</w:t>
      </w:r>
    </w:p>
    <w:p w:rsidR="00450725" w:rsidRPr="006C05B5" w:rsidRDefault="00450725" w:rsidP="00450725">
      <w:pPr>
        <w:rPr>
          <w:highlight w:val="lightGray"/>
        </w:rPr>
      </w:pPr>
    </w:p>
    <w:p w:rsidR="00450725" w:rsidRPr="00823FE0" w:rsidRDefault="00823FE0" w:rsidP="004837FA">
      <w:pPr>
        <w:pStyle w:val="Caption"/>
      </w:pPr>
      <w:bookmarkStart w:id="631" w:name="_Ref472471640"/>
      <w:bookmarkStart w:id="632" w:name="_Toc409225008"/>
      <w:bookmarkStart w:id="633" w:name="_Toc409443560"/>
      <w:bookmarkStart w:id="634" w:name="_Toc444269733"/>
      <w:bookmarkStart w:id="635" w:name="_Toc472472433"/>
      <w:bookmarkStart w:id="636" w:name="_Toc488741852"/>
      <w:r w:rsidRPr="00823FE0">
        <w:t>Table A-</w:t>
      </w:r>
      <w:r w:rsidR="007973A4">
        <w:fldChar w:fldCharType="begin"/>
      </w:r>
      <w:r w:rsidR="007973A4">
        <w:instrText xml:space="preserve"> SEQ Table_A- \* ARABIC </w:instrText>
      </w:r>
      <w:r w:rsidR="007973A4">
        <w:fldChar w:fldCharType="separate"/>
      </w:r>
      <w:r w:rsidR="00037CB4">
        <w:rPr>
          <w:noProof/>
        </w:rPr>
        <w:t>24</w:t>
      </w:r>
      <w:r w:rsidR="007973A4">
        <w:rPr>
          <w:noProof/>
        </w:rPr>
        <w:fldChar w:fldCharType="end"/>
      </w:r>
      <w:bookmarkEnd w:id="631"/>
      <w:r w:rsidRPr="00823FE0">
        <w:t xml:space="preserve">: </w:t>
      </w:r>
      <w:r w:rsidR="00450725" w:rsidRPr="00823FE0">
        <w:t>Summary of NTG Estimates for Duquesne’s Low-Income Program</w:t>
      </w:r>
      <w:bookmarkEnd w:id="632"/>
      <w:bookmarkEnd w:id="633"/>
      <w:bookmarkEnd w:id="634"/>
      <w:bookmarkEnd w:id="635"/>
      <w:bookmarkEnd w:id="636"/>
    </w:p>
    <w:tbl>
      <w:tblPr>
        <w:tblW w:w="0" w:type="auto"/>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3"/>
        <w:gridCol w:w="3482"/>
        <w:gridCol w:w="1153"/>
        <w:gridCol w:w="1233"/>
        <w:gridCol w:w="1120"/>
        <w:gridCol w:w="1219"/>
      </w:tblGrid>
      <w:tr w:rsidR="00A874AC" w:rsidRPr="00F17578" w:rsidTr="00F17578">
        <w:tc>
          <w:tcPr>
            <w:tcW w:w="1143" w:type="dxa"/>
            <w:tcBorders>
              <w:bottom w:val="single" w:sz="4" w:space="0" w:color="448A99"/>
            </w:tcBorders>
            <w:shd w:val="clear" w:color="auto" w:fill="448A99"/>
            <w:vAlign w:val="bottom"/>
          </w:tcPr>
          <w:p w:rsidR="00450725" w:rsidRPr="00F17578" w:rsidRDefault="00450725" w:rsidP="00D900B5">
            <w:pPr>
              <w:keepNext/>
              <w:keepLines/>
              <w:jc w:val="left"/>
              <w:rPr>
                <w:b/>
                <w:color w:val="FFFFFF"/>
                <w:sz w:val="19"/>
                <w:szCs w:val="19"/>
              </w:rPr>
            </w:pPr>
            <w:r w:rsidRPr="00F17578">
              <w:rPr>
                <w:b/>
                <w:color w:val="FFFFFF"/>
                <w:sz w:val="19"/>
                <w:szCs w:val="19"/>
              </w:rPr>
              <w:t>Approach</w:t>
            </w:r>
          </w:p>
        </w:tc>
        <w:tc>
          <w:tcPr>
            <w:tcW w:w="3482" w:type="dxa"/>
            <w:tcBorders>
              <w:bottom w:val="single" w:sz="4" w:space="0" w:color="448A99"/>
            </w:tcBorders>
            <w:shd w:val="clear" w:color="auto" w:fill="448A99"/>
            <w:vAlign w:val="bottom"/>
          </w:tcPr>
          <w:p w:rsidR="00450725" w:rsidRPr="00F17578" w:rsidRDefault="00450725" w:rsidP="00D900B5">
            <w:pPr>
              <w:keepNext/>
              <w:keepLines/>
              <w:jc w:val="center"/>
              <w:rPr>
                <w:b/>
                <w:color w:val="FFFFFF"/>
                <w:sz w:val="19"/>
                <w:szCs w:val="19"/>
              </w:rPr>
            </w:pPr>
            <w:r w:rsidRPr="00F17578">
              <w:rPr>
                <w:b/>
                <w:color w:val="FFFFFF"/>
                <w:sz w:val="19"/>
                <w:szCs w:val="19"/>
              </w:rPr>
              <w:t>Program</w:t>
            </w:r>
          </w:p>
        </w:tc>
        <w:tc>
          <w:tcPr>
            <w:tcW w:w="1153" w:type="dxa"/>
            <w:tcBorders>
              <w:bottom w:val="single" w:sz="4" w:space="0" w:color="448A99"/>
            </w:tcBorders>
            <w:shd w:val="clear" w:color="auto" w:fill="448A99"/>
            <w:vAlign w:val="bottom"/>
          </w:tcPr>
          <w:p w:rsidR="00450725" w:rsidRPr="00F17578" w:rsidRDefault="00450725" w:rsidP="00D900B5">
            <w:pPr>
              <w:keepNext/>
              <w:keepLines/>
              <w:jc w:val="center"/>
              <w:rPr>
                <w:b/>
                <w:color w:val="FFFFFF"/>
                <w:sz w:val="19"/>
                <w:szCs w:val="19"/>
              </w:rPr>
            </w:pPr>
            <w:r w:rsidRPr="00F17578">
              <w:rPr>
                <w:b/>
                <w:color w:val="FFFFFF"/>
                <w:sz w:val="19"/>
                <w:szCs w:val="19"/>
              </w:rPr>
              <w:t>Free-ridership</w:t>
            </w:r>
          </w:p>
        </w:tc>
        <w:tc>
          <w:tcPr>
            <w:tcW w:w="1233" w:type="dxa"/>
            <w:tcBorders>
              <w:bottom w:val="single" w:sz="4" w:space="0" w:color="448A99"/>
            </w:tcBorders>
            <w:shd w:val="clear" w:color="auto" w:fill="448A99"/>
            <w:vAlign w:val="bottom"/>
          </w:tcPr>
          <w:p w:rsidR="00450725" w:rsidRPr="00F17578" w:rsidRDefault="00450725" w:rsidP="00D900B5">
            <w:pPr>
              <w:keepNext/>
              <w:keepLines/>
              <w:jc w:val="center"/>
              <w:rPr>
                <w:b/>
                <w:color w:val="FFFFFF"/>
                <w:sz w:val="19"/>
                <w:szCs w:val="19"/>
              </w:rPr>
            </w:pPr>
            <w:r w:rsidRPr="00F17578">
              <w:rPr>
                <w:b/>
                <w:color w:val="FFFFFF"/>
                <w:sz w:val="19"/>
                <w:szCs w:val="19"/>
              </w:rPr>
              <w:t>Spillover</w:t>
            </w:r>
          </w:p>
        </w:tc>
        <w:tc>
          <w:tcPr>
            <w:tcW w:w="1120" w:type="dxa"/>
            <w:tcBorders>
              <w:bottom w:val="single" w:sz="4" w:space="0" w:color="448A99"/>
            </w:tcBorders>
            <w:shd w:val="clear" w:color="auto" w:fill="448A99"/>
            <w:vAlign w:val="bottom"/>
          </w:tcPr>
          <w:p w:rsidR="00450725" w:rsidRPr="00F17578" w:rsidRDefault="00450725" w:rsidP="00D900B5">
            <w:pPr>
              <w:keepNext/>
              <w:keepLines/>
              <w:jc w:val="center"/>
              <w:rPr>
                <w:b/>
                <w:color w:val="FFFFFF"/>
                <w:sz w:val="19"/>
                <w:szCs w:val="19"/>
              </w:rPr>
            </w:pPr>
            <w:r w:rsidRPr="00F17578">
              <w:rPr>
                <w:b/>
                <w:color w:val="FFFFFF"/>
                <w:sz w:val="19"/>
                <w:szCs w:val="19"/>
              </w:rPr>
              <w:t>NTGR</w:t>
            </w:r>
            <w:r w:rsidRPr="00F17578">
              <w:rPr>
                <w:b/>
                <w:color w:val="FFFFFF"/>
                <w:sz w:val="19"/>
                <w:szCs w:val="19"/>
                <w:vertAlign w:val="superscript"/>
              </w:rPr>
              <w:t>[a]</w:t>
            </w:r>
          </w:p>
        </w:tc>
        <w:tc>
          <w:tcPr>
            <w:tcW w:w="1219" w:type="dxa"/>
            <w:tcBorders>
              <w:bottom w:val="single" w:sz="4" w:space="0" w:color="448A99"/>
            </w:tcBorders>
            <w:shd w:val="clear" w:color="auto" w:fill="448A99"/>
            <w:vAlign w:val="bottom"/>
          </w:tcPr>
          <w:p w:rsidR="00450725" w:rsidRPr="00F17578" w:rsidRDefault="00450725" w:rsidP="00D900B5">
            <w:pPr>
              <w:keepNext/>
              <w:keepLines/>
              <w:jc w:val="center"/>
              <w:rPr>
                <w:b/>
                <w:color w:val="FFFFFF"/>
                <w:sz w:val="19"/>
                <w:szCs w:val="19"/>
              </w:rPr>
            </w:pPr>
            <w:r w:rsidRPr="00F17578">
              <w:rPr>
                <w:b/>
                <w:color w:val="FFFFFF"/>
                <w:sz w:val="19"/>
                <w:szCs w:val="19"/>
              </w:rPr>
              <w:t>Sample Size</w:t>
            </w:r>
            <w:r w:rsidRPr="00F17578">
              <w:rPr>
                <w:b/>
                <w:color w:val="FFFFFF"/>
                <w:sz w:val="19"/>
                <w:szCs w:val="19"/>
                <w:vertAlign w:val="superscript"/>
              </w:rPr>
              <w:t>[b]</w:t>
            </w:r>
          </w:p>
        </w:tc>
      </w:tr>
      <w:tr w:rsidR="00A874AC" w:rsidRPr="00F17578" w:rsidTr="00F17578">
        <w:tc>
          <w:tcPr>
            <w:tcW w:w="1143" w:type="dxa"/>
            <w:tcBorders>
              <w:bottom w:val="single" w:sz="4" w:space="0" w:color="448A99"/>
            </w:tcBorders>
            <w:shd w:val="clear" w:color="auto" w:fill="D2EAF1"/>
          </w:tcPr>
          <w:p w:rsidR="00450725" w:rsidRPr="00F17578" w:rsidRDefault="00450725" w:rsidP="00D900B5">
            <w:pPr>
              <w:jc w:val="left"/>
              <w:rPr>
                <w:sz w:val="19"/>
                <w:szCs w:val="19"/>
              </w:rPr>
            </w:pPr>
            <w:r w:rsidRPr="00F17578">
              <w:rPr>
                <w:sz w:val="19"/>
                <w:szCs w:val="19"/>
              </w:rPr>
              <w:t>Estimated</w:t>
            </w:r>
          </w:p>
        </w:tc>
        <w:tc>
          <w:tcPr>
            <w:tcW w:w="3482" w:type="dxa"/>
            <w:tcBorders>
              <w:bottom w:val="single" w:sz="4" w:space="0" w:color="448A99"/>
            </w:tcBorders>
            <w:shd w:val="clear" w:color="auto" w:fill="D2EAF1"/>
            <w:vAlign w:val="center"/>
          </w:tcPr>
          <w:p w:rsidR="00450725" w:rsidRPr="00F17578" w:rsidRDefault="00450725" w:rsidP="00D900B5">
            <w:pPr>
              <w:jc w:val="left"/>
              <w:rPr>
                <w:color w:val="000000"/>
                <w:sz w:val="19"/>
                <w:szCs w:val="19"/>
              </w:rPr>
            </w:pPr>
            <w:r w:rsidRPr="00F17578">
              <w:rPr>
                <w:color w:val="000000"/>
                <w:sz w:val="19"/>
                <w:szCs w:val="19"/>
              </w:rPr>
              <w:t>Low-Income Energy Efficiency Program (LIEEP)</w:t>
            </w:r>
          </w:p>
        </w:tc>
        <w:tc>
          <w:tcPr>
            <w:tcW w:w="1153" w:type="dxa"/>
            <w:tcBorders>
              <w:bottom w:val="single" w:sz="4" w:space="0" w:color="448A99"/>
            </w:tcBorders>
            <w:shd w:val="clear" w:color="auto" w:fill="D2EAF1"/>
          </w:tcPr>
          <w:p w:rsidR="00450725" w:rsidRPr="00F17578" w:rsidRDefault="00450725" w:rsidP="00D900B5">
            <w:pPr>
              <w:jc w:val="center"/>
              <w:rPr>
                <w:sz w:val="19"/>
                <w:szCs w:val="19"/>
              </w:rPr>
            </w:pPr>
            <w:r w:rsidRPr="00F17578">
              <w:rPr>
                <w:sz w:val="19"/>
                <w:szCs w:val="19"/>
              </w:rPr>
              <w:t>0.26</w:t>
            </w:r>
          </w:p>
        </w:tc>
        <w:tc>
          <w:tcPr>
            <w:tcW w:w="1233" w:type="dxa"/>
            <w:tcBorders>
              <w:bottom w:val="single" w:sz="4" w:space="0" w:color="448A99"/>
            </w:tcBorders>
            <w:shd w:val="clear" w:color="auto" w:fill="D2EAF1"/>
          </w:tcPr>
          <w:p w:rsidR="00450725" w:rsidRPr="00F17578" w:rsidRDefault="00450725" w:rsidP="00D900B5">
            <w:pPr>
              <w:jc w:val="center"/>
              <w:rPr>
                <w:sz w:val="19"/>
                <w:szCs w:val="19"/>
              </w:rPr>
            </w:pPr>
            <w:r w:rsidRPr="00F17578">
              <w:rPr>
                <w:sz w:val="19"/>
                <w:szCs w:val="19"/>
              </w:rPr>
              <w:t>0.10</w:t>
            </w:r>
          </w:p>
        </w:tc>
        <w:tc>
          <w:tcPr>
            <w:tcW w:w="1120" w:type="dxa"/>
            <w:tcBorders>
              <w:bottom w:val="single" w:sz="4" w:space="0" w:color="448A99"/>
            </w:tcBorders>
            <w:shd w:val="clear" w:color="auto" w:fill="D2EAF1"/>
          </w:tcPr>
          <w:p w:rsidR="00450725" w:rsidRPr="00F17578" w:rsidRDefault="00450725" w:rsidP="00D900B5">
            <w:pPr>
              <w:jc w:val="center"/>
              <w:rPr>
                <w:sz w:val="19"/>
                <w:szCs w:val="19"/>
              </w:rPr>
            </w:pPr>
            <w:r w:rsidRPr="00F17578">
              <w:rPr>
                <w:sz w:val="19"/>
                <w:szCs w:val="19"/>
              </w:rPr>
              <w:t>0.83</w:t>
            </w:r>
          </w:p>
        </w:tc>
        <w:tc>
          <w:tcPr>
            <w:tcW w:w="1219" w:type="dxa"/>
            <w:tcBorders>
              <w:bottom w:val="single" w:sz="4" w:space="0" w:color="448A99"/>
            </w:tcBorders>
            <w:shd w:val="clear" w:color="auto" w:fill="D2EAF1"/>
          </w:tcPr>
          <w:p w:rsidR="00450725" w:rsidRPr="00F17578" w:rsidRDefault="003C59E0" w:rsidP="00AD40AC">
            <w:pPr>
              <w:jc w:val="center"/>
              <w:rPr>
                <w:sz w:val="19"/>
                <w:szCs w:val="19"/>
                <w:vertAlign w:val="superscript"/>
              </w:rPr>
            </w:pPr>
            <w:r w:rsidRPr="00F17578">
              <w:rPr>
                <w:sz w:val="19"/>
                <w:szCs w:val="19"/>
              </w:rPr>
              <w:t>1</w:t>
            </w:r>
            <w:r w:rsidR="00AD40AC" w:rsidRPr="00F17578">
              <w:rPr>
                <w:sz w:val="19"/>
                <w:szCs w:val="19"/>
              </w:rPr>
              <w:t>62</w:t>
            </w:r>
          </w:p>
        </w:tc>
      </w:tr>
      <w:tr w:rsidR="00E7173E" w:rsidRPr="004F3A51" w:rsidTr="00F17578">
        <w:tc>
          <w:tcPr>
            <w:tcW w:w="9350" w:type="dxa"/>
            <w:gridSpan w:val="6"/>
            <w:shd w:val="clear" w:color="auto" w:fill="448A99"/>
          </w:tcPr>
          <w:p w:rsidR="00450725" w:rsidRPr="004F3A51" w:rsidRDefault="00450725" w:rsidP="00D900B5">
            <w:pPr>
              <w:jc w:val="left"/>
              <w:rPr>
                <w:color w:val="FFFFFF"/>
                <w:sz w:val="18"/>
                <w:szCs w:val="19"/>
              </w:rPr>
            </w:pPr>
            <w:r w:rsidRPr="004F3A51">
              <w:rPr>
                <w:color w:val="FFFFFF"/>
                <w:sz w:val="18"/>
                <w:szCs w:val="19"/>
              </w:rPr>
              <w:t>NOTES</w:t>
            </w:r>
            <w:r w:rsidR="001A5B6F" w:rsidRPr="004F3A51">
              <w:rPr>
                <w:color w:val="FFFFFF"/>
                <w:sz w:val="18"/>
                <w:szCs w:val="19"/>
              </w:rPr>
              <w:t>:</w:t>
            </w:r>
          </w:p>
          <w:p w:rsidR="00450725" w:rsidRPr="004F3A51" w:rsidRDefault="00450725" w:rsidP="00D900B5">
            <w:pPr>
              <w:jc w:val="left"/>
              <w:rPr>
                <w:color w:val="FFFFFF"/>
                <w:sz w:val="18"/>
                <w:szCs w:val="19"/>
              </w:rPr>
            </w:pPr>
            <w:r w:rsidRPr="004F3A51">
              <w:rPr>
                <w:color w:val="FFFFFF"/>
                <w:sz w:val="18"/>
                <w:szCs w:val="19"/>
                <w:vertAlign w:val="superscript"/>
              </w:rPr>
              <w:t>[a]</w:t>
            </w:r>
            <w:r w:rsidRPr="004F3A51">
              <w:rPr>
                <w:bCs/>
                <w:color w:val="FFFFFF"/>
                <w:sz w:val="18"/>
                <w:szCs w:val="19"/>
              </w:rPr>
              <w:t xml:space="preserve"> </w:t>
            </w:r>
            <w:r w:rsidRPr="004F3A51">
              <w:rPr>
                <w:color w:val="FFFFFF"/>
                <w:sz w:val="18"/>
                <w:szCs w:val="19"/>
              </w:rPr>
              <w:t xml:space="preserve">NTGR = 1 – free-ridership + spillover. In some cases, the NTGR shown in the table may not equal exactly 1 – </w:t>
            </w:r>
            <w:r w:rsidRPr="004F3A51">
              <w:rPr>
                <w:rFonts w:eastAsia="Calibri"/>
                <w:color w:val="FFFFFF"/>
                <w:sz w:val="18"/>
                <w:szCs w:val="19"/>
              </w:rPr>
              <w:t>free-ridership + spillover</w:t>
            </w:r>
            <w:r w:rsidRPr="004F3A51">
              <w:rPr>
                <w:color w:val="FFFFFF"/>
                <w:sz w:val="18"/>
                <w:szCs w:val="19"/>
              </w:rPr>
              <w:t xml:space="preserve"> because of rounding.</w:t>
            </w:r>
          </w:p>
          <w:p w:rsidR="00450725" w:rsidRPr="004F3A51" w:rsidRDefault="00450725" w:rsidP="00AD40AC">
            <w:pPr>
              <w:jc w:val="left"/>
              <w:rPr>
                <w:color w:val="FFFFFF"/>
                <w:sz w:val="18"/>
                <w:szCs w:val="19"/>
              </w:rPr>
            </w:pPr>
            <w:r w:rsidRPr="004F3A51">
              <w:rPr>
                <w:color w:val="FFFFFF"/>
                <w:sz w:val="18"/>
                <w:szCs w:val="19"/>
                <w:vertAlign w:val="superscript"/>
              </w:rPr>
              <w:t>[b]</w:t>
            </w:r>
            <w:r w:rsidRPr="004F3A51">
              <w:rPr>
                <w:color w:val="FFFFFF"/>
                <w:sz w:val="18"/>
                <w:szCs w:val="19"/>
              </w:rPr>
              <w:t xml:space="preserve"> The sample size provided at least 85/15 confidence/precision.</w:t>
            </w:r>
          </w:p>
        </w:tc>
      </w:tr>
    </w:tbl>
    <w:p w:rsidR="00450725" w:rsidRPr="006C05B5" w:rsidRDefault="00450725" w:rsidP="00450725"/>
    <w:p w:rsidR="00450725" w:rsidRDefault="00450725" w:rsidP="0055598C">
      <w:pPr>
        <w:pStyle w:val="AppendixAHeading4"/>
      </w:pPr>
      <w:r>
        <w:t>Non-Residential Programs</w:t>
      </w:r>
    </w:p>
    <w:p w:rsidR="00450725" w:rsidRPr="006C05B5" w:rsidRDefault="00450725" w:rsidP="00D9014E">
      <w:r w:rsidRPr="00D9014E">
        <w:t>Navigant estimated NTG v</w:t>
      </w:r>
      <w:r w:rsidR="00EA0C08" w:rsidRPr="00D9014E">
        <w:t>alues for the C</w:t>
      </w:r>
      <w:r w:rsidRPr="00D9014E">
        <w:t xml:space="preserve">ommercial </w:t>
      </w:r>
      <w:r w:rsidR="00EA0C08" w:rsidRPr="00D9014E">
        <w:t>Program G</w:t>
      </w:r>
      <w:r w:rsidRPr="00D9014E">
        <w:t xml:space="preserve">roup and </w:t>
      </w:r>
      <w:r w:rsidR="00EA0C08" w:rsidRPr="00D9014E">
        <w:t>I</w:t>
      </w:r>
      <w:r w:rsidRPr="00D9014E">
        <w:t xml:space="preserve">ndustrial </w:t>
      </w:r>
      <w:r w:rsidR="00EA0C08" w:rsidRPr="00D9014E">
        <w:t>P</w:t>
      </w:r>
      <w:r w:rsidRPr="00D9014E">
        <w:t xml:space="preserve">rogram </w:t>
      </w:r>
      <w:r w:rsidR="00EA0C08" w:rsidRPr="00D9014E">
        <w:t>G</w:t>
      </w:r>
      <w:r w:rsidRPr="00D9014E">
        <w:t>roup. Navigant used the SWE Team’s common method for estimating NTG. Navigant thoroughly summarized the NTG methodology in the PY7 annual report. Navigant provided most of its NTG calculations to the SWE Team, together with the raw data, in Excel workbooks. However, the SWE Team’s review of Navigant’s NTG data files revealed some reporting errors</w:t>
      </w:r>
      <w:r w:rsidR="00691BB3" w:rsidRPr="00D9014E">
        <w:t xml:space="preserve"> (free ridership and NTG values were 0.01 different than originally reported)</w:t>
      </w:r>
      <w:r w:rsidRPr="00D9014E">
        <w:t xml:space="preserve">, which Navigant confirmed via email. </w:t>
      </w:r>
      <w:r w:rsidR="00D9014E">
        <w:fldChar w:fldCharType="begin"/>
      </w:r>
      <w:r w:rsidR="00D9014E">
        <w:instrText xml:space="preserve"> REF _Ref473732220 \h </w:instrText>
      </w:r>
      <w:r w:rsidR="00D9014E">
        <w:fldChar w:fldCharType="separate"/>
      </w:r>
      <w:r w:rsidR="00037CB4" w:rsidRPr="00823FE0">
        <w:t>Table A-</w:t>
      </w:r>
      <w:r w:rsidR="00037CB4">
        <w:rPr>
          <w:noProof/>
        </w:rPr>
        <w:t>26</w:t>
      </w:r>
      <w:r w:rsidR="00D9014E">
        <w:fldChar w:fldCharType="end"/>
      </w:r>
      <w:r w:rsidR="00D9014E">
        <w:t xml:space="preserve"> </w:t>
      </w:r>
      <w:r w:rsidRPr="006C05B5">
        <w:t>shows the corrected values.</w:t>
      </w:r>
    </w:p>
    <w:p w:rsidR="00450725" w:rsidRPr="006C05B5" w:rsidRDefault="00450725" w:rsidP="00450725">
      <w:pPr>
        <w:rPr>
          <w:highlight w:val="lightGray"/>
        </w:rPr>
      </w:pPr>
    </w:p>
    <w:p w:rsidR="00450725" w:rsidRPr="006C05B5" w:rsidRDefault="00D9014E" w:rsidP="00450725">
      <w:r>
        <w:fldChar w:fldCharType="begin"/>
      </w:r>
      <w:r>
        <w:instrText xml:space="preserve"> REF _Ref472471704 \h </w:instrText>
      </w:r>
      <w:r>
        <w:fldChar w:fldCharType="separate"/>
      </w:r>
      <w:r w:rsidR="00037CB4" w:rsidRPr="00823FE0">
        <w:t>Table A-</w:t>
      </w:r>
      <w:r w:rsidR="00037CB4">
        <w:rPr>
          <w:noProof/>
        </w:rPr>
        <w:t>25</w:t>
      </w:r>
      <w:r>
        <w:fldChar w:fldCharType="end"/>
      </w:r>
      <w:r w:rsidR="00450725" w:rsidRPr="006C05B5">
        <w:t xml:space="preserve"> summarizes the SWE Team’s review of the NTG methodology by program. The SWE Team found Navigant’s description of the NTG methods to be relatively clear and the application of the SWE common methods to be error-free.</w:t>
      </w:r>
    </w:p>
    <w:p w:rsidR="00450725" w:rsidRPr="006C05B5" w:rsidRDefault="00450725" w:rsidP="00450725">
      <w:pPr>
        <w:rPr>
          <w:highlight w:val="lightGray"/>
        </w:rPr>
      </w:pPr>
    </w:p>
    <w:p w:rsidR="00450725" w:rsidRPr="00823FE0" w:rsidRDefault="00823FE0" w:rsidP="004837FA">
      <w:pPr>
        <w:pStyle w:val="Caption"/>
      </w:pPr>
      <w:bookmarkStart w:id="637" w:name="_Ref472471704"/>
      <w:bookmarkStart w:id="638" w:name="_Toc409225009"/>
      <w:bookmarkStart w:id="639" w:name="_Toc409443561"/>
      <w:bookmarkStart w:id="640" w:name="_Toc444269734"/>
      <w:bookmarkStart w:id="641" w:name="_Toc472472434"/>
      <w:bookmarkStart w:id="642" w:name="_Toc488741853"/>
      <w:r w:rsidRPr="00823FE0">
        <w:t>Table A-</w:t>
      </w:r>
      <w:r w:rsidR="007973A4">
        <w:fldChar w:fldCharType="begin"/>
      </w:r>
      <w:r w:rsidR="007973A4">
        <w:instrText xml:space="preserve"> SEQ Table_A- \* ARABIC </w:instrText>
      </w:r>
      <w:r w:rsidR="007973A4">
        <w:fldChar w:fldCharType="separate"/>
      </w:r>
      <w:r w:rsidR="00037CB4">
        <w:rPr>
          <w:noProof/>
        </w:rPr>
        <w:t>25</w:t>
      </w:r>
      <w:r w:rsidR="007973A4">
        <w:rPr>
          <w:noProof/>
        </w:rPr>
        <w:fldChar w:fldCharType="end"/>
      </w:r>
      <w:bookmarkEnd w:id="637"/>
      <w:r w:rsidRPr="00823FE0">
        <w:t xml:space="preserve">: </w:t>
      </w:r>
      <w:r w:rsidR="00450725" w:rsidRPr="00823FE0">
        <w:t>Summary of NTG Audit of Duquesne’s</w:t>
      </w:r>
      <w:r w:rsidR="00450725" w:rsidRPr="00823FE0" w:rsidDel="00FB4E7B">
        <w:t xml:space="preserve"> </w:t>
      </w:r>
      <w:r w:rsidR="00450725" w:rsidRPr="00823FE0">
        <w:t>Non-Residential Programs</w:t>
      </w:r>
      <w:bookmarkEnd w:id="638"/>
      <w:bookmarkEnd w:id="639"/>
      <w:bookmarkEnd w:id="640"/>
      <w:bookmarkEnd w:id="641"/>
      <w:bookmarkEnd w:id="642"/>
    </w:p>
    <w:tbl>
      <w:tblPr>
        <w:tblW w:w="9427"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92"/>
        <w:gridCol w:w="1903"/>
        <w:gridCol w:w="5832"/>
      </w:tblGrid>
      <w:tr w:rsidR="00E7173E" w:rsidRPr="00F17578" w:rsidTr="00F17578">
        <w:trPr>
          <w:tblHeader/>
        </w:trPr>
        <w:tc>
          <w:tcPr>
            <w:tcW w:w="1692" w:type="dxa"/>
            <w:shd w:val="clear" w:color="auto" w:fill="448A99"/>
          </w:tcPr>
          <w:p w:rsidR="00450725" w:rsidRPr="00F17578" w:rsidRDefault="00450725" w:rsidP="00D900B5">
            <w:pPr>
              <w:jc w:val="left"/>
              <w:rPr>
                <w:b/>
                <w:color w:val="FFFFFF"/>
                <w:sz w:val="19"/>
                <w:szCs w:val="19"/>
              </w:rPr>
            </w:pPr>
            <w:r w:rsidRPr="00F17578">
              <w:rPr>
                <w:b/>
                <w:color w:val="FFFFFF"/>
                <w:sz w:val="19"/>
                <w:szCs w:val="19"/>
              </w:rPr>
              <w:t>Program</w:t>
            </w:r>
          </w:p>
        </w:tc>
        <w:tc>
          <w:tcPr>
            <w:tcW w:w="1903" w:type="dxa"/>
            <w:shd w:val="clear" w:color="auto" w:fill="448A99"/>
          </w:tcPr>
          <w:p w:rsidR="00450725" w:rsidRPr="00F17578" w:rsidRDefault="00450725" w:rsidP="00D900B5">
            <w:pPr>
              <w:jc w:val="center"/>
              <w:rPr>
                <w:b/>
                <w:color w:val="FFFFFF"/>
                <w:sz w:val="19"/>
                <w:szCs w:val="19"/>
              </w:rPr>
            </w:pPr>
            <w:r w:rsidRPr="00F17578">
              <w:rPr>
                <w:b/>
                <w:color w:val="FFFFFF"/>
                <w:sz w:val="19"/>
                <w:szCs w:val="19"/>
              </w:rPr>
              <w:t>NTG Method</w:t>
            </w:r>
          </w:p>
        </w:tc>
        <w:tc>
          <w:tcPr>
            <w:tcW w:w="5832" w:type="dxa"/>
            <w:shd w:val="clear" w:color="auto" w:fill="448A99"/>
          </w:tcPr>
          <w:p w:rsidR="00450725" w:rsidRPr="00F17578" w:rsidRDefault="00450725" w:rsidP="00D900B5">
            <w:pPr>
              <w:jc w:val="center"/>
              <w:rPr>
                <w:b/>
                <w:color w:val="FFFFFF"/>
                <w:sz w:val="19"/>
                <w:szCs w:val="19"/>
              </w:rPr>
            </w:pPr>
            <w:r w:rsidRPr="00F17578">
              <w:rPr>
                <w:b/>
                <w:color w:val="FFFFFF"/>
                <w:sz w:val="19"/>
                <w:szCs w:val="19"/>
              </w:rPr>
              <w:t>Review Comments</w:t>
            </w:r>
          </w:p>
        </w:tc>
      </w:tr>
      <w:tr w:rsidR="00E7173E" w:rsidRPr="00F17578" w:rsidTr="00F17578">
        <w:trPr>
          <w:trHeight w:val="503"/>
        </w:trPr>
        <w:tc>
          <w:tcPr>
            <w:tcW w:w="1692" w:type="dxa"/>
            <w:shd w:val="clear" w:color="auto" w:fill="D2EAF1"/>
          </w:tcPr>
          <w:p w:rsidR="00450725" w:rsidRPr="00F17578" w:rsidRDefault="00450725" w:rsidP="00D900B5">
            <w:pPr>
              <w:jc w:val="left"/>
              <w:rPr>
                <w:color w:val="548DD4"/>
                <w:sz w:val="19"/>
                <w:szCs w:val="19"/>
              </w:rPr>
            </w:pPr>
            <w:r w:rsidRPr="00F17578">
              <w:rPr>
                <w:sz w:val="19"/>
                <w:szCs w:val="19"/>
              </w:rPr>
              <w:t>Commercial Program Group</w:t>
            </w:r>
          </w:p>
        </w:tc>
        <w:tc>
          <w:tcPr>
            <w:tcW w:w="1903" w:type="dxa"/>
            <w:shd w:val="clear" w:color="auto" w:fill="D2EAF1"/>
          </w:tcPr>
          <w:p w:rsidR="00450725" w:rsidRPr="00F17578" w:rsidRDefault="00450725" w:rsidP="00D900B5">
            <w:pPr>
              <w:jc w:val="left"/>
              <w:rPr>
                <w:color w:val="548DD4"/>
                <w:sz w:val="19"/>
                <w:szCs w:val="19"/>
              </w:rPr>
            </w:pPr>
            <w:r w:rsidRPr="00F17578">
              <w:rPr>
                <w:sz w:val="19"/>
                <w:szCs w:val="19"/>
              </w:rPr>
              <w:t>The common method was used.</w:t>
            </w:r>
          </w:p>
        </w:tc>
        <w:tc>
          <w:tcPr>
            <w:tcW w:w="5832" w:type="dxa"/>
            <w:shd w:val="clear" w:color="auto" w:fill="D2EAF1"/>
          </w:tcPr>
          <w:p w:rsidR="00450725" w:rsidRPr="00F17578" w:rsidRDefault="00450725" w:rsidP="00D900B5">
            <w:pPr>
              <w:jc w:val="left"/>
              <w:rPr>
                <w:sz w:val="19"/>
                <w:szCs w:val="19"/>
              </w:rPr>
            </w:pPr>
            <w:r w:rsidRPr="00F17578">
              <w:rPr>
                <w:sz w:val="19"/>
                <w:szCs w:val="19"/>
              </w:rPr>
              <w:t>The detailed methods reported in the PY7 annual report were sufficiently clear.</w:t>
            </w:r>
          </w:p>
        </w:tc>
      </w:tr>
      <w:tr w:rsidR="00E7173E" w:rsidRPr="00F17578" w:rsidTr="00F17578">
        <w:trPr>
          <w:trHeight w:val="539"/>
        </w:trPr>
        <w:tc>
          <w:tcPr>
            <w:tcW w:w="1692" w:type="dxa"/>
            <w:shd w:val="clear" w:color="auto" w:fill="FFFFFF"/>
          </w:tcPr>
          <w:p w:rsidR="00450725" w:rsidRPr="00F17578" w:rsidRDefault="00450725" w:rsidP="00D900B5">
            <w:pPr>
              <w:jc w:val="left"/>
              <w:rPr>
                <w:sz w:val="19"/>
                <w:szCs w:val="19"/>
              </w:rPr>
            </w:pPr>
            <w:r w:rsidRPr="00F17578">
              <w:rPr>
                <w:sz w:val="19"/>
                <w:szCs w:val="19"/>
              </w:rPr>
              <w:t>Industrial Program Group</w:t>
            </w:r>
          </w:p>
        </w:tc>
        <w:tc>
          <w:tcPr>
            <w:tcW w:w="1903" w:type="dxa"/>
            <w:shd w:val="clear" w:color="auto" w:fill="FFFFFF"/>
          </w:tcPr>
          <w:p w:rsidR="00450725" w:rsidRPr="00F17578" w:rsidDel="00784297" w:rsidRDefault="00450725" w:rsidP="00D900B5">
            <w:pPr>
              <w:jc w:val="left"/>
              <w:rPr>
                <w:sz w:val="19"/>
                <w:szCs w:val="19"/>
                <w:shd w:val="clear" w:color="auto" w:fill="D9D9D9"/>
              </w:rPr>
            </w:pPr>
            <w:r w:rsidRPr="00F17578">
              <w:rPr>
                <w:sz w:val="19"/>
                <w:szCs w:val="19"/>
              </w:rPr>
              <w:t>The common method was used.</w:t>
            </w:r>
          </w:p>
        </w:tc>
        <w:tc>
          <w:tcPr>
            <w:tcW w:w="5832" w:type="dxa"/>
            <w:shd w:val="clear" w:color="auto" w:fill="FFFFFF"/>
          </w:tcPr>
          <w:p w:rsidR="00450725" w:rsidRPr="00F17578" w:rsidRDefault="00450725" w:rsidP="00D900B5">
            <w:pPr>
              <w:jc w:val="left"/>
              <w:rPr>
                <w:sz w:val="19"/>
                <w:szCs w:val="19"/>
              </w:rPr>
            </w:pPr>
            <w:r w:rsidRPr="00F17578">
              <w:rPr>
                <w:sz w:val="19"/>
                <w:szCs w:val="19"/>
              </w:rPr>
              <w:t>The detailed methods reported in the PY7 annual report were sufficiently clear.</w:t>
            </w:r>
          </w:p>
        </w:tc>
      </w:tr>
    </w:tbl>
    <w:p w:rsidR="00D9014E" w:rsidRDefault="00D9014E" w:rsidP="00D9014E"/>
    <w:p w:rsidR="00450725" w:rsidRPr="00D9014E" w:rsidRDefault="00D9014E" w:rsidP="00D9014E">
      <w:r>
        <w:fldChar w:fldCharType="begin"/>
      </w:r>
      <w:r>
        <w:instrText xml:space="preserve"> REF _Ref473732220 \h </w:instrText>
      </w:r>
      <w:r>
        <w:fldChar w:fldCharType="separate"/>
      </w:r>
      <w:r w:rsidR="00037CB4" w:rsidRPr="00823FE0">
        <w:t>Table A-</w:t>
      </w:r>
      <w:r w:rsidR="00037CB4">
        <w:rPr>
          <w:noProof/>
        </w:rPr>
        <w:t>26</w:t>
      </w:r>
      <w:r>
        <w:fldChar w:fldCharType="end"/>
      </w:r>
      <w:r>
        <w:t xml:space="preserve"> </w:t>
      </w:r>
      <w:r w:rsidR="00450725" w:rsidRPr="00D9014E">
        <w:t>shows the NTG estimates reported in the Duquesne PY7 annual report.</w:t>
      </w:r>
    </w:p>
    <w:p w:rsidR="001C391A" w:rsidRDefault="00450725" w:rsidP="00353645">
      <w:r w:rsidRPr="006C05B5">
        <w:t xml:space="preserve"> </w:t>
      </w:r>
      <w:bookmarkStart w:id="643" w:name="_Ref472471753"/>
      <w:bookmarkStart w:id="644" w:name="_Toc409225010"/>
      <w:bookmarkStart w:id="645" w:name="_Toc409443562"/>
      <w:bookmarkStart w:id="646" w:name="_Toc444269735"/>
      <w:bookmarkStart w:id="647" w:name="_Toc472472435"/>
      <w:bookmarkStart w:id="648" w:name="OLE_LINK1"/>
    </w:p>
    <w:p w:rsidR="00450725" w:rsidRPr="00823FE0" w:rsidRDefault="00823FE0" w:rsidP="004837FA">
      <w:pPr>
        <w:pStyle w:val="Caption"/>
      </w:pPr>
      <w:bookmarkStart w:id="649" w:name="_Ref473732220"/>
      <w:bookmarkStart w:id="650" w:name="_Toc488741854"/>
      <w:r w:rsidRPr="00823FE0">
        <w:t>Table A-</w:t>
      </w:r>
      <w:r w:rsidR="007973A4">
        <w:fldChar w:fldCharType="begin"/>
      </w:r>
      <w:r w:rsidR="007973A4">
        <w:instrText xml:space="preserve"> SEQ Table_A- \* ARABIC </w:instrText>
      </w:r>
      <w:r w:rsidR="007973A4">
        <w:fldChar w:fldCharType="separate"/>
      </w:r>
      <w:r w:rsidR="00037CB4">
        <w:rPr>
          <w:noProof/>
        </w:rPr>
        <w:t>26</w:t>
      </w:r>
      <w:r w:rsidR="007973A4">
        <w:rPr>
          <w:noProof/>
        </w:rPr>
        <w:fldChar w:fldCharType="end"/>
      </w:r>
      <w:bookmarkEnd w:id="643"/>
      <w:bookmarkEnd w:id="649"/>
      <w:r w:rsidRPr="00823FE0">
        <w:t xml:space="preserve">: </w:t>
      </w:r>
      <w:r w:rsidR="00BC3312">
        <w:t>Summary of NTG</w:t>
      </w:r>
      <w:r w:rsidR="00450725" w:rsidRPr="00823FE0">
        <w:t xml:space="preserve"> Estimates for Duquesne’s Non-Residential Programs</w:t>
      </w:r>
      <w:bookmarkEnd w:id="644"/>
      <w:bookmarkEnd w:id="645"/>
      <w:bookmarkEnd w:id="646"/>
      <w:bookmarkEnd w:id="647"/>
      <w:bookmarkEnd w:id="650"/>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965"/>
        <w:gridCol w:w="2907"/>
        <w:gridCol w:w="1117"/>
        <w:gridCol w:w="1160"/>
        <w:gridCol w:w="1075"/>
        <w:gridCol w:w="1126"/>
      </w:tblGrid>
      <w:tr w:rsidR="00A874AC" w:rsidRPr="00353645" w:rsidTr="00D900B5">
        <w:trPr>
          <w:tblHeader/>
          <w:jc w:val="center"/>
        </w:trPr>
        <w:tc>
          <w:tcPr>
            <w:tcW w:w="1965" w:type="dxa"/>
            <w:shd w:val="clear" w:color="auto" w:fill="448A99"/>
            <w:vAlign w:val="bottom"/>
          </w:tcPr>
          <w:bookmarkEnd w:id="648"/>
          <w:p w:rsidR="00450725" w:rsidRPr="00353645" w:rsidRDefault="00450725" w:rsidP="00D900B5">
            <w:pPr>
              <w:keepNext/>
              <w:rPr>
                <w:b/>
                <w:color w:val="FFFFFF"/>
                <w:sz w:val="19"/>
                <w:szCs w:val="19"/>
              </w:rPr>
            </w:pPr>
            <w:r w:rsidRPr="00353645">
              <w:rPr>
                <w:b/>
                <w:color w:val="FFFFFF"/>
                <w:sz w:val="19"/>
                <w:szCs w:val="19"/>
              </w:rPr>
              <w:t>Approach</w:t>
            </w:r>
          </w:p>
        </w:tc>
        <w:tc>
          <w:tcPr>
            <w:tcW w:w="2907" w:type="dxa"/>
            <w:shd w:val="clear" w:color="auto" w:fill="448A99"/>
            <w:vAlign w:val="bottom"/>
          </w:tcPr>
          <w:p w:rsidR="00450725" w:rsidRPr="00353645" w:rsidRDefault="00450725" w:rsidP="00D900B5">
            <w:pPr>
              <w:keepNext/>
              <w:jc w:val="center"/>
              <w:rPr>
                <w:b/>
                <w:color w:val="FFFFFF"/>
                <w:sz w:val="19"/>
                <w:szCs w:val="19"/>
              </w:rPr>
            </w:pPr>
            <w:r w:rsidRPr="00353645">
              <w:rPr>
                <w:b/>
                <w:color w:val="FFFFFF"/>
                <w:sz w:val="19"/>
                <w:szCs w:val="19"/>
              </w:rPr>
              <w:t>Program</w:t>
            </w:r>
          </w:p>
        </w:tc>
        <w:tc>
          <w:tcPr>
            <w:tcW w:w="1117" w:type="dxa"/>
            <w:shd w:val="clear" w:color="auto" w:fill="448A99"/>
            <w:vAlign w:val="bottom"/>
          </w:tcPr>
          <w:p w:rsidR="00450725" w:rsidRPr="00353645" w:rsidRDefault="00450725" w:rsidP="00D900B5">
            <w:pPr>
              <w:keepNext/>
              <w:jc w:val="center"/>
              <w:rPr>
                <w:b/>
                <w:color w:val="FFFFFF"/>
                <w:sz w:val="19"/>
                <w:szCs w:val="19"/>
              </w:rPr>
            </w:pPr>
            <w:r w:rsidRPr="00353645">
              <w:rPr>
                <w:b/>
                <w:color w:val="FFFFFF"/>
                <w:sz w:val="19"/>
                <w:szCs w:val="19"/>
              </w:rPr>
              <w:t>Free-Ridership</w:t>
            </w:r>
          </w:p>
        </w:tc>
        <w:tc>
          <w:tcPr>
            <w:tcW w:w="1160" w:type="dxa"/>
            <w:shd w:val="clear" w:color="auto" w:fill="448A99"/>
            <w:vAlign w:val="bottom"/>
          </w:tcPr>
          <w:p w:rsidR="00450725" w:rsidRPr="00353645" w:rsidRDefault="00450725" w:rsidP="00D900B5">
            <w:pPr>
              <w:keepNext/>
              <w:jc w:val="center"/>
              <w:rPr>
                <w:b/>
                <w:color w:val="FFFFFF"/>
                <w:sz w:val="19"/>
                <w:szCs w:val="19"/>
              </w:rPr>
            </w:pPr>
            <w:r w:rsidRPr="00353645">
              <w:rPr>
                <w:b/>
                <w:color w:val="FFFFFF"/>
                <w:sz w:val="19"/>
                <w:szCs w:val="19"/>
              </w:rPr>
              <w:t>Spillover</w:t>
            </w:r>
          </w:p>
        </w:tc>
        <w:tc>
          <w:tcPr>
            <w:tcW w:w="1075" w:type="dxa"/>
            <w:shd w:val="clear" w:color="auto" w:fill="448A99"/>
            <w:vAlign w:val="bottom"/>
          </w:tcPr>
          <w:p w:rsidR="00450725" w:rsidRPr="00353645" w:rsidRDefault="00450725" w:rsidP="00D900B5">
            <w:pPr>
              <w:keepNext/>
              <w:jc w:val="center"/>
              <w:rPr>
                <w:b/>
                <w:color w:val="FFFFFF"/>
                <w:sz w:val="19"/>
                <w:szCs w:val="19"/>
              </w:rPr>
            </w:pPr>
            <w:r w:rsidRPr="00353645">
              <w:rPr>
                <w:b/>
                <w:color w:val="FFFFFF"/>
                <w:sz w:val="19"/>
                <w:szCs w:val="19"/>
              </w:rPr>
              <w:t>NTGR</w:t>
            </w:r>
          </w:p>
        </w:tc>
        <w:tc>
          <w:tcPr>
            <w:tcW w:w="1126" w:type="dxa"/>
            <w:shd w:val="clear" w:color="auto" w:fill="448A99"/>
            <w:vAlign w:val="bottom"/>
          </w:tcPr>
          <w:p w:rsidR="00450725" w:rsidRPr="00353645" w:rsidRDefault="00450725" w:rsidP="00D900B5">
            <w:pPr>
              <w:keepNext/>
              <w:jc w:val="center"/>
              <w:rPr>
                <w:b/>
                <w:color w:val="FFFFFF"/>
                <w:sz w:val="19"/>
                <w:szCs w:val="19"/>
              </w:rPr>
            </w:pPr>
            <w:r w:rsidRPr="00353645">
              <w:rPr>
                <w:b/>
                <w:color w:val="FFFFFF"/>
                <w:sz w:val="19"/>
                <w:szCs w:val="19"/>
              </w:rPr>
              <w:t>Sample Size</w:t>
            </w:r>
            <w:r w:rsidRPr="00353645">
              <w:rPr>
                <w:b/>
                <w:color w:val="FFFFFF"/>
                <w:sz w:val="19"/>
                <w:szCs w:val="19"/>
                <w:vertAlign w:val="superscript"/>
              </w:rPr>
              <w:t>[a]</w:t>
            </w:r>
          </w:p>
        </w:tc>
      </w:tr>
      <w:tr w:rsidR="00A874AC" w:rsidRPr="00353645" w:rsidTr="00D900B5">
        <w:trPr>
          <w:trHeight w:val="346"/>
          <w:jc w:val="center"/>
        </w:trPr>
        <w:tc>
          <w:tcPr>
            <w:tcW w:w="1965" w:type="dxa"/>
            <w:vMerge w:val="restart"/>
            <w:shd w:val="clear" w:color="auto" w:fill="D2EAF1"/>
          </w:tcPr>
          <w:p w:rsidR="00450725" w:rsidRPr="00353645" w:rsidRDefault="00450725" w:rsidP="00D900B5">
            <w:pPr>
              <w:keepNext/>
              <w:rPr>
                <w:sz w:val="19"/>
                <w:szCs w:val="19"/>
              </w:rPr>
            </w:pPr>
            <w:r w:rsidRPr="00353645">
              <w:rPr>
                <w:sz w:val="19"/>
                <w:szCs w:val="19"/>
              </w:rPr>
              <w:t>Estimated</w:t>
            </w:r>
          </w:p>
        </w:tc>
        <w:tc>
          <w:tcPr>
            <w:tcW w:w="2907" w:type="dxa"/>
            <w:shd w:val="clear" w:color="auto" w:fill="D2EAF1"/>
          </w:tcPr>
          <w:p w:rsidR="00450725" w:rsidRPr="00353645" w:rsidRDefault="00450725" w:rsidP="00D900B5">
            <w:pPr>
              <w:jc w:val="left"/>
              <w:rPr>
                <w:sz w:val="19"/>
                <w:szCs w:val="19"/>
              </w:rPr>
            </w:pPr>
            <w:r w:rsidRPr="00353645">
              <w:rPr>
                <w:sz w:val="19"/>
                <w:szCs w:val="19"/>
              </w:rPr>
              <w:t>Commercial Program Group</w:t>
            </w:r>
          </w:p>
        </w:tc>
        <w:tc>
          <w:tcPr>
            <w:tcW w:w="1117" w:type="dxa"/>
            <w:shd w:val="clear" w:color="auto" w:fill="D2EAF1"/>
          </w:tcPr>
          <w:p w:rsidR="00450725" w:rsidRPr="00353645" w:rsidRDefault="00450725" w:rsidP="00D900B5">
            <w:pPr>
              <w:jc w:val="center"/>
              <w:rPr>
                <w:sz w:val="19"/>
                <w:szCs w:val="19"/>
              </w:rPr>
            </w:pPr>
            <w:r w:rsidRPr="00353645">
              <w:rPr>
                <w:sz w:val="19"/>
                <w:szCs w:val="19"/>
              </w:rPr>
              <w:t>0.33</w:t>
            </w:r>
            <w:r w:rsidRPr="00353645">
              <w:rPr>
                <w:b/>
                <w:sz w:val="19"/>
                <w:szCs w:val="19"/>
                <w:vertAlign w:val="superscript"/>
              </w:rPr>
              <w:t>[b]</w:t>
            </w:r>
          </w:p>
        </w:tc>
        <w:tc>
          <w:tcPr>
            <w:tcW w:w="1160" w:type="dxa"/>
            <w:shd w:val="clear" w:color="auto" w:fill="D2EAF1"/>
          </w:tcPr>
          <w:p w:rsidR="00450725" w:rsidRPr="00353645" w:rsidRDefault="00450725" w:rsidP="00D900B5">
            <w:pPr>
              <w:jc w:val="center"/>
              <w:rPr>
                <w:sz w:val="19"/>
                <w:szCs w:val="19"/>
              </w:rPr>
            </w:pPr>
            <w:r w:rsidRPr="00353645">
              <w:rPr>
                <w:sz w:val="19"/>
                <w:szCs w:val="19"/>
              </w:rPr>
              <w:t>0.00</w:t>
            </w:r>
          </w:p>
        </w:tc>
        <w:tc>
          <w:tcPr>
            <w:tcW w:w="1075" w:type="dxa"/>
            <w:shd w:val="clear" w:color="auto" w:fill="D2EAF1"/>
          </w:tcPr>
          <w:p w:rsidR="00450725" w:rsidRPr="00353645" w:rsidRDefault="00450725" w:rsidP="00D900B5">
            <w:pPr>
              <w:jc w:val="center"/>
              <w:rPr>
                <w:sz w:val="19"/>
                <w:szCs w:val="19"/>
              </w:rPr>
            </w:pPr>
            <w:r w:rsidRPr="00353645">
              <w:rPr>
                <w:sz w:val="19"/>
                <w:szCs w:val="19"/>
              </w:rPr>
              <w:t>0.67</w:t>
            </w:r>
            <w:r w:rsidRPr="00353645">
              <w:rPr>
                <w:b/>
                <w:sz w:val="19"/>
                <w:szCs w:val="19"/>
                <w:vertAlign w:val="superscript"/>
              </w:rPr>
              <w:t>[b]</w:t>
            </w:r>
          </w:p>
        </w:tc>
        <w:tc>
          <w:tcPr>
            <w:tcW w:w="1126" w:type="dxa"/>
            <w:shd w:val="clear" w:color="auto" w:fill="D2EAF1"/>
          </w:tcPr>
          <w:p w:rsidR="00450725" w:rsidRPr="00353645" w:rsidRDefault="00450725" w:rsidP="00D900B5">
            <w:pPr>
              <w:jc w:val="center"/>
              <w:rPr>
                <w:sz w:val="19"/>
                <w:szCs w:val="19"/>
              </w:rPr>
            </w:pPr>
            <w:r w:rsidRPr="00353645">
              <w:rPr>
                <w:sz w:val="19"/>
                <w:szCs w:val="19"/>
              </w:rPr>
              <w:t>38</w:t>
            </w:r>
          </w:p>
        </w:tc>
      </w:tr>
      <w:tr w:rsidR="00450725" w:rsidRPr="00353645" w:rsidTr="00DD4CC7">
        <w:trPr>
          <w:trHeight w:val="346"/>
          <w:jc w:val="center"/>
        </w:trPr>
        <w:tc>
          <w:tcPr>
            <w:tcW w:w="1965" w:type="dxa"/>
            <w:vMerge/>
          </w:tcPr>
          <w:p w:rsidR="00450725" w:rsidRPr="00353645" w:rsidRDefault="00450725" w:rsidP="00D900B5">
            <w:pPr>
              <w:rPr>
                <w:sz w:val="19"/>
                <w:szCs w:val="19"/>
              </w:rPr>
            </w:pPr>
          </w:p>
        </w:tc>
        <w:tc>
          <w:tcPr>
            <w:tcW w:w="2907" w:type="dxa"/>
          </w:tcPr>
          <w:p w:rsidR="00450725" w:rsidRPr="00353645" w:rsidRDefault="00450725" w:rsidP="00D900B5">
            <w:pPr>
              <w:jc w:val="left"/>
              <w:rPr>
                <w:sz w:val="19"/>
                <w:szCs w:val="19"/>
              </w:rPr>
            </w:pPr>
            <w:r w:rsidRPr="00353645">
              <w:rPr>
                <w:sz w:val="19"/>
                <w:szCs w:val="19"/>
              </w:rPr>
              <w:t>Industrial Program Group</w:t>
            </w:r>
          </w:p>
        </w:tc>
        <w:tc>
          <w:tcPr>
            <w:tcW w:w="1117" w:type="dxa"/>
          </w:tcPr>
          <w:p w:rsidR="00450725" w:rsidRPr="00353645" w:rsidRDefault="00450725" w:rsidP="00D900B5">
            <w:pPr>
              <w:jc w:val="center"/>
              <w:rPr>
                <w:sz w:val="19"/>
                <w:szCs w:val="19"/>
              </w:rPr>
            </w:pPr>
            <w:r w:rsidRPr="00353645">
              <w:rPr>
                <w:sz w:val="19"/>
                <w:szCs w:val="19"/>
              </w:rPr>
              <w:t>0.32</w:t>
            </w:r>
          </w:p>
        </w:tc>
        <w:tc>
          <w:tcPr>
            <w:tcW w:w="1160" w:type="dxa"/>
          </w:tcPr>
          <w:p w:rsidR="00450725" w:rsidRPr="00353645" w:rsidRDefault="00450725" w:rsidP="00D900B5">
            <w:pPr>
              <w:jc w:val="center"/>
              <w:rPr>
                <w:sz w:val="19"/>
                <w:szCs w:val="19"/>
              </w:rPr>
            </w:pPr>
            <w:r w:rsidRPr="00353645">
              <w:rPr>
                <w:sz w:val="19"/>
                <w:szCs w:val="19"/>
              </w:rPr>
              <w:t>0.00</w:t>
            </w:r>
          </w:p>
        </w:tc>
        <w:tc>
          <w:tcPr>
            <w:tcW w:w="1075" w:type="dxa"/>
          </w:tcPr>
          <w:p w:rsidR="00450725" w:rsidRPr="00353645" w:rsidRDefault="00450725" w:rsidP="00D900B5">
            <w:pPr>
              <w:jc w:val="center"/>
              <w:rPr>
                <w:sz w:val="19"/>
                <w:szCs w:val="19"/>
              </w:rPr>
            </w:pPr>
            <w:r w:rsidRPr="00353645">
              <w:rPr>
                <w:sz w:val="19"/>
                <w:szCs w:val="19"/>
              </w:rPr>
              <w:t>0.68</w:t>
            </w:r>
          </w:p>
        </w:tc>
        <w:tc>
          <w:tcPr>
            <w:tcW w:w="1126" w:type="dxa"/>
            <w:vAlign w:val="center"/>
          </w:tcPr>
          <w:p w:rsidR="00450725" w:rsidRPr="00353645" w:rsidRDefault="00450725" w:rsidP="00D900B5">
            <w:pPr>
              <w:jc w:val="center"/>
              <w:rPr>
                <w:sz w:val="19"/>
                <w:szCs w:val="19"/>
              </w:rPr>
            </w:pPr>
            <w:r w:rsidRPr="00353645">
              <w:rPr>
                <w:sz w:val="19"/>
                <w:szCs w:val="19"/>
              </w:rPr>
              <w:t>18</w:t>
            </w:r>
          </w:p>
        </w:tc>
      </w:tr>
      <w:tr w:rsidR="00E7173E" w:rsidRPr="004F3A51" w:rsidTr="00DD4CC7">
        <w:trPr>
          <w:jc w:val="center"/>
        </w:trPr>
        <w:tc>
          <w:tcPr>
            <w:tcW w:w="9350" w:type="dxa"/>
            <w:gridSpan w:val="6"/>
            <w:shd w:val="clear" w:color="auto" w:fill="448A99"/>
          </w:tcPr>
          <w:p w:rsidR="00450725" w:rsidRPr="004F3A51" w:rsidRDefault="00450725" w:rsidP="00D900B5">
            <w:pPr>
              <w:rPr>
                <w:color w:val="FFFFFF"/>
                <w:sz w:val="18"/>
                <w:szCs w:val="19"/>
              </w:rPr>
            </w:pPr>
            <w:r w:rsidRPr="004F3A51">
              <w:rPr>
                <w:color w:val="FFFFFF"/>
                <w:sz w:val="18"/>
                <w:szCs w:val="19"/>
              </w:rPr>
              <w:t>NOTES</w:t>
            </w:r>
            <w:r w:rsidR="00BC3312" w:rsidRPr="004F3A51">
              <w:rPr>
                <w:color w:val="FFFFFF"/>
                <w:sz w:val="18"/>
                <w:szCs w:val="19"/>
              </w:rPr>
              <w:t>:</w:t>
            </w:r>
          </w:p>
          <w:p w:rsidR="00450725" w:rsidRPr="004F3A51" w:rsidRDefault="00450725" w:rsidP="00D900B5">
            <w:pPr>
              <w:rPr>
                <w:color w:val="FFFFFF"/>
                <w:sz w:val="18"/>
                <w:szCs w:val="19"/>
              </w:rPr>
            </w:pPr>
            <w:r w:rsidRPr="004F3A51">
              <w:rPr>
                <w:color w:val="FFFFFF"/>
                <w:sz w:val="18"/>
                <w:szCs w:val="19"/>
                <w:vertAlign w:val="superscript"/>
              </w:rPr>
              <w:t>[a]</w:t>
            </w:r>
            <w:r w:rsidRPr="004F3A51">
              <w:rPr>
                <w:color w:val="FFFFFF"/>
                <w:sz w:val="18"/>
                <w:szCs w:val="19"/>
              </w:rPr>
              <w:t xml:space="preserve"> The sample sizes provided at least 85/15 confidence/precision.</w:t>
            </w:r>
          </w:p>
          <w:p w:rsidR="00450725" w:rsidRPr="004F3A51" w:rsidRDefault="00450725" w:rsidP="00D900B5">
            <w:pPr>
              <w:rPr>
                <w:i/>
                <w:sz w:val="18"/>
                <w:szCs w:val="19"/>
              </w:rPr>
            </w:pPr>
            <w:r w:rsidRPr="004F3A51">
              <w:rPr>
                <w:color w:val="FFFFFF"/>
                <w:sz w:val="18"/>
                <w:szCs w:val="19"/>
                <w:vertAlign w:val="superscript"/>
              </w:rPr>
              <w:t>[b]</w:t>
            </w:r>
            <w:r w:rsidRPr="004F3A51">
              <w:rPr>
                <w:color w:val="FFFFFF"/>
                <w:sz w:val="18"/>
                <w:szCs w:val="19"/>
              </w:rPr>
              <w:t xml:space="preserve"> Navigant misprinted the value in the PY7 annual report. The value reported in this table is the actual value.</w:t>
            </w:r>
          </w:p>
        </w:tc>
      </w:tr>
    </w:tbl>
    <w:p w:rsidR="00450725" w:rsidRPr="006C05B5" w:rsidRDefault="00450725" w:rsidP="00450725"/>
    <w:p w:rsidR="00950837" w:rsidRPr="00E37A0C" w:rsidRDefault="00950837" w:rsidP="000D3563">
      <w:pPr>
        <w:pStyle w:val="AppendixAHeading2"/>
      </w:pPr>
      <w:r w:rsidRPr="00E37A0C">
        <w:t>Statewide Evaluator Final Recommendations</w:t>
      </w:r>
    </w:p>
    <w:p w:rsidR="00952607" w:rsidRPr="000475E0" w:rsidRDefault="00952607" w:rsidP="00952607">
      <w:pPr>
        <w:pStyle w:val="bullettext"/>
      </w:pPr>
      <w:r w:rsidRPr="000475E0">
        <w:t>The SWE Team has the following recommendations for Duquesne’s EE&amp;C programs going forward</w:t>
      </w:r>
      <w:r>
        <w:t>:</w:t>
      </w:r>
    </w:p>
    <w:p w:rsidR="00952607" w:rsidRDefault="00952607" w:rsidP="00E646C9">
      <w:pPr>
        <w:pStyle w:val="ListParagraph"/>
        <w:numPr>
          <w:ilvl w:val="0"/>
          <w:numId w:val="68"/>
        </w:numPr>
        <w:spacing w:after="120"/>
        <w:ind w:left="360"/>
        <w:contextualSpacing w:val="0"/>
      </w:pPr>
      <w:r w:rsidRPr="001F6FF4">
        <w:t xml:space="preserve">Future evaluation efforts should include sufficient details regarding HER billing analysis, both the methods and analysis, so the SWE </w:t>
      </w:r>
      <w:r>
        <w:t>T</w:t>
      </w:r>
      <w:r w:rsidRPr="001F6FF4">
        <w:t>eam can more fully assess the evaluation outcome.</w:t>
      </w:r>
    </w:p>
    <w:p w:rsidR="00952607" w:rsidRDefault="00952607" w:rsidP="00E646C9">
      <w:pPr>
        <w:pStyle w:val="ListParagraph"/>
        <w:numPr>
          <w:ilvl w:val="0"/>
          <w:numId w:val="68"/>
        </w:numPr>
        <w:spacing w:after="120"/>
        <w:ind w:left="360"/>
        <w:contextualSpacing w:val="0"/>
      </w:pPr>
      <w:r>
        <w:t>The kit programs (SEP, REEP, WHEAP) appear to be lacking two key installation rate adjustments:</w:t>
      </w:r>
    </w:p>
    <w:p w:rsidR="00952607" w:rsidRDefault="00952607" w:rsidP="00E646C9">
      <w:pPr>
        <w:pStyle w:val="ListParagraph"/>
        <w:numPr>
          <w:ilvl w:val="1"/>
          <w:numId w:val="69"/>
        </w:numPr>
        <w:spacing w:after="120"/>
        <w:ind w:left="720"/>
        <w:contextualSpacing w:val="0"/>
      </w:pPr>
      <w:r>
        <w:t>The kits programs do not currently account for future installations credited to the program, even though these programs often received a reduction in verified savings of 10%–40% due to installation rate adjustments. Future research for these programs, evaluations, and TRMs should consider longer-term installation of these measures.</w:t>
      </w:r>
    </w:p>
    <w:p w:rsidR="00952607" w:rsidRDefault="00952607" w:rsidP="00E646C9">
      <w:pPr>
        <w:pStyle w:val="ListParagraph"/>
        <w:numPr>
          <w:ilvl w:val="1"/>
          <w:numId w:val="69"/>
        </w:numPr>
        <w:spacing w:after="120"/>
        <w:ind w:left="720"/>
        <w:contextualSpacing w:val="0"/>
      </w:pPr>
      <w:r>
        <w:t>Since the kits program have shown a consistently low installation rate, future iterations of the TRM or the claimed gross ex ante savings should be adjusted for some assumed ISR. Otherwise evaluations will continue to show a lower realization rate for these programs.</w:t>
      </w:r>
    </w:p>
    <w:p w:rsidR="00952607" w:rsidRPr="00CD0382" w:rsidRDefault="00952607" w:rsidP="00E646C9">
      <w:pPr>
        <w:pStyle w:val="ListParagraph"/>
        <w:numPr>
          <w:ilvl w:val="0"/>
          <w:numId w:val="68"/>
        </w:numPr>
        <w:spacing w:after="120"/>
        <w:ind w:left="360"/>
        <w:contextualSpacing w:val="0"/>
      </w:pPr>
      <w:r w:rsidRPr="00CD0382">
        <w:t xml:space="preserve">The SWE and </w:t>
      </w:r>
      <w:r w:rsidR="00C45E9A" w:rsidRPr="00CD0382">
        <w:t>Duquesne’s</w:t>
      </w:r>
      <w:r w:rsidRPr="00CD0382">
        <w:t xml:space="preserve"> evaluation contractor should continue to monitor and assess the need to perform on-site inspections for the Duquesne low</w:t>
      </w:r>
      <w:r>
        <w:t>-</w:t>
      </w:r>
      <w:r w:rsidRPr="00CD0382">
        <w:t>income program should the program expand to offer more comprehensive retrofit options.</w:t>
      </w:r>
    </w:p>
    <w:p w:rsidR="00952607" w:rsidRPr="00501BEE" w:rsidRDefault="00952607" w:rsidP="00E646C9">
      <w:pPr>
        <w:pStyle w:val="ListParagraph"/>
        <w:numPr>
          <w:ilvl w:val="0"/>
          <w:numId w:val="68"/>
        </w:numPr>
        <w:spacing w:after="120"/>
        <w:ind w:left="360"/>
        <w:contextualSpacing w:val="0"/>
      </w:pPr>
      <w:r w:rsidRPr="00501BEE">
        <w:t>It appears that Duquesne’s upstream lighting contractor (ECOVA) has continued to modify the lightbulb lumen look</w:t>
      </w:r>
      <w:r>
        <w:t>-</w:t>
      </w:r>
      <w:r w:rsidRPr="00501BEE">
        <w:t>up table and associated logic used in its PMRS system to match the TRM tables and logic. Even with the updates, the evaluation contractor revised the baseline wattages of a fairly significant number of records (</w:t>
      </w:r>
      <w:r>
        <w:t>7%</w:t>
      </w:r>
      <w:r w:rsidRPr="00501BEE">
        <w:t>), resulting in a</w:t>
      </w:r>
      <w:r>
        <w:t>n</w:t>
      </w:r>
      <w:r w:rsidRPr="00501BEE">
        <w:t xml:space="preserve"> </w:t>
      </w:r>
      <w:r>
        <w:t xml:space="preserve">increase of </w:t>
      </w:r>
      <w:r w:rsidRPr="00501BEE">
        <w:t>approximately 1.3% in verified savings. The SWE Team continues to recommend that Duquesne have its evaluation contractor (currently Navigant) validate the logic and tables used for the lighting (and other programs) in its system very early in each program year to ensure consistency with the current-year TRM. Furthermore, in future annual reports, the evaluation contractor should include greater detail regarding PMRS validation and the records and assumptions that are inconsistent with the TRM</w:t>
      </w:r>
      <w:r>
        <w:t>,</w:t>
      </w:r>
      <w:r w:rsidRPr="00501BEE">
        <w:t xml:space="preserve"> to highlight which bulb types in particular are divergent from the TRM.</w:t>
      </w:r>
      <w:r w:rsidR="00691BB3">
        <w:t xml:space="preserve"> </w:t>
      </w:r>
    </w:p>
    <w:p w:rsidR="00952607" w:rsidRPr="00F24F10" w:rsidRDefault="00952607" w:rsidP="00E646C9">
      <w:pPr>
        <w:pStyle w:val="ListParagraph"/>
        <w:numPr>
          <w:ilvl w:val="0"/>
          <w:numId w:val="68"/>
        </w:numPr>
        <w:spacing w:after="120"/>
        <w:ind w:left="360"/>
        <w:contextualSpacing w:val="0"/>
      </w:pPr>
      <w:r>
        <w:t>Alt</w:t>
      </w:r>
      <w:r w:rsidRPr="00F24F10">
        <w:t>hough the audit did not identify any serious installation, verification, or TRM savings issues and validate</w:t>
      </w:r>
      <w:r>
        <w:t>d</w:t>
      </w:r>
      <w:r w:rsidRPr="00F24F10">
        <w:t xml:space="preserve"> Navigant’s evaluation efforts for the annual report, the annual report lacked a discussion relative to the final adjusted savings rates (realization rates) and whether the adjustments made to the verified savings were attributable to deemed savings or installation verification.</w:t>
      </w:r>
    </w:p>
    <w:p w:rsidR="00952607" w:rsidRDefault="00952607" w:rsidP="00E646C9">
      <w:pPr>
        <w:pStyle w:val="ListParagraph"/>
        <w:numPr>
          <w:ilvl w:val="0"/>
          <w:numId w:val="68"/>
        </w:numPr>
        <w:spacing w:after="120"/>
        <w:ind w:left="360"/>
        <w:contextualSpacing w:val="0"/>
      </w:pPr>
      <w:r w:rsidRPr="003D0064">
        <w:t xml:space="preserve">Understanding </w:t>
      </w:r>
      <w:r>
        <w:t xml:space="preserve">that </w:t>
      </w:r>
      <w:r w:rsidRPr="003D0064">
        <w:t>there is a balance between data</w:t>
      </w:r>
      <w:r>
        <w:t>-</w:t>
      </w:r>
      <w:r w:rsidRPr="003D0064">
        <w:t xml:space="preserve">collection requirements and cost, the SWE Team </w:t>
      </w:r>
      <w:r>
        <w:t>continues to encourage</w:t>
      </w:r>
      <w:r w:rsidRPr="003D0064">
        <w:t xml:space="preserve"> </w:t>
      </w:r>
      <w:r>
        <w:t>Duquesne to investigate the cost of having its</w:t>
      </w:r>
      <w:r w:rsidRPr="003D0064">
        <w:t xml:space="preserve"> CSP log baseline equipment and other installation parameters (installation location, actual installed quantity or length)</w:t>
      </w:r>
      <w:r>
        <w:t>,</w:t>
      </w:r>
      <w:r w:rsidRPr="003D0064">
        <w:t xml:space="preserve"> to more accurately reflect the savings</w:t>
      </w:r>
      <w:r>
        <w:t xml:space="preserve"> for high-impact measures</w:t>
      </w:r>
      <w:r w:rsidRPr="003D0064">
        <w:t xml:space="preserve">. There </w:t>
      </w:r>
      <w:r>
        <w:t xml:space="preserve">is likely significant savings </w:t>
      </w:r>
      <w:r w:rsidRPr="003D0064">
        <w:t>potential that Duquesne is stranding by relying on TRM defaults rather than</w:t>
      </w:r>
      <w:r>
        <w:t xml:space="preserve"> on</w:t>
      </w:r>
      <w:r w:rsidRPr="003D0064">
        <w:t xml:space="preserve"> EDC data collection.</w:t>
      </w:r>
    </w:p>
    <w:p w:rsidR="00BD32B2" w:rsidRDefault="00BD32B2" w:rsidP="00E646C9">
      <w:pPr>
        <w:pStyle w:val="ListParagraph"/>
        <w:numPr>
          <w:ilvl w:val="0"/>
          <w:numId w:val="68"/>
        </w:numPr>
        <w:spacing w:after="120"/>
        <w:ind w:left="360"/>
        <w:contextualSpacing w:val="0"/>
      </w:pPr>
      <w:r w:rsidRPr="00BD32B2">
        <w:t xml:space="preserve">With the new and differently implemented WHEAP, </w:t>
      </w:r>
      <w:r w:rsidR="00AD40AC" w:rsidRPr="00AD40AC">
        <w:t>track the awareness of and implementation rate for REEP rebates among WHEAP participants, to determine whether the link between the two programs is being made effectively to participants</w:t>
      </w:r>
      <w:r w:rsidRPr="00BD32B2">
        <w:t>.</w:t>
      </w:r>
    </w:p>
    <w:p w:rsidR="00BD32B2" w:rsidRDefault="00BD32B2" w:rsidP="00E646C9">
      <w:pPr>
        <w:pStyle w:val="ListParagraph"/>
        <w:numPr>
          <w:ilvl w:val="0"/>
          <w:numId w:val="68"/>
        </w:numPr>
        <w:spacing w:after="120"/>
        <w:ind w:left="360"/>
        <w:contextualSpacing w:val="0"/>
      </w:pPr>
      <w:r w:rsidRPr="00BD32B2">
        <w:t xml:space="preserve">If it is cost-effective, </w:t>
      </w:r>
      <w:r w:rsidR="00AD40AC" w:rsidRPr="00AD40AC">
        <w:t>consider using the REEP and Low-Income Energy Efficiency Program (LIEEP) to introduce LEDs to participants in addition to one or more CFLs, as LEDs may result in lower free-ridership</w:t>
      </w:r>
      <w:r>
        <w:t>.</w:t>
      </w:r>
    </w:p>
    <w:p w:rsidR="00BD32B2" w:rsidRPr="003D0064" w:rsidRDefault="00BD32B2" w:rsidP="00E646C9">
      <w:pPr>
        <w:pStyle w:val="ListParagraph"/>
        <w:numPr>
          <w:ilvl w:val="0"/>
          <w:numId w:val="68"/>
        </w:numPr>
        <w:ind w:left="360"/>
        <w:contextualSpacing w:val="0"/>
      </w:pPr>
      <w:r w:rsidRPr="00BD32B2">
        <w:t>If Phase III activities shift from promoting primarily CFLs to LEDs, consider updating or changing Wattley, the Watt Choices image, to look less like a CFL.</w:t>
      </w:r>
    </w:p>
    <w:p w:rsidR="00C60756" w:rsidRDefault="00C60756">
      <w:pPr>
        <w:jc w:val="left"/>
      </w:pPr>
    </w:p>
    <w:p w:rsidR="00950837" w:rsidRPr="00353645" w:rsidRDefault="00950837" w:rsidP="00353645">
      <w:pPr>
        <w:pStyle w:val="AppendixAHeading1"/>
      </w:pPr>
      <w:r w:rsidRPr="00353645">
        <w:t>Met-Ed</w:t>
      </w:r>
    </w:p>
    <w:p w:rsidR="0065314C" w:rsidRDefault="0065314C" w:rsidP="0065314C">
      <w:r w:rsidRPr="00735BA9">
        <w:t xml:space="preserve">This </w:t>
      </w:r>
      <w:r>
        <w:t>section</w:t>
      </w:r>
      <w:r w:rsidRPr="00735BA9">
        <w:t xml:space="preserve"> summarizes </w:t>
      </w:r>
      <w:r>
        <w:t>Met-Ed</w:t>
      </w:r>
      <w:r w:rsidRPr="00735BA9">
        <w:t xml:space="preserve">’s program performance </w:t>
      </w:r>
      <w:r>
        <w:t>through PY7</w:t>
      </w:r>
      <w:r w:rsidRPr="00735BA9">
        <w:t xml:space="preserve">. It includes an overview of the cumulative energy savings and demand reductions achieved by </w:t>
      </w:r>
      <w:r>
        <w:t>Met-Ed</w:t>
      </w:r>
      <w:r w:rsidRPr="00735BA9">
        <w:t xml:space="preserve">’s Act 129 EE&amp;C programs in Phase II; an overview of the TRC test results for each program and for the portfolio of programs; a discussion of the activities completed by </w:t>
      </w:r>
      <w:r>
        <w:t>Met-Ed</w:t>
      </w:r>
      <w:r w:rsidRPr="00735BA9">
        <w:t xml:space="preserve">’s evaluation contractor to conduct M&amp;V of </w:t>
      </w:r>
      <w:r w:rsidR="00C60756">
        <w:t>Met-Ed</w:t>
      </w:r>
      <w:r w:rsidR="00C60756" w:rsidRPr="00735BA9">
        <w:t xml:space="preserve">’s </w:t>
      </w:r>
      <w:r w:rsidRPr="00735BA9">
        <w:t xml:space="preserve">EE&amp;C programs and to calculate the cost-effectiveness of the portfolio of programs; a description of the work and findings of the SWE Team audits; and the SWE Team’s recommendations of actions to help improve </w:t>
      </w:r>
      <w:r>
        <w:t>Met-Ed</w:t>
      </w:r>
      <w:r w:rsidRPr="00735BA9">
        <w:t>’s programs in the future</w:t>
      </w:r>
      <w:r>
        <w:t>.</w:t>
      </w:r>
    </w:p>
    <w:p w:rsidR="0065314C" w:rsidRPr="0065314C" w:rsidRDefault="0065314C" w:rsidP="0065314C"/>
    <w:p w:rsidR="00950837" w:rsidRPr="00E37A0C" w:rsidRDefault="00950837" w:rsidP="000D3563">
      <w:pPr>
        <w:pStyle w:val="AppendixAHeading2"/>
      </w:pPr>
      <w:r w:rsidRPr="00E37A0C">
        <w:t>Summary of Energy and Demand Reductions</w:t>
      </w:r>
    </w:p>
    <w:p w:rsidR="009C5272" w:rsidRDefault="009C5272" w:rsidP="009C5272">
      <w:r>
        <w:t xml:space="preserve">This section lists the programs </w:t>
      </w:r>
      <w:r w:rsidR="009A66A7">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9C0DF1">
      <w:pPr>
        <w:pStyle w:val="AppendixAHeading3"/>
      </w:pPr>
      <w:r>
        <w:t>Phase II Savings by Program</w:t>
      </w:r>
    </w:p>
    <w:p w:rsidR="008C19A4" w:rsidRDefault="008C19A4" w:rsidP="008C19A4">
      <w:r>
        <w:t xml:space="preserve">Table A-27 </w:t>
      </w:r>
      <w:r w:rsidR="006F7DE9" w:rsidRPr="008C19A4">
        <w:t xml:space="preserve">lists the </w:t>
      </w:r>
      <w:r w:rsidR="005A27BE" w:rsidRPr="008C19A4">
        <w:t>Met-Ed</w:t>
      </w:r>
      <w:r w:rsidR="006F7DE9" w:rsidRPr="008C19A4">
        <w:t xml:space="preserve"> EE&amp;C programs that yielded reported savings in PY7. </w:t>
      </w:r>
    </w:p>
    <w:p w:rsidR="008C19A4" w:rsidRPr="008C19A4" w:rsidRDefault="008C19A4" w:rsidP="008C19A4"/>
    <w:p w:rsidR="006F7DE9" w:rsidRPr="008C19A4" w:rsidRDefault="008C19A4" w:rsidP="008C19A4">
      <w:r>
        <w:t xml:space="preserve">Table A-28 </w:t>
      </w:r>
      <w:r w:rsidR="006F7DE9" w:rsidRPr="008C19A4">
        <w:t xml:space="preserve">shows the verified gross energy and demand savings of each program at the conclusion of Phase II. The </w:t>
      </w:r>
      <w:r w:rsidR="00932518" w:rsidRPr="008C19A4">
        <w:t>Home Performance</w:t>
      </w:r>
      <w:r w:rsidR="006F7DE9" w:rsidRPr="008C19A4">
        <w:t xml:space="preserve"> program was the largest contributor of </w:t>
      </w:r>
      <w:r w:rsidR="00932518" w:rsidRPr="008C19A4">
        <w:t>e</w:t>
      </w:r>
      <w:r w:rsidR="006F7DE9" w:rsidRPr="008C19A4">
        <w:t>nergy savings.</w:t>
      </w:r>
    </w:p>
    <w:p w:rsidR="006F7DE9" w:rsidRPr="004B480A" w:rsidRDefault="006F7DE9" w:rsidP="006F7DE9"/>
    <w:p w:rsidR="006F7DE9" w:rsidRDefault="006F7DE9" w:rsidP="004837FA">
      <w:pPr>
        <w:pStyle w:val="Caption"/>
      </w:pPr>
      <w:bookmarkStart w:id="651" w:name="_Ref472359048"/>
      <w:bookmarkStart w:id="652" w:name="_Toc472472436"/>
      <w:bookmarkStart w:id="653" w:name="_Toc488741855"/>
      <w:r w:rsidRPr="00E41D9C">
        <w:t>Table A-</w:t>
      </w:r>
      <w:r w:rsidR="007973A4">
        <w:fldChar w:fldCharType="begin"/>
      </w:r>
      <w:r w:rsidR="007973A4">
        <w:instrText xml:space="preserve"> SEQ Table_A- \* ARABIC </w:instrText>
      </w:r>
      <w:r w:rsidR="007973A4">
        <w:fldChar w:fldCharType="separate"/>
      </w:r>
      <w:r w:rsidR="00037CB4">
        <w:rPr>
          <w:noProof/>
        </w:rPr>
        <w:t>27</w:t>
      </w:r>
      <w:r w:rsidR="007973A4">
        <w:rPr>
          <w:noProof/>
        </w:rPr>
        <w:fldChar w:fldCharType="end"/>
      </w:r>
      <w:bookmarkEnd w:id="651"/>
      <w:r w:rsidRPr="00E41D9C">
        <w:t xml:space="preserve">: </w:t>
      </w:r>
      <w:r w:rsidR="005A27BE">
        <w:t>Met-Ed</w:t>
      </w:r>
      <w:r w:rsidRPr="00E41D9C">
        <w:t xml:space="preserve"> EE&amp;C Programs wi</w:t>
      </w:r>
      <w:r>
        <w:t>th Reported Gross Savings in PY7</w:t>
      </w:r>
      <w:bookmarkEnd w:id="652"/>
      <w:bookmarkEnd w:id="653"/>
    </w:p>
    <w:tbl>
      <w:tblPr>
        <w:tblW w:w="9440" w:type="dxa"/>
        <w:tblLook w:val="04A0" w:firstRow="1" w:lastRow="0" w:firstColumn="1" w:lastColumn="0" w:noHBand="0" w:noVBand="1"/>
      </w:tblPr>
      <w:tblGrid>
        <w:gridCol w:w="4675"/>
        <w:gridCol w:w="4765"/>
      </w:tblGrid>
      <w:tr w:rsidR="00E7173E" w:rsidRPr="00353645" w:rsidTr="00353645">
        <w:trPr>
          <w:trHeight w:val="241"/>
          <w:tblHeader/>
        </w:trPr>
        <w:tc>
          <w:tcPr>
            <w:tcW w:w="4675"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932518" w:rsidRPr="00353645" w:rsidRDefault="00932518" w:rsidP="008D7800">
            <w:pPr>
              <w:rPr>
                <w:b/>
                <w:bCs/>
                <w:color w:val="FFFFFF"/>
                <w:sz w:val="19"/>
                <w:szCs w:val="19"/>
              </w:rPr>
            </w:pPr>
            <w:r w:rsidRPr="00353645">
              <w:rPr>
                <w:b/>
                <w:bCs/>
                <w:color w:val="FFFFFF"/>
                <w:sz w:val="19"/>
                <w:szCs w:val="19"/>
              </w:rPr>
              <w:t>Programs Reporting PY7 Gross Savings</w:t>
            </w:r>
          </w:p>
        </w:tc>
        <w:tc>
          <w:tcPr>
            <w:tcW w:w="4765"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353645" w:rsidRDefault="009A66A7" w:rsidP="008D7800">
            <w:pPr>
              <w:jc w:val="center"/>
              <w:rPr>
                <w:b/>
                <w:bCs/>
                <w:color w:val="FFFFFF"/>
                <w:sz w:val="19"/>
                <w:szCs w:val="19"/>
              </w:rPr>
            </w:pPr>
            <w:r w:rsidRPr="00353645">
              <w:rPr>
                <w:b/>
                <w:bCs/>
                <w:color w:val="FFFFFF"/>
                <w:sz w:val="19"/>
                <w:szCs w:val="19"/>
              </w:rPr>
              <w:t>Sector</w:t>
            </w:r>
          </w:p>
        </w:tc>
      </w:tr>
      <w:tr w:rsidR="00E7173E" w:rsidRPr="00353645" w:rsidTr="00353645">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Appliance Turn-In</w:t>
            </w:r>
          </w:p>
        </w:tc>
        <w:tc>
          <w:tcPr>
            <w:tcW w:w="4765"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8D7800">
            <w:pPr>
              <w:jc w:val="center"/>
              <w:rPr>
                <w:color w:val="000000"/>
                <w:sz w:val="19"/>
                <w:szCs w:val="19"/>
              </w:rPr>
            </w:pPr>
            <w:r w:rsidRPr="00353645">
              <w:rPr>
                <w:color w:val="000000"/>
                <w:sz w:val="19"/>
                <w:szCs w:val="19"/>
              </w:rPr>
              <w:t>Residential</w:t>
            </w:r>
          </w:p>
        </w:tc>
      </w:tr>
      <w:tr w:rsidR="00E7173E" w:rsidRPr="00353645" w:rsidTr="00353645">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353645" w:rsidRDefault="00932518" w:rsidP="00932518">
            <w:pPr>
              <w:rPr>
                <w:color w:val="000000"/>
                <w:sz w:val="19"/>
                <w:szCs w:val="19"/>
              </w:rPr>
            </w:pPr>
            <w:r w:rsidRPr="00353645">
              <w:rPr>
                <w:color w:val="000000"/>
                <w:sz w:val="19"/>
                <w:szCs w:val="19"/>
              </w:rPr>
              <w:t>Efficient Products</w:t>
            </w:r>
          </w:p>
        </w:tc>
        <w:tc>
          <w:tcPr>
            <w:tcW w:w="4765"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8D7800">
            <w:pPr>
              <w:jc w:val="center"/>
              <w:rPr>
                <w:color w:val="000000"/>
                <w:sz w:val="19"/>
                <w:szCs w:val="19"/>
              </w:rPr>
            </w:pPr>
            <w:r w:rsidRPr="00353645">
              <w:rPr>
                <w:color w:val="000000"/>
                <w:sz w:val="19"/>
                <w:szCs w:val="19"/>
              </w:rPr>
              <w:t>Residential</w:t>
            </w:r>
          </w:p>
        </w:tc>
      </w:tr>
      <w:tr w:rsidR="00E7173E" w:rsidRPr="00353645" w:rsidTr="00353645">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Home Performance</w:t>
            </w:r>
          </w:p>
        </w:tc>
        <w:tc>
          <w:tcPr>
            <w:tcW w:w="4765"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8D7800">
            <w:pPr>
              <w:jc w:val="center"/>
              <w:rPr>
                <w:color w:val="000000"/>
                <w:sz w:val="19"/>
                <w:szCs w:val="19"/>
              </w:rPr>
            </w:pPr>
            <w:r w:rsidRPr="00353645">
              <w:rPr>
                <w:color w:val="000000"/>
                <w:sz w:val="19"/>
                <w:szCs w:val="19"/>
              </w:rPr>
              <w:t>Residential</w:t>
            </w:r>
          </w:p>
        </w:tc>
      </w:tr>
      <w:tr w:rsidR="00E7173E" w:rsidRPr="00353645" w:rsidTr="00353645">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353645" w:rsidRDefault="00932518" w:rsidP="00932518">
            <w:pPr>
              <w:rPr>
                <w:color w:val="000000"/>
                <w:sz w:val="19"/>
                <w:szCs w:val="19"/>
              </w:rPr>
            </w:pPr>
            <w:r w:rsidRPr="00353645">
              <w:rPr>
                <w:color w:val="000000"/>
                <w:sz w:val="19"/>
                <w:szCs w:val="19"/>
              </w:rPr>
              <w:t>Low Income</w:t>
            </w:r>
          </w:p>
        </w:tc>
        <w:tc>
          <w:tcPr>
            <w:tcW w:w="4765"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8D7800">
            <w:pPr>
              <w:jc w:val="center"/>
              <w:rPr>
                <w:color w:val="000000"/>
                <w:sz w:val="19"/>
                <w:szCs w:val="19"/>
              </w:rPr>
            </w:pPr>
            <w:r w:rsidRPr="00353645">
              <w:rPr>
                <w:color w:val="000000"/>
                <w:sz w:val="19"/>
                <w:szCs w:val="19"/>
              </w:rPr>
              <w:t>Low-Income</w:t>
            </w:r>
          </w:p>
        </w:tc>
      </w:tr>
      <w:tr w:rsidR="00E7173E" w:rsidRPr="00353645" w:rsidTr="00353645">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Small C/I Equipment</w:t>
            </w:r>
          </w:p>
        </w:tc>
        <w:tc>
          <w:tcPr>
            <w:tcW w:w="4765"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8D7800">
            <w:pPr>
              <w:jc w:val="center"/>
              <w:rPr>
                <w:color w:val="000000"/>
                <w:sz w:val="19"/>
                <w:szCs w:val="19"/>
              </w:rPr>
            </w:pPr>
            <w:r w:rsidRPr="00353645">
              <w:rPr>
                <w:color w:val="000000"/>
                <w:sz w:val="19"/>
                <w:szCs w:val="19"/>
              </w:rPr>
              <w:t>Non-Residential</w:t>
            </w:r>
          </w:p>
        </w:tc>
      </w:tr>
      <w:tr w:rsidR="00E7173E" w:rsidRPr="00353645" w:rsidTr="00353645">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353645" w:rsidRDefault="00932518" w:rsidP="00932518">
            <w:pPr>
              <w:rPr>
                <w:color w:val="000000"/>
                <w:sz w:val="19"/>
                <w:szCs w:val="19"/>
              </w:rPr>
            </w:pPr>
            <w:r w:rsidRPr="00353645">
              <w:rPr>
                <w:color w:val="000000"/>
                <w:sz w:val="19"/>
                <w:szCs w:val="19"/>
              </w:rPr>
              <w:t>Small C/I Buildings</w:t>
            </w:r>
          </w:p>
        </w:tc>
        <w:tc>
          <w:tcPr>
            <w:tcW w:w="4765"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8D7800">
            <w:pPr>
              <w:jc w:val="center"/>
              <w:rPr>
                <w:color w:val="000000"/>
                <w:sz w:val="19"/>
                <w:szCs w:val="19"/>
              </w:rPr>
            </w:pPr>
            <w:r w:rsidRPr="00353645">
              <w:rPr>
                <w:color w:val="000000"/>
                <w:sz w:val="19"/>
                <w:szCs w:val="19"/>
              </w:rPr>
              <w:t>Non-Residential</w:t>
            </w:r>
          </w:p>
        </w:tc>
      </w:tr>
      <w:tr w:rsidR="00E7173E" w:rsidRPr="00353645" w:rsidTr="00353645">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Large C/I Equipment</w:t>
            </w:r>
          </w:p>
        </w:tc>
        <w:tc>
          <w:tcPr>
            <w:tcW w:w="4765"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8D7800">
            <w:pPr>
              <w:jc w:val="center"/>
              <w:rPr>
                <w:color w:val="000000"/>
                <w:sz w:val="19"/>
                <w:szCs w:val="19"/>
              </w:rPr>
            </w:pPr>
            <w:r w:rsidRPr="00353645">
              <w:rPr>
                <w:color w:val="000000"/>
                <w:sz w:val="19"/>
                <w:szCs w:val="19"/>
              </w:rPr>
              <w:t>Non-Residential</w:t>
            </w:r>
          </w:p>
        </w:tc>
      </w:tr>
      <w:tr w:rsidR="00E7173E" w:rsidRPr="00353645" w:rsidTr="00353645">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353645" w:rsidRDefault="00932518" w:rsidP="00932518">
            <w:pPr>
              <w:rPr>
                <w:color w:val="000000"/>
                <w:sz w:val="19"/>
                <w:szCs w:val="19"/>
              </w:rPr>
            </w:pPr>
            <w:r w:rsidRPr="00353645">
              <w:rPr>
                <w:color w:val="000000"/>
                <w:sz w:val="19"/>
                <w:szCs w:val="19"/>
              </w:rPr>
              <w:t>Large C/I Buildings</w:t>
            </w:r>
          </w:p>
        </w:tc>
        <w:tc>
          <w:tcPr>
            <w:tcW w:w="4765"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8D7800">
            <w:pPr>
              <w:jc w:val="center"/>
              <w:rPr>
                <w:color w:val="000000"/>
                <w:sz w:val="19"/>
                <w:szCs w:val="19"/>
              </w:rPr>
            </w:pPr>
            <w:r w:rsidRPr="00353645">
              <w:rPr>
                <w:color w:val="000000"/>
                <w:sz w:val="19"/>
                <w:szCs w:val="19"/>
              </w:rPr>
              <w:t>Non-Residential</w:t>
            </w:r>
          </w:p>
        </w:tc>
      </w:tr>
      <w:tr w:rsidR="00E7173E" w:rsidRPr="00353645" w:rsidTr="00353645">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Gov./Institutional</w:t>
            </w:r>
          </w:p>
        </w:tc>
        <w:tc>
          <w:tcPr>
            <w:tcW w:w="4765"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8D7800">
            <w:pPr>
              <w:jc w:val="center"/>
              <w:rPr>
                <w:color w:val="000000"/>
                <w:sz w:val="19"/>
                <w:szCs w:val="19"/>
              </w:rPr>
            </w:pPr>
            <w:r w:rsidRPr="00353645">
              <w:rPr>
                <w:color w:val="000000"/>
                <w:sz w:val="19"/>
                <w:szCs w:val="19"/>
              </w:rPr>
              <w:t>GNI</w:t>
            </w:r>
          </w:p>
        </w:tc>
      </w:tr>
    </w:tbl>
    <w:p w:rsidR="006F7DE9" w:rsidRDefault="006F7DE9" w:rsidP="006F7DE9"/>
    <w:p w:rsidR="006F7DE9" w:rsidRDefault="006F7DE9" w:rsidP="004837FA">
      <w:pPr>
        <w:pStyle w:val="Caption"/>
      </w:pPr>
      <w:bookmarkStart w:id="654" w:name="_Ref472359054"/>
      <w:bookmarkStart w:id="655" w:name="_Toc472472437"/>
      <w:bookmarkStart w:id="656" w:name="_Toc488741856"/>
      <w:r w:rsidRPr="00E41D9C">
        <w:t>Table A-</w:t>
      </w:r>
      <w:r w:rsidR="007973A4">
        <w:fldChar w:fldCharType="begin"/>
      </w:r>
      <w:r w:rsidR="007973A4">
        <w:instrText xml:space="preserve"> SEQ Table_A- \* ARABIC </w:instrText>
      </w:r>
      <w:r w:rsidR="007973A4">
        <w:fldChar w:fldCharType="separate"/>
      </w:r>
      <w:r w:rsidR="00037CB4">
        <w:rPr>
          <w:noProof/>
        </w:rPr>
        <w:t>28</w:t>
      </w:r>
      <w:r w:rsidR="007973A4">
        <w:rPr>
          <w:noProof/>
        </w:rPr>
        <w:fldChar w:fldCharType="end"/>
      </w:r>
      <w:bookmarkEnd w:id="654"/>
      <w:r w:rsidRPr="00E41D9C">
        <w:t xml:space="preserve">: </w:t>
      </w:r>
      <w:r w:rsidRPr="005A1DB5">
        <w:t>Summary</w:t>
      </w:r>
      <w:r w:rsidR="005A27BE">
        <w:t xml:space="preserve"> of M</w:t>
      </w:r>
      <w:r w:rsidRPr="005A1DB5">
        <w:t>e</w:t>
      </w:r>
      <w:r w:rsidR="005A27BE">
        <w:t>t-Ed</w:t>
      </w:r>
      <w:r w:rsidRPr="005A1DB5">
        <w:t xml:space="preserve"> EE&amp;C Program Impacts on Verified Gross Portfolio Savings</w:t>
      </w:r>
      <w:bookmarkEnd w:id="655"/>
      <w:bookmarkEnd w:id="656"/>
    </w:p>
    <w:tbl>
      <w:tblPr>
        <w:tblW w:w="9450" w:type="dxa"/>
        <w:tblInd w:w="-10" w:type="dxa"/>
        <w:tblLayout w:type="fixed"/>
        <w:tblLook w:val="04A0" w:firstRow="1" w:lastRow="0" w:firstColumn="1" w:lastColumn="0" w:noHBand="0" w:noVBand="1"/>
      </w:tblPr>
      <w:tblGrid>
        <w:gridCol w:w="2340"/>
        <w:gridCol w:w="1752"/>
        <w:gridCol w:w="1753"/>
        <w:gridCol w:w="1752"/>
        <w:gridCol w:w="1853"/>
      </w:tblGrid>
      <w:tr w:rsidR="00A874AC" w:rsidRPr="00353645" w:rsidTr="00DF3269">
        <w:trPr>
          <w:trHeight w:val="576"/>
        </w:trPr>
        <w:tc>
          <w:tcPr>
            <w:tcW w:w="234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932518" w:rsidRPr="00353645" w:rsidRDefault="00932518" w:rsidP="008D7800">
            <w:pPr>
              <w:rPr>
                <w:b/>
                <w:bCs/>
                <w:color w:val="FFFFFF"/>
                <w:sz w:val="19"/>
                <w:szCs w:val="19"/>
              </w:rPr>
            </w:pPr>
            <w:r w:rsidRPr="00353645">
              <w:rPr>
                <w:b/>
                <w:bCs/>
                <w:color w:val="FFFFFF"/>
                <w:sz w:val="19"/>
                <w:szCs w:val="19"/>
              </w:rPr>
              <w:t>Program</w:t>
            </w:r>
          </w:p>
        </w:tc>
        <w:tc>
          <w:tcPr>
            <w:tcW w:w="1752"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353645" w:rsidRDefault="00932518" w:rsidP="008D7800">
            <w:pPr>
              <w:jc w:val="center"/>
              <w:rPr>
                <w:b/>
                <w:bCs/>
                <w:color w:val="FFFFFF"/>
                <w:sz w:val="19"/>
                <w:szCs w:val="19"/>
              </w:rPr>
            </w:pPr>
            <w:r w:rsidRPr="00353645">
              <w:rPr>
                <w:b/>
                <w:bCs/>
                <w:color w:val="FFFFFF"/>
                <w:sz w:val="19"/>
                <w:szCs w:val="19"/>
              </w:rPr>
              <w:t>Phase II VG Savings (MWh)</w:t>
            </w:r>
          </w:p>
        </w:tc>
        <w:tc>
          <w:tcPr>
            <w:tcW w:w="1753"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353645" w:rsidRDefault="00932518" w:rsidP="008D7800">
            <w:pPr>
              <w:jc w:val="center"/>
              <w:rPr>
                <w:b/>
                <w:bCs/>
                <w:color w:val="FFFFFF"/>
                <w:sz w:val="19"/>
                <w:szCs w:val="19"/>
              </w:rPr>
            </w:pPr>
            <w:r w:rsidRPr="00353645">
              <w:rPr>
                <w:b/>
                <w:bCs/>
                <w:color w:val="FFFFFF"/>
                <w:sz w:val="19"/>
                <w:szCs w:val="19"/>
              </w:rPr>
              <w:t>Percent of Portfolio Phase II VG MWh Savings</w:t>
            </w:r>
          </w:p>
        </w:tc>
        <w:tc>
          <w:tcPr>
            <w:tcW w:w="1752"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353645" w:rsidRDefault="00932518" w:rsidP="008D7800">
            <w:pPr>
              <w:jc w:val="center"/>
              <w:rPr>
                <w:b/>
                <w:bCs/>
                <w:color w:val="FFFFFF"/>
                <w:sz w:val="19"/>
                <w:szCs w:val="19"/>
              </w:rPr>
            </w:pPr>
            <w:r w:rsidRPr="00353645">
              <w:rPr>
                <w:b/>
                <w:bCs/>
                <w:color w:val="FFFFFF"/>
                <w:sz w:val="19"/>
                <w:szCs w:val="19"/>
              </w:rPr>
              <w:t>Phase II VG Savings (MW)</w:t>
            </w:r>
          </w:p>
        </w:tc>
        <w:tc>
          <w:tcPr>
            <w:tcW w:w="1853"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353645" w:rsidRDefault="00932518" w:rsidP="008D7800">
            <w:pPr>
              <w:jc w:val="center"/>
              <w:rPr>
                <w:b/>
                <w:bCs/>
                <w:color w:val="FFFFFF"/>
                <w:sz w:val="19"/>
                <w:szCs w:val="19"/>
              </w:rPr>
            </w:pPr>
            <w:r w:rsidRPr="00353645">
              <w:rPr>
                <w:b/>
                <w:bCs/>
                <w:color w:val="FFFFFF"/>
                <w:sz w:val="19"/>
                <w:szCs w:val="19"/>
              </w:rPr>
              <w:t>Percent of Portfolio Phase II VG MW Savings</w:t>
            </w:r>
          </w:p>
        </w:tc>
      </w:tr>
      <w:tr w:rsidR="00E7173E"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Appliance Turn-In</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14,253</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353645" w:rsidRDefault="00932518" w:rsidP="00932518">
            <w:pPr>
              <w:jc w:val="center"/>
              <w:rPr>
                <w:color w:val="000000"/>
                <w:sz w:val="19"/>
                <w:szCs w:val="19"/>
              </w:rPr>
            </w:pPr>
            <w:r w:rsidRPr="00353645">
              <w:rPr>
                <w:color w:val="000000"/>
                <w:sz w:val="19"/>
                <w:szCs w:val="19"/>
              </w:rPr>
              <w:t>4%</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2.20</w:t>
            </w:r>
          </w:p>
        </w:tc>
        <w:tc>
          <w:tcPr>
            <w:tcW w:w="1853" w:type="dxa"/>
            <w:tcBorders>
              <w:top w:val="nil"/>
              <w:left w:val="nil"/>
              <w:bottom w:val="single" w:sz="8" w:space="0" w:color="448A99"/>
              <w:right w:val="single" w:sz="8" w:space="0" w:color="448A99"/>
            </w:tcBorders>
            <w:shd w:val="clear" w:color="auto" w:fill="auto"/>
            <w:noWrap/>
            <w:vAlign w:val="center"/>
            <w:hideMark/>
          </w:tcPr>
          <w:p w:rsidR="00932518" w:rsidRPr="00353645" w:rsidRDefault="00932518" w:rsidP="00932518">
            <w:pPr>
              <w:jc w:val="center"/>
              <w:rPr>
                <w:color w:val="000000"/>
                <w:sz w:val="19"/>
                <w:szCs w:val="19"/>
              </w:rPr>
            </w:pPr>
            <w:r w:rsidRPr="00353645">
              <w:rPr>
                <w:color w:val="000000"/>
                <w:sz w:val="19"/>
                <w:szCs w:val="19"/>
              </w:rPr>
              <w:t>5%</w:t>
            </w:r>
          </w:p>
        </w:tc>
      </w:tr>
      <w:tr w:rsidR="00A874AC"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353645" w:rsidRDefault="00932518" w:rsidP="00932518">
            <w:pPr>
              <w:rPr>
                <w:color w:val="000000"/>
                <w:sz w:val="19"/>
                <w:szCs w:val="19"/>
              </w:rPr>
            </w:pPr>
            <w:r w:rsidRPr="00353645">
              <w:rPr>
                <w:color w:val="000000"/>
                <w:sz w:val="19"/>
                <w:szCs w:val="19"/>
              </w:rPr>
              <w:t>Efficient Products</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89,130</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353645" w:rsidRDefault="00932518" w:rsidP="00932518">
            <w:pPr>
              <w:jc w:val="center"/>
              <w:rPr>
                <w:color w:val="000000"/>
                <w:sz w:val="19"/>
                <w:szCs w:val="19"/>
              </w:rPr>
            </w:pPr>
            <w:r w:rsidRPr="00353645">
              <w:rPr>
                <w:color w:val="000000"/>
                <w:sz w:val="19"/>
                <w:szCs w:val="19"/>
              </w:rPr>
              <w:t>24%</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9.90</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22%</w:t>
            </w:r>
          </w:p>
        </w:tc>
      </w:tr>
      <w:tr w:rsidR="00E7173E"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Home Performance</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111,045</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353645" w:rsidRDefault="00932518" w:rsidP="00932518">
            <w:pPr>
              <w:jc w:val="center"/>
              <w:rPr>
                <w:color w:val="000000"/>
                <w:sz w:val="19"/>
                <w:szCs w:val="19"/>
              </w:rPr>
            </w:pPr>
            <w:r w:rsidRPr="00353645">
              <w:rPr>
                <w:color w:val="000000"/>
                <w:sz w:val="19"/>
                <w:szCs w:val="19"/>
              </w:rPr>
              <w:t>30%</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11.04</w:t>
            </w:r>
          </w:p>
        </w:tc>
        <w:tc>
          <w:tcPr>
            <w:tcW w:w="1853" w:type="dxa"/>
            <w:tcBorders>
              <w:top w:val="nil"/>
              <w:left w:val="nil"/>
              <w:bottom w:val="single" w:sz="8" w:space="0" w:color="448A99"/>
              <w:right w:val="single" w:sz="8" w:space="0" w:color="448A99"/>
            </w:tcBorders>
            <w:shd w:val="clear" w:color="auto" w:fill="auto"/>
            <w:noWrap/>
            <w:vAlign w:val="center"/>
            <w:hideMark/>
          </w:tcPr>
          <w:p w:rsidR="00932518" w:rsidRPr="00353645" w:rsidRDefault="00932518" w:rsidP="00932518">
            <w:pPr>
              <w:jc w:val="center"/>
              <w:rPr>
                <w:color w:val="000000"/>
                <w:sz w:val="19"/>
                <w:szCs w:val="19"/>
              </w:rPr>
            </w:pPr>
            <w:r w:rsidRPr="00353645">
              <w:rPr>
                <w:color w:val="000000"/>
                <w:sz w:val="19"/>
                <w:szCs w:val="19"/>
              </w:rPr>
              <w:t>24%</w:t>
            </w:r>
          </w:p>
        </w:tc>
      </w:tr>
      <w:tr w:rsidR="00A874AC"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353645" w:rsidRDefault="00932518" w:rsidP="00932518">
            <w:pPr>
              <w:rPr>
                <w:color w:val="000000"/>
                <w:sz w:val="19"/>
                <w:szCs w:val="19"/>
              </w:rPr>
            </w:pPr>
            <w:r w:rsidRPr="00353645">
              <w:rPr>
                <w:color w:val="000000"/>
                <w:sz w:val="19"/>
                <w:szCs w:val="19"/>
              </w:rPr>
              <w:t>Low Income</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6,463</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353645" w:rsidRDefault="00932518" w:rsidP="00932518">
            <w:pPr>
              <w:jc w:val="center"/>
              <w:rPr>
                <w:color w:val="000000"/>
                <w:sz w:val="19"/>
                <w:szCs w:val="19"/>
              </w:rPr>
            </w:pPr>
            <w:r w:rsidRPr="00353645">
              <w:rPr>
                <w:color w:val="000000"/>
                <w:sz w:val="19"/>
                <w:szCs w:val="19"/>
              </w:rPr>
              <w:t>2%</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0.51</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1%</w:t>
            </w:r>
          </w:p>
        </w:tc>
      </w:tr>
      <w:tr w:rsidR="00E7173E"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Small C/I Equipment</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49,750</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353645" w:rsidRDefault="00932518" w:rsidP="00932518">
            <w:pPr>
              <w:jc w:val="center"/>
              <w:rPr>
                <w:color w:val="000000"/>
                <w:sz w:val="19"/>
                <w:szCs w:val="19"/>
              </w:rPr>
            </w:pPr>
            <w:r w:rsidRPr="00353645">
              <w:rPr>
                <w:color w:val="000000"/>
                <w:sz w:val="19"/>
                <w:szCs w:val="19"/>
              </w:rPr>
              <w:t>14%</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8.31</w:t>
            </w:r>
          </w:p>
        </w:tc>
        <w:tc>
          <w:tcPr>
            <w:tcW w:w="1853" w:type="dxa"/>
            <w:tcBorders>
              <w:top w:val="nil"/>
              <w:left w:val="nil"/>
              <w:bottom w:val="single" w:sz="8" w:space="0" w:color="448A99"/>
              <w:right w:val="single" w:sz="8" w:space="0" w:color="448A99"/>
            </w:tcBorders>
            <w:shd w:val="clear" w:color="auto" w:fill="auto"/>
            <w:noWrap/>
            <w:vAlign w:val="center"/>
            <w:hideMark/>
          </w:tcPr>
          <w:p w:rsidR="00932518" w:rsidRPr="00353645" w:rsidRDefault="00932518" w:rsidP="00932518">
            <w:pPr>
              <w:jc w:val="center"/>
              <w:rPr>
                <w:color w:val="000000"/>
                <w:sz w:val="19"/>
                <w:szCs w:val="19"/>
              </w:rPr>
            </w:pPr>
            <w:r w:rsidRPr="00353645">
              <w:rPr>
                <w:color w:val="000000"/>
                <w:sz w:val="19"/>
                <w:szCs w:val="19"/>
              </w:rPr>
              <w:t>18%</w:t>
            </w:r>
          </w:p>
        </w:tc>
      </w:tr>
      <w:tr w:rsidR="00A874AC"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353645" w:rsidRDefault="00932518" w:rsidP="00932518">
            <w:pPr>
              <w:rPr>
                <w:color w:val="000000"/>
                <w:sz w:val="19"/>
                <w:szCs w:val="19"/>
              </w:rPr>
            </w:pPr>
            <w:r w:rsidRPr="00353645">
              <w:rPr>
                <w:color w:val="000000"/>
                <w:sz w:val="19"/>
                <w:szCs w:val="19"/>
              </w:rPr>
              <w:t>Small C/I Buildings</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10,319</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353645" w:rsidRDefault="00932518" w:rsidP="00932518">
            <w:pPr>
              <w:jc w:val="center"/>
              <w:rPr>
                <w:color w:val="000000"/>
                <w:sz w:val="19"/>
                <w:szCs w:val="19"/>
              </w:rPr>
            </w:pPr>
            <w:r w:rsidRPr="00353645">
              <w:rPr>
                <w:color w:val="000000"/>
                <w:sz w:val="19"/>
                <w:szCs w:val="19"/>
              </w:rPr>
              <w:t>3%</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1.78</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4%</w:t>
            </w:r>
          </w:p>
        </w:tc>
      </w:tr>
      <w:tr w:rsidR="00E7173E"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Large C/I Equipment</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82,254</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353645" w:rsidRDefault="00932518" w:rsidP="00932518">
            <w:pPr>
              <w:jc w:val="center"/>
              <w:rPr>
                <w:color w:val="000000"/>
                <w:sz w:val="19"/>
                <w:szCs w:val="19"/>
              </w:rPr>
            </w:pPr>
            <w:r w:rsidRPr="00353645">
              <w:rPr>
                <w:color w:val="000000"/>
                <w:sz w:val="19"/>
                <w:szCs w:val="19"/>
              </w:rPr>
              <w:t>22%</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10.77</w:t>
            </w:r>
          </w:p>
        </w:tc>
        <w:tc>
          <w:tcPr>
            <w:tcW w:w="1853" w:type="dxa"/>
            <w:tcBorders>
              <w:top w:val="nil"/>
              <w:left w:val="nil"/>
              <w:bottom w:val="single" w:sz="8" w:space="0" w:color="448A99"/>
              <w:right w:val="single" w:sz="8" w:space="0" w:color="448A99"/>
            </w:tcBorders>
            <w:shd w:val="clear" w:color="auto" w:fill="auto"/>
            <w:noWrap/>
            <w:vAlign w:val="center"/>
            <w:hideMark/>
          </w:tcPr>
          <w:p w:rsidR="00932518" w:rsidRPr="00353645" w:rsidRDefault="00932518" w:rsidP="00932518">
            <w:pPr>
              <w:jc w:val="center"/>
              <w:rPr>
                <w:color w:val="000000"/>
                <w:sz w:val="19"/>
                <w:szCs w:val="19"/>
              </w:rPr>
            </w:pPr>
            <w:r w:rsidRPr="00353645">
              <w:rPr>
                <w:color w:val="000000"/>
                <w:sz w:val="19"/>
                <w:szCs w:val="19"/>
              </w:rPr>
              <w:t>24%</w:t>
            </w:r>
          </w:p>
        </w:tc>
      </w:tr>
      <w:tr w:rsidR="00A874AC"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353645" w:rsidRDefault="00932518" w:rsidP="00932518">
            <w:pPr>
              <w:rPr>
                <w:color w:val="000000"/>
                <w:sz w:val="19"/>
                <w:szCs w:val="19"/>
              </w:rPr>
            </w:pPr>
            <w:r w:rsidRPr="00353645">
              <w:rPr>
                <w:color w:val="000000"/>
                <w:sz w:val="19"/>
                <w:szCs w:val="19"/>
              </w:rPr>
              <w:t>Large C/I Buildings</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4,576</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353645" w:rsidRDefault="00932518" w:rsidP="00932518">
            <w:pPr>
              <w:jc w:val="center"/>
              <w:rPr>
                <w:color w:val="000000"/>
                <w:sz w:val="19"/>
                <w:szCs w:val="19"/>
              </w:rPr>
            </w:pPr>
            <w:r w:rsidRPr="00353645">
              <w:rPr>
                <w:color w:val="000000"/>
                <w:sz w:val="19"/>
                <w:szCs w:val="19"/>
              </w:rPr>
              <w:t>1%</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1.05</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color w:val="000000"/>
                <w:sz w:val="19"/>
                <w:szCs w:val="19"/>
              </w:rPr>
            </w:pPr>
            <w:r w:rsidRPr="00353645">
              <w:rPr>
                <w:color w:val="000000"/>
                <w:sz w:val="19"/>
                <w:szCs w:val="19"/>
              </w:rPr>
              <w:t>2%</w:t>
            </w:r>
          </w:p>
        </w:tc>
      </w:tr>
      <w:tr w:rsidR="00E7173E"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353645" w:rsidRDefault="00932518" w:rsidP="00932518">
            <w:pPr>
              <w:rPr>
                <w:color w:val="000000"/>
                <w:sz w:val="19"/>
                <w:szCs w:val="19"/>
              </w:rPr>
            </w:pPr>
            <w:r w:rsidRPr="00353645">
              <w:rPr>
                <w:color w:val="000000"/>
                <w:sz w:val="19"/>
                <w:szCs w:val="19"/>
              </w:rPr>
              <w:t>Gov./Institutional</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445</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353645" w:rsidRDefault="00932518" w:rsidP="00932518">
            <w:pPr>
              <w:jc w:val="center"/>
              <w:rPr>
                <w:color w:val="000000"/>
                <w:sz w:val="19"/>
                <w:szCs w:val="19"/>
              </w:rPr>
            </w:pPr>
            <w:r w:rsidRPr="00353645">
              <w:rPr>
                <w:color w:val="000000"/>
                <w:sz w:val="19"/>
                <w:szCs w:val="19"/>
              </w:rPr>
              <w:t>0%</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0.09</w:t>
            </w:r>
          </w:p>
        </w:tc>
        <w:tc>
          <w:tcPr>
            <w:tcW w:w="1853" w:type="dxa"/>
            <w:tcBorders>
              <w:top w:val="nil"/>
              <w:left w:val="nil"/>
              <w:bottom w:val="single" w:sz="8" w:space="0" w:color="448A99"/>
              <w:right w:val="single" w:sz="8" w:space="0" w:color="448A99"/>
            </w:tcBorders>
            <w:shd w:val="clear" w:color="auto" w:fill="auto"/>
            <w:vAlign w:val="center"/>
            <w:hideMark/>
          </w:tcPr>
          <w:p w:rsidR="00932518" w:rsidRPr="00353645" w:rsidRDefault="00932518" w:rsidP="00932518">
            <w:pPr>
              <w:jc w:val="center"/>
              <w:rPr>
                <w:color w:val="000000"/>
                <w:sz w:val="19"/>
                <w:szCs w:val="19"/>
              </w:rPr>
            </w:pPr>
            <w:r w:rsidRPr="00353645">
              <w:rPr>
                <w:color w:val="000000"/>
                <w:sz w:val="19"/>
                <w:szCs w:val="19"/>
              </w:rPr>
              <w:t>0%</w:t>
            </w:r>
          </w:p>
        </w:tc>
      </w:tr>
      <w:tr w:rsidR="00A874AC" w:rsidRPr="00353645" w:rsidTr="00353645">
        <w:trPr>
          <w:trHeight w:val="315"/>
        </w:trPr>
        <w:tc>
          <w:tcPr>
            <w:tcW w:w="2340" w:type="dxa"/>
            <w:tcBorders>
              <w:top w:val="nil"/>
              <w:left w:val="single" w:sz="8" w:space="0" w:color="448A99"/>
              <w:bottom w:val="single" w:sz="8" w:space="0" w:color="448A99"/>
              <w:right w:val="single" w:sz="8" w:space="0" w:color="448A99"/>
            </w:tcBorders>
            <w:shd w:val="clear" w:color="000000" w:fill="D2EAF1"/>
            <w:noWrap/>
            <w:vAlign w:val="center"/>
            <w:hideMark/>
          </w:tcPr>
          <w:p w:rsidR="00932518" w:rsidRPr="00353645" w:rsidRDefault="00932518" w:rsidP="00932518">
            <w:pPr>
              <w:jc w:val="left"/>
              <w:rPr>
                <w:b/>
                <w:bCs/>
                <w:i/>
                <w:iCs/>
                <w:color w:val="000000"/>
                <w:sz w:val="19"/>
                <w:szCs w:val="19"/>
              </w:rPr>
            </w:pPr>
            <w:r w:rsidRPr="00353645">
              <w:rPr>
                <w:b/>
                <w:bCs/>
                <w:i/>
                <w:iCs/>
                <w:color w:val="000000"/>
                <w:sz w:val="19"/>
                <w:szCs w:val="19"/>
              </w:rPr>
              <w:t>Total Portfolio</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b/>
                <w:bCs/>
                <w:i/>
                <w:iCs/>
                <w:color w:val="000000"/>
                <w:sz w:val="19"/>
                <w:szCs w:val="19"/>
              </w:rPr>
            </w:pPr>
            <w:r w:rsidRPr="00353645">
              <w:rPr>
                <w:b/>
                <w:bCs/>
                <w:i/>
                <w:iCs/>
                <w:color w:val="000000"/>
                <w:sz w:val="19"/>
                <w:szCs w:val="19"/>
              </w:rPr>
              <w:t>368,235</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353645" w:rsidRDefault="00932518" w:rsidP="00932518">
            <w:pPr>
              <w:jc w:val="center"/>
              <w:rPr>
                <w:b/>
                <w:bCs/>
                <w:i/>
                <w:iCs/>
                <w:color w:val="000000"/>
                <w:sz w:val="19"/>
                <w:szCs w:val="19"/>
              </w:rPr>
            </w:pPr>
            <w:r w:rsidRPr="00353645">
              <w:rPr>
                <w:b/>
                <w:bCs/>
                <w:i/>
                <w:iCs/>
                <w:color w:val="000000"/>
                <w:sz w:val="19"/>
                <w:szCs w:val="19"/>
              </w:rPr>
              <w:t>100%</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b/>
                <w:bCs/>
                <w:i/>
                <w:iCs/>
                <w:color w:val="000000"/>
                <w:sz w:val="19"/>
                <w:szCs w:val="19"/>
              </w:rPr>
            </w:pPr>
            <w:r w:rsidRPr="00353645">
              <w:rPr>
                <w:b/>
                <w:bCs/>
                <w:i/>
                <w:iCs/>
                <w:color w:val="000000"/>
                <w:sz w:val="19"/>
                <w:szCs w:val="19"/>
              </w:rPr>
              <w:t>45.66</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353645" w:rsidRDefault="00932518" w:rsidP="00932518">
            <w:pPr>
              <w:jc w:val="center"/>
              <w:rPr>
                <w:b/>
                <w:bCs/>
                <w:i/>
                <w:iCs/>
                <w:color w:val="000000"/>
                <w:sz w:val="19"/>
                <w:szCs w:val="19"/>
              </w:rPr>
            </w:pPr>
            <w:r w:rsidRPr="00353645">
              <w:rPr>
                <w:b/>
                <w:bCs/>
                <w:i/>
                <w:iCs/>
                <w:color w:val="000000"/>
                <w:sz w:val="19"/>
                <w:szCs w:val="19"/>
              </w:rPr>
              <w:t>100%</w:t>
            </w:r>
          </w:p>
        </w:tc>
      </w:tr>
    </w:tbl>
    <w:p w:rsidR="006F7DE9" w:rsidRDefault="006F7DE9" w:rsidP="006F7DE9"/>
    <w:p w:rsidR="00DF3269" w:rsidRPr="006F7DE9" w:rsidRDefault="00DF3269" w:rsidP="006F7DE9"/>
    <w:p w:rsidR="00735BA9" w:rsidRPr="00E37A0C" w:rsidRDefault="00735BA9" w:rsidP="009C0DF1">
      <w:pPr>
        <w:pStyle w:val="AppendixAHeading3"/>
      </w:pPr>
      <w:r w:rsidRPr="00E37A0C">
        <w:t>PY7 Gross and Net Savings by Sector</w:t>
      </w:r>
    </w:p>
    <w:p w:rsidR="001F327B" w:rsidRDefault="001F327B" w:rsidP="001F327B">
      <w:r w:rsidRPr="00C23348">
        <w:t xml:space="preserve">The sector-level verified gross and net energy savings achieved </w:t>
      </w:r>
      <w:r w:rsidR="00B75EB9">
        <w:t xml:space="preserve">by Met-Ed </w:t>
      </w:r>
      <w:r w:rsidRPr="00C23348">
        <w:t>in PY7 are provided</w:t>
      </w:r>
      <w:r>
        <w:t xml:space="preserve"> in </w:t>
      </w:r>
      <w:r>
        <w:fldChar w:fldCharType="begin"/>
      </w:r>
      <w:r>
        <w:instrText xml:space="preserve"> REF _Ref472359835 \h </w:instrText>
      </w:r>
      <w:r>
        <w:fldChar w:fldCharType="separate"/>
      </w:r>
      <w:r w:rsidR="00037CB4" w:rsidRPr="00E41D9C">
        <w:t>Table A-</w:t>
      </w:r>
      <w:r w:rsidR="00037CB4">
        <w:rPr>
          <w:noProof/>
        </w:rPr>
        <w:t>29</w:t>
      </w:r>
      <w:r>
        <w:fldChar w:fldCharType="end"/>
      </w:r>
      <w:r w:rsidR="00B75EB9">
        <w:t>.</w:t>
      </w:r>
      <w:r>
        <w:t xml:space="preserve"> In PY7, the net energy </w:t>
      </w:r>
      <w:r w:rsidRPr="00932518">
        <w:t>savings were approximately 75% of the gross energy savings.</w:t>
      </w:r>
    </w:p>
    <w:p w:rsidR="001F327B" w:rsidRPr="00C23348" w:rsidRDefault="001F327B" w:rsidP="001F327B"/>
    <w:p w:rsidR="001F327B" w:rsidRDefault="001F327B" w:rsidP="004837FA">
      <w:pPr>
        <w:pStyle w:val="Caption"/>
      </w:pPr>
      <w:bookmarkStart w:id="657" w:name="_Ref472359835"/>
      <w:bookmarkStart w:id="658" w:name="_Toc472472438"/>
      <w:bookmarkStart w:id="659" w:name="_Toc488741857"/>
      <w:r w:rsidRPr="00E41D9C">
        <w:t>Table A-</w:t>
      </w:r>
      <w:r w:rsidR="007973A4">
        <w:fldChar w:fldCharType="begin"/>
      </w:r>
      <w:r w:rsidR="007973A4">
        <w:instrText xml:space="preserve"> SEQ Table_A- \* ARABIC </w:instrText>
      </w:r>
      <w:r w:rsidR="007973A4">
        <w:fldChar w:fldCharType="separate"/>
      </w:r>
      <w:r w:rsidR="00037CB4">
        <w:rPr>
          <w:noProof/>
        </w:rPr>
        <w:t>29</w:t>
      </w:r>
      <w:r w:rsidR="007973A4">
        <w:rPr>
          <w:noProof/>
        </w:rPr>
        <w:fldChar w:fldCharType="end"/>
      </w:r>
      <w:bookmarkEnd w:id="657"/>
      <w:r w:rsidRPr="00E41D9C">
        <w:t xml:space="preserve">: </w:t>
      </w:r>
      <w:r w:rsidRPr="008B45A8">
        <w:t xml:space="preserve">Summary of </w:t>
      </w:r>
      <w:r>
        <w:t>Met-Ed</w:t>
      </w:r>
      <w:r w:rsidRPr="008B45A8">
        <w:t xml:space="preserve"> EE&amp;C Verified Net Savings – by Sector</w:t>
      </w:r>
      <w:bookmarkEnd w:id="658"/>
      <w:bookmarkEnd w:id="659"/>
    </w:p>
    <w:tbl>
      <w:tblPr>
        <w:tblW w:w="9450" w:type="dxa"/>
        <w:tblLook w:val="04A0" w:firstRow="1" w:lastRow="0" w:firstColumn="1" w:lastColumn="0" w:noHBand="0" w:noVBand="1"/>
      </w:tblPr>
      <w:tblGrid>
        <w:gridCol w:w="1870"/>
        <w:gridCol w:w="1870"/>
        <w:gridCol w:w="1870"/>
        <w:gridCol w:w="1870"/>
        <w:gridCol w:w="1970"/>
      </w:tblGrid>
      <w:tr w:rsidR="00A874AC" w:rsidRPr="00DF3269" w:rsidTr="00DF3269">
        <w:trPr>
          <w:trHeight w:val="432"/>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1F327B" w:rsidRPr="00DF3269" w:rsidRDefault="001F327B" w:rsidP="008D7800">
            <w:pPr>
              <w:rPr>
                <w:b/>
                <w:bCs/>
                <w:color w:val="FFFFFF"/>
                <w:sz w:val="19"/>
                <w:szCs w:val="19"/>
              </w:rPr>
            </w:pPr>
            <w:r w:rsidRPr="00DF3269">
              <w:rPr>
                <w:b/>
                <w:bCs/>
                <w:color w:val="FFFFFF"/>
                <w:sz w:val="19"/>
                <w:szCs w:val="19"/>
              </w:rPr>
              <w:t>Sector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1F327B" w:rsidRPr="00DF3269" w:rsidRDefault="001F327B" w:rsidP="008D7800">
            <w:pPr>
              <w:jc w:val="center"/>
              <w:rPr>
                <w:b/>
                <w:bCs/>
                <w:color w:val="FFFFFF"/>
                <w:sz w:val="19"/>
                <w:szCs w:val="19"/>
              </w:rPr>
            </w:pPr>
            <w:r w:rsidRPr="00DF3269">
              <w:rPr>
                <w:b/>
                <w:bCs/>
                <w:color w:val="FFFFFF"/>
                <w:sz w:val="19"/>
                <w:szCs w:val="19"/>
              </w:rPr>
              <w:t>PY7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1F327B" w:rsidRPr="00DF3269" w:rsidRDefault="001F327B" w:rsidP="008D7800">
            <w:pPr>
              <w:jc w:val="center"/>
              <w:rPr>
                <w:b/>
                <w:bCs/>
                <w:color w:val="FFFFFF"/>
                <w:sz w:val="19"/>
                <w:szCs w:val="19"/>
              </w:rPr>
            </w:pPr>
            <w:r w:rsidRPr="00DF3269">
              <w:rPr>
                <w:b/>
                <w:bCs/>
                <w:color w:val="FFFFFF"/>
                <w:sz w:val="19"/>
                <w:szCs w:val="19"/>
              </w:rPr>
              <w:t>PY7 Verified Net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1F327B" w:rsidRPr="00DF3269" w:rsidRDefault="001F327B" w:rsidP="008D7800">
            <w:pPr>
              <w:jc w:val="center"/>
              <w:rPr>
                <w:b/>
                <w:bCs/>
                <w:color w:val="FFFFFF"/>
                <w:sz w:val="19"/>
                <w:szCs w:val="19"/>
              </w:rPr>
            </w:pPr>
            <w:r w:rsidRPr="00DF3269">
              <w:rPr>
                <w:b/>
                <w:bCs/>
                <w:color w:val="FFFFFF"/>
                <w:sz w:val="19"/>
                <w:szCs w:val="19"/>
              </w:rPr>
              <w:t>Phase II VG Savings (MWh/yr)</w:t>
            </w:r>
          </w:p>
        </w:tc>
        <w:tc>
          <w:tcPr>
            <w:tcW w:w="1970" w:type="dxa"/>
            <w:tcBorders>
              <w:top w:val="single" w:sz="8" w:space="0" w:color="448A99"/>
              <w:left w:val="nil"/>
              <w:bottom w:val="single" w:sz="8" w:space="0" w:color="448A99"/>
              <w:right w:val="single" w:sz="8" w:space="0" w:color="448A99"/>
            </w:tcBorders>
            <w:shd w:val="clear" w:color="000000" w:fill="448A99"/>
            <w:vAlign w:val="bottom"/>
            <w:hideMark/>
          </w:tcPr>
          <w:p w:rsidR="001F327B" w:rsidRPr="00DF3269" w:rsidRDefault="001F327B" w:rsidP="008D7800">
            <w:pPr>
              <w:jc w:val="center"/>
              <w:rPr>
                <w:b/>
                <w:bCs/>
                <w:color w:val="FFFFFF"/>
                <w:sz w:val="19"/>
                <w:szCs w:val="19"/>
              </w:rPr>
            </w:pPr>
            <w:r w:rsidRPr="00DF3269">
              <w:rPr>
                <w:b/>
                <w:bCs/>
                <w:color w:val="FFFFFF"/>
                <w:sz w:val="19"/>
                <w:szCs w:val="19"/>
              </w:rPr>
              <w:t>Phase II Verified Net Savings (MWh/yr)</w:t>
            </w:r>
          </w:p>
        </w:tc>
      </w:tr>
      <w:tr w:rsidR="00E7173E" w:rsidRPr="00DF3269" w:rsidTr="00DF3269">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32518" w:rsidRPr="00DF3269" w:rsidRDefault="00932518" w:rsidP="00932518">
            <w:pPr>
              <w:jc w:val="left"/>
              <w:rPr>
                <w:color w:val="000000"/>
                <w:sz w:val="19"/>
                <w:szCs w:val="19"/>
              </w:rPr>
            </w:pPr>
            <w:r w:rsidRPr="00DF3269">
              <w:rPr>
                <w:color w:val="000000"/>
                <w:sz w:val="19"/>
                <w:szCs w:val="19"/>
              </w:rPr>
              <w:t>Residential</w:t>
            </w:r>
          </w:p>
        </w:tc>
        <w:tc>
          <w:tcPr>
            <w:tcW w:w="1870" w:type="dxa"/>
            <w:tcBorders>
              <w:top w:val="nil"/>
              <w:left w:val="nil"/>
              <w:bottom w:val="single" w:sz="8" w:space="0" w:color="448A99"/>
              <w:right w:val="single" w:sz="8" w:space="0" w:color="448A99"/>
            </w:tcBorders>
            <w:shd w:val="clear" w:color="auto" w:fill="auto"/>
            <w:vAlign w:val="center"/>
          </w:tcPr>
          <w:p w:rsidR="00932518" w:rsidRPr="00DF3269" w:rsidRDefault="00932518" w:rsidP="00932518">
            <w:pPr>
              <w:jc w:val="center"/>
              <w:rPr>
                <w:color w:val="000000"/>
                <w:sz w:val="19"/>
                <w:szCs w:val="19"/>
              </w:rPr>
            </w:pPr>
            <w:r w:rsidRPr="00DF3269">
              <w:rPr>
                <w:color w:val="000000"/>
                <w:sz w:val="19"/>
                <w:szCs w:val="19"/>
              </w:rPr>
              <w:t>95,631</w:t>
            </w:r>
          </w:p>
        </w:tc>
        <w:tc>
          <w:tcPr>
            <w:tcW w:w="1870" w:type="dxa"/>
            <w:tcBorders>
              <w:top w:val="nil"/>
              <w:left w:val="nil"/>
              <w:bottom w:val="single" w:sz="8" w:space="0" w:color="448A99"/>
              <w:right w:val="single" w:sz="8" w:space="0" w:color="448A99"/>
            </w:tcBorders>
            <w:shd w:val="clear" w:color="auto" w:fill="auto"/>
            <w:vAlign w:val="center"/>
          </w:tcPr>
          <w:p w:rsidR="00932518" w:rsidRPr="00DF3269" w:rsidRDefault="00932518" w:rsidP="00932518">
            <w:pPr>
              <w:jc w:val="center"/>
              <w:rPr>
                <w:color w:val="000000"/>
                <w:sz w:val="19"/>
                <w:szCs w:val="19"/>
              </w:rPr>
            </w:pPr>
            <w:r w:rsidRPr="00DF3269">
              <w:rPr>
                <w:color w:val="000000"/>
                <w:sz w:val="19"/>
                <w:szCs w:val="19"/>
              </w:rPr>
              <w:t>76,184</w:t>
            </w:r>
          </w:p>
        </w:tc>
        <w:tc>
          <w:tcPr>
            <w:tcW w:w="1870" w:type="dxa"/>
            <w:tcBorders>
              <w:top w:val="nil"/>
              <w:left w:val="nil"/>
              <w:bottom w:val="single" w:sz="8" w:space="0" w:color="448A99"/>
              <w:right w:val="single" w:sz="8" w:space="0" w:color="448A99"/>
            </w:tcBorders>
            <w:shd w:val="clear" w:color="auto" w:fill="auto"/>
            <w:vAlign w:val="center"/>
          </w:tcPr>
          <w:p w:rsidR="00932518" w:rsidRPr="00DF3269" w:rsidRDefault="00932518" w:rsidP="00932518">
            <w:pPr>
              <w:jc w:val="center"/>
              <w:rPr>
                <w:color w:val="000000"/>
                <w:sz w:val="19"/>
                <w:szCs w:val="19"/>
              </w:rPr>
            </w:pPr>
            <w:r w:rsidRPr="00DF3269">
              <w:rPr>
                <w:color w:val="000000"/>
                <w:sz w:val="19"/>
                <w:szCs w:val="19"/>
              </w:rPr>
              <w:t>213,247</w:t>
            </w:r>
          </w:p>
        </w:tc>
        <w:tc>
          <w:tcPr>
            <w:tcW w:w="1970" w:type="dxa"/>
            <w:tcBorders>
              <w:top w:val="nil"/>
              <w:left w:val="nil"/>
              <w:bottom w:val="single" w:sz="8" w:space="0" w:color="448A99"/>
              <w:right w:val="single" w:sz="8" w:space="0" w:color="448A99"/>
            </w:tcBorders>
            <w:shd w:val="clear" w:color="auto" w:fill="auto"/>
            <w:vAlign w:val="center"/>
          </w:tcPr>
          <w:p w:rsidR="00932518" w:rsidRPr="00DF3269" w:rsidRDefault="00932518" w:rsidP="00932518">
            <w:pPr>
              <w:jc w:val="center"/>
              <w:rPr>
                <w:color w:val="000000"/>
                <w:sz w:val="19"/>
                <w:szCs w:val="19"/>
              </w:rPr>
            </w:pPr>
            <w:r w:rsidRPr="00DF3269">
              <w:rPr>
                <w:color w:val="000000"/>
                <w:sz w:val="19"/>
                <w:szCs w:val="19"/>
              </w:rPr>
              <w:t>149,254</w:t>
            </w:r>
          </w:p>
        </w:tc>
      </w:tr>
      <w:tr w:rsidR="00A874AC" w:rsidRPr="00DF3269" w:rsidTr="00DF3269">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32518" w:rsidRPr="00DF3269" w:rsidRDefault="00932518" w:rsidP="0097650B">
            <w:pPr>
              <w:jc w:val="left"/>
              <w:rPr>
                <w:color w:val="000000"/>
                <w:sz w:val="19"/>
                <w:szCs w:val="19"/>
              </w:rPr>
            </w:pPr>
            <w:r w:rsidRPr="00DF3269">
              <w:rPr>
                <w:color w:val="000000"/>
                <w:sz w:val="19"/>
                <w:szCs w:val="19"/>
              </w:rPr>
              <w:t>C</w:t>
            </w:r>
            <w:r w:rsidR="0097650B" w:rsidRPr="00DF3269">
              <w:rPr>
                <w:color w:val="000000"/>
                <w:sz w:val="19"/>
                <w:szCs w:val="19"/>
              </w:rPr>
              <w:t>/</w:t>
            </w:r>
            <w:r w:rsidRPr="00DF3269">
              <w:rPr>
                <w:color w:val="000000"/>
                <w:sz w:val="19"/>
                <w:szCs w:val="19"/>
              </w:rPr>
              <w:t>I</w:t>
            </w:r>
          </w:p>
        </w:tc>
        <w:tc>
          <w:tcPr>
            <w:tcW w:w="1870" w:type="dxa"/>
            <w:tcBorders>
              <w:top w:val="nil"/>
              <w:left w:val="nil"/>
              <w:bottom w:val="single" w:sz="8" w:space="0" w:color="448A99"/>
              <w:right w:val="single" w:sz="8" w:space="0" w:color="448A99"/>
            </w:tcBorders>
            <w:shd w:val="clear" w:color="000000" w:fill="D2EAF1"/>
            <w:vAlign w:val="center"/>
          </w:tcPr>
          <w:p w:rsidR="00932518" w:rsidRPr="00DF3269" w:rsidRDefault="00932518" w:rsidP="00932518">
            <w:pPr>
              <w:jc w:val="center"/>
              <w:rPr>
                <w:color w:val="000000"/>
                <w:sz w:val="19"/>
                <w:szCs w:val="19"/>
              </w:rPr>
            </w:pPr>
            <w:r w:rsidRPr="00DF3269">
              <w:rPr>
                <w:color w:val="000000"/>
                <w:sz w:val="19"/>
                <w:szCs w:val="19"/>
              </w:rPr>
              <w:t>52,941</w:t>
            </w:r>
          </w:p>
        </w:tc>
        <w:tc>
          <w:tcPr>
            <w:tcW w:w="1870" w:type="dxa"/>
            <w:tcBorders>
              <w:top w:val="nil"/>
              <w:left w:val="nil"/>
              <w:bottom w:val="single" w:sz="8" w:space="0" w:color="448A99"/>
              <w:right w:val="single" w:sz="8" w:space="0" w:color="448A99"/>
            </w:tcBorders>
            <w:shd w:val="clear" w:color="000000" w:fill="D2EAF1"/>
            <w:vAlign w:val="center"/>
          </w:tcPr>
          <w:p w:rsidR="00932518" w:rsidRPr="00DF3269" w:rsidRDefault="00932518" w:rsidP="00932518">
            <w:pPr>
              <w:jc w:val="center"/>
              <w:rPr>
                <w:color w:val="000000"/>
                <w:sz w:val="19"/>
                <w:szCs w:val="19"/>
              </w:rPr>
            </w:pPr>
            <w:r w:rsidRPr="00DF3269">
              <w:rPr>
                <w:color w:val="000000"/>
                <w:sz w:val="19"/>
                <w:szCs w:val="19"/>
              </w:rPr>
              <w:t>34,043</w:t>
            </w:r>
          </w:p>
        </w:tc>
        <w:tc>
          <w:tcPr>
            <w:tcW w:w="1870" w:type="dxa"/>
            <w:tcBorders>
              <w:top w:val="nil"/>
              <w:left w:val="nil"/>
              <w:bottom w:val="single" w:sz="8" w:space="0" w:color="448A99"/>
              <w:right w:val="single" w:sz="8" w:space="0" w:color="448A99"/>
            </w:tcBorders>
            <w:shd w:val="clear" w:color="000000" w:fill="D2EAF1"/>
            <w:vAlign w:val="center"/>
          </w:tcPr>
          <w:p w:rsidR="00932518" w:rsidRPr="00DF3269" w:rsidRDefault="00932518" w:rsidP="00932518">
            <w:pPr>
              <w:jc w:val="center"/>
              <w:rPr>
                <w:color w:val="000000"/>
                <w:sz w:val="19"/>
                <w:szCs w:val="19"/>
              </w:rPr>
            </w:pPr>
            <w:r w:rsidRPr="00DF3269">
              <w:rPr>
                <w:color w:val="000000"/>
                <w:sz w:val="19"/>
                <w:szCs w:val="19"/>
              </w:rPr>
              <w:t>121,331</w:t>
            </w:r>
          </w:p>
        </w:tc>
        <w:tc>
          <w:tcPr>
            <w:tcW w:w="1970" w:type="dxa"/>
            <w:tcBorders>
              <w:top w:val="nil"/>
              <w:left w:val="nil"/>
              <w:bottom w:val="single" w:sz="8" w:space="0" w:color="448A99"/>
              <w:right w:val="single" w:sz="8" w:space="0" w:color="448A99"/>
            </w:tcBorders>
            <w:shd w:val="clear" w:color="000000" w:fill="D2EAF1"/>
            <w:vAlign w:val="center"/>
          </w:tcPr>
          <w:p w:rsidR="00932518" w:rsidRPr="00DF3269" w:rsidRDefault="00932518" w:rsidP="00932518">
            <w:pPr>
              <w:jc w:val="center"/>
              <w:rPr>
                <w:color w:val="000000"/>
                <w:sz w:val="19"/>
                <w:szCs w:val="19"/>
              </w:rPr>
            </w:pPr>
            <w:r w:rsidRPr="00DF3269">
              <w:rPr>
                <w:color w:val="000000"/>
                <w:sz w:val="19"/>
                <w:szCs w:val="19"/>
              </w:rPr>
              <w:t>84,281</w:t>
            </w:r>
          </w:p>
        </w:tc>
      </w:tr>
      <w:tr w:rsidR="00E7173E" w:rsidRPr="00DF3269" w:rsidTr="00DF3269">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32518" w:rsidRPr="00DF3269" w:rsidRDefault="00932518" w:rsidP="00932518">
            <w:pPr>
              <w:jc w:val="left"/>
              <w:rPr>
                <w:color w:val="000000"/>
                <w:sz w:val="19"/>
                <w:szCs w:val="19"/>
              </w:rPr>
            </w:pPr>
            <w:r w:rsidRPr="00DF3269">
              <w:rPr>
                <w:color w:val="000000"/>
                <w:sz w:val="19"/>
                <w:szCs w:val="19"/>
              </w:rPr>
              <w:t>GNI</w:t>
            </w:r>
          </w:p>
        </w:tc>
        <w:tc>
          <w:tcPr>
            <w:tcW w:w="1870" w:type="dxa"/>
            <w:tcBorders>
              <w:top w:val="nil"/>
              <w:left w:val="nil"/>
              <w:bottom w:val="single" w:sz="8" w:space="0" w:color="448A99"/>
              <w:right w:val="single" w:sz="8" w:space="0" w:color="448A99"/>
            </w:tcBorders>
            <w:shd w:val="clear" w:color="auto" w:fill="auto"/>
            <w:vAlign w:val="center"/>
          </w:tcPr>
          <w:p w:rsidR="00932518" w:rsidRPr="00DF3269" w:rsidRDefault="00932518" w:rsidP="00932518">
            <w:pPr>
              <w:jc w:val="center"/>
              <w:rPr>
                <w:color w:val="000000"/>
                <w:sz w:val="19"/>
                <w:szCs w:val="19"/>
              </w:rPr>
            </w:pPr>
            <w:r w:rsidRPr="00DF3269">
              <w:rPr>
                <w:color w:val="000000"/>
                <w:sz w:val="19"/>
                <w:szCs w:val="19"/>
              </w:rPr>
              <w:t>22,848</w:t>
            </w:r>
          </w:p>
        </w:tc>
        <w:tc>
          <w:tcPr>
            <w:tcW w:w="1870" w:type="dxa"/>
            <w:tcBorders>
              <w:top w:val="nil"/>
              <w:left w:val="nil"/>
              <w:bottom w:val="single" w:sz="8" w:space="0" w:color="448A99"/>
              <w:right w:val="single" w:sz="8" w:space="0" w:color="448A99"/>
            </w:tcBorders>
            <w:shd w:val="clear" w:color="auto" w:fill="auto"/>
            <w:vAlign w:val="center"/>
          </w:tcPr>
          <w:p w:rsidR="00932518" w:rsidRPr="00DF3269" w:rsidRDefault="00932518" w:rsidP="00932518">
            <w:pPr>
              <w:jc w:val="center"/>
              <w:rPr>
                <w:color w:val="000000"/>
                <w:sz w:val="19"/>
                <w:szCs w:val="19"/>
              </w:rPr>
            </w:pPr>
            <w:r w:rsidRPr="00DF3269">
              <w:rPr>
                <w:color w:val="000000"/>
                <w:sz w:val="19"/>
                <w:szCs w:val="19"/>
              </w:rPr>
              <w:t>14,754</w:t>
            </w:r>
          </w:p>
        </w:tc>
        <w:tc>
          <w:tcPr>
            <w:tcW w:w="1870" w:type="dxa"/>
            <w:tcBorders>
              <w:top w:val="nil"/>
              <w:left w:val="nil"/>
              <w:bottom w:val="single" w:sz="8" w:space="0" w:color="448A99"/>
              <w:right w:val="single" w:sz="8" w:space="0" w:color="448A99"/>
            </w:tcBorders>
            <w:shd w:val="clear" w:color="auto" w:fill="auto"/>
            <w:vAlign w:val="center"/>
          </w:tcPr>
          <w:p w:rsidR="00932518" w:rsidRPr="00DF3269" w:rsidRDefault="00932518" w:rsidP="00932518">
            <w:pPr>
              <w:jc w:val="center"/>
              <w:rPr>
                <w:color w:val="000000"/>
                <w:sz w:val="19"/>
                <w:szCs w:val="19"/>
              </w:rPr>
            </w:pPr>
            <w:r w:rsidRPr="00DF3269">
              <w:rPr>
                <w:color w:val="000000"/>
                <w:sz w:val="19"/>
                <w:szCs w:val="19"/>
              </w:rPr>
              <w:t>33,657</w:t>
            </w:r>
          </w:p>
        </w:tc>
        <w:tc>
          <w:tcPr>
            <w:tcW w:w="1970" w:type="dxa"/>
            <w:tcBorders>
              <w:top w:val="nil"/>
              <w:left w:val="nil"/>
              <w:bottom w:val="single" w:sz="8" w:space="0" w:color="448A99"/>
              <w:right w:val="single" w:sz="8" w:space="0" w:color="448A99"/>
            </w:tcBorders>
            <w:shd w:val="clear" w:color="auto" w:fill="auto"/>
            <w:vAlign w:val="center"/>
          </w:tcPr>
          <w:p w:rsidR="00932518" w:rsidRPr="00DF3269" w:rsidRDefault="00932518" w:rsidP="00932518">
            <w:pPr>
              <w:jc w:val="center"/>
              <w:rPr>
                <w:color w:val="000000"/>
                <w:sz w:val="19"/>
                <w:szCs w:val="19"/>
              </w:rPr>
            </w:pPr>
            <w:r w:rsidRPr="00DF3269">
              <w:rPr>
                <w:color w:val="000000"/>
                <w:sz w:val="19"/>
                <w:szCs w:val="19"/>
              </w:rPr>
              <w:t>21,787</w:t>
            </w:r>
          </w:p>
        </w:tc>
      </w:tr>
      <w:tr w:rsidR="00A874AC" w:rsidRPr="00DF3269" w:rsidTr="00DF3269">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32518" w:rsidRPr="00DF3269" w:rsidRDefault="00932518" w:rsidP="00932518">
            <w:pPr>
              <w:jc w:val="left"/>
              <w:rPr>
                <w:b/>
                <w:bCs/>
                <w:i/>
                <w:iCs/>
                <w:color w:val="000000"/>
                <w:sz w:val="19"/>
                <w:szCs w:val="19"/>
              </w:rPr>
            </w:pPr>
            <w:r w:rsidRPr="00DF3269">
              <w:rPr>
                <w:b/>
                <w:bCs/>
                <w:i/>
                <w:iCs/>
                <w:color w:val="000000"/>
                <w:sz w:val="19"/>
                <w:szCs w:val="19"/>
              </w:rPr>
              <w:t>Total Portfolio</w:t>
            </w:r>
          </w:p>
        </w:tc>
        <w:tc>
          <w:tcPr>
            <w:tcW w:w="1870" w:type="dxa"/>
            <w:tcBorders>
              <w:top w:val="nil"/>
              <w:left w:val="nil"/>
              <w:bottom w:val="single" w:sz="8" w:space="0" w:color="448A99"/>
              <w:right w:val="single" w:sz="8" w:space="0" w:color="448A99"/>
            </w:tcBorders>
            <w:shd w:val="clear" w:color="000000" w:fill="D2EAF1"/>
            <w:vAlign w:val="center"/>
          </w:tcPr>
          <w:p w:rsidR="00932518" w:rsidRPr="00DF3269" w:rsidRDefault="00932518" w:rsidP="00932518">
            <w:pPr>
              <w:jc w:val="center"/>
              <w:rPr>
                <w:b/>
                <w:bCs/>
                <w:i/>
                <w:iCs/>
                <w:color w:val="000000"/>
                <w:sz w:val="19"/>
                <w:szCs w:val="19"/>
              </w:rPr>
            </w:pPr>
            <w:r w:rsidRPr="00DF3269">
              <w:rPr>
                <w:b/>
                <w:bCs/>
                <w:i/>
                <w:iCs/>
                <w:color w:val="000000"/>
                <w:sz w:val="19"/>
                <w:szCs w:val="19"/>
              </w:rPr>
              <w:t>171,420</w:t>
            </w:r>
          </w:p>
        </w:tc>
        <w:tc>
          <w:tcPr>
            <w:tcW w:w="1870" w:type="dxa"/>
            <w:tcBorders>
              <w:top w:val="nil"/>
              <w:left w:val="nil"/>
              <w:bottom w:val="single" w:sz="8" w:space="0" w:color="448A99"/>
              <w:right w:val="single" w:sz="8" w:space="0" w:color="448A99"/>
            </w:tcBorders>
            <w:shd w:val="clear" w:color="000000" w:fill="D2EAF1"/>
            <w:vAlign w:val="center"/>
          </w:tcPr>
          <w:p w:rsidR="00932518" w:rsidRPr="00DF3269" w:rsidRDefault="00932518" w:rsidP="00932518">
            <w:pPr>
              <w:jc w:val="center"/>
              <w:rPr>
                <w:b/>
                <w:bCs/>
                <w:i/>
                <w:iCs/>
                <w:color w:val="000000"/>
                <w:sz w:val="19"/>
                <w:szCs w:val="19"/>
              </w:rPr>
            </w:pPr>
            <w:r w:rsidRPr="00DF3269">
              <w:rPr>
                <w:b/>
                <w:bCs/>
                <w:i/>
                <w:iCs/>
                <w:color w:val="000000"/>
                <w:sz w:val="19"/>
                <w:szCs w:val="19"/>
              </w:rPr>
              <w:t>124,981</w:t>
            </w:r>
          </w:p>
        </w:tc>
        <w:tc>
          <w:tcPr>
            <w:tcW w:w="1870" w:type="dxa"/>
            <w:tcBorders>
              <w:top w:val="nil"/>
              <w:left w:val="nil"/>
              <w:bottom w:val="single" w:sz="8" w:space="0" w:color="448A99"/>
              <w:right w:val="single" w:sz="8" w:space="0" w:color="448A99"/>
            </w:tcBorders>
            <w:shd w:val="clear" w:color="000000" w:fill="D2EAF1"/>
            <w:vAlign w:val="center"/>
          </w:tcPr>
          <w:p w:rsidR="00932518" w:rsidRPr="00DF3269" w:rsidRDefault="00932518" w:rsidP="00932518">
            <w:pPr>
              <w:jc w:val="center"/>
              <w:rPr>
                <w:b/>
                <w:bCs/>
                <w:i/>
                <w:iCs/>
                <w:color w:val="000000"/>
                <w:sz w:val="19"/>
                <w:szCs w:val="19"/>
              </w:rPr>
            </w:pPr>
            <w:r w:rsidRPr="00DF3269">
              <w:rPr>
                <w:b/>
                <w:bCs/>
                <w:i/>
                <w:iCs/>
                <w:color w:val="000000"/>
                <w:sz w:val="19"/>
                <w:szCs w:val="19"/>
              </w:rPr>
              <w:t>368,235</w:t>
            </w:r>
          </w:p>
        </w:tc>
        <w:tc>
          <w:tcPr>
            <w:tcW w:w="1970" w:type="dxa"/>
            <w:tcBorders>
              <w:top w:val="nil"/>
              <w:left w:val="nil"/>
              <w:bottom w:val="single" w:sz="8" w:space="0" w:color="448A99"/>
              <w:right w:val="single" w:sz="8" w:space="0" w:color="448A99"/>
            </w:tcBorders>
            <w:shd w:val="clear" w:color="000000" w:fill="D2EAF1"/>
            <w:vAlign w:val="center"/>
          </w:tcPr>
          <w:p w:rsidR="00932518" w:rsidRPr="00DF3269" w:rsidRDefault="00932518" w:rsidP="00932518">
            <w:pPr>
              <w:jc w:val="center"/>
              <w:rPr>
                <w:b/>
                <w:bCs/>
                <w:i/>
                <w:iCs/>
                <w:color w:val="000000"/>
                <w:sz w:val="19"/>
                <w:szCs w:val="19"/>
              </w:rPr>
            </w:pPr>
            <w:r w:rsidRPr="00DF3269">
              <w:rPr>
                <w:b/>
                <w:bCs/>
                <w:i/>
                <w:iCs/>
                <w:color w:val="000000"/>
                <w:sz w:val="19"/>
                <w:szCs w:val="19"/>
              </w:rPr>
              <w:t>255,322</w:t>
            </w:r>
          </w:p>
        </w:tc>
      </w:tr>
    </w:tbl>
    <w:p w:rsidR="001F327B" w:rsidRPr="001F327B" w:rsidRDefault="001F327B" w:rsidP="001F327B"/>
    <w:p w:rsidR="00950837" w:rsidRDefault="00950837" w:rsidP="000D3563">
      <w:pPr>
        <w:pStyle w:val="AppendixAHeading2"/>
      </w:pPr>
      <w:r w:rsidRPr="00E37A0C">
        <w:t>Total Resource Cost Test</w:t>
      </w:r>
    </w:p>
    <w:p w:rsidR="00C55195" w:rsidRDefault="00DF3269" w:rsidP="00C55195">
      <w:r>
        <w:t xml:space="preserve">Table A-30 </w:t>
      </w:r>
      <w:r w:rsidR="00C55195" w:rsidRPr="00C55195">
        <w:t>presents TRC NPV benefits, TRC NPV costs, present value of net benefits, and</w:t>
      </w:r>
      <w:r w:rsidR="00B75EB9">
        <w:t xml:space="preserve"> the</w:t>
      </w:r>
      <w:r w:rsidR="00C55195" w:rsidRPr="00C55195">
        <w:t xml:space="preserve"> TRC ratio for Met-Ed’s PY7 individual programs and total portfolio. The SWE found no inconsistencies between the TRC model outputs and the TRC results shown in the PY7 annual report.</w:t>
      </w:r>
    </w:p>
    <w:p w:rsidR="008D7800" w:rsidRPr="00D9014E" w:rsidRDefault="008D7800" w:rsidP="00D9014E">
      <w:bookmarkStart w:id="660" w:name="_Ref472444503"/>
      <w:bookmarkStart w:id="661" w:name="_Toc472472439"/>
    </w:p>
    <w:p w:rsidR="00C55195" w:rsidRDefault="00C55195" w:rsidP="004837FA">
      <w:pPr>
        <w:pStyle w:val="Caption"/>
      </w:pPr>
      <w:bookmarkStart w:id="662" w:name="_Toc488741858"/>
      <w:r>
        <w:t>Table A-</w:t>
      </w:r>
      <w:r w:rsidR="007973A4">
        <w:fldChar w:fldCharType="begin"/>
      </w:r>
      <w:r w:rsidR="007973A4">
        <w:instrText xml:space="preserve"> SEQ Table_A- \* ARABIC </w:instrText>
      </w:r>
      <w:r w:rsidR="007973A4">
        <w:fldChar w:fldCharType="separate"/>
      </w:r>
      <w:r w:rsidR="00037CB4">
        <w:rPr>
          <w:noProof/>
        </w:rPr>
        <w:t>30</w:t>
      </w:r>
      <w:r w:rsidR="007973A4">
        <w:rPr>
          <w:noProof/>
        </w:rPr>
        <w:fldChar w:fldCharType="end"/>
      </w:r>
      <w:bookmarkEnd w:id="660"/>
      <w:r>
        <w:t xml:space="preserve">: </w:t>
      </w:r>
      <w:r w:rsidRPr="00F54C27">
        <w:t>Summary of Met-Ed’s PY</w:t>
      </w:r>
      <w:r>
        <w:t>7</w:t>
      </w:r>
      <w:r w:rsidRPr="00F54C27">
        <w:t xml:space="preserve"> TRC Factors and Results</w:t>
      </w:r>
      <w:bookmarkEnd w:id="661"/>
      <w:bookmarkEnd w:id="662"/>
    </w:p>
    <w:tbl>
      <w:tblPr>
        <w:tblW w:w="9449"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335"/>
        <w:gridCol w:w="1860"/>
        <w:gridCol w:w="1860"/>
        <w:gridCol w:w="1860"/>
        <w:gridCol w:w="1534"/>
      </w:tblGrid>
      <w:tr w:rsidR="00A874AC" w:rsidRPr="00DF3269" w:rsidTr="00DF3269">
        <w:trPr>
          <w:trHeight w:val="576"/>
          <w:tblHeader/>
        </w:trPr>
        <w:tc>
          <w:tcPr>
            <w:tcW w:w="2335" w:type="dxa"/>
            <w:shd w:val="clear" w:color="000000" w:fill="448A99"/>
            <w:noWrap/>
            <w:vAlign w:val="bottom"/>
            <w:hideMark/>
          </w:tcPr>
          <w:p w:rsidR="00C55195" w:rsidRPr="00DF3269" w:rsidRDefault="00C55195" w:rsidP="00C55195">
            <w:pPr>
              <w:jc w:val="left"/>
              <w:rPr>
                <w:b/>
                <w:bCs/>
                <w:color w:val="FFFFFF"/>
                <w:sz w:val="19"/>
                <w:szCs w:val="19"/>
              </w:rPr>
            </w:pPr>
            <w:r w:rsidRPr="00DF3269">
              <w:rPr>
                <w:b/>
                <w:bCs/>
                <w:color w:val="FFFFFF"/>
                <w:sz w:val="19"/>
                <w:szCs w:val="19"/>
              </w:rPr>
              <w:t>Program</w:t>
            </w:r>
          </w:p>
        </w:tc>
        <w:tc>
          <w:tcPr>
            <w:tcW w:w="1860" w:type="dxa"/>
            <w:shd w:val="clear" w:color="000000" w:fill="448A99"/>
            <w:vAlign w:val="bottom"/>
            <w:hideMark/>
          </w:tcPr>
          <w:p w:rsidR="00C55195" w:rsidRPr="00DF3269" w:rsidRDefault="00C55195" w:rsidP="00C55195">
            <w:pPr>
              <w:jc w:val="center"/>
              <w:rPr>
                <w:b/>
                <w:bCs/>
                <w:color w:val="FFFFFF"/>
                <w:sz w:val="19"/>
                <w:szCs w:val="19"/>
              </w:rPr>
            </w:pPr>
            <w:r w:rsidRPr="00DF3269">
              <w:rPr>
                <w:b/>
                <w:bCs/>
                <w:color w:val="FFFFFF"/>
                <w:sz w:val="19"/>
                <w:szCs w:val="19"/>
              </w:rPr>
              <w:t>TRC NPV Benefits</w:t>
            </w:r>
          </w:p>
          <w:p w:rsidR="00C55195" w:rsidRPr="00DF3269" w:rsidRDefault="00C55195" w:rsidP="00C55195">
            <w:pPr>
              <w:jc w:val="center"/>
              <w:rPr>
                <w:rFonts w:eastAsia="Calibri"/>
                <w:b/>
                <w:bCs/>
                <w:color w:val="FFFFFF"/>
                <w:sz w:val="19"/>
                <w:szCs w:val="19"/>
              </w:rPr>
            </w:pPr>
            <w:r w:rsidRPr="00DF3269">
              <w:rPr>
                <w:b/>
                <w:bCs/>
                <w:color w:val="FFFFFF"/>
                <w:sz w:val="19"/>
                <w:szCs w:val="19"/>
              </w:rPr>
              <w:t>($)</w:t>
            </w:r>
          </w:p>
        </w:tc>
        <w:tc>
          <w:tcPr>
            <w:tcW w:w="1860" w:type="dxa"/>
            <w:shd w:val="clear" w:color="000000" w:fill="448A99"/>
            <w:vAlign w:val="bottom"/>
            <w:hideMark/>
          </w:tcPr>
          <w:p w:rsidR="00C55195" w:rsidRPr="00DF3269" w:rsidRDefault="00C55195" w:rsidP="00C55195">
            <w:pPr>
              <w:jc w:val="center"/>
              <w:rPr>
                <w:rFonts w:eastAsia="Calibri"/>
                <w:b/>
                <w:bCs/>
                <w:color w:val="FFFFFF"/>
                <w:sz w:val="19"/>
                <w:szCs w:val="19"/>
              </w:rPr>
            </w:pPr>
            <w:r w:rsidRPr="00DF3269">
              <w:rPr>
                <w:b/>
                <w:bCs/>
                <w:color w:val="FFFFFF"/>
                <w:sz w:val="19"/>
                <w:szCs w:val="19"/>
              </w:rPr>
              <w:t>TRC NPV Costs</w:t>
            </w:r>
          </w:p>
          <w:p w:rsidR="00C55195" w:rsidRPr="00DF3269" w:rsidRDefault="00C55195" w:rsidP="00C55195">
            <w:pPr>
              <w:jc w:val="center"/>
              <w:rPr>
                <w:rFonts w:eastAsia="Calibri"/>
                <w:b/>
                <w:bCs/>
                <w:color w:val="FFFFFF"/>
                <w:sz w:val="19"/>
                <w:szCs w:val="19"/>
              </w:rPr>
            </w:pPr>
            <w:r w:rsidRPr="00DF3269">
              <w:rPr>
                <w:b/>
                <w:bCs/>
                <w:color w:val="FFFFFF"/>
                <w:sz w:val="19"/>
                <w:szCs w:val="19"/>
              </w:rPr>
              <w:t>($)</w:t>
            </w:r>
          </w:p>
        </w:tc>
        <w:tc>
          <w:tcPr>
            <w:tcW w:w="1860" w:type="dxa"/>
            <w:shd w:val="clear" w:color="000000" w:fill="448A99"/>
            <w:vAlign w:val="bottom"/>
          </w:tcPr>
          <w:p w:rsidR="00C55195" w:rsidRPr="00DF3269" w:rsidRDefault="00C55195" w:rsidP="00C55195">
            <w:pPr>
              <w:jc w:val="center"/>
              <w:rPr>
                <w:rFonts w:eastAsia="Calibri"/>
                <w:b/>
                <w:bCs/>
                <w:color w:val="FFFFFF"/>
                <w:sz w:val="19"/>
                <w:szCs w:val="19"/>
              </w:rPr>
            </w:pPr>
            <w:r w:rsidRPr="00DF3269">
              <w:rPr>
                <w:b/>
                <w:bCs/>
                <w:color w:val="FFFFFF"/>
                <w:sz w:val="19"/>
                <w:szCs w:val="19"/>
              </w:rPr>
              <w:t>Present Value of Net Benefits</w:t>
            </w:r>
          </w:p>
          <w:p w:rsidR="00C55195" w:rsidRPr="00DF3269" w:rsidRDefault="00C55195" w:rsidP="00C55195">
            <w:pPr>
              <w:jc w:val="center"/>
              <w:rPr>
                <w:rFonts w:eastAsia="Calibri"/>
                <w:b/>
                <w:bCs/>
                <w:color w:val="FFFFFF"/>
                <w:sz w:val="19"/>
                <w:szCs w:val="19"/>
              </w:rPr>
            </w:pPr>
            <w:r w:rsidRPr="00DF3269">
              <w:rPr>
                <w:b/>
                <w:bCs/>
                <w:color w:val="FFFFFF"/>
                <w:sz w:val="19"/>
                <w:szCs w:val="19"/>
              </w:rPr>
              <w:t>($)</w:t>
            </w:r>
          </w:p>
        </w:tc>
        <w:tc>
          <w:tcPr>
            <w:tcW w:w="1534" w:type="dxa"/>
            <w:shd w:val="clear" w:color="000000" w:fill="448A99"/>
            <w:noWrap/>
            <w:vAlign w:val="bottom"/>
            <w:hideMark/>
          </w:tcPr>
          <w:p w:rsidR="00C55195" w:rsidRPr="00DF3269" w:rsidRDefault="00C55195" w:rsidP="00C55195">
            <w:pPr>
              <w:jc w:val="center"/>
              <w:rPr>
                <w:rFonts w:eastAsia="Calibri"/>
                <w:b/>
                <w:bCs/>
                <w:color w:val="FFFFFF"/>
                <w:sz w:val="19"/>
                <w:szCs w:val="19"/>
              </w:rPr>
            </w:pPr>
            <w:r w:rsidRPr="00DF3269">
              <w:rPr>
                <w:b/>
                <w:bCs/>
                <w:color w:val="FFFFFF"/>
                <w:sz w:val="19"/>
                <w:szCs w:val="19"/>
              </w:rPr>
              <w:t>TRC Ratio</w:t>
            </w:r>
          </w:p>
        </w:tc>
      </w:tr>
      <w:tr w:rsidR="00A874AC" w:rsidRPr="00DF3269" w:rsidTr="00DF3269">
        <w:trPr>
          <w:trHeight w:val="360"/>
        </w:trPr>
        <w:tc>
          <w:tcPr>
            <w:tcW w:w="2335" w:type="dxa"/>
            <w:tcBorders>
              <w:top w:val="nil"/>
              <w:left w:val="single" w:sz="8" w:space="0" w:color="448A99"/>
              <w:bottom w:val="single" w:sz="8" w:space="0" w:color="448A99"/>
              <w:right w:val="single" w:sz="8" w:space="0" w:color="448A99"/>
            </w:tcBorders>
            <w:shd w:val="clear" w:color="auto" w:fill="auto"/>
            <w:noWrap/>
            <w:vAlign w:val="center"/>
            <w:hideMark/>
          </w:tcPr>
          <w:p w:rsidR="00C55195" w:rsidRPr="00DF3269" w:rsidRDefault="00C55195" w:rsidP="00C55195">
            <w:pPr>
              <w:jc w:val="left"/>
              <w:rPr>
                <w:bCs/>
                <w:color w:val="000000"/>
                <w:sz w:val="19"/>
                <w:szCs w:val="19"/>
              </w:rPr>
            </w:pPr>
            <w:r w:rsidRPr="00DF3269">
              <w:rPr>
                <w:color w:val="000000"/>
                <w:sz w:val="19"/>
                <w:szCs w:val="19"/>
              </w:rPr>
              <w:t>Appliance Turn-In</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rFonts w:cs="Arial"/>
                <w:color w:val="000000"/>
                <w:sz w:val="19"/>
                <w:szCs w:val="19"/>
              </w:rPr>
              <w:t xml:space="preserve">$2,027,118 </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rFonts w:cs="Arial"/>
                <w:color w:val="000000"/>
                <w:sz w:val="19"/>
                <w:szCs w:val="19"/>
              </w:rPr>
              <w:t xml:space="preserve">$759,029 </w:t>
            </w:r>
          </w:p>
        </w:tc>
        <w:tc>
          <w:tcPr>
            <w:tcW w:w="1860" w:type="dxa"/>
            <w:tcBorders>
              <w:top w:val="nil"/>
              <w:left w:val="nil"/>
              <w:bottom w:val="single" w:sz="8" w:space="0" w:color="448A99"/>
              <w:right w:val="single" w:sz="8" w:space="0" w:color="448A99"/>
            </w:tcBorders>
            <w:shd w:val="clear" w:color="auto" w:fill="auto"/>
            <w:vAlign w:val="center"/>
          </w:tcPr>
          <w:p w:rsidR="00C55195" w:rsidRPr="00DF3269" w:rsidRDefault="00C55195" w:rsidP="00C55195">
            <w:pPr>
              <w:jc w:val="center"/>
              <w:rPr>
                <w:color w:val="000000"/>
                <w:sz w:val="19"/>
                <w:szCs w:val="19"/>
              </w:rPr>
            </w:pPr>
            <w:r w:rsidRPr="00DF3269">
              <w:rPr>
                <w:rFonts w:cs="Arial"/>
                <w:color w:val="000000"/>
                <w:sz w:val="19"/>
                <w:szCs w:val="19"/>
              </w:rPr>
              <w:t xml:space="preserve">$1,268,089 </w:t>
            </w:r>
          </w:p>
        </w:tc>
        <w:tc>
          <w:tcPr>
            <w:tcW w:w="1534"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rFonts w:cs="Arial"/>
                <w:color w:val="000000"/>
                <w:sz w:val="19"/>
                <w:szCs w:val="19"/>
              </w:rPr>
              <w:t>2.67</w:t>
            </w:r>
          </w:p>
        </w:tc>
      </w:tr>
      <w:tr w:rsidR="00A874AC" w:rsidRPr="00DF3269" w:rsidTr="00DF3269">
        <w:trPr>
          <w:trHeight w:val="360"/>
        </w:trPr>
        <w:tc>
          <w:tcPr>
            <w:tcW w:w="2335" w:type="dxa"/>
            <w:tcBorders>
              <w:top w:val="nil"/>
              <w:left w:val="single" w:sz="8" w:space="0" w:color="448A99"/>
              <w:bottom w:val="single" w:sz="8" w:space="0" w:color="448A99"/>
              <w:right w:val="single" w:sz="8" w:space="0" w:color="448A99"/>
            </w:tcBorders>
            <w:shd w:val="clear" w:color="auto" w:fill="D2EAF1"/>
            <w:noWrap/>
            <w:vAlign w:val="center"/>
            <w:hideMark/>
          </w:tcPr>
          <w:p w:rsidR="00C55195" w:rsidRPr="00DF3269" w:rsidRDefault="00C55195" w:rsidP="00C55195">
            <w:pPr>
              <w:jc w:val="left"/>
              <w:rPr>
                <w:bCs/>
                <w:color w:val="000000"/>
                <w:sz w:val="19"/>
                <w:szCs w:val="19"/>
              </w:rPr>
            </w:pPr>
            <w:r w:rsidRPr="00DF3269">
              <w:rPr>
                <w:color w:val="000000"/>
                <w:sz w:val="19"/>
                <w:szCs w:val="19"/>
              </w:rPr>
              <w:t>Efficient Products</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 xml:space="preserve">$14,154,579 </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 xml:space="preserve">$9,169,910 </w:t>
            </w:r>
          </w:p>
        </w:tc>
        <w:tc>
          <w:tcPr>
            <w:tcW w:w="1860" w:type="dxa"/>
            <w:tcBorders>
              <w:top w:val="nil"/>
              <w:left w:val="nil"/>
              <w:bottom w:val="single" w:sz="8" w:space="0" w:color="448A99"/>
              <w:right w:val="single" w:sz="8" w:space="0" w:color="448A99"/>
            </w:tcBorders>
            <w:shd w:val="clear" w:color="000000" w:fill="D2EAF1"/>
            <w:vAlign w:val="center"/>
          </w:tcPr>
          <w:p w:rsidR="00C55195" w:rsidRPr="00DF3269" w:rsidRDefault="00C55195" w:rsidP="00C55195">
            <w:pPr>
              <w:jc w:val="center"/>
              <w:rPr>
                <w:color w:val="000000"/>
                <w:sz w:val="19"/>
                <w:szCs w:val="19"/>
              </w:rPr>
            </w:pPr>
            <w:r w:rsidRPr="00DF3269">
              <w:rPr>
                <w:rFonts w:cs="Arial"/>
                <w:color w:val="000000"/>
                <w:sz w:val="19"/>
                <w:szCs w:val="19"/>
              </w:rPr>
              <w:t xml:space="preserve">$4,984,669 </w:t>
            </w:r>
          </w:p>
        </w:tc>
        <w:tc>
          <w:tcPr>
            <w:tcW w:w="1534"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rFonts w:cs="Arial"/>
                <w:color w:val="000000"/>
                <w:sz w:val="19"/>
                <w:szCs w:val="19"/>
              </w:rPr>
              <w:t>1.54</w:t>
            </w:r>
          </w:p>
        </w:tc>
      </w:tr>
      <w:tr w:rsidR="00A874AC" w:rsidRPr="00DF3269" w:rsidTr="00DF3269">
        <w:trPr>
          <w:trHeight w:val="360"/>
        </w:trPr>
        <w:tc>
          <w:tcPr>
            <w:tcW w:w="2335" w:type="dxa"/>
            <w:tcBorders>
              <w:top w:val="nil"/>
              <w:left w:val="single" w:sz="8" w:space="0" w:color="448A99"/>
              <w:bottom w:val="single" w:sz="8" w:space="0" w:color="448A99"/>
              <w:right w:val="single" w:sz="8" w:space="0" w:color="448A99"/>
            </w:tcBorders>
            <w:shd w:val="clear" w:color="auto" w:fill="auto"/>
            <w:noWrap/>
            <w:vAlign w:val="center"/>
            <w:hideMark/>
          </w:tcPr>
          <w:p w:rsidR="00C55195" w:rsidRPr="00DF3269" w:rsidRDefault="00C55195" w:rsidP="00C55195">
            <w:pPr>
              <w:jc w:val="left"/>
              <w:rPr>
                <w:bCs/>
                <w:color w:val="000000"/>
                <w:sz w:val="19"/>
                <w:szCs w:val="19"/>
              </w:rPr>
            </w:pPr>
            <w:r w:rsidRPr="00DF3269">
              <w:rPr>
                <w:color w:val="000000"/>
                <w:sz w:val="19"/>
                <w:szCs w:val="19"/>
              </w:rPr>
              <w:t>Home Performance</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 xml:space="preserve">$12,517,714 </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 xml:space="preserve">$5,509,591 </w:t>
            </w:r>
          </w:p>
        </w:tc>
        <w:tc>
          <w:tcPr>
            <w:tcW w:w="1860" w:type="dxa"/>
            <w:tcBorders>
              <w:top w:val="nil"/>
              <w:left w:val="nil"/>
              <w:bottom w:val="single" w:sz="8" w:space="0" w:color="448A99"/>
              <w:right w:val="single" w:sz="8" w:space="0" w:color="448A99"/>
            </w:tcBorders>
            <w:shd w:val="clear" w:color="auto" w:fill="auto"/>
            <w:vAlign w:val="center"/>
          </w:tcPr>
          <w:p w:rsidR="00C55195" w:rsidRPr="00DF3269" w:rsidRDefault="00C55195" w:rsidP="00C55195">
            <w:pPr>
              <w:jc w:val="center"/>
              <w:rPr>
                <w:color w:val="000000"/>
                <w:sz w:val="19"/>
                <w:szCs w:val="19"/>
              </w:rPr>
            </w:pPr>
            <w:r w:rsidRPr="00DF3269">
              <w:rPr>
                <w:color w:val="000000"/>
                <w:sz w:val="19"/>
                <w:szCs w:val="19"/>
              </w:rPr>
              <w:t xml:space="preserve">$7,008,122 </w:t>
            </w:r>
          </w:p>
        </w:tc>
        <w:tc>
          <w:tcPr>
            <w:tcW w:w="1534"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2.27</w:t>
            </w:r>
          </w:p>
        </w:tc>
      </w:tr>
      <w:tr w:rsidR="00A874AC" w:rsidRPr="00DF3269" w:rsidTr="00DF3269">
        <w:trPr>
          <w:trHeight w:val="360"/>
        </w:trPr>
        <w:tc>
          <w:tcPr>
            <w:tcW w:w="2335" w:type="dxa"/>
            <w:tcBorders>
              <w:top w:val="nil"/>
              <w:left w:val="single" w:sz="8" w:space="0" w:color="448A99"/>
              <w:bottom w:val="single" w:sz="8" w:space="0" w:color="448A99"/>
              <w:right w:val="single" w:sz="8" w:space="0" w:color="448A99"/>
            </w:tcBorders>
            <w:shd w:val="clear" w:color="auto" w:fill="D2EAF1"/>
            <w:noWrap/>
            <w:vAlign w:val="center"/>
            <w:hideMark/>
          </w:tcPr>
          <w:p w:rsidR="00C55195" w:rsidRPr="00DF3269" w:rsidRDefault="00C55195" w:rsidP="00C55195">
            <w:pPr>
              <w:jc w:val="left"/>
              <w:rPr>
                <w:bCs/>
                <w:color w:val="000000"/>
                <w:sz w:val="19"/>
                <w:szCs w:val="19"/>
              </w:rPr>
            </w:pPr>
            <w:r w:rsidRPr="00DF3269">
              <w:rPr>
                <w:color w:val="000000"/>
                <w:sz w:val="19"/>
                <w:szCs w:val="19"/>
              </w:rPr>
              <w:t>Low Income</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 xml:space="preserve">$560,899 </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 xml:space="preserve">$1,658,800 </w:t>
            </w:r>
          </w:p>
        </w:tc>
        <w:tc>
          <w:tcPr>
            <w:tcW w:w="1860" w:type="dxa"/>
            <w:tcBorders>
              <w:top w:val="nil"/>
              <w:left w:val="nil"/>
              <w:bottom w:val="single" w:sz="8" w:space="0" w:color="448A99"/>
              <w:right w:val="single" w:sz="8" w:space="0" w:color="448A99"/>
            </w:tcBorders>
            <w:shd w:val="clear" w:color="000000" w:fill="D2EAF1"/>
            <w:vAlign w:val="center"/>
          </w:tcPr>
          <w:p w:rsidR="00C55195" w:rsidRPr="00DF3269" w:rsidRDefault="00C55195" w:rsidP="00C55195">
            <w:pPr>
              <w:jc w:val="center"/>
              <w:rPr>
                <w:color w:val="000000"/>
                <w:sz w:val="19"/>
                <w:szCs w:val="19"/>
              </w:rPr>
            </w:pPr>
            <w:r w:rsidRPr="00DF3269">
              <w:rPr>
                <w:color w:val="FF0000"/>
                <w:sz w:val="19"/>
                <w:szCs w:val="19"/>
              </w:rPr>
              <w:t>($1,097,900)</w:t>
            </w:r>
          </w:p>
        </w:tc>
        <w:tc>
          <w:tcPr>
            <w:tcW w:w="1534"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0.34</w:t>
            </w:r>
          </w:p>
        </w:tc>
      </w:tr>
      <w:tr w:rsidR="00A874AC" w:rsidRPr="00DF3269" w:rsidTr="00DF3269">
        <w:trPr>
          <w:trHeight w:val="360"/>
        </w:trPr>
        <w:tc>
          <w:tcPr>
            <w:tcW w:w="2335" w:type="dxa"/>
            <w:tcBorders>
              <w:top w:val="nil"/>
              <w:left w:val="single" w:sz="8" w:space="0" w:color="448A99"/>
              <w:bottom w:val="single" w:sz="8" w:space="0" w:color="448A99"/>
              <w:right w:val="single" w:sz="8" w:space="0" w:color="448A99"/>
            </w:tcBorders>
            <w:shd w:val="clear" w:color="auto" w:fill="auto"/>
            <w:noWrap/>
            <w:vAlign w:val="center"/>
            <w:hideMark/>
          </w:tcPr>
          <w:p w:rsidR="00C55195" w:rsidRPr="00DF3269" w:rsidRDefault="00C55195" w:rsidP="00C55195">
            <w:pPr>
              <w:jc w:val="left"/>
              <w:rPr>
                <w:bCs/>
                <w:color w:val="000000"/>
                <w:sz w:val="19"/>
                <w:szCs w:val="19"/>
              </w:rPr>
            </w:pPr>
            <w:r w:rsidRPr="00DF3269">
              <w:rPr>
                <w:color w:val="000000"/>
                <w:sz w:val="19"/>
                <w:szCs w:val="19"/>
              </w:rPr>
              <w:t>Small C/I Equipment</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 xml:space="preserve">$15,763,826 </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 xml:space="preserve">$14,310,761 </w:t>
            </w:r>
          </w:p>
        </w:tc>
        <w:tc>
          <w:tcPr>
            <w:tcW w:w="1860" w:type="dxa"/>
            <w:tcBorders>
              <w:top w:val="nil"/>
              <w:left w:val="nil"/>
              <w:bottom w:val="single" w:sz="8" w:space="0" w:color="448A99"/>
              <w:right w:val="single" w:sz="8" w:space="0" w:color="448A99"/>
            </w:tcBorders>
            <w:shd w:val="clear" w:color="auto" w:fill="auto"/>
            <w:vAlign w:val="center"/>
          </w:tcPr>
          <w:p w:rsidR="00C55195" w:rsidRPr="00DF3269" w:rsidRDefault="00C55195" w:rsidP="00C55195">
            <w:pPr>
              <w:jc w:val="center"/>
              <w:rPr>
                <w:color w:val="000000"/>
                <w:sz w:val="19"/>
                <w:szCs w:val="19"/>
              </w:rPr>
            </w:pPr>
            <w:r w:rsidRPr="00DF3269">
              <w:rPr>
                <w:color w:val="000000"/>
                <w:sz w:val="19"/>
                <w:szCs w:val="19"/>
              </w:rPr>
              <w:t xml:space="preserve">$1,453,065 </w:t>
            </w:r>
          </w:p>
        </w:tc>
        <w:tc>
          <w:tcPr>
            <w:tcW w:w="1534"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1.10</w:t>
            </w:r>
          </w:p>
        </w:tc>
      </w:tr>
      <w:tr w:rsidR="00A874AC" w:rsidRPr="00DF3269" w:rsidTr="00DF3269">
        <w:trPr>
          <w:trHeight w:val="360"/>
        </w:trPr>
        <w:tc>
          <w:tcPr>
            <w:tcW w:w="2335" w:type="dxa"/>
            <w:tcBorders>
              <w:top w:val="nil"/>
              <w:left w:val="single" w:sz="8" w:space="0" w:color="448A99"/>
              <w:bottom w:val="single" w:sz="8" w:space="0" w:color="448A99"/>
              <w:right w:val="single" w:sz="8" w:space="0" w:color="448A99"/>
            </w:tcBorders>
            <w:shd w:val="clear" w:color="auto" w:fill="D2EAF1"/>
            <w:noWrap/>
            <w:vAlign w:val="center"/>
            <w:hideMark/>
          </w:tcPr>
          <w:p w:rsidR="00C55195" w:rsidRPr="00DF3269" w:rsidRDefault="00C55195" w:rsidP="00C55195">
            <w:pPr>
              <w:jc w:val="left"/>
              <w:rPr>
                <w:bCs/>
                <w:color w:val="000000"/>
                <w:sz w:val="19"/>
                <w:szCs w:val="19"/>
              </w:rPr>
            </w:pPr>
            <w:r w:rsidRPr="00DF3269">
              <w:rPr>
                <w:color w:val="000000"/>
                <w:sz w:val="19"/>
                <w:szCs w:val="19"/>
              </w:rPr>
              <w:t>Small C/I Buildings</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 xml:space="preserve">$3,334,422 </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 xml:space="preserve">$1,730,301 </w:t>
            </w:r>
          </w:p>
        </w:tc>
        <w:tc>
          <w:tcPr>
            <w:tcW w:w="1860" w:type="dxa"/>
            <w:tcBorders>
              <w:top w:val="nil"/>
              <w:left w:val="nil"/>
              <w:bottom w:val="single" w:sz="8" w:space="0" w:color="448A99"/>
              <w:right w:val="single" w:sz="8" w:space="0" w:color="448A99"/>
            </w:tcBorders>
            <w:shd w:val="clear" w:color="000000" w:fill="D2EAF1"/>
            <w:vAlign w:val="center"/>
          </w:tcPr>
          <w:p w:rsidR="00C55195" w:rsidRPr="00DF3269" w:rsidRDefault="00C55195" w:rsidP="00C55195">
            <w:pPr>
              <w:jc w:val="center"/>
              <w:rPr>
                <w:color w:val="000000"/>
                <w:sz w:val="19"/>
                <w:szCs w:val="19"/>
              </w:rPr>
            </w:pPr>
            <w:r w:rsidRPr="00DF3269">
              <w:rPr>
                <w:color w:val="000000"/>
                <w:sz w:val="19"/>
                <w:szCs w:val="19"/>
              </w:rPr>
              <w:t xml:space="preserve">$1,604,121 </w:t>
            </w:r>
          </w:p>
        </w:tc>
        <w:tc>
          <w:tcPr>
            <w:tcW w:w="1534"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1.93</w:t>
            </w:r>
          </w:p>
        </w:tc>
      </w:tr>
      <w:tr w:rsidR="00A874AC" w:rsidRPr="00DF3269" w:rsidTr="00DF3269">
        <w:trPr>
          <w:trHeight w:val="360"/>
        </w:trPr>
        <w:tc>
          <w:tcPr>
            <w:tcW w:w="2335" w:type="dxa"/>
            <w:tcBorders>
              <w:top w:val="nil"/>
              <w:left w:val="single" w:sz="8" w:space="0" w:color="448A99"/>
              <w:bottom w:val="single" w:sz="8" w:space="0" w:color="448A99"/>
              <w:right w:val="single" w:sz="8" w:space="0" w:color="448A99"/>
            </w:tcBorders>
            <w:shd w:val="clear" w:color="auto" w:fill="auto"/>
            <w:noWrap/>
            <w:vAlign w:val="center"/>
            <w:hideMark/>
          </w:tcPr>
          <w:p w:rsidR="00C55195" w:rsidRPr="00DF3269" w:rsidRDefault="00C55195" w:rsidP="00C55195">
            <w:pPr>
              <w:jc w:val="left"/>
              <w:rPr>
                <w:bCs/>
                <w:color w:val="000000"/>
                <w:sz w:val="19"/>
                <w:szCs w:val="19"/>
              </w:rPr>
            </w:pPr>
            <w:r w:rsidRPr="00DF3269">
              <w:rPr>
                <w:color w:val="000000"/>
                <w:sz w:val="19"/>
                <w:szCs w:val="19"/>
              </w:rPr>
              <w:t>Large C/I Equipment</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 xml:space="preserve">$23,092,556 </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 xml:space="preserve">$14,588,272 </w:t>
            </w:r>
          </w:p>
        </w:tc>
        <w:tc>
          <w:tcPr>
            <w:tcW w:w="1860" w:type="dxa"/>
            <w:tcBorders>
              <w:top w:val="nil"/>
              <w:left w:val="nil"/>
              <w:bottom w:val="single" w:sz="8" w:space="0" w:color="448A99"/>
              <w:right w:val="single" w:sz="8" w:space="0" w:color="448A99"/>
            </w:tcBorders>
            <w:shd w:val="clear" w:color="auto" w:fill="auto"/>
            <w:vAlign w:val="center"/>
          </w:tcPr>
          <w:p w:rsidR="00C55195" w:rsidRPr="00DF3269" w:rsidRDefault="00C55195" w:rsidP="00C55195">
            <w:pPr>
              <w:jc w:val="center"/>
              <w:rPr>
                <w:color w:val="000000"/>
                <w:sz w:val="19"/>
                <w:szCs w:val="19"/>
              </w:rPr>
            </w:pPr>
            <w:r w:rsidRPr="00DF3269">
              <w:rPr>
                <w:color w:val="000000"/>
                <w:sz w:val="19"/>
                <w:szCs w:val="19"/>
              </w:rPr>
              <w:t xml:space="preserve">$8,504,284 </w:t>
            </w:r>
          </w:p>
        </w:tc>
        <w:tc>
          <w:tcPr>
            <w:tcW w:w="1534"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1.58</w:t>
            </w:r>
          </w:p>
        </w:tc>
      </w:tr>
      <w:tr w:rsidR="00A874AC" w:rsidRPr="00DF3269" w:rsidTr="00DF3269">
        <w:trPr>
          <w:trHeight w:val="360"/>
        </w:trPr>
        <w:tc>
          <w:tcPr>
            <w:tcW w:w="2335" w:type="dxa"/>
            <w:tcBorders>
              <w:top w:val="nil"/>
              <w:left w:val="single" w:sz="8" w:space="0" w:color="448A99"/>
              <w:bottom w:val="single" w:sz="8" w:space="0" w:color="448A99"/>
              <w:right w:val="single" w:sz="8" w:space="0" w:color="448A99"/>
            </w:tcBorders>
            <w:shd w:val="clear" w:color="auto" w:fill="D2EAF1"/>
            <w:vAlign w:val="center"/>
            <w:hideMark/>
          </w:tcPr>
          <w:p w:rsidR="00C55195" w:rsidRPr="00DF3269" w:rsidRDefault="00C55195" w:rsidP="00C55195">
            <w:pPr>
              <w:jc w:val="left"/>
              <w:rPr>
                <w:bCs/>
                <w:color w:val="000000"/>
                <w:sz w:val="19"/>
                <w:szCs w:val="19"/>
              </w:rPr>
            </w:pPr>
            <w:r w:rsidRPr="00DF3269">
              <w:rPr>
                <w:color w:val="000000"/>
                <w:sz w:val="19"/>
                <w:szCs w:val="19"/>
              </w:rPr>
              <w:t>Large C/I Buildings</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 xml:space="preserve">$3,028,375 </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 xml:space="preserve">$1,859,332 </w:t>
            </w:r>
          </w:p>
        </w:tc>
        <w:tc>
          <w:tcPr>
            <w:tcW w:w="1860" w:type="dxa"/>
            <w:tcBorders>
              <w:top w:val="nil"/>
              <w:left w:val="nil"/>
              <w:bottom w:val="single" w:sz="8" w:space="0" w:color="448A99"/>
              <w:right w:val="single" w:sz="8" w:space="0" w:color="448A99"/>
            </w:tcBorders>
            <w:shd w:val="clear" w:color="000000" w:fill="D2EAF1"/>
            <w:vAlign w:val="center"/>
          </w:tcPr>
          <w:p w:rsidR="00C55195" w:rsidRPr="00DF3269" w:rsidRDefault="00C55195" w:rsidP="00C55195">
            <w:pPr>
              <w:jc w:val="center"/>
              <w:rPr>
                <w:color w:val="000000"/>
                <w:sz w:val="19"/>
                <w:szCs w:val="19"/>
              </w:rPr>
            </w:pPr>
            <w:r w:rsidRPr="00DF3269">
              <w:rPr>
                <w:color w:val="000000"/>
                <w:sz w:val="19"/>
                <w:szCs w:val="19"/>
              </w:rPr>
              <w:t xml:space="preserve">$1,169,043 </w:t>
            </w:r>
          </w:p>
        </w:tc>
        <w:tc>
          <w:tcPr>
            <w:tcW w:w="1534"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color w:val="000000"/>
                <w:sz w:val="19"/>
                <w:szCs w:val="19"/>
              </w:rPr>
            </w:pPr>
            <w:r w:rsidRPr="00DF3269">
              <w:rPr>
                <w:color w:val="000000"/>
                <w:sz w:val="19"/>
                <w:szCs w:val="19"/>
              </w:rPr>
              <w:t>1.63</w:t>
            </w:r>
          </w:p>
        </w:tc>
      </w:tr>
      <w:tr w:rsidR="00A874AC" w:rsidRPr="00DF3269" w:rsidTr="00DF3269">
        <w:trPr>
          <w:trHeight w:val="360"/>
        </w:trPr>
        <w:tc>
          <w:tcPr>
            <w:tcW w:w="2335" w:type="dxa"/>
            <w:tcBorders>
              <w:top w:val="nil"/>
              <w:left w:val="single" w:sz="8" w:space="0" w:color="448A99"/>
              <w:bottom w:val="single" w:sz="8" w:space="0" w:color="448A99"/>
              <w:right w:val="single" w:sz="8" w:space="0" w:color="448A99"/>
            </w:tcBorders>
            <w:shd w:val="clear" w:color="auto" w:fill="auto"/>
            <w:vAlign w:val="center"/>
            <w:hideMark/>
          </w:tcPr>
          <w:p w:rsidR="00C55195" w:rsidRPr="00DF3269" w:rsidRDefault="00C55195" w:rsidP="00C55195">
            <w:pPr>
              <w:jc w:val="left"/>
              <w:rPr>
                <w:bCs/>
                <w:color w:val="000000"/>
                <w:sz w:val="19"/>
                <w:szCs w:val="19"/>
              </w:rPr>
            </w:pPr>
            <w:r w:rsidRPr="00DF3269">
              <w:rPr>
                <w:color w:val="000000"/>
                <w:sz w:val="19"/>
                <w:szCs w:val="19"/>
              </w:rPr>
              <w:t>Gov./Institutional</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 xml:space="preserve">$81,837 </w:t>
            </w:r>
          </w:p>
        </w:tc>
        <w:tc>
          <w:tcPr>
            <w:tcW w:w="1860"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 xml:space="preserve">$247,056 </w:t>
            </w:r>
          </w:p>
        </w:tc>
        <w:tc>
          <w:tcPr>
            <w:tcW w:w="1860" w:type="dxa"/>
            <w:tcBorders>
              <w:top w:val="nil"/>
              <w:left w:val="nil"/>
              <w:bottom w:val="single" w:sz="8" w:space="0" w:color="448A99"/>
              <w:right w:val="single" w:sz="8" w:space="0" w:color="448A99"/>
            </w:tcBorders>
            <w:shd w:val="clear" w:color="auto" w:fill="auto"/>
            <w:vAlign w:val="center"/>
          </w:tcPr>
          <w:p w:rsidR="00C55195" w:rsidRPr="00DF3269" w:rsidRDefault="00C55195" w:rsidP="00C55195">
            <w:pPr>
              <w:jc w:val="center"/>
              <w:rPr>
                <w:color w:val="000000"/>
                <w:sz w:val="19"/>
                <w:szCs w:val="19"/>
              </w:rPr>
            </w:pPr>
            <w:r w:rsidRPr="00DF3269">
              <w:rPr>
                <w:color w:val="FF0000"/>
                <w:sz w:val="19"/>
                <w:szCs w:val="19"/>
              </w:rPr>
              <w:t>($165,219)</w:t>
            </w:r>
          </w:p>
        </w:tc>
        <w:tc>
          <w:tcPr>
            <w:tcW w:w="1534" w:type="dxa"/>
            <w:tcBorders>
              <w:top w:val="nil"/>
              <w:left w:val="nil"/>
              <w:bottom w:val="single" w:sz="8" w:space="0" w:color="448A99"/>
              <w:right w:val="single" w:sz="8" w:space="0" w:color="448A99"/>
            </w:tcBorders>
            <w:shd w:val="clear" w:color="auto" w:fill="auto"/>
            <w:noWrap/>
            <w:vAlign w:val="center"/>
          </w:tcPr>
          <w:p w:rsidR="00C55195" w:rsidRPr="00DF3269" w:rsidRDefault="00C55195" w:rsidP="00C55195">
            <w:pPr>
              <w:jc w:val="center"/>
              <w:rPr>
                <w:color w:val="000000"/>
                <w:sz w:val="19"/>
                <w:szCs w:val="19"/>
              </w:rPr>
            </w:pPr>
            <w:r w:rsidRPr="00DF3269">
              <w:rPr>
                <w:color w:val="000000"/>
                <w:sz w:val="19"/>
                <w:szCs w:val="19"/>
              </w:rPr>
              <w:t>0.33</w:t>
            </w:r>
          </w:p>
        </w:tc>
      </w:tr>
      <w:tr w:rsidR="00A874AC" w:rsidRPr="00DF3269" w:rsidTr="00DF3269">
        <w:trPr>
          <w:trHeight w:val="360"/>
        </w:trPr>
        <w:tc>
          <w:tcPr>
            <w:tcW w:w="2335" w:type="dxa"/>
            <w:shd w:val="clear" w:color="auto" w:fill="D2EAF1"/>
            <w:vAlign w:val="center"/>
            <w:hideMark/>
          </w:tcPr>
          <w:p w:rsidR="00C55195" w:rsidRPr="00DF3269" w:rsidRDefault="00C55195" w:rsidP="00C55195">
            <w:pPr>
              <w:jc w:val="left"/>
              <w:rPr>
                <w:b/>
                <w:bCs/>
                <w:iCs/>
                <w:color w:val="000000"/>
                <w:sz w:val="19"/>
                <w:szCs w:val="19"/>
              </w:rPr>
            </w:pPr>
            <w:r w:rsidRPr="00DF3269">
              <w:rPr>
                <w:b/>
                <w:bCs/>
                <w:iCs/>
                <w:color w:val="000000"/>
                <w:sz w:val="19"/>
                <w:szCs w:val="19"/>
              </w:rPr>
              <w:t>Total Portfolio</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b/>
                <w:bCs/>
                <w:color w:val="000000"/>
                <w:sz w:val="19"/>
                <w:szCs w:val="19"/>
              </w:rPr>
            </w:pPr>
            <w:r w:rsidRPr="00DF3269">
              <w:rPr>
                <w:rFonts w:cs="Arial"/>
                <w:b/>
                <w:bCs/>
                <w:color w:val="000000"/>
                <w:sz w:val="19"/>
                <w:szCs w:val="19"/>
              </w:rPr>
              <w:t xml:space="preserve">$74,561,326 </w:t>
            </w:r>
          </w:p>
        </w:tc>
        <w:tc>
          <w:tcPr>
            <w:tcW w:w="1860"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b/>
                <w:bCs/>
                <w:color w:val="000000"/>
                <w:sz w:val="19"/>
                <w:szCs w:val="19"/>
              </w:rPr>
            </w:pPr>
            <w:r w:rsidRPr="00DF3269">
              <w:rPr>
                <w:rFonts w:cs="Arial"/>
                <w:b/>
                <w:bCs/>
                <w:color w:val="000000"/>
                <w:sz w:val="19"/>
                <w:szCs w:val="19"/>
              </w:rPr>
              <w:t xml:space="preserve">$49,833,052 </w:t>
            </w:r>
          </w:p>
        </w:tc>
        <w:tc>
          <w:tcPr>
            <w:tcW w:w="1860" w:type="dxa"/>
            <w:tcBorders>
              <w:top w:val="nil"/>
              <w:left w:val="nil"/>
              <w:bottom w:val="single" w:sz="8" w:space="0" w:color="448A99"/>
              <w:right w:val="single" w:sz="8" w:space="0" w:color="448A99"/>
            </w:tcBorders>
            <w:shd w:val="clear" w:color="000000" w:fill="D2EAF1"/>
            <w:vAlign w:val="center"/>
          </w:tcPr>
          <w:p w:rsidR="00C55195" w:rsidRPr="00DF3269" w:rsidRDefault="00C55195" w:rsidP="00C55195">
            <w:pPr>
              <w:jc w:val="center"/>
              <w:rPr>
                <w:b/>
                <w:bCs/>
                <w:color w:val="000000"/>
                <w:sz w:val="19"/>
                <w:szCs w:val="19"/>
              </w:rPr>
            </w:pPr>
            <w:r w:rsidRPr="00DF3269">
              <w:rPr>
                <w:b/>
                <w:bCs/>
                <w:color w:val="000000"/>
                <w:sz w:val="19"/>
                <w:szCs w:val="19"/>
              </w:rPr>
              <w:t xml:space="preserve">$24,728,274 </w:t>
            </w:r>
          </w:p>
        </w:tc>
        <w:tc>
          <w:tcPr>
            <w:tcW w:w="1534" w:type="dxa"/>
            <w:tcBorders>
              <w:top w:val="nil"/>
              <w:left w:val="nil"/>
              <w:bottom w:val="single" w:sz="8" w:space="0" w:color="448A99"/>
              <w:right w:val="single" w:sz="8" w:space="0" w:color="448A99"/>
            </w:tcBorders>
            <w:shd w:val="clear" w:color="000000" w:fill="D2EAF1"/>
            <w:noWrap/>
            <w:vAlign w:val="center"/>
          </w:tcPr>
          <w:p w:rsidR="00C55195" w:rsidRPr="00DF3269" w:rsidRDefault="00C55195" w:rsidP="00C55195">
            <w:pPr>
              <w:jc w:val="center"/>
              <w:rPr>
                <w:b/>
                <w:bCs/>
                <w:color w:val="000000"/>
                <w:sz w:val="19"/>
                <w:szCs w:val="19"/>
              </w:rPr>
            </w:pPr>
            <w:r w:rsidRPr="00DF3269">
              <w:rPr>
                <w:b/>
                <w:bCs/>
                <w:color w:val="000000"/>
                <w:sz w:val="19"/>
                <w:szCs w:val="19"/>
              </w:rPr>
              <w:t>1.50</w:t>
            </w:r>
          </w:p>
        </w:tc>
      </w:tr>
    </w:tbl>
    <w:p w:rsidR="00C55195" w:rsidRDefault="00C55195" w:rsidP="00C55195"/>
    <w:p w:rsidR="009C54D3" w:rsidRPr="009C54D3" w:rsidRDefault="009A66A7" w:rsidP="008C19A4">
      <w:pPr>
        <w:spacing w:after="120"/>
      </w:pPr>
      <w:r>
        <w:t xml:space="preserve">Seven </w:t>
      </w:r>
      <w:r w:rsidR="009C54D3" w:rsidRPr="009C54D3">
        <w:t>of Me</w:t>
      </w:r>
      <w:r w:rsidR="002568DF">
        <w:t>t</w:t>
      </w:r>
      <w:r w:rsidR="009C54D3" w:rsidRPr="009C54D3">
        <w:t xml:space="preserve">-Ed’s </w:t>
      </w:r>
      <w:r>
        <w:t>nine</w:t>
      </w:r>
      <w:r w:rsidR="009C54D3" w:rsidRPr="009C54D3">
        <w:t xml:space="preserve"> programs offered were found to be cost-effective and</w:t>
      </w:r>
      <w:r>
        <w:t xml:space="preserve"> two</w:t>
      </w:r>
      <w:r w:rsidR="009C54D3" w:rsidRPr="009C54D3">
        <w:t xml:space="preserve"> were non-cost-effective. The breakout of cost-effective and non-cost-effective programs is shown below.</w:t>
      </w:r>
    </w:p>
    <w:p w:rsidR="009C54D3" w:rsidRPr="00DF3269" w:rsidRDefault="00DF3269" w:rsidP="009C54D3">
      <w:pPr>
        <w:rPr>
          <w:rFonts w:ascii="Century Gothic" w:hAnsi="Century Gothic"/>
          <w:b/>
          <w:color w:val="404040" w:themeColor="text1" w:themeTint="BF"/>
          <w:spacing w:val="-12"/>
        </w:rPr>
      </w:pPr>
      <w:r w:rsidRPr="00DF3269">
        <w:rPr>
          <w:rFonts w:ascii="Century Gothic" w:hAnsi="Century Gothic"/>
          <w:b/>
          <w:color w:val="404040" w:themeColor="text1" w:themeTint="BF"/>
          <w:spacing w:val="-12"/>
        </w:rPr>
        <w:t>COST-EFFECTIVE PROGRAMS</w:t>
      </w:r>
    </w:p>
    <w:p w:rsidR="009C54D3" w:rsidRPr="009C54D3" w:rsidRDefault="009C54D3" w:rsidP="009C54D3">
      <w:pPr>
        <w:spacing w:after="60"/>
        <w:rPr>
          <w:b/>
          <w:color w:val="448A99"/>
        </w:rPr>
      </w:pPr>
      <w:r w:rsidRPr="009C54D3">
        <w:rPr>
          <w:b/>
          <w:color w:val="448A99"/>
        </w:rPr>
        <w:t>(TRC Ratio &gt; 1.0)</w:t>
      </w:r>
    </w:p>
    <w:p w:rsidR="00DF3269" w:rsidRDefault="00DF3269" w:rsidP="00E646C9">
      <w:pPr>
        <w:numPr>
          <w:ilvl w:val="0"/>
          <w:numId w:val="70"/>
        </w:numPr>
        <w:ind w:left="360"/>
        <w:rPr>
          <w:i/>
        </w:rPr>
        <w:sectPr w:rsidR="00DF3269" w:rsidSect="008D7800">
          <w:headerReference w:type="default" r:id="rId104"/>
          <w:footerReference w:type="default" r:id="rId105"/>
          <w:headerReference w:type="first" r:id="rId106"/>
          <w:footerReference w:type="first" r:id="rId107"/>
          <w:pgSz w:w="12240" w:h="15840"/>
          <w:pgMar w:top="1440" w:right="1440" w:bottom="1440" w:left="1440" w:header="720" w:footer="288" w:gutter="0"/>
          <w:cols w:space="720"/>
          <w:titlePg/>
          <w:docGrid w:linePitch="360"/>
        </w:sectPr>
      </w:pPr>
    </w:p>
    <w:p w:rsidR="009C54D3" w:rsidRPr="009C54D3" w:rsidRDefault="009C54D3" w:rsidP="00E646C9">
      <w:pPr>
        <w:numPr>
          <w:ilvl w:val="0"/>
          <w:numId w:val="70"/>
        </w:numPr>
        <w:ind w:left="360"/>
        <w:rPr>
          <w:i/>
        </w:rPr>
      </w:pPr>
      <w:r w:rsidRPr="009C54D3">
        <w:rPr>
          <w:i/>
        </w:rPr>
        <w:t>Residential Appliance Turn-In</w:t>
      </w:r>
    </w:p>
    <w:p w:rsidR="009C54D3" w:rsidRPr="009C54D3" w:rsidRDefault="009C54D3" w:rsidP="00E646C9">
      <w:pPr>
        <w:numPr>
          <w:ilvl w:val="0"/>
          <w:numId w:val="70"/>
        </w:numPr>
        <w:ind w:left="360"/>
        <w:rPr>
          <w:i/>
        </w:rPr>
      </w:pPr>
      <w:r w:rsidRPr="009C54D3">
        <w:rPr>
          <w:i/>
        </w:rPr>
        <w:t>Energy Efficient Products</w:t>
      </w:r>
    </w:p>
    <w:p w:rsidR="009C54D3" w:rsidRPr="009C54D3" w:rsidRDefault="009C54D3" w:rsidP="00E646C9">
      <w:pPr>
        <w:numPr>
          <w:ilvl w:val="0"/>
          <w:numId w:val="70"/>
        </w:numPr>
        <w:ind w:left="360"/>
        <w:rPr>
          <w:i/>
        </w:rPr>
      </w:pPr>
      <w:r w:rsidRPr="009C54D3">
        <w:rPr>
          <w:i/>
        </w:rPr>
        <w:t>Residential Home Performance</w:t>
      </w:r>
    </w:p>
    <w:p w:rsidR="009C54D3" w:rsidRPr="009C54D3" w:rsidRDefault="009C54D3" w:rsidP="00E646C9">
      <w:pPr>
        <w:numPr>
          <w:ilvl w:val="0"/>
          <w:numId w:val="70"/>
        </w:numPr>
        <w:ind w:left="360"/>
        <w:rPr>
          <w:i/>
        </w:rPr>
      </w:pPr>
      <w:r w:rsidRPr="009C54D3">
        <w:rPr>
          <w:i/>
        </w:rPr>
        <w:t>Small C/I Energy Efficient Equipment</w:t>
      </w:r>
    </w:p>
    <w:p w:rsidR="009C54D3" w:rsidRPr="009C54D3" w:rsidRDefault="009C54D3" w:rsidP="00E646C9">
      <w:pPr>
        <w:numPr>
          <w:ilvl w:val="0"/>
          <w:numId w:val="70"/>
        </w:numPr>
        <w:ind w:left="360"/>
        <w:rPr>
          <w:i/>
        </w:rPr>
      </w:pPr>
      <w:r w:rsidRPr="009C54D3">
        <w:rPr>
          <w:i/>
        </w:rPr>
        <w:t>Large C/I Energy Efficient Equipment</w:t>
      </w:r>
    </w:p>
    <w:p w:rsidR="009C54D3" w:rsidRPr="009C54D3" w:rsidRDefault="009C54D3" w:rsidP="00E646C9">
      <w:pPr>
        <w:numPr>
          <w:ilvl w:val="0"/>
          <w:numId w:val="70"/>
        </w:numPr>
        <w:ind w:left="360"/>
        <w:rPr>
          <w:i/>
        </w:rPr>
      </w:pPr>
      <w:r w:rsidRPr="009C54D3">
        <w:rPr>
          <w:i/>
        </w:rPr>
        <w:t>Small C/I Energy Efficient Buildings</w:t>
      </w:r>
    </w:p>
    <w:p w:rsidR="009C54D3" w:rsidRPr="009C54D3" w:rsidRDefault="009C54D3" w:rsidP="00E646C9">
      <w:pPr>
        <w:numPr>
          <w:ilvl w:val="0"/>
          <w:numId w:val="70"/>
        </w:numPr>
        <w:ind w:left="360"/>
        <w:rPr>
          <w:i/>
        </w:rPr>
      </w:pPr>
      <w:r w:rsidRPr="009C54D3">
        <w:rPr>
          <w:i/>
        </w:rPr>
        <w:t>Large C/I Energy Efficient Buildings</w:t>
      </w:r>
    </w:p>
    <w:p w:rsidR="00DF3269" w:rsidRDefault="00DF3269" w:rsidP="009C54D3">
      <w:pPr>
        <w:ind w:left="360"/>
        <w:rPr>
          <w:i/>
        </w:rPr>
        <w:sectPr w:rsidR="00DF3269" w:rsidSect="00DF3269">
          <w:type w:val="continuous"/>
          <w:pgSz w:w="12240" w:h="15840"/>
          <w:pgMar w:top="1440" w:right="1440" w:bottom="1440" w:left="1440" w:header="720" w:footer="288" w:gutter="0"/>
          <w:cols w:num="2" w:space="180"/>
          <w:titlePg/>
          <w:docGrid w:linePitch="360"/>
        </w:sectPr>
      </w:pPr>
    </w:p>
    <w:p w:rsidR="009C54D3" w:rsidRPr="009C54D3" w:rsidRDefault="009C54D3" w:rsidP="009C54D3">
      <w:pPr>
        <w:ind w:left="360"/>
        <w:rPr>
          <w:i/>
        </w:rPr>
      </w:pPr>
    </w:p>
    <w:p w:rsidR="009C54D3" w:rsidRPr="00DF3269" w:rsidRDefault="00DF3269" w:rsidP="009C54D3">
      <w:pPr>
        <w:rPr>
          <w:rFonts w:ascii="Century Gothic" w:hAnsi="Century Gothic"/>
          <w:b/>
          <w:color w:val="404040" w:themeColor="text1" w:themeTint="BF"/>
          <w:spacing w:val="-12"/>
        </w:rPr>
      </w:pPr>
      <w:r w:rsidRPr="00DF3269">
        <w:rPr>
          <w:rFonts w:ascii="Century Gothic" w:hAnsi="Century Gothic"/>
          <w:b/>
          <w:color w:val="404040" w:themeColor="text1" w:themeTint="BF"/>
          <w:spacing w:val="-12"/>
        </w:rPr>
        <w:t>NON-COST-EFFECTIVE PROGRAMS</w:t>
      </w:r>
    </w:p>
    <w:p w:rsidR="009C54D3" w:rsidRPr="009C54D3" w:rsidRDefault="009C54D3" w:rsidP="009C54D3">
      <w:pPr>
        <w:spacing w:after="60"/>
        <w:rPr>
          <w:b/>
          <w:color w:val="448A99"/>
        </w:rPr>
      </w:pPr>
      <w:r w:rsidRPr="009C54D3">
        <w:rPr>
          <w:b/>
          <w:color w:val="448A99"/>
        </w:rPr>
        <w:t>(TRC Ratio &lt; 1.0)</w:t>
      </w:r>
    </w:p>
    <w:p w:rsidR="00DF3269" w:rsidRDefault="00DF3269" w:rsidP="00E646C9">
      <w:pPr>
        <w:numPr>
          <w:ilvl w:val="0"/>
          <w:numId w:val="70"/>
        </w:numPr>
        <w:ind w:left="360"/>
        <w:rPr>
          <w:i/>
        </w:rPr>
        <w:sectPr w:rsidR="00DF3269" w:rsidSect="00DF3269">
          <w:type w:val="continuous"/>
          <w:pgSz w:w="12240" w:h="15840"/>
          <w:pgMar w:top="1440" w:right="1440" w:bottom="1440" w:left="1440" w:header="720" w:footer="288" w:gutter="0"/>
          <w:cols w:space="720"/>
          <w:titlePg/>
          <w:docGrid w:linePitch="360"/>
        </w:sectPr>
      </w:pPr>
    </w:p>
    <w:p w:rsidR="009C54D3" w:rsidRPr="009C54D3" w:rsidRDefault="009C54D3" w:rsidP="00E646C9">
      <w:pPr>
        <w:numPr>
          <w:ilvl w:val="0"/>
          <w:numId w:val="70"/>
        </w:numPr>
        <w:ind w:left="360"/>
        <w:rPr>
          <w:i/>
        </w:rPr>
      </w:pPr>
      <w:r w:rsidRPr="009C54D3">
        <w:rPr>
          <w:i/>
        </w:rPr>
        <w:t>Residential Low-Income</w:t>
      </w:r>
    </w:p>
    <w:p w:rsidR="00DF3269" w:rsidRDefault="009C54D3" w:rsidP="00E646C9">
      <w:pPr>
        <w:numPr>
          <w:ilvl w:val="0"/>
          <w:numId w:val="70"/>
        </w:numPr>
        <w:ind w:left="360"/>
        <w:rPr>
          <w:i/>
        </w:rPr>
        <w:sectPr w:rsidR="00DF3269" w:rsidSect="00DF3269">
          <w:type w:val="continuous"/>
          <w:pgSz w:w="12240" w:h="15840"/>
          <w:pgMar w:top="1440" w:right="1440" w:bottom="1440" w:left="1440" w:header="720" w:footer="288" w:gutter="0"/>
          <w:cols w:num="2" w:space="720"/>
          <w:titlePg/>
          <w:docGrid w:linePitch="360"/>
        </w:sectPr>
      </w:pPr>
      <w:r w:rsidRPr="009C54D3">
        <w:rPr>
          <w:i/>
        </w:rPr>
        <w:t>Government and Institutional</w:t>
      </w:r>
    </w:p>
    <w:p w:rsidR="009C54D3" w:rsidRPr="009C54D3" w:rsidRDefault="009C54D3" w:rsidP="009C54D3">
      <w:pPr>
        <w:rPr>
          <w:highlight w:val="lightGray"/>
        </w:rPr>
      </w:pPr>
    </w:p>
    <w:p w:rsidR="009C54D3" w:rsidRDefault="009C54D3" w:rsidP="009C54D3">
      <w:r w:rsidRPr="009C54D3">
        <w:t>The SWE notes</w:t>
      </w:r>
      <w:r w:rsidR="009A66A7">
        <w:t xml:space="preserve"> that</w:t>
      </w:r>
      <w:r w:rsidRPr="009C54D3">
        <w:t xml:space="preserve"> the C</w:t>
      </w:r>
      <w:r w:rsidR="0097650B">
        <w:t>/</w:t>
      </w:r>
      <w:r w:rsidRPr="009C54D3">
        <w:t xml:space="preserve">I </w:t>
      </w:r>
      <w:r w:rsidR="00AF2C58" w:rsidRPr="009C54D3">
        <w:t xml:space="preserve">Energy Efficient </w:t>
      </w:r>
      <w:r w:rsidR="00AF2C58">
        <w:t>B</w:t>
      </w:r>
      <w:r w:rsidR="00AF2C58" w:rsidRPr="009C54D3">
        <w:t xml:space="preserve">uildings programs </w:t>
      </w:r>
      <w:r w:rsidRPr="009C54D3">
        <w:t>transitioned to cost-effective programs in PY7.  The improved cost-effectiveness is likely the result of increased participation in PY7 resulting in savings and benefits that could outweigh the program’s fixed costs. Overall, programs with large amounts of energy and demand savings generally had high TRC ratios. This signifies that the programs garnering the most savings were also the most cost-effective programs in PY7.</w:t>
      </w:r>
    </w:p>
    <w:p w:rsidR="00363FB4" w:rsidRDefault="00363FB4" w:rsidP="009C54D3"/>
    <w:p w:rsidR="00950837" w:rsidRDefault="00950837" w:rsidP="009C0DF1">
      <w:pPr>
        <w:pStyle w:val="AppendixAHeading3"/>
      </w:pPr>
      <w:r w:rsidRPr="00E37A0C">
        <w:t>Assumptions and Inputs</w:t>
      </w:r>
    </w:p>
    <w:p w:rsidR="009C54D3" w:rsidRDefault="00C94981" w:rsidP="00C94981">
      <w:r w:rsidRPr="00C94981">
        <w:t>One TRC model template was shared across all four FirstEnergy companies. Despite the similar model, the TRC model calculations were handled independently for each of the four EDCs. The Met-Ed iteration of the FirstEnergy TRC model used a discount rate of 7.52% to compare the NPV of program benefits that will occur later in a measure’s lifetime to the up</w:t>
      </w:r>
      <w:r w:rsidR="00AF2C58">
        <w:t>-</w:t>
      </w:r>
      <w:r w:rsidRPr="00C94981">
        <w:t xml:space="preserve">front costs of installation of implementation. This value matches the EDC’s EE&amp;C </w:t>
      </w:r>
      <w:r w:rsidR="00AF2C58">
        <w:t>p</w:t>
      </w:r>
      <w:r w:rsidRPr="00C94981">
        <w:t>lan on file. Different values of LLF were used for different sectors, as shown in</w:t>
      </w:r>
      <w:r>
        <w:t xml:space="preserve"> </w:t>
      </w:r>
      <w:r>
        <w:fldChar w:fldCharType="begin"/>
      </w:r>
      <w:r>
        <w:instrText xml:space="preserve"> REF _Ref472444743 \h </w:instrText>
      </w:r>
      <w:r>
        <w:fldChar w:fldCharType="separate"/>
      </w:r>
      <w:r w:rsidR="00037CB4">
        <w:t>Table A-</w:t>
      </w:r>
      <w:r w:rsidR="00037CB4">
        <w:rPr>
          <w:noProof/>
        </w:rPr>
        <w:t>31</w:t>
      </w:r>
      <w:r>
        <w:fldChar w:fldCharType="end"/>
      </w:r>
      <w:r>
        <w:t>.</w:t>
      </w:r>
    </w:p>
    <w:p w:rsidR="00C94981" w:rsidRDefault="00C94981" w:rsidP="00C94981"/>
    <w:p w:rsidR="00C94981" w:rsidRDefault="00C94981" w:rsidP="004837FA">
      <w:pPr>
        <w:pStyle w:val="Caption"/>
      </w:pPr>
      <w:bookmarkStart w:id="663" w:name="_Ref472444743"/>
      <w:bookmarkStart w:id="664" w:name="_Toc472472440"/>
      <w:bookmarkStart w:id="665" w:name="_Toc488741859"/>
      <w:r>
        <w:t>Table A-</w:t>
      </w:r>
      <w:r w:rsidR="007973A4">
        <w:fldChar w:fldCharType="begin"/>
      </w:r>
      <w:r w:rsidR="007973A4">
        <w:instrText xml:space="preserve"> SEQ Table_A- \* ARABIC </w:instrText>
      </w:r>
      <w:r w:rsidR="007973A4">
        <w:fldChar w:fldCharType="separate"/>
      </w:r>
      <w:r w:rsidR="00037CB4">
        <w:rPr>
          <w:noProof/>
        </w:rPr>
        <w:t>31</w:t>
      </w:r>
      <w:r w:rsidR="007973A4">
        <w:rPr>
          <w:noProof/>
        </w:rPr>
        <w:fldChar w:fldCharType="end"/>
      </w:r>
      <w:bookmarkEnd w:id="663"/>
      <w:r>
        <w:t>: Met-Ed’s PY7</w:t>
      </w:r>
      <w:r w:rsidRPr="00276BF4">
        <w:t xml:space="preserve"> Discount Rates and LLFs</w:t>
      </w:r>
      <w:bookmarkEnd w:id="664"/>
      <w:bookmarkEnd w:id="665"/>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83"/>
        <w:gridCol w:w="1568"/>
        <w:gridCol w:w="1568"/>
        <w:gridCol w:w="1568"/>
        <w:gridCol w:w="1568"/>
      </w:tblGrid>
      <w:tr w:rsidR="00A874AC" w:rsidRPr="00DF3F90" w:rsidTr="00DF3F90">
        <w:trPr>
          <w:trHeight w:val="332"/>
          <w:tblHeader/>
        </w:trPr>
        <w:tc>
          <w:tcPr>
            <w:tcW w:w="3083" w:type="dxa"/>
            <w:shd w:val="clear" w:color="000000" w:fill="448A99"/>
            <w:noWrap/>
            <w:vAlign w:val="bottom"/>
            <w:hideMark/>
          </w:tcPr>
          <w:p w:rsidR="00C94981" w:rsidRPr="00DF3F90" w:rsidRDefault="00C94981" w:rsidP="00C94981">
            <w:pPr>
              <w:jc w:val="left"/>
              <w:rPr>
                <w:b/>
                <w:bCs/>
                <w:color w:val="FFFFFF"/>
                <w:sz w:val="19"/>
                <w:szCs w:val="19"/>
              </w:rPr>
            </w:pPr>
            <w:r w:rsidRPr="00DF3F90">
              <w:rPr>
                <w:b/>
                <w:bCs/>
                <w:color w:val="FFFFFF"/>
                <w:sz w:val="19"/>
                <w:szCs w:val="19"/>
              </w:rPr>
              <w:t>Program</w:t>
            </w:r>
          </w:p>
        </w:tc>
        <w:tc>
          <w:tcPr>
            <w:tcW w:w="1568" w:type="dxa"/>
            <w:shd w:val="clear" w:color="000000" w:fill="448A99"/>
            <w:noWrap/>
            <w:vAlign w:val="bottom"/>
            <w:hideMark/>
          </w:tcPr>
          <w:p w:rsidR="00C94981" w:rsidRPr="00DF3F90" w:rsidRDefault="00C94981" w:rsidP="00C94981">
            <w:pPr>
              <w:jc w:val="center"/>
              <w:rPr>
                <w:b/>
                <w:bCs/>
                <w:color w:val="FFFFFF"/>
                <w:sz w:val="19"/>
                <w:szCs w:val="19"/>
              </w:rPr>
            </w:pPr>
            <w:r w:rsidRPr="00DF3F90">
              <w:rPr>
                <w:b/>
                <w:bCs/>
                <w:color w:val="FFFFFF"/>
                <w:sz w:val="19"/>
                <w:szCs w:val="19"/>
              </w:rPr>
              <w:t>Sector</w:t>
            </w:r>
          </w:p>
        </w:tc>
        <w:tc>
          <w:tcPr>
            <w:tcW w:w="1568" w:type="dxa"/>
            <w:shd w:val="clear" w:color="000000" w:fill="448A99"/>
            <w:noWrap/>
            <w:vAlign w:val="bottom"/>
            <w:hideMark/>
          </w:tcPr>
          <w:p w:rsidR="00C94981" w:rsidRPr="00DF3F90" w:rsidRDefault="00C94981" w:rsidP="00C94981">
            <w:pPr>
              <w:jc w:val="center"/>
              <w:rPr>
                <w:b/>
                <w:bCs/>
                <w:color w:val="FFFFFF"/>
                <w:sz w:val="19"/>
                <w:szCs w:val="19"/>
              </w:rPr>
            </w:pPr>
            <w:r w:rsidRPr="00DF3F90">
              <w:rPr>
                <w:b/>
                <w:bCs/>
                <w:color w:val="FFFFFF"/>
                <w:sz w:val="19"/>
                <w:szCs w:val="19"/>
              </w:rPr>
              <w:t>Discount Rate</w:t>
            </w:r>
          </w:p>
        </w:tc>
        <w:tc>
          <w:tcPr>
            <w:tcW w:w="1568" w:type="dxa"/>
            <w:shd w:val="clear" w:color="000000" w:fill="448A99"/>
            <w:vAlign w:val="bottom"/>
            <w:hideMark/>
          </w:tcPr>
          <w:p w:rsidR="00C94981" w:rsidRPr="00DF3F90" w:rsidRDefault="00C94981" w:rsidP="00C94981">
            <w:pPr>
              <w:jc w:val="center"/>
              <w:rPr>
                <w:b/>
                <w:bCs/>
                <w:color w:val="FFFFFF"/>
                <w:sz w:val="19"/>
                <w:szCs w:val="19"/>
              </w:rPr>
            </w:pPr>
            <w:r w:rsidRPr="00DF3F90">
              <w:rPr>
                <w:b/>
                <w:bCs/>
                <w:color w:val="FFFFFF"/>
                <w:sz w:val="19"/>
                <w:szCs w:val="19"/>
              </w:rPr>
              <w:t>Energy LLF</w:t>
            </w:r>
          </w:p>
        </w:tc>
        <w:tc>
          <w:tcPr>
            <w:tcW w:w="1568" w:type="dxa"/>
            <w:shd w:val="clear" w:color="000000" w:fill="448A99"/>
            <w:vAlign w:val="bottom"/>
            <w:hideMark/>
          </w:tcPr>
          <w:p w:rsidR="00C94981" w:rsidRPr="00DF3F90" w:rsidRDefault="00C94981" w:rsidP="00C94981">
            <w:pPr>
              <w:jc w:val="center"/>
              <w:rPr>
                <w:b/>
                <w:bCs/>
                <w:color w:val="FFFFFF"/>
                <w:sz w:val="19"/>
                <w:szCs w:val="19"/>
              </w:rPr>
            </w:pPr>
            <w:r w:rsidRPr="00DF3F90">
              <w:rPr>
                <w:b/>
                <w:bCs/>
                <w:color w:val="FFFFFF"/>
                <w:sz w:val="19"/>
                <w:szCs w:val="19"/>
              </w:rPr>
              <w:t>Demand LLF</w:t>
            </w:r>
          </w:p>
        </w:tc>
      </w:tr>
      <w:tr w:rsidR="00E7173E" w:rsidRPr="00DF3F90" w:rsidTr="00DF3F90">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C94981" w:rsidRPr="00DF3F90" w:rsidRDefault="00C94981" w:rsidP="00C94981">
            <w:pPr>
              <w:jc w:val="left"/>
              <w:rPr>
                <w:bCs/>
                <w:color w:val="000000"/>
                <w:sz w:val="19"/>
                <w:szCs w:val="19"/>
              </w:rPr>
            </w:pPr>
            <w:r w:rsidRPr="00DF3F90">
              <w:rPr>
                <w:color w:val="000000"/>
                <w:sz w:val="19"/>
                <w:szCs w:val="19"/>
              </w:rPr>
              <w:t>Appliance Turn-In</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Residential</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7.52%</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7.18%</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7.18%</w:t>
            </w:r>
          </w:p>
        </w:tc>
      </w:tr>
      <w:tr w:rsidR="00A874AC" w:rsidRPr="00DF3F90" w:rsidTr="00DF3F90">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C94981" w:rsidRPr="00DF3F90" w:rsidRDefault="00C94981" w:rsidP="00C94981">
            <w:pPr>
              <w:jc w:val="left"/>
              <w:rPr>
                <w:bCs/>
                <w:color w:val="000000"/>
                <w:sz w:val="19"/>
                <w:szCs w:val="19"/>
              </w:rPr>
            </w:pPr>
            <w:r w:rsidRPr="00DF3F90">
              <w:rPr>
                <w:color w:val="000000"/>
                <w:sz w:val="19"/>
                <w:szCs w:val="19"/>
              </w:rPr>
              <w:t>Efficient Products</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Residential</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7.52%</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7.18%</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7.18%</w:t>
            </w:r>
          </w:p>
        </w:tc>
      </w:tr>
      <w:tr w:rsidR="00E7173E" w:rsidRPr="00DF3F90" w:rsidTr="00DF3F90">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C94981" w:rsidRPr="00DF3F90" w:rsidRDefault="00C94981" w:rsidP="00C94981">
            <w:pPr>
              <w:jc w:val="left"/>
              <w:rPr>
                <w:bCs/>
                <w:color w:val="000000"/>
                <w:sz w:val="19"/>
                <w:szCs w:val="19"/>
              </w:rPr>
            </w:pPr>
            <w:r w:rsidRPr="00DF3F90">
              <w:rPr>
                <w:color w:val="000000"/>
                <w:sz w:val="19"/>
                <w:szCs w:val="19"/>
              </w:rPr>
              <w:t>Home Performance</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Residential</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7.52%</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7.18%</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7.18%</w:t>
            </w:r>
          </w:p>
        </w:tc>
      </w:tr>
      <w:tr w:rsidR="00A874AC" w:rsidRPr="00DF3F90" w:rsidTr="00DF3F90">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C94981" w:rsidRPr="00DF3F90" w:rsidRDefault="00C94981" w:rsidP="00C94981">
            <w:pPr>
              <w:jc w:val="left"/>
              <w:rPr>
                <w:bCs/>
                <w:color w:val="000000"/>
                <w:sz w:val="19"/>
                <w:szCs w:val="19"/>
              </w:rPr>
            </w:pPr>
            <w:r w:rsidRPr="00DF3F90">
              <w:rPr>
                <w:color w:val="000000"/>
                <w:sz w:val="19"/>
                <w:szCs w:val="19"/>
              </w:rPr>
              <w:t>Low Income</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Residential</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7.52%</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7.18%</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7.18%</w:t>
            </w:r>
          </w:p>
        </w:tc>
      </w:tr>
      <w:tr w:rsidR="00E7173E" w:rsidRPr="00DF3F90" w:rsidTr="00DF3F90">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C94981" w:rsidRPr="00DF3F90" w:rsidRDefault="00C94981" w:rsidP="00C94981">
            <w:pPr>
              <w:jc w:val="left"/>
              <w:rPr>
                <w:bCs/>
                <w:color w:val="000000"/>
                <w:sz w:val="19"/>
                <w:szCs w:val="19"/>
              </w:rPr>
            </w:pPr>
            <w:r w:rsidRPr="00DF3F90">
              <w:rPr>
                <w:color w:val="000000"/>
                <w:sz w:val="19"/>
                <w:szCs w:val="19"/>
              </w:rPr>
              <w:t>Small C/I Equipment</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Non-</w:t>
            </w:r>
            <w:r w:rsidR="00363FB4" w:rsidRPr="00DF3F90">
              <w:rPr>
                <w:color w:val="000000"/>
                <w:sz w:val="19"/>
                <w:szCs w:val="19"/>
              </w:rPr>
              <w:t>R</w:t>
            </w:r>
            <w:r w:rsidRPr="00DF3F90">
              <w:rPr>
                <w:color w:val="000000"/>
                <w:sz w:val="19"/>
                <w:szCs w:val="19"/>
              </w:rPr>
              <w:t>esidential</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7.52%</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5.0%</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5.0%</w:t>
            </w:r>
          </w:p>
        </w:tc>
      </w:tr>
      <w:tr w:rsidR="00A874AC" w:rsidRPr="00DF3F90" w:rsidTr="00DF3F90">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C94981" w:rsidRPr="00DF3F90" w:rsidRDefault="00C94981" w:rsidP="00C94981">
            <w:pPr>
              <w:jc w:val="left"/>
              <w:rPr>
                <w:bCs/>
                <w:color w:val="000000"/>
                <w:sz w:val="19"/>
                <w:szCs w:val="19"/>
              </w:rPr>
            </w:pPr>
            <w:r w:rsidRPr="00DF3F90">
              <w:rPr>
                <w:color w:val="000000"/>
                <w:sz w:val="19"/>
                <w:szCs w:val="19"/>
              </w:rPr>
              <w:t>Small C/I Buildings</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Non-</w:t>
            </w:r>
            <w:r w:rsidR="00363FB4" w:rsidRPr="00DF3F90">
              <w:rPr>
                <w:color w:val="000000"/>
                <w:sz w:val="19"/>
                <w:szCs w:val="19"/>
              </w:rPr>
              <w:t>R</w:t>
            </w:r>
            <w:r w:rsidRPr="00DF3F90">
              <w:rPr>
                <w:color w:val="000000"/>
                <w:sz w:val="19"/>
                <w:szCs w:val="19"/>
              </w:rPr>
              <w:t>esidential</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7.52%</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5.0%</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5.0%</w:t>
            </w:r>
          </w:p>
        </w:tc>
      </w:tr>
      <w:tr w:rsidR="00E7173E" w:rsidRPr="00DF3F90" w:rsidTr="00DF3F90">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C94981" w:rsidRPr="00DF3F90" w:rsidRDefault="00C94981" w:rsidP="00C94981">
            <w:pPr>
              <w:jc w:val="left"/>
              <w:rPr>
                <w:bCs/>
                <w:color w:val="000000"/>
                <w:sz w:val="19"/>
                <w:szCs w:val="19"/>
              </w:rPr>
            </w:pPr>
            <w:r w:rsidRPr="00DF3F90">
              <w:rPr>
                <w:color w:val="000000"/>
                <w:sz w:val="19"/>
                <w:szCs w:val="19"/>
              </w:rPr>
              <w:t>Large C/I Equipment</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Non-</w:t>
            </w:r>
            <w:r w:rsidR="00363FB4" w:rsidRPr="00DF3F90">
              <w:rPr>
                <w:color w:val="000000"/>
                <w:sz w:val="19"/>
                <w:szCs w:val="19"/>
              </w:rPr>
              <w:t>R</w:t>
            </w:r>
            <w:r w:rsidRPr="00DF3F90">
              <w:rPr>
                <w:color w:val="000000"/>
                <w:sz w:val="19"/>
                <w:szCs w:val="19"/>
              </w:rPr>
              <w:t>esidential</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7.52%</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5.0%</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5.0%</w:t>
            </w:r>
          </w:p>
        </w:tc>
      </w:tr>
      <w:tr w:rsidR="00A874AC" w:rsidRPr="00DF3F90" w:rsidTr="00DF3F90">
        <w:trPr>
          <w:trHeight w:val="346"/>
        </w:trPr>
        <w:tc>
          <w:tcPr>
            <w:tcW w:w="3083" w:type="dxa"/>
            <w:tcBorders>
              <w:top w:val="nil"/>
              <w:left w:val="single" w:sz="8" w:space="0" w:color="448A99"/>
              <w:bottom w:val="single" w:sz="8" w:space="0" w:color="448A99"/>
              <w:right w:val="single" w:sz="8" w:space="0" w:color="448A99"/>
            </w:tcBorders>
            <w:shd w:val="clear" w:color="auto" w:fill="D2EAF1"/>
            <w:vAlign w:val="center"/>
          </w:tcPr>
          <w:p w:rsidR="00C94981" w:rsidRPr="00DF3F90" w:rsidRDefault="00C94981" w:rsidP="00C94981">
            <w:pPr>
              <w:jc w:val="left"/>
              <w:rPr>
                <w:bCs/>
                <w:color w:val="000000"/>
                <w:sz w:val="19"/>
                <w:szCs w:val="19"/>
              </w:rPr>
            </w:pPr>
            <w:r w:rsidRPr="00DF3F90">
              <w:rPr>
                <w:color w:val="000000"/>
                <w:sz w:val="19"/>
                <w:szCs w:val="19"/>
              </w:rPr>
              <w:t>Large C/I Buildings</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Non-</w:t>
            </w:r>
            <w:r w:rsidR="00363FB4" w:rsidRPr="00DF3F90">
              <w:rPr>
                <w:color w:val="000000"/>
                <w:sz w:val="19"/>
                <w:szCs w:val="19"/>
              </w:rPr>
              <w:t>R</w:t>
            </w:r>
            <w:r w:rsidRPr="00DF3F90">
              <w:rPr>
                <w:color w:val="000000"/>
                <w:sz w:val="19"/>
                <w:szCs w:val="19"/>
              </w:rPr>
              <w:t>esidential</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7.52%</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5.0%</w:t>
            </w:r>
          </w:p>
        </w:tc>
        <w:tc>
          <w:tcPr>
            <w:tcW w:w="1568" w:type="dxa"/>
            <w:shd w:val="clear" w:color="auto" w:fill="D2EAF1"/>
            <w:noWrap/>
            <w:vAlign w:val="center"/>
          </w:tcPr>
          <w:p w:rsidR="00C94981" w:rsidRPr="00DF3F90" w:rsidRDefault="00C94981" w:rsidP="00C94981">
            <w:pPr>
              <w:jc w:val="center"/>
              <w:rPr>
                <w:color w:val="000000"/>
                <w:sz w:val="19"/>
                <w:szCs w:val="19"/>
              </w:rPr>
            </w:pPr>
            <w:r w:rsidRPr="00DF3F90">
              <w:rPr>
                <w:color w:val="000000"/>
                <w:sz w:val="19"/>
                <w:szCs w:val="19"/>
              </w:rPr>
              <w:t>5.0%</w:t>
            </w:r>
          </w:p>
        </w:tc>
      </w:tr>
      <w:tr w:rsidR="00E7173E" w:rsidRPr="00DF3F90" w:rsidTr="00DF3F90">
        <w:trPr>
          <w:trHeight w:val="346"/>
        </w:trPr>
        <w:tc>
          <w:tcPr>
            <w:tcW w:w="3083" w:type="dxa"/>
            <w:tcBorders>
              <w:top w:val="nil"/>
              <w:left w:val="single" w:sz="8" w:space="0" w:color="448A99"/>
              <w:bottom w:val="single" w:sz="8" w:space="0" w:color="448A99"/>
              <w:right w:val="single" w:sz="8" w:space="0" w:color="448A99"/>
            </w:tcBorders>
            <w:shd w:val="clear" w:color="auto" w:fill="auto"/>
            <w:vAlign w:val="center"/>
          </w:tcPr>
          <w:p w:rsidR="00C94981" w:rsidRPr="00DF3F90" w:rsidRDefault="00C94981" w:rsidP="00C94981">
            <w:pPr>
              <w:jc w:val="left"/>
              <w:rPr>
                <w:bCs/>
                <w:color w:val="000000"/>
                <w:sz w:val="19"/>
                <w:szCs w:val="19"/>
              </w:rPr>
            </w:pPr>
            <w:r w:rsidRPr="00DF3F90">
              <w:rPr>
                <w:color w:val="000000"/>
                <w:sz w:val="19"/>
                <w:szCs w:val="19"/>
              </w:rPr>
              <w:t>Gov./Institutional</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Non-</w:t>
            </w:r>
            <w:r w:rsidR="00363FB4" w:rsidRPr="00DF3F90">
              <w:rPr>
                <w:color w:val="000000"/>
                <w:sz w:val="19"/>
                <w:szCs w:val="19"/>
              </w:rPr>
              <w:t>R</w:t>
            </w:r>
            <w:r w:rsidRPr="00DF3F90">
              <w:rPr>
                <w:color w:val="000000"/>
                <w:sz w:val="19"/>
                <w:szCs w:val="19"/>
              </w:rPr>
              <w:t>esidential</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7.52%</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5.0%</w:t>
            </w:r>
          </w:p>
        </w:tc>
        <w:tc>
          <w:tcPr>
            <w:tcW w:w="1568" w:type="dxa"/>
            <w:shd w:val="clear" w:color="auto" w:fill="auto"/>
            <w:noWrap/>
            <w:vAlign w:val="center"/>
          </w:tcPr>
          <w:p w:rsidR="00C94981" w:rsidRPr="00DF3F90" w:rsidRDefault="00C94981" w:rsidP="00C94981">
            <w:pPr>
              <w:jc w:val="center"/>
              <w:rPr>
                <w:color w:val="000000"/>
                <w:sz w:val="19"/>
                <w:szCs w:val="19"/>
              </w:rPr>
            </w:pPr>
            <w:r w:rsidRPr="00DF3F90">
              <w:rPr>
                <w:color w:val="000000"/>
                <w:sz w:val="19"/>
                <w:szCs w:val="19"/>
              </w:rPr>
              <w:t>5.0%</w:t>
            </w:r>
          </w:p>
        </w:tc>
      </w:tr>
    </w:tbl>
    <w:p w:rsidR="00C94981" w:rsidRDefault="00C94981" w:rsidP="00C94981"/>
    <w:p w:rsidR="00C94981" w:rsidRPr="00C94981" w:rsidRDefault="00C94981" w:rsidP="00C94981">
      <w:r w:rsidRPr="00C94981">
        <w:t>In the residential sector, measure lives were reported on a measure-by-measure basis. The SWE Team spot-checked some of these measure lives and found them to be consistent with the 2015 TRM</w:t>
      </w:r>
      <w:r w:rsidR="00AF2C58">
        <w:t>.</w:t>
      </w:r>
      <w:r w:rsidRPr="00C94981">
        <w:rPr>
          <w:vertAlign w:val="superscript"/>
        </w:rPr>
        <w:footnoteReference w:id="66"/>
      </w:r>
      <w:r w:rsidRPr="00C94981">
        <w:t xml:space="preserve"> In the non-residential sector, the TRC model applied an EUL at the stratum level rather than at the measure level. </w:t>
      </w:r>
    </w:p>
    <w:p w:rsidR="00C94981" w:rsidRPr="00C94981" w:rsidRDefault="00C94981" w:rsidP="00C94981"/>
    <w:p w:rsidR="00C94981" w:rsidRPr="00C94981" w:rsidRDefault="00C94981" w:rsidP="00C94981">
      <w:r w:rsidRPr="00C94981">
        <w:t xml:space="preserve">Similarly, the model assigned incremental costs at the measure level in the residential sector and at the stratum level in the non-residential sector in the model. The residential-sector incremental costs primarily were derived from the SWE incremental cost database, the Met-ED EE&amp;C </w:t>
      </w:r>
      <w:r w:rsidR="00AF2C58">
        <w:t>p</w:t>
      </w:r>
      <w:r w:rsidRPr="00C94981">
        <w:t xml:space="preserve">lan and the project invoices. The sources for non-residential sector incremental costs included the SWE cost database, sampled project invoices, the Database for Energy Efficient Resources (DEER) 2008 incremental cost database, and the EDC EE&amp;C </w:t>
      </w:r>
      <w:r w:rsidR="00AF2C58">
        <w:t>p</w:t>
      </w:r>
      <w:r w:rsidRPr="00C94981">
        <w:t>lan.</w:t>
      </w:r>
      <w:r w:rsidRPr="00C94981">
        <w:rPr>
          <w:vertAlign w:val="superscript"/>
        </w:rPr>
        <w:footnoteReference w:id="67"/>
      </w:r>
      <w:r w:rsidRPr="00C94981">
        <w:t xml:space="preserve"> The FirstEnergy TRC model relied on the evaluation samples as a basis for calculating incremental participant costs for non-residential programs. Those sampled values were weighted to apply to the remainder of the program. The SWE Team examined this approach and found it reasonable and appropriate.</w:t>
      </w:r>
    </w:p>
    <w:p w:rsidR="00C94981" w:rsidRPr="00C94981" w:rsidRDefault="00C94981" w:rsidP="00C94981">
      <w:pPr>
        <w:rPr>
          <w:highlight w:val="lightGray"/>
        </w:rPr>
      </w:pPr>
    </w:p>
    <w:p w:rsidR="00C94981" w:rsidRDefault="00C94981" w:rsidP="00C94981">
      <w:r w:rsidRPr="00C94981">
        <w:t>The TRC model drew the energy and demand impacts from the tracking database, which used TRM-specified values and equations to assign ex ante annual savings values to completed measures. The TRC model analysis was based on ex post verified savings, so program impacts were adjusted by an applicable realization rate. Separate realization rates were applied to energy and demand impacts.</w:t>
      </w:r>
    </w:p>
    <w:p w:rsidR="00B47046" w:rsidRPr="00C94981" w:rsidRDefault="00B47046" w:rsidP="00C94981"/>
    <w:p w:rsidR="00C94981" w:rsidRPr="00C94981" w:rsidRDefault="00C94981" w:rsidP="00C94981">
      <w:r w:rsidRPr="00C94981">
        <w:t xml:space="preserve">The 2015 TRM specifically instructed EDCs to account for dual baselines with regard to T12 linear fluorescent replacements. The dual baseline adjustment impacts the lifetime energy and demand savings of measures beginning June 1, 2016, but does not impact first-year savings for PY7. </w:t>
      </w:r>
      <w:r w:rsidRPr="00C94981">
        <w:rPr>
          <w:rFonts w:ascii="Arial" w:hAnsi="Arial"/>
          <w:sz w:val="20"/>
        </w:rPr>
        <w:t>EDCs may choose to reflect the dual baselines either by applying savings adjustment factors or by reducing the EUL to adjust lifetime savings.</w:t>
      </w:r>
      <w:r w:rsidRPr="00C94981">
        <w:rPr>
          <w:rFonts w:ascii="Arial" w:hAnsi="Arial"/>
          <w:sz w:val="20"/>
          <w:szCs w:val="20"/>
        </w:rPr>
        <w:t xml:space="preserve"> In the</w:t>
      </w:r>
      <w:r w:rsidRPr="00C94981">
        <w:t xml:space="preserve"> Met-Ed TRC model, a measure’s lifetime was separated into two parts: the first year, and the remaining lifetime. The removed equipment was treated as the baseline for the first year, with the baseline shifting to the code-required baseline for the remainder of the measure’s life. The model calculated the measure’s lifetime savings as the sum of these two parts. </w:t>
      </w:r>
    </w:p>
    <w:p w:rsidR="00C94981" w:rsidRPr="00C94981" w:rsidRDefault="00C94981" w:rsidP="00C94981"/>
    <w:p w:rsidR="00950837" w:rsidRDefault="00950837" w:rsidP="009C0DF1">
      <w:pPr>
        <w:pStyle w:val="AppendixAHeading3"/>
      </w:pPr>
      <w:r w:rsidRPr="00E37A0C">
        <w:t xml:space="preserve">Avoided Cost of </w:t>
      </w:r>
      <w:r w:rsidR="00C55195">
        <w:t xml:space="preserve">Energy and </w:t>
      </w:r>
      <w:r w:rsidRPr="00E37A0C">
        <w:t>Capacity</w:t>
      </w:r>
    </w:p>
    <w:p w:rsidR="00C94981" w:rsidRDefault="00C94981" w:rsidP="00C94981">
      <w:r w:rsidRPr="00C94981">
        <w:t>Consistent with prior Phase II program years, the PY7 FirstEnergy TRC Models use the Phase II approved avoided costs of energy and capacity.  The PY7 models were updated to select the appropriate PY7 stream of avoided costs.</w:t>
      </w:r>
    </w:p>
    <w:p w:rsidR="00C94981" w:rsidRPr="00C94981" w:rsidRDefault="00C94981" w:rsidP="00C94981"/>
    <w:p w:rsidR="00950837" w:rsidRDefault="00950837" w:rsidP="009C0DF1">
      <w:pPr>
        <w:pStyle w:val="AppendixAHeading3"/>
      </w:pPr>
      <w:r w:rsidRPr="00E37A0C">
        <w:t>Conclusions and Recommendations</w:t>
      </w:r>
    </w:p>
    <w:p w:rsidR="00C94981" w:rsidRDefault="00C94981" w:rsidP="00C94981">
      <w:r w:rsidRPr="00C94981">
        <w:t>The FirstEnergy TRC model is performing all of the B/C calculations in accordance with the 2013 TRC Order. The SWE Team review of the Met-Ed TRC model found no calculation errors and believes the PY7 TRC benefits, costs, and ratios to be reasonable and accurate</w:t>
      </w:r>
      <w:r>
        <w:t>.</w:t>
      </w:r>
    </w:p>
    <w:p w:rsidR="00C94981" w:rsidRPr="00C94981" w:rsidRDefault="00C94981" w:rsidP="00C94981"/>
    <w:p w:rsidR="00950837" w:rsidRPr="00E37A0C" w:rsidRDefault="00950837" w:rsidP="000D3563">
      <w:pPr>
        <w:pStyle w:val="AppendixAHeading2"/>
      </w:pPr>
      <w:r w:rsidRPr="00E37A0C">
        <w:t>Status of Evaluation Activities</w:t>
      </w:r>
    </w:p>
    <w:p w:rsidR="00496A99" w:rsidRPr="00496A99" w:rsidRDefault="00496A99" w:rsidP="00496A99">
      <w:r w:rsidRPr="00496A99">
        <w:t>This section discusses the status of Met-Ed’s EM&amp;V plans, M&amp;V activities and findings, and process evaluation activities and findings.</w:t>
      </w:r>
    </w:p>
    <w:p w:rsidR="00496A99" w:rsidRPr="008D7800" w:rsidRDefault="00496A99" w:rsidP="008D7800"/>
    <w:p w:rsidR="00950837" w:rsidRDefault="00950837" w:rsidP="009C0DF1">
      <w:pPr>
        <w:pStyle w:val="AppendixAHeading3"/>
      </w:pPr>
      <w:r>
        <w:t>Status of Evaluation, Measurement and Verification Plans</w:t>
      </w:r>
    </w:p>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71"/>
        </w:numPr>
        <w:ind w:left="360"/>
        <w:rPr>
          <w:color w:val="000000"/>
          <w:szCs w:val="20"/>
        </w:rPr>
      </w:pPr>
      <w:r w:rsidRPr="008A5E9E">
        <w:rPr>
          <w:color w:val="000000"/>
          <w:szCs w:val="20"/>
        </w:rPr>
        <w:t>Establish key program contacts</w:t>
      </w:r>
    </w:p>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8C19A4" w:rsidRDefault="008C19A4" w:rsidP="00496A99"/>
    <w:p w:rsidR="00DD3B6D" w:rsidRPr="008C19A4" w:rsidRDefault="008C19A4" w:rsidP="008C19A4">
      <w:r>
        <w:t>Table A-32</w:t>
      </w:r>
      <w:r w:rsidR="00DD3B6D" w:rsidRPr="008C19A4">
        <w:t xml:space="preserve"> displays key milestones completed by FirstEnergy and the SWE for FirstEnergy’s Phase II EM&amp;V Plan. FirstEnergy EDCs submitted, and the SWE Team approved, only one EM&amp;V Plan across all four FirstEnergy EDCs.</w:t>
      </w:r>
    </w:p>
    <w:p w:rsidR="00DD3B6D" w:rsidRPr="00FB6015" w:rsidRDefault="00DD3B6D" w:rsidP="00DD3B6D"/>
    <w:p w:rsidR="00DD3B6D" w:rsidRPr="008A5E9E" w:rsidRDefault="000D0C36" w:rsidP="004837FA">
      <w:pPr>
        <w:pStyle w:val="Caption"/>
        <w:rPr>
          <w:color w:val="000000"/>
          <w14:textFill>
            <w14:solidFill>
              <w14:srgbClr w14:val="000000">
                <w14:lumMod w14:val="75000"/>
                <w14:lumOff w14:val="25000"/>
              </w14:srgbClr>
            </w14:solidFill>
          </w14:textFill>
        </w:rPr>
      </w:pPr>
      <w:bookmarkStart w:id="666" w:name="_Ref472359146"/>
      <w:bookmarkStart w:id="667" w:name="_Toc445206203"/>
      <w:bookmarkStart w:id="668" w:name="_Toc472472441"/>
      <w:bookmarkStart w:id="669" w:name="_Toc488741860"/>
      <w:r>
        <w:t>Table A-</w:t>
      </w:r>
      <w:r w:rsidR="007973A4">
        <w:fldChar w:fldCharType="begin"/>
      </w:r>
      <w:r w:rsidR="007973A4">
        <w:instrText xml:space="preserve"> SEQ Table_A- \* ARABIC </w:instrText>
      </w:r>
      <w:r w:rsidR="007973A4">
        <w:fldChar w:fldCharType="separate"/>
      </w:r>
      <w:r w:rsidR="00037CB4">
        <w:rPr>
          <w:noProof/>
        </w:rPr>
        <w:t>32</w:t>
      </w:r>
      <w:r w:rsidR="007973A4">
        <w:rPr>
          <w:noProof/>
        </w:rPr>
        <w:fldChar w:fldCharType="end"/>
      </w:r>
      <w:bookmarkEnd w:id="666"/>
      <w:r>
        <w:t xml:space="preserve">: </w:t>
      </w:r>
      <w:r w:rsidR="00DD3B6D" w:rsidRPr="00FB6015">
        <w:t>Key Milestones Reached for Met-Ed’s Phase II EM&amp;V Plan</w:t>
      </w:r>
      <w:bookmarkEnd w:id="667"/>
      <w:bookmarkEnd w:id="668"/>
      <w:bookmarkEnd w:id="669"/>
    </w:p>
    <w:tbl>
      <w:tblPr>
        <w:tblW w:w="9355" w:type="dxa"/>
        <w:jc w:val="center"/>
        <w:tblLayout w:type="fixed"/>
        <w:tblLook w:val="04A0" w:firstRow="1" w:lastRow="0" w:firstColumn="1" w:lastColumn="0" w:noHBand="0" w:noVBand="1"/>
      </w:tblPr>
      <w:tblGrid>
        <w:gridCol w:w="2065"/>
        <w:gridCol w:w="7290"/>
      </w:tblGrid>
      <w:tr w:rsidR="00E7173E" w:rsidRPr="00DF3F90" w:rsidTr="00DD4CC7">
        <w:trPr>
          <w:cantSplit/>
          <w:trHeight w:val="197"/>
          <w:tblHeader/>
          <w:jc w:val="center"/>
        </w:trPr>
        <w:tc>
          <w:tcPr>
            <w:tcW w:w="206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DF3F90" w:rsidRDefault="00DD3B6D" w:rsidP="008C2D5E">
            <w:pPr>
              <w:jc w:val="left"/>
              <w:rPr>
                <w:b/>
                <w:bCs/>
                <w:color w:val="FFFFFF"/>
                <w:sz w:val="19"/>
                <w:szCs w:val="19"/>
              </w:rPr>
            </w:pPr>
            <w:r w:rsidRPr="00DF3F90">
              <w:rPr>
                <w:b/>
                <w:bCs/>
                <w:color w:val="FFFFFF"/>
                <w:sz w:val="19"/>
                <w:szCs w:val="19"/>
              </w:rPr>
              <w:t>Date</w:t>
            </w:r>
          </w:p>
        </w:tc>
        <w:tc>
          <w:tcPr>
            <w:tcW w:w="7290" w:type="dxa"/>
            <w:tcBorders>
              <w:top w:val="single" w:sz="4" w:space="0" w:color="448A99"/>
              <w:left w:val="nil"/>
              <w:bottom w:val="single" w:sz="4" w:space="0" w:color="448A99"/>
              <w:right w:val="single" w:sz="4" w:space="0" w:color="448A99"/>
            </w:tcBorders>
            <w:shd w:val="clear" w:color="000000" w:fill="448A99"/>
            <w:vAlign w:val="bottom"/>
          </w:tcPr>
          <w:p w:rsidR="00DD3B6D" w:rsidRPr="00DF3F90" w:rsidRDefault="00DD3B6D" w:rsidP="008C2D5E">
            <w:pPr>
              <w:jc w:val="left"/>
              <w:rPr>
                <w:b/>
                <w:bCs/>
                <w:color w:val="FFFFFF"/>
                <w:sz w:val="19"/>
                <w:szCs w:val="19"/>
              </w:rPr>
            </w:pPr>
            <w:r w:rsidRPr="00DF3F90">
              <w:rPr>
                <w:b/>
                <w:bCs/>
                <w:color w:val="FFFFFF"/>
                <w:sz w:val="19"/>
                <w:szCs w:val="19"/>
              </w:rPr>
              <w:t>Event</w:t>
            </w:r>
          </w:p>
        </w:tc>
      </w:tr>
      <w:tr w:rsidR="00E7173E" w:rsidRPr="00DF3F90" w:rsidTr="00DD4CC7">
        <w:trPr>
          <w:trHeight w:val="648"/>
          <w:jc w:val="center"/>
        </w:trPr>
        <w:tc>
          <w:tcPr>
            <w:tcW w:w="2065" w:type="dxa"/>
            <w:tcBorders>
              <w:top w:val="nil"/>
              <w:left w:val="single" w:sz="4" w:space="0" w:color="448A99"/>
              <w:bottom w:val="single" w:sz="4" w:space="0" w:color="448A99"/>
              <w:right w:val="single" w:sz="4" w:space="0" w:color="448A99"/>
            </w:tcBorders>
            <w:shd w:val="clear" w:color="auto" w:fill="D2EAF1"/>
            <w:vAlign w:val="center"/>
          </w:tcPr>
          <w:p w:rsidR="00DD3B6D" w:rsidRPr="00DF3F90" w:rsidRDefault="00DD3B6D" w:rsidP="008C2D5E">
            <w:pPr>
              <w:jc w:val="left"/>
              <w:rPr>
                <w:bCs/>
                <w:color w:val="000000"/>
                <w:sz w:val="19"/>
                <w:szCs w:val="19"/>
              </w:rPr>
            </w:pPr>
            <w:r w:rsidRPr="00DF3F90">
              <w:rPr>
                <w:sz w:val="19"/>
                <w:szCs w:val="19"/>
              </w:rPr>
              <w:t>September 19, 2013</w:t>
            </w:r>
          </w:p>
        </w:tc>
        <w:tc>
          <w:tcPr>
            <w:tcW w:w="7290" w:type="dxa"/>
            <w:tcBorders>
              <w:top w:val="nil"/>
              <w:left w:val="nil"/>
              <w:bottom w:val="single" w:sz="4" w:space="0" w:color="448A99"/>
              <w:right w:val="single" w:sz="4" w:space="0" w:color="448A99"/>
            </w:tcBorders>
            <w:shd w:val="clear" w:color="auto" w:fill="D2EAF1"/>
            <w:vAlign w:val="center"/>
          </w:tcPr>
          <w:p w:rsidR="00DD3B6D" w:rsidRPr="00DF3F90" w:rsidRDefault="00DD3B6D" w:rsidP="008C2D5E">
            <w:pPr>
              <w:jc w:val="left"/>
              <w:rPr>
                <w:color w:val="000000"/>
                <w:sz w:val="19"/>
                <w:szCs w:val="19"/>
              </w:rPr>
            </w:pPr>
            <w:r w:rsidRPr="00DF3F90">
              <w:rPr>
                <w:sz w:val="19"/>
                <w:szCs w:val="19"/>
              </w:rPr>
              <w:t>FirstEnergy EDCs submit first draft of Phase II evaluation plan to the PUC and SWE</w:t>
            </w:r>
          </w:p>
        </w:tc>
      </w:tr>
      <w:tr w:rsidR="00E7173E" w:rsidRPr="00DF3F90" w:rsidTr="00DD4CC7">
        <w:trPr>
          <w:trHeight w:val="648"/>
          <w:jc w:val="center"/>
        </w:trPr>
        <w:tc>
          <w:tcPr>
            <w:tcW w:w="2065" w:type="dxa"/>
            <w:tcBorders>
              <w:top w:val="nil"/>
              <w:left w:val="single" w:sz="4" w:space="0" w:color="448A99"/>
              <w:bottom w:val="single" w:sz="4" w:space="0" w:color="448A99"/>
              <w:right w:val="single" w:sz="4" w:space="0" w:color="448A99"/>
            </w:tcBorders>
            <w:shd w:val="clear" w:color="auto" w:fill="auto"/>
            <w:vAlign w:val="center"/>
          </w:tcPr>
          <w:p w:rsidR="00DD3B6D" w:rsidRPr="00DF3F90" w:rsidRDefault="00DD3B6D" w:rsidP="008C2D5E">
            <w:pPr>
              <w:jc w:val="left"/>
              <w:rPr>
                <w:bCs/>
                <w:color w:val="000000"/>
                <w:sz w:val="19"/>
                <w:szCs w:val="19"/>
                <w:lang w:eastAsia="zh-CN"/>
              </w:rPr>
            </w:pPr>
            <w:r w:rsidRPr="00DF3F90">
              <w:rPr>
                <w:sz w:val="19"/>
                <w:szCs w:val="19"/>
              </w:rPr>
              <w:t>October 15, 2013</w:t>
            </w:r>
          </w:p>
        </w:tc>
        <w:tc>
          <w:tcPr>
            <w:tcW w:w="7290" w:type="dxa"/>
            <w:tcBorders>
              <w:top w:val="nil"/>
              <w:left w:val="nil"/>
              <w:bottom w:val="single" w:sz="4" w:space="0" w:color="448A99"/>
              <w:right w:val="single" w:sz="4" w:space="0" w:color="448A99"/>
            </w:tcBorders>
            <w:shd w:val="clear" w:color="auto" w:fill="auto"/>
            <w:vAlign w:val="center"/>
          </w:tcPr>
          <w:p w:rsidR="00DD3B6D" w:rsidRPr="00DF3F90" w:rsidRDefault="00DD3B6D" w:rsidP="008C2D5E">
            <w:pPr>
              <w:jc w:val="left"/>
              <w:rPr>
                <w:color w:val="000000"/>
                <w:sz w:val="19"/>
                <w:szCs w:val="19"/>
              </w:rPr>
            </w:pPr>
            <w:r w:rsidRPr="00DF3F90">
              <w:rPr>
                <w:sz w:val="19"/>
                <w:szCs w:val="19"/>
              </w:rPr>
              <w:t>SWE returns comments on the FirstEnergy evaluation plan to FirstEnergy</w:t>
            </w:r>
          </w:p>
        </w:tc>
      </w:tr>
      <w:tr w:rsidR="00E7173E" w:rsidRPr="00DF3F90" w:rsidTr="00DD4CC7">
        <w:trPr>
          <w:trHeight w:val="648"/>
          <w:jc w:val="center"/>
        </w:trPr>
        <w:tc>
          <w:tcPr>
            <w:tcW w:w="2065" w:type="dxa"/>
            <w:tcBorders>
              <w:top w:val="nil"/>
              <w:left w:val="single" w:sz="4" w:space="0" w:color="448A99"/>
              <w:bottom w:val="single" w:sz="4" w:space="0" w:color="448A99"/>
              <w:right w:val="single" w:sz="4" w:space="0" w:color="448A99"/>
            </w:tcBorders>
            <w:shd w:val="clear" w:color="auto" w:fill="D2EAF1"/>
            <w:vAlign w:val="center"/>
          </w:tcPr>
          <w:p w:rsidR="00DD3B6D" w:rsidRPr="00DF3F90" w:rsidRDefault="00DD3B6D" w:rsidP="008C2D5E">
            <w:pPr>
              <w:jc w:val="left"/>
              <w:rPr>
                <w:bCs/>
                <w:color w:val="000000"/>
                <w:sz w:val="19"/>
                <w:szCs w:val="19"/>
                <w:lang w:eastAsia="zh-CN"/>
              </w:rPr>
            </w:pPr>
            <w:r w:rsidRPr="00DF3F90">
              <w:rPr>
                <w:sz w:val="19"/>
                <w:szCs w:val="19"/>
              </w:rPr>
              <w:t>November 13, 2013</w:t>
            </w:r>
          </w:p>
        </w:tc>
        <w:tc>
          <w:tcPr>
            <w:tcW w:w="7290" w:type="dxa"/>
            <w:tcBorders>
              <w:top w:val="nil"/>
              <w:left w:val="nil"/>
              <w:bottom w:val="single" w:sz="4" w:space="0" w:color="448A99"/>
              <w:right w:val="single" w:sz="4" w:space="0" w:color="448A99"/>
            </w:tcBorders>
            <w:shd w:val="clear" w:color="auto" w:fill="D2EAF1"/>
            <w:vAlign w:val="center"/>
          </w:tcPr>
          <w:p w:rsidR="00DD3B6D" w:rsidRPr="00DF3F90" w:rsidRDefault="00DD3B6D" w:rsidP="008C2D5E">
            <w:pPr>
              <w:jc w:val="left"/>
              <w:rPr>
                <w:color w:val="000000"/>
                <w:sz w:val="19"/>
                <w:szCs w:val="19"/>
              </w:rPr>
            </w:pPr>
            <w:r w:rsidRPr="00DF3F90">
              <w:rPr>
                <w:sz w:val="19"/>
                <w:szCs w:val="19"/>
              </w:rPr>
              <w:t>SWE sends a list of “items that be must addressed” to FirstEnergy EDCs</w:t>
            </w:r>
          </w:p>
        </w:tc>
      </w:tr>
      <w:tr w:rsidR="00E7173E" w:rsidRPr="00DF3F90" w:rsidTr="00DD4CC7">
        <w:trPr>
          <w:trHeight w:val="648"/>
          <w:jc w:val="center"/>
        </w:trPr>
        <w:tc>
          <w:tcPr>
            <w:tcW w:w="2065" w:type="dxa"/>
            <w:tcBorders>
              <w:top w:val="nil"/>
              <w:left w:val="single" w:sz="4" w:space="0" w:color="448A99"/>
              <w:bottom w:val="single" w:sz="4" w:space="0" w:color="448A99"/>
              <w:right w:val="single" w:sz="4" w:space="0" w:color="448A99"/>
            </w:tcBorders>
            <w:shd w:val="clear" w:color="auto" w:fill="auto"/>
            <w:vAlign w:val="center"/>
          </w:tcPr>
          <w:p w:rsidR="00DD3B6D" w:rsidRPr="00DF3F90" w:rsidRDefault="00DD3B6D" w:rsidP="008C2D5E">
            <w:pPr>
              <w:jc w:val="left"/>
              <w:rPr>
                <w:bCs/>
                <w:color w:val="000000"/>
                <w:sz w:val="19"/>
                <w:szCs w:val="19"/>
                <w:lang w:eastAsia="zh-CN"/>
              </w:rPr>
            </w:pPr>
            <w:r w:rsidRPr="00DF3F90">
              <w:rPr>
                <w:sz w:val="19"/>
                <w:szCs w:val="19"/>
              </w:rPr>
              <w:t>February 19, 2014</w:t>
            </w:r>
          </w:p>
        </w:tc>
        <w:tc>
          <w:tcPr>
            <w:tcW w:w="7290" w:type="dxa"/>
            <w:tcBorders>
              <w:top w:val="nil"/>
              <w:left w:val="nil"/>
              <w:bottom w:val="single" w:sz="4" w:space="0" w:color="448A99"/>
              <w:right w:val="single" w:sz="4" w:space="0" w:color="448A99"/>
            </w:tcBorders>
            <w:shd w:val="clear" w:color="auto" w:fill="auto"/>
            <w:vAlign w:val="center"/>
          </w:tcPr>
          <w:p w:rsidR="00DD3B6D" w:rsidRPr="00DF3F90" w:rsidRDefault="00DD3B6D" w:rsidP="008C2D5E">
            <w:pPr>
              <w:jc w:val="left"/>
              <w:rPr>
                <w:color w:val="000000"/>
                <w:sz w:val="19"/>
                <w:szCs w:val="19"/>
              </w:rPr>
            </w:pPr>
            <w:r w:rsidRPr="00DF3F90">
              <w:rPr>
                <w:sz w:val="19"/>
                <w:szCs w:val="19"/>
              </w:rPr>
              <w:t>FirstEnergy EDCs submit revised Phase II evaluation plan to the PUC and SWE</w:t>
            </w:r>
          </w:p>
        </w:tc>
      </w:tr>
      <w:tr w:rsidR="00E7173E" w:rsidRPr="00DF3F90" w:rsidTr="00DD4CC7">
        <w:trPr>
          <w:trHeight w:val="648"/>
          <w:jc w:val="center"/>
        </w:trPr>
        <w:tc>
          <w:tcPr>
            <w:tcW w:w="2065" w:type="dxa"/>
            <w:tcBorders>
              <w:top w:val="nil"/>
              <w:left w:val="single" w:sz="4" w:space="0" w:color="448A99"/>
              <w:bottom w:val="single" w:sz="8" w:space="0" w:color="448A99"/>
              <w:right w:val="single" w:sz="4" w:space="0" w:color="448A99"/>
            </w:tcBorders>
            <w:shd w:val="clear" w:color="auto" w:fill="D2EAF1"/>
            <w:vAlign w:val="center"/>
          </w:tcPr>
          <w:p w:rsidR="00DD3B6D" w:rsidRPr="00DF3F90" w:rsidRDefault="00DD3B6D" w:rsidP="008C2D5E">
            <w:pPr>
              <w:jc w:val="left"/>
              <w:rPr>
                <w:bCs/>
                <w:color w:val="000000"/>
                <w:sz w:val="19"/>
                <w:szCs w:val="19"/>
              </w:rPr>
            </w:pPr>
            <w:r w:rsidRPr="00DF3F90">
              <w:rPr>
                <w:sz w:val="19"/>
                <w:szCs w:val="19"/>
              </w:rPr>
              <w:t>June 1, 2014</w:t>
            </w:r>
          </w:p>
        </w:tc>
        <w:tc>
          <w:tcPr>
            <w:tcW w:w="7290" w:type="dxa"/>
            <w:tcBorders>
              <w:top w:val="nil"/>
              <w:left w:val="nil"/>
              <w:bottom w:val="single" w:sz="8" w:space="0" w:color="448A99"/>
              <w:right w:val="single" w:sz="4" w:space="0" w:color="448A99"/>
            </w:tcBorders>
            <w:shd w:val="clear" w:color="auto" w:fill="D2EAF1"/>
            <w:vAlign w:val="center"/>
          </w:tcPr>
          <w:p w:rsidR="00DD3B6D" w:rsidRPr="00DF3F90" w:rsidRDefault="00DD3B6D" w:rsidP="008C2D5E">
            <w:pPr>
              <w:jc w:val="left"/>
              <w:rPr>
                <w:color w:val="000000"/>
                <w:sz w:val="19"/>
                <w:szCs w:val="19"/>
              </w:rPr>
            </w:pPr>
            <w:r w:rsidRPr="00DF3F90">
              <w:rPr>
                <w:sz w:val="19"/>
                <w:szCs w:val="19"/>
              </w:rPr>
              <w:t>PY6 starts</w:t>
            </w:r>
          </w:p>
        </w:tc>
      </w:tr>
      <w:tr w:rsidR="00E7173E" w:rsidRPr="00DF3F90" w:rsidTr="00DD4CC7">
        <w:trPr>
          <w:trHeight w:val="648"/>
          <w:jc w:val="center"/>
        </w:trPr>
        <w:tc>
          <w:tcPr>
            <w:tcW w:w="2065" w:type="dxa"/>
            <w:tcBorders>
              <w:top w:val="single" w:sz="8" w:space="0" w:color="448A99"/>
              <w:left w:val="single" w:sz="4" w:space="0" w:color="448A99"/>
              <w:bottom w:val="single" w:sz="8" w:space="0" w:color="448A99"/>
              <w:right w:val="single" w:sz="4" w:space="0" w:color="448A99"/>
            </w:tcBorders>
            <w:shd w:val="clear" w:color="auto" w:fill="FFFFFF"/>
            <w:vAlign w:val="center"/>
          </w:tcPr>
          <w:p w:rsidR="00DD3B6D" w:rsidRPr="00DF3F90" w:rsidRDefault="00DD3B6D" w:rsidP="008C2D5E">
            <w:pPr>
              <w:jc w:val="left"/>
              <w:rPr>
                <w:sz w:val="19"/>
                <w:szCs w:val="19"/>
              </w:rPr>
            </w:pPr>
            <w:r w:rsidRPr="00DF3F90">
              <w:rPr>
                <w:sz w:val="19"/>
                <w:szCs w:val="19"/>
              </w:rPr>
              <w:t>December 17, 2014</w:t>
            </w:r>
          </w:p>
        </w:tc>
        <w:tc>
          <w:tcPr>
            <w:tcW w:w="7290" w:type="dxa"/>
            <w:tcBorders>
              <w:top w:val="single" w:sz="8" w:space="0" w:color="448A99"/>
              <w:left w:val="nil"/>
              <w:bottom w:val="single" w:sz="8" w:space="0" w:color="448A99"/>
              <w:right w:val="single" w:sz="4" w:space="0" w:color="448A99"/>
            </w:tcBorders>
            <w:shd w:val="clear" w:color="auto" w:fill="FFFFFF"/>
            <w:vAlign w:val="center"/>
          </w:tcPr>
          <w:p w:rsidR="00DD3B6D" w:rsidRPr="00DF3F90" w:rsidRDefault="00DD3B6D" w:rsidP="008C2D5E">
            <w:pPr>
              <w:jc w:val="left"/>
              <w:rPr>
                <w:sz w:val="19"/>
                <w:szCs w:val="19"/>
              </w:rPr>
            </w:pPr>
            <w:r w:rsidRPr="00DF3F90">
              <w:rPr>
                <w:sz w:val="19"/>
                <w:szCs w:val="19"/>
              </w:rPr>
              <w:t>FirstEnergy EDCs provide email with additional information on the approach used by ADM for the PY6 evaluation of Met-Ed’s Appliance Turn-In Program</w:t>
            </w:r>
          </w:p>
        </w:tc>
      </w:tr>
      <w:tr w:rsidR="00E7173E" w:rsidRPr="00DF3F90" w:rsidTr="00DD4CC7">
        <w:trPr>
          <w:trHeight w:val="648"/>
          <w:jc w:val="center"/>
        </w:trPr>
        <w:tc>
          <w:tcPr>
            <w:tcW w:w="2065" w:type="dxa"/>
            <w:tcBorders>
              <w:top w:val="single" w:sz="8" w:space="0" w:color="448A99"/>
              <w:left w:val="single" w:sz="4" w:space="0" w:color="448A99"/>
              <w:bottom w:val="single" w:sz="4" w:space="0" w:color="448A99"/>
              <w:right w:val="single" w:sz="4" w:space="0" w:color="448A99"/>
            </w:tcBorders>
            <w:shd w:val="clear" w:color="auto" w:fill="D2EAF1"/>
            <w:vAlign w:val="center"/>
          </w:tcPr>
          <w:p w:rsidR="00DD3B6D" w:rsidRPr="00DF3F90" w:rsidRDefault="00DD3B6D" w:rsidP="008C2D5E">
            <w:pPr>
              <w:jc w:val="left"/>
              <w:rPr>
                <w:sz w:val="19"/>
                <w:szCs w:val="19"/>
              </w:rPr>
            </w:pPr>
            <w:r w:rsidRPr="00DF3F90">
              <w:rPr>
                <w:sz w:val="19"/>
                <w:szCs w:val="19"/>
              </w:rPr>
              <w:t>January 5, 2015</w:t>
            </w:r>
          </w:p>
        </w:tc>
        <w:tc>
          <w:tcPr>
            <w:tcW w:w="7290" w:type="dxa"/>
            <w:tcBorders>
              <w:top w:val="single" w:sz="8" w:space="0" w:color="448A99"/>
              <w:left w:val="nil"/>
              <w:bottom w:val="single" w:sz="4" w:space="0" w:color="448A99"/>
              <w:right w:val="single" w:sz="4" w:space="0" w:color="448A99"/>
            </w:tcBorders>
            <w:shd w:val="clear" w:color="auto" w:fill="D2EAF1"/>
            <w:vAlign w:val="center"/>
          </w:tcPr>
          <w:p w:rsidR="00DD3B6D" w:rsidRPr="00DF3F90" w:rsidRDefault="00DD3B6D" w:rsidP="008C2D5E">
            <w:pPr>
              <w:jc w:val="left"/>
              <w:rPr>
                <w:sz w:val="19"/>
                <w:szCs w:val="19"/>
              </w:rPr>
            </w:pPr>
            <w:r w:rsidRPr="00DF3F90">
              <w:rPr>
                <w:sz w:val="19"/>
                <w:szCs w:val="19"/>
              </w:rPr>
              <w:t>FirstEnergy EDCs send email to SWE with clarification of sampling approach for the evaluations of the residential low-income program components (direct-install, giveaway, and low income low use kit components)</w:t>
            </w:r>
          </w:p>
        </w:tc>
      </w:tr>
    </w:tbl>
    <w:p w:rsidR="00DD3B6D" w:rsidRPr="00FB6015" w:rsidRDefault="00DD3B6D" w:rsidP="00DD3B6D"/>
    <w:p w:rsidR="00DD3B6D" w:rsidRPr="00FB6015" w:rsidRDefault="00DD3B6D" w:rsidP="00DD3B6D">
      <w:pPr>
        <w:spacing w:after="120"/>
      </w:pPr>
      <w:r w:rsidRPr="00FB6015">
        <w:t xml:space="preserve">The initial EM&amp;V Plan for all FirstEnergy companies, submitted on September 19, 2013, detailed proposed evaluation objectives and activities for nine programs across two sectors. Key evaluation issues, impact evaluation details, process evaluation details, sampling plans, and key contacts were presented for each of the nine programs. After reviewing the plan, the SWE Team returned 34 comments on October 15, 2013. Many of the SWE Team’s comments demonstrated the SWE Team’s agreement with details of the </w:t>
      </w:r>
      <w:r w:rsidRPr="00126D81">
        <w:t>FirstEnergy EDCs’</w:t>
      </w:r>
      <w:r w:rsidRPr="00FB6015">
        <w:t xml:space="preserve"> plan. Most of the remaining comments concerned report formatting and minor clarifications that did not propose changes to the plan; substantive recommendations for revisions to the plan arose in only two areas:</w:t>
      </w:r>
    </w:p>
    <w:p w:rsidR="00DD3B6D" w:rsidRPr="008A5E9E" w:rsidRDefault="00DD3B6D" w:rsidP="00E646C9">
      <w:pPr>
        <w:numPr>
          <w:ilvl w:val="0"/>
          <w:numId w:val="72"/>
        </w:numPr>
        <w:spacing w:after="120"/>
        <w:ind w:left="360"/>
        <w:rPr>
          <w:color w:val="000000"/>
          <w:szCs w:val="20"/>
        </w:rPr>
      </w:pPr>
      <w:r w:rsidRPr="008A5E9E">
        <w:rPr>
          <w:color w:val="000000"/>
          <w:szCs w:val="20"/>
        </w:rPr>
        <w:t>Frequency of EDC data gathering in partially deemed measures</w:t>
      </w:r>
    </w:p>
    <w:p w:rsidR="00DD3B6D" w:rsidRPr="008A5E9E" w:rsidRDefault="00DD3B6D" w:rsidP="00E646C9">
      <w:pPr>
        <w:numPr>
          <w:ilvl w:val="0"/>
          <w:numId w:val="72"/>
        </w:numPr>
        <w:ind w:left="360"/>
        <w:rPr>
          <w:color w:val="000000"/>
          <w:szCs w:val="20"/>
        </w:rPr>
      </w:pPr>
      <w:r w:rsidRPr="008A5E9E">
        <w:rPr>
          <w:color w:val="000000"/>
          <w:szCs w:val="20"/>
        </w:rPr>
        <w:t>Definition of high-impact measures in C/I programs</w:t>
      </w:r>
    </w:p>
    <w:p w:rsidR="00DD3B6D" w:rsidRPr="008A5E9E" w:rsidRDefault="00DD3B6D" w:rsidP="00DD3B6D">
      <w:pPr>
        <w:rPr>
          <w:color w:val="000000"/>
        </w:rPr>
      </w:pPr>
    </w:p>
    <w:p w:rsidR="00DD3B6D" w:rsidRPr="00324478" w:rsidRDefault="00DD3B6D" w:rsidP="00DD3B6D">
      <w:r w:rsidRPr="008A5E9E">
        <w:rPr>
          <w:color w:val="000000"/>
        </w:rPr>
        <w:t xml:space="preserve">FirstEnergy EDCs provided revisions to the plan on February 19, 2014, and the SWE Team approved the revised version as the final Phase II EM&amp;V Plan. The SWE Team’s review of the evaluation activities revealed that the plan was followed appropriately for all PY6 </w:t>
      </w:r>
      <w:r>
        <w:rPr>
          <w:color w:val="000000"/>
        </w:rPr>
        <w:t xml:space="preserve">and PY7 </w:t>
      </w:r>
      <w:r w:rsidRPr="008A5E9E">
        <w:rPr>
          <w:color w:val="000000"/>
        </w:rPr>
        <w:t>EM&amp;V activities.</w:t>
      </w:r>
    </w:p>
    <w:p w:rsidR="00DD4CC7" w:rsidRPr="00FB6015" w:rsidRDefault="00DD4CC7" w:rsidP="00DD3B6D"/>
    <w:p w:rsidR="00950837" w:rsidRDefault="00950837" w:rsidP="009C0DF1">
      <w:pPr>
        <w:pStyle w:val="AppendixAHeading3"/>
      </w:pPr>
      <w:r>
        <w:t>Measurement and Verification Activities and Findings</w:t>
      </w:r>
    </w:p>
    <w:p w:rsidR="00EE3A4B" w:rsidRDefault="00EE3A4B" w:rsidP="00EE3A4B">
      <w:r w:rsidRPr="00EE3A4B">
        <w:t xml:space="preserve">Realization rates compare gross savings reported by the EDC </w:t>
      </w:r>
      <w:r w:rsidR="00AF2C58">
        <w:t>with</w:t>
      </w:r>
      <w:r w:rsidRPr="00EE3A4B">
        <w:t xml:space="preserve"> the verified gross savings determined by the EDC evaluation contractor through M&amp;V.</w:t>
      </w:r>
      <w:r>
        <w:t xml:space="preserve"> </w:t>
      </w:r>
      <w:r>
        <w:fldChar w:fldCharType="begin"/>
      </w:r>
      <w:r>
        <w:instrText xml:space="preserve"> REF _Ref472463588 \h </w:instrText>
      </w:r>
      <w:r>
        <w:fldChar w:fldCharType="separate"/>
      </w:r>
      <w:r w:rsidR="00037CB4">
        <w:t>Table A-</w:t>
      </w:r>
      <w:r w:rsidR="00037CB4">
        <w:rPr>
          <w:noProof/>
        </w:rPr>
        <w:t>33</w:t>
      </w:r>
      <w:r>
        <w:fldChar w:fldCharType="end"/>
      </w:r>
      <w:r w:rsidRPr="00EE3A4B">
        <w:t xml:space="preserve"> summarizes M&amp;V findings based on activities conducted by the Met-Ed evaluation contractor. The summary is based on details provided in Met-Ed’s PY6 annual report and on information obtained from the SWE Team’s data requests and audits. </w:t>
      </w:r>
      <w:r>
        <w:fldChar w:fldCharType="begin"/>
      </w:r>
      <w:r>
        <w:instrText xml:space="preserve"> REF _Ref472463588 \h </w:instrText>
      </w:r>
      <w:r>
        <w:fldChar w:fldCharType="separate"/>
      </w:r>
      <w:r w:rsidR="00037CB4">
        <w:t>Table A-</w:t>
      </w:r>
      <w:r w:rsidR="00037CB4">
        <w:rPr>
          <w:noProof/>
        </w:rPr>
        <w:t>33</w:t>
      </w:r>
      <w:r>
        <w:fldChar w:fldCharType="end"/>
      </w:r>
      <w:r>
        <w:t xml:space="preserve"> </w:t>
      </w:r>
      <w:r w:rsidRPr="00EE3A4B">
        <w:t>presents realization rates and relative precision values for verified energy and demand savings for each of Met-Ed’s residential and non-residential energy efficiency programs in PY</w:t>
      </w:r>
      <w:r w:rsidR="00891F4B">
        <w:t>7</w:t>
      </w:r>
      <w:r w:rsidRPr="00EE3A4B">
        <w:t xml:space="preserve">. </w:t>
      </w:r>
    </w:p>
    <w:p w:rsidR="00D9014E" w:rsidRDefault="00D9014E" w:rsidP="00EE3A4B"/>
    <w:p w:rsidR="00EE3A4B" w:rsidRPr="00EE3A4B" w:rsidRDefault="00EE3A4B" w:rsidP="004837FA">
      <w:pPr>
        <w:pStyle w:val="Caption"/>
      </w:pPr>
      <w:bookmarkStart w:id="670" w:name="_Ref472463588"/>
      <w:bookmarkStart w:id="671" w:name="_Toc409225043"/>
      <w:bookmarkStart w:id="672" w:name="_Toc409443595"/>
      <w:bookmarkStart w:id="673" w:name="_Toc445206204"/>
      <w:bookmarkStart w:id="674" w:name="_Toc472472442"/>
      <w:bookmarkStart w:id="675" w:name="_Toc488741861"/>
      <w:r>
        <w:t>Table A-</w:t>
      </w:r>
      <w:r w:rsidR="007973A4">
        <w:fldChar w:fldCharType="begin"/>
      </w:r>
      <w:r w:rsidR="007973A4">
        <w:instrText xml:space="preserve"> SEQ Table_A- \* ARABIC </w:instrText>
      </w:r>
      <w:r w:rsidR="007973A4">
        <w:fldChar w:fldCharType="separate"/>
      </w:r>
      <w:r w:rsidR="00037CB4">
        <w:rPr>
          <w:noProof/>
        </w:rPr>
        <w:t>33</w:t>
      </w:r>
      <w:r w:rsidR="007973A4">
        <w:rPr>
          <w:noProof/>
        </w:rPr>
        <w:fldChar w:fldCharType="end"/>
      </w:r>
      <w:bookmarkEnd w:id="670"/>
      <w:r>
        <w:t xml:space="preserve">: </w:t>
      </w:r>
      <w:r w:rsidRPr="00EE3A4B">
        <w:t>Met-Ed Energy Efficiency Programs – Realization Rates for Energy and Demand Savings</w:t>
      </w:r>
      <w:bookmarkEnd w:id="671"/>
      <w:bookmarkEnd w:id="672"/>
      <w:r w:rsidRPr="00EE3A4B">
        <w:t xml:space="preserve"> in PY</w:t>
      </w:r>
      <w:r>
        <w:t>7</w:t>
      </w:r>
      <w:bookmarkEnd w:id="673"/>
      <w:bookmarkEnd w:id="674"/>
      <w:bookmarkEnd w:id="675"/>
    </w:p>
    <w:tbl>
      <w:tblPr>
        <w:tblW w:w="0" w:type="auto"/>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72"/>
        <w:gridCol w:w="1547"/>
        <w:gridCol w:w="1547"/>
        <w:gridCol w:w="1547"/>
        <w:gridCol w:w="1547"/>
      </w:tblGrid>
      <w:tr w:rsidR="00A874AC" w:rsidRPr="00DF3F90" w:rsidTr="00DF3F90">
        <w:trPr>
          <w:trHeight w:val="720"/>
          <w:tblHeader/>
        </w:trPr>
        <w:tc>
          <w:tcPr>
            <w:tcW w:w="3172" w:type="dxa"/>
            <w:tcBorders>
              <w:top w:val="single" w:sz="4" w:space="0" w:color="448A99"/>
              <w:left w:val="single" w:sz="4" w:space="0" w:color="448A99"/>
              <w:bottom w:val="single" w:sz="4" w:space="0" w:color="448A99"/>
              <w:right w:val="single" w:sz="4" w:space="0" w:color="448A99"/>
            </w:tcBorders>
            <w:shd w:val="clear" w:color="auto" w:fill="448A99"/>
            <w:noWrap/>
            <w:vAlign w:val="bottom"/>
            <w:hideMark/>
          </w:tcPr>
          <w:p w:rsidR="00EE3A4B" w:rsidRPr="00DF3F90" w:rsidRDefault="00EE3A4B" w:rsidP="00EE3A4B">
            <w:pPr>
              <w:rPr>
                <w:rFonts w:eastAsia="Calibri"/>
                <w:b/>
                <w:color w:val="FFFFFF"/>
                <w:sz w:val="19"/>
                <w:szCs w:val="19"/>
              </w:rPr>
            </w:pPr>
            <w:r w:rsidRPr="00DF3F90">
              <w:rPr>
                <w:rFonts w:eastAsia="Calibri"/>
                <w:b/>
                <w:color w:val="FFFFFF"/>
                <w:sz w:val="19"/>
                <w:szCs w:val="19"/>
              </w:rPr>
              <w:t>Program</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EE3A4B" w:rsidRPr="00DF3F90" w:rsidRDefault="00EE3A4B" w:rsidP="00EE3A4B">
            <w:pPr>
              <w:jc w:val="center"/>
              <w:rPr>
                <w:rFonts w:eastAsia="Calibri"/>
                <w:b/>
                <w:color w:val="FFFFFF"/>
                <w:sz w:val="19"/>
                <w:szCs w:val="19"/>
              </w:rPr>
            </w:pPr>
            <w:r w:rsidRPr="00DF3F90">
              <w:rPr>
                <w:rFonts w:eastAsia="Calibri"/>
                <w:b/>
                <w:color w:val="FFFFFF"/>
                <w:sz w:val="19"/>
                <w:szCs w:val="19"/>
              </w:rPr>
              <w:t>Energy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EE3A4B" w:rsidRPr="00DF3F90" w:rsidRDefault="00EE3A4B" w:rsidP="00EE3A4B">
            <w:pPr>
              <w:jc w:val="center"/>
              <w:rPr>
                <w:rFonts w:eastAsia="Calibri"/>
                <w:b/>
                <w:color w:val="FFFFFF"/>
                <w:sz w:val="19"/>
                <w:szCs w:val="19"/>
              </w:rPr>
            </w:pPr>
            <w:r w:rsidRPr="00DF3F90">
              <w:rPr>
                <w:rFonts w:eastAsia="Calibri"/>
                <w:b/>
                <w:color w:val="FFFFFF"/>
                <w:sz w:val="19"/>
                <w:szCs w:val="19"/>
              </w:rPr>
              <w:t>Relative Precision (Energy)</w:t>
            </w:r>
            <w:r w:rsidRPr="00DF3F90">
              <w:rPr>
                <w:rFonts w:eastAsia="Calibri"/>
                <w:b/>
                <w:color w:val="FFFFFF"/>
                <w:sz w:val="19"/>
                <w:szCs w:val="19"/>
                <w:vertAlign w:val="superscript"/>
              </w:rPr>
              <w:t>[a]</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EE3A4B" w:rsidRPr="00DF3F90" w:rsidRDefault="00EE3A4B" w:rsidP="00EE3A4B">
            <w:pPr>
              <w:jc w:val="center"/>
              <w:rPr>
                <w:rFonts w:eastAsia="Calibri"/>
                <w:b/>
                <w:color w:val="FFFFFF"/>
                <w:sz w:val="19"/>
                <w:szCs w:val="19"/>
              </w:rPr>
            </w:pPr>
            <w:r w:rsidRPr="00DF3F90">
              <w:rPr>
                <w:rFonts w:eastAsia="Calibri"/>
                <w:b/>
                <w:color w:val="FFFFFF"/>
                <w:sz w:val="19"/>
                <w:szCs w:val="19"/>
              </w:rPr>
              <w:t>Demand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EE3A4B" w:rsidRPr="00DF3F90" w:rsidRDefault="00EE3A4B" w:rsidP="00EE3A4B">
            <w:pPr>
              <w:jc w:val="center"/>
              <w:rPr>
                <w:rFonts w:eastAsia="Calibri"/>
                <w:b/>
                <w:color w:val="FFFFFF"/>
                <w:sz w:val="19"/>
                <w:szCs w:val="19"/>
              </w:rPr>
            </w:pPr>
            <w:r w:rsidRPr="00DF3F90">
              <w:rPr>
                <w:rFonts w:eastAsia="Calibri"/>
                <w:b/>
                <w:color w:val="FFFFFF"/>
                <w:sz w:val="19"/>
                <w:szCs w:val="19"/>
              </w:rPr>
              <w:t>Relative Precision (Demand)</w:t>
            </w:r>
            <w:r w:rsidRPr="00DF3F90">
              <w:rPr>
                <w:rFonts w:eastAsia="Calibri"/>
                <w:b/>
                <w:color w:val="FFFFFF"/>
                <w:sz w:val="19"/>
                <w:szCs w:val="19"/>
                <w:vertAlign w:val="superscript"/>
              </w:rPr>
              <w:t>[a]</w:t>
            </w:r>
          </w:p>
        </w:tc>
      </w:tr>
      <w:tr w:rsidR="00A874AC" w:rsidRPr="00DF3F90" w:rsidTr="00DF3F90">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left"/>
              <w:rPr>
                <w:rFonts w:eastAsia="Calibri"/>
                <w:sz w:val="19"/>
                <w:szCs w:val="19"/>
              </w:rPr>
            </w:pPr>
            <w:r w:rsidRPr="00DF3F90">
              <w:rPr>
                <w:rFonts w:eastAsia="Calibri"/>
                <w:sz w:val="19"/>
                <w:szCs w:val="19"/>
              </w:rPr>
              <w:t>Appliance Turn-In</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109.4%</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8</w:t>
            </w:r>
            <w:r w:rsidR="00891F4B" w:rsidRPr="00DF3F90">
              <w:rPr>
                <w:rFonts w:eastAsia="Calibri"/>
                <w:sz w:val="19"/>
                <w:szCs w:val="19"/>
              </w:rPr>
              <w:t>.0</w:t>
            </w:r>
            <w:r w:rsidRPr="00DF3F90">
              <w:rPr>
                <w:rFonts w:eastAsia="Calibri"/>
                <w:sz w:val="19"/>
                <w:szCs w:val="19"/>
              </w:rPr>
              <w:t>0%</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107.9%</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7.3%</w:t>
            </w:r>
          </w:p>
        </w:tc>
      </w:tr>
      <w:tr w:rsidR="00E7173E" w:rsidRPr="00DF3F90" w:rsidTr="00DF3F90">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left"/>
              <w:rPr>
                <w:rFonts w:eastAsia="Calibri"/>
                <w:sz w:val="19"/>
                <w:szCs w:val="19"/>
              </w:rPr>
            </w:pPr>
            <w:r w:rsidRPr="00DF3F90">
              <w:rPr>
                <w:rFonts w:eastAsia="Calibri"/>
                <w:sz w:val="19"/>
                <w:szCs w:val="19"/>
              </w:rPr>
              <w:t>Efficient Products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137.0%</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1.8%</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110.3%</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3.6%</w:t>
            </w:r>
          </w:p>
        </w:tc>
      </w:tr>
      <w:tr w:rsidR="00A874AC" w:rsidRPr="00DF3F90" w:rsidTr="00DF3F90">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left"/>
              <w:rPr>
                <w:rFonts w:eastAsia="Calibri"/>
                <w:sz w:val="19"/>
                <w:szCs w:val="19"/>
              </w:rPr>
            </w:pPr>
            <w:r w:rsidRPr="00DF3F90">
              <w:rPr>
                <w:rFonts w:eastAsia="Calibri"/>
                <w:sz w:val="19"/>
                <w:szCs w:val="19"/>
              </w:rPr>
              <w:t>Home Performance</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93.3%</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3.4%</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78.1%</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3.4%</w:t>
            </w:r>
          </w:p>
        </w:tc>
      </w:tr>
      <w:tr w:rsidR="00E7173E" w:rsidRPr="00DF3F90" w:rsidTr="00DF3F90">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left"/>
              <w:rPr>
                <w:rFonts w:eastAsia="Calibri"/>
                <w:sz w:val="19"/>
                <w:szCs w:val="19"/>
              </w:rPr>
            </w:pPr>
            <w:r w:rsidRPr="00DF3F90">
              <w:rPr>
                <w:rFonts w:eastAsia="Calibri"/>
                <w:sz w:val="19"/>
                <w:szCs w:val="19"/>
              </w:rPr>
              <w:t>Low-Income</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105.5%</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9.0%</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113.0%</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8.9%</w:t>
            </w:r>
          </w:p>
        </w:tc>
      </w:tr>
      <w:tr w:rsidR="00A874AC" w:rsidRPr="00DF3F90" w:rsidTr="00DF3F90">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left"/>
              <w:rPr>
                <w:rFonts w:eastAsia="Calibri"/>
                <w:sz w:val="19"/>
                <w:szCs w:val="19"/>
              </w:rPr>
            </w:pPr>
            <w:r w:rsidRPr="00DF3F90">
              <w:rPr>
                <w:rFonts w:eastAsia="Calibri"/>
                <w:sz w:val="19"/>
                <w:szCs w:val="19"/>
              </w:rPr>
              <w:t>Small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88.6%</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12.3%</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109.9%</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12.6%</w:t>
            </w:r>
          </w:p>
        </w:tc>
      </w:tr>
      <w:tr w:rsidR="00E7173E" w:rsidRPr="00DF3F90" w:rsidTr="00DF3F90">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left"/>
              <w:rPr>
                <w:rFonts w:eastAsia="Calibri"/>
                <w:sz w:val="19"/>
                <w:szCs w:val="19"/>
              </w:rPr>
            </w:pPr>
            <w:r w:rsidRPr="00DF3F90">
              <w:rPr>
                <w:rFonts w:eastAsia="Calibri"/>
                <w:sz w:val="19"/>
                <w:szCs w:val="19"/>
              </w:rPr>
              <w:t>Small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85.4%</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13.7%</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80.7%</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13.2%</w:t>
            </w:r>
          </w:p>
        </w:tc>
      </w:tr>
      <w:tr w:rsidR="00A874AC" w:rsidRPr="00DF3F90" w:rsidTr="00DF3F90">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left"/>
              <w:rPr>
                <w:rFonts w:eastAsia="Calibri"/>
                <w:sz w:val="19"/>
                <w:szCs w:val="19"/>
              </w:rPr>
            </w:pPr>
            <w:r w:rsidRPr="00DF3F90">
              <w:rPr>
                <w:rFonts w:eastAsia="Calibri"/>
                <w:sz w:val="19"/>
                <w:szCs w:val="19"/>
              </w:rPr>
              <w:t>Large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105.6%</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11.4%</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104.0%</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12.0%</w:t>
            </w:r>
          </w:p>
        </w:tc>
      </w:tr>
      <w:tr w:rsidR="00E7173E" w:rsidRPr="00DF3F90" w:rsidTr="00DF3F90">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left"/>
              <w:rPr>
                <w:rFonts w:eastAsia="Calibri"/>
                <w:sz w:val="19"/>
                <w:szCs w:val="19"/>
              </w:rPr>
            </w:pPr>
            <w:r w:rsidRPr="00DF3F90">
              <w:rPr>
                <w:rFonts w:eastAsia="Calibri"/>
                <w:sz w:val="19"/>
                <w:szCs w:val="19"/>
              </w:rPr>
              <w:t>Large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98.1%</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10.5%</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86.2%</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DF3F90" w:rsidRDefault="00EE3A4B" w:rsidP="00EE3A4B">
            <w:pPr>
              <w:jc w:val="center"/>
              <w:rPr>
                <w:rFonts w:eastAsia="Calibri"/>
                <w:sz w:val="19"/>
                <w:szCs w:val="19"/>
              </w:rPr>
            </w:pPr>
            <w:r w:rsidRPr="00DF3F90">
              <w:rPr>
                <w:rFonts w:eastAsia="Calibri"/>
                <w:sz w:val="19"/>
                <w:szCs w:val="19"/>
              </w:rPr>
              <w:t>13.4%</w:t>
            </w:r>
          </w:p>
        </w:tc>
      </w:tr>
      <w:tr w:rsidR="00A874AC" w:rsidRPr="00DF3F90" w:rsidTr="00DF3F90">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left"/>
              <w:rPr>
                <w:rFonts w:eastAsia="Calibri"/>
                <w:sz w:val="19"/>
                <w:szCs w:val="19"/>
              </w:rPr>
            </w:pPr>
            <w:r w:rsidRPr="00DF3F90">
              <w:rPr>
                <w:rFonts w:eastAsia="Calibri"/>
                <w:sz w:val="19"/>
                <w:szCs w:val="19"/>
              </w:rPr>
              <w:t>Government/Institutional</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59.2%</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11.1%</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27.1%</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DF3F90" w:rsidRDefault="00EE3A4B" w:rsidP="00EE3A4B">
            <w:pPr>
              <w:jc w:val="center"/>
              <w:rPr>
                <w:rFonts w:eastAsia="Calibri"/>
                <w:sz w:val="19"/>
                <w:szCs w:val="19"/>
              </w:rPr>
            </w:pPr>
            <w:r w:rsidRPr="00DF3F90">
              <w:rPr>
                <w:rFonts w:eastAsia="Calibri"/>
                <w:sz w:val="19"/>
                <w:szCs w:val="19"/>
              </w:rPr>
              <w:t>11.3%</w:t>
            </w:r>
          </w:p>
        </w:tc>
      </w:tr>
      <w:tr w:rsidR="00E7173E" w:rsidRPr="004F3A51" w:rsidTr="00DF3F90">
        <w:trPr>
          <w:trHeight w:val="300"/>
        </w:trPr>
        <w:tc>
          <w:tcPr>
            <w:tcW w:w="9360" w:type="dxa"/>
            <w:gridSpan w:val="5"/>
            <w:tcBorders>
              <w:top w:val="single" w:sz="4" w:space="0" w:color="448A99"/>
              <w:left w:val="single" w:sz="4" w:space="0" w:color="448A99"/>
              <w:bottom w:val="single" w:sz="4" w:space="0" w:color="448A99"/>
              <w:right w:val="single" w:sz="4" w:space="0" w:color="448A99"/>
            </w:tcBorders>
            <w:shd w:val="clear" w:color="auto" w:fill="448A99"/>
            <w:noWrap/>
            <w:vAlign w:val="center"/>
          </w:tcPr>
          <w:p w:rsidR="00EE3A4B" w:rsidRPr="004F3A51" w:rsidRDefault="006142E6" w:rsidP="00EE3A4B">
            <w:pPr>
              <w:rPr>
                <w:rFonts w:eastAsia="Calibri"/>
                <w:color w:val="FFFFFF"/>
                <w:sz w:val="18"/>
                <w:szCs w:val="19"/>
              </w:rPr>
            </w:pPr>
            <w:r w:rsidRPr="004F3A51">
              <w:rPr>
                <w:rFonts w:eastAsia="Calibri"/>
                <w:color w:val="FFFFFF"/>
                <w:sz w:val="18"/>
                <w:szCs w:val="19"/>
              </w:rPr>
              <w:t>NOTES:</w:t>
            </w:r>
          </w:p>
          <w:p w:rsidR="00EE3A4B" w:rsidRPr="004F3A51" w:rsidRDefault="00EE3A4B" w:rsidP="00EE3A4B">
            <w:pPr>
              <w:rPr>
                <w:rFonts w:eastAsia="Calibri"/>
                <w:b/>
                <w:color w:val="FFFFFF"/>
                <w:sz w:val="18"/>
                <w:szCs w:val="19"/>
              </w:rPr>
            </w:pPr>
            <w:r w:rsidRPr="004F3A51">
              <w:rPr>
                <w:rFonts w:eastAsia="Calibri"/>
                <w:color w:val="FFFFFF"/>
                <w:sz w:val="18"/>
                <w:szCs w:val="19"/>
              </w:rPr>
              <w:t>[a]Relative precision values are at the 85% confidence level.</w:t>
            </w:r>
          </w:p>
        </w:tc>
      </w:tr>
    </w:tbl>
    <w:p w:rsidR="00EE3A4B" w:rsidRPr="00EE3A4B" w:rsidRDefault="00EE3A4B" w:rsidP="00EE3A4B"/>
    <w:p w:rsidR="0051723C" w:rsidRDefault="0051723C" w:rsidP="0055598C">
      <w:pPr>
        <w:pStyle w:val="AppendixAHeading4"/>
      </w:pPr>
      <w:r>
        <w:t>Residential Programs</w:t>
      </w:r>
    </w:p>
    <w:p w:rsidR="0051723C" w:rsidRPr="0051723C" w:rsidRDefault="0051723C" w:rsidP="0051723C">
      <w:pPr>
        <w:rPr>
          <w:rFonts w:eastAsia="Calibri"/>
        </w:rPr>
      </w:pPr>
      <w:r w:rsidRPr="0051723C">
        <w:rPr>
          <w:rFonts w:eastAsia="Calibri"/>
        </w:rPr>
        <w:t>The energy realization rates for Met-Ed’s residential programs ranged from 93.3% to 137.0%. The demand realization rates ranged from 78.1% to 113.0%. Met-Ed achieved the 15% relative precision requirement at the 85% confidence level for both energy and demand for all residential programs.</w:t>
      </w:r>
    </w:p>
    <w:p w:rsidR="0051723C" w:rsidRPr="0051723C" w:rsidRDefault="0051723C" w:rsidP="0051723C">
      <w:pPr>
        <w:rPr>
          <w:rFonts w:eastAsia="Calibri"/>
        </w:rPr>
      </w:pPr>
    </w:p>
    <w:p w:rsidR="0051723C" w:rsidRPr="0051723C" w:rsidRDefault="0051723C" w:rsidP="0051723C">
      <w:pPr>
        <w:rPr>
          <w:rFonts w:eastAsia="Calibri"/>
        </w:rPr>
      </w:pPr>
      <w:r w:rsidRPr="0051723C">
        <w:rPr>
          <w:rFonts w:eastAsia="Calibri"/>
        </w:rPr>
        <w:t>The Appliance Turn-In Program was evaluated through customer verification surveys to determine the fraction of refrigerators, freezers, and room air conditioners that were drawing power before retirement, as well as the other parameters necessary to determine the expected useful life (EUL) from the TRM regression equation. The program realization rate is mostly a function of the difference between the ex ante and ex post EULs, the latter of which used actual PY7 collection data.</w:t>
      </w:r>
    </w:p>
    <w:p w:rsidR="0051723C" w:rsidRPr="0051723C" w:rsidRDefault="0051723C" w:rsidP="0051723C">
      <w:pPr>
        <w:rPr>
          <w:rFonts w:eastAsia="Calibri"/>
        </w:rPr>
      </w:pPr>
    </w:p>
    <w:p w:rsidR="0051723C" w:rsidRPr="0051723C" w:rsidRDefault="0051723C" w:rsidP="0051723C">
      <w:pPr>
        <w:rPr>
          <w:rFonts w:eastAsia="Calibri"/>
        </w:rPr>
      </w:pPr>
      <w:r w:rsidRPr="0051723C">
        <w:rPr>
          <w:rFonts w:eastAsia="Calibri"/>
        </w:rPr>
        <w:t>The evaluations of the upstream lighting and products portions of the Efficient Products Program involved reviews of sales invoices, a review of the tracking and reporting system, and a detailed review of CSP energy and demand savings calculations. The appliance portion and the HVAC equipment/tune-up portion were evaluated through an invoice review, customer surveys, and a review of the energy and demand calculations with reference to the ENERGY STAR database.</w:t>
      </w:r>
    </w:p>
    <w:p w:rsidR="0051723C" w:rsidRPr="0051723C" w:rsidRDefault="0051723C" w:rsidP="0051723C">
      <w:pPr>
        <w:rPr>
          <w:rFonts w:eastAsia="Calibri"/>
        </w:rPr>
      </w:pPr>
    </w:p>
    <w:p w:rsidR="0051723C" w:rsidRPr="0051723C" w:rsidRDefault="0051723C" w:rsidP="0051723C">
      <w:pPr>
        <w:rPr>
          <w:rFonts w:eastAsia="Calibri"/>
        </w:rPr>
      </w:pPr>
      <w:r w:rsidRPr="0051723C">
        <w:rPr>
          <w:rFonts w:eastAsia="Calibri"/>
        </w:rPr>
        <w:t>The evaluation contractor approached the evaluation differently for each branch of the Home Performance Program. The home energy audit kits were evaluated using the tracking and reporting (T&amp;R) system as well as online and phone surveys to determine the delivery and installation rates for each measure. The kit receipt rates and measure in-service rates (ISRs) have been shown to fluctuate among EDCs, primarily due to statistical variations, and therefore average statewide ISRs are used for all four FirstEnergy companies. The new construction portion of the program was evaluated through an engineering review of a sample of projects in the portfolio. Energy and demand savings for this program were determined through REM/Rate software calculations, and the review focused on whether the modeling was performed correctly (including baseline assumptions) and if the results were reasonable. The prescriptive, low-cost direct-install portion was evaluated by reviewing the T&amp;R system and sample invoices to check if the TRM calculations were performed correctly and if the invoices matched the information in the database. For comprehensive weatherization jobs, those that saved more than 2 MWh/yr were evaluated through billing analysis, and those saving under 2 MWh/yr received an invoice review. The HER portion was reviewed and duplicated by the evaluation contractor, producing results consistent with the implementation CSP’s. The contractor</w:t>
      </w:r>
      <w:r w:rsidRPr="0051723C" w:rsidDel="003334EF">
        <w:rPr>
          <w:rFonts w:eastAsia="Calibri"/>
        </w:rPr>
        <w:t xml:space="preserve"> </w:t>
      </w:r>
      <w:r w:rsidRPr="0051723C">
        <w:rPr>
          <w:rFonts w:eastAsia="Calibri"/>
        </w:rPr>
        <w:t>then conducted its own full evaluation of the savings using a lagged seasonal regression model and adjusting for dual participation.</w:t>
      </w:r>
    </w:p>
    <w:p w:rsidR="0051723C" w:rsidRPr="0051723C" w:rsidRDefault="0051723C" w:rsidP="0051723C"/>
    <w:p w:rsidR="0051723C" w:rsidRDefault="0051723C" w:rsidP="0055598C">
      <w:pPr>
        <w:pStyle w:val="AppendixAHeading4"/>
      </w:pPr>
      <w:r>
        <w:t>Low-Income Programs</w:t>
      </w:r>
    </w:p>
    <w:p w:rsidR="0051723C" w:rsidRPr="0051723C" w:rsidRDefault="0051723C" w:rsidP="0051723C">
      <w:r w:rsidRPr="0051723C">
        <w:t xml:space="preserve">The evaluation contractor reviewed the tracking data and on-site verification forms and results to determine ISRs for the WARM direct-install measures. For giveaway events, the evaluation contractor reviewed the tracking database and applied the ISR from the </w:t>
      </w:r>
      <w:r w:rsidR="00590018" w:rsidRPr="0051723C">
        <w:t>201</w:t>
      </w:r>
      <w:r w:rsidR="00590018">
        <w:t>5</w:t>
      </w:r>
      <w:r w:rsidR="00744D68">
        <w:t xml:space="preserve"> </w:t>
      </w:r>
      <w:r w:rsidRPr="0051723C">
        <w:t>TRM. There were no LILU energy kits distributed in PY7.</w:t>
      </w:r>
    </w:p>
    <w:p w:rsidR="0051723C" w:rsidRPr="0051723C" w:rsidRDefault="0051723C" w:rsidP="0051723C"/>
    <w:p w:rsidR="0051723C" w:rsidRDefault="0051723C" w:rsidP="0055598C">
      <w:pPr>
        <w:pStyle w:val="AppendixAHeading4"/>
      </w:pPr>
      <w:r>
        <w:t>Non-Residential Programs</w:t>
      </w:r>
    </w:p>
    <w:p w:rsidR="0051723C" w:rsidRPr="0051723C" w:rsidRDefault="0051723C" w:rsidP="0051723C">
      <w:r w:rsidRPr="0051723C">
        <w:t>Realization rates for Met-Ed’s non-residential programs’ energy savings ranged from 59.2% to 105.6% in PY7. Realization rates for demand reductions from these programs ranged from 27.1% to 109.9%. The lowest realization rates were from the GNI Program, which tends to have low participation rates, non-standard lighting HOU, and self-installation by customers, resulting in inaccurate ex ante savings. Met-Ed achieved the 15% precision requirement for kWh in all of its non-residential programs. It also achieved better than 15% precision for demand savings, although this is not a requirement for Phase II of Act 129.</w:t>
      </w:r>
    </w:p>
    <w:p w:rsidR="0051723C" w:rsidRPr="0051723C" w:rsidRDefault="0051723C" w:rsidP="0051723C"/>
    <w:p w:rsidR="0051723C" w:rsidRDefault="0051723C" w:rsidP="0051723C">
      <w:r>
        <w:fldChar w:fldCharType="begin"/>
      </w:r>
      <w:r>
        <w:instrText xml:space="preserve"> REF _Ref472396272 \h </w:instrText>
      </w:r>
      <w:r>
        <w:fldChar w:fldCharType="separate"/>
      </w:r>
      <w:r w:rsidR="00037CB4">
        <w:t>Figure A-</w:t>
      </w:r>
      <w:r w:rsidR="00037CB4">
        <w:rPr>
          <w:noProof/>
        </w:rPr>
        <w:t>3</w:t>
      </w:r>
      <w:r>
        <w:fldChar w:fldCharType="end"/>
      </w:r>
      <w:r w:rsidRPr="0051723C">
        <w:t xml:space="preserve"> shows the frequency of each M&amp;V approach performed by ADM in PY7 for Met-Ed’s Small C/I Equipment Program evaluation sample and the verified energy savings associated with each M&amp;V approach. ADM used both basic and enhanced levels of rigor to evaluate projects in the sample. Basic rigor includes surveys, desk reviews, and simple on-site verification (no logging). Enhanced rigor includes the following options, as recorded by ADM. The first consists of utility billing analysis to determine energy savings. Typically, 12 months of pre- and post-installation billing data are required for this approach. The second general approach is on-site verification with logging. This may be light logger deployment or more robust measurement of the retrofitted system’s continuous energy usage. The third general approach involves modeling energy performance of a facility before and after the efficiency measure is installed with an energy simulation.</w:t>
      </w:r>
    </w:p>
    <w:p w:rsidR="008C19A4" w:rsidRPr="0051723C" w:rsidRDefault="008C19A4" w:rsidP="0051723C"/>
    <w:p w:rsidR="0051723C" w:rsidRPr="0051723C" w:rsidRDefault="0051723C" w:rsidP="004837FA">
      <w:pPr>
        <w:pStyle w:val="Caption"/>
      </w:pPr>
      <w:bookmarkStart w:id="676" w:name="_Ref472396272"/>
      <w:bookmarkStart w:id="677" w:name="_Toc444269816"/>
      <w:bookmarkStart w:id="678" w:name="_Toc488742014"/>
      <w:bookmarkStart w:id="679" w:name="_Toc408557558"/>
      <w:bookmarkStart w:id="680" w:name="_Toc408999434"/>
      <w:bookmarkStart w:id="681" w:name="_Toc409224959"/>
      <w:bookmarkStart w:id="682" w:name="_Toc409443638"/>
      <w:r>
        <w:t>Figure A-</w:t>
      </w:r>
      <w:r w:rsidR="007973A4">
        <w:fldChar w:fldCharType="begin"/>
      </w:r>
      <w:r w:rsidR="007973A4">
        <w:instrText xml:space="preserve"> S</w:instrText>
      </w:r>
      <w:r w:rsidR="007973A4">
        <w:instrText xml:space="preserve">EQ Figure_A- \* ARABIC </w:instrText>
      </w:r>
      <w:r w:rsidR="007973A4">
        <w:fldChar w:fldCharType="separate"/>
      </w:r>
      <w:r w:rsidR="00037CB4">
        <w:rPr>
          <w:noProof/>
        </w:rPr>
        <w:t>3</w:t>
      </w:r>
      <w:r w:rsidR="007973A4">
        <w:rPr>
          <w:noProof/>
        </w:rPr>
        <w:fldChar w:fldCharType="end"/>
      </w:r>
      <w:bookmarkEnd w:id="676"/>
      <w:r>
        <w:t xml:space="preserve">: </w:t>
      </w:r>
      <w:r w:rsidRPr="0051723C">
        <w:t>Frequency of and Associated Energy Savings by M&amp;V Approach – Small C/I Equipment Program</w:t>
      </w:r>
      <w:bookmarkEnd w:id="677"/>
      <w:bookmarkEnd w:id="678"/>
      <w:r w:rsidRPr="0051723C">
        <w:t xml:space="preserve"> </w:t>
      </w:r>
      <w:bookmarkEnd w:id="679"/>
      <w:bookmarkEnd w:id="680"/>
      <w:bookmarkEnd w:id="681"/>
      <w:bookmarkEnd w:id="682"/>
    </w:p>
    <w:p w:rsidR="0051723C" w:rsidRPr="0051723C" w:rsidRDefault="0051723C" w:rsidP="0051723C">
      <w:pPr>
        <w:spacing w:before="200"/>
        <w:jc w:val="center"/>
      </w:pPr>
      <w:r w:rsidRPr="0051723C">
        <w:rPr>
          <w:noProof/>
        </w:rPr>
        <w:drawing>
          <wp:inline distT="0" distB="0" distL="0" distR="0" wp14:anchorId="470872C5" wp14:editId="2A27C00B">
            <wp:extent cx="5892984" cy="199737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8">
                      <a:extLst>
                        <a:ext uri="{28A0092B-C50C-407E-A947-70E740481C1C}">
                          <a14:useLocalDpi xmlns:a14="http://schemas.microsoft.com/office/drawing/2010/main" val="0"/>
                        </a:ext>
                      </a:extLst>
                    </a:blip>
                    <a:srcRect t="4349" b="8254"/>
                    <a:stretch/>
                  </pic:blipFill>
                  <pic:spPr bwMode="auto">
                    <a:xfrm>
                      <a:off x="0" y="0"/>
                      <a:ext cx="5901848" cy="2000382"/>
                    </a:xfrm>
                    <a:prstGeom prst="rect">
                      <a:avLst/>
                    </a:prstGeom>
                    <a:noFill/>
                    <a:ln>
                      <a:noFill/>
                    </a:ln>
                    <a:extLst>
                      <a:ext uri="{53640926-AAD7-44D8-BBD7-CCE9431645EC}">
                        <a14:shadowObscured xmlns:a14="http://schemas.microsoft.com/office/drawing/2010/main"/>
                      </a:ext>
                    </a:extLst>
                  </pic:spPr>
                </pic:pic>
              </a:graphicData>
            </a:graphic>
          </wp:inline>
        </w:drawing>
      </w:r>
    </w:p>
    <w:p w:rsidR="0051723C" w:rsidRPr="0051723C" w:rsidRDefault="0051723C" w:rsidP="0051723C"/>
    <w:p w:rsidR="0051723C" w:rsidRPr="0051723C" w:rsidRDefault="0051723C" w:rsidP="0051723C">
      <w:r>
        <w:fldChar w:fldCharType="begin"/>
      </w:r>
      <w:r>
        <w:instrText xml:space="preserve"> REF _Ref472396310 \h </w:instrText>
      </w:r>
      <w:r>
        <w:fldChar w:fldCharType="separate"/>
      </w:r>
      <w:r w:rsidR="00037CB4">
        <w:t>Figure A-</w:t>
      </w:r>
      <w:r w:rsidR="00037CB4">
        <w:rPr>
          <w:noProof/>
        </w:rPr>
        <w:t>4</w:t>
      </w:r>
      <w:r>
        <w:fldChar w:fldCharType="end"/>
      </w:r>
      <w:r w:rsidRPr="0051723C">
        <w:t xml:space="preserve"> indicates that 57% of the sampled measures for the Small C/I Equipment Program were evaluated using a basic level of rigor. However, the representative savings for these measures accounted for only 22% of the energy savings. This suggests that basic rigor was appropriately used, predominately for projects with smaller savings. Likewise, the more expensive enhanced rigor methods were reserved for a smaller number of projects, but these projects contributed a large majority (78%) of the program’s energy savings. The SWE Team supports this “value of information” approach, whereby more expensive evaluation techniques are reserved for projects that account for the greatest share of program savings.</w:t>
      </w:r>
    </w:p>
    <w:p w:rsidR="0051723C" w:rsidRPr="0051723C" w:rsidRDefault="0051723C" w:rsidP="0051723C"/>
    <w:p w:rsidR="0051723C" w:rsidRPr="0051723C" w:rsidRDefault="00CE78B5" w:rsidP="0051723C">
      <w:r>
        <w:fldChar w:fldCharType="begin"/>
      </w:r>
      <w:r>
        <w:instrText xml:space="preserve"> REF _Ref472396310 \h </w:instrText>
      </w:r>
      <w:r>
        <w:fldChar w:fldCharType="separate"/>
      </w:r>
      <w:r w:rsidR="00037CB4">
        <w:t>Figure A-</w:t>
      </w:r>
      <w:r w:rsidR="00037CB4">
        <w:rPr>
          <w:noProof/>
        </w:rPr>
        <w:t>4</w:t>
      </w:r>
      <w:r>
        <w:fldChar w:fldCharType="end"/>
      </w:r>
      <w:r>
        <w:t xml:space="preserve"> </w:t>
      </w:r>
      <w:r w:rsidR="0051723C" w:rsidRPr="0051723C">
        <w:t xml:space="preserve">shows the frequency of each M&amp;V approach used in the Small C/I Buildings Program and the energy savings associated with each method. Data/billing analysis was the only enhanced rigor approach used for this program, and it accounted for 22% of savings. These values are presented excluding CFL kits, which skew the percentages toward </w:t>
      </w:r>
      <w:r w:rsidR="00852D1F">
        <w:t>s</w:t>
      </w:r>
      <w:r w:rsidR="0051723C" w:rsidRPr="0051723C">
        <w:t>urvey/</w:t>
      </w:r>
      <w:r w:rsidR="00852D1F">
        <w:t>d</w:t>
      </w:r>
      <w:r w:rsidR="0051723C" w:rsidRPr="0051723C">
        <w:t>esk review.</w:t>
      </w:r>
    </w:p>
    <w:p w:rsidR="0051723C" w:rsidRPr="0051723C" w:rsidRDefault="0051723C" w:rsidP="0051723C"/>
    <w:p w:rsidR="0051723C" w:rsidRPr="0051723C" w:rsidRDefault="0051723C" w:rsidP="004837FA">
      <w:pPr>
        <w:pStyle w:val="Caption"/>
      </w:pPr>
      <w:bookmarkStart w:id="683" w:name="_Ref472396310"/>
      <w:bookmarkStart w:id="684" w:name="_Toc408557559"/>
      <w:bookmarkStart w:id="685" w:name="_Toc408999435"/>
      <w:bookmarkStart w:id="686" w:name="_Toc409224960"/>
      <w:bookmarkStart w:id="687" w:name="_Toc409443639"/>
      <w:bookmarkStart w:id="688" w:name="_Toc444269817"/>
      <w:bookmarkStart w:id="689" w:name="_Toc488742015"/>
      <w:r>
        <w:t>Figure A-</w:t>
      </w:r>
      <w:r w:rsidR="007973A4">
        <w:fldChar w:fldCharType="begin"/>
      </w:r>
      <w:r w:rsidR="007973A4">
        <w:instrText xml:space="preserve"> SEQ Figure_A- \* ARABIC </w:instrText>
      </w:r>
      <w:r w:rsidR="007973A4">
        <w:fldChar w:fldCharType="separate"/>
      </w:r>
      <w:r w:rsidR="00037CB4">
        <w:rPr>
          <w:noProof/>
        </w:rPr>
        <w:t>4</w:t>
      </w:r>
      <w:r w:rsidR="007973A4">
        <w:rPr>
          <w:noProof/>
        </w:rPr>
        <w:fldChar w:fldCharType="end"/>
      </w:r>
      <w:bookmarkEnd w:id="683"/>
      <w:r>
        <w:t xml:space="preserve">: </w:t>
      </w:r>
      <w:r w:rsidRPr="0051723C">
        <w:t>Frequency of and Associated Energy Savings by M&amp;V Approach – Small C/I Buildings Progra</w:t>
      </w:r>
      <w:bookmarkEnd w:id="684"/>
      <w:bookmarkEnd w:id="685"/>
      <w:bookmarkEnd w:id="686"/>
      <w:bookmarkEnd w:id="687"/>
      <w:r w:rsidRPr="0051723C">
        <w:t>m</w:t>
      </w:r>
      <w:bookmarkEnd w:id="688"/>
      <w:bookmarkEnd w:id="689"/>
    </w:p>
    <w:p w:rsidR="0051723C" w:rsidRPr="0051723C" w:rsidRDefault="0051723C" w:rsidP="0051723C">
      <w:pPr>
        <w:jc w:val="center"/>
      </w:pPr>
      <w:r w:rsidRPr="0051723C">
        <w:rPr>
          <w:noProof/>
        </w:rPr>
        <w:drawing>
          <wp:inline distT="0" distB="0" distL="0" distR="0" wp14:anchorId="51FF1C9E" wp14:editId="42F9C333">
            <wp:extent cx="5938520" cy="2107096"/>
            <wp:effectExtent l="0" t="0" r="508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9">
                      <a:extLst>
                        <a:ext uri="{28A0092B-C50C-407E-A947-70E740481C1C}">
                          <a14:useLocalDpi xmlns:a14="http://schemas.microsoft.com/office/drawing/2010/main" val="0"/>
                        </a:ext>
                      </a:extLst>
                    </a:blip>
                    <a:srcRect b="7821"/>
                    <a:stretch/>
                  </pic:blipFill>
                  <pic:spPr bwMode="auto">
                    <a:xfrm>
                      <a:off x="0" y="0"/>
                      <a:ext cx="5944046" cy="2109057"/>
                    </a:xfrm>
                    <a:prstGeom prst="rect">
                      <a:avLst/>
                    </a:prstGeom>
                    <a:noFill/>
                    <a:ln>
                      <a:noFill/>
                    </a:ln>
                    <a:extLst>
                      <a:ext uri="{53640926-AAD7-44D8-BBD7-CCE9431645EC}">
                        <a14:shadowObscured xmlns:a14="http://schemas.microsoft.com/office/drawing/2010/main"/>
                      </a:ext>
                    </a:extLst>
                  </pic:spPr>
                </pic:pic>
              </a:graphicData>
            </a:graphic>
          </wp:inline>
        </w:drawing>
      </w:r>
    </w:p>
    <w:p w:rsidR="0051723C" w:rsidRPr="0051723C" w:rsidRDefault="0051723C" w:rsidP="0051723C">
      <w:pPr>
        <w:jc w:val="center"/>
      </w:pPr>
    </w:p>
    <w:p w:rsidR="0051723C" w:rsidRDefault="0051723C" w:rsidP="0051723C">
      <w:r>
        <w:fldChar w:fldCharType="begin"/>
      </w:r>
      <w:r>
        <w:instrText xml:space="preserve"> REF _Ref472396357 \h </w:instrText>
      </w:r>
      <w:r>
        <w:fldChar w:fldCharType="separate"/>
      </w:r>
      <w:r w:rsidR="00037CB4">
        <w:t>Figure A-</w:t>
      </w:r>
      <w:r w:rsidR="00037CB4">
        <w:rPr>
          <w:noProof/>
        </w:rPr>
        <w:t>5</w:t>
      </w:r>
      <w:r>
        <w:fldChar w:fldCharType="end"/>
      </w:r>
      <w:r w:rsidRPr="0051723C">
        <w:t xml:space="preserve"> shows the frequency of each M&amp;V method used in the Large C/I Equipment Program and the energy savings associated with each method. Enhanced rigor was used for a majority of the projects (53%), and these projects accounted for a large majority of the savings (75%). Basic rigor was limited to those projects with less savings.</w:t>
      </w:r>
    </w:p>
    <w:p w:rsidR="0051723C" w:rsidRPr="0051723C" w:rsidRDefault="0051723C" w:rsidP="0051723C"/>
    <w:p w:rsidR="0051723C" w:rsidRPr="0051723C" w:rsidRDefault="0051723C" w:rsidP="004837FA">
      <w:pPr>
        <w:pStyle w:val="Caption"/>
      </w:pPr>
      <w:bookmarkStart w:id="690" w:name="_Ref472396357"/>
      <w:bookmarkStart w:id="691" w:name="_Toc408557560"/>
      <w:bookmarkStart w:id="692" w:name="_Toc408999436"/>
      <w:bookmarkStart w:id="693" w:name="_Toc409224961"/>
      <w:bookmarkStart w:id="694" w:name="_Toc409443640"/>
      <w:bookmarkStart w:id="695" w:name="_Toc444269818"/>
      <w:bookmarkStart w:id="696" w:name="_Toc488742016"/>
      <w:r>
        <w:t>Figure A-</w:t>
      </w:r>
      <w:r w:rsidR="007973A4">
        <w:fldChar w:fldCharType="begin"/>
      </w:r>
      <w:r w:rsidR="007973A4">
        <w:instrText xml:space="preserve"> SEQ Figure_A- \* ARABIC </w:instrText>
      </w:r>
      <w:r w:rsidR="007973A4">
        <w:fldChar w:fldCharType="separate"/>
      </w:r>
      <w:r w:rsidR="00037CB4">
        <w:rPr>
          <w:noProof/>
        </w:rPr>
        <w:t>5</w:t>
      </w:r>
      <w:r w:rsidR="007973A4">
        <w:rPr>
          <w:noProof/>
        </w:rPr>
        <w:fldChar w:fldCharType="end"/>
      </w:r>
      <w:bookmarkEnd w:id="690"/>
      <w:r>
        <w:t>:</w:t>
      </w:r>
      <w:r w:rsidRPr="0051723C">
        <w:t xml:space="preserve"> </w:t>
      </w:r>
      <w:bookmarkEnd w:id="691"/>
      <w:bookmarkEnd w:id="692"/>
      <w:bookmarkEnd w:id="693"/>
      <w:bookmarkEnd w:id="694"/>
      <w:r w:rsidRPr="0051723C">
        <w:t>Frequency of and Associated Energy Savings by M&amp;V Approach – Large C/I Equipment Program</w:t>
      </w:r>
      <w:bookmarkEnd w:id="695"/>
      <w:bookmarkEnd w:id="696"/>
    </w:p>
    <w:p w:rsidR="0051723C" w:rsidRPr="0051723C" w:rsidRDefault="0051723C" w:rsidP="0051723C">
      <w:pPr>
        <w:jc w:val="center"/>
      </w:pPr>
      <w:r w:rsidRPr="0051723C">
        <w:rPr>
          <w:noProof/>
        </w:rPr>
        <w:drawing>
          <wp:inline distT="0" distB="0" distL="0" distR="0" wp14:anchorId="02C2414A" wp14:editId="714F6B7A">
            <wp:extent cx="5935627" cy="2016926"/>
            <wp:effectExtent l="0" t="0" r="825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0">
                      <a:extLst>
                        <a:ext uri="{28A0092B-C50C-407E-A947-70E740481C1C}">
                          <a14:useLocalDpi xmlns:a14="http://schemas.microsoft.com/office/drawing/2010/main" val="0"/>
                        </a:ext>
                      </a:extLst>
                    </a:blip>
                    <a:srcRect t="4319" b="8030"/>
                    <a:stretch/>
                  </pic:blipFill>
                  <pic:spPr bwMode="auto">
                    <a:xfrm>
                      <a:off x="0" y="0"/>
                      <a:ext cx="5950393" cy="2021944"/>
                    </a:xfrm>
                    <a:prstGeom prst="rect">
                      <a:avLst/>
                    </a:prstGeom>
                    <a:noFill/>
                    <a:ln>
                      <a:noFill/>
                    </a:ln>
                    <a:extLst>
                      <a:ext uri="{53640926-AAD7-44D8-BBD7-CCE9431645EC}">
                        <a14:shadowObscured xmlns:a14="http://schemas.microsoft.com/office/drawing/2010/main"/>
                      </a:ext>
                    </a:extLst>
                  </pic:spPr>
                </pic:pic>
              </a:graphicData>
            </a:graphic>
          </wp:inline>
        </w:drawing>
      </w:r>
    </w:p>
    <w:p w:rsidR="0051723C" w:rsidRPr="0051723C" w:rsidRDefault="0051723C" w:rsidP="0051723C"/>
    <w:p w:rsidR="0051723C" w:rsidRPr="0051723C" w:rsidRDefault="0051723C" w:rsidP="0051723C">
      <w:r>
        <w:fldChar w:fldCharType="begin"/>
      </w:r>
      <w:r>
        <w:instrText xml:space="preserve"> REF _Ref472396387 \h </w:instrText>
      </w:r>
      <w:r>
        <w:fldChar w:fldCharType="separate"/>
      </w:r>
      <w:r w:rsidR="00037CB4">
        <w:t>Figure A-</w:t>
      </w:r>
      <w:r w:rsidR="00037CB4">
        <w:rPr>
          <w:noProof/>
        </w:rPr>
        <w:t>6</w:t>
      </w:r>
      <w:r>
        <w:fldChar w:fldCharType="end"/>
      </w:r>
      <w:r w:rsidRPr="0051723C">
        <w:t xml:space="preserve"> shows the frequency of each M&amp;V method used in the Large C/I Buildings Program and the energy savings associated with each method. Enhanced rigor was used for a majority of the projects (73%), and these projects accounted for most of the savings (85%). </w:t>
      </w:r>
    </w:p>
    <w:p w:rsidR="0051723C" w:rsidRPr="0051723C" w:rsidRDefault="0051723C" w:rsidP="0051723C"/>
    <w:p w:rsidR="0051723C" w:rsidRPr="0051723C" w:rsidRDefault="0051723C" w:rsidP="004837FA">
      <w:pPr>
        <w:pStyle w:val="Caption"/>
      </w:pPr>
      <w:bookmarkStart w:id="697" w:name="_Ref472396387"/>
      <w:bookmarkStart w:id="698" w:name="_Toc408557561"/>
      <w:bookmarkStart w:id="699" w:name="_Toc408999437"/>
      <w:bookmarkStart w:id="700" w:name="_Toc409224962"/>
      <w:bookmarkStart w:id="701" w:name="_Toc409443641"/>
      <w:bookmarkStart w:id="702" w:name="_Toc444269819"/>
      <w:bookmarkStart w:id="703" w:name="_Toc488742017"/>
      <w:r>
        <w:t>Figure A-</w:t>
      </w:r>
      <w:r w:rsidR="007973A4">
        <w:fldChar w:fldCharType="begin"/>
      </w:r>
      <w:r w:rsidR="007973A4">
        <w:instrText xml:space="preserve"> SEQ Figure_A- \* ARABIC </w:instrText>
      </w:r>
      <w:r w:rsidR="007973A4">
        <w:fldChar w:fldCharType="separate"/>
      </w:r>
      <w:r w:rsidR="00037CB4">
        <w:rPr>
          <w:noProof/>
        </w:rPr>
        <w:t>6</w:t>
      </w:r>
      <w:r w:rsidR="007973A4">
        <w:rPr>
          <w:noProof/>
        </w:rPr>
        <w:fldChar w:fldCharType="end"/>
      </w:r>
      <w:bookmarkEnd w:id="697"/>
      <w:r w:rsidRPr="0051723C">
        <w:t xml:space="preserve"> Frequency of and Associated Energy Savings by M&amp;V Approach – Large C/I Buildings Program</w:t>
      </w:r>
      <w:bookmarkEnd w:id="698"/>
      <w:bookmarkEnd w:id="699"/>
      <w:bookmarkEnd w:id="700"/>
      <w:bookmarkEnd w:id="701"/>
      <w:bookmarkEnd w:id="702"/>
      <w:bookmarkEnd w:id="703"/>
    </w:p>
    <w:p w:rsidR="0051723C" w:rsidRPr="0051723C" w:rsidRDefault="0051723C" w:rsidP="0051723C">
      <w:pPr>
        <w:jc w:val="center"/>
      </w:pPr>
      <w:r w:rsidRPr="0051723C">
        <w:rPr>
          <w:noProof/>
        </w:rPr>
        <w:drawing>
          <wp:inline distT="0" distB="0" distL="0" distR="0" wp14:anchorId="0EDB1EFD" wp14:editId="0740771A">
            <wp:extent cx="5910059" cy="20077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1">
                      <a:extLst>
                        <a:ext uri="{28A0092B-C50C-407E-A947-70E740481C1C}">
                          <a14:useLocalDpi xmlns:a14="http://schemas.microsoft.com/office/drawing/2010/main" val="0"/>
                        </a:ext>
                      </a:extLst>
                    </a:blip>
                    <a:srcRect t="4783" b="7369"/>
                    <a:stretch/>
                  </pic:blipFill>
                  <pic:spPr bwMode="auto">
                    <a:xfrm>
                      <a:off x="0" y="0"/>
                      <a:ext cx="5916661" cy="2009947"/>
                    </a:xfrm>
                    <a:prstGeom prst="rect">
                      <a:avLst/>
                    </a:prstGeom>
                    <a:noFill/>
                    <a:ln>
                      <a:noFill/>
                    </a:ln>
                    <a:extLst>
                      <a:ext uri="{53640926-AAD7-44D8-BBD7-CCE9431645EC}">
                        <a14:shadowObscured xmlns:a14="http://schemas.microsoft.com/office/drawing/2010/main"/>
                      </a:ext>
                    </a:extLst>
                  </pic:spPr>
                </pic:pic>
              </a:graphicData>
            </a:graphic>
          </wp:inline>
        </w:drawing>
      </w:r>
    </w:p>
    <w:p w:rsidR="00037CB4" w:rsidRPr="00B81A2F" w:rsidRDefault="0051723C" w:rsidP="0051723C">
      <w:pPr>
        <w:rPr>
          <w:bCs/>
        </w:rPr>
      </w:pPr>
      <w:r w:rsidRPr="0051723C">
        <w:fldChar w:fldCharType="begin"/>
      </w:r>
      <w:r w:rsidRPr="0051723C">
        <w:instrText xml:space="preserve"> REF _Ref439135923 \h  \* MERGEFORMAT </w:instrText>
      </w:r>
      <w:r w:rsidRPr="0051723C">
        <w:fldChar w:fldCharType="separate"/>
      </w:r>
    </w:p>
    <w:p w:rsidR="00037CB4" w:rsidRPr="0051723C" w:rsidRDefault="0051723C" w:rsidP="0051723C">
      <w:r w:rsidRPr="0051723C">
        <w:fldChar w:fldCharType="end"/>
      </w:r>
      <w:r w:rsidR="00602E9A">
        <w:fldChar w:fldCharType="begin"/>
      </w:r>
      <w:r w:rsidR="00602E9A">
        <w:instrText xml:space="preserve"> REF _Ref472396435 \h </w:instrText>
      </w:r>
      <w:r w:rsidR="00602E9A">
        <w:fldChar w:fldCharType="separate"/>
      </w:r>
    </w:p>
    <w:p w:rsidR="0051723C" w:rsidRPr="0051723C" w:rsidRDefault="00037CB4" w:rsidP="0051723C">
      <w:r>
        <w:t>Figure A-</w:t>
      </w:r>
      <w:r>
        <w:rPr>
          <w:noProof/>
        </w:rPr>
        <w:t>7</w:t>
      </w:r>
      <w:r w:rsidR="00602E9A">
        <w:fldChar w:fldCharType="end"/>
      </w:r>
      <w:r w:rsidR="0051723C" w:rsidRPr="0051723C">
        <w:t xml:space="preserve"> shows the frequency of each M&amp;V method used in the Government and Institutional Program and the energy savings associated with each method. Enhanced rigor was used for a majority of the projects (75%), and these projects accounted for 86% of the savings. </w:t>
      </w:r>
      <w:bookmarkStart w:id="704" w:name="_Ref439135923"/>
    </w:p>
    <w:p w:rsidR="0016159A" w:rsidRPr="0051723C" w:rsidRDefault="0016159A" w:rsidP="0051723C">
      <w:bookmarkStart w:id="705" w:name="_Ref472396435"/>
      <w:bookmarkStart w:id="706" w:name="_Toc444269820"/>
      <w:bookmarkEnd w:id="704"/>
    </w:p>
    <w:p w:rsidR="0051723C" w:rsidRPr="0051723C" w:rsidRDefault="0051723C" w:rsidP="004837FA">
      <w:pPr>
        <w:pStyle w:val="Caption"/>
      </w:pPr>
      <w:bookmarkStart w:id="707" w:name="_Toc488742018"/>
      <w:r>
        <w:t>Figure A-</w:t>
      </w:r>
      <w:r w:rsidR="007973A4">
        <w:fldChar w:fldCharType="begin"/>
      </w:r>
      <w:r w:rsidR="007973A4">
        <w:instrText xml:space="preserve"> SEQ Figure_A- \* ARABIC </w:instrText>
      </w:r>
      <w:r w:rsidR="007973A4">
        <w:fldChar w:fldCharType="separate"/>
      </w:r>
      <w:r w:rsidR="00037CB4">
        <w:rPr>
          <w:noProof/>
        </w:rPr>
        <w:t>7</w:t>
      </w:r>
      <w:r w:rsidR="007973A4">
        <w:rPr>
          <w:noProof/>
        </w:rPr>
        <w:fldChar w:fldCharType="end"/>
      </w:r>
      <w:bookmarkEnd w:id="705"/>
      <w:r>
        <w:t xml:space="preserve">: </w:t>
      </w:r>
      <w:r w:rsidRPr="0051723C">
        <w:t>Frequency of and Associated Energy Savings by M&amp;V Approach – Government and Institutional Program</w:t>
      </w:r>
      <w:bookmarkEnd w:id="706"/>
      <w:bookmarkEnd w:id="707"/>
    </w:p>
    <w:p w:rsidR="0051723C" w:rsidRPr="0051723C" w:rsidRDefault="0051723C" w:rsidP="0051723C">
      <w:pPr>
        <w:jc w:val="center"/>
        <w:rPr>
          <w:i/>
          <w:color w:val="FF0000"/>
        </w:rPr>
      </w:pPr>
      <w:r w:rsidRPr="0051723C">
        <w:rPr>
          <w:i/>
          <w:noProof/>
          <w:color w:val="FF0000"/>
        </w:rPr>
        <w:drawing>
          <wp:inline distT="0" distB="0" distL="0" distR="0" wp14:anchorId="4F25D3D8" wp14:editId="793CF688">
            <wp:extent cx="5979992" cy="2027583"/>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2">
                      <a:extLst>
                        <a:ext uri="{28A0092B-C50C-407E-A947-70E740481C1C}">
                          <a14:useLocalDpi xmlns:a14="http://schemas.microsoft.com/office/drawing/2010/main" val="0"/>
                        </a:ext>
                      </a:extLst>
                    </a:blip>
                    <a:srcRect t="4325" b="7433"/>
                    <a:stretch/>
                  </pic:blipFill>
                  <pic:spPr bwMode="auto">
                    <a:xfrm>
                      <a:off x="0" y="0"/>
                      <a:ext cx="5991490" cy="2031482"/>
                    </a:xfrm>
                    <a:prstGeom prst="rect">
                      <a:avLst/>
                    </a:prstGeom>
                    <a:noFill/>
                    <a:ln>
                      <a:noFill/>
                    </a:ln>
                    <a:extLst>
                      <a:ext uri="{53640926-AAD7-44D8-BBD7-CCE9431645EC}">
                        <a14:shadowObscured xmlns:a14="http://schemas.microsoft.com/office/drawing/2010/main"/>
                      </a:ext>
                    </a:extLst>
                  </pic:spPr>
                </pic:pic>
              </a:graphicData>
            </a:graphic>
          </wp:inline>
        </w:drawing>
      </w:r>
    </w:p>
    <w:p w:rsidR="0051723C" w:rsidRPr="008D7800" w:rsidRDefault="0051723C" w:rsidP="008D7800"/>
    <w:p w:rsidR="00950837" w:rsidRDefault="00950837" w:rsidP="009C0DF1">
      <w:pPr>
        <w:pStyle w:val="AppendixAHeading3"/>
      </w:pPr>
      <w:bookmarkStart w:id="708" w:name="_Ref472450362"/>
      <w:r>
        <w:t>Process Evaluation Activities and Findings</w:t>
      </w:r>
      <w:bookmarkEnd w:id="708"/>
    </w:p>
    <w:p w:rsidR="003D23A0" w:rsidRPr="00661E10" w:rsidRDefault="0064092E" w:rsidP="003D23A0">
      <w:r>
        <w:t xml:space="preserve">The </w:t>
      </w:r>
      <w:r w:rsidR="003D23A0" w:rsidRPr="00661E10">
        <w:t>ADM</w:t>
      </w:r>
      <w:r>
        <w:t>/Tetra Tech team</w:t>
      </w:r>
      <w:r w:rsidR="003D23A0" w:rsidRPr="00661E10">
        <w:t xml:space="preserve"> conducted limited process evaluation activities during PY7. </w:t>
      </w:r>
      <w:r w:rsidR="0009501A">
        <w:t>Tetra Tech</w:t>
      </w:r>
      <w:r w:rsidR="0009501A" w:rsidRPr="00661E10">
        <w:t xml:space="preserve"> </w:t>
      </w:r>
      <w:r w:rsidR="003D23A0" w:rsidRPr="00661E10">
        <w:t xml:space="preserve">conducted interviews with participating retailers for the Energy Efficient Products program’s upstream lighting and electronics components; interviews with homebuilders and raters for the Home Performance program; interviews with participating contractors; and participant surveys for the non-residential Energy Efficient Buildings programs (Small and Large). </w:t>
      </w:r>
      <w:r w:rsidR="003D23A0">
        <w:fldChar w:fldCharType="begin"/>
      </w:r>
      <w:r w:rsidR="003D23A0">
        <w:instrText xml:space="preserve"> REF _Ref472450127 \h </w:instrText>
      </w:r>
      <w:r w:rsidR="003D23A0">
        <w:fldChar w:fldCharType="separate"/>
      </w:r>
      <w:r w:rsidR="00DF3F90">
        <w:t>Table A-</w:t>
      </w:r>
      <w:r w:rsidR="00DF3F90">
        <w:rPr>
          <w:noProof/>
        </w:rPr>
        <w:t>34</w:t>
      </w:r>
      <w:r w:rsidR="003D23A0">
        <w:fldChar w:fldCharType="end"/>
      </w:r>
      <w:r w:rsidR="003D23A0" w:rsidRPr="00661E10">
        <w:t xml:space="preserve"> summarizes the data sources </w:t>
      </w:r>
      <w:r w:rsidR="0009501A">
        <w:t>Tetra Tech</w:t>
      </w:r>
      <w:r w:rsidR="0009501A" w:rsidRPr="00661E10">
        <w:t xml:space="preserve"> </w:t>
      </w:r>
      <w:r w:rsidR="003D23A0" w:rsidRPr="00661E10">
        <w:t>used and its key findings for each program.</w:t>
      </w:r>
    </w:p>
    <w:p w:rsidR="008D7800" w:rsidRDefault="008D7800" w:rsidP="003D23A0"/>
    <w:p w:rsidR="003D23A0" w:rsidRPr="004C1CF8" w:rsidRDefault="003D23A0" w:rsidP="004837FA">
      <w:pPr>
        <w:pStyle w:val="Caption"/>
      </w:pPr>
      <w:bookmarkStart w:id="709" w:name="_Ref472450127"/>
      <w:bookmarkStart w:id="710" w:name="_Toc472472443"/>
      <w:bookmarkStart w:id="711" w:name="_Toc488741862"/>
      <w:r>
        <w:t>Table A-</w:t>
      </w:r>
      <w:r w:rsidR="007973A4">
        <w:fldChar w:fldCharType="begin"/>
      </w:r>
      <w:r w:rsidR="007973A4">
        <w:instrText xml:space="preserve"> SEQ Table_A- \* ARABIC </w:instrText>
      </w:r>
      <w:r w:rsidR="007973A4">
        <w:fldChar w:fldCharType="separate"/>
      </w:r>
      <w:r w:rsidR="00DF3F90">
        <w:rPr>
          <w:noProof/>
        </w:rPr>
        <w:t>34</w:t>
      </w:r>
      <w:r w:rsidR="007973A4">
        <w:rPr>
          <w:noProof/>
        </w:rPr>
        <w:fldChar w:fldCharType="end"/>
      </w:r>
      <w:bookmarkEnd w:id="709"/>
      <w:r>
        <w:t xml:space="preserve">: </w:t>
      </w:r>
      <w:r w:rsidRPr="004C1CF8">
        <w:t>Summary of Key Findings and Data Sources – FirstEnergy</w:t>
      </w:r>
      <w:bookmarkEnd w:id="710"/>
      <w:bookmarkEnd w:id="711"/>
    </w:p>
    <w:tbl>
      <w:tblPr>
        <w:tblW w:w="9371"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47"/>
        <w:gridCol w:w="5133"/>
        <w:gridCol w:w="2791"/>
      </w:tblGrid>
      <w:tr w:rsidR="00A874AC" w:rsidRPr="00DF3F90" w:rsidTr="00DF3F90">
        <w:trPr>
          <w:cantSplit/>
          <w:trHeight w:val="141"/>
          <w:tblHeader/>
        </w:trPr>
        <w:tc>
          <w:tcPr>
            <w:tcW w:w="1447" w:type="dxa"/>
            <w:shd w:val="clear" w:color="auto" w:fill="448A99"/>
            <w:vAlign w:val="bottom"/>
            <w:hideMark/>
          </w:tcPr>
          <w:p w:rsidR="003D23A0" w:rsidRPr="00DF3F90" w:rsidRDefault="003D23A0" w:rsidP="005C1352">
            <w:pPr>
              <w:jc w:val="left"/>
              <w:rPr>
                <w:b/>
                <w:color w:val="FFFFFF"/>
                <w:sz w:val="19"/>
                <w:szCs w:val="19"/>
              </w:rPr>
            </w:pPr>
            <w:r w:rsidRPr="00DF3F90">
              <w:rPr>
                <w:b/>
                <w:color w:val="FFFFFF"/>
                <w:sz w:val="19"/>
                <w:szCs w:val="19"/>
              </w:rPr>
              <w:t>Program</w:t>
            </w:r>
          </w:p>
        </w:tc>
        <w:tc>
          <w:tcPr>
            <w:tcW w:w="5133" w:type="dxa"/>
            <w:shd w:val="clear" w:color="auto" w:fill="448A99"/>
            <w:vAlign w:val="bottom"/>
            <w:hideMark/>
          </w:tcPr>
          <w:p w:rsidR="003D23A0" w:rsidRPr="00DF3F90" w:rsidRDefault="003D23A0" w:rsidP="005C1352">
            <w:pPr>
              <w:jc w:val="center"/>
              <w:rPr>
                <w:b/>
                <w:color w:val="FFFFFF"/>
                <w:sz w:val="19"/>
                <w:szCs w:val="19"/>
              </w:rPr>
            </w:pPr>
            <w:r w:rsidRPr="00DF3F90">
              <w:rPr>
                <w:b/>
                <w:color w:val="FFFFFF"/>
                <w:sz w:val="19"/>
                <w:szCs w:val="19"/>
              </w:rPr>
              <w:t>Key Findings</w:t>
            </w:r>
          </w:p>
        </w:tc>
        <w:tc>
          <w:tcPr>
            <w:tcW w:w="2791" w:type="dxa"/>
            <w:shd w:val="clear" w:color="auto" w:fill="448A99"/>
            <w:vAlign w:val="bottom"/>
            <w:hideMark/>
          </w:tcPr>
          <w:p w:rsidR="003D23A0" w:rsidRPr="00DF3F90" w:rsidRDefault="003D23A0" w:rsidP="005C1352">
            <w:pPr>
              <w:jc w:val="center"/>
              <w:rPr>
                <w:b/>
                <w:color w:val="FFFFFF"/>
                <w:sz w:val="19"/>
                <w:szCs w:val="19"/>
              </w:rPr>
            </w:pPr>
            <w:r w:rsidRPr="00DF3F90">
              <w:rPr>
                <w:b/>
                <w:color w:val="FFFFFF"/>
                <w:sz w:val="19"/>
                <w:szCs w:val="19"/>
              </w:rPr>
              <w:t>Data Sources</w:t>
            </w:r>
          </w:p>
        </w:tc>
      </w:tr>
      <w:tr w:rsidR="00E7173E" w:rsidRPr="00DF3F90" w:rsidTr="00DF3F90">
        <w:trPr>
          <w:trHeight w:val="141"/>
        </w:trPr>
        <w:tc>
          <w:tcPr>
            <w:tcW w:w="9371" w:type="dxa"/>
            <w:gridSpan w:val="3"/>
            <w:shd w:val="clear" w:color="auto" w:fill="9C9393"/>
            <w:hideMark/>
          </w:tcPr>
          <w:p w:rsidR="003D23A0" w:rsidRPr="00DF3F90" w:rsidRDefault="003D23A0" w:rsidP="005C1352">
            <w:pPr>
              <w:jc w:val="left"/>
              <w:rPr>
                <w:b/>
                <w:i/>
                <w:color w:val="FFFFFF"/>
                <w:sz w:val="19"/>
                <w:szCs w:val="19"/>
              </w:rPr>
            </w:pPr>
            <w:r w:rsidRPr="00DF3F90">
              <w:rPr>
                <w:b/>
                <w:color w:val="FFFFFF"/>
                <w:sz w:val="19"/>
                <w:szCs w:val="19"/>
              </w:rPr>
              <w:t>Residential Sector</w:t>
            </w:r>
          </w:p>
        </w:tc>
      </w:tr>
      <w:tr w:rsidR="00E7173E" w:rsidRPr="00DF3F90" w:rsidTr="00DF3F90">
        <w:trPr>
          <w:trHeight w:val="141"/>
        </w:trPr>
        <w:tc>
          <w:tcPr>
            <w:tcW w:w="1447" w:type="dxa"/>
            <w:shd w:val="clear" w:color="auto" w:fill="D2EAF1"/>
          </w:tcPr>
          <w:p w:rsidR="003D23A0" w:rsidRPr="00DF3F90" w:rsidRDefault="003D23A0" w:rsidP="005C1352">
            <w:pPr>
              <w:jc w:val="left"/>
              <w:rPr>
                <w:sz w:val="19"/>
                <w:szCs w:val="19"/>
              </w:rPr>
            </w:pPr>
            <w:r w:rsidRPr="00DF3F90">
              <w:rPr>
                <w:sz w:val="19"/>
                <w:szCs w:val="19"/>
              </w:rPr>
              <w:t>Energy Efficient Products</w:t>
            </w:r>
          </w:p>
        </w:tc>
        <w:tc>
          <w:tcPr>
            <w:tcW w:w="5133" w:type="dxa"/>
            <w:shd w:val="clear" w:color="auto" w:fill="D2EAF1"/>
          </w:tcPr>
          <w:p w:rsidR="003D23A0" w:rsidRPr="00DF3F90" w:rsidRDefault="003D23A0" w:rsidP="009349F1">
            <w:pPr>
              <w:numPr>
                <w:ilvl w:val="0"/>
                <w:numId w:val="12"/>
              </w:numPr>
              <w:autoSpaceDE w:val="0"/>
              <w:autoSpaceDN w:val="0"/>
              <w:adjustRightInd w:val="0"/>
              <w:ind w:left="232" w:hanging="180"/>
              <w:contextualSpacing/>
              <w:jc w:val="left"/>
              <w:rPr>
                <w:rFonts w:cs="Calibri"/>
                <w:sz w:val="19"/>
                <w:szCs w:val="19"/>
              </w:rPr>
            </w:pPr>
            <w:r w:rsidRPr="00DF3F90">
              <w:rPr>
                <w:rFonts w:cs="Calibri"/>
                <w:sz w:val="19"/>
                <w:szCs w:val="19"/>
              </w:rPr>
              <w:t>High satisfaction with the program and the array of eligible measures among participating retailers.</w:t>
            </w:r>
          </w:p>
          <w:p w:rsidR="003D23A0" w:rsidRPr="00DF3F90" w:rsidRDefault="003D23A0" w:rsidP="009349F1">
            <w:pPr>
              <w:numPr>
                <w:ilvl w:val="0"/>
                <w:numId w:val="12"/>
              </w:numPr>
              <w:autoSpaceDE w:val="0"/>
              <w:autoSpaceDN w:val="0"/>
              <w:adjustRightInd w:val="0"/>
              <w:ind w:left="232" w:hanging="180"/>
              <w:contextualSpacing/>
              <w:jc w:val="left"/>
              <w:rPr>
                <w:rFonts w:cs="Calibri"/>
                <w:sz w:val="19"/>
                <w:szCs w:val="19"/>
              </w:rPr>
            </w:pPr>
            <w:r w:rsidRPr="00DF3F90">
              <w:rPr>
                <w:rFonts w:cs="Calibri"/>
                <w:sz w:val="19"/>
                <w:szCs w:val="19"/>
              </w:rPr>
              <w:t>Retailers have close working relationships with the program implementers.</w:t>
            </w:r>
          </w:p>
          <w:p w:rsidR="003D23A0" w:rsidRPr="00DF3F90" w:rsidRDefault="003D23A0" w:rsidP="009349F1">
            <w:pPr>
              <w:numPr>
                <w:ilvl w:val="0"/>
                <w:numId w:val="12"/>
              </w:numPr>
              <w:autoSpaceDE w:val="0"/>
              <w:autoSpaceDN w:val="0"/>
              <w:adjustRightInd w:val="0"/>
              <w:ind w:left="232" w:hanging="180"/>
              <w:contextualSpacing/>
              <w:jc w:val="left"/>
              <w:rPr>
                <w:rFonts w:cs="Calibri"/>
                <w:sz w:val="19"/>
                <w:szCs w:val="19"/>
              </w:rPr>
            </w:pPr>
            <w:r w:rsidRPr="00DF3F90">
              <w:rPr>
                <w:rFonts w:cs="Calibri"/>
                <w:sz w:val="19"/>
                <w:szCs w:val="19"/>
              </w:rPr>
              <w:t>Level of program activities varies by retail and individual stores within chains, but there are stores that held program-sponsored events, with signage and staff trained to promote energy efficiency among customers.</w:t>
            </w:r>
          </w:p>
          <w:p w:rsidR="003D23A0" w:rsidRPr="00DF3F90" w:rsidRDefault="003D23A0" w:rsidP="009349F1">
            <w:pPr>
              <w:numPr>
                <w:ilvl w:val="0"/>
                <w:numId w:val="12"/>
              </w:numPr>
              <w:autoSpaceDE w:val="0"/>
              <w:autoSpaceDN w:val="0"/>
              <w:adjustRightInd w:val="0"/>
              <w:ind w:left="232" w:hanging="180"/>
              <w:contextualSpacing/>
              <w:jc w:val="left"/>
              <w:rPr>
                <w:rFonts w:cs="Calibri"/>
                <w:sz w:val="19"/>
                <w:szCs w:val="19"/>
              </w:rPr>
            </w:pPr>
            <w:r w:rsidRPr="00DF3F90">
              <w:rPr>
                <w:rFonts w:cs="Calibri"/>
                <w:sz w:val="19"/>
                <w:szCs w:val="19"/>
              </w:rPr>
              <w:t xml:space="preserve">Participating stores are preferentially placing LEDs in prominent locations and have less shelf space dedicated to incandescent lamps than do nonparticipating stores. </w:t>
            </w:r>
          </w:p>
          <w:p w:rsidR="003D23A0" w:rsidRPr="00DF3F90" w:rsidRDefault="003D23A0" w:rsidP="009349F1">
            <w:pPr>
              <w:numPr>
                <w:ilvl w:val="0"/>
                <w:numId w:val="12"/>
              </w:numPr>
              <w:autoSpaceDE w:val="0"/>
              <w:autoSpaceDN w:val="0"/>
              <w:adjustRightInd w:val="0"/>
              <w:ind w:left="232" w:hanging="180"/>
              <w:contextualSpacing/>
              <w:jc w:val="left"/>
              <w:rPr>
                <w:rFonts w:cs="Calibri"/>
                <w:sz w:val="19"/>
                <w:szCs w:val="19"/>
              </w:rPr>
            </w:pPr>
            <w:r w:rsidRPr="00DF3F90">
              <w:rPr>
                <w:rFonts w:cs="Calibri"/>
                <w:sz w:val="19"/>
                <w:szCs w:val="19"/>
              </w:rPr>
              <w:t>Some participants suggested the program to be more flexible to midyear changes in measure eligibility and that it leverage market intelligence to adapt to the rapidly changing lighting market.</w:t>
            </w:r>
          </w:p>
        </w:tc>
        <w:tc>
          <w:tcPr>
            <w:tcW w:w="2791" w:type="dxa"/>
            <w:shd w:val="clear" w:color="auto" w:fill="D2EAF1"/>
          </w:tcPr>
          <w:p w:rsidR="003D23A0" w:rsidRPr="00DF3F90" w:rsidRDefault="003D23A0" w:rsidP="009349F1">
            <w:pPr>
              <w:numPr>
                <w:ilvl w:val="0"/>
                <w:numId w:val="12"/>
              </w:numPr>
              <w:autoSpaceDE w:val="0"/>
              <w:autoSpaceDN w:val="0"/>
              <w:adjustRightInd w:val="0"/>
              <w:ind w:left="232" w:hanging="180"/>
              <w:contextualSpacing/>
              <w:jc w:val="left"/>
              <w:rPr>
                <w:sz w:val="19"/>
                <w:szCs w:val="19"/>
              </w:rPr>
            </w:pPr>
            <w:r w:rsidRPr="00DF3F90">
              <w:rPr>
                <w:sz w:val="19"/>
                <w:szCs w:val="19"/>
              </w:rPr>
              <w:t>Interviews with participating retailers in upstream lighting and electronics components</w:t>
            </w:r>
          </w:p>
        </w:tc>
      </w:tr>
      <w:tr w:rsidR="003D23A0" w:rsidRPr="00DF3F90" w:rsidTr="00DF3F90">
        <w:trPr>
          <w:trHeight w:val="141"/>
        </w:trPr>
        <w:tc>
          <w:tcPr>
            <w:tcW w:w="1447" w:type="dxa"/>
          </w:tcPr>
          <w:p w:rsidR="003D23A0" w:rsidRPr="00DF3F90" w:rsidRDefault="003D23A0" w:rsidP="005C1352">
            <w:pPr>
              <w:jc w:val="left"/>
              <w:rPr>
                <w:sz w:val="19"/>
                <w:szCs w:val="19"/>
              </w:rPr>
            </w:pPr>
            <w:r w:rsidRPr="00DF3F90">
              <w:rPr>
                <w:sz w:val="19"/>
                <w:szCs w:val="19"/>
              </w:rPr>
              <w:t>Home Performance</w:t>
            </w:r>
          </w:p>
        </w:tc>
        <w:tc>
          <w:tcPr>
            <w:tcW w:w="5133" w:type="dxa"/>
          </w:tcPr>
          <w:p w:rsidR="003D23A0" w:rsidRPr="00DF3F90" w:rsidRDefault="003D23A0" w:rsidP="009349F1">
            <w:pPr>
              <w:numPr>
                <w:ilvl w:val="0"/>
                <w:numId w:val="11"/>
              </w:numPr>
              <w:autoSpaceDE w:val="0"/>
              <w:autoSpaceDN w:val="0"/>
              <w:adjustRightInd w:val="0"/>
              <w:ind w:left="232" w:hanging="180"/>
              <w:contextualSpacing/>
              <w:jc w:val="left"/>
              <w:rPr>
                <w:rFonts w:cs="Calibri"/>
                <w:sz w:val="19"/>
                <w:szCs w:val="19"/>
              </w:rPr>
            </w:pPr>
            <w:r w:rsidRPr="00DF3F90">
              <w:rPr>
                <w:rFonts w:cs="Calibri"/>
                <w:sz w:val="19"/>
                <w:szCs w:val="19"/>
              </w:rPr>
              <w:t>Moderate level of program satisfaction among builders. Commonly cited dissatisfactions are paperwork and logistical burdens (coordination with raters, time lag between application and receipt of rebates).</w:t>
            </w:r>
          </w:p>
          <w:p w:rsidR="003D23A0" w:rsidRPr="00DF3F90" w:rsidRDefault="003D23A0" w:rsidP="009349F1">
            <w:pPr>
              <w:numPr>
                <w:ilvl w:val="0"/>
                <w:numId w:val="11"/>
              </w:numPr>
              <w:autoSpaceDE w:val="0"/>
              <w:autoSpaceDN w:val="0"/>
              <w:adjustRightInd w:val="0"/>
              <w:ind w:left="232" w:hanging="180"/>
              <w:contextualSpacing/>
              <w:jc w:val="left"/>
              <w:rPr>
                <w:rFonts w:cs="Calibri"/>
                <w:sz w:val="19"/>
                <w:szCs w:val="19"/>
              </w:rPr>
            </w:pPr>
            <w:r w:rsidRPr="00DF3F90">
              <w:rPr>
                <w:rFonts w:cs="Calibri"/>
                <w:sz w:val="19"/>
                <w:szCs w:val="19"/>
              </w:rPr>
              <w:t xml:space="preserve">Nonparticipating builders are primarily concerned about incremental costs and documentation burden for application. </w:t>
            </w:r>
          </w:p>
          <w:p w:rsidR="003D23A0" w:rsidRPr="00DF3F90" w:rsidRDefault="003D23A0" w:rsidP="009349F1">
            <w:pPr>
              <w:numPr>
                <w:ilvl w:val="0"/>
                <w:numId w:val="11"/>
              </w:numPr>
              <w:autoSpaceDE w:val="0"/>
              <w:autoSpaceDN w:val="0"/>
              <w:adjustRightInd w:val="0"/>
              <w:ind w:left="232" w:hanging="180"/>
              <w:contextualSpacing/>
              <w:jc w:val="left"/>
              <w:rPr>
                <w:rFonts w:cs="Calibri"/>
                <w:sz w:val="19"/>
                <w:szCs w:val="19"/>
              </w:rPr>
            </w:pPr>
            <w:r w:rsidRPr="00DF3F90">
              <w:rPr>
                <w:rFonts w:cs="Calibri"/>
                <w:sz w:val="19"/>
                <w:szCs w:val="19"/>
              </w:rPr>
              <w:t>Participating builders perceive declining value of the ENERGY STAR New Home certification. Many of them are creating their own energy efficient packages.</w:t>
            </w:r>
          </w:p>
          <w:p w:rsidR="003D23A0" w:rsidRPr="00DF3F90" w:rsidRDefault="003D23A0" w:rsidP="009349F1">
            <w:pPr>
              <w:numPr>
                <w:ilvl w:val="0"/>
                <w:numId w:val="11"/>
              </w:numPr>
              <w:autoSpaceDE w:val="0"/>
              <w:autoSpaceDN w:val="0"/>
              <w:adjustRightInd w:val="0"/>
              <w:ind w:left="232" w:hanging="180"/>
              <w:contextualSpacing/>
              <w:jc w:val="left"/>
              <w:rPr>
                <w:rFonts w:cs="Calibri"/>
                <w:sz w:val="19"/>
                <w:szCs w:val="19"/>
              </w:rPr>
            </w:pPr>
            <w:r w:rsidRPr="00DF3F90">
              <w:rPr>
                <w:rFonts w:cs="Calibri"/>
                <w:sz w:val="19"/>
                <w:szCs w:val="19"/>
              </w:rPr>
              <w:t xml:space="preserve">Raters are satisfied with the program. Their common challenge is to appeal to builders for their service value. </w:t>
            </w:r>
          </w:p>
        </w:tc>
        <w:tc>
          <w:tcPr>
            <w:tcW w:w="2791" w:type="dxa"/>
          </w:tcPr>
          <w:p w:rsidR="003D23A0" w:rsidRPr="00DF3F90" w:rsidRDefault="003D23A0" w:rsidP="009349F1">
            <w:pPr>
              <w:numPr>
                <w:ilvl w:val="0"/>
                <w:numId w:val="12"/>
              </w:numPr>
              <w:autoSpaceDE w:val="0"/>
              <w:autoSpaceDN w:val="0"/>
              <w:adjustRightInd w:val="0"/>
              <w:ind w:left="232" w:hanging="180"/>
              <w:contextualSpacing/>
              <w:jc w:val="left"/>
              <w:rPr>
                <w:sz w:val="19"/>
                <w:szCs w:val="19"/>
              </w:rPr>
            </w:pPr>
            <w:r w:rsidRPr="00DF3F90">
              <w:rPr>
                <w:sz w:val="19"/>
                <w:szCs w:val="19"/>
              </w:rPr>
              <w:t>Interviews with participating and nonparticipating homebuilders and raters</w:t>
            </w:r>
          </w:p>
        </w:tc>
      </w:tr>
      <w:tr w:rsidR="00E7173E" w:rsidRPr="00DF3F90" w:rsidTr="00DF3F90">
        <w:trPr>
          <w:trHeight w:val="141"/>
        </w:trPr>
        <w:tc>
          <w:tcPr>
            <w:tcW w:w="9371" w:type="dxa"/>
            <w:gridSpan w:val="3"/>
            <w:shd w:val="clear" w:color="auto" w:fill="9C9393"/>
            <w:hideMark/>
          </w:tcPr>
          <w:p w:rsidR="003D23A0" w:rsidRPr="00DF3F90" w:rsidRDefault="003D23A0" w:rsidP="005C1352">
            <w:pPr>
              <w:ind w:left="139" w:hanging="180"/>
              <w:jc w:val="left"/>
              <w:rPr>
                <w:b/>
                <w:i/>
                <w:sz w:val="19"/>
                <w:szCs w:val="19"/>
              </w:rPr>
            </w:pPr>
            <w:r w:rsidRPr="00DF3F90">
              <w:rPr>
                <w:b/>
                <w:color w:val="FFFFFF"/>
                <w:sz w:val="19"/>
                <w:szCs w:val="19"/>
              </w:rPr>
              <w:t>Non-Residential Sector</w:t>
            </w:r>
          </w:p>
        </w:tc>
      </w:tr>
      <w:tr w:rsidR="003D23A0" w:rsidRPr="00DF3F90" w:rsidTr="00DF3F90">
        <w:trPr>
          <w:trHeight w:val="141"/>
        </w:trPr>
        <w:tc>
          <w:tcPr>
            <w:tcW w:w="1447" w:type="dxa"/>
          </w:tcPr>
          <w:p w:rsidR="003D23A0" w:rsidRPr="00DF3F90" w:rsidRDefault="003D23A0" w:rsidP="005C1352">
            <w:pPr>
              <w:jc w:val="left"/>
              <w:rPr>
                <w:sz w:val="19"/>
                <w:szCs w:val="19"/>
              </w:rPr>
            </w:pPr>
            <w:r w:rsidRPr="00DF3F90">
              <w:rPr>
                <w:sz w:val="19"/>
                <w:szCs w:val="19"/>
              </w:rPr>
              <w:t>Energy Efficient Buildings (Small and Large)</w:t>
            </w:r>
          </w:p>
        </w:tc>
        <w:tc>
          <w:tcPr>
            <w:tcW w:w="5133" w:type="dxa"/>
          </w:tcPr>
          <w:p w:rsidR="003D23A0" w:rsidRPr="00DF3F90" w:rsidRDefault="003D23A0" w:rsidP="009349F1">
            <w:pPr>
              <w:numPr>
                <w:ilvl w:val="0"/>
                <w:numId w:val="10"/>
              </w:numPr>
              <w:autoSpaceDE w:val="0"/>
              <w:autoSpaceDN w:val="0"/>
              <w:adjustRightInd w:val="0"/>
              <w:ind w:left="236" w:hanging="180"/>
              <w:contextualSpacing/>
              <w:jc w:val="left"/>
              <w:rPr>
                <w:rFonts w:cs="Calibri"/>
                <w:sz w:val="19"/>
                <w:szCs w:val="19"/>
              </w:rPr>
            </w:pPr>
            <w:r w:rsidRPr="00DF3F90">
              <w:rPr>
                <w:rFonts w:cs="Calibri"/>
                <w:sz w:val="19"/>
                <w:szCs w:val="19"/>
              </w:rPr>
              <w:t xml:space="preserve">Participants in the custom component are highly satisfied with the program. </w:t>
            </w:r>
          </w:p>
          <w:p w:rsidR="003D23A0" w:rsidRPr="00DF3F90" w:rsidRDefault="003D23A0" w:rsidP="009349F1">
            <w:pPr>
              <w:numPr>
                <w:ilvl w:val="0"/>
                <w:numId w:val="10"/>
              </w:numPr>
              <w:autoSpaceDE w:val="0"/>
              <w:autoSpaceDN w:val="0"/>
              <w:adjustRightInd w:val="0"/>
              <w:ind w:left="236" w:hanging="180"/>
              <w:contextualSpacing/>
              <w:jc w:val="left"/>
              <w:rPr>
                <w:rFonts w:cs="Calibri"/>
                <w:sz w:val="19"/>
                <w:szCs w:val="19"/>
              </w:rPr>
            </w:pPr>
            <w:r w:rsidRPr="00DF3F90">
              <w:rPr>
                <w:rFonts w:cs="Calibri"/>
                <w:sz w:val="19"/>
                <w:szCs w:val="19"/>
              </w:rPr>
              <w:t>Participants in the kit component are satisfied, but they suggest upgrading lamps to LEDs.</w:t>
            </w:r>
          </w:p>
          <w:p w:rsidR="003D23A0" w:rsidRPr="00DF3F90" w:rsidRDefault="003D23A0" w:rsidP="009349F1">
            <w:pPr>
              <w:numPr>
                <w:ilvl w:val="0"/>
                <w:numId w:val="10"/>
              </w:numPr>
              <w:autoSpaceDE w:val="0"/>
              <w:autoSpaceDN w:val="0"/>
              <w:adjustRightInd w:val="0"/>
              <w:ind w:left="236" w:hanging="180"/>
              <w:contextualSpacing/>
              <w:jc w:val="left"/>
              <w:rPr>
                <w:rFonts w:cs="Calibri"/>
                <w:sz w:val="19"/>
                <w:szCs w:val="19"/>
              </w:rPr>
            </w:pPr>
            <w:r w:rsidRPr="00DF3F90">
              <w:rPr>
                <w:rFonts w:cs="Calibri"/>
                <w:sz w:val="19"/>
                <w:szCs w:val="19"/>
              </w:rPr>
              <w:t>Contractors are actively communicating with potential customers about savings opportunities, ROI, and NEB.</w:t>
            </w:r>
          </w:p>
          <w:p w:rsidR="003D23A0" w:rsidRPr="00DF3F90" w:rsidRDefault="003D23A0" w:rsidP="009349F1">
            <w:pPr>
              <w:numPr>
                <w:ilvl w:val="0"/>
                <w:numId w:val="10"/>
              </w:numPr>
              <w:autoSpaceDE w:val="0"/>
              <w:autoSpaceDN w:val="0"/>
              <w:adjustRightInd w:val="0"/>
              <w:ind w:left="236" w:hanging="180"/>
              <w:contextualSpacing/>
              <w:jc w:val="left"/>
              <w:rPr>
                <w:rFonts w:cs="Calibri"/>
                <w:sz w:val="19"/>
                <w:szCs w:val="19"/>
              </w:rPr>
            </w:pPr>
            <w:r w:rsidRPr="00DF3F90">
              <w:rPr>
                <w:rFonts w:cs="Calibri"/>
                <w:sz w:val="19"/>
                <w:szCs w:val="19"/>
              </w:rPr>
              <w:t xml:space="preserve">Contractors reported challenges with paperwork requirements, preapproval wait times, understanding eligibility requirements, and frequent QA inspections. </w:t>
            </w:r>
          </w:p>
        </w:tc>
        <w:tc>
          <w:tcPr>
            <w:tcW w:w="2791" w:type="dxa"/>
          </w:tcPr>
          <w:p w:rsidR="003D23A0" w:rsidRPr="00DF3F90" w:rsidRDefault="003D23A0" w:rsidP="009349F1">
            <w:pPr>
              <w:numPr>
                <w:ilvl w:val="0"/>
                <w:numId w:val="10"/>
              </w:numPr>
              <w:autoSpaceDE w:val="0"/>
              <w:autoSpaceDN w:val="0"/>
              <w:adjustRightInd w:val="0"/>
              <w:ind w:left="142" w:hanging="180"/>
              <w:contextualSpacing/>
              <w:jc w:val="left"/>
              <w:rPr>
                <w:sz w:val="19"/>
                <w:szCs w:val="19"/>
              </w:rPr>
            </w:pPr>
            <w:r w:rsidRPr="00DF3F90">
              <w:rPr>
                <w:sz w:val="19"/>
                <w:szCs w:val="19"/>
              </w:rPr>
              <w:t>Interviews with participating contractors</w:t>
            </w:r>
          </w:p>
          <w:p w:rsidR="003D23A0" w:rsidRPr="00DF3F90" w:rsidRDefault="003D23A0" w:rsidP="009349F1">
            <w:pPr>
              <w:numPr>
                <w:ilvl w:val="0"/>
                <w:numId w:val="10"/>
              </w:numPr>
              <w:autoSpaceDE w:val="0"/>
              <w:autoSpaceDN w:val="0"/>
              <w:adjustRightInd w:val="0"/>
              <w:ind w:left="142" w:hanging="180"/>
              <w:contextualSpacing/>
              <w:jc w:val="left"/>
              <w:rPr>
                <w:sz w:val="19"/>
                <w:szCs w:val="19"/>
              </w:rPr>
            </w:pPr>
            <w:r w:rsidRPr="00DF3F90">
              <w:rPr>
                <w:sz w:val="19"/>
                <w:szCs w:val="19"/>
              </w:rPr>
              <w:t>Participant surveys</w:t>
            </w:r>
          </w:p>
        </w:tc>
      </w:tr>
    </w:tbl>
    <w:p w:rsidR="003D23A0" w:rsidRPr="00661E10" w:rsidRDefault="003D23A0" w:rsidP="003D23A0"/>
    <w:p w:rsidR="00950837" w:rsidRDefault="00950837" w:rsidP="000D3563">
      <w:pPr>
        <w:pStyle w:val="AppendixAHeading2"/>
      </w:pPr>
      <w:r>
        <w:t>Statewide Evaluator Audit Activities and Findings</w:t>
      </w:r>
    </w:p>
    <w:p w:rsidR="00C737E8" w:rsidRDefault="00C737E8" w:rsidP="00C737E8">
      <w:r w:rsidRPr="00C737E8">
        <w:t xml:space="preserve">This section presents the activities of the SWE Team’s audits of </w:t>
      </w:r>
      <w:r>
        <w:t>Met-Ed</w:t>
      </w:r>
      <w:r w:rsidRPr="00C737E8">
        <w:t>’s portfolio of programs. It provides summary information and key findings from the SWE Team’s residential, low-income, non-residential, and NTG and process evaluation audit activities.</w:t>
      </w:r>
    </w:p>
    <w:p w:rsidR="005C3E63" w:rsidRDefault="005C3E63" w:rsidP="00C737E8"/>
    <w:p w:rsidR="00950837" w:rsidRDefault="00950837" w:rsidP="009C0DF1">
      <w:pPr>
        <w:pStyle w:val="AppendixAHeading3"/>
      </w:pPr>
      <w:r>
        <w:t>Residential Program Audit Summary</w:t>
      </w:r>
    </w:p>
    <w:p w:rsidR="00C77BCA" w:rsidRDefault="00C77BCA" w:rsidP="0055598C">
      <w:pPr>
        <w:pStyle w:val="AppendixAHeading4"/>
      </w:pPr>
      <w:r>
        <w:t>Residential Lighting Program</w:t>
      </w:r>
    </w:p>
    <w:p w:rsidR="00C77BCA" w:rsidRDefault="00C77BCA" w:rsidP="00C77BCA">
      <w:pPr>
        <w:rPr>
          <w:rFonts w:eastAsia="Calibri"/>
        </w:rPr>
      </w:pPr>
      <w:r w:rsidRPr="00692B92">
        <w:rPr>
          <w:rFonts w:eastAsia="Calibri"/>
        </w:rPr>
        <w:t>For PY7, residential upstream lighting accounted for a majority of the reported savings in Met-Ed’s Efficient Products Program. The SWE Team reviewed the database and tracking system submitted by Met-Ed and its evaluation contractor to verify that the correct savings algorithms and deemed savings values were used in the program. The SWE Team also reviewed 10 invoices and product data sheets covering many different bulb types, from standard CFLs to decorative LEDs and floodlight bulbs. Due to the format of the tracking database, the SWE Team easily confirmed that the 2015 TRM was appropriately used for the calculations to quantify the program savings. The SWE Team also verified that FirstEnergy’s evaluation contractor correctly noted any discrepancies in the census data and accounted for any adjustments in the verified savings data.</w:t>
      </w:r>
    </w:p>
    <w:p w:rsidR="00C77BCA" w:rsidRDefault="00C77BCA" w:rsidP="00C77BCA">
      <w:pPr>
        <w:rPr>
          <w:rFonts w:eastAsia="Calibri"/>
        </w:rPr>
      </w:pPr>
    </w:p>
    <w:p w:rsidR="00C77BCA" w:rsidRPr="00692B92" w:rsidRDefault="00C77BCA" w:rsidP="0055598C">
      <w:pPr>
        <w:pStyle w:val="AppendixAHeading4"/>
        <w:rPr>
          <w:rFonts w:eastAsia="Calibri"/>
        </w:rPr>
      </w:pPr>
      <w:r>
        <w:rPr>
          <w:rFonts w:eastAsia="Calibri"/>
        </w:rPr>
        <w:t>Appliance Turn-In Program</w:t>
      </w:r>
    </w:p>
    <w:p w:rsidR="00C77BCA" w:rsidRPr="00692B92" w:rsidRDefault="00C77BCA" w:rsidP="00C77BCA">
      <w:pPr>
        <w:rPr>
          <w:rFonts w:eastAsia="Calibri"/>
        </w:rPr>
      </w:pPr>
      <w:r w:rsidRPr="00692B92">
        <w:rPr>
          <w:rFonts w:eastAsia="Calibri"/>
        </w:rPr>
        <w:t xml:space="preserve">The SWE Team reviewed the spreadsheets and database used to calculate Met-Ed’s verified gross savings. Unlike </w:t>
      </w:r>
      <w:r>
        <w:rPr>
          <w:rFonts w:eastAsia="Calibri"/>
        </w:rPr>
        <w:t xml:space="preserve">in </w:t>
      </w:r>
      <w:r w:rsidRPr="00692B92">
        <w:rPr>
          <w:rFonts w:eastAsia="Calibri"/>
        </w:rPr>
        <w:t>previous years where the evaluat</w:t>
      </w:r>
      <w:r>
        <w:rPr>
          <w:rFonts w:eastAsia="Calibri"/>
        </w:rPr>
        <w:t>ion contractor</w:t>
      </w:r>
      <w:r w:rsidRPr="00692B92">
        <w:rPr>
          <w:rFonts w:eastAsia="Calibri"/>
        </w:rPr>
        <w:t xml:space="preserve"> simply used the deemed </w:t>
      </w:r>
      <w:r>
        <w:rPr>
          <w:rFonts w:eastAsia="Calibri"/>
        </w:rPr>
        <w:t>unit energy consumptions (</w:t>
      </w:r>
      <w:r w:rsidRPr="00692B92">
        <w:rPr>
          <w:rFonts w:eastAsia="Calibri"/>
        </w:rPr>
        <w:t>UECs</w:t>
      </w:r>
      <w:r>
        <w:rPr>
          <w:rFonts w:eastAsia="Calibri"/>
        </w:rPr>
        <w:t>)</w:t>
      </w:r>
      <w:r w:rsidRPr="00692B92">
        <w:rPr>
          <w:rFonts w:eastAsia="Calibri"/>
        </w:rPr>
        <w:t xml:space="preserve"> from the TRM, in PY7 the </w:t>
      </w:r>
      <w:r>
        <w:rPr>
          <w:rFonts w:eastAsia="Calibri"/>
        </w:rPr>
        <w:t>contractor</w:t>
      </w:r>
      <w:r w:rsidRPr="00692B92">
        <w:rPr>
          <w:rFonts w:eastAsia="Calibri"/>
        </w:rPr>
        <w:t xml:space="preserve"> calculated a utility-specific UEC from the PY7 appliance recycling customer database. The SWE Team confirmed that the UECs were calculated correctly using the 2015 TRM regression coefficients and PY7 Met-Ed customer data</w:t>
      </w:r>
      <w:r w:rsidR="00AF2C58">
        <w:rPr>
          <w:rFonts w:eastAsia="Calibri"/>
        </w:rPr>
        <w:t>,</w:t>
      </w:r>
      <w:r w:rsidRPr="00692B92">
        <w:rPr>
          <w:rFonts w:eastAsia="Calibri"/>
        </w:rPr>
        <w:t xml:space="preserve"> and that they were used correctly in determining annual kWh and kW savings. Because of a difference in how gross savings are calculated in the 2015 TRM, it was not necessary to account for refrigerator replacement. This is taken into account only in the </w:t>
      </w:r>
      <w:r>
        <w:rPr>
          <w:rFonts w:eastAsia="Calibri"/>
        </w:rPr>
        <w:t>n</w:t>
      </w:r>
      <w:r w:rsidRPr="00692B92">
        <w:rPr>
          <w:rFonts w:eastAsia="Calibri"/>
        </w:rPr>
        <w:t xml:space="preserve">et savings calculations. The </w:t>
      </w:r>
      <w:r>
        <w:rPr>
          <w:rFonts w:eastAsia="Calibri"/>
        </w:rPr>
        <w:t>E</w:t>
      </w:r>
      <w:r w:rsidRPr="00692B92">
        <w:rPr>
          <w:rFonts w:eastAsia="Calibri"/>
        </w:rPr>
        <w:t>xcel worksheets documented calculations clearly and were easy to follow.</w:t>
      </w:r>
    </w:p>
    <w:p w:rsidR="00C77BCA" w:rsidRPr="008D7800" w:rsidRDefault="00C77BCA" w:rsidP="008D7800"/>
    <w:p w:rsidR="00C77BCA" w:rsidRPr="00692B92" w:rsidRDefault="00C77BCA" w:rsidP="0055598C">
      <w:pPr>
        <w:pStyle w:val="AppendixAHeading4"/>
      </w:pPr>
      <w:r w:rsidRPr="00692B92">
        <w:t>Efficient Products Program</w:t>
      </w:r>
    </w:p>
    <w:p w:rsidR="00C77BCA" w:rsidRPr="00692B92" w:rsidRDefault="00C77BCA" w:rsidP="00C77BCA">
      <w:pPr>
        <w:rPr>
          <w:rFonts w:eastAsia="Calibri"/>
        </w:rPr>
      </w:pPr>
      <w:r w:rsidRPr="00692B92">
        <w:rPr>
          <w:rFonts w:eastAsia="Calibri"/>
        </w:rPr>
        <w:t xml:space="preserve">The SWE Team thoroughly reviewed the data-tracking and reporting system containing the savings calculation and rebate invoice information for all of the Efficient Products </w:t>
      </w:r>
      <w:r>
        <w:rPr>
          <w:rFonts w:eastAsia="Calibri"/>
        </w:rPr>
        <w:t xml:space="preserve">Program </w:t>
      </w:r>
      <w:r w:rsidRPr="00692B92">
        <w:rPr>
          <w:rFonts w:eastAsia="Calibri"/>
        </w:rPr>
        <w:t xml:space="preserve">strata. Additionally, </w:t>
      </w:r>
      <w:r>
        <w:rPr>
          <w:rFonts w:eastAsia="Calibri"/>
        </w:rPr>
        <w:t>it</w:t>
      </w:r>
      <w:r w:rsidRPr="00692B92">
        <w:rPr>
          <w:rFonts w:eastAsia="Calibri"/>
        </w:rPr>
        <w:t xml:space="preserve"> checked the proper use of the 2015 TRM in calculating the savings for each of the product types. The SWE found that the heat pump water heater (HPWH) savings calculations strayed slightly from the TRM, but in an acceptably conservative fashion. According to the TRM, the HVAC interactive effect penalty only needs to be taken into account when the HPWH is installed in conditioned space and not when the default F</w:t>
      </w:r>
      <w:r w:rsidRPr="00692B92">
        <w:rPr>
          <w:rFonts w:eastAsia="Calibri"/>
          <w:vertAlign w:val="subscript"/>
        </w:rPr>
        <w:t>derate</w:t>
      </w:r>
      <w:r w:rsidRPr="00692B92">
        <w:rPr>
          <w:rFonts w:eastAsia="Calibri"/>
        </w:rPr>
        <w:t xml:space="preserve"> value is used. The evaluat</w:t>
      </w:r>
      <w:r>
        <w:rPr>
          <w:rFonts w:eastAsia="Calibri"/>
        </w:rPr>
        <w:t>ion contractor</w:t>
      </w:r>
      <w:r w:rsidRPr="00692B92">
        <w:rPr>
          <w:rFonts w:eastAsia="Calibri"/>
        </w:rPr>
        <w:t xml:space="preserve"> assumed both, which made the kWh estimates slightly conservative.</w:t>
      </w:r>
    </w:p>
    <w:p w:rsidR="00C77BCA" w:rsidRPr="00692B92" w:rsidRDefault="00C77BCA" w:rsidP="00C77BCA">
      <w:pPr>
        <w:rPr>
          <w:rFonts w:eastAsia="Calibri"/>
        </w:rPr>
      </w:pPr>
    </w:p>
    <w:p w:rsidR="00C77BCA" w:rsidRPr="00692B92" w:rsidRDefault="00C77BCA" w:rsidP="0055598C">
      <w:pPr>
        <w:pStyle w:val="AppendixAHeading4"/>
      </w:pPr>
      <w:r w:rsidRPr="00692B92">
        <w:t>Home Performance Program</w:t>
      </w:r>
    </w:p>
    <w:p w:rsidR="00C77BCA" w:rsidRPr="00692B92" w:rsidRDefault="00C77BCA" w:rsidP="00C77BCA">
      <w:r w:rsidRPr="00692B92">
        <w:t xml:space="preserve">The SWE Team audited each operational component of the Home Performance Program: </w:t>
      </w:r>
      <w:r>
        <w:t>w</w:t>
      </w:r>
      <w:r w:rsidRPr="00692B92">
        <w:t xml:space="preserve">hole </w:t>
      </w:r>
      <w:r>
        <w:t>h</w:t>
      </w:r>
      <w:r w:rsidRPr="00692B92">
        <w:t xml:space="preserve">ouse </w:t>
      </w:r>
      <w:r>
        <w:t>d</w:t>
      </w:r>
      <w:r w:rsidRPr="00692B92">
        <w:t xml:space="preserve">irect </w:t>
      </w:r>
      <w:r>
        <w:t>i</w:t>
      </w:r>
      <w:r w:rsidRPr="00692B92">
        <w:t xml:space="preserve">nstall, </w:t>
      </w:r>
      <w:r>
        <w:t>h</w:t>
      </w:r>
      <w:r w:rsidRPr="00692B92">
        <w:t xml:space="preserve">ome </w:t>
      </w:r>
      <w:r>
        <w:t>e</w:t>
      </w:r>
      <w:r w:rsidRPr="00692B92">
        <w:t xml:space="preserve">nergy </w:t>
      </w:r>
      <w:r>
        <w:t>a</w:t>
      </w:r>
      <w:r w:rsidRPr="00692B92">
        <w:t xml:space="preserve">udit </w:t>
      </w:r>
      <w:r>
        <w:t>c</w:t>
      </w:r>
      <w:r w:rsidRPr="00692B92">
        <w:t xml:space="preserve">onservation </w:t>
      </w:r>
      <w:r>
        <w:t>k</w:t>
      </w:r>
      <w:r w:rsidRPr="00692B92">
        <w:t xml:space="preserve">its, </w:t>
      </w:r>
      <w:r>
        <w:t>n</w:t>
      </w:r>
      <w:r w:rsidRPr="00692B92">
        <w:t xml:space="preserve">ew </w:t>
      </w:r>
      <w:r>
        <w:t>h</w:t>
      </w:r>
      <w:r w:rsidRPr="00692B92">
        <w:t xml:space="preserve">omes, and HERs (the </w:t>
      </w:r>
      <w:r>
        <w:t>s</w:t>
      </w:r>
      <w:r w:rsidRPr="00692B92">
        <w:t xml:space="preserve">chool </w:t>
      </w:r>
      <w:r>
        <w:t>c</w:t>
      </w:r>
      <w:r w:rsidRPr="00692B92">
        <w:t xml:space="preserve">onservation kits component did not operate in PY7). The HERs accounted for a majority (66%) of the Home Performance Program savings in PY7. The SWE Team verified that the correct 2015 TRM savings were used for all measures in the </w:t>
      </w:r>
      <w:r>
        <w:t>h</w:t>
      </w:r>
      <w:r w:rsidRPr="00692B92">
        <w:t xml:space="preserve">ome </w:t>
      </w:r>
      <w:r>
        <w:t>e</w:t>
      </w:r>
      <w:r w:rsidRPr="00692B92">
        <w:t xml:space="preserve">nergy </w:t>
      </w:r>
      <w:r>
        <w:t>a</w:t>
      </w:r>
      <w:r w:rsidRPr="00692B92">
        <w:t xml:space="preserve">udit </w:t>
      </w:r>
      <w:r>
        <w:t>c</w:t>
      </w:r>
      <w:r w:rsidRPr="00692B92">
        <w:t xml:space="preserve">onservation </w:t>
      </w:r>
      <w:r>
        <w:t>k</w:t>
      </w:r>
      <w:r w:rsidRPr="00692B92">
        <w:t xml:space="preserve">its and that the FirstEnergy statewide receipt rate and ISRs were correctly applied to the items. </w:t>
      </w:r>
    </w:p>
    <w:p w:rsidR="00C77BCA" w:rsidRPr="00692B92" w:rsidRDefault="00C77BCA" w:rsidP="00C77BCA">
      <w:pPr>
        <w:spacing w:before="240"/>
      </w:pPr>
      <w:r w:rsidRPr="00692B92">
        <w:t xml:space="preserve">For the </w:t>
      </w:r>
      <w:r>
        <w:t>w</w:t>
      </w:r>
      <w:r w:rsidRPr="00692B92">
        <w:t xml:space="preserve">hole </w:t>
      </w:r>
      <w:r>
        <w:t>h</w:t>
      </w:r>
      <w:r w:rsidRPr="00692B92">
        <w:t xml:space="preserve">ouse </w:t>
      </w:r>
      <w:r>
        <w:t>d</w:t>
      </w:r>
      <w:r w:rsidRPr="00692B92">
        <w:t>irect</w:t>
      </w:r>
      <w:r w:rsidR="00AF2C58">
        <w:t>-</w:t>
      </w:r>
      <w:r>
        <w:t>i</w:t>
      </w:r>
      <w:r w:rsidRPr="00692B92">
        <w:t>nstall component, the SWE Team verified that the five highest contributing prescriptive measures and five randomly selected measures were calculated properly per the TRM protocols. The HER component received a full evaluation for the first time in Phase II in PY7. Due to the one-year measure life</w:t>
      </w:r>
      <w:r>
        <w:t>,</w:t>
      </w:r>
      <w:r w:rsidRPr="00692B92">
        <w:t xml:space="preserve"> it was unnecessary to evaluate </w:t>
      </w:r>
      <w:r>
        <w:t>this component</w:t>
      </w:r>
      <w:r w:rsidRPr="00692B92">
        <w:t xml:space="preserve"> in the other years. The SWE reviewed the independent analysis performed by the </w:t>
      </w:r>
      <w:r w:rsidRPr="00692B92">
        <w:rPr>
          <w:rFonts w:eastAsia="Calibri"/>
        </w:rPr>
        <w:t>evaluat</w:t>
      </w:r>
      <w:r>
        <w:rPr>
          <w:rFonts w:eastAsia="Calibri"/>
        </w:rPr>
        <w:t>ion contractor</w:t>
      </w:r>
      <w:r w:rsidRPr="00692B92">
        <w:rPr>
          <w:rFonts w:eastAsia="Calibri"/>
        </w:rPr>
        <w:t xml:space="preserve"> </w:t>
      </w:r>
      <w:r w:rsidRPr="00692B92">
        <w:t xml:space="preserve">and verified that it was done correctly. There was good consistency between the results of the </w:t>
      </w:r>
      <w:r>
        <w:t>three</w:t>
      </w:r>
      <w:r w:rsidRPr="00692B92">
        <w:t xml:space="preserve"> analyses performed (</w:t>
      </w:r>
      <w:r w:rsidR="00A92A46">
        <w:t>OPower</w:t>
      </w:r>
      <w:r w:rsidRPr="00692B92">
        <w:t xml:space="preserve">’s, ADM’s replication of </w:t>
      </w:r>
      <w:r w:rsidR="00A92A46">
        <w:t>OPower</w:t>
      </w:r>
      <w:r w:rsidRPr="00692B92">
        <w:t>, and ADM’s), and the overall realization rate was 90%.</w:t>
      </w:r>
    </w:p>
    <w:p w:rsidR="00C77BCA" w:rsidRPr="00391C49" w:rsidRDefault="00C77BCA" w:rsidP="00391C49"/>
    <w:p w:rsidR="00950837" w:rsidRDefault="00950837" w:rsidP="009C0DF1">
      <w:pPr>
        <w:pStyle w:val="AppendixAHeading3"/>
      </w:pPr>
      <w:r>
        <w:t>Low-Income Program and Audit Summary</w:t>
      </w:r>
    </w:p>
    <w:p w:rsidR="00AC55E9" w:rsidRPr="00692B92" w:rsidRDefault="00AC55E9" w:rsidP="00AC55E9">
      <w:pPr>
        <w:spacing w:after="240"/>
      </w:pPr>
      <w:r w:rsidRPr="00692B92">
        <w:t xml:space="preserve">The SWE Team reviewed the two distribution branches of the Low-Income Program operational in PY7 (direct install and giveaway) to ensure that the savings were correctly calculated using the 2015 TRM and that the realization rates were correctly determined and applied appropriately. Met-Ed’s </w:t>
      </w:r>
      <w:r w:rsidRPr="00692B92">
        <w:rPr>
          <w:rFonts w:eastAsia="Calibri"/>
        </w:rPr>
        <w:t>evaluat</w:t>
      </w:r>
      <w:r>
        <w:rPr>
          <w:rFonts w:eastAsia="Calibri"/>
        </w:rPr>
        <w:t>ion contractor</w:t>
      </w:r>
      <w:r w:rsidRPr="00692B92">
        <w:rPr>
          <w:rFonts w:eastAsia="Calibri"/>
        </w:rPr>
        <w:t xml:space="preserve"> </w:t>
      </w:r>
      <w:r w:rsidRPr="00692B92">
        <w:t xml:space="preserve">provided a complete database of direct-install measures, which included a pivot table that ranked measures by individual measure contribution to total program kWh savings. Using this, the SWE Team verified the calculations for five measures with the greatest overall impact and verified five randomly selected measures. The SWE Team also confirmed that kWh and kW calculations for the estimations of savings for the </w:t>
      </w:r>
      <w:r>
        <w:t>g</w:t>
      </w:r>
      <w:r w:rsidRPr="00692B92">
        <w:t xml:space="preserve">iveaway </w:t>
      </w:r>
      <w:r>
        <w:t>p</w:t>
      </w:r>
      <w:r w:rsidRPr="00692B92">
        <w:t>rogram were implemented per the 2015 TRM.</w:t>
      </w:r>
    </w:p>
    <w:p w:rsidR="00AC55E9" w:rsidRPr="00692B92" w:rsidRDefault="00AC55E9" w:rsidP="00AC55E9">
      <w:r w:rsidRPr="00692B92">
        <w:t>Finally, the SWE Team verified that Met‐Ed was in compliance with the requirement that the number of energy conservation measures offered to low‐income households be proportionate to those households’ share of the total energy usage in Met‐Ed’s service territory. Met‐Ed offered six types of measures to the low‐income sector in PY7, which is 15% of the total number of measures offered across all sectors. This exceeded its goal of 8.8%.</w:t>
      </w:r>
    </w:p>
    <w:p w:rsidR="0016159A" w:rsidRPr="00692B92" w:rsidRDefault="0016159A" w:rsidP="00AC55E9"/>
    <w:p w:rsidR="00950837" w:rsidRDefault="00950837" w:rsidP="009C0DF1">
      <w:pPr>
        <w:pStyle w:val="AppendixAHeading3"/>
      </w:pPr>
      <w:r>
        <w:t>Non-Residential Program Audit Summary</w:t>
      </w:r>
    </w:p>
    <w:p w:rsidR="00B9141F" w:rsidRPr="00D85274" w:rsidRDefault="00B9141F" w:rsidP="00B9141F">
      <w:r w:rsidRPr="00D85274">
        <w:t>The SWE Team reviewed project files to audit the accuracy of the savings values stored in the program</w:t>
      </w:r>
      <w:r>
        <w:t>-</w:t>
      </w:r>
      <w:r w:rsidRPr="00D85274">
        <w:t xml:space="preserve">tracking database and to confirm that calculations were performed in accordance with the applicable TRM, or by some other reasonable methodology. The SWE Team reviewed </w:t>
      </w:r>
      <w:r>
        <w:t>nine</w:t>
      </w:r>
      <w:r w:rsidRPr="00D85274">
        <w:t xml:space="preserve"> projects in Met-Ed’s PY7 non-residential programs across various measures, including lighting, compressed air, VFDs, refrigeration, pumps, and motors. Project documentation was complete and thorough, with ample notes and explanation where necessary. One major addition in PY7 was a consistent site-specific cover page included in each project, where previously there may not have been. This was very helpful to the SWE. At this time, the SWE Team only recommends that in the interest of transparency, only the SWE-supplied Appendix C calculator be used for lighting projects moving forward.</w:t>
      </w:r>
    </w:p>
    <w:p w:rsidR="00B9141F" w:rsidRPr="00D85274" w:rsidRDefault="00B9141F" w:rsidP="00B9141F"/>
    <w:p w:rsidR="00B9141F" w:rsidRPr="00D85274" w:rsidRDefault="00B9141F" w:rsidP="00B9141F">
      <w:r w:rsidRPr="00D85274">
        <w:t xml:space="preserve">The SWE Team reviewed Met-Ed’s PY7 sample design to ensure its compliance with the Evaluation Framework. The results are displayed in </w:t>
      </w:r>
      <w:r>
        <w:fldChar w:fldCharType="begin"/>
      </w:r>
      <w:r>
        <w:instrText xml:space="preserve"> REF _Ref472392885 \h </w:instrText>
      </w:r>
      <w:r>
        <w:fldChar w:fldCharType="separate"/>
      </w:r>
      <w:r w:rsidR="00037CB4">
        <w:t>Table A-</w:t>
      </w:r>
      <w:r w:rsidR="00037CB4">
        <w:rPr>
          <w:noProof/>
        </w:rPr>
        <w:t>35</w:t>
      </w:r>
      <w:r>
        <w:fldChar w:fldCharType="end"/>
      </w:r>
      <w:r w:rsidRPr="00D85274">
        <w:t xml:space="preserve">, showing relative precision at the 85% confidence level. </w:t>
      </w:r>
    </w:p>
    <w:p w:rsidR="00B9141F" w:rsidRPr="00D85274" w:rsidRDefault="00B9141F" w:rsidP="00B9141F"/>
    <w:p w:rsidR="00B9141F" w:rsidRPr="00D85274" w:rsidRDefault="00B9141F" w:rsidP="004837FA">
      <w:pPr>
        <w:pStyle w:val="Caption"/>
      </w:pPr>
      <w:bookmarkStart w:id="712" w:name="_Ref472392885"/>
      <w:bookmarkStart w:id="713" w:name="_Toc409225045"/>
      <w:bookmarkStart w:id="714" w:name="_Toc409443597"/>
      <w:bookmarkStart w:id="715" w:name="_Toc445206206"/>
      <w:bookmarkStart w:id="716" w:name="_Toc472472444"/>
      <w:bookmarkStart w:id="717" w:name="_Toc488741863"/>
      <w:r>
        <w:t>Table A-</w:t>
      </w:r>
      <w:r w:rsidR="007973A4">
        <w:fldChar w:fldCharType="begin"/>
      </w:r>
      <w:r w:rsidR="007973A4">
        <w:instrText xml:space="preserve"> SEQ Table_A- \* ARABIC </w:instrText>
      </w:r>
      <w:r w:rsidR="007973A4">
        <w:fldChar w:fldCharType="separate"/>
      </w:r>
      <w:r w:rsidR="00037CB4">
        <w:rPr>
          <w:noProof/>
        </w:rPr>
        <w:t>35</w:t>
      </w:r>
      <w:r w:rsidR="007973A4">
        <w:rPr>
          <w:noProof/>
        </w:rPr>
        <w:fldChar w:fldCharType="end"/>
      </w:r>
      <w:bookmarkEnd w:id="712"/>
      <w:r>
        <w:t>:</w:t>
      </w:r>
      <w:r w:rsidRPr="00D85274">
        <w:t xml:space="preserve"> Compliance across Sample Designs for Met-Ed’s PY7 Non-Residential Program Groups</w:t>
      </w:r>
      <w:bookmarkEnd w:id="713"/>
      <w:bookmarkEnd w:id="714"/>
      <w:bookmarkEnd w:id="715"/>
      <w:bookmarkEnd w:id="716"/>
      <w:bookmarkEnd w:id="717"/>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78"/>
        <w:gridCol w:w="2060"/>
        <w:gridCol w:w="2061"/>
        <w:gridCol w:w="2061"/>
      </w:tblGrid>
      <w:tr w:rsidR="00A874AC" w:rsidRPr="00DF3F90" w:rsidTr="00391C49">
        <w:trPr>
          <w:trHeight w:val="592"/>
        </w:trPr>
        <w:tc>
          <w:tcPr>
            <w:tcW w:w="3178" w:type="dxa"/>
            <w:shd w:val="clear" w:color="000000" w:fill="448A99"/>
            <w:vAlign w:val="bottom"/>
            <w:hideMark/>
          </w:tcPr>
          <w:p w:rsidR="00B9141F" w:rsidRPr="00DF3F90" w:rsidRDefault="00B9141F" w:rsidP="00AC55E9">
            <w:pPr>
              <w:rPr>
                <w:b/>
                <w:bCs/>
                <w:color w:val="FFFFFF"/>
                <w:sz w:val="19"/>
                <w:szCs w:val="19"/>
              </w:rPr>
            </w:pPr>
            <w:r w:rsidRPr="00DF3F90">
              <w:rPr>
                <w:b/>
                <w:bCs/>
                <w:color w:val="FFFFFF"/>
                <w:sz w:val="19"/>
                <w:szCs w:val="19"/>
              </w:rPr>
              <w:t>Program</w:t>
            </w:r>
          </w:p>
        </w:tc>
        <w:tc>
          <w:tcPr>
            <w:tcW w:w="2060" w:type="dxa"/>
            <w:shd w:val="clear" w:color="000000" w:fill="448A99"/>
            <w:vAlign w:val="bottom"/>
            <w:hideMark/>
          </w:tcPr>
          <w:p w:rsidR="00B9141F" w:rsidRPr="00DF3F90" w:rsidRDefault="00B9141F" w:rsidP="00AC55E9">
            <w:pPr>
              <w:jc w:val="center"/>
              <w:rPr>
                <w:b/>
                <w:bCs/>
                <w:color w:val="FFFFFF"/>
                <w:sz w:val="19"/>
                <w:szCs w:val="19"/>
              </w:rPr>
            </w:pPr>
            <w:r w:rsidRPr="00DF3F90">
              <w:rPr>
                <w:b/>
                <w:bCs/>
                <w:color w:val="FFFFFF"/>
                <w:sz w:val="19"/>
                <w:szCs w:val="19"/>
              </w:rPr>
              <w:t>Relative Precision at 85% CL for Energy</w:t>
            </w:r>
          </w:p>
        </w:tc>
        <w:tc>
          <w:tcPr>
            <w:tcW w:w="2061" w:type="dxa"/>
            <w:shd w:val="clear" w:color="000000" w:fill="448A99"/>
            <w:vAlign w:val="bottom"/>
            <w:hideMark/>
          </w:tcPr>
          <w:p w:rsidR="00B9141F" w:rsidRPr="00DF3F90" w:rsidRDefault="00B9141F" w:rsidP="00AC55E9">
            <w:pPr>
              <w:jc w:val="center"/>
              <w:rPr>
                <w:b/>
                <w:bCs/>
                <w:color w:val="FFFFFF"/>
                <w:sz w:val="19"/>
                <w:szCs w:val="19"/>
              </w:rPr>
            </w:pPr>
            <w:r w:rsidRPr="00DF3F90">
              <w:rPr>
                <w:b/>
                <w:bCs/>
                <w:color w:val="FFFFFF"/>
                <w:sz w:val="19"/>
                <w:szCs w:val="19"/>
              </w:rPr>
              <w:t>Relative Precision at 85% CL for Demand</w:t>
            </w:r>
          </w:p>
        </w:tc>
        <w:tc>
          <w:tcPr>
            <w:tcW w:w="2061" w:type="dxa"/>
            <w:shd w:val="clear" w:color="000000" w:fill="448A99"/>
            <w:vAlign w:val="bottom"/>
            <w:hideMark/>
          </w:tcPr>
          <w:p w:rsidR="00B9141F" w:rsidRPr="00DF3F90" w:rsidRDefault="00B9141F" w:rsidP="00AC55E9">
            <w:pPr>
              <w:jc w:val="center"/>
              <w:rPr>
                <w:b/>
                <w:bCs/>
                <w:color w:val="FFFFFF"/>
                <w:sz w:val="19"/>
                <w:szCs w:val="19"/>
              </w:rPr>
            </w:pPr>
            <w:r w:rsidRPr="00DF3F90">
              <w:rPr>
                <w:b/>
                <w:bCs/>
                <w:color w:val="FFFFFF"/>
                <w:sz w:val="19"/>
                <w:szCs w:val="19"/>
              </w:rPr>
              <w:t>Compliance with Evaluation Framework</w:t>
            </w:r>
          </w:p>
        </w:tc>
      </w:tr>
      <w:tr w:rsidR="00A874AC" w:rsidRPr="00DF3F90" w:rsidTr="00391C49">
        <w:trPr>
          <w:trHeight w:val="346"/>
        </w:trPr>
        <w:tc>
          <w:tcPr>
            <w:tcW w:w="3178" w:type="dxa"/>
            <w:shd w:val="clear" w:color="000000" w:fill="D2EAF1"/>
            <w:noWrap/>
            <w:vAlign w:val="center"/>
          </w:tcPr>
          <w:p w:rsidR="00B9141F" w:rsidRPr="00DF3F90" w:rsidRDefault="00B9141F" w:rsidP="00AC55E9">
            <w:pPr>
              <w:jc w:val="left"/>
              <w:rPr>
                <w:bCs/>
                <w:color w:val="000000"/>
                <w:sz w:val="19"/>
                <w:szCs w:val="19"/>
              </w:rPr>
            </w:pPr>
            <w:r w:rsidRPr="00DF3F90">
              <w:rPr>
                <w:sz w:val="19"/>
                <w:szCs w:val="19"/>
              </w:rPr>
              <w:t>Small C/I Equipment</w:t>
            </w:r>
          </w:p>
        </w:tc>
        <w:tc>
          <w:tcPr>
            <w:tcW w:w="2060" w:type="dxa"/>
            <w:shd w:val="clear" w:color="000000" w:fill="D2EAF1"/>
            <w:noWrap/>
            <w:vAlign w:val="center"/>
          </w:tcPr>
          <w:p w:rsidR="00B9141F" w:rsidRPr="00DF3F90" w:rsidRDefault="00B9141F" w:rsidP="00AC55E9">
            <w:pPr>
              <w:jc w:val="center"/>
              <w:rPr>
                <w:color w:val="000000"/>
                <w:sz w:val="19"/>
                <w:szCs w:val="19"/>
              </w:rPr>
            </w:pPr>
            <w:r w:rsidRPr="00DF3F90">
              <w:rPr>
                <w:color w:val="000000"/>
                <w:sz w:val="19"/>
                <w:szCs w:val="19"/>
              </w:rPr>
              <w:t>12.3%</w:t>
            </w:r>
          </w:p>
        </w:tc>
        <w:tc>
          <w:tcPr>
            <w:tcW w:w="2061" w:type="dxa"/>
            <w:shd w:val="clear" w:color="000000" w:fill="D2EAF1"/>
            <w:noWrap/>
            <w:vAlign w:val="center"/>
          </w:tcPr>
          <w:p w:rsidR="00B9141F" w:rsidRPr="00DF3F90" w:rsidRDefault="00B9141F" w:rsidP="00AC55E9">
            <w:pPr>
              <w:jc w:val="center"/>
              <w:rPr>
                <w:color w:val="000000"/>
                <w:sz w:val="19"/>
                <w:szCs w:val="19"/>
              </w:rPr>
            </w:pPr>
            <w:r w:rsidRPr="00DF3F90">
              <w:rPr>
                <w:color w:val="000000"/>
                <w:sz w:val="19"/>
                <w:szCs w:val="19"/>
              </w:rPr>
              <w:t>12.6%</w:t>
            </w:r>
          </w:p>
        </w:tc>
        <w:tc>
          <w:tcPr>
            <w:tcW w:w="2061" w:type="dxa"/>
            <w:shd w:val="clear" w:color="000000" w:fill="D2EAF1"/>
            <w:noWrap/>
            <w:vAlign w:val="center"/>
          </w:tcPr>
          <w:p w:rsidR="00B9141F" w:rsidRPr="00DF3F90" w:rsidRDefault="00B9141F" w:rsidP="00AC55E9">
            <w:pPr>
              <w:jc w:val="center"/>
              <w:rPr>
                <w:color w:val="000000"/>
                <w:sz w:val="19"/>
                <w:szCs w:val="19"/>
              </w:rPr>
            </w:pPr>
            <w:r w:rsidRPr="00DF3F90">
              <w:rPr>
                <w:color w:val="00B050"/>
                <w:sz w:val="19"/>
                <w:szCs w:val="19"/>
              </w:rPr>
              <w:sym w:font="Wingdings" w:char="F0FC"/>
            </w:r>
          </w:p>
        </w:tc>
      </w:tr>
      <w:tr w:rsidR="00E7173E" w:rsidRPr="00DF3F90" w:rsidTr="00591467">
        <w:trPr>
          <w:trHeight w:val="346"/>
        </w:trPr>
        <w:tc>
          <w:tcPr>
            <w:tcW w:w="3178" w:type="dxa"/>
            <w:shd w:val="clear" w:color="auto" w:fill="auto"/>
            <w:noWrap/>
            <w:vAlign w:val="center"/>
          </w:tcPr>
          <w:p w:rsidR="00B9141F" w:rsidRPr="00DF3F90" w:rsidRDefault="00B9141F" w:rsidP="00AC55E9">
            <w:pPr>
              <w:jc w:val="left"/>
              <w:rPr>
                <w:bCs/>
                <w:color w:val="000000"/>
                <w:sz w:val="19"/>
                <w:szCs w:val="19"/>
              </w:rPr>
            </w:pPr>
            <w:r w:rsidRPr="00DF3F90">
              <w:rPr>
                <w:sz w:val="19"/>
                <w:szCs w:val="19"/>
              </w:rPr>
              <w:t>Small C/I Buildings</w:t>
            </w:r>
          </w:p>
        </w:tc>
        <w:tc>
          <w:tcPr>
            <w:tcW w:w="2060" w:type="dxa"/>
            <w:shd w:val="clear" w:color="auto" w:fill="auto"/>
            <w:noWrap/>
            <w:vAlign w:val="center"/>
          </w:tcPr>
          <w:p w:rsidR="00B9141F" w:rsidRPr="00DF3F90" w:rsidRDefault="00B9141F" w:rsidP="00AC55E9">
            <w:pPr>
              <w:jc w:val="center"/>
              <w:rPr>
                <w:color w:val="000000"/>
                <w:sz w:val="19"/>
                <w:szCs w:val="19"/>
              </w:rPr>
            </w:pPr>
            <w:r w:rsidRPr="00DF3F90">
              <w:rPr>
                <w:color w:val="000000"/>
                <w:sz w:val="19"/>
                <w:szCs w:val="19"/>
              </w:rPr>
              <w:t>13.7%</w:t>
            </w:r>
          </w:p>
        </w:tc>
        <w:tc>
          <w:tcPr>
            <w:tcW w:w="2061" w:type="dxa"/>
            <w:shd w:val="clear" w:color="auto" w:fill="auto"/>
            <w:noWrap/>
            <w:vAlign w:val="center"/>
          </w:tcPr>
          <w:p w:rsidR="00B9141F" w:rsidRPr="00DF3F90" w:rsidRDefault="00B9141F" w:rsidP="00AC55E9">
            <w:pPr>
              <w:jc w:val="center"/>
              <w:rPr>
                <w:color w:val="000000"/>
                <w:sz w:val="19"/>
                <w:szCs w:val="19"/>
              </w:rPr>
            </w:pPr>
            <w:r w:rsidRPr="00DF3F90">
              <w:rPr>
                <w:color w:val="000000"/>
                <w:sz w:val="19"/>
                <w:szCs w:val="19"/>
              </w:rPr>
              <w:t>13.2%</w:t>
            </w:r>
          </w:p>
        </w:tc>
        <w:tc>
          <w:tcPr>
            <w:tcW w:w="2061" w:type="dxa"/>
            <w:shd w:val="clear" w:color="auto" w:fill="auto"/>
            <w:noWrap/>
            <w:vAlign w:val="center"/>
          </w:tcPr>
          <w:p w:rsidR="00B9141F" w:rsidRPr="00DF3F90" w:rsidRDefault="00B9141F" w:rsidP="00AC55E9">
            <w:pPr>
              <w:jc w:val="center"/>
              <w:rPr>
                <w:color w:val="FF0000"/>
                <w:sz w:val="19"/>
                <w:szCs w:val="19"/>
              </w:rPr>
            </w:pPr>
            <w:r w:rsidRPr="00DF3F90">
              <w:rPr>
                <w:color w:val="00B050"/>
                <w:sz w:val="19"/>
                <w:szCs w:val="19"/>
              </w:rPr>
              <w:sym w:font="Wingdings" w:char="F0FC"/>
            </w:r>
          </w:p>
        </w:tc>
      </w:tr>
      <w:tr w:rsidR="00A874AC" w:rsidRPr="00DF3F90" w:rsidTr="00391C49">
        <w:trPr>
          <w:trHeight w:val="346"/>
        </w:trPr>
        <w:tc>
          <w:tcPr>
            <w:tcW w:w="3178" w:type="dxa"/>
            <w:shd w:val="clear" w:color="000000" w:fill="D2EAF1"/>
            <w:noWrap/>
            <w:vAlign w:val="center"/>
          </w:tcPr>
          <w:p w:rsidR="00B9141F" w:rsidRPr="00DF3F90" w:rsidRDefault="00B9141F" w:rsidP="00AC55E9">
            <w:pPr>
              <w:jc w:val="left"/>
              <w:rPr>
                <w:bCs/>
                <w:color w:val="000000"/>
                <w:sz w:val="19"/>
                <w:szCs w:val="19"/>
              </w:rPr>
            </w:pPr>
            <w:r w:rsidRPr="00DF3F90">
              <w:rPr>
                <w:sz w:val="19"/>
                <w:szCs w:val="19"/>
              </w:rPr>
              <w:t>Large C/I Equipment</w:t>
            </w:r>
          </w:p>
        </w:tc>
        <w:tc>
          <w:tcPr>
            <w:tcW w:w="2060" w:type="dxa"/>
            <w:shd w:val="clear" w:color="000000" w:fill="D2EAF1"/>
            <w:noWrap/>
            <w:vAlign w:val="center"/>
          </w:tcPr>
          <w:p w:rsidR="00B9141F" w:rsidRPr="00DF3F90" w:rsidRDefault="00B9141F" w:rsidP="00AC55E9">
            <w:pPr>
              <w:jc w:val="center"/>
              <w:rPr>
                <w:bCs/>
                <w:color w:val="000000"/>
                <w:sz w:val="19"/>
                <w:szCs w:val="19"/>
              </w:rPr>
            </w:pPr>
            <w:r w:rsidRPr="00DF3F90">
              <w:rPr>
                <w:bCs/>
                <w:color w:val="000000"/>
                <w:sz w:val="19"/>
                <w:szCs w:val="19"/>
              </w:rPr>
              <w:t>11.4%</w:t>
            </w:r>
          </w:p>
        </w:tc>
        <w:tc>
          <w:tcPr>
            <w:tcW w:w="2061" w:type="dxa"/>
            <w:shd w:val="clear" w:color="000000" w:fill="D2EAF1"/>
            <w:noWrap/>
            <w:vAlign w:val="center"/>
          </w:tcPr>
          <w:p w:rsidR="00B9141F" w:rsidRPr="00DF3F90" w:rsidRDefault="00B9141F" w:rsidP="00AC55E9">
            <w:pPr>
              <w:jc w:val="center"/>
              <w:rPr>
                <w:bCs/>
                <w:color w:val="000000"/>
                <w:sz w:val="19"/>
                <w:szCs w:val="19"/>
              </w:rPr>
            </w:pPr>
            <w:r w:rsidRPr="00DF3F90">
              <w:rPr>
                <w:bCs/>
                <w:color w:val="000000"/>
                <w:sz w:val="19"/>
                <w:szCs w:val="19"/>
              </w:rPr>
              <w:t>12.0%</w:t>
            </w:r>
          </w:p>
        </w:tc>
        <w:tc>
          <w:tcPr>
            <w:tcW w:w="2061" w:type="dxa"/>
            <w:shd w:val="clear" w:color="000000" w:fill="D2EAF1"/>
            <w:noWrap/>
            <w:vAlign w:val="center"/>
          </w:tcPr>
          <w:p w:rsidR="00B9141F" w:rsidRPr="00DF3F90" w:rsidRDefault="00B9141F" w:rsidP="00AC55E9">
            <w:pPr>
              <w:jc w:val="center"/>
              <w:rPr>
                <w:bCs/>
                <w:color w:val="FF0000"/>
                <w:sz w:val="19"/>
                <w:szCs w:val="19"/>
              </w:rPr>
            </w:pPr>
            <w:r w:rsidRPr="00DF3F90">
              <w:rPr>
                <w:color w:val="00B050"/>
                <w:sz w:val="19"/>
                <w:szCs w:val="19"/>
              </w:rPr>
              <w:sym w:font="Wingdings" w:char="F0FC"/>
            </w:r>
          </w:p>
        </w:tc>
      </w:tr>
      <w:tr w:rsidR="00E7173E" w:rsidRPr="00DF3F90" w:rsidTr="00591467">
        <w:trPr>
          <w:trHeight w:val="346"/>
        </w:trPr>
        <w:tc>
          <w:tcPr>
            <w:tcW w:w="3178" w:type="dxa"/>
            <w:shd w:val="clear" w:color="auto" w:fill="auto"/>
            <w:noWrap/>
            <w:vAlign w:val="center"/>
          </w:tcPr>
          <w:p w:rsidR="00B9141F" w:rsidRPr="00DF3F90" w:rsidRDefault="00B9141F" w:rsidP="00AC55E9">
            <w:pPr>
              <w:jc w:val="left"/>
              <w:rPr>
                <w:bCs/>
                <w:color w:val="000000"/>
                <w:sz w:val="19"/>
                <w:szCs w:val="19"/>
              </w:rPr>
            </w:pPr>
            <w:r w:rsidRPr="00DF3F90">
              <w:rPr>
                <w:sz w:val="19"/>
                <w:szCs w:val="19"/>
              </w:rPr>
              <w:t>Large C/I Buildings</w:t>
            </w:r>
          </w:p>
        </w:tc>
        <w:tc>
          <w:tcPr>
            <w:tcW w:w="2060" w:type="dxa"/>
            <w:shd w:val="clear" w:color="auto" w:fill="auto"/>
            <w:noWrap/>
            <w:vAlign w:val="center"/>
          </w:tcPr>
          <w:p w:rsidR="00B9141F" w:rsidRPr="00DF3F90" w:rsidRDefault="00B9141F" w:rsidP="00AC55E9">
            <w:pPr>
              <w:jc w:val="center"/>
              <w:rPr>
                <w:bCs/>
                <w:color w:val="000000"/>
                <w:sz w:val="19"/>
                <w:szCs w:val="19"/>
              </w:rPr>
            </w:pPr>
            <w:r w:rsidRPr="00DF3F90">
              <w:rPr>
                <w:bCs/>
                <w:color w:val="000000"/>
                <w:sz w:val="19"/>
                <w:szCs w:val="19"/>
              </w:rPr>
              <w:t>10.5%</w:t>
            </w:r>
          </w:p>
        </w:tc>
        <w:tc>
          <w:tcPr>
            <w:tcW w:w="2061" w:type="dxa"/>
            <w:shd w:val="clear" w:color="auto" w:fill="auto"/>
            <w:noWrap/>
            <w:vAlign w:val="center"/>
          </w:tcPr>
          <w:p w:rsidR="00B9141F" w:rsidRPr="00DF3F90" w:rsidRDefault="00B9141F" w:rsidP="00AC55E9">
            <w:pPr>
              <w:jc w:val="center"/>
              <w:rPr>
                <w:bCs/>
                <w:color w:val="000000"/>
                <w:sz w:val="19"/>
                <w:szCs w:val="19"/>
              </w:rPr>
            </w:pPr>
            <w:r w:rsidRPr="00DF3F90">
              <w:rPr>
                <w:bCs/>
                <w:color w:val="000000"/>
                <w:sz w:val="19"/>
                <w:szCs w:val="19"/>
              </w:rPr>
              <w:t>13.4%</w:t>
            </w:r>
          </w:p>
        </w:tc>
        <w:tc>
          <w:tcPr>
            <w:tcW w:w="2061" w:type="dxa"/>
            <w:shd w:val="clear" w:color="auto" w:fill="auto"/>
            <w:noWrap/>
            <w:vAlign w:val="center"/>
          </w:tcPr>
          <w:p w:rsidR="00B9141F" w:rsidRPr="00DF3F90" w:rsidRDefault="00B9141F" w:rsidP="00AC55E9">
            <w:pPr>
              <w:jc w:val="center"/>
              <w:rPr>
                <w:color w:val="00B050"/>
                <w:sz w:val="19"/>
                <w:szCs w:val="19"/>
              </w:rPr>
            </w:pPr>
            <w:r w:rsidRPr="00DF3F90">
              <w:rPr>
                <w:color w:val="00B050"/>
                <w:sz w:val="19"/>
                <w:szCs w:val="19"/>
              </w:rPr>
              <w:sym w:font="Wingdings" w:char="F0FC"/>
            </w:r>
          </w:p>
        </w:tc>
      </w:tr>
      <w:tr w:rsidR="00A874AC" w:rsidRPr="00DF3F90" w:rsidTr="00391C49">
        <w:trPr>
          <w:trHeight w:val="346"/>
        </w:trPr>
        <w:tc>
          <w:tcPr>
            <w:tcW w:w="3178" w:type="dxa"/>
            <w:shd w:val="clear" w:color="auto" w:fill="D2EAF1"/>
            <w:noWrap/>
            <w:vAlign w:val="center"/>
          </w:tcPr>
          <w:p w:rsidR="00B9141F" w:rsidRPr="00DF3F90" w:rsidRDefault="00B9141F" w:rsidP="00AC55E9">
            <w:pPr>
              <w:jc w:val="left"/>
              <w:rPr>
                <w:bCs/>
                <w:color w:val="000000"/>
                <w:sz w:val="19"/>
                <w:szCs w:val="19"/>
              </w:rPr>
            </w:pPr>
            <w:r w:rsidRPr="00DF3F90">
              <w:rPr>
                <w:sz w:val="19"/>
                <w:szCs w:val="19"/>
              </w:rPr>
              <w:t>Government/Institutional</w:t>
            </w:r>
          </w:p>
        </w:tc>
        <w:tc>
          <w:tcPr>
            <w:tcW w:w="2060" w:type="dxa"/>
            <w:shd w:val="clear" w:color="auto" w:fill="D2EAF1"/>
            <w:noWrap/>
            <w:vAlign w:val="center"/>
          </w:tcPr>
          <w:p w:rsidR="00B9141F" w:rsidRPr="00DF3F90" w:rsidRDefault="00B9141F" w:rsidP="00AC55E9">
            <w:pPr>
              <w:jc w:val="center"/>
              <w:rPr>
                <w:bCs/>
                <w:color w:val="000000"/>
                <w:sz w:val="19"/>
                <w:szCs w:val="19"/>
              </w:rPr>
            </w:pPr>
            <w:r w:rsidRPr="00DF3F90">
              <w:rPr>
                <w:bCs/>
                <w:color w:val="000000"/>
                <w:sz w:val="19"/>
                <w:szCs w:val="19"/>
              </w:rPr>
              <w:t>11.1%</w:t>
            </w:r>
          </w:p>
        </w:tc>
        <w:tc>
          <w:tcPr>
            <w:tcW w:w="2061" w:type="dxa"/>
            <w:shd w:val="clear" w:color="auto" w:fill="D2EAF1"/>
            <w:noWrap/>
            <w:vAlign w:val="center"/>
          </w:tcPr>
          <w:p w:rsidR="00B9141F" w:rsidRPr="00DF3F90" w:rsidRDefault="00B9141F" w:rsidP="00AC55E9">
            <w:pPr>
              <w:jc w:val="center"/>
              <w:rPr>
                <w:bCs/>
                <w:color w:val="000000"/>
                <w:sz w:val="19"/>
                <w:szCs w:val="19"/>
              </w:rPr>
            </w:pPr>
            <w:r w:rsidRPr="00DF3F90">
              <w:rPr>
                <w:bCs/>
                <w:color w:val="000000"/>
                <w:sz w:val="19"/>
                <w:szCs w:val="19"/>
              </w:rPr>
              <w:t>13.3%</w:t>
            </w:r>
          </w:p>
        </w:tc>
        <w:tc>
          <w:tcPr>
            <w:tcW w:w="2061" w:type="dxa"/>
            <w:shd w:val="clear" w:color="auto" w:fill="D2EAF1"/>
            <w:noWrap/>
            <w:vAlign w:val="center"/>
          </w:tcPr>
          <w:p w:rsidR="00B9141F" w:rsidRPr="00DF3F90" w:rsidRDefault="00B9141F" w:rsidP="00AC55E9">
            <w:pPr>
              <w:jc w:val="center"/>
              <w:rPr>
                <w:color w:val="00B050"/>
                <w:sz w:val="19"/>
                <w:szCs w:val="19"/>
              </w:rPr>
            </w:pPr>
            <w:r w:rsidRPr="00DF3F90">
              <w:rPr>
                <w:color w:val="00B050"/>
                <w:sz w:val="19"/>
                <w:szCs w:val="19"/>
              </w:rPr>
              <w:sym w:font="Wingdings" w:char="F0FC"/>
            </w:r>
          </w:p>
        </w:tc>
      </w:tr>
    </w:tbl>
    <w:p w:rsidR="00B9141F" w:rsidRPr="00D85274" w:rsidRDefault="00B9141F" w:rsidP="00B9141F"/>
    <w:p w:rsidR="00B9141F" w:rsidRPr="00D85274" w:rsidRDefault="00B9141F" w:rsidP="00B9141F">
      <w:r w:rsidRPr="00D85274">
        <w:t xml:space="preserve">Met-Ed met the goal of 15% precision at the 85% confidence level for energy for all non-residential program groups. Details concerning each program evaluation sample can be found </w:t>
      </w:r>
      <w:r w:rsidR="00423027">
        <w:t>below</w:t>
      </w:r>
      <w:r w:rsidRPr="00D85274">
        <w:t>.</w:t>
      </w:r>
    </w:p>
    <w:p w:rsidR="00B9141F" w:rsidRPr="00D85274" w:rsidRDefault="00B9141F" w:rsidP="00B9141F"/>
    <w:p w:rsidR="00B9141F" w:rsidRPr="00D85274" w:rsidRDefault="00B9141F" w:rsidP="00B9141F">
      <w:pPr>
        <w:rPr>
          <w:color w:val="000000"/>
        </w:rPr>
      </w:pPr>
      <w:r w:rsidRPr="00D85274">
        <w:rPr>
          <w:color w:val="000000"/>
        </w:rPr>
        <w:t>As part of the audit process, the SWE Team performed 17 ride-along site inspections of non-residential projects to oversee Met-Ed’s on-site evaluation practices. The projects included lighting, HVAC, and transformer upgrades. The SWE Team approved all of the sampled project inspections</w:t>
      </w:r>
      <w:r w:rsidR="004B7CE3">
        <w:rPr>
          <w:color w:val="000000"/>
        </w:rPr>
        <w:t xml:space="preserve"> and ex post calculations</w:t>
      </w:r>
      <w:r>
        <w:rPr>
          <w:color w:val="000000"/>
        </w:rPr>
        <w:t>. H</w:t>
      </w:r>
      <w:r w:rsidRPr="00D85274">
        <w:rPr>
          <w:color w:val="000000"/>
        </w:rPr>
        <w:t>owever</w:t>
      </w:r>
      <w:r>
        <w:rPr>
          <w:color w:val="000000"/>
        </w:rPr>
        <w:t>,</w:t>
      </w:r>
      <w:r w:rsidRPr="00D85274">
        <w:rPr>
          <w:color w:val="000000"/>
        </w:rPr>
        <w:t xml:space="preserve"> the SWE </w:t>
      </w:r>
      <w:r>
        <w:rPr>
          <w:color w:val="000000"/>
        </w:rPr>
        <w:t>T</w:t>
      </w:r>
      <w:r w:rsidRPr="00D85274">
        <w:rPr>
          <w:color w:val="000000"/>
        </w:rPr>
        <w:t xml:space="preserve">eam recommends that </w:t>
      </w:r>
      <w:r>
        <w:rPr>
          <w:color w:val="000000"/>
        </w:rPr>
        <w:t>Met-Ed</w:t>
      </w:r>
      <w:r w:rsidRPr="00D85274">
        <w:rPr>
          <w:color w:val="000000"/>
        </w:rPr>
        <w:t xml:space="preserve"> only use the </w:t>
      </w:r>
      <w:r>
        <w:rPr>
          <w:color w:val="000000"/>
        </w:rPr>
        <w:t xml:space="preserve">SWE-supplied </w:t>
      </w:r>
      <w:r w:rsidRPr="00D85274">
        <w:rPr>
          <w:color w:val="000000"/>
        </w:rPr>
        <w:t xml:space="preserve">Appendix C calculator for lighting projects moving forward. Details of all 17 projects and their associated findings from ride-along site inspections are presented </w:t>
      </w:r>
      <w:r w:rsidR="00423027">
        <w:t>below</w:t>
      </w:r>
      <w:r w:rsidRPr="008C64A7">
        <w:rPr>
          <w:color w:val="000000"/>
        </w:rPr>
        <w:t>.</w:t>
      </w:r>
    </w:p>
    <w:p w:rsidR="00B9141F" w:rsidRPr="00D85274" w:rsidRDefault="00B9141F" w:rsidP="00B9141F"/>
    <w:p w:rsidR="00B9141F" w:rsidRDefault="00B9141F" w:rsidP="00B9141F">
      <w:pPr>
        <w:rPr>
          <w:color w:val="000000"/>
        </w:rPr>
      </w:pPr>
      <w:r w:rsidRPr="00D85274">
        <w:t>The SWE Team performed a verified savings analysis on four submitted projects, checking for accuracy in calculations and the appropriateness</w:t>
      </w:r>
      <w:r w:rsidRPr="00D85274">
        <w:rPr>
          <w:color w:val="000000"/>
        </w:rPr>
        <w:t xml:space="preserve"> of the evaluation method and level of rigor selections. Previously, the SWE commented that </w:t>
      </w:r>
      <w:r>
        <w:rPr>
          <w:color w:val="000000"/>
        </w:rPr>
        <w:t>it</w:t>
      </w:r>
      <w:r w:rsidRPr="00D85274">
        <w:rPr>
          <w:color w:val="000000"/>
        </w:rPr>
        <w:t xml:space="preserve"> “would like to see better organization and presentation in the project files</w:t>
      </w:r>
      <w:r>
        <w:rPr>
          <w:color w:val="000000"/>
        </w:rPr>
        <w:t>,</w:t>
      </w:r>
      <w:r w:rsidRPr="00D85274">
        <w:rPr>
          <w:color w:val="000000"/>
        </w:rPr>
        <w:t>” and there was significant improvement in this respect for PY7. Project folders were well</w:t>
      </w:r>
      <w:r>
        <w:rPr>
          <w:color w:val="000000"/>
        </w:rPr>
        <w:t xml:space="preserve"> </w:t>
      </w:r>
      <w:r w:rsidRPr="00D85274">
        <w:rPr>
          <w:color w:val="000000"/>
        </w:rPr>
        <w:t xml:space="preserve">organized and there was a report for each project detailing M&amp;V methodology and results. The results of the verified savings analysis are </w:t>
      </w:r>
      <w:r>
        <w:rPr>
          <w:color w:val="000000"/>
        </w:rPr>
        <w:t>presented</w:t>
      </w:r>
      <w:r w:rsidRPr="00D85274">
        <w:rPr>
          <w:color w:val="000000"/>
        </w:rPr>
        <w:t xml:space="preserve"> </w:t>
      </w:r>
      <w:r w:rsidR="00423027">
        <w:t>below</w:t>
      </w:r>
      <w:r w:rsidRPr="00D85274">
        <w:rPr>
          <w:color w:val="000000"/>
        </w:rPr>
        <w:t>.</w:t>
      </w:r>
    </w:p>
    <w:p w:rsidR="00392FE1" w:rsidRDefault="00392FE1" w:rsidP="00B9141F">
      <w:pPr>
        <w:rPr>
          <w:color w:val="000000"/>
        </w:rPr>
      </w:pPr>
    </w:p>
    <w:p w:rsidR="00392FE1" w:rsidRPr="003458B1" w:rsidRDefault="00392FE1" w:rsidP="0055598C">
      <w:pPr>
        <w:pStyle w:val="AppendixAHeading4"/>
        <w:rPr>
          <w:rFonts w:eastAsia="Calibri"/>
        </w:rPr>
      </w:pPr>
      <w:bookmarkStart w:id="718" w:name="_Ref408508287"/>
      <w:bookmarkStart w:id="719" w:name="_Toc408557483"/>
      <w:r w:rsidRPr="003458B1">
        <w:rPr>
          <w:rFonts w:eastAsia="Calibri"/>
        </w:rPr>
        <w:t>Project Files Review</w:t>
      </w:r>
      <w:bookmarkEnd w:id="718"/>
      <w:bookmarkEnd w:id="719"/>
    </w:p>
    <w:p w:rsidR="00392FE1" w:rsidRDefault="00392FE1" w:rsidP="00392FE1">
      <w:pPr>
        <w:rPr>
          <w:color w:val="000000"/>
        </w:rPr>
      </w:pPr>
      <w:r w:rsidRPr="00C31904">
        <w:rPr>
          <w:color w:val="000000"/>
        </w:rPr>
        <w:t>The SWE Team</w:t>
      </w:r>
      <w:r w:rsidRPr="003458B1">
        <w:rPr>
          <w:color w:val="000000"/>
        </w:rPr>
        <w:t xml:space="preserve"> reviewed </w:t>
      </w:r>
      <w:r>
        <w:rPr>
          <w:color w:val="000000"/>
        </w:rPr>
        <w:t>nine</w:t>
      </w:r>
      <w:r w:rsidRPr="003458B1">
        <w:rPr>
          <w:color w:val="000000"/>
        </w:rPr>
        <w:t xml:space="preserve"> projects in Met-Ed’s PY7 non-residential programs across various measures, including lighting, compressed air, VFDs, refrigeration, pumps, and motors. The submitted files included project-level savings calculation workbooks, application forms, measure installation confirmation, equipment specification sheets, invoices, post-installation inspection reports, and other supporting documents. Project documentation was complete and thorough, with ample notes and explanation where necessary. One major addition in PY7 was a consistent site-specific cover page included in each project, where previously there may not have been. This was very helpful to the SWE.</w:t>
      </w:r>
    </w:p>
    <w:p w:rsidR="006E720E" w:rsidRDefault="006E720E" w:rsidP="00392FE1">
      <w:pPr>
        <w:rPr>
          <w:color w:val="000000"/>
        </w:rPr>
      </w:pPr>
    </w:p>
    <w:p w:rsidR="006E720E" w:rsidRDefault="006E720E" w:rsidP="00392FE1">
      <w:pPr>
        <w:rPr>
          <w:color w:val="000000"/>
        </w:rPr>
      </w:pPr>
      <w:r>
        <w:rPr>
          <w:color w:val="000000"/>
        </w:rPr>
        <w:fldChar w:fldCharType="begin"/>
      </w:r>
      <w:r>
        <w:rPr>
          <w:color w:val="000000"/>
        </w:rPr>
        <w:instrText xml:space="preserve"> REF _Ref472466656 \h </w:instrText>
      </w:r>
      <w:r>
        <w:rPr>
          <w:color w:val="000000"/>
        </w:rPr>
      </w:r>
      <w:r>
        <w:rPr>
          <w:color w:val="000000"/>
        </w:rPr>
        <w:fldChar w:fldCharType="separate"/>
      </w:r>
      <w:r w:rsidR="00037CB4">
        <w:t>Table A-</w:t>
      </w:r>
      <w:r w:rsidR="00037CB4">
        <w:rPr>
          <w:noProof/>
        </w:rPr>
        <w:t>36</w:t>
      </w:r>
      <w:r>
        <w:rPr>
          <w:color w:val="000000"/>
        </w:rPr>
        <w:fldChar w:fldCharType="end"/>
      </w:r>
      <w:r>
        <w:rPr>
          <w:color w:val="000000"/>
        </w:rPr>
        <w:t xml:space="preserve"> </w:t>
      </w:r>
      <w:r w:rsidRPr="006E6583">
        <w:rPr>
          <w:color w:val="000000"/>
        </w:rPr>
        <w:t xml:space="preserve">presents an overview of the projects that were reviewed by the SWE </w:t>
      </w:r>
      <w:r>
        <w:rPr>
          <w:color w:val="000000"/>
        </w:rPr>
        <w:t xml:space="preserve">Team </w:t>
      </w:r>
      <w:r w:rsidRPr="006E6583">
        <w:rPr>
          <w:color w:val="000000"/>
        </w:rPr>
        <w:t xml:space="preserve">and </w:t>
      </w:r>
      <w:r>
        <w:rPr>
          <w:color w:val="000000"/>
        </w:rPr>
        <w:t>the</w:t>
      </w:r>
      <w:r w:rsidRPr="006E6583">
        <w:rPr>
          <w:color w:val="000000"/>
        </w:rPr>
        <w:t xml:space="preserve"> findings</w:t>
      </w:r>
      <w:r w:rsidR="00C83389">
        <w:rPr>
          <w:color w:val="000000"/>
        </w:rPr>
        <w:t>.</w:t>
      </w:r>
    </w:p>
    <w:p w:rsidR="00392FE1" w:rsidRDefault="00392FE1" w:rsidP="00392FE1">
      <w:pPr>
        <w:rPr>
          <w:color w:val="000000"/>
        </w:rPr>
      </w:pPr>
    </w:p>
    <w:p w:rsidR="006E720E" w:rsidRDefault="006E720E" w:rsidP="00392FE1">
      <w:pPr>
        <w:rPr>
          <w:color w:val="000000"/>
        </w:rPr>
        <w:sectPr w:rsidR="006E720E" w:rsidSect="00DF3269">
          <w:type w:val="continuous"/>
          <w:pgSz w:w="12240" w:h="15840"/>
          <w:pgMar w:top="1440" w:right="1440" w:bottom="1440" w:left="1440" w:header="720" w:footer="288" w:gutter="0"/>
          <w:cols w:space="720"/>
          <w:titlePg/>
          <w:docGrid w:linePitch="360"/>
        </w:sectPr>
      </w:pPr>
    </w:p>
    <w:p w:rsidR="006E720E" w:rsidRDefault="006E720E" w:rsidP="004837FA">
      <w:pPr>
        <w:pStyle w:val="Caption"/>
      </w:pPr>
      <w:r>
        <w:rPr>
          <w:color w:val="000000"/>
          <w14:textFill>
            <w14:solidFill>
              <w14:srgbClr w14:val="000000">
                <w14:lumMod w14:val="75000"/>
                <w14:lumOff w14:val="25000"/>
              </w14:srgbClr>
            </w14:solidFill>
          </w14:textFill>
        </w:rPr>
        <w:tab/>
      </w:r>
      <w:bookmarkStart w:id="720" w:name="_Ref472466656"/>
      <w:bookmarkStart w:id="721" w:name="_Toc472472445"/>
      <w:bookmarkStart w:id="722" w:name="_Toc488741864"/>
      <w:r>
        <w:t>Table A-</w:t>
      </w:r>
      <w:r w:rsidR="007973A4">
        <w:fldChar w:fldCharType="begin"/>
      </w:r>
      <w:r w:rsidR="007973A4">
        <w:instrText xml:space="preserve"> SEQ Table_A- \* ARABIC </w:instrText>
      </w:r>
      <w:r w:rsidR="007973A4">
        <w:fldChar w:fldCharType="separate"/>
      </w:r>
      <w:r w:rsidR="00037CB4">
        <w:rPr>
          <w:noProof/>
        </w:rPr>
        <w:t>36</w:t>
      </w:r>
      <w:r w:rsidR="007973A4">
        <w:rPr>
          <w:noProof/>
        </w:rPr>
        <w:fldChar w:fldCharType="end"/>
      </w:r>
      <w:bookmarkEnd w:id="720"/>
      <w:r>
        <w:t xml:space="preserve">: Met-Ed </w:t>
      </w:r>
      <w:r w:rsidRPr="006E6583">
        <w:t>PY7 Project File Review Summary</w:t>
      </w:r>
      <w:bookmarkEnd w:id="721"/>
      <w:bookmarkEnd w:id="722"/>
    </w:p>
    <w:tbl>
      <w:tblPr>
        <w:tblStyle w:val="AnnualReportTableStyle"/>
        <w:tblW w:w="12995" w:type="dxa"/>
        <w:tblInd w:w="108" w:type="dxa"/>
        <w:tblLook w:val="04A0" w:firstRow="1" w:lastRow="0" w:firstColumn="1" w:lastColumn="0" w:noHBand="0" w:noVBand="1"/>
      </w:tblPr>
      <w:tblGrid>
        <w:gridCol w:w="1615"/>
        <w:gridCol w:w="1260"/>
        <w:gridCol w:w="1802"/>
        <w:gridCol w:w="1078"/>
        <w:gridCol w:w="1289"/>
        <w:gridCol w:w="1411"/>
        <w:gridCol w:w="1170"/>
        <w:gridCol w:w="1533"/>
        <w:gridCol w:w="1837"/>
      </w:tblGrid>
      <w:tr w:rsidR="00A874AC" w:rsidRPr="00391C49" w:rsidTr="005C3E63">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615" w:type="dxa"/>
            <w:noWrap/>
            <w:vAlign w:val="bottom"/>
            <w:hideMark/>
          </w:tcPr>
          <w:p w:rsidR="006E720E" w:rsidRPr="00391C49" w:rsidRDefault="006E720E" w:rsidP="00380FF9">
            <w:pPr>
              <w:jc w:val="left"/>
              <w:rPr>
                <w:b w:val="0"/>
                <w:bCs/>
                <w:sz w:val="20"/>
                <w:szCs w:val="20"/>
              </w:rPr>
            </w:pPr>
            <w:r w:rsidRPr="00391C49">
              <w:rPr>
                <w:bCs/>
                <w:sz w:val="20"/>
                <w:szCs w:val="20"/>
              </w:rPr>
              <w:t>Project Number</w:t>
            </w:r>
          </w:p>
        </w:tc>
        <w:tc>
          <w:tcPr>
            <w:tcW w:w="1260" w:type="dxa"/>
            <w:noWrap/>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Program</w:t>
            </w:r>
          </w:p>
        </w:tc>
        <w:tc>
          <w:tcPr>
            <w:tcW w:w="1802"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Project Description</w:t>
            </w:r>
          </w:p>
        </w:tc>
        <w:tc>
          <w:tcPr>
            <w:tcW w:w="1078"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Are all files included?</w:t>
            </w:r>
          </w:p>
        </w:tc>
        <w:tc>
          <w:tcPr>
            <w:tcW w:w="1289"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Do values match program tracking data?</w:t>
            </w:r>
          </w:p>
        </w:tc>
        <w:tc>
          <w:tcPr>
            <w:tcW w:w="1411"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Equipment discrepancy between invoices and calculations?</w:t>
            </w:r>
          </w:p>
        </w:tc>
        <w:tc>
          <w:tcPr>
            <w:tcW w:w="1170"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Sufficient info for SWE to follow?</w:t>
            </w:r>
          </w:p>
        </w:tc>
        <w:tc>
          <w:tcPr>
            <w:tcW w:w="1533"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For TRM measures, are correct algorithms and HOU values used?</w:t>
            </w:r>
          </w:p>
        </w:tc>
        <w:tc>
          <w:tcPr>
            <w:tcW w:w="1837"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For Custom measures, is the methodology clear and auditable? Is it a sensible approach?</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CR_PRJ-348926</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Small C/I Equipment</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Installation of energy efficient freezer and refrigerator reach-in cases</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r>
      <w:tr w:rsidR="006E720E" w:rsidRPr="00391C49" w:rsidTr="005C3E63">
        <w:trPr>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CR_PRJ-263557</w:t>
            </w:r>
          </w:p>
        </w:tc>
        <w:tc>
          <w:tcPr>
            <w:tcW w:w="126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Small C/I Buildings</w:t>
            </w:r>
          </w:p>
        </w:tc>
        <w:tc>
          <w:tcPr>
            <w:tcW w:w="1802"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Interior and exterior lighting, 1 ASHP, 2 VFDs, and 2 motors</w:t>
            </w:r>
          </w:p>
        </w:tc>
        <w:tc>
          <w:tcPr>
            <w:tcW w:w="1078"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N/A</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CR_PRJ-375049</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Large C/I Equipment</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Parking lot HPS to LED conversion</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r>
      <w:tr w:rsidR="006E720E" w:rsidRPr="00391C49" w:rsidTr="005C3E63">
        <w:trPr>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CR_PRJ-263530</w:t>
            </w:r>
          </w:p>
        </w:tc>
        <w:tc>
          <w:tcPr>
            <w:tcW w:w="126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Large C/I Buildings</w:t>
            </w:r>
          </w:p>
        </w:tc>
        <w:tc>
          <w:tcPr>
            <w:tcW w:w="1802"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In-unit and common area lighting and controls, exterior lighting and controls, new hot water and chilled water pumps and VFDs, new make-up air units, and controls on electric resistance heaters</w:t>
            </w:r>
          </w:p>
        </w:tc>
        <w:tc>
          <w:tcPr>
            <w:tcW w:w="1078"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N/A</w:t>
            </w:r>
          </w:p>
        </w:tc>
        <w:tc>
          <w:tcPr>
            <w:tcW w:w="1837"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CR_PRJ-682449</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Large C/I Buildings</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Lighting (new construction)</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r>
      <w:tr w:rsidR="006E720E" w:rsidRPr="00391C49" w:rsidTr="005C3E63">
        <w:trPr>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CR_PRJ-419599</w:t>
            </w:r>
          </w:p>
        </w:tc>
        <w:tc>
          <w:tcPr>
            <w:tcW w:w="126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Small C/I Buildings</w:t>
            </w:r>
          </w:p>
        </w:tc>
        <w:tc>
          <w:tcPr>
            <w:tcW w:w="1802"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Lighting and VFDs</w:t>
            </w:r>
          </w:p>
        </w:tc>
        <w:tc>
          <w:tcPr>
            <w:tcW w:w="1078"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289"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N/A</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CR_PRJ-424328</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Large C/I Equipment</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Lighting (refrigerated LED)</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r>
      <w:tr w:rsidR="006E720E" w:rsidRPr="00391C49" w:rsidTr="005C3E63">
        <w:trPr>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CR_PRJ-422326</w:t>
            </w:r>
          </w:p>
        </w:tc>
        <w:tc>
          <w:tcPr>
            <w:tcW w:w="126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Large C/I Equipment</w:t>
            </w:r>
          </w:p>
        </w:tc>
        <w:tc>
          <w:tcPr>
            <w:tcW w:w="1802"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Custom (compressed air leak repair)</w:t>
            </w:r>
          </w:p>
        </w:tc>
        <w:tc>
          <w:tcPr>
            <w:tcW w:w="1078"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N/A</w:t>
            </w:r>
          </w:p>
        </w:tc>
        <w:tc>
          <w:tcPr>
            <w:tcW w:w="1837"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CR_PRJ-493348</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Small C/I Buildings</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Lighting (LED)</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r>
    </w:tbl>
    <w:p w:rsidR="006E720E" w:rsidRPr="006E720E" w:rsidRDefault="006E720E" w:rsidP="006E720E"/>
    <w:p w:rsidR="006E720E" w:rsidRPr="006E720E" w:rsidRDefault="006E720E" w:rsidP="006E720E">
      <w:pPr>
        <w:tabs>
          <w:tab w:val="left" w:pos="1703"/>
        </w:tabs>
        <w:sectPr w:rsidR="006E720E" w:rsidRPr="006E720E" w:rsidSect="00391C49">
          <w:headerReference w:type="default" r:id="rId113"/>
          <w:footerReference w:type="default" r:id="rId114"/>
          <w:headerReference w:type="first" r:id="rId115"/>
          <w:footerReference w:type="first" r:id="rId116"/>
          <w:pgSz w:w="15840" w:h="12240" w:orient="landscape"/>
          <w:pgMar w:top="1440" w:right="1440" w:bottom="1440" w:left="1440" w:header="720" w:footer="288" w:gutter="0"/>
          <w:cols w:space="720"/>
          <w:titlePg/>
          <w:docGrid w:linePitch="360"/>
        </w:sectPr>
      </w:pPr>
      <w:r>
        <w:tab/>
      </w:r>
    </w:p>
    <w:p w:rsidR="006E720E" w:rsidRPr="003458B1" w:rsidRDefault="006E720E" w:rsidP="006E720E">
      <w:pPr>
        <w:rPr>
          <w:color w:val="FF0000"/>
        </w:rPr>
      </w:pPr>
      <w:r w:rsidRPr="003458B1">
        <w:rPr>
          <w:color w:val="000000"/>
        </w:rPr>
        <w:t xml:space="preserve">In PY6 the SWE Team was pleased with Met-Ed’s project files and identified only minimal issues. Project files were found to be conclusive and organized, with few exceptions. This was the case in PY7 as well, and was aided by the more standardized project file format and consistent inclusion of a site-specific cover page. At this time, the SWE Team only recommends </w:t>
      </w:r>
      <w:r>
        <w:rPr>
          <w:color w:val="000000"/>
        </w:rPr>
        <w:t>that i</w:t>
      </w:r>
      <w:r w:rsidRPr="009B0EAD">
        <w:rPr>
          <w:color w:val="000000"/>
        </w:rPr>
        <w:t>n the interest of transparency, only the</w:t>
      </w:r>
      <w:r>
        <w:rPr>
          <w:color w:val="000000"/>
        </w:rPr>
        <w:t xml:space="preserve"> supplied</w:t>
      </w:r>
      <w:r w:rsidRPr="009B0EAD">
        <w:rPr>
          <w:color w:val="000000"/>
        </w:rPr>
        <w:t xml:space="preserve"> Appendix C calculator</w:t>
      </w:r>
      <w:r>
        <w:rPr>
          <w:color w:val="000000"/>
        </w:rPr>
        <w:t xml:space="preserve"> be used</w:t>
      </w:r>
      <w:r w:rsidRPr="009B0EAD">
        <w:rPr>
          <w:color w:val="000000"/>
        </w:rPr>
        <w:t xml:space="preserve"> for lighting projects moving forward.</w:t>
      </w:r>
    </w:p>
    <w:p w:rsidR="00392FE1" w:rsidRDefault="00392FE1" w:rsidP="00392FE1">
      <w:pPr>
        <w:rPr>
          <w:color w:val="000000"/>
        </w:rPr>
      </w:pPr>
    </w:p>
    <w:p w:rsidR="006E720E" w:rsidRPr="003458B1" w:rsidRDefault="006E720E" w:rsidP="0055598C">
      <w:pPr>
        <w:pStyle w:val="AppendixAHeading4"/>
        <w:rPr>
          <w:rFonts w:eastAsia="Calibri"/>
        </w:rPr>
      </w:pPr>
      <w:bookmarkStart w:id="723" w:name="_Toc408557485"/>
      <w:bookmarkStart w:id="724" w:name="_Ref440443869"/>
      <w:r w:rsidRPr="003458B1">
        <w:rPr>
          <w:rFonts w:eastAsia="Calibri"/>
        </w:rPr>
        <w:t>Sample Design Review</w:t>
      </w:r>
      <w:bookmarkEnd w:id="723"/>
      <w:bookmarkEnd w:id="724"/>
    </w:p>
    <w:p w:rsidR="006E720E" w:rsidRPr="003458B1" w:rsidRDefault="006E720E" w:rsidP="006E720E">
      <w:r w:rsidRPr="003458B1">
        <w:t>Met-Ed’s PY7 annual report provides detailed information about the sample design of the PY7 gross impact evaluation of non-residential programs. Met-Ed’s non-residential programs were the Small C/I Energy Efficient Equipment Program, Small C/I Energy Efficient Buildings Program, Large C/I Energy Efficient Equipment Program, Large C/I Energy Efficient Buildings Program, and Government and Institutional Program.</w:t>
      </w:r>
    </w:p>
    <w:p w:rsidR="006E720E" w:rsidRPr="003458B1" w:rsidRDefault="006E720E" w:rsidP="006E720E"/>
    <w:p w:rsidR="006E720E" w:rsidRPr="003458B1" w:rsidRDefault="006E720E" w:rsidP="008C7396">
      <w:pPr>
        <w:pStyle w:val="AppendixAHeading5"/>
      </w:pPr>
      <w:r w:rsidRPr="003458B1">
        <w:t>Small C/I Energy Efficient Equipment Program</w:t>
      </w:r>
    </w:p>
    <w:p w:rsidR="006E720E" w:rsidRPr="003458B1" w:rsidRDefault="006E720E" w:rsidP="006E720E">
      <w:r w:rsidRPr="003458B1">
        <w:t xml:space="preserve">In PY7, this program was divided into two components: equipment incentives and appliance recycling. Lighting measures contributed the majority of the gross energy savings for the program. </w:t>
      </w:r>
      <w:r w:rsidRPr="003458B1">
        <w:tab/>
      </w:r>
    </w:p>
    <w:p w:rsidR="006E720E" w:rsidRPr="003458B1" w:rsidRDefault="006E720E" w:rsidP="006E720E"/>
    <w:p w:rsidR="006E720E" w:rsidRPr="003458B1" w:rsidRDefault="006E720E" w:rsidP="006E720E">
      <w:r w:rsidRPr="003458B1">
        <w:t xml:space="preserve">Stratified ratio estimation was used to estimate savings for the program, and stratified random sampling was used for sample design by the evaluation contractor. For large lighting projects in the evaluation sample, Met-Ed’s evaluation contractor designed an on-site sampling strategy that targeted ±20% precision at the 90% confidence level for the physical counting of fixtures. All lighting projects that were expected to have </w:t>
      </w:r>
      <w:r>
        <w:t>more than 800 MWh/yr in savings</w:t>
      </w:r>
      <w:r w:rsidRPr="003458B1">
        <w:t xml:space="preserve">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stratified based on energy savings at the measure level. The assumed</w:t>
      </w:r>
      <w:r w:rsidR="00AF2C58" w:rsidRPr="00AF2C58">
        <w:t xml:space="preserve"> coefficient of variation</w:t>
      </w:r>
      <w:r w:rsidRPr="003458B1">
        <w:t xml:space="preserve"> </w:t>
      </w:r>
      <w:r w:rsidR="00AF2C58">
        <w:t>(</w:t>
      </w:r>
      <w:r w:rsidRPr="003458B1">
        <w:t>Cv</w:t>
      </w:r>
      <w:r w:rsidR="00AF2C58">
        <w:t>)</w:t>
      </w:r>
      <w:r w:rsidRPr="003458B1">
        <w:t xml:space="preserve"> used in the sample design was 0.5 for all projects. The detailed sampling strategy for this program in PY</w:t>
      </w:r>
      <w:r>
        <w:t>7</w:t>
      </w:r>
      <w:r w:rsidRPr="003458B1">
        <w:t xml:space="preserve"> and the achieved precision values for each stratum are presented in </w:t>
      </w:r>
      <w:r w:rsidRPr="003458B1">
        <w:fldChar w:fldCharType="begin"/>
      </w:r>
      <w:r w:rsidRPr="003458B1">
        <w:instrText xml:space="preserve"> REF _Ref433896495 \h  \* MERGEFORMAT </w:instrText>
      </w:r>
      <w:r w:rsidRPr="003458B1">
        <w:fldChar w:fldCharType="separate"/>
      </w:r>
      <w:r w:rsidR="00037CB4" w:rsidRPr="00B81A2F">
        <w:rPr>
          <w:bCs/>
        </w:rPr>
        <w:t>Table A-37</w:t>
      </w:r>
      <w:r w:rsidRPr="003458B1">
        <w:fldChar w:fldCharType="end"/>
      </w:r>
      <w:r w:rsidRPr="003458B1">
        <w:t>. The data show that Met-Ed met the SWE Team require</w:t>
      </w:r>
      <w:r>
        <w:t>ments of 85/1</w:t>
      </w:r>
      <w:r w:rsidR="00AF2C58">
        <w:t>5</w:t>
      </w:r>
      <w:r>
        <w:t xml:space="preserve"> confidence/</w:t>
      </w:r>
      <w:r w:rsidRPr="003458B1">
        <w:t>precision for both energy and peak demand.</w:t>
      </w:r>
    </w:p>
    <w:p w:rsidR="006E720E" w:rsidRPr="003458B1" w:rsidRDefault="006E720E" w:rsidP="006E720E">
      <w:pPr>
        <w:rPr>
          <w:rFonts w:ascii="Century Gothic" w:hAnsi="Century Gothic"/>
          <w:b/>
          <w:bCs/>
          <w:sz w:val="18"/>
          <w:szCs w:val="18"/>
        </w:rPr>
      </w:pPr>
      <w:bookmarkStart w:id="725" w:name="_Ref406423049"/>
    </w:p>
    <w:p w:rsidR="006E720E" w:rsidRPr="003458B1" w:rsidRDefault="006E720E" w:rsidP="006E720E">
      <w:pPr>
        <w:spacing w:after="120"/>
        <w:jc w:val="center"/>
        <w:rPr>
          <w:rFonts w:ascii="Century Gothic" w:hAnsi="Century Gothic"/>
          <w:b/>
          <w:bCs/>
          <w:sz w:val="18"/>
          <w:szCs w:val="18"/>
        </w:rPr>
      </w:pPr>
      <w:bookmarkStart w:id="726" w:name="_Ref433896495"/>
      <w:bookmarkStart w:id="727" w:name="_Toc410199413"/>
      <w:bookmarkStart w:id="728" w:name="_Toc431462333"/>
      <w:bookmarkStart w:id="729" w:name="_Toc444269853"/>
      <w:bookmarkStart w:id="730" w:name="_Toc472472446"/>
      <w:bookmarkStart w:id="731" w:name="_Toc488741865"/>
      <w:bookmarkEnd w:id="725"/>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37</w:t>
      </w:r>
      <w:r w:rsidRPr="003458B1">
        <w:rPr>
          <w:rFonts w:ascii="Century Gothic" w:hAnsi="Century Gothic"/>
          <w:b/>
          <w:bCs/>
          <w:sz w:val="18"/>
          <w:szCs w:val="18"/>
        </w:rPr>
        <w:fldChar w:fldCharType="end"/>
      </w:r>
      <w:bookmarkEnd w:id="726"/>
      <w:r w:rsidRPr="003458B1">
        <w:rPr>
          <w:rFonts w:ascii="Century Gothic" w:hAnsi="Century Gothic"/>
          <w:b/>
          <w:bCs/>
          <w:sz w:val="18"/>
          <w:szCs w:val="18"/>
        </w:rPr>
        <w:t>: Met-Ed PY7 Sampling Strate</w:t>
      </w:r>
      <w:r w:rsidR="00602E9A">
        <w:rPr>
          <w:rFonts w:ascii="Century Gothic" w:hAnsi="Century Gothic"/>
          <w:b/>
          <w:bCs/>
          <w:sz w:val="18"/>
          <w:szCs w:val="18"/>
        </w:rPr>
        <w:t xml:space="preserve">gy and Relative Precision – </w:t>
      </w:r>
      <w:r w:rsidRPr="003458B1">
        <w:rPr>
          <w:rFonts w:ascii="Century Gothic" w:hAnsi="Century Gothic"/>
          <w:b/>
          <w:bCs/>
          <w:sz w:val="18"/>
          <w:szCs w:val="18"/>
        </w:rPr>
        <w:t>Small</w:t>
      </w:r>
      <w:r w:rsidR="00602E9A">
        <w:rPr>
          <w:rFonts w:ascii="Century Gothic" w:hAnsi="Century Gothic"/>
          <w:b/>
          <w:bCs/>
          <w:sz w:val="18"/>
          <w:szCs w:val="18"/>
        </w:rPr>
        <w:t xml:space="preserve"> C/I</w:t>
      </w:r>
      <w:r w:rsidRPr="003458B1">
        <w:rPr>
          <w:rFonts w:ascii="Century Gothic" w:hAnsi="Century Gothic"/>
          <w:b/>
          <w:bCs/>
          <w:sz w:val="18"/>
          <w:szCs w:val="18"/>
        </w:rPr>
        <w:t xml:space="preserve"> Energy Efficient Equipment Program</w:t>
      </w:r>
      <w:bookmarkEnd w:id="727"/>
      <w:bookmarkEnd w:id="728"/>
      <w:bookmarkEnd w:id="729"/>
      <w:bookmarkEnd w:id="730"/>
      <w:bookmarkEnd w:id="731"/>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70"/>
        <w:gridCol w:w="1230"/>
        <w:gridCol w:w="1230"/>
        <w:gridCol w:w="1230"/>
        <w:gridCol w:w="1230"/>
        <w:gridCol w:w="1230"/>
        <w:gridCol w:w="1230"/>
      </w:tblGrid>
      <w:tr w:rsidR="00A874AC" w:rsidRPr="00DF3F90" w:rsidTr="00DF3F90">
        <w:trPr>
          <w:trHeight w:val="720"/>
          <w:tblHeader/>
        </w:trPr>
        <w:tc>
          <w:tcPr>
            <w:tcW w:w="1970" w:type="dxa"/>
            <w:shd w:val="clear" w:color="000000" w:fill="448A99"/>
            <w:vAlign w:val="bottom"/>
            <w:hideMark/>
          </w:tcPr>
          <w:p w:rsidR="006E720E" w:rsidRPr="00DF3F90" w:rsidRDefault="006E720E" w:rsidP="00380FF9">
            <w:pPr>
              <w:jc w:val="left"/>
              <w:rPr>
                <w:b/>
                <w:bCs/>
                <w:color w:val="FFFFFF"/>
                <w:sz w:val="19"/>
                <w:szCs w:val="19"/>
              </w:rPr>
            </w:pPr>
            <w:r w:rsidRPr="00DF3F90">
              <w:rPr>
                <w:b/>
                <w:bCs/>
                <w:color w:val="FFFFFF"/>
                <w:sz w:val="19"/>
                <w:szCs w:val="19"/>
              </w:rPr>
              <w:t>Stratum</w:t>
            </w:r>
          </w:p>
        </w:tc>
        <w:tc>
          <w:tcPr>
            <w:tcW w:w="1230"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Population</w:t>
            </w:r>
          </w:p>
        </w:tc>
        <w:tc>
          <w:tcPr>
            <w:tcW w:w="1230"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Target Levels of Confidence &amp; Precision</w:t>
            </w:r>
          </w:p>
        </w:tc>
        <w:tc>
          <w:tcPr>
            <w:tcW w:w="1230"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Target Sample Size</w:t>
            </w:r>
          </w:p>
        </w:tc>
        <w:tc>
          <w:tcPr>
            <w:tcW w:w="1230"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Achieved Sample Size</w:t>
            </w:r>
          </w:p>
        </w:tc>
        <w:tc>
          <w:tcPr>
            <w:tcW w:w="1230"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Relative Precision at 85% C.L. for Energy</w:t>
            </w:r>
          </w:p>
        </w:tc>
        <w:tc>
          <w:tcPr>
            <w:tcW w:w="1230"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Relative Precision at 85% C.L. for Demand</w:t>
            </w:r>
          </w:p>
        </w:tc>
      </w:tr>
      <w:tr w:rsidR="00A874AC" w:rsidRPr="00DF3F90" w:rsidTr="00DF3F90">
        <w:trPr>
          <w:trHeight w:val="288"/>
        </w:trPr>
        <w:tc>
          <w:tcPr>
            <w:tcW w:w="1970" w:type="dxa"/>
            <w:shd w:val="clear" w:color="000000" w:fill="D2EAF1"/>
            <w:noWrap/>
            <w:vAlign w:val="center"/>
          </w:tcPr>
          <w:p w:rsidR="006E720E" w:rsidRPr="00DF3F90" w:rsidRDefault="006E720E" w:rsidP="00380FF9">
            <w:pPr>
              <w:jc w:val="left"/>
              <w:rPr>
                <w:bCs/>
                <w:color w:val="000000"/>
                <w:sz w:val="19"/>
                <w:szCs w:val="19"/>
              </w:rPr>
            </w:pPr>
            <w:r w:rsidRPr="00DF3F90">
              <w:rPr>
                <w:bCs/>
                <w:color w:val="000000"/>
                <w:sz w:val="19"/>
                <w:szCs w:val="19"/>
              </w:rPr>
              <w:t>CFL kits – 1</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N/A</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100.0%</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100.0%</w:t>
            </w:r>
          </w:p>
        </w:tc>
      </w:tr>
      <w:tr w:rsidR="00E7173E" w:rsidRPr="00DF3F90" w:rsidTr="00DF3F90">
        <w:trPr>
          <w:trHeight w:val="288"/>
        </w:trPr>
        <w:tc>
          <w:tcPr>
            <w:tcW w:w="1970" w:type="dxa"/>
            <w:shd w:val="clear" w:color="auto" w:fill="auto"/>
            <w:noWrap/>
            <w:vAlign w:val="center"/>
          </w:tcPr>
          <w:p w:rsidR="006E720E" w:rsidRPr="00DF3F90" w:rsidRDefault="006E720E" w:rsidP="00380FF9">
            <w:pPr>
              <w:jc w:val="left"/>
              <w:rPr>
                <w:bCs/>
                <w:color w:val="000000"/>
                <w:sz w:val="19"/>
                <w:szCs w:val="19"/>
              </w:rPr>
            </w:pPr>
            <w:r w:rsidRPr="00DF3F90">
              <w:rPr>
                <w:bCs/>
                <w:color w:val="000000"/>
                <w:sz w:val="19"/>
                <w:szCs w:val="19"/>
              </w:rPr>
              <w:t>Lighting – certainty</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N/A</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r>
      <w:tr w:rsidR="00A874AC" w:rsidRPr="00DF3F90" w:rsidTr="00DF3F90">
        <w:trPr>
          <w:trHeight w:val="288"/>
        </w:trPr>
        <w:tc>
          <w:tcPr>
            <w:tcW w:w="1970" w:type="dxa"/>
            <w:shd w:val="clear" w:color="000000" w:fill="D2EAF1"/>
            <w:noWrap/>
            <w:vAlign w:val="center"/>
          </w:tcPr>
          <w:p w:rsidR="006E720E" w:rsidRPr="00DF3F90" w:rsidRDefault="006E720E" w:rsidP="00380FF9">
            <w:pPr>
              <w:jc w:val="left"/>
              <w:rPr>
                <w:bCs/>
                <w:color w:val="000000"/>
                <w:sz w:val="19"/>
                <w:szCs w:val="19"/>
              </w:rPr>
            </w:pPr>
            <w:r w:rsidRPr="00DF3F90">
              <w:rPr>
                <w:bCs/>
                <w:color w:val="000000"/>
                <w:sz w:val="19"/>
                <w:szCs w:val="19"/>
              </w:rPr>
              <w:t>Lighting – 2</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28</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26.1%</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26.1%</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26.1%</w:t>
            </w:r>
          </w:p>
        </w:tc>
      </w:tr>
      <w:tr w:rsidR="00E7173E" w:rsidRPr="00DF3F90" w:rsidTr="00DF3F90">
        <w:trPr>
          <w:trHeight w:val="288"/>
        </w:trPr>
        <w:tc>
          <w:tcPr>
            <w:tcW w:w="1970" w:type="dxa"/>
            <w:shd w:val="clear" w:color="auto" w:fill="auto"/>
            <w:noWrap/>
            <w:vAlign w:val="center"/>
          </w:tcPr>
          <w:p w:rsidR="006E720E" w:rsidRPr="00DF3F90" w:rsidRDefault="006E720E" w:rsidP="00380FF9">
            <w:pPr>
              <w:jc w:val="left"/>
              <w:rPr>
                <w:bCs/>
                <w:color w:val="000000"/>
                <w:sz w:val="19"/>
                <w:szCs w:val="19"/>
              </w:rPr>
            </w:pPr>
            <w:r w:rsidRPr="00DF3F90">
              <w:rPr>
                <w:bCs/>
                <w:color w:val="000000"/>
                <w:sz w:val="19"/>
                <w:szCs w:val="19"/>
              </w:rPr>
              <w:t>Lighting – 3</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78</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28.2%</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6</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6</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28.2%</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28.2%</w:t>
            </w:r>
          </w:p>
        </w:tc>
      </w:tr>
      <w:tr w:rsidR="00A874AC" w:rsidRPr="00DF3F90" w:rsidTr="00DF3F90">
        <w:trPr>
          <w:trHeight w:val="288"/>
        </w:trPr>
        <w:tc>
          <w:tcPr>
            <w:tcW w:w="1970" w:type="dxa"/>
            <w:shd w:val="clear" w:color="000000" w:fill="D2EAF1"/>
            <w:noWrap/>
            <w:vAlign w:val="center"/>
          </w:tcPr>
          <w:p w:rsidR="006E720E" w:rsidRPr="00DF3F90" w:rsidRDefault="006E720E" w:rsidP="00380FF9">
            <w:pPr>
              <w:jc w:val="left"/>
              <w:rPr>
                <w:bCs/>
                <w:color w:val="000000"/>
                <w:sz w:val="19"/>
                <w:szCs w:val="19"/>
              </w:rPr>
            </w:pPr>
            <w:r w:rsidRPr="00DF3F90">
              <w:rPr>
                <w:bCs/>
                <w:color w:val="000000"/>
                <w:sz w:val="19"/>
                <w:szCs w:val="19"/>
              </w:rPr>
              <w:t>Lighting – 4</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422</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23.7%</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9</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9</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23.7%</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23.7%</w:t>
            </w:r>
          </w:p>
        </w:tc>
      </w:tr>
      <w:tr w:rsidR="00E7173E" w:rsidRPr="00DF3F90" w:rsidTr="00DF3F90">
        <w:trPr>
          <w:trHeight w:val="288"/>
        </w:trPr>
        <w:tc>
          <w:tcPr>
            <w:tcW w:w="1970" w:type="dxa"/>
            <w:shd w:val="clear" w:color="auto" w:fill="auto"/>
            <w:noWrap/>
            <w:vAlign w:val="center"/>
          </w:tcPr>
          <w:p w:rsidR="006E720E" w:rsidRPr="00DF3F90" w:rsidRDefault="006E720E" w:rsidP="00380FF9">
            <w:pPr>
              <w:jc w:val="left"/>
              <w:rPr>
                <w:bCs/>
                <w:color w:val="000000"/>
                <w:sz w:val="19"/>
                <w:szCs w:val="19"/>
              </w:rPr>
            </w:pPr>
            <w:r w:rsidRPr="00DF3F90">
              <w:rPr>
                <w:bCs/>
                <w:color w:val="000000"/>
                <w:sz w:val="19"/>
                <w:szCs w:val="19"/>
              </w:rPr>
              <w:t>Custom – certainty</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r>
      <w:tr w:rsidR="00A874AC" w:rsidRPr="00DF3F90" w:rsidTr="00DF3F90">
        <w:trPr>
          <w:trHeight w:val="288"/>
        </w:trPr>
        <w:tc>
          <w:tcPr>
            <w:tcW w:w="1970" w:type="dxa"/>
            <w:shd w:val="clear" w:color="000000" w:fill="D2EAF1"/>
            <w:noWrap/>
            <w:vAlign w:val="center"/>
          </w:tcPr>
          <w:p w:rsidR="006E720E" w:rsidRPr="00DF3F90" w:rsidRDefault="006E720E" w:rsidP="00380FF9">
            <w:pPr>
              <w:jc w:val="left"/>
              <w:rPr>
                <w:bCs/>
                <w:color w:val="000000"/>
                <w:sz w:val="19"/>
                <w:szCs w:val="19"/>
              </w:rPr>
            </w:pPr>
            <w:r w:rsidRPr="00DF3F90">
              <w:rPr>
                <w:bCs/>
                <w:color w:val="000000"/>
                <w:sz w:val="19"/>
                <w:szCs w:val="19"/>
              </w:rPr>
              <w:t>Custom – 2</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65.7%</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65.7%</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65.7%</w:t>
            </w:r>
          </w:p>
        </w:tc>
      </w:tr>
      <w:tr w:rsidR="00E7173E" w:rsidRPr="00DF3F90" w:rsidTr="00DF3F90">
        <w:trPr>
          <w:trHeight w:val="288"/>
        </w:trPr>
        <w:tc>
          <w:tcPr>
            <w:tcW w:w="1970" w:type="dxa"/>
            <w:shd w:val="clear" w:color="auto" w:fill="auto"/>
            <w:noWrap/>
            <w:vAlign w:val="center"/>
          </w:tcPr>
          <w:p w:rsidR="006E720E" w:rsidRPr="00DF3F90" w:rsidRDefault="006E720E" w:rsidP="00380FF9">
            <w:pPr>
              <w:jc w:val="left"/>
              <w:rPr>
                <w:bCs/>
                <w:color w:val="000000"/>
                <w:sz w:val="19"/>
                <w:szCs w:val="19"/>
              </w:rPr>
            </w:pPr>
            <w:r w:rsidRPr="00DF3F90">
              <w:rPr>
                <w:bCs/>
                <w:color w:val="000000"/>
                <w:sz w:val="19"/>
                <w:szCs w:val="19"/>
              </w:rPr>
              <w:t>Custom – 3</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44</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27.3%</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6</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6</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27.3%</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27.3%</w:t>
            </w:r>
          </w:p>
        </w:tc>
      </w:tr>
      <w:tr w:rsidR="00A874AC" w:rsidRPr="00DF3F90" w:rsidTr="00DF3F90">
        <w:trPr>
          <w:trHeight w:val="288"/>
        </w:trPr>
        <w:tc>
          <w:tcPr>
            <w:tcW w:w="1970" w:type="dxa"/>
            <w:shd w:val="clear" w:color="000000" w:fill="D2EAF1"/>
            <w:noWrap/>
            <w:vAlign w:val="center"/>
          </w:tcPr>
          <w:p w:rsidR="006E720E" w:rsidRPr="00DF3F90" w:rsidRDefault="006E720E" w:rsidP="00380FF9">
            <w:pPr>
              <w:jc w:val="left"/>
              <w:rPr>
                <w:bCs/>
                <w:color w:val="000000"/>
                <w:sz w:val="19"/>
                <w:szCs w:val="19"/>
              </w:rPr>
            </w:pPr>
            <w:r w:rsidRPr="00DF3F90">
              <w:rPr>
                <w:bCs/>
                <w:color w:val="000000"/>
                <w:sz w:val="19"/>
                <w:szCs w:val="19"/>
              </w:rPr>
              <w:t>HVAC and DHW – 1</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7</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43.0%</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43.0%</w:t>
            </w:r>
          </w:p>
        </w:tc>
        <w:tc>
          <w:tcPr>
            <w:tcW w:w="123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43.0%</w:t>
            </w:r>
          </w:p>
        </w:tc>
      </w:tr>
      <w:tr w:rsidR="00E7173E" w:rsidRPr="00DF3F90" w:rsidTr="00DF3F90">
        <w:trPr>
          <w:trHeight w:val="288"/>
        </w:trPr>
        <w:tc>
          <w:tcPr>
            <w:tcW w:w="1970" w:type="dxa"/>
            <w:shd w:val="clear" w:color="auto" w:fill="auto"/>
            <w:noWrap/>
            <w:vAlign w:val="center"/>
          </w:tcPr>
          <w:p w:rsidR="006E720E" w:rsidRPr="00DF3F90" w:rsidRDefault="006E720E" w:rsidP="00380FF9">
            <w:pPr>
              <w:jc w:val="left"/>
              <w:rPr>
                <w:bCs/>
                <w:color w:val="000000"/>
                <w:sz w:val="19"/>
                <w:szCs w:val="19"/>
              </w:rPr>
            </w:pPr>
            <w:r w:rsidRPr="00DF3F90">
              <w:rPr>
                <w:bCs/>
                <w:color w:val="000000"/>
                <w:sz w:val="19"/>
                <w:szCs w:val="19"/>
              </w:rPr>
              <w:t>HVAC and DHW – 2</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36</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49.5%</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49.5%</w:t>
            </w:r>
          </w:p>
        </w:tc>
        <w:tc>
          <w:tcPr>
            <w:tcW w:w="123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49.5%</w:t>
            </w:r>
          </w:p>
        </w:tc>
      </w:tr>
      <w:tr w:rsidR="00A874AC" w:rsidRPr="00DF3F90" w:rsidTr="00DF3F90">
        <w:trPr>
          <w:trHeight w:val="288"/>
        </w:trPr>
        <w:tc>
          <w:tcPr>
            <w:tcW w:w="1970" w:type="dxa"/>
            <w:shd w:val="clear" w:color="000000" w:fill="D2EAF1"/>
            <w:vAlign w:val="center"/>
          </w:tcPr>
          <w:p w:rsidR="006E720E" w:rsidRPr="00DF3F90" w:rsidRDefault="006E720E" w:rsidP="00380FF9">
            <w:pPr>
              <w:jc w:val="left"/>
              <w:rPr>
                <w:bCs/>
                <w:color w:val="000000"/>
                <w:sz w:val="19"/>
                <w:szCs w:val="19"/>
              </w:rPr>
            </w:pPr>
            <w:r w:rsidRPr="00DF3F90">
              <w:rPr>
                <w:bCs/>
                <w:color w:val="000000"/>
                <w:sz w:val="19"/>
                <w:szCs w:val="19"/>
              </w:rPr>
              <w:t>Appliance Turn-In – 1</w:t>
            </w:r>
          </w:p>
        </w:tc>
        <w:tc>
          <w:tcPr>
            <w:tcW w:w="1230" w:type="dxa"/>
            <w:shd w:val="clear" w:color="000000" w:fill="D2EAF1"/>
            <w:noWrap/>
            <w:vAlign w:val="center"/>
          </w:tcPr>
          <w:p w:rsidR="006E720E" w:rsidRPr="00DF3F90" w:rsidRDefault="006E720E" w:rsidP="00380FF9">
            <w:pPr>
              <w:jc w:val="center"/>
              <w:rPr>
                <w:bCs/>
                <w:color w:val="000000"/>
                <w:sz w:val="19"/>
                <w:szCs w:val="19"/>
              </w:rPr>
            </w:pPr>
            <w:r w:rsidRPr="00DF3F90">
              <w:rPr>
                <w:sz w:val="19"/>
                <w:szCs w:val="19"/>
              </w:rPr>
              <w:t>58</w:t>
            </w:r>
          </w:p>
        </w:tc>
        <w:tc>
          <w:tcPr>
            <w:tcW w:w="1230" w:type="dxa"/>
            <w:shd w:val="clear" w:color="000000" w:fill="D2EAF1"/>
            <w:noWrap/>
            <w:vAlign w:val="center"/>
          </w:tcPr>
          <w:p w:rsidR="006E720E" w:rsidRPr="00DF3F90" w:rsidRDefault="006E720E" w:rsidP="00380FF9">
            <w:pPr>
              <w:jc w:val="center"/>
              <w:rPr>
                <w:bCs/>
                <w:color w:val="000000"/>
                <w:sz w:val="19"/>
                <w:szCs w:val="19"/>
              </w:rPr>
            </w:pPr>
            <w:r w:rsidRPr="00DF3F90">
              <w:rPr>
                <w:sz w:val="19"/>
                <w:szCs w:val="19"/>
              </w:rPr>
              <w:t>71.4%</w:t>
            </w:r>
          </w:p>
        </w:tc>
        <w:tc>
          <w:tcPr>
            <w:tcW w:w="1230" w:type="dxa"/>
            <w:shd w:val="clear" w:color="000000" w:fill="D2EAF1"/>
            <w:noWrap/>
            <w:vAlign w:val="center"/>
          </w:tcPr>
          <w:p w:rsidR="006E720E" w:rsidRPr="00DF3F90" w:rsidRDefault="006E720E" w:rsidP="00380FF9">
            <w:pPr>
              <w:jc w:val="center"/>
              <w:rPr>
                <w:bCs/>
                <w:color w:val="000000"/>
                <w:sz w:val="19"/>
                <w:szCs w:val="19"/>
              </w:rPr>
            </w:pPr>
            <w:r w:rsidRPr="00DF3F90">
              <w:rPr>
                <w:sz w:val="19"/>
                <w:szCs w:val="19"/>
              </w:rPr>
              <w:t>1</w:t>
            </w:r>
          </w:p>
        </w:tc>
        <w:tc>
          <w:tcPr>
            <w:tcW w:w="1230" w:type="dxa"/>
            <w:shd w:val="clear" w:color="000000" w:fill="D2EAF1"/>
            <w:noWrap/>
            <w:vAlign w:val="center"/>
          </w:tcPr>
          <w:p w:rsidR="006E720E" w:rsidRPr="00DF3F90" w:rsidRDefault="006E720E" w:rsidP="00380FF9">
            <w:pPr>
              <w:jc w:val="center"/>
              <w:rPr>
                <w:bCs/>
                <w:color w:val="000000"/>
                <w:sz w:val="19"/>
                <w:szCs w:val="19"/>
              </w:rPr>
            </w:pPr>
            <w:r w:rsidRPr="00DF3F90">
              <w:rPr>
                <w:sz w:val="19"/>
                <w:szCs w:val="19"/>
              </w:rPr>
              <w:t>1</w:t>
            </w:r>
          </w:p>
        </w:tc>
        <w:tc>
          <w:tcPr>
            <w:tcW w:w="1230" w:type="dxa"/>
            <w:shd w:val="clear" w:color="000000" w:fill="D2EAF1"/>
            <w:noWrap/>
            <w:vAlign w:val="center"/>
          </w:tcPr>
          <w:p w:rsidR="006E720E" w:rsidRPr="00DF3F90" w:rsidRDefault="006E720E" w:rsidP="00380FF9">
            <w:pPr>
              <w:jc w:val="center"/>
              <w:rPr>
                <w:bCs/>
                <w:color w:val="000000"/>
                <w:sz w:val="19"/>
                <w:szCs w:val="19"/>
              </w:rPr>
            </w:pPr>
            <w:r w:rsidRPr="00DF3F90">
              <w:rPr>
                <w:sz w:val="19"/>
                <w:szCs w:val="19"/>
              </w:rPr>
              <w:t>71.4%</w:t>
            </w:r>
          </w:p>
        </w:tc>
        <w:tc>
          <w:tcPr>
            <w:tcW w:w="1230" w:type="dxa"/>
            <w:shd w:val="clear" w:color="000000" w:fill="D2EAF1"/>
            <w:noWrap/>
            <w:vAlign w:val="center"/>
          </w:tcPr>
          <w:p w:rsidR="006E720E" w:rsidRPr="00DF3F90" w:rsidRDefault="006E720E" w:rsidP="00380FF9">
            <w:pPr>
              <w:jc w:val="center"/>
              <w:rPr>
                <w:bCs/>
                <w:color w:val="000000"/>
                <w:sz w:val="19"/>
                <w:szCs w:val="19"/>
              </w:rPr>
            </w:pPr>
            <w:r w:rsidRPr="00DF3F90">
              <w:rPr>
                <w:sz w:val="19"/>
                <w:szCs w:val="19"/>
              </w:rPr>
              <w:t>71.4%</w:t>
            </w:r>
          </w:p>
        </w:tc>
      </w:tr>
      <w:tr w:rsidR="00E7173E" w:rsidRPr="00DF3F90" w:rsidTr="00DF3F90">
        <w:trPr>
          <w:trHeight w:val="288"/>
        </w:trPr>
        <w:tc>
          <w:tcPr>
            <w:tcW w:w="1970" w:type="dxa"/>
            <w:shd w:val="clear" w:color="auto" w:fill="auto"/>
            <w:vAlign w:val="center"/>
          </w:tcPr>
          <w:p w:rsidR="006E720E" w:rsidRPr="00DF3F90" w:rsidRDefault="006E720E" w:rsidP="00380FF9">
            <w:pPr>
              <w:jc w:val="left"/>
              <w:rPr>
                <w:bCs/>
                <w:color w:val="000000"/>
                <w:sz w:val="19"/>
                <w:szCs w:val="19"/>
              </w:rPr>
            </w:pPr>
            <w:r w:rsidRPr="00DF3F90">
              <w:rPr>
                <w:bCs/>
                <w:color w:val="000000"/>
                <w:sz w:val="19"/>
                <w:szCs w:val="19"/>
              </w:rPr>
              <w:t>Kitchen/appliances – 1</w:t>
            </w:r>
          </w:p>
        </w:tc>
        <w:tc>
          <w:tcPr>
            <w:tcW w:w="1230" w:type="dxa"/>
            <w:shd w:val="clear" w:color="auto" w:fill="auto"/>
            <w:noWrap/>
            <w:vAlign w:val="center"/>
          </w:tcPr>
          <w:p w:rsidR="006E720E" w:rsidRPr="00DF3F90" w:rsidRDefault="006E720E" w:rsidP="00380FF9">
            <w:pPr>
              <w:jc w:val="center"/>
              <w:rPr>
                <w:bCs/>
                <w:color w:val="000000"/>
                <w:sz w:val="19"/>
                <w:szCs w:val="19"/>
              </w:rPr>
            </w:pPr>
            <w:r w:rsidRPr="00DF3F90">
              <w:rPr>
                <w:sz w:val="19"/>
                <w:szCs w:val="19"/>
              </w:rPr>
              <w:t>12</w:t>
            </w:r>
          </w:p>
        </w:tc>
        <w:tc>
          <w:tcPr>
            <w:tcW w:w="1230" w:type="dxa"/>
            <w:shd w:val="clear" w:color="auto" w:fill="auto"/>
            <w:noWrap/>
            <w:vAlign w:val="center"/>
          </w:tcPr>
          <w:p w:rsidR="006E720E" w:rsidRPr="00DF3F90" w:rsidRDefault="006E720E" w:rsidP="00380FF9">
            <w:pPr>
              <w:jc w:val="center"/>
              <w:rPr>
                <w:bCs/>
                <w:color w:val="000000"/>
                <w:sz w:val="19"/>
                <w:szCs w:val="19"/>
              </w:rPr>
            </w:pPr>
            <w:r w:rsidRPr="00DF3F90">
              <w:rPr>
                <w:sz w:val="19"/>
                <w:szCs w:val="19"/>
              </w:rPr>
              <w:t>68.9%</w:t>
            </w:r>
          </w:p>
        </w:tc>
        <w:tc>
          <w:tcPr>
            <w:tcW w:w="1230" w:type="dxa"/>
            <w:shd w:val="clear" w:color="auto" w:fill="auto"/>
            <w:noWrap/>
            <w:vAlign w:val="center"/>
          </w:tcPr>
          <w:p w:rsidR="006E720E" w:rsidRPr="00DF3F90" w:rsidRDefault="006E720E" w:rsidP="00380FF9">
            <w:pPr>
              <w:jc w:val="center"/>
              <w:rPr>
                <w:bCs/>
                <w:color w:val="000000"/>
                <w:sz w:val="19"/>
                <w:szCs w:val="19"/>
              </w:rPr>
            </w:pPr>
            <w:r w:rsidRPr="00DF3F90">
              <w:rPr>
                <w:sz w:val="19"/>
                <w:szCs w:val="19"/>
              </w:rPr>
              <w:t>1</w:t>
            </w:r>
          </w:p>
        </w:tc>
        <w:tc>
          <w:tcPr>
            <w:tcW w:w="1230" w:type="dxa"/>
            <w:shd w:val="clear" w:color="auto" w:fill="auto"/>
            <w:noWrap/>
            <w:vAlign w:val="center"/>
          </w:tcPr>
          <w:p w:rsidR="006E720E" w:rsidRPr="00DF3F90" w:rsidRDefault="006E720E" w:rsidP="00380FF9">
            <w:pPr>
              <w:jc w:val="center"/>
              <w:rPr>
                <w:bCs/>
                <w:color w:val="000000"/>
                <w:sz w:val="19"/>
                <w:szCs w:val="19"/>
              </w:rPr>
            </w:pPr>
            <w:r w:rsidRPr="00DF3F90">
              <w:rPr>
                <w:sz w:val="19"/>
                <w:szCs w:val="19"/>
              </w:rPr>
              <w:t>1</w:t>
            </w:r>
          </w:p>
        </w:tc>
        <w:tc>
          <w:tcPr>
            <w:tcW w:w="1230" w:type="dxa"/>
            <w:shd w:val="clear" w:color="auto" w:fill="auto"/>
            <w:noWrap/>
            <w:vAlign w:val="center"/>
          </w:tcPr>
          <w:p w:rsidR="006E720E" w:rsidRPr="00DF3F90" w:rsidRDefault="006E720E" w:rsidP="00380FF9">
            <w:pPr>
              <w:jc w:val="center"/>
              <w:rPr>
                <w:bCs/>
                <w:color w:val="000000"/>
                <w:sz w:val="19"/>
                <w:szCs w:val="19"/>
              </w:rPr>
            </w:pPr>
            <w:r w:rsidRPr="00DF3F90">
              <w:rPr>
                <w:sz w:val="19"/>
                <w:szCs w:val="19"/>
              </w:rPr>
              <w:t>68.9%</w:t>
            </w:r>
          </w:p>
        </w:tc>
        <w:tc>
          <w:tcPr>
            <w:tcW w:w="1230" w:type="dxa"/>
            <w:shd w:val="clear" w:color="auto" w:fill="auto"/>
            <w:noWrap/>
            <w:vAlign w:val="center"/>
          </w:tcPr>
          <w:p w:rsidR="006E720E" w:rsidRPr="00DF3F90" w:rsidRDefault="006E720E" w:rsidP="00380FF9">
            <w:pPr>
              <w:jc w:val="center"/>
              <w:rPr>
                <w:bCs/>
                <w:color w:val="000000"/>
                <w:sz w:val="19"/>
                <w:szCs w:val="19"/>
              </w:rPr>
            </w:pPr>
            <w:r w:rsidRPr="00DF3F90">
              <w:rPr>
                <w:sz w:val="19"/>
                <w:szCs w:val="19"/>
              </w:rPr>
              <w:t>68.9%</w:t>
            </w:r>
          </w:p>
        </w:tc>
      </w:tr>
      <w:tr w:rsidR="00A874AC" w:rsidRPr="00DF3F90" w:rsidTr="00DF3F90">
        <w:trPr>
          <w:trHeight w:val="288"/>
        </w:trPr>
        <w:tc>
          <w:tcPr>
            <w:tcW w:w="1970" w:type="dxa"/>
            <w:shd w:val="clear" w:color="000000" w:fill="D2EAF1"/>
            <w:vAlign w:val="center"/>
          </w:tcPr>
          <w:p w:rsidR="006E720E" w:rsidRPr="00DF3F90" w:rsidRDefault="006E720E" w:rsidP="00380FF9">
            <w:pPr>
              <w:jc w:val="left"/>
              <w:rPr>
                <w:bCs/>
                <w:color w:val="000000"/>
                <w:sz w:val="19"/>
                <w:szCs w:val="19"/>
              </w:rPr>
            </w:pPr>
            <w:r w:rsidRPr="00DF3F90">
              <w:rPr>
                <w:b/>
                <w:bCs/>
                <w:color w:val="000000"/>
                <w:sz w:val="19"/>
                <w:szCs w:val="19"/>
              </w:rPr>
              <w:t>Program Total</w:t>
            </w:r>
          </w:p>
        </w:tc>
        <w:tc>
          <w:tcPr>
            <w:tcW w:w="1230"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694</w:t>
            </w:r>
          </w:p>
        </w:tc>
        <w:tc>
          <w:tcPr>
            <w:tcW w:w="1230"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12.8%</w:t>
            </w:r>
          </w:p>
        </w:tc>
        <w:tc>
          <w:tcPr>
            <w:tcW w:w="1230"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37</w:t>
            </w:r>
          </w:p>
        </w:tc>
        <w:tc>
          <w:tcPr>
            <w:tcW w:w="1230"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37</w:t>
            </w:r>
          </w:p>
        </w:tc>
        <w:tc>
          <w:tcPr>
            <w:tcW w:w="1230"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12.3%</w:t>
            </w:r>
          </w:p>
        </w:tc>
        <w:tc>
          <w:tcPr>
            <w:tcW w:w="1230"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12.6%</w:t>
            </w:r>
          </w:p>
        </w:tc>
      </w:tr>
    </w:tbl>
    <w:p w:rsidR="006E720E" w:rsidRPr="003458B1" w:rsidRDefault="006E720E" w:rsidP="006E720E"/>
    <w:p w:rsidR="006E720E" w:rsidRPr="003458B1" w:rsidRDefault="006E720E" w:rsidP="008C7396">
      <w:pPr>
        <w:pStyle w:val="AppendixAHeading5"/>
      </w:pPr>
      <w:r w:rsidRPr="003458B1">
        <w:t>Small C/I Energy Efficient Buildings Program</w:t>
      </w:r>
    </w:p>
    <w:p w:rsidR="006E720E" w:rsidRPr="003458B1" w:rsidRDefault="006E720E" w:rsidP="006E720E">
      <w:r w:rsidRPr="003458B1">
        <w:t>This was a new program in Phase II. The program includes two components: energy conservation kits delivered by mail to non-residential customers and whole-building projects such as new construction, retro-commissioning, and building envelope improvements. Sampling and project-level gross impact evaluation methodologies for efficient equipment and building upgrade measures are identical to the me</w:t>
      </w:r>
      <w:r w:rsidR="00602E9A">
        <w:t xml:space="preserve">thodology described for the </w:t>
      </w:r>
      <w:r w:rsidRPr="003458B1">
        <w:t xml:space="preserve">Small </w:t>
      </w:r>
      <w:r w:rsidR="00602E9A">
        <w:t xml:space="preserve">C/I </w:t>
      </w:r>
      <w:r>
        <w:t xml:space="preserve">Energy </w:t>
      </w:r>
      <w:r w:rsidRPr="003458B1">
        <w:t xml:space="preserve">Efficient Equipment Program above. The sample design strategy and the achieved precision values for energy and demand are </w:t>
      </w:r>
      <w:r w:rsidRPr="006E720E">
        <w:t xml:space="preserve">shown in </w:t>
      </w:r>
      <w:r w:rsidRPr="006E720E">
        <w:fldChar w:fldCharType="begin"/>
      </w:r>
      <w:r w:rsidRPr="006E720E">
        <w:instrText xml:space="preserve"> REF _Ref440032993 \h  \* MERGEFORMAT </w:instrText>
      </w:r>
      <w:r w:rsidRPr="006E720E">
        <w:fldChar w:fldCharType="separate"/>
      </w:r>
      <w:r w:rsidR="00037CB4" w:rsidRPr="00B81A2F">
        <w:rPr>
          <w:bCs/>
        </w:rPr>
        <w:t>Table A-38</w:t>
      </w:r>
      <w:r w:rsidRPr="006E720E">
        <w:fldChar w:fldCharType="end"/>
      </w:r>
      <w:r w:rsidRPr="006E720E">
        <w:t>. The</w:t>
      </w:r>
      <w:r w:rsidRPr="003458B1">
        <w:t xml:space="preserve"> precision levels for energy and for demand met the SWE Team requirements.</w:t>
      </w:r>
    </w:p>
    <w:p w:rsidR="006E720E" w:rsidRPr="003458B1" w:rsidRDefault="006E720E" w:rsidP="006E720E"/>
    <w:p w:rsidR="006E720E" w:rsidRPr="003458B1" w:rsidRDefault="006E720E" w:rsidP="006E720E">
      <w:pPr>
        <w:spacing w:after="120"/>
        <w:jc w:val="center"/>
        <w:rPr>
          <w:rFonts w:ascii="Century Gothic" w:hAnsi="Century Gothic"/>
          <w:b/>
          <w:bCs/>
          <w:sz w:val="18"/>
          <w:szCs w:val="18"/>
        </w:rPr>
      </w:pPr>
      <w:bookmarkStart w:id="732" w:name="_Ref440032993"/>
      <w:bookmarkStart w:id="733" w:name="_Toc410199414"/>
      <w:bookmarkStart w:id="734" w:name="_Toc431462334"/>
      <w:bookmarkStart w:id="735" w:name="_Toc444269854"/>
      <w:bookmarkStart w:id="736" w:name="_Toc472472447"/>
      <w:bookmarkStart w:id="737" w:name="_Toc488741866"/>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38</w:t>
      </w:r>
      <w:r w:rsidRPr="003458B1">
        <w:rPr>
          <w:rFonts w:ascii="Century Gothic" w:hAnsi="Century Gothic"/>
          <w:b/>
          <w:bCs/>
          <w:sz w:val="18"/>
          <w:szCs w:val="18"/>
        </w:rPr>
        <w:fldChar w:fldCharType="end"/>
      </w:r>
      <w:bookmarkEnd w:id="732"/>
      <w:r w:rsidRPr="003458B1">
        <w:rPr>
          <w:rFonts w:ascii="Century Gothic" w:hAnsi="Century Gothic"/>
          <w:b/>
          <w:bCs/>
          <w:sz w:val="18"/>
          <w:szCs w:val="18"/>
        </w:rPr>
        <w:t>: Met-Ed PY7 Sampling Strategy and Relative Precision – Small C/I Energy Efficient Buildings Program</w:t>
      </w:r>
      <w:bookmarkEnd w:id="733"/>
      <w:bookmarkEnd w:id="734"/>
      <w:bookmarkEnd w:id="735"/>
      <w:bookmarkEnd w:id="736"/>
      <w:bookmarkEnd w:id="737"/>
    </w:p>
    <w:tbl>
      <w:tblPr>
        <w:tblW w:w="9406"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426"/>
        <w:gridCol w:w="1163"/>
        <w:gridCol w:w="1163"/>
        <w:gridCol w:w="1164"/>
        <w:gridCol w:w="1163"/>
        <w:gridCol w:w="1163"/>
        <w:gridCol w:w="1164"/>
      </w:tblGrid>
      <w:tr w:rsidR="00A874AC" w:rsidRPr="00DF3F90" w:rsidTr="00DF3F90">
        <w:trPr>
          <w:trHeight w:val="1008"/>
        </w:trPr>
        <w:tc>
          <w:tcPr>
            <w:tcW w:w="2426" w:type="dxa"/>
            <w:shd w:val="clear" w:color="000000" w:fill="448A99"/>
            <w:vAlign w:val="bottom"/>
            <w:hideMark/>
          </w:tcPr>
          <w:p w:rsidR="006E720E" w:rsidRPr="00DF3F90" w:rsidRDefault="006E720E" w:rsidP="00380FF9">
            <w:pPr>
              <w:rPr>
                <w:b/>
                <w:bCs/>
                <w:color w:val="FFFFFF"/>
                <w:sz w:val="19"/>
                <w:szCs w:val="19"/>
              </w:rPr>
            </w:pPr>
            <w:r w:rsidRPr="00DF3F90">
              <w:rPr>
                <w:b/>
                <w:bCs/>
                <w:color w:val="FFFFFF"/>
                <w:sz w:val="19"/>
                <w:szCs w:val="19"/>
              </w:rPr>
              <w:t>Stratum</w:t>
            </w:r>
          </w:p>
        </w:tc>
        <w:tc>
          <w:tcPr>
            <w:tcW w:w="1163"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Population</w:t>
            </w:r>
          </w:p>
        </w:tc>
        <w:tc>
          <w:tcPr>
            <w:tcW w:w="1163"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Target Levels of Confidence &amp; Precision</w:t>
            </w:r>
          </w:p>
        </w:tc>
        <w:tc>
          <w:tcPr>
            <w:tcW w:w="1164"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Target Sample Size</w:t>
            </w:r>
          </w:p>
        </w:tc>
        <w:tc>
          <w:tcPr>
            <w:tcW w:w="1163"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Achieved Sample Size</w:t>
            </w:r>
          </w:p>
        </w:tc>
        <w:tc>
          <w:tcPr>
            <w:tcW w:w="1163"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Relative Precision at 85% C.L. for Energy</w:t>
            </w:r>
          </w:p>
        </w:tc>
        <w:tc>
          <w:tcPr>
            <w:tcW w:w="1164"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Relative Precision at 85% C.L. for Demand</w:t>
            </w:r>
          </w:p>
        </w:tc>
      </w:tr>
      <w:tr w:rsidR="00A874AC" w:rsidRPr="00DF3F90" w:rsidTr="00DF3F90">
        <w:trPr>
          <w:trHeight w:val="288"/>
        </w:trPr>
        <w:tc>
          <w:tcPr>
            <w:tcW w:w="2426" w:type="dxa"/>
            <w:shd w:val="clear" w:color="000000" w:fill="D2EAF1"/>
            <w:noWrap/>
            <w:vAlign w:val="center"/>
          </w:tcPr>
          <w:p w:rsidR="006E720E" w:rsidRPr="00DF3F90" w:rsidRDefault="006E720E" w:rsidP="00380FF9">
            <w:pPr>
              <w:jc w:val="left"/>
              <w:rPr>
                <w:bCs/>
                <w:color w:val="000000"/>
                <w:sz w:val="19"/>
                <w:szCs w:val="19"/>
              </w:rPr>
            </w:pPr>
            <w:r w:rsidRPr="00DF3F90">
              <w:rPr>
                <w:sz w:val="19"/>
                <w:szCs w:val="19"/>
              </w:rPr>
              <w:t>CFL kits – 1</w:t>
            </w:r>
          </w:p>
        </w:tc>
        <w:tc>
          <w:tcPr>
            <w:tcW w:w="1163"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4,494</w:t>
            </w:r>
          </w:p>
        </w:tc>
        <w:tc>
          <w:tcPr>
            <w:tcW w:w="1163"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11.3%</w:t>
            </w:r>
          </w:p>
        </w:tc>
        <w:tc>
          <w:tcPr>
            <w:tcW w:w="1164"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40</w:t>
            </w:r>
          </w:p>
        </w:tc>
        <w:tc>
          <w:tcPr>
            <w:tcW w:w="1163"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47</w:t>
            </w:r>
          </w:p>
        </w:tc>
        <w:tc>
          <w:tcPr>
            <w:tcW w:w="1163"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10.4%</w:t>
            </w:r>
          </w:p>
        </w:tc>
        <w:tc>
          <w:tcPr>
            <w:tcW w:w="1164"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10.4%</w:t>
            </w:r>
          </w:p>
        </w:tc>
      </w:tr>
      <w:tr w:rsidR="00E7173E" w:rsidRPr="00DF3F90" w:rsidTr="00DF3F90">
        <w:trPr>
          <w:trHeight w:val="288"/>
        </w:trPr>
        <w:tc>
          <w:tcPr>
            <w:tcW w:w="2426" w:type="dxa"/>
            <w:shd w:val="clear" w:color="auto" w:fill="auto"/>
            <w:vAlign w:val="center"/>
          </w:tcPr>
          <w:p w:rsidR="006E720E" w:rsidRPr="00DF3F90" w:rsidRDefault="006E720E" w:rsidP="00380FF9">
            <w:pPr>
              <w:jc w:val="left"/>
              <w:rPr>
                <w:b/>
                <w:bCs/>
                <w:color w:val="000000"/>
                <w:sz w:val="19"/>
                <w:szCs w:val="19"/>
              </w:rPr>
            </w:pPr>
            <w:r w:rsidRPr="00DF3F90">
              <w:rPr>
                <w:sz w:val="19"/>
                <w:szCs w:val="19"/>
              </w:rPr>
              <w:t>Lighting – certainty</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r>
      <w:tr w:rsidR="00A874AC" w:rsidRPr="00DF3F90" w:rsidTr="00DF3F90">
        <w:trPr>
          <w:trHeight w:val="288"/>
        </w:trPr>
        <w:tc>
          <w:tcPr>
            <w:tcW w:w="2426" w:type="dxa"/>
            <w:shd w:val="clear" w:color="auto" w:fill="D2EAF1"/>
            <w:vAlign w:val="center"/>
          </w:tcPr>
          <w:p w:rsidR="006E720E" w:rsidRPr="00DF3F90" w:rsidRDefault="006E720E" w:rsidP="00380FF9">
            <w:pPr>
              <w:jc w:val="left"/>
              <w:rPr>
                <w:b/>
                <w:bCs/>
                <w:color w:val="000000"/>
                <w:sz w:val="19"/>
                <w:szCs w:val="19"/>
              </w:rPr>
            </w:pPr>
            <w:r w:rsidRPr="00DF3F90">
              <w:rPr>
                <w:sz w:val="19"/>
                <w:szCs w:val="19"/>
              </w:rPr>
              <w:t>Lighting – 2</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0.0%</w:t>
            </w:r>
          </w:p>
        </w:tc>
      </w:tr>
      <w:tr w:rsidR="00E7173E" w:rsidRPr="00DF3F90" w:rsidTr="00DF3F90">
        <w:trPr>
          <w:trHeight w:val="288"/>
        </w:trPr>
        <w:tc>
          <w:tcPr>
            <w:tcW w:w="2426" w:type="dxa"/>
            <w:shd w:val="clear" w:color="auto" w:fill="auto"/>
            <w:vAlign w:val="center"/>
          </w:tcPr>
          <w:p w:rsidR="006E720E" w:rsidRPr="00DF3F90" w:rsidRDefault="006E720E" w:rsidP="00380FF9">
            <w:pPr>
              <w:jc w:val="left"/>
              <w:rPr>
                <w:b/>
                <w:bCs/>
                <w:color w:val="000000"/>
                <w:sz w:val="19"/>
                <w:szCs w:val="19"/>
              </w:rPr>
            </w:pPr>
            <w:r w:rsidRPr="00DF3F90">
              <w:rPr>
                <w:sz w:val="19"/>
                <w:szCs w:val="19"/>
              </w:rPr>
              <w:t>Lighting – 3</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r>
      <w:tr w:rsidR="00A874AC" w:rsidRPr="00DF3F90" w:rsidTr="00DF3F90">
        <w:trPr>
          <w:trHeight w:val="288"/>
        </w:trPr>
        <w:tc>
          <w:tcPr>
            <w:tcW w:w="2426" w:type="dxa"/>
            <w:shd w:val="clear" w:color="auto" w:fill="D2EAF1"/>
            <w:vAlign w:val="center"/>
          </w:tcPr>
          <w:p w:rsidR="006E720E" w:rsidRPr="00DF3F90" w:rsidRDefault="006E720E" w:rsidP="00380FF9">
            <w:pPr>
              <w:jc w:val="left"/>
              <w:rPr>
                <w:b/>
                <w:bCs/>
                <w:color w:val="000000"/>
                <w:sz w:val="19"/>
                <w:szCs w:val="19"/>
              </w:rPr>
            </w:pPr>
            <w:r w:rsidRPr="00DF3F90">
              <w:rPr>
                <w:sz w:val="19"/>
                <w:szCs w:val="19"/>
              </w:rPr>
              <w:t>Lighting – 4</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0.0%</w:t>
            </w:r>
          </w:p>
        </w:tc>
      </w:tr>
      <w:tr w:rsidR="00E7173E" w:rsidRPr="00DF3F90" w:rsidTr="00DF3F90">
        <w:trPr>
          <w:trHeight w:val="288"/>
        </w:trPr>
        <w:tc>
          <w:tcPr>
            <w:tcW w:w="2426" w:type="dxa"/>
            <w:shd w:val="clear" w:color="auto" w:fill="auto"/>
            <w:vAlign w:val="center"/>
          </w:tcPr>
          <w:p w:rsidR="006E720E" w:rsidRPr="00DF3F90" w:rsidRDefault="006E720E" w:rsidP="00380FF9">
            <w:pPr>
              <w:jc w:val="left"/>
              <w:rPr>
                <w:b/>
                <w:bCs/>
                <w:color w:val="000000"/>
                <w:sz w:val="19"/>
                <w:szCs w:val="19"/>
              </w:rPr>
            </w:pPr>
            <w:r w:rsidRPr="00DF3F90">
              <w:rPr>
                <w:sz w:val="19"/>
                <w:szCs w:val="19"/>
              </w:rPr>
              <w:t>Custom – certainty</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4</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4</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2</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36.0%</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36.0%</w:t>
            </w:r>
          </w:p>
        </w:tc>
      </w:tr>
      <w:tr w:rsidR="00A874AC" w:rsidRPr="00DF3F90" w:rsidTr="00DF3F90">
        <w:trPr>
          <w:trHeight w:val="288"/>
        </w:trPr>
        <w:tc>
          <w:tcPr>
            <w:tcW w:w="2426" w:type="dxa"/>
            <w:shd w:val="clear" w:color="auto" w:fill="D2EAF1"/>
            <w:vAlign w:val="center"/>
          </w:tcPr>
          <w:p w:rsidR="006E720E" w:rsidRPr="00DF3F90" w:rsidRDefault="006E720E" w:rsidP="00380FF9">
            <w:pPr>
              <w:jc w:val="left"/>
              <w:rPr>
                <w:b/>
                <w:bCs/>
                <w:color w:val="000000"/>
                <w:sz w:val="19"/>
                <w:szCs w:val="19"/>
              </w:rPr>
            </w:pPr>
            <w:r w:rsidRPr="00DF3F90">
              <w:rPr>
                <w:sz w:val="19"/>
                <w:szCs w:val="19"/>
              </w:rPr>
              <w:t>Custom – 2</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11</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28.7%</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4</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3</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35.5%</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35.5%</w:t>
            </w:r>
          </w:p>
        </w:tc>
      </w:tr>
      <w:tr w:rsidR="00E7173E" w:rsidRPr="00DF3F90" w:rsidTr="00DF3F90">
        <w:trPr>
          <w:trHeight w:val="288"/>
        </w:trPr>
        <w:tc>
          <w:tcPr>
            <w:tcW w:w="2426" w:type="dxa"/>
            <w:shd w:val="clear" w:color="auto" w:fill="auto"/>
            <w:vAlign w:val="center"/>
          </w:tcPr>
          <w:p w:rsidR="006E720E" w:rsidRPr="00DF3F90" w:rsidRDefault="006E720E" w:rsidP="00380FF9">
            <w:pPr>
              <w:jc w:val="left"/>
              <w:rPr>
                <w:b/>
                <w:bCs/>
                <w:color w:val="000000"/>
                <w:sz w:val="19"/>
                <w:szCs w:val="19"/>
              </w:rPr>
            </w:pPr>
            <w:r w:rsidRPr="00DF3F90">
              <w:rPr>
                <w:sz w:val="19"/>
                <w:szCs w:val="19"/>
              </w:rPr>
              <w:t>Custom – 3</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129</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28.7%</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6</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6</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28.7%</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28.7%</w:t>
            </w:r>
          </w:p>
        </w:tc>
      </w:tr>
      <w:tr w:rsidR="00A874AC" w:rsidRPr="00DF3F90" w:rsidTr="00DF3F90">
        <w:trPr>
          <w:trHeight w:val="288"/>
        </w:trPr>
        <w:tc>
          <w:tcPr>
            <w:tcW w:w="2426" w:type="dxa"/>
            <w:shd w:val="clear" w:color="auto" w:fill="D2EAF1"/>
            <w:vAlign w:val="center"/>
          </w:tcPr>
          <w:p w:rsidR="006E720E" w:rsidRPr="00DF3F90" w:rsidRDefault="006E720E" w:rsidP="00380FF9">
            <w:pPr>
              <w:jc w:val="left"/>
              <w:rPr>
                <w:b/>
                <w:bCs/>
                <w:color w:val="000000"/>
                <w:sz w:val="19"/>
                <w:szCs w:val="19"/>
              </w:rPr>
            </w:pPr>
            <w:r w:rsidRPr="00DF3F90">
              <w:rPr>
                <w:sz w:val="19"/>
                <w:szCs w:val="19"/>
              </w:rPr>
              <w:t>HVAC and DHW – 1</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0.0%</w:t>
            </w:r>
          </w:p>
        </w:tc>
      </w:tr>
      <w:tr w:rsidR="00E7173E" w:rsidRPr="00DF3F90" w:rsidTr="00DF3F90">
        <w:trPr>
          <w:trHeight w:val="288"/>
        </w:trPr>
        <w:tc>
          <w:tcPr>
            <w:tcW w:w="2426" w:type="dxa"/>
            <w:shd w:val="clear" w:color="auto" w:fill="auto"/>
            <w:vAlign w:val="center"/>
          </w:tcPr>
          <w:p w:rsidR="006E720E" w:rsidRPr="00DF3F90" w:rsidRDefault="006E720E" w:rsidP="00380FF9">
            <w:pPr>
              <w:jc w:val="left"/>
              <w:rPr>
                <w:b/>
                <w:bCs/>
                <w:color w:val="000000"/>
                <w:sz w:val="19"/>
                <w:szCs w:val="19"/>
              </w:rPr>
            </w:pPr>
            <w:r w:rsidRPr="00DF3F90">
              <w:rPr>
                <w:sz w:val="19"/>
                <w:szCs w:val="19"/>
              </w:rPr>
              <w:t>HVAC and DHW – 2</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r>
      <w:tr w:rsidR="00A874AC" w:rsidRPr="00DF3F90" w:rsidTr="00DF3F90">
        <w:trPr>
          <w:trHeight w:val="288"/>
        </w:trPr>
        <w:tc>
          <w:tcPr>
            <w:tcW w:w="2426" w:type="dxa"/>
            <w:shd w:val="clear" w:color="auto" w:fill="D2EAF1"/>
            <w:vAlign w:val="center"/>
          </w:tcPr>
          <w:p w:rsidR="006E720E" w:rsidRPr="00DF3F90" w:rsidRDefault="006E720E" w:rsidP="00380FF9">
            <w:pPr>
              <w:jc w:val="left"/>
              <w:rPr>
                <w:b/>
                <w:bCs/>
                <w:color w:val="000000"/>
                <w:sz w:val="19"/>
                <w:szCs w:val="19"/>
              </w:rPr>
            </w:pPr>
            <w:r w:rsidRPr="00DF3F90">
              <w:rPr>
                <w:sz w:val="19"/>
                <w:szCs w:val="19"/>
              </w:rPr>
              <w:t>Appliance Turn-In – 1</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sz w:val="19"/>
                <w:szCs w:val="19"/>
              </w:rPr>
              <w:t>0.0%</w:t>
            </w:r>
          </w:p>
        </w:tc>
      </w:tr>
      <w:tr w:rsidR="00E7173E" w:rsidRPr="00DF3F90" w:rsidTr="00DF3F90">
        <w:trPr>
          <w:trHeight w:val="288"/>
        </w:trPr>
        <w:tc>
          <w:tcPr>
            <w:tcW w:w="2426" w:type="dxa"/>
            <w:shd w:val="clear" w:color="auto" w:fill="auto"/>
            <w:vAlign w:val="center"/>
          </w:tcPr>
          <w:p w:rsidR="006E720E" w:rsidRPr="00DF3F90" w:rsidRDefault="006E720E" w:rsidP="00380FF9">
            <w:pPr>
              <w:jc w:val="left"/>
              <w:rPr>
                <w:b/>
                <w:bCs/>
                <w:color w:val="000000"/>
                <w:sz w:val="19"/>
                <w:szCs w:val="19"/>
              </w:rPr>
            </w:pPr>
            <w:r w:rsidRPr="00DF3F90">
              <w:rPr>
                <w:sz w:val="19"/>
                <w:szCs w:val="19"/>
              </w:rPr>
              <w:t>Kitchen/appliances – 1</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16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164"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r>
      <w:tr w:rsidR="00A874AC" w:rsidRPr="00DF3F90" w:rsidTr="00DF3F90">
        <w:trPr>
          <w:trHeight w:val="288"/>
        </w:trPr>
        <w:tc>
          <w:tcPr>
            <w:tcW w:w="2426" w:type="dxa"/>
            <w:shd w:val="clear" w:color="auto" w:fill="D2EAF1"/>
            <w:vAlign w:val="center"/>
          </w:tcPr>
          <w:p w:rsidR="006E720E" w:rsidRPr="00DF3F90" w:rsidRDefault="006E720E" w:rsidP="00380FF9">
            <w:pPr>
              <w:jc w:val="left"/>
              <w:rPr>
                <w:b/>
                <w:bCs/>
                <w:color w:val="000000"/>
                <w:sz w:val="19"/>
                <w:szCs w:val="19"/>
              </w:rPr>
            </w:pPr>
            <w:r w:rsidRPr="00DF3F90">
              <w:rPr>
                <w:b/>
                <w:sz w:val="19"/>
                <w:szCs w:val="19"/>
              </w:rPr>
              <w:t>Program Total</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b/>
                <w:sz w:val="19"/>
                <w:szCs w:val="19"/>
              </w:rPr>
              <w:t>4,638</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b/>
                <w:sz w:val="19"/>
                <w:szCs w:val="19"/>
              </w:rPr>
              <w:t>13.3%</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b/>
                <w:sz w:val="19"/>
                <w:szCs w:val="19"/>
              </w:rPr>
              <w:t>54</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b/>
                <w:sz w:val="19"/>
                <w:szCs w:val="19"/>
              </w:rPr>
              <w:t>58</w:t>
            </w:r>
          </w:p>
        </w:tc>
        <w:tc>
          <w:tcPr>
            <w:tcW w:w="1163" w:type="dxa"/>
            <w:shd w:val="clear" w:color="auto" w:fill="D2EAF1"/>
            <w:noWrap/>
            <w:vAlign w:val="center"/>
          </w:tcPr>
          <w:p w:rsidR="006E720E" w:rsidRPr="00DF3F90" w:rsidRDefault="006E720E" w:rsidP="00380FF9">
            <w:pPr>
              <w:jc w:val="center"/>
              <w:rPr>
                <w:b/>
                <w:bCs/>
                <w:color w:val="000000"/>
                <w:sz w:val="19"/>
                <w:szCs w:val="19"/>
              </w:rPr>
            </w:pPr>
            <w:r w:rsidRPr="00DF3F90">
              <w:rPr>
                <w:b/>
                <w:sz w:val="19"/>
                <w:szCs w:val="19"/>
              </w:rPr>
              <w:t>13.7%</w:t>
            </w:r>
          </w:p>
        </w:tc>
        <w:tc>
          <w:tcPr>
            <w:tcW w:w="1164" w:type="dxa"/>
            <w:shd w:val="clear" w:color="auto" w:fill="D2EAF1"/>
            <w:noWrap/>
            <w:vAlign w:val="center"/>
          </w:tcPr>
          <w:p w:rsidR="006E720E" w:rsidRPr="00DF3F90" w:rsidRDefault="006E720E" w:rsidP="00380FF9">
            <w:pPr>
              <w:jc w:val="center"/>
              <w:rPr>
                <w:b/>
                <w:bCs/>
                <w:color w:val="000000"/>
                <w:sz w:val="19"/>
                <w:szCs w:val="19"/>
              </w:rPr>
            </w:pPr>
            <w:r w:rsidRPr="00DF3F90">
              <w:rPr>
                <w:b/>
                <w:sz w:val="19"/>
                <w:szCs w:val="19"/>
              </w:rPr>
              <w:t>13.2%</w:t>
            </w:r>
          </w:p>
        </w:tc>
      </w:tr>
    </w:tbl>
    <w:p w:rsidR="006E720E" w:rsidRPr="003458B1" w:rsidRDefault="006E720E" w:rsidP="006E720E"/>
    <w:p w:rsidR="006E720E" w:rsidRPr="00DF3F90" w:rsidRDefault="006E720E" w:rsidP="008C7396">
      <w:pPr>
        <w:pStyle w:val="AppendixAHeading5"/>
      </w:pPr>
      <w:r w:rsidRPr="00DF3F90">
        <w:t>Large C/I Energy Efficient Equipment Program</w:t>
      </w:r>
    </w:p>
    <w:p w:rsidR="006E720E" w:rsidRPr="003458B1" w:rsidRDefault="006E720E" w:rsidP="006E720E">
      <w:r w:rsidRPr="003458B1">
        <w:t xml:space="preserve">The evaluation contractor used stratified ratio estimation to estimate savings for the program and stratified random sampling for sample design.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was stratified based on energy savings at the measure level. The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_Ref433896536 \h  \* MERGEFORMAT </w:instrText>
      </w:r>
      <w:r w:rsidRPr="003458B1">
        <w:fldChar w:fldCharType="separate"/>
      </w:r>
      <w:r w:rsidR="00037CB4" w:rsidRPr="00B81A2F">
        <w:t>Table A-39</w:t>
      </w:r>
      <w:r w:rsidRPr="003458B1">
        <w:fldChar w:fldCharType="end"/>
      </w:r>
      <w:r w:rsidRPr="003458B1">
        <w:t>. The data show that Met-Ed met the SWE Team require</w:t>
      </w:r>
      <w:r>
        <w:t>ments of 85/15 confidence/</w:t>
      </w:r>
      <w:r w:rsidRPr="003458B1">
        <w:t xml:space="preserve">precision for energy and peak demand for this </w:t>
      </w:r>
      <w:r w:rsidRPr="0038422A">
        <w:t>program.</w:t>
      </w:r>
    </w:p>
    <w:p w:rsidR="006E720E" w:rsidRPr="003458B1" w:rsidRDefault="006E720E" w:rsidP="006E720E"/>
    <w:p w:rsidR="006E720E" w:rsidRPr="003458B1" w:rsidRDefault="006E720E" w:rsidP="006E720E">
      <w:pPr>
        <w:spacing w:after="120"/>
        <w:jc w:val="center"/>
        <w:rPr>
          <w:rFonts w:ascii="Century Gothic" w:hAnsi="Century Gothic"/>
          <w:b/>
          <w:bCs/>
          <w:sz w:val="18"/>
          <w:szCs w:val="18"/>
        </w:rPr>
      </w:pPr>
      <w:bookmarkStart w:id="738" w:name="_Ref433896536"/>
      <w:bookmarkStart w:id="739" w:name="_Toc410199415"/>
      <w:bookmarkStart w:id="740" w:name="_Toc431462335"/>
      <w:bookmarkStart w:id="741" w:name="_Toc444269855"/>
      <w:bookmarkStart w:id="742" w:name="_Toc472472448"/>
      <w:bookmarkStart w:id="743" w:name="_Toc488741867"/>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39</w:t>
      </w:r>
      <w:r w:rsidRPr="003458B1">
        <w:rPr>
          <w:rFonts w:ascii="Century Gothic" w:hAnsi="Century Gothic"/>
          <w:b/>
          <w:bCs/>
          <w:sz w:val="18"/>
          <w:szCs w:val="18"/>
        </w:rPr>
        <w:fldChar w:fldCharType="end"/>
      </w:r>
      <w:bookmarkEnd w:id="738"/>
      <w:r w:rsidRPr="003458B1">
        <w:rPr>
          <w:rFonts w:ascii="Century Gothic" w:hAnsi="Century Gothic"/>
          <w:b/>
          <w:bCs/>
          <w:sz w:val="18"/>
          <w:szCs w:val="18"/>
        </w:rPr>
        <w:t>: Met-Ed PY7 Sampling Strategy and Relative Precision – Large C/I Energy Efficient Equipment Program</w:t>
      </w:r>
      <w:bookmarkEnd w:id="739"/>
      <w:bookmarkEnd w:id="740"/>
      <w:bookmarkEnd w:id="741"/>
      <w:bookmarkEnd w:id="742"/>
      <w:bookmarkEnd w:id="743"/>
    </w:p>
    <w:tbl>
      <w:tblPr>
        <w:tblW w:w="9355"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2155"/>
        <w:gridCol w:w="1242"/>
        <w:gridCol w:w="1243"/>
        <w:gridCol w:w="1115"/>
        <w:gridCol w:w="990"/>
        <w:gridCol w:w="1242"/>
        <w:gridCol w:w="1368"/>
      </w:tblGrid>
      <w:tr w:rsidR="00A874AC" w:rsidRPr="00DF3F90" w:rsidTr="00DF3F90">
        <w:trPr>
          <w:trHeight w:val="864"/>
          <w:tblHeader/>
        </w:trPr>
        <w:tc>
          <w:tcPr>
            <w:tcW w:w="2155" w:type="dxa"/>
            <w:shd w:val="clear" w:color="000000" w:fill="448A99"/>
            <w:vAlign w:val="bottom"/>
            <w:hideMark/>
          </w:tcPr>
          <w:p w:rsidR="006E720E" w:rsidRPr="00DF3F90" w:rsidRDefault="006E720E" w:rsidP="00380FF9">
            <w:pPr>
              <w:rPr>
                <w:b/>
                <w:bCs/>
                <w:color w:val="FFFFFF"/>
                <w:sz w:val="19"/>
                <w:szCs w:val="19"/>
              </w:rPr>
            </w:pPr>
            <w:r w:rsidRPr="00DF3F90">
              <w:rPr>
                <w:b/>
                <w:bCs/>
                <w:color w:val="FFFFFF"/>
                <w:sz w:val="19"/>
                <w:szCs w:val="19"/>
              </w:rPr>
              <w:t>Stratum</w:t>
            </w:r>
          </w:p>
        </w:tc>
        <w:tc>
          <w:tcPr>
            <w:tcW w:w="1242"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Population</w:t>
            </w:r>
          </w:p>
        </w:tc>
        <w:tc>
          <w:tcPr>
            <w:tcW w:w="1243"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Target Levels of Confidence &amp; Precision</w:t>
            </w:r>
          </w:p>
        </w:tc>
        <w:tc>
          <w:tcPr>
            <w:tcW w:w="1115"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Target Sample Size</w:t>
            </w:r>
          </w:p>
        </w:tc>
        <w:tc>
          <w:tcPr>
            <w:tcW w:w="990"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Achieved Sample Size</w:t>
            </w:r>
          </w:p>
        </w:tc>
        <w:tc>
          <w:tcPr>
            <w:tcW w:w="1242"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Relative Precision at 85% C.L. for Energy</w:t>
            </w:r>
          </w:p>
        </w:tc>
        <w:tc>
          <w:tcPr>
            <w:tcW w:w="1368"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Relative Precision at 85% C.L. for Demand</w:t>
            </w:r>
          </w:p>
        </w:tc>
      </w:tr>
      <w:tr w:rsidR="00A874AC" w:rsidRPr="00DF3F90" w:rsidTr="00DF3F90">
        <w:trPr>
          <w:trHeight w:val="288"/>
        </w:trPr>
        <w:tc>
          <w:tcPr>
            <w:tcW w:w="2155" w:type="dxa"/>
            <w:shd w:val="clear" w:color="000000" w:fill="D2EAF1"/>
            <w:noWrap/>
            <w:vAlign w:val="center"/>
          </w:tcPr>
          <w:p w:rsidR="006E720E" w:rsidRPr="00DF3F90" w:rsidRDefault="006E720E" w:rsidP="00380FF9">
            <w:pPr>
              <w:rPr>
                <w:bCs/>
                <w:color w:val="000000"/>
                <w:sz w:val="19"/>
                <w:szCs w:val="19"/>
              </w:rPr>
            </w:pPr>
            <w:r w:rsidRPr="00DF3F90">
              <w:rPr>
                <w:sz w:val="19"/>
                <w:szCs w:val="19"/>
              </w:rPr>
              <w:t>CFL kits – 1</w:t>
            </w:r>
          </w:p>
        </w:tc>
        <w:tc>
          <w:tcPr>
            <w:tcW w:w="1242"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3"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N/A</w:t>
            </w:r>
          </w:p>
        </w:tc>
        <w:tc>
          <w:tcPr>
            <w:tcW w:w="1115"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99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2"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100.0%</w:t>
            </w:r>
          </w:p>
        </w:tc>
        <w:tc>
          <w:tcPr>
            <w:tcW w:w="1368"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100.0%</w:t>
            </w:r>
          </w:p>
        </w:tc>
      </w:tr>
      <w:tr w:rsidR="00E7173E" w:rsidRPr="00DF3F90" w:rsidTr="00DF3F90">
        <w:trPr>
          <w:trHeight w:val="288"/>
        </w:trPr>
        <w:tc>
          <w:tcPr>
            <w:tcW w:w="2155" w:type="dxa"/>
            <w:shd w:val="clear" w:color="auto" w:fill="auto"/>
            <w:noWrap/>
            <w:vAlign w:val="center"/>
          </w:tcPr>
          <w:p w:rsidR="006E720E" w:rsidRPr="00DF3F90" w:rsidRDefault="006E720E" w:rsidP="00380FF9">
            <w:pPr>
              <w:rPr>
                <w:bCs/>
                <w:color w:val="000000"/>
                <w:sz w:val="19"/>
                <w:szCs w:val="19"/>
              </w:rPr>
            </w:pPr>
            <w:r w:rsidRPr="00DF3F90">
              <w:rPr>
                <w:sz w:val="19"/>
                <w:szCs w:val="19"/>
              </w:rPr>
              <w:t>Lighting – certainty</w:t>
            </w:r>
          </w:p>
        </w:tc>
        <w:tc>
          <w:tcPr>
            <w:tcW w:w="1242"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43"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N/A</w:t>
            </w:r>
          </w:p>
        </w:tc>
        <w:tc>
          <w:tcPr>
            <w:tcW w:w="1115"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99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42"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c>
          <w:tcPr>
            <w:tcW w:w="1368"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r>
      <w:tr w:rsidR="00A874AC" w:rsidRPr="00DF3F90" w:rsidTr="00DF3F90">
        <w:trPr>
          <w:trHeight w:val="288"/>
        </w:trPr>
        <w:tc>
          <w:tcPr>
            <w:tcW w:w="2155" w:type="dxa"/>
            <w:shd w:val="clear" w:color="000000" w:fill="D2EAF1"/>
            <w:noWrap/>
            <w:vAlign w:val="center"/>
          </w:tcPr>
          <w:p w:rsidR="006E720E" w:rsidRPr="00DF3F90" w:rsidRDefault="006E720E" w:rsidP="00380FF9">
            <w:pPr>
              <w:rPr>
                <w:bCs/>
                <w:color w:val="000000"/>
                <w:sz w:val="19"/>
                <w:szCs w:val="19"/>
              </w:rPr>
            </w:pPr>
            <w:r w:rsidRPr="00DF3F90">
              <w:rPr>
                <w:sz w:val="19"/>
                <w:szCs w:val="19"/>
              </w:rPr>
              <w:t>Lighting – 2</w:t>
            </w:r>
          </w:p>
        </w:tc>
        <w:tc>
          <w:tcPr>
            <w:tcW w:w="1242"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10</w:t>
            </w:r>
          </w:p>
        </w:tc>
        <w:tc>
          <w:tcPr>
            <w:tcW w:w="1243"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34.8%</w:t>
            </w:r>
          </w:p>
        </w:tc>
        <w:tc>
          <w:tcPr>
            <w:tcW w:w="1115"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3</w:t>
            </w:r>
          </w:p>
        </w:tc>
        <w:tc>
          <w:tcPr>
            <w:tcW w:w="99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3</w:t>
            </w:r>
          </w:p>
        </w:tc>
        <w:tc>
          <w:tcPr>
            <w:tcW w:w="1242"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34.8%</w:t>
            </w:r>
          </w:p>
        </w:tc>
        <w:tc>
          <w:tcPr>
            <w:tcW w:w="1368"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34.8%</w:t>
            </w:r>
          </w:p>
        </w:tc>
      </w:tr>
      <w:tr w:rsidR="00E7173E" w:rsidRPr="00DF3F90" w:rsidTr="00DF3F90">
        <w:trPr>
          <w:trHeight w:val="288"/>
        </w:trPr>
        <w:tc>
          <w:tcPr>
            <w:tcW w:w="2155" w:type="dxa"/>
            <w:shd w:val="clear" w:color="auto" w:fill="auto"/>
            <w:noWrap/>
            <w:vAlign w:val="center"/>
          </w:tcPr>
          <w:p w:rsidR="006E720E" w:rsidRPr="00DF3F90" w:rsidRDefault="006E720E" w:rsidP="00380FF9">
            <w:pPr>
              <w:rPr>
                <w:bCs/>
                <w:color w:val="000000"/>
                <w:sz w:val="19"/>
                <w:szCs w:val="19"/>
              </w:rPr>
            </w:pPr>
            <w:r w:rsidRPr="00DF3F90">
              <w:rPr>
                <w:sz w:val="19"/>
                <w:szCs w:val="19"/>
              </w:rPr>
              <w:t>Lighting – 3</w:t>
            </w:r>
          </w:p>
        </w:tc>
        <w:tc>
          <w:tcPr>
            <w:tcW w:w="1242"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31</w:t>
            </w:r>
          </w:p>
        </w:tc>
        <w:tc>
          <w:tcPr>
            <w:tcW w:w="1243"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29.5%</w:t>
            </w:r>
          </w:p>
        </w:tc>
        <w:tc>
          <w:tcPr>
            <w:tcW w:w="1115"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5</w:t>
            </w:r>
          </w:p>
        </w:tc>
        <w:tc>
          <w:tcPr>
            <w:tcW w:w="99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5</w:t>
            </w:r>
          </w:p>
        </w:tc>
        <w:tc>
          <w:tcPr>
            <w:tcW w:w="1242"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29.5%</w:t>
            </w:r>
          </w:p>
        </w:tc>
        <w:tc>
          <w:tcPr>
            <w:tcW w:w="1368"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29.5%</w:t>
            </w:r>
          </w:p>
        </w:tc>
      </w:tr>
      <w:tr w:rsidR="00A874AC" w:rsidRPr="00DF3F90" w:rsidTr="00DF3F90">
        <w:trPr>
          <w:trHeight w:val="288"/>
        </w:trPr>
        <w:tc>
          <w:tcPr>
            <w:tcW w:w="2155" w:type="dxa"/>
            <w:shd w:val="clear" w:color="000000" w:fill="D2EAF1"/>
            <w:noWrap/>
            <w:vAlign w:val="center"/>
          </w:tcPr>
          <w:p w:rsidR="006E720E" w:rsidRPr="00DF3F90" w:rsidRDefault="006E720E" w:rsidP="00380FF9">
            <w:pPr>
              <w:rPr>
                <w:bCs/>
                <w:color w:val="000000"/>
                <w:sz w:val="19"/>
                <w:szCs w:val="19"/>
              </w:rPr>
            </w:pPr>
            <w:r w:rsidRPr="00DF3F90">
              <w:rPr>
                <w:sz w:val="19"/>
                <w:szCs w:val="19"/>
              </w:rPr>
              <w:t>Lighting – 4</w:t>
            </w:r>
          </w:p>
        </w:tc>
        <w:tc>
          <w:tcPr>
            <w:tcW w:w="1242"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148</w:t>
            </w:r>
          </w:p>
        </w:tc>
        <w:tc>
          <w:tcPr>
            <w:tcW w:w="1243"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28.8%</w:t>
            </w:r>
          </w:p>
        </w:tc>
        <w:tc>
          <w:tcPr>
            <w:tcW w:w="1115"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w:t>
            </w:r>
          </w:p>
        </w:tc>
        <w:tc>
          <w:tcPr>
            <w:tcW w:w="99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w:t>
            </w:r>
          </w:p>
        </w:tc>
        <w:tc>
          <w:tcPr>
            <w:tcW w:w="1242"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28.8%</w:t>
            </w:r>
          </w:p>
        </w:tc>
        <w:tc>
          <w:tcPr>
            <w:tcW w:w="1368"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28.8%</w:t>
            </w:r>
          </w:p>
        </w:tc>
      </w:tr>
      <w:tr w:rsidR="00E7173E" w:rsidRPr="00DF3F90" w:rsidTr="00DF3F90">
        <w:trPr>
          <w:trHeight w:val="288"/>
        </w:trPr>
        <w:tc>
          <w:tcPr>
            <w:tcW w:w="2155" w:type="dxa"/>
            <w:shd w:val="clear" w:color="auto" w:fill="auto"/>
            <w:noWrap/>
            <w:vAlign w:val="center"/>
          </w:tcPr>
          <w:p w:rsidR="006E720E" w:rsidRPr="00DF3F90" w:rsidRDefault="006E720E" w:rsidP="00380FF9">
            <w:pPr>
              <w:rPr>
                <w:bCs/>
                <w:color w:val="000000"/>
                <w:sz w:val="19"/>
                <w:szCs w:val="19"/>
              </w:rPr>
            </w:pPr>
            <w:r w:rsidRPr="00DF3F90">
              <w:rPr>
                <w:sz w:val="19"/>
                <w:szCs w:val="19"/>
              </w:rPr>
              <w:t>Custom – certainty</w:t>
            </w:r>
          </w:p>
        </w:tc>
        <w:tc>
          <w:tcPr>
            <w:tcW w:w="1242"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13</w:t>
            </w:r>
          </w:p>
        </w:tc>
        <w:tc>
          <w:tcPr>
            <w:tcW w:w="1243"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c>
          <w:tcPr>
            <w:tcW w:w="1115"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13</w:t>
            </w:r>
          </w:p>
        </w:tc>
        <w:tc>
          <w:tcPr>
            <w:tcW w:w="99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11</w:t>
            </w:r>
          </w:p>
        </w:tc>
        <w:tc>
          <w:tcPr>
            <w:tcW w:w="1242"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8.5%</w:t>
            </w:r>
          </w:p>
        </w:tc>
        <w:tc>
          <w:tcPr>
            <w:tcW w:w="1368"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8.5%</w:t>
            </w:r>
          </w:p>
        </w:tc>
      </w:tr>
      <w:tr w:rsidR="00A874AC" w:rsidRPr="00DF3F90" w:rsidTr="00DF3F90">
        <w:trPr>
          <w:trHeight w:val="288"/>
        </w:trPr>
        <w:tc>
          <w:tcPr>
            <w:tcW w:w="2155" w:type="dxa"/>
            <w:shd w:val="clear" w:color="000000" w:fill="D2EAF1"/>
            <w:noWrap/>
            <w:vAlign w:val="center"/>
          </w:tcPr>
          <w:p w:rsidR="006E720E" w:rsidRPr="00DF3F90" w:rsidRDefault="006E720E" w:rsidP="00380FF9">
            <w:pPr>
              <w:rPr>
                <w:bCs/>
                <w:color w:val="000000"/>
                <w:sz w:val="19"/>
                <w:szCs w:val="19"/>
              </w:rPr>
            </w:pPr>
            <w:r w:rsidRPr="00DF3F90">
              <w:rPr>
                <w:sz w:val="19"/>
                <w:szCs w:val="19"/>
              </w:rPr>
              <w:t>Custom – 2</w:t>
            </w:r>
          </w:p>
        </w:tc>
        <w:tc>
          <w:tcPr>
            <w:tcW w:w="1242"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4</w:t>
            </w:r>
          </w:p>
        </w:tc>
        <w:tc>
          <w:tcPr>
            <w:tcW w:w="1243"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62.4%</w:t>
            </w:r>
          </w:p>
        </w:tc>
        <w:tc>
          <w:tcPr>
            <w:tcW w:w="1115"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w:t>
            </w:r>
          </w:p>
        </w:tc>
        <w:tc>
          <w:tcPr>
            <w:tcW w:w="990"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w:t>
            </w:r>
          </w:p>
        </w:tc>
        <w:tc>
          <w:tcPr>
            <w:tcW w:w="1242"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62.4%</w:t>
            </w:r>
          </w:p>
        </w:tc>
        <w:tc>
          <w:tcPr>
            <w:tcW w:w="1368"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0.0%</w:t>
            </w:r>
          </w:p>
        </w:tc>
      </w:tr>
      <w:tr w:rsidR="00E7173E" w:rsidRPr="00DF3F90" w:rsidTr="00DF3F90">
        <w:trPr>
          <w:trHeight w:val="288"/>
        </w:trPr>
        <w:tc>
          <w:tcPr>
            <w:tcW w:w="2155" w:type="dxa"/>
            <w:shd w:val="clear" w:color="auto" w:fill="auto"/>
            <w:noWrap/>
            <w:vAlign w:val="center"/>
          </w:tcPr>
          <w:p w:rsidR="006E720E" w:rsidRPr="00DF3F90" w:rsidRDefault="006E720E" w:rsidP="00380FF9">
            <w:pPr>
              <w:rPr>
                <w:bCs/>
                <w:color w:val="000000"/>
                <w:sz w:val="19"/>
                <w:szCs w:val="19"/>
              </w:rPr>
            </w:pPr>
            <w:r w:rsidRPr="00DF3F90">
              <w:rPr>
                <w:sz w:val="19"/>
                <w:szCs w:val="19"/>
              </w:rPr>
              <w:t>Custom – 3</w:t>
            </w:r>
          </w:p>
        </w:tc>
        <w:tc>
          <w:tcPr>
            <w:tcW w:w="1242"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53</w:t>
            </w:r>
          </w:p>
        </w:tc>
        <w:tc>
          <w:tcPr>
            <w:tcW w:w="1243"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30.6%</w:t>
            </w:r>
          </w:p>
        </w:tc>
        <w:tc>
          <w:tcPr>
            <w:tcW w:w="1115"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5</w:t>
            </w:r>
          </w:p>
        </w:tc>
        <w:tc>
          <w:tcPr>
            <w:tcW w:w="990"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5</w:t>
            </w:r>
          </w:p>
        </w:tc>
        <w:tc>
          <w:tcPr>
            <w:tcW w:w="1242"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30.6%</w:t>
            </w:r>
          </w:p>
        </w:tc>
        <w:tc>
          <w:tcPr>
            <w:tcW w:w="1368"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30.6%</w:t>
            </w:r>
          </w:p>
        </w:tc>
      </w:tr>
      <w:tr w:rsidR="00A874AC" w:rsidRPr="00DF3F90" w:rsidTr="00DF3F90">
        <w:trPr>
          <w:trHeight w:val="288"/>
        </w:trPr>
        <w:tc>
          <w:tcPr>
            <w:tcW w:w="2155" w:type="dxa"/>
            <w:shd w:val="clear" w:color="000000" w:fill="D2EAF1"/>
            <w:noWrap/>
            <w:vAlign w:val="center"/>
          </w:tcPr>
          <w:p w:rsidR="006E720E" w:rsidRPr="00DF3F90" w:rsidRDefault="006E720E" w:rsidP="00380FF9">
            <w:pPr>
              <w:rPr>
                <w:b/>
                <w:bCs/>
                <w:iCs/>
                <w:color w:val="000000"/>
                <w:sz w:val="19"/>
                <w:szCs w:val="19"/>
              </w:rPr>
            </w:pPr>
            <w:r w:rsidRPr="00DF3F90">
              <w:rPr>
                <w:sz w:val="19"/>
                <w:szCs w:val="19"/>
              </w:rPr>
              <w:t>HVAC and DHW – 1</w:t>
            </w:r>
          </w:p>
        </w:tc>
        <w:tc>
          <w:tcPr>
            <w:tcW w:w="1242"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3"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15"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990"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2"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368"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0.0%</w:t>
            </w:r>
          </w:p>
        </w:tc>
      </w:tr>
      <w:tr w:rsidR="00E7173E" w:rsidRPr="00DF3F90" w:rsidTr="00DF3F90">
        <w:trPr>
          <w:trHeight w:val="288"/>
        </w:trPr>
        <w:tc>
          <w:tcPr>
            <w:tcW w:w="2155" w:type="dxa"/>
            <w:shd w:val="clear" w:color="auto" w:fill="auto"/>
            <w:noWrap/>
            <w:vAlign w:val="center"/>
          </w:tcPr>
          <w:p w:rsidR="006E720E" w:rsidRPr="00DF3F90" w:rsidRDefault="006E720E" w:rsidP="00380FF9">
            <w:pPr>
              <w:rPr>
                <w:b/>
                <w:bCs/>
                <w:iCs/>
                <w:color w:val="000000"/>
                <w:sz w:val="19"/>
                <w:szCs w:val="19"/>
              </w:rPr>
            </w:pPr>
            <w:r w:rsidRPr="00DF3F90">
              <w:rPr>
                <w:sz w:val="19"/>
                <w:szCs w:val="19"/>
              </w:rPr>
              <w:t>HVAC and DHW – 2</w:t>
            </w:r>
          </w:p>
        </w:tc>
        <w:tc>
          <w:tcPr>
            <w:tcW w:w="1242"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14</w:t>
            </w:r>
          </w:p>
        </w:tc>
        <w:tc>
          <w:tcPr>
            <w:tcW w:w="124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36.8%</w:t>
            </w:r>
          </w:p>
        </w:tc>
        <w:tc>
          <w:tcPr>
            <w:tcW w:w="1115"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3</w:t>
            </w:r>
          </w:p>
        </w:tc>
        <w:tc>
          <w:tcPr>
            <w:tcW w:w="990"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3</w:t>
            </w:r>
          </w:p>
        </w:tc>
        <w:tc>
          <w:tcPr>
            <w:tcW w:w="1242"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36.8%</w:t>
            </w:r>
          </w:p>
        </w:tc>
        <w:tc>
          <w:tcPr>
            <w:tcW w:w="1368"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36.8%</w:t>
            </w:r>
          </w:p>
        </w:tc>
      </w:tr>
      <w:tr w:rsidR="00A874AC" w:rsidRPr="00DF3F90" w:rsidTr="00DF3F90">
        <w:trPr>
          <w:trHeight w:val="288"/>
        </w:trPr>
        <w:tc>
          <w:tcPr>
            <w:tcW w:w="2155" w:type="dxa"/>
            <w:shd w:val="clear" w:color="000000" w:fill="D2EAF1"/>
            <w:noWrap/>
            <w:vAlign w:val="center"/>
          </w:tcPr>
          <w:p w:rsidR="006E720E" w:rsidRPr="00DF3F90" w:rsidRDefault="006E720E" w:rsidP="00380FF9">
            <w:pPr>
              <w:rPr>
                <w:b/>
                <w:bCs/>
                <w:iCs/>
                <w:color w:val="000000"/>
                <w:sz w:val="19"/>
                <w:szCs w:val="19"/>
              </w:rPr>
            </w:pPr>
            <w:r w:rsidRPr="00DF3F90">
              <w:rPr>
                <w:sz w:val="19"/>
                <w:szCs w:val="19"/>
              </w:rPr>
              <w:t>Appliance Turn-In – 1</w:t>
            </w:r>
          </w:p>
        </w:tc>
        <w:tc>
          <w:tcPr>
            <w:tcW w:w="1242"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3"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15"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990"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2"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368"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0.0%</w:t>
            </w:r>
          </w:p>
        </w:tc>
      </w:tr>
      <w:tr w:rsidR="00E7173E" w:rsidRPr="00DF3F90" w:rsidTr="00DF3F90">
        <w:trPr>
          <w:trHeight w:val="288"/>
        </w:trPr>
        <w:tc>
          <w:tcPr>
            <w:tcW w:w="2155" w:type="dxa"/>
            <w:shd w:val="clear" w:color="auto" w:fill="auto"/>
            <w:noWrap/>
            <w:vAlign w:val="center"/>
          </w:tcPr>
          <w:p w:rsidR="006E720E" w:rsidRPr="00DF3F90" w:rsidRDefault="006E720E" w:rsidP="00380FF9">
            <w:pPr>
              <w:rPr>
                <w:b/>
                <w:bCs/>
                <w:iCs/>
                <w:color w:val="000000"/>
                <w:sz w:val="19"/>
                <w:szCs w:val="19"/>
              </w:rPr>
            </w:pPr>
            <w:r w:rsidRPr="00DF3F90">
              <w:rPr>
                <w:sz w:val="19"/>
                <w:szCs w:val="19"/>
              </w:rPr>
              <w:t>Kitchen/appliances –  1</w:t>
            </w:r>
          </w:p>
        </w:tc>
        <w:tc>
          <w:tcPr>
            <w:tcW w:w="1242"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3"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115"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990"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2"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368"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r>
      <w:tr w:rsidR="00A874AC" w:rsidRPr="00DF3F90" w:rsidTr="00DF3F90">
        <w:trPr>
          <w:trHeight w:val="288"/>
        </w:trPr>
        <w:tc>
          <w:tcPr>
            <w:tcW w:w="2155" w:type="dxa"/>
            <w:shd w:val="clear" w:color="000000" w:fill="D2EAF1"/>
            <w:noWrap/>
            <w:vAlign w:val="center"/>
          </w:tcPr>
          <w:p w:rsidR="006E720E" w:rsidRPr="00DF3F90" w:rsidRDefault="006E720E" w:rsidP="00380FF9">
            <w:pPr>
              <w:rPr>
                <w:b/>
                <w:bCs/>
                <w:iCs/>
                <w:color w:val="000000"/>
                <w:sz w:val="19"/>
                <w:szCs w:val="19"/>
              </w:rPr>
            </w:pPr>
            <w:r w:rsidRPr="00DF3F90">
              <w:rPr>
                <w:b/>
                <w:sz w:val="19"/>
                <w:szCs w:val="19"/>
              </w:rPr>
              <w:t>Program Total</w:t>
            </w:r>
          </w:p>
        </w:tc>
        <w:tc>
          <w:tcPr>
            <w:tcW w:w="1242"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273</w:t>
            </w:r>
          </w:p>
        </w:tc>
        <w:tc>
          <w:tcPr>
            <w:tcW w:w="1243"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10.7%</w:t>
            </w:r>
          </w:p>
        </w:tc>
        <w:tc>
          <w:tcPr>
            <w:tcW w:w="1115"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36</w:t>
            </w:r>
          </w:p>
        </w:tc>
        <w:tc>
          <w:tcPr>
            <w:tcW w:w="990"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34</w:t>
            </w:r>
          </w:p>
        </w:tc>
        <w:tc>
          <w:tcPr>
            <w:tcW w:w="1242"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11.4%</w:t>
            </w:r>
          </w:p>
        </w:tc>
        <w:tc>
          <w:tcPr>
            <w:tcW w:w="1368"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12.0%</w:t>
            </w:r>
          </w:p>
        </w:tc>
      </w:tr>
    </w:tbl>
    <w:p w:rsidR="006E720E" w:rsidRPr="003458B1" w:rsidRDefault="006E720E" w:rsidP="006E720E"/>
    <w:p w:rsidR="006E720E" w:rsidRPr="003458B1" w:rsidRDefault="006E720E" w:rsidP="008C7396">
      <w:pPr>
        <w:pStyle w:val="AppendixAHeading5"/>
      </w:pPr>
      <w:r w:rsidRPr="003458B1">
        <w:t>Large C/I Energy Efficient Buildings Program</w:t>
      </w:r>
    </w:p>
    <w:p w:rsidR="006E720E" w:rsidRPr="003458B1" w:rsidRDefault="006E720E" w:rsidP="006E720E">
      <w:r w:rsidRPr="003458B1">
        <w:t>This was a new program in Phase II. The program includes two components: energy conservation kits delivered by mail to</w:t>
      </w:r>
      <w:r>
        <w:t xml:space="preserve"> non-residential customers and </w:t>
      </w:r>
      <w:r w:rsidRPr="003458B1">
        <w:t>whole-building projects such as new construction, retro-commissioning, and building envelope improvements. Sampling and project-level gross impact evaluation methodologies for efficient equipment and building upgrade measures are identical to the me</w:t>
      </w:r>
      <w:r w:rsidR="00AF2C58">
        <w:t xml:space="preserve">thodology described for the </w:t>
      </w:r>
      <w:r w:rsidRPr="003458B1">
        <w:t xml:space="preserve">Small </w:t>
      </w:r>
      <w:r w:rsidR="00AF2C58">
        <w:t xml:space="preserve">C/I </w:t>
      </w:r>
      <w:r>
        <w:t xml:space="preserve">Energy </w:t>
      </w:r>
      <w:r w:rsidRPr="003458B1">
        <w:t xml:space="preserve">Efficient Equipment Program above. The sample design strategy and the achieved precision values for energy and demand are shown in </w:t>
      </w:r>
      <w:r w:rsidRPr="003458B1">
        <w:fldChar w:fldCharType="begin"/>
      </w:r>
      <w:r w:rsidRPr="003458B1">
        <w:instrText xml:space="preserve"> REF _Ref440033048 \h  \* MERGEFORMAT </w:instrText>
      </w:r>
      <w:r w:rsidRPr="003458B1">
        <w:fldChar w:fldCharType="separate"/>
      </w:r>
      <w:r w:rsidR="00037CB4" w:rsidRPr="00B81A2F">
        <w:rPr>
          <w:bCs/>
        </w:rPr>
        <w:t>Table A-40</w:t>
      </w:r>
      <w:r w:rsidRPr="003458B1">
        <w:fldChar w:fldCharType="end"/>
      </w:r>
      <w:r w:rsidRPr="003458B1">
        <w:t>. The precision levels for energy and for demand met the SWE Team requirements.</w:t>
      </w:r>
    </w:p>
    <w:p w:rsidR="006E720E" w:rsidRPr="003458B1" w:rsidRDefault="006E720E" w:rsidP="006E720E"/>
    <w:p w:rsidR="006E720E" w:rsidRPr="003458B1" w:rsidRDefault="006E720E" w:rsidP="006E720E">
      <w:pPr>
        <w:spacing w:after="120"/>
        <w:jc w:val="center"/>
        <w:rPr>
          <w:rFonts w:ascii="Century Gothic" w:hAnsi="Century Gothic"/>
          <w:b/>
          <w:bCs/>
          <w:sz w:val="18"/>
          <w:szCs w:val="18"/>
        </w:rPr>
      </w:pPr>
      <w:bookmarkStart w:id="744" w:name="_Ref440033048"/>
      <w:bookmarkStart w:id="745" w:name="_Toc444269856"/>
      <w:bookmarkStart w:id="746" w:name="_Toc472472449"/>
      <w:bookmarkStart w:id="747" w:name="_Toc488741868"/>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40</w:t>
      </w:r>
      <w:r w:rsidRPr="003458B1">
        <w:rPr>
          <w:rFonts w:ascii="Century Gothic" w:hAnsi="Century Gothic"/>
          <w:b/>
          <w:bCs/>
          <w:sz w:val="18"/>
          <w:szCs w:val="18"/>
        </w:rPr>
        <w:fldChar w:fldCharType="end"/>
      </w:r>
      <w:bookmarkEnd w:id="744"/>
      <w:r w:rsidRPr="003458B1">
        <w:rPr>
          <w:rFonts w:ascii="Century Gothic" w:hAnsi="Century Gothic"/>
          <w:b/>
          <w:bCs/>
          <w:sz w:val="18"/>
          <w:szCs w:val="18"/>
        </w:rPr>
        <w:t>: Met-Ed PY7 Sampling Strategy and Relative Precision – Large C/I Energy Efficient Buildings Program</w:t>
      </w:r>
      <w:bookmarkEnd w:id="745"/>
      <w:bookmarkEnd w:id="746"/>
      <w:bookmarkEnd w:id="747"/>
    </w:p>
    <w:tbl>
      <w:tblPr>
        <w:tblW w:w="9473"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1980"/>
        <w:gridCol w:w="1248"/>
        <w:gridCol w:w="1249"/>
        <w:gridCol w:w="1249"/>
        <w:gridCol w:w="1249"/>
        <w:gridCol w:w="1249"/>
        <w:gridCol w:w="1249"/>
      </w:tblGrid>
      <w:tr w:rsidR="00A874AC" w:rsidRPr="00DF3F90" w:rsidTr="00DF3F90">
        <w:trPr>
          <w:trHeight w:val="864"/>
          <w:tblHeader/>
        </w:trPr>
        <w:tc>
          <w:tcPr>
            <w:tcW w:w="1980" w:type="dxa"/>
            <w:shd w:val="clear" w:color="000000" w:fill="448A99"/>
            <w:vAlign w:val="bottom"/>
            <w:hideMark/>
          </w:tcPr>
          <w:p w:rsidR="006E720E" w:rsidRPr="00DF3F90" w:rsidRDefault="006E720E" w:rsidP="00380FF9">
            <w:pPr>
              <w:rPr>
                <w:b/>
                <w:bCs/>
                <w:color w:val="FFFFFF"/>
                <w:sz w:val="19"/>
                <w:szCs w:val="19"/>
              </w:rPr>
            </w:pPr>
            <w:r w:rsidRPr="00DF3F90">
              <w:rPr>
                <w:b/>
                <w:bCs/>
                <w:color w:val="FFFFFF"/>
                <w:sz w:val="19"/>
                <w:szCs w:val="19"/>
              </w:rPr>
              <w:t>Stratum</w:t>
            </w:r>
          </w:p>
        </w:tc>
        <w:tc>
          <w:tcPr>
            <w:tcW w:w="1248"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Population</w:t>
            </w:r>
          </w:p>
        </w:tc>
        <w:tc>
          <w:tcPr>
            <w:tcW w:w="1249"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Target Levels of Confidence &amp; Precision</w:t>
            </w:r>
          </w:p>
        </w:tc>
        <w:tc>
          <w:tcPr>
            <w:tcW w:w="1249"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Target Sample Size</w:t>
            </w:r>
          </w:p>
        </w:tc>
        <w:tc>
          <w:tcPr>
            <w:tcW w:w="1249"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Achieved Sample Size</w:t>
            </w:r>
          </w:p>
        </w:tc>
        <w:tc>
          <w:tcPr>
            <w:tcW w:w="1249"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Relative Precision at 85% C.L. for Energy</w:t>
            </w:r>
          </w:p>
        </w:tc>
        <w:tc>
          <w:tcPr>
            <w:tcW w:w="1249" w:type="dxa"/>
            <w:shd w:val="clear" w:color="000000" w:fill="448A99"/>
            <w:vAlign w:val="bottom"/>
            <w:hideMark/>
          </w:tcPr>
          <w:p w:rsidR="006E720E" w:rsidRPr="00DF3F90" w:rsidRDefault="006E720E" w:rsidP="00380FF9">
            <w:pPr>
              <w:jc w:val="center"/>
              <w:rPr>
                <w:b/>
                <w:bCs/>
                <w:color w:val="FFFFFF"/>
                <w:sz w:val="19"/>
                <w:szCs w:val="19"/>
              </w:rPr>
            </w:pPr>
            <w:r w:rsidRPr="00DF3F90">
              <w:rPr>
                <w:b/>
                <w:bCs/>
                <w:color w:val="FFFFFF"/>
                <w:sz w:val="19"/>
                <w:szCs w:val="19"/>
              </w:rPr>
              <w:t>Relative Precision at 85% C.L. for Demand</w:t>
            </w:r>
          </w:p>
        </w:tc>
      </w:tr>
      <w:tr w:rsidR="00A874AC" w:rsidRPr="00DF3F90" w:rsidTr="00DF3F90">
        <w:trPr>
          <w:trHeight w:val="288"/>
        </w:trPr>
        <w:tc>
          <w:tcPr>
            <w:tcW w:w="1980" w:type="dxa"/>
            <w:shd w:val="clear" w:color="000000" w:fill="D2EAF1"/>
            <w:noWrap/>
            <w:vAlign w:val="center"/>
          </w:tcPr>
          <w:p w:rsidR="006E720E" w:rsidRPr="00DF3F90" w:rsidRDefault="006E720E" w:rsidP="00380FF9">
            <w:pPr>
              <w:rPr>
                <w:bCs/>
                <w:color w:val="000000"/>
                <w:sz w:val="19"/>
                <w:szCs w:val="19"/>
              </w:rPr>
            </w:pPr>
            <w:r w:rsidRPr="00DF3F90">
              <w:rPr>
                <w:sz w:val="19"/>
                <w:szCs w:val="19"/>
              </w:rPr>
              <w:t>CFL kits – 1</w:t>
            </w:r>
          </w:p>
        </w:tc>
        <w:tc>
          <w:tcPr>
            <w:tcW w:w="1248"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18</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N/A</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100.0%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100.0%</w:t>
            </w:r>
          </w:p>
        </w:tc>
      </w:tr>
      <w:tr w:rsidR="00E7173E" w:rsidRPr="00DF3F90" w:rsidTr="00DF3F90">
        <w:trPr>
          <w:trHeight w:val="288"/>
        </w:trPr>
        <w:tc>
          <w:tcPr>
            <w:tcW w:w="1980" w:type="dxa"/>
            <w:shd w:val="clear" w:color="auto" w:fill="auto"/>
            <w:noWrap/>
            <w:vAlign w:val="center"/>
          </w:tcPr>
          <w:p w:rsidR="006E720E" w:rsidRPr="00DF3F90" w:rsidRDefault="006E720E" w:rsidP="00380FF9">
            <w:pPr>
              <w:rPr>
                <w:bCs/>
                <w:color w:val="000000"/>
                <w:sz w:val="19"/>
                <w:szCs w:val="19"/>
              </w:rPr>
            </w:pPr>
            <w:r w:rsidRPr="00DF3F90">
              <w:rPr>
                <w:sz w:val="19"/>
                <w:szCs w:val="19"/>
              </w:rPr>
              <w:t>Lighting – certainty</w:t>
            </w:r>
          </w:p>
        </w:tc>
        <w:tc>
          <w:tcPr>
            <w:tcW w:w="1248"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N/A</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r>
      <w:tr w:rsidR="00A874AC" w:rsidRPr="00DF3F90" w:rsidTr="00DF3F90">
        <w:trPr>
          <w:trHeight w:val="288"/>
        </w:trPr>
        <w:tc>
          <w:tcPr>
            <w:tcW w:w="1980" w:type="dxa"/>
            <w:shd w:val="clear" w:color="000000" w:fill="D2EAF1"/>
            <w:noWrap/>
            <w:vAlign w:val="center"/>
          </w:tcPr>
          <w:p w:rsidR="006E720E" w:rsidRPr="00DF3F90" w:rsidRDefault="006E720E" w:rsidP="00380FF9">
            <w:pPr>
              <w:rPr>
                <w:bCs/>
                <w:color w:val="000000"/>
                <w:sz w:val="19"/>
                <w:szCs w:val="19"/>
              </w:rPr>
            </w:pPr>
            <w:r w:rsidRPr="00DF3F90">
              <w:rPr>
                <w:sz w:val="19"/>
                <w:szCs w:val="19"/>
              </w:rPr>
              <w:t>Lighting – 2</w:t>
            </w:r>
          </w:p>
        </w:tc>
        <w:tc>
          <w:tcPr>
            <w:tcW w:w="1248"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N/A</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0.0%</w:t>
            </w:r>
          </w:p>
        </w:tc>
      </w:tr>
      <w:tr w:rsidR="00E7173E" w:rsidRPr="00DF3F90" w:rsidTr="00DF3F90">
        <w:trPr>
          <w:trHeight w:val="288"/>
        </w:trPr>
        <w:tc>
          <w:tcPr>
            <w:tcW w:w="1980" w:type="dxa"/>
            <w:shd w:val="clear" w:color="auto" w:fill="auto"/>
            <w:noWrap/>
            <w:vAlign w:val="center"/>
          </w:tcPr>
          <w:p w:rsidR="006E720E" w:rsidRPr="00DF3F90" w:rsidRDefault="006E720E" w:rsidP="00380FF9">
            <w:pPr>
              <w:rPr>
                <w:bCs/>
                <w:color w:val="000000"/>
                <w:sz w:val="19"/>
                <w:szCs w:val="19"/>
              </w:rPr>
            </w:pPr>
            <w:r w:rsidRPr="00DF3F90">
              <w:rPr>
                <w:sz w:val="19"/>
                <w:szCs w:val="19"/>
              </w:rPr>
              <w:t>Lighting – 3</w:t>
            </w:r>
          </w:p>
        </w:tc>
        <w:tc>
          <w:tcPr>
            <w:tcW w:w="1248"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N/A</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r>
      <w:tr w:rsidR="00A874AC" w:rsidRPr="00DF3F90" w:rsidTr="00DF3F90">
        <w:trPr>
          <w:trHeight w:val="288"/>
        </w:trPr>
        <w:tc>
          <w:tcPr>
            <w:tcW w:w="1980" w:type="dxa"/>
            <w:shd w:val="clear" w:color="000000" w:fill="D2EAF1"/>
            <w:noWrap/>
            <w:vAlign w:val="center"/>
          </w:tcPr>
          <w:p w:rsidR="006E720E" w:rsidRPr="00DF3F90" w:rsidRDefault="006E720E" w:rsidP="00380FF9">
            <w:pPr>
              <w:rPr>
                <w:bCs/>
                <w:color w:val="000000"/>
                <w:sz w:val="19"/>
                <w:szCs w:val="19"/>
              </w:rPr>
            </w:pPr>
            <w:r w:rsidRPr="00DF3F90">
              <w:rPr>
                <w:sz w:val="19"/>
                <w:szCs w:val="19"/>
              </w:rPr>
              <w:t>Lighting – 4</w:t>
            </w:r>
          </w:p>
        </w:tc>
        <w:tc>
          <w:tcPr>
            <w:tcW w:w="1248"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N/A</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0.0%</w:t>
            </w:r>
          </w:p>
        </w:tc>
      </w:tr>
      <w:tr w:rsidR="00E7173E" w:rsidRPr="00DF3F90" w:rsidTr="00DF3F90">
        <w:trPr>
          <w:trHeight w:val="288"/>
        </w:trPr>
        <w:tc>
          <w:tcPr>
            <w:tcW w:w="1980" w:type="dxa"/>
            <w:shd w:val="clear" w:color="auto" w:fill="auto"/>
            <w:noWrap/>
            <w:vAlign w:val="center"/>
          </w:tcPr>
          <w:p w:rsidR="006E720E" w:rsidRPr="00DF3F90" w:rsidRDefault="006E720E" w:rsidP="00380FF9">
            <w:pPr>
              <w:rPr>
                <w:bCs/>
                <w:color w:val="000000"/>
                <w:sz w:val="19"/>
                <w:szCs w:val="19"/>
              </w:rPr>
            </w:pPr>
            <w:r w:rsidRPr="00DF3F90">
              <w:rPr>
                <w:sz w:val="19"/>
                <w:szCs w:val="19"/>
              </w:rPr>
              <w:t>Custom – certainty</w:t>
            </w:r>
          </w:p>
        </w:tc>
        <w:tc>
          <w:tcPr>
            <w:tcW w:w="1248"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3</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0.0%</w:t>
            </w:r>
          </w:p>
        </w:tc>
      </w:tr>
      <w:tr w:rsidR="00A874AC" w:rsidRPr="00DF3F90" w:rsidTr="00DF3F90">
        <w:trPr>
          <w:trHeight w:val="288"/>
        </w:trPr>
        <w:tc>
          <w:tcPr>
            <w:tcW w:w="1980" w:type="dxa"/>
            <w:shd w:val="clear" w:color="000000" w:fill="D2EAF1"/>
            <w:noWrap/>
            <w:vAlign w:val="center"/>
          </w:tcPr>
          <w:p w:rsidR="006E720E" w:rsidRPr="00DF3F90" w:rsidRDefault="006E720E" w:rsidP="00380FF9">
            <w:pPr>
              <w:rPr>
                <w:bCs/>
                <w:color w:val="000000"/>
                <w:sz w:val="19"/>
                <w:szCs w:val="19"/>
              </w:rPr>
            </w:pPr>
            <w:r w:rsidRPr="00DF3F90">
              <w:rPr>
                <w:sz w:val="19"/>
                <w:szCs w:val="19"/>
              </w:rPr>
              <w:t>Custom – 2</w:t>
            </w:r>
          </w:p>
        </w:tc>
        <w:tc>
          <w:tcPr>
            <w:tcW w:w="1248"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N/A</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0.0%</w:t>
            </w:r>
          </w:p>
        </w:tc>
        <w:tc>
          <w:tcPr>
            <w:tcW w:w="1249" w:type="dxa"/>
            <w:shd w:val="clear" w:color="000000" w:fill="D2EAF1"/>
            <w:noWrap/>
            <w:vAlign w:val="center"/>
          </w:tcPr>
          <w:p w:rsidR="006E720E" w:rsidRPr="00DF3F90" w:rsidRDefault="006E720E" w:rsidP="00380FF9">
            <w:pPr>
              <w:jc w:val="center"/>
              <w:rPr>
                <w:color w:val="000000"/>
                <w:sz w:val="19"/>
                <w:szCs w:val="19"/>
              </w:rPr>
            </w:pPr>
            <w:r w:rsidRPr="00DF3F90">
              <w:rPr>
                <w:sz w:val="19"/>
                <w:szCs w:val="19"/>
              </w:rPr>
              <w:t>0.0%</w:t>
            </w:r>
          </w:p>
        </w:tc>
      </w:tr>
      <w:tr w:rsidR="00E7173E" w:rsidRPr="00DF3F90" w:rsidTr="00DF3F90">
        <w:trPr>
          <w:trHeight w:val="288"/>
        </w:trPr>
        <w:tc>
          <w:tcPr>
            <w:tcW w:w="1980" w:type="dxa"/>
            <w:shd w:val="clear" w:color="auto" w:fill="auto"/>
            <w:noWrap/>
            <w:vAlign w:val="center"/>
          </w:tcPr>
          <w:p w:rsidR="006E720E" w:rsidRPr="00DF3F90" w:rsidRDefault="006E720E" w:rsidP="00380FF9">
            <w:pPr>
              <w:rPr>
                <w:bCs/>
                <w:color w:val="000000"/>
                <w:sz w:val="19"/>
                <w:szCs w:val="19"/>
              </w:rPr>
            </w:pPr>
            <w:r w:rsidRPr="00DF3F90">
              <w:rPr>
                <w:sz w:val="19"/>
                <w:szCs w:val="19"/>
              </w:rPr>
              <w:t>Custom – 3</w:t>
            </w:r>
          </w:p>
        </w:tc>
        <w:tc>
          <w:tcPr>
            <w:tcW w:w="1248"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13</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21.6%</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6</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6</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21.6%</w:t>
            </w:r>
          </w:p>
        </w:tc>
        <w:tc>
          <w:tcPr>
            <w:tcW w:w="1249" w:type="dxa"/>
            <w:shd w:val="clear" w:color="auto" w:fill="auto"/>
            <w:noWrap/>
            <w:vAlign w:val="center"/>
          </w:tcPr>
          <w:p w:rsidR="006E720E" w:rsidRPr="00DF3F90" w:rsidRDefault="006E720E" w:rsidP="00380FF9">
            <w:pPr>
              <w:jc w:val="center"/>
              <w:rPr>
                <w:color w:val="000000"/>
                <w:sz w:val="19"/>
                <w:szCs w:val="19"/>
              </w:rPr>
            </w:pPr>
            <w:r w:rsidRPr="00DF3F90">
              <w:rPr>
                <w:sz w:val="19"/>
                <w:szCs w:val="19"/>
              </w:rPr>
              <w:t>21.6%</w:t>
            </w:r>
          </w:p>
        </w:tc>
      </w:tr>
      <w:tr w:rsidR="00A874AC" w:rsidRPr="00DF3F90" w:rsidTr="00DF3F90">
        <w:trPr>
          <w:trHeight w:val="288"/>
        </w:trPr>
        <w:tc>
          <w:tcPr>
            <w:tcW w:w="1980" w:type="dxa"/>
            <w:shd w:val="clear" w:color="000000" w:fill="D2EAF1"/>
            <w:noWrap/>
            <w:vAlign w:val="center"/>
          </w:tcPr>
          <w:p w:rsidR="006E720E" w:rsidRPr="00DF3F90" w:rsidRDefault="006E720E" w:rsidP="00380FF9">
            <w:pPr>
              <w:rPr>
                <w:b/>
                <w:bCs/>
                <w:iCs/>
                <w:color w:val="000000"/>
                <w:sz w:val="19"/>
                <w:szCs w:val="19"/>
              </w:rPr>
            </w:pPr>
            <w:r w:rsidRPr="00DF3F90">
              <w:rPr>
                <w:sz w:val="19"/>
                <w:szCs w:val="19"/>
              </w:rPr>
              <w:t>HVAC and DHW – 1</w:t>
            </w:r>
          </w:p>
        </w:tc>
        <w:tc>
          <w:tcPr>
            <w:tcW w:w="1248"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0.0%</w:t>
            </w:r>
          </w:p>
        </w:tc>
      </w:tr>
      <w:tr w:rsidR="00E7173E" w:rsidRPr="00DF3F90" w:rsidTr="00DF3F90">
        <w:trPr>
          <w:trHeight w:val="288"/>
        </w:trPr>
        <w:tc>
          <w:tcPr>
            <w:tcW w:w="1980" w:type="dxa"/>
            <w:shd w:val="clear" w:color="auto" w:fill="auto"/>
            <w:noWrap/>
            <w:vAlign w:val="center"/>
          </w:tcPr>
          <w:p w:rsidR="006E720E" w:rsidRPr="00DF3F90" w:rsidRDefault="006E720E" w:rsidP="00380FF9">
            <w:pPr>
              <w:rPr>
                <w:b/>
                <w:bCs/>
                <w:iCs/>
                <w:color w:val="000000"/>
                <w:sz w:val="19"/>
                <w:szCs w:val="19"/>
              </w:rPr>
            </w:pPr>
            <w:r w:rsidRPr="00DF3F90">
              <w:rPr>
                <w:sz w:val="19"/>
                <w:szCs w:val="19"/>
              </w:rPr>
              <w:t>HVAC and DHW – 2</w:t>
            </w:r>
          </w:p>
        </w:tc>
        <w:tc>
          <w:tcPr>
            <w:tcW w:w="1248"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r>
      <w:tr w:rsidR="00A874AC" w:rsidRPr="00DF3F90" w:rsidTr="00DF3F90">
        <w:trPr>
          <w:trHeight w:val="288"/>
        </w:trPr>
        <w:tc>
          <w:tcPr>
            <w:tcW w:w="1980" w:type="dxa"/>
            <w:shd w:val="clear" w:color="000000" w:fill="D2EAF1"/>
            <w:noWrap/>
            <w:vAlign w:val="center"/>
          </w:tcPr>
          <w:p w:rsidR="006E720E" w:rsidRPr="00DF3F90" w:rsidRDefault="006E720E" w:rsidP="00380FF9">
            <w:pPr>
              <w:rPr>
                <w:b/>
                <w:bCs/>
                <w:iCs/>
                <w:color w:val="000000"/>
                <w:sz w:val="19"/>
                <w:szCs w:val="19"/>
              </w:rPr>
            </w:pPr>
            <w:r w:rsidRPr="00DF3F90">
              <w:rPr>
                <w:sz w:val="19"/>
                <w:szCs w:val="19"/>
              </w:rPr>
              <w:t>Appliance Turn-In-1</w:t>
            </w:r>
          </w:p>
        </w:tc>
        <w:tc>
          <w:tcPr>
            <w:tcW w:w="1248"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sz w:val="19"/>
                <w:szCs w:val="19"/>
              </w:rPr>
              <w:t>0.0%</w:t>
            </w:r>
          </w:p>
        </w:tc>
      </w:tr>
      <w:tr w:rsidR="00E7173E" w:rsidRPr="00DF3F90" w:rsidTr="00DF3F90">
        <w:trPr>
          <w:trHeight w:val="288"/>
        </w:trPr>
        <w:tc>
          <w:tcPr>
            <w:tcW w:w="1980" w:type="dxa"/>
            <w:shd w:val="clear" w:color="auto" w:fill="auto"/>
            <w:noWrap/>
            <w:vAlign w:val="center"/>
          </w:tcPr>
          <w:p w:rsidR="006E720E" w:rsidRPr="00DF3F90" w:rsidRDefault="006E720E" w:rsidP="00380FF9">
            <w:pPr>
              <w:rPr>
                <w:b/>
                <w:bCs/>
                <w:iCs/>
                <w:color w:val="000000"/>
                <w:sz w:val="19"/>
                <w:szCs w:val="19"/>
              </w:rPr>
            </w:pPr>
            <w:r w:rsidRPr="00DF3F90">
              <w:rPr>
                <w:sz w:val="19"/>
                <w:szCs w:val="19"/>
              </w:rPr>
              <w:t>Kitchen/appliances – 1</w:t>
            </w:r>
          </w:p>
        </w:tc>
        <w:tc>
          <w:tcPr>
            <w:tcW w:w="1248"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N/A</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c>
          <w:tcPr>
            <w:tcW w:w="1249" w:type="dxa"/>
            <w:shd w:val="clear" w:color="auto" w:fill="auto"/>
            <w:noWrap/>
            <w:vAlign w:val="center"/>
          </w:tcPr>
          <w:p w:rsidR="006E720E" w:rsidRPr="00DF3F90" w:rsidRDefault="006E720E" w:rsidP="00380FF9">
            <w:pPr>
              <w:jc w:val="center"/>
              <w:rPr>
                <w:b/>
                <w:bCs/>
                <w:color w:val="000000"/>
                <w:sz w:val="19"/>
                <w:szCs w:val="19"/>
              </w:rPr>
            </w:pPr>
            <w:r w:rsidRPr="00DF3F90">
              <w:rPr>
                <w:sz w:val="19"/>
                <w:szCs w:val="19"/>
              </w:rPr>
              <w:t>0.0%</w:t>
            </w:r>
          </w:p>
        </w:tc>
      </w:tr>
      <w:tr w:rsidR="00A874AC" w:rsidRPr="00DF3F90" w:rsidTr="00DF3F90">
        <w:trPr>
          <w:trHeight w:val="288"/>
        </w:trPr>
        <w:tc>
          <w:tcPr>
            <w:tcW w:w="1980" w:type="dxa"/>
            <w:shd w:val="clear" w:color="000000" w:fill="D2EAF1"/>
            <w:noWrap/>
            <w:vAlign w:val="center"/>
          </w:tcPr>
          <w:p w:rsidR="006E720E" w:rsidRPr="00DF3F90" w:rsidRDefault="006E720E" w:rsidP="00380FF9">
            <w:pPr>
              <w:rPr>
                <w:b/>
                <w:bCs/>
                <w:iCs/>
                <w:color w:val="000000"/>
                <w:sz w:val="19"/>
                <w:szCs w:val="19"/>
              </w:rPr>
            </w:pPr>
            <w:r w:rsidRPr="00DF3F90">
              <w:rPr>
                <w:b/>
                <w:sz w:val="19"/>
                <w:szCs w:val="19"/>
              </w:rPr>
              <w:t>Program Total</w:t>
            </w:r>
          </w:p>
        </w:tc>
        <w:tc>
          <w:tcPr>
            <w:tcW w:w="1248"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34</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10.8%</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9</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9</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10.5%</w:t>
            </w:r>
          </w:p>
        </w:tc>
        <w:tc>
          <w:tcPr>
            <w:tcW w:w="1249" w:type="dxa"/>
            <w:shd w:val="clear" w:color="000000" w:fill="D2EAF1"/>
            <w:noWrap/>
            <w:vAlign w:val="center"/>
          </w:tcPr>
          <w:p w:rsidR="006E720E" w:rsidRPr="00DF3F90" w:rsidRDefault="006E720E" w:rsidP="00380FF9">
            <w:pPr>
              <w:jc w:val="center"/>
              <w:rPr>
                <w:b/>
                <w:bCs/>
                <w:color w:val="000000"/>
                <w:sz w:val="19"/>
                <w:szCs w:val="19"/>
              </w:rPr>
            </w:pPr>
            <w:r w:rsidRPr="00DF3F90">
              <w:rPr>
                <w:b/>
                <w:sz w:val="19"/>
                <w:szCs w:val="19"/>
              </w:rPr>
              <w:t>13.4%</w:t>
            </w:r>
          </w:p>
        </w:tc>
      </w:tr>
    </w:tbl>
    <w:p w:rsidR="006E720E" w:rsidRPr="003458B1" w:rsidRDefault="006E720E" w:rsidP="006E720E"/>
    <w:p w:rsidR="006E720E" w:rsidRPr="003458B1" w:rsidRDefault="006E720E" w:rsidP="008C7396">
      <w:pPr>
        <w:pStyle w:val="AppendixAHeading5"/>
      </w:pPr>
      <w:r w:rsidRPr="003458B1">
        <w:t>Government and Institutional Program</w:t>
      </w:r>
    </w:p>
    <w:p w:rsidR="006E720E" w:rsidRPr="003458B1" w:rsidRDefault="006E720E" w:rsidP="006E720E">
      <w:r w:rsidRPr="003458B1">
        <w:t xml:space="preserve">This program had three categorical components in PY7: equipment incentives, appliance recycling (new for Phase II), and conservation kits to multifamily establishments. The sampling strategy was identical to that in the Large </w:t>
      </w:r>
      <w:r w:rsidR="00AF2C58">
        <w:t xml:space="preserve">C/I </w:t>
      </w:r>
      <w:r w:rsidRPr="003458B1">
        <w:t>and Small</w:t>
      </w:r>
      <w:r w:rsidR="00AF2C58">
        <w:t xml:space="preserve"> C/I</w:t>
      </w:r>
      <w:r w:rsidRPr="003458B1">
        <w:t xml:space="preserve"> </w:t>
      </w:r>
      <w:r>
        <w:t>Energy Efficient E</w:t>
      </w:r>
      <w:r w:rsidRPr="003458B1">
        <w:t xml:space="preserve">quipment programs. </w:t>
      </w:r>
      <w:r>
        <w:t>D</w:t>
      </w:r>
      <w:r w:rsidRPr="003458B1">
        <w:t xml:space="preserve">etailed information </w:t>
      </w:r>
      <w:r>
        <w:t>on</w:t>
      </w:r>
      <w:r w:rsidRPr="003458B1">
        <w:t xml:space="preserve"> the sample design and the achieved precision values for each stratum </w:t>
      </w:r>
      <w:r w:rsidRPr="00AE5BEC">
        <w:t>are shown</w:t>
      </w:r>
      <w:r w:rsidRPr="003458B1">
        <w:t xml:space="preserve"> in </w:t>
      </w:r>
      <w:r w:rsidRPr="003458B1">
        <w:fldChar w:fldCharType="begin"/>
      </w:r>
      <w:r w:rsidRPr="003458B1">
        <w:instrText xml:space="preserve"> REF _Ref433896563 \h  \* MERGEFORMAT </w:instrText>
      </w:r>
      <w:r w:rsidRPr="003458B1">
        <w:fldChar w:fldCharType="separate"/>
      </w:r>
      <w:r w:rsidR="00037CB4" w:rsidRPr="00B81A2F">
        <w:t>Table A-41</w:t>
      </w:r>
      <w:r w:rsidRPr="003458B1">
        <w:fldChar w:fldCharType="end"/>
      </w:r>
      <w:r w:rsidRPr="003458B1">
        <w:t>.</w:t>
      </w:r>
      <w:r w:rsidRPr="00A95E6E">
        <w:t xml:space="preserve"> </w:t>
      </w:r>
    </w:p>
    <w:p w:rsidR="00391C49" w:rsidRDefault="00391C49" w:rsidP="006E720E">
      <w:pPr>
        <w:spacing w:after="120"/>
        <w:jc w:val="center"/>
        <w:rPr>
          <w:rFonts w:ascii="Century Gothic" w:hAnsi="Century Gothic"/>
          <w:b/>
          <w:bCs/>
          <w:sz w:val="18"/>
          <w:szCs w:val="18"/>
        </w:rPr>
      </w:pPr>
    </w:p>
    <w:p w:rsidR="006E720E" w:rsidRPr="003458B1" w:rsidRDefault="006E720E" w:rsidP="006E720E">
      <w:pPr>
        <w:spacing w:after="120"/>
        <w:jc w:val="center"/>
        <w:rPr>
          <w:rFonts w:ascii="Century Gothic" w:hAnsi="Century Gothic"/>
          <w:b/>
          <w:bCs/>
          <w:sz w:val="18"/>
          <w:szCs w:val="18"/>
        </w:rPr>
      </w:pPr>
      <w:bookmarkStart w:id="748" w:name="_Ref433896563"/>
      <w:bookmarkStart w:id="749" w:name="_Toc410199416"/>
      <w:bookmarkStart w:id="750" w:name="_Toc431462336"/>
      <w:bookmarkStart w:id="751" w:name="_Toc444269857"/>
      <w:bookmarkStart w:id="752" w:name="_Toc472472450"/>
      <w:bookmarkStart w:id="753" w:name="_Toc488741869"/>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41</w:t>
      </w:r>
      <w:r w:rsidRPr="003458B1">
        <w:rPr>
          <w:rFonts w:ascii="Century Gothic" w:hAnsi="Century Gothic"/>
          <w:b/>
          <w:bCs/>
          <w:sz w:val="18"/>
          <w:szCs w:val="18"/>
        </w:rPr>
        <w:fldChar w:fldCharType="end"/>
      </w:r>
      <w:bookmarkEnd w:id="748"/>
      <w:r w:rsidRPr="003458B1">
        <w:rPr>
          <w:rFonts w:ascii="Century Gothic" w:hAnsi="Century Gothic"/>
          <w:b/>
          <w:bCs/>
          <w:sz w:val="18"/>
          <w:szCs w:val="18"/>
        </w:rPr>
        <w:t>: Met-Ed’s PY7 Sampling Strategy and Achieved Precision – Government and Institutional Program</w:t>
      </w:r>
      <w:bookmarkEnd w:id="749"/>
      <w:bookmarkEnd w:id="750"/>
      <w:bookmarkEnd w:id="751"/>
      <w:bookmarkEnd w:id="752"/>
      <w:bookmarkEnd w:id="753"/>
    </w:p>
    <w:tbl>
      <w:tblPr>
        <w:tblW w:w="9358"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2065"/>
        <w:gridCol w:w="1170"/>
        <w:gridCol w:w="1261"/>
        <w:gridCol w:w="1169"/>
        <w:gridCol w:w="1170"/>
        <w:gridCol w:w="1261"/>
        <w:gridCol w:w="1262"/>
      </w:tblGrid>
      <w:tr w:rsidR="00A874AC" w:rsidRPr="00651AA9" w:rsidTr="00651AA9">
        <w:trPr>
          <w:trHeight w:val="864"/>
          <w:tblHeader/>
        </w:trPr>
        <w:tc>
          <w:tcPr>
            <w:tcW w:w="2065" w:type="dxa"/>
            <w:shd w:val="clear" w:color="000000" w:fill="448A99"/>
            <w:vAlign w:val="bottom"/>
            <w:hideMark/>
          </w:tcPr>
          <w:p w:rsidR="006E720E" w:rsidRPr="00651AA9" w:rsidRDefault="006E720E" w:rsidP="00380FF9">
            <w:pPr>
              <w:jc w:val="left"/>
              <w:rPr>
                <w:b/>
                <w:bCs/>
                <w:color w:val="FFFFFF"/>
                <w:sz w:val="19"/>
                <w:szCs w:val="19"/>
              </w:rPr>
            </w:pPr>
            <w:r w:rsidRPr="00651AA9">
              <w:rPr>
                <w:b/>
                <w:bCs/>
                <w:color w:val="FFFFFF"/>
                <w:sz w:val="19"/>
                <w:szCs w:val="19"/>
              </w:rPr>
              <w:t>Stratum</w:t>
            </w:r>
          </w:p>
        </w:tc>
        <w:tc>
          <w:tcPr>
            <w:tcW w:w="1170" w:type="dxa"/>
            <w:shd w:val="clear" w:color="000000" w:fill="448A99"/>
            <w:vAlign w:val="bottom"/>
            <w:hideMark/>
          </w:tcPr>
          <w:p w:rsidR="006E720E" w:rsidRPr="00651AA9" w:rsidRDefault="006E720E" w:rsidP="00380FF9">
            <w:pPr>
              <w:jc w:val="center"/>
              <w:rPr>
                <w:b/>
                <w:bCs/>
                <w:color w:val="FFFFFF"/>
                <w:sz w:val="19"/>
                <w:szCs w:val="19"/>
              </w:rPr>
            </w:pPr>
            <w:r w:rsidRPr="00651AA9">
              <w:rPr>
                <w:b/>
                <w:bCs/>
                <w:color w:val="FFFFFF"/>
                <w:sz w:val="19"/>
                <w:szCs w:val="19"/>
              </w:rPr>
              <w:t>Population</w:t>
            </w:r>
          </w:p>
        </w:tc>
        <w:tc>
          <w:tcPr>
            <w:tcW w:w="1261" w:type="dxa"/>
            <w:shd w:val="clear" w:color="000000" w:fill="448A99"/>
            <w:vAlign w:val="bottom"/>
            <w:hideMark/>
          </w:tcPr>
          <w:p w:rsidR="006E720E" w:rsidRPr="00651AA9" w:rsidRDefault="006E720E" w:rsidP="00380FF9">
            <w:pPr>
              <w:jc w:val="center"/>
              <w:rPr>
                <w:b/>
                <w:bCs/>
                <w:color w:val="FFFFFF"/>
                <w:sz w:val="19"/>
                <w:szCs w:val="19"/>
              </w:rPr>
            </w:pPr>
            <w:r w:rsidRPr="00651AA9">
              <w:rPr>
                <w:b/>
                <w:bCs/>
                <w:color w:val="FFFFFF"/>
                <w:sz w:val="19"/>
                <w:szCs w:val="19"/>
              </w:rPr>
              <w:t>Target Levels of Confidence &amp; Precision</w:t>
            </w:r>
          </w:p>
        </w:tc>
        <w:tc>
          <w:tcPr>
            <w:tcW w:w="1169" w:type="dxa"/>
            <w:shd w:val="clear" w:color="000000" w:fill="448A99"/>
            <w:vAlign w:val="bottom"/>
            <w:hideMark/>
          </w:tcPr>
          <w:p w:rsidR="006E720E" w:rsidRPr="00651AA9" w:rsidRDefault="006E720E" w:rsidP="00380FF9">
            <w:pPr>
              <w:jc w:val="center"/>
              <w:rPr>
                <w:b/>
                <w:bCs/>
                <w:color w:val="FFFFFF"/>
                <w:sz w:val="19"/>
                <w:szCs w:val="19"/>
              </w:rPr>
            </w:pPr>
            <w:r w:rsidRPr="00651AA9">
              <w:rPr>
                <w:b/>
                <w:bCs/>
                <w:color w:val="FFFFFF"/>
                <w:sz w:val="19"/>
                <w:szCs w:val="19"/>
              </w:rPr>
              <w:t>Target Sample Size</w:t>
            </w:r>
          </w:p>
        </w:tc>
        <w:tc>
          <w:tcPr>
            <w:tcW w:w="1170" w:type="dxa"/>
            <w:shd w:val="clear" w:color="000000" w:fill="448A99"/>
            <w:vAlign w:val="bottom"/>
            <w:hideMark/>
          </w:tcPr>
          <w:p w:rsidR="006E720E" w:rsidRPr="00651AA9" w:rsidRDefault="006E720E" w:rsidP="00380FF9">
            <w:pPr>
              <w:jc w:val="center"/>
              <w:rPr>
                <w:b/>
                <w:bCs/>
                <w:color w:val="FFFFFF"/>
                <w:sz w:val="19"/>
                <w:szCs w:val="19"/>
              </w:rPr>
            </w:pPr>
            <w:r w:rsidRPr="00651AA9">
              <w:rPr>
                <w:b/>
                <w:bCs/>
                <w:color w:val="FFFFFF"/>
                <w:sz w:val="19"/>
                <w:szCs w:val="19"/>
              </w:rPr>
              <w:t>Achieved Sample Size</w:t>
            </w:r>
          </w:p>
        </w:tc>
        <w:tc>
          <w:tcPr>
            <w:tcW w:w="1261" w:type="dxa"/>
            <w:shd w:val="clear" w:color="000000" w:fill="448A99"/>
            <w:vAlign w:val="bottom"/>
            <w:hideMark/>
          </w:tcPr>
          <w:p w:rsidR="006E720E" w:rsidRPr="00651AA9" w:rsidRDefault="006E720E" w:rsidP="00380FF9">
            <w:pPr>
              <w:jc w:val="center"/>
              <w:rPr>
                <w:b/>
                <w:bCs/>
                <w:color w:val="FFFFFF"/>
                <w:sz w:val="19"/>
                <w:szCs w:val="19"/>
              </w:rPr>
            </w:pPr>
            <w:r w:rsidRPr="00651AA9">
              <w:rPr>
                <w:b/>
                <w:bCs/>
                <w:color w:val="FFFFFF"/>
                <w:sz w:val="19"/>
                <w:szCs w:val="19"/>
              </w:rPr>
              <w:t>Relative Precision at 85% C.L. for Energy</w:t>
            </w:r>
          </w:p>
        </w:tc>
        <w:tc>
          <w:tcPr>
            <w:tcW w:w="1262" w:type="dxa"/>
            <w:shd w:val="clear" w:color="000000" w:fill="448A99"/>
            <w:vAlign w:val="bottom"/>
            <w:hideMark/>
          </w:tcPr>
          <w:p w:rsidR="006E720E" w:rsidRPr="00651AA9" w:rsidRDefault="006E720E" w:rsidP="00380FF9">
            <w:pPr>
              <w:jc w:val="center"/>
              <w:rPr>
                <w:b/>
                <w:bCs/>
                <w:color w:val="FFFFFF"/>
                <w:sz w:val="19"/>
                <w:szCs w:val="19"/>
              </w:rPr>
            </w:pPr>
            <w:r w:rsidRPr="00651AA9">
              <w:rPr>
                <w:b/>
                <w:bCs/>
                <w:color w:val="FFFFFF"/>
                <w:sz w:val="19"/>
                <w:szCs w:val="19"/>
              </w:rPr>
              <w:t>Relative Precision at 85% C.L. for Demand</w:t>
            </w:r>
          </w:p>
        </w:tc>
      </w:tr>
      <w:tr w:rsidR="00A874AC" w:rsidRPr="00651AA9" w:rsidTr="00651AA9">
        <w:trPr>
          <w:trHeight w:val="288"/>
        </w:trPr>
        <w:tc>
          <w:tcPr>
            <w:tcW w:w="2065" w:type="dxa"/>
            <w:shd w:val="clear" w:color="000000" w:fill="D2EAF1"/>
            <w:noWrap/>
            <w:vAlign w:val="center"/>
          </w:tcPr>
          <w:p w:rsidR="006E720E" w:rsidRPr="00651AA9" w:rsidRDefault="006E720E" w:rsidP="00380FF9">
            <w:pPr>
              <w:jc w:val="left"/>
              <w:rPr>
                <w:bCs/>
                <w:color w:val="000000"/>
                <w:sz w:val="19"/>
                <w:szCs w:val="19"/>
              </w:rPr>
            </w:pPr>
            <w:r w:rsidRPr="00651AA9">
              <w:rPr>
                <w:sz w:val="19"/>
                <w:szCs w:val="19"/>
              </w:rPr>
              <w:t>CFL kits – 1</w:t>
            </w:r>
          </w:p>
        </w:tc>
        <w:tc>
          <w:tcPr>
            <w:tcW w:w="1170"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w:t>
            </w:r>
          </w:p>
        </w:tc>
        <w:tc>
          <w:tcPr>
            <w:tcW w:w="1261"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N/A</w:t>
            </w:r>
          </w:p>
        </w:tc>
        <w:tc>
          <w:tcPr>
            <w:tcW w:w="1169"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w:t>
            </w:r>
          </w:p>
        </w:tc>
        <w:tc>
          <w:tcPr>
            <w:tcW w:w="1170"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w:t>
            </w:r>
          </w:p>
        </w:tc>
        <w:tc>
          <w:tcPr>
            <w:tcW w:w="1261"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0.0%</w:t>
            </w:r>
          </w:p>
        </w:tc>
        <w:tc>
          <w:tcPr>
            <w:tcW w:w="1262"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0.0%</w:t>
            </w:r>
          </w:p>
        </w:tc>
      </w:tr>
      <w:tr w:rsidR="00E7173E" w:rsidRPr="00651AA9" w:rsidTr="00651AA9">
        <w:trPr>
          <w:trHeight w:val="288"/>
        </w:trPr>
        <w:tc>
          <w:tcPr>
            <w:tcW w:w="2065" w:type="dxa"/>
            <w:shd w:val="clear" w:color="auto" w:fill="auto"/>
            <w:noWrap/>
            <w:vAlign w:val="center"/>
          </w:tcPr>
          <w:p w:rsidR="006E720E" w:rsidRPr="00651AA9" w:rsidRDefault="006E720E" w:rsidP="00380FF9">
            <w:pPr>
              <w:jc w:val="left"/>
              <w:rPr>
                <w:bCs/>
                <w:color w:val="000000"/>
                <w:sz w:val="19"/>
                <w:szCs w:val="19"/>
              </w:rPr>
            </w:pPr>
            <w:r w:rsidRPr="00651AA9">
              <w:rPr>
                <w:sz w:val="19"/>
                <w:szCs w:val="19"/>
              </w:rPr>
              <w:t>Lighting – certainty</w:t>
            </w:r>
          </w:p>
        </w:tc>
        <w:tc>
          <w:tcPr>
            <w:tcW w:w="1170" w:type="dxa"/>
            <w:shd w:val="clear" w:color="auto" w:fill="auto"/>
            <w:noWrap/>
            <w:vAlign w:val="center"/>
          </w:tcPr>
          <w:p w:rsidR="006E720E" w:rsidRPr="00651AA9" w:rsidRDefault="006E720E" w:rsidP="00380FF9">
            <w:pPr>
              <w:jc w:val="center"/>
              <w:rPr>
                <w:color w:val="000000"/>
                <w:sz w:val="19"/>
                <w:szCs w:val="19"/>
              </w:rPr>
            </w:pPr>
            <w:r w:rsidRPr="00651AA9">
              <w:rPr>
                <w:sz w:val="19"/>
                <w:szCs w:val="19"/>
              </w:rPr>
              <w:t>0</w:t>
            </w:r>
          </w:p>
        </w:tc>
        <w:tc>
          <w:tcPr>
            <w:tcW w:w="1261" w:type="dxa"/>
            <w:shd w:val="clear" w:color="auto" w:fill="auto"/>
            <w:noWrap/>
            <w:vAlign w:val="center"/>
          </w:tcPr>
          <w:p w:rsidR="006E720E" w:rsidRPr="00651AA9" w:rsidRDefault="006E720E" w:rsidP="00380FF9">
            <w:pPr>
              <w:jc w:val="center"/>
              <w:rPr>
                <w:color w:val="000000"/>
                <w:sz w:val="19"/>
                <w:szCs w:val="19"/>
              </w:rPr>
            </w:pPr>
            <w:r w:rsidRPr="00651AA9">
              <w:rPr>
                <w:sz w:val="19"/>
                <w:szCs w:val="19"/>
              </w:rPr>
              <w:t>N/A</w:t>
            </w:r>
          </w:p>
        </w:tc>
        <w:tc>
          <w:tcPr>
            <w:tcW w:w="1169" w:type="dxa"/>
            <w:shd w:val="clear" w:color="auto" w:fill="auto"/>
            <w:noWrap/>
            <w:vAlign w:val="center"/>
          </w:tcPr>
          <w:p w:rsidR="006E720E" w:rsidRPr="00651AA9" w:rsidRDefault="006E720E" w:rsidP="00380FF9">
            <w:pPr>
              <w:jc w:val="center"/>
              <w:rPr>
                <w:color w:val="000000"/>
                <w:sz w:val="19"/>
                <w:szCs w:val="19"/>
              </w:rPr>
            </w:pPr>
            <w:r w:rsidRPr="00651AA9">
              <w:rPr>
                <w:sz w:val="19"/>
                <w:szCs w:val="19"/>
              </w:rPr>
              <w:t>0</w:t>
            </w:r>
          </w:p>
        </w:tc>
        <w:tc>
          <w:tcPr>
            <w:tcW w:w="1170" w:type="dxa"/>
            <w:shd w:val="clear" w:color="auto" w:fill="auto"/>
            <w:noWrap/>
            <w:vAlign w:val="center"/>
          </w:tcPr>
          <w:p w:rsidR="006E720E" w:rsidRPr="00651AA9" w:rsidRDefault="006E720E" w:rsidP="00380FF9">
            <w:pPr>
              <w:jc w:val="center"/>
              <w:rPr>
                <w:color w:val="000000"/>
                <w:sz w:val="19"/>
                <w:szCs w:val="19"/>
              </w:rPr>
            </w:pPr>
            <w:r w:rsidRPr="00651AA9">
              <w:rPr>
                <w:sz w:val="19"/>
                <w:szCs w:val="19"/>
              </w:rPr>
              <w:t>0</w:t>
            </w:r>
          </w:p>
        </w:tc>
        <w:tc>
          <w:tcPr>
            <w:tcW w:w="1261" w:type="dxa"/>
            <w:shd w:val="clear" w:color="auto" w:fill="auto"/>
            <w:noWrap/>
            <w:vAlign w:val="center"/>
          </w:tcPr>
          <w:p w:rsidR="006E720E" w:rsidRPr="00651AA9" w:rsidRDefault="006E720E" w:rsidP="00380FF9">
            <w:pPr>
              <w:jc w:val="center"/>
              <w:rPr>
                <w:color w:val="000000"/>
                <w:sz w:val="19"/>
                <w:szCs w:val="19"/>
              </w:rPr>
            </w:pPr>
            <w:r w:rsidRPr="00651AA9">
              <w:rPr>
                <w:sz w:val="19"/>
                <w:szCs w:val="19"/>
              </w:rPr>
              <w:t>0.0%</w:t>
            </w:r>
          </w:p>
        </w:tc>
        <w:tc>
          <w:tcPr>
            <w:tcW w:w="1262" w:type="dxa"/>
            <w:shd w:val="clear" w:color="auto" w:fill="auto"/>
            <w:noWrap/>
            <w:vAlign w:val="center"/>
          </w:tcPr>
          <w:p w:rsidR="006E720E" w:rsidRPr="00651AA9" w:rsidRDefault="006E720E" w:rsidP="00380FF9">
            <w:pPr>
              <w:jc w:val="center"/>
              <w:rPr>
                <w:color w:val="000000"/>
                <w:sz w:val="19"/>
                <w:szCs w:val="19"/>
              </w:rPr>
            </w:pPr>
            <w:r w:rsidRPr="00651AA9">
              <w:rPr>
                <w:sz w:val="19"/>
                <w:szCs w:val="19"/>
              </w:rPr>
              <w:t>0.0%</w:t>
            </w:r>
          </w:p>
        </w:tc>
      </w:tr>
      <w:tr w:rsidR="00A874AC" w:rsidRPr="00651AA9" w:rsidTr="00651AA9">
        <w:trPr>
          <w:trHeight w:val="288"/>
        </w:trPr>
        <w:tc>
          <w:tcPr>
            <w:tcW w:w="2065" w:type="dxa"/>
            <w:shd w:val="clear" w:color="000000" w:fill="D2EAF1"/>
            <w:noWrap/>
            <w:vAlign w:val="center"/>
          </w:tcPr>
          <w:p w:rsidR="006E720E" w:rsidRPr="00651AA9" w:rsidRDefault="006E720E" w:rsidP="00380FF9">
            <w:pPr>
              <w:jc w:val="left"/>
              <w:rPr>
                <w:bCs/>
                <w:color w:val="000000"/>
                <w:sz w:val="19"/>
                <w:szCs w:val="19"/>
              </w:rPr>
            </w:pPr>
            <w:r w:rsidRPr="00651AA9">
              <w:rPr>
                <w:sz w:val="19"/>
                <w:szCs w:val="19"/>
              </w:rPr>
              <w:t>Lighting – 2</w:t>
            </w:r>
          </w:p>
        </w:tc>
        <w:tc>
          <w:tcPr>
            <w:tcW w:w="1170"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w:t>
            </w:r>
          </w:p>
        </w:tc>
        <w:tc>
          <w:tcPr>
            <w:tcW w:w="1261"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N/A</w:t>
            </w:r>
          </w:p>
        </w:tc>
        <w:tc>
          <w:tcPr>
            <w:tcW w:w="1169"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w:t>
            </w:r>
          </w:p>
        </w:tc>
        <w:tc>
          <w:tcPr>
            <w:tcW w:w="1170"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w:t>
            </w:r>
          </w:p>
        </w:tc>
        <w:tc>
          <w:tcPr>
            <w:tcW w:w="1261"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0.0%</w:t>
            </w:r>
          </w:p>
        </w:tc>
        <w:tc>
          <w:tcPr>
            <w:tcW w:w="1262" w:type="dxa"/>
            <w:shd w:val="clear" w:color="000000" w:fill="D2EAF1"/>
            <w:noWrap/>
            <w:vAlign w:val="center"/>
          </w:tcPr>
          <w:p w:rsidR="006E720E" w:rsidRPr="00651AA9" w:rsidRDefault="006E720E" w:rsidP="00380FF9">
            <w:pPr>
              <w:jc w:val="center"/>
              <w:rPr>
                <w:color w:val="000000"/>
                <w:sz w:val="19"/>
                <w:szCs w:val="19"/>
              </w:rPr>
            </w:pPr>
            <w:r w:rsidRPr="00651AA9">
              <w:rPr>
                <w:sz w:val="19"/>
                <w:szCs w:val="19"/>
              </w:rPr>
              <w:t>0.0%</w:t>
            </w:r>
          </w:p>
        </w:tc>
      </w:tr>
      <w:tr w:rsidR="00E7173E" w:rsidRPr="00651AA9" w:rsidTr="00651AA9">
        <w:trPr>
          <w:trHeight w:val="288"/>
        </w:trPr>
        <w:tc>
          <w:tcPr>
            <w:tcW w:w="2065" w:type="dxa"/>
            <w:shd w:val="clear" w:color="auto" w:fill="auto"/>
            <w:noWrap/>
            <w:vAlign w:val="center"/>
          </w:tcPr>
          <w:p w:rsidR="006E720E" w:rsidRPr="00651AA9" w:rsidRDefault="006E720E" w:rsidP="00380FF9">
            <w:pPr>
              <w:jc w:val="left"/>
              <w:rPr>
                <w:b/>
                <w:bCs/>
                <w:iCs/>
                <w:color w:val="000000"/>
                <w:sz w:val="19"/>
                <w:szCs w:val="19"/>
              </w:rPr>
            </w:pPr>
            <w:r w:rsidRPr="00651AA9">
              <w:rPr>
                <w:sz w:val="19"/>
                <w:szCs w:val="19"/>
              </w:rPr>
              <w:t>Lighting – 3</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3</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29.4%</w:t>
            </w:r>
          </w:p>
        </w:tc>
        <w:tc>
          <w:tcPr>
            <w:tcW w:w="1169"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2</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2</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29.4%</w:t>
            </w:r>
          </w:p>
        </w:tc>
        <w:tc>
          <w:tcPr>
            <w:tcW w:w="1262"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29.4%</w:t>
            </w:r>
          </w:p>
        </w:tc>
      </w:tr>
      <w:tr w:rsidR="00A874AC" w:rsidRPr="00651AA9" w:rsidTr="00651AA9">
        <w:trPr>
          <w:trHeight w:val="288"/>
        </w:trPr>
        <w:tc>
          <w:tcPr>
            <w:tcW w:w="2065" w:type="dxa"/>
            <w:shd w:val="clear" w:color="auto" w:fill="D2EAF1"/>
            <w:noWrap/>
            <w:vAlign w:val="center"/>
          </w:tcPr>
          <w:p w:rsidR="006E720E" w:rsidRPr="00651AA9" w:rsidRDefault="006E720E" w:rsidP="00380FF9">
            <w:pPr>
              <w:jc w:val="left"/>
              <w:rPr>
                <w:b/>
                <w:bCs/>
                <w:iCs/>
                <w:color w:val="000000"/>
                <w:sz w:val="19"/>
                <w:szCs w:val="19"/>
              </w:rPr>
            </w:pPr>
            <w:r w:rsidRPr="00651AA9">
              <w:rPr>
                <w:sz w:val="19"/>
                <w:szCs w:val="19"/>
              </w:rPr>
              <w:t>Lighting – 4</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6</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29.4%</w:t>
            </w:r>
          </w:p>
        </w:tc>
        <w:tc>
          <w:tcPr>
            <w:tcW w:w="1169"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3</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4</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20.8%</w:t>
            </w:r>
          </w:p>
        </w:tc>
        <w:tc>
          <w:tcPr>
            <w:tcW w:w="1262"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20.8%</w:t>
            </w:r>
          </w:p>
        </w:tc>
      </w:tr>
      <w:tr w:rsidR="00E7173E" w:rsidRPr="00651AA9" w:rsidTr="00651AA9">
        <w:trPr>
          <w:trHeight w:val="288"/>
        </w:trPr>
        <w:tc>
          <w:tcPr>
            <w:tcW w:w="2065" w:type="dxa"/>
            <w:shd w:val="clear" w:color="auto" w:fill="auto"/>
            <w:noWrap/>
            <w:vAlign w:val="center"/>
          </w:tcPr>
          <w:p w:rsidR="006E720E" w:rsidRPr="00651AA9" w:rsidRDefault="006E720E" w:rsidP="00380FF9">
            <w:pPr>
              <w:jc w:val="left"/>
              <w:rPr>
                <w:b/>
                <w:bCs/>
                <w:iCs/>
                <w:color w:val="000000"/>
                <w:sz w:val="19"/>
                <w:szCs w:val="19"/>
              </w:rPr>
            </w:pPr>
            <w:r w:rsidRPr="00651AA9">
              <w:rPr>
                <w:sz w:val="19"/>
                <w:szCs w:val="19"/>
              </w:rPr>
              <w:t>Custom – certainty</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N/A</w:t>
            </w:r>
          </w:p>
        </w:tc>
        <w:tc>
          <w:tcPr>
            <w:tcW w:w="1169"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0.0%</w:t>
            </w:r>
          </w:p>
        </w:tc>
        <w:tc>
          <w:tcPr>
            <w:tcW w:w="1262"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0.0%</w:t>
            </w:r>
          </w:p>
        </w:tc>
      </w:tr>
      <w:tr w:rsidR="00A874AC" w:rsidRPr="00651AA9" w:rsidTr="00651AA9">
        <w:trPr>
          <w:trHeight w:val="288"/>
        </w:trPr>
        <w:tc>
          <w:tcPr>
            <w:tcW w:w="2065" w:type="dxa"/>
            <w:shd w:val="clear" w:color="auto" w:fill="D2EAF1"/>
            <w:noWrap/>
            <w:vAlign w:val="center"/>
          </w:tcPr>
          <w:p w:rsidR="006E720E" w:rsidRPr="00651AA9" w:rsidRDefault="006E720E" w:rsidP="00380FF9">
            <w:pPr>
              <w:jc w:val="left"/>
              <w:rPr>
                <w:b/>
                <w:bCs/>
                <w:iCs/>
                <w:color w:val="000000"/>
                <w:sz w:val="19"/>
                <w:szCs w:val="19"/>
              </w:rPr>
            </w:pPr>
            <w:r w:rsidRPr="00651AA9">
              <w:rPr>
                <w:sz w:val="19"/>
                <w:szCs w:val="19"/>
              </w:rPr>
              <w:t>Custom – 2</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N/A</w:t>
            </w:r>
          </w:p>
        </w:tc>
        <w:tc>
          <w:tcPr>
            <w:tcW w:w="1169"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0.0%</w:t>
            </w:r>
          </w:p>
        </w:tc>
        <w:tc>
          <w:tcPr>
            <w:tcW w:w="1262"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0.0%</w:t>
            </w:r>
          </w:p>
        </w:tc>
      </w:tr>
      <w:tr w:rsidR="00E7173E" w:rsidRPr="00651AA9" w:rsidTr="00651AA9">
        <w:trPr>
          <w:trHeight w:val="288"/>
        </w:trPr>
        <w:tc>
          <w:tcPr>
            <w:tcW w:w="2065" w:type="dxa"/>
            <w:shd w:val="clear" w:color="auto" w:fill="auto"/>
            <w:noWrap/>
            <w:vAlign w:val="center"/>
          </w:tcPr>
          <w:p w:rsidR="006E720E" w:rsidRPr="00651AA9" w:rsidRDefault="006E720E" w:rsidP="00380FF9">
            <w:pPr>
              <w:jc w:val="left"/>
              <w:rPr>
                <w:b/>
                <w:bCs/>
                <w:iCs/>
                <w:color w:val="000000"/>
                <w:sz w:val="19"/>
                <w:szCs w:val="19"/>
              </w:rPr>
            </w:pPr>
            <w:r w:rsidRPr="00651AA9">
              <w:rPr>
                <w:sz w:val="19"/>
                <w:szCs w:val="19"/>
              </w:rPr>
              <w:t>Custom – 3</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8</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14.7%</w:t>
            </w:r>
          </w:p>
        </w:tc>
        <w:tc>
          <w:tcPr>
            <w:tcW w:w="1169"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6</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6</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14.7%</w:t>
            </w:r>
          </w:p>
        </w:tc>
        <w:tc>
          <w:tcPr>
            <w:tcW w:w="1262"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14.7%</w:t>
            </w:r>
          </w:p>
        </w:tc>
      </w:tr>
      <w:tr w:rsidR="00A874AC" w:rsidRPr="00651AA9" w:rsidTr="00651AA9">
        <w:trPr>
          <w:trHeight w:val="288"/>
        </w:trPr>
        <w:tc>
          <w:tcPr>
            <w:tcW w:w="2065" w:type="dxa"/>
            <w:shd w:val="clear" w:color="auto" w:fill="D2EAF1"/>
            <w:noWrap/>
            <w:vAlign w:val="center"/>
          </w:tcPr>
          <w:p w:rsidR="006E720E" w:rsidRPr="00651AA9" w:rsidRDefault="006E720E" w:rsidP="00380FF9">
            <w:pPr>
              <w:jc w:val="left"/>
              <w:rPr>
                <w:b/>
                <w:bCs/>
                <w:iCs/>
                <w:color w:val="000000"/>
                <w:sz w:val="19"/>
                <w:szCs w:val="19"/>
              </w:rPr>
            </w:pPr>
            <w:r w:rsidRPr="00651AA9">
              <w:rPr>
                <w:sz w:val="19"/>
                <w:szCs w:val="19"/>
              </w:rPr>
              <w:t>HVAC and DHW – 1</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N/A</w:t>
            </w:r>
          </w:p>
        </w:tc>
        <w:tc>
          <w:tcPr>
            <w:tcW w:w="1169"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0.0%</w:t>
            </w:r>
          </w:p>
        </w:tc>
        <w:tc>
          <w:tcPr>
            <w:tcW w:w="1262"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0.0%</w:t>
            </w:r>
          </w:p>
        </w:tc>
      </w:tr>
      <w:tr w:rsidR="00E7173E" w:rsidRPr="00651AA9" w:rsidTr="00651AA9">
        <w:trPr>
          <w:trHeight w:val="288"/>
        </w:trPr>
        <w:tc>
          <w:tcPr>
            <w:tcW w:w="2065" w:type="dxa"/>
            <w:shd w:val="clear" w:color="auto" w:fill="auto"/>
            <w:noWrap/>
            <w:vAlign w:val="center"/>
          </w:tcPr>
          <w:p w:rsidR="006E720E" w:rsidRPr="00651AA9" w:rsidRDefault="006E720E" w:rsidP="00380FF9">
            <w:pPr>
              <w:jc w:val="left"/>
              <w:rPr>
                <w:b/>
                <w:bCs/>
                <w:iCs/>
                <w:color w:val="000000"/>
                <w:sz w:val="19"/>
                <w:szCs w:val="19"/>
              </w:rPr>
            </w:pPr>
            <w:r w:rsidRPr="00651AA9">
              <w:rPr>
                <w:sz w:val="19"/>
                <w:szCs w:val="19"/>
              </w:rPr>
              <w:t>HVAC and DHW – 2</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N/A</w:t>
            </w:r>
          </w:p>
        </w:tc>
        <w:tc>
          <w:tcPr>
            <w:tcW w:w="1169"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0.0%</w:t>
            </w:r>
          </w:p>
        </w:tc>
        <w:tc>
          <w:tcPr>
            <w:tcW w:w="1262"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0.0%</w:t>
            </w:r>
          </w:p>
        </w:tc>
      </w:tr>
      <w:tr w:rsidR="00A874AC" w:rsidRPr="00651AA9" w:rsidTr="00651AA9">
        <w:trPr>
          <w:trHeight w:val="288"/>
        </w:trPr>
        <w:tc>
          <w:tcPr>
            <w:tcW w:w="2065" w:type="dxa"/>
            <w:shd w:val="clear" w:color="auto" w:fill="D2EAF1"/>
            <w:noWrap/>
            <w:vAlign w:val="center"/>
          </w:tcPr>
          <w:p w:rsidR="006E720E" w:rsidRPr="00651AA9" w:rsidRDefault="006E720E" w:rsidP="00380FF9">
            <w:pPr>
              <w:jc w:val="left"/>
              <w:rPr>
                <w:b/>
                <w:bCs/>
                <w:iCs/>
                <w:color w:val="000000"/>
                <w:sz w:val="19"/>
                <w:szCs w:val="19"/>
              </w:rPr>
            </w:pPr>
            <w:r w:rsidRPr="00651AA9">
              <w:rPr>
                <w:sz w:val="19"/>
                <w:szCs w:val="19"/>
              </w:rPr>
              <w:t>Appliance Turn-In – 1</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N/A</w:t>
            </w:r>
          </w:p>
        </w:tc>
        <w:tc>
          <w:tcPr>
            <w:tcW w:w="1169"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0.0%</w:t>
            </w:r>
          </w:p>
        </w:tc>
        <w:tc>
          <w:tcPr>
            <w:tcW w:w="1262" w:type="dxa"/>
            <w:shd w:val="clear" w:color="auto" w:fill="D2EAF1"/>
            <w:noWrap/>
            <w:vAlign w:val="center"/>
          </w:tcPr>
          <w:p w:rsidR="006E720E" w:rsidRPr="00651AA9" w:rsidRDefault="006E720E" w:rsidP="00380FF9">
            <w:pPr>
              <w:jc w:val="center"/>
              <w:rPr>
                <w:b/>
                <w:bCs/>
                <w:color w:val="000000"/>
                <w:sz w:val="19"/>
                <w:szCs w:val="19"/>
              </w:rPr>
            </w:pPr>
            <w:r w:rsidRPr="00651AA9">
              <w:rPr>
                <w:sz w:val="19"/>
                <w:szCs w:val="19"/>
              </w:rPr>
              <w:t>0.0%</w:t>
            </w:r>
          </w:p>
        </w:tc>
      </w:tr>
      <w:tr w:rsidR="00E7173E" w:rsidRPr="00651AA9" w:rsidTr="00651AA9">
        <w:trPr>
          <w:trHeight w:val="288"/>
        </w:trPr>
        <w:tc>
          <w:tcPr>
            <w:tcW w:w="2065" w:type="dxa"/>
            <w:shd w:val="clear" w:color="auto" w:fill="auto"/>
            <w:noWrap/>
            <w:vAlign w:val="center"/>
          </w:tcPr>
          <w:p w:rsidR="006E720E" w:rsidRPr="00651AA9" w:rsidRDefault="006E720E" w:rsidP="00380FF9">
            <w:pPr>
              <w:jc w:val="left"/>
              <w:rPr>
                <w:b/>
                <w:bCs/>
                <w:iCs/>
                <w:color w:val="000000"/>
                <w:sz w:val="19"/>
                <w:szCs w:val="19"/>
              </w:rPr>
            </w:pPr>
            <w:r w:rsidRPr="00651AA9">
              <w:rPr>
                <w:sz w:val="19"/>
                <w:szCs w:val="19"/>
              </w:rPr>
              <w:t>Kitchen/appliances – 1</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N/A</w:t>
            </w:r>
          </w:p>
        </w:tc>
        <w:tc>
          <w:tcPr>
            <w:tcW w:w="1169"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w:t>
            </w:r>
          </w:p>
        </w:tc>
        <w:tc>
          <w:tcPr>
            <w:tcW w:w="1170"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w:t>
            </w:r>
          </w:p>
        </w:tc>
        <w:tc>
          <w:tcPr>
            <w:tcW w:w="1261"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0.0%</w:t>
            </w:r>
          </w:p>
        </w:tc>
        <w:tc>
          <w:tcPr>
            <w:tcW w:w="1262" w:type="dxa"/>
            <w:shd w:val="clear" w:color="auto" w:fill="auto"/>
            <w:noWrap/>
            <w:vAlign w:val="center"/>
          </w:tcPr>
          <w:p w:rsidR="006E720E" w:rsidRPr="00651AA9" w:rsidRDefault="006E720E" w:rsidP="00380FF9">
            <w:pPr>
              <w:jc w:val="center"/>
              <w:rPr>
                <w:b/>
                <w:bCs/>
                <w:color w:val="000000"/>
                <w:sz w:val="19"/>
                <w:szCs w:val="19"/>
              </w:rPr>
            </w:pPr>
            <w:r w:rsidRPr="00651AA9">
              <w:rPr>
                <w:sz w:val="19"/>
                <w:szCs w:val="19"/>
              </w:rPr>
              <w:t>0.0%</w:t>
            </w:r>
          </w:p>
        </w:tc>
      </w:tr>
      <w:tr w:rsidR="00A874AC" w:rsidRPr="00651AA9" w:rsidTr="00651AA9">
        <w:trPr>
          <w:trHeight w:val="288"/>
        </w:trPr>
        <w:tc>
          <w:tcPr>
            <w:tcW w:w="2065" w:type="dxa"/>
            <w:shd w:val="clear" w:color="auto" w:fill="D2EAF1"/>
            <w:noWrap/>
            <w:vAlign w:val="center"/>
          </w:tcPr>
          <w:p w:rsidR="006E720E" w:rsidRPr="00651AA9" w:rsidRDefault="006E720E" w:rsidP="00380FF9">
            <w:pPr>
              <w:jc w:val="left"/>
              <w:rPr>
                <w:b/>
                <w:bCs/>
                <w:iCs/>
                <w:color w:val="000000"/>
                <w:sz w:val="19"/>
                <w:szCs w:val="19"/>
              </w:rPr>
            </w:pPr>
            <w:r w:rsidRPr="00651AA9">
              <w:rPr>
                <w:b/>
                <w:sz w:val="19"/>
                <w:szCs w:val="19"/>
              </w:rPr>
              <w:t>Program Total</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b/>
                <w:sz w:val="19"/>
                <w:szCs w:val="19"/>
              </w:rPr>
              <w:t>17</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b/>
                <w:sz w:val="19"/>
                <w:szCs w:val="19"/>
              </w:rPr>
              <w:t>12.8%</w:t>
            </w:r>
          </w:p>
        </w:tc>
        <w:tc>
          <w:tcPr>
            <w:tcW w:w="1169" w:type="dxa"/>
            <w:shd w:val="clear" w:color="auto" w:fill="D2EAF1"/>
            <w:noWrap/>
            <w:vAlign w:val="center"/>
          </w:tcPr>
          <w:p w:rsidR="006E720E" w:rsidRPr="00651AA9" w:rsidRDefault="006E720E" w:rsidP="00380FF9">
            <w:pPr>
              <w:jc w:val="center"/>
              <w:rPr>
                <w:b/>
                <w:bCs/>
                <w:color w:val="000000"/>
                <w:sz w:val="19"/>
                <w:szCs w:val="19"/>
              </w:rPr>
            </w:pPr>
            <w:r w:rsidRPr="00651AA9">
              <w:rPr>
                <w:b/>
                <w:sz w:val="19"/>
                <w:szCs w:val="19"/>
              </w:rPr>
              <w:t>11</w:t>
            </w:r>
          </w:p>
        </w:tc>
        <w:tc>
          <w:tcPr>
            <w:tcW w:w="1170" w:type="dxa"/>
            <w:shd w:val="clear" w:color="auto" w:fill="D2EAF1"/>
            <w:noWrap/>
            <w:vAlign w:val="center"/>
          </w:tcPr>
          <w:p w:rsidR="006E720E" w:rsidRPr="00651AA9" w:rsidRDefault="006E720E" w:rsidP="00380FF9">
            <w:pPr>
              <w:jc w:val="center"/>
              <w:rPr>
                <w:b/>
                <w:bCs/>
                <w:color w:val="000000"/>
                <w:sz w:val="19"/>
                <w:szCs w:val="19"/>
              </w:rPr>
            </w:pPr>
            <w:r w:rsidRPr="00651AA9">
              <w:rPr>
                <w:b/>
                <w:sz w:val="19"/>
                <w:szCs w:val="19"/>
              </w:rPr>
              <w:t>12</w:t>
            </w:r>
          </w:p>
        </w:tc>
        <w:tc>
          <w:tcPr>
            <w:tcW w:w="1261" w:type="dxa"/>
            <w:shd w:val="clear" w:color="auto" w:fill="D2EAF1"/>
            <w:noWrap/>
            <w:vAlign w:val="center"/>
          </w:tcPr>
          <w:p w:rsidR="006E720E" w:rsidRPr="00651AA9" w:rsidRDefault="006E720E" w:rsidP="00380FF9">
            <w:pPr>
              <w:jc w:val="center"/>
              <w:rPr>
                <w:b/>
                <w:bCs/>
                <w:color w:val="000000"/>
                <w:sz w:val="19"/>
                <w:szCs w:val="19"/>
              </w:rPr>
            </w:pPr>
            <w:r w:rsidRPr="00651AA9">
              <w:rPr>
                <w:b/>
                <w:sz w:val="19"/>
                <w:szCs w:val="19"/>
              </w:rPr>
              <w:t>11.1%</w:t>
            </w:r>
          </w:p>
        </w:tc>
        <w:tc>
          <w:tcPr>
            <w:tcW w:w="1262" w:type="dxa"/>
            <w:shd w:val="clear" w:color="auto" w:fill="D2EAF1"/>
            <w:noWrap/>
            <w:vAlign w:val="center"/>
          </w:tcPr>
          <w:p w:rsidR="006E720E" w:rsidRPr="00651AA9" w:rsidRDefault="006E720E" w:rsidP="00380FF9">
            <w:pPr>
              <w:jc w:val="center"/>
              <w:rPr>
                <w:b/>
                <w:bCs/>
                <w:color w:val="000000"/>
                <w:sz w:val="19"/>
                <w:szCs w:val="19"/>
              </w:rPr>
            </w:pPr>
            <w:r w:rsidRPr="00651AA9">
              <w:rPr>
                <w:b/>
                <w:sz w:val="19"/>
                <w:szCs w:val="19"/>
              </w:rPr>
              <w:t>11.3%</w:t>
            </w:r>
          </w:p>
        </w:tc>
      </w:tr>
    </w:tbl>
    <w:p w:rsidR="006E720E" w:rsidRPr="003458B1" w:rsidRDefault="006E720E" w:rsidP="006E720E"/>
    <w:p w:rsidR="006E720E" w:rsidRPr="003B2BD3" w:rsidRDefault="006E720E" w:rsidP="0055598C">
      <w:pPr>
        <w:pStyle w:val="AppendixAHeading4"/>
        <w:rPr>
          <w:rFonts w:eastAsia="Calibri"/>
        </w:rPr>
      </w:pPr>
      <w:bookmarkStart w:id="754" w:name="_Ref408508301"/>
      <w:bookmarkStart w:id="755" w:name="_Toc408557486"/>
      <w:r w:rsidRPr="003B2BD3">
        <w:rPr>
          <w:rFonts w:eastAsia="Calibri"/>
        </w:rPr>
        <w:t>Ride-Along Site Inspections</w:t>
      </w:r>
      <w:bookmarkEnd w:id="754"/>
      <w:bookmarkEnd w:id="755"/>
    </w:p>
    <w:p w:rsidR="006E720E" w:rsidRPr="003B2BD3" w:rsidRDefault="009B32AB" w:rsidP="006E720E">
      <w:pPr>
        <w:spacing w:after="120"/>
      </w:pPr>
      <w:r>
        <w:rPr>
          <w:highlight w:val="yellow"/>
        </w:rPr>
        <w:fldChar w:fldCharType="begin"/>
      </w:r>
      <w:r>
        <w:instrText xml:space="preserve"> REF _Ref472467241 \h </w:instrText>
      </w:r>
      <w:r>
        <w:rPr>
          <w:highlight w:val="yellow"/>
        </w:rPr>
      </w:r>
      <w:r>
        <w:rPr>
          <w:highlight w:val="yellow"/>
        </w:rPr>
        <w:fldChar w:fldCharType="separate"/>
      </w:r>
      <w:r w:rsidR="00037CB4" w:rsidRPr="009B32AB">
        <w:t>Table A-</w:t>
      </w:r>
      <w:r w:rsidR="00037CB4">
        <w:rPr>
          <w:noProof/>
        </w:rPr>
        <w:t>42</w:t>
      </w:r>
      <w:r>
        <w:rPr>
          <w:highlight w:val="yellow"/>
        </w:rPr>
        <w:fldChar w:fldCharType="end"/>
      </w:r>
      <w:r w:rsidR="006E720E" w:rsidRPr="003B2BD3">
        <w:t xml:space="preserve"> summarizes the SWE Team’s PY7 ride-along site inspections of Met-Ed’s non-residential project installations. </w:t>
      </w:r>
      <w:r w:rsidR="00AF2C58">
        <w:t>For PY7, all Met</w:t>
      </w:r>
      <w:r w:rsidR="006E720E" w:rsidRPr="003B2BD3">
        <w:t xml:space="preserve">-Ed PY7 site inspection findings are categorized </w:t>
      </w:r>
      <w:r w:rsidR="00AF2C58">
        <w:t>as</w:t>
      </w:r>
      <w:r w:rsidR="006E720E" w:rsidRPr="003B2BD3">
        <w:t xml:space="preserve">: </w:t>
      </w:r>
    </w:p>
    <w:p w:rsidR="006E720E" w:rsidRPr="003B2BD3" w:rsidRDefault="006E720E" w:rsidP="00E646C9">
      <w:pPr>
        <w:keepNext/>
        <w:numPr>
          <w:ilvl w:val="0"/>
          <w:numId w:val="33"/>
        </w:numPr>
        <w:autoSpaceDE w:val="0"/>
        <w:autoSpaceDN w:val="0"/>
        <w:adjustRightInd w:val="0"/>
        <w:spacing w:after="120"/>
        <w:ind w:left="360"/>
        <w:rPr>
          <w:rFonts w:ascii="Century Gothic" w:hAnsi="Century Gothic"/>
          <w:b/>
          <w:bCs/>
          <w:sz w:val="18"/>
          <w:szCs w:val="18"/>
        </w:rPr>
      </w:pPr>
      <w:r w:rsidRPr="003B2BD3">
        <w:rPr>
          <w:rFonts w:cs="Calibri"/>
          <w:color w:val="000000"/>
          <w:szCs w:val="20"/>
        </w:rPr>
        <w:t>Evaluation (Eval) findings are associated with ride-along site inspections and may reflect site activities or evaluation contractor savings calculations or reports.</w:t>
      </w:r>
    </w:p>
    <w:p w:rsidR="00117CF7" w:rsidRDefault="00117CF7" w:rsidP="00117CF7">
      <w:pPr>
        <w:keepNext/>
        <w:autoSpaceDE w:val="0"/>
        <w:autoSpaceDN w:val="0"/>
        <w:adjustRightInd w:val="0"/>
        <w:rPr>
          <w:color w:val="000000"/>
        </w:rPr>
      </w:pPr>
    </w:p>
    <w:p w:rsidR="009B32AB" w:rsidRDefault="009B32AB" w:rsidP="00117CF7">
      <w:pPr>
        <w:keepNext/>
        <w:autoSpaceDE w:val="0"/>
        <w:autoSpaceDN w:val="0"/>
        <w:adjustRightInd w:val="0"/>
        <w:rPr>
          <w:color w:val="000000"/>
        </w:rPr>
        <w:sectPr w:rsidR="009B32AB" w:rsidSect="00391C49">
          <w:headerReference w:type="default" r:id="rId117"/>
          <w:footerReference w:type="default" r:id="rId118"/>
          <w:headerReference w:type="first" r:id="rId119"/>
          <w:footerReference w:type="first" r:id="rId120"/>
          <w:pgSz w:w="12240" w:h="15840"/>
          <w:pgMar w:top="1440" w:right="1440" w:bottom="1440" w:left="1440" w:header="720" w:footer="288" w:gutter="0"/>
          <w:pgNumType w:chapStyle="6"/>
          <w:cols w:space="720"/>
          <w:titlePg/>
          <w:docGrid w:linePitch="360"/>
        </w:sectPr>
      </w:pPr>
    </w:p>
    <w:p w:rsidR="009B32AB" w:rsidRDefault="009B32AB" w:rsidP="004837FA">
      <w:pPr>
        <w:pStyle w:val="Caption"/>
      </w:pPr>
      <w:r>
        <w:rPr>
          <w:color w:val="000000"/>
          <w14:textFill>
            <w14:solidFill>
              <w14:srgbClr w14:val="000000">
                <w14:lumMod w14:val="75000"/>
                <w14:lumOff w14:val="25000"/>
              </w14:srgbClr>
            </w14:solidFill>
          </w14:textFill>
        </w:rPr>
        <w:tab/>
      </w:r>
      <w:bookmarkStart w:id="756" w:name="_Ref472467241"/>
      <w:bookmarkStart w:id="757" w:name="_Toc472472451"/>
      <w:bookmarkStart w:id="758" w:name="_Toc488741870"/>
      <w:r w:rsidRPr="009B32AB">
        <w:t>Table A-</w:t>
      </w:r>
      <w:r w:rsidR="007973A4">
        <w:fldChar w:fldCharType="begin"/>
      </w:r>
      <w:r w:rsidR="007973A4">
        <w:instrText xml:space="preserve"> SEQ Table_A- \* ARABIC </w:instrText>
      </w:r>
      <w:r w:rsidR="007973A4">
        <w:fldChar w:fldCharType="separate"/>
      </w:r>
      <w:r w:rsidR="00037CB4">
        <w:rPr>
          <w:noProof/>
        </w:rPr>
        <w:t>42</w:t>
      </w:r>
      <w:r w:rsidR="007973A4">
        <w:rPr>
          <w:noProof/>
        </w:rPr>
        <w:fldChar w:fldCharType="end"/>
      </w:r>
      <w:bookmarkEnd w:id="756"/>
      <w:r w:rsidRPr="009B32AB">
        <w:t>: Met-Ed’s PY7 Non-Residential Site Inspection Findings</w:t>
      </w:r>
      <w:bookmarkEnd w:id="757"/>
      <w:bookmarkEnd w:id="758"/>
    </w:p>
    <w:tbl>
      <w:tblPr>
        <w:tblStyle w:val="MediumShading1-Accent51"/>
        <w:tblW w:w="129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340"/>
        <w:gridCol w:w="1412"/>
        <w:gridCol w:w="4168"/>
        <w:gridCol w:w="859"/>
        <w:gridCol w:w="5181"/>
      </w:tblGrid>
      <w:tr w:rsidR="00A874AC" w:rsidRPr="00651AA9" w:rsidTr="00651AA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4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651AA9" w:rsidRDefault="009B32AB" w:rsidP="00391C49">
            <w:pPr>
              <w:rPr>
                <w:bCs w:val="0"/>
                <w:sz w:val="19"/>
                <w:szCs w:val="19"/>
              </w:rPr>
            </w:pPr>
            <w:r w:rsidRPr="00651AA9">
              <w:rPr>
                <w:bCs w:val="0"/>
                <w:sz w:val="19"/>
                <w:szCs w:val="19"/>
              </w:rPr>
              <w:t>Project ID</w:t>
            </w:r>
          </w:p>
        </w:tc>
        <w:tc>
          <w:tcPr>
            <w:tcW w:w="1412"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651AA9" w:rsidRDefault="009B32AB" w:rsidP="00391C49">
            <w:pPr>
              <w:jc w:val="center"/>
              <w:cnfStyle w:val="100000000000" w:firstRow="1" w:lastRow="0" w:firstColumn="0" w:lastColumn="0" w:oddVBand="0" w:evenVBand="0" w:oddHBand="0" w:evenHBand="0" w:firstRowFirstColumn="0" w:firstRowLastColumn="0" w:lastRowFirstColumn="0" w:lastRowLastColumn="0"/>
              <w:rPr>
                <w:bCs w:val="0"/>
                <w:sz w:val="19"/>
                <w:szCs w:val="19"/>
              </w:rPr>
            </w:pPr>
            <w:r w:rsidRPr="00651AA9">
              <w:rPr>
                <w:bCs w:val="0"/>
                <w:sz w:val="19"/>
                <w:szCs w:val="19"/>
              </w:rPr>
              <w:t>Technology</w:t>
            </w:r>
          </w:p>
        </w:tc>
        <w:tc>
          <w:tcPr>
            <w:tcW w:w="4168"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651AA9" w:rsidRDefault="009B32AB" w:rsidP="00391C49">
            <w:pPr>
              <w:jc w:val="center"/>
              <w:cnfStyle w:val="100000000000" w:firstRow="1" w:lastRow="0" w:firstColumn="0" w:lastColumn="0" w:oddVBand="0" w:evenVBand="0" w:oddHBand="0" w:evenHBand="0" w:firstRowFirstColumn="0" w:firstRowLastColumn="0" w:lastRowFirstColumn="0" w:lastRowLastColumn="0"/>
              <w:rPr>
                <w:bCs w:val="0"/>
                <w:sz w:val="19"/>
                <w:szCs w:val="19"/>
              </w:rPr>
            </w:pPr>
            <w:r w:rsidRPr="00651AA9">
              <w:rPr>
                <w:bCs w:val="0"/>
                <w:sz w:val="19"/>
                <w:szCs w:val="19"/>
              </w:rPr>
              <w:t>Finding</w:t>
            </w:r>
          </w:p>
        </w:tc>
        <w:tc>
          <w:tcPr>
            <w:tcW w:w="859"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651AA9" w:rsidRDefault="009B32AB" w:rsidP="00391C49">
            <w:pPr>
              <w:jc w:val="center"/>
              <w:cnfStyle w:val="100000000000" w:firstRow="1" w:lastRow="0" w:firstColumn="0" w:lastColumn="0" w:oddVBand="0" w:evenVBand="0" w:oddHBand="0" w:evenHBand="0" w:firstRowFirstColumn="0" w:firstRowLastColumn="0" w:lastRowFirstColumn="0" w:lastRowLastColumn="0"/>
              <w:rPr>
                <w:bCs w:val="0"/>
                <w:sz w:val="19"/>
                <w:szCs w:val="19"/>
              </w:rPr>
            </w:pPr>
            <w:r w:rsidRPr="00651AA9">
              <w:rPr>
                <w:bCs w:val="0"/>
                <w:sz w:val="19"/>
                <w:szCs w:val="19"/>
              </w:rPr>
              <w:t>Finding Type</w:t>
            </w:r>
          </w:p>
        </w:tc>
        <w:tc>
          <w:tcPr>
            <w:tcW w:w="5181"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651AA9" w:rsidRDefault="009B32AB" w:rsidP="00391C49">
            <w:pPr>
              <w:jc w:val="center"/>
              <w:cnfStyle w:val="100000000000" w:firstRow="1" w:lastRow="0" w:firstColumn="0" w:lastColumn="0" w:oddVBand="0" w:evenVBand="0" w:oddHBand="0" w:evenHBand="0" w:firstRowFirstColumn="0" w:firstRowLastColumn="0" w:lastRowFirstColumn="0" w:lastRowLastColumn="0"/>
              <w:rPr>
                <w:bCs w:val="0"/>
                <w:sz w:val="19"/>
                <w:szCs w:val="19"/>
              </w:rPr>
            </w:pPr>
            <w:r w:rsidRPr="00651AA9">
              <w:rPr>
                <w:bCs w:val="0"/>
                <w:sz w:val="19"/>
                <w:szCs w:val="19"/>
              </w:rPr>
              <w:t>Resolution</w:t>
            </w:r>
          </w:p>
        </w:tc>
      </w:tr>
      <w:tr w:rsidR="00A874AC" w:rsidRPr="00651AA9" w:rsidTr="00651AA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PRJ-475458</w:t>
            </w:r>
          </w:p>
        </w:tc>
        <w:tc>
          <w:tcPr>
            <w:tcW w:w="1412"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Lighting (refrigerated)</w:t>
            </w:r>
          </w:p>
        </w:tc>
        <w:tc>
          <w:tcPr>
            <w:tcW w:w="4168"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The SWE Team found that the evaluation contractor’s review of the project is accurate.</w:t>
            </w:r>
          </w:p>
        </w:tc>
        <w:tc>
          <w:tcPr>
            <w:tcW w:w="859"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The SWE Team had no recommendations based on its review of this project.</w:t>
            </w:r>
          </w:p>
        </w:tc>
      </w:tr>
      <w:tr w:rsidR="00E7173E" w:rsidRPr="00651AA9" w:rsidTr="00651AA9">
        <w:trPr>
          <w:cnfStyle w:val="000000010000" w:firstRow="0" w:lastRow="0" w:firstColumn="0" w:lastColumn="0" w:oddVBand="0" w:evenVBand="0" w:oddHBand="0" w:evenHBand="1"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PRJ-372852</w:t>
            </w:r>
          </w:p>
        </w:tc>
        <w:tc>
          <w:tcPr>
            <w:tcW w:w="1412"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color w:val="000000"/>
                <w:sz w:val="19"/>
                <w:szCs w:val="19"/>
                <w:highlight w:val="yellow"/>
              </w:rPr>
            </w:pPr>
            <w:r w:rsidRPr="00651AA9">
              <w:rPr>
                <w:sz w:val="19"/>
                <w:szCs w:val="19"/>
              </w:rPr>
              <w:t>Minor differences in the application fixture count were discovered at the site inspection.</w:t>
            </w:r>
          </w:p>
        </w:tc>
        <w:tc>
          <w:tcPr>
            <w:tcW w:w="859"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color w:val="000000"/>
                <w:sz w:val="19"/>
                <w:szCs w:val="19"/>
                <w:highlight w:val="yellow"/>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color w:val="000000"/>
                <w:sz w:val="19"/>
                <w:szCs w:val="19"/>
                <w:highlight w:val="yellow"/>
              </w:rPr>
            </w:pPr>
            <w:r w:rsidRPr="00651AA9">
              <w:rPr>
                <w:sz w:val="19"/>
                <w:szCs w:val="19"/>
              </w:rPr>
              <w:t>The verified savings evaluation did account for the site findings and the SWE had no further recommendations for this project.</w:t>
            </w:r>
          </w:p>
        </w:tc>
      </w:tr>
      <w:tr w:rsidR="00A874AC" w:rsidRPr="00651AA9" w:rsidTr="00651AA9">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PRJ-368467</w:t>
            </w:r>
          </w:p>
        </w:tc>
        <w:tc>
          <w:tcPr>
            <w:tcW w:w="1412"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651AA9">
              <w:rPr>
                <w:sz w:val="19"/>
                <w:szCs w:val="19"/>
              </w:rPr>
              <w:t>At the site visit it was discovered that differences in the HOU existed, as well as control discrepancies. Additionally, the Appendix C calculator was not used correctly, although the final Ex Post analysis is correct.</w:t>
            </w:r>
          </w:p>
        </w:tc>
        <w:tc>
          <w:tcPr>
            <w:tcW w:w="859"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highlight w:val="yellow"/>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highlight w:val="yellow"/>
              </w:rPr>
            </w:pPr>
            <w:r w:rsidRPr="00651AA9">
              <w:rPr>
                <w:sz w:val="19"/>
                <w:szCs w:val="19"/>
              </w:rPr>
              <w:t>In the interest of transparency, the SWE Team recommends that the evaluation contractor</w:t>
            </w:r>
            <w:r w:rsidRPr="00651AA9" w:rsidDel="006054DE">
              <w:rPr>
                <w:sz w:val="19"/>
                <w:szCs w:val="19"/>
              </w:rPr>
              <w:t xml:space="preserve"> </w:t>
            </w:r>
            <w:r w:rsidRPr="00651AA9">
              <w:rPr>
                <w:sz w:val="19"/>
                <w:szCs w:val="19"/>
              </w:rPr>
              <w:t>use only the Appendix C calculator for lighting projects moving forward.</w:t>
            </w:r>
          </w:p>
        </w:tc>
      </w:tr>
      <w:tr w:rsidR="00E7173E" w:rsidRPr="00651AA9" w:rsidTr="00651AA9">
        <w:trPr>
          <w:cnfStyle w:val="000000010000" w:firstRow="0" w:lastRow="0" w:firstColumn="0" w:lastColumn="0" w:oddVBand="0" w:evenVBand="0" w:oddHBand="0" w:evenHBand="1"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PRJ-481137</w:t>
            </w:r>
          </w:p>
        </w:tc>
        <w:tc>
          <w:tcPr>
            <w:tcW w:w="1412"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Lighting (refrigerated)</w:t>
            </w:r>
          </w:p>
        </w:tc>
        <w:tc>
          <w:tcPr>
            <w:tcW w:w="4168"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Major differences in the application fixture count were discovered at the site inspection.</w:t>
            </w:r>
          </w:p>
        </w:tc>
        <w:tc>
          <w:tcPr>
            <w:tcW w:w="859"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The verified savings evaluation did account for the site findings and the SWE had no further recommendations for this project.</w:t>
            </w:r>
          </w:p>
        </w:tc>
      </w:tr>
      <w:tr w:rsidR="00A874AC" w:rsidRPr="00651AA9" w:rsidTr="00651AA9">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PRJ-369334</w:t>
            </w:r>
          </w:p>
        </w:tc>
        <w:tc>
          <w:tcPr>
            <w:tcW w:w="1412"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Minor differences in the application fixture count were discovered at the site inspection.</w:t>
            </w:r>
          </w:p>
        </w:tc>
        <w:tc>
          <w:tcPr>
            <w:tcW w:w="859"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The verified savings evaluation did account for the site findings and the SWE had no further recommendations for this project.</w:t>
            </w:r>
          </w:p>
        </w:tc>
      </w:tr>
      <w:tr w:rsidR="00E7173E" w:rsidRPr="00651AA9" w:rsidTr="00651AA9">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PRJ-360609</w:t>
            </w:r>
          </w:p>
        </w:tc>
        <w:tc>
          <w:tcPr>
            <w:tcW w:w="1412"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Minor differences in the application fixture count were discovered at the site inspection.</w:t>
            </w:r>
          </w:p>
        </w:tc>
        <w:tc>
          <w:tcPr>
            <w:tcW w:w="859"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The verified savings evaluation did account for the site findings and the SWE had no further recommendations for this project.</w:t>
            </w:r>
          </w:p>
        </w:tc>
      </w:tr>
      <w:tr w:rsidR="00A874AC" w:rsidRPr="00651AA9" w:rsidTr="00651AA9">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PRJ-376140</w:t>
            </w:r>
          </w:p>
        </w:tc>
        <w:tc>
          <w:tcPr>
            <w:tcW w:w="1412"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At the site visit it was discovered that there were minor differences in the fixture count. Additionally, the Appendix C calculator was not used correctly, although the final ex post analysis is correct.</w:t>
            </w:r>
          </w:p>
        </w:tc>
        <w:tc>
          <w:tcPr>
            <w:tcW w:w="859"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In the interest of transparency, the SWE Team recommends that the evaluation contractor</w:t>
            </w:r>
            <w:r w:rsidRPr="00651AA9" w:rsidDel="006054DE">
              <w:rPr>
                <w:sz w:val="19"/>
                <w:szCs w:val="19"/>
              </w:rPr>
              <w:t xml:space="preserve"> </w:t>
            </w:r>
            <w:r w:rsidRPr="00651AA9">
              <w:rPr>
                <w:sz w:val="19"/>
                <w:szCs w:val="19"/>
              </w:rPr>
              <w:t>use only the Appendix C calculator for lighting projects moving forward.</w:t>
            </w:r>
          </w:p>
        </w:tc>
      </w:tr>
      <w:tr w:rsidR="00E7173E" w:rsidRPr="00651AA9" w:rsidTr="00651AA9">
        <w:trPr>
          <w:cnfStyle w:val="000000010000" w:firstRow="0" w:lastRow="0" w:firstColumn="0" w:lastColumn="0" w:oddVBand="0" w:evenVBand="0" w:oddHBand="0" w:evenHBand="1"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PRJ-515267</w:t>
            </w:r>
          </w:p>
        </w:tc>
        <w:tc>
          <w:tcPr>
            <w:tcW w:w="1412"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Minor differences in the application fixture count were discovered at the site inspection.</w:t>
            </w:r>
          </w:p>
        </w:tc>
        <w:tc>
          <w:tcPr>
            <w:tcW w:w="859"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The verified savings evaluation did account for the site findings and the SWE had no further recommendations for this project.</w:t>
            </w:r>
          </w:p>
        </w:tc>
      </w:tr>
      <w:tr w:rsidR="00A874AC" w:rsidRPr="00651AA9" w:rsidTr="00651AA9">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PRJ-270159</w:t>
            </w:r>
          </w:p>
        </w:tc>
        <w:tc>
          <w:tcPr>
            <w:tcW w:w="1412"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HVAC (economizers)</w:t>
            </w:r>
          </w:p>
        </w:tc>
        <w:tc>
          <w:tcPr>
            <w:tcW w:w="4168"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651AA9">
              <w:rPr>
                <w:sz w:val="19"/>
                <w:szCs w:val="19"/>
              </w:rPr>
              <w:t>Billing analysis data were determined to be insufficient and a like project was used to create a regression model.</w:t>
            </w:r>
          </w:p>
        </w:tc>
        <w:tc>
          <w:tcPr>
            <w:tcW w:w="859"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651AA9">
              <w:rPr>
                <w:sz w:val="19"/>
                <w:szCs w:val="19"/>
              </w:rPr>
              <w:t>The SWE Team had no recommendations based on its review of this project.</w:t>
            </w:r>
          </w:p>
        </w:tc>
      </w:tr>
      <w:tr w:rsidR="00E7173E" w:rsidRPr="00651AA9" w:rsidTr="00651AA9">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PRJ-415327</w:t>
            </w:r>
          </w:p>
        </w:tc>
        <w:tc>
          <w:tcPr>
            <w:tcW w:w="1412"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At the site visit it was discovered that there were minor differences in the fixture count. Additionally, the Appendix C calculator was not used correctly, although the final ex post analysis is correct.</w:t>
            </w:r>
          </w:p>
        </w:tc>
        <w:tc>
          <w:tcPr>
            <w:tcW w:w="859"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In the interest of transparency, the SWE Team recommends that the evaluation contractor</w:t>
            </w:r>
            <w:r w:rsidRPr="00651AA9" w:rsidDel="006054DE">
              <w:rPr>
                <w:sz w:val="19"/>
                <w:szCs w:val="19"/>
              </w:rPr>
              <w:t xml:space="preserve"> </w:t>
            </w:r>
            <w:r w:rsidRPr="00651AA9">
              <w:rPr>
                <w:sz w:val="19"/>
                <w:szCs w:val="19"/>
              </w:rPr>
              <w:t>use only the Appendix C calculator for lighting projects moving forward.</w:t>
            </w:r>
          </w:p>
        </w:tc>
      </w:tr>
      <w:tr w:rsidR="00A874AC" w:rsidRPr="00651AA9" w:rsidTr="00651AA9">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PRJ-407740</w:t>
            </w:r>
          </w:p>
        </w:tc>
        <w:tc>
          <w:tcPr>
            <w:tcW w:w="1412"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Transformers</w:t>
            </w:r>
          </w:p>
        </w:tc>
        <w:tc>
          <w:tcPr>
            <w:tcW w:w="4168"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The SWE Team found that the evaluation contractor’s</w:t>
            </w:r>
            <w:r w:rsidRPr="00651AA9" w:rsidDel="006054DE">
              <w:rPr>
                <w:sz w:val="19"/>
                <w:szCs w:val="19"/>
              </w:rPr>
              <w:t xml:space="preserve"> </w:t>
            </w:r>
            <w:r w:rsidRPr="00651AA9">
              <w:rPr>
                <w:sz w:val="19"/>
                <w:szCs w:val="19"/>
              </w:rPr>
              <w:t>review of the project is accurate.</w:t>
            </w:r>
          </w:p>
        </w:tc>
        <w:tc>
          <w:tcPr>
            <w:tcW w:w="859"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The SWE Team had no recommendations based on its review of this project.</w:t>
            </w:r>
          </w:p>
        </w:tc>
      </w:tr>
      <w:tr w:rsidR="00E7173E" w:rsidRPr="00651AA9" w:rsidTr="00651AA9">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PRJ-409448</w:t>
            </w:r>
          </w:p>
        </w:tc>
        <w:tc>
          <w:tcPr>
            <w:tcW w:w="1412"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Transformers</w:t>
            </w:r>
          </w:p>
        </w:tc>
        <w:tc>
          <w:tcPr>
            <w:tcW w:w="4168"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The SWE Team found that the evaluation contractor’s</w:t>
            </w:r>
            <w:r w:rsidRPr="00651AA9" w:rsidDel="006054DE">
              <w:rPr>
                <w:sz w:val="19"/>
                <w:szCs w:val="19"/>
              </w:rPr>
              <w:t xml:space="preserve"> </w:t>
            </w:r>
            <w:r w:rsidRPr="00651AA9">
              <w:rPr>
                <w:sz w:val="19"/>
                <w:szCs w:val="19"/>
              </w:rPr>
              <w:t>review of the project is accurate.</w:t>
            </w:r>
          </w:p>
        </w:tc>
        <w:tc>
          <w:tcPr>
            <w:tcW w:w="859"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The SWE Team had no recommendations based on its review of this project.</w:t>
            </w:r>
          </w:p>
        </w:tc>
      </w:tr>
      <w:tr w:rsidR="00A874AC" w:rsidRPr="00651AA9" w:rsidTr="00651AA9">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PRJ-375049</w:t>
            </w:r>
          </w:p>
        </w:tc>
        <w:tc>
          <w:tcPr>
            <w:tcW w:w="1412"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Although the final verified savings is correct, the Appendix C calculator was not used in its original form.</w:t>
            </w:r>
          </w:p>
        </w:tc>
        <w:tc>
          <w:tcPr>
            <w:tcW w:w="859"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In the interest of transparency, the SWE Team recommends that the evaluation contractor</w:t>
            </w:r>
            <w:r w:rsidRPr="00651AA9" w:rsidDel="006054DE">
              <w:rPr>
                <w:sz w:val="19"/>
                <w:szCs w:val="19"/>
              </w:rPr>
              <w:t xml:space="preserve"> </w:t>
            </w:r>
            <w:r w:rsidRPr="00651AA9">
              <w:rPr>
                <w:sz w:val="19"/>
                <w:szCs w:val="19"/>
              </w:rPr>
              <w:t>use only the Appendix C calculator for lighting projects moving forward.</w:t>
            </w:r>
          </w:p>
        </w:tc>
      </w:tr>
      <w:tr w:rsidR="00E7173E" w:rsidRPr="00651AA9" w:rsidTr="00651AA9">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PRJ-306423</w:t>
            </w:r>
          </w:p>
        </w:tc>
        <w:tc>
          <w:tcPr>
            <w:tcW w:w="1412"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Although the final verified savings is correct, the Appendix C calculator was not used in its original form.</w:t>
            </w:r>
          </w:p>
        </w:tc>
        <w:tc>
          <w:tcPr>
            <w:tcW w:w="859"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In the interest of transparency, the SWE Team recommends that the evaluation contractor</w:t>
            </w:r>
            <w:r w:rsidRPr="00651AA9" w:rsidDel="006054DE">
              <w:rPr>
                <w:sz w:val="19"/>
                <w:szCs w:val="19"/>
              </w:rPr>
              <w:t xml:space="preserve"> </w:t>
            </w:r>
            <w:r w:rsidRPr="00651AA9">
              <w:rPr>
                <w:sz w:val="19"/>
                <w:szCs w:val="19"/>
              </w:rPr>
              <w:t>use only the Appendix C calculator for lighting projects moving forward.</w:t>
            </w:r>
          </w:p>
        </w:tc>
      </w:tr>
      <w:tr w:rsidR="00A874AC" w:rsidRPr="00651AA9" w:rsidTr="00651AA9">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PRJ-518906</w:t>
            </w:r>
          </w:p>
        </w:tc>
        <w:tc>
          <w:tcPr>
            <w:tcW w:w="1412"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At the site visit it was discovered that there were minor differences in the fixture count. Additionally, the Appendix C calculator was not used correctly, although the final ex post analysis is correct.</w:t>
            </w:r>
          </w:p>
        </w:tc>
        <w:tc>
          <w:tcPr>
            <w:tcW w:w="859"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In the interest of transparency, the SWE Team recommends that the evaluation contractor</w:t>
            </w:r>
            <w:r w:rsidRPr="00651AA9" w:rsidDel="006054DE">
              <w:rPr>
                <w:sz w:val="19"/>
                <w:szCs w:val="19"/>
              </w:rPr>
              <w:t xml:space="preserve"> </w:t>
            </w:r>
            <w:r w:rsidRPr="00651AA9">
              <w:rPr>
                <w:sz w:val="19"/>
                <w:szCs w:val="19"/>
              </w:rPr>
              <w:t>use only the Appendix C calculator for lighting projects moving forward.</w:t>
            </w:r>
          </w:p>
        </w:tc>
      </w:tr>
      <w:tr w:rsidR="00E7173E" w:rsidRPr="00651AA9" w:rsidTr="00651AA9">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PRJ-518945</w:t>
            </w:r>
          </w:p>
        </w:tc>
        <w:tc>
          <w:tcPr>
            <w:tcW w:w="1412"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At the site visit it was discovered that there were minor differences in the fixture count. Additionally, the Appendix C calculator was not used correctly, although the final ex post analysis is correct.</w:t>
            </w:r>
          </w:p>
        </w:tc>
        <w:tc>
          <w:tcPr>
            <w:tcW w:w="859" w:type="dxa"/>
            <w:tcBorders>
              <w:left w:val="none" w:sz="0" w:space="0" w:color="auto"/>
              <w:righ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010000" w:firstRow="0" w:lastRow="0" w:firstColumn="0" w:lastColumn="0" w:oddVBand="0" w:evenVBand="0" w:oddHBand="0" w:evenHBand="1" w:firstRowFirstColumn="0" w:firstRowLastColumn="0" w:lastRowFirstColumn="0" w:lastRowLastColumn="0"/>
              <w:rPr>
                <w:sz w:val="19"/>
                <w:szCs w:val="19"/>
              </w:rPr>
            </w:pPr>
            <w:r w:rsidRPr="00651AA9">
              <w:rPr>
                <w:sz w:val="19"/>
                <w:szCs w:val="19"/>
              </w:rPr>
              <w:t>In the interest of transparency, the SWE Team recommends that the evaluation contractor</w:t>
            </w:r>
            <w:r w:rsidRPr="00651AA9" w:rsidDel="006054DE">
              <w:rPr>
                <w:sz w:val="19"/>
                <w:szCs w:val="19"/>
              </w:rPr>
              <w:t xml:space="preserve"> </w:t>
            </w:r>
            <w:r w:rsidRPr="00651AA9">
              <w:rPr>
                <w:sz w:val="19"/>
                <w:szCs w:val="19"/>
              </w:rPr>
              <w:t>use only the Appendix C calculator for lighting projects moving forward.</w:t>
            </w:r>
          </w:p>
        </w:tc>
      </w:tr>
      <w:tr w:rsidR="00A874AC" w:rsidRPr="00651AA9" w:rsidTr="00651AA9">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651AA9" w:rsidRDefault="009B32AB" w:rsidP="00380FF9">
            <w:pPr>
              <w:rPr>
                <w:sz w:val="19"/>
                <w:szCs w:val="19"/>
              </w:rPr>
            </w:pPr>
            <w:r w:rsidRPr="00651AA9">
              <w:rPr>
                <w:sz w:val="19"/>
                <w:szCs w:val="19"/>
              </w:rPr>
              <w:t>PRJ-819595</w:t>
            </w:r>
          </w:p>
        </w:tc>
        <w:tc>
          <w:tcPr>
            <w:tcW w:w="1412"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Lighting</w:t>
            </w:r>
          </w:p>
        </w:tc>
        <w:tc>
          <w:tcPr>
            <w:tcW w:w="4168"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At the site visit it was discovered that there were minor differences in the fixture count. Additionally, the Appendix C calculator was not used correctly, although the final ex post analysis is correct.</w:t>
            </w:r>
          </w:p>
        </w:tc>
        <w:tc>
          <w:tcPr>
            <w:tcW w:w="859" w:type="dxa"/>
            <w:tcBorders>
              <w:left w:val="none" w:sz="0" w:space="0" w:color="auto"/>
              <w:righ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Eval</w:t>
            </w:r>
          </w:p>
        </w:tc>
        <w:tc>
          <w:tcPr>
            <w:tcW w:w="5181" w:type="dxa"/>
            <w:tcBorders>
              <w:left w:val="none" w:sz="0" w:space="0" w:color="auto"/>
            </w:tcBorders>
            <w:noWrap/>
          </w:tcPr>
          <w:p w:rsidR="009B32AB" w:rsidRPr="00651AA9" w:rsidRDefault="009B32AB" w:rsidP="00380FF9">
            <w:pPr>
              <w:jc w:val="center"/>
              <w:cnfStyle w:val="000000100000" w:firstRow="0" w:lastRow="0" w:firstColumn="0" w:lastColumn="0" w:oddVBand="0" w:evenVBand="0" w:oddHBand="1" w:evenHBand="0" w:firstRowFirstColumn="0" w:firstRowLastColumn="0" w:lastRowFirstColumn="0" w:lastRowLastColumn="0"/>
              <w:rPr>
                <w:sz w:val="19"/>
                <w:szCs w:val="19"/>
              </w:rPr>
            </w:pPr>
            <w:r w:rsidRPr="00651AA9">
              <w:rPr>
                <w:sz w:val="19"/>
                <w:szCs w:val="19"/>
              </w:rPr>
              <w:t>In the interest of transparency, the SWE Team recommends that the evaluation contractor</w:t>
            </w:r>
            <w:r w:rsidRPr="00651AA9" w:rsidDel="006054DE">
              <w:rPr>
                <w:sz w:val="19"/>
                <w:szCs w:val="19"/>
              </w:rPr>
              <w:t xml:space="preserve"> </w:t>
            </w:r>
            <w:r w:rsidRPr="00651AA9">
              <w:rPr>
                <w:sz w:val="19"/>
                <w:szCs w:val="19"/>
              </w:rPr>
              <w:t>use only the Appendix C calculator for lighting projects moving forward.</w:t>
            </w:r>
          </w:p>
        </w:tc>
      </w:tr>
    </w:tbl>
    <w:p w:rsidR="009B32AB" w:rsidRPr="009B32AB" w:rsidRDefault="009B32AB" w:rsidP="009B32AB">
      <w:pPr>
        <w:tabs>
          <w:tab w:val="left" w:pos="3869"/>
        </w:tabs>
        <w:sectPr w:rsidR="009B32AB" w:rsidRPr="009B32AB" w:rsidSect="00391C49">
          <w:headerReference w:type="default" r:id="rId121"/>
          <w:footerReference w:type="default" r:id="rId122"/>
          <w:headerReference w:type="first" r:id="rId123"/>
          <w:footerReference w:type="first" r:id="rId124"/>
          <w:pgSz w:w="15840" w:h="12240" w:orient="landscape"/>
          <w:pgMar w:top="1440" w:right="1440" w:bottom="1440" w:left="1440" w:header="720" w:footer="288" w:gutter="0"/>
          <w:pgNumType w:chapStyle="6"/>
          <w:cols w:space="720"/>
          <w:titlePg/>
          <w:docGrid w:linePitch="360"/>
        </w:sectPr>
      </w:pPr>
      <w:r>
        <w:tab/>
      </w:r>
    </w:p>
    <w:p w:rsidR="00117CF7" w:rsidRDefault="009B32AB" w:rsidP="0055598C">
      <w:pPr>
        <w:pStyle w:val="AppendixAHeading4"/>
      </w:pPr>
      <w:r>
        <w:t>Verified Savings Review</w:t>
      </w:r>
    </w:p>
    <w:p w:rsidR="009B32AB" w:rsidRPr="003458B1" w:rsidRDefault="009B32AB" w:rsidP="009B32AB">
      <w:pPr>
        <w:rPr>
          <w:color w:val="000000"/>
        </w:rPr>
      </w:pPr>
      <w:r w:rsidRPr="003458B1">
        <w:rPr>
          <w:color w:val="000000"/>
        </w:rPr>
        <w:t xml:space="preserve">The SWE Team reviewed a subset of Met-Ed’s sampled sites and found appropriate rigor in the evaluation contractor’s M&amp;V methods. Previously, the SWE commented that </w:t>
      </w:r>
      <w:r>
        <w:rPr>
          <w:color w:val="000000"/>
        </w:rPr>
        <w:t>it</w:t>
      </w:r>
      <w:r w:rsidRPr="003458B1">
        <w:rPr>
          <w:color w:val="000000"/>
        </w:rPr>
        <w:t xml:space="preserve"> “would like to see better organization and presentation in the project files</w:t>
      </w:r>
      <w:r>
        <w:rPr>
          <w:color w:val="000000"/>
        </w:rPr>
        <w:t>,</w:t>
      </w:r>
      <w:r w:rsidRPr="003458B1">
        <w:rPr>
          <w:color w:val="000000"/>
        </w:rPr>
        <w:t>” and there was significant improvement in this respect for PY7. Project folders were well</w:t>
      </w:r>
      <w:r>
        <w:rPr>
          <w:color w:val="000000"/>
        </w:rPr>
        <w:t xml:space="preserve"> </w:t>
      </w:r>
      <w:r w:rsidRPr="003458B1">
        <w:rPr>
          <w:color w:val="000000"/>
        </w:rPr>
        <w:t>organized</w:t>
      </w:r>
      <w:r>
        <w:rPr>
          <w:color w:val="000000"/>
        </w:rPr>
        <w:t>,</w:t>
      </w:r>
      <w:r w:rsidRPr="003458B1">
        <w:rPr>
          <w:color w:val="000000"/>
        </w:rPr>
        <w:t xml:space="preserve"> and there was a report for each project detailing M&amp;V methodology and results. </w:t>
      </w:r>
      <w:r w:rsidRPr="003458B1">
        <w:rPr>
          <w:color w:val="000000"/>
        </w:rPr>
        <w:fldChar w:fldCharType="begin"/>
      </w:r>
      <w:r w:rsidRPr="003458B1">
        <w:rPr>
          <w:color w:val="000000"/>
        </w:rPr>
        <w:instrText xml:space="preserve"> REF _Ref433896605 \h  \* MERGEFORMAT </w:instrText>
      </w:r>
      <w:r w:rsidRPr="003458B1">
        <w:rPr>
          <w:color w:val="000000"/>
        </w:rPr>
      </w:r>
      <w:r w:rsidRPr="003458B1">
        <w:rPr>
          <w:color w:val="000000"/>
        </w:rPr>
        <w:fldChar w:fldCharType="separate"/>
      </w:r>
      <w:r w:rsidR="00037CB4" w:rsidRPr="00B81A2F">
        <w:t>Table A-43</w:t>
      </w:r>
      <w:r w:rsidRPr="003458B1">
        <w:rPr>
          <w:color w:val="000000"/>
        </w:rPr>
        <w:fldChar w:fldCharType="end"/>
      </w:r>
      <w:r w:rsidRPr="003458B1">
        <w:rPr>
          <w:color w:val="000000"/>
        </w:rPr>
        <w:t xml:space="preserve"> shows the energy and demand savings for projects chosen for review by the SWE Team, as well as the M&amp;V approach selected for site evaluation.</w:t>
      </w:r>
    </w:p>
    <w:p w:rsidR="009B32AB" w:rsidRPr="003458B1" w:rsidRDefault="009B32AB" w:rsidP="009B32AB">
      <w:pPr>
        <w:rPr>
          <w:color w:val="000000"/>
        </w:rPr>
      </w:pPr>
    </w:p>
    <w:p w:rsidR="009B32AB" w:rsidRPr="003458B1" w:rsidRDefault="009B32AB" w:rsidP="009B32AB">
      <w:pPr>
        <w:spacing w:after="120"/>
        <w:jc w:val="center"/>
        <w:rPr>
          <w:rFonts w:ascii="Century Gothic" w:hAnsi="Century Gothic"/>
          <w:b/>
          <w:bCs/>
          <w:sz w:val="18"/>
          <w:szCs w:val="18"/>
        </w:rPr>
      </w:pPr>
      <w:bookmarkStart w:id="759" w:name="_Ref433896605"/>
      <w:bookmarkStart w:id="760" w:name="_Toc410199418"/>
      <w:bookmarkStart w:id="761" w:name="_Toc431462338"/>
      <w:bookmarkStart w:id="762" w:name="_Toc444269859"/>
      <w:bookmarkStart w:id="763" w:name="_Toc472472452"/>
      <w:bookmarkStart w:id="764" w:name="_Toc488741871"/>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43</w:t>
      </w:r>
      <w:r w:rsidRPr="003458B1">
        <w:rPr>
          <w:rFonts w:ascii="Century Gothic" w:hAnsi="Century Gothic"/>
          <w:b/>
          <w:bCs/>
          <w:sz w:val="18"/>
          <w:szCs w:val="18"/>
        </w:rPr>
        <w:fldChar w:fldCharType="end"/>
      </w:r>
      <w:bookmarkEnd w:id="759"/>
      <w:r w:rsidRPr="003458B1">
        <w:rPr>
          <w:rFonts w:ascii="Century Gothic" w:hAnsi="Century Gothic"/>
          <w:b/>
          <w:bCs/>
          <w:sz w:val="18"/>
          <w:szCs w:val="18"/>
        </w:rPr>
        <w:t>: Verified Savings and M&amp;V Methods for SWE Team</w:t>
      </w:r>
      <w:r>
        <w:rPr>
          <w:rFonts w:ascii="Century Gothic" w:hAnsi="Century Gothic"/>
          <w:b/>
          <w:bCs/>
          <w:sz w:val="18"/>
          <w:szCs w:val="18"/>
        </w:rPr>
        <w:t>–S</w:t>
      </w:r>
      <w:r w:rsidRPr="003458B1">
        <w:rPr>
          <w:rFonts w:ascii="Century Gothic" w:hAnsi="Century Gothic"/>
          <w:b/>
          <w:bCs/>
          <w:sz w:val="18"/>
          <w:szCs w:val="18"/>
        </w:rPr>
        <w:t>ampled Met-Ed Projects</w:t>
      </w:r>
      <w:bookmarkEnd w:id="760"/>
      <w:bookmarkEnd w:id="761"/>
      <w:bookmarkEnd w:id="762"/>
      <w:bookmarkEnd w:id="763"/>
      <w:bookmarkEnd w:id="764"/>
    </w:p>
    <w:tbl>
      <w:tblPr>
        <w:tblW w:w="0" w:type="auto"/>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527"/>
        <w:gridCol w:w="1548"/>
        <w:gridCol w:w="1270"/>
        <w:gridCol w:w="1500"/>
        <w:gridCol w:w="1350"/>
        <w:gridCol w:w="2155"/>
      </w:tblGrid>
      <w:tr w:rsidR="00A874AC" w:rsidRPr="00651AA9" w:rsidTr="00651AA9">
        <w:tc>
          <w:tcPr>
            <w:tcW w:w="1527" w:type="dxa"/>
            <w:shd w:val="clear" w:color="auto" w:fill="448A99"/>
            <w:vAlign w:val="bottom"/>
          </w:tcPr>
          <w:p w:rsidR="009B32AB" w:rsidRPr="00651AA9" w:rsidRDefault="009B32AB" w:rsidP="00380FF9">
            <w:pPr>
              <w:jc w:val="left"/>
              <w:rPr>
                <w:rFonts w:eastAsia="Calibri"/>
                <w:b/>
                <w:color w:val="FFFFFF"/>
                <w:sz w:val="19"/>
                <w:szCs w:val="19"/>
              </w:rPr>
            </w:pPr>
            <w:r w:rsidRPr="00651AA9">
              <w:rPr>
                <w:rFonts w:eastAsia="Calibri"/>
                <w:b/>
                <w:color w:val="FFFFFF"/>
                <w:sz w:val="19"/>
                <w:szCs w:val="19"/>
              </w:rPr>
              <w:t>Program</w:t>
            </w:r>
          </w:p>
        </w:tc>
        <w:tc>
          <w:tcPr>
            <w:tcW w:w="1548" w:type="dxa"/>
            <w:shd w:val="clear" w:color="auto" w:fill="448A99"/>
            <w:vAlign w:val="bottom"/>
          </w:tcPr>
          <w:p w:rsidR="009B32AB" w:rsidRPr="00651AA9" w:rsidRDefault="009B32AB" w:rsidP="00380FF9">
            <w:pPr>
              <w:jc w:val="center"/>
              <w:rPr>
                <w:rFonts w:eastAsia="Calibri"/>
                <w:b/>
                <w:color w:val="FFFFFF"/>
                <w:sz w:val="19"/>
                <w:szCs w:val="19"/>
              </w:rPr>
            </w:pPr>
            <w:r w:rsidRPr="00651AA9">
              <w:rPr>
                <w:rFonts w:eastAsia="Calibri"/>
                <w:b/>
                <w:color w:val="FFFFFF"/>
                <w:sz w:val="19"/>
                <w:szCs w:val="19"/>
              </w:rPr>
              <w:t>Project Number</w:t>
            </w:r>
          </w:p>
        </w:tc>
        <w:tc>
          <w:tcPr>
            <w:tcW w:w="1270" w:type="dxa"/>
            <w:shd w:val="clear" w:color="auto" w:fill="448A99"/>
            <w:vAlign w:val="bottom"/>
          </w:tcPr>
          <w:p w:rsidR="009B32AB" w:rsidRPr="00651AA9" w:rsidRDefault="009B32AB" w:rsidP="00380FF9">
            <w:pPr>
              <w:jc w:val="center"/>
              <w:rPr>
                <w:rFonts w:eastAsia="Calibri"/>
                <w:b/>
                <w:color w:val="FFFFFF"/>
                <w:sz w:val="19"/>
                <w:szCs w:val="19"/>
              </w:rPr>
            </w:pPr>
            <w:r w:rsidRPr="00651AA9">
              <w:rPr>
                <w:rFonts w:eastAsia="Calibri"/>
                <w:b/>
                <w:color w:val="FFFFFF"/>
                <w:sz w:val="19"/>
                <w:szCs w:val="19"/>
              </w:rPr>
              <w:t>Stratum</w:t>
            </w:r>
          </w:p>
        </w:tc>
        <w:tc>
          <w:tcPr>
            <w:tcW w:w="1500" w:type="dxa"/>
            <w:shd w:val="clear" w:color="auto" w:fill="448A99"/>
            <w:vAlign w:val="bottom"/>
          </w:tcPr>
          <w:p w:rsidR="009B32AB" w:rsidRPr="00651AA9" w:rsidRDefault="009B32AB" w:rsidP="00380FF9">
            <w:pPr>
              <w:jc w:val="center"/>
              <w:rPr>
                <w:rFonts w:eastAsia="Calibri"/>
                <w:b/>
                <w:color w:val="FFFFFF"/>
                <w:sz w:val="19"/>
                <w:szCs w:val="19"/>
              </w:rPr>
            </w:pPr>
            <w:r w:rsidRPr="00651AA9">
              <w:rPr>
                <w:rFonts w:eastAsia="Calibri"/>
                <w:b/>
                <w:color w:val="FFFFFF"/>
                <w:sz w:val="19"/>
                <w:szCs w:val="19"/>
              </w:rPr>
              <w:t>Verified Energy Savings (kWh)</w:t>
            </w:r>
          </w:p>
        </w:tc>
        <w:tc>
          <w:tcPr>
            <w:tcW w:w="1350" w:type="dxa"/>
            <w:shd w:val="clear" w:color="auto" w:fill="448A99"/>
            <w:vAlign w:val="bottom"/>
          </w:tcPr>
          <w:p w:rsidR="009B32AB" w:rsidRPr="00651AA9" w:rsidRDefault="009B32AB" w:rsidP="00380FF9">
            <w:pPr>
              <w:jc w:val="center"/>
              <w:rPr>
                <w:rFonts w:eastAsia="Calibri"/>
                <w:b/>
                <w:color w:val="FFFFFF"/>
                <w:sz w:val="19"/>
                <w:szCs w:val="19"/>
              </w:rPr>
            </w:pPr>
            <w:r w:rsidRPr="00651AA9">
              <w:rPr>
                <w:rFonts w:eastAsia="Calibri"/>
                <w:b/>
                <w:color w:val="FFFFFF"/>
                <w:sz w:val="19"/>
                <w:szCs w:val="19"/>
              </w:rPr>
              <w:t>Verified Demand Savings (kW)</w:t>
            </w:r>
          </w:p>
        </w:tc>
        <w:tc>
          <w:tcPr>
            <w:tcW w:w="2155" w:type="dxa"/>
            <w:shd w:val="clear" w:color="auto" w:fill="448A99"/>
            <w:vAlign w:val="bottom"/>
          </w:tcPr>
          <w:p w:rsidR="009B32AB" w:rsidRPr="00651AA9" w:rsidRDefault="009B32AB" w:rsidP="00380FF9">
            <w:pPr>
              <w:jc w:val="center"/>
              <w:rPr>
                <w:rFonts w:eastAsia="Calibri"/>
                <w:b/>
                <w:color w:val="FFFFFF"/>
                <w:sz w:val="19"/>
                <w:szCs w:val="19"/>
              </w:rPr>
            </w:pPr>
            <w:r w:rsidRPr="00651AA9">
              <w:rPr>
                <w:rFonts w:eastAsia="Calibri"/>
                <w:b/>
                <w:color w:val="FFFFFF"/>
                <w:sz w:val="19"/>
                <w:szCs w:val="19"/>
              </w:rPr>
              <w:t>M&amp;V Method</w:t>
            </w:r>
          </w:p>
        </w:tc>
      </w:tr>
      <w:tr w:rsidR="00A874AC" w:rsidRPr="00651AA9" w:rsidTr="00651AA9">
        <w:trPr>
          <w:trHeight w:val="732"/>
        </w:trPr>
        <w:tc>
          <w:tcPr>
            <w:tcW w:w="1527" w:type="dxa"/>
            <w:shd w:val="clear" w:color="auto" w:fill="D2EAF1"/>
            <w:vAlign w:val="center"/>
          </w:tcPr>
          <w:p w:rsidR="009B32AB" w:rsidRPr="00651AA9" w:rsidRDefault="009B32AB" w:rsidP="00380FF9">
            <w:pPr>
              <w:jc w:val="left"/>
              <w:rPr>
                <w:rFonts w:eastAsia="Calibri"/>
                <w:sz w:val="19"/>
                <w:szCs w:val="19"/>
              </w:rPr>
            </w:pPr>
            <w:r w:rsidRPr="00651AA9">
              <w:rPr>
                <w:rFonts w:eastAsia="Calibri"/>
                <w:sz w:val="19"/>
                <w:szCs w:val="19"/>
              </w:rPr>
              <w:t>Small C/I Equipment</w:t>
            </w:r>
          </w:p>
        </w:tc>
        <w:tc>
          <w:tcPr>
            <w:tcW w:w="1548" w:type="dxa"/>
            <w:shd w:val="clear" w:color="auto" w:fill="D2EAF1"/>
            <w:vAlign w:val="center"/>
          </w:tcPr>
          <w:p w:rsidR="009B32AB" w:rsidRPr="00651AA9" w:rsidRDefault="009B32AB" w:rsidP="00380FF9">
            <w:pPr>
              <w:jc w:val="center"/>
              <w:rPr>
                <w:sz w:val="19"/>
                <w:szCs w:val="19"/>
              </w:rPr>
            </w:pPr>
            <w:r w:rsidRPr="00651AA9">
              <w:rPr>
                <w:sz w:val="19"/>
                <w:szCs w:val="19"/>
              </w:rPr>
              <w:t>CR_PRJ-394737</w:t>
            </w:r>
          </w:p>
        </w:tc>
        <w:tc>
          <w:tcPr>
            <w:tcW w:w="1270" w:type="dxa"/>
            <w:shd w:val="clear" w:color="auto" w:fill="D2EAF1"/>
            <w:vAlign w:val="center"/>
          </w:tcPr>
          <w:p w:rsidR="009B32AB" w:rsidRPr="00651AA9" w:rsidRDefault="009B32AB" w:rsidP="00380FF9">
            <w:pPr>
              <w:jc w:val="center"/>
              <w:rPr>
                <w:sz w:val="19"/>
                <w:szCs w:val="19"/>
              </w:rPr>
            </w:pPr>
            <w:r w:rsidRPr="00651AA9">
              <w:rPr>
                <w:sz w:val="19"/>
                <w:szCs w:val="19"/>
              </w:rPr>
              <w:t>Custom –certainty</w:t>
            </w:r>
          </w:p>
        </w:tc>
        <w:tc>
          <w:tcPr>
            <w:tcW w:w="1500" w:type="dxa"/>
            <w:shd w:val="clear" w:color="auto" w:fill="D2EAF1"/>
            <w:vAlign w:val="center"/>
          </w:tcPr>
          <w:p w:rsidR="009B32AB" w:rsidRPr="00651AA9" w:rsidRDefault="009B32AB" w:rsidP="00380FF9">
            <w:pPr>
              <w:jc w:val="center"/>
              <w:rPr>
                <w:sz w:val="19"/>
                <w:szCs w:val="19"/>
              </w:rPr>
            </w:pPr>
            <w:r w:rsidRPr="00651AA9">
              <w:rPr>
                <w:sz w:val="19"/>
                <w:szCs w:val="19"/>
              </w:rPr>
              <w:t>2,161,448</w:t>
            </w:r>
          </w:p>
        </w:tc>
        <w:tc>
          <w:tcPr>
            <w:tcW w:w="1350" w:type="dxa"/>
            <w:shd w:val="clear" w:color="auto" w:fill="D2EAF1"/>
            <w:vAlign w:val="center"/>
          </w:tcPr>
          <w:p w:rsidR="009B32AB" w:rsidRPr="00651AA9" w:rsidRDefault="009B32AB" w:rsidP="00380FF9">
            <w:pPr>
              <w:jc w:val="center"/>
              <w:rPr>
                <w:sz w:val="19"/>
                <w:szCs w:val="19"/>
              </w:rPr>
            </w:pPr>
            <w:r w:rsidRPr="00651AA9">
              <w:rPr>
                <w:sz w:val="19"/>
                <w:szCs w:val="19"/>
              </w:rPr>
              <w:t>267.38</w:t>
            </w:r>
          </w:p>
        </w:tc>
        <w:tc>
          <w:tcPr>
            <w:tcW w:w="2155" w:type="dxa"/>
            <w:shd w:val="clear" w:color="auto" w:fill="D2EAF1"/>
            <w:vAlign w:val="center"/>
          </w:tcPr>
          <w:p w:rsidR="009B32AB" w:rsidRPr="00651AA9" w:rsidRDefault="009B32AB" w:rsidP="00380FF9">
            <w:pPr>
              <w:jc w:val="center"/>
              <w:rPr>
                <w:sz w:val="19"/>
                <w:szCs w:val="19"/>
              </w:rPr>
            </w:pPr>
            <w:r w:rsidRPr="00651AA9">
              <w:rPr>
                <w:sz w:val="19"/>
                <w:szCs w:val="19"/>
              </w:rPr>
              <w:t>Metered data analysis</w:t>
            </w:r>
          </w:p>
        </w:tc>
      </w:tr>
      <w:tr w:rsidR="00E7173E" w:rsidRPr="00651AA9" w:rsidTr="00651AA9">
        <w:trPr>
          <w:trHeight w:val="732"/>
        </w:trPr>
        <w:tc>
          <w:tcPr>
            <w:tcW w:w="1527" w:type="dxa"/>
            <w:shd w:val="clear" w:color="auto" w:fill="auto"/>
            <w:vAlign w:val="center"/>
          </w:tcPr>
          <w:p w:rsidR="009B32AB" w:rsidRPr="00651AA9" w:rsidRDefault="009B32AB" w:rsidP="00380FF9">
            <w:pPr>
              <w:jc w:val="left"/>
              <w:rPr>
                <w:rFonts w:eastAsia="Calibri"/>
                <w:sz w:val="19"/>
                <w:szCs w:val="19"/>
              </w:rPr>
            </w:pPr>
            <w:r w:rsidRPr="00651AA9">
              <w:rPr>
                <w:rFonts w:eastAsia="Calibri"/>
                <w:sz w:val="19"/>
                <w:szCs w:val="19"/>
              </w:rPr>
              <w:t>Small C/I Equipment</w:t>
            </w:r>
          </w:p>
        </w:tc>
        <w:tc>
          <w:tcPr>
            <w:tcW w:w="1548" w:type="dxa"/>
            <w:shd w:val="clear" w:color="auto" w:fill="auto"/>
            <w:vAlign w:val="center"/>
          </w:tcPr>
          <w:p w:rsidR="009B32AB" w:rsidRPr="00651AA9" w:rsidRDefault="009B32AB" w:rsidP="00380FF9">
            <w:pPr>
              <w:jc w:val="center"/>
              <w:rPr>
                <w:sz w:val="19"/>
                <w:szCs w:val="19"/>
              </w:rPr>
            </w:pPr>
            <w:r w:rsidRPr="00651AA9">
              <w:rPr>
                <w:sz w:val="19"/>
                <w:szCs w:val="19"/>
              </w:rPr>
              <w:t>CR_PRJ-471704</w:t>
            </w:r>
          </w:p>
        </w:tc>
        <w:tc>
          <w:tcPr>
            <w:tcW w:w="1270" w:type="dxa"/>
            <w:shd w:val="clear" w:color="auto" w:fill="auto"/>
            <w:vAlign w:val="center"/>
          </w:tcPr>
          <w:p w:rsidR="009B32AB" w:rsidRPr="00651AA9" w:rsidRDefault="009B32AB" w:rsidP="00380FF9">
            <w:pPr>
              <w:jc w:val="center"/>
              <w:rPr>
                <w:sz w:val="19"/>
                <w:szCs w:val="19"/>
              </w:rPr>
            </w:pPr>
            <w:r w:rsidRPr="00651AA9">
              <w:rPr>
                <w:sz w:val="19"/>
                <w:szCs w:val="19"/>
              </w:rPr>
              <w:t>Lighting – 3</w:t>
            </w:r>
          </w:p>
        </w:tc>
        <w:tc>
          <w:tcPr>
            <w:tcW w:w="1500" w:type="dxa"/>
            <w:shd w:val="clear" w:color="auto" w:fill="auto"/>
            <w:vAlign w:val="center"/>
          </w:tcPr>
          <w:p w:rsidR="009B32AB" w:rsidRPr="00651AA9" w:rsidRDefault="009B32AB" w:rsidP="00380FF9">
            <w:pPr>
              <w:jc w:val="center"/>
              <w:rPr>
                <w:sz w:val="19"/>
                <w:szCs w:val="19"/>
              </w:rPr>
            </w:pPr>
            <w:r w:rsidRPr="00651AA9">
              <w:rPr>
                <w:sz w:val="19"/>
                <w:szCs w:val="19"/>
              </w:rPr>
              <w:t>303,346</w:t>
            </w:r>
          </w:p>
        </w:tc>
        <w:tc>
          <w:tcPr>
            <w:tcW w:w="1350" w:type="dxa"/>
            <w:shd w:val="clear" w:color="auto" w:fill="auto"/>
            <w:vAlign w:val="center"/>
          </w:tcPr>
          <w:p w:rsidR="009B32AB" w:rsidRPr="00651AA9" w:rsidRDefault="009B32AB" w:rsidP="00380FF9">
            <w:pPr>
              <w:jc w:val="center"/>
              <w:rPr>
                <w:sz w:val="19"/>
                <w:szCs w:val="19"/>
              </w:rPr>
            </w:pPr>
            <w:r w:rsidRPr="00651AA9">
              <w:rPr>
                <w:sz w:val="19"/>
                <w:szCs w:val="19"/>
              </w:rPr>
              <w:t>35.27</w:t>
            </w:r>
          </w:p>
        </w:tc>
        <w:tc>
          <w:tcPr>
            <w:tcW w:w="2155" w:type="dxa"/>
            <w:shd w:val="clear" w:color="auto" w:fill="auto"/>
            <w:vAlign w:val="center"/>
          </w:tcPr>
          <w:p w:rsidR="009B32AB" w:rsidRPr="00651AA9" w:rsidRDefault="009B32AB" w:rsidP="00380FF9">
            <w:pPr>
              <w:jc w:val="center"/>
              <w:rPr>
                <w:sz w:val="19"/>
                <w:szCs w:val="19"/>
              </w:rPr>
            </w:pPr>
            <w:r w:rsidRPr="00651AA9">
              <w:rPr>
                <w:sz w:val="19"/>
                <w:szCs w:val="19"/>
              </w:rPr>
              <w:t>On-site verification + logging</w:t>
            </w:r>
          </w:p>
        </w:tc>
      </w:tr>
      <w:tr w:rsidR="00A874AC" w:rsidRPr="00651AA9" w:rsidTr="00651AA9">
        <w:trPr>
          <w:trHeight w:val="732"/>
        </w:trPr>
        <w:tc>
          <w:tcPr>
            <w:tcW w:w="1527" w:type="dxa"/>
            <w:shd w:val="clear" w:color="auto" w:fill="D2EAF1"/>
            <w:vAlign w:val="center"/>
          </w:tcPr>
          <w:p w:rsidR="009B32AB" w:rsidRPr="00651AA9" w:rsidRDefault="009B32AB" w:rsidP="00380FF9">
            <w:pPr>
              <w:jc w:val="left"/>
              <w:rPr>
                <w:rFonts w:eastAsia="Calibri"/>
                <w:sz w:val="19"/>
                <w:szCs w:val="19"/>
              </w:rPr>
            </w:pPr>
            <w:r w:rsidRPr="00651AA9">
              <w:rPr>
                <w:rFonts w:eastAsia="Calibri"/>
                <w:sz w:val="19"/>
                <w:szCs w:val="19"/>
              </w:rPr>
              <w:t>Large C/I Equipment</w:t>
            </w:r>
          </w:p>
        </w:tc>
        <w:tc>
          <w:tcPr>
            <w:tcW w:w="1548" w:type="dxa"/>
            <w:shd w:val="clear" w:color="auto" w:fill="D2EAF1"/>
            <w:vAlign w:val="center"/>
          </w:tcPr>
          <w:p w:rsidR="009B32AB" w:rsidRPr="00651AA9" w:rsidRDefault="009B32AB" w:rsidP="00380FF9">
            <w:pPr>
              <w:jc w:val="center"/>
              <w:rPr>
                <w:sz w:val="19"/>
                <w:szCs w:val="19"/>
              </w:rPr>
            </w:pPr>
            <w:r w:rsidRPr="00651AA9">
              <w:rPr>
                <w:sz w:val="19"/>
                <w:szCs w:val="19"/>
              </w:rPr>
              <w:t>CR_PRJ-504667</w:t>
            </w:r>
          </w:p>
        </w:tc>
        <w:tc>
          <w:tcPr>
            <w:tcW w:w="1270" w:type="dxa"/>
            <w:shd w:val="clear" w:color="auto" w:fill="D2EAF1"/>
            <w:vAlign w:val="center"/>
          </w:tcPr>
          <w:p w:rsidR="009B32AB" w:rsidRPr="00651AA9" w:rsidRDefault="009B32AB" w:rsidP="00380FF9">
            <w:pPr>
              <w:jc w:val="center"/>
              <w:rPr>
                <w:sz w:val="19"/>
                <w:szCs w:val="19"/>
              </w:rPr>
            </w:pPr>
            <w:r w:rsidRPr="00651AA9">
              <w:rPr>
                <w:sz w:val="19"/>
                <w:szCs w:val="19"/>
              </w:rPr>
              <w:t>Custom – certainty</w:t>
            </w:r>
          </w:p>
        </w:tc>
        <w:tc>
          <w:tcPr>
            <w:tcW w:w="1500" w:type="dxa"/>
            <w:shd w:val="clear" w:color="auto" w:fill="D2EAF1"/>
            <w:vAlign w:val="center"/>
          </w:tcPr>
          <w:p w:rsidR="009B32AB" w:rsidRPr="00651AA9" w:rsidRDefault="009B32AB" w:rsidP="00380FF9">
            <w:pPr>
              <w:jc w:val="center"/>
              <w:rPr>
                <w:sz w:val="19"/>
                <w:szCs w:val="19"/>
              </w:rPr>
            </w:pPr>
            <w:r w:rsidRPr="00651AA9">
              <w:rPr>
                <w:sz w:val="19"/>
                <w:szCs w:val="19"/>
              </w:rPr>
              <w:t>1,197,481</w:t>
            </w:r>
          </w:p>
        </w:tc>
        <w:tc>
          <w:tcPr>
            <w:tcW w:w="1350" w:type="dxa"/>
            <w:shd w:val="clear" w:color="auto" w:fill="D2EAF1"/>
            <w:vAlign w:val="center"/>
          </w:tcPr>
          <w:p w:rsidR="009B32AB" w:rsidRPr="00651AA9" w:rsidRDefault="009B32AB" w:rsidP="00380FF9">
            <w:pPr>
              <w:jc w:val="center"/>
              <w:rPr>
                <w:sz w:val="19"/>
                <w:szCs w:val="19"/>
              </w:rPr>
            </w:pPr>
            <w:r w:rsidRPr="00651AA9">
              <w:rPr>
                <w:sz w:val="19"/>
                <w:szCs w:val="19"/>
              </w:rPr>
              <w:t>244.52</w:t>
            </w:r>
          </w:p>
        </w:tc>
        <w:tc>
          <w:tcPr>
            <w:tcW w:w="2155" w:type="dxa"/>
            <w:shd w:val="clear" w:color="auto" w:fill="D2EAF1"/>
            <w:vAlign w:val="center"/>
          </w:tcPr>
          <w:p w:rsidR="009B32AB" w:rsidRPr="00651AA9" w:rsidRDefault="009B32AB" w:rsidP="00380FF9">
            <w:pPr>
              <w:jc w:val="center"/>
              <w:rPr>
                <w:sz w:val="19"/>
                <w:szCs w:val="19"/>
              </w:rPr>
            </w:pPr>
            <w:r w:rsidRPr="00651AA9">
              <w:rPr>
                <w:sz w:val="19"/>
                <w:szCs w:val="19"/>
              </w:rPr>
              <w:t>EMS data analysis</w:t>
            </w:r>
          </w:p>
        </w:tc>
      </w:tr>
      <w:tr w:rsidR="00E7173E" w:rsidRPr="00651AA9" w:rsidTr="00651AA9">
        <w:trPr>
          <w:trHeight w:val="733"/>
        </w:trPr>
        <w:tc>
          <w:tcPr>
            <w:tcW w:w="1527" w:type="dxa"/>
            <w:shd w:val="clear" w:color="auto" w:fill="auto"/>
            <w:vAlign w:val="center"/>
          </w:tcPr>
          <w:p w:rsidR="009B32AB" w:rsidRPr="00651AA9" w:rsidRDefault="009B32AB" w:rsidP="00380FF9">
            <w:pPr>
              <w:jc w:val="left"/>
              <w:rPr>
                <w:rFonts w:eastAsia="Calibri"/>
                <w:sz w:val="19"/>
                <w:szCs w:val="19"/>
              </w:rPr>
            </w:pPr>
            <w:r w:rsidRPr="00651AA9">
              <w:rPr>
                <w:rFonts w:eastAsia="Calibri"/>
                <w:sz w:val="19"/>
                <w:szCs w:val="19"/>
              </w:rPr>
              <w:t>Large C/I Equipment</w:t>
            </w:r>
          </w:p>
        </w:tc>
        <w:tc>
          <w:tcPr>
            <w:tcW w:w="1548" w:type="dxa"/>
            <w:shd w:val="clear" w:color="auto" w:fill="auto"/>
            <w:vAlign w:val="center"/>
          </w:tcPr>
          <w:p w:rsidR="009B32AB" w:rsidRPr="00651AA9" w:rsidRDefault="009B32AB" w:rsidP="00380FF9">
            <w:pPr>
              <w:jc w:val="center"/>
              <w:rPr>
                <w:sz w:val="19"/>
                <w:szCs w:val="19"/>
              </w:rPr>
            </w:pPr>
            <w:r w:rsidRPr="00651AA9">
              <w:rPr>
                <w:sz w:val="19"/>
                <w:szCs w:val="19"/>
              </w:rPr>
              <w:t>CR_PRJ-562230</w:t>
            </w:r>
          </w:p>
        </w:tc>
        <w:tc>
          <w:tcPr>
            <w:tcW w:w="1270" w:type="dxa"/>
            <w:shd w:val="clear" w:color="auto" w:fill="auto"/>
            <w:vAlign w:val="center"/>
          </w:tcPr>
          <w:p w:rsidR="009B32AB" w:rsidRPr="00651AA9" w:rsidRDefault="009B32AB" w:rsidP="00380FF9">
            <w:pPr>
              <w:jc w:val="center"/>
              <w:rPr>
                <w:sz w:val="19"/>
                <w:szCs w:val="19"/>
              </w:rPr>
            </w:pPr>
            <w:r w:rsidRPr="00651AA9">
              <w:rPr>
                <w:sz w:val="19"/>
                <w:szCs w:val="19"/>
              </w:rPr>
              <w:t>Lighting – 2</w:t>
            </w:r>
          </w:p>
        </w:tc>
        <w:tc>
          <w:tcPr>
            <w:tcW w:w="1500" w:type="dxa"/>
            <w:shd w:val="clear" w:color="auto" w:fill="auto"/>
            <w:vAlign w:val="center"/>
          </w:tcPr>
          <w:p w:rsidR="009B32AB" w:rsidRPr="00651AA9" w:rsidRDefault="009B32AB" w:rsidP="00380FF9">
            <w:pPr>
              <w:jc w:val="center"/>
              <w:rPr>
                <w:sz w:val="19"/>
                <w:szCs w:val="19"/>
              </w:rPr>
            </w:pPr>
            <w:r w:rsidRPr="00651AA9">
              <w:rPr>
                <w:sz w:val="19"/>
                <w:szCs w:val="19"/>
              </w:rPr>
              <w:t>371,385</w:t>
            </w:r>
          </w:p>
        </w:tc>
        <w:tc>
          <w:tcPr>
            <w:tcW w:w="1350" w:type="dxa"/>
            <w:shd w:val="clear" w:color="auto" w:fill="auto"/>
            <w:vAlign w:val="center"/>
          </w:tcPr>
          <w:p w:rsidR="009B32AB" w:rsidRPr="00651AA9" w:rsidRDefault="009B32AB" w:rsidP="00380FF9">
            <w:pPr>
              <w:jc w:val="center"/>
              <w:rPr>
                <w:sz w:val="19"/>
                <w:szCs w:val="19"/>
              </w:rPr>
            </w:pPr>
            <w:r w:rsidRPr="00651AA9">
              <w:rPr>
                <w:sz w:val="19"/>
                <w:szCs w:val="19"/>
              </w:rPr>
              <w:t>33.25</w:t>
            </w:r>
          </w:p>
        </w:tc>
        <w:tc>
          <w:tcPr>
            <w:tcW w:w="2155" w:type="dxa"/>
            <w:shd w:val="clear" w:color="auto" w:fill="auto"/>
            <w:vAlign w:val="center"/>
          </w:tcPr>
          <w:p w:rsidR="009B32AB" w:rsidRPr="00651AA9" w:rsidRDefault="009B32AB" w:rsidP="00380FF9">
            <w:pPr>
              <w:jc w:val="center"/>
              <w:rPr>
                <w:sz w:val="19"/>
                <w:szCs w:val="19"/>
              </w:rPr>
            </w:pPr>
            <w:r w:rsidRPr="00651AA9">
              <w:rPr>
                <w:sz w:val="19"/>
                <w:szCs w:val="19"/>
              </w:rPr>
              <w:t>On-site verification + logging</w:t>
            </w:r>
          </w:p>
        </w:tc>
      </w:tr>
    </w:tbl>
    <w:p w:rsidR="009B32AB" w:rsidRPr="003458B1" w:rsidRDefault="009B32AB" w:rsidP="009B32AB"/>
    <w:p w:rsidR="009B32AB" w:rsidRPr="003458B1" w:rsidRDefault="009B32AB" w:rsidP="009B32AB">
      <w:r w:rsidRPr="003458B1">
        <w:t>Project CR_PRJ-394737 involved lighting retrofits a</w:t>
      </w:r>
      <w:r>
        <w:t>t a</w:t>
      </w:r>
      <w:r w:rsidRPr="003458B1">
        <w:t xml:space="preserve"> manufacturing facility in Annville, PA. ADM performed a site visit to verify the types and quantities of installed fixtures and installed 11 light loggers throughout the facility. The results were used to estimate annual operating hours for each space type and to generate final verified kWh and kW savings values. The SWE Team agrees with the level of rigor used in evaluating this project.</w:t>
      </w:r>
    </w:p>
    <w:p w:rsidR="009B32AB" w:rsidRPr="003458B1" w:rsidRDefault="009B32AB" w:rsidP="009B32AB"/>
    <w:p w:rsidR="009B32AB" w:rsidRPr="003458B1" w:rsidRDefault="009B32AB" w:rsidP="009B32AB">
      <w:r w:rsidRPr="003458B1">
        <w:t>Project CR_PRJ-471704 involved LED lighting retrofits at an industrial baking facility in York, PA. ADM performed a site visit to verify the types and quantities of installed fixtures and installed five light loggers throughout the facility. The results verified 24/7 operation of all fixtures except those with occupancy sensors. The SWE Team agrees with the level of rigor used in evaluating this project.</w:t>
      </w:r>
    </w:p>
    <w:p w:rsidR="009B32AB" w:rsidRPr="003458B1" w:rsidRDefault="009B32AB" w:rsidP="009B32AB"/>
    <w:p w:rsidR="009B32AB" w:rsidRPr="003458B1" w:rsidRDefault="009B32AB" w:rsidP="009B32AB">
      <w:r w:rsidRPr="003458B1">
        <w:t>Project CR_PRJ-504667 involved upgrading chillers to new models with VFDs at a hospital in Reading, PA. ADM was able to obtain</w:t>
      </w:r>
      <w:r w:rsidR="00AF2C58">
        <w:t xml:space="preserve"> energy management system</w:t>
      </w:r>
      <w:r w:rsidRPr="003458B1">
        <w:t xml:space="preserve"> </w:t>
      </w:r>
      <w:r w:rsidR="00AF2C58">
        <w:t>(</w:t>
      </w:r>
      <w:r w:rsidRPr="003458B1">
        <w:t>EMS</w:t>
      </w:r>
      <w:r w:rsidR="00AF2C58">
        <w:t>)</w:t>
      </w:r>
      <w:r w:rsidRPr="003458B1">
        <w:t xml:space="preserve"> data</w:t>
      </w:r>
      <w:r>
        <w:t>,</w:t>
      </w:r>
      <w:r w:rsidRPr="003458B1">
        <w:t xml:space="preserve"> including kW readings and daily ton-hours. Verified savings were very similar to ex</w:t>
      </w:r>
      <w:r>
        <w:t xml:space="preserve"> </w:t>
      </w:r>
      <w:r w:rsidRPr="003458B1">
        <w:t>ante savings</w:t>
      </w:r>
      <w:r>
        <w:t>,</w:t>
      </w:r>
      <w:r w:rsidRPr="003458B1">
        <w:t xml:space="preserve"> with a realization rate of 106%. The SWE Team agrees with the analysis and verified savings for this project.</w:t>
      </w:r>
    </w:p>
    <w:p w:rsidR="009B32AB" w:rsidRPr="003458B1" w:rsidRDefault="009B32AB" w:rsidP="009B32AB"/>
    <w:p w:rsidR="00117CF7" w:rsidRDefault="009B32AB" w:rsidP="009B32AB">
      <w:pPr>
        <w:keepNext/>
        <w:autoSpaceDE w:val="0"/>
        <w:autoSpaceDN w:val="0"/>
        <w:adjustRightInd w:val="0"/>
      </w:pPr>
      <w:r w:rsidRPr="003458B1">
        <w:t xml:space="preserve">Project CR_PRJ-562230 involved indoor and outdoor LED lighting retrofits at a car dealership in Nazareth, PA. The evaluation contractor performed a site visit to verify the types and quantities of installed fixtures and installed </w:t>
      </w:r>
      <w:r>
        <w:t>six</w:t>
      </w:r>
      <w:r w:rsidRPr="003458B1">
        <w:t xml:space="preserve"> light loggers throughout the facility. The results were used to estimate annual operating hours for each space type and to generate final verified kWh and kW savings values. The SWE Team agrees with the level of rigor used in evaluating this project.</w:t>
      </w:r>
    </w:p>
    <w:p w:rsidR="00FD4D90" w:rsidRPr="003B2BD3" w:rsidRDefault="00FD4D90" w:rsidP="009B32AB">
      <w:pPr>
        <w:keepNext/>
        <w:autoSpaceDE w:val="0"/>
        <w:autoSpaceDN w:val="0"/>
        <w:adjustRightInd w:val="0"/>
        <w:rPr>
          <w:rFonts w:ascii="Century Gothic" w:hAnsi="Century Gothic"/>
          <w:b/>
          <w:bCs/>
          <w:sz w:val="18"/>
          <w:szCs w:val="18"/>
        </w:rPr>
        <w:sectPr w:rsidR="00FD4D90" w:rsidRPr="003B2BD3" w:rsidSect="006843B2">
          <w:headerReference w:type="first" r:id="rId125"/>
          <w:footerReference w:type="first" r:id="rId126"/>
          <w:pgSz w:w="12240" w:h="15840"/>
          <w:pgMar w:top="1440" w:right="1440" w:bottom="1440" w:left="1440" w:header="720" w:footer="288" w:gutter="0"/>
          <w:pgNumType w:chapStyle="6"/>
          <w:cols w:space="720"/>
          <w:titlePg/>
          <w:docGrid w:linePitch="360"/>
        </w:sectPr>
      </w:pPr>
    </w:p>
    <w:p w:rsidR="00950837" w:rsidRDefault="00950837" w:rsidP="009C0DF1">
      <w:pPr>
        <w:pStyle w:val="AppendixAHeading3"/>
      </w:pPr>
      <w:bookmarkStart w:id="765" w:name="_Ref472452280"/>
      <w:r>
        <w:t>Net-to-Gross and Process Evaluation Audit Summary</w:t>
      </w:r>
      <w:bookmarkEnd w:id="765"/>
    </w:p>
    <w:p w:rsidR="00745011" w:rsidRPr="00661E10" w:rsidRDefault="00745011" w:rsidP="00745011">
      <w:r w:rsidRPr="00661E10">
        <w:t xml:space="preserve">The SWE Team’s audit included a review of the process evaluation methods, findings, conclusions, and recommendations in the PY7 annual report to determine whether they were consistent with the reporting template provided by the SWE. The SWE Team’s audit of the process reports also included a review of process-related methods and research activities to determine whether they were consistent with the approved evaluation plan, and a review of the linkage between findings, conclusions, and recommendations. </w:t>
      </w:r>
    </w:p>
    <w:p w:rsidR="00745011" w:rsidRPr="00661E10" w:rsidRDefault="00745011" w:rsidP="00745011">
      <w:pPr>
        <w:rPr>
          <w:shd w:val="clear" w:color="auto" w:fill="D9D9D9"/>
        </w:rPr>
      </w:pPr>
    </w:p>
    <w:p w:rsidR="00745011" w:rsidRPr="00661E10" w:rsidRDefault="00745011" w:rsidP="00745011">
      <w:r w:rsidRPr="00661E10">
        <w:t xml:space="preserve">Overall, the process evaluations appeared to be consistent with the evaluation plan. The sampling approaches for the process evaluation activities were appropriate. The report provided a comprehensive overview of the process evaluation key findings and recommendations. The SWE Team identified one main area in which reporting could have been improved. </w:t>
      </w:r>
      <w:r w:rsidRPr="00661E10">
        <w:rPr>
          <w:szCs w:val="20"/>
        </w:rPr>
        <w:t xml:space="preserve">Specifically, </w:t>
      </w:r>
      <w:r w:rsidR="0009501A">
        <w:t>Tetra Tech</w:t>
      </w:r>
      <w:r w:rsidRPr="00661E10">
        <w:t xml:space="preserve"> interviewed trade allies for both the Home Performance program (builders and raters) and Energy Efficient Buildings programs (contractors), but there was no discussion of the populations or sample sizes of these groups. The SWE recommends including the information to help readers understand how widely the findings are represented. </w:t>
      </w:r>
    </w:p>
    <w:p w:rsidR="00745011" w:rsidRPr="00661E10" w:rsidRDefault="00745011" w:rsidP="00745011">
      <w:pPr>
        <w:rPr>
          <w:szCs w:val="20"/>
        </w:rPr>
      </w:pPr>
    </w:p>
    <w:p w:rsidR="00745011" w:rsidRPr="00661E10" w:rsidRDefault="00745011" w:rsidP="00745011">
      <w:r w:rsidRPr="00661E10">
        <w:t xml:space="preserve">The report documents included a summary of methods and findings, a table of recommendations, and a description of whether or not the EDC was implementing or considering the recommendations. </w:t>
      </w:r>
    </w:p>
    <w:p w:rsidR="00745011" w:rsidRPr="00661E10" w:rsidRDefault="00745011" w:rsidP="00745011"/>
    <w:p w:rsidR="00745011" w:rsidRDefault="00745011" w:rsidP="00745011">
      <w:pPr>
        <w:rPr>
          <w:szCs w:val="20"/>
          <w:lang w:val="x-none" w:eastAsia="x-none"/>
        </w:rPr>
      </w:pPr>
      <w:r w:rsidRPr="00661E10">
        <w:t>The report generally included sufficient detail for the SWE Team and others to assess the methods, findings, co</w:t>
      </w:r>
      <w:r>
        <w:t xml:space="preserve">nclusions, and recommendations. </w:t>
      </w:r>
      <w:r w:rsidRPr="00661E10">
        <w:rPr>
          <w:szCs w:val="20"/>
          <w:lang w:val="x-none" w:eastAsia="x-none"/>
        </w:rPr>
        <w:t xml:space="preserve">Detailed summaries </w:t>
      </w:r>
      <w:r w:rsidRPr="00661E10">
        <w:rPr>
          <w:szCs w:val="20"/>
          <w:lang w:eastAsia="x-none"/>
        </w:rPr>
        <w:t xml:space="preserve">of </w:t>
      </w:r>
      <w:r w:rsidRPr="00661E10">
        <w:rPr>
          <w:szCs w:val="20"/>
          <w:lang w:val="x-none" w:eastAsia="x-none"/>
        </w:rPr>
        <w:t>the SWE Team</w:t>
      </w:r>
      <w:r w:rsidRPr="00661E10">
        <w:rPr>
          <w:szCs w:val="20"/>
          <w:lang w:eastAsia="x-none"/>
        </w:rPr>
        <w:t>’s</w:t>
      </w:r>
      <w:r w:rsidRPr="00661E10">
        <w:rPr>
          <w:szCs w:val="20"/>
          <w:lang w:val="x-none" w:eastAsia="x-none"/>
        </w:rPr>
        <w:t xml:space="preserve"> review of the process evaluation by program are in Appendix </w:t>
      </w:r>
      <w:r>
        <w:rPr>
          <w:szCs w:val="20"/>
          <w:lang w:eastAsia="x-none"/>
        </w:rPr>
        <w:t>B</w:t>
      </w:r>
      <w:r w:rsidRPr="00661E10">
        <w:rPr>
          <w:szCs w:val="20"/>
          <w:lang w:val="x-none" w:eastAsia="x-none"/>
        </w:rPr>
        <w:t>.</w:t>
      </w:r>
    </w:p>
    <w:p w:rsidR="00745011" w:rsidRDefault="00745011" w:rsidP="00745011">
      <w:pPr>
        <w:rPr>
          <w:szCs w:val="20"/>
          <w:lang w:val="x-none" w:eastAsia="x-none"/>
        </w:rPr>
      </w:pPr>
    </w:p>
    <w:p w:rsidR="00745011" w:rsidRPr="006C05B5" w:rsidRDefault="00B37A72" w:rsidP="00745011">
      <w:pPr>
        <w:rPr>
          <w:highlight w:val="lightGray"/>
        </w:rPr>
      </w:pPr>
      <w:r>
        <w:t>The remainder of this</w:t>
      </w:r>
      <w:r w:rsidR="00745011" w:rsidRPr="006C05B5">
        <w:t xml:space="preserve"> section summarizes the activities and key findings of the SWE Team’s NTG audits of Met-Ed’s programs in PY7. </w:t>
      </w:r>
    </w:p>
    <w:p w:rsidR="00745011" w:rsidRPr="006C05B5" w:rsidRDefault="00745011" w:rsidP="00745011">
      <w:pPr>
        <w:rPr>
          <w:highlight w:val="lightGray"/>
        </w:rPr>
      </w:pPr>
    </w:p>
    <w:p w:rsidR="00745011" w:rsidRPr="006C05B5" w:rsidRDefault="00745011" w:rsidP="00745011">
      <w:r>
        <w:fldChar w:fldCharType="begin"/>
      </w:r>
      <w:r>
        <w:instrText xml:space="preserve"> REF _Ref472451504 \h </w:instrText>
      </w:r>
      <w:r>
        <w:fldChar w:fldCharType="separate"/>
      </w:r>
      <w:r w:rsidR="00037CB4" w:rsidRPr="00745011">
        <w:t>Table A-</w:t>
      </w:r>
      <w:r w:rsidR="00037CB4">
        <w:rPr>
          <w:noProof/>
        </w:rPr>
        <w:t>44</w:t>
      </w:r>
      <w:r>
        <w:fldChar w:fldCharType="end"/>
      </w:r>
      <w:r w:rsidRPr="006C05B5">
        <w:t xml:space="preserve"> summarizes the results of the SWE Team’s audit of ADM/Tetra Tech’s NTG assessment of the FirstEnergy EDC programs. </w:t>
      </w:r>
    </w:p>
    <w:p w:rsidR="00745011" w:rsidRPr="006C05B5" w:rsidRDefault="00745011" w:rsidP="00745011"/>
    <w:p w:rsidR="00745011" w:rsidRPr="00745011" w:rsidRDefault="00745011" w:rsidP="004837FA">
      <w:pPr>
        <w:pStyle w:val="Caption"/>
      </w:pPr>
      <w:bookmarkStart w:id="766" w:name="_Ref472451504"/>
      <w:bookmarkStart w:id="767" w:name="_Toc444269746"/>
      <w:bookmarkStart w:id="768" w:name="_Toc472472453"/>
      <w:bookmarkStart w:id="769" w:name="_Toc488741872"/>
      <w:r w:rsidRPr="00745011">
        <w:t>Table A-</w:t>
      </w:r>
      <w:r w:rsidR="007973A4">
        <w:fldChar w:fldCharType="begin"/>
      </w:r>
      <w:r w:rsidR="007973A4">
        <w:instrText xml:space="preserve"> SEQ Table_A- \* ARABIC </w:instrText>
      </w:r>
      <w:r w:rsidR="007973A4">
        <w:fldChar w:fldCharType="separate"/>
      </w:r>
      <w:r w:rsidR="00037CB4">
        <w:rPr>
          <w:noProof/>
        </w:rPr>
        <w:t>44</w:t>
      </w:r>
      <w:r w:rsidR="007973A4">
        <w:rPr>
          <w:noProof/>
        </w:rPr>
        <w:fldChar w:fldCharType="end"/>
      </w:r>
      <w:bookmarkEnd w:id="766"/>
      <w:r w:rsidRPr="00745011">
        <w:t>: Summary of SWE Team Review of FirstEnergy NTG Evaluations</w:t>
      </w:r>
      <w:bookmarkEnd w:id="767"/>
      <w:bookmarkEnd w:id="768"/>
      <w:bookmarkEnd w:id="769"/>
    </w:p>
    <w:tbl>
      <w:tblPr>
        <w:tblW w:w="9337"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4675"/>
        <w:gridCol w:w="4662"/>
      </w:tblGrid>
      <w:tr w:rsidR="00E7173E" w:rsidRPr="00651AA9" w:rsidTr="00651AA9">
        <w:trPr>
          <w:trHeight w:val="288"/>
          <w:tblHeader/>
        </w:trPr>
        <w:tc>
          <w:tcPr>
            <w:tcW w:w="4675" w:type="dxa"/>
            <w:shd w:val="clear" w:color="auto" w:fill="448A99"/>
            <w:vAlign w:val="bottom"/>
          </w:tcPr>
          <w:p w:rsidR="00745011" w:rsidRPr="00651AA9" w:rsidRDefault="00745011" w:rsidP="005C1352">
            <w:pPr>
              <w:rPr>
                <w:b/>
                <w:color w:val="FFFFFF"/>
                <w:sz w:val="19"/>
                <w:szCs w:val="19"/>
              </w:rPr>
            </w:pPr>
            <w:r w:rsidRPr="00651AA9">
              <w:rPr>
                <w:b/>
                <w:color w:val="FFFFFF"/>
                <w:sz w:val="19"/>
                <w:szCs w:val="19"/>
              </w:rPr>
              <w:t>Elements Reviewed in Annual Report</w:t>
            </w:r>
          </w:p>
        </w:tc>
        <w:tc>
          <w:tcPr>
            <w:tcW w:w="4662" w:type="dxa"/>
            <w:shd w:val="clear" w:color="auto" w:fill="448A99"/>
            <w:vAlign w:val="bottom"/>
          </w:tcPr>
          <w:p w:rsidR="00745011" w:rsidRPr="00651AA9" w:rsidRDefault="00745011" w:rsidP="005C1352">
            <w:pPr>
              <w:jc w:val="center"/>
              <w:rPr>
                <w:b/>
                <w:color w:val="FFFFFF"/>
                <w:sz w:val="19"/>
                <w:szCs w:val="19"/>
              </w:rPr>
            </w:pPr>
            <w:r w:rsidRPr="00651AA9" w:rsidDel="00BA519B">
              <w:rPr>
                <w:b/>
                <w:color w:val="FFFFFF"/>
                <w:sz w:val="19"/>
                <w:szCs w:val="19"/>
              </w:rPr>
              <w:t>S</w:t>
            </w:r>
            <w:r w:rsidRPr="00651AA9">
              <w:rPr>
                <w:b/>
                <w:color w:val="FFFFFF"/>
                <w:sz w:val="19"/>
                <w:szCs w:val="19"/>
              </w:rPr>
              <w:t>WE Findings</w:t>
            </w:r>
          </w:p>
        </w:tc>
      </w:tr>
      <w:tr w:rsidR="00E7173E" w:rsidRPr="00651AA9" w:rsidTr="00651AA9">
        <w:trPr>
          <w:trHeight w:val="144"/>
        </w:trPr>
        <w:tc>
          <w:tcPr>
            <w:tcW w:w="9337" w:type="dxa"/>
            <w:gridSpan w:val="2"/>
            <w:shd w:val="clear" w:color="auto" w:fill="9C9393"/>
          </w:tcPr>
          <w:p w:rsidR="00745011" w:rsidRPr="00651AA9" w:rsidRDefault="00745011" w:rsidP="005C1352">
            <w:pPr>
              <w:jc w:val="left"/>
              <w:rPr>
                <w:b/>
                <w:color w:val="FFFFFF"/>
                <w:sz w:val="19"/>
                <w:szCs w:val="19"/>
              </w:rPr>
            </w:pPr>
            <w:r w:rsidRPr="00651AA9">
              <w:rPr>
                <w:b/>
                <w:color w:val="FFFFFF"/>
                <w:sz w:val="19"/>
                <w:szCs w:val="19"/>
              </w:rPr>
              <w:t>Use of NTG Common Method or Explanation for Alternate Method</w:t>
            </w:r>
          </w:p>
        </w:tc>
      </w:tr>
      <w:tr w:rsidR="00E7173E" w:rsidRPr="00651AA9" w:rsidTr="00651AA9">
        <w:trPr>
          <w:trHeight w:val="346"/>
        </w:trPr>
        <w:tc>
          <w:tcPr>
            <w:tcW w:w="4675" w:type="dxa"/>
            <w:shd w:val="clear" w:color="auto" w:fill="FFFFFF"/>
          </w:tcPr>
          <w:p w:rsidR="00745011" w:rsidRPr="00651AA9" w:rsidRDefault="00745011" w:rsidP="005C1352">
            <w:pPr>
              <w:jc w:val="left"/>
              <w:rPr>
                <w:sz w:val="19"/>
                <w:szCs w:val="19"/>
              </w:rPr>
            </w:pPr>
            <w:r w:rsidRPr="00651AA9">
              <w:rPr>
                <w:sz w:val="19"/>
                <w:szCs w:val="19"/>
              </w:rPr>
              <w:t>Availability of NTG data files and documents</w:t>
            </w:r>
          </w:p>
        </w:tc>
        <w:tc>
          <w:tcPr>
            <w:tcW w:w="4662" w:type="dxa"/>
            <w:shd w:val="clear" w:color="auto" w:fill="FFFFFF"/>
          </w:tcPr>
          <w:p w:rsidR="00745011" w:rsidRPr="00651AA9" w:rsidRDefault="00745011" w:rsidP="005C1352">
            <w:pPr>
              <w:jc w:val="left"/>
              <w:rPr>
                <w:sz w:val="19"/>
                <w:szCs w:val="19"/>
              </w:rPr>
            </w:pPr>
            <w:r w:rsidRPr="00651AA9">
              <w:rPr>
                <w:sz w:val="19"/>
                <w:szCs w:val="19"/>
              </w:rPr>
              <w:t>Yes, with exceptions noted</w:t>
            </w:r>
          </w:p>
        </w:tc>
      </w:tr>
      <w:tr w:rsidR="00E7173E" w:rsidRPr="00651AA9" w:rsidTr="00651AA9">
        <w:trPr>
          <w:trHeight w:val="346"/>
        </w:trPr>
        <w:tc>
          <w:tcPr>
            <w:tcW w:w="4675" w:type="dxa"/>
            <w:shd w:val="clear" w:color="auto" w:fill="D2EAF1"/>
          </w:tcPr>
          <w:p w:rsidR="00745011" w:rsidRPr="00651AA9" w:rsidRDefault="00745011" w:rsidP="005C1352">
            <w:pPr>
              <w:jc w:val="left"/>
              <w:rPr>
                <w:sz w:val="19"/>
                <w:szCs w:val="19"/>
              </w:rPr>
            </w:pPr>
            <w:r w:rsidRPr="00651AA9">
              <w:rPr>
                <w:sz w:val="19"/>
                <w:szCs w:val="19"/>
              </w:rPr>
              <w:t>NTG method used – the common method or another</w:t>
            </w:r>
          </w:p>
        </w:tc>
        <w:tc>
          <w:tcPr>
            <w:tcW w:w="4662" w:type="dxa"/>
            <w:shd w:val="clear" w:color="auto" w:fill="D2EAF1"/>
          </w:tcPr>
          <w:p w:rsidR="00745011" w:rsidRPr="00651AA9" w:rsidRDefault="00745011" w:rsidP="005C1352">
            <w:pPr>
              <w:jc w:val="left"/>
              <w:rPr>
                <w:sz w:val="19"/>
                <w:szCs w:val="19"/>
              </w:rPr>
            </w:pPr>
            <w:r w:rsidRPr="00651AA9">
              <w:rPr>
                <w:sz w:val="19"/>
                <w:szCs w:val="19"/>
              </w:rPr>
              <w:t xml:space="preserve">Common method, except for upstream components </w:t>
            </w:r>
          </w:p>
        </w:tc>
      </w:tr>
      <w:tr w:rsidR="00E7173E" w:rsidRPr="00651AA9" w:rsidTr="00651AA9">
        <w:trPr>
          <w:trHeight w:val="346"/>
        </w:trPr>
        <w:tc>
          <w:tcPr>
            <w:tcW w:w="4675" w:type="dxa"/>
            <w:shd w:val="clear" w:color="auto" w:fill="FFFFFF"/>
          </w:tcPr>
          <w:p w:rsidR="00745011" w:rsidRPr="00651AA9" w:rsidRDefault="00745011" w:rsidP="005C1352">
            <w:pPr>
              <w:jc w:val="left"/>
              <w:rPr>
                <w:sz w:val="19"/>
                <w:szCs w:val="19"/>
              </w:rPr>
            </w:pPr>
            <w:r w:rsidRPr="00651AA9">
              <w:rPr>
                <w:sz w:val="19"/>
                <w:szCs w:val="19"/>
              </w:rPr>
              <w:t>NTG common method applied correctly</w:t>
            </w:r>
          </w:p>
        </w:tc>
        <w:tc>
          <w:tcPr>
            <w:tcW w:w="4662" w:type="dxa"/>
            <w:shd w:val="clear" w:color="auto" w:fill="FFFFFF"/>
          </w:tcPr>
          <w:p w:rsidR="00745011" w:rsidRPr="00651AA9" w:rsidRDefault="00745011" w:rsidP="005C1352">
            <w:pPr>
              <w:jc w:val="left"/>
              <w:rPr>
                <w:sz w:val="19"/>
                <w:szCs w:val="19"/>
              </w:rPr>
            </w:pPr>
            <w:r w:rsidRPr="00651AA9">
              <w:rPr>
                <w:sz w:val="19"/>
                <w:szCs w:val="19"/>
              </w:rPr>
              <w:t>Yes</w:t>
            </w:r>
          </w:p>
        </w:tc>
      </w:tr>
    </w:tbl>
    <w:p w:rsidR="00745011" w:rsidRPr="006C05B5" w:rsidRDefault="00745011" w:rsidP="00745011"/>
    <w:p w:rsidR="00745011" w:rsidRPr="006C05B5" w:rsidRDefault="00745011" w:rsidP="00745011">
      <w:r w:rsidRPr="006C05B5">
        <w:t xml:space="preserve">The following subsections </w:t>
      </w:r>
      <w:r w:rsidRPr="006C05B5">
        <w:rPr>
          <w:rFonts w:cs="Calibri"/>
        </w:rPr>
        <w:t xml:space="preserve">present detailed discussions </w:t>
      </w:r>
      <w:r w:rsidRPr="006C05B5">
        <w:t>of the SWE Team’s NTG audits of the FirstEnergy EDC programs in PY7, including a summary of Met-Ed’s program-level NTG values that FirstEnergy’s evaluation contractor reported. The results are provided for residential, low-income, and non-residential programs.</w:t>
      </w:r>
    </w:p>
    <w:p w:rsidR="00745011" w:rsidRPr="006C05B5" w:rsidRDefault="00745011" w:rsidP="00745011"/>
    <w:p w:rsidR="00745011" w:rsidRPr="006C05B5" w:rsidRDefault="00745011" w:rsidP="0055598C">
      <w:pPr>
        <w:pStyle w:val="AppendixAHeading4"/>
      </w:pPr>
      <w:r w:rsidRPr="006C05B5">
        <w:t>Residential Programs</w:t>
      </w:r>
    </w:p>
    <w:p w:rsidR="00745011" w:rsidRPr="006C05B5" w:rsidRDefault="00745011" w:rsidP="00745011">
      <w:r w:rsidRPr="006C05B5">
        <w:t xml:space="preserve">ADM/Tetra </w:t>
      </w:r>
      <w:r w:rsidR="00B93F7F" w:rsidRPr="006C05B5">
        <w:t xml:space="preserve">Tech estimated NTG for three residential programs: </w:t>
      </w:r>
      <w:r w:rsidR="00B97C91" w:rsidRPr="006C05B5">
        <w:t>The</w:t>
      </w:r>
      <w:r w:rsidR="00B93F7F" w:rsidRPr="006C05B5">
        <w:t xml:space="preserve"> Appliance Turn-In Program, Residential Energy Efficient Products Program, and Home Performance Program. ADM/Tetra Tech used primary data collection to estimate NTG for the Appliance Turn-In Program</w:t>
      </w:r>
      <w:r w:rsidR="00B93F7F">
        <w:t>.</w:t>
      </w:r>
      <w:r w:rsidR="00B93F7F" w:rsidRPr="006C05B5">
        <w:t xml:space="preserve"> </w:t>
      </w:r>
      <w:r w:rsidR="00B93F7F">
        <w:t>T</w:t>
      </w:r>
      <w:r w:rsidR="00B93F7F" w:rsidRPr="006C05B5">
        <w:t>hey relied primarily on PY6 results to estimate PY7 NTG for the Residential Energy Efficient Products Program and the Home Performance Program</w:t>
      </w:r>
      <w:r w:rsidR="00B93F7F">
        <w:t xml:space="preserve"> with the exception of upstream lighting</w:t>
      </w:r>
      <w:r w:rsidR="00B93F7F" w:rsidRPr="006C05B5">
        <w:t xml:space="preserve">. ADM/Tetra Tech reported using the SWE Team’s common method for NTG estimation for the Appliance Turn-In Program. ADM/Tetra Tech </w:t>
      </w:r>
      <w:r w:rsidR="00B93F7F">
        <w:t>also used</w:t>
      </w:r>
      <w:r w:rsidR="00B93F7F" w:rsidRPr="006C05B5">
        <w:t xml:space="preserve"> the common method for </w:t>
      </w:r>
      <w:r w:rsidR="00B93F7F">
        <w:t>the Residential Energy Efficient Products and Home Performance</w:t>
      </w:r>
      <w:r w:rsidR="00B93F7F" w:rsidRPr="006C05B5">
        <w:t xml:space="preserve"> programs in the PY6 </w:t>
      </w:r>
      <w:r w:rsidR="00B93F7F">
        <w:t>evaluation, which was the basis for PY7 NTG results</w:t>
      </w:r>
      <w:r w:rsidR="00B93F7F" w:rsidRPr="006C05B5">
        <w:t>.</w:t>
      </w:r>
      <w:r w:rsidR="00B93F7F">
        <w:t xml:space="preserve"> There was not a common method suggested for upstream lighting NTG that was evaluated in PY7.</w:t>
      </w:r>
    </w:p>
    <w:p w:rsidR="00745011" w:rsidRPr="006C05B5" w:rsidRDefault="00745011" w:rsidP="00745011"/>
    <w:p w:rsidR="00745011" w:rsidRPr="006C05B5" w:rsidRDefault="004F04D2" w:rsidP="00745011">
      <w:r w:rsidRPr="006C05B5">
        <w:t xml:space="preserve">For the Appliance Turn-In Program, ADM/Tetra Tech used primary data collection (participant surveys) to estimate NTG for both refrigerator and freezer strata. However, Table 2-5 of the Met-Ed PY7 annual report reveals that ADM/Tetra Tech did not collect any room air conditioner (RAC) participant sample. ADM/Tetra Tech did not acknowledge this lack of RAC sample in the body of the report, nor did they explain how they arrived at a 50% NTGR for the RAC stratum. The SWE Team assumes the RAC stratum NTGR is a non-evidence-based and arbitrary assignment. </w:t>
      </w:r>
      <w:r w:rsidRPr="000C0785">
        <w:t xml:space="preserve">While acknowledging that RAC savings are a minor component of the program, </w:t>
      </w:r>
      <w:r>
        <w:t>t</w:t>
      </w:r>
      <w:r w:rsidRPr="006C05B5">
        <w:t xml:space="preserve">he SWE Team disagrees with the arbitrary assignment of 50% NTGR and recommends simply not reporting NTG values for unevaluated strata, or using empirical evidence-based values from previous evaluations as a proxy. </w:t>
      </w:r>
      <w:r w:rsidR="00745011" w:rsidRPr="006C05B5">
        <w:t xml:space="preserve"> </w:t>
      </w:r>
    </w:p>
    <w:p w:rsidR="00745011" w:rsidRPr="006C05B5" w:rsidRDefault="00745011" w:rsidP="00745011"/>
    <w:p w:rsidR="00745011" w:rsidRPr="006C05B5" w:rsidRDefault="00745011" w:rsidP="00745011">
      <w:r w:rsidRPr="006C05B5">
        <w:t>For the upstream components of the Residential Energy Efficient Products Program, ADM/Tetra Tech did not provide clear details or data that revealed how they used retailer interview and participant survey data to estimate NTG values for those strata. With the exception of the interview and survey data used to calculate NTG for upstream components of the Residential Energy Efficient Products Program, ADM/Tetra Tech provided Excel workbooks with the raw data from their NTG research and the SPSS syntax files used to calculate the NTGRs from the raw data. From the workbooks and syntax, the SWE Team was able to verify that ADM/Tetra Tech used the SWE common methods. However, the Excel workbooks revealed that the FirstEnergy PY7 reports included some misprinted NTG values, and ADM/Tetra Tech confirmed via email that the values in question were indeed typos. Specifically, ADM/Tetra Tech erroneously reported the refrigerator stratum free-ridership values as the program total free-ridership values for the Appliance Turn-In Program. In its summary tables, the SWE Team reports the accurate NTG values, which explain any discrepancies between the values in this report and the FirstEnergy PY7 annual reports.</w:t>
      </w:r>
    </w:p>
    <w:p w:rsidR="00745011" w:rsidRPr="006C05B5" w:rsidRDefault="00745011" w:rsidP="00745011"/>
    <w:p w:rsidR="00745011" w:rsidRPr="006C05B5" w:rsidRDefault="00EE5015" w:rsidP="00745011">
      <w:r w:rsidRPr="006C05B5">
        <w:t xml:space="preserve">For the Residential Energy Efficient Products Program, the reported program-level NTG values reflect both downstream and upstream program components: upstream lighting NTG is derived from surveys with six participating customers and five retail chains, upstream electronics NTG is derived from surveys with two retail chains, and NTG for downstream components is estimated from participant survey data. ADM/Tetra Tech used the same upstream lighting NTG values for each EDC, implying that the six surveyed participating customers represented all EDCs. </w:t>
      </w:r>
      <w:r>
        <w:t>Although this approach was consistent with the SWE-approved evaluation plan,</w:t>
      </w:r>
      <w:r w:rsidRPr="006C05B5">
        <w:t xml:space="preserve"> </w:t>
      </w:r>
      <w:r>
        <w:t>t</w:t>
      </w:r>
      <w:r w:rsidRPr="006C05B5">
        <w:t>he SWE Team recommends that ADM/Tetra Tech acknowledge in the PY7 annual report that they used the same upstream lighting participant sample and resulting NTG value for each EDC. Furthermore, the SWE Team cautions basing NTG estimates off such a small sample</w:t>
      </w:r>
      <w:r w:rsidR="00745011" w:rsidRPr="006C05B5">
        <w:t>.</w:t>
      </w:r>
    </w:p>
    <w:p w:rsidR="00745011" w:rsidRPr="006C05B5" w:rsidRDefault="00745011" w:rsidP="00745011"/>
    <w:p w:rsidR="00745011" w:rsidRPr="006C05B5" w:rsidRDefault="00745011" w:rsidP="00745011">
      <w:r w:rsidRPr="006C05B5">
        <w:t xml:space="preserve">For the Home Performance Program, ADM/Tetra Tech weighted PY6 strata results by Phase II gross lifetime MWh savings to calculate a new NTG estimate for PY7; however, they erroneously reported using Phase III savings (ADM/Tetra Tech confirmed via email that </w:t>
      </w:r>
      <w:r w:rsidR="00BC3884">
        <w:t xml:space="preserve">reference to Phase III was a typo and </w:t>
      </w:r>
      <w:r w:rsidRPr="006C05B5">
        <w:t>they used Phase II savings). Since ADM/Tetra Tech did not estimate NTG for the new construction stratum in PY6, they applied an assumed NTGR of 50% for the new construction strata in PY7. The SWE Team disagrees with the arbitrary assignment of 50% NTGR and recommends simply not reporting NTG values for unevaluated strata, or using empirical evidence-based values from previous evaluations as a proxy. ADM/Tetra Tech did not estimate NTGR for HERs, as the impact analysis provides a net savings value for that stratum.</w:t>
      </w:r>
    </w:p>
    <w:p w:rsidR="00745011" w:rsidRPr="006C05B5" w:rsidRDefault="00745011" w:rsidP="00745011"/>
    <w:p w:rsidR="00745011" w:rsidRPr="006C05B5" w:rsidRDefault="00745011" w:rsidP="00745011">
      <w:r>
        <w:fldChar w:fldCharType="begin"/>
      </w:r>
      <w:r>
        <w:instrText xml:space="preserve"> REF _Ref472451572 \h </w:instrText>
      </w:r>
      <w:r>
        <w:fldChar w:fldCharType="separate"/>
      </w:r>
      <w:r w:rsidR="00037CB4" w:rsidRPr="00745011">
        <w:t>Table A-</w:t>
      </w:r>
      <w:r w:rsidR="00037CB4">
        <w:rPr>
          <w:noProof/>
        </w:rPr>
        <w:t>45</w:t>
      </w:r>
      <w:r>
        <w:fldChar w:fldCharType="end"/>
      </w:r>
      <w:r w:rsidRPr="006C05B5">
        <w:t xml:space="preserve"> summarizes the SWE Team’s review of the NTG activities by program. </w:t>
      </w:r>
    </w:p>
    <w:p w:rsidR="00745011" w:rsidRPr="006C05B5" w:rsidRDefault="00745011" w:rsidP="00745011"/>
    <w:p w:rsidR="00745011" w:rsidRPr="00745011" w:rsidRDefault="00745011" w:rsidP="004837FA">
      <w:pPr>
        <w:pStyle w:val="Caption"/>
      </w:pPr>
      <w:bookmarkStart w:id="770" w:name="_Ref472451572"/>
      <w:bookmarkStart w:id="771" w:name="_Toc444269747"/>
      <w:bookmarkStart w:id="772" w:name="_Toc472472454"/>
      <w:bookmarkStart w:id="773" w:name="_Toc488741873"/>
      <w:r w:rsidRPr="00745011">
        <w:t>Table A-</w:t>
      </w:r>
      <w:r w:rsidR="007973A4">
        <w:fldChar w:fldCharType="begin"/>
      </w:r>
      <w:r w:rsidR="007973A4">
        <w:instrText xml:space="preserve"> SEQ Table_A- \* ARABIC </w:instrText>
      </w:r>
      <w:r w:rsidR="007973A4">
        <w:fldChar w:fldCharType="separate"/>
      </w:r>
      <w:r w:rsidR="00037CB4">
        <w:rPr>
          <w:noProof/>
        </w:rPr>
        <w:t>45</w:t>
      </w:r>
      <w:r w:rsidR="007973A4">
        <w:rPr>
          <w:noProof/>
        </w:rPr>
        <w:fldChar w:fldCharType="end"/>
      </w:r>
      <w:bookmarkEnd w:id="770"/>
      <w:r w:rsidRPr="00745011">
        <w:t>: Summary of NTG Audit of Met-Ed’s Residential Programs</w:t>
      </w:r>
      <w:bookmarkEnd w:id="771"/>
      <w:bookmarkEnd w:id="772"/>
      <w:bookmarkEnd w:id="773"/>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92"/>
        <w:gridCol w:w="1800"/>
        <w:gridCol w:w="5863"/>
      </w:tblGrid>
      <w:tr w:rsidR="00A874AC" w:rsidRPr="00651AA9" w:rsidTr="00651AA9">
        <w:trPr>
          <w:cantSplit/>
          <w:tblHeader/>
        </w:trPr>
        <w:tc>
          <w:tcPr>
            <w:tcW w:w="1692" w:type="dxa"/>
            <w:shd w:val="clear" w:color="auto" w:fill="448A99"/>
            <w:vAlign w:val="bottom"/>
          </w:tcPr>
          <w:p w:rsidR="00745011" w:rsidRPr="00651AA9" w:rsidRDefault="00745011" w:rsidP="005C1352">
            <w:pPr>
              <w:rPr>
                <w:b/>
                <w:color w:val="FFFFFF"/>
                <w:sz w:val="19"/>
                <w:szCs w:val="19"/>
              </w:rPr>
            </w:pPr>
            <w:r w:rsidRPr="00651AA9">
              <w:rPr>
                <w:b/>
                <w:color w:val="FFFFFF"/>
                <w:sz w:val="19"/>
                <w:szCs w:val="19"/>
              </w:rPr>
              <w:t>Program</w:t>
            </w:r>
          </w:p>
        </w:tc>
        <w:tc>
          <w:tcPr>
            <w:tcW w:w="1800" w:type="dxa"/>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NTG Method</w:t>
            </w:r>
          </w:p>
        </w:tc>
        <w:tc>
          <w:tcPr>
            <w:tcW w:w="5863" w:type="dxa"/>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Review Comments</w:t>
            </w:r>
          </w:p>
        </w:tc>
      </w:tr>
      <w:tr w:rsidR="00E7173E" w:rsidRPr="00651AA9" w:rsidTr="00651AA9">
        <w:tc>
          <w:tcPr>
            <w:tcW w:w="1692" w:type="dxa"/>
            <w:shd w:val="clear" w:color="auto" w:fill="D2EAF1"/>
          </w:tcPr>
          <w:p w:rsidR="00745011" w:rsidRPr="00651AA9" w:rsidRDefault="00745011" w:rsidP="005C1352">
            <w:pPr>
              <w:jc w:val="left"/>
              <w:rPr>
                <w:color w:val="548DD4"/>
                <w:sz w:val="19"/>
                <w:szCs w:val="19"/>
              </w:rPr>
            </w:pPr>
            <w:r w:rsidRPr="00651AA9">
              <w:rPr>
                <w:sz w:val="19"/>
                <w:szCs w:val="19"/>
              </w:rPr>
              <w:t>Appliance Turn-In</w:t>
            </w:r>
          </w:p>
        </w:tc>
        <w:tc>
          <w:tcPr>
            <w:tcW w:w="1800" w:type="dxa"/>
            <w:shd w:val="clear" w:color="auto" w:fill="D2EAF1"/>
          </w:tcPr>
          <w:p w:rsidR="00745011" w:rsidRPr="00651AA9" w:rsidRDefault="00745011" w:rsidP="005C1352">
            <w:pPr>
              <w:jc w:val="left"/>
              <w:rPr>
                <w:color w:val="548DD4"/>
                <w:sz w:val="19"/>
                <w:szCs w:val="19"/>
              </w:rPr>
            </w:pPr>
            <w:r w:rsidRPr="00651AA9">
              <w:rPr>
                <w:sz w:val="19"/>
                <w:szCs w:val="19"/>
              </w:rPr>
              <w:t>The common method was used. NTG was assumed to be 50% for the RAC stratum.</w:t>
            </w:r>
          </w:p>
        </w:tc>
        <w:tc>
          <w:tcPr>
            <w:tcW w:w="5863" w:type="dxa"/>
            <w:shd w:val="clear" w:color="auto" w:fill="D2EAF1"/>
          </w:tcPr>
          <w:p w:rsidR="00745011" w:rsidRPr="00651AA9" w:rsidRDefault="00EE5015" w:rsidP="002D2C13">
            <w:pPr>
              <w:jc w:val="left"/>
              <w:rPr>
                <w:color w:val="548DD4"/>
                <w:sz w:val="19"/>
                <w:szCs w:val="19"/>
              </w:rPr>
            </w:pPr>
            <w:r w:rsidRPr="00651AA9">
              <w:rPr>
                <w:sz w:val="19"/>
                <w:szCs w:val="19"/>
              </w:rPr>
              <w:t>ADM/Tetra Tech reported using the common method for Appliance Turn-In to estimate NTG, but did not explain their use of the method in detail. Given negligible RAC savings under the program, ADM/Tetra Tech did not include in its EM&amp;V Plan estimating NTG for the RAC component, and assigned an NTGR of 50% instead. While acknowledging that RAC savings are a minor component of the program, the SWE Team disagrees with this non-evidence-based assignment of 50% NTGR. ADM/Tetra Tech did not estimate SO. ADM erroneously reported the refrigerator stratum FR value as the program total FR value.</w:t>
            </w:r>
          </w:p>
        </w:tc>
      </w:tr>
      <w:tr w:rsidR="00745011" w:rsidRPr="00651AA9" w:rsidTr="00651AA9">
        <w:tc>
          <w:tcPr>
            <w:tcW w:w="1692" w:type="dxa"/>
          </w:tcPr>
          <w:p w:rsidR="00745011" w:rsidRPr="00651AA9" w:rsidRDefault="00745011" w:rsidP="005C1352">
            <w:pPr>
              <w:jc w:val="left"/>
              <w:rPr>
                <w:color w:val="548DD4"/>
                <w:sz w:val="19"/>
                <w:szCs w:val="19"/>
              </w:rPr>
            </w:pPr>
            <w:r w:rsidRPr="00651AA9">
              <w:rPr>
                <w:sz w:val="19"/>
                <w:szCs w:val="19"/>
              </w:rPr>
              <w:t>Efficient Products</w:t>
            </w:r>
          </w:p>
        </w:tc>
        <w:tc>
          <w:tcPr>
            <w:tcW w:w="1800" w:type="dxa"/>
          </w:tcPr>
          <w:p w:rsidR="00745011" w:rsidRPr="00651AA9" w:rsidRDefault="00745011" w:rsidP="005C1352">
            <w:pPr>
              <w:jc w:val="left"/>
              <w:rPr>
                <w:sz w:val="19"/>
                <w:szCs w:val="19"/>
              </w:rPr>
            </w:pPr>
            <w:r w:rsidRPr="00651AA9">
              <w:rPr>
                <w:sz w:val="19"/>
                <w:szCs w:val="19"/>
              </w:rPr>
              <w:t>PY6 results (which used the common method) were combined with upstream retailer interview and participant survey data.</w:t>
            </w:r>
          </w:p>
        </w:tc>
        <w:tc>
          <w:tcPr>
            <w:tcW w:w="5863" w:type="dxa"/>
          </w:tcPr>
          <w:p w:rsidR="00745011" w:rsidRPr="00651AA9" w:rsidRDefault="00EE5015" w:rsidP="005C1352">
            <w:pPr>
              <w:jc w:val="left"/>
              <w:rPr>
                <w:color w:val="548DD4"/>
                <w:sz w:val="19"/>
                <w:szCs w:val="19"/>
              </w:rPr>
            </w:pPr>
            <w:r w:rsidRPr="00651AA9">
              <w:rPr>
                <w:sz w:val="19"/>
                <w:szCs w:val="19"/>
              </w:rPr>
              <w:t>ADM/Tetra Tech used PY6 results for downstream components and surveys/interviews with participants/retailers for upstream components. ADM/Tetra Tech did not explain how they analyzed surveys/interviews with participants/retailers to produce NTG values for upstream strata. The same upstream lighting participant sample was used for all four FirstEnergy EDCs: although participating retailers also informed NTG estimates, the SWE Team contends that the small participant sample may limit accurate NTG estimation.</w:t>
            </w:r>
          </w:p>
        </w:tc>
      </w:tr>
      <w:tr w:rsidR="00E7173E" w:rsidRPr="00651AA9" w:rsidTr="00651AA9">
        <w:tc>
          <w:tcPr>
            <w:tcW w:w="1692" w:type="dxa"/>
            <w:shd w:val="clear" w:color="auto" w:fill="D2EAF1"/>
          </w:tcPr>
          <w:p w:rsidR="00745011" w:rsidRPr="00651AA9" w:rsidRDefault="00745011" w:rsidP="005C1352">
            <w:pPr>
              <w:jc w:val="left"/>
              <w:rPr>
                <w:color w:val="548DD4"/>
                <w:sz w:val="19"/>
                <w:szCs w:val="19"/>
              </w:rPr>
            </w:pPr>
            <w:r w:rsidRPr="00651AA9">
              <w:rPr>
                <w:sz w:val="19"/>
                <w:szCs w:val="19"/>
              </w:rPr>
              <w:t>Home Performance</w:t>
            </w:r>
          </w:p>
        </w:tc>
        <w:tc>
          <w:tcPr>
            <w:tcW w:w="1800" w:type="dxa"/>
            <w:shd w:val="clear" w:color="auto" w:fill="D2EAF1"/>
          </w:tcPr>
          <w:p w:rsidR="00745011" w:rsidRPr="00651AA9" w:rsidRDefault="00745011" w:rsidP="005C1352">
            <w:pPr>
              <w:jc w:val="left"/>
              <w:rPr>
                <w:color w:val="548DD4"/>
                <w:sz w:val="19"/>
                <w:szCs w:val="19"/>
              </w:rPr>
            </w:pPr>
            <w:r w:rsidRPr="00651AA9">
              <w:rPr>
                <w:sz w:val="19"/>
                <w:szCs w:val="19"/>
              </w:rPr>
              <w:t>PY6 (common method-based) strata results were reweighted with Phase II gross lifetime MWh savings. NTG was assumed to be 50% for new construction stratum. NTG was not estimated for HERs; impact analysis accounts for FR and SO.</w:t>
            </w:r>
          </w:p>
        </w:tc>
        <w:tc>
          <w:tcPr>
            <w:tcW w:w="5863" w:type="dxa"/>
            <w:shd w:val="clear" w:color="auto" w:fill="D2EAF1"/>
          </w:tcPr>
          <w:p w:rsidR="00745011" w:rsidRPr="00651AA9" w:rsidRDefault="00745011" w:rsidP="005C1352">
            <w:pPr>
              <w:jc w:val="left"/>
              <w:rPr>
                <w:color w:val="548DD4"/>
                <w:sz w:val="19"/>
                <w:szCs w:val="19"/>
              </w:rPr>
            </w:pPr>
            <w:r w:rsidRPr="00651AA9">
              <w:rPr>
                <w:sz w:val="19"/>
                <w:szCs w:val="19"/>
              </w:rPr>
              <w:t>ADM/Tetra Tech did not estimate NTG for the Home Energy Review component, as the impact analysis provides a net savings value for that component. ADM/Tetra Tech did not estimate NTG for the New Homes component, and assigned an NTGR of 50% instead. The SWE Team disagrees with this non-evidence-based assignment of 50% NTGR. ADM/Tetra Tech erroneously reported using Phase III savings; they confirmed via email that they used Phase II savings.</w:t>
            </w:r>
          </w:p>
        </w:tc>
      </w:tr>
    </w:tbl>
    <w:p w:rsidR="008C19A4" w:rsidRDefault="008C19A4" w:rsidP="00745011"/>
    <w:p w:rsidR="00745011" w:rsidRPr="006C05B5" w:rsidRDefault="008C19A4" w:rsidP="00745011">
      <w:r>
        <w:t xml:space="preserve">Table A-46 </w:t>
      </w:r>
      <w:r w:rsidR="00745011" w:rsidRPr="006C05B5">
        <w:t>summarizes NTG findings from the PY</w:t>
      </w:r>
      <w:r w:rsidR="00F21F28">
        <w:t>7</w:t>
      </w:r>
      <w:r w:rsidR="00745011" w:rsidRPr="006C05B5">
        <w:t xml:space="preserve"> Met-Ed annual report. NTGR was greatest for Home Performance and lowest for Appliance Turn-In.</w:t>
      </w:r>
    </w:p>
    <w:p w:rsidR="00745011" w:rsidRDefault="00745011" w:rsidP="00745011"/>
    <w:p w:rsidR="00651AA9" w:rsidRDefault="00651AA9" w:rsidP="00745011"/>
    <w:p w:rsidR="00651AA9" w:rsidRDefault="00651AA9" w:rsidP="00745011"/>
    <w:p w:rsidR="00651AA9" w:rsidRDefault="00651AA9" w:rsidP="00745011"/>
    <w:p w:rsidR="00651AA9" w:rsidRDefault="00651AA9" w:rsidP="00745011"/>
    <w:p w:rsidR="00651AA9" w:rsidRDefault="00651AA9" w:rsidP="00745011"/>
    <w:p w:rsidR="00651AA9" w:rsidRPr="006C05B5" w:rsidRDefault="00651AA9" w:rsidP="00745011"/>
    <w:p w:rsidR="00745011" w:rsidRPr="00745011" w:rsidRDefault="00745011" w:rsidP="004837FA">
      <w:pPr>
        <w:pStyle w:val="Caption"/>
      </w:pPr>
      <w:bookmarkStart w:id="774" w:name="_Ref472451601"/>
      <w:bookmarkStart w:id="775" w:name="_Toc444269748"/>
      <w:bookmarkStart w:id="776" w:name="_Toc472472455"/>
      <w:bookmarkStart w:id="777" w:name="_Toc488741874"/>
      <w:r w:rsidRPr="00745011">
        <w:t xml:space="preserve">Table A- </w:t>
      </w:r>
      <w:r w:rsidR="007973A4">
        <w:fldChar w:fldCharType="begin"/>
      </w:r>
      <w:r w:rsidR="007973A4">
        <w:instrText xml:space="preserve"> SEQ Table_A- \* ARABIC </w:instrText>
      </w:r>
      <w:r w:rsidR="007973A4">
        <w:fldChar w:fldCharType="separate"/>
      </w:r>
      <w:r w:rsidR="00037CB4">
        <w:rPr>
          <w:noProof/>
        </w:rPr>
        <w:t>46</w:t>
      </w:r>
      <w:r w:rsidR="007973A4">
        <w:rPr>
          <w:noProof/>
        </w:rPr>
        <w:fldChar w:fldCharType="end"/>
      </w:r>
      <w:bookmarkEnd w:id="774"/>
      <w:r w:rsidRPr="00745011">
        <w:t>: Summary of NTG Estimates for Met-Ed’s Residential Program</w:t>
      </w:r>
      <w:bookmarkEnd w:id="775"/>
      <w:r w:rsidRPr="00745011">
        <w:t>s</w:t>
      </w:r>
      <w:bookmarkEnd w:id="776"/>
      <w:bookmarkEnd w:id="777"/>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17"/>
        <w:gridCol w:w="3220"/>
        <w:gridCol w:w="1182"/>
        <w:gridCol w:w="1175"/>
        <w:gridCol w:w="1160"/>
        <w:gridCol w:w="1196"/>
      </w:tblGrid>
      <w:tr w:rsidR="00A874AC" w:rsidRPr="00651AA9" w:rsidTr="005C1352">
        <w:trPr>
          <w:tblHeader/>
          <w:jc w:val="center"/>
        </w:trPr>
        <w:tc>
          <w:tcPr>
            <w:tcW w:w="1417" w:type="dxa"/>
            <w:tcBorders>
              <w:bottom w:val="single" w:sz="4" w:space="0" w:color="448A99"/>
            </w:tcBorders>
            <w:shd w:val="clear" w:color="auto" w:fill="448A99"/>
            <w:vAlign w:val="bottom"/>
          </w:tcPr>
          <w:p w:rsidR="00745011" w:rsidRPr="00651AA9" w:rsidRDefault="00745011" w:rsidP="005C1352">
            <w:pPr>
              <w:rPr>
                <w:b/>
                <w:color w:val="FFFFFF"/>
                <w:sz w:val="19"/>
                <w:szCs w:val="19"/>
              </w:rPr>
            </w:pPr>
            <w:r w:rsidRPr="00651AA9">
              <w:rPr>
                <w:b/>
                <w:color w:val="FFFFFF"/>
                <w:sz w:val="19"/>
                <w:szCs w:val="19"/>
              </w:rPr>
              <w:t>Approach</w:t>
            </w:r>
          </w:p>
        </w:tc>
        <w:tc>
          <w:tcPr>
            <w:tcW w:w="3220" w:type="dxa"/>
            <w:tcBorders>
              <w:bottom w:val="single" w:sz="4" w:space="0" w:color="448A99"/>
            </w:tcBorders>
            <w:shd w:val="clear" w:color="auto" w:fill="448A99"/>
            <w:vAlign w:val="bottom"/>
          </w:tcPr>
          <w:p w:rsidR="00745011" w:rsidRPr="00651AA9" w:rsidRDefault="00745011" w:rsidP="005C1352">
            <w:pPr>
              <w:rPr>
                <w:b/>
                <w:color w:val="FFFFFF"/>
                <w:sz w:val="19"/>
                <w:szCs w:val="19"/>
              </w:rPr>
            </w:pPr>
            <w:r w:rsidRPr="00651AA9">
              <w:rPr>
                <w:b/>
                <w:color w:val="FFFFFF"/>
                <w:sz w:val="19"/>
                <w:szCs w:val="19"/>
              </w:rPr>
              <w:t>Program</w:t>
            </w:r>
          </w:p>
        </w:tc>
        <w:tc>
          <w:tcPr>
            <w:tcW w:w="1182" w:type="dxa"/>
            <w:tcBorders>
              <w:bottom w:val="single" w:sz="4" w:space="0" w:color="448A99"/>
            </w:tcBorders>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Free-Ridership</w:t>
            </w:r>
          </w:p>
        </w:tc>
        <w:tc>
          <w:tcPr>
            <w:tcW w:w="1175" w:type="dxa"/>
            <w:tcBorders>
              <w:bottom w:val="single" w:sz="4" w:space="0" w:color="448A99"/>
            </w:tcBorders>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Spillover</w:t>
            </w:r>
          </w:p>
        </w:tc>
        <w:tc>
          <w:tcPr>
            <w:tcW w:w="1160" w:type="dxa"/>
            <w:tcBorders>
              <w:bottom w:val="single" w:sz="4" w:space="0" w:color="448A99"/>
            </w:tcBorders>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NTGR</w:t>
            </w:r>
            <w:r w:rsidRPr="00651AA9">
              <w:rPr>
                <w:b/>
                <w:color w:val="FFFFFF"/>
                <w:sz w:val="19"/>
                <w:szCs w:val="19"/>
                <w:vertAlign w:val="superscript"/>
              </w:rPr>
              <w:t>[a]</w:t>
            </w:r>
          </w:p>
        </w:tc>
        <w:tc>
          <w:tcPr>
            <w:tcW w:w="1196" w:type="dxa"/>
            <w:tcBorders>
              <w:bottom w:val="single" w:sz="4" w:space="0" w:color="448A99"/>
            </w:tcBorders>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Sample Size</w:t>
            </w:r>
            <w:r w:rsidRPr="00651AA9">
              <w:rPr>
                <w:b/>
                <w:color w:val="FFFFFF"/>
                <w:sz w:val="19"/>
                <w:szCs w:val="19"/>
                <w:vertAlign w:val="superscript"/>
              </w:rPr>
              <w:t>[b]</w:t>
            </w:r>
          </w:p>
        </w:tc>
      </w:tr>
      <w:tr w:rsidR="00A874AC" w:rsidRPr="00651AA9" w:rsidTr="006843B2">
        <w:trPr>
          <w:trHeight w:val="432"/>
          <w:jc w:val="center"/>
        </w:trPr>
        <w:tc>
          <w:tcPr>
            <w:tcW w:w="1417" w:type="dxa"/>
            <w:shd w:val="clear" w:color="auto" w:fill="D2EAF1"/>
          </w:tcPr>
          <w:p w:rsidR="00745011" w:rsidRPr="00651AA9" w:rsidRDefault="00745011" w:rsidP="005C1352">
            <w:pPr>
              <w:rPr>
                <w:sz w:val="19"/>
                <w:szCs w:val="19"/>
              </w:rPr>
            </w:pPr>
            <w:r w:rsidRPr="00651AA9">
              <w:rPr>
                <w:sz w:val="19"/>
                <w:szCs w:val="19"/>
              </w:rPr>
              <w:t>Estimated</w:t>
            </w:r>
          </w:p>
        </w:tc>
        <w:tc>
          <w:tcPr>
            <w:tcW w:w="3220" w:type="dxa"/>
            <w:shd w:val="clear" w:color="auto" w:fill="D2EAF1"/>
          </w:tcPr>
          <w:p w:rsidR="00745011" w:rsidRPr="00651AA9" w:rsidRDefault="00745011" w:rsidP="005C1352">
            <w:pPr>
              <w:rPr>
                <w:color w:val="548DD4"/>
                <w:sz w:val="19"/>
                <w:szCs w:val="19"/>
              </w:rPr>
            </w:pPr>
            <w:r w:rsidRPr="00651AA9">
              <w:rPr>
                <w:sz w:val="19"/>
                <w:szCs w:val="19"/>
              </w:rPr>
              <w:t>Appliance Turn-In</w:t>
            </w:r>
          </w:p>
        </w:tc>
        <w:tc>
          <w:tcPr>
            <w:tcW w:w="1182" w:type="dxa"/>
            <w:shd w:val="clear" w:color="auto" w:fill="D2EAF1"/>
          </w:tcPr>
          <w:p w:rsidR="00745011" w:rsidRPr="00651AA9" w:rsidRDefault="00745011" w:rsidP="005C1352">
            <w:pPr>
              <w:jc w:val="center"/>
              <w:rPr>
                <w:sz w:val="19"/>
                <w:szCs w:val="19"/>
              </w:rPr>
            </w:pPr>
            <w:r w:rsidRPr="00651AA9">
              <w:rPr>
                <w:sz w:val="19"/>
                <w:szCs w:val="19"/>
              </w:rPr>
              <w:t>0.75</w:t>
            </w:r>
            <w:r w:rsidRPr="00651AA9">
              <w:rPr>
                <w:sz w:val="19"/>
                <w:szCs w:val="19"/>
                <w:vertAlign w:val="superscript"/>
              </w:rPr>
              <w:t>[c]</w:t>
            </w:r>
          </w:p>
        </w:tc>
        <w:tc>
          <w:tcPr>
            <w:tcW w:w="1175" w:type="dxa"/>
            <w:shd w:val="clear" w:color="auto" w:fill="D2EAF1"/>
          </w:tcPr>
          <w:p w:rsidR="00745011" w:rsidRPr="00651AA9" w:rsidRDefault="00745011" w:rsidP="005C1352">
            <w:pPr>
              <w:jc w:val="center"/>
              <w:rPr>
                <w:sz w:val="19"/>
                <w:szCs w:val="19"/>
              </w:rPr>
            </w:pPr>
            <w:r w:rsidRPr="00651AA9">
              <w:rPr>
                <w:sz w:val="19"/>
                <w:szCs w:val="19"/>
              </w:rPr>
              <w:t>0.00</w:t>
            </w:r>
          </w:p>
        </w:tc>
        <w:tc>
          <w:tcPr>
            <w:tcW w:w="1160" w:type="dxa"/>
            <w:shd w:val="clear" w:color="auto" w:fill="D2EAF1"/>
          </w:tcPr>
          <w:p w:rsidR="00745011" w:rsidRPr="00651AA9" w:rsidRDefault="00745011" w:rsidP="005C1352">
            <w:pPr>
              <w:jc w:val="center"/>
              <w:rPr>
                <w:sz w:val="19"/>
                <w:szCs w:val="19"/>
              </w:rPr>
            </w:pPr>
            <w:r w:rsidRPr="00651AA9">
              <w:rPr>
                <w:sz w:val="19"/>
                <w:szCs w:val="19"/>
              </w:rPr>
              <w:t>0.26</w:t>
            </w:r>
          </w:p>
        </w:tc>
        <w:tc>
          <w:tcPr>
            <w:tcW w:w="1196" w:type="dxa"/>
            <w:shd w:val="clear" w:color="auto" w:fill="D2EAF1"/>
          </w:tcPr>
          <w:p w:rsidR="00745011" w:rsidRPr="00651AA9" w:rsidRDefault="00745011" w:rsidP="005C1352">
            <w:pPr>
              <w:jc w:val="center"/>
              <w:rPr>
                <w:sz w:val="19"/>
                <w:szCs w:val="19"/>
              </w:rPr>
            </w:pPr>
            <w:r w:rsidRPr="00651AA9">
              <w:rPr>
                <w:sz w:val="19"/>
                <w:szCs w:val="19"/>
              </w:rPr>
              <w:t>71</w:t>
            </w:r>
          </w:p>
        </w:tc>
      </w:tr>
      <w:tr w:rsidR="00745011" w:rsidRPr="00651AA9" w:rsidTr="0081757B">
        <w:trPr>
          <w:trHeight w:val="432"/>
          <w:jc w:val="center"/>
        </w:trPr>
        <w:tc>
          <w:tcPr>
            <w:tcW w:w="1417" w:type="dxa"/>
            <w:vMerge w:val="restart"/>
            <w:shd w:val="clear" w:color="auto" w:fill="auto"/>
          </w:tcPr>
          <w:p w:rsidR="00745011" w:rsidRPr="00651AA9" w:rsidRDefault="00745011" w:rsidP="005C1352">
            <w:pPr>
              <w:rPr>
                <w:sz w:val="19"/>
                <w:szCs w:val="19"/>
              </w:rPr>
            </w:pPr>
            <w:r w:rsidRPr="00651AA9">
              <w:rPr>
                <w:sz w:val="19"/>
                <w:szCs w:val="19"/>
              </w:rPr>
              <w:t>Partially estimated</w:t>
            </w:r>
          </w:p>
        </w:tc>
        <w:tc>
          <w:tcPr>
            <w:tcW w:w="3220" w:type="dxa"/>
          </w:tcPr>
          <w:p w:rsidR="00745011" w:rsidRPr="00651AA9" w:rsidRDefault="00745011" w:rsidP="005C1352">
            <w:pPr>
              <w:rPr>
                <w:color w:val="548DD4"/>
                <w:sz w:val="19"/>
                <w:szCs w:val="19"/>
              </w:rPr>
            </w:pPr>
            <w:r w:rsidRPr="00651AA9">
              <w:rPr>
                <w:sz w:val="19"/>
                <w:szCs w:val="19"/>
              </w:rPr>
              <w:t>Energy Efficient Products</w:t>
            </w:r>
          </w:p>
        </w:tc>
        <w:tc>
          <w:tcPr>
            <w:tcW w:w="1182" w:type="dxa"/>
          </w:tcPr>
          <w:p w:rsidR="00745011" w:rsidRPr="00651AA9" w:rsidRDefault="00745011" w:rsidP="005C1352">
            <w:pPr>
              <w:jc w:val="center"/>
              <w:rPr>
                <w:sz w:val="19"/>
                <w:szCs w:val="19"/>
              </w:rPr>
            </w:pPr>
            <w:r w:rsidRPr="00651AA9">
              <w:rPr>
                <w:sz w:val="19"/>
                <w:szCs w:val="19"/>
              </w:rPr>
              <w:t>0.38</w:t>
            </w:r>
          </w:p>
        </w:tc>
        <w:tc>
          <w:tcPr>
            <w:tcW w:w="1175" w:type="dxa"/>
          </w:tcPr>
          <w:p w:rsidR="00745011" w:rsidRPr="00651AA9" w:rsidRDefault="00745011" w:rsidP="005C1352">
            <w:pPr>
              <w:jc w:val="center"/>
              <w:rPr>
                <w:sz w:val="19"/>
                <w:szCs w:val="19"/>
              </w:rPr>
            </w:pPr>
            <w:r w:rsidRPr="00651AA9">
              <w:rPr>
                <w:sz w:val="19"/>
                <w:szCs w:val="19"/>
              </w:rPr>
              <w:t>0.05</w:t>
            </w:r>
          </w:p>
        </w:tc>
        <w:tc>
          <w:tcPr>
            <w:tcW w:w="1160" w:type="dxa"/>
          </w:tcPr>
          <w:p w:rsidR="00745011" w:rsidRPr="00651AA9" w:rsidRDefault="00745011" w:rsidP="005C1352">
            <w:pPr>
              <w:jc w:val="center"/>
              <w:rPr>
                <w:sz w:val="19"/>
                <w:szCs w:val="19"/>
              </w:rPr>
            </w:pPr>
            <w:r w:rsidRPr="00651AA9">
              <w:rPr>
                <w:sz w:val="19"/>
                <w:szCs w:val="19"/>
              </w:rPr>
              <w:t>0.67</w:t>
            </w:r>
          </w:p>
        </w:tc>
        <w:tc>
          <w:tcPr>
            <w:tcW w:w="1196" w:type="dxa"/>
          </w:tcPr>
          <w:p w:rsidR="00745011" w:rsidRPr="00651AA9" w:rsidRDefault="00745011" w:rsidP="005C1352">
            <w:pPr>
              <w:jc w:val="center"/>
              <w:rPr>
                <w:sz w:val="19"/>
                <w:szCs w:val="19"/>
                <w:vertAlign w:val="superscript"/>
              </w:rPr>
            </w:pPr>
            <w:r w:rsidRPr="00651AA9">
              <w:rPr>
                <w:sz w:val="19"/>
                <w:szCs w:val="19"/>
              </w:rPr>
              <w:t>137</w:t>
            </w:r>
          </w:p>
        </w:tc>
      </w:tr>
      <w:tr w:rsidR="00A874AC" w:rsidRPr="00651AA9" w:rsidTr="006843B2">
        <w:trPr>
          <w:trHeight w:val="432"/>
          <w:jc w:val="center"/>
        </w:trPr>
        <w:tc>
          <w:tcPr>
            <w:tcW w:w="1417" w:type="dxa"/>
            <w:vMerge/>
            <w:tcBorders>
              <w:bottom w:val="single" w:sz="4" w:space="0" w:color="448A99"/>
            </w:tcBorders>
            <w:shd w:val="clear" w:color="auto" w:fill="auto"/>
          </w:tcPr>
          <w:p w:rsidR="00745011" w:rsidRPr="00651AA9" w:rsidRDefault="00745011" w:rsidP="005C1352">
            <w:pPr>
              <w:rPr>
                <w:sz w:val="19"/>
                <w:szCs w:val="19"/>
              </w:rPr>
            </w:pPr>
          </w:p>
        </w:tc>
        <w:tc>
          <w:tcPr>
            <w:tcW w:w="3220" w:type="dxa"/>
            <w:tcBorders>
              <w:bottom w:val="single" w:sz="4" w:space="0" w:color="448A99"/>
            </w:tcBorders>
            <w:shd w:val="clear" w:color="auto" w:fill="D2EAF1"/>
          </w:tcPr>
          <w:p w:rsidR="00745011" w:rsidRPr="00651AA9" w:rsidRDefault="00745011" w:rsidP="005C1352">
            <w:pPr>
              <w:rPr>
                <w:color w:val="548DD4"/>
                <w:sz w:val="19"/>
                <w:szCs w:val="19"/>
              </w:rPr>
            </w:pPr>
            <w:r w:rsidRPr="00651AA9">
              <w:rPr>
                <w:sz w:val="19"/>
                <w:szCs w:val="19"/>
              </w:rPr>
              <w:t>Home Performance</w:t>
            </w:r>
          </w:p>
        </w:tc>
        <w:tc>
          <w:tcPr>
            <w:tcW w:w="1182" w:type="dxa"/>
            <w:tcBorders>
              <w:bottom w:val="single" w:sz="4" w:space="0" w:color="448A99"/>
            </w:tcBorders>
            <w:shd w:val="clear" w:color="auto" w:fill="D2EAF1"/>
          </w:tcPr>
          <w:p w:rsidR="00745011" w:rsidRPr="00651AA9" w:rsidRDefault="00745011" w:rsidP="005C1352">
            <w:pPr>
              <w:jc w:val="center"/>
              <w:rPr>
                <w:sz w:val="19"/>
                <w:szCs w:val="19"/>
              </w:rPr>
            </w:pPr>
            <w:r w:rsidRPr="00651AA9">
              <w:rPr>
                <w:sz w:val="19"/>
                <w:szCs w:val="19"/>
              </w:rPr>
              <w:t>0.36</w:t>
            </w:r>
          </w:p>
        </w:tc>
        <w:tc>
          <w:tcPr>
            <w:tcW w:w="1175" w:type="dxa"/>
            <w:tcBorders>
              <w:bottom w:val="single" w:sz="4" w:space="0" w:color="448A99"/>
            </w:tcBorders>
            <w:shd w:val="clear" w:color="auto" w:fill="D2EAF1"/>
          </w:tcPr>
          <w:p w:rsidR="00745011" w:rsidRPr="00651AA9" w:rsidRDefault="00745011" w:rsidP="005C1352">
            <w:pPr>
              <w:jc w:val="center"/>
              <w:rPr>
                <w:sz w:val="19"/>
                <w:szCs w:val="19"/>
              </w:rPr>
            </w:pPr>
            <w:r w:rsidRPr="00651AA9">
              <w:rPr>
                <w:sz w:val="19"/>
                <w:szCs w:val="19"/>
              </w:rPr>
              <w:t>0.06</w:t>
            </w:r>
          </w:p>
        </w:tc>
        <w:tc>
          <w:tcPr>
            <w:tcW w:w="1160" w:type="dxa"/>
            <w:tcBorders>
              <w:bottom w:val="single" w:sz="4" w:space="0" w:color="448A99"/>
            </w:tcBorders>
            <w:shd w:val="clear" w:color="auto" w:fill="D2EAF1"/>
          </w:tcPr>
          <w:p w:rsidR="00745011" w:rsidRPr="00651AA9" w:rsidRDefault="00745011" w:rsidP="005C1352">
            <w:pPr>
              <w:jc w:val="center"/>
              <w:rPr>
                <w:sz w:val="19"/>
                <w:szCs w:val="19"/>
              </w:rPr>
            </w:pPr>
            <w:r w:rsidRPr="00651AA9">
              <w:rPr>
                <w:sz w:val="19"/>
                <w:szCs w:val="19"/>
              </w:rPr>
              <w:t>0.70</w:t>
            </w:r>
          </w:p>
        </w:tc>
        <w:tc>
          <w:tcPr>
            <w:tcW w:w="1196" w:type="dxa"/>
            <w:tcBorders>
              <w:bottom w:val="single" w:sz="4" w:space="0" w:color="448A99"/>
            </w:tcBorders>
            <w:shd w:val="clear" w:color="auto" w:fill="D2EAF1"/>
          </w:tcPr>
          <w:p w:rsidR="00745011" w:rsidRPr="00651AA9" w:rsidRDefault="00745011" w:rsidP="005C1352">
            <w:pPr>
              <w:jc w:val="center"/>
              <w:rPr>
                <w:sz w:val="19"/>
                <w:szCs w:val="19"/>
              </w:rPr>
            </w:pPr>
            <w:r w:rsidRPr="00651AA9">
              <w:rPr>
                <w:sz w:val="19"/>
                <w:szCs w:val="19"/>
              </w:rPr>
              <w:t>N/A</w:t>
            </w:r>
          </w:p>
        </w:tc>
      </w:tr>
      <w:tr w:rsidR="00E7173E" w:rsidRPr="004F3A51" w:rsidTr="0081757B">
        <w:trPr>
          <w:trHeight w:val="346"/>
          <w:jc w:val="center"/>
        </w:trPr>
        <w:tc>
          <w:tcPr>
            <w:tcW w:w="9350" w:type="dxa"/>
            <w:gridSpan w:val="6"/>
            <w:tcBorders>
              <w:bottom w:val="single" w:sz="4" w:space="0" w:color="448A99"/>
            </w:tcBorders>
            <w:shd w:val="clear" w:color="auto" w:fill="448A99"/>
          </w:tcPr>
          <w:p w:rsidR="00745011" w:rsidRPr="004F3A51" w:rsidRDefault="006142E6" w:rsidP="005C1352">
            <w:pPr>
              <w:jc w:val="left"/>
              <w:rPr>
                <w:color w:val="FFFFFF"/>
                <w:sz w:val="18"/>
                <w:szCs w:val="19"/>
              </w:rPr>
            </w:pPr>
            <w:r w:rsidRPr="004F3A51">
              <w:rPr>
                <w:color w:val="FFFFFF"/>
                <w:sz w:val="18"/>
                <w:szCs w:val="19"/>
              </w:rPr>
              <w:t>NOTES:</w:t>
            </w:r>
          </w:p>
          <w:p w:rsidR="00745011" w:rsidRPr="004F3A51" w:rsidRDefault="00745011" w:rsidP="005C1352">
            <w:pPr>
              <w:jc w:val="left"/>
              <w:rPr>
                <w:color w:val="FFFFFF"/>
                <w:sz w:val="18"/>
                <w:szCs w:val="19"/>
              </w:rPr>
            </w:pPr>
            <w:r w:rsidRPr="004F3A51">
              <w:rPr>
                <w:color w:val="FFFFFF"/>
                <w:sz w:val="18"/>
                <w:szCs w:val="19"/>
              </w:rPr>
              <w:t>[a]</w:t>
            </w:r>
            <w:r w:rsidRPr="004F3A51">
              <w:rPr>
                <w:bCs/>
                <w:color w:val="FFFFFF"/>
                <w:sz w:val="18"/>
                <w:szCs w:val="19"/>
              </w:rPr>
              <w:t xml:space="preserve"> </w:t>
            </w:r>
            <w:r w:rsidRPr="004F3A51">
              <w:rPr>
                <w:color w:val="FFFFFF"/>
                <w:sz w:val="18"/>
                <w:szCs w:val="19"/>
              </w:rPr>
              <w:t xml:space="preserve">NTGR = 1 – free-ridership + spillover. In some cases, the NTGR shown in the table may not equal exactly 1 – </w:t>
            </w:r>
            <w:r w:rsidRPr="004F3A51">
              <w:rPr>
                <w:rFonts w:eastAsia="Calibri"/>
                <w:color w:val="FFFFFF"/>
                <w:sz w:val="18"/>
                <w:szCs w:val="19"/>
              </w:rPr>
              <w:t>free-ridership + spillover</w:t>
            </w:r>
            <w:r w:rsidRPr="004F3A51">
              <w:rPr>
                <w:color w:val="FFFFFF"/>
                <w:sz w:val="18"/>
                <w:szCs w:val="19"/>
              </w:rPr>
              <w:t xml:space="preserve"> because of rounding.</w:t>
            </w:r>
          </w:p>
          <w:p w:rsidR="00745011" w:rsidRPr="004F3A51" w:rsidRDefault="00745011" w:rsidP="005C1352">
            <w:pPr>
              <w:jc w:val="left"/>
              <w:rPr>
                <w:color w:val="FFFFFF"/>
                <w:sz w:val="18"/>
                <w:szCs w:val="19"/>
              </w:rPr>
            </w:pPr>
            <w:r w:rsidRPr="004F3A51">
              <w:rPr>
                <w:color w:val="FFFFFF"/>
                <w:sz w:val="18"/>
                <w:szCs w:val="19"/>
              </w:rPr>
              <w:t>[b]</w:t>
            </w:r>
            <w:r w:rsidRPr="004F3A51">
              <w:rPr>
                <w:bCs/>
                <w:color w:val="FFFFFF"/>
                <w:sz w:val="18"/>
                <w:szCs w:val="19"/>
              </w:rPr>
              <w:t xml:space="preserve"> </w:t>
            </w:r>
            <w:r w:rsidRPr="004F3A51">
              <w:rPr>
                <w:color w:val="FFFFFF"/>
                <w:sz w:val="18"/>
                <w:szCs w:val="19"/>
              </w:rPr>
              <w:t xml:space="preserve">All sample sizes are for the downstream NTG research using the common method. All provided at least 85/15 confidence/precision. </w:t>
            </w:r>
            <w:r w:rsidRPr="004F3A51" w:rsidDel="00A436B6">
              <w:rPr>
                <w:color w:val="FFFFFF"/>
                <w:sz w:val="18"/>
                <w:szCs w:val="19"/>
              </w:rPr>
              <w:t xml:space="preserve"> </w:t>
            </w:r>
          </w:p>
          <w:p w:rsidR="00745011" w:rsidRPr="004F3A51" w:rsidRDefault="00745011" w:rsidP="005C1352">
            <w:pPr>
              <w:jc w:val="left"/>
              <w:rPr>
                <w:color w:val="FFFFFF"/>
                <w:sz w:val="18"/>
                <w:szCs w:val="19"/>
              </w:rPr>
            </w:pPr>
            <w:r w:rsidRPr="004F3A51">
              <w:rPr>
                <w:color w:val="FFFFFF"/>
                <w:sz w:val="18"/>
                <w:szCs w:val="19"/>
              </w:rPr>
              <w:t>[c]</w:t>
            </w:r>
            <w:r w:rsidRPr="004F3A51">
              <w:rPr>
                <w:bCs/>
                <w:color w:val="FFFFFF"/>
                <w:sz w:val="18"/>
                <w:szCs w:val="19"/>
              </w:rPr>
              <w:t xml:space="preserve"> </w:t>
            </w:r>
            <w:r w:rsidRPr="004F3A51">
              <w:rPr>
                <w:color w:val="FFFFFF"/>
                <w:sz w:val="18"/>
                <w:szCs w:val="19"/>
              </w:rPr>
              <w:t>ADM/Tetra Tech misprinted the program-level FR value in the PY7 annual report. The value reported in this table is the actual FR value.</w:t>
            </w:r>
          </w:p>
        </w:tc>
      </w:tr>
    </w:tbl>
    <w:p w:rsidR="00745011" w:rsidRPr="006C05B5" w:rsidRDefault="00745011" w:rsidP="00745011">
      <w:pPr>
        <w:rPr>
          <w:sz w:val="20"/>
          <w:szCs w:val="20"/>
        </w:rPr>
      </w:pPr>
    </w:p>
    <w:p w:rsidR="00745011" w:rsidRPr="006C05B5" w:rsidRDefault="00745011" w:rsidP="0055598C">
      <w:pPr>
        <w:pStyle w:val="AppendixAHeading4"/>
      </w:pPr>
      <w:r w:rsidRPr="006C05B5">
        <w:t>Low-Income Residential Programs</w:t>
      </w:r>
    </w:p>
    <w:p w:rsidR="00EE5015" w:rsidRDefault="00745011" w:rsidP="00745011">
      <w:r w:rsidRPr="006C05B5">
        <w:t xml:space="preserve">ADM/Tetra Tech reported NTG for all three low-income program components: Direct Install, LILU (Low Income, Low Use Program) Kits, and Giveaway events. ADM/Tetra Tech estimated program-level free-ridership, spillover, and NTGR by weighting program-component NTG values by Phase II gross lifetime MWh. However, they erroneously reported using Phase III savings (ADM/Tetra Tech confirmed via email that they used Phase II savings). ADM/Tetra Tech used primary data collection and analysis to estimate NTG for the Direct Install component. They reported using the SWE Team’s common method to estimate NTG for Direct Install; however, they did not describe their use of the method in detail. Since LILU was not active in PY7 and ADM/Tetra Tech lacked Giveaway participant contact information, ADM/Tetra Tech applied the NTG values from the Home Performance Program’s Home Energy Audit kits as a proxy estimate for both LILU kits and Giveaway events. </w:t>
      </w:r>
    </w:p>
    <w:p w:rsidR="00EE5015" w:rsidRDefault="00EE5015" w:rsidP="00745011"/>
    <w:p w:rsidR="00745011" w:rsidRPr="006C05B5" w:rsidRDefault="00EE5015" w:rsidP="00745011">
      <w:r w:rsidRPr="006A1D1D">
        <w:t>While the SWE Team believes that this approach, of using inactive program components that achieved no savings in PY7, would unnecessarily penalize the EDC in a situation where net savings are counted, this is not the case here. Therefore, the SWE Team has no problem with the application of this proxy for the Giveaway stratum.</w:t>
      </w:r>
      <w:r w:rsidR="00745011" w:rsidRPr="006C05B5">
        <w:t xml:space="preserve"> </w:t>
      </w:r>
    </w:p>
    <w:p w:rsidR="00745011" w:rsidRPr="006C05B5" w:rsidRDefault="00745011" w:rsidP="00745011"/>
    <w:p w:rsidR="00745011" w:rsidRPr="006C05B5" w:rsidRDefault="00745011" w:rsidP="00745011">
      <w:r>
        <w:fldChar w:fldCharType="begin"/>
      </w:r>
      <w:r>
        <w:instrText xml:space="preserve"> REF _Ref472451636 \h </w:instrText>
      </w:r>
      <w:r>
        <w:fldChar w:fldCharType="separate"/>
      </w:r>
      <w:r w:rsidR="00037CB4" w:rsidRPr="00745011">
        <w:t>Table A-</w:t>
      </w:r>
      <w:r w:rsidR="00037CB4">
        <w:rPr>
          <w:noProof/>
        </w:rPr>
        <w:t>47</w:t>
      </w:r>
      <w:r>
        <w:fldChar w:fldCharType="end"/>
      </w:r>
      <w:r w:rsidRPr="006C05B5">
        <w:t xml:space="preserve"> summarizes the SWE Team’s review of Met-Ed’s low-income NTG methodology. </w:t>
      </w:r>
    </w:p>
    <w:p w:rsidR="00745011" w:rsidRPr="006C05B5" w:rsidRDefault="00745011" w:rsidP="00745011"/>
    <w:p w:rsidR="00745011" w:rsidRPr="00745011" w:rsidRDefault="00745011" w:rsidP="004837FA">
      <w:pPr>
        <w:pStyle w:val="Caption"/>
      </w:pPr>
      <w:bookmarkStart w:id="778" w:name="_Ref472451636"/>
      <w:bookmarkStart w:id="779" w:name="_Toc472472456"/>
      <w:bookmarkStart w:id="780" w:name="_Toc488741875"/>
      <w:r w:rsidRPr="00745011">
        <w:t>Table A-</w:t>
      </w:r>
      <w:r w:rsidR="007973A4">
        <w:fldChar w:fldCharType="begin"/>
      </w:r>
      <w:r w:rsidR="007973A4">
        <w:instrText xml:space="preserve"> SEQ Table_A- \* ARABIC </w:instrText>
      </w:r>
      <w:r w:rsidR="007973A4">
        <w:fldChar w:fldCharType="separate"/>
      </w:r>
      <w:r w:rsidR="00037CB4">
        <w:rPr>
          <w:noProof/>
        </w:rPr>
        <w:t>47</w:t>
      </w:r>
      <w:r w:rsidR="007973A4">
        <w:rPr>
          <w:noProof/>
        </w:rPr>
        <w:fldChar w:fldCharType="end"/>
      </w:r>
      <w:bookmarkEnd w:id="778"/>
      <w:r w:rsidRPr="00745011">
        <w:t>: Summary of NTG Audit of Met-Ed’s Low-Income Program</w:t>
      </w:r>
      <w:bookmarkEnd w:id="779"/>
      <w:bookmarkEnd w:id="780"/>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245"/>
        <w:gridCol w:w="1980"/>
        <w:gridCol w:w="5130"/>
      </w:tblGrid>
      <w:tr w:rsidR="00E7173E" w:rsidRPr="00651AA9" w:rsidTr="0081757B">
        <w:trPr>
          <w:tblHeader/>
        </w:trPr>
        <w:tc>
          <w:tcPr>
            <w:tcW w:w="2245" w:type="dxa"/>
            <w:shd w:val="clear" w:color="auto" w:fill="448A99"/>
          </w:tcPr>
          <w:p w:rsidR="00745011" w:rsidRPr="00651AA9" w:rsidRDefault="00745011" w:rsidP="005C1352">
            <w:pPr>
              <w:rPr>
                <w:b/>
                <w:color w:val="FFFFFF"/>
                <w:sz w:val="19"/>
                <w:szCs w:val="19"/>
              </w:rPr>
            </w:pPr>
            <w:r w:rsidRPr="00651AA9">
              <w:rPr>
                <w:b/>
                <w:color w:val="FFFFFF"/>
                <w:sz w:val="19"/>
                <w:szCs w:val="19"/>
              </w:rPr>
              <w:t>Program</w:t>
            </w:r>
          </w:p>
        </w:tc>
        <w:tc>
          <w:tcPr>
            <w:tcW w:w="1980" w:type="dxa"/>
            <w:shd w:val="clear" w:color="auto" w:fill="448A99"/>
          </w:tcPr>
          <w:p w:rsidR="00745011" w:rsidRPr="00651AA9" w:rsidRDefault="00745011" w:rsidP="005C1352">
            <w:pPr>
              <w:jc w:val="center"/>
              <w:rPr>
                <w:b/>
                <w:color w:val="FFFFFF"/>
                <w:sz w:val="19"/>
                <w:szCs w:val="19"/>
              </w:rPr>
            </w:pPr>
            <w:r w:rsidRPr="00651AA9">
              <w:rPr>
                <w:b/>
                <w:color w:val="FFFFFF"/>
                <w:sz w:val="19"/>
                <w:szCs w:val="19"/>
              </w:rPr>
              <w:t>NTG Method</w:t>
            </w:r>
          </w:p>
        </w:tc>
        <w:tc>
          <w:tcPr>
            <w:tcW w:w="5130" w:type="dxa"/>
            <w:shd w:val="clear" w:color="auto" w:fill="448A99"/>
          </w:tcPr>
          <w:p w:rsidR="00745011" w:rsidRPr="00651AA9" w:rsidRDefault="00745011" w:rsidP="005C1352">
            <w:pPr>
              <w:jc w:val="center"/>
              <w:rPr>
                <w:b/>
                <w:color w:val="FFFFFF"/>
                <w:sz w:val="19"/>
                <w:szCs w:val="19"/>
              </w:rPr>
            </w:pPr>
            <w:r w:rsidRPr="00651AA9">
              <w:rPr>
                <w:b/>
                <w:color w:val="FFFFFF"/>
                <w:sz w:val="19"/>
                <w:szCs w:val="19"/>
              </w:rPr>
              <w:t>Review Comments</w:t>
            </w:r>
          </w:p>
        </w:tc>
      </w:tr>
      <w:tr w:rsidR="00745011" w:rsidRPr="00651AA9" w:rsidTr="00651AA9">
        <w:tc>
          <w:tcPr>
            <w:tcW w:w="2245" w:type="dxa"/>
            <w:shd w:val="clear" w:color="auto" w:fill="D2EAF1"/>
          </w:tcPr>
          <w:p w:rsidR="00745011" w:rsidRPr="00651AA9" w:rsidRDefault="00745011" w:rsidP="005C1352">
            <w:pPr>
              <w:jc w:val="left"/>
              <w:rPr>
                <w:color w:val="548DD4"/>
                <w:sz w:val="19"/>
                <w:szCs w:val="19"/>
              </w:rPr>
            </w:pPr>
            <w:r w:rsidRPr="00651AA9">
              <w:rPr>
                <w:sz w:val="19"/>
                <w:szCs w:val="19"/>
              </w:rPr>
              <w:t>Residential Low-Income Program</w:t>
            </w:r>
          </w:p>
        </w:tc>
        <w:tc>
          <w:tcPr>
            <w:tcW w:w="1980" w:type="dxa"/>
            <w:shd w:val="clear" w:color="auto" w:fill="D2EAF1"/>
          </w:tcPr>
          <w:p w:rsidR="00745011" w:rsidRPr="00651AA9" w:rsidRDefault="00745011" w:rsidP="005C1352">
            <w:pPr>
              <w:jc w:val="left"/>
              <w:rPr>
                <w:rFonts w:ascii="Cambria" w:hAnsi="Cambria"/>
                <w:color w:val="548DD4"/>
                <w:sz w:val="19"/>
                <w:szCs w:val="19"/>
              </w:rPr>
            </w:pPr>
            <w:r w:rsidRPr="00651AA9">
              <w:rPr>
                <w:sz w:val="19"/>
                <w:szCs w:val="19"/>
              </w:rPr>
              <w:t>The common method was used for Direct Install. The NTGR from the Home Performance Program’s Home Energy Audit kits was applied as a proxy estimate for LILU and Giveaways.</w:t>
            </w:r>
          </w:p>
        </w:tc>
        <w:tc>
          <w:tcPr>
            <w:tcW w:w="5130" w:type="dxa"/>
            <w:shd w:val="clear" w:color="auto" w:fill="D2EAF1"/>
          </w:tcPr>
          <w:p w:rsidR="00745011" w:rsidRPr="00651AA9" w:rsidRDefault="00745011" w:rsidP="005C1352">
            <w:pPr>
              <w:jc w:val="left"/>
              <w:rPr>
                <w:rFonts w:ascii="Cambria" w:hAnsi="Cambria"/>
                <w:color w:val="404040"/>
                <w:sz w:val="19"/>
                <w:szCs w:val="19"/>
              </w:rPr>
            </w:pPr>
            <w:r w:rsidRPr="00651AA9">
              <w:rPr>
                <w:sz w:val="19"/>
                <w:szCs w:val="19"/>
              </w:rPr>
              <w:t>The description of the Direct Install NTGR method lacked detail. The SWE Team approves of ADM/Tetra Tech’s proxy estimate approach for Giveaways but does not agree with the proxy application for LILU, as it was inactive in PY7.</w:t>
            </w:r>
          </w:p>
        </w:tc>
      </w:tr>
    </w:tbl>
    <w:p w:rsidR="00651AA9" w:rsidRPr="006C05B5" w:rsidRDefault="00745011" w:rsidP="00745011">
      <w:r>
        <w:fldChar w:fldCharType="begin"/>
      </w:r>
      <w:r>
        <w:instrText xml:space="preserve"> REF _Ref472451677 \h </w:instrText>
      </w:r>
      <w:r>
        <w:fldChar w:fldCharType="separate"/>
      </w:r>
    </w:p>
    <w:p w:rsidR="00745011" w:rsidRPr="006C05B5" w:rsidRDefault="00651AA9" w:rsidP="00745011">
      <w:r w:rsidRPr="00745011">
        <w:t>Table A-</w:t>
      </w:r>
      <w:r>
        <w:rPr>
          <w:noProof/>
        </w:rPr>
        <w:t>48</w:t>
      </w:r>
      <w:r w:rsidR="00745011">
        <w:fldChar w:fldCharType="end"/>
      </w:r>
      <w:r w:rsidR="00745011" w:rsidRPr="006C05B5">
        <w:t xml:space="preserve"> shows the NTG estimates reported in Met-Ed PY7 the annual report. </w:t>
      </w:r>
    </w:p>
    <w:p w:rsidR="00FF65FC" w:rsidRPr="006C05B5" w:rsidRDefault="00FF65FC" w:rsidP="00745011">
      <w:bookmarkStart w:id="781" w:name="_Ref472451677"/>
      <w:bookmarkStart w:id="782" w:name="_Toc472472457"/>
    </w:p>
    <w:p w:rsidR="00745011" w:rsidRPr="00745011" w:rsidRDefault="00745011" w:rsidP="004837FA">
      <w:pPr>
        <w:pStyle w:val="Caption"/>
      </w:pPr>
      <w:bookmarkStart w:id="783" w:name="_Toc488741876"/>
      <w:r w:rsidRPr="00745011">
        <w:t>Table A-</w:t>
      </w:r>
      <w:r w:rsidR="007973A4">
        <w:fldChar w:fldCharType="begin"/>
      </w:r>
      <w:r w:rsidR="007973A4">
        <w:instrText xml:space="preserve"> SEQ Table_A- \* ARABIC </w:instrText>
      </w:r>
      <w:r w:rsidR="007973A4">
        <w:fldChar w:fldCharType="separate"/>
      </w:r>
      <w:r w:rsidR="00037CB4">
        <w:rPr>
          <w:noProof/>
        </w:rPr>
        <w:t>48</w:t>
      </w:r>
      <w:r w:rsidR="007973A4">
        <w:rPr>
          <w:noProof/>
        </w:rPr>
        <w:fldChar w:fldCharType="end"/>
      </w:r>
      <w:bookmarkEnd w:id="781"/>
      <w:r w:rsidRPr="00745011">
        <w:t>: Summary of NTG Estimates for Met-Ed’s Low-Income Program</w:t>
      </w:r>
      <w:bookmarkEnd w:id="782"/>
      <w:bookmarkEnd w:id="783"/>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3"/>
        <w:gridCol w:w="3492"/>
        <w:gridCol w:w="1183"/>
        <w:gridCol w:w="1181"/>
        <w:gridCol w:w="1173"/>
        <w:gridCol w:w="1178"/>
      </w:tblGrid>
      <w:tr w:rsidR="00A874AC" w:rsidRPr="00651AA9" w:rsidTr="005C1352">
        <w:trPr>
          <w:jc w:val="center"/>
        </w:trPr>
        <w:tc>
          <w:tcPr>
            <w:tcW w:w="1143" w:type="dxa"/>
            <w:tcBorders>
              <w:bottom w:val="single" w:sz="4" w:space="0" w:color="448A99"/>
            </w:tcBorders>
            <w:shd w:val="clear" w:color="auto" w:fill="448A99"/>
            <w:vAlign w:val="bottom"/>
          </w:tcPr>
          <w:p w:rsidR="00745011" w:rsidRPr="00651AA9" w:rsidRDefault="00745011" w:rsidP="005C1352">
            <w:pPr>
              <w:rPr>
                <w:b/>
                <w:color w:val="FFFFFF"/>
                <w:sz w:val="19"/>
                <w:szCs w:val="19"/>
              </w:rPr>
            </w:pPr>
            <w:r w:rsidRPr="00651AA9">
              <w:rPr>
                <w:b/>
                <w:color w:val="FFFFFF"/>
                <w:sz w:val="19"/>
                <w:szCs w:val="19"/>
              </w:rPr>
              <w:t>Approach</w:t>
            </w:r>
          </w:p>
        </w:tc>
        <w:tc>
          <w:tcPr>
            <w:tcW w:w="3492" w:type="dxa"/>
            <w:tcBorders>
              <w:bottom w:val="single" w:sz="4" w:space="0" w:color="448A99"/>
            </w:tcBorders>
            <w:shd w:val="clear" w:color="auto" w:fill="448A99"/>
            <w:vAlign w:val="bottom"/>
          </w:tcPr>
          <w:p w:rsidR="00745011" w:rsidRPr="00651AA9" w:rsidRDefault="00745011" w:rsidP="006843B2">
            <w:pPr>
              <w:jc w:val="center"/>
              <w:rPr>
                <w:b/>
                <w:color w:val="FFFFFF"/>
                <w:sz w:val="19"/>
                <w:szCs w:val="19"/>
              </w:rPr>
            </w:pPr>
            <w:r w:rsidRPr="00651AA9">
              <w:rPr>
                <w:b/>
                <w:color w:val="FFFFFF"/>
                <w:sz w:val="19"/>
                <w:szCs w:val="19"/>
              </w:rPr>
              <w:t>Program</w:t>
            </w:r>
          </w:p>
        </w:tc>
        <w:tc>
          <w:tcPr>
            <w:tcW w:w="1183" w:type="dxa"/>
            <w:tcBorders>
              <w:bottom w:val="single" w:sz="4" w:space="0" w:color="448A99"/>
            </w:tcBorders>
            <w:shd w:val="clear" w:color="auto" w:fill="448A99"/>
            <w:vAlign w:val="bottom"/>
          </w:tcPr>
          <w:p w:rsidR="00745011" w:rsidRPr="00651AA9" w:rsidRDefault="00745011" w:rsidP="006843B2">
            <w:pPr>
              <w:jc w:val="center"/>
              <w:rPr>
                <w:b/>
                <w:color w:val="FFFFFF"/>
                <w:sz w:val="19"/>
                <w:szCs w:val="19"/>
              </w:rPr>
            </w:pPr>
            <w:r w:rsidRPr="00651AA9">
              <w:rPr>
                <w:b/>
                <w:color w:val="FFFFFF"/>
                <w:sz w:val="19"/>
                <w:szCs w:val="19"/>
              </w:rPr>
              <w:t>Free-Ridership</w:t>
            </w:r>
          </w:p>
        </w:tc>
        <w:tc>
          <w:tcPr>
            <w:tcW w:w="1181" w:type="dxa"/>
            <w:tcBorders>
              <w:bottom w:val="single" w:sz="4" w:space="0" w:color="448A99"/>
            </w:tcBorders>
            <w:shd w:val="clear" w:color="auto" w:fill="448A99"/>
            <w:vAlign w:val="bottom"/>
          </w:tcPr>
          <w:p w:rsidR="00745011" w:rsidRPr="00651AA9" w:rsidRDefault="00745011" w:rsidP="006843B2">
            <w:pPr>
              <w:jc w:val="center"/>
              <w:rPr>
                <w:b/>
                <w:color w:val="FFFFFF"/>
                <w:sz w:val="19"/>
                <w:szCs w:val="19"/>
              </w:rPr>
            </w:pPr>
            <w:r w:rsidRPr="00651AA9">
              <w:rPr>
                <w:b/>
                <w:color w:val="FFFFFF"/>
                <w:sz w:val="19"/>
                <w:szCs w:val="19"/>
              </w:rPr>
              <w:t>Spillover</w:t>
            </w:r>
          </w:p>
        </w:tc>
        <w:tc>
          <w:tcPr>
            <w:tcW w:w="1173" w:type="dxa"/>
            <w:tcBorders>
              <w:bottom w:val="single" w:sz="4" w:space="0" w:color="448A99"/>
            </w:tcBorders>
            <w:shd w:val="clear" w:color="auto" w:fill="448A99"/>
            <w:vAlign w:val="bottom"/>
          </w:tcPr>
          <w:p w:rsidR="00745011" w:rsidRPr="00651AA9" w:rsidRDefault="00745011" w:rsidP="006843B2">
            <w:pPr>
              <w:jc w:val="center"/>
              <w:rPr>
                <w:b/>
                <w:color w:val="FFFFFF"/>
                <w:sz w:val="19"/>
                <w:szCs w:val="19"/>
              </w:rPr>
            </w:pPr>
            <w:r w:rsidRPr="00651AA9">
              <w:rPr>
                <w:b/>
                <w:color w:val="FFFFFF"/>
                <w:sz w:val="19"/>
                <w:szCs w:val="19"/>
              </w:rPr>
              <w:t>NTGR</w:t>
            </w:r>
          </w:p>
        </w:tc>
        <w:tc>
          <w:tcPr>
            <w:tcW w:w="1178" w:type="dxa"/>
            <w:tcBorders>
              <w:bottom w:val="single" w:sz="4" w:space="0" w:color="448A99"/>
            </w:tcBorders>
            <w:shd w:val="clear" w:color="auto" w:fill="448A99"/>
            <w:vAlign w:val="bottom"/>
          </w:tcPr>
          <w:p w:rsidR="00745011" w:rsidRPr="00651AA9" w:rsidRDefault="00745011" w:rsidP="006843B2">
            <w:pPr>
              <w:jc w:val="center"/>
              <w:rPr>
                <w:b/>
                <w:color w:val="FFFFFF"/>
                <w:sz w:val="19"/>
                <w:szCs w:val="19"/>
              </w:rPr>
            </w:pPr>
            <w:r w:rsidRPr="00651AA9">
              <w:rPr>
                <w:b/>
                <w:color w:val="FFFFFF"/>
                <w:sz w:val="19"/>
                <w:szCs w:val="19"/>
              </w:rPr>
              <w:t>Sample Size</w:t>
            </w:r>
            <w:r w:rsidRPr="00651AA9">
              <w:rPr>
                <w:b/>
                <w:color w:val="FFFFFF"/>
                <w:sz w:val="19"/>
                <w:szCs w:val="19"/>
                <w:vertAlign w:val="superscript"/>
              </w:rPr>
              <w:t>[a]</w:t>
            </w:r>
          </w:p>
        </w:tc>
      </w:tr>
      <w:tr w:rsidR="00A874AC" w:rsidRPr="00651AA9" w:rsidTr="006843B2">
        <w:trPr>
          <w:trHeight w:val="432"/>
          <w:jc w:val="center"/>
        </w:trPr>
        <w:tc>
          <w:tcPr>
            <w:tcW w:w="1143" w:type="dxa"/>
            <w:shd w:val="clear" w:color="auto" w:fill="D2EAF1"/>
          </w:tcPr>
          <w:p w:rsidR="00745011" w:rsidRPr="00651AA9" w:rsidRDefault="00745011" w:rsidP="005C1352">
            <w:pPr>
              <w:rPr>
                <w:sz w:val="19"/>
                <w:szCs w:val="19"/>
              </w:rPr>
            </w:pPr>
            <w:r w:rsidRPr="00651AA9">
              <w:rPr>
                <w:sz w:val="19"/>
                <w:szCs w:val="19"/>
              </w:rPr>
              <w:t>Estimated</w:t>
            </w:r>
          </w:p>
        </w:tc>
        <w:tc>
          <w:tcPr>
            <w:tcW w:w="3492" w:type="dxa"/>
            <w:shd w:val="clear" w:color="auto" w:fill="D2EAF1"/>
          </w:tcPr>
          <w:p w:rsidR="00745011" w:rsidRPr="00651AA9" w:rsidRDefault="00745011" w:rsidP="006843B2">
            <w:pPr>
              <w:jc w:val="center"/>
              <w:rPr>
                <w:sz w:val="19"/>
                <w:szCs w:val="19"/>
              </w:rPr>
            </w:pPr>
            <w:r w:rsidRPr="00651AA9">
              <w:rPr>
                <w:sz w:val="19"/>
                <w:szCs w:val="19"/>
              </w:rPr>
              <w:t>Residential Low-Income Program</w:t>
            </w:r>
          </w:p>
        </w:tc>
        <w:tc>
          <w:tcPr>
            <w:tcW w:w="1183" w:type="dxa"/>
            <w:shd w:val="clear" w:color="auto" w:fill="D2EAF1"/>
          </w:tcPr>
          <w:p w:rsidR="00745011" w:rsidRPr="00651AA9" w:rsidRDefault="00745011" w:rsidP="006843B2">
            <w:pPr>
              <w:jc w:val="center"/>
              <w:rPr>
                <w:sz w:val="19"/>
                <w:szCs w:val="19"/>
              </w:rPr>
            </w:pPr>
            <w:r w:rsidRPr="00651AA9">
              <w:rPr>
                <w:sz w:val="19"/>
                <w:szCs w:val="19"/>
              </w:rPr>
              <w:t>0.33</w:t>
            </w:r>
          </w:p>
        </w:tc>
        <w:tc>
          <w:tcPr>
            <w:tcW w:w="1181" w:type="dxa"/>
            <w:shd w:val="clear" w:color="auto" w:fill="D2EAF1"/>
          </w:tcPr>
          <w:p w:rsidR="00745011" w:rsidRPr="00651AA9" w:rsidRDefault="00745011" w:rsidP="006843B2">
            <w:pPr>
              <w:jc w:val="center"/>
              <w:rPr>
                <w:sz w:val="19"/>
                <w:szCs w:val="19"/>
              </w:rPr>
            </w:pPr>
            <w:r w:rsidRPr="00651AA9">
              <w:rPr>
                <w:sz w:val="19"/>
                <w:szCs w:val="19"/>
              </w:rPr>
              <w:t>0.16</w:t>
            </w:r>
          </w:p>
        </w:tc>
        <w:tc>
          <w:tcPr>
            <w:tcW w:w="1173" w:type="dxa"/>
            <w:shd w:val="clear" w:color="auto" w:fill="D2EAF1"/>
          </w:tcPr>
          <w:p w:rsidR="00745011" w:rsidRPr="00651AA9" w:rsidRDefault="00745011" w:rsidP="006843B2">
            <w:pPr>
              <w:jc w:val="center"/>
              <w:rPr>
                <w:sz w:val="19"/>
                <w:szCs w:val="19"/>
              </w:rPr>
            </w:pPr>
            <w:r w:rsidRPr="00651AA9">
              <w:rPr>
                <w:sz w:val="19"/>
                <w:szCs w:val="19"/>
              </w:rPr>
              <w:t>0.83</w:t>
            </w:r>
          </w:p>
        </w:tc>
        <w:tc>
          <w:tcPr>
            <w:tcW w:w="1178" w:type="dxa"/>
            <w:shd w:val="clear" w:color="auto" w:fill="D2EAF1"/>
          </w:tcPr>
          <w:p w:rsidR="00745011" w:rsidRPr="00651AA9" w:rsidRDefault="00745011" w:rsidP="006843B2">
            <w:pPr>
              <w:jc w:val="center"/>
              <w:rPr>
                <w:sz w:val="19"/>
                <w:szCs w:val="19"/>
              </w:rPr>
            </w:pPr>
            <w:r w:rsidRPr="00651AA9">
              <w:rPr>
                <w:sz w:val="19"/>
                <w:szCs w:val="19"/>
              </w:rPr>
              <w:t>43</w:t>
            </w:r>
          </w:p>
        </w:tc>
      </w:tr>
      <w:tr w:rsidR="00E7173E" w:rsidRPr="004F3A51" w:rsidTr="0081757B">
        <w:trPr>
          <w:trHeight w:val="346"/>
          <w:jc w:val="center"/>
        </w:trPr>
        <w:tc>
          <w:tcPr>
            <w:tcW w:w="9350" w:type="dxa"/>
            <w:gridSpan w:val="6"/>
            <w:tcBorders>
              <w:bottom w:val="single" w:sz="4" w:space="0" w:color="448A99"/>
            </w:tcBorders>
            <w:shd w:val="clear" w:color="auto" w:fill="448A99"/>
          </w:tcPr>
          <w:p w:rsidR="00745011" w:rsidRPr="004F3A51" w:rsidRDefault="00745011" w:rsidP="006843B2">
            <w:pPr>
              <w:jc w:val="left"/>
              <w:rPr>
                <w:color w:val="FFFFFF"/>
                <w:sz w:val="18"/>
                <w:szCs w:val="19"/>
              </w:rPr>
            </w:pPr>
            <w:r w:rsidRPr="004F3A51">
              <w:rPr>
                <w:color w:val="FFFFFF"/>
                <w:sz w:val="18"/>
                <w:szCs w:val="19"/>
              </w:rPr>
              <w:t>NOTE</w:t>
            </w:r>
            <w:r w:rsidR="00651AA9" w:rsidRPr="004F3A51">
              <w:rPr>
                <w:color w:val="FFFFFF"/>
                <w:sz w:val="18"/>
                <w:szCs w:val="19"/>
              </w:rPr>
              <w:t>S</w:t>
            </w:r>
            <w:r w:rsidR="00AF2C58" w:rsidRPr="004F3A51">
              <w:rPr>
                <w:color w:val="FFFFFF"/>
                <w:sz w:val="18"/>
                <w:szCs w:val="19"/>
              </w:rPr>
              <w:t>:</w:t>
            </w:r>
          </w:p>
          <w:p w:rsidR="00745011" w:rsidRPr="004F3A51" w:rsidRDefault="00745011" w:rsidP="006843B2">
            <w:pPr>
              <w:jc w:val="left"/>
              <w:rPr>
                <w:color w:val="FFFFFF"/>
                <w:sz w:val="18"/>
                <w:szCs w:val="19"/>
              </w:rPr>
            </w:pPr>
            <w:r w:rsidRPr="004F3A51">
              <w:rPr>
                <w:color w:val="FFFFFF"/>
                <w:sz w:val="18"/>
                <w:szCs w:val="19"/>
              </w:rPr>
              <w:t>[a] The sample provided at least 85/15 confidence/precision.</w:t>
            </w:r>
          </w:p>
        </w:tc>
      </w:tr>
    </w:tbl>
    <w:p w:rsidR="00745011" w:rsidRPr="006C05B5" w:rsidRDefault="00745011" w:rsidP="00745011"/>
    <w:p w:rsidR="00745011" w:rsidRPr="006C05B5" w:rsidRDefault="00745011" w:rsidP="0055598C">
      <w:pPr>
        <w:pStyle w:val="AppendixAHeading4"/>
      </w:pPr>
      <w:r w:rsidRPr="006C05B5">
        <w:t>Non-Residential Programs</w:t>
      </w:r>
    </w:p>
    <w:p w:rsidR="00745011" w:rsidRPr="006C05B5" w:rsidRDefault="00745011" w:rsidP="00745011">
      <w:r w:rsidRPr="006C05B5">
        <w:t xml:space="preserve">ADM/Tetra Tech estimated NTG for five non-residential programs: </w:t>
      </w:r>
      <w:r w:rsidR="00B97C91" w:rsidRPr="006C05B5">
        <w:t>The</w:t>
      </w:r>
      <w:r w:rsidRPr="006C05B5">
        <w:t xml:space="preserve"> Small C/I Equipment Program, Large C/I Equipment Program, Small C/I Buildings Program, Large C/I Buildings Program, and Government and Institutional Program. ADM/Tetra Tech noted that, because of the small number of participants in the Government and Institutional Program, the report shows NTG statistics combined across the four FirstEnergy EDCs. While ADM/Tetra Tech used primary data collection to estimate NTG for both C/I Buildings programs, it used PY6 NTG results to estimate PY7 NTG for the other three non-residential programs. ADM/Tetra Tech reported using the SWE Team’s common method for NTG estimation for all five programs, but did not explain their use of the method in detail. ADM/Tetra Tech did not describe the NTG methods in detail in the PY7 annual report, but it did cite the relevant SWE memoranda. ADM/Tetra Tech provided Excel workbooks with the raw data from their NTG research and the SPSS syntax files used to calculate the NTGRs from the raw data. A review of selected workbooks and syntax verified that ADM/Tetra Tech used the SWE common method and applied it correctly. However, the Met-Ed PY7 report included a misprinted spillover value, which ADM/Tetra Tech confirmed via email was indeed a typo. Specifically, ADM/Tetra Tech erroneously reported spillover to be 0% for the Small C/I Buildings Program instead of 1%. In its summary tables, the SWE Team reports the accurate spillover value, which explains any discrepancies between the values in this report and the Met-Ed PY7 annual report (note: this typo was not present in any of the other FirstEnergy PY7 annual reports).</w:t>
      </w:r>
    </w:p>
    <w:p w:rsidR="00745011" w:rsidRPr="006C05B5" w:rsidRDefault="00745011" w:rsidP="00745011"/>
    <w:p w:rsidR="00745011" w:rsidRPr="006C05B5" w:rsidRDefault="00745011" w:rsidP="00745011">
      <w:r>
        <w:fldChar w:fldCharType="begin"/>
      </w:r>
      <w:r>
        <w:instrText xml:space="preserve"> REF _Ref472451709 \h </w:instrText>
      </w:r>
      <w:r>
        <w:fldChar w:fldCharType="separate"/>
      </w:r>
      <w:r w:rsidR="00037CB4" w:rsidRPr="00745011">
        <w:t>Table A-</w:t>
      </w:r>
      <w:r w:rsidR="00037CB4">
        <w:rPr>
          <w:noProof/>
        </w:rPr>
        <w:t>49</w:t>
      </w:r>
      <w:r>
        <w:fldChar w:fldCharType="end"/>
      </w:r>
      <w:r w:rsidRPr="006C05B5">
        <w:t xml:space="preserve"> summarizes the SWE Team’s review of Met-Ed’s NTG methodology by program. </w:t>
      </w:r>
    </w:p>
    <w:p w:rsidR="00745011" w:rsidRPr="006C05B5" w:rsidRDefault="00745011" w:rsidP="00745011"/>
    <w:p w:rsidR="00745011" w:rsidRPr="00745011" w:rsidRDefault="00745011" w:rsidP="004837FA">
      <w:pPr>
        <w:pStyle w:val="Caption"/>
      </w:pPr>
      <w:bookmarkStart w:id="784" w:name="_Ref472451709"/>
      <w:bookmarkStart w:id="785" w:name="_Toc444269749"/>
      <w:bookmarkStart w:id="786" w:name="_Toc472472458"/>
      <w:bookmarkStart w:id="787" w:name="_Toc488741877"/>
      <w:r w:rsidRPr="00745011">
        <w:t>Table A-</w:t>
      </w:r>
      <w:r w:rsidR="007973A4">
        <w:fldChar w:fldCharType="begin"/>
      </w:r>
      <w:r w:rsidR="007973A4">
        <w:instrText xml:space="preserve"> SEQ Table_A- \* ARABIC </w:instrText>
      </w:r>
      <w:r w:rsidR="007973A4">
        <w:fldChar w:fldCharType="separate"/>
      </w:r>
      <w:r w:rsidR="00037CB4">
        <w:rPr>
          <w:noProof/>
        </w:rPr>
        <w:t>49</w:t>
      </w:r>
      <w:r w:rsidR="007973A4">
        <w:rPr>
          <w:noProof/>
        </w:rPr>
        <w:fldChar w:fldCharType="end"/>
      </w:r>
      <w:bookmarkEnd w:id="784"/>
      <w:r w:rsidRPr="00745011">
        <w:t>: Summary of NTG Audit of Met-Ed’s Non-Residential Programs</w:t>
      </w:r>
      <w:bookmarkEnd w:id="785"/>
      <w:bookmarkEnd w:id="786"/>
      <w:bookmarkEnd w:id="787"/>
    </w:p>
    <w:tbl>
      <w:tblPr>
        <w:tblW w:w="9427"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245"/>
        <w:gridCol w:w="1980"/>
        <w:gridCol w:w="5202"/>
      </w:tblGrid>
      <w:tr w:rsidR="00E7173E" w:rsidRPr="00651AA9" w:rsidTr="0081757B">
        <w:trPr>
          <w:tblHeader/>
          <w:jc w:val="center"/>
        </w:trPr>
        <w:tc>
          <w:tcPr>
            <w:tcW w:w="2245" w:type="dxa"/>
            <w:shd w:val="clear" w:color="auto" w:fill="448A99"/>
          </w:tcPr>
          <w:p w:rsidR="00745011" w:rsidRPr="00651AA9" w:rsidRDefault="00745011" w:rsidP="005C1352">
            <w:pPr>
              <w:rPr>
                <w:b/>
                <w:color w:val="FFFFFF"/>
                <w:sz w:val="19"/>
                <w:szCs w:val="19"/>
              </w:rPr>
            </w:pPr>
            <w:r w:rsidRPr="00651AA9">
              <w:rPr>
                <w:b/>
                <w:color w:val="FFFFFF"/>
                <w:sz w:val="19"/>
                <w:szCs w:val="19"/>
              </w:rPr>
              <w:t>Program</w:t>
            </w:r>
          </w:p>
        </w:tc>
        <w:tc>
          <w:tcPr>
            <w:tcW w:w="1980" w:type="dxa"/>
            <w:shd w:val="clear" w:color="auto" w:fill="448A99"/>
          </w:tcPr>
          <w:p w:rsidR="00745011" w:rsidRPr="00651AA9" w:rsidRDefault="00745011" w:rsidP="005C1352">
            <w:pPr>
              <w:jc w:val="center"/>
              <w:rPr>
                <w:b/>
                <w:color w:val="FFFFFF"/>
                <w:sz w:val="19"/>
                <w:szCs w:val="19"/>
              </w:rPr>
            </w:pPr>
            <w:r w:rsidRPr="00651AA9">
              <w:rPr>
                <w:b/>
                <w:color w:val="FFFFFF"/>
                <w:sz w:val="19"/>
                <w:szCs w:val="19"/>
              </w:rPr>
              <w:t>NTG Method</w:t>
            </w:r>
          </w:p>
        </w:tc>
        <w:tc>
          <w:tcPr>
            <w:tcW w:w="5202" w:type="dxa"/>
            <w:shd w:val="clear" w:color="auto" w:fill="448A99"/>
          </w:tcPr>
          <w:p w:rsidR="00745011" w:rsidRPr="00651AA9" w:rsidRDefault="00745011" w:rsidP="005C1352">
            <w:pPr>
              <w:jc w:val="center"/>
              <w:rPr>
                <w:b/>
                <w:color w:val="FFFFFF"/>
                <w:sz w:val="19"/>
                <w:szCs w:val="19"/>
              </w:rPr>
            </w:pPr>
            <w:r w:rsidRPr="00651AA9">
              <w:rPr>
                <w:b/>
                <w:color w:val="FFFFFF"/>
                <w:sz w:val="19"/>
                <w:szCs w:val="19"/>
              </w:rPr>
              <w:t>Review Comments</w:t>
            </w:r>
          </w:p>
        </w:tc>
      </w:tr>
      <w:tr w:rsidR="00E7173E" w:rsidRPr="00651AA9" w:rsidTr="0081757B">
        <w:trPr>
          <w:jc w:val="center"/>
        </w:trPr>
        <w:tc>
          <w:tcPr>
            <w:tcW w:w="2245" w:type="dxa"/>
            <w:shd w:val="clear" w:color="auto" w:fill="D2EAF1"/>
          </w:tcPr>
          <w:p w:rsidR="00745011" w:rsidRPr="00651AA9" w:rsidRDefault="00745011" w:rsidP="005C1352">
            <w:pPr>
              <w:jc w:val="left"/>
              <w:rPr>
                <w:color w:val="548DD4"/>
                <w:sz w:val="19"/>
                <w:szCs w:val="19"/>
              </w:rPr>
            </w:pPr>
            <w:r w:rsidRPr="00651AA9">
              <w:rPr>
                <w:sz w:val="19"/>
                <w:szCs w:val="19"/>
              </w:rPr>
              <w:t>Small C/I Equipment</w:t>
            </w:r>
          </w:p>
        </w:tc>
        <w:tc>
          <w:tcPr>
            <w:tcW w:w="1980" w:type="dxa"/>
            <w:shd w:val="clear" w:color="auto" w:fill="D2EAF1"/>
          </w:tcPr>
          <w:p w:rsidR="00745011" w:rsidRPr="00651AA9" w:rsidRDefault="00745011" w:rsidP="005C1352">
            <w:pPr>
              <w:jc w:val="left"/>
              <w:rPr>
                <w:rFonts w:ascii="Cambria" w:hAnsi="Cambria"/>
                <w:color w:val="548DD4"/>
                <w:sz w:val="19"/>
                <w:szCs w:val="19"/>
              </w:rPr>
            </w:pPr>
            <w:r w:rsidRPr="00651AA9">
              <w:rPr>
                <w:sz w:val="19"/>
                <w:szCs w:val="19"/>
              </w:rPr>
              <w:t>PY6 (common method-based) strata NTG results were reweighted with Phase II gross lifetime MWh savings.</w:t>
            </w:r>
          </w:p>
        </w:tc>
        <w:tc>
          <w:tcPr>
            <w:tcW w:w="5202" w:type="dxa"/>
            <w:shd w:val="clear" w:color="auto" w:fill="D2EAF1"/>
          </w:tcPr>
          <w:p w:rsidR="00745011" w:rsidRPr="00651AA9" w:rsidRDefault="00745011" w:rsidP="005C1352">
            <w:pPr>
              <w:jc w:val="left"/>
              <w:rPr>
                <w:rFonts w:ascii="Cambria" w:hAnsi="Cambria"/>
                <w:color w:val="548DD4"/>
                <w:sz w:val="19"/>
                <w:szCs w:val="19"/>
              </w:rPr>
            </w:pPr>
            <w:r w:rsidRPr="00651AA9">
              <w:rPr>
                <w:sz w:val="19"/>
                <w:szCs w:val="19"/>
              </w:rPr>
              <w:t xml:space="preserve">The SWE Team agrees with ADM/Tetra Tech’s reweighting approach, as it is methodologically superior to simply reusing PY6 NTG values. </w:t>
            </w:r>
            <w:r w:rsidRPr="00651AA9">
              <w:rPr>
                <w:color w:val="548DD4"/>
                <w:sz w:val="19"/>
                <w:szCs w:val="19"/>
              </w:rPr>
              <w:t xml:space="preserve"> </w:t>
            </w:r>
          </w:p>
        </w:tc>
      </w:tr>
      <w:tr w:rsidR="00EE5015" w:rsidRPr="00651AA9" w:rsidTr="0081757B">
        <w:trPr>
          <w:jc w:val="center"/>
        </w:trPr>
        <w:tc>
          <w:tcPr>
            <w:tcW w:w="2245" w:type="dxa"/>
            <w:shd w:val="clear" w:color="auto" w:fill="auto"/>
          </w:tcPr>
          <w:p w:rsidR="00EE5015" w:rsidRPr="00651AA9" w:rsidRDefault="00EE5015" w:rsidP="00EE5015">
            <w:pPr>
              <w:jc w:val="left"/>
              <w:rPr>
                <w:color w:val="548DD4"/>
                <w:sz w:val="19"/>
                <w:szCs w:val="19"/>
              </w:rPr>
            </w:pPr>
            <w:r w:rsidRPr="00651AA9">
              <w:rPr>
                <w:sz w:val="19"/>
                <w:szCs w:val="19"/>
              </w:rPr>
              <w:t>Large C/I Equipment</w:t>
            </w:r>
          </w:p>
        </w:tc>
        <w:tc>
          <w:tcPr>
            <w:tcW w:w="1980" w:type="dxa"/>
            <w:shd w:val="clear" w:color="auto" w:fill="auto"/>
          </w:tcPr>
          <w:p w:rsidR="00EE5015" w:rsidRPr="00651AA9" w:rsidRDefault="00EE5015" w:rsidP="00EE5015">
            <w:pPr>
              <w:jc w:val="left"/>
              <w:rPr>
                <w:rFonts w:ascii="Cambria" w:hAnsi="Cambria"/>
                <w:color w:val="548DD4"/>
                <w:sz w:val="19"/>
                <w:szCs w:val="19"/>
              </w:rPr>
            </w:pPr>
            <w:r w:rsidRPr="00651AA9">
              <w:rPr>
                <w:sz w:val="19"/>
                <w:szCs w:val="19"/>
              </w:rPr>
              <w:t>PY6 (common method-based) strata NTG results were reweighted with updated strata savings values.</w:t>
            </w:r>
          </w:p>
        </w:tc>
        <w:tc>
          <w:tcPr>
            <w:tcW w:w="5202" w:type="dxa"/>
            <w:shd w:val="clear" w:color="auto" w:fill="auto"/>
          </w:tcPr>
          <w:p w:rsidR="00EE5015" w:rsidRPr="00651AA9" w:rsidRDefault="00EE5015" w:rsidP="00EE5015">
            <w:pPr>
              <w:jc w:val="left"/>
              <w:rPr>
                <w:rFonts w:ascii="Cambria" w:hAnsi="Cambria"/>
                <w:color w:val="548DD4"/>
                <w:sz w:val="19"/>
                <w:szCs w:val="19"/>
              </w:rPr>
            </w:pPr>
            <w:r w:rsidRPr="00651AA9">
              <w:rPr>
                <w:sz w:val="19"/>
                <w:szCs w:val="19"/>
              </w:rPr>
              <w:t>Same comments as for Small C/I Equipment.</w:t>
            </w:r>
          </w:p>
        </w:tc>
      </w:tr>
      <w:tr w:rsidR="00EE5015" w:rsidRPr="00651AA9" w:rsidTr="0081757B">
        <w:trPr>
          <w:jc w:val="center"/>
        </w:trPr>
        <w:tc>
          <w:tcPr>
            <w:tcW w:w="2245" w:type="dxa"/>
            <w:shd w:val="clear" w:color="auto" w:fill="D2EAF1"/>
          </w:tcPr>
          <w:p w:rsidR="00EE5015" w:rsidRPr="00651AA9" w:rsidRDefault="00EE5015" w:rsidP="00EE5015">
            <w:pPr>
              <w:jc w:val="left"/>
              <w:rPr>
                <w:sz w:val="19"/>
                <w:szCs w:val="19"/>
              </w:rPr>
            </w:pPr>
            <w:r w:rsidRPr="00651AA9">
              <w:rPr>
                <w:sz w:val="19"/>
                <w:szCs w:val="19"/>
              </w:rPr>
              <w:t>Small C/I Buildings</w:t>
            </w:r>
          </w:p>
        </w:tc>
        <w:tc>
          <w:tcPr>
            <w:tcW w:w="1980" w:type="dxa"/>
            <w:shd w:val="clear" w:color="auto" w:fill="D2EAF1"/>
          </w:tcPr>
          <w:p w:rsidR="00EE5015" w:rsidRPr="00651AA9" w:rsidRDefault="00EE5015" w:rsidP="00EE5015">
            <w:pPr>
              <w:jc w:val="left"/>
              <w:rPr>
                <w:sz w:val="19"/>
                <w:szCs w:val="19"/>
              </w:rPr>
            </w:pPr>
            <w:r w:rsidRPr="00651AA9">
              <w:rPr>
                <w:sz w:val="19"/>
                <w:szCs w:val="19"/>
              </w:rPr>
              <w:t>The common method was used.</w:t>
            </w:r>
          </w:p>
        </w:tc>
        <w:tc>
          <w:tcPr>
            <w:tcW w:w="5202" w:type="dxa"/>
            <w:shd w:val="clear" w:color="auto" w:fill="D2EAF1"/>
          </w:tcPr>
          <w:p w:rsidR="00EE5015" w:rsidRPr="00651AA9" w:rsidRDefault="00EE5015" w:rsidP="00EE5015">
            <w:pPr>
              <w:jc w:val="left"/>
              <w:rPr>
                <w:sz w:val="19"/>
                <w:szCs w:val="19"/>
              </w:rPr>
            </w:pPr>
            <w:r w:rsidRPr="00651AA9">
              <w:rPr>
                <w:sz w:val="19"/>
                <w:szCs w:val="19"/>
              </w:rPr>
              <w:t>ADM/Tetra Tech reported using the common method, but did not explain their use of the method in detail. ADM/Tetra Tech erroneously reported SO to be 0% instead of 1%.</w:t>
            </w:r>
          </w:p>
        </w:tc>
      </w:tr>
      <w:tr w:rsidR="00EE5015" w:rsidRPr="00651AA9" w:rsidTr="0081757B">
        <w:trPr>
          <w:jc w:val="center"/>
        </w:trPr>
        <w:tc>
          <w:tcPr>
            <w:tcW w:w="2245" w:type="dxa"/>
            <w:shd w:val="clear" w:color="auto" w:fill="auto"/>
          </w:tcPr>
          <w:p w:rsidR="00EE5015" w:rsidRPr="00651AA9" w:rsidRDefault="00EE5015" w:rsidP="00EE5015">
            <w:pPr>
              <w:jc w:val="left"/>
              <w:rPr>
                <w:sz w:val="19"/>
                <w:szCs w:val="19"/>
              </w:rPr>
            </w:pPr>
            <w:r w:rsidRPr="00651AA9">
              <w:rPr>
                <w:sz w:val="19"/>
                <w:szCs w:val="19"/>
              </w:rPr>
              <w:t>Large C/I Buildings</w:t>
            </w:r>
          </w:p>
        </w:tc>
        <w:tc>
          <w:tcPr>
            <w:tcW w:w="1980" w:type="dxa"/>
            <w:shd w:val="clear" w:color="auto" w:fill="auto"/>
          </w:tcPr>
          <w:p w:rsidR="00EE5015" w:rsidRPr="00651AA9" w:rsidRDefault="00EE5015" w:rsidP="00EE5015">
            <w:pPr>
              <w:jc w:val="left"/>
              <w:rPr>
                <w:sz w:val="19"/>
                <w:szCs w:val="19"/>
              </w:rPr>
            </w:pPr>
            <w:r w:rsidRPr="00651AA9">
              <w:rPr>
                <w:sz w:val="19"/>
                <w:szCs w:val="19"/>
              </w:rPr>
              <w:t>The common method was used.</w:t>
            </w:r>
          </w:p>
        </w:tc>
        <w:tc>
          <w:tcPr>
            <w:tcW w:w="5202" w:type="dxa"/>
            <w:shd w:val="clear" w:color="auto" w:fill="auto"/>
          </w:tcPr>
          <w:p w:rsidR="00EE5015" w:rsidRPr="00651AA9" w:rsidRDefault="00EE5015" w:rsidP="00EE5015">
            <w:pPr>
              <w:jc w:val="left"/>
              <w:rPr>
                <w:i/>
                <w:sz w:val="19"/>
                <w:szCs w:val="19"/>
              </w:rPr>
            </w:pPr>
            <w:r w:rsidRPr="00651AA9">
              <w:rPr>
                <w:sz w:val="19"/>
                <w:szCs w:val="19"/>
              </w:rPr>
              <w:t>ADM/Tetra Tech reported using the common method, but did not explain their use of the method in detail. Due to a small population size, ADM/Tetra Tech did not collect a kit recipient sample</w:t>
            </w:r>
            <w:r w:rsidRPr="00651AA9">
              <w:rPr>
                <w:i/>
                <w:sz w:val="19"/>
                <w:szCs w:val="19"/>
              </w:rPr>
              <w:t xml:space="preserve">, </w:t>
            </w:r>
            <w:r w:rsidRPr="00651AA9">
              <w:rPr>
                <w:sz w:val="19"/>
                <w:szCs w:val="19"/>
              </w:rPr>
              <w:t>and used the Small C/I Buildings kit NTG value as a proxy.</w:t>
            </w:r>
          </w:p>
        </w:tc>
      </w:tr>
      <w:tr w:rsidR="00A874AC" w:rsidRPr="00651AA9" w:rsidTr="0017534C">
        <w:trPr>
          <w:jc w:val="center"/>
        </w:trPr>
        <w:tc>
          <w:tcPr>
            <w:tcW w:w="2245" w:type="dxa"/>
            <w:tcBorders>
              <w:top w:val="single" w:sz="4" w:space="0" w:color="448A99"/>
              <w:left w:val="single" w:sz="4" w:space="0" w:color="448A99"/>
              <w:bottom w:val="single" w:sz="4" w:space="0" w:color="448A99"/>
              <w:right w:val="single" w:sz="4" w:space="0" w:color="448A99"/>
            </w:tcBorders>
            <w:shd w:val="clear" w:color="auto" w:fill="D2EAF1"/>
          </w:tcPr>
          <w:p w:rsidR="00EE5015" w:rsidRPr="00651AA9" w:rsidRDefault="00EE5015" w:rsidP="00EE5015">
            <w:pPr>
              <w:jc w:val="left"/>
              <w:rPr>
                <w:sz w:val="19"/>
                <w:szCs w:val="19"/>
              </w:rPr>
            </w:pPr>
            <w:r w:rsidRPr="00651AA9">
              <w:rPr>
                <w:sz w:val="19"/>
                <w:szCs w:val="19"/>
              </w:rPr>
              <w:t>Government and Institutional</w:t>
            </w:r>
          </w:p>
        </w:tc>
        <w:tc>
          <w:tcPr>
            <w:tcW w:w="1980" w:type="dxa"/>
            <w:tcBorders>
              <w:top w:val="single" w:sz="4" w:space="0" w:color="448A99"/>
              <w:left w:val="single" w:sz="4" w:space="0" w:color="448A99"/>
              <w:bottom w:val="single" w:sz="4" w:space="0" w:color="448A99"/>
              <w:right w:val="single" w:sz="4" w:space="0" w:color="448A99"/>
            </w:tcBorders>
            <w:shd w:val="clear" w:color="auto" w:fill="D2EAF1"/>
          </w:tcPr>
          <w:p w:rsidR="00EE5015" w:rsidRPr="00651AA9" w:rsidRDefault="00EE5015" w:rsidP="00EE5015">
            <w:pPr>
              <w:jc w:val="left"/>
              <w:rPr>
                <w:rFonts w:ascii="Cambria" w:hAnsi="Cambria"/>
                <w:color w:val="404040"/>
                <w:sz w:val="19"/>
                <w:szCs w:val="19"/>
                <w:shd w:val="clear" w:color="auto" w:fill="D9D9D9"/>
              </w:rPr>
            </w:pPr>
            <w:r w:rsidRPr="00651AA9">
              <w:rPr>
                <w:sz w:val="19"/>
                <w:szCs w:val="19"/>
              </w:rPr>
              <w:t>PY6 (common method-based) strata NTG results were reweighted with Phase II gross lifetime MWh savings.</w:t>
            </w:r>
          </w:p>
        </w:tc>
        <w:tc>
          <w:tcPr>
            <w:tcW w:w="5202" w:type="dxa"/>
            <w:tcBorders>
              <w:top w:val="single" w:sz="4" w:space="0" w:color="448A99"/>
              <w:left w:val="single" w:sz="4" w:space="0" w:color="448A99"/>
              <w:bottom w:val="single" w:sz="4" w:space="0" w:color="448A99"/>
              <w:right w:val="single" w:sz="4" w:space="0" w:color="448A99"/>
            </w:tcBorders>
            <w:shd w:val="clear" w:color="auto" w:fill="D2EAF1"/>
          </w:tcPr>
          <w:p w:rsidR="00EE5015" w:rsidRPr="00651AA9" w:rsidRDefault="00EE5015" w:rsidP="00EE5015">
            <w:pPr>
              <w:jc w:val="left"/>
              <w:rPr>
                <w:rFonts w:ascii="Cambria" w:hAnsi="Cambria"/>
                <w:color w:val="404040"/>
                <w:sz w:val="19"/>
                <w:szCs w:val="19"/>
                <w:shd w:val="clear" w:color="auto" w:fill="D9D9D9"/>
              </w:rPr>
            </w:pPr>
            <w:r w:rsidRPr="00651AA9">
              <w:rPr>
                <w:sz w:val="19"/>
                <w:szCs w:val="19"/>
              </w:rPr>
              <w:t>Same comments as for Small C/I Equipment.</w:t>
            </w:r>
          </w:p>
        </w:tc>
      </w:tr>
    </w:tbl>
    <w:p w:rsidR="00745011" w:rsidRPr="006C05B5" w:rsidRDefault="00745011" w:rsidP="00745011"/>
    <w:p w:rsidR="00745011" w:rsidRPr="006C05B5" w:rsidRDefault="00745011" w:rsidP="00745011">
      <w:r>
        <w:fldChar w:fldCharType="begin"/>
      </w:r>
      <w:r>
        <w:instrText xml:space="preserve"> REF _Ref472451741 \h </w:instrText>
      </w:r>
      <w:r>
        <w:fldChar w:fldCharType="separate"/>
      </w:r>
      <w:r w:rsidR="00037CB4" w:rsidRPr="00745011">
        <w:t>Table A-</w:t>
      </w:r>
      <w:r w:rsidR="00037CB4">
        <w:rPr>
          <w:noProof/>
        </w:rPr>
        <w:t>50</w:t>
      </w:r>
      <w:r>
        <w:fldChar w:fldCharType="end"/>
      </w:r>
      <w:r w:rsidRPr="006C05B5">
        <w:t xml:space="preserve"> shows the NTG estimates reported in the Met-Ed PY7 annual report. </w:t>
      </w:r>
    </w:p>
    <w:p w:rsidR="00745011" w:rsidRPr="006C05B5" w:rsidRDefault="00745011" w:rsidP="00745011"/>
    <w:p w:rsidR="00745011" w:rsidRPr="00745011" w:rsidRDefault="00745011" w:rsidP="004837FA">
      <w:pPr>
        <w:pStyle w:val="Caption"/>
      </w:pPr>
      <w:bookmarkStart w:id="788" w:name="_Ref472451741"/>
      <w:bookmarkStart w:id="789" w:name="_Toc444269750"/>
      <w:bookmarkStart w:id="790" w:name="_Toc472472459"/>
      <w:bookmarkStart w:id="791" w:name="_Toc488741878"/>
      <w:r w:rsidRPr="00745011">
        <w:t>Table A-</w:t>
      </w:r>
      <w:r w:rsidR="007973A4">
        <w:fldChar w:fldCharType="begin"/>
      </w:r>
      <w:r w:rsidR="007973A4">
        <w:instrText xml:space="preserve"> SEQ Table_A- \* ARABIC </w:instrText>
      </w:r>
      <w:r w:rsidR="007973A4">
        <w:fldChar w:fldCharType="separate"/>
      </w:r>
      <w:r w:rsidR="00037CB4">
        <w:rPr>
          <w:noProof/>
        </w:rPr>
        <w:t>50</w:t>
      </w:r>
      <w:r w:rsidR="007973A4">
        <w:rPr>
          <w:noProof/>
        </w:rPr>
        <w:fldChar w:fldCharType="end"/>
      </w:r>
      <w:bookmarkEnd w:id="788"/>
      <w:r w:rsidRPr="00745011">
        <w:t>: Summary of NTG Estimates for Met-Ed’s Non-Residential Programs</w:t>
      </w:r>
      <w:bookmarkEnd w:id="789"/>
      <w:bookmarkEnd w:id="790"/>
      <w:bookmarkEnd w:id="791"/>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3"/>
        <w:gridCol w:w="3493"/>
        <w:gridCol w:w="1183"/>
        <w:gridCol w:w="1181"/>
        <w:gridCol w:w="1173"/>
        <w:gridCol w:w="1177"/>
      </w:tblGrid>
      <w:tr w:rsidR="00A874AC" w:rsidRPr="00651AA9" w:rsidTr="005C1352">
        <w:trPr>
          <w:jc w:val="center"/>
        </w:trPr>
        <w:tc>
          <w:tcPr>
            <w:tcW w:w="1143" w:type="dxa"/>
            <w:tcBorders>
              <w:bottom w:val="single" w:sz="4" w:space="0" w:color="448A99"/>
            </w:tcBorders>
            <w:shd w:val="clear" w:color="auto" w:fill="448A99"/>
            <w:vAlign w:val="bottom"/>
          </w:tcPr>
          <w:p w:rsidR="00745011" w:rsidRPr="00651AA9" w:rsidRDefault="00745011" w:rsidP="005C1352">
            <w:pPr>
              <w:rPr>
                <w:b/>
                <w:color w:val="FFFFFF"/>
                <w:sz w:val="19"/>
                <w:szCs w:val="19"/>
              </w:rPr>
            </w:pPr>
            <w:r w:rsidRPr="00651AA9">
              <w:rPr>
                <w:b/>
                <w:color w:val="FFFFFF"/>
                <w:sz w:val="19"/>
                <w:szCs w:val="19"/>
              </w:rPr>
              <w:t>Approach</w:t>
            </w:r>
          </w:p>
        </w:tc>
        <w:tc>
          <w:tcPr>
            <w:tcW w:w="3493" w:type="dxa"/>
            <w:tcBorders>
              <w:bottom w:val="single" w:sz="4" w:space="0" w:color="448A99"/>
            </w:tcBorders>
            <w:shd w:val="clear" w:color="auto" w:fill="448A99"/>
            <w:vAlign w:val="bottom"/>
          </w:tcPr>
          <w:p w:rsidR="00745011" w:rsidRPr="00651AA9" w:rsidRDefault="00745011" w:rsidP="005C1352">
            <w:pPr>
              <w:rPr>
                <w:b/>
                <w:color w:val="FFFFFF"/>
                <w:sz w:val="19"/>
                <w:szCs w:val="19"/>
              </w:rPr>
            </w:pPr>
            <w:r w:rsidRPr="00651AA9">
              <w:rPr>
                <w:b/>
                <w:color w:val="FFFFFF"/>
                <w:sz w:val="19"/>
                <w:szCs w:val="19"/>
              </w:rPr>
              <w:t>Program</w:t>
            </w:r>
          </w:p>
        </w:tc>
        <w:tc>
          <w:tcPr>
            <w:tcW w:w="1183" w:type="dxa"/>
            <w:tcBorders>
              <w:bottom w:val="single" w:sz="4" w:space="0" w:color="448A99"/>
            </w:tcBorders>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Free-Ridership</w:t>
            </w:r>
          </w:p>
        </w:tc>
        <w:tc>
          <w:tcPr>
            <w:tcW w:w="1181" w:type="dxa"/>
            <w:tcBorders>
              <w:bottom w:val="single" w:sz="4" w:space="0" w:color="448A99"/>
            </w:tcBorders>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Spillover</w:t>
            </w:r>
          </w:p>
        </w:tc>
        <w:tc>
          <w:tcPr>
            <w:tcW w:w="1173" w:type="dxa"/>
            <w:tcBorders>
              <w:bottom w:val="single" w:sz="4" w:space="0" w:color="448A99"/>
            </w:tcBorders>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NTGR</w:t>
            </w:r>
            <w:r w:rsidRPr="00651AA9">
              <w:rPr>
                <w:b/>
                <w:color w:val="FFFFFF"/>
                <w:sz w:val="19"/>
                <w:szCs w:val="19"/>
                <w:vertAlign w:val="superscript"/>
              </w:rPr>
              <w:t>[a]</w:t>
            </w:r>
          </w:p>
        </w:tc>
        <w:tc>
          <w:tcPr>
            <w:tcW w:w="1177" w:type="dxa"/>
            <w:tcBorders>
              <w:bottom w:val="single" w:sz="4" w:space="0" w:color="448A99"/>
            </w:tcBorders>
            <w:shd w:val="clear" w:color="auto" w:fill="448A99"/>
            <w:vAlign w:val="bottom"/>
          </w:tcPr>
          <w:p w:rsidR="00745011" w:rsidRPr="00651AA9" w:rsidRDefault="00745011" w:rsidP="005C1352">
            <w:pPr>
              <w:jc w:val="center"/>
              <w:rPr>
                <w:b/>
                <w:color w:val="FFFFFF"/>
                <w:sz w:val="19"/>
                <w:szCs w:val="19"/>
              </w:rPr>
            </w:pPr>
            <w:r w:rsidRPr="00651AA9">
              <w:rPr>
                <w:b/>
                <w:color w:val="FFFFFF"/>
                <w:sz w:val="19"/>
                <w:szCs w:val="19"/>
              </w:rPr>
              <w:t>Sample Size</w:t>
            </w:r>
            <w:r w:rsidRPr="00651AA9">
              <w:rPr>
                <w:b/>
                <w:color w:val="FFFFFF"/>
                <w:sz w:val="19"/>
                <w:szCs w:val="19"/>
                <w:vertAlign w:val="superscript"/>
              </w:rPr>
              <w:t>[b]</w:t>
            </w:r>
          </w:p>
        </w:tc>
      </w:tr>
      <w:tr w:rsidR="00A874AC" w:rsidRPr="00651AA9" w:rsidTr="005C1352">
        <w:trPr>
          <w:trHeight w:val="346"/>
          <w:jc w:val="center"/>
        </w:trPr>
        <w:tc>
          <w:tcPr>
            <w:tcW w:w="1143" w:type="dxa"/>
            <w:vMerge w:val="restart"/>
            <w:shd w:val="clear" w:color="auto" w:fill="D2EAF1"/>
          </w:tcPr>
          <w:p w:rsidR="00745011" w:rsidRPr="00651AA9" w:rsidRDefault="00745011" w:rsidP="005C1352">
            <w:pPr>
              <w:rPr>
                <w:sz w:val="19"/>
                <w:szCs w:val="19"/>
              </w:rPr>
            </w:pPr>
            <w:r w:rsidRPr="00651AA9">
              <w:rPr>
                <w:sz w:val="19"/>
                <w:szCs w:val="19"/>
              </w:rPr>
              <w:t>Estimated</w:t>
            </w:r>
          </w:p>
        </w:tc>
        <w:tc>
          <w:tcPr>
            <w:tcW w:w="3493" w:type="dxa"/>
            <w:shd w:val="clear" w:color="auto" w:fill="D2EAF1"/>
          </w:tcPr>
          <w:p w:rsidR="00745011" w:rsidRPr="00651AA9" w:rsidRDefault="00745011" w:rsidP="005C1352">
            <w:pPr>
              <w:rPr>
                <w:sz w:val="19"/>
                <w:szCs w:val="19"/>
              </w:rPr>
            </w:pPr>
            <w:r w:rsidRPr="00651AA9">
              <w:rPr>
                <w:sz w:val="19"/>
                <w:szCs w:val="19"/>
              </w:rPr>
              <w:t>Small C/I Equipment</w:t>
            </w:r>
          </w:p>
        </w:tc>
        <w:tc>
          <w:tcPr>
            <w:tcW w:w="1183" w:type="dxa"/>
            <w:shd w:val="clear" w:color="auto" w:fill="D2EAF1"/>
          </w:tcPr>
          <w:p w:rsidR="00745011" w:rsidRPr="00651AA9" w:rsidRDefault="00745011" w:rsidP="005C1352">
            <w:pPr>
              <w:jc w:val="center"/>
              <w:rPr>
                <w:sz w:val="19"/>
                <w:szCs w:val="19"/>
              </w:rPr>
            </w:pPr>
            <w:r w:rsidRPr="00651AA9">
              <w:rPr>
                <w:sz w:val="19"/>
                <w:szCs w:val="19"/>
              </w:rPr>
              <w:t>0.45</w:t>
            </w:r>
          </w:p>
        </w:tc>
        <w:tc>
          <w:tcPr>
            <w:tcW w:w="1181" w:type="dxa"/>
            <w:shd w:val="clear" w:color="auto" w:fill="D2EAF1"/>
          </w:tcPr>
          <w:p w:rsidR="00745011" w:rsidRPr="00651AA9" w:rsidRDefault="00745011" w:rsidP="005C1352">
            <w:pPr>
              <w:jc w:val="center"/>
              <w:rPr>
                <w:sz w:val="19"/>
                <w:szCs w:val="19"/>
              </w:rPr>
            </w:pPr>
            <w:r w:rsidRPr="00651AA9">
              <w:rPr>
                <w:sz w:val="19"/>
                <w:szCs w:val="19"/>
              </w:rPr>
              <w:t>0.11</w:t>
            </w:r>
          </w:p>
        </w:tc>
        <w:tc>
          <w:tcPr>
            <w:tcW w:w="1173" w:type="dxa"/>
            <w:shd w:val="clear" w:color="auto" w:fill="D2EAF1"/>
          </w:tcPr>
          <w:p w:rsidR="00745011" w:rsidRPr="00651AA9" w:rsidRDefault="00745011" w:rsidP="005C1352">
            <w:pPr>
              <w:jc w:val="center"/>
              <w:rPr>
                <w:sz w:val="19"/>
                <w:szCs w:val="19"/>
              </w:rPr>
            </w:pPr>
            <w:r w:rsidRPr="00651AA9">
              <w:rPr>
                <w:sz w:val="19"/>
                <w:szCs w:val="19"/>
              </w:rPr>
              <w:t>0.66</w:t>
            </w:r>
          </w:p>
        </w:tc>
        <w:tc>
          <w:tcPr>
            <w:tcW w:w="1177" w:type="dxa"/>
            <w:shd w:val="clear" w:color="auto" w:fill="D2EAF1"/>
          </w:tcPr>
          <w:p w:rsidR="00745011" w:rsidRPr="00651AA9" w:rsidRDefault="00745011" w:rsidP="005C1352">
            <w:pPr>
              <w:jc w:val="center"/>
              <w:rPr>
                <w:sz w:val="19"/>
                <w:szCs w:val="19"/>
              </w:rPr>
            </w:pPr>
            <w:r w:rsidRPr="00651AA9">
              <w:rPr>
                <w:sz w:val="19"/>
                <w:szCs w:val="19"/>
              </w:rPr>
              <w:t>N/A</w:t>
            </w:r>
          </w:p>
        </w:tc>
      </w:tr>
      <w:tr w:rsidR="00745011" w:rsidRPr="00651AA9" w:rsidTr="0081757B">
        <w:trPr>
          <w:trHeight w:val="346"/>
          <w:jc w:val="center"/>
        </w:trPr>
        <w:tc>
          <w:tcPr>
            <w:tcW w:w="1143" w:type="dxa"/>
            <w:vMerge/>
          </w:tcPr>
          <w:p w:rsidR="00745011" w:rsidRPr="00651AA9" w:rsidRDefault="00745011" w:rsidP="005C1352">
            <w:pPr>
              <w:rPr>
                <w:sz w:val="19"/>
                <w:szCs w:val="19"/>
              </w:rPr>
            </w:pPr>
          </w:p>
        </w:tc>
        <w:tc>
          <w:tcPr>
            <w:tcW w:w="3493" w:type="dxa"/>
            <w:tcBorders>
              <w:bottom w:val="single" w:sz="4" w:space="0" w:color="448A99"/>
            </w:tcBorders>
          </w:tcPr>
          <w:p w:rsidR="00745011" w:rsidRPr="00651AA9" w:rsidRDefault="00745011" w:rsidP="005C1352">
            <w:pPr>
              <w:rPr>
                <w:sz w:val="19"/>
                <w:szCs w:val="19"/>
              </w:rPr>
            </w:pPr>
            <w:r w:rsidRPr="00651AA9">
              <w:rPr>
                <w:sz w:val="19"/>
                <w:szCs w:val="19"/>
              </w:rPr>
              <w:t>Large C/I Equipment</w:t>
            </w:r>
          </w:p>
        </w:tc>
        <w:tc>
          <w:tcPr>
            <w:tcW w:w="1183" w:type="dxa"/>
            <w:tcBorders>
              <w:bottom w:val="single" w:sz="4" w:space="0" w:color="448A99"/>
            </w:tcBorders>
          </w:tcPr>
          <w:p w:rsidR="00745011" w:rsidRPr="00651AA9" w:rsidRDefault="00745011" w:rsidP="005C1352">
            <w:pPr>
              <w:jc w:val="center"/>
              <w:rPr>
                <w:sz w:val="19"/>
                <w:szCs w:val="19"/>
              </w:rPr>
            </w:pPr>
            <w:r w:rsidRPr="00651AA9">
              <w:rPr>
                <w:sz w:val="19"/>
                <w:szCs w:val="19"/>
              </w:rPr>
              <w:t>0.34</w:t>
            </w:r>
          </w:p>
        </w:tc>
        <w:tc>
          <w:tcPr>
            <w:tcW w:w="1181" w:type="dxa"/>
            <w:tcBorders>
              <w:bottom w:val="single" w:sz="4" w:space="0" w:color="448A99"/>
            </w:tcBorders>
          </w:tcPr>
          <w:p w:rsidR="00745011" w:rsidRPr="00651AA9" w:rsidRDefault="00745011" w:rsidP="005C1352">
            <w:pPr>
              <w:jc w:val="center"/>
              <w:rPr>
                <w:sz w:val="19"/>
                <w:szCs w:val="19"/>
              </w:rPr>
            </w:pPr>
            <w:r w:rsidRPr="00651AA9">
              <w:rPr>
                <w:sz w:val="19"/>
                <w:szCs w:val="19"/>
              </w:rPr>
              <w:t>0.05</w:t>
            </w:r>
          </w:p>
        </w:tc>
        <w:tc>
          <w:tcPr>
            <w:tcW w:w="1173" w:type="dxa"/>
            <w:tcBorders>
              <w:bottom w:val="single" w:sz="4" w:space="0" w:color="448A99"/>
            </w:tcBorders>
          </w:tcPr>
          <w:p w:rsidR="00745011" w:rsidRPr="00651AA9" w:rsidRDefault="00745011" w:rsidP="005C1352">
            <w:pPr>
              <w:jc w:val="center"/>
              <w:rPr>
                <w:sz w:val="19"/>
                <w:szCs w:val="19"/>
              </w:rPr>
            </w:pPr>
            <w:r w:rsidRPr="00651AA9">
              <w:rPr>
                <w:sz w:val="19"/>
                <w:szCs w:val="19"/>
              </w:rPr>
              <w:t>0.72</w:t>
            </w:r>
          </w:p>
        </w:tc>
        <w:tc>
          <w:tcPr>
            <w:tcW w:w="1177" w:type="dxa"/>
            <w:tcBorders>
              <w:bottom w:val="single" w:sz="4" w:space="0" w:color="448A99"/>
            </w:tcBorders>
          </w:tcPr>
          <w:p w:rsidR="00745011" w:rsidRPr="00651AA9" w:rsidRDefault="00745011" w:rsidP="005C1352">
            <w:pPr>
              <w:jc w:val="center"/>
              <w:rPr>
                <w:sz w:val="19"/>
                <w:szCs w:val="19"/>
              </w:rPr>
            </w:pPr>
            <w:r w:rsidRPr="00651AA9">
              <w:rPr>
                <w:sz w:val="19"/>
                <w:szCs w:val="19"/>
              </w:rPr>
              <w:t>N/A</w:t>
            </w:r>
          </w:p>
        </w:tc>
      </w:tr>
      <w:tr w:rsidR="00A874AC" w:rsidRPr="00651AA9" w:rsidTr="005C1352">
        <w:trPr>
          <w:trHeight w:val="346"/>
          <w:jc w:val="center"/>
        </w:trPr>
        <w:tc>
          <w:tcPr>
            <w:tcW w:w="1143" w:type="dxa"/>
            <w:vMerge/>
          </w:tcPr>
          <w:p w:rsidR="00745011" w:rsidRPr="00651AA9" w:rsidRDefault="00745011" w:rsidP="005C1352">
            <w:pPr>
              <w:rPr>
                <w:sz w:val="19"/>
                <w:szCs w:val="19"/>
              </w:rPr>
            </w:pPr>
          </w:p>
        </w:tc>
        <w:tc>
          <w:tcPr>
            <w:tcW w:w="3493" w:type="dxa"/>
            <w:tcBorders>
              <w:bottom w:val="single" w:sz="4" w:space="0" w:color="448A99"/>
            </w:tcBorders>
            <w:shd w:val="clear" w:color="auto" w:fill="D2EAF1"/>
          </w:tcPr>
          <w:p w:rsidR="00745011" w:rsidRPr="00651AA9" w:rsidRDefault="00745011" w:rsidP="005C1352">
            <w:pPr>
              <w:rPr>
                <w:sz w:val="19"/>
                <w:szCs w:val="19"/>
              </w:rPr>
            </w:pPr>
            <w:r w:rsidRPr="00651AA9">
              <w:rPr>
                <w:sz w:val="19"/>
                <w:szCs w:val="19"/>
              </w:rPr>
              <w:t>Small C/I Buildings</w:t>
            </w:r>
          </w:p>
        </w:tc>
        <w:tc>
          <w:tcPr>
            <w:tcW w:w="1183" w:type="dxa"/>
            <w:tcBorders>
              <w:bottom w:val="single" w:sz="4" w:space="0" w:color="448A99"/>
            </w:tcBorders>
            <w:shd w:val="clear" w:color="auto" w:fill="D2EAF1"/>
          </w:tcPr>
          <w:p w:rsidR="00745011" w:rsidRPr="00651AA9" w:rsidRDefault="00745011" w:rsidP="005C1352">
            <w:pPr>
              <w:jc w:val="center"/>
              <w:rPr>
                <w:sz w:val="19"/>
                <w:szCs w:val="19"/>
              </w:rPr>
            </w:pPr>
            <w:r w:rsidRPr="00651AA9">
              <w:rPr>
                <w:sz w:val="19"/>
                <w:szCs w:val="19"/>
              </w:rPr>
              <w:t>0.32</w:t>
            </w:r>
          </w:p>
        </w:tc>
        <w:tc>
          <w:tcPr>
            <w:tcW w:w="1181" w:type="dxa"/>
            <w:tcBorders>
              <w:bottom w:val="single" w:sz="4" w:space="0" w:color="448A99"/>
            </w:tcBorders>
            <w:shd w:val="clear" w:color="auto" w:fill="D2EAF1"/>
          </w:tcPr>
          <w:p w:rsidR="00745011" w:rsidRPr="00651AA9" w:rsidRDefault="00745011" w:rsidP="005C1352">
            <w:pPr>
              <w:jc w:val="center"/>
              <w:rPr>
                <w:sz w:val="19"/>
                <w:szCs w:val="19"/>
                <w:vertAlign w:val="superscript"/>
              </w:rPr>
            </w:pPr>
            <w:r w:rsidRPr="00651AA9">
              <w:rPr>
                <w:sz w:val="19"/>
                <w:szCs w:val="19"/>
              </w:rPr>
              <w:t>0.01</w:t>
            </w:r>
            <w:r w:rsidRPr="00651AA9">
              <w:rPr>
                <w:sz w:val="19"/>
                <w:szCs w:val="19"/>
                <w:vertAlign w:val="superscript"/>
              </w:rPr>
              <w:t>[c]</w:t>
            </w:r>
          </w:p>
        </w:tc>
        <w:tc>
          <w:tcPr>
            <w:tcW w:w="1173" w:type="dxa"/>
            <w:tcBorders>
              <w:bottom w:val="single" w:sz="4" w:space="0" w:color="448A99"/>
            </w:tcBorders>
            <w:shd w:val="clear" w:color="auto" w:fill="D2EAF1"/>
          </w:tcPr>
          <w:p w:rsidR="00745011" w:rsidRPr="00651AA9" w:rsidRDefault="00745011" w:rsidP="005C1352">
            <w:pPr>
              <w:jc w:val="center"/>
              <w:rPr>
                <w:sz w:val="19"/>
                <w:szCs w:val="19"/>
              </w:rPr>
            </w:pPr>
            <w:r w:rsidRPr="00651AA9">
              <w:rPr>
                <w:sz w:val="19"/>
                <w:szCs w:val="19"/>
              </w:rPr>
              <w:t>0.69</w:t>
            </w:r>
          </w:p>
        </w:tc>
        <w:tc>
          <w:tcPr>
            <w:tcW w:w="1177" w:type="dxa"/>
            <w:tcBorders>
              <w:bottom w:val="single" w:sz="4" w:space="0" w:color="448A99"/>
            </w:tcBorders>
            <w:shd w:val="clear" w:color="auto" w:fill="D2EAF1"/>
          </w:tcPr>
          <w:p w:rsidR="00745011" w:rsidRPr="00651AA9" w:rsidRDefault="00745011" w:rsidP="005C1352">
            <w:pPr>
              <w:jc w:val="center"/>
              <w:rPr>
                <w:sz w:val="19"/>
                <w:szCs w:val="19"/>
              </w:rPr>
            </w:pPr>
            <w:r w:rsidRPr="00651AA9">
              <w:rPr>
                <w:sz w:val="19"/>
                <w:szCs w:val="19"/>
              </w:rPr>
              <w:t>122</w:t>
            </w:r>
          </w:p>
        </w:tc>
      </w:tr>
      <w:tr w:rsidR="00E7173E" w:rsidRPr="00651AA9" w:rsidTr="0081757B">
        <w:trPr>
          <w:trHeight w:val="346"/>
          <w:jc w:val="center"/>
        </w:trPr>
        <w:tc>
          <w:tcPr>
            <w:tcW w:w="1143" w:type="dxa"/>
            <w:vMerge/>
            <w:tcBorders>
              <w:bottom w:val="single" w:sz="4" w:space="0" w:color="448A99"/>
            </w:tcBorders>
            <w:shd w:val="clear" w:color="auto" w:fill="D2EAF1"/>
          </w:tcPr>
          <w:p w:rsidR="00745011" w:rsidRPr="00651AA9" w:rsidRDefault="00745011" w:rsidP="005C1352">
            <w:pPr>
              <w:rPr>
                <w:sz w:val="19"/>
                <w:szCs w:val="19"/>
              </w:rPr>
            </w:pPr>
          </w:p>
        </w:tc>
        <w:tc>
          <w:tcPr>
            <w:tcW w:w="3493" w:type="dxa"/>
            <w:tcBorders>
              <w:bottom w:val="single" w:sz="4" w:space="0" w:color="448A99"/>
            </w:tcBorders>
            <w:shd w:val="clear" w:color="auto" w:fill="auto"/>
          </w:tcPr>
          <w:p w:rsidR="00745011" w:rsidRPr="00651AA9" w:rsidRDefault="00745011" w:rsidP="005C1352">
            <w:pPr>
              <w:rPr>
                <w:sz w:val="19"/>
                <w:szCs w:val="19"/>
              </w:rPr>
            </w:pPr>
            <w:r w:rsidRPr="00651AA9">
              <w:rPr>
                <w:sz w:val="19"/>
                <w:szCs w:val="19"/>
              </w:rPr>
              <w:t>Large C/I Buildings</w:t>
            </w:r>
          </w:p>
        </w:tc>
        <w:tc>
          <w:tcPr>
            <w:tcW w:w="1183" w:type="dxa"/>
            <w:tcBorders>
              <w:bottom w:val="single" w:sz="4" w:space="0" w:color="448A99"/>
            </w:tcBorders>
            <w:shd w:val="clear" w:color="auto" w:fill="auto"/>
          </w:tcPr>
          <w:p w:rsidR="00745011" w:rsidRPr="00651AA9" w:rsidRDefault="00745011" w:rsidP="005C1352">
            <w:pPr>
              <w:jc w:val="center"/>
              <w:rPr>
                <w:sz w:val="19"/>
                <w:szCs w:val="19"/>
              </w:rPr>
            </w:pPr>
            <w:r w:rsidRPr="00651AA9">
              <w:rPr>
                <w:sz w:val="19"/>
                <w:szCs w:val="19"/>
              </w:rPr>
              <w:t>0.62</w:t>
            </w:r>
          </w:p>
        </w:tc>
        <w:tc>
          <w:tcPr>
            <w:tcW w:w="1181" w:type="dxa"/>
            <w:tcBorders>
              <w:bottom w:val="single" w:sz="4" w:space="0" w:color="448A99"/>
            </w:tcBorders>
            <w:shd w:val="clear" w:color="auto" w:fill="auto"/>
          </w:tcPr>
          <w:p w:rsidR="00745011" w:rsidRPr="00651AA9" w:rsidRDefault="00745011" w:rsidP="005C1352">
            <w:pPr>
              <w:jc w:val="center"/>
              <w:rPr>
                <w:sz w:val="19"/>
                <w:szCs w:val="19"/>
              </w:rPr>
            </w:pPr>
            <w:r w:rsidRPr="00651AA9">
              <w:rPr>
                <w:sz w:val="19"/>
                <w:szCs w:val="19"/>
              </w:rPr>
              <w:t>0.01</w:t>
            </w:r>
          </w:p>
        </w:tc>
        <w:tc>
          <w:tcPr>
            <w:tcW w:w="1173" w:type="dxa"/>
            <w:tcBorders>
              <w:bottom w:val="single" w:sz="4" w:space="0" w:color="448A99"/>
            </w:tcBorders>
            <w:shd w:val="clear" w:color="auto" w:fill="auto"/>
          </w:tcPr>
          <w:p w:rsidR="00745011" w:rsidRPr="00651AA9" w:rsidRDefault="00745011" w:rsidP="005C1352">
            <w:pPr>
              <w:jc w:val="center"/>
              <w:rPr>
                <w:sz w:val="19"/>
                <w:szCs w:val="19"/>
              </w:rPr>
            </w:pPr>
            <w:r w:rsidRPr="00651AA9">
              <w:rPr>
                <w:sz w:val="19"/>
                <w:szCs w:val="19"/>
              </w:rPr>
              <w:t>0.39</w:t>
            </w:r>
          </w:p>
        </w:tc>
        <w:tc>
          <w:tcPr>
            <w:tcW w:w="1177" w:type="dxa"/>
            <w:tcBorders>
              <w:bottom w:val="single" w:sz="4" w:space="0" w:color="448A99"/>
            </w:tcBorders>
            <w:shd w:val="clear" w:color="auto" w:fill="auto"/>
          </w:tcPr>
          <w:p w:rsidR="00745011" w:rsidRPr="00651AA9" w:rsidRDefault="00745011" w:rsidP="005C1352">
            <w:pPr>
              <w:jc w:val="center"/>
              <w:rPr>
                <w:sz w:val="19"/>
                <w:szCs w:val="19"/>
              </w:rPr>
            </w:pPr>
            <w:r w:rsidRPr="00651AA9">
              <w:rPr>
                <w:sz w:val="19"/>
                <w:szCs w:val="19"/>
              </w:rPr>
              <w:t>11</w:t>
            </w:r>
          </w:p>
        </w:tc>
      </w:tr>
      <w:tr w:rsidR="00A874AC" w:rsidRPr="00651AA9" w:rsidTr="005C1352">
        <w:trPr>
          <w:trHeight w:val="346"/>
          <w:jc w:val="center"/>
        </w:trPr>
        <w:tc>
          <w:tcPr>
            <w:tcW w:w="1143" w:type="dxa"/>
            <w:vMerge/>
            <w:tcBorders>
              <w:bottom w:val="single" w:sz="4" w:space="0" w:color="448A99"/>
            </w:tcBorders>
            <w:shd w:val="clear" w:color="auto" w:fill="D2EAF1"/>
          </w:tcPr>
          <w:p w:rsidR="00745011" w:rsidRPr="00651AA9" w:rsidRDefault="00745011" w:rsidP="005C1352">
            <w:pPr>
              <w:rPr>
                <w:sz w:val="19"/>
                <w:szCs w:val="19"/>
              </w:rPr>
            </w:pPr>
          </w:p>
        </w:tc>
        <w:tc>
          <w:tcPr>
            <w:tcW w:w="3493" w:type="dxa"/>
            <w:tcBorders>
              <w:bottom w:val="single" w:sz="4" w:space="0" w:color="448A99"/>
            </w:tcBorders>
            <w:shd w:val="clear" w:color="auto" w:fill="D2EAF1"/>
          </w:tcPr>
          <w:p w:rsidR="00745011" w:rsidRPr="00651AA9" w:rsidRDefault="00745011" w:rsidP="005C1352">
            <w:pPr>
              <w:rPr>
                <w:sz w:val="19"/>
                <w:szCs w:val="19"/>
              </w:rPr>
            </w:pPr>
            <w:r w:rsidRPr="00651AA9">
              <w:rPr>
                <w:sz w:val="19"/>
                <w:szCs w:val="19"/>
              </w:rPr>
              <w:t>Government and Institutional</w:t>
            </w:r>
          </w:p>
        </w:tc>
        <w:tc>
          <w:tcPr>
            <w:tcW w:w="1183" w:type="dxa"/>
            <w:tcBorders>
              <w:bottom w:val="single" w:sz="4" w:space="0" w:color="448A99"/>
            </w:tcBorders>
            <w:shd w:val="clear" w:color="auto" w:fill="D2EAF1"/>
            <w:vAlign w:val="center"/>
          </w:tcPr>
          <w:p w:rsidR="00745011" w:rsidRPr="00651AA9" w:rsidRDefault="00745011" w:rsidP="005C1352">
            <w:pPr>
              <w:jc w:val="center"/>
              <w:rPr>
                <w:sz w:val="19"/>
                <w:szCs w:val="19"/>
              </w:rPr>
            </w:pPr>
            <w:r w:rsidRPr="00651AA9">
              <w:rPr>
                <w:sz w:val="19"/>
                <w:szCs w:val="19"/>
              </w:rPr>
              <w:t>0.38</w:t>
            </w:r>
          </w:p>
        </w:tc>
        <w:tc>
          <w:tcPr>
            <w:tcW w:w="1181" w:type="dxa"/>
            <w:tcBorders>
              <w:bottom w:val="single" w:sz="4" w:space="0" w:color="448A99"/>
            </w:tcBorders>
            <w:shd w:val="clear" w:color="auto" w:fill="D2EAF1"/>
            <w:vAlign w:val="center"/>
          </w:tcPr>
          <w:p w:rsidR="00745011" w:rsidRPr="00651AA9" w:rsidRDefault="00745011" w:rsidP="005C1352">
            <w:pPr>
              <w:jc w:val="center"/>
              <w:rPr>
                <w:sz w:val="19"/>
                <w:szCs w:val="19"/>
              </w:rPr>
            </w:pPr>
            <w:r w:rsidRPr="00651AA9">
              <w:rPr>
                <w:sz w:val="19"/>
                <w:szCs w:val="19"/>
              </w:rPr>
              <w:t>0.11</w:t>
            </w:r>
          </w:p>
        </w:tc>
        <w:tc>
          <w:tcPr>
            <w:tcW w:w="1173" w:type="dxa"/>
            <w:tcBorders>
              <w:bottom w:val="single" w:sz="4" w:space="0" w:color="448A99"/>
            </w:tcBorders>
            <w:shd w:val="clear" w:color="auto" w:fill="D2EAF1"/>
            <w:vAlign w:val="center"/>
          </w:tcPr>
          <w:p w:rsidR="00745011" w:rsidRPr="00651AA9" w:rsidRDefault="00745011" w:rsidP="005C1352">
            <w:pPr>
              <w:jc w:val="center"/>
              <w:rPr>
                <w:sz w:val="19"/>
                <w:szCs w:val="19"/>
              </w:rPr>
            </w:pPr>
            <w:r w:rsidRPr="00651AA9">
              <w:rPr>
                <w:sz w:val="19"/>
                <w:szCs w:val="19"/>
              </w:rPr>
              <w:t>0.73</w:t>
            </w:r>
          </w:p>
        </w:tc>
        <w:tc>
          <w:tcPr>
            <w:tcW w:w="1177" w:type="dxa"/>
            <w:tcBorders>
              <w:bottom w:val="single" w:sz="4" w:space="0" w:color="448A99"/>
            </w:tcBorders>
            <w:shd w:val="clear" w:color="auto" w:fill="D2EAF1"/>
            <w:vAlign w:val="center"/>
          </w:tcPr>
          <w:p w:rsidR="00745011" w:rsidRPr="00651AA9" w:rsidRDefault="00745011" w:rsidP="005C1352">
            <w:pPr>
              <w:jc w:val="center"/>
              <w:rPr>
                <w:sz w:val="19"/>
                <w:szCs w:val="19"/>
              </w:rPr>
            </w:pPr>
            <w:r w:rsidRPr="00651AA9">
              <w:rPr>
                <w:sz w:val="19"/>
                <w:szCs w:val="19"/>
              </w:rPr>
              <w:t>N/A</w:t>
            </w:r>
          </w:p>
        </w:tc>
      </w:tr>
      <w:tr w:rsidR="00E7173E" w:rsidRPr="004F3A51" w:rsidTr="0081757B">
        <w:trPr>
          <w:trHeight w:val="346"/>
          <w:jc w:val="center"/>
        </w:trPr>
        <w:tc>
          <w:tcPr>
            <w:tcW w:w="9350" w:type="dxa"/>
            <w:gridSpan w:val="6"/>
            <w:tcBorders>
              <w:bottom w:val="single" w:sz="4" w:space="0" w:color="448A99"/>
            </w:tcBorders>
            <w:shd w:val="clear" w:color="auto" w:fill="448A99"/>
          </w:tcPr>
          <w:p w:rsidR="00745011" w:rsidRPr="004F3A51" w:rsidRDefault="00745011" w:rsidP="005C1352">
            <w:pPr>
              <w:jc w:val="left"/>
              <w:rPr>
                <w:color w:val="FFFFFF"/>
                <w:sz w:val="18"/>
                <w:szCs w:val="19"/>
              </w:rPr>
            </w:pPr>
            <w:r w:rsidRPr="004F3A51">
              <w:rPr>
                <w:color w:val="FFFFFF"/>
                <w:sz w:val="18"/>
                <w:szCs w:val="19"/>
              </w:rPr>
              <w:t>NOTES</w:t>
            </w:r>
            <w:r w:rsidR="00AF2C58" w:rsidRPr="004F3A51">
              <w:rPr>
                <w:color w:val="FFFFFF"/>
                <w:sz w:val="18"/>
                <w:szCs w:val="19"/>
              </w:rPr>
              <w:t>:</w:t>
            </w:r>
          </w:p>
          <w:p w:rsidR="00745011" w:rsidRPr="004F3A51" w:rsidRDefault="00745011" w:rsidP="005C1352">
            <w:pPr>
              <w:jc w:val="left"/>
              <w:rPr>
                <w:color w:val="FFFFFF"/>
                <w:sz w:val="18"/>
                <w:szCs w:val="19"/>
              </w:rPr>
            </w:pPr>
            <w:r w:rsidRPr="004F3A51">
              <w:rPr>
                <w:color w:val="FFFFFF"/>
                <w:sz w:val="18"/>
                <w:szCs w:val="19"/>
              </w:rPr>
              <w:t>[a]</w:t>
            </w:r>
            <w:r w:rsidRPr="004F3A51">
              <w:rPr>
                <w:bCs/>
                <w:color w:val="FFFFFF"/>
                <w:sz w:val="18"/>
                <w:szCs w:val="19"/>
              </w:rPr>
              <w:t xml:space="preserve"> </w:t>
            </w:r>
            <w:r w:rsidRPr="004F3A51">
              <w:rPr>
                <w:color w:val="FFFFFF"/>
                <w:sz w:val="18"/>
                <w:szCs w:val="19"/>
              </w:rPr>
              <w:t xml:space="preserve">NTGR = 1 – free-ridership + spillover. In some cases, the NTGR shown in the table may not equal exactly 1 – </w:t>
            </w:r>
            <w:r w:rsidRPr="004F3A51">
              <w:rPr>
                <w:rFonts w:eastAsia="Calibri"/>
                <w:color w:val="FFFFFF"/>
                <w:sz w:val="18"/>
                <w:szCs w:val="19"/>
              </w:rPr>
              <w:t>free-ridership + spillover</w:t>
            </w:r>
            <w:r w:rsidRPr="004F3A51">
              <w:rPr>
                <w:color w:val="FFFFFF"/>
                <w:sz w:val="18"/>
                <w:szCs w:val="19"/>
              </w:rPr>
              <w:t xml:space="preserve"> because of rounding.</w:t>
            </w:r>
          </w:p>
          <w:p w:rsidR="00745011" w:rsidRPr="004F3A51" w:rsidRDefault="00745011" w:rsidP="005C1352">
            <w:pPr>
              <w:jc w:val="left"/>
              <w:rPr>
                <w:color w:val="FFFFFF"/>
                <w:sz w:val="18"/>
                <w:szCs w:val="19"/>
              </w:rPr>
            </w:pPr>
            <w:r w:rsidRPr="004F3A51">
              <w:rPr>
                <w:color w:val="FFFFFF"/>
                <w:sz w:val="18"/>
                <w:szCs w:val="19"/>
              </w:rPr>
              <w:t>[b]</w:t>
            </w:r>
            <w:r w:rsidRPr="004F3A51">
              <w:rPr>
                <w:bCs/>
                <w:color w:val="FFFFFF"/>
                <w:sz w:val="18"/>
                <w:szCs w:val="19"/>
              </w:rPr>
              <w:t xml:space="preserve"> </w:t>
            </w:r>
            <w:r w:rsidRPr="004F3A51">
              <w:rPr>
                <w:color w:val="FFFFFF"/>
                <w:sz w:val="18"/>
                <w:szCs w:val="19"/>
              </w:rPr>
              <w:t>All collected samples provided at least 85/15 confidence/precision.</w:t>
            </w:r>
          </w:p>
          <w:p w:rsidR="00745011" w:rsidRPr="004F3A51" w:rsidRDefault="00745011" w:rsidP="005C1352">
            <w:pPr>
              <w:jc w:val="left"/>
              <w:rPr>
                <w:sz w:val="18"/>
                <w:szCs w:val="19"/>
              </w:rPr>
            </w:pPr>
            <w:r w:rsidRPr="004F3A51">
              <w:rPr>
                <w:color w:val="FFFFFF"/>
                <w:sz w:val="18"/>
                <w:szCs w:val="19"/>
              </w:rPr>
              <w:t>[c] ADM/Tetra Tech misprinted the SO value in the PY7 annual report. The value reported in this table is the actual SO value.</w:t>
            </w:r>
            <w:r w:rsidRPr="004F3A51" w:rsidDel="00EC5732">
              <w:rPr>
                <w:color w:val="FFFFFF"/>
                <w:sz w:val="18"/>
                <w:szCs w:val="19"/>
              </w:rPr>
              <w:t xml:space="preserve"> </w:t>
            </w:r>
          </w:p>
        </w:tc>
      </w:tr>
    </w:tbl>
    <w:p w:rsidR="00745011" w:rsidRPr="00745011" w:rsidRDefault="00745011" w:rsidP="00745011"/>
    <w:p w:rsidR="00950837" w:rsidRDefault="00950837" w:rsidP="000D3563">
      <w:pPr>
        <w:pStyle w:val="AppendixAHeading2"/>
      </w:pPr>
      <w:r>
        <w:t>Statewide Evaluator Final Recommendations</w:t>
      </w:r>
    </w:p>
    <w:p w:rsidR="00372E42" w:rsidRDefault="00372E42" w:rsidP="00372E42">
      <w:pPr>
        <w:pStyle w:val="bullettext"/>
      </w:pPr>
      <w:r w:rsidRPr="000475E0">
        <w:t xml:space="preserve">The SWE Team has the following recommendations for </w:t>
      </w:r>
      <w:r>
        <w:t>Met-Ed</w:t>
      </w:r>
      <w:r w:rsidRPr="000475E0">
        <w:t>’s EE&amp;C programs going forward</w:t>
      </w:r>
      <w:r>
        <w:t>:</w:t>
      </w:r>
    </w:p>
    <w:p w:rsidR="00372E42" w:rsidRPr="006843B2" w:rsidRDefault="00372E42" w:rsidP="00E646C9">
      <w:pPr>
        <w:pStyle w:val="ListParagraph"/>
        <w:numPr>
          <w:ilvl w:val="0"/>
          <w:numId w:val="73"/>
        </w:numPr>
        <w:spacing w:after="120"/>
        <w:ind w:left="360"/>
        <w:contextualSpacing w:val="0"/>
      </w:pPr>
      <w:r w:rsidRPr="006843B2">
        <w:t>The SWE Team recommends that in the interest of transparency, only the SWE-supplied Appendix C calculator be used for C</w:t>
      </w:r>
      <w:r w:rsidR="0097650B" w:rsidRPr="006843B2">
        <w:t>/</w:t>
      </w:r>
      <w:r w:rsidRPr="006843B2">
        <w:t>I lighting projects moving forward</w:t>
      </w:r>
    </w:p>
    <w:p w:rsidR="00372E42" w:rsidRPr="006843B2" w:rsidRDefault="00372E42" w:rsidP="00E646C9">
      <w:pPr>
        <w:pStyle w:val="ListParagraph"/>
        <w:numPr>
          <w:ilvl w:val="0"/>
          <w:numId w:val="73"/>
        </w:numPr>
        <w:spacing w:after="120"/>
        <w:ind w:left="360"/>
        <w:contextualSpacing w:val="0"/>
      </w:pPr>
      <w:r w:rsidRPr="006843B2">
        <w:t>Review rebate paperwork processes to identify opportunities to streamline documentation requirements and notify contractors and customers more quickly if project documentation is incomplete.</w:t>
      </w:r>
    </w:p>
    <w:p w:rsidR="00372E42" w:rsidRPr="006843B2" w:rsidRDefault="00372E42" w:rsidP="00E646C9">
      <w:pPr>
        <w:pStyle w:val="ListParagraph"/>
        <w:numPr>
          <w:ilvl w:val="0"/>
          <w:numId w:val="73"/>
        </w:numPr>
        <w:ind w:left="360"/>
      </w:pPr>
      <w:r w:rsidRPr="006843B2">
        <w:t>As the Home Performance – New Construction measure becomes more streamlined or as incentives change, attempt to attract builders who began with the program but dropped out.</w:t>
      </w:r>
    </w:p>
    <w:p w:rsidR="00372E42" w:rsidRPr="00372E42" w:rsidRDefault="00372E42" w:rsidP="00372E42"/>
    <w:p w:rsidR="00950837" w:rsidRDefault="00950837" w:rsidP="00353645">
      <w:pPr>
        <w:pStyle w:val="AppendixAHeading1"/>
      </w:pPr>
      <w:r>
        <w:t>Penelec</w:t>
      </w:r>
    </w:p>
    <w:p w:rsidR="007724F5" w:rsidRDefault="007724F5" w:rsidP="007724F5">
      <w:r w:rsidRPr="00735BA9">
        <w:t xml:space="preserve">This </w:t>
      </w:r>
      <w:r>
        <w:t>section</w:t>
      </w:r>
      <w:r w:rsidRPr="00735BA9">
        <w:t xml:space="preserve"> summarizes </w:t>
      </w:r>
      <w:r>
        <w:t>Penelec</w:t>
      </w:r>
      <w:r w:rsidRPr="00735BA9">
        <w:t xml:space="preserve">’s program performance </w:t>
      </w:r>
      <w:r>
        <w:t>through PY7</w:t>
      </w:r>
      <w:r w:rsidRPr="00735BA9">
        <w:t xml:space="preserve">. It includes an overview of the cumulative energy savings and demand reductions achieved by </w:t>
      </w:r>
      <w:r>
        <w:t>Penelec</w:t>
      </w:r>
      <w:r w:rsidRPr="00735BA9">
        <w:t xml:space="preserve">’s Act 129 EE&amp;C programs in Phase II; an overview of the TRC test results for each program and for the portfolio of programs; a discussion of the activities completed by </w:t>
      </w:r>
      <w:r>
        <w:t>Penelec</w:t>
      </w:r>
      <w:r w:rsidRPr="00735BA9">
        <w:t xml:space="preserve">’s evaluation contractor to conduct M&amp;V of </w:t>
      </w:r>
      <w:r w:rsidR="00CE78B5">
        <w:t>Penelec</w:t>
      </w:r>
      <w:r w:rsidRPr="00735BA9">
        <w:t xml:space="preserve">’s EE&amp;C programs and to calculate the cost-effectiveness of the portfolio of programs; a description of the work and findings of the SWE Team audits; and the SWE Team’s recommendations of actions to help improve </w:t>
      </w:r>
      <w:r>
        <w:t>Penelec</w:t>
      </w:r>
      <w:r w:rsidRPr="00735BA9">
        <w:t>’s programs in the future</w:t>
      </w:r>
      <w:r>
        <w:t>.</w:t>
      </w:r>
    </w:p>
    <w:p w:rsidR="007724F5" w:rsidRDefault="007724F5" w:rsidP="006843B2"/>
    <w:p w:rsidR="004F3A51" w:rsidRDefault="004F3A51" w:rsidP="006843B2"/>
    <w:p w:rsidR="004F3A51" w:rsidRDefault="004F3A51" w:rsidP="006843B2"/>
    <w:p w:rsidR="004F3A51" w:rsidRPr="006843B2" w:rsidRDefault="004F3A51" w:rsidP="006843B2"/>
    <w:p w:rsidR="00950837" w:rsidRDefault="00950837" w:rsidP="000D3563">
      <w:pPr>
        <w:pStyle w:val="AppendixAHeading2"/>
      </w:pPr>
      <w:r>
        <w:t>Summary of Energy and Demand Reductions</w:t>
      </w:r>
    </w:p>
    <w:p w:rsidR="009C5272" w:rsidRDefault="009C5272" w:rsidP="009C5272">
      <w:r>
        <w:t xml:space="preserve">This section lists the programs </w:t>
      </w:r>
      <w:r w:rsidR="002902CC">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9C0DF1">
      <w:pPr>
        <w:pStyle w:val="AppendixAHeading3"/>
      </w:pPr>
      <w:r>
        <w:t>Phase II Savings by Program</w:t>
      </w:r>
    </w:p>
    <w:p w:rsidR="006F7DE9" w:rsidRDefault="00A62B23" w:rsidP="006F7DE9">
      <w:r>
        <w:fldChar w:fldCharType="begin"/>
      </w:r>
      <w:r>
        <w:instrText xml:space="preserve"> REF _Ref472359198 \h </w:instrText>
      </w:r>
      <w:r>
        <w:fldChar w:fldCharType="separate"/>
      </w:r>
      <w:r w:rsidR="00037CB4" w:rsidRPr="00E41D9C">
        <w:t>Table A-</w:t>
      </w:r>
      <w:r w:rsidR="00037CB4">
        <w:rPr>
          <w:noProof/>
        </w:rPr>
        <w:t>51</w:t>
      </w:r>
      <w:r>
        <w:fldChar w:fldCharType="end"/>
      </w:r>
      <w:r w:rsidR="006F7DE9">
        <w:t xml:space="preserve"> </w:t>
      </w:r>
      <w:r w:rsidR="006F7DE9" w:rsidRPr="004B480A">
        <w:t>lists</w:t>
      </w:r>
      <w:r w:rsidR="006F7DE9">
        <w:t xml:space="preserve"> the</w:t>
      </w:r>
      <w:r w:rsidR="006F7DE9" w:rsidRPr="004B480A">
        <w:t xml:space="preserve"> </w:t>
      </w:r>
      <w:r w:rsidR="000D0C36">
        <w:t>Penelec</w:t>
      </w:r>
      <w:r w:rsidR="006F7DE9" w:rsidRPr="004B480A">
        <w:t xml:space="preserve"> EE&amp;C programs</w:t>
      </w:r>
      <w:r w:rsidR="006F7DE9">
        <w:t xml:space="preserve"> that yielded reported savings in PY7. </w:t>
      </w:r>
      <w:r>
        <w:fldChar w:fldCharType="begin"/>
      </w:r>
      <w:r>
        <w:instrText xml:space="preserve"> REF _Ref472359208 \h </w:instrText>
      </w:r>
      <w:r>
        <w:fldChar w:fldCharType="separate"/>
      </w:r>
      <w:r w:rsidR="00037CB4" w:rsidRPr="00E41D9C">
        <w:t>Table A-</w:t>
      </w:r>
      <w:r w:rsidR="00037CB4">
        <w:rPr>
          <w:noProof/>
        </w:rPr>
        <w:t>52</w:t>
      </w:r>
      <w:r>
        <w:fldChar w:fldCharType="end"/>
      </w:r>
      <w:r w:rsidR="006F7DE9">
        <w:t xml:space="preserve"> shows the verified gross energy and demand savings of each program at the conclusion of Phase II. The </w:t>
      </w:r>
      <w:r w:rsidR="00183D75">
        <w:t>Home Performance</w:t>
      </w:r>
      <w:r w:rsidR="006F7DE9">
        <w:t xml:space="preserve"> program was the largest contrib</w:t>
      </w:r>
      <w:r w:rsidR="002902CC">
        <w:t xml:space="preserve">uted to </w:t>
      </w:r>
      <w:r w:rsidR="006F7DE9">
        <w:t>energy savings.</w:t>
      </w:r>
    </w:p>
    <w:p w:rsidR="006F7DE9" w:rsidRPr="004B480A" w:rsidRDefault="006F7DE9" w:rsidP="006F7DE9"/>
    <w:p w:rsidR="006F7DE9" w:rsidRDefault="006F7DE9" w:rsidP="004837FA">
      <w:pPr>
        <w:pStyle w:val="Caption"/>
      </w:pPr>
      <w:bookmarkStart w:id="792" w:name="_Ref472359198"/>
      <w:bookmarkStart w:id="793" w:name="_Toc472472460"/>
      <w:bookmarkStart w:id="794" w:name="_Toc488741879"/>
      <w:r w:rsidRPr="00E41D9C">
        <w:t>Table A-</w:t>
      </w:r>
      <w:r w:rsidR="007973A4">
        <w:fldChar w:fldCharType="begin"/>
      </w:r>
      <w:r w:rsidR="007973A4">
        <w:instrText xml:space="preserve"> SEQ Table_A- \* ARABIC </w:instrText>
      </w:r>
      <w:r w:rsidR="007973A4">
        <w:fldChar w:fldCharType="separate"/>
      </w:r>
      <w:r w:rsidR="00037CB4">
        <w:rPr>
          <w:noProof/>
        </w:rPr>
        <w:t>51</w:t>
      </w:r>
      <w:r w:rsidR="007973A4">
        <w:rPr>
          <w:noProof/>
        </w:rPr>
        <w:fldChar w:fldCharType="end"/>
      </w:r>
      <w:bookmarkEnd w:id="792"/>
      <w:r w:rsidRPr="00E41D9C">
        <w:t xml:space="preserve">: </w:t>
      </w:r>
      <w:r w:rsidR="000D0C36">
        <w:t>Penelec</w:t>
      </w:r>
      <w:r w:rsidRPr="00E41D9C">
        <w:t xml:space="preserve"> EE&amp;C Programs wi</w:t>
      </w:r>
      <w:r>
        <w:t>th Reported Gross Savings in PY7</w:t>
      </w:r>
      <w:bookmarkEnd w:id="793"/>
      <w:bookmarkEnd w:id="794"/>
    </w:p>
    <w:tbl>
      <w:tblPr>
        <w:tblW w:w="9350" w:type="dxa"/>
        <w:tblLook w:val="04A0" w:firstRow="1" w:lastRow="0" w:firstColumn="1" w:lastColumn="0" w:noHBand="0" w:noVBand="1"/>
      </w:tblPr>
      <w:tblGrid>
        <w:gridCol w:w="4675"/>
        <w:gridCol w:w="4675"/>
      </w:tblGrid>
      <w:tr w:rsidR="00E7173E" w:rsidRPr="00651AA9" w:rsidTr="00651AA9">
        <w:trPr>
          <w:trHeight w:val="232"/>
        </w:trPr>
        <w:tc>
          <w:tcPr>
            <w:tcW w:w="4675"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BD593F" w:rsidRPr="00651AA9" w:rsidRDefault="00BD593F" w:rsidP="006843B2">
            <w:pPr>
              <w:rPr>
                <w:b/>
                <w:bCs/>
                <w:color w:val="FFFFFF"/>
                <w:sz w:val="19"/>
                <w:szCs w:val="19"/>
              </w:rPr>
            </w:pPr>
            <w:r w:rsidRPr="00651AA9">
              <w:rPr>
                <w:b/>
                <w:bCs/>
                <w:color w:val="FFFFFF"/>
                <w:sz w:val="19"/>
                <w:szCs w:val="19"/>
              </w:rPr>
              <w:t>Programs Reporting PY7 Gross Savings</w:t>
            </w:r>
          </w:p>
        </w:tc>
        <w:tc>
          <w:tcPr>
            <w:tcW w:w="4675"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651AA9" w:rsidRDefault="002902CC" w:rsidP="006843B2">
            <w:pPr>
              <w:jc w:val="center"/>
              <w:rPr>
                <w:b/>
                <w:bCs/>
                <w:color w:val="FFFFFF"/>
                <w:sz w:val="19"/>
                <w:szCs w:val="19"/>
              </w:rPr>
            </w:pPr>
            <w:r w:rsidRPr="00651AA9">
              <w:rPr>
                <w:b/>
                <w:bCs/>
                <w:color w:val="FFFFFF"/>
                <w:sz w:val="19"/>
                <w:szCs w:val="19"/>
              </w:rPr>
              <w:t>Sector</w:t>
            </w:r>
          </w:p>
        </w:tc>
      </w:tr>
      <w:tr w:rsidR="00E7173E" w:rsidRPr="00651AA9" w:rsidTr="00651AA9">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Appliance Turn-In</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6843B2">
            <w:pPr>
              <w:jc w:val="center"/>
              <w:rPr>
                <w:color w:val="000000"/>
                <w:sz w:val="19"/>
                <w:szCs w:val="19"/>
              </w:rPr>
            </w:pPr>
            <w:r w:rsidRPr="00651AA9">
              <w:rPr>
                <w:color w:val="000000"/>
                <w:sz w:val="19"/>
                <w:szCs w:val="19"/>
              </w:rPr>
              <w:t>Residential</w:t>
            </w:r>
          </w:p>
        </w:tc>
      </w:tr>
      <w:tr w:rsidR="00E7173E" w:rsidRPr="00651AA9" w:rsidTr="00651AA9">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651AA9" w:rsidRDefault="00BD593F" w:rsidP="00BD593F">
            <w:pPr>
              <w:rPr>
                <w:color w:val="000000"/>
                <w:sz w:val="19"/>
                <w:szCs w:val="19"/>
              </w:rPr>
            </w:pPr>
            <w:r w:rsidRPr="00651AA9">
              <w:rPr>
                <w:color w:val="000000"/>
                <w:sz w:val="19"/>
                <w:szCs w:val="19"/>
              </w:rPr>
              <w:t>Efficient Products</w:t>
            </w:r>
          </w:p>
        </w:tc>
        <w:tc>
          <w:tcPr>
            <w:tcW w:w="4675"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6843B2">
            <w:pPr>
              <w:jc w:val="center"/>
              <w:rPr>
                <w:color w:val="000000"/>
                <w:sz w:val="19"/>
                <w:szCs w:val="19"/>
              </w:rPr>
            </w:pPr>
            <w:r w:rsidRPr="00651AA9">
              <w:rPr>
                <w:color w:val="000000"/>
                <w:sz w:val="19"/>
                <w:szCs w:val="19"/>
              </w:rPr>
              <w:t>Residential</w:t>
            </w:r>
          </w:p>
        </w:tc>
      </w:tr>
      <w:tr w:rsidR="00E7173E" w:rsidRPr="00651AA9" w:rsidTr="00651AA9">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Home Performance</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6843B2">
            <w:pPr>
              <w:jc w:val="center"/>
              <w:rPr>
                <w:color w:val="000000"/>
                <w:sz w:val="19"/>
                <w:szCs w:val="19"/>
              </w:rPr>
            </w:pPr>
            <w:r w:rsidRPr="00651AA9">
              <w:rPr>
                <w:color w:val="000000"/>
                <w:sz w:val="19"/>
                <w:szCs w:val="19"/>
              </w:rPr>
              <w:t>Residential</w:t>
            </w:r>
          </w:p>
        </w:tc>
      </w:tr>
      <w:tr w:rsidR="00E7173E" w:rsidRPr="00651AA9" w:rsidTr="00651AA9">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651AA9" w:rsidRDefault="00BD593F" w:rsidP="00BD593F">
            <w:pPr>
              <w:rPr>
                <w:color w:val="000000"/>
                <w:sz w:val="19"/>
                <w:szCs w:val="19"/>
              </w:rPr>
            </w:pPr>
            <w:r w:rsidRPr="00651AA9">
              <w:rPr>
                <w:color w:val="000000"/>
                <w:sz w:val="19"/>
                <w:szCs w:val="19"/>
              </w:rPr>
              <w:t>Low Income</w:t>
            </w:r>
          </w:p>
        </w:tc>
        <w:tc>
          <w:tcPr>
            <w:tcW w:w="4675"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6843B2">
            <w:pPr>
              <w:jc w:val="center"/>
              <w:rPr>
                <w:color w:val="000000"/>
                <w:sz w:val="19"/>
                <w:szCs w:val="19"/>
              </w:rPr>
            </w:pPr>
            <w:r w:rsidRPr="00651AA9">
              <w:rPr>
                <w:color w:val="000000"/>
                <w:sz w:val="19"/>
                <w:szCs w:val="19"/>
              </w:rPr>
              <w:t>Low-Income</w:t>
            </w:r>
          </w:p>
        </w:tc>
      </w:tr>
      <w:tr w:rsidR="00E7173E" w:rsidRPr="00651AA9" w:rsidTr="00651AA9">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Small C/I Equipment</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6843B2">
            <w:pPr>
              <w:jc w:val="center"/>
              <w:rPr>
                <w:color w:val="000000"/>
                <w:sz w:val="19"/>
                <w:szCs w:val="19"/>
              </w:rPr>
            </w:pPr>
            <w:r w:rsidRPr="00651AA9">
              <w:rPr>
                <w:color w:val="000000"/>
                <w:sz w:val="19"/>
                <w:szCs w:val="19"/>
              </w:rPr>
              <w:t>Non-Residential</w:t>
            </w:r>
          </w:p>
        </w:tc>
      </w:tr>
      <w:tr w:rsidR="00E7173E" w:rsidRPr="00651AA9" w:rsidTr="00651AA9">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651AA9" w:rsidRDefault="00BD593F" w:rsidP="00BD593F">
            <w:pPr>
              <w:rPr>
                <w:color w:val="000000"/>
                <w:sz w:val="19"/>
                <w:szCs w:val="19"/>
              </w:rPr>
            </w:pPr>
            <w:r w:rsidRPr="00651AA9">
              <w:rPr>
                <w:color w:val="000000"/>
                <w:sz w:val="19"/>
                <w:szCs w:val="19"/>
              </w:rPr>
              <w:t>Small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6843B2">
            <w:pPr>
              <w:jc w:val="center"/>
              <w:rPr>
                <w:color w:val="000000"/>
                <w:sz w:val="19"/>
                <w:szCs w:val="19"/>
              </w:rPr>
            </w:pPr>
            <w:r w:rsidRPr="00651AA9">
              <w:rPr>
                <w:color w:val="000000"/>
                <w:sz w:val="19"/>
                <w:szCs w:val="19"/>
              </w:rPr>
              <w:t>Non-Residential</w:t>
            </w:r>
          </w:p>
        </w:tc>
      </w:tr>
      <w:tr w:rsidR="00E7173E" w:rsidRPr="00651AA9" w:rsidTr="00651AA9">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Large C/I Equipment</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6843B2">
            <w:pPr>
              <w:jc w:val="center"/>
              <w:rPr>
                <w:color w:val="000000"/>
                <w:sz w:val="19"/>
                <w:szCs w:val="19"/>
              </w:rPr>
            </w:pPr>
            <w:r w:rsidRPr="00651AA9">
              <w:rPr>
                <w:color w:val="000000"/>
                <w:sz w:val="19"/>
                <w:szCs w:val="19"/>
              </w:rPr>
              <w:t>Non-Residential</w:t>
            </w:r>
          </w:p>
        </w:tc>
      </w:tr>
      <w:tr w:rsidR="00E7173E" w:rsidRPr="00651AA9" w:rsidTr="00651AA9">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651AA9" w:rsidRDefault="00BD593F" w:rsidP="00BD593F">
            <w:pPr>
              <w:rPr>
                <w:color w:val="000000"/>
                <w:sz w:val="19"/>
                <w:szCs w:val="19"/>
              </w:rPr>
            </w:pPr>
            <w:r w:rsidRPr="00651AA9">
              <w:rPr>
                <w:color w:val="000000"/>
                <w:sz w:val="19"/>
                <w:szCs w:val="19"/>
              </w:rPr>
              <w:t>Large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6843B2">
            <w:pPr>
              <w:jc w:val="center"/>
              <w:rPr>
                <w:color w:val="000000"/>
                <w:sz w:val="19"/>
                <w:szCs w:val="19"/>
              </w:rPr>
            </w:pPr>
            <w:r w:rsidRPr="00651AA9">
              <w:rPr>
                <w:color w:val="000000"/>
                <w:sz w:val="19"/>
                <w:szCs w:val="19"/>
              </w:rPr>
              <w:t>Non-Residential</w:t>
            </w:r>
          </w:p>
        </w:tc>
      </w:tr>
      <w:tr w:rsidR="00E7173E" w:rsidRPr="00651AA9" w:rsidTr="00651AA9">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Gov./Institutional</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6843B2">
            <w:pPr>
              <w:jc w:val="center"/>
              <w:rPr>
                <w:color w:val="000000"/>
                <w:sz w:val="19"/>
                <w:szCs w:val="19"/>
              </w:rPr>
            </w:pPr>
            <w:r w:rsidRPr="00651AA9">
              <w:rPr>
                <w:color w:val="000000"/>
                <w:sz w:val="19"/>
                <w:szCs w:val="19"/>
              </w:rPr>
              <w:t>GNI</w:t>
            </w:r>
          </w:p>
        </w:tc>
      </w:tr>
    </w:tbl>
    <w:p w:rsidR="006F7DE9" w:rsidRPr="006843B2" w:rsidRDefault="006F7DE9" w:rsidP="006843B2"/>
    <w:p w:rsidR="006F7DE9" w:rsidRDefault="006F7DE9" w:rsidP="004837FA">
      <w:pPr>
        <w:pStyle w:val="Caption"/>
      </w:pPr>
      <w:bookmarkStart w:id="795" w:name="_Ref472359208"/>
      <w:bookmarkStart w:id="796" w:name="_Toc472472461"/>
      <w:bookmarkStart w:id="797" w:name="_Toc488741880"/>
      <w:r w:rsidRPr="00E41D9C">
        <w:t>Table A-</w:t>
      </w:r>
      <w:r w:rsidR="007973A4">
        <w:fldChar w:fldCharType="begin"/>
      </w:r>
      <w:r w:rsidR="007973A4">
        <w:instrText xml:space="preserve"> SEQ Table_A- \* ARABIC </w:instrText>
      </w:r>
      <w:r w:rsidR="007973A4">
        <w:fldChar w:fldCharType="separate"/>
      </w:r>
      <w:r w:rsidR="00037CB4">
        <w:rPr>
          <w:noProof/>
        </w:rPr>
        <w:t>52</w:t>
      </w:r>
      <w:r w:rsidR="007973A4">
        <w:rPr>
          <w:noProof/>
        </w:rPr>
        <w:fldChar w:fldCharType="end"/>
      </w:r>
      <w:bookmarkEnd w:id="795"/>
      <w:r w:rsidRPr="00E41D9C">
        <w:t xml:space="preserve">: </w:t>
      </w:r>
      <w:r w:rsidRPr="005A1DB5">
        <w:t xml:space="preserve">Summary of </w:t>
      </w:r>
      <w:r w:rsidR="000D0C36">
        <w:t>Penelec</w:t>
      </w:r>
      <w:r w:rsidRPr="005A1DB5">
        <w:t xml:space="preserve"> EE&amp;C Program Impacts on Verified Gross Portfolio Savings</w:t>
      </w:r>
      <w:bookmarkEnd w:id="796"/>
      <w:bookmarkEnd w:id="797"/>
    </w:p>
    <w:tbl>
      <w:tblPr>
        <w:tblW w:w="9350" w:type="dxa"/>
        <w:tblLayout w:type="fixed"/>
        <w:tblLook w:val="04A0" w:firstRow="1" w:lastRow="0" w:firstColumn="1" w:lastColumn="0" w:noHBand="0" w:noVBand="1"/>
      </w:tblPr>
      <w:tblGrid>
        <w:gridCol w:w="2180"/>
        <w:gridCol w:w="1792"/>
        <w:gridCol w:w="1793"/>
        <w:gridCol w:w="1792"/>
        <w:gridCol w:w="1793"/>
      </w:tblGrid>
      <w:tr w:rsidR="00A874AC" w:rsidRPr="00651AA9" w:rsidTr="006843B2">
        <w:trPr>
          <w:trHeight w:val="780"/>
        </w:trPr>
        <w:tc>
          <w:tcPr>
            <w:tcW w:w="218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BD593F" w:rsidRPr="00651AA9" w:rsidRDefault="00BD593F" w:rsidP="006843B2">
            <w:pPr>
              <w:rPr>
                <w:b/>
                <w:bCs/>
                <w:color w:val="FFFFFF"/>
                <w:sz w:val="19"/>
                <w:szCs w:val="19"/>
              </w:rPr>
            </w:pPr>
            <w:r w:rsidRPr="00651AA9">
              <w:rPr>
                <w:b/>
                <w:bCs/>
                <w:color w:val="FFFFFF"/>
                <w:sz w:val="19"/>
                <w:szCs w:val="19"/>
              </w:rPr>
              <w:t>Program</w:t>
            </w:r>
          </w:p>
        </w:tc>
        <w:tc>
          <w:tcPr>
            <w:tcW w:w="1792"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651AA9" w:rsidRDefault="00BD593F" w:rsidP="006843B2">
            <w:pPr>
              <w:jc w:val="center"/>
              <w:rPr>
                <w:b/>
                <w:bCs/>
                <w:color w:val="FFFFFF"/>
                <w:sz w:val="19"/>
                <w:szCs w:val="19"/>
              </w:rPr>
            </w:pPr>
            <w:r w:rsidRPr="00651AA9">
              <w:rPr>
                <w:b/>
                <w:bCs/>
                <w:color w:val="FFFFFF"/>
                <w:sz w:val="19"/>
                <w:szCs w:val="19"/>
              </w:rPr>
              <w:t>Phase II VG Savings (MWh)</w:t>
            </w:r>
          </w:p>
        </w:tc>
        <w:tc>
          <w:tcPr>
            <w:tcW w:w="1793"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651AA9" w:rsidRDefault="00BD593F" w:rsidP="006843B2">
            <w:pPr>
              <w:jc w:val="center"/>
              <w:rPr>
                <w:b/>
                <w:bCs/>
                <w:color w:val="FFFFFF"/>
                <w:sz w:val="19"/>
                <w:szCs w:val="19"/>
              </w:rPr>
            </w:pPr>
            <w:r w:rsidRPr="00651AA9">
              <w:rPr>
                <w:b/>
                <w:bCs/>
                <w:color w:val="FFFFFF"/>
                <w:sz w:val="19"/>
                <w:szCs w:val="19"/>
              </w:rPr>
              <w:t>Percent of Portfolio Phase II VG MWh Savings</w:t>
            </w:r>
          </w:p>
        </w:tc>
        <w:tc>
          <w:tcPr>
            <w:tcW w:w="1792"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651AA9" w:rsidRDefault="00BD593F" w:rsidP="006843B2">
            <w:pPr>
              <w:jc w:val="center"/>
              <w:rPr>
                <w:b/>
                <w:bCs/>
                <w:color w:val="FFFFFF"/>
                <w:sz w:val="19"/>
                <w:szCs w:val="19"/>
              </w:rPr>
            </w:pPr>
            <w:r w:rsidRPr="00651AA9">
              <w:rPr>
                <w:b/>
                <w:bCs/>
                <w:color w:val="FFFFFF"/>
                <w:sz w:val="19"/>
                <w:szCs w:val="19"/>
              </w:rPr>
              <w:t>Phase II VG Savings (MW)</w:t>
            </w:r>
          </w:p>
        </w:tc>
        <w:tc>
          <w:tcPr>
            <w:tcW w:w="1793"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651AA9" w:rsidRDefault="00BD593F" w:rsidP="006843B2">
            <w:pPr>
              <w:jc w:val="center"/>
              <w:rPr>
                <w:b/>
                <w:bCs/>
                <w:color w:val="FFFFFF"/>
                <w:sz w:val="19"/>
                <w:szCs w:val="19"/>
              </w:rPr>
            </w:pPr>
            <w:r w:rsidRPr="00651AA9">
              <w:rPr>
                <w:b/>
                <w:bCs/>
                <w:color w:val="FFFFFF"/>
                <w:sz w:val="19"/>
                <w:szCs w:val="19"/>
              </w:rPr>
              <w:t>Percent of Portfolio Phase II VG MW Savings</w:t>
            </w:r>
          </w:p>
        </w:tc>
      </w:tr>
      <w:tr w:rsidR="00E7173E" w:rsidRPr="00651AA9"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Appliance Turn-In</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12,857</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651AA9" w:rsidRDefault="00BD593F" w:rsidP="00BD593F">
            <w:pPr>
              <w:jc w:val="center"/>
              <w:rPr>
                <w:color w:val="000000"/>
                <w:sz w:val="19"/>
                <w:szCs w:val="19"/>
              </w:rPr>
            </w:pPr>
            <w:r w:rsidRPr="00651AA9">
              <w:rPr>
                <w:color w:val="000000"/>
                <w:sz w:val="19"/>
                <w:szCs w:val="19"/>
              </w:rPr>
              <w:t>3%</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1.82</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651AA9" w:rsidRDefault="00BD593F" w:rsidP="00BD593F">
            <w:pPr>
              <w:jc w:val="center"/>
              <w:rPr>
                <w:color w:val="000000"/>
                <w:sz w:val="19"/>
                <w:szCs w:val="19"/>
              </w:rPr>
            </w:pPr>
            <w:r w:rsidRPr="00651AA9">
              <w:rPr>
                <w:color w:val="000000"/>
                <w:sz w:val="19"/>
                <w:szCs w:val="19"/>
              </w:rPr>
              <w:t>4%</w:t>
            </w:r>
          </w:p>
        </w:tc>
      </w:tr>
      <w:tr w:rsidR="00A874AC" w:rsidRPr="00651AA9"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651AA9" w:rsidRDefault="00BD593F" w:rsidP="00BD593F">
            <w:pPr>
              <w:rPr>
                <w:color w:val="000000"/>
                <w:sz w:val="19"/>
                <w:szCs w:val="19"/>
              </w:rPr>
            </w:pPr>
            <w:r w:rsidRPr="00651AA9">
              <w:rPr>
                <w:color w:val="000000"/>
                <w:sz w:val="19"/>
                <w:szCs w:val="19"/>
              </w:rPr>
              <w:t>Efficient Products</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91,250</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651AA9" w:rsidRDefault="00BD593F" w:rsidP="00BD593F">
            <w:pPr>
              <w:jc w:val="center"/>
              <w:rPr>
                <w:color w:val="000000"/>
                <w:sz w:val="19"/>
                <w:szCs w:val="19"/>
              </w:rPr>
            </w:pPr>
            <w:r w:rsidRPr="00651AA9">
              <w:rPr>
                <w:color w:val="000000"/>
                <w:sz w:val="19"/>
                <w:szCs w:val="19"/>
              </w:rPr>
              <w:t>25%</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8.51</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19%</w:t>
            </w:r>
          </w:p>
        </w:tc>
      </w:tr>
      <w:tr w:rsidR="00E7173E" w:rsidRPr="00651AA9"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Home Performance</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96,807</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651AA9" w:rsidRDefault="00BD593F" w:rsidP="00BD593F">
            <w:pPr>
              <w:jc w:val="center"/>
              <w:rPr>
                <w:color w:val="000000"/>
                <w:sz w:val="19"/>
                <w:szCs w:val="19"/>
              </w:rPr>
            </w:pPr>
            <w:r w:rsidRPr="00651AA9">
              <w:rPr>
                <w:color w:val="000000"/>
                <w:sz w:val="19"/>
                <w:szCs w:val="19"/>
              </w:rPr>
              <w:t>26%</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8.44</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651AA9" w:rsidRDefault="00BD593F" w:rsidP="00BD593F">
            <w:pPr>
              <w:jc w:val="center"/>
              <w:rPr>
                <w:color w:val="000000"/>
                <w:sz w:val="19"/>
                <w:szCs w:val="19"/>
              </w:rPr>
            </w:pPr>
            <w:r w:rsidRPr="00651AA9">
              <w:rPr>
                <w:color w:val="000000"/>
                <w:sz w:val="19"/>
                <w:szCs w:val="19"/>
              </w:rPr>
              <w:t>19%</w:t>
            </w:r>
          </w:p>
        </w:tc>
      </w:tr>
      <w:tr w:rsidR="00A874AC" w:rsidRPr="00651AA9"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651AA9" w:rsidRDefault="00BD593F" w:rsidP="00BD593F">
            <w:pPr>
              <w:rPr>
                <w:color w:val="000000"/>
                <w:sz w:val="19"/>
                <w:szCs w:val="19"/>
              </w:rPr>
            </w:pPr>
            <w:r w:rsidRPr="00651AA9">
              <w:rPr>
                <w:color w:val="000000"/>
                <w:sz w:val="19"/>
                <w:szCs w:val="19"/>
              </w:rPr>
              <w:t>Low Income</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9,789</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651AA9" w:rsidRDefault="00BD593F" w:rsidP="00BD593F">
            <w:pPr>
              <w:jc w:val="center"/>
              <w:rPr>
                <w:color w:val="000000"/>
                <w:sz w:val="19"/>
                <w:szCs w:val="19"/>
              </w:rPr>
            </w:pPr>
            <w:r w:rsidRPr="00651AA9">
              <w:rPr>
                <w:color w:val="000000"/>
                <w:sz w:val="19"/>
                <w:szCs w:val="19"/>
              </w:rPr>
              <w:t>3%</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0.74</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2%</w:t>
            </w:r>
          </w:p>
        </w:tc>
      </w:tr>
      <w:tr w:rsidR="00E7173E" w:rsidRPr="00651AA9"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Small C/I Equipment</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55,842</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651AA9" w:rsidRDefault="00BD593F" w:rsidP="00BD593F">
            <w:pPr>
              <w:jc w:val="center"/>
              <w:rPr>
                <w:color w:val="000000"/>
                <w:sz w:val="19"/>
                <w:szCs w:val="19"/>
              </w:rPr>
            </w:pPr>
            <w:r w:rsidRPr="00651AA9">
              <w:rPr>
                <w:color w:val="000000"/>
                <w:sz w:val="19"/>
                <w:szCs w:val="19"/>
              </w:rPr>
              <w:t>15%</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9.52</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651AA9" w:rsidRDefault="00BD593F" w:rsidP="00BD593F">
            <w:pPr>
              <w:jc w:val="center"/>
              <w:rPr>
                <w:color w:val="000000"/>
                <w:sz w:val="19"/>
                <w:szCs w:val="19"/>
              </w:rPr>
            </w:pPr>
            <w:r w:rsidRPr="00651AA9">
              <w:rPr>
                <w:color w:val="000000"/>
                <w:sz w:val="19"/>
                <w:szCs w:val="19"/>
              </w:rPr>
              <w:t>21%</w:t>
            </w:r>
          </w:p>
        </w:tc>
      </w:tr>
      <w:tr w:rsidR="00A874AC" w:rsidRPr="00651AA9"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651AA9" w:rsidRDefault="00BD593F" w:rsidP="00BD593F">
            <w:pPr>
              <w:rPr>
                <w:color w:val="000000"/>
                <w:sz w:val="19"/>
                <w:szCs w:val="19"/>
              </w:rPr>
            </w:pPr>
            <w:r w:rsidRPr="00651AA9">
              <w:rPr>
                <w:color w:val="000000"/>
                <w:sz w:val="19"/>
                <w:szCs w:val="19"/>
              </w:rPr>
              <w:t>Small C/I Buildings</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9,037</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651AA9" w:rsidRDefault="00BD593F" w:rsidP="00BD593F">
            <w:pPr>
              <w:jc w:val="center"/>
              <w:rPr>
                <w:color w:val="000000"/>
                <w:sz w:val="19"/>
                <w:szCs w:val="19"/>
              </w:rPr>
            </w:pPr>
            <w:r w:rsidRPr="00651AA9">
              <w:rPr>
                <w:color w:val="000000"/>
                <w:sz w:val="19"/>
                <w:szCs w:val="19"/>
              </w:rPr>
              <w:t>2%</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1.28</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3%</w:t>
            </w:r>
          </w:p>
        </w:tc>
      </w:tr>
      <w:tr w:rsidR="00E7173E" w:rsidRPr="00651AA9"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Large C/I Equipment</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80,030</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651AA9" w:rsidRDefault="00BD593F" w:rsidP="00BD593F">
            <w:pPr>
              <w:jc w:val="center"/>
              <w:rPr>
                <w:color w:val="000000"/>
                <w:sz w:val="19"/>
                <w:szCs w:val="19"/>
              </w:rPr>
            </w:pPr>
            <w:r w:rsidRPr="00651AA9">
              <w:rPr>
                <w:color w:val="000000"/>
                <w:sz w:val="19"/>
                <w:szCs w:val="19"/>
              </w:rPr>
              <w:t>22%</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12.69</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651AA9" w:rsidRDefault="00BD593F" w:rsidP="00BD593F">
            <w:pPr>
              <w:jc w:val="center"/>
              <w:rPr>
                <w:color w:val="000000"/>
                <w:sz w:val="19"/>
                <w:szCs w:val="19"/>
              </w:rPr>
            </w:pPr>
            <w:r w:rsidRPr="00651AA9">
              <w:rPr>
                <w:color w:val="000000"/>
                <w:sz w:val="19"/>
                <w:szCs w:val="19"/>
              </w:rPr>
              <w:t>29%</w:t>
            </w:r>
          </w:p>
        </w:tc>
      </w:tr>
      <w:tr w:rsidR="00A874AC" w:rsidRPr="00651AA9"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651AA9" w:rsidRDefault="00BD593F" w:rsidP="00BD593F">
            <w:pPr>
              <w:rPr>
                <w:color w:val="000000"/>
                <w:sz w:val="19"/>
                <w:szCs w:val="19"/>
              </w:rPr>
            </w:pPr>
            <w:r w:rsidRPr="00651AA9">
              <w:rPr>
                <w:color w:val="000000"/>
                <w:sz w:val="19"/>
                <w:szCs w:val="19"/>
              </w:rPr>
              <w:t>Large C/I Buildings</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11,923</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651AA9" w:rsidRDefault="00BD593F" w:rsidP="00BD593F">
            <w:pPr>
              <w:jc w:val="center"/>
              <w:rPr>
                <w:color w:val="000000"/>
                <w:sz w:val="19"/>
                <w:szCs w:val="19"/>
              </w:rPr>
            </w:pPr>
            <w:r w:rsidRPr="00651AA9">
              <w:rPr>
                <w:color w:val="000000"/>
                <w:sz w:val="19"/>
                <w:szCs w:val="19"/>
              </w:rPr>
              <w:t>3%</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1.14</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color w:val="000000"/>
                <w:sz w:val="19"/>
                <w:szCs w:val="19"/>
              </w:rPr>
            </w:pPr>
            <w:r w:rsidRPr="00651AA9">
              <w:rPr>
                <w:color w:val="000000"/>
                <w:sz w:val="19"/>
                <w:szCs w:val="19"/>
              </w:rPr>
              <w:t>3%</w:t>
            </w:r>
          </w:p>
        </w:tc>
      </w:tr>
      <w:tr w:rsidR="00E7173E" w:rsidRPr="00651AA9"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651AA9" w:rsidRDefault="00BD593F" w:rsidP="00BD593F">
            <w:pPr>
              <w:rPr>
                <w:color w:val="000000"/>
                <w:sz w:val="19"/>
                <w:szCs w:val="19"/>
              </w:rPr>
            </w:pPr>
            <w:r w:rsidRPr="00651AA9">
              <w:rPr>
                <w:color w:val="000000"/>
                <w:sz w:val="19"/>
                <w:szCs w:val="19"/>
              </w:rPr>
              <w:t>Gov./Institutional</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974</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651AA9" w:rsidRDefault="00BD593F" w:rsidP="00BD593F">
            <w:pPr>
              <w:jc w:val="center"/>
              <w:rPr>
                <w:color w:val="000000"/>
                <w:sz w:val="19"/>
                <w:szCs w:val="19"/>
              </w:rPr>
            </w:pPr>
            <w:r w:rsidRPr="00651AA9">
              <w:rPr>
                <w:color w:val="000000"/>
                <w:sz w:val="19"/>
                <w:szCs w:val="19"/>
              </w:rPr>
              <w:t>0%</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0.17</w:t>
            </w:r>
          </w:p>
        </w:tc>
        <w:tc>
          <w:tcPr>
            <w:tcW w:w="1793" w:type="dxa"/>
            <w:tcBorders>
              <w:top w:val="nil"/>
              <w:left w:val="nil"/>
              <w:bottom w:val="single" w:sz="8" w:space="0" w:color="448A99"/>
              <w:right w:val="single" w:sz="8" w:space="0" w:color="448A99"/>
            </w:tcBorders>
            <w:shd w:val="clear" w:color="auto" w:fill="auto"/>
            <w:vAlign w:val="center"/>
            <w:hideMark/>
          </w:tcPr>
          <w:p w:rsidR="00BD593F" w:rsidRPr="00651AA9" w:rsidRDefault="00BD593F" w:rsidP="00BD593F">
            <w:pPr>
              <w:jc w:val="center"/>
              <w:rPr>
                <w:color w:val="000000"/>
                <w:sz w:val="19"/>
                <w:szCs w:val="19"/>
              </w:rPr>
            </w:pPr>
            <w:r w:rsidRPr="00651AA9">
              <w:rPr>
                <w:color w:val="000000"/>
                <w:sz w:val="19"/>
                <w:szCs w:val="19"/>
              </w:rPr>
              <w:t>0%</w:t>
            </w:r>
          </w:p>
        </w:tc>
      </w:tr>
      <w:tr w:rsidR="00A874AC" w:rsidRPr="00651AA9"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noWrap/>
            <w:vAlign w:val="center"/>
            <w:hideMark/>
          </w:tcPr>
          <w:p w:rsidR="00BD593F" w:rsidRPr="00651AA9" w:rsidRDefault="00BD593F" w:rsidP="00BD593F">
            <w:pPr>
              <w:jc w:val="left"/>
              <w:rPr>
                <w:b/>
                <w:bCs/>
                <w:i/>
                <w:iCs/>
                <w:color w:val="000000"/>
                <w:sz w:val="19"/>
                <w:szCs w:val="19"/>
              </w:rPr>
            </w:pPr>
            <w:r w:rsidRPr="00651AA9">
              <w:rPr>
                <w:b/>
                <w:bCs/>
                <w:i/>
                <w:iCs/>
                <w:color w:val="000000"/>
                <w:sz w:val="19"/>
                <w:szCs w:val="19"/>
              </w:rPr>
              <w:t>Total Portfolio</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b/>
                <w:bCs/>
                <w:i/>
                <w:iCs/>
                <w:color w:val="000000"/>
                <w:sz w:val="19"/>
                <w:szCs w:val="19"/>
              </w:rPr>
            </w:pPr>
            <w:r w:rsidRPr="00651AA9">
              <w:rPr>
                <w:b/>
                <w:bCs/>
                <w:i/>
                <w:iCs/>
                <w:color w:val="000000"/>
                <w:sz w:val="19"/>
                <w:szCs w:val="19"/>
              </w:rPr>
              <w:t>368,508</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651AA9" w:rsidRDefault="00BD593F" w:rsidP="00BD593F">
            <w:pPr>
              <w:jc w:val="center"/>
              <w:rPr>
                <w:b/>
                <w:bCs/>
                <w:i/>
                <w:iCs/>
                <w:color w:val="000000"/>
                <w:sz w:val="19"/>
                <w:szCs w:val="19"/>
              </w:rPr>
            </w:pPr>
            <w:r w:rsidRPr="00651AA9">
              <w:rPr>
                <w:b/>
                <w:bCs/>
                <w:i/>
                <w:iCs/>
                <w:color w:val="000000"/>
                <w:sz w:val="19"/>
                <w:szCs w:val="19"/>
              </w:rPr>
              <w:t>100%</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b/>
                <w:bCs/>
                <w:i/>
                <w:iCs/>
                <w:color w:val="000000"/>
                <w:sz w:val="19"/>
                <w:szCs w:val="19"/>
              </w:rPr>
            </w:pPr>
            <w:r w:rsidRPr="00651AA9">
              <w:rPr>
                <w:b/>
                <w:bCs/>
                <w:i/>
                <w:iCs/>
                <w:color w:val="000000"/>
                <w:sz w:val="19"/>
                <w:szCs w:val="19"/>
              </w:rPr>
              <w:t>44.31</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651AA9" w:rsidRDefault="00BD593F" w:rsidP="00BD593F">
            <w:pPr>
              <w:jc w:val="center"/>
              <w:rPr>
                <w:b/>
                <w:bCs/>
                <w:i/>
                <w:iCs/>
                <w:color w:val="000000"/>
                <w:sz w:val="19"/>
                <w:szCs w:val="19"/>
              </w:rPr>
            </w:pPr>
            <w:r w:rsidRPr="00651AA9">
              <w:rPr>
                <w:b/>
                <w:bCs/>
                <w:i/>
                <w:iCs/>
                <w:color w:val="000000"/>
                <w:sz w:val="19"/>
                <w:szCs w:val="19"/>
              </w:rPr>
              <w:t>100%</w:t>
            </w:r>
          </w:p>
        </w:tc>
      </w:tr>
    </w:tbl>
    <w:p w:rsidR="00BD593F" w:rsidRDefault="00BD593F" w:rsidP="006F7DE9"/>
    <w:p w:rsidR="00735BA9" w:rsidRDefault="00735BA9" w:rsidP="009C0DF1">
      <w:pPr>
        <w:pStyle w:val="AppendixAHeading3"/>
      </w:pPr>
      <w:r>
        <w:t>PY7 Gross and Net Savings by Sector</w:t>
      </w:r>
    </w:p>
    <w:p w:rsidR="00710D47" w:rsidRDefault="00710D47" w:rsidP="00710D47">
      <w:r w:rsidRPr="00C23348">
        <w:t>The sector-level verified gross and net energy savings achieved in PY7 are provided</w:t>
      </w:r>
      <w:r>
        <w:t xml:space="preserve"> in </w:t>
      </w:r>
      <w:r>
        <w:fldChar w:fldCharType="begin"/>
      </w:r>
      <w:r>
        <w:instrText xml:space="preserve"> REF _Ref472360189 \h </w:instrText>
      </w:r>
      <w:r>
        <w:fldChar w:fldCharType="separate"/>
      </w:r>
      <w:r w:rsidR="00037CB4" w:rsidRPr="00E41D9C">
        <w:t>Table A-</w:t>
      </w:r>
      <w:r w:rsidR="00037CB4">
        <w:rPr>
          <w:noProof/>
        </w:rPr>
        <w:t>53</w:t>
      </w:r>
      <w:r>
        <w:fldChar w:fldCharType="end"/>
      </w:r>
      <w:r>
        <w:t xml:space="preserve">. In PY7, the net energy savings were </w:t>
      </w:r>
      <w:r w:rsidRPr="00B73953">
        <w:t>approximately 75% of the</w:t>
      </w:r>
      <w:r>
        <w:t xml:space="preserve"> gross energy savings.</w:t>
      </w:r>
    </w:p>
    <w:p w:rsidR="00710D47" w:rsidRPr="00C23348" w:rsidRDefault="00710D47" w:rsidP="00710D47"/>
    <w:p w:rsidR="00710D47" w:rsidRDefault="00710D47" w:rsidP="004837FA">
      <w:pPr>
        <w:pStyle w:val="Caption"/>
      </w:pPr>
      <w:bookmarkStart w:id="798" w:name="_Ref472360189"/>
      <w:bookmarkStart w:id="799" w:name="_Toc472472462"/>
      <w:bookmarkStart w:id="800" w:name="_Toc488741881"/>
      <w:r w:rsidRPr="00E41D9C">
        <w:t>Table A-</w:t>
      </w:r>
      <w:r w:rsidR="007973A4">
        <w:fldChar w:fldCharType="begin"/>
      </w:r>
      <w:r w:rsidR="007973A4">
        <w:instrText xml:space="preserve"> SEQ Table_A- \* ARABIC </w:instrText>
      </w:r>
      <w:r w:rsidR="007973A4">
        <w:fldChar w:fldCharType="separate"/>
      </w:r>
      <w:r w:rsidR="00037CB4">
        <w:rPr>
          <w:noProof/>
        </w:rPr>
        <w:t>53</w:t>
      </w:r>
      <w:r w:rsidR="007973A4">
        <w:rPr>
          <w:noProof/>
        </w:rPr>
        <w:fldChar w:fldCharType="end"/>
      </w:r>
      <w:bookmarkEnd w:id="798"/>
      <w:r w:rsidRPr="00E41D9C">
        <w:t xml:space="preserve">: </w:t>
      </w:r>
      <w:r w:rsidRPr="008B45A8">
        <w:t xml:space="preserve">Summary of </w:t>
      </w:r>
      <w:r>
        <w:t>Penelec</w:t>
      </w:r>
      <w:r w:rsidRPr="008B45A8">
        <w:t xml:space="preserve"> EE&amp;C Verified Net Savings – by Sector</w:t>
      </w:r>
      <w:bookmarkEnd w:id="799"/>
      <w:bookmarkEnd w:id="800"/>
    </w:p>
    <w:tbl>
      <w:tblPr>
        <w:tblW w:w="9350" w:type="dxa"/>
        <w:tblLook w:val="04A0" w:firstRow="1" w:lastRow="0" w:firstColumn="1" w:lastColumn="0" w:noHBand="0" w:noVBand="1"/>
      </w:tblPr>
      <w:tblGrid>
        <w:gridCol w:w="1870"/>
        <w:gridCol w:w="1870"/>
        <w:gridCol w:w="1870"/>
        <w:gridCol w:w="1870"/>
        <w:gridCol w:w="1870"/>
      </w:tblGrid>
      <w:tr w:rsidR="00A874AC" w:rsidRPr="00651AA9" w:rsidTr="00651AA9">
        <w:trPr>
          <w:trHeight w:val="288"/>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651AA9" w:rsidRDefault="00710D47" w:rsidP="006843B2">
            <w:pPr>
              <w:rPr>
                <w:b/>
                <w:bCs/>
                <w:color w:val="FFFFFF"/>
                <w:sz w:val="19"/>
                <w:szCs w:val="19"/>
              </w:rPr>
            </w:pPr>
            <w:r w:rsidRPr="00651AA9">
              <w:rPr>
                <w:b/>
                <w:bCs/>
                <w:color w:val="FFFFFF"/>
                <w:sz w:val="19"/>
                <w:szCs w:val="19"/>
              </w:rPr>
              <w:t>Sector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651AA9" w:rsidRDefault="00710D47" w:rsidP="006843B2">
            <w:pPr>
              <w:jc w:val="center"/>
              <w:rPr>
                <w:b/>
                <w:bCs/>
                <w:color w:val="FFFFFF"/>
                <w:sz w:val="19"/>
                <w:szCs w:val="19"/>
              </w:rPr>
            </w:pPr>
            <w:r w:rsidRPr="00651AA9">
              <w:rPr>
                <w:b/>
                <w:bCs/>
                <w:color w:val="FFFFFF"/>
                <w:sz w:val="19"/>
                <w:szCs w:val="19"/>
              </w:rPr>
              <w:t>PY7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651AA9" w:rsidRDefault="00710D47" w:rsidP="006843B2">
            <w:pPr>
              <w:jc w:val="center"/>
              <w:rPr>
                <w:b/>
                <w:bCs/>
                <w:color w:val="FFFFFF"/>
                <w:sz w:val="19"/>
                <w:szCs w:val="19"/>
              </w:rPr>
            </w:pPr>
            <w:r w:rsidRPr="00651AA9">
              <w:rPr>
                <w:b/>
                <w:bCs/>
                <w:color w:val="FFFFFF"/>
                <w:sz w:val="19"/>
                <w:szCs w:val="19"/>
              </w:rPr>
              <w:t>PY7 Verified Net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651AA9" w:rsidRDefault="00710D47" w:rsidP="006843B2">
            <w:pPr>
              <w:jc w:val="center"/>
              <w:rPr>
                <w:b/>
                <w:bCs/>
                <w:color w:val="FFFFFF"/>
                <w:sz w:val="19"/>
                <w:szCs w:val="19"/>
              </w:rPr>
            </w:pPr>
            <w:r w:rsidRPr="00651AA9">
              <w:rPr>
                <w:b/>
                <w:bCs/>
                <w:color w:val="FFFFFF"/>
                <w:sz w:val="19"/>
                <w:szCs w:val="19"/>
              </w:rPr>
              <w:t>Phase II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651AA9" w:rsidRDefault="00710D47" w:rsidP="006843B2">
            <w:pPr>
              <w:jc w:val="center"/>
              <w:rPr>
                <w:b/>
                <w:bCs/>
                <w:color w:val="FFFFFF"/>
                <w:sz w:val="19"/>
                <w:szCs w:val="19"/>
              </w:rPr>
            </w:pPr>
            <w:r w:rsidRPr="00651AA9">
              <w:rPr>
                <w:b/>
                <w:bCs/>
                <w:color w:val="FFFFFF"/>
                <w:sz w:val="19"/>
                <w:szCs w:val="19"/>
              </w:rPr>
              <w:t>Phase II Verified Net Savings (MWh/yr)</w:t>
            </w:r>
          </w:p>
        </w:tc>
      </w:tr>
      <w:tr w:rsidR="00E7173E" w:rsidRPr="00651AA9" w:rsidTr="00651AA9">
        <w:trPr>
          <w:trHeight w:val="288"/>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B73953" w:rsidRPr="00651AA9" w:rsidRDefault="00B73953" w:rsidP="00B73953">
            <w:pPr>
              <w:jc w:val="left"/>
              <w:rPr>
                <w:color w:val="000000"/>
                <w:sz w:val="19"/>
                <w:szCs w:val="19"/>
              </w:rPr>
            </w:pPr>
            <w:r w:rsidRPr="00651AA9">
              <w:rPr>
                <w:color w:val="000000"/>
                <w:sz w:val="19"/>
                <w:szCs w:val="19"/>
              </w:rPr>
              <w:t>Residential</w:t>
            </w:r>
          </w:p>
        </w:tc>
        <w:tc>
          <w:tcPr>
            <w:tcW w:w="1870" w:type="dxa"/>
            <w:tcBorders>
              <w:top w:val="nil"/>
              <w:left w:val="nil"/>
              <w:bottom w:val="single" w:sz="8" w:space="0" w:color="448A99"/>
              <w:right w:val="single" w:sz="8" w:space="0" w:color="448A99"/>
            </w:tcBorders>
            <w:shd w:val="clear" w:color="auto" w:fill="auto"/>
            <w:vAlign w:val="center"/>
          </w:tcPr>
          <w:p w:rsidR="00B73953" w:rsidRPr="00651AA9" w:rsidRDefault="00B73953" w:rsidP="00B73953">
            <w:pPr>
              <w:jc w:val="center"/>
              <w:rPr>
                <w:color w:val="000000"/>
                <w:sz w:val="19"/>
                <w:szCs w:val="19"/>
              </w:rPr>
            </w:pPr>
            <w:r w:rsidRPr="00651AA9">
              <w:rPr>
                <w:color w:val="000000"/>
                <w:sz w:val="19"/>
                <w:szCs w:val="19"/>
              </w:rPr>
              <w:t>87,654</w:t>
            </w:r>
          </w:p>
        </w:tc>
        <w:tc>
          <w:tcPr>
            <w:tcW w:w="1870" w:type="dxa"/>
            <w:tcBorders>
              <w:top w:val="nil"/>
              <w:left w:val="nil"/>
              <w:bottom w:val="single" w:sz="8" w:space="0" w:color="448A99"/>
              <w:right w:val="single" w:sz="8" w:space="0" w:color="448A99"/>
            </w:tcBorders>
            <w:shd w:val="clear" w:color="auto" w:fill="auto"/>
            <w:vAlign w:val="center"/>
          </w:tcPr>
          <w:p w:rsidR="00B73953" w:rsidRPr="00651AA9" w:rsidRDefault="00B73953" w:rsidP="00B73953">
            <w:pPr>
              <w:jc w:val="center"/>
              <w:rPr>
                <w:color w:val="000000"/>
                <w:sz w:val="19"/>
                <w:szCs w:val="19"/>
              </w:rPr>
            </w:pPr>
            <w:r w:rsidRPr="00651AA9">
              <w:rPr>
                <w:color w:val="000000"/>
                <w:sz w:val="19"/>
                <w:szCs w:val="19"/>
              </w:rPr>
              <w:t>67,978</w:t>
            </w:r>
          </w:p>
        </w:tc>
        <w:tc>
          <w:tcPr>
            <w:tcW w:w="1870" w:type="dxa"/>
            <w:tcBorders>
              <w:top w:val="nil"/>
              <w:left w:val="nil"/>
              <w:bottom w:val="single" w:sz="8" w:space="0" w:color="448A99"/>
              <w:right w:val="single" w:sz="8" w:space="0" w:color="448A99"/>
            </w:tcBorders>
            <w:shd w:val="clear" w:color="auto" w:fill="auto"/>
            <w:vAlign w:val="center"/>
          </w:tcPr>
          <w:p w:rsidR="00B73953" w:rsidRPr="00651AA9" w:rsidRDefault="00B73953" w:rsidP="00B73953">
            <w:pPr>
              <w:jc w:val="center"/>
              <w:rPr>
                <w:color w:val="000000"/>
                <w:sz w:val="19"/>
                <w:szCs w:val="19"/>
              </w:rPr>
            </w:pPr>
            <w:r w:rsidRPr="00651AA9">
              <w:rPr>
                <w:color w:val="000000"/>
                <w:sz w:val="19"/>
                <w:szCs w:val="19"/>
              </w:rPr>
              <w:t>203,250</w:t>
            </w:r>
          </w:p>
        </w:tc>
        <w:tc>
          <w:tcPr>
            <w:tcW w:w="1870" w:type="dxa"/>
            <w:tcBorders>
              <w:top w:val="nil"/>
              <w:left w:val="nil"/>
              <w:bottom w:val="single" w:sz="8" w:space="0" w:color="448A99"/>
              <w:right w:val="single" w:sz="8" w:space="0" w:color="448A99"/>
            </w:tcBorders>
            <w:shd w:val="clear" w:color="auto" w:fill="auto"/>
            <w:vAlign w:val="center"/>
          </w:tcPr>
          <w:p w:rsidR="00B73953" w:rsidRPr="00651AA9" w:rsidRDefault="00B73953" w:rsidP="00B73953">
            <w:pPr>
              <w:jc w:val="center"/>
              <w:rPr>
                <w:color w:val="000000"/>
                <w:sz w:val="19"/>
                <w:szCs w:val="19"/>
              </w:rPr>
            </w:pPr>
            <w:r w:rsidRPr="00651AA9">
              <w:rPr>
                <w:color w:val="000000"/>
                <w:sz w:val="19"/>
                <w:szCs w:val="19"/>
              </w:rPr>
              <w:t>141,295</w:t>
            </w:r>
          </w:p>
        </w:tc>
      </w:tr>
      <w:tr w:rsidR="00A874AC" w:rsidRPr="00651AA9" w:rsidTr="00651AA9">
        <w:trPr>
          <w:trHeight w:val="288"/>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B73953" w:rsidRPr="00651AA9" w:rsidRDefault="00B73953" w:rsidP="0097650B">
            <w:pPr>
              <w:jc w:val="left"/>
              <w:rPr>
                <w:color w:val="000000"/>
                <w:sz w:val="19"/>
                <w:szCs w:val="19"/>
              </w:rPr>
            </w:pPr>
            <w:r w:rsidRPr="00651AA9">
              <w:rPr>
                <w:color w:val="000000"/>
                <w:sz w:val="19"/>
                <w:szCs w:val="19"/>
              </w:rPr>
              <w:t>C</w:t>
            </w:r>
            <w:r w:rsidR="0097650B" w:rsidRPr="00651AA9">
              <w:rPr>
                <w:color w:val="000000"/>
                <w:sz w:val="19"/>
                <w:szCs w:val="19"/>
              </w:rPr>
              <w:t>/</w:t>
            </w:r>
            <w:r w:rsidRPr="00651AA9">
              <w:rPr>
                <w:color w:val="000000"/>
                <w:sz w:val="19"/>
                <w:szCs w:val="19"/>
              </w:rPr>
              <w:t>I</w:t>
            </w:r>
          </w:p>
        </w:tc>
        <w:tc>
          <w:tcPr>
            <w:tcW w:w="1870" w:type="dxa"/>
            <w:tcBorders>
              <w:top w:val="nil"/>
              <w:left w:val="nil"/>
              <w:bottom w:val="single" w:sz="8" w:space="0" w:color="448A99"/>
              <w:right w:val="single" w:sz="8" w:space="0" w:color="448A99"/>
            </w:tcBorders>
            <w:shd w:val="clear" w:color="000000" w:fill="D2EAF1"/>
            <w:vAlign w:val="center"/>
          </w:tcPr>
          <w:p w:rsidR="00B73953" w:rsidRPr="00651AA9" w:rsidRDefault="00B73953" w:rsidP="00B73953">
            <w:pPr>
              <w:jc w:val="center"/>
              <w:rPr>
                <w:color w:val="000000"/>
                <w:sz w:val="19"/>
                <w:szCs w:val="19"/>
              </w:rPr>
            </w:pPr>
            <w:r w:rsidRPr="00651AA9">
              <w:rPr>
                <w:color w:val="000000"/>
                <w:sz w:val="19"/>
                <w:szCs w:val="19"/>
              </w:rPr>
              <w:t>62,923</w:t>
            </w:r>
          </w:p>
        </w:tc>
        <w:tc>
          <w:tcPr>
            <w:tcW w:w="1870" w:type="dxa"/>
            <w:tcBorders>
              <w:top w:val="nil"/>
              <w:left w:val="nil"/>
              <w:bottom w:val="single" w:sz="8" w:space="0" w:color="448A99"/>
              <w:right w:val="single" w:sz="8" w:space="0" w:color="448A99"/>
            </w:tcBorders>
            <w:shd w:val="clear" w:color="000000" w:fill="D2EAF1"/>
            <w:vAlign w:val="center"/>
          </w:tcPr>
          <w:p w:rsidR="00B73953" w:rsidRPr="00651AA9" w:rsidRDefault="00B73953" w:rsidP="00B73953">
            <w:pPr>
              <w:jc w:val="center"/>
              <w:rPr>
                <w:color w:val="000000"/>
                <w:sz w:val="19"/>
                <w:szCs w:val="19"/>
              </w:rPr>
            </w:pPr>
            <w:r w:rsidRPr="00651AA9">
              <w:rPr>
                <w:color w:val="000000"/>
                <w:sz w:val="19"/>
                <w:szCs w:val="19"/>
              </w:rPr>
              <w:t>48,030</w:t>
            </w:r>
          </w:p>
        </w:tc>
        <w:tc>
          <w:tcPr>
            <w:tcW w:w="1870" w:type="dxa"/>
            <w:tcBorders>
              <w:top w:val="nil"/>
              <w:left w:val="nil"/>
              <w:bottom w:val="single" w:sz="8" w:space="0" w:color="448A99"/>
              <w:right w:val="single" w:sz="8" w:space="0" w:color="448A99"/>
            </w:tcBorders>
            <w:shd w:val="clear" w:color="000000" w:fill="D2EAF1"/>
            <w:vAlign w:val="center"/>
          </w:tcPr>
          <w:p w:rsidR="00B73953" w:rsidRPr="00651AA9" w:rsidRDefault="00B73953" w:rsidP="00B73953">
            <w:pPr>
              <w:jc w:val="center"/>
              <w:rPr>
                <w:color w:val="000000"/>
                <w:sz w:val="19"/>
                <w:szCs w:val="19"/>
              </w:rPr>
            </w:pPr>
            <w:r w:rsidRPr="00651AA9">
              <w:rPr>
                <w:color w:val="000000"/>
                <w:sz w:val="19"/>
                <w:szCs w:val="19"/>
              </w:rPr>
              <w:t>133,294</w:t>
            </w:r>
          </w:p>
        </w:tc>
        <w:tc>
          <w:tcPr>
            <w:tcW w:w="1870" w:type="dxa"/>
            <w:tcBorders>
              <w:top w:val="nil"/>
              <w:left w:val="nil"/>
              <w:bottom w:val="single" w:sz="8" w:space="0" w:color="448A99"/>
              <w:right w:val="single" w:sz="8" w:space="0" w:color="448A99"/>
            </w:tcBorders>
            <w:shd w:val="clear" w:color="000000" w:fill="D2EAF1"/>
            <w:vAlign w:val="center"/>
          </w:tcPr>
          <w:p w:rsidR="00B73953" w:rsidRPr="00651AA9" w:rsidRDefault="00B73953" w:rsidP="00B73953">
            <w:pPr>
              <w:jc w:val="center"/>
              <w:rPr>
                <w:color w:val="000000"/>
                <w:sz w:val="19"/>
                <w:szCs w:val="19"/>
              </w:rPr>
            </w:pPr>
            <w:r w:rsidRPr="00651AA9">
              <w:rPr>
                <w:color w:val="000000"/>
                <w:sz w:val="19"/>
                <w:szCs w:val="19"/>
              </w:rPr>
              <w:t>101,814</w:t>
            </w:r>
          </w:p>
        </w:tc>
      </w:tr>
      <w:tr w:rsidR="00E7173E" w:rsidRPr="00651AA9" w:rsidTr="00651AA9">
        <w:trPr>
          <w:trHeight w:val="288"/>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B73953" w:rsidRPr="00651AA9" w:rsidRDefault="00B73953" w:rsidP="00B73953">
            <w:pPr>
              <w:jc w:val="left"/>
              <w:rPr>
                <w:color w:val="000000"/>
                <w:sz w:val="19"/>
                <w:szCs w:val="19"/>
              </w:rPr>
            </w:pPr>
            <w:r w:rsidRPr="00651AA9">
              <w:rPr>
                <w:color w:val="000000"/>
                <w:sz w:val="19"/>
                <w:szCs w:val="19"/>
              </w:rPr>
              <w:t>GNI</w:t>
            </w:r>
          </w:p>
        </w:tc>
        <w:tc>
          <w:tcPr>
            <w:tcW w:w="1870" w:type="dxa"/>
            <w:tcBorders>
              <w:top w:val="nil"/>
              <w:left w:val="nil"/>
              <w:bottom w:val="single" w:sz="8" w:space="0" w:color="448A99"/>
              <w:right w:val="single" w:sz="8" w:space="0" w:color="448A99"/>
            </w:tcBorders>
            <w:shd w:val="clear" w:color="auto" w:fill="auto"/>
            <w:vAlign w:val="center"/>
          </w:tcPr>
          <w:p w:rsidR="00B73953" w:rsidRPr="00651AA9" w:rsidRDefault="00B73953" w:rsidP="00B73953">
            <w:pPr>
              <w:jc w:val="center"/>
              <w:rPr>
                <w:color w:val="000000"/>
                <w:sz w:val="19"/>
                <w:szCs w:val="19"/>
              </w:rPr>
            </w:pPr>
            <w:r w:rsidRPr="00651AA9">
              <w:rPr>
                <w:color w:val="000000"/>
                <w:sz w:val="19"/>
                <w:szCs w:val="19"/>
              </w:rPr>
              <w:t>13,821</w:t>
            </w:r>
          </w:p>
        </w:tc>
        <w:tc>
          <w:tcPr>
            <w:tcW w:w="1870" w:type="dxa"/>
            <w:tcBorders>
              <w:top w:val="nil"/>
              <w:left w:val="nil"/>
              <w:bottom w:val="single" w:sz="8" w:space="0" w:color="448A99"/>
              <w:right w:val="single" w:sz="8" w:space="0" w:color="448A99"/>
            </w:tcBorders>
            <w:shd w:val="clear" w:color="auto" w:fill="auto"/>
            <w:vAlign w:val="center"/>
          </w:tcPr>
          <w:p w:rsidR="00B73953" w:rsidRPr="00651AA9" w:rsidRDefault="00B73953" w:rsidP="00B73953">
            <w:pPr>
              <w:jc w:val="center"/>
              <w:rPr>
                <w:color w:val="000000"/>
                <w:sz w:val="19"/>
                <w:szCs w:val="19"/>
              </w:rPr>
            </w:pPr>
            <w:r w:rsidRPr="00651AA9">
              <w:rPr>
                <w:color w:val="000000"/>
                <w:sz w:val="19"/>
                <w:szCs w:val="19"/>
              </w:rPr>
              <w:t>10,674</w:t>
            </w:r>
          </w:p>
        </w:tc>
        <w:tc>
          <w:tcPr>
            <w:tcW w:w="1870" w:type="dxa"/>
            <w:tcBorders>
              <w:top w:val="nil"/>
              <w:left w:val="nil"/>
              <w:bottom w:val="single" w:sz="8" w:space="0" w:color="448A99"/>
              <w:right w:val="single" w:sz="8" w:space="0" w:color="448A99"/>
            </w:tcBorders>
            <w:shd w:val="clear" w:color="auto" w:fill="auto"/>
            <w:vAlign w:val="center"/>
          </w:tcPr>
          <w:p w:rsidR="00B73953" w:rsidRPr="00651AA9" w:rsidRDefault="00B73953" w:rsidP="00B73953">
            <w:pPr>
              <w:jc w:val="center"/>
              <w:rPr>
                <w:color w:val="000000"/>
                <w:sz w:val="19"/>
                <w:szCs w:val="19"/>
              </w:rPr>
            </w:pPr>
            <w:r w:rsidRPr="00651AA9">
              <w:rPr>
                <w:color w:val="000000"/>
                <w:sz w:val="19"/>
                <w:szCs w:val="19"/>
              </w:rPr>
              <w:t>31,964</w:t>
            </w:r>
          </w:p>
        </w:tc>
        <w:tc>
          <w:tcPr>
            <w:tcW w:w="1870" w:type="dxa"/>
            <w:tcBorders>
              <w:top w:val="nil"/>
              <w:left w:val="nil"/>
              <w:bottom w:val="single" w:sz="8" w:space="0" w:color="448A99"/>
              <w:right w:val="single" w:sz="8" w:space="0" w:color="448A99"/>
            </w:tcBorders>
            <w:shd w:val="clear" w:color="auto" w:fill="auto"/>
            <w:vAlign w:val="center"/>
          </w:tcPr>
          <w:p w:rsidR="00B73953" w:rsidRPr="00651AA9" w:rsidRDefault="00B73953" w:rsidP="00B73953">
            <w:pPr>
              <w:jc w:val="center"/>
              <w:rPr>
                <w:color w:val="000000"/>
                <w:sz w:val="19"/>
                <w:szCs w:val="19"/>
              </w:rPr>
            </w:pPr>
            <w:r w:rsidRPr="00651AA9">
              <w:rPr>
                <w:color w:val="000000"/>
                <w:sz w:val="19"/>
                <w:szCs w:val="19"/>
              </w:rPr>
              <w:t>22,760</w:t>
            </w:r>
          </w:p>
        </w:tc>
      </w:tr>
      <w:tr w:rsidR="00A874AC" w:rsidRPr="00651AA9" w:rsidTr="00651AA9">
        <w:trPr>
          <w:trHeight w:val="288"/>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B73953" w:rsidRPr="00651AA9" w:rsidRDefault="00B73953" w:rsidP="00B73953">
            <w:pPr>
              <w:jc w:val="left"/>
              <w:rPr>
                <w:b/>
                <w:bCs/>
                <w:i/>
                <w:iCs/>
                <w:color w:val="000000"/>
                <w:sz w:val="19"/>
                <w:szCs w:val="19"/>
              </w:rPr>
            </w:pPr>
            <w:r w:rsidRPr="00651AA9">
              <w:rPr>
                <w:b/>
                <w:bCs/>
                <w:i/>
                <w:iCs/>
                <w:color w:val="000000"/>
                <w:sz w:val="19"/>
                <w:szCs w:val="19"/>
              </w:rPr>
              <w:t>Total Portfolio</w:t>
            </w:r>
          </w:p>
        </w:tc>
        <w:tc>
          <w:tcPr>
            <w:tcW w:w="1870" w:type="dxa"/>
            <w:tcBorders>
              <w:top w:val="nil"/>
              <w:left w:val="nil"/>
              <w:bottom w:val="single" w:sz="8" w:space="0" w:color="448A99"/>
              <w:right w:val="single" w:sz="8" w:space="0" w:color="448A99"/>
            </w:tcBorders>
            <w:shd w:val="clear" w:color="000000" w:fill="D2EAF1"/>
            <w:vAlign w:val="center"/>
          </w:tcPr>
          <w:p w:rsidR="00B73953" w:rsidRPr="00651AA9" w:rsidRDefault="00B73953" w:rsidP="00B73953">
            <w:pPr>
              <w:jc w:val="center"/>
              <w:rPr>
                <w:b/>
                <w:bCs/>
                <w:i/>
                <w:iCs/>
                <w:color w:val="000000"/>
                <w:sz w:val="19"/>
                <w:szCs w:val="19"/>
              </w:rPr>
            </w:pPr>
            <w:r w:rsidRPr="00651AA9">
              <w:rPr>
                <w:b/>
                <w:bCs/>
                <w:i/>
                <w:iCs/>
                <w:color w:val="000000"/>
                <w:sz w:val="19"/>
                <w:szCs w:val="19"/>
              </w:rPr>
              <w:t>164,398</w:t>
            </w:r>
          </w:p>
        </w:tc>
        <w:tc>
          <w:tcPr>
            <w:tcW w:w="1870" w:type="dxa"/>
            <w:tcBorders>
              <w:top w:val="nil"/>
              <w:left w:val="nil"/>
              <w:bottom w:val="single" w:sz="8" w:space="0" w:color="448A99"/>
              <w:right w:val="single" w:sz="8" w:space="0" w:color="448A99"/>
            </w:tcBorders>
            <w:shd w:val="clear" w:color="000000" w:fill="D2EAF1"/>
            <w:vAlign w:val="center"/>
          </w:tcPr>
          <w:p w:rsidR="00B73953" w:rsidRPr="00651AA9" w:rsidRDefault="00B73953" w:rsidP="00B73953">
            <w:pPr>
              <w:jc w:val="center"/>
              <w:rPr>
                <w:b/>
                <w:bCs/>
                <w:i/>
                <w:iCs/>
                <w:color w:val="000000"/>
                <w:sz w:val="19"/>
                <w:szCs w:val="19"/>
              </w:rPr>
            </w:pPr>
            <w:r w:rsidRPr="00651AA9">
              <w:rPr>
                <w:b/>
                <w:bCs/>
                <w:i/>
                <w:iCs/>
                <w:color w:val="000000"/>
                <w:sz w:val="19"/>
                <w:szCs w:val="19"/>
              </w:rPr>
              <w:t>126,682</w:t>
            </w:r>
          </w:p>
        </w:tc>
        <w:tc>
          <w:tcPr>
            <w:tcW w:w="1870" w:type="dxa"/>
            <w:tcBorders>
              <w:top w:val="nil"/>
              <w:left w:val="nil"/>
              <w:bottom w:val="single" w:sz="8" w:space="0" w:color="448A99"/>
              <w:right w:val="single" w:sz="8" w:space="0" w:color="448A99"/>
            </w:tcBorders>
            <w:shd w:val="clear" w:color="000000" w:fill="D2EAF1"/>
            <w:vAlign w:val="center"/>
          </w:tcPr>
          <w:p w:rsidR="00B73953" w:rsidRPr="00651AA9" w:rsidRDefault="00B73953" w:rsidP="00B73953">
            <w:pPr>
              <w:jc w:val="center"/>
              <w:rPr>
                <w:b/>
                <w:bCs/>
                <w:i/>
                <w:iCs/>
                <w:color w:val="000000"/>
                <w:sz w:val="19"/>
                <w:szCs w:val="19"/>
              </w:rPr>
            </w:pPr>
            <w:r w:rsidRPr="00651AA9">
              <w:rPr>
                <w:b/>
                <w:bCs/>
                <w:i/>
                <w:iCs/>
                <w:color w:val="000000"/>
                <w:sz w:val="19"/>
                <w:szCs w:val="19"/>
              </w:rPr>
              <w:t>368,508</w:t>
            </w:r>
          </w:p>
        </w:tc>
        <w:tc>
          <w:tcPr>
            <w:tcW w:w="1870" w:type="dxa"/>
            <w:tcBorders>
              <w:top w:val="nil"/>
              <w:left w:val="nil"/>
              <w:bottom w:val="single" w:sz="8" w:space="0" w:color="448A99"/>
              <w:right w:val="single" w:sz="8" w:space="0" w:color="448A99"/>
            </w:tcBorders>
            <w:shd w:val="clear" w:color="000000" w:fill="D2EAF1"/>
            <w:vAlign w:val="center"/>
          </w:tcPr>
          <w:p w:rsidR="00B73953" w:rsidRPr="00651AA9" w:rsidRDefault="00B73953" w:rsidP="00B73953">
            <w:pPr>
              <w:jc w:val="center"/>
              <w:rPr>
                <w:b/>
                <w:bCs/>
                <w:i/>
                <w:iCs/>
                <w:color w:val="000000"/>
                <w:sz w:val="19"/>
                <w:szCs w:val="19"/>
              </w:rPr>
            </w:pPr>
            <w:r w:rsidRPr="00651AA9">
              <w:rPr>
                <w:b/>
                <w:bCs/>
                <w:i/>
                <w:iCs/>
                <w:color w:val="000000"/>
                <w:sz w:val="19"/>
                <w:szCs w:val="19"/>
              </w:rPr>
              <w:t>265,869</w:t>
            </w:r>
          </w:p>
        </w:tc>
      </w:tr>
    </w:tbl>
    <w:p w:rsidR="00710D47" w:rsidRPr="006843B2" w:rsidRDefault="00710D47" w:rsidP="006843B2"/>
    <w:p w:rsidR="00950837" w:rsidRDefault="00950837" w:rsidP="000D3563">
      <w:pPr>
        <w:pStyle w:val="AppendixAHeading2"/>
      </w:pPr>
      <w:r>
        <w:t>Total Resource Cost Test</w:t>
      </w:r>
    </w:p>
    <w:p w:rsidR="00B85567" w:rsidRDefault="00B85567" w:rsidP="00B85567">
      <w:r>
        <w:fldChar w:fldCharType="begin"/>
      </w:r>
      <w:r>
        <w:instrText xml:space="preserve"> REF _Ref472444921 \h </w:instrText>
      </w:r>
      <w:r>
        <w:fldChar w:fldCharType="separate"/>
      </w:r>
      <w:r w:rsidR="00037CB4">
        <w:t>Table A-</w:t>
      </w:r>
      <w:r w:rsidR="00037CB4">
        <w:rPr>
          <w:noProof/>
        </w:rPr>
        <w:t>54</w:t>
      </w:r>
      <w:r>
        <w:fldChar w:fldCharType="end"/>
      </w:r>
      <w:r>
        <w:t xml:space="preserve"> </w:t>
      </w:r>
      <w:r w:rsidRPr="00B85567">
        <w:t xml:space="preserve">presents TRC NPV benefits, TRC NPV costs, present value of net benefits, and </w:t>
      </w:r>
      <w:r w:rsidR="002902CC">
        <w:t xml:space="preserve">the </w:t>
      </w:r>
      <w:r w:rsidRPr="00B85567">
        <w:t>TRC ratio for Penelec’s PY7 individual programs and total portfolio. The SWE found no initial inconsistencies between the TRC model outputs and the TRC results shown in the PY7 annual report.</w:t>
      </w:r>
    </w:p>
    <w:p w:rsidR="00B85567" w:rsidRPr="00B85567" w:rsidRDefault="00B85567" w:rsidP="00B85567"/>
    <w:p w:rsidR="00B85567" w:rsidRDefault="00B85567" w:rsidP="004837FA">
      <w:pPr>
        <w:pStyle w:val="Caption"/>
      </w:pPr>
      <w:bookmarkStart w:id="801" w:name="_Ref472444921"/>
      <w:bookmarkStart w:id="802" w:name="_Toc472472463"/>
      <w:bookmarkStart w:id="803" w:name="_Toc488741882"/>
      <w:r>
        <w:t>Table A-</w:t>
      </w:r>
      <w:r w:rsidR="007973A4">
        <w:fldChar w:fldCharType="begin"/>
      </w:r>
      <w:r w:rsidR="007973A4">
        <w:instrText xml:space="preserve"> SEQ Table_A- \* ARABIC </w:instrText>
      </w:r>
      <w:r w:rsidR="007973A4">
        <w:fldChar w:fldCharType="separate"/>
      </w:r>
      <w:r w:rsidR="00037CB4">
        <w:rPr>
          <w:noProof/>
        </w:rPr>
        <w:t>54</w:t>
      </w:r>
      <w:r w:rsidR="007973A4">
        <w:rPr>
          <w:noProof/>
        </w:rPr>
        <w:fldChar w:fldCharType="end"/>
      </w:r>
      <w:bookmarkEnd w:id="801"/>
      <w:r>
        <w:t xml:space="preserve">: </w:t>
      </w:r>
      <w:r w:rsidRPr="00B85567">
        <w:t>Summary of Penelec’s PY7 TRC Factors and Results</w:t>
      </w:r>
      <w:bookmarkEnd w:id="802"/>
      <w:bookmarkEnd w:id="803"/>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532"/>
        <w:gridCol w:w="1457"/>
        <w:gridCol w:w="1457"/>
        <w:gridCol w:w="1654"/>
        <w:gridCol w:w="1255"/>
      </w:tblGrid>
      <w:tr w:rsidR="00A874AC" w:rsidRPr="00651AA9" w:rsidTr="00651AA9">
        <w:trPr>
          <w:trHeight w:val="576"/>
        </w:trPr>
        <w:tc>
          <w:tcPr>
            <w:tcW w:w="3532" w:type="dxa"/>
            <w:shd w:val="clear" w:color="000000" w:fill="448A99"/>
            <w:noWrap/>
            <w:vAlign w:val="bottom"/>
            <w:hideMark/>
          </w:tcPr>
          <w:p w:rsidR="00B85567" w:rsidRPr="00651AA9" w:rsidRDefault="00B85567" w:rsidP="00B85567">
            <w:pPr>
              <w:jc w:val="left"/>
              <w:rPr>
                <w:b/>
                <w:bCs/>
                <w:color w:val="FFFFFF"/>
                <w:sz w:val="19"/>
                <w:szCs w:val="19"/>
              </w:rPr>
            </w:pPr>
            <w:r w:rsidRPr="00651AA9">
              <w:rPr>
                <w:b/>
                <w:bCs/>
                <w:color w:val="FFFFFF"/>
                <w:sz w:val="19"/>
                <w:szCs w:val="19"/>
              </w:rPr>
              <w:t>Program</w:t>
            </w:r>
          </w:p>
        </w:tc>
        <w:tc>
          <w:tcPr>
            <w:tcW w:w="1457" w:type="dxa"/>
            <w:shd w:val="clear" w:color="000000" w:fill="448A99"/>
            <w:vAlign w:val="bottom"/>
            <w:hideMark/>
          </w:tcPr>
          <w:p w:rsidR="00B85567" w:rsidRPr="00651AA9" w:rsidRDefault="00B85567" w:rsidP="00B85567">
            <w:pPr>
              <w:jc w:val="center"/>
              <w:rPr>
                <w:b/>
                <w:bCs/>
                <w:color w:val="FFFFFF"/>
                <w:sz w:val="19"/>
                <w:szCs w:val="19"/>
              </w:rPr>
            </w:pPr>
            <w:r w:rsidRPr="00651AA9">
              <w:rPr>
                <w:b/>
                <w:bCs/>
                <w:color w:val="FFFFFF"/>
                <w:sz w:val="19"/>
                <w:szCs w:val="19"/>
              </w:rPr>
              <w:t>TRC NPV Benefits</w:t>
            </w:r>
          </w:p>
          <w:p w:rsidR="00B85567" w:rsidRPr="00651AA9" w:rsidRDefault="00B85567" w:rsidP="00B85567">
            <w:pPr>
              <w:jc w:val="center"/>
              <w:rPr>
                <w:rFonts w:eastAsia="Calibri"/>
                <w:b/>
                <w:bCs/>
                <w:color w:val="FFFFFF"/>
                <w:sz w:val="19"/>
                <w:szCs w:val="19"/>
              </w:rPr>
            </w:pPr>
            <w:r w:rsidRPr="00651AA9">
              <w:rPr>
                <w:b/>
                <w:bCs/>
                <w:color w:val="FFFFFF"/>
                <w:sz w:val="19"/>
                <w:szCs w:val="19"/>
              </w:rPr>
              <w:t>($)</w:t>
            </w:r>
          </w:p>
        </w:tc>
        <w:tc>
          <w:tcPr>
            <w:tcW w:w="1457" w:type="dxa"/>
            <w:shd w:val="clear" w:color="000000" w:fill="448A99"/>
            <w:vAlign w:val="bottom"/>
            <w:hideMark/>
          </w:tcPr>
          <w:p w:rsidR="00B85567" w:rsidRPr="00651AA9" w:rsidRDefault="00B85567" w:rsidP="00B85567">
            <w:pPr>
              <w:jc w:val="center"/>
              <w:rPr>
                <w:rFonts w:eastAsia="Calibri"/>
                <w:b/>
                <w:bCs/>
                <w:color w:val="FFFFFF"/>
                <w:sz w:val="19"/>
                <w:szCs w:val="19"/>
              </w:rPr>
            </w:pPr>
            <w:r w:rsidRPr="00651AA9">
              <w:rPr>
                <w:b/>
                <w:bCs/>
                <w:color w:val="FFFFFF"/>
                <w:sz w:val="19"/>
                <w:szCs w:val="19"/>
              </w:rPr>
              <w:t>TRC NPV Costs</w:t>
            </w:r>
          </w:p>
          <w:p w:rsidR="00B85567" w:rsidRPr="00651AA9" w:rsidRDefault="00B85567" w:rsidP="00B85567">
            <w:pPr>
              <w:jc w:val="center"/>
              <w:rPr>
                <w:rFonts w:eastAsia="Calibri"/>
                <w:b/>
                <w:bCs/>
                <w:color w:val="FFFFFF"/>
                <w:sz w:val="19"/>
                <w:szCs w:val="19"/>
              </w:rPr>
            </w:pPr>
            <w:r w:rsidRPr="00651AA9">
              <w:rPr>
                <w:b/>
                <w:bCs/>
                <w:color w:val="FFFFFF"/>
                <w:sz w:val="19"/>
                <w:szCs w:val="19"/>
              </w:rPr>
              <w:t>($)</w:t>
            </w:r>
          </w:p>
        </w:tc>
        <w:tc>
          <w:tcPr>
            <w:tcW w:w="1654" w:type="dxa"/>
            <w:shd w:val="clear" w:color="000000" w:fill="448A99"/>
            <w:vAlign w:val="bottom"/>
          </w:tcPr>
          <w:p w:rsidR="00B85567" w:rsidRPr="00651AA9" w:rsidRDefault="00B85567" w:rsidP="00B85567">
            <w:pPr>
              <w:jc w:val="center"/>
              <w:rPr>
                <w:rFonts w:eastAsia="Calibri"/>
                <w:b/>
                <w:bCs/>
                <w:color w:val="FFFFFF"/>
                <w:sz w:val="19"/>
                <w:szCs w:val="19"/>
              </w:rPr>
            </w:pPr>
            <w:r w:rsidRPr="00651AA9">
              <w:rPr>
                <w:b/>
                <w:bCs/>
                <w:color w:val="FFFFFF"/>
                <w:sz w:val="19"/>
                <w:szCs w:val="19"/>
              </w:rPr>
              <w:t>Present Value of Net Benefits</w:t>
            </w:r>
          </w:p>
          <w:p w:rsidR="00B85567" w:rsidRPr="00651AA9" w:rsidRDefault="00B85567" w:rsidP="00B85567">
            <w:pPr>
              <w:jc w:val="center"/>
              <w:rPr>
                <w:rFonts w:eastAsia="Calibri"/>
                <w:b/>
                <w:bCs/>
                <w:color w:val="FFFFFF"/>
                <w:sz w:val="19"/>
                <w:szCs w:val="19"/>
              </w:rPr>
            </w:pPr>
            <w:r w:rsidRPr="00651AA9">
              <w:rPr>
                <w:b/>
                <w:bCs/>
                <w:color w:val="FFFFFF"/>
                <w:sz w:val="19"/>
                <w:szCs w:val="19"/>
              </w:rPr>
              <w:t>($)</w:t>
            </w:r>
          </w:p>
        </w:tc>
        <w:tc>
          <w:tcPr>
            <w:tcW w:w="1255" w:type="dxa"/>
            <w:shd w:val="clear" w:color="000000" w:fill="448A99"/>
            <w:noWrap/>
            <w:vAlign w:val="bottom"/>
            <w:hideMark/>
          </w:tcPr>
          <w:p w:rsidR="00B85567" w:rsidRPr="00651AA9" w:rsidRDefault="00B85567" w:rsidP="00B85567">
            <w:pPr>
              <w:jc w:val="center"/>
              <w:rPr>
                <w:rFonts w:eastAsia="Calibri"/>
                <w:b/>
                <w:bCs/>
                <w:color w:val="FFFFFF"/>
                <w:sz w:val="19"/>
                <w:szCs w:val="19"/>
              </w:rPr>
            </w:pPr>
            <w:r w:rsidRPr="00651AA9">
              <w:rPr>
                <w:b/>
                <w:bCs/>
                <w:color w:val="FFFFFF"/>
                <w:sz w:val="19"/>
                <w:szCs w:val="19"/>
              </w:rPr>
              <w:t>TRC Ratio</w:t>
            </w:r>
          </w:p>
        </w:tc>
      </w:tr>
      <w:tr w:rsidR="00A874AC" w:rsidRPr="00651AA9" w:rsidTr="00651AA9">
        <w:trPr>
          <w:trHeight w:val="288"/>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B85567" w:rsidRPr="00651AA9" w:rsidRDefault="00B85567" w:rsidP="00B85567">
            <w:pPr>
              <w:jc w:val="left"/>
              <w:rPr>
                <w:bCs/>
                <w:color w:val="000000"/>
                <w:sz w:val="19"/>
                <w:szCs w:val="19"/>
              </w:rPr>
            </w:pPr>
            <w:r w:rsidRPr="00651AA9">
              <w:rPr>
                <w:color w:val="000000"/>
                <w:sz w:val="19"/>
                <w:szCs w:val="19"/>
              </w:rPr>
              <w:t>Appliance Turn-In</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rFonts w:cs="Arial"/>
                <w:color w:val="000000"/>
                <w:sz w:val="19"/>
                <w:szCs w:val="19"/>
              </w:rPr>
              <w:t xml:space="preserve">$1,853,722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rFonts w:cs="Arial"/>
                <w:color w:val="000000"/>
                <w:sz w:val="19"/>
                <w:szCs w:val="19"/>
              </w:rPr>
              <w:t xml:space="preserve">$684,756 </w:t>
            </w:r>
          </w:p>
        </w:tc>
        <w:tc>
          <w:tcPr>
            <w:tcW w:w="1654" w:type="dxa"/>
            <w:tcBorders>
              <w:top w:val="nil"/>
              <w:left w:val="nil"/>
              <w:bottom w:val="single" w:sz="8" w:space="0" w:color="448A99"/>
              <w:right w:val="single" w:sz="8" w:space="0" w:color="448A99"/>
            </w:tcBorders>
            <w:shd w:val="clear" w:color="auto" w:fill="auto"/>
            <w:vAlign w:val="center"/>
          </w:tcPr>
          <w:p w:rsidR="00B85567" w:rsidRPr="00651AA9" w:rsidRDefault="00B85567" w:rsidP="00B85567">
            <w:pPr>
              <w:jc w:val="center"/>
              <w:rPr>
                <w:color w:val="000000"/>
                <w:sz w:val="19"/>
                <w:szCs w:val="19"/>
              </w:rPr>
            </w:pPr>
            <w:r w:rsidRPr="00651AA9">
              <w:rPr>
                <w:rFonts w:cs="Arial"/>
                <w:color w:val="000000"/>
                <w:sz w:val="19"/>
                <w:szCs w:val="19"/>
              </w:rPr>
              <w:t xml:space="preserve">$1,168,966 </w:t>
            </w:r>
          </w:p>
        </w:tc>
        <w:tc>
          <w:tcPr>
            <w:tcW w:w="1255"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rFonts w:cs="Arial"/>
                <w:color w:val="000000"/>
                <w:sz w:val="19"/>
                <w:szCs w:val="19"/>
              </w:rPr>
              <w:t>2.71</w:t>
            </w:r>
          </w:p>
        </w:tc>
      </w:tr>
      <w:tr w:rsidR="00A874AC" w:rsidRPr="00651AA9" w:rsidTr="00651AA9">
        <w:trPr>
          <w:trHeight w:val="288"/>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B85567" w:rsidRPr="00651AA9" w:rsidRDefault="00B85567" w:rsidP="00B85567">
            <w:pPr>
              <w:jc w:val="left"/>
              <w:rPr>
                <w:bCs/>
                <w:color w:val="000000"/>
                <w:sz w:val="19"/>
                <w:szCs w:val="19"/>
              </w:rPr>
            </w:pPr>
            <w:r w:rsidRPr="00651AA9">
              <w:rPr>
                <w:color w:val="000000"/>
                <w:sz w:val="19"/>
                <w:szCs w:val="19"/>
              </w:rPr>
              <w:t>Efficient Products</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 xml:space="preserve">$16,750,305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 xml:space="preserve">$5,256,891 </w:t>
            </w:r>
          </w:p>
        </w:tc>
        <w:tc>
          <w:tcPr>
            <w:tcW w:w="1654" w:type="dxa"/>
            <w:tcBorders>
              <w:top w:val="nil"/>
              <w:left w:val="nil"/>
              <w:bottom w:val="single" w:sz="8" w:space="0" w:color="448A99"/>
              <w:right w:val="single" w:sz="8" w:space="0" w:color="448A99"/>
            </w:tcBorders>
            <w:shd w:val="clear" w:color="000000" w:fill="D2EAF1"/>
            <w:vAlign w:val="center"/>
          </w:tcPr>
          <w:p w:rsidR="00B85567" w:rsidRPr="00651AA9" w:rsidRDefault="00B85567" w:rsidP="00B85567">
            <w:pPr>
              <w:jc w:val="center"/>
              <w:rPr>
                <w:color w:val="000000"/>
                <w:sz w:val="19"/>
                <w:szCs w:val="19"/>
              </w:rPr>
            </w:pPr>
            <w:r w:rsidRPr="00651AA9">
              <w:rPr>
                <w:rFonts w:cs="Arial"/>
                <w:color w:val="000000"/>
                <w:sz w:val="19"/>
                <w:szCs w:val="19"/>
              </w:rPr>
              <w:t xml:space="preserve">$11,493,414 </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rFonts w:cs="Arial"/>
                <w:color w:val="000000"/>
                <w:sz w:val="19"/>
                <w:szCs w:val="19"/>
              </w:rPr>
              <w:t>3.19</w:t>
            </w:r>
          </w:p>
        </w:tc>
      </w:tr>
      <w:tr w:rsidR="00A874AC" w:rsidRPr="00651AA9" w:rsidTr="00651AA9">
        <w:trPr>
          <w:trHeight w:val="288"/>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B85567" w:rsidRPr="00651AA9" w:rsidRDefault="00B85567" w:rsidP="00B85567">
            <w:pPr>
              <w:jc w:val="left"/>
              <w:rPr>
                <w:bCs/>
                <w:color w:val="000000"/>
                <w:sz w:val="19"/>
                <w:szCs w:val="19"/>
              </w:rPr>
            </w:pPr>
            <w:r w:rsidRPr="00651AA9">
              <w:rPr>
                <w:color w:val="000000"/>
                <w:sz w:val="19"/>
                <w:szCs w:val="19"/>
              </w:rPr>
              <w:t>Home Performance</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 xml:space="preserve">$9,804,123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 xml:space="preserve">$3,981,534 </w:t>
            </w:r>
          </w:p>
        </w:tc>
        <w:tc>
          <w:tcPr>
            <w:tcW w:w="1654" w:type="dxa"/>
            <w:tcBorders>
              <w:top w:val="nil"/>
              <w:left w:val="nil"/>
              <w:bottom w:val="single" w:sz="8" w:space="0" w:color="448A99"/>
              <w:right w:val="single" w:sz="8" w:space="0" w:color="448A99"/>
            </w:tcBorders>
            <w:shd w:val="clear" w:color="auto" w:fill="auto"/>
            <w:vAlign w:val="center"/>
          </w:tcPr>
          <w:p w:rsidR="00B85567" w:rsidRPr="00651AA9" w:rsidRDefault="00B85567" w:rsidP="00B85567">
            <w:pPr>
              <w:jc w:val="center"/>
              <w:rPr>
                <w:color w:val="000000"/>
                <w:sz w:val="19"/>
                <w:szCs w:val="19"/>
              </w:rPr>
            </w:pPr>
            <w:r w:rsidRPr="00651AA9">
              <w:rPr>
                <w:color w:val="000000"/>
                <w:sz w:val="19"/>
                <w:szCs w:val="19"/>
              </w:rPr>
              <w:t xml:space="preserve">$5,822,590 </w:t>
            </w:r>
          </w:p>
        </w:tc>
        <w:tc>
          <w:tcPr>
            <w:tcW w:w="1255"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2.46</w:t>
            </w:r>
          </w:p>
        </w:tc>
      </w:tr>
      <w:tr w:rsidR="00A874AC" w:rsidRPr="00651AA9" w:rsidTr="00651AA9">
        <w:trPr>
          <w:trHeight w:val="288"/>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B85567" w:rsidRPr="00651AA9" w:rsidRDefault="00B85567" w:rsidP="00B85567">
            <w:pPr>
              <w:jc w:val="left"/>
              <w:rPr>
                <w:bCs/>
                <w:color w:val="000000"/>
                <w:sz w:val="19"/>
                <w:szCs w:val="19"/>
              </w:rPr>
            </w:pPr>
            <w:r w:rsidRPr="00651AA9">
              <w:rPr>
                <w:color w:val="000000"/>
                <w:sz w:val="19"/>
                <w:szCs w:val="19"/>
              </w:rPr>
              <w:t>Low Income</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 xml:space="preserve">$904,934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 xml:space="preserve">$2,224,122 </w:t>
            </w:r>
          </w:p>
        </w:tc>
        <w:tc>
          <w:tcPr>
            <w:tcW w:w="1654" w:type="dxa"/>
            <w:tcBorders>
              <w:top w:val="nil"/>
              <w:left w:val="nil"/>
              <w:bottom w:val="single" w:sz="8" w:space="0" w:color="448A99"/>
              <w:right w:val="single" w:sz="8" w:space="0" w:color="448A99"/>
            </w:tcBorders>
            <w:shd w:val="clear" w:color="000000" w:fill="D2EAF1"/>
            <w:vAlign w:val="center"/>
          </w:tcPr>
          <w:p w:rsidR="00B85567" w:rsidRPr="00651AA9" w:rsidRDefault="00B85567" w:rsidP="00B85567">
            <w:pPr>
              <w:jc w:val="center"/>
              <w:rPr>
                <w:color w:val="000000"/>
                <w:sz w:val="19"/>
                <w:szCs w:val="19"/>
              </w:rPr>
            </w:pPr>
            <w:r w:rsidRPr="00651AA9">
              <w:rPr>
                <w:color w:val="FF0000"/>
                <w:sz w:val="19"/>
                <w:szCs w:val="19"/>
              </w:rPr>
              <w:t>($1,319,188)</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0.41</w:t>
            </w:r>
          </w:p>
        </w:tc>
      </w:tr>
      <w:tr w:rsidR="00A874AC" w:rsidRPr="00651AA9" w:rsidTr="00651AA9">
        <w:trPr>
          <w:trHeight w:val="288"/>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B85567" w:rsidRPr="00651AA9" w:rsidRDefault="00B85567" w:rsidP="00B85567">
            <w:pPr>
              <w:jc w:val="left"/>
              <w:rPr>
                <w:bCs/>
                <w:color w:val="000000"/>
                <w:sz w:val="19"/>
                <w:szCs w:val="19"/>
              </w:rPr>
            </w:pPr>
            <w:r w:rsidRPr="00651AA9">
              <w:rPr>
                <w:color w:val="000000"/>
                <w:sz w:val="19"/>
                <w:szCs w:val="19"/>
              </w:rPr>
              <w:t>Small C/I Equipment</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 xml:space="preserve">$16,434,826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 xml:space="preserve">$13,600,602 </w:t>
            </w:r>
          </w:p>
        </w:tc>
        <w:tc>
          <w:tcPr>
            <w:tcW w:w="1654" w:type="dxa"/>
            <w:tcBorders>
              <w:top w:val="nil"/>
              <w:left w:val="nil"/>
              <w:bottom w:val="single" w:sz="8" w:space="0" w:color="448A99"/>
              <w:right w:val="single" w:sz="8" w:space="0" w:color="448A99"/>
            </w:tcBorders>
            <w:shd w:val="clear" w:color="auto" w:fill="auto"/>
            <w:vAlign w:val="center"/>
          </w:tcPr>
          <w:p w:rsidR="00B85567" w:rsidRPr="00651AA9" w:rsidRDefault="00B85567" w:rsidP="00B85567">
            <w:pPr>
              <w:jc w:val="center"/>
              <w:rPr>
                <w:color w:val="000000"/>
                <w:sz w:val="19"/>
                <w:szCs w:val="19"/>
              </w:rPr>
            </w:pPr>
            <w:r w:rsidRPr="00651AA9">
              <w:rPr>
                <w:color w:val="000000"/>
                <w:sz w:val="19"/>
                <w:szCs w:val="19"/>
              </w:rPr>
              <w:t xml:space="preserve">$2,834,224 </w:t>
            </w:r>
          </w:p>
        </w:tc>
        <w:tc>
          <w:tcPr>
            <w:tcW w:w="1255"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1.21</w:t>
            </w:r>
          </w:p>
        </w:tc>
      </w:tr>
      <w:tr w:rsidR="00A874AC" w:rsidRPr="00651AA9" w:rsidTr="00651AA9">
        <w:trPr>
          <w:trHeight w:val="288"/>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B85567" w:rsidRPr="00651AA9" w:rsidRDefault="00B85567" w:rsidP="00B85567">
            <w:pPr>
              <w:jc w:val="left"/>
              <w:rPr>
                <w:bCs/>
                <w:color w:val="000000"/>
                <w:sz w:val="19"/>
                <w:szCs w:val="19"/>
              </w:rPr>
            </w:pPr>
            <w:r w:rsidRPr="00651AA9">
              <w:rPr>
                <w:color w:val="000000"/>
                <w:sz w:val="19"/>
                <w:szCs w:val="19"/>
              </w:rPr>
              <w:t>Small C/I Buildings</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 xml:space="preserve">$1,084,175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 xml:space="preserve">$2,161,898 </w:t>
            </w:r>
          </w:p>
        </w:tc>
        <w:tc>
          <w:tcPr>
            <w:tcW w:w="1654" w:type="dxa"/>
            <w:tcBorders>
              <w:top w:val="nil"/>
              <w:left w:val="nil"/>
              <w:bottom w:val="single" w:sz="8" w:space="0" w:color="448A99"/>
              <w:right w:val="single" w:sz="8" w:space="0" w:color="448A99"/>
            </w:tcBorders>
            <w:shd w:val="clear" w:color="000000" w:fill="D2EAF1"/>
            <w:vAlign w:val="center"/>
          </w:tcPr>
          <w:p w:rsidR="00B85567" w:rsidRPr="00651AA9" w:rsidRDefault="00B85567" w:rsidP="00B85567">
            <w:pPr>
              <w:jc w:val="center"/>
              <w:rPr>
                <w:color w:val="000000"/>
                <w:sz w:val="19"/>
                <w:szCs w:val="19"/>
              </w:rPr>
            </w:pPr>
            <w:r w:rsidRPr="00651AA9">
              <w:rPr>
                <w:color w:val="FF0000"/>
                <w:sz w:val="19"/>
                <w:szCs w:val="19"/>
              </w:rPr>
              <w:t>($1,077,723)</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0.50</w:t>
            </w:r>
          </w:p>
        </w:tc>
      </w:tr>
      <w:tr w:rsidR="00A874AC" w:rsidRPr="00651AA9" w:rsidTr="00651AA9">
        <w:trPr>
          <w:trHeight w:val="288"/>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B85567" w:rsidRPr="00651AA9" w:rsidRDefault="00B85567" w:rsidP="00B85567">
            <w:pPr>
              <w:jc w:val="left"/>
              <w:rPr>
                <w:bCs/>
                <w:color w:val="000000"/>
                <w:sz w:val="19"/>
                <w:szCs w:val="19"/>
              </w:rPr>
            </w:pPr>
            <w:r w:rsidRPr="00651AA9">
              <w:rPr>
                <w:color w:val="000000"/>
                <w:sz w:val="19"/>
                <w:szCs w:val="19"/>
              </w:rPr>
              <w:t>Large C/I Equipment</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 xml:space="preserve">$29,083,880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 xml:space="preserve">$20,529,419 </w:t>
            </w:r>
          </w:p>
        </w:tc>
        <w:tc>
          <w:tcPr>
            <w:tcW w:w="1654" w:type="dxa"/>
            <w:tcBorders>
              <w:top w:val="nil"/>
              <w:left w:val="nil"/>
              <w:bottom w:val="single" w:sz="8" w:space="0" w:color="448A99"/>
              <w:right w:val="single" w:sz="8" w:space="0" w:color="448A99"/>
            </w:tcBorders>
            <w:shd w:val="clear" w:color="auto" w:fill="auto"/>
            <w:vAlign w:val="center"/>
          </w:tcPr>
          <w:p w:rsidR="00B85567" w:rsidRPr="00651AA9" w:rsidRDefault="00B85567" w:rsidP="00B85567">
            <w:pPr>
              <w:jc w:val="center"/>
              <w:rPr>
                <w:color w:val="000000"/>
                <w:sz w:val="19"/>
                <w:szCs w:val="19"/>
              </w:rPr>
            </w:pPr>
            <w:r w:rsidRPr="00651AA9">
              <w:rPr>
                <w:color w:val="000000"/>
                <w:sz w:val="19"/>
                <w:szCs w:val="19"/>
              </w:rPr>
              <w:t xml:space="preserve">$8,554,462 </w:t>
            </w:r>
          </w:p>
        </w:tc>
        <w:tc>
          <w:tcPr>
            <w:tcW w:w="1255"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1.42</w:t>
            </w:r>
          </w:p>
        </w:tc>
      </w:tr>
      <w:tr w:rsidR="00A874AC" w:rsidRPr="00651AA9" w:rsidTr="00651AA9">
        <w:trPr>
          <w:trHeight w:val="288"/>
        </w:trPr>
        <w:tc>
          <w:tcPr>
            <w:tcW w:w="3532" w:type="dxa"/>
            <w:tcBorders>
              <w:top w:val="nil"/>
              <w:left w:val="single" w:sz="8" w:space="0" w:color="448A99"/>
              <w:bottom w:val="single" w:sz="8" w:space="0" w:color="448A99"/>
              <w:right w:val="single" w:sz="8" w:space="0" w:color="448A99"/>
            </w:tcBorders>
            <w:shd w:val="clear" w:color="auto" w:fill="D2EAF1"/>
            <w:vAlign w:val="center"/>
            <w:hideMark/>
          </w:tcPr>
          <w:p w:rsidR="00B85567" w:rsidRPr="00651AA9" w:rsidRDefault="00B85567" w:rsidP="00B85567">
            <w:pPr>
              <w:jc w:val="left"/>
              <w:rPr>
                <w:bCs/>
                <w:color w:val="000000"/>
                <w:sz w:val="19"/>
                <w:szCs w:val="19"/>
              </w:rPr>
            </w:pPr>
            <w:r w:rsidRPr="00651AA9">
              <w:rPr>
                <w:color w:val="000000"/>
                <w:sz w:val="19"/>
                <w:szCs w:val="19"/>
              </w:rPr>
              <w:t>Large C/I Buildings</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 xml:space="preserve">$2,128,165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 xml:space="preserve">$1,021,166 </w:t>
            </w:r>
          </w:p>
        </w:tc>
        <w:tc>
          <w:tcPr>
            <w:tcW w:w="1654" w:type="dxa"/>
            <w:tcBorders>
              <w:top w:val="nil"/>
              <w:left w:val="nil"/>
              <w:bottom w:val="single" w:sz="8" w:space="0" w:color="448A99"/>
              <w:right w:val="single" w:sz="8" w:space="0" w:color="448A99"/>
            </w:tcBorders>
            <w:shd w:val="clear" w:color="000000" w:fill="D2EAF1"/>
            <w:vAlign w:val="center"/>
          </w:tcPr>
          <w:p w:rsidR="00B85567" w:rsidRPr="00651AA9" w:rsidRDefault="00B85567" w:rsidP="00B85567">
            <w:pPr>
              <w:jc w:val="center"/>
              <w:rPr>
                <w:color w:val="000000"/>
                <w:sz w:val="19"/>
                <w:szCs w:val="19"/>
              </w:rPr>
            </w:pPr>
            <w:r w:rsidRPr="00651AA9">
              <w:rPr>
                <w:color w:val="000000"/>
                <w:sz w:val="19"/>
                <w:szCs w:val="19"/>
              </w:rPr>
              <w:t xml:space="preserve">$1,106,999 </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color w:val="000000"/>
                <w:sz w:val="19"/>
                <w:szCs w:val="19"/>
              </w:rPr>
            </w:pPr>
            <w:r w:rsidRPr="00651AA9">
              <w:rPr>
                <w:color w:val="000000"/>
                <w:sz w:val="19"/>
                <w:szCs w:val="19"/>
              </w:rPr>
              <w:t>2.08</w:t>
            </w:r>
          </w:p>
        </w:tc>
      </w:tr>
      <w:tr w:rsidR="00A874AC" w:rsidRPr="00651AA9" w:rsidTr="00651AA9">
        <w:trPr>
          <w:trHeight w:val="288"/>
        </w:trPr>
        <w:tc>
          <w:tcPr>
            <w:tcW w:w="3532" w:type="dxa"/>
            <w:tcBorders>
              <w:top w:val="nil"/>
              <w:left w:val="single" w:sz="8" w:space="0" w:color="448A99"/>
              <w:bottom w:val="single" w:sz="8" w:space="0" w:color="448A99"/>
              <w:right w:val="single" w:sz="8" w:space="0" w:color="448A99"/>
            </w:tcBorders>
            <w:shd w:val="clear" w:color="auto" w:fill="auto"/>
            <w:vAlign w:val="center"/>
            <w:hideMark/>
          </w:tcPr>
          <w:p w:rsidR="00B85567" w:rsidRPr="00651AA9" w:rsidRDefault="00B85567" w:rsidP="00B85567">
            <w:pPr>
              <w:jc w:val="left"/>
              <w:rPr>
                <w:bCs/>
                <w:color w:val="000000"/>
                <w:sz w:val="19"/>
                <w:szCs w:val="19"/>
              </w:rPr>
            </w:pPr>
            <w:r w:rsidRPr="00651AA9">
              <w:rPr>
                <w:color w:val="000000"/>
                <w:sz w:val="19"/>
                <w:szCs w:val="19"/>
              </w:rPr>
              <w:t>Gov./Institutional</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 xml:space="preserve">$199,858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 xml:space="preserve">$492,730 </w:t>
            </w:r>
          </w:p>
        </w:tc>
        <w:tc>
          <w:tcPr>
            <w:tcW w:w="1654" w:type="dxa"/>
            <w:tcBorders>
              <w:top w:val="nil"/>
              <w:left w:val="nil"/>
              <w:bottom w:val="single" w:sz="8" w:space="0" w:color="448A99"/>
              <w:right w:val="single" w:sz="8" w:space="0" w:color="448A99"/>
            </w:tcBorders>
            <w:shd w:val="clear" w:color="auto" w:fill="auto"/>
            <w:vAlign w:val="center"/>
          </w:tcPr>
          <w:p w:rsidR="00B85567" w:rsidRPr="00651AA9" w:rsidRDefault="00B85567" w:rsidP="00B85567">
            <w:pPr>
              <w:jc w:val="center"/>
              <w:rPr>
                <w:color w:val="000000"/>
                <w:sz w:val="19"/>
                <w:szCs w:val="19"/>
              </w:rPr>
            </w:pPr>
            <w:r w:rsidRPr="00651AA9">
              <w:rPr>
                <w:color w:val="FF0000"/>
                <w:sz w:val="19"/>
                <w:szCs w:val="19"/>
              </w:rPr>
              <w:t>($292,871)</w:t>
            </w:r>
          </w:p>
        </w:tc>
        <w:tc>
          <w:tcPr>
            <w:tcW w:w="1255" w:type="dxa"/>
            <w:tcBorders>
              <w:top w:val="nil"/>
              <w:left w:val="nil"/>
              <w:bottom w:val="single" w:sz="8" w:space="0" w:color="448A99"/>
              <w:right w:val="single" w:sz="8" w:space="0" w:color="448A99"/>
            </w:tcBorders>
            <w:shd w:val="clear" w:color="auto" w:fill="auto"/>
            <w:noWrap/>
            <w:vAlign w:val="center"/>
          </w:tcPr>
          <w:p w:rsidR="00B85567" w:rsidRPr="00651AA9" w:rsidRDefault="00B85567" w:rsidP="00B85567">
            <w:pPr>
              <w:jc w:val="center"/>
              <w:rPr>
                <w:color w:val="000000"/>
                <w:sz w:val="19"/>
                <w:szCs w:val="19"/>
              </w:rPr>
            </w:pPr>
            <w:r w:rsidRPr="00651AA9">
              <w:rPr>
                <w:color w:val="000000"/>
                <w:sz w:val="19"/>
                <w:szCs w:val="19"/>
              </w:rPr>
              <w:t>0.41</w:t>
            </w:r>
          </w:p>
        </w:tc>
      </w:tr>
      <w:tr w:rsidR="00A874AC" w:rsidRPr="00651AA9" w:rsidTr="00651AA9">
        <w:trPr>
          <w:trHeight w:val="288"/>
        </w:trPr>
        <w:tc>
          <w:tcPr>
            <w:tcW w:w="3532" w:type="dxa"/>
            <w:shd w:val="clear" w:color="auto" w:fill="D2EAF1"/>
            <w:vAlign w:val="center"/>
            <w:hideMark/>
          </w:tcPr>
          <w:p w:rsidR="00B85567" w:rsidRPr="00651AA9" w:rsidRDefault="00B85567" w:rsidP="00B85567">
            <w:pPr>
              <w:jc w:val="left"/>
              <w:rPr>
                <w:b/>
                <w:bCs/>
                <w:i/>
                <w:iCs/>
                <w:color w:val="000000"/>
                <w:sz w:val="19"/>
                <w:szCs w:val="19"/>
              </w:rPr>
            </w:pPr>
            <w:r w:rsidRPr="00651AA9">
              <w:rPr>
                <w:b/>
                <w:bCs/>
                <w:i/>
                <w:iCs/>
                <w:color w:val="000000"/>
                <w:sz w:val="19"/>
                <w:szCs w:val="19"/>
              </w:rPr>
              <w:t>Total Portfolio</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b/>
                <w:bCs/>
                <w:color w:val="000000"/>
                <w:sz w:val="19"/>
                <w:szCs w:val="19"/>
              </w:rPr>
            </w:pPr>
            <w:r w:rsidRPr="00651AA9">
              <w:rPr>
                <w:rFonts w:cs="Arial"/>
                <w:b/>
                <w:bCs/>
                <w:color w:val="000000"/>
                <w:sz w:val="19"/>
                <w:szCs w:val="19"/>
              </w:rPr>
              <w:t xml:space="preserve">$78,243,989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b/>
                <w:bCs/>
                <w:color w:val="000000"/>
                <w:sz w:val="19"/>
                <w:szCs w:val="19"/>
              </w:rPr>
            </w:pPr>
            <w:r w:rsidRPr="00651AA9">
              <w:rPr>
                <w:rFonts w:cs="Arial"/>
                <w:b/>
                <w:bCs/>
                <w:color w:val="000000"/>
                <w:sz w:val="19"/>
                <w:szCs w:val="19"/>
              </w:rPr>
              <w:t xml:space="preserve">$49,953,117 </w:t>
            </w:r>
          </w:p>
        </w:tc>
        <w:tc>
          <w:tcPr>
            <w:tcW w:w="1654" w:type="dxa"/>
            <w:tcBorders>
              <w:top w:val="nil"/>
              <w:left w:val="nil"/>
              <w:bottom w:val="single" w:sz="8" w:space="0" w:color="448A99"/>
              <w:right w:val="single" w:sz="8" w:space="0" w:color="448A99"/>
            </w:tcBorders>
            <w:shd w:val="clear" w:color="000000" w:fill="D2EAF1"/>
            <w:vAlign w:val="center"/>
          </w:tcPr>
          <w:p w:rsidR="00B85567" w:rsidRPr="00651AA9" w:rsidRDefault="00B85567" w:rsidP="00B85567">
            <w:pPr>
              <w:jc w:val="center"/>
              <w:rPr>
                <w:b/>
                <w:bCs/>
                <w:color w:val="000000"/>
                <w:sz w:val="19"/>
                <w:szCs w:val="19"/>
              </w:rPr>
            </w:pPr>
            <w:r w:rsidRPr="00651AA9">
              <w:rPr>
                <w:b/>
                <w:bCs/>
                <w:color w:val="000000"/>
                <w:sz w:val="19"/>
                <w:szCs w:val="19"/>
              </w:rPr>
              <w:t xml:space="preserve">$28,290,873 </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651AA9" w:rsidRDefault="00B85567" w:rsidP="00B85567">
            <w:pPr>
              <w:jc w:val="center"/>
              <w:rPr>
                <w:b/>
                <w:bCs/>
                <w:color w:val="000000"/>
                <w:sz w:val="19"/>
                <w:szCs w:val="19"/>
              </w:rPr>
            </w:pPr>
            <w:r w:rsidRPr="00651AA9">
              <w:rPr>
                <w:b/>
                <w:bCs/>
                <w:color w:val="000000"/>
                <w:sz w:val="19"/>
                <w:szCs w:val="19"/>
              </w:rPr>
              <w:t>1.57</w:t>
            </w:r>
          </w:p>
        </w:tc>
      </w:tr>
    </w:tbl>
    <w:p w:rsidR="00B248DD" w:rsidRDefault="00B248DD" w:rsidP="00B248DD"/>
    <w:p w:rsidR="00B248DD" w:rsidRPr="00B248DD" w:rsidRDefault="002902CC" w:rsidP="008C19A4">
      <w:pPr>
        <w:spacing w:after="120"/>
      </w:pPr>
      <w:r>
        <w:t>In summary, six</w:t>
      </w:r>
      <w:r w:rsidR="00B248DD" w:rsidRPr="00B248DD">
        <w:t xml:space="preserve"> of Penelec’s </w:t>
      </w:r>
      <w:r>
        <w:t>nine</w:t>
      </w:r>
      <w:r w:rsidR="00B248DD" w:rsidRPr="00B248DD">
        <w:t xml:space="preserve"> programs offered were </w:t>
      </w:r>
      <w:r>
        <w:t>found to be cost-effective and three</w:t>
      </w:r>
      <w:r w:rsidR="00B248DD" w:rsidRPr="00B248DD">
        <w:t xml:space="preserve"> were non-cost-effective. The breakout of cost-effective and non-cost-effective programs is shown below.</w:t>
      </w:r>
    </w:p>
    <w:p w:rsidR="00B248DD" w:rsidRPr="00651AA9" w:rsidRDefault="00651AA9" w:rsidP="00B248DD">
      <w:pPr>
        <w:rPr>
          <w:rFonts w:ascii="Century Gothic" w:hAnsi="Century Gothic"/>
          <w:b/>
          <w:color w:val="404040" w:themeColor="text1" w:themeTint="BF"/>
        </w:rPr>
      </w:pPr>
      <w:r w:rsidRPr="00651AA9">
        <w:rPr>
          <w:rFonts w:ascii="Century Gothic" w:hAnsi="Century Gothic"/>
          <w:b/>
          <w:color w:val="404040" w:themeColor="text1" w:themeTint="BF"/>
        </w:rPr>
        <w:t>COST-EFFECTIVE PROGRAMS</w:t>
      </w:r>
    </w:p>
    <w:p w:rsidR="00B248DD" w:rsidRPr="00B248DD" w:rsidRDefault="00B248DD" w:rsidP="00B248DD">
      <w:pPr>
        <w:spacing w:after="60"/>
        <w:rPr>
          <w:b/>
          <w:color w:val="448A99"/>
        </w:rPr>
      </w:pPr>
      <w:r w:rsidRPr="00B248DD">
        <w:rPr>
          <w:b/>
          <w:color w:val="448A99"/>
        </w:rPr>
        <w:t>(TRC Ratio &gt; 1.0)</w:t>
      </w:r>
    </w:p>
    <w:p w:rsidR="00651AA9" w:rsidRDefault="00651AA9" w:rsidP="00E646C9">
      <w:pPr>
        <w:numPr>
          <w:ilvl w:val="0"/>
          <w:numId w:val="74"/>
        </w:numPr>
        <w:ind w:left="360"/>
        <w:rPr>
          <w:i/>
        </w:rPr>
        <w:sectPr w:rsidR="00651AA9" w:rsidSect="00E45861">
          <w:headerReference w:type="default" r:id="rId127"/>
          <w:footerReference w:type="default" r:id="rId128"/>
          <w:headerReference w:type="first" r:id="rId129"/>
          <w:footerReference w:type="first" r:id="rId130"/>
          <w:pgSz w:w="12240" w:h="15840"/>
          <w:pgMar w:top="1440" w:right="1440" w:bottom="1440" w:left="1440" w:header="720" w:footer="288" w:gutter="0"/>
          <w:cols w:space="720"/>
          <w:titlePg/>
          <w:docGrid w:linePitch="360"/>
        </w:sectPr>
      </w:pPr>
    </w:p>
    <w:p w:rsidR="00B248DD" w:rsidRPr="00B248DD" w:rsidRDefault="00B248DD" w:rsidP="00E646C9">
      <w:pPr>
        <w:numPr>
          <w:ilvl w:val="0"/>
          <w:numId w:val="74"/>
        </w:numPr>
        <w:ind w:left="360"/>
        <w:rPr>
          <w:i/>
        </w:rPr>
      </w:pPr>
      <w:r w:rsidRPr="00B248DD">
        <w:rPr>
          <w:i/>
        </w:rPr>
        <w:t>Residential Appliance Turn-In</w:t>
      </w:r>
    </w:p>
    <w:p w:rsidR="00B248DD" w:rsidRPr="00B248DD" w:rsidRDefault="00B248DD" w:rsidP="00E646C9">
      <w:pPr>
        <w:numPr>
          <w:ilvl w:val="0"/>
          <w:numId w:val="74"/>
        </w:numPr>
        <w:ind w:left="360"/>
        <w:rPr>
          <w:i/>
        </w:rPr>
      </w:pPr>
      <w:r w:rsidRPr="00B248DD">
        <w:rPr>
          <w:i/>
        </w:rPr>
        <w:t>Energy Efficient Products</w:t>
      </w:r>
    </w:p>
    <w:p w:rsidR="00B248DD" w:rsidRPr="00B248DD" w:rsidRDefault="00B248DD" w:rsidP="00E646C9">
      <w:pPr>
        <w:numPr>
          <w:ilvl w:val="0"/>
          <w:numId w:val="74"/>
        </w:numPr>
        <w:ind w:left="360"/>
        <w:rPr>
          <w:i/>
        </w:rPr>
      </w:pPr>
      <w:r w:rsidRPr="00B248DD">
        <w:rPr>
          <w:i/>
        </w:rPr>
        <w:t>Residential Home Performance</w:t>
      </w:r>
    </w:p>
    <w:p w:rsidR="00B248DD" w:rsidRPr="00B248DD" w:rsidRDefault="00B248DD" w:rsidP="00E646C9">
      <w:pPr>
        <w:numPr>
          <w:ilvl w:val="0"/>
          <w:numId w:val="74"/>
        </w:numPr>
        <w:ind w:left="360"/>
        <w:rPr>
          <w:i/>
        </w:rPr>
      </w:pPr>
      <w:r w:rsidRPr="00B248DD">
        <w:rPr>
          <w:i/>
        </w:rPr>
        <w:t>Small C/I Energy Efficient Equipment</w:t>
      </w:r>
    </w:p>
    <w:p w:rsidR="00B248DD" w:rsidRPr="00B248DD" w:rsidRDefault="00B248DD" w:rsidP="00E646C9">
      <w:pPr>
        <w:numPr>
          <w:ilvl w:val="0"/>
          <w:numId w:val="74"/>
        </w:numPr>
        <w:ind w:left="360"/>
        <w:rPr>
          <w:i/>
        </w:rPr>
      </w:pPr>
      <w:r w:rsidRPr="00B248DD">
        <w:rPr>
          <w:i/>
        </w:rPr>
        <w:t>Large C/I Energy Efficient Equipment</w:t>
      </w:r>
    </w:p>
    <w:p w:rsidR="00651AA9" w:rsidRDefault="00B248DD" w:rsidP="00E646C9">
      <w:pPr>
        <w:numPr>
          <w:ilvl w:val="0"/>
          <w:numId w:val="74"/>
        </w:numPr>
        <w:ind w:left="360"/>
        <w:rPr>
          <w:i/>
        </w:rPr>
        <w:sectPr w:rsidR="00651AA9" w:rsidSect="00651AA9">
          <w:type w:val="continuous"/>
          <w:pgSz w:w="12240" w:h="15840"/>
          <w:pgMar w:top="1440" w:right="1440" w:bottom="1440" w:left="1440" w:header="720" w:footer="288" w:gutter="0"/>
          <w:cols w:num="2" w:space="720"/>
          <w:titlePg/>
          <w:docGrid w:linePitch="360"/>
        </w:sectPr>
      </w:pPr>
      <w:r w:rsidRPr="00B248DD">
        <w:rPr>
          <w:i/>
        </w:rPr>
        <w:t>Large C/I Energy Efficient Buildings</w:t>
      </w:r>
    </w:p>
    <w:p w:rsidR="00B248DD" w:rsidRPr="00AC4F57" w:rsidRDefault="00B248DD" w:rsidP="00AC4F57"/>
    <w:p w:rsidR="00B248DD" w:rsidRPr="00651AA9" w:rsidRDefault="00651AA9" w:rsidP="00B248DD">
      <w:pPr>
        <w:rPr>
          <w:rFonts w:ascii="Century Gothic" w:hAnsi="Century Gothic"/>
          <w:b/>
          <w:color w:val="404040" w:themeColor="text1" w:themeTint="BF"/>
        </w:rPr>
      </w:pPr>
      <w:r w:rsidRPr="00651AA9">
        <w:rPr>
          <w:rFonts w:ascii="Century Gothic" w:hAnsi="Century Gothic"/>
          <w:b/>
          <w:color w:val="404040" w:themeColor="text1" w:themeTint="BF"/>
        </w:rPr>
        <w:t>NON-COST-EFFECTIVE PROGRAMS</w:t>
      </w:r>
    </w:p>
    <w:p w:rsidR="00B248DD" w:rsidRPr="00B248DD" w:rsidRDefault="00B248DD" w:rsidP="00B248DD">
      <w:pPr>
        <w:spacing w:after="60"/>
        <w:rPr>
          <w:b/>
          <w:color w:val="448A99"/>
        </w:rPr>
      </w:pPr>
      <w:r w:rsidRPr="00B248DD">
        <w:rPr>
          <w:b/>
          <w:color w:val="448A99"/>
        </w:rPr>
        <w:t>(TRC Ratio &lt; 1.0)</w:t>
      </w:r>
    </w:p>
    <w:p w:rsidR="00651AA9" w:rsidRDefault="00651AA9" w:rsidP="00E646C9">
      <w:pPr>
        <w:numPr>
          <w:ilvl w:val="0"/>
          <w:numId w:val="74"/>
        </w:numPr>
        <w:ind w:left="360"/>
        <w:rPr>
          <w:i/>
        </w:rPr>
        <w:sectPr w:rsidR="00651AA9" w:rsidSect="00651AA9">
          <w:type w:val="continuous"/>
          <w:pgSz w:w="12240" w:h="15840"/>
          <w:pgMar w:top="1440" w:right="1440" w:bottom="1440" w:left="1440" w:header="720" w:footer="288" w:gutter="0"/>
          <w:cols w:space="720"/>
          <w:titlePg/>
          <w:docGrid w:linePitch="360"/>
        </w:sectPr>
      </w:pPr>
    </w:p>
    <w:p w:rsidR="00B248DD" w:rsidRPr="00B248DD" w:rsidRDefault="00B248DD" w:rsidP="00E646C9">
      <w:pPr>
        <w:numPr>
          <w:ilvl w:val="0"/>
          <w:numId w:val="74"/>
        </w:numPr>
        <w:ind w:left="360"/>
        <w:rPr>
          <w:i/>
        </w:rPr>
      </w:pPr>
      <w:r w:rsidRPr="00B248DD">
        <w:rPr>
          <w:i/>
        </w:rPr>
        <w:t>Residential Low-Income</w:t>
      </w:r>
    </w:p>
    <w:p w:rsidR="00B248DD" w:rsidRPr="00B248DD" w:rsidRDefault="00B248DD" w:rsidP="00E646C9">
      <w:pPr>
        <w:numPr>
          <w:ilvl w:val="0"/>
          <w:numId w:val="74"/>
        </w:numPr>
        <w:ind w:left="360"/>
        <w:rPr>
          <w:i/>
        </w:rPr>
      </w:pPr>
      <w:r w:rsidRPr="00B248DD">
        <w:rPr>
          <w:i/>
        </w:rPr>
        <w:t>Small C/I Energy Efficient Buildings</w:t>
      </w:r>
    </w:p>
    <w:p w:rsidR="00651AA9" w:rsidRDefault="00B248DD" w:rsidP="00E646C9">
      <w:pPr>
        <w:numPr>
          <w:ilvl w:val="0"/>
          <w:numId w:val="74"/>
        </w:numPr>
        <w:ind w:left="360"/>
        <w:rPr>
          <w:i/>
        </w:rPr>
        <w:sectPr w:rsidR="00651AA9" w:rsidSect="00651AA9">
          <w:type w:val="continuous"/>
          <w:pgSz w:w="12240" w:h="15840"/>
          <w:pgMar w:top="1440" w:right="1440" w:bottom="1440" w:left="1440" w:header="720" w:footer="288" w:gutter="0"/>
          <w:cols w:num="2" w:space="720"/>
          <w:titlePg/>
          <w:docGrid w:linePitch="360"/>
        </w:sectPr>
      </w:pPr>
      <w:r w:rsidRPr="00B248DD">
        <w:rPr>
          <w:i/>
        </w:rPr>
        <w:t>Government and Institutional</w:t>
      </w:r>
    </w:p>
    <w:p w:rsidR="00B248DD" w:rsidRPr="00B248DD" w:rsidRDefault="00B248DD" w:rsidP="00B248DD">
      <w:pPr>
        <w:rPr>
          <w:highlight w:val="lightGray"/>
        </w:rPr>
      </w:pPr>
    </w:p>
    <w:p w:rsidR="00B248DD" w:rsidRPr="00B248DD" w:rsidRDefault="00B248DD" w:rsidP="00B248DD">
      <w:r w:rsidRPr="00B248DD">
        <w:t xml:space="preserve">The SWE notes the </w:t>
      </w:r>
      <w:r w:rsidR="007C0854" w:rsidRPr="00B248DD">
        <w:t>Small C</w:t>
      </w:r>
      <w:r w:rsidR="007C0854">
        <w:t>/</w:t>
      </w:r>
      <w:r w:rsidR="007C0854" w:rsidRPr="00B248DD">
        <w:t xml:space="preserve">I Energy Efficient </w:t>
      </w:r>
      <w:r w:rsidR="003B2EE7">
        <w:t>b</w:t>
      </w:r>
      <w:r w:rsidR="007C0854" w:rsidRPr="00B248DD">
        <w:t xml:space="preserve">uildings </w:t>
      </w:r>
      <w:r w:rsidR="007C0854">
        <w:t>program</w:t>
      </w:r>
      <w:r w:rsidRPr="00B248DD">
        <w:t xml:space="preserve"> transitioned to </w:t>
      </w:r>
      <w:r w:rsidR="007C0854">
        <w:t>a non-</w:t>
      </w:r>
      <w:r w:rsidRPr="00B248DD">
        <w:t>cost-effective program in PY7.  The decreased cost-effectiveness is largely the result of limited participation in PY7. Overall, programs with large amounts of energy and demand savings generally had high TRC ratios. This signifies that the programs garnering the most savings were also the most cost-effective programs in PY7.</w:t>
      </w:r>
    </w:p>
    <w:p w:rsidR="00950837" w:rsidRDefault="00950837" w:rsidP="009C0DF1">
      <w:pPr>
        <w:pStyle w:val="AppendixAHeading3"/>
      </w:pPr>
      <w:r>
        <w:t>Assumptions and Inputs</w:t>
      </w:r>
    </w:p>
    <w:p w:rsidR="00D50251" w:rsidRDefault="00D50251" w:rsidP="00D50251">
      <w:r w:rsidRPr="00D50251">
        <w:t xml:space="preserve">One TRC model template was shared across all four FirstEnergy companies. Despite the similar model, the TRC model calculations were handled independently for each of the four EDCs. The Penelec iteration of the FirstEnergy TRC model used a discount rate of 7.92% to compare the NPV of program benefits that will occur later in a measure’s lifetime </w:t>
      </w:r>
      <w:r w:rsidR="007C0854">
        <w:t>with</w:t>
      </w:r>
      <w:r w:rsidRPr="00D50251">
        <w:t xml:space="preserve"> the up</w:t>
      </w:r>
      <w:r w:rsidR="007C0854">
        <w:t>-</w:t>
      </w:r>
      <w:r w:rsidRPr="00D50251">
        <w:t>front costs of installation of implementation. This value matches the EDC’s EE&amp;C</w:t>
      </w:r>
      <w:r w:rsidR="007C0854">
        <w:t xml:space="preserve"> p</w:t>
      </w:r>
      <w:r w:rsidRPr="00D50251">
        <w:t>lan on file. Different values of LLF were used for different sectors, as shown in</w:t>
      </w:r>
      <w:r>
        <w:t xml:space="preserve"> </w:t>
      </w:r>
      <w:r>
        <w:fldChar w:fldCharType="begin"/>
      </w:r>
      <w:r>
        <w:instrText xml:space="preserve"> REF _Ref472445014 \h </w:instrText>
      </w:r>
      <w:r>
        <w:fldChar w:fldCharType="separate"/>
      </w:r>
      <w:r w:rsidR="00037CB4">
        <w:t>Table A-</w:t>
      </w:r>
      <w:r w:rsidR="00037CB4">
        <w:rPr>
          <w:noProof/>
        </w:rPr>
        <w:t>55</w:t>
      </w:r>
      <w:r>
        <w:fldChar w:fldCharType="end"/>
      </w:r>
      <w:r>
        <w:t>.</w:t>
      </w:r>
    </w:p>
    <w:p w:rsidR="00D50251" w:rsidRDefault="00D50251" w:rsidP="00D50251"/>
    <w:p w:rsidR="00D50251" w:rsidRDefault="00D50251" w:rsidP="004837FA">
      <w:pPr>
        <w:pStyle w:val="Caption"/>
      </w:pPr>
      <w:bookmarkStart w:id="804" w:name="_Ref472445014"/>
      <w:bookmarkStart w:id="805" w:name="_Toc472472464"/>
      <w:bookmarkStart w:id="806" w:name="_Toc488741883"/>
      <w:r>
        <w:t>Table A-</w:t>
      </w:r>
      <w:r w:rsidR="007973A4">
        <w:fldChar w:fldCharType="begin"/>
      </w:r>
      <w:r w:rsidR="007973A4">
        <w:instrText xml:space="preserve"> SEQ Table_A- \* ARABIC </w:instrText>
      </w:r>
      <w:r w:rsidR="007973A4">
        <w:fldChar w:fldCharType="separate"/>
      </w:r>
      <w:r w:rsidR="00037CB4">
        <w:rPr>
          <w:noProof/>
        </w:rPr>
        <w:t>55</w:t>
      </w:r>
      <w:r w:rsidR="007973A4">
        <w:rPr>
          <w:noProof/>
        </w:rPr>
        <w:fldChar w:fldCharType="end"/>
      </w:r>
      <w:bookmarkEnd w:id="804"/>
      <w:r>
        <w:t xml:space="preserve">: </w:t>
      </w:r>
      <w:r w:rsidRPr="00D50251">
        <w:t>Penelec’s PY7 Discount Rates and LLFs</w:t>
      </w:r>
      <w:bookmarkEnd w:id="805"/>
      <w:bookmarkEnd w:id="806"/>
    </w:p>
    <w:tbl>
      <w:tblPr>
        <w:tblW w:w="9473"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83"/>
        <w:gridCol w:w="1597"/>
        <w:gridCol w:w="1598"/>
        <w:gridCol w:w="1597"/>
        <w:gridCol w:w="1598"/>
      </w:tblGrid>
      <w:tr w:rsidR="00A874AC" w:rsidRPr="00651AA9" w:rsidTr="00651AA9">
        <w:trPr>
          <w:trHeight w:val="332"/>
          <w:tblHeader/>
        </w:trPr>
        <w:tc>
          <w:tcPr>
            <w:tcW w:w="3083" w:type="dxa"/>
            <w:shd w:val="clear" w:color="000000" w:fill="448A99"/>
            <w:noWrap/>
            <w:vAlign w:val="bottom"/>
            <w:hideMark/>
          </w:tcPr>
          <w:p w:rsidR="00D50251" w:rsidRPr="00651AA9" w:rsidRDefault="00D50251" w:rsidP="00D50251">
            <w:pPr>
              <w:jc w:val="left"/>
              <w:rPr>
                <w:b/>
                <w:bCs/>
                <w:color w:val="FFFFFF"/>
                <w:sz w:val="19"/>
                <w:szCs w:val="19"/>
              </w:rPr>
            </w:pPr>
            <w:r w:rsidRPr="00651AA9">
              <w:rPr>
                <w:b/>
                <w:bCs/>
                <w:color w:val="FFFFFF"/>
                <w:sz w:val="19"/>
                <w:szCs w:val="19"/>
              </w:rPr>
              <w:t>Program</w:t>
            </w:r>
          </w:p>
        </w:tc>
        <w:tc>
          <w:tcPr>
            <w:tcW w:w="1597" w:type="dxa"/>
            <w:shd w:val="clear" w:color="000000" w:fill="448A99"/>
            <w:noWrap/>
            <w:vAlign w:val="bottom"/>
            <w:hideMark/>
          </w:tcPr>
          <w:p w:rsidR="00D50251" w:rsidRPr="00651AA9" w:rsidRDefault="00D50251" w:rsidP="00D50251">
            <w:pPr>
              <w:jc w:val="center"/>
              <w:rPr>
                <w:b/>
                <w:bCs/>
                <w:color w:val="FFFFFF"/>
                <w:sz w:val="19"/>
                <w:szCs w:val="19"/>
              </w:rPr>
            </w:pPr>
            <w:r w:rsidRPr="00651AA9">
              <w:rPr>
                <w:b/>
                <w:bCs/>
                <w:color w:val="FFFFFF"/>
                <w:sz w:val="19"/>
                <w:szCs w:val="19"/>
              </w:rPr>
              <w:t>Sector</w:t>
            </w:r>
          </w:p>
        </w:tc>
        <w:tc>
          <w:tcPr>
            <w:tcW w:w="1598" w:type="dxa"/>
            <w:shd w:val="clear" w:color="000000" w:fill="448A99"/>
            <w:noWrap/>
            <w:vAlign w:val="bottom"/>
            <w:hideMark/>
          </w:tcPr>
          <w:p w:rsidR="00D50251" w:rsidRPr="00651AA9" w:rsidRDefault="00D50251" w:rsidP="00D50251">
            <w:pPr>
              <w:jc w:val="center"/>
              <w:rPr>
                <w:b/>
                <w:bCs/>
                <w:color w:val="FFFFFF"/>
                <w:sz w:val="19"/>
                <w:szCs w:val="19"/>
              </w:rPr>
            </w:pPr>
            <w:r w:rsidRPr="00651AA9">
              <w:rPr>
                <w:b/>
                <w:bCs/>
                <w:color w:val="FFFFFF"/>
                <w:sz w:val="19"/>
                <w:szCs w:val="19"/>
              </w:rPr>
              <w:t>Discount Rate</w:t>
            </w:r>
          </w:p>
        </w:tc>
        <w:tc>
          <w:tcPr>
            <w:tcW w:w="1597" w:type="dxa"/>
            <w:shd w:val="clear" w:color="000000" w:fill="448A99"/>
            <w:vAlign w:val="bottom"/>
            <w:hideMark/>
          </w:tcPr>
          <w:p w:rsidR="00D50251" w:rsidRPr="00651AA9" w:rsidRDefault="00D50251" w:rsidP="00D50251">
            <w:pPr>
              <w:jc w:val="center"/>
              <w:rPr>
                <w:b/>
                <w:bCs/>
                <w:color w:val="FFFFFF"/>
                <w:sz w:val="19"/>
                <w:szCs w:val="19"/>
              </w:rPr>
            </w:pPr>
            <w:r w:rsidRPr="00651AA9">
              <w:rPr>
                <w:b/>
                <w:bCs/>
                <w:color w:val="FFFFFF"/>
                <w:sz w:val="19"/>
                <w:szCs w:val="19"/>
              </w:rPr>
              <w:t>Energy LLF</w:t>
            </w:r>
          </w:p>
        </w:tc>
        <w:tc>
          <w:tcPr>
            <w:tcW w:w="1598" w:type="dxa"/>
            <w:shd w:val="clear" w:color="000000" w:fill="448A99"/>
            <w:vAlign w:val="bottom"/>
            <w:hideMark/>
          </w:tcPr>
          <w:p w:rsidR="00D50251" w:rsidRPr="00651AA9" w:rsidRDefault="00D50251" w:rsidP="00D50251">
            <w:pPr>
              <w:jc w:val="center"/>
              <w:rPr>
                <w:b/>
                <w:bCs/>
                <w:color w:val="FFFFFF"/>
                <w:sz w:val="19"/>
                <w:szCs w:val="19"/>
              </w:rPr>
            </w:pPr>
            <w:r w:rsidRPr="00651AA9">
              <w:rPr>
                <w:b/>
                <w:bCs/>
                <w:color w:val="FFFFFF"/>
                <w:sz w:val="19"/>
                <w:szCs w:val="19"/>
              </w:rPr>
              <w:t>Demand LLF</w:t>
            </w:r>
          </w:p>
        </w:tc>
      </w:tr>
      <w:tr w:rsidR="00E7173E" w:rsidRPr="00651AA9" w:rsidTr="00651AA9">
        <w:trPr>
          <w:trHeight w:val="288"/>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50251" w:rsidRPr="00651AA9" w:rsidRDefault="00D50251" w:rsidP="00D50251">
            <w:pPr>
              <w:jc w:val="left"/>
              <w:rPr>
                <w:bCs/>
                <w:color w:val="000000"/>
                <w:sz w:val="19"/>
                <w:szCs w:val="19"/>
              </w:rPr>
            </w:pPr>
            <w:r w:rsidRPr="00651AA9">
              <w:rPr>
                <w:color w:val="000000"/>
                <w:sz w:val="19"/>
                <w:szCs w:val="19"/>
              </w:rPr>
              <w:t>Appliance Turn-In</w:t>
            </w:r>
          </w:p>
        </w:tc>
        <w:tc>
          <w:tcPr>
            <w:tcW w:w="1597"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Residential</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7.92%</w:t>
            </w:r>
          </w:p>
        </w:tc>
        <w:tc>
          <w:tcPr>
            <w:tcW w:w="1597"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9.45%</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9.45%</w:t>
            </w:r>
          </w:p>
        </w:tc>
      </w:tr>
      <w:tr w:rsidR="00A874AC" w:rsidRPr="00651AA9" w:rsidTr="00651AA9">
        <w:trPr>
          <w:trHeight w:val="288"/>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50251" w:rsidRPr="00651AA9" w:rsidRDefault="00D50251" w:rsidP="00D50251">
            <w:pPr>
              <w:jc w:val="left"/>
              <w:rPr>
                <w:bCs/>
                <w:color w:val="000000"/>
                <w:sz w:val="19"/>
                <w:szCs w:val="19"/>
              </w:rPr>
            </w:pPr>
            <w:r w:rsidRPr="00651AA9">
              <w:rPr>
                <w:color w:val="000000"/>
                <w:sz w:val="19"/>
                <w:szCs w:val="19"/>
              </w:rPr>
              <w:t>Efficient Products</w:t>
            </w:r>
          </w:p>
        </w:tc>
        <w:tc>
          <w:tcPr>
            <w:tcW w:w="1597"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Residential</w:t>
            </w:r>
          </w:p>
        </w:tc>
        <w:tc>
          <w:tcPr>
            <w:tcW w:w="1598"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7.92%</w:t>
            </w:r>
          </w:p>
        </w:tc>
        <w:tc>
          <w:tcPr>
            <w:tcW w:w="1597"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945%</w:t>
            </w:r>
          </w:p>
        </w:tc>
        <w:tc>
          <w:tcPr>
            <w:tcW w:w="1598"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9.45%</w:t>
            </w:r>
          </w:p>
        </w:tc>
      </w:tr>
      <w:tr w:rsidR="00E7173E" w:rsidRPr="00651AA9" w:rsidTr="00651AA9">
        <w:trPr>
          <w:trHeight w:val="288"/>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50251" w:rsidRPr="00651AA9" w:rsidRDefault="00D50251" w:rsidP="00D50251">
            <w:pPr>
              <w:jc w:val="left"/>
              <w:rPr>
                <w:bCs/>
                <w:color w:val="000000"/>
                <w:sz w:val="19"/>
                <w:szCs w:val="19"/>
              </w:rPr>
            </w:pPr>
            <w:r w:rsidRPr="00651AA9">
              <w:rPr>
                <w:color w:val="000000"/>
                <w:sz w:val="19"/>
                <w:szCs w:val="19"/>
              </w:rPr>
              <w:t>Home Performance</w:t>
            </w:r>
          </w:p>
        </w:tc>
        <w:tc>
          <w:tcPr>
            <w:tcW w:w="1597"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Residential</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7.92%</w:t>
            </w:r>
          </w:p>
        </w:tc>
        <w:tc>
          <w:tcPr>
            <w:tcW w:w="1597"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9.45%</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9.45%</w:t>
            </w:r>
          </w:p>
        </w:tc>
      </w:tr>
      <w:tr w:rsidR="00A874AC" w:rsidRPr="00651AA9" w:rsidTr="00651AA9">
        <w:trPr>
          <w:trHeight w:val="288"/>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50251" w:rsidRPr="00651AA9" w:rsidRDefault="00D50251" w:rsidP="00D50251">
            <w:pPr>
              <w:jc w:val="left"/>
              <w:rPr>
                <w:bCs/>
                <w:color w:val="000000"/>
                <w:sz w:val="19"/>
                <w:szCs w:val="19"/>
              </w:rPr>
            </w:pPr>
            <w:r w:rsidRPr="00651AA9">
              <w:rPr>
                <w:color w:val="000000"/>
                <w:sz w:val="19"/>
                <w:szCs w:val="19"/>
              </w:rPr>
              <w:t>Low Income</w:t>
            </w:r>
          </w:p>
        </w:tc>
        <w:tc>
          <w:tcPr>
            <w:tcW w:w="1597"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Residential</w:t>
            </w:r>
          </w:p>
        </w:tc>
        <w:tc>
          <w:tcPr>
            <w:tcW w:w="1598"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7.92%</w:t>
            </w:r>
          </w:p>
        </w:tc>
        <w:tc>
          <w:tcPr>
            <w:tcW w:w="1597"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945%</w:t>
            </w:r>
          </w:p>
        </w:tc>
        <w:tc>
          <w:tcPr>
            <w:tcW w:w="1598"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9.45%</w:t>
            </w:r>
          </w:p>
        </w:tc>
      </w:tr>
      <w:tr w:rsidR="00E7173E" w:rsidRPr="00651AA9" w:rsidTr="00651AA9">
        <w:trPr>
          <w:trHeight w:val="288"/>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50251" w:rsidRPr="00651AA9" w:rsidRDefault="00D50251" w:rsidP="00D50251">
            <w:pPr>
              <w:jc w:val="left"/>
              <w:rPr>
                <w:bCs/>
                <w:color w:val="000000"/>
                <w:sz w:val="19"/>
                <w:szCs w:val="19"/>
              </w:rPr>
            </w:pPr>
            <w:r w:rsidRPr="00651AA9">
              <w:rPr>
                <w:color w:val="000000"/>
                <w:sz w:val="19"/>
                <w:szCs w:val="19"/>
              </w:rPr>
              <w:t>Small C/I Equipment</w:t>
            </w:r>
          </w:p>
        </w:tc>
        <w:tc>
          <w:tcPr>
            <w:tcW w:w="1597" w:type="dxa"/>
            <w:shd w:val="clear" w:color="auto" w:fill="auto"/>
            <w:noWrap/>
            <w:vAlign w:val="center"/>
          </w:tcPr>
          <w:p w:rsidR="00D50251" w:rsidRPr="00651AA9" w:rsidRDefault="00D50251" w:rsidP="0081757B">
            <w:pPr>
              <w:jc w:val="center"/>
              <w:rPr>
                <w:color w:val="000000"/>
                <w:sz w:val="19"/>
                <w:szCs w:val="19"/>
              </w:rPr>
            </w:pPr>
            <w:r w:rsidRPr="00651AA9">
              <w:rPr>
                <w:color w:val="000000"/>
                <w:sz w:val="19"/>
                <w:szCs w:val="19"/>
              </w:rPr>
              <w:t>Non-</w:t>
            </w:r>
            <w:r w:rsidR="00FF65FC" w:rsidRPr="00651AA9">
              <w:rPr>
                <w:color w:val="000000"/>
                <w:sz w:val="19"/>
                <w:szCs w:val="19"/>
              </w:rPr>
              <w:t>R</w:t>
            </w:r>
            <w:r w:rsidRPr="00651AA9">
              <w:rPr>
                <w:color w:val="000000"/>
                <w:sz w:val="19"/>
                <w:szCs w:val="19"/>
              </w:rPr>
              <w:t>esidential</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7.92%</w:t>
            </w:r>
          </w:p>
        </w:tc>
        <w:tc>
          <w:tcPr>
            <w:tcW w:w="1597"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7.2%</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7.2%</w:t>
            </w:r>
          </w:p>
        </w:tc>
      </w:tr>
      <w:tr w:rsidR="00A874AC" w:rsidRPr="00651AA9" w:rsidTr="00651AA9">
        <w:trPr>
          <w:trHeight w:val="288"/>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50251" w:rsidRPr="00651AA9" w:rsidRDefault="00D50251" w:rsidP="00D50251">
            <w:pPr>
              <w:jc w:val="left"/>
              <w:rPr>
                <w:bCs/>
                <w:color w:val="000000"/>
                <w:sz w:val="19"/>
                <w:szCs w:val="19"/>
              </w:rPr>
            </w:pPr>
            <w:r w:rsidRPr="00651AA9">
              <w:rPr>
                <w:color w:val="000000"/>
                <w:sz w:val="19"/>
                <w:szCs w:val="19"/>
              </w:rPr>
              <w:t>Small C/I Buildings</w:t>
            </w:r>
          </w:p>
        </w:tc>
        <w:tc>
          <w:tcPr>
            <w:tcW w:w="1597"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Non-</w:t>
            </w:r>
            <w:r w:rsidR="0081757B" w:rsidRPr="00651AA9">
              <w:rPr>
                <w:color w:val="000000"/>
                <w:sz w:val="19"/>
                <w:szCs w:val="19"/>
              </w:rPr>
              <w:t>R</w:t>
            </w:r>
            <w:r w:rsidRPr="00651AA9">
              <w:rPr>
                <w:color w:val="000000"/>
                <w:sz w:val="19"/>
                <w:szCs w:val="19"/>
              </w:rPr>
              <w:t>esidential</w:t>
            </w:r>
          </w:p>
        </w:tc>
        <w:tc>
          <w:tcPr>
            <w:tcW w:w="1598"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7.92%</w:t>
            </w:r>
          </w:p>
        </w:tc>
        <w:tc>
          <w:tcPr>
            <w:tcW w:w="1597"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7.2%</w:t>
            </w:r>
          </w:p>
        </w:tc>
        <w:tc>
          <w:tcPr>
            <w:tcW w:w="1598"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7.2%</w:t>
            </w:r>
          </w:p>
        </w:tc>
      </w:tr>
      <w:tr w:rsidR="00E7173E" w:rsidRPr="00651AA9" w:rsidTr="00651AA9">
        <w:trPr>
          <w:trHeight w:val="288"/>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50251" w:rsidRPr="00651AA9" w:rsidRDefault="00D50251" w:rsidP="00D50251">
            <w:pPr>
              <w:jc w:val="left"/>
              <w:rPr>
                <w:bCs/>
                <w:color w:val="000000"/>
                <w:sz w:val="19"/>
                <w:szCs w:val="19"/>
              </w:rPr>
            </w:pPr>
            <w:r w:rsidRPr="00651AA9">
              <w:rPr>
                <w:color w:val="000000"/>
                <w:sz w:val="19"/>
                <w:szCs w:val="19"/>
              </w:rPr>
              <w:t>Large C/I Equipment</w:t>
            </w:r>
          </w:p>
        </w:tc>
        <w:tc>
          <w:tcPr>
            <w:tcW w:w="1597"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Non-</w:t>
            </w:r>
            <w:r w:rsidR="0081757B" w:rsidRPr="00651AA9">
              <w:rPr>
                <w:color w:val="000000"/>
                <w:sz w:val="19"/>
                <w:szCs w:val="19"/>
              </w:rPr>
              <w:t>R</w:t>
            </w:r>
            <w:r w:rsidRPr="00651AA9">
              <w:rPr>
                <w:color w:val="000000"/>
                <w:sz w:val="19"/>
                <w:szCs w:val="19"/>
              </w:rPr>
              <w:t>esidential</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7.92%</w:t>
            </w:r>
          </w:p>
        </w:tc>
        <w:tc>
          <w:tcPr>
            <w:tcW w:w="1597"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7.2%</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7.2%</w:t>
            </w:r>
          </w:p>
        </w:tc>
      </w:tr>
      <w:tr w:rsidR="00A874AC" w:rsidRPr="00651AA9" w:rsidTr="00651AA9">
        <w:trPr>
          <w:trHeight w:val="288"/>
        </w:trPr>
        <w:tc>
          <w:tcPr>
            <w:tcW w:w="3083" w:type="dxa"/>
            <w:tcBorders>
              <w:top w:val="nil"/>
              <w:left w:val="single" w:sz="8" w:space="0" w:color="448A99"/>
              <w:bottom w:val="single" w:sz="8" w:space="0" w:color="448A99"/>
              <w:right w:val="single" w:sz="8" w:space="0" w:color="448A99"/>
            </w:tcBorders>
            <w:shd w:val="clear" w:color="auto" w:fill="D2EAF1"/>
            <w:vAlign w:val="center"/>
          </w:tcPr>
          <w:p w:rsidR="00D50251" w:rsidRPr="00651AA9" w:rsidRDefault="00D50251" w:rsidP="00D50251">
            <w:pPr>
              <w:jc w:val="left"/>
              <w:rPr>
                <w:bCs/>
                <w:color w:val="000000"/>
                <w:sz w:val="19"/>
                <w:szCs w:val="19"/>
              </w:rPr>
            </w:pPr>
            <w:r w:rsidRPr="00651AA9">
              <w:rPr>
                <w:color w:val="000000"/>
                <w:sz w:val="19"/>
                <w:szCs w:val="19"/>
              </w:rPr>
              <w:t>Large C/I Buildings</w:t>
            </w:r>
          </w:p>
        </w:tc>
        <w:tc>
          <w:tcPr>
            <w:tcW w:w="1597"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Non-</w:t>
            </w:r>
            <w:r w:rsidR="0081757B" w:rsidRPr="00651AA9">
              <w:rPr>
                <w:color w:val="000000"/>
                <w:sz w:val="19"/>
                <w:szCs w:val="19"/>
              </w:rPr>
              <w:t>R</w:t>
            </w:r>
            <w:r w:rsidRPr="00651AA9">
              <w:rPr>
                <w:color w:val="000000"/>
                <w:sz w:val="19"/>
                <w:szCs w:val="19"/>
              </w:rPr>
              <w:t>esidential</w:t>
            </w:r>
          </w:p>
        </w:tc>
        <w:tc>
          <w:tcPr>
            <w:tcW w:w="1598"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7.92%</w:t>
            </w:r>
          </w:p>
        </w:tc>
        <w:tc>
          <w:tcPr>
            <w:tcW w:w="1597"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7.2%</w:t>
            </w:r>
          </w:p>
        </w:tc>
        <w:tc>
          <w:tcPr>
            <w:tcW w:w="1598" w:type="dxa"/>
            <w:shd w:val="clear" w:color="auto" w:fill="D2EAF1"/>
            <w:noWrap/>
            <w:vAlign w:val="center"/>
          </w:tcPr>
          <w:p w:rsidR="00D50251" w:rsidRPr="00651AA9" w:rsidRDefault="00D50251" w:rsidP="00D50251">
            <w:pPr>
              <w:jc w:val="center"/>
              <w:rPr>
                <w:color w:val="000000"/>
                <w:sz w:val="19"/>
                <w:szCs w:val="19"/>
              </w:rPr>
            </w:pPr>
            <w:r w:rsidRPr="00651AA9">
              <w:rPr>
                <w:color w:val="000000"/>
                <w:sz w:val="19"/>
                <w:szCs w:val="19"/>
              </w:rPr>
              <w:t>7.2%</w:t>
            </w:r>
          </w:p>
        </w:tc>
      </w:tr>
      <w:tr w:rsidR="00E7173E" w:rsidRPr="00651AA9" w:rsidTr="00651AA9">
        <w:trPr>
          <w:trHeight w:val="288"/>
        </w:trPr>
        <w:tc>
          <w:tcPr>
            <w:tcW w:w="3083" w:type="dxa"/>
            <w:tcBorders>
              <w:top w:val="nil"/>
              <w:left w:val="single" w:sz="8" w:space="0" w:color="448A99"/>
              <w:bottom w:val="single" w:sz="8" w:space="0" w:color="448A99"/>
              <w:right w:val="single" w:sz="8" w:space="0" w:color="448A99"/>
            </w:tcBorders>
            <w:shd w:val="clear" w:color="auto" w:fill="auto"/>
            <w:vAlign w:val="center"/>
          </w:tcPr>
          <w:p w:rsidR="00D50251" w:rsidRPr="00651AA9" w:rsidRDefault="00D50251" w:rsidP="00D50251">
            <w:pPr>
              <w:jc w:val="left"/>
              <w:rPr>
                <w:bCs/>
                <w:color w:val="000000"/>
                <w:sz w:val="19"/>
                <w:szCs w:val="19"/>
              </w:rPr>
            </w:pPr>
            <w:r w:rsidRPr="00651AA9">
              <w:rPr>
                <w:color w:val="000000"/>
                <w:sz w:val="19"/>
                <w:szCs w:val="19"/>
              </w:rPr>
              <w:t>Gov./Institutional</w:t>
            </w:r>
          </w:p>
        </w:tc>
        <w:tc>
          <w:tcPr>
            <w:tcW w:w="1597"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Non-</w:t>
            </w:r>
            <w:r w:rsidR="0081757B" w:rsidRPr="00651AA9">
              <w:rPr>
                <w:color w:val="000000"/>
                <w:sz w:val="19"/>
                <w:szCs w:val="19"/>
              </w:rPr>
              <w:t>R</w:t>
            </w:r>
            <w:r w:rsidRPr="00651AA9">
              <w:rPr>
                <w:color w:val="000000"/>
                <w:sz w:val="19"/>
                <w:szCs w:val="19"/>
              </w:rPr>
              <w:t>esidential</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7.92%</w:t>
            </w:r>
          </w:p>
        </w:tc>
        <w:tc>
          <w:tcPr>
            <w:tcW w:w="1597"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7.2%</w:t>
            </w:r>
          </w:p>
        </w:tc>
        <w:tc>
          <w:tcPr>
            <w:tcW w:w="1598" w:type="dxa"/>
            <w:shd w:val="clear" w:color="auto" w:fill="auto"/>
            <w:noWrap/>
            <w:vAlign w:val="center"/>
          </w:tcPr>
          <w:p w:rsidR="00D50251" w:rsidRPr="00651AA9" w:rsidRDefault="00D50251" w:rsidP="00D50251">
            <w:pPr>
              <w:jc w:val="center"/>
              <w:rPr>
                <w:color w:val="000000"/>
                <w:sz w:val="19"/>
                <w:szCs w:val="19"/>
              </w:rPr>
            </w:pPr>
            <w:r w:rsidRPr="00651AA9">
              <w:rPr>
                <w:color w:val="000000"/>
                <w:sz w:val="19"/>
                <w:szCs w:val="19"/>
              </w:rPr>
              <w:t>7.2%</w:t>
            </w:r>
          </w:p>
        </w:tc>
      </w:tr>
    </w:tbl>
    <w:p w:rsidR="00D50251" w:rsidRDefault="00D50251" w:rsidP="00D50251"/>
    <w:p w:rsidR="00D50251" w:rsidRDefault="003B2EE7" w:rsidP="00D50251">
      <w:r w:rsidRPr="00D50251">
        <w:t>In the residential sector, measure lives were reported on a measure-by-measure basis. The SWE Team spot-checked some of these measure lives and found them to be consistent with the 2015 TRM</w:t>
      </w:r>
      <w:r w:rsidR="007C0854">
        <w:t>.</w:t>
      </w:r>
      <w:r w:rsidR="00D50251" w:rsidRPr="00D50251">
        <w:rPr>
          <w:vertAlign w:val="superscript"/>
        </w:rPr>
        <w:footnoteReference w:id="68"/>
      </w:r>
      <w:r w:rsidR="00D50251" w:rsidRPr="00D50251">
        <w:t xml:space="preserve"> </w:t>
      </w:r>
      <w:r w:rsidRPr="00D50251">
        <w:rPr>
          <w:vertAlign w:val="superscript"/>
        </w:rPr>
        <w:footnoteReference w:id="69"/>
      </w:r>
      <w:r w:rsidRPr="00D50251">
        <w:t xml:space="preserve">. In the non-residential sector, the TRC model applied an EUL at the </w:t>
      </w:r>
      <w:r>
        <w:t>sampled project/</w:t>
      </w:r>
      <w:r w:rsidRPr="00D50251">
        <w:t>stratum level rather than at the measure level</w:t>
      </w:r>
      <w:r w:rsidR="00D50251" w:rsidRPr="00D50251">
        <w:t xml:space="preserve">. </w:t>
      </w:r>
    </w:p>
    <w:p w:rsidR="00FD4D90" w:rsidRPr="00D50251" w:rsidRDefault="00FD4D90" w:rsidP="00D50251"/>
    <w:p w:rsidR="00D50251" w:rsidRPr="00D50251" w:rsidRDefault="00D50251" w:rsidP="00D50251">
      <w:r w:rsidRPr="00D50251">
        <w:t xml:space="preserve">Similarly, the model assigned incremental costs at the measure level in the residential sector and at the stratum level in the non-residential sector in the model. The residential-sector incremental costs primarily were derived from the SWE incremental cost database, </w:t>
      </w:r>
      <w:r w:rsidR="000E712F" w:rsidRPr="00D50251">
        <w:t xml:space="preserve">the </w:t>
      </w:r>
      <w:r w:rsidR="000E712F">
        <w:t>Penelec</w:t>
      </w:r>
      <w:r w:rsidR="000E712F" w:rsidRPr="00D50251" w:rsidDel="00D024F8">
        <w:t xml:space="preserve"> </w:t>
      </w:r>
      <w:r w:rsidR="000E712F" w:rsidRPr="00D50251">
        <w:t xml:space="preserve">EE&amp;C </w:t>
      </w:r>
      <w:r w:rsidR="000E712F">
        <w:t>p</w:t>
      </w:r>
      <w:r w:rsidR="000E712F" w:rsidRPr="00D50251">
        <w:t>lan</w:t>
      </w:r>
      <w:r w:rsidR="000E712F">
        <w:t>,</w:t>
      </w:r>
      <w:r w:rsidR="000E712F" w:rsidRPr="00D50251">
        <w:t xml:space="preserve"> </w:t>
      </w:r>
      <w:r w:rsidRPr="00D50251">
        <w:t xml:space="preserve">and the project invoices. The sources for non-residential sector incremental costs included the SWE cost database, sampled project invoices, the </w:t>
      </w:r>
      <w:r w:rsidR="000E712F">
        <w:t>D</w:t>
      </w:r>
      <w:r w:rsidRPr="00D50251">
        <w:t>EER 2008 incremental cost database, and the EDC EE&amp;C Plan.</w:t>
      </w:r>
      <w:r w:rsidRPr="00D50251">
        <w:rPr>
          <w:vertAlign w:val="superscript"/>
        </w:rPr>
        <w:footnoteReference w:id="70"/>
      </w:r>
      <w:r w:rsidRPr="00D50251">
        <w:t xml:space="preserve"> The FirstEnergy TRC model relied on the evaluation samples as a basis for calculating incremental participant costs for non-residential programs. Those sampled values were weighted to apply to the remainder of the program. The SWE Team examined this approach and found it reasonable and appropriate.</w:t>
      </w:r>
    </w:p>
    <w:p w:rsidR="00D50251" w:rsidRPr="00D50251" w:rsidRDefault="00D50251" w:rsidP="00D50251">
      <w:pPr>
        <w:rPr>
          <w:highlight w:val="lightGray"/>
        </w:rPr>
      </w:pPr>
    </w:p>
    <w:p w:rsidR="00D50251" w:rsidRPr="00D50251" w:rsidRDefault="00D50251" w:rsidP="00D50251">
      <w:r w:rsidRPr="00D50251">
        <w:t>The TRC model drew the energy and demand impacts from the tracking database, which used TRM-specified values and equations to assign ex ante annual savings values to completed measures. The TRC model analysis was based on ex post verified savings, so program impacts were adjusted by an applicable realization rate. Separate realization rates were applied to energy and demand impacts.</w:t>
      </w:r>
    </w:p>
    <w:p w:rsidR="00D50251" w:rsidRPr="00D50251" w:rsidRDefault="00D50251" w:rsidP="00D50251">
      <w:pPr>
        <w:rPr>
          <w:highlight w:val="lightGray"/>
        </w:rPr>
      </w:pPr>
    </w:p>
    <w:p w:rsidR="00D50251" w:rsidRPr="00D50251" w:rsidRDefault="00D50251" w:rsidP="00D50251">
      <w:r w:rsidRPr="00D50251">
        <w:t xml:space="preserve">The 2015 TRM specifically instructed EDCs to account for dual baselines with regard to T12 linear fluorescent replacements. The dual baseline adjustment impacts the lifetime energy and demand savings of measures beginning June 1, 2016, but does not impact first-year savings for PY7. </w:t>
      </w:r>
      <w:r w:rsidRPr="00D50251">
        <w:rPr>
          <w:rFonts w:ascii="Arial" w:hAnsi="Arial"/>
          <w:sz w:val="20"/>
        </w:rPr>
        <w:t>EDCs may choose to reflect the dual baselines either by applying savings adjustment factors or by reducing the EUL to adjust lifetime savings.</w:t>
      </w:r>
      <w:r w:rsidRPr="00D50251">
        <w:rPr>
          <w:rFonts w:ascii="Arial" w:hAnsi="Arial"/>
          <w:sz w:val="20"/>
          <w:szCs w:val="20"/>
        </w:rPr>
        <w:t xml:space="preserve"> In the</w:t>
      </w:r>
      <w:r w:rsidRPr="00D50251">
        <w:t xml:space="preserve"> Penelec TRC model, a measure’s lifetime was separated into two parts: the first year, and the remaining lifetime. The removed equipment was treated as the baseline for the first year, with the baseline shifting to the code-required baseline for the remainder of the measure’s life. The model calculated the measure’s lifetime savings as the sum of these two parts. </w:t>
      </w:r>
    </w:p>
    <w:p w:rsidR="00D50251" w:rsidRPr="00D50251" w:rsidRDefault="00D50251" w:rsidP="00D50251"/>
    <w:p w:rsidR="00950837" w:rsidRDefault="00950837" w:rsidP="009C0DF1">
      <w:pPr>
        <w:pStyle w:val="AppendixAHeading3"/>
      </w:pPr>
      <w:r>
        <w:t>Avoided Cost of</w:t>
      </w:r>
      <w:r w:rsidR="00D50251">
        <w:t xml:space="preserve"> Energy and</w:t>
      </w:r>
      <w:r>
        <w:t xml:space="preserve"> Capacity</w:t>
      </w:r>
    </w:p>
    <w:p w:rsidR="00D50251" w:rsidRDefault="00D50251" w:rsidP="00D50251">
      <w:r w:rsidRPr="00D50251">
        <w:t>Consistent with prior Phase II program years, the PY</w:t>
      </w:r>
      <w:r w:rsidR="000E712F">
        <w:t xml:space="preserve">7 </w:t>
      </w:r>
      <w:r w:rsidR="00E6042C">
        <w:t>FirstEnergy</w:t>
      </w:r>
      <w:r w:rsidR="000E712F">
        <w:t xml:space="preserve"> TRC m</w:t>
      </w:r>
      <w:r w:rsidRPr="00D50251">
        <w:t>odels use the Phase II approved avoided costs of energy and capacity.  The PY7 models were updated to select the appropriate PY7 stream of avoided costs.</w:t>
      </w:r>
    </w:p>
    <w:p w:rsidR="00D50251" w:rsidRPr="00D50251" w:rsidRDefault="00D50251" w:rsidP="00D50251">
      <w:r w:rsidRPr="00D50251">
        <w:t xml:space="preserve">  </w:t>
      </w:r>
    </w:p>
    <w:p w:rsidR="00950837" w:rsidRDefault="00950837" w:rsidP="009C0DF1">
      <w:pPr>
        <w:pStyle w:val="AppendixAHeading3"/>
      </w:pPr>
      <w:r>
        <w:t>Conclusions and Recommendations</w:t>
      </w:r>
    </w:p>
    <w:p w:rsidR="00D50251" w:rsidRDefault="00D50251" w:rsidP="00D50251">
      <w:r w:rsidRPr="00D50251">
        <w:t>The FirstEnergy TRC model is performing all of the B/C calculations in accordance with the 2013 TRC Order. The SWE Team review of the Penelec TRC model found no calculation errors and believes the PY7 TRC benefits, costs, and ratios to be reasonable and accurate.</w:t>
      </w:r>
    </w:p>
    <w:p w:rsidR="00D50251" w:rsidRPr="00D50251" w:rsidRDefault="00D50251" w:rsidP="00D50251"/>
    <w:p w:rsidR="00950837" w:rsidRDefault="00950837" w:rsidP="000D3563">
      <w:pPr>
        <w:pStyle w:val="AppendixAHeading2"/>
      </w:pPr>
      <w:r>
        <w:t>Status of Evaluation Activities</w:t>
      </w:r>
    </w:p>
    <w:p w:rsidR="001B5BFF" w:rsidRPr="001B5BFF" w:rsidRDefault="001B5BFF" w:rsidP="001B5BFF">
      <w:r w:rsidRPr="001B5BFF">
        <w:t>This section discusses the status of Penelec’s EM&amp;V plans, M&amp;V activities and findings, and process evaluation activities and findings.</w:t>
      </w:r>
    </w:p>
    <w:p w:rsidR="00FF65FC" w:rsidRDefault="00FF65FC" w:rsidP="001B5BFF"/>
    <w:p w:rsidR="00950837" w:rsidRDefault="00950837" w:rsidP="009C0DF1">
      <w:pPr>
        <w:pStyle w:val="AppendixAHeading3"/>
      </w:pPr>
      <w:r>
        <w:t>Status of Evaluation, Measurement</w:t>
      </w:r>
      <w:r w:rsidR="000E712F">
        <w:t>,</w:t>
      </w:r>
      <w:r>
        <w:t xml:space="preserve"> and Verification Plans</w:t>
      </w:r>
    </w:p>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t>Propose a timeline of evaluation activities</w:t>
      </w:r>
    </w:p>
    <w:p w:rsidR="00496A99" w:rsidRPr="008A5E9E" w:rsidRDefault="00496A99" w:rsidP="00E646C9">
      <w:pPr>
        <w:numPr>
          <w:ilvl w:val="0"/>
          <w:numId w:val="75"/>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496A99" w:rsidRPr="009847AC" w:rsidRDefault="00496A99" w:rsidP="009847AC"/>
    <w:p w:rsidR="00DD3B6D" w:rsidRPr="00FB6015" w:rsidRDefault="008F62F5" w:rsidP="00DD3B6D">
      <w:r>
        <w:fldChar w:fldCharType="begin"/>
      </w:r>
      <w:r>
        <w:instrText xml:space="preserve"> REF _Ref472360293 \h </w:instrText>
      </w:r>
      <w:r>
        <w:fldChar w:fldCharType="separate"/>
      </w:r>
      <w:r w:rsidR="00037CB4">
        <w:t>Table A-</w:t>
      </w:r>
      <w:r w:rsidR="00037CB4">
        <w:rPr>
          <w:noProof/>
        </w:rPr>
        <w:t>56</w:t>
      </w:r>
      <w:r>
        <w:fldChar w:fldCharType="end"/>
      </w:r>
      <w:r w:rsidR="00DD3B6D" w:rsidRPr="006A0F2F">
        <w:t xml:space="preserve"> </w:t>
      </w:r>
      <w:r w:rsidR="00DD3B6D" w:rsidRPr="008A5E9E">
        <w:rPr>
          <w:color w:val="000000"/>
        </w:rPr>
        <w:t>displays key milestones completed</w:t>
      </w:r>
      <w:r w:rsidR="00DD3B6D" w:rsidRPr="00614B21">
        <w:rPr>
          <w:color w:val="000000"/>
        </w:rPr>
        <w:t xml:space="preserve"> </w:t>
      </w:r>
      <w:r w:rsidR="00DD3B6D" w:rsidRPr="009472F6">
        <w:t xml:space="preserve">by </w:t>
      </w:r>
      <w:r w:rsidR="00DD3B6D">
        <w:t>FirstEnergy</w:t>
      </w:r>
      <w:r w:rsidR="00DD3B6D" w:rsidRPr="009472F6">
        <w:t xml:space="preserve"> and the SWE</w:t>
      </w:r>
      <w:r w:rsidR="00DD3B6D">
        <w:t xml:space="preserve"> </w:t>
      </w:r>
      <w:r w:rsidR="00DD3B6D">
        <w:rPr>
          <w:color w:val="000000"/>
        </w:rPr>
        <w:t>for FirstEnergy’s Phase II EM&amp;V Plan</w:t>
      </w:r>
      <w:r w:rsidR="00DD3B6D" w:rsidRPr="008A5E9E">
        <w:rPr>
          <w:color w:val="000000"/>
        </w:rPr>
        <w:t>.</w:t>
      </w:r>
      <w:r w:rsidR="00DD3B6D" w:rsidRPr="0053259F">
        <w:t xml:space="preserve"> </w:t>
      </w:r>
      <w:r w:rsidR="00DD3B6D" w:rsidRPr="00A145B8">
        <w:t xml:space="preserve">FirstEnergy </w:t>
      </w:r>
      <w:r w:rsidR="00DD3B6D">
        <w:t>EDCs</w:t>
      </w:r>
      <w:r w:rsidR="00DD3B6D" w:rsidRPr="00A145B8">
        <w:t xml:space="preserve"> submitted, and the SWE Team approved, only one EM&amp;V Plan across all four FirstEnergy EDCs.</w:t>
      </w:r>
    </w:p>
    <w:p w:rsidR="00DD3B6D" w:rsidRPr="00FB6015" w:rsidRDefault="00DD3B6D" w:rsidP="00DD3B6D"/>
    <w:p w:rsidR="00DD3B6D" w:rsidRPr="008A5E9E" w:rsidRDefault="008F62F5" w:rsidP="004837FA">
      <w:pPr>
        <w:pStyle w:val="Caption"/>
        <w:rPr>
          <w:color w:val="000000"/>
          <w14:textFill>
            <w14:solidFill>
              <w14:srgbClr w14:val="000000">
                <w14:lumMod w14:val="75000"/>
                <w14:lumOff w14:val="25000"/>
              </w14:srgbClr>
            </w14:solidFill>
          </w14:textFill>
        </w:rPr>
      </w:pPr>
      <w:bookmarkStart w:id="807" w:name="_Ref472360293"/>
      <w:bookmarkStart w:id="808" w:name="_Toc472472465"/>
      <w:bookmarkStart w:id="809" w:name="_Toc488741884"/>
      <w:r>
        <w:t>Table A-</w:t>
      </w:r>
      <w:r w:rsidR="007973A4">
        <w:fldChar w:fldCharType="begin"/>
      </w:r>
      <w:r w:rsidR="007973A4">
        <w:instrText xml:space="preserve"> SEQ Table_A- \* ARABIC </w:instrText>
      </w:r>
      <w:r w:rsidR="007973A4">
        <w:fldChar w:fldCharType="separate"/>
      </w:r>
      <w:r w:rsidR="00037CB4">
        <w:rPr>
          <w:noProof/>
        </w:rPr>
        <w:t>56</w:t>
      </w:r>
      <w:r w:rsidR="007973A4">
        <w:rPr>
          <w:noProof/>
        </w:rPr>
        <w:fldChar w:fldCharType="end"/>
      </w:r>
      <w:bookmarkEnd w:id="807"/>
      <w:r>
        <w:t xml:space="preserve">: </w:t>
      </w:r>
      <w:r w:rsidR="00DD3B6D" w:rsidRPr="00FB6015">
        <w:t xml:space="preserve">Key Milestones Reached for </w:t>
      </w:r>
      <w:r w:rsidR="00DD3B6D">
        <w:t>Penelec’s</w:t>
      </w:r>
      <w:r w:rsidR="00DD3B6D" w:rsidRPr="00FB6015">
        <w:t xml:space="preserve"> Phase II EM&amp;V Plan</w:t>
      </w:r>
      <w:bookmarkEnd w:id="808"/>
      <w:bookmarkEnd w:id="809"/>
    </w:p>
    <w:tbl>
      <w:tblPr>
        <w:tblW w:w="9355" w:type="dxa"/>
        <w:tblLayout w:type="fixed"/>
        <w:tblLook w:val="04A0" w:firstRow="1" w:lastRow="0" w:firstColumn="1" w:lastColumn="0" w:noHBand="0" w:noVBand="1"/>
      </w:tblPr>
      <w:tblGrid>
        <w:gridCol w:w="1975"/>
        <w:gridCol w:w="7380"/>
      </w:tblGrid>
      <w:tr w:rsidR="00E7173E" w:rsidRPr="00116463" w:rsidTr="00116463">
        <w:trPr>
          <w:cantSplit/>
          <w:trHeight w:val="197"/>
          <w:tblHeader/>
        </w:trPr>
        <w:tc>
          <w:tcPr>
            <w:tcW w:w="197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116463" w:rsidRDefault="00DD3B6D" w:rsidP="008C2D5E">
            <w:pPr>
              <w:jc w:val="left"/>
              <w:rPr>
                <w:b/>
                <w:bCs/>
                <w:color w:val="FFFFFF"/>
                <w:sz w:val="19"/>
                <w:szCs w:val="19"/>
              </w:rPr>
            </w:pPr>
            <w:r w:rsidRPr="00116463">
              <w:rPr>
                <w:b/>
                <w:bCs/>
                <w:color w:val="FFFFFF"/>
                <w:sz w:val="19"/>
                <w:szCs w:val="19"/>
              </w:rPr>
              <w:t>Date</w:t>
            </w:r>
          </w:p>
        </w:tc>
        <w:tc>
          <w:tcPr>
            <w:tcW w:w="7380" w:type="dxa"/>
            <w:tcBorders>
              <w:top w:val="single" w:sz="4" w:space="0" w:color="448A99"/>
              <w:left w:val="nil"/>
              <w:bottom w:val="single" w:sz="4" w:space="0" w:color="448A99"/>
              <w:right w:val="single" w:sz="4" w:space="0" w:color="448A99"/>
            </w:tcBorders>
            <w:shd w:val="clear" w:color="000000" w:fill="448A99"/>
            <w:vAlign w:val="bottom"/>
          </w:tcPr>
          <w:p w:rsidR="00DD3B6D" w:rsidRPr="00116463" w:rsidRDefault="00DD3B6D" w:rsidP="008C2D5E">
            <w:pPr>
              <w:jc w:val="left"/>
              <w:rPr>
                <w:b/>
                <w:bCs/>
                <w:color w:val="FFFFFF"/>
                <w:sz w:val="19"/>
                <w:szCs w:val="19"/>
              </w:rPr>
            </w:pPr>
            <w:r w:rsidRPr="00116463">
              <w:rPr>
                <w:b/>
                <w:bCs/>
                <w:color w:val="FFFFFF"/>
                <w:sz w:val="19"/>
                <w:szCs w:val="19"/>
              </w:rPr>
              <w:t>Event</w:t>
            </w:r>
          </w:p>
        </w:tc>
      </w:tr>
      <w:tr w:rsidR="00E7173E" w:rsidRPr="00116463" w:rsidTr="00116463">
        <w:trPr>
          <w:trHeight w:val="732"/>
        </w:trPr>
        <w:tc>
          <w:tcPr>
            <w:tcW w:w="1975" w:type="dxa"/>
            <w:tcBorders>
              <w:top w:val="nil"/>
              <w:left w:val="single" w:sz="4" w:space="0" w:color="448A99"/>
              <w:bottom w:val="single" w:sz="4" w:space="0" w:color="448A99"/>
              <w:right w:val="single" w:sz="4" w:space="0" w:color="448A99"/>
            </w:tcBorders>
            <w:shd w:val="clear" w:color="auto" w:fill="D2EAF1"/>
            <w:vAlign w:val="center"/>
          </w:tcPr>
          <w:p w:rsidR="00DD3B6D" w:rsidRPr="00116463" w:rsidRDefault="00DD3B6D" w:rsidP="008C2D5E">
            <w:pPr>
              <w:jc w:val="left"/>
              <w:rPr>
                <w:bCs/>
                <w:color w:val="000000"/>
                <w:sz w:val="19"/>
                <w:szCs w:val="19"/>
              </w:rPr>
            </w:pPr>
            <w:r w:rsidRPr="00116463">
              <w:rPr>
                <w:sz w:val="19"/>
                <w:szCs w:val="19"/>
              </w:rPr>
              <w:t>September 19, 2013</w:t>
            </w:r>
          </w:p>
        </w:tc>
        <w:tc>
          <w:tcPr>
            <w:tcW w:w="7380" w:type="dxa"/>
            <w:tcBorders>
              <w:top w:val="nil"/>
              <w:left w:val="nil"/>
              <w:bottom w:val="single" w:sz="4" w:space="0" w:color="448A99"/>
              <w:right w:val="single" w:sz="4" w:space="0" w:color="448A99"/>
            </w:tcBorders>
            <w:shd w:val="clear" w:color="auto" w:fill="D2EAF1"/>
            <w:vAlign w:val="center"/>
          </w:tcPr>
          <w:p w:rsidR="00DD3B6D" w:rsidRPr="00116463" w:rsidRDefault="00DD3B6D" w:rsidP="008C2D5E">
            <w:pPr>
              <w:jc w:val="left"/>
              <w:rPr>
                <w:color w:val="000000"/>
                <w:sz w:val="19"/>
                <w:szCs w:val="19"/>
              </w:rPr>
            </w:pPr>
            <w:r w:rsidRPr="00116463">
              <w:rPr>
                <w:sz w:val="19"/>
                <w:szCs w:val="19"/>
              </w:rPr>
              <w:t>FirstEnergy EDCs submit first draft of Phase II evaluation plan to the PUC and SWE</w:t>
            </w:r>
          </w:p>
        </w:tc>
      </w:tr>
      <w:tr w:rsidR="00E7173E" w:rsidRPr="00116463" w:rsidTr="00116463">
        <w:trPr>
          <w:trHeight w:val="732"/>
        </w:trPr>
        <w:tc>
          <w:tcPr>
            <w:tcW w:w="1975" w:type="dxa"/>
            <w:tcBorders>
              <w:top w:val="nil"/>
              <w:left w:val="single" w:sz="4" w:space="0" w:color="448A99"/>
              <w:bottom w:val="single" w:sz="4" w:space="0" w:color="448A99"/>
              <w:right w:val="single" w:sz="4" w:space="0" w:color="448A99"/>
            </w:tcBorders>
            <w:shd w:val="clear" w:color="auto" w:fill="auto"/>
            <w:vAlign w:val="center"/>
          </w:tcPr>
          <w:p w:rsidR="00DD3B6D" w:rsidRPr="00116463" w:rsidRDefault="00DD3B6D" w:rsidP="008C2D5E">
            <w:pPr>
              <w:jc w:val="left"/>
              <w:rPr>
                <w:bCs/>
                <w:color w:val="000000"/>
                <w:sz w:val="19"/>
                <w:szCs w:val="19"/>
                <w:lang w:eastAsia="zh-CN"/>
              </w:rPr>
            </w:pPr>
            <w:r w:rsidRPr="00116463">
              <w:rPr>
                <w:sz w:val="19"/>
                <w:szCs w:val="19"/>
              </w:rPr>
              <w:t>October 15, 2013</w:t>
            </w:r>
          </w:p>
        </w:tc>
        <w:tc>
          <w:tcPr>
            <w:tcW w:w="7380" w:type="dxa"/>
            <w:tcBorders>
              <w:top w:val="nil"/>
              <w:left w:val="nil"/>
              <w:bottom w:val="single" w:sz="4" w:space="0" w:color="448A99"/>
              <w:right w:val="single" w:sz="4" w:space="0" w:color="448A99"/>
            </w:tcBorders>
            <w:shd w:val="clear" w:color="auto" w:fill="auto"/>
            <w:vAlign w:val="center"/>
          </w:tcPr>
          <w:p w:rsidR="00DD3B6D" w:rsidRPr="00116463" w:rsidRDefault="00DD3B6D" w:rsidP="008C2D5E">
            <w:pPr>
              <w:jc w:val="left"/>
              <w:rPr>
                <w:color w:val="000000"/>
                <w:sz w:val="19"/>
                <w:szCs w:val="19"/>
              </w:rPr>
            </w:pPr>
            <w:r w:rsidRPr="00116463">
              <w:rPr>
                <w:sz w:val="19"/>
                <w:szCs w:val="19"/>
              </w:rPr>
              <w:t>SWE returns comments on the FirstEnergy evaluation plan to FirstEnergy</w:t>
            </w:r>
          </w:p>
        </w:tc>
      </w:tr>
      <w:tr w:rsidR="00E7173E" w:rsidRPr="00116463" w:rsidTr="00116463">
        <w:trPr>
          <w:trHeight w:val="732"/>
        </w:trPr>
        <w:tc>
          <w:tcPr>
            <w:tcW w:w="1975" w:type="dxa"/>
            <w:tcBorders>
              <w:top w:val="nil"/>
              <w:left w:val="single" w:sz="4" w:space="0" w:color="448A99"/>
              <w:bottom w:val="single" w:sz="4" w:space="0" w:color="448A99"/>
              <w:right w:val="single" w:sz="4" w:space="0" w:color="448A99"/>
            </w:tcBorders>
            <w:shd w:val="clear" w:color="auto" w:fill="D2EAF1"/>
            <w:vAlign w:val="center"/>
          </w:tcPr>
          <w:p w:rsidR="00DD3B6D" w:rsidRPr="00116463" w:rsidRDefault="00DD3B6D" w:rsidP="008C2D5E">
            <w:pPr>
              <w:jc w:val="left"/>
              <w:rPr>
                <w:bCs/>
                <w:color w:val="000000"/>
                <w:sz w:val="19"/>
                <w:szCs w:val="19"/>
                <w:lang w:eastAsia="zh-CN"/>
              </w:rPr>
            </w:pPr>
            <w:r w:rsidRPr="00116463">
              <w:rPr>
                <w:sz w:val="19"/>
                <w:szCs w:val="19"/>
              </w:rPr>
              <w:t>November 13, 2013</w:t>
            </w:r>
          </w:p>
        </w:tc>
        <w:tc>
          <w:tcPr>
            <w:tcW w:w="7380" w:type="dxa"/>
            <w:tcBorders>
              <w:top w:val="nil"/>
              <w:left w:val="nil"/>
              <w:bottom w:val="single" w:sz="4" w:space="0" w:color="448A99"/>
              <w:right w:val="single" w:sz="4" w:space="0" w:color="448A99"/>
            </w:tcBorders>
            <w:shd w:val="clear" w:color="auto" w:fill="D2EAF1"/>
            <w:vAlign w:val="center"/>
          </w:tcPr>
          <w:p w:rsidR="00DD3B6D" w:rsidRPr="00116463" w:rsidRDefault="00DD3B6D" w:rsidP="008C2D5E">
            <w:pPr>
              <w:jc w:val="left"/>
              <w:rPr>
                <w:color w:val="000000"/>
                <w:sz w:val="19"/>
                <w:szCs w:val="19"/>
              </w:rPr>
            </w:pPr>
            <w:r w:rsidRPr="00116463">
              <w:rPr>
                <w:sz w:val="19"/>
                <w:szCs w:val="19"/>
              </w:rPr>
              <w:t>SWE sends a list of “items that be must addressed” to FirstEnergy EDCs</w:t>
            </w:r>
          </w:p>
        </w:tc>
      </w:tr>
      <w:tr w:rsidR="00E7173E" w:rsidRPr="00116463" w:rsidTr="00116463">
        <w:trPr>
          <w:trHeight w:val="732"/>
        </w:trPr>
        <w:tc>
          <w:tcPr>
            <w:tcW w:w="1975" w:type="dxa"/>
            <w:tcBorders>
              <w:top w:val="nil"/>
              <w:left w:val="single" w:sz="4" w:space="0" w:color="448A99"/>
              <w:bottom w:val="single" w:sz="4" w:space="0" w:color="448A99"/>
              <w:right w:val="single" w:sz="4" w:space="0" w:color="448A99"/>
            </w:tcBorders>
            <w:shd w:val="clear" w:color="auto" w:fill="auto"/>
            <w:vAlign w:val="center"/>
          </w:tcPr>
          <w:p w:rsidR="00DD3B6D" w:rsidRPr="00116463" w:rsidRDefault="00DD3B6D" w:rsidP="008C2D5E">
            <w:pPr>
              <w:jc w:val="left"/>
              <w:rPr>
                <w:bCs/>
                <w:color w:val="000000"/>
                <w:sz w:val="19"/>
                <w:szCs w:val="19"/>
                <w:lang w:eastAsia="zh-CN"/>
              </w:rPr>
            </w:pPr>
            <w:r w:rsidRPr="00116463">
              <w:rPr>
                <w:sz w:val="19"/>
                <w:szCs w:val="19"/>
              </w:rPr>
              <w:t>February 19, 2014</w:t>
            </w:r>
          </w:p>
        </w:tc>
        <w:tc>
          <w:tcPr>
            <w:tcW w:w="7380" w:type="dxa"/>
            <w:tcBorders>
              <w:top w:val="nil"/>
              <w:left w:val="nil"/>
              <w:bottom w:val="single" w:sz="4" w:space="0" w:color="448A99"/>
              <w:right w:val="single" w:sz="4" w:space="0" w:color="448A99"/>
            </w:tcBorders>
            <w:shd w:val="clear" w:color="auto" w:fill="auto"/>
            <w:vAlign w:val="center"/>
          </w:tcPr>
          <w:p w:rsidR="00DD3B6D" w:rsidRPr="00116463" w:rsidRDefault="00DD3B6D" w:rsidP="008C2D5E">
            <w:pPr>
              <w:jc w:val="left"/>
              <w:rPr>
                <w:color w:val="000000"/>
                <w:sz w:val="19"/>
                <w:szCs w:val="19"/>
              </w:rPr>
            </w:pPr>
            <w:r w:rsidRPr="00116463">
              <w:rPr>
                <w:sz w:val="19"/>
                <w:szCs w:val="19"/>
              </w:rPr>
              <w:t>FirstEnergy EDCs submit revised Phase II evaluation plan to the PUC and SWE</w:t>
            </w:r>
          </w:p>
        </w:tc>
      </w:tr>
      <w:tr w:rsidR="00E7173E" w:rsidRPr="00116463" w:rsidTr="00116463">
        <w:trPr>
          <w:trHeight w:val="732"/>
        </w:trPr>
        <w:tc>
          <w:tcPr>
            <w:tcW w:w="1975" w:type="dxa"/>
            <w:tcBorders>
              <w:top w:val="nil"/>
              <w:left w:val="single" w:sz="4" w:space="0" w:color="448A99"/>
              <w:bottom w:val="single" w:sz="8" w:space="0" w:color="448A99"/>
              <w:right w:val="single" w:sz="4" w:space="0" w:color="448A99"/>
            </w:tcBorders>
            <w:shd w:val="clear" w:color="auto" w:fill="D2EAF1"/>
            <w:vAlign w:val="center"/>
          </w:tcPr>
          <w:p w:rsidR="00DD3B6D" w:rsidRPr="00116463" w:rsidRDefault="00DD3B6D" w:rsidP="008C2D5E">
            <w:pPr>
              <w:jc w:val="left"/>
              <w:rPr>
                <w:bCs/>
                <w:color w:val="000000"/>
                <w:sz w:val="19"/>
                <w:szCs w:val="19"/>
              </w:rPr>
            </w:pPr>
            <w:r w:rsidRPr="00116463">
              <w:rPr>
                <w:sz w:val="19"/>
                <w:szCs w:val="19"/>
              </w:rPr>
              <w:t>June 1, 2014</w:t>
            </w:r>
          </w:p>
        </w:tc>
        <w:tc>
          <w:tcPr>
            <w:tcW w:w="7380" w:type="dxa"/>
            <w:tcBorders>
              <w:top w:val="nil"/>
              <w:left w:val="nil"/>
              <w:bottom w:val="single" w:sz="8" w:space="0" w:color="448A99"/>
              <w:right w:val="single" w:sz="4" w:space="0" w:color="448A99"/>
            </w:tcBorders>
            <w:shd w:val="clear" w:color="auto" w:fill="D2EAF1"/>
            <w:vAlign w:val="center"/>
          </w:tcPr>
          <w:p w:rsidR="00DD3B6D" w:rsidRPr="00116463" w:rsidRDefault="00DD3B6D" w:rsidP="008C2D5E">
            <w:pPr>
              <w:jc w:val="left"/>
              <w:rPr>
                <w:color w:val="000000"/>
                <w:sz w:val="19"/>
                <w:szCs w:val="19"/>
              </w:rPr>
            </w:pPr>
            <w:r w:rsidRPr="00116463">
              <w:rPr>
                <w:sz w:val="19"/>
                <w:szCs w:val="19"/>
              </w:rPr>
              <w:t>PY6 starts</w:t>
            </w:r>
          </w:p>
        </w:tc>
      </w:tr>
      <w:tr w:rsidR="00E7173E" w:rsidRPr="00116463" w:rsidTr="00116463">
        <w:trPr>
          <w:trHeight w:val="732"/>
        </w:trPr>
        <w:tc>
          <w:tcPr>
            <w:tcW w:w="1975" w:type="dxa"/>
            <w:tcBorders>
              <w:top w:val="single" w:sz="8" w:space="0" w:color="448A99"/>
              <w:left w:val="single" w:sz="4" w:space="0" w:color="448A99"/>
              <w:bottom w:val="single" w:sz="8" w:space="0" w:color="448A99"/>
              <w:right w:val="single" w:sz="4" w:space="0" w:color="448A99"/>
            </w:tcBorders>
            <w:shd w:val="clear" w:color="auto" w:fill="FFFFFF"/>
            <w:vAlign w:val="center"/>
          </w:tcPr>
          <w:p w:rsidR="00DD3B6D" w:rsidRPr="00116463" w:rsidRDefault="00DD3B6D" w:rsidP="008C2D5E">
            <w:pPr>
              <w:jc w:val="left"/>
              <w:rPr>
                <w:sz w:val="19"/>
                <w:szCs w:val="19"/>
              </w:rPr>
            </w:pPr>
            <w:r w:rsidRPr="00116463">
              <w:rPr>
                <w:sz w:val="19"/>
                <w:szCs w:val="19"/>
              </w:rPr>
              <w:t>December 17, 2014</w:t>
            </w:r>
          </w:p>
        </w:tc>
        <w:tc>
          <w:tcPr>
            <w:tcW w:w="7380" w:type="dxa"/>
            <w:tcBorders>
              <w:top w:val="single" w:sz="8" w:space="0" w:color="448A99"/>
              <w:left w:val="nil"/>
              <w:bottom w:val="single" w:sz="8" w:space="0" w:color="448A99"/>
              <w:right w:val="single" w:sz="4" w:space="0" w:color="448A99"/>
            </w:tcBorders>
            <w:shd w:val="clear" w:color="auto" w:fill="FFFFFF"/>
            <w:vAlign w:val="center"/>
          </w:tcPr>
          <w:p w:rsidR="00DD3B6D" w:rsidRPr="00116463" w:rsidRDefault="00DD3B6D" w:rsidP="008C2D5E">
            <w:pPr>
              <w:jc w:val="left"/>
              <w:rPr>
                <w:sz w:val="19"/>
                <w:szCs w:val="19"/>
              </w:rPr>
            </w:pPr>
            <w:r w:rsidRPr="00116463">
              <w:rPr>
                <w:sz w:val="19"/>
                <w:szCs w:val="19"/>
              </w:rPr>
              <w:t>FirstEnergy EDCs provide email with additional information on the approach used by ADM for the PY6 evaluation of Penelec’s Appliance Turn-In Program</w:t>
            </w:r>
          </w:p>
        </w:tc>
      </w:tr>
      <w:tr w:rsidR="00E7173E" w:rsidRPr="00116463" w:rsidTr="00116463">
        <w:trPr>
          <w:trHeight w:val="732"/>
        </w:trPr>
        <w:tc>
          <w:tcPr>
            <w:tcW w:w="1975" w:type="dxa"/>
            <w:tcBorders>
              <w:top w:val="single" w:sz="8" w:space="0" w:color="448A99"/>
              <w:left w:val="single" w:sz="4" w:space="0" w:color="448A99"/>
              <w:bottom w:val="single" w:sz="4" w:space="0" w:color="448A99"/>
              <w:right w:val="single" w:sz="4" w:space="0" w:color="448A99"/>
            </w:tcBorders>
            <w:shd w:val="clear" w:color="auto" w:fill="D2EAF1"/>
            <w:vAlign w:val="center"/>
          </w:tcPr>
          <w:p w:rsidR="00DD3B6D" w:rsidRPr="00116463" w:rsidRDefault="00DD3B6D" w:rsidP="008C2D5E">
            <w:pPr>
              <w:jc w:val="left"/>
              <w:rPr>
                <w:sz w:val="19"/>
                <w:szCs w:val="19"/>
              </w:rPr>
            </w:pPr>
            <w:r w:rsidRPr="00116463">
              <w:rPr>
                <w:sz w:val="19"/>
                <w:szCs w:val="19"/>
              </w:rPr>
              <w:t>January 5, 2015</w:t>
            </w:r>
          </w:p>
        </w:tc>
        <w:tc>
          <w:tcPr>
            <w:tcW w:w="7380" w:type="dxa"/>
            <w:tcBorders>
              <w:top w:val="single" w:sz="8" w:space="0" w:color="448A99"/>
              <w:left w:val="nil"/>
              <w:bottom w:val="single" w:sz="4" w:space="0" w:color="448A99"/>
              <w:right w:val="single" w:sz="4" w:space="0" w:color="448A99"/>
            </w:tcBorders>
            <w:shd w:val="clear" w:color="auto" w:fill="D2EAF1"/>
            <w:vAlign w:val="center"/>
          </w:tcPr>
          <w:p w:rsidR="00DD3B6D" w:rsidRPr="00116463" w:rsidRDefault="00DD3B6D" w:rsidP="008C2D5E">
            <w:pPr>
              <w:jc w:val="left"/>
              <w:rPr>
                <w:sz w:val="19"/>
                <w:szCs w:val="19"/>
              </w:rPr>
            </w:pPr>
            <w:r w:rsidRPr="00116463">
              <w:rPr>
                <w:sz w:val="19"/>
                <w:szCs w:val="19"/>
              </w:rPr>
              <w:t>FirstEnergy EDCs send email to SWE with clarification of sampling approach for the evaluations of the residential low-income program components (direct-install, giveaway, and low income low use kit components)</w:t>
            </w:r>
          </w:p>
        </w:tc>
      </w:tr>
    </w:tbl>
    <w:p w:rsidR="00DD3B6D" w:rsidRPr="00FB6015" w:rsidRDefault="00DD3B6D" w:rsidP="00DD3B6D"/>
    <w:p w:rsidR="00DD3B6D" w:rsidRPr="00FB6015" w:rsidRDefault="00DD3B6D" w:rsidP="00DD3B6D">
      <w:pPr>
        <w:spacing w:after="120"/>
      </w:pPr>
      <w:r w:rsidRPr="00C24FA0">
        <w:t>The</w:t>
      </w:r>
      <w:r w:rsidRPr="00FB6015">
        <w:t xml:space="preserve"> initial EM&amp;V Plan for all FirstEnergy companies, submitted on September 19, 2013, detailed proposed evaluation objectives and activities for nine programs across two sectors. Key evaluation issues, impact evaluation details, process evaluation details, sampling plans, and key contacts were presented for each of the nine programs. After reviewing the plan, the SWE Team returned 34 comments on October 15, 2013. Many of the SWE Team’s comments demonstrated the SWE Team’s agreement with details of the </w:t>
      </w:r>
      <w:r w:rsidRPr="00126D81">
        <w:t>FirstEnergy EDCs’</w:t>
      </w:r>
      <w:r w:rsidRPr="00FB6015">
        <w:t xml:space="preserve"> plan. Most of the remaining comments concerned report formatting and minor clarifications that did not propose changes to the plan; substantive recommendations for revisions to the plan arose in only two areas:</w:t>
      </w:r>
    </w:p>
    <w:p w:rsidR="00DD3B6D" w:rsidRPr="008A5E9E" w:rsidRDefault="00DD3B6D" w:rsidP="00E646C9">
      <w:pPr>
        <w:numPr>
          <w:ilvl w:val="0"/>
          <w:numId w:val="76"/>
        </w:numPr>
        <w:spacing w:after="120"/>
        <w:ind w:left="360"/>
        <w:rPr>
          <w:color w:val="000000"/>
          <w:szCs w:val="20"/>
        </w:rPr>
      </w:pPr>
      <w:r w:rsidRPr="008A5E9E">
        <w:rPr>
          <w:color w:val="000000"/>
          <w:szCs w:val="20"/>
        </w:rPr>
        <w:t>Frequency of EDC data gathering in partially deemed measures</w:t>
      </w:r>
    </w:p>
    <w:p w:rsidR="00DD3B6D" w:rsidRPr="008A5E9E" w:rsidRDefault="00DD3B6D" w:rsidP="00E646C9">
      <w:pPr>
        <w:numPr>
          <w:ilvl w:val="0"/>
          <w:numId w:val="76"/>
        </w:numPr>
        <w:ind w:left="360"/>
        <w:rPr>
          <w:color w:val="000000"/>
          <w:szCs w:val="20"/>
        </w:rPr>
      </w:pPr>
      <w:r w:rsidRPr="008A5E9E">
        <w:rPr>
          <w:color w:val="000000"/>
          <w:szCs w:val="20"/>
        </w:rPr>
        <w:t>Definition of high-impact measures in C/I programs</w:t>
      </w:r>
    </w:p>
    <w:p w:rsidR="00DD3B6D" w:rsidRPr="008A5E9E" w:rsidRDefault="00DD3B6D" w:rsidP="00DD3B6D">
      <w:pPr>
        <w:rPr>
          <w:color w:val="000000"/>
        </w:rPr>
      </w:pPr>
    </w:p>
    <w:p w:rsidR="00DD3B6D" w:rsidRDefault="00DD3B6D" w:rsidP="00DD3B6D">
      <w:pPr>
        <w:rPr>
          <w:color w:val="000000"/>
        </w:rPr>
      </w:pPr>
      <w:r w:rsidRPr="008A5E9E">
        <w:rPr>
          <w:color w:val="000000"/>
        </w:rPr>
        <w:t xml:space="preserve">FirstEnergy EDCs provided revisions to the plan on February 19, 2014, and the SWE Team approved the revised version as the final Phase II EM&amp;V Plan. The SWE Team’s review of the evaluation activities revealed that the plan was followed appropriately for all PY6 </w:t>
      </w:r>
      <w:r>
        <w:rPr>
          <w:color w:val="000000"/>
        </w:rPr>
        <w:t xml:space="preserve">and PY7 </w:t>
      </w:r>
      <w:r w:rsidRPr="008A5E9E">
        <w:rPr>
          <w:color w:val="000000"/>
        </w:rPr>
        <w:t>EM&amp;V activities.</w:t>
      </w:r>
    </w:p>
    <w:p w:rsidR="009847AC" w:rsidRPr="009847AC" w:rsidRDefault="009847AC" w:rsidP="009847AC"/>
    <w:p w:rsidR="00950837" w:rsidRDefault="00950837" w:rsidP="009C0DF1">
      <w:pPr>
        <w:pStyle w:val="AppendixAHeading3"/>
      </w:pPr>
      <w:r>
        <w:t>Measurement and Verification Activities and Findings</w:t>
      </w:r>
    </w:p>
    <w:p w:rsidR="00891F4B" w:rsidRPr="00EE3A4B" w:rsidRDefault="00891F4B" w:rsidP="00891F4B">
      <w:r w:rsidRPr="00EE3A4B">
        <w:t xml:space="preserve">Realization rates compare gross savings reported by the EDC </w:t>
      </w:r>
      <w:r w:rsidR="000E712F">
        <w:t>with</w:t>
      </w:r>
      <w:r w:rsidRPr="00EE3A4B">
        <w:t xml:space="preserve"> the verified gross savings determined by the EDC evaluation contractor through M&amp;V.</w:t>
      </w:r>
      <w:r>
        <w:t xml:space="preserve"> </w:t>
      </w:r>
      <w:r>
        <w:fldChar w:fldCharType="begin"/>
      </w:r>
      <w:r>
        <w:instrText xml:space="preserve"> REF _Ref472464034 \h </w:instrText>
      </w:r>
      <w:r>
        <w:fldChar w:fldCharType="separate"/>
      </w:r>
      <w:r w:rsidR="00037CB4">
        <w:t>Table A-</w:t>
      </w:r>
      <w:r w:rsidR="00037CB4">
        <w:rPr>
          <w:noProof/>
        </w:rPr>
        <w:t>57</w:t>
      </w:r>
      <w:r>
        <w:fldChar w:fldCharType="end"/>
      </w:r>
      <w:r w:rsidRPr="00EE3A4B">
        <w:t xml:space="preserve"> summarizes M&amp;V findings based on activities conducted by the </w:t>
      </w:r>
      <w:r>
        <w:t>Penelec</w:t>
      </w:r>
      <w:r w:rsidRPr="00EE3A4B">
        <w:t xml:space="preserve"> evaluation contractor. The summary is based on details provided in </w:t>
      </w:r>
      <w:r>
        <w:t>Penelec’s</w:t>
      </w:r>
      <w:r w:rsidRPr="00EE3A4B">
        <w:t xml:space="preserve"> PY6 annual report and on information obtained from the SWE Team’s data requests and audits. </w:t>
      </w:r>
      <w:r w:rsidR="000E712F">
        <w:fldChar w:fldCharType="begin"/>
      </w:r>
      <w:r w:rsidR="000E712F">
        <w:instrText xml:space="preserve"> REF _Ref472464034 \h </w:instrText>
      </w:r>
      <w:r w:rsidR="000E712F">
        <w:fldChar w:fldCharType="separate"/>
      </w:r>
      <w:r w:rsidR="00037CB4">
        <w:t>Table A-</w:t>
      </w:r>
      <w:r w:rsidR="00037CB4">
        <w:rPr>
          <w:noProof/>
        </w:rPr>
        <w:t>57</w:t>
      </w:r>
      <w:r w:rsidR="000E712F">
        <w:fldChar w:fldCharType="end"/>
      </w:r>
      <w:r>
        <w:t xml:space="preserve"> </w:t>
      </w:r>
      <w:r w:rsidRPr="00EE3A4B">
        <w:t xml:space="preserve">presents realization rates and relative precision values for verified energy and demand savings for each of </w:t>
      </w:r>
      <w:r>
        <w:t>Penelec</w:t>
      </w:r>
      <w:r w:rsidRPr="00EE3A4B">
        <w:t>’s residential and non-residential energy efficiency programs in PY</w:t>
      </w:r>
      <w:r>
        <w:t>7</w:t>
      </w:r>
      <w:r w:rsidRPr="00EE3A4B">
        <w:t xml:space="preserve">. </w:t>
      </w:r>
    </w:p>
    <w:p w:rsidR="00891F4B" w:rsidRPr="00EE3A4B" w:rsidRDefault="00891F4B" w:rsidP="00891F4B">
      <w:pPr>
        <w:rPr>
          <w:highlight w:val="lightGray"/>
        </w:rPr>
      </w:pPr>
    </w:p>
    <w:p w:rsidR="00891F4B" w:rsidRPr="00EE3A4B" w:rsidRDefault="00891F4B" w:rsidP="004837FA">
      <w:pPr>
        <w:pStyle w:val="Caption"/>
      </w:pPr>
      <w:bookmarkStart w:id="810" w:name="_Ref472464034"/>
      <w:bookmarkStart w:id="811" w:name="_Toc472472466"/>
      <w:bookmarkStart w:id="812" w:name="_Toc488741885"/>
      <w:r>
        <w:t>Table A-</w:t>
      </w:r>
      <w:r w:rsidR="007973A4">
        <w:fldChar w:fldCharType="begin"/>
      </w:r>
      <w:r w:rsidR="007973A4">
        <w:instrText xml:space="preserve"> SEQ Table_A- \* ARABIC </w:instrText>
      </w:r>
      <w:r w:rsidR="007973A4">
        <w:fldChar w:fldCharType="separate"/>
      </w:r>
      <w:r w:rsidR="00037CB4">
        <w:rPr>
          <w:noProof/>
        </w:rPr>
        <w:t>57</w:t>
      </w:r>
      <w:r w:rsidR="007973A4">
        <w:rPr>
          <w:noProof/>
        </w:rPr>
        <w:fldChar w:fldCharType="end"/>
      </w:r>
      <w:bookmarkEnd w:id="810"/>
      <w:r>
        <w:t>: Penelec</w:t>
      </w:r>
      <w:r w:rsidRPr="00EE3A4B">
        <w:t xml:space="preserve"> Energy Efficiency Programs – Realization Rates for Energy and Demand Savings in PY</w:t>
      </w:r>
      <w:r>
        <w:t>7</w:t>
      </w:r>
      <w:bookmarkEnd w:id="811"/>
      <w:bookmarkEnd w:id="812"/>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72"/>
        <w:gridCol w:w="1547"/>
        <w:gridCol w:w="1547"/>
        <w:gridCol w:w="1547"/>
        <w:gridCol w:w="1547"/>
      </w:tblGrid>
      <w:tr w:rsidR="00A874AC" w:rsidRPr="00116463" w:rsidTr="00116463">
        <w:trPr>
          <w:trHeight w:val="720"/>
          <w:tblHeader/>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448A99"/>
            <w:noWrap/>
            <w:vAlign w:val="bottom"/>
            <w:hideMark/>
          </w:tcPr>
          <w:p w:rsidR="00891F4B" w:rsidRPr="00116463" w:rsidRDefault="00891F4B" w:rsidP="00380FF9">
            <w:pPr>
              <w:rPr>
                <w:rFonts w:eastAsia="Calibri"/>
                <w:b/>
                <w:color w:val="FFFFFF"/>
                <w:sz w:val="19"/>
                <w:szCs w:val="19"/>
              </w:rPr>
            </w:pPr>
            <w:r w:rsidRPr="00116463">
              <w:rPr>
                <w:rFonts w:eastAsia="Calibri"/>
                <w:b/>
                <w:color w:val="FFFFFF"/>
                <w:sz w:val="19"/>
                <w:szCs w:val="19"/>
              </w:rPr>
              <w:t>Program</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891F4B" w:rsidRPr="00116463" w:rsidRDefault="00891F4B" w:rsidP="00380FF9">
            <w:pPr>
              <w:jc w:val="center"/>
              <w:rPr>
                <w:rFonts w:eastAsia="Calibri"/>
                <w:b/>
                <w:color w:val="FFFFFF"/>
                <w:sz w:val="19"/>
                <w:szCs w:val="19"/>
              </w:rPr>
            </w:pPr>
            <w:r w:rsidRPr="00116463">
              <w:rPr>
                <w:rFonts w:eastAsia="Calibri"/>
                <w:b/>
                <w:color w:val="FFFFFF"/>
                <w:sz w:val="19"/>
                <w:szCs w:val="19"/>
              </w:rPr>
              <w:t>Energy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891F4B" w:rsidRPr="00116463" w:rsidRDefault="00891F4B" w:rsidP="00380FF9">
            <w:pPr>
              <w:jc w:val="center"/>
              <w:rPr>
                <w:rFonts w:eastAsia="Calibri"/>
                <w:b/>
                <w:color w:val="FFFFFF"/>
                <w:sz w:val="19"/>
                <w:szCs w:val="19"/>
              </w:rPr>
            </w:pPr>
            <w:r w:rsidRPr="00116463">
              <w:rPr>
                <w:rFonts w:eastAsia="Calibri"/>
                <w:b/>
                <w:color w:val="FFFFFF"/>
                <w:sz w:val="19"/>
                <w:szCs w:val="19"/>
              </w:rPr>
              <w:t>Relative Precision (Energy)</w:t>
            </w:r>
            <w:r w:rsidRPr="00116463">
              <w:rPr>
                <w:rFonts w:eastAsia="Calibri"/>
                <w:b/>
                <w:color w:val="FFFFFF"/>
                <w:sz w:val="19"/>
                <w:szCs w:val="19"/>
                <w:vertAlign w:val="superscript"/>
              </w:rPr>
              <w:t>[a]</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891F4B" w:rsidRPr="00116463" w:rsidRDefault="00891F4B" w:rsidP="00380FF9">
            <w:pPr>
              <w:jc w:val="center"/>
              <w:rPr>
                <w:rFonts w:eastAsia="Calibri"/>
                <w:b/>
                <w:color w:val="FFFFFF"/>
                <w:sz w:val="19"/>
                <w:szCs w:val="19"/>
              </w:rPr>
            </w:pPr>
            <w:r w:rsidRPr="00116463">
              <w:rPr>
                <w:rFonts w:eastAsia="Calibri"/>
                <w:b/>
                <w:color w:val="FFFFFF"/>
                <w:sz w:val="19"/>
                <w:szCs w:val="19"/>
              </w:rPr>
              <w:t>Demand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891F4B" w:rsidRPr="00116463" w:rsidRDefault="00891F4B" w:rsidP="00380FF9">
            <w:pPr>
              <w:jc w:val="center"/>
              <w:rPr>
                <w:rFonts w:eastAsia="Calibri"/>
                <w:b/>
                <w:color w:val="FFFFFF"/>
                <w:sz w:val="19"/>
                <w:szCs w:val="19"/>
              </w:rPr>
            </w:pPr>
            <w:r w:rsidRPr="00116463">
              <w:rPr>
                <w:rFonts w:eastAsia="Calibri"/>
                <w:b/>
                <w:color w:val="FFFFFF"/>
                <w:sz w:val="19"/>
                <w:szCs w:val="19"/>
              </w:rPr>
              <w:t>Relative Precision (Demand)</w:t>
            </w:r>
            <w:r w:rsidRPr="00116463">
              <w:rPr>
                <w:rFonts w:eastAsia="Calibri"/>
                <w:b/>
                <w:color w:val="FFFFFF"/>
                <w:sz w:val="19"/>
                <w:szCs w:val="19"/>
                <w:vertAlign w:val="superscript"/>
              </w:rPr>
              <w:t>[a]</w:t>
            </w:r>
          </w:p>
        </w:tc>
      </w:tr>
      <w:tr w:rsidR="00A874AC" w:rsidRPr="00116463"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380FF9">
            <w:pPr>
              <w:jc w:val="left"/>
              <w:rPr>
                <w:rFonts w:eastAsia="Calibri"/>
                <w:sz w:val="19"/>
                <w:szCs w:val="19"/>
              </w:rPr>
            </w:pPr>
            <w:r w:rsidRPr="00116463">
              <w:rPr>
                <w:rFonts w:eastAsia="Calibri"/>
                <w:sz w:val="19"/>
                <w:szCs w:val="19"/>
              </w:rPr>
              <w:t>Appliance Turn-In</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380FF9">
            <w:pPr>
              <w:jc w:val="center"/>
              <w:rPr>
                <w:rFonts w:eastAsia="Calibri"/>
                <w:sz w:val="19"/>
                <w:szCs w:val="19"/>
              </w:rPr>
            </w:pPr>
            <w:r w:rsidRPr="00116463">
              <w:rPr>
                <w:rFonts w:eastAsia="Calibri"/>
                <w:sz w:val="19"/>
                <w:szCs w:val="19"/>
              </w:rPr>
              <w:t>97.3%</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380FF9">
            <w:pPr>
              <w:jc w:val="center"/>
              <w:rPr>
                <w:rFonts w:eastAsia="Calibri"/>
                <w:sz w:val="19"/>
                <w:szCs w:val="19"/>
              </w:rPr>
            </w:pPr>
            <w:r w:rsidRPr="00116463">
              <w:rPr>
                <w:rFonts w:eastAsia="Calibri"/>
                <w:sz w:val="19"/>
                <w:szCs w:val="19"/>
              </w:rPr>
              <w:t>8.4%</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380FF9">
            <w:pPr>
              <w:jc w:val="center"/>
              <w:rPr>
                <w:rFonts w:eastAsia="Calibri"/>
                <w:sz w:val="19"/>
                <w:szCs w:val="19"/>
              </w:rPr>
            </w:pPr>
            <w:r w:rsidRPr="00116463">
              <w:rPr>
                <w:rFonts w:eastAsia="Calibri"/>
                <w:sz w:val="19"/>
                <w:szCs w:val="19"/>
              </w:rPr>
              <w:t>96.6%</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7.9%</w:t>
            </w:r>
          </w:p>
        </w:tc>
      </w:tr>
      <w:tr w:rsidR="00E7173E" w:rsidRPr="00116463" w:rsidTr="0081757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380FF9">
            <w:pPr>
              <w:jc w:val="left"/>
              <w:rPr>
                <w:rFonts w:eastAsia="Calibri"/>
                <w:sz w:val="19"/>
                <w:szCs w:val="19"/>
              </w:rPr>
            </w:pPr>
            <w:r w:rsidRPr="00116463">
              <w:rPr>
                <w:rFonts w:eastAsia="Calibri"/>
                <w:sz w:val="19"/>
                <w:szCs w:val="19"/>
              </w:rPr>
              <w:t>Efficient Products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380FF9">
            <w:pPr>
              <w:jc w:val="center"/>
              <w:rPr>
                <w:rFonts w:eastAsia="Calibri"/>
                <w:sz w:val="19"/>
                <w:szCs w:val="19"/>
              </w:rPr>
            </w:pPr>
            <w:r w:rsidRPr="00116463">
              <w:rPr>
                <w:rFonts w:eastAsia="Calibri"/>
                <w:sz w:val="19"/>
                <w:szCs w:val="19"/>
              </w:rPr>
              <w:t>140.7%</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380FF9">
            <w:pPr>
              <w:jc w:val="center"/>
              <w:rPr>
                <w:rFonts w:eastAsia="Calibri"/>
                <w:sz w:val="19"/>
                <w:szCs w:val="19"/>
              </w:rPr>
            </w:pPr>
            <w:r w:rsidRPr="00116463">
              <w:rPr>
                <w:rFonts w:eastAsia="Calibri"/>
                <w:sz w:val="19"/>
                <w:szCs w:val="19"/>
              </w:rPr>
              <w:t>1.8%</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380FF9">
            <w:pPr>
              <w:jc w:val="center"/>
              <w:rPr>
                <w:rFonts w:eastAsia="Calibri"/>
                <w:sz w:val="19"/>
                <w:szCs w:val="19"/>
              </w:rPr>
            </w:pPr>
            <w:r w:rsidRPr="00116463">
              <w:rPr>
                <w:rFonts w:eastAsia="Calibri"/>
                <w:sz w:val="19"/>
                <w:szCs w:val="19"/>
              </w:rPr>
              <w:t>87.2%</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380FF9">
            <w:pPr>
              <w:jc w:val="center"/>
              <w:rPr>
                <w:rFonts w:eastAsia="Calibri"/>
                <w:sz w:val="19"/>
                <w:szCs w:val="19"/>
              </w:rPr>
            </w:pPr>
            <w:r w:rsidRPr="00116463">
              <w:rPr>
                <w:rFonts w:eastAsia="Calibri"/>
                <w:sz w:val="19"/>
                <w:szCs w:val="19"/>
              </w:rPr>
              <w:t>2.4%</w:t>
            </w:r>
          </w:p>
        </w:tc>
      </w:tr>
      <w:tr w:rsidR="00A874AC" w:rsidRPr="00116463"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380FF9">
            <w:pPr>
              <w:jc w:val="left"/>
              <w:rPr>
                <w:rFonts w:eastAsia="Calibri"/>
                <w:sz w:val="19"/>
                <w:szCs w:val="19"/>
              </w:rPr>
            </w:pPr>
            <w:r w:rsidRPr="00116463">
              <w:rPr>
                <w:rFonts w:eastAsia="Calibri"/>
                <w:sz w:val="19"/>
                <w:szCs w:val="19"/>
              </w:rPr>
              <w:t>Home Performance</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380FF9">
            <w:pPr>
              <w:jc w:val="center"/>
              <w:rPr>
                <w:rFonts w:eastAsia="Calibri"/>
                <w:sz w:val="19"/>
                <w:szCs w:val="19"/>
              </w:rPr>
            </w:pPr>
            <w:r w:rsidRPr="00116463">
              <w:rPr>
                <w:rFonts w:eastAsia="Calibri"/>
                <w:sz w:val="19"/>
                <w:szCs w:val="19"/>
              </w:rPr>
              <w:t>95.7%</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3.8%</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380FF9">
            <w:pPr>
              <w:jc w:val="center"/>
              <w:rPr>
                <w:rFonts w:eastAsia="Calibri"/>
                <w:sz w:val="19"/>
                <w:szCs w:val="19"/>
              </w:rPr>
            </w:pPr>
            <w:r w:rsidRPr="00116463">
              <w:rPr>
                <w:rFonts w:eastAsia="Calibri"/>
                <w:sz w:val="19"/>
                <w:szCs w:val="19"/>
              </w:rPr>
              <w:t>75.1%</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3.8%</w:t>
            </w:r>
          </w:p>
        </w:tc>
      </w:tr>
      <w:tr w:rsidR="00E7173E" w:rsidRPr="00116463" w:rsidTr="0081757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380FF9">
            <w:pPr>
              <w:jc w:val="left"/>
              <w:rPr>
                <w:rFonts w:eastAsia="Calibri"/>
                <w:sz w:val="19"/>
                <w:szCs w:val="19"/>
              </w:rPr>
            </w:pPr>
            <w:r w:rsidRPr="00116463">
              <w:rPr>
                <w:rFonts w:eastAsia="Calibri"/>
                <w:sz w:val="19"/>
                <w:szCs w:val="19"/>
              </w:rPr>
              <w:t>Low-Income</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380FF9">
            <w:pPr>
              <w:jc w:val="center"/>
              <w:rPr>
                <w:rFonts w:eastAsia="Calibri"/>
                <w:sz w:val="19"/>
                <w:szCs w:val="19"/>
              </w:rPr>
            </w:pPr>
            <w:r w:rsidRPr="00116463">
              <w:rPr>
                <w:rFonts w:eastAsia="Calibri"/>
                <w:sz w:val="19"/>
                <w:szCs w:val="19"/>
              </w:rPr>
              <w:t>103.8%</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891F4B">
            <w:pPr>
              <w:jc w:val="center"/>
              <w:rPr>
                <w:rFonts w:eastAsia="Calibri"/>
                <w:sz w:val="19"/>
                <w:szCs w:val="19"/>
              </w:rPr>
            </w:pPr>
            <w:r w:rsidRPr="00116463">
              <w:rPr>
                <w:rFonts w:eastAsia="Calibri"/>
                <w:sz w:val="19"/>
                <w:szCs w:val="19"/>
              </w:rPr>
              <w:t>9.1%</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891F4B">
            <w:pPr>
              <w:jc w:val="center"/>
              <w:rPr>
                <w:rFonts w:eastAsia="Calibri"/>
                <w:sz w:val="19"/>
                <w:szCs w:val="19"/>
              </w:rPr>
            </w:pPr>
            <w:r w:rsidRPr="00116463">
              <w:rPr>
                <w:rFonts w:eastAsia="Calibri"/>
                <w:sz w:val="19"/>
                <w:szCs w:val="19"/>
              </w:rPr>
              <w:t>105.1%</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116463" w:rsidRDefault="00891F4B" w:rsidP="00891F4B">
            <w:pPr>
              <w:jc w:val="center"/>
              <w:rPr>
                <w:rFonts w:eastAsia="Calibri"/>
                <w:sz w:val="19"/>
                <w:szCs w:val="19"/>
              </w:rPr>
            </w:pPr>
            <w:r w:rsidRPr="00116463">
              <w:rPr>
                <w:rFonts w:eastAsia="Calibri"/>
                <w:sz w:val="19"/>
                <w:szCs w:val="19"/>
              </w:rPr>
              <w:t>9.1%</w:t>
            </w:r>
          </w:p>
        </w:tc>
      </w:tr>
      <w:tr w:rsidR="00A874AC" w:rsidRPr="00116463"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left"/>
              <w:rPr>
                <w:rFonts w:eastAsia="Calibri"/>
                <w:sz w:val="19"/>
                <w:szCs w:val="19"/>
              </w:rPr>
            </w:pPr>
            <w:r w:rsidRPr="00116463">
              <w:rPr>
                <w:rFonts w:eastAsia="Calibri"/>
                <w:sz w:val="19"/>
                <w:szCs w:val="19"/>
              </w:rPr>
              <w:t>Small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88.3%</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14.2%</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106.2%</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14.9%</w:t>
            </w:r>
          </w:p>
        </w:tc>
      </w:tr>
      <w:tr w:rsidR="00A874AC" w:rsidRPr="00116463"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left"/>
              <w:rPr>
                <w:rFonts w:eastAsia="Calibri"/>
                <w:sz w:val="19"/>
                <w:szCs w:val="19"/>
              </w:rPr>
            </w:pPr>
            <w:r w:rsidRPr="00116463">
              <w:rPr>
                <w:rFonts w:eastAsia="Calibri"/>
                <w:sz w:val="19"/>
                <w:szCs w:val="19"/>
              </w:rPr>
              <w:t>Small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center"/>
              <w:rPr>
                <w:rFonts w:eastAsia="Calibri"/>
                <w:sz w:val="19"/>
                <w:szCs w:val="19"/>
              </w:rPr>
            </w:pPr>
            <w:r w:rsidRPr="00116463">
              <w:rPr>
                <w:rFonts w:eastAsia="Calibri"/>
                <w:sz w:val="19"/>
                <w:szCs w:val="19"/>
              </w:rPr>
              <w:t>99.7%</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center"/>
              <w:rPr>
                <w:rFonts w:eastAsia="Calibri"/>
                <w:sz w:val="19"/>
                <w:szCs w:val="19"/>
              </w:rPr>
            </w:pPr>
            <w:r w:rsidRPr="00116463">
              <w:rPr>
                <w:rFonts w:eastAsia="Calibri"/>
                <w:sz w:val="19"/>
                <w:szCs w:val="19"/>
              </w:rPr>
              <w:t>8.9%</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center"/>
              <w:rPr>
                <w:rFonts w:eastAsia="Calibri"/>
                <w:sz w:val="19"/>
                <w:szCs w:val="19"/>
              </w:rPr>
            </w:pPr>
            <w:r w:rsidRPr="00116463">
              <w:rPr>
                <w:rFonts w:eastAsia="Calibri"/>
                <w:sz w:val="19"/>
                <w:szCs w:val="19"/>
              </w:rPr>
              <w:t>91.3%</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center"/>
              <w:rPr>
                <w:rFonts w:eastAsia="Calibri"/>
                <w:sz w:val="19"/>
                <w:szCs w:val="19"/>
              </w:rPr>
            </w:pPr>
            <w:r w:rsidRPr="00116463">
              <w:rPr>
                <w:rFonts w:eastAsia="Calibri"/>
                <w:sz w:val="19"/>
                <w:szCs w:val="19"/>
              </w:rPr>
              <w:t>8.5%</w:t>
            </w:r>
          </w:p>
        </w:tc>
      </w:tr>
      <w:tr w:rsidR="00A874AC" w:rsidRPr="00116463"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left"/>
              <w:rPr>
                <w:rFonts w:eastAsia="Calibri"/>
                <w:sz w:val="19"/>
                <w:szCs w:val="19"/>
              </w:rPr>
            </w:pPr>
            <w:r w:rsidRPr="00116463">
              <w:rPr>
                <w:rFonts w:eastAsia="Calibri"/>
                <w:sz w:val="19"/>
                <w:szCs w:val="19"/>
              </w:rPr>
              <w:t>Large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100.1%</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13.7%</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104.2%</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12.9%</w:t>
            </w:r>
          </w:p>
        </w:tc>
      </w:tr>
      <w:tr w:rsidR="00A874AC" w:rsidRPr="00116463"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left"/>
              <w:rPr>
                <w:rFonts w:eastAsia="Calibri"/>
                <w:sz w:val="19"/>
                <w:szCs w:val="19"/>
              </w:rPr>
            </w:pPr>
            <w:r w:rsidRPr="00116463">
              <w:rPr>
                <w:rFonts w:eastAsia="Calibri"/>
                <w:sz w:val="19"/>
                <w:szCs w:val="19"/>
              </w:rPr>
              <w:t>Large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center"/>
              <w:rPr>
                <w:rFonts w:eastAsia="Calibri"/>
                <w:sz w:val="19"/>
                <w:szCs w:val="19"/>
              </w:rPr>
            </w:pPr>
            <w:r w:rsidRPr="00116463">
              <w:rPr>
                <w:rFonts w:eastAsia="Calibri"/>
                <w:sz w:val="19"/>
                <w:szCs w:val="19"/>
              </w:rPr>
              <w:t>97.2%</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center"/>
              <w:rPr>
                <w:rFonts w:eastAsia="Calibri"/>
                <w:sz w:val="19"/>
                <w:szCs w:val="19"/>
              </w:rPr>
            </w:pPr>
            <w:r w:rsidRPr="00116463">
              <w:rPr>
                <w:rFonts w:eastAsia="Calibri"/>
                <w:sz w:val="19"/>
                <w:szCs w:val="19"/>
              </w:rPr>
              <w:t>13.7%</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center"/>
              <w:rPr>
                <w:rFonts w:eastAsia="Calibri"/>
                <w:sz w:val="19"/>
                <w:szCs w:val="19"/>
              </w:rPr>
            </w:pPr>
            <w:r w:rsidRPr="00116463">
              <w:rPr>
                <w:rFonts w:eastAsia="Calibri"/>
                <w:sz w:val="19"/>
                <w:szCs w:val="19"/>
              </w:rPr>
              <w:t>82.4%</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116463" w:rsidRDefault="00891F4B" w:rsidP="00891F4B">
            <w:pPr>
              <w:jc w:val="center"/>
              <w:rPr>
                <w:rFonts w:eastAsia="Calibri"/>
                <w:sz w:val="19"/>
                <w:szCs w:val="19"/>
              </w:rPr>
            </w:pPr>
            <w:r w:rsidRPr="00116463">
              <w:rPr>
                <w:rFonts w:eastAsia="Calibri"/>
                <w:sz w:val="19"/>
                <w:szCs w:val="19"/>
              </w:rPr>
              <w:t>12.9%</w:t>
            </w:r>
          </w:p>
        </w:tc>
      </w:tr>
      <w:tr w:rsidR="00A874AC" w:rsidRPr="00116463"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left"/>
              <w:rPr>
                <w:rFonts w:eastAsia="Calibri"/>
                <w:sz w:val="19"/>
                <w:szCs w:val="19"/>
              </w:rPr>
            </w:pPr>
            <w:r w:rsidRPr="00116463">
              <w:rPr>
                <w:rFonts w:eastAsia="Calibri"/>
                <w:sz w:val="19"/>
                <w:szCs w:val="19"/>
              </w:rPr>
              <w:t>Government/Institutional</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90.2%</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15.0%</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97.9%</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116463" w:rsidRDefault="00891F4B" w:rsidP="00891F4B">
            <w:pPr>
              <w:jc w:val="center"/>
              <w:rPr>
                <w:rFonts w:eastAsia="Calibri"/>
                <w:sz w:val="19"/>
                <w:szCs w:val="19"/>
              </w:rPr>
            </w:pPr>
            <w:r w:rsidRPr="00116463">
              <w:rPr>
                <w:rFonts w:eastAsia="Calibri"/>
                <w:sz w:val="19"/>
                <w:szCs w:val="19"/>
              </w:rPr>
              <w:t>18.5%</w:t>
            </w:r>
          </w:p>
        </w:tc>
      </w:tr>
      <w:tr w:rsidR="00E7173E" w:rsidRPr="004F3A51" w:rsidTr="0081757B">
        <w:trPr>
          <w:trHeight w:val="300"/>
          <w:jc w:val="center"/>
        </w:trPr>
        <w:tc>
          <w:tcPr>
            <w:tcW w:w="9360" w:type="dxa"/>
            <w:gridSpan w:val="5"/>
            <w:tcBorders>
              <w:top w:val="single" w:sz="4" w:space="0" w:color="448A99"/>
              <w:left w:val="single" w:sz="4" w:space="0" w:color="448A99"/>
              <w:bottom w:val="single" w:sz="4" w:space="0" w:color="448A99"/>
              <w:right w:val="single" w:sz="4" w:space="0" w:color="448A99"/>
            </w:tcBorders>
            <w:shd w:val="clear" w:color="auto" w:fill="448A99"/>
            <w:noWrap/>
            <w:vAlign w:val="center"/>
          </w:tcPr>
          <w:p w:rsidR="00891F4B" w:rsidRPr="004F3A51" w:rsidRDefault="000E712F" w:rsidP="00380FF9">
            <w:pPr>
              <w:rPr>
                <w:rFonts w:eastAsia="Calibri"/>
                <w:color w:val="FFFFFF"/>
                <w:sz w:val="18"/>
                <w:szCs w:val="19"/>
              </w:rPr>
            </w:pPr>
            <w:r w:rsidRPr="004F3A51">
              <w:rPr>
                <w:rFonts w:eastAsia="Calibri"/>
                <w:color w:val="FFFFFF"/>
                <w:sz w:val="18"/>
                <w:szCs w:val="19"/>
              </w:rPr>
              <w:t>NOTE</w:t>
            </w:r>
            <w:r w:rsidR="00116463" w:rsidRPr="004F3A51">
              <w:rPr>
                <w:rFonts w:eastAsia="Calibri"/>
                <w:color w:val="FFFFFF"/>
                <w:sz w:val="18"/>
                <w:szCs w:val="19"/>
              </w:rPr>
              <w:t>S</w:t>
            </w:r>
            <w:r w:rsidRPr="004F3A51">
              <w:rPr>
                <w:rFonts w:eastAsia="Calibri"/>
                <w:color w:val="FFFFFF"/>
                <w:sz w:val="18"/>
                <w:szCs w:val="19"/>
              </w:rPr>
              <w:t>:</w:t>
            </w:r>
          </w:p>
          <w:p w:rsidR="00891F4B" w:rsidRPr="004F3A51" w:rsidRDefault="00891F4B" w:rsidP="00380FF9">
            <w:pPr>
              <w:rPr>
                <w:rFonts w:eastAsia="Calibri"/>
                <w:b/>
                <w:color w:val="FFFFFF"/>
                <w:sz w:val="18"/>
                <w:szCs w:val="19"/>
              </w:rPr>
            </w:pPr>
            <w:r w:rsidRPr="004F3A51">
              <w:rPr>
                <w:rFonts w:eastAsia="Calibri"/>
                <w:color w:val="FFFFFF"/>
                <w:sz w:val="18"/>
                <w:szCs w:val="19"/>
              </w:rPr>
              <w:t>[a]</w:t>
            </w:r>
            <w:r w:rsidR="00B97C91" w:rsidRPr="004F3A51">
              <w:rPr>
                <w:rFonts w:eastAsia="Calibri"/>
                <w:color w:val="FFFFFF"/>
                <w:sz w:val="18"/>
                <w:szCs w:val="19"/>
              </w:rPr>
              <w:t xml:space="preserve"> </w:t>
            </w:r>
            <w:r w:rsidRPr="004F3A51">
              <w:rPr>
                <w:rFonts w:eastAsia="Calibri"/>
                <w:color w:val="FFFFFF"/>
                <w:sz w:val="18"/>
                <w:szCs w:val="19"/>
              </w:rPr>
              <w:t>Relative precision values are at the 85% confidence level.</w:t>
            </w:r>
          </w:p>
        </w:tc>
      </w:tr>
    </w:tbl>
    <w:p w:rsidR="00891F4B" w:rsidRDefault="00891F4B" w:rsidP="00891F4B"/>
    <w:p w:rsidR="00F628F9" w:rsidRPr="00F628F9" w:rsidRDefault="00F628F9" w:rsidP="0055598C">
      <w:pPr>
        <w:pStyle w:val="AppendixAHeading4"/>
        <w:rPr>
          <w:rFonts w:eastAsia="Calibri"/>
        </w:rPr>
      </w:pPr>
      <w:r w:rsidRPr="00F628F9">
        <w:rPr>
          <w:rFonts w:eastAsia="Calibri"/>
        </w:rPr>
        <w:t>Residential Programs</w:t>
      </w:r>
    </w:p>
    <w:p w:rsidR="00F628F9" w:rsidRPr="00F628F9" w:rsidRDefault="00F628F9" w:rsidP="00F628F9">
      <w:pPr>
        <w:rPr>
          <w:rFonts w:eastAsia="Calibri"/>
        </w:rPr>
      </w:pPr>
      <w:r w:rsidRPr="00F628F9">
        <w:rPr>
          <w:rFonts w:eastAsia="Calibri"/>
        </w:rPr>
        <w:t>The energy realization rates for Penelec’s residential programs ranged from 95.7% to 140.7%. The demand realization rates ranged from 75.1% to 105.1%. Penelec achieved the 15% relative precision requirement at the 85% confidence level for both energy and demand for all residential programs.</w:t>
      </w:r>
    </w:p>
    <w:p w:rsidR="00F628F9" w:rsidRPr="00F628F9" w:rsidRDefault="00F628F9" w:rsidP="00F628F9">
      <w:pPr>
        <w:rPr>
          <w:rFonts w:eastAsia="Calibri"/>
        </w:rPr>
      </w:pPr>
    </w:p>
    <w:p w:rsidR="00F628F9" w:rsidRDefault="00F628F9" w:rsidP="00F628F9">
      <w:pPr>
        <w:rPr>
          <w:rFonts w:eastAsia="Calibri"/>
        </w:rPr>
      </w:pPr>
      <w:r w:rsidRPr="00F628F9">
        <w:rPr>
          <w:rFonts w:eastAsia="Calibri"/>
        </w:rPr>
        <w:t>The Appliance Turn-In Program was evaluated through customer verification surveys to determine the fraction of refrigerators, freezers, and room air conditioners that were drawing power before retirement, as well as the other parameters necessary to determine the EUL from the TRM regression equation. The program realization rate is mostly a function of the difference between the ex ante and ex post EULs, the latter of which used actual PY7 collection data.</w:t>
      </w:r>
    </w:p>
    <w:p w:rsidR="00FD4D90" w:rsidRPr="00F628F9" w:rsidRDefault="00FD4D90" w:rsidP="00F628F9">
      <w:pPr>
        <w:rPr>
          <w:rFonts w:eastAsia="Calibri"/>
        </w:rPr>
      </w:pPr>
    </w:p>
    <w:p w:rsidR="00737D3A" w:rsidRPr="0051723C" w:rsidRDefault="00197076" w:rsidP="00737D3A">
      <w:pPr>
        <w:rPr>
          <w:rFonts w:eastAsia="Calibri"/>
        </w:rPr>
      </w:pPr>
      <w:r w:rsidRPr="0051723C">
        <w:rPr>
          <w:rFonts w:eastAsia="Calibri"/>
        </w:rPr>
        <w:t>The evaluations of the upstream lighting and products portions of the Efficient Products Program involved reviews of sales invoices, a review of the tracking and reporting system, and a detailed review of CSP energy and demand savings calculations. The appliance portion and the HVAC equipment/tune-up portion were evaluated through an invoice review, customer surveys, and a review of the energy and demand calculations with reference to the ENERGY STAR database.</w:t>
      </w:r>
    </w:p>
    <w:p w:rsidR="00737D3A" w:rsidRDefault="00737D3A" w:rsidP="00F628F9">
      <w:pPr>
        <w:rPr>
          <w:rFonts w:eastAsia="Calibri"/>
        </w:rPr>
      </w:pPr>
    </w:p>
    <w:p w:rsidR="00F628F9" w:rsidRPr="00F628F9" w:rsidRDefault="00F628F9" w:rsidP="00F628F9">
      <w:pPr>
        <w:rPr>
          <w:rFonts w:eastAsia="Calibri"/>
        </w:rPr>
      </w:pPr>
      <w:r w:rsidRPr="00F628F9">
        <w:rPr>
          <w:rFonts w:eastAsia="Calibri"/>
        </w:rPr>
        <w:t>The evaluation contractor approached the evaluation differently for each branch of the Home Performance Program. The home energy audit kits were evaluated using the T&amp;R</w:t>
      </w:r>
      <w:r w:rsidR="0081757B">
        <w:rPr>
          <w:rFonts w:eastAsia="Calibri"/>
        </w:rPr>
        <w:t xml:space="preserve"> </w:t>
      </w:r>
      <w:r w:rsidRPr="00F628F9">
        <w:rPr>
          <w:rFonts w:eastAsia="Calibri"/>
        </w:rPr>
        <w:t>system as well as online and phone surveys to determine the delivery and installation rates for each measure. The kit receipt rates and measure ISRs have been shown to fluctuate among EDCs, primarily due to statistical variations, and therefore average statewide ISRs are used for all four FirstEnergy companies. The new construction portion of the program was evaluated through an engineering review of a sample of projects in the portfolio. Energy and demand savings for this program were determined through REM/Rate software calculations, and the review focused on whether the modeling was performed correctly (including baseline assumptions) and if the results were reasonable. Th</w:t>
      </w:r>
      <w:r w:rsidR="007D3DA6">
        <w:rPr>
          <w:rFonts w:eastAsia="Calibri"/>
        </w:rPr>
        <w:t>e prescriptive, low-cost direct-</w:t>
      </w:r>
      <w:r w:rsidRPr="00F628F9">
        <w:rPr>
          <w:rFonts w:eastAsia="Calibri"/>
        </w:rPr>
        <w:t>install portion was evaluated by reviewing the T&amp;R system and sample invoices to check if the TRM calculations were performed correctly and if the invoices matched the information in the database. For comprehensive weatherization jobs, those that saved more than 2 MWh/yr were evaluated through billing analysis, and those saving under 2 MWh/yr received an invoice review. The HER portion was reviewed and duplicated by the evaluation contractor, producing results consistent with the implementation CSP’s. The contractor then conducted its own full evaluation of the savings using a lagged seasonal regression model and adjusting for dual participation.</w:t>
      </w:r>
    </w:p>
    <w:p w:rsidR="00F628F9" w:rsidRPr="00F628F9" w:rsidRDefault="00F628F9" w:rsidP="00F628F9"/>
    <w:p w:rsidR="00F628F9" w:rsidRPr="00F628F9" w:rsidRDefault="00F628F9" w:rsidP="0055598C">
      <w:pPr>
        <w:pStyle w:val="AppendixAHeading4"/>
        <w:rPr>
          <w:rFonts w:eastAsia="Calibri"/>
        </w:rPr>
      </w:pPr>
      <w:r w:rsidRPr="00F628F9">
        <w:rPr>
          <w:rFonts w:eastAsia="Calibri"/>
        </w:rPr>
        <w:t>Low-Income Programs</w:t>
      </w:r>
    </w:p>
    <w:p w:rsidR="00F628F9" w:rsidRPr="00F628F9" w:rsidRDefault="00F628F9" w:rsidP="00F628F9">
      <w:r w:rsidRPr="00F628F9">
        <w:t>The evaluation contractor reviewed the tracking data and on-site verification forms and results to determine ISRs for the WARM direct-install measures. For giveaway events, the evaluation contractor reviewed the tracking database and applied the ISR from the 201</w:t>
      </w:r>
      <w:r w:rsidR="00590018">
        <w:t>5</w:t>
      </w:r>
      <w:r w:rsidRPr="00F628F9">
        <w:t xml:space="preserve"> TRM. There were no LILU energy kits distributed in PY7.</w:t>
      </w:r>
    </w:p>
    <w:p w:rsidR="00F628F9" w:rsidRPr="00F628F9" w:rsidRDefault="00F628F9" w:rsidP="00F628F9"/>
    <w:p w:rsidR="00F628F9" w:rsidRPr="00F628F9" w:rsidRDefault="00F628F9" w:rsidP="0055598C">
      <w:pPr>
        <w:pStyle w:val="AppendixAHeading4"/>
        <w:rPr>
          <w:rFonts w:eastAsia="Calibri"/>
        </w:rPr>
      </w:pPr>
      <w:r w:rsidRPr="00F628F9">
        <w:rPr>
          <w:rFonts w:eastAsia="Calibri"/>
        </w:rPr>
        <w:t>Non-Residential Programs</w:t>
      </w:r>
    </w:p>
    <w:p w:rsidR="00F628F9" w:rsidRPr="00F628F9" w:rsidRDefault="00F628F9" w:rsidP="00F628F9">
      <w:pPr>
        <w:rPr>
          <w:color w:val="000000"/>
        </w:rPr>
      </w:pPr>
      <w:r w:rsidRPr="00F628F9">
        <w:rPr>
          <w:color w:val="000000"/>
        </w:rPr>
        <w:t>Realization rates for Penelec’s non-residential programs’ energy savings ranged from 88.3% to 100.1%. Realization rates for demand reductions from these programs ranged from 82.4% to 104.2%. Penelec achieved the 15% precision requirement for kWh in all of its non-residential programs. It also achieved better than 15% precision for demand savings, although this is not a requirement for Phase II of Act 129.</w:t>
      </w:r>
    </w:p>
    <w:p w:rsidR="00F628F9" w:rsidRPr="00F628F9" w:rsidRDefault="00F628F9" w:rsidP="00F628F9">
      <w:pPr>
        <w:rPr>
          <w:color w:val="000000"/>
        </w:rPr>
      </w:pPr>
    </w:p>
    <w:p w:rsidR="00F628F9" w:rsidRPr="00F628F9" w:rsidRDefault="00F628F9" w:rsidP="00F628F9">
      <w:pPr>
        <w:rPr>
          <w:color w:val="000000"/>
        </w:rPr>
      </w:pPr>
      <w:r>
        <w:rPr>
          <w:color w:val="000000"/>
        </w:rPr>
        <w:fldChar w:fldCharType="begin"/>
      </w:r>
      <w:r>
        <w:rPr>
          <w:color w:val="000000"/>
        </w:rPr>
        <w:instrText xml:space="preserve"> REF _Ref472465221 \h </w:instrText>
      </w:r>
      <w:r>
        <w:rPr>
          <w:color w:val="000000"/>
        </w:rPr>
      </w:r>
      <w:r>
        <w:rPr>
          <w:color w:val="000000"/>
        </w:rPr>
        <w:fldChar w:fldCharType="separate"/>
      </w:r>
      <w:r w:rsidR="00037CB4">
        <w:t>Figure A-</w:t>
      </w:r>
      <w:r w:rsidR="00037CB4">
        <w:rPr>
          <w:noProof/>
        </w:rPr>
        <w:t>8</w:t>
      </w:r>
      <w:r>
        <w:rPr>
          <w:color w:val="000000"/>
        </w:rPr>
        <w:fldChar w:fldCharType="end"/>
      </w:r>
      <w:r w:rsidRPr="00F628F9">
        <w:rPr>
          <w:color w:val="000000"/>
        </w:rPr>
        <w:t xml:space="preserve"> shows the frequency of each M&amp;V approach performed by ADM in PY7 for Penelec’s Small C/I Equipment Program evaluation sample and the verified energy savings associated with each M&amp;V approach. ADM used both basic and enhanced levels of rigor to evaluate projects in the sample. Basic rigor includes surveys, desk reviews, and simple on-site verification (no logging). Enhanced rigor includes the following options, as recorded by ADM. The first consists of utility billing analysis to determine energy savings. Typically, 12 months of pre- and post-installation billing data are required for this approach. The second general approach is on-site verification with logging. This may be light logger deployment or more robust measurement of the retrofitted system’s continuous energy usage. The third general approach involves modeling energy performance of a facility before and after the efficiency measure is installed with an energy simulation.</w:t>
      </w:r>
    </w:p>
    <w:p w:rsidR="00F628F9" w:rsidRDefault="00F628F9" w:rsidP="00F628F9">
      <w:pPr>
        <w:rPr>
          <w:color w:val="000000"/>
        </w:rPr>
      </w:pPr>
    </w:p>
    <w:p w:rsidR="00F628F9" w:rsidRPr="00F628F9" w:rsidRDefault="00F628F9" w:rsidP="004837FA">
      <w:pPr>
        <w:pStyle w:val="Caption"/>
      </w:pPr>
      <w:bookmarkStart w:id="813" w:name="_Ref472465221"/>
      <w:bookmarkStart w:id="814" w:name="_Toc408557562"/>
      <w:bookmarkStart w:id="815" w:name="_Toc408999438"/>
      <w:bookmarkStart w:id="816" w:name="_Ref409161240"/>
      <w:bookmarkStart w:id="817" w:name="_Toc409224963"/>
      <w:bookmarkStart w:id="818" w:name="_Toc409443642"/>
      <w:bookmarkStart w:id="819" w:name="_Toc444269821"/>
      <w:bookmarkStart w:id="820" w:name="_Toc488742019"/>
      <w:r>
        <w:t>Figure A-</w:t>
      </w:r>
      <w:r w:rsidR="007973A4">
        <w:fldChar w:fldCharType="begin"/>
      </w:r>
      <w:r w:rsidR="007973A4">
        <w:instrText xml:space="preserve"> SEQ Figure_A- \* ARABIC </w:instrText>
      </w:r>
      <w:r w:rsidR="007973A4">
        <w:fldChar w:fldCharType="separate"/>
      </w:r>
      <w:r w:rsidR="00037CB4">
        <w:rPr>
          <w:noProof/>
        </w:rPr>
        <w:t>8</w:t>
      </w:r>
      <w:r w:rsidR="007973A4">
        <w:rPr>
          <w:noProof/>
        </w:rPr>
        <w:fldChar w:fldCharType="end"/>
      </w:r>
      <w:bookmarkEnd w:id="813"/>
      <w:r>
        <w:t xml:space="preserve">: </w:t>
      </w:r>
      <w:r w:rsidRPr="00F628F9">
        <w:t>Frequency of and Associated Energy Savings by M&amp;V Approach – Small C/I Equipment Program</w:t>
      </w:r>
      <w:bookmarkEnd w:id="814"/>
      <w:bookmarkEnd w:id="815"/>
      <w:bookmarkEnd w:id="816"/>
      <w:bookmarkEnd w:id="817"/>
      <w:bookmarkEnd w:id="818"/>
      <w:bookmarkEnd w:id="819"/>
      <w:bookmarkEnd w:id="820"/>
    </w:p>
    <w:p w:rsidR="00F628F9" w:rsidRPr="00F628F9" w:rsidRDefault="00F628F9" w:rsidP="005A58D9">
      <w:pPr>
        <w:spacing w:before="200"/>
        <w:jc w:val="center"/>
      </w:pPr>
      <w:r w:rsidRPr="00F628F9">
        <w:rPr>
          <w:noProof/>
        </w:rPr>
        <w:drawing>
          <wp:inline distT="0" distB="0" distL="0" distR="0" wp14:anchorId="32CAC348" wp14:editId="27B26F02">
            <wp:extent cx="5864087" cy="2244781"/>
            <wp:effectExtent l="0" t="0" r="381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1">
                      <a:extLst>
                        <a:ext uri="{28A0092B-C50C-407E-A947-70E740481C1C}">
                          <a14:useLocalDpi xmlns:a14="http://schemas.microsoft.com/office/drawing/2010/main" val="0"/>
                        </a:ext>
                      </a:extLst>
                    </a:blip>
                    <a:srcRect l="6267" t="4337" r="5720" b="8180"/>
                    <a:stretch/>
                  </pic:blipFill>
                  <pic:spPr bwMode="auto">
                    <a:xfrm>
                      <a:off x="0" y="0"/>
                      <a:ext cx="5892905" cy="2255813"/>
                    </a:xfrm>
                    <a:prstGeom prst="rect">
                      <a:avLst/>
                    </a:prstGeom>
                    <a:noFill/>
                    <a:ln>
                      <a:noFill/>
                    </a:ln>
                    <a:extLst>
                      <a:ext uri="{53640926-AAD7-44D8-BBD7-CCE9431645EC}">
                        <a14:shadowObscured xmlns:a14="http://schemas.microsoft.com/office/drawing/2010/main"/>
                      </a:ext>
                    </a:extLst>
                  </pic:spPr>
                </pic:pic>
              </a:graphicData>
            </a:graphic>
          </wp:inline>
        </w:drawing>
      </w:r>
    </w:p>
    <w:p w:rsidR="00F628F9" w:rsidRPr="00F628F9" w:rsidRDefault="00F628F9" w:rsidP="00F628F9">
      <w:pPr>
        <w:rPr>
          <w:color w:val="000000"/>
        </w:rPr>
      </w:pPr>
    </w:p>
    <w:p w:rsidR="00F628F9" w:rsidRPr="00F628F9" w:rsidRDefault="00F628F9" w:rsidP="00F628F9">
      <w:pPr>
        <w:rPr>
          <w:color w:val="000000"/>
        </w:rPr>
      </w:pPr>
      <w:r>
        <w:fldChar w:fldCharType="begin"/>
      </w:r>
      <w:r>
        <w:rPr>
          <w:color w:val="000000"/>
        </w:rPr>
        <w:instrText xml:space="preserve"> REF _Ref472465221 \h </w:instrText>
      </w:r>
      <w:r>
        <w:fldChar w:fldCharType="separate"/>
      </w:r>
      <w:r w:rsidR="00037CB4">
        <w:t>Figure A-</w:t>
      </w:r>
      <w:r w:rsidR="00037CB4">
        <w:rPr>
          <w:noProof/>
        </w:rPr>
        <w:t>8</w:t>
      </w:r>
      <w:r>
        <w:fldChar w:fldCharType="end"/>
      </w:r>
      <w:r w:rsidRPr="00F628F9">
        <w:rPr>
          <w:color w:val="000000"/>
        </w:rPr>
        <w:t xml:space="preserve"> indicates that 60% of the sampled measures for the Small C/I Equipment Program were evaluated using a basic level of rigor. However, the representative savings for these measures accounted for only 30% of the energy savings. This suggests that the use of basic rigor was appropriately apportioned, predominately for projects with smaller savings. Likewise, the more expensive enhanced rigor methods were reserved for a smaller number of projects, but these projects contributed a majority (70%) of the sample’s energy savings. The SWE Team supports this “value of information” approach, whereby more expensive evaluation techniques are reserved for projects that account for the greatest share of program savings.</w:t>
      </w:r>
    </w:p>
    <w:p w:rsidR="00F628F9" w:rsidRPr="00F628F9" w:rsidRDefault="00F628F9" w:rsidP="00F628F9">
      <w:pPr>
        <w:rPr>
          <w:color w:val="000000"/>
        </w:rPr>
      </w:pPr>
    </w:p>
    <w:p w:rsidR="00F628F9" w:rsidRPr="00F628F9" w:rsidRDefault="00F628F9" w:rsidP="00F628F9">
      <w:pPr>
        <w:rPr>
          <w:color w:val="000000"/>
        </w:rPr>
      </w:pPr>
      <w:r>
        <w:fldChar w:fldCharType="begin"/>
      </w:r>
      <w:r>
        <w:rPr>
          <w:color w:val="000000"/>
        </w:rPr>
        <w:instrText xml:space="preserve"> REF _Ref472465266 \h </w:instrText>
      </w:r>
      <w:r>
        <w:fldChar w:fldCharType="separate"/>
      </w:r>
      <w:r w:rsidR="00037CB4">
        <w:t>Figure A-</w:t>
      </w:r>
      <w:r w:rsidR="00037CB4">
        <w:rPr>
          <w:noProof/>
        </w:rPr>
        <w:t>9</w:t>
      </w:r>
      <w:r>
        <w:fldChar w:fldCharType="end"/>
      </w:r>
      <w:r w:rsidRPr="00F628F9">
        <w:rPr>
          <w:color w:val="000000"/>
        </w:rPr>
        <w:t xml:space="preserve"> shows the frequency of each M&amp;V method used in the Small C/I Buildings Program and the energy savings ass</w:t>
      </w:r>
      <w:r w:rsidR="007D3DA6">
        <w:rPr>
          <w:color w:val="000000"/>
        </w:rPr>
        <w:t>ociated with each method. Data/b</w:t>
      </w:r>
      <w:r w:rsidRPr="00F628F9">
        <w:rPr>
          <w:color w:val="000000"/>
        </w:rPr>
        <w:t>illing analysis was the only enhanced rigor approach used for this program, and associated projects accounted for 89% of savings.</w:t>
      </w:r>
    </w:p>
    <w:p w:rsidR="0000519D" w:rsidRPr="00F628F9" w:rsidRDefault="0000519D" w:rsidP="00F628F9">
      <w:pPr>
        <w:rPr>
          <w:color w:val="000000"/>
        </w:rPr>
      </w:pPr>
    </w:p>
    <w:p w:rsidR="0081757B" w:rsidRDefault="00F628F9" w:rsidP="004837FA">
      <w:pPr>
        <w:pStyle w:val="Caption"/>
      </w:pPr>
      <w:bookmarkStart w:id="821" w:name="_Ref472465266"/>
      <w:bookmarkStart w:id="822" w:name="_Toc444269822"/>
      <w:bookmarkStart w:id="823" w:name="_Toc488742020"/>
      <w:r>
        <w:t>Figure A-</w:t>
      </w:r>
      <w:r w:rsidR="007973A4">
        <w:fldChar w:fldCharType="begin"/>
      </w:r>
      <w:r w:rsidR="007973A4">
        <w:instrText xml:space="preserve"> SEQ Figure_A- \* ARABIC </w:instrText>
      </w:r>
      <w:r w:rsidR="007973A4">
        <w:fldChar w:fldCharType="separate"/>
      </w:r>
      <w:r w:rsidR="00037CB4">
        <w:rPr>
          <w:noProof/>
        </w:rPr>
        <w:t>9</w:t>
      </w:r>
      <w:r w:rsidR="007973A4">
        <w:rPr>
          <w:noProof/>
        </w:rPr>
        <w:fldChar w:fldCharType="end"/>
      </w:r>
      <w:bookmarkEnd w:id="821"/>
      <w:r>
        <w:t xml:space="preserve">: </w:t>
      </w:r>
      <w:r w:rsidRPr="00F628F9">
        <w:t>Frequency of and Associated Energy Savings by M&amp;V Approach – Small C/I Buildings Program</w:t>
      </w:r>
      <w:bookmarkEnd w:id="822"/>
      <w:bookmarkEnd w:id="823"/>
    </w:p>
    <w:p w:rsidR="00F628F9" w:rsidRPr="00F628F9" w:rsidRDefault="00F628F9" w:rsidP="004837FA">
      <w:pPr>
        <w:pStyle w:val="Caption"/>
      </w:pPr>
      <w:r w:rsidRPr="00F628F9">
        <w:rPr>
          <w:noProof/>
        </w:rPr>
        <w:drawing>
          <wp:inline distT="0" distB="0" distL="0" distR="0" wp14:anchorId="03596F01" wp14:editId="19043396">
            <wp:extent cx="5903347" cy="225216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2">
                      <a:extLst>
                        <a:ext uri="{28A0092B-C50C-407E-A947-70E740481C1C}">
                          <a14:useLocalDpi xmlns:a14="http://schemas.microsoft.com/office/drawing/2010/main" val="0"/>
                        </a:ext>
                      </a:extLst>
                    </a:blip>
                    <a:srcRect l="6823" t="5410" r="6302" b="8730"/>
                    <a:stretch/>
                  </pic:blipFill>
                  <pic:spPr bwMode="auto">
                    <a:xfrm>
                      <a:off x="0" y="0"/>
                      <a:ext cx="5921093" cy="2258931"/>
                    </a:xfrm>
                    <a:prstGeom prst="rect">
                      <a:avLst/>
                    </a:prstGeom>
                    <a:noFill/>
                    <a:ln>
                      <a:noFill/>
                    </a:ln>
                    <a:extLst>
                      <a:ext uri="{53640926-AAD7-44D8-BBD7-CCE9431645EC}">
                        <a14:shadowObscured xmlns:a14="http://schemas.microsoft.com/office/drawing/2010/main"/>
                      </a:ext>
                    </a:extLst>
                  </pic:spPr>
                </pic:pic>
              </a:graphicData>
            </a:graphic>
          </wp:inline>
        </w:drawing>
      </w:r>
    </w:p>
    <w:p w:rsidR="00F628F9" w:rsidRPr="00F628F9" w:rsidRDefault="00F628F9" w:rsidP="00F628F9">
      <w:pPr>
        <w:rPr>
          <w:color w:val="000000"/>
        </w:rPr>
      </w:pPr>
      <w:r>
        <w:fldChar w:fldCharType="begin"/>
      </w:r>
      <w:r>
        <w:rPr>
          <w:color w:val="000000"/>
        </w:rPr>
        <w:instrText xml:space="preserve"> REF _Ref472465312 \h </w:instrText>
      </w:r>
      <w:r>
        <w:fldChar w:fldCharType="separate"/>
      </w:r>
      <w:r w:rsidR="00037CB4">
        <w:t>Figure A-</w:t>
      </w:r>
      <w:r w:rsidR="00037CB4">
        <w:rPr>
          <w:noProof/>
        </w:rPr>
        <w:t>10</w:t>
      </w:r>
      <w:r>
        <w:fldChar w:fldCharType="end"/>
      </w:r>
      <w:r w:rsidRPr="00F628F9">
        <w:rPr>
          <w:color w:val="000000"/>
        </w:rPr>
        <w:t xml:space="preserve"> shows the frequency of each M&amp;V method used in the Large C/I Equipment Program and the energy savings associated with each method. Enhanced rigor was used for a majority of the projects (72%), and these projects accounted for almost all the savings (98%). Basic rigor was appropriately limited to those projects with less savings.</w:t>
      </w:r>
    </w:p>
    <w:p w:rsidR="00F628F9" w:rsidRPr="00F628F9" w:rsidRDefault="00F628F9" w:rsidP="00F628F9">
      <w:pPr>
        <w:rPr>
          <w:color w:val="000000"/>
        </w:rPr>
      </w:pPr>
    </w:p>
    <w:p w:rsidR="00F628F9" w:rsidRPr="00F628F9" w:rsidRDefault="00F628F9" w:rsidP="004837FA">
      <w:pPr>
        <w:pStyle w:val="Caption"/>
      </w:pPr>
      <w:bookmarkStart w:id="824" w:name="_Ref472465312"/>
      <w:bookmarkStart w:id="825" w:name="_Toc408557564"/>
      <w:bookmarkStart w:id="826" w:name="_Toc408999440"/>
      <w:bookmarkStart w:id="827" w:name="_Toc409224965"/>
      <w:bookmarkStart w:id="828" w:name="_Toc409443644"/>
      <w:bookmarkStart w:id="829" w:name="_Toc444269823"/>
      <w:bookmarkStart w:id="830" w:name="_Toc488742021"/>
      <w:r>
        <w:t>Figure A-</w:t>
      </w:r>
      <w:r w:rsidR="007973A4">
        <w:fldChar w:fldCharType="begin"/>
      </w:r>
      <w:r w:rsidR="007973A4">
        <w:instrText xml:space="preserve"> SEQ Figure_A- \* ARABIC </w:instrText>
      </w:r>
      <w:r w:rsidR="007973A4">
        <w:fldChar w:fldCharType="separate"/>
      </w:r>
      <w:r w:rsidR="00037CB4">
        <w:rPr>
          <w:noProof/>
        </w:rPr>
        <w:t>10</w:t>
      </w:r>
      <w:r w:rsidR="007973A4">
        <w:rPr>
          <w:noProof/>
        </w:rPr>
        <w:fldChar w:fldCharType="end"/>
      </w:r>
      <w:bookmarkEnd w:id="824"/>
      <w:r>
        <w:t xml:space="preserve">: </w:t>
      </w:r>
      <w:r w:rsidRPr="00F628F9">
        <w:t>Frequency of and Associated Energy Savings by M&amp;V Approach – Large C/I Equipment Program</w:t>
      </w:r>
      <w:bookmarkEnd w:id="825"/>
      <w:bookmarkEnd w:id="826"/>
      <w:bookmarkEnd w:id="827"/>
      <w:bookmarkEnd w:id="828"/>
      <w:bookmarkEnd w:id="829"/>
      <w:bookmarkEnd w:id="830"/>
    </w:p>
    <w:p w:rsidR="00F628F9" w:rsidRPr="00F628F9" w:rsidRDefault="00F628F9" w:rsidP="00F628F9">
      <w:pPr>
        <w:jc w:val="center"/>
      </w:pPr>
      <w:r w:rsidRPr="00F628F9">
        <w:rPr>
          <w:noProof/>
        </w:rPr>
        <w:drawing>
          <wp:inline distT="0" distB="0" distL="0" distR="0" wp14:anchorId="513BBA23" wp14:editId="7B60B6D7">
            <wp:extent cx="5923722" cy="2225471"/>
            <wp:effectExtent l="0" t="0" r="127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3">
                      <a:extLst>
                        <a:ext uri="{28A0092B-C50C-407E-A947-70E740481C1C}">
                          <a14:useLocalDpi xmlns:a14="http://schemas.microsoft.com/office/drawing/2010/main" val="0"/>
                        </a:ext>
                      </a:extLst>
                    </a:blip>
                    <a:srcRect l="6405" t="5797" r="5737" b="8300"/>
                    <a:stretch/>
                  </pic:blipFill>
                  <pic:spPr bwMode="auto">
                    <a:xfrm>
                      <a:off x="0" y="0"/>
                      <a:ext cx="5941314" cy="2232080"/>
                    </a:xfrm>
                    <a:prstGeom prst="rect">
                      <a:avLst/>
                    </a:prstGeom>
                    <a:noFill/>
                    <a:ln>
                      <a:noFill/>
                    </a:ln>
                    <a:extLst>
                      <a:ext uri="{53640926-AAD7-44D8-BBD7-CCE9431645EC}">
                        <a14:shadowObscured xmlns:a14="http://schemas.microsoft.com/office/drawing/2010/main"/>
                      </a:ext>
                    </a:extLst>
                  </pic:spPr>
                </pic:pic>
              </a:graphicData>
            </a:graphic>
          </wp:inline>
        </w:drawing>
      </w:r>
    </w:p>
    <w:p w:rsidR="00F628F9" w:rsidRPr="00F628F9" w:rsidRDefault="00F628F9" w:rsidP="00F628F9">
      <w:pPr>
        <w:rPr>
          <w:color w:val="000000"/>
        </w:rPr>
      </w:pPr>
    </w:p>
    <w:p w:rsidR="00F628F9" w:rsidRPr="00F628F9" w:rsidRDefault="00F628F9" w:rsidP="00F628F9">
      <w:pPr>
        <w:rPr>
          <w:color w:val="000000"/>
        </w:rPr>
      </w:pPr>
      <w:r w:rsidRPr="00F628F9">
        <w:rPr>
          <w:color w:val="000000"/>
        </w:rPr>
        <w:t>The Large C/I Buildings Program had only five verified projects in PY7, of which four reported savings. All four used enhanced rigor. Data and billing analysis were used to evaluate projects accounting for 100% of savings.</w:t>
      </w:r>
    </w:p>
    <w:p w:rsidR="00F628F9" w:rsidRPr="00F628F9" w:rsidRDefault="00F628F9" w:rsidP="00F628F9">
      <w:pPr>
        <w:rPr>
          <w:color w:val="000000"/>
        </w:rPr>
      </w:pPr>
      <w:r>
        <w:fldChar w:fldCharType="begin"/>
      </w:r>
      <w:r>
        <w:rPr>
          <w:color w:val="000000"/>
        </w:rPr>
        <w:instrText xml:space="preserve"> REF _Ref472465328 \h </w:instrText>
      </w:r>
      <w:r>
        <w:fldChar w:fldCharType="separate"/>
      </w:r>
      <w:r w:rsidR="00116463">
        <w:t>Figure A-</w:t>
      </w:r>
      <w:r w:rsidR="00116463">
        <w:rPr>
          <w:noProof/>
        </w:rPr>
        <w:t>11</w:t>
      </w:r>
      <w:r>
        <w:fldChar w:fldCharType="end"/>
      </w:r>
      <w:r w:rsidRPr="00F628F9">
        <w:rPr>
          <w:color w:val="000000"/>
        </w:rPr>
        <w:t xml:space="preserve"> shows the frequency of each M&amp;V method used in the Government and Institutional Program and the energy savings associated with each method. Basic rigor was used for 43% of the projects, and these projects accounted for a slight minority of the savings (48%).</w:t>
      </w:r>
    </w:p>
    <w:p w:rsidR="0000519D" w:rsidRPr="00F628F9" w:rsidRDefault="0000519D" w:rsidP="00F628F9">
      <w:pPr>
        <w:rPr>
          <w:color w:val="000000"/>
        </w:rPr>
      </w:pPr>
    </w:p>
    <w:p w:rsidR="00F628F9" w:rsidRPr="00F628F9" w:rsidRDefault="00F628F9" w:rsidP="004837FA">
      <w:pPr>
        <w:pStyle w:val="Caption"/>
      </w:pPr>
      <w:bookmarkStart w:id="831" w:name="_Ref472465328"/>
      <w:bookmarkStart w:id="832" w:name="_Toc444269824"/>
      <w:bookmarkStart w:id="833" w:name="_Toc488742022"/>
      <w:r>
        <w:t>Figure A-</w:t>
      </w:r>
      <w:r w:rsidR="007973A4">
        <w:fldChar w:fldCharType="begin"/>
      </w:r>
      <w:r w:rsidR="007973A4">
        <w:instrText xml:space="preserve"> SEQ Figure_A- \* ARABIC </w:instrText>
      </w:r>
      <w:r w:rsidR="007973A4">
        <w:fldChar w:fldCharType="separate"/>
      </w:r>
      <w:r w:rsidR="00116463">
        <w:rPr>
          <w:noProof/>
        </w:rPr>
        <w:t>11</w:t>
      </w:r>
      <w:r w:rsidR="007973A4">
        <w:rPr>
          <w:noProof/>
        </w:rPr>
        <w:fldChar w:fldCharType="end"/>
      </w:r>
      <w:bookmarkEnd w:id="831"/>
      <w:r>
        <w:t xml:space="preserve">: </w:t>
      </w:r>
      <w:r w:rsidRPr="00F628F9">
        <w:t>Frequency of and Associated Energy Savings by M&amp;V Approach – Government and Institutional Program</w:t>
      </w:r>
      <w:bookmarkEnd w:id="832"/>
      <w:bookmarkEnd w:id="833"/>
    </w:p>
    <w:p w:rsidR="00F628F9" w:rsidRPr="00F628F9" w:rsidRDefault="00F628F9" w:rsidP="00F628F9">
      <w:pPr>
        <w:jc w:val="center"/>
      </w:pPr>
      <w:r w:rsidRPr="00F628F9">
        <w:rPr>
          <w:noProof/>
        </w:rPr>
        <w:drawing>
          <wp:inline distT="0" distB="0" distL="0" distR="0" wp14:anchorId="4853460C" wp14:editId="3DB32296">
            <wp:extent cx="5933219" cy="2257612"/>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4">
                      <a:extLst>
                        <a:ext uri="{28A0092B-C50C-407E-A947-70E740481C1C}">
                          <a14:useLocalDpi xmlns:a14="http://schemas.microsoft.com/office/drawing/2010/main" val="0"/>
                        </a:ext>
                      </a:extLst>
                    </a:blip>
                    <a:srcRect l="6974" t="5062" r="6140" b="9247"/>
                    <a:stretch/>
                  </pic:blipFill>
                  <pic:spPr bwMode="auto">
                    <a:xfrm>
                      <a:off x="0" y="0"/>
                      <a:ext cx="5948513" cy="2263431"/>
                    </a:xfrm>
                    <a:prstGeom prst="rect">
                      <a:avLst/>
                    </a:prstGeom>
                    <a:noFill/>
                    <a:ln>
                      <a:noFill/>
                    </a:ln>
                    <a:extLst>
                      <a:ext uri="{53640926-AAD7-44D8-BBD7-CCE9431645EC}">
                        <a14:shadowObscured xmlns:a14="http://schemas.microsoft.com/office/drawing/2010/main"/>
                      </a:ext>
                    </a:extLst>
                  </pic:spPr>
                </pic:pic>
              </a:graphicData>
            </a:graphic>
          </wp:inline>
        </w:drawing>
      </w:r>
    </w:p>
    <w:p w:rsidR="00F628F9" w:rsidRPr="00F628F9" w:rsidRDefault="00F628F9" w:rsidP="00F628F9"/>
    <w:p w:rsidR="00F628F9" w:rsidRDefault="00F628F9" w:rsidP="00891F4B"/>
    <w:p w:rsidR="008C19A4" w:rsidRDefault="008C19A4" w:rsidP="00891F4B"/>
    <w:p w:rsidR="00950837" w:rsidRDefault="00950837" w:rsidP="009C0DF1">
      <w:pPr>
        <w:pStyle w:val="AppendixAHeading3"/>
      </w:pPr>
      <w:r>
        <w:t>Process Evaluation Activities and Findings</w:t>
      </w:r>
    </w:p>
    <w:p w:rsidR="00051B31" w:rsidRDefault="00051B31" w:rsidP="00051B31">
      <w:r w:rsidRPr="00661E10">
        <w:t>FirstEnergy’s evaluation contractor, ADM, took unified process evaluation approaches to these programs across the four FirstEnergy EDCs, including Penelec, and so the annual evaluation reports of the four EDCs report identical information about the process evaluation.</w:t>
      </w:r>
      <w:r>
        <w:t xml:space="preserve"> Refer to Section </w:t>
      </w:r>
      <w:r>
        <w:fldChar w:fldCharType="begin"/>
      </w:r>
      <w:r>
        <w:instrText xml:space="preserve"> REF _Ref472450362 \r \h </w:instrText>
      </w:r>
      <w:r>
        <w:fldChar w:fldCharType="separate"/>
      </w:r>
      <w:r w:rsidR="00037CB4">
        <w:t>A.2.3.3</w:t>
      </w:r>
      <w:r>
        <w:fldChar w:fldCharType="end"/>
      </w:r>
      <w:r>
        <w:t xml:space="preserve"> for an overview of ADM’s process evaluation activities and findings.</w:t>
      </w:r>
    </w:p>
    <w:p w:rsidR="00051B31" w:rsidRPr="00051B31" w:rsidRDefault="00051B31" w:rsidP="00051B31"/>
    <w:p w:rsidR="00950837" w:rsidRDefault="00950837" w:rsidP="000D3563">
      <w:pPr>
        <w:pStyle w:val="AppendixAHeading2"/>
      </w:pPr>
      <w:r>
        <w:t>Statewide Evaluator Audit Activities and Findings</w:t>
      </w:r>
    </w:p>
    <w:p w:rsidR="00C737E8" w:rsidRDefault="00C737E8" w:rsidP="00C737E8">
      <w:r w:rsidRPr="00C737E8">
        <w:t xml:space="preserve">This section presents the activities of the SWE Team’s audits of </w:t>
      </w:r>
      <w:r>
        <w:t>Penelec</w:t>
      </w:r>
      <w:r w:rsidRPr="00C737E8">
        <w:t>’s portfolio of programs. It provides summary information and key findings from the SWE Team’s residential, low-income, non-residential, and NTG and process evaluation audit activities.</w:t>
      </w:r>
    </w:p>
    <w:p w:rsidR="00C737E8" w:rsidRPr="00C737E8" w:rsidRDefault="00C737E8" w:rsidP="00C737E8"/>
    <w:p w:rsidR="00950837" w:rsidRDefault="00950837" w:rsidP="009C0DF1">
      <w:pPr>
        <w:pStyle w:val="AppendixAHeading3"/>
      </w:pPr>
      <w:r>
        <w:t>Residential Program Audit Summary</w:t>
      </w:r>
    </w:p>
    <w:p w:rsidR="006F402C" w:rsidRPr="006F402C" w:rsidRDefault="006F402C" w:rsidP="0055598C">
      <w:pPr>
        <w:pStyle w:val="AppendixAHeading4"/>
        <w:rPr>
          <w:rFonts w:eastAsia="Calibri"/>
        </w:rPr>
      </w:pPr>
      <w:r w:rsidRPr="006F402C">
        <w:rPr>
          <w:rFonts w:eastAsia="Calibri"/>
        </w:rPr>
        <w:t xml:space="preserve">Residential Lighting </w:t>
      </w:r>
    </w:p>
    <w:p w:rsidR="006F402C" w:rsidRPr="006F402C" w:rsidRDefault="006F402C" w:rsidP="006F402C">
      <w:pPr>
        <w:rPr>
          <w:rFonts w:eastAsia="Calibri"/>
        </w:rPr>
      </w:pPr>
      <w:r w:rsidRPr="006F402C">
        <w:rPr>
          <w:rFonts w:eastAsia="Calibri"/>
        </w:rPr>
        <w:t>For PY7, residential upstream lighting accounted for a majority of the reported savings in Penelec’s Efficient Products Program. The SWE Team reviewed the database and tracking system submitted by Penelec and its evaluation contractor to verify that the correct savings algorithms and deemed savings values were used in the program. The SWE Team also reviewed 10 invoices and product data sheets covering many different bulb types, from standard CFLs to decorative LEDs and floodlight bulbs. Due to the format of the tracking database, the SWE Team easily confirmed that the 2015 TRM was appropriately used for the calculations to quantify the program savings. The SWE Team also verified that FirstEnergy’s evaluation contractor correctly noted any discrepancies in the census data and accounted for any adjustments in the verified savings data.</w:t>
      </w:r>
    </w:p>
    <w:p w:rsidR="006F402C" w:rsidRDefault="006F402C" w:rsidP="006F402C">
      <w:pPr>
        <w:rPr>
          <w:rFonts w:eastAsia="Calibri"/>
        </w:rPr>
      </w:pPr>
    </w:p>
    <w:p w:rsidR="00116463" w:rsidRDefault="00116463" w:rsidP="006F402C">
      <w:pPr>
        <w:rPr>
          <w:rFonts w:eastAsia="Calibri"/>
        </w:rPr>
      </w:pPr>
    </w:p>
    <w:p w:rsidR="00116463" w:rsidRPr="006F402C" w:rsidRDefault="00116463" w:rsidP="006F402C">
      <w:pPr>
        <w:rPr>
          <w:rFonts w:eastAsia="Calibri"/>
        </w:rPr>
      </w:pPr>
    </w:p>
    <w:p w:rsidR="006F402C" w:rsidRPr="006F402C" w:rsidRDefault="006F402C" w:rsidP="0055598C">
      <w:pPr>
        <w:pStyle w:val="AppendixAHeading4"/>
        <w:rPr>
          <w:rFonts w:eastAsia="Calibri"/>
        </w:rPr>
      </w:pPr>
      <w:r w:rsidRPr="006F402C">
        <w:rPr>
          <w:rFonts w:eastAsia="Calibri"/>
        </w:rPr>
        <w:t>Appliance Turn-In Program</w:t>
      </w:r>
    </w:p>
    <w:p w:rsidR="006F402C" w:rsidRPr="006F402C" w:rsidRDefault="006F402C" w:rsidP="006F402C">
      <w:pPr>
        <w:rPr>
          <w:rFonts w:eastAsia="Calibri"/>
        </w:rPr>
      </w:pPr>
      <w:r w:rsidRPr="006F402C">
        <w:rPr>
          <w:rFonts w:eastAsia="Calibri"/>
        </w:rPr>
        <w:t>The SWE Team reviewed the spreadsheets and database used to calculate Penelec’s verified gross savings. Unlike in previous years where the evaluation contractor simply used the deemed UECs from the TRM, in PY7 the contractor calculated a utility-specific UEC from the PY7 appliance recycling customer database. The SWE Team confirmed that the UECs were calculated correctly using the 2015 TRM regression coefficients and PY7 Penelec customer data and that they were used correctly in determining annual kWh and kW savings. Because of a difference in how gross savings are calculated in the 2015 TRM, it was not necessary to account for refrigerator replacement. This is taken into account only in the net savings calculations. The Excel worksheets documented calculations clearly and were easy to follow.</w:t>
      </w:r>
    </w:p>
    <w:p w:rsidR="006F402C" w:rsidRPr="006F402C" w:rsidRDefault="006F402C" w:rsidP="006F402C">
      <w:pPr>
        <w:rPr>
          <w:rFonts w:eastAsia="Calibri"/>
        </w:rPr>
      </w:pPr>
    </w:p>
    <w:p w:rsidR="006F402C" w:rsidRPr="006F402C" w:rsidRDefault="006F402C" w:rsidP="0055598C">
      <w:pPr>
        <w:pStyle w:val="AppendixAHeading4"/>
        <w:rPr>
          <w:rFonts w:eastAsia="Calibri"/>
        </w:rPr>
      </w:pPr>
      <w:r w:rsidRPr="006F402C">
        <w:rPr>
          <w:rFonts w:eastAsia="Calibri"/>
        </w:rPr>
        <w:t>Efficient Products Program</w:t>
      </w:r>
    </w:p>
    <w:p w:rsidR="00A92A46" w:rsidRDefault="006F402C" w:rsidP="006F402C">
      <w:pPr>
        <w:rPr>
          <w:rFonts w:eastAsia="Calibri"/>
        </w:rPr>
      </w:pPr>
      <w:r w:rsidRPr="006F402C">
        <w:rPr>
          <w:rFonts w:eastAsia="Calibri"/>
        </w:rPr>
        <w:t>The SWE Team thoroughly reviewed the data-tracking and reporting system containing the savings calculation and rebate invoice information for all of the Efficient Products Program strata. Additionally, it checked the proper use of the 2015 TRM in calculating the savings for each of the product types. The SWE found that the HPWH savings calculations strayed slightly from the TRM, but in an acceptably conservative fashion. According to the TRM, the HVAC interactive effect penalty only needs to be taken into account when the HPWH is installed in conditioned space and not when the default F</w:t>
      </w:r>
      <w:r w:rsidRPr="006F402C">
        <w:rPr>
          <w:rFonts w:eastAsia="Calibri"/>
          <w:vertAlign w:val="subscript"/>
        </w:rPr>
        <w:t>derate</w:t>
      </w:r>
      <w:r w:rsidRPr="006F402C">
        <w:rPr>
          <w:rFonts w:eastAsia="Calibri"/>
        </w:rPr>
        <w:t xml:space="preserve"> value is used. The evaluation contractor assumed both, which made the kWh estimates slightly conservative.</w:t>
      </w:r>
    </w:p>
    <w:p w:rsidR="008C19A4" w:rsidRDefault="008C19A4" w:rsidP="006F402C">
      <w:pPr>
        <w:rPr>
          <w:rFonts w:eastAsia="Calibri"/>
        </w:rPr>
      </w:pPr>
    </w:p>
    <w:p w:rsidR="006F402C" w:rsidRPr="006F402C" w:rsidRDefault="006F402C" w:rsidP="0055598C">
      <w:pPr>
        <w:pStyle w:val="AppendixAHeading4"/>
        <w:rPr>
          <w:rFonts w:eastAsia="Calibri"/>
        </w:rPr>
      </w:pPr>
      <w:r w:rsidRPr="006F402C">
        <w:rPr>
          <w:rFonts w:eastAsia="Calibri"/>
        </w:rPr>
        <w:t>Home Performance Program</w:t>
      </w:r>
    </w:p>
    <w:p w:rsidR="006F402C" w:rsidRPr="006F402C" w:rsidRDefault="006F402C" w:rsidP="006F402C">
      <w:r w:rsidRPr="006F402C">
        <w:t>The SWE Team audited each operational component of the Home Performance Program: whole house direct install, home energy audit conservation kits, new homes, and HERs (the school conservation kits component did not operate in PY7). The HERs accounted for a majority (65%) of the Home Performance Program savings in PY7. The SWE Team verified that the correct 2015 TRM savings were used for all measures in the home energy audit conservation kits and that the FirstEnergy statewide receipt rate and ISRs were correctly applied to the items.</w:t>
      </w:r>
    </w:p>
    <w:p w:rsidR="006F402C" w:rsidRPr="006F402C" w:rsidRDefault="006F402C" w:rsidP="006F402C">
      <w:pPr>
        <w:spacing w:before="240"/>
      </w:pPr>
      <w:r w:rsidRPr="006F402C">
        <w:t>For the whole house direct</w:t>
      </w:r>
      <w:r w:rsidR="007D3DA6">
        <w:t>-</w:t>
      </w:r>
      <w:r w:rsidRPr="006F402C">
        <w:t xml:space="preserve">install component, the SWE Team verified that the five highest contributing prescriptive measures and five randomly selected measures were calculated properly per the TRM protocols. The HER component received a full evaluation for the first time in Phase II in PY7. Due to the one-year measure life, it was unnecessary to evaluate this component in the other years. The SWE reviewed the independent analysis performed by the </w:t>
      </w:r>
      <w:r w:rsidRPr="006F402C">
        <w:rPr>
          <w:rFonts w:eastAsia="Calibri"/>
        </w:rPr>
        <w:t xml:space="preserve">evaluation contractor </w:t>
      </w:r>
      <w:r w:rsidRPr="006F402C">
        <w:t>and verified that it was done correctly. There was good consistency between the results of the three analyses performed (</w:t>
      </w:r>
      <w:r w:rsidR="00A92A46">
        <w:t>OPower</w:t>
      </w:r>
      <w:r w:rsidRPr="006F402C">
        <w:t xml:space="preserve">’s, ADM’s replication of </w:t>
      </w:r>
      <w:r w:rsidR="00A92A46">
        <w:t>OPower</w:t>
      </w:r>
      <w:r w:rsidRPr="006F402C">
        <w:t>, and ADM’s), and the overall realization rate was 93%.</w:t>
      </w:r>
    </w:p>
    <w:p w:rsidR="006F402C" w:rsidRPr="006F402C" w:rsidRDefault="006F402C" w:rsidP="006F402C"/>
    <w:p w:rsidR="00950837" w:rsidRDefault="00950837" w:rsidP="009C0DF1">
      <w:pPr>
        <w:pStyle w:val="AppendixAHeading3"/>
      </w:pPr>
      <w:r>
        <w:t>Low-Income Program and Audit Summary</w:t>
      </w:r>
    </w:p>
    <w:p w:rsidR="006F402C" w:rsidRPr="006F402C" w:rsidRDefault="006F402C" w:rsidP="006F402C">
      <w:pPr>
        <w:spacing w:after="240"/>
      </w:pPr>
      <w:r w:rsidRPr="006F402C">
        <w:t xml:space="preserve">The SWE Team reviewed the two distribution branches of the Low-Income Program operational in PY7 (direct install and giveaway) to ensure that the savings were correctly calculated using the 2015 TRM and that the realization rates were correctly determined and applied appropriately. Penelec’s </w:t>
      </w:r>
      <w:r w:rsidRPr="006F402C">
        <w:rPr>
          <w:rFonts w:eastAsia="Calibri"/>
        </w:rPr>
        <w:t xml:space="preserve">evaluation contractor </w:t>
      </w:r>
      <w:r w:rsidRPr="006F402C">
        <w:t>provided a complete database of direct-install measures, which included a pivot table that ranked measures by individual measure contribution to total program kWh savings. Using this, the SWE Team verified the calculations for five measures with the greatest overall impact and verified five randomly selected measures. The SWE Team also confirmed that kWh and kW calculations for the estimations of savings for the giveaway program were implemented per the 2015 TRM.</w:t>
      </w:r>
    </w:p>
    <w:p w:rsidR="006F402C" w:rsidRPr="006F402C" w:rsidRDefault="006F402C" w:rsidP="006F402C">
      <w:r w:rsidRPr="006F402C">
        <w:t>Finally, the SWE Team verified that Penelec was in compliance with the requirement that the number of energy conservation measures offered to low‐income households be proportionate to those households’ share of the total energy usage in Penelec’s service territory. Penelec offered six types of measures to the low‐income sector in PY7, which is 15% of the total number of measures offered across all sectors. This exceeded its goal of 10.2%.</w:t>
      </w:r>
    </w:p>
    <w:p w:rsidR="006F402C" w:rsidRPr="006F402C" w:rsidRDefault="006F402C" w:rsidP="006F402C"/>
    <w:p w:rsidR="00950837" w:rsidRDefault="00950837" w:rsidP="009C0DF1">
      <w:pPr>
        <w:pStyle w:val="AppendixAHeading3"/>
      </w:pPr>
      <w:r>
        <w:t>Non-Residential Program Audit Summary</w:t>
      </w:r>
    </w:p>
    <w:p w:rsidR="00B9141F" w:rsidRPr="00046D16" w:rsidRDefault="00B9141F" w:rsidP="00046D16">
      <w:r w:rsidRPr="00046D16">
        <w:t>The SWE Team reviewed project files to audit the accuracy of the savings values stored in the program-tracking database and to confirm that calculations were being performed in accordance with the applicable TRM, or by some other reasonable methodology. The SWE Team reviewed nine projects in Penelec’s PY7 non-residential programs across various measures, including interior and exterior lighting, refrigeration, energy audits, and PC power management. In PY7, the SWE saw marked improvement in the consistency, orderliness, and organization of project files. This was aided by the consistent inclusion of site-specific cover pages, which helped the SWE follow the evaluation contractor’s method and progression. At this time, the SWE Team only recommends that in the interest of transparency, only the SWE-supplied Appendix C calculator be used for lighting projects moving forward.</w:t>
      </w:r>
    </w:p>
    <w:p w:rsidR="00B9141F" w:rsidRPr="00046D16" w:rsidRDefault="00B9141F" w:rsidP="00046D16"/>
    <w:p w:rsidR="00B9141F" w:rsidRPr="00D85274" w:rsidRDefault="00B9141F" w:rsidP="00B9141F">
      <w:r w:rsidRPr="00D85274">
        <w:t xml:space="preserve">The SWE Team reviewed Penelec’s PY7 sample design to ensure its compliance with the Evaluation Framework. The results are displayed in </w:t>
      </w:r>
      <w:r>
        <w:fldChar w:fldCharType="begin"/>
      </w:r>
      <w:r>
        <w:instrText xml:space="preserve"> REF _Ref472393022 \h </w:instrText>
      </w:r>
      <w:r>
        <w:fldChar w:fldCharType="separate"/>
      </w:r>
      <w:r w:rsidR="00037CB4">
        <w:t>Table A-</w:t>
      </w:r>
      <w:r w:rsidR="00037CB4">
        <w:rPr>
          <w:noProof/>
        </w:rPr>
        <w:t>58</w:t>
      </w:r>
      <w:r>
        <w:fldChar w:fldCharType="end"/>
      </w:r>
      <w:r w:rsidRPr="00D85274">
        <w:t xml:space="preserve">, showing relative precision at the 85% confidence level. </w:t>
      </w:r>
    </w:p>
    <w:p w:rsidR="00B9141F" w:rsidRPr="00D85274" w:rsidRDefault="00B9141F" w:rsidP="00B9141F"/>
    <w:p w:rsidR="00B9141F" w:rsidRPr="00D85274" w:rsidRDefault="00B9141F" w:rsidP="004837FA">
      <w:pPr>
        <w:pStyle w:val="Caption"/>
      </w:pPr>
      <w:bookmarkStart w:id="834" w:name="_Ref472393022"/>
      <w:bookmarkStart w:id="835" w:name="_Toc409225053"/>
      <w:bookmarkStart w:id="836" w:name="_Toc409443605"/>
      <w:bookmarkStart w:id="837" w:name="_Toc445206219"/>
      <w:bookmarkStart w:id="838" w:name="_Toc472472467"/>
      <w:bookmarkStart w:id="839" w:name="_Toc488741886"/>
      <w:r>
        <w:t>Table A-</w:t>
      </w:r>
      <w:r w:rsidR="007973A4">
        <w:fldChar w:fldCharType="begin"/>
      </w:r>
      <w:r w:rsidR="007973A4">
        <w:instrText xml:space="preserve"> SEQ Table_A- \* ARABIC </w:instrText>
      </w:r>
      <w:r w:rsidR="007973A4">
        <w:fldChar w:fldCharType="separate"/>
      </w:r>
      <w:r w:rsidR="00037CB4">
        <w:rPr>
          <w:noProof/>
        </w:rPr>
        <w:t>58</w:t>
      </w:r>
      <w:r w:rsidR="007973A4">
        <w:rPr>
          <w:noProof/>
        </w:rPr>
        <w:fldChar w:fldCharType="end"/>
      </w:r>
      <w:bookmarkEnd w:id="834"/>
      <w:r w:rsidRPr="00D85274">
        <w:t>: Compliance across Sample Designs for Penelec’s PY7 Non-Residential Program Groups</w:t>
      </w:r>
      <w:bookmarkEnd w:id="835"/>
      <w:bookmarkEnd w:id="836"/>
      <w:bookmarkEnd w:id="837"/>
      <w:bookmarkEnd w:id="838"/>
      <w:bookmarkEnd w:id="839"/>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060"/>
        <w:gridCol w:w="2100"/>
        <w:gridCol w:w="2100"/>
        <w:gridCol w:w="2100"/>
      </w:tblGrid>
      <w:tr w:rsidR="00A874AC" w:rsidRPr="00116463" w:rsidTr="0017534C">
        <w:trPr>
          <w:trHeight w:val="520"/>
          <w:tblHeader/>
          <w:jc w:val="center"/>
        </w:trPr>
        <w:tc>
          <w:tcPr>
            <w:tcW w:w="3060" w:type="dxa"/>
            <w:shd w:val="clear" w:color="000000" w:fill="448A99"/>
            <w:vAlign w:val="bottom"/>
            <w:hideMark/>
          </w:tcPr>
          <w:p w:rsidR="00B9141F" w:rsidRPr="00116463" w:rsidRDefault="00B9141F" w:rsidP="00AC55E9">
            <w:pPr>
              <w:rPr>
                <w:b/>
                <w:bCs/>
                <w:color w:val="FFFFFF"/>
                <w:sz w:val="19"/>
                <w:szCs w:val="19"/>
              </w:rPr>
            </w:pPr>
            <w:r w:rsidRPr="00116463">
              <w:rPr>
                <w:b/>
                <w:bCs/>
                <w:color w:val="FFFFFF"/>
                <w:sz w:val="19"/>
                <w:szCs w:val="19"/>
              </w:rPr>
              <w:t>Program</w:t>
            </w:r>
          </w:p>
        </w:tc>
        <w:tc>
          <w:tcPr>
            <w:tcW w:w="2100" w:type="dxa"/>
            <w:shd w:val="clear" w:color="000000" w:fill="448A99"/>
            <w:vAlign w:val="bottom"/>
            <w:hideMark/>
          </w:tcPr>
          <w:p w:rsidR="00B9141F" w:rsidRPr="00116463" w:rsidRDefault="00B9141F" w:rsidP="00AC55E9">
            <w:pPr>
              <w:jc w:val="center"/>
              <w:rPr>
                <w:b/>
                <w:bCs/>
                <w:color w:val="FFFFFF"/>
                <w:sz w:val="19"/>
                <w:szCs w:val="19"/>
              </w:rPr>
            </w:pPr>
            <w:r w:rsidRPr="00116463">
              <w:rPr>
                <w:b/>
                <w:bCs/>
                <w:color w:val="FFFFFF"/>
                <w:sz w:val="19"/>
                <w:szCs w:val="19"/>
              </w:rPr>
              <w:t>Relative Precision at 85% CL for Energy</w:t>
            </w:r>
          </w:p>
        </w:tc>
        <w:tc>
          <w:tcPr>
            <w:tcW w:w="2100" w:type="dxa"/>
            <w:shd w:val="clear" w:color="000000" w:fill="448A99"/>
            <w:vAlign w:val="bottom"/>
            <w:hideMark/>
          </w:tcPr>
          <w:p w:rsidR="00B9141F" w:rsidRPr="00116463" w:rsidRDefault="00B9141F" w:rsidP="00AC55E9">
            <w:pPr>
              <w:jc w:val="center"/>
              <w:rPr>
                <w:b/>
                <w:bCs/>
                <w:color w:val="FFFFFF"/>
                <w:sz w:val="19"/>
                <w:szCs w:val="19"/>
              </w:rPr>
            </w:pPr>
            <w:r w:rsidRPr="00116463">
              <w:rPr>
                <w:b/>
                <w:bCs/>
                <w:color w:val="FFFFFF"/>
                <w:sz w:val="19"/>
                <w:szCs w:val="19"/>
              </w:rPr>
              <w:t>Relative Precision at 85% CL for Demand</w:t>
            </w:r>
          </w:p>
        </w:tc>
        <w:tc>
          <w:tcPr>
            <w:tcW w:w="2100" w:type="dxa"/>
            <w:shd w:val="clear" w:color="000000" w:fill="448A99"/>
            <w:vAlign w:val="bottom"/>
            <w:hideMark/>
          </w:tcPr>
          <w:p w:rsidR="00B9141F" w:rsidRPr="00116463" w:rsidRDefault="00B9141F" w:rsidP="00AC55E9">
            <w:pPr>
              <w:jc w:val="center"/>
              <w:rPr>
                <w:b/>
                <w:bCs/>
                <w:color w:val="FFFFFF"/>
                <w:sz w:val="19"/>
                <w:szCs w:val="19"/>
              </w:rPr>
            </w:pPr>
            <w:r w:rsidRPr="00116463">
              <w:rPr>
                <w:b/>
                <w:bCs/>
                <w:color w:val="FFFFFF"/>
                <w:sz w:val="19"/>
                <w:szCs w:val="19"/>
              </w:rPr>
              <w:t>Compliance with Evaluation Framework</w:t>
            </w:r>
          </w:p>
        </w:tc>
      </w:tr>
      <w:tr w:rsidR="00A874AC" w:rsidRPr="00116463" w:rsidTr="0017534C">
        <w:trPr>
          <w:trHeight w:val="346"/>
          <w:jc w:val="center"/>
        </w:trPr>
        <w:tc>
          <w:tcPr>
            <w:tcW w:w="3060" w:type="dxa"/>
            <w:shd w:val="clear" w:color="000000" w:fill="D2EAF1"/>
            <w:noWrap/>
            <w:vAlign w:val="center"/>
          </w:tcPr>
          <w:p w:rsidR="00B9141F" w:rsidRPr="00116463" w:rsidRDefault="00B9141F" w:rsidP="00AC55E9">
            <w:pPr>
              <w:rPr>
                <w:bCs/>
                <w:color w:val="000000"/>
                <w:sz w:val="19"/>
                <w:szCs w:val="19"/>
              </w:rPr>
            </w:pPr>
            <w:r w:rsidRPr="00116463">
              <w:rPr>
                <w:sz w:val="19"/>
                <w:szCs w:val="19"/>
              </w:rPr>
              <w:t>Small C/I Equipment</w:t>
            </w:r>
          </w:p>
        </w:tc>
        <w:tc>
          <w:tcPr>
            <w:tcW w:w="2100" w:type="dxa"/>
            <w:shd w:val="clear" w:color="000000" w:fill="D2EAF1"/>
            <w:noWrap/>
            <w:vAlign w:val="center"/>
          </w:tcPr>
          <w:p w:rsidR="00B9141F" w:rsidRPr="00116463" w:rsidRDefault="00B9141F" w:rsidP="00AC55E9">
            <w:pPr>
              <w:jc w:val="center"/>
              <w:rPr>
                <w:color w:val="000000"/>
                <w:sz w:val="19"/>
                <w:szCs w:val="19"/>
              </w:rPr>
            </w:pPr>
            <w:r w:rsidRPr="00116463">
              <w:rPr>
                <w:color w:val="000000"/>
                <w:sz w:val="19"/>
                <w:szCs w:val="19"/>
              </w:rPr>
              <w:t>14.2%</w:t>
            </w:r>
          </w:p>
        </w:tc>
        <w:tc>
          <w:tcPr>
            <w:tcW w:w="2100" w:type="dxa"/>
            <w:shd w:val="clear" w:color="000000" w:fill="D2EAF1"/>
            <w:noWrap/>
            <w:vAlign w:val="center"/>
          </w:tcPr>
          <w:p w:rsidR="00B9141F" w:rsidRPr="00116463" w:rsidRDefault="00B9141F" w:rsidP="00AC55E9">
            <w:pPr>
              <w:jc w:val="center"/>
              <w:rPr>
                <w:color w:val="000000"/>
                <w:sz w:val="19"/>
                <w:szCs w:val="19"/>
              </w:rPr>
            </w:pPr>
            <w:r w:rsidRPr="00116463">
              <w:rPr>
                <w:color w:val="000000"/>
                <w:sz w:val="19"/>
                <w:szCs w:val="19"/>
              </w:rPr>
              <w:t>14.9%</w:t>
            </w:r>
          </w:p>
        </w:tc>
        <w:tc>
          <w:tcPr>
            <w:tcW w:w="2100" w:type="dxa"/>
            <w:shd w:val="clear" w:color="000000" w:fill="D2EAF1"/>
            <w:noWrap/>
            <w:vAlign w:val="center"/>
          </w:tcPr>
          <w:p w:rsidR="00B9141F" w:rsidRPr="00116463" w:rsidRDefault="00B9141F" w:rsidP="00AC55E9">
            <w:pPr>
              <w:jc w:val="center"/>
              <w:rPr>
                <w:color w:val="000000"/>
                <w:sz w:val="19"/>
                <w:szCs w:val="19"/>
              </w:rPr>
            </w:pPr>
            <w:r w:rsidRPr="00116463">
              <w:rPr>
                <w:color w:val="00B050"/>
                <w:sz w:val="19"/>
                <w:szCs w:val="19"/>
              </w:rPr>
              <w:sym w:font="Wingdings" w:char="F0FC"/>
            </w:r>
          </w:p>
        </w:tc>
      </w:tr>
      <w:tr w:rsidR="00E7173E" w:rsidRPr="00116463" w:rsidTr="0081757B">
        <w:trPr>
          <w:trHeight w:val="346"/>
          <w:jc w:val="center"/>
        </w:trPr>
        <w:tc>
          <w:tcPr>
            <w:tcW w:w="3060" w:type="dxa"/>
            <w:shd w:val="clear" w:color="auto" w:fill="auto"/>
            <w:noWrap/>
            <w:vAlign w:val="center"/>
          </w:tcPr>
          <w:p w:rsidR="00B9141F" w:rsidRPr="00116463" w:rsidRDefault="00B9141F" w:rsidP="00AC55E9">
            <w:pPr>
              <w:rPr>
                <w:bCs/>
                <w:color w:val="000000"/>
                <w:sz w:val="19"/>
                <w:szCs w:val="19"/>
              </w:rPr>
            </w:pPr>
            <w:r w:rsidRPr="00116463">
              <w:rPr>
                <w:sz w:val="19"/>
                <w:szCs w:val="19"/>
              </w:rPr>
              <w:t>Small C/I Buildings</w:t>
            </w:r>
          </w:p>
        </w:tc>
        <w:tc>
          <w:tcPr>
            <w:tcW w:w="2100" w:type="dxa"/>
            <w:shd w:val="clear" w:color="auto" w:fill="auto"/>
            <w:noWrap/>
            <w:vAlign w:val="center"/>
          </w:tcPr>
          <w:p w:rsidR="00B9141F" w:rsidRPr="00116463" w:rsidRDefault="00B9141F" w:rsidP="00AC55E9">
            <w:pPr>
              <w:jc w:val="center"/>
              <w:rPr>
                <w:color w:val="000000"/>
                <w:sz w:val="19"/>
                <w:szCs w:val="19"/>
              </w:rPr>
            </w:pPr>
            <w:r w:rsidRPr="00116463">
              <w:rPr>
                <w:color w:val="000000"/>
                <w:sz w:val="19"/>
                <w:szCs w:val="19"/>
              </w:rPr>
              <w:t>8.9%</w:t>
            </w:r>
          </w:p>
        </w:tc>
        <w:tc>
          <w:tcPr>
            <w:tcW w:w="2100" w:type="dxa"/>
            <w:shd w:val="clear" w:color="auto" w:fill="auto"/>
            <w:noWrap/>
            <w:vAlign w:val="center"/>
          </w:tcPr>
          <w:p w:rsidR="00B9141F" w:rsidRPr="00116463" w:rsidRDefault="00B9141F" w:rsidP="00AC55E9">
            <w:pPr>
              <w:jc w:val="center"/>
              <w:rPr>
                <w:color w:val="000000"/>
                <w:sz w:val="19"/>
                <w:szCs w:val="19"/>
              </w:rPr>
            </w:pPr>
            <w:r w:rsidRPr="00116463">
              <w:rPr>
                <w:color w:val="000000"/>
                <w:sz w:val="19"/>
                <w:szCs w:val="19"/>
              </w:rPr>
              <w:t>8.5%</w:t>
            </w:r>
          </w:p>
        </w:tc>
        <w:tc>
          <w:tcPr>
            <w:tcW w:w="2100" w:type="dxa"/>
            <w:shd w:val="clear" w:color="auto" w:fill="auto"/>
            <w:noWrap/>
            <w:vAlign w:val="center"/>
          </w:tcPr>
          <w:p w:rsidR="00B9141F" w:rsidRPr="00116463" w:rsidRDefault="00B9141F" w:rsidP="00AC55E9">
            <w:pPr>
              <w:jc w:val="center"/>
              <w:rPr>
                <w:color w:val="FF0000"/>
                <w:sz w:val="19"/>
                <w:szCs w:val="19"/>
              </w:rPr>
            </w:pPr>
            <w:r w:rsidRPr="00116463">
              <w:rPr>
                <w:color w:val="00B050"/>
                <w:sz w:val="19"/>
                <w:szCs w:val="19"/>
              </w:rPr>
              <w:sym w:font="Wingdings" w:char="F0FC"/>
            </w:r>
          </w:p>
        </w:tc>
      </w:tr>
      <w:tr w:rsidR="00A874AC" w:rsidRPr="00116463" w:rsidTr="0017534C">
        <w:trPr>
          <w:trHeight w:val="346"/>
          <w:jc w:val="center"/>
        </w:trPr>
        <w:tc>
          <w:tcPr>
            <w:tcW w:w="3060" w:type="dxa"/>
            <w:shd w:val="clear" w:color="000000" w:fill="D2EAF1"/>
            <w:noWrap/>
            <w:vAlign w:val="center"/>
          </w:tcPr>
          <w:p w:rsidR="00B9141F" w:rsidRPr="00116463" w:rsidRDefault="00B9141F" w:rsidP="00AC55E9">
            <w:pPr>
              <w:rPr>
                <w:bCs/>
                <w:color w:val="000000"/>
                <w:sz w:val="19"/>
                <w:szCs w:val="19"/>
              </w:rPr>
            </w:pPr>
            <w:r w:rsidRPr="00116463">
              <w:rPr>
                <w:sz w:val="19"/>
                <w:szCs w:val="19"/>
              </w:rPr>
              <w:t>Large C/I Equipment</w:t>
            </w:r>
          </w:p>
        </w:tc>
        <w:tc>
          <w:tcPr>
            <w:tcW w:w="2100" w:type="dxa"/>
            <w:shd w:val="clear" w:color="000000" w:fill="D2EAF1"/>
            <w:noWrap/>
            <w:vAlign w:val="center"/>
          </w:tcPr>
          <w:p w:rsidR="00B9141F" w:rsidRPr="00116463" w:rsidRDefault="00B9141F" w:rsidP="00AC55E9">
            <w:pPr>
              <w:jc w:val="center"/>
              <w:rPr>
                <w:bCs/>
                <w:color w:val="000000"/>
                <w:sz w:val="19"/>
                <w:szCs w:val="19"/>
              </w:rPr>
            </w:pPr>
            <w:r w:rsidRPr="00116463">
              <w:rPr>
                <w:bCs/>
                <w:color w:val="000000"/>
                <w:sz w:val="19"/>
                <w:szCs w:val="19"/>
              </w:rPr>
              <w:t>12.9%</w:t>
            </w:r>
          </w:p>
        </w:tc>
        <w:tc>
          <w:tcPr>
            <w:tcW w:w="2100" w:type="dxa"/>
            <w:shd w:val="clear" w:color="000000" w:fill="D2EAF1"/>
            <w:noWrap/>
            <w:vAlign w:val="center"/>
          </w:tcPr>
          <w:p w:rsidR="00B9141F" w:rsidRPr="00116463" w:rsidRDefault="00B9141F" w:rsidP="00AC55E9">
            <w:pPr>
              <w:jc w:val="center"/>
              <w:rPr>
                <w:bCs/>
                <w:color w:val="000000"/>
                <w:sz w:val="19"/>
                <w:szCs w:val="19"/>
              </w:rPr>
            </w:pPr>
            <w:r w:rsidRPr="00116463">
              <w:rPr>
                <w:bCs/>
                <w:color w:val="000000"/>
                <w:sz w:val="19"/>
                <w:szCs w:val="19"/>
              </w:rPr>
              <w:t>12.9%</w:t>
            </w:r>
          </w:p>
        </w:tc>
        <w:tc>
          <w:tcPr>
            <w:tcW w:w="2100" w:type="dxa"/>
            <w:shd w:val="clear" w:color="000000" w:fill="D2EAF1"/>
            <w:noWrap/>
            <w:vAlign w:val="center"/>
          </w:tcPr>
          <w:p w:rsidR="00B9141F" w:rsidRPr="00116463" w:rsidRDefault="00B9141F" w:rsidP="00AC55E9">
            <w:pPr>
              <w:jc w:val="center"/>
              <w:rPr>
                <w:bCs/>
                <w:color w:val="FF0000"/>
                <w:sz w:val="19"/>
                <w:szCs w:val="19"/>
              </w:rPr>
            </w:pPr>
            <w:r w:rsidRPr="00116463">
              <w:rPr>
                <w:color w:val="00B050"/>
                <w:sz w:val="19"/>
                <w:szCs w:val="19"/>
              </w:rPr>
              <w:sym w:font="Wingdings" w:char="F0FC"/>
            </w:r>
          </w:p>
        </w:tc>
      </w:tr>
      <w:tr w:rsidR="00E7173E" w:rsidRPr="00116463" w:rsidTr="0081757B">
        <w:trPr>
          <w:trHeight w:val="346"/>
          <w:jc w:val="center"/>
        </w:trPr>
        <w:tc>
          <w:tcPr>
            <w:tcW w:w="3060" w:type="dxa"/>
            <w:shd w:val="clear" w:color="auto" w:fill="auto"/>
            <w:noWrap/>
            <w:vAlign w:val="center"/>
          </w:tcPr>
          <w:p w:rsidR="00B9141F" w:rsidRPr="00116463" w:rsidRDefault="00B9141F" w:rsidP="00AC55E9">
            <w:pPr>
              <w:rPr>
                <w:bCs/>
                <w:color w:val="000000"/>
                <w:sz w:val="19"/>
                <w:szCs w:val="19"/>
              </w:rPr>
            </w:pPr>
            <w:r w:rsidRPr="00116463">
              <w:rPr>
                <w:sz w:val="19"/>
                <w:szCs w:val="19"/>
              </w:rPr>
              <w:t>Large C/I Buildings</w:t>
            </w:r>
          </w:p>
        </w:tc>
        <w:tc>
          <w:tcPr>
            <w:tcW w:w="2100" w:type="dxa"/>
            <w:shd w:val="clear" w:color="auto" w:fill="auto"/>
            <w:noWrap/>
            <w:vAlign w:val="center"/>
          </w:tcPr>
          <w:p w:rsidR="00B9141F" w:rsidRPr="00116463" w:rsidRDefault="00B9141F" w:rsidP="00AC55E9">
            <w:pPr>
              <w:jc w:val="center"/>
              <w:rPr>
                <w:bCs/>
                <w:color w:val="000000"/>
                <w:sz w:val="19"/>
                <w:szCs w:val="19"/>
              </w:rPr>
            </w:pPr>
            <w:r w:rsidRPr="00116463">
              <w:rPr>
                <w:bCs/>
                <w:color w:val="000000"/>
                <w:sz w:val="19"/>
                <w:szCs w:val="19"/>
              </w:rPr>
              <w:t>13.7%</w:t>
            </w:r>
          </w:p>
        </w:tc>
        <w:tc>
          <w:tcPr>
            <w:tcW w:w="2100" w:type="dxa"/>
            <w:shd w:val="clear" w:color="auto" w:fill="auto"/>
            <w:noWrap/>
            <w:vAlign w:val="center"/>
          </w:tcPr>
          <w:p w:rsidR="00B9141F" w:rsidRPr="00116463" w:rsidRDefault="00B9141F" w:rsidP="00AC55E9">
            <w:pPr>
              <w:jc w:val="center"/>
              <w:rPr>
                <w:bCs/>
                <w:color w:val="000000"/>
                <w:sz w:val="19"/>
                <w:szCs w:val="19"/>
              </w:rPr>
            </w:pPr>
            <w:r w:rsidRPr="00116463">
              <w:rPr>
                <w:bCs/>
                <w:color w:val="000000"/>
                <w:sz w:val="19"/>
                <w:szCs w:val="19"/>
              </w:rPr>
              <w:t>12.9%</w:t>
            </w:r>
          </w:p>
        </w:tc>
        <w:tc>
          <w:tcPr>
            <w:tcW w:w="2100" w:type="dxa"/>
            <w:shd w:val="clear" w:color="auto" w:fill="auto"/>
            <w:noWrap/>
            <w:vAlign w:val="center"/>
          </w:tcPr>
          <w:p w:rsidR="00B9141F" w:rsidRPr="00116463" w:rsidRDefault="00B9141F" w:rsidP="00AC55E9">
            <w:pPr>
              <w:jc w:val="center"/>
              <w:rPr>
                <w:color w:val="00B050"/>
                <w:sz w:val="19"/>
                <w:szCs w:val="19"/>
              </w:rPr>
            </w:pPr>
            <w:r w:rsidRPr="00116463">
              <w:rPr>
                <w:color w:val="00B050"/>
                <w:sz w:val="19"/>
                <w:szCs w:val="19"/>
              </w:rPr>
              <w:sym w:font="Wingdings" w:char="F0FC"/>
            </w:r>
          </w:p>
        </w:tc>
      </w:tr>
      <w:tr w:rsidR="00A874AC" w:rsidRPr="00116463" w:rsidTr="0017534C">
        <w:trPr>
          <w:trHeight w:val="346"/>
          <w:jc w:val="center"/>
        </w:trPr>
        <w:tc>
          <w:tcPr>
            <w:tcW w:w="3060" w:type="dxa"/>
            <w:shd w:val="clear" w:color="auto" w:fill="D2EAF1"/>
            <w:noWrap/>
            <w:vAlign w:val="center"/>
          </w:tcPr>
          <w:p w:rsidR="00B9141F" w:rsidRPr="00116463" w:rsidRDefault="00B9141F" w:rsidP="00AC55E9">
            <w:pPr>
              <w:rPr>
                <w:bCs/>
                <w:color w:val="000000"/>
                <w:sz w:val="19"/>
                <w:szCs w:val="19"/>
              </w:rPr>
            </w:pPr>
            <w:r w:rsidRPr="00116463">
              <w:rPr>
                <w:sz w:val="19"/>
                <w:szCs w:val="19"/>
              </w:rPr>
              <w:t>Government/Institutional</w:t>
            </w:r>
          </w:p>
        </w:tc>
        <w:tc>
          <w:tcPr>
            <w:tcW w:w="2100" w:type="dxa"/>
            <w:shd w:val="clear" w:color="auto" w:fill="D2EAF1"/>
            <w:noWrap/>
            <w:vAlign w:val="center"/>
          </w:tcPr>
          <w:p w:rsidR="00B9141F" w:rsidRPr="00116463" w:rsidRDefault="00B9141F" w:rsidP="00AC55E9">
            <w:pPr>
              <w:jc w:val="center"/>
              <w:rPr>
                <w:bCs/>
                <w:color w:val="000000"/>
                <w:sz w:val="19"/>
                <w:szCs w:val="19"/>
              </w:rPr>
            </w:pPr>
            <w:r w:rsidRPr="00116463">
              <w:rPr>
                <w:bCs/>
                <w:color w:val="000000"/>
                <w:sz w:val="19"/>
                <w:szCs w:val="19"/>
              </w:rPr>
              <w:t>15.0%</w:t>
            </w:r>
          </w:p>
        </w:tc>
        <w:tc>
          <w:tcPr>
            <w:tcW w:w="2100" w:type="dxa"/>
            <w:shd w:val="clear" w:color="auto" w:fill="D2EAF1"/>
            <w:noWrap/>
            <w:vAlign w:val="center"/>
          </w:tcPr>
          <w:p w:rsidR="00B9141F" w:rsidRPr="00116463" w:rsidRDefault="00B9141F" w:rsidP="00AC55E9">
            <w:pPr>
              <w:jc w:val="center"/>
              <w:rPr>
                <w:bCs/>
                <w:color w:val="000000"/>
                <w:sz w:val="19"/>
                <w:szCs w:val="19"/>
              </w:rPr>
            </w:pPr>
            <w:r w:rsidRPr="00116463">
              <w:rPr>
                <w:bCs/>
                <w:color w:val="000000"/>
                <w:sz w:val="19"/>
                <w:szCs w:val="19"/>
              </w:rPr>
              <w:t>18.5%</w:t>
            </w:r>
          </w:p>
        </w:tc>
        <w:tc>
          <w:tcPr>
            <w:tcW w:w="2100" w:type="dxa"/>
            <w:shd w:val="clear" w:color="auto" w:fill="D2EAF1"/>
            <w:noWrap/>
            <w:vAlign w:val="center"/>
          </w:tcPr>
          <w:p w:rsidR="00B9141F" w:rsidRPr="00116463" w:rsidRDefault="00B9141F" w:rsidP="00AC55E9">
            <w:pPr>
              <w:jc w:val="center"/>
              <w:rPr>
                <w:color w:val="00B050"/>
                <w:sz w:val="19"/>
                <w:szCs w:val="19"/>
              </w:rPr>
            </w:pPr>
            <w:r w:rsidRPr="00116463">
              <w:rPr>
                <w:color w:val="00B050"/>
                <w:sz w:val="19"/>
                <w:szCs w:val="19"/>
              </w:rPr>
              <w:sym w:font="Wingdings" w:char="F0FC"/>
            </w:r>
          </w:p>
        </w:tc>
      </w:tr>
    </w:tbl>
    <w:p w:rsidR="00B9141F" w:rsidRPr="00D85274" w:rsidRDefault="00B9141F" w:rsidP="00B9141F"/>
    <w:p w:rsidR="00B9141F" w:rsidRPr="00D85274" w:rsidRDefault="00B9141F" w:rsidP="00B9141F">
      <w:pPr>
        <w:rPr>
          <w:color w:val="000000"/>
        </w:rPr>
      </w:pPr>
      <w:r w:rsidRPr="00D85274">
        <w:t xml:space="preserve">Penelec met the goal of 15% precision at the 85% confidence level for energy for all non-residential program groups. Details concerning each program evaluation sample are provided </w:t>
      </w:r>
      <w:r w:rsidR="003B7147">
        <w:t>below</w:t>
      </w:r>
      <w:r w:rsidRPr="00D85274">
        <w:t>.</w:t>
      </w:r>
    </w:p>
    <w:p w:rsidR="00B9141F" w:rsidRPr="00D85274" w:rsidRDefault="00B9141F" w:rsidP="00B9141F">
      <w:pPr>
        <w:rPr>
          <w:color w:val="000000"/>
        </w:rPr>
      </w:pPr>
    </w:p>
    <w:p w:rsidR="00B9141F" w:rsidRPr="00D85274" w:rsidRDefault="00B9141F" w:rsidP="00B9141F">
      <w:pPr>
        <w:rPr>
          <w:color w:val="000000"/>
        </w:rPr>
      </w:pPr>
      <w:r w:rsidRPr="00D85274">
        <w:rPr>
          <w:color w:val="000000"/>
        </w:rPr>
        <w:t xml:space="preserve">As part of the audit process, the SWE Team performed one ride-along site inspection of a non-residential project to oversee Penelec’s on-site evaluation practices. Since Penelec uses the same </w:t>
      </w:r>
      <w:r>
        <w:rPr>
          <w:color w:val="000000"/>
        </w:rPr>
        <w:t>evaluation contractor</w:t>
      </w:r>
      <w:r w:rsidRPr="00D85274">
        <w:rPr>
          <w:color w:val="000000"/>
        </w:rPr>
        <w:t xml:space="preserve"> (ADM) as the other FirstEnergy companies</w:t>
      </w:r>
      <w:r>
        <w:rPr>
          <w:color w:val="000000"/>
        </w:rPr>
        <w:t>,</w:t>
      </w:r>
      <w:r w:rsidRPr="00D85274">
        <w:rPr>
          <w:color w:val="000000"/>
        </w:rPr>
        <w:t xml:space="preserve"> and site inspections </w:t>
      </w:r>
      <w:r>
        <w:rPr>
          <w:color w:val="000000"/>
        </w:rPr>
        <w:t>among</w:t>
      </w:r>
      <w:r w:rsidRPr="00D85274">
        <w:rPr>
          <w:color w:val="000000"/>
        </w:rPr>
        <w:t xml:space="preserve"> FirstEnergy territories are performed by the same ADM staff, the SWE has confidence that the ride-along site inspections performed by the SWE in other FirstEnergy </w:t>
      </w:r>
      <w:r>
        <w:rPr>
          <w:color w:val="000000"/>
        </w:rPr>
        <w:t>t</w:t>
      </w:r>
      <w:r w:rsidRPr="00D85274">
        <w:rPr>
          <w:color w:val="000000"/>
        </w:rPr>
        <w:t xml:space="preserve">erritories accurately represent performance for the Penelec territory. The Penelec project for which the SWE conducted a ride-along involved VFDs on water circulation pumps at a waste-treatment facility. The SWE </w:t>
      </w:r>
      <w:r>
        <w:rPr>
          <w:color w:val="000000"/>
        </w:rPr>
        <w:t>T</w:t>
      </w:r>
      <w:r w:rsidRPr="00D85274">
        <w:rPr>
          <w:color w:val="000000"/>
        </w:rPr>
        <w:t>eam approved the verified savings and had no additional recommendations. Results from the site inspection and other FirstEnergy</w:t>
      </w:r>
      <w:r>
        <w:rPr>
          <w:color w:val="000000"/>
        </w:rPr>
        <w:t xml:space="preserve"> </w:t>
      </w:r>
      <w:r w:rsidRPr="00D85274">
        <w:rPr>
          <w:color w:val="000000"/>
        </w:rPr>
        <w:t xml:space="preserve">ADM inspections are summarized </w:t>
      </w:r>
      <w:r w:rsidR="003B7147">
        <w:t>below</w:t>
      </w:r>
      <w:r w:rsidRPr="00D85274">
        <w:rPr>
          <w:color w:val="000000"/>
        </w:rPr>
        <w:t>.</w:t>
      </w:r>
    </w:p>
    <w:p w:rsidR="00B9141F" w:rsidRPr="00D85274" w:rsidRDefault="00B9141F" w:rsidP="00B9141F"/>
    <w:p w:rsidR="00B9141F" w:rsidRDefault="00B9141F" w:rsidP="00B9141F">
      <w:pPr>
        <w:rPr>
          <w:color w:val="000000"/>
        </w:rPr>
      </w:pPr>
      <w:r w:rsidRPr="00D85274">
        <w:t>The SWE Team performed a verified savings analysis on three submitted projects, checking for accuracy in calculations and appropriateness</w:t>
      </w:r>
      <w:r w:rsidRPr="00D85274">
        <w:rPr>
          <w:color w:val="000000"/>
        </w:rPr>
        <w:t xml:space="preserve"> of the evaluation method and level of rigor. The SWE Team found appropriate rigor in the evaluation contractor’s M&amp;V methods.</w:t>
      </w:r>
      <w:r w:rsidRPr="00D85274">
        <w:t xml:space="preserve"> T</w:t>
      </w:r>
      <w:r w:rsidRPr="00D85274">
        <w:rPr>
          <w:color w:val="000000"/>
        </w:rPr>
        <w:t>here was significant improvement in the presentation of M&amp;V methodology and results in PY7 with the inclusion of a site</w:t>
      </w:r>
      <w:r>
        <w:rPr>
          <w:color w:val="000000"/>
        </w:rPr>
        <w:t>-</w:t>
      </w:r>
      <w:r w:rsidRPr="00D85274">
        <w:rPr>
          <w:color w:val="000000"/>
        </w:rPr>
        <w:t xml:space="preserve">level report for each project file. </w:t>
      </w:r>
      <w:r w:rsidR="003B7147">
        <w:rPr>
          <w:color w:val="000000"/>
        </w:rPr>
        <w:t>The discussion below</w:t>
      </w:r>
      <w:r w:rsidRPr="00D85274">
        <w:rPr>
          <w:color w:val="000000"/>
        </w:rPr>
        <w:t xml:space="preserve"> presents more detailed results of the verified savings analysis.</w:t>
      </w:r>
    </w:p>
    <w:p w:rsidR="006B298C" w:rsidRDefault="006B298C" w:rsidP="00B9141F">
      <w:pPr>
        <w:rPr>
          <w:color w:val="000000"/>
        </w:rPr>
      </w:pPr>
    </w:p>
    <w:p w:rsidR="006B298C" w:rsidRPr="003458B1" w:rsidRDefault="006B298C" w:rsidP="0055598C">
      <w:pPr>
        <w:pStyle w:val="AppendixAHeading4"/>
        <w:rPr>
          <w:rFonts w:eastAsia="Calibri"/>
        </w:rPr>
      </w:pPr>
      <w:bookmarkStart w:id="840" w:name="_Toc408557489"/>
      <w:bookmarkStart w:id="841" w:name="_Ref440443962"/>
      <w:r w:rsidRPr="003458B1">
        <w:rPr>
          <w:rFonts w:eastAsia="Calibri"/>
        </w:rPr>
        <w:t>Project Files Review</w:t>
      </w:r>
      <w:bookmarkEnd w:id="840"/>
      <w:bookmarkEnd w:id="841"/>
    </w:p>
    <w:p w:rsidR="006B298C" w:rsidRDefault="006B298C" w:rsidP="006B298C">
      <w:pPr>
        <w:rPr>
          <w:color w:val="000000"/>
        </w:rPr>
      </w:pPr>
      <w:r w:rsidRPr="00A80B34">
        <w:rPr>
          <w:color w:val="000000"/>
        </w:rPr>
        <w:t>The SWE Team</w:t>
      </w:r>
      <w:r w:rsidRPr="003458B1">
        <w:rPr>
          <w:color w:val="000000"/>
        </w:rPr>
        <w:t xml:space="preserve"> reviewed nine projects in Penelec’s PY7 non-residential programs across various measures, including interior and exterior lighting, refrigeration, energy audits, and PC power management. The submitted files included project-level savings calculation workbooks, application forms, measure installation confirmations, equipment specification sheets, invoices, post-installation inspection reports, </w:t>
      </w:r>
      <w:r w:rsidR="008C19A4">
        <w:rPr>
          <w:color w:val="000000"/>
        </w:rPr>
        <w:t xml:space="preserve">and other supporting documents. </w:t>
      </w:r>
      <w:r w:rsidRPr="003458B1">
        <w:rPr>
          <w:color w:val="000000"/>
        </w:rPr>
        <w:t>In general, the submitted project files provided thorough documentation for SWE Team review</w:t>
      </w:r>
      <w:r>
        <w:rPr>
          <w:color w:val="000000"/>
        </w:rPr>
        <w:t>.</w:t>
      </w:r>
    </w:p>
    <w:p w:rsidR="006B298C" w:rsidRDefault="006B298C" w:rsidP="006B298C">
      <w:pPr>
        <w:rPr>
          <w:color w:val="000000"/>
        </w:rPr>
      </w:pPr>
    </w:p>
    <w:p w:rsidR="00380FF9" w:rsidRPr="008C19A4" w:rsidRDefault="008C19A4" w:rsidP="008C19A4">
      <w:r>
        <w:t xml:space="preserve">Table A-59 </w:t>
      </w:r>
      <w:r w:rsidR="00380FF9" w:rsidRPr="008C19A4">
        <w:t>presents an overview of the projects that were reviewed by the SWE Team and the findings.</w:t>
      </w:r>
    </w:p>
    <w:p w:rsidR="0014308C" w:rsidRPr="008C19A4" w:rsidRDefault="0014308C" w:rsidP="008C19A4">
      <w:pPr>
        <w:sectPr w:rsidR="0014308C" w:rsidRPr="008C19A4" w:rsidSect="00651AA9">
          <w:type w:val="continuous"/>
          <w:pgSz w:w="12240" w:h="15840"/>
          <w:pgMar w:top="1440" w:right="1440" w:bottom="1440" w:left="1440" w:header="720" w:footer="288" w:gutter="0"/>
          <w:cols w:space="720"/>
          <w:titlePg/>
          <w:docGrid w:linePitch="360"/>
        </w:sectPr>
      </w:pPr>
      <w:bookmarkStart w:id="842" w:name="_Ref472467746"/>
      <w:bookmarkStart w:id="843" w:name="_Toc472472468"/>
    </w:p>
    <w:p w:rsidR="00A421A3" w:rsidRDefault="00A421A3" w:rsidP="004837FA">
      <w:pPr>
        <w:pStyle w:val="Caption"/>
        <w:rPr>
          <w:color w:val="000000"/>
          <w14:textFill>
            <w14:solidFill>
              <w14:srgbClr w14:val="000000">
                <w14:lumMod w14:val="75000"/>
                <w14:lumOff w14:val="25000"/>
              </w14:srgbClr>
            </w14:solidFill>
          </w14:textFill>
        </w:rPr>
      </w:pPr>
      <w:bookmarkStart w:id="844" w:name="_Toc488741887"/>
      <w:r>
        <w:t>Table A-</w:t>
      </w:r>
      <w:r w:rsidR="007973A4">
        <w:fldChar w:fldCharType="begin"/>
      </w:r>
      <w:r w:rsidR="007973A4">
        <w:instrText xml:space="preserve"> SEQ Table_A- \* ARABIC </w:instrText>
      </w:r>
      <w:r w:rsidR="007973A4">
        <w:fldChar w:fldCharType="separate"/>
      </w:r>
      <w:r w:rsidR="00037CB4">
        <w:rPr>
          <w:noProof/>
        </w:rPr>
        <w:t>59</w:t>
      </w:r>
      <w:r w:rsidR="007973A4">
        <w:rPr>
          <w:noProof/>
        </w:rPr>
        <w:fldChar w:fldCharType="end"/>
      </w:r>
      <w:bookmarkEnd w:id="842"/>
      <w:r>
        <w:t>: Penelec Project File Review Summary</w:t>
      </w:r>
      <w:bookmarkEnd w:id="843"/>
      <w:bookmarkEnd w:id="844"/>
    </w:p>
    <w:tbl>
      <w:tblPr>
        <w:tblStyle w:val="AnnualReportTableStyle"/>
        <w:tblW w:w="13140" w:type="dxa"/>
        <w:tblInd w:w="-95" w:type="dxa"/>
        <w:tblLayout w:type="fixed"/>
        <w:tblLook w:val="04A0" w:firstRow="1" w:lastRow="0" w:firstColumn="1" w:lastColumn="0" w:noHBand="0" w:noVBand="1"/>
      </w:tblPr>
      <w:tblGrid>
        <w:gridCol w:w="1525"/>
        <w:gridCol w:w="1170"/>
        <w:gridCol w:w="2970"/>
        <w:gridCol w:w="1080"/>
        <w:gridCol w:w="1230"/>
        <w:gridCol w:w="1320"/>
        <w:gridCol w:w="1080"/>
        <w:gridCol w:w="1230"/>
        <w:gridCol w:w="1535"/>
      </w:tblGrid>
      <w:tr w:rsidR="00A874AC" w:rsidRPr="00116463" w:rsidTr="00116463">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25" w:type="dxa"/>
            <w:noWrap/>
            <w:vAlign w:val="bottom"/>
            <w:hideMark/>
          </w:tcPr>
          <w:p w:rsidR="00380FF9" w:rsidRPr="00116463" w:rsidRDefault="00380FF9" w:rsidP="00380FF9">
            <w:pPr>
              <w:jc w:val="left"/>
              <w:rPr>
                <w:b w:val="0"/>
                <w:bCs/>
                <w:sz w:val="19"/>
                <w:szCs w:val="19"/>
              </w:rPr>
            </w:pPr>
            <w:r w:rsidRPr="00116463">
              <w:rPr>
                <w:bCs/>
                <w:sz w:val="19"/>
                <w:szCs w:val="19"/>
              </w:rPr>
              <w:t>Project Number</w:t>
            </w:r>
          </w:p>
        </w:tc>
        <w:tc>
          <w:tcPr>
            <w:tcW w:w="1170" w:type="dxa"/>
            <w:noWrap/>
            <w:vAlign w:val="bottom"/>
            <w:hideMark/>
          </w:tcPr>
          <w:p w:rsidR="00380FF9" w:rsidRPr="00116463"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16463">
              <w:rPr>
                <w:bCs/>
                <w:sz w:val="19"/>
                <w:szCs w:val="19"/>
              </w:rPr>
              <w:t>Program</w:t>
            </w:r>
          </w:p>
        </w:tc>
        <w:tc>
          <w:tcPr>
            <w:tcW w:w="2970" w:type="dxa"/>
            <w:vAlign w:val="bottom"/>
            <w:hideMark/>
          </w:tcPr>
          <w:p w:rsidR="00380FF9" w:rsidRPr="00116463"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16463">
              <w:rPr>
                <w:bCs/>
                <w:sz w:val="19"/>
                <w:szCs w:val="19"/>
              </w:rPr>
              <w:t>Project Description</w:t>
            </w:r>
          </w:p>
        </w:tc>
        <w:tc>
          <w:tcPr>
            <w:tcW w:w="1080" w:type="dxa"/>
            <w:vAlign w:val="bottom"/>
            <w:hideMark/>
          </w:tcPr>
          <w:p w:rsidR="00380FF9" w:rsidRPr="00116463"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16463">
              <w:rPr>
                <w:bCs/>
                <w:sz w:val="19"/>
                <w:szCs w:val="19"/>
              </w:rPr>
              <w:t>Are all files included?</w:t>
            </w:r>
          </w:p>
        </w:tc>
        <w:tc>
          <w:tcPr>
            <w:tcW w:w="1230" w:type="dxa"/>
            <w:vAlign w:val="bottom"/>
            <w:hideMark/>
          </w:tcPr>
          <w:p w:rsidR="00380FF9" w:rsidRPr="00116463"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16463">
              <w:rPr>
                <w:bCs/>
                <w:sz w:val="19"/>
                <w:szCs w:val="19"/>
              </w:rPr>
              <w:t>Do values match program tracking data?</w:t>
            </w:r>
          </w:p>
        </w:tc>
        <w:tc>
          <w:tcPr>
            <w:tcW w:w="1320" w:type="dxa"/>
            <w:vAlign w:val="bottom"/>
            <w:hideMark/>
          </w:tcPr>
          <w:p w:rsidR="00380FF9" w:rsidRPr="00116463"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16463">
              <w:rPr>
                <w:bCs/>
                <w:sz w:val="19"/>
                <w:szCs w:val="19"/>
              </w:rPr>
              <w:t>Equipment discrepancy between invoices and calculations?</w:t>
            </w:r>
          </w:p>
        </w:tc>
        <w:tc>
          <w:tcPr>
            <w:tcW w:w="1080" w:type="dxa"/>
            <w:vAlign w:val="bottom"/>
            <w:hideMark/>
          </w:tcPr>
          <w:p w:rsidR="00380FF9" w:rsidRPr="00116463"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16463">
              <w:rPr>
                <w:bCs/>
                <w:sz w:val="19"/>
                <w:szCs w:val="19"/>
              </w:rPr>
              <w:t>Sufficient info for SWE to follow?</w:t>
            </w:r>
          </w:p>
        </w:tc>
        <w:tc>
          <w:tcPr>
            <w:tcW w:w="1230" w:type="dxa"/>
            <w:vAlign w:val="bottom"/>
            <w:hideMark/>
          </w:tcPr>
          <w:p w:rsidR="00380FF9" w:rsidRPr="00116463"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16463">
              <w:rPr>
                <w:bCs/>
                <w:sz w:val="19"/>
                <w:szCs w:val="19"/>
              </w:rPr>
              <w:t>For TRM measures, are correct algorithms and HOU values used?</w:t>
            </w:r>
          </w:p>
        </w:tc>
        <w:tc>
          <w:tcPr>
            <w:tcW w:w="1535" w:type="dxa"/>
            <w:vAlign w:val="bottom"/>
            <w:hideMark/>
          </w:tcPr>
          <w:p w:rsidR="00380FF9" w:rsidRPr="00116463"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16463">
              <w:rPr>
                <w:bCs/>
                <w:sz w:val="19"/>
                <w:szCs w:val="19"/>
              </w:rPr>
              <w:t>For Custom measures, is the methodology clear and auditable? Is it a sensible approach?</w:t>
            </w:r>
          </w:p>
        </w:tc>
      </w:tr>
      <w:tr w:rsidR="00A874AC" w:rsidRPr="00116463" w:rsidTr="0011646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16463" w:rsidRDefault="00380FF9" w:rsidP="00380FF9">
            <w:pPr>
              <w:jc w:val="left"/>
              <w:rPr>
                <w:b w:val="0"/>
                <w:color w:val="000000"/>
                <w:sz w:val="19"/>
                <w:szCs w:val="19"/>
              </w:rPr>
            </w:pPr>
            <w:r w:rsidRPr="00116463">
              <w:rPr>
                <w:b w:val="0"/>
                <w:color w:val="000000"/>
                <w:sz w:val="19"/>
                <w:szCs w:val="19"/>
              </w:rPr>
              <w:t>CR_PRJ-325348</w:t>
            </w:r>
          </w:p>
        </w:tc>
        <w:tc>
          <w:tcPr>
            <w:tcW w:w="117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Small C/I Equipment</w:t>
            </w:r>
          </w:p>
        </w:tc>
        <w:tc>
          <w:tcPr>
            <w:tcW w:w="297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Installation of energy efficient freezer and refrigerator reach-in cases.</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32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No</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N/A</w:t>
            </w:r>
          </w:p>
        </w:tc>
        <w:tc>
          <w:tcPr>
            <w:tcW w:w="1535"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r>
      <w:tr w:rsidR="00380FF9" w:rsidRPr="00116463" w:rsidTr="00116463">
        <w:trPr>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16463" w:rsidRDefault="00380FF9" w:rsidP="00380FF9">
            <w:pPr>
              <w:jc w:val="left"/>
              <w:rPr>
                <w:b w:val="0"/>
                <w:color w:val="000000"/>
                <w:sz w:val="19"/>
                <w:szCs w:val="19"/>
              </w:rPr>
            </w:pPr>
            <w:r w:rsidRPr="00116463">
              <w:rPr>
                <w:b w:val="0"/>
                <w:color w:val="000000"/>
                <w:sz w:val="19"/>
                <w:szCs w:val="19"/>
              </w:rPr>
              <w:t>CR_PRJ-378132</w:t>
            </w:r>
          </w:p>
        </w:tc>
        <w:tc>
          <w:tcPr>
            <w:tcW w:w="117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Small C/I Buildings</w:t>
            </w:r>
          </w:p>
        </w:tc>
        <w:tc>
          <w:tcPr>
            <w:tcW w:w="2970"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PC power management</w:t>
            </w:r>
          </w:p>
        </w:tc>
        <w:tc>
          <w:tcPr>
            <w:tcW w:w="108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23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32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No</w:t>
            </w:r>
          </w:p>
        </w:tc>
        <w:tc>
          <w:tcPr>
            <w:tcW w:w="108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230"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535"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N/A</w:t>
            </w:r>
          </w:p>
        </w:tc>
      </w:tr>
      <w:tr w:rsidR="00A874AC" w:rsidRPr="00116463" w:rsidTr="0011646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16463" w:rsidRDefault="00380FF9" w:rsidP="00380FF9">
            <w:pPr>
              <w:jc w:val="left"/>
              <w:rPr>
                <w:b w:val="0"/>
                <w:color w:val="000000"/>
                <w:sz w:val="19"/>
                <w:szCs w:val="19"/>
              </w:rPr>
            </w:pPr>
            <w:r w:rsidRPr="00116463">
              <w:rPr>
                <w:b w:val="0"/>
                <w:color w:val="000000"/>
                <w:sz w:val="19"/>
                <w:szCs w:val="19"/>
              </w:rPr>
              <w:t>CR_PRJ-424362</w:t>
            </w:r>
          </w:p>
        </w:tc>
        <w:tc>
          <w:tcPr>
            <w:tcW w:w="117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Large C/I Equipment</w:t>
            </w:r>
          </w:p>
        </w:tc>
        <w:tc>
          <w:tcPr>
            <w:tcW w:w="297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1</w:t>
            </w:r>
            <w:r w:rsidR="00B27FAB" w:rsidRPr="00116463">
              <w:rPr>
                <w:color w:val="000000"/>
                <w:sz w:val="19"/>
                <w:szCs w:val="19"/>
              </w:rPr>
              <w:t>,</w:t>
            </w:r>
            <w:r w:rsidRPr="00116463">
              <w:rPr>
                <w:color w:val="000000"/>
                <w:sz w:val="19"/>
                <w:szCs w:val="19"/>
              </w:rPr>
              <w:t>000W MH pole lights and wall pack and egress lighting replaced with GE LED Evolve area, wall pack, and egress fixtures</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32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No</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535"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N/A</w:t>
            </w:r>
          </w:p>
        </w:tc>
      </w:tr>
      <w:tr w:rsidR="00380FF9" w:rsidRPr="00116463" w:rsidTr="00116463">
        <w:trPr>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16463" w:rsidRDefault="00380FF9" w:rsidP="00380FF9">
            <w:pPr>
              <w:jc w:val="left"/>
              <w:rPr>
                <w:b w:val="0"/>
                <w:color w:val="000000"/>
                <w:sz w:val="19"/>
                <w:szCs w:val="19"/>
              </w:rPr>
            </w:pPr>
            <w:r w:rsidRPr="00116463">
              <w:rPr>
                <w:b w:val="0"/>
                <w:color w:val="000000"/>
                <w:sz w:val="19"/>
                <w:szCs w:val="19"/>
              </w:rPr>
              <w:t>CR_PRJ-372212</w:t>
            </w:r>
          </w:p>
        </w:tc>
        <w:tc>
          <w:tcPr>
            <w:tcW w:w="117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Small C/I Equipment</w:t>
            </w:r>
          </w:p>
        </w:tc>
        <w:tc>
          <w:tcPr>
            <w:tcW w:w="2970"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Reach-in-freezer case T12 retrofit with LEDs</w:t>
            </w:r>
          </w:p>
        </w:tc>
        <w:tc>
          <w:tcPr>
            <w:tcW w:w="108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23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32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No</w:t>
            </w:r>
          </w:p>
        </w:tc>
        <w:tc>
          <w:tcPr>
            <w:tcW w:w="108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230"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535"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N/A</w:t>
            </w:r>
          </w:p>
        </w:tc>
      </w:tr>
      <w:tr w:rsidR="00A874AC" w:rsidRPr="00116463" w:rsidTr="0011646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16463" w:rsidRDefault="00380FF9" w:rsidP="00380FF9">
            <w:pPr>
              <w:jc w:val="left"/>
              <w:rPr>
                <w:b w:val="0"/>
                <w:color w:val="000000"/>
                <w:sz w:val="19"/>
                <w:szCs w:val="19"/>
              </w:rPr>
            </w:pPr>
            <w:r w:rsidRPr="00116463">
              <w:rPr>
                <w:b w:val="0"/>
                <w:color w:val="000000"/>
                <w:sz w:val="19"/>
                <w:szCs w:val="19"/>
              </w:rPr>
              <w:t>CR_PRJ-552737</w:t>
            </w:r>
          </w:p>
        </w:tc>
        <w:tc>
          <w:tcPr>
            <w:tcW w:w="117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Large C/I Equipment</w:t>
            </w:r>
          </w:p>
        </w:tc>
        <w:tc>
          <w:tcPr>
            <w:tcW w:w="297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Energy audit</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32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No</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N/A</w:t>
            </w:r>
          </w:p>
        </w:tc>
        <w:tc>
          <w:tcPr>
            <w:tcW w:w="1535"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r>
      <w:tr w:rsidR="00380FF9" w:rsidRPr="00116463" w:rsidTr="00116463">
        <w:trPr>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16463" w:rsidRDefault="00380FF9" w:rsidP="00380FF9">
            <w:pPr>
              <w:jc w:val="left"/>
              <w:rPr>
                <w:b w:val="0"/>
                <w:color w:val="000000"/>
                <w:sz w:val="19"/>
                <w:szCs w:val="19"/>
              </w:rPr>
            </w:pPr>
            <w:r w:rsidRPr="00116463">
              <w:rPr>
                <w:b w:val="0"/>
                <w:color w:val="000000"/>
                <w:sz w:val="19"/>
                <w:szCs w:val="19"/>
              </w:rPr>
              <w:t>CR_PRJ-613582</w:t>
            </w:r>
          </w:p>
        </w:tc>
        <w:tc>
          <w:tcPr>
            <w:tcW w:w="117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Large C/I Equipment</w:t>
            </w:r>
          </w:p>
        </w:tc>
        <w:tc>
          <w:tcPr>
            <w:tcW w:w="2970"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Lighting (inc. to LED)</w:t>
            </w:r>
          </w:p>
        </w:tc>
        <w:tc>
          <w:tcPr>
            <w:tcW w:w="108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23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32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No</w:t>
            </w:r>
          </w:p>
        </w:tc>
        <w:tc>
          <w:tcPr>
            <w:tcW w:w="108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230"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535"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N/A</w:t>
            </w:r>
          </w:p>
        </w:tc>
      </w:tr>
      <w:tr w:rsidR="00A874AC" w:rsidRPr="00116463" w:rsidTr="0011646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16463" w:rsidRDefault="00380FF9" w:rsidP="00380FF9">
            <w:pPr>
              <w:jc w:val="left"/>
              <w:rPr>
                <w:b w:val="0"/>
                <w:color w:val="000000"/>
                <w:sz w:val="19"/>
                <w:szCs w:val="19"/>
              </w:rPr>
            </w:pPr>
            <w:r w:rsidRPr="00116463">
              <w:rPr>
                <w:b w:val="0"/>
                <w:color w:val="000000"/>
                <w:sz w:val="19"/>
                <w:szCs w:val="19"/>
              </w:rPr>
              <w:t>CR_PRJ-578886</w:t>
            </w:r>
          </w:p>
        </w:tc>
        <w:tc>
          <w:tcPr>
            <w:tcW w:w="117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Large C/I Equipment</w:t>
            </w:r>
          </w:p>
        </w:tc>
        <w:tc>
          <w:tcPr>
            <w:tcW w:w="297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Lighting (exterior)</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32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No</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535"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N/A</w:t>
            </w:r>
          </w:p>
        </w:tc>
      </w:tr>
      <w:tr w:rsidR="00380FF9" w:rsidRPr="00116463" w:rsidTr="00116463">
        <w:trPr>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16463" w:rsidRDefault="00380FF9" w:rsidP="00380FF9">
            <w:pPr>
              <w:jc w:val="left"/>
              <w:rPr>
                <w:b w:val="0"/>
                <w:color w:val="000000"/>
                <w:sz w:val="19"/>
                <w:szCs w:val="19"/>
              </w:rPr>
            </w:pPr>
            <w:r w:rsidRPr="00116463">
              <w:rPr>
                <w:b w:val="0"/>
                <w:color w:val="000000"/>
                <w:sz w:val="19"/>
                <w:szCs w:val="19"/>
              </w:rPr>
              <w:t>CR_PRJ-615133</w:t>
            </w:r>
          </w:p>
        </w:tc>
        <w:tc>
          <w:tcPr>
            <w:tcW w:w="117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Large C/I Equipment</w:t>
            </w:r>
          </w:p>
        </w:tc>
        <w:tc>
          <w:tcPr>
            <w:tcW w:w="2970"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Lighting (new construction)</w:t>
            </w:r>
          </w:p>
        </w:tc>
        <w:tc>
          <w:tcPr>
            <w:tcW w:w="108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23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32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No</w:t>
            </w:r>
          </w:p>
        </w:tc>
        <w:tc>
          <w:tcPr>
            <w:tcW w:w="1080" w:type="dxa"/>
            <w:noWrap/>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230"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535" w:type="dxa"/>
            <w:hideMark/>
          </w:tcPr>
          <w:p w:rsidR="00380FF9" w:rsidRPr="00116463"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N/A</w:t>
            </w:r>
          </w:p>
        </w:tc>
      </w:tr>
      <w:tr w:rsidR="00A874AC" w:rsidRPr="00116463" w:rsidTr="00116463">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16463" w:rsidRDefault="00380FF9" w:rsidP="00380FF9">
            <w:pPr>
              <w:jc w:val="left"/>
              <w:rPr>
                <w:b w:val="0"/>
                <w:color w:val="000000"/>
                <w:sz w:val="19"/>
                <w:szCs w:val="19"/>
              </w:rPr>
            </w:pPr>
            <w:r w:rsidRPr="00116463">
              <w:rPr>
                <w:b w:val="0"/>
                <w:color w:val="000000"/>
                <w:sz w:val="19"/>
                <w:szCs w:val="19"/>
              </w:rPr>
              <w:t>CR_PRJ-636707</w:t>
            </w:r>
          </w:p>
        </w:tc>
        <w:tc>
          <w:tcPr>
            <w:tcW w:w="117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Large C/I Equipment</w:t>
            </w:r>
          </w:p>
        </w:tc>
        <w:tc>
          <w:tcPr>
            <w:tcW w:w="297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Lighting (exterior)</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32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No</w:t>
            </w:r>
          </w:p>
        </w:tc>
        <w:tc>
          <w:tcPr>
            <w:tcW w:w="1080" w:type="dxa"/>
            <w:noWrap/>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230"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535" w:type="dxa"/>
            <w:hideMark/>
          </w:tcPr>
          <w:p w:rsidR="00380FF9" w:rsidRPr="00116463"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N/A</w:t>
            </w:r>
          </w:p>
        </w:tc>
      </w:tr>
    </w:tbl>
    <w:p w:rsidR="006B298C" w:rsidRPr="00D85274" w:rsidRDefault="006B298C" w:rsidP="00B9141F">
      <w:pPr>
        <w:rPr>
          <w:color w:val="000000"/>
        </w:rPr>
      </w:pPr>
    </w:p>
    <w:p w:rsidR="0014308C" w:rsidRDefault="0014308C" w:rsidP="00A421A3">
      <w:pPr>
        <w:sectPr w:rsidR="0014308C" w:rsidSect="0014308C">
          <w:headerReference w:type="first" r:id="rId135"/>
          <w:footerReference w:type="first" r:id="rId136"/>
          <w:pgSz w:w="15840" w:h="12240" w:orient="landscape"/>
          <w:pgMar w:top="1440" w:right="1440" w:bottom="1440" w:left="1440" w:header="720" w:footer="288" w:gutter="0"/>
          <w:cols w:space="720"/>
          <w:titlePg/>
          <w:docGrid w:linePitch="360"/>
        </w:sectPr>
      </w:pPr>
    </w:p>
    <w:p w:rsidR="00A421A3" w:rsidRPr="00882C04" w:rsidRDefault="00A421A3" w:rsidP="00A421A3">
      <w:r w:rsidRPr="00882C04">
        <w:t xml:space="preserve">There was one discrepancy between the savings in the lighting calculator in </w:t>
      </w:r>
      <w:r>
        <w:t>CR_</w:t>
      </w:r>
      <w:r w:rsidRPr="00882C04">
        <w:t>PRJ-424362 and the reported savings in the tracking system, but after contacting the evaluat</w:t>
      </w:r>
      <w:r>
        <w:t>ion contractor</w:t>
      </w:r>
      <w:r w:rsidRPr="00882C04">
        <w:t>, the SWE determined this was not an error but a correction from a previous program year.</w:t>
      </w:r>
    </w:p>
    <w:p w:rsidR="00A421A3" w:rsidRPr="00882C04" w:rsidRDefault="00A421A3" w:rsidP="00A421A3"/>
    <w:p w:rsidR="00A421A3" w:rsidRPr="003458B1" w:rsidRDefault="00A421A3" w:rsidP="00A421A3">
      <w:pPr>
        <w:spacing w:after="120"/>
        <w:rPr>
          <w:color w:val="000000"/>
        </w:rPr>
      </w:pPr>
      <w:r w:rsidRPr="003458B1">
        <w:rPr>
          <w:color w:val="000000"/>
        </w:rPr>
        <w:t>In PY6, the SWE Team review of Penelec’s project files revealed cause for concern as several instances arose where the TRM was not followed appropriately</w:t>
      </w:r>
      <w:r w:rsidR="00E1027C">
        <w:rPr>
          <w:color w:val="000000"/>
        </w:rPr>
        <w:t xml:space="preserve"> in ex ante calculations</w:t>
      </w:r>
      <w:r w:rsidRPr="003458B1">
        <w:rPr>
          <w:color w:val="000000"/>
        </w:rPr>
        <w:t xml:space="preserve">. The SWE Team provided the following </w:t>
      </w:r>
      <w:r>
        <w:rPr>
          <w:color w:val="000000"/>
        </w:rPr>
        <w:t xml:space="preserve">three </w:t>
      </w:r>
      <w:r w:rsidRPr="003458B1">
        <w:rPr>
          <w:color w:val="000000"/>
        </w:rPr>
        <w:t>recommendations:</w:t>
      </w:r>
    </w:p>
    <w:p w:rsidR="00A421A3" w:rsidRPr="003458B1" w:rsidRDefault="00A421A3" w:rsidP="00E646C9">
      <w:pPr>
        <w:numPr>
          <w:ilvl w:val="0"/>
          <w:numId w:val="34"/>
        </w:numPr>
        <w:spacing w:after="120"/>
        <w:ind w:left="360"/>
      </w:pPr>
      <w:r w:rsidRPr="003458B1">
        <w:t>SWE Team-provided calculators should be used properly; if SWE Team</w:t>
      </w:r>
      <w:r>
        <w:t>–</w:t>
      </w:r>
      <w:r w:rsidRPr="003458B1">
        <w:t>provided calculators are unavailable for a given measure, custom calculators should be crafted carefully per the governing TRM equations and requirements.</w:t>
      </w:r>
    </w:p>
    <w:p w:rsidR="00A421A3" w:rsidRPr="003458B1" w:rsidRDefault="00A421A3" w:rsidP="00E646C9">
      <w:pPr>
        <w:numPr>
          <w:ilvl w:val="0"/>
          <w:numId w:val="34"/>
        </w:numPr>
        <w:spacing w:after="120"/>
        <w:ind w:left="360"/>
      </w:pPr>
      <w:r w:rsidRPr="003458B1">
        <w:t xml:space="preserve">More thorough audits of applications should be performed to ensure that valid savings are not lost or overstated due to minor oversights. </w:t>
      </w:r>
    </w:p>
    <w:p w:rsidR="00A421A3" w:rsidRPr="003458B1" w:rsidRDefault="00A421A3" w:rsidP="00E646C9">
      <w:pPr>
        <w:numPr>
          <w:ilvl w:val="0"/>
          <w:numId w:val="34"/>
        </w:numPr>
        <w:ind w:left="360"/>
      </w:pPr>
      <w:r w:rsidRPr="003458B1">
        <w:t>More organized documentation should be kept on record to ensure that all requested materials are submitted.</w:t>
      </w:r>
    </w:p>
    <w:p w:rsidR="00A421A3" w:rsidRPr="003458B1" w:rsidRDefault="00A421A3" w:rsidP="00A421A3"/>
    <w:p w:rsidR="00A421A3" w:rsidRPr="003458B1" w:rsidRDefault="00A421A3" w:rsidP="00A421A3">
      <w:r w:rsidRPr="003458B1">
        <w:t>In PY7, the SWE saw marked improvement in the consistency, orderliness, and organization of project files. This was aided by the consistent inclusion of site-specific cover page</w:t>
      </w:r>
      <w:r>
        <w:t>s,</w:t>
      </w:r>
      <w:r w:rsidRPr="003458B1">
        <w:t xml:space="preserve"> which helped the SWE follow the </w:t>
      </w:r>
      <w:r w:rsidRPr="00882C04">
        <w:t>evaluat</w:t>
      </w:r>
      <w:r>
        <w:t xml:space="preserve">ion contractor’s </w:t>
      </w:r>
      <w:r w:rsidRPr="003458B1">
        <w:t>method and progression.</w:t>
      </w:r>
      <w:r w:rsidRPr="003458B1">
        <w:rPr>
          <w:color w:val="000000"/>
        </w:rPr>
        <w:t xml:space="preserve"> At this time, the SWE Team only recommends </w:t>
      </w:r>
      <w:r>
        <w:rPr>
          <w:color w:val="000000"/>
        </w:rPr>
        <w:t>that i</w:t>
      </w:r>
      <w:r w:rsidRPr="009B0EAD">
        <w:rPr>
          <w:color w:val="000000"/>
        </w:rPr>
        <w:t>n the interest of transparency, only the</w:t>
      </w:r>
      <w:r>
        <w:rPr>
          <w:color w:val="000000"/>
        </w:rPr>
        <w:t xml:space="preserve"> supplied</w:t>
      </w:r>
      <w:r w:rsidRPr="009B0EAD">
        <w:rPr>
          <w:color w:val="000000"/>
        </w:rPr>
        <w:t xml:space="preserve"> Appendix C calculator</w:t>
      </w:r>
      <w:r>
        <w:rPr>
          <w:color w:val="000000"/>
        </w:rPr>
        <w:t xml:space="preserve"> be used</w:t>
      </w:r>
      <w:r w:rsidRPr="009B0EAD">
        <w:rPr>
          <w:color w:val="000000"/>
        </w:rPr>
        <w:t xml:space="preserve"> for lighting projects moving forward.</w:t>
      </w:r>
    </w:p>
    <w:p w:rsidR="00A421A3" w:rsidRPr="003458B1" w:rsidRDefault="00A421A3" w:rsidP="00A421A3"/>
    <w:p w:rsidR="00A421A3" w:rsidRPr="003458B1" w:rsidRDefault="00A421A3" w:rsidP="0055598C">
      <w:pPr>
        <w:pStyle w:val="AppendixAHeading4"/>
        <w:rPr>
          <w:rFonts w:eastAsia="Calibri"/>
        </w:rPr>
      </w:pPr>
      <w:bookmarkStart w:id="845" w:name="_Toc408557491"/>
      <w:bookmarkStart w:id="846" w:name="_Ref440444007"/>
      <w:r w:rsidRPr="003458B1">
        <w:rPr>
          <w:rFonts w:eastAsia="Calibri"/>
        </w:rPr>
        <w:t>Sample Design Review</w:t>
      </w:r>
      <w:bookmarkEnd w:id="845"/>
      <w:bookmarkEnd w:id="846"/>
    </w:p>
    <w:p w:rsidR="00A421A3" w:rsidRPr="003458B1" w:rsidRDefault="00A421A3" w:rsidP="00A421A3">
      <w:r w:rsidRPr="003458B1">
        <w:t>Penelec’s PY7 final annual report provides detailed information about the sample design of the PY7 gross impact evaluation of non-residential programs. Penelec’s non-residential programs were the Small C/I Energy Efficient Equipment Program, Small C/I Energy Efficient Buildings Program, Large C/I Energy Efficient Equipment Program, Large C/I Energy Efficient Buildings Program, and Government and Institutional Program.</w:t>
      </w:r>
    </w:p>
    <w:p w:rsidR="00A421A3" w:rsidRPr="003458B1" w:rsidRDefault="00A421A3" w:rsidP="00A421A3"/>
    <w:p w:rsidR="00A421A3" w:rsidRPr="003458B1" w:rsidRDefault="00A421A3" w:rsidP="008C7396">
      <w:pPr>
        <w:pStyle w:val="AppendixAHeading5"/>
      </w:pPr>
      <w:r w:rsidRPr="003458B1">
        <w:t>Small C/I Energy Efficient Equipment Program</w:t>
      </w:r>
    </w:p>
    <w:p w:rsidR="00A421A3" w:rsidRPr="003458B1" w:rsidRDefault="00A421A3" w:rsidP="00A421A3">
      <w:r w:rsidRPr="003458B1">
        <w:t xml:space="preserve">In PY7, this program was divided into two components: equipment incentives and appliance recycling. Lighting measures contributed the majority of the gross energy savings for the program. </w:t>
      </w:r>
      <w:r w:rsidRPr="003458B1">
        <w:tab/>
      </w:r>
    </w:p>
    <w:p w:rsidR="00A421A3" w:rsidRPr="003458B1" w:rsidRDefault="00A421A3" w:rsidP="00A421A3"/>
    <w:p w:rsidR="00A421A3" w:rsidRPr="003458B1" w:rsidRDefault="00A421A3" w:rsidP="00A421A3">
      <w:r w:rsidRPr="003458B1">
        <w:t xml:space="preserve">Stratified ratio estimation was used to estimate savings for the program, and stratified random sampling was used for sample design by the evaluation contractor. For large lighting projects in the evaluation sample, Penelec’s evaluation contractor designed an on-site sampling strategy that targeted ±20% precision at the 90% confidence level for the physical counting of fixtures.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stratified based on energy savings at the measure level. The assumed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_Ref440266062 \h  \* MERGEFORMAT </w:instrText>
      </w:r>
      <w:r w:rsidRPr="003458B1">
        <w:fldChar w:fldCharType="separate"/>
      </w:r>
      <w:r w:rsidR="00037CB4" w:rsidRPr="00B81A2F">
        <w:rPr>
          <w:bCs/>
        </w:rPr>
        <w:t>Table A-60</w:t>
      </w:r>
      <w:r w:rsidRPr="003458B1">
        <w:fldChar w:fldCharType="end"/>
      </w:r>
      <w:r w:rsidRPr="003458B1">
        <w:t>. The data show that Penelec met the SWE Team requirements of 85%/15% confidence</w:t>
      </w:r>
      <w:r>
        <w:t>/</w:t>
      </w:r>
      <w:r w:rsidRPr="003458B1">
        <w:t>precision for both energy and peak demand.</w:t>
      </w:r>
    </w:p>
    <w:p w:rsidR="00A421A3" w:rsidRDefault="00A421A3" w:rsidP="00A421A3">
      <w:pPr>
        <w:spacing w:after="120"/>
        <w:ind w:left="360" w:hanging="360"/>
        <w:rPr>
          <w:rFonts w:ascii="Century Gothic" w:hAnsi="Century Gothic"/>
          <w:b/>
          <w:bCs/>
          <w:smallCaps/>
          <w:sz w:val="18"/>
          <w:szCs w:val="18"/>
        </w:rPr>
      </w:pPr>
    </w:p>
    <w:p w:rsidR="00A421A3" w:rsidRPr="003458B1" w:rsidRDefault="00A421A3" w:rsidP="00A421A3">
      <w:pPr>
        <w:spacing w:after="120"/>
        <w:jc w:val="center"/>
        <w:rPr>
          <w:rFonts w:ascii="Century Gothic" w:hAnsi="Century Gothic"/>
          <w:b/>
          <w:bCs/>
          <w:sz w:val="18"/>
          <w:szCs w:val="18"/>
        </w:rPr>
      </w:pPr>
      <w:bookmarkStart w:id="847" w:name="_Ref440266062"/>
      <w:bookmarkStart w:id="848" w:name="_Toc444269864"/>
      <w:bookmarkStart w:id="849" w:name="_Toc472472469"/>
      <w:bookmarkStart w:id="850" w:name="_Toc488741888"/>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60</w:t>
      </w:r>
      <w:r w:rsidRPr="003458B1">
        <w:rPr>
          <w:rFonts w:ascii="Century Gothic" w:hAnsi="Century Gothic"/>
          <w:b/>
          <w:bCs/>
          <w:sz w:val="18"/>
          <w:szCs w:val="18"/>
        </w:rPr>
        <w:fldChar w:fldCharType="end"/>
      </w:r>
      <w:bookmarkEnd w:id="847"/>
      <w:r w:rsidRPr="003458B1">
        <w:rPr>
          <w:rFonts w:ascii="Century Gothic" w:hAnsi="Century Gothic"/>
          <w:b/>
          <w:bCs/>
          <w:sz w:val="18"/>
          <w:szCs w:val="18"/>
        </w:rPr>
        <w:t>: Penelec PY7 Sampling Strate</w:t>
      </w:r>
      <w:r w:rsidR="00B27FAB">
        <w:rPr>
          <w:rFonts w:ascii="Century Gothic" w:hAnsi="Century Gothic"/>
          <w:b/>
          <w:bCs/>
          <w:sz w:val="18"/>
          <w:szCs w:val="18"/>
        </w:rPr>
        <w:t xml:space="preserve">gy and Relative Precision – </w:t>
      </w:r>
      <w:r w:rsidRPr="003458B1">
        <w:rPr>
          <w:rFonts w:ascii="Century Gothic" w:hAnsi="Century Gothic"/>
          <w:b/>
          <w:bCs/>
          <w:sz w:val="18"/>
          <w:szCs w:val="18"/>
        </w:rPr>
        <w:t>Small</w:t>
      </w:r>
      <w:r w:rsidR="00B27FAB">
        <w:rPr>
          <w:rFonts w:ascii="Century Gothic" w:hAnsi="Century Gothic"/>
          <w:b/>
          <w:bCs/>
          <w:sz w:val="18"/>
          <w:szCs w:val="18"/>
        </w:rPr>
        <w:t xml:space="preserve"> C/I</w:t>
      </w:r>
      <w:r w:rsidRPr="003458B1">
        <w:rPr>
          <w:rFonts w:ascii="Century Gothic" w:hAnsi="Century Gothic"/>
          <w:b/>
          <w:bCs/>
          <w:sz w:val="18"/>
          <w:szCs w:val="18"/>
        </w:rPr>
        <w:t xml:space="preserve"> Energy Efficient Equipment Program</w:t>
      </w:r>
      <w:bookmarkEnd w:id="848"/>
      <w:bookmarkEnd w:id="849"/>
      <w:bookmarkEnd w:id="850"/>
    </w:p>
    <w:tbl>
      <w:tblPr>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098"/>
        <w:gridCol w:w="1210"/>
        <w:gridCol w:w="1210"/>
        <w:gridCol w:w="1211"/>
        <w:gridCol w:w="1210"/>
        <w:gridCol w:w="1210"/>
        <w:gridCol w:w="1301"/>
      </w:tblGrid>
      <w:tr w:rsidR="00A874AC" w:rsidRPr="00116463" w:rsidTr="00116463">
        <w:trPr>
          <w:trHeight w:val="763"/>
          <w:tblHeader/>
        </w:trPr>
        <w:tc>
          <w:tcPr>
            <w:tcW w:w="2098" w:type="dxa"/>
            <w:shd w:val="clear" w:color="000000" w:fill="448A99"/>
            <w:vAlign w:val="bottom"/>
            <w:hideMark/>
          </w:tcPr>
          <w:p w:rsidR="00A421A3" w:rsidRPr="00116463" w:rsidRDefault="00A421A3" w:rsidP="004F0C61">
            <w:pPr>
              <w:jc w:val="left"/>
              <w:rPr>
                <w:b/>
                <w:bCs/>
                <w:color w:val="FFFFFF"/>
                <w:sz w:val="19"/>
                <w:szCs w:val="19"/>
              </w:rPr>
            </w:pPr>
            <w:r w:rsidRPr="00116463">
              <w:rPr>
                <w:b/>
                <w:bCs/>
                <w:color w:val="FFFFFF"/>
                <w:sz w:val="19"/>
                <w:szCs w:val="19"/>
              </w:rPr>
              <w:t>Stratum</w:t>
            </w:r>
          </w:p>
        </w:tc>
        <w:tc>
          <w:tcPr>
            <w:tcW w:w="1210"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Population</w:t>
            </w:r>
          </w:p>
        </w:tc>
        <w:tc>
          <w:tcPr>
            <w:tcW w:w="1210"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Target Levels of Confidence &amp; Precision</w:t>
            </w:r>
          </w:p>
        </w:tc>
        <w:tc>
          <w:tcPr>
            <w:tcW w:w="1211"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Target Sample Size</w:t>
            </w:r>
          </w:p>
        </w:tc>
        <w:tc>
          <w:tcPr>
            <w:tcW w:w="1210"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Achieved Sample Size</w:t>
            </w:r>
          </w:p>
        </w:tc>
        <w:tc>
          <w:tcPr>
            <w:tcW w:w="1210"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Relative Precision at 85% C.L. for Energy</w:t>
            </w:r>
          </w:p>
        </w:tc>
        <w:tc>
          <w:tcPr>
            <w:tcW w:w="1301"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Relative Precision at 85% C.L. for Demand</w:t>
            </w:r>
          </w:p>
        </w:tc>
      </w:tr>
      <w:tr w:rsidR="00A874AC" w:rsidRPr="00116463" w:rsidTr="00116463">
        <w:trPr>
          <w:trHeight w:val="346"/>
        </w:trPr>
        <w:tc>
          <w:tcPr>
            <w:tcW w:w="2098" w:type="dxa"/>
            <w:shd w:val="clear" w:color="000000" w:fill="D2EAF1"/>
            <w:noWrap/>
            <w:vAlign w:val="center"/>
          </w:tcPr>
          <w:p w:rsidR="00A421A3" w:rsidRPr="00116463" w:rsidRDefault="00A421A3" w:rsidP="004F0C61">
            <w:pPr>
              <w:jc w:val="left"/>
              <w:rPr>
                <w:bCs/>
                <w:color w:val="000000"/>
                <w:sz w:val="19"/>
                <w:szCs w:val="19"/>
              </w:rPr>
            </w:pPr>
            <w:r w:rsidRPr="00116463">
              <w:rPr>
                <w:bCs/>
                <w:color w:val="000000"/>
                <w:sz w:val="19"/>
                <w:szCs w:val="19"/>
              </w:rPr>
              <w:t>CFL kits – 1</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N/A</w:t>
            </w:r>
          </w:p>
        </w:tc>
        <w:tc>
          <w:tcPr>
            <w:tcW w:w="121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100.0%</w:t>
            </w:r>
          </w:p>
        </w:tc>
        <w:tc>
          <w:tcPr>
            <w:tcW w:w="130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100.0%</w:t>
            </w:r>
          </w:p>
        </w:tc>
      </w:tr>
      <w:tr w:rsidR="00E7173E" w:rsidRPr="00116463" w:rsidTr="00116463">
        <w:trPr>
          <w:trHeight w:val="346"/>
        </w:trPr>
        <w:tc>
          <w:tcPr>
            <w:tcW w:w="2098" w:type="dxa"/>
            <w:shd w:val="clear" w:color="auto" w:fill="auto"/>
            <w:noWrap/>
            <w:vAlign w:val="center"/>
          </w:tcPr>
          <w:p w:rsidR="00A421A3" w:rsidRPr="00116463" w:rsidRDefault="00A421A3" w:rsidP="004F0C61">
            <w:pPr>
              <w:jc w:val="left"/>
              <w:rPr>
                <w:bCs/>
                <w:color w:val="000000"/>
                <w:sz w:val="19"/>
                <w:szCs w:val="19"/>
              </w:rPr>
            </w:pPr>
            <w:r w:rsidRPr="00116463">
              <w:rPr>
                <w:bCs/>
                <w:color w:val="000000"/>
                <w:sz w:val="19"/>
                <w:szCs w:val="19"/>
              </w:rPr>
              <w:t>Lighting – certainty</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N/A</w:t>
            </w:r>
          </w:p>
        </w:tc>
        <w:tc>
          <w:tcPr>
            <w:tcW w:w="121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c>
          <w:tcPr>
            <w:tcW w:w="130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r>
      <w:tr w:rsidR="00A874AC" w:rsidRPr="00116463" w:rsidTr="00116463">
        <w:trPr>
          <w:trHeight w:val="346"/>
        </w:trPr>
        <w:tc>
          <w:tcPr>
            <w:tcW w:w="2098" w:type="dxa"/>
            <w:shd w:val="clear" w:color="000000" w:fill="D2EAF1"/>
            <w:noWrap/>
            <w:vAlign w:val="center"/>
          </w:tcPr>
          <w:p w:rsidR="00A421A3" w:rsidRPr="00116463" w:rsidRDefault="00A421A3" w:rsidP="004F0C61">
            <w:pPr>
              <w:jc w:val="left"/>
              <w:rPr>
                <w:bCs/>
                <w:color w:val="000000"/>
                <w:sz w:val="19"/>
                <w:szCs w:val="19"/>
              </w:rPr>
            </w:pPr>
            <w:r w:rsidRPr="00116463">
              <w:rPr>
                <w:bCs/>
                <w:color w:val="000000"/>
                <w:sz w:val="19"/>
                <w:szCs w:val="19"/>
              </w:rPr>
              <w:t>Lighting – 2</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32</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29.6%</w:t>
            </w:r>
          </w:p>
        </w:tc>
        <w:tc>
          <w:tcPr>
            <w:tcW w:w="121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5</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5</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29.6%</w:t>
            </w:r>
          </w:p>
        </w:tc>
        <w:tc>
          <w:tcPr>
            <w:tcW w:w="130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29.6%</w:t>
            </w:r>
          </w:p>
        </w:tc>
      </w:tr>
      <w:tr w:rsidR="00E7173E" w:rsidRPr="00116463" w:rsidTr="00116463">
        <w:trPr>
          <w:trHeight w:val="346"/>
        </w:trPr>
        <w:tc>
          <w:tcPr>
            <w:tcW w:w="2098" w:type="dxa"/>
            <w:shd w:val="clear" w:color="auto" w:fill="auto"/>
            <w:noWrap/>
            <w:vAlign w:val="center"/>
          </w:tcPr>
          <w:p w:rsidR="00A421A3" w:rsidRPr="00116463" w:rsidRDefault="00A421A3" w:rsidP="004F0C61">
            <w:pPr>
              <w:jc w:val="left"/>
              <w:rPr>
                <w:bCs/>
                <w:color w:val="000000"/>
                <w:sz w:val="19"/>
                <w:szCs w:val="19"/>
              </w:rPr>
            </w:pPr>
            <w:r w:rsidRPr="00116463">
              <w:rPr>
                <w:bCs/>
                <w:color w:val="000000"/>
                <w:sz w:val="19"/>
                <w:szCs w:val="19"/>
              </w:rPr>
              <w:t>Lighting – 3</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86</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28.3%</w:t>
            </w:r>
          </w:p>
        </w:tc>
        <w:tc>
          <w:tcPr>
            <w:tcW w:w="121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6</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6</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28.3%</w:t>
            </w:r>
          </w:p>
        </w:tc>
        <w:tc>
          <w:tcPr>
            <w:tcW w:w="130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28.3%</w:t>
            </w:r>
          </w:p>
        </w:tc>
      </w:tr>
      <w:tr w:rsidR="00A874AC" w:rsidRPr="00116463" w:rsidTr="00116463">
        <w:trPr>
          <w:trHeight w:val="346"/>
        </w:trPr>
        <w:tc>
          <w:tcPr>
            <w:tcW w:w="2098" w:type="dxa"/>
            <w:shd w:val="clear" w:color="000000" w:fill="D2EAF1"/>
            <w:noWrap/>
            <w:vAlign w:val="center"/>
          </w:tcPr>
          <w:p w:rsidR="00A421A3" w:rsidRPr="00116463" w:rsidRDefault="00A421A3" w:rsidP="004F0C61">
            <w:pPr>
              <w:jc w:val="left"/>
              <w:rPr>
                <w:bCs/>
                <w:color w:val="000000"/>
                <w:sz w:val="19"/>
                <w:szCs w:val="19"/>
              </w:rPr>
            </w:pPr>
            <w:r w:rsidRPr="00116463">
              <w:rPr>
                <w:bCs/>
                <w:color w:val="000000"/>
                <w:sz w:val="19"/>
                <w:szCs w:val="19"/>
              </w:rPr>
              <w:t>Lighting – 4</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470</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22.5%</w:t>
            </w:r>
          </w:p>
        </w:tc>
        <w:tc>
          <w:tcPr>
            <w:tcW w:w="121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10</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10</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22.5%</w:t>
            </w:r>
          </w:p>
        </w:tc>
        <w:tc>
          <w:tcPr>
            <w:tcW w:w="130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22.5%</w:t>
            </w:r>
          </w:p>
        </w:tc>
      </w:tr>
      <w:tr w:rsidR="00E7173E" w:rsidRPr="00116463" w:rsidTr="00116463">
        <w:trPr>
          <w:trHeight w:val="346"/>
        </w:trPr>
        <w:tc>
          <w:tcPr>
            <w:tcW w:w="2098" w:type="dxa"/>
            <w:shd w:val="clear" w:color="auto" w:fill="auto"/>
            <w:noWrap/>
            <w:vAlign w:val="center"/>
          </w:tcPr>
          <w:p w:rsidR="00A421A3" w:rsidRPr="00116463" w:rsidRDefault="00A421A3" w:rsidP="004F0C61">
            <w:pPr>
              <w:jc w:val="left"/>
              <w:rPr>
                <w:bCs/>
                <w:color w:val="000000"/>
                <w:sz w:val="19"/>
                <w:szCs w:val="19"/>
              </w:rPr>
            </w:pPr>
            <w:r w:rsidRPr="00116463">
              <w:rPr>
                <w:bCs/>
                <w:color w:val="000000"/>
                <w:sz w:val="19"/>
                <w:szCs w:val="19"/>
              </w:rPr>
              <w:t>Custom – certainty</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N/A</w:t>
            </w:r>
          </w:p>
        </w:tc>
        <w:tc>
          <w:tcPr>
            <w:tcW w:w="121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c>
          <w:tcPr>
            <w:tcW w:w="130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r>
      <w:tr w:rsidR="00A874AC" w:rsidRPr="00116463" w:rsidTr="00116463">
        <w:trPr>
          <w:trHeight w:val="346"/>
        </w:trPr>
        <w:tc>
          <w:tcPr>
            <w:tcW w:w="2098" w:type="dxa"/>
            <w:shd w:val="clear" w:color="000000" w:fill="D2EAF1"/>
            <w:noWrap/>
            <w:vAlign w:val="center"/>
          </w:tcPr>
          <w:p w:rsidR="00A421A3" w:rsidRPr="00116463" w:rsidRDefault="00A421A3" w:rsidP="004F0C61">
            <w:pPr>
              <w:jc w:val="left"/>
              <w:rPr>
                <w:bCs/>
                <w:color w:val="000000"/>
                <w:sz w:val="19"/>
                <w:szCs w:val="19"/>
              </w:rPr>
            </w:pPr>
            <w:r w:rsidRPr="00116463">
              <w:rPr>
                <w:bCs/>
                <w:color w:val="000000"/>
                <w:sz w:val="19"/>
                <w:szCs w:val="19"/>
              </w:rPr>
              <w:t>Custom – 2</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7</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43.0%</w:t>
            </w:r>
          </w:p>
        </w:tc>
        <w:tc>
          <w:tcPr>
            <w:tcW w:w="121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2</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2</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43.0%</w:t>
            </w:r>
          </w:p>
        </w:tc>
        <w:tc>
          <w:tcPr>
            <w:tcW w:w="130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43.0%</w:t>
            </w:r>
          </w:p>
        </w:tc>
      </w:tr>
      <w:tr w:rsidR="00E7173E" w:rsidRPr="00116463" w:rsidTr="00116463">
        <w:trPr>
          <w:trHeight w:val="346"/>
        </w:trPr>
        <w:tc>
          <w:tcPr>
            <w:tcW w:w="2098" w:type="dxa"/>
            <w:shd w:val="clear" w:color="auto" w:fill="auto"/>
            <w:noWrap/>
            <w:vAlign w:val="center"/>
          </w:tcPr>
          <w:p w:rsidR="00A421A3" w:rsidRPr="00116463" w:rsidRDefault="00A421A3" w:rsidP="004F0C61">
            <w:pPr>
              <w:jc w:val="left"/>
              <w:rPr>
                <w:bCs/>
                <w:color w:val="000000"/>
                <w:sz w:val="19"/>
                <w:szCs w:val="19"/>
              </w:rPr>
            </w:pPr>
            <w:r w:rsidRPr="00116463">
              <w:rPr>
                <w:bCs/>
                <w:color w:val="000000"/>
                <w:sz w:val="19"/>
                <w:szCs w:val="19"/>
              </w:rPr>
              <w:t>Custom – 3</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60</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23.7%</w:t>
            </w:r>
          </w:p>
        </w:tc>
        <w:tc>
          <w:tcPr>
            <w:tcW w:w="121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8</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8</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23.7%</w:t>
            </w:r>
          </w:p>
        </w:tc>
        <w:tc>
          <w:tcPr>
            <w:tcW w:w="130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23.7%</w:t>
            </w:r>
          </w:p>
        </w:tc>
      </w:tr>
      <w:tr w:rsidR="00A874AC" w:rsidRPr="00116463" w:rsidTr="00116463">
        <w:trPr>
          <w:trHeight w:val="346"/>
        </w:trPr>
        <w:tc>
          <w:tcPr>
            <w:tcW w:w="2098" w:type="dxa"/>
            <w:shd w:val="clear" w:color="000000" w:fill="D2EAF1"/>
            <w:noWrap/>
            <w:vAlign w:val="center"/>
          </w:tcPr>
          <w:p w:rsidR="00A421A3" w:rsidRPr="00116463" w:rsidRDefault="00A421A3" w:rsidP="004F0C61">
            <w:pPr>
              <w:jc w:val="left"/>
              <w:rPr>
                <w:bCs/>
                <w:color w:val="000000"/>
                <w:sz w:val="19"/>
                <w:szCs w:val="19"/>
              </w:rPr>
            </w:pPr>
            <w:r w:rsidRPr="00116463">
              <w:rPr>
                <w:bCs/>
                <w:color w:val="000000"/>
                <w:sz w:val="19"/>
                <w:szCs w:val="19"/>
              </w:rPr>
              <w:t>HVAC and DHW – 1</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2</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50.9%</w:t>
            </w:r>
          </w:p>
        </w:tc>
        <w:tc>
          <w:tcPr>
            <w:tcW w:w="121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w:t>
            </w:r>
          </w:p>
        </w:tc>
        <w:tc>
          <w:tcPr>
            <w:tcW w:w="121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50.9%</w:t>
            </w:r>
          </w:p>
        </w:tc>
        <w:tc>
          <w:tcPr>
            <w:tcW w:w="130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50.9%</w:t>
            </w:r>
          </w:p>
        </w:tc>
      </w:tr>
      <w:tr w:rsidR="00E7173E" w:rsidRPr="00116463" w:rsidTr="00116463">
        <w:trPr>
          <w:trHeight w:val="346"/>
        </w:trPr>
        <w:tc>
          <w:tcPr>
            <w:tcW w:w="2098" w:type="dxa"/>
            <w:shd w:val="clear" w:color="auto" w:fill="auto"/>
            <w:noWrap/>
            <w:vAlign w:val="center"/>
          </w:tcPr>
          <w:p w:rsidR="00A421A3" w:rsidRPr="00116463" w:rsidRDefault="00A421A3" w:rsidP="004F0C61">
            <w:pPr>
              <w:jc w:val="left"/>
              <w:rPr>
                <w:bCs/>
                <w:color w:val="000000"/>
                <w:sz w:val="19"/>
                <w:szCs w:val="19"/>
              </w:rPr>
            </w:pPr>
            <w:r w:rsidRPr="00116463">
              <w:rPr>
                <w:bCs/>
                <w:color w:val="000000"/>
                <w:sz w:val="19"/>
                <w:szCs w:val="19"/>
              </w:rPr>
              <w:t>HVAC and DHW – 2</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63</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71.4%</w:t>
            </w:r>
          </w:p>
        </w:tc>
        <w:tc>
          <w:tcPr>
            <w:tcW w:w="121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1</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1</w:t>
            </w:r>
          </w:p>
        </w:tc>
        <w:tc>
          <w:tcPr>
            <w:tcW w:w="121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71.4%</w:t>
            </w:r>
          </w:p>
        </w:tc>
        <w:tc>
          <w:tcPr>
            <w:tcW w:w="130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71.4%</w:t>
            </w:r>
          </w:p>
        </w:tc>
      </w:tr>
      <w:tr w:rsidR="00A874AC" w:rsidRPr="00116463" w:rsidTr="00116463">
        <w:trPr>
          <w:trHeight w:val="346"/>
        </w:trPr>
        <w:tc>
          <w:tcPr>
            <w:tcW w:w="2098" w:type="dxa"/>
            <w:shd w:val="clear" w:color="000000" w:fill="D2EAF1"/>
            <w:vAlign w:val="center"/>
          </w:tcPr>
          <w:p w:rsidR="00A421A3" w:rsidRPr="00116463" w:rsidRDefault="00A421A3" w:rsidP="004F0C61">
            <w:pPr>
              <w:jc w:val="left"/>
              <w:rPr>
                <w:bCs/>
                <w:color w:val="000000"/>
                <w:sz w:val="19"/>
                <w:szCs w:val="19"/>
              </w:rPr>
            </w:pPr>
            <w:r w:rsidRPr="00116463">
              <w:rPr>
                <w:bCs/>
                <w:color w:val="000000"/>
                <w:sz w:val="19"/>
                <w:szCs w:val="19"/>
              </w:rPr>
              <w:t>Appliance Turn-In – 1</w:t>
            </w:r>
          </w:p>
        </w:tc>
        <w:tc>
          <w:tcPr>
            <w:tcW w:w="1210" w:type="dxa"/>
            <w:shd w:val="clear" w:color="000000" w:fill="D2EAF1"/>
            <w:noWrap/>
            <w:vAlign w:val="center"/>
          </w:tcPr>
          <w:p w:rsidR="00A421A3" w:rsidRPr="00116463" w:rsidRDefault="00A421A3" w:rsidP="004F0C61">
            <w:pPr>
              <w:jc w:val="center"/>
              <w:rPr>
                <w:bCs/>
                <w:color w:val="000000"/>
                <w:sz w:val="19"/>
                <w:szCs w:val="19"/>
              </w:rPr>
            </w:pPr>
            <w:r w:rsidRPr="00116463">
              <w:rPr>
                <w:sz w:val="19"/>
                <w:szCs w:val="19"/>
              </w:rPr>
              <w:t>55</w:t>
            </w:r>
          </w:p>
        </w:tc>
        <w:tc>
          <w:tcPr>
            <w:tcW w:w="1210" w:type="dxa"/>
            <w:shd w:val="clear" w:color="000000" w:fill="D2EAF1"/>
            <w:noWrap/>
            <w:vAlign w:val="center"/>
          </w:tcPr>
          <w:p w:rsidR="00A421A3" w:rsidRPr="00116463" w:rsidRDefault="00A421A3" w:rsidP="004F0C61">
            <w:pPr>
              <w:jc w:val="center"/>
              <w:rPr>
                <w:bCs/>
                <w:color w:val="000000"/>
                <w:sz w:val="19"/>
                <w:szCs w:val="19"/>
              </w:rPr>
            </w:pPr>
            <w:r w:rsidRPr="00116463">
              <w:rPr>
                <w:sz w:val="19"/>
                <w:szCs w:val="19"/>
              </w:rPr>
              <w:t>71.3%</w:t>
            </w:r>
          </w:p>
        </w:tc>
        <w:tc>
          <w:tcPr>
            <w:tcW w:w="1211" w:type="dxa"/>
            <w:shd w:val="clear" w:color="000000" w:fill="D2EAF1"/>
            <w:noWrap/>
            <w:vAlign w:val="center"/>
          </w:tcPr>
          <w:p w:rsidR="00A421A3" w:rsidRPr="00116463" w:rsidRDefault="00A421A3" w:rsidP="004F0C61">
            <w:pPr>
              <w:jc w:val="center"/>
              <w:rPr>
                <w:bCs/>
                <w:color w:val="000000"/>
                <w:sz w:val="19"/>
                <w:szCs w:val="19"/>
              </w:rPr>
            </w:pPr>
            <w:r w:rsidRPr="00116463">
              <w:rPr>
                <w:sz w:val="19"/>
                <w:szCs w:val="19"/>
              </w:rPr>
              <w:t>1</w:t>
            </w:r>
          </w:p>
        </w:tc>
        <w:tc>
          <w:tcPr>
            <w:tcW w:w="1210" w:type="dxa"/>
            <w:shd w:val="clear" w:color="000000" w:fill="D2EAF1"/>
            <w:noWrap/>
            <w:vAlign w:val="center"/>
          </w:tcPr>
          <w:p w:rsidR="00A421A3" w:rsidRPr="00116463" w:rsidRDefault="00A421A3" w:rsidP="004F0C61">
            <w:pPr>
              <w:jc w:val="center"/>
              <w:rPr>
                <w:bCs/>
                <w:color w:val="000000"/>
                <w:sz w:val="19"/>
                <w:szCs w:val="19"/>
              </w:rPr>
            </w:pPr>
            <w:r w:rsidRPr="00116463">
              <w:rPr>
                <w:sz w:val="19"/>
                <w:szCs w:val="19"/>
              </w:rPr>
              <w:t>1</w:t>
            </w:r>
          </w:p>
        </w:tc>
        <w:tc>
          <w:tcPr>
            <w:tcW w:w="1210" w:type="dxa"/>
            <w:shd w:val="clear" w:color="000000" w:fill="D2EAF1"/>
            <w:noWrap/>
            <w:vAlign w:val="center"/>
          </w:tcPr>
          <w:p w:rsidR="00A421A3" w:rsidRPr="00116463" w:rsidRDefault="00A421A3" w:rsidP="004F0C61">
            <w:pPr>
              <w:jc w:val="center"/>
              <w:rPr>
                <w:bCs/>
                <w:color w:val="000000"/>
                <w:sz w:val="19"/>
                <w:szCs w:val="19"/>
              </w:rPr>
            </w:pPr>
            <w:r w:rsidRPr="00116463">
              <w:rPr>
                <w:sz w:val="19"/>
                <w:szCs w:val="19"/>
              </w:rPr>
              <w:t>71.3%</w:t>
            </w:r>
          </w:p>
        </w:tc>
        <w:tc>
          <w:tcPr>
            <w:tcW w:w="1301" w:type="dxa"/>
            <w:shd w:val="clear" w:color="000000" w:fill="D2EAF1"/>
            <w:noWrap/>
            <w:vAlign w:val="center"/>
          </w:tcPr>
          <w:p w:rsidR="00A421A3" w:rsidRPr="00116463" w:rsidRDefault="00A421A3" w:rsidP="004F0C61">
            <w:pPr>
              <w:jc w:val="center"/>
              <w:rPr>
                <w:bCs/>
                <w:color w:val="000000"/>
                <w:sz w:val="19"/>
                <w:szCs w:val="19"/>
              </w:rPr>
            </w:pPr>
            <w:r w:rsidRPr="00116463">
              <w:rPr>
                <w:sz w:val="19"/>
                <w:szCs w:val="19"/>
              </w:rPr>
              <w:t>71.3%</w:t>
            </w:r>
          </w:p>
        </w:tc>
      </w:tr>
      <w:tr w:rsidR="00E7173E" w:rsidRPr="00116463" w:rsidTr="00116463">
        <w:trPr>
          <w:trHeight w:val="346"/>
        </w:trPr>
        <w:tc>
          <w:tcPr>
            <w:tcW w:w="2098" w:type="dxa"/>
            <w:shd w:val="clear" w:color="auto" w:fill="auto"/>
            <w:vAlign w:val="center"/>
          </w:tcPr>
          <w:p w:rsidR="00A421A3" w:rsidRPr="00116463" w:rsidRDefault="00A421A3" w:rsidP="004F0C61">
            <w:pPr>
              <w:jc w:val="left"/>
              <w:rPr>
                <w:bCs/>
                <w:color w:val="000000"/>
                <w:sz w:val="19"/>
                <w:szCs w:val="19"/>
              </w:rPr>
            </w:pPr>
            <w:r w:rsidRPr="00116463">
              <w:rPr>
                <w:bCs/>
                <w:color w:val="000000"/>
                <w:sz w:val="19"/>
                <w:szCs w:val="19"/>
              </w:rPr>
              <w:t>Kitchen/appliances – 1</w:t>
            </w:r>
          </w:p>
        </w:tc>
        <w:tc>
          <w:tcPr>
            <w:tcW w:w="1210" w:type="dxa"/>
            <w:shd w:val="clear" w:color="auto" w:fill="auto"/>
            <w:noWrap/>
            <w:vAlign w:val="center"/>
          </w:tcPr>
          <w:p w:rsidR="00A421A3" w:rsidRPr="00116463" w:rsidRDefault="00A421A3" w:rsidP="004F0C61">
            <w:pPr>
              <w:jc w:val="center"/>
              <w:rPr>
                <w:bCs/>
                <w:color w:val="000000"/>
                <w:sz w:val="19"/>
                <w:szCs w:val="19"/>
              </w:rPr>
            </w:pPr>
            <w:r w:rsidRPr="00116463">
              <w:rPr>
                <w:sz w:val="19"/>
                <w:szCs w:val="19"/>
              </w:rPr>
              <w:t>18</w:t>
            </w:r>
          </w:p>
        </w:tc>
        <w:tc>
          <w:tcPr>
            <w:tcW w:w="1210" w:type="dxa"/>
            <w:shd w:val="clear" w:color="auto" w:fill="auto"/>
            <w:noWrap/>
            <w:vAlign w:val="center"/>
          </w:tcPr>
          <w:p w:rsidR="00A421A3" w:rsidRPr="00116463" w:rsidRDefault="00A421A3" w:rsidP="004F0C61">
            <w:pPr>
              <w:jc w:val="center"/>
              <w:rPr>
                <w:bCs/>
                <w:color w:val="000000"/>
                <w:sz w:val="19"/>
                <w:szCs w:val="19"/>
              </w:rPr>
            </w:pPr>
            <w:r w:rsidRPr="00116463">
              <w:rPr>
                <w:sz w:val="19"/>
                <w:szCs w:val="19"/>
              </w:rPr>
              <w:t>70.0%</w:t>
            </w:r>
          </w:p>
        </w:tc>
        <w:tc>
          <w:tcPr>
            <w:tcW w:w="1211" w:type="dxa"/>
            <w:shd w:val="clear" w:color="auto" w:fill="auto"/>
            <w:noWrap/>
            <w:vAlign w:val="center"/>
          </w:tcPr>
          <w:p w:rsidR="00A421A3" w:rsidRPr="00116463" w:rsidRDefault="00A421A3" w:rsidP="004F0C61">
            <w:pPr>
              <w:jc w:val="center"/>
              <w:rPr>
                <w:bCs/>
                <w:color w:val="000000"/>
                <w:sz w:val="19"/>
                <w:szCs w:val="19"/>
              </w:rPr>
            </w:pPr>
            <w:r w:rsidRPr="00116463">
              <w:rPr>
                <w:sz w:val="19"/>
                <w:szCs w:val="19"/>
              </w:rPr>
              <w:t>1</w:t>
            </w:r>
          </w:p>
        </w:tc>
        <w:tc>
          <w:tcPr>
            <w:tcW w:w="1210" w:type="dxa"/>
            <w:shd w:val="clear" w:color="auto" w:fill="auto"/>
            <w:noWrap/>
            <w:vAlign w:val="center"/>
          </w:tcPr>
          <w:p w:rsidR="00A421A3" w:rsidRPr="00116463" w:rsidRDefault="00A421A3" w:rsidP="004F0C61">
            <w:pPr>
              <w:jc w:val="center"/>
              <w:rPr>
                <w:bCs/>
                <w:color w:val="000000"/>
                <w:sz w:val="19"/>
                <w:szCs w:val="19"/>
              </w:rPr>
            </w:pPr>
            <w:r w:rsidRPr="00116463">
              <w:rPr>
                <w:sz w:val="19"/>
                <w:szCs w:val="19"/>
              </w:rPr>
              <w:t>1</w:t>
            </w:r>
          </w:p>
        </w:tc>
        <w:tc>
          <w:tcPr>
            <w:tcW w:w="1210" w:type="dxa"/>
            <w:shd w:val="clear" w:color="auto" w:fill="auto"/>
            <w:noWrap/>
            <w:vAlign w:val="center"/>
          </w:tcPr>
          <w:p w:rsidR="00A421A3" w:rsidRPr="00116463" w:rsidRDefault="00A421A3" w:rsidP="004F0C61">
            <w:pPr>
              <w:jc w:val="center"/>
              <w:rPr>
                <w:bCs/>
                <w:color w:val="000000"/>
                <w:sz w:val="19"/>
                <w:szCs w:val="19"/>
              </w:rPr>
            </w:pPr>
            <w:r w:rsidRPr="00116463">
              <w:rPr>
                <w:sz w:val="19"/>
                <w:szCs w:val="19"/>
              </w:rPr>
              <w:t>70.0%</w:t>
            </w:r>
          </w:p>
        </w:tc>
        <w:tc>
          <w:tcPr>
            <w:tcW w:w="1301" w:type="dxa"/>
            <w:shd w:val="clear" w:color="auto" w:fill="auto"/>
            <w:noWrap/>
            <w:vAlign w:val="center"/>
          </w:tcPr>
          <w:p w:rsidR="00A421A3" w:rsidRPr="00116463" w:rsidRDefault="00A421A3" w:rsidP="004F0C61">
            <w:pPr>
              <w:jc w:val="center"/>
              <w:rPr>
                <w:bCs/>
                <w:color w:val="000000"/>
                <w:sz w:val="19"/>
                <w:szCs w:val="19"/>
              </w:rPr>
            </w:pPr>
            <w:r w:rsidRPr="00116463">
              <w:rPr>
                <w:sz w:val="19"/>
                <w:szCs w:val="19"/>
              </w:rPr>
              <w:t>70.0%</w:t>
            </w:r>
          </w:p>
        </w:tc>
      </w:tr>
      <w:tr w:rsidR="00A874AC" w:rsidRPr="00116463" w:rsidTr="00116463">
        <w:trPr>
          <w:trHeight w:val="346"/>
        </w:trPr>
        <w:tc>
          <w:tcPr>
            <w:tcW w:w="2098" w:type="dxa"/>
            <w:shd w:val="clear" w:color="000000" w:fill="D2EAF1"/>
            <w:vAlign w:val="center"/>
          </w:tcPr>
          <w:p w:rsidR="00A421A3" w:rsidRPr="00116463" w:rsidRDefault="00A421A3" w:rsidP="004F0C61">
            <w:pPr>
              <w:jc w:val="left"/>
              <w:rPr>
                <w:bCs/>
                <w:color w:val="000000"/>
                <w:sz w:val="19"/>
                <w:szCs w:val="19"/>
              </w:rPr>
            </w:pPr>
            <w:r w:rsidRPr="00116463">
              <w:rPr>
                <w:b/>
                <w:bCs/>
                <w:color w:val="000000"/>
                <w:sz w:val="19"/>
                <w:szCs w:val="19"/>
              </w:rPr>
              <w:t>Program Total</w:t>
            </w:r>
          </w:p>
        </w:tc>
        <w:tc>
          <w:tcPr>
            <w:tcW w:w="1210"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793</w:t>
            </w:r>
          </w:p>
        </w:tc>
        <w:tc>
          <w:tcPr>
            <w:tcW w:w="1210"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13.9%</w:t>
            </w:r>
          </w:p>
        </w:tc>
        <w:tc>
          <w:tcPr>
            <w:tcW w:w="1211"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35</w:t>
            </w:r>
          </w:p>
        </w:tc>
        <w:tc>
          <w:tcPr>
            <w:tcW w:w="1210"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35</w:t>
            </w:r>
          </w:p>
        </w:tc>
        <w:tc>
          <w:tcPr>
            <w:tcW w:w="1210"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14.2%</w:t>
            </w:r>
          </w:p>
        </w:tc>
        <w:tc>
          <w:tcPr>
            <w:tcW w:w="1301"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14.9%</w:t>
            </w:r>
          </w:p>
        </w:tc>
      </w:tr>
    </w:tbl>
    <w:p w:rsidR="00A421A3" w:rsidRPr="003458B1" w:rsidRDefault="00A421A3" w:rsidP="00A421A3"/>
    <w:p w:rsidR="00A421A3" w:rsidRPr="003458B1" w:rsidRDefault="00A421A3" w:rsidP="008C7396">
      <w:pPr>
        <w:pStyle w:val="AppendixAHeading5"/>
      </w:pPr>
      <w:r w:rsidRPr="003458B1">
        <w:t>Small C/I Energy Efficient Buildings Program</w:t>
      </w:r>
    </w:p>
    <w:p w:rsidR="00A421A3" w:rsidRPr="003458B1" w:rsidRDefault="00A421A3" w:rsidP="00A421A3">
      <w:r w:rsidRPr="003458B1">
        <w:t>This was a new program in Phase II. The program includes two components: energy conservation kits delivered by mail to</w:t>
      </w:r>
      <w:r>
        <w:t xml:space="preserve"> non-residential customers and whole-building</w:t>
      </w:r>
      <w:r w:rsidRPr="003458B1">
        <w:t xml:space="preserve"> projects such as new construction, retro-commissioning, and building envelope improvements. Sampling and project-level gross impact evaluation methodologies for efficient equipment and building upgrade measures are identical to the methodology described for the Small </w:t>
      </w:r>
      <w:r w:rsidR="00B27FAB">
        <w:t xml:space="preserve">C/I </w:t>
      </w:r>
      <w:r>
        <w:t xml:space="preserve">Energy </w:t>
      </w:r>
      <w:r w:rsidRPr="003458B1">
        <w:t xml:space="preserve">Efficient Equipment Program above. The sample design strategy and the achieved precision values for energy and demand are shown in </w:t>
      </w:r>
      <w:r w:rsidRPr="003458B1">
        <w:fldChar w:fldCharType="begin"/>
      </w:r>
      <w:r w:rsidRPr="003458B1">
        <w:instrText xml:space="preserve"> REF _Ref440033099 \h  \* MERGEFORMAT </w:instrText>
      </w:r>
      <w:r w:rsidRPr="003458B1">
        <w:fldChar w:fldCharType="separate"/>
      </w:r>
      <w:r w:rsidR="00037CB4" w:rsidRPr="00B81A2F">
        <w:rPr>
          <w:bCs/>
        </w:rPr>
        <w:t>Table A-61</w:t>
      </w:r>
      <w:r w:rsidRPr="003458B1">
        <w:fldChar w:fldCharType="end"/>
      </w:r>
      <w:r w:rsidRPr="003458B1">
        <w:t>. The precision levels for energy</w:t>
      </w:r>
      <w:bookmarkStart w:id="851" w:name="_Toc410199423"/>
      <w:r w:rsidRPr="003458B1">
        <w:t xml:space="preserve"> met the SWE Team requirements detailed in the </w:t>
      </w:r>
      <w:r>
        <w:t>E</w:t>
      </w:r>
      <w:r w:rsidRPr="003458B1">
        <w:t xml:space="preserve">valuation </w:t>
      </w:r>
      <w:r w:rsidRPr="006D55B4">
        <w:t>Framework</w:t>
      </w:r>
      <w:r w:rsidRPr="003458B1">
        <w:t>.</w:t>
      </w:r>
    </w:p>
    <w:p w:rsidR="00A421A3" w:rsidRPr="003458B1" w:rsidRDefault="00A421A3" w:rsidP="00A421A3"/>
    <w:p w:rsidR="00A421A3" w:rsidRPr="003458B1" w:rsidRDefault="00A421A3" w:rsidP="00A421A3">
      <w:pPr>
        <w:spacing w:after="120"/>
        <w:jc w:val="center"/>
        <w:rPr>
          <w:rFonts w:ascii="Century Gothic" w:hAnsi="Century Gothic"/>
          <w:b/>
          <w:bCs/>
          <w:sz w:val="18"/>
          <w:szCs w:val="18"/>
        </w:rPr>
      </w:pPr>
      <w:bookmarkStart w:id="852" w:name="_Ref440033099"/>
      <w:bookmarkStart w:id="853" w:name="_Toc431462343"/>
      <w:bookmarkStart w:id="854" w:name="_Toc444269865"/>
      <w:bookmarkStart w:id="855" w:name="_Toc472472470"/>
      <w:bookmarkStart w:id="856" w:name="_Toc488741889"/>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61</w:t>
      </w:r>
      <w:r w:rsidRPr="003458B1">
        <w:rPr>
          <w:rFonts w:ascii="Century Gothic" w:hAnsi="Century Gothic"/>
          <w:b/>
          <w:bCs/>
          <w:sz w:val="18"/>
          <w:szCs w:val="18"/>
        </w:rPr>
        <w:fldChar w:fldCharType="end"/>
      </w:r>
      <w:bookmarkEnd w:id="852"/>
      <w:r w:rsidRPr="003458B1">
        <w:rPr>
          <w:rFonts w:ascii="Century Gothic" w:hAnsi="Century Gothic"/>
          <w:b/>
          <w:bCs/>
          <w:sz w:val="18"/>
          <w:szCs w:val="18"/>
        </w:rPr>
        <w:t>: Penelec’s PY7 Sampling Strategy and Relative Precision – Small C/I Energy Efficient Buildings Program</w:t>
      </w:r>
      <w:bookmarkEnd w:id="851"/>
      <w:bookmarkEnd w:id="853"/>
      <w:bookmarkEnd w:id="854"/>
      <w:bookmarkEnd w:id="855"/>
      <w:bookmarkEnd w:id="856"/>
    </w:p>
    <w:tbl>
      <w:tblPr>
        <w:tblW w:w="9293"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313"/>
        <w:gridCol w:w="1163"/>
        <w:gridCol w:w="1163"/>
        <w:gridCol w:w="1164"/>
        <w:gridCol w:w="1163"/>
        <w:gridCol w:w="1163"/>
        <w:gridCol w:w="1164"/>
      </w:tblGrid>
      <w:tr w:rsidR="00A874AC" w:rsidRPr="00116463" w:rsidTr="00116463">
        <w:trPr>
          <w:trHeight w:val="864"/>
          <w:tblHeader/>
        </w:trPr>
        <w:tc>
          <w:tcPr>
            <w:tcW w:w="231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116463" w:rsidRDefault="00A421A3" w:rsidP="004F0C61">
            <w:pPr>
              <w:rPr>
                <w:b/>
                <w:color w:val="FFFFFF"/>
                <w:sz w:val="19"/>
                <w:szCs w:val="19"/>
              </w:rPr>
            </w:pPr>
            <w:r w:rsidRPr="00116463">
              <w:rPr>
                <w:b/>
                <w:color w:val="FFFFFF"/>
                <w:sz w:val="19"/>
                <w:szCs w:val="19"/>
              </w:rPr>
              <w:t>Stratum</w:t>
            </w:r>
          </w:p>
        </w:tc>
        <w:tc>
          <w:tcPr>
            <w:tcW w:w="116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116463" w:rsidRDefault="00A421A3" w:rsidP="004F0C61">
            <w:pPr>
              <w:jc w:val="center"/>
              <w:rPr>
                <w:b/>
                <w:color w:val="FFFFFF"/>
                <w:sz w:val="19"/>
                <w:szCs w:val="19"/>
              </w:rPr>
            </w:pPr>
            <w:r w:rsidRPr="00116463">
              <w:rPr>
                <w:b/>
                <w:color w:val="FFFFFF"/>
                <w:sz w:val="19"/>
                <w:szCs w:val="19"/>
              </w:rPr>
              <w:t>Population</w:t>
            </w:r>
          </w:p>
        </w:tc>
        <w:tc>
          <w:tcPr>
            <w:tcW w:w="116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116463" w:rsidRDefault="00A421A3" w:rsidP="004F0C61">
            <w:pPr>
              <w:jc w:val="center"/>
              <w:rPr>
                <w:b/>
                <w:color w:val="FFFFFF"/>
                <w:sz w:val="19"/>
                <w:szCs w:val="19"/>
              </w:rPr>
            </w:pPr>
            <w:r w:rsidRPr="00116463">
              <w:rPr>
                <w:b/>
                <w:color w:val="FFFFFF"/>
                <w:sz w:val="19"/>
                <w:szCs w:val="19"/>
              </w:rPr>
              <w:t>Target Levels of Confidence &amp; Precision</w:t>
            </w:r>
          </w:p>
        </w:tc>
        <w:tc>
          <w:tcPr>
            <w:tcW w:w="1164"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116463" w:rsidRDefault="00A421A3" w:rsidP="004F0C61">
            <w:pPr>
              <w:jc w:val="center"/>
              <w:rPr>
                <w:b/>
                <w:color w:val="FFFFFF"/>
                <w:sz w:val="19"/>
                <w:szCs w:val="19"/>
              </w:rPr>
            </w:pPr>
            <w:r w:rsidRPr="00116463">
              <w:rPr>
                <w:b/>
                <w:color w:val="FFFFFF"/>
                <w:sz w:val="19"/>
                <w:szCs w:val="19"/>
              </w:rPr>
              <w:t>Target Sample Size</w:t>
            </w:r>
          </w:p>
        </w:tc>
        <w:tc>
          <w:tcPr>
            <w:tcW w:w="116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116463" w:rsidRDefault="00A421A3" w:rsidP="004F0C61">
            <w:pPr>
              <w:jc w:val="center"/>
              <w:rPr>
                <w:b/>
                <w:color w:val="FFFFFF"/>
                <w:sz w:val="19"/>
                <w:szCs w:val="19"/>
              </w:rPr>
            </w:pPr>
            <w:r w:rsidRPr="00116463">
              <w:rPr>
                <w:b/>
                <w:color w:val="FFFFFF"/>
                <w:sz w:val="19"/>
                <w:szCs w:val="19"/>
              </w:rPr>
              <w:t>Achieved Sample Size</w:t>
            </w:r>
          </w:p>
        </w:tc>
        <w:tc>
          <w:tcPr>
            <w:tcW w:w="116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116463" w:rsidRDefault="00A421A3" w:rsidP="004F0C61">
            <w:pPr>
              <w:jc w:val="center"/>
              <w:rPr>
                <w:b/>
                <w:color w:val="FFFFFF"/>
                <w:sz w:val="19"/>
                <w:szCs w:val="19"/>
              </w:rPr>
            </w:pPr>
            <w:r w:rsidRPr="00116463">
              <w:rPr>
                <w:b/>
                <w:color w:val="FFFFFF"/>
                <w:sz w:val="19"/>
                <w:szCs w:val="19"/>
              </w:rPr>
              <w:t>Relative Precision at 85% C.L. for Energy</w:t>
            </w:r>
          </w:p>
        </w:tc>
        <w:tc>
          <w:tcPr>
            <w:tcW w:w="1164"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116463" w:rsidRDefault="00A421A3" w:rsidP="004F0C61">
            <w:pPr>
              <w:jc w:val="center"/>
              <w:rPr>
                <w:b/>
                <w:color w:val="FFFFFF"/>
                <w:sz w:val="19"/>
                <w:szCs w:val="19"/>
              </w:rPr>
            </w:pPr>
            <w:r w:rsidRPr="00116463">
              <w:rPr>
                <w:b/>
                <w:color w:val="FFFFFF"/>
                <w:sz w:val="19"/>
                <w:szCs w:val="19"/>
              </w:rPr>
              <w:t>Relative Precision at 85% C.L. for Demand</w:t>
            </w:r>
          </w:p>
        </w:tc>
      </w:tr>
      <w:tr w:rsidR="00A874AC" w:rsidRPr="00116463" w:rsidTr="00116463">
        <w:trPr>
          <w:trHeight w:val="144"/>
        </w:trPr>
        <w:tc>
          <w:tcPr>
            <w:tcW w:w="2313" w:type="dxa"/>
            <w:tcBorders>
              <w:top w:val="single" w:sz="8" w:space="0" w:color="448A99"/>
            </w:tcBorders>
            <w:shd w:val="clear" w:color="auto" w:fill="D2EAF1"/>
            <w:noWrap/>
            <w:vAlign w:val="center"/>
          </w:tcPr>
          <w:p w:rsidR="00A421A3" w:rsidRPr="00116463" w:rsidRDefault="00A421A3" w:rsidP="004F0C61">
            <w:pPr>
              <w:jc w:val="left"/>
              <w:rPr>
                <w:color w:val="000000"/>
                <w:sz w:val="19"/>
                <w:szCs w:val="19"/>
              </w:rPr>
            </w:pPr>
            <w:r w:rsidRPr="00116463">
              <w:rPr>
                <w:bCs/>
                <w:sz w:val="19"/>
                <w:szCs w:val="19"/>
              </w:rPr>
              <w:t>CFL kits – 1</w:t>
            </w:r>
          </w:p>
        </w:tc>
        <w:tc>
          <w:tcPr>
            <w:tcW w:w="1163" w:type="dxa"/>
            <w:tcBorders>
              <w:top w:val="single" w:sz="8" w:space="0" w:color="448A99"/>
            </w:tcBorders>
            <w:shd w:val="clear" w:color="auto" w:fill="D2EAF1"/>
            <w:noWrap/>
            <w:vAlign w:val="center"/>
          </w:tcPr>
          <w:p w:rsidR="00A421A3" w:rsidRPr="00116463" w:rsidRDefault="00A421A3" w:rsidP="004F0C61">
            <w:pPr>
              <w:jc w:val="center"/>
              <w:rPr>
                <w:color w:val="000000"/>
                <w:sz w:val="19"/>
                <w:szCs w:val="19"/>
              </w:rPr>
            </w:pPr>
            <w:r w:rsidRPr="00116463">
              <w:rPr>
                <w:sz w:val="19"/>
                <w:szCs w:val="19"/>
              </w:rPr>
              <w:t>3,934</w:t>
            </w:r>
          </w:p>
        </w:tc>
        <w:tc>
          <w:tcPr>
            <w:tcW w:w="1163" w:type="dxa"/>
            <w:tcBorders>
              <w:top w:val="single" w:sz="8" w:space="0" w:color="448A99"/>
            </w:tcBorders>
            <w:shd w:val="clear" w:color="auto" w:fill="D2EAF1"/>
            <w:noWrap/>
            <w:vAlign w:val="center"/>
          </w:tcPr>
          <w:p w:rsidR="00A421A3" w:rsidRPr="00116463" w:rsidRDefault="00A421A3" w:rsidP="004F0C61">
            <w:pPr>
              <w:jc w:val="center"/>
              <w:rPr>
                <w:color w:val="000000"/>
                <w:sz w:val="19"/>
                <w:szCs w:val="19"/>
              </w:rPr>
            </w:pPr>
            <w:r w:rsidRPr="00116463">
              <w:rPr>
                <w:sz w:val="19"/>
                <w:szCs w:val="19"/>
              </w:rPr>
              <w:t>11.3%</w:t>
            </w:r>
          </w:p>
        </w:tc>
        <w:tc>
          <w:tcPr>
            <w:tcW w:w="1164" w:type="dxa"/>
            <w:tcBorders>
              <w:top w:val="single" w:sz="8" w:space="0" w:color="448A99"/>
            </w:tcBorders>
            <w:shd w:val="clear" w:color="auto" w:fill="D2EAF1"/>
            <w:noWrap/>
            <w:vAlign w:val="center"/>
          </w:tcPr>
          <w:p w:rsidR="00A421A3" w:rsidRPr="00116463" w:rsidRDefault="00A421A3" w:rsidP="004F0C61">
            <w:pPr>
              <w:jc w:val="center"/>
              <w:rPr>
                <w:color w:val="000000"/>
                <w:sz w:val="19"/>
                <w:szCs w:val="19"/>
              </w:rPr>
            </w:pPr>
            <w:r w:rsidRPr="00116463">
              <w:rPr>
                <w:sz w:val="19"/>
                <w:szCs w:val="19"/>
              </w:rPr>
              <w:t>40</w:t>
            </w:r>
          </w:p>
        </w:tc>
        <w:tc>
          <w:tcPr>
            <w:tcW w:w="1163" w:type="dxa"/>
            <w:tcBorders>
              <w:top w:val="single" w:sz="8" w:space="0" w:color="448A99"/>
            </w:tcBorders>
            <w:shd w:val="clear" w:color="auto" w:fill="D2EAF1"/>
            <w:noWrap/>
            <w:vAlign w:val="center"/>
          </w:tcPr>
          <w:p w:rsidR="00A421A3" w:rsidRPr="00116463" w:rsidRDefault="00A421A3" w:rsidP="004F0C61">
            <w:pPr>
              <w:jc w:val="center"/>
              <w:rPr>
                <w:color w:val="000000"/>
                <w:sz w:val="19"/>
                <w:szCs w:val="19"/>
              </w:rPr>
            </w:pPr>
            <w:r w:rsidRPr="00116463">
              <w:rPr>
                <w:sz w:val="19"/>
                <w:szCs w:val="19"/>
              </w:rPr>
              <w:t>65</w:t>
            </w:r>
          </w:p>
        </w:tc>
        <w:tc>
          <w:tcPr>
            <w:tcW w:w="1163" w:type="dxa"/>
            <w:tcBorders>
              <w:top w:val="single" w:sz="8" w:space="0" w:color="448A99"/>
            </w:tcBorders>
            <w:shd w:val="clear" w:color="auto" w:fill="D2EAF1"/>
            <w:noWrap/>
            <w:vAlign w:val="center"/>
          </w:tcPr>
          <w:p w:rsidR="00A421A3" w:rsidRPr="00116463" w:rsidRDefault="00A421A3" w:rsidP="004F0C61">
            <w:pPr>
              <w:jc w:val="center"/>
              <w:rPr>
                <w:color w:val="000000"/>
                <w:sz w:val="19"/>
                <w:szCs w:val="19"/>
              </w:rPr>
            </w:pPr>
            <w:r w:rsidRPr="00116463">
              <w:rPr>
                <w:sz w:val="19"/>
                <w:szCs w:val="19"/>
              </w:rPr>
              <w:t>8.9%</w:t>
            </w:r>
          </w:p>
        </w:tc>
        <w:tc>
          <w:tcPr>
            <w:tcW w:w="1164" w:type="dxa"/>
            <w:tcBorders>
              <w:top w:val="single" w:sz="8" w:space="0" w:color="448A99"/>
            </w:tcBorders>
            <w:shd w:val="clear" w:color="auto" w:fill="D2EAF1"/>
            <w:noWrap/>
            <w:vAlign w:val="center"/>
          </w:tcPr>
          <w:p w:rsidR="00A421A3" w:rsidRPr="00116463" w:rsidRDefault="00A421A3" w:rsidP="004F0C61">
            <w:pPr>
              <w:jc w:val="center"/>
              <w:rPr>
                <w:color w:val="000000"/>
                <w:sz w:val="19"/>
                <w:szCs w:val="19"/>
              </w:rPr>
            </w:pPr>
            <w:r w:rsidRPr="00116463">
              <w:rPr>
                <w:sz w:val="19"/>
                <w:szCs w:val="19"/>
              </w:rPr>
              <w:t>8.9%</w:t>
            </w:r>
          </w:p>
        </w:tc>
      </w:tr>
      <w:tr w:rsidR="00E7173E" w:rsidRPr="00116463" w:rsidTr="00116463">
        <w:trPr>
          <w:trHeight w:val="144"/>
        </w:trPr>
        <w:tc>
          <w:tcPr>
            <w:tcW w:w="2313" w:type="dxa"/>
            <w:shd w:val="clear" w:color="auto" w:fill="auto"/>
            <w:vAlign w:val="center"/>
          </w:tcPr>
          <w:p w:rsidR="00A421A3" w:rsidRPr="00116463" w:rsidRDefault="00A421A3" w:rsidP="004F0C61">
            <w:pPr>
              <w:jc w:val="left"/>
              <w:rPr>
                <w:color w:val="000000"/>
                <w:sz w:val="19"/>
                <w:szCs w:val="19"/>
              </w:rPr>
            </w:pPr>
            <w:r w:rsidRPr="00116463">
              <w:rPr>
                <w:bCs/>
                <w:sz w:val="19"/>
                <w:szCs w:val="19"/>
              </w:rPr>
              <w:t>Lighting – certainty</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144"/>
        </w:trPr>
        <w:tc>
          <w:tcPr>
            <w:tcW w:w="2313" w:type="dxa"/>
            <w:shd w:val="clear" w:color="auto" w:fill="D2EAF1"/>
            <w:vAlign w:val="center"/>
          </w:tcPr>
          <w:p w:rsidR="00A421A3" w:rsidRPr="00116463" w:rsidRDefault="00A421A3" w:rsidP="004F0C61">
            <w:pPr>
              <w:jc w:val="left"/>
              <w:rPr>
                <w:color w:val="000000"/>
                <w:sz w:val="19"/>
                <w:szCs w:val="19"/>
              </w:rPr>
            </w:pPr>
            <w:r w:rsidRPr="00116463">
              <w:rPr>
                <w:bCs/>
                <w:sz w:val="19"/>
                <w:szCs w:val="19"/>
              </w:rPr>
              <w:t>Lighting – 2</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144"/>
        </w:trPr>
        <w:tc>
          <w:tcPr>
            <w:tcW w:w="2313" w:type="dxa"/>
            <w:shd w:val="clear" w:color="auto" w:fill="auto"/>
            <w:vAlign w:val="center"/>
          </w:tcPr>
          <w:p w:rsidR="00A421A3" w:rsidRPr="00116463" w:rsidRDefault="00A421A3" w:rsidP="004F0C61">
            <w:pPr>
              <w:jc w:val="left"/>
              <w:rPr>
                <w:color w:val="000000"/>
                <w:sz w:val="19"/>
                <w:szCs w:val="19"/>
              </w:rPr>
            </w:pPr>
            <w:r w:rsidRPr="00116463">
              <w:rPr>
                <w:bCs/>
                <w:sz w:val="19"/>
                <w:szCs w:val="19"/>
              </w:rPr>
              <w:t>Lighting – 3</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144"/>
        </w:trPr>
        <w:tc>
          <w:tcPr>
            <w:tcW w:w="2313" w:type="dxa"/>
            <w:shd w:val="clear" w:color="auto" w:fill="D2EAF1"/>
            <w:vAlign w:val="center"/>
          </w:tcPr>
          <w:p w:rsidR="00A421A3" w:rsidRPr="00116463" w:rsidRDefault="00A421A3" w:rsidP="004F0C61">
            <w:pPr>
              <w:jc w:val="left"/>
              <w:rPr>
                <w:color w:val="000000"/>
                <w:sz w:val="19"/>
                <w:szCs w:val="19"/>
              </w:rPr>
            </w:pPr>
            <w:r w:rsidRPr="00116463">
              <w:rPr>
                <w:bCs/>
                <w:sz w:val="19"/>
                <w:szCs w:val="19"/>
              </w:rPr>
              <w:t>Lighting – 4</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144"/>
        </w:trPr>
        <w:tc>
          <w:tcPr>
            <w:tcW w:w="2313" w:type="dxa"/>
            <w:shd w:val="clear" w:color="auto" w:fill="auto"/>
            <w:vAlign w:val="center"/>
          </w:tcPr>
          <w:p w:rsidR="00A421A3" w:rsidRPr="00116463" w:rsidRDefault="00A421A3" w:rsidP="004F0C61">
            <w:pPr>
              <w:jc w:val="left"/>
              <w:rPr>
                <w:color w:val="000000"/>
                <w:sz w:val="19"/>
                <w:szCs w:val="19"/>
              </w:rPr>
            </w:pPr>
            <w:r w:rsidRPr="00116463">
              <w:rPr>
                <w:bCs/>
                <w:sz w:val="19"/>
                <w:szCs w:val="19"/>
              </w:rPr>
              <w:t>Custom – certainty</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144"/>
        </w:trPr>
        <w:tc>
          <w:tcPr>
            <w:tcW w:w="2313" w:type="dxa"/>
            <w:shd w:val="clear" w:color="auto" w:fill="D2EAF1"/>
            <w:vAlign w:val="center"/>
          </w:tcPr>
          <w:p w:rsidR="00A421A3" w:rsidRPr="00116463" w:rsidRDefault="00A421A3" w:rsidP="004F0C61">
            <w:pPr>
              <w:jc w:val="left"/>
              <w:rPr>
                <w:color w:val="000000"/>
                <w:sz w:val="19"/>
                <w:szCs w:val="19"/>
              </w:rPr>
            </w:pPr>
            <w:r w:rsidRPr="00116463">
              <w:rPr>
                <w:bCs/>
                <w:sz w:val="19"/>
                <w:szCs w:val="19"/>
              </w:rPr>
              <w:t>Custom – 2</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144"/>
        </w:trPr>
        <w:tc>
          <w:tcPr>
            <w:tcW w:w="2313" w:type="dxa"/>
            <w:shd w:val="clear" w:color="auto" w:fill="auto"/>
            <w:vAlign w:val="center"/>
          </w:tcPr>
          <w:p w:rsidR="00A421A3" w:rsidRPr="00116463" w:rsidRDefault="00A421A3" w:rsidP="004F0C61">
            <w:pPr>
              <w:jc w:val="left"/>
              <w:rPr>
                <w:color w:val="000000"/>
                <w:sz w:val="19"/>
                <w:szCs w:val="19"/>
              </w:rPr>
            </w:pPr>
            <w:r w:rsidRPr="00116463">
              <w:rPr>
                <w:bCs/>
                <w:sz w:val="19"/>
                <w:szCs w:val="19"/>
              </w:rPr>
              <w:t>Custom – 3</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13</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36.5%</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3</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3</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36.5%</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36.5%</w:t>
            </w:r>
          </w:p>
        </w:tc>
      </w:tr>
      <w:tr w:rsidR="00A874AC" w:rsidRPr="00116463" w:rsidTr="00116463">
        <w:trPr>
          <w:trHeight w:val="144"/>
        </w:trPr>
        <w:tc>
          <w:tcPr>
            <w:tcW w:w="2313" w:type="dxa"/>
            <w:shd w:val="clear" w:color="auto" w:fill="D2EAF1"/>
            <w:vAlign w:val="center"/>
          </w:tcPr>
          <w:p w:rsidR="00A421A3" w:rsidRPr="00116463" w:rsidRDefault="00A421A3" w:rsidP="004F0C61">
            <w:pPr>
              <w:jc w:val="left"/>
              <w:rPr>
                <w:color w:val="000000"/>
                <w:sz w:val="19"/>
                <w:szCs w:val="19"/>
              </w:rPr>
            </w:pPr>
            <w:r w:rsidRPr="00116463">
              <w:rPr>
                <w:bCs/>
                <w:sz w:val="19"/>
                <w:szCs w:val="19"/>
              </w:rPr>
              <w:t>HVAC and DHW – 1</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144"/>
        </w:trPr>
        <w:tc>
          <w:tcPr>
            <w:tcW w:w="2313" w:type="dxa"/>
            <w:shd w:val="clear" w:color="auto" w:fill="auto"/>
            <w:vAlign w:val="center"/>
          </w:tcPr>
          <w:p w:rsidR="00A421A3" w:rsidRPr="00116463" w:rsidRDefault="00A421A3" w:rsidP="004F0C61">
            <w:pPr>
              <w:jc w:val="left"/>
              <w:rPr>
                <w:color w:val="000000"/>
                <w:sz w:val="19"/>
                <w:szCs w:val="19"/>
              </w:rPr>
            </w:pPr>
            <w:r w:rsidRPr="00116463">
              <w:rPr>
                <w:bCs/>
                <w:sz w:val="19"/>
                <w:szCs w:val="19"/>
              </w:rPr>
              <w:t>HVAC and DHW – 2</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144"/>
        </w:trPr>
        <w:tc>
          <w:tcPr>
            <w:tcW w:w="2313" w:type="dxa"/>
            <w:shd w:val="clear" w:color="auto" w:fill="D2EAF1"/>
            <w:vAlign w:val="center"/>
          </w:tcPr>
          <w:p w:rsidR="00A421A3" w:rsidRPr="00116463" w:rsidRDefault="00A421A3" w:rsidP="004F0C61">
            <w:pPr>
              <w:jc w:val="left"/>
              <w:rPr>
                <w:color w:val="000000"/>
                <w:sz w:val="19"/>
                <w:szCs w:val="19"/>
              </w:rPr>
            </w:pPr>
            <w:r w:rsidRPr="00116463">
              <w:rPr>
                <w:bCs/>
                <w:sz w:val="19"/>
                <w:szCs w:val="19"/>
              </w:rPr>
              <w:t>Appliance Turn-In – 1</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144"/>
        </w:trPr>
        <w:tc>
          <w:tcPr>
            <w:tcW w:w="2313" w:type="dxa"/>
            <w:shd w:val="clear" w:color="auto" w:fill="auto"/>
            <w:vAlign w:val="center"/>
          </w:tcPr>
          <w:p w:rsidR="00A421A3" w:rsidRPr="00116463" w:rsidRDefault="00A421A3" w:rsidP="004F0C61">
            <w:pPr>
              <w:jc w:val="left"/>
              <w:rPr>
                <w:color w:val="000000"/>
                <w:sz w:val="19"/>
                <w:szCs w:val="19"/>
              </w:rPr>
            </w:pPr>
            <w:r w:rsidRPr="00116463">
              <w:rPr>
                <w:bCs/>
                <w:sz w:val="19"/>
                <w:szCs w:val="19"/>
              </w:rPr>
              <w:t>Kitchen/appliances – 1</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6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64"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144"/>
        </w:trPr>
        <w:tc>
          <w:tcPr>
            <w:tcW w:w="2313" w:type="dxa"/>
            <w:shd w:val="clear" w:color="auto" w:fill="D2EAF1"/>
            <w:vAlign w:val="center"/>
          </w:tcPr>
          <w:p w:rsidR="00A421A3" w:rsidRPr="00116463" w:rsidRDefault="00A421A3" w:rsidP="004F0C61">
            <w:pPr>
              <w:jc w:val="left"/>
              <w:rPr>
                <w:b/>
                <w:color w:val="000000"/>
                <w:sz w:val="19"/>
                <w:szCs w:val="19"/>
              </w:rPr>
            </w:pPr>
            <w:r w:rsidRPr="00116463">
              <w:rPr>
                <w:b/>
                <w:bCs/>
                <w:sz w:val="19"/>
                <w:szCs w:val="19"/>
              </w:rPr>
              <w:t>Program Total</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3,948</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10.4%</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44</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69</w:t>
            </w:r>
          </w:p>
        </w:tc>
        <w:tc>
          <w:tcPr>
            <w:tcW w:w="1163"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8.9%</w:t>
            </w:r>
          </w:p>
        </w:tc>
        <w:tc>
          <w:tcPr>
            <w:tcW w:w="1164"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8.5%</w:t>
            </w:r>
          </w:p>
        </w:tc>
      </w:tr>
    </w:tbl>
    <w:p w:rsidR="00A421A3" w:rsidRPr="003458B1" w:rsidRDefault="00A421A3" w:rsidP="00A421A3"/>
    <w:p w:rsidR="00A421A3" w:rsidRPr="003458B1" w:rsidRDefault="00A421A3" w:rsidP="008C7396">
      <w:pPr>
        <w:pStyle w:val="AppendixAHeading5"/>
      </w:pPr>
      <w:r w:rsidRPr="003458B1">
        <w:t>Large C/I Energy Efficient Equipment Program</w:t>
      </w:r>
    </w:p>
    <w:p w:rsidR="00A421A3" w:rsidRPr="003458B1" w:rsidRDefault="00A421A3" w:rsidP="00A421A3">
      <w:r w:rsidRPr="003458B1">
        <w:t xml:space="preserve">In PY7 this program consisted mostly of equipment upgrades and custom at industrial facilities. The evaluation contractor used stratified ratio estimation to estimate savings for the program and stratified random sampling for sample design.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was stratified based on energy savings at the measure level. The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_Ref433898312 \h  \* MERGEFORMAT </w:instrText>
      </w:r>
      <w:r w:rsidRPr="003458B1">
        <w:fldChar w:fldCharType="separate"/>
      </w:r>
      <w:r w:rsidR="00037CB4" w:rsidRPr="00B81A2F">
        <w:rPr>
          <w:bCs/>
        </w:rPr>
        <w:t>Table A-62</w:t>
      </w:r>
      <w:r w:rsidRPr="003458B1">
        <w:fldChar w:fldCharType="end"/>
      </w:r>
      <w:r w:rsidRPr="003458B1">
        <w:t>. The data show that Penelec met the SWE Team requirements of 85%/15% confidence</w:t>
      </w:r>
      <w:r>
        <w:t>/</w:t>
      </w:r>
      <w:r w:rsidRPr="003458B1">
        <w:t>precision for energy and peak demand for this program.</w:t>
      </w:r>
    </w:p>
    <w:p w:rsidR="00A421A3" w:rsidRPr="003458B1" w:rsidRDefault="00A421A3" w:rsidP="00A421A3"/>
    <w:p w:rsidR="00A421A3" w:rsidRPr="003458B1" w:rsidRDefault="00A421A3" w:rsidP="00A421A3">
      <w:pPr>
        <w:spacing w:after="120"/>
        <w:jc w:val="center"/>
        <w:rPr>
          <w:rFonts w:ascii="Century Gothic" w:hAnsi="Century Gothic"/>
          <w:b/>
          <w:bCs/>
          <w:sz w:val="18"/>
          <w:szCs w:val="18"/>
        </w:rPr>
      </w:pPr>
      <w:bookmarkStart w:id="857" w:name="_Ref433898312"/>
      <w:bookmarkStart w:id="858" w:name="_Toc410199424"/>
      <w:bookmarkStart w:id="859" w:name="_Toc431462344"/>
      <w:bookmarkStart w:id="860" w:name="_Toc444269866"/>
      <w:bookmarkStart w:id="861" w:name="_Toc472472471"/>
      <w:bookmarkStart w:id="862" w:name="_Toc488741890"/>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62</w:t>
      </w:r>
      <w:r w:rsidRPr="003458B1">
        <w:rPr>
          <w:rFonts w:ascii="Century Gothic" w:hAnsi="Century Gothic"/>
          <w:b/>
          <w:bCs/>
          <w:sz w:val="18"/>
          <w:szCs w:val="18"/>
        </w:rPr>
        <w:fldChar w:fldCharType="end"/>
      </w:r>
      <w:bookmarkEnd w:id="857"/>
      <w:r w:rsidRPr="003458B1">
        <w:rPr>
          <w:rFonts w:ascii="Century Gothic" w:hAnsi="Century Gothic"/>
          <w:b/>
          <w:bCs/>
          <w:sz w:val="18"/>
          <w:szCs w:val="18"/>
        </w:rPr>
        <w:t>: Penelec’s PY7 Sampling Strategy and Relative Precision – Large C/I Energy Efficient Equipment Program</w:t>
      </w:r>
      <w:bookmarkEnd w:id="858"/>
      <w:bookmarkEnd w:id="859"/>
      <w:bookmarkEnd w:id="860"/>
      <w:bookmarkEnd w:id="861"/>
      <w:bookmarkEnd w:id="862"/>
    </w:p>
    <w:tbl>
      <w:tblPr>
        <w:tblW w:w="927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80"/>
        <w:gridCol w:w="1215"/>
        <w:gridCol w:w="1215"/>
        <w:gridCol w:w="1215"/>
        <w:gridCol w:w="1215"/>
        <w:gridCol w:w="1215"/>
        <w:gridCol w:w="1215"/>
      </w:tblGrid>
      <w:tr w:rsidR="00A874AC" w:rsidRPr="00116463" w:rsidTr="00116463">
        <w:trPr>
          <w:trHeight w:val="1025"/>
          <w:tblHeader/>
        </w:trPr>
        <w:tc>
          <w:tcPr>
            <w:tcW w:w="1980" w:type="dxa"/>
            <w:shd w:val="clear" w:color="000000" w:fill="448A99"/>
            <w:vAlign w:val="bottom"/>
            <w:hideMark/>
          </w:tcPr>
          <w:p w:rsidR="00A421A3" w:rsidRPr="00116463" w:rsidRDefault="00A421A3" w:rsidP="004F0C61">
            <w:pPr>
              <w:rPr>
                <w:b/>
                <w:bCs/>
                <w:color w:val="FFFFFF"/>
                <w:sz w:val="19"/>
                <w:szCs w:val="19"/>
              </w:rPr>
            </w:pPr>
            <w:r w:rsidRPr="00116463">
              <w:rPr>
                <w:b/>
                <w:bCs/>
                <w:color w:val="FFFFFF"/>
                <w:sz w:val="19"/>
                <w:szCs w:val="19"/>
              </w:rPr>
              <w:t>Stratum</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Population</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Target Levels of Confidence &amp; Precision</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Target Sample Size</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Achieved Sample Size</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Relative Precision at 85% C.L. for Energy</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Relative Precision at 85% C.L. for Demand</w:t>
            </w:r>
          </w:p>
        </w:tc>
      </w:tr>
      <w:tr w:rsidR="00A874AC" w:rsidRPr="00116463" w:rsidTr="00116463">
        <w:trPr>
          <w:trHeight w:val="288"/>
        </w:trPr>
        <w:tc>
          <w:tcPr>
            <w:tcW w:w="1980" w:type="dxa"/>
            <w:shd w:val="clear" w:color="000000" w:fill="D2EAF1"/>
            <w:noWrap/>
            <w:vAlign w:val="center"/>
          </w:tcPr>
          <w:p w:rsidR="00A421A3" w:rsidRPr="00116463" w:rsidRDefault="00A421A3" w:rsidP="004F0C61">
            <w:pPr>
              <w:rPr>
                <w:bCs/>
                <w:color w:val="000000"/>
                <w:sz w:val="19"/>
                <w:szCs w:val="19"/>
              </w:rPr>
            </w:pPr>
            <w:r w:rsidRPr="00116463">
              <w:rPr>
                <w:sz w:val="19"/>
                <w:szCs w:val="19"/>
              </w:rPr>
              <w:t>CFL kits – 1</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N/A</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100.0%</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100.0%</w:t>
            </w:r>
          </w:p>
        </w:tc>
      </w:tr>
      <w:tr w:rsidR="00E7173E" w:rsidRPr="00116463" w:rsidTr="00116463">
        <w:trPr>
          <w:trHeight w:val="288"/>
        </w:trPr>
        <w:tc>
          <w:tcPr>
            <w:tcW w:w="1980" w:type="dxa"/>
            <w:shd w:val="clear" w:color="auto" w:fill="auto"/>
            <w:noWrap/>
            <w:vAlign w:val="center"/>
          </w:tcPr>
          <w:p w:rsidR="00A421A3" w:rsidRPr="00116463" w:rsidRDefault="00A421A3" w:rsidP="004F0C61">
            <w:pPr>
              <w:rPr>
                <w:bCs/>
                <w:color w:val="000000"/>
                <w:sz w:val="19"/>
                <w:szCs w:val="19"/>
              </w:rPr>
            </w:pPr>
            <w:r w:rsidRPr="00116463">
              <w:rPr>
                <w:sz w:val="19"/>
                <w:szCs w:val="19"/>
              </w:rPr>
              <w:t>Lighting – certainty</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4</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4</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4</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r>
      <w:tr w:rsidR="00A874AC" w:rsidRPr="00116463" w:rsidTr="00116463">
        <w:trPr>
          <w:trHeight w:val="288"/>
        </w:trPr>
        <w:tc>
          <w:tcPr>
            <w:tcW w:w="1980" w:type="dxa"/>
            <w:shd w:val="clear" w:color="000000" w:fill="D2EAF1"/>
            <w:noWrap/>
            <w:vAlign w:val="center"/>
          </w:tcPr>
          <w:p w:rsidR="00A421A3" w:rsidRPr="00116463" w:rsidRDefault="00A421A3" w:rsidP="004F0C61">
            <w:pPr>
              <w:rPr>
                <w:bCs/>
                <w:color w:val="000000"/>
                <w:sz w:val="19"/>
                <w:szCs w:val="19"/>
              </w:rPr>
            </w:pPr>
            <w:r w:rsidRPr="00116463">
              <w:rPr>
                <w:sz w:val="19"/>
                <w:szCs w:val="19"/>
              </w:rPr>
              <w:t>Lighting – 2</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5</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64.4%</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64.4%</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64.4%</w:t>
            </w:r>
          </w:p>
        </w:tc>
      </w:tr>
      <w:tr w:rsidR="00E7173E" w:rsidRPr="00116463" w:rsidTr="00116463">
        <w:trPr>
          <w:trHeight w:val="288"/>
        </w:trPr>
        <w:tc>
          <w:tcPr>
            <w:tcW w:w="1980" w:type="dxa"/>
            <w:shd w:val="clear" w:color="auto" w:fill="auto"/>
            <w:noWrap/>
            <w:vAlign w:val="center"/>
          </w:tcPr>
          <w:p w:rsidR="00A421A3" w:rsidRPr="00116463" w:rsidRDefault="00A421A3" w:rsidP="004F0C61">
            <w:pPr>
              <w:rPr>
                <w:bCs/>
                <w:color w:val="000000"/>
                <w:sz w:val="19"/>
                <w:szCs w:val="19"/>
              </w:rPr>
            </w:pPr>
            <w:r w:rsidRPr="00116463">
              <w:rPr>
                <w:sz w:val="19"/>
                <w:szCs w:val="19"/>
              </w:rPr>
              <w:t>Lighting – 3</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17</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47.8%</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2</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2</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47.8%</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47.8%</w:t>
            </w:r>
          </w:p>
        </w:tc>
      </w:tr>
      <w:tr w:rsidR="00A874AC" w:rsidRPr="00116463" w:rsidTr="00116463">
        <w:trPr>
          <w:trHeight w:val="288"/>
        </w:trPr>
        <w:tc>
          <w:tcPr>
            <w:tcW w:w="1980" w:type="dxa"/>
            <w:shd w:val="clear" w:color="000000" w:fill="D2EAF1"/>
            <w:noWrap/>
            <w:vAlign w:val="center"/>
          </w:tcPr>
          <w:p w:rsidR="00A421A3" w:rsidRPr="00116463" w:rsidRDefault="00A421A3" w:rsidP="004F0C61">
            <w:pPr>
              <w:rPr>
                <w:bCs/>
                <w:color w:val="000000"/>
                <w:sz w:val="19"/>
                <w:szCs w:val="19"/>
              </w:rPr>
            </w:pPr>
            <w:r w:rsidRPr="00116463">
              <w:rPr>
                <w:sz w:val="19"/>
                <w:szCs w:val="19"/>
              </w:rPr>
              <w:t>Lighting – 4</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92</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35.2%</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4</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4</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35.2%</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35.2%</w:t>
            </w:r>
          </w:p>
        </w:tc>
      </w:tr>
      <w:tr w:rsidR="00E7173E" w:rsidRPr="00116463" w:rsidTr="00116463">
        <w:trPr>
          <w:trHeight w:val="288"/>
        </w:trPr>
        <w:tc>
          <w:tcPr>
            <w:tcW w:w="1980" w:type="dxa"/>
            <w:shd w:val="clear" w:color="auto" w:fill="auto"/>
            <w:noWrap/>
            <w:vAlign w:val="center"/>
          </w:tcPr>
          <w:p w:rsidR="00A421A3" w:rsidRPr="00116463" w:rsidRDefault="00A421A3" w:rsidP="004F0C61">
            <w:pPr>
              <w:rPr>
                <w:bCs/>
                <w:color w:val="000000"/>
                <w:sz w:val="19"/>
                <w:szCs w:val="19"/>
              </w:rPr>
            </w:pPr>
            <w:r w:rsidRPr="00116463">
              <w:rPr>
                <w:sz w:val="19"/>
                <w:szCs w:val="19"/>
              </w:rPr>
              <w:t>Custom – certainty</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7</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7</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5</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17.2%</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17.2%</w:t>
            </w:r>
          </w:p>
        </w:tc>
      </w:tr>
      <w:tr w:rsidR="00A874AC" w:rsidRPr="00116463" w:rsidTr="00116463">
        <w:trPr>
          <w:trHeight w:val="288"/>
        </w:trPr>
        <w:tc>
          <w:tcPr>
            <w:tcW w:w="1980" w:type="dxa"/>
            <w:shd w:val="clear" w:color="000000" w:fill="D2EAF1"/>
            <w:noWrap/>
            <w:vAlign w:val="center"/>
          </w:tcPr>
          <w:p w:rsidR="00A421A3" w:rsidRPr="00116463" w:rsidRDefault="00A421A3" w:rsidP="004F0C61">
            <w:pPr>
              <w:rPr>
                <w:bCs/>
                <w:color w:val="000000"/>
                <w:sz w:val="19"/>
                <w:szCs w:val="19"/>
              </w:rPr>
            </w:pPr>
            <w:r w:rsidRPr="00116463">
              <w:rPr>
                <w:sz w:val="19"/>
                <w:szCs w:val="19"/>
              </w:rPr>
              <w:t>Custom- – 2</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11</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68.6%</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1</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68.6%</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68.6%</w:t>
            </w:r>
          </w:p>
        </w:tc>
      </w:tr>
      <w:tr w:rsidR="00E7173E" w:rsidRPr="00116463" w:rsidTr="00116463">
        <w:trPr>
          <w:trHeight w:val="288"/>
        </w:trPr>
        <w:tc>
          <w:tcPr>
            <w:tcW w:w="1980" w:type="dxa"/>
            <w:shd w:val="clear" w:color="auto" w:fill="auto"/>
            <w:noWrap/>
            <w:vAlign w:val="center"/>
          </w:tcPr>
          <w:p w:rsidR="00A421A3" w:rsidRPr="00116463" w:rsidRDefault="00A421A3" w:rsidP="004F0C61">
            <w:pPr>
              <w:rPr>
                <w:bCs/>
                <w:color w:val="000000"/>
                <w:sz w:val="19"/>
                <w:szCs w:val="19"/>
              </w:rPr>
            </w:pPr>
            <w:r w:rsidRPr="00116463">
              <w:rPr>
                <w:sz w:val="19"/>
                <w:szCs w:val="19"/>
              </w:rPr>
              <w:t>Custom – 3</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23</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38.8%</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3</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3</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38.8%</w:t>
            </w:r>
          </w:p>
        </w:tc>
        <w:tc>
          <w:tcPr>
            <w:tcW w:w="1215"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38.8%</w:t>
            </w:r>
          </w:p>
        </w:tc>
      </w:tr>
      <w:tr w:rsidR="00A874AC" w:rsidRPr="00116463" w:rsidTr="00116463">
        <w:trPr>
          <w:trHeight w:val="288"/>
        </w:trPr>
        <w:tc>
          <w:tcPr>
            <w:tcW w:w="1980" w:type="dxa"/>
            <w:shd w:val="clear" w:color="000000" w:fill="D2EAF1"/>
            <w:noWrap/>
            <w:vAlign w:val="center"/>
          </w:tcPr>
          <w:p w:rsidR="00A421A3" w:rsidRPr="00116463" w:rsidRDefault="00A421A3" w:rsidP="004F0C61">
            <w:pPr>
              <w:rPr>
                <w:b/>
                <w:bCs/>
                <w:iCs/>
                <w:color w:val="000000"/>
                <w:sz w:val="19"/>
                <w:szCs w:val="19"/>
              </w:rPr>
            </w:pPr>
            <w:r w:rsidRPr="00116463">
              <w:rPr>
                <w:sz w:val="19"/>
                <w:szCs w:val="19"/>
              </w:rPr>
              <w:t>HVAC and DHW – 1</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3</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58.8%</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58.8%</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58.8%</w:t>
            </w:r>
          </w:p>
        </w:tc>
      </w:tr>
      <w:tr w:rsidR="00E7173E" w:rsidRPr="00116463" w:rsidTr="00116463">
        <w:trPr>
          <w:trHeight w:val="288"/>
        </w:trPr>
        <w:tc>
          <w:tcPr>
            <w:tcW w:w="1980" w:type="dxa"/>
            <w:shd w:val="clear" w:color="auto" w:fill="auto"/>
            <w:noWrap/>
            <w:vAlign w:val="center"/>
          </w:tcPr>
          <w:p w:rsidR="00A421A3" w:rsidRPr="00116463" w:rsidRDefault="00A421A3" w:rsidP="004F0C61">
            <w:pPr>
              <w:rPr>
                <w:sz w:val="19"/>
                <w:szCs w:val="19"/>
              </w:rPr>
            </w:pPr>
            <w:r w:rsidRPr="00116463">
              <w:rPr>
                <w:sz w:val="19"/>
                <w:szCs w:val="19"/>
              </w:rPr>
              <w:t>HVAC and DHW – 2</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1980" w:type="dxa"/>
            <w:shd w:val="clear" w:color="000000" w:fill="D2EAF1"/>
            <w:noWrap/>
            <w:vAlign w:val="center"/>
          </w:tcPr>
          <w:p w:rsidR="00A421A3" w:rsidRPr="00116463" w:rsidRDefault="00A421A3" w:rsidP="004F0C61">
            <w:pPr>
              <w:rPr>
                <w:sz w:val="19"/>
                <w:szCs w:val="19"/>
              </w:rPr>
            </w:pPr>
            <w:r w:rsidRPr="00116463">
              <w:rPr>
                <w:sz w:val="19"/>
                <w:szCs w:val="19"/>
              </w:rPr>
              <w:t>Appliance Turn-In – 1</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288"/>
        </w:trPr>
        <w:tc>
          <w:tcPr>
            <w:tcW w:w="1980" w:type="dxa"/>
            <w:shd w:val="clear" w:color="auto" w:fill="auto"/>
            <w:noWrap/>
            <w:vAlign w:val="center"/>
          </w:tcPr>
          <w:p w:rsidR="00A421A3" w:rsidRPr="00116463" w:rsidRDefault="00A421A3" w:rsidP="004F0C61">
            <w:pPr>
              <w:rPr>
                <w:sz w:val="19"/>
                <w:szCs w:val="19"/>
              </w:rPr>
            </w:pPr>
            <w:r w:rsidRPr="00116463">
              <w:rPr>
                <w:sz w:val="19"/>
                <w:szCs w:val="19"/>
              </w:rPr>
              <w:t>Kitchen/appliances – 1</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1980" w:type="dxa"/>
            <w:shd w:val="clear" w:color="000000" w:fill="D2EAF1"/>
            <w:noWrap/>
            <w:vAlign w:val="center"/>
          </w:tcPr>
          <w:p w:rsidR="00A421A3" w:rsidRPr="00116463" w:rsidRDefault="00A421A3" w:rsidP="004F0C61">
            <w:pPr>
              <w:rPr>
                <w:sz w:val="19"/>
                <w:szCs w:val="19"/>
              </w:rPr>
            </w:pPr>
            <w:r w:rsidRPr="00116463">
              <w:rPr>
                <w:b/>
                <w:sz w:val="19"/>
                <w:szCs w:val="19"/>
              </w:rPr>
              <w:t>Program Total</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162</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11.4%</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23</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21</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12.9%</w:t>
            </w:r>
          </w:p>
        </w:tc>
        <w:tc>
          <w:tcPr>
            <w:tcW w:w="1215"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12.9%</w:t>
            </w:r>
          </w:p>
        </w:tc>
      </w:tr>
    </w:tbl>
    <w:p w:rsidR="00116463" w:rsidRPr="00116463" w:rsidRDefault="00116463" w:rsidP="00116463"/>
    <w:p w:rsidR="00A421A3" w:rsidRPr="003458B1" w:rsidRDefault="00A421A3" w:rsidP="008C7396">
      <w:pPr>
        <w:pStyle w:val="AppendixAHeading5"/>
      </w:pPr>
      <w:r w:rsidRPr="003458B1">
        <w:t>Large C/I Energy Efficient Buildings Program</w:t>
      </w:r>
    </w:p>
    <w:p w:rsidR="00A421A3" w:rsidRPr="003458B1" w:rsidRDefault="00A421A3" w:rsidP="00A421A3">
      <w:r w:rsidRPr="00192FEC">
        <w:t>This was a new program</w:t>
      </w:r>
      <w:r w:rsidRPr="003458B1">
        <w:t xml:space="preserve"> in Phase II. The program includes two components: energy conservation kits delivered by mail to</w:t>
      </w:r>
      <w:r>
        <w:t xml:space="preserve"> non-residential customers and </w:t>
      </w:r>
      <w:r w:rsidRPr="003458B1">
        <w:t>whole-buildin</w:t>
      </w:r>
      <w:r>
        <w:t>g</w:t>
      </w:r>
      <w:r w:rsidRPr="003458B1">
        <w:t xml:space="preserve"> projects such as new construction, retro-commissioning, and building envelope improvements. However, no kits were distributed in PY7. Sampling and project-level gross impact evaluation methodologies for efficient equipment and building upgrade measures are identical to the methodology described for the Small</w:t>
      </w:r>
      <w:r w:rsidR="00B27FAB">
        <w:t xml:space="preserve"> C/I</w:t>
      </w:r>
      <w:r w:rsidRPr="003458B1">
        <w:t xml:space="preserve"> </w:t>
      </w:r>
      <w:r>
        <w:t xml:space="preserve">Energy </w:t>
      </w:r>
      <w:r w:rsidRPr="003458B1">
        <w:t xml:space="preserve">Efficient Equipment Program above. The sample design strategy and the achieved precision values for energy and demand are shown in </w:t>
      </w:r>
      <w:r w:rsidRPr="003458B1">
        <w:fldChar w:fldCharType="begin"/>
      </w:r>
      <w:r w:rsidRPr="003458B1">
        <w:instrText xml:space="preserve"> REF _Ref440033139 \h  \* MERGEFORMAT </w:instrText>
      </w:r>
      <w:r w:rsidRPr="003458B1">
        <w:fldChar w:fldCharType="separate"/>
      </w:r>
      <w:r w:rsidR="00037CB4" w:rsidRPr="00B81A2F">
        <w:rPr>
          <w:bCs/>
        </w:rPr>
        <w:t>Table A-63</w:t>
      </w:r>
      <w:r w:rsidRPr="003458B1">
        <w:fldChar w:fldCharType="end"/>
      </w:r>
      <w:r w:rsidRPr="003458B1">
        <w:t>. The precision levels for energy and for demand met the SWE Team requirements.</w:t>
      </w:r>
    </w:p>
    <w:p w:rsidR="00A421A3" w:rsidRPr="003458B1" w:rsidRDefault="00A421A3" w:rsidP="00A421A3"/>
    <w:p w:rsidR="00A421A3" w:rsidRPr="003458B1" w:rsidRDefault="00A421A3" w:rsidP="00A421A3">
      <w:pPr>
        <w:spacing w:after="120"/>
        <w:jc w:val="center"/>
        <w:rPr>
          <w:rFonts w:ascii="Century Gothic" w:hAnsi="Century Gothic"/>
          <w:b/>
          <w:bCs/>
          <w:sz w:val="18"/>
          <w:szCs w:val="18"/>
        </w:rPr>
      </w:pPr>
      <w:bookmarkStart w:id="863" w:name="_Ref440033139"/>
      <w:bookmarkStart w:id="864" w:name="_Toc410199425"/>
      <w:bookmarkStart w:id="865" w:name="_Toc431462345"/>
      <w:bookmarkStart w:id="866" w:name="_Toc444269867"/>
      <w:bookmarkStart w:id="867" w:name="_Toc472472472"/>
      <w:bookmarkStart w:id="868" w:name="_Toc488741891"/>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63</w:t>
      </w:r>
      <w:r w:rsidRPr="003458B1">
        <w:rPr>
          <w:rFonts w:ascii="Century Gothic" w:hAnsi="Century Gothic"/>
          <w:b/>
          <w:bCs/>
          <w:sz w:val="18"/>
          <w:szCs w:val="18"/>
        </w:rPr>
        <w:fldChar w:fldCharType="end"/>
      </w:r>
      <w:bookmarkEnd w:id="863"/>
      <w:r w:rsidRPr="003458B1">
        <w:rPr>
          <w:rFonts w:ascii="Century Gothic" w:hAnsi="Century Gothic"/>
          <w:b/>
          <w:bCs/>
          <w:sz w:val="18"/>
          <w:szCs w:val="18"/>
        </w:rPr>
        <w:t>: Penelec’s PY7 Sampling Strategy and Relative Precision – Large C/I Energy Efficient Buildings Program</w:t>
      </w:r>
      <w:bookmarkEnd w:id="864"/>
      <w:bookmarkEnd w:id="865"/>
      <w:bookmarkEnd w:id="866"/>
      <w:bookmarkEnd w:id="867"/>
      <w:bookmarkEnd w:id="868"/>
    </w:p>
    <w:tbl>
      <w:tblPr>
        <w:tblW w:w="926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215"/>
        <w:gridCol w:w="1215"/>
        <w:gridCol w:w="1215"/>
        <w:gridCol w:w="1215"/>
        <w:gridCol w:w="1215"/>
        <w:gridCol w:w="1215"/>
      </w:tblGrid>
      <w:tr w:rsidR="00A874AC" w:rsidRPr="00116463" w:rsidTr="00116463">
        <w:trPr>
          <w:trHeight w:val="827"/>
          <w:tblHeader/>
        </w:trPr>
        <w:tc>
          <w:tcPr>
            <w:tcW w:w="1975" w:type="dxa"/>
            <w:shd w:val="clear" w:color="000000" w:fill="448A99"/>
            <w:vAlign w:val="bottom"/>
            <w:hideMark/>
          </w:tcPr>
          <w:p w:rsidR="00A421A3" w:rsidRPr="00116463" w:rsidRDefault="00A421A3" w:rsidP="004F0C61">
            <w:pPr>
              <w:jc w:val="left"/>
              <w:rPr>
                <w:b/>
                <w:bCs/>
                <w:color w:val="FFFFFF"/>
                <w:sz w:val="19"/>
                <w:szCs w:val="19"/>
              </w:rPr>
            </w:pPr>
            <w:r w:rsidRPr="00116463">
              <w:rPr>
                <w:b/>
                <w:bCs/>
                <w:color w:val="FFFFFF"/>
                <w:sz w:val="19"/>
                <w:szCs w:val="19"/>
              </w:rPr>
              <w:t>Stratum</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Population</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Target Levels of Confidence &amp; Precision</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Target Sample Size</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Achieved Sample Size</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Relative Precision at 85% C.L. for Energy</w:t>
            </w:r>
          </w:p>
        </w:tc>
        <w:tc>
          <w:tcPr>
            <w:tcW w:w="1215"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Relative Precision at 85% C.L. for Demand</w:t>
            </w:r>
          </w:p>
        </w:tc>
      </w:tr>
      <w:tr w:rsidR="00A874AC" w:rsidRPr="00116463" w:rsidTr="00116463">
        <w:trPr>
          <w:trHeight w:val="288"/>
        </w:trPr>
        <w:tc>
          <w:tcPr>
            <w:tcW w:w="1975" w:type="dxa"/>
            <w:shd w:val="clear" w:color="000000" w:fill="D2EAF1"/>
            <w:noWrap/>
            <w:vAlign w:val="center"/>
          </w:tcPr>
          <w:p w:rsidR="00A421A3" w:rsidRPr="00116463" w:rsidRDefault="00A421A3" w:rsidP="004F0C61">
            <w:pPr>
              <w:rPr>
                <w:bCs/>
                <w:color w:val="000000"/>
                <w:sz w:val="19"/>
                <w:szCs w:val="19"/>
              </w:rPr>
            </w:pPr>
            <w:r w:rsidRPr="00116463">
              <w:rPr>
                <w:sz w:val="19"/>
                <w:szCs w:val="19"/>
              </w:rPr>
              <w:t>CFL kits – 1</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N/A</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0.0%</w:t>
            </w:r>
          </w:p>
        </w:tc>
        <w:tc>
          <w:tcPr>
            <w:tcW w:w="1215"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0.0%</w:t>
            </w:r>
          </w:p>
        </w:tc>
      </w:tr>
      <w:tr w:rsidR="00E7173E" w:rsidRPr="00116463" w:rsidTr="00116463">
        <w:trPr>
          <w:trHeight w:val="288"/>
        </w:trPr>
        <w:tc>
          <w:tcPr>
            <w:tcW w:w="1975" w:type="dxa"/>
            <w:shd w:val="clear" w:color="auto" w:fill="auto"/>
            <w:vAlign w:val="center"/>
          </w:tcPr>
          <w:p w:rsidR="00A421A3" w:rsidRPr="00116463" w:rsidRDefault="00A421A3" w:rsidP="004F0C61">
            <w:pPr>
              <w:rPr>
                <w:b/>
                <w:bCs/>
                <w:color w:val="000000"/>
                <w:sz w:val="19"/>
                <w:szCs w:val="19"/>
              </w:rPr>
            </w:pPr>
            <w:r w:rsidRPr="00116463">
              <w:rPr>
                <w:sz w:val="19"/>
                <w:szCs w:val="19"/>
              </w:rPr>
              <w:t>Lighting – certainty</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1975" w:type="dxa"/>
            <w:shd w:val="clear" w:color="auto" w:fill="D2EAF1"/>
            <w:vAlign w:val="center"/>
          </w:tcPr>
          <w:p w:rsidR="00A421A3" w:rsidRPr="00116463" w:rsidRDefault="00A421A3" w:rsidP="004F0C61">
            <w:pPr>
              <w:rPr>
                <w:sz w:val="19"/>
                <w:szCs w:val="19"/>
              </w:rPr>
            </w:pPr>
            <w:r w:rsidRPr="00116463">
              <w:rPr>
                <w:sz w:val="19"/>
                <w:szCs w:val="19"/>
              </w:rPr>
              <w:t>Lighting – 2</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288"/>
        </w:trPr>
        <w:tc>
          <w:tcPr>
            <w:tcW w:w="1975" w:type="dxa"/>
            <w:shd w:val="clear" w:color="auto" w:fill="auto"/>
            <w:vAlign w:val="center"/>
          </w:tcPr>
          <w:p w:rsidR="00A421A3" w:rsidRPr="00116463" w:rsidRDefault="00A421A3" w:rsidP="004F0C61">
            <w:pPr>
              <w:rPr>
                <w:sz w:val="19"/>
                <w:szCs w:val="19"/>
              </w:rPr>
            </w:pPr>
            <w:r w:rsidRPr="00116463">
              <w:rPr>
                <w:sz w:val="19"/>
                <w:szCs w:val="19"/>
              </w:rPr>
              <w:t>Lighting – 3</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1975" w:type="dxa"/>
            <w:shd w:val="clear" w:color="auto" w:fill="D2EAF1"/>
            <w:vAlign w:val="center"/>
          </w:tcPr>
          <w:p w:rsidR="00A421A3" w:rsidRPr="00116463" w:rsidRDefault="00A421A3" w:rsidP="004F0C61">
            <w:pPr>
              <w:rPr>
                <w:sz w:val="19"/>
                <w:szCs w:val="19"/>
              </w:rPr>
            </w:pPr>
            <w:r w:rsidRPr="00116463">
              <w:rPr>
                <w:sz w:val="19"/>
                <w:szCs w:val="19"/>
              </w:rPr>
              <w:t>Lighting – 4</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288"/>
        </w:trPr>
        <w:tc>
          <w:tcPr>
            <w:tcW w:w="1975" w:type="dxa"/>
            <w:shd w:val="clear" w:color="auto" w:fill="auto"/>
            <w:vAlign w:val="center"/>
          </w:tcPr>
          <w:p w:rsidR="00A421A3" w:rsidRPr="00116463" w:rsidRDefault="00A421A3" w:rsidP="004F0C61">
            <w:pPr>
              <w:rPr>
                <w:sz w:val="19"/>
                <w:szCs w:val="19"/>
              </w:rPr>
            </w:pPr>
            <w:r w:rsidRPr="00116463">
              <w:rPr>
                <w:sz w:val="19"/>
                <w:szCs w:val="19"/>
              </w:rPr>
              <w:t>Custom – certainty</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1</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1</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1</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1975" w:type="dxa"/>
            <w:shd w:val="clear" w:color="auto" w:fill="D2EAF1"/>
            <w:vAlign w:val="center"/>
          </w:tcPr>
          <w:p w:rsidR="00A421A3" w:rsidRPr="00116463" w:rsidRDefault="00A421A3" w:rsidP="004F0C61">
            <w:pPr>
              <w:rPr>
                <w:sz w:val="19"/>
                <w:szCs w:val="19"/>
              </w:rPr>
            </w:pPr>
            <w:r w:rsidRPr="00116463">
              <w:rPr>
                <w:sz w:val="19"/>
                <w:szCs w:val="19"/>
              </w:rPr>
              <w:t>Custom – 2</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2</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50.9%</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50.9%</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50.9%</w:t>
            </w:r>
          </w:p>
        </w:tc>
      </w:tr>
      <w:tr w:rsidR="00E7173E" w:rsidRPr="00116463" w:rsidTr="00116463">
        <w:trPr>
          <w:trHeight w:val="288"/>
        </w:trPr>
        <w:tc>
          <w:tcPr>
            <w:tcW w:w="1975" w:type="dxa"/>
            <w:shd w:val="clear" w:color="auto" w:fill="auto"/>
            <w:vAlign w:val="center"/>
          </w:tcPr>
          <w:p w:rsidR="00A421A3" w:rsidRPr="00116463" w:rsidRDefault="00A421A3" w:rsidP="004F0C61">
            <w:pPr>
              <w:rPr>
                <w:sz w:val="19"/>
                <w:szCs w:val="19"/>
              </w:rPr>
            </w:pPr>
            <w:r w:rsidRPr="00116463">
              <w:rPr>
                <w:sz w:val="19"/>
                <w:szCs w:val="19"/>
              </w:rPr>
              <w:t>Custom – 3</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5</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39.4%</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2</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2</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39.4%</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39.4%</w:t>
            </w:r>
          </w:p>
        </w:tc>
      </w:tr>
      <w:tr w:rsidR="00A874AC" w:rsidRPr="00116463" w:rsidTr="00116463">
        <w:trPr>
          <w:trHeight w:val="288"/>
        </w:trPr>
        <w:tc>
          <w:tcPr>
            <w:tcW w:w="1975" w:type="dxa"/>
            <w:shd w:val="clear" w:color="auto" w:fill="D2EAF1"/>
            <w:vAlign w:val="center"/>
          </w:tcPr>
          <w:p w:rsidR="00A421A3" w:rsidRPr="00116463" w:rsidRDefault="00A421A3" w:rsidP="004F0C61">
            <w:pPr>
              <w:rPr>
                <w:sz w:val="19"/>
                <w:szCs w:val="19"/>
              </w:rPr>
            </w:pPr>
            <w:r w:rsidRPr="00116463">
              <w:rPr>
                <w:sz w:val="19"/>
                <w:szCs w:val="19"/>
              </w:rPr>
              <w:t>HVAC and DHW – 1</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288"/>
        </w:trPr>
        <w:tc>
          <w:tcPr>
            <w:tcW w:w="1975" w:type="dxa"/>
            <w:shd w:val="clear" w:color="auto" w:fill="auto"/>
            <w:vAlign w:val="center"/>
          </w:tcPr>
          <w:p w:rsidR="00A421A3" w:rsidRPr="00116463" w:rsidRDefault="00A421A3" w:rsidP="004F0C61">
            <w:pPr>
              <w:rPr>
                <w:sz w:val="19"/>
                <w:szCs w:val="19"/>
              </w:rPr>
            </w:pPr>
            <w:r w:rsidRPr="00116463">
              <w:rPr>
                <w:sz w:val="19"/>
                <w:szCs w:val="19"/>
              </w:rPr>
              <w:t>HVAC and DHW – 2</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1975" w:type="dxa"/>
            <w:shd w:val="clear" w:color="auto" w:fill="D2EAF1"/>
            <w:vAlign w:val="center"/>
          </w:tcPr>
          <w:p w:rsidR="00A421A3" w:rsidRPr="00116463" w:rsidRDefault="00A421A3" w:rsidP="004F0C61">
            <w:pPr>
              <w:rPr>
                <w:sz w:val="19"/>
                <w:szCs w:val="19"/>
              </w:rPr>
            </w:pPr>
            <w:r w:rsidRPr="00116463">
              <w:rPr>
                <w:sz w:val="19"/>
                <w:szCs w:val="19"/>
              </w:rPr>
              <w:t>Appliance Turn-In – 1</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288"/>
        </w:trPr>
        <w:tc>
          <w:tcPr>
            <w:tcW w:w="1975" w:type="dxa"/>
            <w:shd w:val="clear" w:color="auto" w:fill="auto"/>
            <w:vAlign w:val="center"/>
          </w:tcPr>
          <w:p w:rsidR="00A421A3" w:rsidRPr="00116463" w:rsidRDefault="00A421A3" w:rsidP="004F0C61">
            <w:pPr>
              <w:rPr>
                <w:sz w:val="19"/>
                <w:szCs w:val="19"/>
              </w:rPr>
            </w:pPr>
            <w:r w:rsidRPr="00116463">
              <w:rPr>
                <w:sz w:val="19"/>
                <w:szCs w:val="19"/>
              </w:rPr>
              <w:t>Kitchen/appliances – 1</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15"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1975" w:type="dxa"/>
            <w:shd w:val="clear" w:color="auto" w:fill="D2EAF1"/>
            <w:vAlign w:val="center"/>
          </w:tcPr>
          <w:p w:rsidR="00A421A3" w:rsidRPr="00116463" w:rsidRDefault="00A421A3" w:rsidP="004F0C61">
            <w:pPr>
              <w:rPr>
                <w:sz w:val="19"/>
                <w:szCs w:val="19"/>
              </w:rPr>
            </w:pPr>
            <w:r w:rsidRPr="00116463">
              <w:rPr>
                <w:b/>
                <w:sz w:val="19"/>
                <w:szCs w:val="19"/>
              </w:rPr>
              <w:t>Program Total</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8</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13.4%</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4</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4</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13.7%</w:t>
            </w:r>
          </w:p>
        </w:tc>
        <w:tc>
          <w:tcPr>
            <w:tcW w:w="1215" w:type="dxa"/>
            <w:shd w:val="clear" w:color="auto" w:fill="D2EAF1"/>
            <w:noWrap/>
            <w:vAlign w:val="center"/>
          </w:tcPr>
          <w:p w:rsidR="00A421A3" w:rsidRPr="00116463" w:rsidRDefault="00A421A3" w:rsidP="004F0C61">
            <w:pPr>
              <w:jc w:val="center"/>
              <w:rPr>
                <w:b/>
                <w:bCs/>
                <w:color w:val="000000"/>
                <w:sz w:val="19"/>
                <w:szCs w:val="19"/>
              </w:rPr>
            </w:pPr>
            <w:r w:rsidRPr="00116463">
              <w:rPr>
                <w:b/>
                <w:sz w:val="19"/>
                <w:szCs w:val="19"/>
              </w:rPr>
              <w:t>12.9%</w:t>
            </w:r>
          </w:p>
        </w:tc>
      </w:tr>
    </w:tbl>
    <w:p w:rsidR="0014308C" w:rsidRPr="003458B1" w:rsidRDefault="0014308C" w:rsidP="00A421A3"/>
    <w:p w:rsidR="00A421A3" w:rsidRPr="003458B1" w:rsidRDefault="00A421A3" w:rsidP="008C7396">
      <w:pPr>
        <w:pStyle w:val="AppendixAHeading5"/>
      </w:pPr>
      <w:r w:rsidRPr="003458B1">
        <w:t>Government and Institutional Program</w:t>
      </w:r>
    </w:p>
    <w:p w:rsidR="00A421A3" w:rsidRDefault="00A421A3" w:rsidP="00A421A3">
      <w:pPr>
        <w:rPr>
          <w:rFonts w:ascii="Century Gothic" w:hAnsi="Century Gothic"/>
          <w:b/>
          <w:bCs/>
          <w:sz w:val="18"/>
          <w:szCs w:val="18"/>
        </w:rPr>
      </w:pPr>
      <w:r w:rsidRPr="003458B1">
        <w:t xml:space="preserve">This program had three categorical components in PY7: equipment incentives, appliance recycling (new for Phase II), and conservation kits to multifamily establishments. </w:t>
      </w:r>
      <w:r>
        <w:t>D</w:t>
      </w:r>
      <w:r w:rsidRPr="003458B1">
        <w:t xml:space="preserve">etailed information </w:t>
      </w:r>
      <w:r>
        <w:t>on</w:t>
      </w:r>
      <w:r w:rsidRPr="003458B1">
        <w:t xml:space="preserve"> the sample design and the achieved precision values for each stratum are </w:t>
      </w:r>
      <w:r w:rsidRPr="00B27FAB">
        <w:rPr>
          <w:rFonts w:asciiTheme="minorHAnsi" w:hAnsiTheme="minorHAnsi"/>
        </w:rPr>
        <w:t xml:space="preserve">shown in </w:t>
      </w:r>
      <w:r w:rsidR="00B27FAB" w:rsidRPr="00B27FAB">
        <w:rPr>
          <w:rFonts w:asciiTheme="minorHAnsi" w:hAnsiTheme="minorHAnsi"/>
        </w:rPr>
        <w:fldChar w:fldCharType="begin"/>
      </w:r>
      <w:r w:rsidR="00B27FAB" w:rsidRPr="00B27FAB">
        <w:rPr>
          <w:rFonts w:asciiTheme="minorHAnsi" w:hAnsiTheme="minorHAnsi"/>
        </w:rPr>
        <w:instrText xml:space="preserve"> REF _Ref473458027 \h  \* MERGEFORMAT </w:instrText>
      </w:r>
      <w:r w:rsidR="00B27FAB" w:rsidRPr="00B27FAB">
        <w:rPr>
          <w:rFonts w:asciiTheme="minorHAnsi" w:hAnsiTheme="minorHAnsi"/>
        </w:rPr>
      </w:r>
      <w:r w:rsidR="00B27FAB" w:rsidRPr="00B27FAB">
        <w:rPr>
          <w:rFonts w:asciiTheme="minorHAnsi" w:hAnsiTheme="minorHAnsi"/>
        </w:rPr>
        <w:fldChar w:fldCharType="separate"/>
      </w:r>
      <w:r w:rsidR="00037CB4" w:rsidRPr="00B81A2F">
        <w:rPr>
          <w:rFonts w:asciiTheme="minorHAnsi" w:hAnsiTheme="minorHAnsi"/>
          <w:bCs/>
        </w:rPr>
        <w:t>Table A-64</w:t>
      </w:r>
      <w:r w:rsidR="00B27FAB" w:rsidRPr="00B27FAB">
        <w:rPr>
          <w:rFonts w:asciiTheme="minorHAnsi" w:hAnsiTheme="minorHAnsi"/>
        </w:rPr>
        <w:fldChar w:fldCharType="end"/>
      </w:r>
      <w:r w:rsidRPr="003458B1">
        <w:t>. The precision levels for energy met the SWE Team requirements, but demand precision was slightly over 15%. This is permissible in Phase II.</w:t>
      </w:r>
      <w:bookmarkStart w:id="869" w:name="_Ref440266200"/>
      <w:bookmarkStart w:id="870" w:name="_Toc410199426"/>
      <w:bookmarkStart w:id="871" w:name="_Toc431462346"/>
      <w:bookmarkStart w:id="872" w:name="_Toc444269868"/>
    </w:p>
    <w:p w:rsidR="00A421A3" w:rsidRPr="0014308C" w:rsidRDefault="00A421A3" w:rsidP="0014308C"/>
    <w:p w:rsidR="00A421A3" w:rsidRPr="003458B1" w:rsidRDefault="00A421A3" w:rsidP="00A421A3">
      <w:pPr>
        <w:spacing w:after="120"/>
        <w:jc w:val="center"/>
        <w:rPr>
          <w:rFonts w:ascii="Century Gothic" w:hAnsi="Century Gothic"/>
          <w:b/>
          <w:bCs/>
          <w:sz w:val="18"/>
          <w:szCs w:val="18"/>
        </w:rPr>
      </w:pPr>
      <w:bookmarkStart w:id="873" w:name="_Ref473458027"/>
      <w:bookmarkStart w:id="874" w:name="_Toc472472473"/>
      <w:bookmarkStart w:id="875" w:name="_Toc488741892"/>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64</w:t>
      </w:r>
      <w:r w:rsidRPr="003458B1">
        <w:rPr>
          <w:rFonts w:ascii="Century Gothic" w:hAnsi="Century Gothic"/>
          <w:b/>
          <w:bCs/>
          <w:sz w:val="18"/>
          <w:szCs w:val="18"/>
        </w:rPr>
        <w:fldChar w:fldCharType="end"/>
      </w:r>
      <w:bookmarkEnd w:id="869"/>
      <w:bookmarkEnd w:id="873"/>
      <w:r w:rsidRPr="003458B1">
        <w:rPr>
          <w:rFonts w:ascii="Century Gothic" w:hAnsi="Century Gothic"/>
          <w:b/>
          <w:bCs/>
          <w:sz w:val="18"/>
          <w:szCs w:val="18"/>
        </w:rPr>
        <w:t>: Penelec’s PY7 Sampling Strategy and Achieved Precision – Government and Institutional Program</w:t>
      </w:r>
      <w:bookmarkEnd w:id="870"/>
      <w:bookmarkEnd w:id="871"/>
      <w:bookmarkEnd w:id="872"/>
      <w:bookmarkEnd w:id="874"/>
      <w:bookmarkEnd w:id="875"/>
    </w:p>
    <w:tbl>
      <w:tblPr>
        <w:tblW w:w="938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065"/>
        <w:gridCol w:w="1183"/>
        <w:gridCol w:w="1276"/>
        <w:gridCol w:w="1141"/>
        <w:gridCol w:w="1170"/>
        <w:gridCol w:w="1276"/>
        <w:gridCol w:w="1277"/>
      </w:tblGrid>
      <w:tr w:rsidR="00A874AC" w:rsidRPr="00116463" w:rsidTr="00116463">
        <w:trPr>
          <w:trHeight w:val="1007"/>
          <w:tblHeader/>
        </w:trPr>
        <w:tc>
          <w:tcPr>
            <w:tcW w:w="2065" w:type="dxa"/>
            <w:shd w:val="clear" w:color="000000" w:fill="448A99"/>
            <w:vAlign w:val="bottom"/>
            <w:hideMark/>
          </w:tcPr>
          <w:p w:rsidR="00A421A3" w:rsidRPr="00116463" w:rsidRDefault="00A421A3" w:rsidP="004F0C61">
            <w:pPr>
              <w:rPr>
                <w:b/>
                <w:bCs/>
                <w:color w:val="FFFFFF"/>
                <w:sz w:val="19"/>
                <w:szCs w:val="19"/>
              </w:rPr>
            </w:pPr>
            <w:r w:rsidRPr="00116463">
              <w:rPr>
                <w:b/>
                <w:bCs/>
                <w:color w:val="FFFFFF"/>
                <w:sz w:val="19"/>
                <w:szCs w:val="19"/>
              </w:rPr>
              <w:t>Stratum</w:t>
            </w:r>
          </w:p>
        </w:tc>
        <w:tc>
          <w:tcPr>
            <w:tcW w:w="1183"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Population</w:t>
            </w:r>
          </w:p>
        </w:tc>
        <w:tc>
          <w:tcPr>
            <w:tcW w:w="1276"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Target Levels of Confidence &amp; Precision</w:t>
            </w:r>
          </w:p>
        </w:tc>
        <w:tc>
          <w:tcPr>
            <w:tcW w:w="1141"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Target Sample Size</w:t>
            </w:r>
          </w:p>
        </w:tc>
        <w:tc>
          <w:tcPr>
            <w:tcW w:w="1170"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Achieved Sample Size</w:t>
            </w:r>
          </w:p>
        </w:tc>
        <w:tc>
          <w:tcPr>
            <w:tcW w:w="1276"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Relative Precision at 85% C.L. for Energy</w:t>
            </w:r>
          </w:p>
        </w:tc>
        <w:tc>
          <w:tcPr>
            <w:tcW w:w="1277" w:type="dxa"/>
            <w:shd w:val="clear" w:color="000000" w:fill="448A99"/>
            <w:vAlign w:val="bottom"/>
            <w:hideMark/>
          </w:tcPr>
          <w:p w:rsidR="00A421A3" w:rsidRPr="00116463" w:rsidRDefault="00A421A3" w:rsidP="004F0C61">
            <w:pPr>
              <w:jc w:val="center"/>
              <w:rPr>
                <w:b/>
                <w:bCs/>
                <w:color w:val="FFFFFF"/>
                <w:sz w:val="19"/>
                <w:szCs w:val="19"/>
              </w:rPr>
            </w:pPr>
            <w:r w:rsidRPr="00116463">
              <w:rPr>
                <w:b/>
                <w:bCs/>
                <w:color w:val="FFFFFF"/>
                <w:sz w:val="19"/>
                <w:szCs w:val="19"/>
              </w:rPr>
              <w:t>Relative Precision at 85% C.L. for Demand</w:t>
            </w:r>
          </w:p>
        </w:tc>
      </w:tr>
      <w:tr w:rsidR="00A874AC" w:rsidRPr="00116463" w:rsidTr="00116463">
        <w:trPr>
          <w:trHeight w:val="288"/>
        </w:trPr>
        <w:tc>
          <w:tcPr>
            <w:tcW w:w="2065" w:type="dxa"/>
            <w:shd w:val="clear" w:color="000000" w:fill="D2EAF1"/>
            <w:noWrap/>
            <w:vAlign w:val="center"/>
          </w:tcPr>
          <w:p w:rsidR="00A421A3" w:rsidRPr="00116463" w:rsidRDefault="00A421A3" w:rsidP="004F0C61">
            <w:pPr>
              <w:rPr>
                <w:bCs/>
                <w:color w:val="000000"/>
                <w:sz w:val="19"/>
                <w:szCs w:val="19"/>
              </w:rPr>
            </w:pPr>
            <w:r w:rsidRPr="00116463">
              <w:rPr>
                <w:sz w:val="19"/>
                <w:szCs w:val="19"/>
              </w:rPr>
              <w:t>CFL kits – 1</w:t>
            </w:r>
          </w:p>
        </w:tc>
        <w:tc>
          <w:tcPr>
            <w:tcW w:w="1183"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76"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N/A</w:t>
            </w:r>
          </w:p>
        </w:tc>
        <w:tc>
          <w:tcPr>
            <w:tcW w:w="1141"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170"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w:t>
            </w:r>
          </w:p>
        </w:tc>
        <w:tc>
          <w:tcPr>
            <w:tcW w:w="1276"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0.0%</w:t>
            </w:r>
          </w:p>
        </w:tc>
        <w:tc>
          <w:tcPr>
            <w:tcW w:w="1277" w:type="dxa"/>
            <w:shd w:val="clear" w:color="000000" w:fill="D2EAF1"/>
            <w:noWrap/>
            <w:vAlign w:val="center"/>
          </w:tcPr>
          <w:p w:rsidR="00A421A3" w:rsidRPr="00116463" w:rsidRDefault="00A421A3" w:rsidP="004F0C61">
            <w:pPr>
              <w:jc w:val="center"/>
              <w:rPr>
                <w:color w:val="000000"/>
                <w:sz w:val="19"/>
                <w:szCs w:val="19"/>
              </w:rPr>
            </w:pPr>
            <w:r w:rsidRPr="00116463">
              <w:rPr>
                <w:sz w:val="19"/>
                <w:szCs w:val="19"/>
              </w:rPr>
              <w:t>0.0%</w:t>
            </w:r>
          </w:p>
        </w:tc>
      </w:tr>
      <w:tr w:rsidR="00E7173E" w:rsidRPr="00116463" w:rsidTr="00116463">
        <w:trPr>
          <w:trHeight w:val="288"/>
        </w:trPr>
        <w:tc>
          <w:tcPr>
            <w:tcW w:w="2065" w:type="dxa"/>
            <w:shd w:val="clear" w:color="auto" w:fill="auto"/>
            <w:noWrap/>
            <w:vAlign w:val="center"/>
          </w:tcPr>
          <w:p w:rsidR="00A421A3" w:rsidRPr="00116463" w:rsidRDefault="00A421A3" w:rsidP="004F0C61">
            <w:pPr>
              <w:rPr>
                <w:bCs/>
                <w:color w:val="000000"/>
                <w:sz w:val="19"/>
                <w:szCs w:val="19"/>
              </w:rPr>
            </w:pPr>
            <w:r w:rsidRPr="00116463">
              <w:rPr>
                <w:sz w:val="19"/>
                <w:szCs w:val="19"/>
              </w:rPr>
              <w:t>Lighting – certainty</w:t>
            </w:r>
          </w:p>
        </w:tc>
        <w:tc>
          <w:tcPr>
            <w:tcW w:w="1183"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N/A</w:t>
            </w:r>
          </w:p>
        </w:tc>
        <w:tc>
          <w:tcPr>
            <w:tcW w:w="1141"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w:t>
            </w:r>
          </w:p>
        </w:tc>
        <w:tc>
          <w:tcPr>
            <w:tcW w:w="1170"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c>
          <w:tcPr>
            <w:tcW w:w="1277" w:type="dxa"/>
            <w:shd w:val="clear" w:color="auto" w:fill="auto"/>
            <w:noWrap/>
            <w:vAlign w:val="center"/>
          </w:tcPr>
          <w:p w:rsidR="00A421A3" w:rsidRPr="00116463" w:rsidRDefault="00A421A3" w:rsidP="004F0C61">
            <w:pPr>
              <w:jc w:val="center"/>
              <w:rPr>
                <w:color w:val="000000"/>
                <w:sz w:val="19"/>
                <w:szCs w:val="19"/>
              </w:rPr>
            </w:pPr>
            <w:r w:rsidRPr="00116463">
              <w:rPr>
                <w:sz w:val="19"/>
                <w:szCs w:val="19"/>
              </w:rPr>
              <w:t>0.0%</w:t>
            </w:r>
          </w:p>
        </w:tc>
      </w:tr>
      <w:tr w:rsidR="00A874AC" w:rsidRPr="00116463" w:rsidTr="00116463">
        <w:trPr>
          <w:trHeight w:val="288"/>
        </w:trPr>
        <w:tc>
          <w:tcPr>
            <w:tcW w:w="2065" w:type="dxa"/>
            <w:shd w:val="clear" w:color="000000" w:fill="D2EAF1"/>
            <w:noWrap/>
            <w:vAlign w:val="center"/>
          </w:tcPr>
          <w:p w:rsidR="00A421A3" w:rsidRPr="00116463" w:rsidRDefault="00A421A3" w:rsidP="004F0C61">
            <w:pPr>
              <w:rPr>
                <w:b/>
                <w:bCs/>
                <w:iCs/>
                <w:color w:val="000000"/>
                <w:sz w:val="19"/>
                <w:szCs w:val="19"/>
              </w:rPr>
            </w:pPr>
            <w:r w:rsidRPr="00116463">
              <w:rPr>
                <w:sz w:val="19"/>
                <w:szCs w:val="19"/>
              </w:rPr>
              <w:t>Lighting – 2</w:t>
            </w:r>
          </w:p>
        </w:tc>
        <w:tc>
          <w:tcPr>
            <w:tcW w:w="1183"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41"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170"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1</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77"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288"/>
        </w:trPr>
        <w:tc>
          <w:tcPr>
            <w:tcW w:w="2065" w:type="dxa"/>
            <w:shd w:val="clear" w:color="auto" w:fill="auto"/>
            <w:noWrap/>
            <w:vAlign w:val="center"/>
          </w:tcPr>
          <w:p w:rsidR="00A421A3" w:rsidRPr="00116463" w:rsidRDefault="00A421A3" w:rsidP="004F0C61">
            <w:pPr>
              <w:rPr>
                <w:sz w:val="19"/>
                <w:szCs w:val="19"/>
              </w:rPr>
            </w:pPr>
            <w:r w:rsidRPr="00116463">
              <w:rPr>
                <w:sz w:val="19"/>
                <w:szCs w:val="19"/>
              </w:rPr>
              <w:t>Lighting – 3</w:t>
            </w:r>
          </w:p>
        </w:tc>
        <w:tc>
          <w:tcPr>
            <w:tcW w:w="118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2</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141"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2</w:t>
            </w:r>
          </w:p>
        </w:tc>
        <w:tc>
          <w:tcPr>
            <w:tcW w:w="1170"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2</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77"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2065" w:type="dxa"/>
            <w:shd w:val="clear" w:color="000000" w:fill="D2EAF1"/>
            <w:noWrap/>
            <w:vAlign w:val="center"/>
          </w:tcPr>
          <w:p w:rsidR="00A421A3" w:rsidRPr="00116463" w:rsidRDefault="00A421A3" w:rsidP="004F0C61">
            <w:pPr>
              <w:rPr>
                <w:sz w:val="19"/>
                <w:szCs w:val="19"/>
              </w:rPr>
            </w:pPr>
            <w:r w:rsidRPr="00116463">
              <w:rPr>
                <w:sz w:val="19"/>
                <w:szCs w:val="19"/>
              </w:rPr>
              <w:t>Lighting – 4</w:t>
            </w:r>
          </w:p>
        </w:tc>
        <w:tc>
          <w:tcPr>
            <w:tcW w:w="1183"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11</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28.7%</w:t>
            </w:r>
          </w:p>
        </w:tc>
        <w:tc>
          <w:tcPr>
            <w:tcW w:w="1141"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4</w:t>
            </w:r>
          </w:p>
        </w:tc>
        <w:tc>
          <w:tcPr>
            <w:tcW w:w="1170"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4</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28.7%</w:t>
            </w:r>
          </w:p>
        </w:tc>
        <w:tc>
          <w:tcPr>
            <w:tcW w:w="1277"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28.7%</w:t>
            </w:r>
          </w:p>
        </w:tc>
      </w:tr>
      <w:tr w:rsidR="00E7173E" w:rsidRPr="00116463" w:rsidTr="00116463">
        <w:trPr>
          <w:trHeight w:val="288"/>
        </w:trPr>
        <w:tc>
          <w:tcPr>
            <w:tcW w:w="2065" w:type="dxa"/>
            <w:shd w:val="clear" w:color="auto" w:fill="auto"/>
            <w:noWrap/>
            <w:vAlign w:val="center"/>
          </w:tcPr>
          <w:p w:rsidR="00A421A3" w:rsidRPr="00116463" w:rsidRDefault="00A421A3" w:rsidP="004F0C61">
            <w:pPr>
              <w:rPr>
                <w:sz w:val="19"/>
                <w:szCs w:val="19"/>
              </w:rPr>
            </w:pPr>
            <w:r w:rsidRPr="00116463">
              <w:rPr>
                <w:sz w:val="19"/>
                <w:szCs w:val="19"/>
              </w:rPr>
              <w:t>Custom – certainty</w:t>
            </w:r>
          </w:p>
        </w:tc>
        <w:tc>
          <w:tcPr>
            <w:tcW w:w="118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41"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70"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77"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2065" w:type="dxa"/>
            <w:shd w:val="clear" w:color="000000" w:fill="D2EAF1"/>
            <w:noWrap/>
            <w:vAlign w:val="center"/>
          </w:tcPr>
          <w:p w:rsidR="00A421A3" w:rsidRPr="00116463" w:rsidRDefault="00A421A3" w:rsidP="004F0C61">
            <w:pPr>
              <w:rPr>
                <w:sz w:val="19"/>
                <w:szCs w:val="19"/>
              </w:rPr>
            </w:pPr>
            <w:r w:rsidRPr="00116463">
              <w:rPr>
                <w:sz w:val="19"/>
                <w:szCs w:val="19"/>
              </w:rPr>
              <w:t>Custom – 2</w:t>
            </w:r>
          </w:p>
        </w:tc>
        <w:tc>
          <w:tcPr>
            <w:tcW w:w="1183"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41"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70"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77"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288"/>
        </w:trPr>
        <w:tc>
          <w:tcPr>
            <w:tcW w:w="2065" w:type="dxa"/>
            <w:shd w:val="clear" w:color="auto" w:fill="auto"/>
            <w:noWrap/>
            <w:vAlign w:val="center"/>
          </w:tcPr>
          <w:p w:rsidR="00A421A3" w:rsidRPr="00116463" w:rsidRDefault="00A421A3" w:rsidP="004F0C61">
            <w:pPr>
              <w:rPr>
                <w:sz w:val="19"/>
                <w:szCs w:val="19"/>
              </w:rPr>
            </w:pPr>
            <w:r w:rsidRPr="00116463">
              <w:rPr>
                <w:sz w:val="19"/>
                <w:szCs w:val="19"/>
              </w:rPr>
              <w:t>Custom – 3</w:t>
            </w:r>
          </w:p>
        </w:tc>
        <w:tc>
          <w:tcPr>
            <w:tcW w:w="118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41"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70"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77"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2065" w:type="dxa"/>
            <w:shd w:val="clear" w:color="000000" w:fill="D2EAF1"/>
            <w:noWrap/>
            <w:vAlign w:val="center"/>
          </w:tcPr>
          <w:p w:rsidR="00A421A3" w:rsidRPr="00116463" w:rsidRDefault="00A421A3" w:rsidP="004F0C61">
            <w:pPr>
              <w:rPr>
                <w:sz w:val="19"/>
                <w:szCs w:val="19"/>
              </w:rPr>
            </w:pPr>
            <w:r w:rsidRPr="00116463">
              <w:rPr>
                <w:sz w:val="19"/>
                <w:szCs w:val="19"/>
              </w:rPr>
              <w:t>HVAC and DHW – 1</w:t>
            </w:r>
          </w:p>
        </w:tc>
        <w:tc>
          <w:tcPr>
            <w:tcW w:w="1183"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41"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70"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77"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288"/>
        </w:trPr>
        <w:tc>
          <w:tcPr>
            <w:tcW w:w="2065" w:type="dxa"/>
            <w:shd w:val="clear" w:color="auto" w:fill="auto"/>
            <w:noWrap/>
            <w:vAlign w:val="center"/>
          </w:tcPr>
          <w:p w:rsidR="00A421A3" w:rsidRPr="00116463" w:rsidRDefault="00A421A3" w:rsidP="004F0C61">
            <w:pPr>
              <w:rPr>
                <w:sz w:val="19"/>
                <w:szCs w:val="19"/>
              </w:rPr>
            </w:pPr>
            <w:r w:rsidRPr="00116463">
              <w:rPr>
                <w:sz w:val="19"/>
                <w:szCs w:val="19"/>
              </w:rPr>
              <w:t>HVAC and DHW – 2</w:t>
            </w:r>
          </w:p>
        </w:tc>
        <w:tc>
          <w:tcPr>
            <w:tcW w:w="118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41"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70"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77"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2065" w:type="dxa"/>
            <w:shd w:val="clear" w:color="000000" w:fill="D2EAF1"/>
            <w:noWrap/>
            <w:vAlign w:val="center"/>
          </w:tcPr>
          <w:p w:rsidR="00A421A3" w:rsidRPr="00116463" w:rsidRDefault="00A421A3" w:rsidP="004F0C61">
            <w:pPr>
              <w:rPr>
                <w:sz w:val="19"/>
                <w:szCs w:val="19"/>
              </w:rPr>
            </w:pPr>
            <w:r w:rsidRPr="00116463">
              <w:rPr>
                <w:sz w:val="19"/>
                <w:szCs w:val="19"/>
              </w:rPr>
              <w:t>Appliance Turn-In – 1</w:t>
            </w:r>
          </w:p>
        </w:tc>
        <w:tc>
          <w:tcPr>
            <w:tcW w:w="1183"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41"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70"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77" w:type="dxa"/>
            <w:shd w:val="clear" w:color="000000" w:fill="D2EAF1"/>
            <w:noWrap/>
            <w:vAlign w:val="center"/>
          </w:tcPr>
          <w:p w:rsidR="00A421A3" w:rsidRPr="00116463" w:rsidRDefault="00A421A3" w:rsidP="004F0C61">
            <w:pPr>
              <w:jc w:val="center"/>
              <w:rPr>
                <w:b/>
                <w:bCs/>
                <w:color w:val="000000"/>
                <w:sz w:val="19"/>
                <w:szCs w:val="19"/>
              </w:rPr>
            </w:pPr>
            <w:r w:rsidRPr="00116463">
              <w:rPr>
                <w:sz w:val="19"/>
                <w:szCs w:val="19"/>
              </w:rPr>
              <w:t>0.0%</w:t>
            </w:r>
          </w:p>
        </w:tc>
      </w:tr>
      <w:tr w:rsidR="00E7173E" w:rsidRPr="00116463" w:rsidTr="00116463">
        <w:trPr>
          <w:trHeight w:val="288"/>
        </w:trPr>
        <w:tc>
          <w:tcPr>
            <w:tcW w:w="2065" w:type="dxa"/>
            <w:shd w:val="clear" w:color="auto" w:fill="auto"/>
            <w:noWrap/>
            <w:vAlign w:val="center"/>
          </w:tcPr>
          <w:p w:rsidR="00A421A3" w:rsidRPr="00116463" w:rsidRDefault="00A421A3" w:rsidP="004F0C61">
            <w:pPr>
              <w:rPr>
                <w:sz w:val="19"/>
                <w:szCs w:val="19"/>
              </w:rPr>
            </w:pPr>
            <w:r w:rsidRPr="00116463">
              <w:rPr>
                <w:sz w:val="19"/>
                <w:szCs w:val="19"/>
              </w:rPr>
              <w:t>Kitchen/appliances – 1</w:t>
            </w:r>
          </w:p>
        </w:tc>
        <w:tc>
          <w:tcPr>
            <w:tcW w:w="1183"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N/A</w:t>
            </w:r>
          </w:p>
        </w:tc>
        <w:tc>
          <w:tcPr>
            <w:tcW w:w="1141"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170"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w:t>
            </w:r>
          </w:p>
        </w:tc>
        <w:tc>
          <w:tcPr>
            <w:tcW w:w="1276"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c>
          <w:tcPr>
            <w:tcW w:w="1277" w:type="dxa"/>
            <w:shd w:val="clear" w:color="auto" w:fill="auto"/>
            <w:noWrap/>
            <w:vAlign w:val="center"/>
          </w:tcPr>
          <w:p w:rsidR="00A421A3" w:rsidRPr="00116463" w:rsidRDefault="00A421A3" w:rsidP="004F0C61">
            <w:pPr>
              <w:jc w:val="center"/>
              <w:rPr>
                <w:b/>
                <w:bCs/>
                <w:color w:val="000000"/>
                <w:sz w:val="19"/>
                <w:szCs w:val="19"/>
              </w:rPr>
            </w:pPr>
            <w:r w:rsidRPr="00116463">
              <w:rPr>
                <w:sz w:val="19"/>
                <w:szCs w:val="19"/>
              </w:rPr>
              <w:t>0.0%</w:t>
            </w:r>
          </w:p>
        </w:tc>
      </w:tr>
      <w:tr w:rsidR="00A874AC" w:rsidRPr="00116463" w:rsidTr="00116463">
        <w:trPr>
          <w:trHeight w:val="288"/>
        </w:trPr>
        <w:tc>
          <w:tcPr>
            <w:tcW w:w="2065" w:type="dxa"/>
            <w:shd w:val="clear" w:color="000000" w:fill="D2EAF1"/>
            <w:noWrap/>
            <w:vAlign w:val="center"/>
          </w:tcPr>
          <w:p w:rsidR="00A421A3" w:rsidRPr="00116463" w:rsidRDefault="00A421A3" w:rsidP="004F0C61">
            <w:pPr>
              <w:rPr>
                <w:sz w:val="19"/>
                <w:szCs w:val="19"/>
              </w:rPr>
            </w:pPr>
            <w:r w:rsidRPr="00116463">
              <w:rPr>
                <w:b/>
                <w:sz w:val="19"/>
                <w:szCs w:val="19"/>
              </w:rPr>
              <w:t>Program Total</w:t>
            </w:r>
          </w:p>
        </w:tc>
        <w:tc>
          <w:tcPr>
            <w:tcW w:w="1183"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14</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14.1%</w:t>
            </w:r>
          </w:p>
        </w:tc>
        <w:tc>
          <w:tcPr>
            <w:tcW w:w="1141"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7</w:t>
            </w:r>
          </w:p>
        </w:tc>
        <w:tc>
          <w:tcPr>
            <w:tcW w:w="1170"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7</w:t>
            </w:r>
          </w:p>
        </w:tc>
        <w:tc>
          <w:tcPr>
            <w:tcW w:w="1276"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15.0%</w:t>
            </w:r>
          </w:p>
        </w:tc>
        <w:tc>
          <w:tcPr>
            <w:tcW w:w="1277" w:type="dxa"/>
            <w:shd w:val="clear" w:color="000000" w:fill="D2EAF1"/>
            <w:noWrap/>
            <w:vAlign w:val="center"/>
          </w:tcPr>
          <w:p w:rsidR="00A421A3" w:rsidRPr="00116463" w:rsidRDefault="00A421A3" w:rsidP="004F0C61">
            <w:pPr>
              <w:jc w:val="center"/>
              <w:rPr>
                <w:b/>
                <w:bCs/>
                <w:color w:val="000000"/>
                <w:sz w:val="19"/>
                <w:szCs w:val="19"/>
              </w:rPr>
            </w:pPr>
            <w:r w:rsidRPr="00116463">
              <w:rPr>
                <w:b/>
                <w:sz w:val="19"/>
                <w:szCs w:val="19"/>
              </w:rPr>
              <w:t>18.5%</w:t>
            </w:r>
          </w:p>
        </w:tc>
      </w:tr>
    </w:tbl>
    <w:p w:rsidR="00A421A3" w:rsidRPr="0033011B" w:rsidRDefault="00A421A3" w:rsidP="00A421A3">
      <w:pPr>
        <w:rPr>
          <w:rFonts w:eastAsia="Calibri"/>
        </w:rPr>
      </w:pPr>
      <w:bookmarkStart w:id="876" w:name="_Ref408508188"/>
      <w:bookmarkStart w:id="877" w:name="_Toc408557492"/>
    </w:p>
    <w:p w:rsidR="00A421A3" w:rsidRPr="003B2BD3" w:rsidRDefault="00A421A3" w:rsidP="0055598C">
      <w:pPr>
        <w:pStyle w:val="AppendixAHeading4"/>
        <w:rPr>
          <w:rFonts w:eastAsia="Calibri"/>
        </w:rPr>
      </w:pPr>
      <w:bookmarkStart w:id="878" w:name="_Ref409200039"/>
      <w:r w:rsidRPr="003B2BD3">
        <w:rPr>
          <w:rFonts w:eastAsia="Calibri"/>
        </w:rPr>
        <w:t>Ride-Along Site Inspections</w:t>
      </w:r>
      <w:bookmarkEnd w:id="876"/>
      <w:bookmarkEnd w:id="877"/>
      <w:bookmarkEnd w:id="878"/>
    </w:p>
    <w:p w:rsidR="00A421A3" w:rsidRPr="003B2BD3" w:rsidRDefault="00116463" w:rsidP="00A421A3">
      <w:pPr>
        <w:spacing w:after="120"/>
      </w:pPr>
      <w:r>
        <w:t xml:space="preserve">Table A-65 </w:t>
      </w:r>
      <w:r w:rsidR="00A421A3" w:rsidRPr="00903627">
        <w:t>summarizes the</w:t>
      </w:r>
      <w:r w:rsidR="00A421A3" w:rsidRPr="003B2BD3">
        <w:t xml:space="preserve"> SWE Team’s PY7 ride-along site inspections of Penelec’s non-residential project installations. </w:t>
      </w:r>
      <w:r w:rsidR="00B27FAB" w:rsidRPr="00B27FAB">
        <w:t xml:space="preserve">For PY7, all </w:t>
      </w:r>
      <w:r w:rsidR="00B27FAB">
        <w:t>Penelec</w:t>
      </w:r>
      <w:r w:rsidR="00B27FAB" w:rsidRPr="00B27FAB">
        <w:t xml:space="preserve"> PY7 site inspection findings are categorized as</w:t>
      </w:r>
      <w:r w:rsidR="00A421A3" w:rsidRPr="003B2BD3">
        <w:t xml:space="preserve">: </w:t>
      </w:r>
    </w:p>
    <w:p w:rsidR="00A421A3" w:rsidRPr="003B2BD3" w:rsidRDefault="00A421A3" w:rsidP="00E646C9">
      <w:pPr>
        <w:numPr>
          <w:ilvl w:val="0"/>
          <w:numId w:val="35"/>
        </w:numPr>
        <w:ind w:left="360"/>
      </w:pPr>
      <w:r w:rsidRPr="003B2BD3">
        <w:t xml:space="preserve">Evaluation (Eval) findings are associated with ride-along site inspections and may reflect site activities or evaluation contractor savings calculations or reports. </w:t>
      </w:r>
    </w:p>
    <w:p w:rsidR="007E0D0D" w:rsidRDefault="007E0D0D" w:rsidP="004837FA">
      <w:pPr>
        <w:pStyle w:val="Caption"/>
      </w:pPr>
      <w:bookmarkStart w:id="879" w:name="_Ref472468192"/>
      <w:bookmarkStart w:id="880" w:name="_Toc472472474"/>
    </w:p>
    <w:p w:rsidR="00A421A3" w:rsidRDefault="00903627" w:rsidP="004837FA">
      <w:pPr>
        <w:pStyle w:val="Caption"/>
      </w:pPr>
      <w:bookmarkStart w:id="881" w:name="_Toc488741893"/>
      <w:r w:rsidRPr="00903627">
        <w:t>Table A-</w:t>
      </w:r>
      <w:r w:rsidR="007973A4">
        <w:fldChar w:fldCharType="begin"/>
      </w:r>
      <w:r w:rsidR="007973A4">
        <w:instrText xml:space="preserve"> SEQ Table_A- \* ARABIC </w:instrText>
      </w:r>
      <w:r w:rsidR="007973A4">
        <w:fldChar w:fldCharType="separate"/>
      </w:r>
      <w:r w:rsidR="00037CB4">
        <w:rPr>
          <w:noProof/>
        </w:rPr>
        <w:t>65</w:t>
      </w:r>
      <w:r w:rsidR="007973A4">
        <w:rPr>
          <w:noProof/>
        </w:rPr>
        <w:fldChar w:fldCharType="end"/>
      </w:r>
      <w:bookmarkEnd w:id="879"/>
      <w:r w:rsidRPr="00903627">
        <w:t>: Penelec’s PY7 Non-Residential Site Inspection Findings</w:t>
      </w:r>
      <w:bookmarkEnd w:id="880"/>
      <w:bookmarkEnd w:id="881"/>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250"/>
        <w:gridCol w:w="1172"/>
        <w:gridCol w:w="2250"/>
        <w:gridCol w:w="990"/>
        <w:gridCol w:w="3688"/>
      </w:tblGrid>
      <w:tr w:rsidR="00A874AC" w:rsidRPr="00116463" w:rsidTr="00116463">
        <w:trPr>
          <w:trHeight w:val="300"/>
          <w:tblHeader/>
        </w:trPr>
        <w:tc>
          <w:tcPr>
            <w:tcW w:w="1250" w:type="dxa"/>
            <w:shd w:val="clear" w:color="auto" w:fill="448A99"/>
            <w:noWrap/>
            <w:vAlign w:val="bottom"/>
            <w:hideMark/>
          </w:tcPr>
          <w:p w:rsidR="00A421A3" w:rsidRPr="00116463" w:rsidRDefault="00A421A3" w:rsidP="004F0C61">
            <w:pPr>
              <w:jc w:val="left"/>
              <w:rPr>
                <w:b/>
                <w:bCs/>
                <w:color w:val="FFFFFF"/>
                <w:sz w:val="19"/>
                <w:szCs w:val="19"/>
              </w:rPr>
            </w:pPr>
            <w:r w:rsidRPr="00116463">
              <w:rPr>
                <w:b/>
                <w:bCs/>
                <w:color w:val="FFFFFF"/>
                <w:sz w:val="19"/>
                <w:szCs w:val="19"/>
              </w:rPr>
              <w:t>Project ID</w:t>
            </w:r>
          </w:p>
        </w:tc>
        <w:tc>
          <w:tcPr>
            <w:tcW w:w="1172" w:type="dxa"/>
            <w:shd w:val="clear" w:color="auto" w:fill="448A99"/>
            <w:noWrap/>
            <w:vAlign w:val="bottom"/>
            <w:hideMark/>
          </w:tcPr>
          <w:p w:rsidR="00A421A3" w:rsidRPr="00116463" w:rsidRDefault="00A421A3" w:rsidP="004F0C61">
            <w:pPr>
              <w:jc w:val="center"/>
              <w:rPr>
                <w:b/>
                <w:bCs/>
                <w:color w:val="FFFFFF"/>
                <w:sz w:val="19"/>
                <w:szCs w:val="19"/>
              </w:rPr>
            </w:pPr>
            <w:r w:rsidRPr="00116463">
              <w:rPr>
                <w:b/>
                <w:bCs/>
                <w:color w:val="FFFFFF"/>
                <w:sz w:val="19"/>
                <w:szCs w:val="19"/>
              </w:rPr>
              <w:t>Technology</w:t>
            </w:r>
          </w:p>
        </w:tc>
        <w:tc>
          <w:tcPr>
            <w:tcW w:w="2250" w:type="dxa"/>
            <w:shd w:val="clear" w:color="auto" w:fill="448A99"/>
            <w:noWrap/>
            <w:vAlign w:val="bottom"/>
            <w:hideMark/>
          </w:tcPr>
          <w:p w:rsidR="00A421A3" w:rsidRPr="00116463" w:rsidRDefault="00A421A3" w:rsidP="004F0C61">
            <w:pPr>
              <w:jc w:val="center"/>
              <w:rPr>
                <w:b/>
                <w:bCs/>
                <w:color w:val="FFFFFF"/>
                <w:sz w:val="19"/>
                <w:szCs w:val="19"/>
              </w:rPr>
            </w:pPr>
            <w:r w:rsidRPr="00116463">
              <w:rPr>
                <w:b/>
                <w:bCs/>
                <w:color w:val="FFFFFF"/>
                <w:sz w:val="19"/>
                <w:szCs w:val="19"/>
              </w:rPr>
              <w:t>Finding</w:t>
            </w:r>
          </w:p>
        </w:tc>
        <w:tc>
          <w:tcPr>
            <w:tcW w:w="990" w:type="dxa"/>
            <w:shd w:val="clear" w:color="auto" w:fill="448A99"/>
            <w:noWrap/>
            <w:vAlign w:val="bottom"/>
            <w:hideMark/>
          </w:tcPr>
          <w:p w:rsidR="00A421A3" w:rsidRPr="00116463" w:rsidRDefault="00A421A3" w:rsidP="004F0C61">
            <w:pPr>
              <w:jc w:val="center"/>
              <w:rPr>
                <w:b/>
                <w:bCs/>
                <w:color w:val="FFFFFF"/>
                <w:sz w:val="19"/>
                <w:szCs w:val="19"/>
              </w:rPr>
            </w:pPr>
            <w:r w:rsidRPr="00116463">
              <w:rPr>
                <w:b/>
                <w:bCs/>
                <w:color w:val="FFFFFF"/>
                <w:sz w:val="19"/>
                <w:szCs w:val="19"/>
              </w:rPr>
              <w:t>Finding Type</w:t>
            </w:r>
          </w:p>
        </w:tc>
        <w:tc>
          <w:tcPr>
            <w:tcW w:w="3688" w:type="dxa"/>
            <w:shd w:val="clear" w:color="auto" w:fill="448A99"/>
            <w:noWrap/>
            <w:vAlign w:val="bottom"/>
            <w:hideMark/>
          </w:tcPr>
          <w:p w:rsidR="00A421A3" w:rsidRPr="00116463" w:rsidRDefault="00A421A3" w:rsidP="004F0C61">
            <w:pPr>
              <w:jc w:val="center"/>
              <w:rPr>
                <w:b/>
                <w:bCs/>
                <w:color w:val="FFFFFF"/>
                <w:sz w:val="19"/>
                <w:szCs w:val="19"/>
              </w:rPr>
            </w:pPr>
            <w:r w:rsidRPr="00116463">
              <w:rPr>
                <w:b/>
                <w:bCs/>
                <w:color w:val="FFFFFF"/>
                <w:sz w:val="19"/>
                <w:szCs w:val="19"/>
              </w:rPr>
              <w:t>Resolution</w:t>
            </w:r>
          </w:p>
        </w:tc>
      </w:tr>
      <w:tr w:rsidR="00A874AC" w:rsidRPr="00116463" w:rsidTr="00116463">
        <w:trPr>
          <w:trHeight w:val="300"/>
        </w:trPr>
        <w:tc>
          <w:tcPr>
            <w:tcW w:w="1250" w:type="dxa"/>
            <w:shd w:val="clear" w:color="auto" w:fill="D2EAF1"/>
            <w:noWrap/>
          </w:tcPr>
          <w:p w:rsidR="00A421A3" w:rsidRPr="00116463" w:rsidRDefault="00A421A3" w:rsidP="004F0C61">
            <w:pPr>
              <w:jc w:val="left"/>
              <w:rPr>
                <w:bCs/>
                <w:color w:val="000000"/>
                <w:sz w:val="19"/>
                <w:szCs w:val="19"/>
                <w:highlight w:val="yellow"/>
              </w:rPr>
            </w:pPr>
            <w:r w:rsidRPr="00116463">
              <w:rPr>
                <w:bCs/>
                <w:sz w:val="19"/>
                <w:szCs w:val="19"/>
              </w:rPr>
              <w:t>PRJ-787966</w:t>
            </w:r>
          </w:p>
        </w:tc>
        <w:tc>
          <w:tcPr>
            <w:tcW w:w="1172" w:type="dxa"/>
            <w:shd w:val="clear" w:color="auto" w:fill="D2EAF1"/>
            <w:noWrap/>
          </w:tcPr>
          <w:p w:rsidR="00A421A3" w:rsidRPr="00116463" w:rsidRDefault="00A421A3" w:rsidP="004F0C61">
            <w:pPr>
              <w:jc w:val="center"/>
              <w:rPr>
                <w:color w:val="000000"/>
                <w:sz w:val="19"/>
                <w:szCs w:val="19"/>
                <w:highlight w:val="yellow"/>
              </w:rPr>
            </w:pPr>
            <w:r w:rsidRPr="00116463">
              <w:rPr>
                <w:sz w:val="19"/>
                <w:szCs w:val="19"/>
              </w:rPr>
              <w:t>VFDs</w:t>
            </w:r>
          </w:p>
        </w:tc>
        <w:tc>
          <w:tcPr>
            <w:tcW w:w="2250" w:type="dxa"/>
            <w:shd w:val="clear" w:color="auto" w:fill="D2EAF1"/>
            <w:noWrap/>
          </w:tcPr>
          <w:p w:rsidR="00A421A3" w:rsidRPr="00116463" w:rsidRDefault="00A421A3" w:rsidP="004F0C61">
            <w:pPr>
              <w:jc w:val="center"/>
              <w:rPr>
                <w:sz w:val="19"/>
                <w:szCs w:val="19"/>
              </w:rPr>
            </w:pPr>
            <w:r w:rsidRPr="00116463">
              <w:rPr>
                <w:sz w:val="19"/>
                <w:szCs w:val="19"/>
              </w:rPr>
              <w:t>The SWE Team found that the evaluation contractor’s review of the project is accurate.</w:t>
            </w:r>
          </w:p>
        </w:tc>
        <w:tc>
          <w:tcPr>
            <w:tcW w:w="990" w:type="dxa"/>
            <w:shd w:val="clear" w:color="auto" w:fill="D2EAF1"/>
            <w:noWrap/>
          </w:tcPr>
          <w:p w:rsidR="00A421A3" w:rsidRPr="00116463" w:rsidRDefault="00A421A3" w:rsidP="004F0C61">
            <w:pPr>
              <w:jc w:val="center"/>
              <w:rPr>
                <w:sz w:val="19"/>
                <w:szCs w:val="19"/>
              </w:rPr>
            </w:pPr>
            <w:r w:rsidRPr="00116463">
              <w:rPr>
                <w:sz w:val="19"/>
                <w:szCs w:val="19"/>
              </w:rPr>
              <w:t>Eval</w:t>
            </w:r>
          </w:p>
        </w:tc>
        <w:tc>
          <w:tcPr>
            <w:tcW w:w="3688" w:type="dxa"/>
            <w:shd w:val="clear" w:color="auto" w:fill="D2EAF1"/>
            <w:noWrap/>
          </w:tcPr>
          <w:p w:rsidR="00A421A3" w:rsidRPr="00116463" w:rsidRDefault="00A421A3" w:rsidP="004F0C61">
            <w:pPr>
              <w:jc w:val="center"/>
              <w:rPr>
                <w:sz w:val="19"/>
                <w:szCs w:val="19"/>
              </w:rPr>
            </w:pPr>
            <w:r w:rsidRPr="00116463">
              <w:rPr>
                <w:sz w:val="19"/>
                <w:szCs w:val="19"/>
              </w:rPr>
              <w:t>The SWE Team had no recommendations based on its review of this project.</w:t>
            </w:r>
          </w:p>
        </w:tc>
      </w:tr>
    </w:tbl>
    <w:p w:rsidR="00A421A3" w:rsidRDefault="00A421A3" w:rsidP="00B9141F"/>
    <w:p w:rsidR="00FD201B" w:rsidRDefault="00FD201B" w:rsidP="0055598C">
      <w:pPr>
        <w:pStyle w:val="AppendixAHeading4"/>
      </w:pPr>
      <w:r>
        <w:t>Verified Savings Review</w:t>
      </w:r>
    </w:p>
    <w:p w:rsidR="00FD201B" w:rsidRPr="003458B1" w:rsidRDefault="00FD201B" w:rsidP="00FD201B">
      <w:pPr>
        <w:rPr>
          <w:color w:val="000000"/>
        </w:rPr>
      </w:pPr>
      <w:r w:rsidRPr="003458B1">
        <w:rPr>
          <w:color w:val="000000"/>
        </w:rPr>
        <w:t xml:space="preserve">The SWE </w:t>
      </w:r>
      <w:r w:rsidRPr="003458B1">
        <w:rPr>
          <w:color w:val="000000"/>
          <w:sz w:val="20"/>
          <w:szCs w:val="20"/>
        </w:rPr>
        <w:t xml:space="preserve">Team </w:t>
      </w:r>
      <w:r w:rsidRPr="003458B1">
        <w:rPr>
          <w:color w:val="000000"/>
        </w:rPr>
        <w:t>reviewed a subset of Penelec’s sampled sites and found appropriate rigor in the evaluation contractor’s M&amp;V methods. There was significant improvement in the presentation of M&amp;V methodology and results in PY7 with the inclusion of a site</w:t>
      </w:r>
      <w:r>
        <w:rPr>
          <w:color w:val="000000"/>
        </w:rPr>
        <w:t>-</w:t>
      </w:r>
      <w:r w:rsidRPr="003458B1">
        <w:rPr>
          <w:color w:val="000000"/>
        </w:rPr>
        <w:t xml:space="preserve">level report for each project file. </w:t>
      </w:r>
      <w:r w:rsidRPr="003458B1">
        <w:rPr>
          <w:color w:val="000000"/>
        </w:rPr>
        <w:fldChar w:fldCharType="begin"/>
      </w:r>
      <w:r w:rsidRPr="003458B1">
        <w:rPr>
          <w:color w:val="000000"/>
        </w:rPr>
        <w:instrText xml:space="preserve"> REF _Ref433898456 \h  \* MERGEFORMAT </w:instrText>
      </w:r>
      <w:r w:rsidRPr="003458B1">
        <w:rPr>
          <w:color w:val="000000"/>
        </w:rPr>
      </w:r>
      <w:r w:rsidRPr="003458B1">
        <w:rPr>
          <w:color w:val="000000"/>
        </w:rPr>
        <w:fldChar w:fldCharType="separate"/>
      </w:r>
      <w:r w:rsidR="00037CB4" w:rsidRPr="00B81A2F">
        <w:t>Table A-66</w:t>
      </w:r>
      <w:r w:rsidRPr="003458B1">
        <w:rPr>
          <w:color w:val="000000"/>
        </w:rPr>
        <w:fldChar w:fldCharType="end"/>
      </w:r>
      <w:r w:rsidRPr="003458B1">
        <w:rPr>
          <w:color w:val="000000"/>
        </w:rPr>
        <w:t xml:space="preserve"> shows the energy and demand savings for projects the SWE Team chose to review, as well as the M&amp;V approach selected for site evaluation.</w:t>
      </w:r>
    </w:p>
    <w:p w:rsidR="00FD201B" w:rsidRPr="003458B1" w:rsidRDefault="00FD201B" w:rsidP="00FD201B">
      <w:pPr>
        <w:rPr>
          <w:color w:val="000000"/>
        </w:rPr>
      </w:pPr>
    </w:p>
    <w:p w:rsidR="00FD201B" w:rsidRPr="003458B1" w:rsidRDefault="00FD201B" w:rsidP="00FD201B">
      <w:pPr>
        <w:spacing w:after="120"/>
        <w:jc w:val="center"/>
        <w:rPr>
          <w:rFonts w:ascii="Century Gothic" w:hAnsi="Century Gothic"/>
          <w:b/>
          <w:bCs/>
          <w:sz w:val="18"/>
          <w:szCs w:val="18"/>
        </w:rPr>
      </w:pPr>
      <w:bookmarkStart w:id="882" w:name="_Ref433898456"/>
      <w:bookmarkStart w:id="883" w:name="_Toc410199428"/>
      <w:bookmarkStart w:id="884" w:name="_Toc431462348"/>
      <w:bookmarkStart w:id="885" w:name="_Toc444269870"/>
      <w:bookmarkStart w:id="886" w:name="_Toc472472475"/>
      <w:bookmarkStart w:id="887" w:name="_Toc488741894"/>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66</w:t>
      </w:r>
      <w:r w:rsidRPr="003458B1">
        <w:rPr>
          <w:rFonts w:ascii="Century Gothic" w:hAnsi="Century Gothic"/>
          <w:b/>
          <w:bCs/>
          <w:sz w:val="18"/>
          <w:szCs w:val="18"/>
        </w:rPr>
        <w:fldChar w:fldCharType="end"/>
      </w:r>
      <w:bookmarkEnd w:id="882"/>
      <w:r w:rsidRPr="003458B1">
        <w:rPr>
          <w:rFonts w:ascii="Century Gothic" w:hAnsi="Century Gothic"/>
          <w:b/>
          <w:bCs/>
          <w:sz w:val="18"/>
          <w:szCs w:val="18"/>
        </w:rPr>
        <w:t>: Verified Savin</w:t>
      </w:r>
      <w:r>
        <w:rPr>
          <w:rFonts w:ascii="Century Gothic" w:hAnsi="Century Gothic"/>
          <w:b/>
          <w:bCs/>
          <w:sz w:val="18"/>
          <w:szCs w:val="18"/>
        </w:rPr>
        <w:t>gs and M&amp;V Methods for SWE Team–S</w:t>
      </w:r>
      <w:r w:rsidRPr="003458B1">
        <w:rPr>
          <w:rFonts w:ascii="Century Gothic" w:hAnsi="Century Gothic"/>
          <w:b/>
          <w:bCs/>
          <w:sz w:val="18"/>
          <w:szCs w:val="18"/>
        </w:rPr>
        <w:t>ampled Penelec Projects</w:t>
      </w:r>
      <w:bookmarkEnd w:id="883"/>
      <w:bookmarkEnd w:id="884"/>
      <w:bookmarkEnd w:id="885"/>
      <w:bookmarkEnd w:id="886"/>
      <w:bookmarkEnd w:id="887"/>
    </w:p>
    <w:tbl>
      <w:tblPr>
        <w:tblW w:w="0" w:type="auto"/>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537"/>
        <w:gridCol w:w="1562"/>
        <w:gridCol w:w="1562"/>
        <w:gridCol w:w="1563"/>
        <w:gridCol w:w="1562"/>
        <w:gridCol w:w="1564"/>
      </w:tblGrid>
      <w:tr w:rsidR="00A874AC" w:rsidRPr="00116463" w:rsidTr="00116463">
        <w:tc>
          <w:tcPr>
            <w:tcW w:w="1537" w:type="dxa"/>
            <w:shd w:val="clear" w:color="auto" w:fill="448A99"/>
            <w:vAlign w:val="bottom"/>
          </w:tcPr>
          <w:p w:rsidR="00FD201B" w:rsidRPr="00116463" w:rsidRDefault="00FD201B" w:rsidP="004F0C61">
            <w:pPr>
              <w:jc w:val="left"/>
              <w:rPr>
                <w:rFonts w:eastAsia="Calibri"/>
                <w:b/>
                <w:color w:val="FFFFFF"/>
                <w:sz w:val="19"/>
                <w:szCs w:val="19"/>
              </w:rPr>
            </w:pPr>
            <w:r w:rsidRPr="00116463">
              <w:rPr>
                <w:rFonts w:eastAsia="Calibri"/>
                <w:b/>
                <w:color w:val="FFFFFF"/>
                <w:sz w:val="19"/>
                <w:szCs w:val="19"/>
              </w:rPr>
              <w:t>Program</w:t>
            </w:r>
          </w:p>
        </w:tc>
        <w:tc>
          <w:tcPr>
            <w:tcW w:w="1562" w:type="dxa"/>
            <w:shd w:val="clear" w:color="auto" w:fill="448A99"/>
            <w:vAlign w:val="bottom"/>
          </w:tcPr>
          <w:p w:rsidR="00FD201B" w:rsidRPr="00116463" w:rsidRDefault="00FD201B" w:rsidP="004F0C61">
            <w:pPr>
              <w:jc w:val="center"/>
              <w:rPr>
                <w:rFonts w:eastAsia="Calibri"/>
                <w:b/>
                <w:color w:val="FFFFFF"/>
                <w:sz w:val="19"/>
                <w:szCs w:val="19"/>
              </w:rPr>
            </w:pPr>
            <w:r w:rsidRPr="00116463">
              <w:rPr>
                <w:rFonts w:eastAsia="Calibri"/>
                <w:b/>
                <w:color w:val="FFFFFF"/>
                <w:sz w:val="19"/>
                <w:szCs w:val="19"/>
              </w:rPr>
              <w:t>Project Number</w:t>
            </w:r>
          </w:p>
        </w:tc>
        <w:tc>
          <w:tcPr>
            <w:tcW w:w="1562" w:type="dxa"/>
            <w:shd w:val="clear" w:color="auto" w:fill="448A99"/>
            <w:vAlign w:val="bottom"/>
          </w:tcPr>
          <w:p w:rsidR="00FD201B" w:rsidRPr="00116463" w:rsidRDefault="00FD201B" w:rsidP="004F0C61">
            <w:pPr>
              <w:jc w:val="center"/>
              <w:rPr>
                <w:rFonts w:eastAsia="Calibri"/>
                <w:b/>
                <w:color w:val="FFFFFF"/>
                <w:sz w:val="19"/>
                <w:szCs w:val="19"/>
              </w:rPr>
            </w:pPr>
            <w:r w:rsidRPr="00116463">
              <w:rPr>
                <w:rFonts w:eastAsia="Calibri"/>
                <w:b/>
                <w:color w:val="FFFFFF"/>
                <w:sz w:val="19"/>
                <w:szCs w:val="19"/>
              </w:rPr>
              <w:t>Stratum</w:t>
            </w:r>
          </w:p>
        </w:tc>
        <w:tc>
          <w:tcPr>
            <w:tcW w:w="1563" w:type="dxa"/>
            <w:shd w:val="clear" w:color="auto" w:fill="448A99"/>
            <w:vAlign w:val="bottom"/>
          </w:tcPr>
          <w:p w:rsidR="00FD201B" w:rsidRPr="00116463" w:rsidRDefault="00FD201B" w:rsidP="004F0C61">
            <w:pPr>
              <w:jc w:val="center"/>
              <w:rPr>
                <w:rFonts w:eastAsia="Calibri"/>
                <w:b/>
                <w:color w:val="FFFFFF"/>
                <w:sz w:val="19"/>
                <w:szCs w:val="19"/>
              </w:rPr>
            </w:pPr>
            <w:r w:rsidRPr="00116463">
              <w:rPr>
                <w:rFonts w:eastAsia="Calibri"/>
                <w:b/>
                <w:color w:val="FFFFFF"/>
                <w:sz w:val="19"/>
                <w:szCs w:val="19"/>
              </w:rPr>
              <w:t>Verified Energy Savings (kWh)</w:t>
            </w:r>
          </w:p>
        </w:tc>
        <w:tc>
          <w:tcPr>
            <w:tcW w:w="1562" w:type="dxa"/>
            <w:shd w:val="clear" w:color="auto" w:fill="448A99"/>
            <w:vAlign w:val="bottom"/>
          </w:tcPr>
          <w:p w:rsidR="00FD201B" w:rsidRPr="00116463" w:rsidRDefault="00FD201B" w:rsidP="004F0C61">
            <w:pPr>
              <w:jc w:val="center"/>
              <w:rPr>
                <w:rFonts w:eastAsia="Calibri"/>
                <w:b/>
                <w:color w:val="FFFFFF"/>
                <w:sz w:val="19"/>
                <w:szCs w:val="19"/>
              </w:rPr>
            </w:pPr>
            <w:r w:rsidRPr="00116463">
              <w:rPr>
                <w:rFonts w:eastAsia="Calibri"/>
                <w:b/>
                <w:color w:val="FFFFFF"/>
                <w:sz w:val="19"/>
                <w:szCs w:val="19"/>
              </w:rPr>
              <w:t>Verified Demand Savings (kW)</w:t>
            </w:r>
          </w:p>
        </w:tc>
        <w:tc>
          <w:tcPr>
            <w:tcW w:w="1564" w:type="dxa"/>
            <w:shd w:val="clear" w:color="auto" w:fill="448A99"/>
            <w:vAlign w:val="bottom"/>
          </w:tcPr>
          <w:p w:rsidR="00FD201B" w:rsidRPr="00116463" w:rsidRDefault="00FD201B" w:rsidP="004F0C61">
            <w:pPr>
              <w:jc w:val="center"/>
              <w:rPr>
                <w:rFonts w:eastAsia="Calibri"/>
                <w:b/>
                <w:color w:val="FFFFFF"/>
                <w:sz w:val="19"/>
                <w:szCs w:val="19"/>
              </w:rPr>
            </w:pPr>
            <w:r w:rsidRPr="00116463">
              <w:rPr>
                <w:rFonts w:eastAsia="Calibri"/>
                <w:b/>
                <w:color w:val="FFFFFF"/>
                <w:sz w:val="19"/>
                <w:szCs w:val="19"/>
              </w:rPr>
              <w:t>M&amp;V Method</w:t>
            </w:r>
          </w:p>
        </w:tc>
      </w:tr>
      <w:tr w:rsidR="00A874AC" w:rsidRPr="00116463" w:rsidTr="00116463">
        <w:trPr>
          <w:trHeight w:val="346"/>
        </w:trPr>
        <w:tc>
          <w:tcPr>
            <w:tcW w:w="1537" w:type="dxa"/>
            <w:shd w:val="clear" w:color="auto" w:fill="D2EAF1"/>
            <w:vAlign w:val="center"/>
          </w:tcPr>
          <w:p w:rsidR="00FD201B" w:rsidRPr="00116463" w:rsidRDefault="00FD201B" w:rsidP="004F0C61">
            <w:pPr>
              <w:jc w:val="left"/>
              <w:rPr>
                <w:rFonts w:eastAsia="Calibri"/>
                <w:sz w:val="19"/>
                <w:szCs w:val="19"/>
              </w:rPr>
            </w:pPr>
            <w:r w:rsidRPr="00116463">
              <w:rPr>
                <w:rFonts w:eastAsia="Calibri"/>
                <w:sz w:val="19"/>
                <w:szCs w:val="19"/>
              </w:rPr>
              <w:t>Large C/I Equipment</w:t>
            </w:r>
          </w:p>
        </w:tc>
        <w:tc>
          <w:tcPr>
            <w:tcW w:w="1562"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CR_PRJ-350683</w:t>
            </w:r>
          </w:p>
        </w:tc>
        <w:tc>
          <w:tcPr>
            <w:tcW w:w="1562"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Custom – certainty</w:t>
            </w:r>
          </w:p>
        </w:tc>
        <w:tc>
          <w:tcPr>
            <w:tcW w:w="1563"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11,462,920</w:t>
            </w:r>
          </w:p>
        </w:tc>
        <w:tc>
          <w:tcPr>
            <w:tcW w:w="1562"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1,417</w:t>
            </w:r>
          </w:p>
        </w:tc>
        <w:tc>
          <w:tcPr>
            <w:tcW w:w="1564"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EMS data analysis (CHP)</w:t>
            </w:r>
          </w:p>
        </w:tc>
      </w:tr>
      <w:tr w:rsidR="00E7173E" w:rsidRPr="00116463" w:rsidTr="00116463">
        <w:trPr>
          <w:trHeight w:val="346"/>
        </w:trPr>
        <w:tc>
          <w:tcPr>
            <w:tcW w:w="1537" w:type="dxa"/>
            <w:shd w:val="clear" w:color="auto" w:fill="auto"/>
            <w:vAlign w:val="center"/>
          </w:tcPr>
          <w:p w:rsidR="00FD201B" w:rsidRPr="00116463" w:rsidRDefault="00FD201B" w:rsidP="004F0C61">
            <w:pPr>
              <w:jc w:val="left"/>
              <w:rPr>
                <w:rFonts w:eastAsia="Calibri"/>
                <w:sz w:val="19"/>
                <w:szCs w:val="19"/>
              </w:rPr>
            </w:pPr>
            <w:r w:rsidRPr="00116463">
              <w:rPr>
                <w:rFonts w:eastAsia="Calibri"/>
                <w:sz w:val="19"/>
                <w:szCs w:val="19"/>
              </w:rPr>
              <w:t>Large C/I Equipment</w:t>
            </w:r>
          </w:p>
        </w:tc>
        <w:tc>
          <w:tcPr>
            <w:tcW w:w="1562" w:type="dxa"/>
            <w:shd w:val="clear" w:color="auto" w:fill="auto"/>
            <w:vAlign w:val="center"/>
          </w:tcPr>
          <w:p w:rsidR="00FD201B" w:rsidRPr="00116463" w:rsidRDefault="00FD201B" w:rsidP="004F0C61">
            <w:pPr>
              <w:jc w:val="center"/>
              <w:rPr>
                <w:rFonts w:eastAsia="Calibri"/>
                <w:sz w:val="19"/>
                <w:szCs w:val="19"/>
              </w:rPr>
            </w:pPr>
            <w:r w:rsidRPr="00116463">
              <w:rPr>
                <w:rFonts w:cs="Calibri"/>
                <w:color w:val="000000"/>
                <w:sz w:val="19"/>
                <w:szCs w:val="19"/>
              </w:rPr>
              <w:t>CR_PRJ-364757</w:t>
            </w:r>
          </w:p>
        </w:tc>
        <w:tc>
          <w:tcPr>
            <w:tcW w:w="1562" w:type="dxa"/>
            <w:shd w:val="clear" w:color="auto" w:fill="auto"/>
            <w:vAlign w:val="center"/>
          </w:tcPr>
          <w:p w:rsidR="00FD201B" w:rsidRPr="00116463" w:rsidRDefault="00FD201B" w:rsidP="004F0C61">
            <w:pPr>
              <w:jc w:val="center"/>
              <w:rPr>
                <w:rFonts w:eastAsia="Calibri"/>
                <w:sz w:val="19"/>
                <w:szCs w:val="19"/>
              </w:rPr>
            </w:pPr>
            <w:r w:rsidRPr="00116463">
              <w:rPr>
                <w:rFonts w:cs="Calibri"/>
                <w:color w:val="000000"/>
                <w:sz w:val="19"/>
                <w:szCs w:val="19"/>
              </w:rPr>
              <w:t>Lighting – 4</w:t>
            </w:r>
          </w:p>
        </w:tc>
        <w:tc>
          <w:tcPr>
            <w:tcW w:w="1563" w:type="dxa"/>
            <w:shd w:val="clear" w:color="auto" w:fill="auto"/>
            <w:vAlign w:val="center"/>
          </w:tcPr>
          <w:p w:rsidR="00FD201B" w:rsidRPr="00116463" w:rsidRDefault="00FD201B" w:rsidP="004F0C61">
            <w:pPr>
              <w:jc w:val="center"/>
              <w:rPr>
                <w:rFonts w:eastAsia="Calibri"/>
                <w:sz w:val="19"/>
                <w:szCs w:val="19"/>
              </w:rPr>
            </w:pPr>
            <w:r w:rsidRPr="00116463">
              <w:rPr>
                <w:rFonts w:cs="Calibri"/>
                <w:color w:val="000000"/>
                <w:sz w:val="19"/>
                <w:szCs w:val="19"/>
              </w:rPr>
              <w:t>133,467</w:t>
            </w:r>
          </w:p>
        </w:tc>
        <w:tc>
          <w:tcPr>
            <w:tcW w:w="1562" w:type="dxa"/>
            <w:shd w:val="clear" w:color="auto" w:fill="auto"/>
            <w:vAlign w:val="center"/>
          </w:tcPr>
          <w:p w:rsidR="00FD201B" w:rsidRPr="00116463" w:rsidRDefault="00FD201B" w:rsidP="004F0C61">
            <w:pPr>
              <w:jc w:val="center"/>
              <w:rPr>
                <w:rFonts w:eastAsia="Calibri"/>
                <w:sz w:val="19"/>
                <w:szCs w:val="19"/>
              </w:rPr>
            </w:pPr>
            <w:r w:rsidRPr="00116463">
              <w:rPr>
                <w:rFonts w:cs="Calibri"/>
                <w:color w:val="000000"/>
                <w:sz w:val="19"/>
                <w:szCs w:val="19"/>
              </w:rPr>
              <w:t>15.24</w:t>
            </w:r>
          </w:p>
        </w:tc>
        <w:tc>
          <w:tcPr>
            <w:tcW w:w="1564" w:type="dxa"/>
            <w:shd w:val="clear" w:color="auto" w:fill="auto"/>
            <w:vAlign w:val="center"/>
          </w:tcPr>
          <w:p w:rsidR="00FD201B" w:rsidRPr="00116463" w:rsidRDefault="00FD201B" w:rsidP="004F0C61">
            <w:pPr>
              <w:jc w:val="center"/>
              <w:rPr>
                <w:rFonts w:eastAsia="Calibri"/>
                <w:sz w:val="19"/>
                <w:szCs w:val="19"/>
              </w:rPr>
            </w:pPr>
            <w:r w:rsidRPr="00116463">
              <w:rPr>
                <w:rFonts w:cs="Calibri"/>
                <w:color w:val="000000"/>
                <w:sz w:val="19"/>
                <w:szCs w:val="19"/>
              </w:rPr>
              <w:t>On-site + logging</w:t>
            </w:r>
          </w:p>
        </w:tc>
      </w:tr>
      <w:tr w:rsidR="00A874AC" w:rsidRPr="00116463" w:rsidTr="00116463">
        <w:trPr>
          <w:trHeight w:val="346"/>
        </w:trPr>
        <w:tc>
          <w:tcPr>
            <w:tcW w:w="1537" w:type="dxa"/>
            <w:shd w:val="clear" w:color="auto" w:fill="D2EAF1"/>
            <w:vAlign w:val="center"/>
          </w:tcPr>
          <w:p w:rsidR="00FD201B" w:rsidRPr="00116463" w:rsidRDefault="00FD201B" w:rsidP="004F0C61">
            <w:pPr>
              <w:jc w:val="left"/>
              <w:rPr>
                <w:rFonts w:eastAsia="Calibri"/>
                <w:sz w:val="19"/>
                <w:szCs w:val="19"/>
              </w:rPr>
            </w:pPr>
            <w:r w:rsidRPr="00116463">
              <w:rPr>
                <w:rFonts w:eastAsia="Calibri"/>
                <w:sz w:val="19"/>
                <w:szCs w:val="19"/>
              </w:rPr>
              <w:t>Large C/I Equipment</w:t>
            </w:r>
          </w:p>
        </w:tc>
        <w:tc>
          <w:tcPr>
            <w:tcW w:w="1562"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CR_PRJ-441629</w:t>
            </w:r>
          </w:p>
        </w:tc>
        <w:tc>
          <w:tcPr>
            <w:tcW w:w="1562"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Lighting – certainty</w:t>
            </w:r>
          </w:p>
        </w:tc>
        <w:tc>
          <w:tcPr>
            <w:tcW w:w="1563"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1,305,240</w:t>
            </w:r>
          </w:p>
        </w:tc>
        <w:tc>
          <w:tcPr>
            <w:tcW w:w="1562"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149</w:t>
            </w:r>
          </w:p>
        </w:tc>
        <w:tc>
          <w:tcPr>
            <w:tcW w:w="1564" w:type="dxa"/>
            <w:shd w:val="clear" w:color="auto" w:fill="D2EAF1"/>
            <w:vAlign w:val="center"/>
          </w:tcPr>
          <w:p w:rsidR="00FD201B" w:rsidRPr="00116463" w:rsidRDefault="00FD201B" w:rsidP="004F0C61">
            <w:pPr>
              <w:jc w:val="center"/>
              <w:rPr>
                <w:rFonts w:eastAsia="Calibri"/>
                <w:sz w:val="19"/>
                <w:szCs w:val="19"/>
              </w:rPr>
            </w:pPr>
            <w:r w:rsidRPr="00116463">
              <w:rPr>
                <w:rFonts w:cs="Calibri"/>
                <w:color w:val="000000"/>
                <w:sz w:val="19"/>
                <w:szCs w:val="19"/>
              </w:rPr>
              <w:t>On-site + logging</w:t>
            </w:r>
          </w:p>
        </w:tc>
      </w:tr>
    </w:tbl>
    <w:p w:rsidR="00FD201B" w:rsidRPr="003458B1" w:rsidRDefault="00FD201B" w:rsidP="00FD201B"/>
    <w:p w:rsidR="00FD201B" w:rsidRPr="003458B1" w:rsidRDefault="00FD201B" w:rsidP="00FD201B">
      <w:pPr>
        <w:rPr>
          <w:color w:val="000000"/>
        </w:rPr>
      </w:pPr>
      <w:r w:rsidRPr="003458B1">
        <w:rPr>
          <w:color w:val="000000"/>
        </w:rPr>
        <w:t>Project CR_PRJ-350683 was a</w:t>
      </w:r>
      <w:r w:rsidR="000901B7">
        <w:rPr>
          <w:color w:val="000000"/>
        </w:rPr>
        <w:t xml:space="preserve"> combined heat and power</w:t>
      </w:r>
      <w:r w:rsidRPr="003458B1">
        <w:rPr>
          <w:color w:val="000000"/>
        </w:rPr>
        <w:t xml:space="preserve"> </w:t>
      </w:r>
      <w:r w:rsidR="000901B7">
        <w:rPr>
          <w:color w:val="000000"/>
        </w:rPr>
        <w:t>(</w:t>
      </w:r>
      <w:r w:rsidRPr="003458B1">
        <w:rPr>
          <w:color w:val="000000"/>
        </w:rPr>
        <w:t>CHP</w:t>
      </w:r>
      <w:r w:rsidR="000901B7">
        <w:rPr>
          <w:color w:val="000000"/>
        </w:rPr>
        <w:t>)</w:t>
      </w:r>
      <w:r w:rsidRPr="003458B1">
        <w:rPr>
          <w:color w:val="000000"/>
        </w:rPr>
        <w:t xml:space="preserve"> project at a manufacturing facility in Altoona, PA. The old compressors had been oversized for the situ</w:t>
      </w:r>
      <w:r>
        <w:rPr>
          <w:color w:val="000000"/>
        </w:rPr>
        <w:t>ation and were inefficient. As-b</w:t>
      </w:r>
      <w:r w:rsidRPr="003458B1">
        <w:rPr>
          <w:color w:val="000000"/>
        </w:rPr>
        <w:t xml:space="preserve">uilt CHP output from the EMS was provided to the </w:t>
      </w:r>
      <w:r w:rsidRPr="00341F68">
        <w:t>evaluation contractor</w:t>
      </w:r>
      <w:r w:rsidRPr="00E021B2" w:rsidDel="006054DE">
        <w:rPr>
          <w:sz w:val="20"/>
          <w:szCs w:val="20"/>
        </w:rPr>
        <w:t xml:space="preserve"> </w:t>
      </w:r>
      <w:r w:rsidRPr="003458B1">
        <w:rPr>
          <w:color w:val="000000"/>
        </w:rPr>
        <w:t xml:space="preserve">by the site, </w:t>
      </w:r>
      <w:r>
        <w:rPr>
          <w:color w:val="000000"/>
        </w:rPr>
        <w:t>and</w:t>
      </w:r>
      <w:r w:rsidRPr="003458B1">
        <w:rPr>
          <w:color w:val="000000"/>
        </w:rPr>
        <w:t xml:space="preserve"> the total energy and demand savings were determined through statistical analysis.</w:t>
      </w:r>
      <w:r w:rsidRPr="003458B1">
        <w:t xml:space="preserve"> </w:t>
      </w:r>
      <w:r w:rsidRPr="003458B1">
        <w:rPr>
          <w:color w:val="000000"/>
        </w:rPr>
        <w:t xml:space="preserve">ADM performed two site visits and confirmed installation and nameplate specs of the system. The SWE </w:t>
      </w:r>
      <w:r>
        <w:rPr>
          <w:color w:val="000000"/>
        </w:rPr>
        <w:t>T</w:t>
      </w:r>
      <w:r w:rsidRPr="003458B1">
        <w:rPr>
          <w:color w:val="000000"/>
        </w:rPr>
        <w:t>eam agrees with the level of rigor used in evaluating this project.</w:t>
      </w:r>
    </w:p>
    <w:p w:rsidR="00FD201B" w:rsidRPr="003458B1" w:rsidRDefault="00FD201B" w:rsidP="00FD201B">
      <w:pPr>
        <w:rPr>
          <w:color w:val="000000"/>
        </w:rPr>
      </w:pPr>
    </w:p>
    <w:p w:rsidR="00FD201B" w:rsidRPr="003458B1" w:rsidRDefault="00FD201B" w:rsidP="00FD201B">
      <w:pPr>
        <w:rPr>
          <w:color w:val="000000"/>
        </w:rPr>
      </w:pPr>
      <w:r w:rsidRPr="00C63792">
        <w:rPr>
          <w:color w:val="000000"/>
        </w:rPr>
        <w:t>Project</w:t>
      </w:r>
      <w:r w:rsidRPr="003458B1">
        <w:rPr>
          <w:color w:val="000000"/>
        </w:rPr>
        <w:t xml:space="preserve"> CR_PRJ-364757 involved a lighting retrofit of 59 fixtures at an industrial facility in Oil City, PA. Interior, uncooled metal halide fixtures were replaced with T5 fixtures. The </w:t>
      </w:r>
      <w:r w:rsidRPr="005332AC">
        <w:t>evaluation contractor</w:t>
      </w:r>
      <w:r w:rsidRPr="00E021B2" w:rsidDel="006054DE">
        <w:rPr>
          <w:sz w:val="20"/>
          <w:szCs w:val="20"/>
        </w:rPr>
        <w:t xml:space="preserve"> </w:t>
      </w:r>
      <w:r w:rsidRPr="003458B1">
        <w:rPr>
          <w:color w:val="000000"/>
        </w:rPr>
        <w:t xml:space="preserve">deployed </w:t>
      </w:r>
      <w:r>
        <w:rPr>
          <w:color w:val="000000"/>
        </w:rPr>
        <w:t>two</w:t>
      </w:r>
      <w:r w:rsidRPr="003458B1">
        <w:rPr>
          <w:color w:val="000000"/>
        </w:rPr>
        <w:t xml:space="preserve"> lighting loggers that confirmed 8</w:t>
      </w:r>
      <w:r>
        <w:rPr>
          <w:color w:val="000000"/>
        </w:rPr>
        <w:t>,</w:t>
      </w:r>
      <w:r w:rsidRPr="003458B1">
        <w:rPr>
          <w:color w:val="000000"/>
        </w:rPr>
        <w:t xml:space="preserve">760 </w:t>
      </w:r>
      <w:r>
        <w:rPr>
          <w:color w:val="000000"/>
        </w:rPr>
        <w:t>HOU</w:t>
      </w:r>
      <w:r w:rsidRPr="003458B1">
        <w:rPr>
          <w:color w:val="000000"/>
        </w:rPr>
        <w:t>. There were no differences between the ex</w:t>
      </w:r>
      <w:r>
        <w:rPr>
          <w:color w:val="000000"/>
        </w:rPr>
        <w:t xml:space="preserve"> </w:t>
      </w:r>
      <w:r w:rsidRPr="003458B1">
        <w:rPr>
          <w:color w:val="000000"/>
        </w:rPr>
        <w:t>ante and ex</w:t>
      </w:r>
      <w:r>
        <w:rPr>
          <w:color w:val="000000"/>
        </w:rPr>
        <w:t xml:space="preserve"> </w:t>
      </w:r>
      <w:r w:rsidRPr="003458B1">
        <w:rPr>
          <w:color w:val="000000"/>
        </w:rPr>
        <w:t xml:space="preserve">post values. </w:t>
      </w:r>
    </w:p>
    <w:p w:rsidR="00FD201B" w:rsidRPr="003458B1" w:rsidRDefault="00FD201B" w:rsidP="00FD201B">
      <w:pPr>
        <w:rPr>
          <w:color w:val="000000"/>
        </w:rPr>
      </w:pPr>
    </w:p>
    <w:p w:rsidR="00FD201B" w:rsidRPr="003458B1" w:rsidRDefault="00FD201B" w:rsidP="00FD201B">
      <w:pPr>
        <w:rPr>
          <w:color w:val="000000"/>
        </w:rPr>
      </w:pPr>
      <w:r w:rsidRPr="003458B1">
        <w:rPr>
          <w:color w:val="000000"/>
        </w:rPr>
        <w:t xml:space="preserve">Project CR_PRJ-441629 involved a lighting retrofit of 500 fixtures at a manufacturing facility in Erie, PA. Interior, uncooled 400W metal halide fixtures were replaced with 160W LED fixtures. The </w:t>
      </w:r>
      <w:r w:rsidRPr="005332AC">
        <w:t>evaluation contractor</w:t>
      </w:r>
      <w:r w:rsidRPr="005332AC" w:rsidDel="006054DE">
        <w:t xml:space="preserve"> </w:t>
      </w:r>
      <w:r w:rsidRPr="003458B1">
        <w:rPr>
          <w:color w:val="000000"/>
        </w:rPr>
        <w:t xml:space="preserve">deployed </w:t>
      </w:r>
      <w:r>
        <w:rPr>
          <w:color w:val="000000"/>
        </w:rPr>
        <w:t>seven</w:t>
      </w:r>
      <w:r w:rsidRPr="003458B1">
        <w:rPr>
          <w:color w:val="000000"/>
        </w:rPr>
        <w:t xml:space="preserve"> lighting loggers that confirmed 8</w:t>
      </w:r>
      <w:r>
        <w:rPr>
          <w:color w:val="000000"/>
        </w:rPr>
        <w:t>,</w:t>
      </w:r>
      <w:r w:rsidRPr="003458B1">
        <w:rPr>
          <w:color w:val="000000"/>
        </w:rPr>
        <w:t xml:space="preserve">760 </w:t>
      </w:r>
      <w:r>
        <w:rPr>
          <w:color w:val="000000"/>
        </w:rPr>
        <w:t>HOU</w:t>
      </w:r>
      <w:r w:rsidRPr="003458B1">
        <w:rPr>
          <w:color w:val="000000"/>
        </w:rPr>
        <w:t>. There were no differences between the ex</w:t>
      </w:r>
      <w:r>
        <w:rPr>
          <w:color w:val="000000"/>
        </w:rPr>
        <w:t xml:space="preserve"> </w:t>
      </w:r>
      <w:r w:rsidRPr="003458B1">
        <w:rPr>
          <w:color w:val="000000"/>
        </w:rPr>
        <w:t>ante and ex</w:t>
      </w:r>
      <w:r>
        <w:rPr>
          <w:color w:val="000000"/>
        </w:rPr>
        <w:t xml:space="preserve"> </w:t>
      </w:r>
      <w:r w:rsidRPr="003458B1">
        <w:rPr>
          <w:color w:val="000000"/>
        </w:rPr>
        <w:t>post values.</w:t>
      </w:r>
    </w:p>
    <w:p w:rsidR="00903627" w:rsidRDefault="00903627" w:rsidP="00B9141F"/>
    <w:p w:rsidR="00950837" w:rsidRDefault="00950837" w:rsidP="009C0DF1">
      <w:pPr>
        <w:pStyle w:val="AppendixAHeading3"/>
      </w:pPr>
      <w:r>
        <w:t>Net-to-Gross and Process Evaluation Audit Summary</w:t>
      </w:r>
    </w:p>
    <w:p w:rsidR="003E2E20" w:rsidRDefault="003E2E20" w:rsidP="003E2E20">
      <w:r w:rsidRPr="00661E10">
        <w:t>FirstEnergy’s evaluation contractor, ADM</w:t>
      </w:r>
      <w:r w:rsidR="0009501A">
        <w:t>/Tetra Tech</w:t>
      </w:r>
      <w:r w:rsidRPr="00661E10">
        <w:t xml:space="preserve">, took unified process evaluation approaches to these programs across the four FirstEnergy EDCs, including Penelec, and so the annual evaluation reports of the four EDCs report identical information about the process evaluation. Therefore, the SWE Team’s audit summary </w:t>
      </w:r>
      <w:r w:rsidRPr="003E2E20">
        <w:t xml:space="preserve">described in Section </w:t>
      </w:r>
      <w:r w:rsidRPr="003E2E20">
        <w:fldChar w:fldCharType="begin"/>
      </w:r>
      <w:r w:rsidRPr="003E2E20">
        <w:instrText xml:space="preserve"> REF _Ref472452280 \r \h </w:instrText>
      </w:r>
      <w:r>
        <w:instrText xml:space="preserve"> \* MERGEFORMAT </w:instrText>
      </w:r>
      <w:r w:rsidRPr="003E2E20">
        <w:fldChar w:fldCharType="separate"/>
      </w:r>
      <w:r w:rsidR="00037CB4">
        <w:t>A.2.4.4</w:t>
      </w:r>
      <w:r w:rsidRPr="003E2E20">
        <w:fldChar w:fldCharType="end"/>
      </w:r>
      <w:r w:rsidRPr="003E2E20">
        <w:t xml:space="preserve"> pertains</w:t>
      </w:r>
      <w:r w:rsidRPr="00661E10">
        <w:t xml:space="preserve"> to all four FirstEnergy utilities, including Penelec.</w:t>
      </w:r>
    </w:p>
    <w:p w:rsidR="003E2E20" w:rsidRDefault="003E2E20" w:rsidP="003E2E20"/>
    <w:p w:rsidR="003E2E20" w:rsidRPr="006C05B5" w:rsidRDefault="003E2E20" w:rsidP="003E2E20">
      <w:r w:rsidRPr="006C05B5">
        <w:t xml:space="preserve">FirstEnergy implemented a common set of energy efficiency programs across its four Pennsylvania EDCs. FirstEnergy’s evaluation contractors, ADM/Tetra Tech, used the same evaluation methods for all four EDCs. See </w:t>
      </w:r>
      <w:r w:rsidR="00B37A72" w:rsidRPr="003E2E20">
        <w:t xml:space="preserve">Section </w:t>
      </w:r>
      <w:r w:rsidR="00B37A72" w:rsidRPr="003E2E20">
        <w:fldChar w:fldCharType="begin"/>
      </w:r>
      <w:r w:rsidR="00B37A72" w:rsidRPr="003E2E20">
        <w:instrText xml:space="preserve"> REF _Ref472452280 \r \h </w:instrText>
      </w:r>
      <w:r w:rsidR="00B37A72">
        <w:instrText xml:space="preserve"> \* MERGEFORMAT </w:instrText>
      </w:r>
      <w:r w:rsidR="00B37A72" w:rsidRPr="003E2E20">
        <w:fldChar w:fldCharType="separate"/>
      </w:r>
      <w:r w:rsidR="00037CB4">
        <w:t>A.2.4.4</w:t>
      </w:r>
      <w:r w:rsidR="00B37A72" w:rsidRPr="003E2E20">
        <w:fldChar w:fldCharType="end"/>
      </w:r>
      <w:r w:rsidRPr="006C05B5">
        <w:t xml:space="preserve"> for a description of the SWE Team’s review of the FirstEnergy EDC NTG evaluation, which applies to all four of FirstEnergy’s Pennsylvania EDCs.</w:t>
      </w:r>
    </w:p>
    <w:p w:rsidR="00037CB4" w:rsidRPr="006C05B5" w:rsidRDefault="00B37A72" w:rsidP="003E2E20">
      <w:r>
        <w:fldChar w:fldCharType="begin"/>
      </w:r>
      <w:r>
        <w:instrText xml:space="preserve"> REF _Ref472452797 \h </w:instrText>
      </w:r>
      <w:r>
        <w:fldChar w:fldCharType="separate"/>
      </w:r>
    </w:p>
    <w:p w:rsidR="003E2E20" w:rsidRPr="006C05B5" w:rsidRDefault="00037CB4" w:rsidP="003E2E20">
      <w:r w:rsidRPr="00B37A72">
        <w:t>Table A-</w:t>
      </w:r>
      <w:r>
        <w:rPr>
          <w:noProof/>
        </w:rPr>
        <w:t>67</w:t>
      </w:r>
      <w:r w:rsidR="00B37A72">
        <w:fldChar w:fldCharType="end"/>
      </w:r>
      <w:r w:rsidR="00B37A72">
        <w:t xml:space="preserve"> </w:t>
      </w:r>
      <w:r w:rsidR="003E2E20" w:rsidRPr="006C05B5">
        <w:t xml:space="preserve">summarizes NTG findings from the Penelec PY7 annual report. </w:t>
      </w:r>
    </w:p>
    <w:p w:rsidR="00CF7914" w:rsidRPr="006C05B5" w:rsidRDefault="00CF7914" w:rsidP="003E2E20">
      <w:bookmarkStart w:id="888" w:name="_Ref472452797"/>
      <w:bookmarkStart w:id="889" w:name="_Toc444269759"/>
      <w:bookmarkStart w:id="890" w:name="_Toc472472476"/>
    </w:p>
    <w:p w:rsidR="003E2E20" w:rsidRPr="00B37A72" w:rsidRDefault="00B37A72" w:rsidP="004837FA">
      <w:pPr>
        <w:pStyle w:val="Caption"/>
      </w:pPr>
      <w:bookmarkStart w:id="891" w:name="_Toc488741895"/>
      <w:r w:rsidRPr="00B37A72">
        <w:t>Table A-</w:t>
      </w:r>
      <w:r w:rsidR="007973A4">
        <w:fldChar w:fldCharType="begin"/>
      </w:r>
      <w:r w:rsidR="007973A4">
        <w:instrText xml:space="preserve"> SEQ Table_A- \* ARABIC </w:instrText>
      </w:r>
      <w:r w:rsidR="007973A4">
        <w:fldChar w:fldCharType="separate"/>
      </w:r>
      <w:r w:rsidR="00037CB4">
        <w:rPr>
          <w:noProof/>
        </w:rPr>
        <w:t>67</w:t>
      </w:r>
      <w:r w:rsidR="007973A4">
        <w:rPr>
          <w:noProof/>
        </w:rPr>
        <w:fldChar w:fldCharType="end"/>
      </w:r>
      <w:bookmarkEnd w:id="888"/>
      <w:r w:rsidRPr="00B37A72">
        <w:t>:</w:t>
      </w:r>
      <w:r w:rsidR="003E2E20" w:rsidRPr="00B37A72">
        <w:t xml:space="preserve"> Summary of NTG Estimates for Penelec’s Program</w:t>
      </w:r>
      <w:bookmarkEnd w:id="889"/>
      <w:r w:rsidR="003E2E20" w:rsidRPr="00B37A72">
        <w:t>s</w:t>
      </w:r>
      <w:bookmarkEnd w:id="890"/>
      <w:bookmarkEnd w:id="891"/>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17"/>
        <w:gridCol w:w="3294"/>
        <w:gridCol w:w="1144"/>
        <w:gridCol w:w="1212"/>
        <w:gridCol w:w="1209"/>
        <w:gridCol w:w="1074"/>
      </w:tblGrid>
      <w:tr w:rsidR="00A874AC" w:rsidRPr="00116463" w:rsidTr="005C1352">
        <w:trPr>
          <w:tblHeader/>
          <w:jc w:val="center"/>
        </w:trPr>
        <w:tc>
          <w:tcPr>
            <w:tcW w:w="1417" w:type="dxa"/>
            <w:tcBorders>
              <w:bottom w:val="single" w:sz="4" w:space="0" w:color="448A99"/>
            </w:tcBorders>
            <w:shd w:val="clear" w:color="auto" w:fill="448A99"/>
            <w:vAlign w:val="bottom"/>
          </w:tcPr>
          <w:p w:rsidR="003E2E20" w:rsidRPr="00116463" w:rsidRDefault="003E2E20" w:rsidP="005C1352">
            <w:pPr>
              <w:rPr>
                <w:b/>
                <w:color w:val="FFFFFF"/>
                <w:sz w:val="19"/>
                <w:szCs w:val="19"/>
              </w:rPr>
            </w:pPr>
            <w:r w:rsidRPr="00116463">
              <w:rPr>
                <w:b/>
                <w:color w:val="FFFFFF"/>
                <w:sz w:val="19"/>
                <w:szCs w:val="19"/>
              </w:rPr>
              <w:t>Approach</w:t>
            </w:r>
          </w:p>
        </w:tc>
        <w:tc>
          <w:tcPr>
            <w:tcW w:w="3294" w:type="dxa"/>
            <w:tcBorders>
              <w:bottom w:val="single" w:sz="4" w:space="0" w:color="448A99"/>
            </w:tcBorders>
            <w:shd w:val="clear" w:color="auto" w:fill="448A99"/>
            <w:vAlign w:val="bottom"/>
          </w:tcPr>
          <w:p w:rsidR="003E2E20" w:rsidRPr="00116463" w:rsidRDefault="003E2E20" w:rsidP="005C1352">
            <w:pPr>
              <w:rPr>
                <w:b/>
                <w:color w:val="FFFFFF"/>
                <w:sz w:val="19"/>
                <w:szCs w:val="19"/>
              </w:rPr>
            </w:pPr>
            <w:r w:rsidRPr="00116463">
              <w:rPr>
                <w:b/>
                <w:color w:val="FFFFFF"/>
                <w:sz w:val="19"/>
                <w:szCs w:val="19"/>
              </w:rPr>
              <w:t>Program</w:t>
            </w:r>
          </w:p>
        </w:tc>
        <w:tc>
          <w:tcPr>
            <w:tcW w:w="1144" w:type="dxa"/>
            <w:tcBorders>
              <w:bottom w:val="single" w:sz="4" w:space="0" w:color="448A99"/>
            </w:tcBorders>
            <w:shd w:val="clear" w:color="auto" w:fill="448A99"/>
            <w:vAlign w:val="bottom"/>
          </w:tcPr>
          <w:p w:rsidR="003E2E20" w:rsidRPr="00116463" w:rsidRDefault="003E2E20" w:rsidP="005C1352">
            <w:pPr>
              <w:jc w:val="center"/>
              <w:rPr>
                <w:b/>
                <w:color w:val="FFFFFF"/>
                <w:sz w:val="19"/>
                <w:szCs w:val="19"/>
              </w:rPr>
            </w:pPr>
            <w:r w:rsidRPr="00116463">
              <w:rPr>
                <w:b/>
                <w:color w:val="FFFFFF"/>
                <w:sz w:val="19"/>
                <w:szCs w:val="19"/>
              </w:rPr>
              <w:t>Free-Ridership</w:t>
            </w:r>
          </w:p>
        </w:tc>
        <w:tc>
          <w:tcPr>
            <w:tcW w:w="1212" w:type="dxa"/>
            <w:tcBorders>
              <w:bottom w:val="single" w:sz="4" w:space="0" w:color="448A99"/>
            </w:tcBorders>
            <w:shd w:val="clear" w:color="auto" w:fill="448A99"/>
            <w:vAlign w:val="bottom"/>
          </w:tcPr>
          <w:p w:rsidR="003E2E20" w:rsidRPr="00116463" w:rsidRDefault="003E2E20" w:rsidP="005C1352">
            <w:pPr>
              <w:jc w:val="center"/>
              <w:rPr>
                <w:b/>
                <w:color w:val="FFFFFF"/>
                <w:sz w:val="19"/>
                <w:szCs w:val="19"/>
              </w:rPr>
            </w:pPr>
            <w:r w:rsidRPr="00116463">
              <w:rPr>
                <w:b/>
                <w:color w:val="FFFFFF"/>
                <w:sz w:val="19"/>
                <w:szCs w:val="19"/>
              </w:rPr>
              <w:t>Spillover</w:t>
            </w:r>
          </w:p>
        </w:tc>
        <w:tc>
          <w:tcPr>
            <w:tcW w:w="1209" w:type="dxa"/>
            <w:tcBorders>
              <w:bottom w:val="single" w:sz="4" w:space="0" w:color="448A99"/>
            </w:tcBorders>
            <w:shd w:val="clear" w:color="auto" w:fill="448A99"/>
            <w:vAlign w:val="bottom"/>
          </w:tcPr>
          <w:p w:rsidR="003E2E20" w:rsidRPr="00116463" w:rsidRDefault="003E2E20" w:rsidP="005C1352">
            <w:pPr>
              <w:jc w:val="center"/>
              <w:rPr>
                <w:b/>
                <w:color w:val="FFFFFF"/>
                <w:sz w:val="19"/>
                <w:szCs w:val="19"/>
              </w:rPr>
            </w:pPr>
            <w:r w:rsidRPr="00116463">
              <w:rPr>
                <w:b/>
                <w:color w:val="FFFFFF"/>
                <w:sz w:val="19"/>
                <w:szCs w:val="19"/>
              </w:rPr>
              <w:t>NTGR</w:t>
            </w:r>
            <w:r w:rsidRPr="00116463">
              <w:rPr>
                <w:b/>
                <w:color w:val="FFFFFF"/>
                <w:sz w:val="19"/>
                <w:szCs w:val="19"/>
                <w:vertAlign w:val="superscript"/>
              </w:rPr>
              <w:t>[a]</w:t>
            </w:r>
          </w:p>
        </w:tc>
        <w:tc>
          <w:tcPr>
            <w:tcW w:w="1074" w:type="dxa"/>
            <w:tcBorders>
              <w:bottom w:val="single" w:sz="4" w:space="0" w:color="448A99"/>
            </w:tcBorders>
            <w:shd w:val="clear" w:color="auto" w:fill="448A99"/>
            <w:vAlign w:val="bottom"/>
          </w:tcPr>
          <w:p w:rsidR="003E2E20" w:rsidRPr="00116463" w:rsidRDefault="003E2E20" w:rsidP="005C1352">
            <w:pPr>
              <w:jc w:val="center"/>
              <w:rPr>
                <w:b/>
                <w:color w:val="FFFFFF"/>
                <w:sz w:val="19"/>
                <w:szCs w:val="19"/>
              </w:rPr>
            </w:pPr>
            <w:r w:rsidRPr="00116463">
              <w:rPr>
                <w:b/>
                <w:color w:val="FFFFFF"/>
                <w:sz w:val="19"/>
                <w:szCs w:val="19"/>
              </w:rPr>
              <w:t>Sample Size</w:t>
            </w:r>
            <w:r w:rsidRPr="00116463">
              <w:rPr>
                <w:b/>
                <w:color w:val="FFFFFF"/>
                <w:sz w:val="19"/>
                <w:szCs w:val="19"/>
                <w:vertAlign w:val="superscript"/>
              </w:rPr>
              <w:t>[b]</w:t>
            </w:r>
          </w:p>
        </w:tc>
      </w:tr>
      <w:tr w:rsidR="00E7173E" w:rsidRPr="00116463" w:rsidTr="0081757B">
        <w:trPr>
          <w:trHeight w:val="288"/>
          <w:jc w:val="center"/>
        </w:trPr>
        <w:tc>
          <w:tcPr>
            <w:tcW w:w="9350" w:type="dxa"/>
            <w:gridSpan w:val="6"/>
            <w:shd w:val="clear" w:color="auto" w:fill="9C9393"/>
          </w:tcPr>
          <w:p w:rsidR="003E2E20" w:rsidRPr="00116463" w:rsidRDefault="003E2E20" w:rsidP="005C1352">
            <w:pPr>
              <w:rPr>
                <w:b/>
                <w:color w:val="FFFFFF"/>
                <w:sz w:val="19"/>
                <w:szCs w:val="19"/>
              </w:rPr>
            </w:pPr>
            <w:r w:rsidRPr="00116463">
              <w:rPr>
                <w:b/>
                <w:color w:val="FFFFFF"/>
                <w:sz w:val="19"/>
                <w:szCs w:val="19"/>
              </w:rPr>
              <w:t>Residential</w:t>
            </w:r>
          </w:p>
        </w:tc>
      </w:tr>
      <w:tr w:rsidR="00A874AC" w:rsidRPr="00116463" w:rsidTr="00116463">
        <w:trPr>
          <w:trHeight w:val="288"/>
          <w:jc w:val="center"/>
        </w:trPr>
        <w:tc>
          <w:tcPr>
            <w:tcW w:w="1417" w:type="dxa"/>
            <w:vMerge w:val="restart"/>
            <w:shd w:val="clear" w:color="auto" w:fill="D2EAF1"/>
          </w:tcPr>
          <w:p w:rsidR="003E2E20" w:rsidRPr="00116463" w:rsidRDefault="003E2E20" w:rsidP="005C1352">
            <w:pPr>
              <w:rPr>
                <w:sz w:val="19"/>
                <w:szCs w:val="19"/>
              </w:rPr>
            </w:pPr>
            <w:r w:rsidRPr="00116463">
              <w:rPr>
                <w:sz w:val="19"/>
                <w:szCs w:val="19"/>
              </w:rPr>
              <w:t>Estimated</w:t>
            </w:r>
          </w:p>
        </w:tc>
        <w:tc>
          <w:tcPr>
            <w:tcW w:w="3294" w:type="dxa"/>
            <w:shd w:val="clear" w:color="auto" w:fill="D2EAF1"/>
            <w:vAlign w:val="center"/>
          </w:tcPr>
          <w:p w:rsidR="003E2E20" w:rsidRPr="00116463" w:rsidRDefault="003E2E20" w:rsidP="005C1352">
            <w:pPr>
              <w:jc w:val="left"/>
              <w:rPr>
                <w:color w:val="548DD4"/>
                <w:sz w:val="19"/>
                <w:szCs w:val="19"/>
              </w:rPr>
            </w:pPr>
            <w:r w:rsidRPr="00116463">
              <w:rPr>
                <w:sz w:val="19"/>
                <w:szCs w:val="19"/>
              </w:rPr>
              <w:t>Appliance Turn-In</w:t>
            </w:r>
            <w:r w:rsidRPr="00116463">
              <w:rPr>
                <w:sz w:val="19"/>
                <w:szCs w:val="19"/>
                <w:vertAlign w:val="superscript"/>
              </w:rPr>
              <w:t>[c]</w:t>
            </w:r>
          </w:p>
        </w:tc>
        <w:tc>
          <w:tcPr>
            <w:tcW w:w="1144" w:type="dxa"/>
            <w:shd w:val="clear" w:color="auto" w:fill="D2EAF1"/>
            <w:vAlign w:val="center"/>
          </w:tcPr>
          <w:p w:rsidR="003E2E20" w:rsidRPr="00116463" w:rsidRDefault="003E2E20" w:rsidP="005C1352">
            <w:pPr>
              <w:jc w:val="center"/>
              <w:rPr>
                <w:sz w:val="19"/>
                <w:szCs w:val="19"/>
              </w:rPr>
            </w:pPr>
            <w:r w:rsidRPr="00116463">
              <w:rPr>
                <w:sz w:val="19"/>
                <w:szCs w:val="19"/>
              </w:rPr>
              <w:t>0.66</w:t>
            </w:r>
          </w:p>
        </w:tc>
        <w:tc>
          <w:tcPr>
            <w:tcW w:w="1212" w:type="dxa"/>
            <w:shd w:val="clear" w:color="auto" w:fill="D2EAF1"/>
            <w:vAlign w:val="center"/>
          </w:tcPr>
          <w:p w:rsidR="003E2E20" w:rsidRPr="00116463" w:rsidRDefault="003E2E20" w:rsidP="005C1352">
            <w:pPr>
              <w:jc w:val="center"/>
              <w:rPr>
                <w:sz w:val="19"/>
                <w:szCs w:val="19"/>
              </w:rPr>
            </w:pPr>
            <w:r w:rsidRPr="00116463">
              <w:rPr>
                <w:sz w:val="19"/>
                <w:szCs w:val="19"/>
              </w:rPr>
              <w:t>0.00</w:t>
            </w:r>
          </w:p>
        </w:tc>
        <w:tc>
          <w:tcPr>
            <w:tcW w:w="1209" w:type="dxa"/>
            <w:shd w:val="clear" w:color="auto" w:fill="D2EAF1"/>
            <w:vAlign w:val="center"/>
          </w:tcPr>
          <w:p w:rsidR="003E2E20" w:rsidRPr="00116463" w:rsidRDefault="003E2E20" w:rsidP="005C1352">
            <w:pPr>
              <w:jc w:val="center"/>
              <w:rPr>
                <w:sz w:val="19"/>
                <w:szCs w:val="19"/>
              </w:rPr>
            </w:pPr>
            <w:r w:rsidRPr="00116463">
              <w:rPr>
                <w:sz w:val="19"/>
                <w:szCs w:val="19"/>
              </w:rPr>
              <w:t>0.34</w:t>
            </w:r>
          </w:p>
        </w:tc>
        <w:tc>
          <w:tcPr>
            <w:tcW w:w="1074" w:type="dxa"/>
            <w:shd w:val="clear" w:color="auto" w:fill="D2EAF1"/>
            <w:vAlign w:val="center"/>
          </w:tcPr>
          <w:p w:rsidR="003E2E20" w:rsidRPr="00116463" w:rsidRDefault="003E2E20" w:rsidP="005C1352">
            <w:pPr>
              <w:jc w:val="center"/>
              <w:rPr>
                <w:sz w:val="19"/>
                <w:szCs w:val="19"/>
              </w:rPr>
            </w:pPr>
            <w:r w:rsidRPr="00116463">
              <w:rPr>
                <w:sz w:val="19"/>
                <w:szCs w:val="19"/>
              </w:rPr>
              <w:t>59</w:t>
            </w:r>
          </w:p>
        </w:tc>
      </w:tr>
      <w:tr w:rsidR="003E2E20" w:rsidRPr="00116463" w:rsidTr="00116463">
        <w:trPr>
          <w:trHeight w:val="288"/>
          <w:jc w:val="center"/>
        </w:trPr>
        <w:tc>
          <w:tcPr>
            <w:tcW w:w="1417" w:type="dxa"/>
            <w:vMerge/>
          </w:tcPr>
          <w:p w:rsidR="003E2E20" w:rsidRPr="00116463" w:rsidRDefault="003E2E20" w:rsidP="005C1352">
            <w:pPr>
              <w:rPr>
                <w:sz w:val="19"/>
                <w:szCs w:val="19"/>
              </w:rPr>
            </w:pPr>
          </w:p>
        </w:tc>
        <w:tc>
          <w:tcPr>
            <w:tcW w:w="3294" w:type="dxa"/>
            <w:vAlign w:val="center"/>
          </w:tcPr>
          <w:p w:rsidR="003E2E20" w:rsidRPr="00116463" w:rsidRDefault="003E2E20" w:rsidP="005C1352">
            <w:pPr>
              <w:jc w:val="left"/>
              <w:rPr>
                <w:color w:val="548DD4"/>
                <w:sz w:val="19"/>
                <w:szCs w:val="19"/>
              </w:rPr>
            </w:pPr>
            <w:r w:rsidRPr="00116463">
              <w:rPr>
                <w:sz w:val="19"/>
                <w:szCs w:val="19"/>
              </w:rPr>
              <w:t>Efficient Products</w:t>
            </w:r>
          </w:p>
        </w:tc>
        <w:tc>
          <w:tcPr>
            <w:tcW w:w="1144" w:type="dxa"/>
          </w:tcPr>
          <w:p w:rsidR="003E2E20" w:rsidRPr="00116463" w:rsidRDefault="003E2E20" w:rsidP="005C1352">
            <w:pPr>
              <w:jc w:val="center"/>
              <w:rPr>
                <w:sz w:val="19"/>
                <w:szCs w:val="19"/>
              </w:rPr>
            </w:pPr>
            <w:r w:rsidRPr="00116463">
              <w:rPr>
                <w:sz w:val="19"/>
                <w:szCs w:val="19"/>
              </w:rPr>
              <w:t>0.38</w:t>
            </w:r>
          </w:p>
        </w:tc>
        <w:tc>
          <w:tcPr>
            <w:tcW w:w="1212" w:type="dxa"/>
          </w:tcPr>
          <w:p w:rsidR="003E2E20" w:rsidRPr="00116463" w:rsidRDefault="003E2E20" w:rsidP="005C1352">
            <w:pPr>
              <w:jc w:val="center"/>
              <w:rPr>
                <w:sz w:val="19"/>
                <w:szCs w:val="19"/>
              </w:rPr>
            </w:pPr>
            <w:r w:rsidRPr="00116463">
              <w:rPr>
                <w:sz w:val="19"/>
                <w:szCs w:val="19"/>
              </w:rPr>
              <w:t>0.02</w:t>
            </w:r>
          </w:p>
        </w:tc>
        <w:tc>
          <w:tcPr>
            <w:tcW w:w="1209" w:type="dxa"/>
          </w:tcPr>
          <w:p w:rsidR="003E2E20" w:rsidRPr="00116463" w:rsidRDefault="003E2E20" w:rsidP="005C1352">
            <w:pPr>
              <w:jc w:val="center"/>
              <w:rPr>
                <w:sz w:val="19"/>
                <w:szCs w:val="19"/>
              </w:rPr>
            </w:pPr>
            <w:r w:rsidRPr="00116463">
              <w:rPr>
                <w:sz w:val="19"/>
                <w:szCs w:val="19"/>
              </w:rPr>
              <w:t>0.65</w:t>
            </w:r>
          </w:p>
        </w:tc>
        <w:tc>
          <w:tcPr>
            <w:tcW w:w="1074" w:type="dxa"/>
            <w:vAlign w:val="center"/>
          </w:tcPr>
          <w:p w:rsidR="003E2E20" w:rsidRPr="00116463" w:rsidRDefault="003E2E20" w:rsidP="005C1352">
            <w:pPr>
              <w:jc w:val="center"/>
              <w:rPr>
                <w:sz w:val="19"/>
                <w:szCs w:val="19"/>
              </w:rPr>
            </w:pPr>
            <w:r w:rsidRPr="00116463">
              <w:rPr>
                <w:sz w:val="19"/>
                <w:szCs w:val="19"/>
              </w:rPr>
              <w:t>131</w:t>
            </w:r>
          </w:p>
        </w:tc>
      </w:tr>
      <w:tr w:rsidR="00A874AC" w:rsidRPr="00116463" w:rsidTr="00116463">
        <w:trPr>
          <w:trHeight w:val="288"/>
          <w:jc w:val="center"/>
        </w:trPr>
        <w:tc>
          <w:tcPr>
            <w:tcW w:w="1417" w:type="dxa"/>
            <w:vMerge/>
            <w:tcBorders>
              <w:bottom w:val="single" w:sz="4" w:space="0" w:color="448A99"/>
            </w:tcBorders>
          </w:tcPr>
          <w:p w:rsidR="003E2E20" w:rsidRPr="00116463" w:rsidRDefault="003E2E20" w:rsidP="005C1352">
            <w:pPr>
              <w:rPr>
                <w:sz w:val="19"/>
                <w:szCs w:val="19"/>
              </w:rPr>
            </w:pPr>
          </w:p>
        </w:tc>
        <w:tc>
          <w:tcPr>
            <w:tcW w:w="3294" w:type="dxa"/>
            <w:tcBorders>
              <w:bottom w:val="single" w:sz="4" w:space="0" w:color="448A99"/>
            </w:tcBorders>
            <w:shd w:val="clear" w:color="auto" w:fill="D2EAF1"/>
            <w:vAlign w:val="center"/>
          </w:tcPr>
          <w:p w:rsidR="003E2E20" w:rsidRPr="00116463" w:rsidRDefault="003E2E20" w:rsidP="005C1352">
            <w:pPr>
              <w:jc w:val="left"/>
              <w:rPr>
                <w:color w:val="548DD4"/>
                <w:sz w:val="19"/>
                <w:szCs w:val="19"/>
              </w:rPr>
            </w:pPr>
            <w:r w:rsidRPr="00116463">
              <w:rPr>
                <w:sz w:val="19"/>
                <w:szCs w:val="19"/>
              </w:rPr>
              <w:t>Home Performance</w:t>
            </w:r>
          </w:p>
        </w:tc>
        <w:tc>
          <w:tcPr>
            <w:tcW w:w="1144" w:type="dxa"/>
            <w:tcBorders>
              <w:bottom w:val="single" w:sz="4" w:space="0" w:color="448A99"/>
            </w:tcBorders>
            <w:shd w:val="clear" w:color="auto" w:fill="D2EAF1"/>
          </w:tcPr>
          <w:p w:rsidR="003E2E20" w:rsidRPr="00116463" w:rsidRDefault="003E2E20" w:rsidP="005C1352">
            <w:pPr>
              <w:jc w:val="center"/>
              <w:rPr>
                <w:sz w:val="19"/>
                <w:szCs w:val="19"/>
              </w:rPr>
            </w:pPr>
            <w:r w:rsidRPr="00116463">
              <w:rPr>
                <w:sz w:val="19"/>
                <w:szCs w:val="19"/>
              </w:rPr>
              <w:t>0.34</w:t>
            </w:r>
          </w:p>
        </w:tc>
        <w:tc>
          <w:tcPr>
            <w:tcW w:w="1212" w:type="dxa"/>
            <w:tcBorders>
              <w:bottom w:val="single" w:sz="4" w:space="0" w:color="448A99"/>
            </w:tcBorders>
            <w:shd w:val="clear" w:color="auto" w:fill="D2EAF1"/>
          </w:tcPr>
          <w:p w:rsidR="003E2E20" w:rsidRPr="00116463" w:rsidRDefault="003E2E20" w:rsidP="005C1352">
            <w:pPr>
              <w:jc w:val="center"/>
              <w:rPr>
                <w:sz w:val="19"/>
                <w:szCs w:val="19"/>
              </w:rPr>
            </w:pPr>
            <w:r w:rsidRPr="00116463">
              <w:rPr>
                <w:sz w:val="19"/>
                <w:szCs w:val="19"/>
              </w:rPr>
              <w:t>0.04</w:t>
            </w:r>
          </w:p>
        </w:tc>
        <w:tc>
          <w:tcPr>
            <w:tcW w:w="1209" w:type="dxa"/>
            <w:tcBorders>
              <w:bottom w:val="single" w:sz="4" w:space="0" w:color="448A99"/>
            </w:tcBorders>
            <w:shd w:val="clear" w:color="auto" w:fill="D2EAF1"/>
          </w:tcPr>
          <w:p w:rsidR="003E2E20" w:rsidRPr="00116463" w:rsidRDefault="003E2E20" w:rsidP="005C1352">
            <w:pPr>
              <w:jc w:val="center"/>
              <w:rPr>
                <w:sz w:val="19"/>
                <w:szCs w:val="19"/>
              </w:rPr>
            </w:pPr>
            <w:r w:rsidRPr="00116463">
              <w:rPr>
                <w:sz w:val="19"/>
                <w:szCs w:val="19"/>
              </w:rPr>
              <w:t>0.70</w:t>
            </w:r>
          </w:p>
        </w:tc>
        <w:tc>
          <w:tcPr>
            <w:tcW w:w="1074" w:type="dxa"/>
            <w:tcBorders>
              <w:bottom w:val="single" w:sz="4" w:space="0" w:color="448A99"/>
            </w:tcBorders>
            <w:shd w:val="clear" w:color="auto" w:fill="D2EAF1"/>
          </w:tcPr>
          <w:p w:rsidR="003E2E20" w:rsidRPr="00116463" w:rsidRDefault="003E2E20" w:rsidP="005C1352">
            <w:pPr>
              <w:jc w:val="center"/>
              <w:rPr>
                <w:sz w:val="19"/>
                <w:szCs w:val="19"/>
              </w:rPr>
            </w:pPr>
            <w:r w:rsidRPr="00116463">
              <w:rPr>
                <w:sz w:val="19"/>
                <w:szCs w:val="19"/>
              </w:rPr>
              <w:t>N/A</w:t>
            </w:r>
          </w:p>
        </w:tc>
      </w:tr>
      <w:tr w:rsidR="00E7173E" w:rsidRPr="00116463" w:rsidTr="0081757B">
        <w:trPr>
          <w:trHeight w:val="288"/>
          <w:jc w:val="center"/>
        </w:trPr>
        <w:tc>
          <w:tcPr>
            <w:tcW w:w="9350" w:type="dxa"/>
            <w:gridSpan w:val="6"/>
            <w:shd w:val="clear" w:color="auto" w:fill="9C9393"/>
            <w:vAlign w:val="center"/>
          </w:tcPr>
          <w:p w:rsidR="003E2E20" w:rsidRPr="00116463" w:rsidRDefault="003E2E20" w:rsidP="005C1352">
            <w:pPr>
              <w:jc w:val="left"/>
              <w:rPr>
                <w:b/>
                <w:color w:val="FFFFFF"/>
                <w:sz w:val="19"/>
                <w:szCs w:val="19"/>
              </w:rPr>
            </w:pPr>
            <w:r w:rsidRPr="00116463">
              <w:rPr>
                <w:b/>
                <w:color w:val="FFFFFF"/>
                <w:sz w:val="19"/>
                <w:szCs w:val="19"/>
              </w:rPr>
              <w:t>Low-Income</w:t>
            </w:r>
          </w:p>
        </w:tc>
      </w:tr>
      <w:tr w:rsidR="00E7173E" w:rsidRPr="00116463" w:rsidTr="00116463">
        <w:trPr>
          <w:trHeight w:val="288"/>
          <w:jc w:val="center"/>
        </w:trPr>
        <w:tc>
          <w:tcPr>
            <w:tcW w:w="1417" w:type="dxa"/>
            <w:shd w:val="clear" w:color="auto" w:fill="auto"/>
          </w:tcPr>
          <w:p w:rsidR="003E2E20" w:rsidRPr="00116463" w:rsidRDefault="003E2E20" w:rsidP="005C1352">
            <w:pPr>
              <w:rPr>
                <w:b/>
                <w:color w:val="FFFFFF"/>
                <w:sz w:val="19"/>
                <w:szCs w:val="19"/>
              </w:rPr>
            </w:pPr>
            <w:r w:rsidRPr="00116463">
              <w:rPr>
                <w:sz w:val="19"/>
                <w:szCs w:val="19"/>
              </w:rPr>
              <w:t>Estimated</w:t>
            </w:r>
          </w:p>
        </w:tc>
        <w:tc>
          <w:tcPr>
            <w:tcW w:w="3294" w:type="dxa"/>
            <w:shd w:val="clear" w:color="auto" w:fill="auto"/>
          </w:tcPr>
          <w:p w:rsidR="003E2E20" w:rsidRPr="00116463" w:rsidRDefault="003E2E20" w:rsidP="005C1352">
            <w:pPr>
              <w:jc w:val="left"/>
              <w:rPr>
                <w:sz w:val="19"/>
                <w:szCs w:val="19"/>
              </w:rPr>
            </w:pPr>
            <w:r w:rsidRPr="00116463">
              <w:rPr>
                <w:sz w:val="19"/>
                <w:szCs w:val="19"/>
              </w:rPr>
              <w:t>Residential Low-Income Program</w:t>
            </w:r>
          </w:p>
        </w:tc>
        <w:tc>
          <w:tcPr>
            <w:tcW w:w="1144" w:type="dxa"/>
            <w:shd w:val="clear" w:color="auto" w:fill="auto"/>
          </w:tcPr>
          <w:p w:rsidR="003E2E20" w:rsidRPr="00116463" w:rsidRDefault="003E2E20" w:rsidP="005C1352">
            <w:pPr>
              <w:jc w:val="center"/>
              <w:rPr>
                <w:sz w:val="19"/>
                <w:szCs w:val="19"/>
              </w:rPr>
            </w:pPr>
            <w:r w:rsidRPr="00116463">
              <w:rPr>
                <w:bCs/>
                <w:color w:val="000000"/>
                <w:sz w:val="19"/>
                <w:szCs w:val="19"/>
              </w:rPr>
              <w:t>0.26</w:t>
            </w:r>
          </w:p>
        </w:tc>
        <w:tc>
          <w:tcPr>
            <w:tcW w:w="1212" w:type="dxa"/>
            <w:shd w:val="clear" w:color="auto" w:fill="auto"/>
          </w:tcPr>
          <w:p w:rsidR="003E2E20" w:rsidRPr="00116463" w:rsidRDefault="003E2E20" w:rsidP="005C1352">
            <w:pPr>
              <w:jc w:val="center"/>
              <w:rPr>
                <w:sz w:val="19"/>
                <w:szCs w:val="19"/>
              </w:rPr>
            </w:pPr>
            <w:r w:rsidRPr="00116463">
              <w:rPr>
                <w:bCs/>
                <w:color w:val="000000"/>
                <w:sz w:val="19"/>
                <w:szCs w:val="19"/>
              </w:rPr>
              <w:t>0.09</w:t>
            </w:r>
          </w:p>
        </w:tc>
        <w:tc>
          <w:tcPr>
            <w:tcW w:w="1209" w:type="dxa"/>
            <w:shd w:val="clear" w:color="auto" w:fill="auto"/>
          </w:tcPr>
          <w:p w:rsidR="003E2E20" w:rsidRPr="00116463" w:rsidRDefault="003E2E20" w:rsidP="005C1352">
            <w:pPr>
              <w:jc w:val="center"/>
              <w:rPr>
                <w:sz w:val="19"/>
                <w:szCs w:val="19"/>
              </w:rPr>
            </w:pPr>
            <w:r w:rsidRPr="00116463">
              <w:rPr>
                <w:bCs/>
                <w:color w:val="000000"/>
                <w:sz w:val="19"/>
                <w:szCs w:val="19"/>
              </w:rPr>
              <w:t>0.82</w:t>
            </w:r>
          </w:p>
        </w:tc>
        <w:tc>
          <w:tcPr>
            <w:tcW w:w="1074" w:type="dxa"/>
            <w:shd w:val="clear" w:color="auto" w:fill="auto"/>
          </w:tcPr>
          <w:p w:rsidR="003E2E20" w:rsidRPr="00116463" w:rsidRDefault="003E2E20" w:rsidP="005C1352">
            <w:pPr>
              <w:jc w:val="center"/>
              <w:rPr>
                <w:sz w:val="19"/>
                <w:szCs w:val="19"/>
              </w:rPr>
            </w:pPr>
            <w:r w:rsidRPr="00116463">
              <w:rPr>
                <w:bCs/>
                <w:color w:val="000000"/>
                <w:sz w:val="19"/>
                <w:szCs w:val="19"/>
              </w:rPr>
              <w:t>44</w:t>
            </w:r>
          </w:p>
        </w:tc>
      </w:tr>
      <w:tr w:rsidR="00E7173E" w:rsidRPr="00116463" w:rsidTr="0081757B">
        <w:trPr>
          <w:trHeight w:val="288"/>
          <w:jc w:val="center"/>
        </w:trPr>
        <w:tc>
          <w:tcPr>
            <w:tcW w:w="9350" w:type="dxa"/>
            <w:gridSpan w:val="6"/>
            <w:shd w:val="clear" w:color="auto" w:fill="9C9393"/>
            <w:vAlign w:val="center"/>
          </w:tcPr>
          <w:p w:rsidR="003E2E20" w:rsidRPr="00116463" w:rsidRDefault="003E2E20" w:rsidP="005C1352">
            <w:pPr>
              <w:jc w:val="left"/>
              <w:rPr>
                <w:b/>
                <w:color w:val="FFFFFF"/>
                <w:sz w:val="19"/>
                <w:szCs w:val="19"/>
              </w:rPr>
            </w:pPr>
            <w:r w:rsidRPr="00116463">
              <w:rPr>
                <w:b/>
                <w:color w:val="FFFFFF"/>
                <w:sz w:val="19"/>
                <w:szCs w:val="19"/>
              </w:rPr>
              <w:t>Non-Residential</w:t>
            </w:r>
          </w:p>
        </w:tc>
      </w:tr>
      <w:tr w:rsidR="00A874AC" w:rsidRPr="00116463" w:rsidTr="00116463">
        <w:trPr>
          <w:trHeight w:val="288"/>
          <w:jc w:val="center"/>
        </w:trPr>
        <w:tc>
          <w:tcPr>
            <w:tcW w:w="1417" w:type="dxa"/>
            <w:vMerge w:val="restart"/>
            <w:shd w:val="clear" w:color="auto" w:fill="D2EAF1"/>
          </w:tcPr>
          <w:p w:rsidR="003E2E20" w:rsidRPr="00116463" w:rsidRDefault="003E2E20" w:rsidP="005C1352">
            <w:pPr>
              <w:rPr>
                <w:sz w:val="19"/>
                <w:szCs w:val="19"/>
              </w:rPr>
            </w:pPr>
            <w:r w:rsidRPr="00116463">
              <w:rPr>
                <w:sz w:val="19"/>
                <w:szCs w:val="19"/>
              </w:rPr>
              <w:t>Estimated</w:t>
            </w:r>
          </w:p>
        </w:tc>
        <w:tc>
          <w:tcPr>
            <w:tcW w:w="3294" w:type="dxa"/>
            <w:tcBorders>
              <w:bottom w:val="single" w:sz="4" w:space="0" w:color="448A99"/>
            </w:tcBorders>
            <w:shd w:val="clear" w:color="auto" w:fill="D2EAF1"/>
            <w:vAlign w:val="center"/>
          </w:tcPr>
          <w:p w:rsidR="003E2E20" w:rsidRPr="00116463" w:rsidRDefault="003E2E20" w:rsidP="005C1352">
            <w:pPr>
              <w:jc w:val="left"/>
              <w:rPr>
                <w:sz w:val="19"/>
                <w:szCs w:val="19"/>
              </w:rPr>
            </w:pPr>
            <w:r w:rsidRPr="00116463">
              <w:rPr>
                <w:sz w:val="19"/>
                <w:szCs w:val="19"/>
              </w:rPr>
              <w:t>Small C/I Equipment</w:t>
            </w:r>
          </w:p>
        </w:tc>
        <w:tc>
          <w:tcPr>
            <w:tcW w:w="1144" w:type="dxa"/>
            <w:tcBorders>
              <w:bottom w:val="single" w:sz="4" w:space="0" w:color="448A99"/>
            </w:tcBorders>
            <w:shd w:val="clear" w:color="auto" w:fill="D2EAF1"/>
            <w:vAlign w:val="center"/>
          </w:tcPr>
          <w:p w:rsidR="003E2E20" w:rsidRPr="00116463" w:rsidRDefault="003E2E20" w:rsidP="005C1352">
            <w:pPr>
              <w:jc w:val="center"/>
              <w:rPr>
                <w:sz w:val="19"/>
                <w:szCs w:val="19"/>
              </w:rPr>
            </w:pPr>
            <w:r w:rsidRPr="00116463">
              <w:rPr>
                <w:sz w:val="19"/>
                <w:szCs w:val="19"/>
              </w:rPr>
              <w:t>0.38</w:t>
            </w:r>
          </w:p>
        </w:tc>
        <w:tc>
          <w:tcPr>
            <w:tcW w:w="1212" w:type="dxa"/>
            <w:tcBorders>
              <w:bottom w:val="single" w:sz="4" w:space="0" w:color="448A99"/>
            </w:tcBorders>
            <w:shd w:val="clear" w:color="auto" w:fill="D2EAF1"/>
            <w:vAlign w:val="center"/>
          </w:tcPr>
          <w:p w:rsidR="003E2E20" w:rsidRPr="00116463" w:rsidRDefault="003E2E20" w:rsidP="005C1352">
            <w:pPr>
              <w:jc w:val="center"/>
              <w:rPr>
                <w:sz w:val="19"/>
                <w:szCs w:val="19"/>
              </w:rPr>
            </w:pPr>
            <w:r w:rsidRPr="00116463">
              <w:rPr>
                <w:sz w:val="19"/>
                <w:szCs w:val="19"/>
              </w:rPr>
              <w:t>0.12</w:t>
            </w:r>
          </w:p>
        </w:tc>
        <w:tc>
          <w:tcPr>
            <w:tcW w:w="1209" w:type="dxa"/>
            <w:tcBorders>
              <w:bottom w:val="single" w:sz="4" w:space="0" w:color="448A99"/>
            </w:tcBorders>
            <w:shd w:val="clear" w:color="auto" w:fill="D2EAF1"/>
            <w:vAlign w:val="center"/>
          </w:tcPr>
          <w:p w:rsidR="003E2E20" w:rsidRPr="00116463" w:rsidRDefault="003E2E20" w:rsidP="005C1352">
            <w:pPr>
              <w:jc w:val="center"/>
              <w:rPr>
                <w:sz w:val="19"/>
                <w:szCs w:val="19"/>
              </w:rPr>
            </w:pPr>
            <w:r w:rsidRPr="00116463">
              <w:rPr>
                <w:sz w:val="19"/>
                <w:szCs w:val="19"/>
              </w:rPr>
              <w:t>0.75</w:t>
            </w:r>
          </w:p>
        </w:tc>
        <w:tc>
          <w:tcPr>
            <w:tcW w:w="1074" w:type="dxa"/>
            <w:tcBorders>
              <w:bottom w:val="single" w:sz="4" w:space="0" w:color="448A99"/>
            </w:tcBorders>
            <w:shd w:val="clear" w:color="auto" w:fill="D2EAF1"/>
            <w:vAlign w:val="center"/>
          </w:tcPr>
          <w:p w:rsidR="003E2E20" w:rsidRPr="00116463" w:rsidRDefault="003E2E20" w:rsidP="005C1352">
            <w:pPr>
              <w:jc w:val="center"/>
              <w:rPr>
                <w:sz w:val="19"/>
                <w:szCs w:val="19"/>
              </w:rPr>
            </w:pPr>
            <w:r w:rsidRPr="00116463">
              <w:rPr>
                <w:sz w:val="19"/>
                <w:szCs w:val="19"/>
              </w:rPr>
              <w:t>N/A</w:t>
            </w:r>
          </w:p>
        </w:tc>
      </w:tr>
      <w:tr w:rsidR="00A874AC" w:rsidRPr="00116463" w:rsidTr="00116463">
        <w:trPr>
          <w:trHeight w:val="288"/>
          <w:jc w:val="center"/>
        </w:trPr>
        <w:tc>
          <w:tcPr>
            <w:tcW w:w="1417" w:type="dxa"/>
            <w:vMerge/>
            <w:shd w:val="clear" w:color="auto" w:fill="D2EAF1"/>
          </w:tcPr>
          <w:p w:rsidR="003E2E20" w:rsidRPr="00116463" w:rsidRDefault="003E2E20" w:rsidP="005C1352">
            <w:pPr>
              <w:rPr>
                <w:sz w:val="19"/>
                <w:szCs w:val="19"/>
              </w:rPr>
            </w:pPr>
          </w:p>
        </w:tc>
        <w:tc>
          <w:tcPr>
            <w:tcW w:w="3294" w:type="dxa"/>
            <w:tcBorders>
              <w:bottom w:val="single" w:sz="4" w:space="0" w:color="448A99"/>
            </w:tcBorders>
            <w:shd w:val="clear" w:color="auto" w:fill="FFFFFF"/>
            <w:vAlign w:val="center"/>
          </w:tcPr>
          <w:p w:rsidR="003E2E20" w:rsidRPr="00116463" w:rsidRDefault="003E2E20" w:rsidP="005C1352">
            <w:pPr>
              <w:jc w:val="left"/>
              <w:rPr>
                <w:sz w:val="19"/>
                <w:szCs w:val="19"/>
              </w:rPr>
            </w:pPr>
            <w:r w:rsidRPr="00116463">
              <w:rPr>
                <w:sz w:val="19"/>
                <w:szCs w:val="19"/>
              </w:rPr>
              <w:t>Large C/I Equipment</w:t>
            </w:r>
          </w:p>
        </w:tc>
        <w:tc>
          <w:tcPr>
            <w:tcW w:w="1144" w:type="dxa"/>
            <w:tcBorders>
              <w:bottom w:val="single" w:sz="4" w:space="0" w:color="448A99"/>
            </w:tcBorders>
            <w:shd w:val="clear" w:color="auto" w:fill="FFFFFF"/>
          </w:tcPr>
          <w:p w:rsidR="003E2E20" w:rsidRPr="00116463" w:rsidRDefault="003E2E20" w:rsidP="005C1352">
            <w:pPr>
              <w:jc w:val="center"/>
              <w:rPr>
                <w:sz w:val="19"/>
                <w:szCs w:val="19"/>
              </w:rPr>
            </w:pPr>
            <w:r w:rsidRPr="00116463">
              <w:rPr>
                <w:sz w:val="19"/>
                <w:szCs w:val="19"/>
              </w:rPr>
              <w:t>0.26</w:t>
            </w:r>
          </w:p>
        </w:tc>
        <w:tc>
          <w:tcPr>
            <w:tcW w:w="1212" w:type="dxa"/>
            <w:tcBorders>
              <w:bottom w:val="single" w:sz="4" w:space="0" w:color="448A99"/>
            </w:tcBorders>
            <w:shd w:val="clear" w:color="auto" w:fill="FFFFFF"/>
          </w:tcPr>
          <w:p w:rsidR="003E2E20" w:rsidRPr="00116463" w:rsidRDefault="003E2E20" w:rsidP="005C1352">
            <w:pPr>
              <w:jc w:val="center"/>
              <w:rPr>
                <w:sz w:val="19"/>
                <w:szCs w:val="19"/>
              </w:rPr>
            </w:pPr>
            <w:r w:rsidRPr="00116463">
              <w:rPr>
                <w:sz w:val="19"/>
                <w:szCs w:val="19"/>
              </w:rPr>
              <w:t>0.07</w:t>
            </w:r>
          </w:p>
        </w:tc>
        <w:tc>
          <w:tcPr>
            <w:tcW w:w="1209" w:type="dxa"/>
            <w:tcBorders>
              <w:bottom w:val="single" w:sz="4" w:space="0" w:color="448A99"/>
            </w:tcBorders>
            <w:shd w:val="clear" w:color="auto" w:fill="FFFFFF"/>
          </w:tcPr>
          <w:p w:rsidR="003E2E20" w:rsidRPr="00116463" w:rsidRDefault="003E2E20" w:rsidP="005C1352">
            <w:pPr>
              <w:jc w:val="center"/>
              <w:rPr>
                <w:sz w:val="19"/>
                <w:szCs w:val="19"/>
              </w:rPr>
            </w:pPr>
            <w:r w:rsidRPr="00116463">
              <w:rPr>
                <w:sz w:val="19"/>
                <w:szCs w:val="19"/>
              </w:rPr>
              <w:t>0.81</w:t>
            </w:r>
          </w:p>
        </w:tc>
        <w:tc>
          <w:tcPr>
            <w:tcW w:w="1074" w:type="dxa"/>
            <w:tcBorders>
              <w:bottom w:val="single" w:sz="4" w:space="0" w:color="448A99"/>
            </w:tcBorders>
            <w:shd w:val="clear" w:color="auto" w:fill="FFFFFF"/>
          </w:tcPr>
          <w:p w:rsidR="003E2E20" w:rsidRPr="00116463" w:rsidRDefault="003E2E20" w:rsidP="005C1352">
            <w:pPr>
              <w:jc w:val="center"/>
              <w:rPr>
                <w:sz w:val="19"/>
                <w:szCs w:val="19"/>
              </w:rPr>
            </w:pPr>
            <w:r w:rsidRPr="00116463">
              <w:rPr>
                <w:sz w:val="19"/>
                <w:szCs w:val="19"/>
              </w:rPr>
              <w:t>N/A</w:t>
            </w:r>
          </w:p>
        </w:tc>
      </w:tr>
      <w:tr w:rsidR="00A874AC" w:rsidRPr="00116463" w:rsidTr="00116463">
        <w:trPr>
          <w:trHeight w:val="288"/>
          <w:jc w:val="center"/>
        </w:trPr>
        <w:tc>
          <w:tcPr>
            <w:tcW w:w="1417" w:type="dxa"/>
            <w:vMerge/>
            <w:shd w:val="clear" w:color="auto" w:fill="D2EAF1"/>
          </w:tcPr>
          <w:p w:rsidR="003E2E20" w:rsidRPr="00116463" w:rsidRDefault="003E2E20" w:rsidP="005C1352">
            <w:pPr>
              <w:rPr>
                <w:sz w:val="19"/>
                <w:szCs w:val="19"/>
              </w:rPr>
            </w:pPr>
          </w:p>
        </w:tc>
        <w:tc>
          <w:tcPr>
            <w:tcW w:w="3294" w:type="dxa"/>
            <w:tcBorders>
              <w:bottom w:val="single" w:sz="4" w:space="0" w:color="448A99"/>
            </w:tcBorders>
            <w:shd w:val="clear" w:color="auto" w:fill="D2EAF1"/>
          </w:tcPr>
          <w:p w:rsidR="003E2E20" w:rsidRPr="00116463" w:rsidRDefault="003E2E20" w:rsidP="005C1352">
            <w:pPr>
              <w:jc w:val="left"/>
              <w:rPr>
                <w:sz w:val="19"/>
                <w:szCs w:val="19"/>
              </w:rPr>
            </w:pPr>
            <w:r w:rsidRPr="00116463">
              <w:rPr>
                <w:sz w:val="19"/>
                <w:szCs w:val="19"/>
              </w:rPr>
              <w:t>Small C/I Buildings</w:t>
            </w:r>
          </w:p>
        </w:tc>
        <w:tc>
          <w:tcPr>
            <w:tcW w:w="1144" w:type="dxa"/>
            <w:tcBorders>
              <w:bottom w:val="single" w:sz="4" w:space="0" w:color="448A99"/>
            </w:tcBorders>
            <w:shd w:val="clear" w:color="auto" w:fill="D2EAF1"/>
          </w:tcPr>
          <w:p w:rsidR="003E2E20" w:rsidRPr="00116463" w:rsidRDefault="003E2E20" w:rsidP="005C1352">
            <w:pPr>
              <w:jc w:val="center"/>
              <w:rPr>
                <w:sz w:val="19"/>
                <w:szCs w:val="19"/>
              </w:rPr>
            </w:pPr>
            <w:r w:rsidRPr="00116463">
              <w:rPr>
                <w:sz w:val="19"/>
                <w:szCs w:val="19"/>
              </w:rPr>
              <w:t>0.36</w:t>
            </w:r>
          </w:p>
        </w:tc>
        <w:tc>
          <w:tcPr>
            <w:tcW w:w="1212" w:type="dxa"/>
            <w:tcBorders>
              <w:bottom w:val="single" w:sz="4" w:space="0" w:color="448A99"/>
            </w:tcBorders>
            <w:shd w:val="clear" w:color="auto" w:fill="D2EAF1"/>
          </w:tcPr>
          <w:p w:rsidR="003E2E20" w:rsidRPr="00116463" w:rsidRDefault="003E2E20" w:rsidP="005C1352">
            <w:pPr>
              <w:jc w:val="center"/>
              <w:rPr>
                <w:sz w:val="19"/>
                <w:szCs w:val="19"/>
              </w:rPr>
            </w:pPr>
            <w:r w:rsidRPr="00116463">
              <w:rPr>
                <w:sz w:val="19"/>
                <w:szCs w:val="19"/>
              </w:rPr>
              <w:t>0.00</w:t>
            </w:r>
          </w:p>
        </w:tc>
        <w:tc>
          <w:tcPr>
            <w:tcW w:w="1209" w:type="dxa"/>
            <w:tcBorders>
              <w:bottom w:val="single" w:sz="4" w:space="0" w:color="448A99"/>
            </w:tcBorders>
            <w:shd w:val="clear" w:color="auto" w:fill="D2EAF1"/>
          </w:tcPr>
          <w:p w:rsidR="003E2E20" w:rsidRPr="00116463" w:rsidRDefault="003E2E20" w:rsidP="005C1352">
            <w:pPr>
              <w:jc w:val="center"/>
              <w:rPr>
                <w:sz w:val="19"/>
                <w:szCs w:val="19"/>
              </w:rPr>
            </w:pPr>
            <w:r w:rsidRPr="00116463">
              <w:rPr>
                <w:sz w:val="19"/>
                <w:szCs w:val="19"/>
              </w:rPr>
              <w:t>0.64</w:t>
            </w:r>
          </w:p>
        </w:tc>
        <w:tc>
          <w:tcPr>
            <w:tcW w:w="1074" w:type="dxa"/>
            <w:tcBorders>
              <w:bottom w:val="single" w:sz="4" w:space="0" w:color="448A99"/>
            </w:tcBorders>
            <w:shd w:val="clear" w:color="auto" w:fill="D2EAF1"/>
          </w:tcPr>
          <w:p w:rsidR="003E2E20" w:rsidRPr="00116463" w:rsidRDefault="003E2E20" w:rsidP="005C1352">
            <w:pPr>
              <w:jc w:val="center"/>
              <w:rPr>
                <w:sz w:val="19"/>
                <w:szCs w:val="19"/>
              </w:rPr>
            </w:pPr>
            <w:r w:rsidRPr="00116463">
              <w:rPr>
                <w:sz w:val="19"/>
                <w:szCs w:val="19"/>
              </w:rPr>
              <w:t>73</w:t>
            </w:r>
          </w:p>
        </w:tc>
      </w:tr>
      <w:tr w:rsidR="00A874AC" w:rsidRPr="00116463" w:rsidTr="00116463">
        <w:trPr>
          <w:trHeight w:val="288"/>
          <w:jc w:val="center"/>
        </w:trPr>
        <w:tc>
          <w:tcPr>
            <w:tcW w:w="1417" w:type="dxa"/>
            <w:vMerge/>
            <w:shd w:val="clear" w:color="auto" w:fill="D2EAF1"/>
          </w:tcPr>
          <w:p w:rsidR="003E2E20" w:rsidRPr="00116463" w:rsidRDefault="003E2E20" w:rsidP="005C1352">
            <w:pPr>
              <w:rPr>
                <w:sz w:val="19"/>
                <w:szCs w:val="19"/>
              </w:rPr>
            </w:pPr>
          </w:p>
        </w:tc>
        <w:tc>
          <w:tcPr>
            <w:tcW w:w="3294" w:type="dxa"/>
            <w:tcBorders>
              <w:bottom w:val="single" w:sz="4" w:space="0" w:color="448A99"/>
            </w:tcBorders>
            <w:shd w:val="clear" w:color="auto" w:fill="FFFFFF"/>
          </w:tcPr>
          <w:p w:rsidR="003E2E20" w:rsidRPr="00116463" w:rsidRDefault="003E2E20" w:rsidP="005C1352">
            <w:pPr>
              <w:jc w:val="left"/>
              <w:rPr>
                <w:sz w:val="19"/>
                <w:szCs w:val="19"/>
              </w:rPr>
            </w:pPr>
            <w:r w:rsidRPr="00116463">
              <w:rPr>
                <w:sz w:val="19"/>
                <w:szCs w:val="19"/>
              </w:rPr>
              <w:t>Large C/I Buildings</w:t>
            </w:r>
          </w:p>
        </w:tc>
        <w:tc>
          <w:tcPr>
            <w:tcW w:w="1144" w:type="dxa"/>
            <w:tcBorders>
              <w:bottom w:val="single" w:sz="4" w:space="0" w:color="448A99"/>
            </w:tcBorders>
            <w:shd w:val="clear" w:color="auto" w:fill="FFFFFF"/>
          </w:tcPr>
          <w:p w:rsidR="003E2E20" w:rsidRPr="00116463" w:rsidRDefault="003E2E20" w:rsidP="005C1352">
            <w:pPr>
              <w:jc w:val="center"/>
              <w:rPr>
                <w:sz w:val="19"/>
                <w:szCs w:val="19"/>
              </w:rPr>
            </w:pPr>
            <w:r w:rsidRPr="00116463">
              <w:rPr>
                <w:sz w:val="19"/>
                <w:szCs w:val="19"/>
              </w:rPr>
              <w:t>0.50</w:t>
            </w:r>
          </w:p>
        </w:tc>
        <w:tc>
          <w:tcPr>
            <w:tcW w:w="1212" w:type="dxa"/>
            <w:tcBorders>
              <w:bottom w:val="single" w:sz="4" w:space="0" w:color="448A99"/>
            </w:tcBorders>
            <w:shd w:val="clear" w:color="auto" w:fill="FFFFFF"/>
          </w:tcPr>
          <w:p w:rsidR="003E2E20" w:rsidRPr="00116463" w:rsidRDefault="003E2E20" w:rsidP="005C1352">
            <w:pPr>
              <w:jc w:val="center"/>
              <w:rPr>
                <w:sz w:val="19"/>
                <w:szCs w:val="19"/>
              </w:rPr>
            </w:pPr>
            <w:r w:rsidRPr="00116463">
              <w:rPr>
                <w:sz w:val="19"/>
                <w:szCs w:val="19"/>
              </w:rPr>
              <w:t>0.00</w:t>
            </w:r>
          </w:p>
        </w:tc>
        <w:tc>
          <w:tcPr>
            <w:tcW w:w="1209" w:type="dxa"/>
            <w:tcBorders>
              <w:bottom w:val="single" w:sz="4" w:space="0" w:color="448A99"/>
            </w:tcBorders>
            <w:shd w:val="clear" w:color="auto" w:fill="FFFFFF"/>
          </w:tcPr>
          <w:p w:rsidR="003E2E20" w:rsidRPr="00116463" w:rsidRDefault="003E2E20" w:rsidP="005C1352">
            <w:pPr>
              <w:jc w:val="center"/>
              <w:rPr>
                <w:sz w:val="19"/>
                <w:szCs w:val="19"/>
              </w:rPr>
            </w:pPr>
            <w:r w:rsidRPr="00116463">
              <w:rPr>
                <w:sz w:val="19"/>
                <w:szCs w:val="19"/>
              </w:rPr>
              <w:t>0.50</w:t>
            </w:r>
          </w:p>
        </w:tc>
        <w:tc>
          <w:tcPr>
            <w:tcW w:w="1074" w:type="dxa"/>
            <w:tcBorders>
              <w:bottom w:val="single" w:sz="4" w:space="0" w:color="448A99"/>
            </w:tcBorders>
            <w:shd w:val="clear" w:color="auto" w:fill="FFFFFF"/>
          </w:tcPr>
          <w:p w:rsidR="003E2E20" w:rsidRPr="00116463" w:rsidRDefault="003E2E20" w:rsidP="005C1352">
            <w:pPr>
              <w:jc w:val="center"/>
              <w:rPr>
                <w:sz w:val="19"/>
                <w:szCs w:val="19"/>
              </w:rPr>
            </w:pPr>
            <w:r w:rsidRPr="00116463">
              <w:rPr>
                <w:sz w:val="19"/>
                <w:szCs w:val="19"/>
              </w:rPr>
              <w:t>5</w:t>
            </w:r>
          </w:p>
        </w:tc>
      </w:tr>
      <w:tr w:rsidR="00A874AC" w:rsidRPr="00116463" w:rsidTr="00116463">
        <w:trPr>
          <w:trHeight w:val="288"/>
          <w:jc w:val="center"/>
        </w:trPr>
        <w:tc>
          <w:tcPr>
            <w:tcW w:w="1417" w:type="dxa"/>
            <w:vMerge/>
            <w:tcBorders>
              <w:bottom w:val="single" w:sz="4" w:space="0" w:color="448A99"/>
            </w:tcBorders>
            <w:shd w:val="clear" w:color="auto" w:fill="D2EAF1"/>
          </w:tcPr>
          <w:p w:rsidR="003E2E20" w:rsidRPr="00116463" w:rsidRDefault="003E2E20" w:rsidP="005C1352">
            <w:pPr>
              <w:rPr>
                <w:sz w:val="19"/>
                <w:szCs w:val="19"/>
              </w:rPr>
            </w:pPr>
          </w:p>
        </w:tc>
        <w:tc>
          <w:tcPr>
            <w:tcW w:w="3294" w:type="dxa"/>
            <w:tcBorders>
              <w:bottom w:val="single" w:sz="4" w:space="0" w:color="448A99"/>
            </w:tcBorders>
            <w:shd w:val="clear" w:color="auto" w:fill="D2EAF1"/>
            <w:vAlign w:val="center"/>
          </w:tcPr>
          <w:p w:rsidR="003E2E20" w:rsidRPr="00116463" w:rsidRDefault="003E2E20" w:rsidP="005C1352">
            <w:pPr>
              <w:jc w:val="left"/>
              <w:rPr>
                <w:sz w:val="19"/>
                <w:szCs w:val="19"/>
              </w:rPr>
            </w:pPr>
            <w:r w:rsidRPr="00116463">
              <w:rPr>
                <w:sz w:val="19"/>
                <w:szCs w:val="19"/>
              </w:rPr>
              <w:t>Government and Institutional</w:t>
            </w:r>
          </w:p>
        </w:tc>
        <w:tc>
          <w:tcPr>
            <w:tcW w:w="1144" w:type="dxa"/>
            <w:tcBorders>
              <w:bottom w:val="single" w:sz="4" w:space="0" w:color="448A99"/>
            </w:tcBorders>
            <w:shd w:val="clear" w:color="auto" w:fill="D2EAF1"/>
            <w:vAlign w:val="center"/>
          </w:tcPr>
          <w:p w:rsidR="003E2E20" w:rsidRPr="00116463" w:rsidRDefault="003E2E20" w:rsidP="005C1352">
            <w:pPr>
              <w:jc w:val="center"/>
              <w:rPr>
                <w:sz w:val="19"/>
                <w:szCs w:val="19"/>
              </w:rPr>
            </w:pPr>
            <w:r w:rsidRPr="00116463">
              <w:rPr>
                <w:sz w:val="19"/>
                <w:szCs w:val="19"/>
              </w:rPr>
              <w:t>0.38</w:t>
            </w:r>
          </w:p>
        </w:tc>
        <w:tc>
          <w:tcPr>
            <w:tcW w:w="1212" w:type="dxa"/>
            <w:tcBorders>
              <w:bottom w:val="single" w:sz="4" w:space="0" w:color="448A99"/>
            </w:tcBorders>
            <w:shd w:val="clear" w:color="auto" w:fill="D2EAF1"/>
            <w:vAlign w:val="center"/>
          </w:tcPr>
          <w:p w:rsidR="003E2E20" w:rsidRPr="00116463" w:rsidRDefault="003E2E20" w:rsidP="005C1352">
            <w:pPr>
              <w:jc w:val="center"/>
              <w:rPr>
                <w:sz w:val="19"/>
                <w:szCs w:val="19"/>
              </w:rPr>
            </w:pPr>
            <w:r w:rsidRPr="00116463">
              <w:rPr>
                <w:sz w:val="19"/>
                <w:szCs w:val="19"/>
              </w:rPr>
              <w:t>0.11</w:t>
            </w:r>
          </w:p>
        </w:tc>
        <w:tc>
          <w:tcPr>
            <w:tcW w:w="1209" w:type="dxa"/>
            <w:tcBorders>
              <w:bottom w:val="single" w:sz="4" w:space="0" w:color="448A99"/>
            </w:tcBorders>
            <w:shd w:val="clear" w:color="auto" w:fill="D2EAF1"/>
            <w:vAlign w:val="center"/>
          </w:tcPr>
          <w:p w:rsidR="003E2E20" w:rsidRPr="00116463" w:rsidRDefault="003E2E20" w:rsidP="005C1352">
            <w:pPr>
              <w:jc w:val="center"/>
              <w:rPr>
                <w:sz w:val="19"/>
                <w:szCs w:val="19"/>
              </w:rPr>
            </w:pPr>
            <w:r w:rsidRPr="00116463">
              <w:rPr>
                <w:sz w:val="19"/>
                <w:szCs w:val="19"/>
              </w:rPr>
              <w:t>0.73</w:t>
            </w:r>
          </w:p>
        </w:tc>
        <w:tc>
          <w:tcPr>
            <w:tcW w:w="1074" w:type="dxa"/>
            <w:tcBorders>
              <w:bottom w:val="single" w:sz="4" w:space="0" w:color="448A99"/>
            </w:tcBorders>
            <w:shd w:val="clear" w:color="auto" w:fill="D2EAF1"/>
            <w:vAlign w:val="center"/>
          </w:tcPr>
          <w:p w:rsidR="003E2E20" w:rsidRPr="00116463" w:rsidRDefault="003E2E20" w:rsidP="005C1352">
            <w:pPr>
              <w:jc w:val="center"/>
              <w:rPr>
                <w:sz w:val="19"/>
                <w:szCs w:val="19"/>
              </w:rPr>
            </w:pPr>
            <w:r w:rsidRPr="00116463">
              <w:rPr>
                <w:sz w:val="19"/>
                <w:szCs w:val="19"/>
              </w:rPr>
              <w:t>N/A</w:t>
            </w:r>
          </w:p>
        </w:tc>
      </w:tr>
      <w:tr w:rsidR="00E7173E" w:rsidRPr="004F3A51" w:rsidTr="0081757B">
        <w:trPr>
          <w:trHeight w:val="215"/>
          <w:jc w:val="center"/>
        </w:trPr>
        <w:tc>
          <w:tcPr>
            <w:tcW w:w="9350" w:type="dxa"/>
            <w:gridSpan w:val="6"/>
            <w:tcBorders>
              <w:bottom w:val="single" w:sz="4" w:space="0" w:color="448A99"/>
            </w:tcBorders>
            <w:shd w:val="clear" w:color="auto" w:fill="448A99"/>
          </w:tcPr>
          <w:p w:rsidR="003E2E20" w:rsidRPr="004F3A51" w:rsidRDefault="003E2E20" w:rsidP="005C1352">
            <w:pPr>
              <w:jc w:val="left"/>
              <w:rPr>
                <w:color w:val="FFFFFF"/>
                <w:sz w:val="18"/>
                <w:szCs w:val="19"/>
              </w:rPr>
            </w:pPr>
            <w:r w:rsidRPr="004F3A51">
              <w:rPr>
                <w:color w:val="FFFFFF"/>
                <w:sz w:val="18"/>
                <w:szCs w:val="19"/>
              </w:rPr>
              <w:t>NOTES</w:t>
            </w:r>
            <w:r w:rsidR="000901B7" w:rsidRPr="004F3A51">
              <w:rPr>
                <w:color w:val="FFFFFF"/>
                <w:sz w:val="18"/>
                <w:szCs w:val="19"/>
              </w:rPr>
              <w:t>:</w:t>
            </w:r>
          </w:p>
          <w:p w:rsidR="003E2E20" w:rsidRPr="004F3A51" w:rsidRDefault="003E2E20" w:rsidP="005C1352">
            <w:pPr>
              <w:jc w:val="left"/>
              <w:rPr>
                <w:color w:val="FFFFFF"/>
                <w:sz w:val="18"/>
                <w:szCs w:val="19"/>
              </w:rPr>
            </w:pPr>
            <w:r w:rsidRPr="004F3A51">
              <w:rPr>
                <w:color w:val="FFFFFF"/>
                <w:sz w:val="18"/>
                <w:szCs w:val="19"/>
              </w:rPr>
              <w:t>[a]</w:t>
            </w:r>
            <w:r w:rsidRPr="004F3A51">
              <w:rPr>
                <w:bCs/>
                <w:color w:val="FFFFFF"/>
                <w:sz w:val="18"/>
                <w:szCs w:val="19"/>
              </w:rPr>
              <w:t xml:space="preserve"> </w:t>
            </w:r>
            <w:r w:rsidRPr="004F3A51">
              <w:rPr>
                <w:color w:val="FFFFFF"/>
                <w:sz w:val="18"/>
                <w:szCs w:val="19"/>
              </w:rPr>
              <w:t xml:space="preserve">NTGR = 1 – free-ridership + spillover. In some cases, the NTGR shown in the table may not equal exactly 1 – </w:t>
            </w:r>
            <w:r w:rsidRPr="004F3A51">
              <w:rPr>
                <w:rFonts w:eastAsia="Calibri"/>
                <w:color w:val="FFFFFF"/>
                <w:sz w:val="18"/>
                <w:szCs w:val="19"/>
              </w:rPr>
              <w:t>free-ridership + spillover</w:t>
            </w:r>
            <w:r w:rsidRPr="004F3A51">
              <w:rPr>
                <w:color w:val="FFFFFF"/>
                <w:sz w:val="18"/>
                <w:szCs w:val="19"/>
              </w:rPr>
              <w:t xml:space="preserve"> because of rounding.</w:t>
            </w:r>
          </w:p>
          <w:p w:rsidR="003E2E20" w:rsidRPr="004F3A51" w:rsidRDefault="003E2E20" w:rsidP="005C1352">
            <w:pPr>
              <w:jc w:val="left"/>
              <w:rPr>
                <w:color w:val="FFFFFF"/>
                <w:sz w:val="18"/>
                <w:szCs w:val="19"/>
              </w:rPr>
            </w:pPr>
            <w:r w:rsidRPr="004F3A51">
              <w:rPr>
                <w:color w:val="FFFFFF"/>
                <w:sz w:val="18"/>
                <w:szCs w:val="19"/>
              </w:rPr>
              <w:t>[b]</w:t>
            </w:r>
            <w:r w:rsidRPr="004F3A51">
              <w:rPr>
                <w:bCs/>
                <w:color w:val="FFFFFF"/>
                <w:sz w:val="18"/>
                <w:szCs w:val="19"/>
              </w:rPr>
              <w:t xml:space="preserve"> </w:t>
            </w:r>
            <w:r w:rsidRPr="004F3A51">
              <w:rPr>
                <w:color w:val="FFFFFF"/>
                <w:sz w:val="18"/>
                <w:szCs w:val="19"/>
              </w:rPr>
              <w:t xml:space="preserve">All sample sizes are for the downstream NTG research using the common method. With the exception of Large C/I Buildings, all sample sizes provided at least 85/15 confidence/precision. </w:t>
            </w:r>
            <w:r w:rsidRPr="004F3A51" w:rsidDel="00A436B6">
              <w:rPr>
                <w:color w:val="FFFFFF"/>
                <w:sz w:val="18"/>
                <w:szCs w:val="19"/>
              </w:rPr>
              <w:t xml:space="preserve"> </w:t>
            </w:r>
          </w:p>
          <w:p w:rsidR="003E2E20" w:rsidRPr="004F3A51" w:rsidRDefault="003E2E20" w:rsidP="005C1352">
            <w:pPr>
              <w:jc w:val="left"/>
              <w:rPr>
                <w:color w:val="FFFFFF"/>
                <w:sz w:val="18"/>
                <w:szCs w:val="19"/>
              </w:rPr>
            </w:pPr>
            <w:r w:rsidRPr="004F3A51">
              <w:rPr>
                <w:color w:val="FFFFFF"/>
                <w:sz w:val="18"/>
                <w:szCs w:val="19"/>
              </w:rPr>
              <w:t>[c]</w:t>
            </w:r>
            <w:r w:rsidRPr="004F3A51">
              <w:rPr>
                <w:bCs/>
                <w:color w:val="FFFFFF"/>
                <w:sz w:val="18"/>
                <w:szCs w:val="19"/>
              </w:rPr>
              <w:t xml:space="preserve"> </w:t>
            </w:r>
            <w:r w:rsidRPr="004F3A51">
              <w:rPr>
                <w:color w:val="FFFFFF"/>
                <w:sz w:val="18"/>
                <w:szCs w:val="19"/>
              </w:rPr>
              <w:t>ADM/Tetra Tech misprinted the program-level FR value in the PY7 annual report. The value reported in this table is the actual FR value.</w:t>
            </w:r>
            <w:r w:rsidRPr="004F3A51" w:rsidDel="008067CD">
              <w:rPr>
                <w:color w:val="FFFFFF"/>
                <w:sz w:val="18"/>
                <w:szCs w:val="19"/>
              </w:rPr>
              <w:t xml:space="preserve"> </w:t>
            </w:r>
          </w:p>
        </w:tc>
      </w:tr>
    </w:tbl>
    <w:p w:rsidR="003E2E20" w:rsidRDefault="003E2E20" w:rsidP="003E2E20"/>
    <w:p w:rsidR="00950837" w:rsidRDefault="00950837" w:rsidP="000D3563">
      <w:pPr>
        <w:pStyle w:val="AppendixAHeading2"/>
      </w:pPr>
      <w:r>
        <w:t>Statewide Evaluator Final Recommendations</w:t>
      </w:r>
    </w:p>
    <w:p w:rsidR="00405346" w:rsidRDefault="00405346" w:rsidP="00405346">
      <w:pPr>
        <w:pStyle w:val="bullettext"/>
      </w:pPr>
      <w:r w:rsidRPr="000475E0">
        <w:t xml:space="preserve">The SWE Team has the following recommendations for </w:t>
      </w:r>
      <w:r>
        <w:t>Penelec</w:t>
      </w:r>
      <w:r w:rsidRPr="000475E0">
        <w:t>’s EE&amp;C programs going forward</w:t>
      </w:r>
      <w:r>
        <w:t>:</w:t>
      </w:r>
    </w:p>
    <w:p w:rsidR="00405346" w:rsidRPr="0014308C" w:rsidRDefault="00405346" w:rsidP="00E646C9">
      <w:pPr>
        <w:pStyle w:val="ListParagraph"/>
        <w:numPr>
          <w:ilvl w:val="0"/>
          <w:numId w:val="77"/>
        </w:numPr>
        <w:ind w:left="360"/>
      </w:pPr>
      <w:r w:rsidRPr="0014308C">
        <w:t>The SWE Team recommends that in the interest of transparency, only the SWE-supplied Appendix C calculator be used for C</w:t>
      </w:r>
      <w:r w:rsidR="0097650B" w:rsidRPr="0014308C">
        <w:t>/</w:t>
      </w:r>
      <w:r w:rsidRPr="0014308C">
        <w:t>I lighting projects moving forward</w:t>
      </w:r>
    </w:p>
    <w:p w:rsidR="00405346" w:rsidRPr="0014308C" w:rsidRDefault="00405346" w:rsidP="00E646C9">
      <w:pPr>
        <w:pStyle w:val="ListParagraph"/>
        <w:numPr>
          <w:ilvl w:val="0"/>
          <w:numId w:val="77"/>
        </w:numPr>
        <w:ind w:left="360"/>
      </w:pPr>
      <w:r w:rsidRPr="0014308C">
        <w:t>Review rebate paperwork processes to identify opportunities to streamline documentation requirements and notify contractors and customers more quickly if project documentation is incomplete.</w:t>
      </w:r>
    </w:p>
    <w:p w:rsidR="00405346" w:rsidRPr="0014308C" w:rsidRDefault="00405346" w:rsidP="00E646C9">
      <w:pPr>
        <w:pStyle w:val="ListParagraph"/>
        <w:numPr>
          <w:ilvl w:val="0"/>
          <w:numId w:val="77"/>
        </w:numPr>
        <w:ind w:left="360"/>
      </w:pPr>
      <w:r w:rsidRPr="0014308C">
        <w:t>As the Home Performance – New Construction measure becomes more streamlined or as incentives change, attempt to attract builders who began with the program but dropped out.</w:t>
      </w:r>
    </w:p>
    <w:p w:rsidR="00405346" w:rsidRPr="00405346" w:rsidRDefault="00405346" w:rsidP="00405346"/>
    <w:p w:rsidR="00950837" w:rsidRPr="00116463" w:rsidRDefault="00950837" w:rsidP="00116463">
      <w:pPr>
        <w:pStyle w:val="AppendixAHeading1"/>
        <w:rPr>
          <w:color w:val="404040" w:themeColor="text1" w:themeTint="BF"/>
        </w:rPr>
      </w:pPr>
      <w:r w:rsidRPr="00116463">
        <w:rPr>
          <w:color w:val="404040" w:themeColor="text1" w:themeTint="BF"/>
        </w:rPr>
        <w:t>Penn Power</w:t>
      </w:r>
    </w:p>
    <w:p w:rsidR="007724F5" w:rsidRPr="007724F5" w:rsidRDefault="007724F5" w:rsidP="007724F5">
      <w:r w:rsidRPr="00735BA9">
        <w:t xml:space="preserve">This </w:t>
      </w:r>
      <w:r>
        <w:t>section</w:t>
      </w:r>
      <w:r w:rsidRPr="00735BA9">
        <w:t xml:space="preserve"> summarizes </w:t>
      </w:r>
      <w:r>
        <w:t>Penn Power</w:t>
      </w:r>
      <w:r w:rsidRPr="00735BA9">
        <w:t xml:space="preserve">’s program performance </w:t>
      </w:r>
      <w:r>
        <w:t>through PY7</w:t>
      </w:r>
      <w:r w:rsidRPr="00735BA9">
        <w:t xml:space="preserve">. It includes an overview of the cumulative energy savings and demand reductions achieved by </w:t>
      </w:r>
      <w:r>
        <w:t>Penn Power</w:t>
      </w:r>
      <w:r w:rsidRPr="00735BA9">
        <w:t xml:space="preserve">’s Act 129 EE&amp;C programs in Phase II; an overview of the TRC test results for each program and for the portfolio of programs; a discussion of the activities completed by </w:t>
      </w:r>
      <w:r>
        <w:t>Penn Power</w:t>
      </w:r>
      <w:r w:rsidRPr="00735BA9">
        <w:t xml:space="preserve">’s evaluation contractor to conduct M&amp;V of </w:t>
      </w:r>
      <w:r w:rsidR="00CE78B5">
        <w:t>Penn Power</w:t>
      </w:r>
      <w:r w:rsidRPr="00735BA9">
        <w:t xml:space="preserve">’s EE&amp;C programs and to calculate the cost-effectiveness of the portfolio of programs; a description of the work and findings of the SWE Team audits; and the SWE Team’s recommendations of actions to help improve </w:t>
      </w:r>
      <w:r>
        <w:t>Penn Power</w:t>
      </w:r>
      <w:r w:rsidRPr="00735BA9">
        <w:t>’s programs in the future</w:t>
      </w:r>
      <w:r>
        <w:t>.</w:t>
      </w:r>
    </w:p>
    <w:p w:rsidR="007724F5" w:rsidRDefault="007724F5" w:rsidP="0014308C"/>
    <w:p w:rsidR="00950837" w:rsidRDefault="00950837" w:rsidP="000D3563">
      <w:pPr>
        <w:pStyle w:val="AppendixAHeading2"/>
      </w:pPr>
      <w:r>
        <w:t>Summary of Energy and Demand Reductions</w:t>
      </w:r>
    </w:p>
    <w:p w:rsidR="009C5272" w:rsidRDefault="009C5272" w:rsidP="009C5272">
      <w:r>
        <w:t>T</w:t>
      </w:r>
      <w:r w:rsidR="000901B7">
        <w:t>his section lists the programs 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9C0DF1">
      <w:pPr>
        <w:pStyle w:val="AppendixAHeading3"/>
      </w:pPr>
      <w:r>
        <w:t>Phase II Savings by Program</w:t>
      </w:r>
    </w:p>
    <w:p w:rsidR="005A27BE" w:rsidRDefault="00775C70" w:rsidP="005A27BE">
      <w:r>
        <w:fldChar w:fldCharType="begin"/>
      </w:r>
      <w:r>
        <w:instrText xml:space="preserve"> REF _Ref472359269 \h </w:instrText>
      </w:r>
      <w:r>
        <w:fldChar w:fldCharType="separate"/>
      </w:r>
      <w:r w:rsidR="00037CB4" w:rsidRPr="00E41D9C">
        <w:t>Table A-</w:t>
      </w:r>
      <w:r w:rsidR="00037CB4">
        <w:rPr>
          <w:noProof/>
        </w:rPr>
        <w:t>68</w:t>
      </w:r>
      <w:r>
        <w:fldChar w:fldCharType="end"/>
      </w:r>
      <w:r w:rsidR="005A27BE">
        <w:t xml:space="preserve"> </w:t>
      </w:r>
      <w:r w:rsidR="005A27BE" w:rsidRPr="004B480A">
        <w:t>lists</w:t>
      </w:r>
      <w:r w:rsidR="005A27BE">
        <w:t xml:space="preserve"> the</w:t>
      </w:r>
      <w:r w:rsidR="005A27BE" w:rsidRPr="004B480A">
        <w:t xml:space="preserve"> </w:t>
      </w:r>
      <w:r>
        <w:t>Penn Power</w:t>
      </w:r>
      <w:r w:rsidR="005A27BE" w:rsidRPr="004B480A">
        <w:t xml:space="preserve"> EE&amp;C programs</w:t>
      </w:r>
      <w:r w:rsidR="005A27BE">
        <w:t xml:space="preserve"> that yielded reported savings in PY7. </w:t>
      </w:r>
      <w:r>
        <w:fldChar w:fldCharType="begin"/>
      </w:r>
      <w:r>
        <w:instrText xml:space="preserve"> REF _Ref472359275 \h </w:instrText>
      </w:r>
      <w:r>
        <w:fldChar w:fldCharType="separate"/>
      </w:r>
      <w:r w:rsidR="00037CB4" w:rsidRPr="00E41D9C">
        <w:t>Table A-</w:t>
      </w:r>
      <w:r w:rsidR="00037CB4">
        <w:rPr>
          <w:noProof/>
        </w:rPr>
        <w:t>69</w:t>
      </w:r>
      <w:r>
        <w:fldChar w:fldCharType="end"/>
      </w:r>
      <w:r w:rsidR="005A27BE">
        <w:t xml:space="preserve"> shows the verified gross energy and demand savings of each program at the conclusion of Phase II. The </w:t>
      </w:r>
      <w:r w:rsidR="009C633A">
        <w:t>Large C/I Equipment p</w:t>
      </w:r>
      <w:r w:rsidR="005A27BE">
        <w:t>rogram was the largest contributor of both energy and demand savings.</w:t>
      </w:r>
    </w:p>
    <w:p w:rsidR="005A27BE" w:rsidRPr="004B480A" w:rsidRDefault="005A27BE" w:rsidP="005A27BE"/>
    <w:p w:rsidR="005A27BE" w:rsidRDefault="005A27BE" w:rsidP="004837FA">
      <w:pPr>
        <w:pStyle w:val="Caption"/>
      </w:pPr>
      <w:bookmarkStart w:id="892" w:name="_Ref472359269"/>
      <w:bookmarkStart w:id="893" w:name="_Toc472472477"/>
      <w:bookmarkStart w:id="894" w:name="_Toc488741896"/>
      <w:r w:rsidRPr="00E41D9C">
        <w:t>Table A-</w:t>
      </w:r>
      <w:r w:rsidR="007973A4">
        <w:fldChar w:fldCharType="begin"/>
      </w:r>
      <w:r w:rsidR="007973A4">
        <w:instrText xml:space="preserve"> SEQ Table_A- \* ARABIC </w:instrText>
      </w:r>
      <w:r w:rsidR="007973A4">
        <w:fldChar w:fldCharType="separate"/>
      </w:r>
      <w:r w:rsidR="00037CB4">
        <w:rPr>
          <w:noProof/>
        </w:rPr>
        <w:t>68</w:t>
      </w:r>
      <w:r w:rsidR="007973A4">
        <w:rPr>
          <w:noProof/>
        </w:rPr>
        <w:fldChar w:fldCharType="end"/>
      </w:r>
      <w:bookmarkEnd w:id="892"/>
      <w:r w:rsidRPr="00E41D9C">
        <w:t xml:space="preserve">: </w:t>
      </w:r>
      <w:r w:rsidR="00775C70">
        <w:t>Penn Power</w:t>
      </w:r>
      <w:r w:rsidRPr="00E41D9C">
        <w:t xml:space="preserve"> EE&amp;C Programs wi</w:t>
      </w:r>
      <w:r>
        <w:t>th Reported Gross Savings in PY7</w:t>
      </w:r>
      <w:bookmarkEnd w:id="893"/>
      <w:bookmarkEnd w:id="894"/>
    </w:p>
    <w:tbl>
      <w:tblPr>
        <w:tblW w:w="9350" w:type="dxa"/>
        <w:tblLook w:val="04A0" w:firstRow="1" w:lastRow="0" w:firstColumn="1" w:lastColumn="0" w:noHBand="0" w:noVBand="1"/>
      </w:tblPr>
      <w:tblGrid>
        <w:gridCol w:w="4675"/>
        <w:gridCol w:w="4675"/>
      </w:tblGrid>
      <w:tr w:rsidR="00E7173E" w:rsidRPr="00116463" w:rsidTr="0081757B">
        <w:trPr>
          <w:cantSplit/>
          <w:trHeight w:val="223"/>
          <w:tblHeader/>
        </w:trPr>
        <w:tc>
          <w:tcPr>
            <w:tcW w:w="4675"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A21EF" w:rsidRPr="00116463" w:rsidRDefault="003A21EF" w:rsidP="003A21EF">
            <w:pPr>
              <w:rPr>
                <w:b/>
                <w:bCs/>
                <w:color w:val="FFFFFF"/>
                <w:sz w:val="19"/>
                <w:szCs w:val="19"/>
              </w:rPr>
            </w:pPr>
            <w:r w:rsidRPr="00116463">
              <w:rPr>
                <w:b/>
                <w:bCs/>
                <w:color w:val="FFFFFF"/>
                <w:sz w:val="19"/>
                <w:szCs w:val="19"/>
              </w:rPr>
              <w:t>Programs Reporting PY7 Gross Savings</w:t>
            </w:r>
          </w:p>
        </w:tc>
        <w:tc>
          <w:tcPr>
            <w:tcW w:w="4675" w:type="dxa"/>
            <w:tcBorders>
              <w:top w:val="single" w:sz="8" w:space="0" w:color="448A99"/>
              <w:left w:val="nil"/>
              <w:bottom w:val="single" w:sz="8" w:space="0" w:color="448A99"/>
              <w:right w:val="single" w:sz="8" w:space="0" w:color="448A99"/>
            </w:tcBorders>
            <w:shd w:val="clear" w:color="000000" w:fill="448A99"/>
            <w:vAlign w:val="center"/>
            <w:hideMark/>
          </w:tcPr>
          <w:p w:rsidR="003A21EF" w:rsidRPr="00116463" w:rsidRDefault="000901B7" w:rsidP="0014308C">
            <w:pPr>
              <w:jc w:val="center"/>
              <w:rPr>
                <w:b/>
                <w:bCs/>
                <w:color w:val="FFFFFF"/>
                <w:sz w:val="19"/>
                <w:szCs w:val="19"/>
              </w:rPr>
            </w:pPr>
            <w:r w:rsidRPr="00116463">
              <w:rPr>
                <w:b/>
                <w:bCs/>
                <w:color w:val="FFFFFF"/>
                <w:sz w:val="19"/>
                <w:szCs w:val="19"/>
              </w:rPr>
              <w:t>Sector</w:t>
            </w:r>
          </w:p>
        </w:tc>
      </w:tr>
      <w:tr w:rsidR="00E7173E" w:rsidRPr="00116463"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116463" w:rsidRDefault="003A21EF" w:rsidP="003A21EF">
            <w:pPr>
              <w:rPr>
                <w:color w:val="000000"/>
                <w:sz w:val="19"/>
                <w:szCs w:val="19"/>
              </w:rPr>
            </w:pPr>
            <w:r w:rsidRPr="00116463">
              <w:rPr>
                <w:color w:val="000000"/>
                <w:sz w:val="19"/>
                <w:szCs w:val="19"/>
              </w:rPr>
              <w:t>Appliance Turn-In</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116463" w:rsidRDefault="003A21EF" w:rsidP="0014308C">
            <w:pPr>
              <w:jc w:val="center"/>
              <w:rPr>
                <w:color w:val="000000"/>
                <w:sz w:val="19"/>
                <w:szCs w:val="19"/>
              </w:rPr>
            </w:pPr>
            <w:r w:rsidRPr="00116463">
              <w:rPr>
                <w:color w:val="000000"/>
                <w:sz w:val="19"/>
                <w:szCs w:val="19"/>
              </w:rPr>
              <w:t>Residential</w:t>
            </w:r>
          </w:p>
        </w:tc>
      </w:tr>
      <w:tr w:rsidR="00E7173E" w:rsidRPr="00116463"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3A21EF" w:rsidRPr="00116463" w:rsidRDefault="003A21EF" w:rsidP="003A21EF">
            <w:pPr>
              <w:rPr>
                <w:color w:val="000000"/>
                <w:sz w:val="19"/>
                <w:szCs w:val="19"/>
              </w:rPr>
            </w:pPr>
            <w:r w:rsidRPr="00116463">
              <w:rPr>
                <w:color w:val="000000"/>
                <w:sz w:val="19"/>
                <w:szCs w:val="19"/>
              </w:rPr>
              <w:t>Efficient Products</w:t>
            </w:r>
          </w:p>
        </w:tc>
        <w:tc>
          <w:tcPr>
            <w:tcW w:w="4675" w:type="dxa"/>
            <w:tcBorders>
              <w:top w:val="nil"/>
              <w:left w:val="nil"/>
              <w:bottom w:val="single" w:sz="8" w:space="0" w:color="448A99"/>
              <w:right w:val="single" w:sz="8" w:space="0" w:color="448A99"/>
            </w:tcBorders>
            <w:shd w:val="clear" w:color="000000" w:fill="D2EAF1"/>
            <w:vAlign w:val="center"/>
            <w:hideMark/>
          </w:tcPr>
          <w:p w:rsidR="003A21EF" w:rsidRPr="00116463" w:rsidRDefault="003A21EF" w:rsidP="0014308C">
            <w:pPr>
              <w:jc w:val="center"/>
              <w:rPr>
                <w:color w:val="000000"/>
                <w:sz w:val="19"/>
                <w:szCs w:val="19"/>
              </w:rPr>
            </w:pPr>
            <w:r w:rsidRPr="00116463">
              <w:rPr>
                <w:color w:val="000000"/>
                <w:sz w:val="19"/>
                <w:szCs w:val="19"/>
              </w:rPr>
              <w:t>Residential</w:t>
            </w:r>
          </w:p>
        </w:tc>
      </w:tr>
      <w:tr w:rsidR="00E7173E" w:rsidRPr="00116463"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116463" w:rsidRDefault="003A21EF" w:rsidP="003A21EF">
            <w:pPr>
              <w:rPr>
                <w:color w:val="000000"/>
                <w:sz w:val="19"/>
                <w:szCs w:val="19"/>
              </w:rPr>
            </w:pPr>
            <w:r w:rsidRPr="00116463">
              <w:rPr>
                <w:color w:val="000000"/>
                <w:sz w:val="19"/>
                <w:szCs w:val="19"/>
              </w:rPr>
              <w:t>Home Performance</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116463" w:rsidRDefault="003A21EF" w:rsidP="0014308C">
            <w:pPr>
              <w:jc w:val="center"/>
              <w:rPr>
                <w:color w:val="000000"/>
                <w:sz w:val="19"/>
                <w:szCs w:val="19"/>
              </w:rPr>
            </w:pPr>
            <w:r w:rsidRPr="00116463">
              <w:rPr>
                <w:color w:val="000000"/>
                <w:sz w:val="19"/>
                <w:szCs w:val="19"/>
              </w:rPr>
              <w:t>Residential</w:t>
            </w:r>
          </w:p>
        </w:tc>
      </w:tr>
      <w:tr w:rsidR="00E7173E" w:rsidRPr="00116463"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3A21EF" w:rsidRPr="00116463" w:rsidRDefault="003A21EF" w:rsidP="003A21EF">
            <w:pPr>
              <w:rPr>
                <w:color w:val="000000"/>
                <w:sz w:val="19"/>
                <w:szCs w:val="19"/>
              </w:rPr>
            </w:pPr>
            <w:r w:rsidRPr="00116463">
              <w:rPr>
                <w:color w:val="000000"/>
                <w:sz w:val="19"/>
                <w:szCs w:val="19"/>
              </w:rPr>
              <w:t>Low Income</w:t>
            </w:r>
          </w:p>
        </w:tc>
        <w:tc>
          <w:tcPr>
            <w:tcW w:w="4675" w:type="dxa"/>
            <w:tcBorders>
              <w:top w:val="nil"/>
              <w:left w:val="nil"/>
              <w:bottom w:val="single" w:sz="8" w:space="0" w:color="448A99"/>
              <w:right w:val="single" w:sz="8" w:space="0" w:color="448A99"/>
            </w:tcBorders>
            <w:shd w:val="clear" w:color="000000" w:fill="D2EAF1"/>
            <w:vAlign w:val="center"/>
            <w:hideMark/>
          </w:tcPr>
          <w:p w:rsidR="003A21EF" w:rsidRPr="00116463" w:rsidRDefault="003A21EF" w:rsidP="0014308C">
            <w:pPr>
              <w:jc w:val="center"/>
              <w:rPr>
                <w:color w:val="000000"/>
                <w:sz w:val="19"/>
                <w:szCs w:val="19"/>
              </w:rPr>
            </w:pPr>
            <w:r w:rsidRPr="00116463">
              <w:rPr>
                <w:color w:val="000000"/>
                <w:sz w:val="19"/>
                <w:szCs w:val="19"/>
              </w:rPr>
              <w:t>Low-Income</w:t>
            </w:r>
          </w:p>
        </w:tc>
      </w:tr>
      <w:tr w:rsidR="00E7173E" w:rsidRPr="00116463"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116463" w:rsidRDefault="003A21EF" w:rsidP="003A21EF">
            <w:pPr>
              <w:rPr>
                <w:color w:val="000000"/>
                <w:sz w:val="19"/>
                <w:szCs w:val="19"/>
              </w:rPr>
            </w:pPr>
            <w:r w:rsidRPr="00116463">
              <w:rPr>
                <w:color w:val="000000"/>
                <w:sz w:val="19"/>
                <w:szCs w:val="19"/>
              </w:rPr>
              <w:t>Small C/I Equipment</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116463" w:rsidRDefault="003A21EF" w:rsidP="0014308C">
            <w:pPr>
              <w:jc w:val="center"/>
              <w:rPr>
                <w:color w:val="000000"/>
                <w:sz w:val="19"/>
                <w:szCs w:val="19"/>
              </w:rPr>
            </w:pPr>
            <w:r w:rsidRPr="00116463">
              <w:rPr>
                <w:color w:val="000000"/>
                <w:sz w:val="19"/>
                <w:szCs w:val="19"/>
              </w:rPr>
              <w:t>Non-Residential</w:t>
            </w:r>
          </w:p>
        </w:tc>
      </w:tr>
      <w:tr w:rsidR="00E7173E" w:rsidRPr="00116463"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3A21EF" w:rsidRPr="00116463" w:rsidRDefault="003A21EF" w:rsidP="003A21EF">
            <w:pPr>
              <w:rPr>
                <w:color w:val="000000"/>
                <w:sz w:val="19"/>
                <w:szCs w:val="19"/>
              </w:rPr>
            </w:pPr>
            <w:r w:rsidRPr="00116463">
              <w:rPr>
                <w:color w:val="000000"/>
                <w:sz w:val="19"/>
                <w:szCs w:val="19"/>
              </w:rPr>
              <w:t>Small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3A21EF" w:rsidRPr="00116463" w:rsidRDefault="003A21EF" w:rsidP="0014308C">
            <w:pPr>
              <w:jc w:val="center"/>
              <w:rPr>
                <w:color w:val="000000"/>
                <w:sz w:val="19"/>
                <w:szCs w:val="19"/>
              </w:rPr>
            </w:pPr>
            <w:r w:rsidRPr="00116463">
              <w:rPr>
                <w:color w:val="000000"/>
                <w:sz w:val="19"/>
                <w:szCs w:val="19"/>
              </w:rPr>
              <w:t>Non-Residential</w:t>
            </w:r>
          </w:p>
        </w:tc>
      </w:tr>
      <w:tr w:rsidR="00E7173E" w:rsidRPr="00116463"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116463" w:rsidRDefault="003A21EF" w:rsidP="003A21EF">
            <w:pPr>
              <w:rPr>
                <w:color w:val="000000"/>
                <w:sz w:val="19"/>
                <w:szCs w:val="19"/>
              </w:rPr>
            </w:pPr>
            <w:r w:rsidRPr="00116463">
              <w:rPr>
                <w:color w:val="000000"/>
                <w:sz w:val="19"/>
                <w:szCs w:val="19"/>
              </w:rPr>
              <w:t>Large C/I Equipment</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116463" w:rsidRDefault="003A21EF" w:rsidP="0014308C">
            <w:pPr>
              <w:jc w:val="center"/>
              <w:rPr>
                <w:color w:val="000000"/>
                <w:sz w:val="19"/>
                <w:szCs w:val="19"/>
              </w:rPr>
            </w:pPr>
            <w:r w:rsidRPr="00116463">
              <w:rPr>
                <w:color w:val="000000"/>
                <w:sz w:val="19"/>
                <w:szCs w:val="19"/>
              </w:rPr>
              <w:t>Non-Residential</w:t>
            </w:r>
          </w:p>
        </w:tc>
      </w:tr>
      <w:tr w:rsidR="00E7173E" w:rsidRPr="00116463"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3A21EF" w:rsidRPr="00116463" w:rsidRDefault="003A21EF" w:rsidP="003A21EF">
            <w:pPr>
              <w:rPr>
                <w:color w:val="000000"/>
                <w:sz w:val="19"/>
                <w:szCs w:val="19"/>
              </w:rPr>
            </w:pPr>
            <w:r w:rsidRPr="00116463">
              <w:rPr>
                <w:color w:val="000000"/>
                <w:sz w:val="19"/>
                <w:szCs w:val="19"/>
              </w:rPr>
              <w:t>Large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3A21EF" w:rsidRPr="00116463" w:rsidRDefault="003A21EF" w:rsidP="0014308C">
            <w:pPr>
              <w:jc w:val="center"/>
              <w:rPr>
                <w:color w:val="000000"/>
                <w:sz w:val="19"/>
                <w:szCs w:val="19"/>
              </w:rPr>
            </w:pPr>
            <w:r w:rsidRPr="00116463">
              <w:rPr>
                <w:color w:val="000000"/>
                <w:sz w:val="19"/>
                <w:szCs w:val="19"/>
              </w:rPr>
              <w:t>Non-Residential</w:t>
            </w:r>
          </w:p>
        </w:tc>
      </w:tr>
      <w:tr w:rsidR="00E7173E" w:rsidRPr="00116463"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116463" w:rsidRDefault="003A21EF" w:rsidP="003A21EF">
            <w:pPr>
              <w:rPr>
                <w:color w:val="000000"/>
                <w:sz w:val="19"/>
                <w:szCs w:val="19"/>
              </w:rPr>
            </w:pPr>
            <w:r w:rsidRPr="00116463">
              <w:rPr>
                <w:color w:val="000000"/>
                <w:sz w:val="19"/>
                <w:szCs w:val="19"/>
              </w:rPr>
              <w:t>Gov./Institutional</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116463" w:rsidRDefault="003A21EF" w:rsidP="0014308C">
            <w:pPr>
              <w:jc w:val="center"/>
              <w:rPr>
                <w:color w:val="000000"/>
                <w:sz w:val="19"/>
                <w:szCs w:val="19"/>
              </w:rPr>
            </w:pPr>
            <w:r w:rsidRPr="00116463">
              <w:rPr>
                <w:color w:val="000000"/>
                <w:sz w:val="19"/>
                <w:szCs w:val="19"/>
              </w:rPr>
              <w:t>GNI</w:t>
            </w:r>
          </w:p>
        </w:tc>
      </w:tr>
    </w:tbl>
    <w:p w:rsidR="005A27BE" w:rsidRDefault="005A27BE" w:rsidP="005A27BE"/>
    <w:p w:rsidR="005A27BE" w:rsidRDefault="005A27BE" w:rsidP="004837FA">
      <w:pPr>
        <w:pStyle w:val="Caption"/>
      </w:pPr>
      <w:bookmarkStart w:id="895" w:name="_Ref472359275"/>
      <w:bookmarkStart w:id="896" w:name="_Toc472472478"/>
      <w:bookmarkStart w:id="897" w:name="_Toc488741897"/>
      <w:r w:rsidRPr="00E41D9C">
        <w:t>Table A-</w:t>
      </w:r>
      <w:r w:rsidR="007973A4">
        <w:fldChar w:fldCharType="begin"/>
      </w:r>
      <w:r w:rsidR="007973A4">
        <w:instrText xml:space="preserve"> SEQ Table_A- \* ARABIC </w:instrText>
      </w:r>
      <w:r w:rsidR="007973A4">
        <w:fldChar w:fldCharType="separate"/>
      </w:r>
      <w:r w:rsidR="00037CB4">
        <w:rPr>
          <w:noProof/>
        </w:rPr>
        <w:t>69</w:t>
      </w:r>
      <w:r w:rsidR="007973A4">
        <w:rPr>
          <w:noProof/>
        </w:rPr>
        <w:fldChar w:fldCharType="end"/>
      </w:r>
      <w:bookmarkEnd w:id="895"/>
      <w:r w:rsidRPr="00E41D9C">
        <w:t xml:space="preserve">: </w:t>
      </w:r>
      <w:r w:rsidRPr="005A1DB5">
        <w:t xml:space="preserve">Summary of </w:t>
      </w:r>
      <w:r w:rsidR="00775C70">
        <w:t>Penn Power</w:t>
      </w:r>
      <w:r w:rsidRPr="005A1DB5">
        <w:t xml:space="preserve"> EE&amp;C Program Impacts on Verified Gross Portfolio Savings</w:t>
      </w:r>
      <w:bookmarkEnd w:id="896"/>
      <w:bookmarkEnd w:id="897"/>
    </w:p>
    <w:tbl>
      <w:tblPr>
        <w:tblW w:w="9350" w:type="dxa"/>
        <w:tblLayout w:type="fixed"/>
        <w:tblLook w:val="04A0" w:firstRow="1" w:lastRow="0" w:firstColumn="1" w:lastColumn="0" w:noHBand="0" w:noVBand="1"/>
      </w:tblPr>
      <w:tblGrid>
        <w:gridCol w:w="1870"/>
        <w:gridCol w:w="1870"/>
        <w:gridCol w:w="1870"/>
        <w:gridCol w:w="1870"/>
        <w:gridCol w:w="1870"/>
      </w:tblGrid>
      <w:tr w:rsidR="00A874AC" w:rsidRPr="00116463" w:rsidTr="008C15AB">
        <w:trPr>
          <w:trHeight w:val="780"/>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9B4F7B" w:rsidRPr="00116463" w:rsidRDefault="009B4F7B" w:rsidP="0014308C">
            <w:pPr>
              <w:rPr>
                <w:b/>
                <w:bCs/>
                <w:color w:val="FFFFFF"/>
                <w:sz w:val="19"/>
                <w:szCs w:val="19"/>
              </w:rPr>
            </w:pPr>
            <w:r w:rsidRPr="00116463">
              <w:rPr>
                <w:b/>
                <w:bCs/>
                <w:color w:val="FFFFFF"/>
                <w:sz w:val="19"/>
                <w:szCs w:val="19"/>
              </w:rPr>
              <w:t>Program</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9B4F7B" w:rsidRPr="00116463" w:rsidRDefault="009B4F7B" w:rsidP="0014308C">
            <w:pPr>
              <w:jc w:val="center"/>
              <w:rPr>
                <w:b/>
                <w:bCs/>
                <w:color w:val="FFFFFF"/>
                <w:sz w:val="19"/>
                <w:szCs w:val="19"/>
              </w:rPr>
            </w:pPr>
            <w:r w:rsidRPr="00116463">
              <w:rPr>
                <w:b/>
                <w:bCs/>
                <w:color w:val="FFFFFF"/>
                <w:sz w:val="19"/>
                <w:szCs w:val="19"/>
              </w:rPr>
              <w:t>Phase II VG Savings (MWh)</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9B4F7B" w:rsidRPr="00116463" w:rsidRDefault="009B4F7B" w:rsidP="0014308C">
            <w:pPr>
              <w:jc w:val="center"/>
              <w:rPr>
                <w:b/>
                <w:bCs/>
                <w:color w:val="FFFFFF"/>
                <w:sz w:val="19"/>
                <w:szCs w:val="19"/>
              </w:rPr>
            </w:pPr>
            <w:r w:rsidRPr="00116463">
              <w:rPr>
                <w:b/>
                <w:bCs/>
                <w:color w:val="FFFFFF"/>
                <w:sz w:val="19"/>
                <w:szCs w:val="19"/>
              </w:rPr>
              <w:t>Percent of Portfolio Phase II VG MWh Savings</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9B4F7B" w:rsidRPr="00116463" w:rsidRDefault="009B4F7B" w:rsidP="0014308C">
            <w:pPr>
              <w:jc w:val="center"/>
              <w:rPr>
                <w:b/>
                <w:bCs/>
                <w:color w:val="FFFFFF"/>
                <w:sz w:val="19"/>
                <w:szCs w:val="19"/>
              </w:rPr>
            </w:pPr>
            <w:r w:rsidRPr="00116463">
              <w:rPr>
                <w:b/>
                <w:bCs/>
                <w:color w:val="FFFFFF"/>
                <w:sz w:val="19"/>
                <w:szCs w:val="19"/>
              </w:rPr>
              <w:t>Phase II VG Savings (MW)</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9B4F7B" w:rsidRPr="00116463" w:rsidRDefault="009B4F7B" w:rsidP="0014308C">
            <w:pPr>
              <w:jc w:val="center"/>
              <w:rPr>
                <w:b/>
                <w:bCs/>
                <w:color w:val="FFFFFF"/>
                <w:sz w:val="19"/>
                <w:szCs w:val="19"/>
              </w:rPr>
            </w:pPr>
            <w:r w:rsidRPr="00116463">
              <w:rPr>
                <w:b/>
                <w:bCs/>
                <w:color w:val="FFFFFF"/>
                <w:sz w:val="19"/>
                <w:szCs w:val="19"/>
              </w:rPr>
              <w:t>Percent of Portfolio Phase II VG MW Savings</w:t>
            </w:r>
          </w:p>
        </w:tc>
      </w:tr>
      <w:tr w:rsidR="00E7173E" w:rsidRPr="00116463"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116463" w:rsidRDefault="009B4F7B" w:rsidP="009B4F7B">
            <w:pPr>
              <w:rPr>
                <w:color w:val="000000"/>
                <w:sz w:val="19"/>
                <w:szCs w:val="19"/>
              </w:rPr>
            </w:pPr>
            <w:r w:rsidRPr="00116463">
              <w:rPr>
                <w:color w:val="000000"/>
                <w:sz w:val="19"/>
                <w:szCs w:val="19"/>
              </w:rPr>
              <w:t>Appliance Turn-In</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4,144</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116463" w:rsidRDefault="009B4F7B" w:rsidP="009B4F7B">
            <w:pPr>
              <w:jc w:val="center"/>
              <w:rPr>
                <w:color w:val="000000"/>
                <w:sz w:val="19"/>
                <w:szCs w:val="19"/>
              </w:rPr>
            </w:pPr>
            <w:r w:rsidRPr="00116463">
              <w:rPr>
                <w:color w:val="000000"/>
                <w:sz w:val="19"/>
                <w:szCs w:val="19"/>
              </w:rPr>
              <w:t>4%</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0.55</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116463" w:rsidRDefault="009B4F7B" w:rsidP="009B4F7B">
            <w:pPr>
              <w:jc w:val="center"/>
              <w:rPr>
                <w:color w:val="000000"/>
                <w:sz w:val="19"/>
                <w:szCs w:val="19"/>
              </w:rPr>
            </w:pPr>
            <w:r w:rsidRPr="00116463">
              <w:rPr>
                <w:color w:val="000000"/>
                <w:sz w:val="19"/>
                <w:szCs w:val="19"/>
              </w:rPr>
              <w:t>4%</w:t>
            </w:r>
          </w:p>
        </w:tc>
      </w:tr>
      <w:tr w:rsidR="00A874AC" w:rsidRPr="00116463"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9B4F7B" w:rsidRPr="00116463" w:rsidRDefault="009B4F7B" w:rsidP="009B4F7B">
            <w:pPr>
              <w:rPr>
                <w:color w:val="000000"/>
                <w:sz w:val="19"/>
                <w:szCs w:val="19"/>
              </w:rPr>
            </w:pPr>
            <w:r w:rsidRPr="00116463">
              <w:rPr>
                <w:color w:val="000000"/>
                <w:sz w:val="19"/>
                <w:szCs w:val="19"/>
              </w:rPr>
              <w:t>Efficient Products</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21,719</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116463" w:rsidRDefault="009B4F7B" w:rsidP="009B4F7B">
            <w:pPr>
              <w:jc w:val="center"/>
              <w:rPr>
                <w:color w:val="000000"/>
                <w:sz w:val="19"/>
                <w:szCs w:val="19"/>
              </w:rPr>
            </w:pPr>
            <w:r w:rsidRPr="00116463">
              <w:rPr>
                <w:color w:val="000000"/>
                <w:sz w:val="19"/>
                <w:szCs w:val="19"/>
              </w:rPr>
              <w:t>20%</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2.39</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18%</w:t>
            </w:r>
          </w:p>
        </w:tc>
      </w:tr>
      <w:tr w:rsidR="00E7173E" w:rsidRPr="00116463"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116463" w:rsidRDefault="009B4F7B" w:rsidP="009B4F7B">
            <w:pPr>
              <w:rPr>
                <w:color w:val="000000"/>
                <w:sz w:val="19"/>
                <w:szCs w:val="19"/>
              </w:rPr>
            </w:pPr>
            <w:r w:rsidRPr="00116463">
              <w:rPr>
                <w:color w:val="000000"/>
                <w:sz w:val="19"/>
                <w:szCs w:val="19"/>
              </w:rPr>
              <w:t>Home Performance</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24,468</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116463" w:rsidRDefault="009B4F7B" w:rsidP="009B4F7B">
            <w:pPr>
              <w:jc w:val="center"/>
              <w:rPr>
                <w:color w:val="000000"/>
                <w:sz w:val="19"/>
                <w:szCs w:val="19"/>
              </w:rPr>
            </w:pPr>
            <w:r w:rsidRPr="00116463">
              <w:rPr>
                <w:color w:val="000000"/>
                <w:sz w:val="19"/>
                <w:szCs w:val="19"/>
              </w:rPr>
              <w:t>22%</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2.60</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116463" w:rsidRDefault="009B4F7B" w:rsidP="009B4F7B">
            <w:pPr>
              <w:jc w:val="center"/>
              <w:rPr>
                <w:color w:val="000000"/>
                <w:sz w:val="19"/>
                <w:szCs w:val="19"/>
              </w:rPr>
            </w:pPr>
            <w:r w:rsidRPr="00116463">
              <w:rPr>
                <w:color w:val="000000"/>
                <w:sz w:val="19"/>
                <w:szCs w:val="19"/>
              </w:rPr>
              <w:t>20%</w:t>
            </w:r>
          </w:p>
        </w:tc>
      </w:tr>
      <w:tr w:rsidR="00A874AC" w:rsidRPr="00116463"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9B4F7B" w:rsidRPr="00116463" w:rsidRDefault="009B4F7B" w:rsidP="009B4F7B">
            <w:pPr>
              <w:rPr>
                <w:color w:val="000000"/>
                <w:sz w:val="19"/>
                <w:szCs w:val="19"/>
              </w:rPr>
            </w:pPr>
            <w:r w:rsidRPr="00116463">
              <w:rPr>
                <w:color w:val="000000"/>
                <w:sz w:val="19"/>
                <w:szCs w:val="19"/>
              </w:rPr>
              <w:t>Low Income</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2,727</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116463" w:rsidRDefault="009B4F7B" w:rsidP="009B4F7B">
            <w:pPr>
              <w:jc w:val="center"/>
              <w:rPr>
                <w:color w:val="000000"/>
                <w:sz w:val="19"/>
                <w:szCs w:val="19"/>
              </w:rPr>
            </w:pPr>
            <w:r w:rsidRPr="00116463">
              <w:rPr>
                <w:color w:val="000000"/>
                <w:sz w:val="19"/>
                <w:szCs w:val="19"/>
              </w:rPr>
              <w:t>2%</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0.22</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2%</w:t>
            </w:r>
          </w:p>
        </w:tc>
      </w:tr>
      <w:tr w:rsidR="00E7173E" w:rsidRPr="00116463"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116463" w:rsidRDefault="009B4F7B" w:rsidP="009B4F7B">
            <w:pPr>
              <w:rPr>
                <w:color w:val="000000"/>
                <w:sz w:val="19"/>
                <w:szCs w:val="19"/>
              </w:rPr>
            </w:pPr>
            <w:r w:rsidRPr="00116463">
              <w:rPr>
                <w:color w:val="000000"/>
                <w:sz w:val="19"/>
                <w:szCs w:val="19"/>
              </w:rPr>
              <w:t>Small C/I Equipment</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19,164</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116463" w:rsidRDefault="009B4F7B" w:rsidP="009B4F7B">
            <w:pPr>
              <w:jc w:val="center"/>
              <w:rPr>
                <w:color w:val="000000"/>
                <w:sz w:val="19"/>
                <w:szCs w:val="19"/>
              </w:rPr>
            </w:pPr>
            <w:r w:rsidRPr="00116463">
              <w:rPr>
                <w:color w:val="000000"/>
                <w:sz w:val="19"/>
                <w:szCs w:val="19"/>
              </w:rPr>
              <w:t>18%</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2.98</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116463" w:rsidRDefault="009B4F7B" w:rsidP="009B4F7B">
            <w:pPr>
              <w:jc w:val="center"/>
              <w:rPr>
                <w:color w:val="000000"/>
                <w:sz w:val="19"/>
                <w:szCs w:val="19"/>
              </w:rPr>
            </w:pPr>
            <w:r w:rsidRPr="00116463">
              <w:rPr>
                <w:color w:val="000000"/>
                <w:sz w:val="19"/>
                <w:szCs w:val="19"/>
              </w:rPr>
              <w:t>23%</w:t>
            </w:r>
          </w:p>
        </w:tc>
      </w:tr>
      <w:tr w:rsidR="00A874AC" w:rsidRPr="00116463"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9B4F7B" w:rsidRPr="00116463" w:rsidRDefault="009B4F7B" w:rsidP="009B4F7B">
            <w:pPr>
              <w:rPr>
                <w:color w:val="000000"/>
                <w:sz w:val="19"/>
                <w:szCs w:val="19"/>
              </w:rPr>
            </w:pPr>
            <w:r w:rsidRPr="00116463">
              <w:rPr>
                <w:color w:val="000000"/>
                <w:sz w:val="19"/>
                <w:szCs w:val="19"/>
              </w:rPr>
              <w:t>Small C/I Buildings</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4,443</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116463" w:rsidRDefault="009B4F7B" w:rsidP="009B4F7B">
            <w:pPr>
              <w:jc w:val="center"/>
              <w:rPr>
                <w:color w:val="000000"/>
                <w:sz w:val="19"/>
                <w:szCs w:val="19"/>
              </w:rPr>
            </w:pPr>
            <w:r w:rsidRPr="00116463">
              <w:rPr>
                <w:color w:val="000000"/>
                <w:sz w:val="19"/>
                <w:szCs w:val="19"/>
              </w:rPr>
              <w:t>4%</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0.70</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5%</w:t>
            </w:r>
          </w:p>
        </w:tc>
      </w:tr>
      <w:tr w:rsidR="00E7173E" w:rsidRPr="00116463"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116463" w:rsidRDefault="009B4F7B" w:rsidP="009B4F7B">
            <w:pPr>
              <w:rPr>
                <w:color w:val="000000"/>
                <w:sz w:val="19"/>
                <w:szCs w:val="19"/>
              </w:rPr>
            </w:pPr>
            <w:r w:rsidRPr="00116463">
              <w:rPr>
                <w:color w:val="000000"/>
                <w:sz w:val="19"/>
                <w:szCs w:val="19"/>
              </w:rPr>
              <w:t>Large C/I Equipment</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28,808</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116463" w:rsidRDefault="009B4F7B" w:rsidP="009B4F7B">
            <w:pPr>
              <w:jc w:val="center"/>
              <w:rPr>
                <w:color w:val="000000"/>
                <w:sz w:val="19"/>
                <w:szCs w:val="19"/>
              </w:rPr>
            </w:pPr>
            <w:r w:rsidRPr="00116463">
              <w:rPr>
                <w:color w:val="000000"/>
                <w:sz w:val="19"/>
                <w:szCs w:val="19"/>
              </w:rPr>
              <w:t>26%</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3.41</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116463" w:rsidRDefault="009B4F7B" w:rsidP="009B4F7B">
            <w:pPr>
              <w:jc w:val="center"/>
              <w:rPr>
                <w:color w:val="000000"/>
                <w:sz w:val="19"/>
                <w:szCs w:val="19"/>
              </w:rPr>
            </w:pPr>
            <w:r w:rsidRPr="00116463">
              <w:rPr>
                <w:color w:val="000000"/>
                <w:sz w:val="19"/>
                <w:szCs w:val="19"/>
              </w:rPr>
              <w:t>26%</w:t>
            </w:r>
          </w:p>
        </w:tc>
      </w:tr>
      <w:tr w:rsidR="00A874AC" w:rsidRPr="00116463"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9B4F7B" w:rsidRPr="00116463" w:rsidRDefault="009B4F7B" w:rsidP="009B4F7B">
            <w:pPr>
              <w:rPr>
                <w:color w:val="000000"/>
                <w:sz w:val="19"/>
                <w:szCs w:val="19"/>
              </w:rPr>
            </w:pPr>
            <w:r w:rsidRPr="00116463">
              <w:rPr>
                <w:color w:val="000000"/>
                <w:sz w:val="19"/>
                <w:szCs w:val="19"/>
              </w:rPr>
              <w:t>Large C/I Buildings</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2,726</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116463" w:rsidRDefault="009B4F7B" w:rsidP="009B4F7B">
            <w:pPr>
              <w:jc w:val="center"/>
              <w:rPr>
                <w:color w:val="000000"/>
                <w:sz w:val="19"/>
                <w:szCs w:val="19"/>
              </w:rPr>
            </w:pPr>
            <w:r w:rsidRPr="00116463">
              <w:rPr>
                <w:color w:val="000000"/>
                <w:sz w:val="19"/>
                <w:szCs w:val="19"/>
              </w:rPr>
              <w:t>2%</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0.34</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color w:val="000000"/>
                <w:sz w:val="19"/>
                <w:szCs w:val="19"/>
              </w:rPr>
            </w:pPr>
            <w:r w:rsidRPr="00116463">
              <w:rPr>
                <w:color w:val="000000"/>
                <w:sz w:val="19"/>
                <w:szCs w:val="19"/>
              </w:rPr>
              <w:t>3%</w:t>
            </w:r>
          </w:p>
        </w:tc>
      </w:tr>
      <w:tr w:rsidR="00E7173E" w:rsidRPr="00116463"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116463" w:rsidRDefault="009B4F7B" w:rsidP="009B4F7B">
            <w:pPr>
              <w:rPr>
                <w:color w:val="000000"/>
                <w:sz w:val="19"/>
                <w:szCs w:val="19"/>
              </w:rPr>
            </w:pPr>
            <w:r w:rsidRPr="00116463">
              <w:rPr>
                <w:color w:val="000000"/>
                <w:sz w:val="19"/>
                <w:szCs w:val="19"/>
              </w:rPr>
              <w:t>Gov./Institutional</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1,167</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116463" w:rsidRDefault="009B4F7B" w:rsidP="009B4F7B">
            <w:pPr>
              <w:jc w:val="center"/>
              <w:rPr>
                <w:color w:val="000000"/>
                <w:sz w:val="19"/>
                <w:szCs w:val="19"/>
              </w:rPr>
            </w:pPr>
            <w:r w:rsidRPr="00116463">
              <w:rPr>
                <w:color w:val="000000"/>
                <w:sz w:val="19"/>
                <w:szCs w:val="19"/>
              </w:rPr>
              <w:t>1%</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0.01</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116463" w:rsidRDefault="009B4F7B" w:rsidP="009B4F7B">
            <w:pPr>
              <w:jc w:val="center"/>
              <w:rPr>
                <w:color w:val="000000"/>
                <w:sz w:val="19"/>
                <w:szCs w:val="19"/>
              </w:rPr>
            </w:pPr>
            <w:r w:rsidRPr="00116463">
              <w:rPr>
                <w:color w:val="000000"/>
                <w:sz w:val="19"/>
                <w:szCs w:val="19"/>
              </w:rPr>
              <w:t>0%</w:t>
            </w:r>
          </w:p>
        </w:tc>
      </w:tr>
      <w:tr w:rsidR="00A874AC" w:rsidRPr="00116463"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noWrap/>
            <w:vAlign w:val="center"/>
            <w:hideMark/>
          </w:tcPr>
          <w:p w:rsidR="009B4F7B" w:rsidRPr="00116463" w:rsidRDefault="009B4F7B" w:rsidP="009B4F7B">
            <w:pPr>
              <w:jc w:val="left"/>
              <w:rPr>
                <w:b/>
                <w:bCs/>
                <w:i/>
                <w:iCs/>
                <w:color w:val="000000"/>
                <w:sz w:val="19"/>
                <w:szCs w:val="19"/>
              </w:rPr>
            </w:pPr>
            <w:r w:rsidRPr="00116463">
              <w:rPr>
                <w:b/>
                <w:bCs/>
                <w:i/>
                <w:iCs/>
                <w:color w:val="000000"/>
                <w:sz w:val="19"/>
                <w:szCs w:val="19"/>
              </w:rPr>
              <w:t>Total Portfolio</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b/>
                <w:bCs/>
                <w:i/>
                <w:iCs/>
                <w:color w:val="000000"/>
                <w:sz w:val="19"/>
                <w:szCs w:val="19"/>
              </w:rPr>
            </w:pPr>
            <w:r w:rsidRPr="00116463">
              <w:rPr>
                <w:b/>
                <w:bCs/>
                <w:i/>
                <w:iCs/>
                <w:color w:val="000000"/>
                <w:sz w:val="19"/>
                <w:szCs w:val="19"/>
              </w:rPr>
              <w:t>109,368</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116463" w:rsidRDefault="009B4F7B" w:rsidP="009B4F7B">
            <w:pPr>
              <w:jc w:val="center"/>
              <w:rPr>
                <w:b/>
                <w:bCs/>
                <w:i/>
                <w:iCs/>
                <w:color w:val="000000"/>
                <w:sz w:val="19"/>
                <w:szCs w:val="19"/>
              </w:rPr>
            </w:pPr>
            <w:r w:rsidRPr="00116463">
              <w:rPr>
                <w:b/>
                <w:bCs/>
                <w:i/>
                <w:iCs/>
                <w:color w:val="000000"/>
                <w:sz w:val="19"/>
                <w:szCs w:val="19"/>
              </w:rPr>
              <w:t>100%</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b/>
                <w:bCs/>
                <w:i/>
                <w:iCs/>
                <w:color w:val="000000"/>
                <w:sz w:val="19"/>
                <w:szCs w:val="19"/>
              </w:rPr>
            </w:pPr>
            <w:r w:rsidRPr="00116463">
              <w:rPr>
                <w:b/>
                <w:bCs/>
                <w:i/>
                <w:iCs/>
                <w:color w:val="000000"/>
                <w:sz w:val="19"/>
                <w:szCs w:val="19"/>
              </w:rPr>
              <w:t>13.21</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116463" w:rsidRDefault="009B4F7B" w:rsidP="009B4F7B">
            <w:pPr>
              <w:jc w:val="center"/>
              <w:rPr>
                <w:b/>
                <w:bCs/>
                <w:i/>
                <w:iCs/>
                <w:color w:val="000000"/>
                <w:sz w:val="19"/>
                <w:szCs w:val="19"/>
              </w:rPr>
            </w:pPr>
            <w:r w:rsidRPr="00116463">
              <w:rPr>
                <w:b/>
                <w:bCs/>
                <w:i/>
                <w:iCs/>
                <w:color w:val="000000"/>
                <w:sz w:val="19"/>
                <w:szCs w:val="19"/>
              </w:rPr>
              <w:t>100%</w:t>
            </w:r>
          </w:p>
        </w:tc>
      </w:tr>
    </w:tbl>
    <w:p w:rsidR="006D7494" w:rsidRDefault="006D7494" w:rsidP="005A27BE"/>
    <w:p w:rsidR="00735BA9" w:rsidRDefault="00735BA9" w:rsidP="009C0DF1">
      <w:pPr>
        <w:pStyle w:val="AppendixAHeading3"/>
      </w:pPr>
      <w:r>
        <w:t>PY7 Gross and Net Savings by Sector</w:t>
      </w:r>
    </w:p>
    <w:p w:rsidR="00710D47" w:rsidRDefault="00710D47" w:rsidP="00710D47">
      <w:r w:rsidRPr="00C23348">
        <w:t>The sector-level verified gross and net energy savings achieved in PY7 are provided</w:t>
      </w:r>
      <w:r>
        <w:t xml:space="preserve"> in </w:t>
      </w:r>
      <w:r w:rsidR="008F62F5">
        <w:fldChar w:fldCharType="begin"/>
      </w:r>
      <w:r w:rsidR="008F62F5">
        <w:instrText xml:space="preserve"> REF _Ref472360334 \h </w:instrText>
      </w:r>
      <w:r w:rsidR="008F62F5">
        <w:fldChar w:fldCharType="separate"/>
      </w:r>
      <w:r w:rsidR="00037CB4" w:rsidRPr="00E41D9C">
        <w:t>Table A-</w:t>
      </w:r>
      <w:r w:rsidR="00037CB4">
        <w:rPr>
          <w:noProof/>
        </w:rPr>
        <w:t>70</w:t>
      </w:r>
      <w:r w:rsidR="008F62F5">
        <w:fldChar w:fldCharType="end"/>
      </w:r>
      <w:r>
        <w:t xml:space="preserve"> below. In PY7, the net energy savings were </w:t>
      </w:r>
      <w:r w:rsidRPr="009B4F7B">
        <w:t>approximately 7</w:t>
      </w:r>
      <w:r w:rsidR="009B4F7B" w:rsidRPr="009B4F7B">
        <w:t>0</w:t>
      </w:r>
      <w:r w:rsidRPr="009B4F7B">
        <w:t>% of</w:t>
      </w:r>
      <w:r>
        <w:t xml:space="preserve"> the gross energy savings.</w:t>
      </w:r>
    </w:p>
    <w:p w:rsidR="00116463" w:rsidRDefault="00116463" w:rsidP="00710D47"/>
    <w:p w:rsidR="00710D47" w:rsidRDefault="00710D47" w:rsidP="004837FA">
      <w:pPr>
        <w:pStyle w:val="Caption"/>
      </w:pPr>
      <w:bookmarkStart w:id="898" w:name="_Ref472360334"/>
      <w:bookmarkStart w:id="899" w:name="_Toc472472479"/>
      <w:bookmarkStart w:id="900" w:name="_Toc488741898"/>
      <w:r w:rsidRPr="00E41D9C">
        <w:t>Table A-</w:t>
      </w:r>
      <w:r w:rsidR="007973A4">
        <w:fldChar w:fldCharType="begin"/>
      </w:r>
      <w:r w:rsidR="007973A4">
        <w:instrText xml:space="preserve"> SEQ Table_A- \* ARABIC </w:instrText>
      </w:r>
      <w:r w:rsidR="007973A4">
        <w:fldChar w:fldCharType="separate"/>
      </w:r>
      <w:r w:rsidR="00037CB4">
        <w:rPr>
          <w:noProof/>
        </w:rPr>
        <w:t>70</w:t>
      </w:r>
      <w:r w:rsidR="007973A4">
        <w:rPr>
          <w:noProof/>
        </w:rPr>
        <w:fldChar w:fldCharType="end"/>
      </w:r>
      <w:bookmarkEnd w:id="898"/>
      <w:r w:rsidRPr="00E41D9C">
        <w:t xml:space="preserve">: </w:t>
      </w:r>
      <w:r w:rsidRPr="008B45A8">
        <w:t xml:space="preserve">Summary of </w:t>
      </w:r>
      <w:r>
        <w:t>Pen</w:t>
      </w:r>
      <w:r w:rsidR="008F62F5">
        <w:t>n Power</w:t>
      </w:r>
      <w:r w:rsidRPr="008B45A8">
        <w:t xml:space="preserve"> EE&amp;C Verified Net Savings – by Sector</w:t>
      </w:r>
      <w:bookmarkEnd w:id="899"/>
      <w:bookmarkEnd w:id="900"/>
    </w:p>
    <w:tbl>
      <w:tblPr>
        <w:tblW w:w="9350" w:type="dxa"/>
        <w:tblLook w:val="04A0" w:firstRow="1" w:lastRow="0" w:firstColumn="1" w:lastColumn="0" w:noHBand="0" w:noVBand="1"/>
      </w:tblPr>
      <w:tblGrid>
        <w:gridCol w:w="1870"/>
        <w:gridCol w:w="1870"/>
        <w:gridCol w:w="1870"/>
        <w:gridCol w:w="1870"/>
        <w:gridCol w:w="1870"/>
      </w:tblGrid>
      <w:tr w:rsidR="00A874AC" w:rsidRPr="00116463" w:rsidTr="008C15AB">
        <w:trPr>
          <w:trHeight w:val="628"/>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116463" w:rsidRDefault="00710D47" w:rsidP="008C15AB">
            <w:pPr>
              <w:rPr>
                <w:b/>
                <w:bCs/>
                <w:color w:val="FFFFFF"/>
                <w:sz w:val="19"/>
                <w:szCs w:val="19"/>
              </w:rPr>
            </w:pPr>
            <w:r w:rsidRPr="00116463">
              <w:rPr>
                <w:b/>
                <w:bCs/>
                <w:color w:val="FFFFFF"/>
                <w:sz w:val="19"/>
                <w:szCs w:val="19"/>
              </w:rPr>
              <w:t>Sector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116463" w:rsidRDefault="00710D47" w:rsidP="008C15AB">
            <w:pPr>
              <w:jc w:val="center"/>
              <w:rPr>
                <w:b/>
                <w:bCs/>
                <w:color w:val="FFFFFF"/>
                <w:sz w:val="19"/>
                <w:szCs w:val="19"/>
              </w:rPr>
            </w:pPr>
            <w:r w:rsidRPr="00116463">
              <w:rPr>
                <w:b/>
                <w:bCs/>
                <w:color w:val="FFFFFF"/>
                <w:sz w:val="19"/>
                <w:szCs w:val="19"/>
              </w:rPr>
              <w:t>PY7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116463" w:rsidRDefault="00710D47" w:rsidP="008C15AB">
            <w:pPr>
              <w:jc w:val="center"/>
              <w:rPr>
                <w:b/>
                <w:bCs/>
                <w:color w:val="FFFFFF"/>
                <w:sz w:val="19"/>
                <w:szCs w:val="19"/>
              </w:rPr>
            </w:pPr>
            <w:r w:rsidRPr="00116463">
              <w:rPr>
                <w:b/>
                <w:bCs/>
                <w:color w:val="FFFFFF"/>
                <w:sz w:val="19"/>
                <w:szCs w:val="19"/>
              </w:rPr>
              <w:t>PY7 Verified Net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116463" w:rsidRDefault="00710D47" w:rsidP="008C15AB">
            <w:pPr>
              <w:jc w:val="center"/>
              <w:rPr>
                <w:b/>
                <w:bCs/>
                <w:color w:val="FFFFFF"/>
                <w:sz w:val="19"/>
                <w:szCs w:val="19"/>
              </w:rPr>
            </w:pPr>
            <w:r w:rsidRPr="00116463">
              <w:rPr>
                <w:b/>
                <w:bCs/>
                <w:color w:val="FFFFFF"/>
                <w:sz w:val="19"/>
                <w:szCs w:val="19"/>
              </w:rPr>
              <w:t>Phase II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116463" w:rsidRDefault="00710D47" w:rsidP="008C15AB">
            <w:pPr>
              <w:jc w:val="center"/>
              <w:rPr>
                <w:b/>
                <w:bCs/>
                <w:color w:val="FFFFFF"/>
                <w:sz w:val="19"/>
                <w:szCs w:val="19"/>
              </w:rPr>
            </w:pPr>
            <w:r w:rsidRPr="00116463">
              <w:rPr>
                <w:b/>
                <w:bCs/>
                <w:color w:val="FFFFFF"/>
                <w:sz w:val="19"/>
                <w:szCs w:val="19"/>
              </w:rPr>
              <w:t>Phase II Verified Net Savings (MWh/yr)</w:t>
            </w:r>
          </w:p>
        </w:tc>
      </w:tr>
      <w:tr w:rsidR="00E7173E" w:rsidRPr="00116463" w:rsidTr="0081757B">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B4F7B" w:rsidRPr="00116463" w:rsidRDefault="009B4F7B" w:rsidP="009B4F7B">
            <w:pPr>
              <w:jc w:val="left"/>
              <w:rPr>
                <w:color w:val="000000"/>
                <w:sz w:val="19"/>
                <w:szCs w:val="19"/>
              </w:rPr>
            </w:pPr>
            <w:r w:rsidRPr="00116463">
              <w:rPr>
                <w:color w:val="000000"/>
                <w:sz w:val="19"/>
                <w:szCs w:val="19"/>
              </w:rPr>
              <w:t>Residential</w:t>
            </w:r>
          </w:p>
        </w:tc>
        <w:tc>
          <w:tcPr>
            <w:tcW w:w="1870" w:type="dxa"/>
            <w:tcBorders>
              <w:top w:val="nil"/>
              <w:left w:val="nil"/>
              <w:bottom w:val="single" w:sz="8" w:space="0" w:color="448A99"/>
              <w:right w:val="single" w:sz="8" w:space="0" w:color="448A99"/>
            </w:tcBorders>
            <w:shd w:val="clear" w:color="auto" w:fill="auto"/>
            <w:vAlign w:val="center"/>
          </w:tcPr>
          <w:p w:rsidR="009B4F7B" w:rsidRPr="00116463" w:rsidRDefault="009B4F7B" w:rsidP="009B4F7B">
            <w:pPr>
              <w:jc w:val="center"/>
              <w:rPr>
                <w:color w:val="000000"/>
                <w:sz w:val="19"/>
                <w:szCs w:val="19"/>
              </w:rPr>
            </w:pPr>
            <w:r w:rsidRPr="00116463">
              <w:rPr>
                <w:color w:val="000000"/>
                <w:sz w:val="19"/>
                <w:szCs w:val="19"/>
              </w:rPr>
              <w:t>12,953</w:t>
            </w:r>
          </w:p>
        </w:tc>
        <w:tc>
          <w:tcPr>
            <w:tcW w:w="1870" w:type="dxa"/>
            <w:tcBorders>
              <w:top w:val="nil"/>
              <w:left w:val="nil"/>
              <w:bottom w:val="single" w:sz="8" w:space="0" w:color="448A99"/>
              <w:right w:val="single" w:sz="8" w:space="0" w:color="448A99"/>
            </w:tcBorders>
            <w:shd w:val="clear" w:color="auto" w:fill="auto"/>
            <w:vAlign w:val="center"/>
          </w:tcPr>
          <w:p w:rsidR="009B4F7B" w:rsidRPr="00116463" w:rsidRDefault="009B4F7B" w:rsidP="009B4F7B">
            <w:pPr>
              <w:jc w:val="center"/>
              <w:rPr>
                <w:color w:val="000000"/>
                <w:sz w:val="19"/>
                <w:szCs w:val="19"/>
              </w:rPr>
            </w:pPr>
            <w:r w:rsidRPr="00116463">
              <w:rPr>
                <w:color w:val="000000"/>
                <w:sz w:val="19"/>
                <w:szCs w:val="19"/>
              </w:rPr>
              <w:t>11,133</w:t>
            </w:r>
          </w:p>
        </w:tc>
        <w:tc>
          <w:tcPr>
            <w:tcW w:w="1870" w:type="dxa"/>
            <w:tcBorders>
              <w:top w:val="nil"/>
              <w:left w:val="nil"/>
              <w:bottom w:val="single" w:sz="8" w:space="0" w:color="448A99"/>
              <w:right w:val="single" w:sz="8" w:space="0" w:color="448A99"/>
            </w:tcBorders>
            <w:shd w:val="clear" w:color="auto" w:fill="auto"/>
            <w:vAlign w:val="center"/>
          </w:tcPr>
          <w:p w:rsidR="009B4F7B" w:rsidRPr="00116463" w:rsidRDefault="009B4F7B" w:rsidP="009B4F7B">
            <w:pPr>
              <w:jc w:val="center"/>
              <w:rPr>
                <w:color w:val="000000"/>
                <w:sz w:val="19"/>
                <w:szCs w:val="19"/>
              </w:rPr>
            </w:pPr>
            <w:r w:rsidRPr="00116463">
              <w:rPr>
                <w:color w:val="000000"/>
                <w:sz w:val="19"/>
                <w:szCs w:val="19"/>
              </w:rPr>
              <w:t>51,422</w:t>
            </w:r>
          </w:p>
        </w:tc>
        <w:tc>
          <w:tcPr>
            <w:tcW w:w="1870" w:type="dxa"/>
            <w:tcBorders>
              <w:top w:val="nil"/>
              <w:left w:val="nil"/>
              <w:bottom w:val="single" w:sz="8" w:space="0" w:color="448A99"/>
              <w:right w:val="single" w:sz="8" w:space="0" w:color="448A99"/>
            </w:tcBorders>
            <w:shd w:val="clear" w:color="auto" w:fill="auto"/>
            <w:vAlign w:val="center"/>
          </w:tcPr>
          <w:p w:rsidR="009B4F7B" w:rsidRPr="00116463" w:rsidRDefault="009B4F7B" w:rsidP="009B4F7B">
            <w:pPr>
              <w:jc w:val="center"/>
              <w:rPr>
                <w:color w:val="000000"/>
                <w:sz w:val="19"/>
                <w:szCs w:val="19"/>
              </w:rPr>
            </w:pPr>
            <w:r w:rsidRPr="00116463">
              <w:rPr>
                <w:color w:val="000000"/>
                <w:sz w:val="19"/>
                <w:szCs w:val="19"/>
              </w:rPr>
              <w:t>36,021</w:t>
            </w:r>
          </w:p>
        </w:tc>
      </w:tr>
      <w:tr w:rsidR="00A874AC" w:rsidRPr="00116463" w:rsidTr="008C15AB">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B4F7B" w:rsidRPr="00116463" w:rsidRDefault="009B4F7B" w:rsidP="0097650B">
            <w:pPr>
              <w:jc w:val="left"/>
              <w:rPr>
                <w:color w:val="000000"/>
                <w:sz w:val="19"/>
                <w:szCs w:val="19"/>
              </w:rPr>
            </w:pPr>
            <w:r w:rsidRPr="00116463">
              <w:rPr>
                <w:color w:val="000000"/>
                <w:sz w:val="19"/>
                <w:szCs w:val="19"/>
              </w:rPr>
              <w:t>C</w:t>
            </w:r>
            <w:r w:rsidR="0097650B" w:rsidRPr="00116463">
              <w:rPr>
                <w:color w:val="000000"/>
                <w:sz w:val="19"/>
                <w:szCs w:val="19"/>
              </w:rPr>
              <w:t>/</w:t>
            </w:r>
            <w:r w:rsidRPr="00116463">
              <w:rPr>
                <w:color w:val="000000"/>
                <w:sz w:val="19"/>
                <w:szCs w:val="19"/>
              </w:rPr>
              <w:t>I</w:t>
            </w:r>
          </w:p>
        </w:tc>
        <w:tc>
          <w:tcPr>
            <w:tcW w:w="1870" w:type="dxa"/>
            <w:tcBorders>
              <w:top w:val="nil"/>
              <w:left w:val="nil"/>
              <w:bottom w:val="single" w:sz="8" w:space="0" w:color="448A99"/>
              <w:right w:val="single" w:sz="8" w:space="0" w:color="448A99"/>
            </w:tcBorders>
            <w:shd w:val="clear" w:color="000000" w:fill="D2EAF1"/>
            <w:vAlign w:val="center"/>
          </w:tcPr>
          <w:p w:rsidR="009B4F7B" w:rsidRPr="00116463" w:rsidRDefault="009B4F7B" w:rsidP="009B4F7B">
            <w:pPr>
              <w:jc w:val="center"/>
              <w:rPr>
                <w:color w:val="000000"/>
                <w:sz w:val="19"/>
                <w:szCs w:val="19"/>
              </w:rPr>
            </w:pPr>
            <w:r w:rsidRPr="00116463">
              <w:rPr>
                <w:color w:val="000000"/>
                <w:sz w:val="19"/>
                <w:szCs w:val="19"/>
              </w:rPr>
              <w:t>7,045</w:t>
            </w:r>
          </w:p>
        </w:tc>
        <w:tc>
          <w:tcPr>
            <w:tcW w:w="1870" w:type="dxa"/>
            <w:tcBorders>
              <w:top w:val="nil"/>
              <w:left w:val="nil"/>
              <w:bottom w:val="single" w:sz="8" w:space="0" w:color="448A99"/>
              <w:right w:val="single" w:sz="8" w:space="0" w:color="448A99"/>
            </w:tcBorders>
            <w:shd w:val="clear" w:color="000000" w:fill="D2EAF1"/>
            <w:vAlign w:val="center"/>
          </w:tcPr>
          <w:p w:rsidR="009B4F7B" w:rsidRPr="00116463" w:rsidRDefault="009B4F7B" w:rsidP="009B4F7B">
            <w:pPr>
              <w:jc w:val="center"/>
              <w:rPr>
                <w:color w:val="000000"/>
                <w:sz w:val="19"/>
                <w:szCs w:val="19"/>
              </w:rPr>
            </w:pPr>
            <w:r w:rsidRPr="00116463">
              <w:rPr>
                <w:color w:val="000000"/>
                <w:sz w:val="19"/>
                <w:szCs w:val="19"/>
              </w:rPr>
              <w:t>3,870</w:t>
            </w:r>
          </w:p>
        </w:tc>
        <w:tc>
          <w:tcPr>
            <w:tcW w:w="1870" w:type="dxa"/>
            <w:tcBorders>
              <w:top w:val="nil"/>
              <w:left w:val="nil"/>
              <w:bottom w:val="single" w:sz="8" w:space="0" w:color="448A99"/>
              <w:right w:val="single" w:sz="8" w:space="0" w:color="448A99"/>
            </w:tcBorders>
            <w:shd w:val="clear" w:color="000000" w:fill="D2EAF1"/>
            <w:vAlign w:val="center"/>
          </w:tcPr>
          <w:p w:rsidR="009B4F7B" w:rsidRPr="00116463" w:rsidRDefault="009B4F7B" w:rsidP="009B4F7B">
            <w:pPr>
              <w:jc w:val="center"/>
              <w:rPr>
                <w:color w:val="000000"/>
                <w:sz w:val="19"/>
                <w:szCs w:val="19"/>
              </w:rPr>
            </w:pPr>
            <w:r w:rsidRPr="00116463">
              <w:rPr>
                <w:color w:val="000000"/>
                <w:sz w:val="19"/>
                <w:szCs w:val="19"/>
              </w:rPr>
              <w:t>41,079</w:t>
            </w:r>
          </w:p>
        </w:tc>
        <w:tc>
          <w:tcPr>
            <w:tcW w:w="1870" w:type="dxa"/>
            <w:tcBorders>
              <w:top w:val="nil"/>
              <w:left w:val="nil"/>
              <w:bottom w:val="single" w:sz="8" w:space="0" w:color="448A99"/>
              <w:right w:val="single" w:sz="8" w:space="0" w:color="448A99"/>
            </w:tcBorders>
            <w:shd w:val="clear" w:color="000000" w:fill="D2EAF1"/>
            <w:vAlign w:val="center"/>
          </w:tcPr>
          <w:p w:rsidR="009B4F7B" w:rsidRPr="00116463" w:rsidRDefault="009B4F7B" w:rsidP="009B4F7B">
            <w:pPr>
              <w:jc w:val="center"/>
              <w:rPr>
                <w:color w:val="000000"/>
                <w:sz w:val="19"/>
                <w:szCs w:val="19"/>
              </w:rPr>
            </w:pPr>
            <w:r w:rsidRPr="00116463">
              <w:rPr>
                <w:color w:val="000000"/>
                <w:sz w:val="19"/>
                <w:szCs w:val="19"/>
              </w:rPr>
              <w:t>26,255</w:t>
            </w:r>
          </w:p>
        </w:tc>
      </w:tr>
      <w:tr w:rsidR="00E7173E" w:rsidRPr="00116463" w:rsidTr="0081757B">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B4F7B" w:rsidRPr="00116463" w:rsidRDefault="009B4F7B" w:rsidP="009B4F7B">
            <w:pPr>
              <w:jc w:val="left"/>
              <w:rPr>
                <w:color w:val="000000"/>
                <w:sz w:val="19"/>
                <w:szCs w:val="19"/>
              </w:rPr>
            </w:pPr>
            <w:r w:rsidRPr="00116463">
              <w:rPr>
                <w:color w:val="000000"/>
                <w:sz w:val="19"/>
                <w:szCs w:val="19"/>
              </w:rPr>
              <w:t>GNI</w:t>
            </w:r>
          </w:p>
        </w:tc>
        <w:tc>
          <w:tcPr>
            <w:tcW w:w="1870" w:type="dxa"/>
            <w:tcBorders>
              <w:top w:val="nil"/>
              <w:left w:val="nil"/>
              <w:bottom w:val="single" w:sz="8" w:space="0" w:color="448A99"/>
              <w:right w:val="single" w:sz="8" w:space="0" w:color="448A99"/>
            </w:tcBorders>
            <w:shd w:val="clear" w:color="auto" w:fill="auto"/>
            <w:vAlign w:val="center"/>
          </w:tcPr>
          <w:p w:rsidR="009B4F7B" w:rsidRPr="00116463" w:rsidRDefault="009B4F7B" w:rsidP="009B4F7B">
            <w:pPr>
              <w:jc w:val="center"/>
              <w:rPr>
                <w:color w:val="000000"/>
                <w:sz w:val="19"/>
                <w:szCs w:val="19"/>
              </w:rPr>
            </w:pPr>
            <w:r w:rsidRPr="00116463">
              <w:rPr>
                <w:color w:val="000000"/>
                <w:sz w:val="19"/>
                <w:szCs w:val="19"/>
              </w:rPr>
              <w:t>7,283</w:t>
            </w:r>
          </w:p>
        </w:tc>
        <w:tc>
          <w:tcPr>
            <w:tcW w:w="1870" w:type="dxa"/>
            <w:tcBorders>
              <w:top w:val="nil"/>
              <w:left w:val="nil"/>
              <w:bottom w:val="single" w:sz="8" w:space="0" w:color="448A99"/>
              <w:right w:val="single" w:sz="8" w:space="0" w:color="448A99"/>
            </w:tcBorders>
            <w:shd w:val="clear" w:color="auto" w:fill="auto"/>
            <w:vAlign w:val="center"/>
          </w:tcPr>
          <w:p w:rsidR="009B4F7B" w:rsidRPr="00116463" w:rsidRDefault="009B4F7B" w:rsidP="009B4F7B">
            <w:pPr>
              <w:jc w:val="center"/>
              <w:rPr>
                <w:color w:val="000000"/>
                <w:sz w:val="19"/>
                <w:szCs w:val="19"/>
              </w:rPr>
            </w:pPr>
            <w:r w:rsidRPr="00116463">
              <w:rPr>
                <w:color w:val="000000"/>
                <w:sz w:val="19"/>
                <w:szCs w:val="19"/>
              </w:rPr>
              <w:t>4,184</w:t>
            </w:r>
          </w:p>
        </w:tc>
        <w:tc>
          <w:tcPr>
            <w:tcW w:w="1870" w:type="dxa"/>
            <w:tcBorders>
              <w:top w:val="nil"/>
              <w:left w:val="nil"/>
              <w:bottom w:val="single" w:sz="8" w:space="0" w:color="448A99"/>
              <w:right w:val="single" w:sz="8" w:space="0" w:color="448A99"/>
            </w:tcBorders>
            <w:shd w:val="clear" w:color="auto" w:fill="auto"/>
            <w:vAlign w:val="center"/>
          </w:tcPr>
          <w:p w:rsidR="009B4F7B" w:rsidRPr="00116463" w:rsidRDefault="009B4F7B" w:rsidP="009B4F7B">
            <w:pPr>
              <w:jc w:val="center"/>
              <w:rPr>
                <w:color w:val="000000"/>
                <w:sz w:val="19"/>
                <w:szCs w:val="19"/>
              </w:rPr>
            </w:pPr>
            <w:r w:rsidRPr="00116463">
              <w:rPr>
                <w:color w:val="000000"/>
                <w:sz w:val="19"/>
                <w:szCs w:val="19"/>
              </w:rPr>
              <w:t>16,866</w:t>
            </w:r>
          </w:p>
        </w:tc>
        <w:tc>
          <w:tcPr>
            <w:tcW w:w="1870" w:type="dxa"/>
            <w:tcBorders>
              <w:top w:val="nil"/>
              <w:left w:val="nil"/>
              <w:bottom w:val="single" w:sz="8" w:space="0" w:color="448A99"/>
              <w:right w:val="single" w:sz="8" w:space="0" w:color="448A99"/>
            </w:tcBorders>
            <w:shd w:val="clear" w:color="auto" w:fill="auto"/>
            <w:vAlign w:val="center"/>
          </w:tcPr>
          <w:p w:rsidR="009B4F7B" w:rsidRPr="00116463" w:rsidRDefault="009B4F7B" w:rsidP="009B4F7B">
            <w:pPr>
              <w:jc w:val="center"/>
              <w:rPr>
                <w:color w:val="000000"/>
                <w:sz w:val="19"/>
                <w:szCs w:val="19"/>
              </w:rPr>
            </w:pPr>
            <w:r w:rsidRPr="00116463">
              <w:rPr>
                <w:color w:val="000000"/>
                <w:sz w:val="19"/>
                <w:szCs w:val="19"/>
              </w:rPr>
              <w:t>10,499</w:t>
            </w:r>
          </w:p>
        </w:tc>
      </w:tr>
      <w:tr w:rsidR="00A874AC" w:rsidRPr="00116463" w:rsidTr="008C15AB">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B4F7B" w:rsidRPr="00116463" w:rsidRDefault="009B4F7B" w:rsidP="009B4F7B">
            <w:pPr>
              <w:jc w:val="left"/>
              <w:rPr>
                <w:b/>
                <w:bCs/>
                <w:i/>
                <w:iCs/>
                <w:color w:val="000000"/>
                <w:sz w:val="19"/>
                <w:szCs w:val="19"/>
              </w:rPr>
            </w:pPr>
            <w:r w:rsidRPr="00116463">
              <w:rPr>
                <w:b/>
                <w:bCs/>
                <w:i/>
                <w:iCs/>
                <w:color w:val="000000"/>
                <w:sz w:val="19"/>
                <w:szCs w:val="19"/>
              </w:rPr>
              <w:t>Total Portfolio</w:t>
            </w:r>
          </w:p>
        </w:tc>
        <w:tc>
          <w:tcPr>
            <w:tcW w:w="1870" w:type="dxa"/>
            <w:tcBorders>
              <w:top w:val="nil"/>
              <w:left w:val="nil"/>
              <w:bottom w:val="single" w:sz="8" w:space="0" w:color="448A99"/>
              <w:right w:val="single" w:sz="8" w:space="0" w:color="448A99"/>
            </w:tcBorders>
            <w:shd w:val="clear" w:color="000000" w:fill="D2EAF1"/>
            <w:vAlign w:val="center"/>
          </w:tcPr>
          <w:p w:rsidR="009B4F7B" w:rsidRPr="00116463" w:rsidRDefault="009B4F7B" w:rsidP="009B4F7B">
            <w:pPr>
              <w:jc w:val="center"/>
              <w:rPr>
                <w:b/>
                <w:bCs/>
                <w:i/>
                <w:iCs/>
                <w:color w:val="000000"/>
                <w:sz w:val="19"/>
                <w:szCs w:val="19"/>
              </w:rPr>
            </w:pPr>
            <w:r w:rsidRPr="00116463">
              <w:rPr>
                <w:b/>
                <w:bCs/>
                <w:i/>
                <w:iCs/>
                <w:color w:val="000000"/>
                <w:sz w:val="19"/>
                <w:szCs w:val="19"/>
              </w:rPr>
              <w:t>27,280</w:t>
            </w:r>
          </w:p>
        </w:tc>
        <w:tc>
          <w:tcPr>
            <w:tcW w:w="1870" w:type="dxa"/>
            <w:tcBorders>
              <w:top w:val="nil"/>
              <w:left w:val="nil"/>
              <w:bottom w:val="single" w:sz="8" w:space="0" w:color="448A99"/>
              <w:right w:val="single" w:sz="8" w:space="0" w:color="448A99"/>
            </w:tcBorders>
            <w:shd w:val="clear" w:color="000000" w:fill="D2EAF1"/>
            <w:vAlign w:val="center"/>
          </w:tcPr>
          <w:p w:rsidR="009B4F7B" w:rsidRPr="00116463" w:rsidRDefault="009B4F7B" w:rsidP="009B4F7B">
            <w:pPr>
              <w:jc w:val="center"/>
              <w:rPr>
                <w:b/>
                <w:bCs/>
                <w:i/>
                <w:iCs/>
                <w:color w:val="000000"/>
                <w:sz w:val="19"/>
                <w:szCs w:val="19"/>
              </w:rPr>
            </w:pPr>
            <w:r w:rsidRPr="00116463">
              <w:rPr>
                <w:b/>
                <w:bCs/>
                <w:i/>
                <w:iCs/>
                <w:color w:val="000000"/>
                <w:sz w:val="19"/>
                <w:szCs w:val="19"/>
              </w:rPr>
              <w:t>19,187</w:t>
            </w:r>
          </w:p>
        </w:tc>
        <w:tc>
          <w:tcPr>
            <w:tcW w:w="1870" w:type="dxa"/>
            <w:tcBorders>
              <w:top w:val="nil"/>
              <w:left w:val="nil"/>
              <w:bottom w:val="single" w:sz="8" w:space="0" w:color="448A99"/>
              <w:right w:val="single" w:sz="8" w:space="0" w:color="448A99"/>
            </w:tcBorders>
            <w:shd w:val="clear" w:color="000000" w:fill="D2EAF1"/>
            <w:vAlign w:val="center"/>
          </w:tcPr>
          <w:p w:rsidR="009B4F7B" w:rsidRPr="00116463" w:rsidRDefault="009B4F7B" w:rsidP="009B4F7B">
            <w:pPr>
              <w:jc w:val="center"/>
              <w:rPr>
                <w:b/>
                <w:bCs/>
                <w:i/>
                <w:iCs/>
                <w:color w:val="000000"/>
                <w:sz w:val="19"/>
                <w:szCs w:val="19"/>
              </w:rPr>
            </w:pPr>
            <w:r w:rsidRPr="00116463">
              <w:rPr>
                <w:b/>
                <w:bCs/>
                <w:i/>
                <w:iCs/>
                <w:color w:val="000000"/>
                <w:sz w:val="19"/>
                <w:szCs w:val="19"/>
              </w:rPr>
              <w:t>109,368</w:t>
            </w:r>
          </w:p>
        </w:tc>
        <w:tc>
          <w:tcPr>
            <w:tcW w:w="1870" w:type="dxa"/>
            <w:tcBorders>
              <w:top w:val="nil"/>
              <w:left w:val="nil"/>
              <w:bottom w:val="single" w:sz="8" w:space="0" w:color="448A99"/>
              <w:right w:val="single" w:sz="8" w:space="0" w:color="448A99"/>
            </w:tcBorders>
            <w:shd w:val="clear" w:color="000000" w:fill="D2EAF1"/>
            <w:vAlign w:val="center"/>
          </w:tcPr>
          <w:p w:rsidR="009B4F7B" w:rsidRPr="00116463" w:rsidRDefault="009B4F7B" w:rsidP="009B4F7B">
            <w:pPr>
              <w:jc w:val="center"/>
              <w:rPr>
                <w:b/>
                <w:bCs/>
                <w:i/>
                <w:iCs/>
                <w:color w:val="000000"/>
                <w:sz w:val="19"/>
                <w:szCs w:val="19"/>
              </w:rPr>
            </w:pPr>
            <w:r w:rsidRPr="00116463">
              <w:rPr>
                <w:b/>
                <w:bCs/>
                <w:i/>
                <w:iCs/>
                <w:color w:val="000000"/>
                <w:sz w:val="19"/>
                <w:szCs w:val="19"/>
              </w:rPr>
              <w:t>72,774</w:t>
            </w:r>
          </w:p>
        </w:tc>
      </w:tr>
    </w:tbl>
    <w:p w:rsidR="00710D47" w:rsidRDefault="00710D47" w:rsidP="000D3563">
      <w:pPr>
        <w:pStyle w:val="AppendixAHeading2"/>
        <w:numPr>
          <w:ilvl w:val="0"/>
          <w:numId w:val="0"/>
        </w:numPr>
      </w:pPr>
    </w:p>
    <w:p w:rsidR="00950837" w:rsidRDefault="00950837" w:rsidP="000D3563">
      <w:pPr>
        <w:pStyle w:val="AppendixAHeading2"/>
      </w:pPr>
      <w:r>
        <w:t>Total Resource Cost Test</w:t>
      </w:r>
    </w:p>
    <w:p w:rsidR="001B2044" w:rsidRDefault="001B2044" w:rsidP="001B2044">
      <w:r>
        <w:fldChar w:fldCharType="begin"/>
      </w:r>
      <w:r>
        <w:instrText xml:space="preserve"> REF _Ref472446352 \h </w:instrText>
      </w:r>
      <w:r>
        <w:fldChar w:fldCharType="separate"/>
      </w:r>
      <w:r w:rsidR="00037CB4">
        <w:t>Table A-</w:t>
      </w:r>
      <w:r w:rsidR="00037CB4">
        <w:rPr>
          <w:noProof/>
        </w:rPr>
        <w:t>71</w:t>
      </w:r>
      <w:r>
        <w:fldChar w:fldCharType="end"/>
      </w:r>
      <w:r>
        <w:t xml:space="preserve"> </w:t>
      </w:r>
      <w:r w:rsidRPr="001B2044">
        <w:t>presents TRC NPV benefits, TRC NPV costs, present value of net benefits, and</w:t>
      </w:r>
      <w:r w:rsidR="00C34CDD">
        <w:t xml:space="preserve"> the</w:t>
      </w:r>
      <w:r w:rsidRPr="001B2044">
        <w:t xml:space="preserve"> TRC ratio for Penn Power’s PY7 individual programs and total portfolio. The SWE found no initial inconsistencies between the TRC model outputs and the TRC results shown in the PY7 annual report.</w:t>
      </w:r>
      <w:r w:rsidR="00D40970">
        <w:t xml:space="preserve"> Five programs were not cost effective in PY7. These programs may need to be redesigned in order to maintain viability in Phase III.</w:t>
      </w:r>
    </w:p>
    <w:p w:rsidR="001B2044" w:rsidRDefault="001B2044" w:rsidP="001B2044"/>
    <w:p w:rsidR="001B2044" w:rsidRDefault="001B2044" w:rsidP="004837FA">
      <w:pPr>
        <w:pStyle w:val="Caption"/>
      </w:pPr>
      <w:bookmarkStart w:id="901" w:name="_Ref472446352"/>
      <w:bookmarkStart w:id="902" w:name="_Toc472472480"/>
      <w:bookmarkStart w:id="903" w:name="_Toc488741899"/>
      <w:r>
        <w:t>Table A-</w:t>
      </w:r>
      <w:r w:rsidR="007973A4">
        <w:fldChar w:fldCharType="begin"/>
      </w:r>
      <w:r w:rsidR="007973A4">
        <w:instrText xml:space="preserve"> SEQ Table_A- \* ARABIC </w:instrText>
      </w:r>
      <w:r w:rsidR="007973A4">
        <w:fldChar w:fldCharType="separate"/>
      </w:r>
      <w:r w:rsidR="00037CB4">
        <w:rPr>
          <w:noProof/>
        </w:rPr>
        <w:t>71</w:t>
      </w:r>
      <w:r w:rsidR="007973A4">
        <w:rPr>
          <w:noProof/>
        </w:rPr>
        <w:fldChar w:fldCharType="end"/>
      </w:r>
      <w:bookmarkEnd w:id="901"/>
      <w:r>
        <w:t xml:space="preserve">: </w:t>
      </w:r>
      <w:r w:rsidRPr="001B2044">
        <w:t>Summary of Penn Power’s PY7 TRC Factors and Results</w:t>
      </w:r>
      <w:bookmarkEnd w:id="902"/>
      <w:bookmarkEnd w:id="903"/>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875"/>
        <w:gridCol w:w="1620"/>
        <w:gridCol w:w="1620"/>
        <w:gridCol w:w="1620"/>
        <w:gridCol w:w="1620"/>
      </w:tblGrid>
      <w:tr w:rsidR="00A874AC" w:rsidRPr="00116463" w:rsidTr="00116463">
        <w:trPr>
          <w:trHeight w:val="782"/>
          <w:tblHeader/>
        </w:trPr>
        <w:tc>
          <w:tcPr>
            <w:tcW w:w="2875" w:type="dxa"/>
            <w:shd w:val="clear" w:color="000000" w:fill="448A99"/>
            <w:noWrap/>
            <w:vAlign w:val="bottom"/>
            <w:hideMark/>
          </w:tcPr>
          <w:p w:rsidR="001B2044" w:rsidRPr="00116463" w:rsidRDefault="001B2044" w:rsidP="001B2044">
            <w:pPr>
              <w:jc w:val="left"/>
              <w:rPr>
                <w:b/>
                <w:bCs/>
                <w:color w:val="FFFFFF"/>
                <w:sz w:val="19"/>
                <w:szCs w:val="19"/>
              </w:rPr>
            </w:pPr>
            <w:r w:rsidRPr="00116463">
              <w:rPr>
                <w:b/>
                <w:bCs/>
                <w:color w:val="FFFFFF"/>
                <w:sz w:val="19"/>
                <w:szCs w:val="19"/>
              </w:rPr>
              <w:t>Program</w:t>
            </w:r>
          </w:p>
        </w:tc>
        <w:tc>
          <w:tcPr>
            <w:tcW w:w="1620" w:type="dxa"/>
            <w:shd w:val="clear" w:color="000000" w:fill="448A99"/>
            <w:vAlign w:val="bottom"/>
            <w:hideMark/>
          </w:tcPr>
          <w:p w:rsidR="001B2044" w:rsidRPr="00116463" w:rsidRDefault="001B2044" w:rsidP="001B2044">
            <w:pPr>
              <w:jc w:val="center"/>
              <w:rPr>
                <w:b/>
                <w:bCs/>
                <w:color w:val="FFFFFF"/>
                <w:sz w:val="19"/>
                <w:szCs w:val="19"/>
              </w:rPr>
            </w:pPr>
            <w:r w:rsidRPr="00116463">
              <w:rPr>
                <w:b/>
                <w:bCs/>
                <w:color w:val="FFFFFF"/>
                <w:sz w:val="19"/>
                <w:szCs w:val="19"/>
              </w:rPr>
              <w:t>TRC NPV Benefits</w:t>
            </w:r>
          </w:p>
          <w:p w:rsidR="001B2044" w:rsidRPr="00116463" w:rsidRDefault="001B2044" w:rsidP="001B2044">
            <w:pPr>
              <w:jc w:val="center"/>
              <w:rPr>
                <w:rFonts w:eastAsia="Calibri"/>
                <w:b/>
                <w:bCs/>
                <w:color w:val="FFFFFF"/>
                <w:sz w:val="19"/>
                <w:szCs w:val="19"/>
              </w:rPr>
            </w:pPr>
            <w:r w:rsidRPr="00116463">
              <w:rPr>
                <w:b/>
                <w:bCs/>
                <w:color w:val="FFFFFF"/>
                <w:sz w:val="19"/>
                <w:szCs w:val="19"/>
              </w:rPr>
              <w:t>($)</w:t>
            </w:r>
          </w:p>
        </w:tc>
        <w:tc>
          <w:tcPr>
            <w:tcW w:w="1620" w:type="dxa"/>
            <w:shd w:val="clear" w:color="000000" w:fill="448A99"/>
            <w:vAlign w:val="bottom"/>
            <w:hideMark/>
          </w:tcPr>
          <w:p w:rsidR="001B2044" w:rsidRPr="00116463" w:rsidRDefault="001B2044" w:rsidP="001B2044">
            <w:pPr>
              <w:jc w:val="center"/>
              <w:rPr>
                <w:rFonts w:eastAsia="Calibri"/>
                <w:b/>
                <w:bCs/>
                <w:color w:val="FFFFFF"/>
                <w:sz w:val="19"/>
                <w:szCs w:val="19"/>
              </w:rPr>
            </w:pPr>
            <w:r w:rsidRPr="00116463">
              <w:rPr>
                <w:b/>
                <w:bCs/>
                <w:color w:val="FFFFFF"/>
                <w:sz w:val="19"/>
                <w:szCs w:val="19"/>
              </w:rPr>
              <w:t>TRC NPV Costs</w:t>
            </w:r>
          </w:p>
          <w:p w:rsidR="001B2044" w:rsidRPr="00116463" w:rsidRDefault="001B2044" w:rsidP="001B2044">
            <w:pPr>
              <w:jc w:val="center"/>
              <w:rPr>
                <w:rFonts w:eastAsia="Calibri"/>
                <w:b/>
                <w:bCs/>
                <w:color w:val="FFFFFF"/>
                <w:sz w:val="19"/>
                <w:szCs w:val="19"/>
              </w:rPr>
            </w:pPr>
            <w:r w:rsidRPr="00116463">
              <w:rPr>
                <w:b/>
                <w:bCs/>
                <w:color w:val="FFFFFF"/>
                <w:sz w:val="19"/>
                <w:szCs w:val="19"/>
              </w:rPr>
              <w:t>($)</w:t>
            </w:r>
          </w:p>
        </w:tc>
        <w:tc>
          <w:tcPr>
            <w:tcW w:w="1620" w:type="dxa"/>
            <w:shd w:val="clear" w:color="000000" w:fill="448A99"/>
            <w:vAlign w:val="bottom"/>
          </w:tcPr>
          <w:p w:rsidR="001B2044" w:rsidRPr="00116463" w:rsidRDefault="001B2044" w:rsidP="001B2044">
            <w:pPr>
              <w:jc w:val="center"/>
              <w:rPr>
                <w:rFonts w:eastAsia="Calibri"/>
                <w:b/>
                <w:bCs/>
                <w:color w:val="FFFFFF"/>
                <w:sz w:val="19"/>
                <w:szCs w:val="19"/>
              </w:rPr>
            </w:pPr>
            <w:r w:rsidRPr="00116463">
              <w:rPr>
                <w:b/>
                <w:bCs/>
                <w:color w:val="FFFFFF"/>
                <w:sz w:val="19"/>
                <w:szCs w:val="19"/>
              </w:rPr>
              <w:t>Present Value of Net Benefits</w:t>
            </w:r>
          </w:p>
          <w:p w:rsidR="001B2044" w:rsidRPr="00116463" w:rsidRDefault="001B2044" w:rsidP="001B2044">
            <w:pPr>
              <w:jc w:val="center"/>
              <w:rPr>
                <w:rFonts w:eastAsia="Calibri"/>
                <w:b/>
                <w:bCs/>
                <w:color w:val="FFFFFF"/>
                <w:sz w:val="19"/>
                <w:szCs w:val="19"/>
              </w:rPr>
            </w:pPr>
            <w:r w:rsidRPr="00116463">
              <w:rPr>
                <w:b/>
                <w:bCs/>
                <w:color w:val="FFFFFF"/>
                <w:sz w:val="19"/>
                <w:szCs w:val="19"/>
              </w:rPr>
              <w:t>($)</w:t>
            </w:r>
          </w:p>
        </w:tc>
        <w:tc>
          <w:tcPr>
            <w:tcW w:w="1620" w:type="dxa"/>
            <w:shd w:val="clear" w:color="000000" w:fill="448A99"/>
            <w:noWrap/>
            <w:vAlign w:val="bottom"/>
            <w:hideMark/>
          </w:tcPr>
          <w:p w:rsidR="001B2044" w:rsidRPr="00116463" w:rsidRDefault="001B2044" w:rsidP="001B2044">
            <w:pPr>
              <w:jc w:val="center"/>
              <w:rPr>
                <w:rFonts w:eastAsia="Calibri"/>
                <w:b/>
                <w:bCs/>
                <w:color w:val="FFFFFF"/>
                <w:sz w:val="19"/>
                <w:szCs w:val="19"/>
              </w:rPr>
            </w:pPr>
            <w:r w:rsidRPr="00116463">
              <w:rPr>
                <w:b/>
                <w:bCs/>
                <w:color w:val="FFFFFF"/>
                <w:sz w:val="19"/>
                <w:szCs w:val="19"/>
              </w:rPr>
              <w:t>TRC Ratio</w:t>
            </w:r>
          </w:p>
        </w:tc>
      </w:tr>
      <w:tr w:rsidR="00A874AC" w:rsidRPr="00116463"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noWrap/>
            <w:vAlign w:val="center"/>
            <w:hideMark/>
          </w:tcPr>
          <w:p w:rsidR="001B2044" w:rsidRPr="00116463" w:rsidRDefault="001B2044" w:rsidP="001B2044">
            <w:pPr>
              <w:jc w:val="left"/>
              <w:rPr>
                <w:bCs/>
                <w:color w:val="000000"/>
                <w:sz w:val="19"/>
                <w:szCs w:val="19"/>
              </w:rPr>
            </w:pPr>
            <w:r w:rsidRPr="00116463">
              <w:rPr>
                <w:color w:val="000000"/>
                <w:sz w:val="19"/>
                <w:szCs w:val="19"/>
              </w:rPr>
              <w:t>Appliance Turn-In</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rFonts w:cs="Arial"/>
                <w:color w:val="000000"/>
                <w:sz w:val="19"/>
                <w:szCs w:val="19"/>
              </w:rPr>
              <w:t xml:space="preserve">$404,304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rFonts w:cs="Arial"/>
                <w:color w:val="000000"/>
                <w:sz w:val="19"/>
                <w:szCs w:val="19"/>
              </w:rPr>
              <w:t xml:space="preserve">$190,756 </w:t>
            </w:r>
          </w:p>
        </w:tc>
        <w:tc>
          <w:tcPr>
            <w:tcW w:w="1620" w:type="dxa"/>
            <w:tcBorders>
              <w:top w:val="nil"/>
              <w:left w:val="nil"/>
              <w:bottom w:val="single" w:sz="8" w:space="0" w:color="448A99"/>
              <w:right w:val="single" w:sz="8" w:space="0" w:color="448A99"/>
            </w:tcBorders>
            <w:shd w:val="clear" w:color="auto" w:fill="auto"/>
            <w:vAlign w:val="center"/>
          </w:tcPr>
          <w:p w:rsidR="001B2044" w:rsidRPr="00116463" w:rsidRDefault="001B2044" w:rsidP="001B2044">
            <w:pPr>
              <w:jc w:val="center"/>
              <w:rPr>
                <w:color w:val="000000"/>
                <w:sz w:val="19"/>
                <w:szCs w:val="19"/>
              </w:rPr>
            </w:pPr>
            <w:r w:rsidRPr="00116463">
              <w:rPr>
                <w:rFonts w:cs="Arial"/>
                <w:color w:val="000000"/>
                <w:sz w:val="19"/>
                <w:szCs w:val="19"/>
              </w:rPr>
              <w:t xml:space="preserve">$213,548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rFonts w:cs="Arial"/>
                <w:color w:val="000000"/>
                <w:sz w:val="19"/>
                <w:szCs w:val="19"/>
              </w:rPr>
              <w:t>2.12</w:t>
            </w:r>
          </w:p>
        </w:tc>
      </w:tr>
      <w:tr w:rsidR="00A874AC" w:rsidRPr="00116463" w:rsidTr="008C15AB">
        <w:trPr>
          <w:trHeight w:val="346"/>
        </w:trPr>
        <w:tc>
          <w:tcPr>
            <w:tcW w:w="2875" w:type="dxa"/>
            <w:tcBorders>
              <w:top w:val="nil"/>
              <w:left w:val="single" w:sz="8" w:space="0" w:color="448A99"/>
              <w:bottom w:val="single" w:sz="8" w:space="0" w:color="448A99"/>
              <w:right w:val="single" w:sz="8" w:space="0" w:color="448A99"/>
            </w:tcBorders>
            <w:shd w:val="clear" w:color="auto" w:fill="D2EAF1"/>
            <w:noWrap/>
            <w:vAlign w:val="center"/>
            <w:hideMark/>
          </w:tcPr>
          <w:p w:rsidR="001B2044" w:rsidRPr="00116463" w:rsidRDefault="001B2044" w:rsidP="001B2044">
            <w:pPr>
              <w:jc w:val="left"/>
              <w:rPr>
                <w:bCs/>
                <w:color w:val="000000"/>
                <w:sz w:val="19"/>
                <w:szCs w:val="19"/>
              </w:rPr>
            </w:pPr>
            <w:r w:rsidRPr="00116463">
              <w:rPr>
                <w:color w:val="000000"/>
                <w:sz w:val="19"/>
                <w:szCs w:val="19"/>
              </w:rPr>
              <w:t>Efficient Products</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 xml:space="preserve">$751,481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 xml:space="preserve">$1,513,372 </w:t>
            </w:r>
          </w:p>
        </w:tc>
        <w:tc>
          <w:tcPr>
            <w:tcW w:w="1620" w:type="dxa"/>
            <w:tcBorders>
              <w:top w:val="nil"/>
              <w:left w:val="nil"/>
              <w:bottom w:val="single" w:sz="8" w:space="0" w:color="448A99"/>
              <w:right w:val="single" w:sz="8" w:space="0" w:color="448A99"/>
            </w:tcBorders>
            <w:shd w:val="clear" w:color="000000" w:fill="D2EAF1"/>
            <w:vAlign w:val="center"/>
          </w:tcPr>
          <w:p w:rsidR="001B2044" w:rsidRPr="00116463" w:rsidRDefault="001B2044" w:rsidP="001B2044">
            <w:pPr>
              <w:jc w:val="center"/>
              <w:rPr>
                <w:color w:val="000000"/>
                <w:sz w:val="19"/>
                <w:szCs w:val="19"/>
              </w:rPr>
            </w:pPr>
            <w:r w:rsidRPr="00116463">
              <w:rPr>
                <w:rFonts w:cs="Arial"/>
                <w:color w:val="FF0000"/>
                <w:sz w:val="19"/>
                <w:szCs w:val="19"/>
              </w:rPr>
              <w:t>($761,892)</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rFonts w:cs="Arial"/>
                <w:color w:val="000000"/>
                <w:sz w:val="19"/>
                <w:szCs w:val="19"/>
              </w:rPr>
              <w:t>0.50</w:t>
            </w:r>
          </w:p>
        </w:tc>
      </w:tr>
      <w:tr w:rsidR="00A874AC" w:rsidRPr="00116463"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noWrap/>
            <w:vAlign w:val="center"/>
            <w:hideMark/>
          </w:tcPr>
          <w:p w:rsidR="001B2044" w:rsidRPr="00116463" w:rsidRDefault="001B2044" w:rsidP="001B2044">
            <w:pPr>
              <w:jc w:val="left"/>
              <w:rPr>
                <w:bCs/>
                <w:color w:val="000000"/>
                <w:sz w:val="19"/>
                <w:szCs w:val="19"/>
              </w:rPr>
            </w:pPr>
            <w:r w:rsidRPr="00116463">
              <w:rPr>
                <w:color w:val="000000"/>
                <w:sz w:val="19"/>
                <w:szCs w:val="19"/>
              </w:rPr>
              <w:t>Home Performance</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 xml:space="preserve">$1,460,667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 xml:space="preserve">$1,533,645 </w:t>
            </w:r>
          </w:p>
        </w:tc>
        <w:tc>
          <w:tcPr>
            <w:tcW w:w="1620" w:type="dxa"/>
            <w:tcBorders>
              <w:top w:val="nil"/>
              <w:left w:val="nil"/>
              <w:bottom w:val="single" w:sz="8" w:space="0" w:color="448A99"/>
              <w:right w:val="single" w:sz="8" w:space="0" w:color="448A99"/>
            </w:tcBorders>
            <w:shd w:val="clear" w:color="auto" w:fill="auto"/>
            <w:vAlign w:val="center"/>
          </w:tcPr>
          <w:p w:rsidR="001B2044" w:rsidRPr="00116463" w:rsidRDefault="001B2044" w:rsidP="001B2044">
            <w:pPr>
              <w:jc w:val="center"/>
              <w:rPr>
                <w:color w:val="000000"/>
                <w:sz w:val="19"/>
                <w:szCs w:val="19"/>
              </w:rPr>
            </w:pPr>
            <w:r w:rsidRPr="00116463">
              <w:rPr>
                <w:color w:val="FF0000"/>
                <w:sz w:val="19"/>
                <w:szCs w:val="19"/>
              </w:rPr>
              <w:t>($72,978)</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0.95</w:t>
            </w:r>
          </w:p>
        </w:tc>
      </w:tr>
      <w:tr w:rsidR="00A874AC" w:rsidRPr="00116463" w:rsidTr="008C15AB">
        <w:trPr>
          <w:trHeight w:val="346"/>
        </w:trPr>
        <w:tc>
          <w:tcPr>
            <w:tcW w:w="2875" w:type="dxa"/>
            <w:tcBorders>
              <w:top w:val="nil"/>
              <w:left w:val="single" w:sz="8" w:space="0" w:color="448A99"/>
              <w:bottom w:val="single" w:sz="8" w:space="0" w:color="448A99"/>
              <w:right w:val="single" w:sz="8" w:space="0" w:color="448A99"/>
            </w:tcBorders>
            <w:shd w:val="clear" w:color="auto" w:fill="D2EAF1"/>
            <w:noWrap/>
            <w:vAlign w:val="center"/>
            <w:hideMark/>
          </w:tcPr>
          <w:p w:rsidR="001B2044" w:rsidRPr="00116463" w:rsidRDefault="001B2044" w:rsidP="001B2044">
            <w:pPr>
              <w:jc w:val="left"/>
              <w:rPr>
                <w:bCs/>
                <w:color w:val="000000"/>
                <w:sz w:val="19"/>
                <w:szCs w:val="19"/>
              </w:rPr>
            </w:pPr>
            <w:r w:rsidRPr="00116463">
              <w:rPr>
                <w:color w:val="000000"/>
                <w:sz w:val="19"/>
                <w:szCs w:val="19"/>
              </w:rPr>
              <w:t>Low Income</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 xml:space="preserve">$221,601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 xml:space="preserve">$670,711 </w:t>
            </w:r>
          </w:p>
        </w:tc>
        <w:tc>
          <w:tcPr>
            <w:tcW w:w="1620" w:type="dxa"/>
            <w:tcBorders>
              <w:top w:val="nil"/>
              <w:left w:val="nil"/>
              <w:bottom w:val="single" w:sz="8" w:space="0" w:color="448A99"/>
              <w:right w:val="single" w:sz="8" w:space="0" w:color="448A99"/>
            </w:tcBorders>
            <w:shd w:val="clear" w:color="000000" w:fill="D2EAF1"/>
            <w:vAlign w:val="center"/>
          </w:tcPr>
          <w:p w:rsidR="001B2044" w:rsidRPr="00116463" w:rsidRDefault="001B2044" w:rsidP="001B2044">
            <w:pPr>
              <w:jc w:val="center"/>
              <w:rPr>
                <w:color w:val="000000"/>
                <w:sz w:val="19"/>
                <w:szCs w:val="19"/>
              </w:rPr>
            </w:pPr>
            <w:r w:rsidRPr="00116463">
              <w:rPr>
                <w:color w:val="FF0000"/>
                <w:sz w:val="19"/>
                <w:szCs w:val="19"/>
              </w:rPr>
              <w:t>($449,110)</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0.33</w:t>
            </w:r>
          </w:p>
        </w:tc>
      </w:tr>
      <w:tr w:rsidR="00A874AC" w:rsidRPr="00116463"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noWrap/>
            <w:vAlign w:val="center"/>
            <w:hideMark/>
          </w:tcPr>
          <w:p w:rsidR="001B2044" w:rsidRPr="00116463" w:rsidRDefault="001B2044" w:rsidP="001B2044">
            <w:pPr>
              <w:jc w:val="left"/>
              <w:rPr>
                <w:bCs/>
                <w:color w:val="000000"/>
                <w:sz w:val="19"/>
                <w:szCs w:val="19"/>
              </w:rPr>
            </w:pPr>
            <w:r w:rsidRPr="00116463">
              <w:rPr>
                <w:color w:val="000000"/>
                <w:sz w:val="19"/>
                <w:szCs w:val="19"/>
              </w:rPr>
              <w:t>Small C/I Equipment</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 xml:space="preserve">$3,577,507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 xml:space="preserve">$4,521,979 </w:t>
            </w:r>
          </w:p>
        </w:tc>
        <w:tc>
          <w:tcPr>
            <w:tcW w:w="1620" w:type="dxa"/>
            <w:tcBorders>
              <w:top w:val="nil"/>
              <w:left w:val="nil"/>
              <w:bottom w:val="single" w:sz="8" w:space="0" w:color="448A99"/>
              <w:right w:val="single" w:sz="8" w:space="0" w:color="448A99"/>
            </w:tcBorders>
            <w:shd w:val="clear" w:color="auto" w:fill="auto"/>
            <w:vAlign w:val="center"/>
          </w:tcPr>
          <w:p w:rsidR="001B2044" w:rsidRPr="00116463" w:rsidRDefault="001B2044" w:rsidP="001B2044">
            <w:pPr>
              <w:jc w:val="center"/>
              <w:rPr>
                <w:color w:val="000000"/>
                <w:sz w:val="19"/>
                <w:szCs w:val="19"/>
              </w:rPr>
            </w:pPr>
            <w:r w:rsidRPr="00116463">
              <w:rPr>
                <w:color w:val="FF0000"/>
                <w:sz w:val="19"/>
                <w:szCs w:val="19"/>
              </w:rPr>
              <w:t>($944,472)</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0.79</w:t>
            </w:r>
          </w:p>
        </w:tc>
      </w:tr>
      <w:tr w:rsidR="00A874AC" w:rsidRPr="00116463" w:rsidTr="008C15AB">
        <w:trPr>
          <w:trHeight w:val="346"/>
        </w:trPr>
        <w:tc>
          <w:tcPr>
            <w:tcW w:w="2875" w:type="dxa"/>
            <w:tcBorders>
              <w:top w:val="nil"/>
              <w:left w:val="single" w:sz="8" w:space="0" w:color="448A99"/>
              <w:bottom w:val="single" w:sz="8" w:space="0" w:color="448A99"/>
              <w:right w:val="single" w:sz="8" w:space="0" w:color="448A99"/>
            </w:tcBorders>
            <w:shd w:val="clear" w:color="auto" w:fill="D2EAF1"/>
            <w:noWrap/>
            <w:vAlign w:val="center"/>
            <w:hideMark/>
          </w:tcPr>
          <w:p w:rsidR="001B2044" w:rsidRPr="00116463" w:rsidRDefault="001B2044" w:rsidP="001B2044">
            <w:pPr>
              <w:jc w:val="left"/>
              <w:rPr>
                <w:bCs/>
                <w:color w:val="000000"/>
                <w:sz w:val="19"/>
                <w:szCs w:val="19"/>
              </w:rPr>
            </w:pPr>
            <w:r w:rsidRPr="00116463">
              <w:rPr>
                <w:color w:val="000000"/>
                <w:sz w:val="19"/>
                <w:szCs w:val="19"/>
              </w:rPr>
              <w:t>Small C/I Buildings</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 xml:space="preserve">$1,039,908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 xml:space="preserve">$682,601 </w:t>
            </w:r>
          </w:p>
        </w:tc>
        <w:tc>
          <w:tcPr>
            <w:tcW w:w="1620" w:type="dxa"/>
            <w:tcBorders>
              <w:top w:val="nil"/>
              <w:left w:val="nil"/>
              <w:bottom w:val="single" w:sz="8" w:space="0" w:color="448A99"/>
              <w:right w:val="single" w:sz="8" w:space="0" w:color="448A99"/>
            </w:tcBorders>
            <w:shd w:val="clear" w:color="000000" w:fill="D2EAF1"/>
            <w:vAlign w:val="center"/>
          </w:tcPr>
          <w:p w:rsidR="001B2044" w:rsidRPr="00116463" w:rsidRDefault="001B2044" w:rsidP="001B2044">
            <w:pPr>
              <w:jc w:val="center"/>
              <w:rPr>
                <w:color w:val="000000"/>
                <w:sz w:val="19"/>
                <w:szCs w:val="19"/>
              </w:rPr>
            </w:pPr>
            <w:r w:rsidRPr="00116463">
              <w:rPr>
                <w:color w:val="000000"/>
                <w:sz w:val="19"/>
                <w:szCs w:val="19"/>
              </w:rPr>
              <w:t xml:space="preserve">$357,307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1.52</w:t>
            </w:r>
          </w:p>
        </w:tc>
      </w:tr>
      <w:tr w:rsidR="00A874AC" w:rsidRPr="00116463"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noWrap/>
            <w:vAlign w:val="center"/>
            <w:hideMark/>
          </w:tcPr>
          <w:p w:rsidR="001B2044" w:rsidRPr="00116463" w:rsidRDefault="001B2044" w:rsidP="001B2044">
            <w:pPr>
              <w:jc w:val="left"/>
              <w:rPr>
                <w:bCs/>
                <w:color w:val="000000"/>
                <w:sz w:val="19"/>
                <w:szCs w:val="19"/>
              </w:rPr>
            </w:pPr>
            <w:r w:rsidRPr="00116463">
              <w:rPr>
                <w:color w:val="000000"/>
                <w:sz w:val="19"/>
                <w:szCs w:val="19"/>
              </w:rPr>
              <w:t>Large C/I Equipment</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 xml:space="preserve">$834,551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 xml:space="preserve">$804,579 </w:t>
            </w:r>
          </w:p>
        </w:tc>
        <w:tc>
          <w:tcPr>
            <w:tcW w:w="1620" w:type="dxa"/>
            <w:tcBorders>
              <w:top w:val="nil"/>
              <w:left w:val="nil"/>
              <w:bottom w:val="single" w:sz="8" w:space="0" w:color="448A99"/>
              <w:right w:val="single" w:sz="8" w:space="0" w:color="448A99"/>
            </w:tcBorders>
            <w:shd w:val="clear" w:color="auto" w:fill="auto"/>
            <w:vAlign w:val="center"/>
          </w:tcPr>
          <w:p w:rsidR="001B2044" w:rsidRPr="00116463" w:rsidRDefault="001B2044" w:rsidP="001B2044">
            <w:pPr>
              <w:jc w:val="center"/>
              <w:rPr>
                <w:color w:val="000000"/>
                <w:sz w:val="19"/>
                <w:szCs w:val="19"/>
              </w:rPr>
            </w:pPr>
            <w:r w:rsidRPr="00116463">
              <w:rPr>
                <w:color w:val="000000"/>
                <w:sz w:val="19"/>
                <w:szCs w:val="19"/>
              </w:rPr>
              <w:t xml:space="preserve">$29,972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1.04</w:t>
            </w:r>
          </w:p>
        </w:tc>
      </w:tr>
      <w:tr w:rsidR="00A874AC" w:rsidRPr="00116463" w:rsidTr="008C15AB">
        <w:trPr>
          <w:trHeight w:val="346"/>
        </w:trPr>
        <w:tc>
          <w:tcPr>
            <w:tcW w:w="2875" w:type="dxa"/>
            <w:tcBorders>
              <w:top w:val="nil"/>
              <w:left w:val="single" w:sz="8" w:space="0" w:color="448A99"/>
              <w:bottom w:val="single" w:sz="8" w:space="0" w:color="448A99"/>
              <w:right w:val="single" w:sz="8" w:space="0" w:color="448A99"/>
            </w:tcBorders>
            <w:shd w:val="clear" w:color="auto" w:fill="D2EAF1"/>
            <w:vAlign w:val="center"/>
            <w:hideMark/>
          </w:tcPr>
          <w:p w:rsidR="001B2044" w:rsidRPr="00116463" w:rsidRDefault="001B2044" w:rsidP="001B2044">
            <w:pPr>
              <w:jc w:val="left"/>
              <w:rPr>
                <w:bCs/>
                <w:color w:val="000000"/>
                <w:sz w:val="19"/>
                <w:szCs w:val="19"/>
              </w:rPr>
            </w:pPr>
            <w:r w:rsidRPr="00116463">
              <w:rPr>
                <w:color w:val="000000"/>
                <w:sz w:val="19"/>
                <w:szCs w:val="19"/>
              </w:rPr>
              <w:t>Large C/I Buildings</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 xml:space="preserve">$1,610,817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 xml:space="preserve">$628,980 </w:t>
            </w:r>
          </w:p>
        </w:tc>
        <w:tc>
          <w:tcPr>
            <w:tcW w:w="1620" w:type="dxa"/>
            <w:tcBorders>
              <w:top w:val="nil"/>
              <w:left w:val="nil"/>
              <w:bottom w:val="single" w:sz="8" w:space="0" w:color="448A99"/>
              <w:right w:val="single" w:sz="8" w:space="0" w:color="448A99"/>
            </w:tcBorders>
            <w:shd w:val="clear" w:color="000000" w:fill="D2EAF1"/>
            <w:vAlign w:val="center"/>
          </w:tcPr>
          <w:p w:rsidR="001B2044" w:rsidRPr="00116463" w:rsidRDefault="001B2044" w:rsidP="001B2044">
            <w:pPr>
              <w:jc w:val="center"/>
              <w:rPr>
                <w:color w:val="000000"/>
                <w:sz w:val="19"/>
                <w:szCs w:val="19"/>
              </w:rPr>
            </w:pPr>
            <w:r w:rsidRPr="00116463">
              <w:rPr>
                <w:color w:val="000000"/>
                <w:sz w:val="19"/>
                <w:szCs w:val="19"/>
              </w:rPr>
              <w:t xml:space="preserve">$981,837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color w:val="000000"/>
                <w:sz w:val="19"/>
                <w:szCs w:val="19"/>
              </w:rPr>
            </w:pPr>
            <w:r w:rsidRPr="00116463">
              <w:rPr>
                <w:color w:val="000000"/>
                <w:sz w:val="19"/>
                <w:szCs w:val="19"/>
              </w:rPr>
              <w:t>2.56</w:t>
            </w:r>
          </w:p>
        </w:tc>
      </w:tr>
      <w:tr w:rsidR="00A874AC" w:rsidRPr="00116463"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vAlign w:val="center"/>
            <w:hideMark/>
          </w:tcPr>
          <w:p w:rsidR="001B2044" w:rsidRPr="00116463" w:rsidRDefault="001B2044" w:rsidP="001B2044">
            <w:pPr>
              <w:jc w:val="left"/>
              <w:rPr>
                <w:bCs/>
                <w:color w:val="000000"/>
                <w:sz w:val="19"/>
                <w:szCs w:val="19"/>
              </w:rPr>
            </w:pPr>
            <w:r w:rsidRPr="00116463">
              <w:rPr>
                <w:color w:val="000000"/>
                <w:sz w:val="19"/>
                <w:szCs w:val="19"/>
              </w:rPr>
              <w:t>Gov./Institutional</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 xml:space="preserve">$488,685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 xml:space="preserve">$1,137,129 </w:t>
            </w:r>
          </w:p>
        </w:tc>
        <w:tc>
          <w:tcPr>
            <w:tcW w:w="1620" w:type="dxa"/>
            <w:tcBorders>
              <w:top w:val="nil"/>
              <w:left w:val="nil"/>
              <w:bottom w:val="single" w:sz="8" w:space="0" w:color="448A99"/>
              <w:right w:val="single" w:sz="8" w:space="0" w:color="448A99"/>
            </w:tcBorders>
            <w:shd w:val="clear" w:color="auto" w:fill="auto"/>
            <w:vAlign w:val="center"/>
          </w:tcPr>
          <w:p w:rsidR="001B2044" w:rsidRPr="00116463" w:rsidRDefault="001B2044" w:rsidP="001B2044">
            <w:pPr>
              <w:jc w:val="center"/>
              <w:rPr>
                <w:color w:val="000000"/>
                <w:sz w:val="19"/>
                <w:szCs w:val="19"/>
              </w:rPr>
            </w:pPr>
            <w:r w:rsidRPr="00116463">
              <w:rPr>
                <w:color w:val="FF0000"/>
                <w:sz w:val="19"/>
                <w:szCs w:val="19"/>
              </w:rPr>
              <w:t>($648,444)</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16463" w:rsidRDefault="001B2044" w:rsidP="001B2044">
            <w:pPr>
              <w:jc w:val="center"/>
              <w:rPr>
                <w:color w:val="000000"/>
                <w:sz w:val="19"/>
                <w:szCs w:val="19"/>
              </w:rPr>
            </w:pPr>
            <w:r w:rsidRPr="00116463">
              <w:rPr>
                <w:color w:val="000000"/>
                <w:sz w:val="19"/>
                <w:szCs w:val="19"/>
              </w:rPr>
              <w:t>0.43</w:t>
            </w:r>
          </w:p>
        </w:tc>
      </w:tr>
      <w:tr w:rsidR="00A874AC" w:rsidRPr="00116463" w:rsidTr="008C15AB">
        <w:trPr>
          <w:trHeight w:val="346"/>
        </w:trPr>
        <w:tc>
          <w:tcPr>
            <w:tcW w:w="2875" w:type="dxa"/>
            <w:shd w:val="clear" w:color="auto" w:fill="D2EAF1"/>
            <w:vAlign w:val="center"/>
            <w:hideMark/>
          </w:tcPr>
          <w:p w:rsidR="001B2044" w:rsidRPr="00116463" w:rsidRDefault="001B2044" w:rsidP="001B2044">
            <w:pPr>
              <w:jc w:val="left"/>
              <w:rPr>
                <w:b/>
                <w:bCs/>
                <w:iCs/>
                <w:color w:val="000000"/>
                <w:sz w:val="19"/>
                <w:szCs w:val="19"/>
              </w:rPr>
            </w:pPr>
            <w:r w:rsidRPr="00116463">
              <w:rPr>
                <w:b/>
                <w:bCs/>
                <w:iCs/>
                <w:color w:val="000000"/>
                <w:sz w:val="19"/>
                <w:szCs w:val="19"/>
              </w:rPr>
              <w:t>Total Portfolio</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b/>
                <w:bCs/>
                <w:color w:val="000000"/>
                <w:sz w:val="19"/>
                <w:szCs w:val="19"/>
              </w:rPr>
            </w:pPr>
            <w:r w:rsidRPr="00116463">
              <w:rPr>
                <w:rFonts w:cs="Arial"/>
                <w:b/>
                <w:bCs/>
                <w:color w:val="000000"/>
                <w:sz w:val="19"/>
                <w:szCs w:val="19"/>
              </w:rPr>
              <w:t xml:space="preserve">$10,389,522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b/>
                <w:bCs/>
                <w:color w:val="000000"/>
                <w:sz w:val="19"/>
                <w:szCs w:val="19"/>
              </w:rPr>
            </w:pPr>
            <w:r w:rsidRPr="00116463">
              <w:rPr>
                <w:rFonts w:cs="Arial"/>
                <w:b/>
                <w:bCs/>
                <w:color w:val="000000"/>
                <w:sz w:val="19"/>
                <w:szCs w:val="19"/>
              </w:rPr>
              <w:t xml:space="preserve">$11,683,752 </w:t>
            </w:r>
          </w:p>
        </w:tc>
        <w:tc>
          <w:tcPr>
            <w:tcW w:w="1620" w:type="dxa"/>
            <w:tcBorders>
              <w:top w:val="nil"/>
              <w:left w:val="nil"/>
              <w:bottom w:val="single" w:sz="8" w:space="0" w:color="448A99"/>
              <w:right w:val="single" w:sz="8" w:space="0" w:color="448A99"/>
            </w:tcBorders>
            <w:shd w:val="clear" w:color="000000" w:fill="D2EAF1"/>
            <w:vAlign w:val="center"/>
          </w:tcPr>
          <w:p w:rsidR="001B2044" w:rsidRPr="00116463" w:rsidRDefault="001B2044" w:rsidP="001B2044">
            <w:pPr>
              <w:jc w:val="center"/>
              <w:rPr>
                <w:b/>
                <w:bCs/>
                <w:color w:val="000000"/>
                <w:sz w:val="19"/>
                <w:szCs w:val="19"/>
              </w:rPr>
            </w:pPr>
            <w:r w:rsidRPr="00116463">
              <w:rPr>
                <w:b/>
                <w:bCs/>
                <w:color w:val="FF0000"/>
                <w:sz w:val="19"/>
                <w:szCs w:val="19"/>
              </w:rPr>
              <w:t>($1,294,230)</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16463" w:rsidRDefault="001B2044" w:rsidP="001B2044">
            <w:pPr>
              <w:jc w:val="center"/>
              <w:rPr>
                <w:b/>
                <w:bCs/>
                <w:color w:val="000000"/>
                <w:sz w:val="19"/>
                <w:szCs w:val="19"/>
              </w:rPr>
            </w:pPr>
            <w:r w:rsidRPr="00116463">
              <w:rPr>
                <w:b/>
                <w:bCs/>
                <w:color w:val="000000"/>
                <w:sz w:val="19"/>
                <w:szCs w:val="19"/>
              </w:rPr>
              <w:t>0.89</w:t>
            </w:r>
          </w:p>
        </w:tc>
      </w:tr>
    </w:tbl>
    <w:p w:rsidR="00D40970" w:rsidRDefault="00D40970" w:rsidP="00D40970">
      <w:pPr>
        <w:tabs>
          <w:tab w:val="left" w:pos="1803"/>
        </w:tabs>
      </w:pPr>
    </w:p>
    <w:p w:rsidR="00D40970" w:rsidRPr="00D40970" w:rsidRDefault="00D40970" w:rsidP="007E0D0D">
      <w:pPr>
        <w:spacing w:after="120"/>
      </w:pPr>
      <w:r w:rsidRPr="00D40970">
        <w:t xml:space="preserve">In summary, </w:t>
      </w:r>
      <w:r w:rsidR="00C34CDD">
        <w:t>four</w:t>
      </w:r>
      <w:r w:rsidRPr="00D40970">
        <w:t xml:space="preserve"> of Penn Power’s </w:t>
      </w:r>
      <w:r w:rsidR="00C34CDD">
        <w:t>nine</w:t>
      </w:r>
      <w:r w:rsidRPr="00D40970">
        <w:t xml:space="preserve"> programs were found to be cost-effective and </w:t>
      </w:r>
      <w:r w:rsidR="00C34CDD">
        <w:t>five</w:t>
      </w:r>
      <w:r w:rsidRPr="00D40970">
        <w:t xml:space="preserve"> were non-cost-effective. In total, the PY7 portfolio was not cost</w:t>
      </w:r>
      <w:r w:rsidR="00C34CDD">
        <w:t>-</w:t>
      </w:r>
      <w:r w:rsidRPr="00D40970">
        <w:t>effective, with both the residential and non</w:t>
      </w:r>
      <w:r w:rsidR="00C34CDD">
        <w:t>-</w:t>
      </w:r>
      <w:r w:rsidRPr="00D40970">
        <w:t>residential sector costs outweighing the lifetime benefits of the program offerings. The breakout of cost-effective and non-cost-effective programs is shown below.</w:t>
      </w:r>
    </w:p>
    <w:p w:rsidR="00D40970" w:rsidRPr="00116463" w:rsidRDefault="00116463" w:rsidP="00D40970">
      <w:pPr>
        <w:rPr>
          <w:rFonts w:ascii="Century Gothic" w:hAnsi="Century Gothic"/>
          <w:b/>
          <w:color w:val="404040" w:themeColor="text1" w:themeTint="BF"/>
          <w:spacing w:val="-12"/>
        </w:rPr>
      </w:pPr>
      <w:r w:rsidRPr="00116463">
        <w:rPr>
          <w:rFonts w:ascii="Century Gothic" w:hAnsi="Century Gothic"/>
          <w:b/>
          <w:color w:val="404040" w:themeColor="text1" w:themeTint="BF"/>
          <w:spacing w:val="-12"/>
        </w:rPr>
        <w:t>COST-EFFECTIVE PROGRAMS</w:t>
      </w:r>
    </w:p>
    <w:p w:rsidR="00D40970" w:rsidRPr="00D40970" w:rsidRDefault="00D40970" w:rsidP="00D40970">
      <w:pPr>
        <w:spacing w:after="60"/>
        <w:rPr>
          <w:b/>
          <w:color w:val="448A99"/>
        </w:rPr>
      </w:pPr>
      <w:r w:rsidRPr="00D40970">
        <w:rPr>
          <w:b/>
          <w:color w:val="448A99"/>
        </w:rPr>
        <w:t>(TRC Ratio &gt; 1.0)</w:t>
      </w:r>
    </w:p>
    <w:p w:rsidR="00116463" w:rsidRDefault="00116463" w:rsidP="00E646C9">
      <w:pPr>
        <w:numPr>
          <w:ilvl w:val="0"/>
          <w:numId w:val="78"/>
        </w:numPr>
        <w:ind w:left="360"/>
        <w:rPr>
          <w:i/>
        </w:rPr>
        <w:sectPr w:rsidR="00116463" w:rsidSect="008B741E">
          <w:headerReference w:type="default" r:id="rId137"/>
          <w:footerReference w:type="default" r:id="rId138"/>
          <w:headerReference w:type="first" r:id="rId139"/>
          <w:footerReference w:type="first" r:id="rId140"/>
          <w:pgSz w:w="12240" w:h="15840"/>
          <w:pgMar w:top="1440" w:right="1440" w:bottom="1440" w:left="1440" w:header="720" w:footer="288" w:gutter="0"/>
          <w:cols w:space="720"/>
          <w:titlePg/>
          <w:docGrid w:linePitch="360"/>
        </w:sectPr>
      </w:pPr>
    </w:p>
    <w:p w:rsidR="00D40970" w:rsidRPr="00D40970" w:rsidRDefault="00D40970" w:rsidP="00E646C9">
      <w:pPr>
        <w:numPr>
          <w:ilvl w:val="0"/>
          <w:numId w:val="78"/>
        </w:numPr>
        <w:ind w:left="360"/>
        <w:rPr>
          <w:i/>
        </w:rPr>
      </w:pPr>
      <w:r w:rsidRPr="00D40970">
        <w:rPr>
          <w:i/>
        </w:rPr>
        <w:t>Residential Appliance Turn-In</w:t>
      </w:r>
    </w:p>
    <w:p w:rsidR="00D40970" w:rsidRPr="00D40970" w:rsidRDefault="00D40970" w:rsidP="00E646C9">
      <w:pPr>
        <w:numPr>
          <w:ilvl w:val="0"/>
          <w:numId w:val="78"/>
        </w:numPr>
        <w:ind w:left="360"/>
        <w:rPr>
          <w:i/>
        </w:rPr>
      </w:pPr>
      <w:r w:rsidRPr="00D40970">
        <w:rPr>
          <w:i/>
        </w:rPr>
        <w:t>Small C/I Energy Efficient Buildings</w:t>
      </w:r>
    </w:p>
    <w:p w:rsidR="00D40970" w:rsidRPr="00D40970" w:rsidRDefault="00D40970" w:rsidP="00E646C9">
      <w:pPr>
        <w:numPr>
          <w:ilvl w:val="0"/>
          <w:numId w:val="78"/>
        </w:numPr>
        <w:ind w:left="360"/>
        <w:rPr>
          <w:i/>
        </w:rPr>
      </w:pPr>
      <w:r w:rsidRPr="00D40970">
        <w:rPr>
          <w:i/>
        </w:rPr>
        <w:t>Large C/I Energy Efficient Equipment</w:t>
      </w:r>
    </w:p>
    <w:p w:rsidR="00116463" w:rsidRDefault="00D40970" w:rsidP="00E646C9">
      <w:pPr>
        <w:numPr>
          <w:ilvl w:val="0"/>
          <w:numId w:val="78"/>
        </w:numPr>
        <w:ind w:left="360"/>
        <w:rPr>
          <w:i/>
        </w:rPr>
        <w:sectPr w:rsidR="00116463" w:rsidSect="00116463">
          <w:type w:val="continuous"/>
          <w:pgSz w:w="12240" w:h="15840"/>
          <w:pgMar w:top="1440" w:right="1440" w:bottom="1440" w:left="1440" w:header="720" w:footer="288" w:gutter="0"/>
          <w:cols w:num="2" w:space="180"/>
          <w:titlePg/>
          <w:docGrid w:linePitch="360"/>
        </w:sectPr>
      </w:pPr>
      <w:r w:rsidRPr="00D40970">
        <w:rPr>
          <w:i/>
        </w:rPr>
        <w:t>Large C/I Energy Efficient Buildings</w:t>
      </w:r>
    </w:p>
    <w:p w:rsidR="00D40970" w:rsidRPr="00D40970" w:rsidRDefault="00D40970" w:rsidP="00D40970">
      <w:pPr>
        <w:rPr>
          <w:rFonts w:ascii="Century Gothic" w:hAnsi="Century Gothic"/>
          <w:b/>
        </w:rPr>
      </w:pPr>
    </w:p>
    <w:p w:rsidR="00D40970" w:rsidRPr="00116463" w:rsidRDefault="00116463" w:rsidP="00D40970">
      <w:pPr>
        <w:rPr>
          <w:rFonts w:ascii="Century Gothic" w:hAnsi="Century Gothic"/>
          <w:b/>
          <w:color w:val="404040" w:themeColor="text1" w:themeTint="BF"/>
          <w:spacing w:val="-12"/>
        </w:rPr>
      </w:pPr>
      <w:r w:rsidRPr="00116463">
        <w:rPr>
          <w:rFonts w:ascii="Century Gothic" w:hAnsi="Century Gothic"/>
          <w:b/>
          <w:color w:val="404040" w:themeColor="text1" w:themeTint="BF"/>
          <w:spacing w:val="-12"/>
        </w:rPr>
        <w:t>NON-COST-EFFECTIVE PROGRAMS</w:t>
      </w:r>
    </w:p>
    <w:p w:rsidR="00D40970" w:rsidRPr="00D40970" w:rsidRDefault="00D40970" w:rsidP="00D40970">
      <w:pPr>
        <w:spacing w:after="60"/>
        <w:rPr>
          <w:b/>
          <w:color w:val="448A99"/>
        </w:rPr>
      </w:pPr>
      <w:r w:rsidRPr="00D40970">
        <w:rPr>
          <w:b/>
          <w:color w:val="448A99"/>
        </w:rPr>
        <w:t>(TRC Ratio &lt; 1.0)</w:t>
      </w:r>
    </w:p>
    <w:p w:rsidR="00116463" w:rsidRDefault="00116463" w:rsidP="00E646C9">
      <w:pPr>
        <w:numPr>
          <w:ilvl w:val="0"/>
          <w:numId w:val="78"/>
        </w:numPr>
        <w:ind w:left="360"/>
        <w:rPr>
          <w:i/>
        </w:rPr>
        <w:sectPr w:rsidR="00116463" w:rsidSect="00116463">
          <w:type w:val="continuous"/>
          <w:pgSz w:w="12240" w:h="15840"/>
          <w:pgMar w:top="1440" w:right="1440" w:bottom="1440" w:left="1440" w:header="720" w:footer="288" w:gutter="0"/>
          <w:cols w:space="720"/>
          <w:titlePg/>
          <w:docGrid w:linePitch="360"/>
        </w:sectPr>
      </w:pPr>
    </w:p>
    <w:p w:rsidR="00D40970" w:rsidRPr="00D40970" w:rsidRDefault="00D40970" w:rsidP="00E646C9">
      <w:pPr>
        <w:numPr>
          <w:ilvl w:val="0"/>
          <w:numId w:val="78"/>
        </w:numPr>
        <w:ind w:left="360"/>
        <w:rPr>
          <w:i/>
        </w:rPr>
      </w:pPr>
      <w:r w:rsidRPr="00D40970">
        <w:rPr>
          <w:i/>
        </w:rPr>
        <w:t>Energy Efficient Products</w:t>
      </w:r>
    </w:p>
    <w:p w:rsidR="00D40970" w:rsidRPr="00D40970" w:rsidRDefault="00D40970" w:rsidP="00E646C9">
      <w:pPr>
        <w:numPr>
          <w:ilvl w:val="0"/>
          <w:numId w:val="78"/>
        </w:numPr>
        <w:ind w:left="360"/>
        <w:rPr>
          <w:i/>
        </w:rPr>
      </w:pPr>
      <w:r w:rsidRPr="00D40970">
        <w:rPr>
          <w:i/>
        </w:rPr>
        <w:t>Residential Home Performance</w:t>
      </w:r>
    </w:p>
    <w:p w:rsidR="00D40970" w:rsidRPr="00D40970" w:rsidRDefault="00D40970" w:rsidP="00E646C9">
      <w:pPr>
        <w:numPr>
          <w:ilvl w:val="0"/>
          <w:numId w:val="78"/>
        </w:numPr>
        <w:ind w:left="360"/>
        <w:rPr>
          <w:i/>
        </w:rPr>
      </w:pPr>
      <w:r w:rsidRPr="00D40970">
        <w:rPr>
          <w:i/>
        </w:rPr>
        <w:t>Residential Low-Income</w:t>
      </w:r>
    </w:p>
    <w:p w:rsidR="00D40970" w:rsidRPr="00D40970" w:rsidRDefault="00D40970" w:rsidP="00E646C9">
      <w:pPr>
        <w:numPr>
          <w:ilvl w:val="0"/>
          <w:numId w:val="78"/>
        </w:numPr>
        <w:ind w:left="360"/>
        <w:rPr>
          <w:i/>
        </w:rPr>
      </w:pPr>
      <w:r w:rsidRPr="00D40970">
        <w:rPr>
          <w:i/>
        </w:rPr>
        <w:t>Small C/I Energy Efficient Equipment</w:t>
      </w:r>
    </w:p>
    <w:p w:rsidR="00116463" w:rsidRDefault="00D40970" w:rsidP="00E646C9">
      <w:pPr>
        <w:numPr>
          <w:ilvl w:val="0"/>
          <w:numId w:val="78"/>
        </w:numPr>
        <w:ind w:left="360"/>
        <w:rPr>
          <w:i/>
        </w:rPr>
        <w:sectPr w:rsidR="00116463" w:rsidSect="00116463">
          <w:type w:val="continuous"/>
          <w:pgSz w:w="12240" w:h="15840"/>
          <w:pgMar w:top="1440" w:right="1440" w:bottom="1440" w:left="1440" w:header="720" w:footer="288" w:gutter="0"/>
          <w:cols w:num="2" w:space="180"/>
          <w:titlePg/>
          <w:docGrid w:linePitch="360"/>
        </w:sectPr>
      </w:pPr>
      <w:r w:rsidRPr="00D40970">
        <w:rPr>
          <w:i/>
        </w:rPr>
        <w:t>Government and Institutional</w:t>
      </w:r>
    </w:p>
    <w:p w:rsidR="001B2044" w:rsidRPr="001B2044" w:rsidRDefault="00D40970" w:rsidP="00D40970">
      <w:pPr>
        <w:tabs>
          <w:tab w:val="left" w:pos="1803"/>
        </w:tabs>
      </w:pPr>
      <w:r>
        <w:tab/>
      </w:r>
    </w:p>
    <w:p w:rsidR="00950837" w:rsidRDefault="00950837" w:rsidP="009C0DF1">
      <w:pPr>
        <w:pStyle w:val="AppendixAHeading3"/>
      </w:pPr>
      <w:r>
        <w:t>Assumptions and Inputs</w:t>
      </w:r>
    </w:p>
    <w:p w:rsidR="00D40970" w:rsidRDefault="00D40970" w:rsidP="00D40970">
      <w:r w:rsidRPr="00B8757D">
        <w:t>One TRC model template was shared across all four FirstEnergy companies. Despite the similar model, the TRC model calculations were handled independently for each of the four ED</w:t>
      </w:r>
      <w:r>
        <w:t xml:space="preserve">Cs. </w:t>
      </w:r>
      <w:r w:rsidRPr="00B8757D">
        <w:t xml:space="preserve">The </w:t>
      </w:r>
      <w:r>
        <w:t>Penn Power</w:t>
      </w:r>
      <w:r w:rsidRPr="00B8757D">
        <w:t xml:space="preserve"> iteration of the FirstEnergy</w:t>
      </w:r>
      <w:r>
        <w:t xml:space="preserve"> </w:t>
      </w:r>
      <w:r w:rsidRPr="00B8757D">
        <w:t>TRC m</w:t>
      </w:r>
      <w:r>
        <w:t>odel used a discount rate of 11.14</w:t>
      </w:r>
      <w:r w:rsidRPr="00B8757D">
        <w:t>% to compare the NPV of program benefits that will occur later in a measure’s lifetime to the up</w:t>
      </w:r>
      <w:r w:rsidR="00C34CDD">
        <w:t>-</w:t>
      </w:r>
      <w:r w:rsidRPr="00B8757D">
        <w:t>front costs of installation of implementation. This value match</w:t>
      </w:r>
      <w:r w:rsidR="00C34CDD">
        <w:t>es the EDC’s EE&amp;C p</w:t>
      </w:r>
      <w:r>
        <w:t xml:space="preserve">lan on file. </w:t>
      </w:r>
      <w:r w:rsidRPr="00276BF4">
        <w:t>Different values of LLF were used for different sectors, as shown in</w:t>
      </w:r>
      <w:r>
        <w:t xml:space="preserve"> </w:t>
      </w:r>
      <w:r>
        <w:fldChar w:fldCharType="begin"/>
      </w:r>
      <w:r>
        <w:instrText xml:space="preserve"> REF _Ref472446511 \h </w:instrText>
      </w:r>
      <w:r>
        <w:fldChar w:fldCharType="separate"/>
      </w:r>
      <w:r w:rsidR="00037CB4">
        <w:t>Table A-</w:t>
      </w:r>
      <w:r w:rsidR="00037CB4">
        <w:rPr>
          <w:noProof/>
        </w:rPr>
        <w:t>72</w:t>
      </w:r>
      <w:r>
        <w:fldChar w:fldCharType="end"/>
      </w:r>
      <w:r>
        <w:t>.</w:t>
      </w:r>
    </w:p>
    <w:p w:rsidR="00D40970" w:rsidRDefault="00D40970" w:rsidP="00D40970"/>
    <w:p w:rsidR="00D40970" w:rsidRDefault="00D40970" w:rsidP="004837FA">
      <w:pPr>
        <w:pStyle w:val="Caption"/>
      </w:pPr>
      <w:bookmarkStart w:id="904" w:name="_Ref472446511"/>
      <w:bookmarkStart w:id="905" w:name="_Toc472472481"/>
      <w:bookmarkStart w:id="906" w:name="_Toc488741900"/>
      <w:r>
        <w:t>Table A-</w:t>
      </w:r>
      <w:r w:rsidR="007973A4">
        <w:fldChar w:fldCharType="begin"/>
      </w:r>
      <w:r w:rsidR="007973A4">
        <w:instrText xml:space="preserve"> SEQ Table_A- \* ARABIC </w:instrText>
      </w:r>
      <w:r w:rsidR="007973A4">
        <w:fldChar w:fldCharType="separate"/>
      </w:r>
      <w:r w:rsidR="00037CB4">
        <w:rPr>
          <w:noProof/>
        </w:rPr>
        <w:t>72</w:t>
      </w:r>
      <w:r w:rsidR="007973A4">
        <w:rPr>
          <w:noProof/>
        </w:rPr>
        <w:fldChar w:fldCharType="end"/>
      </w:r>
      <w:bookmarkEnd w:id="904"/>
      <w:r>
        <w:t>: Penn Power’s PY7</w:t>
      </w:r>
      <w:r w:rsidRPr="00276BF4">
        <w:t xml:space="preserve"> Discount Rates and LLFs</w:t>
      </w:r>
      <w:bookmarkEnd w:id="905"/>
      <w:bookmarkEnd w:id="906"/>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83"/>
        <w:gridCol w:w="1568"/>
        <w:gridCol w:w="1568"/>
        <w:gridCol w:w="1568"/>
        <w:gridCol w:w="1568"/>
      </w:tblGrid>
      <w:tr w:rsidR="00A874AC" w:rsidRPr="00116463" w:rsidTr="008B741E">
        <w:trPr>
          <w:trHeight w:val="332"/>
          <w:tblHeader/>
        </w:trPr>
        <w:tc>
          <w:tcPr>
            <w:tcW w:w="3083" w:type="dxa"/>
            <w:shd w:val="clear" w:color="000000" w:fill="448A99"/>
            <w:noWrap/>
            <w:vAlign w:val="bottom"/>
            <w:hideMark/>
          </w:tcPr>
          <w:p w:rsidR="00D40970" w:rsidRPr="00116463" w:rsidRDefault="00D40970" w:rsidP="005C1352">
            <w:pPr>
              <w:jc w:val="left"/>
              <w:rPr>
                <w:b/>
                <w:bCs/>
                <w:color w:val="FFFFFF"/>
                <w:sz w:val="19"/>
                <w:szCs w:val="19"/>
              </w:rPr>
            </w:pPr>
            <w:r w:rsidRPr="00116463">
              <w:rPr>
                <w:b/>
                <w:bCs/>
                <w:color w:val="FFFFFF"/>
                <w:sz w:val="19"/>
                <w:szCs w:val="19"/>
              </w:rPr>
              <w:t>Program</w:t>
            </w:r>
          </w:p>
        </w:tc>
        <w:tc>
          <w:tcPr>
            <w:tcW w:w="1568" w:type="dxa"/>
            <w:shd w:val="clear" w:color="000000" w:fill="448A99"/>
            <w:noWrap/>
            <w:vAlign w:val="bottom"/>
            <w:hideMark/>
          </w:tcPr>
          <w:p w:rsidR="00D40970" w:rsidRPr="00116463" w:rsidRDefault="00D40970" w:rsidP="005C1352">
            <w:pPr>
              <w:jc w:val="center"/>
              <w:rPr>
                <w:b/>
                <w:bCs/>
                <w:color w:val="FFFFFF"/>
                <w:sz w:val="19"/>
                <w:szCs w:val="19"/>
              </w:rPr>
            </w:pPr>
            <w:r w:rsidRPr="00116463">
              <w:rPr>
                <w:b/>
                <w:bCs/>
                <w:color w:val="FFFFFF"/>
                <w:sz w:val="19"/>
                <w:szCs w:val="19"/>
              </w:rPr>
              <w:t>Sector</w:t>
            </w:r>
          </w:p>
        </w:tc>
        <w:tc>
          <w:tcPr>
            <w:tcW w:w="1568" w:type="dxa"/>
            <w:shd w:val="clear" w:color="000000" w:fill="448A99"/>
            <w:noWrap/>
            <w:vAlign w:val="bottom"/>
            <w:hideMark/>
          </w:tcPr>
          <w:p w:rsidR="00D40970" w:rsidRPr="00116463" w:rsidRDefault="00D40970" w:rsidP="005C1352">
            <w:pPr>
              <w:jc w:val="center"/>
              <w:rPr>
                <w:b/>
                <w:bCs/>
                <w:color w:val="FFFFFF"/>
                <w:sz w:val="19"/>
                <w:szCs w:val="19"/>
              </w:rPr>
            </w:pPr>
            <w:r w:rsidRPr="00116463">
              <w:rPr>
                <w:b/>
                <w:bCs/>
                <w:color w:val="FFFFFF"/>
                <w:sz w:val="19"/>
                <w:szCs w:val="19"/>
              </w:rPr>
              <w:t>Discount Rate</w:t>
            </w:r>
          </w:p>
        </w:tc>
        <w:tc>
          <w:tcPr>
            <w:tcW w:w="1568" w:type="dxa"/>
            <w:shd w:val="clear" w:color="000000" w:fill="448A99"/>
            <w:vAlign w:val="bottom"/>
            <w:hideMark/>
          </w:tcPr>
          <w:p w:rsidR="00D40970" w:rsidRPr="00116463" w:rsidRDefault="00D40970" w:rsidP="005C1352">
            <w:pPr>
              <w:jc w:val="center"/>
              <w:rPr>
                <w:b/>
                <w:bCs/>
                <w:color w:val="FFFFFF"/>
                <w:sz w:val="19"/>
                <w:szCs w:val="19"/>
              </w:rPr>
            </w:pPr>
            <w:r w:rsidRPr="00116463">
              <w:rPr>
                <w:b/>
                <w:bCs/>
                <w:color w:val="FFFFFF"/>
                <w:sz w:val="19"/>
                <w:szCs w:val="19"/>
              </w:rPr>
              <w:t>Energy LLF</w:t>
            </w:r>
          </w:p>
        </w:tc>
        <w:tc>
          <w:tcPr>
            <w:tcW w:w="1568" w:type="dxa"/>
            <w:shd w:val="clear" w:color="000000" w:fill="448A99"/>
            <w:vAlign w:val="bottom"/>
            <w:hideMark/>
          </w:tcPr>
          <w:p w:rsidR="00D40970" w:rsidRPr="00116463" w:rsidRDefault="00D40970" w:rsidP="005C1352">
            <w:pPr>
              <w:jc w:val="center"/>
              <w:rPr>
                <w:b/>
                <w:bCs/>
                <w:color w:val="FFFFFF"/>
                <w:sz w:val="19"/>
                <w:szCs w:val="19"/>
              </w:rPr>
            </w:pPr>
            <w:r w:rsidRPr="00116463">
              <w:rPr>
                <w:b/>
                <w:bCs/>
                <w:color w:val="FFFFFF"/>
                <w:sz w:val="19"/>
                <w:szCs w:val="19"/>
              </w:rPr>
              <w:t>Demand LLF</w:t>
            </w:r>
          </w:p>
        </w:tc>
      </w:tr>
      <w:tr w:rsidR="00E7173E" w:rsidRPr="00116463"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40970" w:rsidRPr="00116463" w:rsidRDefault="00D40970" w:rsidP="005C1352">
            <w:pPr>
              <w:jc w:val="left"/>
              <w:rPr>
                <w:bCs/>
                <w:color w:val="000000"/>
                <w:sz w:val="19"/>
                <w:szCs w:val="19"/>
              </w:rPr>
            </w:pPr>
            <w:r w:rsidRPr="00116463">
              <w:rPr>
                <w:color w:val="000000"/>
                <w:sz w:val="19"/>
                <w:szCs w:val="19"/>
              </w:rPr>
              <w:t>Appliance Turn-In</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Residential</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11.14%</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9.49%</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9.49%</w:t>
            </w:r>
          </w:p>
        </w:tc>
      </w:tr>
      <w:tr w:rsidR="00A874AC" w:rsidRPr="00116463" w:rsidTr="008B741E">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40970" w:rsidRPr="00116463" w:rsidRDefault="00D40970" w:rsidP="005C1352">
            <w:pPr>
              <w:jc w:val="left"/>
              <w:rPr>
                <w:bCs/>
                <w:color w:val="000000"/>
                <w:sz w:val="19"/>
                <w:szCs w:val="19"/>
              </w:rPr>
            </w:pPr>
            <w:r w:rsidRPr="00116463">
              <w:rPr>
                <w:color w:val="000000"/>
                <w:sz w:val="19"/>
                <w:szCs w:val="19"/>
              </w:rPr>
              <w:t>Efficient Products</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Residential</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11.14%</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9.49%</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9.49%</w:t>
            </w:r>
          </w:p>
        </w:tc>
      </w:tr>
      <w:tr w:rsidR="00E7173E" w:rsidRPr="00116463"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40970" w:rsidRPr="00116463" w:rsidRDefault="00D40970" w:rsidP="005C1352">
            <w:pPr>
              <w:jc w:val="left"/>
              <w:rPr>
                <w:bCs/>
                <w:color w:val="000000"/>
                <w:sz w:val="19"/>
                <w:szCs w:val="19"/>
              </w:rPr>
            </w:pPr>
            <w:r w:rsidRPr="00116463">
              <w:rPr>
                <w:color w:val="000000"/>
                <w:sz w:val="19"/>
                <w:szCs w:val="19"/>
              </w:rPr>
              <w:t>Home Performance</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Residential</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11.14%</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9.49%</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9.49%</w:t>
            </w:r>
          </w:p>
        </w:tc>
      </w:tr>
      <w:tr w:rsidR="00A874AC" w:rsidRPr="00116463" w:rsidTr="008B741E">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40970" w:rsidRPr="00116463" w:rsidRDefault="00D40970" w:rsidP="005C1352">
            <w:pPr>
              <w:jc w:val="left"/>
              <w:rPr>
                <w:bCs/>
                <w:color w:val="000000"/>
                <w:sz w:val="19"/>
                <w:szCs w:val="19"/>
              </w:rPr>
            </w:pPr>
            <w:r w:rsidRPr="00116463">
              <w:rPr>
                <w:color w:val="000000"/>
                <w:sz w:val="19"/>
                <w:szCs w:val="19"/>
              </w:rPr>
              <w:t>Low Income</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Residential</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11.14%</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9.49%</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9.49%</w:t>
            </w:r>
          </w:p>
        </w:tc>
      </w:tr>
      <w:tr w:rsidR="00E7173E" w:rsidRPr="00116463"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40970" w:rsidRPr="00116463" w:rsidRDefault="00D40970" w:rsidP="005C1352">
            <w:pPr>
              <w:jc w:val="left"/>
              <w:rPr>
                <w:bCs/>
                <w:color w:val="000000"/>
                <w:sz w:val="19"/>
                <w:szCs w:val="19"/>
              </w:rPr>
            </w:pPr>
            <w:r w:rsidRPr="00116463">
              <w:rPr>
                <w:color w:val="000000"/>
                <w:sz w:val="19"/>
                <w:szCs w:val="19"/>
              </w:rPr>
              <w:t>Small C/I Equipment</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Non-residential</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11.14%</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5.45%</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5.45%</w:t>
            </w:r>
          </w:p>
        </w:tc>
      </w:tr>
      <w:tr w:rsidR="00A874AC" w:rsidRPr="00116463" w:rsidTr="008B741E">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40970" w:rsidRPr="00116463" w:rsidRDefault="00D40970" w:rsidP="005C1352">
            <w:pPr>
              <w:jc w:val="left"/>
              <w:rPr>
                <w:bCs/>
                <w:color w:val="000000"/>
                <w:sz w:val="19"/>
                <w:szCs w:val="19"/>
              </w:rPr>
            </w:pPr>
            <w:r w:rsidRPr="00116463">
              <w:rPr>
                <w:color w:val="000000"/>
                <w:sz w:val="19"/>
                <w:szCs w:val="19"/>
              </w:rPr>
              <w:t>Small C/I Buildings</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Non-residential</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11.14%</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5.45%</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5.45%</w:t>
            </w:r>
          </w:p>
        </w:tc>
      </w:tr>
      <w:tr w:rsidR="00E7173E" w:rsidRPr="00116463"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40970" w:rsidRPr="00116463" w:rsidRDefault="00D40970" w:rsidP="005C1352">
            <w:pPr>
              <w:jc w:val="left"/>
              <w:rPr>
                <w:bCs/>
                <w:color w:val="000000"/>
                <w:sz w:val="19"/>
                <w:szCs w:val="19"/>
              </w:rPr>
            </w:pPr>
            <w:r w:rsidRPr="00116463">
              <w:rPr>
                <w:color w:val="000000"/>
                <w:sz w:val="19"/>
                <w:szCs w:val="19"/>
              </w:rPr>
              <w:t>Large C/I Equipment</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Non-residential</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11.14%</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5.45%</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5.45%</w:t>
            </w:r>
          </w:p>
        </w:tc>
      </w:tr>
      <w:tr w:rsidR="00A874AC" w:rsidRPr="00116463" w:rsidTr="008B741E">
        <w:trPr>
          <w:trHeight w:val="346"/>
        </w:trPr>
        <w:tc>
          <w:tcPr>
            <w:tcW w:w="3083" w:type="dxa"/>
            <w:tcBorders>
              <w:top w:val="nil"/>
              <w:left w:val="single" w:sz="8" w:space="0" w:color="448A99"/>
              <w:bottom w:val="single" w:sz="8" w:space="0" w:color="448A99"/>
              <w:right w:val="single" w:sz="8" w:space="0" w:color="448A99"/>
            </w:tcBorders>
            <w:shd w:val="clear" w:color="auto" w:fill="D2EAF1"/>
            <w:vAlign w:val="center"/>
          </w:tcPr>
          <w:p w:rsidR="00D40970" w:rsidRPr="00116463" w:rsidRDefault="00D40970" w:rsidP="005C1352">
            <w:pPr>
              <w:jc w:val="left"/>
              <w:rPr>
                <w:bCs/>
                <w:color w:val="000000"/>
                <w:sz w:val="19"/>
                <w:szCs w:val="19"/>
              </w:rPr>
            </w:pPr>
            <w:r w:rsidRPr="00116463">
              <w:rPr>
                <w:color w:val="000000"/>
                <w:sz w:val="19"/>
                <w:szCs w:val="19"/>
              </w:rPr>
              <w:t>Large C/I Buildings</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Non-residential</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11.14%</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5.45%</w:t>
            </w:r>
          </w:p>
        </w:tc>
        <w:tc>
          <w:tcPr>
            <w:tcW w:w="1568" w:type="dxa"/>
            <w:shd w:val="clear" w:color="auto" w:fill="D2EAF1"/>
            <w:noWrap/>
            <w:vAlign w:val="center"/>
          </w:tcPr>
          <w:p w:rsidR="00D40970" w:rsidRPr="00116463" w:rsidRDefault="00D40970" w:rsidP="005C1352">
            <w:pPr>
              <w:jc w:val="center"/>
              <w:rPr>
                <w:color w:val="000000"/>
                <w:sz w:val="19"/>
                <w:szCs w:val="19"/>
              </w:rPr>
            </w:pPr>
            <w:r w:rsidRPr="00116463">
              <w:rPr>
                <w:color w:val="000000"/>
                <w:sz w:val="19"/>
                <w:szCs w:val="19"/>
              </w:rPr>
              <w:t>5.45%</w:t>
            </w:r>
          </w:p>
        </w:tc>
      </w:tr>
      <w:tr w:rsidR="00E7173E" w:rsidRPr="00116463"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vAlign w:val="center"/>
          </w:tcPr>
          <w:p w:rsidR="00D40970" w:rsidRPr="00116463" w:rsidRDefault="00D40970" w:rsidP="005C1352">
            <w:pPr>
              <w:jc w:val="left"/>
              <w:rPr>
                <w:bCs/>
                <w:color w:val="000000"/>
                <w:sz w:val="19"/>
                <w:szCs w:val="19"/>
              </w:rPr>
            </w:pPr>
            <w:r w:rsidRPr="00116463">
              <w:rPr>
                <w:color w:val="000000"/>
                <w:sz w:val="19"/>
                <w:szCs w:val="19"/>
              </w:rPr>
              <w:t>Gov./Institutional</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Non-residential</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11.14%</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5.45%</w:t>
            </w:r>
          </w:p>
        </w:tc>
        <w:tc>
          <w:tcPr>
            <w:tcW w:w="1568" w:type="dxa"/>
            <w:shd w:val="clear" w:color="auto" w:fill="auto"/>
            <w:noWrap/>
            <w:vAlign w:val="center"/>
          </w:tcPr>
          <w:p w:rsidR="00D40970" w:rsidRPr="00116463" w:rsidRDefault="00D40970" w:rsidP="005C1352">
            <w:pPr>
              <w:jc w:val="center"/>
              <w:rPr>
                <w:color w:val="000000"/>
                <w:sz w:val="19"/>
                <w:szCs w:val="19"/>
              </w:rPr>
            </w:pPr>
            <w:r w:rsidRPr="00116463">
              <w:rPr>
                <w:color w:val="000000"/>
                <w:sz w:val="19"/>
                <w:szCs w:val="19"/>
              </w:rPr>
              <w:t>5.45%</w:t>
            </w:r>
          </w:p>
        </w:tc>
      </w:tr>
    </w:tbl>
    <w:p w:rsidR="00D40970" w:rsidRDefault="00D40970" w:rsidP="00D40970"/>
    <w:p w:rsidR="00D40970" w:rsidRPr="00172671" w:rsidRDefault="00D40970" w:rsidP="00D40970">
      <w:r w:rsidRPr="00172671">
        <w:t>In the residential sector, measure lives were reported on a measure-by-measure basis. The SWE Team spot-checked some of these measure lives and found the</w:t>
      </w:r>
      <w:r>
        <w:t>m to be consistent with the 2015</w:t>
      </w:r>
      <w:r w:rsidRPr="00172671">
        <w:t xml:space="preserve"> TRM</w:t>
      </w:r>
      <w:r w:rsidR="00AA547F">
        <w:t xml:space="preserve">. </w:t>
      </w:r>
      <w:r>
        <w:rPr>
          <w:rStyle w:val="FootnoteReference"/>
        </w:rPr>
        <w:footnoteReference w:id="71"/>
      </w:r>
      <w:r w:rsidRPr="00172671">
        <w:t xml:space="preserve"> In the non-residential sector, the TRC model applied a</w:t>
      </w:r>
      <w:r>
        <w:t xml:space="preserve">n </w:t>
      </w:r>
      <w:r w:rsidRPr="00172671">
        <w:t xml:space="preserve">EUL at the stratum level rather than at the measure level. </w:t>
      </w:r>
    </w:p>
    <w:p w:rsidR="00D40970" w:rsidRPr="00172671" w:rsidRDefault="00D40970" w:rsidP="00D40970"/>
    <w:p w:rsidR="00D40970" w:rsidRPr="00172671" w:rsidRDefault="00D40970" w:rsidP="00D40970">
      <w:r>
        <w:t>Similarly, t</w:t>
      </w:r>
      <w:r w:rsidRPr="00172671">
        <w:t xml:space="preserve">he model assigned incremental costs at the measure level in the residential sector and </w:t>
      </w:r>
      <w:r>
        <w:t xml:space="preserve">at the </w:t>
      </w:r>
      <w:r w:rsidRPr="00172671">
        <w:t>stratum level in the non-residential sector in the model. The residential-sector incremental costs primarily were derived from the SWE incremental cost database</w:t>
      </w:r>
      <w:r>
        <w:t xml:space="preserve">, the </w:t>
      </w:r>
      <w:r w:rsidR="00C34CDD">
        <w:t>Penn Power EE&amp;C p</w:t>
      </w:r>
      <w:r>
        <w:t>lan</w:t>
      </w:r>
      <w:r w:rsidR="00C34CDD">
        <w:t>,</w:t>
      </w:r>
      <w:r w:rsidRPr="00172671">
        <w:t xml:space="preserve"> and the project invoices. The sources for non-residential sector incremental costs included the SWE cost database, sampled project invoices, the</w:t>
      </w:r>
      <w:r>
        <w:t xml:space="preserve"> Database for Energy Efficient Resources</w:t>
      </w:r>
      <w:r w:rsidRPr="00172671">
        <w:t xml:space="preserve"> </w:t>
      </w:r>
      <w:r>
        <w:t>(</w:t>
      </w:r>
      <w:r w:rsidRPr="00172671">
        <w:t>DEER</w:t>
      </w:r>
      <w:r>
        <w:t>)</w:t>
      </w:r>
      <w:r w:rsidRPr="00172671">
        <w:t xml:space="preserve"> 2008 incremental cost database, and the EDC</w:t>
      </w:r>
      <w:r w:rsidR="00C34CDD">
        <w:t xml:space="preserve"> EE&amp;C p</w:t>
      </w:r>
      <w:r w:rsidRPr="00172671">
        <w:t>lan.</w:t>
      </w:r>
      <w:r w:rsidRPr="00172671">
        <w:rPr>
          <w:rStyle w:val="FootnoteReference"/>
        </w:rPr>
        <w:footnoteReference w:id="72"/>
      </w:r>
      <w:r w:rsidRPr="00172671">
        <w:t xml:space="preserve"> </w:t>
      </w:r>
      <w:r>
        <w:t xml:space="preserve">The </w:t>
      </w:r>
      <w:r w:rsidRPr="00172671">
        <w:t>FirstEnergy TRC model relied on the evaluation samples as a basis for calculating incremental participant costs for non-residential programs. Those sampled values were weighted to apply to the remainder of the program. The SWE Team examined this approach and found it reasonable and appropriate.</w:t>
      </w:r>
    </w:p>
    <w:p w:rsidR="00D40970" w:rsidRPr="008A5E9E" w:rsidRDefault="00D40970" w:rsidP="00D40970">
      <w:pPr>
        <w:rPr>
          <w:highlight w:val="lightGray"/>
        </w:rPr>
      </w:pPr>
    </w:p>
    <w:p w:rsidR="00D40970" w:rsidRPr="00B8757D" w:rsidRDefault="00D40970" w:rsidP="00D40970">
      <w:r w:rsidRPr="00B8757D">
        <w:t>The TRC model drew the energy and demand impacts from the tracking database, which used TRM-specified values and equations to assign ex ante annual savings values to completed measures. The TRC model analysis was based on ex post verified savings, so program impacts were adjusted by an applicable realization rate. Separate realization rates were applied to energy and demand impacts.</w:t>
      </w:r>
    </w:p>
    <w:p w:rsidR="00D40970" w:rsidRPr="008A5E9E" w:rsidRDefault="00D40970" w:rsidP="00D40970">
      <w:pPr>
        <w:rPr>
          <w:highlight w:val="lightGray"/>
        </w:rPr>
      </w:pPr>
    </w:p>
    <w:p w:rsidR="00D40970" w:rsidRPr="002D1FC2" w:rsidRDefault="00D40970" w:rsidP="00D40970">
      <w:r>
        <w:t>T</w:t>
      </w:r>
      <w:r w:rsidRPr="002D1FC2">
        <w:t>he 201</w:t>
      </w:r>
      <w:r>
        <w:t>5</w:t>
      </w:r>
      <w:r w:rsidRPr="002D1FC2">
        <w:t xml:space="preserve"> TRM specifically instruct</w:t>
      </w:r>
      <w:r>
        <w:t>ed</w:t>
      </w:r>
      <w:r w:rsidRPr="002D1FC2">
        <w:t xml:space="preserve"> EDCs to account for dual baselines with regard to T12 linear fluorescent replacements. The dual baseline adjustment impacts the lifetime energy and demand savings of measures</w:t>
      </w:r>
      <w:r>
        <w:t xml:space="preserve"> beginning June 1, 2016</w:t>
      </w:r>
      <w:r w:rsidRPr="002D1FC2">
        <w:t xml:space="preserve">, but </w:t>
      </w:r>
      <w:r>
        <w:t>does</w:t>
      </w:r>
      <w:r w:rsidRPr="002D1FC2">
        <w:t xml:space="preserve"> not i</w:t>
      </w:r>
      <w:r>
        <w:t>mpact first-year savings for PY7</w:t>
      </w:r>
      <w:r w:rsidRPr="002D1FC2">
        <w:t xml:space="preserve">. </w:t>
      </w:r>
      <w:r w:rsidRPr="009D35AA">
        <w:rPr>
          <w:rFonts w:ascii="Arial" w:hAnsi="Arial"/>
          <w:sz w:val="20"/>
        </w:rPr>
        <w:t>EDCs may choose to reflect the dual baseli</w:t>
      </w:r>
      <w:r w:rsidRPr="00B40CEA">
        <w:rPr>
          <w:rFonts w:ascii="Arial" w:hAnsi="Arial"/>
          <w:sz w:val="20"/>
        </w:rPr>
        <w:t>nes either by applying savings adjustment factors or by reducing the EUL to adjust lifetime savings.</w:t>
      </w:r>
      <w:r w:rsidRPr="002D1FC2">
        <w:rPr>
          <w:rFonts w:ascii="Arial" w:hAnsi="Arial"/>
          <w:sz w:val="20"/>
          <w:szCs w:val="20"/>
        </w:rPr>
        <w:t xml:space="preserve"> In the</w:t>
      </w:r>
      <w:r w:rsidRPr="002D1FC2">
        <w:t xml:space="preserve"> </w:t>
      </w:r>
      <w:r>
        <w:t>Penn Power</w:t>
      </w:r>
      <w:r w:rsidRPr="002D1FC2">
        <w:t xml:space="preserve"> TRC</w:t>
      </w:r>
      <w:r>
        <w:t xml:space="preserve"> model</w:t>
      </w:r>
      <w:r w:rsidRPr="002D1FC2">
        <w:t xml:space="preserve">, a measure’s lifetime was separated into two parts: the first </w:t>
      </w:r>
      <w:r>
        <w:t>year</w:t>
      </w:r>
      <w:r w:rsidRPr="002D1FC2">
        <w:t>, and the remaining lifetime. The removed equipment was treated</w:t>
      </w:r>
      <w:r>
        <w:t xml:space="preserve"> as the baseline for the first year</w:t>
      </w:r>
      <w:r w:rsidRPr="002D1FC2">
        <w:t xml:space="preserve">, with the baseline shifting to the code-required baseline for the remainder of the measure’s life. The model calculated the measure’s lifetime savings as the sum of these two parts. </w:t>
      </w:r>
    </w:p>
    <w:p w:rsidR="00D40970" w:rsidRDefault="00D40970" w:rsidP="00D40970"/>
    <w:p w:rsidR="00950837" w:rsidRDefault="00950837" w:rsidP="009C0DF1">
      <w:pPr>
        <w:pStyle w:val="AppendixAHeading3"/>
      </w:pPr>
      <w:r>
        <w:t>Avoided Cost of Capacity</w:t>
      </w:r>
    </w:p>
    <w:p w:rsidR="00D40970" w:rsidRDefault="00D40970" w:rsidP="00D40970">
      <w:r w:rsidRPr="00D40970">
        <w:t xml:space="preserve">Consistent with prior Phase II program years, the PY7 </w:t>
      </w:r>
      <w:r w:rsidR="00E6042C">
        <w:t>FirstEnergy</w:t>
      </w:r>
      <w:r w:rsidRPr="00D40970">
        <w:t xml:space="preserve"> TRC Models use the Phase II approved avoided costs of energy and capacity.  The PY7 models were updated to select the appropriate PY7 stream of avoided costs.  </w:t>
      </w:r>
    </w:p>
    <w:p w:rsidR="00D40970" w:rsidRDefault="00D40970" w:rsidP="00D40970"/>
    <w:p w:rsidR="00116463" w:rsidRDefault="00116463" w:rsidP="00D40970"/>
    <w:p w:rsidR="00116463" w:rsidRPr="00D40970" w:rsidRDefault="00116463" w:rsidP="00D40970"/>
    <w:p w:rsidR="00950837" w:rsidRDefault="00950837" w:rsidP="009C0DF1">
      <w:pPr>
        <w:pStyle w:val="AppendixAHeading3"/>
      </w:pPr>
      <w:r>
        <w:t>Conclusions and Recommendations</w:t>
      </w:r>
    </w:p>
    <w:p w:rsidR="00D40970" w:rsidRDefault="00D40970" w:rsidP="00D40970">
      <w:r w:rsidRPr="00D40970">
        <w:t>The FirstEnergy TRC model is performing all of the B/C calculations in accordance with the 2013 TRC Order. The SWE Team review of the Penn Power TRC model found no calculation errors and believes the PY7 TRC benefits, costs, and ratios to be reasonable and accurate.</w:t>
      </w:r>
    </w:p>
    <w:p w:rsidR="00D40970" w:rsidRPr="00D40970" w:rsidRDefault="00D40970" w:rsidP="00D40970"/>
    <w:p w:rsidR="00950837" w:rsidRDefault="00950837" w:rsidP="000D3563">
      <w:pPr>
        <w:pStyle w:val="AppendixAHeading2"/>
      </w:pPr>
      <w:r>
        <w:t>Status of Evaluation Activities</w:t>
      </w:r>
    </w:p>
    <w:p w:rsidR="001B5BFF" w:rsidRPr="001B5BFF" w:rsidRDefault="001B5BFF" w:rsidP="001B5BFF">
      <w:r w:rsidRPr="001B5BFF">
        <w:t>This section discusses the status of Penn Power’s EM&amp;V plans, M&amp;V activities and findings, and process evaluation activities and findings.</w:t>
      </w:r>
    </w:p>
    <w:p w:rsidR="001B5BFF" w:rsidRPr="001B5BFF" w:rsidRDefault="001B5BFF" w:rsidP="001B5BFF"/>
    <w:p w:rsidR="00950837" w:rsidRDefault="00950837" w:rsidP="009C0DF1">
      <w:pPr>
        <w:pStyle w:val="AppendixAHeading3"/>
      </w:pPr>
      <w:r>
        <w:t>Status of Evaluation, Measurement</w:t>
      </w:r>
      <w:r w:rsidR="00C34CDD">
        <w:t>,</w:t>
      </w:r>
      <w:r>
        <w:t xml:space="preserve"> and Verification Plans</w:t>
      </w:r>
    </w:p>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79"/>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DD3B6D" w:rsidRDefault="00DD3B6D" w:rsidP="00DD3B6D"/>
    <w:p w:rsidR="00DD3B6D" w:rsidRPr="00FB6015" w:rsidRDefault="00156868" w:rsidP="00DD3B6D">
      <w:r>
        <w:fldChar w:fldCharType="begin"/>
      </w:r>
      <w:r>
        <w:instrText xml:space="preserve"> REF _Ref472359326 \h </w:instrText>
      </w:r>
      <w:r>
        <w:fldChar w:fldCharType="separate"/>
      </w:r>
      <w:r w:rsidR="00037CB4" w:rsidRPr="00156868">
        <w:t>Table A-</w:t>
      </w:r>
      <w:r w:rsidR="00037CB4">
        <w:rPr>
          <w:noProof/>
        </w:rPr>
        <w:t>73</w:t>
      </w:r>
      <w:r>
        <w:fldChar w:fldCharType="end"/>
      </w:r>
      <w:r w:rsidR="00DD3B6D" w:rsidRPr="006A0F2F">
        <w:t xml:space="preserve"> </w:t>
      </w:r>
      <w:r w:rsidR="00DD3B6D" w:rsidRPr="008A5E9E">
        <w:rPr>
          <w:color w:val="000000"/>
        </w:rPr>
        <w:t>displays key milestones completed</w:t>
      </w:r>
      <w:r w:rsidR="00DD3B6D">
        <w:rPr>
          <w:color w:val="000000"/>
        </w:rPr>
        <w:t xml:space="preserve"> </w:t>
      </w:r>
      <w:r w:rsidR="00DD3B6D" w:rsidRPr="009472F6">
        <w:t xml:space="preserve">by </w:t>
      </w:r>
      <w:r w:rsidR="00DD3B6D">
        <w:t>FirstEnergy</w:t>
      </w:r>
      <w:r w:rsidR="00DD3B6D" w:rsidRPr="009472F6">
        <w:t xml:space="preserve"> and the SWE</w:t>
      </w:r>
      <w:r w:rsidR="00DD3B6D">
        <w:t xml:space="preserve"> </w:t>
      </w:r>
      <w:r w:rsidR="00DD3B6D">
        <w:rPr>
          <w:color w:val="000000"/>
        </w:rPr>
        <w:t>for FirstEnergy’s Phase II EM&amp;V Plan</w:t>
      </w:r>
      <w:r w:rsidR="00DD3B6D" w:rsidRPr="008A5E9E">
        <w:rPr>
          <w:color w:val="000000"/>
        </w:rPr>
        <w:t>.</w:t>
      </w:r>
      <w:r w:rsidR="00DD3B6D" w:rsidRPr="0053259F">
        <w:t xml:space="preserve"> </w:t>
      </w:r>
      <w:r w:rsidR="00DD3B6D" w:rsidRPr="00A145B8">
        <w:t xml:space="preserve">FirstEnergy </w:t>
      </w:r>
      <w:r w:rsidR="00DD3B6D">
        <w:t>EDCs</w:t>
      </w:r>
      <w:r w:rsidR="00DD3B6D" w:rsidRPr="00A145B8">
        <w:t xml:space="preserve"> submitted, and the SWE Team approved, only one EM&amp;V Plan across all four FirstEnergy EDCs.</w:t>
      </w:r>
    </w:p>
    <w:p w:rsidR="00DD3B6D" w:rsidRPr="00FB6015" w:rsidRDefault="00DD3B6D" w:rsidP="00DD3B6D"/>
    <w:p w:rsidR="00DD3B6D" w:rsidRPr="00156868" w:rsidRDefault="00156868" w:rsidP="004837FA">
      <w:pPr>
        <w:pStyle w:val="Caption"/>
      </w:pPr>
      <w:bookmarkStart w:id="907" w:name="_Ref472359326"/>
      <w:bookmarkStart w:id="908" w:name="_Toc472472482"/>
      <w:bookmarkStart w:id="909" w:name="_Toc488741901"/>
      <w:r w:rsidRPr="00156868">
        <w:t>Table A-</w:t>
      </w:r>
      <w:r w:rsidR="007973A4">
        <w:fldChar w:fldCharType="begin"/>
      </w:r>
      <w:r w:rsidR="007973A4">
        <w:instrText xml:space="preserve"> SEQ Table_A- \* ARABIC </w:instrText>
      </w:r>
      <w:r w:rsidR="007973A4">
        <w:fldChar w:fldCharType="separate"/>
      </w:r>
      <w:r w:rsidR="00037CB4">
        <w:rPr>
          <w:noProof/>
        </w:rPr>
        <w:t>73</w:t>
      </w:r>
      <w:r w:rsidR="007973A4">
        <w:rPr>
          <w:noProof/>
        </w:rPr>
        <w:fldChar w:fldCharType="end"/>
      </w:r>
      <w:bookmarkEnd w:id="907"/>
      <w:r w:rsidR="00DD3B6D" w:rsidRPr="00156868">
        <w:t>: Key Milestones Reached for Penn Power’s Phase II EM&amp;V Plan</w:t>
      </w:r>
      <w:bookmarkEnd w:id="908"/>
      <w:bookmarkEnd w:id="909"/>
    </w:p>
    <w:tbl>
      <w:tblPr>
        <w:tblW w:w="9355" w:type="dxa"/>
        <w:jc w:val="center"/>
        <w:tblLayout w:type="fixed"/>
        <w:tblLook w:val="04A0" w:firstRow="1" w:lastRow="0" w:firstColumn="1" w:lastColumn="0" w:noHBand="0" w:noVBand="1"/>
      </w:tblPr>
      <w:tblGrid>
        <w:gridCol w:w="1885"/>
        <w:gridCol w:w="7470"/>
      </w:tblGrid>
      <w:tr w:rsidR="00E7173E" w:rsidRPr="00116463" w:rsidTr="00AB3C36">
        <w:trPr>
          <w:cantSplit/>
          <w:trHeight w:val="197"/>
          <w:tblHeader/>
          <w:jc w:val="center"/>
        </w:trPr>
        <w:tc>
          <w:tcPr>
            <w:tcW w:w="188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116463" w:rsidRDefault="00DD3B6D" w:rsidP="008C2D5E">
            <w:pPr>
              <w:jc w:val="left"/>
              <w:rPr>
                <w:b/>
                <w:bCs/>
                <w:color w:val="FFFFFF"/>
                <w:sz w:val="19"/>
                <w:szCs w:val="19"/>
              </w:rPr>
            </w:pPr>
            <w:r w:rsidRPr="00116463">
              <w:rPr>
                <w:b/>
                <w:bCs/>
                <w:color w:val="FFFFFF"/>
                <w:sz w:val="19"/>
                <w:szCs w:val="19"/>
              </w:rPr>
              <w:t>Date</w:t>
            </w:r>
          </w:p>
        </w:tc>
        <w:tc>
          <w:tcPr>
            <w:tcW w:w="7470" w:type="dxa"/>
            <w:tcBorders>
              <w:top w:val="single" w:sz="4" w:space="0" w:color="448A99"/>
              <w:left w:val="nil"/>
              <w:bottom w:val="single" w:sz="4" w:space="0" w:color="448A99"/>
              <w:right w:val="single" w:sz="4" w:space="0" w:color="448A99"/>
            </w:tcBorders>
            <w:shd w:val="clear" w:color="000000" w:fill="448A99"/>
            <w:vAlign w:val="bottom"/>
          </w:tcPr>
          <w:p w:rsidR="00DD3B6D" w:rsidRPr="00116463" w:rsidRDefault="00DD3B6D" w:rsidP="008C2D5E">
            <w:pPr>
              <w:jc w:val="left"/>
              <w:rPr>
                <w:b/>
                <w:bCs/>
                <w:color w:val="FFFFFF"/>
                <w:sz w:val="19"/>
                <w:szCs w:val="19"/>
              </w:rPr>
            </w:pPr>
            <w:r w:rsidRPr="00116463">
              <w:rPr>
                <w:b/>
                <w:bCs/>
                <w:color w:val="FFFFFF"/>
                <w:sz w:val="19"/>
                <w:szCs w:val="19"/>
              </w:rPr>
              <w:t>Event</w:t>
            </w:r>
          </w:p>
        </w:tc>
      </w:tr>
      <w:tr w:rsidR="00E7173E" w:rsidRPr="00116463" w:rsidTr="00AB3C36">
        <w:trPr>
          <w:trHeight w:val="576"/>
          <w:jc w:val="center"/>
        </w:trPr>
        <w:tc>
          <w:tcPr>
            <w:tcW w:w="1885" w:type="dxa"/>
            <w:tcBorders>
              <w:top w:val="nil"/>
              <w:left w:val="single" w:sz="4" w:space="0" w:color="448A99"/>
              <w:bottom w:val="single" w:sz="4" w:space="0" w:color="448A99"/>
              <w:right w:val="single" w:sz="4" w:space="0" w:color="448A99"/>
            </w:tcBorders>
            <w:shd w:val="clear" w:color="auto" w:fill="D2EAF1"/>
            <w:vAlign w:val="center"/>
          </w:tcPr>
          <w:p w:rsidR="00DD3B6D" w:rsidRPr="00116463" w:rsidRDefault="00DD3B6D" w:rsidP="008C2D5E">
            <w:pPr>
              <w:jc w:val="left"/>
              <w:rPr>
                <w:bCs/>
                <w:color w:val="000000"/>
                <w:sz w:val="19"/>
                <w:szCs w:val="19"/>
              </w:rPr>
            </w:pPr>
            <w:r w:rsidRPr="00116463">
              <w:rPr>
                <w:sz w:val="19"/>
                <w:szCs w:val="19"/>
              </w:rPr>
              <w:t>September 19, 2013</w:t>
            </w:r>
          </w:p>
        </w:tc>
        <w:tc>
          <w:tcPr>
            <w:tcW w:w="7470" w:type="dxa"/>
            <w:tcBorders>
              <w:top w:val="nil"/>
              <w:left w:val="nil"/>
              <w:bottom w:val="single" w:sz="4" w:space="0" w:color="448A99"/>
              <w:right w:val="single" w:sz="4" w:space="0" w:color="448A99"/>
            </w:tcBorders>
            <w:shd w:val="clear" w:color="auto" w:fill="D2EAF1"/>
            <w:vAlign w:val="center"/>
          </w:tcPr>
          <w:p w:rsidR="00DD3B6D" w:rsidRPr="00116463" w:rsidRDefault="00DD3B6D" w:rsidP="008C2D5E">
            <w:pPr>
              <w:jc w:val="left"/>
              <w:rPr>
                <w:color w:val="000000"/>
                <w:sz w:val="19"/>
                <w:szCs w:val="19"/>
              </w:rPr>
            </w:pPr>
            <w:r w:rsidRPr="00116463">
              <w:rPr>
                <w:sz w:val="19"/>
                <w:szCs w:val="19"/>
              </w:rPr>
              <w:t>FirstEnergy EDCs submit first draft of Phase II evaluation plan to the PUC and SWE</w:t>
            </w:r>
          </w:p>
        </w:tc>
      </w:tr>
      <w:tr w:rsidR="00E7173E" w:rsidRPr="00116463" w:rsidTr="00AB3C36">
        <w:trPr>
          <w:trHeight w:val="576"/>
          <w:jc w:val="center"/>
        </w:trPr>
        <w:tc>
          <w:tcPr>
            <w:tcW w:w="1885" w:type="dxa"/>
            <w:tcBorders>
              <w:top w:val="nil"/>
              <w:left w:val="single" w:sz="4" w:space="0" w:color="448A99"/>
              <w:bottom w:val="single" w:sz="4" w:space="0" w:color="448A99"/>
              <w:right w:val="single" w:sz="4" w:space="0" w:color="448A99"/>
            </w:tcBorders>
            <w:shd w:val="clear" w:color="auto" w:fill="auto"/>
            <w:vAlign w:val="center"/>
          </w:tcPr>
          <w:p w:rsidR="00DD3B6D" w:rsidRPr="00116463" w:rsidRDefault="00DD3B6D" w:rsidP="008C2D5E">
            <w:pPr>
              <w:jc w:val="left"/>
              <w:rPr>
                <w:bCs/>
                <w:color w:val="000000"/>
                <w:sz w:val="19"/>
                <w:szCs w:val="19"/>
                <w:lang w:eastAsia="zh-CN"/>
              </w:rPr>
            </w:pPr>
            <w:r w:rsidRPr="00116463">
              <w:rPr>
                <w:sz w:val="19"/>
                <w:szCs w:val="19"/>
              </w:rPr>
              <w:t>October 15, 2013</w:t>
            </w:r>
          </w:p>
        </w:tc>
        <w:tc>
          <w:tcPr>
            <w:tcW w:w="7470" w:type="dxa"/>
            <w:tcBorders>
              <w:top w:val="nil"/>
              <w:left w:val="nil"/>
              <w:bottom w:val="single" w:sz="4" w:space="0" w:color="448A99"/>
              <w:right w:val="single" w:sz="4" w:space="0" w:color="448A99"/>
            </w:tcBorders>
            <w:shd w:val="clear" w:color="auto" w:fill="auto"/>
            <w:vAlign w:val="center"/>
          </w:tcPr>
          <w:p w:rsidR="00DD3B6D" w:rsidRPr="00116463" w:rsidRDefault="00DD3B6D" w:rsidP="008C2D5E">
            <w:pPr>
              <w:jc w:val="left"/>
              <w:rPr>
                <w:color w:val="000000"/>
                <w:sz w:val="19"/>
                <w:szCs w:val="19"/>
              </w:rPr>
            </w:pPr>
            <w:r w:rsidRPr="00116463">
              <w:rPr>
                <w:sz w:val="19"/>
                <w:szCs w:val="19"/>
              </w:rPr>
              <w:t>SWE returns comments on the FirstEnergy evaluation plan to FirstEnergy</w:t>
            </w:r>
          </w:p>
        </w:tc>
      </w:tr>
      <w:tr w:rsidR="00E7173E" w:rsidRPr="00116463" w:rsidTr="00AB3C36">
        <w:trPr>
          <w:trHeight w:val="576"/>
          <w:jc w:val="center"/>
        </w:trPr>
        <w:tc>
          <w:tcPr>
            <w:tcW w:w="1885" w:type="dxa"/>
            <w:tcBorders>
              <w:top w:val="nil"/>
              <w:left w:val="single" w:sz="4" w:space="0" w:color="448A99"/>
              <w:bottom w:val="single" w:sz="4" w:space="0" w:color="448A99"/>
              <w:right w:val="single" w:sz="4" w:space="0" w:color="448A99"/>
            </w:tcBorders>
            <w:shd w:val="clear" w:color="auto" w:fill="D2EAF1"/>
            <w:vAlign w:val="center"/>
          </w:tcPr>
          <w:p w:rsidR="00DD3B6D" w:rsidRPr="00116463" w:rsidRDefault="00DD3B6D" w:rsidP="008C2D5E">
            <w:pPr>
              <w:jc w:val="left"/>
              <w:rPr>
                <w:bCs/>
                <w:color w:val="000000"/>
                <w:sz w:val="19"/>
                <w:szCs w:val="19"/>
                <w:lang w:eastAsia="zh-CN"/>
              </w:rPr>
            </w:pPr>
            <w:r w:rsidRPr="00116463">
              <w:rPr>
                <w:sz w:val="19"/>
                <w:szCs w:val="19"/>
              </w:rPr>
              <w:t>November 13, 2013</w:t>
            </w:r>
          </w:p>
        </w:tc>
        <w:tc>
          <w:tcPr>
            <w:tcW w:w="7470" w:type="dxa"/>
            <w:tcBorders>
              <w:top w:val="nil"/>
              <w:left w:val="nil"/>
              <w:bottom w:val="single" w:sz="4" w:space="0" w:color="448A99"/>
              <w:right w:val="single" w:sz="4" w:space="0" w:color="448A99"/>
            </w:tcBorders>
            <w:shd w:val="clear" w:color="auto" w:fill="D2EAF1"/>
            <w:vAlign w:val="center"/>
          </w:tcPr>
          <w:p w:rsidR="00DD3B6D" w:rsidRPr="00116463" w:rsidRDefault="00DD3B6D" w:rsidP="008C2D5E">
            <w:pPr>
              <w:jc w:val="left"/>
              <w:rPr>
                <w:color w:val="000000"/>
                <w:sz w:val="19"/>
                <w:szCs w:val="19"/>
              </w:rPr>
            </w:pPr>
            <w:r w:rsidRPr="00116463">
              <w:rPr>
                <w:sz w:val="19"/>
                <w:szCs w:val="19"/>
              </w:rPr>
              <w:t>SWE sends a list of “items that be must addressed” to FirstEnergy EDCs</w:t>
            </w:r>
          </w:p>
        </w:tc>
      </w:tr>
      <w:tr w:rsidR="00E7173E" w:rsidRPr="00116463" w:rsidTr="00AB3C36">
        <w:trPr>
          <w:trHeight w:val="576"/>
          <w:jc w:val="center"/>
        </w:trPr>
        <w:tc>
          <w:tcPr>
            <w:tcW w:w="1885" w:type="dxa"/>
            <w:tcBorders>
              <w:top w:val="nil"/>
              <w:left w:val="single" w:sz="4" w:space="0" w:color="448A99"/>
              <w:bottom w:val="single" w:sz="4" w:space="0" w:color="448A99"/>
              <w:right w:val="single" w:sz="4" w:space="0" w:color="448A99"/>
            </w:tcBorders>
            <w:shd w:val="clear" w:color="auto" w:fill="auto"/>
            <w:vAlign w:val="center"/>
          </w:tcPr>
          <w:p w:rsidR="00DD3B6D" w:rsidRPr="00116463" w:rsidRDefault="00DD3B6D" w:rsidP="008C2D5E">
            <w:pPr>
              <w:jc w:val="left"/>
              <w:rPr>
                <w:bCs/>
                <w:color w:val="000000"/>
                <w:sz w:val="19"/>
                <w:szCs w:val="19"/>
                <w:lang w:eastAsia="zh-CN"/>
              </w:rPr>
            </w:pPr>
            <w:r w:rsidRPr="00116463">
              <w:rPr>
                <w:sz w:val="19"/>
                <w:szCs w:val="19"/>
              </w:rPr>
              <w:t>February 19, 2014</w:t>
            </w:r>
          </w:p>
        </w:tc>
        <w:tc>
          <w:tcPr>
            <w:tcW w:w="7470" w:type="dxa"/>
            <w:tcBorders>
              <w:top w:val="nil"/>
              <w:left w:val="nil"/>
              <w:bottom w:val="single" w:sz="4" w:space="0" w:color="448A99"/>
              <w:right w:val="single" w:sz="4" w:space="0" w:color="448A99"/>
            </w:tcBorders>
            <w:shd w:val="clear" w:color="auto" w:fill="auto"/>
            <w:vAlign w:val="center"/>
          </w:tcPr>
          <w:p w:rsidR="00DD3B6D" w:rsidRPr="00116463" w:rsidRDefault="00DD3B6D" w:rsidP="008C2D5E">
            <w:pPr>
              <w:jc w:val="left"/>
              <w:rPr>
                <w:color w:val="000000"/>
                <w:sz w:val="19"/>
                <w:szCs w:val="19"/>
              </w:rPr>
            </w:pPr>
            <w:r w:rsidRPr="00116463">
              <w:rPr>
                <w:sz w:val="19"/>
                <w:szCs w:val="19"/>
              </w:rPr>
              <w:t>FirstEnergy EDCs submit revised Phase II evaluation plan to the PUC and SWE</w:t>
            </w:r>
          </w:p>
        </w:tc>
      </w:tr>
      <w:tr w:rsidR="00E7173E" w:rsidRPr="00116463" w:rsidTr="00AB3C36">
        <w:trPr>
          <w:trHeight w:val="576"/>
          <w:jc w:val="center"/>
        </w:trPr>
        <w:tc>
          <w:tcPr>
            <w:tcW w:w="1885" w:type="dxa"/>
            <w:tcBorders>
              <w:top w:val="nil"/>
              <w:left w:val="single" w:sz="4" w:space="0" w:color="448A99"/>
              <w:bottom w:val="single" w:sz="8" w:space="0" w:color="448A99"/>
              <w:right w:val="single" w:sz="4" w:space="0" w:color="448A99"/>
            </w:tcBorders>
            <w:shd w:val="clear" w:color="auto" w:fill="D2EAF1"/>
            <w:vAlign w:val="center"/>
          </w:tcPr>
          <w:p w:rsidR="00DD3B6D" w:rsidRPr="00116463" w:rsidRDefault="00DD3B6D" w:rsidP="008C2D5E">
            <w:pPr>
              <w:jc w:val="left"/>
              <w:rPr>
                <w:bCs/>
                <w:color w:val="000000"/>
                <w:sz w:val="19"/>
                <w:szCs w:val="19"/>
              </w:rPr>
            </w:pPr>
            <w:r w:rsidRPr="00116463">
              <w:rPr>
                <w:sz w:val="19"/>
                <w:szCs w:val="19"/>
              </w:rPr>
              <w:t>June 1, 2014</w:t>
            </w:r>
          </w:p>
        </w:tc>
        <w:tc>
          <w:tcPr>
            <w:tcW w:w="7470" w:type="dxa"/>
            <w:tcBorders>
              <w:top w:val="nil"/>
              <w:left w:val="nil"/>
              <w:bottom w:val="single" w:sz="8" w:space="0" w:color="448A99"/>
              <w:right w:val="single" w:sz="4" w:space="0" w:color="448A99"/>
            </w:tcBorders>
            <w:shd w:val="clear" w:color="auto" w:fill="D2EAF1"/>
            <w:vAlign w:val="center"/>
          </w:tcPr>
          <w:p w:rsidR="00DD3B6D" w:rsidRPr="00116463" w:rsidRDefault="00DD3B6D" w:rsidP="008C2D5E">
            <w:pPr>
              <w:jc w:val="left"/>
              <w:rPr>
                <w:color w:val="000000"/>
                <w:sz w:val="19"/>
                <w:szCs w:val="19"/>
              </w:rPr>
            </w:pPr>
            <w:r w:rsidRPr="00116463">
              <w:rPr>
                <w:sz w:val="19"/>
                <w:szCs w:val="19"/>
              </w:rPr>
              <w:t>PY6 starts</w:t>
            </w:r>
          </w:p>
        </w:tc>
      </w:tr>
      <w:tr w:rsidR="00E7173E" w:rsidRPr="00116463" w:rsidTr="00AB3C36">
        <w:trPr>
          <w:trHeight w:val="576"/>
          <w:jc w:val="center"/>
        </w:trPr>
        <w:tc>
          <w:tcPr>
            <w:tcW w:w="1885" w:type="dxa"/>
            <w:tcBorders>
              <w:top w:val="single" w:sz="8" w:space="0" w:color="448A99"/>
              <w:left w:val="single" w:sz="4" w:space="0" w:color="448A99"/>
              <w:bottom w:val="single" w:sz="8" w:space="0" w:color="448A99"/>
              <w:right w:val="single" w:sz="4" w:space="0" w:color="448A99"/>
            </w:tcBorders>
            <w:shd w:val="clear" w:color="auto" w:fill="FFFFFF"/>
            <w:vAlign w:val="center"/>
          </w:tcPr>
          <w:p w:rsidR="00DD3B6D" w:rsidRPr="00116463" w:rsidRDefault="00DD3B6D" w:rsidP="008C2D5E">
            <w:pPr>
              <w:jc w:val="left"/>
              <w:rPr>
                <w:sz w:val="19"/>
                <w:szCs w:val="19"/>
              </w:rPr>
            </w:pPr>
            <w:r w:rsidRPr="00116463">
              <w:rPr>
                <w:sz w:val="19"/>
                <w:szCs w:val="19"/>
              </w:rPr>
              <w:t>December 17, 2014</w:t>
            </w:r>
          </w:p>
        </w:tc>
        <w:tc>
          <w:tcPr>
            <w:tcW w:w="7470" w:type="dxa"/>
            <w:tcBorders>
              <w:top w:val="single" w:sz="8" w:space="0" w:color="448A99"/>
              <w:left w:val="nil"/>
              <w:bottom w:val="single" w:sz="8" w:space="0" w:color="448A99"/>
              <w:right w:val="single" w:sz="4" w:space="0" w:color="448A99"/>
            </w:tcBorders>
            <w:shd w:val="clear" w:color="auto" w:fill="FFFFFF"/>
            <w:vAlign w:val="center"/>
          </w:tcPr>
          <w:p w:rsidR="00DD3B6D" w:rsidRPr="00116463" w:rsidRDefault="00DD3B6D" w:rsidP="008C2D5E">
            <w:pPr>
              <w:jc w:val="left"/>
              <w:rPr>
                <w:sz w:val="19"/>
                <w:szCs w:val="19"/>
              </w:rPr>
            </w:pPr>
            <w:r w:rsidRPr="00116463">
              <w:rPr>
                <w:sz w:val="19"/>
                <w:szCs w:val="19"/>
              </w:rPr>
              <w:t>FirstEnergy EDCs provide email with additional information on the approach used by ADM for the PY6 evaluation of Penn Power’s Appliance Turn-In Program</w:t>
            </w:r>
          </w:p>
        </w:tc>
      </w:tr>
      <w:tr w:rsidR="00E7173E" w:rsidRPr="00116463" w:rsidTr="00AB3C36">
        <w:trPr>
          <w:trHeight w:val="576"/>
          <w:jc w:val="center"/>
        </w:trPr>
        <w:tc>
          <w:tcPr>
            <w:tcW w:w="1885" w:type="dxa"/>
            <w:tcBorders>
              <w:top w:val="single" w:sz="8" w:space="0" w:color="448A99"/>
              <w:left w:val="single" w:sz="4" w:space="0" w:color="448A99"/>
              <w:bottom w:val="single" w:sz="4" w:space="0" w:color="448A99"/>
              <w:right w:val="single" w:sz="4" w:space="0" w:color="448A99"/>
            </w:tcBorders>
            <w:shd w:val="clear" w:color="auto" w:fill="D2EAF1"/>
            <w:vAlign w:val="center"/>
          </w:tcPr>
          <w:p w:rsidR="00DD3B6D" w:rsidRPr="00116463" w:rsidRDefault="00DD3B6D" w:rsidP="008C2D5E">
            <w:pPr>
              <w:jc w:val="left"/>
              <w:rPr>
                <w:sz w:val="19"/>
                <w:szCs w:val="19"/>
              </w:rPr>
            </w:pPr>
            <w:r w:rsidRPr="00116463">
              <w:rPr>
                <w:sz w:val="19"/>
                <w:szCs w:val="19"/>
              </w:rPr>
              <w:t>January 5, 2015</w:t>
            </w:r>
          </w:p>
        </w:tc>
        <w:tc>
          <w:tcPr>
            <w:tcW w:w="7470" w:type="dxa"/>
            <w:tcBorders>
              <w:top w:val="single" w:sz="8" w:space="0" w:color="448A99"/>
              <w:left w:val="nil"/>
              <w:bottom w:val="single" w:sz="4" w:space="0" w:color="448A99"/>
              <w:right w:val="single" w:sz="4" w:space="0" w:color="448A99"/>
            </w:tcBorders>
            <w:shd w:val="clear" w:color="auto" w:fill="D2EAF1"/>
            <w:vAlign w:val="center"/>
          </w:tcPr>
          <w:p w:rsidR="00DD3B6D" w:rsidRPr="00116463" w:rsidRDefault="00DD3B6D" w:rsidP="008C2D5E">
            <w:pPr>
              <w:jc w:val="left"/>
              <w:rPr>
                <w:sz w:val="19"/>
                <w:szCs w:val="19"/>
              </w:rPr>
            </w:pPr>
            <w:r w:rsidRPr="00116463">
              <w:rPr>
                <w:sz w:val="19"/>
                <w:szCs w:val="19"/>
              </w:rPr>
              <w:t>FirstEnergy EDCs send email to SWE with clarification of sampling approach for the evaluations of the residential low-income program components (direct-install, giveaway, and low income low use kit components)</w:t>
            </w:r>
          </w:p>
        </w:tc>
      </w:tr>
    </w:tbl>
    <w:p w:rsidR="00DD3B6D" w:rsidRPr="00FB6015" w:rsidRDefault="00DD3B6D" w:rsidP="00DD3B6D"/>
    <w:p w:rsidR="00DD3B6D" w:rsidRPr="00FB6015" w:rsidRDefault="00DD3B6D" w:rsidP="00DD3B6D">
      <w:pPr>
        <w:spacing w:after="120"/>
      </w:pPr>
      <w:r w:rsidRPr="00FB6015">
        <w:t xml:space="preserve">The initial EM&amp;V Plan for all FirstEnergy companies, submitted on September 19, 2013, detailed proposed evaluation objectives and activities for nine programs across two sectors. Key evaluation issues, impact evaluation details, process evaluation details, sampling plans, and key contacts were presented for each of the nine programs. After reviewing the plan, the SWE Team returned 34 comments on October 15, 2013. Many of the SWE Team’s comments demonstrated the SWE Team’s agreement with details of the </w:t>
      </w:r>
      <w:r w:rsidRPr="00126D81">
        <w:t>FirstEnergy EDCs’</w:t>
      </w:r>
      <w:r w:rsidRPr="00FB6015">
        <w:t xml:space="preserve"> plan. Most of the remaining comments concerned report formatting and minor clarifications that did not propose changes to the plan; substantive recommendations for revisions to the plan arose in only two areas:</w:t>
      </w:r>
    </w:p>
    <w:p w:rsidR="00DD3B6D" w:rsidRPr="008A5E9E" w:rsidRDefault="00DD3B6D" w:rsidP="00E646C9">
      <w:pPr>
        <w:numPr>
          <w:ilvl w:val="0"/>
          <w:numId w:val="80"/>
        </w:numPr>
        <w:spacing w:after="120"/>
        <w:ind w:left="360"/>
        <w:rPr>
          <w:color w:val="000000"/>
          <w:szCs w:val="20"/>
        </w:rPr>
      </w:pPr>
      <w:r w:rsidRPr="008A5E9E">
        <w:rPr>
          <w:color w:val="000000"/>
          <w:szCs w:val="20"/>
        </w:rPr>
        <w:t>Frequency of EDC data gathering in partially deemed measures</w:t>
      </w:r>
    </w:p>
    <w:p w:rsidR="00DD3B6D" w:rsidRPr="008A5E9E" w:rsidRDefault="00DD3B6D" w:rsidP="00E646C9">
      <w:pPr>
        <w:numPr>
          <w:ilvl w:val="0"/>
          <w:numId w:val="80"/>
        </w:numPr>
        <w:ind w:left="360"/>
        <w:rPr>
          <w:color w:val="000000"/>
          <w:szCs w:val="20"/>
        </w:rPr>
      </w:pPr>
      <w:r w:rsidRPr="008A5E9E">
        <w:rPr>
          <w:color w:val="000000"/>
          <w:szCs w:val="20"/>
        </w:rPr>
        <w:t>Definition of high-impact measures in C/I programs</w:t>
      </w:r>
    </w:p>
    <w:p w:rsidR="00DD3B6D" w:rsidRPr="008A5E9E" w:rsidRDefault="00DD3B6D" w:rsidP="00DD3B6D">
      <w:pPr>
        <w:rPr>
          <w:color w:val="000000"/>
        </w:rPr>
      </w:pPr>
    </w:p>
    <w:p w:rsidR="00DD3B6D" w:rsidRPr="00FB6015" w:rsidRDefault="00DD3B6D" w:rsidP="00DD3B6D">
      <w:r w:rsidRPr="008A5E9E">
        <w:rPr>
          <w:color w:val="000000"/>
        </w:rPr>
        <w:t xml:space="preserve">FirstEnergy EDCs provided revisions to the plan on February 19, 2014, and the SWE Team approved the revised version as the final Phase II EM&amp;V Plan. The SWE Team’s review of the evaluation activities revealed that the plan was followed appropriately for all PY6 </w:t>
      </w:r>
      <w:r>
        <w:rPr>
          <w:color w:val="000000"/>
        </w:rPr>
        <w:t xml:space="preserve">and PY 7 </w:t>
      </w:r>
      <w:r w:rsidRPr="008A5E9E">
        <w:rPr>
          <w:color w:val="000000"/>
        </w:rPr>
        <w:t>EM&amp;V activities.</w:t>
      </w:r>
    </w:p>
    <w:p w:rsidR="00496A99" w:rsidRPr="009847AC" w:rsidRDefault="00496A99" w:rsidP="009847AC"/>
    <w:p w:rsidR="00950837" w:rsidRDefault="00950837" w:rsidP="009C0DF1">
      <w:pPr>
        <w:pStyle w:val="AppendixAHeading3"/>
      </w:pPr>
      <w:r>
        <w:t>Measurement and Verification Activities and Findings</w:t>
      </w:r>
    </w:p>
    <w:p w:rsidR="00D36180" w:rsidRPr="00EE3A4B" w:rsidRDefault="00D36180" w:rsidP="00D36180">
      <w:r w:rsidRPr="00EE3A4B">
        <w:t xml:space="preserve">Realization rates compare gross savings reported by the EDC </w:t>
      </w:r>
      <w:r w:rsidR="009D6AA9">
        <w:t>with</w:t>
      </w:r>
      <w:r w:rsidRPr="00EE3A4B">
        <w:t xml:space="preserve"> the verified gross savings determined by the EDC evaluation contractor through M&amp;V.</w:t>
      </w:r>
      <w:r>
        <w:t xml:space="preserve"> </w:t>
      </w:r>
      <w:r>
        <w:fldChar w:fldCharType="begin"/>
      </w:r>
      <w:r>
        <w:instrText xml:space="preserve"> REF _Ref472464412 \h </w:instrText>
      </w:r>
      <w:r>
        <w:fldChar w:fldCharType="separate"/>
      </w:r>
      <w:r w:rsidR="00037CB4">
        <w:t>Table A-</w:t>
      </w:r>
      <w:r w:rsidR="00037CB4">
        <w:rPr>
          <w:noProof/>
        </w:rPr>
        <w:t>74</w:t>
      </w:r>
      <w:r>
        <w:fldChar w:fldCharType="end"/>
      </w:r>
      <w:r w:rsidRPr="00EE3A4B">
        <w:t xml:space="preserve"> summarizes M&amp;V findings based on activities conducted by the </w:t>
      </w:r>
      <w:r w:rsidR="003469C3">
        <w:t>Penn Power</w:t>
      </w:r>
      <w:r w:rsidRPr="00EE3A4B">
        <w:t xml:space="preserve"> evaluation contractor. The summary is based on details provided in </w:t>
      </w:r>
      <w:r w:rsidR="003469C3">
        <w:t>Penn Power</w:t>
      </w:r>
      <w:r>
        <w:t>’s</w:t>
      </w:r>
      <w:r w:rsidRPr="00EE3A4B">
        <w:t xml:space="preserve"> PY6 annual report and on information obtained from the SWE Team’s data requests and audits. </w:t>
      </w:r>
      <w:r>
        <w:fldChar w:fldCharType="begin"/>
      </w:r>
      <w:r>
        <w:instrText xml:space="preserve"> REF _Ref472464412 \h </w:instrText>
      </w:r>
      <w:r>
        <w:fldChar w:fldCharType="separate"/>
      </w:r>
      <w:r w:rsidR="00037CB4">
        <w:t>Table A-</w:t>
      </w:r>
      <w:r w:rsidR="00037CB4">
        <w:rPr>
          <w:noProof/>
        </w:rPr>
        <w:t>74</w:t>
      </w:r>
      <w:r>
        <w:fldChar w:fldCharType="end"/>
      </w:r>
      <w:r>
        <w:t xml:space="preserve"> </w:t>
      </w:r>
      <w:r w:rsidRPr="00EE3A4B">
        <w:t xml:space="preserve">presents realization rates and relative precision values for verified energy and demand savings for each of </w:t>
      </w:r>
      <w:r w:rsidR="003469C3">
        <w:t>Penn Power</w:t>
      </w:r>
      <w:r w:rsidRPr="00EE3A4B">
        <w:t>’s residential and non-residential energy efficiency programs in PY</w:t>
      </w:r>
      <w:r>
        <w:t>7</w:t>
      </w:r>
      <w:r w:rsidRPr="00EE3A4B">
        <w:t xml:space="preserve">. </w:t>
      </w:r>
    </w:p>
    <w:p w:rsidR="00D36180" w:rsidRPr="00EE3A4B" w:rsidRDefault="00D36180" w:rsidP="00D36180">
      <w:pPr>
        <w:rPr>
          <w:highlight w:val="lightGray"/>
        </w:rPr>
      </w:pPr>
    </w:p>
    <w:p w:rsidR="00D36180" w:rsidRPr="00EE3A4B" w:rsidRDefault="00D36180" w:rsidP="004837FA">
      <w:pPr>
        <w:pStyle w:val="Caption"/>
      </w:pPr>
      <w:bookmarkStart w:id="910" w:name="_Ref472464412"/>
      <w:bookmarkStart w:id="911" w:name="_Toc472472483"/>
      <w:bookmarkStart w:id="912" w:name="_Toc488741902"/>
      <w:r>
        <w:t>Table A-</w:t>
      </w:r>
      <w:r w:rsidR="007973A4">
        <w:fldChar w:fldCharType="begin"/>
      </w:r>
      <w:r w:rsidR="007973A4">
        <w:instrText xml:space="preserve"> SEQ Table_A- \* ARABIC </w:instrText>
      </w:r>
      <w:r w:rsidR="007973A4">
        <w:fldChar w:fldCharType="separate"/>
      </w:r>
      <w:r w:rsidR="00037CB4">
        <w:rPr>
          <w:noProof/>
        </w:rPr>
        <w:t>74</w:t>
      </w:r>
      <w:r w:rsidR="007973A4">
        <w:rPr>
          <w:noProof/>
        </w:rPr>
        <w:fldChar w:fldCharType="end"/>
      </w:r>
      <w:bookmarkEnd w:id="910"/>
      <w:r>
        <w:t>: Pen</w:t>
      </w:r>
      <w:r w:rsidR="003469C3">
        <w:t>n Power</w:t>
      </w:r>
      <w:r w:rsidRPr="00EE3A4B">
        <w:t xml:space="preserve"> Energy Efficiency Programs – Realization Rates for Energy and Demand Savings in PY</w:t>
      </w:r>
      <w:r>
        <w:t>7</w:t>
      </w:r>
      <w:bookmarkEnd w:id="911"/>
      <w:bookmarkEnd w:id="912"/>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72"/>
        <w:gridCol w:w="1547"/>
        <w:gridCol w:w="1547"/>
        <w:gridCol w:w="1547"/>
        <w:gridCol w:w="1547"/>
      </w:tblGrid>
      <w:tr w:rsidR="00A874AC" w:rsidRPr="00116463" w:rsidTr="00116463">
        <w:trPr>
          <w:trHeight w:val="432"/>
          <w:tblHeader/>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448A99"/>
            <w:noWrap/>
            <w:vAlign w:val="bottom"/>
            <w:hideMark/>
          </w:tcPr>
          <w:p w:rsidR="00D36180" w:rsidRPr="00116463" w:rsidRDefault="00D36180" w:rsidP="00380FF9">
            <w:pPr>
              <w:rPr>
                <w:rFonts w:eastAsia="Calibri"/>
                <w:b/>
                <w:color w:val="FFFFFF"/>
                <w:sz w:val="19"/>
                <w:szCs w:val="19"/>
              </w:rPr>
            </w:pPr>
            <w:r w:rsidRPr="00116463">
              <w:rPr>
                <w:rFonts w:eastAsia="Calibri"/>
                <w:b/>
                <w:color w:val="FFFFFF"/>
                <w:sz w:val="19"/>
                <w:szCs w:val="19"/>
              </w:rPr>
              <w:t>Program</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D36180" w:rsidRPr="00116463" w:rsidRDefault="00D36180" w:rsidP="00380FF9">
            <w:pPr>
              <w:jc w:val="center"/>
              <w:rPr>
                <w:rFonts w:eastAsia="Calibri"/>
                <w:b/>
                <w:color w:val="FFFFFF"/>
                <w:sz w:val="19"/>
                <w:szCs w:val="19"/>
              </w:rPr>
            </w:pPr>
            <w:r w:rsidRPr="00116463">
              <w:rPr>
                <w:rFonts w:eastAsia="Calibri"/>
                <w:b/>
                <w:color w:val="FFFFFF"/>
                <w:sz w:val="19"/>
                <w:szCs w:val="19"/>
              </w:rPr>
              <w:t>Energy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D36180" w:rsidRPr="00116463" w:rsidRDefault="00D36180" w:rsidP="00380FF9">
            <w:pPr>
              <w:jc w:val="center"/>
              <w:rPr>
                <w:rFonts w:eastAsia="Calibri"/>
                <w:b/>
                <w:color w:val="FFFFFF"/>
                <w:sz w:val="19"/>
                <w:szCs w:val="19"/>
              </w:rPr>
            </w:pPr>
            <w:r w:rsidRPr="00116463">
              <w:rPr>
                <w:rFonts w:eastAsia="Calibri"/>
                <w:b/>
                <w:color w:val="FFFFFF"/>
                <w:sz w:val="19"/>
                <w:szCs w:val="19"/>
              </w:rPr>
              <w:t>Relative Precision (Energy)</w:t>
            </w:r>
            <w:r w:rsidRPr="00116463">
              <w:rPr>
                <w:rFonts w:eastAsia="Calibri"/>
                <w:b/>
                <w:color w:val="FFFFFF"/>
                <w:sz w:val="19"/>
                <w:szCs w:val="19"/>
                <w:vertAlign w:val="superscript"/>
              </w:rPr>
              <w:t>[a]</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D36180" w:rsidRPr="00116463" w:rsidRDefault="00D36180" w:rsidP="00380FF9">
            <w:pPr>
              <w:jc w:val="center"/>
              <w:rPr>
                <w:rFonts w:eastAsia="Calibri"/>
                <w:b/>
                <w:color w:val="FFFFFF"/>
                <w:sz w:val="19"/>
                <w:szCs w:val="19"/>
              </w:rPr>
            </w:pPr>
            <w:r w:rsidRPr="00116463">
              <w:rPr>
                <w:rFonts w:eastAsia="Calibri"/>
                <w:b/>
                <w:color w:val="FFFFFF"/>
                <w:sz w:val="19"/>
                <w:szCs w:val="19"/>
              </w:rPr>
              <w:t>Demand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D36180" w:rsidRPr="00116463" w:rsidRDefault="00D36180" w:rsidP="00380FF9">
            <w:pPr>
              <w:jc w:val="center"/>
              <w:rPr>
                <w:rFonts w:eastAsia="Calibri"/>
                <w:b/>
                <w:color w:val="FFFFFF"/>
                <w:sz w:val="19"/>
                <w:szCs w:val="19"/>
              </w:rPr>
            </w:pPr>
            <w:r w:rsidRPr="00116463">
              <w:rPr>
                <w:rFonts w:eastAsia="Calibri"/>
                <w:b/>
                <w:color w:val="FFFFFF"/>
                <w:sz w:val="19"/>
                <w:szCs w:val="19"/>
              </w:rPr>
              <w:t>Relative Precision (Demand)</w:t>
            </w:r>
            <w:r w:rsidRPr="00116463">
              <w:rPr>
                <w:rFonts w:eastAsia="Calibri"/>
                <w:b/>
                <w:color w:val="FFFFFF"/>
                <w:sz w:val="19"/>
                <w:szCs w:val="19"/>
                <w:vertAlign w:val="superscript"/>
              </w:rPr>
              <w:t>[a]</w:t>
            </w:r>
          </w:p>
        </w:tc>
      </w:tr>
      <w:tr w:rsidR="00A874AC" w:rsidRPr="00116463"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D36180" w:rsidP="00380FF9">
            <w:pPr>
              <w:jc w:val="left"/>
              <w:rPr>
                <w:rFonts w:eastAsia="Calibri"/>
                <w:sz w:val="19"/>
                <w:szCs w:val="19"/>
              </w:rPr>
            </w:pPr>
            <w:r w:rsidRPr="00116463">
              <w:rPr>
                <w:rFonts w:eastAsia="Calibri"/>
                <w:sz w:val="19"/>
                <w:szCs w:val="19"/>
              </w:rPr>
              <w:t>Appliance Turn-In</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92.0</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7.9</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92.6</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B3573A">
            <w:pPr>
              <w:jc w:val="center"/>
              <w:rPr>
                <w:rFonts w:eastAsia="Calibri"/>
                <w:sz w:val="19"/>
                <w:szCs w:val="19"/>
              </w:rPr>
            </w:pPr>
            <w:r w:rsidRPr="00116463">
              <w:rPr>
                <w:rFonts w:eastAsia="Calibri"/>
                <w:sz w:val="19"/>
                <w:szCs w:val="19"/>
              </w:rPr>
              <w:t>9.3</w:t>
            </w:r>
            <w:r w:rsidR="00D36180" w:rsidRPr="00116463">
              <w:rPr>
                <w:rFonts w:eastAsia="Calibri"/>
                <w:sz w:val="19"/>
                <w:szCs w:val="19"/>
              </w:rPr>
              <w:t>%</w:t>
            </w:r>
          </w:p>
        </w:tc>
      </w:tr>
      <w:tr w:rsidR="00E7173E" w:rsidRPr="00116463" w:rsidTr="00AB3C36">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D36180" w:rsidP="00380FF9">
            <w:pPr>
              <w:jc w:val="left"/>
              <w:rPr>
                <w:rFonts w:eastAsia="Calibri"/>
                <w:sz w:val="19"/>
                <w:szCs w:val="19"/>
              </w:rPr>
            </w:pPr>
            <w:r w:rsidRPr="00116463">
              <w:rPr>
                <w:rFonts w:eastAsia="Calibri"/>
                <w:sz w:val="19"/>
                <w:szCs w:val="19"/>
              </w:rPr>
              <w:t>Efficient Products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B3573A" w:rsidP="00380FF9">
            <w:pPr>
              <w:jc w:val="center"/>
              <w:rPr>
                <w:rFonts w:eastAsia="Calibri"/>
                <w:sz w:val="19"/>
                <w:szCs w:val="19"/>
              </w:rPr>
            </w:pPr>
            <w:r w:rsidRPr="00116463">
              <w:rPr>
                <w:rFonts w:eastAsia="Calibri"/>
                <w:sz w:val="19"/>
                <w:szCs w:val="19"/>
              </w:rPr>
              <w:t>128.6</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B3573A" w:rsidP="00380FF9">
            <w:pPr>
              <w:jc w:val="center"/>
              <w:rPr>
                <w:rFonts w:eastAsia="Calibri"/>
                <w:sz w:val="19"/>
                <w:szCs w:val="19"/>
              </w:rPr>
            </w:pPr>
            <w:r w:rsidRPr="00116463">
              <w:rPr>
                <w:rFonts w:eastAsia="Calibri"/>
                <w:sz w:val="19"/>
                <w:szCs w:val="19"/>
              </w:rPr>
              <w:t>5.6</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B3573A" w:rsidP="00380FF9">
            <w:pPr>
              <w:jc w:val="center"/>
              <w:rPr>
                <w:rFonts w:eastAsia="Calibri"/>
                <w:sz w:val="19"/>
                <w:szCs w:val="19"/>
              </w:rPr>
            </w:pPr>
            <w:r w:rsidRPr="00116463">
              <w:rPr>
                <w:rFonts w:eastAsia="Calibri"/>
                <w:sz w:val="19"/>
                <w:szCs w:val="19"/>
              </w:rPr>
              <w:t>163.3</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B3573A" w:rsidP="00B3573A">
            <w:pPr>
              <w:jc w:val="center"/>
              <w:rPr>
                <w:rFonts w:eastAsia="Calibri"/>
                <w:sz w:val="19"/>
                <w:szCs w:val="19"/>
              </w:rPr>
            </w:pPr>
            <w:r w:rsidRPr="00116463">
              <w:rPr>
                <w:rFonts w:eastAsia="Calibri"/>
                <w:sz w:val="19"/>
                <w:szCs w:val="19"/>
              </w:rPr>
              <w:t>14.2</w:t>
            </w:r>
            <w:r w:rsidR="00D36180" w:rsidRPr="00116463">
              <w:rPr>
                <w:rFonts w:eastAsia="Calibri"/>
                <w:sz w:val="19"/>
                <w:szCs w:val="19"/>
              </w:rPr>
              <w:t>%</w:t>
            </w:r>
          </w:p>
        </w:tc>
      </w:tr>
      <w:tr w:rsidR="00A874AC" w:rsidRPr="00116463"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D36180" w:rsidP="00380FF9">
            <w:pPr>
              <w:jc w:val="left"/>
              <w:rPr>
                <w:rFonts w:eastAsia="Calibri"/>
                <w:sz w:val="19"/>
                <w:szCs w:val="19"/>
              </w:rPr>
            </w:pPr>
            <w:r w:rsidRPr="00116463">
              <w:rPr>
                <w:rFonts w:eastAsia="Calibri"/>
                <w:sz w:val="19"/>
                <w:szCs w:val="19"/>
              </w:rPr>
              <w:t>Home Performance</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D36180" w:rsidP="00B3573A">
            <w:pPr>
              <w:jc w:val="center"/>
              <w:rPr>
                <w:rFonts w:eastAsia="Calibri"/>
                <w:sz w:val="19"/>
                <w:szCs w:val="19"/>
              </w:rPr>
            </w:pPr>
            <w:r w:rsidRPr="00116463">
              <w:rPr>
                <w:rFonts w:eastAsia="Calibri"/>
                <w:sz w:val="19"/>
                <w:szCs w:val="19"/>
              </w:rPr>
              <w:t>9</w:t>
            </w:r>
            <w:r w:rsidR="00B3573A" w:rsidRPr="00116463">
              <w:rPr>
                <w:rFonts w:eastAsia="Calibri"/>
                <w:sz w:val="19"/>
                <w:szCs w:val="19"/>
              </w:rPr>
              <w:t>2.3</w:t>
            </w:r>
            <w:r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5.5</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B3573A">
            <w:pPr>
              <w:jc w:val="center"/>
              <w:rPr>
                <w:rFonts w:eastAsia="Calibri"/>
                <w:sz w:val="19"/>
                <w:szCs w:val="19"/>
              </w:rPr>
            </w:pPr>
            <w:r w:rsidRPr="00116463">
              <w:rPr>
                <w:rFonts w:eastAsia="Calibri"/>
                <w:sz w:val="19"/>
                <w:szCs w:val="19"/>
              </w:rPr>
              <w:t>83.1</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6.6</w:t>
            </w:r>
            <w:r w:rsidR="00D36180" w:rsidRPr="00116463">
              <w:rPr>
                <w:rFonts w:eastAsia="Calibri"/>
                <w:sz w:val="19"/>
                <w:szCs w:val="19"/>
              </w:rPr>
              <w:t>%</w:t>
            </w:r>
          </w:p>
        </w:tc>
      </w:tr>
      <w:tr w:rsidR="00E7173E" w:rsidRPr="00116463" w:rsidTr="00AB3C36">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D36180" w:rsidP="00380FF9">
            <w:pPr>
              <w:jc w:val="left"/>
              <w:rPr>
                <w:rFonts w:eastAsia="Calibri"/>
                <w:sz w:val="19"/>
                <w:szCs w:val="19"/>
              </w:rPr>
            </w:pPr>
            <w:r w:rsidRPr="00116463">
              <w:rPr>
                <w:rFonts w:eastAsia="Calibri"/>
                <w:sz w:val="19"/>
                <w:szCs w:val="19"/>
              </w:rPr>
              <w:t>Low-Income</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B3573A" w:rsidP="00380FF9">
            <w:pPr>
              <w:jc w:val="center"/>
              <w:rPr>
                <w:rFonts w:eastAsia="Calibri"/>
                <w:sz w:val="19"/>
                <w:szCs w:val="19"/>
              </w:rPr>
            </w:pPr>
            <w:r w:rsidRPr="00116463">
              <w:rPr>
                <w:rFonts w:eastAsia="Calibri"/>
                <w:sz w:val="19"/>
                <w:szCs w:val="19"/>
              </w:rPr>
              <w:t>114.5</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B3573A" w:rsidP="00380FF9">
            <w:pPr>
              <w:jc w:val="center"/>
              <w:rPr>
                <w:rFonts w:eastAsia="Calibri"/>
                <w:sz w:val="19"/>
                <w:szCs w:val="19"/>
              </w:rPr>
            </w:pPr>
            <w:r w:rsidRPr="00116463">
              <w:rPr>
                <w:rFonts w:eastAsia="Calibri"/>
                <w:sz w:val="19"/>
                <w:szCs w:val="19"/>
              </w:rPr>
              <w:t>9.9</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B3573A" w:rsidP="00B3573A">
            <w:pPr>
              <w:jc w:val="center"/>
              <w:rPr>
                <w:rFonts w:eastAsia="Calibri"/>
                <w:sz w:val="19"/>
                <w:szCs w:val="19"/>
              </w:rPr>
            </w:pPr>
            <w:r w:rsidRPr="00116463">
              <w:rPr>
                <w:rFonts w:eastAsia="Calibri"/>
                <w:sz w:val="19"/>
                <w:szCs w:val="19"/>
              </w:rPr>
              <w:t>121.4</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116463" w:rsidRDefault="00B3573A" w:rsidP="00380FF9">
            <w:pPr>
              <w:jc w:val="center"/>
              <w:rPr>
                <w:rFonts w:eastAsia="Calibri"/>
                <w:sz w:val="19"/>
                <w:szCs w:val="19"/>
              </w:rPr>
            </w:pPr>
            <w:r w:rsidRPr="00116463">
              <w:rPr>
                <w:rFonts w:eastAsia="Calibri"/>
                <w:sz w:val="19"/>
                <w:szCs w:val="19"/>
              </w:rPr>
              <w:t>9.9</w:t>
            </w:r>
            <w:r w:rsidR="00D36180" w:rsidRPr="00116463">
              <w:rPr>
                <w:rFonts w:eastAsia="Calibri"/>
                <w:sz w:val="19"/>
                <w:szCs w:val="19"/>
              </w:rPr>
              <w:t>%</w:t>
            </w:r>
          </w:p>
        </w:tc>
      </w:tr>
      <w:tr w:rsidR="00A874AC" w:rsidRPr="00116463"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D36180" w:rsidP="00380FF9">
            <w:pPr>
              <w:jc w:val="left"/>
              <w:rPr>
                <w:rFonts w:eastAsia="Calibri"/>
                <w:sz w:val="19"/>
                <w:szCs w:val="19"/>
              </w:rPr>
            </w:pPr>
            <w:r w:rsidRPr="00116463">
              <w:rPr>
                <w:rFonts w:eastAsia="Calibri"/>
                <w:sz w:val="19"/>
                <w:szCs w:val="19"/>
              </w:rPr>
              <w:t>Small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91.8</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13.3</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B3573A">
            <w:pPr>
              <w:jc w:val="center"/>
              <w:rPr>
                <w:rFonts w:eastAsia="Calibri"/>
                <w:sz w:val="19"/>
                <w:szCs w:val="19"/>
              </w:rPr>
            </w:pPr>
            <w:r w:rsidRPr="00116463">
              <w:rPr>
                <w:rFonts w:eastAsia="Calibri"/>
                <w:sz w:val="19"/>
                <w:szCs w:val="19"/>
              </w:rPr>
              <w:t>100.5</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14.4</w:t>
            </w:r>
            <w:r w:rsidR="00D36180" w:rsidRPr="00116463">
              <w:rPr>
                <w:rFonts w:eastAsia="Calibri"/>
                <w:sz w:val="19"/>
                <w:szCs w:val="19"/>
              </w:rPr>
              <w:t>%</w:t>
            </w:r>
          </w:p>
        </w:tc>
      </w:tr>
      <w:tr w:rsidR="00A874AC" w:rsidRPr="00116463"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D36180" w:rsidP="00380FF9">
            <w:pPr>
              <w:jc w:val="left"/>
              <w:rPr>
                <w:rFonts w:eastAsia="Calibri"/>
                <w:sz w:val="19"/>
                <w:szCs w:val="19"/>
              </w:rPr>
            </w:pPr>
            <w:r w:rsidRPr="00116463">
              <w:rPr>
                <w:rFonts w:eastAsia="Calibri"/>
                <w:sz w:val="19"/>
                <w:szCs w:val="19"/>
              </w:rPr>
              <w:t>Small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D36180" w:rsidP="00B3573A">
            <w:pPr>
              <w:jc w:val="center"/>
              <w:rPr>
                <w:rFonts w:eastAsia="Calibri"/>
                <w:sz w:val="19"/>
                <w:szCs w:val="19"/>
              </w:rPr>
            </w:pPr>
            <w:r w:rsidRPr="00116463">
              <w:rPr>
                <w:rFonts w:eastAsia="Calibri"/>
                <w:sz w:val="19"/>
                <w:szCs w:val="19"/>
              </w:rPr>
              <w:t>99.</w:t>
            </w:r>
            <w:r w:rsidR="00B3573A" w:rsidRPr="00116463">
              <w:rPr>
                <w:rFonts w:eastAsia="Calibri"/>
                <w:sz w:val="19"/>
                <w:szCs w:val="19"/>
              </w:rPr>
              <w:t>2</w:t>
            </w:r>
            <w:r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B3573A" w:rsidP="00380FF9">
            <w:pPr>
              <w:jc w:val="center"/>
              <w:rPr>
                <w:rFonts w:eastAsia="Calibri"/>
                <w:sz w:val="19"/>
                <w:szCs w:val="19"/>
              </w:rPr>
            </w:pPr>
            <w:r w:rsidRPr="00116463">
              <w:rPr>
                <w:rFonts w:eastAsia="Calibri"/>
                <w:sz w:val="19"/>
                <w:szCs w:val="19"/>
              </w:rPr>
              <w:t>11.2</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B3573A" w:rsidP="00380FF9">
            <w:pPr>
              <w:jc w:val="center"/>
              <w:rPr>
                <w:rFonts w:eastAsia="Calibri"/>
                <w:sz w:val="19"/>
                <w:szCs w:val="19"/>
              </w:rPr>
            </w:pPr>
            <w:r w:rsidRPr="00116463">
              <w:rPr>
                <w:rFonts w:eastAsia="Calibri"/>
                <w:sz w:val="19"/>
                <w:szCs w:val="19"/>
              </w:rPr>
              <w:t>101.3</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B3573A" w:rsidP="00380FF9">
            <w:pPr>
              <w:jc w:val="center"/>
              <w:rPr>
                <w:rFonts w:eastAsia="Calibri"/>
                <w:sz w:val="19"/>
                <w:szCs w:val="19"/>
              </w:rPr>
            </w:pPr>
            <w:r w:rsidRPr="00116463">
              <w:rPr>
                <w:rFonts w:eastAsia="Calibri"/>
                <w:sz w:val="19"/>
                <w:szCs w:val="19"/>
              </w:rPr>
              <w:t>9.4</w:t>
            </w:r>
            <w:r w:rsidR="00D36180" w:rsidRPr="00116463">
              <w:rPr>
                <w:rFonts w:eastAsia="Calibri"/>
                <w:sz w:val="19"/>
                <w:szCs w:val="19"/>
              </w:rPr>
              <w:t>%</w:t>
            </w:r>
          </w:p>
        </w:tc>
      </w:tr>
      <w:tr w:rsidR="00A874AC" w:rsidRPr="00116463"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D36180" w:rsidP="00380FF9">
            <w:pPr>
              <w:jc w:val="left"/>
              <w:rPr>
                <w:rFonts w:eastAsia="Calibri"/>
                <w:sz w:val="19"/>
                <w:szCs w:val="19"/>
              </w:rPr>
            </w:pPr>
            <w:r w:rsidRPr="00116463">
              <w:rPr>
                <w:rFonts w:eastAsia="Calibri"/>
                <w:sz w:val="19"/>
                <w:szCs w:val="19"/>
              </w:rPr>
              <w:t>Large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B3573A">
            <w:pPr>
              <w:jc w:val="center"/>
              <w:rPr>
                <w:rFonts w:eastAsia="Calibri"/>
                <w:sz w:val="19"/>
                <w:szCs w:val="19"/>
              </w:rPr>
            </w:pPr>
            <w:r w:rsidRPr="00116463">
              <w:rPr>
                <w:rFonts w:eastAsia="Calibri"/>
                <w:sz w:val="19"/>
                <w:szCs w:val="19"/>
              </w:rPr>
              <w:t>91.9</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11.9</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111.0</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D36180" w:rsidP="00B3573A">
            <w:pPr>
              <w:jc w:val="center"/>
              <w:rPr>
                <w:rFonts w:eastAsia="Calibri"/>
                <w:sz w:val="19"/>
                <w:szCs w:val="19"/>
              </w:rPr>
            </w:pPr>
            <w:r w:rsidRPr="00116463">
              <w:rPr>
                <w:rFonts w:eastAsia="Calibri"/>
                <w:sz w:val="19"/>
                <w:szCs w:val="19"/>
              </w:rPr>
              <w:t>12.</w:t>
            </w:r>
            <w:r w:rsidR="00B3573A" w:rsidRPr="00116463">
              <w:rPr>
                <w:rFonts w:eastAsia="Calibri"/>
                <w:sz w:val="19"/>
                <w:szCs w:val="19"/>
              </w:rPr>
              <w:t>4</w:t>
            </w:r>
            <w:r w:rsidRPr="00116463">
              <w:rPr>
                <w:rFonts w:eastAsia="Calibri"/>
                <w:sz w:val="19"/>
                <w:szCs w:val="19"/>
              </w:rPr>
              <w:t>%</w:t>
            </w:r>
          </w:p>
        </w:tc>
      </w:tr>
      <w:tr w:rsidR="00A874AC" w:rsidRPr="00116463"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D36180" w:rsidP="00380FF9">
            <w:pPr>
              <w:jc w:val="left"/>
              <w:rPr>
                <w:rFonts w:eastAsia="Calibri"/>
                <w:sz w:val="19"/>
                <w:szCs w:val="19"/>
              </w:rPr>
            </w:pPr>
            <w:r w:rsidRPr="00116463">
              <w:rPr>
                <w:rFonts w:eastAsia="Calibri"/>
                <w:sz w:val="19"/>
                <w:szCs w:val="19"/>
              </w:rPr>
              <w:t>Large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B3573A" w:rsidP="00B3573A">
            <w:pPr>
              <w:jc w:val="center"/>
              <w:rPr>
                <w:rFonts w:eastAsia="Calibri"/>
                <w:sz w:val="19"/>
                <w:szCs w:val="19"/>
              </w:rPr>
            </w:pPr>
            <w:r w:rsidRPr="00116463">
              <w:rPr>
                <w:rFonts w:eastAsia="Calibri"/>
                <w:sz w:val="19"/>
                <w:szCs w:val="19"/>
              </w:rPr>
              <w:t>100.0</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B3573A" w:rsidP="00380FF9">
            <w:pPr>
              <w:jc w:val="center"/>
              <w:rPr>
                <w:rFonts w:eastAsia="Calibri"/>
                <w:sz w:val="19"/>
                <w:szCs w:val="19"/>
              </w:rPr>
            </w:pPr>
            <w:r w:rsidRPr="00116463">
              <w:rPr>
                <w:rFonts w:eastAsia="Calibri"/>
                <w:sz w:val="19"/>
                <w:szCs w:val="19"/>
              </w:rPr>
              <w:t>2.2</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B3573A" w:rsidP="00380FF9">
            <w:pPr>
              <w:jc w:val="center"/>
              <w:rPr>
                <w:rFonts w:eastAsia="Calibri"/>
                <w:sz w:val="19"/>
                <w:szCs w:val="19"/>
              </w:rPr>
            </w:pPr>
            <w:r w:rsidRPr="00116463">
              <w:rPr>
                <w:rFonts w:eastAsia="Calibri"/>
                <w:sz w:val="19"/>
                <w:szCs w:val="19"/>
              </w:rPr>
              <w:t>100.0</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116463" w:rsidRDefault="00B3573A" w:rsidP="00B3573A">
            <w:pPr>
              <w:jc w:val="center"/>
              <w:rPr>
                <w:rFonts w:eastAsia="Calibri"/>
                <w:sz w:val="19"/>
                <w:szCs w:val="19"/>
              </w:rPr>
            </w:pPr>
            <w:r w:rsidRPr="00116463">
              <w:rPr>
                <w:rFonts w:eastAsia="Calibri"/>
                <w:sz w:val="19"/>
                <w:szCs w:val="19"/>
              </w:rPr>
              <w:t>0.0</w:t>
            </w:r>
            <w:r w:rsidR="00D36180" w:rsidRPr="00116463">
              <w:rPr>
                <w:rFonts w:eastAsia="Calibri"/>
                <w:sz w:val="19"/>
                <w:szCs w:val="19"/>
              </w:rPr>
              <w:t>%</w:t>
            </w:r>
          </w:p>
        </w:tc>
      </w:tr>
      <w:tr w:rsidR="00A874AC" w:rsidRPr="00116463"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D36180" w:rsidP="00380FF9">
            <w:pPr>
              <w:jc w:val="left"/>
              <w:rPr>
                <w:rFonts w:eastAsia="Calibri"/>
                <w:sz w:val="19"/>
                <w:szCs w:val="19"/>
              </w:rPr>
            </w:pPr>
            <w:r w:rsidRPr="00116463">
              <w:rPr>
                <w:rFonts w:eastAsia="Calibri"/>
                <w:sz w:val="19"/>
                <w:szCs w:val="19"/>
              </w:rPr>
              <w:t>Government/Institutional</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D36180" w:rsidP="00B3573A">
            <w:pPr>
              <w:jc w:val="center"/>
              <w:rPr>
                <w:rFonts w:eastAsia="Calibri"/>
                <w:sz w:val="19"/>
                <w:szCs w:val="19"/>
              </w:rPr>
            </w:pPr>
            <w:r w:rsidRPr="00116463">
              <w:rPr>
                <w:rFonts w:eastAsia="Calibri"/>
                <w:sz w:val="19"/>
                <w:szCs w:val="19"/>
              </w:rPr>
              <w:t>9</w:t>
            </w:r>
            <w:r w:rsidR="00B3573A" w:rsidRPr="00116463">
              <w:rPr>
                <w:rFonts w:eastAsia="Calibri"/>
                <w:sz w:val="19"/>
                <w:szCs w:val="19"/>
              </w:rPr>
              <w:t>5.8</w:t>
            </w:r>
            <w:r w:rsidRPr="00116463">
              <w:rPr>
                <w:rFonts w:eastAsia="Calibri"/>
                <w:sz w:val="19"/>
                <w:szCs w:val="19"/>
              </w:rPr>
              <w:t>2%</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13.7</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0.0</w:t>
            </w:r>
            <w:r w:rsidR="00D36180" w:rsidRPr="00116463">
              <w:rPr>
                <w:rFonts w:eastAsia="Calibri"/>
                <w:sz w:val="19"/>
                <w:szCs w:val="19"/>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116463" w:rsidRDefault="00B3573A" w:rsidP="00380FF9">
            <w:pPr>
              <w:jc w:val="center"/>
              <w:rPr>
                <w:rFonts w:eastAsia="Calibri"/>
                <w:sz w:val="19"/>
                <w:szCs w:val="19"/>
              </w:rPr>
            </w:pPr>
            <w:r w:rsidRPr="00116463">
              <w:rPr>
                <w:rFonts w:eastAsia="Calibri"/>
                <w:sz w:val="19"/>
                <w:szCs w:val="19"/>
              </w:rPr>
              <w:t>0.0</w:t>
            </w:r>
            <w:r w:rsidR="00D36180" w:rsidRPr="00116463">
              <w:rPr>
                <w:rFonts w:eastAsia="Calibri"/>
                <w:sz w:val="19"/>
                <w:szCs w:val="19"/>
              </w:rPr>
              <w:t>%</w:t>
            </w:r>
          </w:p>
        </w:tc>
      </w:tr>
      <w:tr w:rsidR="00E7173E" w:rsidRPr="009A6DD4" w:rsidTr="00AB3C36">
        <w:trPr>
          <w:trHeight w:val="300"/>
          <w:jc w:val="center"/>
        </w:trPr>
        <w:tc>
          <w:tcPr>
            <w:tcW w:w="9360" w:type="dxa"/>
            <w:gridSpan w:val="5"/>
            <w:tcBorders>
              <w:top w:val="single" w:sz="4" w:space="0" w:color="448A99"/>
              <w:left w:val="single" w:sz="4" w:space="0" w:color="448A99"/>
              <w:bottom w:val="single" w:sz="4" w:space="0" w:color="448A99"/>
              <w:right w:val="single" w:sz="4" w:space="0" w:color="448A99"/>
            </w:tcBorders>
            <w:shd w:val="clear" w:color="auto" w:fill="448A99"/>
            <w:noWrap/>
            <w:vAlign w:val="center"/>
          </w:tcPr>
          <w:p w:rsidR="00D36180" w:rsidRPr="009A6DD4" w:rsidRDefault="009D6AA9" w:rsidP="00380FF9">
            <w:pPr>
              <w:rPr>
                <w:rFonts w:eastAsia="Calibri"/>
                <w:color w:val="FFFFFF"/>
                <w:sz w:val="18"/>
                <w:szCs w:val="19"/>
              </w:rPr>
            </w:pPr>
            <w:r w:rsidRPr="009A6DD4">
              <w:rPr>
                <w:rFonts w:eastAsia="Calibri"/>
                <w:color w:val="FFFFFF"/>
                <w:sz w:val="18"/>
                <w:szCs w:val="19"/>
              </w:rPr>
              <w:t>NOTE</w:t>
            </w:r>
            <w:r w:rsidR="00116463" w:rsidRPr="009A6DD4">
              <w:rPr>
                <w:rFonts w:eastAsia="Calibri"/>
                <w:color w:val="FFFFFF"/>
                <w:sz w:val="18"/>
                <w:szCs w:val="19"/>
              </w:rPr>
              <w:t>S</w:t>
            </w:r>
            <w:r w:rsidRPr="009A6DD4">
              <w:rPr>
                <w:rFonts w:eastAsia="Calibri"/>
                <w:color w:val="FFFFFF"/>
                <w:sz w:val="18"/>
                <w:szCs w:val="19"/>
              </w:rPr>
              <w:t>:</w:t>
            </w:r>
          </w:p>
          <w:p w:rsidR="00D36180" w:rsidRPr="009A6DD4" w:rsidRDefault="00D36180" w:rsidP="00380FF9">
            <w:pPr>
              <w:rPr>
                <w:rFonts w:eastAsia="Calibri"/>
                <w:b/>
                <w:color w:val="FFFFFF"/>
                <w:sz w:val="18"/>
                <w:szCs w:val="19"/>
              </w:rPr>
            </w:pPr>
            <w:r w:rsidRPr="009A6DD4">
              <w:rPr>
                <w:rFonts w:eastAsia="Calibri"/>
                <w:color w:val="FFFFFF"/>
                <w:sz w:val="18"/>
                <w:szCs w:val="19"/>
              </w:rPr>
              <w:t>[a]</w:t>
            </w:r>
            <w:r w:rsidR="00B97C91" w:rsidRPr="009A6DD4">
              <w:rPr>
                <w:rFonts w:eastAsia="Calibri"/>
                <w:color w:val="FFFFFF"/>
                <w:sz w:val="18"/>
                <w:szCs w:val="19"/>
              </w:rPr>
              <w:t xml:space="preserve"> </w:t>
            </w:r>
            <w:r w:rsidRPr="009A6DD4">
              <w:rPr>
                <w:rFonts w:eastAsia="Calibri"/>
                <w:color w:val="FFFFFF"/>
                <w:sz w:val="18"/>
                <w:szCs w:val="19"/>
              </w:rPr>
              <w:t>Relative precision values are at the 85% confidence level.</w:t>
            </w:r>
          </w:p>
        </w:tc>
      </w:tr>
    </w:tbl>
    <w:p w:rsidR="00D36180" w:rsidRPr="008B741E" w:rsidRDefault="00D36180" w:rsidP="008B741E"/>
    <w:p w:rsidR="00361A55" w:rsidRPr="00361A55" w:rsidRDefault="00361A55" w:rsidP="0055598C">
      <w:pPr>
        <w:pStyle w:val="AppendixAHeading4"/>
        <w:rPr>
          <w:rFonts w:eastAsia="Calibri"/>
        </w:rPr>
      </w:pPr>
      <w:r w:rsidRPr="00361A55">
        <w:rPr>
          <w:rFonts w:eastAsia="Calibri"/>
        </w:rPr>
        <w:t>Residential Programs</w:t>
      </w:r>
    </w:p>
    <w:p w:rsidR="00361A55" w:rsidRPr="00361A55" w:rsidRDefault="00361A55" w:rsidP="00361A55">
      <w:pPr>
        <w:rPr>
          <w:rFonts w:eastAsia="Calibri"/>
        </w:rPr>
      </w:pPr>
      <w:r w:rsidRPr="00361A55">
        <w:rPr>
          <w:rFonts w:eastAsia="Calibri"/>
        </w:rPr>
        <w:t>The energy realization rates for Penn Power’s residential programs ranged from 92.0% to 128.6%. The demand realization rates ranged from 83.1% to 163.3%. Penn Power achieved the 15% relative precision requirement at the 85% confidence level for both energy and demand for all residential programs.</w:t>
      </w:r>
    </w:p>
    <w:p w:rsidR="00361A55" w:rsidRPr="00361A55" w:rsidRDefault="00361A55" w:rsidP="00361A55">
      <w:pPr>
        <w:rPr>
          <w:rFonts w:eastAsia="Calibri"/>
        </w:rPr>
      </w:pPr>
    </w:p>
    <w:p w:rsidR="00361A55" w:rsidRPr="00361A55" w:rsidRDefault="00361A55" w:rsidP="00361A55">
      <w:pPr>
        <w:rPr>
          <w:rFonts w:eastAsia="Calibri"/>
        </w:rPr>
      </w:pPr>
      <w:r w:rsidRPr="00361A55">
        <w:rPr>
          <w:rFonts w:eastAsia="Calibri"/>
        </w:rPr>
        <w:t>The Appliance Turn-In Program was evaluated through customer verification surveys to determine the fraction of refrigerators, freezers, and room air conditioners that were drawing power before retirement, as well as the other parameters necessary to determine the EUL from the TRM regression equation. The program realization rate is mostly a function of the difference between the ex ante and ex post EULs, the latter of which used actual PY7 collection data.</w:t>
      </w:r>
    </w:p>
    <w:p w:rsidR="00361A55" w:rsidRPr="00361A55" w:rsidRDefault="00361A55" w:rsidP="00361A55"/>
    <w:p w:rsidR="001E0C98" w:rsidRDefault="00370EE6" w:rsidP="00361A55">
      <w:pPr>
        <w:rPr>
          <w:rFonts w:eastAsia="Calibri"/>
        </w:rPr>
      </w:pPr>
      <w:r w:rsidRPr="0051723C">
        <w:rPr>
          <w:rFonts w:eastAsia="Calibri"/>
        </w:rPr>
        <w:t>The evaluations of the upstream lighting and products portions of the Efficient Products Program involved reviews of sales invoices, a review of the tracking and reporting system, and a detailed review of CSP energy and demand savings calculations. The appliance portion and the HVAC equipment/tune-up portion were evaluated through an invoice review, customer surveys, and a review of the energy and demand calculations with reference to the ENERGY STAR database</w:t>
      </w:r>
      <w:r>
        <w:rPr>
          <w:rFonts w:eastAsia="Calibri"/>
        </w:rPr>
        <w:t>.</w:t>
      </w:r>
    </w:p>
    <w:p w:rsidR="00370EE6" w:rsidRDefault="00370EE6" w:rsidP="00361A55">
      <w:pPr>
        <w:rPr>
          <w:rFonts w:eastAsia="Calibri"/>
        </w:rPr>
      </w:pPr>
    </w:p>
    <w:p w:rsidR="00361A55" w:rsidRPr="00361A55" w:rsidRDefault="00361A55" w:rsidP="00361A55">
      <w:pPr>
        <w:rPr>
          <w:rFonts w:eastAsia="Calibri"/>
        </w:rPr>
      </w:pPr>
      <w:r w:rsidRPr="00361A55">
        <w:rPr>
          <w:rFonts w:eastAsia="Calibri"/>
        </w:rPr>
        <w:t>The evaluation contractor approached the evaluation differently for each branch of the Home Performance Program. The home energy audit kits were evaluated using the T&amp;R</w:t>
      </w:r>
      <w:r w:rsidR="00AB3C36">
        <w:rPr>
          <w:rFonts w:eastAsia="Calibri"/>
        </w:rPr>
        <w:t xml:space="preserve"> </w:t>
      </w:r>
      <w:r w:rsidRPr="00361A55">
        <w:rPr>
          <w:rFonts w:eastAsia="Calibri"/>
        </w:rPr>
        <w:t>system as well as online and phone surveys to determine the delivery and installation rates for each measure. The kit receipt rates and measure ISRs have been shown to fluctuate among EDCs, primarily due to statistical variations, and therefore average statewide ISRs are used for all four FirstEnergy companies. The new construction portion of the program was evaluated through an engineering review of a sample of projects in the portfolio. Energy and demand savings for this program were determined through REM/Rate software calculations, and the review focused on whether the modeling was performed correctly (including baseline assumptions) and if the results were reasonable. Th</w:t>
      </w:r>
      <w:r w:rsidR="009D6AA9">
        <w:rPr>
          <w:rFonts w:eastAsia="Calibri"/>
        </w:rPr>
        <w:t>e prescriptive, low-cost direct-</w:t>
      </w:r>
      <w:r w:rsidRPr="00361A55">
        <w:rPr>
          <w:rFonts w:eastAsia="Calibri"/>
        </w:rPr>
        <w:t>install portion was evaluated by reviewing the T&amp;R system and sample invoices to check if the TRM calculations were performed correctly and if the invoices matched the information in the database. For comprehensive weatherization jobs, those that saved more than 2 MWh/yr were evaluated through billing analysis, and those saving under 2 MWh/yr received an invoice review. The HER portion was reviewed and duplicated by the evaluation contractor, producing results consistent with the implementation CSP’s. The contractor then conducted its own full evaluation of the savings using a lagged seasonal regression model and adjusting for dual participation.</w:t>
      </w:r>
    </w:p>
    <w:p w:rsidR="00361A55" w:rsidRPr="00361A55" w:rsidRDefault="00361A55" w:rsidP="00361A55"/>
    <w:p w:rsidR="00361A55" w:rsidRPr="00361A55" w:rsidRDefault="00361A55" w:rsidP="0055598C">
      <w:pPr>
        <w:pStyle w:val="AppendixAHeading4"/>
        <w:rPr>
          <w:rFonts w:eastAsia="Calibri"/>
        </w:rPr>
      </w:pPr>
      <w:r w:rsidRPr="00361A55">
        <w:rPr>
          <w:rFonts w:eastAsia="Calibri"/>
        </w:rPr>
        <w:t>Low-Income Programs</w:t>
      </w:r>
    </w:p>
    <w:p w:rsidR="00361A55" w:rsidRPr="00361A55" w:rsidRDefault="00361A55" w:rsidP="00361A55">
      <w:r w:rsidRPr="00361A55">
        <w:t>The evaluation contractor reviewed the tracking data and on-site verification forms and results to determine ISRs for the WARM direct-install measures. For giveaway events, the evaluation contractor reviewed the tracking database and applied the ISR from the 201</w:t>
      </w:r>
      <w:r w:rsidR="00590018">
        <w:t>5</w:t>
      </w:r>
      <w:r w:rsidRPr="00361A55">
        <w:t xml:space="preserve"> TRM. There were no LILU energy kits distributed in PY7.</w:t>
      </w:r>
    </w:p>
    <w:p w:rsidR="00361A55" w:rsidRPr="00361A55" w:rsidRDefault="00361A55" w:rsidP="0055598C">
      <w:pPr>
        <w:pStyle w:val="AppendixAHeading4"/>
        <w:rPr>
          <w:rFonts w:eastAsia="Calibri"/>
        </w:rPr>
      </w:pPr>
      <w:r w:rsidRPr="00361A55">
        <w:rPr>
          <w:rFonts w:eastAsia="Calibri"/>
        </w:rPr>
        <w:t>Non-Residential Programs</w:t>
      </w:r>
    </w:p>
    <w:p w:rsidR="00361A55" w:rsidRPr="00361A55" w:rsidRDefault="00361A55" w:rsidP="00361A55">
      <w:r w:rsidRPr="00361A55">
        <w:t>Realization rates for Penn Power’s non-residential programs’ energy savings ranged from 91.</w:t>
      </w:r>
      <w:r w:rsidR="00F21F28">
        <w:t>8</w:t>
      </w:r>
      <w:r w:rsidRPr="00361A55">
        <w:t>% to 100%. Realization rates for demand reductions from these programs ranged from 0.0% to 111.0%. The Government and Institutional Program was responsible for the low realization rate of 0% for demand, but all projects were street lighting, which has a 0 coincidence factor. Penn Power achieved the 15% precision requirement for kWh in all of its non-residential programs. It also achieved better than 15% precision for demand savings, although this is not a requirement for Phase II of Act 129.</w:t>
      </w:r>
    </w:p>
    <w:p w:rsidR="00361A55" w:rsidRPr="00361A55" w:rsidRDefault="00361A55" w:rsidP="00361A55"/>
    <w:p w:rsidR="00361A55" w:rsidRPr="00361A55" w:rsidRDefault="00B97C91" w:rsidP="00361A55">
      <w:r>
        <w:fldChar w:fldCharType="begin"/>
      </w:r>
      <w:r>
        <w:instrText xml:space="preserve"> REF _Ref473732512 \h </w:instrText>
      </w:r>
      <w:r>
        <w:fldChar w:fldCharType="separate"/>
      </w:r>
      <w:r w:rsidR="00037CB4">
        <w:t>Figure A-</w:t>
      </w:r>
      <w:r w:rsidR="00037CB4">
        <w:rPr>
          <w:noProof/>
        </w:rPr>
        <w:t>12</w:t>
      </w:r>
      <w:r>
        <w:fldChar w:fldCharType="end"/>
      </w:r>
      <w:r>
        <w:t xml:space="preserve"> </w:t>
      </w:r>
      <w:r w:rsidR="00361A55" w:rsidRPr="00361A55">
        <w:t>shows the frequency of each M&amp;V approach performed by ADM in PY7 for Penn Power’s Small C/I Equipment Program evaluation sample and the verified energy savings associated with each M&amp;V approach. ADM used both basic and enhanced levels of rigor to evaluate projects in the sample. Basic rigor includes surveys, desk reviews, and simple on-site verification (no logging). Enhanced rigor includes the following options, as recorded by ADM. The first consists of utility billing analysis to determine energy savings. Typically, 12 months of pre- and post-installation billing data are required for this approach. The second general approach is on-site verification with logging. This may be light logger deployment or more robust measurement of the retrofitted system’s continuous energy usage. The third general approach involves modeling energy performance of a facility before and after the efficiency measure is installed with an energy simulation.</w:t>
      </w:r>
    </w:p>
    <w:p w:rsidR="00361A55" w:rsidRPr="00361A55" w:rsidRDefault="00361A55" w:rsidP="00361A55"/>
    <w:p w:rsidR="00361A55" w:rsidRPr="00361A55" w:rsidRDefault="00361A55" w:rsidP="004837FA">
      <w:pPr>
        <w:pStyle w:val="Caption"/>
      </w:pPr>
      <w:bookmarkStart w:id="913" w:name="_Ref472465448"/>
      <w:bookmarkStart w:id="914" w:name="_Ref473732512"/>
      <w:bookmarkStart w:id="915" w:name="_Toc444269825"/>
      <w:bookmarkStart w:id="916" w:name="_Toc488742023"/>
      <w:r>
        <w:t>Figure A-</w:t>
      </w:r>
      <w:r w:rsidR="007973A4">
        <w:fldChar w:fldCharType="begin"/>
      </w:r>
      <w:r w:rsidR="007973A4">
        <w:instrText xml:space="preserve"> SEQ Figure_A- \* ARABIC </w:instrText>
      </w:r>
      <w:r w:rsidR="007973A4">
        <w:fldChar w:fldCharType="separate"/>
      </w:r>
      <w:r w:rsidR="00037CB4">
        <w:rPr>
          <w:noProof/>
        </w:rPr>
        <w:t>12</w:t>
      </w:r>
      <w:r w:rsidR="007973A4">
        <w:rPr>
          <w:noProof/>
        </w:rPr>
        <w:fldChar w:fldCharType="end"/>
      </w:r>
      <w:bookmarkEnd w:id="913"/>
      <w:bookmarkEnd w:id="914"/>
      <w:r>
        <w:t xml:space="preserve">: </w:t>
      </w:r>
      <w:r w:rsidRPr="00361A55">
        <w:t>Frequency of and Associated Energy Savings by M&amp;V Approach – Small C/I Equipment Program</w:t>
      </w:r>
      <w:bookmarkEnd w:id="915"/>
      <w:bookmarkEnd w:id="916"/>
    </w:p>
    <w:p w:rsidR="00361A55" w:rsidRPr="00361A55" w:rsidRDefault="00361A55" w:rsidP="00361A55">
      <w:pPr>
        <w:spacing w:before="200"/>
        <w:jc w:val="center"/>
      </w:pPr>
      <w:r w:rsidRPr="00361A55">
        <w:rPr>
          <w:noProof/>
        </w:rPr>
        <w:drawing>
          <wp:inline distT="0" distB="0" distL="0" distR="0" wp14:anchorId="1C42A15F" wp14:editId="43357AED">
            <wp:extent cx="5893904" cy="22354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1">
                      <a:extLst>
                        <a:ext uri="{28A0092B-C50C-407E-A947-70E740481C1C}">
                          <a14:useLocalDpi xmlns:a14="http://schemas.microsoft.com/office/drawing/2010/main" val="0"/>
                        </a:ext>
                      </a:extLst>
                    </a:blip>
                    <a:srcRect l="6544" t="5425" r="5730" b="8182"/>
                    <a:stretch/>
                  </pic:blipFill>
                  <pic:spPr bwMode="auto">
                    <a:xfrm>
                      <a:off x="0" y="0"/>
                      <a:ext cx="5906748" cy="2240280"/>
                    </a:xfrm>
                    <a:prstGeom prst="rect">
                      <a:avLst/>
                    </a:prstGeom>
                    <a:noFill/>
                    <a:ln>
                      <a:noFill/>
                    </a:ln>
                    <a:extLst>
                      <a:ext uri="{53640926-AAD7-44D8-BBD7-CCE9431645EC}">
                        <a14:shadowObscured xmlns:a14="http://schemas.microsoft.com/office/drawing/2010/main"/>
                      </a:ext>
                    </a:extLst>
                  </pic:spPr>
                </pic:pic>
              </a:graphicData>
            </a:graphic>
          </wp:inline>
        </w:drawing>
      </w:r>
    </w:p>
    <w:p w:rsidR="00B97C91" w:rsidRDefault="00B97C91" w:rsidP="00361A55">
      <w:pPr>
        <w:rPr>
          <w:rFonts w:ascii="Century Gothic" w:hAnsi="Century Gothic"/>
          <w:b/>
          <w:bCs/>
          <w:sz w:val="18"/>
          <w:szCs w:val="18"/>
        </w:rPr>
      </w:pPr>
    </w:p>
    <w:p w:rsidR="00361A55" w:rsidRPr="00361A55" w:rsidRDefault="00B97C91" w:rsidP="00361A55">
      <w:r>
        <w:rPr>
          <w:rFonts w:ascii="Century Gothic" w:hAnsi="Century Gothic"/>
          <w:b/>
          <w:bCs/>
          <w:sz w:val="18"/>
          <w:szCs w:val="18"/>
        </w:rPr>
        <w:fldChar w:fldCharType="begin"/>
      </w:r>
      <w:r>
        <w:instrText xml:space="preserve"> REF _Ref473732512 \h </w:instrText>
      </w:r>
      <w:r>
        <w:rPr>
          <w:rFonts w:ascii="Century Gothic" w:hAnsi="Century Gothic"/>
          <w:b/>
          <w:bCs/>
          <w:sz w:val="18"/>
          <w:szCs w:val="18"/>
        </w:rPr>
      </w:r>
      <w:r>
        <w:rPr>
          <w:rFonts w:ascii="Century Gothic" w:hAnsi="Century Gothic"/>
          <w:b/>
          <w:bCs/>
          <w:sz w:val="18"/>
          <w:szCs w:val="18"/>
        </w:rPr>
        <w:fldChar w:fldCharType="separate"/>
      </w:r>
      <w:r w:rsidR="00037CB4">
        <w:t>Figure A-</w:t>
      </w:r>
      <w:r w:rsidR="00037CB4">
        <w:rPr>
          <w:noProof/>
        </w:rPr>
        <w:t>12</w:t>
      </w:r>
      <w:r>
        <w:rPr>
          <w:rFonts w:ascii="Century Gothic" w:hAnsi="Century Gothic"/>
          <w:b/>
          <w:bCs/>
          <w:sz w:val="18"/>
          <w:szCs w:val="18"/>
        </w:rPr>
        <w:fldChar w:fldCharType="end"/>
      </w:r>
      <w:r>
        <w:rPr>
          <w:rFonts w:ascii="Century Gothic" w:hAnsi="Century Gothic"/>
          <w:b/>
          <w:bCs/>
          <w:sz w:val="18"/>
          <w:szCs w:val="18"/>
        </w:rPr>
        <w:t xml:space="preserve"> </w:t>
      </w:r>
      <w:r w:rsidR="00F143C0">
        <w:t>i</w:t>
      </w:r>
      <w:r w:rsidR="00361A55" w:rsidRPr="00361A55">
        <w:t>ndicates that 58% of the sampled measures for the Small C/I Equipment Program were evaluated using a basic level of rigor. However, the representative savings for these measures accounted for only 40% of the energy savings. This suggests that basic rigor was appropriately used, predominately for projects with smaller savings. Likewise, the more expensive enhanced rigor methods were reserved for a smaller number of projects, but these projects contributed a majority (60%) of the sample’s energy savings. The SWE Team supports this “value of information” approach, whereby more expensive evaluation techniques are reserved for projects that account for the greatest share of program savings.</w:t>
      </w:r>
    </w:p>
    <w:p w:rsidR="00361A55" w:rsidRPr="00361A55" w:rsidRDefault="00361A55" w:rsidP="00361A55"/>
    <w:p w:rsidR="00361A55" w:rsidRPr="00361A55" w:rsidRDefault="007E0D0D" w:rsidP="00361A55">
      <w:r>
        <w:t xml:space="preserve">Figure A-13 </w:t>
      </w:r>
      <w:r w:rsidR="00361A55" w:rsidRPr="00361A55">
        <w:t>shows the frequency of each M&amp;V method used in the Small C/I Buildings Program and the energy savings associated with each method. Projects evaluated by enhanced rigor approaches accounted for 71% of evaluation sample savings.</w:t>
      </w:r>
      <w:bookmarkStart w:id="917" w:name="_Ref408500533"/>
      <w:bookmarkStart w:id="918" w:name="_Toc408557567"/>
      <w:bookmarkStart w:id="919" w:name="_Toc408999443"/>
      <w:bookmarkStart w:id="920" w:name="_Toc409224968"/>
      <w:bookmarkStart w:id="921" w:name="_Toc409443647"/>
    </w:p>
    <w:p w:rsidR="00FA78C7" w:rsidRPr="00361A55" w:rsidRDefault="00FA78C7" w:rsidP="00361A55">
      <w:bookmarkStart w:id="922" w:name="_Ref472465474"/>
      <w:bookmarkStart w:id="923" w:name="_Ref441162159"/>
      <w:bookmarkStart w:id="924" w:name="_Toc444269826"/>
      <w:bookmarkEnd w:id="917"/>
    </w:p>
    <w:p w:rsidR="00361A55" w:rsidRPr="00361A55" w:rsidRDefault="00361A55" w:rsidP="004837FA">
      <w:pPr>
        <w:pStyle w:val="Caption"/>
      </w:pPr>
      <w:bookmarkStart w:id="925" w:name="_Toc488742024"/>
      <w:r>
        <w:t>Figure A-</w:t>
      </w:r>
      <w:r w:rsidR="007973A4">
        <w:fldChar w:fldCharType="begin"/>
      </w:r>
      <w:r w:rsidR="007973A4">
        <w:instrText xml:space="preserve"> SEQ Figure_A- \* ARABIC </w:instrText>
      </w:r>
      <w:r w:rsidR="007973A4">
        <w:fldChar w:fldCharType="separate"/>
      </w:r>
      <w:r w:rsidR="00037CB4">
        <w:rPr>
          <w:noProof/>
        </w:rPr>
        <w:t>13</w:t>
      </w:r>
      <w:r w:rsidR="007973A4">
        <w:rPr>
          <w:noProof/>
        </w:rPr>
        <w:fldChar w:fldCharType="end"/>
      </w:r>
      <w:bookmarkEnd w:id="922"/>
      <w:r>
        <w:t xml:space="preserve">: </w:t>
      </w:r>
      <w:r w:rsidRPr="00361A55">
        <w:t>Frequency of and Associated Energy Savings by M&amp;V Approach – Small C/I Buildings Program</w:t>
      </w:r>
      <w:bookmarkEnd w:id="918"/>
      <w:bookmarkEnd w:id="919"/>
      <w:bookmarkEnd w:id="920"/>
      <w:bookmarkEnd w:id="921"/>
      <w:bookmarkEnd w:id="923"/>
      <w:bookmarkEnd w:id="924"/>
      <w:bookmarkEnd w:id="925"/>
    </w:p>
    <w:p w:rsidR="00361A55" w:rsidRPr="00361A55" w:rsidRDefault="00361A55" w:rsidP="00361A55">
      <w:pPr>
        <w:jc w:val="center"/>
      </w:pPr>
      <w:r w:rsidRPr="00361A55">
        <w:rPr>
          <w:noProof/>
        </w:rPr>
        <w:drawing>
          <wp:inline distT="0" distB="0" distL="0" distR="0" wp14:anchorId="75B99F86" wp14:editId="6D29D82E">
            <wp:extent cx="5923252" cy="224936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2">
                      <a:extLst>
                        <a:ext uri="{28A0092B-C50C-407E-A947-70E740481C1C}">
                          <a14:useLocalDpi xmlns:a14="http://schemas.microsoft.com/office/drawing/2010/main" val="0"/>
                        </a:ext>
                      </a:extLst>
                    </a:blip>
                    <a:srcRect l="6964" t="5771" r="6140" b="8744"/>
                    <a:stretch/>
                  </pic:blipFill>
                  <pic:spPr bwMode="auto">
                    <a:xfrm>
                      <a:off x="0" y="0"/>
                      <a:ext cx="5936154" cy="2254264"/>
                    </a:xfrm>
                    <a:prstGeom prst="rect">
                      <a:avLst/>
                    </a:prstGeom>
                    <a:noFill/>
                    <a:ln>
                      <a:noFill/>
                    </a:ln>
                    <a:extLst>
                      <a:ext uri="{53640926-AAD7-44D8-BBD7-CCE9431645EC}">
                        <a14:shadowObscured xmlns:a14="http://schemas.microsoft.com/office/drawing/2010/main"/>
                      </a:ext>
                    </a:extLst>
                  </pic:spPr>
                </pic:pic>
              </a:graphicData>
            </a:graphic>
          </wp:inline>
        </w:drawing>
      </w:r>
    </w:p>
    <w:p w:rsidR="00361A55" w:rsidRPr="00361A55" w:rsidRDefault="00361A55" w:rsidP="00361A55"/>
    <w:p w:rsidR="00037CB4" w:rsidRPr="00361A55" w:rsidRDefault="00361A55" w:rsidP="00361A55">
      <w:r>
        <w:fldChar w:fldCharType="begin"/>
      </w:r>
      <w:r>
        <w:instrText xml:space="preserve"> REF _Ref472465499 \h </w:instrText>
      </w:r>
      <w:r>
        <w:fldChar w:fldCharType="separate"/>
      </w:r>
    </w:p>
    <w:p w:rsidR="00361A55" w:rsidRPr="00361A55" w:rsidRDefault="00037CB4" w:rsidP="00361A55">
      <w:r>
        <w:t>Figure A-</w:t>
      </w:r>
      <w:r>
        <w:rPr>
          <w:noProof/>
        </w:rPr>
        <w:t>14</w:t>
      </w:r>
      <w:r w:rsidR="00361A55">
        <w:fldChar w:fldCharType="end"/>
      </w:r>
      <w:r w:rsidR="00361A55" w:rsidRPr="00361A55">
        <w:t xml:space="preserve"> shows the frequency of each M&amp;V method used in the Large C/I Equipment Program and the energy savings associated with each method. Enhanced rigor was used for 50% of the projects, and these projects accounted for a majority of the savings. Basic rigor was appropriately limited to those projects with less savings.</w:t>
      </w:r>
    </w:p>
    <w:p w:rsidR="00FA78C7" w:rsidRPr="00361A55" w:rsidRDefault="00FA78C7" w:rsidP="00361A55">
      <w:bookmarkStart w:id="926" w:name="_Ref472465499"/>
      <w:bookmarkStart w:id="927" w:name="_Toc408557568"/>
      <w:bookmarkStart w:id="928" w:name="_Toc408999444"/>
      <w:bookmarkStart w:id="929" w:name="_Toc409224969"/>
      <w:bookmarkStart w:id="930" w:name="_Toc409443648"/>
      <w:bookmarkStart w:id="931" w:name="_Toc444269827"/>
    </w:p>
    <w:p w:rsidR="00361A55" w:rsidRPr="00361A55" w:rsidRDefault="00361A55" w:rsidP="004837FA">
      <w:pPr>
        <w:pStyle w:val="Caption"/>
      </w:pPr>
      <w:bookmarkStart w:id="932" w:name="_Toc488742025"/>
      <w:r>
        <w:t>Figure A-</w:t>
      </w:r>
      <w:r w:rsidR="007973A4">
        <w:fldChar w:fldCharType="begin"/>
      </w:r>
      <w:r w:rsidR="007973A4">
        <w:instrText xml:space="preserve"> SEQ Figure_A- \* ARABIC </w:instrText>
      </w:r>
      <w:r w:rsidR="007973A4">
        <w:fldChar w:fldCharType="separate"/>
      </w:r>
      <w:r w:rsidR="00037CB4">
        <w:rPr>
          <w:noProof/>
        </w:rPr>
        <w:t>14</w:t>
      </w:r>
      <w:r w:rsidR="007973A4">
        <w:rPr>
          <w:noProof/>
        </w:rPr>
        <w:fldChar w:fldCharType="end"/>
      </w:r>
      <w:bookmarkEnd w:id="926"/>
      <w:r>
        <w:t xml:space="preserve">: </w:t>
      </w:r>
      <w:r w:rsidRPr="00361A55">
        <w:t>Frequency of and Associated Energy Savings by M&amp;V Approach – Large C/I Equipment Program</w:t>
      </w:r>
      <w:bookmarkEnd w:id="927"/>
      <w:bookmarkEnd w:id="928"/>
      <w:bookmarkEnd w:id="929"/>
      <w:bookmarkEnd w:id="930"/>
      <w:bookmarkEnd w:id="931"/>
      <w:bookmarkEnd w:id="932"/>
    </w:p>
    <w:p w:rsidR="00361A55" w:rsidRPr="00361A55" w:rsidRDefault="00361A55" w:rsidP="00361A55">
      <w:pPr>
        <w:jc w:val="center"/>
      </w:pPr>
      <w:r w:rsidRPr="00361A55">
        <w:rPr>
          <w:noProof/>
        </w:rPr>
        <w:drawing>
          <wp:inline distT="0" distB="0" distL="0" distR="0" wp14:anchorId="79574A54" wp14:editId="24CB6ED4">
            <wp:extent cx="5849948" cy="2077278"/>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3">
                      <a:extLst>
                        <a:ext uri="{28A0092B-C50C-407E-A947-70E740481C1C}">
                          <a14:useLocalDpi xmlns:a14="http://schemas.microsoft.com/office/drawing/2010/main" val="0"/>
                        </a:ext>
                      </a:extLst>
                    </a:blip>
                    <a:srcRect l="6195" t="5201" b="8506"/>
                    <a:stretch/>
                  </pic:blipFill>
                  <pic:spPr bwMode="auto">
                    <a:xfrm>
                      <a:off x="0" y="0"/>
                      <a:ext cx="5865159" cy="2082680"/>
                    </a:xfrm>
                    <a:prstGeom prst="rect">
                      <a:avLst/>
                    </a:prstGeom>
                    <a:noFill/>
                    <a:ln>
                      <a:noFill/>
                    </a:ln>
                    <a:extLst>
                      <a:ext uri="{53640926-AAD7-44D8-BBD7-CCE9431645EC}">
                        <a14:shadowObscured xmlns:a14="http://schemas.microsoft.com/office/drawing/2010/main"/>
                      </a:ext>
                    </a:extLst>
                  </pic:spPr>
                </pic:pic>
              </a:graphicData>
            </a:graphic>
          </wp:inline>
        </w:drawing>
      </w:r>
    </w:p>
    <w:p w:rsidR="00361A55" w:rsidRPr="00361A55" w:rsidRDefault="00361A55" w:rsidP="00361A55"/>
    <w:p w:rsidR="00361A55" w:rsidRPr="00361A55" w:rsidRDefault="00361A55" w:rsidP="00361A55">
      <w:r w:rsidRPr="00361A55">
        <w:t>The Large Buildings Program had only one project completed in PY7, and it received an enhanced level of rigor in the form of an on-site inspection and building simulation.</w:t>
      </w:r>
    </w:p>
    <w:p w:rsidR="00361A55" w:rsidRPr="00361A55" w:rsidRDefault="00361A55" w:rsidP="00361A55"/>
    <w:p w:rsidR="00361A55" w:rsidRPr="00361A55" w:rsidRDefault="007E0D0D" w:rsidP="00361A55">
      <w:pPr>
        <w:rPr>
          <w:color w:val="000000"/>
        </w:rPr>
      </w:pPr>
      <w:r>
        <w:t>Figure A-15</w:t>
      </w:r>
      <w:r w:rsidR="00361A55" w:rsidRPr="00361A55">
        <w:rPr>
          <w:color w:val="000000"/>
        </w:rPr>
        <w:t xml:space="preserve"> shows the frequency of each M&amp;V method used in the Government and Institutional Program and the energy savings associated with each method. Basic rigor was used for 87% of the projects, and these projects accounted for 78% of the savings.</w:t>
      </w:r>
    </w:p>
    <w:p w:rsidR="00FA78C7" w:rsidRPr="00361A55" w:rsidRDefault="00FA78C7" w:rsidP="00361A55">
      <w:pPr>
        <w:rPr>
          <w:color w:val="000000"/>
        </w:rPr>
      </w:pPr>
      <w:bookmarkStart w:id="933" w:name="_Ref472465521"/>
    </w:p>
    <w:p w:rsidR="00361A55" w:rsidRPr="00361A55" w:rsidRDefault="00361A55" w:rsidP="004837FA">
      <w:pPr>
        <w:pStyle w:val="Caption"/>
      </w:pPr>
      <w:bookmarkStart w:id="934" w:name="_Toc488742026"/>
      <w:r>
        <w:t>Figure A-</w:t>
      </w:r>
      <w:r w:rsidR="007973A4">
        <w:fldChar w:fldCharType="begin"/>
      </w:r>
      <w:r w:rsidR="007973A4">
        <w:instrText xml:space="preserve"> SEQ Figure_A- \* ARABIC </w:instrText>
      </w:r>
      <w:r w:rsidR="007973A4">
        <w:fldChar w:fldCharType="separate"/>
      </w:r>
      <w:r w:rsidR="00037CB4">
        <w:rPr>
          <w:noProof/>
        </w:rPr>
        <w:t>15</w:t>
      </w:r>
      <w:r w:rsidR="007973A4">
        <w:rPr>
          <w:noProof/>
        </w:rPr>
        <w:fldChar w:fldCharType="end"/>
      </w:r>
      <w:bookmarkEnd w:id="933"/>
      <w:r>
        <w:t xml:space="preserve">: </w:t>
      </w:r>
      <w:r w:rsidRPr="00361A55">
        <w:t>Frequency of and Associated Energy Savings by M&amp;V Approach – Government and Institutional Program</w:t>
      </w:r>
      <w:bookmarkEnd w:id="934"/>
    </w:p>
    <w:p w:rsidR="00361A55" w:rsidRPr="00361A55" w:rsidRDefault="00361A55" w:rsidP="00361A55">
      <w:r w:rsidRPr="00361A55">
        <w:rPr>
          <w:noProof/>
        </w:rPr>
        <w:drawing>
          <wp:inline distT="0" distB="0" distL="0" distR="0" wp14:anchorId="2B678DAA" wp14:editId="3EB273A5">
            <wp:extent cx="5747850" cy="2117034"/>
            <wp:effectExtent l="0" t="0" r="571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4">
                      <a:extLst>
                        <a:ext uri="{28A0092B-C50C-407E-A947-70E740481C1C}">
                          <a14:useLocalDpi xmlns:a14="http://schemas.microsoft.com/office/drawing/2010/main" val="0"/>
                        </a:ext>
                      </a:extLst>
                    </a:blip>
                    <a:srcRect l="7007" t="4763" r="1945" b="8163"/>
                    <a:stretch/>
                  </pic:blipFill>
                  <pic:spPr bwMode="auto">
                    <a:xfrm>
                      <a:off x="0" y="0"/>
                      <a:ext cx="5765856" cy="2123666"/>
                    </a:xfrm>
                    <a:prstGeom prst="rect">
                      <a:avLst/>
                    </a:prstGeom>
                    <a:noFill/>
                    <a:ln>
                      <a:noFill/>
                    </a:ln>
                    <a:extLst>
                      <a:ext uri="{53640926-AAD7-44D8-BBD7-CCE9431645EC}">
                        <a14:shadowObscured xmlns:a14="http://schemas.microsoft.com/office/drawing/2010/main"/>
                      </a:ext>
                    </a:extLst>
                  </pic:spPr>
                </pic:pic>
              </a:graphicData>
            </a:graphic>
          </wp:inline>
        </w:drawing>
      </w:r>
    </w:p>
    <w:p w:rsidR="00FA78C7" w:rsidRDefault="00FA78C7" w:rsidP="00361A55"/>
    <w:p w:rsidR="00FA78C7" w:rsidRPr="00361A55" w:rsidRDefault="00FA78C7" w:rsidP="00AB3C36"/>
    <w:p w:rsidR="00950837" w:rsidRDefault="00950837" w:rsidP="009C0DF1">
      <w:pPr>
        <w:pStyle w:val="AppendixAHeading3"/>
      </w:pPr>
      <w:r>
        <w:t>Process Evaluation Activities and Findings</w:t>
      </w:r>
    </w:p>
    <w:p w:rsidR="00C668C9" w:rsidRDefault="00C668C9" w:rsidP="00C668C9">
      <w:r w:rsidRPr="00661E10">
        <w:t>FirstEnergy’s evaluation contractor, ADM</w:t>
      </w:r>
      <w:r w:rsidR="0009501A">
        <w:t>/Tetra Tech</w:t>
      </w:r>
      <w:r w:rsidRPr="00661E10">
        <w:t>, took unified process evaluation approaches to these programs across the four FirstEnergy EDCs, including Pen</w:t>
      </w:r>
      <w:r>
        <w:t>n Power</w:t>
      </w:r>
      <w:r w:rsidRPr="00661E10">
        <w:t>, and so the annual evaluation reports of the four EDCs report identical information about the process evaluation.</w:t>
      </w:r>
      <w:r>
        <w:t xml:space="preserve"> Refer to Section </w:t>
      </w:r>
      <w:r>
        <w:fldChar w:fldCharType="begin"/>
      </w:r>
      <w:r>
        <w:instrText xml:space="preserve"> REF _Ref472450362 \r \h </w:instrText>
      </w:r>
      <w:r>
        <w:fldChar w:fldCharType="separate"/>
      </w:r>
      <w:r w:rsidR="00037CB4">
        <w:t>A.2.3.3</w:t>
      </w:r>
      <w:r>
        <w:fldChar w:fldCharType="end"/>
      </w:r>
      <w:r>
        <w:t xml:space="preserve"> for an overview of ADM</w:t>
      </w:r>
      <w:r w:rsidR="0009501A">
        <w:t>/Tetra Tech</w:t>
      </w:r>
      <w:r>
        <w:t>’s process evaluation activities and findings.</w:t>
      </w:r>
    </w:p>
    <w:p w:rsidR="008B741E" w:rsidRPr="00C668C9" w:rsidRDefault="008B741E" w:rsidP="00C668C9"/>
    <w:p w:rsidR="00950837" w:rsidRDefault="00950837" w:rsidP="000D3563">
      <w:pPr>
        <w:pStyle w:val="AppendixAHeading2"/>
      </w:pPr>
      <w:r>
        <w:t>Statewide Evaluator Audit Activities and Findings</w:t>
      </w:r>
    </w:p>
    <w:p w:rsidR="00C737E8" w:rsidRPr="00C737E8" w:rsidRDefault="00C737E8" w:rsidP="00C737E8">
      <w:r w:rsidRPr="00C737E8">
        <w:t>This section presents the activities of the SWE Team’s audits of Pen</w:t>
      </w:r>
      <w:r>
        <w:t>n Power</w:t>
      </w:r>
      <w:r w:rsidRPr="00C737E8">
        <w:t>’s portfolio of programs. It provides summary information and key findings from the SWE Team’s residential, low-income, non-residential, and NTG and process evaluation audit activities.</w:t>
      </w:r>
    </w:p>
    <w:p w:rsidR="00C737E8" w:rsidRPr="00C737E8" w:rsidRDefault="00C737E8" w:rsidP="00C737E8"/>
    <w:p w:rsidR="00950837" w:rsidRDefault="00950837" w:rsidP="009C0DF1">
      <w:pPr>
        <w:pStyle w:val="AppendixAHeading3"/>
      </w:pPr>
      <w:r>
        <w:t>Residential Program Audit Summary</w:t>
      </w:r>
    </w:p>
    <w:p w:rsidR="00AF66E0" w:rsidRPr="00AF66E0" w:rsidRDefault="00AF66E0" w:rsidP="0055598C">
      <w:pPr>
        <w:pStyle w:val="AppendixAHeading4"/>
        <w:rPr>
          <w:rFonts w:eastAsia="Calibri"/>
        </w:rPr>
      </w:pPr>
      <w:r w:rsidRPr="00AF66E0">
        <w:rPr>
          <w:rFonts w:eastAsia="Calibri"/>
        </w:rPr>
        <w:t xml:space="preserve">Residential Lighting Program </w:t>
      </w:r>
    </w:p>
    <w:p w:rsidR="00AF66E0" w:rsidRPr="00AF66E0" w:rsidRDefault="00AF66E0" w:rsidP="00AF66E0">
      <w:pPr>
        <w:rPr>
          <w:rFonts w:eastAsia="Calibri"/>
        </w:rPr>
      </w:pPr>
      <w:r w:rsidRPr="00AF66E0">
        <w:rPr>
          <w:rFonts w:eastAsia="Calibri"/>
        </w:rPr>
        <w:t>For PY7, residential upstream lighting accounted for the largest individual stratum of the reported savings in Penn Power’s Efficient Products Program. The SWE Team reviewed the database and tracking system submitted by Penn Power and its evaluation contractor to verify that the correct savings algorithms and deemed savings values were used in the program. The SWE Team also reviewed 10 invoices and product data sheets covering many different bulb types, from standard CFLs to decorative LEDs and floodlight bulbs. Due to the format of the tracking database, the SWE Team easily confirmed that the 2015 TRM was appropriately used for the calculations to quantify the program savings. The SWE Team also verified that Penn Power’s evaluation contractor correctly noted any discrepancies in the census data and accounted for any adjustments in the verified savings data.</w:t>
      </w:r>
    </w:p>
    <w:p w:rsidR="00AF66E0" w:rsidRPr="00AF66E0" w:rsidRDefault="00AF66E0" w:rsidP="00AF66E0">
      <w:pPr>
        <w:rPr>
          <w:rFonts w:eastAsia="Calibri"/>
        </w:rPr>
      </w:pPr>
    </w:p>
    <w:p w:rsidR="00AF66E0" w:rsidRPr="00AF66E0" w:rsidRDefault="00AF66E0" w:rsidP="0055598C">
      <w:pPr>
        <w:pStyle w:val="AppendixAHeading4"/>
        <w:rPr>
          <w:rFonts w:eastAsia="Calibri"/>
        </w:rPr>
      </w:pPr>
      <w:r w:rsidRPr="00AF66E0">
        <w:rPr>
          <w:rFonts w:eastAsia="Calibri"/>
        </w:rPr>
        <w:t>Appliance Turn-In Program</w:t>
      </w:r>
    </w:p>
    <w:p w:rsidR="00AF66E0" w:rsidRPr="00AF66E0" w:rsidRDefault="00AF66E0" w:rsidP="00AF66E0">
      <w:pPr>
        <w:rPr>
          <w:rFonts w:eastAsia="Calibri"/>
        </w:rPr>
      </w:pPr>
      <w:r w:rsidRPr="00AF66E0">
        <w:rPr>
          <w:rFonts w:eastAsia="Calibri"/>
        </w:rPr>
        <w:t>The SWE Team reviewed the spreadsheets and database used to calculate Penn Power’s verified gross savings. Unlike in previous years where the evaluation contractor simply used the deemed UECs from the TRM, in PY7 the contractor calculated a utility-specific UEC from the PY7 appliance recycling customer database. The SWE Team confirmed that the UECs were calculated correctly using the 2015 TRM regression coefficients and PY7 Penn Power customer data and that they were used correctly in determining annual kWh and kW savings. Because of a difference in how gross savings are calculated in the 2015 TRM, it was not necessary to account for refrigerator replacement. This is taken into account only in the net savings calculations. The Excel worksheets documented calculations clearly and were easy to follow.</w:t>
      </w:r>
    </w:p>
    <w:p w:rsidR="00AF66E0" w:rsidRPr="00AF66E0" w:rsidRDefault="00AF66E0" w:rsidP="00AF66E0">
      <w:pPr>
        <w:rPr>
          <w:rFonts w:ascii="Century Gothic" w:eastAsia="Calibri" w:hAnsi="Century Gothic"/>
          <w:i/>
        </w:rPr>
      </w:pPr>
    </w:p>
    <w:p w:rsidR="00AF66E0" w:rsidRPr="00AF66E0" w:rsidRDefault="00AF66E0" w:rsidP="0055598C">
      <w:pPr>
        <w:pStyle w:val="AppendixAHeading4"/>
        <w:rPr>
          <w:rFonts w:eastAsia="Calibri"/>
        </w:rPr>
      </w:pPr>
      <w:r w:rsidRPr="00AF66E0">
        <w:rPr>
          <w:rFonts w:eastAsia="Calibri"/>
        </w:rPr>
        <w:t xml:space="preserve">Efficient Products Program </w:t>
      </w:r>
    </w:p>
    <w:p w:rsidR="00AF66E0" w:rsidRPr="00AF66E0" w:rsidRDefault="00AF66E0" w:rsidP="00AF66E0">
      <w:pPr>
        <w:rPr>
          <w:rFonts w:eastAsia="Calibri"/>
        </w:rPr>
      </w:pPr>
      <w:r w:rsidRPr="00AF66E0">
        <w:rPr>
          <w:rFonts w:eastAsia="Calibri"/>
        </w:rPr>
        <w:t>The SWE Team thoroughly reviewed the data-tracking and reporting system containing the savings calculation and rebate invoice information for all of the Efficient Products Program strata. Additionally, it checked the proper use of the 2015 TRM in calculating the savings for each of the product types. The SWE found that the HPWH savings calculations strayed slightly from the TRM, but in an acceptably conservative fashion. According to the TRM, the HVAC interactive effect penalty only needs to be taken into account when the HPWH is installed in conditioned space and not when the default F</w:t>
      </w:r>
      <w:r w:rsidRPr="00AF66E0">
        <w:rPr>
          <w:rFonts w:eastAsia="Calibri"/>
          <w:vertAlign w:val="subscript"/>
        </w:rPr>
        <w:t>derate</w:t>
      </w:r>
      <w:r w:rsidRPr="00AF66E0">
        <w:rPr>
          <w:rFonts w:eastAsia="Calibri"/>
        </w:rPr>
        <w:t xml:space="preserve"> value is used. The evaluation contractor assumed both, which made the kWh estimates slightly conservative.</w:t>
      </w:r>
    </w:p>
    <w:p w:rsidR="00AF66E0" w:rsidRPr="00AF66E0" w:rsidRDefault="00AF66E0" w:rsidP="00AF66E0">
      <w:pPr>
        <w:rPr>
          <w:rFonts w:eastAsia="Calibri"/>
        </w:rPr>
      </w:pPr>
    </w:p>
    <w:p w:rsidR="00AF66E0" w:rsidRPr="00AF66E0" w:rsidRDefault="00AF66E0" w:rsidP="0055598C">
      <w:pPr>
        <w:pStyle w:val="AppendixAHeading4"/>
        <w:rPr>
          <w:rFonts w:eastAsia="Calibri"/>
        </w:rPr>
      </w:pPr>
      <w:r w:rsidRPr="00AF66E0">
        <w:rPr>
          <w:rFonts w:eastAsia="Calibri"/>
        </w:rPr>
        <w:t>Home Performance Program</w:t>
      </w:r>
    </w:p>
    <w:p w:rsidR="00AF66E0" w:rsidRPr="00AF66E0" w:rsidRDefault="00AF66E0" w:rsidP="00AF66E0">
      <w:r w:rsidRPr="00AF66E0">
        <w:t>The SWE Team audited each operational component of the Home Performance Program: whole house direct</w:t>
      </w:r>
      <w:r w:rsidR="009D6AA9">
        <w:t>-</w:t>
      </w:r>
      <w:r w:rsidRPr="00AF66E0">
        <w:t>install, home energy audit conservation kits, new homes, and HERs (the school conservation kits component did not operate in PY7). The HERs accounted for a majority (83%) of the Home Performance Program savings in PY7. The SWE Team verified that the correct 2015 TRM savings were used for all measures in the home energy audit conservation kits and that the FirstEnergy statewide receipt rate and ISRs were correctly applied to the items.</w:t>
      </w:r>
    </w:p>
    <w:p w:rsidR="00AF66E0" w:rsidRPr="00AF66E0" w:rsidRDefault="00AF66E0" w:rsidP="00AF66E0">
      <w:pPr>
        <w:spacing w:before="240"/>
      </w:pPr>
      <w:r w:rsidRPr="00AF66E0">
        <w:t>For the whole house direct</w:t>
      </w:r>
      <w:r w:rsidR="009D6AA9">
        <w:t>-</w:t>
      </w:r>
      <w:r w:rsidRPr="00AF66E0">
        <w:t xml:space="preserve">install component, the SWE Team verified that the five highest contributing prescriptive measures and five randomly selected measures were calculated properly per the TRM protocols. The HER component received a full evaluation for the first time in Phase II in PY7. Due to the one-year measure life, it was unnecessary to evaluate this component in the other years. The SWE reviewed the independent analysis performed by the </w:t>
      </w:r>
      <w:r w:rsidRPr="00AF66E0">
        <w:rPr>
          <w:rFonts w:eastAsia="Calibri"/>
        </w:rPr>
        <w:t xml:space="preserve">evaluation contractor </w:t>
      </w:r>
      <w:r w:rsidRPr="00AF66E0">
        <w:t>and verified that it was done correctly. There was good consistency between the results of the three analyses performed (</w:t>
      </w:r>
      <w:r w:rsidR="00A92A46">
        <w:t>OPower</w:t>
      </w:r>
      <w:r w:rsidRPr="00AF66E0">
        <w:t xml:space="preserve">’s, ADM’s replication of </w:t>
      </w:r>
      <w:r w:rsidR="00A92A46">
        <w:t>OPower</w:t>
      </w:r>
      <w:r w:rsidRPr="00AF66E0">
        <w:t>, and ADM’s), and the overall realization rate was 92%.</w:t>
      </w:r>
    </w:p>
    <w:p w:rsidR="004C17DF" w:rsidRPr="004C17DF" w:rsidRDefault="004C17DF" w:rsidP="004C17DF"/>
    <w:p w:rsidR="00950837" w:rsidRDefault="00950837" w:rsidP="009C0DF1">
      <w:pPr>
        <w:pStyle w:val="AppendixAHeading3"/>
      </w:pPr>
      <w:r>
        <w:t>Low-Income Program and Audit Summary</w:t>
      </w:r>
    </w:p>
    <w:p w:rsidR="0078041C" w:rsidRDefault="0078041C" w:rsidP="0078041C">
      <w:r w:rsidRPr="0078041C">
        <w:t>The SWE Team reviewed the two distribution branches of the Low-Income Program operational in PY7 (direct install and giveaway) to ensure that the savings were correctly calculated using the 2015 TRM and that the realization rates were correctly determined and applied appropriately. Penn Power’s evaluation contractor provided a complete database of direct-install measures, which included a pivot table that ranked measures by individual measure contribution to total program kWh savings. Using this, the SWE Team verified the calculations for five measures with the greatest overall impact and verified five randomly selected measures. The SWE Team also confirmed that kWh and kW calculations for the estimations of savings for the giveaway program were implemented per the 2015 TRM.</w:t>
      </w:r>
    </w:p>
    <w:p w:rsidR="009D6AA9" w:rsidRPr="0078041C" w:rsidRDefault="009D6AA9" w:rsidP="0078041C"/>
    <w:p w:rsidR="00AF66E0" w:rsidRDefault="009D6AA9" w:rsidP="0078041C">
      <w:r>
        <w:t>T</w:t>
      </w:r>
      <w:r w:rsidR="0078041C" w:rsidRPr="0078041C">
        <w:t>he SWE Team verified that Penn Power was in compliance with the requirement that the number of energy conservation measures offered to low‐income households be proportionate to those households’ share of the total energy usage in Penn Power’s service territory. Penn Power offered six types of measures to the low‐income sector in PY7, which is 15% of the total number of measures offered across all sectors. This exceeded its goal of 10.6%.</w:t>
      </w:r>
    </w:p>
    <w:p w:rsidR="0078041C" w:rsidRDefault="0078041C" w:rsidP="0078041C"/>
    <w:p w:rsidR="00116463" w:rsidRDefault="00116463" w:rsidP="0078041C"/>
    <w:p w:rsidR="00116463" w:rsidRPr="00AF66E0" w:rsidRDefault="00116463" w:rsidP="0078041C"/>
    <w:p w:rsidR="00950837" w:rsidRDefault="00950837" w:rsidP="009C0DF1">
      <w:pPr>
        <w:pStyle w:val="AppendixAHeading3"/>
      </w:pPr>
      <w:r>
        <w:t>Non-Residential Program Audit Summary</w:t>
      </w:r>
    </w:p>
    <w:p w:rsidR="00B9141F" w:rsidRPr="00D85274" w:rsidRDefault="00B9141F" w:rsidP="00B9141F">
      <w:pPr>
        <w:spacing w:after="120"/>
      </w:pPr>
      <w:r w:rsidRPr="00D85274">
        <w:t>The SWE Team reviewed p</w:t>
      </w:r>
      <w:r w:rsidRPr="00D85274">
        <w:rPr>
          <w:color w:val="000000"/>
        </w:rPr>
        <w:t>roject files to audit the accuracy of the savings values stored in the program</w:t>
      </w:r>
      <w:r>
        <w:rPr>
          <w:color w:val="000000"/>
        </w:rPr>
        <w:t>-</w:t>
      </w:r>
      <w:r w:rsidRPr="00D85274">
        <w:rPr>
          <w:color w:val="000000"/>
        </w:rPr>
        <w:t xml:space="preserve">tracking database and to confirm that calculations were performed in accordance with the applicable TRM, or by another appropriate methodology. </w:t>
      </w:r>
      <w:r w:rsidRPr="00D85274">
        <w:t>The SWE Team reviewed eight projects in Penn Power’s PY7 non-residential program</w:t>
      </w:r>
      <w:r>
        <w:t>s</w:t>
      </w:r>
      <w:r w:rsidRPr="00D85274">
        <w:t xml:space="preserve"> across various measures, including process improvements, ductless heat pumps, industrial process improvement, and interior and exterior lighting. In PY7, the SWE saw marked improvement in the consistency, orderliness, and organization of project files. This was aided by the consistent inclusion of site-specific cover page</w:t>
      </w:r>
      <w:r>
        <w:t>s,</w:t>
      </w:r>
      <w:r w:rsidRPr="00D85274">
        <w:t xml:space="preserve"> which helped the SWE follow the </w:t>
      </w:r>
      <w:r>
        <w:rPr>
          <w:color w:val="000000"/>
        </w:rPr>
        <w:t xml:space="preserve">evaluation contractor’s </w:t>
      </w:r>
      <w:r w:rsidRPr="00D85274">
        <w:t>method and progression. At this time, the SWE Team only recommends that in the interest of transparency, only the SWE-supplied Appendix C calculator be used for lighting projects moving forward.</w:t>
      </w:r>
    </w:p>
    <w:p w:rsidR="00B9141F" w:rsidRPr="00D85274" w:rsidRDefault="00B9141F" w:rsidP="00B9141F"/>
    <w:p w:rsidR="00B9141F" w:rsidRPr="00D85274" w:rsidRDefault="00B9141F" w:rsidP="00B9141F">
      <w:r w:rsidRPr="00D85274">
        <w:t>The SWE Team reviewed Penn Power’s PY7 sample design to ensure its compliance with the Evaluation Framework. The results are displayed in</w:t>
      </w:r>
      <w:r w:rsidR="00DB65BC">
        <w:t xml:space="preserve"> </w:t>
      </w:r>
      <w:r w:rsidR="00DB65BC">
        <w:fldChar w:fldCharType="begin"/>
      </w:r>
      <w:r w:rsidR="00DB65BC">
        <w:instrText xml:space="preserve"> REF _Ref472393181 \h </w:instrText>
      </w:r>
      <w:r w:rsidR="00DB65BC">
        <w:fldChar w:fldCharType="separate"/>
      </w:r>
      <w:r w:rsidR="00037CB4">
        <w:t>Table A-</w:t>
      </w:r>
      <w:r w:rsidR="00037CB4">
        <w:rPr>
          <w:noProof/>
        </w:rPr>
        <w:t>75</w:t>
      </w:r>
      <w:r w:rsidR="00DB65BC">
        <w:fldChar w:fldCharType="end"/>
      </w:r>
      <w:r w:rsidR="00DB65BC">
        <w:t xml:space="preserve">, </w:t>
      </w:r>
      <w:r w:rsidRPr="00D85274">
        <w:t>showing relative precision at the 85% confidence level.</w:t>
      </w:r>
    </w:p>
    <w:p w:rsidR="00B9141F" w:rsidRPr="00D85274" w:rsidRDefault="00B9141F" w:rsidP="00B9141F"/>
    <w:p w:rsidR="00B9141F" w:rsidRPr="00D85274" w:rsidRDefault="00B9141F" w:rsidP="004837FA">
      <w:pPr>
        <w:pStyle w:val="Caption"/>
      </w:pPr>
      <w:bookmarkStart w:id="935" w:name="_Ref472393181"/>
      <w:bookmarkStart w:id="936" w:name="_Toc409225061"/>
      <w:bookmarkStart w:id="937" w:name="_Toc409443613"/>
      <w:bookmarkStart w:id="938" w:name="_Toc445206228"/>
      <w:bookmarkStart w:id="939" w:name="_Toc472472484"/>
      <w:bookmarkStart w:id="940" w:name="_Toc488741903"/>
      <w:r>
        <w:t>Table A-</w:t>
      </w:r>
      <w:r w:rsidR="007973A4">
        <w:fldChar w:fldCharType="begin"/>
      </w:r>
      <w:r w:rsidR="007973A4">
        <w:instrText xml:space="preserve"> SEQ Table_A- \* ARABIC </w:instrText>
      </w:r>
      <w:r w:rsidR="007973A4">
        <w:fldChar w:fldCharType="separate"/>
      </w:r>
      <w:r w:rsidR="00037CB4">
        <w:rPr>
          <w:noProof/>
        </w:rPr>
        <w:t>75</w:t>
      </w:r>
      <w:r w:rsidR="007973A4">
        <w:rPr>
          <w:noProof/>
        </w:rPr>
        <w:fldChar w:fldCharType="end"/>
      </w:r>
      <w:bookmarkEnd w:id="935"/>
      <w:r w:rsidRPr="00D85274">
        <w:t>: Compliance across Sample Designs for Penn Power’s PY7 Non-Residential Program Groups</w:t>
      </w:r>
      <w:bookmarkEnd w:id="936"/>
      <w:bookmarkEnd w:id="937"/>
      <w:bookmarkEnd w:id="938"/>
      <w:bookmarkEnd w:id="939"/>
      <w:bookmarkEnd w:id="940"/>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700"/>
        <w:gridCol w:w="2220"/>
        <w:gridCol w:w="2220"/>
        <w:gridCol w:w="2220"/>
      </w:tblGrid>
      <w:tr w:rsidR="00A874AC" w:rsidRPr="00116463" w:rsidTr="00116463">
        <w:trPr>
          <w:trHeight w:val="432"/>
          <w:tblHeader/>
        </w:trPr>
        <w:tc>
          <w:tcPr>
            <w:tcW w:w="2700" w:type="dxa"/>
            <w:shd w:val="clear" w:color="000000" w:fill="448A99"/>
            <w:vAlign w:val="bottom"/>
            <w:hideMark/>
          </w:tcPr>
          <w:p w:rsidR="00B9141F" w:rsidRPr="00116463" w:rsidRDefault="00B9141F" w:rsidP="00AC55E9">
            <w:pPr>
              <w:rPr>
                <w:b/>
                <w:bCs/>
                <w:color w:val="FFFFFF"/>
                <w:sz w:val="19"/>
                <w:szCs w:val="19"/>
              </w:rPr>
            </w:pPr>
            <w:r w:rsidRPr="00116463">
              <w:rPr>
                <w:b/>
                <w:bCs/>
                <w:color w:val="FFFFFF"/>
                <w:sz w:val="19"/>
                <w:szCs w:val="19"/>
              </w:rPr>
              <w:t>Program</w:t>
            </w:r>
          </w:p>
        </w:tc>
        <w:tc>
          <w:tcPr>
            <w:tcW w:w="2220" w:type="dxa"/>
            <w:shd w:val="clear" w:color="000000" w:fill="448A99"/>
            <w:vAlign w:val="bottom"/>
            <w:hideMark/>
          </w:tcPr>
          <w:p w:rsidR="00B9141F" w:rsidRPr="00116463" w:rsidRDefault="00B9141F" w:rsidP="00AC55E9">
            <w:pPr>
              <w:jc w:val="center"/>
              <w:rPr>
                <w:b/>
                <w:bCs/>
                <w:color w:val="FFFFFF"/>
                <w:sz w:val="19"/>
                <w:szCs w:val="19"/>
              </w:rPr>
            </w:pPr>
            <w:r w:rsidRPr="00116463">
              <w:rPr>
                <w:b/>
                <w:bCs/>
                <w:color w:val="FFFFFF"/>
                <w:sz w:val="19"/>
                <w:szCs w:val="19"/>
              </w:rPr>
              <w:t>Relative Precision at 85% CL for Energy</w:t>
            </w:r>
          </w:p>
        </w:tc>
        <w:tc>
          <w:tcPr>
            <w:tcW w:w="2220" w:type="dxa"/>
            <w:shd w:val="clear" w:color="000000" w:fill="448A99"/>
            <w:vAlign w:val="bottom"/>
            <w:hideMark/>
          </w:tcPr>
          <w:p w:rsidR="00B9141F" w:rsidRPr="00116463" w:rsidRDefault="00B9141F" w:rsidP="00AC55E9">
            <w:pPr>
              <w:jc w:val="center"/>
              <w:rPr>
                <w:b/>
                <w:bCs/>
                <w:color w:val="FFFFFF"/>
                <w:sz w:val="19"/>
                <w:szCs w:val="19"/>
              </w:rPr>
            </w:pPr>
            <w:r w:rsidRPr="00116463">
              <w:rPr>
                <w:b/>
                <w:bCs/>
                <w:color w:val="FFFFFF"/>
                <w:sz w:val="19"/>
                <w:szCs w:val="19"/>
              </w:rPr>
              <w:t>Relative Precision at 85% CL for Demand</w:t>
            </w:r>
          </w:p>
        </w:tc>
        <w:tc>
          <w:tcPr>
            <w:tcW w:w="2220" w:type="dxa"/>
            <w:shd w:val="clear" w:color="000000" w:fill="448A99"/>
            <w:vAlign w:val="bottom"/>
            <w:hideMark/>
          </w:tcPr>
          <w:p w:rsidR="00B9141F" w:rsidRPr="00116463" w:rsidRDefault="00B9141F" w:rsidP="00AC55E9">
            <w:pPr>
              <w:jc w:val="center"/>
              <w:rPr>
                <w:b/>
                <w:bCs/>
                <w:color w:val="FFFFFF"/>
                <w:sz w:val="19"/>
                <w:szCs w:val="19"/>
              </w:rPr>
            </w:pPr>
            <w:r w:rsidRPr="00116463">
              <w:rPr>
                <w:b/>
                <w:bCs/>
                <w:color w:val="FFFFFF"/>
                <w:sz w:val="19"/>
                <w:szCs w:val="19"/>
              </w:rPr>
              <w:t>Compliance with Evaluation Framework</w:t>
            </w:r>
          </w:p>
        </w:tc>
      </w:tr>
      <w:tr w:rsidR="00A874AC" w:rsidRPr="00116463" w:rsidTr="008B741E">
        <w:trPr>
          <w:trHeight w:val="346"/>
        </w:trPr>
        <w:tc>
          <w:tcPr>
            <w:tcW w:w="2700" w:type="dxa"/>
            <w:shd w:val="clear" w:color="000000" w:fill="D2EAF1"/>
            <w:noWrap/>
            <w:vAlign w:val="center"/>
          </w:tcPr>
          <w:p w:rsidR="00B9141F" w:rsidRPr="00116463" w:rsidRDefault="00B9141F" w:rsidP="00AC55E9">
            <w:pPr>
              <w:rPr>
                <w:bCs/>
                <w:color w:val="000000"/>
                <w:sz w:val="19"/>
                <w:szCs w:val="19"/>
              </w:rPr>
            </w:pPr>
            <w:r w:rsidRPr="00116463">
              <w:rPr>
                <w:sz w:val="19"/>
                <w:szCs w:val="19"/>
              </w:rPr>
              <w:t>Small C/I Equipment</w:t>
            </w:r>
          </w:p>
        </w:tc>
        <w:tc>
          <w:tcPr>
            <w:tcW w:w="2220" w:type="dxa"/>
            <w:shd w:val="clear" w:color="000000" w:fill="D2EAF1"/>
            <w:noWrap/>
            <w:vAlign w:val="center"/>
          </w:tcPr>
          <w:p w:rsidR="00B9141F" w:rsidRPr="00116463" w:rsidRDefault="00B9141F" w:rsidP="00AC55E9">
            <w:pPr>
              <w:jc w:val="center"/>
              <w:rPr>
                <w:color w:val="000000"/>
                <w:sz w:val="19"/>
                <w:szCs w:val="19"/>
              </w:rPr>
            </w:pPr>
            <w:r w:rsidRPr="00116463">
              <w:rPr>
                <w:color w:val="000000"/>
                <w:sz w:val="19"/>
                <w:szCs w:val="19"/>
              </w:rPr>
              <w:t>13.3%</w:t>
            </w:r>
          </w:p>
        </w:tc>
        <w:tc>
          <w:tcPr>
            <w:tcW w:w="2220" w:type="dxa"/>
            <w:shd w:val="clear" w:color="000000" w:fill="D2EAF1"/>
            <w:noWrap/>
            <w:vAlign w:val="center"/>
          </w:tcPr>
          <w:p w:rsidR="00B9141F" w:rsidRPr="00116463" w:rsidRDefault="00B9141F" w:rsidP="00AC55E9">
            <w:pPr>
              <w:jc w:val="center"/>
              <w:rPr>
                <w:color w:val="000000"/>
                <w:sz w:val="19"/>
                <w:szCs w:val="19"/>
              </w:rPr>
            </w:pPr>
            <w:r w:rsidRPr="00116463">
              <w:rPr>
                <w:color w:val="000000"/>
                <w:sz w:val="19"/>
                <w:szCs w:val="19"/>
              </w:rPr>
              <w:t>14.4%</w:t>
            </w:r>
          </w:p>
        </w:tc>
        <w:tc>
          <w:tcPr>
            <w:tcW w:w="2220" w:type="dxa"/>
            <w:shd w:val="clear" w:color="000000" w:fill="D2EAF1"/>
            <w:noWrap/>
            <w:vAlign w:val="center"/>
          </w:tcPr>
          <w:p w:rsidR="00B9141F" w:rsidRPr="00116463" w:rsidRDefault="00B9141F" w:rsidP="00AC55E9">
            <w:pPr>
              <w:jc w:val="center"/>
              <w:rPr>
                <w:color w:val="000000"/>
                <w:sz w:val="19"/>
                <w:szCs w:val="19"/>
              </w:rPr>
            </w:pPr>
            <w:r w:rsidRPr="00116463">
              <w:rPr>
                <w:color w:val="00B050"/>
                <w:sz w:val="19"/>
                <w:szCs w:val="19"/>
              </w:rPr>
              <w:sym w:font="Wingdings" w:char="F0FC"/>
            </w:r>
          </w:p>
        </w:tc>
      </w:tr>
      <w:tr w:rsidR="00E7173E" w:rsidRPr="00116463" w:rsidTr="00AB3C36">
        <w:trPr>
          <w:trHeight w:val="346"/>
        </w:trPr>
        <w:tc>
          <w:tcPr>
            <w:tcW w:w="2700" w:type="dxa"/>
            <w:shd w:val="clear" w:color="auto" w:fill="auto"/>
            <w:noWrap/>
            <w:vAlign w:val="center"/>
          </w:tcPr>
          <w:p w:rsidR="00B9141F" w:rsidRPr="00116463" w:rsidRDefault="00B9141F" w:rsidP="00AC55E9">
            <w:pPr>
              <w:rPr>
                <w:bCs/>
                <w:color w:val="000000"/>
                <w:sz w:val="19"/>
                <w:szCs w:val="19"/>
              </w:rPr>
            </w:pPr>
            <w:r w:rsidRPr="00116463">
              <w:rPr>
                <w:sz w:val="19"/>
                <w:szCs w:val="19"/>
              </w:rPr>
              <w:t>Small C/I Buildings</w:t>
            </w:r>
          </w:p>
        </w:tc>
        <w:tc>
          <w:tcPr>
            <w:tcW w:w="2220" w:type="dxa"/>
            <w:shd w:val="clear" w:color="auto" w:fill="auto"/>
            <w:noWrap/>
            <w:vAlign w:val="center"/>
          </w:tcPr>
          <w:p w:rsidR="00B9141F" w:rsidRPr="00116463" w:rsidRDefault="00B9141F" w:rsidP="00AC55E9">
            <w:pPr>
              <w:jc w:val="center"/>
              <w:rPr>
                <w:color w:val="000000"/>
                <w:sz w:val="19"/>
                <w:szCs w:val="19"/>
              </w:rPr>
            </w:pPr>
            <w:r w:rsidRPr="00116463">
              <w:rPr>
                <w:color w:val="000000"/>
                <w:sz w:val="19"/>
                <w:szCs w:val="19"/>
              </w:rPr>
              <w:t>11.2%</w:t>
            </w:r>
          </w:p>
        </w:tc>
        <w:tc>
          <w:tcPr>
            <w:tcW w:w="2220" w:type="dxa"/>
            <w:shd w:val="clear" w:color="auto" w:fill="auto"/>
            <w:noWrap/>
            <w:vAlign w:val="center"/>
          </w:tcPr>
          <w:p w:rsidR="00B9141F" w:rsidRPr="00116463" w:rsidRDefault="00B9141F" w:rsidP="00AC55E9">
            <w:pPr>
              <w:jc w:val="center"/>
              <w:rPr>
                <w:color w:val="000000"/>
                <w:sz w:val="19"/>
                <w:szCs w:val="19"/>
              </w:rPr>
            </w:pPr>
            <w:r w:rsidRPr="00116463">
              <w:rPr>
                <w:color w:val="000000"/>
                <w:sz w:val="19"/>
                <w:szCs w:val="19"/>
              </w:rPr>
              <w:t>9.4%</w:t>
            </w:r>
          </w:p>
        </w:tc>
        <w:tc>
          <w:tcPr>
            <w:tcW w:w="2220" w:type="dxa"/>
            <w:shd w:val="clear" w:color="auto" w:fill="auto"/>
            <w:noWrap/>
            <w:vAlign w:val="center"/>
          </w:tcPr>
          <w:p w:rsidR="00B9141F" w:rsidRPr="00116463" w:rsidRDefault="00B9141F" w:rsidP="00AC55E9">
            <w:pPr>
              <w:jc w:val="center"/>
              <w:rPr>
                <w:color w:val="FF0000"/>
                <w:sz w:val="19"/>
                <w:szCs w:val="19"/>
              </w:rPr>
            </w:pPr>
            <w:r w:rsidRPr="00116463">
              <w:rPr>
                <w:color w:val="00B050"/>
                <w:sz w:val="19"/>
                <w:szCs w:val="19"/>
              </w:rPr>
              <w:sym w:font="Wingdings" w:char="F0FC"/>
            </w:r>
          </w:p>
        </w:tc>
      </w:tr>
      <w:tr w:rsidR="00A874AC" w:rsidRPr="00116463" w:rsidTr="008B741E">
        <w:trPr>
          <w:trHeight w:val="346"/>
        </w:trPr>
        <w:tc>
          <w:tcPr>
            <w:tcW w:w="2700" w:type="dxa"/>
            <w:shd w:val="clear" w:color="000000" w:fill="D2EAF1"/>
            <w:noWrap/>
            <w:vAlign w:val="center"/>
          </w:tcPr>
          <w:p w:rsidR="00B9141F" w:rsidRPr="00116463" w:rsidRDefault="00B9141F" w:rsidP="00AC55E9">
            <w:pPr>
              <w:rPr>
                <w:bCs/>
                <w:color w:val="000000"/>
                <w:sz w:val="19"/>
                <w:szCs w:val="19"/>
              </w:rPr>
            </w:pPr>
            <w:r w:rsidRPr="00116463">
              <w:rPr>
                <w:sz w:val="19"/>
                <w:szCs w:val="19"/>
              </w:rPr>
              <w:t>Large C/I Equipment</w:t>
            </w:r>
          </w:p>
        </w:tc>
        <w:tc>
          <w:tcPr>
            <w:tcW w:w="2220" w:type="dxa"/>
            <w:shd w:val="clear" w:color="000000" w:fill="D2EAF1"/>
            <w:noWrap/>
            <w:vAlign w:val="center"/>
          </w:tcPr>
          <w:p w:rsidR="00B9141F" w:rsidRPr="00116463" w:rsidRDefault="00B9141F" w:rsidP="00AC55E9">
            <w:pPr>
              <w:jc w:val="center"/>
              <w:rPr>
                <w:bCs/>
                <w:color w:val="000000"/>
                <w:sz w:val="19"/>
                <w:szCs w:val="19"/>
              </w:rPr>
            </w:pPr>
            <w:r w:rsidRPr="00116463">
              <w:rPr>
                <w:bCs/>
                <w:color w:val="000000"/>
                <w:sz w:val="19"/>
                <w:szCs w:val="19"/>
              </w:rPr>
              <w:t>11.9%</w:t>
            </w:r>
          </w:p>
        </w:tc>
        <w:tc>
          <w:tcPr>
            <w:tcW w:w="2220" w:type="dxa"/>
            <w:shd w:val="clear" w:color="000000" w:fill="D2EAF1"/>
            <w:noWrap/>
            <w:vAlign w:val="center"/>
          </w:tcPr>
          <w:p w:rsidR="00B9141F" w:rsidRPr="00116463" w:rsidRDefault="00B9141F" w:rsidP="00AC55E9">
            <w:pPr>
              <w:jc w:val="center"/>
              <w:rPr>
                <w:bCs/>
                <w:color w:val="000000"/>
                <w:sz w:val="19"/>
                <w:szCs w:val="19"/>
              </w:rPr>
            </w:pPr>
            <w:r w:rsidRPr="00116463">
              <w:rPr>
                <w:bCs/>
                <w:color w:val="000000"/>
                <w:sz w:val="19"/>
                <w:szCs w:val="19"/>
              </w:rPr>
              <w:t>12.4%</w:t>
            </w:r>
          </w:p>
        </w:tc>
        <w:tc>
          <w:tcPr>
            <w:tcW w:w="2220" w:type="dxa"/>
            <w:shd w:val="clear" w:color="000000" w:fill="D2EAF1"/>
            <w:noWrap/>
            <w:vAlign w:val="center"/>
          </w:tcPr>
          <w:p w:rsidR="00B9141F" w:rsidRPr="00116463" w:rsidRDefault="00B9141F" w:rsidP="00AC55E9">
            <w:pPr>
              <w:jc w:val="center"/>
              <w:rPr>
                <w:bCs/>
                <w:color w:val="FF0000"/>
                <w:sz w:val="19"/>
                <w:szCs w:val="19"/>
              </w:rPr>
            </w:pPr>
            <w:r w:rsidRPr="00116463">
              <w:rPr>
                <w:color w:val="00B050"/>
                <w:sz w:val="19"/>
                <w:szCs w:val="19"/>
              </w:rPr>
              <w:sym w:font="Wingdings" w:char="F0FC"/>
            </w:r>
          </w:p>
        </w:tc>
      </w:tr>
      <w:tr w:rsidR="00E7173E" w:rsidRPr="00116463" w:rsidTr="00AB3C36">
        <w:trPr>
          <w:trHeight w:val="346"/>
        </w:trPr>
        <w:tc>
          <w:tcPr>
            <w:tcW w:w="2700" w:type="dxa"/>
            <w:shd w:val="clear" w:color="auto" w:fill="auto"/>
            <w:noWrap/>
            <w:vAlign w:val="center"/>
          </w:tcPr>
          <w:p w:rsidR="00B9141F" w:rsidRPr="00116463" w:rsidRDefault="00B9141F" w:rsidP="00AC55E9">
            <w:pPr>
              <w:rPr>
                <w:bCs/>
                <w:color w:val="000000"/>
                <w:sz w:val="19"/>
                <w:szCs w:val="19"/>
              </w:rPr>
            </w:pPr>
            <w:r w:rsidRPr="00116463">
              <w:rPr>
                <w:sz w:val="19"/>
                <w:szCs w:val="19"/>
              </w:rPr>
              <w:t>Large C/I Buildings</w:t>
            </w:r>
          </w:p>
        </w:tc>
        <w:tc>
          <w:tcPr>
            <w:tcW w:w="2220" w:type="dxa"/>
            <w:shd w:val="clear" w:color="auto" w:fill="auto"/>
            <w:noWrap/>
            <w:vAlign w:val="center"/>
          </w:tcPr>
          <w:p w:rsidR="00B9141F" w:rsidRPr="00116463" w:rsidRDefault="00B9141F" w:rsidP="00AC55E9">
            <w:pPr>
              <w:jc w:val="center"/>
              <w:rPr>
                <w:bCs/>
                <w:color w:val="000000"/>
                <w:sz w:val="19"/>
                <w:szCs w:val="19"/>
              </w:rPr>
            </w:pPr>
            <w:r w:rsidRPr="00116463">
              <w:rPr>
                <w:bCs/>
                <w:color w:val="000000"/>
                <w:sz w:val="19"/>
                <w:szCs w:val="19"/>
              </w:rPr>
              <w:t>2.2%</w:t>
            </w:r>
          </w:p>
        </w:tc>
        <w:tc>
          <w:tcPr>
            <w:tcW w:w="2220" w:type="dxa"/>
            <w:shd w:val="clear" w:color="auto" w:fill="auto"/>
            <w:noWrap/>
            <w:vAlign w:val="center"/>
          </w:tcPr>
          <w:p w:rsidR="00B9141F" w:rsidRPr="00116463" w:rsidRDefault="00B9141F" w:rsidP="00AC55E9">
            <w:pPr>
              <w:jc w:val="center"/>
              <w:rPr>
                <w:bCs/>
                <w:color w:val="000000"/>
                <w:sz w:val="19"/>
                <w:szCs w:val="19"/>
              </w:rPr>
            </w:pPr>
            <w:r w:rsidRPr="00116463">
              <w:rPr>
                <w:bCs/>
                <w:color w:val="000000"/>
                <w:sz w:val="19"/>
                <w:szCs w:val="19"/>
              </w:rPr>
              <w:t>0.0%</w:t>
            </w:r>
          </w:p>
        </w:tc>
        <w:tc>
          <w:tcPr>
            <w:tcW w:w="2220" w:type="dxa"/>
            <w:shd w:val="clear" w:color="auto" w:fill="auto"/>
            <w:noWrap/>
            <w:vAlign w:val="center"/>
          </w:tcPr>
          <w:p w:rsidR="00B9141F" w:rsidRPr="00116463" w:rsidRDefault="00B9141F" w:rsidP="00AC55E9">
            <w:pPr>
              <w:jc w:val="center"/>
              <w:rPr>
                <w:color w:val="00B050"/>
                <w:sz w:val="19"/>
                <w:szCs w:val="19"/>
              </w:rPr>
            </w:pPr>
            <w:r w:rsidRPr="00116463">
              <w:rPr>
                <w:color w:val="00B050"/>
                <w:sz w:val="19"/>
                <w:szCs w:val="19"/>
              </w:rPr>
              <w:sym w:font="Wingdings" w:char="F0FC"/>
            </w:r>
          </w:p>
        </w:tc>
      </w:tr>
      <w:tr w:rsidR="00A874AC" w:rsidRPr="00116463" w:rsidTr="008B741E">
        <w:trPr>
          <w:trHeight w:val="346"/>
        </w:trPr>
        <w:tc>
          <w:tcPr>
            <w:tcW w:w="2700" w:type="dxa"/>
            <w:shd w:val="clear" w:color="auto" w:fill="D2EAF1"/>
            <w:noWrap/>
            <w:vAlign w:val="center"/>
          </w:tcPr>
          <w:p w:rsidR="00B9141F" w:rsidRPr="00116463" w:rsidRDefault="00B9141F" w:rsidP="00AC55E9">
            <w:pPr>
              <w:rPr>
                <w:bCs/>
                <w:color w:val="000000"/>
                <w:sz w:val="19"/>
                <w:szCs w:val="19"/>
              </w:rPr>
            </w:pPr>
            <w:r w:rsidRPr="00116463">
              <w:rPr>
                <w:sz w:val="19"/>
                <w:szCs w:val="19"/>
              </w:rPr>
              <w:t>Government/Institutional</w:t>
            </w:r>
          </w:p>
        </w:tc>
        <w:tc>
          <w:tcPr>
            <w:tcW w:w="2220" w:type="dxa"/>
            <w:shd w:val="clear" w:color="auto" w:fill="D2EAF1"/>
            <w:noWrap/>
            <w:vAlign w:val="center"/>
          </w:tcPr>
          <w:p w:rsidR="00B9141F" w:rsidRPr="00116463" w:rsidRDefault="00B9141F" w:rsidP="00AC55E9">
            <w:pPr>
              <w:jc w:val="center"/>
              <w:rPr>
                <w:bCs/>
                <w:color w:val="000000"/>
                <w:sz w:val="19"/>
                <w:szCs w:val="19"/>
              </w:rPr>
            </w:pPr>
            <w:r w:rsidRPr="00116463">
              <w:rPr>
                <w:bCs/>
                <w:color w:val="000000"/>
                <w:sz w:val="19"/>
                <w:szCs w:val="19"/>
              </w:rPr>
              <w:t>13.7%</w:t>
            </w:r>
          </w:p>
        </w:tc>
        <w:tc>
          <w:tcPr>
            <w:tcW w:w="2220" w:type="dxa"/>
            <w:shd w:val="clear" w:color="auto" w:fill="D2EAF1"/>
            <w:noWrap/>
            <w:vAlign w:val="center"/>
          </w:tcPr>
          <w:p w:rsidR="00B9141F" w:rsidRPr="00116463" w:rsidRDefault="00B9141F" w:rsidP="00AC55E9">
            <w:pPr>
              <w:jc w:val="center"/>
              <w:rPr>
                <w:bCs/>
                <w:color w:val="000000"/>
                <w:sz w:val="19"/>
                <w:szCs w:val="19"/>
              </w:rPr>
            </w:pPr>
            <w:r w:rsidRPr="00116463">
              <w:rPr>
                <w:bCs/>
                <w:color w:val="000000"/>
                <w:sz w:val="19"/>
                <w:szCs w:val="19"/>
              </w:rPr>
              <w:t>100.0%</w:t>
            </w:r>
          </w:p>
        </w:tc>
        <w:tc>
          <w:tcPr>
            <w:tcW w:w="2220" w:type="dxa"/>
            <w:shd w:val="clear" w:color="auto" w:fill="D2EAF1"/>
            <w:noWrap/>
            <w:vAlign w:val="center"/>
          </w:tcPr>
          <w:p w:rsidR="00B9141F" w:rsidRPr="00116463" w:rsidRDefault="00B9141F" w:rsidP="00AC55E9">
            <w:pPr>
              <w:jc w:val="center"/>
              <w:rPr>
                <w:color w:val="00B050"/>
                <w:sz w:val="19"/>
                <w:szCs w:val="19"/>
              </w:rPr>
            </w:pPr>
            <w:r w:rsidRPr="00116463">
              <w:rPr>
                <w:color w:val="00B050"/>
                <w:sz w:val="19"/>
                <w:szCs w:val="19"/>
              </w:rPr>
              <w:sym w:font="Wingdings" w:char="F0FC"/>
            </w:r>
          </w:p>
        </w:tc>
      </w:tr>
    </w:tbl>
    <w:p w:rsidR="00B9141F" w:rsidRPr="00D85274" w:rsidRDefault="00B9141F" w:rsidP="00B9141F"/>
    <w:p w:rsidR="00B9141F" w:rsidRPr="00D85274" w:rsidRDefault="00B9141F" w:rsidP="00B9141F">
      <w:pPr>
        <w:rPr>
          <w:color w:val="000000"/>
        </w:rPr>
      </w:pPr>
      <w:r w:rsidRPr="00D85274">
        <w:t xml:space="preserve">Penn Power met the goal of 15% precision at the 85% confidence level for energy for all non-residential program groups. Details concerning each program evaluation sample are provided </w:t>
      </w:r>
      <w:r w:rsidR="006558C9">
        <w:t>below</w:t>
      </w:r>
      <w:r w:rsidRPr="00D85274">
        <w:t>.</w:t>
      </w:r>
    </w:p>
    <w:p w:rsidR="00B9141F" w:rsidRPr="00D85274" w:rsidRDefault="00B9141F" w:rsidP="00B9141F">
      <w:pPr>
        <w:rPr>
          <w:color w:val="000000"/>
        </w:rPr>
      </w:pPr>
    </w:p>
    <w:p w:rsidR="00B9141F" w:rsidRPr="00D85274" w:rsidRDefault="00B9141F" w:rsidP="00B9141F">
      <w:pPr>
        <w:rPr>
          <w:color w:val="000000"/>
        </w:rPr>
      </w:pPr>
      <w:r w:rsidRPr="00D85274">
        <w:rPr>
          <w:color w:val="000000"/>
        </w:rPr>
        <w:t xml:space="preserve">As part of the audit process, the SWE Team performed </w:t>
      </w:r>
      <w:r>
        <w:rPr>
          <w:color w:val="000000"/>
        </w:rPr>
        <w:t>seven</w:t>
      </w:r>
      <w:r w:rsidRPr="00D85274">
        <w:rPr>
          <w:color w:val="000000"/>
        </w:rPr>
        <w:t xml:space="preserve"> ride-along site inspections of non-residential projects to oversee Penn Power’s on-site evaluation practices. The projects included lighting upgrades, VFDs on pumps, and EMS upgrades. The SWE Team approved all of the sampled project inspections</w:t>
      </w:r>
      <w:r>
        <w:rPr>
          <w:color w:val="000000"/>
        </w:rPr>
        <w:t>. H</w:t>
      </w:r>
      <w:r w:rsidRPr="00D85274">
        <w:rPr>
          <w:color w:val="000000"/>
        </w:rPr>
        <w:t>owever</w:t>
      </w:r>
      <w:r>
        <w:rPr>
          <w:color w:val="000000"/>
        </w:rPr>
        <w:t>,</w:t>
      </w:r>
      <w:r w:rsidRPr="00D85274">
        <w:rPr>
          <w:color w:val="000000"/>
        </w:rPr>
        <w:t xml:space="preserve"> the SWE </w:t>
      </w:r>
      <w:r>
        <w:rPr>
          <w:color w:val="000000"/>
        </w:rPr>
        <w:t>T</w:t>
      </w:r>
      <w:r w:rsidRPr="00D85274">
        <w:rPr>
          <w:color w:val="000000"/>
        </w:rPr>
        <w:t xml:space="preserve">eam recommends that </w:t>
      </w:r>
      <w:r>
        <w:rPr>
          <w:color w:val="000000"/>
        </w:rPr>
        <w:t>Penn Power</w:t>
      </w:r>
      <w:r w:rsidRPr="00D85274">
        <w:rPr>
          <w:color w:val="000000"/>
        </w:rPr>
        <w:t xml:space="preserve"> only use the </w:t>
      </w:r>
      <w:r w:rsidRPr="00D85274">
        <w:t xml:space="preserve">SWE-supplied </w:t>
      </w:r>
      <w:r w:rsidRPr="00D85274">
        <w:rPr>
          <w:color w:val="000000"/>
        </w:rPr>
        <w:t xml:space="preserve">Appendix C calculator for lighting projects moving forward. Details of all reviewed projects and associated findings are presented </w:t>
      </w:r>
      <w:r w:rsidR="006558C9">
        <w:rPr>
          <w:color w:val="000000"/>
        </w:rPr>
        <w:t>below</w:t>
      </w:r>
      <w:r w:rsidRPr="00D85274">
        <w:rPr>
          <w:color w:val="000000"/>
        </w:rPr>
        <w:t>.</w:t>
      </w:r>
    </w:p>
    <w:p w:rsidR="00B9141F" w:rsidRPr="00D85274" w:rsidRDefault="00B9141F" w:rsidP="00B9141F"/>
    <w:p w:rsidR="00B9141F" w:rsidRDefault="00B9141F" w:rsidP="00B9141F">
      <w:r w:rsidRPr="00B9141F">
        <w:t>The SWE Team performed a verified savings analysis on three submitted projects, checking the accuracy of the calculations and appropriateness of the evaluation method and level of rigor selections. The SWE Team found the level of rigor chosen by the evaluation contractor to be reasonable, based on project size and uncertainty. There was significant improvement in the presentation of M&amp;V methodology and results in PY7 with the inclusion of a site-level report in each project file. Appendix B presents more detailed results of the verified savings analysis.</w:t>
      </w:r>
    </w:p>
    <w:p w:rsidR="00A35466" w:rsidRDefault="00A35466" w:rsidP="00B9141F"/>
    <w:p w:rsidR="00A35466" w:rsidRDefault="00A35466" w:rsidP="0055598C">
      <w:pPr>
        <w:pStyle w:val="AppendixAHeading4"/>
      </w:pPr>
      <w:r>
        <w:t>Project Files Review</w:t>
      </w:r>
    </w:p>
    <w:p w:rsidR="00A35466" w:rsidRDefault="00A35466" w:rsidP="00A35466">
      <w:pPr>
        <w:rPr>
          <w:color w:val="000000"/>
        </w:rPr>
      </w:pPr>
      <w:r w:rsidRPr="003458B1">
        <w:rPr>
          <w:color w:val="000000"/>
        </w:rPr>
        <w:t xml:space="preserve">The SWE Team reviewed eight projects in Penn Power’s PY7 program across various measures, including process improvements, ductless heat pumps, industrial process improvement, and interior and exterior lighting. The submitted files included project-level savings calculation workbooks, application forms, measure installation confirmation, equipment specification sheets, invoices, post-installation inspection reports, and other supporting documents. In general, the submitted project files provided thorough documentation for SWE Team review. </w:t>
      </w:r>
    </w:p>
    <w:p w:rsidR="00A35466" w:rsidRDefault="00A35466" w:rsidP="00A35466">
      <w:pPr>
        <w:rPr>
          <w:color w:val="000000"/>
        </w:rPr>
      </w:pPr>
    </w:p>
    <w:p w:rsidR="008B741E" w:rsidRDefault="00A35466" w:rsidP="00A35466">
      <w:pPr>
        <w:rPr>
          <w:color w:val="000000"/>
        </w:rPr>
        <w:sectPr w:rsidR="008B741E" w:rsidSect="00116463">
          <w:type w:val="continuous"/>
          <w:pgSz w:w="12240" w:h="15840"/>
          <w:pgMar w:top="1440" w:right="1440" w:bottom="1440" w:left="1440" w:header="720" w:footer="288" w:gutter="0"/>
          <w:cols w:space="720"/>
          <w:titlePg/>
          <w:docGrid w:linePitch="360"/>
        </w:sectPr>
      </w:pPr>
      <w:r>
        <w:rPr>
          <w:color w:val="000000"/>
        </w:rPr>
        <w:fldChar w:fldCharType="begin"/>
      </w:r>
      <w:r>
        <w:rPr>
          <w:color w:val="000000"/>
        </w:rPr>
        <w:instrText xml:space="preserve"> REF _Ref472468507 \h </w:instrText>
      </w:r>
      <w:r>
        <w:rPr>
          <w:color w:val="000000"/>
        </w:rPr>
      </w:r>
      <w:r>
        <w:rPr>
          <w:color w:val="000000"/>
        </w:rPr>
        <w:fldChar w:fldCharType="separate"/>
      </w:r>
      <w:r w:rsidR="00037CB4">
        <w:t>Table A-</w:t>
      </w:r>
      <w:r w:rsidR="00037CB4">
        <w:rPr>
          <w:noProof/>
        </w:rPr>
        <w:t>76</w:t>
      </w:r>
      <w:r>
        <w:rPr>
          <w:color w:val="000000"/>
        </w:rPr>
        <w:fldChar w:fldCharType="end"/>
      </w:r>
      <w:r>
        <w:rPr>
          <w:color w:val="000000"/>
        </w:rPr>
        <w:t xml:space="preserve"> </w:t>
      </w:r>
      <w:r w:rsidRPr="006E6583">
        <w:rPr>
          <w:color w:val="000000"/>
        </w:rPr>
        <w:t xml:space="preserve">presents an overview of the projects that were reviewed by the SWE </w:t>
      </w:r>
      <w:r>
        <w:rPr>
          <w:color w:val="000000"/>
        </w:rPr>
        <w:t xml:space="preserve">Team </w:t>
      </w:r>
      <w:r w:rsidRPr="006E6583">
        <w:rPr>
          <w:color w:val="000000"/>
        </w:rPr>
        <w:t xml:space="preserve">and </w:t>
      </w:r>
      <w:r>
        <w:rPr>
          <w:color w:val="000000"/>
        </w:rPr>
        <w:t>the</w:t>
      </w:r>
      <w:r w:rsidRPr="006E6583">
        <w:rPr>
          <w:color w:val="000000"/>
        </w:rPr>
        <w:t xml:space="preserve"> findings</w:t>
      </w:r>
      <w:r>
        <w:rPr>
          <w:color w:val="000000"/>
        </w:rPr>
        <w:t>.</w:t>
      </w:r>
    </w:p>
    <w:p w:rsidR="00A35466" w:rsidRPr="00A35466" w:rsidRDefault="00A35466" w:rsidP="004837FA">
      <w:pPr>
        <w:pStyle w:val="Caption"/>
      </w:pPr>
      <w:bookmarkStart w:id="941" w:name="_Ref472468507"/>
      <w:bookmarkStart w:id="942" w:name="_Toc472472485"/>
      <w:bookmarkStart w:id="943" w:name="_Toc488741904"/>
      <w:r>
        <w:t>Table A-</w:t>
      </w:r>
      <w:r w:rsidR="007973A4">
        <w:fldChar w:fldCharType="begin"/>
      </w:r>
      <w:r w:rsidR="007973A4">
        <w:instrText xml:space="preserve"> SEQ Table_A- \* ARABIC </w:instrText>
      </w:r>
      <w:r w:rsidR="007973A4">
        <w:fldChar w:fldCharType="separate"/>
      </w:r>
      <w:r w:rsidR="00037CB4">
        <w:rPr>
          <w:noProof/>
        </w:rPr>
        <w:t>76</w:t>
      </w:r>
      <w:r w:rsidR="007973A4">
        <w:rPr>
          <w:noProof/>
        </w:rPr>
        <w:fldChar w:fldCharType="end"/>
      </w:r>
      <w:bookmarkEnd w:id="941"/>
      <w:r>
        <w:t xml:space="preserve">: </w:t>
      </w:r>
      <w:r w:rsidR="00506C59">
        <w:t>Penn Power</w:t>
      </w:r>
      <w:r w:rsidR="00AA3B54">
        <w:t xml:space="preserve"> </w:t>
      </w:r>
      <w:r>
        <w:t>Project Files Review Summary</w:t>
      </w:r>
      <w:bookmarkEnd w:id="942"/>
      <w:bookmarkEnd w:id="943"/>
    </w:p>
    <w:tbl>
      <w:tblPr>
        <w:tblStyle w:val="AnnualReportTableStyle"/>
        <w:tblW w:w="13045" w:type="dxa"/>
        <w:tblLook w:val="04A0" w:firstRow="1" w:lastRow="0" w:firstColumn="1" w:lastColumn="0" w:noHBand="0" w:noVBand="1"/>
      </w:tblPr>
      <w:tblGrid>
        <w:gridCol w:w="1075"/>
        <w:gridCol w:w="1107"/>
        <w:gridCol w:w="3573"/>
        <w:gridCol w:w="1021"/>
        <w:gridCol w:w="930"/>
        <w:gridCol w:w="1469"/>
        <w:gridCol w:w="1004"/>
        <w:gridCol w:w="1106"/>
        <w:gridCol w:w="1760"/>
      </w:tblGrid>
      <w:tr w:rsidR="00A874AC" w:rsidRPr="00116463" w:rsidTr="00116463">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075" w:type="dxa"/>
            <w:noWrap/>
            <w:vAlign w:val="bottom"/>
            <w:hideMark/>
          </w:tcPr>
          <w:p w:rsidR="00A35466" w:rsidRPr="00116463" w:rsidRDefault="00A35466" w:rsidP="004F0C61">
            <w:pPr>
              <w:rPr>
                <w:bCs/>
                <w:sz w:val="19"/>
                <w:szCs w:val="19"/>
              </w:rPr>
            </w:pPr>
            <w:r w:rsidRPr="00116463">
              <w:rPr>
                <w:bCs/>
                <w:sz w:val="19"/>
                <w:szCs w:val="19"/>
              </w:rPr>
              <w:t>Project Number</w:t>
            </w:r>
          </w:p>
        </w:tc>
        <w:tc>
          <w:tcPr>
            <w:tcW w:w="1107" w:type="dxa"/>
            <w:noWrap/>
            <w:vAlign w:val="bottom"/>
            <w:hideMark/>
          </w:tcPr>
          <w:p w:rsidR="00A35466" w:rsidRPr="00116463"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16463">
              <w:rPr>
                <w:bCs/>
                <w:sz w:val="19"/>
                <w:szCs w:val="19"/>
              </w:rPr>
              <w:t>Program</w:t>
            </w:r>
          </w:p>
        </w:tc>
        <w:tc>
          <w:tcPr>
            <w:tcW w:w="3573" w:type="dxa"/>
            <w:vAlign w:val="bottom"/>
            <w:hideMark/>
          </w:tcPr>
          <w:p w:rsidR="00A35466" w:rsidRPr="00116463"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16463">
              <w:rPr>
                <w:bCs/>
                <w:sz w:val="19"/>
                <w:szCs w:val="19"/>
              </w:rPr>
              <w:t>Project Description</w:t>
            </w:r>
          </w:p>
        </w:tc>
        <w:tc>
          <w:tcPr>
            <w:tcW w:w="1021" w:type="dxa"/>
            <w:vAlign w:val="bottom"/>
            <w:hideMark/>
          </w:tcPr>
          <w:p w:rsidR="00A35466" w:rsidRPr="00116463"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16463">
              <w:rPr>
                <w:bCs/>
                <w:sz w:val="19"/>
                <w:szCs w:val="19"/>
              </w:rPr>
              <w:t>Are all files included?</w:t>
            </w:r>
          </w:p>
        </w:tc>
        <w:tc>
          <w:tcPr>
            <w:tcW w:w="930" w:type="dxa"/>
            <w:vAlign w:val="bottom"/>
            <w:hideMark/>
          </w:tcPr>
          <w:p w:rsidR="00A35466" w:rsidRPr="00116463"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16463">
              <w:rPr>
                <w:bCs/>
                <w:sz w:val="19"/>
                <w:szCs w:val="19"/>
              </w:rPr>
              <w:t>Do values match program tracking data?</w:t>
            </w:r>
          </w:p>
        </w:tc>
        <w:tc>
          <w:tcPr>
            <w:tcW w:w="1469" w:type="dxa"/>
            <w:vAlign w:val="bottom"/>
            <w:hideMark/>
          </w:tcPr>
          <w:p w:rsidR="00A35466" w:rsidRPr="00116463"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16463">
              <w:rPr>
                <w:bCs/>
                <w:sz w:val="19"/>
                <w:szCs w:val="19"/>
              </w:rPr>
              <w:t>Equipment discrepancy between invoices and calculations?</w:t>
            </w:r>
          </w:p>
        </w:tc>
        <w:tc>
          <w:tcPr>
            <w:tcW w:w="1004" w:type="dxa"/>
            <w:vAlign w:val="bottom"/>
            <w:hideMark/>
          </w:tcPr>
          <w:p w:rsidR="00A35466" w:rsidRPr="00116463"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16463">
              <w:rPr>
                <w:bCs/>
                <w:sz w:val="19"/>
                <w:szCs w:val="19"/>
              </w:rPr>
              <w:t>Sufficient info for SWE to follow?</w:t>
            </w:r>
          </w:p>
        </w:tc>
        <w:tc>
          <w:tcPr>
            <w:tcW w:w="1106" w:type="dxa"/>
            <w:vAlign w:val="bottom"/>
            <w:hideMark/>
          </w:tcPr>
          <w:p w:rsidR="00A35466" w:rsidRPr="00116463"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16463">
              <w:rPr>
                <w:bCs/>
                <w:sz w:val="19"/>
                <w:szCs w:val="19"/>
              </w:rPr>
              <w:t>For TRM measures, are correct algorithms and HOU values used?</w:t>
            </w:r>
          </w:p>
        </w:tc>
        <w:tc>
          <w:tcPr>
            <w:tcW w:w="1760" w:type="dxa"/>
            <w:vAlign w:val="bottom"/>
            <w:hideMark/>
          </w:tcPr>
          <w:p w:rsidR="00A35466" w:rsidRPr="00116463"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16463">
              <w:rPr>
                <w:bCs/>
                <w:sz w:val="19"/>
                <w:szCs w:val="19"/>
              </w:rPr>
              <w:t>For Custom measures, is the methodology clear and auditable? Is it a sensible approach?</w:t>
            </w:r>
          </w:p>
        </w:tc>
      </w:tr>
      <w:tr w:rsidR="00A874AC" w:rsidRPr="00116463" w:rsidTr="00116463">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116463" w:rsidRDefault="00A35466" w:rsidP="004F0C61">
            <w:pPr>
              <w:jc w:val="left"/>
              <w:rPr>
                <w:b w:val="0"/>
                <w:color w:val="000000"/>
                <w:sz w:val="19"/>
                <w:szCs w:val="19"/>
              </w:rPr>
            </w:pPr>
            <w:r w:rsidRPr="00116463">
              <w:rPr>
                <w:b w:val="0"/>
                <w:color w:val="000000"/>
                <w:sz w:val="19"/>
                <w:szCs w:val="19"/>
              </w:rPr>
              <w:t>CR_PRJ-360037</w:t>
            </w:r>
          </w:p>
        </w:tc>
        <w:tc>
          <w:tcPr>
            <w:tcW w:w="1107"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Small C/I Equipment</w:t>
            </w:r>
          </w:p>
        </w:tc>
        <w:tc>
          <w:tcPr>
            <w:tcW w:w="3573"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Fuel canopy, wall pack, and parking lot exterior LED retrofit</w:t>
            </w:r>
          </w:p>
        </w:tc>
        <w:tc>
          <w:tcPr>
            <w:tcW w:w="1021"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930"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469"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No</w:t>
            </w:r>
          </w:p>
        </w:tc>
        <w:tc>
          <w:tcPr>
            <w:tcW w:w="1004"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106"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760"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N/A</w:t>
            </w:r>
          </w:p>
        </w:tc>
      </w:tr>
      <w:tr w:rsidR="00A35466" w:rsidRPr="00116463" w:rsidTr="00116463">
        <w:trPr>
          <w:trHeight w:val="75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116463" w:rsidRDefault="00A35466" w:rsidP="004F0C61">
            <w:pPr>
              <w:jc w:val="left"/>
              <w:rPr>
                <w:b w:val="0"/>
                <w:color w:val="000000"/>
                <w:sz w:val="19"/>
                <w:szCs w:val="19"/>
              </w:rPr>
            </w:pPr>
            <w:r w:rsidRPr="00116463">
              <w:rPr>
                <w:b w:val="0"/>
                <w:color w:val="000000"/>
                <w:sz w:val="19"/>
                <w:szCs w:val="19"/>
              </w:rPr>
              <w:t>CR_PRJ-392093</w:t>
            </w:r>
          </w:p>
        </w:tc>
        <w:tc>
          <w:tcPr>
            <w:tcW w:w="1107"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Large C/I Equipment</w:t>
            </w:r>
          </w:p>
        </w:tc>
        <w:tc>
          <w:tcPr>
            <w:tcW w:w="3573"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Lighting retrofit: metal halide to LED conversion in manufacturing facility</w:t>
            </w:r>
          </w:p>
        </w:tc>
        <w:tc>
          <w:tcPr>
            <w:tcW w:w="1021"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930"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469"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No</w:t>
            </w:r>
          </w:p>
        </w:tc>
        <w:tc>
          <w:tcPr>
            <w:tcW w:w="1004"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106"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760"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N/A</w:t>
            </w:r>
          </w:p>
        </w:tc>
      </w:tr>
      <w:tr w:rsidR="00A874AC" w:rsidRPr="00116463" w:rsidTr="00116463">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116463" w:rsidRDefault="00A35466" w:rsidP="004F0C61">
            <w:pPr>
              <w:jc w:val="left"/>
              <w:rPr>
                <w:b w:val="0"/>
                <w:color w:val="000000"/>
                <w:sz w:val="19"/>
                <w:szCs w:val="19"/>
              </w:rPr>
            </w:pPr>
            <w:r w:rsidRPr="00116463">
              <w:rPr>
                <w:b w:val="0"/>
                <w:color w:val="000000"/>
                <w:sz w:val="19"/>
                <w:szCs w:val="19"/>
              </w:rPr>
              <w:t>CR_PRJ-321782</w:t>
            </w:r>
          </w:p>
        </w:tc>
        <w:tc>
          <w:tcPr>
            <w:tcW w:w="1107"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Large C/I Equipment</w:t>
            </w:r>
          </w:p>
        </w:tc>
        <w:tc>
          <w:tcPr>
            <w:tcW w:w="3573"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Interior and exterior LED lighting retrofit</w:t>
            </w:r>
          </w:p>
        </w:tc>
        <w:tc>
          <w:tcPr>
            <w:tcW w:w="1021"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930"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469"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No</w:t>
            </w:r>
          </w:p>
        </w:tc>
        <w:tc>
          <w:tcPr>
            <w:tcW w:w="1004"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106"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760"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N/A</w:t>
            </w:r>
          </w:p>
        </w:tc>
      </w:tr>
      <w:tr w:rsidR="00A35466" w:rsidRPr="00116463" w:rsidTr="00116463">
        <w:trPr>
          <w:trHeight w:val="75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116463" w:rsidRDefault="00A35466" w:rsidP="004F0C61">
            <w:pPr>
              <w:jc w:val="left"/>
              <w:rPr>
                <w:b w:val="0"/>
                <w:color w:val="000000"/>
                <w:sz w:val="19"/>
                <w:szCs w:val="19"/>
              </w:rPr>
            </w:pPr>
            <w:r w:rsidRPr="00116463">
              <w:rPr>
                <w:b w:val="0"/>
                <w:color w:val="000000"/>
                <w:sz w:val="19"/>
                <w:szCs w:val="19"/>
              </w:rPr>
              <w:t>CR_PRJ-264902</w:t>
            </w:r>
          </w:p>
        </w:tc>
        <w:tc>
          <w:tcPr>
            <w:tcW w:w="1107"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Large C/I Buildings</w:t>
            </w:r>
          </w:p>
        </w:tc>
        <w:tc>
          <w:tcPr>
            <w:tcW w:w="3573"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New Cheese manufacturing line with efficient refrigeration plant to replace old one</w:t>
            </w:r>
          </w:p>
        </w:tc>
        <w:tc>
          <w:tcPr>
            <w:tcW w:w="1021"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930"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469"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No</w:t>
            </w:r>
          </w:p>
        </w:tc>
        <w:tc>
          <w:tcPr>
            <w:tcW w:w="1004"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106"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N/A</w:t>
            </w:r>
          </w:p>
        </w:tc>
        <w:tc>
          <w:tcPr>
            <w:tcW w:w="1760" w:type="dxa"/>
            <w:hideMark/>
          </w:tcPr>
          <w:p w:rsidR="00A35466" w:rsidRPr="00116463" w:rsidRDefault="00A35466" w:rsidP="00C83389">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 eQ</w:t>
            </w:r>
            <w:r w:rsidR="00C83389" w:rsidRPr="00116463">
              <w:rPr>
                <w:color w:val="000000"/>
                <w:sz w:val="19"/>
                <w:szCs w:val="19"/>
              </w:rPr>
              <w:t xml:space="preserve">UEST </w:t>
            </w:r>
            <w:r w:rsidRPr="00116463">
              <w:rPr>
                <w:color w:val="000000"/>
                <w:sz w:val="19"/>
                <w:szCs w:val="19"/>
              </w:rPr>
              <w:t>Model</w:t>
            </w:r>
          </w:p>
        </w:tc>
      </w:tr>
      <w:tr w:rsidR="00A874AC" w:rsidRPr="00116463" w:rsidTr="001164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116463" w:rsidRDefault="00A35466" w:rsidP="004F0C61">
            <w:pPr>
              <w:jc w:val="left"/>
              <w:rPr>
                <w:b w:val="0"/>
                <w:color w:val="000000"/>
                <w:sz w:val="19"/>
                <w:szCs w:val="19"/>
              </w:rPr>
            </w:pPr>
            <w:r w:rsidRPr="00116463">
              <w:rPr>
                <w:b w:val="0"/>
                <w:color w:val="000000"/>
                <w:sz w:val="19"/>
                <w:szCs w:val="19"/>
              </w:rPr>
              <w:t>CR_PRJ-586751</w:t>
            </w:r>
          </w:p>
        </w:tc>
        <w:tc>
          <w:tcPr>
            <w:tcW w:w="1107"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Small C/I Buildings</w:t>
            </w:r>
          </w:p>
        </w:tc>
        <w:tc>
          <w:tcPr>
            <w:tcW w:w="3573" w:type="dxa"/>
            <w:hideMark/>
          </w:tcPr>
          <w:p w:rsidR="00A35466" w:rsidRPr="00116463" w:rsidRDefault="00A35466" w:rsidP="008B741E">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Custom</w:t>
            </w:r>
            <w:r w:rsidRPr="00116463">
              <w:rPr>
                <w:color w:val="000000"/>
                <w:sz w:val="19"/>
                <w:szCs w:val="19"/>
              </w:rPr>
              <w:br/>
            </w:r>
            <w:r w:rsidR="007320F1" w:rsidRPr="00116463">
              <w:rPr>
                <w:sz w:val="19"/>
                <w:szCs w:val="19"/>
              </w:rPr>
              <w:t xml:space="preserve"> - </w:t>
            </w:r>
            <w:r w:rsidRPr="00116463">
              <w:rPr>
                <w:sz w:val="19"/>
                <w:szCs w:val="19"/>
              </w:rPr>
              <w:t xml:space="preserve">Install anti-sweat heater controls to cycle heaters in response to store dew point temperature </w:t>
            </w:r>
            <w:r w:rsidRPr="00116463">
              <w:rPr>
                <w:sz w:val="19"/>
                <w:szCs w:val="19"/>
              </w:rPr>
              <w:br/>
            </w:r>
            <w:r w:rsidR="007320F1" w:rsidRPr="00116463">
              <w:rPr>
                <w:sz w:val="19"/>
                <w:szCs w:val="19"/>
              </w:rPr>
              <w:t xml:space="preserve"> - </w:t>
            </w:r>
            <w:r w:rsidRPr="00116463">
              <w:rPr>
                <w:sz w:val="19"/>
                <w:szCs w:val="19"/>
              </w:rPr>
              <w:t>Add plastic film wrappers to meat and produce departments</w:t>
            </w:r>
            <w:r w:rsidRPr="00116463">
              <w:rPr>
                <w:sz w:val="19"/>
                <w:szCs w:val="19"/>
              </w:rPr>
              <w:br/>
            </w:r>
            <w:r w:rsidR="007320F1" w:rsidRPr="00116463">
              <w:rPr>
                <w:sz w:val="19"/>
                <w:szCs w:val="19"/>
              </w:rPr>
              <w:t xml:space="preserve"> - </w:t>
            </w:r>
            <w:r w:rsidRPr="00116463">
              <w:rPr>
                <w:sz w:val="19"/>
                <w:szCs w:val="19"/>
              </w:rPr>
              <w:t>Reduced minimum head pressure set points</w:t>
            </w:r>
            <w:r w:rsidRPr="00116463">
              <w:rPr>
                <w:sz w:val="19"/>
                <w:szCs w:val="19"/>
              </w:rPr>
              <w:br/>
            </w:r>
            <w:r w:rsidR="007320F1" w:rsidRPr="00116463">
              <w:rPr>
                <w:sz w:val="19"/>
                <w:szCs w:val="19"/>
              </w:rPr>
              <w:t xml:space="preserve"> - </w:t>
            </w:r>
            <w:r w:rsidRPr="00116463">
              <w:rPr>
                <w:sz w:val="19"/>
                <w:szCs w:val="19"/>
              </w:rPr>
              <w:t>Optimized suction pressure set points</w:t>
            </w:r>
            <w:r w:rsidRPr="00116463">
              <w:rPr>
                <w:color w:val="000000"/>
                <w:sz w:val="19"/>
                <w:szCs w:val="19"/>
              </w:rPr>
              <w:br/>
              <w:t>Reduced liquid temperature leaving Rack A mechanical sub-cooler from 60°F to 50°F</w:t>
            </w:r>
          </w:p>
        </w:tc>
        <w:tc>
          <w:tcPr>
            <w:tcW w:w="1021"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930"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469"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No</w:t>
            </w:r>
          </w:p>
        </w:tc>
        <w:tc>
          <w:tcPr>
            <w:tcW w:w="1004"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106"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N/A</w:t>
            </w:r>
          </w:p>
        </w:tc>
        <w:tc>
          <w:tcPr>
            <w:tcW w:w="1760"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r>
      <w:tr w:rsidR="00A35466" w:rsidRPr="00116463" w:rsidTr="00116463">
        <w:trPr>
          <w:trHeight w:val="749"/>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116463" w:rsidRDefault="00A35466" w:rsidP="004F0C61">
            <w:pPr>
              <w:jc w:val="left"/>
              <w:rPr>
                <w:b w:val="0"/>
                <w:color w:val="000000"/>
                <w:sz w:val="19"/>
                <w:szCs w:val="19"/>
              </w:rPr>
            </w:pPr>
            <w:r w:rsidRPr="00116463">
              <w:rPr>
                <w:b w:val="0"/>
                <w:color w:val="000000"/>
                <w:sz w:val="19"/>
                <w:szCs w:val="19"/>
              </w:rPr>
              <w:t>CR_PRJ-651570</w:t>
            </w:r>
          </w:p>
        </w:tc>
        <w:tc>
          <w:tcPr>
            <w:tcW w:w="1107"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Small C/I Equipment</w:t>
            </w:r>
          </w:p>
        </w:tc>
        <w:tc>
          <w:tcPr>
            <w:tcW w:w="3573"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Lighting (exterior and interior)</w:t>
            </w:r>
          </w:p>
        </w:tc>
        <w:tc>
          <w:tcPr>
            <w:tcW w:w="1021"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930"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469"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No</w:t>
            </w:r>
          </w:p>
        </w:tc>
        <w:tc>
          <w:tcPr>
            <w:tcW w:w="1004"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106"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760"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N/A</w:t>
            </w:r>
          </w:p>
        </w:tc>
      </w:tr>
      <w:tr w:rsidR="00A874AC" w:rsidRPr="00116463" w:rsidTr="00116463">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116463" w:rsidRDefault="00A35466" w:rsidP="004F0C61">
            <w:pPr>
              <w:jc w:val="left"/>
              <w:rPr>
                <w:b w:val="0"/>
                <w:color w:val="000000"/>
                <w:sz w:val="19"/>
                <w:szCs w:val="19"/>
              </w:rPr>
            </w:pPr>
            <w:r w:rsidRPr="00116463">
              <w:rPr>
                <w:b w:val="0"/>
                <w:color w:val="000000"/>
                <w:sz w:val="19"/>
                <w:szCs w:val="19"/>
              </w:rPr>
              <w:t>CR_PRJ-419084</w:t>
            </w:r>
          </w:p>
        </w:tc>
        <w:tc>
          <w:tcPr>
            <w:tcW w:w="1107"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Large C/I Equipment</w:t>
            </w:r>
          </w:p>
        </w:tc>
        <w:tc>
          <w:tcPr>
            <w:tcW w:w="3573"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Custom (compressed air leak repair)</w:t>
            </w:r>
          </w:p>
        </w:tc>
        <w:tc>
          <w:tcPr>
            <w:tcW w:w="1021"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930"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469"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No</w:t>
            </w:r>
          </w:p>
        </w:tc>
        <w:tc>
          <w:tcPr>
            <w:tcW w:w="1004" w:type="dxa"/>
            <w:noWrap/>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c>
          <w:tcPr>
            <w:tcW w:w="1106"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N/A</w:t>
            </w:r>
          </w:p>
        </w:tc>
        <w:tc>
          <w:tcPr>
            <w:tcW w:w="1760" w:type="dxa"/>
            <w:hideMark/>
          </w:tcPr>
          <w:p w:rsidR="00A35466" w:rsidRPr="00116463"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16463">
              <w:rPr>
                <w:color w:val="000000"/>
                <w:sz w:val="19"/>
                <w:szCs w:val="19"/>
              </w:rPr>
              <w:t>Yes</w:t>
            </w:r>
          </w:p>
        </w:tc>
      </w:tr>
      <w:tr w:rsidR="00A35466" w:rsidRPr="00116463" w:rsidTr="00116463">
        <w:trPr>
          <w:trHeight w:val="749"/>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116463" w:rsidRDefault="00A35466" w:rsidP="004F0C61">
            <w:pPr>
              <w:jc w:val="left"/>
              <w:rPr>
                <w:b w:val="0"/>
                <w:color w:val="000000"/>
                <w:sz w:val="19"/>
                <w:szCs w:val="19"/>
              </w:rPr>
            </w:pPr>
            <w:r w:rsidRPr="00116463">
              <w:rPr>
                <w:b w:val="0"/>
                <w:color w:val="000000"/>
                <w:sz w:val="19"/>
                <w:szCs w:val="19"/>
              </w:rPr>
              <w:t>CR_PRJ-494738</w:t>
            </w:r>
          </w:p>
        </w:tc>
        <w:tc>
          <w:tcPr>
            <w:tcW w:w="1107"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Small C/I Buildings</w:t>
            </w:r>
          </w:p>
        </w:tc>
        <w:tc>
          <w:tcPr>
            <w:tcW w:w="3573"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Custom (new construction lighting, mini splits, envelope)</w:t>
            </w:r>
          </w:p>
        </w:tc>
        <w:tc>
          <w:tcPr>
            <w:tcW w:w="1021"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930"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469"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No</w:t>
            </w:r>
          </w:p>
        </w:tc>
        <w:tc>
          <w:tcPr>
            <w:tcW w:w="1004" w:type="dxa"/>
            <w:noWrap/>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c>
          <w:tcPr>
            <w:tcW w:w="1106"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N/A</w:t>
            </w:r>
          </w:p>
        </w:tc>
        <w:tc>
          <w:tcPr>
            <w:tcW w:w="1760" w:type="dxa"/>
            <w:hideMark/>
          </w:tcPr>
          <w:p w:rsidR="00A35466" w:rsidRPr="00116463"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16463">
              <w:rPr>
                <w:color w:val="000000"/>
                <w:sz w:val="19"/>
                <w:szCs w:val="19"/>
              </w:rPr>
              <w:t>Yes</w:t>
            </w:r>
          </w:p>
        </w:tc>
      </w:tr>
    </w:tbl>
    <w:p w:rsidR="00A35466" w:rsidRDefault="00A35466" w:rsidP="00A35466">
      <w:pPr>
        <w:spacing w:after="120"/>
        <w:rPr>
          <w:color w:val="000000"/>
        </w:rPr>
      </w:pPr>
    </w:p>
    <w:p w:rsidR="008B741E" w:rsidRDefault="008B741E" w:rsidP="00A35466">
      <w:pPr>
        <w:spacing w:after="120"/>
        <w:rPr>
          <w:color w:val="000000"/>
        </w:rPr>
        <w:sectPr w:rsidR="008B741E" w:rsidSect="008B741E">
          <w:headerReference w:type="default" r:id="rId145"/>
          <w:footerReference w:type="default" r:id="rId146"/>
          <w:headerReference w:type="first" r:id="rId147"/>
          <w:footerReference w:type="first" r:id="rId148"/>
          <w:pgSz w:w="15840" w:h="12240" w:orient="landscape"/>
          <w:pgMar w:top="1440" w:right="1440" w:bottom="1440" w:left="1440" w:header="720" w:footer="288" w:gutter="0"/>
          <w:cols w:space="720"/>
          <w:titlePg/>
          <w:docGrid w:linePitch="360"/>
        </w:sectPr>
      </w:pPr>
    </w:p>
    <w:p w:rsidR="00A35466" w:rsidRPr="003458B1" w:rsidRDefault="00A35466" w:rsidP="00A35466">
      <w:pPr>
        <w:spacing w:after="120"/>
        <w:rPr>
          <w:color w:val="000000"/>
        </w:rPr>
      </w:pPr>
      <w:r w:rsidRPr="003458B1">
        <w:rPr>
          <w:color w:val="000000"/>
        </w:rPr>
        <w:t>The SWE Team review of Penn Power’s PY6 project files revea</w:t>
      </w:r>
      <w:r>
        <w:rPr>
          <w:color w:val="000000"/>
        </w:rPr>
        <w:t>led cause for concern in regard</w:t>
      </w:r>
      <w:r w:rsidRPr="003458B1">
        <w:rPr>
          <w:color w:val="000000"/>
        </w:rPr>
        <w:t xml:space="preserve"> to clarity of project files and appropriate use of the TRM. The SWE Team provided the following </w:t>
      </w:r>
      <w:r>
        <w:rPr>
          <w:color w:val="000000"/>
        </w:rPr>
        <w:t xml:space="preserve">two </w:t>
      </w:r>
      <w:r w:rsidRPr="003458B1">
        <w:rPr>
          <w:color w:val="000000"/>
        </w:rPr>
        <w:t>recommendations:</w:t>
      </w:r>
    </w:p>
    <w:p w:rsidR="00A35466" w:rsidRPr="003458B1" w:rsidRDefault="00A35466" w:rsidP="00E646C9">
      <w:pPr>
        <w:numPr>
          <w:ilvl w:val="0"/>
          <w:numId w:val="36"/>
        </w:numPr>
        <w:spacing w:after="120"/>
      </w:pPr>
      <w:r w:rsidRPr="003458B1">
        <w:t>SWE Team</w:t>
      </w:r>
      <w:r>
        <w:t>–</w:t>
      </w:r>
      <w:r w:rsidRPr="003458B1">
        <w:t xml:space="preserve">provided calculators should be used properly; if </w:t>
      </w:r>
      <w:r>
        <w:t>they</w:t>
      </w:r>
      <w:r w:rsidRPr="003458B1">
        <w:t xml:space="preserve"> are unavailable for a given measure, custom calculators should be crafted carefully per the governing TRM equations and requirements.</w:t>
      </w:r>
    </w:p>
    <w:p w:rsidR="00A35466" w:rsidRPr="003458B1" w:rsidRDefault="00A35466" w:rsidP="00E646C9">
      <w:pPr>
        <w:numPr>
          <w:ilvl w:val="0"/>
          <w:numId w:val="36"/>
        </w:numPr>
      </w:pPr>
      <w:r w:rsidRPr="003458B1">
        <w:t>More organized documentation should be kept on record to properly capture each project’s full scope of work within its project file.</w:t>
      </w:r>
    </w:p>
    <w:p w:rsidR="00A35466" w:rsidRPr="003458B1" w:rsidRDefault="00A35466" w:rsidP="00A35466"/>
    <w:p w:rsidR="00A35466" w:rsidRPr="00A35466" w:rsidRDefault="00A35466" w:rsidP="00A35466">
      <w:r w:rsidRPr="00A35466">
        <w:t>In PY7, the SWE saw marked improvement in the consistency, orderliness, and organization of project files. This was aided by the consistent inclusion of site-specific cover pages, which helped the SWE follow the evaluation contractor’s method and progression. At this time, the SWE Team only recommends that in the interest of transparency, only the supplied Appendix C calculator be used for lighting projects moving forward.</w:t>
      </w:r>
    </w:p>
    <w:p w:rsidR="00A35466" w:rsidRPr="00A35466" w:rsidRDefault="00A35466" w:rsidP="00A35466"/>
    <w:p w:rsidR="00A35466" w:rsidRPr="00A35466" w:rsidRDefault="00A35466" w:rsidP="0055598C">
      <w:pPr>
        <w:pStyle w:val="AppendixAHeading4"/>
      </w:pPr>
      <w:r w:rsidRPr="00A35466">
        <w:t>Sample Design Review</w:t>
      </w:r>
    </w:p>
    <w:p w:rsidR="00A35466" w:rsidRDefault="00A35466" w:rsidP="00A35466">
      <w:r w:rsidRPr="003458B1">
        <w:t>Penn Power’s PY7 annual report provides detailed information about the sample design of the PY7 gross impact evaluation of non-residential programs. Penn Power’s non-residential programs were the Small C/I Energy Efficient Equipment Program, Small C/I Energy Efficient Buildings Program, Large C/I Energy Efficient Equipment Program, Large C/I Energy Efficient Buildings Program, and Government and Institutional Program.</w:t>
      </w:r>
    </w:p>
    <w:p w:rsidR="00A35466" w:rsidRDefault="00A35466" w:rsidP="00A35466"/>
    <w:p w:rsidR="00A35466" w:rsidRPr="003458B1" w:rsidRDefault="00A35466" w:rsidP="008C7396">
      <w:pPr>
        <w:pStyle w:val="AppendixAHeading5"/>
      </w:pPr>
      <w:r w:rsidRPr="003458B1">
        <w:t>Small C/I Energy Efficient Equipment Program</w:t>
      </w:r>
    </w:p>
    <w:p w:rsidR="00A35466" w:rsidRPr="003458B1" w:rsidRDefault="00A35466" w:rsidP="00A35466">
      <w:r w:rsidRPr="003458B1">
        <w:t xml:space="preserve">In PY7, this program was divided into two components: equipment incentives and appliance recycling. Lighting measures contributed the majority of the gross energy savings for the program. </w:t>
      </w:r>
      <w:r w:rsidRPr="003458B1">
        <w:tab/>
      </w:r>
    </w:p>
    <w:p w:rsidR="00A35466" w:rsidRPr="003458B1" w:rsidRDefault="00A35466" w:rsidP="00A35466"/>
    <w:p w:rsidR="00A35466" w:rsidRPr="00AB3C36" w:rsidRDefault="00A35466" w:rsidP="00A35466">
      <w:pPr>
        <w:rPr>
          <w:bCs/>
        </w:rPr>
      </w:pPr>
      <w:r w:rsidRPr="003458B1">
        <w:t xml:space="preserve">Stratified ratio estimation was used to estimate savings for the program, and stratified random sampling was used for sample design by the evaluation contractor. For large lighting projects in the evaluation sample, Penn Power’s evaluation contractor designed an on-site sampling strategy that targeted ±20% precision at the 90% confidence level for the physical counting of fixtures.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stratified based on energy </w:t>
      </w:r>
      <w:r w:rsidRPr="007E0D0D">
        <w:t xml:space="preserve">savings at the measure level. The assumed Cv used in the sample design was 0.5 for all projects. The detailed sampling strategy for this program in PY7 and the achieved precision values for each stratum are presented in </w:t>
      </w:r>
      <w:r w:rsidR="007E0D0D">
        <w:t>Table A-77</w:t>
      </w:r>
      <w:r w:rsidRPr="007E0D0D">
        <w:t>. The data show that Penn Power met the SWE Team requirements of 85%/15%</w:t>
      </w:r>
      <w:r w:rsidRPr="003458B1">
        <w:t xml:space="preserve"> confidence</w:t>
      </w:r>
      <w:r>
        <w:t>/</w:t>
      </w:r>
      <w:r w:rsidRPr="003458B1">
        <w:t>precision for both energy and peak demand.</w:t>
      </w:r>
    </w:p>
    <w:p w:rsidR="00A35466" w:rsidRPr="003458B1" w:rsidRDefault="00A35466" w:rsidP="00A35466"/>
    <w:p w:rsidR="007320F1" w:rsidRDefault="007320F1" w:rsidP="00A35466">
      <w:pPr>
        <w:spacing w:after="120"/>
        <w:jc w:val="center"/>
        <w:rPr>
          <w:rFonts w:ascii="Century Gothic" w:hAnsi="Century Gothic"/>
          <w:b/>
          <w:bCs/>
          <w:sz w:val="18"/>
          <w:szCs w:val="18"/>
        </w:rPr>
      </w:pPr>
      <w:bookmarkStart w:id="944" w:name="_Ref433898677"/>
      <w:bookmarkStart w:id="945" w:name="_Toc410199432"/>
      <w:bookmarkStart w:id="946" w:name="_Toc431462352"/>
      <w:bookmarkStart w:id="947" w:name="_Toc444269874"/>
      <w:bookmarkStart w:id="948" w:name="_Toc472472486"/>
    </w:p>
    <w:p w:rsidR="007320F1" w:rsidRDefault="007320F1" w:rsidP="00A35466">
      <w:pPr>
        <w:spacing w:after="120"/>
        <w:jc w:val="center"/>
        <w:rPr>
          <w:rFonts w:ascii="Century Gothic" w:hAnsi="Century Gothic"/>
          <w:b/>
          <w:bCs/>
          <w:sz w:val="18"/>
          <w:szCs w:val="18"/>
        </w:rPr>
      </w:pPr>
    </w:p>
    <w:p w:rsidR="007320F1" w:rsidRDefault="007320F1" w:rsidP="00A35466">
      <w:pPr>
        <w:spacing w:after="120"/>
        <w:jc w:val="center"/>
        <w:rPr>
          <w:rFonts w:ascii="Century Gothic" w:hAnsi="Century Gothic"/>
          <w:b/>
          <w:bCs/>
          <w:sz w:val="18"/>
          <w:szCs w:val="18"/>
        </w:rPr>
      </w:pPr>
    </w:p>
    <w:p w:rsidR="007320F1" w:rsidRDefault="007320F1" w:rsidP="00A35466">
      <w:pPr>
        <w:spacing w:after="120"/>
        <w:jc w:val="center"/>
        <w:rPr>
          <w:rFonts w:ascii="Century Gothic" w:hAnsi="Century Gothic"/>
          <w:b/>
          <w:bCs/>
          <w:sz w:val="18"/>
          <w:szCs w:val="18"/>
        </w:rPr>
      </w:pPr>
    </w:p>
    <w:p w:rsidR="007320F1" w:rsidRDefault="007320F1" w:rsidP="00A35466">
      <w:pPr>
        <w:spacing w:after="120"/>
        <w:jc w:val="center"/>
        <w:rPr>
          <w:rFonts w:ascii="Century Gothic" w:hAnsi="Century Gothic"/>
          <w:b/>
          <w:bCs/>
          <w:sz w:val="18"/>
          <w:szCs w:val="18"/>
        </w:rPr>
      </w:pPr>
    </w:p>
    <w:p w:rsidR="007320F1" w:rsidRDefault="007320F1" w:rsidP="00A35466">
      <w:pPr>
        <w:spacing w:after="120"/>
        <w:jc w:val="center"/>
        <w:rPr>
          <w:rFonts w:ascii="Century Gothic" w:hAnsi="Century Gothic"/>
          <w:b/>
          <w:bCs/>
          <w:sz w:val="18"/>
          <w:szCs w:val="18"/>
        </w:rPr>
      </w:pPr>
    </w:p>
    <w:p w:rsidR="00A35466" w:rsidRPr="003458B1" w:rsidRDefault="00A35466" w:rsidP="00A35466">
      <w:pPr>
        <w:spacing w:after="120"/>
        <w:jc w:val="center"/>
        <w:rPr>
          <w:rFonts w:ascii="Century Gothic" w:hAnsi="Century Gothic"/>
          <w:b/>
          <w:bCs/>
          <w:sz w:val="18"/>
          <w:szCs w:val="18"/>
        </w:rPr>
      </w:pPr>
      <w:bookmarkStart w:id="949" w:name="_Toc488741905"/>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77</w:t>
      </w:r>
      <w:r w:rsidRPr="003458B1">
        <w:rPr>
          <w:rFonts w:ascii="Century Gothic" w:hAnsi="Century Gothic"/>
          <w:b/>
          <w:bCs/>
          <w:sz w:val="18"/>
          <w:szCs w:val="18"/>
        </w:rPr>
        <w:fldChar w:fldCharType="end"/>
      </w:r>
      <w:bookmarkEnd w:id="944"/>
      <w:r w:rsidRPr="003458B1">
        <w:rPr>
          <w:rFonts w:ascii="Century Gothic" w:hAnsi="Century Gothic"/>
          <w:b/>
          <w:bCs/>
          <w:sz w:val="18"/>
          <w:szCs w:val="18"/>
        </w:rPr>
        <w:t>: Penn Power’s PY7 Sampling Strategy and Relative Precision – Small C/I Energy Efficient Equipment Program</w:t>
      </w:r>
      <w:bookmarkEnd w:id="945"/>
      <w:bookmarkEnd w:id="946"/>
      <w:bookmarkEnd w:id="947"/>
      <w:bookmarkEnd w:id="948"/>
      <w:bookmarkEnd w:id="949"/>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180"/>
        <w:gridCol w:w="1241"/>
        <w:gridCol w:w="1241"/>
        <w:gridCol w:w="1241"/>
        <w:gridCol w:w="1241"/>
        <w:gridCol w:w="1241"/>
      </w:tblGrid>
      <w:tr w:rsidR="00A874AC" w:rsidRPr="00116463" w:rsidTr="00116463">
        <w:trPr>
          <w:trHeight w:val="1007"/>
          <w:tblHeader/>
        </w:trPr>
        <w:tc>
          <w:tcPr>
            <w:tcW w:w="1975" w:type="dxa"/>
            <w:shd w:val="clear" w:color="000000" w:fill="448A99"/>
            <w:vAlign w:val="bottom"/>
            <w:hideMark/>
          </w:tcPr>
          <w:p w:rsidR="00A35466" w:rsidRPr="00116463" w:rsidRDefault="00A35466" w:rsidP="004F0C61">
            <w:pPr>
              <w:jc w:val="left"/>
              <w:rPr>
                <w:b/>
                <w:bCs/>
                <w:color w:val="FFFFFF"/>
                <w:sz w:val="19"/>
                <w:szCs w:val="19"/>
              </w:rPr>
            </w:pPr>
            <w:r w:rsidRPr="00116463">
              <w:rPr>
                <w:b/>
                <w:bCs/>
                <w:color w:val="FFFFFF"/>
                <w:sz w:val="19"/>
                <w:szCs w:val="19"/>
              </w:rPr>
              <w:t>Stratum</w:t>
            </w:r>
          </w:p>
        </w:tc>
        <w:tc>
          <w:tcPr>
            <w:tcW w:w="1180"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Population</w:t>
            </w:r>
          </w:p>
        </w:tc>
        <w:tc>
          <w:tcPr>
            <w:tcW w:w="1241"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Target Levels of Confidence &amp; Precision</w:t>
            </w:r>
          </w:p>
        </w:tc>
        <w:tc>
          <w:tcPr>
            <w:tcW w:w="1241"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Target Sample Size</w:t>
            </w:r>
          </w:p>
        </w:tc>
        <w:tc>
          <w:tcPr>
            <w:tcW w:w="1241"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Achieved Sample Size</w:t>
            </w:r>
          </w:p>
        </w:tc>
        <w:tc>
          <w:tcPr>
            <w:tcW w:w="1241"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Relative Precision at 85% C.L. for Energy</w:t>
            </w:r>
          </w:p>
        </w:tc>
        <w:tc>
          <w:tcPr>
            <w:tcW w:w="1241"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Relative Precision at 85% C.L. for Demand</w:t>
            </w:r>
          </w:p>
        </w:tc>
      </w:tr>
      <w:tr w:rsidR="00A874AC" w:rsidRPr="00116463" w:rsidTr="00116463">
        <w:trPr>
          <w:trHeight w:val="360"/>
        </w:trPr>
        <w:tc>
          <w:tcPr>
            <w:tcW w:w="1975" w:type="dxa"/>
            <w:shd w:val="clear" w:color="000000" w:fill="D2EAF1"/>
            <w:noWrap/>
            <w:vAlign w:val="center"/>
          </w:tcPr>
          <w:p w:rsidR="00A35466" w:rsidRPr="00116463" w:rsidRDefault="00A35466" w:rsidP="004F0C61">
            <w:pPr>
              <w:jc w:val="left"/>
              <w:rPr>
                <w:bCs/>
                <w:color w:val="000000"/>
                <w:sz w:val="19"/>
                <w:szCs w:val="19"/>
              </w:rPr>
            </w:pPr>
            <w:r w:rsidRPr="00116463">
              <w:rPr>
                <w:bCs/>
                <w:color w:val="000000"/>
                <w:sz w:val="19"/>
                <w:szCs w:val="19"/>
              </w:rPr>
              <w:t>CFL kits – 1</w:t>
            </w:r>
          </w:p>
        </w:tc>
        <w:tc>
          <w:tcPr>
            <w:tcW w:w="1180"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0</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N/A</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0</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0</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100.0%</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100.0%</w:t>
            </w:r>
          </w:p>
        </w:tc>
      </w:tr>
      <w:tr w:rsidR="00E7173E" w:rsidRPr="00116463" w:rsidTr="00116463">
        <w:trPr>
          <w:trHeight w:val="360"/>
        </w:trPr>
        <w:tc>
          <w:tcPr>
            <w:tcW w:w="1975" w:type="dxa"/>
            <w:shd w:val="clear" w:color="auto" w:fill="auto"/>
            <w:noWrap/>
            <w:vAlign w:val="center"/>
          </w:tcPr>
          <w:p w:rsidR="00A35466" w:rsidRPr="00116463" w:rsidRDefault="00A35466" w:rsidP="004F0C61">
            <w:pPr>
              <w:jc w:val="left"/>
              <w:rPr>
                <w:bCs/>
                <w:color w:val="000000"/>
                <w:sz w:val="19"/>
                <w:szCs w:val="19"/>
              </w:rPr>
            </w:pPr>
            <w:r w:rsidRPr="00116463">
              <w:rPr>
                <w:bCs/>
                <w:color w:val="000000"/>
                <w:sz w:val="19"/>
                <w:szCs w:val="19"/>
              </w:rPr>
              <w:t>Lighting – certainty</w:t>
            </w:r>
          </w:p>
        </w:tc>
        <w:tc>
          <w:tcPr>
            <w:tcW w:w="1180"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N/A</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0.0%</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0.0%</w:t>
            </w:r>
          </w:p>
        </w:tc>
      </w:tr>
      <w:tr w:rsidR="00A874AC" w:rsidRPr="00116463" w:rsidTr="00116463">
        <w:trPr>
          <w:trHeight w:val="360"/>
        </w:trPr>
        <w:tc>
          <w:tcPr>
            <w:tcW w:w="1975" w:type="dxa"/>
            <w:shd w:val="clear" w:color="000000" w:fill="D2EAF1"/>
            <w:noWrap/>
            <w:vAlign w:val="center"/>
          </w:tcPr>
          <w:p w:rsidR="00A35466" w:rsidRPr="00116463" w:rsidRDefault="00A35466" w:rsidP="004F0C61">
            <w:pPr>
              <w:jc w:val="left"/>
              <w:rPr>
                <w:bCs/>
                <w:color w:val="000000"/>
                <w:sz w:val="19"/>
                <w:szCs w:val="19"/>
              </w:rPr>
            </w:pPr>
            <w:r w:rsidRPr="00116463">
              <w:rPr>
                <w:bCs/>
                <w:color w:val="000000"/>
                <w:sz w:val="19"/>
                <w:szCs w:val="19"/>
              </w:rPr>
              <w:t>Lighting – 2</w:t>
            </w:r>
          </w:p>
        </w:tc>
        <w:tc>
          <w:tcPr>
            <w:tcW w:w="1180"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7</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31.4%</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3</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3</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31.4%</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31.4%</w:t>
            </w:r>
          </w:p>
        </w:tc>
      </w:tr>
      <w:tr w:rsidR="00E7173E" w:rsidRPr="00116463" w:rsidTr="00116463">
        <w:trPr>
          <w:trHeight w:val="360"/>
        </w:trPr>
        <w:tc>
          <w:tcPr>
            <w:tcW w:w="1975" w:type="dxa"/>
            <w:shd w:val="clear" w:color="auto" w:fill="auto"/>
            <w:noWrap/>
            <w:vAlign w:val="center"/>
          </w:tcPr>
          <w:p w:rsidR="00A35466" w:rsidRPr="00116463" w:rsidRDefault="00A35466" w:rsidP="004F0C61">
            <w:pPr>
              <w:jc w:val="left"/>
              <w:rPr>
                <w:bCs/>
                <w:color w:val="000000"/>
                <w:sz w:val="19"/>
                <w:szCs w:val="19"/>
              </w:rPr>
            </w:pPr>
            <w:r w:rsidRPr="00116463">
              <w:rPr>
                <w:bCs/>
                <w:color w:val="000000"/>
                <w:sz w:val="19"/>
                <w:szCs w:val="19"/>
              </w:rPr>
              <w:t>Lighting – 3</w:t>
            </w:r>
          </w:p>
        </w:tc>
        <w:tc>
          <w:tcPr>
            <w:tcW w:w="1180"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18</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27.4%</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5</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5</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27.4%</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27.4%</w:t>
            </w:r>
          </w:p>
        </w:tc>
      </w:tr>
      <w:tr w:rsidR="00A874AC" w:rsidRPr="00116463" w:rsidTr="00116463">
        <w:trPr>
          <w:trHeight w:val="360"/>
        </w:trPr>
        <w:tc>
          <w:tcPr>
            <w:tcW w:w="1975" w:type="dxa"/>
            <w:shd w:val="clear" w:color="000000" w:fill="D2EAF1"/>
            <w:noWrap/>
            <w:vAlign w:val="center"/>
          </w:tcPr>
          <w:p w:rsidR="00A35466" w:rsidRPr="00116463" w:rsidRDefault="00A35466" w:rsidP="004F0C61">
            <w:pPr>
              <w:jc w:val="left"/>
              <w:rPr>
                <w:bCs/>
                <w:color w:val="000000"/>
                <w:sz w:val="19"/>
                <w:szCs w:val="19"/>
              </w:rPr>
            </w:pPr>
            <w:r w:rsidRPr="00116463">
              <w:rPr>
                <w:bCs/>
                <w:color w:val="000000"/>
                <w:sz w:val="19"/>
                <w:szCs w:val="19"/>
              </w:rPr>
              <w:t>Lighting – 4</w:t>
            </w:r>
          </w:p>
        </w:tc>
        <w:tc>
          <w:tcPr>
            <w:tcW w:w="1180"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105</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24.5%</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8</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8</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24.5%</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24.5%</w:t>
            </w:r>
          </w:p>
        </w:tc>
      </w:tr>
      <w:tr w:rsidR="00E7173E" w:rsidRPr="00116463" w:rsidTr="00116463">
        <w:trPr>
          <w:trHeight w:val="360"/>
        </w:trPr>
        <w:tc>
          <w:tcPr>
            <w:tcW w:w="1975" w:type="dxa"/>
            <w:shd w:val="clear" w:color="auto" w:fill="auto"/>
            <w:noWrap/>
            <w:vAlign w:val="center"/>
          </w:tcPr>
          <w:p w:rsidR="00A35466" w:rsidRPr="00116463" w:rsidRDefault="00A35466" w:rsidP="004F0C61">
            <w:pPr>
              <w:jc w:val="left"/>
              <w:rPr>
                <w:bCs/>
                <w:color w:val="000000"/>
                <w:sz w:val="19"/>
                <w:szCs w:val="19"/>
              </w:rPr>
            </w:pPr>
            <w:r w:rsidRPr="00116463">
              <w:rPr>
                <w:bCs/>
                <w:color w:val="000000"/>
                <w:sz w:val="19"/>
                <w:szCs w:val="19"/>
              </w:rPr>
              <w:t>Custom – certainty</w:t>
            </w:r>
          </w:p>
        </w:tc>
        <w:tc>
          <w:tcPr>
            <w:tcW w:w="1180"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1</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0.0%</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1</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1</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0.0%</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0.0%</w:t>
            </w:r>
          </w:p>
        </w:tc>
      </w:tr>
      <w:tr w:rsidR="00A874AC" w:rsidRPr="00116463" w:rsidTr="00116463">
        <w:trPr>
          <w:trHeight w:val="360"/>
        </w:trPr>
        <w:tc>
          <w:tcPr>
            <w:tcW w:w="1975" w:type="dxa"/>
            <w:shd w:val="clear" w:color="000000" w:fill="D2EAF1"/>
            <w:noWrap/>
            <w:vAlign w:val="center"/>
          </w:tcPr>
          <w:p w:rsidR="00A35466" w:rsidRPr="00116463" w:rsidRDefault="00A35466" w:rsidP="004F0C61">
            <w:pPr>
              <w:jc w:val="left"/>
              <w:rPr>
                <w:bCs/>
                <w:color w:val="000000"/>
                <w:sz w:val="19"/>
                <w:szCs w:val="19"/>
              </w:rPr>
            </w:pPr>
            <w:r w:rsidRPr="00116463">
              <w:rPr>
                <w:bCs/>
                <w:color w:val="000000"/>
                <w:sz w:val="19"/>
                <w:szCs w:val="19"/>
              </w:rPr>
              <w:t>Custom – 2</w:t>
            </w:r>
          </w:p>
        </w:tc>
        <w:tc>
          <w:tcPr>
            <w:tcW w:w="1180"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3</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29.4%</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29.4%</w:t>
            </w:r>
          </w:p>
        </w:tc>
        <w:tc>
          <w:tcPr>
            <w:tcW w:w="124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29.4%</w:t>
            </w:r>
          </w:p>
        </w:tc>
      </w:tr>
      <w:tr w:rsidR="00E7173E" w:rsidRPr="00116463" w:rsidTr="00116463">
        <w:trPr>
          <w:trHeight w:val="360"/>
        </w:trPr>
        <w:tc>
          <w:tcPr>
            <w:tcW w:w="1975" w:type="dxa"/>
            <w:shd w:val="clear" w:color="auto" w:fill="auto"/>
            <w:noWrap/>
            <w:vAlign w:val="center"/>
          </w:tcPr>
          <w:p w:rsidR="00A35466" w:rsidRPr="00116463" w:rsidRDefault="00A35466" w:rsidP="004F0C61">
            <w:pPr>
              <w:jc w:val="left"/>
              <w:rPr>
                <w:bCs/>
                <w:color w:val="000000"/>
                <w:sz w:val="19"/>
                <w:szCs w:val="19"/>
              </w:rPr>
            </w:pPr>
            <w:r w:rsidRPr="00116463">
              <w:rPr>
                <w:bCs/>
                <w:color w:val="000000"/>
                <w:sz w:val="19"/>
                <w:szCs w:val="19"/>
              </w:rPr>
              <w:t>Custom – 3</w:t>
            </w:r>
          </w:p>
        </w:tc>
        <w:tc>
          <w:tcPr>
            <w:tcW w:w="1180"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14</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30.4%</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4</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4</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30.4%</w:t>
            </w:r>
          </w:p>
        </w:tc>
        <w:tc>
          <w:tcPr>
            <w:tcW w:w="124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30.4%</w:t>
            </w:r>
          </w:p>
        </w:tc>
      </w:tr>
      <w:tr w:rsidR="00A874AC" w:rsidRPr="00116463" w:rsidTr="00116463">
        <w:trPr>
          <w:trHeight w:val="360"/>
        </w:trPr>
        <w:tc>
          <w:tcPr>
            <w:tcW w:w="1975" w:type="dxa"/>
            <w:shd w:val="clear" w:color="000000" w:fill="D2EAF1"/>
            <w:noWrap/>
            <w:vAlign w:val="center"/>
          </w:tcPr>
          <w:p w:rsidR="00A35466" w:rsidRPr="00116463" w:rsidRDefault="00A35466" w:rsidP="004F0C61">
            <w:pPr>
              <w:jc w:val="left"/>
              <w:rPr>
                <w:b/>
                <w:bCs/>
                <w:iCs/>
                <w:color w:val="000000"/>
                <w:sz w:val="19"/>
                <w:szCs w:val="19"/>
              </w:rPr>
            </w:pPr>
            <w:r w:rsidRPr="00116463">
              <w:rPr>
                <w:bCs/>
                <w:color w:val="000000"/>
                <w:sz w:val="19"/>
                <w:szCs w:val="19"/>
              </w:rPr>
              <w:t>HVAC and DHW – 1</w:t>
            </w:r>
          </w:p>
        </w:tc>
        <w:tc>
          <w:tcPr>
            <w:tcW w:w="118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3</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58.8%</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1</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1</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58.8%</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58.8%</w:t>
            </w:r>
          </w:p>
        </w:tc>
      </w:tr>
      <w:tr w:rsidR="00E7173E" w:rsidRPr="00116463" w:rsidTr="00116463">
        <w:trPr>
          <w:trHeight w:val="360"/>
        </w:trPr>
        <w:tc>
          <w:tcPr>
            <w:tcW w:w="1975" w:type="dxa"/>
            <w:shd w:val="clear" w:color="auto" w:fill="auto"/>
            <w:noWrap/>
            <w:vAlign w:val="center"/>
          </w:tcPr>
          <w:p w:rsidR="00A35466" w:rsidRPr="00116463" w:rsidRDefault="00A35466" w:rsidP="004F0C61">
            <w:pPr>
              <w:jc w:val="left"/>
              <w:rPr>
                <w:bCs/>
                <w:color w:val="000000"/>
                <w:sz w:val="19"/>
                <w:szCs w:val="19"/>
              </w:rPr>
            </w:pPr>
            <w:r w:rsidRPr="00116463">
              <w:rPr>
                <w:bCs/>
                <w:color w:val="000000"/>
                <w:sz w:val="19"/>
                <w:szCs w:val="19"/>
              </w:rPr>
              <w:t>HVAC and DHW – 2</w:t>
            </w:r>
          </w:p>
        </w:tc>
        <w:tc>
          <w:tcPr>
            <w:tcW w:w="118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11</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68.6%</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1</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1</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68.6%</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68.6%</w:t>
            </w:r>
          </w:p>
        </w:tc>
      </w:tr>
      <w:tr w:rsidR="00A874AC" w:rsidRPr="00116463" w:rsidTr="00116463">
        <w:trPr>
          <w:trHeight w:val="360"/>
        </w:trPr>
        <w:tc>
          <w:tcPr>
            <w:tcW w:w="1975" w:type="dxa"/>
            <w:shd w:val="clear" w:color="000000" w:fill="D2EAF1"/>
            <w:noWrap/>
            <w:vAlign w:val="center"/>
          </w:tcPr>
          <w:p w:rsidR="00A35466" w:rsidRPr="00116463" w:rsidRDefault="00A35466" w:rsidP="004F0C61">
            <w:pPr>
              <w:jc w:val="left"/>
              <w:rPr>
                <w:bCs/>
                <w:color w:val="000000"/>
                <w:sz w:val="19"/>
                <w:szCs w:val="19"/>
              </w:rPr>
            </w:pPr>
            <w:r w:rsidRPr="00116463">
              <w:rPr>
                <w:bCs/>
                <w:color w:val="000000"/>
                <w:sz w:val="19"/>
                <w:szCs w:val="19"/>
              </w:rPr>
              <w:t>Appliance Turn-In – 1</w:t>
            </w:r>
          </w:p>
        </w:tc>
        <w:tc>
          <w:tcPr>
            <w:tcW w:w="118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9</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67.9%</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1</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1</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67.9%</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67.9%</w:t>
            </w:r>
          </w:p>
        </w:tc>
      </w:tr>
      <w:tr w:rsidR="00E7173E" w:rsidRPr="00116463" w:rsidTr="00116463">
        <w:trPr>
          <w:trHeight w:val="360"/>
        </w:trPr>
        <w:tc>
          <w:tcPr>
            <w:tcW w:w="1975" w:type="dxa"/>
            <w:shd w:val="clear" w:color="auto" w:fill="auto"/>
            <w:noWrap/>
            <w:vAlign w:val="center"/>
          </w:tcPr>
          <w:p w:rsidR="00A35466" w:rsidRPr="00116463" w:rsidRDefault="00A35466" w:rsidP="004F0C61">
            <w:pPr>
              <w:jc w:val="left"/>
              <w:rPr>
                <w:bCs/>
                <w:color w:val="000000"/>
                <w:sz w:val="19"/>
                <w:szCs w:val="19"/>
              </w:rPr>
            </w:pPr>
            <w:r w:rsidRPr="00116463">
              <w:rPr>
                <w:bCs/>
                <w:color w:val="000000"/>
                <w:sz w:val="19"/>
                <w:szCs w:val="19"/>
              </w:rPr>
              <w:t>Kitchen/appliances – 1</w:t>
            </w:r>
          </w:p>
        </w:tc>
        <w:tc>
          <w:tcPr>
            <w:tcW w:w="118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2</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N/A</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4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r>
      <w:tr w:rsidR="00A874AC" w:rsidRPr="00116463" w:rsidTr="00116463">
        <w:trPr>
          <w:trHeight w:val="360"/>
        </w:trPr>
        <w:tc>
          <w:tcPr>
            <w:tcW w:w="1975" w:type="dxa"/>
            <w:shd w:val="clear" w:color="000000" w:fill="D2EAF1"/>
            <w:noWrap/>
            <w:vAlign w:val="center"/>
          </w:tcPr>
          <w:p w:rsidR="00A35466" w:rsidRPr="00116463" w:rsidRDefault="00A35466" w:rsidP="004F0C61">
            <w:pPr>
              <w:jc w:val="left"/>
              <w:rPr>
                <w:bCs/>
                <w:color w:val="000000"/>
                <w:sz w:val="19"/>
                <w:szCs w:val="19"/>
              </w:rPr>
            </w:pPr>
            <w:r w:rsidRPr="00116463">
              <w:rPr>
                <w:b/>
                <w:bCs/>
                <w:color w:val="000000"/>
                <w:sz w:val="19"/>
                <w:szCs w:val="19"/>
              </w:rPr>
              <w:t>Program Total</w:t>
            </w:r>
          </w:p>
        </w:tc>
        <w:tc>
          <w:tcPr>
            <w:tcW w:w="1180"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173</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13.6%</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26</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26</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13.3%</w:t>
            </w:r>
          </w:p>
        </w:tc>
        <w:tc>
          <w:tcPr>
            <w:tcW w:w="1241"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14.4%</w:t>
            </w:r>
          </w:p>
        </w:tc>
      </w:tr>
    </w:tbl>
    <w:p w:rsidR="00A35466" w:rsidRPr="003458B1" w:rsidRDefault="00A35466" w:rsidP="00A35466"/>
    <w:p w:rsidR="00A35466" w:rsidRPr="003458B1" w:rsidRDefault="00A35466" w:rsidP="008C7396">
      <w:pPr>
        <w:pStyle w:val="AppendixAHeading5"/>
      </w:pPr>
      <w:r w:rsidRPr="003458B1">
        <w:t>Small C/I Energy Efficient Buildings Program</w:t>
      </w:r>
    </w:p>
    <w:p w:rsidR="00A35466" w:rsidRPr="00AB3C36" w:rsidRDefault="00A35466" w:rsidP="00A35466">
      <w:pPr>
        <w:rPr>
          <w:bCs/>
        </w:rPr>
      </w:pPr>
      <w:r w:rsidRPr="003458B1">
        <w:t>This was a new program in Phase II. The program includes two components: energy conservation kits delivered by mail to</w:t>
      </w:r>
      <w:r>
        <w:t xml:space="preserve"> non-residential customers and </w:t>
      </w:r>
      <w:r w:rsidRPr="003458B1">
        <w:t>whol</w:t>
      </w:r>
      <w:r>
        <w:t>e-building</w:t>
      </w:r>
      <w:r w:rsidRPr="003458B1">
        <w:t xml:space="preserve"> projects such as new construction, retro-commissioning, and building envelope improvements. Sampling and project-level gross impact evaluation methodologies for efficient equipment and building upgrade measures are identical to the</w:t>
      </w:r>
      <w:r w:rsidR="009D6AA9">
        <w:t xml:space="preserve"> methodology described for the </w:t>
      </w:r>
      <w:r w:rsidRPr="003458B1">
        <w:t xml:space="preserve">Small </w:t>
      </w:r>
      <w:r w:rsidR="009D6AA9">
        <w:t xml:space="preserve">C/I </w:t>
      </w:r>
      <w:r>
        <w:t xml:space="preserve">Energy </w:t>
      </w:r>
      <w:r w:rsidRPr="003458B1">
        <w:t xml:space="preserve">Efficient Equipment Program above. The sample design strategy and the achieved precision values for energy and demand are shown in </w:t>
      </w:r>
      <w:r w:rsidR="007E0D0D">
        <w:t>Table A-78</w:t>
      </w:r>
      <w:r w:rsidRPr="003458B1">
        <w:t>. The precision levels for energy and for demand met the SWE Team requirements.</w:t>
      </w:r>
    </w:p>
    <w:p w:rsidR="00A35466" w:rsidRPr="003458B1" w:rsidRDefault="00A35466" w:rsidP="00A35466"/>
    <w:p w:rsidR="00A35466" w:rsidRPr="003458B1" w:rsidRDefault="00A35466" w:rsidP="00A35466">
      <w:pPr>
        <w:spacing w:after="120"/>
        <w:jc w:val="center"/>
        <w:rPr>
          <w:rFonts w:ascii="Century Gothic" w:hAnsi="Century Gothic"/>
          <w:b/>
          <w:bCs/>
          <w:sz w:val="18"/>
          <w:szCs w:val="18"/>
        </w:rPr>
      </w:pPr>
      <w:bookmarkStart w:id="950" w:name="_Ref433898714"/>
      <w:bookmarkStart w:id="951" w:name="_Toc410199433"/>
      <w:bookmarkStart w:id="952" w:name="_Toc431462353"/>
      <w:bookmarkStart w:id="953" w:name="_Toc444269875"/>
      <w:bookmarkStart w:id="954" w:name="_Toc472472487"/>
      <w:bookmarkStart w:id="955" w:name="_Toc488741906"/>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78</w:t>
      </w:r>
      <w:r w:rsidRPr="003458B1">
        <w:rPr>
          <w:rFonts w:ascii="Century Gothic" w:hAnsi="Century Gothic"/>
          <w:b/>
          <w:bCs/>
          <w:sz w:val="18"/>
          <w:szCs w:val="18"/>
        </w:rPr>
        <w:fldChar w:fldCharType="end"/>
      </w:r>
      <w:bookmarkEnd w:id="950"/>
      <w:r w:rsidRPr="003458B1">
        <w:rPr>
          <w:rFonts w:ascii="Century Gothic" w:hAnsi="Century Gothic"/>
          <w:b/>
          <w:bCs/>
          <w:sz w:val="18"/>
          <w:szCs w:val="18"/>
        </w:rPr>
        <w:t>: Penn Power’s PY7 Sampling Strategy and Relative Precision – Small C/I Energy Efficient Buildings Program</w:t>
      </w:r>
      <w:bookmarkEnd w:id="951"/>
      <w:bookmarkEnd w:id="952"/>
      <w:bookmarkEnd w:id="953"/>
      <w:bookmarkEnd w:id="954"/>
      <w:bookmarkEnd w:id="955"/>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170"/>
        <w:gridCol w:w="1350"/>
        <w:gridCol w:w="1170"/>
        <w:gridCol w:w="1115"/>
        <w:gridCol w:w="1294"/>
        <w:gridCol w:w="1281"/>
      </w:tblGrid>
      <w:tr w:rsidR="00A874AC" w:rsidRPr="00116463" w:rsidTr="00116463">
        <w:trPr>
          <w:trHeight w:val="576"/>
          <w:tblHeader/>
        </w:trPr>
        <w:tc>
          <w:tcPr>
            <w:tcW w:w="1975" w:type="dxa"/>
            <w:shd w:val="clear" w:color="000000" w:fill="448A99"/>
            <w:vAlign w:val="bottom"/>
            <w:hideMark/>
          </w:tcPr>
          <w:p w:rsidR="00A35466" w:rsidRPr="00116463" w:rsidRDefault="00A35466" w:rsidP="004F0C61">
            <w:pPr>
              <w:jc w:val="left"/>
              <w:rPr>
                <w:b/>
                <w:bCs/>
                <w:color w:val="FFFFFF"/>
                <w:sz w:val="19"/>
                <w:szCs w:val="19"/>
              </w:rPr>
            </w:pPr>
            <w:r w:rsidRPr="00116463">
              <w:rPr>
                <w:b/>
                <w:bCs/>
                <w:color w:val="FFFFFF"/>
                <w:sz w:val="19"/>
                <w:szCs w:val="19"/>
              </w:rPr>
              <w:t>Stratum</w:t>
            </w:r>
          </w:p>
        </w:tc>
        <w:tc>
          <w:tcPr>
            <w:tcW w:w="1170"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Population</w:t>
            </w:r>
          </w:p>
        </w:tc>
        <w:tc>
          <w:tcPr>
            <w:tcW w:w="1350"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Target Levels of Confidence &amp; Precision</w:t>
            </w:r>
          </w:p>
        </w:tc>
        <w:tc>
          <w:tcPr>
            <w:tcW w:w="1170"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Target Sample Size</w:t>
            </w:r>
          </w:p>
        </w:tc>
        <w:tc>
          <w:tcPr>
            <w:tcW w:w="1115"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Achieved Sample Size</w:t>
            </w:r>
          </w:p>
        </w:tc>
        <w:tc>
          <w:tcPr>
            <w:tcW w:w="1294"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Relative Precision at 85% C.L. for Energy</w:t>
            </w:r>
          </w:p>
        </w:tc>
        <w:tc>
          <w:tcPr>
            <w:tcW w:w="1281" w:type="dxa"/>
            <w:shd w:val="clear" w:color="000000" w:fill="448A99"/>
            <w:vAlign w:val="bottom"/>
            <w:hideMark/>
          </w:tcPr>
          <w:p w:rsidR="00A35466" w:rsidRPr="00116463" w:rsidRDefault="00A35466" w:rsidP="004F0C61">
            <w:pPr>
              <w:jc w:val="center"/>
              <w:rPr>
                <w:b/>
                <w:bCs/>
                <w:color w:val="FFFFFF"/>
                <w:sz w:val="19"/>
                <w:szCs w:val="19"/>
              </w:rPr>
            </w:pPr>
            <w:r w:rsidRPr="00116463">
              <w:rPr>
                <w:b/>
                <w:bCs/>
                <w:color w:val="FFFFFF"/>
                <w:sz w:val="19"/>
                <w:szCs w:val="19"/>
              </w:rPr>
              <w:t>Relative Precision at 85% C.L. for Demand</w:t>
            </w:r>
          </w:p>
        </w:tc>
      </w:tr>
      <w:tr w:rsidR="00A874AC" w:rsidRPr="00116463" w:rsidTr="00116463">
        <w:trPr>
          <w:trHeight w:val="288"/>
        </w:trPr>
        <w:tc>
          <w:tcPr>
            <w:tcW w:w="1975" w:type="dxa"/>
            <w:shd w:val="clear" w:color="000000" w:fill="D2EAF1"/>
            <w:noWrap/>
            <w:vAlign w:val="center"/>
          </w:tcPr>
          <w:p w:rsidR="00A35466" w:rsidRPr="00116463" w:rsidRDefault="00A35466" w:rsidP="004F0C61">
            <w:pPr>
              <w:jc w:val="left"/>
              <w:rPr>
                <w:bCs/>
                <w:color w:val="000000"/>
                <w:sz w:val="19"/>
                <w:szCs w:val="19"/>
              </w:rPr>
            </w:pPr>
            <w:r w:rsidRPr="00116463">
              <w:rPr>
                <w:sz w:val="19"/>
                <w:szCs w:val="19"/>
              </w:rPr>
              <w:t>CFL kits – 1</w:t>
            </w:r>
          </w:p>
        </w:tc>
        <w:tc>
          <w:tcPr>
            <w:tcW w:w="1170"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53</w:t>
            </w:r>
          </w:p>
        </w:tc>
        <w:tc>
          <w:tcPr>
            <w:tcW w:w="1350"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30.6%</w:t>
            </w:r>
          </w:p>
        </w:tc>
        <w:tc>
          <w:tcPr>
            <w:tcW w:w="1170"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5</w:t>
            </w:r>
          </w:p>
        </w:tc>
        <w:tc>
          <w:tcPr>
            <w:tcW w:w="1115"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6</w:t>
            </w:r>
          </w:p>
        </w:tc>
        <w:tc>
          <w:tcPr>
            <w:tcW w:w="1294"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27.7%</w:t>
            </w:r>
          </w:p>
        </w:tc>
        <w:tc>
          <w:tcPr>
            <w:tcW w:w="1281" w:type="dxa"/>
            <w:shd w:val="clear" w:color="000000" w:fill="D2EAF1"/>
            <w:noWrap/>
            <w:vAlign w:val="center"/>
          </w:tcPr>
          <w:p w:rsidR="00A35466" w:rsidRPr="00116463" w:rsidRDefault="00A35466" w:rsidP="004F0C61">
            <w:pPr>
              <w:jc w:val="center"/>
              <w:rPr>
                <w:color w:val="000000"/>
                <w:sz w:val="19"/>
                <w:szCs w:val="19"/>
              </w:rPr>
            </w:pPr>
            <w:r w:rsidRPr="00116463">
              <w:rPr>
                <w:sz w:val="19"/>
                <w:szCs w:val="19"/>
              </w:rPr>
              <w:t>27.7%</w:t>
            </w:r>
          </w:p>
        </w:tc>
      </w:tr>
      <w:tr w:rsidR="00E7173E" w:rsidRPr="00116463" w:rsidTr="00116463">
        <w:trPr>
          <w:trHeight w:val="288"/>
        </w:trPr>
        <w:tc>
          <w:tcPr>
            <w:tcW w:w="1975" w:type="dxa"/>
            <w:shd w:val="clear" w:color="auto" w:fill="auto"/>
            <w:noWrap/>
            <w:vAlign w:val="center"/>
          </w:tcPr>
          <w:p w:rsidR="00A35466" w:rsidRPr="00116463" w:rsidRDefault="00A35466" w:rsidP="004F0C61">
            <w:pPr>
              <w:jc w:val="left"/>
              <w:rPr>
                <w:bCs/>
                <w:color w:val="000000"/>
                <w:sz w:val="19"/>
                <w:szCs w:val="19"/>
              </w:rPr>
            </w:pPr>
            <w:r w:rsidRPr="00116463">
              <w:rPr>
                <w:sz w:val="19"/>
                <w:szCs w:val="19"/>
              </w:rPr>
              <w:t>Lighting – certainty</w:t>
            </w:r>
          </w:p>
        </w:tc>
        <w:tc>
          <w:tcPr>
            <w:tcW w:w="1170"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w:t>
            </w:r>
          </w:p>
        </w:tc>
        <w:tc>
          <w:tcPr>
            <w:tcW w:w="1350"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N/A</w:t>
            </w:r>
          </w:p>
        </w:tc>
        <w:tc>
          <w:tcPr>
            <w:tcW w:w="1170"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w:t>
            </w:r>
          </w:p>
        </w:tc>
        <w:tc>
          <w:tcPr>
            <w:tcW w:w="1115"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w:t>
            </w:r>
          </w:p>
        </w:tc>
        <w:tc>
          <w:tcPr>
            <w:tcW w:w="1294"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0.0%</w:t>
            </w:r>
          </w:p>
        </w:tc>
        <w:tc>
          <w:tcPr>
            <w:tcW w:w="1281" w:type="dxa"/>
            <w:shd w:val="clear" w:color="auto" w:fill="auto"/>
            <w:noWrap/>
            <w:vAlign w:val="center"/>
          </w:tcPr>
          <w:p w:rsidR="00A35466" w:rsidRPr="00116463" w:rsidRDefault="00A35466" w:rsidP="004F0C61">
            <w:pPr>
              <w:jc w:val="center"/>
              <w:rPr>
                <w:color w:val="000000"/>
                <w:sz w:val="19"/>
                <w:szCs w:val="19"/>
              </w:rPr>
            </w:pPr>
            <w:r w:rsidRPr="00116463">
              <w:rPr>
                <w:sz w:val="19"/>
                <w:szCs w:val="19"/>
              </w:rPr>
              <w:t>0.0%</w:t>
            </w:r>
          </w:p>
        </w:tc>
      </w:tr>
      <w:tr w:rsidR="00A874AC" w:rsidRPr="00116463" w:rsidTr="00116463">
        <w:trPr>
          <w:trHeight w:val="288"/>
        </w:trPr>
        <w:tc>
          <w:tcPr>
            <w:tcW w:w="1975" w:type="dxa"/>
            <w:shd w:val="clear" w:color="000000" w:fill="D2EAF1"/>
            <w:noWrap/>
            <w:vAlign w:val="center"/>
          </w:tcPr>
          <w:p w:rsidR="00A35466" w:rsidRPr="00116463" w:rsidRDefault="00A35466" w:rsidP="004F0C61">
            <w:pPr>
              <w:jc w:val="left"/>
              <w:rPr>
                <w:b/>
                <w:bCs/>
                <w:color w:val="000000"/>
                <w:sz w:val="19"/>
                <w:szCs w:val="19"/>
              </w:rPr>
            </w:pPr>
            <w:r w:rsidRPr="00116463">
              <w:rPr>
                <w:sz w:val="19"/>
                <w:szCs w:val="19"/>
              </w:rPr>
              <w:t>Lighting – 2</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35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N/A</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115"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294"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8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r>
      <w:tr w:rsidR="00E7173E" w:rsidRPr="00116463" w:rsidTr="00116463">
        <w:trPr>
          <w:trHeight w:val="288"/>
        </w:trPr>
        <w:tc>
          <w:tcPr>
            <w:tcW w:w="1975" w:type="dxa"/>
            <w:shd w:val="clear" w:color="auto" w:fill="auto"/>
            <w:noWrap/>
            <w:vAlign w:val="center"/>
          </w:tcPr>
          <w:p w:rsidR="00A35466" w:rsidRPr="00116463" w:rsidRDefault="00A35466" w:rsidP="004F0C61">
            <w:pPr>
              <w:jc w:val="left"/>
              <w:rPr>
                <w:sz w:val="19"/>
                <w:szCs w:val="19"/>
              </w:rPr>
            </w:pPr>
            <w:r w:rsidRPr="00116463">
              <w:rPr>
                <w:sz w:val="19"/>
                <w:szCs w:val="19"/>
              </w:rPr>
              <w:t>Lighting – 3</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35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N/A</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115"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294"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8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r>
      <w:tr w:rsidR="00A874AC" w:rsidRPr="00116463" w:rsidTr="00116463">
        <w:trPr>
          <w:trHeight w:val="288"/>
        </w:trPr>
        <w:tc>
          <w:tcPr>
            <w:tcW w:w="1975" w:type="dxa"/>
            <w:shd w:val="clear" w:color="000000" w:fill="D2EAF1"/>
            <w:noWrap/>
            <w:vAlign w:val="center"/>
          </w:tcPr>
          <w:p w:rsidR="00A35466" w:rsidRPr="00116463" w:rsidRDefault="00A35466" w:rsidP="004F0C61">
            <w:pPr>
              <w:jc w:val="left"/>
              <w:rPr>
                <w:sz w:val="19"/>
                <w:szCs w:val="19"/>
              </w:rPr>
            </w:pPr>
            <w:r w:rsidRPr="00116463">
              <w:rPr>
                <w:sz w:val="19"/>
                <w:szCs w:val="19"/>
              </w:rPr>
              <w:t>Lighting – 4</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35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N/A</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115"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294"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8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r>
      <w:tr w:rsidR="00E7173E" w:rsidRPr="00116463" w:rsidTr="00116463">
        <w:trPr>
          <w:trHeight w:val="288"/>
        </w:trPr>
        <w:tc>
          <w:tcPr>
            <w:tcW w:w="1975" w:type="dxa"/>
            <w:shd w:val="clear" w:color="auto" w:fill="auto"/>
            <w:noWrap/>
            <w:vAlign w:val="center"/>
          </w:tcPr>
          <w:p w:rsidR="00A35466" w:rsidRPr="00116463" w:rsidRDefault="00A35466" w:rsidP="004F0C61">
            <w:pPr>
              <w:jc w:val="left"/>
              <w:rPr>
                <w:sz w:val="19"/>
                <w:szCs w:val="19"/>
              </w:rPr>
            </w:pPr>
            <w:r w:rsidRPr="00116463">
              <w:rPr>
                <w:sz w:val="19"/>
                <w:szCs w:val="19"/>
              </w:rPr>
              <w:t>Custom – certainty</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1</w:t>
            </w:r>
          </w:p>
        </w:tc>
        <w:tc>
          <w:tcPr>
            <w:tcW w:w="135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1</w:t>
            </w:r>
          </w:p>
        </w:tc>
        <w:tc>
          <w:tcPr>
            <w:tcW w:w="1115"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1</w:t>
            </w:r>
          </w:p>
        </w:tc>
        <w:tc>
          <w:tcPr>
            <w:tcW w:w="1294"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8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r>
      <w:tr w:rsidR="00A874AC" w:rsidRPr="00116463" w:rsidTr="00116463">
        <w:trPr>
          <w:trHeight w:val="288"/>
        </w:trPr>
        <w:tc>
          <w:tcPr>
            <w:tcW w:w="1975" w:type="dxa"/>
            <w:shd w:val="clear" w:color="000000" w:fill="D2EAF1"/>
            <w:noWrap/>
            <w:vAlign w:val="center"/>
          </w:tcPr>
          <w:p w:rsidR="00A35466" w:rsidRPr="00116463" w:rsidRDefault="00A35466" w:rsidP="004F0C61">
            <w:pPr>
              <w:jc w:val="left"/>
              <w:rPr>
                <w:sz w:val="19"/>
                <w:szCs w:val="19"/>
              </w:rPr>
            </w:pPr>
            <w:r w:rsidRPr="00116463">
              <w:rPr>
                <w:sz w:val="19"/>
                <w:szCs w:val="19"/>
              </w:rPr>
              <w:t>Custom – 2</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2</w:t>
            </w:r>
          </w:p>
        </w:tc>
        <w:tc>
          <w:tcPr>
            <w:tcW w:w="135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2</w:t>
            </w:r>
          </w:p>
        </w:tc>
        <w:tc>
          <w:tcPr>
            <w:tcW w:w="1115"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2</w:t>
            </w:r>
          </w:p>
        </w:tc>
        <w:tc>
          <w:tcPr>
            <w:tcW w:w="1294"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8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r>
      <w:tr w:rsidR="00E7173E" w:rsidRPr="00116463" w:rsidTr="00116463">
        <w:trPr>
          <w:trHeight w:val="288"/>
        </w:trPr>
        <w:tc>
          <w:tcPr>
            <w:tcW w:w="1975" w:type="dxa"/>
            <w:shd w:val="clear" w:color="auto" w:fill="auto"/>
            <w:noWrap/>
            <w:vAlign w:val="center"/>
          </w:tcPr>
          <w:p w:rsidR="00A35466" w:rsidRPr="00116463" w:rsidRDefault="00A35466" w:rsidP="004F0C61">
            <w:pPr>
              <w:jc w:val="left"/>
              <w:rPr>
                <w:sz w:val="19"/>
                <w:szCs w:val="19"/>
              </w:rPr>
            </w:pPr>
            <w:r w:rsidRPr="00116463">
              <w:rPr>
                <w:sz w:val="19"/>
                <w:szCs w:val="19"/>
              </w:rPr>
              <w:t>Custom – 3</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9</w:t>
            </w:r>
          </w:p>
        </w:tc>
        <w:tc>
          <w:tcPr>
            <w:tcW w:w="135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26.8%</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4</w:t>
            </w:r>
          </w:p>
        </w:tc>
        <w:tc>
          <w:tcPr>
            <w:tcW w:w="1115"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4</w:t>
            </w:r>
          </w:p>
        </w:tc>
        <w:tc>
          <w:tcPr>
            <w:tcW w:w="1294"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26.8%</w:t>
            </w:r>
          </w:p>
        </w:tc>
        <w:tc>
          <w:tcPr>
            <w:tcW w:w="128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26.8%</w:t>
            </w:r>
          </w:p>
        </w:tc>
      </w:tr>
      <w:tr w:rsidR="00A874AC" w:rsidRPr="00116463" w:rsidTr="00116463">
        <w:trPr>
          <w:trHeight w:val="288"/>
        </w:trPr>
        <w:tc>
          <w:tcPr>
            <w:tcW w:w="1975" w:type="dxa"/>
            <w:shd w:val="clear" w:color="000000" w:fill="D2EAF1"/>
            <w:noWrap/>
            <w:vAlign w:val="center"/>
          </w:tcPr>
          <w:p w:rsidR="00A35466" w:rsidRPr="00116463" w:rsidRDefault="00A35466" w:rsidP="004F0C61">
            <w:pPr>
              <w:jc w:val="left"/>
              <w:rPr>
                <w:sz w:val="19"/>
                <w:szCs w:val="19"/>
              </w:rPr>
            </w:pPr>
            <w:r w:rsidRPr="00116463">
              <w:rPr>
                <w:sz w:val="19"/>
                <w:szCs w:val="19"/>
              </w:rPr>
              <w:t>HVAC and DHW – 1</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35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N/A</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115"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294"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8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r>
      <w:tr w:rsidR="00E7173E" w:rsidRPr="00116463" w:rsidTr="00116463">
        <w:trPr>
          <w:trHeight w:val="288"/>
        </w:trPr>
        <w:tc>
          <w:tcPr>
            <w:tcW w:w="1975" w:type="dxa"/>
            <w:shd w:val="clear" w:color="auto" w:fill="auto"/>
            <w:noWrap/>
            <w:vAlign w:val="center"/>
          </w:tcPr>
          <w:p w:rsidR="00A35466" w:rsidRPr="00116463" w:rsidRDefault="00A35466" w:rsidP="004F0C61">
            <w:pPr>
              <w:jc w:val="left"/>
              <w:rPr>
                <w:sz w:val="19"/>
                <w:szCs w:val="19"/>
              </w:rPr>
            </w:pPr>
            <w:r w:rsidRPr="00116463">
              <w:rPr>
                <w:sz w:val="19"/>
                <w:szCs w:val="19"/>
              </w:rPr>
              <w:t>HVAC and DHW – 2</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35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N/A</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115"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294"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8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r>
      <w:tr w:rsidR="00A874AC" w:rsidRPr="00116463" w:rsidTr="00116463">
        <w:trPr>
          <w:trHeight w:val="288"/>
        </w:trPr>
        <w:tc>
          <w:tcPr>
            <w:tcW w:w="1975" w:type="dxa"/>
            <w:shd w:val="clear" w:color="000000" w:fill="D2EAF1"/>
            <w:noWrap/>
            <w:vAlign w:val="center"/>
          </w:tcPr>
          <w:p w:rsidR="00A35466" w:rsidRPr="00116463" w:rsidRDefault="00A35466" w:rsidP="004F0C61">
            <w:pPr>
              <w:jc w:val="left"/>
              <w:rPr>
                <w:sz w:val="19"/>
                <w:szCs w:val="19"/>
              </w:rPr>
            </w:pPr>
            <w:r w:rsidRPr="00116463">
              <w:rPr>
                <w:sz w:val="19"/>
                <w:szCs w:val="19"/>
              </w:rPr>
              <w:t>Appliance Turn-In – 1</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35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N/A</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115"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w:t>
            </w:r>
          </w:p>
        </w:tc>
        <w:tc>
          <w:tcPr>
            <w:tcW w:w="1294"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81" w:type="dxa"/>
            <w:shd w:val="clear" w:color="000000" w:fill="D2EAF1"/>
            <w:noWrap/>
            <w:vAlign w:val="center"/>
          </w:tcPr>
          <w:p w:rsidR="00A35466" w:rsidRPr="00116463" w:rsidRDefault="00A35466" w:rsidP="004F0C61">
            <w:pPr>
              <w:jc w:val="center"/>
              <w:rPr>
                <w:b/>
                <w:bCs/>
                <w:color w:val="000000"/>
                <w:sz w:val="19"/>
                <w:szCs w:val="19"/>
              </w:rPr>
            </w:pPr>
            <w:r w:rsidRPr="00116463">
              <w:rPr>
                <w:sz w:val="19"/>
                <w:szCs w:val="19"/>
              </w:rPr>
              <w:t>0.0%</w:t>
            </w:r>
          </w:p>
        </w:tc>
      </w:tr>
      <w:tr w:rsidR="00E7173E" w:rsidRPr="00116463" w:rsidTr="00116463">
        <w:trPr>
          <w:trHeight w:val="288"/>
        </w:trPr>
        <w:tc>
          <w:tcPr>
            <w:tcW w:w="1975" w:type="dxa"/>
            <w:shd w:val="clear" w:color="auto" w:fill="auto"/>
            <w:noWrap/>
            <w:vAlign w:val="center"/>
          </w:tcPr>
          <w:p w:rsidR="00A35466" w:rsidRPr="00116463" w:rsidRDefault="00A35466" w:rsidP="004F0C61">
            <w:pPr>
              <w:jc w:val="left"/>
              <w:rPr>
                <w:sz w:val="19"/>
                <w:szCs w:val="19"/>
              </w:rPr>
            </w:pPr>
            <w:r w:rsidRPr="00116463">
              <w:rPr>
                <w:sz w:val="19"/>
                <w:szCs w:val="19"/>
              </w:rPr>
              <w:t>Kitchen/appliances – 1</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35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N/A</w:t>
            </w:r>
          </w:p>
        </w:tc>
        <w:tc>
          <w:tcPr>
            <w:tcW w:w="1170"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115"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w:t>
            </w:r>
          </w:p>
        </w:tc>
        <w:tc>
          <w:tcPr>
            <w:tcW w:w="1294"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c>
          <w:tcPr>
            <w:tcW w:w="1281" w:type="dxa"/>
            <w:shd w:val="clear" w:color="auto" w:fill="auto"/>
            <w:noWrap/>
            <w:vAlign w:val="center"/>
          </w:tcPr>
          <w:p w:rsidR="00A35466" w:rsidRPr="00116463" w:rsidRDefault="00A35466" w:rsidP="004F0C61">
            <w:pPr>
              <w:jc w:val="center"/>
              <w:rPr>
                <w:b/>
                <w:bCs/>
                <w:color w:val="000000"/>
                <w:sz w:val="19"/>
                <w:szCs w:val="19"/>
              </w:rPr>
            </w:pPr>
            <w:r w:rsidRPr="00116463">
              <w:rPr>
                <w:sz w:val="19"/>
                <w:szCs w:val="19"/>
              </w:rPr>
              <w:t>0.0%</w:t>
            </w:r>
          </w:p>
        </w:tc>
      </w:tr>
      <w:tr w:rsidR="00A874AC" w:rsidRPr="00116463" w:rsidTr="00116463">
        <w:trPr>
          <w:trHeight w:val="288"/>
        </w:trPr>
        <w:tc>
          <w:tcPr>
            <w:tcW w:w="1975" w:type="dxa"/>
            <w:shd w:val="clear" w:color="000000" w:fill="D2EAF1"/>
            <w:noWrap/>
            <w:vAlign w:val="center"/>
          </w:tcPr>
          <w:p w:rsidR="00A35466" w:rsidRPr="00116463" w:rsidRDefault="00A35466" w:rsidP="004F0C61">
            <w:pPr>
              <w:jc w:val="left"/>
              <w:rPr>
                <w:sz w:val="19"/>
                <w:szCs w:val="19"/>
              </w:rPr>
            </w:pPr>
            <w:r w:rsidRPr="00116463">
              <w:rPr>
                <w:b/>
                <w:sz w:val="19"/>
                <w:szCs w:val="19"/>
              </w:rPr>
              <w:t>Program Total</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65</w:t>
            </w:r>
          </w:p>
        </w:tc>
        <w:tc>
          <w:tcPr>
            <w:tcW w:w="1350"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11.5%</w:t>
            </w:r>
          </w:p>
        </w:tc>
        <w:tc>
          <w:tcPr>
            <w:tcW w:w="1170"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12</w:t>
            </w:r>
          </w:p>
        </w:tc>
        <w:tc>
          <w:tcPr>
            <w:tcW w:w="1115"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13</w:t>
            </w:r>
          </w:p>
        </w:tc>
        <w:tc>
          <w:tcPr>
            <w:tcW w:w="1294"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11.2%</w:t>
            </w:r>
          </w:p>
        </w:tc>
        <w:tc>
          <w:tcPr>
            <w:tcW w:w="1281" w:type="dxa"/>
            <w:shd w:val="clear" w:color="000000" w:fill="D2EAF1"/>
            <w:noWrap/>
            <w:vAlign w:val="center"/>
          </w:tcPr>
          <w:p w:rsidR="00A35466" w:rsidRPr="00116463" w:rsidRDefault="00A35466" w:rsidP="004F0C61">
            <w:pPr>
              <w:jc w:val="center"/>
              <w:rPr>
                <w:b/>
                <w:bCs/>
                <w:color w:val="000000"/>
                <w:sz w:val="19"/>
                <w:szCs w:val="19"/>
              </w:rPr>
            </w:pPr>
            <w:r w:rsidRPr="00116463">
              <w:rPr>
                <w:b/>
                <w:sz w:val="19"/>
                <w:szCs w:val="19"/>
              </w:rPr>
              <w:t>9.4%</w:t>
            </w:r>
          </w:p>
        </w:tc>
      </w:tr>
    </w:tbl>
    <w:p w:rsidR="00A35466" w:rsidRPr="003458B1" w:rsidRDefault="00A35466" w:rsidP="00A35466"/>
    <w:p w:rsidR="00A35466" w:rsidRPr="003458B1" w:rsidRDefault="00A35466" w:rsidP="008C7396">
      <w:pPr>
        <w:pStyle w:val="AppendixAHeading5"/>
      </w:pPr>
      <w:r w:rsidRPr="003458B1">
        <w:t xml:space="preserve"> Large C/I Energy Efficient Equipment Program</w:t>
      </w:r>
    </w:p>
    <w:p w:rsidR="00AB3C36" w:rsidRDefault="00A35466" w:rsidP="00AB3C36">
      <w:r w:rsidRPr="003458B1">
        <w:t>In PY7 this program consisted mostly of equipment upgrades and custom at industrial facilities. The evaluation contractor used stratified ratio estimation to estimate savings for the program and stratified random sampling for sample design.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was stratified based on energy savings at the measure level. The Cv used in the sample d</w:t>
      </w:r>
      <w:r w:rsidR="00AB3C36">
        <w:t xml:space="preserve">esign was 0.5 for all projects. </w:t>
      </w:r>
    </w:p>
    <w:p w:rsidR="00AB3C36" w:rsidRDefault="00AB3C36" w:rsidP="00AB3C36"/>
    <w:p w:rsidR="00A35466" w:rsidRPr="00AB3C36" w:rsidRDefault="00A35466" w:rsidP="00A35466">
      <w:pPr>
        <w:rPr>
          <w:bCs/>
        </w:rPr>
      </w:pPr>
      <w:r w:rsidRPr="003458B1">
        <w:t xml:space="preserve">The detailed sampling strategy for this program in PY7 and the achieved precision values for each stratum are presented in </w:t>
      </w:r>
      <w:r w:rsidR="007E0D0D">
        <w:t>Table A-79</w:t>
      </w:r>
      <w:r w:rsidRPr="003458B1">
        <w:t>. The data show that Penn Power met the SWE Team require</w:t>
      </w:r>
      <w:r>
        <w:t>ments of 85%/15% confidence/</w:t>
      </w:r>
      <w:r w:rsidRPr="003458B1">
        <w:t>precision for energy and peak demand for this program.</w:t>
      </w:r>
    </w:p>
    <w:p w:rsidR="00995A55" w:rsidRPr="00E6185D" w:rsidRDefault="00995A55" w:rsidP="00E6185D">
      <w:bookmarkStart w:id="956" w:name="_Ref440266544"/>
      <w:bookmarkStart w:id="957" w:name="_Toc410199434"/>
      <w:bookmarkStart w:id="958" w:name="_Toc431462354"/>
      <w:bookmarkStart w:id="959" w:name="_Toc444269876"/>
      <w:bookmarkStart w:id="960" w:name="_Toc472472488"/>
    </w:p>
    <w:p w:rsidR="00A35466" w:rsidRPr="003458B1" w:rsidRDefault="00A35466" w:rsidP="00A35466">
      <w:pPr>
        <w:spacing w:after="120"/>
        <w:jc w:val="center"/>
        <w:rPr>
          <w:rFonts w:ascii="Century Gothic" w:hAnsi="Century Gothic"/>
          <w:b/>
          <w:bCs/>
          <w:sz w:val="18"/>
          <w:szCs w:val="18"/>
        </w:rPr>
      </w:pPr>
      <w:bookmarkStart w:id="961" w:name="_Toc488741907"/>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79</w:t>
      </w:r>
      <w:r w:rsidRPr="003458B1">
        <w:rPr>
          <w:rFonts w:ascii="Century Gothic" w:hAnsi="Century Gothic"/>
          <w:b/>
          <w:bCs/>
          <w:sz w:val="18"/>
          <w:szCs w:val="18"/>
        </w:rPr>
        <w:fldChar w:fldCharType="end"/>
      </w:r>
      <w:bookmarkEnd w:id="956"/>
      <w:r w:rsidRPr="003458B1">
        <w:rPr>
          <w:rFonts w:ascii="Century Gothic" w:hAnsi="Century Gothic"/>
          <w:b/>
          <w:bCs/>
          <w:sz w:val="18"/>
          <w:szCs w:val="18"/>
        </w:rPr>
        <w:t>: Penn Power’s PY7 Sampling Strategy and Relative Precision – Large C/I Energy Efficient Equipment Program</w:t>
      </w:r>
      <w:bookmarkEnd w:id="957"/>
      <w:bookmarkEnd w:id="958"/>
      <w:bookmarkEnd w:id="959"/>
      <w:bookmarkEnd w:id="960"/>
      <w:bookmarkEnd w:id="961"/>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170"/>
        <w:gridCol w:w="1169"/>
        <w:gridCol w:w="1262"/>
        <w:gridCol w:w="1261"/>
        <w:gridCol w:w="1261"/>
        <w:gridCol w:w="1262"/>
      </w:tblGrid>
      <w:tr w:rsidR="00A874AC" w:rsidRPr="00053445" w:rsidTr="00053445">
        <w:trPr>
          <w:trHeight w:val="720"/>
          <w:tblHeader/>
        </w:trPr>
        <w:tc>
          <w:tcPr>
            <w:tcW w:w="1975" w:type="dxa"/>
            <w:shd w:val="clear" w:color="000000" w:fill="448A99"/>
            <w:vAlign w:val="bottom"/>
            <w:hideMark/>
          </w:tcPr>
          <w:p w:rsidR="00A35466" w:rsidRPr="00053445" w:rsidRDefault="00A35466" w:rsidP="004F0C61">
            <w:pPr>
              <w:jc w:val="left"/>
              <w:rPr>
                <w:b/>
                <w:bCs/>
                <w:color w:val="FFFFFF"/>
                <w:sz w:val="19"/>
                <w:szCs w:val="19"/>
              </w:rPr>
            </w:pPr>
            <w:r w:rsidRPr="00053445">
              <w:rPr>
                <w:b/>
                <w:bCs/>
                <w:color w:val="FFFFFF"/>
                <w:sz w:val="19"/>
                <w:szCs w:val="19"/>
              </w:rPr>
              <w:t>Stratum</w:t>
            </w:r>
          </w:p>
        </w:tc>
        <w:tc>
          <w:tcPr>
            <w:tcW w:w="1170"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Population</w:t>
            </w:r>
          </w:p>
        </w:tc>
        <w:tc>
          <w:tcPr>
            <w:tcW w:w="1169"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Target Levels of Confidence &amp; Precision</w:t>
            </w:r>
          </w:p>
        </w:tc>
        <w:tc>
          <w:tcPr>
            <w:tcW w:w="1262"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Target Sample Size</w:t>
            </w:r>
          </w:p>
        </w:tc>
        <w:tc>
          <w:tcPr>
            <w:tcW w:w="1261"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Achieved Sample Size</w:t>
            </w:r>
          </w:p>
        </w:tc>
        <w:tc>
          <w:tcPr>
            <w:tcW w:w="1261"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Relative Precision at 85% C.L. for Energy</w:t>
            </w:r>
          </w:p>
        </w:tc>
        <w:tc>
          <w:tcPr>
            <w:tcW w:w="1262"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Relative Precision at 85% C.L. for Demand</w:t>
            </w:r>
          </w:p>
        </w:tc>
      </w:tr>
      <w:tr w:rsidR="00A874AC" w:rsidRPr="00053445" w:rsidTr="00053445">
        <w:trPr>
          <w:trHeight w:val="360"/>
        </w:trPr>
        <w:tc>
          <w:tcPr>
            <w:tcW w:w="1975" w:type="dxa"/>
            <w:shd w:val="clear" w:color="000000" w:fill="D2EAF1"/>
            <w:noWrap/>
            <w:vAlign w:val="center"/>
          </w:tcPr>
          <w:p w:rsidR="00A35466" w:rsidRPr="00053445" w:rsidRDefault="00A35466" w:rsidP="004F0C61">
            <w:pPr>
              <w:jc w:val="left"/>
              <w:rPr>
                <w:bCs/>
                <w:color w:val="000000"/>
                <w:sz w:val="19"/>
                <w:szCs w:val="19"/>
              </w:rPr>
            </w:pPr>
            <w:r w:rsidRPr="00053445">
              <w:rPr>
                <w:sz w:val="19"/>
                <w:szCs w:val="19"/>
              </w:rPr>
              <w:t>CFL kits – 1</w:t>
            </w:r>
          </w:p>
        </w:tc>
        <w:tc>
          <w:tcPr>
            <w:tcW w:w="1170"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w:t>
            </w:r>
          </w:p>
        </w:tc>
        <w:tc>
          <w:tcPr>
            <w:tcW w:w="1169"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N/A</w:t>
            </w:r>
          </w:p>
        </w:tc>
        <w:tc>
          <w:tcPr>
            <w:tcW w:w="1262"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w:t>
            </w:r>
          </w:p>
        </w:tc>
        <w:tc>
          <w:tcPr>
            <w:tcW w:w="1261"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w:t>
            </w:r>
          </w:p>
        </w:tc>
        <w:tc>
          <w:tcPr>
            <w:tcW w:w="1261"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100.0%</w:t>
            </w:r>
          </w:p>
        </w:tc>
        <w:tc>
          <w:tcPr>
            <w:tcW w:w="1262"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100.0%</w:t>
            </w:r>
          </w:p>
        </w:tc>
      </w:tr>
      <w:tr w:rsidR="00E7173E" w:rsidRPr="00053445" w:rsidTr="00053445">
        <w:trPr>
          <w:trHeight w:val="360"/>
        </w:trPr>
        <w:tc>
          <w:tcPr>
            <w:tcW w:w="1975" w:type="dxa"/>
            <w:shd w:val="clear" w:color="auto" w:fill="auto"/>
            <w:noWrap/>
            <w:vAlign w:val="center"/>
          </w:tcPr>
          <w:p w:rsidR="00A35466" w:rsidRPr="00053445" w:rsidRDefault="00A35466" w:rsidP="004F0C61">
            <w:pPr>
              <w:jc w:val="left"/>
              <w:rPr>
                <w:bCs/>
                <w:color w:val="000000"/>
                <w:sz w:val="19"/>
                <w:szCs w:val="19"/>
              </w:rPr>
            </w:pPr>
            <w:r w:rsidRPr="00053445">
              <w:rPr>
                <w:sz w:val="19"/>
                <w:szCs w:val="19"/>
              </w:rPr>
              <w:t>Lighting – certainty</w:t>
            </w:r>
          </w:p>
        </w:tc>
        <w:tc>
          <w:tcPr>
            <w:tcW w:w="1170"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0</w:t>
            </w:r>
          </w:p>
        </w:tc>
        <w:tc>
          <w:tcPr>
            <w:tcW w:w="1169"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N/A</w:t>
            </w:r>
          </w:p>
        </w:tc>
        <w:tc>
          <w:tcPr>
            <w:tcW w:w="1262"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0</w:t>
            </w:r>
          </w:p>
        </w:tc>
        <w:tc>
          <w:tcPr>
            <w:tcW w:w="1261"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0</w:t>
            </w:r>
          </w:p>
        </w:tc>
        <w:tc>
          <w:tcPr>
            <w:tcW w:w="1261"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0.0%</w:t>
            </w:r>
          </w:p>
        </w:tc>
        <w:tc>
          <w:tcPr>
            <w:tcW w:w="1262"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0.0%</w:t>
            </w:r>
          </w:p>
        </w:tc>
      </w:tr>
      <w:tr w:rsidR="00A874AC" w:rsidRPr="00053445" w:rsidTr="00053445">
        <w:trPr>
          <w:trHeight w:val="360"/>
        </w:trPr>
        <w:tc>
          <w:tcPr>
            <w:tcW w:w="1975" w:type="dxa"/>
            <w:shd w:val="clear" w:color="000000" w:fill="D2EAF1"/>
            <w:noWrap/>
            <w:vAlign w:val="center"/>
          </w:tcPr>
          <w:p w:rsidR="00A35466" w:rsidRPr="00053445" w:rsidRDefault="00A35466" w:rsidP="004F0C61">
            <w:pPr>
              <w:jc w:val="left"/>
              <w:rPr>
                <w:bCs/>
                <w:color w:val="000000"/>
                <w:sz w:val="19"/>
                <w:szCs w:val="19"/>
              </w:rPr>
            </w:pPr>
            <w:r w:rsidRPr="00053445">
              <w:rPr>
                <w:sz w:val="19"/>
                <w:szCs w:val="19"/>
              </w:rPr>
              <w:t>Lighting – 2</w:t>
            </w:r>
          </w:p>
        </w:tc>
        <w:tc>
          <w:tcPr>
            <w:tcW w:w="1170"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1</w:t>
            </w:r>
          </w:p>
        </w:tc>
        <w:tc>
          <w:tcPr>
            <w:tcW w:w="1169"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0.0%</w:t>
            </w:r>
          </w:p>
        </w:tc>
        <w:tc>
          <w:tcPr>
            <w:tcW w:w="1262"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1</w:t>
            </w:r>
          </w:p>
        </w:tc>
        <w:tc>
          <w:tcPr>
            <w:tcW w:w="1261"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1</w:t>
            </w:r>
          </w:p>
        </w:tc>
        <w:tc>
          <w:tcPr>
            <w:tcW w:w="1261"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0.0%</w:t>
            </w:r>
          </w:p>
        </w:tc>
        <w:tc>
          <w:tcPr>
            <w:tcW w:w="1262"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0.0%</w:t>
            </w:r>
          </w:p>
        </w:tc>
      </w:tr>
      <w:tr w:rsidR="00E7173E" w:rsidRPr="00053445" w:rsidTr="00053445">
        <w:trPr>
          <w:trHeight w:val="360"/>
        </w:trPr>
        <w:tc>
          <w:tcPr>
            <w:tcW w:w="1975" w:type="dxa"/>
            <w:shd w:val="clear" w:color="auto" w:fill="auto"/>
            <w:noWrap/>
            <w:vAlign w:val="center"/>
          </w:tcPr>
          <w:p w:rsidR="00A35466" w:rsidRPr="00053445" w:rsidRDefault="00A35466" w:rsidP="004F0C61">
            <w:pPr>
              <w:jc w:val="left"/>
              <w:rPr>
                <w:bCs/>
                <w:color w:val="000000"/>
                <w:sz w:val="19"/>
                <w:szCs w:val="19"/>
              </w:rPr>
            </w:pPr>
            <w:r w:rsidRPr="00053445">
              <w:rPr>
                <w:sz w:val="19"/>
                <w:szCs w:val="19"/>
              </w:rPr>
              <w:t>Lighting – 3</w:t>
            </w:r>
          </w:p>
        </w:tc>
        <w:tc>
          <w:tcPr>
            <w:tcW w:w="1170"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2</w:t>
            </w:r>
          </w:p>
        </w:tc>
        <w:tc>
          <w:tcPr>
            <w:tcW w:w="1169"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0.0%</w:t>
            </w:r>
          </w:p>
        </w:tc>
        <w:tc>
          <w:tcPr>
            <w:tcW w:w="1262"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2</w:t>
            </w:r>
          </w:p>
        </w:tc>
        <w:tc>
          <w:tcPr>
            <w:tcW w:w="1261"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2</w:t>
            </w:r>
          </w:p>
        </w:tc>
        <w:tc>
          <w:tcPr>
            <w:tcW w:w="1261"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0.0%</w:t>
            </w:r>
          </w:p>
        </w:tc>
        <w:tc>
          <w:tcPr>
            <w:tcW w:w="1262" w:type="dxa"/>
            <w:shd w:val="clear" w:color="auto" w:fill="auto"/>
            <w:noWrap/>
            <w:vAlign w:val="center"/>
          </w:tcPr>
          <w:p w:rsidR="00A35466" w:rsidRPr="00053445" w:rsidRDefault="00A35466" w:rsidP="004F0C61">
            <w:pPr>
              <w:jc w:val="center"/>
              <w:rPr>
                <w:color w:val="000000"/>
                <w:sz w:val="19"/>
                <w:szCs w:val="19"/>
              </w:rPr>
            </w:pPr>
            <w:r w:rsidRPr="00053445">
              <w:rPr>
                <w:sz w:val="19"/>
                <w:szCs w:val="19"/>
              </w:rPr>
              <w:t>0.0%</w:t>
            </w:r>
          </w:p>
        </w:tc>
      </w:tr>
      <w:tr w:rsidR="00A874AC" w:rsidRPr="00053445" w:rsidTr="00053445">
        <w:trPr>
          <w:trHeight w:val="360"/>
        </w:trPr>
        <w:tc>
          <w:tcPr>
            <w:tcW w:w="1975" w:type="dxa"/>
            <w:shd w:val="clear" w:color="000000" w:fill="D2EAF1"/>
            <w:noWrap/>
            <w:vAlign w:val="center"/>
          </w:tcPr>
          <w:p w:rsidR="00A35466" w:rsidRPr="00053445" w:rsidRDefault="00A35466" w:rsidP="004F0C61">
            <w:pPr>
              <w:jc w:val="left"/>
              <w:rPr>
                <w:bCs/>
                <w:color w:val="000000"/>
                <w:sz w:val="19"/>
                <w:szCs w:val="19"/>
              </w:rPr>
            </w:pPr>
            <w:r w:rsidRPr="00053445">
              <w:rPr>
                <w:sz w:val="19"/>
                <w:szCs w:val="19"/>
              </w:rPr>
              <w:t>Lighting – 4</w:t>
            </w:r>
          </w:p>
        </w:tc>
        <w:tc>
          <w:tcPr>
            <w:tcW w:w="1170"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8</w:t>
            </w:r>
          </w:p>
        </w:tc>
        <w:tc>
          <w:tcPr>
            <w:tcW w:w="1169"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44.1%</w:t>
            </w:r>
          </w:p>
        </w:tc>
        <w:tc>
          <w:tcPr>
            <w:tcW w:w="1262"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2</w:t>
            </w:r>
          </w:p>
        </w:tc>
        <w:tc>
          <w:tcPr>
            <w:tcW w:w="1261"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2</w:t>
            </w:r>
          </w:p>
        </w:tc>
        <w:tc>
          <w:tcPr>
            <w:tcW w:w="1261"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44.1%</w:t>
            </w:r>
          </w:p>
        </w:tc>
        <w:tc>
          <w:tcPr>
            <w:tcW w:w="1262"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44.1%</w:t>
            </w:r>
          </w:p>
        </w:tc>
      </w:tr>
      <w:tr w:rsidR="00E7173E" w:rsidRPr="00053445" w:rsidTr="00053445">
        <w:trPr>
          <w:trHeight w:val="360"/>
        </w:trPr>
        <w:tc>
          <w:tcPr>
            <w:tcW w:w="1975" w:type="dxa"/>
            <w:shd w:val="clear" w:color="auto" w:fill="auto"/>
            <w:noWrap/>
            <w:vAlign w:val="center"/>
          </w:tcPr>
          <w:p w:rsidR="00A35466" w:rsidRPr="00053445" w:rsidRDefault="00A35466" w:rsidP="004F0C61">
            <w:pPr>
              <w:jc w:val="left"/>
              <w:rPr>
                <w:b/>
                <w:bCs/>
                <w:color w:val="000000"/>
                <w:sz w:val="19"/>
                <w:szCs w:val="19"/>
              </w:rPr>
            </w:pPr>
            <w:r w:rsidRPr="00053445">
              <w:rPr>
                <w:sz w:val="19"/>
                <w:szCs w:val="19"/>
              </w:rPr>
              <w:t>Custom – certainty</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69"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2"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2"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053445">
        <w:trPr>
          <w:trHeight w:val="360"/>
        </w:trPr>
        <w:tc>
          <w:tcPr>
            <w:tcW w:w="1975" w:type="dxa"/>
            <w:shd w:val="clear" w:color="auto" w:fill="D2EAF1"/>
            <w:noWrap/>
            <w:vAlign w:val="center"/>
          </w:tcPr>
          <w:p w:rsidR="00A35466" w:rsidRPr="00053445" w:rsidRDefault="00A35466" w:rsidP="004F0C61">
            <w:pPr>
              <w:jc w:val="left"/>
              <w:rPr>
                <w:sz w:val="19"/>
                <w:szCs w:val="19"/>
              </w:rPr>
            </w:pPr>
            <w:r w:rsidRPr="00053445">
              <w:rPr>
                <w:sz w:val="19"/>
                <w:szCs w:val="19"/>
              </w:rPr>
              <w:t>Custom – 2</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69"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2"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2"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053445">
        <w:trPr>
          <w:trHeight w:val="360"/>
        </w:trPr>
        <w:tc>
          <w:tcPr>
            <w:tcW w:w="1975" w:type="dxa"/>
            <w:shd w:val="clear" w:color="auto" w:fill="auto"/>
            <w:noWrap/>
            <w:vAlign w:val="center"/>
          </w:tcPr>
          <w:p w:rsidR="00A35466" w:rsidRPr="00053445" w:rsidRDefault="00A35466" w:rsidP="004F0C61">
            <w:pPr>
              <w:jc w:val="left"/>
              <w:rPr>
                <w:sz w:val="19"/>
                <w:szCs w:val="19"/>
              </w:rPr>
            </w:pPr>
            <w:r w:rsidRPr="00053445">
              <w:rPr>
                <w:sz w:val="19"/>
                <w:szCs w:val="19"/>
              </w:rPr>
              <w:t>Custom – 3</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4</w:t>
            </w:r>
          </w:p>
        </w:tc>
        <w:tc>
          <w:tcPr>
            <w:tcW w:w="1169"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36.0%</w:t>
            </w:r>
          </w:p>
        </w:tc>
        <w:tc>
          <w:tcPr>
            <w:tcW w:w="1262"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2</w:t>
            </w:r>
          </w:p>
        </w:tc>
        <w:tc>
          <w:tcPr>
            <w:tcW w:w="1261"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3</w:t>
            </w:r>
          </w:p>
        </w:tc>
        <w:tc>
          <w:tcPr>
            <w:tcW w:w="1261"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20.8%</w:t>
            </w:r>
          </w:p>
        </w:tc>
        <w:tc>
          <w:tcPr>
            <w:tcW w:w="1262"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20.8%</w:t>
            </w:r>
          </w:p>
        </w:tc>
      </w:tr>
      <w:tr w:rsidR="00A874AC" w:rsidRPr="00053445" w:rsidTr="00053445">
        <w:trPr>
          <w:trHeight w:val="360"/>
        </w:trPr>
        <w:tc>
          <w:tcPr>
            <w:tcW w:w="1975" w:type="dxa"/>
            <w:shd w:val="clear" w:color="auto" w:fill="D2EAF1"/>
            <w:noWrap/>
            <w:vAlign w:val="center"/>
          </w:tcPr>
          <w:p w:rsidR="00A35466" w:rsidRPr="00053445" w:rsidRDefault="00A35466" w:rsidP="004F0C61">
            <w:pPr>
              <w:jc w:val="left"/>
              <w:rPr>
                <w:sz w:val="19"/>
                <w:szCs w:val="19"/>
              </w:rPr>
            </w:pPr>
            <w:r w:rsidRPr="00053445">
              <w:rPr>
                <w:sz w:val="19"/>
                <w:szCs w:val="19"/>
              </w:rPr>
              <w:t>HVAC and DHW – 1</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69"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2"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2"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053445">
        <w:trPr>
          <w:trHeight w:val="360"/>
        </w:trPr>
        <w:tc>
          <w:tcPr>
            <w:tcW w:w="1975" w:type="dxa"/>
            <w:shd w:val="clear" w:color="auto" w:fill="auto"/>
            <w:noWrap/>
            <w:vAlign w:val="center"/>
          </w:tcPr>
          <w:p w:rsidR="00A35466" w:rsidRPr="00053445" w:rsidRDefault="00A35466" w:rsidP="004F0C61">
            <w:pPr>
              <w:jc w:val="left"/>
              <w:rPr>
                <w:sz w:val="19"/>
                <w:szCs w:val="19"/>
              </w:rPr>
            </w:pPr>
            <w:r w:rsidRPr="00053445">
              <w:rPr>
                <w:sz w:val="19"/>
                <w:szCs w:val="19"/>
              </w:rPr>
              <w:t>HVAC and DHW – 2</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69"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2"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2"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053445">
        <w:trPr>
          <w:trHeight w:val="360"/>
        </w:trPr>
        <w:tc>
          <w:tcPr>
            <w:tcW w:w="1975" w:type="dxa"/>
            <w:shd w:val="clear" w:color="auto" w:fill="D2EAF1"/>
            <w:noWrap/>
            <w:vAlign w:val="center"/>
          </w:tcPr>
          <w:p w:rsidR="00A35466" w:rsidRPr="00053445" w:rsidRDefault="00A35466" w:rsidP="004F0C61">
            <w:pPr>
              <w:jc w:val="left"/>
              <w:rPr>
                <w:sz w:val="19"/>
                <w:szCs w:val="19"/>
              </w:rPr>
            </w:pPr>
            <w:r w:rsidRPr="00053445">
              <w:rPr>
                <w:sz w:val="19"/>
                <w:szCs w:val="19"/>
              </w:rPr>
              <w:t>Appliance Turn-In – 1</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69"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2"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2"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053445">
        <w:trPr>
          <w:trHeight w:val="360"/>
        </w:trPr>
        <w:tc>
          <w:tcPr>
            <w:tcW w:w="1975" w:type="dxa"/>
            <w:shd w:val="clear" w:color="auto" w:fill="auto"/>
            <w:noWrap/>
            <w:vAlign w:val="center"/>
          </w:tcPr>
          <w:p w:rsidR="00A35466" w:rsidRPr="00053445" w:rsidRDefault="00A35466" w:rsidP="004F0C61">
            <w:pPr>
              <w:jc w:val="left"/>
              <w:rPr>
                <w:sz w:val="19"/>
                <w:szCs w:val="19"/>
              </w:rPr>
            </w:pPr>
            <w:r w:rsidRPr="00053445">
              <w:rPr>
                <w:sz w:val="19"/>
                <w:szCs w:val="19"/>
              </w:rPr>
              <w:t>Kitchen/appliances – 1</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69"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2"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2"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053445">
        <w:trPr>
          <w:trHeight w:val="360"/>
        </w:trPr>
        <w:tc>
          <w:tcPr>
            <w:tcW w:w="1975" w:type="dxa"/>
            <w:shd w:val="clear" w:color="auto" w:fill="D2EAF1"/>
            <w:noWrap/>
            <w:vAlign w:val="center"/>
          </w:tcPr>
          <w:p w:rsidR="00A35466" w:rsidRPr="00053445" w:rsidRDefault="00A35466" w:rsidP="004F0C61">
            <w:pPr>
              <w:jc w:val="left"/>
              <w:rPr>
                <w:sz w:val="19"/>
                <w:szCs w:val="19"/>
              </w:rPr>
            </w:pPr>
            <w:r w:rsidRPr="00053445">
              <w:rPr>
                <w:b/>
                <w:sz w:val="19"/>
                <w:szCs w:val="19"/>
              </w:rPr>
              <w:t>Program Total</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15</w:t>
            </w:r>
          </w:p>
        </w:tc>
        <w:tc>
          <w:tcPr>
            <w:tcW w:w="1169"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13.0%</w:t>
            </w:r>
          </w:p>
        </w:tc>
        <w:tc>
          <w:tcPr>
            <w:tcW w:w="1262"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7</w:t>
            </w:r>
          </w:p>
        </w:tc>
        <w:tc>
          <w:tcPr>
            <w:tcW w:w="1261"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8</w:t>
            </w:r>
          </w:p>
        </w:tc>
        <w:tc>
          <w:tcPr>
            <w:tcW w:w="1261"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11.9%</w:t>
            </w:r>
          </w:p>
        </w:tc>
        <w:tc>
          <w:tcPr>
            <w:tcW w:w="1262"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12.4%</w:t>
            </w:r>
          </w:p>
        </w:tc>
      </w:tr>
    </w:tbl>
    <w:p w:rsidR="00A35466" w:rsidRPr="003458B1" w:rsidRDefault="00A35466" w:rsidP="00A35466">
      <w:pPr>
        <w:rPr>
          <w:b/>
          <w:i/>
        </w:rPr>
      </w:pPr>
    </w:p>
    <w:p w:rsidR="00A35466" w:rsidRPr="003458B1" w:rsidRDefault="00A35466" w:rsidP="008C7396">
      <w:pPr>
        <w:pStyle w:val="AppendixAHeading5"/>
      </w:pPr>
      <w:r w:rsidRPr="003458B1">
        <w:t>Large C/I Energy Efficient Buildings Program</w:t>
      </w:r>
    </w:p>
    <w:p w:rsidR="00A35466" w:rsidRPr="00AB3C36" w:rsidRDefault="00A35466" w:rsidP="00A35466">
      <w:pPr>
        <w:rPr>
          <w:bCs/>
        </w:rPr>
      </w:pPr>
      <w:r w:rsidRPr="003458B1">
        <w:t>This was a new program in Phase II. The program includes two components: energy conservation kits delivered by mail to</w:t>
      </w:r>
      <w:r>
        <w:t xml:space="preserve"> non-residential customers and whole-building</w:t>
      </w:r>
      <w:r w:rsidRPr="003458B1">
        <w:t xml:space="preserve"> projects such as new construction, retro-commissioning, and building envelope improvements. However, no kits were distributed in PY7. Sampling and project-level gross impact evaluation methodologies for efficient equipment and building upgrade measures are identical to the</w:t>
      </w:r>
      <w:r w:rsidR="00502F2B">
        <w:t xml:space="preserve"> methodology described for the </w:t>
      </w:r>
      <w:r w:rsidRPr="003458B1">
        <w:t>Small</w:t>
      </w:r>
      <w:r w:rsidR="00502F2B">
        <w:t xml:space="preserve"> C/I</w:t>
      </w:r>
      <w:r w:rsidRPr="003458B1">
        <w:t xml:space="preserve"> </w:t>
      </w:r>
      <w:r>
        <w:t xml:space="preserve">Energy </w:t>
      </w:r>
      <w:r w:rsidRPr="003458B1">
        <w:t xml:space="preserve">Efficient Equipment Program above. The sample design strategy and the achieved precision values for energy and demand are shown in </w:t>
      </w:r>
      <w:r w:rsidR="007E0D0D">
        <w:t>Table A-80</w:t>
      </w:r>
      <w:r w:rsidRPr="003458B1">
        <w:t>. The achieved precision for energy and demand satisfied the SWE Team requirements.</w:t>
      </w:r>
    </w:p>
    <w:p w:rsidR="00AB3C36" w:rsidRPr="00053445" w:rsidRDefault="00AB3C36" w:rsidP="00053445">
      <w:bookmarkStart w:id="962" w:name="_Ref440033272"/>
      <w:bookmarkStart w:id="963" w:name="_Toc444269877"/>
      <w:bookmarkStart w:id="964" w:name="_Toc472472489"/>
    </w:p>
    <w:p w:rsidR="00A35466" w:rsidRPr="003458B1" w:rsidRDefault="00A35466" w:rsidP="00A35466">
      <w:pPr>
        <w:spacing w:after="120"/>
        <w:jc w:val="center"/>
        <w:rPr>
          <w:rFonts w:ascii="Century Gothic" w:hAnsi="Century Gothic"/>
          <w:b/>
          <w:bCs/>
          <w:sz w:val="18"/>
          <w:szCs w:val="18"/>
        </w:rPr>
      </w:pPr>
      <w:bookmarkStart w:id="965" w:name="_Toc488741908"/>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80</w:t>
      </w:r>
      <w:r w:rsidRPr="003458B1">
        <w:rPr>
          <w:rFonts w:ascii="Century Gothic" w:hAnsi="Century Gothic"/>
          <w:b/>
          <w:bCs/>
          <w:sz w:val="18"/>
          <w:szCs w:val="18"/>
        </w:rPr>
        <w:fldChar w:fldCharType="end"/>
      </w:r>
      <w:bookmarkEnd w:id="962"/>
      <w:r w:rsidRPr="003458B1">
        <w:rPr>
          <w:rFonts w:ascii="Century Gothic" w:hAnsi="Century Gothic"/>
          <w:b/>
          <w:bCs/>
          <w:sz w:val="18"/>
          <w:szCs w:val="18"/>
        </w:rPr>
        <w:t>: Penn Power PY7 Sampling Strategy and Relative Precision – Large C/I Energy Efficient Buildings Program</w:t>
      </w:r>
      <w:bookmarkEnd w:id="963"/>
      <w:bookmarkEnd w:id="964"/>
      <w:bookmarkEnd w:id="965"/>
    </w:p>
    <w:tbl>
      <w:tblPr>
        <w:tblW w:w="9360" w:type="dxa"/>
        <w:tblInd w:w="-5"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2070"/>
        <w:gridCol w:w="1170"/>
        <w:gridCol w:w="1187"/>
        <w:gridCol w:w="6"/>
        <w:gridCol w:w="1256"/>
        <w:gridCol w:w="1261"/>
        <w:gridCol w:w="1150"/>
        <w:gridCol w:w="1260"/>
      </w:tblGrid>
      <w:tr w:rsidR="00A874AC" w:rsidRPr="00053445" w:rsidTr="00053445">
        <w:trPr>
          <w:trHeight w:val="864"/>
          <w:tblHeader/>
        </w:trPr>
        <w:tc>
          <w:tcPr>
            <w:tcW w:w="2070" w:type="dxa"/>
            <w:shd w:val="clear" w:color="000000" w:fill="448A99"/>
            <w:vAlign w:val="bottom"/>
            <w:hideMark/>
          </w:tcPr>
          <w:p w:rsidR="00A35466" w:rsidRPr="00053445" w:rsidRDefault="00A35466" w:rsidP="004F0C61">
            <w:pPr>
              <w:rPr>
                <w:b/>
                <w:bCs/>
                <w:color w:val="FFFFFF"/>
                <w:sz w:val="19"/>
                <w:szCs w:val="19"/>
              </w:rPr>
            </w:pPr>
            <w:r w:rsidRPr="00053445">
              <w:rPr>
                <w:b/>
                <w:bCs/>
                <w:color w:val="FFFFFF"/>
                <w:sz w:val="19"/>
                <w:szCs w:val="19"/>
              </w:rPr>
              <w:t>Stratum</w:t>
            </w:r>
          </w:p>
        </w:tc>
        <w:tc>
          <w:tcPr>
            <w:tcW w:w="1170"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Population</w:t>
            </w:r>
          </w:p>
        </w:tc>
        <w:tc>
          <w:tcPr>
            <w:tcW w:w="1187"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Target Levels of Confidence &amp; Precision</w:t>
            </w:r>
          </w:p>
        </w:tc>
        <w:tc>
          <w:tcPr>
            <w:tcW w:w="1262" w:type="dxa"/>
            <w:gridSpan w:val="2"/>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Target Sample Size</w:t>
            </w:r>
          </w:p>
        </w:tc>
        <w:tc>
          <w:tcPr>
            <w:tcW w:w="1261"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Achieved Sample Size</w:t>
            </w:r>
          </w:p>
        </w:tc>
        <w:tc>
          <w:tcPr>
            <w:tcW w:w="1150"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Relative Precision at 85% C.L. for Energy</w:t>
            </w:r>
          </w:p>
        </w:tc>
        <w:tc>
          <w:tcPr>
            <w:tcW w:w="1260"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Relative Precision at 85% C.L. for Demand</w:t>
            </w:r>
          </w:p>
        </w:tc>
      </w:tr>
      <w:tr w:rsidR="00A874AC" w:rsidRPr="00053445" w:rsidTr="004F0C61">
        <w:trPr>
          <w:trHeight w:val="346"/>
        </w:trPr>
        <w:tc>
          <w:tcPr>
            <w:tcW w:w="2070" w:type="dxa"/>
            <w:shd w:val="clear" w:color="000000" w:fill="D2EAF1"/>
            <w:noWrap/>
            <w:vAlign w:val="center"/>
          </w:tcPr>
          <w:p w:rsidR="00A35466" w:rsidRPr="00053445" w:rsidRDefault="00A35466" w:rsidP="004F0C61">
            <w:pPr>
              <w:rPr>
                <w:bCs/>
                <w:color w:val="000000"/>
                <w:sz w:val="19"/>
                <w:szCs w:val="19"/>
              </w:rPr>
            </w:pPr>
            <w:r w:rsidRPr="00053445">
              <w:rPr>
                <w:sz w:val="19"/>
                <w:szCs w:val="19"/>
              </w:rPr>
              <w:t>CFL kits – 1</w:t>
            </w:r>
          </w:p>
        </w:tc>
        <w:tc>
          <w:tcPr>
            <w:tcW w:w="1170"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193" w:type="dxa"/>
            <w:gridSpan w:val="2"/>
            <w:shd w:val="clear" w:color="000000" w:fill="D2EAF1"/>
            <w:noWrap/>
          </w:tcPr>
          <w:p w:rsidR="00A35466" w:rsidRPr="00053445" w:rsidRDefault="00A35466" w:rsidP="004F0C61">
            <w:pPr>
              <w:jc w:val="center"/>
              <w:rPr>
                <w:color w:val="000000"/>
                <w:sz w:val="19"/>
                <w:szCs w:val="19"/>
              </w:rPr>
            </w:pPr>
            <w:r w:rsidRPr="00053445">
              <w:rPr>
                <w:sz w:val="19"/>
                <w:szCs w:val="19"/>
              </w:rPr>
              <w:t>N/A</w:t>
            </w:r>
          </w:p>
        </w:tc>
        <w:tc>
          <w:tcPr>
            <w:tcW w:w="1256"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261"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150" w:type="dxa"/>
            <w:shd w:val="clear" w:color="000000" w:fill="D2EAF1"/>
            <w:noWrap/>
          </w:tcPr>
          <w:p w:rsidR="00A35466" w:rsidRPr="00053445" w:rsidRDefault="00A35466" w:rsidP="004F0C61">
            <w:pPr>
              <w:jc w:val="center"/>
              <w:rPr>
                <w:color w:val="000000"/>
                <w:sz w:val="19"/>
                <w:szCs w:val="19"/>
              </w:rPr>
            </w:pPr>
            <w:r w:rsidRPr="00053445">
              <w:rPr>
                <w:sz w:val="19"/>
                <w:szCs w:val="19"/>
              </w:rPr>
              <w:t>0.0%</w:t>
            </w:r>
          </w:p>
        </w:tc>
        <w:tc>
          <w:tcPr>
            <w:tcW w:w="1260" w:type="dxa"/>
            <w:shd w:val="clear" w:color="000000" w:fill="D2EAF1"/>
            <w:noWrap/>
          </w:tcPr>
          <w:p w:rsidR="00A35466" w:rsidRPr="00053445" w:rsidRDefault="00A35466" w:rsidP="004F0C61">
            <w:pPr>
              <w:jc w:val="center"/>
              <w:rPr>
                <w:color w:val="000000"/>
                <w:sz w:val="19"/>
                <w:szCs w:val="19"/>
              </w:rPr>
            </w:pPr>
            <w:r w:rsidRPr="00053445">
              <w:rPr>
                <w:sz w:val="19"/>
                <w:szCs w:val="19"/>
              </w:rPr>
              <w:t>0.0%</w:t>
            </w:r>
          </w:p>
        </w:tc>
      </w:tr>
      <w:tr w:rsidR="00E7173E" w:rsidRPr="00053445" w:rsidTr="00AB3C36">
        <w:trPr>
          <w:trHeight w:val="346"/>
        </w:trPr>
        <w:tc>
          <w:tcPr>
            <w:tcW w:w="2070" w:type="dxa"/>
            <w:shd w:val="clear" w:color="auto" w:fill="auto"/>
            <w:noWrap/>
            <w:vAlign w:val="center"/>
          </w:tcPr>
          <w:p w:rsidR="00A35466" w:rsidRPr="00053445" w:rsidRDefault="00A35466" w:rsidP="004F0C61">
            <w:pPr>
              <w:rPr>
                <w:bCs/>
                <w:color w:val="000000"/>
                <w:sz w:val="19"/>
                <w:szCs w:val="19"/>
              </w:rPr>
            </w:pPr>
            <w:r w:rsidRPr="00053445">
              <w:rPr>
                <w:sz w:val="19"/>
                <w:szCs w:val="19"/>
              </w:rPr>
              <w:t>Lighting – certainty</w:t>
            </w:r>
          </w:p>
        </w:tc>
        <w:tc>
          <w:tcPr>
            <w:tcW w:w="1170" w:type="dxa"/>
            <w:shd w:val="clear" w:color="auto" w:fill="auto"/>
            <w:noWrap/>
          </w:tcPr>
          <w:p w:rsidR="00A35466" w:rsidRPr="00053445" w:rsidRDefault="00A35466" w:rsidP="004F0C61">
            <w:pPr>
              <w:jc w:val="center"/>
              <w:rPr>
                <w:color w:val="000000"/>
                <w:sz w:val="19"/>
                <w:szCs w:val="19"/>
              </w:rPr>
            </w:pPr>
            <w:r w:rsidRPr="00053445">
              <w:rPr>
                <w:sz w:val="19"/>
                <w:szCs w:val="19"/>
              </w:rPr>
              <w:t>0</w:t>
            </w:r>
          </w:p>
        </w:tc>
        <w:tc>
          <w:tcPr>
            <w:tcW w:w="1193" w:type="dxa"/>
            <w:gridSpan w:val="2"/>
            <w:shd w:val="clear" w:color="auto" w:fill="auto"/>
            <w:noWrap/>
          </w:tcPr>
          <w:p w:rsidR="00A35466" w:rsidRPr="00053445" w:rsidRDefault="00A35466" w:rsidP="004F0C61">
            <w:pPr>
              <w:jc w:val="center"/>
              <w:rPr>
                <w:color w:val="000000"/>
                <w:sz w:val="19"/>
                <w:szCs w:val="19"/>
              </w:rPr>
            </w:pPr>
            <w:r w:rsidRPr="00053445">
              <w:rPr>
                <w:sz w:val="19"/>
                <w:szCs w:val="19"/>
              </w:rPr>
              <w:t>N/A</w:t>
            </w:r>
          </w:p>
        </w:tc>
        <w:tc>
          <w:tcPr>
            <w:tcW w:w="1256" w:type="dxa"/>
            <w:shd w:val="clear" w:color="auto" w:fill="auto"/>
            <w:noWrap/>
          </w:tcPr>
          <w:p w:rsidR="00A35466" w:rsidRPr="00053445" w:rsidRDefault="00A35466" w:rsidP="004F0C61">
            <w:pPr>
              <w:jc w:val="center"/>
              <w:rPr>
                <w:color w:val="000000"/>
                <w:sz w:val="19"/>
                <w:szCs w:val="19"/>
              </w:rPr>
            </w:pPr>
            <w:r w:rsidRPr="00053445">
              <w:rPr>
                <w:sz w:val="19"/>
                <w:szCs w:val="19"/>
              </w:rPr>
              <w:t>0</w:t>
            </w:r>
          </w:p>
        </w:tc>
        <w:tc>
          <w:tcPr>
            <w:tcW w:w="1261" w:type="dxa"/>
            <w:shd w:val="clear" w:color="auto" w:fill="auto"/>
            <w:noWrap/>
          </w:tcPr>
          <w:p w:rsidR="00A35466" w:rsidRPr="00053445" w:rsidRDefault="00A35466" w:rsidP="004F0C61">
            <w:pPr>
              <w:jc w:val="center"/>
              <w:rPr>
                <w:color w:val="000000"/>
                <w:sz w:val="19"/>
                <w:szCs w:val="19"/>
              </w:rPr>
            </w:pPr>
            <w:r w:rsidRPr="00053445">
              <w:rPr>
                <w:sz w:val="19"/>
                <w:szCs w:val="19"/>
              </w:rPr>
              <w:t>0</w:t>
            </w:r>
          </w:p>
        </w:tc>
        <w:tc>
          <w:tcPr>
            <w:tcW w:w="1150" w:type="dxa"/>
            <w:shd w:val="clear" w:color="auto" w:fill="auto"/>
            <w:noWrap/>
          </w:tcPr>
          <w:p w:rsidR="00A35466" w:rsidRPr="00053445" w:rsidRDefault="00A35466" w:rsidP="004F0C61">
            <w:pPr>
              <w:jc w:val="center"/>
              <w:rPr>
                <w:color w:val="000000"/>
                <w:sz w:val="19"/>
                <w:szCs w:val="19"/>
              </w:rPr>
            </w:pPr>
            <w:r w:rsidRPr="00053445">
              <w:rPr>
                <w:sz w:val="19"/>
                <w:szCs w:val="19"/>
              </w:rPr>
              <w:t>0.0%</w:t>
            </w:r>
          </w:p>
        </w:tc>
        <w:tc>
          <w:tcPr>
            <w:tcW w:w="1260" w:type="dxa"/>
            <w:shd w:val="clear" w:color="auto" w:fill="auto"/>
            <w:noWrap/>
          </w:tcPr>
          <w:p w:rsidR="00A35466" w:rsidRPr="00053445" w:rsidRDefault="00A35466" w:rsidP="004F0C61">
            <w:pPr>
              <w:jc w:val="center"/>
              <w:rPr>
                <w:color w:val="000000"/>
                <w:sz w:val="19"/>
                <w:szCs w:val="19"/>
              </w:rPr>
            </w:pPr>
            <w:r w:rsidRPr="00053445">
              <w:rPr>
                <w:sz w:val="19"/>
                <w:szCs w:val="19"/>
              </w:rPr>
              <w:t>0.0%</w:t>
            </w:r>
          </w:p>
        </w:tc>
      </w:tr>
      <w:tr w:rsidR="00A874AC" w:rsidRPr="00053445" w:rsidTr="004F0C61">
        <w:trPr>
          <w:trHeight w:val="346"/>
        </w:trPr>
        <w:tc>
          <w:tcPr>
            <w:tcW w:w="2070" w:type="dxa"/>
            <w:shd w:val="clear" w:color="000000" w:fill="D2EAF1"/>
            <w:noWrap/>
            <w:vAlign w:val="center"/>
          </w:tcPr>
          <w:p w:rsidR="00A35466" w:rsidRPr="00053445" w:rsidRDefault="00A35466" w:rsidP="004F0C61">
            <w:pPr>
              <w:rPr>
                <w:bCs/>
                <w:color w:val="000000"/>
                <w:sz w:val="19"/>
                <w:szCs w:val="19"/>
              </w:rPr>
            </w:pPr>
            <w:r w:rsidRPr="00053445">
              <w:rPr>
                <w:sz w:val="19"/>
                <w:szCs w:val="19"/>
              </w:rPr>
              <w:t>Lighting – 2</w:t>
            </w:r>
          </w:p>
        </w:tc>
        <w:tc>
          <w:tcPr>
            <w:tcW w:w="1170"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193" w:type="dxa"/>
            <w:gridSpan w:val="2"/>
            <w:shd w:val="clear" w:color="000000" w:fill="D2EAF1"/>
            <w:noWrap/>
          </w:tcPr>
          <w:p w:rsidR="00A35466" w:rsidRPr="00053445" w:rsidRDefault="00A35466" w:rsidP="004F0C61">
            <w:pPr>
              <w:jc w:val="center"/>
              <w:rPr>
                <w:color w:val="000000"/>
                <w:sz w:val="19"/>
                <w:szCs w:val="19"/>
              </w:rPr>
            </w:pPr>
            <w:r w:rsidRPr="00053445">
              <w:rPr>
                <w:sz w:val="19"/>
                <w:szCs w:val="19"/>
              </w:rPr>
              <w:t>N/A</w:t>
            </w:r>
          </w:p>
        </w:tc>
        <w:tc>
          <w:tcPr>
            <w:tcW w:w="1256"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261"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150" w:type="dxa"/>
            <w:shd w:val="clear" w:color="000000" w:fill="D2EAF1"/>
            <w:noWrap/>
          </w:tcPr>
          <w:p w:rsidR="00A35466" w:rsidRPr="00053445" w:rsidRDefault="00A35466" w:rsidP="004F0C61">
            <w:pPr>
              <w:jc w:val="center"/>
              <w:rPr>
                <w:color w:val="000000"/>
                <w:sz w:val="19"/>
                <w:szCs w:val="19"/>
              </w:rPr>
            </w:pPr>
            <w:r w:rsidRPr="00053445">
              <w:rPr>
                <w:sz w:val="19"/>
                <w:szCs w:val="19"/>
              </w:rPr>
              <w:t>0.0%</w:t>
            </w:r>
          </w:p>
        </w:tc>
        <w:tc>
          <w:tcPr>
            <w:tcW w:w="1260" w:type="dxa"/>
            <w:shd w:val="clear" w:color="000000" w:fill="D2EAF1"/>
            <w:noWrap/>
          </w:tcPr>
          <w:p w:rsidR="00A35466" w:rsidRPr="00053445" w:rsidRDefault="00A35466" w:rsidP="004F0C61">
            <w:pPr>
              <w:jc w:val="center"/>
              <w:rPr>
                <w:color w:val="000000"/>
                <w:sz w:val="19"/>
                <w:szCs w:val="19"/>
              </w:rPr>
            </w:pPr>
            <w:r w:rsidRPr="00053445">
              <w:rPr>
                <w:sz w:val="19"/>
                <w:szCs w:val="19"/>
              </w:rPr>
              <w:t>0.0%</w:t>
            </w:r>
          </w:p>
        </w:tc>
      </w:tr>
      <w:tr w:rsidR="00E7173E" w:rsidRPr="00053445" w:rsidTr="00AB3C36">
        <w:trPr>
          <w:trHeight w:val="346"/>
        </w:trPr>
        <w:tc>
          <w:tcPr>
            <w:tcW w:w="2070" w:type="dxa"/>
            <w:shd w:val="clear" w:color="auto" w:fill="auto"/>
            <w:noWrap/>
            <w:vAlign w:val="center"/>
          </w:tcPr>
          <w:p w:rsidR="00A35466" w:rsidRPr="00053445" w:rsidRDefault="00A35466" w:rsidP="004F0C61">
            <w:pPr>
              <w:rPr>
                <w:bCs/>
                <w:color w:val="000000"/>
                <w:sz w:val="19"/>
                <w:szCs w:val="19"/>
              </w:rPr>
            </w:pPr>
            <w:r w:rsidRPr="00053445">
              <w:rPr>
                <w:sz w:val="19"/>
                <w:szCs w:val="19"/>
              </w:rPr>
              <w:t>Lighting – 3</w:t>
            </w:r>
          </w:p>
        </w:tc>
        <w:tc>
          <w:tcPr>
            <w:tcW w:w="1170" w:type="dxa"/>
            <w:shd w:val="clear" w:color="auto" w:fill="auto"/>
            <w:noWrap/>
          </w:tcPr>
          <w:p w:rsidR="00A35466" w:rsidRPr="00053445" w:rsidRDefault="00A35466" w:rsidP="004F0C61">
            <w:pPr>
              <w:jc w:val="center"/>
              <w:rPr>
                <w:color w:val="000000"/>
                <w:sz w:val="19"/>
                <w:szCs w:val="19"/>
              </w:rPr>
            </w:pPr>
            <w:r w:rsidRPr="00053445">
              <w:rPr>
                <w:sz w:val="19"/>
                <w:szCs w:val="19"/>
              </w:rPr>
              <w:t>0</w:t>
            </w:r>
          </w:p>
        </w:tc>
        <w:tc>
          <w:tcPr>
            <w:tcW w:w="1193" w:type="dxa"/>
            <w:gridSpan w:val="2"/>
            <w:shd w:val="clear" w:color="auto" w:fill="auto"/>
            <w:noWrap/>
          </w:tcPr>
          <w:p w:rsidR="00A35466" w:rsidRPr="00053445" w:rsidRDefault="00A35466" w:rsidP="004F0C61">
            <w:pPr>
              <w:jc w:val="center"/>
              <w:rPr>
                <w:color w:val="000000"/>
                <w:sz w:val="19"/>
                <w:szCs w:val="19"/>
              </w:rPr>
            </w:pPr>
            <w:r w:rsidRPr="00053445">
              <w:rPr>
                <w:sz w:val="19"/>
                <w:szCs w:val="19"/>
              </w:rPr>
              <w:t>N/A</w:t>
            </w:r>
          </w:p>
        </w:tc>
        <w:tc>
          <w:tcPr>
            <w:tcW w:w="1256" w:type="dxa"/>
            <w:shd w:val="clear" w:color="auto" w:fill="auto"/>
            <w:noWrap/>
          </w:tcPr>
          <w:p w:rsidR="00A35466" w:rsidRPr="00053445" w:rsidRDefault="00A35466" w:rsidP="004F0C61">
            <w:pPr>
              <w:jc w:val="center"/>
              <w:rPr>
                <w:color w:val="000000"/>
                <w:sz w:val="19"/>
                <w:szCs w:val="19"/>
              </w:rPr>
            </w:pPr>
            <w:r w:rsidRPr="00053445">
              <w:rPr>
                <w:sz w:val="19"/>
                <w:szCs w:val="19"/>
              </w:rPr>
              <w:t>0</w:t>
            </w:r>
          </w:p>
        </w:tc>
        <w:tc>
          <w:tcPr>
            <w:tcW w:w="1261" w:type="dxa"/>
            <w:shd w:val="clear" w:color="auto" w:fill="auto"/>
            <w:noWrap/>
          </w:tcPr>
          <w:p w:rsidR="00A35466" w:rsidRPr="00053445" w:rsidRDefault="00A35466" w:rsidP="004F0C61">
            <w:pPr>
              <w:jc w:val="center"/>
              <w:rPr>
                <w:color w:val="000000"/>
                <w:sz w:val="19"/>
                <w:szCs w:val="19"/>
              </w:rPr>
            </w:pPr>
            <w:r w:rsidRPr="00053445">
              <w:rPr>
                <w:sz w:val="19"/>
                <w:szCs w:val="19"/>
              </w:rPr>
              <w:t>0</w:t>
            </w:r>
          </w:p>
        </w:tc>
        <w:tc>
          <w:tcPr>
            <w:tcW w:w="1150" w:type="dxa"/>
            <w:shd w:val="clear" w:color="auto" w:fill="auto"/>
            <w:noWrap/>
          </w:tcPr>
          <w:p w:rsidR="00A35466" w:rsidRPr="00053445" w:rsidRDefault="00A35466" w:rsidP="004F0C61">
            <w:pPr>
              <w:jc w:val="center"/>
              <w:rPr>
                <w:color w:val="000000"/>
                <w:sz w:val="19"/>
                <w:szCs w:val="19"/>
              </w:rPr>
            </w:pPr>
            <w:r w:rsidRPr="00053445">
              <w:rPr>
                <w:sz w:val="19"/>
                <w:szCs w:val="19"/>
              </w:rPr>
              <w:t>0.0%</w:t>
            </w:r>
          </w:p>
        </w:tc>
        <w:tc>
          <w:tcPr>
            <w:tcW w:w="1260" w:type="dxa"/>
            <w:shd w:val="clear" w:color="auto" w:fill="auto"/>
            <w:noWrap/>
          </w:tcPr>
          <w:p w:rsidR="00A35466" w:rsidRPr="00053445" w:rsidRDefault="00A35466" w:rsidP="004F0C61">
            <w:pPr>
              <w:jc w:val="center"/>
              <w:rPr>
                <w:color w:val="000000"/>
                <w:sz w:val="19"/>
                <w:szCs w:val="19"/>
              </w:rPr>
            </w:pPr>
            <w:r w:rsidRPr="00053445">
              <w:rPr>
                <w:sz w:val="19"/>
                <w:szCs w:val="19"/>
              </w:rPr>
              <w:t>0.0%</w:t>
            </w:r>
          </w:p>
        </w:tc>
      </w:tr>
      <w:tr w:rsidR="00A874AC" w:rsidRPr="00053445" w:rsidTr="004F0C61">
        <w:trPr>
          <w:trHeight w:val="346"/>
        </w:trPr>
        <w:tc>
          <w:tcPr>
            <w:tcW w:w="2070" w:type="dxa"/>
            <w:shd w:val="clear" w:color="000000" w:fill="D2EAF1"/>
            <w:noWrap/>
            <w:vAlign w:val="center"/>
          </w:tcPr>
          <w:p w:rsidR="00A35466" w:rsidRPr="00053445" w:rsidRDefault="00A35466" w:rsidP="004F0C61">
            <w:pPr>
              <w:rPr>
                <w:bCs/>
                <w:color w:val="000000"/>
                <w:sz w:val="19"/>
                <w:szCs w:val="19"/>
              </w:rPr>
            </w:pPr>
            <w:r w:rsidRPr="00053445">
              <w:rPr>
                <w:sz w:val="19"/>
                <w:szCs w:val="19"/>
              </w:rPr>
              <w:t>Lighting – 4</w:t>
            </w:r>
          </w:p>
        </w:tc>
        <w:tc>
          <w:tcPr>
            <w:tcW w:w="1170"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193" w:type="dxa"/>
            <w:gridSpan w:val="2"/>
            <w:shd w:val="clear" w:color="000000" w:fill="D2EAF1"/>
            <w:noWrap/>
          </w:tcPr>
          <w:p w:rsidR="00A35466" w:rsidRPr="00053445" w:rsidRDefault="00A35466" w:rsidP="004F0C61">
            <w:pPr>
              <w:jc w:val="center"/>
              <w:rPr>
                <w:color w:val="000000"/>
                <w:sz w:val="19"/>
                <w:szCs w:val="19"/>
              </w:rPr>
            </w:pPr>
            <w:r w:rsidRPr="00053445">
              <w:rPr>
                <w:sz w:val="19"/>
                <w:szCs w:val="19"/>
              </w:rPr>
              <w:t>N/A</w:t>
            </w:r>
          </w:p>
        </w:tc>
        <w:tc>
          <w:tcPr>
            <w:tcW w:w="1256"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261"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150" w:type="dxa"/>
            <w:shd w:val="clear" w:color="000000" w:fill="D2EAF1"/>
            <w:noWrap/>
          </w:tcPr>
          <w:p w:rsidR="00A35466" w:rsidRPr="00053445" w:rsidRDefault="00A35466" w:rsidP="004F0C61">
            <w:pPr>
              <w:jc w:val="center"/>
              <w:rPr>
                <w:color w:val="000000"/>
                <w:sz w:val="19"/>
                <w:szCs w:val="19"/>
              </w:rPr>
            </w:pPr>
            <w:r w:rsidRPr="00053445">
              <w:rPr>
                <w:sz w:val="19"/>
                <w:szCs w:val="19"/>
              </w:rPr>
              <w:t>0.0%</w:t>
            </w:r>
          </w:p>
        </w:tc>
        <w:tc>
          <w:tcPr>
            <w:tcW w:w="1260" w:type="dxa"/>
            <w:shd w:val="clear" w:color="000000" w:fill="D2EAF1"/>
            <w:noWrap/>
          </w:tcPr>
          <w:p w:rsidR="00A35466" w:rsidRPr="00053445" w:rsidRDefault="00A35466" w:rsidP="004F0C61">
            <w:pPr>
              <w:jc w:val="center"/>
              <w:rPr>
                <w:color w:val="000000"/>
                <w:sz w:val="19"/>
                <w:szCs w:val="19"/>
              </w:rPr>
            </w:pPr>
            <w:r w:rsidRPr="00053445">
              <w:rPr>
                <w:sz w:val="19"/>
                <w:szCs w:val="19"/>
              </w:rPr>
              <w:t>0.0%</w:t>
            </w:r>
          </w:p>
        </w:tc>
      </w:tr>
      <w:tr w:rsidR="00E7173E" w:rsidRPr="00053445" w:rsidTr="00AB3C36">
        <w:trPr>
          <w:trHeight w:val="346"/>
        </w:trPr>
        <w:tc>
          <w:tcPr>
            <w:tcW w:w="2070" w:type="dxa"/>
            <w:shd w:val="clear" w:color="auto" w:fill="auto"/>
            <w:noWrap/>
            <w:vAlign w:val="center"/>
          </w:tcPr>
          <w:p w:rsidR="00A35466" w:rsidRPr="00053445" w:rsidRDefault="00A35466" w:rsidP="004F0C61">
            <w:pPr>
              <w:rPr>
                <w:bCs/>
                <w:color w:val="000000"/>
                <w:sz w:val="19"/>
                <w:szCs w:val="19"/>
              </w:rPr>
            </w:pPr>
            <w:r w:rsidRPr="00053445">
              <w:rPr>
                <w:sz w:val="19"/>
                <w:szCs w:val="19"/>
              </w:rPr>
              <w:t>Custom – certainty</w:t>
            </w:r>
          </w:p>
        </w:tc>
        <w:tc>
          <w:tcPr>
            <w:tcW w:w="1170" w:type="dxa"/>
            <w:shd w:val="clear" w:color="auto" w:fill="auto"/>
            <w:noWrap/>
          </w:tcPr>
          <w:p w:rsidR="00A35466" w:rsidRPr="00053445" w:rsidRDefault="00A35466" w:rsidP="004F0C61">
            <w:pPr>
              <w:jc w:val="center"/>
              <w:rPr>
                <w:color w:val="000000"/>
                <w:sz w:val="19"/>
                <w:szCs w:val="19"/>
              </w:rPr>
            </w:pPr>
            <w:r w:rsidRPr="00053445">
              <w:rPr>
                <w:sz w:val="19"/>
                <w:szCs w:val="19"/>
              </w:rPr>
              <w:t>4</w:t>
            </w:r>
          </w:p>
        </w:tc>
        <w:tc>
          <w:tcPr>
            <w:tcW w:w="1193" w:type="dxa"/>
            <w:gridSpan w:val="2"/>
            <w:shd w:val="clear" w:color="auto" w:fill="auto"/>
            <w:noWrap/>
          </w:tcPr>
          <w:p w:rsidR="00A35466" w:rsidRPr="00053445" w:rsidRDefault="00A35466" w:rsidP="004F0C61">
            <w:pPr>
              <w:jc w:val="center"/>
              <w:rPr>
                <w:color w:val="000000"/>
                <w:sz w:val="19"/>
                <w:szCs w:val="19"/>
              </w:rPr>
            </w:pPr>
            <w:r w:rsidRPr="00053445">
              <w:rPr>
                <w:sz w:val="19"/>
                <w:szCs w:val="19"/>
              </w:rPr>
              <w:t>15.0%</w:t>
            </w:r>
          </w:p>
        </w:tc>
        <w:tc>
          <w:tcPr>
            <w:tcW w:w="1256" w:type="dxa"/>
            <w:shd w:val="clear" w:color="auto" w:fill="auto"/>
            <w:noWrap/>
          </w:tcPr>
          <w:p w:rsidR="00A35466" w:rsidRPr="00053445" w:rsidRDefault="00A35466" w:rsidP="004F0C61">
            <w:pPr>
              <w:jc w:val="center"/>
              <w:rPr>
                <w:color w:val="000000"/>
                <w:sz w:val="19"/>
                <w:szCs w:val="19"/>
              </w:rPr>
            </w:pPr>
            <w:r w:rsidRPr="00053445">
              <w:rPr>
                <w:sz w:val="19"/>
                <w:szCs w:val="19"/>
              </w:rPr>
              <w:t>1</w:t>
            </w:r>
          </w:p>
        </w:tc>
        <w:tc>
          <w:tcPr>
            <w:tcW w:w="1261" w:type="dxa"/>
            <w:shd w:val="clear" w:color="auto" w:fill="auto"/>
            <w:noWrap/>
          </w:tcPr>
          <w:p w:rsidR="00A35466" w:rsidRPr="00053445" w:rsidRDefault="00A35466" w:rsidP="004F0C61">
            <w:pPr>
              <w:jc w:val="center"/>
              <w:rPr>
                <w:color w:val="000000"/>
                <w:sz w:val="19"/>
                <w:szCs w:val="19"/>
              </w:rPr>
            </w:pPr>
            <w:r w:rsidRPr="00053445">
              <w:rPr>
                <w:sz w:val="19"/>
                <w:szCs w:val="19"/>
              </w:rPr>
              <w:t>1</w:t>
            </w:r>
          </w:p>
        </w:tc>
        <w:tc>
          <w:tcPr>
            <w:tcW w:w="1150" w:type="dxa"/>
            <w:shd w:val="clear" w:color="auto" w:fill="auto"/>
            <w:noWrap/>
          </w:tcPr>
          <w:p w:rsidR="00A35466" w:rsidRPr="00053445" w:rsidRDefault="00A35466" w:rsidP="004F0C61">
            <w:pPr>
              <w:jc w:val="center"/>
              <w:rPr>
                <w:color w:val="000000"/>
                <w:sz w:val="19"/>
                <w:szCs w:val="19"/>
              </w:rPr>
            </w:pPr>
            <w:r w:rsidRPr="00053445">
              <w:rPr>
                <w:sz w:val="19"/>
                <w:szCs w:val="19"/>
              </w:rPr>
              <w:t>2.2%*</w:t>
            </w:r>
          </w:p>
        </w:tc>
        <w:tc>
          <w:tcPr>
            <w:tcW w:w="1260" w:type="dxa"/>
            <w:shd w:val="clear" w:color="auto" w:fill="auto"/>
            <w:noWrap/>
          </w:tcPr>
          <w:p w:rsidR="00A35466" w:rsidRPr="00053445" w:rsidRDefault="00A35466" w:rsidP="004F0C61">
            <w:pPr>
              <w:jc w:val="center"/>
              <w:rPr>
                <w:color w:val="000000"/>
                <w:sz w:val="19"/>
                <w:szCs w:val="19"/>
              </w:rPr>
            </w:pPr>
            <w:r w:rsidRPr="00053445">
              <w:rPr>
                <w:sz w:val="19"/>
                <w:szCs w:val="19"/>
              </w:rPr>
              <w:t>0.0%</w:t>
            </w:r>
          </w:p>
        </w:tc>
      </w:tr>
      <w:tr w:rsidR="00A874AC" w:rsidRPr="00053445" w:rsidTr="004F0C61">
        <w:trPr>
          <w:trHeight w:val="346"/>
        </w:trPr>
        <w:tc>
          <w:tcPr>
            <w:tcW w:w="2070" w:type="dxa"/>
            <w:shd w:val="clear" w:color="000000" w:fill="D2EAF1"/>
            <w:noWrap/>
            <w:vAlign w:val="center"/>
          </w:tcPr>
          <w:p w:rsidR="00A35466" w:rsidRPr="00053445" w:rsidRDefault="00A35466" w:rsidP="004F0C61">
            <w:pPr>
              <w:rPr>
                <w:bCs/>
                <w:color w:val="000000"/>
                <w:sz w:val="19"/>
                <w:szCs w:val="19"/>
              </w:rPr>
            </w:pPr>
            <w:r w:rsidRPr="00053445">
              <w:rPr>
                <w:sz w:val="19"/>
                <w:szCs w:val="19"/>
              </w:rPr>
              <w:t>Custom – 2</w:t>
            </w:r>
          </w:p>
        </w:tc>
        <w:tc>
          <w:tcPr>
            <w:tcW w:w="1170"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193" w:type="dxa"/>
            <w:gridSpan w:val="2"/>
            <w:shd w:val="clear" w:color="000000" w:fill="D2EAF1"/>
            <w:noWrap/>
          </w:tcPr>
          <w:p w:rsidR="00A35466" w:rsidRPr="00053445" w:rsidRDefault="00A35466" w:rsidP="004F0C61">
            <w:pPr>
              <w:jc w:val="center"/>
              <w:rPr>
                <w:color w:val="000000"/>
                <w:sz w:val="19"/>
                <w:szCs w:val="19"/>
              </w:rPr>
            </w:pPr>
            <w:r w:rsidRPr="00053445">
              <w:rPr>
                <w:sz w:val="19"/>
                <w:szCs w:val="19"/>
              </w:rPr>
              <w:t>N/A</w:t>
            </w:r>
          </w:p>
        </w:tc>
        <w:tc>
          <w:tcPr>
            <w:tcW w:w="1256"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261" w:type="dxa"/>
            <w:shd w:val="clear" w:color="000000" w:fill="D2EAF1"/>
            <w:noWrap/>
          </w:tcPr>
          <w:p w:rsidR="00A35466" w:rsidRPr="00053445" w:rsidRDefault="00A35466" w:rsidP="004F0C61">
            <w:pPr>
              <w:jc w:val="center"/>
              <w:rPr>
                <w:color w:val="000000"/>
                <w:sz w:val="19"/>
                <w:szCs w:val="19"/>
              </w:rPr>
            </w:pPr>
            <w:r w:rsidRPr="00053445">
              <w:rPr>
                <w:sz w:val="19"/>
                <w:szCs w:val="19"/>
              </w:rPr>
              <w:t>0</w:t>
            </w:r>
          </w:p>
        </w:tc>
        <w:tc>
          <w:tcPr>
            <w:tcW w:w="1150" w:type="dxa"/>
            <w:shd w:val="clear" w:color="000000" w:fill="D2EAF1"/>
            <w:noWrap/>
          </w:tcPr>
          <w:p w:rsidR="00A35466" w:rsidRPr="00053445" w:rsidRDefault="00A35466" w:rsidP="004F0C61">
            <w:pPr>
              <w:jc w:val="center"/>
              <w:rPr>
                <w:color w:val="000000"/>
                <w:sz w:val="19"/>
                <w:szCs w:val="19"/>
              </w:rPr>
            </w:pPr>
            <w:r w:rsidRPr="00053445">
              <w:rPr>
                <w:sz w:val="19"/>
                <w:szCs w:val="19"/>
              </w:rPr>
              <w:t>0.0%</w:t>
            </w:r>
          </w:p>
        </w:tc>
        <w:tc>
          <w:tcPr>
            <w:tcW w:w="1260" w:type="dxa"/>
            <w:shd w:val="clear" w:color="000000" w:fill="D2EAF1"/>
            <w:noWrap/>
          </w:tcPr>
          <w:p w:rsidR="00A35466" w:rsidRPr="00053445" w:rsidRDefault="00A35466" w:rsidP="004F0C61">
            <w:pPr>
              <w:jc w:val="center"/>
              <w:rPr>
                <w:color w:val="000000"/>
                <w:sz w:val="19"/>
                <w:szCs w:val="19"/>
              </w:rPr>
            </w:pPr>
            <w:r w:rsidRPr="00053445">
              <w:rPr>
                <w:sz w:val="19"/>
                <w:szCs w:val="19"/>
              </w:rPr>
              <w:t>0.0%</w:t>
            </w:r>
          </w:p>
        </w:tc>
      </w:tr>
      <w:tr w:rsidR="00E7173E" w:rsidRPr="00053445" w:rsidTr="00AB3C36">
        <w:trPr>
          <w:trHeight w:val="346"/>
        </w:trPr>
        <w:tc>
          <w:tcPr>
            <w:tcW w:w="2070" w:type="dxa"/>
            <w:shd w:val="clear" w:color="auto" w:fill="auto"/>
            <w:noWrap/>
            <w:vAlign w:val="center"/>
          </w:tcPr>
          <w:p w:rsidR="00A35466" w:rsidRPr="00053445" w:rsidRDefault="00A35466" w:rsidP="004F0C61">
            <w:pPr>
              <w:rPr>
                <w:bCs/>
                <w:color w:val="000000"/>
                <w:sz w:val="19"/>
                <w:szCs w:val="19"/>
              </w:rPr>
            </w:pPr>
            <w:r w:rsidRPr="00053445">
              <w:rPr>
                <w:sz w:val="19"/>
                <w:szCs w:val="19"/>
              </w:rPr>
              <w:t>Custom – 3</w:t>
            </w:r>
          </w:p>
        </w:tc>
        <w:tc>
          <w:tcPr>
            <w:tcW w:w="1170" w:type="dxa"/>
            <w:shd w:val="clear" w:color="auto" w:fill="auto"/>
            <w:noWrap/>
          </w:tcPr>
          <w:p w:rsidR="00A35466" w:rsidRPr="00053445" w:rsidRDefault="00A35466" w:rsidP="004F0C61">
            <w:pPr>
              <w:jc w:val="center"/>
              <w:rPr>
                <w:color w:val="000000"/>
                <w:sz w:val="19"/>
                <w:szCs w:val="19"/>
              </w:rPr>
            </w:pPr>
            <w:r w:rsidRPr="00053445">
              <w:rPr>
                <w:sz w:val="19"/>
                <w:szCs w:val="19"/>
              </w:rPr>
              <w:t>0</w:t>
            </w:r>
          </w:p>
        </w:tc>
        <w:tc>
          <w:tcPr>
            <w:tcW w:w="1193" w:type="dxa"/>
            <w:gridSpan w:val="2"/>
            <w:shd w:val="clear" w:color="auto" w:fill="auto"/>
            <w:noWrap/>
          </w:tcPr>
          <w:p w:rsidR="00A35466" w:rsidRPr="00053445" w:rsidRDefault="00A35466" w:rsidP="004F0C61">
            <w:pPr>
              <w:jc w:val="center"/>
              <w:rPr>
                <w:color w:val="000000"/>
                <w:sz w:val="19"/>
                <w:szCs w:val="19"/>
              </w:rPr>
            </w:pPr>
            <w:r w:rsidRPr="00053445">
              <w:rPr>
                <w:sz w:val="19"/>
                <w:szCs w:val="19"/>
              </w:rPr>
              <w:t>N/A</w:t>
            </w:r>
          </w:p>
        </w:tc>
        <w:tc>
          <w:tcPr>
            <w:tcW w:w="1256" w:type="dxa"/>
            <w:shd w:val="clear" w:color="auto" w:fill="auto"/>
            <w:noWrap/>
          </w:tcPr>
          <w:p w:rsidR="00A35466" w:rsidRPr="00053445" w:rsidRDefault="00A35466" w:rsidP="004F0C61">
            <w:pPr>
              <w:jc w:val="center"/>
              <w:rPr>
                <w:color w:val="000000"/>
                <w:sz w:val="19"/>
                <w:szCs w:val="19"/>
              </w:rPr>
            </w:pPr>
            <w:r w:rsidRPr="00053445">
              <w:rPr>
                <w:sz w:val="19"/>
                <w:szCs w:val="19"/>
              </w:rPr>
              <w:t>0</w:t>
            </w:r>
          </w:p>
        </w:tc>
        <w:tc>
          <w:tcPr>
            <w:tcW w:w="1261" w:type="dxa"/>
            <w:shd w:val="clear" w:color="auto" w:fill="auto"/>
            <w:noWrap/>
          </w:tcPr>
          <w:p w:rsidR="00A35466" w:rsidRPr="00053445" w:rsidRDefault="00A35466" w:rsidP="004F0C61">
            <w:pPr>
              <w:jc w:val="center"/>
              <w:rPr>
                <w:color w:val="000000"/>
                <w:sz w:val="19"/>
                <w:szCs w:val="19"/>
              </w:rPr>
            </w:pPr>
            <w:r w:rsidRPr="00053445">
              <w:rPr>
                <w:sz w:val="19"/>
                <w:szCs w:val="19"/>
              </w:rPr>
              <w:t>0</w:t>
            </w:r>
          </w:p>
        </w:tc>
        <w:tc>
          <w:tcPr>
            <w:tcW w:w="1150" w:type="dxa"/>
            <w:shd w:val="clear" w:color="auto" w:fill="auto"/>
            <w:noWrap/>
          </w:tcPr>
          <w:p w:rsidR="00A35466" w:rsidRPr="00053445" w:rsidRDefault="00A35466" w:rsidP="004F0C61">
            <w:pPr>
              <w:jc w:val="center"/>
              <w:rPr>
                <w:color w:val="000000"/>
                <w:sz w:val="19"/>
                <w:szCs w:val="19"/>
              </w:rPr>
            </w:pPr>
            <w:r w:rsidRPr="00053445">
              <w:rPr>
                <w:sz w:val="19"/>
                <w:szCs w:val="19"/>
              </w:rPr>
              <w:t>0.0%</w:t>
            </w:r>
          </w:p>
        </w:tc>
        <w:tc>
          <w:tcPr>
            <w:tcW w:w="1260" w:type="dxa"/>
            <w:shd w:val="clear" w:color="auto" w:fill="auto"/>
            <w:noWrap/>
          </w:tcPr>
          <w:p w:rsidR="00A35466" w:rsidRPr="00053445" w:rsidRDefault="00A35466" w:rsidP="004F0C61">
            <w:pPr>
              <w:jc w:val="center"/>
              <w:rPr>
                <w:color w:val="000000"/>
                <w:sz w:val="19"/>
                <w:szCs w:val="19"/>
              </w:rPr>
            </w:pPr>
            <w:r w:rsidRPr="00053445">
              <w:rPr>
                <w:sz w:val="19"/>
                <w:szCs w:val="19"/>
              </w:rPr>
              <w:t>0.0%</w:t>
            </w:r>
          </w:p>
        </w:tc>
      </w:tr>
      <w:tr w:rsidR="00A874AC" w:rsidRPr="00053445" w:rsidTr="004F0C61">
        <w:trPr>
          <w:trHeight w:val="346"/>
        </w:trPr>
        <w:tc>
          <w:tcPr>
            <w:tcW w:w="2070" w:type="dxa"/>
            <w:shd w:val="clear" w:color="000000" w:fill="D2EAF1"/>
            <w:noWrap/>
            <w:vAlign w:val="center"/>
          </w:tcPr>
          <w:p w:rsidR="00A35466" w:rsidRPr="00053445" w:rsidRDefault="00A35466" w:rsidP="004F0C61">
            <w:pPr>
              <w:rPr>
                <w:b/>
                <w:bCs/>
                <w:iCs/>
                <w:color w:val="000000"/>
                <w:sz w:val="19"/>
                <w:szCs w:val="19"/>
              </w:rPr>
            </w:pPr>
            <w:r w:rsidRPr="00053445">
              <w:rPr>
                <w:sz w:val="19"/>
                <w:szCs w:val="19"/>
              </w:rPr>
              <w:t>HVAC and DHW – 1</w:t>
            </w:r>
          </w:p>
        </w:tc>
        <w:tc>
          <w:tcPr>
            <w:tcW w:w="1170" w:type="dxa"/>
            <w:shd w:val="clear" w:color="000000" w:fill="D2EAF1"/>
            <w:noWrap/>
          </w:tcPr>
          <w:p w:rsidR="00A35466" w:rsidRPr="00053445" w:rsidRDefault="00A35466" w:rsidP="004F0C61">
            <w:pPr>
              <w:jc w:val="center"/>
              <w:rPr>
                <w:b/>
                <w:bCs/>
                <w:color w:val="000000"/>
                <w:sz w:val="19"/>
                <w:szCs w:val="19"/>
              </w:rPr>
            </w:pPr>
            <w:r w:rsidRPr="00053445">
              <w:rPr>
                <w:sz w:val="19"/>
                <w:szCs w:val="19"/>
              </w:rPr>
              <w:t>0</w:t>
            </w:r>
          </w:p>
        </w:tc>
        <w:tc>
          <w:tcPr>
            <w:tcW w:w="1193" w:type="dxa"/>
            <w:gridSpan w:val="2"/>
            <w:shd w:val="clear" w:color="000000" w:fill="D2EAF1"/>
            <w:noWrap/>
          </w:tcPr>
          <w:p w:rsidR="00A35466" w:rsidRPr="00053445" w:rsidRDefault="00A35466" w:rsidP="004F0C61">
            <w:pPr>
              <w:jc w:val="center"/>
              <w:rPr>
                <w:b/>
                <w:bCs/>
                <w:color w:val="000000"/>
                <w:sz w:val="19"/>
                <w:szCs w:val="19"/>
              </w:rPr>
            </w:pPr>
            <w:r w:rsidRPr="00053445">
              <w:rPr>
                <w:sz w:val="19"/>
                <w:szCs w:val="19"/>
              </w:rPr>
              <w:t>N/A</w:t>
            </w:r>
          </w:p>
        </w:tc>
        <w:tc>
          <w:tcPr>
            <w:tcW w:w="1256" w:type="dxa"/>
            <w:shd w:val="clear" w:color="000000" w:fill="D2EAF1"/>
            <w:noWrap/>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000000" w:fill="D2EAF1"/>
            <w:noWrap/>
          </w:tcPr>
          <w:p w:rsidR="00A35466" w:rsidRPr="00053445" w:rsidRDefault="00A35466" w:rsidP="004F0C61">
            <w:pPr>
              <w:jc w:val="center"/>
              <w:rPr>
                <w:b/>
                <w:bCs/>
                <w:color w:val="000000"/>
                <w:sz w:val="19"/>
                <w:szCs w:val="19"/>
              </w:rPr>
            </w:pPr>
            <w:r w:rsidRPr="00053445">
              <w:rPr>
                <w:sz w:val="19"/>
                <w:szCs w:val="19"/>
              </w:rPr>
              <w:t>0</w:t>
            </w:r>
          </w:p>
        </w:tc>
        <w:tc>
          <w:tcPr>
            <w:tcW w:w="1150" w:type="dxa"/>
            <w:shd w:val="clear" w:color="000000" w:fill="D2EAF1"/>
            <w:noWrap/>
          </w:tcPr>
          <w:p w:rsidR="00A35466" w:rsidRPr="00053445" w:rsidRDefault="00A35466" w:rsidP="004F0C61">
            <w:pPr>
              <w:jc w:val="center"/>
              <w:rPr>
                <w:b/>
                <w:bCs/>
                <w:color w:val="000000"/>
                <w:sz w:val="19"/>
                <w:szCs w:val="19"/>
              </w:rPr>
            </w:pPr>
            <w:r w:rsidRPr="00053445">
              <w:rPr>
                <w:sz w:val="19"/>
                <w:szCs w:val="19"/>
              </w:rPr>
              <w:t>0.0%</w:t>
            </w:r>
          </w:p>
        </w:tc>
        <w:tc>
          <w:tcPr>
            <w:tcW w:w="1260" w:type="dxa"/>
            <w:shd w:val="clear" w:color="000000" w:fill="D2EAF1"/>
            <w:noWrap/>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AB3C36">
        <w:trPr>
          <w:trHeight w:val="346"/>
        </w:trPr>
        <w:tc>
          <w:tcPr>
            <w:tcW w:w="2070" w:type="dxa"/>
            <w:shd w:val="clear" w:color="auto" w:fill="auto"/>
            <w:noWrap/>
            <w:vAlign w:val="center"/>
          </w:tcPr>
          <w:p w:rsidR="00A35466" w:rsidRPr="00053445" w:rsidRDefault="00A35466" w:rsidP="004F0C61">
            <w:pPr>
              <w:rPr>
                <w:b/>
                <w:bCs/>
                <w:iCs/>
                <w:color w:val="000000"/>
                <w:sz w:val="19"/>
                <w:szCs w:val="19"/>
              </w:rPr>
            </w:pPr>
            <w:r w:rsidRPr="00053445">
              <w:rPr>
                <w:sz w:val="19"/>
                <w:szCs w:val="19"/>
              </w:rPr>
              <w:t>HVAC and DHW – 2</w:t>
            </w:r>
          </w:p>
        </w:tc>
        <w:tc>
          <w:tcPr>
            <w:tcW w:w="1170" w:type="dxa"/>
            <w:shd w:val="clear" w:color="auto" w:fill="auto"/>
            <w:noWrap/>
          </w:tcPr>
          <w:p w:rsidR="00A35466" w:rsidRPr="00053445" w:rsidRDefault="00A35466" w:rsidP="004F0C61">
            <w:pPr>
              <w:jc w:val="center"/>
              <w:rPr>
                <w:b/>
                <w:bCs/>
                <w:color w:val="000000"/>
                <w:sz w:val="19"/>
                <w:szCs w:val="19"/>
              </w:rPr>
            </w:pPr>
            <w:r w:rsidRPr="00053445">
              <w:rPr>
                <w:sz w:val="19"/>
                <w:szCs w:val="19"/>
              </w:rPr>
              <w:t>0</w:t>
            </w:r>
          </w:p>
        </w:tc>
        <w:tc>
          <w:tcPr>
            <w:tcW w:w="1193" w:type="dxa"/>
            <w:gridSpan w:val="2"/>
            <w:shd w:val="clear" w:color="auto" w:fill="auto"/>
            <w:noWrap/>
          </w:tcPr>
          <w:p w:rsidR="00A35466" w:rsidRPr="00053445" w:rsidRDefault="00A35466" w:rsidP="004F0C61">
            <w:pPr>
              <w:jc w:val="center"/>
              <w:rPr>
                <w:b/>
                <w:bCs/>
                <w:color w:val="000000"/>
                <w:sz w:val="19"/>
                <w:szCs w:val="19"/>
              </w:rPr>
            </w:pPr>
            <w:r w:rsidRPr="00053445">
              <w:rPr>
                <w:sz w:val="19"/>
                <w:szCs w:val="19"/>
              </w:rPr>
              <w:t>N/A</w:t>
            </w:r>
          </w:p>
        </w:tc>
        <w:tc>
          <w:tcPr>
            <w:tcW w:w="1256" w:type="dxa"/>
            <w:shd w:val="clear" w:color="auto" w:fill="auto"/>
            <w:noWrap/>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auto"/>
            <w:noWrap/>
          </w:tcPr>
          <w:p w:rsidR="00A35466" w:rsidRPr="00053445" w:rsidRDefault="00A35466" w:rsidP="004F0C61">
            <w:pPr>
              <w:jc w:val="center"/>
              <w:rPr>
                <w:b/>
                <w:bCs/>
                <w:color w:val="000000"/>
                <w:sz w:val="19"/>
                <w:szCs w:val="19"/>
              </w:rPr>
            </w:pPr>
            <w:r w:rsidRPr="00053445">
              <w:rPr>
                <w:sz w:val="19"/>
                <w:szCs w:val="19"/>
              </w:rPr>
              <w:t>0</w:t>
            </w:r>
          </w:p>
        </w:tc>
        <w:tc>
          <w:tcPr>
            <w:tcW w:w="1150" w:type="dxa"/>
            <w:shd w:val="clear" w:color="auto" w:fill="auto"/>
            <w:noWrap/>
          </w:tcPr>
          <w:p w:rsidR="00A35466" w:rsidRPr="00053445" w:rsidRDefault="00A35466" w:rsidP="004F0C61">
            <w:pPr>
              <w:jc w:val="center"/>
              <w:rPr>
                <w:b/>
                <w:bCs/>
                <w:color w:val="000000"/>
                <w:sz w:val="19"/>
                <w:szCs w:val="19"/>
              </w:rPr>
            </w:pPr>
            <w:r w:rsidRPr="00053445">
              <w:rPr>
                <w:sz w:val="19"/>
                <w:szCs w:val="19"/>
              </w:rPr>
              <w:t>0.0%</w:t>
            </w:r>
          </w:p>
        </w:tc>
        <w:tc>
          <w:tcPr>
            <w:tcW w:w="1260" w:type="dxa"/>
            <w:shd w:val="clear" w:color="auto" w:fill="auto"/>
            <w:noWrap/>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4F0C61">
        <w:trPr>
          <w:trHeight w:val="346"/>
        </w:trPr>
        <w:tc>
          <w:tcPr>
            <w:tcW w:w="2070" w:type="dxa"/>
            <w:shd w:val="clear" w:color="000000" w:fill="D2EAF1"/>
            <w:noWrap/>
            <w:vAlign w:val="center"/>
          </w:tcPr>
          <w:p w:rsidR="00A35466" w:rsidRPr="00053445" w:rsidRDefault="00A35466" w:rsidP="004F0C61">
            <w:pPr>
              <w:rPr>
                <w:b/>
                <w:bCs/>
                <w:iCs/>
                <w:color w:val="000000"/>
                <w:sz w:val="19"/>
                <w:szCs w:val="19"/>
              </w:rPr>
            </w:pPr>
            <w:r w:rsidRPr="00053445">
              <w:rPr>
                <w:sz w:val="19"/>
                <w:szCs w:val="19"/>
              </w:rPr>
              <w:t>Appliance Turn-In – 1</w:t>
            </w:r>
          </w:p>
        </w:tc>
        <w:tc>
          <w:tcPr>
            <w:tcW w:w="1170" w:type="dxa"/>
            <w:shd w:val="clear" w:color="000000" w:fill="D2EAF1"/>
            <w:noWrap/>
          </w:tcPr>
          <w:p w:rsidR="00A35466" w:rsidRPr="00053445" w:rsidRDefault="00A35466" w:rsidP="004F0C61">
            <w:pPr>
              <w:jc w:val="center"/>
              <w:rPr>
                <w:b/>
                <w:bCs/>
                <w:color w:val="000000"/>
                <w:sz w:val="19"/>
                <w:szCs w:val="19"/>
              </w:rPr>
            </w:pPr>
            <w:r w:rsidRPr="00053445">
              <w:rPr>
                <w:sz w:val="19"/>
                <w:szCs w:val="19"/>
              </w:rPr>
              <w:t>0</w:t>
            </w:r>
          </w:p>
        </w:tc>
        <w:tc>
          <w:tcPr>
            <w:tcW w:w="1193" w:type="dxa"/>
            <w:gridSpan w:val="2"/>
            <w:shd w:val="clear" w:color="000000" w:fill="D2EAF1"/>
            <w:noWrap/>
          </w:tcPr>
          <w:p w:rsidR="00A35466" w:rsidRPr="00053445" w:rsidRDefault="00A35466" w:rsidP="004F0C61">
            <w:pPr>
              <w:jc w:val="center"/>
              <w:rPr>
                <w:b/>
                <w:bCs/>
                <w:color w:val="000000"/>
                <w:sz w:val="19"/>
                <w:szCs w:val="19"/>
              </w:rPr>
            </w:pPr>
            <w:r w:rsidRPr="00053445">
              <w:rPr>
                <w:sz w:val="19"/>
                <w:szCs w:val="19"/>
              </w:rPr>
              <w:t>N/A</w:t>
            </w:r>
          </w:p>
        </w:tc>
        <w:tc>
          <w:tcPr>
            <w:tcW w:w="1256" w:type="dxa"/>
            <w:shd w:val="clear" w:color="000000" w:fill="D2EAF1"/>
            <w:noWrap/>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000000" w:fill="D2EAF1"/>
            <w:noWrap/>
          </w:tcPr>
          <w:p w:rsidR="00A35466" w:rsidRPr="00053445" w:rsidRDefault="00A35466" w:rsidP="004F0C61">
            <w:pPr>
              <w:jc w:val="center"/>
              <w:rPr>
                <w:b/>
                <w:bCs/>
                <w:color w:val="000000"/>
                <w:sz w:val="19"/>
                <w:szCs w:val="19"/>
              </w:rPr>
            </w:pPr>
            <w:r w:rsidRPr="00053445">
              <w:rPr>
                <w:sz w:val="19"/>
                <w:szCs w:val="19"/>
              </w:rPr>
              <w:t>0</w:t>
            </w:r>
          </w:p>
        </w:tc>
        <w:tc>
          <w:tcPr>
            <w:tcW w:w="1150" w:type="dxa"/>
            <w:shd w:val="clear" w:color="000000" w:fill="D2EAF1"/>
            <w:noWrap/>
          </w:tcPr>
          <w:p w:rsidR="00A35466" w:rsidRPr="00053445" w:rsidRDefault="00A35466" w:rsidP="004F0C61">
            <w:pPr>
              <w:jc w:val="center"/>
              <w:rPr>
                <w:b/>
                <w:bCs/>
                <w:color w:val="000000"/>
                <w:sz w:val="19"/>
                <w:szCs w:val="19"/>
              </w:rPr>
            </w:pPr>
            <w:r w:rsidRPr="00053445">
              <w:rPr>
                <w:sz w:val="19"/>
                <w:szCs w:val="19"/>
              </w:rPr>
              <w:t>0.0%</w:t>
            </w:r>
          </w:p>
        </w:tc>
        <w:tc>
          <w:tcPr>
            <w:tcW w:w="1260" w:type="dxa"/>
            <w:shd w:val="clear" w:color="000000" w:fill="D2EAF1"/>
            <w:noWrap/>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AB3C36">
        <w:trPr>
          <w:trHeight w:val="346"/>
        </w:trPr>
        <w:tc>
          <w:tcPr>
            <w:tcW w:w="2070" w:type="dxa"/>
            <w:shd w:val="clear" w:color="auto" w:fill="auto"/>
            <w:noWrap/>
            <w:vAlign w:val="center"/>
          </w:tcPr>
          <w:p w:rsidR="00A35466" w:rsidRPr="00053445" w:rsidRDefault="00A35466" w:rsidP="004F0C61">
            <w:pPr>
              <w:rPr>
                <w:b/>
                <w:bCs/>
                <w:iCs/>
                <w:color w:val="000000"/>
                <w:sz w:val="19"/>
                <w:szCs w:val="19"/>
              </w:rPr>
            </w:pPr>
            <w:r w:rsidRPr="00053445">
              <w:rPr>
                <w:sz w:val="19"/>
                <w:szCs w:val="19"/>
              </w:rPr>
              <w:t>Kitchen/appliances – 1</w:t>
            </w:r>
          </w:p>
        </w:tc>
        <w:tc>
          <w:tcPr>
            <w:tcW w:w="1170" w:type="dxa"/>
            <w:shd w:val="clear" w:color="auto" w:fill="auto"/>
            <w:noWrap/>
          </w:tcPr>
          <w:p w:rsidR="00A35466" w:rsidRPr="00053445" w:rsidRDefault="00A35466" w:rsidP="004F0C61">
            <w:pPr>
              <w:jc w:val="center"/>
              <w:rPr>
                <w:b/>
                <w:bCs/>
                <w:color w:val="000000"/>
                <w:sz w:val="19"/>
                <w:szCs w:val="19"/>
              </w:rPr>
            </w:pPr>
            <w:r w:rsidRPr="00053445">
              <w:rPr>
                <w:sz w:val="19"/>
                <w:szCs w:val="19"/>
              </w:rPr>
              <w:t>0</w:t>
            </w:r>
          </w:p>
        </w:tc>
        <w:tc>
          <w:tcPr>
            <w:tcW w:w="1193" w:type="dxa"/>
            <w:gridSpan w:val="2"/>
            <w:shd w:val="clear" w:color="auto" w:fill="auto"/>
            <w:noWrap/>
          </w:tcPr>
          <w:p w:rsidR="00A35466" w:rsidRPr="00053445" w:rsidRDefault="00A35466" w:rsidP="004F0C61">
            <w:pPr>
              <w:jc w:val="center"/>
              <w:rPr>
                <w:b/>
                <w:bCs/>
                <w:color w:val="000000"/>
                <w:sz w:val="19"/>
                <w:szCs w:val="19"/>
              </w:rPr>
            </w:pPr>
            <w:r w:rsidRPr="00053445">
              <w:rPr>
                <w:sz w:val="19"/>
                <w:szCs w:val="19"/>
              </w:rPr>
              <w:t>N/A</w:t>
            </w:r>
          </w:p>
        </w:tc>
        <w:tc>
          <w:tcPr>
            <w:tcW w:w="1256" w:type="dxa"/>
            <w:shd w:val="clear" w:color="auto" w:fill="auto"/>
            <w:noWrap/>
          </w:tcPr>
          <w:p w:rsidR="00A35466" w:rsidRPr="00053445" w:rsidRDefault="00A35466" w:rsidP="004F0C61">
            <w:pPr>
              <w:jc w:val="center"/>
              <w:rPr>
                <w:b/>
                <w:bCs/>
                <w:color w:val="000000"/>
                <w:sz w:val="19"/>
                <w:szCs w:val="19"/>
              </w:rPr>
            </w:pPr>
            <w:r w:rsidRPr="00053445">
              <w:rPr>
                <w:sz w:val="19"/>
                <w:szCs w:val="19"/>
              </w:rPr>
              <w:t>0</w:t>
            </w:r>
          </w:p>
        </w:tc>
        <w:tc>
          <w:tcPr>
            <w:tcW w:w="1261" w:type="dxa"/>
            <w:shd w:val="clear" w:color="auto" w:fill="auto"/>
            <w:noWrap/>
          </w:tcPr>
          <w:p w:rsidR="00A35466" w:rsidRPr="00053445" w:rsidRDefault="00A35466" w:rsidP="004F0C61">
            <w:pPr>
              <w:jc w:val="center"/>
              <w:rPr>
                <w:b/>
                <w:bCs/>
                <w:color w:val="000000"/>
                <w:sz w:val="19"/>
                <w:szCs w:val="19"/>
              </w:rPr>
            </w:pPr>
            <w:r w:rsidRPr="00053445">
              <w:rPr>
                <w:sz w:val="19"/>
                <w:szCs w:val="19"/>
              </w:rPr>
              <w:t>0</w:t>
            </w:r>
          </w:p>
        </w:tc>
        <w:tc>
          <w:tcPr>
            <w:tcW w:w="1150" w:type="dxa"/>
            <w:shd w:val="clear" w:color="auto" w:fill="auto"/>
            <w:noWrap/>
          </w:tcPr>
          <w:p w:rsidR="00A35466" w:rsidRPr="00053445" w:rsidRDefault="00A35466" w:rsidP="004F0C61">
            <w:pPr>
              <w:jc w:val="center"/>
              <w:rPr>
                <w:b/>
                <w:bCs/>
                <w:color w:val="000000"/>
                <w:sz w:val="19"/>
                <w:szCs w:val="19"/>
              </w:rPr>
            </w:pPr>
            <w:r w:rsidRPr="00053445">
              <w:rPr>
                <w:sz w:val="19"/>
                <w:szCs w:val="19"/>
              </w:rPr>
              <w:t>0.0%</w:t>
            </w:r>
          </w:p>
        </w:tc>
        <w:tc>
          <w:tcPr>
            <w:tcW w:w="1260" w:type="dxa"/>
            <w:shd w:val="clear" w:color="auto" w:fill="auto"/>
            <w:noWrap/>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4F0C61">
        <w:trPr>
          <w:trHeight w:val="346"/>
        </w:trPr>
        <w:tc>
          <w:tcPr>
            <w:tcW w:w="2070" w:type="dxa"/>
            <w:shd w:val="clear" w:color="000000" w:fill="D2EAF1"/>
            <w:noWrap/>
            <w:vAlign w:val="center"/>
          </w:tcPr>
          <w:p w:rsidR="00A35466" w:rsidRPr="00053445" w:rsidRDefault="00A35466" w:rsidP="004F0C61">
            <w:pPr>
              <w:rPr>
                <w:b/>
                <w:bCs/>
                <w:iCs/>
                <w:color w:val="000000"/>
                <w:sz w:val="19"/>
                <w:szCs w:val="19"/>
              </w:rPr>
            </w:pPr>
            <w:r w:rsidRPr="00053445">
              <w:rPr>
                <w:b/>
                <w:sz w:val="19"/>
                <w:szCs w:val="19"/>
              </w:rPr>
              <w:t>Program Total</w:t>
            </w:r>
          </w:p>
        </w:tc>
        <w:tc>
          <w:tcPr>
            <w:tcW w:w="1170" w:type="dxa"/>
            <w:shd w:val="clear" w:color="000000" w:fill="D2EAF1"/>
            <w:noWrap/>
          </w:tcPr>
          <w:p w:rsidR="00A35466" w:rsidRPr="00053445" w:rsidRDefault="00A35466" w:rsidP="004F0C61">
            <w:pPr>
              <w:jc w:val="center"/>
              <w:rPr>
                <w:b/>
                <w:bCs/>
                <w:color w:val="000000"/>
                <w:sz w:val="19"/>
                <w:szCs w:val="19"/>
              </w:rPr>
            </w:pPr>
            <w:r w:rsidRPr="00053445">
              <w:rPr>
                <w:sz w:val="19"/>
                <w:szCs w:val="19"/>
              </w:rPr>
              <w:t>4</w:t>
            </w:r>
          </w:p>
        </w:tc>
        <w:tc>
          <w:tcPr>
            <w:tcW w:w="1193" w:type="dxa"/>
            <w:gridSpan w:val="2"/>
            <w:shd w:val="clear" w:color="000000" w:fill="D2EAF1"/>
            <w:noWrap/>
          </w:tcPr>
          <w:p w:rsidR="00A35466" w:rsidRPr="00053445" w:rsidRDefault="00A35466" w:rsidP="004F0C61">
            <w:pPr>
              <w:jc w:val="center"/>
              <w:rPr>
                <w:b/>
                <w:bCs/>
                <w:color w:val="000000"/>
                <w:sz w:val="19"/>
                <w:szCs w:val="19"/>
              </w:rPr>
            </w:pPr>
            <w:r w:rsidRPr="00053445">
              <w:rPr>
                <w:sz w:val="19"/>
                <w:szCs w:val="19"/>
              </w:rPr>
              <w:t>15.0%</w:t>
            </w:r>
          </w:p>
        </w:tc>
        <w:tc>
          <w:tcPr>
            <w:tcW w:w="1256" w:type="dxa"/>
            <w:shd w:val="clear" w:color="000000" w:fill="D2EAF1"/>
            <w:noWrap/>
          </w:tcPr>
          <w:p w:rsidR="00A35466" w:rsidRPr="00053445" w:rsidRDefault="00A35466" w:rsidP="004F0C61">
            <w:pPr>
              <w:jc w:val="center"/>
              <w:rPr>
                <w:b/>
                <w:bCs/>
                <w:color w:val="000000"/>
                <w:sz w:val="19"/>
                <w:szCs w:val="19"/>
              </w:rPr>
            </w:pPr>
            <w:r w:rsidRPr="00053445">
              <w:rPr>
                <w:sz w:val="19"/>
                <w:szCs w:val="19"/>
              </w:rPr>
              <w:t>1</w:t>
            </w:r>
          </w:p>
        </w:tc>
        <w:tc>
          <w:tcPr>
            <w:tcW w:w="1261" w:type="dxa"/>
            <w:shd w:val="clear" w:color="000000" w:fill="D2EAF1"/>
            <w:noWrap/>
          </w:tcPr>
          <w:p w:rsidR="00A35466" w:rsidRPr="00053445" w:rsidRDefault="00A35466" w:rsidP="004F0C61">
            <w:pPr>
              <w:jc w:val="center"/>
              <w:rPr>
                <w:b/>
                <w:bCs/>
                <w:color w:val="000000"/>
                <w:sz w:val="19"/>
                <w:szCs w:val="19"/>
              </w:rPr>
            </w:pPr>
            <w:r w:rsidRPr="00053445">
              <w:rPr>
                <w:sz w:val="19"/>
                <w:szCs w:val="19"/>
              </w:rPr>
              <w:t>1</w:t>
            </w:r>
          </w:p>
        </w:tc>
        <w:tc>
          <w:tcPr>
            <w:tcW w:w="1150" w:type="dxa"/>
            <w:shd w:val="clear" w:color="000000" w:fill="D2EAF1"/>
            <w:noWrap/>
          </w:tcPr>
          <w:p w:rsidR="00A35466" w:rsidRPr="00053445" w:rsidRDefault="00A35466" w:rsidP="004F0C61">
            <w:pPr>
              <w:jc w:val="center"/>
              <w:rPr>
                <w:b/>
                <w:bCs/>
                <w:color w:val="000000"/>
                <w:sz w:val="19"/>
                <w:szCs w:val="19"/>
              </w:rPr>
            </w:pPr>
            <w:r w:rsidRPr="00053445">
              <w:rPr>
                <w:sz w:val="19"/>
                <w:szCs w:val="19"/>
              </w:rPr>
              <w:t>2.2%</w:t>
            </w:r>
          </w:p>
        </w:tc>
        <w:tc>
          <w:tcPr>
            <w:tcW w:w="1260" w:type="dxa"/>
            <w:shd w:val="clear" w:color="000000" w:fill="D2EAF1"/>
            <w:noWrap/>
          </w:tcPr>
          <w:p w:rsidR="00A35466" w:rsidRPr="00053445" w:rsidRDefault="00A35466" w:rsidP="004F0C61">
            <w:pPr>
              <w:jc w:val="center"/>
              <w:rPr>
                <w:b/>
                <w:bCs/>
                <w:color w:val="000000"/>
                <w:sz w:val="19"/>
                <w:szCs w:val="19"/>
              </w:rPr>
            </w:pPr>
            <w:r w:rsidRPr="00053445">
              <w:rPr>
                <w:sz w:val="19"/>
                <w:szCs w:val="19"/>
              </w:rPr>
              <w:t>0.0%</w:t>
            </w:r>
          </w:p>
        </w:tc>
      </w:tr>
    </w:tbl>
    <w:p w:rsidR="00A35466" w:rsidRPr="00995A55" w:rsidRDefault="00A35466" w:rsidP="00995A55"/>
    <w:p w:rsidR="00A35466" w:rsidRPr="003458B1" w:rsidRDefault="00A35466" w:rsidP="008C7396">
      <w:pPr>
        <w:pStyle w:val="AppendixAHeading5"/>
      </w:pPr>
      <w:r w:rsidRPr="003458B1">
        <w:t>Government and Institutional Program</w:t>
      </w:r>
    </w:p>
    <w:p w:rsidR="00A35466" w:rsidRPr="003458B1" w:rsidRDefault="00A35466" w:rsidP="00A35466">
      <w:r w:rsidRPr="003458B1">
        <w:t xml:space="preserve">This program had three categorical components in PY7: equipment incentives, appliance recycling (new for Phase II), and conservation kits to multifamily establishments. </w:t>
      </w:r>
      <w:r>
        <w:t>D</w:t>
      </w:r>
      <w:r w:rsidRPr="003458B1">
        <w:t xml:space="preserve">etailed information </w:t>
      </w:r>
      <w:r>
        <w:t>on</w:t>
      </w:r>
      <w:r w:rsidRPr="003458B1">
        <w:t xml:space="preserve"> the sample design and the achieved precision values for each stratum are shown in </w:t>
      </w:r>
      <w:r w:rsidRPr="003458B1">
        <w:fldChar w:fldCharType="begin"/>
      </w:r>
      <w:r w:rsidRPr="003458B1">
        <w:instrText xml:space="preserve"> REF _Ref440266784 \h  \* MERGEFORMAT </w:instrText>
      </w:r>
      <w:r w:rsidRPr="003458B1">
        <w:fldChar w:fldCharType="separate"/>
      </w:r>
      <w:r w:rsidR="00037CB4" w:rsidRPr="003458B1">
        <w:t>Table A-</w:t>
      </w:r>
      <w:r w:rsidR="00037CB4">
        <w:t>81</w:t>
      </w:r>
      <w:r w:rsidRPr="003458B1">
        <w:fldChar w:fldCharType="end"/>
      </w:r>
      <w:r w:rsidRPr="003458B1">
        <w:t>. The GNI projects in PY7 were almost entirely street lighting projects</w:t>
      </w:r>
      <w:r>
        <w:t>,</w:t>
      </w:r>
      <w:r w:rsidRPr="003458B1">
        <w:t xml:space="preserve"> which have peak demand savings of 0, thus skewing the demand precision results.</w:t>
      </w:r>
    </w:p>
    <w:p w:rsidR="00A35466" w:rsidRPr="003458B1" w:rsidRDefault="00A35466" w:rsidP="00A35466"/>
    <w:p w:rsidR="00A35466" w:rsidRPr="003458B1" w:rsidRDefault="00A35466" w:rsidP="004837FA">
      <w:pPr>
        <w:pStyle w:val="Caption"/>
      </w:pPr>
      <w:bookmarkStart w:id="966" w:name="_Ref440266784"/>
      <w:bookmarkStart w:id="967" w:name="_Toc410199435"/>
      <w:bookmarkStart w:id="968" w:name="_Toc431462355"/>
      <w:bookmarkStart w:id="969" w:name="_Toc444269878"/>
      <w:bookmarkStart w:id="970" w:name="_Toc472472490"/>
      <w:bookmarkStart w:id="971" w:name="_Toc488741909"/>
      <w:r w:rsidRPr="003458B1">
        <w:t>Table A-</w:t>
      </w:r>
      <w:r w:rsidR="007973A4">
        <w:fldChar w:fldCharType="begin"/>
      </w:r>
      <w:r w:rsidR="007973A4">
        <w:instrText xml:space="preserve"> SEQ Table_A- \* ARABIC </w:instrText>
      </w:r>
      <w:r w:rsidR="007973A4">
        <w:fldChar w:fldCharType="separate"/>
      </w:r>
      <w:r w:rsidR="00037CB4">
        <w:rPr>
          <w:noProof/>
        </w:rPr>
        <w:t>81</w:t>
      </w:r>
      <w:r w:rsidR="007973A4">
        <w:rPr>
          <w:noProof/>
        </w:rPr>
        <w:fldChar w:fldCharType="end"/>
      </w:r>
      <w:bookmarkEnd w:id="966"/>
      <w:r w:rsidRPr="003458B1">
        <w:t>: Penn Power’s PY7 Sampling Strategy and Achieved Precision – Government and Institutional Program</w:t>
      </w:r>
      <w:bookmarkEnd w:id="967"/>
      <w:bookmarkEnd w:id="968"/>
      <w:bookmarkEnd w:id="969"/>
      <w:bookmarkEnd w:id="970"/>
      <w:bookmarkEnd w:id="971"/>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170"/>
        <w:gridCol w:w="1156"/>
        <w:gridCol w:w="1265"/>
        <w:gridCol w:w="1264"/>
        <w:gridCol w:w="1265"/>
        <w:gridCol w:w="1265"/>
      </w:tblGrid>
      <w:tr w:rsidR="00A874AC" w:rsidRPr="00053445" w:rsidTr="00053445">
        <w:trPr>
          <w:trHeight w:val="864"/>
          <w:tblHeader/>
          <w:jc w:val="center"/>
        </w:trPr>
        <w:tc>
          <w:tcPr>
            <w:tcW w:w="1975" w:type="dxa"/>
            <w:shd w:val="clear" w:color="000000" w:fill="448A99"/>
            <w:vAlign w:val="bottom"/>
            <w:hideMark/>
          </w:tcPr>
          <w:p w:rsidR="00A35466" w:rsidRPr="00053445" w:rsidRDefault="00A35466" w:rsidP="004F0C61">
            <w:pPr>
              <w:rPr>
                <w:b/>
                <w:bCs/>
                <w:color w:val="FFFFFF"/>
                <w:sz w:val="19"/>
                <w:szCs w:val="19"/>
              </w:rPr>
            </w:pPr>
            <w:r w:rsidRPr="00053445">
              <w:rPr>
                <w:b/>
                <w:bCs/>
                <w:color w:val="FFFFFF"/>
                <w:sz w:val="19"/>
                <w:szCs w:val="19"/>
              </w:rPr>
              <w:t>Stratum</w:t>
            </w:r>
          </w:p>
        </w:tc>
        <w:tc>
          <w:tcPr>
            <w:tcW w:w="1170"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Population</w:t>
            </w:r>
          </w:p>
        </w:tc>
        <w:tc>
          <w:tcPr>
            <w:tcW w:w="1156"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Target Levels of Confidence &amp; Precision</w:t>
            </w:r>
          </w:p>
        </w:tc>
        <w:tc>
          <w:tcPr>
            <w:tcW w:w="1265"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Target Sample Size</w:t>
            </w:r>
          </w:p>
        </w:tc>
        <w:tc>
          <w:tcPr>
            <w:tcW w:w="1264"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Achieved Sample Size</w:t>
            </w:r>
          </w:p>
        </w:tc>
        <w:tc>
          <w:tcPr>
            <w:tcW w:w="1265"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Relative Precision at 85% C.L. for Energy</w:t>
            </w:r>
          </w:p>
        </w:tc>
        <w:tc>
          <w:tcPr>
            <w:tcW w:w="1265" w:type="dxa"/>
            <w:shd w:val="clear" w:color="000000" w:fill="448A99"/>
            <w:vAlign w:val="bottom"/>
            <w:hideMark/>
          </w:tcPr>
          <w:p w:rsidR="00A35466" w:rsidRPr="00053445" w:rsidRDefault="00A35466" w:rsidP="004F0C61">
            <w:pPr>
              <w:jc w:val="center"/>
              <w:rPr>
                <w:b/>
                <w:bCs/>
                <w:color w:val="FFFFFF"/>
                <w:sz w:val="19"/>
                <w:szCs w:val="19"/>
              </w:rPr>
            </w:pPr>
            <w:r w:rsidRPr="00053445">
              <w:rPr>
                <w:b/>
                <w:bCs/>
                <w:color w:val="FFFFFF"/>
                <w:sz w:val="19"/>
                <w:szCs w:val="19"/>
              </w:rPr>
              <w:t>Relative Precision at 85% C.L. for Demand</w:t>
            </w:r>
          </w:p>
        </w:tc>
      </w:tr>
      <w:tr w:rsidR="00A874AC" w:rsidRPr="00053445" w:rsidTr="00053445">
        <w:trPr>
          <w:trHeight w:val="360"/>
          <w:jc w:val="center"/>
        </w:trPr>
        <w:tc>
          <w:tcPr>
            <w:tcW w:w="1975" w:type="dxa"/>
            <w:shd w:val="clear" w:color="000000" w:fill="D2EAF1"/>
            <w:noWrap/>
            <w:vAlign w:val="center"/>
          </w:tcPr>
          <w:p w:rsidR="00A35466" w:rsidRPr="00053445" w:rsidRDefault="00A35466" w:rsidP="004F0C61">
            <w:pPr>
              <w:rPr>
                <w:bCs/>
                <w:color w:val="000000"/>
                <w:sz w:val="19"/>
                <w:szCs w:val="19"/>
              </w:rPr>
            </w:pPr>
            <w:r w:rsidRPr="00053445">
              <w:rPr>
                <w:sz w:val="19"/>
                <w:szCs w:val="19"/>
              </w:rPr>
              <w:t>CFL kits – 1</w:t>
            </w:r>
          </w:p>
        </w:tc>
        <w:tc>
          <w:tcPr>
            <w:tcW w:w="1170"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w:t>
            </w:r>
          </w:p>
        </w:tc>
        <w:tc>
          <w:tcPr>
            <w:tcW w:w="1156"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N/A</w:t>
            </w:r>
          </w:p>
        </w:tc>
        <w:tc>
          <w:tcPr>
            <w:tcW w:w="1265"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w:t>
            </w:r>
          </w:p>
        </w:tc>
        <w:tc>
          <w:tcPr>
            <w:tcW w:w="1264"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w:t>
            </w:r>
          </w:p>
        </w:tc>
        <w:tc>
          <w:tcPr>
            <w:tcW w:w="1265"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0.0%</w:t>
            </w:r>
          </w:p>
        </w:tc>
        <w:tc>
          <w:tcPr>
            <w:tcW w:w="1265" w:type="dxa"/>
            <w:shd w:val="clear" w:color="000000" w:fill="D2EAF1"/>
            <w:noWrap/>
            <w:vAlign w:val="center"/>
          </w:tcPr>
          <w:p w:rsidR="00A35466" w:rsidRPr="00053445" w:rsidRDefault="00A35466" w:rsidP="004F0C61">
            <w:pPr>
              <w:jc w:val="center"/>
              <w:rPr>
                <w:color w:val="000000"/>
                <w:sz w:val="19"/>
                <w:szCs w:val="19"/>
              </w:rPr>
            </w:pPr>
            <w:r w:rsidRPr="00053445">
              <w:rPr>
                <w:sz w:val="19"/>
                <w:szCs w:val="19"/>
              </w:rPr>
              <w:t>0.0%</w:t>
            </w:r>
          </w:p>
        </w:tc>
      </w:tr>
      <w:tr w:rsidR="00E7173E" w:rsidRPr="00053445" w:rsidTr="00053445">
        <w:trPr>
          <w:trHeight w:val="360"/>
          <w:jc w:val="center"/>
        </w:trPr>
        <w:tc>
          <w:tcPr>
            <w:tcW w:w="1975" w:type="dxa"/>
            <w:shd w:val="clear" w:color="auto" w:fill="auto"/>
            <w:noWrap/>
            <w:vAlign w:val="center"/>
          </w:tcPr>
          <w:p w:rsidR="00A35466" w:rsidRPr="00053445" w:rsidRDefault="00A35466" w:rsidP="004F0C61">
            <w:pPr>
              <w:rPr>
                <w:b/>
                <w:bCs/>
                <w:iCs/>
                <w:color w:val="000000"/>
                <w:sz w:val="19"/>
                <w:szCs w:val="19"/>
              </w:rPr>
            </w:pPr>
            <w:r w:rsidRPr="00053445">
              <w:rPr>
                <w:sz w:val="19"/>
                <w:szCs w:val="19"/>
              </w:rPr>
              <w:t>Lighting – certainty</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56"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4"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053445">
        <w:trPr>
          <w:trHeight w:val="360"/>
          <w:jc w:val="center"/>
        </w:trPr>
        <w:tc>
          <w:tcPr>
            <w:tcW w:w="1975" w:type="dxa"/>
            <w:shd w:val="clear" w:color="auto" w:fill="D2EAF1"/>
            <w:noWrap/>
            <w:vAlign w:val="center"/>
          </w:tcPr>
          <w:p w:rsidR="00A35466" w:rsidRPr="00053445" w:rsidRDefault="00A35466" w:rsidP="004F0C61">
            <w:pPr>
              <w:rPr>
                <w:sz w:val="19"/>
                <w:szCs w:val="19"/>
              </w:rPr>
            </w:pPr>
            <w:r w:rsidRPr="00053445">
              <w:rPr>
                <w:sz w:val="19"/>
                <w:szCs w:val="19"/>
              </w:rPr>
              <w:t>Lighting – 2</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56"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4"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053445">
        <w:trPr>
          <w:trHeight w:val="360"/>
          <w:jc w:val="center"/>
        </w:trPr>
        <w:tc>
          <w:tcPr>
            <w:tcW w:w="1975" w:type="dxa"/>
            <w:shd w:val="clear" w:color="auto" w:fill="auto"/>
            <w:noWrap/>
            <w:vAlign w:val="center"/>
          </w:tcPr>
          <w:p w:rsidR="00A35466" w:rsidRPr="00053445" w:rsidRDefault="00A35466" w:rsidP="004F0C61">
            <w:pPr>
              <w:rPr>
                <w:sz w:val="19"/>
                <w:szCs w:val="19"/>
              </w:rPr>
            </w:pPr>
            <w:r w:rsidRPr="00053445">
              <w:rPr>
                <w:sz w:val="19"/>
                <w:szCs w:val="19"/>
              </w:rPr>
              <w:t>Lighting – 3</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35</w:t>
            </w:r>
          </w:p>
        </w:tc>
        <w:tc>
          <w:tcPr>
            <w:tcW w:w="1156"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22.4%</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8</w:t>
            </w:r>
          </w:p>
        </w:tc>
        <w:tc>
          <w:tcPr>
            <w:tcW w:w="1264"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8</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22.4%</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053445">
        <w:trPr>
          <w:trHeight w:val="360"/>
          <w:jc w:val="center"/>
        </w:trPr>
        <w:tc>
          <w:tcPr>
            <w:tcW w:w="1975" w:type="dxa"/>
            <w:shd w:val="clear" w:color="auto" w:fill="D2EAF1"/>
            <w:noWrap/>
            <w:vAlign w:val="center"/>
          </w:tcPr>
          <w:p w:rsidR="00A35466" w:rsidRPr="00053445" w:rsidRDefault="00A35466" w:rsidP="004F0C61">
            <w:pPr>
              <w:rPr>
                <w:sz w:val="19"/>
                <w:szCs w:val="19"/>
              </w:rPr>
            </w:pPr>
            <w:r w:rsidRPr="00053445">
              <w:rPr>
                <w:sz w:val="19"/>
                <w:szCs w:val="19"/>
              </w:rPr>
              <w:t>Lighting – 4</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112</w:t>
            </w:r>
          </w:p>
        </w:tc>
        <w:tc>
          <w:tcPr>
            <w:tcW w:w="1156"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17.3%</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15</w:t>
            </w:r>
          </w:p>
        </w:tc>
        <w:tc>
          <w:tcPr>
            <w:tcW w:w="1264"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15</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17.3%</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053445">
        <w:trPr>
          <w:trHeight w:val="360"/>
          <w:jc w:val="center"/>
        </w:trPr>
        <w:tc>
          <w:tcPr>
            <w:tcW w:w="1975" w:type="dxa"/>
            <w:shd w:val="clear" w:color="auto" w:fill="auto"/>
            <w:noWrap/>
            <w:vAlign w:val="center"/>
          </w:tcPr>
          <w:p w:rsidR="00A35466" w:rsidRPr="00053445" w:rsidRDefault="00A35466" w:rsidP="004F0C61">
            <w:pPr>
              <w:rPr>
                <w:sz w:val="19"/>
                <w:szCs w:val="19"/>
              </w:rPr>
            </w:pPr>
            <w:r w:rsidRPr="00053445">
              <w:rPr>
                <w:sz w:val="19"/>
                <w:szCs w:val="19"/>
              </w:rPr>
              <w:t>Custom – certainty</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56"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4"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053445">
        <w:trPr>
          <w:trHeight w:val="360"/>
          <w:jc w:val="center"/>
        </w:trPr>
        <w:tc>
          <w:tcPr>
            <w:tcW w:w="1975" w:type="dxa"/>
            <w:shd w:val="clear" w:color="auto" w:fill="D2EAF1"/>
            <w:noWrap/>
            <w:vAlign w:val="center"/>
          </w:tcPr>
          <w:p w:rsidR="00A35466" w:rsidRPr="00053445" w:rsidRDefault="00A35466" w:rsidP="004F0C61">
            <w:pPr>
              <w:rPr>
                <w:sz w:val="19"/>
                <w:szCs w:val="19"/>
              </w:rPr>
            </w:pPr>
            <w:r w:rsidRPr="00053445">
              <w:rPr>
                <w:sz w:val="19"/>
                <w:szCs w:val="19"/>
              </w:rPr>
              <w:t>Custom – 2</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56"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4"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053445">
        <w:trPr>
          <w:trHeight w:val="360"/>
          <w:jc w:val="center"/>
        </w:trPr>
        <w:tc>
          <w:tcPr>
            <w:tcW w:w="1975" w:type="dxa"/>
            <w:shd w:val="clear" w:color="auto" w:fill="auto"/>
            <w:noWrap/>
            <w:vAlign w:val="center"/>
          </w:tcPr>
          <w:p w:rsidR="00A35466" w:rsidRPr="00053445" w:rsidRDefault="00A35466" w:rsidP="004F0C61">
            <w:pPr>
              <w:rPr>
                <w:sz w:val="19"/>
                <w:szCs w:val="19"/>
              </w:rPr>
            </w:pPr>
            <w:r w:rsidRPr="00053445">
              <w:rPr>
                <w:sz w:val="19"/>
                <w:szCs w:val="19"/>
              </w:rPr>
              <w:t>Custom – 3</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56"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4"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053445">
        <w:trPr>
          <w:trHeight w:val="360"/>
          <w:jc w:val="center"/>
        </w:trPr>
        <w:tc>
          <w:tcPr>
            <w:tcW w:w="1975" w:type="dxa"/>
            <w:shd w:val="clear" w:color="auto" w:fill="D2EAF1"/>
            <w:noWrap/>
            <w:vAlign w:val="center"/>
          </w:tcPr>
          <w:p w:rsidR="00A35466" w:rsidRPr="00053445" w:rsidRDefault="00A35466" w:rsidP="004F0C61">
            <w:pPr>
              <w:rPr>
                <w:sz w:val="19"/>
                <w:szCs w:val="19"/>
              </w:rPr>
            </w:pPr>
            <w:r w:rsidRPr="00053445">
              <w:rPr>
                <w:sz w:val="19"/>
                <w:szCs w:val="19"/>
              </w:rPr>
              <w:t>HVAC and DHW – 1</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56"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4"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053445">
        <w:trPr>
          <w:trHeight w:val="360"/>
          <w:jc w:val="center"/>
        </w:trPr>
        <w:tc>
          <w:tcPr>
            <w:tcW w:w="1975" w:type="dxa"/>
            <w:shd w:val="clear" w:color="auto" w:fill="auto"/>
            <w:noWrap/>
            <w:vAlign w:val="center"/>
          </w:tcPr>
          <w:p w:rsidR="00A35466" w:rsidRPr="00053445" w:rsidRDefault="00A35466" w:rsidP="004F0C61">
            <w:pPr>
              <w:rPr>
                <w:sz w:val="19"/>
                <w:szCs w:val="19"/>
              </w:rPr>
            </w:pPr>
            <w:r w:rsidRPr="00053445">
              <w:rPr>
                <w:sz w:val="19"/>
                <w:szCs w:val="19"/>
              </w:rPr>
              <w:t>HVAC and DHW – 2</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56"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4"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053445">
        <w:trPr>
          <w:trHeight w:val="360"/>
          <w:jc w:val="center"/>
        </w:trPr>
        <w:tc>
          <w:tcPr>
            <w:tcW w:w="1975" w:type="dxa"/>
            <w:shd w:val="clear" w:color="auto" w:fill="D2EAF1"/>
            <w:noWrap/>
            <w:vAlign w:val="center"/>
          </w:tcPr>
          <w:p w:rsidR="00A35466" w:rsidRPr="00053445" w:rsidRDefault="00A35466" w:rsidP="004F0C61">
            <w:pPr>
              <w:rPr>
                <w:sz w:val="19"/>
                <w:szCs w:val="19"/>
              </w:rPr>
            </w:pPr>
            <w:r w:rsidRPr="00053445">
              <w:rPr>
                <w:sz w:val="19"/>
                <w:szCs w:val="19"/>
              </w:rPr>
              <w:t>Appliance Turn-In – 1</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56"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4"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sz w:val="19"/>
                <w:szCs w:val="19"/>
              </w:rPr>
              <w:t>0.0%</w:t>
            </w:r>
          </w:p>
        </w:tc>
      </w:tr>
      <w:tr w:rsidR="00E7173E" w:rsidRPr="00053445" w:rsidTr="00053445">
        <w:trPr>
          <w:trHeight w:val="360"/>
          <w:jc w:val="center"/>
        </w:trPr>
        <w:tc>
          <w:tcPr>
            <w:tcW w:w="1975" w:type="dxa"/>
            <w:shd w:val="clear" w:color="auto" w:fill="auto"/>
            <w:noWrap/>
            <w:vAlign w:val="center"/>
          </w:tcPr>
          <w:p w:rsidR="00A35466" w:rsidRPr="00053445" w:rsidRDefault="00A35466" w:rsidP="004F0C61">
            <w:pPr>
              <w:rPr>
                <w:sz w:val="19"/>
                <w:szCs w:val="19"/>
              </w:rPr>
            </w:pPr>
            <w:r w:rsidRPr="00053445">
              <w:rPr>
                <w:sz w:val="19"/>
                <w:szCs w:val="19"/>
              </w:rPr>
              <w:t>Kitchen/appliances – 1</w:t>
            </w:r>
          </w:p>
        </w:tc>
        <w:tc>
          <w:tcPr>
            <w:tcW w:w="1170"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156"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N/A</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4"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c>
          <w:tcPr>
            <w:tcW w:w="1265" w:type="dxa"/>
            <w:shd w:val="clear" w:color="auto" w:fill="auto"/>
            <w:noWrap/>
            <w:vAlign w:val="center"/>
          </w:tcPr>
          <w:p w:rsidR="00A35466" w:rsidRPr="00053445" w:rsidRDefault="00A35466" w:rsidP="004F0C61">
            <w:pPr>
              <w:jc w:val="center"/>
              <w:rPr>
                <w:b/>
                <w:bCs/>
                <w:color w:val="000000"/>
                <w:sz w:val="19"/>
                <w:szCs w:val="19"/>
              </w:rPr>
            </w:pPr>
            <w:r w:rsidRPr="00053445">
              <w:rPr>
                <w:sz w:val="19"/>
                <w:szCs w:val="19"/>
              </w:rPr>
              <w:t>0.0%</w:t>
            </w:r>
          </w:p>
        </w:tc>
      </w:tr>
      <w:tr w:rsidR="00A874AC" w:rsidRPr="00053445" w:rsidTr="00053445">
        <w:trPr>
          <w:trHeight w:val="360"/>
          <w:jc w:val="center"/>
        </w:trPr>
        <w:tc>
          <w:tcPr>
            <w:tcW w:w="1975" w:type="dxa"/>
            <w:shd w:val="clear" w:color="auto" w:fill="D2EAF1"/>
            <w:noWrap/>
            <w:vAlign w:val="center"/>
          </w:tcPr>
          <w:p w:rsidR="00A35466" w:rsidRPr="00053445" w:rsidRDefault="00A35466" w:rsidP="004F0C61">
            <w:pPr>
              <w:rPr>
                <w:sz w:val="19"/>
                <w:szCs w:val="19"/>
              </w:rPr>
            </w:pPr>
            <w:r w:rsidRPr="00053445">
              <w:rPr>
                <w:b/>
                <w:sz w:val="19"/>
                <w:szCs w:val="19"/>
              </w:rPr>
              <w:t>Program Total</w:t>
            </w:r>
          </w:p>
        </w:tc>
        <w:tc>
          <w:tcPr>
            <w:tcW w:w="1170"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147</w:t>
            </w:r>
          </w:p>
        </w:tc>
        <w:tc>
          <w:tcPr>
            <w:tcW w:w="1156"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13.7%</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23</w:t>
            </w:r>
          </w:p>
        </w:tc>
        <w:tc>
          <w:tcPr>
            <w:tcW w:w="1264"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23</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13.7%</w:t>
            </w:r>
          </w:p>
        </w:tc>
        <w:tc>
          <w:tcPr>
            <w:tcW w:w="1265" w:type="dxa"/>
            <w:shd w:val="clear" w:color="auto" w:fill="D2EAF1"/>
            <w:noWrap/>
            <w:vAlign w:val="center"/>
          </w:tcPr>
          <w:p w:rsidR="00A35466" w:rsidRPr="00053445" w:rsidRDefault="00A35466" w:rsidP="004F0C61">
            <w:pPr>
              <w:jc w:val="center"/>
              <w:rPr>
                <w:b/>
                <w:bCs/>
                <w:color w:val="000000"/>
                <w:sz w:val="19"/>
                <w:szCs w:val="19"/>
              </w:rPr>
            </w:pPr>
            <w:r w:rsidRPr="00053445">
              <w:rPr>
                <w:b/>
                <w:sz w:val="19"/>
                <w:szCs w:val="19"/>
              </w:rPr>
              <w:t>100.0%</w:t>
            </w:r>
          </w:p>
        </w:tc>
      </w:tr>
    </w:tbl>
    <w:p w:rsidR="00A35466" w:rsidRPr="003458B1" w:rsidRDefault="00A35466" w:rsidP="00A35466"/>
    <w:p w:rsidR="00A35466" w:rsidRPr="003B2BD3" w:rsidRDefault="00A35466" w:rsidP="0055598C">
      <w:pPr>
        <w:pStyle w:val="AppendixAHeading4"/>
        <w:rPr>
          <w:rFonts w:eastAsia="Calibri"/>
        </w:rPr>
      </w:pPr>
      <w:bookmarkStart w:id="972" w:name="_Ref408508592"/>
      <w:bookmarkStart w:id="973" w:name="_Toc408557498"/>
      <w:r w:rsidRPr="003B2BD3">
        <w:rPr>
          <w:rFonts w:eastAsia="Calibri"/>
        </w:rPr>
        <w:t>Ride-Along Site Inspections</w:t>
      </w:r>
      <w:bookmarkEnd w:id="972"/>
      <w:bookmarkEnd w:id="973"/>
    </w:p>
    <w:p w:rsidR="00A35466" w:rsidRPr="003B2BD3" w:rsidRDefault="00301BD7" w:rsidP="00A35466">
      <w:pPr>
        <w:spacing w:after="120"/>
      </w:pPr>
      <w:r>
        <w:rPr>
          <w:highlight w:val="yellow"/>
        </w:rPr>
        <w:fldChar w:fldCharType="begin"/>
      </w:r>
      <w:r>
        <w:instrText xml:space="preserve"> REF _Ref440266973 \h </w:instrText>
      </w:r>
      <w:r>
        <w:rPr>
          <w:highlight w:val="yellow"/>
        </w:rPr>
      </w:r>
      <w:r>
        <w:rPr>
          <w:highlight w:val="yellow"/>
        </w:rPr>
        <w:fldChar w:fldCharType="separate"/>
      </w:r>
      <w:r w:rsidR="00037CB4" w:rsidRPr="00561ABC">
        <w:t>Table A-</w:t>
      </w:r>
      <w:r w:rsidR="00037CB4">
        <w:rPr>
          <w:noProof/>
        </w:rPr>
        <w:t>82</w:t>
      </w:r>
      <w:r>
        <w:rPr>
          <w:highlight w:val="yellow"/>
        </w:rPr>
        <w:fldChar w:fldCharType="end"/>
      </w:r>
      <w:r w:rsidR="00A35466" w:rsidRPr="003B2BD3">
        <w:t xml:space="preserve"> summarizes the SWE </w:t>
      </w:r>
      <w:r w:rsidR="00A35466" w:rsidRPr="003B2BD3">
        <w:rPr>
          <w:color w:val="000000"/>
        </w:rPr>
        <w:t xml:space="preserve">Team’s </w:t>
      </w:r>
      <w:r w:rsidR="00A35466" w:rsidRPr="003B2BD3">
        <w:t xml:space="preserve">PY7 ride-along site inspections of Penn Power’s non-residential project installations. </w:t>
      </w:r>
      <w:r w:rsidR="00B27FAB">
        <w:t>For PY7, all Penn Power</w:t>
      </w:r>
      <w:r w:rsidR="00B27FAB" w:rsidRPr="003B2BD3">
        <w:t xml:space="preserve"> PY7 site inspection findings are categorized </w:t>
      </w:r>
      <w:r w:rsidR="00B27FAB">
        <w:t>as</w:t>
      </w:r>
      <w:r w:rsidR="00A35466" w:rsidRPr="003B2BD3">
        <w:t xml:space="preserve">: </w:t>
      </w:r>
    </w:p>
    <w:p w:rsidR="00A35466" w:rsidRPr="003B2BD3" w:rsidRDefault="00A35466" w:rsidP="00E646C9">
      <w:pPr>
        <w:numPr>
          <w:ilvl w:val="0"/>
          <w:numId w:val="37"/>
        </w:numPr>
        <w:autoSpaceDE w:val="0"/>
        <w:autoSpaceDN w:val="0"/>
        <w:adjustRightInd w:val="0"/>
        <w:ind w:left="360"/>
        <w:rPr>
          <w:rFonts w:cs="Calibri"/>
          <w:color w:val="000000"/>
          <w:szCs w:val="20"/>
        </w:rPr>
      </w:pPr>
      <w:r w:rsidRPr="003B2BD3">
        <w:rPr>
          <w:rFonts w:cs="Calibri"/>
          <w:color w:val="000000"/>
          <w:szCs w:val="20"/>
        </w:rPr>
        <w:t xml:space="preserve">Evaluation (Eval) findings are associated with ride-along site inspections and may reflect site activities or the evaluation contractor’s savings calculations or reports. </w:t>
      </w:r>
    </w:p>
    <w:p w:rsidR="00A35466" w:rsidRDefault="00A35466" w:rsidP="00995A55">
      <w:pPr>
        <w:autoSpaceDE w:val="0"/>
        <w:autoSpaceDN w:val="0"/>
        <w:adjustRightInd w:val="0"/>
        <w:rPr>
          <w:rFonts w:cs="Calibri"/>
          <w:color w:val="000000"/>
          <w:szCs w:val="20"/>
        </w:rPr>
      </w:pPr>
    </w:p>
    <w:p w:rsidR="00561ABC" w:rsidRPr="00561ABC" w:rsidRDefault="00561ABC" w:rsidP="004837FA">
      <w:pPr>
        <w:pStyle w:val="Caption"/>
      </w:pPr>
      <w:bookmarkStart w:id="974" w:name="_Ref440266973"/>
      <w:bookmarkStart w:id="975" w:name="_Toc410199436"/>
      <w:bookmarkStart w:id="976" w:name="_Toc431462356"/>
      <w:bookmarkStart w:id="977" w:name="_Toc444269879"/>
      <w:bookmarkStart w:id="978" w:name="_Toc472472491"/>
      <w:bookmarkStart w:id="979" w:name="_Toc488741910"/>
      <w:r w:rsidRPr="00561ABC">
        <w:t>Table A-</w:t>
      </w:r>
      <w:r w:rsidR="007973A4">
        <w:fldChar w:fldCharType="begin"/>
      </w:r>
      <w:r w:rsidR="007973A4">
        <w:instrText xml:space="preserve"> SEQ Table_A- \* ARABIC </w:instrText>
      </w:r>
      <w:r w:rsidR="007973A4">
        <w:fldChar w:fldCharType="separate"/>
      </w:r>
      <w:r w:rsidR="00037CB4">
        <w:rPr>
          <w:noProof/>
        </w:rPr>
        <w:t>82</w:t>
      </w:r>
      <w:r w:rsidR="007973A4">
        <w:rPr>
          <w:noProof/>
        </w:rPr>
        <w:fldChar w:fldCharType="end"/>
      </w:r>
      <w:bookmarkEnd w:id="974"/>
      <w:r w:rsidRPr="00561ABC">
        <w:t>: Penn Power’s PY7 Non-Residential Site Inspection Findings</w:t>
      </w:r>
      <w:bookmarkEnd w:id="975"/>
      <w:bookmarkEnd w:id="976"/>
      <w:bookmarkEnd w:id="977"/>
      <w:bookmarkEnd w:id="978"/>
      <w:bookmarkEnd w:id="979"/>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070"/>
        <w:gridCol w:w="1198"/>
        <w:gridCol w:w="2492"/>
        <w:gridCol w:w="990"/>
        <w:gridCol w:w="3600"/>
      </w:tblGrid>
      <w:tr w:rsidR="00A874AC" w:rsidRPr="00053445" w:rsidTr="00053445">
        <w:trPr>
          <w:trHeight w:val="300"/>
          <w:tblHeader/>
        </w:trPr>
        <w:tc>
          <w:tcPr>
            <w:tcW w:w="1070" w:type="dxa"/>
            <w:shd w:val="clear" w:color="auto" w:fill="448A99"/>
            <w:noWrap/>
            <w:vAlign w:val="bottom"/>
            <w:hideMark/>
          </w:tcPr>
          <w:p w:rsidR="00561ABC" w:rsidRPr="00053445" w:rsidRDefault="00561ABC" w:rsidP="004F0C61">
            <w:pPr>
              <w:jc w:val="left"/>
              <w:rPr>
                <w:b/>
                <w:bCs/>
                <w:color w:val="FFFFFF"/>
                <w:sz w:val="19"/>
                <w:szCs w:val="19"/>
              </w:rPr>
            </w:pPr>
            <w:r w:rsidRPr="00053445">
              <w:rPr>
                <w:b/>
                <w:bCs/>
                <w:color w:val="FFFFFF"/>
                <w:sz w:val="19"/>
                <w:szCs w:val="19"/>
              </w:rPr>
              <w:t>Project ID</w:t>
            </w:r>
          </w:p>
        </w:tc>
        <w:tc>
          <w:tcPr>
            <w:tcW w:w="1198" w:type="dxa"/>
            <w:shd w:val="clear" w:color="auto" w:fill="448A99"/>
            <w:noWrap/>
            <w:vAlign w:val="bottom"/>
            <w:hideMark/>
          </w:tcPr>
          <w:p w:rsidR="00561ABC" w:rsidRPr="00053445" w:rsidRDefault="00561ABC" w:rsidP="004F0C61">
            <w:pPr>
              <w:jc w:val="center"/>
              <w:rPr>
                <w:b/>
                <w:bCs/>
                <w:color w:val="FFFFFF"/>
                <w:sz w:val="19"/>
                <w:szCs w:val="19"/>
              </w:rPr>
            </w:pPr>
            <w:r w:rsidRPr="00053445">
              <w:rPr>
                <w:b/>
                <w:bCs/>
                <w:color w:val="FFFFFF"/>
                <w:sz w:val="19"/>
                <w:szCs w:val="19"/>
              </w:rPr>
              <w:t>Technology</w:t>
            </w:r>
          </w:p>
        </w:tc>
        <w:tc>
          <w:tcPr>
            <w:tcW w:w="2492" w:type="dxa"/>
            <w:shd w:val="clear" w:color="auto" w:fill="448A99"/>
            <w:noWrap/>
            <w:vAlign w:val="bottom"/>
            <w:hideMark/>
          </w:tcPr>
          <w:p w:rsidR="00561ABC" w:rsidRPr="00053445" w:rsidRDefault="00561ABC" w:rsidP="004F0C61">
            <w:pPr>
              <w:jc w:val="center"/>
              <w:rPr>
                <w:b/>
                <w:bCs/>
                <w:color w:val="FFFFFF"/>
                <w:sz w:val="19"/>
                <w:szCs w:val="19"/>
              </w:rPr>
            </w:pPr>
            <w:r w:rsidRPr="00053445">
              <w:rPr>
                <w:b/>
                <w:bCs/>
                <w:color w:val="FFFFFF"/>
                <w:sz w:val="19"/>
                <w:szCs w:val="19"/>
              </w:rPr>
              <w:t>Finding</w:t>
            </w:r>
          </w:p>
        </w:tc>
        <w:tc>
          <w:tcPr>
            <w:tcW w:w="990" w:type="dxa"/>
            <w:shd w:val="clear" w:color="auto" w:fill="448A99"/>
            <w:noWrap/>
            <w:vAlign w:val="bottom"/>
            <w:hideMark/>
          </w:tcPr>
          <w:p w:rsidR="00561ABC" w:rsidRPr="00053445" w:rsidRDefault="00561ABC" w:rsidP="004F0C61">
            <w:pPr>
              <w:jc w:val="center"/>
              <w:rPr>
                <w:b/>
                <w:bCs/>
                <w:color w:val="FFFFFF"/>
                <w:sz w:val="19"/>
                <w:szCs w:val="19"/>
              </w:rPr>
            </w:pPr>
            <w:r w:rsidRPr="00053445">
              <w:rPr>
                <w:b/>
                <w:bCs/>
                <w:color w:val="FFFFFF"/>
                <w:sz w:val="19"/>
                <w:szCs w:val="19"/>
              </w:rPr>
              <w:t>Finding Type</w:t>
            </w:r>
          </w:p>
        </w:tc>
        <w:tc>
          <w:tcPr>
            <w:tcW w:w="3600" w:type="dxa"/>
            <w:shd w:val="clear" w:color="auto" w:fill="448A99"/>
            <w:noWrap/>
            <w:vAlign w:val="bottom"/>
            <w:hideMark/>
          </w:tcPr>
          <w:p w:rsidR="00561ABC" w:rsidRPr="00053445" w:rsidRDefault="00561ABC" w:rsidP="004F0C61">
            <w:pPr>
              <w:jc w:val="center"/>
              <w:rPr>
                <w:b/>
                <w:bCs/>
                <w:color w:val="FFFFFF"/>
                <w:sz w:val="19"/>
                <w:szCs w:val="19"/>
              </w:rPr>
            </w:pPr>
            <w:r w:rsidRPr="00053445">
              <w:rPr>
                <w:b/>
                <w:bCs/>
                <w:color w:val="FFFFFF"/>
                <w:sz w:val="19"/>
                <w:szCs w:val="19"/>
              </w:rPr>
              <w:t>Resolution</w:t>
            </w:r>
          </w:p>
        </w:tc>
      </w:tr>
      <w:tr w:rsidR="00A874AC" w:rsidRPr="00053445" w:rsidTr="00053445">
        <w:trPr>
          <w:trHeight w:val="592"/>
        </w:trPr>
        <w:tc>
          <w:tcPr>
            <w:tcW w:w="1070" w:type="dxa"/>
            <w:shd w:val="clear" w:color="auto" w:fill="D2EAF1"/>
            <w:noWrap/>
          </w:tcPr>
          <w:p w:rsidR="00561ABC" w:rsidRPr="00053445" w:rsidRDefault="00561ABC" w:rsidP="004F0C61">
            <w:pPr>
              <w:jc w:val="left"/>
              <w:rPr>
                <w:sz w:val="19"/>
                <w:szCs w:val="19"/>
              </w:rPr>
            </w:pPr>
            <w:r w:rsidRPr="00053445">
              <w:rPr>
                <w:sz w:val="19"/>
                <w:szCs w:val="19"/>
              </w:rPr>
              <w:t>PRJ-712773</w:t>
            </w:r>
          </w:p>
        </w:tc>
        <w:tc>
          <w:tcPr>
            <w:tcW w:w="1198" w:type="dxa"/>
            <w:shd w:val="clear" w:color="auto" w:fill="D2EAF1"/>
            <w:noWrap/>
          </w:tcPr>
          <w:p w:rsidR="00561ABC" w:rsidRPr="00053445" w:rsidRDefault="00561ABC" w:rsidP="004F0C61">
            <w:pPr>
              <w:jc w:val="center"/>
              <w:rPr>
                <w:sz w:val="19"/>
                <w:szCs w:val="19"/>
              </w:rPr>
            </w:pPr>
            <w:r w:rsidRPr="00053445">
              <w:rPr>
                <w:sz w:val="19"/>
                <w:szCs w:val="19"/>
              </w:rPr>
              <w:t>HVAC (pump VFDs)</w:t>
            </w:r>
          </w:p>
        </w:tc>
        <w:tc>
          <w:tcPr>
            <w:tcW w:w="2492" w:type="dxa"/>
            <w:tcBorders>
              <w:right w:val="single" w:sz="4" w:space="0" w:color="365F91"/>
            </w:tcBorders>
            <w:shd w:val="clear" w:color="auto" w:fill="D2EAF1"/>
            <w:noWrap/>
          </w:tcPr>
          <w:p w:rsidR="00561ABC" w:rsidRPr="00053445" w:rsidRDefault="00561ABC" w:rsidP="004F0C61">
            <w:pPr>
              <w:jc w:val="center"/>
              <w:rPr>
                <w:color w:val="000000"/>
                <w:sz w:val="19"/>
                <w:szCs w:val="19"/>
                <w:highlight w:val="yellow"/>
              </w:rPr>
            </w:pPr>
            <w:r w:rsidRPr="00053445">
              <w:rPr>
                <w:sz w:val="19"/>
                <w:szCs w:val="19"/>
              </w:rPr>
              <w:t>The SWE Team found that the evaluation contractor’s review of the project is accurate.</w:t>
            </w:r>
          </w:p>
        </w:tc>
        <w:tc>
          <w:tcPr>
            <w:tcW w:w="990" w:type="dxa"/>
            <w:tcBorders>
              <w:left w:val="single" w:sz="4" w:space="0" w:color="365F91"/>
            </w:tcBorders>
            <w:shd w:val="clear" w:color="auto" w:fill="D2EAF1"/>
            <w:noWrap/>
          </w:tcPr>
          <w:p w:rsidR="00561ABC" w:rsidRPr="00053445" w:rsidRDefault="00561ABC" w:rsidP="004F0C61">
            <w:pPr>
              <w:jc w:val="center"/>
              <w:rPr>
                <w:color w:val="000000"/>
                <w:sz w:val="19"/>
                <w:szCs w:val="19"/>
              </w:rPr>
            </w:pPr>
            <w:r w:rsidRPr="00053445">
              <w:rPr>
                <w:color w:val="000000"/>
                <w:sz w:val="19"/>
                <w:szCs w:val="19"/>
              </w:rPr>
              <w:t>Eval</w:t>
            </w:r>
          </w:p>
        </w:tc>
        <w:tc>
          <w:tcPr>
            <w:tcW w:w="3600" w:type="dxa"/>
            <w:shd w:val="clear" w:color="auto" w:fill="D2EAF1"/>
            <w:noWrap/>
          </w:tcPr>
          <w:p w:rsidR="00561ABC" w:rsidRPr="00053445" w:rsidRDefault="00561ABC" w:rsidP="004F0C61">
            <w:pPr>
              <w:jc w:val="center"/>
              <w:rPr>
                <w:color w:val="000000"/>
                <w:sz w:val="19"/>
                <w:szCs w:val="19"/>
                <w:highlight w:val="yellow"/>
              </w:rPr>
            </w:pPr>
            <w:r w:rsidRPr="00053445">
              <w:rPr>
                <w:sz w:val="19"/>
                <w:szCs w:val="19"/>
              </w:rPr>
              <w:t>The SWE Team had no recommendations based on its review of this project.</w:t>
            </w:r>
          </w:p>
        </w:tc>
      </w:tr>
      <w:tr w:rsidR="00E7173E" w:rsidRPr="00053445" w:rsidTr="00053445">
        <w:trPr>
          <w:trHeight w:val="565"/>
        </w:trPr>
        <w:tc>
          <w:tcPr>
            <w:tcW w:w="1070" w:type="dxa"/>
            <w:shd w:val="clear" w:color="auto" w:fill="auto"/>
            <w:noWrap/>
          </w:tcPr>
          <w:p w:rsidR="00561ABC" w:rsidRPr="00053445" w:rsidRDefault="00561ABC" w:rsidP="004F0C61">
            <w:pPr>
              <w:jc w:val="left"/>
              <w:rPr>
                <w:sz w:val="19"/>
                <w:szCs w:val="19"/>
              </w:rPr>
            </w:pPr>
            <w:r w:rsidRPr="00053445">
              <w:rPr>
                <w:sz w:val="19"/>
                <w:szCs w:val="19"/>
              </w:rPr>
              <w:t>PRJ-711668</w:t>
            </w:r>
          </w:p>
        </w:tc>
        <w:tc>
          <w:tcPr>
            <w:tcW w:w="1198" w:type="dxa"/>
            <w:shd w:val="clear" w:color="auto" w:fill="auto"/>
            <w:noWrap/>
          </w:tcPr>
          <w:p w:rsidR="00561ABC" w:rsidRPr="00053445" w:rsidRDefault="00561ABC" w:rsidP="004F0C61">
            <w:pPr>
              <w:jc w:val="center"/>
              <w:rPr>
                <w:sz w:val="19"/>
                <w:szCs w:val="19"/>
              </w:rPr>
            </w:pPr>
            <w:r w:rsidRPr="00053445">
              <w:rPr>
                <w:sz w:val="19"/>
                <w:szCs w:val="19"/>
              </w:rPr>
              <w:t>Lighting</w:t>
            </w:r>
          </w:p>
        </w:tc>
        <w:tc>
          <w:tcPr>
            <w:tcW w:w="2492" w:type="dxa"/>
            <w:tcBorders>
              <w:right w:val="single" w:sz="4" w:space="0" w:color="365F91"/>
            </w:tcBorders>
            <w:shd w:val="clear" w:color="auto" w:fill="auto"/>
            <w:noWrap/>
          </w:tcPr>
          <w:p w:rsidR="00561ABC" w:rsidRPr="00053445" w:rsidRDefault="00561ABC" w:rsidP="004F0C61">
            <w:pPr>
              <w:jc w:val="center"/>
              <w:rPr>
                <w:sz w:val="19"/>
                <w:szCs w:val="19"/>
                <w:highlight w:val="yellow"/>
              </w:rPr>
            </w:pPr>
            <w:r w:rsidRPr="00053445">
              <w:rPr>
                <w:sz w:val="19"/>
                <w:szCs w:val="19"/>
              </w:rPr>
              <w:t>Although the final verified savings is correct, the Appendix C calculator was not used in its original form.</w:t>
            </w:r>
          </w:p>
        </w:tc>
        <w:tc>
          <w:tcPr>
            <w:tcW w:w="990" w:type="dxa"/>
            <w:tcBorders>
              <w:left w:val="single" w:sz="4" w:space="0" w:color="365F91"/>
            </w:tcBorders>
            <w:shd w:val="clear" w:color="auto" w:fill="auto"/>
            <w:noWrap/>
          </w:tcPr>
          <w:p w:rsidR="00561ABC" w:rsidRPr="00053445" w:rsidRDefault="00561ABC" w:rsidP="004F0C61">
            <w:pPr>
              <w:jc w:val="center"/>
              <w:rPr>
                <w:sz w:val="19"/>
                <w:szCs w:val="19"/>
              </w:rPr>
            </w:pPr>
            <w:r w:rsidRPr="00053445">
              <w:rPr>
                <w:sz w:val="19"/>
                <w:szCs w:val="19"/>
              </w:rPr>
              <w:t>Eval</w:t>
            </w:r>
          </w:p>
        </w:tc>
        <w:tc>
          <w:tcPr>
            <w:tcW w:w="3600" w:type="dxa"/>
            <w:shd w:val="clear" w:color="auto" w:fill="auto"/>
            <w:noWrap/>
          </w:tcPr>
          <w:p w:rsidR="00561ABC" w:rsidRPr="00053445" w:rsidRDefault="00561ABC" w:rsidP="004F0C61">
            <w:pPr>
              <w:jc w:val="center"/>
              <w:rPr>
                <w:sz w:val="19"/>
                <w:szCs w:val="19"/>
                <w:highlight w:val="yellow"/>
              </w:rPr>
            </w:pPr>
            <w:r w:rsidRPr="00053445">
              <w:rPr>
                <w:sz w:val="19"/>
                <w:szCs w:val="19"/>
              </w:rPr>
              <w:t>In the interest of transparency, the SWE Team recommends that the evaluation contractor</w:t>
            </w:r>
            <w:r w:rsidRPr="00053445" w:rsidDel="006054DE">
              <w:rPr>
                <w:sz w:val="19"/>
                <w:szCs w:val="19"/>
              </w:rPr>
              <w:t xml:space="preserve"> </w:t>
            </w:r>
            <w:r w:rsidRPr="00053445">
              <w:rPr>
                <w:sz w:val="19"/>
                <w:szCs w:val="19"/>
              </w:rPr>
              <w:t>use only the Appendix C calculator for lighting projects moving forward.</w:t>
            </w:r>
          </w:p>
        </w:tc>
      </w:tr>
      <w:tr w:rsidR="00A874AC" w:rsidRPr="00053445" w:rsidTr="00053445">
        <w:trPr>
          <w:trHeight w:val="448"/>
        </w:trPr>
        <w:tc>
          <w:tcPr>
            <w:tcW w:w="1070" w:type="dxa"/>
            <w:shd w:val="clear" w:color="auto" w:fill="D2EAF1"/>
            <w:noWrap/>
          </w:tcPr>
          <w:p w:rsidR="00561ABC" w:rsidRPr="00053445" w:rsidRDefault="00561ABC" w:rsidP="004F0C61">
            <w:pPr>
              <w:jc w:val="left"/>
              <w:rPr>
                <w:sz w:val="19"/>
                <w:szCs w:val="19"/>
              </w:rPr>
            </w:pPr>
            <w:r w:rsidRPr="00053445">
              <w:rPr>
                <w:sz w:val="19"/>
                <w:szCs w:val="19"/>
              </w:rPr>
              <w:t>PRJ-586424</w:t>
            </w:r>
          </w:p>
        </w:tc>
        <w:tc>
          <w:tcPr>
            <w:tcW w:w="1198" w:type="dxa"/>
            <w:shd w:val="clear" w:color="auto" w:fill="D2EAF1"/>
            <w:noWrap/>
          </w:tcPr>
          <w:p w:rsidR="00561ABC" w:rsidRPr="00053445" w:rsidRDefault="00561ABC" w:rsidP="004F0C61">
            <w:pPr>
              <w:jc w:val="center"/>
              <w:rPr>
                <w:sz w:val="19"/>
                <w:szCs w:val="19"/>
              </w:rPr>
            </w:pPr>
            <w:r w:rsidRPr="00053445">
              <w:rPr>
                <w:sz w:val="19"/>
                <w:szCs w:val="19"/>
              </w:rPr>
              <w:t>EMS system</w:t>
            </w:r>
          </w:p>
        </w:tc>
        <w:tc>
          <w:tcPr>
            <w:tcW w:w="2492" w:type="dxa"/>
            <w:tcBorders>
              <w:right w:val="single" w:sz="4" w:space="0" w:color="365F91"/>
            </w:tcBorders>
            <w:shd w:val="clear" w:color="auto" w:fill="D2EAF1"/>
            <w:noWrap/>
          </w:tcPr>
          <w:p w:rsidR="00561ABC" w:rsidRPr="00053445" w:rsidRDefault="00561ABC" w:rsidP="004F0C61">
            <w:pPr>
              <w:jc w:val="center"/>
              <w:rPr>
                <w:sz w:val="19"/>
                <w:szCs w:val="19"/>
                <w:highlight w:val="yellow"/>
              </w:rPr>
            </w:pPr>
            <w:r w:rsidRPr="00053445">
              <w:rPr>
                <w:sz w:val="19"/>
                <w:szCs w:val="19"/>
              </w:rPr>
              <w:t>The SWE Team found that the evaluation contractor’s review of the project is accurate.</w:t>
            </w:r>
          </w:p>
        </w:tc>
        <w:tc>
          <w:tcPr>
            <w:tcW w:w="990" w:type="dxa"/>
            <w:tcBorders>
              <w:left w:val="single" w:sz="4" w:space="0" w:color="365F91"/>
            </w:tcBorders>
            <w:shd w:val="clear" w:color="auto" w:fill="D2EAF1"/>
            <w:noWrap/>
          </w:tcPr>
          <w:p w:rsidR="00561ABC" w:rsidRPr="00053445" w:rsidRDefault="00561ABC" w:rsidP="004F0C61">
            <w:pPr>
              <w:jc w:val="center"/>
              <w:rPr>
                <w:sz w:val="19"/>
                <w:szCs w:val="19"/>
              </w:rPr>
            </w:pPr>
            <w:r w:rsidRPr="00053445">
              <w:rPr>
                <w:sz w:val="19"/>
                <w:szCs w:val="19"/>
              </w:rPr>
              <w:t>Eval</w:t>
            </w:r>
          </w:p>
        </w:tc>
        <w:tc>
          <w:tcPr>
            <w:tcW w:w="3600" w:type="dxa"/>
            <w:shd w:val="clear" w:color="auto" w:fill="D2EAF1"/>
            <w:noWrap/>
          </w:tcPr>
          <w:p w:rsidR="00561ABC" w:rsidRPr="00053445" w:rsidRDefault="00561ABC" w:rsidP="004F0C61">
            <w:pPr>
              <w:jc w:val="center"/>
              <w:rPr>
                <w:sz w:val="19"/>
                <w:szCs w:val="19"/>
                <w:highlight w:val="yellow"/>
              </w:rPr>
            </w:pPr>
            <w:r w:rsidRPr="00053445">
              <w:rPr>
                <w:sz w:val="19"/>
                <w:szCs w:val="19"/>
              </w:rPr>
              <w:t>The SWE Team had no recommendations based on its review of this project.</w:t>
            </w:r>
          </w:p>
        </w:tc>
      </w:tr>
      <w:tr w:rsidR="00E7173E" w:rsidRPr="00053445" w:rsidTr="00053445">
        <w:trPr>
          <w:trHeight w:val="565"/>
        </w:trPr>
        <w:tc>
          <w:tcPr>
            <w:tcW w:w="1070" w:type="dxa"/>
            <w:shd w:val="clear" w:color="auto" w:fill="auto"/>
            <w:noWrap/>
          </w:tcPr>
          <w:p w:rsidR="00561ABC" w:rsidRPr="00053445" w:rsidRDefault="00561ABC" w:rsidP="004F0C61">
            <w:pPr>
              <w:jc w:val="left"/>
              <w:rPr>
                <w:sz w:val="19"/>
                <w:szCs w:val="19"/>
              </w:rPr>
            </w:pPr>
            <w:r w:rsidRPr="00053445">
              <w:rPr>
                <w:sz w:val="19"/>
                <w:szCs w:val="19"/>
              </w:rPr>
              <w:t>PRJ-745376</w:t>
            </w:r>
          </w:p>
        </w:tc>
        <w:tc>
          <w:tcPr>
            <w:tcW w:w="1198" w:type="dxa"/>
            <w:shd w:val="clear" w:color="auto" w:fill="auto"/>
            <w:noWrap/>
          </w:tcPr>
          <w:p w:rsidR="00561ABC" w:rsidRPr="00053445" w:rsidRDefault="00561ABC" w:rsidP="004F0C61">
            <w:pPr>
              <w:jc w:val="center"/>
              <w:rPr>
                <w:sz w:val="19"/>
                <w:szCs w:val="19"/>
              </w:rPr>
            </w:pPr>
            <w:r w:rsidRPr="00053445">
              <w:rPr>
                <w:sz w:val="19"/>
                <w:szCs w:val="19"/>
              </w:rPr>
              <w:t>Lighting</w:t>
            </w:r>
          </w:p>
        </w:tc>
        <w:tc>
          <w:tcPr>
            <w:tcW w:w="2492" w:type="dxa"/>
            <w:tcBorders>
              <w:right w:val="single" w:sz="4" w:space="0" w:color="365F91"/>
            </w:tcBorders>
            <w:shd w:val="clear" w:color="auto" w:fill="auto"/>
            <w:noWrap/>
          </w:tcPr>
          <w:p w:rsidR="00561ABC" w:rsidRPr="00053445" w:rsidRDefault="00561ABC" w:rsidP="004F0C61">
            <w:pPr>
              <w:jc w:val="center"/>
              <w:rPr>
                <w:sz w:val="19"/>
                <w:szCs w:val="19"/>
                <w:highlight w:val="yellow"/>
              </w:rPr>
            </w:pPr>
            <w:r w:rsidRPr="00053445">
              <w:rPr>
                <w:sz w:val="19"/>
                <w:szCs w:val="19"/>
              </w:rPr>
              <w:t>Although the final verified savings is correct, the Appendix C calculator was not used in its original form.</w:t>
            </w:r>
          </w:p>
        </w:tc>
        <w:tc>
          <w:tcPr>
            <w:tcW w:w="990" w:type="dxa"/>
            <w:tcBorders>
              <w:left w:val="single" w:sz="4" w:space="0" w:color="365F91"/>
            </w:tcBorders>
            <w:shd w:val="clear" w:color="auto" w:fill="auto"/>
            <w:noWrap/>
          </w:tcPr>
          <w:p w:rsidR="00561ABC" w:rsidRPr="00053445" w:rsidRDefault="00561ABC" w:rsidP="004F0C61">
            <w:pPr>
              <w:jc w:val="center"/>
              <w:rPr>
                <w:sz w:val="19"/>
                <w:szCs w:val="19"/>
              </w:rPr>
            </w:pPr>
            <w:r w:rsidRPr="00053445">
              <w:rPr>
                <w:sz w:val="19"/>
                <w:szCs w:val="19"/>
              </w:rPr>
              <w:t>Eval</w:t>
            </w:r>
          </w:p>
        </w:tc>
        <w:tc>
          <w:tcPr>
            <w:tcW w:w="3600" w:type="dxa"/>
            <w:shd w:val="clear" w:color="auto" w:fill="auto"/>
            <w:noWrap/>
          </w:tcPr>
          <w:p w:rsidR="00561ABC" w:rsidRPr="00053445" w:rsidRDefault="00561ABC" w:rsidP="004F0C61">
            <w:pPr>
              <w:jc w:val="center"/>
              <w:rPr>
                <w:sz w:val="19"/>
                <w:szCs w:val="19"/>
                <w:highlight w:val="yellow"/>
              </w:rPr>
            </w:pPr>
            <w:r w:rsidRPr="00053445">
              <w:rPr>
                <w:sz w:val="19"/>
                <w:szCs w:val="19"/>
              </w:rPr>
              <w:t>In the interest of transparency, the SWE Team recommends that the evaluation contractor</w:t>
            </w:r>
            <w:r w:rsidRPr="00053445" w:rsidDel="006054DE">
              <w:rPr>
                <w:sz w:val="19"/>
                <w:szCs w:val="19"/>
              </w:rPr>
              <w:t xml:space="preserve"> </w:t>
            </w:r>
            <w:r w:rsidRPr="00053445">
              <w:rPr>
                <w:sz w:val="19"/>
                <w:szCs w:val="19"/>
              </w:rPr>
              <w:t>use only the Appendix C calculator for lighting projects moving forward.</w:t>
            </w:r>
          </w:p>
        </w:tc>
      </w:tr>
      <w:tr w:rsidR="00A874AC" w:rsidRPr="00053445" w:rsidTr="00053445">
        <w:trPr>
          <w:trHeight w:val="448"/>
        </w:trPr>
        <w:tc>
          <w:tcPr>
            <w:tcW w:w="1070" w:type="dxa"/>
            <w:shd w:val="clear" w:color="auto" w:fill="D2EAF1"/>
            <w:noWrap/>
          </w:tcPr>
          <w:p w:rsidR="00561ABC" w:rsidRPr="00053445" w:rsidRDefault="00561ABC" w:rsidP="004F0C61">
            <w:pPr>
              <w:jc w:val="left"/>
              <w:rPr>
                <w:sz w:val="19"/>
                <w:szCs w:val="19"/>
              </w:rPr>
            </w:pPr>
            <w:r w:rsidRPr="00053445">
              <w:rPr>
                <w:sz w:val="19"/>
                <w:szCs w:val="19"/>
              </w:rPr>
              <w:t>PRJ-747119</w:t>
            </w:r>
          </w:p>
        </w:tc>
        <w:tc>
          <w:tcPr>
            <w:tcW w:w="1198" w:type="dxa"/>
            <w:shd w:val="clear" w:color="auto" w:fill="D2EAF1"/>
            <w:noWrap/>
          </w:tcPr>
          <w:p w:rsidR="00561ABC" w:rsidRPr="00053445" w:rsidRDefault="00561ABC" w:rsidP="004F0C61">
            <w:pPr>
              <w:jc w:val="center"/>
              <w:rPr>
                <w:sz w:val="19"/>
                <w:szCs w:val="19"/>
              </w:rPr>
            </w:pPr>
            <w:r w:rsidRPr="00053445">
              <w:rPr>
                <w:sz w:val="19"/>
                <w:szCs w:val="19"/>
              </w:rPr>
              <w:t>Lighting</w:t>
            </w:r>
          </w:p>
        </w:tc>
        <w:tc>
          <w:tcPr>
            <w:tcW w:w="2492" w:type="dxa"/>
            <w:tcBorders>
              <w:right w:val="single" w:sz="4" w:space="0" w:color="365F91"/>
            </w:tcBorders>
            <w:shd w:val="clear" w:color="auto" w:fill="D2EAF1"/>
            <w:noWrap/>
          </w:tcPr>
          <w:p w:rsidR="00561ABC" w:rsidRPr="00053445" w:rsidRDefault="00561ABC" w:rsidP="004F0C61">
            <w:pPr>
              <w:jc w:val="center"/>
              <w:rPr>
                <w:sz w:val="19"/>
                <w:szCs w:val="19"/>
                <w:highlight w:val="yellow"/>
              </w:rPr>
            </w:pPr>
            <w:r w:rsidRPr="00053445">
              <w:rPr>
                <w:sz w:val="19"/>
                <w:szCs w:val="19"/>
              </w:rPr>
              <w:t>Although the final verified savings is correct, the Appendix C calculator was not used in its original form.</w:t>
            </w:r>
          </w:p>
        </w:tc>
        <w:tc>
          <w:tcPr>
            <w:tcW w:w="990" w:type="dxa"/>
            <w:tcBorders>
              <w:left w:val="single" w:sz="4" w:space="0" w:color="365F91"/>
            </w:tcBorders>
            <w:shd w:val="clear" w:color="auto" w:fill="D2EAF1"/>
            <w:noWrap/>
          </w:tcPr>
          <w:p w:rsidR="00561ABC" w:rsidRPr="00053445" w:rsidRDefault="00561ABC" w:rsidP="004F0C61">
            <w:pPr>
              <w:jc w:val="center"/>
              <w:rPr>
                <w:sz w:val="19"/>
                <w:szCs w:val="19"/>
              </w:rPr>
            </w:pPr>
            <w:r w:rsidRPr="00053445">
              <w:rPr>
                <w:sz w:val="19"/>
                <w:szCs w:val="19"/>
              </w:rPr>
              <w:t>Eval</w:t>
            </w:r>
          </w:p>
        </w:tc>
        <w:tc>
          <w:tcPr>
            <w:tcW w:w="3600" w:type="dxa"/>
            <w:shd w:val="clear" w:color="auto" w:fill="D2EAF1"/>
            <w:noWrap/>
          </w:tcPr>
          <w:p w:rsidR="00561ABC" w:rsidRPr="00053445" w:rsidRDefault="00561ABC" w:rsidP="004F0C61">
            <w:pPr>
              <w:jc w:val="center"/>
              <w:rPr>
                <w:sz w:val="19"/>
                <w:szCs w:val="19"/>
                <w:highlight w:val="yellow"/>
              </w:rPr>
            </w:pPr>
            <w:r w:rsidRPr="00053445">
              <w:rPr>
                <w:sz w:val="19"/>
                <w:szCs w:val="19"/>
              </w:rPr>
              <w:t>In the interest of transparency, the SWE Team recommends that the evaluation contractor</w:t>
            </w:r>
            <w:r w:rsidRPr="00053445" w:rsidDel="006054DE">
              <w:rPr>
                <w:sz w:val="19"/>
                <w:szCs w:val="19"/>
              </w:rPr>
              <w:t xml:space="preserve"> </w:t>
            </w:r>
            <w:r w:rsidRPr="00053445">
              <w:rPr>
                <w:sz w:val="19"/>
                <w:szCs w:val="19"/>
              </w:rPr>
              <w:t>use only the Appendix C calculator for lighting projects moving forward.</w:t>
            </w:r>
          </w:p>
        </w:tc>
      </w:tr>
      <w:tr w:rsidR="00E7173E" w:rsidRPr="00053445" w:rsidTr="00053445">
        <w:trPr>
          <w:trHeight w:val="412"/>
        </w:trPr>
        <w:tc>
          <w:tcPr>
            <w:tcW w:w="1070" w:type="dxa"/>
            <w:shd w:val="clear" w:color="auto" w:fill="auto"/>
            <w:noWrap/>
          </w:tcPr>
          <w:p w:rsidR="00561ABC" w:rsidRPr="00053445" w:rsidRDefault="00561ABC" w:rsidP="004F0C61">
            <w:pPr>
              <w:jc w:val="left"/>
              <w:rPr>
                <w:sz w:val="19"/>
                <w:szCs w:val="19"/>
              </w:rPr>
            </w:pPr>
            <w:r w:rsidRPr="00053445">
              <w:rPr>
                <w:sz w:val="19"/>
                <w:szCs w:val="19"/>
              </w:rPr>
              <w:t>PRJ-394776</w:t>
            </w:r>
          </w:p>
        </w:tc>
        <w:tc>
          <w:tcPr>
            <w:tcW w:w="1198" w:type="dxa"/>
            <w:shd w:val="clear" w:color="auto" w:fill="auto"/>
            <w:noWrap/>
          </w:tcPr>
          <w:p w:rsidR="00561ABC" w:rsidRPr="00053445" w:rsidRDefault="00561ABC" w:rsidP="004F0C61">
            <w:pPr>
              <w:jc w:val="center"/>
              <w:rPr>
                <w:sz w:val="19"/>
                <w:szCs w:val="19"/>
              </w:rPr>
            </w:pPr>
            <w:r w:rsidRPr="00053445">
              <w:rPr>
                <w:sz w:val="19"/>
                <w:szCs w:val="19"/>
              </w:rPr>
              <w:t>Lighting</w:t>
            </w:r>
          </w:p>
        </w:tc>
        <w:tc>
          <w:tcPr>
            <w:tcW w:w="2492" w:type="dxa"/>
            <w:tcBorders>
              <w:right w:val="single" w:sz="4" w:space="0" w:color="365F91"/>
            </w:tcBorders>
            <w:shd w:val="clear" w:color="auto" w:fill="auto"/>
            <w:noWrap/>
          </w:tcPr>
          <w:p w:rsidR="00561ABC" w:rsidRPr="00053445" w:rsidRDefault="00561ABC" w:rsidP="004F0C61">
            <w:pPr>
              <w:jc w:val="center"/>
              <w:rPr>
                <w:sz w:val="19"/>
                <w:szCs w:val="19"/>
                <w:highlight w:val="yellow"/>
              </w:rPr>
            </w:pPr>
            <w:r w:rsidRPr="00053445">
              <w:rPr>
                <w:sz w:val="19"/>
                <w:szCs w:val="19"/>
              </w:rPr>
              <w:t>The SWE Team found that the evaluation contractor’s review of the project is accurate.</w:t>
            </w:r>
          </w:p>
        </w:tc>
        <w:tc>
          <w:tcPr>
            <w:tcW w:w="990" w:type="dxa"/>
            <w:tcBorders>
              <w:left w:val="single" w:sz="4" w:space="0" w:color="365F91"/>
            </w:tcBorders>
            <w:shd w:val="clear" w:color="auto" w:fill="auto"/>
            <w:noWrap/>
          </w:tcPr>
          <w:p w:rsidR="00561ABC" w:rsidRPr="00053445" w:rsidRDefault="00561ABC" w:rsidP="004F0C61">
            <w:pPr>
              <w:jc w:val="center"/>
              <w:rPr>
                <w:sz w:val="19"/>
                <w:szCs w:val="19"/>
              </w:rPr>
            </w:pPr>
            <w:r w:rsidRPr="00053445">
              <w:rPr>
                <w:sz w:val="19"/>
                <w:szCs w:val="19"/>
              </w:rPr>
              <w:t>Eval</w:t>
            </w:r>
          </w:p>
        </w:tc>
        <w:tc>
          <w:tcPr>
            <w:tcW w:w="3600" w:type="dxa"/>
            <w:shd w:val="clear" w:color="auto" w:fill="auto"/>
            <w:noWrap/>
          </w:tcPr>
          <w:p w:rsidR="00561ABC" w:rsidRPr="00053445" w:rsidRDefault="00561ABC" w:rsidP="004F0C61">
            <w:pPr>
              <w:jc w:val="center"/>
              <w:rPr>
                <w:sz w:val="19"/>
                <w:szCs w:val="19"/>
                <w:highlight w:val="yellow"/>
              </w:rPr>
            </w:pPr>
            <w:r w:rsidRPr="00053445">
              <w:rPr>
                <w:sz w:val="19"/>
                <w:szCs w:val="19"/>
              </w:rPr>
              <w:t>The SWE Team had no recommendations based on its review of this project.</w:t>
            </w:r>
          </w:p>
        </w:tc>
      </w:tr>
      <w:tr w:rsidR="00A874AC" w:rsidRPr="00053445" w:rsidTr="00053445">
        <w:trPr>
          <w:trHeight w:val="538"/>
        </w:trPr>
        <w:tc>
          <w:tcPr>
            <w:tcW w:w="1070" w:type="dxa"/>
            <w:shd w:val="clear" w:color="auto" w:fill="D2EAF1"/>
            <w:noWrap/>
          </w:tcPr>
          <w:p w:rsidR="00561ABC" w:rsidRPr="00053445" w:rsidRDefault="00561ABC" w:rsidP="004F0C61">
            <w:pPr>
              <w:jc w:val="left"/>
              <w:rPr>
                <w:sz w:val="19"/>
                <w:szCs w:val="19"/>
              </w:rPr>
            </w:pPr>
            <w:r w:rsidRPr="00053445">
              <w:rPr>
                <w:sz w:val="19"/>
                <w:szCs w:val="19"/>
              </w:rPr>
              <w:t>PRJ-394780</w:t>
            </w:r>
          </w:p>
        </w:tc>
        <w:tc>
          <w:tcPr>
            <w:tcW w:w="1198" w:type="dxa"/>
            <w:shd w:val="clear" w:color="auto" w:fill="D2EAF1"/>
            <w:noWrap/>
          </w:tcPr>
          <w:p w:rsidR="00561ABC" w:rsidRPr="00053445" w:rsidRDefault="00561ABC" w:rsidP="004F0C61">
            <w:pPr>
              <w:jc w:val="center"/>
              <w:rPr>
                <w:sz w:val="19"/>
                <w:szCs w:val="19"/>
              </w:rPr>
            </w:pPr>
            <w:r w:rsidRPr="00053445">
              <w:rPr>
                <w:sz w:val="19"/>
                <w:szCs w:val="19"/>
              </w:rPr>
              <w:t>Lighting</w:t>
            </w:r>
          </w:p>
        </w:tc>
        <w:tc>
          <w:tcPr>
            <w:tcW w:w="2492" w:type="dxa"/>
            <w:tcBorders>
              <w:right w:val="single" w:sz="4" w:space="0" w:color="365F91"/>
            </w:tcBorders>
            <w:shd w:val="clear" w:color="auto" w:fill="D2EAF1"/>
            <w:noWrap/>
          </w:tcPr>
          <w:p w:rsidR="00561ABC" w:rsidRPr="00053445" w:rsidRDefault="00561ABC" w:rsidP="004F0C61">
            <w:pPr>
              <w:jc w:val="center"/>
              <w:rPr>
                <w:sz w:val="19"/>
                <w:szCs w:val="19"/>
                <w:highlight w:val="yellow"/>
              </w:rPr>
            </w:pPr>
            <w:r w:rsidRPr="00053445">
              <w:rPr>
                <w:sz w:val="19"/>
                <w:szCs w:val="19"/>
              </w:rPr>
              <w:t>The SWE Team found that the evaluation contractor’s review of the project is accurate.</w:t>
            </w:r>
          </w:p>
        </w:tc>
        <w:tc>
          <w:tcPr>
            <w:tcW w:w="990" w:type="dxa"/>
            <w:tcBorders>
              <w:left w:val="single" w:sz="4" w:space="0" w:color="365F91"/>
            </w:tcBorders>
            <w:shd w:val="clear" w:color="auto" w:fill="D2EAF1"/>
          </w:tcPr>
          <w:p w:rsidR="00561ABC" w:rsidRPr="00053445" w:rsidRDefault="00561ABC" w:rsidP="004F0C61">
            <w:pPr>
              <w:jc w:val="center"/>
              <w:rPr>
                <w:sz w:val="19"/>
                <w:szCs w:val="19"/>
              </w:rPr>
            </w:pPr>
            <w:r w:rsidRPr="00053445">
              <w:rPr>
                <w:sz w:val="19"/>
                <w:szCs w:val="19"/>
              </w:rPr>
              <w:t>Eval</w:t>
            </w:r>
          </w:p>
        </w:tc>
        <w:tc>
          <w:tcPr>
            <w:tcW w:w="3600" w:type="dxa"/>
            <w:shd w:val="clear" w:color="auto" w:fill="D2EAF1"/>
            <w:noWrap/>
          </w:tcPr>
          <w:p w:rsidR="00561ABC" w:rsidRPr="00053445" w:rsidRDefault="00561ABC" w:rsidP="004F0C61">
            <w:pPr>
              <w:jc w:val="center"/>
              <w:rPr>
                <w:sz w:val="19"/>
                <w:szCs w:val="19"/>
                <w:highlight w:val="yellow"/>
              </w:rPr>
            </w:pPr>
            <w:r w:rsidRPr="00053445">
              <w:rPr>
                <w:sz w:val="19"/>
                <w:szCs w:val="19"/>
              </w:rPr>
              <w:t>The SWE Team had no recommendations based on its review of this project.</w:t>
            </w:r>
          </w:p>
        </w:tc>
      </w:tr>
    </w:tbl>
    <w:p w:rsidR="00561ABC" w:rsidRPr="003B2BD3" w:rsidRDefault="00561ABC" w:rsidP="00A35466">
      <w:pPr>
        <w:autoSpaceDE w:val="0"/>
        <w:autoSpaceDN w:val="0"/>
        <w:adjustRightInd w:val="0"/>
        <w:contextualSpacing/>
        <w:rPr>
          <w:rFonts w:cs="Calibri"/>
          <w:color w:val="000000"/>
          <w:szCs w:val="20"/>
        </w:rPr>
      </w:pPr>
    </w:p>
    <w:p w:rsidR="008C0054" w:rsidRPr="003458B1" w:rsidRDefault="008C0054" w:rsidP="0055598C">
      <w:pPr>
        <w:pStyle w:val="AppendixAHeading4"/>
        <w:rPr>
          <w:rFonts w:eastAsia="Calibri"/>
        </w:rPr>
      </w:pPr>
      <w:bookmarkStart w:id="980" w:name="_Toc408557499"/>
      <w:bookmarkStart w:id="981" w:name="_Ref440444150"/>
      <w:r w:rsidRPr="003458B1">
        <w:rPr>
          <w:rFonts w:eastAsia="Calibri"/>
        </w:rPr>
        <w:t>Verified Savings Review</w:t>
      </w:r>
      <w:bookmarkEnd w:id="980"/>
      <w:bookmarkEnd w:id="981"/>
    </w:p>
    <w:p w:rsidR="008C0054" w:rsidRPr="003458B1" w:rsidRDefault="008C0054" w:rsidP="008C0054">
      <w:r w:rsidRPr="003458B1">
        <w:t xml:space="preserve">The SWE </w:t>
      </w:r>
      <w:r w:rsidRPr="003458B1">
        <w:rPr>
          <w:color w:val="000000"/>
        </w:rPr>
        <w:t>Team</w:t>
      </w:r>
      <w:r w:rsidRPr="003458B1">
        <w:rPr>
          <w:color w:val="000000"/>
          <w:sz w:val="20"/>
          <w:szCs w:val="20"/>
        </w:rPr>
        <w:t xml:space="preserve"> </w:t>
      </w:r>
      <w:r w:rsidRPr="003458B1">
        <w:t>reviewed a subset of Penn Power’s sampled sites and found appropriate rigor in the evaluation contractor’s M&amp;V methods as well as good organization and clear presentation.</w:t>
      </w:r>
      <w:r w:rsidRPr="003458B1">
        <w:rPr>
          <w:color w:val="000000"/>
        </w:rPr>
        <w:t xml:space="preserve"> There was significant improvement in the presentation of M&amp;V methodology and results in PY7 wi</w:t>
      </w:r>
      <w:r>
        <w:rPr>
          <w:color w:val="000000"/>
        </w:rPr>
        <w:t>th the inclusion of a site-</w:t>
      </w:r>
      <w:r w:rsidRPr="003458B1">
        <w:rPr>
          <w:color w:val="000000"/>
        </w:rPr>
        <w:t>level report in each project file.</w:t>
      </w:r>
      <w:r w:rsidRPr="003458B1">
        <w:t xml:space="preserve"> </w:t>
      </w:r>
      <w:r w:rsidRPr="003458B1">
        <w:fldChar w:fldCharType="begin"/>
      </w:r>
      <w:r w:rsidRPr="003458B1">
        <w:instrText xml:space="preserve"> REF _Ref440267001 \h  \* MERGEFORMAT </w:instrText>
      </w:r>
      <w:r w:rsidRPr="003458B1">
        <w:fldChar w:fldCharType="separate"/>
      </w:r>
      <w:r w:rsidR="00037CB4" w:rsidRPr="003458B1">
        <w:t>Table A-</w:t>
      </w:r>
      <w:r w:rsidR="00037CB4">
        <w:t>83</w:t>
      </w:r>
      <w:r w:rsidRPr="003458B1">
        <w:fldChar w:fldCharType="end"/>
      </w:r>
      <w:r w:rsidRPr="003458B1">
        <w:t xml:space="preserve"> shows the energy and demand savings for projects chosen for review by the SWE </w:t>
      </w:r>
      <w:r w:rsidRPr="003458B1">
        <w:rPr>
          <w:color w:val="000000"/>
        </w:rPr>
        <w:t>Team</w:t>
      </w:r>
      <w:r w:rsidRPr="003458B1">
        <w:t>, as well as the M&amp;V approach selected for site evaluation.</w:t>
      </w:r>
    </w:p>
    <w:p w:rsidR="008C0054" w:rsidRPr="003458B1" w:rsidRDefault="008C0054" w:rsidP="008C0054"/>
    <w:p w:rsidR="008C0054" w:rsidRPr="003458B1" w:rsidRDefault="008C0054" w:rsidP="004837FA">
      <w:pPr>
        <w:pStyle w:val="Caption"/>
      </w:pPr>
      <w:bookmarkStart w:id="982" w:name="_Ref440267001"/>
      <w:bookmarkStart w:id="983" w:name="_Ref409167672"/>
      <w:bookmarkStart w:id="984" w:name="_Ref410121714"/>
      <w:bookmarkStart w:id="985" w:name="_Toc410199437"/>
      <w:bookmarkStart w:id="986" w:name="_Toc431462357"/>
      <w:bookmarkStart w:id="987" w:name="_Toc444269880"/>
      <w:bookmarkStart w:id="988" w:name="_Toc472472492"/>
      <w:bookmarkStart w:id="989" w:name="_Toc488741911"/>
      <w:r w:rsidRPr="003458B1">
        <w:t>Table A-</w:t>
      </w:r>
      <w:r w:rsidR="007973A4">
        <w:fldChar w:fldCharType="begin"/>
      </w:r>
      <w:r w:rsidR="007973A4">
        <w:instrText xml:space="preserve"> SEQ Table_A- \* ARABIC </w:instrText>
      </w:r>
      <w:r w:rsidR="007973A4">
        <w:fldChar w:fldCharType="separate"/>
      </w:r>
      <w:r w:rsidR="00037CB4">
        <w:rPr>
          <w:noProof/>
        </w:rPr>
        <w:t>83</w:t>
      </w:r>
      <w:r w:rsidR="007973A4">
        <w:rPr>
          <w:noProof/>
        </w:rPr>
        <w:fldChar w:fldCharType="end"/>
      </w:r>
      <w:bookmarkEnd w:id="982"/>
      <w:r w:rsidRPr="003458B1">
        <w:t xml:space="preserve">: </w:t>
      </w:r>
      <w:bookmarkEnd w:id="983"/>
      <w:bookmarkEnd w:id="984"/>
      <w:r w:rsidRPr="003458B1">
        <w:t>Verified Savings and M&amp;V Methods for SWE Team</w:t>
      </w:r>
      <w:r>
        <w:t>–S</w:t>
      </w:r>
      <w:r w:rsidRPr="003458B1">
        <w:t>ampled Penn Power Projects</w:t>
      </w:r>
      <w:bookmarkEnd w:id="985"/>
      <w:bookmarkEnd w:id="986"/>
      <w:bookmarkEnd w:id="987"/>
      <w:bookmarkEnd w:id="988"/>
      <w:bookmarkEnd w:id="989"/>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555"/>
        <w:gridCol w:w="1246"/>
        <w:gridCol w:w="1585"/>
        <w:gridCol w:w="1585"/>
        <w:gridCol w:w="1566"/>
        <w:gridCol w:w="1813"/>
      </w:tblGrid>
      <w:tr w:rsidR="00A874AC" w:rsidRPr="00053445" w:rsidTr="004F0C61">
        <w:trPr>
          <w:jc w:val="center"/>
        </w:trPr>
        <w:tc>
          <w:tcPr>
            <w:tcW w:w="1555" w:type="dxa"/>
            <w:shd w:val="clear" w:color="auto" w:fill="448A99"/>
            <w:vAlign w:val="bottom"/>
          </w:tcPr>
          <w:p w:rsidR="008C0054" w:rsidRPr="00053445" w:rsidRDefault="008C0054" w:rsidP="004F0C61">
            <w:pPr>
              <w:jc w:val="left"/>
              <w:rPr>
                <w:rFonts w:eastAsia="Calibri"/>
                <w:b/>
                <w:color w:val="FFFFFF"/>
                <w:sz w:val="19"/>
                <w:szCs w:val="19"/>
              </w:rPr>
            </w:pPr>
            <w:r w:rsidRPr="00053445">
              <w:rPr>
                <w:rFonts w:eastAsia="Calibri"/>
                <w:b/>
                <w:color w:val="FFFFFF"/>
                <w:sz w:val="19"/>
                <w:szCs w:val="19"/>
              </w:rPr>
              <w:t>Program</w:t>
            </w:r>
          </w:p>
        </w:tc>
        <w:tc>
          <w:tcPr>
            <w:tcW w:w="1246" w:type="dxa"/>
            <w:shd w:val="clear" w:color="auto" w:fill="448A99"/>
            <w:vAlign w:val="bottom"/>
          </w:tcPr>
          <w:p w:rsidR="008C0054" w:rsidRPr="00053445" w:rsidRDefault="008C0054" w:rsidP="004F0C61">
            <w:pPr>
              <w:jc w:val="center"/>
              <w:rPr>
                <w:rFonts w:eastAsia="Calibri"/>
                <w:b/>
                <w:color w:val="FFFFFF"/>
                <w:sz w:val="19"/>
                <w:szCs w:val="19"/>
              </w:rPr>
            </w:pPr>
            <w:r w:rsidRPr="00053445">
              <w:rPr>
                <w:rFonts w:eastAsia="Calibri"/>
                <w:b/>
                <w:color w:val="FFFFFF"/>
                <w:sz w:val="19"/>
                <w:szCs w:val="19"/>
              </w:rPr>
              <w:t>Project Number</w:t>
            </w:r>
          </w:p>
        </w:tc>
        <w:tc>
          <w:tcPr>
            <w:tcW w:w="1585" w:type="dxa"/>
            <w:shd w:val="clear" w:color="auto" w:fill="448A99"/>
            <w:vAlign w:val="bottom"/>
          </w:tcPr>
          <w:p w:rsidR="008C0054" w:rsidRPr="00053445" w:rsidRDefault="008C0054" w:rsidP="004F0C61">
            <w:pPr>
              <w:jc w:val="center"/>
              <w:rPr>
                <w:rFonts w:eastAsia="Calibri"/>
                <w:b/>
                <w:color w:val="FFFFFF"/>
                <w:sz w:val="19"/>
                <w:szCs w:val="19"/>
              </w:rPr>
            </w:pPr>
            <w:r w:rsidRPr="00053445">
              <w:rPr>
                <w:rFonts w:eastAsia="Calibri"/>
                <w:b/>
                <w:color w:val="FFFFFF"/>
                <w:sz w:val="19"/>
                <w:szCs w:val="19"/>
              </w:rPr>
              <w:t>Stratum</w:t>
            </w:r>
          </w:p>
        </w:tc>
        <w:tc>
          <w:tcPr>
            <w:tcW w:w="1585" w:type="dxa"/>
            <w:shd w:val="clear" w:color="auto" w:fill="448A99"/>
            <w:vAlign w:val="bottom"/>
          </w:tcPr>
          <w:p w:rsidR="008C0054" w:rsidRPr="00053445" w:rsidRDefault="008C0054" w:rsidP="004F0C61">
            <w:pPr>
              <w:jc w:val="center"/>
              <w:rPr>
                <w:rFonts w:eastAsia="Calibri"/>
                <w:b/>
                <w:color w:val="FFFFFF"/>
                <w:sz w:val="19"/>
                <w:szCs w:val="19"/>
              </w:rPr>
            </w:pPr>
            <w:r w:rsidRPr="00053445">
              <w:rPr>
                <w:rFonts w:eastAsia="Calibri"/>
                <w:b/>
                <w:color w:val="FFFFFF"/>
                <w:sz w:val="19"/>
                <w:szCs w:val="19"/>
              </w:rPr>
              <w:t>Verified Energy Savings (kWh)</w:t>
            </w:r>
          </w:p>
        </w:tc>
        <w:tc>
          <w:tcPr>
            <w:tcW w:w="1566" w:type="dxa"/>
            <w:shd w:val="clear" w:color="auto" w:fill="448A99"/>
            <w:vAlign w:val="bottom"/>
          </w:tcPr>
          <w:p w:rsidR="008C0054" w:rsidRPr="00053445" w:rsidRDefault="008C0054" w:rsidP="004F0C61">
            <w:pPr>
              <w:jc w:val="center"/>
              <w:rPr>
                <w:rFonts w:eastAsia="Calibri"/>
                <w:b/>
                <w:color w:val="FFFFFF"/>
                <w:sz w:val="19"/>
                <w:szCs w:val="19"/>
              </w:rPr>
            </w:pPr>
            <w:r w:rsidRPr="00053445">
              <w:rPr>
                <w:rFonts w:eastAsia="Calibri"/>
                <w:b/>
                <w:color w:val="FFFFFF"/>
                <w:sz w:val="19"/>
                <w:szCs w:val="19"/>
              </w:rPr>
              <w:t>Verified Demand Savings (kW)</w:t>
            </w:r>
          </w:p>
        </w:tc>
        <w:tc>
          <w:tcPr>
            <w:tcW w:w="1813" w:type="dxa"/>
            <w:shd w:val="clear" w:color="auto" w:fill="448A99"/>
            <w:vAlign w:val="bottom"/>
          </w:tcPr>
          <w:p w:rsidR="008C0054" w:rsidRPr="00053445" w:rsidRDefault="008C0054" w:rsidP="004F0C61">
            <w:pPr>
              <w:jc w:val="center"/>
              <w:rPr>
                <w:rFonts w:eastAsia="Calibri"/>
                <w:b/>
                <w:color w:val="FFFFFF"/>
                <w:sz w:val="19"/>
                <w:szCs w:val="19"/>
              </w:rPr>
            </w:pPr>
            <w:r w:rsidRPr="00053445">
              <w:rPr>
                <w:rFonts w:eastAsia="Calibri"/>
                <w:b/>
                <w:color w:val="FFFFFF"/>
                <w:sz w:val="19"/>
                <w:szCs w:val="19"/>
              </w:rPr>
              <w:t>M&amp;V Method</w:t>
            </w:r>
          </w:p>
        </w:tc>
      </w:tr>
      <w:tr w:rsidR="00A874AC" w:rsidRPr="00053445" w:rsidTr="004F0C61">
        <w:trPr>
          <w:trHeight w:val="346"/>
          <w:jc w:val="center"/>
        </w:trPr>
        <w:tc>
          <w:tcPr>
            <w:tcW w:w="1555" w:type="dxa"/>
            <w:shd w:val="clear" w:color="auto" w:fill="D2EAF1"/>
            <w:vAlign w:val="center"/>
          </w:tcPr>
          <w:p w:rsidR="008C0054" w:rsidRPr="00053445" w:rsidRDefault="008C0054" w:rsidP="004F0C61">
            <w:pPr>
              <w:jc w:val="left"/>
              <w:rPr>
                <w:rFonts w:eastAsia="Calibri"/>
                <w:sz w:val="19"/>
                <w:szCs w:val="19"/>
              </w:rPr>
            </w:pPr>
            <w:r w:rsidRPr="00053445">
              <w:rPr>
                <w:rFonts w:eastAsia="Calibri"/>
                <w:sz w:val="19"/>
                <w:szCs w:val="19"/>
              </w:rPr>
              <w:t>Small C/I Buildings</w:t>
            </w:r>
          </w:p>
        </w:tc>
        <w:tc>
          <w:tcPr>
            <w:tcW w:w="1246"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CR_PRJ-289552</w:t>
            </w:r>
          </w:p>
        </w:tc>
        <w:tc>
          <w:tcPr>
            <w:tcW w:w="1585"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Custom – certainty</w:t>
            </w:r>
          </w:p>
        </w:tc>
        <w:tc>
          <w:tcPr>
            <w:tcW w:w="1585"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415,913</w:t>
            </w:r>
          </w:p>
        </w:tc>
        <w:tc>
          <w:tcPr>
            <w:tcW w:w="1566"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131.68</w:t>
            </w:r>
          </w:p>
        </w:tc>
        <w:tc>
          <w:tcPr>
            <w:tcW w:w="1813"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Verify by interview, apply TRM</w:t>
            </w:r>
          </w:p>
        </w:tc>
      </w:tr>
      <w:tr w:rsidR="00E7173E" w:rsidRPr="00053445" w:rsidTr="001D479D">
        <w:trPr>
          <w:trHeight w:val="346"/>
          <w:jc w:val="center"/>
        </w:trPr>
        <w:tc>
          <w:tcPr>
            <w:tcW w:w="1555" w:type="dxa"/>
            <w:shd w:val="clear" w:color="auto" w:fill="auto"/>
            <w:vAlign w:val="center"/>
          </w:tcPr>
          <w:p w:rsidR="008C0054" w:rsidRPr="00053445" w:rsidRDefault="008C0054" w:rsidP="004F0C61">
            <w:pPr>
              <w:jc w:val="left"/>
              <w:rPr>
                <w:rFonts w:eastAsia="Calibri"/>
                <w:sz w:val="19"/>
                <w:szCs w:val="19"/>
              </w:rPr>
            </w:pPr>
            <w:r w:rsidRPr="00053445">
              <w:rPr>
                <w:rFonts w:eastAsia="Calibri"/>
                <w:sz w:val="19"/>
                <w:szCs w:val="19"/>
              </w:rPr>
              <w:t>Small C/I Equipment</w:t>
            </w:r>
          </w:p>
        </w:tc>
        <w:tc>
          <w:tcPr>
            <w:tcW w:w="1246" w:type="dxa"/>
            <w:shd w:val="clear" w:color="auto" w:fill="auto"/>
            <w:vAlign w:val="center"/>
          </w:tcPr>
          <w:p w:rsidR="008C0054" w:rsidRPr="00053445" w:rsidRDefault="008C0054" w:rsidP="004F0C61">
            <w:pPr>
              <w:jc w:val="center"/>
              <w:rPr>
                <w:rFonts w:eastAsia="Calibri"/>
                <w:sz w:val="19"/>
                <w:szCs w:val="19"/>
              </w:rPr>
            </w:pPr>
            <w:r w:rsidRPr="00053445">
              <w:rPr>
                <w:rFonts w:cs="Calibri"/>
                <w:color w:val="000000"/>
                <w:sz w:val="19"/>
                <w:szCs w:val="19"/>
              </w:rPr>
              <w:t>CR_PRJ-386168</w:t>
            </w:r>
          </w:p>
        </w:tc>
        <w:tc>
          <w:tcPr>
            <w:tcW w:w="1585" w:type="dxa"/>
            <w:shd w:val="clear" w:color="auto" w:fill="auto"/>
            <w:vAlign w:val="center"/>
          </w:tcPr>
          <w:p w:rsidR="008C0054" w:rsidRPr="00053445" w:rsidRDefault="008C0054" w:rsidP="004F0C61">
            <w:pPr>
              <w:jc w:val="center"/>
              <w:rPr>
                <w:rFonts w:eastAsia="Calibri"/>
                <w:sz w:val="19"/>
                <w:szCs w:val="19"/>
              </w:rPr>
            </w:pPr>
            <w:r w:rsidRPr="00053445">
              <w:rPr>
                <w:rFonts w:cs="Calibri"/>
                <w:color w:val="000000"/>
                <w:sz w:val="19"/>
                <w:szCs w:val="19"/>
              </w:rPr>
              <w:t>Lighting – 3</w:t>
            </w:r>
          </w:p>
        </w:tc>
        <w:tc>
          <w:tcPr>
            <w:tcW w:w="1585" w:type="dxa"/>
            <w:shd w:val="clear" w:color="auto" w:fill="auto"/>
            <w:vAlign w:val="center"/>
          </w:tcPr>
          <w:p w:rsidR="008C0054" w:rsidRPr="00053445" w:rsidRDefault="008C0054" w:rsidP="004F0C61">
            <w:pPr>
              <w:jc w:val="center"/>
              <w:rPr>
                <w:rFonts w:eastAsia="Calibri"/>
                <w:sz w:val="19"/>
                <w:szCs w:val="19"/>
              </w:rPr>
            </w:pPr>
            <w:r w:rsidRPr="00053445">
              <w:rPr>
                <w:rFonts w:cs="Calibri"/>
                <w:color w:val="000000"/>
                <w:sz w:val="19"/>
                <w:szCs w:val="19"/>
              </w:rPr>
              <w:t>122,454</w:t>
            </w:r>
          </w:p>
        </w:tc>
        <w:tc>
          <w:tcPr>
            <w:tcW w:w="1566" w:type="dxa"/>
            <w:shd w:val="clear" w:color="auto" w:fill="auto"/>
            <w:vAlign w:val="center"/>
          </w:tcPr>
          <w:p w:rsidR="008C0054" w:rsidRPr="00053445" w:rsidRDefault="008C0054" w:rsidP="004F0C61">
            <w:pPr>
              <w:jc w:val="center"/>
              <w:rPr>
                <w:rFonts w:eastAsia="Calibri"/>
                <w:sz w:val="19"/>
                <w:szCs w:val="19"/>
              </w:rPr>
            </w:pPr>
            <w:r w:rsidRPr="00053445">
              <w:rPr>
                <w:rFonts w:cs="Calibri"/>
                <w:color w:val="000000"/>
                <w:sz w:val="19"/>
                <w:szCs w:val="19"/>
              </w:rPr>
              <w:t>28.47</w:t>
            </w:r>
          </w:p>
        </w:tc>
        <w:tc>
          <w:tcPr>
            <w:tcW w:w="1813" w:type="dxa"/>
            <w:shd w:val="clear" w:color="auto" w:fill="auto"/>
            <w:vAlign w:val="center"/>
          </w:tcPr>
          <w:p w:rsidR="008C0054" w:rsidRPr="00053445" w:rsidRDefault="008C0054" w:rsidP="004F0C61">
            <w:pPr>
              <w:jc w:val="center"/>
              <w:rPr>
                <w:rFonts w:eastAsia="Calibri"/>
                <w:sz w:val="19"/>
                <w:szCs w:val="19"/>
              </w:rPr>
            </w:pPr>
            <w:r w:rsidRPr="00053445">
              <w:rPr>
                <w:rFonts w:cs="Calibri"/>
                <w:color w:val="000000"/>
                <w:sz w:val="19"/>
                <w:szCs w:val="19"/>
              </w:rPr>
              <w:t>On-site + logging</w:t>
            </w:r>
          </w:p>
        </w:tc>
      </w:tr>
      <w:tr w:rsidR="00A874AC" w:rsidRPr="00053445" w:rsidTr="004F0C61">
        <w:trPr>
          <w:trHeight w:val="346"/>
          <w:jc w:val="center"/>
        </w:trPr>
        <w:tc>
          <w:tcPr>
            <w:tcW w:w="1555" w:type="dxa"/>
            <w:shd w:val="clear" w:color="auto" w:fill="D2EAF1"/>
            <w:vAlign w:val="center"/>
          </w:tcPr>
          <w:p w:rsidR="008C0054" w:rsidRPr="00053445" w:rsidRDefault="008C0054" w:rsidP="004F0C61">
            <w:pPr>
              <w:jc w:val="left"/>
              <w:rPr>
                <w:rFonts w:eastAsia="Calibri"/>
                <w:sz w:val="19"/>
                <w:szCs w:val="19"/>
              </w:rPr>
            </w:pPr>
            <w:r w:rsidRPr="00053445">
              <w:rPr>
                <w:rFonts w:eastAsia="Calibri"/>
                <w:sz w:val="19"/>
                <w:szCs w:val="19"/>
              </w:rPr>
              <w:t>Small C/I Buildings</w:t>
            </w:r>
          </w:p>
        </w:tc>
        <w:tc>
          <w:tcPr>
            <w:tcW w:w="1246"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CR_PRJ-468193</w:t>
            </w:r>
          </w:p>
        </w:tc>
        <w:tc>
          <w:tcPr>
            <w:tcW w:w="1585"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Custom – 2</w:t>
            </w:r>
          </w:p>
        </w:tc>
        <w:tc>
          <w:tcPr>
            <w:tcW w:w="1585"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528,054</w:t>
            </w:r>
          </w:p>
        </w:tc>
        <w:tc>
          <w:tcPr>
            <w:tcW w:w="1566"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43.72</w:t>
            </w:r>
          </w:p>
        </w:tc>
        <w:tc>
          <w:tcPr>
            <w:tcW w:w="1813" w:type="dxa"/>
            <w:shd w:val="clear" w:color="auto" w:fill="D2EAF1"/>
            <w:vAlign w:val="center"/>
          </w:tcPr>
          <w:p w:rsidR="008C0054" w:rsidRPr="00053445" w:rsidRDefault="008C0054" w:rsidP="004F0C61">
            <w:pPr>
              <w:jc w:val="center"/>
              <w:rPr>
                <w:rFonts w:eastAsia="Calibri"/>
                <w:sz w:val="19"/>
                <w:szCs w:val="19"/>
              </w:rPr>
            </w:pPr>
            <w:r w:rsidRPr="00053445">
              <w:rPr>
                <w:rFonts w:cs="Calibri"/>
                <w:color w:val="000000"/>
                <w:sz w:val="19"/>
                <w:szCs w:val="19"/>
              </w:rPr>
              <w:t>Billing analysis</w:t>
            </w:r>
          </w:p>
        </w:tc>
      </w:tr>
    </w:tbl>
    <w:p w:rsidR="008C0054" w:rsidRPr="003458B1" w:rsidRDefault="008C0054" w:rsidP="008C0054"/>
    <w:p w:rsidR="008C0054" w:rsidRPr="003458B1" w:rsidRDefault="008C0054" w:rsidP="008C0054">
      <w:r w:rsidRPr="003458B1">
        <w:t>Project CR_PRJ-289552 involved the new construction installation of high</w:t>
      </w:r>
      <w:r>
        <w:t>-</w:t>
      </w:r>
      <w:r w:rsidRPr="003458B1">
        <w:t>efficiency</w:t>
      </w:r>
      <w:r w:rsidR="00E141E5">
        <w:t xml:space="preserve"> rooftop units</w:t>
      </w:r>
      <w:r w:rsidRPr="003458B1">
        <w:t xml:space="preserve"> </w:t>
      </w:r>
      <w:r w:rsidR="00E141E5">
        <w:t>(</w:t>
      </w:r>
      <w:r w:rsidRPr="003458B1">
        <w:t>RTU</w:t>
      </w:r>
      <w:r w:rsidR="00E141E5">
        <w:t>s)</w:t>
      </w:r>
      <w:r w:rsidRPr="003458B1">
        <w:t xml:space="preserve"> and mini-splits as well as LED and T5 fixtures at an indoor sports facility in Cranberry Township, PA. </w:t>
      </w:r>
      <w:r>
        <w:t xml:space="preserve">A total of </w:t>
      </w:r>
      <w:r w:rsidRPr="003458B1">
        <w:t>18</w:t>
      </w:r>
      <w:r w:rsidR="00502F2B">
        <w:t xml:space="preserve"> direct exchange</w:t>
      </w:r>
      <w:r w:rsidRPr="003458B1">
        <w:t xml:space="preserve"> </w:t>
      </w:r>
      <w:r w:rsidR="00502F2B">
        <w:t>(</w:t>
      </w:r>
      <w:r w:rsidRPr="003458B1">
        <w:t>DX</w:t>
      </w:r>
      <w:r w:rsidR="00502F2B">
        <w:t>)</w:t>
      </w:r>
      <w:r w:rsidRPr="003458B1">
        <w:t xml:space="preserve"> HVAC units were installed with savings calculated through TRM algorithms using data inputs from cut sheets. Over 2</w:t>
      </w:r>
      <w:r>
        <w:t>,</w:t>
      </w:r>
      <w:r w:rsidRPr="003458B1">
        <w:t>000 light fixtures were installed and analyzed with the Appendix E calculator using the space-by-space method. HOU were confirmed by the implementer and through posted operating hours for certain sections of the facility. The SWE agrees with the level of rigor and methods used for the analysis.</w:t>
      </w:r>
    </w:p>
    <w:p w:rsidR="008C0054" w:rsidRPr="003458B1" w:rsidRDefault="008C0054" w:rsidP="008C0054"/>
    <w:p w:rsidR="008C0054" w:rsidRPr="003458B1" w:rsidRDefault="008C0054" w:rsidP="008C0054">
      <w:r w:rsidRPr="003458B1">
        <w:t>Project CR_PRJ-386168 involved the replacement of halogen fixtures with LED fixtures, conversion of T12</w:t>
      </w:r>
      <w:r>
        <w:t>s</w:t>
      </w:r>
      <w:r w:rsidRPr="003458B1">
        <w:t xml:space="preserve"> to T8</w:t>
      </w:r>
      <w:r>
        <w:t>s</w:t>
      </w:r>
      <w:r w:rsidRPr="003458B1">
        <w:t>, and metal halide</w:t>
      </w:r>
      <w:r w:rsidR="00EB11A8">
        <w:t xml:space="preserve"> (MH)</w:t>
      </w:r>
      <w:r w:rsidRPr="003458B1">
        <w:t xml:space="preserve"> to pulse start</w:t>
      </w:r>
      <w:r w:rsidR="00EB11A8">
        <w:t xml:space="preserve"> </w:t>
      </w:r>
      <w:r w:rsidRPr="003458B1">
        <w:t>in a retail store in Cranberry Township, PA. Two light loggers were deployed during a site visit</w:t>
      </w:r>
      <w:r>
        <w:t>,</w:t>
      </w:r>
      <w:r w:rsidRPr="003458B1">
        <w:t xml:space="preserve"> and all light fixtures were verified as installed. In addition to higher than ex</w:t>
      </w:r>
      <w:r>
        <w:t xml:space="preserve"> </w:t>
      </w:r>
      <w:r w:rsidRPr="003458B1">
        <w:t>ante HOU, the metering also resulted in higher CF. This resulted in the 135% realization rate for kWh and 137% for kW.</w:t>
      </w:r>
    </w:p>
    <w:p w:rsidR="008C0054" w:rsidRPr="003458B1" w:rsidRDefault="008C0054" w:rsidP="008C0054"/>
    <w:p w:rsidR="008C0054" w:rsidRDefault="008C0054" w:rsidP="008C0054">
      <w:r w:rsidRPr="003458B1">
        <w:t>Project CR_PRJ-468193 involved the installation of anti-sweat heater controls and refrigeration system retro-commissioning at a grocery store in New Castle, PA. The savings were verified through a statistical billing analysis. The 173% realization rate is a result of the lack of long-term, pre-retrofit billing data available for the ex</w:t>
      </w:r>
      <w:r>
        <w:t xml:space="preserve"> </w:t>
      </w:r>
      <w:r w:rsidRPr="003458B1">
        <w:t>ante analysis. The SWE agrees with the level of rigor and method used for the analysis.</w:t>
      </w:r>
    </w:p>
    <w:p w:rsidR="008C0054" w:rsidRDefault="008C0054" w:rsidP="008C0054"/>
    <w:p w:rsidR="00950837" w:rsidRDefault="00950837" w:rsidP="009C0DF1">
      <w:pPr>
        <w:pStyle w:val="AppendixAHeading3"/>
      </w:pPr>
      <w:r>
        <w:t>Net-to-Gross and Process Evaluation Audit Summary</w:t>
      </w:r>
    </w:p>
    <w:p w:rsidR="003351A0" w:rsidRDefault="003351A0" w:rsidP="003351A0">
      <w:r w:rsidRPr="00661E10">
        <w:t>FirstEnergy’s evaluation contractor, ADM</w:t>
      </w:r>
      <w:r w:rsidR="0009501A">
        <w:t>/Tetra Tech</w:t>
      </w:r>
      <w:r w:rsidRPr="00661E10">
        <w:t>, took unified process evaluation approaches to these programs across the four FirstEnergy EDCs, including Pen</w:t>
      </w:r>
      <w:r>
        <w:t>n Power</w:t>
      </w:r>
      <w:r w:rsidRPr="00661E10">
        <w:t xml:space="preserve">, and so the annual evaluation reports of the four EDCs report identical information about the process evaluation. Therefore, the SWE Team’s audit summary </w:t>
      </w:r>
      <w:r w:rsidRPr="003E2E20">
        <w:t xml:space="preserve">described in Section </w:t>
      </w:r>
      <w:r w:rsidRPr="003E2E20">
        <w:fldChar w:fldCharType="begin"/>
      </w:r>
      <w:r w:rsidRPr="003E2E20">
        <w:instrText xml:space="preserve"> REF _Ref472452280 \r \h </w:instrText>
      </w:r>
      <w:r>
        <w:instrText xml:space="preserve"> \* MERGEFORMAT </w:instrText>
      </w:r>
      <w:r w:rsidRPr="003E2E20">
        <w:fldChar w:fldCharType="separate"/>
      </w:r>
      <w:r w:rsidR="00037CB4">
        <w:t>A.2.4.4</w:t>
      </w:r>
      <w:r w:rsidRPr="003E2E20">
        <w:fldChar w:fldCharType="end"/>
      </w:r>
      <w:r w:rsidRPr="003E2E20">
        <w:t xml:space="preserve"> pertains</w:t>
      </w:r>
      <w:r w:rsidRPr="00661E10">
        <w:t xml:space="preserve"> to all four FirstEnergy utilities, including </w:t>
      </w:r>
      <w:r>
        <w:t>Penn Power</w:t>
      </w:r>
      <w:r w:rsidRPr="00661E10">
        <w:t>.</w:t>
      </w:r>
    </w:p>
    <w:p w:rsidR="003351A0" w:rsidRDefault="003351A0" w:rsidP="003351A0"/>
    <w:p w:rsidR="003351A0" w:rsidRPr="006C05B5" w:rsidRDefault="003351A0" w:rsidP="003351A0">
      <w:pPr>
        <w:rPr>
          <w:highlight w:val="lightGray"/>
        </w:rPr>
      </w:pPr>
      <w:r w:rsidRPr="006C05B5">
        <w:t>This</w:t>
      </w:r>
      <w:r>
        <w:t xml:space="preserve"> remainder of this</w:t>
      </w:r>
      <w:r w:rsidRPr="006C05B5">
        <w:t xml:space="preserve"> section summarizes the activities and key findings of the SWE Team’s NTG audits of Penn Power’s PY7 programs. </w:t>
      </w:r>
    </w:p>
    <w:p w:rsidR="003351A0" w:rsidRPr="006C05B5" w:rsidRDefault="003351A0" w:rsidP="003351A0"/>
    <w:p w:rsidR="003351A0" w:rsidRPr="006C05B5" w:rsidRDefault="003351A0" w:rsidP="003351A0">
      <w:r w:rsidRPr="006C05B5">
        <w:t xml:space="preserve">FirstEnergy implemented a common set of energy efficiency programs across its four Pennsylvania EDCs. FirstEnergy’s evaluation contractors, ADM/Tetra Tech, used the same evaluation methods for all four EDCs. See </w:t>
      </w:r>
      <w:r w:rsidRPr="003E2E20">
        <w:t xml:space="preserve">Section </w:t>
      </w:r>
      <w:r w:rsidRPr="003E2E20">
        <w:fldChar w:fldCharType="begin"/>
      </w:r>
      <w:r w:rsidRPr="003E2E20">
        <w:instrText xml:space="preserve"> REF _Ref472452280 \r \h </w:instrText>
      </w:r>
      <w:r>
        <w:instrText xml:space="preserve"> \* MERGEFORMAT </w:instrText>
      </w:r>
      <w:r w:rsidRPr="003E2E20">
        <w:fldChar w:fldCharType="separate"/>
      </w:r>
      <w:r w:rsidR="00037CB4">
        <w:t>A.2.4.4</w:t>
      </w:r>
      <w:r w:rsidRPr="003E2E20">
        <w:fldChar w:fldCharType="end"/>
      </w:r>
      <w:r w:rsidRPr="006C05B5">
        <w:t xml:space="preserve"> for a description of the SWE Team’s review of the FirstEnergy EDC NTG evaluation, which applies to all four of FirstEnergy’s Pennsylvania EDCs.</w:t>
      </w:r>
    </w:p>
    <w:p w:rsidR="003351A0" w:rsidRPr="006C05B5" w:rsidRDefault="003351A0" w:rsidP="003351A0"/>
    <w:p w:rsidR="003351A0" w:rsidRPr="006C05B5" w:rsidRDefault="003351A0" w:rsidP="003351A0">
      <w:r>
        <w:fldChar w:fldCharType="begin"/>
      </w:r>
      <w:r>
        <w:instrText xml:space="preserve"> REF _Ref472453113 \h </w:instrText>
      </w:r>
      <w:r>
        <w:fldChar w:fldCharType="separate"/>
      </w:r>
      <w:r w:rsidR="00037CB4" w:rsidRPr="003351A0">
        <w:t>Table A-</w:t>
      </w:r>
      <w:r w:rsidR="00037CB4">
        <w:rPr>
          <w:noProof/>
        </w:rPr>
        <w:t>84</w:t>
      </w:r>
      <w:r>
        <w:fldChar w:fldCharType="end"/>
      </w:r>
      <w:r w:rsidRPr="006C05B5">
        <w:t xml:space="preserve"> summarizes NTG findings from the Penn Power PY7 annual report. </w:t>
      </w:r>
    </w:p>
    <w:p w:rsidR="003351A0" w:rsidRPr="006C05B5" w:rsidRDefault="003351A0" w:rsidP="003351A0"/>
    <w:p w:rsidR="003351A0" w:rsidRPr="003351A0" w:rsidRDefault="003351A0" w:rsidP="004837FA">
      <w:pPr>
        <w:pStyle w:val="Caption"/>
      </w:pPr>
      <w:bookmarkStart w:id="990" w:name="_Ref472453113"/>
      <w:bookmarkStart w:id="991" w:name="_Toc472472493"/>
      <w:bookmarkStart w:id="992" w:name="_Toc488741912"/>
      <w:r w:rsidRPr="003351A0">
        <w:t>Table A-</w:t>
      </w:r>
      <w:r w:rsidR="007973A4">
        <w:fldChar w:fldCharType="begin"/>
      </w:r>
      <w:r w:rsidR="007973A4">
        <w:instrText xml:space="preserve"> SEQ Table_A- \* ARABIC </w:instrText>
      </w:r>
      <w:r w:rsidR="007973A4">
        <w:fldChar w:fldCharType="separate"/>
      </w:r>
      <w:r w:rsidR="00037CB4">
        <w:rPr>
          <w:noProof/>
        </w:rPr>
        <w:t>84</w:t>
      </w:r>
      <w:r w:rsidR="007973A4">
        <w:rPr>
          <w:noProof/>
        </w:rPr>
        <w:fldChar w:fldCharType="end"/>
      </w:r>
      <w:bookmarkEnd w:id="990"/>
      <w:r w:rsidRPr="003351A0">
        <w:t>: Summary of NTG Estimates for Penn Power’s Programs</w:t>
      </w:r>
      <w:bookmarkEnd w:id="991"/>
      <w:bookmarkEnd w:id="992"/>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17"/>
        <w:gridCol w:w="3294"/>
        <w:gridCol w:w="1144"/>
        <w:gridCol w:w="1212"/>
        <w:gridCol w:w="1209"/>
        <w:gridCol w:w="1074"/>
      </w:tblGrid>
      <w:tr w:rsidR="00A874AC" w:rsidRPr="00053445" w:rsidTr="005C1352">
        <w:trPr>
          <w:tblHeader/>
          <w:jc w:val="center"/>
        </w:trPr>
        <w:tc>
          <w:tcPr>
            <w:tcW w:w="1417" w:type="dxa"/>
            <w:tcBorders>
              <w:bottom w:val="single" w:sz="4" w:space="0" w:color="448A99"/>
            </w:tcBorders>
            <w:shd w:val="clear" w:color="auto" w:fill="448A99"/>
            <w:vAlign w:val="bottom"/>
          </w:tcPr>
          <w:p w:rsidR="003351A0" w:rsidRPr="00053445" w:rsidRDefault="003351A0" w:rsidP="005C1352">
            <w:pPr>
              <w:rPr>
                <w:b/>
                <w:color w:val="FFFFFF"/>
                <w:sz w:val="19"/>
                <w:szCs w:val="19"/>
              </w:rPr>
            </w:pPr>
            <w:r w:rsidRPr="00053445">
              <w:rPr>
                <w:b/>
                <w:color w:val="FFFFFF"/>
                <w:sz w:val="19"/>
                <w:szCs w:val="19"/>
              </w:rPr>
              <w:t>Approach</w:t>
            </w:r>
          </w:p>
        </w:tc>
        <w:tc>
          <w:tcPr>
            <w:tcW w:w="3294" w:type="dxa"/>
            <w:tcBorders>
              <w:bottom w:val="single" w:sz="4" w:space="0" w:color="448A99"/>
            </w:tcBorders>
            <w:shd w:val="clear" w:color="auto" w:fill="448A99"/>
            <w:vAlign w:val="bottom"/>
          </w:tcPr>
          <w:p w:rsidR="003351A0" w:rsidRPr="00053445" w:rsidRDefault="003351A0" w:rsidP="005C1352">
            <w:pPr>
              <w:rPr>
                <w:b/>
                <w:color w:val="FFFFFF"/>
                <w:sz w:val="19"/>
                <w:szCs w:val="19"/>
              </w:rPr>
            </w:pPr>
            <w:r w:rsidRPr="00053445">
              <w:rPr>
                <w:b/>
                <w:color w:val="FFFFFF"/>
                <w:sz w:val="19"/>
                <w:szCs w:val="19"/>
              </w:rPr>
              <w:t>Program</w:t>
            </w:r>
          </w:p>
        </w:tc>
        <w:tc>
          <w:tcPr>
            <w:tcW w:w="1144" w:type="dxa"/>
            <w:tcBorders>
              <w:bottom w:val="single" w:sz="4" w:space="0" w:color="448A99"/>
            </w:tcBorders>
            <w:shd w:val="clear" w:color="auto" w:fill="448A99"/>
            <w:vAlign w:val="bottom"/>
          </w:tcPr>
          <w:p w:rsidR="003351A0" w:rsidRPr="00053445" w:rsidRDefault="003351A0" w:rsidP="005C1352">
            <w:pPr>
              <w:jc w:val="center"/>
              <w:rPr>
                <w:b/>
                <w:color w:val="FFFFFF"/>
                <w:sz w:val="19"/>
                <w:szCs w:val="19"/>
              </w:rPr>
            </w:pPr>
            <w:r w:rsidRPr="00053445">
              <w:rPr>
                <w:b/>
                <w:color w:val="FFFFFF"/>
                <w:sz w:val="19"/>
                <w:szCs w:val="19"/>
              </w:rPr>
              <w:t>Free-Ridership</w:t>
            </w:r>
          </w:p>
        </w:tc>
        <w:tc>
          <w:tcPr>
            <w:tcW w:w="1212" w:type="dxa"/>
            <w:tcBorders>
              <w:bottom w:val="single" w:sz="4" w:space="0" w:color="448A99"/>
            </w:tcBorders>
            <w:shd w:val="clear" w:color="auto" w:fill="448A99"/>
            <w:vAlign w:val="bottom"/>
          </w:tcPr>
          <w:p w:rsidR="003351A0" w:rsidRPr="00053445" w:rsidRDefault="003351A0" w:rsidP="005C1352">
            <w:pPr>
              <w:jc w:val="center"/>
              <w:rPr>
                <w:b/>
                <w:color w:val="FFFFFF"/>
                <w:sz w:val="19"/>
                <w:szCs w:val="19"/>
              </w:rPr>
            </w:pPr>
            <w:r w:rsidRPr="00053445">
              <w:rPr>
                <w:b/>
                <w:color w:val="FFFFFF"/>
                <w:sz w:val="19"/>
                <w:szCs w:val="19"/>
              </w:rPr>
              <w:t>Spillover</w:t>
            </w:r>
          </w:p>
        </w:tc>
        <w:tc>
          <w:tcPr>
            <w:tcW w:w="1209" w:type="dxa"/>
            <w:tcBorders>
              <w:bottom w:val="single" w:sz="4" w:space="0" w:color="448A99"/>
            </w:tcBorders>
            <w:shd w:val="clear" w:color="auto" w:fill="448A99"/>
            <w:vAlign w:val="bottom"/>
          </w:tcPr>
          <w:p w:rsidR="003351A0" w:rsidRPr="00053445" w:rsidRDefault="003351A0" w:rsidP="005C1352">
            <w:pPr>
              <w:jc w:val="center"/>
              <w:rPr>
                <w:b/>
                <w:color w:val="FFFFFF"/>
                <w:sz w:val="19"/>
                <w:szCs w:val="19"/>
              </w:rPr>
            </w:pPr>
            <w:r w:rsidRPr="00053445">
              <w:rPr>
                <w:b/>
                <w:color w:val="FFFFFF"/>
                <w:sz w:val="19"/>
                <w:szCs w:val="19"/>
              </w:rPr>
              <w:t>NTGR</w:t>
            </w:r>
            <w:r w:rsidRPr="00053445">
              <w:rPr>
                <w:b/>
                <w:color w:val="FFFFFF"/>
                <w:sz w:val="19"/>
                <w:szCs w:val="19"/>
                <w:vertAlign w:val="superscript"/>
              </w:rPr>
              <w:t>[a]</w:t>
            </w:r>
          </w:p>
        </w:tc>
        <w:tc>
          <w:tcPr>
            <w:tcW w:w="1074" w:type="dxa"/>
            <w:tcBorders>
              <w:bottom w:val="single" w:sz="4" w:space="0" w:color="448A99"/>
            </w:tcBorders>
            <w:shd w:val="clear" w:color="auto" w:fill="448A99"/>
            <w:vAlign w:val="bottom"/>
          </w:tcPr>
          <w:p w:rsidR="003351A0" w:rsidRPr="00053445" w:rsidRDefault="003351A0" w:rsidP="005C1352">
            <w:pPr>
              <w:jc w:val="center"/>
              <w:rPr>
                <w:b/>
                <w:color w:val="FFFFFF"/>
                <w:sz w:val="19"/>
                <w:szCs w:val="19"/>
              </w:rPr>
            </w:pPr>
            <w:r w:rsidRPr="00053445">
              <w:rPr>
                <w:b/>
                <w:color w:val="FFFFFF"/>
                <w:sz w:val="19"/>
                <w:szCs w:val="19"/>
              </w:rPr>
              <w:t>Sample Size</w:t>
            </w:r>
            <w:r w:rsidRPr="00053445">
              <w:rPr>
                <w:b/>
                <w:color w:val="FFFFFF"/>
                <w:sz w:val="19"/>
                <w:szCs w:val="19"/>
                <w:vertAlign w:val="superscript"/>
              </w:rPr>
              <w:t>[b]</w:t>
            </w:r>
          </w:p>
        </w:tc>
      </w:tr>
      <w:tr w:rsidR="00E7173E" w:rsidRPr="00053445" w:rsidTr="001D479D">
        <w:trPr>
          <w:trHeight w:val="288"/>
          <w:jc w:val="center"/>
        </w:trPr>
        <w:tc>
          <w:tcPr>
            <w:tcW w:w="9350" w:type="dxa"/>
            <w:gridSpan w:val="6"/>
            <w:shd w:val="clear" w:color="auto" w:fill="9C9393"/>
          </w:tcPr>
          <w:p w:rsidR="003351A0" w:rsidRPr="00053445" w:rsidRDefault="003351A0" w:rsidP="005C1352">
            <w:pPr>
              <w:rPr>
                <w:b/>
                <w:color w:val="FFFFFF"/>
                <w:sz w:val="19"/>
                <w:szCs w:val="19"/>
              </w:rPr>
            </w:pPr>
            <w:r w:rsidRPr="00053445">
              <w:rPr>
                <w:b/>
                <w:color w:val="FFFFFF"/>
                <w:sz w:val="19"/>
                <w:szCs w:val="19"/>
              </w:rPr>
              <w:t>Residential</w:t>
            </w:r>
          </w:p>
        </w:tc>
      </w:tr>
      <w:tr w:rsidR="00A874AC" w:rsidRPr="00053445" w:rsidTr="005C1352">
        <w:trPr>
          <w:trHeight w:val="346"/>
          <w:jc w:val="center"/>
        </w:trPr>
        <w:tc>
          <w:tcPr>
            <w:tcW w:w="1417" w:type="dxa"/>
            <w:vMerge w:val="restart"/>
            <w:shd w:val="clear" w:color="auto" w:fill="D2EAF1"/>
          </w:tcPr>
          <w:p w:rsidR="003351A0" w:rsidRPr="00053445" w:rsidRDefault="003351A0" w:rsidP="005C1352">
            <w:pPr>
              <w:rPr>
                <w:sz w:val="19"/>
                <w:szCs w:val="19"/>
              </w:rPr>
            </w:pPr>
            <w:r w:rsidRPr="00053445">
              <w:rPr>
                <w:sz w:val="19"/>
                <w:szCs w:val="19"/>
              </w:rPr>
              <w:t>Estimated</w:t>
            </w:r>
          </w:p>
        </w:tc>
        <w:tc>
          <w:tcPr>
            <w:tcW w:w="3294" w:type="dxa"/>
            <w:shd w:val="clear" w:color="auto" w:fill="D2EAF1"/>
            <w:vAlign w:val="center"/>
          </w:tcPr>
          <w:p w:rsidR="003351A0" w:rsidRPr="00053445" w:rsidRDefault="003351A0" w:rsidP="005C1352">
            <w:pPr>
              <w:jc w:val="left"/>
              <w:rPr>
                <w:color w:val="548DD4"/>
                <w:sz w:val="19"/>
                <w:szCs w:val="19"/>
              </w:rPr>
            </w:pPr>
            <w:r w:rsidRPr="00053445">
              <w:rPr>
                <w:sz w:val="19"/>
                <w:szCs w:val="19"/>
              </w:rPr>
              <w:t>Appliance Turn-In</w:t>
            </w:r>
            <w:r w:rsidRPr="00053445">
              <w:rPr>
                <w:sz w:val="19"/>
                <w:szCs w:val="19"/>
                <w:vertAlign w:val="superscript"/>
              </w:rPr>
              <w:t>[c]</w:t>
            </w:r>
          </w:p>
        </w:tc>
        <w:tc>
          <w:tcPr>
            <w:tcW w:w="1144" w:type="dxa"/>
            <w:shd w:val="clear" w:color="auto" w:fill="D2EAF1"/>
            <w:vAlign w:val="center"/>
          </w:tcPr>
          <w:p w:rsidR="003351A0" w:rsidRPr="00053445" w:rsidRDefault="003351A0" w:rsidP="005C1352">
            <w:pPr>
              <w:jc w:val="center"/>
              <w:rPr>
                <w:sz w:val="19"/>
                <w:szCs w:val="19"/>
              </w:rPr>
            </w:pPr>
            <w:r w:rsidRPr="00053445">
              <w:rPr>
                <w:sz w:val="19"/>
                <w:szCs w:val="19"/>
              </w:rPr>
              <w:t>0.59</w:t>
            </w:r>
          </w:p>
        </w:tc>
        <w:tc>
          <w:tcPr>
            <w:tcW w:w="1212" w:type="dxa"/>
            <w:shd w:val="clear" w:color="auto" w:fill="D2EAF1"/>
            <w:vAlign w:val="center"/>
          </w:tcPr>
          <w:p w:rsidR="003351A0" w:rsidRPr="00053445" w:rsidRDefault="003351A0" w:rsidP="005C1352">
            <w:pPr>
              <w:jc w:val="center"/>
              <w:rPr>
                <w:sz w:val="19"/>
                <w:szCs w:val="19"/>
              </w:rPr>
            </w:pPr>
            <w:r w:rsidRPr="00053445">
              <w:rPr>
                <w:sz w:val="19"/>
                <w:szCs w:val="19"/>
              </w:rPr>
              <w:t>0.00</w:t>
            </w:r>
          </w:p>
        </w:tc>
        <w:tc>
          <w:tcPr>
            <w:tcW w:w="1209" w:type="dxa"/>
            <w:shd w:val="clear" w:color="auto" w:fill="D2EAF1"/>
            <w:vAlign w:val="center"/>
          </w:tcPr>
          <w:p w:rsidR="003351A0" w:rsidRPr="00053445" w:rsidRDefault="003351A0" w:rsidP="005C1352">
            <w:pPr>
              <w:jc w:val="center"/>
              <w:rPr>
                <w:sz w:val="19"/>
                <w:szCs w:val="19"/>
              </w:rPr>
            </w:pPr>
            <w:r w:rsidRPr="00053445">
              <w:rPr>
                <w:sz w:val="19"/>
                <w:szCs w:val="19"/>
              </w:rPr>
              <w:t>0.42</w:t>
            </w:r>
          </w:p>
        </w:tc>
        <w:tc>
          <w:tcPr>
            <w:tcW w:w="1074" w:type="dxa"/>
            <w:shd w:val="clear" w:color="auto" w:fill="D2EAF1"/>
            <w:vAlign w:val="center"/>
          </w:tcPr>
          <w:p w:rsidR="003351A0" w:rsidRPr="00053445" w:rsidRDefault="003351A0" w:rsidP="005C1352">
            <w:pPr>
              <w:jc w:val="center"/>
              <w:rPr>
                <w:sz w:val="19"/>
                <w:szCs w:val="19"/>
              </w:rPr>
            </w:pPr>
            <w:r w:rsidRPr="00053445">
              <w:rPr>
                <w:sz w:val="19"/>
                <w:szCs w:val="19"/>
              </w:rPr>
              <w:t>52</w:t>
            </w:r>
          </w:p>
        </w:tc>
      </w:tr>
      <w:tr w:rsidR="003351A0" w:rsidRPr="00053445" w:rsidTr="001D479D">
        <w:trPr>
          <w:trHeight w:val="346"/>
          <w:jc w:val="center"/>
        </w:trPr>
        <w:tc>
          <w:tcPr>
            <w:tcW w:w="1417" w:type="dxa"/>
            <w:vMerge/>
          </w:tcPr>
          <w:p w:rsidR="003351A0" w:rsidRPr="00053445" w:rsidRDefault="003351A0" w:rsidP="005C1352">
            <w:pPr>
              <w:rPr>
                <w:sz w:val="19"/>
                <w:szCs w:val="19"/>
              </w:rPr>
            </w:pPr>
          </w:p>
        </w:tc>
        <w:tc>
          <w:tcPr>
            <w:tcW w:w="3294" w:type="dxa"/>
            <w:vAlign w:val="center"/>
          </w:tcPr>
          <w:p w:rsidR="003351A0" w:rsidRPr="00053445" w:rsidRDefault="003351A0" w:rsidP="005C1352">
            <w:pPr>
              <w:jc w:val="left"/>
              <w:rPr>
                <w:color w:val="548DD4"/>
                <w:sz w:val="19"/>
                <w:szCs w:val="19"/>
              </w:rPr>
            </w:pPr>
            <w:r w:rsidRPr="00053445">
              <w:rPr>
                <w:sz w:val="19"/>
                <w:szCs w:val="19"/>
              </w:rPr>
              <w:t>Efficient Products</w:t>
            </w:r>
          </w:p>
        </w:tc>
        <w:tc>
          <w:tcPr>
            <w:tcW w:w="1144" w:type="dxa"/>
          </w:tcPr>
          <w:p w:rsidR="003351A0" w:rsidRPr="00053445" w:rsidRDefault="003351A0" w:rsidP="005C1352">
            <w:pPr>
              <w:jc w:val="center"/>
              <w:rPr>
                <w:sz w:val="19"/>
                <w:szCs w:val="19"/>
              </w:rPr>
            </w:pPr>
            <w:r w:rsidRPr="00053445">
              <w:rPr>
                <w:sz w:val="19"/>
                <w:szCs w:val="19"/>
              </w:rPr>
              <w:t>0.36</w:t>
            </w:r>
          </w:p>
        </w:tc>
        <w:tc>
          <w:tcPr>
            <w:tcW w:w="1212" w:type="dxa"/>
          </w:tcPr>
          <w:p w:rsidR="003351A0" w:rsidRPr="00053445" w:rsidRDefault="003351A0" w:rsidP="005C1352">
            <w:pPr>
              <w:jc w:val="center"/>
              <w:rPr>
                <w:sz w:val="19"/>
                <w:szCs w:val="19"/>
              </w:rPr>
            </w:pPr>
            <w:r w:rsidRPr="00053445">
              <w:rPr>
                <w:sz w:val="19"/>
                <w:szCs w:val="19"/>
              </w:rPr>
              <w:t>0.02</w:t>
            </w:r>
          </w:p>
        </w:tc>
        <w:tc>
          <w:tcPr>
            <w:tcW w:w="1209" w:type="dxa"/>
          </w:tcPr>
          <w:p w:rsidR="003351A0" w:rsidRPr="00053445" w:rsidRDefault="003351A0" w:rsidP="005C1352">
            <w:pPr>
              <w:jc w:val="center"/>
              <w:rPr>
                <w:sz w:val="19"/>
                <w:szCs w:val="19"/>
              </w:rPr>
            </w:pPr>
            <w:r w:rsidRPr="00053445">
              <w:rPr>
                <w:sz w:val="19"/>
                <w:szCs w:val="19"/>
              </w:rPr>
              <w:t>0.67</w:t>
            </w:r>
          </w:p>
        </w:tc>
        <w:tc>
          <w:tcPr>
            <w:tcW w:w="1074" w:type="dxa"/>
            <w:vAlign w:val="center"/>
          </w:tcPr>
          <w:p w:rsidR="003351A0" w:rsidRPr="00053445" w:rsidRDefault="003351A0" w:rsidP="005C1352">
            <w:pPr>
              <w:jc w:val="center"/>
              <w:rPr>
                <w:sz w:val="19"/>
                <w:szCs w:val="19"/>
              </w:rPr>
            </w:pPr>
            <w:r w:rsidRPr="00053445">
              <w:rPr>
                <w:sz w:val="19"/>
                <w:szCs w:val="19"/>
              </w:rPr>
              <w:t>101</w:t>
            </w:r>
          </w:p>
        </w:tc>
      </w:tr>
      <w:tr w:rsidR="00A874AC" w:rsidRPr="00053445" w:rsidTr="005C1352">
        <w:trPr>
          <w:trHeight w:val="346"/>
          <w:jc w:val="center"/>
        </w:trPr>
        <w:tc>
          <w:tcPr>
            <w:tcW w:w="1417" w:type="dxa"/>
            <w:vMerge/>
            <w:tcBorders>
              <w:bottom w:val="single" w:sz="4" w:space="0" w:color="448A99"/>
            </w:tcBorders>
          </w:tcPr>
          <w:p w:rsidR="003351A0" w:rsidRPr="00053445" w:rsidRDefault="003351A0" w:rsidP="005C1352">
            <w:pPr>
              <w:rPr>
                <w:sz w:val="19"/>
                <w:szCs w:val="19"/>
              </w:rPr>
            </w:pPr>
          </w:p>
        </w:tc>
        <w:tc>
          <w:tcPr>
            <w:tcW w:w="3294" w:type="dxa"/>
            <w:tcBorders>
              <w:bottom w:val="single" w:sz="4" w:space="0" w:color="448A99"/>
            </w:tcBorders>
            <w:shd w:val="clear" w:color="auto" w:fill="D2EAF1"/>
            <w:vAlign w:val="center"/>
          </w:tcPr>
          <w:p w:rsidR="003351A0" w:rsidRPr="00053445" w:rsidRDefault="003351A0" w:rsidP="005C1352">
            <w:pPr>
              <w:jc w:val="left"/>
              <w:rPr>
                <w:color w:val="548DD4"/>
                <w:sz w:val="19"/>
                <w:szCs w:val="19"/>
              </w:rPr>
            </w:pPr>
            <w:r w:rsidRPr="00053445">
              <w:rPr>
                <w:sz w:val="19"/>
                <w:szCs w:val="19"/>
              </w:rPr>
              <w:t>Home Performance</w:t>
            </w:r>
          </w:p>
        </w:tc>
        <w:tc>
          <w:tcPr>
            <w:tcW w:w="1144" w:type="dxa"/>
            <w:tcBorders>
              <w:bottom w:val="single" w:sz="4" w:space="0" w:color="448A99"/>
            </w:tcBorders>
            <w:shd w:val="clear" w:color="auto" w:fill="D2EAF1"/>
          </w:tcPr>
          <w:p w:rsidR="003351A0" w:rsidRPr="00053445" w:rsidRDefault="003351A0" w:rsidP="005C1352">
            <w:pPr>
              <w:jc w:val="center"/>
              <w:rPr>
                <w:sz w:val="19"/>
                <w:szCs w:val="19"/>
              </w:rPr>
            </w:pPr>
            <w:r w:rsidRPr="00053445">
              <w:rPr>
                <w:sz w:val="19"/>
                <w:szCs w:val="19"/>
              </w:rPr>
              <w:t>0.40</w:t>
            </w:r>
          </w:p>
        </w:tc>
        <w:tc>
          <w:tcPr>
            <w:tcW w:w="1212" w:type="dxa"/>
            <w:tcBorders>
              <w:bottom w:val="single" w:sz="4" w:space="0" w:color="448A99"/>
            </w:tcBorders>
            <w:shd w:val="clear" w:color="auto" w:fill="D2EAF1"/>
          </w:tcPr>
          <w:p w:rsidR="003351A0" w:rsidRPr="00053445" w:rsidRDefault="003351A0" w:rsidP="005C1352">
            <w:pPr>
              <w:jc w:val="center"/>
              <w:rPr>
                <w:sz w:val="19"/>
                <w:szCs w:val="19"/>
              </w:rPr>
            </w:pPr>
            <w:r w:rsidRPr="00053445">
              <w:rPr>
                <w:sz w:val="19"/>
                <w:szCs w:val="19"/>
              </w:rPr>
              <w:t>0.10</w:t>
            </w:r>
          </w:p>
        </w:tc>
        <w:tc>
          <w:tcPr>
            <w:tcW w:w="1209" w:type="dxa"/>
            <w:tcBorders>
              <w:bottom w:val="single" w:sz="4" w:space="0" w:color="448A99"/>
            </w:tcBorders>
            <w:shd w:val="clear" w:color="auto" w:fill="D2EAF1"/>
          </w:tcPr>
          <w:p w:rsidR="003351A0" w:rsidRPr="00053445" w:rsidRDefault="003351A0" w:rsidP="005C1352">
            <w:pPr>
              <w:jc w:val="center"/>
              <w:rPr>
                <w:sz w:val="19"/>
                <w:szCs w:val="19"/>
              </w:rPr>
            </w:pPr>
            <w:r w:rsidRPr="00053445">
              <w:rPr>
                <w:sz w:val="19"/>
                <w:szCs w:val="19"/>
              </w:rPr>
              <w:t>0.70</w:t>
            </w:r>
          </w:p>
        </w:tc>
        <w:tc>
          <w:tcPr>
            <w:tcW w:w="1074" w:type="dxa"/>
            <w:tcBorders>
              <w:bottom w:val="single" w:sz="4" w:space="0" w:color="448A99"/>
            </w:tcBorders>
            <w:shd w:val="clear" w:color="auto" w:fill="D2EAF1"/>
          </w:tcPr>
          <w:p w:rsidR="003351A0" w:rsidRPr="00053445" w:rsidRDefault="003351A0" w:rsidP="005C1352">
            <w:pPr>
              <w:jc w:val="center"/>
              <w:rPr>
                <w:sz w:val="19"/>
                <w:szCs w:val="19"/>
              </w:rPr>
            </w:pPr>
            <w:r w:rsidRPr="00053445">
              <w:rPr>
                <w:sz w:val="19"/>
                <w:szCs w:val="19"/>
              </w:rPr>
              <w:t>N/A</w:t>
            </w:r>
          </w:p>
        </w:tc>
      </w:tr>
      <w:tr w:rsidR="00E7173E" w:rsidRPr="00053445" w:rsidTr="001D479D">
        <w:trPr>
          <w:trHeight w:val="288"/>
          <w:jc w:val="center"/>
        </w:trPr>
        <w:tc>
          <w:tcPr>
            <w:tcW w:w="9350" w:type="dxa"/>
            <w:gridSpan w:val="6"/>
            <w:shd w:val="clear" w:color="auto" w:fill="9C9393"/>
            <w:vAlign w:val="center"/>
          </w:tcPr>
          <w:p w:rsidR="003351A0" w:rsidRPr="00053445" w:rsidRDefault="003351A0" w:rsidP="005C1352">
            <w:pPr>
              <w:jc w:val="left"/>
              <w:rPr>
                <w:b/>
                <w:color w:val="FFFFFF"/>
                <w:sz w:val="19"/>
                <w:szCs w:val="19"/>
              </w:rPr>
            </w:pPr>
            <w:r w:rsidRPr="00053445">
              <w:rPr>
                <w:b/>
                <w:color w:val="FFFFFF"/>
                <w:sz w:val="19"/>
                <w:szCs w:val="19"/>
              </w:rPr>
              <w:t>Low-Income</w:t>
            </w:r>
          </w:p>
        </w:tc>
      </w:tr>
      <w:tr w:rsidR="00E7173E" w:rsidRPr="00053445" w:rsidTr="001D479D">
        <w:trPr>
          <w:trHeight w:val="346"/>
          <w:jc w:val="center"/>
        </w:trPr>
        <w:tc>
          <w:tcPr>
            <w:tcW w:w="1417" w:type="dxa"/>
            <w:shd w:val="clear" w:color="auto" w:fill="auto"/>
          </w:tcPr>
          <w:p w:rsidR="003351A0" w:rsidRPr="00053445" w:rsidRDefault="003351A0" w:rsidP="005C1352">
            <w:pPr>
              <w:rPr>
                <w:b/>
                <w:color w:val="FFFFFF"/>
                <w:sz w:val="19"/>
                <w:szCs w:val="19"/>
              </w:rPr>
            </w:pPr>
            <w:r w:rsidRPr="00053445">
              <w:rPr>
                <w:sz w:val="19"/>
                <w:szCs w:val="19"/>
              </w:rPr>
              <w:t>Estimated</w:t>
            </w:r>
          </w:p>
        </w:tc>
        <w:tc>
          <w:tcPr>
            <w:tcW w:w="3294" w:type="dxa"/>
            <w:shd w:val="clear" w:color="auto" w:fill="auto"/>
            <w:vAlign w:val="center"/>
          </w:tcPr>
          <w:p w:rsidR="003351A0" w:rsidRPr="00053445" w:rsidRDefault="003351A0" w:rsidP="005C1352">
            <w:pPr>
              <w:jc w:val="left"/>
              <w:rPr>
                <w:sz w:val="19"/>
                <w:szCs w:val="19"/>
              </w:rPr>
            </w:pPr>
            <w:r w:rsidRPr="00053445">
              <w:rPr>
                <w:sz w:val="19"/>
                <w:szCs w:val="19"/>
              </w:rPr>
              <w:t>Residential Low-Income Program</w:t>
            </w:r>
          </w:p>
        </w:tc>
        <w:tc>
          <w:tcPr>
            <w:tcW w:w="1144" w:type="dxa"/>
            <w:shd w:val="clear" w:color="auto" w:fill="auto"/>
            <w:vAlign w:val="center"/>
          </w:tcPr>
          <w:p w:rsidR="003351A0" w:rsidRPr="00053445" w:rsidRDefault="003351A0" w:rsidP="005C1352">
            <w:pPr>
              <w:jc w:val="center"/>
              <w:rPr>
                <w:sz w:val="19"/>
                <w:szCs w:val="19"/>
              </w:rPr>
            </w:pPr>
            <w:r w:rsidRPr="00053445">
              <w:rPr>
                <w:sz w:val="19"/>
                <w:szCs w:val="19"/>
              </w:rPr>
              <w:t>0.28</w:t>
            </w:r>
          </w:p>
        </w:tc>
        <w:tc>
          <w:tcPr>
            <w:tcW w:w="1212" w:type="dxa"/>
            <w:shd w:val="clear" w:color="auto" w:fill="auto"/>
            <w:vAlign w:val="center"/>
          </w:tcPr>
          <w:p w:rsidR="003351A0" w:rsidRPr="00053445" w:rsidRDefault="003351A0" w:rsidP="005C1352">
            <w:pPr>
              <w:jc w:val="center"/>
              <w:rPr>
                <w:sz w:val="19"/>
                <w:szCs w:val="19"/>
              </w:rPr>
            </w:pPr>
            <w:r w:rsidRPr="00053445">
              <w:rPr>
                <w:sz w:val="19"/>
                <w:szCs w:val="19"/>
              </w:rPr>
              <w:t>0.17</w:t>
            </w:r>
          </w:p>
        </w:tc>
        <w:tc>
          <w:tcPr>
            <w:tcW w:w="1209" w:type="dxa"/>
            <w:shd w:val="clear" w:color="auto" w:fill="auto"/>
            <w:vAlign w:val="center"/>
          </w:tcPr>
          <w:p w:rsidR="003351A0" w:rsidRPr="00053445" w:rsidRDefault="003351A0" w:rsidP="005C1352">
            <w:pPr>
              <w:jc w:val="center"/>
              <w:rPr>
                <w:sz w:val="19"/>
                <w:szCs w:val="19"/>
              </w:rPr>
            </w:pPr>
            <w:r w:rsidRPr="00053445">
              <w:rPr>
                <w:sz w:val="19"/>
                <w:szCs w:val="19"/>
              </w:rPr>
              <w:t>0.89</w:t>
            </w:r>
          </w:p>
        </w:tc>
        <w:tc>
          <w:tcPr>
            <w:tcW w:w="1074" w:type="dxa"/>
            <w:shd w:val="clear" w:color="auto" w:fill="auto"/>
            <w:vAlign w:val="center"/>
          </w:tcPr>
          <w:p w:rsidR="003351A0" w:rsidRPr="00053445" w:rsidRDefault="003351A0" w:rsidP="005C1352">
            <w:pPr>
              <w:jc w:val="center"/>
              <w:rPr>
                <w:sz w:val="19"/>
                <w:szCs w:val="19"/>
              </w:rPr>
            </w:pPr>
            <w:r w:rsidRPr="00053445">
              <w:rPr>
                <w:sz w:val="19"/>
                <w:szCs w:val="19"/>
              </w:rPr>
              <w:t>46</w:t>
            </w:r>
          </w:p>
        </w:tc>
      </w:tr>
      <w:tr w:rsidR="00E7173E" w:rsidRPr="00053445" w:rsidTr="001D479D">
        <w:trPr>
          <w:trHeight w:val="288"/>
          <w:jc w:val="center"/>
        </w:trPr>
        <w:tc>
          <w:tcPr>
            <w:tcW w:w="9350" w:type="dxa"/>
            <w:gridSpan w:val="6"/>
            <w:shd w:val="clear" w:color="auto" w:fill="9C9393"/>
            <w:vAlign w:val="center"/>
          </w:tcPr>
          <w:p w:rsidR="003351A0" w:rsidRPr="00053445" w:rsidRDefault="003351A0" w:rsidP="005C1352">
            <w:pPr>
              <w:jc w:val="left"/>
              <w:rPr>
                <w:b/>
                <w:color w:val="FFFFFF"/>
                <w:sz w:val="19"/>
                <w:szCs w:val="19"/>
              </w:rPr>
            </w:pPr>
            <w:r w:rsidRPr="00053445">
              <w:rPr>
                <w:b/>
                <w:color w:val="FFFFFF"/>
                <w:sz w:val="19"/>
                <w:szCs w:val="19"/>
              </w:rPr>
              <w:t>Non-Residential</w:t>
            </w:r>
          </w:p>
        </w:tc>
      </w:tr>
      <w:tr w:rsidR="00A874AC" w:rsidRPr="00053445" w:rsidTr="005C1352">
        <w:trPr>
          <w:trHeight w:val="346"/>
          <w:jc w:val="center"/>
        </w:trPr>
        <w:tc>
          <w:tcPr>
            <w:tcW w:w="1417" w:type="dxa"/>
            <w:vMerge w:val="restart"/>
            <w:shd w:val="clear" w:color="auto" w:fill="D2EAF1"/>
          </w:tcPr>
          <w:p w:rsidR="003351A0" w:rsidRPr="00053445" w:rsidRDefault="003351A0" w:rsidP="005C1352">
            <w:pPr>
              <w:rPr>
                <w:sz w:val="19"/>
                <w:szCs w:val="19"/>
              </w:rPr>
            </w:pPr>
            <w:r w:rsidRPr="00053445">
              <w:rPr>
                <w:sz w:val="19"/>
                <w:szCs w:val="19"/>
              </w:rPr>
              <w:t>Estimated</w:t>
            </w:r>
          </w:p>
        </w:tc>
        <w:tc>
          <w:tcPr>
            <w:tcW w:w="3294" w:type="dxa"/>
            <w:tcBorders>
              <w:bottom w:val="single" w:sz="4" w:space="0" w:color="448A99"/>
            </w:tcBorders>
            <w:shd w:val="clear" w:color="auto" w:fill="D2EAF1"/>
            <w:vAlign w:val="center"/>
          </w:tcPr>
          <w:p w:rsidR="003351A0" w:rsidRPr="00053445" w:rsidRDefault="003351A0" w:rsidP="005C1352">
            <w:pPr>
              <w:jc w:val="left"/>
              <w:rPr>
                <w:sz w:val="19"/>
                <w:szCs w:val="19"/>
              </w:rPr>
            </w:pPr>
            <w:r w:rsidRPr="00053445">
              <w:rPr>
                <w:sz w:val="19"/>
                <w:szCs w:val="19"/>
              </w:rPr>
              <w:t>Small C/I Equipment</w:t>
            </w:r>
          </w:p>
        </w:tc>
        <w:tc>
          <w:tcPr>
            <w:tcW w:w="1144"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0.68</w:t>
            </w:r>
          </w:p>
        </w:tc>
        <w:tc>
          <w:tcPr>
            <w:tcW w:w="1212"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0.13</w:t>
            </w:r>
          </w:p>
        </w:tc>
        <w:tc>
          <w:tcPr>
            <w:tcW w:w="1209"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0.44</w:t>
            </w:r>
          </w:p>
        </w:tc>
        <w:tc>
          <w:tcPr>
            <w:tcW w:w="1074"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N/A</w:t>
            </w:r>
          </w:p>
        </w:tc>
      </w:tr>
      <w:tr w:rsidR="00A874AC" w:rsidRPr="00053445" w:rsidTr="005C1352">
        <w:trPr>
          <w:trHeight w:val="346"/>
          <w:jc w:val="center"/>
        </w:trPr>
        <w:tc>
          <w:tcPr>
            <w:tcW w:w="1417" w:type="dxa"/>
            <w:vMerge/>
            <w:shd w:val="clear" w:color="auto" w:fill="D2EAF1"/>
          </w:tcPr>
          <w:p w:rsidR="003351A0" w:rsidRPr="00053445" w:rsidRDefault="003351A0" w:rsidP="005C1352">
            <w:pPr>
              <w:rPr>
                <w:sz w:val="19"/>
                <w:szCs w:val="19"/>
              </w:rPr>
            </w:pPr>
          </w:p>
        </w:tc>
        <w:tc>
          <w:tcPr>
            <w:tcW w:w="3294" w:type="dxa"/>
            <w:tcBorders>
              <w:bottom w:val="single" w:sz="4" w:space="0" w:color="448A99"/>
            </w:tcBorders>
            <w:shd w:val="clear" w:color="auto" w:fill="FFFFFF"/>
            <w:vAlign w:val="center"/>
          </w:tcPr>
          <w:p w:rsidR="003351A0" w:rsidRPr="00053445" w:rsidRDefault="003351A0" w:rsidP="005C1352">
            <w:pPr>
              <w:jc w:val="left"/>
              <w:rPr>
                <w:sz w:val="19"/>
                <w:szCs w:val="19"/>
              </w:rPr>
            </w:pPr>
            <w:r w:rsidRPr="00053445">
              <w:rPr>
                <w:sz w:val="19"/>
                <w:szCs w:val="19"/>
              </w:rPr>
              <w:t>Large C/I Equipment</w:t>
            </w:r>
          </w:p>
        </w:tc>
        <w:tc>
          <w:tcPr>
            <w:tcW w:w="1144" w:type="dxa"/>
            <w:tcBorders>
              <w:bottom w:val="single" w:sz="4" w:space="0" w:color="448A99"/>
            </w:tcBorders>
            <w:shd w:val="clear" w:color="auto" w:fill="FFFFFF"/>
            <w:vAlign w:val="center"/>
          </w:tcPr>
          <w:p w:rsidR="003351A0" w:rsidRPr="00053445" w:rsidRDefault="003351A0" w:rsidP="005C1352">
            <w:pPr>
              <w:jc w:val="center"/>
              <w:rPr>
                <w:sz w:val="19"/>
                <w:szCs w:val="19"/>
              </w:rPr>
            </w:pPr>
            <w:r w:rsidRPr="00053445">
              <w:rPr>
                <w:sz w:val="19"/>
                <w:szCs w:val="19"/>
              </w:rPr>
              <w:t>0.33</w:t>
            </w:r>
          </w:p>
        </w:tc>
        <w:tc>
          <w:tcPr>
            <w:tcW w:w="1212" w:type="dxa"/>
            <w:tcBorders>
              <w:bottom w:val="single" w:sz="4" w:space="0" w:color="448A99"/>
            </w:tcBorders>
            <w:shd w:val="clear" w:color="auto" w:fill="FFFFFF"/>
            <w:vAlign w:val="center"/>
          </w:tcPr>
          <w:p w:rsidR="003351A0" w:rsidRPr="00053445" w:rsidRDefault="003351A0" w:rsidP="005C1352">
            <w:pPr>
              <w:jc w:val="center"/>
              <w:rPr>
                <w:sz w:val="19"/>
                <w:szCs w:val="19"/>
              </w:rPr>
            </w:pPr>
            <w:r w:rsidRPr="00053445">
              <w:rPr>
                <w:sz w:val="19"/>
                <w:szCs w:val="19"/>
              </w:rPr>
              <w:t>0.11</w:t>
            </w:r>
          </w:p>
        </w:tc>
        <w:tc>
          <w:tcPr>
            <w:tcW w:w="1209" w:type="dxa"/>
            <w:tcBorders>
              <w:bottom w:val="single" w:sz="4" w:space="0" w:color="448A99"/>
            </w:tcBorders>
            <w:shd w:val="clear" w:color="auto" w:fill="FFFFFF"/>
            <w:vAlign w:val="center"/>
          </w:tcPr>
          <w:p w:rsidR="003351A0" w:rsidRPr="00053445" w:rsidRDefault="003351A0" w:rsidP="005C1352">
            <w:pPr>
              <w:jc w:val="center"/>
              <w:rPr>
                <w:sz w:val="19"/>
                <w:szCs w:val="19"/>
              </w:rPr>
            </w:pPr>
            <w:r w:rsidRPr="00053445">
              <w:rPr>
                <w:sz w:val="19"/>
                <w:szCs w:val="19"/>
              </w:rPr>
              <w:t>0.78</w:t>
            </w:r>
          </w:p>
        </w:tc>
        <w:tc>
          <w:tcPr>
            <w:tcW w:w="1074" w:type="dxa"/>
            <w:tcBorders>
              <w:bottom w:val="single" w:sz="4" w:space="0" w:color="448A99"/>
            </w:tcBorders>
            <w:shd w:val="clear" w:color="auto" w:fill="FFFFFF"/>
            <w:vAlign w:val="center"/>
          </w:tcPr>
          <w:p w:rsidR="003351A0" w:rsidRPr="00053445" w:rsidRDefault="003351A0" w:rsidP="005C1352">
            <w:pPr>
              <w:jc w:val="center"/>
              <w:rPr>
                <w:sz w:val="19"/>
                <w:szCs w:val="19"/>
              </w:rPr>
            </w:pPr>
            <w:r w:rsidRPr="00053445">
              <w:rPr>
                <w:sz w:val="19"/>
                <w:szCs w:val="19"/>
              </w:rPr>
              <w:t>N/A</w:t>
            </w:r>
          </w:p>
        </w:tc>
      </w:tr>
      <w:tr w:rsidR="00A874AC" w:rsidRPr="00053445" w:rsidTr="005C1352">
        <w:trPr>
          <w:trHeight w:val="346"/>
          <w:jc w:val="center"/>
        </w:trPr>
        <w:tc>
          <w:tcPr>
            <w:tcW w:w="1417" w:type="dxa"/>
            <w:vMerge/>
            <w:shd w:val="clear" w:color="auto" w:fill="D2EAF1"/>
          </w:tcPr>
          <w:p w:rsidR="003351A0" w:rsidRPr="00053445" w:rsidRDefault="003351A0" w:rsidP="005C1352">
            <w:pPr>
              <w:rPr>
                <w:sz w:val="19"/>
                <w:szCs w:val="19"/>
              </w:rPr>
            </w:pPr>
          </w:p>
        </w:tc>
        <w:tc>
          <w:tcPr>
            <w:tcW w:w="3294" w:type="dxa"/>
            <w:tcBorders>
              <w:bottom w:val="single" w:sz="4" w:space="0" w:color="448A99"/>
            </w:tcBorders>
            <w:shd w:val="clear" w:color="auto" w:fill="D2EAF1"/>
            <w:vAlign w:val="center"/>
          </w:tcPr>
          <w:p w:rsidR="003351A0" w:rsidRPr="00053445" w:rsidRDefault="003351A0" w:rsidP="005C1352">
            <w:pPr>
              <w:jc w:val="left"/>
              <w:rPr>
                <w:sz w:val="19"/>
                <w:szCs w:val="19"/>
              </w:rPr>
            </w:pPr>
            <w:r w:rsidRPr="00053445">
              <w:rPr>
                <w:sz w:val="19"/>
                <w:szCs w:val="19"/>
              </w:rPr>
              <w:t>Small C/I Buildings</w:t>
            </w:r>
          </w:p>
        </w:tc>
        <w:tc>
          <w:tcPr>
            <w:tcW w:w="1144"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0.55</w:t>
            </w:r>
          </w:p>
        </w:tc>
        <w:tc>
          <w:tcPr>
            <w:tcW w:w="1212"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0.00</w:t>
            </w:r>
          </w:p>
        </w:tc>
        <w:tc>
          <w:tcPr>
            <w:tcW w:w="1209"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0.45</w:t>
            </w:r>
          </w:p>
        </w:tc>
        <w:tc>
          <w:tcPr>
            <w:tcW w:w="1074"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16</w:t>
            </w:r>
          </w:p>
        </w:tc>
      </w:tr>
      <w:tr w:rsidR="00A874AC" w:rsidRPr="00053445" w:rsidTr="005C1352">
        <w:trPr>
          <w:trHeight w:val="346"/>
          <w:jc w:val="center"/>
        </w:trPr>
        <w:tc>
          <w:tcPr>
            <w:tcW w:w="1417" w:type="dxa"/>
            <w:vMerge/>
            <w:shd w:val="clear" w:color="auto" w:fill="D2EAF1"/>
          </w:tcPr>
          <w:p w:rsidR="003351A0" w:rsidRPr="00053445" w:rsidRDefault="003351A0" w:rsidP="005C1352">
            <w:pPr>
              <w:rPr>
                <w:sz w:val="19"/>
                <w:szCs w:val="19"/>
              </w:rPr>
            </w:pPr>
          </w:p>
        </w:tc>
        <w:tc>
          <w:tcPr>
            <w:tcW w:w="3294" w:type="dxa"/>
            <w:tcBorders>
              <w:bottom w:val="single" w:sz="4" w:space="0" w:color="448A99"/>
            </w:tcBorders>
            <w:shd w:val="clear" w:color="auto" w:fill="FFFFFF"/>
            <w:vAlign w:val="center"/>
          </w:tcPr>
          <w:p w:rsidR="003351A0" w:rsidRPr="00053445" w:rsidRDefault="003351A0" w:rsidP="005C1352">
            <w:pPr>
              <w:jc w:val="left"/>
              <w:rPr>
                <w:sz w:val="19"/>
                <w:szCs w:val="19"/>
              </w:rPr>
            </w:pPr>
            <w:r w:rsidRPr="00053445">
              <w:rPr>
                <w:sz w:val="19"/>
                <w:szCs w:val="19"/>
              </w:rPr>
              <w:t>Large C/I Buildings</w:t>
            </w:r>
          </w:p>
        </w:tc>
        <w:tc>
          <w:tcPr>
            <w:tcW w:w="1144" w:type="dxa"/>
            <w:tcBorders>
              <w:bottom w:val="single" w:sz="4" w:space="0" w:color="448A99"/>
            </w:tcBorders>
            <w:shd w:val="clear" w:color="auto" w:fill="FFFFFF"/>
            <w:vAlign w:val="center"/>
          </w:tcPr>
          <w:p w:rsidR="003351A0" w:rsidRPr="00053445" w:rsidRDefault="003351A0" w:rsidP="005C1352">
            <w:pPr>
              <w:jc w:val="center"/>
              <w:rPr>
                <w:sz w:val="19"/>
                <w:szCs w:val="19"/>
              </w:rPr>
            </w:pPr>
            <w:r w:rsidRPr="00053445">
              <w:rPr>
                <w:sz w:val="19"/>
                <w:szCs w:val="19"/>
              </w:rPr>
              <w:t>0.50</w:t>
            </w:r>
          </w:p>
        </w:tc>
        <w:tc>
          <w:tcPr>
            <w:tcW w:w="1212" w:type="dxa"/>
            <w:tcBorders>
              <w:bottom w:val="single" w:sz="4" w:space="0" w:color="448A99"/>
            </w:tcBorders>
            <w:shd w:val="clear" w:color="auto" w:fill="FFFFFF"/>
            <w:vAlign w:val="center"/>
          </w:tcPr>
          <w:p w:rsidR="003351A0" w:rsidRPr="00053445" w:rsidRDefault="003351A0" w:rsidP="005C1352">
            <w:pPr>
              <w:jc w:val="center"/>
              <w:rPr>
                <w:sz w:val="19"/>
                <w:szCs w:val="19"/>
              </w:rPr>
            </w:pPr>
            <w:r w:rsidRPr="00053445">
              <w:rPr>
                <w:sz w:val="19"/>
                <w:szCs w:val="19"/>
              </w:rPr>
              <w:t>0.00</w:t>
            </w:r>
          </w:p>
        </w:tc>
        <w:tc>
          <w:tcPr>
            <w:tcW w:w="1209" w:type="dxa"/>
            <w:tcBorders>
              <w:bottom w:val="single" w:sz="4" w:space="0" w:color="448A99"/>
            </w:tcBorders>
            <w:shd w:val="clear" w:color="auto" w:fill="FFFFFF"/>
            <w:vAlign w:val="center"/>
          </w:tcPr>
          <w:p w:rsidR="003351A0" w:rsidRPr="00053445" w:rsidRDefault="003351A0" w:rsidP="005C1352">
            <w:pPr>
              <w:jc w:val="center"/>
              <w:rPr>
                <w:sz w:val="19"/>
                <w:szCs w:val="19"/>
              </w:rPr>
            </w:pPr>
            <w:r w:rsidRPr="00053445">
              <w:rPr>
                <w:sz w:val="19"/>
                <w:szCs w:val="19"/>
              </w:rPr>
              <w:t>0.50</w:t>
            </w:r>
          </w:p>
        </w:tc>
        <w:tc>
          <w:tcPr>
            <w:tcW w:w="1074" w:type="dxa"/>
            <w:tcBorders>
              <w:bottom w:val="single" w:sz="4" w:space="0" w:color="448A99"/>
            </w:tcBorders>
            <w:shd w:val="clear" w:color="auto" w:fill="FFFFFF"/>
            <w:vAlign w:val="center"/>
          </w:tcPr>
          <w:p w:rsidR="003351A0" w:rsidRPr="00053445" w:rsidRDefault="003351A0" w:rsidP="005C1352">
            <w:pPr>
              <w:jc w:val="center"/>
              <w:rPr>
                <w:sz w:val="19"/>
                <w:szCs w:val="19"/>
              </w:rPr>
            </w:pPr>
            <w:r w:rsidRPr="00053445">
              <w:rPr>
                <w:sz w:val="19"/>
                <w:szCs w:val="19"/>
              </w:rPr>
              <w:t>1</w:t>
            </w:r>
          </w:p>
        </w:tc>
      </w:tr>
      <w:tr w:rsidR="00A874AC" w:rsidRPr="00053445" w:rsidTr="005C1352">
        <w:trPr>
          <w:trHeight w:val="346"/>
          <w:jc w:val="center"/>
        </w:trPr>
        <w:tc>
          <w:tcPr>
            <w:tcW w:w="1417" w:type="dxa"/>
            <w:vMerge/>
            <w:tcBorders>
              <w:bottom w:val="single" w:sz="4" w:space="0" w:color="448A99"/>
            </w:tcBorders>
            <w:shd w:val="clear" w:color="auto" w:fill="D2EAF1"/>
          </w:tcPr>
          <w:p w:rsidR="003351A0" w:rsidRPr="00053445" w:rsidRDefault="003351A0" w:rsidP="005C1352">
            <w:pPr>
              <w:rPr>
                <w:sz w:val="19"/>
                <w:szCs w:val="19"/>
              </w:rPr>
            </w:pPr>
          </w:p>
        </w:tc>
        <w:tc>
          <w:tcPr>
            <w:tcW w:w="3294" w:type="dxa"/>
            <w:tcBorders>
              <w:bottom w:val="single" w:sz="4" w:space="0" w:color="448A99"/>
            </w:tcBorders>
            <w:shd w:val="clear" w:color="auto" w:fill="D2EAF1"/>
            <w:vAlign w:val="center"/>
          </w:tcPr>
          <w:p w:rsidR="003351A0" w:rsidRPr="00053445" w:rsidRDefault="003351A0" w:rsidP="005C1352">
            <w:pPr>
              <w:jc w:val="left"/>
              <w:rPr>
                <w:sz w:val="19"/>
                <w:szCs w:val="19"/>
              </w:rPr>
            </w:pPr>
            <w:r w:rsidRPr="00053445">
              <w:rPr>
                <w:sz w:val="19"/>
                <w:szCs w:val="19"/>
              </w:rPr>
              <w:t>Government and Institutional</w:t>
            </w:r>
          </w:p>
        </w:tc>
        <w:tc>
          <w:tcPr>
            <w:tcW w:w="1144"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0.38</w:t>
            </w:r>
          </w:p>
        </w:tc>
        <w:tc>
          <w:tcPr>
            <w:tcW w:w="1212"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0.11</w:t>
            </w:r>
          </w:p>
        </w:tc>
        <w:tc>
          <w:tcPr>
            <w:tcW w:w="1209"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0.73</w:t>
            </w:r>
          </w:p>
        </w:tc>
        <w:tc>
          <w:tcPr>
            <w:tcW w:w="1074" w:type="dxa"/>
            <w:tcBorders>
              <w:bottom w:val="single" w:sz="4" w:space="0" w:color="448A99"/>
            </w:tcBorders>
            <w:shd w:val="clear" w:color="auto" w:fill="D2EAF1"/>
            <w:vAlign w:val="center"/>
          </w:tcPr>
          <w:p w:rsidR="003351A0" w:rsidRPr="00053445" w:rsidRDefault="003351A0" w:rsidP="005C1352">
            <w:pPr>
              <w:jc w:val="center"/>
              <w:rPr>
                <w:sz w:val="19"/>
                <w:szCs w:val="19"/>
              </w:rPr>
            </w:pPr>
            <w:r w:rsidRPr="00053445">
              <w:rPr>
                <w:sz w:val="19"/>
                <w:szCs w:val="19"/>
              </w:rPr>
              <w:t>N/A</w:t>
            </w:r>
          </w:p>
        </w:tc>
      </w:tr>
      <w:tr w:rsidR="00E7173E" w:rsidRPr="009A6DD4" w:rsidTr="001D479D">
        <w:trPr>
          <w:trHeight w:val="346"/>
          <w:jc w:val="center"/>
        </w:trPr>
        <w:tc>
          <w:tcPr>
            <w:tcW w:w="9350" w:type="dxa"/>
            <w:gridSpan w:val="6"/>
            <w:tcBorders>
              <w:bottom w:val="single" w:sz="4" w:space="0" w:color="448A99"/>
            </w:tcBorders>
            <w:shd w:val="clear" w:color="auto" w:fill="448A99"/>
          </w:tcPr>
          <w:p w:rsidR="003351A0" w:rsidRPr="009A6DD4" w:rsidRDefault="003351A0" w:rsidP="005C1352">
            <w:pPr>
              <w:jc w:val="left"/>
              <w:rPr>
                <w:color w:val="FFFFFF"/>
                <w:sz w:val="18"/>
                <w:szCs w:val="19"/>
              </w:rPr>
            </w:pPr>
            <w:r w:rsidRPr="009A6DD4">
              <w:rPr>
                <w:color w:val="FFFFFF"/>
                <w:sz w:val="18"/>
                <w:szCs w:val="19"/>
              </w:rPr>
              <w:t>NOTES</w:t>
            </w:r>
            <w:r w:rsidR="00EB11A8" w:rsidRPr="009A6DD4">
              <w:rPr>
                <w:color w:val="FFFFFF"/>
                <w:sz w:val="18"/>
                <w:szCs w:val="19"/>
              </w:rPr>
              <w:t>:</w:t>
            </w:r>
          </w:p>
          <w:p w:rsidR="003351A0" w:rsidRPr="009A6DD4" w:rsidRDefault="003351A0" w:rsidP="005C1352">
            <w:pPr>
              <w:jc w:val="left"/>
              <w:rPr>
                <w:color w:val="FFFFFF"/>
                <w:sz w:val="18"/>
                <w:szCs w:val="19"/>
              </w:rPr>
            </w:pPr>
            <w:r w:rsidRPr="009A6DD4">
              <w:rPr>
                <w:color w:val="FFFFFF"/>
                <w:sz w:val="18"/>
                <w:szCs w:val="19"/>
              </w:rPr>
              <w:t>[a]</w:t>
            </w:r>
            <w:r w:rsidRPr="009A6DD4">
              <w:rPr>
                <w:bCs/>
                <w:color w:val="FFFFFF"/>
                <w:sz w:val="18"/>
                <w:szCs w:val="19"/>
              </w:rPr>
              <w:t xml:space="preserve"> </w:t>
            </w:r>
            <w:r w:rsidRPr="009A6DD4">
              <w:rPr>
                <w:color w:val="FFFFFF"/>
                <w:sz w:val="18"/>
                <w:szCs w:val="19"/>
              </w:rPr>
              <w:t xml:space="preserve">NTGR = 1 – free-ridership + spillover. In some cases, the NTGR shown in the table may not equal exactly 1 – </w:t>
            </w:r>
            <w:r w:rsidRPr="009A6DD4">
              <w:rPr>
                <w:rFonts w:eastAsia="Calibri"/>
                <w:color w:val="FFFFFF"/>
                <w:sz w:val="18"/>
                <w:szCs w:val="19"/>
              </w:rPr>
              <w:t>free-ridership + spillover</w:t>
            </w:r>
            <w:r w:rsidRPr="009A6DD4">
              <w:rPr>
                <w:color w:val="FFFFFF"/>
                <w:sz w:val="18"/>
                <w:szCs w:val="19"/>
              </w:rPr>
              <w:t xml:space="preserve"> because of rounding.</w:t>
            </w:r>
          </w:p>
          <w:p w:rsidR="003351A0" w:rsidRPr="009A6DD4" w:rsidRDefault="003351A0" w:rsidP="005C1352">
            <w:pPr>
              <w:jc w:val="left"/>
              <w:rPr>
                <w:color w:val="FFFFFF"/>
                <w:sz w:val="18"/>
                <w:szCs w:val="19"/>
              </w:rPr>
            </w:pPr>
            <w:r w:rsidRPr="009A6DD4">
              <w:rPr>
                <w:color w:val="FFFFFF"/>
                <w:sz w:val="18"/>
                <w:szCs w:val="19"/>
              </w:rPr>
              <w:t xml:space="preserve">[b] All sample sizes are for the downstream NTG research using the common method. With the exception of Small C/I Buildings and Large C/I Buildings, all sample sizes provided at least 85/15 confidence/precision. </w:t>
            </w:r>
            <w:r w:rsidRPr="009A6DD4" w:rsidDel="00A436B6">
              <w:rPr>
                <w:color w:val="FFFFFF"/>
                <w:sz w:val="18"/>
                <w:szCs w:val="19"/>
              </w:rPr>
              <w:t xml:space="preserve"> </w:t>
            </w:r>
          </w:p>
          <w:p w:rsidR="003351A0" w:rsidRPr="009A6DD4" w:rsidRDefault="003351A0" w:rsidP="005C1352">
            <w:pPr>
              <w:jc w:val="left"/>
              <w:rPr>
                <w:color w:val="FFFFFF"/>
                <w:sz w:val="18"/>
                <w:szCs w:val="19"/>
              </w:rPr>
            </w:pPr>
            <w:r w:rsidRPr="009A6DD4">
              <w:rPr>
                <w:color w:val="FFFFFF"/>
                <w:sz w:val="18"/>
                <w:szCs w:val="19"/>
              </w:rPr>
              <w:t>[c] ADM/Tetra Tech misprinted the program-level FR value in the PY7 annual report. The value reported in this table is the actual FR value.</w:t>
            </w:r>
          </w:p>
        </w:tc>
      </w:tr>
    </w:tbl>
    <w:p w:rsidR="00053445" w:rsidRDefault="00053445" w:rsidP="00053445"/>
    <w:p w:rsidR="009A6DD4" w:rsidRDefault="009A6DD4" w:rsidP="00053445"/>
    <w:p w:rsidR="009A6DD4" w:rsidRPr="009A6DD4" w:rsidRDefault="009A6DD4" w:rsidP="009A6DD4"/>
    <w:p w:rsidR="00950837" w:rsidRDefault="00950837" w:rsidP="000D3563">
      <w:pPr>
        <w:pStyle w:val="AppendixAHeading2"/>
      </w:pPr>
      <w:r>
        <w:t>Statewide Evaluator Final Recommendations</w:t>
      </w:r>
    </w:p>
    <w:p w:rsidR="00405346" w:rsidRDefault="00405346" w:rsidP="00405346">
      <w:pPr>
        <w:pStyle w:val="bullettext"/>
      </w:pPr>
      <w:r w:rsidRPr="000475E0">
        <w:t xml:space="preserve">The SWE Team has the following recommendations for </w:t>
      </w:r>
      <w:r>
        <w:t>Penn Power’s</w:t>
      </w:r>
      <w:r w:rsidRPr="000475E0">
        <w:t xml:space="preserve"> EE&amp;C programs going forward</w:t>
      </w:r>
      <w:r>
        <w:t>:</w:t>
      </w:r>
    </w:p>
    <w:p w:rsidR="00405346" w:rsidRPr="00995A55" w:rsidRDefault="00405346" w:rsidP="00E646C9">
      <w:pPr>
        <w:pStyle w:val="ListParagraph"/>
        <w:numPr>
          <w:ilvl w:val="0"/>
          <w:numId w:val="81"/>
        </w:numPr>
        <w:spacing w:after="120"/>
        <w:ind w:left="360"/>
        <w:contextualSpacing w:val="0"/>
      </w:pPr>
      <w:r w:rsidRPr="00995A55">
        <w:t>The SWE Team recommends that in the interest of transparency, only the SWE-supplied Appendix C calculator be used for C</w:t>
      </w:r>
      <w:r w:rsidR="0097650B" w:rsidRPr="00995A55">
        <w:t>/</w:t>
      </w:r>
      <w:r w:rsidRPr="00995A55">
        <w:t>I lighting projects moving forward</w:t>
      </w:r>
    </w:p>
    <w:p w:rsidR="00405346" w:rsidRPr="00995A55" w:rsidRDefault="00405346" w:rsidP="00E646C9">
      <w:pPr>
        <w:pStyle w:val="ListParagraph"/>
        <w:numPr>
          <w:ilvl w:val="0"/>
          <w:numId w:val="81"/>
        </w:numPr>
        <w:spacing w:after="120"/>
        <w:ind w:left="360"/>
        <w:contextualSpacing w:val="0"/>
      </w:pPr>
      <w:r w:rsidRPr="00995A55">
        <w:t>Review rebate paperwork processes to identify opportunities to streamline documentation requirements and notify contractors and customers more quickly if project documentation is incomplete.</w:t>
      </w:r>
    </w:p>
    <w:p w:rsidR="00405346" w:rsidRPr="00995A55" w:rsidRDefault="00405346" w:rsidP="00E646C9">
      <w:pPr>
        <w:pStyle w:val="ListParagraph"/>
        <w:numPr>
          <w:ilvl w:val="0"/>
          <w:numId w:val="81"/>
        </w:numPr>
        <w:ind w:left="360"/>
      </w:pPr>
      <w:r w:rsidRPr="00995A55">
        <w:t>As the Home Performance – New Construction measure becomes more streamlined or as incentives change, attempt to attract builders who began with the program but dropped out.</w:t>
      </w:r>
    </w:p>
    <w:p w:rsidR="00405346" w:rsidRPr="00405346" w:rsidRDefault="00405346" w:rsidP="00405346"/>
    <w:p w:rsidR="00950837" w:rsidRPr="00053445" w:rsidRDefault="00950837" w:rsidP="00353645">
      <w:pPr>
        <w:pStyle w:val="AppendixAHeading1"/>
        <w:rPr>
          <w:color w:val="404040" w:themeColor="text1" w:themeTint="BF"/>
        </w:rPr>
      </w:pPr>
      <w:r w:rsidRPr="00053445">
        <w:rPr>
          <w:color w:val="404040" w:themeColor="text1" w:themeTint="BF"/>
        </w:rPr>
        <w:t>West Penn Power</w:t>
      </w:r>
    </w:p>
    <w:p w:rsidR="007724F5" w:rsidRPr="007724F5" w:rsidRDefault="007724F5" w:rsidP="007724F5">
      <w:r w:rsidRPr="00735BA9">
        <w:t xml:space="preserve">This </w:t>
      </w:r>
      <w:r>
        <w:t>section</w:t>
      </w:r>
      <w:r w:rsidRPr="00735BA9">
        <w:t xml:space="preserve"> summarizes </w:t>
      </w:r>
      <w:r>
        <w:t>West Penn</w:t>
      </w:r>
      <w:r w:rsidRPr="00735BA9">
        <w:t xml:space="preserve">’s program performance </w:t>
      </w:r>
      <w:r>
        <w:t>through PY7</w:t>
      </w:r>
      <w:r w:rsidRPr="00735BA9">
        <w:t xml:space="preserve">. It includes an overview of the cumulative energy savings and demand reductions achieved by </w:t>
      </w:r>
      <w:r>
        <w:t>West Penn</w:t>
      </w:r>
      <w:r w:rsidRPr="00735BA9">
        <w:t xml:space="preserve">’s Act 129 EE&amp;C programs in Phase II; an overview of the TRC test results for each program and for the portfolio of programs; a discussion of the activities completed by </w:t>
      </w:r>
      <w:r>
        <w:t>West Penn</w:t>
      </w:r>
      <w:r w:rsidRPr="00735BA9">
        <w:t xml:space="preserve">’s evaluation contractor to conduct M&amp;V of </w:t>
      </w:r>
      <w:r w:rsidR="00CE78B5">
        <w:t>West Penn</w:t>
      </w:r>
      <w:r w:rsidRPr="00735BA9">
        <w:t xml:space="preserve">’s EE&amp;C programs and to calculate the cost-effectiveness of the portfolio of programs; a description of the work and findings of the SWE Team audits; and the SWE Team’s recommendations of actions to help improve </w:t>
      </w:r>
      <w:r>
        <w:t>West Penn</w:t>
      </w:r>
      <w:r w:rsidRPr="00735BA9">
        <w:t>’s programs in the future</w:t>
      </w:r>
      <w:r>
        <w:t>.</w:t>
      </w:r>
    </w:p>
    <w:p w:rsidR="007724F5" w:rsidRPr="00405346" w:rsidRDefault="007724F5" w:rsidP="00405346"/>
    <w:p w:rsidR="00950837" w:rsidRDefault="00950837" w:rsidP="000D3563">
      <w:pPr>
        <w:pStyle w:val="AppendixAHeading2"/>
      </w:pPr>
      <w:r>
        <w:t>Summary of Energy and Demand Reductions</w:t>
      </w:r>
    </w:p>
    <w:p w:rsidR="009C5272" w:rsidRDefault="009C5272" w:rsidP="009C5272">
      <w:r>
        <w:t xml:space="preserve">This section lists the programs </w:t>
      </w:r>
      <w:r w:rsidR="00F850BF">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9C0DF1">
      <w:pPr>
        <w:pStyle w:val="AppendixAHeading3"/>
      </w:pPr>
      <w:r>
        <w:t>Phase II Savings by Program</w:t>
      </w:r>
    </w:p>
    <w:p w:rsidR="005A27BE" w:rsidRDefault="00F427B0" w:rsidP="005A27BE">
      <w:r>
        <w:fldChar w:fldCharType="begin"/>
      </w:r>
      <w:r>
        <w:instrText xml:space="preserve"> REF _Ref472359366 \h </w:instrText>
      </w:r>
      <w:r>
        <w:fldChar w:fldCharType="separate"/>
      </w:r>
      <w:r w:rsidR="00037CB4" w:rsidRPr="00E41D9C">
        <w:t>Table A-</w:t>
      </w:r>
      <w:r w:rsidR="00037CB4">
        <w:rPr>
          <w:noProof/>
        </w:rPr>
        <w:t>85</w:t>
      </w:r>
      <w:r>
        <w:fldChar w:fldCharType="end"/>
      </w:r>
      <w:r w:rsidR="005A27BE">
        <w:t xml:space="preserve"> </w:t>
      </w:r>
      <w:r w:rsidR="005A27BE" w:rsidRPr="004B480A">
        <w:t>lists</w:t>
      </w:r>
      <w:r w:rsidR="005A27BE">
        <w:t xml:space="preserve"> the</w:t>
      </w:r>
      <w:r w:rsidR="005A27BE" w:rsidRPr="004B480A">
        <w:t xml:space="preserve"> </w:t>
      </w:r>
      <w:r>
        <w:t>West Penn</w:t>
      </w:r>
      <w:r w:rsidR="005A27BE" w:rsidRPr="004B480A">
        <w:t xml:space="preserve"> EE&amp;C programs</w:t>
      </w:r>
      <w:r w:rsidR="005A27BE">
        <w:t xml:space="preserve"> that yielded reported savings in PY7. </w:t>
      </w:r>
      <w:r>
        <w:fldChar w:fldCharType="begin"/>
      </w:r>
      <w:r>
        <w:instrText xml:space="preserve"> REF _Ref472359371 \h </w:instrText>
      </w:r>
      <w:r>
        <w:fldChar w:fldCharType="separate"/>
      </w:r>
      <w:r w:rsidR="00037CB4" w:rsidRPr="00E41D9C">
        <w:t>Table A-</w:t>
      </w:r>
      <w:r w:rsidR="00037CB4">
        <w:rPr>
          <w:noProof/>
        </w:rPr>
        <w:t>86</w:t>
      </w:r>
      <w:r>
        <w:fldChar w:fldCharType="end"/>
      </w:r>
      <w:r w:rsidR="005A27BE">
        <w:t xml:space="preserve"> shows the verified gross energy and demand savings of each program at the conclusion of Phase II. The </w:t>
      </w:r>
      <w:r w:rsidR="009C633A">
        <w:t>Large C/I Equipment p</w:t>
      </w:r>
      <w:r w:rsidR="005A27BE">
        <w:t>rogram was the largest contributor of both energy and demand savings.</w:t>
      </w:r>
    </w:p>
    <w:p w:rsidR="005A27BE" w:rsidRPr="004B480A" w:rsidRDefault="005A27BE" w:rsidP="005A27BE"/>
    <w:p w:rsidR="005A27BE" w:rsidRDefault="005A27BE" w:rsidP="004837FA">
      <w:pPr>
        <w:pStyle w:val="Caption"/>
      </w:pPr>
      <w:bookmarkStart w:id="993" w:name="_Ref472359366"/>
      <w:bookmarkStart w:id="994" w:name="_Toc472472494"/>
      <w:bookmarkStart w:id="995" w:name="_Toc488741913"/>
      <w:r w:rsidRPr="00E41D9C">
        <w:t>Table A-</w:t>
      </w:r>
      <w:r w:rsidR="007973A4">
        <w:fldChar w:fldCharType="begin"/>
      </w:r>
      <w:r w:rsidR="007973A4">
        <w:instrText xml:space="preserve"> SEQ Table_A- \* ARABIC </w:instrText>
      </w:r>
      <w:r w:rsidR="007973A4">
        <w:fldChar w:fldCharType="separate"/>
      </w:r>
      <w:r w:rsidR="00037CB4">
        <w:rPr>
          <w:noProof/>
        </w:rPr>
        <w:t>85</w:t>
      </w:r>
      <w:r w:rsidR="007973A4">
        <w:rPr>
          <w:noProof/>
        </w:rPr>
        <w:fldChar w:fldCharType="end"/>
      </w:r>
      <w:bookmarkEnd w:id="993"/>
      <w:r w:rsidRPr="00E41D9C">
        <w:t xml:space="preserve">: </w:t>
      </w:r>
      <w:r w:rsidR="00F427B0">
        <w:t>West Penn</w:t>
      </w:r>
      <w:r w:rsidRPr="00E41D9C">
        <w:t xml:space="preserve"> EE&amp;C Programs wi</w:t>
      </w:r>
      <w:r>
        <w:t>th Reported Gross Savings in PY7</w:t>
      </w:r>
      <w:bookmarkEnd w:id="994"/>
      <w:bookmarkEnd w:id="995"/>
    </w:p>
    <w:tbl>
      <w:tblPr>
        <w:tblW w:w="9350" w:type="dxa"/>
        <w:tblLook w:val="04A0" w:firstRow="1" w:lastRow="0" w:firstColumn="1" w:lastColumn="0" w:noHBand="0" w:noVBand="1"/>
      </w:tblPr>
      <w:tblGrid>
        <w:gridCol w:w="4675"/>
        <w:gridCol w:w="4675"/>
      </w:tblGrid>
      <w:tr w:rsidR="00E7173E" w:rsidRPr="00053445" w:rsidTr="00053445">
        <w:trPr>
          <w:trHeight w:val="309"/>
          <w:tblHeader/>
        </w:trPr>
        <w:tc>
          <w:tcPr>
            <w:tcW w:w="4675"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9C633A" w:rsidRPr="00053445" w:rsidRDefault="009C633A" w:rsidP="009C633A">
            <w:pPr>
              <w:rPr>
                <w:b/>
                <w:bCs/>
                <w:color w:val="FFFFFF"/>
                <w:sz w:val="19"/>
                <w:szCs w:val="19"/>
              </w:rPr>
            </w:pPr>
            <w:r w:rsidRPr="00053445">
              <w:rPr>
                <w:b/>
                <w:bCs/>
                <w:color w:val="FFFFFF"/>
                <w:sz w:val="19"/>
                <w:szCs w:val="19"/>
              </w:rPr>
              <w:t>Programs Reporting PY7 Gross Savings</w:t>
            </w:r>
          </w:p>
        </w:tc>
        <w:tc>
          <w:tcPr>
            <w:tcW w:w="4675" w:type="dxa"/>
            <w:tcBorders>
              <w:top w:val="single" w:sz="8" w:space="0" w:color="448A99"/>
              <w:left w:val="nil"/>
              <w:bottom w:val="single" w:sz="8" w:space="0" w:color="448A99"/>
              <w:right w:val="single" w:sz="8" w:space="0" w:color="448A99"/>
            </w:tcBorders>
            <w:shd w:val="clear" w:color="000000" w:fill="448A99"/>
            <w:vAlign w:val="center"/>
            <w:hideMark/>
          </w:tcPr>
          <w:p w:rsidR="009C633A" w:rsidRPr="00053445" w:rsidRDefault="00F850BF" w:rsidP="00995A55">
            <w:pPr>
              <w:jc w:val="center"/>
              <w:rPr>
                <w:b/>
                <w:bCs/>
                <w:color w:val="FFFFFF"/>
                <w:sz w:val="19"/>
                <w:szCs w:val="19"/>
              </w:rPr>
            </w:pPr>
            <w:r w:rsidRPr="00053445">
              <w:rPr>
                <w:b/>
                <w:bCs/>
                <w:color w:val="FFFFFF"/>
                <w:sz w:val="19"/>
                <w:szCs w:val="19"/>
              </w:rPr>
              <w:t>Sector</w:t>
            </w:r>
          </w:p>
        </w:tc>
      </w:tr>
      <w:tr w:rsidR="00E7173E" w:rsidRPr="00053445" w:rsidTr="00053445">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053445" w:rsidRDefault="009C633A" w:rsidP="009C633A">
            <w:pPr>
              <w:rPr>
                <w:color w:val="000000"/>
                <w:sz w:val="19"/>
                <w:szCs w:val="19"/>
              </w:rPr>
            </w:pPr>
            <w:r w:rsidRPr="00053445">
              <w:rPr>
                <w:color w:val="000000"/>
                <w:sz w:val="19"/>
                <w:szCs w:val="19"/>
              </w:rPr>
              <w:t>Appliance Turn-In</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053445" w:rsidRDefault="009C633A" w:rsidP="00995A55">
            <w:pPr>
              <w:jc w:val="center"/>
              <w:rPr>
                <w:color w:val="000000"/>
                <w:sz w:val="19"/>
                <w:szCs w:val="19"/>
              </w:rPr>
            </w:pPr>
            <w:r w:rsidRPr="00053445">
              <w:rPr>
                <w:color w:val="000000"/>
                <w:sz w:val="19"/>
                <w:szCs w:val="19"/>
              </w:rPr>
              <w:t>Residential</w:t>
            </w:r>
          </w:p>
        </w:tc>
      </w:tr>
      <w:tr w:rsidR="00E7173E" w:rsidRPr="00053445" w:rsidTr="00053445">
        <w:trPr>
          <w:trHeight w:val="309"/>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053445" w:rsidRDefault="009C633A" w:rsidP="009C633A">
            <w:pPr>
              <w:rPr>
                <w:color w:val="000000"/>
                <w:sz w:val="19"/>
                <w:szCs w:val="19"/>
              </w:rPr>
            </w:pPr>
            <w:r w:rsidRPr="00053445">
              <w:rPr>
                <w:color w:val="000000"/>
                <w:sz w:val="19"/>
                <w:szCs w:val="19"/>
              </w:rPr>
              <w:t>Efficient Products</w:t>
            </w:r>
          </w:p>
        </w:tc>
        <w:tc>
          <w:tcPr>
            <w:tcW w:w="4675" w:type="dxa"/>
            <w:tcBorders>
              <w:top w:val="nil"/>
              <w:left w:val="nil"/>
              <w:bottom w:val="single" w:sz="8" w:space="0" w:color="448A99"/>
              <w:right w:val="single" w:sz="8" w:space="0" w:color="448A99"/>
            </w:tcBorders>
            <w:shd w:val="clear" w:color="000000" w:fill="D2EAF1"/>
            <w:vAlign w:val="center"/>
            <w:hideMark/>
          </w:tcPr>
          <w:p w:rsidR="009C633A" w:rsidRPr="00053445" w:rsidRDefault="009C633A" w:rsidP="00995A55">
            <w:pPr>
              <w:jc w:val="center"/>
              <w:rPr>
                <w:color w:val="000000"/>
                <w:sz w:val="19"/>
                <w:szCs w:val="19"/>
              </w:rPr>
            </w:pPr>
            <w:r w:rsidRPr="00053445">
              <w:rPr>
                <w:color w:val="000000"/>
                <w:sz w:val="19"/>
                <w:szCs w:val="19"/>
              </w:rPr>
              <w:t>Residential</w:t>
            </w:r>
          </w:p>
        </w:tc>
      </w:tr>
      <w:tr w:rsidR="00E7173E" w:rsidRPr="00053445" w:rsidTr="00053445">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053445" w:rsidRDefault="009C633A" w:rsidP="009C633A">
            <w:pPr>
              <w:rPr>
                <w:color w:val="000000"/>
                <w:sz w:val="19"/>
                <w:szCs w:val="19"/>
              </w:rPr>
            </w:pPr>
            <w:r w:rsidRPr="00053445">
              <w:rPr>
                <w:color w:val="000000"/>
                <w:sz w:val="19"/>
                <w:szCs w:val="19"/>
              </w:rPr>
              <w:t>Home Performance</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053445" w:rsidRDefault="009C633A" w:rsidP="00995A55">
            <w:pPr>
              <w:jc w:val="center"/>
              <w:rPr>
                <w:color w:val="000000"/>
                <w:sz w:val="19"/>
                <w:szCs w:val="19"/>
              </w:rPr>
            </w:pPr>
            <w:r w:rsidRPr="00053445">
              <w:rPr>
                <w:color w:val="000000"/>
                <w:sz w:val="19"/>
                <w:szCs w:val="19"/>
              </w:rPr>
              <w:t>Residential</w:t>
            </w:r>
          </w:p>
        </w:tc>
      </w:tr>
      <w:tr w:rsidR="00E7173E" w:rsidRPr="00053445" w:rsidTr="00053445">
        <w:trPr>
          <w:trHeight w:val="309"/>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053445" w:rsidRDefault="009C633A" w:rsidP="009C633A">
            <w:pPr>
              <w:rPr>
                <w:color w:val="000000"/>
                <w:sz w:val="19"/>
                <w:szCs w:val="19"/>
              </w:rPr>
            </w:pPr>
            <w:r w:rsidRPr="00053445">
              <w:rPr>
                <w:color w:val="000000"/>
                <w:sz w:val="19"/>
                <w:szCs w:val="19"/>
              </w:rPr>
              <w:t>Low Income</w:t>
            </w:r>
          </w:p>
        </w:tc>
        <w:tc>
          <w:tcPr>
            <w:tcW w:w="4675" w:type="dxa"/>
            <w:tcBorders>
              <w:top w:val="nil"/>
              <w:left w:val="nil"/>
              <w:bottom w:val="single" w:sz="8" w:space="0" w:color="448A99"/>
              <w:right w:val="single" w:sz="8" w:space="0" w:color="448A99"/>
            </w:tcBorders>
            <w:shd w:val="clear" w:color="000000" w:fill="D2EAF1"/>
            <w:vAlign w:val="center"/>
            <w:hideMark/>
          </w:tcPr>
          <w:p w:rsidR="009C633A" w:rsidRPr="00053445" w:rsidRDefault="009C633A" w:rsidP="00995A55">
            <w:pPr>
              <w:jc w:val="center"/>
              <w:rPr>
                <w:color w:val="000000"/>
                <w:sz w:val="19"/>
                <w:szCs w:val="19"/>
              </w:rPr>
            </w:pPr>
            <w:r w:rsidRPr="00053445">
              <w:rPr>
                <w:color w:val="000000"/>
                <w:sz w:val="19"/>
                <w:szCs w:val="19"/>
              </w:rPr>
              <w:t>Low-Income</w:t>
            </w:r>
          </w:p>
        </w:tc>
      </w:tr>
      <w:tr w:rsidR="00E7173E" w:rsidRPr="00053445" w:rsidTr="00053445">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053445" w:rsidRDefault="009C633A" w:rsidP="009C633A">
            <w:pPr>
              <w:rPr>
                <w:color w:val="000000"/>
                <w:sz w:val="19"/>
                <w:szCs w:val="19"/>
              </w:rPr>
            </w:pPr>
            <w:r w:rsidRPr="00053445">
              <w:rPr>
                <w:color w:val="000000"/>
                <w:sz w:val="19"/>
                <w:szCs w:val="19"/>
              </w:rPr>
              <w:t>Small C/I Equipment</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053445" w:rsidRDefault="009C633A" w:rsidP="00995A55">
            <w:pPr>
              <w:jc w:val="center"/>
              <w:rPr>
                <w:color w:val="000000"/>
                <w:sz w:val="19"/>
                <w:szCs w:val="19"/>
              </w:rPr>
            </w:pPr>
            <w:r w:rsidRPr="00053445">
              <w:rPr>
                <w:color w:val="000000"/>
                <w:sz w:val="19"/>
                <w:szCs w:val="19"/>
              </w:rPr>
              <w:t>Non-Residential</w:t>
            </w:r>
          </w:p>
        </w:tc>
      </w:tr>
      <w:tr w:rsidR="00E7173E" w:rsidRPr="00053445" w:rsidTr="00053445">
        <w:trPr>
          <w:trHeight w:val="309"/>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053445" w:rsidRDefault="009C633A" w:rsidP="009C633A">
            <w:pPr>
              <w:rPr>
                <w:color w:val="000000"/>
                <w:sz w:val="19"/>
                <w:szCs w:val="19"/>
              </w:rPr>
            </w:pPr>
            <w:r w:rsidRPr="00053445">
              <w:rPr>
                <w:color w:val="000000"/>
                <w:sz w:val="19"/>
                <w:szCs w:val="19"/>
              </w:rPr>
              <w:t>Small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9C633A" w:rsidRPr="00053445" w:rsidRDefault="009C633A" w:rsidP="00995A55">
            <w:pPr>
              <w:jc w:val="center"/>
              <w:rPr>
                <w:color w:val="000000"/>
                <w:sz w:val="19"/>
                <w:szCs w:val="19"/>
              </w:rPr>
            </w:pPr>
            <w:r w:rsidRPr="00053445">
              <w:rPr>
                <w:color w:val="000000"/>
                <w:sz w:val="19"/>
                <w:szCs w:val="19"/>
              </w:rPr>
              <w:t>Non-Residential</w:t>
            </w:r>
          </w:p>
        </w:tc>
      </w:tr>
      <w:tr w:rsidR="00E7173E" w:rsidRPr="00053445" w:rsidTr="00053445">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053445" w:rsidRDefault="009C633A" w:rsidP="009C633A">
            <w:pPr>
              <w:rPr>
                <w:color w:val="000000"/>
                <w:sz w:val="19"/>
                <w:szCs w:val="19"/>
              </w:rPr>
            </w:pPr>
            <w:r w:rsidRPr="00053445">
              <w:rPr>
                <w:color w:val="000000"/>
                <w:sz w:val="19"/>
                <w:szCs w:val="19"/>
              </w:rPr>
              <w:t>Large C/I Equipment</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053445" w:rsidRDefault="009C633A" w:rsidP="00995A55">
            <w:pPr>
              <w:jc w:val="center"/>
              <w:rPr>
                <w:color w:val="000000"/>
                <w:sz w:val="19"/>
                <w:szCs w:val="19"/>
              </w:rPr>
            </w:pPr>
            <w:r w:rsidRPr="00053445">
              <w:rPr>
                <w:color w:val="000000"/>
                <w:sz w:val="19"/>
                <w:szCs w:val="19"/>
              </w:rPr>
              <w:t>Non-Residential</w:t>
            </w:r>
          </w:p>
        </w:tc>
      </w:tr>
      <w:tr w:rsidR="00E7173E" w:rsidRPr="00053445" w:rsidTr="00053445">
        <w:trPr>
          <w:trHeight w:val="309"/>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053445" w:rsidRDefault="009C633A" w:rsidP="009C633A">
            <w:pPr>
              <w:rPr>
                <w:color w:val="000000"/>
                <w:sz w:val="19"/>
                <w:szCs w:val="19"/>
              </w:rPr>
            </w:pPr>
            <w:r w:rsidRPr="00053445">
              <w:rPr>
                <w:color w:val="000000"/>
                <w:sz w:val="19"/>
                <w:szCs w:val="19"/>
              </w:rPr>
              <w:t>Large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9C633A" w:rsidRPr="00053445" w:rsidRDefault="009C633A" w:rsidP="00995A55">
            <w:pPr>
              <w:jc w:val="center"/>
              <w:rPr>
                <w:color w:val="000000"/>
                <w:sz w:val="19"/>
                <w:szCs w:val="19"/>
              </w:rPr>
            </w:pPr>
            <w:r w:rsidRPr="00053445">
              <w:rPr>
                <w:color w:val="000000"/>
                <w:sz w:val="19"/>
                <w:szCs w:val="19"/>
              </w:rPr>
              <w:t>Non-Residential</w:t>
            </w:r>
          </w:p>
        </w:tc>
      </w:tr>
      <w:tr w:rsidR="00E7173E" w:rsidRPr="00053445" w:rsidTr="00053445">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053445" w:rsidRDefault="009C633A" w:rsidP="009C633A">
            <w:pPr>
              <w:rPr>
                <w:color w:val="000000"/>
                <w:sz w:val="19"/>
                <w:szCs w:val="19"/>
              </w:rPr>
            </w:pPr>
            <w:r w:rsidRPr="00053445">
              <w:rPr>
                <w:color w:val="000000"/>
                <w:sz w:val="19"/>
                <w:szCs w:val="19"/>
              </w:rPr>
              <w:t>Gov./Institutional</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053445" w:rsidRDefault="009C633A" w:rsidP="00995A55">
            <w:pPr>
              <w:jc w:val="center"/>
              <w:rPr>
                <w:color w:val="000000"/>
                <w:sz w:val="19"/>
                <w:szCs w:val="19"/>
              </w:rPr>
            </w:pPr>
            <w:r w:rsidRPr="00053445">
              <w:rPr>
                <w:color w:val="000000"/>
                <w:sz w:val="19"/>
                <w:szCs w:val="19"/>
              </w:rPr>
              <w:t>GNI</w:t>
            </w:r>
          </w:p>
        </w:tc>
      </w:tr>
    </w:tbl>
    <w:p w:rsidR="005A27BE" w:rsidRDefault="005A27BE" w:rsidP="005A27BE"/>
    <w:p w:rsidR="005A27BE" w:rsidRDefault="005A27BE" w:rsidP="005A27BE"/>
    <w:p w:rsidR="005A27BE" w:rsidRDefault="005A27BE" w:rsidP="004837FA">
      <w:pPr>
        <w:pStyle w:val="Caption"/>
      </w:pPr>
      <w:bookmarkStart w:id="996" w:name="_Ref472359371"/>
      <w:bookmarkStart w:id="997" w:name="_Toc472472495"/>
      <w:bookmarkStart w:id="998" w:name="_Toc488741914"/>
      <w:r w:rsidRPr="00E41D9C">
        <w:t>Table A-</w:t>
      </w:r>
      <w:r w:rsidR="007973A4">
        <w:fldChar w:fldCharType="begin"/>
      </w:r>
      <w:r w:rsidR="007973A4">
        <w:instrText xml:space="preserve"> SEQ Table_A- \* ARABIC </w:instrText>
      </w:r>
      <w:r w:rsidR="007973A4">
        <w:fldChar w:fldCharType="separate"/>
      </w:r>
      <w:r w:rsidR="00037CB4">
        <w:rPr>
          <w:noProof/>
        </w:rPr>
        <w:t>86</w:t>
      </w:r>
      <w:r w:rsidR="007973A4">
        <w:rPr>
          <w:noProof/>
        </w:rPr>
        <w:fldChar w:fldCharType="end"/>
      </w:r>
      <w:bookmarkEnd w:id="996"/>
      <w:r w:rsidRPr="00E41D9C">
        <w:t xml:space="preserve">: </w:t>
      </w:r>
      <w:r w:rsidRPr="005A1DB5">
        <w:t xml:space="preserve">Summary of </w:t>
      </w:r>
      <w:r w:rsidR="00F427B0">
        <w:t>West Penn</w:t>
      </w:r>
      <w:r w:rsidRPr="005A1DB5">
        <w:t xml:space="preserve"> EE&amp;C Program Impacts on Verified Gross Portfolio Savings</w:t>
      </w:r>
      <w:bookmarkEnd w:id="997"/>
      <w:bookmarkEnd w:id="998"/>
    </w:p>
    <w:tbl>
      <w:tblPr>
        <w:tblW w:w="9350" w:type="dxa"/>
        <w:tblLook w:val="04A0" w:firstRow="1" w:lastRow="0" w:firstColumn="1" w:lastColumn="0" w:noHBand="0" w:noVBand="1"/>
      </w:tblPr>
      <w:tblGrid>
        <w:gridCol w:w="2120"/>
        <w:gridCol w:w="1660"/>
        <w:gridCol w:w="1660"/>
        <w:gridCol w:w="1660"/>
        <w:gridCol w:w="2250"/>
      </w:tblGrid>
      <w:tr w:rsidR="00A874AC" w:rsidRPr="009C633A" w:rsidTr="00995A55">
        <w:trPr>
          <w:trHeight w:val="718"/>
        </w:trPr>
        <w:tc>
          <w:tcPr>
            <w:tcW w:w="212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9C633A" w:rsidRPr="009C633A" w:rsidRDefault="009C633A" w:rsidP="00995A55">
            <w:pPr>
              <w:rPr>
                <w:b/>
                <w:bCs/>
                <w:color w:val="FFFFFF"/>
                <w:sz w:val="20"/>
                <w:szCs w:val="20"/>
              </w:rPr>
            </w:pPr>
            <w:r w:rsidRPr="009C633A">
              <w:rPr>
                <w:b/>
                <w:bCs/>
                <w:color w:val="FFFFFF"/>
                <w:sz w:val="20"/>
                <w:szCs w:val="20"/>
              </w:rPr>
              <w:t>Program</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9C633A" w:rsidRPr="009C633A" w:rsidRDefault="009C633A" w:rsidP="00995A55">
            <w:pPr>
              <w:jc w:val="center"/>
              <w:rPr>
                <w:b/>
                <w:bCs/>
                <w:color w:val="FFFFFF"/>
                <w:sz w:val="20"/>
                <w:szCs w:val="20"/>
              </w:rPr>
            </w:pPr>
            <w:r w:rsidRPr="009C633A">
              <w:rPr>
                <w:b/>
                <w:bCs/>
                <w:color w:val="FFFFFF"/>
                <w:sz w:val="20"/>
                <w:szCs w:val="20"/>
              </w:rPr>
              <w:t>Phase II VG Savings (MWh)</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9C633A" w:rsidRPr="009C633A" w:rsidRDefault="009C633A" w:rsidP="00995A55">
            <w:pPr>
              <w:jc w:val="center"/>
              <w:rPr>
                <w:b/>
                <w:bCs/>
                <w:color w:val="FFFFFF"/>
                <w:sz w:val="20"/>
                <w:szCs w:val="20"/>
              </w:rPr>
            </w:pPr>
            <w:r w:rsidRPr="009C633A">
              <w:rPr>
                <w:b/>
                <w:bCs/>
                <w:color w:val="FFFFFF"/>
                <w:sz w:val="20"/>
                <w:szCs w:val="20"/>
              </w:rPr>
              <w:t>Percent of Portfolio Phase II VG MWh Savings</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9C633A" w:rsidRPr="009C633A" w:rsidRDefault="009C633A" w:rsidP="00995A55">
            <w:pPr>
              <w:jc w:val="center"/>
              <w:rPr>
                <w:b/>
                <w:bCs/>
                <w:color w:val="FFFFFF"/>
                <w:sz w:val="20"/>
                <w:szCs w:val="20"/>
              </w:rPr>
            </w:pPr>
            <w:r w:rsidRPr="009C633A">
              <w:rPr>
                <w:b/>
                <w:bCs/>
                <w:color w:val="FFFFFF"/>
                <w:sz w:val="20"/>
                <w:szCs w:val="20"/>
              </w:rPr>
              <w:t>Phase II VG Savings (MW)</w:t>
            </w:r>
          </w:p>
        </w:tc>
        <w:tc>
          <w:tcPr>
            <w:tcW w:w="2250" w:type="dxa"/>
            <w:tcBorders>
              <w:top w:val="single" w:sz="8" w:space="0" w:color="448A99"/>
              <w:left w:val="nil"/>
              <w:bottom w:val="single" w:sz="8" w:space="0" w:color="448A99"/>
              <w:right w:val="single" w:sz="8" w:space="0" w:color="448A99"/>
            </w:tcBorders>
            <w:shd w:val="clear" w:color="000000" w:fill="448A99"/>
            <w:vAlign w:val="bottom"/>
            <w:hideMark/>
          </w:tcPr>
          <w:p w:rsidR="009C633A" w:rsidRPr="009C633A" w:rsidRDefault="009C633A" w:rsidP="00995A55">
            <w:pPr>
              <w:jc w:val="center"/>
              <w:rPr>
                <w:b/>
                <w:bCs/>
                <w:color w:val="FFFFFF"/>
                <w:sz w:val="20"/>
                <w:szCs w:val="20"/>
              </w:rPr>
            </w:pPr>
            <w:r w:rsidRPr="009C633A">
              <w:rPr>
                <w:b/>
                <w:bCs/>
                <w:color w:val="FFFFFF"/>
                <w:sz w:val="20"/>
                <w:szCs w:val="20"/>
              </w:rPr>
              <w:t>Percent of Portfolio Phase II VG MW Savings</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Appliance Turn-In</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16,445</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5%</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2.31</w:t>
            </w:r>
          </w:p>
        </w:tc>
        <w:tc>
          <w:tcPr>
            <w:tcW w:w="225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5%</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Efficient Products</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99,402</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color w:val="000000"/>
                <w:sz w:val="20"/>
                <w:szCs w:val="20"/>
              </w:rPr>
            </w:pPr>
            <w:r w:rsidRPr="009C633A">
              <w:rPr>
                <w:color w:val="000000"/>
                <w:sz w:val="20"/>
                <w:szCs w:val="20"/>
              </w:rPr>
              <w:t>28%</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11.55</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26%</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Home Performance</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63,984</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18%</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6.64</w:t>
            </w:r>
          </w:p>
        </w:tc>
        <w:tc>
          <w:tcPr>
            <w:tcW w:w="225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15%</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Low Income</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4,725</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color w:val="000000"/>
                <w:sz w:val="20"/>
                <w:szCs w:val="20"/>
              </w:rPr>
            </w:pPr>
            <w:r w:rsidRPr="009C633A">
              <w:rPr>
                <w:color w:val="000000"/>
                <w:sz w:val="20"/>
                <w:szCs w:val="20"/>
              </w:rPr>
              <w:t>1%</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0.47</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1%</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Small C/I Equipment</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54,098</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15%</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8.96</w:t>
            </w:r>
          </w:p>
        </w:tc>
        <w:tc>
          <w:tcPr>
            <w:tcW w:w="225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20%</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Small C/I Buildings</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8,161</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color w:val="000000"/>
                <w:sz w:val="20"/>
                <w:szCs w:val="20"/>
              </w:rPr>
            </w:pPr>
            <w:r w:rsidRPr="009C633A">
              <w:rPr>
                <w:color w:val="000000"/>
                <w:sz w:val="20"/>
                <w:szCs w:val="20"/>
              </w:rPr>
              <w:t>2%</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1.22</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3%</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Large C/I Equipment</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103,535</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29%</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12.27</w:t>
            </w:r>
          </w:p>
        </w:tc>
        <w:tc>
          <w:tcPr>
            <w:tcW w:w="225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28%</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Large C/I Buildings</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5,396</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color w:val="000000"/>
                <w:sz w:val="20"/>
                <w:szCs w:val="20"/>
              </w:rPr>
            </w:pPr>
            <w:r w:rsidRPr="009C633A">
              <w:rPr>
                <w:color w:val="000000"/>
                <w:sz w:val="20"/>
                <w:szCs w:val="20"/>
              </w:rPr>
              <w:t>2%</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0.85</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2%</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Gov./Institutional</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2,327</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1%</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0.11</w:t>
            </w:r>
          </w:p>
        </w:tc>
        <w:tc>
          <w:tcPr>
            <w:tcW w:w="225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0%</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noWrap/>
            <w:vAlign w:val="center"/>
            <w:hideMark/>
          </w:tcPr>
          <w:p w:rsidR="009C633A" w:rsidRPr="009C633A" w:rsidRDefault="009C633A" w:rsidP="009C633A">
            <w:pPr>
              <w:jc w:val="left"/>
              <w:rPr>
                <w:b/>
                <w:bCs/>
                <w:i/>
                <w:iCs/>
                <w:color w:val="000000"/>
                <w:sz w:val="20"/>
                <w:szCs w:val="20"/>
              </w:rPr>
            </w:pPr>
            <w:r w:rsidRPr="009C633A">
              <w:rPr>
                <w:b/>
                <w:bCs/>
                <w:i/>
                <w:iCs/>
                <w:color w:val="000000"/>
                <w:sz w:val="20"/>
                <w:szCs w:val="20"/>
              </w:rPr>
              <w:t>Total Portfolio</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b/>
                <w:bCs/>
                <w:i/>
                <w:iCs/>
                <w:color w:val="000000"/>
                <w:sz w:val="20"/>
                <w:szCs w:val="20"/>
              </w:rPr>
            </w:pPr>
            <w:r w:rsidRPr="009C633A">
              <w:rPr>
                <w:b/>
                <w:bCs/>
                <w:i/>
                <w:iCs/>
                <w:color w:val="000000"/>
                <w:sz w:val="20"/>
                <w:szCs w:val="20"/>
              </w:rPr>
              <w:t>358,073</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b/>
                <w:bCs/>
                <w:i/>
                <w:iCs/>
                <w:color w:val="000000"/>
                <w:sz w:val="20"/>
                <w:szCs w:val="20"/>
              </w:rPr>
            </w:pPr>
            <w:r w:rsidRPr="009C633A">
              <w:rPr>
                <w:b/>
                <w:bCs/>
                <w:i/>
                <w:iCs/>
                <w:color w:val="000000"/>
                <w:sz w:val="20"/>
                <w:szCs w:val="20"/>
              </w:rPr>
              <w:t>100%</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b/>
                <w:bCs/>
                <w:i/>
                <w:iCs/>
                <w:color w:val="000000"/>
                <w:sz w:val="20"/>
                <w:szCs w:val="20"/>
              </w:rPr>
            </w:pPr>
            <w:r w:rsidRPr="009C633A">
              <w:rPr>
                <w:b/>
                <w:bCs/>
                <w:i/>
                <w:iCs/>
                <w:color w:val="000000"/>
                <w:sz w:val="20"/>
                <w:szCs w:val="20"/>
              </w:rPr>
              <w:t>44.37</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b/>
                <w:bCs/>
                <w:i/>
                <w:iCs/>
                <w:color w:val="000000"/>
                <w:sz w:val="20"/>
                <w:szCs w:val="20"/>
              </w:rPr>
            </w:pPr>
            <w:r w:rsidRPr="009C633A">
              <w:rPr>
                <w:b/>
                <w:bCs/>
                <w:i/>
                <w:iCs/>
                <w:color w:val="000000"/>
                <w:sz w:val="20"/>
                <w:szCs w:val="20"/>
              </w:rPr>
              <w:t>100%</w:t>
            </w:r>
          </w:p>
        </w:tc>
      </w:tr>
    </w:tbl>
    <w:p w:rsidR="005A27BE" w:rsidRDefault="005A27BE" w:rsidP="005A27BE"/>
    <w:p w:rsidR="00735BA9" w:rsidRDefault="00735BA9" w:rsidP="009C0DF1">
      <w:pPr>
        <w:pStyle w:val="AppendixAHeading3"/>
      </w:pPr>
      <w:r>
        <w:t>PY7 Gross and Net Savings by Sector</w:t>
      </w:r>
    </w:p>
    <w:p w:rsidR="00710D47" w:rsidRDefault="00710D47" w:rsidP="00710D47">
      <w:r w:rsidRPr="00C23348">
        <w:t>The sector-level verified gross and net energy savings achieved in PY7 are provided</w:t>
      </w:r>
      <w:r>
        <w:t xml:space="preserve"> in </w:t>
      </w:r>
      <w:r w:rsidR="008F62F5">
        <w:fldChar w:fldCharType="begin"/>
      </w:r>
      <w:r w:rsidR="008F62F5">
        <w:instrText xml:space="preserve"> REF _Ref472360371 \h </w:instrText>
      </w:r>
      <w:r w:rsidR="008F62F5">
        <w:fldChar w:fldCharType="separate"/>
      </w:r>
      <w:r w:rsidR="00037CB4" w:rsidRPr="00E41D9C">
        <w:t>Table A-</w:t>
      </w:r>
      <w:r w:rsidR="00037CB4">
        <w:rPr>
          <w:noProof/>
        </w:rPr>
        <w:t>87</w:t>
      </w:r>
      <w:r w:rsidR="008F62F5">
        <w:fldChar w:fldCharType="end"/>
      </w:r>
      <w:r>
        <w:t xml:space="preserve"> below. In PY7, the net energy savings were </w:t>
      </w:r>
      <w:r w:rsidRPr="009C633A">
        <w:t>approximately 75% of the gross energy savings.</w:t>
      </w:r>
    </w:p>
    <w:p w:rsidR="00710D47" w:rsidRPr="00C23348" w:rsidRDefault="00710D47" w:rsidP="00710D47"/>
    <w:p w:rsidR="00710D47" w:rsidRDefault="00710D47" w:rsidP="004837FA">
      <w:pPr>
        <w:pStyle w:val="Caption"/>
      </w:pPr>
      <w:bookmarkStart w:id="999" w:name="_Ref472360371"/>
      <w:bookmarkStart w:id="1000" w:name="_Toc472472496"/>
      <w:bookmarkStart w:id="1001" w:name="_Toc488741915"/>
      <w:r w:rsidRPr="00E41D9C">
        <w:t>Table A-</w:t>
      </w:r>
      <w:r w:rsidR="007973A4">
        <w:fldChar w:fldCharType="begin"/>
      </w:r>
      <w:r w:rsidR="007973A4">
        <w:instrText xml:space="preserve"> SEQ Table_A- \* ARABIC </w:instrText>
      </w:r>
      <w:r w:rsidR="007973A4">
        <w:fldChar w:fldCharType="separate"/>
      </w:r>
      <w:r w:rsidR="00037CB4">
        <w:rPr>
          <w:noProof/>
        </w:rPr>
        <w:t>87</w:t>
      </w:r>
      <w:r w:rsidR="007973A4">
        <w:rPr>
          <w:noProof/>
        </w:rPr>
        <w:fldChar w:fldCharType="end"/>
      </w:r>
      <w:bookmarkEnd w:id="999"/>
      <w:r w:rsidRPr="00E41D9C">
        <w:t xml:space="preserve">: </w:t>
      </w:r>
      <w:r w:rsidRPr="008B45A8">
        <w:t xml:space="preserve">Summary of </w:t>
      </w:r>
      <w:r w:rsidR="008F62F5">
        <w:t>West Penn</w:t>
      </w:r>
      <w:r w:rsidRPr="008B45A8">
        <w:t xml:space="preserve"> EE&amp;C Verified Net Savings – by Sector</w:t>
      </w:r>
      <w:bookmarkEnd w:id="1000"/>
      <w:bookmarkEnd w:id="1001"/>
    </w:p>
    <w:tbl>
      <w:tblPr>
        <w:tblW w:w="9350" w:type="dxa"/>
        <w:tblLook w:val="04A0" w:firstRow="1" w:lastRow="0" w:firstColumn="1" w:lastColumn="0" w:noHBand="0" w:noVBand="1"/>
      </w:tblPr>
      <w:tblGrid>
        <w:gridCol w:w="1870"/>
        <w:gridCol w:w="1870"/>
        <w:gridCol w:w="1870"/>
        <w:gridCol w:w="1870"/>
        <w:gridCol w:w="1870"/>
      </w:tblGrid>
      <w:tr w:rsidR="00A874AC" w:rsidRPr="00C23348" w:rsidTr="00995A55">
        <w:trPr>
          <w:trHeight w:val="376"/>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C23348" w:rsidRDefault="00710D47" w:rsidP="00995A55">
            <w:pPr>
              <w:rPr>
                <w:b/>
                <w:bCs/>
                <w:color w:val="FFFFFF"/>
                <w:sz w:val="20"/>
                <w:szCs w:val="20"/>
              </w:rPr>
            </w:pPr>
            <w:r w:rsidRPr="00C23348">
              <w:rPr>
                <w:b/>
                <w:bCs/>
                <w:color w:val="FFFFFF"/>
                <w:sz w:val="20"/>
                <w:szCs w:val="20"/>
              </w:rPr>
              <w:t>Sector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995A55">
            <w:pPr>
              <w:jc w:val="center"/>
              <w:rPr>
                <w:b/>
                <w:bCs/>
                <w:color w:val="FFFFFF"/>
                <w:sz w:val="20"/>
                <w:szCs w:val="20"/>
              </w:rPr>
            </w:pPr>
            <w:r w:rsidRPr="00C23348">
              <w:rPr>
                <w:b/>
                <w:bCs/>
                <w:color w:val="FFFFFF"/>
                <w:sz w:val="20"/>
                <w:szCs w:val="20"/>
              </w:rPr>
              <w:t>PY7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995A55">
            <w:pPr>
              <w:jc w:val="center"/>
              <w:rPr>
                <w:b/>
                <w:bCs/>
                <w:color w:val="FFFFFF"/>
                <w:sz w:val="20"/>
                <w:szCs w:val="20"/>
              </w:rPr>
            </w:pPr>
            <w:r w:rsidRPr="00C23348">
              <w:rPr>
                <w:b/>
                <w:bCs/>
                <w:color w:val="FFFFFF"/>
                <w:sz w:val="20"/>
                <w:szCs w:val="20"/>
              </w:rPr>
              <w:t>PY7 Verified Net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995A55">
            <w:pPr>
              <w:jc w:val="center"/>
              <w:rPr>
                <w:b/>
                <w:bCs/>
                <w:color w:val="FFFFFF"/>
                <w:sz w:val="20"/>
                <w:szCs w:val="20"/>
              </w:rPr>
            </w:pPr>
            <w:r w:rsidRPr="00C23348">
              <w:rPr>
                <w:b/>
                <w:bCs/>
                <w:color w:val="FFFFFF"/>
                <w:sz w:val="20"/>
                <w:szCs w:val="20"/>
              </w:rPr>
              <w:t>Phase II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995A55">
            <w:pPr>
              <w:jc w:val="center"/>
              <w:rPr>
                <w:b/>
                <w:bCs/>
                <w:color w:val="FFFFFF"/>
                <w:sz w:val="20"/>
                <w:szCs w:val="20"/>
              </w:rPr>
            </w:pPr>
            <w:r w:rsidRPr="00C23348">
              <w:rPr>
                <w:b/>
                <w:bCs/>
                <w:color w:val="FFFFFF"/>
                <w:sz w:val="20"/>
                <w:szCs w:val="20"/>
              </w:rPr>
              <w:t>Phase II Verified Net Savings (MWh/yr)</w:t>
            </w:r>
          </w:p>
        </w:tc>
      </w:tr>
      <w:tr w:rsidR="00E7173E" w:rsidRPr="00C23348" w:rsidTr="001D479D">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C633A" w:rsidRPr="00C23348" w:rsidRDefault="009C633A" w:rsidP="009C633A">
            <w:pPr>
              <w:jc w:val="left"/>
              <w:rPr>
                <w:color w:val="000000"/>
                <w:sz w:val="20"/>
                <w:szCs w:val="20"/>
              </w:rPr>
            </w:pPr>
            <w:r>
              <w:rPr>
                <w:color w:val="000000"/>
                <w:sz w:val="20"/>
                <w:szCs w:val="20"/>
              </w:rPr>
              <w:t>Residential</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83,684</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68,347</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176,463</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125,922</w:t>
            </w:r>
          </w:p>
        </w:tc>
      </w:tr>
      <w:tr w:rsidR="00A874AC" w:rsidRPr="00C23348" w:rsidTr="00995A55">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C633A" w:rsidRPr="00C23348" w:rsidRDefault="009C633A" w:rsidP="0097650B">
            <w:pPr>
              <w:jc w:val="left"/>
              <w:rPr>
                <w:color w:val="000000"/>
                <w:sz w:val="20"/>
                <w:szCs w:val="20"/>
              </w:rPr>
            </w:pPr>
            <w:r>
              <w:rPr>
                <w:color w:val="000000"/>
                <w:sz w:val="20"/>
                <w:szCs w:val="20"/>
              </w:rPr>
              <w:t>C</w:t>
            </w:r>
            <w:r w:rsidR="0097650B">
              <w:rPr>
                <w:color w:val="000000"/>
                <w:sz w:val="20"/>
                <w:szCs w:val="20"/>
              </w:rPr>
              <w:t>/</w:t>
            </w:r>
            <w:r>
              <w:rPr>
                <w:color w:val="000000"/>
                <w:sz w:val="20"/>
                <w:szCs w:val="20"/>
              </w:rPr>
              <w:t>I</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color w:val="000000"/>
                <w:sz w:val="20"/>
                <w:szCs w:val="20"/>
              </w:rPr>
            </w:pPr>
            <w:r>
              <w:rPr>
                <w:color w:val="000000"/>
                <w:sz w:val="20"/>
                <w:szCs w:val="20"/>
              </w:rPr>
              <w:t>61,391</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color w:val="000000"/>
                <w:sz w:val="20"/>
                <w:szCs w:val="20"/>
              </w:rPr>
            </w:pPr>
            <w:r>
              <w:rPr>
                <w:color w:val="000000"/>
                <w:sz w:val="20"/>
                <w:szCs w:val="20"/>
              </w:rPr>
              <w:t>42,411</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color w:val="000000"/>
                <w:sz w:val="20"/>
                <w:szCs w:val="20"/>
              </w:rPr>
            </w:pPr>
            <w:r>
              <w:rPr>
                <w:color w:val="000000"/>
                <w:sz w:val="20"/>
                <w:szCs w:val="20"/>
              </w:rPr>
              <w:t>147,885</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color w:val="000000"/>
                <w:sz w:val="20"/>
                <w:szCs w:val="20"/>
              </w:rPr>
            </w:pPr>
            <w:r>
              <w:rPr>
                <w:color w:val="000000"/>
                <w:sz w:val="20"/>
                <w:szCs w:val="20"/>
              </w:rPr>
              <w:t>105,815</w:t>
            </w:r>
          </w:p>
        </w:tc>
      </w:tr>
      <w:tr w:rsidR="00E7173E" w:rsidRPr="00C23348" w:rsidTr="001D479D">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C633A" w:rsidRPr="00C23348" w:rsidRDefault="009C633A" w:rsidP="009C633A">
            <w:pPr>
              <w:jc w:val="left"/>
              <w:rPr>
                <w:color w:val="000000"/>
                <w:sz w:val="20"/>
                <w:szCs w:val="20"/>
              </w:rPr>
            </w:pPr>
            <w:r>
              <w:rPr>
                <w:color w:val="000000"/>
                <w:sz w:val="20"/>
                <w:szCs w:val="20"/>
              </w:rPr>
              <w:t>GNI</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13,685</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9,577</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33,726</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22,525</w:t>
            </w:r>
          </w:p>
        </w:tc>
      </w:tr>
      <w:tr w:rsidR="00A874AC" w:rsidRPr="00C23348" w:rsidTr="00995A55">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C633A" w:rsidRPr="00C23348" w:rsidRDefault="009C633A" w:rsidP="009C633A">
            <w:pPr>
              <w:jc w:val="left"/>
              <w:rPr>
                <w:b/>
                <w:bCs/>
                <w:i/>
                <w:iCs/>
                <w:color w:val="000000"/>
                <w:sz w:val="20"/>
                <w:szCs w:val="20"/>
              </w:rPr>
            </w:pPr>
            <w:r>
              <w:rPr>
                <w:b/>
                <w:bCs/>
                <w:i/>
                <w:iCs/>
                <w:color w:val="000000"/>
                <w:sz w:val="20"/>
                <w:szCs w:val="20"/>
              </w:rPr>
              <w:t>Total Portfolio</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b/>
                <w:bCs/>
                <w:i/>
                <w:iCs/>
                <w:color w:val="000000"/>
                <w:sz w:val="20"/>
                <w:szCs w:val="20"/>
              </w:rPr>
            </w:pPr>
            <w:r>
              <w:rPr>
                <w:b/>
                <w:bCs/>
                <w:i/>
                <w:iCs/>
                <w:color w:val="000000"/>
                <w:sz w:val="20"/>
                <w:szCs w:val="20"/>
              </w:rPr>
              <w:t>158,760</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b/>
                <w:bCs/>
                <w:i/>
                <w:iCs/>
                <w:color w:val="000000"/>
                <w:sz w:val="20"/>
                <w:szCs w:val="20"/>
              </w:rPr>
            </w:pPr>
            <w:r>
              <w:rPr>
                <w:b/>
                <w:bCs/>
                <w:i/>
                <w:iCs/>
                <w:color w:val="000000"/>
                <w:sz w:val="20"/>
                <w:szCs w:val="20"/>
              </w:rPr>
              <w:t>120,335</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b/>
                <w:bCs/>
                <w:i/>
                <w:iCs/>
                <w:color w:val="000000"/>
                <w:sz w:val="20"/>
                <w:szCs w:val="20"/>
              </w:rPr>
            </w:pPr>
            <w:r>
              <w:rPr>
                <w:b/>
                <w:bCs/>
                <w:i/>
                <w:iCs/>
                <w:color w:val="000000"/>
                <w:sz w:val="20"/>
                <w:szCs w:val="20"/>
              </w:rPr>
              <w:t>358,073</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b/>
                <w:bCs/>
                <w:i/>
                <w:iCs/>
                <w:color w:val="000000"/>
                <w:sz w:val="20"/>
                <w:szCs w:val="20"/>
              </w:rPr>
            </w:pPr>
            <w:r>
              <w:rPr>
                <w:b/>
                <w:bCs/>
                <w:i/>
                <w:iCs/>
                <w:color w:val="000000"/>
                <w:sz w:val="20"/>
                <w:szCs w:val="20"/>
              </w:rPr>
              <w:t>254,263</w:t>
            </w:r>
          </w:p>
        </w:tc>
      </w:tr>
    </w:tbl>
    <w:p w:rsidR="00710D47" w:rsidRPr="00CC0B37" w:rsidRDefault="00710D47" w:rsidP="00CC0B37"/>
    <w:p w:rsidR="00950837" w:rsidRDefault="00950837" w:rsidP="000D3563">
      <w:pPr>
        <w:pStyle w:val="AppendixAHeading2"/>
      </w:pPr>
      <w:r>
        <w:t>Total Resource Cost Test</w:t>
      </w:r>
    </w:p>
    <w:p w:rsidR="00DB2DF9" w:rsidRDefault="00DB2DF9" w:rsidP="00DB2DF9">
      <w:r>
        <w:fldChar w:fldCharType="begin"/>
      </w:r>
      <w:r>
        <w:instrText xml:space="preserve"> REF _Ref472446708 \h </w:instrText>
      </w:r>
      <w:r>
        <w:fldChar w:fldCharType="separate"/>
      </w:r>
      <w:r w:rsidR="00037CB4">
        <w:t>Table A-</w:t>
      </w:r>
      <w:r w:rsidR="00037CB4">
        <w:rPr>
          <w:noProof/>
        </w:rPr>
        <w:t>88</w:t>
      </w:r>
      <w:r>
        <w:fldChar w:fldCharType="end"/>
      </w:r>
      <w:r>
        <w:t xml:space="preserve"> </w:t>
      </w:r>
      <w:r w:rsidRPr="00DB2DF9">
        <w:t>presents TRC NPV benefits, TRC NPV costs, present value of net benefits, and</w:t>
      </w:r>
      <w:r w:rsidR="00F850BF">
        <w:t xml:space="preserve"> the</w:t>
      </w:r>
      <w:r w:rsidRPr="00DB2DF9">
        <w:t xml:space="preserve"> TRC ratio for West Penn’s PY7 individual programs and total portfolio. The SWE found no initial inconsistencies between the TRC model outputs and the TRC results shown in the PY7 annual report.</w:t>
      </w:r>
    </w:p>
    <w:p w:rsidR="00DB2DF9" w:rsidRPr="00DB2DF9" w:rsidRDefault="00DB2DF9" w:rsidP="00DB2DF9"/>
    <w:p w:rsidR="00DB2DF9" w:rsidRDefault="00DB2DF9" w:rsidP="004837FA">
      <w:pPr>
        <w:pStyle w:val="Caption"/>
      </w:pPr>
      <w:bookmarkStart w:id="1002" w:name="_Ref472446708"/>
      <w:bookmarkStart w:id="1003" w:name="_Toc472472497"/>
      <w:bookmarkStart w:id="1004" w:name="_Toc488741916"/>
      <w:r>
        <w:t>Table A-</w:t>
      </w:r>
      <w:r w:rsidR="007973A4">
        <w:fldChar w:fldCharType="begin"/>
      </w:r>
      <w:r w:rsidR="007973A4">
        <w:instrText xml:space="preserve"> SEQ Table_A- \* ARABIC </w:instrText>
      </w:r>
      <w:r w:rsidR="007973A4">
        <w:fldChar w:fldCharType="separate"/>
      </w:r>
      <w:r w:rsidR="00037CB4">
        <w:rPr>
          <w:noProof/>
        </w:rPr>
        <w:t>88</w:t>
      </w:r>
      <w:r w:rsidR="007973A4">
        <w:rPr>
          <w:noProof/>
        </w:rPr>
        <w:fldChar w:fldCharType="end"/>
      </w:r>
      <w:bookmarkEnd w:id="1002"/>
      <w:r>
        <w:t>:</w:t>
      </w:r>
      <w:r w:rsidRPr="00DB2DF9">
        <w:t xml:space="preserve"> </w:t>
      </w:r>
      <w:r w:rsidR="00F850BF">
        <w:t>Summary of West Penn</w:t>
      </w:r>
      <w:r w:rsidRPr="00F54C27">
        <w:t>’s PY</w:t>
      </w:r>
      <w:r>
        <w:t>7</w:t>
      </w:r>
      <w:r w:rsidRPr="00F54C27">
        <w:t xml:space="preserve"> TRC Factors and Results</w:t>
      </w:r>
      <w:bookmarkEnd w:id="1003"/>
      <w:bookmarkEnd w:id="1004"/>
    </w:p>
    <w:tbl>
      <w:tblPr>
        <w:tblW w:w="9355"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532"/>
        <w:gridCol w:w="1457"/>
        <w:gridCol w:w="1457"/>
        <w:gridCol w:w="1654"/>
        <w:gridCol w:w="1255"/>
      </w:tblGrid>
      <w:tr w:rsidR="00A874AC" w:rsidRPr="00A96C4C" w:rsidTr="00CC0B37">
        <w:trPr>
          <w:trHeight w:val="782"/>
          <w:tblHeader/>
          <w:jc w:val="center"/>
        </w:trPr>
        <w:tc>
          <w:tcPr>
            <w:tcW w:w="3532" w:type="dxa"/>
            <w:shd w:val="clear" w:color="000000" w:fill="448A99"/>
            <w:noWrap/>
            <w:vAlign w:val="bottom"/>
            <w:hideMark/>
          </w:tcPr>
          <w:p w:rsidR="00DB2DF9" w:rsidRPr="00053445" w:rsidRDefault="00DB2DF9" w:rsidP="005C1352">
            <w:pPr>
              <w:jc w:val="left"/>
              <w:rPr>
                <w:b/>
                <w:bCs/>
                <w:color w:val="FFFFFF"/>
                <w:sz w:val="19"/>
                <w:szCs w:val="19"/>
              </w:rPr>
            </w:pPr>
            <w:r w:rsidRPr="00053445">
              <w:rPr>
                <w:b/>
                <w:bCs/>
                <w:color w:val="FFFFFF"/>
                <w:sz w:val="19"/>
                <w:szCs w:val="19"/>
              </w:rPr>
              <w:t>Program</w:t>
            </w:r>
          </w:p>
        </w:tc>
        <w:tc>
          <w:tcPr>
            <w:tcW w:w="1457" w:type="dxa"/>
            <w:shd w:val="clear" w:color="000000" w:fill="448A99"/>
            <w:vAlign w:val="bottom"/>
            <w:hideMark/>
          </w:tcPr>
          <w:p w:rsidR="00DB2DF9" w:rsidRPr="00053445" w:rsidRDefault="00DB2DF9" w:rsidP="005C1352">
            <w:pPr>
              <w:jc w:val="center"/>
              <w:rPr>
                <w:b/>
                <w:bCs/>
                <w:color w:val="FFFFFF"/>
                <w:sz w:val="19"/>
                <w:szCs w:val="19"/>
              </w:rPr>
            </w:pPr>
            <w:r w:rsidRPr="00053445">
              <w:rPr>
                <w:b/>
                <w:bCs/>
                <w:color w:val="FFFFFF"/>
                <w:sz w:val="19"/>
                <w:szCs w:val="19"/>
              </w:rPr>
              <w:t>TRC NPV Benefits</w:t>
            </w:r>
          </w:p>
          <w:p w:rsidR="00DB2DF9" w:rsidRPr="00053445" w:rsidRDefault="00DB2DF9" w:rsidP="005C1352">
            <w:pPr>
              <w:jc w:val="center"/>
              <w:rPr>
                <w:rFonts w:eastAsia="Calibri"/>
                <w:b/>
                <w:bCs/>
                <w:color w:val="FFFFFF"/>
                <w:sz w:val="19"/>
                <w:szCs w:val="19"/>
              </w:rPr>
            </w:pPr>
            <w:r w:rsidRPr="00053445">
              <w:rPr>
                <w:b/>
                <w:bCs/>
                <w:color w:val="FFFFFF"/>
                <w:sz w:val="19"/>
                <w:szCs w:val="19"/>
              </w:rPr>
              <w:t>($)</w:t>
            </w:r>
          </w:p>
        </w:tc>
        <w:tc>
          <w:tcPr>
            <w:tcW w:w="1457" w:type="dxa"/>
            <w:shd w:val="clear" w:color="000000" w:fill="448A99"/>
            <w:vAlign w:val="bottom"/>
            <w:hideMark/>
          </w:tcPr>
          <w:p w:rsidR="00DB2DF9" w:rsidRPr="00053445" w:rsidRDefault="00DB2DF9" w:rsidP="005C1352">
            <w:pPr>
              <w:jc w:val="center"/>
              <w:rPr>
                <w:rFonts w:eastAsia="Calibri"/>
                <w:b/>
                <w:bCs/>
                <w:color w:val="FFFFFF"/>
                <w:sz w:val="19"/>
                <w:szCs w:val="19"/>
              </w:rPr>
            </w:pPr>
            <w:r w:rsidRPr="00053445">
              <w:rPr>
                <w:b/>
                <w:bCs/>
                <w:color w:val="FFFFFF"/>
                <w:sz w:val="19"/>
                <w:szCs w:val="19"/>
              </w:rPr>
              <w:t>TRC NPV Costs</w:t>
            </w:r>
          </w:p>
          <w:p w:rsidR="00DB2DF9" w:rsidRPr="00053445" w:rsidRDefault="00DB2DF9" w:rsidP="005C1352">
            <w:pPr>
              <w:jc w:val="center"/>
              <w:rPr>
                <w:rFonts w:eastAsia="Calibri"/>
                <w:b/>
                <w:bCs/>
                <w:color w:val="FFFFFF"/>
                <w:sz w:val="19"/>
                <w:szCs w:val="19"/>
              </w:rPr>
            </w:pPr>
            <w:r w:rsidRPr="00053445">
              <w:rPr>
                <w:b/>
                <w:bCs/>
                <w:color w:val="FFFFFF"/>
                <w:sz w:val="19"/>
                <w:szCs w:val="19"/>
              </w:rPr>
              <w:t>($)</w:t>
            </w:r>
          </w:p>
        </w:tc>
        <w:tc>
          <w:tcPr>
            <w:tcW w:w="1654" w:type="dxa"/>
            <w:shd w:val="clear" w:color="000000" w:fill="448A99"/>
            <w:vAlign w:val="bottom"/>
          </w:tcPr>
          <w:p w:rsidR="00DB2DF9" w:rsidRPr="00053445" w:rsidRDefault="00DB2DF9" w:rsidP="005C1352">
            <w:pPr>
              <w:jc w:val="center"/>
              <w:rPr>
                <w:rFonts w:eastAsia="Calibri"/>
                <w:b/>
                <w:bCs/>
                <w:color w:val="FFFFFF"/>
                <w:sz w:val="19"/>
                <w:szCs w:val="19"/>
              </w:rPr>
            </w:pPr>
            <w:r w:rsidRPr="00053445">
              <w:rPr>
                <w:b/>
                <w:bCs/>
                <w:color w:val="FFFFFF"/>
                <w:sz w:val="19"/>
                <w:szCs w:val="19"/>
              </w:rPr>
              <w:t>Present Value of Net Benefits</w:t>
            </w:r>
          </w:p>
          <w:p w:rsidR="00DB2DF9" w:rsidRPr="00053445" w:rsidRDefault="00DB2DF9" w:rsidP="005C1352">
            <w:pPr>
              <w:jc w:val="center"/>
              <w:rPr>
                <w:rFonts w:eastAsia="Calibri"/>
                <w:b/>
                <w:bCs/>
                <w:color w:val="FFFFFF"/>
                <w:sz w:val="19"/>
                <w:szCs w:val="19"/>
              </w:rPr>
            </w:pPr>
            <w:r w:rsidRPr="00053445">
              <w:rPr>
                <w:b/>
                <w:bCs/>
                <w:color w:val="FFFFFF"/>
                <w:sz w:val="19"/>
                <w:szCs w:val="19"/>
              </w:rPr>
              <w:t>($)</w:t>
            </w:r>
          </w:p>
        </w:tc>
        <w:tc>
          <w:tcPr>
            <w:tcW w:w="1255" w:type="dxa"/>
            <w:shd w:val="clear" w:color="000000" w:fill="448A99"/>
            <w:noWrap/>
            <w:vAlign w:val="bottom"/>
            <w:hideMark/>
          </w:tcPr>
          <w:p w:rsidR="00DB2DF9" w:rsidRPr="00053445" w:rsidRDefault="00DB2DF9" w:rsidP="005C1352">
            <w:pPr>
              <w:jc w:val="center"/>
              <w:rPr>
                <w:rFonts w:eastAsia="Calibri"/>
                <w:b/>
                <w:bCs/>
                <w:color w:val="FFFFFF"/>
                <w:sz w:val="19"/>
                <w:szCs w:val="19"/>
              </w:rPr>
            </w:pPr>
            <w:r w:rsidRPr="00053445">
              <w:rPr>
                <w:b/>
                <w:bCs/>
                <w:color w:val="FFFFFF"/>
                <w:sz w:val="19"/>
                <w:szCs w:val="19"/>
              </w:rPr>
              <w:t>TRC Ratio</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DB2DF9" w:rsidRPr="00053445" w:rsidRDefault="00DB2DF9" w:rsidP="005C1352">
            <w:pPr>
              <w:jc w:val="left"/>
              <w:rPr>
                <w:bCs/>
                <w:color w:val="000000"/>
                <w:sz w:val="19"/>
                <w:szCs w:val="19"/>
              </w:rPr>
            </w:pPr>
            <w:r w:rsidRPr="00053445">
              <w:rPr>
                <w:color w:val="000000"/>
                <w:sz w:val="19"/>
                <w:szCs w:val="19"/>
              </w:rPr>
              <w:t>Appliance Turn-In</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rFonts w:cs="Arial"/>
                <w:color w:val="000000"/>
                <w:sz w:val="19"/>
                <w:szCs w:val="19"/>
              </w:rPr>
              <w:t xml:space="preserve">$1,927,839 </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rFonts w:cs="Arial"/>
                <w:color w:val="000000"/>
                <w:sz w:val="19"/>
                <w:szCs w:val="19"/>
              </w:rPr>
              <w:t xml:space="preserve">$812,695 </w:t>
            </w:r>
          </w:p>
        </w:tc>
        <w:tc>
          <w:tcPr>
            <w:tcW w:w="1654" w:type="dxa"/>
            <w:tcBorders>
              <w:top w:val="nil"/>
              <w:left w:val="nil"/>
              <w:bottom w:val="single" w:sz="8" w:space="0" w:color="448A99"/>
              <w:right w:val="single" w:sz="8" w:space="0" w:color="448A99"/>
            </w:tcBorders>
            <w:shd w:val="clear" w:color="auto" w:fill="auto"/>
            <w:vAlign w:val="center"/>
          </w:tcPr>
          <w:p w:rsidR="00DB2DF9" w:rsidRPr="00053445" w:rsidRDefault="00DB2DF9" w:rsidP="005C1352">
            <w:pPr>
              <w:jc w:val="center"/>
              <w:rPr>
                <w:color w:val="000000"/>
                <w:sz w:val="19"/>
                <w:szCs w:val="19"/>
              </w:rPr>
            </w:pPr>
            <w:r w:rsidRPr="00053445">
              <w:rPr>
                <w:rFonts w:cs="Arial"/>
                <w:color w:val="000000"/>
                <w:sz w:val="19"/>
                <w:szCs w:val="19"/>
              </w:rPr>
              <w:t xml:space="preserve">$1,115,144 </w:t>
            </w:r>
          </w:p>
        </w:tc>
        <w:tc>
          <w:tcPr>
            <w:tcW w:w="1255"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rFonts w:cs="Arial"/>
                <w:color w:val="000000"/>
                <w:sz w:val="19"/>
                <w:szCs w:val="19"/>
              </w:rPr>
              <w:t>2.37</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DB2DF9" w:rsidRPr="00053445" w:rsidRDefault="00DB2DF9" w:rsidP="005C1352">
            <w:pPr>
              <w:jc w:val="left"/>
              <w:rPr>
                <w:bCs/>
                <w:color w:val="000000"/>
                <w:sz w:val="19"/>
                <w:szCs w:val="19"/>
              </w:rPr>
            </w:pPr>
            <w:r w:rsidRPr="00053445">
              <w:rPr>
                <w:color w:val="000000"/>
                <w:sz w:val="19"/>
                <w:szCs w:val="19"/>
              </w:rPr>
              <w:t>Efficient Products</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 xml:space="preserve">$15,250,919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 xml:space="preserve">$8,604,628 </w:t>
            </w:r>
          </w:p>
        </w:tc>
        <w:tc>
          <w:tcPr>
            <w:tcW w:w="1654" w:type="dxa"/>
            <w:tcBorders>
              <w:top w:val="nil"/>
              <w:left w:val="nil"/>
              <w:bottom w:val="single" w:sz="8" w:space="0" w:color="448A99"/>
              <w:right w:val="single" w:sz="8" w:space="0" w:color="448A99"/>
            </w:tcBorders>
            <w:shd w:val="clear" w:color="000000" w:fill="D2EAF1"/>
            <w:vAlign w:val="center"/>
          </w:tcPr>
          <w:p w:rsidR="00DB2DF9" w:rsidRPr="00053445" w:rsidRDefault="00DB2DF9" w:rsidP="005C1352">
            <w:pPr>
              <w:jc w:val="center"/>
              <w:rPr>
                <w:color w:val="000000"/>
                <w:sz w:val="19"/>
                <w:szCs w:val="19"/>
              </w:rPr>
            </w:pPr>
            <w:r w:rsidRPr="00053445">
              <w:rPr>
                <w:rFonts w:cs="Arial"/>
                <w:color w:val="000000"/>
                <w:sz w:val="19"/>
                <w:szCs w:val="19"/>
              </w:rPr>
              <w:t xml:space="preserve">$6,646,290 </w:t>
            </w:r>
          </w:p>
        </w:tc>
        <w:tc>
          <w:tcPr>
            <w:tcW w:w="1255"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rFonts w:cs="Arial"/>
                <w:color w:val="000000"/>
                <w:sz w:val="19"/>
                <w:szCs w:val="19"/>
              </w:rPr>
              <w:t>1.77</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DB2DF9" w:rsidRPr="00053445" w:rsidRDefault="00DB2DF9" w:rsidP="005C1352">
            <w:pPr>
              <w:jc w:val="left"/>
              <w:rPr>
                <w:bCs/>
                <w:color w:val="000000"/>
                <w:sz w:val="19"/>
                <w:szCs w:val="19"/>
              </w:rPr>
            </w:pPr>
            <w:r w:rsidRPr="00053445">
              <w:rPr>
                <w:color w:val="000000"/>
                <w:sz w:val="19"/>
                <w:szCs w:val="19"/>
              </w:rPr>
              <w:t>Home Performance</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 xml:space="preserve">$6,218,817 </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 xml:space="preserve">$3,772,136 </w:t>
            </w:r>
          </w:p>
        </w:tc>
        <w:tc>
          <w:tcPr>
            <w:tcW w:w="1654" w:type="dxa"/>
            <w:tcBorders>
              <w:top w:val="nil"/>
              <w:left w:val="nil"/>
              <w:bottom w:val="single" w:sz="8" w:space="0" w:color="448A99"/>
              <w:right w:val="single" w:sz="8" w:space="0" w:color="448A99"/>
            </w:tcBorders>
            <w:shd w:val="clear" w:color="auto" w:fill="auto"/>
            <w:vAlign w:val="center"/>
          </w:tcPr>
          <w:p w:rsidR="00DB2DF9" w:rsidRPr="00053445" w:rsidRDefault="00DB2DF9" w:rsidP="005C1352">
            <w:pPr>
              <w:jc w:val="center"/>
              <w:rPr>
                <w:color w:val="000000"/>
                <w:sz w:val="19"/>
                <w:szCs w:val="19"/>
              </w:rPr>
            </w:pPr>
            <w:r w:rsidRPr="00053445">
              <w:rPr>
                <w:color w:val="000000"/>
                <w:sz w:val="19"/>
                <w:szCs w:val="19"/>
              </w:rPr>
              <w:t xml:space="preserve">$2,446,680 </w:t>
            </w:r>
          </w:p>
        </w:tc>
        <w:tc>
          <w:tcPr>
            <w:tcW w:w="1255"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1.65</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DB2DF9" w:rsidRPr="00053445" w:rsidRDefault="00DB2DF9" w:rsidP="005C1352">
            <w:pPr>
              <w:jc w:val="left"/>
              <w:rPr>
                <w:bCs/>
                <w:color w:val="000000"/>
                <w:sz w:val="19"/>
                <w:szCs w:val="19"/>
              </w:rPr>
            </w:pPr>
            <w:r w:rsidRPr="00053445">
              <w:rPr>
                <w:color w:val="000000"/>
                <w:sz w:val="19"/>
                <w:szCs w:val="19"/>
              </w:rPr>
              <w:t>Low Income</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 xml:space="preserve">$640,722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 xml:space="preserve">$2,561,108 </w:t>
            </w:r>
          </w:p>
        </w:tc>
        <w:tc>
          <w:tcPr>
            <w:tcW w:w="1654" w:type="dxa"/>
            <w:tcBorders>
              <w:top w:val="nil"/>
              <w:left w:val="nil"/>
              <w:bottom w:val="single" w:sz="8" w:space="0" w:color="448A99"/>
              <w:right w:val="single" w:sz="8" w:space="0" w:color="448A99"/>
            </w:tcBorders>
            <w:shd w:val="clear" w:color="000000" w:fill="D2EAF1"/>
            <w:vAlign w:val="center"/>
          </w:tcPr>
          <w:p w:rsidR="00DB2DF9" w:rsidRPr="00053445" w:rsidRDefault="00DB2DF9" w:rsidP="005C1352">
            <w:pPr>
              <w:jc w:val="center"/>
              <w:rPr>
                <w:color w:val="000000"/>
                <w:sz w:val="19"/>
                <w:szCs w:val="19"/>
              </w:rPr>
            </w:pPr>
            <w:r w:rsidRPr="00053445">
              <w:rPr>
                <w:color w:val="FF0000"/>
                <w:sz w:val="19"/>
                <w:szCs w:val="19"/>
              </w:rPr>
              <w:t>($1,920,386)</w:t>
            </w:r>
          </w:p>
        </w:tc>
        <w:tc>
          <w:tcPr>
            <w:tcW w:w="1255"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0.25</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DB2DF9" w:rsidRPr="00053445" w:rsidRDefault="00DB2DF9" w:rsidP="005C1352">
            <w:pPr>
              <w:jc w:val="left"/>
              <w:rPr>
                <w:bCs/>
                <w:color w:val="000000"/>
                <w:sz w:val="19"/>
                <w:szCs w:val="19"/>
              </w:rPr>
            </w:pPr>
            <w:r w:rsidRPr="00053445">
              <w:rPr>
                <w:color w:val="000000"/>
                <w:sz w:val="19"/>
                <w:szCs w:val="19"/>
              </w:rPr>
              <w:t>Small C/I Equipment</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 xml:space="preserve">$15,427,982 </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 xml:space="preserve">$3,153,707 </w:t>
            </w:r>
          </w:p>
        </w:tc>
        <w:tc>
          <w:tcPr>
            <w:tcW w:w="1654" w:type="dxa"/>
            <w:tcBorders>
              <w:top w:val="nil"/>
              <w:left w:val="nil"/>
              <w:bottom w:val="single" w:sz="8" w:space="0" w:color="448A99"/>
              <w:right w:val="single" w:sz="8" w:space="0" w:color="448A99"/>
            </w:tcBorders>
            <w:shd w:val="clear" w:color="auto" w:fill="auto"/>
            <w:vAlign w:val="center"/>
          </w:tcPr>
          <w:p w:rsidR="00DB2DF9" w:rsidRPr="00053445" w:rsidRDefault="00DB2DF9" w:rsidP="005C1352">
            <w:pPr>
              <w:jc w:val="center"/>
              <w:rPr>
                <w:color w:val="000000"/>
                <w:sz w:val="19"/>
                <w:szCs w:val="19"/>
              </w:rPr>
            </w:pPr>
            <w:r w:rsidRPr="00053445">
              <w:rPr>
                <w:color w:val="000000"/>
                <w:sz w:val="19"/>
                <w:szCs w:val="19"/>
              </w:rPr>
              <w:t xml:space="preserve">$12,274,274 </w:t>
            </w:r>
          </w:p>
        </w:tc>
        <w:tc>
          <w:tcPr>
            <w:tcW w:w="1255"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4.89</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DB2DF9" w:rsidRPr="00053445" w:rsidRDefault="00DB2DF9" w:rsidP="005C1352">
            <w:pPr>
              <w:jc w:val="left"/>
              <w:rPr>
                <w:bCs/>
                <w:color w:val="000000"/>
                <w:sz w:val="19"/>
                <w:szCs w:val="19"/>
              </w:rPr>
            </w:pPr>
            <w:r w:rsidRPr="00053445">
              <w:rPr>
                <w:color w:val="000000"/>
                <w:sz w:val="19"/>
                <w:szCs w:val="19"/>
              </w:rPr>
              <w:t>Small C/I Buildings</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 xml:space="preserve">$1,419,428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 xml:space="preserve">$1,700,604 </w:t>
            </w:r>
          </w:p>
        </w:tc>
        <w:tc>
          <w:tcPr>
            <w:tcW w:w="1654" w:type="dxa"/>
            <w:tcBorders>
              <w:top w:val="nil"/>
              <w:left w:val="nil"/>
              <w:bottom w:val="single" w:sz="8" w:space="0" w:color="448A99"/>
              <w:right w:val="single" w:sz="8" w:space="0" w:color="448A99"/>
            </w:tcBorders>
            <w:shd w:val="clear" w:color="000000" w:fill="D2EAF1"/>
            <w:vAlign w:val="center"/>
          </w:tcPr>
          <w:p w:rsidR="00DB2DF9" w:rsidRPr="00053445" w:rsidRDefault="00DB2DF9" w:rsidP="005C1352">
            <w:pPr>
              <w:jc w:val="center"/>
              <w:rPr>
                <w:color w:val="000000"/>
                <w:sz w:val="19"/>
                <w:szCs w:val="19"/>
              </w:rPr>
            </w:pPr>
            <w:r w:rsidRPr="00053445">
              <w:rPr>
                <w:color w:val="FF0000"/>
                <w:sz w:val="19"/>
                <w:szCs w:val="19"/>
              </w:rPr>
              <w:t>($281,176)</w:t>
            </w:r>
          </w:p>
        </w:tc>
        <w:tc>
          <w:tcPr>
            <w:tcW w:w="1255"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0.83</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DB2DF9" w:rsidRPr="00053445" w:rsidRDefault="00DB2DF9" w:rsidP="005C1352">
            <w:pPr>
              <w:jc w:val="left"/>
              <w:rPr>
                <w:bCs/>
                <w:color w:val="000000"/>
                <w:sz w:val="19"/>
                <w:szCs w:val="19"/>
              </w:rPr>
            </w:pPr>
            <w:r w:rsidRPr="00053445">
              <w:rPr>
                <w:color w:val="000000"/>
                <w:sz w:val="19"/>
                <w:szCs w:val="19"/>
              </w:rPr>
              <w:t>Large C/I Equipment</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 xml:space="preserve">$25,929,747 </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 xml:space="preserve">$15,387,523 </w:t>
            </w:r>
          </w:p>
        </w:tc>
        <w:tc>
          <w:tcPr>
            <w:tcW w:w="1654" w:type="dxa"/>
            <w:tcBorders>
              <w:top w:val="nil"/>
              <w:left w:val="nil"/>
              <w:bottom w:val="single" w:sz="8" w:space="0" w:color="448A99"/>
              <w:right w:val="single" w:sz="8" w:space="0" w:color="448A99"/>
            </w:tcBorders>
            <w:shd w:val="clear" w:color="auto" w:fill="auto"/>
            <w:vAlign w:val="center"/>
          </w:tcPr>
          <w:p w:rsidR="00DB2DF9" w:rsidRPr="00053445" w:rsidRDefault="00DB2DF9" w:rsidP="005C1352">
            <w:pPr>
              <w:jc w:val="center"/>
              <w:rPr>
                <w:color w:val="000000"/>
                <w:sz w:val="19"/>
                <w:szCs w:val="19"/>
              </w:rPr>
            </w:pPr>
            <w:r w:rsidRPr="00053445">
              <w:rPr>
                <w:color w:val="000000"/>
                <w:sz w:val="19"/>
                <w:szCs w:val="19"/>
              </w:rPr>
              <w:t xml:space="preserve">$10,542,224 </w:t>
            </w:r>
          </w:p>
        </w:tc>
        <w:tc>
          <w:tcPr>
            <w:tcW w:w="1255"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1.69</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D2EAF1"/>
            <w:vAlign w:val="center"/>
            <w:hideMark/>
          </w:tcPr>
          <w:p w:rsidR="00DB2DF9" w:rsidRPr="00053445" w:rsidRDefault="00DB2DF9" w:rsidP="005C1352">
            <w:pPr>
              <w:jc w:val="left"/>
              <w:rPr>
                <w:bCs/>
                <w:color w:val="000000"/>
                <w:sz w:val="19"/>
                <w:szCs w:val="19"/>
              </w:rPr>
            </w:pPr>
            <w:r w:rsidRPr="00053445">
              <w:rPr>
                <w:color w:val="000000"/>
                <w:sz w:val="19"/>
                <w:szCs w:val="19"/>
              </w:rPr>
              <w:t>Large C/I Buildings</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 xml:space="preserve">$2,579,485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 xml:space="preserve">$1,650,412 </w:t>
            </w:r>
          </w:p>
        </w:tc>
        <w:tc>
          <w:tcPr>
            <w:tcW w:w="1654" w:type="dxa"/>
            <w:tcBorders>
              <w:top w:val="nil"/>
              <w:left w:val="nil"/>
              <w:bottom w:val="single" w:sz="8" w:space="0" w:color="448A99"/>
              <w:right w:val="single" w:sz="8" w:space="0" w:color="448A99"/>
            </w:tcBorders>
            <w:shd w:val="clear" w:color="000000" w:fill="D2EAF1"/>
            <w:vAlign w:val="center"/>
          </w:tcPr>
          <w:p w:rsidR="00DB2DF9" w:rsidRPr="00053445" w:rsidRDefault="00DB2DF9" w:rsidP="005C1352">
            <w:pPr>
              <w:jc w:val="center"/>
              <w:rPr>
                <w:color w:val="000000"/>
                <w:sz w:val="19"/>
                <w:szCs w:val="19"/>
              </w:rPr>
            </w:pPr>
            <w:r w:rsidRPr="00053445">
              <w:rPr>
                <w:color w:val="000000"/>
                <w:sz w:val="19"/>
                <w:szCs w:val="19"/>
              </w:rPr>
              <w:t xml:space="preserve">$929,073 </w:t>
            </w:r>
          </w:p>
        </w:tc>
        <w:tc>
          <w:tcPr>
            <w:tcW w:w="1255"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color w:val="000000"/>
                <w:sz w:val="19"/>
                <w:szCs w:val="19"/>
              </w:rPr>
            </w:pPr>
            <w:r w:rsidRPr="00053445">
              <w:rPr>
                <w:color w:val="000000"/>
                <w:sz w:val="19"/>
                <w:szCs w:val="19"/>
              </w:rPr>
              <w:t>1.56</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vAlign w:val="center"/>
            <w:hideMark/>
          </w:tcPr>
          <w:p w:rsidR="00DB2DF9" w:rsidRPr="00053445" w:rsidRDefault="00DB2DF9" w:rsidP="005C1352">
            <w:pPr>
              <w:jc w:val="left"/>
              <w:rPr>
                <w:bCs/>
                <w:color w:val="000000"/>
                <w:sz w:val="19"/>
                <w:szCs w:val="19"/>
              </w:rPr>
            </w:pPr>
            <w:r w:rsidRPr="00053445">
              <w:rPr>
                <w:color w:val="000000"/>
                <w:sz w:val="19"/>
                <w:szCs w:val="19"/>
              </w:rPr>
              <w:t>Gov./Institutional</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 xml:space="preserve">$818,911 </w:t>
            </w:r>
          </w:p>
        </w:tc>
        <w:tc>
          <w:tcPr>
            <w:tcW w:w="1457"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 xml:space="preserve">$1,299,894 </w:t>
            </w:r>
          </w:p>
        </w:tc>
        <w:tc>
          <w:tcPr>
            <w:tcW w:w="1654" w:type="dxa"/>
            <w:tcBorders>
              <w:top w:val="nil"/>
              <w:left w:val="nil"/>
              <w:bottom w:val="single" w:sz="8" w:space="0" w:color="448A99"/>
              <w:right w:val="single" w:sz="8" w:space="0" w:color="448A99"/>
            </w:tcBorders>
            <w:shd w:val="clear" w:color="auto" w:fill="auto"/>
            <w:vAlign w:val="center"/>
          </w:tcPr>
          <w:p w:rsidR="00DB2DF9" w:rsidRPr="00053445" w:rsidRDefault="00DB2DF9" w:rsidP="005C1352">
            <w:pPr>
              <w:jc w:val="center"/>
              <w:rPr>
                <w:color w:val="000000"/>
                <w:sz w:val="19"/>
                <w:szCs w:val="19"/>
              </w:rPr>
            </w:pPr>
            <w:r w:rsidRPr="00053445">
              <w:rPr>
                <w:color w:val="FF0000"/>
                <w:sz w:val="19"/>
                <w:szCs w:val="19"/>
              </w:rPr>
              <w:t>($480,983)</w:t>
            </w:r>
          </w:p>
        </w:tc>
        <w:tc>
          <w:tcPr>
            <w:tcW w:w="1255" w:type="dxa"/>
            <w:tcBorders>
              <w:top w:val="nil"/>
              <w:left w:val="nil"/>
              <w:bottom w:val="single" w:sz="8" w:space="0" w:color="448A99"/>
              <w:right w:val="single" w:sz="8" w:space="0" w:color="448A99"/>
            </w:tcBorders>
            <w:shd w:val="clear" w:color="auto" w:fill="auto"/>
            <w:noWrap/>
            <w:vAlign w:val="center"/>
          </w:tcPr>
          <w:p w:rsidR="00DB2DF9" w:rsidRPr="00053445" w:rsidRDefault="00DB2DF9" w:rsidP="005C1352">
            <w:pPr>
              <w:jc w:val="center"/>
              <w:rPr>
                <w:color w:val="000000"/>
                <w:sz w:val="19"/>
                <w:szCs w:val="19"/>
              </w:rPr>
            </w:pPr>
            <w:r w:rsidRPr="00053445">
              <w:rPr>
                <w:color w:val="000000"/>
                <w:sz w:val="19"/>
                <w:szCs w:val="19"/>
              </w:rPr>
              <w:t>0.63</w:t>
            </w:r>
          </w:p>
        </w:tc>
      </w:tr>
      <w:tr w:rsidR="00A874AC" w:rsidRPr="00A81289" w:rsidTr="005C1352">
        <w:trPr>
          <w:trHeight w:val="346"/>
          <w:jc w:val="center"/>
        </w:trPr>
        <w:tc>
          <w:tcPr>
            <w:tcW w:w="3532" w:type="dxa"/>
            <w:shd w:val="clear" w:color="auto" w:fill="D2EAF1"/>
            <w:vAlign w:val="center"/>
            <w:hideMark/>
          </w:tcPr>
          <w:p w:rsidR="00DB2DF9" w:rsidRPr="00053445" w:rsidRDefault="00DB2DF9" w:rsidP="005C1352">
            <w:pPr>
              <w:jc w:val="left"/>
              <w:rPr>
                <w:b/>
                <w:bCs/>
                <w:iCs/>
                <w:color w:val="000000"/>
                <w:sz w:val="19"/>
                <w:szCs w:val="19"/>
              </w:rPr>
            </w:pPr>
            <w:r w:rsidRPr="00053445">
              <w:rPr>
                <w:b/>
                <w:bCs/>
                <w:iCs/>
                <w:color w:val="000000"/>
                <w:sz w:val="19"/>
                <w:szCs w:val="19"/>
              </w:rPr>
              <w:t>Total Portfolio</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b/>
                <w:bCs/>
                <w:color w:val="000000"/>
                <w:sz w:val="19"/>
                <w:szCs w:val="19"/>
              </w:rPr>
            </w:pPr>
            <w:r w:rsidRPr="00053445">
              <w:rPr>
                <w:rFonts w:cs="Arial"/>
                <w:b/>
                <w:bCs/>
                <w:color w:val="000000"/>
                <w:sz w:val="19"/>
                <w:szCs w:val="19"/>
              </w:rPr>
              <w:t xml:space="preserve">$70,213,849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b/>
                <w:bCs/>
                <w:color w:val="000000"/>
                <w:sz w:val="19"/>
                <w:szCs w:val="19"/>
              </w:rPr>
            </w:pPr>
            <w:r w:rsidRPr="00053445">
              <w:rPr>
                <w:rFonts w:cs="Arial"/>
                <w:b/>
                <w:bCs/>
                <w:color w:val="000000"/>
                <w:sz w:val="19"/>
                <w:szCs w:val="19"/>
              </w:rPr>
              <w:t xml:space="preserve">$38,942,708 </w:t>
            </w:r>
          </w:p>
        </w:tc>
        <w:tc>
          <w:tcPr>
            <w:tcW w:w="1654" w:type="dxa"/>
            <w:tcBorders>
              <w:top w:val="nil"/>
              <w:left w:val="nil"/>
              <w:bottom w:val="single" w:sz="8" w:space="0" w:color="448A99"/>
              <w:right w:val="single" w:sz="8" w:space="0" w:color="448A99"/>
            </w:tcBorders>
            <w:shd w:val="clear" w:color="000000" w:fill="D2EAF1"/>
            <w:vAlign w:val="center"/>
          </w:tcPr>
          <w:p w:rsidR="00DB2DF9" w:rsidRPr="00053445" w:rsidRDefault="00DB2DF9" w:rsidP="005C1352">
            <w:pPr>
              <w:jc w:val="center"/>
              <w:rPr>
                <w:b/>
                <w:bCs/>
                <w:color w:val="000000"/>
                <w:sz w:val="19"/>
                <w:szCs w:val="19"/>
              </w:rPr>
            </w:pPr>
            <w:r w:rsidRPr="00053445">
              <w:rPr>
                <w:b/>
                <w:bCs/>
                <w:color w:val="000000"/>
                <w:sz w:val="19"/>
                <w:szCs w:val="19"/>
              </w:rPr>
              <w:t xml:space="preserve">$31,271,141 </w:t>
            </w:r>
          </w:p>
        </w:tc>
        <w:tc>
          <w:tcPr>
            <w:tcW w:w="1255" w:type="dxa"/>
            <w:tcBorders>
              <w:top w:val="nil"/>
              <w:left w:val="nil"/>
              <w:bottom w:val="single" w:sz="8" w:space="0" w:color="448A99"/>
              <w:right w:val="single" w:sz="8" w:space="0" w:color="448A99"/>
            </w:tcBorders>
            <w:shd w:val="clear" w:color="000000" w:fill="D2EAF1"/>
            <w:noWrap/>
            <w:vAlign w:val="center"/>
          </w:tcPr>
          <w:p w:rsidR="00DB2DF9" w:rsidRPr="00053445" w:rsidRDefault="00DB2DF9" w:rsidP="005C1352">
            <w:pPr>
              <w:jc w:val="center"/>
              <w:rPr>
                <w:b/>
                <w:bCs/>
                <w:color w:val="000000"/>
                <w:sz w:val="19"/>
                <w:szCs w:val="19"/>
              </w:rPr>
            </w:pPr>
            <w:r w:rsidRPr="00053445">
              <w:rPr>
                <w:b/>
                <w:bCs/>
                <w:color w:val="000000"/>
                <w:sz w:val="19"/>
                <w:szCs w:val="19"/>
              </w:rPr>
              <w:t>1.80</w:t>
            </w:r>
          </w:p>
        </w:tc>
      </w:tr>
    </w:tbl>
    <w:p w:rsidR="00DB2DF9" w:rsidRPr="00CC0B37" w:rsidRDefault="00DB2DF9" w:rsidP="00CC0B37"/>
    <w:p w:rsidR="00DB2DF9" w:rsidRDefault="00DB2DF9" w:rsidP="007E0D0D">
      <w:pPr>
        <w:pStyle w:val="bullettext"/>
      </w:pPr>
      <w:r w:rsidRPr="00B8757D">
        <w:t xml:space="preserve">In summary, </w:t>
      </w:r>
      <w:r w:rsidR="00F850BF">
        <w:t>six</w:t>
      </w:r>
      <w:r>
        <w:t xml:space="preserve"> of West Penn’s </w:t>
      </w:r>
      <w:r w:rsidR="00F850BF">
        <w:t>nine</w:t>
      </w:r>
      <w:r w:rsidRPr="00B8757D">
        <w:t xml:space="preserve"> programs offered were found to be cost-effective</w:t>
      </w:r>
      <w:r>
        <w:t xml:space="preserve"> and</w:t>
      </w:r>
      <w:r w:rsidRPr="00B8757D">
        <w:t xml:space="preserve"> </w:t>
      </w:r>
      <w:r w:rsidR="00F850BF">
        <w:t>three</w:t>
      </w:r>
      <w:r w:rsidRPr="00B8757D">
        <w:t xml:space="preserve"> were non-cost-effective. The breakout of cost-effective and non-cost-effective programs is </w:t>
      </w:r>
      <w:r>
        <w:t>shown</w:t>
      </w:r>
      <w:r w:rsidRPr="00B8757D">
        <w:t xml:space="preserve"> below.</w:t>
      </w:r>
    </w:p>
    <w:p w:rsidR="00DB2DF9" w:rsidRPr="00053445" w:rsidRDefault="00053445" w:rsidP="00DB2DF9">
      <w:pPr>
        <w:rPr>
          <w:rFonts w:ascii="Century Gothic" w:hAnsi="Century Gothic"/>
          <w:b/>
          <w:color w:val="404040" w:themeColor="text1" w:themeTint="BF"/>
          <w:spacing w:val="-12"/>
        </w:rPr>
      </w:pPr>
      <w:r w:rsidRPr="00053445">
        <w:rPr>
          <w:rFonts w:ascii="Century Gothic" w:hAnsi="Century Gothic"/>
          <w:b/>
          <w:color w:val="404040" w:themeColor="text1" w:themeTint="BF"/>
          <w:spacing w:val="-12"/>
        </w:rPr>
        <w:t>COST-EFFECTIVE PROGRAMS</w:t>
      </w:r>
    </w:p>
    <w:p w:rsidR="00DB2DF9" w:rsidRPr="00B8757D" w:rsidRDefault="00DB2DF9" w:rsidP="00DB2DF9">
      <w:pPr>
        <w:spacing w:after="60"/>
        <w:rPr>
          <w:b/>
          <w:color w:val="448A99"/>
        </w:rPr>
      </w:pPr>
      <w:r w:rsidRPr="00B8757D">
        <w:rPr>
          <w:b/>
          <w:color w:val="448A99"/>
        </w:rPr>
        <w:t>(TRC Ratio &gt; 1.0)</w:t>
      </w:r>
    </w:p>
    <w:p w:rsidR="00053445" w:rsidRDefault="00053445" w:rsidP="00E646C9">
      <w:pPr>
        <w:numPr>
          <w:ilvl w:val="0"/>
          <w:numId w:val="82"/>
        </w:numPr>
        <w:ind w:left="360"/>
        <w:rPr>
          <w:i/>
        </w:rPr>
        <w:sectPr w:rsidR="00053445" w:rsidSect="008B741E">
          <w:headerReference w:type="default" r:id="rId149"/>
          <w:footerReference w:type="default" r:id="rId150"/>
          <w:headerReference w:type="first" r:id="rId151"/>
          <w:footerReference w:type="first" r:id="rId152"/>
          <w:pgSz w:w="12240" w:h="15840"/>
          <w:pgMar w:top="1440" w:right="1440" w:bottom="1440" w:left="1440" w:header="720" w:footer="288" w:gutter="0"/>
          <w:cols w:space="720"/>
          <w:titlePg/>
          <w:docGrid w:linePitch="360"/>
        </w:sectPr>
      </w:pPr>
    </w:p>
    <w:p w:rsidR="00DB2DF9" w:rsidRDefault="00DB2DF9" w:rsidP="00E646C9">
      <w:pPr>
        <w:numPr>
          <w:ilvl w:val="0"/>
          <w:numId w:val="82"/>
        </w:numPr>
        <w:ind w:left="360"/>
        <w:rPr>
          <w:i/>
        </w:rPr>
      </w:pPr>
      <w:r w:rsidRPr="00B8757D">
        <w:rPr>
          <w:i/>
        </w:rPr>
        <w:t>Residential Appliance Turn-In</w:t>
      </w:r>
    </w:p>
    <w:p w:rsidR="00DB2DF9" w:rsidRPr="00B8757D" w:rsidRDefault="00DB2DF9" w:rsidP="00E646C9">
      <w:pPr>
        <w:numPr>
          <w:ilvl w:val="0"/>
          <w:numId w:val="82"/>
        </w:numPr>
        <w:ind w:left="360"/>
        <w:rPr>
          <w:i/>
        </w:rPr>
      </w:pPr>
      <w:r w:rsidRPr="00B8757D">
        <w:rPr>
          <w:i/>
        </w:rPr>
        <w:t>Energy Efficient Products</w:t>
      </w:r>
    </w:p>
    <w:p w:rsidR="00DB2DF9" w:rsidRPr="00752B3D" w:rsidRDefault="00DB2DF9" w:rsidP="00E646C9">
      <w:pPr>
        <w:numPr>
          <w:ilvl w:val="0"/>
          <w:numId w:val="82"/>
        </w:numPr>
        <w:ind w:left="360"/>
        <w:rPr>
          <w:i/>
        </w:rPr>
      </w:pPr>
      <w:r w:rsidRPr="00B8757D">
        <w:rPr>
          <w:i/>
        </w:rPr>
        <w:t>Residential Home Performance</w:t>
      </w:r>
    </w:p>
    <w:p w:rsidR="00DB2DF9" w:rsidRPr="00656082" w:rsidRDefault="00DB2DF9" w:rsidP="00E646C9">
      <w:pPr>
        <w:numPr>
          <w:ilvl w:val="0"/>
          <w:numId w:val="82"/>
        </w:numPr>
        <w:ind w:left="360"/>
        <w:rPr>
          <w:i/>
        </w:rPr>
      </w:pPr>
      <w:r w:rsidRPr="00B8757D">
        <w:rPr>
          <w:i/>
        </w:rPr>
        <w:t>Small C/I Energy Efficient Buildings</w:t>
      </w:r>
    </w:p>
    <w:p w:rsidR="00DB2DF9" w:rsidRDefault="00DB2DF9" w:rsidP="00E646C9">
      <w:pPr>
        <w:numPr>
          <w:ilvl w:val="0"/>
          <w:numId w:val="82"/>
        </w:numPr>
        <w:ind w:left="360"/>
        <w:rPr>
          <w:i/>
        </w:rPr>
      </w:pPr>
      <w:r w:rsidRPr="00B8757D">
        <w:rPr>
          <w:i/>
        </w:rPr>
        <w:t>Large C/I Energy Efficient Equipment</w:t>
      </w:r>
    </w:p>
    <w:p w:rsidR="00053445" w:rsidRDefault="00DB2DF9" w:rsidP="00E646C9">
      <w:pPr>
        <w:numPr>
          <w:ilvl w:val="0"/>
          <w:numId w:val="82"/>
        </w:numPr>
        <w:ind w:left="360"/>
        <w:rPr>
          <w:i/>
        </w:rPr>
        <w:sectPr w:rsidR="00053445" w:rsidSect="00053445">
          <w:type w:val="continuous"/>
          <w:pgSz w:w="12240" w:h="15840"/>
          <w:pgMar w:top="1440" w:right="1440" w:bottom="1440" w:left="1440" w:header="720" w:footer="288" w:gutter="0"/>
          <w:cols w:num="2" w:space="180"/>
          <w:titlePg/>
          <w:docGrid w:linePitch="360"/>
        </w:sectPr>
      </w:pPr>
      <w:r w:rsidRPr="00B8757D">
        <w:rPr>
          <w:i/>
        </w:rPr>
        <w:t>Large C/I Energy Efficient Buildings</w:t>
      </w:r>
    </w:p>
    <w:p w:rsidR="00DB2DF9" w:rsidRPr="00B8757D" w:rsidRDefault="00DB2DF9" w:rsidP="00DB2DF9">
      <w:pPr>
        <w:rPr>
          <w:rFonts w:ascii="Century Gothic" w:hAnsi="Century Gothic"/>
          <w:b/>
        </w:rPr>
      </w:pPr>
    </w:p>
    <w:p w:rsidR="00DB2DF9" w:rsidRPr="00053445" w:rsidRDefault="00053445" w:rsidP="00DB2DF9">
      <w:pPr>
        <w:rPr>
          <w:rFonts w:ascii="Century Gothic" w:hAnsi="Century Gothic"/>
          <w:b/>
          <w:color w:val="404040" w:themeColor="text1" w:themeTint="BF"/>
          <w:spacing w:val="-12"/>
        </w:rPr>
      </w:pPr>
      <w:r w:rsidRPr="00053445">
        <w:rPr>
          <w:rFonts w:ascii="Century Gothic" w:hAnsi="Century Gothic"/>
          <w:b/>
          <w:color w:val="404040" w:themeColor="text1" w:themeTint="BF"/>
          <w:spacing w:val="-12"/>
        </w:rPr>
        <w:t>NON-COST-EFFECTIVE PROGRAMS</w:t>
      </w:r>
    </w:p>
    <w:p w:rsidR="00DB2DF9" w:rsidRPr="00B8757D" w:rsidRDefault="00DB2DF9" w:rsidP="00DB2DF9">
      <w:pPr>
        <w:spacing w:after="60"/>
        <w:rPr>
          <w:b/>
          <w:color w:val="448A99"/>
        </w:rPr>
      </w:pPr>
      <w:r w:rsidRPr="00B8757D">
        <w:rPr>
          <w:b/>
          <w:color w:val="448A99"/>
        </w:rPr>
        <w:t>(TRC Ratio &lt; 1.0)</w:t>
      </w:r>
    </w:p>
    <w:p w:rsidR="00053445" w:rsidRDefault="00053445" w:rsidP="00E646C9">
      <w:pPr>
        <w:numPr>
          <w:ilvl w:val="0"/>
          <w:numId w:val="82"/>
        </w:numPr>
        <w:ind w:left="360"/>
        <w:rPr>
          <w:i/>
        </w:rPr>
        <w:sectPr w:rsidR="00053445" w:rsidSect="00053445">
          <w:type w:val="continuous"/>
          <w:pgSz w:w="12240" w:h="15840"/>
          <w:pgMar w:top="1440" w:right="1440" w:bottom="1440" w:left="1440" w:header="720" w:footer="288" w:gutter="0"/>
          <w:cols w:space="720"/>
          <w:titlePg/>
          <w:docGrid w:linePitch="360"/>
        </w:sectPr>
      </w:pPr>
    </w:p>
    <w:p w:rsidR="00DB2DF9" w:rsidRDefault="00DB2DF9" w:rsidP="00E646C9">
      <w:pPr>
        <w:numPr>
          <w:ilvl w:val="0"/>
          <w:numId w:val="82"/>
        </w:numPr>
        <w:ind w:left="360"/>
        <w:rPr>
          <w:i/>
        </w:rPr>
      </w:pPr>
      <w:r w:rsidRPr="00B8757D">
        <w:rPr>
          <w:i/>
        </w:rPr>
        <w:t>Residential Low-Income</w:t>
      </w:r>
    </w:p>
    <w:p w:rsidR="00DB2DF9" w:rsidRPr="00656082" w:rsidRDefault="00DB2DF9" w:rsidP="00E646C9">
      <w:pPr>
        <w:numPr>
          <w:ilvl w:val="0"/>
          <w:numId w:val="82"/>
        </w:numPr>
        <w:ind w:left="360"/>
        <w:rPr>
          <w:i/>
        </w:rPr>
      </w:pPr>
      <w:r w:rsidRPr="00B8757D">
        <w:rPr>
          <w:i/>
        </w:rPr>
        <w:t>Small C/I Energy Efficient Buildings</w:t>
      </w:r>
    </w:p>
    <w:p w:rsidR="00053445" w:rsidRDefault="00DB2DF9" w:rsidP="00E646C9">
      <w:pPr>
        <w:numPr>
          <w:ilvl w:val="0"/>
          <w:numId w:val="82"/>
        </w:numPr>
        <w:ind w:left="360"/>
        <w:rPr>
          <w:i/>
        </w:rPr>
        <w:sectPr w:rsidR="00053445" w:rsidSect="00053445">
          <w:type w:val="continuous"/>
          <w:pgSz w:w="12240" w:h="15840"/>
          <w:pgMar w:top="1440" w:right="1440" w:bottom="1440" w:left="1440" w:header="720" w:footer="288" w:gutter="0"/>
          <w:cols w:num="2" w:space="180"/>
          <w:titlePg/>
          <w:docGrid w:linePitch="360"/>
        </w:sectPr>
      </w:pPr>
      <w:r w:rsidRPr="00B8757D">
        <w:rPr>
          <w:i/>
        </w:rPr>
        <w:t xml:space="preserve">Government </w:t>
      </w:r>
      <w:r>
        <w:rPr>
          <w:i/>
        </w:rPr>
        <w:t>and</w:t>
      </w:r>
      <w:r w:rsidRPr="00B8757D">
        <w:rPr>
          <w:i/>
        </w:rPr>
        <w:t xml:space="preserve"> Institutional</w:t>
      </w:r>
    </w:p>
    <w:p w:rsidR="00DB2DF9" w:rsidRPr="008A5E9E" w:rsidRDefault="00DB2DF9" w:rsidP="00DB2DF9">
      <w:pPr>
        <w:rPr>
          <w:highlight w:val="lightGray"/>
        </w:rPr>
      </w:pPr>
    </w:p>
    <w:p w:rsidR="00DB2DF9" w:rsidRDefault="00DB2DF9" w:rsidP="00DB2DF9">
      <w:r>
        <w:t>In PY7, the Home Performance and Large C/I Buildings programs screened as cost-effective</w:t>
      </w:r>
      <w:r w:rsidR="00F850BF">
        <w:t xml:space="preserve">. </w:t>
      </w:r>
      <w:r>
        <w:t xml:space="preserve">Overall, </w:t>
      </w:r>
      <w:r w:rsidRPr="0006691A">
        <w:t>programs with large amounts of energy and demand savings generally had high TRC ratios. This signifies that the programs garnering the most savings were also the most cost-effective programs in PY</w:t>
      </w:r>
      <w:r>
        <w:t>7</w:t>
      </w:r>
      <w:r w:rsidRPr="0006691A">
        <w:t>.</w:t>
      </w:r>
    </w:p>
    <w:p w:rsidR="00DB2DF9" w:rsidRDefault="00DB2DF9" w:rsidP="00353645">
      <w:pPr>
        <w:pStyle w:val="AppendixAHeading1"/>
        <w:numPr>
          <w:ilvl w:val="0"/>
          <w:numId w:val="0"/>
        </w:numPr>
      </w:pPr>
    </w:p>
    <w:p w:rsidR="00950837" w:rsidRDefault="00950837" w:rsidP="009C0DF1">
      <w:pPr>
        <w:pStyle w:val="AppendixAHeading3"/>
      </w:pPr>
      <w:r>
        <w:t>Assumptions and Inputs</w:t>
      </w:r>
    </w:p>
    <w:p w:rsidR="00DB2DF9" w:rsidRDefault="00DB2DF9" w:rsidP="00DB2DF9">
      <w:r w:rsidRPr="00DB2DF9">
        <w:t xml:space="preserve">One TRC model template was shared across all four FirstEnergy companies. Despite the similar model, the TRC model calculations were handled independently for each of the four EDCs. The West Penn iteration of the FirstEnergy TRC model used a discount rate of </w:t>
      </w:r>
      <w:r w:rsidR="00397FF8">
        <w:t>9.15</w:t>
      </w:r>
      <w:r w:rsidRPr="00DB2DF9">
        <w:t>% to compare the NPV of program benefits that will occur later in a measure’s lifetime to the up</w:t>
      </w:r>
      <w:r w:rsidR="00540FD5">
        <w:t>-</w:t>
      </w:r>
      <w:r w:rsidRPr="00DB2DF9">
        <w:t xml:space="preserve">front costs of installation of implementation. This value matches the EDC’s EE&amp;C </w:t>
      </w:r>
      <w:r w:rsidR="00540FD5">
        <w:t>p</w:t>
      </w:r>
      <w:r w:rsidRPr="00DB2DF9">
        <w:t>lan on file. Different values of LLF were used for different sectors, as shown in</w:t>
      </w:r>
      <w:r>
        <w:t xml:space="preserve"> </w:t>
      </w:r>
      <w:r>
        <w:fldChar w:fldCharType="begin"/>
      </w:r>
      <w:r>
        <w:instrText xml:space="preserve"> REF _Ref472446794 \h </w:instrText>
      </w:r>
      <w:r>
        <w:fldChar w:fldCharType="separate"/>
      </w:r>
      <w:r w:rsidR="00037CB4">
        <w:t>Table A-</w:t>
      </w:r>
      <w:r w:rsidR="00037CB4">
        <w:rPr>
          <w:noProof/>
        </w:rPr>
        <w:t>89</w:t>
      </w:r>
      <w:r>
        <w:fldChar w:fldCharType="end"/>
      </w:r>
      <w:r>
        <w:t>.</w:t>
      </w:r>
    </w:p>
    <w:p w:rsidR="00CC0B37" w:rsidRDefault="00CC0B37" w:rsidP="00DB2DF9"/>
    <w:p w:rsidR="00DB2DF9" w:rsidRDefault="00DB2DF9" w:rsidP="004837FA">
      <w:pPr>
        <w:pStyle w:val="Caption"/>
      </w:pPr>
      <w:bookmarkStart w:id="1005" w:name="_Ref472446794"/>
      <w:bookmarkStart w:id="1006" w:name="_Toc472472498"/>
      <w:bookmarkStart w:id="1007" w:name="_Toc488741917"/>
      <w:r>
        <w:t>Table A-</w:t>
      </w:r>
      <w:r w:rsidR="007973A4">
        <w:fldChar w:fldCharType="begin"/>
      </w:r>
      <w:r w:rsidR="007973A4">
        <w:instrText xml:space="preserve"> SEQ Table_A- \* ARABIC </w:instrText>
      </w:r>
      <w:r w:rsidR="007973A4">
        <w:fldChar w:fldCharType="separate"/>
      </w:r>
      <w:r w:rsidR="00037CB4">
        <w:rPr>
          <w:noProof/>
        </w:rPr>
        <w:t>89</w:t>
      </w:r>
      <w:r w:rsidR="007973A4">
        <w:rPr>
          <w:noProof/>
        </w:rPr>
        <w:fldChar w:fldCharType="end"/>
      </w:r>
      <w:bookmarkEnd w:id="1005"/>
      <w:r>
        <w:t xml:space="preserve">: </w:t>
      </w:r>
      <w:r w:rsidR="00540FD5">
        <w:t>West Penn</w:t>
      </w:r>
      <w:r w:rsidRPr="00DB2DF9">
        <w:t>’s PY7 Discount Rates and LLFs</w:t>
      </w:r>
      <w:bookmarkEnd w:id="1006"/>
      <w:bookmarkEnd w:id="1007"/>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83"/>
        <w:gridCol w:w="1568"/>
        <w:gridCol w:w="1568"/>
        <w:gridCol w:w="1568"/>
        <w:gridCol w:w="1568"/>
      </w:tblGrid>
      <w:tr w:rsidR="00A874AC" w:rsidRPr="00124B6E" w:rsidTr="00CC0B37">
        <w:trPr>
          <w:trHeight w:val="278"/>
          <w:tblHeader/>
        </w:trPr>
        <w:tc>
          <w:tcPr>
            <w:tcW w:w="3083" w:type="dxa"/>
            <w:shd w:val="clear" w:color="000000" w:fill="448A99"/>
            <w:noWrap/>
            <w:vAlign w:val="bottom"/>
            <w:hideMark/>
          </w:tcPr>
          <w:p w:rsidR="00DB2DF9" w:rsidRPr="00124B6E" w:rsidRDefault="00DB2DF9" w:rsidP="005C1352">
            <w:pPr>
              <w:jc w:val="left"/>
              <w:rPr>
                <w:b/>
                <w:bCs/>
                <w:color w:val="FFFFFF"/>
                <w:sz w:val="19"/>
                <w:szCs w:val="19"/>
              </w:rPr>
            </w:pPr>
            <w:r w:rsidRPr="00124B6E">
              <w:rPr>
                <w:b/>
                <w:bCs/>
                <w:color w:val="FFFFFF"/>
                <w:sz w:val="19"/>
                <w:szCs w:val="19"/>
              </w:rPr>
              <w:t>Program</w:t>
            </w:r>
          </w:p>
        </w:tc>
        <w:tc>
          <w:tcPr>
            <w:tcW w:w="1568" w:type="dxa"/>
            <w:shd w:val="clear" w:color="000000" w:fill="448A99"/>
            <w:noWrap/>
            <w:vAlign w:val="bottom"/>
            <w:hideMark/>
          </w:tcPr>
          <w:p w:rsidR="00DB2DF9" w:rsidRPr="00124B6E" w:rsidRDefault="00DB2DF9" w:rsidP="005C1352">
            <w:pPr>
              <w:jc w:val="center"/>
              <w:rPr>
                <w:b/>
                <w:bCs/>
                <w:color w:val="FFFFFF"/>
                <w:sz w:val="19"/>
                <w:szCs w:val="19"/>
              </w:rPr>
            </w:pPr>
            <w:r w:rsidRPr="00124B6E">
              <w:rPr>
                <w:b/>
                <w:bCs/>
                <w:color w:val="FFFFFF"/>
                <w:sz w:val="19"/>
                <w:szCs w:val="19"/>
              </w:rPr>
              <w:t>Sector</w:t>
            </w:r>
          </w:p>
        </w:tc>
        <w:tc>
          <w:tcPr>
            <w:tcW w:w="1568" w:type="dxa"/>
            <w:shd w:val="clear" w:color="000000" w:fill="448A99"/>
            <w:noWrap/>
            <w:vAlign w:val="bottom"/>
            <w:hideMark/>
          </w:tcPr>
          <w:p w:rsidR="00DB2DF9" w:rsidRPr="00124B6E" w:rsidRDefault="00DB2DF9" w:rsidP="005C1352">
            <w:pPr>
              <w:jc w:val="center"/>
              <w:rPr>
                <w:b/>
                <w:bCs/>
                <w:color w:val="FFFFFF"/>
                <w:sz w:val="19"/>
                <w:szCs w:val="19"/>
              </w:rPr>
            </w:pPr>
            <w:r w:rsidRPr="00124B6E">
              <w:rPr>
                <w:b/>
                <w:bCs/>
                <w:color w:val="FFFFFF"/>
                <w:sz w:val="19"/>
                <w:szCs w:val="19"/>
              </w:rPr>
              <w:t>Discount Rate</w:t>
            </w:r>
          </w:p>
        </w:tc>
        <w:tc>
          <w:tcPr>
            <w:tcW w:w="1568" w:type="dxa"/>
            <w:shd w:val="clear" w:color="000000" w:fill="448A99"/>
            <w:vAlign w:val="bottom"/>
            <w:hideMark/>
          </w:tcPr>
          <w:p w:rsidR="00DB2DF9" w:rsidRPr="00124B6E" w:rsidRDefault="00DB2DF9" w:rsidP="005C1352">
            <w:pPr>
              <w:jc w:val="center"/>
              <w:rPr>
                <w:b/>
                <w:bCs/>
                <w:color w:val="FFFFFF"/>
                <w:sz w:val="19"/>
                <w:szCs w:val="19"/>
              </w:rPr>
            </w:pPr>
            <w:r w:rsidRPr="00124B6E">
              <w:rPr>
                <w:b/>
                <w:bCs/>
                <w:color w:val="FFFFFF"/>
                <w:sz w:val="19"/>
                <w:szCs w:val="19"/>
              </w:rPr>
              <w:t>Energy LLF</w:t>
            </w:r>
          </w:p>
        </w:tc>
        <w:tc>
          <w:tcPr>
            <w:tcW w:w="1568" w:type="dxa"/>
            <w:shd w:val="clear" w:color="000000" w:fill="448A99"/>
            <w:vAlign w:val="bottom"/>
            <w:hideMark/>
          </w:tcPr>
          <w:p w:rsidR="00DB2DF9" w:rsidRPr="00124B6E" w:rsidRDefault="00DB2DF9" w:rsidP="005C1352">
            <w:pPr>
              <w:jc w:val="center"/>
              <w:rPr>
                <w:b/>
                <w:bCs/>
                <w:color w:val="FFFFFF"/>
                <w:sz w:val="19"/>
                <w:szCs w:val="19"/>
              </w:rPr>
            </w:pPr>
            <w:r w:rsidRPr="00124B6E">
              <w:rPr>
                <w:b/>
                <w:bCs/>
                <w:color w:val="FFFFFF"/>
                <w:sz w:val="19"/>
                <w:szCs w:val="19"/>
              </w:rPr>
              <w:t>Demand LLF</w:t>
            </w:r>
          </w:p>
        </w:tc>
      </w:tr>
      <w:tr w:rsidR="00E7173E" w:rsidRPr="00124B6E" w:rsidTr="001D479D">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B2DF9" w:rsidRPr="00124B6E" w:rsidRDefault="00DB2DF9" w:rsidP="005C1352">
            <w:pPr>
              <w:jc w:val="left"/>
              <w:rPr>
                <w:bCs/>
                <w:color w:val="000000"/>
                <w:sz w:val="19"/>
                <w:szCs w:val="19"/>
              </w:rPr>
            </w:pPr>
            <w:r w:rsidRPr="00124B6E">
              <w:rPr>
                <w:color w:val="000000"/>
                <w:sz w:val="19"/>
                <w:szCs w:val="19"/>
              </w:rPr>
              <w:t>Appliance Turn-In</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Residential</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9.15%</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9.10%</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9.10%</w:t>
            </w:r>
          </w:p>
        </w:tc>
      </w:tr>
      <w:tr w:rsidR="00A874AC" w:rsidRPr="00124B6E" w:rsidTr="00CC0B37">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B2DF9" w:rsidRPr="00124B6E" w:rsidRDefault="00DB2DF9" w:rsidP="005C1352">
            <w:pPr>
              <w:jc w:val="left"/>
              <w:rPr>
                <w:bCs/>
                <w:color w:val="000000"/>
                <w:sz w:val="19"/>
                <w:szCs w:val="19"/>
              </w:rPr>
            </w:pPr>
            <w:r w:rsidRPr="00124B6E">
              <w:rPr>
                <w:color w:val="000000"/>
                <w:sz w:val="19"/>
                <w:szCs w:val="19"/>
              </w:rPr>
              <w:t>Efficient Products</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Residential</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9.15%</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9.10%</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9.10%</w:t>
            </w:r>
          </w:p>
        </w:tc>
      </w:tr>
      <w:tr w:rsidR="00E7173E" w:rsidRPr="00124B6E" w:rsidTr="001D479D">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B2DF9" w:rsidRPr="00124B6E" w:rsidRDefault="00DB2DF9" w:rsidP="005C1352">
            <w:pPr>
              <w:jc w:val="left"/>
              <w:rPr>
                <w:bCs/>
                <w:color w:val="000000"/>
                <w:sz w:val="19"/>
                <w:szCs w:val="19"/>
              </w:rPr>
            </w:pPr>
            <w:r w:rsidRPr="00124B6E">
              <w:rPr>
                <w:color w:val="000000"/>
                <w:sz w:val="19"/>
                <w:szCs w:val="19"/>
              </w:rPr>
              <w:t>Home Performance</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Residential</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9.15%</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9.10%</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9.10%</w:t>
            </w:r>
          </w:p>
        </w:tc>
      </w:tr>
      <w:tr w:rsidR="00A874AC" w:rsidRPr="00124B6E" w:rsidTr="00CC0B37">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B2DF9" w:rsidRPr="00124B6E" w:rsidRDefault="00DB2DF9" w:rsidP="005C1352">
            <w:pPr>
              <w:jc w:val="left"/>
              <w:rPr>
                <w:bCs/>
                <w:color w:val="000000"/>
                <w:sz w:val="19"/>
                <w:szCs w:val="19"/>
              </w:rPr>
            </w:pPr>
            <w:r w:rsidRPr="00124B6E">
              <w:rPr>
                <w:color w:val="000000"/>
                <w:sz w:val="19"/>
                <w:szCs w:val="19"/>
              </w:rPr>
              <w:t>Low Income</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Residential</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9.15%</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9.10%</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9.10%</w:t>
            </w:r>
          </w:p>
        </w:tc>
      </w:tr>
      <w:tr w:rsidR="00E7173E" w:rsidRPr="00124B6E" w:rsidTr="008F60E1">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B2DF9" w:rsidRPr="00124B6E" w:rsidRDefault="00DB2DF9" w:rsidP="005C1352">
            <w:pPr>
              <w:jc w:val="left"/>
              <w:rPr>
                <w:bCs/>
                <w:color w:val="000000"/>
                <w:sz w:val="19"/>
                <w:szCs w:val="19"/>
              </w:rPr>
            </w:pPr>
            <w:r w:rsidRPr="00124B6E">
              <w:rPr>
                <w:color w:val="000000"/>
                <w:sz w:val="19"/>
                <w:szCs w:val="19"/>
              </w:rPr>
              <w:t>Small C/I Equipment</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Non-</w:t>
            </w:r>
            <w:r w:rsidR="008F60E1" w:rsidRPr="00124B6E">
              <w:rPr>
                <w:color w:val="000000"/>
                <w:sz w:val="19"/>
                <w:szCs w:val="19"/>
              </w:rPr>
              <w:t>R</w:t>
            </w:r>
            <w:r w:rsidRPr="00124B6E">
              <w:rPr>
                <w:color w:val="000000"/>
                <w:sz w:val="19"/>
                <w:szCs w:val="19"/>
              </w:rPr>
              <w:t>esidential</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9.15%</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7.90%</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7.90%</w:t>
            </w:r>
          </w:p>
        </w:tc>
      </w:tr>
      <w:tr w:rsidR="00A874AC" w:rsidRPr="00124B6E" w:rsidTr="00CC0B37">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B2DF9" w:rsidRPr="00124B6E" w:rsidRDefault="00DB2DF9" w:rsidP="005C1352">
            <w:pPr>
              <w:jc w:val="left"/>
              <w:rPr>
                <w:bCs/>
                <w:color w:val="000000"/>
                <w:sz w:val="19"/>
                <w:szCs w:val="19"/>
              </w:rPr>
            </w:pPr>
            <w:r w:rsidRPr="00124B6E">
              <w:rPr>
                <w:color w:val="000000"/>
                <w:sz w:val="19"/>
                <w:szCs w:val="19"/>
              </w:rPr>
              <w:t>Small C/I Buildings</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Non-</w:t>
            </w:r>
            <w:r w:rsidR="008F60E1" w:rsidRPr="00124B6E">
              <w:rPr>
                <w:color w:val="000000"/>
                <w:sz w:val="19"/>
                <w:szCs w:val="19"/>
              </w:rPr>
              <w:t>R</w:t>
            </w:r>
            <w:r w:rsidRPr="00124B6E">
              <w:rPr>
                <w:color w:val="000000"/>
                <w:sz w:val="19"/>
                <w:szCs w:val="19"/>
              </w:rPr>
              <w:t>esidential</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9.15%</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7.90%</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7.90%</w:t>
            </w:r>
          </w:p>
        </w:tc>
      </w:tr>
      <w:tr w:rsidR="00E7173E" w:rsidRPr="00124B6E" w:rsidTr="008F60E1">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B2DF9" w:rsidRPr="00124B6E" w:rsidRDefault="00DB2DF9" w:rsidP="005C1352">
            <w:pPr>
              <w:jc w:val="left"/>
              <w:rPr>
                <w:bCs/>
                <w:color w:val="000000"/>
                <w:sz w:val="19"/>
                <w:szCs w:val="19"/>
              </w:rPr>
            </w:pPr>
            <w:r w:rsidRPr="00124B6E">
              <w:rPr>
                <w:color w:val="000000"/>
                <w:sz w:val="19"/>
                <w:szCs w:val="19"/>
              </w:rPr>
              <w:t>Large C/I Equipment</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Non-</w:t>
            </w:r>
            <w:r w:rsidR="008F60E1" w:rsidRPr="00124B6E">
              <w:rPr>
                <w:color w:val="000000"/>
                <w:sz w:val="19"/>
                <w:szCs w:val="19"/>
              </w:rPr>
              <w:t>R</w:t>
            </w:r>
            <w:r w:rsidRPr="00124B6E">
              <w:rPr>
                <w:color w:val="000000"/>
                <w:sz w:val="19"/>
                <w:szCs w:val="19"/>
              </w:rPr>
              <w:t>esidential</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9.15%</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7.90%</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7.90%</w:t>
            </w:r>
          </w:p>
        </w:tc>
      </w:tr>
      <w:tr w:rsidR="00A874AC" w:rsidRPr="00124B6E" w:rsidTr="00CC0B37">
        <w:trPr>
          <w:trHeight w:val="346"/>
        </w:trPr>
        <w:tc>
          <w:tcPr>
            <w:tcW w:w="3083" w:type="dxa"/>
            <w:tcBorders>
              <w:top w:val="nil"/>
              <w:left w:val="single" w:sz="8" w:space="0" w:color="448A99"/>
              <w:bottom w:val="single" w:sz="8" w:space="0" w:color="448A99"/>
              <w:right w:val="single" w:sz="8" w:space="0" w:color="448A99"/>
            </w:tcBorders>
            <w:shd w:val="clear" w:color="auto" w:fill="D2EAF1"/>
            <w:vAlign w:val="center"/>
          </w:tcPr>
          <w:p w:rsidR="00DB2DF9" w:rsidRPr="00124B6E" w:rsidRDefault="00DB2DF9" w:rsidP="005C1352">
            <w:pPr>
              <w:jc w:val="left"/>
              <w:rPr>
                <w:bCs/>
                <w:color w:val="000000"/>
                <w:sz w:val="19"/>
                <w:szCs w:val="19"/>
              </w:rPr>
            </w:pPr>
            <w:r w:rsidRPr="00124B6E">
              <w:rPr>
                <w:color w:val="000000"/>
                <w:sz w:val="19"/>
                <w:szCs w:val="19"/>
              </w:rPr>
              <w:t>Large C/I Buildings</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Non-</w:t>
            </w:r>
            <w:r w:rsidR="008F60E1" w:rsidRPr="00124B6E">
              <w:rPr>
                <w:color w:val="000000"/>
                <w:sz w:val="19"/>
                <w:szCs w:val="19"/>
              </w:rPr>
              <w:t>R</w:t>
            </w:r>
            <w:r w:rsidRPr="00124B6E">
              <w:rPr>
                <w:color w:val="000000"/>
                <w:sz w:val="19"/>
                <w:szCs w:val="19"/>
              </w:rPr>
              <w:t>esidential</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9.15%</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7.90%</w:t>
            </w:r>
          </w:p>
        </w:tc>
        <w:tc>
          <w:tcPr>
            <w:tcW w:w="1568" w:type="dxa"/>
            <w:shd w:val="clear" w:color="auto" w:fill="D2EAF1"/>
            <w:noWrap/>
            <w:vAlign w:val="center"/>
          </w:tcPr>
          <w:p w:rsidR="00DB2DF9" w:rsidRPr="00124B6E" w:rsidRDefault="00DB2DF9" w:rsidP="005C1352">
            <w:pPr>
              <w:jc w:val="center"/>
              <w:rPr>
                <w:color w:val="000000"/>
                <w:sz w:val="19"/>
                <w:szCs w:val="19"/>
              </w:rPr>
            </w:pPr>
            <w:r w:rsidRPr="00124B6E">
              <w:rPr>
                <w:color w:val="000000"/>
                <w:sz w:val="19"/>
                <w:szCs w:val="19"/>
              </w:rPr>
              <w:t>7.90%</w:t>
            </w:r>
          </w:p>
        </w:tc>
      </w:tr>
      <w:tr w:rsidR="00E7173E" w:rsidRPr="00124B6E" w:rsidTr="008F60E1">
        <w:trPr>
          <w:trHeight w:val="346"/>
        </w:trPr>
        <w:tc>
          <w:tcPr>
            <w:tcW w:w="3083" w:type="dxa"/>
            <w:tcBorders>
              <w:top w:val="nil"/>
              <w:left w:val="single" w:sz="8" w:space="0" w:color="448A99"/>
              <w:bottom w:val="single" w:sz="8" w:space="0" w:color="448A99"/>
              <w:right w:val="single" w:sz="8" w:space="0" w:color="448A99"/>
            </w:tcBorders>
            <w:shd w:val="clear" w:color="auto" w:fill="auto"/>
            <w:vAlign w:val="center"/>
          </w:tcPr>
          <w:p w:rsidR="00DB2DF9" w:rsidRPr="00124B6E" w:rsidRDefault="00DB2DF9" w:rsidP="005C1352">
            <w:pPr>
              <w:jc w:val="left"/>
              <w:rPr>
                <w:bCs/>
                <w:color w:val="000000"/>
                <w:sz w:val="19"/>
                <w:szCs w:val="19"/>
              </w:rPr>
            </w:pPr>
            <w:r w:rsidRPr="00124B6E">
              <w:rPr>
                <w:color w:val="000000"/>
                <w:sz w:val="19"/>
                <w:szCs w:val="19"/>
              </w:rPr>
              <w:t>Gov./Institutional</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Non-</w:t>
            </w:r>
            <w:r w:rsidR="008F60E1" w:rsidRPr="00124B6E">
              <w:rPr>
                <w:color w:val="000000"/>
                <w:sz w:val="19"/>
                <w:szCs w:val="19"/>
              </w:rPr>
              <w:t>R</w:t>
            </w:r>
            <w:r w:rsidRPr="00124B6E">
              <w:rPr>
                <w:color w:val="000000"/>
                <w:sz w:val="19"/>
                <w:szCs w:val="19"/>
              </w:rPr>
              <w:t>esidential</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9.15%</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7.90%</w:t>
            </w:r>
          </w:p>
        </w:tc>
        <w:tc>
          <w:tcPr>
            <w:tcW w:w="1568" w:type="dxa"/>
            <w:shd w:val="clear" w:color="auto" w:fill="auto"/>
            <w:noWrap/>
            <w:vAlign w:val="center"/>
          </w:tcPr>
          <w:p w:rsidR="00DB2DF9" w:rsidRPr="00124B6E" w:rsidRDefault="00DB2DF9" w:rsidP="005C1352">
            <w:pPr>
              <w:jc w:val="center"/>
              <w:rPr>
                <w:color w:val="000000"/>
                <w:sz w:val="19"/>
                <w:szCs w:val="19"/>
              </w:rPr>
            </w:pPr>
            <w:r w:rsidRPr="00124B6E">
              <w:rPr>
                <w:color w:val="000000"/>
                <w:sz w:val="19"/>
                <w:szCs w:val="19"/>
              </w:rPr>
              <w:t>7.90%</w:t>
            </w:r>
          </w:p>
        </w:tc>
      </w:tr>
    </w:tbl>
    <w:p w:rsidR="00DB2DF9" w:rsidRPr="00DB2DF9" w:rsidRDefault="00DB2DF9" w:rsidP="00DB2DF9"/>
    <w:p w:rsidR="00DB2DF9" w:rsidRDefault="00DB2DF9" w:rsidP="00DB2DF9">
      <w:r>
        <w:t xml:space="preserve">In the residential sector, measure lives were reported on a measure-by-measure basis. The SWE Team spot-checked some of these measure lives and found them to be consistent with the 2015 </w:t>
      </w:r>
      <w:r w:rsidR="00C45E9A">
        <w:t>TRM.</w:t>
      </w:r>
      <w:r>
        <w:t xml:space="preserve"> In the non-residential sector, the TRC model applied an EUL at the stratum level rather than at the measure level. </w:t>
      </w:r>
    </w:p>
    <w:p w:rsidR="00DB2DF9" w:rsidRDefault="00DB2DF9" w:rsidP="00DB2DF9"/>
    <w:p w:rsidR="00DB2DF9" w:rsidRDefault="00DB2DF9" w:rsidP="00DB2DF9">
      <w:r>
        <w:t xml:space="preserve">Similarly, the model assigned incremental costs at the measure level in the residential sector and at the stratum level in the non-residential sector in the model. The residential-sector incremental costs primarily were derived from the SWE incremental cost database, the </w:t>
      </w:r>
      <w:r w:rsidR="00540FD5">
        <w:t>West Penn EE&amp;C p</w:t>
      </w:r>
      <w:r>
        <w:t>lan</w:t>
      </w:r>
      <w:r w:rsidR="00540FD5">
        <w:t>,</w:t>
      </w:r>
      <w:r>
        <w:t xml:space="preserve"> and the project invoices. The sources for non-residential sector incremental costs included the SWE cost database, sampled project invoices, the Database for Energy Efficient Resources (DEER) 2008 incremental cost database, and the EDC EE&amp;C </w:t>
      </w:r>
      <w:r w:rsidR="00540FD5">
        <w:t>p</w:t>
      </w:r>
      <w:r>
        <w:t>lan.  The FirstEnergy TRC model relied on the evaluation samples as a basis for calculating incremental participant costs for non-residential programs. Those sampled values were weighted to apply to the remainder of the program. The SWE Team examined this approach and found it reasonable and appropriate.</w:t>
      </w:r>
    </w:p>
    <w:p w:rsidR="00DB2DF9" w:rsidRDefault="00DB2DF9" w:rsidP="00DB2DF9"/>
    <w:p w:rsidR="00DB2DF9" w:rsidRDefault="00DB2DF9" w:rsidP="00DB2DF9">
      <w:r>
        <w:t>The TRC model drew the energy and demand impacts from the tracking database, which used TRM-specified values and equations to assign ex ante annual savings values to completed measures. The TRC model analysis was based on ex post verified savings, so program impacts were adjusted by an applicable realization rate. Separate realization rates were applied to energy and demand impacts.</w:t>
      </w:r>
    </w:p>
    <w:p w:rsidR="00DB2DF9" w:rsidRDefault="00DB2DF9" w:rsidP="00DB2DF9"/>
    <w:p w:rsidR="00DB2DF9" w:rsidRDefault="00DB2DF9" w:rsidP="00DB2DF9">
      <w:r>
        <w:t>The 2015 TRM specifically instructed EDCs to account for dual baselines with regard to T12 linear fluorescent replacements. The dual baseline adjustment impacts the lifetime energy and demand savings of measures beginning June 1, 2016, but does not impact first-year savings for PY7. EDCs may choose to reflect the dual baselines either by applying savings adjustment factors or by reducing the EUL to adjust life</w:t>
      </w:r>
      <w:r w:rsidR="00540FD5">
        <w:t xml:space="preserve">time savings. In the West Penn </w:t>
      </w:r>
      <w:r>
        <w:t>TRC model, a measure’s lifetime was separated into two parts: the first year, and the remaining lifetime. The removed equipment was treated as the baseline for the first year, with the baseline shifting to the code-required baseline for the remainder of the measure’s life. The model calculated the measure’s lifetime savings as the sum of these two parts.</w:t>
      </w:r>
    </w:p>
    <w:p w:rsidR="00CC0B37" w:rsidRPr="00DB2DF9" w:rsidRDefault="00CC0B37" w:rsidP="00DB2DF9"/>
    <w:p w:rsidR="00DB2DF9" w:rsidRDefault="00DB2DF9" w:rsidP="009C0DF1">
      <w:pPr>
        <w:pStyle w:val="AppendixAHeading3"/>
      </w:pPr>
      <w:r>
        <w:t>Avoided Cost of Capacity</w:t>
      </w:r>
    </w:p>
    <w:p w:rsidR="00DB2DF9" w:rsidRDefault="00DB2DF9" w:rsidP="00DB2DF9">
      <w:r w:rsidRPr="00DB2DF9">
        <w:t xml:space="preserve">Consistent with prior Phase II program years, the PY7 </w:t>
      </w:r>
      <w:r w:rsidR="00E6042C">
        <w:t>FirstEnergy</w:t>
      </w:r>
      <w:r w:rsidRPr="00DB2DF9">
        <w:t xml:space="preserve"> TRC Models use the Phase II approved avoided costs of energy and capacity.  The PY7 models were updated to select the appropriate PY7 stream of avoided costs.</w:t>
      </w:r>
    </w:p>
    <w:p w:rsidR="00DB2DF9" w:rsidRPr="00DB2DF9" w:rsidRDefault="00DB2DF9" w:rsidP="00DB2DF9">
      <w:r w:rsidRPr="00DB2DF9">
        <w:t xml:space="preserve">  </w:t>
      </w:r>
    </w:p>
    <w:p w:rsidR="00950837" w:rsidRDefault="00950837" w:rsidP="009C0DF1">
      <w:pPr>
        <w:pStyle w:val="AppendixAHeading3"/>
      </w:pPr>
      <w:r>
        <w:t>Conclusions and Recommendations</w:t>
      </w:r>
    </w:p>
    <w:p w:rsidR="00DB2DF9" w:rsidRDefault="00DB2DF9" w:rsidP="00DB2DF9">
      <w:r w:rsidRPr="00DB2DF9">
        <w:t>The FirstEnergy TRC model is performing all of the B/C calculations in accordance with the 2013 TRC Order. The SWE Team review of the West Penn TRC model found no calculation errors and believes the PY7 TRC benefits, costs, and ratios to be reasonable and accurate.</w:t>
      </w:r>
    </w:p>
    <w:p w:rsidR="00DB2DF9" w:rsidRDefault="00DB2DF9" w:rsidP="00DB2DF9"/>
    <w:p w:rsidR="00124B6E" w:rsidRPr="00DB2DF9" w:rsidRDefault="00124B6E" w:rsidP="00DB2DF9"/>
    <w:p w:rsidR="00950837" w:rsidRDefault="00950837" w:rsidP="000D3563">
      <w:pPr>
        <w:pStyle w:val="AppendixAHeading2"/>
      </w:pPr>
      <w:r>
        <w:t>Status of Evaluation Activities</w:t>
      </w:r>
    </w:p>
    <w:p w:rsidR="001B5BFF" w:rsidRPr="001B5BFF" w:rsidRDefault="001B5BFF" w:rsidP="001B5BFF">
      <w:r w:rsidRPr="001B5BFF">
        <w:t>This section discusses the status of West Penn’s EM&amp;V plans, M&amp;V activities and findings, and process evaluation activities and findings.</w:t>
      </w:r>
    </w:p>
    <w:p w:rsidR="001B5BFF" w:rsidRPr="001B5BFF" w:rsidRDefault="001B5BFF" w:rsidP="001B5BFF"/>
    <w:p w:rsidR="009847AC" w:rsidRDefault="00950837" w:rsidP="009C0DF1">
      <w:pPr>
        <w:pStyle w:val="AppendixAHeading3"/>
      </w:pPr>
      <w:r>
        <w:t>Status of Evaluation, Mea</w:t>
      </w:r>
      <w:r w:rsidR="009847AC">
        <w:t>surement</w:t>
      </w:r>
      <w:r w:rsidR="00540FD5">
        <w:t>,</w:t>
      </w:r>
      <w:r w:rsidR="009847AC">
        <w:t xml:space="preserve"> and Verification Plans</w:t>
      </w:r>
    </w:p>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83"/>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DD3B6D" w:rsidRDefault="00DD3B6D" w:rsidP="00496A99"/>
    <w:p w:rsidR="00DD3B6D" w:rsidRPr="00FB6015" w:rsidRDefault="00791B40" w:rsidP="00DD3B6D">
      <w:r>
        <w:fldChar w:fldCharType="begin"/>
      </w:r>
      <w:r>
        <w:instrText xml:space="preserve"> REF _Ref472359416 \h </w:instrText>
      </w:r>
      <w:r>
        <w:fldChar w:fldCharType="separate"/>
      </w:r>
      <w:r w:rsidR="00037CB4" w:rsidRPr="00791B40">
        <w:t>Table A-</w:t>
      </w:r>
      <w:r w:rsidR="00037CB4">
        <w:rPr>
          <w:noProof/>
        </w:rPr>
        <w:t>90</w:t>
      </w:r>
      <w:r>
        <w:fldChar w:fldCharType="end"/>
      </w:r>
      <w:r w:rsidR="00DD3B6D" w:rsidRPr="006A0F2F">
        <w:t xml:space="preserve"> </w:t>
      </w:r>
      <w:r w:rsidR="00DD3B6D" w:rsidRPr="008A5E9E">
        <w:rPr>
          <w:color w:val="000000"/>
        </w:rPr>
        <w:t>displays key milestones completed</w:t>
      </w:r>
      <w:r w:rsidR="00DD3B6D">
        <w:rPr>
          <w:color w:val="000000"/>
        </w:rPr>
        <w:t xml:space="preserve"> </w:t>
      </w:r>
      <w:r w:rsidR="00DD3B6D" w:rsidRPr="009472F6">
        <w:t xml:space="preserve">by </w:t>
      </w:r>
      <w:r w:rsidR="00DD3B6D">
        <w:t>FirstEnergy</w:t>
      </w:r>
      <w:r w:rsidR="00DD3B6D" w:rsidRPr="009472F6">
        <w:t xml:space="preserve"> and the SWE</w:t>
      </w:r>
      <w:r w:rsidR="00DD3B6D">
        <w:t xml:space="preserve"> </w:t>
      </w:r>
      <w:r w:rsidR="00DD3B6D">
        <w:rPr>
          <w:color w:val="000000"/>
        </w:rPr>
        <w:t>for FirstEnergy’s Phase II EM&amp;V Plan</w:t>
      </w:r>
      <w:r w:rsidR="00DD3B6D" w:rsidRPr="008A5E9E">
        <w:rPr>
          <w:color w:val="000000"/>
        </w:rPr>
        <w:t>.</w:t>
      </w:r>
      <w:r w:rsidR="00DD3B6D" w:rsidRPr="0053259F">
        <w:t xml:space="preserve"> </w:t>
      </w:r>
      <w:r w:rsidR="00DD3B6D" w:rsidRPr="00A145B8">
        <w:t xml:space="preserve">FirstEnergy </w:t>
      </w:r>
      <w:r w:rsidR="00DD3B6D">
        <w:t>EDCs</w:t>
      </w:r>
      <w:r w:rsidR="00DD3B6D" w:rsidRPr="00A145B8">
        <w:t xml:space="preserve"> submitted, and the SWE Team approved, only one EM&amp;V Plan across all four FirstEnergy EDCs.</w:t>
      </w:r>
    </w:p>
    <w:p w:rsidR="00CC0B37" w:rsidRPr="00FB6015" w:rsidRDefault="00CC0B37" w:rsidP="00DD3B6D"/>
    <w:p w:rsidR="00DD3B6D" w:rsidRPr="00791B40" w:rsidRDefault="00791B40" w:rsidP="004837FA">
      <w:pPr>
        <w:pStyle w:val="Caption"/>
      </w:pPr>
      <w:bookmarkStart w:id="1008" w:name="_Ref472359416"/>
      <w:bookmarkStart w:id="1009" w:name="_Toc472472499"/>
      <w:bookmarkStart w:id="1010" w:name="_Toc488741918"/>
      <w:r w:rsidRPr="00791B40">
        <w:t>Table A-</w:t>
      </w:r>
      <w:r w:rsidR="007973A4">
        <w:fldChar w:fldCharType="begin"/>
      </w:r>
      <w:r w:rsidR="007973A4">
        <w:instrText xml:space="preserve"> SEQ Table_A- \* ARABIC </w:instrText>
      </w:r>
      <w:r w:rsidR="007973A4">
        <w:fldChar w:fldCharType="separate"/>
      </w:r>
      <w:r w:rsidR="00037CB4">
        <w:rPr>
          <w:noProof/>
        </w:rPr>
        <w:t>90</w:t>
      </w:r>
      <w:r w:rsidR="007973A4">
        <w:rPr>
          <w:noProof/>
        </w:rPr>
        <w:fldChar w:fldCharType="end"/>
      </w:r>
      <w:bookmarkEnd w:id="1008"/>
      <w:r w:rsidRPr="00791B40">
        <w:t xml:space="preserve">: </w:t>
      </w:r>
      <w:r w:rsidR="00DD3B6D" w:rsidRPr="00791B40">
        <w:t>Key Milestones Reached for West Penn’s Phase II EM&amp;V Plan</w:t>
      </w:r>
      <w:bookmarkEnd w:id="1009"/>
      <w:bookmarkEnd w:id="1010"/>
    </w:p>
    <w:tbl>
      <w:tblPr>
        <w:tblW w:w="9355" w:type="dxa"/>
        <w:jc w:val="center"/>
        <w:tblLayout w:type="fixed"/>
        <w:tblLook w:val="04A0" w:firstRow="1" w:lastRow="0" w:firstColumn="1" w:lastColumn="0" w:noHBand="0" w:noVBand="1"/>
      </w:tblPr>
      <w:tblGrid>
        <w:gridCol w:w="1975"/>
        <w:gridCol w:w="7380"/>
      </w:tblGrid>
      <w:tr w:rsidR="00E7173E" w:rsidRPr="00124B6E" w:rsidTr="008F60E1">
        <w:trPr>
          <w:cantSplit/>
          <w:trHeight w:val="197"/>
          <w:tblHeader/>
          <w:jc w:val="center"/>
        </w:trPr>
        <w:tc>
          <w:tcPr>
            <w:tcW w:w="197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124B6E" w:rsidRDefault="00DD3B6D" w:rsidP="008C2D5E">
            <w:pPr>
              <w:jc w:val="left"/>
              <w:rPr>
                <w:b/>
                <w:bCs/>
                <w:color w:val="FFFFFF"/>
                <w:sz w:val="19"/>
                <w:szCs w:val="19"/>
              </w:rPr>
            </w:pPr>
            <w:r w:rsidRPr="00124B6E">
              <w:rPr>
                <w:b/>
                <w:bCs/>
                <w:color w:val="FFFFFF"/>
                <w:sz w:val="19"/>
                <w:szCs w:val="19"/>
              </w:rPr>
              <w:t>Date</w:t>
            </w:r>
          </w:p>
        </w:tc>
        <w:tc>
          <w:tcPr>
            <w:tcW w:w="7380" w:type="dxa"/>
            <w:tcBorders>
              <w:top w:val="single" w:sz="4" w:space="0" w:color="448A99"/>
              <w:left w:val="nil"/>
              <w:bottom w:val="single" w:sz="4" w:space="0" w:color="448A99"/>
              <w:right w:val="single" w:sz="4" w:space="0" w:color="448A99"/>
            </w:tcBorders>
            <w:shd w:val="clear" w:color="000000" w:fill="448A99"/>
            <w:vAlign w:val="bottom"/>
          </w:tcPr>
          <w:p w:rsidR="00DD3B6D" w:rsidRPr="00124B6E" w:rsidRDefault="00DD3B6D" w:rsidP="008C2D5E">
            <w:pPr>
              <w:jc w:val="left"/>
              <w:rPr>
                <w:b/>
                <w:bCs/>
                <w:color w:val="FFFFFF"/>
                <w:sz w:val="19"/>
                <w:szCs w:val="19"/>
              </w:rPr>
            </w:pPr>
            <w:r w:rsidRPr="00124B6E">
              <w:rPr>
                <w:b/>
                <w:bCs/>
                <w:color w:val="FFFFFF"/>
                <w:sz w:val="19"/>
                <w:szCs w:val="19"/>
              </w:rPr>
              <w:t>Event</w:t>
            </w:r>
          </w:p>
        </w:tc>
      </w:tr>
      <w:tr w:rsidR="00E7173E" w:rsidRPr="00124B6E" w:rsidTr="008F60E1">
        <w:trPr>
          <w:trHeight w:val="576"/>
          <w:jc w:val="center"/>
        </w:trPr>
        <w:tc>
          <w:tcPr>
            <w:tcW w:w="1975" w:type="dxa"/>
            <w:tcBorders>
              <w:top w:val="nil"/>
              <w:left w:val="single" w:sz="4" w:space="0" w:color="448A99"/>
              <w:bottom w:val="single" w:sz="4" w:space="0" w:color="448A99"/>
              <w:right w:val="single" w:sz="4" w:space="0" w:color="448A99"/>
            </w:tcBorders>
            <w:shd w:val="clear" w:color="auto" w:fill="D2EAF1"/>
            <w:vAlign w:val="center"/>
          </w:tcPr>
          <w:p w:rsidR="00DD3B6D" w:rsidRPr="00124B6E" w:rsidRDefault="00DD3B6D" w:rsidP="008C2D5E">
            <w:pPr>
              <w:jc w:val="left"/>
              <w:rPr>
                <w:bCs/>
                <w:color w:val="000000"/>
                <w:sz w:val="19"/>
                <w:szCs w:val="19"/>
              </w:rPr>
            </w:pPr>
            <w:r w:rsidRPr="00124B6E">
              <w:rPr>
                <w:sz w:val="19"/>
                <w:szCs w:val="19"/>
              </w:rPr>
              <w:t>September 19, 2013</w:t>
            </w:r>
          </w:p>
        </w:tc>
        <w:tc>
          <w:tcPr>
            <w:tcW w:w="7380" w:type="dxa"/>
            <w:tcBorders>
              <w:top w:val="nil"/>
              <w:left w:val="nil"/>
              <w:bottom w:val="single" w:sz="4" w:space="0" w:color="448A99"/>
              <w:right w:val="single" w:sz="4" w:space="0" w:color="448A99"/>
            </w:tcBorders>
            <w:shd w:val="clear" w:color="auto" w:fill="D2EAF1"/>
            <w:vAlign w:val="center"/>
          </w:tcPr>
          <w:p w:rsidR="00DD3B6D" w:rsidRPr="00124B6E" w:rsidRDefault="00DD3B6D" w:rsidP="008C2D5E">
            <w:pPr>
              <w:jc w:val="left"/>
              <w:rPr>
                <w:color w:val="000000"/>
                <w:sz w:val="19"/>
                <w:szCs w:val="19"/>
              </w:rPr>
            </w:pPr>
            <w:r w:rsidRPr="00124B6E">
              <w:rPr>
                <w:sz w:val="19"/>
                <w:szCs w:val="19"/>
              </w:rPr>
              <w:t>FirstEnergy EDCs submit first draft of Phase II evaluation plan to the PUC and SWE</w:t>
            </w:r>
          </w:p>
        </w:tc>
      </w:tr>
      <w:tr w:rsidR="00E7173E" w:rsidRPr="00124B6E" w:rsidTr="008F60E1">
        <w:trPr>
          <w:trHeight w:val="576"/>
          <w:jc w:val="center"/>
        </w:trPr>
        <w:tc>
          <w:tcPr>
            <w:tcW w:w="1975" w:type="dxa"/>
            <w:tcBorders>
              <w:top w:val="nil"/>
              <w:left w:val="single" w:sz="4" w:space="0" w:color="448A99"/>
              <w:bottom w:val="single" w:sz="4" w:space="0" w:color="448A99"/>
              <w:right w:val="single" w:sz="4" w:space="0" w:color="448A99"/>
            </w:tcBorders>
            <w:shd w:val="clear" w:color="auto" w:fill="auto"/>
            <w:vAlign w:val="center"/>
          </w:tcPr>
          <w:p w:rsidR="00DD3B6D" w:rsidRPr="00124B6E" w:rsidRDefault="00DD3B6D" w:rsidP="008C2D5E">
            <w:pPr>
              <w:jc w:val="left"/>
              <w:rPr>
                <w:bCs/>
                <w:color w:val="000000"/>
                <w:sz w:val="19"/>
                <w:szCs w:val="19"/>
                <w:lang w:eastAsia="zh-CN"/>
              </w:rPr>
            </w:pPr>
            <w:r w:rsidRPr="00124B6E">
              <w:rPr>
                <w:sz w:val="19"/>
                <w:szCs w:val="19"/>
              </w:rPr>
              <w:t>October 15, 2013</w:t>
            </w:r>
          </w:p>
        </w:tc>
        <w:tc>
          <w:tcPr>
            <w:tcW w:w="7380" w:type="dxa"/>
            <w:tcBorders>
              <w:top w:val="nil"/>
              <w:left w:val="nil"/>
              <w:bottom w:val="single" w:sz="4" w:space="0" w:color="448A99"/>
              <w:right w:val="single" w:sz="4" w:space="0" w:color="448A99"/>
            </w:tcBorders>
            <w:shd w:val="clear" w:color="auto" w:fill="auto"/>
            <w:vAlign w:val="center"/>
          </w:tcPr>
          <w:p w:rsidR="00DD3B6D" w:rsidRPr="00124B6E" w:rsidRDefault="00DD3B6D" w:rsidP="008C2D5E">
            <w:pPr>
              <w:jc w:val="left"/>
              <w:rPr>
                <w:color w:val="000000"/>
                <w:sz w:val="19"/>
                <w:szCs w:val="19"/>
              </w:rPr>
            </w:pPr>
            <w:r w:rsidRPr="00124B6E">
              <w:rPr>
                <w:sz w:val="19"/>
                <w:szCs w:val="19"/>
              </w:rPr>
              <w:t>SWE returns comments on the FirstEnergy evaluation plan to FirstEnergy</w:t>
            </w:r>
          </w:p>
        </w:tc>
      </w:tr>
      <w:tr w:rsidR="00E7173E" w:rsidRPr="00124B6E" w:rsidTr="008F60E1">
        <w:trPr>
          <w:trHeight w:val="576"/>
          <w:jc w:val="center"/>
        </w:trPr>
        <w:tc>
          <w:tcPr>
            <w:tcW w:w="1975" w:type="dxa"/>
            <w:tcBorders>
              <w:top w:val="nil"/>
              <w:left w:val="single" w:sz="4" w:space="0" w:color="448A99"/>
              <w:bottom w:val="single" w:sz="4" w:space="0" w:color="448A99"/>
              <w:right w:val="single" w:sz="4" w:space="0" w:color="448A99"/>
            </w:tcBorders>
            <w:shd w:val="clear" w:color="auto" w:fill="D2EAF1"/>
            <w:vAlign w:val="center"/>
          </w:tcPr>
          <w:p w:rsidR="00DD3B6D" w:rsidRPr="00124B6E" w:rsidRDefault="00DD3B6D" w:rsidP="008C2D5E">
            <w:pPr>
              <w:jc w:val="left"/>
              <w:rPr>
                <w:bCs/>
                <w:color w:val="000000"/>
                <w:sz w:val="19"/>
                <w:szCs w:val="19"/>
                <w:lang w:eastAsia="zh-CN"/>
              </w:rPr>
            </w:pPr>
            <w:r w:rsidRPr="00124B6E">
              <w:rPr>
                <w:sz w:val="19"/>
                <w:szCs w:val="19"/>
              </w:rPr>
              <w:t>November 13, 2013</w:t>
            </w:r>
          </w:p>
        </w:tc>
        <w:tc>
          <w:tcPr>
            <w:tcW w:w="7380" w:type="dxa"/>
            <w:tcBorders>
              <w:top w:val="nil"/>
              <w:left w:val="nil"/>
              <w:bottom w:val="single" w:sz="4" w:space="0" w:color="448A99"/>
              <w:right w:val="single" w:sz="4" w:space="0" w:color="448A99"/>
            </w:tcBorders>
            <w:shd w:val="clear" w:color="auto" w:fill="D2EAF1"/>
            <w:vAlign w:val="center"/>
          </w:tcPr>
          <w:p w:rsidR="00DD3B6D" w:rsidRPr="00124B6E" w:rsidRDefault="00DD3B6D" w:rsidP="008C2D5E">
            <w:pPr>
              <w:jc w:val="left"/>
              <w:rPr>
                <w:color w:val="000000"/>
                <w:sz w:val="19"/>
                <w:szCs w:val="19"/>
              </w:rPr>
            </w:pPr>
            <w:r w:rsidRPr="00124B6E">
              <w:rPr>
                <w:sz w:val="19"/>
                <w:szCs w:val="19"/>
              </w:rPr>
              <w:t>SWE sends a list of “items that be must addressed” to FirstEnergy EDCs</w:t>
            </w:r>
          </w:p>
        </w:tc>
      </w:tr>
      <w:tr w:rsidR="00E7173E" w:rsidRPr="00124B6E" w:rsidTr="008F60E1">
        <w:trPr>
          <w:trHeight w:val="576"/>
          <w:jc w:val="center"/>
        </w:trPr>
        <w:tc>
          <w:tcPr>
            <w:tcW w:w="1975" w:type="dxa"/>
            <w:tcBorders>
              <w:top w:val="nil"/>
              <w:left w:val="single" w:sz="4" w:space="0" w:color="448A99"/>
              <w:bottom w:val="single" w:sz="4" w:space="0" w:color="448A99"/>
              <w:right w:val="single" w:sz="4" w:space="0" w:color="448A99"/>
            </w:tcBorders>
            <w:shd w:val="clear" w:color="auto" w:fill="auto"/>
            <w:vAlign w:val="center"/>
          </w:tcPr>
          <w:p w:rsidR="00DD3B6D" w:rsidRPr="00124B6E" w:rsidRDefault="00DD3B6D" w:rsidP="008C2D5E">
            <w:pPr>
              <w:jc w:val="left"/>
              <w:rPr>
                <w:bCs/>
                <w:color w:val="000000"/>
                <w:sz w:val="19"/>
                <w:szCs w:val="19"/>
                <w:lang w:eastAsia="zh-CN"/>
              </w:rPr>
            </w:pPr>
            <w:r w:rsidRPr="00124B6E">
              <w:rPr>
                <w:sz w:val="19"/>
                <w:szCs w:val="19"/>
              </w:rPr>
              <w:t>February 19, 2014</w:t>
            </w:r>
          </w:p>
        </w:tc>
        <w:tc>
          <w:tcPr>
            <w:tcW w:w="7380" w:type="dxa"/>
            <w:tcBorders>
              <w:top w:val="nil"/>
              <w:left w:val="nil"/>
              <w:bottom w:val="single" w:sz="4" w:space="0" w:color="448A99"/>
              <w:right w:val="single" w:sz="4" w:space="0" w:color="448A99"/>
            </w:tcBorders>
            <w:shd w:val="clear" w:color="auto" w:fill="auto"/>
            <w:vAlign w:val="center"/>
          </w:tcPr>
          <w:p w:rsidR="00DD3B6D" w:rsidRPr="00124B6E" w:rsidRDefault="00DD3B6D" w:rsidP="008C2D5E">
            <w:pPr>
              <w:jc w:val="left"/>
              <w:rPr>
                <w:color w:val="000000"/>
                <w:sz w:val="19"/>
                <w:szCs w:val="19"/>
              </w:rPr>
            </w:pPr>
            <w:r w:rsidRPr="00124B6E">
              <w:rPr>
                <w:sz w:val="19"/>
                <w:szCs w:val="19"/>
              </w:rPr>
              <w:t>FirstEnergy EDCs submit revised Phase II evaluation plan to the PUC and SWE</w:t>
            </w:r>
          </w:p>
        </w:tc>
      </w:tr>
      <w:tr w:rsidR="00E7173E" w:rsidRPr="00124B6E" w:rsidTr="008F60E1">
        <w:trPr>
          <w:trHeight w:val="576"/>
          <w:jc w:val="center"/>
        </w:trPr>
        <w:tc>
          <w:tcPr>
            <w:tcW w:w="1975" w:type="dxa"/>
            <w:tcBorders>
              <w:top w:val="nil"/>
              <w:left w:val="single" w:sz="4" w:space="0" w:color="448A99"/>
              <w:bottom w:val="single" w:sz="8" w:space="0" w:color="448A99"/>
              <w:right w:val="single" w:sz="4" w:space="0" w:color="448A99"/>
            </w:tcBorders>
            <w:shd w:val="clear" w:color="auto" w:fill="D2EAF1"/>
            <w:vAlign w:val="center"/>
          </w:tcPr>
          <w:p w:rsidR="00DD3B6D" w:rsidRPr="00124B6E" w:rsidRDefault="00DD3B6D" w:rsidP="008C2D5E">
            <w:pPr>
              <w:jc w:val="left"/>
              <w:rPr>
                <w:bCs/>
                <w:color w:val="000000"/>
                <w:sz w:val="19"/>
                <w:szCs w:val="19"/>
              </w:rPr>
            </w:pPr>
            <w:r w:rsidRPr="00124B6E">
              <w:rPr>
                <w:sz w:val="19"/>
                <w:szCs w:val="19"/>
              </w:rPr>
              <w:t>June 1, 2014</w:t>
            </w:r>
          </w:p>
        </w:tc>
        <w:tc>
          <w:tcPr>
            <w:tcW w:w="7380" w:type="dxa"/>
            <w:tcBorders>
              <w:top w:val="nil"/>
              <w:left w:val="nil"/>
              <w:bottom w:val="single" w:sz="8" w:space="0" w:color="448A99"/>
              <w:right w:val="single" w:sz="4" w:space="0" w:color="448A99"/>
            </w:tcBorders>
            <w:shd w:val="clear" w:color="auto" w:fill="D2EAF1"/>
            <w:vAlign w:val="center"/>
          </w:tcPr>
          <w:p w:rsidR="00DD3B6D" w:rsidRPr="00124B6E" w:rsidRDefault="00DD3B6D" w:rsidP="008C2D5E">
            <w:pPr>
              <w:jc w:val="left"/>
              <w:rPr>
                <w:color w:val="000000"/>
                <w:sz w:val="19"/>
                <w:szCs w:val="19"/>
              </w:rPr>
            </w:pPr>
            <w:r w:rsidRPr="00124B6E">
              <w:rPr>
                <w:sz w:val="19"/>
                <w:szCs w:val="19"/>
              </w:rPr>
              <w:t>PY6 starts</w:t>
            </w:r>
          </w:p>
        </w:tc>
      </w:tr>
      <w:tr w:rsidR="00E7173E" w:rsidRPr="00124B6E" w:rsidTr="008F60E1">
        <w:trPr>
          <w:trHeight w:val="576"/>
          <w:jc w:val="center"/>
        </w:trPr>
        <w:tc>
          <w:tcPr>
            <w:tcW w:w="1975" w:type="dxa"/>
            <w:tcBorders>
              <w:top w:val="single" w:sz="8" w:space="0" w:color="448A99"/>
              <w:left w:val="single" w:sz="4" w:space="0" w:color="448A99"/>
              <w:bottom w:val="single" w:sz="8" w:space="0" w:color="448A99"/>
              <w:right w:val="single" w:sz="4" w:space="0" w:color="448A99"/>
            </w:tcBorders>
            <w:shd w:val="clear" w:color="auto" w:fill="FFFFFF"/>
            <w:vAlign w:val="center"/>
          </w:tcPr>
          <w:p w:rsidR="00DD3B6D" w:rsidRPr="00124B6E" w:rsidRDefault="00DD3B6D" w:rsidP="008C2D5E">
            <w:pPr>
              <w:jc w:val="left"/>
              <w:rPr>
                <w:sz w:val="19"/>
                <w:szCs w:val="19"/>
              </w:rPr>
            </w:pPr>
            <w:r w:rsidRPr="00124B6E">
              <w:rPr>
                <w:sz w:val="19"/>
                <w:szCs w:val="19"/>
              </w:rPr>
              <w:t>December 17, 2014</w:t>
            </w:r>
          </w:p>
        </w:tc>
        <w:tc>
          <w:tcPr>
            <w:tcW w:w="7380" w:type="dxa"/>
            <w:tcBorders>
              <w:top w:val="single" w:sz="8" w:space="0" w:color="448A99"/>
              <w:left w:val="nil"/>
              <w:bottom w:val="single" w:sz="8" w:space="0" w:color="448A99"/>
              <w:right w:val="single" w:sz="4" w:space="0" w:color="448A99"/>
            </w:tcBorders>
            <w:shd w:val="clear" w:color="auto" w:fill="FFFFFF"/>
            <w:vAlign w:val="center"/>
          </w:tcPr>
          <w:p w:rsidR="00DD3B6D" w:rsidRPr="00124B6E" w:rsidRDefault="00DD3B6D" w:rsidP="008C2D5E">
            <w:pPr>
              <w:jc w:val="left"/>
              <w:rPr>
                <w:sz w:val="19"/>
                <w:szCs w:val="19"/>
              </w:rPr>
            </w:pPr>
            <w:r w:rsidRPr="00124B6E">
              <w:rPr>
                <w:sz w:val="19"/>
                <w:szCs w:val="19"/>
              </w:rPr>
              <w:t>FirstEnergy EDCs provide email with additional information on the approach used by ADM for the PY6 evaluation of West Penn’s Appliance Turn-In Program</w:t>
            </w:r>
          </w:p>
        </w:tc>
      </w:tr>
      <w:tr w:rsidR="00E7173E" w:rsidRPr="00124B6E" w:rsidTr="008F60E1">
        <w:trPr>
          <w:trHeight w:val="576"/>
          <w:jc w:val="center"/>
        </w:trPr>
        <w:tc>
          <w:tcPr>
            <w:tcW w:w="1975" w:type="dxa"/>
            <w:tcBorders>
              <w:top w:val="single" w:sz="8" w:space="0" w:color="448A99"/>
              <w:left w:val="single" w:sz="4" w:space="0" w:color="448A99"/>
              <w:bottom w:val="single" w:sz="4" w:space="0" w:color="448A99"/>
              <w:right w:val="single" w:sz="4" w:space="0" w:color="448A99"/>
            </w:tcBorders>
            <w:shd w:val="clear" w:color="auto" w:fill="D2EAF1"/>
            <w:vAlign w:val="center"/>
          </w:tcPr>
          <w:p w:rsidR="00DD3B6D" w:rsidRPr="00124B6E" w:rsidRDefault="00DD3B6D" w:rsidP="008C2D5E">
            <w:pPr>
              <w:jc w:val="left"/>
              <w:rPr>
                <w:sz w:val="19"/>
                <w:szCs w:val="19"/>
              </w:rPr>
            </w:pPr>
            <w:r w:rsidRPr="00124B6E">
              <w:rPr>
                <w:sz w:val="19"/>
                <w:szCs w:val="19"/>
              </w:rPr>
              <w:t>January 5, 2015</w:t>
            </w:r>
          </w:p>
        </w:tc>
        <w:tc>
          <w:tcPr>
            <w:tcW w:w="7380" w:type="dxa"/>
            <w:tcBorders>
              <w:top w:val="single" w:sz="8" w:space="0" w:color="448A99"/>
              <w:left w:val="nil"/>
              <w:bottom w:val="single" w:sz="4" w:space="0" w:color="448A99"/>
              <w:right w:val="single" w:sz="4" w:space="0" w:color="448A99"/>
            </w:tcBorders>
            <w:shd w:val="clear" w:color="auto" w:fill="D2EAF1"/>
            <w:vAlign w:val="center"/>
          </w:tcPr>
          <w:p w:rsidR="00DD3B6D" w:rsidRPr="00124B6E" w:rsidRDefault="00DD3B6D" w:rsidP="008C2D5E">
            <w:pPr>
              <w:jc w:val="left"/>
              <w:rPr>
                <w:sz w:val="19"/>
                <w:szCs w:val="19"/>
              </w:rPr>
            </w:pPr>
            <w:r w:rsidRPr="00124B6E">
              <w:rPr>
                <w:sz w:val="19"/>
                <w:szCs w:val="19"/>
              </w:rPr>
              <w:t>FirstEnergy EDCs send email to SWE with clarification of sampling approach for the evaluations of the residential low-income program components (direct-install, giveaway, and low income low use kit components)</w:t>
            </w:r>
          </w:p>
        </w:tc>
      </w:tr>
    </w:tbl>
    <w:p w:rsidR="00DD3B6D" w:rsidRPr="00FB6015" w:rsidRDefault="00DD3B6D" w:rsidP="00DD3B6D"/>
    <w:p w:rsidR="00DD3B6D" w:rsidRPr="00FB6015" w:rsidRDefault="00DD3B6D" w:rsidP="00DD3B6D">
      <w:pPr>
        <w:spacing w:after="120"/>
      </w:pPr>
      <w:r w:rsidRPr="00FB6015">
        <w:t xml:space="preserve">The initial EM&amp;V Plan for all FirstEnergy companies, submitted on September 19, 2013, detailed proposed evaluation objectives and activities for nine programs across two sectors. Key evaluation issues, impact evaluation details, process evaluation details, sampling plans, and key contacts were presented for each of the nine programs. After reviewing the plan, the SWE Team returned 34 comments on October 15, 2013. Many of the SWE Team’s comments demonstrated the SWE Team’s agreement with details of the </w:t>
      </w:r>
      <w:r w:rsidRPr="00126D81">
        <w:t>FirstEnergy EDCs’</w:t>
      </w:r>
      <w:r w:rsidRPr="00FB6015">
        <w:t xml:space="preserve"> plan. Most of the remaining comments concerned report formatting and minor clarifications that did not propose changes to the plan; substantive recommendations for revisions to the plan arose in only two areas:</w:t>
      </w:r>
    </w:p>
    <w:p w:rsidR="00DD3B6D" w:rsidRPr="008A5E9E" w:rsidRDefault="00DD3B6D" w:rsidP="00E646C9">
      <w:pPr>
        <w:numPr>
          <w:ilvl w:val="0"/>
          <w:numId w:val="84"/>
        </w:numPr>
        <w:spacing w:after="120"/>
        <w:ind w:left="360"/>
        <w:rPr>
          <w:color w:val="000000"/>
          <w:szCs w:val="20"/>
        </w:rPr>
      </w:pPr>
      <w:r w:rsidRPr="008A5E9E">
        <w:rPr>
          <w:color w:val="000000"/>
          <w:szCs w:val="20"/>
        </w:rPr>
        <w:t>Frequency of EDC data gathering in partially deemed measures</w:t>
      </w:r>
    </w:p>
    <w:p w:rsidR="00DD3B6D" w:rsidRPr="008A5E9E" w:rsidRDefault="00DD3B6D" w:rsidP="00E646C9">
      <w:pPr>
        <w:numPr>
          <w:ilvl w:val="0"/>
          <w:numId w:val="84"/>
        </w:numPr>
        <w:ind w:left="360"/>
        <w:rPr>
          <w:color w:val="000000"/>
          <w:szCs w:val="20"/>
        </w:rPr>
      </w:pPr>
      <w:r w:rsidRPr="008A5E9E">
        <w:rPr>
          <w:color w:val="000000"/>
          <w:szCs w:val="20"/>
        </w:rPr>
        <w:t>Definition of high-impact measures in C/I programs</w:t>
      </w:r>
    </w:p>
    <w:p w:rsidR="00DD3B6D" w:rsidRPr="008A5E9E" w:rsidRDefault="00DD3B6D" w:rsidP="00DD3B6D">
      <w:pPr>
        <w:rPr>
          <w:color w:val="000000"/>
        </w:rPr>
      </w:pPr>
    </w:p>
    <w:p w:rsidR="00DD3B6D" w:rsidRPr="00FB6015" w:rsidRDefault="00DD3B6D" w:rsidP="00DD3B6D">
      <w:r w:rsidRPr="008A5E9E">
        <w:rPr>
          <w:color w:val="000000"/>
        </w:rPr>
        <w:t>FirstEnergy EDCs provided revisions to the plan on February 19, 2014, and the SWE Team approved the revised version as the final Phase II EM&amp;V Plan. The SWE Team’s review of the evaluation activities revealed that the plan was followed appropriately for all PY6 EM&amp;V activities.</w:t>
      </w:r>
    </w:p>
    <w:p w:rsidR="00496A99" w:rsidRDefault="00496A99" w:rsidP="009847AC"/>
    <w:p w:rsidR="00950837" w:rsidRDefault="00950837" w:rsidP="009C0DF1">
      <w:pPr>
        <w:pStyle w:val="AppendixAHeading3"/>
      </w:pPr>
      <w:r>
        <w:t>Measurement and Verification Activities and Findings</w:t>
      </w:r>
    </w:p>
    <w:p w:rsidR="00281D04" w:rsidRPr="00EE3A4B" w:rsidRDefault="00281D04" w:rsidP="00281D04">
      <w:r w:rsidRPr="00EE3A4B">
        <w:t>Realization rates compare gro</w:t>
      </w:r>
      <w:r w:rsidR="006722FB">
        <w:t>ss savings reported by the EDC with</w:t>
      </w:r>
      <w:r w:rsidRPr="00EE3A4B">
        <w:t xml:space="preserve"> the verified gross savings determined by the EDC evaluation contractor through M&amp;V.</w:t>
      </w:r>
      <w:r>
        <w:t xml:space="preserve"> </w:t>
      </w:r>
      <w:r>
        <w:fldChar w:fldCharType="begin"/>
      </w:r>
      <w:r>
        <w:instrText xml:space="preserve"> REF _Ref472464782 \h </w:instrText>
      </w:r>
      <w:r>
        <w:fldChar w:fldCharType="separate"/>
      </w:r>
      <w:r w:rsidR="00037CB4">
        <w:t>Table A-</w:t>
      </w:r>
      <w:r w:rsidR="00037CB4">
        <w:rPr>
          <w:noProof/>
        </w:rPr>
        <w:t>91</w:t>
      </w:r>
      <w:r>
        <w:fldChar w:fldCharType="end"/>
      </w:r>
      <w:r w:rsidRPr="00EE3A4B">
        <w:t xml:space="preserve"> summarizes M&amp;V findings based on activities conducted by the </w:t>
      </w:r>
      <w:r>
        <w:t>West Penn</w:t>
      </w:r>
      <w:r w:rsidRPr="00EE3A4B">
        <w:t xml:space="preserve"> evaluation contractor. The summary is based on details provided in </w:t>
      </w:r>
      <w:r>
        <w:t>West Penn’s</w:t>
      </w:r>
      <w:r w:rsidRPr="00EE3A4B">
        <w:t xml:space="preserve"> PY6 annual report and on information obtained from the SWE Team’s data requests and audits. </w:t>
      </w:r>
      <w:r>
        <w:fldChar w:fldCharType="begin"/>
      </w:r>
      <w:r>
        <w:instrText xml:space="preserve"> REF _Ref472464782 \h </w:instrText>
      </w:r>
      <w:r>
        <w:fldChar w:fldCharType="separate"/>
      </w:r>
      <w:r w:rsidR="00037CB4">
        <w:t>Table A-</w:t>
      </w:r>
      <w:r w:rsidR="00037CB4">
        <w:rPr>
          <w:noProof/>
        </w:rPr>
        <w:t>91</w:t>
      </w:r>
      <w:r>
        <w:fldChar w:fldCharType="end"/>
      </w:r>
      <w:r>
        <w:t xml:space="preserve"> </w:t>
      </w:r>
      <w:r w:rsidRPr="00EE3A4B">
        <w:t xml:space="preserve">presents realization rates and relative precision values for verified energy and demand savings for each of </w:t>
      </w:r>
      <w:r>
        <w:t>West Penn</w:t>
      </w:r>
      <w:r w:rsidRPr="00EE3A4B">
        <w:t>’s residential and non-residential energy efficiency programs in PY</w:t>
      </w:r>
      <w:r>
        <w:t>7</w:t>
      </w:r>
      <w:r w:rsidRPr="00EE3A4B">
        <w:t xml:space="preserve">. </w:t>
      </w:r>
    </w:p>
    <w:p w:rsidR="00281D04" w:rsidRDefault="00281D04" w:rsidP="00281D04">
      <w:pPr>
        <w:rPr>
          <w:highlight w:val="lightGray"/>
        </w:rPr>
      </w:pPr>
    </w:p>
    <w:p w:rsidR="00281D04" w:rsidRPr="00EE3A4B" w:rsidRDefault="00281D04" w:rsidP="004837FA">
      <w:pPr>
        <w:pStyle w:val="Caption"/>
      </w:pPr>
      <w:bookmarkStart w:id="1011" w:name="_Ref472464782"/>
      <w:bookmarkStart w:id="1012" w:name="_Toc472472500"/>
      <w:bookmarkStart w:id="1013" w:name="_Toc488741919"/>
      <w:r>
        <w:t>Table A-</w:t>
      </w:r>
      <w:r w:rsidR="007973A4">
        <w:fldChar w:fldCharType="begin"/>
      </w:r>
      <w:r w:rsidR="007973A4">
        <w:instrText xml:space="preserve"> SEQ Table_A- \* ARABIC </w:instrText>
      </w:r>
      <w:r w:rsidR="007973A4">
        <w:fldChar w:fldCharType="separate"/>
      </w:r>
      <w:r w:rsidR="00037CB4">
        <w:rPr>
          <w:noProof/>
        </w:rPr>
        <w:t>91</w:t>
      </w:r>
      <w:r w:rsidR="007973A4">
        <w:rPr>
          <w:noProof/>
        </w:rPr>
        <w:fldChar w:fldCharType="end"/>
      </w:r>
      <w:bookmarkEnd w:id="1011"/>
      <w:r>
        <w:t xml:space="preserve">: West Penn </w:t>
      </w:r>
      <w:r w:rsidRPr="00EE3A4B">
        <w:t>Energy Efficiency Programs – Realization Rates for Energy and Demand Savings in PY</w:t>
      </w:r>
      <w:r>
        <w:t>7</w:t>
      </w:r>
      <w:bookmarkEnd w:id="1012"/>
      <w:bookmarkEnd w:id="1013"/>
    </w:p>
    <w:tbl>
      <w:tblPr>
        <w:tblW w:w="9347"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72"/>
        <w:gridCol w:w="1547"/>
        <w:gridCol w:w="1547"/>
        <w:gridCol w:w="1547"/>
        <w:gridCol w:w="1534"/>
      </w:tblGrid>
      <w:tr w:rsidR="00A874AC" w:rsidRPr="00124B6E" w:rsidTr="008C1098">
        <w:trPr>
          <w:trHeight w:val="683"/>
          <w:tblHeader/>
        </w:trPr>
        <w:tc>
          <w:tcPr>
            <w:tcW w:w="3172" w:type="dxa"/>
            <w:tcBorders>
              <w:top w:val="single" w:sz="4" w:space="0" w:color="448A99"/>
              <w:left w:val="single" w:sz="4" w:space="0" w:color="448A99"/>
              <w:bottom w:val="single" w:sz="4" w:space="0" w:color="448A99"/>
              <w:right w:val="single" w:sz="4" w:space="0" w:color="448A99"/>
            </w:tcBorders>
            <w:shd w:val="clear" w:color="auto" w:fill="448A99"/>
            <w:noWrap/>
            <w:vAlign w:val="bottom"/>
            <w:hideMark/>
          </w:tcPr>
          <w:p w:rsidR="00281D04" w:rsidRPr="00124B6E" w:rsidRDefault="00281D04" w:rsidP="00380FF9">
            <w:pPr>
              <w:rPr>
                <w:rFonts w:eastAsia="Calibri"/>
                <w:b/>
                <w:color w:val="FFFFFF"/>
                <w:sz w:val="19"/>
                <w:szCs w:val="19"/>
              </w:rPr>
            </w:pPr>
            <w:r w:rsidRPr="00124B6E">
              <w:rPr>
                <w:rFonts w:eastAsia="Calibri"/>
                <w:b/>
                <w:color w:val="FFFFFF"/>
                <w:sz w:val="19"/>
                <w:szCs w:val="19"/>
              </w:rPr>
              <w:t>Program</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281D04" w:rsidRPr="00124B6E" w:rsidRDefault="00281D04" w:rsidP="00380FF9">
            <w:pPr>
              <w:jc w:val="center"/>
              <w:rPr>
                <w:rFonts w:eastAsia="Calibri"/>
                <w:b/>
                <w:color w:val="FFFFFF"/>
                <w:sz w:val="19"/>
                <w:szCs w:val="19"/>
              </w:rPr>
            </w:pPr>
            <w:r w:rsidRPr="00124B6E">
              <w:rPr>
                <w:rFonts w:eastAsia="Calibri"/>
                <w:b/>
                <w:color w:val="FFFFFF"/>
                <w:sz w:val="19"/>
                <w:szCs w:val="19"/>
              </w:rPr>
              <w:t>Energy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281D04" w:rsidRPr="00124B6E" w:rsidRDefault="00281D04" w:rsidP="00380FF9">
            <w:pPr>
              <w:jc w:val="center"/>
              <w:rPr>
                <w:rFonts w:eastAsia="Calibri"/>
                <w:b/>
                <w:color w:val="FFFFFF"/>
                <w:sz w:val="19"/>
                <w:szCs w:val="19"/>
              </w:rPr>
            </w:pPr>
            <w:r w:rsidRPr="00124B6E">
              <w:rPr>
                <w:rFonts w:eastAsia="Calibri"/>
                <w:b/>
                <w:color w:val="FFFFFF"/>
                <w:sz w:val="19"/>
                <w:szCs w:val="19"/>
              </w:rPr>
              <w:t>Relative Precision (Energy)</w:t>
            </w:r>
            <w:r w:rsidRPr="00124B6E">
              <w:rPr>
                <w:rFonts w:eastAsia="Calibri"/>
                <w:b/>
                <w:color w:val="FFFFFF"/>
                <w:sz w:val="19"/>
                <w:szCs w:val="19"/>
                <w:vertAlign w:val="superscript"/>
              </w:rPr>
              <w:t>[a]</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281D04" w:rsidRPr="00124B6E" w:rsidRDefault="00281D04" w:rsidP="00380FF9">
            <w:pPr>
              <w:jc w:val="center"/>
              <w:rPr>
                <w:rFonts w:eastAsia="Calibri"/>
                <w:b/>
                <w:color w:val="FFFFFF"/>
                <w:sz w:val="19"/>
                <w:szCs w:val="19"/>
              </w:rPr>
            </w:pPr>
            <w:r w:rsidRPr="00124B6E">
              <w:rPr>
                <w:rFonts w:eastAsia="Calibri"/>
                <w:b/>
                <w:color w:val="FFFFFF"/>
                <w:sz w:val="19"/>
                <w:szCs w:val="19"/>
              </w:rPr>
              <w:t>Demand Realization Rate</w:t>
            </w:r>
          </w:p>
        </w:tc>
        <w:tc>
          <w:tcPr>
            <w:tcW w:w="1534"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281D04" w:rsidRPr="00124B6E" w:rsidRDefault="00281D04" w:rsidP="00380FF9">
            <w:pPr>
              <w:jc w:val="center"/>
              <w:rPr>
                <w:rFonts w:eastAsia="Calibri"/>
                <w:b/>
                <w:color w:val="FFFFFF"/>
                <w:sz w:val="19"/>
                <w:szCs w:val="19"/>
              </w:rPr>
            </w:pPr>
            <w:r w:rsidRPr="00124B6E">
              <w:rPr>
                <w:rFonts w:eastAsia="Calibri"/>
                <w:b/>
                <w:color w:val="FFFFFF"/>
                <w:sz w:val="19"/>
                <w:szCs w:val="19"/>
              </w:rPr>
              <w:t>Relative Precision (Demand)</w:t>
            </w:r>
            <w:r w:rsidRPr="00124B6E">
              <w:rPr>
                <w:rFonts w:eastAsia="Calibri"/>
                <w:b/>
                <w:color w:val="FFFFFF"/>
                <w:sz w:val="19"/>
                <w:szCs w:val="19"/>
                <w:vertAlign w:val="superscript"/>
              </w:rPr>
              <w:t>[a]</w:t>
            </w:r>
          </w:p>
        </w:tc>
      </w:tr>
      <w:tr w:rsidR="00A874AC" w:rsidRPr="00124B6E" w:rsidTr="00124B6E">
        <w:trPr>
          <w:trHeight w:val="288"/>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left"/>
              <w:rPr>
                <w:rFonts w:eastAsia="Calibri"/>
                <w:sz w:val="19"/>
                <w:szCs w:val="19"/>
              </w:rPr>
            </w:pPr>
            <w:r w:rsidRPr="00124B6E">
              <w:rPr>
                <w:rFonts w:eastAsia="Calibri"/>
                <w:sz w:val="19"/>
                <w:szCs w:val="19"/>
              </w:rPr>
              <w:t>Appliance Turn-In</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center"/>
              <w:rPr>
                <w:rFonts w:eastAsia="Calibri"/>
                <w:sz w:val="19"/>
                <w:szCs w:val="19"/>
              </w:rPr>
            </w:pPr>
            <w:r w:rsidRPr="00124B6E">
              <w:rPr>
                <w:rFonts w:eastAsia="Calibri"/>
                <w:sz w:val="19"/>
                <w:szCs w:val="19"/>
              </w:rPr>
              <w:t>92.0%</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281D04">
            <w:pPr>
              <w:jc w:val="center"/>
              <w:rPr>
                <w:rFonts w:eastAsia="Calibri"/>
                <w:sz w:val="19"/>
                <w:szCs w:val="19"/>
              </w:rPr>
            </w:pPr>
            <w:r w:rsidRPr="00124B6E">
              <w:rPr>
                <w:rFonts w:eastAsia="Calibri"/>
                <w:sz w:val="19"/>
                <w:szCs w:val="19"/>
              </w:rPr>
              <w:t>7.6%</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067077">
            <w:pPr>
              <w:jc w:val="center"/>
              <w:rPr>
                <w:rFonts w:eastAsia="Calibri"/>
                <w:sz w:val="19"/>
                <w:szCs w:val="19"/>
              </w:rPr>
            </w:pPr>
            <w:r w:rsidRPr="00124B6E">
              <w:rPr>
                <w:rFonts w:eastAsia="Calibri"/>
                <w:sz w:val="19"/>
                <w:szCs w:val="19"/>
              </w:rPr>
              <w:t>92.</w:t>
            </w:r>
            <w:r w:rsidR="00067077" w:rsidRPr="00124B6E">
              <w:rPr>
                <w:rFonts w:eastAsia="Calibri"/>
                <w:sz w:val="19"/>
                <w:szCs w:val="19"/>
              </w:rPr>
              <w:t>7</w:t>
            </w:r>
            <w:r w:rsidRPr="00124B6E">
              <w:rPr>
                <w:rFonts w:eastAsia="Calibri"/>
                <w:sz w:val="19"/>
                <w:szCs w:val="19"/>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067077" w:rsidP="00380FF9">
            <w:pPr>
              <w:jc w:val="center"/>
              <w:rPr>
                <w:rFonts w:eastAsia="Calibri"/>
                <w:sz w:val="19"/>
                <w:szCs w:val="19"/>
              </w:rPr>
            </w:pPr>
            <w:r w:rsidRPr="00124B6E">
              <w:rPr>
                <w:rFonts w:eastAsia="Calibri"/>
                <w:sz w:val="19"/>
                <w:szCs w:val="19"/>
              </w:rPr>
              <w:t>7.9</w:t>
            </w:r>
            <w:r w:rsidR="00281D04" w:rsidRPr="00124B6E">
              <w:rPr>
                <w:rFonts w:eastAsia="Calibri"/>
                <w:sz w:val="19"/>
                <w:szCs w:val="19"/>
              </w:rPr>
              <w:t>%</w:t>
            </w:r>
          </w:p>
        </w:tc>
      </w:tr>
      <w:tr w:rsidR="00E7173E" w:rsidRPr="00124B6E" w:rsidTr="00124B6E">
        <w:trPr>
          <w:trHeight w:val="288"/>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281D04" w:rsidP="00380FF9">
            <w:pPr>
              <w:jc w:val="left"/>
              <w:rPr>
                <w:rFonts w:eastAsia="Calibri"/>
                <w:sz w:val="19"/>
                <w:szCs w:val="19"/>
              </w:rPr>
            </w:pPr>
            <w:r w:rsidRPr="00124B6E">
              <w:rPr>
                <w:rFonts w:eastAsia="Calibri"/>
                <w:sz w:val="19"/>
                <w:szCs w:val="19"/>
              </w:rPr>
              <w:t>Efficient Products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281D04" w:rsidP="00380FF9">
            <w:pPr>
              <w:jc w:val="center"/>
              <w:rPr>
                <w:rFonts w:eastAsia="Calibri"/>
                <w:sz w:val="19"/>
                <w:szCs w:val="19"/>
              </w:rPr>
            </w:pPr>
            <w:r w:rsidRPr="00124B6E">
              <w:rPr>
                <w:rFonts w:eastAsia="Calibri"/>
                <w:sz w:val="19"/>
                <w:szCs w:val="19"/>
              </w:rPr>
              <w:t>135.1%</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281D04" w:rsidP="00380FF9">
            <w:pPr>
              <w:jc w:val="center"/>
              <w:rPr>
                <w:rFonts w:eastAsia="Calibri"/>
                <w:sz w:val="19"/>
                <w:szCs w:val="19"/>
              </w:rPr>
            </w:pPr>
            <w:r w:rsidRPr="00124B6E">
              <w:rPr>
                <w:rFonts w:eastAsia="Calibri"/>
                <w:sz w:val="19"/>
                <w:szCs w:val="19"/>
              </w:rPr>
              <w:t>1.7%</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281D04" w:rsidP="00067077">
            <w:pPr>
              <w:jc w:val="center"/>
              <w:rPr>
                <w:rFonts w:eastAsia="Calibri"/>
                <w:sz w:val="19"/>
                <w:szCs w:val="19"/>
              </w:rPr>
            </w:pPr>
            <w:r w:rsidRPr="00124B6E">
              <w:rPr>
                <w:rFonts w:eastAsia="Calibri"/>
                <w:sz w:val="19"/>
                <w:szCs w:val="19"/>
              </w:rPr>
              <w:t>1</w:t>
            </w:r>
            <w:r w:rsidR="00067077" w:rsidRPr="00124B6E">
              <w:rPr>
                <w:rFonts w:eastAsia="Calibri"/>
                <w:sz w:val="19"/>
                <w:szCs w:val="19"/>
              </w:rPr>
              <w:t>12</w:t>
            </w:r>
            <w:r w:rsidRPr="00124B6E">
              <w:rPr>
                <w:rFonts w:eastAsia="Calibri"/>
                <w:sz w:val="19"/>
                <w:szCs w:val="19"/>
              </w:rPr>
              <w:t>.</w:t>
            </w:r>
            <w:r w:rsidR="00067077" w:rsidRPr="00124B6E">
              <w:rPr>
                <w:rFonts w:eastAsia="Calibri"/>
                <w:sz w:val="19"/>
                <w:szCs w:val="19"/>
              </w:rPr>
              <w:t>6</w:t>
            </w:r>
            <w:r w:rsidRPr="00124B6E">
              <w:rPr>
                <w:rFonts w:eastAsia="Calibri"/>
                <w:sz w:val="19"/>
                <w:szCs w:val="19"/>
              </w:rPr>
              <w:t>%</w:t>
            </w:r>
          </w:p>
        </w:tc>
        <w:tc>
          <w:tcPr>
            <w:tcW w:w="1534"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067077" w:rsidP="00380FF9">
            <w:pPr>
              <w:jc w:val="center"/>
              <w:rPr>
                <w:rFonts w:eastAsia="Calibri"/>
                <w:sz w:val="19"/>
                <w:szCs w:val="19"/>
              </w:rPr>
            </w:pPr>
            <w:r w:rsidRPr="00124B6E">
              <w:rPr>
                <w:rFonts w:eastAsia="Calibri"/>
                <w:sz w:val="19"/>
                <w:szCs w:val="19"/>
              </w:rPr>
              <w:t>5.</w:t>
            </w:r>
            <w:r w:rsidR="00281D04" w:rsidRPr="00124B6E">
              <w:rPr>
                <w:rFonts w:eastAsia="Calibri"/>
                <w:sz w:val="19"/>
                <w:szCs w:val="19"/>
              </w:rPr>
              <w:t>2%</w:t>
            </w:r>
          </w:p>
        </w:tc>
      </w:tr>
      <w:tr w:rsidR="00A874AC" w:rsidRPr="00124B6E" w:rsidTr="00124B6E">
        <w:trPr>
          <w:trHeight w:val="288"/>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left"/>
              <w:rPr>
                <w:rFonts w:eastAsia="Calibri"/>
                <w:sz w:val="19"/>
                <w:szCs w:val="19"/>
              </w:rPr>
            </w:pPr>
            <w:r w:rsidRPr="00124B6E">
              <w:rPr>
                <w:rFonts w:eastAsia="Calibri"/>
                <w:sz w:val="19"/>
                <w:szCs w:val="19"/>
              </w:rPr>
              <w:t>Home Performance</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center"/>
              <w:rPr>
                <w:rFonts w:eastAsia="Calibri"/>
                <w:sz w:val="19"/>
                <w:szCs w:val="19"/>
              </w:rPr>
            </w:pPr>
            <w:r w:rsidRPr="00124B6E">
              <w:rPr>
                <w:rFonts w:eastAsia="Calibri"/>
                <w:sz w:val="19"/>
                <w:szCs w:val="19"/>
              </w:rPr>
              <w:t>87.6%</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281D04">
            <w:pPr>
              <w:jc w:val="center"/>
              <w:rPr>
                <w:rFonts w:eastAsia="Calibri"/>
                <w:sz w:val="19"/>
                <w:szCs w:val="19"/>
              </w:rPr>
            </w:pPr>
            <w:r w:rsidRPr="00124B6E">
              <w:rPr>
                <w:rFonts w:eastAsia="Calibri"/>
                <w:sz w:val="19"/>
                <w:szCs w:val="19"/>
              </w:rPr>
              <w:t>5.2%</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067077" w:rsidP="00380FF9">
            <w:pPr>
              <w:jc w:val="center"/>
              <w:rPr>
                <w:rFonts w:eastAsia="Calibri"/>
                <w:sz w:val="19"/>
                <w:szCs w:val="19"/>
              </w:rPr>
            </w:pPr>
            <w:r w:rsidRPr="00124B6E">
              <w:rPr>
                <w:rFonts w:eastAsia="Calibri"/>
                <w:sz w:val="19"/>
                <w:szCs w:val="19"/>
              </w:rPr>
              <w:t>69.6</w:t>
            </w:r>
            <w:r w:rsidR="00281D04" w:rsidRPr="00124B6E">
              <w:rPr>
                <w:rFonts w:eastAsia="Calibri"/>
                <w:sz w:val="19"/>
                <w:szCs w:val="19"/>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067077" w:rsidP="00067077">
            <w:pPr>
              <w:jc w:val="center"/>
              <w:rPr>
                <w:rFonts w:eastAsia="Calibri"/>
                <w:sz w:val="19"/>
                <w:szCs w:val="19"/>
              </w:rPr>
            </w:pPr>
            <w:r w:rsidRPr="00124B6E">
              <w:rPr>
                <w:rFonts w:eastAsia="Calibri"/>
                <w:sz w:val="19"/>
                <w:szCs w:val="19"/>
              </w:rPr>
              <w:t>5.1</w:t>
            </w:r>
            <w:r w:rsidR="00281D04" w:rsidRPr="00124B6E">
              <w:rPr>
                <w:rFonts w:eastAsia="Calibri"/>
                <w:sz w:val="19"/>
                <w:szCs w:val="19"/>
              </w:rPr>
              <w:t>%</w:t>
            </w:r>
          </w:p>
        </w:tc>
      </w:tr>
      <w:tr w:rsidR="00E7173E" w:rsidRPr="00124B6E" w:rsidTr="00124B6E">
        <w:trPr>
          <w:trHeight w:val="288"/>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281D04" w:rsidP="00380FF9">
            <w:pPr>
              <w:jc w:val="left"/>
              <w:rPr>
                <w:rFonts w:eastAsia="Calibri"/>
                <w:sz w:val="19"/>
                <w:szCs w:val="19"/>
              </w:rPr>
            </w:pPr>
            <w:r w:rsidRPr="00124B6E">
              <w:rPr>
                <w:rFonts w:eastAsia="Calibri"/>
                <w:sz w:val="19"/>
                <w:szCs w:val="19"/>
              </w:rPr>
              <w:t>Low-Income</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281D04" w:rsidP="00380FF9">
            <w:pPr>
              <w:jc w:val="center"/>
              <w:rPr>
                <w:rFonts w:eastAsia="Calibri"/>
                <w:sz w:val="19"/>
                <w:szCs w:val="19"/>
              </w:rPr>
            </w:pPr>
            <w:r w:rsidRPr="00124B6E">
              <w:rPr>
                <w:rFonts w:eastAsia="Calibri"/>
                <w:sz w:val="19"/>
                <w:szCs w:val="19"/>
              </w:rPr>
              <w:t>99.3%</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281D04" w:rsidP="00380FF9">
            <w:pPr>
              <w:jc w:val="center"/>
              <w:rPr>
                <w:rFonts w:eastAsia="Calibri"/>
                <w:sz w:val="19"/>
                <w:szCs w:val="19"/>
              </w:rPr>
            </w:pPr>
            <w:r w:rsidRPr="00124B6E">
              <w:rPr>
                <w:rFonts w:eastAsia="Calibri"/>
                <w:sz w:val="19"/>
                <w:szCs w:val="19"/>
              </w:rPr>
              <w:t>9.9%</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067077" w:rsidP="00067077">
            <w:pPr>
              <w:jc w:val="center"/>
              <w:rPr>
                <w:rFonts w:eastAsia="Calibri"/>
                <w:sz w:val="19"/>
                <w:szCs w:val="19"/>
              </w:rPr>
            </w:pPr>
            <w:r w:rsidRPr="00124B6E">
              <w:rPr>
                <w:rFonts w:eastAsia="Calibri"/>
                <w:sz w:val="19"/>
                <w:szCs w:val="19"/>
              </w:rPr>
              <w:t>131.4</w:t>
            </w:r>
            <w:r w:rsidR="00281D04" w:rsidRPr="00124B6E">
              <w:rPr>
                <w:rFonts w:eastAsia="Calibri"/>
                <w:sz w:val="19"/>
                <w:szCs w:val="19"/>
              </w:rPr>
              <w:t>%</w:t>
            </w:r>
          </w:p>
        </w:tc>
        <w:tc>
          <w:tcPr>
            <w:tcW w:w="1534"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124B6E" w:rsidRDefault="00281D04" w:rsidP="00380FF9">
            <w:pPr>
              <w:jc w:val="center"/>
              <w:rPr>
                <w:rFonts w:eastAsia="Calibri"/>
                <w:sz w:val="19"/>
                <w:szCs w:val="19"/>
              </w:rPr>
            </w:pPr>
            <w:r w:rsidRPr="00124B6E">
              <w:rPr>
                <w:rFonts w:eastAsia="Calibri"/>
                <w:sz w:val="19"/>
                <w:szCs w:val="19"/>
              </w:rPr>
              <w:t>9.9%</w:t>
            </w:r>
          </w:p>
        </w:tc>
      </w:tr>
      <w:tr w:rsidR="00A874AC" w:rsidRPr="00124B6E" w:rsidTr="00124B6E">
        <w:trPr>
          <w:trHeight w:val="288"/>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left"/>
              <w:rPr>
                <w:rFonts w:eastAsia="Calibri"/>
                <w:sz w:val="19"/>
                <w:szCs w:val="19"/>
              </w:rPr>
            </w:pPr>
            <w:r w:rsidRPr="00124B6E">
              <w:rPr>
                <w:rFonts w:eastAsia="Calibri"/>
                <w:sz w:val="19"/>
                <w:szCs w:val="19"/>
              </w:rPr>
              <w:t>Small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center"/>
              <w:rPr>
                <w:rFonts w:eastAsia="Calibri"/>
                <w:sz w:val="19"/>
                <w:szCs w:val="19"/>
              </w:rPr>
            </w:pPr>
            <w:r w:rsidRPr="00124B6E">
              <w:rPr>
                <w:rFonts w:eastAsia="Calibri"/>
                <w:sz w:val="19"/>
                <w:szCs w:val="19"/>
              </w:rPr>
              <w:t>93.5%</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281D04">
            <w:pPr>
              <w:jc w:val="center"/>
              <w:rPr>
                <w:rFonts w:eastAsia="Calibri"/>
                <w:sz w:val="19"/>
                <w:szCs w:val="19"/>
              </w:rPr>
            </w:pPr>
            <w:r w:rsidRPr="00124B6E">
              <w:rPr>
                <w:rFonts w:eastAsia="Calibri"/>
                <w:sz w:val="19"/>
                <w:szCs w:val="19"/>
              </w:rPr>
              <w:t>13.1%</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067077" w:rsidP="00067077">
            <w:pPr>
              <w:jc w:val="center"/>
              <w:rPr>
                <w:rFonts w:eastAsia="Calibri"/>
                <w:sz w:val="19"/>
                <w:szCs w:val="19"/>
              </w:rPr>
            </w:pPr>
            <w:r w:rsidRPr="00124B6E">
              <w:rPr>
                <w:rFonts w:eastAsia="Calibri"/>
                <w:sz w:val="19"/>
                <w:szCs w:val="19"/>
              </w:rPr>
              <w:t>131.3</w:t>
            </w:r>
            <w:r w:rsidR="00281D04" w:rsidRPr="00124B6E">
              <w:rPr>
                <w:rFonts w:eastAsia="Calibri"/>
                <w:sz w:val="19"/>
                <w:szCs w:val="19"/>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067077">
            <w:pPr>
              <w:jc w:val="center"/>
              <w:rPr>
                <w:rFonts w:eastAsia="Calibri"/>
                <w:sz w:val="19"/>
                <w:szCs w:val="19"/>
              </w:rPr>
            </w:pPr>
            <w:r w:rsidRPr="00124B6E">
              <w:rPr>
                <w:rFonts w:eastAsia="Calibri"/>
                <w:sz w:val="19"/>
                <w:szCs w:val="19"/>
              </w:rPr>
              <w:t>1</w:t>
            </w:r>
            <w:r w:rsidR="00067077" w:rsidRPr="00124B6E">
              <w:rPr>
                <w:rFonts w:eastAsia="Calibri"/>
                <w:sz w:val="19"/>
                <w:szCs w:val="19"/>
              </w:rPr>
              <w:t>5</w:t>
            </w:r>
            <w:r w:rsidRPr="00124B6E">
              <w:rPr>
                <w:rFonts w:eastAsia="Calibri"/>
                <w:sz w:val="19"/>
                <w:szCs w:val="19"/>
              </w:rPr>
              <w:t>.4%</w:t>
            </w:r>
          </w:p>
        </w:tc>
      </w:tr>
      <w:tr w:rsidR="00A874AC" w:rsidRPr="00124B6E" w:rsidTr="00124B6E">
        <w:trPr>
          <w:trHeight w:val="288"/>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281D04" w:rsidP="00380FF9">
            <w:pPr>
              <w:jc w:val="left"/>
              <w:rPr>
                <w:rFonts w:eastAsia="Calibri"/>
                <w:sz w:val="19"/>
                <w:szCs w:val="19"/>
              </w:rPr>
            </w:pPr>
            <w:r w:rsidRPr="00124B6E">
              <w:rPr>
                <w:rFonts w:eastAsia="Calibri"/>
                <w:sz w:val="19"/>
                <w:szCs w:val="19"/>
              </w:rPr>
              <w:t>Small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281D04" w:rsidP="00380FF9">
            <w:pPr>
              <w:jc w:val="center"/>
              <w:rPr>
                <w:rFonts w:eastAsia="Calibri"/>
                <w:sz w:val="19"/>
                <w:szCs w:val="19"/>
              </w:rPr>
            </w:pPr>
            <w:r w:rsidRPr="00124B6E">
              <w:rPr>
                <w:rFonts w:eastAsia="Calibri"/>
                <w:sz w:val="19"/>
                <w:szCs w:val="19"/>
              </w:rPr>
              <w:t>79.0%</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281D04" w:rsidP="00281D04">
            <w:pPr>
              <w:jc w:val="center"/>
              <w:rPr>
                <w:rFonts w:eastAsia="Calibri"/>
                <w:sz w:val="19"/>
                <w:szCs w:val="19"/>
              </w:rPr>
            </w:pPr>
            <w:r w:rsidRPr="00124B6E">
              <w:rPr>
                <w:rFonts w:eastAsia="Calibri"/>
                <w:sz w:val="19"/>
                <w:szCs w:val="19"/>
              </w:rPr>
              <w:t>13.4%</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067077" w:rsidP="00067077">
            <w:pPr>
              <w:jc w:val="center"/>
              <w:rPr>
                <w:rFonts w:eastAsia="Calibri"/>
                <w:sz w:val="19"/>
                <w:szCs w:val="19"/>
              </w:rPr>
            </w:pPr>
            <w:r w:rsidRPr="00124B6E">
              <w:rPr>
                <w:rFonts w:eastAsia="Calibri"/>
                <w:sz w:val="19"/>
                <w:szCs w:val="19"/>
              </w:rPr>
              <w:t>104.0</w:t>
            </w:r>
            <w:r w:rsidR="00281D04" w:rsidRPr="00124B6E">
              <w:rPr>
                <w:rFonts w:eastAsia="Calibri"/>
                <w:sz w:val="19"/>
                <w:szCs w:val="19"/>
              </w:rPr>
              <w:t>%</w:t>
            </w:r>
          </w:p>
        </w:tc>
        <w:tc>
          <w:tcPr>
            <w:tcW w:w="1534"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281D04" w:rsidP="00380FF9">
            <w:pPr>
              <w:jc w:val="center"/>
              <w:rPr>
                <w:rFonts w:eastAsia="Calibri"/>
                <w:sz w:val="19"/>
                <w:szCs w:val="19"/>
              </w:rPr>
            </w:pPr>
            <w:r w:rsidRPr="00124B6E">
              <w:rPr>
                <w:rFonts w:eastAsia="Calibri"/>
                <w:sz w:val="19"/>
                <w:szCs w:val="19"/>
              </w:rPr>
              <w:t>9.4%</w:t>
            </w:r>
          </w:p>
        </w:tc>
      </w:tr>
      <w:tr w:rsidR="00A874AC" w:rsidRPr="00124B6E" w:rsidTr="00124B6E">
        <w:trPr>
          <w:trHeight w:val="288"/>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left"/>
              <w:rPr>
                <w:rFonts w:eastAsia="Calibri"/>
                <w:sz w:val="19"/>
                <w:szCs w:val="19"/>
              </w:rPr>
            </w:pPr>
            <w:r w:rsidRPr="00124B6E">
              <w:rPr>
                <w:rFonts w:eastAsia="Calibri"/>
                <w:sz w:val="19"/>
                <w:szCs w:val="19"/>
              </w:rPr>
              <w:t>Large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center"/>
              <w:rPr>
                <w:rFonts w:eastAsia="Calibri"/>
                <w:sz w:val="19"/>
                <w:szCs w:val="19"/>
              </w:rPr>
            </w:pPr>
            <w:r w:rsidRPr="00124B6E">
              <w:rPr>
                <w:rFonts w:eastAsia="Calibri"/>
                <w:sz w:val="19"/>
                <w:szCs w:val="19"/>
              </w:rPr>
              <w:t>99.8%</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center"/>
              <w:rPr>
                <w:rFonts w:eastAsia="Calibri"/>
                <w:sz w:val="19"/>
                <w:szCs w:val="19"/>
              </w:rPr>
            </w:pPr>
            <w:r w:rsidRPr="00124B6E">
              <w:rPr>
                <w:rFonts w:eastAsia="Calibri"/>
                <w:sz w:val="19"/>
                <w:szCs w:val="19"/>
              </w:rPr>
              <w:t>8.1%</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067077" w:rsidP="00067077">
            <w:pPr>
              <w:jc w:val="center"/>
              <w:rPr>
                <w:rFonts w:eastAsia="Calibri"/>
                <w:sz w:val="19"/>
                <w:szCs w:val="19"/>
              </w:rPr>
            </w:pPr>
            <w:r w:rsidRPr="00124B6E">
              <w:rPr>
                <w:rFonts w:eastAsia="Calibri"/>
                <w:sz w:val="19"/>
                <w:szCs w:val="19"/>
              </w:rPr>
              <w:t>97.9</w:t>
            </w:r>
            <w:r w:rsidR="00281D04" w:rsidRPr="00124B6E">
              <w:rPr>
                <w:rFonts w:eastAsia="Calibri"/>
                <w:sz w:val="19"/>
                <w:szCs w:val="19"/>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067077" w:rsidP="00380FF9">
            <w:pPr>
              <w:jc w:val="center"/>
              <w:rPr>
                <w:rFonts w:eastAsia="Calibri"/>
                <w:sz w:val="19"/>
                <w:szCs w:val="19"/>
              </w:rPr>
            </w:pPr>
            <w:r w:rsidRPr="00124B6E">
              <w:rPr>
                <w:rFonts w:eastAsia="Calibri"/>
                <w:sz w:val="19"/>
                <w:szCs w:val="19"/>
              </w:rPr>
              <w:t>9.5</w:t>
            </w:r>
            <w:r w:rsidR="00281D04" w:rsidRPr="00124B6E">
              <w:rPr>
                <w:rFonts w:eastAsia="Calibri"/>
                <w:sz w:val="19"/>
                <w:szCs w:val="19"/>
              </w:rPr>
              <w:t>%</w:t>
            </w:r>
          </w:p>
        </w:tc>
      </w:tr>
      <w:tr w:rsidR="00A874AC" w:rsidRPr="00124B6E" w:rsidTr="00124B6E">
        <w:trPr>
          <w:trHeight w:val="288"/>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281D04" w:rsidP="00380FF9">
            <w:pPr>
              <w:jc w:val="left"/>
              <w:rPr>
                <w:rFonts w:eastAsia="Calibri"/>
                <w:sz w:val="19"/>
                <w:szCs w:val="19"/>
              </w:rPr>
            </w:pPr>
            <w:r w:rsidRPr="00124B6E">
              <w:rPr>
                <w:rFonts w:eastAsia="Calibri"/>
                <w:sz w:val="19"/>
                <w:szCs w:val="19"/>
              </w:rPr>
              <w:t>Large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281D04" w:rsidP="00380FF9">
            <w:pPr>
              <w:jc w:val="center"/>
              <w:rPr>
                <w:rFonts w:eastAsia="Calibri"/>
                <w:sz w:val="19"/>
                <w:szCs w:val="19"/>
              </w:rPr>
            </w:pPr>
            <w:r w:rsidRPr="00124B6E">
              <w:rPr>
                <w:rFonts w:eastAsia="Calibri"/>
                <w:sz w:val="19"/>
                <w:szCs w:val="19"/>
              </w:rPr>
              <w:t>74.7%</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281D04" w:rsidP="00281D04">
            <w:pPr>
              <w:jc w:val="center"/>
              <w:rPr>
                <w:rFonts w:eastAsia="Calibri"/>
                <w:sz w:val="19"/>
                <w:szCs w:val="19"/>
              </w:rPr>
            </w:pPr>
            <w:r w:rsidRPr="00124B6E">
              <w:rPr>
                <w:rFonts w:eastAsia="Calibri"/>
                <w:sz w:val="19"/>
                <w:szCs w:val="19"/>
              </w:rPr>
              <w:t>12.5%</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067077" w:rsidP="00067077">
            <w:pPr>
              <w:jc w:val="center"/>
              <w:rPr>
                <w:rFonts w:eastAsia="Calibri"/>
                <w:sz w:val="19"/>
                <w:szCs w:val="19"/>
              </w:rPr>
            </w:pPr>
            <w:r w:rsidRPr="00124B6E">
              <w:rPr>
                <w:rFonts w:eastAsia="Calibri"/>
                <w:sz w:val="19"/>
                <w:szCs w:val="19"/>
              </w:rPr>
              <w:t>79.7</w:t>
            </w:r>
            <w:r w:rsidR="00281D04" w:rsidRPr="00124B6E">
              <w:rPr>
                <w:rFonts w:eastAsia="Calibri"/>
                <w:sz w:val="19"/>
                <w:szCs w:val="19"/>
              </w:rPr>
              <w:t>%</w:t>
            </w:r>
          </w:p>
        </w:tc>
        <w:tc>
          <w:tcPr>
            <w:tcW w:w="1534"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124B6E" w:rsidRDefault="00067077" w:rsidP="00067077">
            <w:pPr>
              <w:jc w:val="center"/>
              <w:rPr>
                <w:rFonts w:eastAsia="Calibri"/>
                <w:sz w:val="19"/>
                <w:szCs w:val="19"/>
              </w:rPr>
            </w:pPr>
            <w:r w:rsidRPr="00124B6E">
              <w:rPr>
                <w:rFonts w:eastAsia="Calibri"/>
                <w:sz w:val="19"/>
                <w:szCs w:val="19"/>
              </w:rPr>
              <w:t>12.2</w:t>
            </w:r>
            <w:r w:rsidR="00281D04" w:rsidRPr="00124B6E">
              <w:rPr>
                <w:rFonts w:eastAsia="Calibri"/>
                <w:sz w:val="19"/>
                <w:szCs w:val="19"/>
              </w:rPr>
              <w:t>%</w:t>
            </w:r>
          </w:p>
        </w:tc>
      </w:tr>
      <w:tr w:rsidR="00A874AC" w:rsidRPr="00124B6E" w:rsidTr="00124B6E">
        <w:trPr>
          <w:trHeight w:val="288"/>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380FF9">
            <w:pPr>
              <w:jc w:val="left"/>
              <w:rPr>
                <w:rFonts w:eastAsia="Calibri"/>
                <w:sz w:val="19"/>
                <w:szCs w:val="19"/>
              </w:rPr>
            </w:pPr>
            <w:r w:rsidRPr="00124B6E">
              <w:rPr>
                <w:rFonts w:eastAsia="Calibri"/>
                <w:sz w:val="19"/>
                <w:szCs w:val="19"/>
              </w:rPr>
              <w:t>Government/Institutional</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F21F28">
            <w:pPr>
              <w:jc w:val="center"/>
              <w:rPr>
                <w:rFonts w:eastAsia="Calibri"/>
                <w:sz w:val="19"/>
                <w:szCs w:val="19"/>
              </w:rPr>
            </w:pPr>
            <w:r w:rsidRPr="00124B6E">
              <w:rPr>
                <w:rFonts w:eastAsia="Calibri"/>
                <w:sz w:val="19"/>
                <w:szCs w:val="19"/>
              </w:rPr>
              <w:t>95.8%</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281D04" w:rsidP="00281D04">
            <w:pPr>
              <w:jc w:val="center"/>
              <w:rPr>
                <w:rFonts w:eastAsia="Calibri"/>
                <w:sz w:val="19"/>
                <w:szCs w:val="19"/>
              </w:rPr>
            </w:pPr>
            <w:r w:rsidRPr="00124B6E">
              <w:rPr>
                <w:rFonts w:eastAsia="Calibri"/>
                <w:sz w:val="19"/>
                <w:szCs w:val="19"/>
              </w:rPr>
              <w:t>14.4%</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067077" w:rsidP="00380FF9">
            <w:pPr>
              <w:jc w:val="center"/>
              <w:rPr>
                <w:rFonts w:eastAsia="Calibri"/>
                <w:sz w:val="19"/>
                <w:szCs w:val="19"/>
              </w:rPr>
            </w:pPr>
            <w:r w:rsidRPr="00124B6E">
              <w:rPr>
                <w:rFonts w:eastAsia="Calibri"/>
                <w:sz w:val="19"/>
                <w:szCs w:val="19"/>
              </w:rPr>
              <w:t>8.3</w:t>
            </w:r>
            <w:r w:rsidR="00281D04" w:rsidRPr="00124B6E">
              <w:rPr>
                <w:rFonts w:eastAsia="Calibri"/>
                <w:sz w:val="19"/>
                <w:szCs w:val="19"/>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124B6E" w:rsidRDefault="00067077" w:rsidP="00067077">
            <w:pPr>
              <w:jc w:val="center"/>
              <w:rPr>
                <w:rFonts w:eastAsia="Calibri"/>
                <w:sz w:val="19"/>
                <w:szCs w:val="19"/>
              </w:rPr>
            </w:pPr>
            <w:r w:rsidRPr="00124B6E">
              <w:rPr>
                <w:rFonts w:eastAsia="Calibri"/>
                <w:sz w:val="19"/>
                <w:szCs w:val="19"/>
              </w:rPr>
              <w:t>19.6</w:t>
            </w:r>
            <w:r w:rsidR="00281D04" w:rsidRPr="00124B6E">
              <w:rPr>
                <w:rFonts w:eastAsia="Calibri"/>
                <w:sz w:val="19"/>
                <w:szCs w:val="19"/>
              </w:rPr>
              <w:t>%</w:t>
            </w:r>
          </w:p>
        </w:tc>
      </w:tr>
      <w:tr w:rsidR="00E7173E" w:rsidRPr="009A6DD4" w:rsidTr="008F60E1">
        <w:trPr>
          <w:trHeight w:val="300"/>
        </w:trPr>
        <w:tc>
          <w:tcPr>
            <w:tcW w:w="9347" w:type="dxa"/>
            <w:gridSpan w:val="5"/>
            <w:tcBorders>
              <w:top w:val="single" w:sz="4" w:space="0" w:color="448A99"/>
              <w:left w:val="single" w:sz="4" w:space="0" w:color="448A99"/>
              <w:bottom w:val="single" w:sz="4" w:space="0" w:color="448A99"/>
              <w:right w:val="single" w:sz="4" w:space="0" w:color="448A99"/>
            </w:tcBorders>
            <w:shd w:val="clear" w:color="auto" w:fill="448A99"/>
            <w:noWrap/>
            <w:vAlign w:val="center"/>
          </w:tcPr>
          <w:p w:rsidR="00281D04" w:rsidRPr="009A6DD4" w:rsidRDefault="006722FB" w:rsidP="00380FF9">
            <w:pPr>
              <w:rPr>
                <w:rFonts w:eastAsia="Calibri"/>
                <w:color w:val="FFFFFF"/>
                <w:sz w:val="18"/>
                <w:szCs w:val="19"/>
              </w:rPr>
            </w:pPr>
            <w:r w:rsidRPr="009A6DD4">
              <w:rPr>
                <w:rFonts w:eastAsia="Calibri"/>
                <w:color w:val="FFFFFF"/>
                <w:sz w:val="18"/>
                <w:szCs w:val="19"/>
              </w:rPr>
              <w:t>NOTE</w:t>
            </w:r>
            <w:r w:rsidR="00124B6E" w:rsidRPr="009A6DD4">
              <w:rPr>
                <w:rFonts w:eastAsia="Calibri"/>
                <w:color w:val="FFFFFF"/>
                <w:sz w:val="18"/>
                <w:szCs w:val="19"/>
              </w:rPr>
              <w:t>S</w:t>
            </w:r>
            <w:r w:rsidRPr="009A6DD4">
              <w:rPr>
                <w:rFonts w:eastAsia="Calibri"/>
                <w:color w:val="FFFFFF"/>
                <w:sz w:val="18"/>
                <w:szCs w:val="19"/>
              </w:rPr>
              <w:t>:</w:t>
            </w:r>
          </w:p>
          <w:p w:rsidR="00281D04" w:rsidRPr="009A6DD4" w:rsidRDefault="00281D04" w:rsidP="00380FF9">
            <w:pPr>
              <w:rPr>
                <w:rFonts w:eastAsia="Calibri"/>
                <w:b/>
                <w:color w:val="FFFFFF"/>
                <w:sz w:val="18"/>
                <w:szCs w:val="19"/>
              </w:rPr>
            </w:pPr>
            <w:r w:rsidRPr="009A6DD4">
              <w:rPr>
                <w:rFonts w:eastAsia="Calibri"/>
                <w:color w:val="FFFFFF"/>
                <w:sz w:val="18"/>
                <w:szCs w:val="19"/>
              </w:rPr>
              <w:t>[a]</w:t>
            </w:r>
            <w:r w:rsidR="00B97C91" w:rsidRPr="009A6DD4">
              <w:rPr>
                <w:rFonts w:eastAsia="Calibri"/>
                <w:color w:val="FFFFFF"/>
                <w:sz w:val="18"/>
                <w:szCs w:val="19"/>
              </w:rPr>
              <w:t xml:space="preserve"> </w:t>
            </w:r>
            <w:r w:rsidRPr="009A6DD4">
              <w:rPr>
                <w:rFonts w:eastAsia="Calibri"/>
                <w:color w:val="FFFFFF"/>
                <w:sz w:val="18"/>
                <w:szCs w:val="19"/>
              </w:rPr>
              <w:t>Relative precision values are at the 85% confidence level.</w:t>
            </w:r>
          </w:p>
        </w:tc>
      </w:tr>
    </w:tbl>
    <w:p w:rsidR="00281D04" w:rsidRDefault="00281D04" w:rsidP="00281D04"/>
    <w:p w:rsidR="00124B6E" w:rsidRDefault="00124B6E" w:rsidP="00281D04"/>
    <w:p w:rsidR="00124B6E" w:rsidRPr="00891F4B" w:rsidRDefault="00124B6E" w:rsidP="00281D04"/>
    <w:p w:rsidR="00AD7467" w:rsidRPr="00AD7467" w:rsidRDefault="00AD7467" w:rsidP="0055598C">
      <w:pPr>
        <w:pStyle w:val="AppendixAHeading4"/>
        <w:rPr>
          <w:rFonts w:eastAsia="Calibri"/>
        </w:rPr>
      </w:pPr>
      <w:r w:rsidRPr="00AD7467">
        <w:rPr>
          <w:rFonts w:eastAsia="Calibri"/>
        </w:rPr>
        <w:t>Residential Programs</w:t>
      </w:r>
    </w:p>
    <w:p w:rsidR="00AD7467" w:rsidRPr="00AD7467" w:rsidRDefault="00AD7467" w:rsidP="00AD7467">
      <w:pPr>
        <w:rPr>
          <w:rFonts w:eastAsia="Calibri"/>
        </w:rPr>
      </w:pPr>
      <w:r w:rsidRPr="00AD7467">
        <w:rPr>
          <w:rFonts w:eastAsia="Calibri"/>
        </w:rPr>
        <w:t>The energy realization rates for West Penn’s residential programs ranged from 87.6% to 135.1%. The demand realization rates ranged from 69.6% to 131.4%. West Penn achieved the 15% relative precision requirement at the 85% confidence level for both energy and demand for all residential programs.</w:t>
      </w:r>
    </w:p>
    <w:p w:rsidR="00AD7467" w:rsidRPr="00AD7467" w:rsidRDefault="00AD7467" w:rsidP="00AD7467">
      <w:pPr>
        <w:rPr>
          <w:rFonts w:eastAsia="Calibri"/>
        </w:rPr>
      </w:pPr>
    </w:p>
    <w:p w:rsidR="00AD7467" w:rsidRPr="00AD7467" w:rsidRDefault="00AD7467" w:rsidP="00AD7467">
      <w:pPr>
        <w:rPr>
          <w:rFonts w:eastAsia="Calibri"/>
        </w:rPr>
      </w:pPr>
      <w:r w:rsidRPr="00AD7467">
        <w:rPr>
          <w:rFonts w:eastAsia="Calibri"/>
        </w:rPr>
        <w:t>The Appliance Turn-In Program was evaluated through customer verification surveys to determine the fraction of refrigerators, freezers, and room air conditioners that were drawing power before retirement, as well as the other parameters necessary to determine the EUL from the TRM regression equation. The program realization rate is mostly a function of the difference between the ex ante and ex post EULs, the latter of which used actual PY7 collection data.</w:t>
      </w:r>
    </w:p>
    <w:p w:rsidR="00AD7467" w:rsidRPr="00AD7467" w:rsidRDefault="00AD7467" w:rsidP="00AD7467"/>
    <w:p w:rsidR="001E0C98" w:rsidRPr="0051723C" w:rsidRDefault="001E0C98" w:rsidP="001E0C98">
      <w:pPr>
        <w:rPr>
          <w:rFonts w:eastAsia="Calibri"/>
        </w:rPr>
      </w:pPr>
      <w:r w:rsidRPr="0051723C">
        <w:rPr>
          <w:rFonts w:eastAsia="Calibri"/>
        </w:rPr>
        <w:t>The evaluations of the upstream lighting and products portions of the Efficient Products Program involved reviews of sales invoices, a review of the tracking and reporting system, and a detailed review of CSP energy and demand savings calculations. The appliance portion and the HVAC equipment/tune-up portion were evaluated through an invoice review, customer surveys, and a review of the energy and demand calculations with reference to the ENERGY STAR database.</w:t>
      </w:r>
    </w:p>
    <w:p w:rsidR="001E0C98" w:rsidRDefault="001E0C98" w:rsidP="00AD7467">
      <w:pPr>
        <w:rPr>
          <w:rFonts w:eastAsia="Calibri"/>
        </w:rPr>
      </w:pPr>
    </w:p>
    <w:p w:rsidR="00AD7467" w:rsidRPr="00AD7467" w:rsidRDefault="00AD7467" w:rsidP="00AD7467">
      <w:pPr>
        <w:rPr>
          <w:rFonts w:eastAsia="Calibri"/>
        </w:rPr>
      </w:pPr>
      <w:r w:rsidRPr="00AD7467">
        <w:rPr>
          <w:rFonts w:eastAsia="Calibri"/>
        </w:rPr>
        <w:t>The evaluation contractor approached the evaluation differently for each branch of the Home Performance Program. The home energy audit kits were evaluated using the T&amp;R</w:t>
      </w:r>
      <w:r w:rsidR="008F60E1">
        <w:rPr>
          <w:rFonts w:eastAsia="Calibri"/>
        </w:rPr>
        <w:t xml:space="preserve"> </w:t>
      </w:r>
      <w:r w:rsidRPr="00AD7467">
        <w:rPr>
          <w:rFonts w:eastAsia="Calibri"/>
        </w:rPr>
        <w:t>system as well as online and phone surveys to determine the delivery and installation rates for each measure. The kit receipt rates and measure ISRs have been shown to fluctuate among EDCs, primarily due to statistical variations, and therefore average statewide ISRs are used for all four FirstEnergy companies. The new construction portion of the program was evaluated through an engineering review of a sample of projects in the portfolio. Energy and demand savings for this program were determined through REM/Rate software calculations, and the review focused on whether the modeling was performed correctly (including baseline assumptions) and if the results were reasonable. The prescriptive, low-cost direct</w:t>
      </w:r>
      <w:r w:rsidR="006722FB">
        <w:rPr>
          <w:rFonts w:eastAsia="Calibri"/>
        </w:rPr>
        <w:t>-</w:t>
      </w:r>
      <w:r w:rsidRPr="00AD7467">
        <w:rPr>
          <w:rFonts w:eastAsia="Calibri"/>
        </w:rPr>
        <w:t>install portion was evaluated by reviewing the T&amp;R system and sample invoices to check if the TRM calculations were performed correctly and if the invoices matched the information in the database. For comprehensive weatherization jobs, those that saved more than 2 MWh/yr were evaluated through billing analysis, and those saving under 2 MWh/yr received an invoice review. The HER portion was reviewed and duplicated by the evaluation contractor, producing results consistent with the implementation CSP’s. The contractor then conducted its own full evaluation of the savings using a lagged seasonal regression model and adjusting for dual participation.</w:t>
      </w:r>
    </w:p>
    <w:p w:rsidR="00AD7467" w:rsidRPr="00AD7467" w:rsidRDefault="00AD7467" w:rsidP="00AD7467"/>
    <w:p w:rsidR="00AD7467" w:rsidRPr="00AD7467" w:rsidRDefault="00AD7467" w:rsidP="0055598C">
      <w:pPr>
        <w:pStyle w:val="AppendixAHeading4"/>
        <w:rPr>
          <w:rFonts w:eastAsia="Calibri"/>
        </w:rPr>
      </w:pPr>
      <w:r w:rsidRPr="00AD7467">
        <w:rPr>
          <w:rFonts w:eastAsia="Calibri"/>
        </w:rPr>
        <w:t>Low-Income Programs</w:t>
      </w:r>
    </w:p>
    <w:p w:rsidR="00AD7467" w:rsidRPr="00AD7467" w:rsidRDefault="00AD7467" w:rsidP="00AD7467">
      <w:r w:rsidRPr="00AD7467">
        <w:t>The evaluation contractor reviewed the tracking data and on-site verification forms and results to determine ISRs for the WARM direct-install measures. For giveaway events, the evaluation contractor reviewed the tracking database and applied the ISR from the 201</w:t>
      </w:r>
      <w:r w:rsidR="00590018">
        <w:t>5</w:t>
      </w:r>
      <w:r w:rsidRPr="00AD7467">
        <w:t xml:space="preserve"> TRM. There were no LILU energy kits distributed in PY7.</w:t>
      </w:r>
    </w:p>
    <w:p w:rsidR="00AD7467" w:rsidRPr="00AD7467" w:rsidRDefault="00AD7467" w:rsidP="00AD7467"/>
    <w:p w:rsidR="00AD7467" w:rsidRPr="00AD7467" w:rsidRDefault="00AD7467" w:rsidP="0055598C">
      <w:pPr>
        <w:pStyle w:val="AppendixAHeading4"/>
        <w:rPr>
          <w:rFonts w:eastAsia="Calibri"/>
        </w:rPr>
      </w:pPr>
      <w:r w:rsidRPr="00AD7467">
        <w:rPr>
          <w:rFonts w:eastAsia="Calibri"/>
        </w:rPr>
        <w:t>Non-Residential Programs</w:t>
      </w:r>
    </w:p>
    <w:p w:rsidR="00AD7467" w:rsidRPr="00AD7467" w:rsidRDefault="00AD7467" w:rsidP="00AD7467">
      <w:r w:rsidRPr="00AD7467">
        <w:t xml:space="preserve">Realization rates for West Penn’s non-residential programs’ energy savings ranged from 74.7% to </w:t>
      </w:r>
      <w:r w:rsidR="00F21F28">
        <w:t>99.8</w:t>
      </w:r>
      <w:r w:rsidRPr="00AD7467">
        <w:t>%. Realization rates for demand reductions from these programs ranged from 8.3% to 131.</w:t>
      </w:r>
      <w:r w:rsidR="00F21F28">
        <w:t>4</w:t>
      </w:r>
      <w:r w:rsidRPr="00AD7467">
        <w:t>%. The Government and Institutional Program was responsible for the low realization rate of 8.3% for demand, but most projects were street lighting, which has a 0 coincidence factor. West Penn achieved the 15% precision requirement for kWh in all of its non-residential programs. It also achieved better than 15% precision for demand savings, although this is not a requirement for Phase II of Act 129.</w:t>
      </w:r>
    </w:p>
    <w:p w:rsidR="00AD7467" w:rsidRPr="00AD7467" w:rsidRDefault="007E0D0D" w:rsidP="00AD7467">
      <w:r>
        <w:t>Figure A-16</w:t>
      </w:r>
      <w:r w:rsidR="00AD7467" w:rsidRPr="00AD7467">
        <w:t xml:space="preserve"> shows the frequency of each M&amp;V approach performed by ADM in PY7 for West Penn’s Small C/I Equipment Program evaluation sample and the verified energy savings associated with each M&amp;V approach. ADM used both basic and enhanced levels of rigor to evaluate projects in the sample. Basic rigor includes surveys, desk reviews, and simple on-site verification (no logging). Enhanced rigor includes the following options, as recorded by ADM. The first consists of utility billing analysis to determine energy savings. Typically, 12 months of pre- and post-installation billing data are required for this approach. The second general approach is on-site verification with logging. This may be light logger deployment or more robust measurement of the retrofitted system’s continuous energy usage. The third general approach involves modeling energy performance of a facility before and after the efficiency measure is installed with an energy simulation.</w:t>
      </w:r>
    </w:p>
    <w:p w:rsidR="007E0D0D" w:rsidRDefault="007E0D0D" w:rsidP="001F39E1">
      <w:pPr>
        <w:jc w:val="center"/>
        <w:rPr>
          <w:rStyle w:val="CaptionChar1"/>
        </w:rPr>
      </w:pPr>
      <w:bookmarkStart w:id="1014" w:name="_Ref472465723"/>
      <w:bookmarkStart w:id="1015" w:name="_Toc408557570"/>
      <w:bookmarkStart w:id="1016" w:name="_Toc408999446"/>
      <w:bookmarkStart w:id="1017" w:name="_Toc409224971"/>
      <w:bookmarkStart w:id="1018" w:name="_Toc409443650"/>
      <w:bookmarkStart w:id="1019" w:name="_Toc444269828"/>
    </w:p>
    <w:p w:rsidR="001F39E1" w:rsidRPr="002E1CE9" w:rsidRDefault="00AD7467" w:rsidP="002E1CE9">
      <w:pPr>
        <w:pStyle w:val="Caption"/>
        <w:rPr>
          <w:rStyle w:val="CaptionChar1"/>
          <w:b/>
          <w:bCs/>
        </w:rPr>
      </w:pPr>
      <w:bookmarkStart w:id="1020" w:name="_Toc488742027"/>
      <w:r w:rsidRPr="002E1CE9">
        <w:rPr>
          <w:rStyle w:val="CaptionChar1"/>
          <w:b/>
          <w:bCs/>
        </w:rPr>
        <w:t>Figure A-</w:t>
      </w:r>
      <w:r w:rsidR="008D7800" w:rsidRPr="002E1CE9">
        <w:rPr>
          <w:rStyle w:val="CaptionChar1"/>
          <w:b/>
          <w:bCs/>
        </w:rPr>
        <w:fldChar w:fldCharType="begin"/>
      </w:r>
      <w:r w:rsidR="008D7800" w:rsidRPr="002E1CE9">
        <w:rPr>
          <w:rStyle w:val="CaptionChar1"/>
          <w:b/>
          <w:bCs/>
        </w:rPr>
        <w:instrText xml:space="preserve"> SEQ Figure_A- \* ARABIC </w:instrText>
      </w:r>
      <w:r w:rsidR="008D7800" w:rsidRPr="002E1CE9">
        <w:rPr>
          <w:rStyle w:val="CaptionChar1"/>
          <w:b/>
          <w:bCs/>
        </w:rPr>
        <w:fldChar w:fldCharType="separate"/>
      </w:r>
      <w:r w:rsidR="00037CB4" w:rsidRPr="002E1CE9">
        <w:rPr>
          <w:rStyle w:val="CaptionChar1"/>
          <w:b/>
          <w:bCs/>
        </w:rPr>
        <w:t>16</w:t>
      </w:r>
      <w:r w:rsidR="008D7800" w:rsidRPr="002E1CE9">
        <w:rPr>
          <w:rStyle w:val="CaptionChar1"/>
          <w:b/>
          <w:bCs/>
        </w:rPr>
        <w:fldChar w:fldCharType="end"/>
      </w:r>
      <w:bookmarkEnd w:id="1014"/>
      <w:r w:rsidRPr="002E1CE9">
        <w:rPr>
          <w:rStyle w:val="CaptionChar1"/>
          <w:b/>
          <w:bCs/>
        </w:rPr>
        <w:t xml:space="preserve">: Frequency of and Associated Energy Savings by M&amp;V Approach – Small C/I Equipment </w:t>
      </w:r>
      <w:bookmarkEnd w:id="1015"/>
      <w:bookmarkEnd w:id="1016"/>
      <w:bookmarkEnd w:id="1017"/>
      <w:bookmarkEnd w:id="1018"/>
      <w:r w:rsidRPr="002E1CE9">
        <w:rPr>
          <w:rStyle w:val="CaptionChar1"/>
          <w:b/>
          <w:bCs/>
        </w:rPr>
        <w:t>Program</w:t>
      </w:r>
      <w:bookmarkEnd w:id="1019"/>
      <w:bookmarkEnd w:id="1020"/>
    </w:p>
    <w:p w:rsidR="00AD7467" w:rsidRPr="00AD7467" w:rsidRDefault="00AD7467" w:rsidP="001F39E1">
      <w:pPr>
        <w:jc w:val="center"/>
      </w:pPr>
      <w:r w:rsidRPr="001F39E1">
        <w:rPr>
          <w:noProof/>
        </w:rPr>
        <w:drawing>
          <wp:inline distT="0" distB="0" distL="0" distR="0" wp14:anchorId="5F0B6651" wp14:editId="53612869">
            <wp:extent cx="5785951" cy="2186608"/>
            <wp:effectExtent l="0" t="0" r="5715"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3">
                      <a:extLst>
                        <a:ext uri="{28A0092B-C50C-407E-A947-70E740481C1C}">
                          <a14:useLocalDpi xmlns:a14="http://schemas.microsoft.com/office/drawing/2010/main" val="0"/>
                        </a:ext>
                      </a:extLst>
                    </a:blip>
                    <a:srcRect l="7431" t="5423" r="6287" b="8902"/>
                    <a:stretch/>
                  </pic:blipFill>
                  <pic:spPr bwMode="auto">
                    <a:xfrm>
                      <a:off x="0" y="0"/>
                      <a:ext cx="5809213" cy="2195399"/>
                    </a:xfrm>
                    <a:prstGeom prst="rect">
                      <a:avLst/>
                    </a:prstGeom>
                    <a:noFill/>
                    <a:ln>
                      <a:noFill/>
                    </a:ln>
                    <a:extLst>
                      <a:ext uri="{53640926-AAD7-44D8-BBD7-CCE9431645EC}">
                        <a14:shadowObscured xmlns:a14="http://schemas.microsoft.com/office/drawing/2010/main"/>
                      </a:ext>
                    </a:extLst>
                  </pic:spPr>
                </pic:pic>
              </a:graphicData>
            </a:graphic>
          </wp:inline>
        </w:drawing>
      </w:r>
    </w:p>
    <w:p w:rsidR="00AD7467" w:rsidRPr="00AD7467" w:rsidRDefault="00AD7467" w:rsidP="00AD7467"/>
    <w:p w:rsidR="00AD7467" w:rsidRPr="00AD7467" w:rsidRDefault="007E0D0D" w:rsidP="00AD7467">
      <w:r>
        <w:t>Figure A-16</w:t>
      </w:r>
      <w:r w:rsidR="00AD7467" w:rsidRPr="00AD7467">
        <w:t xml:space="preserve"> indicates that 42% of the sampled measures for the Small C/I Equipment Program were evaluated using a basic level of rigor. However, the representative savings for these measures accounted for 12% of the energy savings. This suggests that basic rigor was used appropriately, predominately for projects with smaller savings. Likewise, the more expensive enhanced rigor methods were reserved for a smaller number of projects, but these projects contributed a majority (88%) of the sample’s energy savings. The SWE Team supports this “value of information” approach, whereby more expensive evaluation techniques are reserved for projects that account for the greatest share of program savings.</w:t>
      </w:r>
    </w:p>
    <w:p w:rsidR="00AD7467" w:rsidRPr="00AD7467" w:rsidRDefault="00AD7467" w:rsidP="00AD7467"/>
    <w:p w:rsidR="00AD7467" w:rsidRPr="00AD7467" w:rsidRDefault="00AD7467" w:rsidP="00AD7467">
      <w:r>
        <w:fldChar w:fldCharType="begin"/>
      </w:r>
      <w:r>
        <w:instrText xml:space="preserve"> REF _Ref472465689 \h </w:instrText>
      </w:r>
      <w:r>
        <w:fldChar w:fldCharType="separate"/>
      </w:r>
      <w:r w:rsidR="00037CB4">
        <w:t>Figure A-</w:t>
      </w:r>
      <w:r w:rsidR="00037CB4">
        <w:rPr>
          <w:noProof/>
        </w:rPr>
        <w:t>17</w:t>
      </w:r>
      <w:r>
        <w:fldChar w:fldCharType="end"/>
      </w:r>
      <w:r w:rsidRPr="00AD7467">
        <w:t xml:space="preserve"> shows the frequency of each M&amp;V method used in the Small C/I Buildings Program and the energy savings associated with each method. Basic rigor was used to evaluate 79% of projects, and these projects made up 52% of the savings.</w:t>
      </w:r>
    </w:p>
    <w:p w:rsidR="008F60E1" w:rsidRPr="00AD7467" w:rsidRDefault="008F60E1" w:rsidP="00AD7467"/>
    <w:p w:rsidR="00AD7467" w:rsidRPr="00AD7467" w:rsidRDefault="00AD7467" w:rsidP="004837FA">
      <w:pPr>
        <w:pStyle w:val="Caption"/>
      </w:pPr>
      <w:bookmarkStart w:id="1021" w:name="_Ref472465689"/>
      <w:bookmarkStart w:id="1022" w:name="_Toc444269829"/>
      <w:bookmarkStart w:id="1023" w:name="_Toc488742028"/>
      <w:r>
        <w:t>Figure A-</w:t>
      </w:r>
      <w:r w:rsidR="007973A4">
        <w:fldChar w:fldCharType="begin"/>
      </w:r>
      <w:r w:rsidR="007973A4">
        <w:instrText xml:space="preserve"> SEQ Figure_A- \* ARABIC </w:instrText>
      </w:r>
      <w:r w:rsidR="007973A4">
        <w:fldChar w:fldCharType="separate"/>
      </w:r>
      <w:r w:rsidR="00037CB4">
        <w:rPr>
          <w:noProof/>
        </w:rPr>
        <w:t>17</w:t>
      </w:r>
      <w:r w:rsidR="007973A4">
        <w:rPr>
          <w:noProof/>
        </w:rPr>
        <w:fldChar w:fldCharType="end"/>
      </w:r>
      <w:bookmarkEnd w:id="1021"/>
      <w:r>
        <w:t xml:space="preserve">: </w:t>
      </w:r>
      <w:r w:rsidRPr="00AD7467">
        <w:t>Frequency of and Associated Energy Savings by M&amp;V Approach – Small C/I Buildings Program</w:t>
      </w:r>
      <w:bookmarkEnd w:id="1022"/>
      <w:bookmarkEnd w:id="1023"/>
    </w:p>
    <w:p w:rsidR="00AD7467" w:rsidRPr="00AD7467" w:rsidRDefault="00AD7467" w:rsidP="00AD7467">
      <w:pPr>
        <w:jc w:val="center"/>
      </w:pPr>
      <w:r w:rsidRPr="00AD7467">
        <w:rPr>
          <w:noProof/>
        </w:rPr>
        <w:drawing>
          <wp:inline distT="0" distB="0" distL="0" distR="0" wp14:anchorId="51582F11" wp14:editId="3F1280BC">
            <wp:extent cx="5893904" cy="2215936"/>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4">
                      <a:extLst>
                        <a:ext uri="{28A0092B-C50C-407E-A947-70E740481C1C}">
                          <a14:useLocalDpi xmlns:a14="http://schemas.microsoft.com/office/drawing/2010/main" val="0"/>
                        </a:ext>
                      </a:extLst>
                    </a:blip>
                    <a:srcRect l="7705" t="5410" r="6298" b="9833"/>
                    <a:stretch/>
                  </pic:blipFill>
                  <pic:spPr bwMode="auto">
                    <a:xfrm>
                      <a:off x="0" y="0"/>
                      <a:ext cx="5908275" cy="2221339"/>
                    </a:xfrm>
                    <a:prstGeom prst="rect">
                      <a:avLst/>
                    </a:prstGeom>
                    <a:noFill/>
                    <a:ln>
                      <a:noFill/>
                    </a:ln>
                    <a:extLst>
                      <a:ext uri="{53640926-AAD7-44D8-BBD7-CCE9431645EC}">
                        <a14:shadowObscured xmlns:a14="http://schemas.microsoft.com/office/drawing/2010/main"/>
                      </a:ext>
                    </a:extLst>
                  </pic:spPr>
                </pic:pic>
              </a:graphicData>
            </a:graphic>
          </wp:inline>
        </w:drawing>
      </w:r>
    </w:p>
    <w:p w:rsidR="00AD7467" w:rsidRPr="00AD7467" w:rsidRDefault="00AD7467" w:rsidP="00AD7467"/>
    <w:p w:rsidR="00AD7467" w:rsidRPr="00AD7467" w:rsidRDefault="00AD7467" w:rsidP="00AD7467">
      <w:r>
        <w:fldChar w:fldCharType="begin"/>
      </w:r>
      <w:r>
        <w:instrText xml:space="preserve"> REF _Ref472465671 \h </w:instrText>
      </w:r>
      <w:r>
        <w:fldChar w:fldCharType="separate"/>
      </w:r>
      <w:r w:rsidR="00037CB4">
        <w:t>Figure A-</w:t>
      </w:r>
      <w:r w:rsidR="00037CB4">
        <w:rPr>
          <w:noProof/>
        </w:rPr>
        <w:t>18</w:t>
      </w:r>
      <w:r>
        <w:fldChar w:fldCharType="end"/>
      </w:r>
      <w:r w:rsidRPr="00AD7467">
        <w:t xml:space="preserve"> shows the frequency of each M&amp;V method used in the Large C/I Equipment Program and the energy savings associated with each method. Enhanced rigor was used for a majority of the projects (85%), and these projects accounted for the vast majority of the savings. Basic rigor was appropriately limited to those projects with less savings.</w:t>
      </w:r>
    </w:p>
    <w:p w:rsidR="00FD4D90" w:rsidRDefault="00FD4D90" w:rsidP="00AD7467"/>
    <w:p w:rsidR="00AD7467" w:rsidRPr="00AD7467" w:rsidRDefault="00AD7467" w:rsidP="004837FA">
      <w:pPr>
        <w:pStyle w:val="Caption"/>
      </w:pPr>
      <w:bookmarkStart w:id="1024" w:name="_Ref472465671"/>
      <w:bookmarkStart w:id="1025" w:name="_Toc444269830"/>
      <w:bookmarkStart w:id="1026" w:name="_Toc488742029"/>
      <w:r>
        <w:t>Figure A-</w:t>
      </w:r>
      <w:r w:rsidR="007973A4">
        <w:fldChar w:fldCharType="begin"/>
      </w:r>
      <w:r w:rsidR="007973A4">
        <w:instrText xml:space="preserve"> SEQ Figure_A- \* ARABIC </w:instrText>
      </w:r>
      <w:r w:rsidR="007973A4">
        <w:fldChar w:fldCharType="separate"/>
      </w:r>
      <w:r w:rsidR="00037CB4">
        <w:rPr>
          <w:noProof/>
        </w:rPr>
        <w:t>18</w:t>
      </w:r>
      <w:r w:rsidR="007973A4">
        <w:rPr>
          <w:noProof/>
        </w:rPr>
        <w:fldChar w:fldCharType="end"/>
      </w:r>
      <w:bookmarkEnd w:id="1024"/>
      <w:r>
        <w:t xml:space="preserve">: </w:t>
      </w:r>
      <w:r w:rsidRPr="00AD7467">
        <w:t>Frequency of and Associated Energy Savings by M&amp;V Approach – Large C/I Equipment Program</w:t>
      </w:r>
      <w:bookmarkEnd w:id="1025"/>
      <w:bookmarkEnd w:id="1026"/>
    </w:p>
    <w:p w:rsidR="00AD7467" w:rsidRPr="00AD7467" w:rsidRDefault="00AD7467" w:rsidP="00AD7467">
      <w:pPr>
        <w:jc w:val="center"/>
      </w:pPr>
      <w:r w:rsidRPr="00AD7467">
        <w:rPr>
          <w:noProof/>
        </w:rPr>
        <w:drawing>
          <wp:inline distT="0" distB="0" distL="0" distR="0" wp14:anchorId="43E172CE" wp14:editId="3AFE1FC1">
            <wp:extent cx="5923252" cy="2244654"/>
            <wp:effectExtent l="0" t="0" r="1905"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5">
                      <a:extLst>
                        <a:ext uri="{28A0092B-C50C-407E-A947-70E740481C1C}">
                          <a14:useLocalDpi xmlns:a14="http://schemas.microsoft.com/office/drawing/2010/main" val="0"/>
                        </a:ext>
                      </a:extLst>
                    </a:blip>
                    <a:srcRect l="7568" t="5049" r="6009" b="9098"/>
                    <a:stretch/>
                  </pic:blipFill>
                  <pic:spPr bwMode="auto">
                    <a:xfrm>
                      <a:off x="0" y="0"/>
                      <a:ext cx="5938730" cy="2250519"/>
                    </a:xfrm>
                    <a:prstGeom prst="rect">
                      <a:avLst/>
                    </a:prstGeom>
                    <a:noFill/>
                    <a:ln>
                      <a:noFill/>
                    </a:ln>
                    <a:extLst>
                      <a:ext uri="{53640926-AAD7-44D8-BBD7-CCE9431645EC}">
                        <a14:shadowObscured xmlns:a14="http://schemas.microsoft.com/office/drawing/2010/main"/>
                      </a:ext>
                    </a:extLst>
                  </pic:spPr>
                </pic:pic>
              </a:graphicData>
            </a:graphic>
          </wp:inline>
        </w:drawing>
      </w:r>
    </w:p>
    <w:p w:rsidR="00124B6E" w:rsidRDefault="00124B6E" w:rsidP="00AD7467"/>
    <w:p w:rsidR="00AD7467" w:rsidRPr="00AD7467" w:rsidRDefault="00AD7467" w:rsidP="00AD7467">
      <w:r>
        <w:fldChar w:fldCharType="begin"/>
      </w:r>
      <w:r>
        <w:instrText xml:space="preserve"> REF _Ref472465648 \h </w:instrText>
      </w:r>
      <w:r>
        <w:fldChar w:fldCharType="separate"/>
      </w:r>
      <w:r w:rsidR="00037CB4">
        <w:t>Figure A-</w:t>
      </w:r>
      <w:r w:rsidR="00037CB4">
        <w:rPr>
          <w:noProof/>
        </w:rPr>
        <w:t>19</w:t>
      </w:r>
      <w:r>
        <w:fldChar w:fldCharType="end"/>
      </w:r>
      <w:r w:rsidRPr="00AD7467">
        <w:t xml:space="preserve"> shows the frequency of each M&amp;V method used in the Large C/I Buildings Program and the energy savings associated with each method. Enhanced rigor was used for a majority of the projects (56%), and these projects accounted for most of the savings (83%). </w:t>
      </w:r>
    </w:p>
    <w:p w:rsidR="00AD7467" w:rsidRPr="00AD7467" w:rsidRDefault="00AD7467" w:rsidP="00AD7467"/>
    <w:p w:rsidR="00AD7467" w:rsidRPr="00AD7467" w:rsidRDefault="00AD7467" w:rsidP="004837FA">
      <w:pPr>
        <w:pStyle w:val="Caption"/>
      </w:pPr>
      <w:bookmarkStart w:id="1027" w:name="_Ref472465648"/>
      <w:bookmarkStart w:id="1028" w:name="_Toc488742030"/>
      <w:r>
        <w:t>Figure A-</w:t>
      </w:r>
      <w:r w:rsidR="007973A4">
        <w:fldChar w:fldCharType="begin"/>
      </w:r>
      <w:r w:rsidR="007973A4">
        <w:instrText xml:space="preserve"> SEQ Figure_A- \* ARABIC </w:instrText>
      </w:r>
      <w:r w:rsidR="007973A4">
        <w:fldChar w:fldCharType="separate"/>
      </w:r>
      <w:r w:rsidR="00037CB4">
        <w:rPr>
          <w:noProof/>
        </w:rPr>
        <w:t>19</w:t>
      </w:r>
      <w:r w:rsidR="007973A4">
        <w:rPr>
          <w:noProof/>
        </w:rPr>
        <w:fldChar w:fldCharType="end"/>
      </w:r>
      <w:bookmarkEnd w:id="1027"/>
      <w:r>
        <w:t xml:space="preserve">: </w:t>
      </w:r>
      <w:r w:rsidRPr="00AD7467">
        <w:t>Frequency of and Associated Energy Savings by M&amp;V Approach – Large C/I Buildings Program</w:t>
      </w:r>
      <w:bookmarkEnd w:id="1028"/>
    </w:p>
    <w:p w:rsidR="00AD7467" w:rsidRPr="00AD7467" w:rsidRDefault="00AD7467" w:rsidP="00AD7467">
      <w:pPr>
        <w:jc w:val="center"/>
      </w:pPr>
      <w:r w:rsidRPr="00AD7467">
        <w:rPr>
          <w:noProof/>
        </w:rPr>
        <w:drawing>
          <wp:inline distT="0" distB="0" distL="0" distR="0" wp14:anchorId="4214FD90" wp14:editId="3A505DF8">
            <wp:extent cx="5963285" cy="2289559"/>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6">
                      <a:extLst>
                        <a:ext uri="{28A0092B-C50C-407E-A947-70E740481C1C}">
                          <a14:useLocalDpi xmlns:a14="http://schemas.microsoft.com/office/drawing/2010/main" val="0"/>
                        </a:ext>
                      </a:extLst>
                    </a:blip>
                    <a:srcRect l="7569" t="4699" r="6422" b="8534"/>
                    <a:stretch/>
                  </pic:blipFill>
                  <pic:spPr bwMode="auto">
                    <a:xfrm>
                      <a:off x="0" y="0"/>
                      <a:ext cx="5979472" cy="2295774"/>
                    </a:xfrm>
                    <a:prstGeom prst="rect">
                      <a:avLst/>
                    </a:prstGeom>
                    <a:noFill/>
                    <a:ln>
                      <a:noFill/>
                    </a:ln>
                    <a:extLst>
                      <a:ext uri="{53640926-AAD7-44D8-BBD7-CCE9431645EC}">
                        <a14:shadowObscured xmlns:a14="http://schemas.microsoft.com/office/drawing/2010/main"/>
                      </a:ext>
                    </a:extLst>
                  </pic:spPr>
                </pic:pic>
              </a:graphicData>
            </a:graphic>
          </wp:inline>
        </w:drawing>
      </w:r>
    </w:p>
    <w:p w:rsidR="00AD7467" w:rsidRPr="00AD7467" w:rsidRDefault="00AD7467" w:rsidP="00AD7467"/>
    <w:p w:rsidR="00AD7467" w:rsidRPr="00AD7467" w:rsidRDefault="00124B6E" w:rsidP="00AD7467">
      <w:r>
        <w:t xml:space="preserve">Figure A-20 </w:t>
      </w:r>
      <w:r w:rsidR="00AD7467" w:rsidRPr="00AD7467">
        <w:t>shows the frequency of each M&amp;V method used in the Government and Institutional Program and the energy savings associated with each method. Basic rigor was used for 65% of the projects, but these projects accounted for only 44% of the savings.</w:t>
      </w:r>
    </w:p>
    <w:p w:rsidR="00FA78C7" w:rsidRDefault="00FA78C7" w:rsidP="00AD7467">
      <w:bookmarkStart w:id="1029" w:name="_Ref472465622"/>
      <w:bookmarkStart w:id="1030" w:name="_Toc408557573"/>
      <w:bookmarkStart w:id="1031" w:name="_Toc408999449"/>
      <w:bookmarkStart w:id="1032" w:name="_Toc409224974"/>
      <w:bookmarkStart w:id="1033" w:name="_Toc409443653"/>
      <w:bookmarkStart w:id="1034" w:name="_Toc444269831"/>
    </w:p>
    <w:p w:rsidR="00AD7467" w:rsidRPr="00AD7467" w:rsidRDefault="00AD7467" w:rsidP="004837FA">
      <w:pPr>
        <w:pStyle w:val="Caption"/>
      </w:pPr>
      <w:bookmarkStart w:id="1035" w:name="_Toc488742031"/>
      <w:r>
        <w:t>Figure A-</w:t>
      </w:r>
      <w:r w:rsidR="007973A4">
        <w:fldChar w:fldCharType="begin"/>
      </w:r>
      <w:r w:rsidR="007973A4">
        <w:instrText xml:space="preserve"> SEQ Figure_A- \* ARABIC </w:instrText>
      </w:r>
      <w:r w:rsidR="007973A4">
        <w:fldChar w:fldCharType="separate"/>
      </w:r>
      <w:r w:rsidR="00037CB4">
        <w:rPr>
          <w:noProof/>
        </w:rPr>
        <w:t>20</w:t>
      </w:r>
      <w:r w:rsidR="007973A4">
        <w:rPr>
          <w:noProof/>
        </w:rPr>
        <w:fldChar w:fldCharType="end"/>
      </w:r>
      <w:bookmarkEnd w:id="1029"/>
      <w:r>
        <w:t xml:space="preserve">: </w:t>
      </w:r>
      <w:r w:rsidRPr="00AD7467">
        <w:t>Frequency of and Associated Energy Savings by M&amp;V Approach – Government and Institutional Program</w:t>
      </w:r>
      <w:bookmarkEnd w:id="1030"/>
      <w:bookmarkEnd w:id="1031"/>
      <w:bookmarkEnd w:id="1032"/>
      <w:bookmarkEnd w:id="1033"/>
      <w:bookmarkEnd w:id="1034"/>
      <w:bookmarkEnd w:id="1035"/>
    </w:p>
    <w:p w:rsidR="00AD7467" w:rsidRPr="00AD7467" w:rsidRDefault="00AD7467" w:rsidP="00AD7467">
      <w:pPr>
        <w:jc w:val="center"/>
      </w:pPr>
      <w:r w:rsidRPr="00AD7467">
        <w:rPr>
          <w:noProof/>
        </w:rPr>
        <w:drawing>
          <wp:inline distT="0" distB="0" distL="0" distR="0" wp14:anchorId="3831D912" wp14:editId="6B61698B">
            <wp:extent cx="5794513" cy="21969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7">
                      <a:extLst>
                        <a:ext uri="{28A0092B-C50C-407E-A947-70E740481C1C}">
                          <a14:useLocalDpi xmlns:a14="http://schemas.microsoft.com/office/drawing/2010/main" val="0"/>
                        </a:ext>
                      </a:extLst>
                    </a:blip>
                    <a:srcRect l="7464" t="5049" r="6155" b="9458"/>
                    <a:stretch/>
                  </pic:blipFill>
                  <pic:spPr bwMode="auto">
                    <a:xfrm>
                      <a:off x="0" y="0"/>
                      <a:ext cx="5823875" cy="2208073"/>
                    </a:xfrm>
                    <a:prstGeom prst="rect">
                      <a:avLst/>
                    </a:prstGeom>
                    <a:noFill/>
                    <a:ln>
                      <a:noFill/>
                    </a:ln>
                    <a:extLst>
                      <a:ext uri="{53640926-AAD7-44D8-BBD7-CCE9431645EC}">
                        <a14:shadowObscured xmlns:a14="http://schemas.microsoft.com/office/drawing/2010/main"/>
                      </a:ext>
                    </a:extLst>
                  </pic:spPr>
                </pic:pic>
              </a:graphicData>
            </a:graphic>
          </wp:inline>
        </w:drawing>
      </w:r>
    </w:p>
    <w:p w:rsidR="00AD7467" w:rsidRDefault="00AD7467" w:rsidP="00AD7467"/>
    <w:p w:rsidR="00124B6E" w:rsidRPr="00AD7467" w:rsidRDefault="00124B6E" w:rsidP="00AD7467"/>
    <w:p w:rsidR="00950837" w:rsidRDefault="00950837" w:rsidP="009C0DF1">
      <w:pPr>
        <w:pStyle w:val="AppendixAHeading3"/>
      </w:pPr>
      <w:r>
        <w:t>Process Evaluation Activities and Findings</w:t>
      </w:r>
    </w:p>
    <w:p w:rsidR="00C668C9" w:rsidRDefault="00C668C9" w:rsidP="00C668C9">
      <w:r w:rsidRPr="00661E10">
        <w:t>FirstEnergy’s evaluation contractor, ADM</w:t>
      </w:r>
      <w:r w:rsidR="0009501A">
        <w:t>/Tetra Tech</w:t>
      </w:r>
      <w:r w:rsidRPr="00661E10">
        <w:t xml:space="preserve">, took unified process evaluation approaches to these programs across the four FirstEnergy EDCs, including </w:t>
      </w:r>
      <w:r>
        <w:t>West Penn</w:t>
      </w:r>
      <w:r w:rsidRPr="00661E10">
        <w:t>, and so the annual evaluation reports of the four EDCs report identical information about the process evaluation.</w:t>
      </w:r>
      <w:r>
        <w:t xml:space="preserve"> Refer to Section </w:t>
      </w:r>
      <w:r>
        <w:fldChar w:fldCharType="begin"/>
      </w:r>
      <w:r>
        <w:instrText xml:space="preserve"> REF _Ref472450362 \r \h </w:instrText>
      </w:r>
      <w:r>
        <w:fldChar w:fldCharType="separate"/>
      </w:r>
      <w:r w:rsidR="00037CB4">
        <w:t>A.2.3.3</w:t>
      </w:r>
      <w:r>
        <w:fldChar w:fldCharType="end"/>
      </w:r>
      <w:r>
        <w:t xml:space="preserve"> for an overview of ADM</w:t>
      </w:r>
      <w:r w:rsidR="0009501A">
        <w:t>/Tetra Tech</w:t>
      </w:r>
      <w:r>
        <w:t>’s process evaluation activities and findings.</w:t>
      </w:r>
    </w:p>
    <w:p w:rsidR="00C668C9" w:rsidRDefault="00C668C9" w:rsidP="00C668C9"/>
    <w:p w:rsidR="00950837" w:rsidRDefault="00950837" w:rsidP="000D3563">
      <w:pPr>
        <w:pStyle w:val="AppendixAHeading2"/>
      </w:pPr>
      <w:r>
        <w:t>Statewide Evaluator Audit Activities and Findings</w:t>
      </w:r>
    </w:p>
    <w:p w:rsidR="00C737E8" w:rsidRPr="00C737E8" w:rsidRDefault="00C737E8" w:rsidP="00C737E8">
      <w:r w:rsidRPr="00C737E8">
        <w:t xml:space="preserve">This section presents the activities of the SWE Team’s audits of </w:t>
      </w:r>
      <w:r>
        <w:t xml:space="preserve">West </w:t>
      </w:r>
      <w:r w:rsidRPr="00C737E8">
        <w:t>Pen</w:t>
      </w:r>
      <w:r>
        <w:t>n‘s</w:t>
      </w:r>
      <w:r w:rsidRPr="00C737E8">
        <w:t xml:space="preserve"> portfolio of programs. It provides summary information and key findings from the SWE Team’s residential, low-income, non-residential, and NTG and process evaluation audit activities.</w:t>
      </w:r>
    </w:p>
    <w:p w:rsidR="00C737E8" w:rsidRPr="00C737E8" w:rsidRDefault="00C737E8" w:rsidP="00C737E8"/>
    <w:p w:rsidR="00950837" w:rsidRDefault="00950837" w:rsidP="009C0DF1">
      <w:pPr>
        <w:pStyle w:val="AppendixAHeading3"/>
      </w:pPr>
      <w:r>
        <w:t>Residential Program Audit Summary</w:t>
      </w:r>
    </w:p>
    <w:p w:rsidR="00A476EB" w:rsidRPr="00A476EB" w:rsidRDefault="00A476EB" w:rsidP="0055598C">
      <w:pPr>
        <w:pStyle w:val="AppendixAHeading4"/>
        <w:rPr>
          <w:rFonts w:eastAsia="Calibri"/>
        </w:rPr>
      </w:pPr>
      <w:r w:rsidRPr="00A476EB">
        <w:rPr>
          <w:rFonts w:eastAsia="Calibri"/>
        </w:rPr>
        <w:t>Residential Lighting</w:t>
      </w:r>
    </w:p>
    <w:p w:rsidR="00A476EB" w:rsidRPr="00A476EB" w:rsidRDefault="00A476EB" w:rsidP="00A476EB">
      <w:pPr>
        <w:rPr>
          <w:rFonts w:eastAsia="Calibri"/>
        </w:rPr>
      </w:pPr>
      <w:r w:rsidRPr="00A476EB">
        <w:rPr>
          <w:rFonts w:eastAsia="Calibri"/>
        </w:rPr>
        <w:t>For PY7, residential upstream lighting accounted for a majority of the reported savings in West Penn’s Efficient Products Program. The SWE Team reviewed the database and tracking system submitted by West Penn and its evaluation contractor to verify that the correct savings algorithms and deemed savings values were used in the program. The SWE Team also reviewed 10 invoices and product data sheets covering many different bulb types, from standard CFLs to decorative LEDs and floodlight bulbs. Due to the format of the tracking database, the SWE Team easily confirmed that the 2015 TRM was appropriately used for the calculations to quantify the program savings. The SWE Team also verified that FirstEnergy’s evaluation contractor correctly noted any discrepancies in the census data and accounted for any adjustments in the verified savings data.</w:t>
      </w:r>
    </w:p>
    <w:p w:rsidR="00A476EB" w:rsidRPr="00A476EB" w:rsidRDefault="00A476EB" w:rsidP="00A476EB">
      <w:pPr>
        <w:rPr>
          <w:rFonts w:eastAsia="Calibri"/>
        </w:rPr>
      </w:pPr>
    </w:p>
    <w:p w:rsidR="00A476EB" w:rsidRPr="00A476EB" w:rsidRDefault="00A476EB" w:rsidP="0055598C">
      <w:pPr>
        <w:pStyle w:val="AppendixAHeading4"/>
        <w:rPr>
          <w:rFonts w:eastAsia="Calibri"/>
        </w:rPr>
      </w:pPr>
      <w:r w:rsidRPr="00A476EB">
        <w:rPr>
          <w:rFonts w:eastAsia="Calibri"/>
        </w:rPr>
        <w:t>Appliance Turn-In Program</w:t>
      </w:r>
    </w:p>
    <w:p w:rsidR="00A476EB" w:rsidRPr="00A476EB" w:rsidRDefault="00A476EB" w:rsidP="00A476EB">
      <w:pPr>
        <w:rPr>
          <w:rFonts w:eastAsia="Calibri"/>
        </w:rPr>
      </w:pPr>
      <w:r w:rsidRPr="00A476EB">
        <w:rPr>
          <w:rFonts w:eastAsia="Calibri"/>
        </w:rPr>
        <w:t>The SWE Team reviewed the spreadsheets and database used to calculate West Penn’s verified gross savings. Unlike in previous years where the evaluation contractor simply used the deemed UECs from the TRM, in PY7 the contractor calculated a utility-specific UEC from the PY7 appliance recycling customer database. The SWE Team confirmed that the UECs were calculated correctly using the 2015 TRM regression coefficients and PY7 West Penn customer data and that they were used correctly in determining annual kWh and kW savings. Because of a difference in how gross savings are calculated in the 2015 TRM, it was not necessary to account for refrigerator replacement. This is taken into account only in the net savings calculations. The Excel worksheets documented calculations clearly and were easy to follow.</w:t>
      </w:r>
    </w:p>
    <w:p w:rsidR="00A476EB" w:rsidRPr="00A476EB" w:rsidRDefault="00A476EB" w:rsidP="00A476EB">
      <w:pPr>
        <w:rPr>
          <w:rFonts w:eastAsia="Calibri"/>
        </w:rPr>
      </w:pPr>
    </w:p>
    <w:p w:rsidR="00A476EB" w:rsidRPr="00A476EB" w:rsidRDefault="00A476EB" w:rsidP="0055598C">
      <w:pPr>
        <w:pStyle w:val="AppendixAHeading4"/>
        <w:rPr>
          <w:rFonts w:eastAsia="Calibri"/>
        </w:rPr>
      </w:pPr>
      <w:r w:rsidRPr="00A476EB">
        <w:rPr>
          <w:rFonts w:eastAsia="Calibri"/>
        </w:rPr>
        <w:t>Efficient Products Program</w:t>
      </w:r>
    </w:p>
    <w:p w:rsidR="00A476EB" w:rsidRPr="00A476EB" w:rsidRDefault="00A476EB" w:rsidP="00A476EB">
      <w:pPr>
        <w:rPr>
          <w:rFonts w:eastAsia="Calibri"/>
        </w:rPr>
      </w:pPr>
      <w:r w:rsidRPr="00A476EB">
        <w:rPr>
          <w:rFonts w:eastAsia="Calibri"/>
        </w:rPr>
        <w:t>The SWE Team thoroughly reviewed the data-tracking and reporting system containing the savings calculation and rebate invoice information for all of the Efficient Products Program strata. Additionally, it checked the proper use of the 2015 TRM in calculating the savings for each of the product types. The SWE found that the HPWH savings calculations strayed slightly from the TRM, but in an acceptably conservative fashion. According to the TRM, the HVAC interactive effect penalty only needs to be taken into account when the HPWH is installed in conditioned space and not when the default F</w:t>
      </w:r>
      <w:r w:rsidRPr="00A476EB">
        <w:rPr>
          <w:rFonts w:eastAsia="Calibri"/>
          <w:vertAlign w:val="subscript"/>
        </w:rPr>
        <w:t>derate</w:t>
      </w:r>
      <w:r w:rsidRPr="00A476EB">
        <w:rPr>
          <w:rFonts w:eastAsia="Calibri"/>
        </w:rPr>
        <w:t xml:space="preserve"> value is used. The evaluation contractor assumed both, which made the kWh estimates slightly conservative.</w:t>
      </w:r>
    </w:p>
    <w:p w:rsidR="00A476EB" w:rsidRPr="00A476EB" w:rsidRDefault="00A476EB" w:rsidP="00A476EB">
      <w:pPr>
        <w:rPr>
          <w:rFonts w:eastAsia="Calibri"/>
        </w:rPr>
      </w:pPr>
    </w:p>
    <w:p w:rsidR="00A476EB" w:rsidRPr="00A476EB" w:rsidRDefault="00A476EB" w:rsidP="0055598C">
      <w:pPr>
        <w:pStyle w:val="AppendixAHeading4"/>
        <w:rPr>
          <w:rFonts w:eastAsia="Calibri"/>
        </w:rPr>
      </w:pPr>
      <w:r w:rsidRPr="00A476EB">
        <w:rPr>
          <w:rFonts w:eastAsia="Calibri"/>
        </w:rPr>
        <w:t>Home Performance</w:t>
      </w:r>
    </w:p>
    <w:p w:rsidR="00A476EB" w:rsidRPr="00A476EB" w:rsidRDefault="00A476EB" w:rsidP="00A476EB">
      <w:r w:rsidRPr="00A476EB">
        <w:t>The SWE Team audited each operational component of the Home Performance Program: whole house direct install, home energy audit conservation kits, new homes, and HERs (the school conservation kits component did not operate in PY7). The HERs accounted for a majority (86%) of the Home Performance Program savings in PY7. The SWE Team verified that the correct 2015 TRM savings were used for all measures in the home energy audit conservation kits and that the FirstEnergy statewide receipt rate and ISRs were correctly applied to the items.</w:t>
      </w:r>
    </w:p>
    <w:p w:rsidR="00A476EB" w:rsidRPr="00A476EB" w:rsidRDefault="00A476EB" w:rsidP="00A476EB">
      <w:pPr>
        <w:spacing w:before="240"/>
      </w:pPr>
      <w:r w:rsidRPr="00A476EB">
        <w:t>For the whole house direct</w:t>
      </w:r>
      <w:r w:rsidR="006722FB">
        <w:t>-</w:t>
      </w:r>
      <w:r w:rsidRPr="00A476EB">
        <w:t xml:space="preserve">install component, the SWE Team verified that the five highest contributing prescriptive measures and five randomly selected measures were calculated properly per the TRM protocols. The HER component received a full evaluation for the first time in Phase II in PY7. Due to the one-year measure life, it was unnecessary to evaluate this component in the other years. The SWE reviewed the independent analysis performed by the </w:t>
      </w:r>
      <w:r w:rsidRPr="00A476EB">
        <w:rPr>
          <w:rFonts w:eastAsia="Calibri"/>
        </w:rPr>
        <w:t xml:space="preserve">evaluation contractor </w:t>
      </w:r>
      <w:r w:rsidRPr="00A476EB">
        <w:t>and verified that it was done correctly. There was good consistency between the results of the three analyses performed (</w:t>
      </w:r>
      <w:r w:rsidR="00A92A46">
        <w:t>OPower</w:t>
      </w:r>
      <w:r w:rsidRPr="00A476EB">
        <w:t xml:space="preserve">’s, ADM’s replication of </w:t>
      </w:r>
      <w:r w:rsidR="00A92A46">
        <w:t>OPower</w:t>
      </w:r>
      <w:r w:rsidRPr="00A476EB">
        <w:t>, and ADM’s), and the overall realization rate was 86%.</w:t>
      </w:r>
    </w:p>
    <w:p w:rsidR="00950837" w:rsidRDefault="00950837" w:rsidP="009C0DF1">
      <w:pPr>
        <w:pStyle w:val="AppendixAHeading3"/>
      </w:pPr>
      <w:r>
        <w:t>Low-Income Program and Audit Summary</w:t>
      </w:r>
    </w:p>
    <w:p w:rsidR="00A476EB" w:rsidRPr="00A476EB" w:rsidRDefault="00A476EB" w:rsidP="00A476EB">
      <w:pPr>
        <w:spacing w:after="240"/>
      </w:pPr>
      <w:r w:rsidRPr="00A476EB">
        <w:t xml:space="preserve">The SWE Team reviewed the two distribution branches of the Low-Income Program operational in PY7 (direct install and giveaway) to ensure that the savings were correctly calculated using the 2015 TRM and that the realization rates were correctly determined and applied appropriately. West Penn’s </w:t>
      </w:r>
      <w:r w:rsidRPr="00A476EB">
        <w:rPr>
          <w:rFonts w:eastAsia="Calibri"/>
        </w:rPr>
        <w:t xml:space="preserve">evaluation contractor </w:t>
      </w:r>
      <w:r w:rsidRPr="00A476EB">
        <w:t>provided a complete database of direct-install measures, which included a pivot table that ranked measures by individual measure contribution to total program kWh savings. Using this, the SWE Team verified the calculations for five measures with the greatest overall impact and verified five randomly selected measures. The SWE Team also confirmed that kWh and kW calculations for the estimations of savings for the giveaway program were implemented per the 2015 TRM.</w:t>
      </w:r>
    </w:p>
    <w:p w:rsidR="00A476EB" w:rsidRDefault="006722FB" w:rsidP="00A476EB">
      <w:r>
        <w:t>The</w:t>
      </w:r>
      <w:r w:rsidR="00A476EB" w:rsidRPr="00A476EB">
        <w:t xml:space="preserve"> SWE Team verified that West Penn was in compliance with the requirement that the number of energy conservation measures offered to low‐income households be proportionate to those households’ share of the total energy usage in West Penn’s service territory. West Penn offered six types of measures to the low‐income sector in PY7, which is 15% of the total number of measures offered across all sectors. This exceeded its goal of 8.8%.</w:t>
      </w:r>
    </w:p>
    <w:p w:rsidR="00124B6E" w:rsidRPr="00A476EB" w:rsidRDefault="00124B6E" w:rsidP="00A476EB"/>
    <w:p w:rsidR="00950837" w:rsidRDefault="00950837" w:rsidP="009C0DF1">
      <w:pPr>
        <w:pStyle w:val="AppendixAHeading3"/>
      </w:pPr>
      <w:r>
        <w:t>Non-Residential Program Audit Summary</w:t>
      </w:r>
    </w:p>
    <w:p w:rsidR="00B9141F" w:rsidRPr="00D85274" w:rsidRDefault="00B9141F" w:rsidP="00B9141F">
      <w:r w:rsidRPr="00D85274">
        <w:t>The SWE Team reviewed p</w:t>
      </w:r>
      <w:r w:rsidRPr="00D85274">
        <w:rPr>
          <w:color w:val="000000"/>
        </w:rPr>
        <w:t>roject files to audit the accuracy of the savings values stored in the program</w:t>
      </w:r>
      <w:r>
        <w:rPr>
          <w:color w:val="000000"/>
        </w:rPr>
        <w:t>-</w:t>
      </w:r>
      <w:r w:rsidRPr="00D85274">
        <w:rPr>
          <w:color w:val="000000"/>
        </w:rPr>
        <w:t xml:space="preserve">tracking database and to confirm that calculations were being performed in accordance with the applicable TRM, or by some other reasonable methodology. </w:t>
      </w:r>
      <w:r w:rsidRPr="00D85274">
        <w:t>The SWE Team reviewed nine projects in West Penn’s PY7 program across various measures, including EMSs, VSDs, interior and exterior lighting, and retro-commissioning. In PY7, the SWE saw marked improvement in the consistency, orderliness, and organization of project files. This was aided by the consistent inclusion of site-specific cover page</w:t>
      </w:r>
      <w:r>
        <w:t>s,</w:t>
      </w:r>
      <w:r w:rsidRPr="00D85274">
        <w:t xml:space="preserve"> which helped the SWE follow the </w:t>
      </w:r>
      <w:r>
        <w:rPr>
          <w:color w:val="000000"/>
        </w:rPr>
        <w:t xml:space="preserve">evaluation contractor’s </w:t>
      </w:r>
      <w:r w:rsidRPr="00D85274">
        <w:t>method and progression. At this time, the SWE Team only recommends that in the interest of transparency, only the SWE-supplied Appendix C calculator be used for lighting projects moving forward.</w:t>
      </w:r>
    </w:p>
    <w:p w:rsidR="00B9141F" w:rsidRPr="00D85274" w:rsidRDefault="00B9141F" w:rsidP="00B9141F"/>
    <w:p w:rsidR="00B9141F" w:rsidRPr="00D85274" w:rsidRDefault="00B9141F" w:rsidP="00B9141F">
      <w:r w:rsidRPr="00D85274">
        <w:t>The SWE Team reviewed West Penn’s PY7 sample design to ensure its compliance with the Evaluation Framework. The results are displayed in</w:t>
      </w:r>
      <w:r>
        <w:t xml:space="preserve"> </w:t>
      </w:r>
      <w:r>
        <w:fldChar w:fldCharType="begin"/>
      </w:r>
      <w:r>
        <w:instrText xml:space="preserve"> REF _Ref472393303 \h </w:instrText>
      </w:r>
      <w:r>
        <w:fldChar w:fldCharType="separate"/>
      </w:r>
      <w:r w:rsidR="00037CB4">
        <w:t>Table A-</w:t>
      </w:r>
      <w:r w:rsidR="00037CB4">
        <w:rPr>
          <w:noProof/>
        </w:rPr>
        <w:t>92</w:t>
      </w:r>
      <w:r>
        <w:fldChar w:fldCharType="end"/>
      </w:r>
      <w:r w:rsidRPr="00D85274">
        <w:t xml:space="preserve">, showing relative precision at the 85% confidence level. </w:t>
      </w:r>
    </w:p>
    <w:p w:rsidR="00B9141F" w:rsidRPr="00D85274" w:rsidRDefault="00B9141F" w:rsidP="00B9141F"/>
    <w:p w:rsidR="00B9141F" w:rsidRPr="00D85274" w:rsidRDefault="00B9141F" w:rsidP="004837FA">
      <w:pPr>
        <w:pStyle w:val="Caption"/>
      </w:pPr>
      <w:bookmarkStart w:id="1036" w:name="_Ref472393303"/>
      <w:bookmarkStart w:id="1037" w:name="_Toc409225069"/>
      <w:bookmarkStart w:id="1038" w:name="_Toc409443621"/>
      <w:bookmarkStart w:id="1039" w:name="_Toc445206237"/>
      <w:bookmarkStart w:id="1040" w:name="_Toc472472501"/>
      <w:bookmarkStart w:id="1041" w:name="_Toc488741920"/>
      <w:r>
        <w:t>Table A-</w:t>
      </w:r>
      <w:r w:rsidR="007973A4">
        <w:fldChar w:fldCharType="begin"/>
      </w:r>
      <w:r w:rsidR="007973A4">
        <w:instrText xml:space="preserve"> SEQ Table_A- \* ARABIC </w:instrText>
      </w:r>
      <w:r w:rsidR="007973A4">
        <w:fldChar w:fldCharType="separate"/>
      </w:r>
      <w:r w:rsidR="00037CB4">
        <w:rPr>
          <w:noProof/>
        </w:rPr>
        <w:t>92</w:t>
      </w:r>
      <w:r w:rsidR="007973A4">
        <w:rPr>
          <w:noProof/>
        </w:rPr>
        <w:fldChar w:fldCharType="end"/>
      </w:r>
      <w:bookmarkEnd w:id="1036"/>
      <w:r w:rsidRPr="00D85274">
        <w:t>: Compliance across Sample Designs for West Penn’s PY7 Non-Residential Program Groups</w:t>
      </w:r>
      <w:bookmarkEnd w:id="1037"/>
      <w:bookmarkEnd w:id="1038"/>
      <w:bookmarkEnd w:id="1039"/>
      <w:bookmarkEnd w:id="1040"/>
      <w:bookmarkEnd w:id="1041"/>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060"/>
        <w:gridCol w:w="2100"/>
        <w:gridCol w:w="2100"/>
        <w:gridCol w:w="2100"/>
      </w:tblGrid>
      <w:tr w:rsidR="00A874AC" w:rsidRPr="00124B6E" w:rsidTr="00124B6E">
        <w:trPr>
          <w:trHeight w:val="376"/>
          <w:tblHeader/>
        </w:trPr>
        <w:tc>
          <w:tcPr>
            <w:tcW w:w="3060" w:type="dxa"/>
            <w:shd w:val="clear" w:color="000000" w:fill="448A99"/>
            <w:vAlign w:val="bottom"/>
            <w:hideMark/>
          </w:tcPr>
          <w:p w:rsidR="00B9141F" w:rsidRPr="00124B6E" w:rsidRDefault="00B9141F" w:rsidP="00AC55E9">
            <w:pPr>
              <w:jc w:val="left"/>
              <w:rPr>
                <w:b/>
                <w:bCs/>
                <w:color w:val="FFFFFF"/>
                <w:sz w:val="19"/>
                <w:szCs w:val="19"/>
              </w:rPr>
            </w:pPr>
            <w:r w:rsidRPr="00124B6E">
              <w:rPr>
                <w:b/>
                <w:bCs/>
                <w:color w:val="FFFFFF"/>
                <w:sz w:val="19"/>
                <w:szCs w:val="19"/>
              </w:rPr>
              <w:t>Program</w:t>
            </w:r>
          </w:p>
        </w:tc>
        <w:tc>
          <w:tcPr>
            <w:tcW w:w="2100" w:type="dxa"/>
            <w:shd w:val="clear" w:color="000000" w:fill="448A99"/>
            <w:vAlign w:val="bottom"/>
            <w:hideMark/>
          </w:tcPr>
          <w:p w:rsidR="00B9141F" w:rsidRPr="00124B6E" w:rsidRDefault="00B9141F" w:rsidP="00AC55E9">
            <w:pPr>
              <w:jc w:val="center"/>
              <w:rPr>
                <w:b/>
                <w:bCs/>
                <w:color w:val="FFFFFF"/>
                <w:sz w:val="19"/>
                <w:szCs w:val="19"/>
              </w:rPr>
            </w:pPr>
            <w:r w:rsidRPr="00124B6E">
              <w:rPr>
                <w:b/>
                <w:bCs/>
                <w:color w:val="FFFFFF"/>
                <w:sz w:val="19"/>
                <w:szCs w:val="19"/>
              </w:rPr>
              <w:t>Relative Precision at 85% CL for Energy</w:t>
            </w:r>
          </w:p>
        </w:tc>
        <w:tc>
          <w:tcPr>
            <w:tcW w:w="2100" w:type="dxa"/>
            <w:shd w:val="clear" w:color="000000" w:fill="448A99"/>
            <w:vAlign w:val="bottom"/>
            <w:hideMark/>
          </w:tcPr>
          <w:p w:rsidR="00B9141F" w:rsidRPr="00124B6E" w:rsidRDefault="00B9141F" w:rsidP="00AC55E9">
            <w:pPr>
              <w:jc w:val="center"/>
              <w:rPr>
                <w:b/>
                <w:bCs/>
                <w:color w:val="FFFFFF"/>
                <w:sz w:val="19"/>
                <w:szCs w:val="19"/>
              </w:rPr>
            </w:pPr>
            <w:r w:rsidRPr="00124B6E">
              <w:rPr>
                <w:b/>
                <w:bCs/>
                <w:color w:val="FFFFFF"/>
                <w:sz w:val="19"/>
                <w:szCs w:val="19"/>
              </w:rPr>
              <w:t>Relative Precision at 85% CL for Demand</w:t>
            </w:r>
          </w:p>
        </w:tc>
        <w:tc>
          <w:tcPr>
            <w:tcW w:w="2100" w:type="dxa"/>
            <w:shd w:val="clear" w:color="000000" w:fill="448A99"/>
            <w:vAlign w:val="bottom"/>
            <w:hideMark/>
          </w:tcPr>
          <w:p w:rsidR="00B9141F" w:rsidRPr="00124B6E" w:rsidRDefault="00B9141F" w:rsidP="00AC55E9">
            <w:pPr>
              <w:jc w:val="center"/>
              <w:rPr>
                <w:b/>
                <w:bCs/>
                <w:color w:val="FFFFFF"/>
                <w:sz w:val="19"/>
                <w:szCs w:val="19"/>
              </w:rPr>
            </w:pPr>
            <w:r w:rsidRPr="00124B6E">
              <w:rPr>
                <w:b/>
                <w:bCs/>
                <w:color w:val="FFFFFF"/>
                <w:sz w:val="19"/>
                <w:szCs w:val="19"/>
              </w:rPr>
              <w:t>Compliance with Evaluation Framework</w:t>
            </w:r>
          </w:p>
        </w:tc>
      </w:tr>
      <w:tr w:rsidR="00A874AC" w:rsidRPr="00124B6E" w:rsidTr="00124B6E">
        <w:trPr>
          <w:trHeight w:val="346"/>
        </w:trPr>
        <w:tc>
          <w:tcPr>
            <w:tcW w:w="3060" w:type="dxa"/>
            <w:shd w:val="clear" w:color="000000" w:fill="D2EAF1"/>
            <w:noWrap/>
            <w:vAlign w:val="center"/>
          </w:tcPr>
          <w:p w:rsidR="00B9141F" w:rsidRPr="00124B6E" w:rsidRDefault="00B9141F" w:rsidP="00AC55E9">
            <w:pPr>
              <w:jc w:val="left"/>
              <w:rPr>
                <w:bCs/>
                <w:color w:val="000000"/>
                <w:sz w:val="19"/>
                <w:szCs w:val="19"/>
              </w:rPr>
            </w:pPr>
            <w:r w:rsidRPr="00124B6E">
              <w:rPr>
                <w:sz w:val="19"/>
                <w:szCs w:val="19"/>
              </w:rPr>
              <w:t>Small C/I Equipment</w:t>
            </w:r>
          </w:p>
        </w:tc>
        <w:tc>
          <w:tcPr>
            <w:tcW w:w="2100" w:type="dxa"/>
            <w:shd w:val="clear" w:color="000000" w:fill="D2EAF1"/>
            <w:noWrap/>
            <w:vAlign w:val="center"/>
          </w:tcPr>
          <w:p w:rsidR="00B9141F" w:rsidRPr="00124B6E" w:rsidRDefault="00B9141F" w:rsidP="00AC55E9">
            <w:pPr>
              <w:jc w:val="center"/>
              <w:rPr>
                <w:color w:val="000000"/>
                <w:sz w:val="19"/>
                <w:szCs w:val="19"/>
              </w:rPr>
            </w:pPr>
            <w:r w:rsidRPr="00124B6E">
              <w:rPr>
                <w:color w:val="000000"/>
                <w:sz w:val="19"/>
                <w:szCs w:val="19"/>
              </w:rPr>
              <w:t>13.1%</w:t>
            </w:r>
          </w:p>
        </w:tc>
        <w:tc>
          <w:tcPr>
            <w:tcW w:w="2100" w:type="dxa"/>
            <w:shd w:val="clear" w:color="000000" w:fill="D2EAF1"/>
            <w:noWrap/>
            <w:vAlign w:val="center"/>
          </w:tcPr>
          <w:p w:rsidR="00B9141F" w:rsidRPr="00124B6E" w:rsidRDefault="00B9141F" w:rsidP="00AC55E9">
            <w:pPr>
              <w:jc w:val="center"/>
              <w:rPr>
                <w:color w:val="000000"/>
                <w:sz w:val="19"/>
                <w:szCs w:val="19"/>
              </w:rPr>
            </w:pPr>
            <w:r w:rsidRPr="00124B6E">
              <w:rPr>
                <w:color w:val="000000"/>
                <w:sz w:val="19"/>
                <w:szCs w:val="19"/>
              </w:rPr>
              <w:t>15.4%</w:t>
            </w:r>
          </w:p>
        </w:tc>
        <w:tc>
          <w:tcPr>
            <w:tcW w:w="2100" w:type="dxa"/>
            <w:shd w:val="clear" w:color="000000" w:fill="D2EAF1"/>
            <w:noWrap/>
            <w:vAlign w:val="center"/>
          </w:tcPr>
          <w:p w:rsidR="00B9141F" w:rsidRPr="00124B6E" w:rsidRDefault="00B9141F" w:rsidP="00AC55E9">
            <w:pPr>
              <w:jc w:val="center"/>
              <w:rPr>
                <w:color w:val="000000"/>
                <w:sz w:val="19"/>
                <w:szCs w:val="19"/>
              </w:rPr>
            </w:pPr>
            <w:r w:rsidRPr="00124B6E">
              <w:rPr>
                <w:color w:val="00B050"/>
                <w:sz w:val="19"/>
                <w:szCs w:val="19"/>
              </w:rPr>
              <w:sym w:font="Wingdings" w:char="F0FC"/>
            </w:r>
          </w:p>
        </w:tc>
      </w:tr>
      <w:tr w:rsidR="00E7173E" w:rsidRPr="00124B6E" w:rsidTr="00124B6E">
        <w:trPr>
          <w:trHeight w:val="346"/>
        </w:trPr>
        <w:tc>
          <w:tcPr>
            <w:tcW w:w="3060" w:type="dxa"/>
            <w:shd w:val="clear" w:color="auto" w:fill="auto"/>
            <w:noWrap/>
            <w:vAlign w:val="center"/>
          </w:tcPr>
          <w:p w:rsidR="00B9141F" w:rsidRPr="00124B6E" w:rsidRDefault="00B9141F" w:rsidP="00AC55E9">
            <w:pPr>
              <w:jc w:val="left"/>
              <w:rPr>
                <w:bCs/>
                <w:color w:val="000000"/>
                <w:sz w:val="19"/>
                <w:szCs w:val="19"/>
              </w:rPr>
            </w:pPr>
            <w:r w:rsidRPr="00124B6E">
              <w:rPr>
                <w:sz w:val="19"/>
                <w:szCs w:val="19"/>
              </w:rPr>
              <w:t>Small C/I Buildings</w:t>
            </w:r>
          </w:p>
        </w:tc>
        <w:tc>
          <w:tcPr>
            <w:tcW w:w="2100" w:type="dxa"/>
            <w:shd w:val="clear" w:color="auto" w:fill="auto"/>
            <w:noWrap/>
            <w:vAlign w:val="center"/>
          </w:tcPr>
          <w:p w:rsidR="00B9141F" w:rsidRPr="00124B6E" w:rsidRDefault="00B9141F" w:rsidP="00AC55E9">
            <w:pPr>
              <w:jc w:val="center"/>
              <w:rPr>
                <w:color w:val="000000"/>
                <w:sz w:val="19"/>
                <w:szCs w:val="19"/>
              </w:rPr>
            </w:pPr>
            <w:r w:rsidRPr="00124B6E">
              <w:rPr>
                <w:color w:val="000000"/>
                <w:sz w:val="19"/>
                <w:szCs w:val="19"/>
              </w:rPr>
              <w:t>13.4%</w:t>
            </w:r>
          </w:p>
        </w:tc>
        <w:tc>
          <w:tcPr>
            <w:tcW w:w="2100" w:type="dxa"/>
            <w:shd w:val="clear" w:color="auto" w:fill="auto"/>
            <w:noWrap/>
            <w:vAlign w:val="center"/>
          </w:tcPr>
          <w:p w:rsidR="00B9141F" w:rsidRPr="00124B6E" w:rsidRDefault="00B9141F" w:rsidP="00AC55E9">
            <w:pPr>
              <w:jc w:val="center"/>
              <w:rPr>
                <w:color w:val="000000"/>
                <w:sz w:val="19"/>
                <w:szCs w:val="19"/>
              </w:rPr>
            </w:pPr>
            <w:r w:rsidRPr="00124B6E">
              <w:rPr>
                <w:color w:val="000000"/>
                <w:sz w:val="19"/>
                <w:szCs w:val="19"/>
              </w:rPr>
              <w:t>9.4%</w:t>
            </w:r>
          </w:p>
        </w:tc>
        <w:tc>
          <w:tcPr>
            <w:tcW w:w="2100" w:type="dxa"/>
            <w:shd w:val="clear" w:color="auto" w:fill="auto"/>
            <w:noWrap/>
            <w:vAlign w:val="center"/>
          </w:tcPr>
          <w:p w:rsidR="00B9141F" w:rsidRPr="00124B6E" w:rsidRDefault="00B9141F" w:rsidP="00AC55E9">
            <w:pPr>
              <w:jc w:val="center"/>
              <w:rPr>
                <w:color w:val="FF0000"/>
                <w:sz w:val="19"/>
                <w:szCs w:val="19"/>
              </w:rPr>
            </w:pPr>
            <w:r w:rsidRPr="00124B6E">
              <w:rPr>
                <w:color w:val="00B050"/>
                <w:sz w:val="19"/>
                <w:szCs w:val="19"/>
              </w:rPr>
              <w:sym w:font="Wingdings" w:char="F0FC"/>
            </w:r>
          </w:p>
        </w:tc>
      </w:tr>
      <w:tr w:rsidR="00A874AC" w:rsidRPr="00124B6E" w:rsidTr="00124B6E">
        <w:trPr>
          <w:trHeight w:val="346"/>
        </w:trPr>
        <w:tc>
          <w:tcPr>
            <w:tcW w:w="3060" w:type="dxa"/>
            <w:shd w:val="clear" w:color="000000" w:fill="D2EAF1"/>
            <w:noWrap/>
            <w:vAlign w:val="center"/>
          </w:tcPr>
          <w:p w:rsidR="00B9141F" w:rsidRPr="00124B6E" w:rsidRDefault="00B9141F" w:rsidP="00AC55E9">
            <w:pPr>
              <w:jc w:val="left"/>
              <w:rPr>
                <w:bCs/>
                <w:color w:val="000000"/>
                <w:sz w:val="19"/>
                <w:szCs w:val="19"/>
              </w:rPr>
            </w:pPr>
            <w:r w:rsidRPr="00124B6E">
              <w:rPr>
                <w:sz w:val="19"/>
                <w:szCs w:val="19"/>
              </w:rPr>
              <w:t>Large C/I Equipment</w:t>
            </w:r>
          </w:p>
        </w:tc>
        <w:tc>
          <w:tcPr>
            <w:tcW w:w="2100" w:type="dxa"/>
            <w:shd w:val="clear" w:color="000000" w:fill="D2EAF1"/>
            <w:noWrap/>
            <w:vAlign w:val="center"/>
          </w:tcPr>
          <w:p w:rsidR="00B9141F" w:rsidRPr="00124B6E" w:rsidRDefault="00B9141F" w:rsidP="00AC55E9">
            <w:pPr>
              <w:jc w:val="center"/>
              <w:rPr>
                <w:bCs/>
                <w:color w:val="000000"/>
                <w:sz w:val="19"/>
                <w:szCs w:val="19"/>
              </w:rPr>
            </w:pPr>
            <w:r w:rsidRPr="00124B6E">
              <w:rPr>
                <w:bCs/>
                <w:color w:val="000000"/>
                <w:sz w:val="19"/>
                <w:szCs w:val="19"/>
              </w:rPr>
              <w:t>8.1%</w:t>
            </w:r>
          </w:p>
        </w:tc>
        <w:tc>
          <w:tcPr>
            <w:tcW w:w="2100" w:type="dxa"/>
            <w:shd w:val="clear" w:color="000000" w:fill="D2EAF1"/>
            <w:noWrap/>
            <w:vAlign w:val="center"/>
          </w:tcPr>
          <w:p w:rsidR="00B9141F" w:rsidRPr="00124B6E" w:rsidRDefault="00B9141F" w:rsidP="00AC55E9">
            <w:pPr>
              <w:jc w:val="center"/>
              <w:rPr>
                <w:bCs/>
                <w:color w:val="000000"/>
                <w:sz w:val="19"/>
                <w:szCs w:val="19"/>
              </w:rPr>
            </w:pPr>
            <w:r w:rsidRPr="00124B6E">
              <w:rPr>
                <w:bCs/>
                <w:color w:val="000000"/>
                <w:sz w:val="19"/>
                <w:szCs w:val="19"/>
              </w:rPr>
              <w:t>9.5%</w:t>
            </w:r>
          </w:p>
        </w:tc>
        <w:tc>
          <w:tcPr>
            <w:tcW w:w="2100" w:type="dxa"/>
            <w:shd w:val="clear" w:color="000000" w:fill="D2EAF1"/>
            <w:noWrap/>
            <w:vAlign w:val="center"/>
          </w:tcPr>
          <w:p w:rsidR="00B9141F" w:rsidRPr="00124B6E" w:rsidRDefault="00B9141F" w:rsidP="00AC55E9">
            <w:pPr>
              <w:jc w:val="center"/>
              <w:rPr>
                <w:bCs/>
                <w:color w:val="FF0000"/>
                <w:sz w:val="19"/>
                <w:szCs w:val="19"/>
              </w:rPr>
            </w:pPr>
            <w:r w:rsidRPr="00124B6E">
              <w:rPr>
                <w:color w:val="00B050"/>
                <w:sz w:val="19"/>
                <w:szCs w:val="19"/>
              </w:rPr>
              <w:sym w:font="Wingdings" w:char="F0FC"/>
            </w:r>
          </w:p>
        </w:tc>
      </w:tr>
      <w:tr w:rsidR="00E7173E" w:rsidRPr="00124B6E" w:rsidTr="00124B6E">
        <w:trPr>
          <w:trHeight w:val="346"/>
        </w:trPr>
        <w:tc>
          <w:tcPr>
            <w:tcW w:w="3060" w:type="dxa"/>
            <w:shd w:val="clear" w:color="auto" w:fill="auto"/>
            <w:noWrap/>
            <w:vAlign w:val="center"/>
          </w:tcPr>
          <w:p w:rsidR="00B9141F" w:rsidRPr="00124B6E" w:rsidRDefault="00B9141F" w:rsidP="00AC55E9">
            <w:pPr>
              <w:jc w:val="left"/>
              <w:rPr>
                <w:bCs/>
                <w:color w:val="000000"/>
                <w:sz w:val="19"/>
                <w:szCs w:val="19"/>
              </w:rPr>
            </w:pPr>
            <w:r w:rsidRPr="00124B6E">
              <w:rPr>
                <w:sz w:val="19"/>
                <w:szCs w:val="19"/>
              </w:rPr>
              <w:t>Large C/I Buildings</w:t>
            </w:r>
          </w:p>
        </w:tc>
        <w:tc>
          <w:tcPr>
            <w:tcW w:w="2100" w:type="dxa"/>
            <w:shd w:val="clear" w:color="auto" w:fill="auto"/>
            <w:noWrap/>
            <w:vAlign w:val="center"/>
          </w:tcPr>
          <w:p w:rsidR="00B9141F" w:rsidRPr="00124B6E" w:rsidRDefault="00B9141F" w:rsidP="00AC55E9">
            <w:pPr>
              <w:jc w:val="center"/>
              <w:rPr>
                <w:bCs/>
                <w:color w:val="000000"/>
                <w:sz w:val="19"/>
                <w:szCs w:val="19"/>
              </w:rPr>
            </w:pPr>
            <w:r w:rsidRPr="00124B6E">
              <w:rPr>
                <w:bCs/>
                <w:color w:val="000000"/>
                <w:sz w:val="19"/>
                <w:szCs w:val="19"/>
              </w:rPr>
              <w:t>12.5%</w:t>
            </w:r>
          </w:p>
        </w:tc>
        <w:tc>
          <w:tcPr>
            <w:tcW w:w="2100" w:type="dxa"/>
            <w:shd w:val="clear" w:color="auto" w:fill="auto"/>
            <w:noWrap/>
            <w:vAlign w:val="center"/>
          </w:tcPr>
          <w:p w:rsidR="00B9141F" w:rsidRPr="00124B6E" w:rsidRDefault="00B9141F" w:rsidP="00AC55E9">
            <w:pPr>
              <w:jc w:val="center"/>
              <w:rPr>
                <w:bCs/>
                <w:color w:val="000000"/>
                <w:sz w:val="19"/>
                <w:szCs w:val="19"/>
              </w:rPr>
            </w:pPr>
            <w:r w:rsidRPr="00124B6E">
              <w:rPr>
                <w:bCs/>
                <w:color w:val="000000"/>
                <w:sz w:val="19"/>
                <w:szCs w:val="19"/>
              </w:rPr>
              <w:t>12.2%</w:t>
            </w:r>
          </w:p>
        </w:tc>
        <w:tc>
          <w:tcPr>
            <w:tcW w:w="2100" w:type="dxa"/>
            <w:shd w:val="clear" w:color="auto" w:fill="auto"/>
            <w:noWrap/>
            <w:vAlign w:val="center"/>
          </w:tcPr>
          <w:p w:rsidR="00B9141F" w:rsidRPr="00124B6E" w:rsidRDefault="00B9141F" w:rsidP="00AC55E9">
            <w:pPr>
              <w:jc w:val="center"/>
              <w:rPr>
                <w:color w:val="00B050"/>
                <w:sz w:val="19"/>
                <w:szCs w:val="19"/>
              </w:rPr>
            </w:pPr>
            <w:r w:rsidRPr="00124B6E">
              <w:rPr>
                <w:color w:val="00B050"/>
                <w:sz w:val="19"/>
                <w:szCs w:val="19"/>
              </w:rPr>
              <w:sym w:font="Wingdings" w:char="F0FC"/>
            </w:r>
          </w:p>
        </w:tc>
      </w:tr>
      <w:tr w:rsidR="00A874AC" w:rsidRPr="00124B6E" w:rsidTr="00124B6E">
        <w:trPr>
          <w:trHeight w:val="346"/>
        </w:trPr>
        <w:tc>
          <w:tcPr>
            <w:tcW w:w="3060" w:type="dxa"/>
            <w:shd w:val="clear" w:color="auto" w:fill="D2EAF1"/>
            <w:noWrap/>
            <w:vAlign w:val="center"/>
          </w:tcPr>
          <w:p w:rsidR="00B9141F" w:rsidRPr="00124B6E" w:rsidRDefault="00B9141F" w:rsidP="00AC55E9">
            <w:pPr>
              <w:jc w:val="left"/>
              <w:rPr>
                <w:bCs/>
                <w:color w:val="000000"/>
                <w:sz w:val="19"/>
                <w:szCs w:val="19"/>
              </w:rPr>
            </w:pPr>
            <w:r w:rsidRPr="00124B6E">
              <w:rPr>
                <w:sz w:val="19"/>
                <w:szCs w:val="19"/>
              </w:rPr>
              <w:t>Government/Institutional</w:t>
            </w:r>
          </w:p>
        </w:tc>
        <w:tc>
          <w:tcPr>
            <w:tcW w:w="2100" w:type="dxa"/>
            <w:shd w:val="clear" w:color="auto" w:fill="D2EAF1"/>
            <w:noWrap/>
            <w:vAlign w:val="center"/>
          </w:tcPr>
          <w:p w:rsidR="00B9141F" w:rsidRPr="00124B6E" w:rsidRDefault="00B9141F" w:rsidP="00AC55E9">
            <w:pPr>
              <w:jc w:val="center"/>
              <w:rPr>
                <w:bCs/>
                <w:color w:val="000000"/>
                <w:sz w:val="19"/>
                <w:szCs w:val="19"/>
              </w:rPr>
            </w:pPr>
            <w:r w:rsidRPr="00124B6E">
              <w:rPr>
                <w:bCs/>
                <w:color w:val="000000"/>
                <w:sz w:val="19"/>
                <w:szCs w:val="19"/>
              </w:rPr>
              <w:t>14.4%</w:t>
            </w:r>
          </w:p>
        </w:tc>
        <w:tc>
          <w:tcPr>
            <w:tcW w:w="2100" w:type="dxa"/>
            <w:shd w:val="clear" w:color="auto" w:fill="D2EAF1"/>
            <w:noWrap/>
            <w:vAlign w:val="center"/>
          </w:tcPr>
          <w:p w:rsidR="00B9141F" w:rsidRPr="00124B6E" w:rsidRDefault="00B9141F" w:rsidP="00AC55E9">
            <w:pPr>
              <w:jc w:val="center"/>
              <w:rPr>
                <w:bCs/>
                <w:color w:val="000000"/>
                <w:sz w:val="19"/>
                <w:szCs w:val="19"/>
              </w:rPr>
            </w:pPr>
            <w:r w:rsidRPr="00124B6E">
              <w:rPr>
                <w:bCs/>
                <w:color w:val="000000"/>
                <w:sz w:val="19"/>
                <w:szCs w:val="19"/>
              </w:rPr>
              <w:t>19.6%</w:t>
            </w:r>
          </w:p>
        </w:tc>
        <w:tc>
          <w:tcPr>
            <w:tcW w:w="2100" w:type="dxa"/>
            <w:shd w:val="clear" w:color="auto" w:fill="D2EAF1"/>
            <w:noWrap/>
            <w:vAlign w:val="center"/>
          </w:tcPr>
          <w:p w:rsidR="00B9141F" w:rsidRPr="00124B6E" w:rsidRDefault="00B9141F" w:rsidP="00AC55E9">
            <w:pPr>
              <w:jc w:val="center"/>
              <w:rPr>
                <w:color w:val="00B050"/>
                <w:sz w:val="19"/>
                <w:szCs w:val="19"/>
              </w:rPr>
            </w:pPr>
            <w:r w:rsidRPr="00124B6E">
              <w:rPr>
                <w:color w:val="00B050"/>
                <w:sz w:val="19"/>
                <w:szCs w:val="19"/>
              </w:rPr>
              <w:sym w:font="Wingdings" w:char="F0FC"/>
            </w:r>
          </w:p>
        </w:tc>
      </w:tr>
    </w:tbl>
    <w:p w:rsidR="00B9141F" w:rsidRPr="00D85274" w:rsidRDefault="00B9141F" w:rsidP="00B9141F"/>
    <w:p w:rsidR="00B9141F" w:rsidRDefault="00B9141F" w:rsidP="00B9141F">
      <w:r w:rsidRPr="00D85274">
        <w:t xml:space="preserve">West Penn met the goal of 15% precision at the 85% confidence level for energy for all non-residential program groups. Details concerning each program evaluation sample </w:t>
      </w:r>
      <w:r w:rsidR="00093F73">
        <w:t>are provided below.</w:t>
      </w:r>
    </w:p>
    <w:p w:rsidR="002A5279" w:rsidRPr="00D85274" w:rsidRDefault="002A5279" w:rsidP="00B9141F">
      <w:pPr>
        <w:rPr>
          <w:color w:val="000000"/>
        </w:rPr>
      </w:pPr>
    </w:p>
    <w:p w:rsidR="00B9141F" w:rsidRPr="00D85274" w:rsidRDefault="00B9141F" w:rsidP="00B9141F">
      <w:pPr>
        <w:rPr>
          <w:color w:val="000000"/>
        </w:rPr>
      </w:pPr>
      <w:r w:rsidRPr="00D85274">
        <w:rPr>
          <w:color w:val="000000"/>
        </w:rPr>
        <w:t>As part of the audit process, the SWE Team performed 10 ride-along site inspections of non-residential projects to oversee West Penn’s on-site evaluation practices. All of these projects were lighting upgrades. The SWE Team approved all of the sampled project inspections</w:t>
      </w:r>
      <w:r>
        <w:rPr>
          <w:color w:val="000000"/>
        </w:rPr>
        <w:t>. H</w:t>
      </w:r>
      <w:r w:rsidRPr="00D85274">
        <w:rPr>
          <w:color w:val="000000"/>
        </w:rPr>
        <w:t>owever</w:t>
      </w:r>
      <w:r>
        <w:rPr>
          <w:color w:val="000000"/>
        </w:rPr>
        <w:t>,</w:t>
      </w:r>
      <w:r w:rsidRPr="00D85274">
        <w:rPr>
          <w:color w:val="000000"/>
        </w:rPr>
        <w:t xml:space="preserve"> the SWE </w:t>
      </w:r>
      <w:r>
        <w:rPr>
          <w:color w:val="000000"/>
        </w:rPr>
        <w:t>T</w:t>
      </w:r>
      <w:r w:rsidRPr="00D85274">
        <w:rPr>
          <w:color w:val="000000"/>
        </w:rPr>
        <w:t xml:space="preserve">eam recommends that </w:t>
      </w:r>
      <w:r>
        <w:rPr>
          <w:color w:val="000000"/>
        </w:rPr>
        <w:t>West Penn</w:t>
      </w:r>
      <w:r w:rsidRPr="00D85274">
        <w:rPr>
          <w:color w:val="000000"/>
        </w:rPr>
        <w:t xml:space="preserve"> only use the </w:t>
      </w:r>
      <w:r w:rsidRPr="00D85274">
        <w:t xml:space="preserve">SWE-supplied </w:t>
      </w:r>
      <w:r w:rsidRPr="00D85274">
        <w:rPr>
          <w:color w:val="000000"/>
        </w:rPr>
        <w:t xml:space="preserve">Appendix C calculator for lighting projects moving forward. Appendix </w:t>
      </w:r>
      <w:r>
        <w:t>B</w:t>
      </w:r>
      <w:r w:rsidRPr="00D85274">
        <w:rPr>
          <w:color w:val="000000"/>
        </w:rPr>
        <w:t xml:space="preserve"> provides detailed information about all reviewed projects and their associated findings.</w:t>
      </w:r>
    </w:p>
    <w:p w:rsidR="00B9141F" w:rsidRPr="00D85274" w:rsidRDefault="00B9141F" w:rsidP="00B9141F"/>
    <w:p w:rsidR="00B9141F" w:rsidRDefault="00B9141F" w:rsidP="00B9141F">
      <w:pPr>
        <w:rPr>
          <w:color w:val="000000"/>
        </w:rPr>
      </w:pPr>
      <w:r w:rsidRPr="00D85274">
        <w:t>The SWE Team performed a verified savings analysis on five submitted projects, checking the accuracy of the calculations, appropriateness</w:t>
      </w:r>
      <w:r w:rsidRPr="00D85274">
        <w:rPr>
          <w:color w:val="000000"/>
        </w:rPr>
        <w:t xml:space="preserve"> of the evaluation method, and level of rigor selections.</w:t>
      </w:r>
      <w:r w:rsidRPr="00D85274">
        <w:t xml:space="preserve"> </w:t>
      </w:r>
      <w:r w:rsidRPr="00D85274">
        <w:rPr>
          <w:color w:val="000000"/>
        </w:rPr>
        <w:t>The SWE Team found the level of rigor chosen by the evaluation contractor to be reasonable, based on project size and uncertainty. There was significant improvement in the presentation of M&amp;V methodology and results in PY7 with the inclusion of a site</w:t>
      </w:r>
      <w:r>
        <w:rPr>
          <w:color w:val="000000"/>
        </w:rPr>
        <w:t>-</w:t>
      </w:r>
      <w:r w:rsidRPr="00D85274">
        <w:rPr>
          <w:color w:val="000000"/>
        </w:rPr>
        <w:t xml:space="preserve">level report in each project file. Appendix </w:t>
      </w:r>
      <w:r>
        <w:t>B</w:t>
      </w:r>
      <w:r w:rsidRPr="00D85274">
        <w:rPr>
          <w:color w:val="000000"/>
        </w:rPr>
        <w:t xml:space="preserve"> presents more detailed results of the verified savings analysis.</w:t>
      </w:r>
    </w:p>
    <w:p w:rsidR="00081A8B" w:rsidRDefault="00081A8B" w:rsidP="00B9141F">
      <w:pPr>
        <w:rPr>
          <w:color w:val="000000"/>
        </w:rPr>
      </w:pPr>
    </w:p>
    <w:p w:rsidR="00EC02CE" w:rsidRDefault="00EC02CE" w:rsidP="0055598C">
      <w:pPr>
        <w:pStyle w:val="AppendixAHeading4"/>
      </w:pPr>
      <w:r>
        <w:t>Project Files Review</w:t>
      </w:r>
    </w:p>
    <w:p w:rsidR="00EC02CE" w:rsidRDefault="00EC02CE" w:rsidP="00EC02CE">
      <w:pPr>
        <w:rPr>
          <w:color w:val="000000"/>
        </w:rPr>
      </w:pPr>
      <w:r w:rsidRPr="003458B1">
        <w:rPr>
          <w:color w:val="000000"/>
        </w:rPr>
        <w:t>The SWE Team reviewed nine projects in West Penn’s PY7 program across various measures, including EMSs, VSDs, interior and exterior lighting, and retro</w:t>
      </w:r>
      <w:r>
        <w:rPr>
          <w:color w:val="000000"/>
        </w:rPr>
        <w:t>-</w:t>
      </w:r>
      <w:r w:rsidRPr="003458B1">
        <w:rPr>
          <w:color w:val="000000"/>
        </w:rPr>
        <w:t xml:space="preserve">commissioning. The submitted files included project-level savings calculation workbooks, application forms, measure installation confirmation, equipment specification sheets, invoices, post-installation inspection reports, and other supporting documents. In general, the submitted project files provided thorough documentation for SWE Team review, and showed early involvement by the evaluation contractor. </w:t>
      </w:r>
    </w:p>
    <w:p w:rsidR="00EC02CE" w:rsidRDefault="00EC02CE" w:rsidP="00EC02CE">
      <w:pPr>
        <w:rPr>
          <w:color w:val="000000"/>
        </w:rPr>
      </w:pPr>
    </w:p>
    <w:p w:rsidR="006D710B" w:rsidRDefault="005C649A" w:rsidP="00EC02CE">
      <w:pPr>
        <w:rPr>
          <w:color w:val="000000"/>
        </w:rPr>
        <w:sectPr w:rsidR="006D710B" w:rsidSect="00053445">
          <w:type w:val="continuous"/>
          <w:pgSz w:w="12240" w:h="15840"/>
          <w:pgMar w:top="1440" w:right="1440" w:bottom="1440" w:left="1440" w:header="720" w:footer="288" w:gutter="0"/>
          <w:cols w:space="720"/>
          <w:titlePg/>
          <w:docGrid w:linePitch="360"/>
        </w:sectPr>
      </w:pPr>
      <w:r>
        <w:rPr>
          <w:color w:val="000000"/>
        </w:rPr>
        <w:fldChar w:fldCharType="begin"/>
      </w:r>
      <w:r>
        <w:rPr>
          <w:color w:val="000000"/>
        </w:rPr>
        <w:instrText xml:space="preserve"> REF _Ref472469154 \h </w:instrText>
      </w:r>
      <w:r>
        <w:rPr>
          <w:color w:val="000000"/>
        </w:rPr>
      </w:r>
      <w:r>
        <w:rPr>
          <w:color w:val="000000"/>
        </w:rPr>
        <w:fldChar w:fldCharType="separate"/>
      </w:r>
      <w:r w:rsidR="00037CB4">
        <w:t>Table A-</w:t>
      </w:r>
      <w:r w:rsidR="00037CB4">
        <w:rPr>
          <w:noProof/>
        </w:rPr>
        <w:t>93</w:t>
      </w:r>
      <w:r>
        <w:rPr>
          <w:color w:val="000000"/>
        </w:rPr>
        <w:fldChar w:fldCharType="end"/>
      </w:r>
      <w:r w:rsidR="00EC02CE">
        <w:rPr>
          <w:color w:val="000000"/>
        </w:rPr>
        <w:t xml:space="preserve"> </w:t>
      </w:r>
      <w:r w:rsidR="00EC02CE" w:rsidRPr="006E6583">
        <w:rPr>
          <w:color w:val="000000"/>
        </w:rPr>
        <w:t xml:space="preserve">presents an overview of the projects that were reviewed by the SWE </w:t>
      </w:r>
      <w:r w:rsidR="00EC02CE">
        <w:rPr>
          <w:color w:val="000000"/>
        </w:rPr>
        <w:t xml:space="preserve">Team </w:t>
      </w:r>
      <w:r w:rsidR="00EC02CE" w:rsidRPr="006E6583">
        <w:rPr>
          <w:color w:val="000000"/>
        </w:rPr>
        <w:t xml:space="preserve">and </w:t>
      </w:r>
      <w:r w:rsidR="00EC02CE">
        <w:rPr>
          <w:color w:val="000000"/>
        </w:rPr>
        <w:t>the</w:t>
      </w:r>
      <w:r w:rsidR="00EC02CE" w:rsidRPr="006E6583">
        <w:rPr>
          <w:color w:val="000000"/>
        </w:rPr>
        <w:t xml:space="preserve"> findings</w:t>
      </w:r>
      <w:r w:rsidR="00EC02CE">
        <w:rPr>
          <w:color w:val="000000"/>
        </w:rPr>
        <w:t>.</w:t>
      </w:r>
    </w:p>
    <w:p w:rsidR="00EC02CE" w:rsidRDefault="00EC02CE" w:rsidP="004837FA">
      <w:pPr>
        <w:pStyle w:val="Caption"/>
      </w:pPr>
      <w:bookmarkStart w:id="1042" w:name="_Ref472469154"/>
      <w:bookmarkStart w:id="1043" w:name="_Toc472472502"/>
      <w:bookmarkStart w:id="1044" w:name="_Toc488741921"/>
      <w:r>
        <w:t>Table A-</w:t>
      </w:r>
      <w:r w:rsidR="007973A4">
        <w:fldChar w:fldCharType="begin"/>
      </w:r>
      <w:r w:rsidR="007973A4">
        <w:instrText xml:space="preserve"> SEQ Table_A- \* ARABIC </w:instrText>
      </w:r>
      <w:r w:rsidR="007973A4">
        <w:fldChar w:fldCharType="separate"/>
      </w:r>
      <w:r w:rsidR="00037CB4">
        <w:rPr>
          <w:noProof/>
        </w:rPr>
        <w:t>93</w:t>
      </w:r>
      <w:r w:rsidR="007973A4">
        <w:rPr>
          <w:noProof/>
        </w:rPr>
        <w:fldChar w:fldCharType="end"/>
      </w:r>
      <w:bookmarkEnd w:id="1042"/>
      <w:r>
        <w:t>: West Penn Project File Summary</w:t>
      </w:r>
      <w:bookmarkEnd w:id="1043"/>
      <w:bookmarkEnd w:id="1044"/>
      <w:r>
        <w:t xml:space="preserve"> </w:t>
      </w:r>
    </w:p>
    <w:tbl>
      <w:tblPr>
        <w:tblStyle w:val="AnnualReportTableStyle"/>
        <w:tblW w:w="13016" w:type="dxa"/>
        <w:tblLook w:val="04A0" w:firstRow="1" w:lastRow="0" w:firstColumn="1" w:lastColumn="0" w:noHBand="0" w:noVBand="1"/>
      </w:tblPr>
      <w:tblGrid>
        <w:gridCol w:w="985"/>
        <w:gridCol w:w="1440"/>
        <w:gridCol w:w="3481"/>
        <w:gridCol w:w="1021"/>
        <w:gridCol w:w="930"/>
        <w:gridCol w:w="1293"/>
        <w:gridCol w:w="1004"/>
        <w:gridCol w:w="1106"/>
        <w:gridCol w:w="1756"/>
      </w:tblGrid>
      <w:tr w:rsidR="00A874AC" w:rsidRPr="006D710B" w:rsidTr="006D710B">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985" w:type="dxa"/>
            <w:noWrap/>
            <w:vAlign w:val="bottom"/>
            <w:hideMark/>
          </w:tcPr>
          <w:p w:rsidR="00EC02CE" w:rsidRPr="006D710B" w:rsidRDefault="00EC02CE" w:rsidP="004F0C61">
            <w:pPr>
              <w:rPr>
                <w:bCs/>
                <w:sz w:val="20"/>
                <w:szCs w:val="20"/>
              </w:rPr>
            </w:pPr>
            <w:r w:rsidRPr="006D710B">
              <w:rPr>
                <w:bCs/>
                <w:sz w:val="20"/>
                <w:szCs w:val="20"/>
              </w:rPr>
              <w:t>Project Number</w:t>
            </w:r>
          </w:p>
        </w:tc>
        <w:tc>
          <w:tcPr>
            <w:tcW w:w="1440" w:type="dxa"/>
            <w:noWrap/>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Program</w:t>
            </w:r>
          </w:p>
        </w:tc>
        <w:tc>
          <w:tcPr>
            <w:tcW w:w="3481"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Project Description</w:t>
            </w:r>
          </w:p>
        </w:tc>
        <w:tc>
          <w:tcPr>
            <w:tcW w:w="1021"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Are all files included?</w:t>
            </w:r>
          </w:p>
        </w:tc>
        <w:tc>
          <w:tcPr>
            <w:tcW w:w="930"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Do values match program tracking data?</w:t>
            </w:r>
          </w:p>
        </w:tc>
        <w:tc>
          <w:tcPr>
            <w:tcW w:w="1293"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Equipment discrepancy between invoices and calculations?</w:t>
            </w:r>
          </w:p>
        </w:tc>
        <w:tc>
          <w:tcPr>
            <w:tcW w:w="1004"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Sufficient info for SWE to follow?</w:t>
            </w:r>
          </w:p>
        </w:tc>
        <w:tc>
          <w:tcPr>
            <w:tcW w:w="1106"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For TRM measures, are correct algorithms and HOU values used?</w:t>
            </w:r>
          </w:p>
        </w:tc>
        <w:tc>
          <w:tcPr>
            <w:tcW w:w="1756"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For Custom measures, is the methodology clear and auditable? Is it a sensible approach?</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CR_PRJ-349930</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Small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Interior and exterior lighting retrofit, linear fluorescent and CFL</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r w:rsidR="00EC02CE" w:rsidRPr="006D710B" w:rsidTr="008F60E1">
        <w:trPr>
          <w:trHeight w:val="732"/>
        </w:trPr>
        <w:tc>
          <w:tcPr>
            <w:cnfStyle w:val="001000000000" w:firstRow="0" w:lastRow="0" w:firstColumn="1" w:lastColumn="0" w:oddVBand="0" w:evenVBand="0" w:oddHBand="0" w:evenHBand="0" w:firstRowFirstColumn="0" w:firstRowLastColumn="0" w:lastRowFirstColumn="0" w:lastRowLastColumn="0"/>
            <w:tcW w:w="0" w:type="dxa"/>
            <w:noWrap/>
            <w:hideMark/>
          </w:tcPr>
          <w:p w:rsidR="00EC02CE" w:rsidRPr="006D710B" w:rsidRDefault="00EC02CE" w:rsidP="004F0C61">
            <w:pPr>
              <w:rPr>
                <w:b w:val="0"/>
                <w:color w:val="000000"/>
                <w:sz w:val="20"/>
                <w:szCs w:val="20"/>
              </w:rPr>
            </w:pPr>
            <w:r w:rsidRPr="006D710B">
              <w:rPr>
                <w:b w:val="0"/>
                <w:color w:val="000000"/>
                <w:sz w:val="20"/>
                <w:szCs w:val="20"/>
              </w:rPr>
              <w:t>CR_PRJ-307444</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Small C/I Buildings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Building automation system upgrade/retro-commissioning</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No</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N/A</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CR_PRJ-331196</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Large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Exterior lighting retrofit HPS to LED</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r w:rsidR="00EC02CE" w:rsidRPr="006D710B" w:rsidTr="008F60E1">
        <w:trPr>
          <w:trHeight w:val="732"/>
        </w:trPr>
        <w:tc>
          <w:tcPr>
            <w:cnfStyle w:val="001000000000" w:firstRow="0" w:lastRow="0" w:firstColumn="1" w:lastColumn="0" w:oddVBand="0" w:evenVBand="0" w:oddHBand="0" w:evenHBand="0" w:firstRowFirstColumn="0" w:firstRowLastColumn="0" w:lastRowFirstColumn="0" w:lastRowLastColumn="0"/>
            <w:tcW w:w="0" w:type="dxa"/>
            <w:noWrap/>
            <w:hideMark/>
          </w:tcPr>
          <w:p w:rsidR="00EC02CE" w:rsidRPr="006D710B" w:rsidRDefault="00EC02CE" w:rsidP="004F0C61">
            <w:pPr>
              <w:rPr>
                <w:b w:val="0"/>
                <w:color w:val="000000"/>
                <w:sz w:val="20"/>
                <w:szCs w:val="20"/>
              </w:rPr>
            </w:pPr>
            <w:r w:rsidRPr="006D710B">
              <w:rPr>
                <w:b w:val="0"/>
                <w:color w:val="000000"/>
                <w:sz w:val="20"/>
                <w:szCs w:val="20"/>
              </w:rPr>
              <w:t>CR_PRJ-349353</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Large C/I Buildings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VSD compressor and recycling refrigerated dryer on compressed air system</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No</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N/A</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CR_PRJ-444825</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Small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Lighting (controls)</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r w:rsidR="00EC02CE" w:rsidRPr="006D710B" w:rsidTr="008F60E1">
        <w:trPr>
          <w:trHeight w:val="732"/>
        </w:trPr>
        <w:tc>
          <w:tcPr>
            <w:cnfStyle w:val="001000000000" w:firstRow="0" w:lastRow="0" w:firstColumn="1" w:lastColumn="0" w:oddVBand="0" w:evenVBand="0" w:oddHBand="0" w:evenHBand="0" w:firstRowFirstColumn="0" w:firstRowLastColumn="0" w:lastRowFirstColumn="0" w:lastRowLastColumn="0"/>
            <w:tcW w:w="0" w:type="dxa"/>
            <w:noWrap/>
            <w:hideMark/>
          </w:tcPr>
          <w:p w:rsidR="00EC02CE" w:rsidRPr="006D710B" w:rsidRDefault="00EC02CE" w:rsidP="004F0C61">
            <w:pPr>
              <w:rPr>
                <w:b w:val="0"/>
                <w:color w:val="000000"/>
                <w:sz w:val="20"/>
                <w:szCs w:val="20"/>
              </w:rPr>
            </w:pPr>
            <w:r w:rsidRPr="006D710B">
              <w:rPr>
                <w:b w:val="0"/>
                <w:color w:val="000000"/>
                <w:sz w:val="20"/>
                <w:szCs w:val="20"/>
              </w:rPr>
              <w:t>CR_PRJ-502567</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Small C/I Equipment</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Lighting (LED)</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No</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N/A</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CR_PRJ-628342</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Small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Lighting (refrigerated LED)</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r w:rsidR="00EC02CE" w:rsidRPr="006D710B" w:rsidTr="008F60E1">
        <w:trPr>
          <w:trHeight w:val="732"/>
        </w:trPr>
        <w:tc>
          <w:tcPr>
            <w:cnfStyle w:val="001000000000" w:firstRow="0" w:lastRow="0" w:firstColumn="1" w:lastColumn="0" w:oddVBand="0" w:evenVBand="0" w:oddHBand="0" w:evenHBand="0" w:firstRowFirstColumn="0" w:firstRowLastColumn="0" w:lastRowFirstColumn="0" w:lastRowLastColumn="0"/>
            <w:tcW w:w="0" w:type="dxa"/>
            <w:noWrap/>
            <w:hideMark/>
          </w:tcPr>
          <w:p w:rsidR="00EC02CE" w:rsidRPr="006D710B" w:rsidRDefault="00EC02CE" w:rsidP="004F0C61">
            <w:pPr>
              <w:rPr>
                <w:b w:val="0"/>
                <w:color w:val="000000"/>
                <w:sz w:val="20"/>
                <w:szCs w:val="20"/>
              </w:rPr>
            </w:pPr>
            <w:r w:rsidRPr="006D710B">
              <w:rPr>
                <w:b w:val="0"/>
                <w:color w:val="000000"/>
                <w:sz w:val="20"/>
                <w:szCs w:val="20"/>
              </w:rPr>
              <w:t>CR_PRJ-478690</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Large C/I Equipment</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Lighting (interior and exterior LED)</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No</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N/A</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CR_PRJ-723119</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Small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Lighting (interior and exterior LED)</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bl>
    <w:p w:rsidR="00EC02CE" w:rsidRDefault="00EC02CE" w:rsidP="00EC02CE"/>
    <w:p w:rsidR="006D710B" w:rsidRDefault="006D710B" w:rsidP="005C649A">
      <w:pPr>
        <w:sectPr w:rsidR="006D710B" w:rsidSect="006D710B">
          <w:headerReference w:type="first" r:id="rId158"/>
          <w:footerReference w:type="first" r:id="rId159"/>
          <w:pgSz w:w="15840" w:h="12240" w:orient="landscape"/>
          <w:pgMar w:top="1440" w:right="1440" w:bottom="1440" w:left="1440" w:header="720" w:footer="288" w:gutter="0"/>
          <w:cols w:space="720"/>
          <w:titlePg/>
          <w:docGrid w:linePitch="360"/>
        </w:sectPr>
      </w:pPr>
    </w:p>
    <w:p w:rsidR="005C649A" w:rsidRPr="003458B1" w:rsidRDefault="005C649A" w:rsidP="005C649A">
      <w:pPr>
        <w:rPr>
          <w:color w:val="000000"/>
        </w:rPr>
      </w:pPr>
      <w:r w:rsidRPr="003458B1">
        <w:t>In PY7, the SWE saw marked improvement in the consistency, orderliness, and organization of project files. This was aided by the consistent inclusion of site-specific cover page</w:t>
      </w:r>
      <w:r>
        <w:t>s,</w:t>
      </w:r>
      <w:r w:rsidRPr="003458B1">
        <w:t xml:space="preserve"> which helped the SWE follow the </w:t>
      </w:r>
      <w:r w:rsidRPr="000431B6">
        <w:t>evaluation contractor’s</w:t>
      </w:r>
      <w:r w:rsidRPr="00185E94">
        <w:rPr>
          <w:sz w:val="20"/>
          <w:szCs w:val="20"/>
        </w:rPr>
        <w:t xml:space="preserve"> </w:t>
      </w:r>
      <w:r w:rsidRPr="003458B1">
        <w:t>method and progression.</w:t>
      </w:r>
      <w:r w:rsidRPr="003458B1">
        <w:rPr>
          <w:color w:val="000000"/>
        </w:rPr>
        <w:t xml:space="preserve"> At this time, the SWE Team only recommends </w:t>
      </w:r>
      <w:r>
        <w:rPr>
          <w:color w:val="000000"/>
        </w:rPr>
        <w:t>that i</w:t>
      </w:r>
      <w:r w:rsidRPr="009B0EAD">
        <w:rPr>
          <w:color w:val="000000"/>
        </w:rPr>
        <w:t>n the interest of transparency, only the</w:t>
      </w:r>
      <w:r>
        <w:rPr>
          <w:color w:val="000000"/>
        </w:rPr>
        <w:t xml:space="preserve"> supplied</w:t>
      </w:r>
      <w:r w:rsidRPr="009B0EAD">
        <w:rPr>
          <w:color w:val="000000"/>
        </w:rPr>
        <w:t xml:space="preserve"> Appendix C calculator</w:t>
      </w:r>
      <w:r>
        <w:rPr>
          <w:color w:val="000000"/>
        </w:rPr>
        <w:t xml:space="preserve"> be used</w:t>
      </w:r>
      <w:r w:rsidRPr="009B0EAD">
        <w:rPr>
          <w:color w:val="000000"/>
        </w:rPr>
        <w:t xml:space="preserve"> for lighting projects moving forward.</w:t>
      </w:r>
    </w:p>
    <w:p w:rsidR="005C649A" w:rsidRDefault="005C649A" w:rsidP="00EC02CE"/>
    <w:p w:rsidR="005C649A" w:rsidRDefault="005C649A" w:rsidP="0055598C">
      <w:pPr>
        <w:pStyle w:val="AppendixAHeading4"/>
      </w:pPr>
      <w:r>
        <w:t>Sample Design Review</w:t>
      </w:r>
    </w:p>
    <w:p w:rsidR="005C649A" w:rsidRPr="003458B1" w:rsidRDefault="005C649A" w:rsidP="005C649A">
      <w:r w:rsidRPr="003458B1">
        <w:t>West Penn’s PY7 final annual report provides detailed information about the sample design of the PY7 gross impact evaluation of non-residential programs. West Penn’s non-residential programs were the Small C/I Energy Efficient Equipment Program, Small C/I Energy Efficient Buildings Program, Large C/I Energy Efficient Equipment Program, Large C/I Energy Efficient Buildings Program, and Government and Institutional Program.</w:t>
      </w:r>
    </w:p>
    <w:p w:rsidR="005C649A" w:rsidRPr="003458B1" w:rsidRDefault="005C649A" w:rsidP="005C649A"/>
    <w:p w:rsidR="005C649A" w:rsidRPr="003458B1" w:rsidRDefault="005C649A" w:rsidP="008C7396">
      <w:pPr>
        <w:pStyle w:val="AppendixAHeading5"/>
      </w:pPr>
      <w:r w:rsidRPr="003458B1">
        <w:t>Small C/I Energy Efficient Equipment Program</w:t>
      </w:r>
    </w:p>
    <w:p w:rsidR="005C649A" w:rsidRPr="003458B1" w:rsidRDefault="005C649A" w:rsidP="005C649A">
      <w:r w:rsidRPr="003458B1">
        <w:t xml:space="preserve">In PY7, this program was divided into two components: equipment incentives and appliance recycling. Lighting measures contributed the majority of the gross energy savings for the program. </w:t>
      </w:r>
      <w:r w:rsidRPr="003458B1">
        <w:tab/>
      </w:r>
    </w:p>
    <w:p w:rsidR="005C649A" w:rsidRPr="003458B1" w:rsidRDefault="005C649A" w:rsidP="005C649A"/>
    <w:p w:rsidR="005C649A" w:rsidRPr="003458B1" w:rsidRDefault="005C649A" w:rsidP="005C649A">
      <w:r w:rsidRPr="003458B1">
        <w:t xml:space="preserve">Stratified ratio estimation was used to estimate savings for the program, and stratified random sampling was used for sample design by the evaluation contractor. For large lighting projects in the evaluation sample, West Penn’s evaluation contractor designed an on-site sampling strategy that targeted ±20% precision at the 90% confidence level for the physical counting of fixtures.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stratified based on energy savings at the measure level. The assumed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_Ref440267308 \h  \* MERGEFORMAT </w:instrText>
      </w:r>
      <w:r w:rsidRPr="003458B1">
        <w:fldChar w:fldCharType="separate"/>
      </w:r>
      <w:r w:rsidR="00037CB4" w:rsidRPr="003458B1">
        <w:t>Table A-</w:t>
      </w:r>
      <w:r w:rsidR="00037CB4">
        <w:t>94</w:t>
      </w:r>
      <w:r w:rsidRPr="003458B1">
        <w:fldChar w:fldCharType="end"/>
      </w:r>
      <w:r w:rsidRPr="003458B1">
        <w:t>. The data show that West Penn met the SWE Team require</w:t>
      </w:r>
      <w:r>
        <w:t>ments of 85%/15% confidence/</w:t>
      </w:r>
      <w:r w:rsidRPr="003458B1">
        <w:t>precision for both energy and peak demand.</w:t>
      </w:r>
    </w:p>
    <w:p w:rsidR="005C649A" w:rsidRPr="003458B1" w:rsidRDefault="005C649A" w:rsidP="005C649A"/>
    <w:p w:rsidR="005C649A" w:rsidRPr="003458B1" w:rsidRDefault="005C649A" w:rsidP="004837FA">
      <w:pPr>
        <w:pStyle w:val="Caption"/>
      </w:pPr>
      <w:bookmarkStart w:id="1045" w:name="_Ref440267308"/>
      <w:bookmarkStart w:id="1046" w:name="_Toc410199441"/>
      <w:bookmarkStart w:id="1047" w:name="_Toc431462361"/>
      <w:bookmarkStart w:id="1048" w:name="_Toc444269886"/>
      <w:bookmarkStart w:id="1049" w:name="_Toc472472503"/>
      <w:bookmarkStart w:id="1050" w:name="_Toc488741922"/>
      <w:r w:rsidRPr="003458B1">
        <w:t>Table A-</w:t>
      </w:r>
      <w:r w:rsidR="007973A4">
        <w:fldChar w:fldCharType="begin"/>
      </w:r>
      <w:r w:rsidR="007973A4">
        <w:instrText xml:space="preserve"> SEQ Table_A- \* ARABIC </w:instrText>
      </w:r>
      <w:r w:rsidR="007973A4">
        <w:fldChar w:fldCharType="separate"/>
      </w:r>
      <w:r w:rsidR="00037CB4">
        <w:rPr>
          <w:noProof/>
        </w:rPr>
        <w:t>94</w:t>
      </w:r>
      <w:r w:rsidR="007973A4">
        <w:rPr>
          <w:noProof/>
        </w:rPr>
        <w:fldChar w:fldCharType="end"/>
      </w:r>
      <w:bookmarkEnd w:id="1045"/>
      <w:r w:rsidRPr="003458B1">
        <w:t>: West Penn’s PY7 Sampling Strategy and Relative Precision – Small C/I Energy Efficient Equipment Program</w:t>
      </w:r>
      <w:bookmarkEnd w:id="1046"/>
      <w:bookmarkEnd w:id="1047"/>
      <w:bookmarkEnd w:id="1048"/>
      <w:bookmarkEnd w:id="1049"/>
      <w:bookmarkEnd w:id="1050"/>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213"/>
        <w:gridCol w:w="1234"/>
        <w:gridCol w:w="1235"/>
        <w:gridCol w:w="1234"/>
        <w:gridCol w:w="1234"/>
        <w:gridCol w:w="1235"/>
      </w:tblGrid>
      <w:tr w:rsidR="00A874AC" w:rsidRPr="00124B6E" w:rsidTr="006D710B">
        <w:trPr>
          <w:trHeight w:val="962"/>
          <w:tblHeader/>
        </w:trPr>
        <w:tc>
          <w:tcPr>
            <w:tcW w:w="1975" w:type="dxa"/>
            <w:shd w:val="clear" w:color="auto" w:fill="448A99"/>
            <w:vAlign w:val="bottom"/>
            <w:hideMark/>
          </w:tcPr>
          <w:p w:rsidR="005C649A" w:rsidRPr="00124B6E" w:rsidRDefault="005C649A" w:rsidP="004F0C61">
            <w:pPr>
              <w:rPr>
                <w:rFonts w:eastAsia="Calibri"/>
                <w:b/>
                <w:bCs/>
                <w:color w:val="FFFFFF"/>
                <w:sz w:val="19"/>
                <w:szCs w:val="19"/>
              </w:rPr>
            </w:pPr>
            <w:r w:rsidRPr="00124B6E">
              <w:rPr>
                <w:rFonts w:eastAsia="Calibri"/>
                <w:b/>
                <w:bCs/>
                <w:color w:val="FFFFFF"/>
                <w:sz w:val="19"/>
                <w:szCs w:val="19"/>
              </w:rPr>
              <w:t>Stratum</w:t>
            </w:r>
          </w:p>
        </w:tc>
        <w:tc>
          <w:tcPr>
            <w:tcW w:w="1213"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Population</w:t>
            </w:r>
          </w:p>
        </w:tc>
        <w:tc>
          <w:tcPr>
            <w:tcW w:w="1234"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Target Levels of Confidence &amp; Precision</w:t>
            </w:r>
          </w:p>
        </w:tc>
        <w:tc>
          <w:tcPr>
            <w:tcW w:w="1235"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Target Sample Size</w:t>
            </w:r>
          </w:p>
        </w:tc>
        <w:tc>
          <w:tcPr>
            <w:tcW w:w="1234"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Achieved Sample Size</w:t>
            </w:r>
          </w:p>
        </w:tc>
        <w:tc>
          <w:tcPr>
            <w:tcW w:w="1234"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Relative Precision at 85% C.L. for Energy</w:t>
            </w:r>
          </w:p>
        </w:tc>
        <w:tc>
          <w:tcPr>
            <w:tcW w:w="1235"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Relative Precision at 85% C.L. for Demand</w:t>
            </w:r>
          </w:p>
        </w:tc>
      </w:tr>
      <w:tr w:rsidR="00A874AC" w:rsidRPr="00124B6E" w:rsidTr="006D710B">
        <w:trPr>
          <w:trHeight w:val="346"/>
        </w:trPr>
        <w:tc>
          <w:tcPr>
            <w:tcW w:w="197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CFL kits – 1</w:t>
            </w:r>
          </w:p>
        </w:tc>
        <w:tc>
          <w:tcPr>
            <w:tcW w:w="1213"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N/A</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100.0%</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100.0%</w:t>
            </w:r>
          </w:p>
        </w:tc>
      </w:tr>
      <w:tr w:rsidR="00E7173E" w:rsidRPr="00124B6E" w:rsidTr="008F60E1">
        <w:trPr>
          <w:trHeight w:val="346"/>
        </w:trPr>
        <w:tc>
          <w:tcPr>
            <w:tcW w:w="1975" w:type="dxa"/>
            <w:shd w:val="clear" w:color="auto" w:fill="auto"/>
            <w:noWrap/>
            <w:vAlign w:val="center"/>
          </w:tcPr>
          <w:p w:rsidR="005C649A" w:rsidRPr="00124B6E" w:rsidRDefault="005C649A" w:rsidP="004F0C61">
            <w:pPr>
              <w:rPr>
                <w:rFonts w:eastAsia="Calibri"/>
                <w:bCs/>
                <w:color w:val="000000"/>
                <w:sz w:val="19"/>
                <w:szCs w:val="19"/>
              </w:rPr>
            </w:pPr>
            <w:r w:rsidRPr="00124B6E">
              <w:rPr>
                <w:sz w:val="19"/>
                <w:szCs w:val="19"/>
              </w:rPr>
              <w:t>Lighting – certainty</w:t>
            </w:r>
          </w:p>
        </w:tc>
        <w:tc>
          <w:tcPr>
            <w:tcW w:w="1213"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N/A</w:t>
            </w:r>
          </w:p>
        </w:tc>
        <w:tc>
          <w:tcPr>
            <w:tcW w:w="123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23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r>
      <w:tr w:rsidR="00A874AC" w:rsidRPr="00124B6E" w:rsidTr="006D710B">
        <w:trPr>
          <w:trHeight w:val="346"/>
        </w:trPr>
        <w:tc>
          <w:tcPr>
            <w:tcW w:w="197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Lighting – 2</w:t>
            </w:r>
          </w:p>
        </w:tc>
        <w:tc>
          <w:tcPr>
            <w:tcW w:w="1213"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32</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26.5%</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6</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6</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26.5%</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26.5%</w:t>
            </w:r>
          </w:p>
        </w:tc>
      </w:tr>
      <w:tr w:rsidR="00E7173E" w:rsidRPr="00124B6E" w:rsidTr="008F60E1">
        <w:trPr>
          <w:trHeight w:val="346"/>
        </w:trPr>
        <w:tc>
          <w:tcPr>
            <w:tcW w:w="1975" w:type="dxa"/>
            <w:shd w:val="clear" w:color="auto" w:fill="auto"/>
            <w:noWrap/>
            <w:vAlign w:val="center"/>
          </w:tcPr>
          <w:p w:rsidR="005C649A" w:rsidRPr="00124B6E" w:rsidRDefault="005C649A" w:rsidP="004F0C61">
            <w:pPr>
              <w:rPr>
                <w:rFonts w:eastAsia="Calibri"/>
                <w:bCs/>
                <w:color w:val="000000"/>
                <w:sz w:val="19"/>
                <w:szCs w:val="19"/>
              </w:rPr>
            </w:pPr>
            <w:r w:rsidRPr="00124B6E">
              <w:rPr>
                <w:sz w:val="19"/>
                <w:szCs w:val="19"/>
              </w:rPr>
              <w:t>Lighting – 3</w:t>
            </w:r>
          </w:p>
        </w:tc>
        <w:tc>
          <w:tcPr>
            <w:tcW w:w="1213"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82</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28.3%</w:t>
            </w:r>
          </w:p>
        </w:tc>
        <w:tc>
          <w:tcPr>
            <w:tcW w:w="123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6</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6</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28.3%</w:t>
            </w:r>
          </w:p>
        </w:tc>
        <w:tc>
          <w:tcPr>
            <w:tcW w:w="123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28.3%</w:t>
            </w:r>
          </w:p>
        </w:tc>
      </w:tr>
      <w:tr w:rsidR="00A874AC" w:rsidRPr="00124B6E" w:rsidTr="006D710B">
        <w:trPr>
          <w:trHeight w:val="346"/>
        </w:trPr>
        <w:tc>
          <w:tcPr>
            <w:tcW w:w="197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Lighting – 4</w:t>
            </w:r>
          </w:p>
        </w:tc>
        <w:tc>
          <w:tcPr>
            <w:tcW w:w="1213"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371</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22.5%</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10</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10</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22.5%</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22.5%</w:t>
            </w:r>
          </w:p>
        </w:tc>
      </w:tr>
      <w:tr w:rsidR="00E7173E" w:rsidRPr="00124B6E" w:rsidTr="008F60E1">
        <w:trPr>
          <w:trHeight w:val="346"/>
        </w:trPr>
        <w:tc>
          <w:tcPr>
            <w:tcW w:w="1975" w:type="dxa"/>
            <w:shd w:val="clear" w:color="auto" w:fill="auto"/>
            <w:noWrap/>
            <w:vAlign w:val="center"/>
          </w:tcPr>
          <w:p w:rsidR="005C649A" w:rsidRPr="00124B6E" w:rsidRDefault="005C649A" w:rsidP="004F0C61">
            <w:pPr>
              <w:rPr>
                <w:rFonts w:eastAsia="Calibri"/>
                <w:bCs/>
                <w:color w:val="000000"/>
                <w:sz w:val="19"/>
                <w:szCs w:val="19"/>
              </w:rPr>
            </w:pPr>
            <w:r w:rsidRPr="00124B6E">
              <w:rPr>
                <w:sz w:val="19"/>
                <w:szCs w:val="19"/>
              </w:rPr>
              <w:t>Custom – certainty</w:t>
            </w:r>
          </w:p>
        </w:tc>
        <w:tc>
          <w:tcPr>
            <w:tcW w:w="1213"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2</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23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2</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2</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23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r>
      <w:tr w:rsidR="00A874AC" w:rsidRPr="00124B6E" w:rsidTr="006D710B">
        <w:trPr>
          <w:trHeight w:val="346"/>
        </w:trPr>
        <w:tc>
          <w:tcPr>
            <w:tcW w:w="197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Custom – 2</w:t>
            </w:r>
          </w:p>
        </w:tc>
        <w:tc>
          <w:tcPr>
            <w:tcW w:w="1213"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2</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50.9%</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50.9%</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50.9%</w:t>
            </w:r>
          </w:p>
        </w:tc>
      </w:tr>
      <w:tr w:rsidR="00E7173E" w:rsidRPr="00124B6E" w:rsidTr="008F60E1">
        <w:trPr>
          <w:trHeight w:val="346"/>
        </w:trPr>
        <w:tc>
          <w:tcPr>
            <w:tcW w:w="1975" w:type="dxa"/>
            <w:shd w:val="clear" w:color="auto" w:fill="auto"/>
            <w:noWrap/>
            <w:vAlign w:val="center"/>
          </w:tcPr>
          <w:p w:rsidR="005C649A" w:rsidRPr="00124B6E" w:rsidRDefault="005C649A" w:rsidP="004F0C61">
            <w:pPr>
              <w:rPr>
                <w:rFonts w:eastAsia="Calibri"/>
                <w:bCs/>
                <w:color w:val="000000"/>
                <w:sz w:val="19"/>
                <w:szCs w:val="19"/>
              </w:rPr>
            </w:pPr>
            <w:r w:rsidRPr="00124B6E">
              <w:rPr>
                <w:sz w:val="19"/>
                <w:szCs w:val="19"/>
              </w:rPr>
              <w:t>Custom – 3</w:t>
            </w:r>
          </w:p>
        </w:tc>
        <w:tc>
          <w:tcPr>
            <w:tcW w:w="1213"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54</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30.7%</w:t>
            </w:r>
          </w:p>
        </w:tc>
        <w:tc>
          <w:tcPr>
            <w:tcW w:w="123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5</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5</w:t>
            </w:r>
          </w:p>
        </w:tc>
        <w:tc>
          <w:tcPr>
            <w:tcW w:w="12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30.7%</w:t>
            </w:r>
          </w:p>
        </w:tc>
        <w:tc>
          <w:tcPr>
            <w:tcW w:w="123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30.7%</w:t>
            </w:r>
          </w:p>
        </w:tc>
      </w:tr>
      <w:tr w:rsidR="00A874AC" w:rsidRPr="00124B6E" w:rsidTr="00124B6E">
        <w:trPr>
          <w:trHeight w:val="288"/>
        </w:trPr>
        <w:tc>
          <w:tcPr>
            <w:tcW w:w="197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HVAC and DHW – 1</w:t>
            </w:r>
          </w:p>
        </w:tc>
        <w:tc>
          <w:tcPr>
            <w:tcW w:w="1213"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N/A</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23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r>
      <w:tr w:rsidR="00E7173E" w:rsidRPr="00124B6E" w:rsidTr="00124B6E">
        <w:trPr>
          <w:trHeight w:val="288"/>
        </w:trPr>
        <w:tc>
          <w:tcPr>
            <w:tcW w:w="1975" w:type="dxa"/>
            <w:shd w:val="clear" w:color="auto" w:fill="auto"/>
            <w:noWrap/>
            <w:vAlign w:val="center"/>
          </w:tcPr>
          <w:p w:rsidR="005C649A" w:rsidRPr="00124B6E" w:rsidRDefault="005C649A" w:rsidP="004F0C61">
            <w:pPr>
              <w:rPr>
                <w:rFonts w:eastAsia="Calibri"/>
                <w:bCs/>
                <w:iCs/>
                <w:color w:val="000000"/>
                <w:sz w:val="19"/>
                <w:szCs w:val="19"/>
              </w:rPr>
            </w:pPr>
            <w:r w:rsidRPr="00124B6E">
              <w:rPr>
                <w:sz w:val="19"/>
                <w:szCs w:val="19"/>
              </w:rPr>
              <w:t>HVAC and DHW – 2</w:t>
            </w:r>
          </w:p>
        </w:tc>
        <w:tc>
          <w:tcPr>
            <w:tcW w:w="1213"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32</w:t>
            </w:r>
          </w:p>
        </w:tc>
        <w:tc>
          <w:tcPr>
            <w:tcW w:w="12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70.9%</w:t>
            </w:r>
          </w:p>
        </w:tc>
        <w:tc>
          <w:tcPr>
            <w:tcW w:w="123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1</w:t>
            </w:r>
          </w:p>
        </w:tc>
        <w:tc>
          <w:tcPr>
            <w:tcW w:w="12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1</w:t>
            </w:r>
          </w:p>
        </w:tc>
        <w:tc>
          <w:tcPr>
            <w:tcW w:w="12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70.9%</w:t>
            </w:r>
          </w:p>
        </w:tc>
        <w:tc>
          <w:tcPr>
            <w:tcW w:w="123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70.9%</w:t>
            </w:r>
          </w:p>
        </w:tc>
      </w:tr>
      <w:tr w:rsidR="00A874AC" w:rsidRPr="00124B6E" w:rsidTr="00124B6E">
        <w:trPr>
          <w:trHeight w:val="288"/>
        </w:trPr>
        <w:tc>
          <w:tcPr>
            <w:tcW w:w="197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Appliance Turn-In – 1</w:t>
            </w:r>
          </w:p>
        </w:tc>
        <w:tc>
          <w:tcPr>
            <w:tcW w:w="1213"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106</w:t>
            </w:r>
          </w:p>
        </w:tc>
        <w:tc>
          <w:tcPr>
            <w:tcW w:w="12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71.7%</w:t>
            </w:r>
          </w:p>
        </w:tc>
        <w:tc>
          <w:tcPr>
            <w:tcW w:w="123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1</w:t>
            </w:r>
          </w:p>
        </w:tc>
        <w:tc>
          <w:tcPr>
            <w:tcW w:w="12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1</w:t>
            </w:r>
          </w:p>
        </w:tc>
        <w:tc>
          <w:tcPr>
            <w:tcW w:w="12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71.7%</w:t>
            </w:r>
          </w:p>
        </w:tc>
        <w:tc>
          <w:tcPr>
            <w:tcW w:w="123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71.7%</w:t>
            </w:r>
          </w:p>
        </w:tc>
      </w:tr>
      <w:tr w:rsidR="00E7173E" w:rsidRPr="00124B6E" w:rsidTr="00124B6E">
        <w:trPr>
          <w:trHeight w:val="288"/>
        </w:trPr>
        <w:tc>
          <w:tcPr>
            <w:tcW w:w="1975" w:type="dxa"/>
            <w:shd w:val="clear" w:color="auto" w:fill="auto"/>
            <w:noWrap/>
            <w:vAlign w:val="center"/>
          </w:tcPr>
          <w:p w:rsidR="005C649A" w:rsidRPr="00124B6E" w:rsidRDefault="005C649A" w:rsidP="004F0C61">
            <w:pPr>
              <w:rPr>
                <w:rFonts w:eastAsia="Calibri"/>
                <w:bCs/>
                <w:color w:val="000000"/>
                <w:sz w:val="19"/>
                <w:szCs w:val="19"/>
              </w:rPr>
            </w:pPr>
            <w:r w:rsidRPr="00124B6E">
              <w:rPr>
                <w:sz w:val="19"/>
                <w:szCs w:val="19"/>
              </w:rPr>
              <w:t>Kitchen/appliances – 1</w:t>
            </w:r>
          </w:p>
        </w:tc>
        <w:tc>
          <w:tcPr>
            <w:tcW w:w="1213"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16</w:t>
            </w:r>
          </w:p>
        </w:tc>
        <w:tc>
          <w:tcPr>
            <w:tcW w:w="12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69.7%</w:t>
            </w:r>
          </w:p>
        </w:tc>
        <w:tc>
          <w:tcPr>
            <w:tcW w:w="123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1</w:t>
            </w:r>
          </w:p>
        </w:tc>
        <w:tc>
          <w:tcPr>
            <w:tcW w:w="12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1</w:t>
            </w:r>
          </w:p>
        </w:tc>
        <w:tc>
          <w:tcPr>
            <w:tcW w:w="12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69.7%</w:t>
            </w:r>
          </w:p>
        </w:tc>
        <w:tc>
          <w:tcPr>
            <w:tcW w:w="123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69.7%</w:t>
            </w:r>
          </w:p>
        </w:tc>
      </w:tr>
      <w:tr w:rsidR="00A874AC" w:rsidRPr="00124B6E" w:rsidTr="00124B6E">
        <w:trPr>
          <w:trHeight w:val="288"/>
        </w:trPr>
        <w:tc>
          <w:tcPr>
            <w:tcW w:w="1975" w:type="dxa"/>
            <w:shd w:val="clear" w:color="auto" w:fill="D2EAF1"/>
            <w:noWrap/>
            <w:vAlign w:val="center"/>
          </w:tcPr>
          <w:p w:rsidR="005C649A" w:rsidRPr="00124B6E" w:rsidRDefault="005C649A" w:rsidP="004F0C61">
            <w:pPr>
              <w:rPr>
                <w:rFonts w:eastAsia="Calibri"/>
                <w:b/>
                <w:bCs/>
                <w:color w:val="000000"/>
                <w:sz w:val="19"/>
                <w:szCs w:val="19"/>
              </w:rPr>
            </w:pPr>
            <w:r w:rsidRPr="00124B6E">
              <w:rPr>
                <w:rFonts w:eastAsia="Calibri"/>
                <w:b/>
                <w:bCs/>
                <w:color w:val="000000"/>
                <w:sz w:val="19"/>
                <w:szCs w:val="19"/>
              </w:rPr>
              <w:t>Program Total</w:t>
            </w:r>
          </w:p>
        </w:tc>
        <w:tc>
          <w:tcPr>
            <w:tcW w:w="1213"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697</w:t>
            </w:r>
          </w:p>
        </w:tc>
        <w:tc>
          <w:tcPr>
            <w:tcW w:w="12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13.0%</w:t>
            </w:r>
          </w:p>
        </w:tc>
        <w:tc>
          <w:tcPr>
            <w:tcW w:w="123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33</w:t>
            </w:r>
          </w:p>
        </w:tc>
        <w:tc>
          <w:tcPr>
            <w:tcW w:w="12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33</w:t>
            </w:r>
          </w:p>
        </w:tc>
        <w:tc>
          <w:tcPr>
            <w:tcW w:w="12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13.1%</w:t>
            </w:r>
          </w:p>
        </w:tc>
        <w:tc>
          <w:tcPr>
            <w:tcW w:w="123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15.4%</w:t>
            </w:r>
          </w:p>
        </w:tc>
      </w:tr>
    </w:tbl>
    <w:p w:rsidR="005C649A" w:rsidRDefault="005C649A" w:rsidP="005C649A"/>
    <w:p w:rsidR="005C649A" w:rsidRPr="003458B1" w:rsidRDefault="005C649A" w:rsidP="008C7396">
      <w:pPr>
        <w:pStyle w:val="AppendixAHeading5"/>
      </w:pPr>
      <w:r w:rsidRPr="003458B1">
        <w:t>Small C/I Energy Efficient Buildings Program</w:t>
      </w:r>
    </w:p>
    <w:p w:rsidR="005C649A" w:rsidRPr="003458B1" w:rsidRDefault="005C649A" w:rsidP="005C649A">
      <w:r w:rsidRPr="003458B1">
        <w:t>This was a new program in Phase II. The program includes two components: energy conservation kits delivered by mail to non-resi</w:t>
      </w:r>
      <w:r>
        <w:t>dential customers and whole-building</w:t>
      </w:r>
      <w:r w:rsidRPr="003458B1">
        <w:t xml:space="preserve"> projects such as new construction, retro-commissioning, and building envelope improvements. Sampling and project-level gross impact evaluation methodologies for efficient equipment and building upgrade measures are identical to the m</w:t>
      </w:r>
      <w:r w:rsidR="006722FB">
        <w:t>ethodology described for the</w:t>
      </w:r>
      <w:r w:rsidRPr="003458B1">
        <w:t xml:space="preserve"> Small</w:t>
      </w:r>
      <w:r w:rsidR="006722FB">
        <w:t xml:space="preserve"> C/I</w:t>
      </w:r>
      <w:r w:rsidRPr="003458B1">
        <w:t xml:space="preserve"> </w:t>
      </w:r>
      <w:r>
        <w:t xml:space="preserve">Energy </w:t>
      </w:r>
      <w:r w:rsidRPr="003458B1">
        <w:t xml:space="preserve">Efficient Equipment Program above. The sample design strategy and the achieved precision values for energy and demand are shown in </w:t>
      </w:r>
      <w:r w:rsidRPr="003458B1">
        <w:fldChar w:fldCharType="begin"/>
      </w:r>
      <w:r w:rsidRPr="003458B1">
        <w:instrText xml:space="preserve"> REF _Ref440033523 \h  \* MERGEFORMAT </w:instrText>
      </w:r>
      <w:r w:rsidRPr="003458B1">
        <w:fldChar w:fldCharType="separate"/>
      </w:r>
      <w:r w:rsidR="00037CB4" w:rsidRPr="003458B1">
        <w:t>Table A-</w:t>
      </w:r>
      <w:r w:rsidR="00037CB4">
        <w:t>95</w:t>
      </w:r>
      <w:r w:rsidRPr="003458B1">
        <w:fldChar w:fldCharType="end"/>
      </w:r>
      <w:r w:rsidRPr="003458B1">
        <w:t>. The precision levels for energy and for demand met the SWE Team requirements.</w:t>
      </w:r>
    </w:p>
    <w:p w:rsidR="005C649A" w:rsidRPr="003458B1" w:rsidRDefault="005C649A" w:rsidP="005C649A"/>
    <w:p w:rsidR="005C649A" w:rsidRPr="003458B1" w:rsidRDefault="005C649A" w:rsidP="004837FA">
      <w:pPr>
        <w:pStyle w:val="Caption"/>
      </w:pPr>
      <w:bookmarkStart w:id="1051" w:name="_Ref440033523"/>
      <w:bookmarkStart w:id="1052" w:name="_Toc410199442"/>
      <w:bookmarkStart w:id="1053" w:name="_Toc431462362"/>
      <w:bookmarkStart w:id="1054" w:name="_Toc444269887"/>
      <w:bookmarkStart w:id="1055" w:name="_Toc472472504"/>
      <w:bookmarkStart w:id="1056" w:name="_Toc488741923"/>
      <w:r w:rsidRPr="003458B1">
        <w:t>Table A-</w:t>
      </w:r>
      <w:r w:rsidR="007973A4">
        <w:fldChar w:fldCharType="begin"/>
      </w:r>
      <w:r w:rsidR="007973A4">
        <w:instrText xml:space="preserve"> SEQ Table_A- \* ARABIC </w:instrText>
      </w:r>
      <w:r w:rsidR="007973A4">
        <w:fldChar w:fldCharType="separate"/>
      </w:r>
      <w:r w:rsidR="00037CB4">
        <w:rPr>
          <w:noProof/>
        </w:rPr>
        <w:t>95</w:t>
      </w:r>
      <w:r w:rsidR="007973A4">
        <w:rPr>
          <w:noProof/>
        </w:rPr>
        <w:fldChar w:fldCharType="end"/>
      </w:r>
      <w:bookmarkEnd w:id="1051"/>
      <w:r w:rsidRPr="003458B1">
        <w:t>: West Penn’s PY7 Sampling Strategy and Relative Precision – Small C/I Energy Efficient Buildings Program</w:t>
      </w:r>
      <w:bookmarkEnd w:id="1052"/>
      <w:bookmarkEnd w:id="1053"/>
      <w:bookmarkEnd w:id="1054"/>
      <w:bookmarkEnd w:id="1055"/>
      <w:bookmarkEnd w:id="1056"/>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170"/>
        <w:gridCol w:w="1170"/>
        <w:gridCol w:w="1085"/>
        <w:gridCol w:w="1224"/>
        <w:gridCol w:w="1368"/>
        <w:gridCol w:w="1368"/>
      </w:tblGrid>
      <w:tr w:rsidR="00A874AC" w:rsidRPr="00124B6E" w:rsidTr="006D710B">
        <w:trPr>
          <w:trHeight w:val="894"/>
          <w:tblHeader/>
        </w:trPr>
        <w:tc>
          <w:tcPr>
            <w:tcW w:w="1975" w:type="dxa"/>
            <w:shd w:val="clear" w:color="auto" w:fill="448A99"/>
            <w:vAlign w:val="bottom"/>
            <w:hideMark/>
          </w:tcPr>
          <w:p w:rsidR="005C649A" w:rsidRPr="00124B6E" w:rsidRDefault="005C649A" w:rsidP="004F0C61">
            <w:pPr>
              <w:rPr>
                <w:rFonts w:eastAsia="Calibri"/>
                <w:b/>
                <w:bCs/>
                <w:color w:val="FFFFFF"/>
                <w:sz w:val="19"/>
                <w:szCs w:val="19"/>
              </w:rPr>
            </w:pPr>
            <w:r w:rsidRPr="00124B6E">
              <w:rPr>
                <w:rFonts w:eastAsia="Calibri"/>
                <w:b/>
                <w:bCs/>
                <w:color w:val="FFFFFF"/>
                <w:sz w:val="19"/>
                <w:szCs w:val="19"/>
              </w:rPr>
              <w:t>Stratum</w:t>
            </w:r>
          </w:p>
        </w:tc>
        <w:tc>
          <w:tcPr>
            <w:tcW w:w="1170"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Population</w:t>
            </w:r>
          </w:p>
        </w:tc>
        <w:tc>
          <w:tcPr>
            <w:tcW w:w="1170"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Target Levels of Confidence &amp; Precision</w:t>
            </w:r>
          </w:p>
        </w:tc>
        <w:tc>
          <w:tcPr>
            <w:tcW w:w="1085"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Target Sample Size</w:t>
            </w:r>
          </w:p>
        </w:tc>
        <w:tc>
          <w:tcPr>
            <w:tcW w:w="1224"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Achieved Sample Size</w:t>
            </w:r>
          </w:p>
        </w:tc>
        <w:tc>
          <w:tcPr>
            <w:tcW w:w="1368"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Relative Precision at 85% C.L. for Energy</w:t>
            </w:r>
          </w:p>
        </w:tc>
        <w:tc>
          <w:tcPr>
            <w:tcW w:w="1368"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Relative Precision at 85% C.L. for Demand</w:t>
            </w:r>
          </w:p>
        </w:tc>
      </w:tr>
      <w:tr w:rsidR="00A874AC" w:rsidRPr="00124B6E" w:rsidTr="00124B6E">
        <w:trPr>
          <w:trHeight w:val="288"/>
        </w:trPr>
        <w:tc>
          <w:tcPr>
            <w:tcW w:w="1975" w:type="dxa"/>
            <w:shd w:val="clear" w:color="auto" w:fill="D2EAF1"/>
            <w:noWrap/>
            <w:vAlign w:val="center"/>
          </w:tcPr>
          <w:p w:rsidR="005C649A" w:rsidRPr="00124B6E" w:rsidRDefault="005C649A" w:rsidP="004F0C61">
            <w:pPr>
              <w:jc w:val="left"/>
              <w:rPr>
                <w:rFonts w:eastAsia="Calibri"/>
                <w:bCs/>
                <w:color w:val="000000"/>
                <w:sz w:val="19"/>
                <w:szCs w:val="19"/>
              </w:rPr>
            </w:pPr>
            <w:r w:rsidRPr="00124B6E">
              <w:rPr>
                <w:sz w:val="19"/>
                <w:szCs w:val="19"/>
              </w:rPr>
              <w:t>CFL kits – 1</w:t>
            </w:r>
          </w:p>
        </w:tc>
        <w:tc>
          <w:tcPr>
            <w:tcW w:w="1170"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3,179</w:t>
            </w:r>
          </w:p>
        </w:tc>
        <w:tc>
          <w:tcPr>
            <w:tcW w:w="1170"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11.3%</w:t>
            </w:r>
          </w:p>
        </w:tc>
        <w:tc>
          <w:tcPr>
            <w:tcW w:w="108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40</w:t>
            </w:r>
          </w:p>
        </w:tc>
        <w:tc>
          <w:tcPr>
            <w:tcW w:w="122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64</w:t>
            </w:r>
          </w:p>
        </w:tc>
        <w:tc>
          <w:tcPr>
            <w:tcW w:w="1368"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8.9%</w:t>
            </w:r>
          </w:p>
        </w:tc>
        <w:tc>
          <w:tcPr>
            <w:tcW w:w="1368"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8.9%</w:t>
            </w:r>
          </w:p>
        </w:tc>
      </w:tr>
      <w:tr w:rsidR="00E7173E" w:rsidRPr="00124B6E" w:rsidTr="00124B6E">
        <w:trPr>
          <w:trHeight w:val="288"/>
        </w:trPr>
        <w:tc>
          <w:tcPr>
            <w:tcW w:w="1975" w:type="dxa"/>
            <w:shd w:val="clear" w:color="auto" w:fill="auto"/>
            <w:noWrap/>
            <w:vAlign w:val="center"/>
          </w:tcPr>
          <w:p w:rsidR="005C649A" w:rsidRPr="00124B6E" w:rsidRDefault="005C649A" w:rsidP="004F0C61">
            <w:pPr>
              <w:jc w:val="left"/>
              <w:rPr>
                <w:rFonts w:eastAsia="Calibri"/>
                <w:bCs/>
                <w:color w:val="000000"/>
                <w:sz w:val="19"/>
                <w:szCs w:val="19"/>
              </w:rPr>
            </w:pPr>
            <w:r w:rsidRPr="00124B6E">
              <w:rPr>
                <w:sz w:val="19"/>
                <w:szCs w:val="19"/>
              </w:rPr>
              <w:t>Lighting – certainty</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08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2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A874AC" w:rsidRPr="00124B6E" w:rsidTr="00124B6E">
        <w:trPr>
          <w:trHeight w:val="288"/>
        </w:trPr>
        <w:tc>
          <w:tcPr>
            <w:tcW w:w="1975" w:type="dxa"/>
            <w:shd w:val="clear" w:color="auto" w:fill="D2EAF1"/>
            <w:noWrap/>
            <w:vAlign w:val="center"/>
          </w:tcPr>
          <w:p w:rsidR="005C649A" w:rsidRPr="00124B6E" w:rsidRDefault="005C649A" w:rsidP="004F0C61">
            <w:pPr>
              <w:jc w:val="left"/>
              <w:rPr>
                <w:rFonts w:eastAsia="Calibri"/>
                <w:sz w:val="19"/>
                <w:szCs w:val="19"/>
              </w:rPr>
            </w:pPr>
            <w:r w:rsidRPr="00124B6E">
              <w:rPr>
                <w:sz w:val="19"/>
                <w:szCs w:val="19"/>
              </w:rPr>
              <w:t>Lighting – 2</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08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2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E7173E" w:rsidRPr="00124B6E" w:rsidTr="00124B6E">
        <w:trPr>
          <w:trHeight w:val="288"/>
        </w:trPr>
        <w:tc>
          <w:tcPr>
            <w:tcW w:w="1975" w:type="dxa"/>
            <w:shd w:val="clear" w:color="auto" w:fill="auto"/>
            <w:noWrap/>
            <w:vAlign w:val="center"/>
          </w:tcPr>
          <w:p w:rsidR="005C649A" w:rsidRPr="00124B6E" w:rsidRDefault="005C649A" w:rsidP="004F0C61">
            <w:pPr>
              <w:jc w:val="left"/>
              <w:rPr>
                <w:rFonts w:eastAsia="Calibri"/>
                <w:sz w:val="19"/>
                <w:szCs w:val="19"/>
              </w:rPr>
            </w:pPr>
            <w:r w:rsidRPr="00124B6E">
              <w:rPr>
                <w:sz w:val="19"/>
                <w:szCs w:val="19"/>
              </w:rPr>
              <w:t>Lighting – 3</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08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2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A874AC" w:rsidRPr="00124B6E" w:rsidTr="00124B6E">
        <w:trPr>
          <w:trHeight w:val="288"/>
        </w:trPr>
        <w:tc>
          <w:tcPr>
            <w:tcW w:w="1975" w:type="dxa"/>
            <w:shd w:val="clear" w:color="auto" w:fill="D2EAF1"/>
            <w:noWrap/>
            <w:vAlign w:val="center"/>
          </w:tcPr>
          <w:p w:rsidR="005C649A" w:rsidRPr="00124B6E" w:rsidRDefault="005C649A" w:rsidP="004F0C61">
            <w:pPr>
              <w:jc w:val="left"/>
              <w:rPr>
                <w:rFonts w:eastAsia="Calibri"/>
                <w:sz w:val="19"/>
                <w:szCs w:val="19"/>
              </w:rPr>
            </w:pPr>
            <w:r w:rsidRPr="00124B6E">
              <w:rPr>
                <w:sz w:val="19"/>
                <w:szCs w:val="19"/>
              </w:rPr>
              <w:t>Lighting – 4</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08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2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E7173E" w:rsidRPr="00124B6E" w:rsidTr="00124B6E">
        <w:trPr>
          <w:trHeight w:val="288"/>
        </w:trPr>
        <w:tc>
          <w:tcPr>
            <w:tcW w:w="1975" w:type="dxa"/>
            <w:shd w:val="clear" w:color="auto" w:fill="auto"/>
            <w:noWrap/>
            <w:vAlign w:val="center"/>
          </w:tcPr>
          <w:p w:rsidR="005C649A" w:rsidRPr="00124B6E" w:rsidRDefault="005C649A" w:rsidP="004F0C61">
            <w:pPr>
              <w:jc w:val="left"/>
              <w:rPr>
                <w:rFonts w:eastAsia="Calibri"/>
                <w:sz w:val="19"/>
                <w:szCs w:val="19"/>
              </w:rPr>
            </w:pPr>
            <w:r w:rsidRPr="00124B6E">
              <w:rPr>
                <w:sz w:val="19"/>
                <w:szCs w:val="19"/>
              </w:rPr>
              <w:t>Custom – certainty</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12</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08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12</w:t>
            </w:r>
          </w:p>
        </w:tc>
        <w:tc>
          <w:tcPr>
            <w:tcW w:w="122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11</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6.3%</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6.3%</w:t>
            </w:r>
          </w:p>
        </w:tc>
      </w:tr>
      <w:tr w:rsidR="00A874AC" w:rsidRPr="00124B6E" w:rsidTr="00124B6E">
        <w:trPr>
          <w:trHeight w:val="288"/>
        </w:trPr>
        <w:tc>
          <w:tcPr>
            <w:tcW w:w="1975" w:type="dxa"/>
            <w:shd w:val="clear" w:color="auto" w:fill="D2EAF1"/>
            <w:noWrap/>
            <w:vAlign w:val="center"/>
          </w:tcPr>
          <w:p w:rsidR="005C649A" w:rsidRPr="00124B6E" w:rsidRDefault="005C649A" w:rsidP="004F0C61">
            <w:pPr>
              <w:jc w:val="left"/>
              <w:rPr>
                <w:rFonts w:eastAsia="Calibri"/>
                <w:sz w:val="19"/>
                <w:szCs w:val="19"/>
              </w:rPr>
            </w:pPr>
            <w:r w:rsidRPr="00124B6E">
              <w:rPr>
                <w:sz w:val="19"/>
                <w:szCs w:val="19"/>
              </w:rPr>
              <w:t>Custom – 2</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1</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08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1</w:t>
            </w:r>
          </w:p>
        </w:tc>
        <w:tc>
          <w:tcPr>
            <w:tcW w:w="122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1</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E7173E" w:rsidRPr="00124B6E" w:rsidTr="00124B6E">
        <w:trPr>
          <w:trHeight w:val="288"/>
        </w:trPr>
        <w:tc>
          <w:tcPr>
            <w:tcW w:w="1975" w:type="dxa"/>
            <w:shd w:val="clear" w:color="auto" w:fill="auto"/>
            <w:noWrap/>
            <w:vAlign w:val="center"/>
          </w:tcPr>
          <w:p w:rsidR="005C649A" w:rsidRPr="00124B6E" w:rsidRDefault="005C649A" w:rsidP="004F0C61">
            <w:pPr>
              <w:jc w:val="left"/>
              <w:rPr>
                <w:rFonts w:eastAsia="Calibri"/>
                <w:sz w:val="19"/>
                <w:szCs w:val="19"/>
              </w:rPr>
            </w:pPr>
            <w:r w:rsidRPr="00124B6E">
              <w:rPr>
                <w:sz w:val="19"/>
                <w:szCs w:val="19"/>
              </w:rPr>
              <w:t>Custom – 3</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25</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48.8%</w:t>
            </w:r>
          </w:p>
        </w:tc>
        <w:tc>
          <w:tcPr>
            <w:tcW w:w="108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2</w:t>
            </w:r>
          </w:p>
        </w:tc>
        <w:tc>
          <w:tcPr>
            <w:tcW w:w="122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2</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48.8%</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48.8%</w:t>
            </w:r>
          </w:p>
        </w:tc>
      </w:tr>
      <w:tr w:rsidR="00A874AC" w:rsidRPr="00124B6E" w:rsidTr="00124B6E">
        <w:trPr>
          <w:trHeight w:val="288"/>
        </w:trPr>
        <w:tc>
          <w:tcPr>
            <w:tcW w:w="1975" w:type="dxa"/>
            <w:shd w:val="clear" w:color="auto" w:fill="D2EAF1"/>
            <w:noWrap/>
            <w:vAlign w:val="center"/>
          </w:tcPr>
          <w:p w:rsidR="005C649A" w:rsidRPr="00124B6E" w:rsidRDefault="005C649A" w:rsidP="004F0C61">
            <w:pPr>
              <w:jc w:val="left"/>
              <w:rPr>
                <w:rFonts w:eastAsia="Calibri"/>
                <w:sz w:val="19"/>
                <w:szCs w:val="19"/>
              </w:rPr>
            </w:pPr>
            <w:r w:rsidRPr="00124B6E">
              <w:rPr>
                <w:sz w:val="19"/>
                <w:szCs w:val="19"/>
              </w:rPr>
              <w:t>HVAC and DHW – 1</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08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2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E7173E" w:rsidRPr="00124B6E" w:rsidTr="00124B6E">
        <w:trPr>
          <w:trHeight w:val="288"/>
        </w:trPr>
        <w:tc>
          <w:tcPr>
            <w:tcW w:w="1975" w:type="dxa"/>
            <w:shd w:val="clear" w:color="auto" w:fill="auto"/>
            <w:noWrap/>
            <w:vAlign w:val="center"/>
          </w:tcPr>
          <w:p w:rsidR="005C649A" w:rsidRPr="00124B6E" w:rsidRDefault="005C649A" w:rsidP="004F0C61">
            <w:pPr>
              <w:jc w:val="left"/>
              <w:rPr>
                <w:rFonts w:eastAsia="Calibri"/>
                <w:sz w:val="19"/>
                <w:szCs w:val="19"/>
              </w:rPr>
            </w:pPr>
            <w:r w:rsidRPr="00124B6E">
              <w:rPr>
                <w:sz w:val="19"/>
                <w:szCs w:val="19"/>
              </w:rPr>
              <w:t>HVAC and DHW – 2</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08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2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A874AC" w:rsidRPr="00124B6E" w:rsidTr="00124B6E">
        <w:trPr>
          <w:trHeight w:val="288"/>
        </w:trPr>
        <w:tc>
          <w:tcPr>
            <w:tcW w:w="1975" w:type="dxa"/>
            <w:shd w:val="clear" w:color="auto" w:fill="D2EAF1"/>
            <w:noWrap/>
            <w:vAlign w:val="center"/>
          </w:tcPr>
          <w:p w:rsidR="005C649A" w:rsidRPr="00124B6E" w:rsidRDefault="005C649A" w:rsidP="004F0C61">
            <w:pPr>
              <w:jc w:val="left"/>
              <w:rPr>
                <w:rFonts w:eastAsia="Calibri"/>
                <w:sz w:val="19"/>
                <w:szCs w:val="19"/>
              </w:rPr>
            </w:pPr>
            <w:r w:rsidRPr="00124B6E">
              <w:rPr>
                <w:sz w:val="19"/>
                <w:szCs w:val="19"/>
              </w:rPr>
              <w:t>Appliance Turn-In – 1</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08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2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E7173E" w:rsidRPr="00124B6E" w:rsidTr="00124B6E">
        <w:trPr>
          <w:trHeight w:val="288"/>
        </w:trPr>
        <w:tc>
          <w:tcPr>
            <w:tcW w:w="1975" w:type="dxa"/>
            <w:shd w:val="clear" w:color="auto" w:fill="auto"/>
            <w:noWrap/>
            <w:vAlign w:val="center"/>
          </w:tcPr>
          <w:p w:rsidR="005C649A" w:rsidRPr="00124B6E" w:rsidRDefault="005C649A" w:rsidP="004F0C61">
            <w:pPr>
              <w:jc w:val="left"/>
              <w:rPr>
                <w:rFonts w:eastAsia="Calibri"/>
                <w:sz w:val="19"/>
                <w:szCs w:val="19"/>
              </w:rPr>
            </w:pPr>
            <w:r w:rsidRPr="00124B6E">
              <w:rPr>
                <w:sz w:val="19"/>
                <w:szCs w:val="19"/>
              </w:rPr>
              <w:t>Kitchen/appliances – 1</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08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2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68"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A874AC" w:rsidRPr="00124B6E" w:rsidTr="00124B6E">
        <w:trPr>
          <w:trHeight w:val="288"/>
        </w:trPr>
        <w:tc>
          <w:tcPr>
            <w:tcW w:w="1975" w:type="dxa"/>
            <w:shd w:val="clear" w:color="auto" w:fill="D2EAF1"/>
            <w:noWrap/>
            <w:vAlign w:val="center"/>
          </w:tcPr>
          <w:p w:rsidR="005C649A" w:rsidRPr="00124B6E" w:rsidRDefault="005C649A" w:rsidP="004F0C61">
            <w:pPr>
              <w:jc w:val="left"/>
              <w:rPr>
                <w:rFonts w:eastAsia="Calibri"/>
                <w:b/>
                <w:sz w:val="19"/>
                <w:szCs w:val="19"/>
              </w:rPr>
            </w:pPr>
            <w:r w:rsidRPr="00124B6E">
              <w:rPr>
                <w:rFonts w:eastAsia="Calibri"/>
                <w:b/>
                <w:sz w:val="19"/>
                <w:szCs w:val="19"/>
              </w:rPr>
              <w:t>Program Total</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3,217</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14.4%</w:t>
            </w:r>
          </w:p>
        </w:tc>
        <w:tc>
          <w:tcPr>
            <w:tcW w:w="108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55</w:t>
            </w:r>
          </w:p>
        </w:tc>
        <w:tc>
          <w:tcPr>
            <w:tcW w:w="122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78</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13.4%</w:t>
            </w:r>
          </w:p>
        </w:tc>
        <w:tc>
          <w:tcPr>
            <w:tcW w:w="1368"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9.4%</w:t>
            </w:r>
          </w:p>
        </w:tc>
      </w:tr>
    </w:tbl>
    <w:p w:rsidR="005C649A" w:rsidRPr="003458B1" w:rsidRDefault="005C649A" w:rsidP="005C649A"/>
    <w:p w:rsidR="005C649A" w:rsidRPr="003458B1" w:rsidRDefault="005C649A" w:rsidP="008C7396">
      <w:pPr>
        <w:pStyle w:val="AppendixAHeading5"/>
      </w:pPr>
      <w:r w:rsidRPr="003458B1">
        <w:t xml:space="preserve"> Large C/I Energy Efficient Equipment Program</w:t>
      </w:r>
    </w:p>
    <w:p w:rsidR="005C649A" w:rsidRDefault="005C649A" w:rsidP="005C649A">
      <w:r w:rsidRPr="003458B1">
        <w:t xml:space="preserve">In PY7 this program consisted mostly of equipment upgrades and custom at industrial facilities. The evaluation contractor used stratified ratio estimation to estimate savings for the program and stratified random sampling for sample design.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was stratified based on energy savings at the measure level. The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_Ref440267379 \h  \* MERGEFORMAT </w:instrText>
      </w:r>
      <w:r w:rsidRPr="003458B1">
        <w:fldChar w:fldCharType="separate"/>
      </w:r>
      <w:r w:rsidR="00037CB4" w:rsidRPr="003458B1">
        <w:t>Table A-</w:t>
      </w:r>
      <w:r w:rsidR="00037CB4">
        <w:t>96</w:t>
      </w:r>
      <w:r w:rsidRPr="003458B1">
        <w:fldChar w:fldCharType="end"/>
      </w:r>
      <w:r w:rsidRPr="003458B1">
        <w:t>. The data show that West Penn met the SWE Team require</w:t>
      </w:r>
      <w:r>
        <w:t>ments of 85%/15% confidence/</w:t>
      </w:r>
      <w:r w:rsidRPr="003458B1">
        <w:t>precision for energy and peak demand for this program.</w:t>
      </w:r>
    </w:p>
    <w:p w:rsidR="005C649A" w:rsidRPr="003458B1" w:rsidRDefault="005C649A" w:rsidP="005C649A"/>
    <w:p w:rsidR="005C649A" w:rsidRPr="003458B1" w:rsidRDefault="005C649A" w:rsidP="004837FA">
      <w:pPr>
        <w:pStyle w:val="Caption"/>
      </w:pPr>
      <w:bookmarkStart w:id="1057" w:name="_Ref440267379"/>
      <w:bookmarkStart w:id="1058" w:name="_Toc410199443"/>
      <w:bookmarkStart w:id="1059" w:name="_Toc431462363"/>
      <w:bookmarkStart w:id="1060" w:name="_Toc444269888"/>
      <w:bookmarkStart w:id="1061" w:name="_Toc472472505"/>
      <w:bookmarkStart w:id="1062" w:name="_Toc488741924"/>
      <w:r w:rsidRPr="003458B1">
        <w:t>Table A-</w:t>
      </w:r>
      <w:r w:rsidR="007973A4">
        <w:fldChar w:fldCharType="begin"/>
      </w:r>
      <w:r w:rsidR="007973A4">
        <w:instrText xml:space="preserve"> SEQ Table_A- \* ARABIC </w:instrText>
      </w:r>
      <w:r w:rsidR="007973A4">
        <w:fldChar w:fldCharType="separate"/>
      </w:r>
      <w:r w:rsidR="00037CB4">
        <w:rPr>
          <w:noProof/>
        </w:rPr>
        <w:t>96</w:t>
      </w:r>
      <w:r w:rsidR="007973A4">
        <w:rPr>
          <w:noProof/>
        </w:rPr>
        <w:fldChar w:fldCharType="end"/>
      </w:r>
      <w:bookmarkEnd w:id="1057"/>
      <w:r w:rsidRPr="003458B1">
        <w:t>: West Penn’s PY7 Sampling Strategy and Relative Precision – Large C/I Energy Efficient Equipment Program</w:t>
      </w:r>
      <w:bookmarkEnd w:id="1058"/>
      <w:bookmarkEnd w:id="1059"/>
      <w:bookmarkEnd w:id="1060"/>
      <w:bookmarkEnd w:id="1061"/>
      <w:bookmarkEnd w:id="1062"/>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065"/>
        <w:gridCol w:w="1170"/>
        <w:gridCol w:w="1265"/>
        <w:gridCol w:w="1134"/>
        <w:gridCol w:w="1134"/>
        <w:gridCol w:w="1206"/>
        <w:gridCol w:w="1381"/>
      </w:tblGrid>
      <w:tr w:rsidR="00A874AC" w:rsidRPr="00124B6E" w:rsidTr="00124B6E">
        <w:trPr>
          <w:trHeight w:val="1061"/>
          <w:tblHeader/>
        </w:trPr>
        <w:tc>
          <w:tcPr>
            <w:tcW w:w="2065" w:type="dxa"/>
            <w:shd w:val="clear" w:color="auto" w:fill="448A99"/>
            <w:vAlign w:val="bottom"/>
            <w:hideMark/>
          </w:tcPr>
          <w:p w:rsidR="005C649A" w:rsidRPr="00124B6E" w:rsidRDefault="005C649A" w:rsidP="004F0C61">
            <w:pPr>
              <w:rPr>
                <w:rFonts w:eastAsia="Calibri"/>
                <w:b/>
                <w:bCs/>
                <w:color w:val="FFFFFF"/>
                <w:sz w:val="19"/>
                <w:szCs w:val="19"/>
              </w:rPr>
            </w:pPr>
            <w:r w:rsidRPr="00124B6E">
              <w:rPr>
                <w:rFonts w:eastAsia="Calibri"/>
                <w:b/>
                <w:bCs/>
                <w:color w:val="FFFFFF"/>
                <w:sz w:val="19"/>
                <w:szCs w:val="19"/>
              </w:rPr>
              <w:t>Stratum</w:t>
            </w:r>
          </w:p>
        </w:tc>
        <w:tc>
          <w:tcPr>
            <w:tcW w:w="1170"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Population</w:t>
            </w:r>
          </w:p>
        </w:tc>
        <w:tc>
          <w:tcPr>
            <w:tcW w:w="1265"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Target Levels of Confidence &amp; Precision</w:t>
            </w:r>
          </w:p>
        </w:tc>
        <w:tc>
          <w:tcPr>
            <w:tcW w:w="1134"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Target Sample Size</w:t>
            </w:r>
          </w:p>
        </w:tc>
        <w:tc>
          <w:tcPr>
            <w:tcW w:w="1134"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Achieved Sample Size</w:t>
            </w:r>
          </w:p>
        </w:tc>
        <w:tc>
          <w:tcPr>
            <w:tcW w:w="1206"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Relative Precision at 85% C.L. for Energy</w:t>
            </w:r>
          </w:p>
        </w:tc>
        <w:tc>
          <w:tcPr>
            <w:tcW w:w="1381" w:type="dxa"/>
            <w:shd w:val="clear" w:color="auto" w:fill="448A99"/>
            <w:vAlign w:val="bottom"/>
            <w:hideMark/>
          </w:tcPr>
          <w:p w:rsidR="005C649A" w:rsidRPr="00124B6E" w:rsidRDefault="005C649A" w:rsidP="004F0C61">
            <w:pPr>
              <w:jc w:val="center"/>
              <w:rPr>
                <w:rFonts w:eastAsia="Calibri"/>
                <w:b/>
                <w:bCs/>
                <w:color w:val="FFFFFF"/>
                <w:sz w:val="19"/>
                <w:szCs w:val="19"/>
              </w:rPr>
            </w:pPr>
            <w:r w:rsidRPr="00124B6E">
              <w:rPr>
                <w:rFonts w:eastAsia="Calibri"/>
                <w:b/>
                <w:bCs/>
                <w:color w:val="FFFFFF"/>
                <w:sz w:val="19"/>
                <w:szCs w:val="19"/>
              </w:rPr>
              <w:t>Relative Precision at 85% C.L. for Demand</w:t>
            </w:r>
          </w:p>
        </w:tc>
      </w:tr>
      <w:tr w:rsidR="00A874AC" w:rsidRPr="00124B6E" w:rsidTr="00124B6E">
        <w:trPr>
          <w:trHeight w:val="288"/>
        </w:trPr>
        <w:tc>
          <w:tcPr>
            <w:tcW w:w="206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CFL kits – 1</w:t>
            </w:r>
          </w:p>
        </w:tc>
        <w:tc>
          <w:tcPr>
            <w:tcW w:w="1170"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6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N/A</w:t>
            </w:r>
          </w:p>
        </w:tc>
        <w:tc>
          <w:tcPr>
            <w:tcW w:w="11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1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w:t>
            </w:r>
          </w:p>
        </w:tc>
        <w:tc>
          <w:tcPr>
            <w:tcW w:w="1206"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100.0%</w:t>
            </w:r>
          </w:p>
        </w:tc>
        <w:tc>
          <w:tcPr>
            <w:tcW w:w="1381"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100.0%</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rFonts w:eastAsia="Calibri"/>
                <w:bCs/>
                <w:color w:val="000000"/>
                <w:sz w:val="19"/>
                <w:szCs w:val="19"/>
              </w:rPr>
            </w:pPr>
            <w:r w:rsidRPr="00124B6E">
              <w:rPr>
                <w:sz w:val="19"/>
                <w:szCs w:val="19"/>
              </w:rPr>
              <w:t>Lighting – certainty</w:t>
            </w:r>
          </w:p>
        </w:tc>
        <w:tc>
          <w:tcPr>
            <w:tcW w:w="1170"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5</w:t>
            </w:r>
          </w:p>
        </w:tc>
        <w:tc>
          <w:tcPr>
            <w:tcW w:w="126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1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5</w:t>
            </w:r>
          </w:p>
        </w:tc>
        <w:tc>
          <w:tcPr>
            <w:tcW w:w="11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5</w:t>
            </w:r>
          </w:p>
        </w:tc>
        <w:tc>
          <w:tcPr>
            <w:tcW w:w="1206"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381"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r>
      <w:tr w:rsidR="00A874AC" w:rsidRPr="00124B6E" w:rsidTr="00124B6E">
        <w:trPr>
          <w:trHeight w:val="288"/>
        </w:trPr>
        <w:tc>
          <w:tcPr>
            <w:tcW w:w="206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Lighting – 2</w:t>
            </w:r>
          </w:p>
        </w:tc>
        <w:tc>
          <w:tcPr>
            <w:tcW w:w="1170"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6</w:t>
            </w:r>
          </w:p>
        </w:tc>
        <w:tc>
          <w:tcPr>
            <w:tcW w:w="126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65.7%</w:t>
            </w:r>
          </w:p>
        </w:tc>
        <w:tc>
          <w:tcPr>
            <w:tcW w:w="11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w:t>
            </w:r>
          </w:p>
        </w:tc>
        <w:tc>
          <w:tcPr>
            <w:tcW w:w="11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2</w:t>
            </w:r>
          </w:p>
        </w:tc>
        <w:tc>
          <w:tcPr>
            <w:tcW w:w="1206"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41.6%</w:t>
            </w:r>
          </w:p>
        </w:tc>
        <w:tc>
          <w:tcPr>
            <w:tcW w:w="1381"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41.6%</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rFonts w:eastAsia="Calibri"/>
                <w:bCs/>
                <w:color w:val="000000"/>
                <w:sz w:val="19"/>
                <w:szCs w:val="19"/>
              </w:rPr>
            </w:pPr>
            <w:r w:rsidRPr="00124B6E">
              <w:rPr>
                <w:sz w:val="19"/>
                <w:szCs w:val="19"/>
              </w:rPr>
              <w:t>Lighting – 3</w:t>
            </w:r>
          </w:p>
        </w:tc>
        <w:tc>
          <w:tcPr>
            <w:tcW w:w="1170"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8</w:t>
            </w:r>
          </w:p>
        </w:tc>
        <w:tc>
          <w:tcPr>
            <w:tcW w:w="126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67.3%</w:t>
            </w:r>
          </w:p>
        </w:tc>
        <w:tc>
          <w:tcPr>
            <w:tcW w:w="11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1</w:t>
            </w:r>
          </w:p>
        </w:tc>
        <w:tc>
          <w:tcPr>
            <w:tcW w:w="11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1</w:t>
            </w:r>
          </w:p>
        </w:tc>
        <w:tc>
          <w:tcPr>
            <w:tcW w:w="1206"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67.3%</w:t>
            </w:r>
          </w:p>
        </w:tc>
        <w:tc>
          <w:tcPr>
            <w:tcW w:w="1381"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67.3%</w:t>
            </w:r>
          </w:p>
        </w:tc>
      </w:tr>
      <w:tr w:rsidR="00A874AC" w:rsidRPr="00124B6E" w:rsidTr="00124B6E">
        <w:trPr>
          <w:trHeight w:val="288"/>
        </w:trPr>
        <w:tc>
          <w:tcPr>
            <w:tcW w:w="206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Lighting – 4</w:t>
            </w:r>
          </w:p>
        </w:tc>
        <w:tc>
          <w:tcPr>
            <w:tcW w:w="1170"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50</w:t>
            </w:r>
          </w:p>
        </w:tc>
        <w:tc>
          <w:tcPr>
            <w:tcW w:w="126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30.5%</w:t>
            </w:r>
          </w:p>
        </w:tc>
        <w:tc>
          <w:tcPr>
            <w:tcW w:w="11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5</w:t>
            </w:r>
          </w:p>
        </w:tc>
        <w:tc>
          <w:tcPr>
            <w:tcW w:w="11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5</w:t>
            </w:r>
          </w:p>
        </w:tc>
        <w:tc>
          <w:tcPr>
            <w:tcW w:w="1206"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30.5%</w:t>
            </w:r>
          </w:p>
        </w:tc>
        <w:tc>
          <w:tcPr>
            <w:tcW w:w="1381"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30.5%</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rFonts w:eastAsia="Calibri"/>
                <w:bCs/>
                <w:color w:val="000000"/>
                <w:sz w:val="19"/>
                <w:szCs w:val="19"/>
              </w:rPr>
            </w:pPr>
            <w:r w:rsidRPr="00124B6E">
              <w:rPr>
                <w:sz w:val="19"/>
                <w:szCs w:val="19"/>
              </w:rPr>
              <w:t>Custom – certainty</w:t>
            </w:r>
          </w:p>
        </w:tc>
        <w:tc>
          <w:tcPr>
            <w:tcW w:w="1170"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9</w:t>
            </w:r>
          </w:p>
        </w:tc>
        <w:tc>
          <w:tcPr>
            <w:tcW w:w="1265"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1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9</w:t>
            </w:r>
          </w:p>
        </w:tc>
        <w:tc>
          <w:tcPr>
            <w:tcW w:w="1134"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9</w:t>
            </w:r>
          </w:p>
        </w:tc>
        <w:tc>
          <w:tcPr>
            <w:tcW w:w="1206"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381" w:type="dxa"/>
            <w:shd w:val="clear" w:color="auto" w:fill="auto"/>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r>
      <w:tr w:rsidR="00A874AC" w:rsidRPr="00124B6E" w:rsidTr="00124B6E">
        <w:trPr>
          <w:trHeight w:val="288"/>
        </w:trPr>
        <w:tc>
          <w:tcPr>
            <w:tcW w:w="2065" w:type="dxa"/>
            <w:shd w:val="clear" w:color="auto" w:fill="D2EAF1"/>
            <w:noWrap/>
            <w:vAlign w:val="center"/>
          </w:tcPr>
          <w:p w:rsidR="005C649A" w:rsidRPr="00124B6E" w:rsidRDefault="005C649A" w:rsidP="004F0C61">
            <w:pPr>
              <w:rPr>
                <w:rFonts w:eastAsia="Calibri"/>
                <w:bCs/>
                <w:color w:val="000000"/>
                <w:sz w:val="19"/>
                <w:szCs w:val="19"/>
              </w:rPr>
            </w:pPr>
            <w:r w:rsidRPr="00124B6E">
              <w:rPr>
                <w:sz w:val="19"/>
                <w:szCs w:val="19"/>
              </w:rPr>
              <w:t>Custom – 2</w:t>
            </w:r>
          </w:p>
        </w:tc>
        <w:tc>
          <w:tcPr>
            <w:tcW w:w="1170"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w:t>
            </w:r>
          </w:p>
        </w:tc>
        <w:tc>
          <w:tcPr>
            <w:tcW w:w="1265"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1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w:t>
            </w:r>
          </w:p>
        </w:tc>
        <w:tc>
          <w:tcPr>
            <w:tcW w:w="1134"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1</w:t>
            </w:r>
          </w:p>
        </w:tc>
        <w:tc>
          <w:tcPr>
            <w:tcW w:w="1206"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c>
          <w:tcPr>
            <w:tcW w:w="1381" w:type="dxa"/>
            <w:shd w:val="clear" w:color="auto" w:fill="D2EAF1"/>
            <w:noWrap/>
            <w:vAlign w:val="center"/>
          </w:tcPr>
          <w:p w:rsidR="005C649A" w:rsidRPr="00124B6E" w:rsidRDefault="005C649A" w:rsidP="004F0C61">
            <w:pPr>
              <w:jc w:val="center"/>
              <w:rPr>
                <w:rFonts w:eastAsia="Calibri"/>
                <w:color w:val="000000"/>
                <w:sz w:val="19"/>
                <w:szCs w:val="19"/>
              </w:rPr>
            </w:pPr>
            <w:r w:rsidRPr="00124B6E">
              <w:rPr>
                <w:sz w:val="19"/>
                <w:szCs w:val="19"/>
              </w:rPr>
              <w:t>0.0%</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rFonts w:eastAsia="Calibri"/>
                <w:bCs/>
                <w:color w:val="000000"/>
                <w:sz w:val="19"/>
                <w:szCs w:val="19"/>
              </w:rPr>
            </w:pPr>
            <w:r w:rsidRPr="00124B6E">
              <w:rPr>
                <w:sz w:val="19"/>
                <w:szCs w:val="19"/>
              </w:rPr>
              <w:t>Custom – 3</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16</w:t>
            </w:r>
          </w:p>
        </w:tc>
        <w:tc>
          <w:tcPr>
            <w:tcW w:w="126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31.2%</w:t>
            </w:r>
          </w:p>
        </w:tc>
        <w:tc>
          <w:tcPr>
            <w:tcW w:w="11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4</w:t>
            </w:r>
          </w:p>
        </w:tc>
        <w:tc>
          <w:tcPr>
            <w:tcW w:w="11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4</w:t>
            </w:r>
          </w:p>
        </w:tc>
        <w:tc>
          <w:tcPr>
            <w:tcW w:w="1206"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31.2%</w:t>
            </w:r>
          </w:p>
        </w:tc>
        <w:tc>
          <w:tcPr>
            <w:tcW w:w="1381"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31.2%</w:t>
            </w:r>
          </w:p>
        </w:tc>
      </w:tr>
      <w:tr w:rsidR="00A874AC" w:rsidRPr="00124B6E" w:rsidTr="00124B6E">
        <w:trPr>
          <w:trHeight w:val="288"/>
        </w:trPr>
        <w:tc>
          <w:tcPr>
            <w:tcW w:w="2065" w:type="dxa"/>
            <w:shd w:val="clear" w:color="auto" w:fill="D2EAF1"/>
            <w:noWrap/>
            <w:vAlign w:val="center"/>
          </w:tcPr>
          <w:p w:rsidR="005C649A" w:rsidRPr="00124B6E" w:rsidRDefault="005C649A" w:rsidP="004F0C61">
            <w:pPr>
              <w:rPr>
                <w:rFonts w:eastAsia="Calibri"/>
                <w:sz w:val="19"/>
                <w:szCs w:val="19"/>
              </w:rPr>
            </w:pPr>
            <w:r w:rsidRPr="00124B6E">
              <w:rPr>
                <w:sz w:val="19"/>
                <w:szCs w:val="19"/>
              </w:rPr>
              <w:t>HVAC and DHW – 1</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6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1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06"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81"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rFonts w:eastAsia="Calibri"/>
                <w:sz w:val="19"/>
                <w:szCs w:val="19"/>
              </w:rPr>
            </w:pPr>
            <w:r w:rsidRPr="00124B6E">
              <w:rPr>
                <w:sz w:val="19"/>
                <w:szCs w:val="19"/>
              </w:rPr>
              <w:t>HVAC and DHW – 2</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6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1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06"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81"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A874AC" w:rsidRPr="00124B6E" w:rsidTr="00124B6E">
        <w:trPr>
          <w:trHeight w:val="288"/>
        </w:trPr>
        <w:tc>
          <w:tcPr>
            <w:tcW w:w="2065" w:type="dxa"/>
            <w:shd w:val="clear" w:color="auto" w:fill="D2EAF1"/>
            <w:noWrap/>
            <w:vAlign w:val="center"/>
          </w:tcPr>
          <w:p w:rsidR="005C649A" w:rsidRPr="00124B6E" w:rsidRDefault="005C649A" w:rsidP="004F0C61">
            <w:pPr>
              <w:rPr>
                <w:rFonts w:eastAsia="Calibri"/>
                <w:sz w:val="19"/>
                <w:szCs w:val="19"/>
              </w:rPr>
            </w:pPr>
            <w:r w:rsidRPr="00124B6E">
              <w:rPr>
                <w:sz w:val="19"/>
                <w:szCs w:val="19"/>
              </w:rPr>
              <w:t>Appliance Turn-In – 1</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6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1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06"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81"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rFonts w:eastAsia="Calibri"/>
                <w:sz w:val="19"/>
                <w:szCs w:val="19"/>
              </w:rPr>
            </w:pPr>
            <w:r w:rsidRPr="00124B6E">
              <w:rPr>
                <w:sz w:val="19"/>
                <w:szCs w:val="19"/>
              </w:rPr>
              <w:t>Kitchen/appliances –  1</w:t>
            </w:r>
          </w:p>
        </w:tc>
        <w:tc>
          <w:tcPr>
            <w:tcW w:w="1170"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65"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N/A</w:t>
            </w:r>
          </w:p>
        </w:tc>
        <w:tc>
          <w:tcPr>
            <w:tcW w:w="11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134"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w:t>
            </w:r>
          </w:p>
        </w:tc>
        <w:tc>
          <w:tcPr>
            <w:tcW w:w="1206"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c>
          <w:tcPr>
            <w:tcW w:w="1381" w:type="dxa"/>
            <w:shd w:val="clear" w:color="auto" w:fill="auto"/>
            <w:noWrap/>
            <w:vAlign w:val="center"/>
          </w:tcPr>
          <w:p w:rsidR="005C649A" w:rsidRPr="00124B6E" w:rsidRDefault="005C649A" w:rsidP="004F0C61">
            <w:pPr>
              <w:jc w:val="center"/>
              <w:rPr>
                <w:rFonts w:eastAsia="Calibri"/>
                <w:b/>
                <w:bCs/>
                <w:color w:val="000000"/>
                <w:sz w:val="19"/>
                <w:szCs w:val="19"/>
              </w:rPr>
            </w:pPr>
            <w:r w:rsidRPr="00124B6E">
              <w:rPr>
                <w:sz w:val="19"/>
                <w:szCs w:val="19"/>
              </w:rPr>
              <w:t>0.0%</w:t>
            </w:r>
          </w:p>
        </w:tc>
      </w:tr>
      <w:tr w:rsidR="00A874AC" w:rsidRPr="00124B6E" w:rsidTr="00124B6E">
        <w:trPr>
          <w:trHeight w:val="288"/>
        </w:trPr>
        <w:tc>
          <w:tcPr>
            <w:tcW w:w="2065" w:type="dxa"/>
            <w:shd w:val="clear" w:color="auto" w:fill="D2EAF1"/>
            <w:noWrap/>
            <w:vAlign w:val="center"/>
          </w:tcPr>
          <w:p w:rsidR="005C649A" w:rsidRPr="00124B6E" w:rsidRDefault="005C649A" w:rsidP="004F0C61">
            <w:pPr>
              <w:rPr>
                <w:rFonts w:eastAsia="Calibri"/>
                <w:b/>
                <w:sz w:val="19"/>
                <w:szCs w:val="19"/>
              </w:rPr>
            </w:pPr>
            <w:r w:rsidRPr="00124B6E">
              <w:rPr>
                <w:rFonts w:eastAsia="Calibri"/>
                <w:b/>
                <w:sz w:val="19"/>
                <w:szCs w:val="19"/>
              </w:rPr>
              <w:t>Program Total</w:t>
            </w:r>
          </w:p>
        </w:tc>
        <w:tc>
          <w:tcPr>
            <w:tcW w:w="1170"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95</w:t>
            </w:r>
          </w:p>
        </w:tc>
        <w:tc>
          <w:tcPr>
            <w:tcW w:w="1265"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10.1%</w:t>
            </w:r>
          </w:p>
        </w:tc>
        <w:tc>
          <w:tcPr>
            <w:tcW w:w="11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26</w:t>
            </w:r>
          </w:p>
        </w:tc>
        <w:tc>
          <w:tcPr>
            <w:tcW w:w="1134"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27</w:t>
            </w:r>
          </w:p>
        </w:tc>
        <w:tc>
          <w:tcPr>
            <w:tcW w:w="1206"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8.1%</w:t>
            </w:r>
          </w:p>
        </w:tc>
        <w:tc>
          <w:tcPr>
            <w:tcW w:w="1381" w:type="dxa"/>
            <w:shd w:val="clear" w:color="auto" w:fill="D2EAF1"/>
            <w:noWrap/>
            <w:vAlign w:val="center"/>
          </w:tcPr>
          <w:p w:rsidR="005C649A" w:rsidRPr="00124B6E" w:rsidRDefault="005C649A" w:rsidP="004F0C61">
            <w:pPr>
              <w:jc w:val="center"/>
              <w:rPr>
                <w:rFonts w:eastAsia="Calibri"/>
                <w:b/>
                <w:bCs/>
                <w:color w:val="000000"/>
                <w:sz w:val="19"/>
                <w:szCs w:val="19"/>
              </w:rPr>
            </w:pPr>
            <w:r w:rsidRPr="00124B6E">
              <w:rPr>
                <w:b/>
                <w:sz w:val="19"/>
                <w:szCs w:val="19"/>
              </w:rPr>
              <w:t>9.5%</w:t>
            </w:r>
          </w:p>
        </w:tc>
      </w:tr>
    </w:tbl>
    <w:p w:rsidR="005C649A" w:rsidRPr="003458B1" w:rsidRDefault="005C649A" w:rsidP="005C649A"/>
    <w:p w:rsidR="005C649A" w:rsidRPr="003458B1" w:rsidRDefault="005C649A" w:rsidP="008C7396">
      <w:pPr>
        <w:pStyle w:val="AppendixAHeading5"/>
      </w:pPr>
      <w:r w:rsidRPr="003458B1">
        <w:t>C/I Large Energy Efficient Buildings Program</w:t>
      </w:r>
    </w:p>
    <w:p w:rsidR="005C649A" w:rsidRPr="003458B1" w:rsidRDefault="005C649A" w:rsidP="005C649A">
      <w:r w:rsidRPr="003458B1">
        <w:t>This was a new program in Phase II. The program includes two components: energy conservation kits delivered by mail to</w:t>
      </w:r>
      <w:r>
        <w:t xml:space="preserve"> non-residential customers and whole-building</w:t>
      </w:r>
      <w:r w:rsidRPr="003458B1">
        <w:t xml:space="preserve"> projects such as new construction, retro-commissioning, and building envelope improvements. Sampling and project-level gross impact evaluation methodologies for efficient equipment and building upgrade measures are identical to the</w:t>
      </w:r>
      <w:r w:rsidR="006722FB">
        <w:t xml:space="preserve"> methodology described for the </w:t>
      </w:r>
      <w:r w:rsidRPr="003458B1">
        <w:t xml:space="preserve">Small </w:t>
      </w:r>
      <w:r w:rsidR="006722FB">
        <w:t xml:space="preserve">C/I </w:t>
      </w:r>
      <w:r>
        <w:t xml:space="preserve">Energy </w:t>
      </w:r>
      <w:r w:rsidRPr="003458B1">
        <w:t xml:space="preserve">Efficient Equipment Program above. The sample design strategy and the achieved precision values for energy and demand are shown in </w:t>
      </w:r>
      <w:r w:rsidRPr="003458B1">
        <w:fldChar w:fldCharType="begin"/>
      </w:r>
      <w:r w:rsidRPr="003458B1">
        <w:instrText xml:space="preserve"> REF _Ref440033578 \h  \* MERGEFORMAT </w:instrText>
      </w:r>
      <w:r w:rsidRPr="003458B1">
        <w:fldChar w:fldCharType="separate"/>
      </w:r>
      <w:r w:rsidR="00037CB4" w:rsidRPr="00B81A2F">
        <w:rPr>
          <w:bCs/>
        </w:rPr>
        <w:t>Table A-97</w:t>
      </w:r>
      <w:r w:rsidRPr="003458B1">
        <w:fldChar w:fldCharType="end"/>
      </w:r>
      <w:r w:rsidRPr="003458B1">
        <w:t>. The precision levels for energy and for demand met the SWE Team requirements.</w:t>
      </w:r>
    </w:p>
    <w:p w:rsidR="005C649A" w:rsidRPr="003458B1" w:rsidRDefault="005C649A" w:rsidP="005C649A"/>
    <w:p w:rsidR="005C649A" w:rsidRPr="003458B1" w:rsidRDefault="005C649A" w:rsidP="005C649A">
      <w:pPr>
        <w:spacing w:after="120"/>
        <w:jc w:val="center"/>
        <w:rPr>
          <w:rFonts w:ascii="Century Gothic" w:hAnsi="Century Gothic"/>
          <w:b/>
          <w:bCs/>
          <w:sz w:val="18"/>
          <w:szCs w:val="18"/>
        </w:rPr>
      </w:pPr>
      <w:bookmarkStart w:id="1063" w:name="_Ref440033578"/>
      <w:bookmarkStart w:id="1064" w:name="_Toc444269889"/>
      <w:bookmarkStart w:id="1065" w:name="_Toc472472506"/>
      <w:bookmarkStart w:id="1066" w:name="_Toc488741925"/>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037CB4">
        <w:rPr>
          <w:rFonts w:ascii="Century Gothic" w:hAnsi="Century Gothic"/>
          <w:b/>
          <w:bCs/>
          <w:noProof/>
          <w:sz w:val="18"/>
          <w:szCs w:val="18"/>
        </w:rPr>
        <w:t>97</w:t>
      </w:r>
      <w:r w:rsidRPr="003458B1">
        <w:rPr>
          <w:rFonts w:ascii="Century Gothic" w:hAnsi="Century Gothic"/>
          <w:b/>
          <w:bCs/>
          <w:sz w:val="18"/>
          <w:szCs w:val="18"/>
        </w:rPr>
        <w:fldChar w:fldCharType="end"/>
      </w:r>
      <w:bookmarkEnd w:id="1063"/>
      <w:r w:rsidRPr="003458B1">
        <w:rPr>
          <w:rFonts w:ascii="Century Gothic" w:hAnsi="Century Gothic"/>
          <w:b/>
          <w:bCs/>
          <w:sz w:val="18"/>
          <w:szCs w:val="18"/>
        </w:rPr>
        <w:t>: West Penn PY7 Sampling Strategy and Relative Precision – Large C/I Energy Efficient Buildings Program</w:t>
      </w:r>
      <w:bookmarkEnd w:id="1064"/>
      <w:bookmarkEnd w:id="1065"/>
      <w:bookmarkEnd w:id="1066"/>
    </w:p>
    <w:tbl>
      <w:tblPr>
        <w:tblW w:w="9359"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2070"/>
        <w:gridCol w:w="1170"/>
        <w:gridCol w:w="1260"/>
        <w:gridCol w:w="1075"/>
        <w:gridCol w:w="1261"/>
        <w:gridCol w:w="1261"/>
        <w:gridCol w:w="1262"/>
      </w:tblGrid>
      <w:tr w:rsidR="00A874AC" w:rsidRPr="00124B6E" w:rsidTr="00124B6E">
        <w:trPr>
          <w:trHeight w:val="864"/>
          <w:tblHeader/>
        </w:trPr>
        <w:tc>
          <w:tcPr>
            <w:tcW w:w="2070" w:type="dxa"/>
            <w:shd w:val="clear" w:color="000000" w:fill="448A99"/>
            <w:vAlign w:val="bottom"/>
            <w:hideMark/>
          </w:tcPr>
          <w:p w:rsidR="005C649A" w:rsidRPr="00124B6E" w:rsidRDefault="005C649A" w:rsidP="004F0C61">
            <w:pPr>
              <w:rPr>
                <w:b/>
                <w:bCs/>
                <w:color w:val="FFFFFF"/>
                <w:sz w:val="19"/>
                <w:szCs w:val="19"/>
              </w:rPr>
            </w:pPr>
            <w:r w:rsidRPr="00124B6E">
              <w:rPr>
                <w:b/>
                <w:bCs/>
                <w:color w:val="FFFFFF"/>
                <w:sz w:val="19"/>
                <w:szCs w:val="19"/>
              </w:rPr>
              <w:t>Stratum</w:t>
            </w:r>
          </w:p>
        </w:tc>
        <w:tc>
          <w:tcPr>
            <w:tcW w:w="1170"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Population</w:t>
            </w:r>
          </w:p>
        </w:tc>
        <w:tc>
          <w:tcPr>
            <w:tcW w:w="1260"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Target Levels of Confidence &amp; Precision</w:t>
            </w:r>
          </w:p>
        </w:tc>
        <w:tc>
          <w:tcPr>
            <w:tcW w:w="1075"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Target Sample Size</w:t>
            </w:r>
          </w:p>
        </w:tc>
        <w:tc>
          <w:tcPr>
            <w:tcW w:w="1261"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Achieved Sample Size</w:t>
            </w:r>
          </w:p>
        </w:tc>
        <w:tc>
          <w:tcPr>
            <w:tcW w:w="1261"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Relative Precision at 85% C.L. for Energy</w:t>
            </w:r>
          </w:p>
        </w:tc>
        <w:tc>
          <w:tcPr>
            <w:tcW w:w="1262"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Relative Precision at 85% C.L. for Demand</w:t>
            </w:r>
          </w:p>
        </w:tc>
      </w:tr>
      <w:tr w:rsidR="00A874AC" w:rsidRPr="00124B6E" w:rsidTr="00124B6E">
        <w:trPr>
          <w:trHeight w:val="288"/>
        </w:trPr>
        <w:tc>
          <w:tcPr>
            <w:tcW w:w="2070" w:type="dxa"/>
            <w:shd w:val="clear" w:color="000000" w:fill="D2EAF1"/>
            <w:noWrap/>
            <w:vAlign w:val="center"/>
          </w:tcPr>
          <w:p w:rsidR="005C649A" w:rsidRPr="00124B6E" w:rsidRDefault="005C649A" w:rsidP="004F0C61">
            <w:pPr>
              <w:rPr>
                <w:bCs/>
                <w:color w:val="000000"/>
                <w:sz w:val="19"/>
                <w:szCs w:val="19"/>
              </w:rPr>
            </w:pPr>
            <w:r w:rsidRPr="00124B6E">
              <w:rPr>
                <w:sz w:val="19"/>
                <w:szCs w:val="19"/>
              </w:rPr>
              <w:t>CFL kits – 1</w:t>
            </w:r>
          </w:p>
        </w:tc>
        <w:tc>
          <w:tcPr>
            <w:tcW w:w="117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1</w:t>
            </w:r>
          </w:p>
        </w:tc>
        <w:tc>
          <w:tcPr>
            <w:tcW w:w="126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N/A</w:t>
            </w:r>
          </w:p>
        </w:tc>
        <w:tc>
          <w:tcPr>
            <w:tcW w:w="1075"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100.0%</w:t>
            </w:r>
          </w:p>
        </w:tc>
        <w:tc>
          <w:tcPr>
            <w:tcW w:w="1262"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100.0%</w:t>
            </w:r>
          </w:p>
        </w:tc>
      </w:tr>
      <w:tr w:rsidR="00E7173E" w:rsidRPr="00124B6E" w:rsidTr="00124B6E">
        <w:trPr>
          <w:trHeight w:val="288"/>
        </w:trPr>
        <w:tc>
          <w:tcPr>
            <w:tcW w:w="2070" w:type="dxa"/>
            <w:shd w:val="clear" w:color="auto" w:fill="auto"/>
            <w:noWrap/>
            <w:vAlign w:val="center"/>
          </w:tcPr>
          <w:p w:rsidR="005C649A" w:rsidRPr="00124B6E" w:rsidRDefault="005C649A" w:rsidP="004F0C61">
            <w:pPr>
              <w:rPr>
                <w:bCs/>
                <w:color w:val="000000"/>
                <w:sz w:val="19"/>
                <w:szCs w:val="19"/>
              </w:rPr>
            </w:pPr>
            <w:r w:rsidRPr="00124B6E">
              <w:rPr>
                <w:sz w:val="19"/>
                <w:szCs w:val="19"/>
              </w:rPr>
              <w:t>Lighting – certainty</w:t>
            </w:r>
          </w:p>
        </w:tc>
        <w:tc>
          <w:tcPr>
            <w:tcW w:w="117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w:t>
            </w:r>
          </w:p>
        </w:tc>
        <w:tc>
          <w:tcPr>
            <w:tcW w:w="126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N/A</w:t>
            </w:r>
          </w:p>
        </w:tc>
        <w:tc>
          <w:tcPr>
            <w:tcW w:w="1075"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0.0%</w:t>
            </w:r>
          </w:p>
        </w:tc>
        <w:tc>
          <w:tcPr>
            <w:tcW w:w="1262"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0.0%</w:t>
            </w:r>
          </w:p>
        </w:tc>
      </w:tr>
      <w:tr w:rsidR="00A874AC" w:rsidRPr="00124B6E" w:rsidTr="00124B6E">
        <w:trPr>
          <w:trHeight w:val="288"/>
        </w:trPr>
        <w:tc>
          <w:tcPr>
            <w:tcW w:w="2070" w:type="dxa"/>
            <w:shd w:val="clear" w:color="000000" w:fill="D2EAF1"/>
            <w:noWrap/>
            <w:vAlign w:val="center"/>
          </w:tcPr>
          <w:p w:rsidR="005C649A" w:rsidRPr="00124B6E" w:rsidRDefault="005C649A" w:rsidP="004F0C61">
            <w:pPr>
              <w:rPr>
                <w:bCs/>
                <w:color w:val="000000"/>
                <w:sz w:val="19"/>
                <w:szCs w:val="19"/>
              </w:rPr>
            </w:pPr>
            <w:r w:rsidRPr="00124B6E">
              <w:rPr>
                <w:sz w:val="19"/>
                <w:szCs w:val="19"/>
              </w:rPr>
              <w:t>Lighting – 2</w:t>
            </w:r>
          </w:p>
        </w:tc>
        <w:tc>
          <w:tcPr>
            <w:tcW w:w="117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26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N/A</w:t>
            </w:r>
          </w:p>
        </w:tc>
        <w:tc>
          <w:tcPr>
            <w:tcW w:w="1075"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0.0%</w:t>
            </w:r>
          </w:p>
        </w:tc>
        <w:tc>
          <w:tcPr>
            <w:tcW w:w="1262"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0.0%</w:t>
            </w:r>
          </w:p>
        </w:tc>
      </w:tr>
      <w:tr w:rsidR="00E7173E" w:rsidRPr="00124B6E" w:rsidTr="00124B6E">
        <w:trPr>
          <w:trHeight w:val="288"/>
        </w:trPr>
        <w:tc>
          <w:tcPr>
            <w:tcW w:w="2070" w:type="dxa"/>
            <w:shd w:val="clear" w:color="auto" w:fill="auto"/>
            <w:noWrap/>
            <w:vAlign w:val="center"/>
          </w:tcPr>
          <w:p w:rsidR="005C649A" w:rsidRPr="00124B6E" w:rsidRDefault="005C649A" w:rsidP="004F0C61">
            <w:pPr>
              <w:rPr>
                <w:bCs/>
                <w:color w:val="000000"/>
                <w:sz w:val="19"/>
                <w:szCs w:val="19"/>
              </w:rPr>
            </w:pPr>
            <w:r w:rsidRPr="00124B6E">
              <w:rPr>
                <w:sz w:val="19"/>
                <w:szCs w:val="19"/>
              </w:rPr>
              <w:t>Lighting – 3</w:t>
            </w:r>
          </w:p>
        </w:tc>
        <w:tc>
          <w:tcPr>
            <w:tcW w:w="117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w:t>
            </w:r>
          </w:p>
        </w:tc>
        <w:tc>
          <w:tcPr>
            <w:tcW w:w="126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N/A</w:t>
            </w:r>
          </w:p>
        </w:tc>
        <w:tc>
          <w:tcPr>
            <w:tcW w:w="1075"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0.0%</w:t>
            </w:r>
          </w:p>
        </w:tc>
        <w:tc>
          <w:tcPr>
            <w:tcW w:w="1262"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0.0%</w:t>
            </w:r>
          </w:p>
        </w:tc>
      </w:tr>
      <w:tr w:rsidR="00A874AC" w:rsidRPr="00124B6E" w:rsidTr="00124B6E">
        <w:trPr>
          <w:trHeight w:val="288"/>
        </w:trPr>
        <w:tc>
          <w:tcPr>
            <w:tcW w:w="2070" w:type="dxa"/>
            <w:shd w:val="clear" w:color="000000" w:fill="D2EAF1"/>
            <w:noWrap/>
            <w:vAlign w:val="center"/>
          </w:tcPr>
          <w:p w:rsidR="005C649A" w:rsidRPr="00124B6E" w:rsidRDefault="005C649A" w:rsidP="004F0C61">
            <w:pPr>
              <w:rPr>
                <w:bCs/>
                <w:color w:val="000000"/>
                <w:sz w:val="19"/>
                <w:szCs w:val="19"/>
              </w:rPr>
            </w:pPr>
            <w:r w:rsidRPr="00124B6E">
              <w:rPr>
                <w:sz w:val="19"/>
                <w:szCs w:val="19"/>
              </w:rPr>
              <w:t>Lighting – 4</w:t>
            </w:r>
          </w:p>
        </w:tc>
        <w:tc>
          <w:tcPr>
            <w:tcW w:w="117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26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N/A</w:t>
            </w:r>
          </w:p>
        </w:tc>
        <w:tc>
          <w:tcPr>
            <w:tcW w:w="1075"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0.0%</w:t>
            </w:r>
          </w:p>
        </w:tc>
        <w:tc>
          <w:tcPr>
            <w:tcW w:w="1262"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0.0%</w:t>
            </w:r>
          </w:p>
        </w:tc>
      </w:tr>
      <w:tr w:rsidR="00E7173E" w:rsidRPr="00124B6E" w:rsidTr="00124B6E">
        <w:trPr>
          <w:trHeight w:val="288"/>
        </w:trPr>
        <w:tc>
          <w:tcPr>
            <w:tcW w:w="2070" w:type="dxa"/>
            <w:shd w:val="clear" w:color="auto" w:fill="auto"/>
            <w:noWrap/>
            <w:vAlign w:val="center"/>
          </w:tcPr>
          <w:p w:rsidR="005C649A" w:rsidRPr="00124B6E" w:rsidRDefault="005C649A" w:rsidP="004F0C61">
            <w:pPr>
              <w:rPr>
                <w:bCs/>
                <w:color w:val="000000"/>
                <w:sz w:val="19"/>
                <w:szCs w:val="19"/>
              </w:rPr>
            </w:pPr>
            <w:r w:rsidRPr="00124B6E">
              <w:rPr>
                <w:sz w:val="19"/>
                <w:szCs w:val="19"/>
              </w:rPr>
              <w:t>Custom – certainty</w:t>
            </w:r>
          </w:p>
        </w:tc>
        <w:tc>
          <w:tcPr>
            <w:tcW w:w="117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2</w:t>
            </w:r>
          </w:p>
        </w:tc>
        <w:tc>
          <w:tcPr>
            <w:tcW w:w="126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0.0%</w:t>
            </w:r>
          </w:p>
        </w:tc>
        <w:tc>
          <w:tcPr>
            <w:tcW w:w="1075"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2</w:t>
            </w:r>
          </w:p>
        </w:tc>
        <w:tc>
          <w:tcPr>
            <w:tcW w:w="1261"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2</w:t>
            </w:r>
          </w:p>
        </w:tc>
        <w:tc>
          <w:tcPr>
            <w:tcW w:w="1261"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0.0%</w:t>
            </w:r>
          </w:p>
        </w:tc>
        <w:tc>
          <w:tcPr>
            <w:tcW w:w="1262"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0.0%</w:t>
            </w:r>
          </w:p>
        </w:tc>
      </w:tr>
      <w:tr w:rsidR="00A874AC" w:rsidRPr="00124B6E" w:rsidTr="00124B6E">
        <w:trPr>
          <w:trHeight w:val="288"/>
        </w:trPr>
        <w:tc>
          <w:tcPr>
            <w:tcW w:w="2070" w:type="dxa"/>
            <w:shd w:val="clear" w:color="000000" w:fill="D2EAF1"/>
            <w:noWrap/>
            <w:vAlign w:val="center"/>
          </w:tcPr>
          <w:p w:rsidR="005C649A" w:rsidRPr="00124B6E" w:rsidRDefault="005C649A" w:rsidP="004F0C61">
            <w:pPr>
              <w:rPr>
                <w:bCs/>
                <w:color w:val="000000"/>
                <w:sz w:val="19"/>
                <w:szCs w:val="19"/>
              </w:rPr>
            </w:pPr>
            <w:r w:rsidRPr="00124B6E">
              <w:rPr>
                <w:sz w:val="19"/>
                <w:szCs w:val="19"/>
              </w:rPr>
              <w:t>Custom – 2</w:t>
            </w:r>
          </w:p>
        </w:tc>
        <w:tc>
          <w:tcPr>
            <w:tcW w:w="117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2</w:t>
            </w:r>
          </w:p>
        </w:tc>
        <w:tc>
          <w:tcPr>
            <w:tcW w:w="126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0.0%</w:t>
            </w:r>
          </w:p>
        </w:tc>
        <w:tc>
          <w:tcPr>
            <w:tcW w:w="1075"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2</w:t>
            </w:r>
          </w:p>
        </w:tc>
        <w:tc>
          <w:tcPr>
            <w:tcW w:w="1261"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2</w:t>
            </w:r>
          </w:p>
        </w:tc>
        <w:tc>
          <w:tcPr>
            <w:tcW w:w="1261"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0.0%</w:t>
            </w:r>
          </w:p>
        </w:tc>
        <w:tc>
          <w:tcPr>
            <w:tcW w:w="1262"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0.0%</w:t>
            </w:r>
          </w:p>
        </w:tc>
      </w:tr>
      <w:tr w:rsidR="00E7173E" w:rsidRPr="00124B6E" w:rsidTr="00124B6E">
        <w:trPr>
          <w:trHeight w:val="288"/>
        </w:trPr>
        <w:tc>
          <w:tcPr>
            <w:tcW w:w="2070" w:type="dxa"/>
            <w:shd w:val="clear" w:color="auto" w:fill="auto"/>
            <w:noWrap/>
            <w:vAlign w:val="center"/>
          </w:tcPr>
          <w:p w:rsidR="005C649A" w:rsidRPr="00124B6E" w:rsidRDefault="005C649A" w:rsidP="004F0C61">
            <w:pPr>
              <w:rPr>
                <w:bCs/>
                <w:color w:val="000000"/>
                <w:sz w:val="19"/>
                <w:szCs w:val="19"/>
              </w:rPr>
            </w:pPr>
            <w:r w:rsidRPr="00124B6E">
              <w:rPr>
                <w:sz w:val="19"/>
                <w:szCs w:val="19"/>
              </w:rPr>
              <w:t>Custom – 3</w:t>
            </w:r>
          </w:p>
        </w:tc>
        <w:tc>
          <w:tcPr>
            <w:tcW w:w="117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11</w:t>
            </w:r>
          </w:p>
        </w:tc>
        <w:tc>
          <w:tcPr>
            <w:tcW w:w="126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28.7%</w:t>
            </w:r>
          </w:p>
        </w:tc>
        <w:tc>
          <w:tcPr>
            <w:tcW w:w="1075"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4</w:t>
            </w:r>
          </w:p>
        </w:tc>
        <w:tc>
          <w:tcPr>
            <w:tcW w:w="1261"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4</w:t>
            </w:r>
          </w:p>
        </w:tc>
        <w:tc>
          <w:tcPr>
            <w:tcW w:w="1261"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28.7%</w:t>
            </w:r>
          </w:p>
        </w:tc>
        <w:tc>
          <w:tcPr>
            <w:tcW w:w="1262"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28.7%</w:t>
            </w:r>
          </w:p>
        </w:tc>
      </w:tr>
      <w:tr w:rsidR="00A874AC" w:rsidRPr="00124B6E" w:rsidTr="00124B6E">
        <w:trPr>
          <w:trHeight w:val="288"/>
        </w:trPr>
        <w:tc>
          <w:tcPr>
            <w:tcW w:w="2070" w:type="dxa"/>
            <w:shd w:val="clear" w:color="000000" w:fill="D2EAF1"/>
            <w:noWrap/>
            <w:vAlign w:val="center"/>
          </w:tcPr>
          <w:p w:rsidR="005C649A" w:rsidRPr="00124B6E" w:rsidRDefault="005C649A" w:rsidP="004F0C61">
            <w:pPr>
              <w:rPr>
                <w:b/>
                <w:bCs/>
                <w:iCs/>
                <w:color w:val="000000"/>
                <w:sz w:val="19"/>
                <w:szCs w:val="19"/>
              </w:rPr>
            </w:pPr>
            <w:r w:rsidRPr="00124B6E">
              <w:rPr>
                <w:sz w:val="19"/>
                <w:szCs w:val="19"/>
              </w:rPr>
              <w:t>HVAC and DHW – 1</w:t>
            </w:r>
          </w:p>
        </w:tc>
        <w:tc>
          <w:tcPr>
            <w:tcW w:w="117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N/A</w:t>
            </w:r>
          </w:p>
        </w:tc>
        <w:tc>
          <w:tcPr>
            <w:tcW w:w="1075"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262"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r>
      <w:tr w:rsidR="00E7173E" w:rsidRPr="00124B6E" w:rsidTr="00124B6E">
        <w:trPr>
          <w:trHeight w:val="288"/>
        </w:trPr>
        <w:tc>
          <w:tcPr>
            <w:tcW w:w="2070" w:type="dxa"/>
            <w:shd w:val="clear" w:color="auto" w:fill="auto"/>
            <w:noWrap/>
            <w:vAlign w:val="center"/>
          </w:tcPr>
          <w:p w:rsidR="005C649A" w:rsidRPr="00124B6E" w:rsidRDefault="005C649A" w:rsidP="004F0C61">
            <w:pPr>
              <w:rPr>
                <w:b/>
                <w:bCs/>
                <w:iCs/>
                <w:color w:val="000000"/>
                <w:sz w:val="19"/>
                <w:szCs w:val="19"/>
              </w:rPr>
            </w:pPr>
            <w:r w:rsidRPr="00124B6E">
              <w:rPr>
                <w:sz w:val="19"/>
                <w:szCs w:val="19"/>
              </w:rPr>
              <w:t>HVAC and DHW – 2</w:t>
            </w:r>
          </w:p>
        </w:tc>
        <w:tc>
          <w:tcPr>
            <w:tcW w:w="117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N/A</w:t>
            </w:r>
          </w:p>
        </w:tc>
        <w:tc>
          <w:tcPr>
            <w:tcW w:w="1075"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1"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1"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262"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r>
      <w:tr w:rsidR="00A874AC" w:rsidRPr="00124B6E" w:rsidTr="00124B6E">
        <w:trPr>
          <w:trHeight w:val="288"/>
        </w:trPr>
        <w:tc>
          <w:tcPr>
            <w:tcW w:w="2070" w:type="dxa"/>
            <w:shd w:val="clear" w:color="000000" w:fill="D2EAF1"/>
            <w:noWrap/>
            <w:vAlign w:val="center"/>
          </w:tcPr>
          <w:p w:rsidR="005C649A" w:rsidRPr="00124B6E" w:rsidRDefault="005C649A" w:rsidP="004F0C61">
            <w:pPr>
              <w:rPr>
                <w:b/>
                <w:bCs/>
                <w:iCs/>
                <w:color w:val="000000"/>
                <w:sz w:val="19"/>
                <w:szCs w:val="19"/>
              </w:rPr>
            </w:pPr>
            <w:r w:rsidRPr="00124B6E">
              <w:rPr>
                <w:sz w:val="19"/>
                <w:szCs w:val="19"/>
              </w:rPr>
              <w:t>Appliance Turn-In – 1</w:t>
            </w:r>
          </w:p>
        </w:tc>
        <w:tc>
          <w:tcPr>
            <w:tcW w:w="117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N/A</w:t>
            </w:r>
          </w:p>
        </w:tc>
        <w:tc>
          <w:tcPr>
            <w:tcW w:w="1075"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1"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262"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r>
      <w:tr w:rsidR="00E7173E" w:rsidRPr="00124B6E" w:rsidTr="00124B6E">
        <w:trPr>
          <w:trHeight w:val="288"/>
        </w:trPr>
        <w:tc>
          <w:tcPr>
            <w:tcW w:w="2070" w:type="dxa"/>
            <w:shd w:val="clear" w:color="auto" w:fill="auto"/>
            <w:noWrap/>
            <w:vAlign w:val="center"/>
          </w:tcPr>
          <w:p w:rsidR="005C649A" w:rsidRPr="00124B6E" w:rsidRDefault="005C649A" w:rsidP="004F0C61">
            <w:pPr>
              <w:rPr>
                <w:b/>
                <w:bCs/>
                <w:iCs/>
                <w:color w:val="000000"/>
                <w:sz w:val="19"/>
                <w:szCs w:val="19"/>
              </w:rPr>
            </w:pPr>
            <w:r w:rsidRPr="00124B6E">
              <w:rPr>
                <w:sz w:val="19"/>
                <w:szCs w:val="19"/>
              </w:rPr>
              <w:t>Kitchen/appliances – 1</w:t>
            </w:r>
          </w:p>
        </w:tc>
        <w:tc>
          <w:tcPr>
            <w:tcW w:w="117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N/A</w:t>
            </w:r>
          </w:p>
        </w:tc>
        <w:tc>
          <w:tcPr>
            <w:tcW w:w="1075"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1"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261"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262"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r>
      <w:tr w:rsidR="00A874AC" w:rsidRPr="00124B6E" w:rsidTr="00124B6E">
        <w:trPr>
          <w:trHeight w:val="288"/>
        </w:trPr>
        <w:tc>
          <w:tcPr>
            <w:tcW w:w="2070" w:type="dxa"/>
            <w:shd w:val="clear" w:color="000000" w:fill="D2EAF1"/>
            <w:noWrap/>
            <w:vAlign w:val="center"/>
          </w:tcPr>
          <w:p w:rsidR="005C649A" w:rsidRPr="00124B6E" w:rsidRDefault="005C649A" w:rsidP="004F0C61">
            <w:pPr>
              <w:rPr>
                <w:b/>
                <w:bCs/>
                <w:iCs/>
                <w:color w:val="000000"/>
                <w:sz w:val="19"/>
                <w:szCs w:val="19"/>
              </w:rPr>
            </w:pPr>
            <w:r w:rsidRPr="00124B6E">
              <w:rPr>
                <w:b/>
                <w:sz w:val="19"/>
                <w:szCs w:val="19"/>
              </w:rPr>
              <w:t>Program Total</w:t>
            </w:r>
          </w:p>
        </w:tc>
        <w:tc>
          <w:tcPr>
            <w:tcW w:w="1170"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16</w:t>
            </w:r>
          </w:p>
        </w:tc>
        <w:tc>
          <w:tcPr>
            <w:tcW w:w="1260"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12.6%</w:t>
            </w:r>
          </w:p>
        </w:tc>
        <w:tc>
          <w:tcPr>
            <w:tcW w:w="1075"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8</w:t>
            </w:r>
          </w:p>
        </w:tc>
        <w:tc>
          <w:tcPr>
            <w:tcW w:w="1261"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8</w:t>
            </w:r>
          </w:p>
        </w:tc>
        <w:tc>
          <w:tcPr>
            <w:tcW w:w="1261"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12.5%</w:t>
            </w:r>
          </w:p>
        </w:tc>
        <w:tc>
          <w:tcPr>
            <w:tcW w:w="1262"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12.2%</w:t>
            </w:r>
          </w:p>
        </w:tc>
      </w:tr>
    </w:tbl>
    <w:p w:rsidR="005C649A" w:rsidRDefault="005C649A" w:rsidP="005C649A"/>
    <w:p w:rsidR="005C649A" w:rsidRPr="003458B1" w:rsidRDefault="005C649A" w:rsidP="008C7396">
      <w:pPr>
        <w:pStyle w:val="AppendixAHeading5"/>
      </w:pPr>
      <w:r w:rsidRPr="003458B1">
        <w:t>Government and Institutional Program</w:t>
      </w:r>
    </w:p>
    <w:p w:rsidR="005C649A" w:rsidRPr="003458B1" w:rsidRDefault="005C649A" w:rsidP="005C649A">
      <w:r w:rsidRPr="003458B1">
        <w:t xml:space="preserve">This program had three components in PY7: equipment incentives, appliance recycling, and conservation kits to multifamily establishments. Information about the sample design and achieved precision values for each stratum is provided in </w:t>
      </w:r>
      <w:r w:rsidRPr="003458B1">
        <w:fldChar w:fldCharType="begin"/>
      </w:r>
      <w:r w:rsidRPr="003458B1">
        <w:instrText xml:space="preserve"> REF _Ref440267460 \h  \* MERGEFORMAT </w:instrText>
      </w:r>
      <w:r w:rsidRPr="003458B1">
        <w:fldChar w:fldCharType="separate"/>
      </w:r>
      <w:r w:rsidR="00037CB4" w:rsidRPr="003458B1">
        <w:t>Table A-</w:t>
      </w:r>
      <w:r w:rsidR="00037CB4">
        <w:t>98</w:t>
      </w:r>
      <w:r w:rsidRPr="003458B1">
        <w:fldChar w:fldCharType="end"/>
      </w:r>
      <w:r w:rsidRPr="003458B1">
        <w:t>. The achieved precision value for energy met the SWE Team requirements of 85%/15% confidence</w:t>
      </w:r>
      <w:r>
        <w:t>/</w:t>
      </w:r>
      <w:r w:rsidRPr="003458B1">
        <w:t>precision, but for demand it was slightly higher, at 19.6%.</w:t>
      </w:r>
    </w:p>
    <w:p w:rsidR="005C649A" w:rsidRPr="003458B1" w:rsidRDefault="005C649A" w:rsidP="005C649A"/>
    <w:p w:rsidR="005C649A" w:rsidRPr="003458B1" w:rsidRDefault="005C649A" w:rsidP="004837FA">
      <w:pPr>
        <w:pStyle w:val="Caption"/>
      </w:pPr>
      <w:bookmarkStart w:id="1067" w:name="_Ref440267460"/>
      <w:bookmarkStart w:id="1068" w:name="_Toc410199444"/>
      <w:bookmarkStart w:id="1069" w:name="_Toc431462364"/>
      <w:bookmarkStart w:id="1070" w:name="_Toc444269890"/>
      <w:bookmarkStart w:id="1071" w:name="_Toc472472507"/>
      <w:bookmarkStart w:id="1072" w:name="_Toc488741926"/>
      <w:r w:rsidRPr="003458B1">
        <w:t>Table A-</w:t>
      </w:r>
      <w:r w:rsidR="007973A4">
        <w:fldChar w:fldCharType="begin"/>
      </w:r>
      <w:r w:rsidR="007973A4">
        <w:instrText xml:space="preserve"> SEQ Table_A- \* ARABIC </w:instrText>
      </w:r>
      <w:r w:rsidR="007973A4">
        <w:fldChar w:fldCharType="separate"/>
      </w:r>
      <w:r w:rsidR="00037CB4">
        <w:rPr>
          <w:noProof/>
        </w:rPr>
        <w:t>98</w:t>
      </w:r>
      <w:r w:rsidR="007973A4">
        <w:rPr>
          <w:noProof/>
        </w:rPr>
        <w:fldChar w:fldCharType="end"/>
      </w:r>
      <w:bookmarkEnd w:id="1067"/>
      <w:r w:rsidRPr="003458B1">
        <w:t>: West Penn’s PY7 Sampling Strategy and Achieved Precision – Government and Institutional Program</w:t>
      </w:r>
      <w:bookmarkEnd w:id="1068"/>
      <w:bookmarkEnd w:id="1069"/>
      <w:bookmarkEnd w:id="1070"/>
      <w:bookmarkEnd w:id="1071"/>
      <w:bookmarkEnd w:id="1072"/>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065"/>
        <w:gridCol w:w="1170"/>
        <w:gridCol w:w="1350"/>
        <w:gridCol w:w="927"/>
        <w:gridCol w:w="981"/>
        <w:gridCol w:w="1476"/>
        <w:gridCol w:w="1386"/>
      </w:tblGrid>
      <w:tr w:rsidR="00A874AC" w:rsidRPr="00124B6E" w:rsidTr="00124B6E">
        <w:trPr>
          <w:trHeight w:val="864"/>
        </w:trPr>
        <w:tc>
          <w:tcPr>
            <w:tcW w:w="2065" w:type="dxa"/>
            <w:shd w:val="clear" w:color="000000" w:fill="448A99"/>
            <w:vAlign w:val="bottom"/>
            <w:hideMark/>
          </w:tcPr>
          <w:p w:rsidR="005C649A" w:rsidRPr="00124B6E" w:rsidRDefault="005C649A" w:rsidP="004F0C61">
            <w:pPr>
              <w:rPr>
                <w:b/>
                <w:bCs/>
                <w:color w:val="FFFFFF"/>
                <w:sz w:val="19"/>
                <w:szCs w:val="19"/>
              </w:rPr>
            </w:pPr>
            <w:r w:rsidRPr="00124B6E">
              <w:rPr>
                <w:b/>
                <w:bCs/>
                <w:color w:val="FFFFFF"/>
                <w:sz w:val="19"/>
                <w:szCs w:val="19"/>
              </w:rPr>
              <w:t>Stratum</w:t>
            </w:r>
          </w:p>
        </w:tc>
        <w:tc>
          <w:tcPr>
            <w:tcW w:w="1170"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Population</w:t>
            </w:r>
          </w:p>
        </w:tc>
        <w:tc>
          <w:tcPr>
            <w:tcW w:w="1350"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Target Levels of Confidence &amp; Precision</w:t>
            </w:r>
          </w:p>
        </w:tc>
        <w:tc>
          <w:tcPr>
            <w:tcW w:w="927"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Target Sample Size</w:t>
            </w:r>
          </w:p>
        </w:tc>
        <w:tc>
          <w:tcPr>
            <w:tcW w:w="981"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Achieved Sample Size</w:t>
            </w:r>
          </w:p>
        </w:tc>
        <w:tc>
          <w:tcPr>
            <w:tcW w:w="1476"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Relative Precision at 85% C.L. for Energy</w:t>
            </w:r>
          </w:p>
        </w:tc>
        <w:tc>
          <w:tcPr>
            <w:tcW w:w="1386" w:type="dxa"/>
            <w:shd w:val="clear" w:color="000000" w:fill="448A99"/>
            <w:vAlign w:val="bottom"/>
            <w:hideMark/>
          </w:tcPr>
          <w:p w:rsidR="005C649A" w:rsidRPr="00124B6E" w:rsidRDefault="005C649A" w:rsidP="004F0C61">
            <w:pPr>
              <w:jc w:val="center"/>
              <w:rPr>
                <w:b/>
                <w:bCs/>
                <w:color w:val="FFFFFF"/>
                <w:sz w:val="19"/>
                <w:szCs w:val="19"/>
              </w:rPr>
            </w:pPr>
            <w:r w:rsidRPr="00124B6E">
              <w:rPr>
                <w:b/>
                <w:bCs/>
                <w:color w:val="FFFFFF"/>
                <w:sz w:val="19"/>
                <w:szCs w:val="19"/>
              </w:rPr>
              <w:t>Relative Precision at 85% C.L. for Demand</w:t>
            </w:r>
          </w:p>
        </w:tc>
      </w:tr>
      <w:tr w:rsidR="00A874AC" w:rsidRPr="00124B6E" w:rsidTr="00124B6E">
        <w:trPr>
          <w:trHeight w:val="288"/>
        </w:trPr>
        <w:tc>
          <w:tcPr>
            <w:tcW w:w="2065" w:type="dxa"/>
            <w:shd w:val="clear" w:color="000000" w:fill="D2EAF1"/>
            <w:noWrap/>
            <w:vAlign w:val="center"/>
          </w:tcPr>
          <w:p w:rsidR="005C649A" w:rsidRPr="00124B6E" w:rsidRDefault="005C649A" w:rsidP="004F0C61">
            <w:pPr>
              <w:rPr>
                <w:bCs/>
                <w:color w:val="000000"/>
                <w:sz w:val="19"/>
                <w:szCs w:val="19"/>
              </w:rPr>
            </w:pPr>
            <w:r w:rsidRPr="00124B6E">
              <w:rPr>
                <w:sz w:val="19"/>
                <w:szCs w:val="19"/>
              </w:rPr>
              <w:t>CFL kits – 1</w:t>
            </w:r>
          </w:p>
        </w:tc>
        <w:tc>
          <w:tcPr>
            <w:tcW w:w="117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350"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N/A</w:t>
            </w:r>
          </w:p>
        </w:tc>
        <w:tc>
          <w:tcPr>
            <w:tcW w:w="927"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981"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w:t>
            </w:r>
          </w:p>
        </w:tc>
        <w:tc>
          <w:tcPr>
            <w:tcW w:w="1476"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0.0%</w:t>
            </w:r>
          </w:p>
        </w:tc>
        <w:tc>
          <w:tcPr>
            <w:tcW w:w="1386" w:type="dxa"/>
            <w:shd w:val="clear" w:color="000000" w:fill="D2EAF1"/>
            <w:noWrap/>
            <w:vAlign w:val="center"/>
          </w:tcPr>
          <w:p w:rsidR="005C649A" w:rsidRPr="00124B6E" w:rsidRDefault="005C649A" w:rsidP="004F0C61">
            <w:pPr>
              <w:jc w:val="center"/>
              <w:rPr>
                <w:color w:val="000000"/>
                <w:sz w:val="19"/>
                <w:szCs w:val="19"/>
              </w:rPr>
            </w:pPr>
            <w:r w:rsidRPr="00124B6E">
              <w:rPr>
                <w:sz w:val="19"/>
                <w:szCs w:val="19"/>
              </w:rPr>
              <w:t>0.0%</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bCs/>
                <w:color w:val="000000"/>
                <w:sz w:val="19"/>
                <w:szCs w:val="19"/>
              </w:rPr>
            </w:pPr>
            <w:r w:rsidRPr="00124B6E">
              <w:rPr>
                <w:sz w:val="19"/>
                <w:szCs w:val="19"/>
              </w:rPr>
              <w:t>Lighting – certainty</w:t>
            </w:r>
          </w:p>
        </w:tc>
        <w:tc>
          <w:tcPr>
            <w:tcW w:w="117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w:t>
            </w:r>
          </w:p>
        </w:tc>
        <w:tc>
          <w:tcPr>
            <w:tcW w:w="1350"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N/A</w:t>
            </w:r>
          </w:p>
        </w:tc>
        <w:tc>
          <w:tcPr>
            <w:tcW w:w="927"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w:t>
            </w:r>
          </w:p>
        </w:tc>
        <w:tc>
          <w:tcPr>
            <w:tcW w:w="981"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w:t>
            </w:r>
          </w:p>
        </w:tc>
        <w:tc>
          <w:tcPr>
            <w:tcW w:w="1476"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0.0%</w:t>
            </w:r>
          </w:p>
        </w:tc>
        <w:tc>
          <w:tcPr>
            <w:tcW w:w="1386" w:type="dxa"/>
            <w:shd w:val="clear" w:color="auto" w:fill="auto"/>
            <w:noWrap/>
            <w:vAlign w:val="center"/>
          </w:tcPr>
          <w:p w:rsidR="005C649A" w:rsidRPr="00124B6E" w:rsidRDefault="005C649A" w:rsidP="004F0C61">
            <w:pPr>
              <w:jc w:val="center"/>
              <w:rPr>
                <w:color w:val="000000"/>
                <w:sz w:val="19"/>
                <w:szCs w:val="19"/>
              </w:rPr>
            </w:pPr>
            <w:r w:rsidRPr="00124B6E">
              <w:rPr>
                <w:sz w:val="19"/>
                <w:szCs w:val="19"/>
              </w:rPr>
              <w:t>0.0%</w:t>
            </w:r>
          </w:p>
        </w:tc>
      </w:tr>
      <w:tr w:rsidR="00A874AC" w:rsidRPr="00124B6E" w:rsidTr="00124B6E">
        <w:trPr>
          <w:trHeight w:val="288"/>
        </w:trPr>
        <w:tc>
          <w:tcPr>
            <w:tcW w:w="2065" w:type="dxa"/>
            <w:shd w:val="clear" w:color="000000" w:fill="D2EAF1"/>
            <w:noWrap/>
            <w:vAlign w:val="center"/>
          </w:tcPr>
          <w:p w:rsidR="005C649A" w:rsidRPr="00124B6E" w:rsidRDefault="005C649A" w:rsidP="004F0C61">
            <w:pPr>
              <w:rPr>
                <w:b/>
                <w:bCs/>
                <w:iCs/>
                <w:color w:val="000000"/>
                <w:sz w:val="19"/>
                <w:szCs w:val="19"/>
              </w:rPr>
            </w:pPr>
            <w:r w:rsidRPr="00124B6E">
              <w:rPr>
                <w:sz w:val="19"/>
                <w:szCs w:val="19"/>
              </w:rPr>
              <w:t>Lighting – 2</w:t>
            </w:r>
          </w:p>
        </w:tc>
        <w:tc>
          <w:tcPr>
            <w:tcW w:w="117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4</w:t>
            </w:r>
          </w:p>
        </w:tc>
        <w:tc>
          <w:tcPr>
            <w:tcW w:w="135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c>
          <w:tcPr>
            <w:tcW w:w="927"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4</w:t>
            </w:r>
          </w:p>
        </w:tc>
        <w:tc>
          <w:tcPr>
            <w:tcW w:w="981"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3</w:t>
            </w:r>
          </w:p>
        </w:tc>
        <w:tc>
          <w:tcPr>
            <w:tcW w:w="147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20.8%</w:t>
            </w:r>
          </w:p>
        </w:tc>
        <w:tc>
          <w:tcPr>
            <w:tcW w:w="138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sz w:val="19"/>
                <w:szCs w:val="19"/>
              </w:rPr>
            </w:pPr>
            <w:r w:rsidRPr="00124B6E">
              <w:rPr>
                <w:sz w:val="19"/>
                <w:szCs w:val="19"/>
              </w:rPr>
              <w:t>Lighting – 3</w:t>
            </w:r>
          </w:p>
        </w:tc>
        <w:tc>
          <w:tcPr>
            <w:tcW w:w="117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22</w:t>
            </w:r>
          </w:p>
        </w:tc>
        <w:tc>
          <w:tcPr>
            <w:tcW w:w="135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28.3%</w:t>
            </w:r>
          </w:p>
        </w:tc>
        <w:tc>
          <w:tcPr>
            <w:tcW w:w="927"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5</w:t>
            </w:r>
          </w:p>
        </w:tc>
        <w:tc>
          <w:tcPr>
            <w:tcW w:w="981"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4</w:t>
            </w:r>
          </w:p>
        </w:tc>
        <w:tc>
          <w:tcPr>
            <w:tcW w:w="147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32.6%</w:t>
            </w:r>
          </w:p>
        </w:tc>
        <w:tc>
          <w:tcPr>
            <w:tcW w:w="138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32.6%</w:t>
            </w:r>
          </w:p>
        </w:tc>
      </w:tr>
      <w:tr w:rsidR="00A874AC" w:rsidRPr="00124B6E" w:rsidTr="00124B6E">
        <w:trPr>
          <w:trHeight w:val="288"/>
        </w:trPr>
        <w:tc>
          <w:tcPr>
            <w:tcW w:w="2065" w:type="dxa"/>
            <w:shd w:val="clear" w:color="000000" w:fill="D2EAF1"/>
            <w:noWrap/>
            <w:vAlign w:val="center"/>
          </w:tcPr>
          <w:p w:rsidR="005C649A" w:rsidRPr="00124B6E" w:rsidRDefault="005C649A" w:rsidP="004F0C61">
            <w:pPr>
              <w:rPr>
                <w:sz w:val="19"/>
                <w:szCs w:val="19"/>
              </w:rPr>
            </w:pPr>
            <w:r w:rsidRPr="00124B6E">
              <w:rPr>
                <w:sz w:val="19"/>
                <w:szCs w:val="19"/>
              </w:rPr>
              <w:t>Lighting – 4</w:t>
            </w:r>
          </w:p>
        </w:tc>
        <w:tc>
          <w:tcPr>
            <w:tcW w:w="117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112</w:t>
            </w:r>
          </w:p>
        </w:tc>
        <w:tc>
          <w:tcPr>
            <w:tcW w:w="135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18.8%</w:t>
            </w:r>
          </w:p>
        </w:tc>
        <w:tc>
          <w:tcPr>
            <w:tcW w:w="927"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13</w:t>
            </w:r>
          </w:p>
        </w:tc>
        <w:tc>
          <w:tcPr>
            <w:tcW w:w="981"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13</w:t>
            </w:r>
          </w:p>
        </w:tc>
        <w:tc>
          <w:tcPr>
            <w:tcW w:w="147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18.8%</w:t>
            </w:r>
          </w:p>
        </w:tc>
        <w:tc>
          <w:tcPr>
            <w:tcW w:w="138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18.8%</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sz w:val="19"/>
                <w:szCs w:val="19"/>
              </w:rPr>
            </w:pPr>
            <w:r w:rsidRPr="00124B6E">
              <w:rPr>
                <w:sz w:val="19"/>
                <w:szCs w:val="19"/>
              </w:rPr>
              <w:t>Custom – certainty</w:t>
            </w:r>
          </w:p>
        </w:tc>
        <w:tc>
          <w:tcPr>
            <w:tcW w:w="117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35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N/A</w:t>
            </w:r>
          </w:p>
        </w:tc>
        <w:tc>
          <w:tcPr>
            <w:tcW w:w="927"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981"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47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38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r>
      <w:tr w:rsidR="00A874AC" w:rsidRPr="00124B6E" w:rsidTr="00124B6E">
        <w:trPr>
          <w:trHeight w:val="288"/>
        </w:trPr>
        <w:tc>
          <w:tcPr>
            <w:tcW w:w="2065" w:type="dxa"/>
            <w:shd w:val="clear" w:color="000000" w:fill="D2EAF1"/>
            <w:noWrap/>
            <w:vAlign w:val="center"/>
          </w:tcPr>
          <w:p w:rsidR="005C649A" w:rsidRPr="00124B6E" w:rsidRDefault="005C649A" w:rsidP="004F0C61">
            <w:pPr>
              <w:rPr>
                <w:sz w:val="19"/>
                <w:szCs w:val="19"/>
              </w:rPr>
            </w:pPr>
            <w:r w:rsidRPr="00124B6E">
              <w:rPr>
                <w:sz w:val="19"/>
                <w:szCs w:val="19"/>
              </w:rPr>
              <w:t>Custom – 2</w:t>
            </w:r>
          </w:p>
        </w:tc>
        <w:tc>
          <w:tcPr>
            <w:tcW w:w="117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35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N/A</w:t>
            </w:r>
          </w:p>
        </w:tc>
        <w:tc>
          <w:tcPr>
            <w:tcW w:w="927"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981"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47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38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sz w:val="19"/>
                <w:szCs w:val="19"/>
              </w:rPr>
            </w:pPr>
            <w:r w:rsidRPr="00124B6E">
              <w:rPr>
                <w:sz w:val="19"/>
                <w:szCs w:val="19"/>
              </w:rPr>
              <w:t>Custom – 3</w:t>
            </w:r>
          </w:p>
        </w:tc>
        <w:tc>
          <w:tcPr>
            <w:tcW w:w="117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35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N/A</w:t>
            </w:r>
          </w:p>
        </w:tc>
        <w:tc>
          <w:tcPr>
            <w:tcW w:w="927"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981"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47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38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r>
      <w:tr w:rsidR="00A874AC" w:rsidRPr="00124B6E" w:rsidTr="00124B6E">
        <w:trPr>
          <w:trHeight w:val="288"/>
        </w:trPr>
        <w:tc>
          <w:tcPr>
            <w:tcW w:w="2065" w:type="dxa"/>
            <w:shd w:val="clear" w:color="000000" w:fill="D2EAF1"/>
            <w:noWrap/>
            <w:vAlign w:val="center"/>
          </w:tcPr>
          <w:p w:rsidR="005C649A" w:rsidRPr="00124B6E" w:rsidRDefault="005C649A" w:rsidP="004F0C61">
            <w:pPr>
              <w:rPr>
                <w:sz w:val="19"/>
                <w:szCs w:val="19"/>
              </w:rPr>
            </w:pPr>
            <w:r w:rsidRPr="00124B6E">
              <w:rPr>
                <w:sz w:val="19"/>
                <w:szCs w:val="19"/>
              </w:rPr>
              <w:t>HVAC and DHW – 1</w:t>
            </w:r>
          </w:p>
        </w:tc>
        <w:tc>
          <w:tcPr>
            <w:tcW w:w="117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35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N/A</w:t>
            </w:r>
          </w:p>
        </w:tc>
        <w:tc>
          <w:tcPr>
            <w:tcW w:w="927"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981"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47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38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sz w:val="19"/>
                <w:szCs w:val="19"/>
              </w:rPr>
            </w:pPr>
            <w:r w:rsidRPr="00124B6E">
              <w:rPr>
                <w:sz w:val="19"/>
                <w:szCs w:val="19"/>
              </w:rPr>
              <w:t>HVAC and DHW – 2</w:t>
            </w:r>
          </w:p>
        </w:tc>
        <w:tc>
          <w:tcPr>
            <w:tcW w:w="117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35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N/A</w:t>
            </w:r>
          </w:p>
        </w:tc>
        <w:tc>
          <w:tcPr>
            <w:tcW w:w="927"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981"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47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38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r>
      <w:tr w:rsidR="00A874AC" w:rsidRPr="00124B6E" w:rsidTr="00124B6E">
        <w:trPr>
          <w:trHeight w:val="288"/>
        </w:trPr>
        <w:tc>
          <w:tcPr>
            <w:tcW w:w="2065" w:type="dxa"/>
            <w:shd w:val="clear" w:color="000000" w:fill="D2EAF1"/>
            <w:noWrap/>
            <w:vAlign w:val="center"/>
          </w:tcPr>
          <w:p w:rsidR="005C649A" w:rsidRPr="00124B6E" w:rsidRDefault="005C649A" w:rsidP="004F0C61">
            <w:pPr>
              <w:rPr>
                <w:sz w:val="19"/>
                <w:szCs w:val="19"/>
              </w:rPr>
            </w:pPr>
            <w:r w:rsidRPr="00124B6E">
              <w:rPr>
                <w:sz w:val="19"/>
                <w:szCs w:val="19"/>
              </w:rPr>
              <w:t>Appliance Turn-In – 1</w:t>
            </w:r>
          </w:p>
        </w:tc>
        <w:tc>
          <w:tcPr>
            <w:tcW w:w="117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350"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N/A</w:t>
            </w:r>
          </w:p>
        </w:tc>
        <w:tc>
          <w:tcPr>
            <w:tcW w:w="927"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981"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w:t>
            </w:r>
          </w:p>
        </w:tc>
        <w:tc>
          <w:tcPr>
            <w:tcW w:w="147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386" w:type="dxa"/>
            <w:shd w:val="clear" w:color="000000" w:fill="D2EAF1"/>
            <w:noWrap/>
            <w:vAlign w:val="center"/>
          </w:tcPr>
          <w:p w:rsidR="005C649A" w:rsidRPr="00124B6E" w:rsidRDefault="005C649A" w:rsidP="004F0C61">
            <w:pPr>
              <w:jc w:val="center"/>
              <w:rPr>
                <w:b/>
                <w:bCs/>
                <w:color w:val="000000"/>
                <w:sz w:val="19"/>
                <w:szCs w:val="19"/>
              </w:rPr>
            </w:pPr>
            <w:r w:rsidRPr="00124B6E">
              <w:rPr>
                <w:sz w:val="19"/>
                <w:szCs w:val="19"/>
              </w:rPr>
              <w:t>0.0%</w:t>
            </w:r>
          </w:p>
        </w:tc>
      </w:tr>
      <w:tr w:rsidR="00E7173E" w:rsidRPr="00124B6E" w:rsidTr="00124B6E">
        <w:trPr>
          <w:trHeight w:val="288"/>
        </w:trPr>
        <w:tc>
          <w:tcPr>
            <w:tcW w:w="2065" w:type="dxa"/>
            <w:shd w:val="clear" w:color="auto" w:fill="auto"/>
            <w:noWrap/>
            <w:vAlign w:val="center"/>
          </w:tcPr>
          <w:p w:rsidR="005C649A" w:rsidRPr="00124B6E" w:rsidRDefault="005C649A" w:rsidP="004F0C61">
            <w:pPr>
              <w:rPr>
                <w:sz w:val="19"/>
                <w:szCs w:val="19"/>
              </w:rPr>
            </w:pPr>
            <w:r w:rsidRPr="00124B6E">
              <w:rPr>
                <w:sz w:val="19"/>
                <w:szCs w:val="19"/>
              </w:rPr>
              <w:t>Kitchen/appliances – 1</w:t>
            </w:r>
          </w:p>
        </w:tc>
        <w:tc>
          <w:tcPr>
            <w:tcW w:w="117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350"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N/A</w:t>
            </w:r>
          </w:p>
        </w:tc>
        <w:tc>
          <w:tcPr>
            <w:tcW w:w="927"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981"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w:t>
            </w:r>
          </w:p>
        </w:tc>
        <w:tc>
          <w:tcPr>
            <w:tcW w:w="147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c>
          <w:tcPr>
            <w:tcW w:w="1386" w:type="dxa"/>
            <w:shd w:val="clear" w:color="auto" w:fill="auto"/>
            <w:noWrap/>
            <w:vAlign w:val="center"/>
          </w:tcPr>
          <w:p w:rsidR="005C649A" w:rsidRPr="00124B6E" w:rsidRDefault="005C649A" w:rsidP="004F0C61">
            <w:pPr>
              <w:jc w:val="center"/>
              <w:rPr>
                <w:b/>
                <w:bCs/>
                <w:color w:val="000000"/>
                <w:sz w:val="19"/>
                <w:szCs w:val="19"/>
              </w:rPr>
            </w:pPr>
            <w:r w:rsidRPr="00124B6E">
              <w:rPr>
                <w:sz w:val="19"/>
                <w:szCs w:val="19"/>
              </w:rPr>
              <w:t>0.0%</w:t>
            </w:r>
          </w:p>
        </w:tc>
      </w:tr>
      <w:tr w:rsidR="00A874AC" w:rsidRPr="00124B6E" w:rsidTr="00124B6E">
        <w:trPr>
          <w:trHeight w:val="288"/>
        </w:trPr>
        <w:tc>
          <w:tcPr>
            <w:tcW w:w="2065" w:type="dxa"/>
            <w:shd w:val="clear" w:color="000000" w:fill="D2EAF1"/>
            <w:noWrap/>
            <w:vAlign w:val="center"/>
          </w:tcPr>
          <w:p w:rsidR="005C649A" w:rsidRPr="00124B6E" w:rsidRDefault="005C649A" w:rsidP="004F0C61">
            <w:pPr>
              <w:rPr>
                <w:sz w:val="19"/>
                <w:szCs w:val="19"/>
              </w:rPr>
            </w:pPr>
            <w:r w:rsidRPr="00124B6E">
              <w:rPr>
                <w:b/>
                <w:sz w:val="19"/>
                <w:szCs w:val="19"/>
              </w:rPr>
              <w:t>Program Total</w:t>
            </w:r>
          </w:p>
        </w:tc>
        <w:tc>
          <w:tcPr>
            <w:tcW w:w="1170"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138</w:t>
            </w:r>
          </w:p>
        </w:tc>
        <w:tc>
          <w:tcPr>
            <w:tcW w:w="1350"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11.8%</w:t>
            </w:r>
          </w:p>
        </w:tc>
        <w:tc>
          <w:tcPr>
            <w:tcW w:w="927"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22</w:t>
            </w:r>
          </w:p>
        </w:tc>
        <w:tc>
          <w:tcPr>
            <w:tcW w:w="981"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20</w:t>
            </w:r>
          </w:p>
        </w:tc>
        <w:tc>
          <w:tcPr>
            <w:tcW w:w="1476"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14.4%</w:t>
            </w:r>
          </w:p>
        </w:tc>
        <w:tc>
          <w:tcPr>
            <w:tcW w:w="1386" w:type="dxa"/>
            <w:shd w:val="clear" w:color="000000" w:fill="D2EAF1"/>
            <w:noWrap/>
            <w:vAlign w:val="center"/>
          </w:tcPr>
          <w:p w:rsidR="005C649A" w:rsidRPr="00124B6E" w:rsidRDefault="005C649A" w:rsidP="004F0C61">
            <w:pPr>
              <w:jc w:val="center"/>
              <w:rPr>
                <w:b/>
                <w:bCs/>
                <w:color w:val="000000"/>
                <w:sz w:val="19"/>
                <w:szCs w:val="19"/>
              </w:rPr>
            </w:pPr>
            <w:r w:rsidRPr="00124B6E">
              <w:rPr>
                <w:b/>
                <w:sz w:val="19"/>
                <w:szCs w:val="19"/>
              </w:rPr>
              <w:t>19.6%</w:t>
            </w:r>
          </w:p>
        </w:tc>
      </w:tr>
    </w:tbl>
    <w:p w:rsidR="005C649A" w:rsidRPr="004B56B4" w:rsidRDefault="005C649A" w:rsidP="005C649A"/>
    <w:p w:rsidR="005C649A" w:rsidRPr="003B2BD3" w:rsidRDefault="005C649A" w:rsidP="0055598C">
      <w:pPr>
        <w:pStyle w:val="AppendixAHeading4"/>
        <w:rPr>
          <w:rFonts w:eastAsia="Calibri"/>
        </w:rPr>
      </w:pPr>
      <w:bookmarkStart w:id="1073" w:name="_Ref408507963"/>
      <w:bookmarkStart w:id="1074" w:name="_Toc408557504"/>
      <w:r w:rsidRPr="003B2BD3">
        <w:rPr>
          <w:rFonts w:eastAsia="Calibri"/>
        </w:rPr>
        <w:t>Ride-Along Site Inspections</w:t>
      </w:r>
      <w:bookmarkEnd w:id="1073"/>
      <w:bookmarkEnd w:id="1074"/>
    </w:p>
    <w:p w:rsidR="005C649A" w:rsidRPr="003B2BD3" w:rsidRDefault="006F4CC7" w:rsidP="005C649A">
      <w:pPr>
        <w:spacing w:after="120"/>
      </w:pPr>
      <w:r>
        <w:fldChar w:fldCharType="begin"/>
      </w:r>
      <w:r>
        <w:instrText xml:space="preserve"> REF _Ref473720497 \h </w:instrText>
      </w:r>
      <w:r>
        <w:fldChar w:fldCharType="separate"/>
      </w:r>
      <w:r w:rsidR="00037CB4" w:rsidRPr="00F467C0">
        <w:t>Table A-</w:t>
      </w:r>
      <w:r w:rsidR="00037CB4">
        <w:rPr>
          <w:noProof/>
        </w:rPr>
        <w:t>99</w:t>
      </w:r>
      <w:r>
        <w:fldChar w:fldCharType="end"/>
      </w:r>
      <w:r>
        <w:t xml:space="preserve"> </w:t>
      </w:r>
      <w:r w:rsidR="005C649A" w:rsidRPr="00F467C0">
        <w:t>summarizes the</w:t>
      </w:r>
      <w:r w:rsidR="005C649A" w:rsidRPr="003B2BD3">
        <w:t xml:space="preserve"> SWE </w:t>
      </w:r>
      <w:r w:rsidR="005C649A" w:rsidRPr="003B2BD3">
        <w:rPr>
          <w:color w:val="000000"/>
        </w:rPr>
        <w:t>Team’s</w:t>
      </w:r>
      <w:r w:rsidR="005C649A" w:rsidRPr="003B2BD3">
        <w:t xml:space="preserve"> PY7 ride-along site inspections of West Penn’s non-residential project installations. </w:t>
      </w:r>
      <w:r w:rsidR="00B27FAB">
        <w:t>For PY7, all West Penn</w:t>
      </w:r>
      <w:r w:rsidR="00B27FAB" w:rsidRPr="003B2BD3">
        <w:t xml:space="preserve"> PY7 site inspection findings are categorized </w:t>
      </w:r>
      <w:r w:rsidR="00B27FAB">
        <w:t>as</w:t>
      </w:r>
      <w:r w:rsidR="005C649A" w:rsidRPr="003B2BD3">
        <w:t xml:space="preserve">: </w:t>
      </w:r>
    </w:p>
    <w:p w:rsidR="005C649A" w:rsidRPr="003B2BD3" w:rsidRDefault="005C649A" w:rsidP="00E646C9">
      <w:pPr>
        <w:numPr>
          <w:ilvl w:val="0"/>
          <w:numId w:val="38"/>
        </w:numPr>
        <w:autoSpaceDE w:val="0"/>
        <w:autoSpaceDN w:val="0"/>
        <w:adjustRightInd w:val="0"/>
        <w:ind w:left="360"/>
        <w:rPr>
          <w:rFonts w:cs="Calibri"/>
          <w:color w:val="000000"/>
          <w:szCs w:val="20"/>
        </w:rPr>
      </w:pPr>
      <w:r w:rsidRPr="003B2BD3">
        <w:rPr>
          <w:rFonts w:cs="Calibri"/>
          <w:color w:val="000000"/>
          <w:szCs w:val="20"/>
        </w:rPr>
        <w:t xml:space="preserve">Evaluation (Eval) findings are associated with ride-along site inspections and may reflect site activities or the evaluation contractor’s savings calculations or reports. </w:t>
      </w:r>
    </w:p>
    <w:p w:rsidR="005C649A" w:rsidRPr="003B2BD3" w:rsidRDefault="00F467C0" w:rsidP="004837FA">
      <w:pPr>
        <w:pStyle w:val="Caption"/>
        <w:rPr>
          <w:rFonts w:cs="Calibri"/>
          <w:color w:val="000000"/>
          <w:szCs w:val="20"/>
          <w14:textFill>
            <w14:solidFill>
              <w14:srgbClr w14:val="000000">
                <w14:lumMod w14:val="75000"/>
                <w14:lumOff w14:val="25000"/>
              </w14:srgbClr>
            </w14:solidFill>
          </w14:textFill>
        </w:rPr>
      </w:pPr>
      <w:bookmarkStart w:id="1075" w:name="_Ref472469352"/>
      <w:bookmarkStart w:id="1076" w:name="_Ref473720497"/>
      <w:bookmarkStart w:id="1077" w:name="_Toc472472508"/>
      <w:bookmarkStart w:id="1078" w:name="_Toc488741927"/>
      <w:r w:rsidRPr="00F467C0">
        <w:t>Table A-</w:t>
      </w:r>
      <w:r w:rsidR="007973A4">
        <w:fldChar w:fldCharType="begin"/>
      </w:r>
      <w:r w:rsidR="007973A4">
        <w:instrText xml:space="preserve"> SEQ Table_A- \* ARABIC </w:instrText>
      </w:r>
      <w:r w:rsidR="007973A4">
        <w:fldChar w:fldCharType="separate"/>
      </w:r>
      <w:r w:rsidR="00037CB4">
        <w:rPr>
          <w:noProof/>
        </w:rPr>
        <w:t>99</w:t>
      </w:r>
      <w:r w:rsidR="007973A4">
        <w:rPr>
          <w:noProof/>
        </w:rPr>
        <w:fldChar w:fldCharType="end"/>
      </w:r>
      <w:bookmarkEnd w:id="1075"/>
      <w:bookmarkEnd w:id="1076"/>
      <w:r w:rsidR="005C649A" w:rsidRPr="00F467C0">
        <w:rPr>
          <w:rFonts w:cs="Calibri"/>
          <w:color w:val="000000"/>
          <w:szCs w:val="20"/>
          <w14:textFill>
            <w14:solidFill>
              <w14:srgbClr w14:val="000000">
                <w14:lumMod w14:val="75000"/>
                <w14:lumOff w14:val="25000"/>
              </w14:srgbClr>
            </w14:solidFill>
          </w14:textFill>
        </w:rPr>
        <w:t xml:space="preserve"> </w:t>
      </w:r>
      <w:r w:rsidRPr="00F467C0">
        <w:rPr>
          <w:rFonts w:cs="Calibri"/>
          <w:color w:val="000000"/>
          <w:szCs w:val="20"/>
          <w14:textFill>
            <w14:solidFill>
              <w14:srgbClr w14:val="000000">
                <w14:lumMod w14:val="75000"/>
                <w14:lumOff w14:val="25000"/>
              </w14:srgbClr>
            </w14:solidFill>
          </w14:textFill>
        </w:rPr>
        <w:t xml:space="preserve">: West Penn </w:t>
      </w:r>
      <w:r w:rsidRPr="00F467C0">
        <w:t>PY7 Non-Residential Site Inspection Findings</w:t>
      </w:r>
      <w:bookmarkEnd w:id="1077"/>
      <w:bookmarkEnd w:id="1078"/>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160"/>
        <w:gridCol w:w="1260"/>
        <w:gridCol w:w="2312"/>
        <w:gridCol w:w="1170"/>
        <w:gridCol w:w="3448"/>
      </w:tblGrid>
      <w:tr w:rsidR="00A874AC" w:rsidRPr="004B56B4" w:rsidTr="006F4CC7">
        <w:trPr>
          <w:trHeight w:val="300"/>
          <w:tblHeader/>
        </w:trPr>
        <w:tc>
          <w:tcPr>
            <w:tcW w:w="1160" w:type="dxa"/>
            <w:shd w:val="clear" w:color="auto" w:fill="448A99"/>
            <w:noWrap/>
            <w:vAlign w:val="bottom"/>
            <w:hideMark/>
          </w:tcPr>
          <w:p w:rsidR="00F467C0" w:rsidRPr="00124B6E" w:rsidRDefault="00F467C0" w:rsidP="004F0C61">
            <w:pPr>
              <w:jc w:val="left"/>
              <w:rPr>
                <w:b/>
                <w:bCs/>
                <w:color w:val="FFFFFF"/>
                <w:sz w:val="19"/>
                <w:szCs w:val="19"/>
              </w:rPr>
            </w:pPr>
            <w:r w:rsidRPr="00124B6E">
              <w:rPr>
                <w:b/>
                <w:bCs/>
                <w:color w:val="FFFFFF"/>
                <w:sz w:val="19"/>
                <w:szCs w:val="19"/>
              </w:rPr>
              <w:t>Project ID</w:t>
            </w:r>
          </w:p>
        </w:tc>
        <w:tc>
          <w:tcPr>
            <w:tcW w:w="1260" w:type="dxa"/>
            <w:shd w:val="clear" w:color="auto" w:fill="448A99"/>
            <w:noWrap/>
            <w:vAlign w:val="bottom"/>
            <w:hideMark/>
          </w:tcPr>
          <w:p w:rsidR="00F467C0" w:rsidRPr="00124B6E" w:rsidRDefault="00F467C0" w:rsidP="004F0C61">
            <w:pPr>
              <w:jc w:val="center"/>
              <w:rPr>
                <w:b/>
                <w:bCs/>
                <w:color w:val="FFFFFF"/>
                <w:sz w:val="19"/>
                <w:szCs w:val="19"/>
              </w:rPr>
            </w:pPr>
            <w:r w:rsidRPr="00124B6E">
              <w:rPr>
                <w:b/>
                <w:bCs/>
                <w:color w:val="FFFFFF"/>
                <w:sz w:val="19"/>
                <w:szCs w:val="19"/>
              </w:rPr>
              <w:t>Technology</w:t>
            </w:r>
          </w:p>
        </w:tc>
        <w:tc>
          <w:tcPr>
            <w:tcW w:w="2312" w:type="dxa"/>
            <w:shd w:val="clear" w:color="auto" w:fill="448A99"/>
            <w:noWrap/>
            <w:vAlign w:val="bottom"/>
            <w:hideMark/>
          </w:tcPr>
          <w:p w:rsidR="00F467C0" w:rsidRPr="00124B6E" w:rsidRDefault="00F467C0" w:rsidP="004F0C61">
            <w:pPr>
              <w:jc w:val="center"/>
              <w:rPr>
                <w:b/>
                <w:bCs/>
                <w:color w:val="FFFFFF"/>
                <w:sz w:val="19"/>
                <w:szCs w:val="19"/>
              </w:rPr>
            </w:pPr>
            <w:r w:rsidRPr="00124B6E">
              <w:rPr>
                <w:b/>
                <w:bCs/>
                <w:color w:val="FFFFFF"/>
                <w:sz w:val="19"/>
                <w:szCs w:val="19"/>
              </w:rPr>
              <w:t>Finding</w:t>
            </w:r>
          </w:p>
        </w:tc>
        <w:tc>
          <w:tcPr>
            <w:tcW w:w="1170" w:type="dxa"/>
            <w:shd w:val="clear" w:color="auto" w:fill="448A99"/>
            <w:noWrap/>
            <w:vAlign w:val="bottom"/>
            <w:hideMark/>
          </w:tcPr>
          <w:p w:rsidR="00F467C0" w:rsidRPr="00124B6E" w:rsidRDefault="00F467C0" w:rsidP="004F0C61">
            <w:pPr>
              <w:jc w:val="center"/>
              <w:rPr>
                <w:b/>
                <w:bCs/>
                <w:color w:val="FFFFFF"/>
                <w:sz w:val="19"/>
                <w:szCs w:val="19"/>
              </w:rPr>
            </w:pPr>
            <w:r w:rsidRPr="00124B6E">
              <w:rPr>
                <w:b/>
                <w:bCs/>
                <w:color w:val="FFFFFF"/>
                <w:sz w:val="19"/>
                <w:szCs w:val="19"/>
              </w:rPr>
              <w:t>Finding Type</w:t>
            </w:r>
          </w:p>
        </w:tc>
        <w:tc>
          <w:tcPr>
            <w:tcW w:w="3448" w:type="dxa"/>
            <w:shd w:val="clear" w:color="auto" w:fill="448A99"/>
            <w:noWrap/>
            <w:vAlign w:val="bottom"/>
            <w:hideMark/>
          </w:tcPr>
          <w:p w:rsidR="00F467C0" w:rsidRPr="00124B6E" w:rsidRDefault="00F467C0" w:rsidP="004F0C61">
            <w:pPr>
              <w:jc w:val="center"/>
              <w:rPr>
                <w:b/>
                <w:bCs/>
                <w:color w:val="FFFFFF"/>
                <w:sz w:val="19"/>
                <w:szCs w:val="19"/>
              </w:rPr>
            </w:pPr>
            <w:r w:rsidRPr="00124B6E">
              <w:rPr>
                <w:b/>
                <w:bCs/>
                <w:color w:val="FFFFFF"/>
                <w:sz w:val="19"/>
                <w:szCs w:val="19"/>
              </w:rPr>
              <w:t>Resolution</w:t>
            </w:r>
          </w:p>
        </w:tc>
      </w:tr>
      <w:tr w:rsidR="00A874AC" w:rsidRPr="004B56B4" w:rsidTr="006F4CC7">
        <w:trPr>
          <w:trHeight w:val="300"/>
        </w:trPr>
        <w:tc>
          <w:tcPr>
            <w:tcW w:w="1160" w:type="dxa"/>
            <w:shd w:val="clear" w:color="auto" w:fill="D2EAF1"/>
            <w:noWrap/>
          </w:tcPr>
          <w:p w:rsidR="00F467C0" w:rsidRPr="00124B6E" w:rsidRDefault="00F467C0" w:rsidP="004F0C61">
            <w:pPr>
              <w:jc w:val="left"/>
              <w:rPr>
                <w:sz w:val="19"/>
                <w:szCs w:val="19"/>
              </w:rPr>
            </w:pPr>
            <w:r w:rsidRPr="00124B6E">
              <w:rPr>
                <w:sz w:val="19"/>
                <w:szCs w:val="19"/>
              </w:rPr>
              <w:t>PRJ-427502</w:t>
            </w:r>
          </w:p>
        </w:tc>
        <w:tc>
          <w:tcPr>
            <w:tcW w:w="1260" w:type="dxa"/>
            <w:shd w:val="clear" w:color="auto" w:fill="D2EAF1"/>
            <w:noWrap/>
          </w:tcPr>
          <w:p w:rsidR="00F467C0" w:rsidRPr="00124B6E" w:rsidRDefault="00F467C0" w:rsidP="004F0C61">
            <w:pPr>
              <w:jc w:val="center"/>
              <w:rPr>
                <w:color w:val="000000"/>
                <w:sz w:val="19"/>
                <w:szCs w:val="19"/>
              </w:rPr>
            </w:pPr>
            <w:r w:rsidRPr="00124B6E">
              <w:rPr>
                <w:color w:val="000000"/>
                <w:sz w:val="19"/>
                <w:szCs w:val="19"/>
              </w:rPr>
              <w:t>Lighting</w:t>
            </w:r>
          </w:p>
        </w:tc>
        <w:tc>
          <w:tcPr>
            <w:tcW w:w="2312" w:type="dxa"/>
            <w:shd w:val="clear" w:color="auto" w:fill="D2EAF1"/>
            <w:noWrap/>
          </w:tcPr>
          <w:p w:rsidR="00F467C0" w:rsidRPr="00124B6E" w:rsidRDefault="00F467C0" w:rsidP="004F0C61">
            <w:pPr>
              <w:jc w:val="center"/>
              <w:rPr>
                <w:color w:val="000000"/>
                <w:sz w:val="19"/>
                <w:szCs w:val="19"/>
              </w:rPr>
            </w:pPr>
            <w:r w:rsidRPr="00124B6E">
              <w:rPr>
                <w:color w:val="000000"/>
                <w:sz w:val="19"/>
                <w:szCs w:val="19"/>
              </w:rPr>
              <w:t>Although the final verified savings is correct, the Appendix C calculator was not used in its original form.</w:t>
            </w:r>
          </w:p>
        </w:tc>
        <w:tc>
          <w:tcPr>
            <w:tcW w:w="1170" w:type="dxa"/>
            <w:shd w:val="clear" w:color="auto" w:fill="D2EAF1"/>
          </w:tcPr>
          <w:p w:rsidR="00F467C0" w:rsidRPr="00124B6E" w:rsidRDefault="00F467C0" w:rsidP="004F0C61">
            <w:pPr>
              <w:jc w:val="center"/>
              <w:rPr>
                <w:color w:val="000000"/>
                <w:sz w:val="19"/>
                <w:szCs w:val="19"/>
              </w:rPr>
            </w:pPr>
            <w:r w:rsidRPr="00124B6E">
              <w:rPr>
                <w:color w:val="000000"/>
                <w:sz w:val="19"/>
                <w:szCs w:val="19"/>
              </w:rPr>
              <w:t>Eval</w:t>
            </w:r>
          </w:p>
        </w:tc>
        <w:tc>
          <w:tcPr>
            <w:tcW w:w="3448" w:type="dxa"/>
            <w:shd w:val="clear" w:color="auto" w:fill="D2EAF1"/>
            <w:noWrap/>
          </w:tcPr>
          <w:p w:rsidR="00F467C0" w:rsidRPr="00124B6E" w:rsidRDefault="00F467C0" w:rsidP="004F0C61">
            <w:pPr>
              <w:jc w:val="center"/>
              <w:rPr>
                <w:color w:val="000000"/>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124B6E" w:rsidRDefault="00F467C0" w:rsidP="004F0C61">
            <w:pPr>
              <w:jc w:val="left"/>
              <w:rPr>
                <w:sz w:val="19"/>
                <w:szCs w:val="19"/>
              </w:rPr>
            </w:pPr>
            <w:r w:rsidRPr="00124B6E">
              <w:rPr>
                <w:sz w:val="19"/>
                <w:szCs w:val="19"/>
              </w:rPr>
              <w:t>PRJ-424573</w:t>
            </w:r>
          </w:p>
        </w:tc>
        <w:tc>
          <w:tcPr>
            <w:tcW w:w="1260" w:type="dxa"/>
            <w:shd w:val="clear" w:color="auto" w:fill="auto"/>
            <w:noWrap/>
          </w:tcPr>
          <w:p w:rsidR="00F467C0" w:rsidRPr="00124B6E" w:rsidRDefault="00F467C0" w:rsidP="004F0C61">
            <w:pPr>
              <w:jc w:val="center"/>
              <w:rPr>
                <w:sz w:val="19"/>
                <w:szCs w:val="19"/>
              </w:rPr>
            </w:pPr>
            <w:r w:rsidRPr="00124B6E">
              <w:rPr>
                <w:color w:val="000000"/>
                <w:sz w:val="19"/>
                <w:szCs w:val="19"/>
              </w:rPr>
              <w:t>Lighting</w:t>
            </w:r>
          </w:p>
        </w:tc>
        <w:tc>
          <w:tcPr>
            <w:tcW w:w="2312" w:type="dxa"/>
            <w:shd w:val="clear" w:color="auto" w:fill="auto"/>
            <w:noWrap/>
          </w:tcPr>
          <w:p w:rsidR="00F467C0" w:rsidRPr="00124B6E" w:rsidRDefault="00F467C0" w:rsidP="004F0C61">
            <w:pPr>
              <w:jc w:val="center"/>
              <w:rPr>
                <w:color w:val="000000"/>
                <w:sz w:val="19"/>
                <w:szCs w:val="19"/>
              </w:rPr>
            </w:pPr>
            <w:r w:rsidRPr="00124B6E">
              <w:rPr>
                <w:color w:val="000000"/>
                <w:sz w:val="19"/>
                <w:szCs w:val="19"/>
              </w:rPr>
              <w:t>Although the final verified savings is correct, the Appendix C calculator was not used in its original form.</w:t>
            </w:r>
          </w:p>
        </w:tc>
        <w:tc>
          <w:tcPr>
            <w:tcW w:w="1170" w:type="dxa"/>
            <w:shd w:val="clear" w:color="auto" w:fill="auto"/>
            <w:noWrap/>
          </w:tcPr>
          <w:p w:rsidR="00F467C0" w:rsidRPr="00124B6E" w:rsidRDefault="00F467C0" w:rsidP="004F0C61">
            <w:pPr>
              <w:jc w:val="center"/>
              <w:rPr>
                <w:sz w:val="19"/>
                <w:szCs w:val="19"/>
              </w:rPr>
            </w:pPr>
            <w:r w:rsidRPr="00124B6E">
              <w:rPr>
                <w:color w:val="000000"/>
                <w:sz w:val="19"/>
                <w:szCs w:val="19"/>
              </w:rPr>
              <w:t>Eval</w:t>
            </w:r>
          </w:p>
        </w:tc>
        <w:tc>
          <w:tcPr>
            <w:tcW w:w="3448" w:type="dxa"/>
            <w:shd w:val="clear" w:color="auto" w:fill="auto"/>
            <w:noWrap/>
          </w:tcPr>
          <w:p w:rsidR="00F467C0" w:rsidRPr="00124B6E" w:rsidRDefault="00F467C0" w:rsidP="004F0C61">
            <w:pPr>
              <w:jc w:val="center"/>
              <w:rPr>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r w:rsidR="00A874AC" w:rsidRPr="004B56B4" w:rsidTr="006F4CC7">
        <w:trPr>
          <w:trHeight w:val="300"/>
        </w:trPr>
        <w:tc>
          <w:tcPr>
            <w:tcW w:w="1160" w:type="dxa"/>
            <w:shd w:val="clear" w:color="auto" w:fill="D2EAF1"/>
            <w:noWrap/>
          </w:tcPr>
          <w:p w:rsidR="00F467C0" w:rsidRPr="00124B6E" w:rsidRDefault="00F467C0" w:rsidP="004F0C61">
            <w:pPr>
              <w:jc w:val="left"/>
              <w:rPr>
                <w:sz w:val="19"/>
                <w:szCs w:val="19"/>
              </w:rPr>
            </w:pPr>
            <w:r w:rsidRPr="00124B6E">
              <w:rPr>
                <w:sz w:val="19"/>
                <w:szCs w:val="19"/>
              </w:rPr>
              <w:t>PRJ-412295</w:t>
            </w:r>
          </w:p>
        </w:tc>
        <w:tc>
          <w:tcPr>
            <w:tcW w:w="1260" w:type="dxa"/>
            <w:shd w:val="clear" w:color="auto" w:fill="D2EAF1"/>
            <w:noWrap/>
          </w:tcPr>
          <w:p w:rsidR="00F467C0" w:rsidRPr="00124B6E" w:rsidRDefault="00F467C0" w:rsidP="004F0C61">
            <w:pPr>
              <w:jc w:val="center"/>
              <w:rPr>
                <w:sz w:val="19"/>
                <w:szCs w:val="19"/>
              </w:rPr>
            </w:pPr>
            <w:r w:rsidRPr="00124B6E">
              <w:rPr>
                <w:color w:val="000000"/>
                <w:sz w:val="19"/>
                <w:szCs w:val="19"/>
              </w:rPr>
              <w:t>Lighting</w:t>
            </w:r>
          </w:p>
        </w:tc>
        <w:tc>
          <w:tcPr>
            <w:tcW w:w="2312" w:type="dxa"/>
            <w:shd w:val="clear" w:color="auto" w:fill="D2EAF1"/>
            <w:noWrap/>
          </w:tcPr>
          <w:p w:rsidR="00F467C0" w:rsidRPr="00124B6E" w:rsidRDefault="00F467C0" w:rsidP="004F0C61">
            <w:pPr>
              <w:jc w:val="center"/>
              <w:rPr>
                <w:color w:val="000000"/>
                <w:sz w:val="19"/>
                <w:szCs w:val="19"/>
              </w:rPr>
            </w:pPr>
            <w:r w:rsidRPr="00124B6E">
              <w:rPr>
                <w:color w:val="000000"/>
                <w:sz w:val="19"/>
                <w:szCs w:val="19"/>
              </w:rPr>
              <w:t>Minor discrepancies in the fixture count were noted.</w:t>
            </w:r>
          </w:p>
        </w:tc>
        <w:tc>
          <w:tcPr>
            <w:tcW w:w="1170" w:type="dxa"/>
            <w:shd w:val="clear" w:color="auto" w:fill="D2EAF1"/>
            <w:noWrap/>
          </w:tcPr>
          <w:p w:rsidR="00F467C0" w:rsidRPr="00124B6E" w:rsidRDefault="00F467C0" w:rsidP="004F0C61">
            <w:pPr>
              <w:jc w:val="center"/>
              <w:rPr>
                <w:sz w:val="19"/>
                <w:szCs w:val="19"/>
              </w:rPr>
            </w:pPr>
            <w:r w:rsidRPr="00124B6E">
              <w:rPr>
                <w:color w:val="000000"/>
                <w:sz w:val="19"/>
                <w:szCs w:val="19"/>
              </w:rPr>
              <w:t>Eval</w:t>
            </w:r>
          </w:p>
        </w:tc>
        <w:tc>
          <w:tcPr>
            <w:tcW w:w="3448" w:type="dxa"/>
            <w:shd w:val="clear" w:color="auto" w:fill="D2EAF1"/>
            <w:noWrap/>
          </w:tcPr>
          <w:p w:rsidR="00F467C0" w:rsidRPr="00124B6E" w:rsidRDefault="00F467C0" w:rsidP="004F0C61">
            <w:pPr>
              <w:jc w:val="center"/>
              <w:rPr>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124B6E" w:rsidRDefault="00F467C0" w:rsidP="004F0C61">
            <w:pPr>
              <w:jc w:val="left"/>
              <w:rPr>
                <w:sz w:val="19"/>
                <w:szCs w:val="19"/>
              </w:rPr>
            </w:pPr>
            <w:r w:rsidRPr="00124B6E">
              <w:rPr>
                <w:sz w:val="19"/>
                <w:szCs w:val="19"/>
              </w:rPr>
              <w:t>PRJ-331545</w:t>
            </w:r>
          </w:p>
        </w:tc>
        <w:tc>
          <w:tcPr>
            <w:tcW w:w="1260" w:type="dxa"/>
            <w:shd w:val="clear" w:color="auto" w:fill="auto"/>
            <w:noWrap/>
          </w:tcPr>
          <w:p w:rsidR="00F467C0" w:rsidRPr="00124B6E" w:rsidRDefault="00F467C0" w:rsidP="004F0C61">
            <w:pPr>
              <w:jc w:val="center"/>
              <w:rPr>
                <w:sz w:val="19"/>
                <w:szCs w:val="19"/>
              </w:rPr>
            </w:pPr>
            <w:r w:rsidRPr="00124B6E">
              <w:rPr>
                <w:color w:val="000000"/>
                <w:sz w:val="19"/>
                <w:szCs w:val="19"/>
              </w:rPr>
              <w:t>Lighting</w:t>
            </w:r>
          </w:p>
        </w:tc>
        <w:tc>
          <w:tcPr>
            <w:tcW w:w="2312" w:type="dxa"/>
            <w:shd w:val="clear" w:color="auto" w:fill="auto"/>
            <w:noWrap/>
          </w:tcPr>
          <w:p w:rsidR="00F467C0" w:rsidRPr="00124B6E" w:rsidRDefault="00F467C0" w:rsidP="004F0C61">
            <w:pPr>
              <w:jc w:val="center"/>
              <w:rPr>
                <w:color w:val="000000"/>
                <w:sz w:val="19"/>
                <w:szCs w:val="19"/>
              </w:rPr>
            </w:pPr>
            <w:r w:rsidRPr="00124B6E">
              <w:rPr>
                <w:color w:val="000000"/>
                <w:sz w:val="19"/>
                <w:szCs w:val="19"/>
              </w:rPr>
              <w:t>Although the final verified savings is correct, the Appendix C calculator was not used in its original form.</w:t>
            </w:r>
          </w:p>
        </w:tc>
        <w:tc>
          <w:tcPr>
            <w:tcW w:w="1170" w:type="dxa"/>
            <w:shd w:val="clear" w:color="auto" w:fill="auto"/>
            <w:noWrap/>
          </w:tcPr>
          <w:p w:rsidR="00F467C0" w:rsidRPr="00124B6E" w:rsidRDefault="00F467C0" w:rsidP="004F0C61">
            <w:pPr>
              <w:jc w:val="center"/>
              <w:rPr>
                <w:sz w:val="19"/>
                <w:szCs w:val="19"/>
              </w:rPr>
            </w:pPr>
            <w:r w:rsidRPr="00124B6E">
              <w:rPr>
                <w:color w:val="000000"/>
                <w:sz w:val="19"/>
                <w:szCs w:val="19"/>
              </w:rPr>
              <w:t>Eval</w:t>
            </w:r>
          </w:p>
        </w:tc>
        <w:tc>
          <w:tcPr>
            <w:tcW w:w="3448" w:type="dxa"/>
            <w:shd w:val="clear" w:color="auto" w:fill="auto"/>
            <w:noWrap/>
          </w:tcPr>
          <w:p w:rsidR="00F467C0" w:rsidRPr="00124B6E" w:rsidRDefault="00F467C0" w:rsidP="004F0C61">
            <w:pPr>
              <w:jc w:val="center"/>
              <w:rPr>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r w:rsidR="00A874AC" w:rsidRPr="004B56B4" w:rsidTr="006F4CC7">
        <w:trPr>
          <w:trHeight w:val="300"/>
        </w:trPr>
        <w:tc>
          <w:tcPr>
            <w:tcW w:w="1160" w:type="dxa"/>
            <w:shd w:val="clear" w:color="auto" w:fill="D2EAF1"/>
            <w:noWrap/>
          </w:tcPr>
          <w:p w:rsidR="00F467C0" w:rsidRPr="00124B6E" w:rsidRDefault="00F467C0" w:rsidP="004F0C61">
            <w:pPr>
              <w:jc w:val="left"/>
              <w:rPr>
                <w:sz w:val="19"/>
                <w:szCs w:val="19"/>
              </w:rPr>
            </w:pPr>
            <w:r w:rsidRPr="00124B6E">
              <w:rPr>
                <w:sz w:val="19"/>
                <w:szCs w:val="19"/>
              </w:rPr>
              <w:t>PRJ-383035</w:t>
            </w:r>
          </w:p>
        </w:tc>
        <w:tc>
          <w:tcPr>
            <w:tcW w:w="1260" w:type="dxa"/>
            <w:shd w:val="clear" w:color="auto" w:fill="D2EAF1"/>
            <w:noWrap/>
          </w:tcPr>
          <w:p w:rsidR="00F467C0" w:rsidRPr="00124B6E" w:rsidRDefault="00F467C0" w:rsidP="004F0C61">
            <w:pPr>
              <w:jc w:val="center"/>
              <w:rPr>
                <w:sz w:val="19"/>
                <w:szCs w:val="19"/>
              </w:rPr>
            </w:pPr>
            <w:r w:rsidRPr="00124B6E">
              <w:rPr>
                <w:color w:val="000000"/>
                <w:sz w:val="19"/>
                <w:szCs w:val="19"/>
              </w:rPr>
              <w:t>Lighting</w:t>
            </w:r>
          </w:p>
        </w:tc>
        <w:tc>
          <w:tcPr>
            <w:tcW w:w="2312" w:type="dxa"/>
            <w:shd w:val="clear" w:color="auto" w:fill="D2EAF1"/>
            <w:noWrap/>
          </w:tcPr>
          <w:p w:rsidR="00F467C0" w:rsidRPr="00124B6E" w:rsidRDefault="00F467C0" w:rsidP="004F0C61">
            <w:pPr>
              <w:jc w:val="center"/>
              <w:rPr>
                <w:color w:val="000000"/>
                <w:sz w:val="19"/>
                <w:szCs w:val="19"/>
              </w:rPr>
            </w:pPr>
            <w:r w:rsidRPr="00124B6E">
              <w:rPr>
                <w:color w:val="000000"/>
                <w:sz w:val="19"/>
                <w:szCs w:val="19"/>
              </w:rPr>
              <w:t>Minor discrepancies in the fixture count and wattages were noted.</w:t>
            </w:r>
          </w:p>
        </w:tc>
        <w:tc>
          <w:tcPr>
            <w:tcW w:w="1170" w:type="dxa"/>
            <w:shd w:val="clear" w:color="auto" w:fill="D2EAF1"/>
          </w:tcPr>
          <w:p w:rsidR="00F467C0" w:rsidRPr="00124B6E" w:rsidRDefault="00F467C0" w:rsidP="004F0C61">
            <w:pPr>
              <w:jc w:val="center"/>
              <w:rPr>
                <w:sz w:val="19"/>
                <w:szCs w:val="19"/>
              </w:rPr>
            </w:pPr>
            <w:r w:rsidRPr="00124B6E">
              <w:rPr>
                <w:color w:val="000000"/>
                <w:sz w:val="19"/>
                <w:szCs w:val="19"/>
              </w:rPr>
              <w:t>Eval</w:t>
            </w:r>
          </w:p>
        </w:tc>
        <w:tc>
          <w:tcPr>
            <w:tcW w:w="3448" w:type="dxa"/>
            <w:shd w:val="clear" w:color="auto" w:fill="D2EAF1"/>
            <w:noWrap/>
          </w:tcPr>
          <w:p w:rsidR="00F467C0" w:rsidRPr="00124B6E" w:rsidRDefault="00F467C0" w:rsidP="004F0C61">
            <w:pPr>
              <w:jc w:val="center"/>
              <w:rPr>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124B6E" w:rsidRDefault="00F467C0" w:rsidP="004F0C61">
            <w:pPr>
              <w:jc w:val="left"/>
              <w:rPr>
                <w:sz w:val="19"/>
                <w:szCs w:val="19"/>
              </w:rPr>
            </w:pPr>
            <w:r w:rsidRPr="00124B6E">
              <w:rPr>
                <w:sz w:val="19"/>
                <w:szCs w:val="19"/>
              </w:rPr>
              <w:t>PRJ-384530</w:t>
            </w:r>
          </w:p>
        </w:tc>
        <w:tc>
          <w:tcPr>
            <w:tcW w:w="1260" w:type="dxa"/>
            <w:shd w:val="clear" w:color="auto" w:fill="auto"/>
            <w:noWrap/>
          </w:tcPr>
          <w:p w:rsidR="00F467C0" w:rsidRPr="00124B6E" w:rsidRDefault="00F467C0" w:rsidP="004F0C61">
            <w:pPr>
              <w:jc w:val="center"/>
              <w:rPr>
                <w:sz w:val="19"/>
                <w:szCs w:val="19"/>
              </w:rPr>
            </w:pPr>
            <w:r w:rsidRPr="00124B6E">
              <w:rPr>
                <w:color w:val="000000"/>
                <w:sz w:val="19"/>
                <w:szCs w:val="19"/>
              </w:rPr>
              <w:t>Lighting</w:t>
            </w:r>
          </w:p>
        </w:tc>
        <w:tc>
          <w:tcPr>
            <w:tcW w:w="2312" w:type="dxa"/>
            <w:shd w:val="clear" w:color="auto" w:fill="auto"/>
            <w:noWrap/>
          </w:tcPr>
          <w:p w:rsidR="00F467C0" w:rsidRPr="00124B6E" w:rsidRDefault="00F467C0" w:rsidP="004F0C61">
            <w:pPr>
              <w:jc w:val="center"/>
              <w:rPr>
                <w:color w:val="000000"/>
                <w:sz w:val="19"/>
                <w:szCs w:val="19"/>
              </w:rPr>
            </w:pPr>
            <w:r w:rsidRPr="00124B6E">
              <w:rPr>
                <w:color w:val="000000"/>
                <w:sz w:val="19"/>
                <w:szCs w:val="19"/>
              </w:rPr>
              <w:t>Although the final verified savings is correct, the Appendix C calculator was not used in its original form.</w:t>
            </w:r>
          </w:p>
        </w:tc>
        <w:tc>
          <w:tcPr>
            <w:tcW w:w="1170" w:type="dxa"/>
            <w:shd w:val="clear" w:color="auto" w:fill="auto"/>
          </w:tcPr>
          <w:p w:rsidR="00F467C0" w:rsidRPr="00124B6E" w:rsidRDefault="00F467C0" w:rsidP="004F0C61">
            <w:pPr>
              <w:jc w:val="center"/>
              <w:rPr>
                <w:sz w:val="19"/>
                <w:szCs w:val="19"/>
              </w:rPr>
            </w:pPr>
            <w:r w:rsidRPr="00124B6E">
              <w:rPr>
                <w:color w:val="000000"/>
                <w:sz w:val="19"/>
                <w:szCs w:val="19"/>
              </w:rPr>
              <w:t>Eval</w:t>
            </w:r>
          </w:p>
        </w:tc>
        <w:tc>
          <w:tcPr>
            <w:tcW w:w="3448" w:type="dxa"/>
            <w:shd w:val="clear" w:color="auto" w:fill="auto"/>
            <w:noWrap/>
          </w:tcPr>
          <w:p w:rsidR="00F467C0" w:rsidRPr="00124B6E" w:rsidRDefault="00F467C0" w:rsidP="004F0C61">
            <w:pPr>
              <w:jc w:val="center"/>
              <w:rPr>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r w:rsidR="00A874AC" w:rsidRPr="004B56B4" w:rsidTr="006F4CC7">
        <w:trPr>
          <w:trHeight w:val="300"/>
        </w:trPr>
        <w:tc>
          <w:tcPr>
            <w:tcW w:w="1160" w:type="dxa"/>
            <w:shd w:val="clear" w:color="auto" w:fill="D2EAF1"/>
            <w:noWrap/>
          </w:tcPr>
          <w:p w:rsidR="00F467C0" w:rsidRPr="00124B6E" w:rsidRDefault="00F467C0" w:rsidP="004F0C61">
            <w:pPr>
              <w:jc w:val="left"/>
              <w:rPr>
                <w:sz w:val="19"/>
                <w:szCs w:val="19"/>
              </w:rPr>
            </w:pPr>
            <w:r w:rsidRPr="00124B6E">
              <w:rPr>
                <w:sz w:val="19"/>
                <w:szCs w:val="19"/>
              </w:rPr>
              <w:t>PRJ-378994</w:t>
            </w:r>
          </w:p>
        </w:tc>
        <w:tc>
          <w:tcPr>
            <w:tcW w:w="1260" w:type="dxa"/>
            <w:shd w:val="clear" w:color="auto" w:fill="D2EAF1"/>
            <w:noWrap/>
          </w:tcPr>
          <w:p w:rsidR="00F467C0" w:rsidRPr="00124B6E" w:rsidRDefault="00F467C0" w:rsidP="004F0C61">
            <w:pPr>
              <w:jc w:val="center"/>
              <w:rPr>
                <w:sz w:val="19"/>
                <w:szCs w:val="19"/>
              </w:rPr>
            </w:pPr>
            <w:r w:rsidRPr="00124B6E">
              <w:rPr>
                <w:color w:val="000000"/>
                <w:sz w:val="19"/>
                <w:szCs w:val="19"/>
              </w:rPr>
              <w:t>Lighting</w:t>
            </w:r>
          </w:p>
        </w:tc>
        <w:tc>
          <w:tcPr>
            <w:tcW w:w="2312" w:type="dxa"/>
            <w:shd w:val="clear" w:color="auto" w:fill="D2EAF1"/>
            <w:noWrap/>
          </w:tcPr>
          <w:p w:rsidR="00F467C0" w:rsidRPr="00124B6E" w:rsidRDefault="00F467C0" w:rsidP="004F0C61">
            <w:pPr>
              <w:jc w:val="center"/>
              <w:rPr>
                <w:color w:val="000000"/>
                <w:sz w:val="19"/>
                <w:szCs w:val="19"/>
              </w:rPr>
            </w:pPr>
            <w:r w:rsidRPr="00124B6E">
              <w:rPr>
                <w:color w:val="000000"/>
                <w:sz w:val="19"/>
                <w:szCs w:val="19"/>
              </w:rPr>
              <w:t>Minor discrepancies in the fixture count were noted.</w:t>
            </w:r>
          </w:p>
        </w:tc>
        <w:tc>
          <w:tcPr>
            <w:tcW w:w="1170" w:type="dxa"/>
            <w:shd w:val="clear" w:color="auto" w:fill="D2EAF1"/>
            <w:noWrap/>
          </w:tcPr>
          <w:p w:rsidR="00F467C0" w:rsidRPr="00124B6E" w:rsidRDefault="00F467C0" w:rsidP="004F0C61">
            <w:pPr>
              <w:jc w:val="center"/>
              <w:rPr>
                <w:sz w:val="19"/>
                <w:szCs w:val="19"/>
              </w:rPr>
            </w:pPr>
            <w:r w:rsidRPr="00124B6E">
              <w:rPr>
                <w:color w:val="000000"/>
                <w:sz w:val="19"/>
                <w:szCs w:val="19"/>
              </w:rPr>
              <w:t>Eval</w:t>
            </w:r>
          </w:p>
        </w:tc>
        <w:tc>
          <w:tcPr>
            <w:tcW w:w="3448" w:type="dxa"/>
            <w:shd w:val="clear" w:color="auto" w:fill="D2EAF1"/>
            <w:noWrap/>
          </w:tcPr>
          <w:p w:rsidR="00F467C0" w:rsidRPr="00124B6E" w:rsidRDefault="00F467C0" w:rsidP="004F0C61">
            <w:pPr>
              <w:jc w:val="center"/>
              <w:rPr>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124B6E" w:rsidRDefault="00F467C0" w:rsidP="004F0C61">
            <w:pPr>
              <w:jc w:val="left"/>
              <w:rPr>
                <w:sz w:val="19"/>
                <w:szCs w:val="19"/>
              </w:rPr>
            </w:pPr>
            <w:r w:rsidRPr="00124B6E">
              <w:rPr>
                <w:sz w:val="19"/>
                <w:szCs w:val="19"/>
              </w:rPr>
              <w:t>PRJ-388066</w:t>
            </w:r>
          </w:p>
        </w:tc>
        <w:tc>
          <w:tcPr>
            <w:tcW w:w="1260" w:type="dxa"/>
            <w:shd w:val="clear" w:color="auto" w:fill="auto"/>
            <w:noWrap/>
          </w:tcPr>
          <w:p w:rsidR="00F467C0" w:rsidRPr="00124B6E" w:rsidRDefault="00F467C0" w:rsidP="004F0C61">
            <w:pPr>
              <w:jc w:val="center"/>
              <w:rPr>
                <w:sz w:val="19"/>
                <w:szCs w:val="19"/>
              </w:rPr>
            </w:pPr>
            <w:r w:rsidRPr="00124B6E">
              <w:rPr>
                <w:color w:val="000000"/>
                <w:sz w:val="19"/>
                <w:szCs w:val="19"/>
              </w:rPr>
              <w:t>Lighting</w:t>
            </w:r>
          </w:p>
        </w:tc>
        <w:tc>
          <w:tcPr>
            <w:tcW w:w="2312" w:type="dxa"/>
            <w:shd w:val="clear" w:color="auto" w:fill="auto"/>
            <w:noWrap/>
          </w:tcPr>
          <w:p w:rsidR="00F467C0" w:rsidRPr="00124B6E" w:rsidRDefault="00F467C0" w:rsidP="004F0C61">
            <w:pPr>
              <w:jc w:val="center"/>
              <w:rPr>
                <w:color w:val="000000"/>
                <w:sz w:val="19"/>
                <w:szCs w:val="19"/>
              </w:rPr>
            </w:pPr>
            <w:r w:rsidRPr="00124B6E">
              <w:rPr>
                <w:color w:val="000000"/>
                <w:sz w:val="19"/>
                <w:szCs w:val="19"/>
              </w:rPr>
              <w:t>Although the final verified savings is correct, the Appendix C calculator was not used in its original form.</w:t>
            </w:r>
          </w:p>
        </w:tc>
        <w:tc>
          <w:tcPr>
            <w:tcW w:w="1170" w:type="dxa"/>
            <w:shd w:val="clear" w:color="auto" w:fill="auto"/>
            <w:noWrap/>
          </w:tcPr>
          <w:p w:rsidR="00F467C0" w:rsidRPr="00124B6E" w:rsidRDefault="00F467C0" w:rsidP="004F0C61">
            <w:pPr>
              <w:jc w:val="center"/>
              <w:rPr>
                <w:sz w:val="19"/>
                <w:szCs w:val="19"/>
              </w:rPr>
            </w:pPr>
            <w:r w:rsidRPr="00124B6E">
              <w:rPr>
                <w:color w:val="000000"/>
                <w:sz w:val="19"/>
                <w:szCs w:val="19"/>
              </w:rPr>
              <w:t>Eval</w:t>
            </w:r>
          </w:p>
        </w:tc>
        <w:tc>
          <w:tcPr>
            <w:tcW w:w="3448" w:type="dxa"/>
            <w:shd w:val="clear" w:color="auto" w:fill="auto"/>
            <w:noWrap/>
          </w:tcPr>
          <w:p w:rsidR="00F467C0" w:rsidRPr="00124B6E" w:rsidRDefault="00F467C0" w:rsidP="004F0C61">
            <w:pPr>
              <w:jc w:val="center"/>
              <w:rPr>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r w:rsidR="00A874AC" w:rsidRPr="004B56B4" w:rsidTr="006F4CC7">
        <w:trPr>
          <w:trHeight w:val="300"/>
        </w:trPr>
        <w:tc>
          <w:tcPr>
            <w:tcW w:w="1160" w:type="dxa"/>
            <w:shd w:val="clear" w:color="auto" w:fill="D2EAF1"/>
            <w:noWrap/>
          </w:tcPr>
          <w:p w:rsidR="00F467C0" w:rsidRPr="00124B6E" w:rsidRDefault="00F467C0" w:rsidP="004F0C61">
            <w:pPr>
              <w:jc w:val="left"/>
              <w:rPr>
                <w:sz w:val="19"/>
                <w:szCs w:val="19"/>
              </w:rPr>
            </w:pPr>
            <w:r w:rsidRPr="00124B6E">
              <w:rPr>
                <w:sz w:val="19"/>
                <w:szCs w:val="19"/>
              </w:rPr>
              <w:t>PRJ-387812</w:t>
            </w:r>
          </w:p>
        </w:tc>
        <w:tc>
          <w:tcPr>
            <w:tcW w:w="1260" w:type="dxa"/>
            <w:shd w:val="clear" w:color="auto" w:fill="D2EAF1"/>
            <w:noWrap/>
          </w:tcPr>
          <w:p w:rsidR="00F467C0" w:rsidRPr="00124B6E" w:rsidRDefault="00F467C0" w:rsidP="004F0C61">
            <w:pPr>
              <w:jc w:val="center"/>
              <w:rPr>
                <w:sz w:val="19"/>
                <w:szCs w:val="19"/>
              </w:rPr>
            </w:pPr>
            <w:r w:rsidRPr="00124B6E">
              <w:rPr>
                <w:color w:val="000000"/>
                <w:sz w:val="19"/>
                <w:szCs w:val="19"/>
              </w:rPr>
              <w:t>Lighting</w:t>
            </w:r>
          </w:p>
        </w:tc>
        <w:tc>
          <w:tcPr>
            <w:tcW w:w="2312" w:type="dxa"/>
            <w:shd w:val="clear" w:color="auto" w:fill="D2EAF1"/>
            <w:noWrap/>
          </w:tcPr>
          <w:p w:rsidR="00F467C0" w:rsidRPr="00124B6E" w:rsidRDefault="00F467C0" w:rsidP="004F0C61">
            <w:pPr>
              <w:jc w:val="center"/>
              <w:rPr>
                <w:sz w:val="19"/>
                <w:szCs w:val="19"/>
              </w:rPr>
            </w:pPr>
            <w:r w:rsidRPr="00124B6E">
              <w:rPr>
                <w:sz w:val="19"/>
                <w:szCs w:val="19"/>
              </w:rPr>
              <w:t>Although the final verified savings is correct, the Appendix C calculator was not used in its original form.</w:t>
            </w:r>
          </w:p>
        </w:tc>
        <w:tc>
          <w:tcPr>
            <w:tcW w:w="1170" w:type="dxa"/>
            <w:shd w:val="clear" w:color="auto" w:fill="D2EAF1"/>
            <w:noWrap/>
          </w:tcPr>
          <w:p w:rsidR="00F467C0" w:rsidRPr="00124B6E" w:rsidRDefault="00F467C0" w:rsidP="004F0C61">
            <w:pPr>
              <w:jc w:val="center"/>
              <w:rPr>
                <w:sz w:val="19"/>
                <w:szCs w:val="19"/>
              </w:rPr>
            </w:pPr>
            <w:r w:rsidRPr="00124B6E">
              <w:rPr>
                <w:color w:val="000000"/>
                <w:sz w:val="19"/>
                <w:szCs w:val="19"/>
              </w:rPr>
              <w:t>Eval</w:t>
            </w:r>
          </w:p>
        </w:tc>
        <w:tc>
          <w:tcPr>
            <w:tcW w:w="3448" w:type="dxa"/>
            <w:shd w:val="clear" w:color="auto" w:fill="D2EAF1"/>
            <w:noWrap/>
          </w:tcPr>
          <w:p w:rsidR="00F467C0" w:rsidRPr="00124B6E" w:rsidRDefault="00F467C0" w:rsidP="004F0C61">
            <w:pPr>
              <w:jc w:val="center"/>
              <w:rPr>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124B6E" w:rsidRDefault="00F467C0" w:rsidP="004F0C61">
            <w:pPr>
              <w:jc w:val="left"/>
              <w:rPr>
                <w:sz w:val="19"/>
                <w:szCs w:val="19"/>
              </w:rPr>
            </w:pPr>
            <w:r w:rsidRPr="00124B6E">
              <w:rPr>
                <w:sz w:val="19"/>
                <w:szCs w:val="19"/>
              </w:rPr>
              <w:t>PRJ-387842</w:t>
            </w:r>
          </w:p>
        </w:tc>
        <w:tc>
          <w:tcPr>
            <w:tcW w:w="1260" w:type="dxa"/>
            <w:shd w:val="clear" w:color="auto" w:fill="auto"/>
            <w:noWrap/>
          </w:tcPr>
          <w:p w:rsidR="00F467C0" w:rsidRPr="00124B6E" w:rsidRDefault="00F467C0" w:rsidP="004F0C61">
            <w:pPr>
              <w:jc w:val="center"/>
              <w:rPr>
                <w:sz w:val="19"/>
                <w:szCs w:val="19"/>
              </w:rPr>
            </w:pPr>
            <w:r w:rsidRPr="00124B6E">
              <w:rPr>
                <w:color w:val="000000"/>
                <w:sz w:val="19"/>
                <w:szCs w:val="19"/>
              </w:rPr>
              <w:t>Lighting</w:t>
            </w:r>
          </w:p>
        </w:tc>
        <w:tc>
          <w:tcPr>
            <w:tcW w:w="2312" w:type="dxa"/>
            <w:shd w:val="clear" w:color="auto" w:fill="auto"/>
            <w:noWrap/>
          </w:tcPr>
          <w:p w:rsidR="00F467C0" w:rsidRPr="00124B6E" w:rsidRDefault="00F467C0" w:rsidP="004F0C61">
            <w:pPr>
              <w:jc w:val="center"/>
              <w:rPr>
                <w:sz w:val="19"/>
                <w:szCs w:val="19"/>
              </w:rPr>
            </w:pPr>
            <w:r w:rsidRPr="00124B6E">
              <w:rPr>
                <w:sz w:val="19"/>
                <w:szCs w:val="19"/>
              </w:rPr>
              <w:t>Although the final verified savings is correct, the Appendix C calculator was not used in its original form.</w:t>
            </w:r>
          </w:p>
        </w:tc>
        <w:tc>
          <w:tcPr>
            <w:tcW w:w="1170" w:type="dxa"/>
            <w:shd w:val="clear" w:color="auto" w:fill="auto"/>
            <w:noWrap/>
          </w:tcPr>
          <w:p w:rsidR="00F467C0" w:rsidRPr="00124B6E" w:rsidRDefault="00F467C0" w:rsidP="004F0C61">
            <w:pPr>
              <w:jc w:val="center"/>
              <w:rPr>
                <w:sz w:val="19"/>
                <w:szCs w:val="19"/>
              </w:rPr>
            </w:pPr>
            <w:r w:rsidRPr="00124B6E">
              <w:rPr>
                <w:color w:val="000000"/>
                <w:sz w:val="19"/>
                <w:szCs w:val="19"/>
              </w:rPr>
              <w:t>Eval</w:t>
            </w:r>
          </w:p>
        </w:tc>
        <w:tc>
          <w:tcPr>
            <w:tcW w:w="3448" w:type="dxa"/>
            <w:shd w:val="clear" w:color="auto" w:fill="auto"/>
            <w:noWrap/>
          </w:tcPr>
          <w:p w:rsidR="00F467C0" w:rsidRPr="00124B6E" w:rsidRDefault="00F467C0" w:rsidP="004F0C61">
            <w:pPr>
              <w:jc w:val="center"/>
              <w:rPr>
                <w:sz w:val="19"/>
                <w:szCs w:val="19"/>
              </w:rPr>
            </w:pPr>
            <w:r w:rsidRPr="00124B6E">
              <w:rPr>
                <w:sz w:val="19"/>
                <w:szCs w:val="19"/>
              </w:rPr>
              <w:t>In the interest of transparency, the SWE Team recommends that the evaluation contractor</w:t>
            </w:r>
            <w:r w:rsidRPr="00124B6E" w:rsidDel="006054DE">
              <w:rPr>
                <w:sz w:val="19"/>
                <w:szCs w:val="19"/>
              </w:rPr>
              <w:t xml:space="preserve"> </w:t>
            </w:r>
            <w:r w:rsidRPr="00124B6E">
              <w:rPr>
                <w:sz w:val="19"/>
                <w:szCs w:val="19"/>
              </w:rPr>
              <w:t>use only the Appendix C calculator for lighting projects moving forward.</w:t>
            </w:r>
          </w:p>
        </w:tc>
      </w:tr>
    </w:tbl>
    <w:p w:rsidR="00F467C0" w:rsidRDefault="00F467C0" w:rsidP="00EC02CE"/>
    <w:p w:rsidR="005C649A" w:rsidRDefault="00F467C0" w:rsidP="0055598C">
      <w:pPr>
        <w:pStyle w:val="AppendixAHeading4"/>
      </w:pPr>
      <w:r>
        <w:t>Verified Savings Review</w:t>
      </w:r>
    </w:p>
    <w:p w:rsidR="00F467C0" w:rsidRPr="003458B1" w:rsidRDefault="00F467C0" w:rsidP="00F467C0">
      <w:pPr>
        <w:rPr>
          <w:color w:val="000000"/>
        </w:rPr>
      </w:pPr>
      <w:r w:rsidRPr="003458B1">
        <w:rPr>
          <w:color w:val="000000"/>
        </w:rPr>
        <w:t>The SWE Team reviewed a subset of West Penn’s sampled sites and found appropriate use of rigor in the evaluation contractor’s M&amp;V methods. There was significant improvement in the presentation of M&amp;V methodology and results in P</w:t>
      </w:r>
      <w:r>
        <w:rPr>
          <w:color w:val="000000"/>
        </w:rPr>
        <w:t>Y7 with the inclusion of a site-</w:t>
      </w:r>
      <w:r w:rsidRPr="003458B1">
        <w:rPr>
          <w:color w:val="000000"/>
        </w:rPr>
        <w:t xml:space="preserve">level report in each project file. </w:t>
      </w:r>
      <w:r w:rsidRPr="003458B1">
        <w:fldChar w:fldCharType="begin"/>
      </w:r>
      <w:r w:rsidRPr="003458B1">
        <w:rPr>
          <w:color w:val="000000"/>
        </w:rPr>
        <w:instrText xml:space="preserve"> REF _Ref440267998 \h </w:instrText>
      </w:r>
      <w:r w:rsidRPr="003458B1">
        <w:instrText xml:space="preserve"> \* MERGEFORMAT </w:instrText>
      </w:r>
      <w:r w:rsidRPr="003458B1">
        <w:fldChar w:fldCharType="separate"/>
      </w:r>
      <w:r w:rsidR="00037CB4" w:rsidRPr="003458B1">
        <w:t>Table A-</w:t>
      </w:r>
      <w:r w:rsidR="00037CB4">
        <w:t>100</w:t>
      </w:r>
      <w:r w:rsidRPr="003458B1">
        <w:fldChar w:fldCharType="end"/>
      </w:r>
      <w:r w:rsidRPr="003458B1">
        <w:t xml:space="preserve"> </w:t>
      </w:r>
      <w:r w:rsidRPr="003458B1">
        <w:rPr>
          <w:color w:val="000000"/>
        </w:rPr>
        <w:t>shows the energy and demand savings for projects the SWE Team chose to review, as well as the M&amp;V approach selected for site evaluation.</w:t>
      </w:r>
    </w:p>
    <w:p w:rsidR="00F467C0" w:rsidRPr="003458B1" w:rsidRDefault="00F467C0" w:rsidP="00F467C0">
      <w:pPr>
        <w:rPr>
          <w:color w:val="000000"/>
        </w:rPr>
      </w:pPr>
    </w:p>
    <w:p w:rsidR="00F467C0" w:rsidRPr="003458B1" w:rsidRDefault="00F467C0" w:rsidP="004837FA">
      <w:pPr>
        <w:pStyle w:val="Caption"/>
      </w:pPr>
      <w:bookmarkStart w:id="1079" w:name="_Ref440267998"/>
      <w:bookmarkStart w:id="1080" w:name="_Ref431396420"/>
      <w:bookmarkStart w:id="1081" w:name="_Toc431462366"/>
      <w:bookmarkStart w:id="1082" w:name="_Toc444269892"/>
      <w:bookmarkStart w:id="1083" w:name="_Toc472472509"/>
      <w:bookmarkStart w:id="1084" w:name="_Toc488741928"/>
      <w:r w:rsidRPr="003458B1">
        <w:t>Table A-</w:t>
      </w:r>
      <w:r w:rsidR="007973A4">
        <w:fldChar w:fldCharType="begin"/>
      </w:r>
      <w:r w:rsidR="007973A4">
        <w:instrText xml:space="preserve"> SEQ Table_A- \* ARABIC </w:instrText>
      </w:r>
      <w:r w:rsidR="007973A4">
        <w:fldChar w:fldCharType="separate"/>
      </w:r>
      <w:r w:rsidR="00037CB4">
        <w:rPr>
          <w:noProof/>
        </w:rPr>
        <w:t>100</w:t>
      </w:r>
      <w:r w:rsidR="007973A4">
        <w:rPr>
          <w:noProof/>
        </w:rPr>
        <w:fldChar w:fldCharType="end"/>
      </w:r>
      <w:bookmarkEnd w:id="1079"/>
      <w:r w:rsidRPr="003458B1">
        <w:t>: Verified Saving</w:t>
      </w:r>
      <w:r>
        <w:t>s and M&amp;V Methods for SWE Team–S</w:t>
      </w:r>
      <w:r w:rsidRPr="003458B1">
        <w:t>ampled West Penn Projects</w:t>
      </w:r>
      <w:bookmarkEnd w:id="1080"/>
      <w:bookmarkEnd w:id="1081"/>
      <w:bookmarkEnd w:id="1082"/>
      <w:bookmarkEnd w:id="1083"/>
      <w:bookmarkEnd w:id="1084"/>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601"/>
        <w:gridCol w:w="1118"/>
        <w:gridCol w:w="1594"/>
        <w:gridCol w:w="1594"/>
        <w:gridCol w:w="1572"/>
        <w:gridCol w:w="1871"/>
      </w:tblGrid>
      <w:tr w:rsidR="00A874AC" w:rsidRPr="00124B6E" w:rsidTr="004F0C61">
        <w:trPr>
          <w:jc w:val="center"/>
        </w:trPr>
        <w:tc>
          <w:tcPr>
            <w:tcW w:w="1601" w:type="dxa"/>
            <w:shd w:val="clear" w:color="auto" w:fill="448A99"/>
            <w:vAlign w:val="bottom"/>
          </w:tcPr>
          <w:p w:rsidR="00F467C0" w:rsidRPr="00124B6E" w:rsidRDefault="00F467C0" w:rsidP="004F0C61">
            <w:pPr>
              <w:jc w:val="left"/>
              <w:rPr>
                <w:rFonts w:eastAsia="Calibri"/>
                <w:b/>
                <w:color w:val="FFFFFF"/>
                <w:sz w:val="19"/>
                <w:szCs w:val="19"/>
              </w:rPr>
            </w:pPr>
            <w:r w:rsidRPr="00124B6E">
              <w:rPr>
                <w:rFonts w:eastAsia="Calibri"/>
                <w:b/>
                <w:color w:val="FFFFFF"/>
                <w:sz w:val="19"/>
                <w:szCs w:val="19"/>
              </w:rPr>
              <w:t>Program</w:t>
            </w:r>
          </w:p>
        </w:tc>
        <w:tc>
          <w:tcPr>
            <w:tcW w:w="1118" w:type="dxa"/>
            <w:shd w:val="clear" w:color="auto" w:fill="448A99"/>
            <w:vAlign w:val="bottom"/>
          </w:tcPr>
          <w:p w:rsidR="00F467C0" w:rsidRPr="00124B6E" w:rsidRDefault="00F467C0" w:rsidP="004F0C61">
            <w:pPr>
              <w:jc w:val="center"/>
              <w:rPr>
                <w:rFonts w:eastAsia="Calibri"/>
                <w:b/>
                <w:color w:val="FFFFFF"/>
                <w:sz w:val="19"/>
                <w:szCs w:val="19"/>
              </w:rPr>
            </w:pPr>
            <w:r w:rsidRPr="00124B6E">
              <w:rPr>
                <w:rFonts w:eastAsia="Calibri"/>
                <w:b/>
                <w:color w:val="FFFFFF"/>
                <w:sz w:val="19"/>
                <w:szCs w:val="19"/>
              </w:rPr>
              <w:t>Project Number</w:t>
            </w:r>
          </w:p>
        </w:tc>
        <w:tc>
          <w:tcPr>
            <w:tcW w:w="1594" w:type="dxa"/>
            <w:shd w:val="clear" w:color="auto" w:fill="448A99"/>
            <w:vAlign w:val="bottom"/>
          </w:tcPr>
          <w:p w:rsidR="00F467C0" w:rsidRPr="00124B6E" w:rsidRDefault="00F467C0" w:rsidP="004F0C61">
            <w:pPr>
              <w:jc w:val="center"/>
              <w:rPr>
                <w:rFonts w:eastAsia="Calibri"/>
                <w:b/>
                <w:color w:val="FFFFFF"/>
                <w:sz w:val="19"/>
                <w:szCs w:val="19"/>
              </w:rPr>
            </w:pPr>
            <w:r w:rsidRPr="00124B6E">
              <w:rPr>
                <w:rFonts w:eastAsia="Calibri"/>
                <w:b/>
                <w:color w:val="FFFFFF"/>
                <w:sz w:val="19"/>
                <w:szCs w:val="19"/>
              </w:rPr>
              <w:t>Stratum</w:t>
            </w:r>
          </w:p>
        </w:tc>
        <w:tc>
          <w:tcPr>
            <w:tcW w:w="1594" w:type="dxa"/>
            <w:shd w:val="clear" w:color="auto" w:fill="448A99"/>
            <w:vAlign w:val="bottom"/>
          </w:tcPr>
          <w:p w:rsidR="00F467C0" w:rsidRPr="00124B6E" w:rsidRDefault="00F467C0" w:rsidP="004F0C61">
            <w:pPr>
              <w:jc w:val="center"/>
              <w:rPr>
                <w:rFonts w:eastAsia="Calibri"/>
                <w:b/>
                <w:color w:val="FFFFFF"/>
                <w:sz w:val="19"/>
                <w:szCs w:val="19"/>
              </w:rPr>
            </w:pPr>
            <w:r w:rsidRPr="00124B6E">
              <w:rPr>
                <w:rFonts w:eastAsia="Calibri"/>
                <w:b/>
                <w:color w:val="FFFFFF"/>
                <w:sz w:val="19"/>
                <w:szCs w:val="19"/>
              </w:rPr>
              <w:t>Verified Energy Savings (kWh)</w:t>
            </w:r>
          </w:p>
        </w:tc>
        <w:tc>
          <w:tcPr>
            <w:tcW w:w="1572" w:type="dxa"/>
            <w:shd w:val="clear" w:color="auto" w:fill="448A99"/>
            <w:vAlign w:val="bottom"/>
          </w:tcPr>
          <w:p w:rsidR="00F467C0" w:rsidRPr="00124B6E" w:rsidRDefault="00F467C0" w:rsidP="004F0C61">
            <w:pPr>
              <w:jc w:val="center"/>
              <w:rPr>
                <w:rFonts w:eastAsia="Calibri"/>
                <w:b/>
                <w:color w:val="FFFFFF"/>
                <w:sz w:val="19"/>
                <w:szCs w:val="19"/>
              </w:rPr>
            </w:pPr>
            <w:r w:rsidRPr="00124B6E">
              <w:rPr>
                <w:rFonts w:eastAsia="Calibri"/>
                <w:b/>
                <w:color w:val="FFFFFF"/>
                <w:sz w:val="19"/>
                <w:szCs w:val="19"/>
              </w:rPr>
              <w:t>Verified Demand Savings (kW)</w:t>
            </w:r>
          </w:p>
        </w:tc>
        <w:tc>
          <w:tcPr>
            <w:tcW w:w="1871" w:type="dxa"/>
            <w:shd w:val="clear" w:color="auto" w:fill="448A99"/>
            <w:vAlign w:val="bottom"/>
          </w:tcPr>
          <w:p w:rsidR="00F467C0" w:rsidRPr="00124B6E" w:rsidRDefault="00F467C0" w:rsidP="004F0C61">
            <w:pPr>
              <w:jc w:val="center"/>
              <w:rPr>
                <w:rFonts w:eastAsia="Calibri"/>
                <w:b/>
                <w:color w:val="FFFFFF"/>
                <w:sz w:val="19"/>
                <w:szCs w:val="19"/>
              </w:rPr>
            </w:pPr>
            <w:r w:rsidRPr="00124B6E">
              <w:rPr>
                <w:rFonts w:eastAsia="Calibri"/>
                <w:b/>
                <w:color w:val="FFFFFF"/>
                <w:sz w:val="19"/>
                <w:szCs w:val="19"/>
              </w:rPr>
              <w:t>M&amp;V Method</w:t>
            </w:r>
          </w:p>
        </w:tc>
      </w:tr>
      <w:tr w:rsidR="00A874AC" w:rsidRPr="00124B6E" w:rsidTr="004F0C61">
        <w:trPr>
          <w:trHeight w:val="346"/>
          <w:jc w:val="center"/>
        </w:trPr>
        <w:tc>
          <w:tcPr>
            <w:tcW w:w="1601" w:type="dxa"/>
            <w:shd w:val="clear" w:color="auto" w:fill="D2EAF1"/>
            <w:vAlign w:val="center"/>
          </w:tcPr>
          <w:p w:rsidR="00F467C0" w:rsidRPr="00124B6E" w:rsidRDefault="00F467C0" w:rsidP="004F0C61">
            <w:pPr>
              <w:jc w:val="left"/>
              <w:rPr>
                <w:rFonts w:eastAsia="Calibri"/>
                <w:sz w:val="19"/>
                <w:szCs w:val="19"/>
              </w:rPr>
            </w:pPr>
            <w:r w:rsidRPr="00124B6E">
              <w:rPr>
                <w:rFonts w:eastAsia="Calibri"/>
                <w:sz w:val="19"/>
                <w:szCs w:val="19"/>
              </w:rPr>
              <w:t>Large C/I Equipment</w:t>
            </w:r>
          </w:p>
        </w:tc>
        <w:tc>
          <w:tcPr>
            <w:tcW w:w="1118"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CR_PRJ-632496</w:t>
            </w:r>
          </w:p>
        </w:tc>
        <w:tc>
          <w:tcPr>
            <w:tcW w:w="1594"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Lighting – certainty</w:t>
            </w:r>
          </w:p>
        </w:tc>
        <w:tc>
          <w:tcPr>
            <w:tcW w:w="1594"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2,248,623</w:t>
            </w:r>
          </w:p>
        </w:tc>
        <w:tc>
          <w:tcPr>
            <w:tcW w:w="1572"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376.95</w:t>
            </w:r>
          </w:p>
        </w:tc>
        <w:tc>
          <w:tcPr>
            <w:tcW w:w="1871"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On-site + logging</w:t>
            </w:r>
          </w:p>
        </w:tc>
      </w:tr>
      <w:tr w:rsidR="00E7173E" w:rsidRPr="00124B6E" w:rsidTr="008F60E1">
        <w:trPr>
          <w:trHeight w:val="346"/>
          <w:jc w:val="center"/>
        </w:trPr>
        <w:tc>
          <w:tcPr>
            <w:tcW w:w="1601" w:type="dxa"/>
            <w:shd w:val="clear" w:color="auto" w:fill="auto"/>
            <w:vAlign w:val="center"/>
          </w:tcPr>
          <w:p w:rsidR="00F467C0" w:rsidRPr="00124B6E" w:rsidRDefault="00F467C0" w:rsidP="004F0C61">
            <w:pPr>
              <w:jc w:val="left"/>
              <w:rPr>
                <w:rFonts w:eastAsia="Calibri"/>
                <w:sz w:val="19"/>
                <w:szCs w:val="19"/>
              </w:rPr>
            </w:pPr>
            <w:r w:rsidRPr="00124B6E">
              <w:rPr>
                <w:rFonts w:eastAsia="Calibri"/>
                <w:sz w:val="19"/>
                <w:szCs w:val="19"/>
              </w:rPr>
              <w:t>Large C/I Equipment</w:t>
            </w:r>
          </w:p>
        </w:tc>
        <w:tc>
          <w:tcPr>
            <w:tcW w:w="1118"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CR_PRJ-641534</w:t>
            </w:r>
          </w:p>
        </w:tc>
        <w:tc>
          <w:tcPr>
            <w:tcW w:w="1594"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Custom – certainty</w:t>
            </w:r>
          </w:p>
        </w:tc>
        <w:tc>
          <w:tcPr>
            <w:tcW w:w="1594"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616,850</w:t>
            </w:r>
          </w:p>
        </w:tc>
        <w:tc>
          <w:tcPr>
            <w:tcW w:w="1572"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70.42</w:t>
            </w:r>
          </w:p>
        </w:tc>
        <w:tc>
          <w:tcPr>
            <w:tcW w:w="1871"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Option B regression</w:t>
            </w:r>
          </w:p>
        </w:tc>
      </w:tr>
      <w:tr w:rsidR="00A874AC" w:rsidRPr="00124B6E" w:rsidTr="004F0C61">
        <w:trPr>
          <w:trHeight w:val="346"/>
          <w:jc w:val="center"/>
        </w:trPr>
        <w:tc>
          <w:tcPr>
            <w:tcW w:w="1601" w:type="dxa"/>
            <w:shd w:val="clear" w:color="auto" w:fill="D2EAF1"/>
            <w:vAlign w:val="center"/>
          </w:tcPr>
          <w:p w:rsidR="00F467C0" w:rsidRPr="00124B6E" w:rsidRDefault="00F467C0" w:rsidP="004F0C61">
            <w:pPr>
              <w:jc w:val="left"/>
              <w:rPr>
                <w:rFonts w:eastAsia="Calibri"/>
                <w:sz w:val="19"/>
                <w:szCs w:val="19"/>
              </w:rPr>
            </w:pPr>
            <w:r w:rsidRPr="00124B6E">
              <w:rPr>
                <w:rFonts w:eastAsia="Calibri"/>
                <w:sz w:val="19"/>
                <w:szCs w:val="19"/>
              </w:rPr>
              <w:t>Government</w:t>
            </w:r>
          </w:p>
        </w:tc>
        <w:tc>
          <w:tcPr>
            <w:tcW w:w="1118"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CR_PRJ-754676</w:t>
            </w:r>
          </w:p>
        </w:tc>
        <w:tc>
          <w:tcPr>
            <w:tcW w:w="1594"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Lighting – 3</w:t>
            </w:r>
          </w:p>
        </w:tc>
        <w:tc>
          <w:tcPr>
            <w:tcW w:w="1594"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22,323</w:t>
            </w:r>
          </w:p>
        </w:tc>
        <w:tc>
          <w:tcPr>
            <w:tcW w:w="1572"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0</w:t>
            </w:r>
          </w:p>
        </w:tc>
        <w:tc>
          <w:tcPr>
            <w:tcW w:w="1871"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On-site verification (exterior lighting)</w:t>
            </w:r>
          </w:p>
        </w:tc>
      </w:tr>
      <w:tr w:rsidR="00E7173E" w:rsidRPr="00124B6E" w:rsidTr="008F60E1">
        <w:trPr>
          <w:trHeight w:val="346"/>
          <w:jc w:val="center"/>
        </w:trPr>
        <w:tc>
          <w:tcPr>
            <w:tcW w:w="1601" w:type="dxa"/>
            <w:shd w:val="clear" w:color="auto" w:fill="auto"/>
            <w:vAlign w:val="center"/>
          </w:tcPr>
          <w:p w:rsidR="00F467C0" w:rsidRPr="00124B6E" w:rsidRDefault="00F467C0" w:rsidP="004F0C61">
            <w:pPr>
              <w:jc w:val="left"/>
              <w:rPr>
                <w:rFonts w:eastAsia="Calibri"/>
                <w:sz w:val="19"/>
                <w:szCs w:val="19"/>
              </w:rPr>
            </w:pPr>
            <w:r w:rsidRPr="00124B6E">
              <w:rPr>
                <w:rFonts w:eastAsia="Calibri"/>
                <w:sz w:val="19"/>
                <w:szCs w:val="19"/>
              </w:rPr>
              <w:t>Large C/I Equipment</w:t>
            </w:r>
          </w:p>
        </w:tc>
        <w:tc>
          <w:tcPr>
            <w:tcW w:w="1118"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CR_PRJ-465810</w:t>
            </w:r>
          </w:p>
        </w:tc>
        <w:tc>
          <w:tcPr>
            <w:tcW w:w="1594"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Custom – certainty</w:t>
            </w:r>
          </w:p>
        </w:tc>
        <w:tc>
          <w:tcPr>
            <w:tcW w:w="1594"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10,144,860</w:t>
            </w:r>
          </w:p>
        </w:tc>
        <w:tc>
          <w:tcPr>
            <w:tcW w:w="1572"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1,211.4</w:t>
            </w:r>
          </w:p>
        </w:tc>
        <w:tc>
          <w:tcPr>
            <w:tcW w:w="1871" w:type="dxa"/>
            <w:shd w:val="clear" w:color="auto" w:fill="auto"/>
            <w:vAlign w:val="center"/>
          </w:tcPr>
          <w:p w:rsidR="00F467C0" w:rsidRPr="00124B6E" w:rsidRDefault="00F467C0" w:rsidP="004F0C61">
            <w:pPr>
              <w:jc w:val="center"/>
              <w:rPr>
                <w:rFonts w:eastAsia="Calibri"/>
                <w:sz w:val="19"/>
                <w:szCs w:val="19"/>
              </w:rPr>
            </w:pPr>
            <w:r w:rsidRPr="00124B6E">
              <w:rPr>
                <w:rFonts w:cs="Calibri"/>
                <w:color w:val="000000"/>
                <w:sz w:val="19"/>
                <w:szCs w:val="19"/>
              </w:rPr>
              <w:t>Billing analysis; EMS data analysis</w:t>
            </w:r>
          </w:p>
        </w:tc>
      </w:tr>
      <w:tr w:rsidR="00A874AC" w:rsidRPr="00124B6E" w:rsidTr="004F0C61">
        <w:trPr>
          <w:trHeight w:val="346"/>
          <w:jc w:val="center"/>
        </w:trPr>
        <w:tc>
          <w:tcPr>
            <w:tcW w:w="1601" w:type="dxa"/>
            <w:shd w:val="clear" w:color="auto" w:fill="D2EAF1"/>
            <w:vAlign w:val="center"/>
          </w:tcPr>
          <w:p w:rsidR="00F467C0" w:rsidRPr="00124B6E" w:rsidRDefault="00F467C0" w:rsidP="004F0C61">
            <w:pPr>
              <w:jc w:val="left"/>
              <w:rPr>
                <w:rFonts w:eastAsia="Calibri"/>
                <w:sz w:val="19"/>
                <w:szCs w:val="19"/>
              </w:rPr>
            </w:pPr>
            <w:r w:rsidRPr="00124B6E">
              <w:rPr>
                <w:rFonts w:eastAsia="Calibri"/>
                <w:sz w:val="19"/>
                <w:szCs w:val="19"/>
              </w:rPr>
              <w:t>Large C/I Equipment</w:t>
            </w:r>
          </w:p>
        </w:tc>
        <w:tc>
          <w:tcPr>
            <w:tcW w:w="1118"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CR_PRJ-565154</w:t>
            </w:r>
          </w:p>
        </w:tc>
        <w:tc>
          <w:tcPr>
            <w:tcW w:w="1594"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Lighting – 2</w:t>
            </w:r>
          </w:p>
        </w:tc>
        <w:tc>
          <w:tcPr>
            <w:tcW w:w="1594"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1,063,151</w:t>
            </w:r>
          </w:p>
        </w:tc>
        <w:tc>
          <w:tcPr>
            <w:tcW w:w="1572"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94.55</w:t>
            </w:r>
          </w:p>
        </w:tc>
        <w:tc>
          <w:tcPr>
            <w:tcW w:w="1871" w:type="dxa"/>
            <w:shd w:val="clear" w:color="auto" w:fill="D2EAF1"/>
            <w:vAlign w:val="center"/>
          </w:tcPr>
          <w:p w:rsidR="00F467C0" w:rsidRPr="00124B6E" w:rsidRDefault="00F467C0" w:rsidP="004F0C61">
            <w:pPr>
              <w:jc w:val="center"/>
              <w:rPr>
                <w:rFonts w:eastAsia="Calibri"/>
                <w:sz w:val="19"/>
                <w:szCs w:val="19"/>
              </w:rPr>
            </w:pPr>
            <w:r w:rsidRPr="00124B6E">
              <w:rPr>
                <w:rFonts w:cs="Calibri"/>
                <w:color w:val="000000"/>
                <w:sz w:val="19"/>
                <w:szCs w:val="19"/>
              </w:rPr>
              <w:t>On-site + logging; EMS data analysis</w:t>
            </w:r>
          </w:p>
        </w:tc>
      </w:tr>
    </w:tbl>
    <w:p w:rsidR="00F467C0" w:rsidRPr="003458B1" w:rsidRDefault="00F467C0" w:rsidP="00F467C0"/>
    <w:p w:rsidR="00F467C0" w:rsidRPr="003458B1" w:rsidRDefault="00F467C0" w:rsidP="00F467C0">
      <w:r w:rsidRPr="003458B1">
        <w:t xml:space="preserve">Project CR_PRJ-632496 involved </w:t>
      </w:r>
      <w:r>
        <w:t>replacing</w:t>
      </w:r>
      <w:r w:rsidRPr="003458B1">
        <w:t xml:space="preserve"> fluorescent and incandescent fixtures with LED fixtures in an industrial manufacturing facility in Waynesboro, PA. Twelve light loggers were deployed during a site visit</w:t>
      </w:r>
      <w:r>
        <w:t>,</w:t>
      </w:r>
      <w:r w:rsidRPr="003458B1">
        <w:t xml:space="preserve"> and all light fixtures were verified as installed. Metering revealed a lower HOU and higher CF than </w:t>
      </w:r>
      <w:r>
        <w:t>those</w:t>
      </w:r>
      <w:r w:rsidRPr="003458B1">
        <w:t xml:space="preserve"> used in the ex</w:t>
      </w:r>
      <w:r>
        <w:t xml:space="preserve"> </w:t>
      </w:r>
      <w:r w:rsidRPr="003458B1">
        <w:t>ante analysis. This resulted in the 96% realization rate for kWh and 156% for kW.</w:t>
      </w:r>
    </w:p>
    <w:p w:rsidR="00F467C0" w:rsidRPr="003458B1" w:rsidRDefault="00F467C0" w:rsidP="00F467C0"/>
    <w:p w:rsidR="00F467C0" w:rsidRPr="003458B1" w:rsidRDefault="00F467C0" w:rsidP="00F467C0">
      <w:r w:rsidRPr="003458B1">
        <w:t>Project CR_PRJ-641534 involved install</w:t>
      </w:r>
      <w:r>
        <w:t>ing</w:t>
      </w:r>
      <w:r w:rsidRPr="003458B1">
        <w:t xml:space="preserve"> a master flow controller and a 2,000-gallon storage tank to improve the efficiency of the compressed air system at a manufacturing facility in Houston, PA. Pre</w:t>
      </w:r>
      <w:r>
        <w:t>-</w:t>
      </w:r>
      <w:r w:rsidRPr="003458B1">
        <w:t xml:space="preserve"> and post</w:t>
      </w:r>
      <w:r>
        <w:t>-</w:t>
      </w:r>
      <w:r w:rsidRPr="003458B1">
        <w:t xml:space="preserve">trend data, including kW and CFM, </w:t>
      </w:r>
      <w:r>
        <w:t>were</w:t>
      </w:r>
      <w:r w:rsidRPr="003458B1">
        <w:t xml:space="preserve"> supplied </w:t>
      </w:r>
      <w:r>
        <w:t>and were</w:t>
      </w:r>
      <w:r w:rsidRPr="003458B1">
        <w:t xml:space="preserve"> correlated </w:t>
      </w:r>
      <w:r>
        <w:t>with</w:t>
      </w:r>
      <w:r w:rsidRPr="003458B1">
        <w:t xml:space="preserve"> daily production. </w:t>
      </w:r>
      <w:r>
        <w:t>These were</w:t>
      </w:r>
      <w:r w:rsidRPr="003458B1">
        <w:t xml:space="preserve"> then used to calculate energy and demand savings. The energy realization rate of 127% is due to a difference in analyzing daily production.</w:t>
      </w:r>
    </w:p>
    <w:p w:rsidR="00F467C0" w:rsidRPr="003458B1" w:rsidRDefault="00F467C0" w:rsidP="00F467C0"/>
    <w:p w:rsidR="00F467C0" w:rsidRPr="003458B1" w:rsidRDefault="00F467C0" w:rsidP="00F467C0">
      <w:r w:rsidRPr="003458B1">
        <w:t>Project CR_PRJ-754676 involved streetlight retrofits</w:t>
      </w:r>
      <w:r w:rsidR="006722FB">
        <w:t xml:space="preserve"> of</w:t>
      </w:r>
      <w:r w:rsidRPr="003458B1">
        <w:t xml:space="preserve"> </w:t>
      </w:r>
      <w:r w:rsidR="008A03CE">
        <w:t xml:space="preserve">high pressure sodium </w:t>
      </w:r>
      <w:r w:rsidR="006722FB">
        <w:t>(</w:t>
      </w:r>
      <w:r w:rsidR="006722FB" w:rsidRPr="003458B1">
        <w:t>HPS</w:t>
      </w:r>
      <w:r w:rsidR="006722FB">
        <w:t>)</w:t>
      </w:r>
      <w:r w:rsidR="008A03CE">
        <w:t xml:space="preserve"> bulbs</w:t>
      </w:r>
      <w:r w:rsidR="006722FB" w:rsidRPr="003458B1">
        <w:t xml:space="preserve"> to </w:t>
      </w:r>
      <w:r w:rsidRPr="003458B1">
        <w:t xml:space="preserve">LED fixtures in Greensburg, PA. The </w:t>
      </w:r>
      <w:r w:rsidRPr="003E10CC">
        <w:t>evaluation contractor</w:t>
      </w:r>
      <w:r w:rsidRPr="00E021B2" w:rsidDel="006054DE">
        <w:rPr>
          <w:sz w:val="20"/>
          <w:szCs w:val="20"/>
        </w:rPr>
        <w:t xml:space="preserve"> </w:t>
      </w:r>
      <w:r w:rsidRPr="003458B1">
        <w:t>performed a site visit and verified the installation of all fixtures. The installed fixtures, however, were determined to be 257W instead of the 260W used in the ex</w:t>
      </w:r>
      <w:r>
        <w:t xml:space="preserve"> </w:t>
      </w:r>
      <w:r w:rsidRPr="003458B1">
        <w:t>ante analysis. This resulted in the energy realization rate of 101%. The demand realization rate of 0% is due to the dawn-to-dusk operating hours.</w:t>
      </w:r>
    </w:p>
    <w:p w:rsidR="00F467C0" w:rsidRPr="003458B1" w:rsidRDefault="00F467C0" w:rsidP="00F467C0"/>
    <w:p w:rsidR="00F467C0" w:rsidRPr="003458B1" w:rsidRDefault="00F467C0" w:rsidP="00F467C0">
      <w:pPr>
        <w:rPr>
          <w:color w:val="000000"/>
        </w:rPr>
      </w:pPr>
      <w:r w:rsidRPr="003458B1">
        <w:t xml:space="preserve">Project CR_PRJ-465810 was a new construction project of an efficient-process hot rolling steel mill outside Pittsburgh, PA. There are no TRM baselines, measures, or building codes governing steel mills, so the approach taken was to determine an “industry standard” efficiency for hot rolling mills and compare that </w:t>
      </w:r>
      <w:r>
        <w:t>with</w:t>
      </w:r>
      <w:r w:rsidRPr="003458B1">
        <w:t xml:space="preserve"> the “as</w:t>
      </w:r>
      <w:r>
        <w:t>-</w:t>
      </w:r>
      <w:r w:rsidRPr="003458B1">
        <w:t>built” condition. The industry standard energy use was determined from a report titled “The Energy Use in the Steel Industry</w:t>
      </w:r>
      <w:r>
        <w:t>,</w:t>
      </w:r>
      <w:r w:rsidRPr="003458B1">
        <w:t>” which provided an average kWh/metric ton figure. This was then used in conjunction with meter data from the new mill as well as production data to determine annual energy savings over an industry standard mill. The SWE agrees with the approach and the rigor used.</w:t>
      </w:r>
    </w:p>
    <w:p w:rsidR="00F467C0" w:rsidRPr="003458B1" w:rsidRDefault="00F467C0" w:rsidP="00F467C0">
      <w:pPr>
        <w:rPr>
          <w:color w:val="000000"/>
        </w:rPr>
      </w:pPr>
    </w:p>
    <w:p w:rsidR="00F467C0" w:rsidRPr="003458B1" w:rsidRDefault="00F467C0" w:rsidP="00F467C0">
      <w:pPr>
        <w:rPr>
          <w:color w:val="000000"/>
        </w:rPr>
      </w:pPr>
      <w:r w:rsidRPr="003458B1">
        <w:t>Project CR_PRJ-565154 involved lighting retrofit at an industrial manufacturing facility in Youngwood, PA. Over 300 T8 and MH fixtures were retrofitted with LEDs.  All fixtures were verified during a site inspection</w:t>
      </w:r>
      <w:r>
        <w:t>,</w:t>
      </w:r>
      <w:r w:rsidRPr="003458B1">
        <w:t xml:space="preserve"> and the HOU, CF, and controls factor were determined from EMS data. The difference in these metered values accounts for the 99% kWh and 89% kW realization rates. </w:t>
      </w:r>
    </w:p>
    <w:p w:rsidR="00F467C0" w:rsidRDefault="00F467C0" w:rsidP="00EC02CE"/>
    <w:p w:rsidR="00950837" w:rsidRDefault="00950837" w:rsidP="009C0DF1">
      <w:pPr>
        <w:pStyle w:val="AppendixAHeading3"/>
      </w:pPr>
      <w:r>
        <w:t>Net-to-Gross and Process Evaluation Audit Summary</w:t>
      </w:r>
    </w:p>
    <w:p w:rsidR="003351A0" w:rsidRDefault="003351A0" w:rsidP="003351A0">
      <w:r w:rsidRPr="00661E10">
        <w:t>FirstEnergy’s evaluation contractor, ADM</w:t>
      </w:r>
      <w:r w:rsidR="0009501A">
        <w:t>/Tetra Tech</w:t>
      </w:r>
      <w:r w:rsidRPr="00661E10">
        <w:t xml:space="preserve">, took unified process evaluation approaches to these programs across the four FirstEnergy EDCs, including </w:t>
      </w:r>
      <w:r>
        <w:t xml:space="preserve">West </w:t>
      </w:r>
      <w:r w:rsidRPr="00661E10">
        <w:t>Pen</w:t>
      </w:r>
      <w:r>
        <w:t>n</w:t>
      </w:r>
      <w:r w:rsidRPr="00661E10">
        <w:t xml:space="preserve">, and so the annual evaluation reports of the four EDCs report identical information about the process evaluation. Therefore, the SWE Team’s audit summary </w:t>
      </w:r>
      <w:r w:rsidRPr="003E2E20">
        <w:t xml:space="preserve">described in Section </w:t>
      </w:r>
      <w:r w:rsidRPr="003E2E20">
        <w:fldChar w:fldCharType="begin"/>
      </w:r>
      <w:r w:rsidRPr="003E2E20">
        <w:instrText xml:space="preserve"> REF _Ref472452280 \r \h </w:instrText>
      </w:r>
      <w:r>
        <w:instrText xml:space="preserve"> \* MERGEFORMAT </w:instrText>
      </w:r>
      <w:r w:rsidRPr="003E2E20">
        <w:fldChar w:fldCharType="separate"/>
      </w:r>
      <w:r w:rsidR="00037CB4">
        <w:t>A.2.4.4</w:t>
      </w:r>
      <w:r w:rsidRPr="003E2E20">
        <w:fldChar w:fldCharType="end"/>
      </w:r>
      <w:r w:rsidRPr="003E2E20">
        <w:t xml:space="preserve"> pertains</w:t>
      </w:r>
      <w:r w:rsidRPr="00661E10">
        <w:t xml:space="preserve"> to all four FirstEnergy utilities, including </w:t>
      </w:r>
      <w:r>
        <w:t>West Penn</w:t>
      </w:r>
      <w:r w:rsidRPr="00661E10">
        <w:t>.</w:t>
      </w:r>
    </w:p>
    <w:p w:rsidR="003351A0" w:rsidRDefault="003351A0" w:rsidP="003351A0"/>
    <w:p w:rsidR="003351A0" w:rsidRPr="006C05B5" w:rsidRDefault="003351A0" w:rsidP="003351A0">
      <w:pPr>
        <w:rPr>
          <w:highlight w:val="lightGray"/>
        </w:rPr>
      </w:pPr>
      <w:r w:rsidRPr="006C05B5">
        <w:t>This</w:t>
      </w:r>
      <w:r>
        <w:t xml:space="preserve"> remainder of this</w:t>
      </w:r>
      <w:r w:rsidRPr="006C05B5">
        <w:t xml:space="preserve"> section summarizes the activities and key findings of the SWE Team’s NTG audits of </w:t>
      </w:r>
      <w:r>
        <w:t>West Penn</w:t>
      </w:r>
      <w:r w:rsidRPr="006C05B5">
        <w:t xml:space="preserve">’s PY7 programs. </w:t>
      </w:r>
    </w:p>
    <w:p w:rsidR="003351A0" w:rsidRPr="006C05B5" w:rsidRDefault="003351A0" w:rsidP="003351A0"/>
    <w:p w:rsidR="003351A0" w:rsidRDefault="003351A0" w:rsidP="003351A0">
      <w:r w:rsidRPr="006C05B5">
        <w:t xml:space="preserve">FirstEnergy implemented a common set of energy efficiency programs across its four Pennsylvania EDCs. FirstEnergy’s evaluation contractors, ADM/Tetra Tech, used the same evaluation methods for all four EDCs. See </w:t>
      </w:r>
      <w:r w:rsidRPr="003E2E20">
        <w:t xml:space="preserve">Section </w:t>
      </w:r>
      <w:r w:rsidRPr="003E2E20">
        <w:fldChar w:fldCharType="begin"/>
      </w:r>
      <w:r w:rsidRPr="003E2E20">
        <w:instrText xml:space="preserve"> REF _Ref472452280 \r \h </w:instrText>
      </w:r>
      <w:r>
        <w:instrText xml:space="preserve"> \* MERGEFORMAT </w:instrText>
      </w:r>
      <w:r w:rsidRPr="003E2E20">
        <w:fldChar w:fldCharType="separate"/>
      </w:r>
      <w:r w:rsidR="00037CB4">
        <w:t>A.2.4.4</w:t>
      </w:r>
      <w:r w:rsidRPr="003E2E20">
        <w:fldChar w:fldCharType="end"/>
      </w:r>
      <w:r w:rsidRPr="006C05B5">
        <w:t xml:space="preserve"> for a description of the SWE Team’s review of the FirstEnergy EDC NTG evaluation, which applies to all four of FirstEnergy’s Pennsylvania EDCs.</w:t>
      </w:r>
    </w:p>
    <w:p w:rsidR="003351A0" w:rsidRDefault="003351A0" w:rsidP="003351A0"/>
    <w:p w:rsidR="003351A0" w:rsidRDefault="003351A0" w:rsidP="003351A0">
      <w:r>
        <w:fldChar w:fldCharType="begin"/>
      </w:r>
      <w:r>
        <w:instrText xml:space="preserve"> REF _Ref472453267 \h </w:instrText>
      </w:r>
      <w:r>
        <w:fldChar w:fldCharType="separate"/>
      </w:r>
      <w:r w:rsidR="00037CB4" w:rsidRPr="003351A0">
        <w:t>Table A-</w:t>
      </w:r>
      <w:r w:rsidR="00037CB4">
        <w:rPr>
          <w:noProof/>
        </w:rPr>
        <w:t>101</w:t>
      </w:r>
      <w:r>
        <w:fldChar w:fldCharType="end"/>
      </w:r>
      <w:r>
        <w:t xml:space="preserve"> </w:t>
      </w:r>
      <w:r w:rsidRPr="006C05B5">
        <w:t>summarizes NTG findings from the</w:t>
      </w:r>
      <w:r w:rsidR="006722FB">
        <w:t xml:space="preserve"> West </w:t>
      </w:r>
      <w:r w:rsidRPr="006C05B5">
        <w:t>Penn PY7 annual report.</w:t>
      </w:r>
    </w:p>
    <w:p w:rsidR="003351A0" w:rsidRDefault="003351A0" w:rsidP="003351A0"/>
    <w:p w:rsidR="003351A0" w:rsidRPr="003351A0" w:rsidRDefault="003351A0" w:rsidP="004837FA">
      <w:pPr>
        <w:pStyle w:val="Caption"/>
      </w:pPr>
      <w:bookmarkStart w:id="1085" w:name="_Ref472453267"/>
      <w:bookmarkStart w:id="1086" w:name="_Toc472472510"/>
      <w:bookmarkStart w:id="1087" w:name="_Toc488741929"/>
      <w:r w:rsidRPr="003351A0">
        <w:t>Table A-</w:t>
      </w:r>
      <w:r w:rsidR="007973A4">
        <w:fldChar w:fldCharType="begin"/>
      </w:r>
      <w:r w:rsidR="007973A4">
        <w:instrText xml:space="preserve"> SEQ Table_A- \* ARABIC </w:instrText>
      </w:r>
      <w:r w:rsidR="007973A4">
        <w:fldChar w:fldCharType="separate"/>
      </w:r>
      <w:r w:rsidR="00037CB4">
        <w:rPr>
          <w:noProof/>
        </w:rPr>
        <w:t>101</w:t>
      </w:r>
      <w:r w:rsidR="007973A4">
        <w:rPr>
          <w:noProof/>
        </w:rPr>
        <w:fldChar w:fldCharType="end"/>
      </w:r>
      <w:bookmarkEnd w:id="1085"/>
      <w:r w:rsidR="006722FB">
        <w:rPr>
          <w:noProof/>
        </w:rPr>
        <w:t>:</w:t>
      </w:r>
      <w:r w:rsidRPr="003351A0">
        <w:t xml:space="preserve"> Summary of NTG Estimates for</w:t>
      </w:r>
      <w:r w:rsidR="00F366E8">
        <w:t xml:space="preserve"> West P</w:t>
      </w:r>
      <w:r w:rsidRPr="003351A0">
        <w:t>enn</w:t>
      </w:r>
      <w:r w:rsidR="00F366E8">
        <w:t>’s</w:t>
      </w:r>
      <w:r w:rsidRPr="003351A0">
        <w:t xml:space="preserve"> Programs</w:t>
      </w:r>
      <w:bookmarkEnd w:id="1086"/>
      <w:bookmarkEnd w:id="1087"/>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17"/>
        <w:gridCol w:w="3294"/>
        <w:gridCol w:w="1144"/>
        <w:gridCol w:w="1212"/>
        <w:gridCol w:w="1209"/>
        <w:gridCol w:w="1074"/>
      </w:tblGrid>
      <w:tr w:rsidR="00A874AC" w:rsidRPr="00124B6E" w:rsidTr="005C1352">
        <w:trPr>
          <w:tblHeader/>
          <w:jc w:val="center"/>
        </w:trPr>
        <w:tc>
          <w:tcPr>
            <w:tcW w:w="1417" w:type="dxa"/>
            <w:tcBorders>
              <w:bottom w:val="single" w:sz="4" w:space="0" w:color="448A99"/>
            </w:tcBorders>
            <w:shd w:val="clear" w:color="auto" w:fill="448A99"/>
            <w:vAlign w:val="bottom"/>
          </w:tcPr>
          <w:p w:rsidR="00F366E8" w:rsidRPr="00124B6E" w:rsidRDefault="00F366E8" w:rsidP="005C1352">
            <w:pPr>
              <w:rPr>
                <w:b/>
                <w:color w:val="FFFFFF"/>
                <w:sz w:val="19"/>
                <w:szCs w:val="19"/>
              </w:rPr>
            </w:pPr>
            <w:r w:rsidRPr="00124B6E">
              <w:rPr>
                <w:b/>
                <w:color w:val="FFFFFF"/>
                <w:sz w:val="19"/>
                <w:szCs w:val="19"/>
              </w:rPr>
              <w:t>Approach</w:t>
            </w:r>
          </w:p>
        </w:tc>
        <w:tc>
          <w:tcPr>
            <w:tcW w:w="3294" w:type="dxa"/>
            <w:tcBorders>
              <w:bottom w:val="single" w:sz="4" w:space="0" w:color="448A99"/>
            </w:tcBorders>
            <w:shd w:val="clear" w:color="auto" w:fill="448A99"/>
            <w:vAlign w:val="bottom"/>
          </w:tcPr>
          <w:p w:rsidR="00F366E8" w:rsidRPr="00124B6E" w:rsidRDefault="00F366E8" w:rsidP="005C1352">
            <w:pPr>
              <w:rPr>
                <w:b/>
                <w:color w:val="FFFFFF"/>
                <w:sz w:val="19"/>
                <w:szCs w:val="19"/>
              </w:rPr>
            </w:pPr>
            <w:r w:rsidRPr="00124B6E">
              <w:rPr>
                <w:b/>
                <w:color w:val="FFFFFF"/>
                <w:sz w:val="19"/>
                <w:szCs w:val="19"/>
              </w:rPr>
              <w:t>Program</w:t>
            </w:r>
          </w:p>
        </w:tc>
        <w:tc>
          <w:tcPr>
            <w:tcW w:w="1144" w:type="dxa"/>
            <w:tcBorders>
              <w:bottom w:val="single" w:sz="4" w:space="0" w:color="448A99"/>
            </w:tcBorders>
            <w:shd w:val="clear" w:color="auto" w:fill="448A99"/>
            <w:vAlign w:val="bottom"/>
          </w:tcPr>
          <w:p w:rsidR="00F366E8" w:rsidRPr="00124B6E" w:rsidRDefault="00F366E8" w:rsidP="005C1352">
            <w:pPr>
              <w:jc w:val="center"/>
              <w:rPr>
                <w:b/>
                <w:color w:val="FFFFFF"/>
                <w:sz w:val="19"/>
                <w:szCs w:val="19"/>
              </w:rPr>
            </w:pPr>
            <w:r w:rsidRPr="00124B6E">
              <w:rPr>
                <w:b/>
                <w:color w:val="FFFFFF"/>
                <w:sz w:val="19"/>
                <w:szCs w:val="19"/>
              </w:rPr>
              <w:t>Free-Ridership</w:t>
            </w:r>
          </w:p>
        </w:tc>
        <w:tc>
          <w:tcPr>
            <w:tcW w:w="1212" w:type="dxa"/>
            <w:tcBorders>
              <w:bottom w:val="single" w:sz="4" w:space="0" w:color="448A99"/>
            </w:tcBorders>
            <w:shd w:val="clear" w:color="auto" w:fill="448A99"/>
            <w:vAlign w:val="bottom"/>
          </w:tcPr>
          <w:p w:rsidR="00F366E8" w:rsidRPr="00124B6E" w:rsidRDefault="00F366E8" w:rsidP="005C1352">
            <w:pPr>
              <w:jc w:val="center"/>
              <w:rPr>
                <w:b/>
                <w:color w:val="FFFFFF"/>
                <w:sz w:val="19"/>
                <w:szCs w:val="19"/>
              </w:rPr>
            </w:pPr>
            <w:r w:rsidRPr="00124B6E">
              <w:rPr>
                <w:b/>
                <w:color w:val="FFFFFF"/>
                <w:sz w:val="19"/>
                <w:szCs w:val="19"/>
              </w:rPr>
              <w:t>Spillover</w:t>
            </w:r>
          </w:p>
        </w:tc>
        <w:tc>
          <w:tcPr>
            <w:tcW w:w="1209" w:type="dxa"/>
            <w:tcBorders>
              <w:bottom w:val="single" w:sz="4" w:space="0" w:color="448A99"/>
            </w:tcBorders>
            <w:shd w:val="clear" w:color="auto" w:fill="448A99"/>
            <w:vAlign w:val="bottom"/>
          </w:tcPr>
          <w:p w:rsidR="00F366E8" w:rsidRPr="00124B6E" w:rsidRDefault="00F366E8" w:rsidP="005C1352">
            <w:pPr>
              <w:jc w:val="center"/>
              <w:rPr>
                <w:b/>
                <w:color w:val="FFFFFF"/>
                <w:sz w:val="19"/>
                <w:szCs w:val="19"/>
              </w:rPr>
            </w:pPr>
            <w:r w:rsidRPr="00124B6E">
              <w:rPr>
                <w:b/>
                <w:color w:val="FFFFFF"/>
                <w:sz w:val="19"/>
                <w:szCs w:val="19"/>
              </w:rPr>
              <w:t>NTGR</w:t>
            </w:r>
            <w:r w:rsidRPr="00124B6E">
              <w:rPr>
                <w:b/>
                <w:color w:val="FFFFFF"/>
                <w:sz w:val="19"/>
                <w:szCs w:val="19"/>
                <w:vertAlign w:val="superscript"/>
              </w:rPr>
              <w:t>[a]</w:t>
            </w:r>
          </w:p>
        </w:tc>
        <w:tc>
          <w:tcPr>
            <w:tcW w:w="1074" w:type="dxa"/>
            <w:tcBorders>
              <w:bottom w:val="single" w:sz="4" w:space="0" w:color="448A99"/>
            </w:tcBorders>
            <w:shd w:val="clear" w:color="auto" w:fill="448A99"/>
            <w:vAlign w:val="bottom"/>
          </w:tcPr>
          <w:p w:rsidR="00F366E8" w:rsidRPr="00124B6E" w:rsidRDefault="00F366E8" w:rsidP="005C1352">
            <w:pPr>
              <w:jc w:val="center"/>
              <w:rPr>
                <w:b/>
                <w:color w:val="FFFFFF"/>
                <w:sz w:val="19"/>
                <w:szCs w:val="19"/>
              </w:rPr>
            </w:pPr>
            <w:r w:rsidRPr="00124B6E">
              <w:rPr>
                <w:b/>
                <w:color w:val="FFFFFF"/>
                <w:sz w:val="19"/>
                <w:szCs w:val="19"/>
              </w:rPr>
              <w:t>Sample Size</w:t>
            </w:r>
            <w:r w:rsidRPr="00124B6E">
              <w:rPr>
                <w:b/>
                <w:color w:val="FFFFFF"/>
                <w:sz w:val="19"/>
                <w:szCs w:val="19"/>
                <w:vertAlign w:val="superscript"/>
              </w:rPr>
              <w:t>[b]</w:t>
            </w:r>
          </w:p>
        </w:tc>
      </w:tr>
      <w:tr w:rsidR="00E7173E" w:rsidRPr="00124B6E" w:rsidTr="008F60E1">
        <w:trPr>
          <w:trHeight w:val="288"/>
          <w:jc w:val="center"/>
        </w:trPr>
        <w:tc>
          <w:tcPr>
            <w:tcW w:w="9350" w:type="dxa"/>
            <w:gridSpan w:val="6"/>
            <w:shd w:val="clear" w:color="auto" w:fill="9C9393"/>
          </w:tcPr>
          <w:p w:rsidR="00F366E8" w:rsidRPr="00124B6E" w:rsidRDefault="00F366E8" w:rsidP="005C1352">
            <w:pPr>
              <w:rPr>
                <w:b/>
                <w:color w:val="FFFFFF"/>
                <w:sz w:val="19"/>
                <w:szCs w:val="19"/>
              </w:rPr>
            </w:pPr>
            <w:r w:rsidRPr="00124B6E">
              <w:rPr>
                <w:b/>
                <w:color w:val="FFFFFF"/>
                <w:sz w:val="19"/>
                <w:szCs w:val="19"/>
              </w:rPr>
              <w:t>Residential</w:t>
            </w:r>
          </w:p>
        </w:tc>
      </w:tr>
      <w:tr w:rsidR="00A874AC" w:rsidRPr="00124B6E" w:rsidTr="005C1352">
        <w:trPr>
          <w:trHeight w:val="346"/>
          <w:jc w:val="center"/>
        </w:trPr>
        <w:tc>
          <w:tcPr>
            <w:tcW w:w="1417" w:type="dxa"/>
            <w:vMerge w:val="restart"/>
            <w:shd w:val="clear" w:color="auto" w:fill="D2EAF1"/>
          </w:tcPr>
          <w:p w:rsidR="00F366E8" w:rsidRPr="00124B6E" w:rsidRDefault="00F366E8" w:rsidP="005C1352">
            <w:pPr>
              <w:rPr>
                <w:sz w:val="19"/>
                <w:szCs w:val="19"/>
              </w:rPr>
            </w:pPr>
            <w:r w:rsidRPr="00124B6E">
              <w:rPr>
                <w:sz w:val="19"/>
                <w:szCs w:val="19"/>
              </w:rPr>
              <w:t>Estimated</w:t>
            </w:r>
          </w:p>
        </w:tc>
        <w:tc>
          <w:tcPr>
            <w:tcW w:w="3294" w:type="dxa"/>
            <w:shd w:val="clear" w:color="auto" w:fill="D2EAF1"/>
            <w:vAlign w:val="center"/>
          </w:tcPr>
          <w:p w:rsidR="00F366E8" w:rsidRPr="00124B6E" w:rsidRDefault="00F366E8" w:rsidP="005C1352">
            <w:pPr>
              <w:jc w:val="left"/>
              <w:rPr>
                <w:color w:val="548DD4"/>
                <w:sz w:val="19"/>
                <w:szCs w:val="19"/>
              </w:rPr>
            </w:pPr>
            <w:r w:rsidRPr="00124B6E">
              <w:rPr>
                <w:sz w:val="19"/>
                <w:szCs w:val="19"/>
              </w:rPr>
              <w:t>Appliance Turn-In</w:t>
            </w:r>
            <w:r w:rsidRPr="00124B6E">
              <w:rPr>
                <w:sz w:val="19"/>
                <w:szCs w:val="19"/>
                <w:vertAlign w:val="superscript"/>
              </w:rPr>
              <w:t>[c]</w:t>
            </w:r>
          </w:p>
        </w:tc>
        <w:tc>
          <w:tcPr>
            <w:tcW w:w="1144" w:type="dxa"/>
            <w:shd w:val="clear" w:color="auto" w:fill="D2EAF1"/>
            <w:vAlign w:val="center"/>
          </w:tcPr>
          <w:p w:rsidR="00F366E8" w:rsidRPr="00124B6E" w:rsidRDefault="00F366E8" w:rsidP="005C1352">
            <w:pPr>
              <w:jc w:val="center"/>
              <w:rPr>
                <w:sz w:val="19"/>
                <w:szCs w:val="19"/>
              </w:rPr>
            </w:pPr>
            <w:r w:rsidRPr="00124B6E">
              <w:rPr>
                <w:sz w:val="19"/>
                <w:szCs w:val="19"/>
              </w:rPr>
              <w:t>0.69</w:t>
            </w:r>
          </w:p>
        </w:tc>
        <w:tc>
          <w:tcPr>
            <w:tcW w:w="1212" w:type="dxa"/>
            <w:shd w:val="clear" w:color="auto" w:fill="D2EAF1"/>
            <w:vAlign w:val="center"/>
          </w:tcPr>
          <w:p w:rsidR="00F366E8" w:rsidRPr="00124B6E" w:rsidRDefault="00F366E8" w:rsidP="005C1352">
            <w:pPr>
              <w:jc w:val="center"/>
              <w:rPr>
                <w:sz w:val="19"/>
                <w:szCs w:val="19"/>
              </w:rPr>
            </w:pPr>
            <w:r w:rsidRPr="00124B6E">
              <w:rPr>
                <w:sz w:val="19"/>
                <w:szCs w:val="19"/>
              </w:rPr>
              <w:t>0.00</w:t>
            </w:r>
          </w:p>
        </w:tc>
        <w:tc>
          <w:tcPr>
            <w:tcW w:w="1209" w:type="dxa"/>
            <w:shd w:val="clear" w:color="auto" w:fill="D2EAF1"/>
            <w:vAlign w:val="center"/>
          </w:tcPr>
          <w:p w:rsidR="00F366E8" w:rsidRPr="00124B6E" w:rsidRDefault="00F366E8" w:rsidP="005C1352">
            <w:pPr>
              <w:jc w:val="center"/>
              <w:rPr>
                <w:sz w:val="19"/>
                <w:szCs w:val="19"/>
              </w:rPr>
            </w:pPr>
            <w:r w:rsidRPr="00124B6E">
              <w:rPr>
                <w:sz w:val="19"/>
                <w:szCs w:val="19"/>
              </w:rPr>
              <w:t>0.31</w:t>
            </w:r>
          </w:p>
        </w:tc>
        <w:tc>
          <w:tcPr>
            <w:tcW w:w="1074" w:type="dxa"/>
            <w:shd w:val="clear" w:color="auto" w:fill="D2EAF1"/>
            <w:vAlign w:val="center"/>
          </w:tcPr>
          <w:p w:rsidR="00F366E8" w:rsidRPr="00124B6E" w:rsidRDefault="00F366E8" w:rsidP="005C1352">
            <w:pPr>
              <w:jc w:val="center"/>
              <w:rPr>
                <w:sz w:val="19"/>
                <w:szCs w:val="19"/>
              </w:rPr>
            </w:pPr>
            <w:r w:rsidRPr="00124B6E">
              <w:rPr>
                <w:sz w:val="19"/>
                <w:szCs w:val="19"/>
              </w:rPr>
              <w:t>66</w:t>
            </w:r>
          </w:p>
        </w:tc>
      </w:tr>
      <w:tr w:rsidR="00F366E8" w:rsidRPr="00124B6E" w:rsidTr="008F60E1">
        <w:trPr>
          <w:trHeight w:val="346"/>
          <w:jc w:val="center"/>
        </w:trPr>
        <w:tc>
          <w:tcPr>
            <w:tcW w:w="1417" w:type="dxa"/>
            <w:vMerge/>
          </w:tcPr>
          <w:p w:rsidR="00F366E8" w:rsidRPr="00124B6E" w:rsidRDefault="00F366E8" w:rsidP="005C1352">
            <w:pPr>
              <w:rPr>
                <w:sz w:val="19"/>
                <w:szCs w:val="19"/>
              </w:rPr>
            </w:pPr>
          </w:p>
        </w:tc>
        <w:tc>
          <w:tcPr>
            <w:tcW w:w="3294" w:type="dxa"/>
            <w:vAlign w:val="center"/>
          </w:tcPr>
          <w:p w:rsidR="00F366E8" w:rsidRPr="00124B6E" w:rsidRDefault="00F366E8" w:rsidP="005C1352">
            <w:pPr>
              <w:jc w:val="left"/>
              <w:rPr>
                <w:color w:val="548DD4"/>
                <w:sz w:val="19"/>
                <w:szCs w:val="19"/>
              </w:rPr>
            </w:pPr>
            <w:r w:rsidRPr="00124B6E">
              <w:rPr>
                <w:sz w:val="19"/>
                <w:szCs w:val="19"/>
              </w:rPr>
              <w:t>Efficient Products</w:t>
            </w:r>
          </w:p>
        </w:tc>
        <w:tc>
          <w:tcPr>
            <w:tcW w:w="1144" w:type="dxa"/>
            <w:vAlign w:val="center"/>
          </w:tcPr>
          <w:p w:rsidR="00F366E8" w:rsidRPr="00124B6E" w:rsidRDefault="00F366E8" w:rsidP="005C1352">
            <w:pPr>
              <w:jc w:val="center"/>
              <w:rPr>
                <w:sz w:val="19"/>
                <w:szCs w:val="19"/>
              </w:rPr>
            </w:pPr>
            <w:r w:rsidRPr="00124B6E">
              <w:rPr>
                <w:sz w:val="19"/>
                <w:szCs w:val="19"/>
              </w:rPr>
              <w:t>0.38</w:t>
            </w:r>
          </w:p>
        </w:tc>
        <w:tc>
          <w:tcPr>
            <w:tcW w:w="1212" w:type="dxa"/>
            <w:vAlign w:val="center"/>
          </w:tcPr>
          <w:p w:rsidR="00F366E8" w:rsidRPr="00124B6E" w:rsidRDefault="00F366E8" w:rsidP="005C1352">
            <w:pPr>
              <w:jc w:val="center"/>
              <w:rPr>
                <w:sz w:val="19"/>
                <w:szCs w:val="19"/>
              </w:rPr>
            </w:pPr>
            <w:r w:rsidRPr="00124B6E">
              <w:rPr>
                <w:sz w:val="19"/>
                <w:szCs w:val="19"/>
              </w:rPr>
              <w:t>0.01</w:t>
            </w:r>
          </w:p>
        </w:tc>
        <w:tc>
          <w:tcPr>
            <w:tcW w:w="1209" w:type="dxa"/>
            <w:vAlign w:val="center"/>
          </w:tcPr>
          <w:p w:rsidR="00F366E8" w:rsidRPr="00124B6E" w:rsidRDefault="00F366E8" w:rsidP="005C1352">
            <w:pPr>
              <w:jc w:val="center"/>
              <w:rPr>
                <w:sz w:val="19"/>
                <w:szCs w:val="19"/>
              </w:rPr>
            </w:pPr>
            <w:r w:rsidRPr="00124B6E">
              <w:rPr>
                <w:sz w:val="19"/>
                <w:szCs w:val="19"/>
              </w:rPr>
              <w:t>0.63</w:t>
            </w:r>
          </w:p>
        </w:tc>
        <w:tc>
          <w:tcPr>
            <w:tcW w:w="1074" w:type="dxa"/>
            <w:vAlign w:val="center"/>
          </w:tcPr>
          <w:p w:rsidR="00F366E8" w:rsidRPr="00124B6E" w:rsidRDefault="00F366E8" w:rsidP="005C1352">
            <w:pPr>
              <w:jc w:val="center"/>
              <w:rPr>
                <w:sz w:val="19"/>
                <w:szCs w:val="19"/>
              </w:rPr>
            </w:pPr>
            <w:r w:rsidRPr="00124B6E">
              <w:rPr>
                <w:sz w:val="19"/>
                <w:szCs w:val="19"/>
              </w:rPr>
              <w:t>131</w:t>
            </w:r>
          </w:p>
        </w:tc>
      </w:tr>
      <w:tr w:rsidR="00A874AC" w:rsidRPr="00124B6E" w:rsidTr="005C1352">
        <w:trPr>
          <w:trHeight w:val="346"/>
          <w:jc w:val="center"/>
        </w:trPr>
        <w:tc>
          <w:tcPr>
            <w:tcW w:w="1417" w:type="dxa"/>
            <w:vMerge/>
            <w:tcBorders>
              <w:bottom w:val="single" w:sz="4" w:space="0" w:color="448A99"/>
            </w:tcBorders>
          </w:tcPr>
          <w:p w:rsidR="00F366E8" w:rsidRPr="00124B6E" w:rsidRDefault="00F366E8" w:rsidP="005C1352">
            <w:pPr>
              <w:rPr>
                <w:sz w:val="19"/>
                <w:szCs w:val="19"/>
              </w:rPr>
            </w:pPr>
          </w:p>
        </w:tc>
        <w:tc>
          <w:tcPr>
            <w:tcW w:w="3294" w:type="dxa"/>
            <w:tcBorders>
              <w:bottom w:val="single" w:sz="4" w:space="0" w:color="448A99"/>
            </w:tcBorders>
            <w:shd w:val="clear" w:color="auto" w:fill="D2EAF1"/>
            <w:vAlign w:val="center"/>
          </w:tcPr>
          <w:p w:rsidR="00F366E8" w:rsidRPr="00124B6E" w:rsidRDefault="00F366E8" w:rsidP="005C1352">
            <w:pPr>
              <w:jc w:val="left"/>
              <w:rPr>
                <w:color w:val="548DD4"/>
                <w:sz w:val="19"/>
                <w:szCs w:val="19"/>
              </w:rPr>
            </w:pPr>
            <w:r w:rsidRPr="00124B6E">
              <w:rPr>
                <w:sz w:val="19"/>
                <w:szCs w:val="19"/>
              </w:rPr>
              <w:t>Home Performance</w:t>
            </w:r>
          </w:p>
        </w:tc>
        <w:tc>
          <w:tcPr>
            <w:tcW w:w="1144"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0.24</w:t>
            </w:r>
          </w:p>
        </w:tc>
        <w:tc>
          <w:tcPr>
            <w:tcW w:w="1212"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0.06</w:t>
            </w:r>
          </w:p>
        </w:tc>
        <w:tc>
          <w:tcPr>
            <w:tcW w:w="1209"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0.82</w:t>
            </w:r>
          </w:p>
        </w:tc>
        <w:tc>
          <w:tcPr>
            <w:tcW w:w="1074"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N/A</w:t>
            </w:r>
          </w:p>
        </w:tc>
      </w:tr>
      <w:tr w:rsidR="00E7173E" w:rsidRPr="00124B6E" w:rsidTr="008F60E1">
        <w:trPr>
          <w:trHeight w:val="288"/>
          <w:jc w:val="center"/>
        </w:trPr>
        <w:tc>
          <w:tcPr>
            <w:tcW w:w="9350" w:type="dxa"/>
            <w:gridSpan w:val="6"/>
            <w:shd w:val="clear" w:color="auto" w:fill="9C9393"/>
            <w:vAlign w:val="center"/>
          </w:tcPr>
          <w:p w:rsidR="00F366E8" w:rsidRPr="00124B6E" w:rsidRDefault="00F366E8" w:rsidP="005C1352">
            <w:pPr>
              <w:jc w:val="left"/>
              <w:rPr>
                <w:b/>
                <w:color w:val="FFFFFF"/>
                <w:sz w:val="19"/>
                <w:szCs w:val="19"/>
              </w:rPr>
            </w:pPr>
            <w:r w:rsidRPr="00124B6E">
              <w:rPr>
                <w:b/>
                <w:color w:val="FFFFFF"/>
                <w:sz w:val="19"/>
                <w:szCs w:val="19"/>
              </w:rPr>
              <w:t>Low-Income</w:t>
            </w:r>
          </w:p>
        </w:tc>
      </w:tr>
      <w:tr w:rsidR="00E7173E" w:rsidRPr="00124B6E" w:rsidTr="008F60E1">
        <w:trPr>
          <w:trHeight w:val="346"/>
          <w:jc w:val="center"/>
        </w:trPr>
        <w:tc>
          <w:tcPr>
            <w:tcW w:w="1417" w:type="dxa"/>
            <w:shd w:val="clear" w:color="auto" w:fill="auto"/>
            <w:vAlign w:val="center"/>
          </w:tcPr>
          <w:p w:rsidR="00F366E8" w:rsidRPr="00124B6E" w:rsidRDefault="00F366E8" w:rsidP="005C1352">
            <w:pPr>
              <w:jc w:val="left"/>
              <w:rPr>
                <w:b/>
                <w:color w:val="FFFFFF"/>
                <w:sz w:val="19"/>
                <w:szCs w:val="19"/>
              </w:rPr>
            </w:pPr>
            <w:r w:rsidRPr="00124B6E">
              <w:rPr>
                <w:sz w:val="19"/>
                <w:szCs w:val="19"/>
              </w:rPr>
              <w:t>Estimated</w:t>
            </w:r>
          </w:p>
        </w:tc>
        <w:tc>
          <w:tcPr>
            <w:tcW w:w="3294" w:type="dxa"/>
            <w:shd w:val="clear" w:color="auto" w:fill="auto"/>
            <w:vAlign w:val="center"/>
          </w:tcPr>
          <w:p w:rsidR="00F366E8" w:rsidRPr="00124B6E" w:rsidRDefault="00F366E8" w:rsidP="005C1352">
            <w:pPr>
              <w:jc w:val="left"/>
              <w:rPr>
                <w:sz w:val="19"/>
                <w:szCs w:val="19"/>
              </w:rPr>
            </w:pPr>
            <w:r w:rsidRPr="00124B6E">
              <w:rPr>
                <w:sz w:val="19"/>
                <w:szCs w:val="19"/>
              </w:rPr>
              <w:t>Residential Low-Income Program</w:t>
            </w:r>
          </w:p>
        </w:tc>
        <w:tc>
          <w:tcPr>
            <w:tcW w:w="1144" w:type="dxa"/>
            <w:shd w:val="clear" w:color="auto" w:fill="auto"/>
            <w:vAlign w:val="center"/>
          </w:tcPr>
          <w:p w:rsidR="00F366E8" w:rsidRPr="00124B6E" w:rsidRDefault="00F366E8" w:rsidP="005C1352">
            <w:pPr>
              <w:jc w:val="center"/>
              <w:rPr>
                <w:sz w:val="19"/>
                <w:szCs w:val="19"/>
              </w:rPr>
            </w:pPr>
            <w:r w:rsidRPr="00124B6E">
              <w:rPr>
                <w:sz w:val="19"/>
                <w:szCs w:val="19"/>
              </w:rPr>
              <w:t>0.27</w:t>
            </w:r>
          </w:p>
        </w:tc>
        <w:tc>
          <w:tcPr>
            <w:tcW w:w="1212" w:type="dxa"/>
            <w:shd w:val="clear" w:color="auto" w:fill="auto"/>
            <w:vAlign w:val="center"/>
          </w:tcPr>
          <w:p w:rsidR="00F366E8" w:rsidRPr="00124B6E" w:rsidRDefault="00F366E8" w:rsidP="005C1352">
            <w:pPr>
              <w:jc w:val="center"/>
              <w:rPr>
                <w:sz w:val="19"/>
                <w:szCs w:val="19"/>
              </w:rPr>
            </w:pPr>
            <w:r w:rsidRPr="00124B6E">
              <w:rPr>
                <w:sz w:val="19"/>
                <w:szCs w:val="19"/>
              </w:rPr>
              <w:t>0.17</w:t>
            </w:r>
          </w:p>
        </w:tc>
        <w:tc>
          <w:tcPr>
            <w:tcW w:w="1209" w:type="dxa"/>
            <w:shd w:val="clear" w:color="auto" w:fill="auto"/>
            <w:vAlign w:val="center"/>
          </w:tcPr>
          <w:p w:rsidR="00F366E8" w:rsidRPr="00124B6E" w:rsidRDefault="00F366E8" w:rsidP="005C1352">
            <w:pPr>
              <w:jc w:val="center"/>
              <w:rPr>
                <w:sz w:val="19"/>
                <w:szCs w:val="19"/>
              </w:rPr>
            </w:pPr>
            <w:r w:rsidRPr="00124B6E">
              <w:rPr>
                <w:sz w:val="19"/>
                <w:szCs w:val="19"/>
              </w:rPr>
              <w:t>0.90</w:t>
            </w:r>
          </w:p>
        </w:tc>
        <w:tc>
          <w:tcPr>
            <w:tcW w:w="1074" w:type="dxa"/>
            <w:shd w:val="clear" w:color="auto" w:fill="auto"/>
            <w:vAlign w:val="center"/>
          </w:tcPr>
          <w:p w:rsidR="00F366E8" w:rsidRPr="00124B6E" w:rsidRDefault="00F366E8" w:rsidP="005C1352">
            <w:pPr>
              <w:jc w:val="center"/>
              <w:rPr>
                <w:sz w:val="19"/>
                <w:szCs w:val="19"/>
              </w:rPr>
            </w:pPr>
            <w:r w:rsidRPr="00124B6E">
              <w:rPr>
                <w:sz w:val="19"/>
                <w:szCs w:val="19"/>
              </w:rPr>
              <w:t>46</w:t>
            </w:r>
          </w:p>
        </w:tc>
      </w:tr>
      <w:tr w:rsidR="00E7173E" w:rsidRPr="00124B6E" w:rsidTr="008F60E1">
        <w:trPr>
          <w:trHeight w:val="288"/>
          <w:jc w:val="center"/>
        </w:trPr>
        <w:tc>
          <w:tcPr>
            <w:tcW w:w="9350" w:type="dxa"/>
            <w:gridSpan w:val="6"/>
            <w:shd w:val="clear" w:color="auto" w:fill="9C9393"/>
            <w:vAlign w:val="center"/>
          </w:tcPr>
          <w:p w:rsidR="00F366E8" w:rsidRPr="00124B6E" w:rsidRDefault="00F366E8" w:rsidP="005C1352">
            <w:pPr>
              <w:jc w:val="left"/>
              <w:rPr>
                <w:b/>
                <w:color w:val="FFFFFF"/>
                <w:sz w:val="19"/>
                <w:szCs w:val="19"/>
              </w:rPr>
            </w:pPr>
            <w:r w:rsidRPr="00124B6E">
              <w:rPr>
                <w:b/>
                <w:color w:val="FFFFFF"/>
                <w:sz w:val="19"/>
                <w:szCs w:val="19"/>
              </w:rPr>
              <w:t>Non-Residential</w:t>
            </w:r>
          </w:p>
        </w:tc>
      </w:tr>
      <w:tr w:rsidR="00A874AC" w:rsidRPr="00124B6E" w:rsidTr="005C1352">
        <w:trPr>
          <w:trHeight w:val="346"/>
          <w:jc w:val="center"/>
        </w:trPr>
        <w:tc>
          <w:tcPr>
            <w:tcW w:w="1417" w:type="dxa"/>
            <w:vMerge w:val="restart"/>
            <w:shd w:val="clear" w:color="auto" w:fill="D2EAF1"/>
          </w:tcPr>
          <w:p w:rsidR="00F366E8" w:rsidRPr="00124B6E" w:rsidRDefault="00F366E8" w:rsidP="005C1352">
            <w:pPr>
              <w:rPr>
                <w:sz w:val="19"/>
                <w:szCs w:val="19"/>
              </w:rPr>
            </w:pPr>
            <w:r w:rsidRPr="00124B6E">
              <w:rPr>
                <w:sz w:val="19"/>
                <w:szCs w:val="19"/>
              </w:rPr>
              <w:t>Estimated</w:t>
            </w:r>
          </w:p>
        </w:tc>
        <w:tc>
          <w:tcPr>
            <w:tcW w:w="3294" w:type="dxa"/>
            <w:tcBorders>
              <w:bottom w:val="single" w:sz="4" w:space="0" w:color="448A99"/>
            </w:tcBorders>
            <w:shd w:val="clear" w:color="auto" w:fill="D2EAF1"/>
            <w:vAlign w:val="center"/>
          </w:tcPr>
          <w:p w:rsidR="00F366E8" w:rsidRPr="00124B6E" w:rsidRDefault="00F366E8" w:rsidP="005C1352">
            <w:pPr>
              <w:jc w:val="left"/>
              <w:rPr>
                <w:sz w:val="19"/>
                <w:szCs w:val="19"/>
              </w:rPr>
            </w:pPr>
            <w:r w:rsidRPr="00124B6E">
              <w:rPr>
                <w:sz w:val="19"/>
                <w:szCs w:val="19"/>
              </w:rPr>
              <w:t>Small C/I Equipment</w:t>
            </w:r>
          </w:p>
        </w:tc>
        <w:tc>
          <w:tcPr>
            <w:tcW w:w="1144"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0.39</w:t>
            </w:r>
          </w:p>
        </w:tc>
        <w:tc>
          <w:tcPr>
            <w:tcW w:w="1212"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0.10</w:t>
            </w:r>
          </w:p>
        </w:tc>
        <w:tc>
          <w:tcPr>
            <w:tcW w:w="1209"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0.72</w:t>
            </w:r>
          </w:p>
        </w:tc>
        <w:tc>
          <w:tcPr>
            <w:tcW w:w="1074"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N/A</w:t>
            </w:r>
          </w:p>
        </w:tc>
      </w:tr>
      <w:tr w:rsidR="00A874AC" w:rsidRPr="00124B6E" w:rsidTr="005C1352">
        <w:trPr>
          <w:trHeight w:val="346"/>
          <w:jc w:val="center"/>
        </w:trPr>
        <w:tc>
          <w:tcPr>
            <w:tcW w:w="1417" w:type="dxa"/>
            <w:vMerge/>
            <w:shd w:val="clear" w:color="auto" w:fill="D2EAF1"/>
          </w:tcPr>
          <w:p w:rsidR="00F366E8" w:rsidRPr="00124B6E" w:rsidRDefault="00F366E8" w:rsidP="005C1352">
            <w:pPr>
              <w:rPr>
                <w:sz w:val="19"/>
                <w:szCs w:val="19"/>
              </w:rPr>
            </w:pPr>
          </w:p>
        </w:tc>
        <w:tc>
          <w:tcPr>
            <w:tcW w:w="3294" w:type="dxa"/>
            <w:tcBorders>
              <w:bottom w:val="single" w:sz="4" w:space="0" w:color="448A99"/>
            </w:tcBorders>
            <w:shd w:val="clear" w:color="auto" w:fill="FFFFFF"/>
            <w:vAlign w:val="center"/>
          </w:tcPr>
          <w:p w:rsidR="00F366E8" w:rsidRPr="00124B6E" w:rsidRDefault="00F366E8" w:rsidP="005C1352">
            <w:pPr>
              <w:jc w:val="left"/>
              <w:rPr>
                <w:sz w:val="19"/>
                <w:szCs w:val="19"/>
              </w:rPr>
            </w:pPr>
            <w:r w:rsidRPr="00124B6E">
              <w:rPr>
                <w:sz w:val="19"/>
                <w:szCs w:val="19"/>
              </w:rPr>
              <w:t>Large C/I Equipment</w:t>
            </w:r>
          </w:p>
        </w:tc>
        <w:tc>
          <w:tcPr>
            <w:tcW w:w="1144" w:type="dxa"/>
            <w:tcBorders>
              <w:bottom w:val="single" w:sz="4" w:space="0" w:color="448A99"/>
            </w:tcBorders>
            <w:shd w:val="clear" w:color="auto" w:fill="FFFFFF"/>
            <w:vAlign w:val="center"/>
          </w:tcPr>
          <w:p w:rsidR="00F366E8" w:rsidRPr="00124B6E" w:rsidRDefault="00F366E8" w:rsidP="005C1352">
            <w:pPr>
              <w:jc w:val="center"/>
              <w:rPr>
                <w:sz w:val="19"/>
                <w:szCs w:val="19"/>
              </w:rPr>
            </w:pPr>
            <w:r w:rsidRPr="00124B6E">
              <w:rPr>
                <w:sz w:val="19"/>
                <w:szCs w:val="19"/>
              </w:rPr>
              <w:t>0.35</w:t>
            </w:r>
          </w:p>
        </w:tc>
        <w:tc>
          <w:tcPr>
            <w:tcW w:w="1212" w:type="dxa"/>
            <w:tcBorders>
              <w:bottom w:val="single" w:sz="4" w:space="0" w:color="448A99"/>
            </w:tcBorders>
            <w:shd w:val="clear" w:color="auto" w:fill="FFFFFF"/>
            <w:vAlign w:val="center"/>
          </w:tcPr>
          <w:p w:rsidR="00F366E8" w:rsidRPr="00124B6E" w:rsidRDefault="00F366E8" w:rsidP="005C1352">
            <w:pPr>
              <w:jc w:val="center"/>
              <w:rPr>
                <w:sz w:val="19"/>
                <w:szCs w:val="19"/>
              </w:rPr>
            </w:pPr>
            <w:r w:rsidRPr="00124B6E">
              <w:rPr>
                <w:sz w:val="19"/>
                <w:szCs w:val="19"/>
              </w:rPr>
              <w:t>0.08</w:t>
            </w:r>
          </w:p>
        </w:tc>
        <w:tc>
          <w:tcPr>
            <w:tcW w:w="1209" w:type="dxa"/>
            <w:tcBorders>
              <w:bottom w:val="single" w:sz="4" w:space="0" w:color="448A99"/>
            </w:tcBorders>
            <w:shd w:val="clear" w:color="auto" w:fill="FFFFFF"/>
            <w:vAlign w:val="center"/>
          </w:tcPr>
          <w:p w:rsidR="00F366E8" w:rsidRPr="00124B6E" w:rsidRDefault="00F366E8" w:rsidP="005C1352">
            <w:pPr>
              <w:jc w:val="center"/>
              <w:rPr>
                <w:sz w:val="19"/>
                <w:szCs w:val="19"/>
              </w:rPr>
            </w:pPr>
            <w:r w:rsidRPr="00124B6E">
              <w:rPr>
                <w:sz w:val="19"/>
                <w:szCs w:val="19"/>
              </w:rPr>
              <w:t>0.73</w:t>
            </w:r>
          </w:p>
        </w:tc>
        <w:tc>
          <w:tcPr>
            <w:tcW w:w="1074" w:type="dxa"/>
            <w:tcBorders>
              <w:bottom w:val="single" w:sz="4" w:space="0" w:color="448A99"/>
            </w:tcBorders>
            <w:shd w:val="clear" w:color="auto" w:fill="FFFFFF"/>
            <w:vAlign w:val="center"/>
          </w:tcPr>
          <w:p w:rsidR="00F366E8" w:rsidRPr="00124B6E" w:rsidRDefault="00F366E8" w:rsidP="005C1352">
            <w:pPr>
              <w:jc w:val="center"/>
              <w:rPr>
                <w:sz w:val="19"/>
                <w:szCs w:val="19"/>
              </w:rPr>
            </w:pPr>
            <w:r w:rsidRPr="00124B6E">
              <w:rPr>
                <w:sz w:val="19"/>
                <w:szCs w:val="19"/>
              </w:rPr>
              <w:t>N/A</w:t>
            </w:r>
          </w:p>
        </w:tc>
      </w:tr>
      <w:tr w:rsidR="00A874AC" w:rsidRPr="00124B6E" w:rsidTr="005C1352">
        <w:trPr>
          <w:trHeight w:val="346"/>
          <w:jc w:val="center"/>
        </w:trPr>
        <w:tc>
          <w:tcPr>
            <w:tcW w:w="1417" w:type="dxa"/>
            <w:vMerge/>
            <w:shd w:val="clear" w:color="auto" w:fill="D2EAF1"/>
          </w:tcPr>
          <w:p w:rsidR="00F366E8" w:rsidRPr="00124B6E" w:rsidRDefault="00F366E8" w:rsidP="005C1352">
            <w:pPr>
              <w:rPr>
                <w:sz w:val="19"/>
                <w:szCs w:val="19"/>
              </w:rPr>
            </w:pPr>
          </w:p>
        </w:tc>
        <w:tc>
          <w:tcPr>
            <w:tcW w:w="3294" w:type="dxa"/>
            <w:tcBorders>
              <w:bottom w:val="single" w:sz="4" w:space="0" w:color="448A99"/>
            </w:tcBorders>
            <w:shd w:val="clear" w:color="auto" w:fill="D2EAF1"/>
            <w:vAlign w:val="center"/>
          </w:tcPr>
          <w:p w:rsidR="00F366E8" w:rsidRPr="00124B6E" w:rsidRDefault="00F366E8" w:rsidP="005C1352">
            <w:pPr>
              <w:jc w:val="left"/>
              <w:rPr>
                <w:sz w:val="19"/>
                <w:szCs w:val="19"/>
              </w:rPr>
            </w:pPr>
            <w:r w:rsidRPr="00124B6E">
              <w:rPr>
                <w:sz w:val="19"/>
                <w:szCs w:val="19"/>
              </w:rPr>
              <w:t>Small C/I Buildings</w:t>
            </w:r>
          </w:p>
        </w:tc>
        <w:tc>
          <w:tcPr>
            <w:tcW w:w="1144"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0.40</w:t>
            </w:r>
          </w:p>
        </w:tc>
        <w:tc>
          <w:tcPr>
            <w:tcW w:w="1212"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0.00</w:t>
            </w:r>
          </w:p>
        </w:tc>
        <w:tc>
          <w:tcPr>
            <w:tcW w:w="1209"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0.60</w:t>
            </w:r>
          </w:p>
        </w:tc>
        <w:tc>
          <w:tcPr>
            <w:tcW w:w="1074"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83</w:t>
            </w:r>
          </w:p>
        </w:tc>
      </w:tr>
      <w:tr w:rsidR="00A874AC" w:rsidRPr="00124B6E" w:rsidTr="005C1352">
        <w:trPr>
          <w:trHeight w:val="346"/>
          <w:jc w:val="center"/>
        </w:trPr>
        <w:tc>
          <w:tcPr>
            <w:tcW w:w="1417" w:type="dxa"/>
            <w:vMerge/>
            <w:shd w:val="clear" w:color="auto" w:fill="D2EAF1"/>
          </w:tcPr>
          <w:p w:rsidR="00F366E8" w:rsidRPr="00124B6E" w:rsidRDefault="00F366E8" w:rsidP="005C1352">
            <w:pPr>
              <w:rPr>
                <w:sz w:val="19"/>
                <w:szCs w:val="19"/>
              </w:rPr>
            </w:pPr>
          </w:p>
        </w:tc>
        <w:tc>
          <w:tcPr>
            <w:tcW w:w="3294" w:type="dxa"/>
            <w:tcBorders>
              <w:bottom w:val="single" w:sz="4" w:space="0" w:color="448A99"/>
            </w:tcBorders>
            <w:shd w:val="clear" w:color="auto" w:fill="FFFFFF"/>
            <w:vAlign w:val="center"/>
          </w:tcPr>
          <w:p w:rsidR="00F366E8" w:rsidRPr="00124B6E" w:rsidRDefault="00F366E8" w:rsidP="005C1352">
            <w:pPr>
              <w:jc w:val="left"/>
              <w:rPr>
                <w:sz w:val="19"/>
                <w:szCs w:val="19"/>
              </w:rPr>
            </w:pPr>
            <w:r w:rsidRPr="00124B6E">
              <w:rPr>
                <w:sz w:val="19"/>
                <w:szCs w:val="19"/>
              </w:rPr>
              <w:t>Large C/I Buildings</w:t>
            </w:r>
          </w:p>
        </w:tc>
        <w:tc>
          <w:tcPr>
            <w:tcW w:w="1144" w:type="dxa"/>
            <w:tcBorders>
              <w:bottom w:val="single" w:sz="4" w:space="0" w:color="448A99"/>
            </w:tcBorders>
            <w:shd w:val="clear" w:color="auto" w:fill="FFFFFF"/>
            <w:vAlign w:val="center"/>
          </w:tcPr>
          <w:p w:rsidR="00F366E8" w:rsidRPr="00124B6E" w:rsidRDefault="00F366E8" w:rsidP="005C1352">
            <w:pPr>
              <w:jc w:val="center"/>
              <w:rPr>
                <w:sz w:val="19"/>
                <w:szCs w:val="19"/>
              </w:rPr>
            </w:pPr>
            <w:r w:rsidRPr="00124B6E">
              <w:rPr>
                <w:sz w:val="19"/>
                <w:szCs w:val="19"/>
              </w:rPr>
              <w:t>0.52</w:t>
            </w:r>
          </w:p>
        </w:tc>
        <w:tc>
          <w:tcPr>
            <w:tcW w:w="1212" w:type="dxa"/>
            <w:tcBorders>
              <w:bottom w:val="single" w:sz="4" w:space="0" w:color="448A99"/>
            </w:tcBorders>
            <w:shd w:val="clear" w:color="auto" w:fill="FFFFFF"/>
            <w:vAlign w:val="center"/>
          </w:tcPr>
          <w:p w:rsidR="00F366E8" w:rsidRPr="00124B6E" w:rsidRDefault="00F366E8" w:rsidP="005C1352">
            <w:pPr>
              <w:jc w:val="center"/>
              <w:rPr>
                <w:sz w:val="19"/>
                <w:szCs w:val="19"/>
              </w:rPr>
            </w:pPr>
            <w:r w:rsidRPr="00124B6E">
              <w:rPr>
                <w:sz w:val="19"/>
                <w:szCs w:val="19"/>
              </w:rPr>
              <w:t>0.00</w:t>
            </w:r>
          </w:p>
        </w:tc>
        <w:tc>
          <w:tcPr>
            <w:tcW w:w="1209" w:type="dxa"/>
            <w:tcBorders>
              <w:bottom w:val="single" w:sz="4" w:space="0" w:color="448A99"/>
            </w:tcBorders>
            <w:shd w:val="clear" w:color="auto" w:fill="FFFFFF"/>
            <w:vAlign w:val="center"/>
          </w:tcPr>
          <w:p w:rsidR="00F366E8" w:rsidRPr="00124B6E" w:rsidRDefault="00F366E8" w:rsidP="005C1352">
            <w:pPr>
              <w:jc w:val="center"/>
              <w:rPr>
                <w:sz w:val="19"/>
                <w:szCs w:val="19"/>
              </w:rPr>
            </w:pPr>
            <w:r w:rsidRPr="00124B6E">
              <w:rPr>
                <w:sz w:val="19"/>
                <w:szCs w:val="19"/>
              </w:rPr>
              <w:t>0.48</w:t>
            </w:r>
          </w:p>
        </w:tc>
        <w:tc>
          <w:tcPr>
            <w:tcW w:w="1074" w:type="dxa"/>
            <w:tcBorders>
              <w:bottom w:val="single" w:sz="4" w:space="0" w:color="448A99"/>
            </w:tcBorders>
            <w:shd w:val="clear" w:color="auto" w:fill="FFFFFF"/>
            <w:vAlign w:val="center"/>
          </w:tcPr>
          <w:p w:rsidR="00F366E8" w:rsidRPr="00124B6E" w:rsidRDefault="00F366E8" w:rsidP="005C1352">
            <w:pPr>
              <w:jc w:val="center"/>
              <w:rPr>
                <w:sz w:val="19"/>
                <w:szCs w:val="19"/>
              </w:rPr>
            </w:pPr>
            <w:r w:rsidRPr="00124B6E">
              <w:rPr>
                <w:sz w:val="19"/>
                <w:szCs w:val="19"/>
              </w:rPr>
              <w:t>9</w:t>
            </w:r>
          </w:p>
        </w:tc>
      </w:tr>
      <w:tr w:rsidR="00A874AC" w:rsidRPr="00124B6E" w:rsidTr="005C1352">
        <w:trPr>
          <w:trHeight w:val="346"/>
          <w:jc w:val="center"/>
        </w:trPr>
        <w:tc>
          <w:tcPr>
            <w:tcW w:w="1417" w:type="dxa"/>
            <w:vMerge/>
            <w:tcBorders>
              <w:bottom w:val="single" w:sz="4" w:space="0" w:color="448A99"/>
            </w:tcBorders>
            <w:shd w:val="clear" w:color="auto" w:fill="D2EAF1"/>
          </w:tcPr>
          <w:p w:rsidR="00F366E8" w:rsidRPr="00124B6E" w:rsidRDefault="00F366E8" w:rsidP="005C1352">
            <w:pPr>
              <w:rPr>
                <w:sz w:val="19"/>
                <w:szCs w:val="19"/>
              </w:rPr>
            </w:pPr>
          </w:p>
        </w:tc>
        <w:tc>
          <w:tcPr>
            <w:tcW w:w="3294" w:type="dxa"/>
            <w:tcBorders>
              <w:bottom w:val="single" w:sz="4" w:space="0" w:color="448A99"/>
            </w:tcBorders>
            <w:shd w:val="clear" w:color="auto" w:fill="D2EAF1"/>
            <w:vAlign w:val="center"/>
          </w:tcPr>
          <w:p w:rsidR="00F366E8" w:rsidRPr="00124B6E" w:rsidRDefault="00F366E8" w:rsidP="005C1352">
            <w:pPr>
              <w:jc w:val="left"/>
              <w:rPr>
                <w:sz w:val="19"/>
                <w:szCs w:val="19"/>
              </w:rPr>
            </w:pPr>
            <w:r w:rsidRPr="00124B6E">
              <w:rPr>
                <w:sz w:val="19"/>
                <w:szCs w:val="19"/>
              </w:rPr>
              <w:t>Government and Institutional</w:t>
            </w:r>
          </w:p>
        </w:tc>
        <w:tc>
          <w:tcPr>
            <w:tcW w:w="1144"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0.38</w:t>
            </w:r>
          </w:p>
        </w:tc>
        <w:tc>
          <w:tcPr>
            <w:tcW w:w="1212"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0.11</w:t>
            </w:r>
          </w:p>
        </w:tc>
        <w:tc>
          <w:tcPr>
            <w:tcW w:w="1209"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0.73</w:t>
            </w:r>
          </w:p>
        </w:tc>
        <w:tc>
          <w:tcPr>
            <w:tcW w:w="1074" w:type="dxa"/>
            <w:tcBorders>
              <w:bottom w:val="single" w:sz="4" w:space="0" w:color="448A99"/>
            </w:tcBorders>
            <w:shd w:val="clear" w:color="auto" w:fill="D2EAF1"/>
            <w:vAlign w:val="center"/>
          </w:tcPr>
          <w:p w:rsidR="00F366E8" w:rsidRPr="00124B6E" w:rsidRDefault="00F366E8" w:rsidP="005C1352">
            <w:pPr>
              <w:jc w:val="center"/>
              <w:rPr>
                <w:sz w:val="19"/>
                <w:szCs w:val="19"/>
              </w:rPr>
            </w:pPr>
            <w:r w:rsidRPr="00124B6E">
              <w:rPr>
                <w:sz w:val="19"/>
                <w:szCs w:val="19"/>
              </w:rPr>
              <w:t>N/A</w:t>
            </w:r>
          </w:p>
        </w:tc>
      </w:tr>
      <w:tr w:rsidR="00E7173E" w:rsidRPr="009A6DD4" w:rsidTr="008F60E1">
        <w:trPr>
          <w:trHeight w:val="346"/>
          <w:jc w:val="center"/>
        </w:trPr>
        <w:tc>
          <w:tcPr>
            <w:tcW w:w="9350" w:type="dxa"/>
            <w:gridSpan w:val="6"/>
            <w:tcBorders>
              <w:bottom w:val="single" w:sz="4" w:space="0" w:color="448A99"/>
            </w:tcBorders>
            <w:shd w:val="clear" w:color="auto" w:fill="448A99"/>
          </w:tcPr>
          <w:p w:rsidR="00F366E8" w:rsidRPr="009A6DD4" w:rsidRDefault="00F366E8" w:rsidP="005C1352">
            <w:pPr>
              <w:jc w:val="left"/>
              <w:rPr>
                <w:color w:val="FFFFFF"/>
                <w:sz w:val="18"/>
                <w:szCs w:val="19"/>
              </w:rPr>
            </w:pPr>
            <w:r w:rsidRPr="009A6DD4">
              <w:rPr>
                <w:color w:val="FFFFFF"/>
                <w:sz w:val="18"/>
                <w:szCs w:val="19"/>
              </w:rPr>
              <w:t>NOTES</w:t>
            </w:r>
            <w:r w:rsidR="00124B6E" w:rsidRPr="009A6DD4">
              <w:rPr>
                <w:color w:val="FFFFFF"/>
                <w:sz w:val="18"/>
                <w:szCs w:val="19"/>
              </w:rPr>
              <w:t>:</w:t>
            </w:r>
          </w:p>
          <w:p w:rsidR="00F366E8" w:rsidRPr="009A6DD4" w:rsidRDefault="00F366E8" w:rsidP="005C1352">
            <w:pPr>
              <w:jc w:val="left"/>
              <w:rPr>
                <w:color w:val="FFFFFF"/>
                <w:sz w:val="18"/>
                <w:szCs w:val="19"/>
              </w:rPr>
            </w:pPr>
            <w:r w:rsidRPr="009A6DD4">
              <w:rPr>
                <w:color w:val="FFFFFF"/>
                <w:sz w:val="18"/>
                <w:szCs w:val="19"/>
              </w:rPr>
              <w:t>[a]</w:t>
            </w:r>
            <w:r w:rsidRPr="009A6DD4">
              <w:rPr>
                <w:bCs/>
                <w:color w:val="FFFFFF"/>
                <w:sz w:val="18"/>
                <w:szCs w:val="19"/>
              </w:rPr>
              <w:t xml:space="preserve"> </w:t>
            </w:r>
            <w:r w:rsidRPr="009A6DD4">
              <w:rPr>
                <w:color w:val="FFFFFF"/>
                <w:sz w:val="18"/>
                <w:szCs w:val="19"/>
              </w:rPr>
              <w:t xml:space="preserve">NTGR = 1 – free-ridership + spillover. In some cases, the NTGR shown in the table may not equal exactly 1 – </w:t>
            </w:r>
            <w:r w:rsidRPr="009A6DD4">
              <w:rPr>
                <w:rFonts w:eastAsia="Calibri"/>
                <w:color w:val="FFFFFF"/>
                <w:sz w:val="18"/>
                <w:szCs w:val="19"/>
              </w:rPr>
              <w:t>free-ridership + spillover</w:t>
            </w:r>
            <w:r w:rsidRPr="009A6DD4">
              <w:rPr>
                <w:color w:val="FFFFFF"/>
                <w:sz w:val="18"/>
                <w:szCs w:val="19"/>
              </w:rPr>
              <w:t xml:space="preserve"> because of rounding.</w:t>
            </w:r>
          </w:p>
          <w:p w:rsidR="00F366E8" w:rsidRPr="009A6DD4" w:rsidRDefault="00F366E8" w:rsidP="005C1352">
            <w:pPr>
              <w:jc w:val="left"/>
              <w:rPr>
                <w:color w:val="FFFFFF"/>
                <w:sz w:val="18"/>
                <w:szCs w:val="19"/>
              </w:rPr>
            </w:pPr>
            <w:r w:rsidRPr="009A6DD4">
              <w:rPr>
                <w:color w:val="FFFFFF"/>
                <w:sz w:val="18"/>
                <w:szCs w:val="19"/>
              </w:rPr>
              <w:t xml:space="preserve">[b] All sample sizes are for the downstream NTG research using the common method. All sample sizes provided at least 85/15 confidence/precision. </w:t>
            </w:r>
            <w:r w:rsidRPr="009A6DD4" w:rsidDel="00A436B6">
              <w:rPr>
                <w:color w:val="FFFFFF"/>
                <w:sz w:val="18"/>
                <w:szCs w:val="19"/>
              </w:rPr>
              <w:t xml:space="preserve"> </w:t>
            </w:r>
          </w:p>
          <w:p w:rsidR="00F366E8" w:rsidRPr="009A6DD4" w:rsidRDefault="00F366E8" w:rsidP="005C1352">
            <w:pPr>
              <w:jc w:val="left"/>
              <w:rPr>
                <w:color w:val="FFFFFF"/>
                <w:sz w:val="18"/>
                <w:szCs w:val="19"/>
              </w:rPr>
            </w:pPr>
            <w:r w:rsidRPr="009A6DD4">
              <w:rPr>
                <w:color w:val="FFFFFF"/>
                <w:sz w:val="18"/>
                <w:szCs w:val="19"/>
              </w:rPr>
              <w:t>[c] ADM/Tetra Tech misprinted the program-level FR value in the PY7 annual report. The value reported in this table is the actual FR value.</w:t>
            </w:r>
          </w:p>
        </w:tc>
      </w:tr>
    </w:tbl>
    <w:p w:rsidR="003351A0" w:rsidRPr="006C05B5" w:rsidRDefault="003351A0" w:rsidP="003351A0"/>
    <w:p w:rsidR="00950837" w:rsidRDefault="00950837" w:rsidP="000D3563">
      <w:pPr>
        <w:pStyle w:val="AppendixAHeading2"/>
      </w:pPr>
      <w:r>
        <w:t>Statewide Evaluator Final Recommendations</w:t>
      </w:r>
    </w:p>
    <w:p w:rsidR="00405346" w:rsidRDefault="00405346" w:rsidP="00405346">
      <w:pPr>
        <w:pStyle w:val="bullettext"/>
      </w:pPr>
      <w:r w:rsidRPr="000475E0">
        <w:t xml:space="preserve">The SWE Team has the following recommendations for </w:t>
      </w:r>
      <w:r>
        <w:t>West Penn</w:t>
      </w:r>
      <w:r w:rsidRPr="000475E0">
        <w:t>’s EE&amp;C programs going forward</w:t>
      </w:r>
      <w:r>
        <w:t>:</w:t>
      </w:r>
    </w:p>
    <w:p w:rsidR="00405346" w:rsidRDefault="00405346" w:rsidP="00E646C9">
      <w:pPr>
        <w:pStyle w:val="bullettext"/>
        <w:numPr>
          <w:ilvl w:val="0"/>
          <w:numId w:val="85"/>
        </w:numPr>
        <w:ind w:left="360"/>
      </w:pPr>
      <w:r>
        <w:t>T</w:t>
      </w:r>
      <w:r w:rsidRPr="00372E42">
        <w:t>he SWE Team recommends that in the interest of transparency, only the SWE-supplied Appendix C calculator be used for C</w:t>
      </w:r>
      <w:r w:rsidR="0097650B">
        <w:t>/</w:t>
      </w:r>
      <w:r w:rsidRPr="00372E42">
        <w:t>I lighting projects moving forward</w:t>
      </w:r>
    </w:p>
    <w:p w:rsidR="00405346" w:rsidRDefault="00405346" w:rsidP="00E646C9">
      <w:pPr>
        <w:pStyle w:val="bullettext"/>
        <w:numPr>
          <w:ilvl w:val="0"/>
          <w:numId w:val="85"/>
        </w:numPr>
        <w:ind w:left="360"/>
      </w:pPr>
      <w:r w:rsidRPr="00372E42">
        <w:t>Review rebate paperwork processes to identify opportunities to streamline documentation requirements and notify contractors and customers more quickly if project documentation is incomplete.</w:t>
      </w:r>
    </w:p>
    <w:p w:rsidR="00405346" w:rsidRDefault="00405346" w:rsidP="00E646C9">
      <w:pPr>
        <w:pStyle w:val="bullettext"/>
        <w:numPr>
          <w:ilvl w:val="0"/>
          <w:numId w:val="85"/>
        </w:numPr>
        <w:spacing w:after="0"/>
        <w:ind w:left="360"/>
      </w:pPr>
      <w:r w:rsidRPr="00372E42">
        <w:t>As the Home Performance – New Construction measure becomes more streamlined or as incentives change, attempt to attract builders who began with the program but dropped out.</w:t>
      </w:r>
    </w:p>
    <w:p w:rsidR="00405346" w:rsidRPr="00405346" w:rsidRDefault="00405346" w:rsidP="00405346"/>
    <w:p w:rsidR="00950837" w:rsidRPr="00124B6E" w:rsidRDefault="00950837" w:rsidP="00353645">
      <w:pPr>
        <w:pStyle w:val="AppendixAHeading1"/>
        <w:rPr>
          <w:color w:val="404040" w:themeColor="text1" w:themeTint="BF"/>
        </w:rPr>
      </w:pPr>
      <w:r w:rsidRPr="00124B6E">
        <w:rPr>
          <w:color w:val="404040" w:themeColor="text1" w:themeTint="BF"/>
        </w:rPr>
        <w:t>PECO</w:t>
      </w:r>
    </w:p>
    <w:p w:rsidR="007724F5" w:rsidRPr="007724F5" w:rsidRDefault="007724F5" w:rsidP="007724F5">
      <w:r w:rsidRPr="00735BA9">
        <w:t xml:space="preserve">This </w:t>
      </w:r>
      <w:r>
        <w:t>section</w:t>
      </w:r>
      <w:r w:rsidRPr="00735BA9">
        <w:t xml:space="preserve"> summarizes </w:t>
      </w:r>
      <w:r>
        <w:t>PECO</w:t>
      </w:r>
      <w:r w:rsidRPr="00735BA9">
        <w:t xml:space="preserve">’s program performance </w:t>
      </w:r>
      <w:r>
        <w:t>through PY7</w:t>
      </w:r>
      <w:r w:rsidRPr="00735BA9">
        <w:t xml:space="preserve">. It includes an overview of the cumulative energy savings and demand reductions achieved by </w:t>
      </w:r>
      <w:r>
        <w:t>PECO</w:t>
      </w:r>
      <w:r w:rsidRPr="00735BA9">
        <w:t xml:space="preserve">’s Act 129 EE&amp;C programs in Phase II; an overview of the TRC test results for each program and for the portfolio of programs; a discussion of the activities completed by </w:t>
      </w:r>
      <w:r>
        <w:t>PECO</w:t>
      </w:r>
      <w:r w:rsidRPr="00735BA9">
        <w:t xml:space="preserve">’s evaluation contractor to conduct M&amp;V of </w:t>
      </w:r>
      <w:r w:rsidR="00CE78B5">
        <w:t>PECO</w:t>
      </w:r>
      <w:r w:rsidRPr="00735BA9">
        <w:t xml:space="preserve">’s EE&amp;C programs and to calculate the cost-effectiveness of the portfolio of programs; a description of the work and findings of the SWE Team audits; and the SWE Team’s recommendations of actions to help improve </w:t>
      </w:r>
      <w:r>
        <w:t>PECO</w:t>
      </w:r>
      <w:r w:rsidRPr="00735BA9">
        <w:t>’s programs in the future</w:t>
      </w:r>
      <w:r>
        <w:t>.</w:t>
      </w:r>
    </w:p>
    <w:p w:rsidR="007724F5" w:rsidRPr="006F4CC7" w:rsidRDefault="007724F5" w:rsidP="006F4CC7"/>
    <w:p w:rsidR="00950837" w:rsidRDefault="00950837" w:rsidP="000D3563">
      <w:pPr>
        <w:pStyle w:val="AppendixAHeading2"/>
      </w:pPr>
      <w:r>
        <w:t>Summary of Energy and Demand Reductions</w:t>
      </w:r>
    </w:p>
    <w:p w:rsidR="009C5272" w:rsidRDefault="009C5272" w:rsidP="009C5272">
      <w:r>
        <w:t xml:space="preserve">This section lists the programs </w:t>
      </w:r>
      <w:r w:rsidR="00804EA4">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9C0DF1">
      <w:pPr>
        <w:pStyle w:val="AppendixAHeading3"/>
      </w:pPr>
      <w:r>
        <w:t>Phase II Savings by Program</w:t>
      </w:r>
    </w:p>
    <w:p w:rsidR="005A27BE" w:rsidRDefault="00791B40" w:rsidP="005A27BE">
      <w:r>
        <w:fldChar w:fldCharType="begin"/>
      </w:r>
      <w:r>
        <w:instrText xml:space="preserve"> REF _Ref472359475 \h </w:instrText>
      </w:r>
      <w:r>
        <w:fldChar w:fldCharType="separate"/>
      </w:r>
      <w:r w:rsidR="00037CB4" w:rsidRPr="00E41D9C">
        <w:t>Table A-</w:t>
      </w:r>
      <w:r w:rsidR="00037CB4">
        <w:rPr>
          <w:noProof/>
        </w:rPr>
        <w:t>102</w:t>
      </w:r>
      <w:r>
        <w:fldChar w:fldCharType="end"/>
      </w:r>
      <w:r w:rsidR="005A27BE">
        <w:t xml:space="preserve"> </w:t>
      </w:r>
      <w:r w:rsidR="005A27BE" w:rsidRPr="004B480A">
        <w:t>lists</w:t>
      </w:r>
      <w:r w:rsidR="005A27BE">
        <w:t xml:space="preserve"> the</w:t>
      </w:r>
      <w:r w:rsidR="005A27BE" w:rsidRPr="004B480A">
        <w:t xml:space="preserve"> </w:t>
      </w:r>
      <w:r>
        <w:t>PECO</w:t>
      </w:r>
      <w:r w:rsidR="005A27BE" w:rsidRPr="004B480A">
        <w:t xml:space="preserve"> EE&amp;C programs</w:t>
      </w:r>
      <w:r w:rsidR="005A27BE">
        <w:t xml:space="preserve"> that yielded reported savings in PY7. </w:t>
      </w:r>
      <w:r>
        <w:fldChar w:fldCharType="begin"/>
      </w:r>
      <w:r>
        <w:instrText xml:space="preserve"> REF _Ref472359485 \h </w:instrText>
      </w:r>
      <w:r>
        <w:fldChar w:fldCharType="separate"/>
      </w:r>
      <w:r w:rsidR="00037CB4" w:rsidRPr="00E41D9C">
        <w:t>Table A-</w:t>
      </w:r>
      <w:r w:rsidR="00037CB4">
        <w:rPr>
          <w:noProof/>
        </w:rPr>
        <w:t>103</w:t>
      </w:r>
      <w:r>
        <w:fldChar w:fldCharType="end"/>
      </w:r>
      <w:r w:rsidR="005A27BE">
        <w:t xml:space="preserve"> shows the verified gross energy and demand savings of each program at the conclusion of Phase II. The </w:t>
      </w:r>
      <w:r w:rsidR="00A2654F">
        <w:t>Smart Home Rebates program</w:t>
      </w:r>
      <w:r w:rsidR="005A27BE">
        <w:t xml:space="preserve"> was the largest contributor of both energy and demand savings.</w:t>
      </w:r>
    </w:p>
    <w:p w:rsidR="005A27BE" w:rsidRPr="004B480A" w:rsidRDefault="005A27BE" w:rsidP="005A27BE"/>
    <w:p w:rsidR="005A27BE" w:rsidRDefault="005A27BE" w:rsidP="004837FA">
      <w:pPr>
        <w:pStyle w:val="Caption"/>
      </w:pPr>
      <w:bookmarkStart w:id="1088" w:name="_Ref472359475"/>
      <w:bookmarkStart w:id="1089" w:name="_Toc472472511"/>
      <w:bookmarkStart w:id="1090" w:name="_Toc488741930"/>
      <w:r w:rsidRPr="00E41D9C">
        <w:t>Table A-</w:t>
      </w:r>
      <w:r w:rsidR="007973A4">
        <w:fldChar w:fldCharType="begin"/>
      </w:r>
      <w:r w:rsidR="007973A4">
        <w:instrText xml:space="preserve"> SEQ Table_A- \* ARABIC </w:instrText>
      </w:r>
      <w:r w:rsidR="007973A4">
        <w:fldChar w:fldCharType="separate"/>
      </w:r>
      <w:r w:rsidR="00037CB4">
        <w:rPr>
          <w:noProof/>
        </w:rPr>
        <w:t>102</w:t>
      </w:r>
      <w:r w:rsidR="007973A4">
        <w:rPr>
          <w:noProof/>
        </w:rPr>
        <w:fldChar w:fldCharType="end"/>
      </w:r>
      <w:bookmarkEnd w:id="1088"/>
      <w:r w:rsidRPr="00E41D9C">
        <w:t xml:space="preserve">: </w:t>
      </w:r>
      <w:r w:rsidR="00791B40">
        <w:t>PECO</w:t>
      </w:r>
      <w:r w:rsidRPr="00E41D9C">
        <w:t xml:space="preserve"> EE&amp;C Programs wi</w:t>
      </w:r>
      <w:r>
        <w:t>th Reported Gross Savings in PY7</w:t>
      </w:r>
      <w:bookmarkEnd w:id="1089"/>
      <w:bookmarkEnd w:id="1090"/>
    </w:p>
    <w:tbl>
      <w:tblPr>
        <w:tblW w:w="9350" w:type="dxa"/>
        <w:tblLook w:val="04A0" w:firstRow="1" w:lastRow="0" w:firstColumn="1" w:lastColumn="0" w:noHBand="0" w:noVBand="1"/>
      </w:tblPr>
      <w:tblGrid>
        <w:gridCol w:w="7010"/>
        <w:gridCol w:w="2340"/>
      </w:tblGrid>
      <w:tr w:rsidR="00E7173E" w:rsidRPr="00124B6E" w:rsidTr="008F60E1">
        <w:trPr>
          <w:trHeight w:val="268"/>
          <w:tblHeader/>
        </w:trPr>
        <w:tc>
          <w:tcPr>
            <w:tcW w:w="701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2654F" w:rsidRPr="00124B6E" w:rsidRDefault="00A2654F" w:rsidP="006F4CC7">
            <w:pPr>
              <w:rPr>
                <w:b/>
                <w:bCs/>
                <w:color w:val="FFFFFF"/>
                <w:sz w:val="19"/>
                <w:szCs w:val="19"/>
              </w:rPr>
            </w:pPr>
            <w:r w:rsidRPr="00124B6E">
              <w:rPr>
                <w:b/>
                <w:bCs/>
                <w:color w:val="FFFFFF"/>
                <w:sz w:val="19"/>
                <w:szCs w:val="19"/>
              </w:rPr>
              <w:t>Programs Reporting PY7 Gross Savings</w:t>
            </w:r>
          </w:p>
        </w:tc>
        <w:tc>
          <w:tcPr>
            <w:tcW w:w="2340"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124B6E" w:rsidRDefault="00804EA4" w:rsidP="006F4CC7">
            <w:pPr>
              <w:jc w:val="center"/>
              <w:rPr>
                <w:b/>
                <w:bCs/>
                <w:color w:val="FFFFFF"/>
                <w:sz w:val="19"/>
                <w:szCs w:val="19"/>
              </w:rPr>
            </w:pPr>
            <w:r w:rsidRPr="00124B6E">
              <w:rPr>
                <w:b/>
                <w:bCs/>
                <w:color w:val="FFFFFF"/>
                <w:sz w:val="19"/>
                <w:szCs w:val="19"/>
              </w:rPr>
              <w:t>Sector</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124B6E" w:rsidRDefault="00A2654F" w:rsidP="00A2654F">
            <w:pPr>
              <w:jc w:val="left"/>
              <w:rPr>
                <w:color w:val="000000"/>
                <w:sz w:val="19"/>
                <w:szCs w:val="19"/>
              </w:rPr>
            </w:pPr>
            <w:r w:rsidRPr="00124B6E">
              <w:rPr>
                <w:color w:val="000000"/>
                <w:sz w:val="19"/>
                <w:szCs w:val="19"/>
              </w:rPr>
              <w:t>Smart Appliance Recycling</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6F4CC7">
            <w:pPr>
              <w:jc w:val="center"/>
              <w:rPr>
                <w:color w:val="000000"/>
                <w:sz w:val="19"/>
                <w:szCs w:val="19"/>
              </w:rPr>
            </w:pPr>
            <w:r w:rsidRPr="00124B6E">
              <w:rPr>
                <w:color w:val="000000"/>
                <w:sz w:val="19"/>
                <w:szCs w:val="19"/>
              </w:rPr>
              <w:t>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124B6E" w:rsidRDefault="00A2654F" w:rsidP="00A2654F">
            <w:pPr>
              <w:jc w:val="left"/>
              <w:rPr>
                <w:color w:val="000000"/>
                <w:sz w:val="19"/>
                <w:szCs w:val="19"/>
              </w:rPr>
            </w:pPr>
            <w:r w:rsidRPr="00124B6E">
              <w:rPr>
                <w:color w:val="000000"/>
                <w:sz w:val="19"/>
                <w:szCs w:val="19"/>
              </w:rPr>
              <w:t>Smart Builder Rebates</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6F4CC7">
            <w:pPr>
              <w:jc w:val="center"/>
              <w:rPr>
                <w:color w:val="000000"/>
                <w:sz w:val="19"/>
                <w:szCs w:val="19"/>
              </w:rPr>
            </w:pPr>
            <w:r w:rsidRPr="00124B6E">
              <w:rPr>
                <w:color w:val="000000"/>
                <w:sz w:val="19"/>
                <w:szCs w:val="19"/>
              </w:rPr>
              <w:t>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124B6E" w:rsidRDefault="00A2654F" w:rsidP="00A2654F">
            <w:pPr>
              <w:jc w:val="left"/>
              <w:rPr>
                <w:color w:val="000000"/>
                <w:sz w:val="19"/>
                <w:szCs w:val="19"/>
              </w:rPr>
            </w:pPr>
            <w:r w:rsidRPr="00124B6E">
              <w:rPr>
                <w:color w:val="000000"/>
                <w:sz w:val="19"/>
                <w:szCs w:val="19"/>
              </w:rPr>
              <w:t>Smart Energy Saver</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6F4CC7">
            <w:pPr>
              <w:jc w:val="center"/>
              <w:rPr>
                <w:color w:val="000000"/>
                <w:sz w:val="19"/>
                <w:szCs w:val="19"/>
              </w:rPr>
            </w:pPr>
            <w:r w:rsidRPr="00124B6E">
              <w:rPr>
                <w:color w:val="000000"/>
                <w:sz w:val="19"/>
                <w:szCs w:val="19"/>
              </w:rPr>
              <w:t>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124B6E" w:rsidRDefault="00A2654F" w:rsidP="00A2654F">
            <w:pPr>
              <w:jc w:val="left"/>
              <w:rPr>
                <w:color w:val="000000"/>
                <w:sz w:val="19"/>
                <w:szCs w:val="19"/>
              </w:rPr>
            </w:pPr>
            <w:r w:rsidRPr="00124B6E">
              <w:rPr>
                <w:color w:val="000000"/>
                <w:sz w:val="19"/>
                <w:szCs w:val="19"/>
              </w:rPr>
              <w:t>Smart Home Rebates</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6F4CC7">
            <w:pPr>
              <w:jc w:val="center"/>
              <w:rPr>
                <w:color w:val="000000"/>
                <w:sz w:val="19"/>
                <w:szCs w:val="19"/>
              </w:rPr>
            </w:pPr>
            <w:r w:rsidRPr="00124B6E">
              <w:rPr>
                <w:color w:val="000000"/>
                <w:sz w:val="19"/>
                <w:szCs w:val="19"/>
              </w:rPr>
              <w:t>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124B6E" w:rsidRDefault="00A2654F" w:rsidP="00A2654F">
            <w:pPr>
              <w:jc w:val="left"/>
              <w:rPr>
                <w:color w:val="000000"/>
                <w:sz w:val="19"/>
                <w:szCs w:val="19"/>
              </w:rPr>
            </w:pPr>
            <w:r w:rsidRPr="00124B6E">
              <w:rPr>
                <w:color w:val="000000"/>
                <w:sz w:val="19"/>
                <w:szCs w:val="19"/>
              </w:rPr>
              <w:t>Smart House Call</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6F4CC7">
            <w:pPr>
              <w:jc w:val="center"/>
              <w:rPr>
                <w:color w:val="000000"/>
                <w:sz w:val="19"/>
                <w:szCs w:val="19"/>
              </w:rPr>
            </w:pPr>
            <w:r w:rsidRPr="00124B6E">
              <w:rPr>
                <w:color w:val="000000"/>
                <w:sz w:val="19"/>
                <w:szCs w:val="19"/>
              </w:rPr>
              <w:t>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124B6E" w:rsidRDefault="00A2654F" w:rsidP="00A2654F">
            <w:pPr>
              <w:jc w:val="left"/>
              <w:rPr>
                <w:color w:val="000000"/>
                <w:sz w:val="19"/>
                <w:szCs w:val="19"/>
              </w:rPr>
            </w:pPr>
            <w:r w:rsidRPr="00124B6E">
              <w:rPr>
                <w:color w:val="000000"/>
                <w:sz w:val="19"/>
                <w:szCs w:val="19"/>
              </w:rPr>
              <w:t>Smart Multi-Family Solutions - Residential</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6F4CC7">
            <w:pPr>
              <w:jc w:val="center"/>
              <w:rPr>
                <w:color w:val="000000"/>
                <w:sz w:val="19"/>
                <w:szCs w:val="19"/>
              </w:rPr>
            </w:pPr>
            <w:r w:rsidRPr="00124B6E">
              <w:rPr>
                <w:color w:val="000000"/>
                <w:sz w:val="19"/>
                <w:szCs w:val="19"/>
              </w:rPr>
              <w:t>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124B6E" w:rsidRDefault="00A2654F" w:rsidP="00A2654F">
            <w:pPr>
              <w:jc w:val="left"/>
              <w:rPr>
                <w:color w:val="000000"/>
                <w:sz w:val="19"/>
                <w:szCs w:val="19"/>
              </w:rPr>
            </w:pPr>
            <w:r w:rsidRPr="00124B6E">
              <w:rPr>
                <w:color w:val="000000"/>
                <w:sz w:val="19"/>
                <w:szCs w:val="19"/>
              </w:rPr>
              <w:t>Smart Usage Profile</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6F4CC7">
            <w:pPr>
              <w:jc w:val="center"/>
              <w:rPr>
                <w:color w:val="000000"/>
                <w:sz w:val="19"/>
                <w:szCs w:val="19"/>
              </w:rPr>
            </w:pPr>
            <w:r w:rsidRPr="00124B6E">
              <w:rPr>
                <w:color w:val="000000"/>
                <w:sz w:val="19"/>
                <w:szCs w:val="19"/>
              </w:rPr>
              <w:t>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124B6E" w:rsidRDefault="00A2654F" w:rsidP="00A2654F">
            <w:pPr>
              <w:jc w:val="left"/>
              <w:rPr>
                <w:color w:val="000000"/>
                <w:sz w:val="19"/>
                <w:szCs w:val="19"/>
              </w:rPr>
            </w:pPr>
            <w:r w:rsidRPr="00124B6E">
              <w:rPr>
                <w:color w:val="000000"/>
                <w:sz w:val="19"/>
                <w:szCs w:val="19"/>
              </w:rPr>
              <w:t>Low-Income Energy Efficiency Program</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6F4CC7">
            <w:pPr>
              <w:jc w:val="center"/>
              <w:rPr>
                <w:color w:val="000000"/>
                <w:sz w:val="19"/>
                <w:szCs w:val="19"/>
              </w:rPr>
            </w:pPr>
            <w:r w:rsidRPr="00124B6E">
              <w:rPr>
                <w:color w:val="000000"/>
                <w:sz w:val="19"/>
                <w:szCs w:val="19"/>
              </w:rPr>
              <w:t>Low-Income</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124B6E" w:rsidRDefault="00A2654F" w:rsidP="00A2654F">
            <w:pPr>
              <w:jc w:val="left"/>
              <w:rPr>
                <w:color w:val="000000"/>
                <w:sz w:val="19"/>
                <w:szCs w:val="19"/>
              </w:rPr>
            </w:pPr>
            <w:r w:rsidRPr="00124B6E">
              <w:rPr>
                <w:color w:val="000000"/>
                <w:sz w:val="19"/>
                <w:szCs w:val="19"/>
              </w:rPr>
              <w:t>Residential Smart AC Saver Program</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6F4CC7">
            <w:pPr>
              <w:jc w:val="center"/>
              <w:rPr>
                <w:color w:val="000000"/>
                <w:sz w:val="19"/>
                <w:szCs w:val="19"/>
              </w:rPr>
            </w:pPr>
            <w:r w:rsidRPr="00124B6E">
              <w:rPr>
                <w:color w:val="000000"/>
                <w:sz w:val="19"/>
                <w:szCs w:val="19"/>
              </w:rPr>
              <w:t>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124B6E" w:rsidRDefault="00A2654F" w:rsidP="00A2654F">
            <w:pPr>
              <w:jc w:val="left"/>
              <w:rPr>
                <w:color w:val="000000"/>
                <w:sz w:val="19"/>
                <w:szCs w:val="19"/>
              </w:rPr>
            </w:pPr>
            <w:r w:rsidRPr="00124B6E">
              <w:rPr>
                <w:color w:val="000000"/>
                <w:sz w:val="19"/>
                <w:szCs w:val="19"/>
              </w:rPr>
              <w:t>Smart Business Solutions</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6F4CC7">
            <w:pPr>
              <w:jc w:val="center"/>
              <w:rPr>
                <w:color w:val="000000"/>
                <w:sz w:val="19"/>
                <w:szCs w:val="19"/>
              </w:rPr>
            </w:pPr>
            <w:r w:rsidRPr="00124B6E">
              <w:rPr>
                <w:color w:val="000000"/>
                <w:sz w:val="19"/>
                <w:szCs w:val="19"/>
              </w:rPr>
              <w:t>Non-Residential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124B6E" w:rsidRDefault="00A2654F" w:rsidP="00A2654F">
            <w:pPr>
              <w:jc w:val="left"/>
              <w:rPr>
                <w:color w:val="000000"/>
                <w:sz w:val="19"/>
                <w:szCs w:val="19"/>
              </w:rPr>
            </w:pPr>
            <w:r w:rsidRPr="00124B6E">
              <w:rPr>
                <w:color w:val="000000"/>
                <w:sz w:val="19"/>
                <w:szCs w:val="19"/>
              </w:rPr>
              <w:t>Smart Construction Incentives</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6F4CC7">
            <w:pPr>
              <w:jc w:val="center"/>
              <w:rPr>
                <w:color w:val="000000"/>
                <w:sz w:val="19"/>
                <w:szCs w:val="19"/>
              </w:rPr>
            </w:pPr>
            <w:r w:rsidRPr="00124B6E">
              <w:rPr>
                <w:color w:val="000000"/>
                <w:sz w:val="19"/>
                <w:szCs w:val="19"/>
              </w:rPr>
              <w:t>Non-Residential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124B6E" w:rsidRDefault="00A2654F" w:rsidP="00A2654F">
            <w:pPr>
              <w:jc w:val="left"/>
              <w:rPr>
                <w:color w:val="000000"/>
                <w:sz w:val="19"/>
                <w:szCs w:val="19"/>
              </w:rPr>
            </w:pPr>
            <w:r w:rsidRPr="00124B6E">
              <w:rPr>
                <w:color w:val="000000"/>
                <w:sz w:val="19"/>
                <w:szCs w:val="19"/>
              </w:rPr>
              <w:t>Smart Equipment Incentives - Commercial and Industrial</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6F4CC7">
            <w:pPr>
              <w:jc w:val="center"/>
              <w:rPr>
                <w:color w:val="000000"/>
                <w:sz w:val="19"/>
                <w:szCs w:val="19"/>
              </w:rPr>
            </w:pPr>
            <w:r w:rsidRPr="00124B6E">
              <w:rPr>
                <w:color w:val="000000"/>
                <w:sz w:val="19"/>
                <w:szCs w:val="19"/>
              </w:rPr>
              <w:t>Non-Residential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124B6E" w:rsidRDefault="00A2654F" w:rsidP="00A2654F">
            <w:pPr>
              <w:jc w:val="left"/>
              <w:rPr>
                <w:color w:val="000000"/>
                <w:sz w:val="19"/>
                <w:szCs w:val="19"/>
              </w:rPr>
            </w:pPr>
            <w:r w:rsidRPr="00124B6E">
              <w:rPr>
                <w:color w:val="000000"/>
                <w:sz w:val="19"/>
                <w:szCs w:val="19"/>
              </w:rPr>
              <w:t>Smart Equipment Incentives - Government, Nonprofit and Institutional</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6F4CC7">
            <w:pPr>
              <w:jc w:val="center"/>
              <w:rPr>
                <w:color w:val="000000"/>
                <w:sz w:val="19"/>
                <w:szCs w:val="19"/>
              </w:rPr>
            </w:pPr>
            <w:r w:rsidRPr="00124B6E">
              <w:rPr>
                <w:color w:val="000000"/>
                <w:sz w:val="19"/>
                <w:szCs w:val="19"/>
              </w:rPr>
              <w:t>GNI</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124B6E" w:rsidRDefault="00A2654F" w:rsidP="00A2654F">
            <w:pPr>
              <w:jc w:val="left"/>
              <w:rPr>
                <w:color w:val="000000"/>
                <w:sz w:val="19"/>
                <w:szCs w:val="19"/>
              </w:rPr>
            </w:pPr>
            <w:r w:rsidRPr="00124B6E">
              <w:rPr>
                <w:color w:val="000000"/>
                <w:sz w:val="19"/>
                <w:szCs w:val="19"/>
              </w:rPr>
              <w:t>Smart On-Site</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6F4CC7">
            <w:pPr>
              <w:jc w:val="center"/>
              <w:rPr>
                <w:color w:val="000000"/>
                <w:sz w:val="19"/>
                <w:szCs w:val="19"/>
              </w:rPr>
            </w:pPr>
            <w:r w:rsidRPr="00124B6E">
              <w:rPr>
                <w:color w:val="000000"/>
                <w:sz w:val="19"/>
                <w:szCs w:val="19"/>
              </w:rPr>
              <w:t>Non-Residential</w:t>
            </w:r>
          </w:p>
        </w:tc>
      </w:tr>
      <w:tr w:rsidR="00E7173E" w:rsidRPr="00124B6E"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124B6E" w:rsidRDefault="00A2654F" w:rsidP="00A2654F">
            <w:pPr>
              <w:jc w:val="left"/>
              <w:rPr>
                <w:color w:val="000000"/>
                <w:sz w:val="19"/>
                <w:szCs w:val="19"/>
              </w:rPr>
            </w:pPr>
            <w:r w:rsidRPr="00124B6E">
              <w:rPr>
                <w:color w:val="000000"/>
                <w:sz w:val="19"/>
                <w:szCs w:val="19"/>
              </w:rPr>
              <w:t>Commercial Smart AC Saver</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6F4CC7">
            <w:pPr>
              <w:jc w:val="center"/>
              <w:rPr>
                <w:color w:val="000000"/>
                <w:sz w:val="19"/>
                <w:szCs w:val="19"/>
              </w:rPr>
            </w:pPr>
            <w:r w:rsidRPr="00124B6E">
              <w:rPr>
                <w:color w:val="000000"/>
                <w:sz w:val="19"/>
                <w:szCs w:val="19"/>
              </w:rPr>
              <w:t>Non-Residential</w:t>
            </w:r>
          </w:p>
        </w:tc>
      </w:tr>
    </w:tbl>
    <w:p w:rsidR="005A27BE" w:rsidRPr="006F4CC7" w:rsidRDefault="005A27BE" w:rsidP="006F4CC7"/>
    <w:p w:rsidR="005A27BE" w:rsidRDefault="005A27BE" w:rsidP="004837FA">
      <w:pPr>
        <w:pStyle w:val="Caption"/>
      </w:pPr>
      <w:bookmarkStart w:id="1091" w:name="_Ref472359485"/>
      <w:bookmarkStart w:id="1092" w:name="_Toc472472512"/>
      <w:bookmarkStart w:id="1093" w:name="_Toc488741931"/>
      <w:r w:rsidRPr="00E41D9C">
        <w:t>Table A-</w:t>
      </w:r>
      <w:r w:rsidR="007973A4">
        <w:fldChar w:fldCharType="begin"/>
      </w:r>
      <w:r w:rsidR="007973A4">
        <w:instrText xml:space="preserve"> SEQ Table_A- \* ARABIC </w:instrText>
      </w:r>
      <w:r w:rsidR="007973A4">
        <w:fldChar w:fldCharType="separate"/>
      </w:r>
      <w:r w:rsidR="00037CB4">
        <w:rPr>
          <w:noProof/>
        </w:rPr>
        <w:t>103</w:t>
      </w:r>
      <w:r w:rsidR="007973A4">
        <w:rPr>
          <w:noProof/>
        </w:rPr>
        <w:fldChar w:fldCharType="end"/>
      </w:r>
      <w:bookmarkEnd w:id="1091"/>
      <w:r w:rsidRPr="00E41D9C">
        <w:t xml:space="preserve">: </w:t>
      </w:r>
      <w:r w:rsidRPr="005A1DB5">
        <w:t xml:space="preserve">Summary of </w:t>
      </w:r>
      <w:r w:rsidR="00791B40">
        <w:t>PECO</w:t>
      </w:r>
      <w:r w:rsidRPr="005A1DB5">
        <w:t xml:space="preserve"> EE&amp;C Program Impacts on Verified Gross Portfolio Savings</w:t>
      </w:r>
      <w:bookmarkEnd w:id="1092"/>
      <w:bookmarkEnd w:id="1093"/>
    </w:p>
    <w:tbl>
      <w:tblPr>
        <w:tblW w:w="9398" w:type="dxa"/>
        <w:tblLayout w:type="fixed"/>
        <w:tblLook w:val="04A0" w:firstRow="1" w:lastRow="0" w:firstColumn="1" w:lastColumn="0" w:noHBand="0" w:noVBand="1"/>
      </w:tblPr>
      <w:tblGrid>
        <w:gridCol w:w="4220"/>
        <w:gridCol w:w="1350"/>
        <w:gridCol w:w="1350"/>
        <w:gridCol w:w="1170"/>
        <w:gridCol w:w="1308"/>
      </w:tblGrid>
      <w:tr w:rsidR="00A874AC" w:rsidRPr="00A2654F" w:rsidTr="006F4CC7">
        <w:trPr>
          <w:trHeight w:val="673"/>
        </w:trPr>
        <w:tc>
          <w:tcPr>
            <w:tcW w:w="422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A2654F" w:rsidRPr="00124B6E" w:rsidRDefault="00A2654F" w:rsidP="006F4CC7">
            <w:pPr>
              <w:rPr>
                <w:b/>
                <w:bCs/>
                <w:color w:val="FFFFFF"/>
                <w:sz w:val="19"/>
                <w:szCs w:val="19"/>
              </w:rPr>
            </w:pPr>
            <w:r w:rsidRPr="00124B6E">
              <w:rPr>
                <w:b/>
                <w:bCs/>
                <w:color w:val="FFFFFF"/>
                <w:sz w:val="19"/>
                <w:szCs w:val="19"/>
              </w:rPr>
              <w:t>Program</w:t>
            </w:r>
            <w:r w:rsidRPr="00124B6E">
              <w:rPr>
                <w:b/>
                <w:bCs/>
                <w:color w:val="FFFFFF"/>
                <w:sz w:val="19"/>
                <w:szCs w:val="19"/>
                <w:vertAlign w:val="superscript"/>
              </w:rPr>
              <w:t>[a]</w:t>
            </w:r>
          </w:p>
        </w:tc>
        <w:tc>
          <w:tcPr>
            <w:tcW w:w="1350"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124B6E" w:rsidRDefault="00A2654F" w:rsidP="006F4CC7">
            <w:pPr>
              <w:jc w:val="center"/>
              <w:rPr>
                <w:b/>
                <w:bCs/>
                <w:color w:val="FFFFFF"/>
                <w:sz w:val="19"/>
                <w:szCs w:val="19"/>
              </w:rPr>
            </w:pPr>
            <w:r w:rsidRPr="00124B6E">
              <w:rPr>
                <w:b/>
                <w:bCs/>
                <w:color w:val="FFFFFF"/>
                <w:sz w:val="19"/>
                <w:szCs w:val="19"/>
              </w:rPr>
              <w:t>Phase II VG Savings (MWh)</w:t>
            </w:r>
          </w:p>
        </w:tc>
        <w:tc>
          <w:tcPr>
            <w:tcW w:w="1350"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124B6E" w:rsidRDefault="00A2654F" w:rsidP="006F4CC7">
            <w:pPr>
              <w:jc w:val="center"/>
              <w:rPr>
                <w:b/>
                <w:bCs/>
                <w:color w:val="FFFFFF"/>
                <w:sz w:val="19"/>
                <w:szCs w:val="19"/>
              </w:rPr>
            </w:pPr>
            <w:r w:rsidRPr="00124B6E">
              <w:rPr>
                <w:b/>
                <w:bCs/>
                <w:color w:val="FFFFFF"/>
                <w:sz w:val="19"/>
                <w:szCs w:val="19"/>
              </w:rPr>
              <w:t>Percent of Portfolio Phase II VG MWh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124B6E" w:rsidRDefault="00A2654F" w:rsidP="006F4CC7">
            <w:pPr>
              <w:jc w:val="center"/>
              <w:rPr>
                <w:b/>
                <w:bCs/>
                <w:color w:val="FFFFFF"/>
                <w:sz w:val="19"/>
                <w:szCs w:val="19"/>
              </w:rPr>
            </w:pPr>
            <w:r w:rsidRPr="00124B6E">
              <w:rPr>
                <w:b/>
                <w:bCs/>
                <w:color w:val="FFFFFF"/>
                <w:sz w:val="19"/>
                <w:szCs w:val="19"/>
              </w:rPr>
              <w:t>Phase II VG Savings (MW)</w:t>
            </w:r>
            <w:r w:rsidRPr="00124B6E">
              <w:rPr>
                <w:b/>
                <w:bCs/>
                <w:color w:val="FFFFFF"/>
                <w:sz w:val="19"/>
                <w:szCs w:val="19"/>
                <w:vertAlign w:val="superscript"/>
              </w:rPr>
              <w:t>[b]</w:t>
            </w:r>
          </w:p>
        </w:tc>
        <w:tc>
          <w:tcPr>
            <w:tcW w:w="1308"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124B6E" w:rsidRDefault="00A2654F" w:rsidP="006F4CC7">
            <w:pPr>
              <w:jc w:val="center"/>
              <w:rPr>
                <w:b/>
                <w:bCs/>
                <w:color w:val="FFFFFF"/>
                <w:sz w:val="19"/>
                <w:szCs w:val="19"/>
              </w:rPr>
            </w:pPr>
            <w:r w:rsidRPr="00124B6E">
              <w:rPr>
                <w:b/>
                <w:bCs/>
                <w:color w:val="FFFFFF"/>
                <w:sz w:val="19"/>
                <w:szCs w:val="19"/>
              </w:rPr>
              <w:t>Percent of Portfolio Phase II VG MW Savings</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124B6E" w:rsidRDefault="00A2654F" w:rsidP="00A2654F">
            <w:pPr>
              <w:jc w:val="left"/>
              <w:rPr>
                <w:color w:val="000000"/>
                <w:sz w:val="19"/>
                <w:szCs w:val="19"/>
              </w:rPr>
            </w:pPr>
            <w:r w:rsidRPr="00124B6E">
              <w:rPr>
                <w:color w:val="000000"/>
                <w:sz w:val="19"/>
                <w:szCs w:val="19"/>
              </w:rPr>
              <w:t>Smart Appliance Recycling - Residential</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24,212</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124B6E" w:rsidRDefault="00A2654F" w:rsidP="00A2654F">
            <w:pPr>
              <w:jc w:val="center"/>
              <w:rPr>
                <w:color w:val="000000"/>
                <w:sz w:val="19"/>
                <w:szCs w:val="19"/>
              </w:rPr>
            </w:pPr>
            <w:r w:rsidRPr="00124B6E">
              <w:rPr>
                <w:color w:val="000000"/>
                <w:sz w:val="19"/>
                <w:szCs w:val="19"/>
              </w:rPr>
              <w:t>2%</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3.4</w:t>
            </w:r>
          </w:p>
        </w:tc>
        <w:tc>
          <w:tcPr>
            <w:tcW w:w="1308" w:type="dxa"/>
            <w:tcBorders>
              <w:top w:val="nil"/>
              <w:left w:val="nil"/>
              <w:bottom w:val="single" w:sz="8" w:space="0" w:color="448A99"/>
              <w:right w:val="single" w:sz="8" w:space="0" w:color="448A99"/>
            </w:tcBorders>
            <w:shd w:val="clear" w:color="auto" w:fill="auto"/>
            <w:noWrap/>
            <w:vAlign w:val="center"/>
            <w:hideMark/>
          </w:tcPr>
          <w:p w:rsidR="00A2654F" w:rsidRPr="00124B6E" w:rsidRDefault="00A2654F" w:rsidP="00A2654F">
            <w:pPr>
              <w:jc w:val="center"/>
              <w:rPr>
                <w:color w:val="000000"/>
                <w:sz w:val="19"/>
                <w:szCs w:val="19"/>
              </w:rPr>
            </w:pPr>
            <w:r w:rsidRPr="00124B6E">
              <w:rPr>
                <w:color w:val="000000"/>
                <w:sz w:val="19"/>
                <w:szCs w:val="19"/>
              </w:rPr>
              <w:t>2%</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124B6E" w:rsidRDefault="00A2654F" w:rsidP="00A2654F">
            <w:pPr>
              <w:jc w:val="left"/>
              <w:rPr>
                <w:color w:val="000000"/>
                <w:sz w:val="19"/>
                <w:szCs w:val="19"/>
              </w:rPr>
            </w:pPr>
            <w:r w:rsidRPr="00124B6E">
              <w:rPr>
                <w:color w:val="000000"/>
                <w:sz w:val="19"/>
                <w:szCs w:val="19"/>
              </w:rPr>
              <w:t>Smart Builder Rebates</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592</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124B6E" w:rsidRDefault="00A2654F" w:rsidP="00A2654F">
            <w:pPr>
              <w:jc w:val="center"/>
              <w:rPr>
                <w:color w:val="000000"/>
                <w:sz w:val="19"/>
                <w:szCs w:val="19"/>
              </w:rPr>
            </w:pPr>
            <w:r w:rsidRPr="00124B6E">
              <w:rPr>
                <w:color w:val="000000"/>
                <w:sz w:val="19"/>
                <w:szCs w:val="19"/>
              </w:rPr>
              <w:t>0%</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0.2</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0%</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124B6E" w:rsidRDefault="00A2654F" w:rsidP="00A2654F">
            <w:pPr>
              <w:jc w:val="left"/>
              <w:rPr>
                <w:color w:val="000000"/>
                <w:sz w:val="19"/>
                <w:szCs w:val="19"/>
              </w:rPr>
            </w:pPr>
            <w:r w:rsidRPr="00124B6E">
              <w:rPr>
                <w:color w:val="000000"/>
                <w:sz w:val="19"/>
                <w:szCs w:val="19"/>
              </w:rPr>
              <w:t>Smart Energy Saver</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7,219</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124B6E" w:rsidRDefault="00A2654F" w:rsidP="00A2654F">
            <w:pPr>
              <w:jc w:val="center"/>
              <w:rPr>
                <w:color w:val="000000"/>
                <w:sz w:val="19"/>
                <w:szCs w:val="19"/>
              </w:rPr>
            </w:pPr>
            <w:r w:rsidRPr="00124B6E">
              <w:rPr>
                <w:color w:val="000000"/>
                <w:sz w:val="19"/>
                <w:szCs w:val="19"/>
              </w:rPr>
              <w:t>1%</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0.8</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0%</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124B6E" w:rsidRDefault="00A2654F" w:rsidP="00A2654F">
            <w:pPr>
              <w:jc w:val="left"/>
              <w:rPr>
                <w:color w:val="000000"/>
                <w:sz w:val="19"/>
                <w:szCs w:val="19"/>
              </w:rPr>
            </w:pPr>
            <w:r w:rsidRPr="00124B6E">
              <w:rPr>
                <w:color w:val="000000"/>
                <w:sz w:val="19"/>
                <w:szCs w:val="19"/>
              </w:rPr>
              <w:t>Smart Home Rebates - Residential</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403,631</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124B6E" w:rsidRDefault="00A2654F" w:rsidP="00A2654F">
            <w:pPr>
              <w:jc w:val="center"/>
              <w:rPr>
                <w:color w:val="000000"/>
                <w:sz w:val="19"/>
                <w:szCs w:val="19"/>
              </w:rPr>
            </w:pPr>
            <w:r w:rsidRPr="00124B6E">
              <w:rPr>
                <w:color w:val="000000"/>
                <w:sz w:val="19"/>
                <w:szCs w:val="19"/>
              </w:rPr>
              <w:t>37%</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63.5</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28%</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124B6E" w:rsidRDefault="00A2654F" w:rsidP="00A2654F">
            <w:pPr>
              <w:jc w:val="left"/>
              <w:rPr>
                <w:color w:val="000000"/>
                <w:sz w:val="19"/>
                <w:szCs w:val="19"/>
              </w:rPr>
            </w:pPr>
            <w:r w:rsidRPr="00124B6E">
              <w:rPr>
                <w:color w:val="000000"/>
                <w:sz w:val="19"/>
                <w:szCs w:val="19"/>
              </w:rPr>
              <w:t>Smart House Call</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10,566</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124B6E" w:rsidRDefault="00A2654F" w:rsidP="00A2654F">
            <w:pPr>
              <w:jc w:val="center"/>
              <w:rPr>
                <w:color w:val="000000"/>
                <w:sz w:val="19"/>
                <w:szCs w:val="19"/>
              </w:rPr>
            </w:pPr>
            <w:r w:rsidRPr="00124B6E">
              <w:rPr>
                <w:color w:val="000000"/>
                <w:sz w:val="19"/>
                <w:szCs w:val="19"/>
              </w:rPr>
              <w:t>1%</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1.5</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1%</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124B6E" w:rsidRDefault="00A2654F" w:rsidP="00A2654F">
            <w:pPr>
              <w:jc w:val="left"/>
              <w:rPr>
                <w:color w:val="000000"/>
                <w:sz w:val="19"/>
                <w:szCs w:val="19"/>
              </w:rPr>
            </w:pPr>
            <w:r w:rsidRPr="00124B6E">
              <w:rPr>
                <w:color w:val="000000"/>
                <w:sz w:val="19"/>
                <w:szCs w:val="19"/>
              </w:rPr>
              <w:t>Smart Multi-Family Solutions - Residential</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16,835</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124B6E" w:rsidRDefault="00A2654F" w:rsidP="00A2654F">
            <w:pPr>
              <w:jc w:val="center"/>
              <w:rPr>
                <w:color w:val="000000"/>
                <w:sz w:val="19"/>
                <w:szCs w:val="19"/>
              </w:rPr>
            </w:pPr>
            <w:r w:rsidRPr="00124B6E">
              <w:rPr>
                <w:color w:val="000000"/>
                <w:sz w:val="19"/>
                <w:szCs w:val="19"/>
              </w:rPr>
              <w:t>2%</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1.8</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1%</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124B6E" w:rsidRDefault="00C45E9A" w:rsidP="00A2654F">
            <w:pPr>
              <w:jc w:val="left"/>
              <w:rPr>
                <w:color w:val="000000"/>
                <w:sz w:val="19"/>
                <w:szCs w:val="19"/>
              </w:rPr>
            </w:pPr>
            <w:r w:rsidRPr="00124B6E">
              <w:rPr>
                <w:color w:val="000000"/>
                <w:sz w:val="19"/>
                <w:szCs w:val="19"/>
              </w:rPr>
              <w:t>Smart</w:t>
            </w:r>
            <w:r w:rsidR="00A2654F" w:rsidRPr="00124B6E">
              <w:rPr>
                <w:color w:val="000000"/>
                <w:sz w:val="19"/>
                <w:szCs w:val="19"/>
              </w:rPr>
              <w:t xml:space="preserve"> Usage Profile</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39,041</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124B6E" w:rsidRDefault="00A2654F" w:rsidP="00A2654F">
            <w:pPr>
              <w:jc w:val="center"/>
              <w:rPr>
                <w:color w:val="000000"/>
                <w:sz w:val="19"/>
                <w:szCs w:val="19"/>
              </w:rPr>
            </w:pPr>
            <w:r w:rsidRPr="00124B6E">
              <w:rPr>
                <w:color w:val="000000"/>
                <w:sz w:val="19"/>
                <w:szCs w:val="19"/>
              </w:rPr>
              <w:t>4%</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0</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0%</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124B6E" w:rsidRDefault="00A2654F" w:rsidP="00A2654F">
            <w:pPr>
              <w:jc w:val="left"/>
              <w:rPr>
                <w:color w:val="000000"/>
                <w:sz w:val="19"/>
                <w:szCs w:val="19"/>
              </w:rPr>
            </w:pPr>
            <w:r w:rsidRPr="00124B6E">
              <w:rPr>
                <w:color w:val="000000"/>
                <w:sz w:val="19"/>
                <w:szCs w:val="19"/>
              </w:rPr>
              <w:t>Low-Income Energy Efficiency Program</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54,607</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124B6E" w:rsidRDefault="00A2654F" w:rsidP="00A2654F">
            <w:pPr>
              <w:jc w:val="center"/>
              <w:rPr>
                <w:color w:val="000000"/>
                <w:sz w:val="19"/>
                <w:szCs w:val="19"/>
              </w:rPr>
            </w:pPr>
            <w:r w:rsidRPr="00124B6E">
              <w:rPr>
                <w:color w:val="000000"/>
                <w:sz w:val="19"/>
                <w:szCs w:val="19"/>
              </w:rPr>
              <w:t>5%</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6.2</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3%</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124B6E" w:rsidRDefault="00A2654F" w:rsidP="00A2654F">
            <w:pPr>
              <w:jc w:val="left"/>
              <w:rPr>
                <w:color w:val="000000"/>
                <w:sz w:val="19"/>
                <w:szCs w:val="19"/>
              </w:rPr>
            </w:pPr>
            <w:r w:rsidRPr="00124B6E">
              <w:rPr>
                <w:color w:val="000000"/>
                <w:sz w:val="19"/>
                <w:szCs w:val="19"/>
              </w:rPr>
              <w:t>Residential Smart AC Saver Program</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0</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124B6E" w:rsidRDefault="00A2654F" w:rsidP="00A2654F">
            <w:pPr>
              <w:jc w:val="center"/>
              <w:rPr>
                <w:color w:val="000000"/>
                <w:sz w:val="19"/>
                <w:szCs w:val="19"/>
              </w:rPr>
            </w:pPr>
            <w:r w:rsidRPr="00124B6E">
              <w:rPr>
                <w:color w:val="000000"/>
                <w:sz w:val="19"/>
                <w:szCs w:val="19"/>
              </w:rPr>
              <w:t>0%</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55.5</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25%</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124B6E" w:rsidRDefault="00A2654F" w:rsidP="00A2654F">
            <w:pPr>
              <w:jc w:val="left"/>
              <w:rPr>
                <w:color w:val="000000"/>
                <w:sz w:val="19"/>
                <w:szCs w:val="19"/>
              </w:rPr>
            </w:pPr>
            <w:r w:rsidRPr="00124B6E">
              <w:rPr>
                <w:color w:val="000000"/>
                <w:sz w:val="19"/>
                <w:szCs w:val="19"/>
              </w:rPr>
              <w:t>Smart Business Solutions</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29,004</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124B6E" w:rsidRDefault="00A2654F" w:rsidP="00A2654F">
            <w:pPr>
              <w:jc w:val="center"/>
              <w:rPr>
                <w:color w:val="000000"/>
                <w:sz w:val="19"/>
                <w:szCs w:val="19"/>
              </w:rPr>
            </w:pPr>
            <w:r w:rsidRPr="00124B6E">
              <w:rPr>
                <w:color w:val="000000"/>
                <w:sz w:val="19"/>
                <w:szCs w:val="19"/>
              </w:rPr>
              <w:t>3%</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7.6</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3%</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124B6E" w:rsidRDefault="00A2654F" w:rsidP="00A2654F">
            <w:pPr>
              <w:jc w:val="left"/>
              <w:rPr>
                <w:color w:val="000000"/>
                <w:sz w:val="19"/>
                <w:szCs w:val="19"/>
              </w:rPr>
            </w:pPr>
            <w:r w:rsidRPr="00124B6E">
              <w:rPr>
                <w:color w:val="000000"/>
                <w:sz w:val="19"/>
                <w:szCs w:val="19"/>
              </w:rPr>
              <w:t>Smart Construction Incentives</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43,348</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124B6E" w:rsidRDefault="00A2654F" w:rsidP="00A2654F">
            <w:pPr>
              <w:jc w:val="center"/>
              <w:rPr>
                <w:color w:val="000000"/>
                <w:sz w:val="19"/>
                <w:szCs w:val="19"/>
              </w:rPr>
            </w:pPr>
            <w:r w:rsidRPr="00124B6E">
              <w:rPr>
                <w:color w:val="000000"/>
                <w:sz w:val="19"/>
                <w:szCs w:val="19"/>
              </w:rPr>
              <w:t>4%</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6.6</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3%</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124B6E" w:rsidRDefault="00A2654F" w:rsidP="00A2654F">
            <w:pPr>
              <w:jc w:val="left"/>
              <w:rPr>
                <w:color w:val="000000"/>
                <w:sz w:val="19"/>
                <w:szCs w:val="19"/>
              </w:rPr>
            </w:pPr>
            <w:r w:rsidRPr="00124B6E">
              <w:rPr>
                <w:color w:val="000000"/>
                <w:sz w:val="19"/>
                <w:szCs w:val="19"/>
              </w:rPr>
              <w:t>Smart Equipment Incentives - Commercial and Industrial</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238,518</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124B6E" w:rsidRDefault="00A2654F" w:rsidP="00A2654F">
            <w:pPr>
              <w:jc w:val="center"/>
              <w:rPr>
                <w:color w:val="000000"/>
                <w:sz w:val="19"/>
                <w:szCs w:val="19"/>
              </w:rPr>
            </w:pPr>
            <w:r w:rsidRPr="00124B6E">
              <w:rPr>
                <w:color w:val="000000"/>
                <w:sz w:val="19"/>
                <w:szCs w:val="19"/>
              </w:rPr>
              <w:t>22%</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39.1</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17%</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124B6E" w:rsidRDefault="00A2654F" w:rsidP="00A2654F">
            <w:pPr>
              <w:jc w:val="left"/>
              <w:rPr>
                <w:color w:val="000000"/>
                <w:sz w:val="19"/>
                <w:szCs w:val="19"/>
              </w:rPr>
            </w:pPr>
            <w:r w:rsidRPr="00124B6E">
              <w:rPr>
                <w:color w:val="000000"/>
                <w:sz w:val="19"/>
                <w:szCs w:val="19"/>
              </w:rPr>
              <w:t>Smart Equipment Incentives - Government, Nonprofit and Institutional</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132,883</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124B6E" w:rsidRDefault="00A2654F" w:rsidP="00A2654F">
            <w:pPr>
              <w:jc w:val="center"/>
              <w:rPr>
                <w:color w:val="000000"/>
                <w:sz w:val="19"/>
                <w:szCs w:val="19"/>
              </w:rPr>
            </w:pPr>
            <w:r w:rsidRPr="00124B6E">
              <w:rPr>
                <w:color w:val="000000"/>
                <w:sz w:val="19"/>
                <w:szCs w:val="19"/>
              </w:rPr>
              <w:t>12%</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25.5</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11%</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124B6E" w:rsidRDefault="00A2654F" w:rsidP="00A2654F">
            <w:pPr>
              <w:jc w:val="left"/>
              <w:rPr>
                <w:color w:val="000000"/>
                <w:sz w:val="19"/>
                <w:szCs w:val="19"/>
              </w:rPr>
            </w:pPr>
            <w:r w:rsidRPr="00124B6E">
              <w:rPr>
                <w:color w:val="000000"/>
                <w:sz w:val="19"/>
                <w:szCs w:val="19"/>
              </w:rPr>
              <w:t>Smart On-Site</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90,049</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124B6E" w:rsidRDefault="00A2654F" w:rsidP="00A2654F">
            <w:pPr>
              <w:jc w:val="center"/>
              <w:rPr>
                <w:color w:val="000000"/>
                <w:sz w:val="19"/>
                <w:szCs w:val="19"/>
              </w:rPr>
            </w:pPr>
            <w:r w:rsidRPr="00124B6E">
              <w:rPr>
                <w:color w:val="000000"/>
                <w:sz w:val="19"/>
                <w:szCs w:val="19"/>
              </w:rPr>
              <w:t>8%</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11.6</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color w:val="000000"/>
                <w:sz w:val="19"/>
                <w:szCs w:val="19"/>
              </w:rPr>
            </w:pPr>
            <w:r w:rsidRPr="00124B6E">
              <w:rPr>
                <w:color w:val="000000"/>
                <w:sz w:val="19"/>
                <w:szCs w:val="19"/>
              </w:rPr>
              <w:t>5%</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124B6E" w:rsidRDefault="00A2654F" w:rsidP="00A2654F">
            <w:pPr>
              <w:jc w:val="left"/>
              <w:rPr>
                <w:color w:val="000000"/>
                <w:sz w:val="19"/>
                <w:szCs w:val="19"/>
              </w:rPr>
            </w:pPr>
            <w:r w:rsidRPr="00124B6E">
              <w:rPr>
                <w:color w:val="000000"/>
                <w:sz w:val="19"/>
                <w:szCs w:val="19"/>
              </w:rPr>
              <w:t>Commercial Smart AC Saver</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0</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124B6E" w:rsidRDefault="00A2654F" w:rsidP="00A2654F">
            <w:pPr>
              <w:jc w:val="center"/>
              <w:rPr>
                <w:color w:val="000000"/>
                <w:sz w:val="19"/>
                <w:szCs w:val="19"/>
              </w:rPr>
            </w:pPr>
            <w:r w:rsidRPr="00124B6E">
              <w:rPr>
                <w:color w:val="000000"/>
                <w:sz w:val="19"/>
                <w:szCs w:val="19"/>
              </w:rPr>
              <w:t>0%</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1.5</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124B6E" w:rsidRDefault="00A2654F" w:rsidP="00A2654F">
            <w:pPr>
              <w:jc w:val="center"/>
              <w:rPr>
                <w:color w:val="000000"/>
                <w:sz w:val="19"/>
                <w:szCs w:val="19"/>
              </w:rPr>
            </w:pPr>
            <w:r w:rsidRPr="00124B6E">
              <w:rPr>
                <w:color w:val="000000"/>
                <w:sz w:val="19"/>
                <w:szCs w:val="19"/>
              </w:rPr>
              <w:t>1%</w:t>
            </w:r>
          </w:p>
        </w:tc>
      </w:tr>
      <w:tr w:rsidR="00A874AC" w:rsidRPr="00A2654F" w:rsidTr="006F4CC7">
        <w:trPr>
          <w:trHeight w:val="489"/>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124B6E" w:rsidRDefault="00A2654F" w:rsidP="00A2654F">
            <w:pPr>
              <w:jc w:val="left"/>
              <w:rPr>
                <w:b/>
                <w:bCs/>
                <w:color w:val="000000"/>
                <w:sz w:val="19"/>
                <w:szCs w:val="19"/>
              </w:rPr>
            </w:pPr>
            <w:r w:rsidRPr="00124B6E">
              <w:rPr>
                <w:b/>
                <w:bCs/>
                <w:color w:val="000000"/>
                <w:sz w:val="19"/>
                <w:szCs w:val="19"/>
              </w:rPr>
              <w:t>Total Portfolio</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b/>
                <w:bCs/>
                <w:color w:val="000000"/>
                <w:sz w:val="19"/>
                <w:szCs w:val="19"/>
              </w:rPr>
            </w:pPr>
            <w:r w:rsidRPr="00124B6E">
              <w:rPr>
                <w:b/>
                <w:bCs/>
                <w:color w:val="000000"/>
                <w:sz w:val="19"/>
                <w:szCs w:val="19"/>
              </w:rPr>
              <w:t>1,090,505</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124B6E" w:rsidRDefault="00A2654F" w:rsidP="00A2654F">
            <w:pPr>
              <w:jc w:val="center"/>
              <w:rPr>
                <w:b/>
                <w:bCs/>
                <w:color w:val="000000"/>
                <w:sz w:val="19"/>
                <w:szCs w:val="19"/>
              </w:rPr>
            </w:pPr>
            <w:r w:rsidRPr="00124B6E">
              <w:rPr>
                <w:b/>
                <w:bCs/>
                <w:color w:val="000000"/>
                <w:sz w:val="19"/>
                <w:szCs w:val="19"/>
              </w:rPr>
              <w:t>100%</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124B6E" w:rsidRDefault="00A2654F" w:rsidP="00A2654F">
            <w:pPr>
              <w:jc w:val="center"/>
              <w:rPr>
                <w:b/>
                <w:bCs/>
                <w:color w:val="000000"/>
                <w:sz w:val="19"/>
                <w:szCs w:val="19"/>
              </w:rPr>
            </w:pPr>
            <w:r w:rsidRPr="00124B6E">
              <w:rPr>
                <w:b/>
                <w:bCs/>
                <w:color w:val="000000"/>
                <w:sz w:val="19"/>
                <w:szCs w:val="19"/>
              </w:rPr>
              <w:t>224.8</w:t>
            </w:r>
          </w:p>
        </w:tc>
        <w:tc>
          <w:tcPr>
            <w:tcW w:w="1308" w:type="dxa"/>
            <w:tcBorders>
              <w:top w:val="nil"/>
              <w:left w:val="nil"/>
              <w:bottom w:val="single" w:sz="8" w:space="0" w:color="448A99"/>
              <w:right w:val="single" w:sz="8" w:space="0" w:color="448A99"/>
            </w:tcBorders>
            <w:shd w:val="clear" w:color="000000" w:fill="D2EAF1"/>
            <w:noWrap/>
            <w:vAlign w:val="center"/>
            <w:hideMark/>
          </w:tcPr>
          <w:p w:rsidR="00A2654F" w:rsidRPr="00124B6E" w:rsidRDefault="00A2654F" w:rsidP="00A2654F">
            <w:pPr>
              <w:jc w:val="center"/>
              <w:rPr>
                <w:b/>
                <w:bCs/>
                <w:color w:val="000000"/>
                <w:sz w:val="19"/>
                <w:szCs w:val="19"/>
              </w:rPr>
            </w:pPr>
            <w:r w:rsidRPr="00124B6E">
              <w:rPr>
                <w:b/>
                <w:bCs/>
                <w:color w:val="000000"/>
                <w:sz w:val="19"/>
                <w:szCs w:val="19"/>
              </w:rPr>
              <w:t>100%</w:t>
            </w:r>
          </w:p>
        </w:tc>
      </w:tr>
      <w:tr w:rsidR="00A874AC" w:rsidRPr="00A2654F" w:rsidTr="006F4CC7">
        <w:trPr>
          <w:trHeight w:val="300"/>
        </w:trPr>
        <w:tc>
          <w:tcPr>
            <w:tcW w:w="4220" w:type="dxa"/>
            <w:tcBorders>
              <w:top w:val="nil"/>
              <w:left w:val="single" w:sz="8" w:space="0" w:color="448A99"/>
              <w:bottom w:val="nil"/>
              <w:right w:val="nil"/>
            </w:tcBorders>
            <w:shd w:val="clear" w:color="000000" w:fill="448A99"/>
            <w:vAlign w:val="center"/>
            <w:hideMark/>
          </w:tcPr>
          <w:p w:rsidR="00A2654F" w:rsidRPr="00124B6E" w:rsidRDefault="006F4CC7" w:rsidP="00A2654F">
            <w:pPr>
              <w:jc w:val="left"/>
              <w:rPr>
                <w:color w:val="FFFFFF"/>
                <w:sz w:val="19"/>
                <w:szCs w:val="19"/>
              </w:rPr>
            </w:pPr>
            <w:r w:rsidRPr="00124B6E">
              <w:rPr>
                <w:color w:val="FFFFFF"/>
                <w:sz w:val="19"/>
                <w:szCs w:val="19"/>
              </w:rPr>
              <w:t>NOTES</w:t>
            </w:r>
            <w:r w:rsidR="00124B6E">
              <w:rPr>
                <w:color w:val="FFFFFF"/>
                <w:sz w:val="19"/>
                <w:szCs w:val="19"/>
              </w:rPr>
              <w:t>:</w:t>
            </w:r>
          </w:p>
        </w:tc>
        <w:tc>
          <w:tcPr>
            <w:tcW w:w="1350" w:type="dxa"/>
            <w:tcBorders>
              <w:top w:val="nil"/>
              <w:left w:val="nil"/>
              <w:bottom w:val="nil"/>
              <w:right w:val="nil"/>
            </w:tcBorders>
            <w:shd w:val="clear" w:color="000000" w:fill="448A99"/>
            <w:vAlign w:val="center"/>
            <w:hideMark/>
          </w:tcPr>
          <w:p w:rsidR="00A2654F" w:rsidRPr="00124B6E" w:rsidRDefault="00A2654F" w:rsidP="00A2654F">
            <w:pPr>
              <w:jc w:val="left"/>
              <w:rPr>
                <w:b/>
                <w:bCs/>
                <w:color w:val="FFFFFF"/>
                <w:sz w:val="19"/>
                <w:szCs w:val="19"/>
              </w:rPr>
            </w:pPr>
            <w:r w:rsidRPr="00124B6E">
              <w:rPr>
                <w:b/>
                <w:bCs/>
                <w:color w:val="FFFFFF"/>
                <w:sz w:val="19"/>
                <w:szCs w:val="19"/>
              </w:rPr>
              <w:t> </w:t>
            </w:r>
          </w:p>
        </w:tc>
        <w:tc>
          <w:tcPr>
            <w:tcW w:w="1350" w:type="dxa"/>
            <w:tcBorders>
              <w:top w:val="nil"/>
              <w:left w:val="nil"/>
              <w:bottom w:val="nil"/>
              <w:right w:val="nil"/>
            </w:tcBorders>
            <w:shd w:val="clear" w:color="000000" w:fill="448A99"/>
            <w:vAlign w:val="center"/>
            <w:hideMark/>
          </w:tcPr>
          <w:p w:rsidR="00A2654F" w:rsidRPr="00124B6E" w:rsidRDefault="00A2654F" w:rsidP="00A2654F">
            <w:pPr>
              <w:jc w:val="left"/>
              <w:rPr>
                <w:b/>
                <w:bCs/>
                <w:color w:val="FFFFFF"/>
                <w:sz w:val="19"/>
                <w:szCs w:val="19"/>
              </w:rPr>
            </w:pPr>
            <w:r w:rsidRPr="00124B6E">
              <w:rPr>
                <w:b/>
                <w:bCs/>
                <w:color w:val="FFFFFF"/>
                <w:sz w:val="19"/>
                <w:szCs w:val="19"/>
              </w:rPr>
              <w:t> </w:t>
            </w:r>
          </w:p>
        </w:tc>
        <w:tc>
          <w:tcPr>
            <w:tcW w:w="1170" w:type="dxa"/>
            <w:tcBorders>
              <w:top w:val="nil"/>
              <w:left w:val="nil"/>
              <w:bottom w:val="nil"/>
              <w:right w:val="nil"/>
            </w:tcBorders>
            <w:shd w:val="clear" w:color="000000" w:fill="448A99"/>
            <w:vAlign w:val="center"/>
            <w:hideMark/>
          </w:tcPr>
          <w:p w:rsidR="00A2654F" w:rsidRPr="00124B6E" w:rsidRDefault="00A2654F" w:rsidP="00A2654F">
            <w:pPr>
              <w:jc w:val="left"/>
              <w:rPr>
                <w:b/>
                <w:bCs/>
                <w:color w:val="FFFFFF"/>
                <w:sz w:val="19"/>
                <w:szCs w:val="19"/>
              </w:rPr>
            </w:pPr>
            <w:r w:rsidRPr="00124B6E">
              <w:rPr>
                <w:b/>
                <w:bCs/>
                <w:color w:val="FFFFFF"/>
                <w:sz w:val="19"/>
                <w:szCs w:val="19"/>
              </w:rPr>
              <w:t> </w:t>
            </w:r>
          </w:p>
        </w:tc>
        <w:tc>
          <w:tcPr>
            <w:tcW w:w="1308" w:type="dxa"/>
            <w:tcBorders>
              <w:top w:val="nil"/>
              <w:left w:val="nil"/>
              <w:bottom w:val="nil"/>
              <w:right w:val="single" w:sz="8" w:space="0" w:color="448A99"/>
            </w:tcBorders>
            <w:shd w:val="clear" w:color="000000" w:fill="448A99"/>
            <w:vAlign w:val="center"/>
            <w:hideMark/>
          </w:tcPr>
          <w:p w:rsidR="00A2654F" w:rsidRPr="00124B6E" w:rsidRDefault="00A2654F" w:rsidP="00A2654F">
            <w:pPr>
              <w:jc w:val="left"/>
              <w:rPr>
                <w:b/>
                <w:bCs/>
                <w:color w:val="FFFFFF"/>
                <w:sz w:val="19"/>
                <w:szCs w:val="19"/>
              </w:rPr>
            </w:pPr>
            <w:r w:rsidRPr="00124B6E">
              <w:rPr>
                <w:b/>
                <w:bCs/>
                <w:color w:val="FFFFFF"/>
                <w:sz w:val="19"/>
                <w:szCs w:val="19"/>
              </w:rPr>
              <w:t> </w:t>
            </w:r>
          </w:p>
        </w:tc>
      </w:tr>
      <w:tr w:rsidR="00504627" w:rsidRPr="009A6DD4" w:rsidTr="008F60E1">
        <w:trPr>
          <w:trHeight w:val="513"/>
        </w:trPr>
        <w:tc>
          <w:tcPr>
            <w:tcW w:w="9398" w:type="dxa"/>
            <w:gridSpan w:val="5"/>
            <w:tcBorders>
              <w:top w:val="nil"/>
              <w:left w:val="single" w:sz="8" w:space="0" w:color="448A99"/>
              <w:bottom w:val="nil"/>
              <w:right w:val="single" w:sz="8" w:space="0" w:color="448A99"/>
            </w:tcBorders>
            <w:shd w:val="clear" w:color="000000" w:fill="448A99"/>
            <w:vAlign w:val="center"/>
            <w:hideMark/>
          </w:tcPr>
          <w:p w:rsidR="00504627" w:rsidRPr="009A6DD4" w:rsidRDefault="00504627" w:rsidP="00504627">
            <w:pPr>
              <w:jc w:val="left"/>
              <w:rPr>
                <w:color w:val="FFFFFF"/>
                <w:sz w:val="18"/>
                <w:szCs w:val="19"/>
              </w:rPr>
            </w:pPr>
            <w:r w:rsidRPr="009A6DD4">
              <w:rPr>
                <w:color w:val="FFFFFF"/>
                <w:sz w:val="18"/>
                <w:szCs w:val="19"/>
              </w:rPr>
              <w:t>[a] This table lists multiple line-item breakouts for programs that are offered across multiple sectors. Therefore, the table has more rows than unique programs. </w:t>
            </w:r>
          </w:p>
        </w:tc>
      </w:tr>
      <w:tr w:rsidR="00A874AC" w:rsidRPr="009A6DD4" w:rsidTr="006F4CC7">
        <w:trPr>
          <w:trHeight w:val="315"/>
        </w:trPr>
        <w:tc>
          <w:tcPr>
            <w:tcW w:w="4220" w:type="dxa"/>
            <w:tcBorders>
              <w:top w:val="nil"/>
              <w:left w:val="single" w:sz="8" w:space="0" w:color="448A99"/>
              <w:bottom w:val="single" w:sz="8" w:space="0" w:color="448A99"/>
              <w:right w:val="nil"/>
            </w:tcBorders>
            <w:shd w:val="clear" w:color="000000" w:fill="448A99"/>
            <w:vAlign w:val="center"/>
            <w:hideMark/>
          </w:tcPr>
          <w:p w:rsidR="00A2654F" w:rsidRPr="009A6DD4" w:rsidRDefault="00A2654F" w:rsidP="00A2654F">
            <w:pPr>
              <w:jc w:val="left"/>
              <w:rPr>
                <w:color w:val="FFFFFF"/>
                <w:sz w:val="18"/>
                <w:szCs w:val="19"/>
              </w:rPr>
            </w:pPr>
            <w:r w:rsidRPr="009A6DD4">
              <w:rPr>
                <w:color w:val="FFFFFF"/>
                <w:sz w:val="18"/>
                <w:szCs w:val="19"/>
              </w:rPr>
              <w:t>[b] All demand values include a</w:t>
            </w:r>
            <w:r w:rsidR="00804EA4" w:rsidRPr="009A6DD4">
              <w:rPr>
                <w:color w:val="FFFFFF"/>
                <w:sz w:val="18"/>
                <w:szCs w:val="19"/>
              </w:rPr>
              <w:t>n</w:t>
            </w:r>
            <w:r w:rsidRPr="009A6DD4">
              <w:rPr>
                <w:color w:val="FFFFFF"/>
                <w:sz w:val="18"/>
                <w:szCs w:val="19"/>
              </w:rPr>
              <w:t xml:space="preserve"> LLF.</w:t>
            </w:r>
          </w:p>
        </w:tc>
        <w:tc>
          <w:tcPr>
            <w:tcW w:w="1350" w:type="dxa"/>
            <w:tcBorders>
              <w:top w:val="nil"/>
              <w:left w:val="nil"/>
              <w:bottom w:val="single" w:sz="8" w:space="0" w:color="448A99"/>
              <w:right w:val="nil"/>
            </w:tcBorders>
            <w:shd w:val="clear" w:color="000000" w:fill="448A99"/>
            <w:vAlign w:val="center"/>
            <w:hideMark/>
          </w:tcPr>
          <w:p w:rsidR="00A2654F" w:rsidRPr="009A6DD4" w:rsidRDefault="00A2654F" w:rsidP="00A2654F">
            <w:pPr>
              <w:jc w:val="left"/>
              <w:rPr>
                <w:color w:val="FFFFFF"/>
                <w:sz w:val="18"/>
                <w:szCs w:val="19"/>
              </w:rPr>
            </w:pPr>
            <w:r w:rsidRPr="009A6DD4">
              <w:rPr>
                <w:color w:val="FFFFFF"/>
                <w:sz w:val="18"/>
                <w:szCs w:val="19"/>
              </w:rPr>
              <w:t> </w:t>
            </w:r>
          </w:p>
        </w:tc>
        <w:tc>
          <w:tcPr>
            <w:tcW w:w="1350" w:type="dxa"/>
            <w:tcBorders>
              <w:top w:val="nil"/>
              <w:left w:val="nil"/>
              <w:bottom w:val="single" w:sz="8" w:space="0" w:color="448A99"/>
              <w:right w:val="nil"/>
            </w:tcBorders>
            <w:shd w:val="clear" w:color="000000" w:fill="448A99"/>
            <w:vAlign w:val="center"/>
            <w:hideMark/>
          </w:tcPr>
          <w:p w:rsidR="00A2654F" w:rsidRPr="009A6DD4" w:rsidRDefault="00A2654F" w:rsidP="00A2654F">
            <w:pPr>
              <w:jc w:val="left"/>
              <w:rPr>
                <w:color w:val="FFFFFF"/>
                <w:sz w:val="18"/>
                <w:szCs w:val="19"/>
              </w:rPr>
            </w:pPr>
            <w:r w:rsidRPr="009A6DD4">
              <w:rPr>
                <w:color w:val="FFFFFF"/>
                <w:sz w:val="18"/>
                <w:szCs w:val="19"/>
              </w:rPr>
              <w:t> </w:t>
            </w:r>
          </w:p>
        </w:tc>
        <w:tc>
          <w:tcPr>
            <w:tcW w:w="1170" w:type="dxa"/>
            <w:tcBorders>
              <w:top w:val="nil"/>
              <w:left w:val="nil"/>
              <w:bottom w:val="single" w:sz="8" w:space="0" w:color="448A99"/>
              <w:right w:val="nil"/>
            </w:tcBorders>
            <w:shd w:val="clear" w:color="000000" w:fill="448A99"/>
            <w:vAlign w:val="center"/>
            <w:hideMark/>
          </w:tcPr>
          <w:p w:rsidR="00A2654F" w:rsidRPr="009A6DD4" w:rsidRDefault="00A2654F" w:rsidP="00A2654F">
            <w:pPr>
              <w:jc w:val="left"/>
              <w:rPr>
                <w:color w:val="FFFFFF"/>
                <w:sz w:val="18"/>
                <w:szCs w:val="19"/>
              </w:rPr>
            </w:pPr>
            <w:r w:rsidRPr="009A6DD4">
              <w:rPr>
                <w:color w:val="FFFFFF"/>
                <w:sz w:val="18"/>
                <w:szCs w:val="19"/>
              </w:rPr>
              <w:t> </w:t>
            </w:r>
          </w:p>
        </w:tc>
        <w:tc>
          <w:tcPr>
            <w:tcW w:w="1308" w:type="dxa"/>
            <w:tcBorders>
              <w:top w:val="nil"/>
              <w:left w:val="nil"/>
              <w:bottom w:val="single" w:sz="8" w:space="0" w:color="448A99"/>
              <w:right w:val="single" w:sz="8" w:space="0" w:color="448A99"/>
            </w:tcBorders>
            <w:shd w:val="clear" w:color="000000" w:fill="448A99"/>
            <w:vAlign w:val="center"/>
            <w:hideMark/>
          </w:tcPr>
          <w:p w:rsidR="00A2654F" w:rsidRPr="009A6DD4" w:rsidRDefault="00A2654F" w:rsidP="00A2654F">
            <w:pPr>
              <w:jc w:val="left"/>
              <w:rPr>
                <w:color w:val="FFFFFF"/>
                <w:sz w:val="18"/>
                <w:szCs w:val="19"/>
              </w:rPr>
            </w:pPr>
            <w:r w:rsidRPr="009A6DD4">
              <w:rPr>
                <w:color w:val="FFFFFF"/>
                <w:sz w:val="18"/>
                <w:szCs w:val="19"/>
              </w:rPr>
              <w:t> </w:t>
            </w:r>
          </w:p>
        </w:tc>
      </w:tr>
    </w:tbl>
    <w:p w:rsidR="005A27BE" w:rsidRDefault="005A27BE" w:rsidP="005A27BE"/>
    <w:p w:rsidR="00FD4D90" w:rsidRPr="005A27BE" w:rsidRDefault="00FD4D90" w:rsidP="005A27BE"/>
    <w:p w:rsidR="00735BA9" w:rsidRDefault="00735BA9" w:rsidP="009C0DF1">
      <w:pPr>
        <w:pStyle w:val="AppendixAHeading3"/>
      </w:pPr>
      <w:r>
        <w:t>PY7 Gross and Net Savings by Sector</w:t>
      </w:r>
    </w:p>
    <w:p w:rsidR="00710D47" w:rsidRDefault="00710D47" w:rsidP="00710D47">
      <w:r w:rsidRPr="00C23348">
        <w:t>The sector-level verified gross and net energy savings achieved in PY7 are provided</w:t>
      </w:r>
      <w:r>
        <w:t xml:space="preserve"> in </w:t>
      </w:r>
      <w:r w:rsidR="008F62F5">
        <w:fldChar w:fldCharType="begin"/>
      </w:r>
      <w:r w:rsidR="008F62F5">
        <w:instrText xml:space="preserve"> REF _Ref472360407 \h </w:instrText>
      </w:r>
      <w:r w:rsidR="008F62F5">
        <w:fldChar w:fldCharType="separate"/>
      </w:r>
      <w:r w:rsidR="00037CB4" w:rsidRPr="00E41D9C">
        <w:t>Table A-</w:t>
      </w:r>
      <w:r w:rsidR="00037CB4">
        <w:rPr>
          <w:noProof/>
        </w:rPr>
        <w:t>104</w:t>
      </w:r>
      <w:r w:rsidR="008F62F5">
        <w:fldChar w:fldCharType="end"/>
      </w:r>
      <w:r>
        <w:t xml:space="preserve">. In PY7, the net energy savings were </w:t>
      </w:r>
      <w:r w:rsidRPr="00A2654F">
        <w:t xml:space="preserve">approximately </w:t>
      </w:r>
      <w:r w:rsidR="00155977">
        <w:t>60</w:t>
      </w:r>
      <w:r w:rsidRPr="00A2654F">
        <w:t>% of</w:t>
      </w:r>
      <w:r>
        <w:t xml:space="preserve"> the gross energy savings.</w:t>
      </w:r>
    </w:p>
    <w:p w:rsidR="00124B6E" w:rsidRDefault="00124B6E" w:rsidP="00710D47"/>
    <w:p w:rsidR="00710D47" w:rsidRDefault="00710D47" w:rsidP="004837FA">
      <w:pPr>
        <w:pStyle w:val="Caption"/>
      </w:pPr>
      <w:bookmarkStart w:id="1094" w:name="_Ref472360407"/>
      <w:bookmarkStart w:id="1095" w:name="_Toc472472513"/>
      <w:bookmarkStart w:id="1096" w:name="_Toc488741932"/>
      <w:r w:rsidRPr="00E41D9C">
        <w:t>Table A-</w:t>
      </w:r>
      <w:r w:rsidR="007973A4">
        <w:fldChar w:fldCharType="begin"/>
      </w:r>
      <w:r w:rsidR="007973A4">
        <w:instrText xml:space="preserve"> SEQ Table_A- \* ARABIC </w:instrText>
      </w:r>
      <w:r w:rsidR="007973A4">
        <w:fldChar w:fldCharType="separate"/>
      </w:r>
      <w:r w:rsidR="00037CB4">
        <w:rPr>
          <w:noProof/>
        </w:rPr>
        <w:t>104</w:t>
      </w:r>
      <w:r w:rsidR="007973A4">
        <w:rPr>
          <w:noProof/>
        </w:rPr>
        <w:fldChar w:fldCharType="end"/>
      </w:r>
      <w:bookmarkEnd w:id="1094"/>
      <w:r w:rsidRPr="00E41D9C">
        <w:t xml:space="preserve">: </w:t>
      </w:r>
      <w:r w:rsidRPr="008B45A8">
        <w:t xml:space="preserve">Summary of </w:t>
      </w:r>
      <w:r>
        <w:t>P</w:t>
      </w:r>
      <w:r w:rsidR="008F62F5">
        <w:t>ECO</w:t>
      </w:r>
      <w:r w:rsidRPr="008B45A8">
        <w:t xml:space="preserve"> EE&amp;C Verified Net Savings – by Sector</w:t>
      </w:r>
      <w:bookmarkEnd w:id="1095"/>
      <w:bookmarkEnd w:id="1096"/>
    </w:p>
    <w:tbl>
      <w:tblPr>
        <w:tblW w:w="9350" w:type="dxa"/>
        <w:tblLook w:val="04A0" w:firstRow="1" w:lastRow="0" w:firstColumn="1" w:lastColumn="0" w:noHBand="0" w:noVBand="1"/>
      </w:tblPr>
      <w:tblGrid>
        <w:gridCol w:w="1540"/>
        <w:gridCol w:w="1952"/>
        <w:gridCol w:w="1953"/>
        <w:gridCol w:w="1952"/>
        <w:gridCol w:w="1953"/>
      </w:tblGrid>
      <w:tr w:rsidR="00A874AC" w:rsidRPr="00124B6E" w:rsidTr="006F4CC7">
        <w:trPr>
          <w:trHeight w:val="358"/>
        </w:trPr>
        <w:tc>
          <w:tcPr>
            <w:tcW w:w="154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124B6E" w:rsidRDefault="00710D47" w:rsidP="006F4CC7">
            <w:pPr>
              <w:rPr>
                <w:b/>
                <w:bCs/>
                <w:color w:val="FFFFFF"/>
                <w:sz w:val="19"/>
                <w:szCs w:val="19"/>
              </w:rPr>
            </w:pPr>
            <w:r w:rsidRPr="00124B6E">
              <w:rPr>
                <w:b/>
                <w:bCs/>
                <w:color w:val="FFFFFF"/>
                <w:sz w:val="19"/>
                <w:szCs w:val="19"/>
              </w:rPr>
              <w:t>Sector</w:t>
            </w:r>
          </w:p>
        </w:tc>
        <w:tc>
          <w:tcPr>
            <w:tcW w:w="1952"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124B6E" w:rsidRDefault="00710D47" w:rsidP="006F4CC7">
            <w:pPr>
              <w:jc w:val="center"/>
              <w:rPr>
                <w:b/>
                <w:bCs/>
                <w:color w:val="FFFFFF"/>
                <w:sz w:val="19"/>
                <w:szCs w:val="19"/>
              </w:rPr>
            </w:pPr>
            <w:r w:rsidRPr="00124B6E">
              <w:rPr>
                <w:b/>
                <w:bCs/>
                <w:color w:val="FFFFFF"/>
                <w:sz w:val="19"/>
                <w:szCs w:val="19"/>
              </w:rPr>
              <w:t>PY7 VG Savings (MWh/yr)</w:t>
            </w:r>
          </w:p>
        </w:tc>
        <w:tc>
          <w:tcPr>
            <w:tcW w:w="1953"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124B6E" w:rsidRDefault="00710D47" w:rsidP="006F4CC7">
            <w:pPr>
              <w:jc w:val="center"/>
              <w:rPr>
                <w:b/>
                <w:bCs/>
                <w:color w:val="FFFFFF"/>
                <w:sz w:val="19"/>
                <w:szCs w:val="19"/>
              </w:rPr>
            </w:pPr>
            <w:r w:rsidRPr="00124B6E">
              <w:rPr>
                <w:b/>
                <w:bCs/>
                <w:color w:val="FFFFFF"/>
                <w:sz w:val="19"/>
                <w:szCs w:val="19"/>
              </w:rPr>
              <w:t>PY7 Verified Net Savings (MWh/yr)</w:t>
            </w:r>
          </w:p>
        </w:tc>
        <w:tc>
          <w:tcPr>
            <w:tcW w:w="1952"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124B6E" w:rsidRDefault="00710D47" w:rsidP="006F4CC7">
            <w:pPr>
              <w:jc w:val="center"/>
              <w:rPr>
                <w:b/>
                <w:bCs/>
                <w:color w:val="FFFFFF"/>
                <w:sz w:val="19"/>
                <w:szCs w:val="19"/>
              </w:rPr>
            </w:pPr>
            <w:r w:rsidRPr="00124B6E">
              <w:rPr>
                <w:b/>
                <w:bCs/>
                <w:color w:val="FFFFFF"/>
                <w:sz w:val="19"/>
                <w:szCs w:val="19"/>
              </w:rPr>
              <w:t>Phase II VG Savings (MWh/yr)</w:t>
            </w:r>
          </w:p>
        </w:tc>
        <w:tc>
          <w:tcPr>
            <w:tcW w:w="1953"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124B6E" w:rsidRDefault="00710D47" w:rsidP="006F4CC7">
            <w:pPr>
              <w:jc w:val="center"/>
              <w:rPr>
                <w:b/>
                <w:bCs/>
                <w:color w:val="FFFFFF"/>
                <w:sz w:val="19"/>
                <w:szCs w:val="19"/>
              </w:rPr>
            </w:pPr>
            <w:r w:rsidRPr="00124B6E">
              <w:rPr>
                <w:b/>
                <w:bCs/>
                <w:color w:val="FFFFFF"/>
                <w:sz w:val="19"/>
                <w:szCs w:val="19"/>
              </w:rPr>
              <w:t>Phase II Verified Net Savings (MWh/yr)</w:t>
            </w:r>
          </w:p>
        </w:tc>
      </w:tr>
      <w:tr w:rsidR="00E7173E" w:rsidRPr="00124B6E" w:rsidTr="008F60E1">
        <w:trPr>
          <w:trHeight w:val="360"/>
        </w:trPr>
        <w:tc>
          <w:tcPr>
            <w:tcW w:w="1540" w:type="dxa"/>
            <w:tcBorders>
              <w:top w:val="nil"/>
              <w:left w:val="single" w:sz="8" w:space="0" w:color="448A99"/>
              <w:bottom w:val="single" w:sz="8" w:space="0" w:color="448A99"/>
              <w:right w:val="single" w:sz="8" w:space="0" w:color="448A99"/>
            </w:tcBorders>
            <w:shd w:val="clear" w:color="auto" w:fill="auto"/>
            <w:noWrap/>
            <w:vAlign w:val="center"/>
          </w:tcPr>
          <w:p w:rsidR="00A2654F" w:rsidRPr="00124B6E" w:rsidRDefault="00A2654F" w:rsidP="00A2654F">
            <w:pPr>
              <w:jc w:val="left"/>
              <w:rPr>
                <w:color w:val="000000"/>
                <w:sz w:val="19"/>
                <w:szCs w:val="19"/>
              </w:rPr>
            </w:pPr>
            <w:r w:rsidRPr="00124B6E">
              <w:rPr>
                <w:color w:val="000000"/>
                <w:sz w:val="19"/>
                <w:szCs w:val="19"/>
              </w:rPr>
              <w:t>Residential</w:t>
            </w:r>
          </w:p>
        </w:tc>
        <w:tc>
          <w:tcPr>
            <w:tcW w:w="1952" w:type="dxa"/>
            <w:tcBorders>
              <w:top w:val="nil"/>
              <w:left w:val="nil"/>
              <w:bottom w:val="single" w:sz="8" w:space="0" w:color="448A99"/>
              <w:right w:val="single" w:sz="8" w:space="0" w:color="448A99"/>
            </w:tcBorders>
            <w:shd w:val="clear" w:color="auto" w:fill="auto"/>
            <w:vAlign w:val="center"/>
          </w:tcPr>
          <w:p w:rsidR="00A2654F" w:rsidRPr="00124B6E" w:rsidRDefault="00A2654F" w:rsidP="00A2654F">
            <w:pPr>
              <w:jc w:val="center"/>
              <w:rPr>
                <w:color w:val="000000"/>
                <w:sz w:val="19"/>
                <w:szCs w:val="19"/>
              </w:rPr>
            </w:pPr>
            <w:r w:rsidRPr="00124B6E">
              <w:rPr>
                <w:color w:val="000000"/>
                <w:sz w:val="19"/>
                <w:szCs w:val="19"/>
              </w:rPr>
              <w:t>250,696</w:t>
            </w:r>
          </w:p>
        </w:tc>
        <w:tc>
          <w:tcPr>
            <w:tcW w:w="1953" w:type="dxa"/>
            <w:tcBorders>
              <w:top w:val="nil"/>
              <w:left w:val="nil"/>
              <w:bottom w:val="single" w:sz="8" w:space="0" w:color="448A99"/>
              <w:right w:val="single" w:sz="8" w:space="0" w:color="448A99"/>
            </w:tcBorders>
            <w:shd w:val="clear" w:color="auto" w:fill="auto"/>
            <w:vAlign w:val="center"/>
          </w:tcPr>
          <w:p w:rsidR="00A2654F" w:rsidRPr="00124B6E" w:rsidRDefault="00A2654F" w:rsidP="00A2654F">
            <w:pPr>
              <w:jc w:val="center"/>
              <w:rPr>
                <w:color w:val="000000"/>
                <w:sz w:val="19"/>
                <w:szCs w:val="19"/>
              </w:rPr>
            </w:pPr>
            <w:r w:rsidRPr="00124B6E">
              <w:rPr>
                <w:color w:val="000000"/>
                <w:sz w:val="19"/>
                <w:szCs w:val="19"/>
              </w:rPr>
              <w:t>161,106</w:t>
            </w:r>
          </w:p>
        </w:tc>
        <w:tc>
          <w:tcPr>
            <w:tcW w:w="1952" w:type="dxa"/>
            <w:tcBorders>
              <w:top w:val="nil"/>
              <w:left w:val="nil"/>
              <w:bottom w:val="single" w:sz="8" w:space="0" w:color="448A99"/>
              <w:right w:val="single" w:sz="8" w:space="0" w:color="448A99"/>
            </w:tcBorders>
            <w:shd w:val="clear" w:color="auto" w:fill="auto"/>
            <w:vAlign w:val="center"/>
          </w:tcPr>
          <w:p w:rsidR="00A2654F" w:rsidRPr="00124B6E" w:rsidRDefault="00A2654F" w:rsidP="00A2654F">
            <w:pPr>
              <w:jc w:val="center"/>
              <w:rPr>
                <w:color w:val="000000"/>
                <w:sz w:val="19"/>
                <w:szCs w:val="19"/>
              </w:rPr>
            </w:pPr>
            <w:r w:rsidRPr="00124B6E">
              <w:rPr>
                <w:color w:val="000000"/>
                <w:sz w:val="19"/>
                <w:szCs w:val="19"/>
              </w:rPr>
              <w:t>485,743</w:t>
            </w:r>
          </w:p>
        </w:tc>
        <w:tc>
          <w:tcPr>
            <w:tcW w:w="1953" w:type="dxa"/>
            <w:tcBorders>
              <w:top w:val="nil"/>
              <w:left w:val="nil"/>
              <w:bottom w:val="single" w:sz="8" w:space="0" w:color="448A99"/>
              <w:right w:val="single" w:sz="8" w:space="0" w:color="448A99"/>
            </w:tcBorders>
            <w:shd w:val="clear" w:color="auto" w:fill="auto"/>
            <w:vAlign w:val="center"/>
          </w:tcPr>
          <w:p w:rsidR="00A2654F" w:rsidRPr="00124B6E" w:rsidRDefault="00A2654F" w:rsidP="00A2654F">
            <w:pPr>
              <w:jc w:val="center"/>
              <w:rPr>
                <w:color w:val="000000"/>
                <w:sz w:val="19"/>
                <w:szCs w:val="19"/>
              </w:rPr>
            </w:pPr>
            <w:r w:rsidRPr="00124B6E">
              <w:rPr>
                <w:color w:val="000000"/>
                <w:sz w:val="19"/>
                <w:szCs w:val="19"/>
              </w:rPr>
              <w:t>298,899</w:t>
            </w:r>
          </w:p>
        </w:tc>
      </w:tr>
      <w:tr w:rsidR="00A874AC" w:rsidRPr="00124B6E" w:rsidTr="006F4CC7">
        <w:trPr>
          <w:trHeight w:val="360"/>
        </w:trPr>
        <w:tc>
          <w:tcPr>
            <w:tcW w:w="1540" w:type="dxa"/>
            <w:tcBorders>
              <w:top w:val="nil"/>
              <w:left w:val="single" w:sz="8" w:space="0" w:color="448A99"/>
              <w:bottom w:val="single" w:sz="8" w:space="0" w:color="448A99"/>
              <w:right w:val="single" w:sz="8" w:space="0" w:color="448A99"/>
            </w:tcBorders>
            <w:shd w:val="clear" w:color="000000" w:fill="D2EAF1"/>
            <w:noWrap/>
            <w:vAlign w:val="center"/>
          </w:tcPr>
          <w:p w:rsidR="00A2654F" w:rsidRPr="00124B6E" w:rsidRDefault="00A2654F" w:rsidP="0097650B">
            <w:pPr>
              <w:jc w:val="left"/>
              <w:rPr>
                <w:color w:val="000000"/>
                <w:sz w:val="19"/>
                <w:szCs w:val="19"/>
              </w:rPr>
            </w:pPr>
            <w:r w:rsidRPr="00124B6E">
              <w:rPr>
                <w:color w:val="000000"/>
                <w:sz w:val="19"/>
                <w:szCs w:val="19"/>
              </w:rPr>
              <w:t>C</w:t>
            </w:r>
            <w:r w:rsidR="0097650B" w:rsidRPr="00124B6E">
              <w:rPr>
                <w:color w:val="000000"/>
                <w:sz w:val="19"/>
                <w:szCs w:val="19"/>
              </w:rPr>
              <w:t>/</w:t>
            </w:r>
            <w:r w:rsidRPr="00124B6E">
              <w:rPr>
                <w:color w:val="000000"/>
                <w:sz w:val="19"/>
                <w:szCs w:val="19"/>
              </w:rPr>
              <w:t>I</w:t>
            </w:r>
          </w:p>
        </w:tc>
        <w:tc>
          <w:tcPr>
            <w:tcW w:w="1952" w:type="dxa"/>
            <w:tcBorders>
              <w:top w:val="nil"/>
              <w:left w:val="nil"/>
              <w:bottom w:val="single" w:sz="8" w:space="0" w:color="448A99"/>
              <w:right w:val="single" w:sz="8" w:space="0" w:color="448A99"/>
            </w:tcBorders>
            <w:shd w:val="clear" w:color="000000" w:fill="D2EAF1"/>
            <w:vAlign w:val="center"/>
          </w:tcPr>
          <w:p w:rsidR="00A2654F" w:rsidRPr="00124B6E" w:rsidRDefault="00A2654F" w:rsidP="00A2654F">
            <w:pPr>
              <w:jc w:val="center"/>
              <w:rPr>
                <w:color w:val="000000"/>
                <w:sz w:val="19"/>
                <w:szCs w:val="19"/>
              </w:rPr>
            </w:pPr>
            <w:r w:rsidRPr="00124B6E">
              <w:rPr>
                <w:color w:val="000000"/>
                <w:sz w:val="19"/>
                <w:szCs w:val="19"/>
              </w:rPr>
              <w:t>152,203</w:t>
            </w:r>
          </w:p>
        </w:tc>
        <w:tc>
          <w:tcPr>
            <w:tcW w:w="1953" w:type="dxa"/>
            <w:tcBorders>
              <w:top w:val="nil"/>
              <w:left w:val="nil"/>
              <w:bottom w:val="single" w:sz="8" w:space="0" w:color="448A99"/>
              <w:right w:val="single" w:sz="8" w:space="0" w:color="448A99"/>
            </w:tcBorders>
            <w:shd w:val="clear" w:color="000000" w:fill="D2EAF1"/>
            <w:vAlign w:val="center"/>
          </w:tcPr>
          <w:p w:rsidR="00A2654F" w:rsidRPr="00124B6E" w:rsidRDefault="00A2654F" w:rsidP="00A2654F">
            <w:pPr>
              <w:jc w:val="center"/>
              <w:rPr>
                <w:color w:val="000000"/>
                <w:sz w:val="19"/>
                <w:szCs w:val="19"/>
              </w:rPr>
            </w:pPr>
            <w:r w:rsidRPr="00124B6E">
              <w:rPr>
                <w:color w:val="000000"/>
                <w:sz w:val="19"/>
                <w:szCs w:val="19"/>
              </w:rPr>
              <w:t>99,321</w:t>
            </w:r>
          </w:p>
        </w:tc>
        <w:tc>
          <w:tcPr>
            <w:tcW w:w="1952" w:type="dxa"/>
            <w:tcBorders>
              <w:top w:val="nil"/>
              <w:left w:val="nil"/>
              <w:bottom w:val="single" w:sz="8" w:space="0" w:color="448A99"/>
              <w:right w:val="single" w:sz="8" w:space="0" w:color="448A99"/>
            </w:tcBorders>
            <w:shd w:val="clear" w:color="000000" w:fill="D2EAF1"/>
            <w:vAlign w:val="center"/>
          </w:tcPr>
          <w:p w:rsidR="00A2654F" w:rsidRPr="00124B6E" w:rsidRDefault="00A2654F" w:rsidP="00A2654F">
            <w:pPr>
              <w:jc w:val="center"/>
              <w:rPr>
                <w:color w:val="000000"/>
                <w:sz w:val="19"/>
                <w:szCs w:val="19"/>
              </w:rPr>
            </w:pPr>
            <w:r w:rsidRPr="00124B6E">
              <w:rPr>
                <w:color w:val="000000"/>
                <w:sz w:val="19"/>
                <w:szCs w:val="19"/>
              </w:rPr>
              <w:t>376,776</w:t>
            </w:r>
          </w:p>
        </w:tc>
        <w:tc>
          <w:tcPr>
            <w:tcW w:w="1953" w:type="dxa"/>
            <w:tcBorders>
              <w:top w:val="nil"/>
              <w:left w:val="nil"/>
              <w:bottom w:val="single" w:sz="8" w:space="0" w:color="448A99"/>
              <w:right w:val="single" w:sz="8" w:space="0" w:color="448A99"/>
            </w:tcBorders>
            <w:shd w:val="clear" w:color="000000" w:fill="D2EAF1"/>
            <w:vAlign w:val="center"/>
          </w:tcPr>
          <w:p w:rsidR="00A2654F" w:rsidRPr="00124B6E" w:rsidRDefault="00A2654F" w:rsidP="00A2654F">
            <w:pPr>
              <w:jc w:val="center"/>
              <w:rPr>
                <w:color w:val="000000"/>
                <w:sz w:val="19"/>
                <w:szCs w:val="19"/>
              </w:rPr>
            </w:pPr>
            <w:r w:rsidRPr="00124B6E">
              <w:rPr>
                <w:color w:val="000000"/>
                <w:sz w:val="19"/>
                <w:szCs w:val="19"/>
              </w:rPr>
              <w:t>301,597</w:t>
            </w:r>
          </w:p>
        </w:tc>
      </w:tr>
      <w:tr w:rsidR="00E7173E" w:rsidRPr="00124B6E" w:rsidTr="008F60E1">
        <w:trPr>
          <w:trHeight w:val="360"/>
        </w:trPr>
        <w:tc>
          <w:tcPr>
            <w:tcW w:w="1540" w:type="dxa"/>
            <w:tcBorders>
              <w:top w:val="nil"/>
              <w:left w:val="single" w:sz="8" w:space="0" w:color="448A99"/>
              <w:bottom w:val="single" w:sz="8" w:space="0" w:color="448A99"/>
              <w:right w:val="single" w:sz="8" w:space="0" w:color="448A99"/>
            </w:tcBorders>
            <w:shd w:val="clear" w:color="auto" w:fill="auto"/>
            <w:noWrap/>
            <w:vAlign w:val="center"/>
          </w:tcPr>
          <w:p w:rsidR="00A2654F" w:rsidRPr="00124B6E" w:rsidRDefault="00A2654F" w:rsidP="00A2654F">
            <w:pPr>
              <w:jc w:val="left"/>
              <w:rPr>
                <w:color w:val="000000"/>
                <w:sz w:val="19"/>
                <w:szCs w:val="19"/>
              </w:rPr>
            </w:pPr>
            <w:r w:rsidRPr="00124B6E">
              <w:rPr>
                <w:color w:val="000000"/>
                <w:sz w:val="19"/>
                <w:szCs w:val="19"/>
              </w:rPr>
              <w:t>GNI</w:t>
            </w:r>
          </w:p>
        </w:tc>
        <w:tc>
          <w:tcPr>
            <w:tcW w:w="1952" w:type="dxa"/>
            <w:tcBorders>
              <w:top w:val="nil"/>
              <w:left w:val="nil"/>
              <w:bottom w:val="single" w:sz="8" w:space="0" w:color="448A99"/>
              <w:right w:val="single" w:sz="8" w:space="0" w:color="448A99"/>
            </w:tcBorders>
            <w:shd w:val="clear" w:color="auto" w:fill="auto"/>
            <w:vAlign w:val="center"/>
          </w:tcPr>
          <w:p w:rsidR="00A2654F" w:rsidRPr="00124B6E" w:rsidRDefault="00A2654F" w:rsidP="00A2654F">
            <w:pPr>
              <w:jc w:val="center"/>
              <w:rPr>
                <w:color w:val="000000"/>
                <w:sz w:val="19"/>
                <w:szCs w:val="19"/>
              </w:rPr>
            </w:pPr>
            <w:r w:rsidRPr="00124B6E">
              <w:rPr>
                <w:color w:val="000000"/>
                <w:sz w:val="19"/>
                <w:szCs w:val="19"/>
              </w:rPr>
              <w:t>125,402</w:t>
            </w:r>
          </w:p>
        </w:tc>
        <w:tc>
          <w:tcPr>
            <w:tcW w:w="1953" w:type="dxa"/>
            <w:tcBorders>
              <w:top w:val="nil"/>
              <w:left w:val="nil"/>
              <w:bottom w:val="single" w:sz="8" w:space="0" w:color="448A99"/>
              <w:right w:val="single" w:sz="8" w:space="0" w:color="448A99"/>
            </w:tcBorders>
            <w:shd w:val="clear" w:color="auto" w:fill="auto"/>
            <w:vAlign w:val="center"/>
          </w:tcPr>
          <w:p w:rsidR="00A2654F" w:rsidRPr="00124B6E" w:rsidRDefault="00A2654F" w:rsidP="00A2654F">
            <w:pPr>
              <w:jc w:val="center"/>
              <w:rPr>
                <w:color w:val="000000"/>
                <w:sz w:val="19"/>
                <w:szCs w:val="19"/>
              </w:rPr>
            </w:pPr>
            <w:r w:rsidRPr="00124B6E">
              <w:rPr>
                <w:color w:val="000000"/>
                <w:sz w:val="19"/>
                <w:szCs w:val="19"/>
              </w:rPr>
              <w:t>64,145</w:t>
            </w:r>
          </w:p>
        </w:tc>
        <w:tc>
          <w:tcPr>
            <w:tcW w:w="1952" w:type="dxa"/>
            <w:tcBorders>
              <w:top w:val="nil"/>
              <w:left w:val="nil"/>
              <w:bottom w:val="single" w:sz="8" w:space="0" w:color="448A99"/>
              <w:right w:val="single" w:sz="8" w:space="0" w:color="448A99"/>
            </w:tcBorders>
            <w:shd w:val="clear" w:color="auto" w:fill="auto"/>
            <w:vAlign w:val="center"/>
          </w:tcPr>
          <w:p w:rsidR="00A2654F" w:rsidRPr="00124B6E" w:rsidRDefault="00A2654F" w:rsidP="00A2654F">
            <w:pPr>
              <w:jc w:val="center"/>
              <w:rPr>
                <w:color w:val="000000"/>
                <w:sz w:val="19"/>
                <w:szCs w:val="19"/>
              </w:rPr>
            </w:pPr>
            <w:r w:rsidRPr="00124B6E">
              <w:rPr>
                <w:color w:val="000000"/>
                <w:sz w:val="19"/>
                <w:szCs w:val="19"/>
              </w:rPr>
              <w:t>227,985</w:t>
            </w:r>
          </w:p>
        </w:tc>
        <w:tc>
          <w:tcPr>
            <w:tcW w:w="1953" w:type="dxa"/>
            <w:tcBorders>
              <w:top w:val="nil"/>
              <w:left w:val="nil"/>
              <w:bottom w:val="single" w:sz="8" w:space="0" w:color="448A99"/>
              <w:right w:val="single" w:sz="8" w:space="0" w:color="448A99"/>
            </w:tcBorders>
            <w:shd w:val="clear" w:color="auto" w:fill="auto"/>
            <w:vAlign w:val="center"/>
          </w:tcPr>
          <w:p w:rsidR="00A2654F" w:rsidRPr="00124B6E" w:rsidRDefault="00A2654F" w:rsidP="00A2654F">
            <w:pPr>
              <w:jc w:val="center"/>
              <w:rPr>
                <w:color w:val="000000"/>
                <w:sz w:val="19"/>
                <w:szCs w:val="19"/>
              </w:rPr>
            </w:pPr>
            <w:r w:rsidRPr="00124B6E">
              <w:rPr>
                <w:color w:val="000000"/>
                <w:sz w:val="19"/>
                <w:szCs w:val="19"/>
              </w:rPr>
              <w:t>143,250</w:t>
            </w:r>
          </w:p>
        </w:tc>
      </w:tr>
      <w:tr w:rsidR="00A874AC" w:rsidRPr="00124B6E" w:rsidTr="006F4CC7">
        <w:trPr>
          <w:trHeight w:val="360"/>
        </w:trPr>
        <w:tc>
          <w:tcPr>
            <w:tcW w:w="1540" w:type="dxa"/>
            <w:tcBorders>
              <w:top w:val="nil"/>
              <w:left w:val="single" w:sz="8" w:space="0" w:color="448A99"/>
              <w:bottom w:val="single" w:sz="8" w:space="0" w:color="448A99"/>
              <w:right w:val="single" w:sz="8" w:space="0" w:color="448A99"/>
            </w:tcBorders>
            <w:shd w:val="clear" w:color="000000" w:fill="D2EAF1"/>
            <w:noWrap/>
            <w:vAlign w:val="center"/>
          </w:tcPr>
          <w:p w:rsidR="00A2654F" w:rsidRPr="00124B6E" w:rsidRDefault="00A2654F" w:rsidP="00A2654F">
            <w:pPr>
              <w:jc w:val="left"/>
              <w:rPr>
                <w:b/>
                <w:bCs/>
                <w:i/>
                <w:iCs/>
                <w:color w:val="000000"/>
                <w:sz w:val="19"/>
                <w:szCs w:val="19"/>
              </w:rPr>
            </w:pPr>
            <w:r w:rsidRPr="00124B6E">
              <w:rPr>
                <w:b/>
                <w:bCs/>
                <w:i/>
                <w:iCs/>
                <w:color w:val="000000"/>
                <w:sz w:val="19"/>
                <w:szCs w:val="19"/>
              </w:rPr>
              <w:t>Total Portfolio</w:t>
            </w:r>
          </w:p>
        </w:tc>
        <w:tc>
          <w:tcPr>
            <w:tcW w:w="1952" w:type="dxa"/>
            <w:tcBorders>
              <w:top w:val="nil"/>
              <w:left w:val="nil"/>
              <w:bottom w:val="single" w:sz="8" w:space="0" w:color="448A99"/>
              <w:right w:val="single" w:sz="8" w:space="0" w:color="448A99"/>
            </w:tcBorders>
            <w:shd w:val="clear" w:color="000000" w:fill="D2EAF1"/>
            <w:vAlign w:val="center"/>
          </w:tcPr>
          <w:p w:rsidR="00A2654F" w:rsidRPr="00124B6E" w:rsidRDefault="00A2654F" w:rsidP="00A2654F">
            <w:pPr>
              <w:jc w:val="center"/>
              <w:rPr>
                <w:b/>
                <w:bCs/>
                <w:i/>
                <w:iCs/>
                <w:color w:val="000000"/>
                <w:sz w:val="19"/>
                <w:szCs w:val="19"/>
              </w:rPr>
            </w:pPr>
            <w:r w:rsidRPr="00124B6E">
              <w:rPr>
                <w:b/>
                <w:bCs/>
                <w:i/>
                <w:iCs/>
                <w:color w:val="000000"/>
                <w:sz w:val="19"/>
                <w:szCs w:val="19"/>
              </w:rPr>
              <w:t>528,301</w:t>
            </w:r>
          </w:p>
        </w:tc>
        <w:tc>
          <w:tcPr>
            <w:tcW w:w="1953" w:type="dxa"/>
            <w:tcBorders>
              <w:top w:val="nil"/>
              <w:left w:val="nil"/>
              <w:bottom w:val="single" w:sz="8" w:space="0" w:color="448A99"/>
              <w:right w:val="single" w:sz="8" w:space="0" w:color="448A99"/>
            </w:tcBorders>
            <w:shd w:val="clear" w:color="000000" w:fill="D2EAF1"/>
            <w:vAlign w:val="center"/>
          </w:tcPr>
          <w:p w:rsidR="00A2654F" w:rsidRPr="00124B6E" w:rsidRDefault="00A2654F" w:rsidP="00A2654F">
            <w:pPr>
              <w:jc w:val="center"/>
              <w:rPr>
                <w:b/>
                <w:bCs/>
                <w:i/>
                <w:iCs/>
                <w:color w:val="000000"/>
                <w:sz w:val="19"/>
                <w:szCs w:val="19"/>
              </w:rPr>
            </w:pPr>
            <w:r w:rsidRPr="00124B6E">
              <w:rPr>
                <w:b/>
                <w:bCs/>
                <w:i/>
                <w:iCs/>
                <w:color w:val="000000"/>
                <w:sz w:val="19"/>
                <w:szCs w:val="19"/>
              </w:rPr>
              <w:t>324,572</w:t>
            </w:r>
          </w:p>
        </w:tc>
        <w:tc>
          <w:tcPr>
            <w:tcW w:w="1952" w:type="dxa"/>
            <w:tcBorders>
              <w:top w:val="nil"/>
              <w:left w:val="nil"/>
              <w:bottom w:val="single" w:sz="8" w:space="0" w:color="448A99"/>
              <w:right w:val="single" w:sz="8" w:space="0" w:color="448A99"/>
            </w:tcBorders>
            <w:shd w:val="clear" w:color="000000" w:fill="D2EAF1"/>
            <w:vAlign w:val="center"/>
          </w:tcPr>
          <w:p w:rsidR="00A2654F" w:rsidRPr="00124B6E" w:rsidRDefault="00A2654F" w:rsidP="00A2654F">
            <w:pPr>
              <w:jc w:val="center"/>
              <w:rPr>
                <w:b/>
                <w:bCs/>
                <w:i/>
                <w:iCs/>
                <w:color w:val="000000"/>
                <w:sz w:val="19"/>
                <w:szCs w:val="19"/>
              </w:rPr>
            </w:pPr>
            <w:r w:rsidRPr="00124B6E">
              <w:rPr>
                <w:b/>
                <w:bCs/>
                <w:i/>
                <w:iCs/>
                <w:color w:val="000000"/>
                <w:sz w:val="19"/>
                <w:szCs w:val="19"/>
              </w:rPr>
              <w:t>1,090,505</w:t>
            </w:r>
          </w:p>
        </w:tc>
        <w:tc>
          <w:tcPr>
            <w:tcW w:w="1953" w:type="dxa"/>
            <w:tcBorders>
              <w:top w:val="nil"/>
              <w:left w:val="nil"/>
              <w:bottom w:val="single" w:sz="8" w:space="0" w:color="448A99"/>
              <w:right w:val="single" w:sz="8" w:space="0" w:color="448A99"/>
            </w:tcBorders>
            <w:shd w:val="clear" w:color="000000" w:fill="D2EAF1"/>
            <w:vAlign w:val="center"/>
          </w:tcPr>
          <w:p w:rsidR="00A2654F" w:rsidRPr="00124B6E" w:rsidRDefault="00A2654F" w:rsidP="00A2654F">
            <w:pPr>
              <w:jc w:val="center"/>
              <w:rPr>
                <w:b/>
                <w:bCs/>
                <w:i/>
                <w:iCs/>
                <w:color w:val="000000"/>
                <w:sz w:val="19"/>
                <w:szCs w:val="19"/>
              </w:rPr>
            </w:pPr>
            <w:r w:rsidRPr="00124B6E">
              <w:rPr>
                <w:b/>
                <w:bCs/>
                <w:i/>
                <w:iCs/>
                <w:color w:val="000000"/>
                <w:sz w:val="19"/>
                <w:szCs w:val="19"/>
              </w:rPr>
              <w:t>743,746</w:t>
            </w:r>
          </w:p>
        </w:tc>
      </w:tr>
    </w:tbl>
    <w:p w:rsidR="00710D47" w:rsidRPr="006F4CC7" w:rsidRDefault="00710D47" w:rsidP="006F4CC7"/>
    <w:p w:rsidR="00950837" w:rsidRDefault="00950837" w:rsidP="000D3563">
      <w:pPr>
        <w:pStyle w:val="AppendixAHeading2"/>
      </w:pPr>
      <w:r>
        <w:t>Total Resource Cost Test</w:t>
      </w:r>
    </w:p>
    <w:p w:rsidR="00756E99" w:rsidRDefault="00756E99" w:rsidP="00756E99">
      <w:r>
        <w:fldChar w:fldCharType="begin"/>
      </w:r>
      <w:r>
        <w:instrText xml:space="preserve"> REF _Ref472446964 \h </w:instrText>
      </w:r>
      <w:r>
        <w:fldChar w:fldCharType="separate"/>
      </w:r>
      <w:r w:rsidR="00037CB4">
        <w:t>Table A-</w:t>
      </w:r>
      <w:r w:rsidR="00037CB4">
        <w:rPr>
          <w:noProof/>
        </w:rPr>
        <w:t>105</w:t>
      </w:r>
      <w:r>
        <w:fldChar w:fldCharType="end"/>
      </w:r>
      <w:r>
        <w:t xml:space="preserve"> </w:t>
      </w:r>
      <w:r w:rsidRPr="00756E99">
        <w:t>presents TRC NPV benefits, TRC NPV costs, present value of net benefits, and</w:t>
      </w:r>
      <w:r w:rsidR="00804EA4">
        <w:t xml:space="preserve"> the</w:t>
      </w:r>
      <w:r w:rsidRPr="00756E99">
        <w:t xml:space="preserve"> TRC ratio for PECO’s PY7 individual programs and total portfolio. The SWE found no initial inconsistencies between the TRC model outputs and the TRC results shown in the PY7 annual report.</w:t>
      </w:r>
    </w:p>
    <w:p w:rsidR="00756E99" w:rsidRDefault="00756E99" w:rsidP="00756E99"/>
    <w:p w:rsidR="00756E99" w:rsidRDefault="00756E99" w:rsidP="004837FA">
      <w:pPr>
        <w:pStyle w:val="Caption"/>
      </w:pPr>
      <w:bookmarkStart w:id="1097" w:name="_Ref472446964"/>
      <w:bookmarkStart w:id="1098" w:name="_Toc472472514"/>
      <w:bookmarkStart w:id="1099" w:name="_Toc488741933"/>
      <w:r>
        <w:t>Table A-</w:t>
      </w:r>
      <w:r w:rsidR="007973A4">
        <w:fldChar w:fldCharType="begin"/>
      </w:r>
      <w:r w:rsidR="007973A4">
        <w:instrText xml:space="preserve"> SEQ Table_A- \* ARABIC </w:instrText>
      </w:r>
      <w:r w:rsidR="007973A4">
        <w:fldChar w:fldCharType="separate"/>
      </w:r>
      <w:r w:rsidR="00037CB4">
        <w:rPr>
          <w:noProof/>
        </w:rPr>
        <w:t>105</w:t>
      </w:r>
      <w:r w:rsidR="007973A4">
        <w:rPr>
          <w:noProof/>
        </w:rPr>
        <w:fldChar w:fldCharType="end"/>
      </w:r>
      <w:bookmarkEnd w:id="1097"/>
      <w:r>
        <w:t xml:space="preserve">: </w:t>
      </w:r>
      <w:r w:rsidRPr="00FA3E0D">
        <w:t>Summary of PECO’s PY6 TRC Factors and Results</w:t>
      </w:r>
      <w:bookmarkEnd w:id="1098"/>
      <w:bookmarkEnd w:id="1099"/>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4050"/>
        <w:gridCol w:w="1530"/>
        <w:gridCol w:w="1530"/>
        <w:gridCol w:w="1530"/>
        <w:gridCol w:w="715"/>
      </w:tblGrid>
      <w:tr w:rsidR="00A874AC" w:rsidRPr="00124B6E" w:rsidTr="0016230D">
        <w:trPr>
          <w:trHeight w:val="765"/>
          <w:tblHeader/>
        </w:trPr>
        <w:tc>
          <w:tcPr>
            <w:tcW w:w="4050" w:type="dxa"/>
            <w:shd w:val="clear" w:color="000000" w:fill="448A99"/>
            <w:noWrap/>
            <w:vAlign w:val="bottom"/>
            <w:hideMark/>
          </w:tcPr>
          <w:p w:rsidR="00756E99" w:rsidRPr="00124B6E" w:rsidRDefault="00756E99" w:rsidP="005C1352">
            <w:pPr>
              <w:jc w:val="left"/>
              <w:rPr>
                <w:b/>
                <w:bCs/>
                <w:color w:val="FFFFFF"/>
                <w:sz w:val="19"/>
                <w:szCs w:val="19"/>
              </w:rPr>
            </w:pPr>
            <w:r w:rsidRPr="00124B6E">
              <w:rPr>
                <w:b/>
                <w:bCs/>
                <w:color w:val="FFFFFF"/>
                <w:sz w:val="19"/>
                <w:szCs w:val="19"/>
              </w:rPr>
              <w:t>Program</w:t>
            </w:r>
          </w:p>
        </w:tc>
        <w:tc>
          <w:tcPr>
            <w:tcW w:w="1530" w:type="dxa"/>
            <w:shd w:val="clear" w:color="000000" w:fill="448A99"/>
            <w:vAlign w:val="bottom"/>
            <w:hideMark/>
          </w:tcPr>
          <w:p w:rsidR="00756E99" w:rsidRPr="00124B6E" w:rsidRDefault="00756E99" w:rsidP="005C1352">
            <w:pPr>
              <w:jc w:val="center"/>
              <w:rPr>
                <w:b/>
                <w:bCs/>
                <w:color w:val="FFFFFF"/>
                <w:sz w:val="19"/>
                <w:szCs w:val="19"/>
              </w:rPr>
            </w:pPr>
            <w:r w:rsidRPr="00124B6E">
              <w:rPr>
                <w:b/>
                <w:bCs/>
                <w:color w:val="FFFFFF"/>
                <w:sz w:val="19"/>
                <w:szCs w:val="19"/>
              </w:rPr>
              <w:t>TRC NPV Benefits</w:t>
            </w:r>
          </w:p>
          <w:p w:rsidR="00756E99" w:rsidRPr="00124B6E" w:rsidRDefault="00756E99" w:rsidP="005C1352">
            <w:pPr>
              <w:jc w:val="center"/>
              <w:rPr>
                <w:rFonts w:eastAsia="Calibri"/>
                <w:b/>
                <w:bCs/>
                <w:color w:val="FFFFFF"/>
                <w:sz w:val="19"/>
                <w:szCs w:val="19"/>
              </w:rPr>
            </w:pPr>
            <w:r w:rsidRPr="00124B6E">
              <w:rPr>
                <w:b/>
                <w:bCs/>
                <w:color w:val="FFFFFF"/>
                <w:sz w:val="19"/>
                <w:szCs w:val="19"/>
              </w:rPr>
              <w:t>($)</w:t>
            </w:r>
          </w:p>
        </w:tc>
        <w:tc>
          <w:tcPr>
            <w:tcW w:w="1530" w:type="dxa"/>
            <w:shd w:val="clear" w:color="000000" w:fill="448A99"/>
            <w:vAlign w:val="bottom"/>
            <w:hideMark/>
          </w:tcPr>
          <w:p w:rsidR="00756E99" w:rsidRPr="00124B6E" w:rsidRDefault="00756E99" w:rsidP="005C1352">
            <w:pPr>
              <w:jc w:val="center"/>
              <w:rPr>
                <w:rFonts w:eastAsia="Calibri"/>
                <w:b/>
                <w:bCs/>
                <w:color w:val="FFFFFF"/>
                <w:sz w:val="19"/>
                <w:szCs w:val="19"/>
              </w:rPr>
            </w:pPr>
            <w:r w:rsidRPr="00124B6E">
              <w:rPr>
                <w:b/>
                <w:bCs/>
                <w:color w:val="FFFFFF"/>
                <w:sz w:val="19"/>
                <w:szCs w:val="19"/>
              </w:rPr>
              <w:t>TRC NPV Costs</w:t>
            </w:r>
          </w:p>
          <w:p w:rsidR="00756E99" w:rsidRPr="00124B6E" w:rsidRDefault="00756E99" w:rsidP="005C1352">
            <w:pPr>
              <w:jc w:val="center"/>
              <w:rPr>
                <w:rFonts w:eastAsia="Calibri"/>
                <w:b/>
                <w:bCs/>
                <w:color w:val="FFFFFF"/>
                <w:sz w:val="19"/>
                <w:szCs w:val="19"/>
              </w:rPr>
            </w:pPr>
            <w:r w:rsidRPr="00124B6E">
              <w:rPr>
                <w:b/>
                <w:bCs/>
                <w:color w:val="FFFFFF"/>
                <w:sz w:val="19"/>
                <w:szCs w:val="19"/>
              </w:rPr>
              <w:t>($)</w:t>
            </w:r>
          </w:p>
        </w:tc>
        <w:tc>
          <w:tcPr>
            <w:tcW w:w="1530" w:type="dxa"/>
            <w:shd w:val="clear" w:color="000000" w:fill="448A99"/>
            <w:vAlign w:val="bottom"/>
          </w:tcPr>
          <w:p w:rsidR="00756E99" w:rsidRPr="00124B6E" w:rsidRDefault="00756E99" w:rsidP="005C1352">
            <w:pPr>
              <w:jc w:val="center"/>
              <w:rPr>
                <w:rFonts w:eastAsia="Calibri"/>
                <w:b/>
                <w:bCs/>
                <w:color w:val="FFFFFF"/>
                <w:sz w:val="19"/>
                <w:szCs w:val="19"/>
              </w:rPr>
            </w:pPr>
            <w:r w:rsidRPr="00124B6E">
              <w:rPr>
                <w:b/>
                <w:bCs/>
                <w:color w:val="FFFFFF"/>
                <w:sz w:val="19"/>
                <w:szCs w:val="19"/>
              </w:rPr>
              <w:t>Present Value of Net Benefits</w:t>
            </w:r>
          </w:p>
          <w:p w:rsidR="00756E99" w:rsidRPr="00124B6E" w:rsidRDefault="00756E99" w:rsidP="005C1352">
            <w:pPr>
              <w:jc w:val="center"/>
              <w:rPr>
                <w:rFonts w:eastAsia="Calibri"/>
                <w:b/>
                <w:bCs/>
                <w:color w:val="FFFFFF"/>
                <w:sz w:val="19"/>
                <w:szCs w:val="19"/>
              </w:rPr>
            </w:pPr>
            <w:r w:rsidRPr="00124B6E">
              <w:rPr>
                <w:b/>
                <w:bCs/>
                <w:color w:val="FFFFFF"/>
                <w:sz w:val="19"/>
                <w:szCs w:val="19"/>
              </w:rPr>
              <w:t>($)</w:t>
            </w:r>
          </w:p>
        </w:tc>
        <w:tc>
          <w:tcPr>
            <w:tcW w:w="715" w:type="dxa"/>
            <w:shd w:val="clear" w:color="000000" w:fill="448A99"/>
            <w:noWrap/>
            <w:vAlign w:val="bottom"/>
            <w:hideMark/>
          </w:tcPr>
          <w:p w:rsidR="00756E99" w:rsidRPr="00124B6E" w:rsidRDefault="00756E99" w:rsidP="005C1352">
            <w:pPr>
              <w:jc w:val="center"/>
              <w:rPr>
                <w:rFonts w:eastAsia="Calibri"/>
                <w:b/>
                <w:bCs/>
                <w:color w:val="FFFFFF"/>
                <w:sz w:val="19"/>
                <w:szCs w:val="19"/>
              </w:rPr>
            </w:pPr>
            <w:r w:rsidRPr="00124B6E">
              <w:rPr>
                <w:b/>
                <w:bCs/>
                <w:color w:val="FFFFFF"/>
                <w:sz w:val="19"/>
                <w:szCs w:val="19"/>
              </w:rPr>
              <w:t>TRC Ratio</w:t>
            </w:r>
          </w:p>
        </w:tc>
      </w:tr>
      <w:tr w:rsidR="00A874AC" w:rsidRPr="00124B6E" w:rsidTr="0016230D">
        <w:trPr>
          <w:trHeight w:val="346"/>
        </w:trPr>
        <w:tc>
          <w:tcPr>
            <w:tcW w:w="4050" w:type="dxa"/>
            <w:shd w:val="clear" w:color="000000" w:fill="D2EAF1"/>
            <w:noWrap/>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AC Saver (Residential)</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$15,430,738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$6,753,738 </w:t>
            </w:r>
          </w:p>
        </w:tc>
        <w:tc>
          <w:tcPr>
            <w:tcW w:w="1530" w:type="dxa"/>
            <w:tcBorders>
              <w:top w:val="nil"/>
              <w:left w:val="nil"/>
              <w:bottom w:val="single" w:sz="8" w:space="0" w:color="448A99"/>
              <w:right w:val="single" w:sz="8" w:space="0" w:color="448A99"/>
            </w:tcBorders>
            <w:shd w:val="clear" w:color="000000" w:fill="D2EAF1"/>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$8,677,000 </w:t>
            </w:r>
          </w:p>
        </w:tc>
        <w:tc>
          <w:tcPr>
            <w:tcW w:w="715"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2.28</w:t>
            </w:r>
          </w:p>
        </w:tc>
      </w:tr>
      <w:tr w:rsidR="002B2C7A" w:rsidRPr="00124B6E" w:rsidTr="008F60E1">
        <w:trPr>
          <w:trHeight w:val="346"/>
        </w:trPr>
        <w:tc>
          <w:tcPr>
            <w:tcW w:w="4050" w:type="dxa"/>
            <w:shd w:val="clear" w:color="auto" w:fill="auto"/>
            <w:noWrap/>
            <w:vAlign w:val="center"/>
          </w:tcPr>
          <w:p w:rsidR="002B2C7A" w:rsidRPr="00124B6E" w:rsidRDefault="002B2C7A" w:rsidP="002B2C7A">
            <w:pPr>
              <w:jc w:val="left"/>
              <w:rPr>
                <w:rFonts w:cs="Arial"/>
                <w:bCs/>
                <w:color w:val="000000"/>
                <w:sz w:val="19"/>
                <w:szCs w:val="19"/>
              </w:rPr>
            </w:pPr>
            <w:r w:rsidRPr="00124B6E">
              <w:rPr>
                <w:rFonts w:cs="Arial"/>
                <w:bCs/>
                <w:color w:val="000000"/>
                <w:sz w:val="19"/>
                <w:szCs w:val="19"/>
              </w:rPr>
              <w:t>Smart Appliance Recycling</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$6,605,619 </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$1,380,653 </w:t>
            </w:r>
          </w:p>
        </w:tc>
        <w:tc>
          <w:tcPr>
            <w:tcW w:w="1530" w:type="dxa"/>
            <w:tcBorders>
              <w:top w:val="nil"/>
              <w:left w:val="nil"/>
              <w:bottom w:val="single" w:sz="8" w:space="0" w:color="448A99"/>
              <w:right w:val="single" w:sz="8" w:space="0" w:color="448A99"/>
            </w:tcBorders>
            <w:shd w:val="clear" w:color="auto" w:fill="auto"/>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$5,224,966 </w:t>
            </w:r>
          </w:p>
        </w:tc>
        <w:tc>
          <w:tcPr>
            <w:tcW w:w="715"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4.78</w:t>
            </w:r>
          </w:p>
        </w:tc>
      </w:tr>
      <w:tr w:rsidR="00A874AC" w:rsidRPr="00124B6E" w:rsidTr="0016230D">
        <w:trPr>
          <w:trHeight w:val="346"/>
        </w:trPr>
        <w:tc>
          <w:tcPr>
            <w:tcW w:w="4050" w:type="dxa"/>
            <w:shd w:val="clear" w:color="000000" w:fill="D2EAF1"/>
            <w:noWrap/>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Builder Rebates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$432,956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$840,198 </w:t>
            </w:r>
          </w:p>
        </w:tc>
        <w:tc>
          <w:tcPr>
            <w:tcW w:w="1530" w:type="dxa"/>
            <w:tcBorders>
              <w:top w:val="nil"/>
              <w:left w:val="nil"/>
              <w:bottom w:val="single" w:sz="8" w:space="0" w:color="448A99"/>
              <w:right w:val="single" w:sz="8" w:space="0" w:color="448A99"/>
            </w:tcBorders>
            <w:shd w:val="clear" w:color="000000" w:fill="D2EAF1"/>
            <w:vAlign w:val="center"/>
          </w:tcPr>
          <w:p w:rsidR="002B2C7A" w:rsidRPr="00124B6E" w:rsidRDefault="002B2C7A" w:rsidP="002B2C7A">
            <w:pPr>
              <w:jc w:val="center"/>
              <w:rPr>
                <w:rFonts w:cs="Arial"/>
                <w:color w:val="000000"/>
                <w:sz w:val="19"/>
                <w:szCs w:val="19"/>
              </w:rPr>
            </w:pPr>
            <w:r w:rsidRPr="00124B6E">
              <w:rPr>
                <w:rFonts w:cs="Arial"/>
                <w:color w:val="FF0000"/>
                <w:sz w:val="19"/>
                <w:szCs w:val="19"/>
              </w:rPr>
              <w:t>($407,242)</w:t>
            </w:r>
          </w:p>
        </w:tc>
        <w:tc>
          <w:tcPr>
            <w:tcW w:w="715"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0.52</w:t>
            </w:r>
          </w:p>
        </w:tc>
      </w:tr>
      <w:tr w:rsidR="002B2C7A" w:rsidRPr="00124B6E" w:rsidTr="008F60E1">
        <w:trPr>
          <w:trHeight w:val="346"/>
        </w:trPr>
        <w:tc>
          <w:tcPr>
            <w:tcW w:w="4050" w:type="dxa"/>
            <w:shd w:val="clear" w:color="auto" w:fill="auto"/>
            <w:noWrap/>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Energy Saver</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$1,775,349 </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$450,255 </w:t>
            </w:r>
          </w:p>
        </w:tc>
        <w:tc>
          <w:tcPr>
            <w:tcW w:w="1530" w:type="dxa"/>
            <w:tcBorders>
              <w:top w:val="nil"/>
              <w:left w:val="nil"/>
              <w:bottom w:val="single" w:sz="8" w:space="0" w:color="448A99"/>
              <w:right w:val="single" w:sz="8" w:space="0" w:color="448A99"/>
            </w:tcBorders>
            <w:shd w:val="clear" w:color="auto" w:fill="auto"/>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$1,325,094 </w:t>
            </w:r>
          </w:p>
        </w:tc>
        <w:tc>
          <w:tcPr>
            <w:tcW w:w="715"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3.94</w:t>
            </w:r>
          </w:p>
        </w:tc>
      </w:tr>
      <w:tr w:rsidR="00A874AC" w:rsidRPr="00124B6E" w:rsidTr="0016230D">
        <w:trPr>
          <w:trHeight w:val="346"/>
        </w:trPr>
        <w:tc>
          <w:tcPr>
            <w:tcW w:w="4050" w:type="dxa"/>
            <w:shd w:val="clear" w:color="000000" w:fill="D2EAF1"/>
            <w:noWrap/>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Home Rebates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$187,504,780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$74,069,365 </w:t>
            </w:r>
          </w:p>
        </w:tc>
        <w:tc>
          <w:tcPr>
            <w:tcW w:w="1530" w:type="dxa"/>
            <w:tcBorders>
              <w:top w:val="nil"/>
              <w:left w:val="nil"/>
              <w:bottom w:val="single" w:sz="8" w:space="0" w:color="448A99"/>
              <w:right w:val="single" w:sz="8" w:space="0" w:color="448A99"/>
            </w:tcBorders>
            <w:shd w:val="clear" w:color="000000" w:fill="D2EAF1"/>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$113,435,414 </w:t>
            </w:r>
          </w:p>
        </w:tc>
        <w:tc>
          <w:tcPr>
            <w:tcW w:w="715"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2.53</w:t>
            </w:r>
          </w:p>
        </w:tc>
      </w:tr>
      <w:tr w:rsidR="002B2C7A" w:rsidRPr="00124B6E" w:rsidTr="008F60E1">
        <w:trPr>
          <w:trHeight w:val="346"/>
        </w:trPr>
        <w:tc>
          <w:tcPr>
            <w:tcW w:w="4050" w:type="dxa"/>
            <w:shd w:val="clear" w:color="auto" w:fill="auto"/>
            <w:noWrap/>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House Call</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$7,033,639 </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$7,503,388 </w:t>
            </w:r>
          </w:p>
        </w:tc>
        <w:tc>
          <w:tcPr>
            <w:tcW w:w="1530" w:type="dxa"/>
            <w:tcBorders>
              <w:top w:val="nil"/>
              <w:left w:val="nil"/>
              <w:bottom w:val="single" w:sz="8" w:space="0" w:color="448A99"/>
              <w:right w:val="single" w:sz="8" w:space="0" w:color="448A99"/>
            </w:tcBorders>
            <w:shd w:val="clear" w:color="auto" w:fill="auto"/>
            <w:vAlign w:val="center"/>
          </w:tcPr>
          <w:p w:rsidR="002B2C7A" w:rsidRPr="00124B6E" w:rsidRDefault="002B2C7A" w:rsidP="002B2C7A">
            <w:pPr>
              <w:jc w:val="center"/>
              <w:rPr>
                <w:rFonts w:cs="Arial"/>
                <w:color w:val="000000"/>
                <w:sz w:val="19"/>
                <w:szCs w:val="19"/>
              </w:rPr>
            </w:pPr>
            <w:r w:rsidRPr="00124B6E">
              <w:rPr>
                <w:rFonts w:cs="Arial"/>
                <w:color w:val="FF0000"/>
                <w:sz w:val="19"/>
                <w:szCs w:val="19"/>
              </w:rPr>
              <w:t>($469,749)</w:t>
            </w:r>
          </w:p>
        </w:tc>
        <w:tc>
          <w:tcPr>
            <w:tcW w:w="715"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0.94</w:t>
            </w:r>
          </w:p>
        </w:tc>
      </w:tr>
      <w:tr w:rsidR="00A874AC" w:rsidRPr="00124B6E" w:rsidTr="0016230D">
        <w:trPr>
          <w:trHeight w:val="346"/>
        </w:trPr>
        <w:tc>
          <w:tcPr>
            <w:tcW w:w="4050" w:type="dxa"/>
            <w:shd w:val="clear" w:color="000000" w:fill="D2EAF1"/>
            <w:vAlign w:val="center"/>
          </w:tcPr>
          <w:p w:rsidR="002B2C7A" w:rsidRPr="00124B6E" w:rsidRDefault="002B2C7A" w:rsidP="002B2C7A">
            <w:pPr>
              <w:jc w:val="left"/>
              <w:rPr>
                <w:bCs/>
                <w:color w:val="000000"/>
                <w:sz w:val="19"/>
                <w:szCs w:val="19"/>
              </w:rPr>
            </w:pPr>
            <w:r w:rsidRPr="00124B6E">
              <w:rPr>
                <w:rFonts w:cs="Arial"/>
                <w:color w:val="000000"/>
                <w:sz w:val="19"/>
                <w:szCs w:val="19"/>
              </w:rPr>
              <w:t>Smart Multi-Family Solutions (Residential)</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$1,317,267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$787,186 </w:t>
            </w:r>
          </w:p>
        </w:tc>
        <w:tc>
          <w:tcPr>
            <w:tcW w:w="1530" w:type="dxa"/>
            <w:tcBorders>
              <w:top w:val="nil"/>
              <w:left w:val="nil"/>
              <w:bottom w:val="single" w:sz="8" w:space="0" w:color="448A99"/>
              <w:right w:val="single" w:sz="8" w:space="0" w:color="448A99"/>
            </w:tcBorders>
            <w:shd w:val="clear" w:color="000000" w:fill="D2EAF1"/>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$530,082 </w:t>
            </w:r>
          </w:p>
        </w:tc>
        <w:tc>
          <w:tcPr>
            <w:tcW w:w="715"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1.67</w:t>
            </w:r>
          </w:p>
        </w:tc>
      </w:tr>
      <w:tr w:rsidR="002B2C7A" w:rsidRPr="00124B6E" w:rsidTr="008F60E1">
        <w:trPr>
          <w:trHeight w:val="346"/>
        </w:trPr>
        <w:tc>
          <w:tcPr>
            <w:tcW w:w="4050" w:type="dxa"/>
            <w:shd w:val="clear" w:color="auto" w:fill="auto"/>
            <w:vAlign w:val="center"/>
          </w:tcPr>
          <w:p w:rsidR="002B2C7A" w:rsidRPr="00124B6E" w:rsidRDefault="002B2C7A" w:rsidP="002B2C7A">
            <w:pPr>
              <w:jc w:val="left"/>
              <w:rPr>
                <w:color w:val="000000"/>
                <w:sz w:val="19"/>
                <w:szCs w:val="19"/>
              </w:rPr>
            </w:pPr>
            <w:r w:rsidRPr="00124B6E">
              <w:rPr>
                <w:rFonts w:cs="Arial"/>
                <w:bCs/>
                <w:color w:val="000000"/>
                <w:sz w:val="19"/>
                <w:szCs w:val="19"/>
              </w:rPr>
              <w:t>Smart Usage Profile</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$4,143,465 </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$540,399 </w:t>
            </w:r>
          </w:p>
        </w:tc>
        <w:tc>
          <w:tcPr>
            <w:tcW w:w="1530" w:type="dxa"/>
            <w:tcBorders>
              <w:top w:val="nil"/>
              <w:left w:val="nil"/>
              <w:bottom w:val="single" w:sz="8" w:space="0" w:color="448A99"/>
              <w:right w:val="single" w:sz="8" w:space="0" w:color="448A99"/>
            </w:tcBorders>
            <w:shd w:val="clear" w:color="auto" w:fill="auto"/>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$3,603,067 </w:t>
            </w:r>
          </w:p>
        </w:tc>
        <w:tc>
          <w:tcPr>
            <w:tcW w:w="715"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7.67</w:t>
            </w:r>
          </w:p>
        </w:tc>
      </w:tr>
      <w:tr w:rsidR="00A874AC" w:rsidRPr="00124B6E" w:rsidTr="0016230D">
        <w:trPr>
          <w:trHeight w:val="346"/>
        </w:trPr>
        <w:tc>
          <w:tcPr>
            <w:tcW w:w="4050" w:type="dxa"/>
            <w:shd w:val="clear" w:color="000000" w:fill="D2EAF1"/>
            <w:vAlign w:val="center"/>
          </w:tcPr>
          <w:p w:rsidR="002B2C7A" w:rsidRPr="00124B6E" w:rsidRDefault="002B2C7A" w:rsidP="002B2C7A">
            <w:pPr>
              <w:jc w:val="left"/>
              <w:rPr>
                <w:bCs/>
                <w:color w:val="000000"/>
                <w:sz w:val="19"/>
                <w:szCs w:val="19"/>
              </w:rPr>
            </w:pPr>
            <w:r w:rsidRPr="00124B6E">
              <w:rPr>
                <w:rFonts w:cs="Arial"/>
                <w:bCs/>
                <w:color w:val="000000"/>
                <w:sz w:val="19"/>
                <w:szCs w:val="19"/>
              </w:rPr>
              <w:t>Low-Income Energy Efficiency Program</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$12,434,554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$8,088,046 </w:t>
            </w:r>
          </w:p>
        </w:tc>
        <w:tc>
          <w:tcPr>
            <w:tcW w:w="1530" w:type="dxa"/>
            <w:tcBorders>
              <w:top w:val="nil"/>
              <w:left w:val="nil"/>
              <w:bottom w:val="single" w:sz="8" w:space="0" w:color="448A99"/>
              <w:right w:val="single" w:sz="8" w:space="0" w:color="448A99"/>
            </w:tcBorders>
            <w:shd w:val="clear" w:color="000000" w:fill="D2EAF1"/>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$4,346,508 </w:t>
            </w:r>
          </w:p>
        </w:tc>
        <w:tc>
          <w:tcPr>
            <w:tcW w:w="715"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1.54</w:t>
            </w:r>
          </w:p>
        </w:tc>
      </w:tr>
      <w:tr w:rsidR="002B2C7A" w:rsidRPr="00124B6E" w:rsidTr="008F60E1">
        <w:trPr>
          <w:trHeight w:val="346"/>
        </w:trPr>
        <w:tc>
          <w:tcPr>
            <w:tcW w:w="4050" w:type="dxa"/>
            <w:shd w:val="clear" w:color="auto" w:fill="auto"/>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AC Saver (Commercial)</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$210,266 </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$312,936 </w:t>
            </w:r>
          </w:p>
        </w:tc>
        <w:tc>
          <w:tcPr>
            <w:tcW w:w="1530" w:type="dxa"/>
            <w:tcBorders>
              <w:top w:val="nil"/>
              <w:left w:val="nil"/>
              <w:bottom w:val="single" w:sz="8" w:space="0" w:color="448A99"/>
              <w:right w:val="single" w:sz="8" w:space="0" w:color="448A99"/>
            </w:tcBorders>
            <w:shd w:val="clear" w:color="auto" w:fill="auto"/>
            <w:vAlign w:val="center"/>
          </w:tcPr>
          <w:p w:rsidR="002B2C7A" w:rsidRPr="00124B6E" w:rsidRDefault="002B2C7A" w:rsidP="002B2C7A">
            <w:pPr>
              <w:jc w:val="center"/>
              <w:rPr>
                <w:rFonts w:cs="Arial"/>
                <w:color w:val="000000"/>
                <w:sz w:val="19"/>
                <w:szCs w:val="19"/>
              </w:rPr>
            </w:pPr>
            <w:r w:rsidRPr="00124B6E">
              <w:rPr>
                <w:rFonts w:cs="Arial"/>
                <w:color w:val="FF0000"/>
                <w:sz w:val="19"/>
                <w:szCs w:val="19"/>
              </w:rPr>
              <w:t>($102,699)</w:t>
            </w:r>
          </w:p>
        </w:tc>
        <w:tc>
          <w:tcPr>
            <w:tcW w:w="715"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0.67</w:t>
            </w:r>
          </w:p>
        </w:tc>
      </w:tr>
      <w:tr w:rsidR="00A874AC" w:rsidRPr="00124B6E" w:rsidTr="0016230D">
        <w:trPr>
          <w:trHeight w:val="346"/>
        </w:trPr>
        <w:tc>
          <w:tcPr>
            <w:tcW w:w="4050" w:type="dxa"/>
            <w:shd w:val="clear" w:color="000000" w:fill="D2EAF1"/>
            <w:noWrap/>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Business Solutions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$3,409,739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$1,779,019 </w:t>
            </w:r>
          </w:p>
        </w:tc>
        <w:tc>
          <w:tcPr>
            <w:tcW w:w="1530" w:type="dxa"/>
            <w:tcBorders>
              <w:top w:val="nil"/>
              <w:left w:val="nil"/>
              <w:bottom w:val="single" w:sz="8" w:space="0" w:color="448A99"/>
              <w:right w:val="single" w:sz="8" w:space="0" w:color="448A99"/>
            </w:tcBorders>
            <w:shd w:val="clear" w:color="000000" w:fill="D2EAF1"/>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$1,630,720 </w:t>
            </w:r>
          </w:p>
        </w:tc>
        <w:tc>
          <w:tcPr>
            <w:tcW w:w="715"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1.92</w:t>
            </w:r>
          </w:p>
        </w:tc>
      </w:tr>
      <w:tr w:rsidR="002B2C7A" w:rsidRPr="00124B6E" w:rsidTr="008F60E1">
        <w:trPr>
          <w:trHeight w:val="346"/>
        </w:trPr>
        <w:tc>
          <w:tcPr>
            <w:tcW w:w="4050" w:type="dxa"/>
            <w:shd w:val="clear" w:color="auto" w:fill="auto"/>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Equipment Incentives (C/I)</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$94,325,461 </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$34,165,074 </w:t>
            </w:r>
          </w:p>
        </w:tc>
        <w:tc>
          <w:tcPr>
            <w:tcW w:w="1530" w:type="dxa"/>
            <w:tcBorders>
              <w:top w:val="nil"/>
              <w:left w:val="nil"/>
              <w:bottom w:val="single" w:sz="8" w:space="0" w:color="448A99"/>
              <w:right w:val="single" w:sz="8" w:space="0" w:color="448A99"/>
            </w:tcBorders>
            <w:shd w:val="clear" w:color="auto" w:fill="auto"/>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$60,160,387 </w:t>
            </w:r>
          </w:p>
        </w:tc>
        <w:tc>
          <w:tcPr>
            <w:tcW w:w="715"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2.76</w:t>
            </w:r>
          </w:p>
        </w:tc>
      </w:tr>
      <w:tr w:rsidR="00A874AC" w:rsidRPr="00124B6E" w:rsidTr="0016230D">
        <w:trPr>
          <w:trHeight w:val="346"/>
        </w:trPr>
        <w:tc>
          <w:tcPr>
            <w:tcW w:w="4050" w:type="dxa"/>
            <w:shd w:val="clear" w:color="000000" w:fill="D2EAF1"/>
            <w:noWrap/>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Construction Incentives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$18,311,993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$13,316,100 </w:t>
            </w:r>
          </w:p>
        </w:tc>
        <w:tc>
          <w:tcPr>
            <w:tcW w:w="1530" w:type="dxa"/>
            <w:tcBorders>
              <w:top w:val="nil"/>
              <w:left w:val="nil"/>
              <w:bottom w:val="single" w:sz="8" w:space="0" w:color="448A99"/>
              <w:right w:val="single" w:sz="8" w:space="0" w:color="448A99"/>
            </w:tcBorders>
            <w:shd w:val="clear" w:color="000000" w:fill="D2EAF1"/>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$4,995,893 </w:t>
            </w:r>
          </w:p>
        </w:tc>
        <w:tc>
          <w:tcPr>
            <w:tcW w:w="715"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1.38</w:t>
            </w:r>
          </w:p>
        </w:tc>
      </w:tr>
      <w:tr w:rsidR="002B2C7A" w:rsidRPr="00124B6E" w:rsidTr="008F60E1">
        <w:trPr>
          <w:trHeight w:val="346"/>
        </w:trPr>
        <w:tc>
          <w:tcPr>
            <w:tcW w:w="4050" w:type="dxa"/>
            <w:shd w:val="clear" w:color="auto" w:fill="auto"/>
            <w:noWrap/>
            <w:vAlign w:val="center"/>
          </w:tcPr>
          <w:p w:rsidR="002B2C7A" w:rsidRPr="00124B6E" w:rsidRDefault="002B2C7A" w:rsidP="002B2C7A">
            <w:pPr>
              <w:jc w:val="left"/>
              <w:rPr>
                <w:bCs/>
                <w:color w:val="000000"/>
                <w:sz w:val="19"/>
                <w:szCs w:val="19"/>
              </w:rPr>
            </w:pPr>
            <w:r w:rsidRPr="00124B6E">
              <w:rPr>
                <w:rFonts w:cs="Arial"/>
                <w:bCs/>
                <w:color w:val="000000"/>
                <w:sz w:val="19"/>
                <w:szCs w:val="19"/>
              </w:rPr>
              <w:t>Smart Multi-Family Solutions (Nonresidential)</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$1,381,862 </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$794,257 </w:t>
            </w:r>
          </w:p>
        </w:tc>
        <w:tc>
          <w:tcPr>
            <w:tcW w:w="1530" w:type="dxa"/>
            <w:tcBorders>
              <w:top w:val="nil"/>
              <w:left w:val="nil"/>
              <w:bottom w:val="single" w:sz="8" w:space="0" w:color="448A99"/>
              <w:right w:val="single" w:sz="8" w:space="0" w:color="448A99"/>
            </w:tcBorders>
            <w:shd w:val="clear" w:color="auto" w:fill="auto"/>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$587,604 </w:t>
            </w:r>
          </w:p>
        </w:tc>
        <w:tc>
          <w:tcPr>
            <w:tcW w:w="715"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1.74</w:t>
            </w:r>
          </w:p>
        </w:tc>
      </w:tr>
      <w:tr w:rsidR="00A874AC" w:rsidRPr="00124B6E" w:rsidTr="0016230D">
        <w:trPr>
          <w:trHeight w:val="346"/>
        </w:trPr>
        <w:tc>
          <w:tcPr>
            <w:tcW w:w="4050" w:type="dxa"/>
            <w:tcBorders>
              <w:bottom w:val="single" w:sz="4" w:space="0" w:color="448A99"/>
            </w:tcBorders>
            <w:shd w:val="clear" w:color="000000" w:fill="D2EAF1"/>
            <w:noWrap/>
            <w:vAlign w:val="center"/>
          </w:tcPr>
          <w:p w:rsidR="002B2C7A" w:rsidRPr="00124B6E" w:rsidRDefault="002B2C7A" w:rsidP="002B2C7A">
            <w:pPr>
              <w:jc w:val="left"/>
              <w:rPr>
                <w:b/>
                <w:bCs/>
                <w:iCs/>
                <w:color w:val="000000"/>
                <w:sz w:val="19"/>
                <w:szCs w:val="19"/>
              </w:rPr>
            </w:pPr>
            <w:r w:rsidRPr="00124B6E">
              <w:rPr>
                <w:rFonts w:cs="Arial"/>
                <w:bCs/>
                <w:iCs/>
                <w:color w:val="000000"/>
                <w:sz w:val="19"/>
                <w:szCs w:val="19"/>
              </w:rPr>
              <w:t>Smart On-Site</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$22,861,343</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$30,570,834</w:t>
            </w:r>
          </w:p>
        </w:tc>
        <w:tc>
          <w:tcPr>
            <w:tcW w:w="1530" w:type="dxa"/>
            <w:tcBorders>
              <w:top w:val="nil"/>
              <w:left w:val="nil"/>
              <w:bottom w:val="single" w:sz="8" w:space="0" w:color="448A99"/>
              <w:right w:val="single" w:sz="8" w:space="0" w:color="448A99"/>
            </w:tcBorders>
            <w:shd w:val="clear" w:color="000000" w:fill="D2EAF1"/>
            <w:vAlign w:val="center"/>
          </w:tcPr>
          <w:p w:rsidR="002B2C7A" w:rsidRPr="00124B6E" w:rsidRDefault="002B2C7A" w:rsidP="002B2C7A">
            <w:pPr>
              <w:jc w:val="center"/>
              <w:rPr>
                <w:rFonts w:cs="Arial"/>
                <w:color w:val="000000"/>
                <w:sz w:val="19"/>
                <w:szCs w:val="19"/>
              </w:rPr>
            </w:pPr>
            <w:r w:rsidRPr="00124B6E">
              <w:rPr>
                <w:rFonts w:cs="Arial"/>
                <w:color w:val="FF0000"/>
                <w:sz w:val="19"/>
                <w:szCs w:val="19"/>
              </w:rPr>
              <w:t>($7,709,491)</w:t>
            </w:r>
          </w:p>
        </w:tc>
        <w:tc>
          <w:tcPr>
            <w:tcW w:w="715"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0.75</w:t>
            </w:r>
          </w:p>
        </w:tc>
      </w:tr>
      <w:tr w:rsidR="002B2C7A" w:rsidRPr="00124B6E" w:rsidTr="008F60E1">
        <w:trPr>
          <w:trHeight w:val="346"/>
        </w:trPr>
        <w:tc>
          <w:tcPr>
            <w:tcW w:w="4050" w:type="dxa"/>
            <w:tcBorders>
              <w:bottom w:val="single" w:sz="4" w:space="0" w:color="448A99"/>
            </w:tcBorders>
            <w:shd w:val="clear" w:color="auto" w:fill="auto"/>
            <w:noWrap/>
            <w:vAlign w:val="center"/>
          </w:tcPr>
          <w:p w:rsidR="002B2C7A" w:rsidRPr="00124B6E" w:rsidRDefault="002B2C7A" w:rsidP="002B2C7A">
            <w:pPr>
              <w:jc w:val="left"/>
              <w:rPr>
                <w:b/>
                <w:bCs/>
                <w:iCs/>
                <w:color w:val="000000"/>
                <w:sz w:val="19"/>
                <w:szCs w:val="19"/>
              </w:rPr>
            </w:pPr>
            <w:r w:rsidRPr="00124B6E">
              <w:rPr>
                <w:rFonts w:cs="Arial"/>
                <w:bCs/>
                <w:iCs/>
                <w:color w:val="000000"/>
                <w:sz w:val="19"/>
                <w:szCs w:val="19"/>
              </w:rPr>
              <w:t>Smart Equipment Incentives (GNI)</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$69,659,041 </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$26,963,995 </w:t>
            </w:r>
          </w:p>
        </w:tc>
        <w:tc>
          <w:tcPr>
            <w:tcW w:w="1530" w:type="dxa"/>
            <w:tcBorders>
              <w:top w:val="nil"/>
              <w:left w:val="nil"/>
              <w:bottom w:val="single" w:sz="8" w:space="0" w:color="448A99"/>
              <w:right w:val="single" w:sz="8" w:space="0" w:color="448A99"/>
            </w:tcBorders>
            <w:shd w:val="clear" w:color="auto" w:fill="auto"/>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 xml:space="preserve">$42,695,045 </w:t>
            </w:r>
          </w:p>
        </w:tc>
        <w:tc>
          <w:tcPr>
            <w:tcW w:w="715"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color w:val="000000"/>
                <w:sz w:val="19"/>
                <w:szCs w:val="19"/>
              </w:rPr>
            </w:pPr>
            <w:r w:rsidRPr="00124B6E">
              <w:rPr>
                <w:rFonts w:cs="Arial"/>
                <w:color w:val="000000"/>
                <w:sz w:val="19"/>
                <w:szCs w:val="19"/>
              </w:rPr>
              <w:t>2.58</w:t>
            </w:r>
          </w:p>
        </w:tc>
      </w:tr>
      <w:tr w:rsidR="00A874AC" w:rsidRPr="00124B6E" w:rsidTr="0016230D">
        <w:trPr>
          <w:trHeight w:val="346"/>
        </w:trPr>
        <w:tc>
          <w:tcPr>
            <w:tcW w:w="4050" w:type="dxa"/>
            <w:shd w:val="clear" w:color="auto" w:fill="D2EAF1"/>
            <w:noWrap/>
            <w:vAlign w:val="center"/>
          </w:tcPr>
          <w:p w:rsidR="002B2C7A" w:rsidRPr="00124B6E" w:rsidRDefault="002B2C7A" w:rsidP="002B2C7A">
            <w:pPr>
              <w:jc w:val="left"/>
              <w:rPr>
                <w:b/>
                <w:bCs/>
                <w:i/>
                <w:iCs/>
                <w:color w:val="000000"/>
                <w:sz w:val="19"/>
                <w:szCs w:val="19"/>
              </w:rPr>
            </w:pPr>
            <w:r w:rsidRPr="00124B6E">
              <w:rPr>
                <w:rFonts w:cs="Arial"/>
                <w:bCs/>
                <w:i/>
                <w:color w:val="000000"/>
                <w:sz w:val="19"/>
                <w:szCs w:val="19"/>
              </w:rPr>
              <w:t>Common Costs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i/>
                <w:iCs/>
                <w:color w:val="000000"/>
                <w:sz w:val="19"/>
                <w:szCs w:val="19"/>
              </w:rPr>
            </w:pPr>
            <w:r w:rsidRPr="00124B6E">
              <w:rPr>
                <w:rFonts w:cs="Arial"/>
                <w:i/>
                <w:iCs/>
                <w:color w:val="000000"/>
                <w:sz w:val="19"/>
                <w:szCs w:val="19"/>
              </w:rPr>
              <w:t>-</w:t>
            </w:r>
          </w:p>
        </w:tc>
        <w:tc>
          <w:tcPr>
            <w:tcW w:w="1530"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i/>
                <w:iCs/>
                <w:color w:val="000000"/>
                <w:sz w:val="19"/>
                <w:szCs w:val="19"/>
              </w:rPr>
            </w:pPr>
            <w:r w:rsidRPr="00124B6E">
              <w:rPr>
                <w:rFonts w:cs="Arial"/>
                <w:i/>
                <w:iCs/>
                <w:color w:val="000000"/>
                <w:sz w:val="19"/>
                <w:szCs w:val="19"/>
              </w:rPr>
              <w:t xml:space="preserve">$11,027,484 </w:t>
            </w:r>
          </w:p>
        </w:tc>
        <w:tc>
          <w:tcPr>
            <w:tcW w:w="1530" w:type="dxa"/>
            <w:tcBorders>
              <w:top w:val="nil"/>
              <w:left w:val="nil"/>
              <w:bottom w:val="single" w:sz="8" w:space="0" w:color="448A99"/>
              <w:right w:val="single" w:sz="8" w:space="0" w:color="448A99"/>
            </w:tcBorders>
            <w:shd w:val="clear" w:color="000000" w:fill="D2EAF1"/>
            <w:vAlign w:val="center"/>
          </w:tcPr>
          <w:p w:rsidR="002B2C7A" w:rsidRPr="00124B6E" w:rsidRDefault="002B2C7A" w:rsidP="002B2C7A">
            <w:pPr>
              <w:jc w:val="center"/>
              <w:rPr>
                <w:rFonts w:cs="Arial"/>
                <w:i/>
                <w:iCs/>
                <w:color w:val="000000"/>
                <w:sz w:val="19"/>
                <w:szCs w:val="19"/>
              </w:rPr>
            </w:pPr>
            <w:r w:rsidRPr="00124B6E">
              <w:rPr>
                <w:rFonts w:cs="Arial"/>
                <w:i/>
                <w:iCs/>
                <w:color w:val="000000"/>
                <w:sz w:val="19"/>
                <w:szCs w:val="19"/>
              </w:rPr>
              <w:t>-</w:t>
            </w:r>
          </w:p>
        </w:tc>
        <w:tc>
          <w:tcPr>
            <w:tcW w:w="715" w:type="dxa"/>
            <w:tcBorders>
              <w:top w:val="nil"/>
              <w:left w:val="nil"/>
              <w:bottom w:val="single" w:sz="8" w:space="0" w:color="448A99"/>
              <w:right w:val="single" w:sz="8" w:space="0" w:color="448A99"/>
            </w:tcBorders>
            <w:shd w:val="clear" w:color="000000" w:fill="D2EAF1"/>
            <w:noWrap/>
            <w:vAlign w:val="center"/>
          </w:tcPr>
          <w:p w:rsidR="002B2C7A" w:rsidRPr="00124B6E" w:rsidRDefault="002B2C7A" w:rsidP="002B2C7A">
            <w:pPr>
              <w:jc w:val="center"/>
              <w:rPr>
                <w:rFonts w:cs="Arial"/>
                <w:i/>
                <w:iCs/>
                <w:color w:val="000000"/>
                <w:sz w:val="19"/>
                <w:szCs w:val="19"/>
              </w:rPr>
            </w:pPr>
            <w:r w:rsidRPr="00124B6E">
              <w:rPr>
                <w:rFonts w:cs="Arial"/>
                <w:i/>
                <w:iCs/>
                <w:color w:val="000000"/>
                <w:sz w:val="19"/>
                <w:szCs w:val="19"/>
              </w:rPr>
              <w:t>-</w:t>
            </w:r>
          </w:p>
        </w:tc>
      </w:tr>
      <w:tr w:rsidR="002B2C7A" w:rsidRPr="00124B6E" w:rsidTr="008F60E1">
        <w:trPr>
          <w:trHeight w:val="346"/>
        </w:trPr>
        <w:tc>
          <w:tcPr>
            <w:tcW w:w="4050" w:type="dxa"/>
            <w:shd w:val="clear" w:color="auto" w:fill="auto"/>
            <w:noWrap/>
            <w:vAlign w:val="center"/>
          </w:tcPr>
          <w:p w:rsidR="002B2C7A" w:rsidRPr="00124B6E" w:rsidRDefault="002B2C7A" w:rsidP="002B2C7A">
            <w:pPr>
              <w:jc w:val="left"/>
              <w:rPr>
                <w:b/>
                <w:bCs/>
                <w:iCs/>
                <w:color w:val="000000"/>
                <w:sz w:val="19"/>
                <w:szCs w:val="19"/>
              </w:rPr>
            </w:pPr>
            <w:r w:rsidRPr="00124B6E">
              <w:rPr>
                <w:rFonts w:cs="Arial"/>
                <w:b/>
                <w:bCs/>
                <w:iCs/>
                <w:color w:val="000000"/>
                <w:sz w:val="19"/>
                <w:szCs w:val="19"/>
              </w:rPr>
              <w:t>Total Portfolio</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b/>
                <w:bCs/>
                <w:color w:val="000000"/>
                <w:sz w:val="19"/>
                <w:szCs w:val="19"/>
              </w:rPr>
            </w:pPr>
            <w:r w:rsidRPr="00124B6E">
              <w:rPr>
                <w:rFonts w:cs="Arial"/>
                <w:b/>
                <w:bCs/>
                <w:color w:val="000000"/>
                <w:sz w:val="19"/>
                <w:szCs w:val="19"/>
              </w:rPr>
              <w:t xml:space="preserve">$466,838,072 </w:t>
            </w:r>
          </w:p>
        </w:tc>
        <w:tc>
          <w:tcPr>
            <w:tcW w:w="1530"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b/>
                <w:bCs/>
                <w:color w:val="000000"/>
                <w:sz w:val="19"/>
                <w:szCs w:val="19"/>
              </w:rPr>
            </w:pPr>
            <w:r w:rsidRPr="00124B6E">
              <w:rPr>
                <w:rFonts w:cs="Arial"/>
                <w:b/>
                <w:bCs/>
                <w:color w:val="000000"/>
                <w:sz w:val="19"/>
                <w:szCs w:val="19"/>
              </w:rPr>
              <w:t xml:space="preserve">$219,342,927 </w:t>
            </w:r>
          </w:p>
        </w:tc>
        <w:tc>
          <w:tcPr>
            <w:tcW w:w="1530" w:type="dxa"/>
            <w:tcBorders>
              <w:top w:val="nil"/>
              <w:left w:val="nil"/>
              <w:bottom w:val="single" w:sz="8" w:space="0" w:color="448A99"/>
              <w:right w:val="single" w:sz="8" w:space="0" w:color="448A99"/>
            </w:tcBorders>
            <w:shd w:val="clear" w:color="auto" w:fill="auto"/>
            <w:vAlign w:val="center"/>
          </w:tcPr>
          <w:p w:rsidR="002B2C7A" w:rsidRPr="00124B6E" w:rsidRDefault="002B2C7A" w:rsidP="002B2C7A">
            <w:pPr>
              <w:jc w:val="center"/>
              <w:rPr>
                <w:rFonts w:cs="Arial"/>
                <w:b/>
                <w:bCs/>
                <w:color w:val="000000"/>
                <w:sz w:val="19"/>
                <w:szCs w:val="19"/>
              </w:rPr>
            </w:pPr>
            <w:r w:rsidRPr="00124B6E">
              <w:rPr>
                <w:rFonts w:cs="Arial"/>
                <w:b/>
                <w:bCs/>
                <w:color w:val="000000"/>
                <w:sz w:val="19"/>
                <w:szCs w:val="19"/>
              </w:rPr>
              <w:t xml:space="preserve">$227,495,145 </w:t>
            </w:r>
          </w:p>
        </w:tc>
        <w:tc>
          <w:tcPr>
            <w:tcW w:w="715" w:type="dxa"/>
            <w:tcBorders>
              <w:top w:val="nil"/>
              <w:left w:val="nil"/>
              <w:bottom w:val="single" w:sz="8" w:space="0" w:color="448A99"/>
              <w:right w:val="single" w:sz="8" w:space="0" w:color="448A99"/>
            </w:tcBorders>
            <w:shd w:val="clear" w:color="auto" w:fill="auto"/>
            <w:noWrap/>
            <w:vAlign w:val="center"/>
          </w:tcPr>
          <w:p w:rsidR="002B2C7A" w:rsidRPr="00124B6E" w:rsidRDefault="002B2C7A" w:rsidP="002B2C7A">
            <w:pPr>
              <w:jc w:val="center"/>
              <w:rPr>
                <w:rFonts w:cs="Arial"/>
                <w:b/>
                <w:bCs/>
                <w:color w:val="000000"/>
                <w:sz w:val="19"/>
                <w:szCs w:val="19"/>
              </w:rPr>
            </w:pPr>
            <w:r w:rsidRPr="00124B6E">
              <w:rPr>
                <w:rFonts w:cs="Arial"/>
                <w:b/>
                <w:bCs/>
                <w:color w:val="000000"/>
                <w:sz w:val="19"/>
                <w:szCs w:val="19"/>
              </w:rPr>
              <w:t>2.04</w:t>
            </w:r>
          </w:p>
        </w:tc>
      </w:tr>
    </w:tbl>
    <w:p w:rsidR="00756E99" w:rsidRDefault="00756E99" w:rsidP="00EE3086">
      <w:pPr>
        <w:spacing w:after="120"/>
      </w:pPr>
      <w:r w:rsidRPr="00D13221">
        <w:t xml:space="preserve">In summary, 12 of the 16 programs offered </w:t>
      </w:r>
      <w:r>
        <w:t xml:space="preserve">were found to be cost-effective and </w:t>
      </w:r>
      <w:r w:rsidR="00905D02">
        <w:t>4</w:t>
      </w:r>
      <w:r w:rsidRPr="00D13221">
        <w:t xml:space="preserve"> were </w:t>
      </w:r>
      <w:r>
        <w:t>found to be non-cost-effective in PY7</w:t>
      </w:r>
      <w:r w:rsidRPr="00D13221">
        <w:t xml:space="preserve">. </w:t>
      </w:r>
      <w:r>
        <w:t xml:space="preserve">IN PY7, all programs that were cost-effective in PY6 remained cost-effective.  Similarly, all programs that were not cost-effective or had no participation in PY6 were not cost-effective in PY7. The breakout of cost-effective and </w:t>
      </w:r>
      <w:r w:rsidRPr="00D13221">
        <w:t>non-cost-effective</w:t>
      </w:r>
      <w:r>
        <w:t xml:space="preserve"> programs</w:t>
      </w:r>
      <w:r w:rsidRPr="00D13221">
        <w:t xml:space="preserve"> is shown below</w:t>
      </w:r>
      <w:r w:rsidRPr="00E65C44">
        <w:t>.</w:t>
      </w:r>
    </w:p>
    <w:p w:rsidR="00756E99" w:rsidRPr="00124B6E" w:rsidRDefault="00124B6E" w:rsidP="00756E99">
      <w:pPr>
        <w:rPr>
          <w:rFonts w:ascii="Century Gothic" w:hAnsi="Century Gothic"/>
          <w:b/>
          <w:color w:val="404040" w:themeColor="text1" w:themeTint="BF"/>
          <w:spacing w:val="-12"/>
        </w:rPr>
      </w:pPr>
      <w:r w:rsidRPr="00124B6E">
        <w:rPr>
          <w:rFonts w:ascii="Century Gothic" w:hAnsi="Century Gothic"/>
          <w:b/>
          <w:color w:val="404040" w:themeColor="text1" w:themeTint="BF"/>
          <w:spacing w:val="-12"/>
        </w:rPr>
        <w:t>COST-EFFECTIVE PROGRAMS</w:t>
      </w:r>
    </w:p>
    <w:p w:rsidR="00756E99" w:rsidRPr="00023F25" w:rsidRDefault="00756E99" w:rsidP="00756E99">
      <w:pPr>
        <w:spacing w:after="60"/>
        <w:rPr>
          <w:b/>
          <w:color w:val="448A99"/>
        </w:rPr>
      </w:pPr>
      <w:r w:rsidRPr="00023F25">
        <w:rPr>
          <w:b/>
          <w:color w:val="448A99"/>
        </w:rPr>
        <w:t>(TRC Ratio &gt; 1.0)</w:t>
      </w:r>
    </w:p>
    <w:p w:rsidR="00124B6E" w:rsidRDefault="00124B6E" w:rsidP="00E646C9">
      <w:pPr>
        <w:numPr>
          <w:ilvl w:val="0"/>
          <w:numId w:val="86"/>
        </w:numPr>
        <w:ind w:left="360"/>
        <w:rPr>
          <w:i/>
        </w:rPr>
        <w:sectPr w:rsidR="00124B6E" w:rsidSect="008B741E">
          <w:headerReference w:type="default" r:id="rId160"/>
          <w:footerReference w:type="default" r:id="rId161"/>
          <w:headerReference w:type="first" r:id="rId162"/>
          <w:footerReference w:type="first" r:id="rId163"/>
          <w:pgSz w:w="12240" w:h="15840"/>
          <w:pgMar w:top="1440" w:right="1440" w:bottom="1440" w:left="1440" w:header="720" w:footer="288" w:gutter="0"/>
          <w:cols w:space="720"/>
          <w:titlePg/>
          <w:docGrid w:linePitch="360"/>
        </w:sectPr>
      </w:pPr>
    </w:p>
    <w:p w:rsidR="00756E99" w:rsidRPr="00023F25" w:rsidRDefault="00756E99" w:rsidP="00E646C9">
      <w:pPr>
        <w:numPr>
          <w:ilvl w:val="0"/>
          <w:numId w:val="86"/>
        </w:numPr>
        <w:ind w:left="360"/>
        <w:rPr>
          <w:i/>
        </w:rPr>
      </w:pPr>
      <w:r w:rsidRPr="00023F25">
        <w:rPr>
          <w:i/>
        </w:rPr>
        <w:t>Smart AC Saver (Residential)</w:t>
      </w:r>
    </w:p>
    <w:p w:rsidR="00756E99" w:rsidRPr="00023F25" w:rsidRDefault="00756E99" w:rsidP="00E646C9">
      <w:pPr>
        <w:numPr>
          <w:ilvl w:val="0"/>
          <w:numId w:val="86"/>
        </w:numPr>
        <w:ind w:left="360"/>
        <w:rPr>
          <w:i/>
        </w:rPr>
      </w:pPr>
      <w:r w:rsidRPr="00023F25">
        <w:rPr>
          <w:i/>
        </w:rPr>
        <w:t>Lo</w:t>
      </w:r>
      <w:r>
        <w:rPr>
          <w:i/>
        </w:rPr>
        <w:t>w</w:t>
      </w:r>
      <w:r w:rsidRPr="00023F25">
        <w:rPr>
          <w:i/>
        </w:rPr>
        <w:t>-Income Energy Efficiency Program</w:t>
      </w:r>
    </w:p>
    <w:p w:rsidR="00756E99" w:rsidRPr="00023F25" w:rsidRDefault="00756E99" w:rsidP="00E646C9">
      <w:pPr>
        <w:numPr>
          <w:ilvl w:val="0"/>
          <w:numId w:val="86"/>
        </w:numPr>
        <w:ind w:left="360"/>
        <w:rPr>
          <w:i/>
        </w:rPr>
      </w:pPr>
      <w:r w:rsidRPr="00023F25">
        <w:rPr>
          <w:i/>
        </w:rPr>
        <w:t>Smart Appliance Recycling</w:t>
      </w:r>
    </w:p>
    <w:p w:rsidR="00756E99" w:rsidRPr="00023F25" w:rsidRDefault="00756E99" w:rsidP="00E646C9">
      <w:pPr>
        <w:numPr>
          <w:ilvl w:val="0"/>
          <w:numId w:val="86"/>
        </w:numPr>
        <w:ind w:left="360"/>
        <w:rPr>
          <w:i/>
        </w:rPr>
      </w:pPr>
      <w:r w:rsidRPr="00023F25">
        <w:rPr>
          <w:i/>
        </w:rPr>
        <w:t>Smart Home Rebates</w:t>
      </w:r>
    </w:p>
    <w:p w:rsidR="00756E99" w:rsidRPr="00023F25" w:rsidRDefault="00756E99" w:rsidP="00E646C9">
      <w:pPr>
        <w:numPr>
          <w:ilvl w:val="0"/>
          <w:numId w:val="86"/>
        </w:numPr>
        <w:ind w:left="360"/>
        <w:rPr>
          <w:i/>
        </w:rPr>
      </w:pPr>
      <w:r w:rsidRPr="00023F25">
        <w:rPr>
          <w:i/>
        </w:rPr>
        <w:t>Smart Energy Saver</w:t>
      </w:r>
    </w:p>
    <w:p w:rsidR="00756E99" w:rsidRDefault="00756E99" w:rsidP="00E646C9">
      <w:pPr>
        <w:numPr>
          <w:ilvl w:val="0"/>
          <w:numId w:val="86"/>
        </w:numPr>
        <w:ind w:left="360"/>
        <w:rPr>
          <w:i/>
        </w:rPr>
      </w:pPr>
      <w:r w:rsidRPr="00023F25">
        <w:rPr>
          <w:i/>
        </w:rPr>
        <w:t>Smart Multi-Family Solutions (Residential)</w:t>
      </w:r>
    </w:p>
    <w:p w:rsidR="00756E99" w:rsidRPr="00023F25" w:rsidRDefault="00756E99" w:rsidP="00E646C9">
      <w:pPr>
        <w:numPr>
          <w:ilvl w:val="0"/>
          <w:numId w:val="86"/>
        </w:numPr>
        <w:ind w:left="360"/>
        <w:rPr>
          <w:i/>
        </w:rPr>
      </w:pPr>
      <w:r>
        <w:rPr>
          <w:i/>
        </w:rPr>
        <w:t>Smart Usage Profile</w:t>
      </w:r>
    </w:p>
    <w:p w:rsidR="00756E99" w:rsidRPr="00023F25" w:rsidRDefault="00756E99" w:rsidP="00E646C9">
      <w:pPr>
        <w:numPr>
          <w:ilvl w:val="0"/>
          <w:numId w:val="86"/>
        </w:numPr>
        <w:ind w:left="360"/>
        <w:rPr>
          <w:i/>
        </w:rPr>
      </w:pPr>
      <w:r w:rsidRPr="00023F25">
        <w:rPr>
          <w:i/>
        </w:rPr>
        <w:t>Smart Business Solutions</w:t>
      </w:r>
    </w:p>
    <w:p w:rsidR="00756E99" w:rsidRPr="00023F25" w:rsidRDefault="00756E99" w:rsidP="00E646C9">
      <w:pPr>
        <w:numPr>
          <w:ilvl w:val="0"/>
          <w:numId w:val="86"/>
        </w:numPr>
        <w:ind w:left="360"/>
        <w:rPr>
          <w:i/>
        </w:rPr>
      </w:pPr>
      <w:r w:rsidRPr="00023F25">
        <w:rPr>
          <w:i/>
        </w:rPr>
        <w:t>Smart Equipment Incentives (C/I)</w:t>
      </w:r>
    </w:p>
    <w:p w:rsidR="00756E99" w:rsidRPr="00023F25" w:rsidRDefault="00756E99" w:rsidP="00E646C9">
      <w:pPr>
        <w:numPr>
          <w:ilvl w:val="0"/>
          <w:numId w:val="86"/>
        </w:numPr>
        <w:ind w:left="360"/>
        <w:rPr>
          <w:i/>
        </w:rPr>
      </w:pPr>
      <w:r w:rsidRPr="00023F25">
        <w:rPr>
          <w:i/>
        </w:rPr>
        <w:t>Smart Construction Incentives</w:t>
      </w:r>
    </w:p>
    <w:p w:rsidR="00756E99" w:rsidRPr="00023F25" w:rsidRDefault="00756E99" w:rsidP="00E646C9">
      <w:pPr>
        <w:numPr>
          <w:ilvl w:val="0"/>
          <w:numId w:val="86"/>
        </w:numPr>
        <w:ind w:left="360"/>
        <w:rPr>
          <w:i/>
        </w:rPr>
      </w:pPr>
      <w:r w:rsidRPr="00023F25">
        <w:rPr>
          <w:i/>
        </w:rPr>
        <w:t>Smart Multi-Family Solutions (Non-Residential)</w:t>
      </w:r>
    </w:p>
    <w:p w:rsidR="00124B6E" w:rsidRDefault="00756E99" w:rsidP="00E646C9">
      <w:pPr>
        <w:numPr>
          <w:ilvl w:val="0"/>
          <w:numId w:val="86"/>
        </w:numPr>
        <w:ind w:left="360"/>
        <w:rPr>
          <w:i/>
        </w:rPr>
        <w:sectPr w:rsidR="00124B6E" w:rsidSect="00124B6E">
          <w:type w:val="continuous"/>
          <w:pgSz w:w="12240" w:h="15840"/>
          <w:pgMar w:top="1440" w:right="1440" w:bottom="1440" w:left="1440" w:header="720" w:footer="288" w:gutter="0"/>
          <w:cols w:num="2" w:space="180"/>
          <w:titlePg/>
          <w:docGrid w:linePitch="360"/>
        </w:sectPr>
      </w:pPr>
      <w:r w:rsidRPr="00023F25">
        <w:rPr>
          <w:i/>
        </w:rPr>
        <w:t>Smart Equipment Incentives (GNI)</w:t>
      </w:r>
    </w:p>
    <w:p w:rsidR="00756E99" w:rsidRPr="00023F25" w:rsidRDefault="00756E99" w:rsidP="00756E99"/>
    <w:p w:rsidR="00756E99" w:rsidRPr="00124B6E" w:rsidRDefault="00124B6E" w:rsidP="00756E99">
      <w:pPr>
        <w:rPr>
          <w:rFonts w:ascii="Century Gothic" w:hAnsi="Century Gothic"/>
          <w:b/>
          <w:color w:val="404040" w:themeColor="text1" w:themeTint="BF"/>
          <w:spacing w:val="-12"/>
        </w:rPr>
      </w:pPr>
      <w:r w:rsidRPr="00124B6E">
        <w:rPr>
          <w:rFonts w:ascii="Century Gothic" w:hAnsi="Century Gothic"/>
          <w:b/>
          <w:color w:val="404040" w:themeColor="text1" w:themeTint="BF"/>
          <w:spacing w:val="-12"/>
        </w:rPr>
        <w:t>NON-COST-EFFECTIVE PROGRAMS</w:t>
      </w:r>
    </w:p>
    <w:p w:rsidR="00756E99" w:rsidRPr="00023F25" w:rsidRDefault="00756E99" w:rsidP="00756E99">
      <w:pPr>
        <w:spacing w:after="60"/>
        <w:jc w:val="left"/>
        <w:rPr>
          <w:b/>
          <w:color w:val="448A99"/>
        </w:rPr>
      </w:pPr>
      <w:r w:rsidRPr="00023F25">
        <w:rPr>
          <w:b/>
          <w:color w:val="448A99"/>
        </w:rPr>
        <w:t>(TRC Ratio &lt; 1.0)</w:t>
      </w:r>
    </w:p>
    <w:p w:rsidR="00124B6E" w:rsidRDefault="00124B6E" w:rsidP="00E646C9">
      <w:pPr>
        <w:numPr>
          <w:ilvl w:val="0"/>
          <w:numId w:val="86"/>
        </w:numPr>
        <w:ind w:left="360"/>
        <w:jc w:val="left"/>
        <w:rPr>
          <w:i/>
        </w:rPr>
        <w:sectPr w:rsidR="00124B6E" w:rsidSect="00124B6E">
          <w:type w:val="continuous"/>
          <w:pgSz w:w="12240" w:h="15840"/>
          <w:pgMar w:top="1440" w:right="1440" w:bottom="1440" w:left="1440" w:header="720" w:footer="288" w:gutter="0"/>
          <w:cols w:space="720"/>
          <w:titlePg/>
          <w:docGrid w:linePitch="360"/>
        </w:sectPr>
      </w:pPr>
    </w:p>
    <w:p w:rsidR="00756E99" w:rsidRPr="00023F25" w:rsidRDefault="00756E99" w:rsidP="00E646C9">
      <w:pPr>
        <w:numPr>
          <w:ilvl w:val="0"/>
          <w:numId w:val="86"/>
        </w:numPr>
        <w:ind w:left="360"/>
        <w:jc w:val="left"/>
        <w:rPr>
          <w:i/>
        </w:rPr>
      </w:pPr>
      <w:r w:rsidRPr="00023F25">
        <w:rPr>
          <w:i/>
        </w:rPr>
        <w:t>Smart Builder Rebates</w:t>
      </w:r>
    </w:p>
    <w:p w:rsidR="00756E99" w:rsidRPr="00023F25" w:rsidRDefault="00756E99" w:rsidP="00E646C9">
      <w:pPr>
        <w:numPr>
          <w:ilvl w:val="0"/>
          <w:numId w:val="86"/>
        </w:numPr>
        <w:ind w:left="360"/>
        <w:jc w:val="left"/>
        <w:rPr>
          <w:i/>
        </w:rPr>
      </w:pPr>
      <w:r w:rsidRPr="00023F25">
        <w:rPr>
          <w:i/>
        </w:rPr>
        <w:t>Smart House Call</w:t>
      </w:r>
    </w:p>
    <w:p w:rsidR="00756E99" w:rsidRDefault="00756E99" w:rsidP="00E646C9">
      <w:pPr>
        <w:numPr>
          <w:ilvl w:val="0"/>
          <w:numId w:val="86"/>
        </w:numPr>
        <w:ind w:left="360"/>
        <w:jc w:val="left"/>
        <w:rPr>
          <w:i/>
        </w:rPr>
      </w:pPr>
      <w:r w:rsidRPr="00023F25">
        <w:rPr>
          <w:i/>
        </w:rPr>
        <w:t>Smart AC Saver (Commercial)</w:t>
      </w:r>
    </w:p>
    <w:p w:rsidR="00124B6E" w:rsidRDefault="00756E99" w:rsidP="00E646C9">
      <w:pPr>
        <w:numPr>
          <w:ilvl w:val="0"/>
          <w:numId w:val="86"/>
        </w:numPr>
        <w:ind w:left="360"/>
        <w:jc w:val="left"/>
        <w:rPr>
          <w:i/>
        </w:rPr>
        <w:sectPr w:rsidR="00124B6E" w:rsidSect="00124B6E">
          <w:type w:val="continuous"/>
          <w:pgSz w:w="12240" w:h="15840"/>
          <w:pgMar w:top="1440" w:right="1440" w:bottom="1440" w:left="1440" w:header="720" w:footer="288" w:gutter="0"/>
          <w:cols w:num="2" w:space="180"/>
          <w:titlePg/>
          <w:docGrid w:linePitch="360"/>
        </w:sectPr>
      </w:pPr>
      <w:r w:rsidRPr="005D77A3">
        <w:rPr>
          <w:i/>
        </w:rPr>
        <w:t>Smart On-Site</w:t>
      </w:r>
    </w:p>
    <w:p w:rsidR="00756E99" w:rsidRPr="00756E99" w:rsidRDefault="00756E99" w:rsidP="00756E99"/>
    <w:p w:rsidR="00950837" w:rsidRDefault="00950837" w:rsidP="009C0DF1">
      <w:pPr>
        <w:pStyle w:val="AppendixAHeading3"/>
      </w:pPr>
      <w:r>
        <w:t>Assumptions and Inputs</w:t>
      </w:r>
    </w:p>
    <w:p w:rsidR="00756E99" w:rsidRPr="008A5E9E" w:rsidRDefault="00756E99" w:rsidP="00756E99">
      <w:pPr>
        <w:rPr>
          <w:highlight w:val="lightGray"/>
        </w:rPr>
      </w:pPr>
      <w:r w:rsidRPr="00EB36CB">
        <w:t>PECO used the same</w:t>
      </w:r>
      <w:r>
        <w:t xml:space="preserve"> discount rate (7.6%) in its PY7</w:t>
      </w:r>
      <w:r w:rsidRPr="00EB36CB">
        <w:t xml:space="preserve"> TRC model to discount program benefits and costs for all programs</w:t>
      </w:r>
      <w:r>
        <w:t>,</w:t>
      </w:r>
      <w:r w:rsidRPr="00EB36CB">
        <w:t xml:space="preserve"> as was </w:t>
      </w:r>
      <w:r>
        <w:t>done</w:t>
      </w:r>
      <w:r w:rsidRPr="00EB36CB">
        <w:t xml:space="preserve"> in </w:t>
      </w:r>
      <w:r>
        <w:t>the prior Phase II years</w:t>
      </w:r>
      <w:r w:rsidRPr="00EB36CB">
        <w:t>. This rate was used to compare the NPV of program benefits that will occur later in a measure’s lifetime to the up</w:t>
      </w:r>
      <w:r w:rsidR="007A15C5">
        <w:t>-</w:t>
      </w:r>
      <w:r w:rsidRPr="00EB36CB">
        <w:t xml:space="preserve">front installation and implementation costs. </w:t>
      </w:r>
      <w:r w:rsidRPr="00485F75">
        <w:t>The value used in the TRC model does</w:t>
      </w:r>
      <w:r w:rsidR="007A15C5">
        <w:t xml:space="preserve"> not agree with the EDC’s EE&amp;C p</w:t>
      </w:r>
      <w:r w:rsidRPr="00485F75">
        <w:t xml:space="preserve">lan </w:t>
      </w:r>
      <w:r w:rsidRPr="00D06BF3">
        <w:t xml:space="preserve">submitted in January 2013, </w:t>
      </w:r>
      <w:r w:rsidRPr="00CE50FE">
        <w:t xml:space="preserve">which specifies a discount rate of 7.4%. Consistent with our recommendation in </w:t>
      </w:r>
      <w:r>
        <w:t>the prior Phase II years</w:t>
      </w:r>
      <w:r w:rsidRPr="00CE50FE">
        <w:t xml:space="preserve">, the SWE requests that PECO’s subsequent Phase II reports rely on the discount rate that was approved in its latest EE&amp;C </w:t>
      </w:r>
      <w:r w:rsidR="007A15C5">
        <w:t>p</w:t>
      </w:r>
      <w:r w:rsidRPr="00CE50FE">
        <w:t>lan.</w:t>
      </w:r>
      <w:r>
        <w:rPr>
          <w:rStyle w:val="FootnoteReference"/>
        </w:rPr>
        <w:footnoteReference w:id="73"/>
      </w:r>
    </w:p>
    <w:p w:rsidR="00756E99" w:rsidRPr="008A5E9E" w:rsidRDefault="00756E99" w:rsidP="00756E99">
      <w:pPr>
        <w:rPr>
          <w:highlight w:val="lightGray"/>
        </w:rPr>
      </w:pPr>
    </w:p>
    <w:p w:rsidR="00756E99" w:rsidRDefault="00756E99" w:rsidP="00756E99">
      <w:r w:rsidRPr="0069732A">
        <w:t>PECO used different LLFs for calculating the programs’ energy and demand savings. For all programs, a universal energy LLF of 7.</w:t>
      </w:r>
      <w:r>
        <w:t>1</w:t>
      </w:r>
      <w:r w:rsidRPr="0069732A">
        <w:t xml:space="preserve">% was used. Demand LLF values from 10.0% to 16.1 % were used for different sectors. </w:t>
      </w:r>
      <w:r>
        <w:fldChar w:fldCharType="begin"/>
      </w:r>
      <w:r>
        <w:instrText xml:space="preserve"> REF _Ref472447049 \h </w:instrText>
      </w:r>
      <w:r>
        <w:fldChar w:fldCharType="separate"/>
      </w:r>
      <w:r w:rsidR="00037CB4">
        <w:t>Table A-</w:t>
      </w:r>
      <w:r w:rsidR="00037CB4">
        <w:rPr>
          <w:noProof/>
        </w:rPr>
        <w:t>106</w:t>
      </w:r>
      <w:r>
        <w:fldChar w:fldCharType="end"/>
      </w:r>
      <w:r>
        <w:t xml:space="preserve"> </w:t>
      </w:r>
      <w:r w:rsidRPr="0069732A">
        <w:t xml:space="preserve">shows details about the discount rates and </w:t>
      </w:r>
      <w:r>
        <w:t xml:space="preserve">the </w:t>
      </w:r>
      <w:r w:rsidRPr="0069732A">
        <w:t>energy and demand LLF values PECO used for each program.</w:t>
      </w:r>
    </w:p>
    <w:p w:rsidR="00756E99" w:rsidRDefault="00756E99" w:rsidP="00756E99"/>
    <w:p w:rsidR="00756E99" w:rsidRDefault="00756E99" w:rsidP="004837FA">
      <w:pPr>
        <w:pStyle w:val="Caption"/>
      </w:pPr>
      <w:bookmarkStart w:id="1100" w:name="_Ref472447049"/>
      <w:bookmarkStart w:id="1101" w:name="_Toc472472515"/>
      <w:bookmarkStart w:id="1102" w:name="_Toc488741934"/>
      <w:r>
        <w:t>Table A-</w:t>
      </w:r>
      <w:r w:rsidR="007973A4">
        <w:fldChar w:fldCharType="begin"/>
      </w:r>
      <w:r w:rsidR="007973A4">
        <w:instrText xml:space="preserve"> SEQ Table_A- \* ARABIC </w:instrText>
      </w:r>
      <w:r w:rsidR="007973A4">
        <w:fldChar w:fldCharType="separate"/>
      </w:r>
      <w:r w:rsidR="00037CB4">
        <w:rPr>
          <w:noProof/>
        </w:rPr>
        <w:t>106</w:t>
      </w:r>
      <w:r w:rsidR="007973A4">
        <w:rPr>
          <w:noProof/>
        </w:rPr>
        <w:fldChar w:fldCharType="end"/>
      </w:r>
      <w:bookmarkEnd w:id="1100"/>
      <w:r>
        <w:t xml:space="preserve">: </w:t>
      </w:r>
      <w:r w:rsidRPr="0069732A">
        <w:t>PECO’s Discount Rates and LLFs</w:t>
      </w:r>
      <w:bookmarkEnd w:id="1101"/>
      <w:bookmarkEnd w:id="1102"/>
    </w:p>
    <w:tbl>
      <w:tblPr>
        <w:tblW w:w="9342"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51"/>
        <w:gridCol w:w="1440"/>
        <w:gridCol w:w="1617"/>
        <w:gridCol w:w="1617"/>
        <w:gridCol w:w="1617"/>
      </w:tblGrid>
      <w:tr w:rsidR="00A874AC" w:rsidRPr="00124B6E" w:rsidTr="00124B6E">
        <w:trPr>
          <w:trHeight w:val="144"/>
          <w:tblHeader/>
          <w:jc w:val="center"/>
        </w:trPr>
        <w:tc>
          <w:tcPr>
            <w:tcW w:w="3051" w:type="dxa"/>
            <w:shd w:val="clear" w:color="000000" w:fill="448A99"/>
            <w:noWrap/>
            <w:vAlign w:val="bottom"/>
            <w:hideMark/>
          </w:tcPr>
          <w:p w:rsidR="00756E99" w:rsidRPr="00124B6E" w:rsidRDefault="00756E99" w:rsidP="005C1352">
            <w:pPr>
              <w:jc w:val="left"/>
              <w:rPr>
                <w:b/>
                <w:bCs/>
                <w:color w:val="FFFFFF"/>
                <w:sz w:val="19"/>
                <w:szCs w:val="19"/>
              </w:rPr>
            </w:pPr>
            <w:r w:rsidRPr="00124B6E">
              <w:rPr>
                <w:b/>
                <w:bCs/>
                <w:color w:val="FFFFFF"/>
                <w:sz w:val="19"/>
                <w:szCs w:val="19"/>
              </w:rPr>
              <w:t>Program</w:t>
            </w:r>
          </w:p>
        </w:tc>
        <w:tc>
          <w:tcPr>
            <w:tcW w:w="1440" w:type="dxa"/>
            <w:shd w:val="clear" w:color="000000" w:fill="448A99"/>
            <w:noWrap/>
            <w:vAlign w:val="bottom"/>
            <w:hideMark/>
          </w:tcPr>
          <w:p w:rsidR="00756E99" w:rsidRPr="00124B6E" w:rsidRDefault="00756E99" w:rsidP="005C1352">
            <w:pPr>
              <w:jc w:val="center"/>
              <w:rPr>
                <w:b/>
                <w:bCs/>
                <w:color w:val="FFFFFF"/>
                <w:sz w:val="19"/>
                <w:szCs w:val="19"/>
              </w:rPr>
            </w:pPr>
            <w:r w:rsidRPr="00124B6E">
              <w:rPr>
                <w:b/>
                <w:bCs/>
                <w:color w:val="FFFFFF"/>
                <w:sz w:val="19"/>
                <w:szCs w:val="19"/>
              </w:rPr>
              <w:t>Sector</w:t>
            </w:r>
          </w:p>
        </w:tc>
        <w:tc>
          <w:tcPr>
            <w:tcW w:w="1617" w:type="dxa"/>
            <w:shd w:val="clear" w:color="000000" w:fill="448A99"/>
            <w:noWrap/>
            <w:vAlign w:val="bottom"/>
            <w:hideMark/>
          </w:tcPr>
          <w:p w:rsidR="00756E99" w:rsidRPr="00124B6E" w:rsidRDefault="00756E99" w:rsidP="005C1352">
            <w:pPr>
              <w:jc w:val="center"/>
              <w:rPr>
                <w:b/>
                <w:bCs/>
                <w:color w:val="FFFFFF"/>
                <w:sz w:val="19"/>
                <w:szCs w:val="19"/>
              </w:rPr>
            </w:pPr>
            <w:r w:rsidRPr="00124B6E">
              <w:rPr>
                <w:b/>
                <w:bCs/>
                <w:color w:val="FFFFFF"/>
                <w:sz w:val="19"/>
                <w:szCs w:val="19"/>
              </w:rPr>
              <w:t>Discount Rate</w:t>
            </w:r>
          </w:p>
        </w:tc>
        <w:tc>
          <w:tcPr>
            <w:tcW w:w="1617" w:type="dxa"/>
            <w:shd w:val="clear" w:color="000000" w:fill="448A99"/>
            <w:vAlign w:val="bottom"/>
            <w:hideMark/>
          </w:tcPr>
          <w:p w:rsidR="00756E99" w:rsidRPr="00124B6E" w:rsidRDefault="00756E99" w:rsidP="005C1352">
            <w:pPr>
              <w:jc w:val="center"/>
              <w:rPr>
                <w:b/>
                <w:bCs/>
                <w:color w:val="FFFFFF"/>
                <w:sz w:val="19"/>
                <w:szCs w:val="19"/>
              </w:rPr>
            </w:pPr>
            <w:r w:rsidRPr="00124B6E">
              <w:rPr>
                <w:b/>
                <w:bCs/>
                <w:color w:val="FFFFFF"/>
                <w:sz w:val="19"/>
                <w:szCs w:val="19"/>
              </w:rPr>
              <w:t>Energy LLF</w:t>
            </w:r>
            <w:r w:rsidRPr="00124B6E">
              <w:rPr>
                <w:b/>
                <w:bCs/>
                <w:color w:val="FFFFFF"/>
                <w:sz w:val="19"/>
                <w:szCs w:val="19"/>
                <w:vertAlign w:val="superscript"/>
              </w:rPr>
              <w:t>[a]</w:t>
            </w:r>
          </w:p>
        </w:tc>
        <w:tc>
          <w:tcPr>
            <w:tcW w:w="1617" w:type="dxa"/>
            <w:shd w:val="clear" w:color="000000" w:fill="448A99"/>
            <w:vAlign w:val="bottom"/>
            <w:hideMark/>
          </w:tcPr>
          <w:p w:rsidR="00756E99" w:rsidRPr="00124B6E" w:rsidRDefault="00756E99" w:rsidP="005C1352">
            <w:pPr>
              <w:jc w:val="center"/>
              <w:rPr>
                <w:b/>
                <w:bCs/>
                <w:color w:val="FFFFFF"/>
                <w:sz w:val="19"/>
                <w:szCs w:val="19"/>
              </w:rPr>
            </w:pPr>
            <w:r w:rsidRPr="00124B6E">
              <w:rPr>
                <w:b/>
                <w:bCs/>
                <w:color w:val="FFFFFF"/>
                <w:sz w:val="19"/>
                <w:szCs w:val="19"/>
              </w:rPr>
              <w:t>Demand LLF</w:t>
            </w:r>
            <w:r w:rsidRPr="00124B6E">
              <w:rPr>
                <w:b/>
                <w:bCs/>
                <w:color w:val="FFFFFF"/>
                <w:sz w:val="19"/>
                <w:szCs w:val="19"/>
                <w:vertAlign w:val="superscript"/>
              </w:rPr>
              <w:t>[a]</w:t>
            </w:r>
          </w:p>
        </w:tc>
      </w:tr>
      <w:tr w:rsidR="00A874AC" w:rsidRPr="00124B6E" w:rsidTr="005C1352">
        <w:trPr>
          <w:trHeight w:val="432"/>
          <w:jc w:val="center"/>
        </w:trPr>
        <w:tc>
          <w:tcPr>
            <w:tcW w:w="3051" w:type="dxa"/>
            <w:shd w:val="clear" w:color="000000" w:fill="D2EAF1"/>
            <w:vAlign w:val="center"/>
          </w:tcPr>
          <w:p w:rsidR="00756E99" w:rsidRPr="00124B6E" w:rsidRDefault="00756E99" w:rsidP="005C1352">
            <w:pPr>
              <w:jc w:val="left"/>
              <w:rPr>
                <w:color w:val="000000"/>
                <w:sz w:val="19"/>
                <w:szCs w:val="19"/>
              </w:rPr>
            </w:pPr>
            <w:r w:rsidRPr="00124B6E">
              <w:rPr>
                <w:rFonts w:cs="Arial"/>
                <w:bCs/>
                <w:color w:val="000000"/>
                <w:sz w:val="19"/>
                <w:szCs w:val="19"/>
              </w:rPr>
              <w:t>Smart AC Saver (Residential)</w:t>
            </w:r>
          </w:p>
        </w:tc>
        <w:tc>
          <w:tcPr>
            <w:tcW w:w="1440"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Residential</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16.1%</w:t>
            </w:r>
          </w:p>
        </w:tc>
      </w:tr>
      <w:tr w:rsidR="00E7173E" w:rsidRPr="00124B6E" w:rsidTr="008F60E1">
        <w:trPr>
          <w:trHeight w:val="432"/>
          <w:jc w:val="center"/>
        </w:trPr>
        <w:tc>
          <w:tcPr>
            <w:tcW w:w="3051" w:type="dxa"/>
            <w:shd w:val="clear" w:color="auto" w:fill="auto"/>
            <w:vAlign w:val="center"/>
          </w:tcPr>
          <w:p w:rsidR="00756E99" w:rsidRPr="00124B6E" w:rsidRDefault="00756E99" w:rsidP="005C1352">
            <w:pPr>
              <w:jc w:val="left"/>
              <w:rPr>
                <w:rFonts w:cs="Arial"/>
                <w:bCs/>
                <w:color w:val="000000"/>
                <w:sz w:val="19"/>
                <w:szCs w:val="19"/>
              </w:rPr>
            </w:pPr>
            <w:r w:rsidRPr="00124B6E">
              <w:rPr>
                <w:rFonts w:cs="Arial"/>
                <w:bCs/>
                <w:color w:val="000000"/>
                <w:sz w:val="19"/>
                <w:szCs w:val="19"/>
              </w:rPr>
              <w:t>Smart Appliance Recycling</w:t>
            </w:r>
          </w:p>
        </w:tc>
        <w:tc>
          <w:tcPr>
            <w:tcW w:w="1440"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Residential</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16.1%</w:t>
            </w:r>
          </w:p>
        </w:tc>
      </w:tr>
      <w:tr w:rsidR="00A874AC" w:rsidRPr="00124B6E" w:rsidTr="005C1352">
        <w:trPr>
          <w:trHeight w:val="432"/>
          <w:jc w:val="center"/>
        </w:trPr>
        <w:tc>
          <w:tcPr>
            <w:tcW w:w="3051" w:type="dxa"/>
            <w:shd w:val="clear" w:color="000000" w:fill="D2EAF1"/>
            <w:vAlign w:val="center"/>
          </w:tcPr>
          <w:p w:rsidR="00756E99" w:rsidRPr="00124B6E" w:rsidRDefault="00756E99" w:rsidP="005C1352">
            <w:pPr>
              <w:jc w:val="left"/>
              <w:rPr>
                <w:color w:val="000000"/>
                <w:sz w:val="19"/>
                <w:szCs w:val="19"/>
              </w:rPr>
            </w:pPr>
            <w:r w:rsidRPr="00124B6E">
              <w:rPr>
                <w:rFonts w:cs="Arial"/>
                <w:bCs/>
                <w:color w:val="000000"/>
                <w:sz w:val="19"/>
                <w:szCs w:val="19"/>
              </w:rPr>
              <w:t>Smart Builder Rebates</w:t>
            </w:r>
          </w:p>
        </w:tc>
        <w:tc>
          <w:tcPr>
            <w:tcW w:w="1440"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Residential</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16.1%</w:t>
            </w:r>
          </w:p>
        </w:tc>
      </w:tr>
      <w:tr w:rsidR="00E7173E" w:rsidRPr="00124B6E" w:rsidTr="008F60E1">
        <w:trPr>
          <w:trHeight w:val="432"/>
          <w:jc w:val="center"/>
        </w:trPr>
        <w:tc>
          <w:tcPr>
            <w:tcW w:w="3051" w:type="dxa"/>
            <w:shd w:val="clear" w:color="auto" w:fill="auto"/>
            <w:vAlign w:val="center"/>
          </w:tcPr>
          <w:p w:rsidR="00756E99" w:rsidRPr="00124B6E" w:rsidRDefault="00756E99" w:rsidP="005C1352">
            <w:pPr>
              <w:jc w:val="left"/>
              <w:rPr>
                <w:color w:val="000000"/>
                <w:sz w:val="19"/>
                <w:szCs w:val="19"/>
              </w:rPr>
            </w:pPr>
            <w:r w:rsidRPr="00124B6E">
              <w:rPr>
                <w:rFonts w:cs="Arial"/>
                <w:bCs/>
                <w:color w:val="000000"/>
                <w:sz w:val="19"/>
                <w:szCs w:val="19"/>
              </w:rPr>
              <w:t>Smart Energy Saver</w:t>
            </w:r>
          </w:p>
        </w:tc>
        <w:tc>
          <w:tcPr>
            <w:tcW w:w="1440"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Residential</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16.1%</w:t>
            </w:r>
          </w:p>
        </w:tc>
      </w:tr>
      <w:tr w:rsidR="00A874AC" w:rsidRPr="00124B6E" w:rsidTr="005C1352">
        <w:trPr>
          <w:trHeight w:val="432"/>
          <w:jc w:val="center"/>
        </w:trPr>
        <w:tc>
          <w:tcPr>
            <w:tcW w:w="3051" w:type="dxa"/>
            <w:shd w:val="clear" w:color="000000" w:fill="D2EAF1"/>
            <w:vAlign w:val="center"/>
          </w:tcPr>
          <w:p w:rsidR="00756E99" w:rsidRPr="00124B6E" w:rsidRDefault="00756E99" w:rsidP="005C1352">
            <w:pPr>
              <w:jc w:val="left"/>
              <w:rPr>
                <w:color w:val="000000"/>
                <w:sz w:val="19"/>
                <w:szCs w:val="19"/>
              </w:rPr>
            </w:pPr>
            <w:r w:rsidRPr="00124B6E">
              <w:rPr>
                <w:rFonts w:cs="Arial"/>
                <w:bCs/>
                <w:color w:val="000000"/>
                <w:sz w:val="19"/>
                <w:szCs w:val="19"/>
              </w:rPr>
              <w:t>Smart Home Rebates</w:t>
            </w:r>
          </w:p>
        </w:tc>
        <w:tc>
          <w:tcPr>
            <w:tcW w:w="1440"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Residential</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16.1%</w:t>
            </w:r>
          </w:p>
        </w:tc>
      </w:tr>
      <w:tr w:rsidR="00E7173E" w:rsidRPr="00124B6E" w:rsidTr="008F60E1">
        <w:trPr>
          <w:trHeight w:val="432"/>
          <w:jc w:val="center"/>
        </w:trPr>
        <w:tc>
          <w:tcPr>
            <w:tcW w:w="3051" w:type="dxa"/>
            <w:shd w:val="clear" w:color="auto" w:fill="auto"/>
            <w:vAlign w:val="center"/>
          </w:tcPr>
          <w:p w:rsidR="00756E99" w:rsidRPr="00124B6E" w:rsidRDefault="00756E99" w:rsidP="005C1352">
            <w:pPr>
              <w:jc w:val="left"/>
              <w:rPr>
                <w:color w:val="000000"/>
                <w:sz w:val="19"/>
                <w:szCs w:val="19"/>
              </w:rPr>
            </w:pPr>
            <w:r w:rsidRPr="00124B6E">
              <w:rPr>
                <w:rFonts w:cs="Arial"/>
                <w:bCs/>
                <w:color w:val="000000"/>
                <w:sz w:val="19"/>
                <w:szCs w:val="19"/>
              </w:rPr>
              <w:t>Smart House Call</w:t>
            </w:r>
          </w:p>
        </w:tc>
        <w:tc>
          <w:tcPr>
            <w:tcW w:w="1440"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Residential</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16.1%</w:t>
            </w:r>
          </w:p>
        </w:tc>
      </w:tr>
      <w:tr w:rsidR="00A874AC" w:rsidRPr="00124B6E" w:rsidTr="005C1352">
        <w:trPr>
          <w:trHeight w:val="432"/>
          <w:jc w:val="center"/>
        </w:trPr>
        <w:tc>
          <w:tcPr>
            <w:tcW w:w="3051" w:type="dxa"/>
            <w:shd w:val="clear" w:color="000000" w:fill="D2EAF1"/>
            <w:vAlign w:val="center"/>
          </w:tcPr>
          <w:p w:rsidR="00756E99" w:rsidRPr="00124B6E" w:rsidRDefault="00756E99" w:rsidP="005C1352">
            <w:pPr>
              <w:jc w:val="left"/>
              <w:rPr>
                <w:color w:val="000000"/>
                <w:sz w:val="19"/>
                <w:szCs w:val="19"/>
              </w:rPr>
            </w:pPr>
            <w:r w:rsidRPr="00124B6E">
              <w:rPr>
                <w:rFonts w:cs="Arial"/>
                <w:color w:val="000000"/>
                <w:sz w:val="19"/>
                <w:szCs w:val="19"/>
              </w:rPr>
              <w:t>Smart Multi-Family Solutions (Residential)</w:t>
            </w:r>
          </w:p>
        </w:tc>
        <w:tc>
          <w:tcPr>
            <w:tcW w:w="1440"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Residential</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16.1%</w:t>
            </w:r>
          </w:p>
        </w:tc>
      </w:tr>
      <w:tr w:rsidR="00E7173E" w:rsidRPr="00124B6E" w:rsidTr="008F60E1">
        <w:trPr>
          <w:trHeight w:val="432"/>
          <w:jc w:val="center"/>
        </w:trPr>
        <w:tc>
          <w:tcPr>
            <w:tcW w:w="3051" w:type="dxa"/>
            <w:shd w:val="clear" w:color="auto" w:fill="auto"/>
            <w:vAlign w:val="center"/>
          </w:tcPr>
          <w:p w:rsidR="00756E99" w:rsidRPr="00124B6E" w:rsidRDefault="00756E99" w:rsidP="005C1352">
            <w:pPr>
              <w:jc w:val="left"/>
              <w:rPr>
                <w:color w:val="000000"/>
                <w:sz w:val="19"/>
                <w:szCs w:val="19"/>
              </w:rPr>
            </w:pPr>
            <w:r w:rsidRPr="00124B6E">
              <w:rPr>
                <w:rFonts w:cs="Arial"/>
                <w:bCs/>
                <w:color w:val="000000"/>
                <w:sz w:val="19"/>
                <w:szCs w:val="19"/>
              </w:rPr>
              <w:t>Smart Usage Profile</w:t>
            </w:r>
          </w:p>
        </w:tc>
        <w:tc>
          <w:tcPr>
            <w:tcW w:w="1440"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Residential</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16.1%</w:t>
            </w:r>
          </w:p>
        </w:tc>
      </w:tr>
      <w:tr w:rsidR="00A874AC" w:rsidRPr="00124B6E" w:rsidTr="005C1352">
        <w:trPr>
          <w:trHeight w:val="432"/>
          <w:jc w:val="center"/>
        </w:trPr>
        <w:tc>
          <w:tcPr>
            <w:tcW w:w="3051" w:type="dxa"/>
            <w:shd w:val="clear" w:color="000000" w:fill="D2EAF1"/>
            <w:vAlign w:val="center"/>
          </w:tcPr>
          <w:p w:rsidR="00756E99" w:rsidRPr="00124B6E" w:rsidRDefault="00756E99" w:rsidP="005C1352">
            <w:pPr>
              <w:jc w:val="left"/>
              <w:rPr>
                <w:color w:val="000000"/>
                <w:sz w:val="19"/>
                <w:szCs w:val="19"/>
              </w:rPr>
            </w:pPr>
            <w:r w:rsidRPr="00124B6E">
              <w:rPr>
                <w:rFonts w:cs="Arial"/>
                <w:bCs/>
                <w:color w:val="000000"/>
                <w:sz w:val="19"/>
                <w:szCs w:val="19"/>
              </w:rPr>
              <w:t>Low-Income Energy Efficiency Program</w:t>
            </w:r>
          </w:p>
        </w:tc>
        <w:tc>
          <w:tcPr>
            <w:tcW w:w="1440"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Residential</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16.1%</w:t>
            </w:r>
          </w:p>
        </w:tc>
      </w:tr>
      <w:tr w:rsidR="00E7173E" w:rsidRPr="00124B6E" w:rsidTr="008F60E1">
        <w:trPr>
          <w:trHeight w:val="432"/>
          <w:jc w:val="center"/>
        </w:trPr>
        <w:tc>
          <w:tcPr>
            <w:tcW w:w="3051" w:type="dxa"/>
            <w:shd w:val="clear" w:color="auto" w:fill="auto"/>
            <w:vAlign w:val="center"/>
          </w:tcPr>
          <w:p w:rsidR="00756E99" w:rsidRPr="00124B6E" w:rsidRDefault="00756E99" w:rsidP="005C1352">
            <w:pPr>
              <w:jc w:val="left"/>
              <w:rPr>
                <w:color w:val="000000"/>
                <w:sz w:val="19"/>
                <w:szCs w:val="19"/>
              </w:rPr>
            </w:pPr>
            <w:r w:rsidRPr="00124B6E">
              <w:rPr>
                <w:rFonts w:cs="Arial"/>
                <w:bCs/>
                <w:color w:val="000000"/>
                <w:sz w:val="19"/>
                <w:szCs w:val="19"/>
              </w:rPr>
              <w:t>Smart AC Saver (Commercial)</w:t>
            </w:r>
          </w:p>
        </w:tc>
        <w:tc>
          <w:tcPr>
            <w:tcW w:w="1440"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C/I</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auto" w:fill="auto"/>
            <w:vAlign w:val="center"/>
          </w:tcPr>
          <w:p w:rsidR="00756E99" w:rsidRPr="00124B6E" w:rsidRDefault="00756E99" w:rsidP="005C1352">
            <w:pPr>
              <w:jc w:val="center"/>
              <w:rPr>
                <w:color w:val="000000"/>
                <w:sz w:val="19"/>
                <w:szCs w:val="19"/>
              </w:rPr>
            </w:pPr>
            <w:r w:rsidRPr="00124B6E">
              <w:rPr>
                <w:color w:val="000000"/>
                <w:sz w:val="19"/>
                <w:szCs w:val="19"/>
              </w:rPr>
              <w:t>10.0%</w:t>
            </w:r>
          </w:p>
        </w:tc>
      </w:tr>
      <w:tr w:rsidR="00A874AC" w:rsidRPr="00124B6E" w:rsidTr="005C1352">
        <w:trPr>
          <w:trHeight w:val="432"/>
          <w:jc w:val="center"/>
        </w:trPr>
        <w:tc>
          <w:tcPr>
            <w:tcW w:w="3051" w:type="dxa"/>
            <w:shd w:val="clear" w:color="000000" w:fill="D2EAF1"/>
            <w:vAlign w:val="center"/>
          </w:tcPr>
          <w:p w:rsidR="00756E99" w:rsidRPr="00124B6E" w:rsidRDefault="00756E99" w:rsidP="005C1352">
            <w:pPr>
              <w:jc w:val="left"/>
              <w:rPr>
                <w:color w:val="000000"/>
                <w:sz w:val="19"/>
                <w:szCs w:val="19"/>
              </w:rPr>
            </w:pPr>
            <w:r w:rsidRPr="00124B6E">
              <w:rPr>
                <w:rFonts w:cs="Arial"/>
                <w:bCs/>
                <w:color w:val="000000"/>
                <w:sz w:val="19"/>
                <w:szCs w:val="19"/>
              </w:rPr>
              <w:t>Smart Business Solutions</w:t>
            </w:r>
          </w:p>
        </w:tc>
        <w:tc>
          <w:tcPr>
            <w:tcW w:w="1440"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C/I</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000000" w:fill="D2EAF1"/>
            <w:vAlign w:val="center"/>
          </w:tcPr>
          <w:p w:rsidR="00756E99" w:rsidRPr="00124B6E" w:rsidRDefault="00756E99" w:rsidP="005C1352">
            <w:pPr>
              <w:jc w:val="center"/>
              <w:rPr>
                <w:color w:val="000000"/>
                <w:sz w:val="19"/>
                <w:szCs w:val="19"/>
              </w:rPr>
            </w:pPr>
            <w:r w:rsidRPr="00124B6E">
              <w:rPr>
                <w:color w:val="000000"/>
                <w:sz w:val="19"/>
                <w:szCs w:val="19"/>
              </w:rPr>
              <w:t>10.0%</w:t>
            </w:r>
          </w:p>
        </w:tc>
      </w:tr>
      <w:tr w:rsidR="00E7173E" w:rsidRPr="00124B6E" w:rsidTr="008F60E1">
        <w:trPr>
          <w:trHeight w:val="432"/>
          <w:jc w:val="center"/>
        </w:trPr>
        <w:tc>
          <w:tcPr>
            <w:tcW w:w="3051" w:type="dxa"/>
            <w:shd w:val="clear" w:color="auto" w:fill="auto"/>
            <w:vAlign w:val="center"/>
          </w:tcPr>
          <w:p w:rsidR="00756E99" w:rsidRPr="00124B6E" w:rsidRDefault="00756E99" w:rsidP="005C1352">
            <w:pPr>
              <w:jc w:val="left"/>
              <w:rPr>
                <w:color w:val="000000"/>
                <w:sz w:val="19"/>
                <w:szCs w:val="19"/>
              </w:rPr>
            </w:pPr>
            <w:r w:rsidRPr="00124B6E">
              <w:rPr>
                <w:rFonts w:cs="Arial"/>
                <w:bCs/>
                <w:color w:val="000000"/>
                <w:sz w:val="19"/>
                <w:szCs w:val="19"/>
              </w:rPr>
              <w:t>Smart Equipment Incentives (C/I)</w:t>
            </w:r>
          </w:p>
        </w:tc>
        <w:tc>
          <w:tcPr>
            <w:tcW w:w="1440"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C/I</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auto" w:fill="auto"/>
            <w:vAlign w:val="center"/>
          </w:tcPr>
          <w:p w:rsidR="00756E99" w:rsidRPr="00124B6E" w:rsidRDefault="00756E99" w:rsidP="005C1352">
            <w:pPr>
              <w:jc w:val="center"/>
              <w:rPr>
                <w:color w:val="000000"/>
                <w:sz w:val="19"/>
                <w:szCs w:val="19"/>
              </w:rPr>
            </w:pPr>
            <w:r w:rsidRPr="00124B6E">
              <w:rPr>
                <w:color w:val="000000"/>
                <w:sz w:val="19"/>
                <w:szCs w:val="19"/>
              </w:rPr>
              <w:t>10.0%</w:t>
            </w:r>
          </w:p>
        </w:tc>
      </w:tr>
      <w:tr w:rsidR="00A874AC" w:rsidRPr="00124B6E" w:rsidTr="005C1352">
        <w:trPr>
          <w:trHeight w:val="432"/>
          <w:jc w:val="center"/>
        </w:trPr>
        <w:tc>
          <w:tcPr>
            <w:tcW w:w="3051" w:type="dxa"/>
            <w:shd w:val="clear" w:color="000000" w:fill="D2EAF1"/>
            <w:vAlign w:val="center"/>
          </w:tcPr>
          <w:p w:rsidR="00756E99" w:rsidRPr="00124B6E" w:rsidRDefault="00756E99" w:rsidP="005C1352">
            <w:pPr>
              <w:jc w:val="left"/>
              <w:rPr>
                <w:color w:val="000000"/>
                <w:sz w:val="19"/>
                <w:szCs w:val="19"/>
              </w:rPr>
            </w:pPr>
            <w:r w:rsidRPr="00124B6E">
              <w:rPr>
                <w:rFonts w:cs="Arial"/>
                <w:bCs/>
                <w:color w:val="000000"/>
                <w:sz w:val="19"/>
                <w:szCs w:val="19"/>
              </w:rPr>
              <w:t>Smart Construction Incentives</w:t>
            </w:r>
          </w:p>
        </w:tc>
        <w:tc>
          <w:tcPr>
            <w:tcW w:w="1440"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C/I</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000000" w:fill="D2EAF1"/>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000000" w:fill="D2EAF1"/>
            <w:vAlign w:val="center"/>
          </w:tcPr>
          <w:p w:rsidR="00756E99" w:rsidRPr="00124B6E" w:rsidRDefault="00756E99" w:rsidP="005C1352">
            <w:pPr>
              <w:jc w:val="center"/>
              <w:rPr>
                <w:color w:val="000000"/>
                <w:sz w:val="19"/>
                <w:szCs w:val="19"/>
              </w:rPr>
            </w:pPr>
            <w:r w:rsidRPr="00124B6E">
              <w:rPr>
                <w:color w:val="000000"/>
                <w:sz w:val="19"/>
                <w:szCs w:val="19"/>
              </w:rPr>
              <w:t>10.0%</w:t>
            </w:r>
          </w:p>
        </w:tc>
      </w:tr>
      <w:tr w:rsidR="00E7173E" w:rsidRPr="00124B6E" w:rsidTr="008F60E1">
        <w:trPr>
          <w:trHeight w:val="432"/>
          <w:jc w:val="center"/>
        </w:trPr>
        <w:tc>
          <w:tcPr>
            <w:tcW w:w="3051" w:type="dxa"/>
            <w:shd w:val="clear" w:color="auto" w:fill="auto"/>
            <w:vAlign w:val="center"/>
          </w:tcPr>
          <w:p w:rsidR="00756E99" w:rsidRPr="00124B6E" w:rsidRDefault="00756E99" w:rsidP="005C1352">
            <w:pPr>
              <w:jc w:val="left"/>
              <w:rPr>
                <w:color w:val="000000"/>
                <w:sz w:val="19"/>
                <w:szCs w:val="19"/>
              </w:rPr>
            </w:pPr>
            <w:r w:rsidRPr="00124B6E">
              <w:rPr>
                <w:rFonts w:cs="Arial"/>
                <w:bCs/>
                <w:color w:val="000000"/>
                <w:sz w:val="19"/>
                <w:szCs w:val="19"/>
              </w:rPr>
              <w:t>Smart Multi-Family Solutions (Nonresidential)</w:t>
            </w:r>
          </w:p>
        </w:tc>
        <w:tc>
          <w:tcPr>
            <w:tcW w:w="1440"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C/I</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10.0%</w:t>
            </w:r>
          </w:p>
        </w:tc>
      </w:tr>
      <w:tr w:rsidR="00A874AC" w:rsidRPr="00124B6E" w:rsidTr="005C1352">
        <w:trPr>
          <w:trHeight w:val="432"/>
          <w:jc w:val="center"/>
        </w:trPr>
        <w:tc>
          <w:tcPr>
            <w:tcW w:w="3051" w:type="dxa"/>
            <w:shd w:val="clear" w:color="auto" w:fill="DAEEF3"/>
            <w:vAlign w:val="center"/>
          </w:tcPr>
          <w:p w:rsidR="00756E99" w:rsidRPr="00124B6E" w:rsidRDefault="00756E99" w:rsidP="005C1352">
            <w:pPr>
              <w:jc w:val="left"/>
              <w:rPr>
                <w:rFonts w:cs="Arial"/>
                <w:bCs/>
                <w:color w:val="000000"/>
                <w:sz w:val="19"/>
                <w:szCs w:val="19"/>
              </w:rPr>
            </w:pPr>
            <w:r w:rsidRPr="00124B6E">
              <w:rPr>
                <w:rFonts w:cs="Arial"/>
                <w:bCs/>
                <w:iCs/>
                <w:color w:val="000000"/>
                <w:sz w:val="19"/>
                <w:szCs w:val="19"/>
              </w:rPr>
              <w:t>Smart On-Site</w:t>
            </w:r>
          </w:p>
        </w:tc>
        <w:tc>
          <w:tcPr>
            <w:tcW w:w="1440" w:type="dxa"/>
            <w:shd w:val="clear" w:color="auto" w:fill="DAEEF3"/>
            <w:noWrap/>
            <w:vAlign w:val="center"/>
          </w:tcPr>
          <w:p w:rsidR="00756E99" w:rsidRPr="00124B6E" w:rsidRDefault="00756E99" w:rsidP="005C1352">
            <w:pPr>
              <w:jc w:val="center"/>
              <w:rPr>
                <w:color w:val="000000"/>
                <w:sz w:val="19"/>
                <w:szCs w:val="19"/>
              </w:rPr>
            </w:pPr>
            <w:r w:rsidRPr="00124B6E">
              <w:rPr>
                <w:color w:val="000000"/>
                <w:sz w:val="19"/>
                <w:szCs w:val="19"/>
              </w:rPr>
              <w:t>C/I</w:t>
            </w:r>
          </w:p>
        </w:tc>
        <w:tc>
          <w:tcPr>
            <w:tcW w:w="1617" w:type="dxa"/>
            <w:shd w:val="clear" w:color="auto" w:fill="DAEEF3"/>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auto" w:fill="DAEEF3"/>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auto" w:fill="DAEEF3"/>
            <w:noWrap/>
            <w:vAlign w:val="center"/>
          </w:tcPr>
          <w:p w:rsidR="00756E99" w:rsidRPr="00124B6E" w:rsidRDefault="00756E99" w:rsidP="005C1352">
            <w:pPr>
              <w:jc w:val="center"/>
              <w:rPr>
                <w:color w:val="000000"/>
                <w:sz w:val="19"/>
                <w:szCs w:val="19"/>
              </w:rPr>
            </w:pPr>
            <w:r w:rsidRPr="00124B6E">
              <w:rPr>
                <w:color w:val="000000"/>
                <w:sz w:val="19"/>
                <w:szCs w:val="19"/>
              </w:rPr>
              <w:t>10.0%</w:t>
            </w:r>
          </w:p>
        </w:tc>
      </w:tr>
      <w:tr w:rsidR="00E7173E" w:rsidRPr="00124B6E" w:rsidTr="008F60E1">
        <w:trPr>
          <w:trHeight w:val="432"/>
          <w:jc w:val="center"/>
        </w:trPr>
        <w:tc>
          <w:tcPr>
            <w:tcW w:w="3051" w:type="dxa"/>
            <w:shd w:val="clear" w:color="auto" w:fill="auto"/>
            <w:vAlign w:val="center"/>
          </w:tcPr>
          <w:p w:rsidR="00756E99" w:rsidRPr="00124B6E" w:rsidRDefault="00756E99" w:rsidP="005C1352">
            <w:pPr>
              <w:jc w:val="left"/>
              <w:rPr>
                <w:rFonts w:cs="Arial"/>
                <w:bCs/>
                <w:color w:val="000000"/>
                <w:sz w:val="19"/>
                <w:szCs w:val="19"/>
              </w:rPr>
            </w:pPr>
            <w:r w:rsidRPr="00124B6E">
              <w:rPr>
                <w:rFonts w:cs="Arial"/>
                <w:bCs/>
                <w:iCs/>
                <w:color w:val="000000"/>
                <w:sz w:val="19"/>
                <w:szCs w:val="19"/>
              </w:rPr>
              <w:t>Smart Equipment Incentives (GNI)</w:t>
            </w:r>
          </w:p>
        </w:tc>
        <w:tc>
          <w:tcPr>
            <w:tcW w:w="1440"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GNI</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7.6%</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7.1%</w:t>
            </w:r>
          </w:p>
        </w:tc>
        <w:tc>
          <w:tcPr>
            <w:tcW w:w="1617" w:type="dxa"/>
            <w:shd w:val="clear" w:color="auto" w:fill="auto"/>
            <w:noWrap/>
            <w:vAlign w:val="center"/>
          </w:tcPr>
          <w:p w:rsidR="00756E99" w:rsidRPr="00124B6E" w:rsidRDefault="00756E99" w:rsidP="005C1352">
            <w:pPr>
              <w:jc w:val="center"/>
              <w:rPr>
                <w:color w:val="000000"/>
                <w:sz w:val="19"/>
                <w:szCs w:val="19"/>
              </w:rPr>
            </w:pPr>
            <w:r w:rsidRPr="00124B6E">
              <w:rPr>
                <w:color w:val="000000"/>
                <w:sz w:val="19"/>
                <w:szCs w:val="19"/>
              </w:rPr>
              <w:t>10.5%</w:t>
            </w:r>
          </w:p>
        </w:tc>
      </w:tr>
      <w:tr w:rsidR="00E7173E" w:rsidRPr="009A6DD4" w:rsidTr="008F60E1">
        <w:trPr>
          <w:trHeight w:val="302"/>
          <w:jc w:val="center"/>
        </w:trPr>
        <w:tc>
          <w:tcPr>
            <w:tcW w:w="9342" w:type="dxa"/>
            <w:gridSpan w:val="5"/>
            <w:shd w:val="clear" w:color="auto" w:fill="448A99"/>
            <w:vAlign w:val="center"/>
          </w:tcPr>
          <w:p w:rsidR="00756E99" w:rsidRPr="009A6DD4" w:rsidRDefault="00756E99" w:rsidP="005C1352">
            <w:pPr>
              <w:jc w:val="left"/>
              <w:rPr>
                <w:color w:val="FFFFFF"/>
                <w:sz w:val="18"/>
                <w:szCs w:val="19"/>
              </w:rPr>
            </w:pPr>
            <w:r w:rsidRPr="009A6DD4">
              <w:rPr>
                <w:color w:val="FFFFFF"/>
                <w:sz w:val="18"/>
                <w:szCs w:val="19"/>
              </w:rPr>
              <w:t>NOTES</w:t>
            </w:r>
            <w:r w:rsidR="00124B6E" w:rsidRPr="009A6DD4">
              <w:rPr>
                <w:color w:val="FFFFFF"/>
                <w:sz w:val="18"/>
                <w:szCs w:val="19"/>
              </w:rPr>
              <w:t>:</w:t>
            </w:r>
          </w:p>
          <w:p w:rsidR="00756E99" w:rsidRPr="009A6DD4" w:rsidRDefault="00756E99" w:rsidP="005C1352">
            <w:pPr>
              <w:jc w:val="left"/>
              <w:rPr>
                <w:color w:val="000000"/>
                <w:sz w:val="18"/>
                <w:szCs w:val="19"/>
              </w:rPr>
            </w:pPr>
            <w:r w:rsidRPr="009A6DD4">
              <w:rPr>
                <w:color w:val="FFFFFF"/>
                <w:sz w:val="18"/>
                <w:szCs w:val="19"/>
              </w:rPr>
              <w:t>[a] PECO’s PY6 annual report shows line losses as a multiplier. SWE has converted to a</w:t>
            </w:r>
            <w:r w:rsidR="00905D02" w:rsidRPr="009A6DD4">
              <w:rPr>
                <w:color w:val="FFFFFF"/>
                <w:sz w:val="18"/>
                <w:szCs w:val="19"/>
              </w:rPr>
              <w:t>n</w:t>
            </w:r>
            <w:r w:rsidRPr="009A6DD4">
              <w:rPr>
                <w:color w:val="FFFFFF"/>
                <w:sz w:val="18"/>
                <w:szCs w:val="19"/>
              </w:rPr>
              <w:t xml:space="preserve"> LLF for consistency in reporting across EDCs.</w:t>
            </w:r>
          </w:p>
        </w:tc>
      </w:tr>
    </w:tbl>
    <w:p w:rsidR="00756E99" w:rsidRDefault="00756E99" w:rsidP="00756E99"/>
    <w:p w:rsidR="00756E99" w:rsidRPr="008A5E9E" w:rsidRDefault="00756E99" w:rsidP="00756E99">
      <w:pPr>
        <w:rPr>
          <w:highlight w:val="lightGray"/>
        </w:rPr>
      </w:pPr>
      <w:r w:rsidRPr="00830ECF">
        <w:t>PECO’s TRC model assigned a</w:t>
      </w:r>
      <w:r>
        <w:t>n</w:t>
      </w:r>
      <w:r w:rsidRPr="00830ECF">
        <w:t xml:space="preserve"> EUL to each measure listed in the TRC model. The </w:t>
      </w:r>
      <w:r>
        <w:t>PA</w:t>
      </w:r>
      <w:r w:rsidRPr="00830ECF">
        <w:t xml:space="preserve"> TRM is provided as the direct source for </w:t>
      </w:r>
      <w:r>
        <w:t>a large majority</w:t>
      </w:r>
      <w:r w:rsidRPr="00830ECF">
        <w:t xml:space="preserve"> of the measures. </w:t>
      </w:r>
      <w:r w:rsidRPr="00485F75">
        <w:t xml:space="preserve">For the remaining measures, measure lives were </w:t>
      </w:r>
      <w:r>
        <w:t xml:space="preserve">typically </w:t>
      </w:r>
      <w:r w:rsidR="00905D02">
        <w:t>cited from the PECO EE&amp;C p</w:t>
      </w:r>
      <w:r w:rsidRPr="00485F75">
        <w:t>lan</w:t>
      </w:r>
      <w:r w:rsidRPr="00353917">
        <w:t>. The SWE Team spot-checked the measure lives in the PECO TRC model</w:t>
      </w:r>
      <w:r>
        <w:t>. While no new inconsistencies were found, the SWE notes that a previous deviation from the TRM</w:t>
      </w:r>
      <w:r w:rsidRPr="00353917">
        <w:t xml:space="preserve"> identified </w:t>
      </w:r>
      <w:r>
        <w:t>in the SWE PY6 annual report remains in the PECO PY7 TRC model</w:t>
      </w:r>
      <w:r w:rsidRPr="00353917">
        <w:t xml:space="preserve">. “Refrigeration – Floating Head Pressure Controls” </w:t>
      </w:r>
      <w:r>
        <w:t>is</w:t>
      </w:r>
      <w:r w:rsidRPr="00353917">
        <w:t xml:space="preserve"> included in </w:t>
      </w:r>
      <w:r>
        <w:t>S</w:t>
      </w:r>
      <w:r w:rsidRPr="00353917">
        <w:t>ection 3.5</w:t>
      </w:r>
      <w:r>
        <w:t>.5</w:t>
      </w:r>
      <w:r w:rsidRPr="00353917">
        <w:t xml:space="preserve"> </w:t>
      </w:r>
      <w:r>
        <w:t>of the 2015</w:t>
      </w:r>
      <w:r w:rsidRPr="00353917">
        <w:t xml:space="preserve"> TRM with a deemed EUL of 15 years. The </w:t>
      </w:r>
      <w:r>
        <w:t xml:space="preserve">PECO </w:t>
      </w:r>
      <w:r w:rsidRPr="00353917">
        <w:t>TRC model applies a 10</w:t>
      </w:r>
      <w:r>
        <w:t>-</w:t>
      </w:r>
      <w:r w:rsidRPr="00353917">
        <w:t xml:space="preserve">year EUL for the same measure. The SWE recommends that PECO </w:t>
      </w:r>
      <w:r>
        <w:t xml:space="preserve">continue to </w:t>
      </w:r>
      <w:r w:rsidRPr="00353917">
        <w:t xml:space="preserve">update the TRC </w:t>
      </w:r>
      <w:r>
        <w:t xml:space="preserve">model </w:t>
      </w:r>
      <w:r w:rsidRPr="00353917">
        <w:t>annually to accurately align with the appropriate TRM</w:t>
      </w:r>
      <w:r>
        <w:t xml:space="preserve"> and prior year SWE recommendations</w:t>
      </w:r>
      <w:r w:rsidRPr="00353917">
        <w:t>, where applicable.</w:t>
      </w:r>
    </w:p>
    <w:p w:rsidR="00756E99" w:rsidRPr="008A5E9E" w:rsidRDefault="00756E99" w:rsidP="00756E99">
      <w:pPr>
        <w:rPr>
          <w:highlight w:val="lightGray"/>
        </w:rPr>
      </w:pPr>
    </w:p>
    <w:p w:rsidR="00756E99" w:rsidRPr="008A5E9E" w:rsidRDefault="00756E99" w:rsidP="00756E99">
      <w:pPr>
        <w:rPr>
          <w:highlight w:val="lightGray"/>
        </w:rPr>
      </w:pPr>
      <w:r w:rsidRPr="00830ECF">
        <w:t>The model applied incremental costs at the measure level, listi</w:t>
      </w:r>
      <w:r>
        <w:t xml:space="preserve">ng sources clearly in the model. </w:t>
      </w:r>
      <w:r w:rsidRPr="00830ECF">
        <w:t xml:space="preserve">The majority of the </w:t>
      </w:r>
      <w:r w:rsidR="00905D02">
        <w:t>values came from the PECO EE&amp;C p</w:t>
      </w:r>
      <w:r w:rsidRPr="00830ECF">
        <w:t xml:space="preserve">lan, with supplemental data sourced from the SWE </w:t>
      </w:r>
      <w:r>
        <w:t xml:space="preserve">measure </w:t>
      </w:r>
      <w:r w:rsidRPr="00830ECF">
        <w:t>cost database and PECO’s tracking data</w:t>
      </w:r>
      <w:r w:rsidRPr="00BC0CAC">
        <w:t>. Appendix B of</w:t>
      </w:r>
      <w:r>
        <w:t xml:space="preserve"> the PECO PY7 annual report provided detailed cost and source information for instances where the measure costs were not derived from the SWE incremental cost database or the PECO EE&amp;C </w:t>
      </w:r>
      <w:r w:rsidR="00905D02">
        <w:t>p</w:t>
      </w:r>
      <w:r>
        <w:t>lan.</w:t>
      </w:r>
    </w:p>
    <w:p w:rsidR="00756E99" w:rsidRPr="008A5E9E" w:rsidRDefault="00756E99" w:rsidP="00756E99">
      <w:pPr>
        <w:rPr>
          <w:highlight w:val="lightGray"/>
        </w:rPr>
      </w:pPr>
    </w:p>
    <w:p w:rsidR="00756E99" w:rsidRDefault="00756E99" w:rsidP="00756E99">
      <w:r w:rsidRPr="002867F2">
        <w:t xml:space="preserve">The PECO TRC model drew the energy and demand impacts from </w:t>
      </w:r>
      <w:r>
        <w:t xml:space="preserve">PECO’s </w:t>
      </w:r>
      <w:r w:rsidRPr="002867F2">
        <w:t>tracking database, which used TRM-specified values and equations to assign ex ante annual savings values to completed measures. The TRC model analysis was based on ex post verified savings, and program impacts were adjusted by an applicable realization rate. Navigant determined realization rates at the program level, with separate realization rates applied to energy and demand impacts. The TRC model extends the ex post verified savings over the effective measure life and summed, by year, for each program</w:t>
      </w:r>
      <w:r w:rsidRPr="0065134E">
        <w:t xml:space="preserve">. </w:t>
      </w:r>
    </w:p>
    <w:p w:rsidR="00756E99" w:rsidRDefault="00756E99" w:rsidP="00756E99"/>
    <w:p w:rsidR="00756E99" w:rsidRPr="00756E99" w:rsidRDefault="002B2C7A" w:rsidP="00756E99">
      <w:r w:rsidRPr="00315229">
        <w:t>The SWE found small differences in verified energy and demand savings in the PECO TRC model and the verified energy and demand savings by program in progra</w:t>
      </w:r>
      <w:r>
        <w:t>m tracking databases and the PY7</w:t>
      </w:r>
      <w:r w:rsidRPr="00315229">
        <w:t xml:space="preserve"> annual report. There were small differences between verified </w:t>
      </w:r>
      <w:r>
        <w:t xml:space="preserve">energy </w:t>
      </w:r>
      <w:r w:rsidRPr="00315229">
        <w:t xml:space="preserve">savings in the PECO TRC and the verified </w:t>
      </w:r>
      <w:r>
        <w:t xml:space="preserve">energy </w:t>
      </w:r>
      <w:r w:rsidRPr="00315229">
        <w:t xml:space="preserve">savings from program tracking databases in </w:t>
      </w:r>
      <w:r>
        <w:t>two programs:</w:t>
      </w:r>
      <w:r w:rsidRPr="00315229">
        <w:t xml:space="preserve"> Smart Home Rebates and Smart </w:t>
      </w:r>
      <w:r>
        <w:t>Appliance Recycling</w:t>
      </w:r>
      <w:r w:rsidRPr="00315229">
        <w:t xml:space="preserve">.  </w:t>
      </w:r>
      <w:r>
        <w:t>Overall, the modeled portfolio energy savings in the TRC model were approximately 200 MWh/yr less than the PY7 verified energy savings from the annual report. For demand savings, there was a 0.6 MW difference between the demand savings for Smart Multi-Family Solutions in the PECO PY7 Annual Report compared to the PECO TRC model. These differences are less than 1% of the total portfolio verified energy savings and have an insignificant impact on the portfolio benefits and TRC ratios.</w:t>
      </w:r>
      <w:r w:rsidR="00756E99" w:rsidRPr="00756E99">
        <w:t xml:space="preserve"> </w:t>
      </w:r>
    </w:p>
    <w:p w:rsidR="00756E99" w:rsidRPr="00756E99" w:rsidRDefault="00756E99" w:rsidP="00756E99"/>
    <w:p w:rsidR="00756E99" w:rsidRDefault="00756E99" w:rsidP="00756E99">
      <w:r>
        <w:t>In PY7, the 2015 TRM instructs</w:t>
      </w:r>
      <w:r w:rsidRPr="00A05319">
        <w:t xml:space="preserve"> EDCs to account for dual baselines with regard to T12 linear fluorescent replacements. The dual baseline adjustment impacts the lifetime energy and demand savings of measures but </w:t>
      </w:r>
      <w:r>
        <w:t>did</w:t>
      </w:r>
      <w:r w:rsidRPr="00A05319">
        <w:t xml:space="preserve"> not i</w:t>
      </w:r>
      <w:r>
        <w:t>mpact first-year savings for PY7</w:t>
      </w:r>
      <w:r w:rsidRPr="00A05319">
        <w:t>. EDCs may choose to reflect the dual baselines either by applying savings adjustment factors or by reducing the EUL to adjust lifetime savings.</w:t>
      </w:r>
      <w:r>
        <w:t xml:space="preserve"> The PECO TRC model uses an adjusted EUL to account for the dual baseline measures and is consistent with the 2015 PA TRM guidance on the issue of dual baselines.</w:t>
      </w:r>
    </w:p>
    <w:p w:rsidR="00756E99" w:rsidRDefault="00756E99" w:rsidP="00756E99"/>
    <w:p w:rsidR="00950837" w:rsidRDefault="00950837" w:rsidP="009C0DF1">
      <w:pPr>
        <w:pStyle w:val="AppendixAHeading3"/>
      </w:pPr>
      <w:r>
        <w:t>Avoided Cost of Capacity</w:t>
      </w:r>
    </w:p>
    <w:p w:rsidR="00756E99" w:rsidRDefault="00756E99" w:rsidP="00756E99">
      <w:r w:rsidRPr="00756E99">
        <w:t>Consistent with prior Phase II p</w:t>
      </w:r>
      <w:r w:rsidR="00905D02">
        <w:t>rogram years, the PY7 PECO TRC m</w:t>
      </w:r>
      <w:r w:rsidRPr="00756E99">
        <w:t>odels use the Phase II approved avoided costs of energy and capacity.  The PY7 models were updated to select the appropriate PY7 stream of avoided costs.</w:t>
      </w:r>
    </w:p>
    <w:p w:rsidR="00756E99" w:rsidRPr="00756E99" w:rsidRDefault="00756E99" w:rsidP="00756E99">
      <w:r w:rsidRPr="00756E99">
        <w:t xml:space="preserve">  </w:t>
      </w:r>
    </w:p>
    <w:p w:rsidR="00950837" w:rsidRDefault="00950837" w:rsidP="009C0DF1">
      <w:pPr>
        <w:pStyle w:val="AppendixAHeading3"/>
      </w:pPr>
      <w:r>
        <w:t>Conclusions and Recommendations</w:t>
      </w:r>
    </w:p>
    <w:p w:rsidR="00756E99" w:rsidRDefault="00756E99" w:rsidP="00756E99">
      <w:r w:rsidRPr="00C92999">
        <w:t>The PECO TRC model was transparent</w:t>
      </w:r>
      <w:r>
        <w:t>,</w:t>
      </w:r>
      <w:r w:rsidRPr="00C92999">
        <w:t xml:space="preserve"> and the SWE observed no significant changes in the TRC model </w:t>
      </w:r>
      <w:r>
        <w:t>during Phase II</w:t>
      </w:r>
      <w:r w:rsidRPr="00C92999">
        <w:t>. The SWE Team determined that the PECO TRC model provided</w:t>
      </w:r>
      <w:r>
        <w:t xml:space="preserve"> the requested</w:t>
      </w:r>
      <w:r w:rsidRPr="00C92999">
        <w:t xml:space="preserve"> details regarding the determination of financial benefits from energy and demand impacts. </w:t>
      </w:r>
      <w:r w:rsidRPr="0065134E">
        <w:t xml:space="preserve">The SWE review determined that there were </w:t>
      </w:r>
      <w:r>
        <w:t>minor</w:t>
      </w:r>
      <w:r w:rsidRPr="0065134E">
        <w:t xml:space="preserve"> differences (</w:t>
      </w:r>
      <w:r>
        <w:t>less than 1%</w:t>
      </w:r>
      <w:r w:rsidRPr="0065134E">
        <w:t>) between the modeled energy and demand savings and the verified ener</w:t>
      </w:r>
      <w:r>
        <w:t>gy and demand savings in the PY7</w:t>
      </w:r>
      <w:r w:rsidR="00905D02">
        <w:t xml:space="preserve"> annual</w:t>
      </w:r>
      <w:r w:rsidRPr="0065134E">
        <w:t xml:space="preserve"> report</w:t>
      </w:r>
      <w:r>
        <w:t>.</w:t>
      </w:r>
    </w:p>
    <w:p w:rsidR="00756E99" w:rsidRDefault="00756E99" w:rsidP="00756E99"/>
    <w:p w:rsidR="00756E99" w:rsidRDefault="00756E99" w:rsidP="00756E99">
      <w:r w:rsidRPr="00927DF3">
        <w:t>The SWE Team also requests that PECO use the discount rate</w:t>
      </w:r>
      <w:r w:rsidR="00905D02">
        <w:t xml:space="preserve"> approved in its Phase II EE&amp;C p</w:t>
      </w:r>
      <w:r w:rsidRPr="00927DF3">
        <w:t xml:space="preserve">lan </w:t>
      </w:r>
      <w:r>
        <w:t xml:space="preserve">unless an updated factor was </w:t>
      </w:r>
      <w:r w:rsidRPr="00927DF3">
        <w:t xml:space="preserve">approved through an amended plan filing. Although the difference in TRC ratio at the portfolio level is slight, using a 7.6% discount rate rather than the 7.4% discount </w:t>
      </w:r>
      <w:r w:rsidR="00905D02">
        <w:t>rate approved in the PECO EE&amp;C p</w:t>
      </w:r>
      <w:r w:rsidRPr="00927DF3">
        <w:t xml:space="preserve">lan lowers the </w:t>
      </w:r>
      <w:r>
        <w:t>TRC benefits associated with PY7</w:t>
      </w:r>
      <w:r w:rsidRPr="00927DF3">
        <w:t xml:space="preserve"> offerings by approximately $</w:t>
      </w:r>
      <w:r>
        <w:t>5</w:t>
      </w:r>
      <w:r w:rsidRPr="00927DF3">
        <w:t xml:space="preserve"> million</w:t>
      </w:r>
      <w:r>
        <w:t>.</w:t>
      </w:r>
    </w:p>
    <w:p w:rsidR="00280EAE" w:rsidRDefault="00280EAE" w:rsidP="00756E99"/>
    <w:p w:rsidR="00950837" w:rsidRDefault="00950837" w:rsidP="000D3563">
      <w:pPr>
        <w:pStyle w:val="AppendixAHeading2"/>
      </w:pPr>
      <w:r>
        <w:t>Status of Evaluation Activities</w:t>
      </w:r>
    </w:p>
    <w:p w:rsidR="001B5BFF" w:rsidRPr="001B5BFF" w:rsidRDefault="001B5BFF" w:rsidP="001B5BFF">
      <w:r w:rsidRPr="001B5BFF">
        <w:t xml:space="preserve">This section discusses the status of </w:t>
      </w:r>
      <w:r>
        <w:t>PECO’s</w:t>
      </w:r>
      <w:r w:rsidRPr="001B5BFF">
        <w:t xml:space="preserve"> EM&amp;V plans, M&amp;V activities and findings, and process evaluation activities and findings.</w:t>
      </w:r>
    </w:p>
    <w:p w:rsidR="001B5BFF" w:rsidRPr="00280EAE" w:rsidRDefault="001B5BFF" w:rsidP="00280EAE"/>
    <w:p w:rsidR="00950837" w:rsidRDefault="00950837" w:rsidP="009C0DF1">
      <w:pPr>
        <w:pStyle w:val="AppendixAHeading3"/>
      </w:pPr>
      <w:r>
        <w:t>Status of Evaluation, Measurement</w:t>
      </w:r>
      <w:r w:rsidR="00905D02">
        <w:t>,</w:t>
      </w:r>
      <w:r>
        <w:t xml:space="preserve"> and Verification Plans</w:t>
      </w:r>
    </w:p>
    <w:p w:rsidR="009847AC" w:rsidRDefault="009847AC" w:rsidP="009847AC">
      <w:r w:rsidRPr="009847AC">
        <w:t xml:space="preserve">This section discusses the status of </w:t>
      </w:r>
      <w:r>
        <w:t>PECO’s</w:t>
      </w:r>
      <w:r w:rsidRPr="009847AC">
        <w:t xml:space="preserve"> EM&amp;V plans, M&amp;V activities and findings, and process evaluation activities and findings.</w:t>
      </w:r>
    </w:p>
    <w:p w:rsidR="00496A99" w:rsidRDefault="00496A99" w:rsidP="009847AC"/>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87"/>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DD3B6D" w:rsidRDefault="00DD3B6D" w:rsidP="00DD3B6D">
      <w:pPr>
        <w:pStyle w:val="bullettext"/>
        <w:spacing w:after="0"/>
      </w:pPr>
    </w:p>
    <w:p w:rsidR="00DD3B6D" w:rsidRPr="008A5E9E" w:rsidRDefault="00791B40" w:rsidP="00DD3B6D">
      <w:pPr>
        <w:pStyle w:val="bullettext"/>
        <w:spacing w:after="0"/>
        <w:rPr>
          <w:color w:val="000000"/>
        </w:rPr>
      </w:pPr>
      <w:r>
        <w:rPr>
          <w:color w:val="000000"/>
        </w:rPr>
        <w:fldChar w:fldCharType="begin"/>
      </w:r>
      <w:r>
        <w:rPr>
          <w:color w:val="000000"/>
        </w:rPr>
        <w:instrText xml:space="preserve"> REF _Ref472359518 \h </w:instrText>
      </w:r>
      <w:r>
        <w:rPr>
          <w:color w:val="000000"/>
        </w:rPr>
      </w:r>
      <w:r>
        <w:rPr>
          <w:color w:val="000000"/>
        </w:rPr>
        <w:fldChar w:fldCharType="separate"/>
      </w:r>
      <w:r w:rsidR="00037CB4">
        <w:t>Table A-</w:t>
      </w:r>
      <w:r w:rsidR="00037CB4">
        <w:rPr>
          <w:noProof/>
        </w:rPr>
        <w:t>107</w:t>
      </w:r>
      <w:r>
        <w:rPr>
          <w:color w:val="000000"/>
        </w:rPr>
        <w:fldChar w:fldCharType="end"/>
      </w:r>
      <w:r>
        <w:rPr>
          <w:color w:val="000000"/>
        </w:rPr>
        <w:t xml:space="preserve"> </w:t>
      </w:r>
      <w:r w:rsidR="00DD3B6D" w:rsidRPr="008A5E9E">
        <w:rPr>
          <w:color w:val="000000"/>
        </w:rPr>
        <w:t>displays key milestones completed</w:t>
      </w:r>
      <w:r w:rsidR="00DD3B6D">
        <w:rPr>
          <w:color w:val="000000"/>
        </w:rPr>
        <w:t xml:space="preserve"> </w:t>
      </w:r>
      <w:r w:rsidR="00DD3B6D" w:rsidRPr="009472F6">
        <w:t xml:space="preserve">by </w:t>
      </w:r>
      <w:r w:rsidR="00DD3B6D">
        <w:t>PECO</w:t>
      </w:r>
      <w:r w:rsidR="00DD3B6D" w:rsidRPr="009472F6">
        <w:t xml:space="preserve"> and the SWE</w:t>
      </w:r>
      <w:r w:rsidR="00DD3B6D">
        <w:rPr>
          <w:color w:val="000000"/>
        </w:rPr>
        <w:t xml:space="preserve"> for the company’s Phase II EM&amp;V Plan</w:t>
      </w:r>
      <w:r w:rsidR="00DD3B6D" w:rsidRPr="008A5E9E">
        <w:rPr>
          <w:color w:val="000000"/>
        </w:rPr>
        <w:t>.</w:t>
      </w:r>
    </w:p>
    <w:p w:rsidR="00DD3B6D" w:rsidRPr="008A5E9E" w:rsidRDefault="00DD3B6D" w:rsidP="00DD3B6D">
      <w:pPr>
        <w:pStyle w:val="bullettext"/>
        <w:spacing w:after="0"/>
        <w:rPr>
          <w:color w:val="000000"/>
          <w:highlight w:val="cyan"/>
        </w:rPr>
      </w:pPr>
    </w:p>
    <w:p w:rsidR="00DD3B6D" w:rsidRPr="00362FC4" w:rsidRDefault="00791B40" w:rsidP="004837FA">
      <w:pPr>
        <w:pStyle w:val="Caption"/>
      </w:pPr>
      <w:bookmarkStart w:id="1103" w:name="_Ref472359518"/>
      <w:bookmarkStart w:id="1104" w:name="_Toc445206245"/>
      <w:bookmarkStart w:id="1105" w:name="_Toc472472516"/>
      <w:bookmarkStart w:id="1106" w:name="_Toc488741935"/>
      <w:r>
        <w:t>Table A-</w:t>
      </w:r>
      <w:r w:rsidR="007973A4">
        <w:fldChar w:fldCharType="begin"/>
      </w:r>
      <w:r w:rsidR="007973A4">
        <w:instrText xml:space="preserve"> SEQ Table_A- \* ARABIC </w:instrText>
      </w:r>
      <w:r w:rsidR="007973A4">
        <w:fldChar w:fldCharType="separate"/>
      </w:r>
      <w:r w:rsidR="00037CB4">
        <w:rPr>
          <w:noProof/>
        </w:rPr>
        <w:t>107</w:t>
      </w:r>
      <w:r w:rsidR="007973A4">
        <w:rPr>
          <w:noProof/>
        </w:rPr>
        <w:fldChar w:fldCharType="end"/>
      </w:r>
      <w:bookmarkEnd w:id="1103"/>
      <w:r>
        <w:t xml:space="preserve">: </w:t>
      </w:r>
      <w:r w:rsidR="00DD3B6D" w:rsidRPr="006624AC">
        <w:t>Key</w:t>
      </w:r>
      <w:r w:rsidR="00DD3B6D">
        <w:t xml:space="preserve"> Milestones Reached for PECO’s Phase II EM&amp;V Plan</w:t>
      </w:r>
      <w:bookmarkEnd w:id="1104"/>
      <w:bookmarkEnd w:id="1105"/>
      <w:bookmarkEnd w:id="1106"/>
    </w:p>
    <w:tbl>
      <w:tblPr>
        <w:tblW w:w="9355" w:type="dxa"/>
        <w:jc w:val="center"/>
        <w:tblLayout w:type="fixed"/>
        <w:tblLook w:val="04A0" w:firstRow="1" w:lastRow="0" w:firstColumn="1" w:lastColumn="0" w:noHBand="0" w:noVBand="1"/>
      </w:tblPr>
      <w:tblGrid>
        <w:gridCol w:w="2065"/>
        <w:gridCol w:w="7290"/>
      </w:tblGrid>
      <w:tr w:rsidR="00E7173E" w:rsidRPr="00124B6E" w:rsidTr="008F60E1">
        <w:trPr>
          <w:cantSplit/>
          <w:trHeight w:val="197"/>
          <w:tblHeader/>
          <w:jc w:val="center"/>
        </w:trPr>
        <w:tc>
          <w:tcPr>
            <w:tcW w:w="206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124B6E" w:rsidRDefault="00DD3B6D" w:rsidP="008C2D5E">
            <w:pPr>
              <w:jc w:val="left"/>
              <w:rPr>
                <w:b/>
                <w:bCs/>
                <w:color w:val="FFFFFF"/>
                <w:sz w:val="19"/>
                <w:szCs w:val="19"/>
              </w:rPr>
            </w:pPr>
            <w:r w:rsidRPr="00124B6E">
              <w:rPr>
                <w:b/>
                <w:bCs/>
                <w:color w:val="FFFFFF"/>
                <w:sz w:val="19"/>
                <w:szCs w:val="19"/>
              </w:rPr>
              <w:t>Date</w:t>
            </w:r>
          </w:p>
        </w:tc>
        <w:tc>
          <w:tcPr>
            <w:tcW w:w="7290" w:type="dxa"/>
            <w:tcBorders>
              <w:top w:val="single" w:sz="4" w:space="0" w:color="448A99"/>
              <w:left w:val="nil"/>
              <w:bottom w:val="single" w:sz="4" w:space="0" w:color="448A99"/>
              <w:right w:val="single" w:sz="4" w:space="0" w:color="448A99"/>
            </w:tcBorders>
            <w:shd w:val="clear" w:color="000000" w:fill="448A99"/>
            <w:vAlign w:val="bottom"/>
          </w:tcPr>
          <w:p w:rsidR="00DD3B6D" w:rsidRPr="00124B6E" w:rsidRDefault="00DD3B6D" w:rsidP="008C2D5E">
            <w:pPr>
              <w:jc w:val="left"/>
              <w:rPr>
                <w:b/>
                <w:bCs/>
                <w:color w:val="FFFFFF"/>
                <w:sz w:val="19"/>
                <w:szCs w:val="19"/>
              </w:rPr>
            </w:pPr>
            <w:r w:rsidRPr="00124B6E">
              <w:rPr>
                <w:b/>
                <w:bCs/>
                <w:color w:val="FFFFFF"/>
                <w:sz w:val="19"/>
                <w:szCs w:val="19"/>
              </w:rPr>
              <w:t>Event</w:t>
            </w:r>
          </w:p>
        </w:tc>
      </w:tr>
      <w:tr w:rsidR="00E7173E" w:rsidRPr="00124B6E" w:rsidTr="008F60E1">
        <w:trPr>
          <w:trHeight w:val="374"/>
          <w:jc w:val="center"/>
        </w:trPr>
        <w:tc>
          <w:tcPr>
            <w:tcW w:w="2065" w:type="dxa"/>
            <w:tcBorders>
              <w:top w:val="nil"/>
              <w:left w:val="single" w:sz="4" w:space="0" w:color="448A99"/>
              <w:bottom w:val="single" w:sz="4" w:space="0" w:color="448A99"/>
              <w:right w:val="single" w:sz="4" w:space="0" w:color="448A99"/>
            </w:tcBorders>
            <w:shd w:val="clear" w:color="auto" w:fill="D2EAF1"/>
            <w:vAlign w:val="center"/>
          </w:tcPr>
          <w:p w:rsidR="00DD3B6D" w:rsidRPr="00124B6E" w:rsidRDefault="00DD3B6D" w:rsidP="008C2D5E">
            <w:pPr>
              <w:jc w:val="left"/>
              <w:rPr>
                <w:bCs/>
                <w:color w:val="000000"/>
                <w:sz w:val="19"/>
                <w:szCs w:val="19"/>
              </w:rPr>
            </w:pPr>
            <w:r w:rsidRPr="00124B6E">
              <w:rPr>
                <w:sz w:val="19"/>
                <w:szCs w:val="19"/>
              </w:rPr>
              <w:t>August 30, 2013</w:t>
            </w:r>
          </w:p>
        </w:tc>
        <w:tc>
          <w:tcPr>
            <w:tcW w:w="7290" w:type="dxa"/>
            <w:tcBorders>
              <w:top w:val="nil"/>
              <w:left w:val="nil"/>
              <w:bottom w:val="single" w:sz="4" w:space="0" w:color="448A99"/>
              <w:right w:val="single" w:sz="4" w:space="0" w:color="448A99"/>
            </w:tcBorders>
            <w:shd w:val="clear" w:color="auto" w:fill="D2EAF1"/>
            <w:vAlign w:val="center"/>
          </w:tcPr>
          <w:p w:rsidR="00DD3B6D" w:rsidRPr="00124B6E" w:rsidRDefault="00DD3B6D" w:rsidP="008C2D5E">
            <w:pPr>
              <w:jc w:val="left"/>
              <w:rPr>
                <w:color w:val="000000"/>
                <w:sz w:val="19"/>
                <w:szCs w:val="19"/>
              </w:rPr>
            </w:pPr>
            <w:r w:rsidRPr="00124B6E">
              <w:rPr>
                <w:sz w:val="19"/>
                <w:szCs w:val="19"/>
              </w:rPr>
              <w:t>PECO submits first draft of Phase II evaluation plan to the PUC and SWE</w:t>
            </w:r>
          </w:p>
        </w:tc>
      </w:tr>
      <w:tr w:rsidR="00E7173E" w:rsidRPr="00124B6E" w:rsidTr="008F60E1">
        <w:trPr>
          <w:trHeight w:val="374"/>
          <w:jc w:val="center"/>
        </w:trPr>
        <w:tc>
          <w:tcPr>
            <w:tcW w:w="2065" w:type="dxa"/>
            <w:tcBorders>
              <w:top w:val="nil"/>
              <w:left w:val="single" w:sz="4" w:space="0" w:color="448A99"/>
              <w:bottom w:val="single" w:sz="4" w:space="0" w:color="448A99"/>
              <w:right w:val="single" w:sz="4" w:space="0" w:color="448A99"/>
            </w:tcBorders>
            <w:shd w:val="clear" w:color="auto" w:fill="auto"/>
            <w:vAlign w:val="center"/>
          </w:tcPr>
          <w:p w:rsidR="00DD3B6D" w:rsidRPr="00124B6E" w:rsidRDefault="00DD3B6D" w:rsidP="008C2D5E">
            <w:pPr>
              <w:jc w:val="left"/>
              <w:rPr>
                <w:bCs/>
                <w:color w:val="000000"/>
                <w:sz w:val="19"/>
                <w:szCs w:val="19"/>
                <w:lang w:eastAsia="zh-CN"/>
              </w:rPr>
            </w:pPr>
            <w:r w:rsidRPr="00124B6E">
              <w:rPr>
                <w:sz w:val="19"/>
                <w:szCs w:val="19"/>
              </w:rPr>
              <w:t>October 15, 2013</w:t>
            </w:r>
          </w:p>
        </w:tc>
        <w:tc>
          <w:tcPr>
            <w:tcW w:w="7290" w:type="dxa"/>
            <w:tcBorders>
              <w:top w:val="nil"/>
              <w:left w:val="nil"/>
              <w:bottom w:val="single" w:sz="4" w:space="0" w:color="448A99"/>
              <w:right w:val="single" w:sz="4" w:space="0" w:color="448A99"/>
            </w:tcBorders>
            <w:shd w:val="clear" w:color="auto" w:fill="auto"/>
            <w:vAlign w:val="center"/>
          </w:tcPr>
          <w:p w:rsidR="00DD3B6D" w:rsidRPr="00124B6E" w:rsidRDefault="00DD3B6D" w:rsidP="008C2D5E">
            <w:pPr>
              <w:jc w:val="left"/>
              <w:rPr>
                <w:color w:val="000000"/>
                <w:sz w:val="19"/>
                <w:szCs w:val="19"/>
              </w:rPr>
            </w:pPr>
            <w:r w:rsidRPr="00124B6E">
              <w:rPr>
                <w:sz w:val="19"/>
                <w:szCs w:val="19"/>
              </w:rPr>
              <w:t>SWE returns comments on PECO evaluation plan to PECO</w:t>
            </w:r>
          </w:p>
        </w:tc>
      </w:tr>
      <w:tr w:rsidR="00E7173E" w:rsidRPr="00124B6E" w:rsidTr="008F60E1">
        <w:trPr>
          <w:trHeight w:val="374"/>
          <w:jc w:val="center"/>
        </w:trPr>
        <w:tc>
          <w:tcPr>
            <w:tcW w:w="2065" w:type="dxa"/>
            <w:tcBorders>
              <w:top w:val="nil"/>
              <w:left w:val="single" w:sz="4" w:space="0" w:color="448A99"/>
              <w:bottom w:val="single" w:sz="4" w:space="0" w:color="448A99"/>
              <w:right w:val="single" w:sz="4" w:space="0" w:color="448A99"/>
            </w:tcBorders>
            <w:shd w:val="clear" w:color="auto" w:fill="D2EAF1"/>
            <w:vAlign w:val="center"/>
          </w:tcPr>
          <w:p w:rsidR="00DD3B6D" w:rsidRPr="00124B6E" w:rsidRDefault="00DD3B6D" w:rsidP="008C2D5E">
            <w:pPr>
              <w:jc w:val="left"/>
              <w:rPr>
                <w:bCs/>
                <w:color w:val="000000"/>
                <w:sz w:val="19"/>
                <w:szCs w:val="19"/>
                <w:lang w:eastAsia="zh-CN"/>
              </w:rPr>
            </w:pPr>
            <w:r w:rsidRPr="00124B6E">
              <w:rPr>
                <w:sz w:val="19"/>
                <w:szCs w:val="19"/>
              </w:rPr>
              <w:t>November 7, 2013</w:t>
            </w:r>
          </w:p>
        </w:tc>
        <w:tc>
          <w:tcPr>
            <w:tcW w:w="7290" w:type="dxa"/>
            <w:tcBorders>
              <w:top w:val="nil"/>
              <w:left w:val="nil"/>
              <w:bottom w:val="single" w:sz="4" w:space="0" w:color="448A99"/>
              <w:right w:val="single" w:sz="4" w:space="0" w:color="448A99"/>
            </w:tcBorders>
            <w:shd w:val="clear" w:color="auto" w:fill="D2EAF1"/>
            <w:vAlign w:val="center"/>
          </w:tcPr>
          <w:p w:rsidR="00DD3B6D" w:rsidRPr="00124B6E" w:rsidRDefault="00DD3B6D" w:rsidP="008C2D5E">
            <w:pPr>
              <w:jc w:val="left"/>
              <w:rPr>
                <w:color w:val="000000"/>
                <w:sz w:val="19"/>
                <w:szCs w:val="19"/>
              </w:rPr>
            </w:pPr>
            <w:r w:rsidRPr="00124B6E">
              <w:rPr>
                <w:sz w:val="19"/>
                <w:szCs w:val="19"/>
              </w:rPr>
              <w:t>PECO submits revised EM&amp;V Plan to the PUC and SWE</w:t>
            </w:r>
          </w:p>
        </w:tc>
      </w:tr>
      <w:tr w:rsidR="00E7173E" w:rsidRPr="00124B6E" w:rsidTr="008F60E1">
        <w:trPr>
          <w:trHeight w:val="374"/>
          <w:jc w:val="center"/>
        </w:trPr>
        <w:tc>
          <w:tcPr>
            <w:tcW w:w="2065" w:type="dxa"/>
            <w:tcBorders>
              <w:top w:val="nil"/>
              <w:left w:val="single" w:sz="4" w:space="0" w:color="448A99"/>
              <w:bottom w:val="single" w:sz="4" w:space="0" w:color="448A99"/>
              <w:right w:val="single" w:sz="4" w:space="0" w:color="448A99"/>
            </w:tcBorders>
            <w:shd w:val="clear" w:color="auto" w:fill="auto"/>
            <w:vAlign w:val="center"/>
          </w:tcPr>
          <w:p w:rsidR="00DD3B6D" w:rsidRPr="00124B6E" w:rsidRDefault="00DD3B6D" w:rsidP="008C2D5E">
            <w:pPr>
              <w:jc w:val="left"/>
              <w:rPr>
                <w:bCs/>
                <w:color w:val="000000"/>
                <w:sz w:val="19"/>
                <w:szCs w:val="19"/>
                <w:lang w:eastAsia="zh-CN"/>
              </w:rPr>
            </w:pPr>
            <w:r w:rsidRPr="00124B6E">
              <w:rPr>
                <w:sz w:val="19"/>
                <w:szCs w:val="19"/>
              </w:rPr>
              <w:t>November 7, 2013</w:t>
            </w:r>
          </w:p>
        </w:tc>
        <w:tc>
          <w:tcPr>
            <w:tcW w:w="7290" w:type="dxa"/>
            <w:tcBorders>
              <w:top w:val="nil"/>
              <w:left w:val="nil"/>
              <w:bottom w:val="single" w:sz="4" w:space="0" w:color="448A99"/>
              <w:right w:val="single" w:sz="4" w:space="0" w:color="448A99"/>
            </w:tcBorders>
            <w:shd w:val="clear" w:color="auto" w:fill="auto"/>
            <w:vAlign w:val="center"/>
          </w:tcPr>
          <w:p w:rsidR="00DD3B6D" w:rsidRPr="00124B6E" w:rsidRDefault="00DD3B6D" w:rsidP="008C2D5E">
            <w:pPr>
              <w:jc w:val="left"/>
              <w:rPr>
                <w:color w:val="000000"/>
                <w:sz w:val="19"/>
                <w:szCs w:val="19"/>
              </w:rPr>
            </w:pPr>
            <w:r w:rsidRPr="00124B6E">
              <w:rPr>
                <w:sz w:val="19"/>
                <w:szCs w:val="19"/>
              </w:rPr>
              <w:t>SWE approves the revised PECO EM&amp;V Plan</w:t>
            </w:r>
          </w:p>
        </w:tc>
      </w:tr>
      <w:tr w:rsidR="00E7173E" w:rsidRPr="00124B6E" w:rsidTr="008F60E1">
        <w:trPr>
          <w:trHeight w:val="374"/>
          <w:jc w:val="center"/>
        </w:trPr>
        <w:tc>
          <w:tcPr>
            <w:tcW w:w="2065" w:type="dxa"/>
            <w:tcBorders>
              <w:top w:val="nil"/>
              <w:left w:val="single" w:sz="4" w:space="0" w:color="448A99"/>
              <w:bottom w:val="single" w:sz="8" w:space="0" w:color="448A99"/>
              <w:right w:val="single" w:sz="4" w:space="0" w:color="448A99"/>
            </w:tcBorders>
            <w:shd w:val="clear" w:color="auto" w:fill="D2EAF1"/>
            <w:vAlign w:val="center"/>
          </w:tcPr>
          <w:p w:rsidR="00DD3B6D" w:rsidRPr="00124B6E" w:rsidRDefault="00DD3B6D" w:rsidP="008C2D5E">
            <w:pPr>
              <w:jc w:val="left"/>
              <w:rPr>
                <w:bCs/>
                <w:color w:val="000000"/>
                <w:sz w:val="19"/>
                <w:szCs w:val="19"/>
              </w:rPr>
            </w:pPr>
            <w:r w:rsidRPr="00124B6E">
              <w:rPr>
                <w:sz w:val="19"/>
                <w:szCs w:val="19"/>
              </w:rPr>
              <w:t>June 1, 2014</w:t>
            </w:r>
          </w:p>
        </w:tc>
        <w:tc>
          <w:tcPr>
            <w:tcW w:w="7290" w:type="dxa"/>
            <w:tcBorders>
              <w:top w:val="nil"/>
              <w:left w:val="nil"/>
              <w:bottom w:val="single" w:sz="8" w:space="0" w:color="448A99"/>
              <w:right w:val="single" w:sz="4" w:space="0" w:color="448A99"/>
            </w:tcBorders>
            <w:shd w:val="clear" w:color="auto" w:fill="D2EAF1"/>
            <w:vAlign w:val="center"/>
          </w:tcPr>
          <w:p w:rsidR="00DD3B6D" w:rsidRPr="00124B6E" w:rsidRDefault="00DD3B6D" w:rsidP="008C2D5E">
            <w:pPr>
              <w:jc w:val="left"/>
              <w:rPr>
                <w:color w:val="000000"/>
                <w:sz w:val="19"/>
                <w:szCs w:val="19"/>
              </w:rPr>
            </w:pPr>
            <w:r w:rsidRPr="00124B6E">
              <w:rPr>
                <w:sz w:val="19"/>
                <w:szCs w:val="19"/>
              </w:rPr>
              <w:t>PY6 starts</w:t>
            </w:r>
          </w:p>
        </w:tc>
      </w:tr>
      <w:tr w:rsidR="00E7173E" w:rsidRPr="00124B6E" w:rsidTr="008F60E1">
        <w:trPr>
          <w:trHeight w:val="374"/>
          <w:jc w:val="center"/>
        </w:trPr>
        <w:tc>
          <w:tcPr>
            <w:tcW w:w="2065" w:type="dxa"/>
            <w:tcBorders>
              <w:top w:val="single" w:sz="8" w:space="0" w:color="448A99"/>
              <w:left w:val="single" w:sz="4" w:space="0" w:color="448A99"/>
              <w:bottom w:val="single" w:sz="4" w:space="0" w:color="448A99"/>
              <w:right w:val="single" w:sz="4" w:space="0" w:color="448A99"/>
            </w:tcBorders>
            <w:shd w:val="clear" w:color="auto" w:fill="FFFFFF"/>
            <w:vAlign w:val="center"/>
          </w:tcPr>
          <w:p w:rsidR="00DD3B6D" w:rsidRPr="00124B6E" w:rsidRDefault="00DD3B6D" w:rsidP="008C2D5E">
            <w:pPr>
              <w:jc w:val="left"/>
              <w:rPr>
                <w:sz w:val="19"/>
                <w:szCs w:val="19"/>
              </w:rPr>
            </w:pPr>
            <w:r w:rsidRPr="00124B6E">
              <w:rPr>
                <w:sz w:val="19"/>
                <w:szCs w:val="19"/>
              </w:rPr>
              <w:t>January 7, 2015</w:t>
            </w:r>
          </w:p>
        </w:tc>
        <w:tc>
          <w:tcPr>
            <w:tcW w:w="7290" w:type="dxa"/>
            <w:tcBorders>
              <w:top w:val="single" w:sz="8" w:space="0" w:color="448A99"/>
              <w:left w:val="nil"/>
              <w:bottom w:val="single" w:sz="4" w:space="0" w:color="448A99"/>
              <w:right w:val="single" w:sz="4" w:space="0" w:color="448A99"/>
            </w:tcBorders>
            <w:shd w:val="clear" w:color="auto" w:fill="FFFFFF"/>
            <w:vAlign w:val="center"/>
          </w:tcPr>
          <w:p w:rsidR="00DD3B6D" w:rsidRPr="00124B6E" w:rsidRDefault="00DD3B6D" w:rsidP="008C2D5E">
            <w:pPr>
              <w:jc w:val="left"/>
              <w:rPr>
                <w:sz w:val="19"/>
                <w:szCs w:val="19"/>
              </w:rPr>
            </w:pPr>
            <w:r w:rsidRPr="00124B6E">
              <w:rPr>
                <w:sz w:val="19"/>
                <w:szCs w:val="19"/>
              </w:rPr>
              <w:t>PECO submits revisions to PECO PY6 EM&amp;V Plans</w:t>
            </w:r>
          </w:p>
        </w:tc>
      </w:tr>
    </w:tbl>
    <w:p w:rsidR="00DD3B6D" w:rsidRPr="008A5E9E" w:rsidRDefault="00DD3B6D" w:rsidP="00DD3B6D">
      <w:pPr>
        <w:pStyle w:val="bullettext"/>
        <w:spacing w:after="0"/>
        <w:rPr>
          <w:color w:val="000000"/>
          <w:highlight w:val="cyan"/>
        </w:rPr>
      </w:pPr>
    </w:p>
    <w:p w:rsidR="00DD3B6D" w:rsidRDefault="00DD3B6D" w:rsidP="00DD3B6D">
      <w:r w:rsidRPr="00E65C44">
        <w:t xml:space="preserve">PECO’s initial EM&amp;V Plan, submitted August 30, 2013, detailed proposed evaluation objectives and activities for 15 programs across two sectors. Key evaluation issues, impact evaluation details, process evaluation details, sampling plans, and key contacts were presented for each of the 15 programs. After reviewing the plan, the SWE Team returned 89 comments to PECO. The SWE’s substantive recommended revisions to the plan are described in Section 5.3.1 of the </w:t>
      </w:r>
      <w:r>
        <w:t>SWE’s PY5 an</w:t>
      </w:r>
      <w:r w:rsidRPr="00E65C44">
        <w:t xml:space="preserve">nual </w:t>
      </w:r>
      <w:r>
        <w:t>r</w:t>
      </w:r>
      <w:r w:rsidRPr="00E65C44">
        <w:t xml:space="preserve">eport to the PUC. </w:t>
      </w:r>
    </w:p>
    <w:p w:rsidR="00DD3B6D" w:rsidRPr="00E65C44" w:rsidRDefault="00DD3B6D" w:rsidP="00DD3B6D"/>
    <w:p w:rsidR="00DD3B6D" w:rsidRDefault="00DD3B6D" w:rsidP="00DD3B6D">
      <w:r w:rsidRPr="00E65C44">
        <w:t xml:space="preserve">The SWE Team reviewed </w:t>
      </w:r>
      <w:r>
        <w:t xml:space="preserve">the </w:t>
      </w:r>
      <w:r w:rsidRPr="00E65C44">
        <w:t>revisions provided by PECO on November 7, 2013 and approved the final Phase II EM&amp;V Plan. The SWE Team’s review of the evaluation activities revealed that the plan was followed appropriately for all EM&amp;V activities occurring in PY5.</w:t>
      </w:r>
    </w:p>
    <w:p w:rsidR="00DD3B6D" w:rsidRPr="00E65C44" w:rsidRDefault="00DD3B6D" w:rsidP="00DD3B6D"/>
    <w:p w:rsidR="00DD3B6D" w:rsidRPr="00324BBD" w:rsidRDefault="00DD3B6D" w:rsidP="00DD3B6D">
      <w:pPr>
        <w:spacing w:after="120"/>
      </w:pPr>
      <w:r w:rsidRPr="00324BBD">
        <w:t xml:space="preserve">PECO submitted </w:t>
      </w:r>
      <w:r>
        <w:t>11</w:t>
      </w:r>
      <w:r w:rsidRPr="00324BBD">
        <w:t xml:space="preserve"> changes to the evaluation plan for PY6</w:t>
      </w:r>
      <w:r>
        <w:t>:</w:t>
      </w:r>
      <w:r w:rsidRPr="00324BBD">
        <w:t xml:space="preserve"> </w:t>
      </w:r>
    </w:p>
    <w:p w:rsidR="00DD3B6D" w:rsidRDefault="00DD3B6D" w:rsidP="00D405A7">
      <w:pPr>
        <w:pStyle w:val="ListParagraph"/>
        <w:numPr>
          <w:ilvl w:val="0"/>
          <w:numId w:val="25"/>
        </w:numPr>
        <w:spacing w:after="120"/>
        <w:contextualSpacing w:val="0"/>
      </w:pPr>
      <w:r>
        <w:t>For the Smart Appliance Recycling program, telephone surveys of secondary market actors were performed as part of the secondary market research.</w:t>
      </w:r>
    </w:p>
    <w:p w:rsidR="00DD3B6D" w:rsidRDefault="00DD3B6D" w:rsidP="00D405A7">
      <w:pPr>
        <w:pStyle w:val="ListParagraph"/>
        <w:numPr>
          <w:ilvl w:val="0"/>
          <w:numId w:val="25"/>
        </w:numPr>
        <w:spacing w:after="120"/>
        <w:contextualSpacing w:val="0"/>
      </w:pPr>
      <w:r w:rsidRPr="00411362">
        <w:t>For the Smart AC Saver program, participant surveys and a gross impact load study were moved from PY6 to PY7. Additionally, a new task of exploring NTG was added to the PY7 activities</w:t>
      </w:r>
      <w:r>
        <w:t>.</w:t>
      </w:r>
    </w:p>
    <w:p w:rsidR="00DD3B6D" w:rsidRDefault="00DD3B6D" w:rsidP="00D405A7">
      <w:pPr>
        <w:pStyle w:val="ListParagraph"/>
        <w:numPr>
          <w:ilvl w:val="0"/>
          <w:numId w:val="25"/>
        </w:numPr>
        <w:spacing w:after="120"/>
        <w:contextualSpacing w:val="0"/>
      </w:pPr>
      <w:r>
        <w:t xml:space="preserve">Four program evaluation tasks for lighting measures and one task for non-lighting measures were added to the evaluation plan for the Smart Home Rebates Program. Project data for this program were not examined from a randomly selected set of records to confirm installations of tracking systems in PY6, but were to be examined in PY7. Two additional evaluation activities were conducted for this program in PY6: a web-based survey instrument and price elasticity modeling on sales data. </w:t>
      </w:r>
    </w:p>
    <w:p w:rsidR="00DD3B6D" w:rsidRDefault="00DD3B6D" w:rsidP="00D405A7">
      <w:pPr>
        <w:pStyle w:val="ListParagraph"/>
        <w:numPr>
          <w:ilvl w:val="0"/>
          <w:numId w:val="25"/>
        </w:numPr>
        <w:spacing w:after="120"/>
        <w:contextualSpacing w:val="0"/>
      </w:pPr>
      <w:r>
        <w:t xml:space="preserve">Three program evaluation tasks were added to the Smart House Call (SHC) Program. </w:t>
      </w:r>
      <w:r w:rsidRPr="00493F6B">
        <w:t xml:space="preserve">The PECO evaluation plan submitted to the SWE </w:t>
      </w:r>
      <w:r w:rsidRPr="00C87A3C">
        <w:t xml:space="preserve">before the PY6 program evaluation began </w:t>
      </w:r>
      <w:r w:rsidRPr="00493F6B">
        <w:t>provided that “I</w:t>
      </w:r>
      <w:r>
        <w:t>n PY6 and PY7, the evaluation team will analyze the frequency in which participants have subsequently participated in additional Smart Ideas programs.” Sampling for SHC was changed from an 85/15 to a 90/10 confidence/precision interval for NTG estimation.</w:t>
      </w:r>
    </w:p>
    <w:p w:rsidR="00DD3B6D" w:rsidRDefault="00DD3B6D" w:rsidP="00D405A7">
      <w:pPr>
        <w:pStyle w:val="ListParagraph"/>
        <w:numPr>
          <w:ilvl w:val="0"/>
          <w:numId w:val="25"/>
        </w:numPr>
        <w:spacing w:after="120"/>
        <w:contextualSpacing w:val="0"/>
      </w:pPr>
      <w:r>
        <w:t xml:space="preserve">The evaluation team eliminated on-site verification as an evaluation activity for the Low-Income Energy Efficiency Program. </w:t>
      </w:r>
    </w:p>
    <w:p w:rsidR="00DD3B6D" w:rsidRDefault="00DD3B6D" w:rsidP="00D405A7">
      <w:pPr>
        <w:pStyle w:val="ListParagraph"/>
        <w:numPr>
          <w:ilvl w:val="0"/>
          <w:numId w:val="25"/>
        </w:numPr>
        <w:spacing w:after="120"/>
        <w:contextualSpacing w:val="0"/>
      </w:pPr>
      <w:r>
        <w:t xml:space="preserve">The evaluation team will no longer assess student awareness of energy efficiency for the Smart Energy Saver Program. </w:t>
      </w:r>
      <w:r w:rsidRPr="00C87A3C">
        <w:t>The PECO evaluation plan submitted to the SWE before the PY6 program evaluation began provided that “Teachers will now be interviewed by phone in PY6 for this program.”</w:t>
      </w:r>
    </w:p>
    <w:p w:rsidR="00DD3B6D" w:rsidRDefault="00DD3B6D" w:rsidP="00D405A7">
      <w:pPr>
        <w:pStyle w:val="ListParagraph"/>
        <w:numPr>
          <w:ilvl w:val="0"/>
          <w:numId w:val="25"/>
        </w:numPr>
        <w:spacing w:after="120"/>
        <w:contextualSpacing w:val="0"/>
      </w:pPr>
      <w:r w:rsidRPr="00411362">
        <w:t xml:space="preserve">Three program evaluation activities were added to the Smart Equipment Incentives </w:t>
      </w:r>
      <w:r>
        <w:t xml:space="preserve">Program </w:t>
      </w:r>
      <w:r w:rsidRPr="00411362">
        <w:t>(</w:t>
      </w:r>
      <w:r>
        <w:t>C/I</w:t>
      </w:r>
      <w:r w:rsidRPr="00411362">
        <w:t xml:space="preserve"> and GNI)</w:t>
      </w:r>
      <w:r>
        <w:t>:</w:t>
      </w:r>
      <w:r w:rsidRPr="00411362">
        <w:t xml:space="preserve"> PECO account representative interviews, distributor/supplier in-depth interviews</w:t>
      </w:r>
      <w:r>
        <w:t>,</w:t>
      </w:r>
      <w:r w:rsidRPr="00411362">
        <w:t xml:space="preserve"> and industry</w:t>
      </w:r>
      <w:r>
        <w:t>-</w:t>
      </w:r>
      <w:r w:rsidRPr="00411362">
        <w:t>specific representative organization interviews</w:t>
      </w:r>
      <w:r>
        <w:t>.</w:t>
      </w:r>
    </w:p>
    <w:p w:rsidR="00DD3B6D" w:rsidRDefault="00DD3B6D" w:rsidP="00D405A7">
      <w:pPr>
        <w:pStyle w:val="ListParagraph"/>
        <w:numPr>
          <w:ilvl w:val="0"/>
          <w:numId w:val="25"/>
        </w:numPr>
        <w:spacing w:after="120"/>
        <w:contextualSpacing w:val="0"/>
      </w:pPr>
      <w:r w:rsidRPr="00411362">
        <w:t>In the Smart Business Solutio</w:t>
      </w:r>
      <w:r w:rsidR="00905D02">
        <w:t>ns (SBS) Program, PECO’s EE&amp;C p</w:t>
      </w:r>
      <w:r w:rsidRPr="00411362">
        <w:t xml:space="preserve">lan was revised in March 2014 to change program expenditures to $4.4 million from $8.4 million through Phase II. As a result, the total projected energy savings decreased from 43,867 </w:t>
      </w:r>
      <w:r>
        <w:t>MWh/yr</w:t>
      </w:r>
      <w:r w:rsidRPr="00411362">
        <w:t xml:space="preserve"> to 37,483 </w:t>
      </w:r>
      <w:r>
        <w:t>MWh/yr</w:t>
      </w:r>
      <w:r w:rsidRPr="00411362">
        <w:t xml:space="preserve"> through the end of Phase II</w:t>
      </w:r>
      <w:r>
        <w:t xml:space="preserve">. </w:t>
      </w:r>
    </w:p>
    <w:p w:rsidR="00DD3B6D" w:rsidRDefault="00DD3B6D" w:rsidP="00D405A7">
      <w:pPr>
        <w:pStyle w:val="ListParagraph"/>
        <w:numPr>
          <w:ilvl w:val="0"/>
          <w:numId w:val="25"/>
        </w:numPr>
        <w:spacing w:after="120"/>
        <w:contextualSpacing w:val="0"/>
      </w:pPr>
      <w:r w:rsidRPr="00411362">
        <w:t>A survey of a sample of program participants was completed in PY5 as planned</w:t>
      </w:r>
      <w:r>
        <w:t>,</w:t>
      </w:r>
      <w:r w:rsidRPr="00411362">
        <w:t xml:space="preserve"> and survey results were presented in PECO’s PY5 </w:t>
      </w:r>
      <w:r>
        <w:t>a</w:t>
      </w:r>
      <w:r w:rsidRPr="00411362">
        <w:t xml:space="preserve">nnual </w:t>
      </w:r>
      <w:r>
        <w:t>r</w:t>
      </w:r>
      <w:r w:rsidRPr="00411362">
        <w:t>eport to the PUC. PECO’s original evaluation plan called for a survey of non-participants. In PY6 PECO field</w:t>
      </w:r>
      <w:r>
        <w:t>ed</w:t>
      </w:r>
      <w:r w:rsidRPr="00411362">
        <w:t xml:space="preserve"> an online survey for partial participants (partial participants received an audit but didn’t install measures) and non-participants (refused the audit) to understand their barriers. However, due to changes in program implementation </w:t>
      </w:r>
      <w:r>
        <w:t>that</w:t>
      </w:r>
      <w:r w:rsidRPr="00411362">
        <w:t xml:space="preserve"> provided services only to customers requesting to participate, there was no participation in those surveys</w:t>
      </w:r>
      <w:r>
        <w:t>.</w:t>
      </w:r>
    </w:p>
    <w:p w:rsidR="00DD3B6D" w:rsidRDefault="00DD3B6D" w:rsidP="00D405A7">
      <w:pPr>
        <w:numPr>
          <w:ilvl w:val="0"/>
          <w:numId w:val="25"/>
        </w:numPr>
        <w:rPr>
          <w:szCs w:val="20"/>
        </w:rPr>
      </w:pPr>
      <w:r w:rsidRPr="00411362">
        <w:rPr>
          <w:szCs w:val="20"/>
        </w:rPr>
        <w:t>Two of the program evaluation tasks for SBS were changed in PY6 from PY5.</w:t>
      </w:r>
    </w:p>
    <w:p w:rsidR="00DD3B6D" w:rsidRPr="00411362" w:rsidRDefault="00DD3B6D" w:rsidP="00DD3B6D">
      <w:pPr>
        <w:ind w:left="360"/>
        <w:rPr>
          <w:szCs w:val="20"/>
        </w:rPr>
      </w:pPr>
      <w:r w:rsidRPr="00411362">
        <w:rPr>
          <w:szCs w:val="20"/>
        </w:rPr>
        <w:t xml:space="preserve"> </w:t>
      </w:r>
    </w:p>
    <w:p w:rsidR="00DD3B6D" w:rsidRPr="00EF5064" w:rsidRDefault="00DD3B6D" w:rsidP="00D405A7">
      <w:pPr>
        <w:pStyle w:val="ListParagraph"/>
        <w:numPr>
          <w:ilvl w:val="0"/>
          <w:numId w:val="25"/>
        </w:numPr>
      </w:pPr>
      <w:r w:rsidRPr="00EF5064">
        <w:t xml:space="preserve">New tasks were added to PECO’s PY6 evaluation plan. Telephone verifications were added as a data-collection method for SBS. A meta-review of similar projects across the country was added as a program evaluation task for PY6 to the Smart Multi-Family (SMF) Solutions Program. The categories for SMF </w:t>
      </w:r>
      <w:r>
        <w:t>Solutions changed from SMF, SMF – GNI, and SMF – C/I</w:t>
      </w:r>
      <w:r w:rsidRPr="00EF5064">
        <w:t xml:space="preserve"> to </w:t>
      </w:r>
      <w:r>
        <w:t>r</w:t>
      </w:r>
      <w:r w:rsidRPr="00EF5064">
        <w:t xml:space="preserve">esidential and </w:t>
      </w:r>
      <w:r>
        <w:t>n</w:t>
      </w:r>
      <w:r w:rsidRPr="00EF5064">
        <w:t>on-</w:t>
      </w:r>
      <w:r>
        <w:t>r</w:t>
      </w:r>
      <w:r w:rsidRPr="00EF5064">
        <w:t>esidential. The sample sizes changed along with these changes to the categories. Market research for PY6 was added as a program evaluation task for the Smart On-Site Program.</w:t>
      </w:r>
    </w:p>
    <w:p w:rsidR="00496A99" w:rsidRPr="00280EAE" w:rsidRDefault="00496A99" w:rsidP="00280EAE"/>
    <w:p w:rsidR="00950837" w:rsidRDefault="00950837" w:rsidP="009C0DF1">
      <w:pPr>
        <w:pStyle w:val="AppendixAHeading3"/>
      </w:pPr>
      <w:r>
        <w:t>Measurement and Verification Activities and Findings</w:t>
      </w:r>
    </w:p>
    <w:p w:rsidR="001F2B97" w:rsidRPr="001F2B97" w:rsidRDefault="001F2B97" w:rsidP="001F2B97">
      <w:pPr>
        <w:keepLines/>
        <w:rPr>
          <w:rFonts w:eastAsia="Calibri"/>
        </w:rPr>
      </w:pPr>
      <w:r>
        <w:rPr>
          <w:rFonts w:eastAsia="Calibri"/>
        </w:rPr>
        <w:fldChar w:fldCharType="begin"/>
      </w:r>
      <w:r>
        <w:rPr>
          <w:rFonts w:eastAsia="Calibri"/>
        </w:rPr>
        <w:instrText xml:space="preserve"> REF _Ref472466186 \h </w:instrText>
      </w:r>
      <w:r>
        <w:rPr>
          <w:rFonts w:eastAsia="Calibri"/>
        </w:rPr>
      </w:r>
      <w:r>
        <w:rPr>
          <w:rFonts w:eastAsia="Calibri"/>
        </w:rPr>
        <w:fldChar w:fldCharType="separate"/>
      </w:r>
      <w:r w:rsidR="00037CB4">
        <w:t>Table A-</w:t>
      </w:r>
      <w:r w:rsidR="00037CB4">
        <w:rPr>
          <w:noProof/>
        </w:rPr>
        <w:t>108</w:t>
      </w:r>
      <w:r>
        <w:rPr>
          <w:rFonts w:eastAsia="Calibri"/>
        </w:rPr>
        <w:fldChar w:fldCharType="end"/>
      </w:r>
      <w:r w:rsidRPr="001F2B97">
        <w:rPr>
          <w:rFonts w:eastAsia="Calibri"/>
        </w:rPr>
        <w:t xml:space="preserve"> provides a summary of M&amp;V findings based on activities conducted by Navigant. The summary is based on details provided in PECO’s PY7 annual report and on information obtained from the SWE Team’s data requests and audits. </w:t>
      </w:r>
      <w:r>
        <w:rPr>
          <w:rFonts w:eastAsia="Calibri"/>
        </w:rPr>
        <w:fldChar w:fldCharType="begin"/>
      </w:r>
      <w:r>
        <w:rPr>
          <w:rFonts w:eastAsia="Calibri"/>
        </w:rPr>
        <w:instrText xml:space="preserve"> REF _Ref472466186 \h </w:instrText>
      </w:r>
      <w:r>
        <w:rPr>
          <w:rFonts w:eastAsia="Calibri"/>
        </w:rPr>
      </w:r>
      <w:r>
        <w:rPr>
          <w:rFonts w:eastAsia="Calibri"/>
        </w:rPr>
        <w:fldChar w:fldCharType="separate"/>
      </w:r>
      <w:r w:rsidR="00037CB4">
        <w:t>Table A-</w:t>
      </w:r>
      <w:r w:rsidR="00037CB4">
        <w:rPr>
          <w:noProof/>
        </w:rPr>
        <w:t>108</w:t>
      </w:r>
      <w:r>
        <w:rPr>
          <w:rFonts w:eastAsia="Calibri"/>
        </w:rPr>
        <w:fldChar w:fldCharType="end"/>
      </w:r>
      <w:r w:rsidRPr="001F2B97">
        <w:rPr>
          <w:rFonts w:eastAsia="Calibri"/>
        </w:rPr>
        <w:t xml:space="preserve"> presents realization rates and relative precision values for verified energy and demand savings for each of PECO’s residential and non-residential </w:t>
      </w:r>
      <w:r w:rsidR="00905D02">
        <w:rPr>
          <w:rFonts w:eastAsia="Calibri"/>
        </w:rPr>
        <w:t>energy efficiency</w:t>
      </w:r>
      <w:r w:rsidRPr="001F2B97">
        <w:rPr>
          <w:rFonts w:eastAsia="Calibri"/>
        </w:rPr>
        <w:t xml:space="preserve"> programs for PY7.</w:t>
      </w:r>
    </w:p>
    <w:p w:rsidR="001F2B97" w:rsidRPr="001F2B97" w:rsidRDefault="001F2B97" w:rsidP="001F2B97"/>
    <w:p w:rsidR="001F2B97" w:rsidRPr="001F2B97" w:rsidRDefault="001F2B97" w:rsidP="004837FA">
      <w:pPr>
        <w:pStyle w:val="Caption"/>
      </w:pPr>
      <w:bookmarkStart w:id="1107" w:name="_Ref472466186"/>
      <w:bookmarkStart w:id="1108" w:name="_Toc472472517"/>
      <w:bookmarkStart w:id="1109" w:name="_Toc488741936"/>
      <w:r>
        <w:t>Table A-</w:t>
      </w:r>
      <w:r w:rsidR="007973A4">
        <w:fldChar w:fldCharType="begin"/>
      </w:r>
      <w:r w:rsidR="007973A4">
        <w:instrText xml:space="preserve"> SEQ Table_A- \* ARABIC </w:instrText>
      </w:r>
      <w:r w:rsidR="007973A4">
        <w:fldChar w:fldCharType="separate"/>
      </w:r>
      <w:r w:rsidR="00037CB4">
        <w:rPr>
          <w:noProof/>
        </w:rPr>
        <w:t>108</w:t>
      </w:r>
      <w:r w:rsidR="007973A4">
        <w:rPr>
          <w:noProof/>
        </w:rPr>
        <w:fldChar w:fldCharType="end"/>
      </w:r>
      <w:bookmarkEnd w:id="1107"/>
      <w:r>
        <w:t xml:space="preserve">: </w:t>
      </w:r>
      <w:r w:rsidRPr="001F2B97">
        <w:t>Realization Rates and Relative Precisions for PECO’s Programs in PY7</w:t>
      </w:r>
      <w:bookmarkEnd w:id="1108"/>
      <w:bookmarkEnd w:id="1109"/>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780"/>
        <w:gridCol w:w="1395"/>
        <w:gridCol w:w="1395"/>
        <w:gridCol w:w="1395"/>
        <w:gridCol w:w="1395"/>
      </w:tblGrid>
      <w:tr w:rsidR="00A874AC" w:rsidRPr="00124B6E" w:rsidTr="00380FF9">
        <w:trPr>
          <w:trHeight w:val="808"/>
          <w:tblHeader/>
          <w:jc w:val="center"/>
        </w:trPr>
        <w:tc>
          <w:tcPr>
            <w:tcW w:w="3780" w:type="dxa"/>
            <w:shd w:val="clear" w:color="auto" w:fill="448A99"/>
            <w:noWrap/>
            <w:vAlign w:val="bottom"/>
            <w:hideMark/>
          </w:tcPr>
          <w:p w:rsidR="00905D02" w:rsidRPr="00124B6E" w:rsidRDefault="00905D02" w:rsidP="00905D02">
            <w:pPr>
              <w:jc w:val="left"/>
              <w:rPr>
                <w:rFonts w:eastAsia="Calibri"/>
                <w:b/>
                <w:color w:val="FFFFFF"/>
                <w:sz w:val="19"/>
                <w:szCs w:val="19"/>
              </w:rPr>
            </w:pPr>
            <w:r w:rsidRPr="00124B6E">
              <w:rPr>
                <w:rFonts w:eastAsia="Calibri"/>
                <w:b/>
                <w:color w:val="FFFFFF"/>
                <w:sz w:val="19"/>
                <w:szCs w:val="19"/>
              </w:rPr>
              <w:t>Program</w:t>
            </w:r>
          </w:p>
        </w:tc>
        <w:tc>
          <w:tcPr>
            <w:tcW w:w="1395" w:type="dxa"/>
            <w:shd w:val="clear" w:color="auto" w:fill="448A99"/>
            <w:vAlign w:val="bottom"/>
            <w:hideMark/>
          </w:tcPr>
          <w:p w:rsidR="00905D02" w:rsidRPr="00124B6E" w:rsidRDefault="00905D02" w:rsidP="00905D02">
            <w:pPr>
              <w:jc w:val="center"/>
              <w:rPr>
                <w:rFonts w:eastAsia="Calibri"/>
                <w:b/>
                <w:color w:val="FFFFFF"/>
                <w:sz w:val="19"/>
                <w:szCs w:val="19"/>
              </w:rPr>
            </w:pPr>
            <w:r w:rsidRPr="00124B6E">
              <w:rPr>
                <w:rFonts w:eastAsia="Calibri"/>
                <w:b/>
                <w:color w:val="FFFFFF"/>
                <w:sz w:val="19"/>
                <w:szCs w:val="19"/>
              </w:rPr>
              <w:t>Energy Realization Rate</w:t>
            </w:r>
          </w:p>
        </w:tc>
        <w:tc>
          <w:tcPr>
            <w:tcW w:w="1395" w:type="dxa"/>
            <w:shd w:val="clear" w:color="auto" w:fill="448A99"/>
            <w:vAlign w:val="bottom"/>
            <w:hideMark/>
          </w:tcPr>
          <w:p w:rsidR="00905D02" w:rsidRPr="00124B6E" w:rsidRDefault="00905D02" w:rsidP="00F21F28">
            <w:pPr>
              <w:jc w:val="center"/>
              <w:rPr>
                <w:rFonts w:eastAsia="Calibri"/>
                <w:b/>
                <w:color w:val="FFFFFF"/>
                <w:sz w:val="19"/>
                <w:szCs w:val="19"/>
              </w:rPr>
            </w:pPr>
            <w:r w:rsidRPr="00124B6E">
              <w:rPr>
                <w:rFonts w:eastAsia="Calibri"/>
                <w:b/>
                <w:color w:val="FFFFFF"/>
                <w:sz w:val="19"/>
                <w:szCs w:val="19"/>
              </w:rPr>
              <w:t>Relative Precision (Energy)</w:t>
            </w:r>
          </w:p>
        </w:tc>
        <w:tc>
          <w:tcPr>
            <w:tcW w:w="1395" w:type="dxa"/>
            <w:shd w:val="clear" w:color="auto" w:fill="448A99"/>
            <w:vAlign w:val="bottom"/>
            <w:hideMark/>
          </w:tcPr>
          <w:p w:rsidR="00905D02" w:rsidRPr="00124B6E" w:rsidRDefault="00905D02" w:rsidP="00905D02">
            <w:pPr>
              <w:jc w:val="center"/>
              <w:rPr>
                <w:rFonts w:eastAsia="Calibri"/>
                <w:b/>
                <w:color w:val="FFFFFF"/>
                <w:sz w:val="19"/>
                <w:szCs w:val="19"/>
              </w:rPr>
            </w:pPr>
            <w:r w:rsidRPr="00124B6E">
              <w:rPr>
                <w:rFonts w:eastAsia="Calibri"/>
                <w:b/>
                <w:color w:val="FFFFFF"/>
                <w:sz w:val="19"/>
                <w:szCs w:val="19"/>
              </w:rPr>
              <w:t>Demand Realization Rate</w:t>
            </w:r>
          </w:p>
        </w:tc>
        <w:tc>
          <w:tcPr>
            <w:tcW w:w="1395" w:type="dxa"/>
            <w:shd w:val="clear" w:color="auto" w:fill="448A99"/>
            <w:vAlign w:val="bottom"/>
            <w:hideMark/>
          </w:tcPr>
          <w:p w:rsidR="00905D02" w:rsidRPr="00124B6E" w:rsidRDefault="00905D02" w:rsidP="00F21F28">
            <w:pPr>
              <w:jc w:val="center"/>
              <w:rPr>
                <w:rFonts w:eastAsia="Calibri"/>
                <w:b/>
                <w:color w:val="FFFFFF"/>
                <w:sz w:val="19"/>
                <w:szCs w:val="19"/>
              </w:rPr>
            </w:pPr>
            <w:r w:rsidRPr="00124B6E">
              <w:rPr>
                <w:rFonts w:eastAsia="Calibri"/>
                <w:b/>
                <w:color w:val="FFFFFF"/>
                <w:sz w:val="19"/>
                <w:szCs w:val="19"/>
              </w:rPr>
              <w:t>Relative Precision (Demand)</w:t>
            </w:r>
          </w:p>
        </w:tc>
      </w:tr>
      <w:tr w:rsidR="00A874AC" w:rsidRPr="00124B6E" w:rsidTr="00280EAE">
        <w:trPr>
          <w:trHeight w:val="432"/>
          <w:jc w:val="center"/>
        </w:trPr>
        <w:tc>
          <w:tcPr>
            <w:tcW w:w="3780" w:type="dxa"/>
            <w:shd w:val="clear" w:color="auto" w:fill="D2EAF1"/>
            <w:noWrap/>
          </w:tcPr>
          <w:p w:rsidR="00F21F28" w:rsidRPr="00124B6E" w:rsidRDefault="00F21F28" w:rsidP="00F21F28">
            <w:pPr>
              <w:jc w:val="left"/>
              <w:rPr>
                <w:rFonts w:eastAsia="Calibri"/>
                <w:color w:val="000000"/>
                <w:sz w:val="19"/>
                <w:szCs w:val="19"/>
              </w:rPr>
            </w:pPr>
            <w:r w:rsidRPr="00124B6E">
              <w:rPr>
                <w:rFonts w:eastAsia="Calibri"/>
                <w:sz w:val="19"/>
                <w:szCs w:val="19"/>
              </w:rPr>
              <w:t>Low-Income Energy Efficiency Program</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0%</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0%</w:t>
            </w:r>
          </w:p>
        </w:tc>
      </w:tr>
      <w:tr w:rsidR="00F21F28" w:rsidRPr="00124B6E" w:rsidTr="008F60E1">
        <w:trPr>
          <w:trHeight w:val="432"/>
          <w:jc w:val="center"/>
        </w:trPr>
        <w:tc>
          <w:tcPr>
            <w:tcW w:w="3780" w:type="dxa"/>
            <w:shd w:val="clear" w:color="auto" w:fill="auto"/>
            <w:noWrap/>
          </w:tcPr>
          <w:p w:rsidR="00F21F28" w:rsidRPr="00124B6E" w:rsidRDefault="00F21F28" w:rsidP="00F21F28">
            <w:pPr>
              <w:jc w:val="left"/>
              <w:rPr>
                <w:rFonts w:eastAsia="Calibri"/>
                <w:color w:val="000000"/>
                <w:sz w:val="19"/>
                <w:szCs w:val="19"/>
              </w:rPr>
            </w:pPr>
            <w:r w:rsidRPr="00124B6E">
              <w:rPr>
                <w:rFonts w:eastAsia="Calibri"/>
                <w:sz w:val="19"/>
                <w:szCs w:val="19"/>
              </w:rPr>
              <w:t>Smart Appliance Recycling</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95%</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95%</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0%</w:t>
            </w:r>
          </w:p>
        </w:tc>
      </w:tr>
      <w:tr w:rsidR="00A874AC" w:rsidRPr="00124B6E" w:rsidTr="00280EAE">
        <w:trPr>
          <w:trHeight w:val="432"/>
          <w:jc w:val="center"/>
        </w:trPr>
        <w:tc>
          <w:tcPr>
            <w:tcW w:w="3780" w:type="dxa"/>
            <w:shd w:val="clear" w:color="auto" w:fill="D2EAF1"/>
            <w:noWrap/>
          </w:tcPr>
          <w:p w:rsidR="00F21F28" w:rsidRPr="00124B6E" w:rsidRDefault="00F21F28" w:rsidP="00F21F28">
            <w:pPr>
              <w:jc w:val="left"/>
              <w:rPr>
                <w:rFonts w:eastAsia="Calibri"/>
                <w:color w:val="000000"/>
                <w:sz w:val="19"/>
                <w:szCs w:val="19"/>
              </w:rPr>
            </w:pPr>
            <w:r w:rsidRPr="00124B6E">
              <w:rPr>
                <w:rFonts w:eastAsia="Calibri"/>
                <w:sz w:val="19"/>
                <w:szCs w:val="19"/>
              </w:rPr>
              <w:t>Smart Builder Rebates</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99%</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76%</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22%</w:t>
            </w:r>
          </w:p>
        </w:tc>
      </w:tr>
      <w:tr w:rsidR="00F21F28" w:rsidRPr="00124B6E" w:rsidTr="008F60E1">
        <w:trPr>
          <w:trHeight w:val="432"/>
          <w:jc w:val="center"/>
        </w:trPr>
        <w:tc>
          <w:tcPr>
            <w:tcW w:w="3780" w:type="dxa"/>
            <w:shd w:val="clear" w:color="auto" w:fill="auto"/>
            <w:noWrap/>
          </w:tcPr>
          <w:p w:rsidR="00F21F28" w:rsidRPr="00124B6E" w:rsidRDefault="00F21F28" w:rsidP="00F21F28">
            <w:pPr>
              <w:jc w:val="left"/>
              <w:rPr>
                <w:rFonts w:eastAsia="Calibri"/>
                <w:color w:val="000000"/>
                <w:sz w:val="19"/>
                <w:szCs w:val="19"/>
              </w:rPr>
            </w:pPr>
            <w:r w:rsidRPr="00124B6E">
              <w:rPr>
                <w:rFonts w:eastAsia="Calibri"/>
                <w:sz w:val="19"/>
                <w:szCs w:val="19"/>
              </w:rPr>
              <w:t>Smart Energy Saver</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87%</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w:t>
            </w:r>
          </w:p>
        </w:tc>
      </w:tr>
      <w:tr w:rsidR="00A874AC" w:rsidRPr="00124B6E" w:rsidTr="00280EAE">
        <w:trPr>
          <w:trHeight w:val="432"/>
          <w:jc w:val="center"/>
        </w:trPr>
        <w:tc>
          <w:tcPr>
            <w:tcW w:w="3780" w:type="dxa"/>
            <w:shd w:val="clear" w:color="auto" w:fill="D2EAF1"/>
            <w:noWrap/>
          </w:tcPr>
          <w:p w:rsidR="00F21F28" w:rsidRPr="00124B6E" w:rsidRDefault="00F21F28" w:rsidP="00F21F28">
            <w:pPr>
              <w:jc w:val="left"/>
              <w:rPr>
                <w:rFonts w:eastAsia="Calibri"/>
                <w:color w:val="000000"/>
                <w:sz w:val="19"/>
                <w:szCs w:val="19"/>
              </w:rPr>
            </w:pPr>
            <w:r w:rsidRPr="00124B6E">
              <w:rPr>
                <w:rFonts w:eastAsia="Calibri"/>
                <w:sz w:val="19"/>
                <w:szCs w:val="19"/>
              </w:rPr>
              <w:t>Smart Home Rebates</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122%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4%</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136%</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4%</w:t>
            </w:r>
          </w:p>
        </w:tc>
      </w:tr>
      <w:tr w:rsidR="00F21F28" w:rsidRPr="00124B6E" w:rsidTr="00276F1A">
        <w:trPr>
          <w:trHeight w:val="432"/>
          <w:jc w:val="center"/>
        </w:trPr>
        <w:tc>
          <w:tcPr>
            <w:tcW w:w="3780" w:type="dxa"/>
            <w:shd w:val="clear" w:color="auto" w:fill="auto"/>
            <w:noWrap/>
          </w:tcPr>
          <w:p w:rsidR="00F21F28" w:rsidRPr="00124B6E" w:rsidRDefault="00F21F28" w:rsidP="00F21F28">
            <w:pPr>
              <w:jc w:val="left"/>
              <w:rPr>
                <w:rFonts w:eastAsia="Calibri"/>
                <w:color w:val="000000"/>
                <w:sz w:val="19"/>
                <w:szCs w:val="19"/>
              </w:rPr>
            </w:pPr>
            <w:r w:rsidRPr="00124B6E">
              <w:rPr>
                <w:rFonts w:eastAsia="Calibri"/>
                <w:sz w:val="19"/>
                <w:szCs w:val="19"/>
              </w:rPr>
              <w:t>Smart House Call</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98%</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99%</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w:t>
            </w:r>
          </w:p>
        </w:tc>
      </w:tr>
      <w:tr w:rsidR="00A874AC" w:rsidRPr="00124B6E" w:rsidTr="00280EAE">
        <w:trPr>
          <w:trHeight w:val="432"/>
          <w:jc w:val="center"/>
        </w:trPr>
        <w:tc>
          <w:tcPr>
            <w:tcW w:w="3780" w:type="dxa"/>
            <w:shd w:val="clear" w:color="auto" w:fill="D2EAF1"/>
            <w:noWrap/>
          </w:tcPr>
          <w:p w:rsidR="00F21F28" w:rsidRPr="00124B6E" w:rsidRDefault="00F21F28" w:rsidP="00F21F28">
            <w:pPr>
              <w:jc w:val="left"/>
              <w:rPr>
                <w:rFonts w:eastAsia="Calibri"/>
                <w:color w:val="000000"/>
                <w:sz w:val="19"/>
                <w:szCs w:val="19"/>
              </w:rPr>
            </w:pPr>
            <w:r w:rsidRPr="00124B6E">
              <w:rPr>
                <w:rFonts w:eastAsia="Calibri"/>
                <w:sz w:val="19"/>
                <w:szCs w:val="19"/>
              </w:rPr>
              <w:t xml:space="preserve">Smart Multi-Family Solutions </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90%</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3%</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180%</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3%</w:t>
            </w:r>
          </w:p>
        </w:tc>
      </w:tr>
      <w:tr w:rsidR="00F21F28" w:rsidRPr="00124B6E" w:rsidTr="00276F1A">
        <w:trPr>
          <w:trHeight w:val="432"/>
          <w:jc w:val="center"/>
        </w:trPr>
        <w:tc>
          <w:tcPr>
            <w:tcW w:w="3780" w:type="dxa"/>
            <w:shd w:val="clear" w:color="auto" w:fill="auto"/>
            <w:noWrap/>
          </w:tcPr>
          <w:p w:rsidR="00F21F28" w:rsidRPr="00124B6E" w:rsidRDefault="00F21F28" w:rsidP="00F21F28">
            <w:pPr>
              <w:jc w:val="left"/>
              <w:rPr>
                <w:rFonts w:eastAsia="Calibri"/>
                <w:color w:val="000000"/>
                <w:sz w:val="19"/>
                <w:szCs w:val="19"/>
              </w:rPr>
            </w:pPr>
            <w:r w:rsidRPr="00124B6E">
              <w:rPr>
                <w:rFonts w:eastAsia="Calibri"/>
                <w:sz w:val="19"/>
                <w:szCs w:val="19"/>
              </w:rPr>
              <w:t>Smart Usage Profile</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106%</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N/A</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N/A</w:t>
            </w:r>
          </w:p>
        </w:tc>
      </w:tr>
      <w:tr w:rsidR="00A874AC" w:rsidRPr="00124B6E" w:rsidTr="00280EAE">
        <w:trPr>
          <w:trHeight w:val="432"/>
          <w:jc w:val="center"/>
        </w:trPr>
        <w:tc>
          <w:tcPr>
            <w:tcW w:w="3780" w:type="dxa"/>
            <w:shd w:val="clear" w:color="auto" w:fill="D2EAF1"/>
            <w:noWrap/>
          </w:tcPr>
          <w:p w:rsidR="00F21F28" w:rsidRPr="00124B6E" w:rsidRDefault="00F21F28" w:rsidP="00F21F28">
            <w:pPr>
              <w:jc w:val="left"/>
              <w:rPr>
                <w:rFonts w:eastAsia="Calibri"/>
                <w:color w:val="000000"/>
                <w:sz w:val="19"/>
                <w:szCs w:val="19"/>
              </w:rPr>
            </w:pPr>
            <w:r w:rsidRPr="00124B6E">
              <w:rPr>
                <w:rFonts w:eastAsia="Calibri"/>
                <w:sz w:val="19"/>
                <w:szCs w:val="19"/>
              </w:rPr>
              <w:t>Smart Business Solutions</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97%</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11%</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97%</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8%</w:t>
            </w:r>
          </w:p>
        </w:tc>
      </w:tr>
      <w:tr w:rsidR="00F21F28" w:rsidRPr="00124B6E" w:rsidTr="00276F1A">
        <w:trPr>
          <w:trHeight w:val="432"/>
          <w:jc w:val="center"/>
        </w:trPr>
        <w:tc>
          <w:tcPr>
            <w:tcW w:w="3780" w:type="dxa"/>
            <w:shd w:val="clear" w:color="auto" w:fill="auto"/>
            <w:noWrap/>
          </w:tcPr>
          <w:p w:rsidR="00F21F28" w:rsidRPr="00124B6E" w:rsidRDefault="00F21F28" w:rsidP="00F21F28">
            <w:pPr>
              <w:jc w:val="left"/>
              <w:rPr>
                <w:rFonts w:eastAsia="Calibri"/>
                <w:color w:val="000000"/>
                <w:sz w:val="19"/>
                <w:szCs w:val="19"/>
              </w:rPr>
            </w:pPr>
            <w:r w:rsidRPr="00124B6E">
              <w:rPr>
                <w:rFonts w:eastAsia="Calibri"/>
                <w:sz w:val="19"/>
                <w:szCs w:val="19"/>
              </w:rPr>
              <w:t>Smart Equipment Incentives - Commercial and Industrial</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100%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11%</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107%</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17%</w:t>
            </w:r>
          </w:p>
        </w:tc>
      </w:tr>
      <w:tr w:rsidR="00A874AC" w:rsidRPr="00124B6E" w:rsidTr="00280EAE">
        <w:trPr>
          <w:trHeight w:val="432"/>
          <w:jc w:val="center"/>
        </w:trPr>
        <w:tc>
          <w:tcPr>
            <w:tcW w:w="3780" w:type="dxa"/>
            <w:shd w:val="clear" w:color="auto" w:fill="D2EAF1"/>
            <w:noWrap/>
          </w:tcPr>
          <w:p w:rsidR="00F21F28" w:rsidRPr="00124B6E" w:rsidRDefault="00F21F28" w:rsidP="00F21F28">
            <w:pPr>
              <w:jc w:val="left"/>
              <w:rPr>
                <w:rFonts w:eastAsia="Calibri"/>
                <w:color w:val="000000"/>
                <w:sz w:val="19"/>
                <w:szCs w:val="19"/>
              </w:rPr>
            </w:pPr>
            <w:r w:rsidRPr="00124B6E">
              <w:rPr>
                <w:rFonts w:eastAsia="Calibri"/>
                <w:sz w:val="19"/>
                <w:szCs w:val="19"/>
              </w:rPr>
              <w:t>Smart Construction Incentives</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87%</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29%</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72%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22%</w:t>
            </w:r>
          </w:p>
        </w:tc>
      </w:tr>
      <w:tr w:rsidR="00F21F28" w:rsidRPr="00124B6E" w:rsidTr="00276F1A">
        <w:trPr>
          <w:trHeight w:val="432"/>
          <w:jc w:val="center"/>
        </w:trPr>
        <w:tc>
          <w:tcPr>
            <w:tcW w:w="3780" w:type="dxa"/>
            <w:shd w:val="clear" w:color="auto" w:fill="auto"/>
            <w:noWrap/>
          </w:tcPr>
          <w:p w:rsidR="00F21F28" w:rsidRPr="00124B6E" w:rsidRDefault="00F21F28" w:rsidP="00F21F28">
            <w:pPr>
              <w:jc w:val="left"/>
              <w:rPr>
                <w:rFonts w:eastAsia="Calibri"/>
                <w:color w:val="000000"/>
                <w:sz w:val="19"/>
                <w:szCs w:val="19"/>
              </w:rPr>
            </w:pPr>
            <w:r w:rsidRPr="00124B6E">
              <w:rPr>
                <w:rFonts w:eastAsia="Calibri"/>
                <w:sz w:val="19"/>
                <w:szCs w:val="19"/>
              </w:rPr>
              <w:t>Smart On-Site</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87%</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86%</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0%</w:t>
            </w:r>
          </w:p>
        </w:tc>
      </w:tr>
      <w:tr w:rsidR="00A874AC" w:rsidRPr="00124B6E" w:rsidTr="00280EAE">
        <w:trPr>
          <w:trHeight w:val="432"/>
          <w:jc w:val="center"/>
        </w:trPr>
        <w:tc>
          <w:tcPr>
            <w:tcW w:w="3780" w:type="dxa"/>
            <w:shd w:val="clear" w:color="auto" w:fill="D2EAF1"/>
            <w:noWrap/>
          </w:tcPr>
          <w:p w:rsidR="00F21F28" w:rsidRPr="00124B6E" w:rsidRDefault="00F21F28" w:rsidP="00F21F28">
            <w:pPr>
              <w:jc w:val="left"/>
              <w:rPr>
                <w:rFonts w:eastAsia="Calibri"/>
                <w:color w:val="000000"/>
                <w:sz w:val="19"/>
                <w:szCs w:val="19"/>
              </w:rPr>
            </w:pPr>
            <w:r w:rsidRPr="00124B6E">
              <w:rPr>
                <w:rFonts w:eastAsia="Calibri"/>
                <w:sz w:val="19"/>
                <w:szCs w:val="19"/>
              </w:rPr>
              <w:t>Smart Equipment Incentives - Government, Nonprofit and Institutional</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99%</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7%</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104%</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24B6E" w:rsidRDefault="00F21F28" w:rsidP="00F21F28">
            <w:pPr>
              <w:jc w:val="center"/>
              <w:rPr>
                <w:rFonts w:eastAsia="Calibri"/>
                <w:color w:val="000000"/>
                <w:sz w:val="19"/>
                <w:szCs w:val="19"/>
              </w:rPr>
            </w:pPr>
            <w:r w:rsidRPr="00124B6E">
              <w:rPr>
                <w:rFonts w:eastAsia="Calibri"/>
                <w:color w:val="000000"/>
                <w:sz w:val="19"/>
                <w:szCs w:val="19"/>
              </w:rPr>
              <w:t>6%</w:t>
            </w:r>
          </w:p>
        </w:tc>
      </w:tr>
      <w:tr w:rsidR="00F21F28" w:rsidRPr="00124B6E" w:rsidTr="00276F1A">
        <w:trPr>
          <w:trHeight w:val="432"/>
          <w:jc w:val="center"/>
        </w:trPr>
        <w:tc>
          <w:tcPr>
            <w:tcW w:w="3780" w:type="dxa"/>
            <w:shd w:val="clear" w:color="auto" w:fill="auto"/>
            <w:noWrap/>
            <w:vAlign w:val="center"/>
          </w:tcPr>
          <w:p w:rsidR="00F21F28" w:rsidRPr="00124B6E" w:rsidRDefault="00F21F28" w:rsidP="00F21F28">
            <w:pPr>
              <w:jc w:val="left"/>
              <w:rPr>
                <w:rFonts w:eastAsia="Calibri"/>
                <w:sz w:val="19"/>
                <w:szCs w:val="19"/>
              </w:rPr>
            </w:pPr>
            <w:r w:rsidRPr="00124B6E">
              <w:rPr>
                <w:rFonts w:eastAsia="Calibri"/>
                <w:sz w:val="19"/>
                <w:szCs w:val="19"/>
              </w:rPr>
              <w:t>Residential Smart AC Saver</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bCs/>
                <w:iCs/>
                <w:color w:val="000000"/>
                <w:sz w:val="19"/>
                <w:szCs w:val="19"/>
              </w:rPr>
            </w:pPr>
            <w:r w:rsidRPr="00124B6E">
              <w:rPr>
                <w:color w:val="000000"/>
                <w:sz w:val="19"/>
                <w:szCs w:val="19"/>
              </w:rPr>
              <w:t>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bCs/>
                <w:iCs/>
                <w:color w:val="000000"/>
                <w:sz w:val="19"/>
                <w:szCs w:val="19"/>
              </w:rPr>
            </w:pPr>
            <w:r w:rsidRPr="00124B6E">
              <w:rPr>
                <w:color w:val="000000"/>
                <w:sz w:val="19"/>
                <w:szCs w:val="19"/>
              </w:rPr>
              <w:t>N/A</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bCs/>
                <w:iCs/>
                <w:color w:val="000000"/>
                <w:sz w:val="19"/>
                <w:szCs w:val="19"/>
              </w:rPr>
            </w:pPr>
            <w:r w:rsidRPr="00124B6E">
              <w:rPr>
                <w:color w:val="000000"/>
                <w:sz w:val="19"/>
                <w:szCs w:val="19"/>
              </w:rPr>
              <w:t>82%</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24B6E" w:rsidRDefault="00F21F28" w:rsidP="00F21F28">
            <w:pPr>
              <w:jc w:val="center"/>
              <w:rPr>
                <w:rFonts w:eastAsia="Calibri"/>
                <w:bCs/>
                <w:iCs/>
                <w:color w:val="000000"/>
                <w:sz w:val="19"/>
                <w:szCs w:val="19"/>
              </w:rPr>
            </w:pPr>
            <w:r w:rsidRPr="00124B6E">
              <w:rPr>
                <w:color w:val="000000"/>
                <w:sz w:val="19"/>
                <w:szCs w:val="19"/>
              </w:rPr>
              <w:t>0%</w:t>
            </w:r>
          </w:p>
        </w:tc>
      </w:tr>
      <w:tr w:rsidR="00A874AC" w:rsidRPr="00124B6E" w:rsidTr="00280EAE">
        <w:trPr>
          <w:trHeight w:val="432"/>
          <w:jc w:val="center"/>
        </w:trPr>
        <w:tc>
          <w:tcPr>
            <w:tcW w:w="3780" w:type="dxa"/>
            <w:shd w:val="clear" w:color="auto" w:fill="D2EAF1"/>
            <w:noWrap/>
            <w:vAlign w:val="center"/>
          </w:tcPr>
          <w:p w:rsidR="00F21F28" w:rsidRPr="00124B6E" w:rsidRDefault="00F21F28" w:rsidP="00F21F28">
            <w:pPr>
              <w:jc w:val="left"/>
              <w:rPr>
                <w:rFonts w:eastAsia="Calibri"/>
                <w:sz w:val="19"/>
                <w:szCs w:val="19"/>
              </w:rPr>
            </w:pPr>
            <w:r w:rsidRPr="00124B6E">
              <w:rPr>
                <w:rFonts w:eastAsia="Calibri"/>
                <w:sz w:val="19"/>
                <w:szCs w:val="19"/>
              </w:rPr>
              <w:t>Commercial Smart AC Saver</w:t>
            </w:r>
          </w:p>
        </w:tc>
        <w:tc>
          <w:tcPr>
            <w:tcW w:w="1395" w:type="dxa"/>
            <w:tcBorders>
              <w:top w:val="nil"/>
              <w:left w:val="nil"/>
              <w:bottom w:val="nil"/>
              <w:right w:val="single" w:sz="8" w:space="0" w:color="448A99"/>
            </w:tcBorders>
            <w:shd w:val="clear" w:color="000000" w:fill="D2EAF1"/>
            <w:noWrap/>
            <w:vAlign w:val="center"/>
          </w:tcPr>
          <w:p w:rsidR="00F21F28" w:rsidRPr="00124B6E" w:rsidRDefault="00F21F28" w:rsidP="00F21F28">
            <w:pPr>
              <w:jc w:val="center"/>
              <w:rPr>
                <w:rFonts w:eastAsia="Calibri"/>
                <w:bCs/>
                <w:iCs/>
                <w:color w:val="000000"/>
                <w:sz w:val="19"/>
                <w:szCs w:val="19"/>
              </w:rPr>
            </w:pPr>
            <w:r w:rsidRPr="00124B6E">
              <w:rPr>
                <w:color w:val="000000"/>
                <w:sz w:val="19"/>
                <w:szCs w:val="19"/>
              </w:rPr>
              <w:t>0%</w:t>
            </w:r>
          </w:p>
        </w:tc>
        <w:tc>
          <w:tcPr>
            <w:tcW w:w="1395" w:type="dxa"/>
            <w:tcBorders>
              <w:top w:val="nil"/>
              <w:left w:val="nil"/>
              <w:bottom w:val="nil"/>
              <w:right w:val="single" w:sz="8" w:space="0" w:color="448A99"/>
            </w:tcBorders>
            <w:shd w:val="clear" w:color="000000" w:fill="D2EAF1"/>
            <w:noWrap/>
            <w:vAlign w:val="center"/>
          </w:tcPr>
          <w:p w:rsidR="00F21F28" w:rsidRPr="00124B6E" w:rsidRDefault="00F21F28" w:rsidP="00F21F28">
            <w:pPr>
              <w:jc w:val="center"/>
              <w:rPr>
                <w:rFonts w:eastAsia="Calibri"/>
                <w:bCs/>
                <w:iCs/>
                <w:color w:val="000000"/>
                <w:sz w:val="19"/>
                <w:szCs w:val="19"/>
              </w:rPr>
            </w:pPr>
            <w:r w:rsidRPr="00124B6E">
              <w:rPr>
                <w:color w:val="000000"/>
                <w:sz w:val="19"/>
                <w:szCs w:val="19"/>
              </w:rPr>
              <w:t>N/A</w:t>
            </w:r>
          </w:p>
        </w:tc>
        <w:tc>
          <w:tcPr>
            <w:tcW w:w="1395" w:type="dxa"/>
            <w:tcBorders>
              <w:top w:val="nil"/>
              <w:left w:val="nil"/>
              <w:bottom w:val="nil"/>
              <w:right w:val="single" w:sz="8" w:space="0" w:color="448A99"/>
            </w:tcBorders>
            <w:shd w:val="clear" w:color="000000" w:fill="D2EAF1"/>
            <w:noWrap/>
            <w:vAlign w:val="center"/>
          </w:tcPr>
          <w:p w:rsidR="00F21F28" w:rsidRPr="00124B6E" w:rsidRDefault="00F21F28" w:rsidP="00F21F28">
            <w:pPr>
              <w:jc w:val="center"/>
              <w:rPr>
                <w:rFonts w:eastAsia="Calibri"/>
                <w:bCs/>
                <w:iCs/>
                <w:color w:val="000000"/>
                <w:sz w:val="19"/>
                <w:szCs w:val="19"/>
              </w:rPr>
            </w:pPr>
            <w:r w:rsidRPr="00124B6E">
              <w:rPr>
                <w:color w:val="000000"/>
                <w:sz w:val="19"/>
                <w:szCs w:val="19"/>
              </w:rPr>
              <w:t>18%</w:t>
            </w:r>
          </w:p>
        </w:tc>
        <w:tc>
          <w:tcPr>
            <w:tcW w:w="1395" w:type="dxa"/>
            <w:tcBorders>
              <w:top w:val="nil"/>
              <w:left w:val="nil"/>
              <w:bottom w:val="nil"/>
              <w:right w:val="single" w:sz="8" w:space="0" w:color="448A99"/>
            </w:tcBorders>
            <w:shd w:val="clear" w:color="000000" w:fill="D2EAF1"/>
            <w:noWrap/>
            <w:vAlign w:val="center"/>
          </w:tcPr>
          <w:p w:rsidR="00F21F28" w:rsidRPr="00124B6E" w:rsidRDefault="00F21F28" w:rsidP="00F21F28">
            <w:pPr>
              <w:jc w:val="center"/>
              <w:rPr>
                <w:rFonts w:eastAsia="Calibri"/>
                <w:bCs/>
                <w:iCs/>
                <w:color w:val="000000"/>
                <w:sz w:val="19"/>
                <w:szCs w:val="19"/>
              </w:rPr>
            </w:pPr>
            <w:r w:rsidRPr="00124B6E">
              <w:rPr>
                <w:color w:val="000000"/>
                <w:sz w:val="19"/>
                <w:szCs w:val="19"/>
              </w:rPr>
              <w:t>0%</w:t>
            </w:r>
          </w:p>
        </w:tc>
      </w:tr>
      <w:tr w:rsidR="00A874AC" w:rsidRPr="009A6DD4" w:rsidTr="00F21F28">
        <w:trPr>
          <w:trHeight w:val="346"/>
          <w:jc w:val="center"/>
        </w:trPr>
        <w:tc>
          <w:tcPr>
            <w:tcW w:w="3780" w:type="dxa"/>
            <w:shd w:val="clear" w:color="auto" w:fill="448A99"/>
            <w:noWrap/>
            <w:vAlign w:val="center"/>
          </w:tcPr>
          <w:p w:rsidR="00F21F28" w:rsidRPr="009A6DD4" w:rsidRDefault="00F21F28" w:rsidP="00F21F28">
            <w:pPr>
              <w:jc w:val="left"/>
              <w:rPr>
                <w:rFonts w:eastAsia="Calibri"/>
                <w:color w:val="FFFFFF" w:themeColor="background1"/>
                <w:sz w:val="18"/>
                <w:szCs w:val="19"/>
              </w:rPr>
            </w:pPr>
            <w:r w:rsidRPr="009A6DD4">
              <w:rPr>
                <w:rFonts w:eastAsia="Calibri"/>
                <w:color w:val="FFFFFF" w:themeColor="background1"/>
                <w:sz w:val="18"/>
                <w:szCs w:val="19"/>
              </w:rPr>
              <w:t>NOTE</w:t>
            </w:r>
            <w:r w:rsidR="00B97C91" w:rsidRPr="009A6DD4">
              <w:rPr>
                <w:rFonts w:eastAsia="Calibri"/>
                <w:color w:val="FFFFFF" w:themeColor="background1"/>
                <w:sz w:val="18"/>
                <w:szCs w:val="19"/>
              </w:rPr>
              <w:t>S:</w:t>
            </w:r>
          </w:p>
          <w:p w:rsidR="00F21F28" w:rsidRPr="009A6DD4" w:rsidRDefault="00F21F28" w:rsidP="00F21F28">
            <w:pPr>
              <w:jc w:val="left"/>
              <w:rPr>
                <w:rFonts w:eastAsia="Calibri"/>
                <w:color w:val="FFFFFF" w:themeColor="background1"/>
                <w:sz w:val="18"/>
                <w:szCs w:val="19"/>
              </w:rPr>
            </w:pPr>
            <w:r w:rsidRPr="009A6DD4">
              <w:rPr>
                <w:rFonts w:eastAsia="Calibri"/>
                <w:color w:val="FFFFFF" w:themeColor="background1"/>
                <w:sz w:val="18"/>
                <w:szCs w:val="19"/>
              </w:rPr>
              <w:t>[a] At the 85% precision level</w:t>
            </w:r>
          </w:p>
        </w:tc>
        <w:tc>
          <w:tcPr>
            <w:tcW w:w="1395" w:type="dxa"/>
            <w:tcBorders>
              <w:top w:val="nil"/>
              <w:left w:val="nil"/>
              <w:bottom w:val="single" w:sz="8" w:space="0" w:color="448A99"/>
              <w:right w:val="single" w:sz="8" w:space="0" w:color="448A99"/>
            </w:tcBorders>
            <w:shd w:val="clear" w:color="auto" w:fill="448A99"/>
            <w:noWrap/>
            <w:vAlign w:val="center"/>
          </w:tcPr>
          <w:p w:rsidR="00F21F28" w:rsidRPr="009A6DD4" w:rsidRDefault="00F21F28" w:rsidP="00F21F28">
            <w:pPr>
              <w:jc w:val="center"/>
              <w:rPr>
                <w:color w:val="000000"/>
                <w:sz w:val="18"/>
                <w:szCs w:val="19"/>
              </w:rPr>
            </w:pPr>
          </w:p>
        </w:tc>
        <w:tc>
          <w:tcPr>
            <w:tcW w:w="1395" w:type="dxa"/>
            <w:tcBorders>
              <w:top w:val="nil"/>
              <w:left w:val="nil"/>
              <w:bottom w:val="single" w:sz="8" w:space="0" w:color="448A99"/>
              <w:right w:val="single" w:sz="8" w:space="0" w:color="448A99"/>
            </w:tcBorders>
            <w:shd w:val="clear" w:color="auto" w:fill="448A99"/>
            <w:noWrap/>
            <w:vAlign w:val="center"/>
          </w:tcPr>
          <w:p w:rsidR="00F21F28" w:rsidRPr="009A6DD4" w:rsidRDefault="00F21F28" w:rsidP="00F21F28">
            <w:pPr>
              <w:jc w:val="center"/>
              <w:rPr>
                <w:color w:val="000000"/>
                <w:sz w:val="18"/>
                <w:szCs w:val="19"/>
              </w:rPr>
            </w:pPr>
          </w:p>
        </w:tc>
        <w:tc>
          <w:tcPr>
            <w:tcW w:w="1395" w:type="dxa"/>
            <w:tcBorders>
              <w:top w:val="nil"/>
              <w:left w:val="nil"/>
              <w:bottom w:val="single" w:sz="8" w:space="0" w:color="448A99"/>
              <w:right w:val="single" w:sz="8" w:space="0" w:color="448A99"/>
            </w:tcBorders>
            <w:shd w:val="clear" w:color="auto" w:fill="448A99"/>
            <w:noWrap/>
            <w:vAlign w:val="center"/>
          </w:tcPr>
          <w:p w:rsidR="00F21F28" w:rsidRPr="009A6DD4" w:rsidRDefault="00F21F28" w:rsidP="00F21F28">
            <w:pPr>
              <w:jc w:val="center"/>
              <w:rPr>
                <w:color w:val="000000"/>
                <w:sz w:val="18"/>
                <w:szCs w:val="19"/>
              </w:rPr>
            </w:pPr>
          </w:p>
        </w:tc>
        <w:tc>
          <w:tcPr>
            <w:tcW w:w="1395" w:type="dxa"/>
            <w:tcBorders>
              <w:top w:val="nil"/>
              <w:left w:val="nil"/>
              <w:bottom w:val="single" w:sz="8" w:space="0" w:color="448A99"/>
              <w:right w:val="single" w:sz="8" w:space="0" w:color="448A99"/>
            </w:tcBorders>
            <w:shd w:val="clear" w:color="auto" w:fill="448A99"/>
            <w:noWrap/>
            <w:vAlign w:val="center"/>
          </w:tcPr>
          <w:p w:rsidR="00F21F28" w:rsidRPr="009A6DD4" w:rsidRDefault="00F21F28" w:rsidP="00F21F28">
            <w:pPr>
              <w:jc w:val="center"/>
              <w:rPr>
                <w:color w:val="000000"/>
                <w:sz w:val="18"/>
                <w:szCs w:val="19"/>
              </w:rPr>
            </w:pPr>
          </w:p>
        </w:tc>
      </w:tr>
    </w:tbl>
    <w:p w:rsidR="001F2B97" w:rsidRDefault="001F2B97" w:rsidP="001F2B97"/>
    <w:p w:rsidR="00F364D9" w:rsidRDefault="00F364D9" w:rsidP="0055598C">
      <w:pPr>
        <w:pStyle w:val="AppendixAHeading4"/>
      </w:pPr>
      <w:r>
        <w:t>Residential Energy Efficiency Programs</w:t>
      </w:r>
    </w:p>
    <w:p w:rsidR="00F364D9" w:rsidRDefault="00F364D9" w:rsidP="00F364D9">
      <w:r>
        <w:t>Realization rates for PECO’s residential programs’ energy savings ranged from 87% to 122%. Realization rates for demand reductions from these programs ranged from 76% to 180%. All residential programs met the relative precision requirement established in the Evaluation Framework.</w:t>
      </w:r>
    </w:p>
    <w:p w:rsidR="00F364D9" w:rsidRDefault="00F364D9" w:rsidP="00F364D9"/>
    <w:p w:rsidR="00F364D9" w:rsidRDefault="00F364D9" w:rsidP="00F364D9">
      <w:r>
        <w:t>The Smart AC Saver program uses Digital Control Units (DCU’s) to control a participant’s air conditioning compressor for a pre-determined amount of time during June to September, while allowing the air handler blower to continue to function normally. While Act 129 had no demand target requirements in PY7, PECO maintained the program and achieved a MW reduction of 40.5 MW. Navigant used a per-switch savings calculated from a load study conducted by Comverge in PY5, weather adjusting the results for the PY7 test event days.</w:t>
      </w:r>
    </w:p>
    <w:p w:rsidR="00F364D9" w:rsidRDefault="00F364D9" w:rsidP="00F364D9"/>
    <w:p w:rsidR="00F364D9" w:rsidRDefault="00F364D9" w:rsidP="00F364D9">
      <w:r>
        <w:t>For the Smart Appliance Recycling program, Navigant first completed a census review of the residential units in the program tracking database to verify that the reported savings used the correct 2015 TRM deemed savings for recycled refrigerators and freezers. For verified savings, Navigant applied the PY7 appliance characteristics of age, cubic feet, etc. to the TRM UEC equation to get a more accurate UEC estimation for PY7.</w:t>
      </w:r>
    </w:p>
    <w:p w:rsidR="00F364D9" w:rsidRDefault="00F364D9" w:rsidP="00F364D9"/>
    <w:p w:rsidR="00F364D9" w:rsidRDefault="00F364D9" w:rsidP="00F364D9">
      <w:r>
        <w:t xml:space="preserve">Navigant’s evaluation of the Smart Builder Rebate program involved desk reviews and whole-building modeling. Desk reviews consisted of a review of REM/Rate models and prescriptive measures for compliance with the 2015 TRM. Through the whole-building modeling, Navigant independently calculated energy and demand savings for project homes. </w:t>
      </w:r>
    </w:p>
    <w:p w:rsidR="00F364D9" w:rsidRDefault="00F364D9" w:rsidP="00F364D9"/>
    <w:p w:rsidR="00F364D9" w:rsidRDefault="00F364D9" w:rsidP="00F364D9">
      <w:r>
        <w:t xml:space="preserve">The Smart Home Rebates program consists of both efficient products and upstream lighting. Navigant completed a census review of the program tracking system by comparing the data to savings calculation algorithms in the TRM. For lighting measures, Navigant performed 530 intercept surveys in PY7 to develop estimates of cross-sector sales. The overall realization rates for the program (across all sectors) were 122% for energy savings and 136% for demand savings. </w:t>
      </w:r>
    </w:p>
    <w:p w:rsidR="00F364D9" w:rsidRDefault="00F364D9" w:rsidP="00F364D9"/>
    <w:p w:rsidR="00F364D9" w:rsidRDefault="00F364D9" w:rsidP="00F364D9">
      <w:r>
        <w:t xml:space="preserve">For the evaluation of the Smart House Call program, Navigant used a census review of implementer invoices and the program tracking system to reconstruct energy and demand savings calculations consistent with the 2015 TRM, conducted phone surveys to verify measure installations, and conducted desk audits of a census of participants to verify the accuracy of the program tracking system. The impact evaluation found and corrected small calculation errors in the tracking system associated with air sealing and LED nightlight measures. The adjusted savings, coupled with installation verification telephone surveys, yielded overall program realization rates of 98% for energy and 99% for demand.  </w:t>
      </w:r>
    </w:p>
    <w:p w:rsidR="00F364D9" w:rsidRDefault="00F364D9" w:rsidP="00F364D9"/>
    <w:p w:rsidR="00F364D9" w:rsidRDefault="00F364D9" w:rsidP="00F364D9">
      <w:r>
        <w:t>The Smart Energy Saver program, which provides take-home kits to students, was evaluated via student installation surveys. Using this information, Navigant quantified installation rates for each measure and calculated savings for each measure based on the algorithms in the 2015 TRM. Navigant only updated TRM-defined variables based on installation survey data where permitted by the 2015 TRM.</w:t>
      </w:r>
    </w:p>
    <w:p w:rsidR="00F364D9" w:rsidRDefault="00F364D9" w:rsidP="00F364D9"/>
    <w:p w:rsidR="00F364D9" w:rsidRDefault="00F364D9" w:rsidP="00F364D9">
      <w:r>
        <w:t>Navigant assessed projects from PECO’s Smart Multi-Family Solutions (Residential) Program using a combination of simple file reviews and telephone surveys for a sample of program participants. The evaluation team then conducted on-site visits for a subset of the telephoned sample for enhanced verification. Last, the evaluation team performed a record-by-record review of projects by recalculating the savings estimates using the 2015 TRM guidance.</w:t>
      </w:r>
    </w:p>
    <w:p w:rsidR="00F364D9" w:rsidRDefault="00F364D9" w:rsidP="00F364D9">
      <w:r>
        <w:t>Finally, the Smart Usage Profile (SUP) program savings were evaluated via billing regression analysis. The program used a randomized control trial (RCT) experimental design, and Navigant estimated program savings through the use of a linear fixed-effect regression analysis.  Navigant also investigated the effect of the SUP Program on increasing participation in the other residential energy efficiency programs and netted these savings out of the SUP Program to account for the possibility of double-counting savings.</w:t>
      </w:r>
    </w:p>
    <w:p w:rsidR="00F364D9" w:rsidRDefault="00F364D9" w:rsidP="00F364D9"/>
    <w:p w:rsidR="00F364D9" w:rsidRDefault="00F364D9" w:rsidP="0055598C">
      <w:pPr>
        <w:pStyle w:val="AppendixAHeading4"/>
      </w:pPr>
      <w:r>
        <w:t>Low-Income Energy Efficiency Programs</w:t>
      </w:r>
    </w:p>
    <w:p w:rsidR="00F364D9" w:rsidRDefault="00F364D9" w:rsidP="00F364D9">
      <w:r w:rsidRPr="00F364D9">
        <w:t>For LEEP, Navigant conducted a TRM-based engineering review of the program tracking database, coupled with information gathered from telephone survey verifications on a sample of participants, to calculate verified gross savings values. Navigant conducted the simple engineering review using the entire population of projects in the tracking database. Navigant also conducted on-site inspections for 19 projects. They accompanied the CSP on 5 Component 1 comprehensive home ride-along audits and 14 Component 1 follow-up site visits to verify measure installation. In nearly all cases, the onsite activities verified that equipment was installed and in operation.</w:t>
      </w:r>
    </w:p>
    <w:p w:rsidR="00F364D9" w:rsidRDefault="00F364D9" w:rsidP="00F364D9"/>
    <w:p w:rsidR="00124B6E" w:rsidRPr="001F2B97" w:rsidRDefault="00124B6E" w:rsidP="00F364D9"/>
    <w:p w:rsidR="00FA1550" w:rsidRDefault="00FA1550" w:rsidP="0055598C">
      <w:pPr>
        <w:pStyle w:val="AppendixAHeading4"/>
      </w:pPr>
      <w:r>
        <w:t>Non-Residential Energy Efficiency Programs</w:t>
      </w:r>
    </w:p>
    <w:p w:rsidR="00FA1550" w:rsidRPr="00FA1550" w:rsidRDefault="00FA1550" w:rsidP="00FA1550">
      <w:pPr>
        <w:rPr>
          <w:color w:val="000000"/>
        </w:rPr>
      </w:pPr>
      <w:r w:rsidRPr="00FA1550">
        <w:rPr>
          <w:color w:val="000000"/>
        </w:rPr>
        <w:t>Realization rates for PECO’s non-residential programs’ energy savings ranged from 87% to 100%. Realization rates for demand reductions from these programs ranged from 18% to 107%. The low reali</w:t>
      </w:r>
      <w:r w:rsidR="00905D02">
        <w:rPr>
          <w:color w:val="000000"/>
        </w:rPr>
        <w:t>zation rate of 18% was for the Commercial</w:t>
      </w:r>
      <w:r w:rsidRPr="00FA1550">
        <w:rPr>
          <w:color w:val="000000"/>
        </w:rPr>
        <w:t xml:space="preserve"> Smart AC Saver Program. PECO achieved better than the 15% precision requirement for kWh and kW in all of its non-residential programs except for the Smart Construction Incentives (SCI) Program, which had 29% and 22% relative precisions for energy and demand, respectively. This was a result of the </w:t>
      </w:r>
      <w:r w:rsidRPr="00FA1550">
        <w:rPr>
          <w:rFonts w:eastAsia="Calibri"/>
        </w:rPr>
        <w:t xml:space="preserve">evaluation contractor’s </w:t>
      </w:r>
      <w:r w:rsidRPr="00FA1550">
        <w:rPr>
          <w:color w:val="000000"/>
        </w:rPr>
        <w:t>decision to restratify the population after 10 incomplete projects were discovered in Q4. The SWE agrees that this was the best course of action given the circumstances and notes that, despite this missed target, PECO did achieve Phase</w:t>
      </w:r>
      <w:r w:rsidR="00905D02">
        <w:rPr>
          <w:color w:val="000000"/>
        </w:rPr>
        <w:t xml:space="preserve"> II </w:t>
      </w:r>
      <w:r w:rsidRPr="00FA1550">
        <w:rPr>
          <w:color w:val="000000"/>
        </w:rPr>
        <w:t>total precisions of 6% and 8% for energy and demand for the SCI Program.</w:t>
      </w:r>
    </w:p>
    <w:p w:rsidR="00FA1550" w:rsidRPr="00FA1550" w:rsidRDefault="00FA1550" w:rsidP="00FA1550">
      <w:pPr>
        <w:rPr>
          <w:color w:val="000000"/>
        </w:rPr>
      </w:pPr>
    </w:p>
    <w:p w:rsidR="00FA1550" w:rsidRDefault="00FA1550" w:rsidP="00FA1550">
      <w:pPr>
        <w:rPr>
          <w:color w:val="000000"/>
        </w:rPr>
      </w:pPr>
      <w:r>
        <w:fldChar w:fldCharType="begin"/>
      </w:r>
      <w:r>
        <w:rPr>
          <w:color w:val="000000"/>
        </w:rPr>
        <w:instrText xml:space="preserve"> REF _Ref472465918 \h </w:instrText>
      </w:r>
      <w:r>
        <w:fldChar w:fldCharType="separate"/>
      </w:r>
      <w:r w:rsidR="00037CB4">
        <w:t>Figure A-</w:t>
      </w:r>
      <w:r w:rsidR="00037CB4">
        <w:rPr>
          <w:noProof/>
        </w:rPr>
        <w:t>21</w:t>
      </w:r>
      <w:r>
        <w:fldChar w:fldCharType="end"/>
      </w:r>
      <w:r w:rsidRPr="00FA1550">
        <w:rPr>
          <w:color w:val="000000"/>
        </w:rPr>
        <w:t xml:space="preserve"> shows the frequency of each M&amp;V approach performed by Navigant in PY7 for PECO’s Smart Equipment Incentives (SEI) Program evaluation sample and the verified energy savings associated with each M&amp;V approach. Navigant used both basic and enhanced levels of rigor to evaluate projects in the sample. Basic rigor includes surveys, desk reviews, and simple on-site verification (no logging). In the 2014 Pennsylvania Evaluation Framework, Basic Rigor Option 1 consists of verification of the number of installations and the selection of the proper deemed savings value from the TRM. Basic Rigor Option 2 consists of verification of appropriate application of the TRM savings algorithms for TRM partially deemed measures using gathered site data that typically are limited to performance specification data and do not need to be measured on-site. Enhanced rigor includes IPMVP Options A, B, C, and D. Option A combines the measurement of key parameters of retrofitted equipment with the use of stipulated values for other measurement parameters. Option B involves more robust measurement of the retrofitted system’s continuous energy usage, typically through short-term power metering. Option C consists of utility billing analysis to determine energy savings. Typically, 12 months of pre- and post-installation billing data are required for this approach. Option D involves modeling energy performance of a facility before and after the efficiency measure is installed. The frequencies and savings presented in </w:t>
      </w:r>
      <w:r>
        <w:rPr>
          <w:color w:val="000000"/>
        </w:rPr>
        <w:fldChar w:fldCharType="begin"/>
      </w:r>
      <w:r>
        <w:rPr>
          <w:color w:val="000000"/>
        </w:rPr>
        <w:instrText xml:space="preserve"> REF _Ref472465918 \h </w:instrText>
      </w:r>
      <w:r>
        <w:rPr>
          <w:color w:val="000000"/>
        </w:rPr>
      </w:r>
      <w:r>
        <w:rPr>
          <w:color w:val="000000"/>
        </w:rPr>
        <w:fldChar w:fldCharType="separate"/>
      </w:r>
      <w:r w:rsidR="00037CB4">
        <w:t>Figure A-</w:t>
      </w:r>
      <w:r w:rsidR="00037CB4">
        <w:rPr>
          <w:noProof/>
        </w:rPr>
        <w:t>21</w:t>
      </w:r>
      <w:r>
        <w:rPr>
          <w:color w:val="000000"/>
        </w:rPr>
        <w:fldChar w:fldCharType="end"/>
      </w:r>
      <w:r w:rsidRPr="00FA1550">
        <w:rPr>
          <w:color w:val="000000"/>
        </w:rPr>
        <w:t xml:space="preserve"> include C/I and GNI measures within the SEI Program.</w:t>
      </w:r>
    </w:p>
    <w:p w:rsidR="00124B6E" w:rsidRPr="00FA1550" w:rsidRDefault="00124B6E" w:rsidP="00FA1550">
      <w:pPr>
        <w:rPr>
          <w:color w:val="000000"/>
        </w:rPr>
      </w:pPr>
    </w:p>
    <w:p w:rsidR="00FA1550" w:rsidRPr="00FA1550" w:rsidRDefault="00FA1550" w:rsidP="004837FA">
      <w:pPr>
        <w:pStyle w:val="Caption"/>
      </w:pPr>
      <w:bookmarkStart w:id="1110" w:name="_Ref472465918"/>
      <w:bookmarkStart w:id="1111" w:name="_Toc431462295"/>
      <w:bookmarkStart w:id="1112" w:name="_Toc444269832"/>
      <w:bookmarkStart w:id="1113" w:name="_Toc488742032"/>
      <w:r>
        <w:t>Figure A-</w:t>
      </w:r>
      <w:r w:rsidR="007973A4">
        <w:fldChar w:fldCharType="begin"/>
      </w:r>
      <w:r w:rsidR="007973A4">
        <w:instrText xml:space="preserve"> SEQ Figure_A- \* ARABIC </w:instrText>
      </w:r>
      <w:r w:rsidR="007973A4">
        <w:fldChar w:fldCharType="separate"/>
      </w:r>
      <w:r w:rsidR="00037CB4">
        <w:rPr>
          <w:noProof/>
        </w:rPr>
        <w:t>21</w:t>
      </w:r>
      <w:r w:rsidR="007973A4">
        <w:rPr>
          <w:noProof/>
        </w:rPr>
        <w:fldChar w:fldCharType="end"/>
      </w:r>
      <w:bookmarkEnd w:id="1110"/>
      <w:r>
        <w:t xml:space="preserve">: </w:t>
      </w:r>
      <w:r w:rsidRPr="00FA1550">
        <w:t>Frequency of and Associated Energy Savings by M&amp;V Approach – SEI Program</w:t>
      </w:r>
      <w:bookmarkEnd w:id="1111"/>
      <w:bookmarkEnd w:id="1112"/>
      <w:bookmarkEnd w:id="1113"/>
    </w:p>
    <w:p w:rsidR="00FA1550" w:rsidRPr="00FA1550" w:rsidRDefault="00FA1550" w:rsidP="00FA1550">
      <w:pPr>
        <w:spacing w:before="200"/>
        <w:jc w:val="center"/>
        <w:rPr>
          <w:rFonts w:eastAsia="MS Mincho"/>
        </w:rPr>
      </w:pPr>
      <w:r w:rsidRPr="00FA1550">
        <w:rPr>
          <w:rFonts w:eastAsia="MS Mincho"/>
          <w:noProof/>
        </w:rPr>
        <w:drawing>
          <wp:inline distT="0" distB="0" distL="0" distR="0" wp14:anchorId="131AE9D1" wp14:editId="0A88B532">
            <wp:extent cx="5674659" cy="2145607"/>
            <wp:effectExtent l="0" t="0" r="254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4">
                      <a:extLst>
                        <a:ext uri="{28A0092B-C50C-407E-A947-70E740481C1C}">
                          <a14:useLocalDpi xmlns:a14="http://schemas.microsoft.com/office/drawing/2010/main" val="0"/>
                        </a:ext>
                      </a:extLst>
                    </a:blip>
                    <a:srcRect l="6982" t="5083" r="5880" b="9212"/>
                    <a:stretch/>
                  </pic:blipFill>
                  <pic:spPr bwMode="auto">
                    <a:xfrm>
                      <a:off x="0" y="0"/>
                      <a:ext cx="5709688" cy="2158852"/>
                    </a:xfrm>
                    <a:prstGeom prst="rect">
                      <a:avLst/>
                    </a:prstGeom>
                    <a:noFill/>
                    <a:ln>
                      <a:noFill/>
                    </a:ln>
                    <a:extLst>
                      <a:ext uri="{53640926-AAD7-44D8-BBD7-CCE9431645EC}">
                        <a14:shadowObscured xmlns:a14="http://schemas.microsoft.com/office/drawing/2010/main"/>
                      </a:ext>
                    </a:extLst>
                  </pic:spPr>
                </pic:pic>
              </a:graphicData>
            </a:graphic>
          </wp:inline>
        </w:drawing>
      </w:r>
    </w:p>
    <w:p w:rsidR="00FA1550" w:rsidRPr="00FA1550" w:rsidRDefault="00FA1550" w:rsidP="00FA1550">
      <w:pPr>
        <w:rPr>
          <w:color w:val="000000"/>
        </w:rPr>
      </w:pPr>
    </w:p>
    <w:p w:rsidR="00FA1550" w:rsidRDefault="007553D7" w:rsidP="00FA1550">
      <w:pPr>
        <w:rPr>
          <w:color w:val="000000"/>
        </w:rPr>
      </w:pPr>
      <w:r>
        <w:rPr>
          <w:color w:val="000000"/>
        </w:rPr>
        <w:fldChar w:fldCharType="begin"/>
      </w:r>
      <w:r>
        <w:rPr>
          <w:color w:val="000000"/>
        </w:rPr>
        <w:instrText xml:space="preserve"> REF _Ref472465918 \h </w:instrText>
      </w:r>
      <w:r>
        <w:rPr>
          <w:color w:val="000000"/>
        </w:rPr>
      </w:r>
      <w:r>
        <w:rPr>
          <w:color w:val="000000"/>
        </w:rPr>
        <w:fldChar w:fldCharType="separate"/>
      </w:r>
      <w:r w:rsidR="00037CB4">
        <w:t>Figure A-</w:t>
      </w:r>
      <w:r w:rsidR="00037CB4">
        <w:rPr>
          <w:noProof/>
        </w:rPr>
        <w:t>21</w:t>
      </w:r>
      <w:r>
        <w:rPr>
          <w:color w:val="000000"/>
        </w:rPr>
        <w:fldChar w:fldCharType="end"/>
      </w:r>
      <w:r w:rsidR="00FA1550" w:rsidRPr="00FA1550">
        <w:rPr>
          <w:color w:val="000000"/>
        </w:rPr>
        <w:t xml:space="preserve"> </w:t>
      </w:r>
      <w:r w:rsidR="00370EE6" w:rsidRPr="00FA1550">
        <w:rPr>
          <w:color w:val="000000"/>
        </w:rPr>
        <w:t>indicates t</w:t>
      </w:r>
      <w:r w:rsidR="00370EE6">
        <w:rPr>
          <w:color w:val="000000"/>
        </w:rPr>
        <w:t>hat 31</w:t>
      </w:r>
      <w:r w:rsidR="00370EE6" w:rsidRPr="00FA1550">
        <w:rPr>
          <w:color w:val="000000"/>
        </w:rPr>
        <w:t xml:space="preserve">% of the sampled measures for the SEI Program were evaluated using a basic level of rigor. However, the representative savings for these measures accounted for only </w:t>
      </w:r>
      <w:r w:rsidR="00370EE6">
        <w:rPr>
          <w:color w:val="000000"/>
        </w:rPr>
        <w:t>3</w:t>
      </w:r>
      <w:r w:rsidR="00370EE6" w:rsidRPr="00FA1550">
        <w:rPr>
          <w:color w:val="000000"/>
        </w:rPr>
        <w:t>% of the energy savings. This suggests that basic rigor was appropriately used, predominately for measures with smaller savings. Likewise, the more expensive methods were reserved for a smaller number of projects, but these projects contributed a large m</w:t>
      </w:r>
      <w:r w:rsidR="00370EE6">
        <w:rPr>
          <w:color w:val="000000"/>
        </w:rPr>
        <w:t>ajority (97</w:t>
      </w:r>
      <w:r w:rsidR="00370EE6" w:rsidRPr="00FA1550">
        <w:rPr>
          <w:color w:val="000000"/>
        </w:rPr>
        <w:t>%) of the program’s energy savings.</w:t>
      </w:r>
      <w:r w:rsidR="00370EE6" w:rsidRPr="00FA1550">
        <w:t xml:space="preserve"> </w:t>
      </w:r>
      <w:r w:rsidR="00370EE6" w:rsidRPr="00FA1550">
        <w:rPr>
          <w:color w:val="000000"/>
        </w:rPr>
        <w:t>The SWE Team supports this “value of information” approach, whereby more expensive evaluation techniques are reserved for projects that account for the greatest share of program savings</w:t>
      </w:r>
      <w:r w:rsidR="00FA1550" w:rsidRPr="00FA1550">
        <w:rPr>
          <w:color w:val="000000"/>
        </w:rPr>
        <w:t>.</w:t>
      </w:r>
    </w:p>
    <w:p w:rsidR="001738D6" w:rsidRDefault="001738D6" w:rsidP="00FA1550">
      <w:pPr>
        <w:rPr>
          <w:color w:val="000000"/>
        </w:rPr>
      </w:pPr>
    </w:p>
    <w:p w:rsidR="001738D6" w:rsidRPr="00FA1550" w:rsidRDefault="001738D6" w:rsidP="001738D6">
      <w:pPr>
        <w:rPr>
          <w:color w:val="000000"/>
        </w:rPr>
      </w:pPr>
      <w:r>
        <w:rPr>
          <w:color w:val="000000"/>
          <w:highlight w:val="yellow"/>
        </w:rPr>
        <w:fldChar w:fldCharType="begin"/>
      </w:r>
      <w:r>
        <w:rPr>
          <w:color w:val="000000"/>
        </w:rPr>
        <w:instrText xml:space="preserve"> REF _Ref472466055 \h </w:instrText>
      </w:r>
      <w:r>
        <w:rPr>
          <w:color w:val="000000"/>
          <w:highlight w:val="yellow"/>
        </w:rPr>
      </w:r>
      <w:r>
        <w:rPr>
          <w:color w:val="000000"/>
          <w:highlight w:val="yellow"/>
        </w:rPr>
        <w:fldChar w:fldCharType="separate"/>
      </w:r>
      <w:r w:rsidR="00037CB4">
        <w:t>Figure A-</w:t>
      </w:r>
      <w:r w:rsidR="00037CB4">
        <w:rPr>
          <w:noProof/>
        </w:rPr>
        <w:t>22</w:t>
      </w:r>
      <w:r>
        <w:rPr>
          <w:color w:val="000000"/>
          <w:highlight w:val="yellow"/>
        </w:rPr>
        <w:fldChar w:fldCharType="end"/>
      </w:r>
      <w:r>
        <w:rPr>
          <w:color w:val="000000"/>
        </w:rPr>
        <w:t xml:space="preserve"> </w:t>
      </w:r>
      <w:r w:rsidR="00370EE6" w:rsidRPr="00FA1550">
        <w:rPr>
          <w:color w:val="000000"/>
        </w:rPr>
        <w:t>shows the frequency of each M&amp;V method used in the SCI Program and the energy savings associated with each method. Basic rigor was used for a majority of t</w:t>
      </w:r>
      <w:r w:rsidR="00370EE6">
        <w:rPr>
          <w:color w:val="000000"/>
        </w:rPr>
        <w:t>he projects (62</w:t>
      </w:r>
      <w:r w:rsidR="00370EE6" w:rsidRPr="00FA1550">
        <w:rPr>
          <w:color w:val="000000"/>
        </w:rPr>
        <w:t xml:space="preserve">%), but these projects accounted for only </w:t>
      </w:r>
      <w:r w:rsidR="00370EE6">
        <w:rPr>
          <w:color w:val="000000"/>
        </w:rPr>
        <w:t>37</w:t>
      </w:r>
      <w:r w:rsidR="00370EE6" w:rsidRPr="00FA1550">
        <w:rPr>
          <w:color w:val="000000"/>
        </w:rPr>
        <w:t>% of the savings. Enhanced rigor was appropriately used for fewer proj</w:t>
      </w:r>
      <w:r w:rsidR="00370EE6">
        <w:rPr>
          <w:color w:val="000000"/>
        </w:rPr>
        <w:t>ects, but these accounted for 63</w:t>
      </w:r>
      <w:r w:rsidR="00370EE6" w:rsidRPr="00FA1550">
        <w:rPr>
          <w:color w:val="000000"/>
        </w:rPr>
        <w:t>% of the savings. Additionally, PECO’s annual report noted that Navigant paid close attention to baseline choices, which are not always obvious for new construction measures</w:t>
      </w:r>
      <w:r w:rsidRPr="00FA1550">
        <w:rPr>
          <w:color w:val="000000"/>
        </w:rPr>
        <w:t>.</w:t>
      </w:r>
    </w:p>
    <w:p w:rsidR="005D61A3" w:rsidRPr="00FA1550" w:rsidRDefault="005D61A3" w:rsidP="001738D6">
      <w:pPr>
        <w:rPr>
          <w:color w:val="000000"/>
        </w:rPr>
      </w:pPr>
    </w:p>
    <w:p w:rsidR="005D61A3" w:rsidRDefault="007553D7" w:rsidP="004837FA">
      <w:pPr>
        <w:pStyle w:val="Caption"/>
      </w:pPr>
      <w:bookmarkStart w:id="1114" w:name="_Ref472466055"/>
      <w:bookmarkStart w:id="1115" w:name="_Toc444269833"/>
      <w:bookmarkStart w:id="1116" w:name="_Toc488742033"/>
      <w:r>
        <w:t>Figure A-</w:t>
      </w:r>
      <w:r w:rsidR="007973A4">
        <w:fldChar w:fldCharType="begin"/>
      </w:r>
      <w:r w:rsidR="007973A4">
        <w:instrText xml:space="preserve"> SEQ Figure_A- \* ARABIC </w:instrText>
      </w:r>
      <w:r w:rsidR="007973A4">
        <w:fldChar w:fldCharType="separate"/>
      </w:r>
      <w:r w:rsidR="00037CB4">
        <w:rPr>
          <w:noProof/>
        </w:rPr>
        <w:t>22</w:t>
      </w:r>
      <w:r w:rsidR="007973A4">
        <w:rPr>
          <w:noProof/>
        </w:rPr>
        <w:fldChar w:fldCharType="end"/>
      </w:r>
      <w:bookmarkEnd w:id="1114"/>
      <w:r>
        <w:t xml:space="preserve">: </w:t>
      </w:r>
      <w:r w:rsidR="00FA1550" w:rsidRPr="00FA1550">
        <w:t>Frequency of and Associated Energy Savings by M&amp;V Approach – SCI Program</w:t>
      </w:r>
      <w:bookmarkEnd w:id="1115"/>
      <w:bookmarkEnd w:id="1116"/>
    </w:p>
    <w:p w:rsidR="00FA1550" w:rsidRPr="00FA1550" w:rsidRDefault="00FA1550" w:rsidP="00FA1550">
      <w:pPr>
        <w:rPr>
          <w:color w:val="000000"/>
        </w:rPr>
      </w:pPr>
      <w:r w:rsidRPr="00FA1550">
        <w:rPr>
          <w:noProof/>
          <w:color w:val="000000"/>
        </w:rPr>
        <w:drawing>
          <wp:inline distT="0" distB="0" distL="0" distR="0" wp14:anchorId="399BF078" wp14:editId="2E64F300">
            <wp:extent cx="6182139" cy="2335334"/>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5">
                      <a:extLst>
                        <a:ext uri="{28A0092B-C50C-407E-A947-70E740481C1C}">
                          <a14:useLocalDpi xmlns:a14="http://schemas.microsoft.com/office/drawing/2010/main" val="0"/>
                        </a:ext>
                      </a:extLst>
                    </a:blip>
                    <a:srcRect l="6841" t="5073" r="6310" b="9764"/>
                    <a:stretch/>
                  </pic:blipFill>
                  <pic:spPr bwMode="auto">
                    <a:xfrm>
                      <a:off x="0" y="0"/>
                      <a:ext cx="6184404" cy="2336190"/>
                    </a:xfrm>
                    <a:prstGeom prst="rect">
                      <a:avLst/>
                    </a:prstGeom>
                    <a:noFill/>
                    <a:ln>
                      <a:noFill/>
                    </a:ln>
                    <a:extLst>
                      <a:ext uri="{53640926-AAD7-44D8-BBD7-CCE9431645EC}">
                        <a14:shadowObscured xmlns:a14="http://schemas.microsoft.com/office/drawing/2010/main"/>
                      </a:ext>
                    </a:extLst>
                  </pic:spPr>
                </pic:pic>
              </a:graphicData>
            </a:graphic>
          </wp:inline>
        </w:drawing>
      </w:r>
    </w:p>
    <w:p w:rsidR="00FA1550" w:rsidRPr="00FA1550" w:rsidRDefault="00FA1550" w:rsidP="00FA1550">
      <w:pPr>
        <w:rPr>
          <w:color w:val="000000"/>
        </w:rPr>
      </w:pPr>
    </w:p>
    <w:p w:rsidR="00FA1550" w:rsidRPr="00FA1550" w:rsidRDefault="00FA1550" w:rsidP="00FA1550">
      <w:pPr>
        <w:rPr>
          <w:color w:val="000000"/>
        </w:rPr>
      </w:pPr>
      <w:r w:rsidRPr="00FA1550">
        <w:rPr>
          <w:color w:val="000000"/>
        </w:rPr>
        <w:t xml:space="preserve">Navigant performed verification on a stratified sample of 13 projects from PECO’s </w:t>
      </w:r>
      <w:r w:rsidR="004827C2">
        <w:rPr>
          <w:color w:val="000000"/>
        </w:rPr>
        <w:t>Smart Business Solutions</w:t>
      </w:r>
      <w:r w:rsidRPr="00FA1550">
        <w:rPr>
          <w:color w:val="000000"/>
        </w:rPr>
        <w:t xml:space="preserve"> (SBS) Program in PY7. Enhanced rigor Option A was used for all projects. </w:t>
      </w:r>
    </w:p>
    <w:p w:rsidR="00FA1550" w:rsidRPr="00FA1550" w:rsidRDefault="00FA1550" w:rsidP="00FA1550">
      <w:pPr>
        <w:rPr>
          <w:color w:val="000000"/>
        </w:rPr>
      </w:pPr>
      <w:r w:rsidRPr="00FA1550">
        <w:rPr>
          <w:color w:val="000000"/>
        </w:rPr>
        <w:t>The Smart On-Site (SOS) Program had six projects completed in PY7. All projects were evaluated with enhanced rigor Option B.</w:t>
      </w:r>
    </w:p>
    <w:p w:rsidR="00FA1550" w:rsidRPr="00FA1550" w:rsidRDefault="00FA1550" w:rsidP="00FA1550">
      <w:pPr>
        <w:rPr>
          <w:color w:val="000000"/>
        </w:rPr>
      </w:pPr>
    </w:p>
    <w:p w:rsidR="00FA1550" w:rsidRPr="00FA1550" w:rsidRDefault="00FA1550" w:rsidP="00FA1550">
      <w:pPr>
        <w:rPr>
          <w:color w:val="000000"/>
        </w:rPr>
      </w:pPr>
      <w:r w:rsidRPr="00FA1550">
        <w:rPr>
          <w:color w:val="000000"/>
        </w:rPr>
        <w:t xml:space="preserve">Navigant assessed projects from PECO’s Smart Multi-Family Solutions Non-Residential Program using file reviews and telephone surveys as the evaluation activity for all projects sampled. Additionally, the </w:t>
      </w:r>
      <w:r w:rsidRPr="00FA1550">
        <w:rPr>
          <w:rFonts w:eastAsia="Calibri"/>
        </w:rPr>
        <w:t xml:space="preserve">evaluation contractor </w:t>
      </w:r>
      <w:r w:rsidRPr="00FA1550">
        <w:rPr>
          <w:color w:val="000000"/>
        </w:rPr>
        <w:t>conducted on-site visits for a subset of telephone survey participants for enhanced verification.</w:t>
      </w:r>
    </w:p>
    <w:p w:rsidR="00FA1550" w:rsidRPr="00280EAE" w:rsidRDefault="00FA1550" w:rsidP="00280EAE"/>
    <w:p w:rsidR="00950837" w:rsidRDefault="00950837" w:rsidP="009C0DF1">
      <w:pPr>
        <w:pStyle w:val="AppendixAHeading3"/>
      </w:pPr>
      <w:r>
        <w:t>Process Evaluation Activities and Findings</w:t>
      </w:r>
    </w:p>
    <w:p w:rsidR="00183636" w:rsidRPr="00661E10" w:rsidRDefault="00183636" w:rsidP="00183636">
      <w:r w:rsidRPr="00661E10">
        <w:t xml:space="preserve">The process evaluation that Navigant conducted for PECO included a review of key program documents and databases; surveys of participants and nonparticipants; and interviews with utility program staff, implementation staff, and market actors affiliated with the program—although not every </w:t>
      </w:r>
      <w:r w:rsidR="00E4553A">
        <w:t xml:space="preserve">program’s process </w:t>
      </w:r>
      <w:r w:rsidRPr="00661E10">
        <w:t xml:space="preserve">evaluation included all of these elements. </w:t>
      </w:r>
      <w:r>
        <w:fldChar w:fldCharType="begin"/>
      </w:r>
      <w:r>
        <w:instrText xml:space="preserve"> REF _Ref472450658 \h </w:instrText>
      </w:r>
      <w:r>
        <w:fldChar w:fldCharType="separate"/>
      </w:r>
      <w:r w:rsidR="00037CB4">
        <w:t>Table A-</w:t>
      </w:r>
      <w:r w:rsidR="00037CB4">
        <w:rPr>
          <w:noProof/>
        </w:rPr>
        <w:t>109</w:t>
      </w:r>
      <w:r>
        <w:fldChar w:fldCharType="end"/>
      </w:r>
      <w:r w:rsidRPr="00661E10">
        <w:t xml:space="preserve"> summarizes the data sources Navigant used and its key findings for each program.</w:t>
      </w:r>
    </w:p>
    <w:p w:rsidR="00183636" w:rsidRDefault="00183636" w:rsidP="00183636"/>
    <w:p w:rsidR="00124B6E" w:rsidRDefault="00124B6E" w:rsidP="00183636"/>
    <w:p w:rsidR="00124B6E" w:rsidRDefault="00124B6E" w:rsidP="00183636"/>
    <w:p w:rsidR="00124B6E" w:rsidRPr="00661E10" w:rsidRDefault="00124B6E" w:rsidP="00183636"/>
    <w:p w:rsidR="00183636" w:rsidRPr="006361F5" w:rsidRDefault="00183636" w:rsidP="004837FA">
      <w:pPr>
        <w:pStyle w:val="Caption"/>
      </w:pPr>
      <w:bookmarkStart w:id="1117" w:name="_Ref472450658"/>
      <w:bookmarkStart w:id="1118" w:name="_Toc472472518"/>
      <w:bookmarkStart w:id="1119" w:name="_Toc488741937"/>
      <w:r>
        <w:t>Table A-</w:t>
      </w:r>
      <w:r w:rsidR="007973A4">
        <w:fldChar w:fldCharType="begin"/>
      </w:r>
      <w:r w:rsidR="007973A4">
        <w:instrText xml:space="preserve"> SEQ Table_A- \*</w:instrText>
      </w:r>
      <w:r w:rsidR="007973A4">
        <w:instrText xml:space="preserve"> ARABIC </w:instrText>
      </w:r>
      <w:r w:rsidR="007973A4">
        <w:fldChar w:fldCharType="separate"/>
      </w:r>
      <w:r w:rsidR="00037CB4">
        <w:rPr>
          <w:noProof/>
        </w:rPr>
        <w:t>109</w:t>
      </w:r>
      <w:r w:rsidR="007973A4">
        <w:rPr>
          <w:noProof/>
        </w:rPr>
        <w:fldChar w:fldCharType="end"/>
      </w:r>
      <w:bookmarkEnd w:id="1117"/>
      <w:r>
        <w:t>:</w:t>
      </w:r>
      <w:r w:rsidRPr="006361F5">
        <w:t xml:space="preserve"> Summary of Key Findings and Data Sources – PECO</w:t>
      </w:r>
      <w:bookmarkEnd w:id="1118"/>
      <w:bookmarkEnd w:id="1119"/>
    </w:p>
    <w:tbl>
      <w:tblPr>
        <w:tblW w:w="9371"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47"/>
        <w:gridCol w:w="5293"/>
        <w:gridCol w:w="2631"/>
      </w:tblGrid>
      <w:tr w:rsidR="00A874AC" w:rsidRPr="00124B6E" w:rsidTr="0017534C">
        <w:trPr>
          <w:cantSplit/>
          <w:trHeight w:val="141"/>
          <w:tblHeader/>
          <w:jc w:val="center"/>
        </w:trPr>
        <w:tc>
          <w:tcPr>
            <w:tcW w:w="1447" w:type="dxa"/>
            <w:shd w:val="clear" w:color="auto" w:fill="448A99"/>
            <w:vAlign w:val="bottom"/>
            <w:hideMark/>
          </w:tcPr>
          <w:p w:rsidR="00183636" w:rsidRPr="00124B6E" w:rsidRDefault="00183636" w:rsidP="005C1352">
            <w:pPr>
              <w:jc w:val="left"/>
              <w:rPr>
                <w:b/>
                <w:color w:val="FFFFFF"/>
                <w:sz w:val="19"/>
                <w:szCs w:val="19"/>
              </w:rPr>
            </w:pPr>
            <w:r w:rsidRPr="00124B6E">
              <w:rPr>
                <w:b/>
                <w:color w:val="FFFFFF"/>
                <w:sz w:val="19"/>
                <w:szCs w:val="19"/>
              </w:rPr>
              <w:t>Program</w:t>
            </w:r>
          </w:p>
        </w:tc>
        <w:tc>
          <w:tcPr>
            <w:tcW w:w="5293" w:type="dxa"/>
            <w:shd w:val="clear" w:color="auto" w:fill="448A99"/>
            <w:vAlign w:val="bottom"/>
            <w:hideMark/>
          </w:tcPr>
          <w:p w:rsidR="00183636" w:rsidRPr="00124B6E" w:rsidRDefault="00183636" w:rsidP="005C1352">
            <w:pPr>
              <w:jc w:val="center"/>
              <w:rPr>
                <w:b/>
                <w:color w:val="FFFFFF"/>
                <w:sz w:val="19"/>
                <w:szCs w:val="19"/>
              </w:rPr>
            </w:pPr>
            <w:r w:rsidRPr="00124B6E">
              <w:rPr>
                <w:b/>
                <w:color w:val="FFFFFF"/>
                <w:sz w:val="19"/>
                <w:szCs w:val="19"/>
              </w:rPr>
              <w:t>Key Findings</w:t>
            </w:r>
          </w:p>
        </w:tc>
        <w:tc>
          <w:tcPr>
            <w:tcW w:w="2631" w:type="dxa"/>
            <w:shd w:val="clear" w:color="auto" w:fill="448A99"/>
            <w:vAlign w:val="bottom"/>
            <w:hideMark/>
          </w:tcPr>
          <w:p w:rsidR="00183636" w:rsidRPr="00124B6E" w:rsidRDefault="00183636" w:rsidP="005C1352">
            <w:pPr>
              <w:jc w:val="center"/>
              <w:rPr>
                <w:b/>
                <w:color w:val="FFFFFF"/>
                <w:sz w:val="19"/>
                <w:szCs w:val="19"/>
              </w:rPr>
            </w:pPr>
            <w:r w:rsidRPr="00124B6E">
              <w:rPr>
                <w:b/>
                <w:color w:val="FFFFFF"/>
                <w:sz w:val="19"/>
                <w:szCs w:val="19"/>
              </w:rPr>
              <w:t>Data Sources</w:t>
            </w:r>
          </w:p>
        </w:tc>
      </w:tr>
      <w:tr w:rsidR="00E7173E" w:rsidRPr="00124B6E" w:rsidTr="00276F1A">
        <w:trPr>
          <w:trHeight w:val="141"/>
          <w:jc w:val="center"/>
        </w:trPr>
        <w:tc>
          <w:tcPr>
            <w:tcW w:w="9371" w:type="dxa"/>
            <w:gridSpan w:val="3"/>
            <w:shd w:val="clear" w:color="auto" w:fill="9C9393"/>
            <w:hideMark/>
          </w:tcPr>
          <w:p w:rsidR="00183636" w:rsidRPr="00124B6E" w:rsidRDefault="00183636" w:rsidP="005C1352">
            <w:pPr>
              <w:jc w:val="left"/>
              <w:rPr>
                <w:b/>
                <w:i/>
                <w:color w:val="FFFFFF"/>
                <w:sz w:val="19"/>
                <w:szCs w:val="19"/>
              </w:rPr>
            </w:pPr>
            <w:r w:rsidRPr="00124B6E">
              <w:rPr>
                <w:b/>
                <w:color w:val="FFFFFF"/>
                <w:sz w:val="19"/>
                <w:szCs w:val="19"/>
              </w:rPr>
              <w:t>Residential Sector</w:t>
            </w:r>
          </w:p>
        </w:tc>
      </w:tr>
      <w:tr w:rsidR="00E7173E" w:rsidRPr="00124B6E" w:rsidTr="00276F1A">
        <w:trPr>
          <w:trHeight w:val="141"/>
          <w:jc w:val="center"/>
        </w:trPr>
        <w:tc>
          <w:tcPr>
            <w:tcW w:w="1447" w:type="dxa"/>
            <w:shd w:val="clear" w:color="auto" w:fill="D2EAF1"/>
          </w:tcPr>
          <w:p w:rsidR="00183636" w:rsidRPr="00124B6E" w:rsidRDefault="00183636" w:rsidP="005C1352">
            <w:pPr>
              <w:jc w:val="left"/>
              <w:rPr>
                <w:sz w:val="19"/>
                <w:szCs w:val="19"/>
              </w:rPr>
            </w:pPr>
            <w:r w:rsidRPr="00124B6E">
              <w:rPr>
                <w:sz w:val="19"/>
                <w:szCs w:val="19"/>
              </w:rPr>
              <w:t>Smart Home Rebates (SHR)</w:t>
            </w:r>
          </w:p>
        </w:tc>
        <w:tc>
          <w:tcPr>
            <w:tcW w:w="5293" w:type="dxa"/>
            <w:shd w:val="clear" w:color="auto" w:fill="D2EAF1"/>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Discrepancies existed between reported and verified air conditioner savings due to gaps in program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71% of surveyed customers reported being aware of PECO’s LED store discounts in PY7.</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12% of those who bought PECO discounted bulbs were low income; savings from these participants were not claimed as low-income savings.</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Increasing LED shelf space corresponded with decreasing CFL shelf space.</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Satisfaction with PECO has remained high since PY5.</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71% of HVAC participant respondents learned of the program from contractors, installers, or builders.</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 xml:space="preserve">Seasonal shifts and scaling back of the program affected smaller </w:t>
            </w:r>
            <w:r w:rsidR="00E4553A" w:rsidRPr="00124B6E">
              <w:rPr>
                <w:sz w:val="19"/>
                <w:szCs w:val="19"/>
              </w:rPr>
              <w:t>HVAC</w:t>
            </w:r>
            <w:r w:rsidRPr="00124B6E">
              <w:rPr>
                <w:sz w:val="19"/>
                <w:szCs w:val="19"/>
              </w:rPr>
              <w:t xml:space="preserve"> contractor firms more than larger firms.</w:t>
            </w:r>
          </w:p>
        </w:tc>
        <w:tc>
          <w:tcPr>
            <w:tcW w:w="2631" w:type="dxa"/>
            <w:shd w:val="clear" w:color="auto" w:fill="D2EAF1"/>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In-store intercept survey (n=530)</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Shelf surveys of 17 stores</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11 HVAC installer interviews</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HVAC rebate participants (n=100)</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Appliance rebate participants (n=100)</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Interview with program manager and implementer</w:t>
            </w:r>
          </w:p>
          <w:p w:rsidR="00183636" w:rsidRPr="00124B6E" w:rsidRDefault="00183636" w:rsidP="005C1352">
            <w:pPr>
              <w:autoSpaceDE w:val="0"/>
              <w:autoSpaceDN w:val="0"/>
              <w:adjustRightInd w:val="0"/>
              <w:contextualSpacing/>
              <w:jc w:val="left"/>
              <w:rPr>
                <w:sz w:val="19"/>
                <w:szCs w:val="19"/>
              </w:rPr>
            </w:pPr>
          </w:p>
        </w:tc>
      </w:tr>
      <w:tr w:rsidR="00183636" w:rsidRPr="00124B6E" w:rsidTr="00276F1A">
        <w:trPr>
          <w:trHeight w:val="141"/>
          <w:jc w:val="center"/>
        </w:trPr>
        <w:tc>
          <w:tcPr>
            <w:tcW w:w="1447" w:type="dxa"/>
          </w:tcPr>
          <w:p w:rsidR="00183636" w:rsidRPr="00124B6E" w:rsidRDefault="00183636" w:rsidP="005C1352">
            <w:pPr>
              <w:jc w:val="left"/>
              <w:rPr>
                <w:sz w:val="19"/>
                <w:szCs w:val="19"/>
              </w:rPr>
            </w:pPr>
            <w:r w:rsidRPr="00124B6E">
              <w:rPr>
                <w:sz w:val="19"/>
                <w:szCs w:val="19"/>
              </w:rPr>
              <w:t>Smart House Call (SHC)</w:t>
            </w:r>
          </w:p>
        </w:tc>
        <w:tc>
          <w:tcPr>
            <w:tcW w:w="5293" w:type="dxa"/>
          </w:tcPr>
          <w:p w:rsidR="00183636" w:rsidRPr="00124B6E" w:rsidRDefault="00183636" w:rsidP="009349F1">
            <w:pPr>
              <w:numPr>
                <w:ilvl w:val="0"/>
                <w:numId w:val="12"/>
              </w:numPr>
              <w:autoSpaceDE w:val="0"/>
              <w:autoSpaceDN w:val="0"/>
              <w:adjustRightInd w:val="0"/>
              <w:ind w:left="245" w:hanging="187"/>
              <w:contextualSpacing/>
              <w:jc w:val="left"/>
              <w:rPr>
                <w:sz w:val="19"/>
                <w:szCs w:val="19"/>
              </w:rPr>
            </w:pPr>
            <w:r w:rsidRPr="00124B6E">
              <w:rPr>
                <w:sz w:val="19"/>
                <w:szCs w:val="19"/>
              </w:rPr>
              <w:t>Participant satisfaction was high in PY7.</w:t>
            </w:r>
          </w:p>
          <w:p w:rsidR="00183636" w:rsidRPr="00124B6E" w:rsidRDefault="00183636" w:rsidP="009349F1">
            <w:pPr>
              <w:numPr>
                <w:ilvl w:val="0"/>
                <w:numId w:val="12"/>
              </w:numPr>
              <w:autoSpaceDE w:val="0"/>
              <w:autoSpaceDN w:val="0"/>
              <w:adjustRightInd w:val="0"/>
              <w:ind w:left="245" w:hanging="187"/>
              <w:contextualSpacing/>
              <w:jc w:val="left"/>
              <w:rPr>
                <w:sz w:val="19"/>
                <w:szCs w:val="19"/>
              </w:rPr>
            </w:pPr>
            <w:r w:rsidRPr="00124B6E">
              <w:rPr>
                <w:sz w:val="19"/>
                <w:szCs w:val="19"/>
              </w:rPr>
              <w:t>Participants did not commonly cite being referred to other PECO programs for which they may be eligible.</w:t>
            </w:r>
          </w:p>
          <w:p w:rsidR="00183636" w:rsidRPr="00124B6E" w:rsidRDefault="00183636" w:rsidP="009349F1">
            <w:pPr>
              <w:numPr>
                <w:ilvl w:val="0"/>
                <w:numId w:val="12"/>
              </w:numPr>
              <w:autoSpaceDE w:val="0"/>
              <w:autoSpaceDN w:val="0"/>
              <w:adjustRightInd w:val="0"/>
              <w:ind w:left="245" w:hanging="187"/>
              <w:contextualSpacing/>
              <w:jc w:val="left"/>
              <w:rPr>
                <w:sz w:val="19"/>
                <w:szCs w:val="19"/>
              </w:rPr>
            </w:pPr>
            <w:r w:rsidRPr="00124B6E">
              <w:rPr>
                <w:sz w:val="19"/>
                <w:szCs w:val="19"/>
              </w:rPr>
              <w:t xml:space="preserve">Participants generally scheduled an audit once they learned of the program. </w:t>
            </w:r>
          </w:p>
          <w:p w:rsidR="00183636" w:rsidRPr="00124B6E" w:rsidRDefault="00183636" w:rsidP="009349F1">
            <w:pPr>
              <w:numPr>
                <w:ilvl w:val="0"/>
                <w:numId w:val="12"/>
              </w:numPr>
              <w:autoSpaceDE w:val="0"/>
              <w:autoSpaceDN w:val="0"/>
              <w:adjustRightInd w:val="0"/>
              <w:ind w:left="245" w:hanging="187"/>
              <w:contextualSpacing/>
              <w:jc w:val="left"/>
              <w:rPr>
                <w:sz w:val="19"/>
                <w:szCs w:val="19"/>
              </w:rPr>
            </w:pPr>
            <w:r w:rsidRPr="00124B6E">
              <w:rPr>
                <w:sz w:val="19"/>
                <w:szCs w:val="19"/>
              </w:rPr>
              <w:t xml:space="preserve">Participants heard of the program via bill inserts, mailers, and word of mouth. </w:t>
            </w:r>
          </w:p>
          <w:p w:rsidR="00183636" w:rsidRPr="00124B6E" w:rsidRDefault="00183636" w:rsidP="009349F1">
            <w:pPr>
              <w:numPr>
                <w:ilvl w:val="0"/>
                <w:numId w:val="12"/>
              </w:numPr>
              <w:autoSpaceDE w:val="0"/>
              <w:autoSpaceDN w:val="0"/>
              <w:adjustRightInd w:val="0"/>
              <w:ind w:left="245" w:hanging="187"/>
              <w:contextualSpacing/>
              <w:jc w:val="left"/>
              <w:rPr>
                <w:sz w:val="19"/>
                <w:szCs w:val="19"/>
              </w:rPr>
            </w:pPr>
            <w:r w:rsidRPr="00124B6E">
              <w:rPr>
                <w:sz w:val="19"/>
                <w:szCs w:val="19"/>
              </w:rPr>
              <w:t>Limited-time discount offers by PECO were successful in increasing customer participation.</w:t>
            </w:r>
          </w:p>
        </w:tc>
        <w:tc>
          <w:tcPr>
            <w:tcW w:w="2631" w:type="dxa"/>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Participant survey (n=130)</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Interview with program manager and implementer</w:t>
            </w:r>
          </w:p>
        </w:tc>
      </w:tr>
      <w:tr w:rsidR="00E7173E" w:rsidRPr="00124B6E" w:rsidTr="00276F1A">
        <w:trPr>
          <w:trHeight w:val="141"/>
          <w:jc w:val="center"/>
        </w:trPr>
        <w:tc>
          <w:tcPr>
            <w:tcW w:w="1447" w:type="dxa"/>
            <w:shd w:val="clear" w:color="auto" w:fill="D2EAF1"/>
          </w:tcPr>
          <w:p w:rsidR="00183636" w:rsidRPr="00124B6E" w:rsidRDefault="00183636" w:rsidP="005C1352">
            <w:pPr>
              <w:jc w:val="left"/>
              <w:rPr>
                <w:sz w:val="19"/>
                <w:szCs w:val="19"/>
              </w:rPr>
            </w:pPr>
            <w:r w:rsidRPr="00124B6E">
              <w:rPr>
                <w:sz w:val="19"/>
                <w:szCs w:val="19"/>
              </w:rPr>
              <w:t>Smart Appliance Recycling (SAR)</w:t>
            </w:r>
          </w:p>
        </w:tc>
        <w:tc>
          <w:tcPr>
            <w:tcW w:w="5293" w:type="dxa"/>
            <w:shd w:val="clear" w:color="auto" w:fill="D2EAF1"/>
          </w:tcPr>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 xml:space="preserve">JACO’s bankruptcy was likely responsible for SAR failing to reach its PY7 and Phase II </w:t>
            </w:r>
            <w:r w:rsidR="004A1C17" w:rsidRPr="00124B6E">
              <w:rPr>
                <w:sz w:val="19"/>
                <w:szCs w:val="19"/>
              </w:rPr>
              <w:t xml:space="preserve">energy savings </w:t>
            </w:r>
            <w:r w:rsidRPr="00124B6E">
              <w:rPr>
                <w:sz w:val="19"/>
                <w:szCs w:val="19"/>
              </w:rPr>
              <w:t>goals.</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JACO’s closure interfered with the delivery of rebates.</w:t>
            </w:r>
          </w:p>
          <w:p w:rsidR="00183636" w:rsidRPr="00124B6E" w:rsidRDefault="008F60D2" w:rsidP="009349F1">
            <w:pPr>
              <w:numPr>
                <w:ilvl w:val="0"/>
                <w:numId w:val="12"/>
              </w:numPr>
              <w:autoSpaceDE w:val="0"/>
              <w:autoSpaceDN w:val="0"/>
              <w:adjustRightInd w:val="0"/>
              <w:ind w:left="245" w:hanging="187"/>
              <w:contextualSpacing/>
              <w:jc w:val="left"/>
              <w:rPr>
                <w:color w:val="365F91"/>
                <w:sz w:val="19"/>
                <w:szCs w:val="19"/>
              </w:rPr>
            </w:pPr>
            <w:r w:rsidRPr="00124B6E">
              <w:rPr>
                <w:sz w:val="19"/>
                <w:szCs w:val="19"/>
              </w:rPr>
              <w:t>Program satisfaction among customers who were affected by the JACO closure dropped, but this had a minor impact on overall program satisfaction.</w:t>
            </w:r>
          </w:p>
        </w:tc>
        <w:tc>
          <w:tcPr>
            <w:tcW w:w="2631" w:type="dxa"/>
            <w:shd w:val="clear" w:color="auto" w:fill="D2EAF1"/>
          </w:tcPr>
          <w:p w:rsidR="00183636" w:rsidRPr="00124B6E" w:rsidRDefault="00183636" w:rsidP="009349F1">
            <w:pPr>
              <w:numPr>
                <w:ilvl w:val="0"/>
                <w:numId w:val="11"/>
              </w:numPr>
              <w:autoSpaceDE w:val="0"/>
              <w:autoSpaceDN w:val="0"/>
              <w:adjustRightInd w:val="0"/>
              <w:ind w:left="232" w:hanging="180"/>
              <w:contextualSpacing/>
              <w:jc w:val="left"/>
              <w:rPr>
                <w:rFonts w:cs="Calibri"/>
                <w:sz w:val="19"/>
                <w:szCs w:val="19"/>
              </w:rPr>
            </w:pPr>
            <w:r w:rsidRPr="00124B6E">
              <w:rPr>
                <w:rFonts w:cs="Calibri"/>
                <w:sz w:val="19"/>
                <w:szCs w:val="19"/>
              </w:rPr>
              <w:t>PY7 Q1–Q4 tracking data</w:t>
            </w:r>
          </w:p>
          <w:p w:rsidR="00183636" w:rsidRPr="00124B6E" w:rsidRDefault="00183636" w:rsidP="009349F1">
            <w:pPr>
              <w:numPr>
                <w:ilvl w:val="0"/>
                <w:numId w:val="11"/>
              </w:numPr>
              <w:autoSpaceDE w:val="0"/>
              <w:autoSpaceDN w:val="0"/>
              <w:adjustRightInd w:val="0"/>
              <w:ind w:left="232" w:hanging="180"/>
              <w:contextualSpacing/>
              <w:jc w:val="left"/>
              <w:rPr>
                <w:rFonts w:cs="Calibri"/>
                <w:sz w:val="19"/>
                <w:szCs w:val="19"/>
              </w:rPr>
            </w:pPr>
            <w:r w:rsidRPr="00124B6E">
              <w:rPr>
                <w:rFonts w:cs="Calibri"/>
                <w:sz w:val="19"/>
                <w:szCs w:val="19"/>
              </w:rPr>
              <w:t>Participant survey (n</w:t>
            </w:r>
            <w:r w:rsidRPr="00124B6E">
              <w:rPr>
                <w:sz w:val="19"/>
                <w:szCs w:val="19"/>
              </w:rPr>
              <w:t>=</w:t>
            </w:r>
            <w:r w:rsidRPr="00124B6E">
              <w:rPr>
                <w:rFonts w:cs="Calibri"/>
                <w:sz w:val="19"/>
                <w:szCs w:val="19"/>
              </w:rPr>
              <w:t>130)</w:t>
            </w:r>
          </w:p>
          <w:p w:rsidR="00183636" w:rsidRPr="00124B6E" w:rsidRDefault="00183636" w:rsidP="009349F1">
            <w:pPr>
              <w:numPr>
                <w:ilvl w:val="0"/>
                <w:numId w:val="11"/>
              </w:numPr>
              <w:autoSpaceDE w:val="0"/>
              <w:autoSpaceDN w:val="0"/>
              <w:adjustRightInd w:val="0"/>
              <w:ind w:left="232" w:hanging="180"/>
              <w:contextualSpacing/>
              <w:jc w:val="left"/>
              <w:rPr>
                <w:rFonts w:cs="Calibri"/>
                <w:sz w:val="19"/>
                <w:szCs w:val="19"/>
              </w:rPr>
            </w:pPr>
            <w:r w:rsidRPr="00124B6E">
              <w:rPr>
                <w:sz w:val="19"/>
                <w:szCs w:val="19"/>
              </w:rPr>
              <w:t>Interview with program manager</w:t>
            </w:r>
          </w:p>
        </w:tc>
      </w:tr>
      <w:tr w:rsidR="00183636" w:rsidRPr="00124B6E" w:rsidTr="00276F1A">
        <w:trPr>
          <w:trHeight w:val="141"/>
          <w:jc w:val="center"/>
        </w:trPr>
        <w:tc>
          <w:tcPr>
            <w:tcW w:w="1447" w:type="dxa"/>
          </w:tcPr>
          <w:p w:rsidR="00183636" w:rsidRPr="00124B6E" w:rsidRDefault="00183636" w:rsidP="005C1352">
            <w:pPr>
              <w:jc w:val="left"/>
              <w:rPr>
                <w:sz w:val="19"/>
                <w:szCs w:val="19"/>
              </w:rPr>
            </w:pPr>
            <w:r w:rsidRPr="00124B6E">
              <w:rPr>
                <w:sz w:val="19"/>
                <w:szCs w:val="19"/>
              </w:rPr>
              <w:t>Smart Usage Profile (SUP)</w:t>
            </w:r>
          </w:p>
        </w:tc>
        <w:tc>
          <w:tcPr>
            <w:tcW w:w="5293" w:type="dxa"/>
          </w:tcPr>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Program savings will likely increase in Phase III since more households will receive HERs in Phase III.</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 xml:space="preserve">SUP participants were successfully channeled into the </w:t>
            </w:r>
            <w:r w:rsidR="004A1C17" w:rsidRPr="00124B6E">
              <w:rPr>
                <w:sz w:val="19"/>
                <w:szCs w:val="19"/>
              </w:rPr>
              <w:t>SHC</w:t>
            </w:r>
            <w:r w:rsidRPr="00124B6E">
              <w:rPr>
                <w:sz w:val="19"/>
                <w:szCs w:val="19"/>
              </w:rPr>
              <w:t xml:space="preserve"> program.</w:t>
            </w:r>
          </w:p>
          <w:p w:rsidR="00183636" w:rsidRPr="00124B6E" w:rsidRDefault="004A1C17" w:rsidP="009349F1">
            <w:pPr>
              <w:numPr>
                <w:ilvl w:val="0"/>
                <w:numId w:val="11"/>
              </w:numPr>
              <w:autoSpaceDE w:val="0"/>
              <w:autoSpaceDN w:val="0"/>
              <w:adjustRightInd w:val="0"/>
              <w:ind w:left="232" w:hanging="180"/>
              <w:contextualSpacing/>
              <w:jc w:val="left"/>
              <w:rPr>
                <w:sz w:val="19"/>
                <w:szCs w:val="19"/>
              </w:rPr>
            </w:pPr>
            <w:r w:rsidRPr="00124B6E">
              <w:rPr>
                <w:sz w:val="19"/>
                <w:szCs w:val="19"/>
              </w:rPr>
              <w:t>Relatively</w:t>
            </w:r>
            <w:r w:rsidR="00183636" w:rsidRPr="00124B6E">
              <w:rPr>
                <w:sz w:val="19"/>
                <w:szCs w:val="19"/>
              </w:rPr>
              <w:t xml:space="preserve"> few household characteristics </w:t>
            </w:r>
            <w:r w:rsidRPr="00124B6E">
              <w:rPr>
                <w:sz w:val="19"/>
                <w:szCs w:val="19"/>
              </w:rPr>
              <w:t xml:space="preserve">specific to each customer </w:t>
            </w:r>
            <w:r w:rsidR="00183636" w:rsidRPr="00124B6E">
              <w:rPr>
                <w:sz w:val="19"/>
                <w:szCs w:val="19"/>
              </w:rPr>
              <w:t>were used to tailor program messaging or reports.</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A low percentage of customers received electronic HERs; those who did had a lower rate of customer complaints and a higher rate of customer engagement.</w:t>
            </w:r>
          </w:p>
        </w:tc>
        <w:tc>
          <w:tcPr>
            <w:tcW w:w="2631" w:type="dxa"/>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rFonts w:cs="Calibri"/>
                <w:sz w:val="19"/>
                <w:szCs w:val="19"/>
              </w:rPr>
            </w:pPr>
            <w:r w:rsidRPr="00124B6E">
              <w:rPr>
                <w:sz w:val="19"/>
                <w:szCs w:val="19"/>
              </w:rPr>
              <w:t>Interview with program manager and implementer</w:t>
            </w:r>
          </w:p>
        </w:tc>
      </w:tr>
      <w:tr w:rsidR="00E7173E" w:rsidRPr="00124B6E" w:rsidTr="00276F1A">
        <w:trPr>
          <w:trHeight w:val="141"/>
          <w:jc w:val="center"/>
        </w:trPr>
        <w:tc>
          <w:tcPr>
            <w:tcW w:w="1447" w:type="dxa"/>
            <w:shd w:val="clear" w:color="auto" w:fill="DAEEF3" w:themeFill="accent5" w:themeFillTint="33"/>
          </w:tcPr>
          <w:p w:rsidR="00183636" w:rsidRPr="00124B6E" w:rsidRDefault="00183636" w:rsidP="005C1352">
            <w:pPr>
              <w:jc w:val="left"/>
              <w:rPr>
                <w:sz w:val="19"/>
                <w:szCs w:val="19"/>
              </w:rPr>
            </w:pPr>
            <w:r w:rsidRPr="00124B6E">
              <w:rPr>
                <w:sz w:val="19"/>
                <w:szCs w:val="19"/>
              </w:rPr>
              <w:t>Smart Energy Saver (SES)</w:t>
            </w:r>
          </w:p>
        </w:tc>
        <w:tc>
          <w:tcPr>
            <w:tcW w:w="5293" w:type="dxa"/>
            <w:shd w:val="clear" w:color="auto" w:fill="DAEEF3" w:themeFill="accent5" w:themeFillTint="33"/>
          </w:tcPr>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 xml:space="preserve">TRM assumed that kit nightlights were replacing existing nightlights; in two-thirds of cases the kit nightlights did not replace existing nightlights. </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SES implementation deviated from the plan; more than half of student installation surveys were filled out in the classroom rather than at home, and not all unused kits made it back to the program.</w:t>
            </w:r>
          </w:p>
        </w:tc>
        <w:tc>
          <w:tcPr>
            <w:tcW w:w="2631" w:type="dxa"/>
            <w:shd w:val="clear" w:color="auto" w:fill="DAEEF3" w:themeFill="accent5" w:themeFillTint="33"/>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rFonts w:cs="Calibri"/>
                <w:sz w:val="19"/>
                <w:szCs w:val="19"/>
              </w:rPr>
            </w:pPr>
            <w:r w:rsidRPr="00124B6E">
              <w:rPr>
                <w:rFonts w:cs="Calibri"/>
                <w:sz w:val="19"/>
                <w:szCs w:val="19"/>
              </w:rPr>
              <w:t>Returned student installation surveys</w:t>
            </w:r>
          </w:p>
        </w:tc>
      </w:tr>
      <w:tr w:rsidR="00183636" w:rsidRPr="00124B6E" w:rsidTr="00276F1A">
        <w:trPr>
          <w:trHeight w:val="141"/>
          <w:jc w:val="center"/>
        </w:trPr>
        <w:tc>
          <w:tcPr>
            <w:tcW w:w="1447" w:type="dxa"/>
          </w:tcPr>
          <w:p w:rsidR="00183636" w:rsidRPr="00124B6E" w:rsidRDefault="00183636" w:rsidP="005C1352">
            <w:pPr>
              <w:jc w:val="left"/>
              <w:rPr>
                <w:sz w:val="19"/>
                <w:szCs w:val="19"/>
              </w:rPr>
            </w:pPr>
            <w:r w:rsidRPr="00124B6E">
              <w:rPr>
                <w:sz w:val="19"/>
                <w:szCs w:val="19"/>
              </w:rPr>
              <w:t>Smart Builder Rebates (SBR)</w:t>
            </w:r>
          </w:p>
        </w:tc>
        <w:tc>
          <w:tcPr>
            <w:tcW w:w="5293" w:type="dxa"/>
          </w:tcPr>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All interviewed builders were satisfied with the rater and program implementation staff; builders reported lower satisfaction with marketing and training assistance.</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It took an average of 131 days for builders to receive incentive; prompt payment of the incentive was a high priority for builders.</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Additional cost and lack of educated HVAC contractors were the key challenges for builders when building ENERGY STAR (ES) homes.</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 xml:space="preserve">84% of the homes built by interviewed builders received a rebate via the program; thus there was little room for increasing ES home market penetration among </w:t>
            </w:r>
            <w:r w:rsidR="00374126" w:rsidRPr="00124B6E">
              <w:rPr>
                <w:sz w:val="19"/>
                <w:szCs w:val="19"/>
              </w:rPr>
              <w:t xml:space="preserve">existing </w:t>
            </w:r>
            <w:r w:rsidRPr="00124B6E">
              <w:rPr>
                <w:sz w:val="19"/>
                <w:szCs w:val="19"/>
              </w:rPr>
              <w:t>participating builders.</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PY7 ES home market penetration ranged from 1% to 14% across counties in PECO territory.</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Implementer outreach efforts suggest that incentives for ES homes are not sufficient to overcome cost barriers to participation.</w:t>
            </w:r>
          </w:p>
        </w:tc>
        <w:tc>
          <w:tcPr>
            <w:tcW w:w="2631" w:type="dxa"/>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rFonts w:cs="Calibri"/>
                <w:sz w:val="19"/>
                <w:szCs w:val="19"/>
              </w:rPr>
            </w:pPr>
            <w:r w:rsidRPr="00124B6E">
              <w:rPr>
                <w:sz w:val="19"/>
                <w:szCs w:val="19"/>
              </w:rPr>
              <w:t>Interview with program manager and implementer</w:t>
            </w:r>
          </w:p>
          <w:p w:rsidR="00183636" w:rsidRPr="00124B6E" w:rsidRDefault="00183636" w:rsidP="009349F1">
            <w:pPr>
              <w:numPr>
                <w:ilvl w:val="0"/>
                <w:numId w:val="12"/>
              </w:numPr>
              <w:autoSpaceDE w:val="0"/>
              <w:autoSpaceDN w:val="0"/>
              <w:adjustRightInd w:val="0"/>
              <w:ind w:left="232" w:hanging="180"/>
              <w:contextualSpacing/>
              <w:jc w:val="left"/>
              <w:rPr>
                <w:rFonts w:cs="Calibri"/>
                <w:sz w:val="19"/>
                <w:szCs w:val="19"/>
              </w:rPr>
            </w:pPr>
            <w:r w:rsidRPr="00124B6E">
              <w:rPr>
                <w:sz w:val="19"/>
                <w:szCs w:val="19"/>
              </w:rPr>
              <w:t>7 interviews with participating builders</w:t>
            </w:r>
          </w:p>
        </w:tc>
      </w:tr>
      <w:tr w:rsidR="00E7173E" w:rsidRPr="00124B6E" w:rsidTr="00276F1A">
        <w:trPr>
          <w:trHeight w:val="141"/>
          <w:jc w:val="center"/>
        </w:trPr>
        <w:tc>
          <w:tcPr>
            <w:tcW w:w="1447" w:type="dxa"/>
            <w:shd w:val="clear" w:color="auto" w:fill="DAEEF3" w:themeFill="accent5" w:themeFillTint="33"/>
          </w:tcPr>
          <w:p w:rsidR="00183636" w:rsidRPr="00124B6E" w:rsidRDefault="00183636" w:rsidP="005C1352">
            <w:pPr>
              <w:jc w:val="left"/>
              <w:rPr>
                <w:sz w:val="19"/>
                <w:szCs w:val="19"/>
              </w:rPr>
            </w:pPr>
            <w:r w:rsidRPr="00124B6E">
              <w:rPr>
                <w:sz w:val="19"/>
                <w:szCs w:val="19"/>
              </w:rPr>
              <w:t>Smart AC Saver (SACS) – Residential</w:t>
            </w:r>
          </w:p>
        </w:tc>
        <w:tc>
          <w:tcPr>
            <w:tcW w:w="5293" w:type="dxa"/>
            <w:shd w:val="clear" w:color="auto" w:fill="DAEEF3" w:themeFill="accent5" w:themeFillTint="33"/>
          </w:tcPr>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Evaluation contractor received Insufficient AMI data for the level of impact analysis needed in PY8 and beyond.</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Over 90% of surveyed participants were satisfied with the program.</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Participants generally are not aware of events.</w:t>
            </w:r>
          </w:p>
          <w:p w:rsidR="00183636" w:rsidRPr="00124B6E" w:rsidRDefault="00183636" w:rsidP="009349F1">
            <w:pPr>
              <w:numPr>
                <w:ilvl w:val="0"/>
                <w:numId w:val="11"/>
              </w:numPr>
              <w:autoSpaceDE w:val="0"/>
              <w:autoSpaceDN w:val="0"/>
              <w:adjustRightInd w:val="0"/>
              <w:ind w:left="232" w:hanging="180"/>
              <w:contextualSpacing/>
              <w:jc w:val="left"/>
              <w:rPr>
                <w:rFonts w:cs="Calibri"/>
                <w:color w:val="000000"/>
                <w:sz w:val="19"/>
                <w:szCs w:val="19"/>
              </w:rPr>
            </w:pPr>
            <w:r w:rsidRPr="00124B6E">
              <w:rPr>
                <w:sz w:val="19"/>
                <w:szCs w:val="19"/>
              </w:rPr>
              <w:t>One-third of surveyed participants noted they would not participate if the incentives were cut by half. Note that prior participants also reported unwillingness to accept a lower incentive; yet when the incentive was cut from $120 to $80 per summer, very few participants dropped out of the program.</w:t>
            </w:r>
          </w:p>
        </w:tc>
        <w:tc>
          <w:tcPr>
            <w:tcW w:w="2631" w:type="dxa"/>
            <w:shd w:val="clear" w:color="auto" w:fill="DAEEF3" w:themeFill="accent5" w:themeFillTint="33"/>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Participant survey (n=70)</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 xml:space="preserve">Interview with program manager </w:t>
            </w:r>
          </w:p>
        </w:tc>
      </w:tr>
      <w:tr w:rsidR="00E7173E" w:rsidRPr="00124B6E" w:rsidTr="00276F1A">
        <w:trPr>
          <w:trHeight w:val="141"/>
          <w:jc w:val="center"/>
        </w:trPr>
        <w:tc>
          <w:tcPr>
            <w:tcW w:w="1447" w:type="dxa"/>
            <w:shd w:val="clear" w:color="auto" w:fill="auto"/>
          </w:tcPr>
          <w:p w:rsidR="00183636" w:rsidRPr="00124B6E" w:rsidRDefault="00183636" w:rsidP="005C1352">
            <w:pPr>
              <w:jc w:val="left"/>
              <w:rPr>
                <w:sz w:val="19"/>
                <w:szCs w:val="19"/>
              </w:rPr>
            </w:pPr>
            <w:r w:rsidRPr="00124B6E">
              <w:rPr>
                <w:sz w:val="19"/>
                <w:szCs w:val="19"/>
              </w:rPr>
              <w:t>Smart Multi-Family Solutions (SMF) – Residential</w:t>
            </w:r>
          </w:p>
        </w:tc>
        <w:tc>
          <w:tcPr>
            <w:tcW w:w="5293" w:type="dxa"/>
            <w:shd w:val="clear" w:color="auto" w:fill="auto"/>
          </w:tcPr>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Free-ridership in PY7 increased over PY6 (from 0.25 to 0.43 in the residential sector).</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Most participants (71%) were contacted about the program by the implementer.</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 xml:space="preserve">The majority of landlords were not aware of or able to recall offerings through the program’s prescriptive channel. </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50% of participating landlords recalled receiving an audit report, and of those, 25% reported that the program representative did not review the report with them.</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Participants were satisfied with the program.</w:t>
            </w:r>
          </w:p>
        </w:tc>
        <w:tc>
          <w:tcPr>
            <w:tcW w:w="2631" w:type="dxa"/>
            <w:shd w:val="clear" w:color="auto" w:fill="auto"/>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Participant survey (n=48)</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Interview with program manager and implementer</w:t>
            </w:r>
          </w:p>
        </w:tc>
      </w:tr>
      <w:tr w:rsidR="00E7173E" w:rsidRPr="00124B6E" w:rsidTr="00276F1A">
        <w:trPr>
          <w:trHeight w:val="141"/>
          <w:jc w:val="center"/>
        </w:trPr>
        <w:tc>
          <w:tcPr>
            <w:tcW w:w="9371" w:type="dxa"/>
            <w:gridSpan w:val="3"/>
            <w:shd w:val="clear" w:color="auto" w:fill="9C9393"/>
            <w:hideMark/>
          </w:tcPr>
          <w:p w:rsidR="00183636" w:rsidRPr="00124B6E" w:rsidRDefault="00183636" w:rsidP="005C1352">
            <w:pPr>
              <w:ind w:left="139" w:hanging="180"/>
              <w:jc w:val="left"/>
              <w:rPr>
                <w:b/>
                <w:i/>
                <w:sz w:val="19"/>
                <w:szCs w:val="19"/>
              </w:rPr>
            </w:pPr>
            <w:r w:rsidRPr="00124B6E">
              <w:rPr>
                <w:b/>
                <w:color w:val="FFFFFF"/>
                <w:sz w:val="19"/>
                <w:szCs w:val="19"/>
              </w:rPr>
              <w:t>Low-Income Sector</w:t>
            </w:r>
          </w:p>
        </w:tc>
      </w:tr>
      <w:tr w:rsidR="00E7173E" w:rsidRPr="00124B6E" w:rsidTr="00276F1A">
        <w:trPr>
          <w:trHeight w:val="141"/>
          <w:jc w:val="center"/>
        </w:trPr>
        <w:tc>
          <w:tcPr>
            <w:tcW w:w="1447" w:type="dxa"/>
            <w:shd w:val="clear" w:color="auto" w:fill="D2EAF1"/>
            <w:vAlign w:val="center"/>
          </w:tcPr>
          <w:p w:rsidR="00183636" w:rsidRPr="00124B6E" w:rsidRDefault="00183636" w:rsidP="005C1352">
            <w:pPr>
              <w:jc w:val="left"/>
              <w:rPr>
                <w:color w:val="000000"/>
                <w:sz w:val="19"/>
                <w:szCs w:val="19"/>
              </w:rPr>
            </w:pPr>
            <w:r w:rsidRPr="00124B6E">
              <w:rPr>
                <w:color w:val="000000"/>
                <w:sz w:val="19"/>
                <w:szCs w:val="19"/>
              </w:rPr>
              <w:t>Low-Income Energy Efficiency (LEEP)</w:t>
            </w:r>
          </w:p>
        </w:tc>
        <w:tc>
          <w:tcPr>
            <w:tcW w:w="5293" w:type="dxa"/>
            <w:shd w:val="clear" w:color="auto" w:fill="D2EAF1"/>
          </w:tcPr>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The majority of participants (89%) were satisfied with the program.</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CFL socket saturation increased in the low-income community.</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The educational materials provided to participants did not have a clear call to action. Additionally, more than half of Component 3 survey respondents reported not receiving or not remembering receiving the materials.</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Defining customers through the CAP rate tariff (applies to Components 1 and 2) has the potential to miss eligible participants.</w:t>
            </w:r>
          </w:p>
          <w:p w:rsidR="00183636" w:rsidRPr="00124B6E" w:rsidRDefault="00183636" w:rsidP="009349F1">
            <w:pPr>
              <w:numPr>
                <w:ilvl w:val="0"/>
                <w:numId w:val="11"/>
              </w:numPr>
              <w:autoSpaceDE w:val="0"/>
              <w:autoSpaceDN w:val="0"/>
              <w:adjustRightInd w:val="0"/>
              <w:ind w:left="232" w:hanging="180"/>
              <w:contextualSpacing/>
              <w:jc w:val="left"/>
              <w:rPr>
                <w:sz w:val="19"/>
                <w:szCs w:val="19"/>
              </w:rPr>
            </w:pPr>
            <w:r w:rsidRPr="00124B6E">
              <w:rPr>
                <w:sz w:val="19"/>
                <w:szCs w:val="19"/>
              </w:rPr>
              <w:t>The majority of LEEP customers (55%) were served through Component 3 (free CFL giveaways).</w:t>
            </w:r>
          </w:p>
        </w:tc>
        <w:tc>
          <w:tcPr>
            <w:tcW w:w="2631" w:type="dxa"/>
            <w:shd w:val="clear" w:color="auto" w:fill="D2EAF1"/>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Participant survey (n=90)</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19 site visits</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Interview with program manager and implementer</w:t>
            </w:r>
          </w:p>
        </w:tc>
      </w:tr>
      <w:tr w:rsidR="00E7173E" w:rsidRPr="00124B6E" w:rsidTr="00276F1A">
        <w:trPr>
          <w:trHeight w:val="141"/>
          <w:jc w:val="center"/>
        </w:trPr>
        <w:tc>
          <w:tcPr>
            <w:tcW w:w="9371" w:type="dxa"/>
            <w:gridSpan w:val="3"/>
            <w:shd w:val="clear" w:color="auto" w:fill="9C9393"/>
            <w:hideMark/>
          </w:tcPr>
          <w:p w:rsidR="00183636" w:rsidRPr="00124B6E" w:rsidRDefault="00183636" w:rsidP="005C1352">
            <w:pPr>
              <w:ind w:left="139" w:hanging="180"/>
              <w:jc w:val="left"/>
              <w:rPr>
                <w:b/>
                <w:i/>
                <w:sz w:val="19"/>
                <w:szCs w:val="19"/>
              </w:rPr>
            </w:pPr>
            <w:r w:rsidRPr="00124B6E">
              <w:rPr>
                <w:b/>
                <w:color w:val="FFFFFF"/>
                <w:sz w:val="19"/>
                <w:szCs w:val="19"/>
              </w:rPr>
              <w:t>Non-Residential Sector</w:t>
            </w:r>
          </w:p>
        </w:tc>
      </w:tr>
      <w:tr w:rsidR="00183636" w:rsidRPr="00124B6E" w:rsidTr="00276F1A">
        <w:trPr>
          <w:trHeight w:val="141"/>
          <w:jc w:val="center"/>
        </w:trPr>
        <w:tc>
          <w:tcPr>
            <w:tcW w:w="1447" w:type="dxa"/>
          </w:tcPr>
          <w:p w:rsidR="00183636" w:rsidRPr="00124B6E" w:rsidRDefault="00183636" w:rsidP="005C1352">
            <w:pPr>
              <w:jc w:val="left"/>
              <w:rPr>
                <w:sz w:val="19"/>
                <w:szCs w:val="19"/>
              </w:rPr>
            </w:pPr>
            <w:r w:rsidRPr="00124B6E">
              <w:rPr>
                <w:sz w:val="19"/>
                <w:szCs w:val="19"/>
              </w:rPr>
              <w:t>Smart AC Saver (SACS) – Commercial</w:t>
            </w:r>
          </w:p>
        </w:tc>
        <w:tc>
          <w:tcPr>
            <w:tcW w:w="5293" w:type="dxa"/>
          </w:tcPr>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Same findings as reported for SACS - Residential above</w:t>
            </w:r>
          </w:p>
        </w:tc>
        <w:tc>
          <w:tcPr>
            <w:tcW w:w="2631" w:type="dxa"/>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Participant survey (n=70)</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Interview with program manager</w:t>
            </w:r>
          </w:p>
        </w:tc>
      </w:tr>
      <w:tr w:rsidR="00E7173E" w:rsidRPr="00124B6E" w:rsidTr="00276F1A">
        <w:trPr>
          <w:trHeight w:val="141"/>
          <w:jc w:val="center"/>
        </w:trPr>
        <w:tc>
          <w:tcPr>
            <w:tcW w:w="1447" w:type="dxa"/>
            <w:shd w:val="clear" w:color="auto" w:fill="D2EAF1"/>
          </w:tcPr>
          <w:p w:rsidR="00183636" w:rsidRPr="00124B6E" w:rsidRDefault="00183636" w:rsidP="005C1352">
            <w:pPr>
              <w:jc w:val="left"/>
              <w:rPr>
                <w:sz w:val="19"/>
                <w:szCs w:val="19"/>
              </w:rPr>
            </w:pPr>
            <w:r w:rsidRPr="00124B6E">
              <w:rPr>
                <w:sz w:val="19"/>
                <w:szCs w:val="19"/>
              </w:rPr>
              <w:t>Smart Equipment Incentives (SEI)</w:t>
            </w:r>
          </w:p>
        </w:tc>
        <w:tc>
          <w:tcPr>
            <w:tcW w:w="5293" w:type="dxa"/>
            <w:shd w:val="clear" w:color="auto" w:fill="D2EAF1"/>
          </w:tcPr>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Trade allies reported that the trade ally incentive (introduced in PY6) encouraged them to deliver more projects through the program.</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Program succeeded at reducing the percentage of lighting projects from PY5 to PY7. </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Interviews and survey responses indicated that in some cases PY7 incentives barely covered the cost of the engineering requirements in the rebate application. </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The “limited time offer” marketing campaign brought in more projects in February and March than in May and June.</w:t>
            </w:r>
          </w:p>
        </w:tc>
        <w:tc>
          <w:tcPr>
            <w:tcW w:w="2631" w:type="dxa"/>
            <w:shd w:val="clear" w:color="auto" w:fill="D2EAF1"/>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Participant online survey (n=86: 51 C/I, 35 GNI)</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Interview with program manager and implementer</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7 trade ally interviews</w:t>
            </w:r>
          </w:p>
        </w:tc>
      </w:tr>
      <w:tr w:rsidR="00183636" w:rsidRPr="00124B6E" w:rsidTr="00276F1A">
        <w:trPr>
          <w:trHeight w:val="141"/>
          <w:jc w:val="center"/>
        </w:trPr>
        <w:tc>
          <w:tcPr>
            <w:tcW w:w="1447" w:type="dxa"/>
          </w:tcPr>
          <w:p w:rsidR="00183636" w:rsidRPr="00124B6E" w:rsidRDefault="00183636" w:rsidP="005C1352">
            <w:pPr>
              <w:jc w:val="left"/>
              <w:rPr>
                <w:sz w:val="19"/>
                <w:szCs w:val="19"/>
              </w:rPr>
            </w:pPr>
            <w:r w:rsidRPr="00124B6E">
              <w:rPr>
                <w:sz w:val="19"/>
                <w:szCs w:val="19"/>
              </w:rPr>
              <w:t>Smart Construction Incentives (SCI)</w:t>
            </w:r>
          </w:p>
        </w:tc>
        <w:tc>
          <w:tcPr>
            <w:tcW w:w="5293" w:type="dxa"/>
          </w:tcPr>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There were several incomplete projects due to: (1) the overzealous pursuit of projects </w:t>
            </w:r>
            <w:r w:rsidR="00374126" w:rsidRPr="00124B6E">
              <w:rPr>
                <w:rFonts w:cs="Calibri"/>
                <w:sz w:val="19"/>
                <w:szCs w:val="19"/>
              </w:rPr>
              <w:t>by the implementer,</w:t>
            </w:r>
            <w:r w:rsidRPr="00124B6E">
              <w:rPr>
                <w:rFonts w:cs="Calibri"/>
                <w:sz w:val="19"/>
                <w:szCs w:val="19"/>
              </w:rPr>
              <w:t xml:space="preserve"> despite tight deadlines; (2) empathy for customers rushing to be included in Phase II; (3) implementer confusion about TRM rules for completion and occupancy; and (4) ambiguous language in the program application about certificates of occupancy.</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Energy savings realization rates dropped from over 112% (had the buildings been fully complete and occupied) to 87%.</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The post-installation inspection reports (which would have alerted staff of a project’s completion status) were often not reviewed in detail by program and implementation staff.  </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The program improved in PY7 due to the program’s PY6 efforts to identify and requalify committed trade allies. </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The new construction projects in the program have long lead times. </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Over 75% of portfolio savings are coming from either lighting or custom projects. The majority of savings from custom projects come from lighting measures.</w:t>
            </w:r>
          </w:p>
        </w:tc>
        <w:tc>
          <w:tcPr>
            <w:tcW w:w="2631" w:type="dxa"/>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On-site visits (n=43)</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Interview with program manager and implementer</w:t>
            </w:r>
          </w:p>
        </w:tc>
      </w:tr>
      <w:tr w:rsidR="00E7173E" w:rsidRPr="00124B6E" w:rsidTr="00276F1A">
        <w:trPr>
          <w:trHeight w:val="141"/>
          <w:jc w:val="center"/>
        </w:trPr>
        <w:tc>
          <w:tcPr>
            <w:tcW w:w="1447" w:type="dxa"/>
            <w:shd w:val="clear" w:color="auto" w:fill="DAEEF3" w:themeFill="accent5" w:themeFillTint="33"/>
          </w:tcPr>
          <w:p w:rsidR="00183636" w:rsidRPr="00124B6E" w:rsidRDefault="00183636" w:rsidP="005C1352">
            <w:pPr>
              <w:jc w:val="left"/>
              <w:rPr>
                <w:sz w:val="19"/>
                <w:szCs w:val="19"/>
              </w:rPr>
            </w:pPr>
            <w:r w:rsidRPr="00124B6E">
              <w:rPr>
                <w:sz w:val="19"/>
                <w:szCs w:val="19"/>
              </w:rPr>
              <w:t>Smart Multifamily Solutions (SMF) – Commercial</w:t>
            </w:r>
          </w:p>
        </w:tc>
        <w:tc>
          <w:tcPr>
            <w:tcW w:w="5293" w:type="dxa"/>
            <w:shd w:val="clear" w:color="auto" w:fill="DAEEF3" w:themeFill="accent5" w:themeFillTint="33"/>
          </w:tcPr>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Same findings as reported for SMF – Residential above</w:t>
            </w:r>
          </w:p>
        </w:tc>
        <w:tc>
          <w:tcPr>
            <w:tcW w:w="2631" w:type="dxa"/>
            <w:shd w:val="clear" w:color="auto" w:fill="DAEEF3" w:themeFill="accent5" w:themeFillTint="33"/>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Participant survey (n=24)</w:t>
            </w:r>
          </w:p>
          <w:p w:rsidR="00183636" w:rsidRPr="00124B6E" w:rsidRDefault="00183636" w:rsidP="009349F1">
            <w:pPr>
              <w:numPr>
                <w:ilvl w:val="0"/>
                <w:numId w:val="12"/>
              </w:numPr>
              <w:autoSpaceDE w:val="0"/>
              <w:autoSpaceDN w:val="0"/>
              <w:adjustRightInd w:val="0"/>
              <w:ind w:left="232" w:hanging="180"/>
              <w:contextualSpacing/>
              <w:jc w:val="left"/>
              <w:rPr>
                <w:rFonts w:cs="Calibri"/>
                <w:sz w:val="19"/>
                <w:szCs w:val="19"/>
              </w:rPr>
            </w:pPr>
            <w:r w:rsidRPr="00124B6E">
              <w:rPr>
                <w:sz w:val="19"/>
                <w:szCs w:val="19"/>
              </w:rPr>
              <w:t>Interview with program manager and implementer</w:t>
            </w:r>
          </w:p>
        </w:tc>
      </w:tr>
      <w:tr w:rsidR="00183636" w:rsidRPr="00124B6E" w:rsidTr="00276F1A">
        <w:trPr>
          <w:trHeight w:val="141"/>
          <w:jc w:val="center"/>
        </w:trPr>
        <w:tc>
          <w:tcPr>
            <w:tcW w:w="1447" w:type="dxa"/>
          </w:tcPr>
          <w:p w:rsidR="00183636" w:rsidRPr="00124B6E" w:rsidRDefault="00183636" w:rsidP="005C1352">
            <w:pPr>
              <w:jc w:val="left"/>
              <w:rPr>
                <w:sz w:val="19"/>
                <w:szCs w:val="19"/>
              </w:rPr>
            </w:pPr>
            <w:r w:rsidRPr="00124B6E">
              <w:rPr>
                <w:sz w:val="19"/>
                <w:szCs w:val="19"/>
              </w:rPr>
              <w:t>Smart On-Site (SOS)</w:t>
            </w:r>
          </w:p>
        </w:tc>
        <w:tc>
          <w:tcPr>
            <w:tcW w:w="5293" w:type="dxa"/>
          </w:tcPr>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17% of the Phase II MWh savings goal was completed in the last two days of the phase, and projects making up 7% of the Phase II MWh goal did not get completed during the phase.</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Projects that did not finish took between 15 and 28 months from the time of application to completion, making it difficult for PECO to react to any need to adjust its plan to meet the portfolio savings goals. </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Developers unanimously oppose restrictions on participation based on system size and Phase deadline. </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One developer suggested that the move toward containerized systems for systems as large as 1.5 MW can shorten the development cycle. Further analysis of program data revealed that containerized systems did not complete faster than two traditional projects completed in PY5. </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All developers pointed to obtaining an operating permit from the Pennsylvania Dept. of Environmental Protection as the source of considerable delay and uncertainty.</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Three developers said they had issues with the interconnection agreement.</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Some participants noted issues with customer service, including responsiveness and consistency of messages.</w:t>
            </w:r>
          </w:p>
        </w:tc>
        <w:tc>
          <w:tcPr>
            <w:tcW w:w="2631" w:type="dxa"/>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rFonts w:cs="Calibri"/>
                <w:sz w:val="19"/>
                <w:szCs w:val="19"/>
              </w:rPr>
            </w:pPr>
            <w:r w:rsidRPr="00124B6E">
              <w:rPr>
                <w:sz w:val="19"/>
                <w:szCs w:val="19"/>
              </w:rPr>
              <w:t>Interview with program manager and implementer</w:t>
            </w:r>
          </w:p>
          <w:p w:rsidR="00183636" w:rsidRPr="00124B6E" w:rsidRDefault="00183636" w:rsidP="009349F1">
            <w:pPr>
              <w:numPr>
                <w:ilvl w:val="0"/>
                <w:numId w:val="12"/>
              </w:numPr>
              <w:autoSpaceDE w:val="0"/>
              <w:autoSpaceDN w:val="0"/>
              <w:adjustRightInd w:val="0"/>
              <w:ind w:left="232" w:hanging="180"/>
              <w:contextualSpacing/>
              <w:jc w:val="left"/>
              <w:rPr>
                <w:rFonts w:cs="Calibri"/>
                <w:sz w:val="19"/>
                <w:szCs w:val="19"/>
              </w:rPr>
            </w:pPr>
            <w:r w:rsidRPr="00124B6E">
              <w:rPr>
                <w:sz w:val="19"/>
                <w:szCs w:val="19"/>
              </w:rPr>
              <w:t>Interviews with all participants and project developers (n=6)</w:t>
            </w:r>
          </w:p>
        </w:tc>
      </w:tr>
      <w:tr w:rsidR="00E7173E" w:rsidRPr="00124B6E" w:rsidTr="00276F1A">
        <w:trPr>
          <w:trHeight w:val="141"/>
          <w:jc w:val="center"/>
        </w:trPr>
        <w:tc>
          <w:tcPr>
            <w:tcW w:w="1447" w:type="dxa"/>
            <w:shd w:val="clear" w:color="auto" w:fill="DAEEF3" w:themeFill="accent5" w:themeFillTint="33"/>
          </w:tcPr>
          <w:p w:rsidR="00183636" w:rsidRPr="00124B6E" w:rsidRDefault="00183636" w:rsidP="005C1352">
            <w:pPr>
              <w:jc w:val="left"/>
              <w:rPr>
                <w:sz w:val="19"/>
                <w:szCs w:val="19"/>
              </w:rPr>
            </w:pPr>
            <w:r w:rsidRPr="00124B6E">
              <w:rPr>
                <w:sz w:val="19"/>
                <w:szCs w:val="19"/>
              </w:rPr>
              <w:t>Smart Business Solutions (SBS)</w:t>
            </w:r>
          </w:p>
        </w:tc>
        <w:tc>
          <w:tcPr>
            <w:tcW w:w="5293" w:type="dxa"/>
            <w:shd w:val="clear" w:color="auto" w:fill="DAEEF3" w:themeFill="accent5" w:themeFillTint="33"/>
          </w:tcPr>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 xml:space="preserve">Program fell short of the Phase II </w:t>
            </w:r>
            <w:r w:rsidR="000D7316" w:rsidRPr="00124B6E">
              <w:rPr>
                <w:rFonts w:cs="Calibri"/>
                <w:sz w:val="19"/>
                <w:szCs w:val="19"/>
              </w:rPr>
              <w:t xml:space="preserve">objectives </w:t>
            </w:r>
            <w:r w:rsidRPr="00124B6E">
              <w:rPr>
                <w:rFonts w:cs="Calibri"/>
                <w:sz w:val="19"/>
                <w:szCs w:val="19"/>
              </w:rPr>
              <w:t>by about 15% and overspent the budget by about $1 million.</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The program was able to ramp up and down easily.</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Linear fluorescent upgrades of T12s to T8 and T5s accounted for 76% of program savings. The TRM in Phase III will shift the baseline for linear fluorescent upgrades from T12s to T8s, drastically reducing the amount of savings PECO can claim for T12 upgrades.</w:t>
            </w:r>
          </w:p>
          <w:p w:rsidR="00183636" w:rsidRPr="00124B6E" w:rsidRDefault="00183636" w:rsidP="009349F1">
            <w:pPr>
              <w:numPr>
                <w:ilvl w:val="0"/>
                <w:numId w:val="10"/>
              </w:numPr>
              <w:autoSpaceDE w:val="0"/>
              <w:autoSpaceDN w:val="0"/>
              <w:adjustRightInd w:val="0"/>
              <w:ind w:left="142" w:hanging="180"/>
              <w:contextualSpacing/>
              <w:jc w:val="left"/>
              <w:rPr>
                <w:rFonts w:cs="Calibri"/>
                <w:sz w:val="19"/>
                <w:szCs w:val="19"/>
              </w:rPr>
            </w:pPr>
            <w:r w:rsidRPr="00124B6E">
              <w:rPr>
                <w:rFonts w:cs="Calibri"/>
                <w:sz w:val="19"/>
                <w:szCs w:val="19"/>
              </w:rPr>
              <w:t>There may be a missed opportunity for PECO to offer customers a more comprehensive approach to energy savings. On-site visits offer the sales auditor an opportunity to review and propose more efficiency options than those incentivized through SBS.</w:t>
            </w:r>
          </w:p>
        </w:tc>
        <w:tc>
          <w:tcPr>
            <w:tcW w:w="2631" w:type="dxa"/>
            <w:shd w:val="clear" w:color="auto" w:fill="DAEEF3" w:themeFill="accent5" w:themeFillTint="33"/>
          </w:tcPr>
          <w:p w:rsidR="00183636" w:rsidRPr="00124B6E" w:rsidRDefault="00183636" w:rsidP="009349F1">
            <w:pPr>
              <w:numPr>
                <w:ilvl w:val="0"/>
                <w:numId w:val="12"/>
              </w:numPr>
              <w:autoSpaceDE w:val="0"/>
              <w:autoSpaceDN w:val="0"/>
              <w:adjustRightInd w:val="0"/>
              <w:ind w:left="232" w:hanging="180"/>
              <w:contextualSpacing/>
              <w:jc w:val="left"/>
              <w:rPr>
                <w:sz w:val="19"/>
                <w:szCs w:val="19"/>
              </w:rPr>
            </w:pPr>
            <w:r w:rsidRPr="00124B6E">
              <w:rPr>
                <w:sz w:val="19"/>
                <w:szCs w:val="19"/>
              </w:rPr>
              <w:t>Program tracking data</w:t>
            </w:r>
          </w:p>
          <w:p w:rsidR="00183636" w:rsidRPr="00124B6E" w:rsidRDefault="00183636" w:rsidP="009349F1">
            <w:pPr>
              <w:numPr>
                <w:ilvl w:val="0"/>
                <w:numId w:val="12"/>
              </w:numPr>
              <w:autoSpaceDE w:val="0"/>
              <w:autoSpaceDN w:val="0"/>
              <w:adjustRightInd w:val="0"/>
              <w:ind w:left="232" w:hanging="180"/>
              <w:contextualSpacing/>
              <w:jc w:val="left"/>
              <w:rPr>
                <w:rFonts w:cs="Calibri"/>
                <w:sz w:val="19"/>
                <w:szCs w:val="19"/>
              </w:rPr>
            </w:pPr>
            <w:r w:rsidRPr="00124B6E">
              <w:rPr>
                <w:sz w:val="19"/>
                <w:szCs w:val="19"/>
              </w:rPr>
              <w:t>Interview with program manager and implementer</w:t>
            </w:r>
          </w:p>
        </w:tc>
      </w:tr>
    </w:tbl>
    <w:p w:rsidR="00183636" w:rsidRPr="00661E10" w:rsidRDefault="00183636" w:rsidP="00183636"/>
    <w:p w:rsidR="00950837" w:rsidRDefault="00950837" w:rsidP="000D3563">
      <w:pPr>
        <w:pStyle w:val="AppendixAHeading2"/>
      </w:pPr>
      <w:r>
        <w:t>Statewide Evaluator Audit Activities and Findings</w:t>
      </w:r>
    </w:p>
    <w:p w:rsidR="00C737E8" w:rsidRPr="00C737E8" w:rsidRDefault="00C737E8" w:rsidP="00C737E8">
      <w:r w:rsidRPr="00C737E8">
        <w:t>This section presents the activitie</w:t>
      </w:r>
      <w:r>
        <w:t>s of the SWE Team’s audits of PECO</w:t>
      </w:r>
      <w:r w:rsidRPr="00C737E8">
        <w:t>’s portfolio of programs. It provides summary information and key findings from the SWE Team’s residential, low-income, non-residential, and NTG and process evaluation audit activities.</w:t>
      </w:r>
    </w:p>
    <w:p w:rsidR="00C737E8" w:rsidRDefault="00C737E8" w:rsidP="00C737E8"/>
    <w:p w:rsidR="00950837" w:rsidRDefault="00950837" w:rsidP="009C0DF1">
      <w:pPr>
        <w:pStyle w:val="AppendixAHeading3"/>
      </w:pPr>
      <w:r>
        <w:t>Residential Program Audit Summary</w:t>
      </w:r>
    </w:p>
    <w:p w:rsidR="0064689F" w:rsidRDefault="0064689F" w:rsidP="0055598C">
      <w:pPr>
        <w:pStyle w:val="AppendixAHeading4"/>
      </w:pPr>
      <w:r>
        <w:t>Smart saver AC – Residential</w:t>
      </w:r>
    </w:p>
    <w:p w:rsidR="0064689F" w:rsidRDefault="0064689F" w:rsidP="0064689F">
      <w:r w:rsidRPr="0064689F">
        <w:t>For this audit effort, the SWE Team verified the analysis used to determine the combined demand savings</w:t>
      </w:r>
      <w:r w:rsidR="001738D6">
        <w:t xml:space="preserve"> and its alignment with PECO’s evaluation p</w:t>
      </w:r>
      <w:r w:rsidRPr="0064689F">
        <w:t>lan. The SWE Team verified that the deemed savings approach was reasonable and applied correctly to the number of DCU’s receiving signals. Further, the SWE Team reviewed the applicability of the CSP research and found that Navigant’s adjustments to the total MW reported for PY7 is an accurate representation of verified savings for the program.</w:t>
      </w:r>
    </w:p>
    <w:p w:rsidR="0064689F" w:rsidRDefault="0064689F" w:rsidP="0064689F"/>
    <w:p w:rsidR="0064689F" w:rsidRPr="0064689F" w:rsidRDefault="0064689F" w:rsidP="0055598C">
      <w:pPr>
        <w:pStyle w:val="AppendixAHeading4"/>
      </w:pPr>
      <w:r w:rsidRPr="0064689F">
        <w:t>Smart Appliance Recycling</w:t>
      </w:r>
    </w:p>
    <w:p w:rsidR="0064689F" w:rsidRPr="00280EAE" w:rsidRDefault="0064689F" w:rsidP="00280EAE">
      <w:r w:rsidRPr="00280EAE">
        <w:t>The SWE Team performed a review of reported and verified gross energy and demand savings for recycled refrigerators and freezers. The SWE confirmed the appropriate use of 2015 TRM deemed savings estimates for the reported savings as well accurate use of the regression coefficients and the UEC factors calculated in the derivation of verified gross savings.</w:t>
      </w:r>
    </w:p>
    <w:p w:rsidR="0064689F" w:rsidRPr="00280EAE" w:rsidRDefault="0064689F" w:rsidP="00280EAE"/>
    <w:p w:rsidR="0064689F" w:rsidRPr="0064689F" w:rsidRDefault="0064689F" w:rsidP="0055598C">
      <w:pPr>
        <w:pStyle w:val="AppendixAHeading4"/>
      </w:pPr>
      <w:r w:rsidRPr="0064689F">
        <w:t>Smart Builder Rebates</w:t>
      </w:r>
    </w:p>
    <w:p w:rsidR="0064689F" w:rsidRDefault="0064689F" w:rsidP="00280EAE">
      <w:r w:rsidRPr="00280EAE">
        <w:t xml:space="preserve">The SWE Team reviewed Navigant’s use of the 2015 TRM algorithms for calculating energy and demand savings for lighting. The SWE Team noted that the evaluator-verified savings for all Q1 and Q2 new homes appeared to use an ISR, interactive effect, and </w:t>
      </w:r>
      <w:r w:rsidR="001738D6" w:rsidRPr="00280EAE">
        <w:t>CF</w:t>
      </w:r>
      <w:r w:rsidRPr="00280EAE">
        <w:t xml:space="preserve"> that are inconsistent with those in the 2015 TRM. The program evaluator confirmed that all Q1 and Q2 new homes were permitted during PY5 and therefore should comply with the 2013 TRM. The SWE confirmed that all Q1 and Q2 lighting algorithms are consistent with the 2013 TRM but recommends that the evaluator include the permitted date in future Smart Builder program data responses to the SWE. There were no Q3 new homes, and all calculated savings in PY6 correctly align with the 2014 TRM.</w:t>
      </w:r>
    </w:p>
    <w:p w:rsidR="00280EAE" w:rsidRPr="00280EAE" w:rsidRDefault="00280EAE" w:rsidP="00280EAE"/>
    <w:p w:rsidR="0064689F" w:rsidRPr="0064689F" w:rsidRDefault="0064689F" w:rsidP="00280EAE">
      <w:pPr>
        <w:rPr>
          <w:rFonts w:cs="Calibri"/>
          <w:color w:val="000000"/>
        </w:rPr>
      </w:pPr>
      <w:r w:rsidRPr="00280EAE">
        <w:t>Savings for non-lighting measures were estimated using hourly energy simulation models. The SWE Team verified that the non-lighting component of the Smart Builder Rebates Program was evaluated according to PECO’s evaluation plan and that the realization rates determined by the evaluation contractor from the independent modeling had been correctly applied to the ex ante savings. The SWE used the REM/Rate files from the evaluation sample and confirmed that the reported and verified savings were reasonable by creating independent building energy simulation models using the BeOpt</w:t>
      </w:r>
      <w:r w:rsidRPr="0064689F">
        <w:rPr>
          <w:rFonts w:cs="Calibri"/>
          <w:color w:val="000000"/>
        </w:rPr>
        <w:t xml:space="preserve"> software. </w:t>
      </w:r>
    </w:p>
    <w:p w:rsidR="0064689F" w:rsidRPr="00280EAE" w:rsidRDefault="0064689F" w:rsidP="00280EAE"/>
    <w:p w:rsidR="0064689F" w:rsidRPr="00280EAE" w:rsidRDefault="0064689F" w:rsidP="00280EAE">
      <w:r w:rsidRPr="00280EAE">
        <w:t>The SWE believes Navigant’s approach to estimating verified energy and demand savings to be reasonable and accurate.</w:t>
      </w:r>
    </w:p>
    <w:p w:rsidR="0064689F" w:rsidRPr="00280EAE" w:rsidRDefault="0064689F" w:rsidP="00280EAE"/>
    <w:p w:rsidR="0064689F" w:rsidRPr="0064689F" w:rsidRDefault="0064689F" w:rsidP="0055598C">
      <w:pPr>
        <w:pStyle w:val="AppendixAHeading4"/>
      </w:pPr>
      <w:r w:rsidRPr="0064689F">
        <w:t>Smart Energy Saver</w:t>
      </w:r>
    </w:p>
    <w:p w:rsidR="0064689F" w:rsidRPr="00280EAE" w:rsidRDefault="0064689F" w:rsidP="00280EAE">
      <w:r w:rsidRPr="00280EAE">
        <w:t xml:space="preserve">This program provides school-based energy efficiency education and take-home energy efficiency kits that include low-cost items to install at home. For the initial verification effort, the SWE Team verified that the program evaluation activities were consistent with PECO’s evaluation plan. Navigant used a combination of database review and installation surveys to calculate verified gross savings. </w:t>
      </w:r>
    </w:p>
    <w:p w:rsidR="0064689F" w:rsidRPr="00280EAE" w:rsidRDefault="0064689F" w:rsidP="00280EAE"/>
    <w:p w:rsidR="0064689F" w:rsidRDefault="0064689F" w:rsidP="00280EAE">
      <w:r w:rsidRPr="00280EAE">
        <w:t xml:space="preserve">The SWE Team verified that, for each measure type, savings were properly calculated and aligned with TRM savings and algorithms. The SWE Team also reviewed the survey data files and confirmed the calculation of ISRs for the various technologies, where appropriate. </w:t>
      </w:r>
    </w:p>
    <w:p w:rsidR="00280EAE" w:rsidRPr="00280EAE" w:rsidRDefault="00280EAE" w:rsidP="00280EAE"/>
    <w:p w:rsidR="0064689F" w:rsidRPr="00280EAE" w:rsidRDefault="0064689F" w:rsidP="00280EAE">
      <w:r w:rsidRPr="00280EAE">
        <w:t xml:space="preserve">The SWE believes Navigant’s approach to estimating verified energy and demand savings to be reasonable. </w:t>
      </w:r>
    </w:p>
    <w:p w:rsidR="0064689F" w:rsidRPr="00280EAE" w:rsidRDefault="0064689F" w:rsidP="00280EAE"/>
    <w:p w:rsidR="0064689F" w:rsidRPr="0064689F" w:rsidRDefault="0064689F" w:rsidP="0055598C">
      <w:pPr>
        <w:pStyle w:val="AppendixAHeading4"/>
      </w:pPr>
      <w:r w:rsidRPr="0064689F">
        <w:t>Smart Home Rebates</w:t>
      </w:r>
    </w:p>
    <w:p w:rsidR="0064689F" w:rsidRPr="00280EAE" w:rsidRDefault="0064689F" w:rsidP="00280EAE">
      <w:r w:rsidRPr="00280EAE">
        <w:t>PECO’s Smart Home Rebates</w:t>
      </w:r>
      <w:r w:rsidR="001738D6" w:rsidRPr="00280EAE">
        <w:t xml:space="preserve"> (SHR)</w:t>
      </w:r>
      <w:r w:rsidRPr="00280EAE">
        <w:t xml:space="preserve"> Program includes both an upstream lighting component and rebates for energy efficient HVAC equipment and other household appliances. </w:t>
      </w:r>
    </w:p>
    <w:p w:rsidR="0064689F" w:rsidRPr="00280EAE" w:rsidRDefault="0064689F" w:rsidP="00280EAE"/>
    <w:p w:rsidR="0064689F" w:rsidRDefault="0064689F" w:rsidP="00280EAE">
      <w:r w:rsidRPr="00280EAE">
        <w:t>For the upstream lighting component of the program, the SWE Team reviewed the database and tracking system to verify that PECO was using the appropriate savings values and algorithms from the 2015 TRM. As Navigant had performed a census audit of the lighting database, following almost the exact routine that the SWE Team follows for the annual-based audit, the SWE Team selected a small subsample of the tracking system records to confirm proper assignment of baseline wattage and efficient wattage. The SWE found no discrepancies and believes Navigant and PECO correctly compared baseline and efficient wattages based on the bulb lumens and the 2015 TRM guidance tables. The SWE also confirmed the appropriate use of 2014 TRM algorithms for both residential and cross-sector sales bulbs. The TRM allows EDCs to gather EDC-specific data with regard to bulb and HVAC interactive effects, and Navigant applied interactive effects factors specific to PECO’s service territory based on interactive effects modeling that the Navigant team conducted as part of the PY4 Smart Lighting Discounts evaluation.</w:t>
      </w:r>
    </w:p>
    <w:p w:rsidR="00280EAE" w:rsidRPr="00280EAE" w:rsidRDefault="00280EAE" w:rsidP="00280EAE"/>
    <w:p w:rsidR="0064689F" w:rsidRPr="00280EAE" w:rsidRDefault="0064689F" w:rsidP="00280EAE">
      <w:r w:rsidRPr="00280EAE">
        <w:t>For the rebated equipment subsection of the SHR Program, the SWE Team reviewed the data tracking system as well as the desk reviews completed by Navigant. The SWE Team confirmed that PECO’s tracking system was using the correct 2014 TRM deemed savings values or savings algorithm calculations, where appropriate, to calculate the verified energy and demand saving, with</w:t>
      </w:r>
      <w:r w:rsidR="001738D6" w:rsidRPr="00280EAE">
        <w:t xml:space="preserve"> one exception. In the PY5 SWE a</w:t>
      </w:r>
      <w:r w:rsidRPr="00280EAE">
        <w:t>nnu</w:t>
      </w:r>
      <w:r w:rsidR="001738D6" w:rsidRPr="00280EAE">
        <w:t>al r</w:t>
      </w:r>
      <w:r w:rsidRPr="00280EAE">
        <w:t>eport, the SWE Team noted that “For fuel-switching measures, the 2013 TRM algorithm requires the electric savings to be calculated using the heating capacity of the electric system being replaced. Instead, it appears PECO has used the capacity of the gas unit being installed, which is often two times (2x) greater than the electric system.” The savings attributed to fuel switching in PY6 appears to continue to be calculated based on the heating capacity of the gas unit being installed rather than the heating capacity of the removed electric system. Similar to</w:t>
      </w:r>
      <w:r w:rsidR="001738D6" w:rsidRPr="00280EAE">
        <w:t xml:space="preserve"> in</w:t>
      </w:r>
      <w:r w:rsidRPr="00280EAE">
        <w:t xml:space="preserve"> PY5, the SWE again noted that although the overall impact of this modification is significant at the individual project level, fuel-switching savings continues to be small relative to the program and portfolio as a whole. </w:t>
      </w:r>
    </w:p>
    <w:p w:rsidR="0064689F" w:rsidRPr="00280EAE" w:rsidRDefault="0064689F" w:rsidP="00280EAE"/>
    <w:p w:rsidR="0064689F" w:rsidRPr="00280EAE" w:rsidRDefault="0064689F" w:rsidP="00280EAE">
      <w:r w:rsidRPr="00280EAE">
        <w:t>Overall, the SWE believes Navigant’s approach to estimating verified energy and demand savings to be reasonable, with the small exception of the fuel-switching measures.</w:t>
      </w:r>
    </w:p>
    <w:p w:rsidR="0064689F" w:rsidRPr="00280EAE" w:rsidRDefault="0064689F" w:rsidP="00280EAE">
      <w:r w:rsidRPr="00280EAE">
        <w:t>Last, the SWE Team continues to recommend that PECO use its evaluated cross-sector sales adjustment in the future calculation of reported savings in order to allow for more accuracy in reported savings, and to reduce variation between reported and verified savings. Although not a specific requirement for reported savings, EDCs should use the best available data on cross-sector sales at the time of their quarterly and annual reports. PECO had previously conducted cross-sector sales research in PY5 but did not incorporate these findings in its calculation of reported gross savings.</w:t>
      </w:r>
    </w:p>
    <w:p w:rsidR="0064689F" w:rsidRPr="00280EAE" w:rsidRDefault="0064689F" w:rsidP="00280EAE"/>
    <w:p w:rsidR="0064689F" w:rsidRPr="0064689F" w:rsidRDefault="0064689F" w:rsidP="0055598C">
      <w:pPr>
        <w:pStyle w:val="AppendixAHeading4"/>
      </w:pPr>
      <w:r w:rsidRPr="0064689F">
        <w:t>Smart House Call</w:t>
      </w:r>
    </w:p>
    <w:p w:rsidR="0064689F" w:rsidRPr="00280EAE" w:rsidRDefault="0064689F" w:rsidP="00280EAE">
      <w:r w:rsidRPr="00280EAE">
        <w:t xml:space="preserve">PECO’s SHC Program focuses on the direct installation of energy efficiency measures in participants’ homes as well as further rebate opportunities for additional HVAC and building shell measures. For PY7, the SWE Team confirmed that each unique measure in the program tracking database used the correct 2015 TRM algorithm or approved IMP. The SWE Team agrees with the calculation of gross verified savings for this program. </w:t>
      </w:r>
    </w:p>
    <w:p w:rsidR="0064689F" w:rsidRPr="00280EAE" w:rsidRDefault="0064689F" w:rsidP="00280EAE"/>
    <w:p w:rsidR="0064689F" w:rsidRPr="00280EAE" w:rsidRDefault="0064689F" w:rsidP="00280EAE">
      <w:r w:rsidRPr="00280EAE">
        <w:t xml:space="preserve">During the review, the SWE noted that the tracking system database had, for the air source heat pump </w:t>
      </w:r>
      <w:r w:rsidR="001738D6" w:rsidRPr="00280EAE">
        <w:t xml:space="preserve">(ASHP) </w:t>
      </w:r>
      <w:r w:rsidRPr="00280EAE">
        <w:t xml:space="preserve">maintenance measure, populated SEER_e and HSPF_e data fields. While these fields are not applicable to the ASHP maintenance measure, the SWE posits that the collected data may represent the existing efficiency of the HVAC equipment and was populated as an incorrect data field. Given PECO’s preference to use EDC-specific values for other TRM variables in the </w:t>
      </w:r>
      <w:r w:rsidR="001738D6" w:rsidRPr="00280EAE">
        <w:t>SHC</w:t>
      </w:r>
      <w:r w:rsidRPr="00280EAE">
        <w:t xml:space="preserve"> </w:t>
      </w:r>
      <w:r w:rsidR="001738D6" w:rsidRPr="00280EAE">
        <w:t>P</w:t>
      </w:r>
      <w:r w:rsidRPr="00280EAE">
        <w:t>rogram, the SWE recommends</w:t>
      </w:r>
      <w:r w:rsidR="001738D6" w:rsidRPr="00280EAE">
        <w:t xml:space="preserve"> that</w:t>
      </w:r>
      <w:r w:rsidRPr="00280EAE">
        <w:t xml:space="preserve"> the existing equipment efficiency for the ASHP maintenance measure be collected and tracked accordingly in the database. In the interim the SWE agrees with the use of the deemed value from the 2015 TRM as reasonable. </w:t>
      </w:r>
    </w:p>
    <w:p w:rsidR="0064689F" w:rsidRPr="00280EAE" w:rsidRDefault="0064689F" w:rsidP="00280EAE"/>
    <w:p w:rsidR="0064689F" w:rsidRPr="00280EAE" w:rsidRDefault="0064689F" w:rsidP="00280EAE">
      <w:r w:rsidRPr="00280EAE">
        <w:t xml:space="preserve">The SWE Team reviewed the results of Navigant’s records review and phone survey on a sample of participants, and found an incorrect calculation of the realization for the records review and phone survey. The SWE Team coordinated with the evaluator to recalculate the verified energy and demand totals. The corrected verified energy and demand savings are 2,852 MWh/yr and </w:t>
      </w:r>
      <w:r w:rsidR="001738D6" w:rsidRPr="00280EAE">
        <w:t>0</w:t>
      </w:r>
      <w:r w:rsidRPr="00280EAE">
        <w:t>.412 MW, respectively. These corrections change the PY6 portfolio ve</w:t>
      </w:r>
      <w:r w:rsidR="001738D6" w:rsidRPr="00280EAE">
        <w:t>rified gross energy savings by less than</w:t>
      </w:r>
      <w:r w:rsidRPr="00280EAE">
        <w:t xml:space="preserve"> 1%. </w:t>
      </w:r>
    </w:p>
    <w:p w:rsidR="0064689F" w:rsidRPr="00280EAE" w:rsidRDefault="0064689F" w:rsidP="00280EAE"/>
    <w:p w:rsidR="0064689F" w:rsidRPr="0064689F" w:rsidRDefault="0064689F" w:rsidP="0055598C">
      <w:pPr>
        <w:pStyle w:val="AppendixAHeading4"/>
      </w:pPr>
      <w:r w:rsidRPr="0064689F">
        <w:t>Smart Multi-Family Solutions (Residential)</w:t>
      </w:r>
    </w:p>
    <w:p w:rsidR="0064689F" w:rsidRPr="00280EAE" w:rsidRDefault="0064689F" w:rsidP="00280EAE">
      <w:r w:rsidRPr="00280EAE">
        <w:t xml:space="preserve">For the residential component of the Smart Multi-Family Solution program, the SWE reviewed the quarterly database of customers, projects, and measures and confirmed the accurate use of the 2015 TRM for lighting and low-flow devices. Next the SWE reviewed the calculation of ISRs from the telephone survey and on-site verification efforts from eight projects and affirmed the correct application of the sample realization rate to the program’s population. The SWE notes that the on-site verification data logs are detailed, clean, and easy to follow. </w:t>
      </w:r>
    </w:p>
    <w:p w:rsidR="0064689F" w:rsidRPr="00280EAE" w:rsidRDefault="0064689F" w:rsidP="00280EAE"/>
    <w:p w:rsidR="0064689F" w:rsidRDefault="0064689F" w:rsidP="00280EAE">
      <w:r w:rsidRPr="00280EAE">
        <w:t xml:space="preserve">The SWE agrees with the calculation of gross verified savings for this program. </w:t>
      </w:r>
    </w:p>
    <w:p w:rsidR="003855B5" w:rsidRDefault="003855B5" w:rsidP="00280EAE"/>
    <w:p w:rsidR="0064689F" w:rsidRPr="0064689F" w:rsidRDefault="0064689F" w:rsidP="0055598C">
      <w:pPr>
        <w:pStyle w:val="AppendixAHeading4"/>
      </w:pPr>
      <w:r w:rsidRPr="0064689F">
        <w:t>Smart Usage Profile</w:t>
      </w:r>
    </w:p>
    <w:p w:rsidR="0064689F" w:rsidRPr="00280EAE" w:rsidRDefault="0064689F" w:rsidP="00280EAE">
      <w:r w:rsidRPr="00280EAE">
        <w:t xml:space="preserve">The SWE Team confirmed that the billing analysis followed PECO’s program evaluation plan and the Pennsylvania Mass Market protocol. The SWE Team also reviewed the billing analysis output, equations, and statistics and confirmed that the approach is sound and the conclusions reasonable. Program savings were estimated using </w:t>
      </w:r>
      <w:r w:rsidR="00A71E7A" w:rsidRPr="00280EAE">
        <w:t>a</w:t>
      </w:r>
      <w:r w:rsidRPr="00280EAE">
        <w:t xml:space="preserve"> linear fixed-effects regression (LFER) analysis. To evaluate the robustness of the savings estimates, PECO also estimated SUP program savings using a post-only model, referred to by Navigant in PECO’s PY7 annual report as a post-program regression model. This approach is one used by Allcott and Rogers. The SWE reviewed the alternative models and concluded that the secondary analysis produced savings estimates that are statistically equivalent with the LFER approach.</w:t>
      </w:r>
    </w:p>
    <w:p w:rsidR="0064689F" w:rsidRPr="00280EAE" w:rsidRDefault="0064689F" w:rsidP="00280EAE"/>
    <w:p w:rsidR="0064689F" w:rsidRPr="00280EAE" w:rsidRDefault="0064689F" w:rsidP="00280EAE">
      <w:r w:rsidRPr="00280EAE">
        <w:t>PECO performed a difference</w:t>
      </w:r>
      <w:r w:rsidR="001738D6" w:rsidRPr="00280EAE">
        <w:t>-</w:t>
      </w:r>
      <w:r w:rsidRPr="00280EAE">
        <w:t>in</w:t>
      </w:r>
      <w:r w:rsidR="001738D6" w:rsidRPr="00280EAE">
        <w:t>-</w:t>
      </w:r>
      <w:r w:rsidRPr="00280EAE">
        <w:t>difference (DID) analysis to estimate the potential for double-counting of SUP effects versus effects from other residential programs. Estimated savings that could be attributed to SUP and another PECO program were subtracted from the reported savings for the SUP program. The SWE reviewed the DID approach and results and concluded that the approach is reasonable and that PECO appropriately nets out savings that can be attributed to other programs.</w:t>
      </w:r>
    </w:p>
    <w:p w:rsidR="0064689F" w:rsidRPr="00280EAE" w:rsidRDefault="0064689F" w:rsidP="00280EAE"/>
    <w:p w:rsidR="0064689F" w:rsidRPr="00280EAE" w:rsidRDefault="0064689F" w:rsidP="00280EAE">
      <w:r w:rsidRPr="00280EAE">
        <w:t>The SWE Team agrees with PECO’s verified gross savings findings for SUP.</w:t>
      </w:r>
    </w:p>
    <w:p w:rsidR="0064689F" w:rsidRDefault="0064689F" w:rsidP="0064689F"/>
    <w:p w:rsidR="00950837" w:rsidRDefault="00950837" w:rsidP="009C0DF1">
      <w:pPr>
        <w:pStyle w:val="AppendixAHeading3"/>
      </w:pPr>
      <w:r>
        <w:t>Low-Income Program and Audit Summary</w:t>
      </w:r>
    </w:p>
    <w:p w:rsidR="0064689F" w:rsidRPr="00280EAE" w:rsidRDefault="0064689F" w:rsidP="00280EAE">
      <w:r w:rsidRPr="00280EAE">
        <w:t>The SWE Team confirmed that all four components of PECO’s LEEP were evaluated consistent</w:t>
      </w:r>
      <w:r w:rsidR="001738D6" w:rsidRPr="00280EAE">
        <w:t>ly</w:t>
      </w:r>
      <w:r w:rsidRPr="00280EAE">
        <w:t xml:space="preserve"> with the</w:t>
      </w:r>
      <w:r w:rsidR="001738D6" w:rsidRPr="00280EAE">
        <w:t xml:space="preserve"> approaches in PECO’s Phase II evaluation p</w:t>
      </w:r>
      <w:r w:rsidRPr="00280EAE">
        <w:t xml:space="preserve">lan. The SWE Team reviewed the calculated savings for each measure type in the LEEP to ensure accuracy and consistency with the 2015 TRM. The SWE Team found that the tracking database had accurate data fields and that the algorithms were in general agreement with the TRM. </w:t>
      </w:r>
    </w:p>
    <w:p w:rsidR="0064689F" w:rsidRPr="00280EAE" w:rsidRDefault="0064689F" w:rsidP="00280EAE"/>
    <w:p w:rsidR="0064689F" w:rsidRPr="00280EAE" w:rsidRDefault="0064689F" w:rsidP="00280EAE">
      <w:r w:rsidRPr="00280EAE">
        <w:t>Navigant provided the SWE Team with a sample of project supporting data. The SWE Team reviewed these files and found no inconsistencies with their application in the determination of gross savings.</w:t>
      </w:r>
    </w:p>
    <w:p w:rsidR="0064689F" w:rsidRPr="00280EAE" w:rsidRDefault="0064689F" w:rsidP="00280EAE"/>
    <w:p w:rsidR="0064689F" w:rsidRPr="00280EAE" w:rsidRDefault="0064689F" w:rsidP="00280EAE">
      <w:r w:rsidRPr="00280EAE">
        <w:t>Last, the SWE Team verified that PECO was in compliance with the Act 129 requirement for the number of energy conservation measures offered to low‐income households. PECO offered 19 measures to the low-income sector in PY7, which was 17% of the total number of measures offered across all sectors, compared with its Act 129 compliance target of 8.8%.</w:t>
      </w:r>
    </w:p>
    <w:p w:rsidR="0064689F" w:rsidRPr="00280EAE" w:rsidRDefault="0064689F" w:rsidP="00280EAE"/>
    <w:p w:rsidR="0064689F" w:rsidRPr="00280EAE" w:rsidRDefault="0064689F" w:rsidP="00280EAE">
      <w:r w:rsidRPr="00280EAE">
        <w:t>The SWE believes Navigant’s approach to estimating verified energy and demand savings for LEEP to be reasonable.</w:t>
      </w:r>
    </w:p>
    <w:p w:rsidR="00803C3E" w:rsidRPr="0064689F" w:rsidRDefault="00803C3E" w:rsidP="0064689F"/>
    <w:p w:rsidR="00950837" w:rsidRDefault="00950837" w:rsidP="009C0DF1">
      <w:pPr>
        <w:pStyle w:val="AppendixAHeading3"/>
      </w:pPr>
      <w:r>
        <w:t>Non-Residential Program Audit Summary</w:t>
      </w:r>
    </w:p>
    <w:p w:rsidR="0025240A" w:rsidRPr="00280EAE" w:rsidRDefault="0025240A" w:rsidP="00280EAE">
      <w:r w:rsidRPr="00280EAE">
        <w:t xml:space="preserve">The SWE Team reviewed project files to audit the accuracy of the savings values stored in the program-tracking database and to confirm that calculations were being performed in accordance with the applicable TRM, or by some other reasonable methodology. During PY7, the SWE Team reviewed project documentation from PECO’s Smart Equipment Incentives, Smart Construction Rebates, Smart Business Solutions, and Smart Multifamily programs. Several projects were selected from each quarter within each program, for a total of 21 projects. For the most part, PECO’s project documentation was complete, well organized, and clearly labeled. Only one small inconsistency in kWh (&lt;0.5%) was found between a single project file and the tracking database. The details of the review can be found </w:t>
      </w:r>
      <w:r w:rsidR="001738D6" w:rsidRPr="00280EAE">
        <w:t>below</w:t>
      </w:r>
      <w:r w:rsidRPr="00280EAE">
        <w:t>.</w:t>
      </w:r>
    </w:p>
    <w:p w:rsidR="0025240A" w:rsidRPr="00280EAE" w:rsidRDefault="0025240A" w:rsidP="00280EAE"/>
    <w:p w:rsidR="0025240A" w:rsidRPr="00280EAE" w:rsidRDefault="0025240A" w:rsidP="00280EAE">
      <w:r w:rsidRPr="00280EAE">
        <w:t xml:space="preserve">The SWE Team reviewed PECO’s PY7 sample design to ensure its compliance with the Evaluation Framework. The results are displayed in </w:t>
      </w:r>
      <w:r w:rsidRPr="00280EAE">
        <w:fldChar w:fldCharType="begin"/>
      </w:r>
      <w:r w:rsidRPr="00280EAE">
        <w:instrText xml:space="preserve"> REF _Ref472393425 \h </w:instrText>
      </w:r>
      <w:r w:rsidRPr="00280EAE">
        <w:fldChar w:fldCharType="separate"/>
      </w:r>
      <w:r w:rsidR="00037CB4">
        <w:t>Table A-</w:t>
      </w:r>
      <w:r w:rsidR="00037CB4">
        <w:rPr>
          <w:noProof/>
        </w:rPr>
        <w:t>110</w:t>
      </w:r>
      <w:r w:rsidRPr="00280EAE">
        <w:fldChar w:fldCharType="end"/>
      </w:r>
      <w:r w:rsidRPr="00280EAE">
        <w:t>, showing relative precision at the 85% confidence level.</w:t>
      </w:r>
    </w:p>
    <w:p w:rsidR="0025240A" w:rsidRPr="00D85274" w:rsidRDefault="0025240A" w:rsidP="0025240A"/>
    <w:p w:rsidR="0025240A" w:rsidRPr="00D85274" w:rsidRDefault="0025240A" w:rsidP="004837FA">
      <w:pPr>
        <w:pStyle w:val="Caption"/>
      </w:pPr>
      <w:bookmarkStart w:id="1120" w:name="_Ref472393425"/>
      <w:bookmarkStart w:id="1121" w:name="_Toc409225018"/>
      <w:bookmarkStart w:id="1122" w:name="_Toc409443570"/>
      <w:bookmarkStart w:id="1123" w:name="_Toc445206251"/>
      <w:bookmarkStart w:id="1124" w:name="_Toc472472519"/>
      <w:bookmarkStart w:id="1125" w:name="_Toc488741938"/>
      <w:r>
        <w:t>Table A-</w:t>
      </w:r>
      <w:r w:rsidR="007973A4">
        <w:fldChar w:fldCharType="begin"/>
      </w:r>
      <w:r w:rsidR="007973A4">
        <w:instrText xml:space="preserve"> SEQ Table_A- \* ARABIC </w:instrText>
      </w:r>
      <w:r w:rsidR="007973A4">
        <w:fldChar w:fldCharType="separate"/>
      </w:r>
      <w:r w:rsidR="00037CB4">
        <w:rPr>
          <w:noProof/>
        </w:rPr>
        <w:t>110</w:t>
      </w:r>
      <w:r w:rsidR="007973A4">
        <w:rPr>
          <w:noProof/>
        </w:rPr>
        <w:fldChar w:fldCharType="end"/>
      </w:r>
      <w:bookmarkEnd w:id="1120"/>
      <w:r w:rsidRPr="00D85274">
        <w:t>: Compliance across Sample Designs for PECO’s PY7 Non-Residential Program Groups</w:t>
      </w:r>
      <w:bookmarkEnd w:id="1121"/>
      <w:bookmarkEnd w:id="1122"/>
      <w:bookmarkEnd w:id="1123"/>
      <w:bookmarkEnd w:id="1124"/>
      <w:bookmarkEnd w:id="1125"/>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870"/>
        <w:gridCol w:w="1830"/>
        <w:gridCol w:w="1830"/>
        <w:gridCol w:w="1830"/>
      </w:tblGrid>
      <w:tr w:rsidR="00A874AC" w:rsidRPr="00124B6E" w:rsidTr="00124B6E">
        <w:trPr>
          <w:trHeight w:val="720"/>
          <w:tblHeader/>
          <w:jc w:val="center"/>
        </w:trPr>
        <w:tc>
          <w:tcPr>
            <w:tcW w:w="3870" w:type="dxa"/>
            <w:shd w:val="clear" w:color="000000" w:fill="448A99"/>
            <w:vAlign w:val="bottom"/>
            <w:hideMark/>
          </w:tcPr>
          <w:p w:rsidR="0025240A" w:rsidRPr="00124B6E" w:rsidRDefault="0025240A" w:rsidP="00AC55E9">
            <w:pPr>
              <w:jc w:val="left"/>
              <w:rPr>
                <w:b/>
                <w:bCs/>
                <w:color w:val="FFFFFF"/>
                <w:sz w:val="19"/>
                <w:szCs w:val="19"/>
              </w:rPr>
            </w:pPr>
            <w:r w:rsidRPr="00124B6E">
              <w:rPr>
                <w:b/>
                <w:bCs/>
                <w:color w:val="FFFFFF"/>
                <w:sz w:val="19"/>
                <w:szCs w:val="19"/>
              </w:rPr>
              <w:t>Program</w:t>
            </w:r>
          </w:p>
        </w:tc>
        <w:tc>
          <w:tcPr>
            <w:tcW w:w="1830" w:type="dxa"/>
            <w:shd w:val="clear" w:color="000000" w:fill="448A99"/>
            <w:vAlign w:val="bottom"/>
            <w:hideMark/>
          </w:tcPr>
          <w:p w:rsidR="0025240A" w:rsidRPr="00124B6E" w:rsidRDefault="0025240A" w:rsidP="00AC55E9">
            <w:pPr>
              <w:jc w:val="center"/>
              <w:rPr>
                <w:b/>
                <w:bCs/>
                <w:color w:val="FFFFFF"/>
                <w:sz w:val="19"/>
                <w:szCs w:val="19"/>
              </w:rPr>
            </w:pPr>
            <w:r w:rsidRPr="00124B6E">
              <w:rPr>
                <w:b/>
                <w:bCs/>
                <w:color w:val="FFFFFF"/>
                <w:sz w:val="19"/>
                <w:szCs w:val="19"/>
              </w:rPr>
              <w:t>Relative Precision at 85% CL for Energy</w:t>
            </w:r>
          </w:p>
        </w:tc>
        <w:tc>
          <w:tcPr>
            <w:tcW w:w="1830" w:type="dxa"/>
            <w:shd w:val="clear" w:color="000000" w:fill="448A99"/>
            <w:vAlign w:val="bottom"/>
            <w:hideMark/>
          </w:tcPr>
          <w:p w:rsidR="0025240A" w:rsidRPr="00124B6E" w:rsidRDefault="0025240A" w:rsidP="00AC55E9">
            <w:pPr>
              <w:jc w:val="center"/>
              <w:rPr>
                <w:b/>
                <w:bCs/>
                <w:color w:val="FFFFFF"/>
                <w:sz w:val="19"/>
                <w:szCs w:val="19"/>
              </w:rPr>
            </w:pPr>
            <w:r w:rsidRPr="00124B6E">
              <w:rPr>
                <w:b/>
                <w:bCs/>
                <w:color w:val="FFFFFF"/>
                <w:sz w:val="19"/>
                <w:szCs w:val="19"/>
              </w:rPr>
              <w:t>Relative Precision at 85% CL for Demand</w:t>
            </w:r>
          </w:p>
        </w:tc>
        <w:tc>
          <w:tcPr>
            <w:tcW w:w="1830" w:type="dxa"/>
            <w:shd w:val="clear" w:color="000000" w:fill="448A99"/>
            <w:vAlign w:val="bottom"/>
            <w:hideMark/>
          </w:tcPr>
          <w:p w:rsidR="0025240A" w:rsidRPr="00124B6E" w:rsidRDefault="0025240A" w:rsidP="00AC55E9">
            <w:pPr>
              <w:jc w:val="center"/>
              <w:rPr>
                <w:b/>
                <w:bCs/>
                <w:color w:val="FFFFFF"/>
                <w:sz w:val="19"/>
                <w:szCs w:val="19"/>
              </w:rPr>
            </w:pPr>
            <w:r w:rsidRPr="00124B6E">
              <w:rPr>
                <w:b/>
                <w:bCs/>
                <w:color w:val="FFFFFF"/>
                <w:sz w:val="19"/>
                <w:szCs w:val="19"/>
              </w:rPr>
              <w:t>Compliance with Evaluation Framework</w:t>
            </w:r>
          </w:p>
        </w:tc>
      </w:tr>
      <w:tr w:rsidR="00A874AC" w:rsidRPr="00124B6E" w:rsidTr="00BE4EB1">
        <w:trPr>
          <w:trHeight w:val="488"/>
          <w:jc w:val="center"/>
        </w:trPr>
        <w:tc>
          <w:tcPr>
            <w:tcW w:w="3870" w:type="dxa"/>
            <w:shd w:val="clear" w:color="000000" w:fill="D2EAF1"/>
            <w:noWrap/>
            <w:vAlign w:val="center"/>
          </w:tcPr>
          <w:p w:rsidR="0025240A" w:rsidRPr="00124B6E" w:rsidRDefault="0025240A" w:rsidP="00AC55E9">
            <w:pPr>
              <w:jc w:val="left"/>
              <w:rPr>
                <w:color w:val="000000"/>
                <w:sz w:val="19"/>
                <w:szCs w:val="19"/>
              </w:rPr>
            </w:pPr>
            <w:r w:rsidRPr="00124B6E">
              <w:rPr>
                <w:color w:val="000000"/>
                <w:sz w:val="19"/>
                <w:szCs w:val="19"/>
              </w:rPr>
              <w:t>Smart Equipment Incentives (C/I)</w:t>
            </w:r>
          </w:p>
        </w:tc>
        <w:tc>
          <w:tcPr>
            <w:tcW w:w="1830" w:type="dxa"/>
            <w:shd w:val="clear" w:color="000000" w:fill="D2EAF1"/>
            <w:noWrap/>
            <w:vAlign w:val="center"/>
          </w:tcPr>
          <w:p w:rsidR="0025240A" w:rsidRPr="00124B6E" w:rsidRDefault="0025240A" w:rsidP="00AC55E9">
            <w:pPr>
              <w:jc w:val="center"/>
              <w:rPr>
                <w:color w:val="000000"/>
                <w:sz w:val="19"/>
                <w:szCs w:val="19"/>
              </w:rPr>
            </w:pPr>
            <w:r w:rsidRPr="00124B6E">
              <w:rPr>
                <w:color w:val="000000"/>
                <w:sz w:val="19"/>
                <w:szCs w:val="19"/>
              </w:rPr>
              <w:t>11%</w:t>
            </w:r>
          </w:p>
        </w:tc>
        <w:tc>
          <w:tcPr>
            <w:tcW w:w="1830" w:type="dxa"/>
            <w:shd w:val="clear" w:color="000000" w:fill="D2EAF1"/>
            <w:noWrap/>
            <w:vAlign w:val="center"/>
          </w:tcPr>
          <w:p w:rsidR="0025240A" w:rsidRPr="00124B6E" w:rsidRDefault="0025240A" w:rsidP="00AC55E9">
            <w:pPr>
              <w:jc w:val="center"/>
              <w:rPr>
                <w:color w:val="000000"/>
                <w:sz w:val="19"/>
                <w:szCs w:val="19"/>
              </w:rPr>
            </w:pPr>
            <w:r w:rsidRPr="00124B6E">
              <w:rPr>
                <w:color w:val="000000"/>
                <w:sz w:val="19"/>
                <w:szCs w:val="19"/>
              </w:rPr>
              <w:t>17%</w:t>
            </w:r>
          </w:p>
        </w:tc>
        <w:tc>
          <w:tcPr>
            <w:tcW w:w="1830" w:type="dxa"/>
            <w:shd w:val="clear" w:color="000000" w:fill="D2EAF1"/>
            <w:noWrap/>
            <w:vAlign w:val="center"/>
          </w:tcPr>
          <w:p w:rsidR="0025240A" w:rsidRPr="00124B6E" w:rsidRDefault="0025240A" w:rsidP="00AC55E9">
            <w:pPr>
              <w:jc w:val="center"/>
              <w:rPr>
                <w:sz w:val="19"/>
                <w:szCs w:val="19"/>
              </w:rPr>
            </w:pPr>
            <w:r w:rsidRPr="00124B6E">
              <w:rPr>
                <w:color w:val="00B050"/>
                <w:sz w:val="19"/>
                <w:szCs w:val="19"/>
              </w:rPr>
              <w:sym w:font="Wingdings" w:char="F0FC"/>
            </w:r>
          </w:p>
        </w:tc>
      </w:tr>
      <w:tr w:rsidR="00E7173E" w:rsidRPr="00124B6E" w:rsidTr="00AF6BD2">
        <w:trPr>
          <w:trHeight w:val="488"/>
          <w:jc w:val="center"/>
        </w:trPr>
        <w:tc>
          <w:tcPr>
            <w:tcW w:w="3870" w:type="dxa"/>
            <w:shd w:val="clear" w:color="auto" w:fill="auto"/>
            <w:noWrap/>
            <w:vAlign w:val="center"/>
          </w:tcPr>
          <w:p w:rsidR="0025240A" w:rsidRPr="00124B6E" w:rsidRDefault="0025240A" w:rsidP="00AC55E9">
            <w:pPr>
              <w:jc w:val="left"/>
              <w:rPr>
                <w:color w:val="000000"/>
                <w:sz w:val="19"/>
                <w:szCs w:val="19"/>
              </w:rPr>
            </w:pPr>
            <w:r w:rsidRPr="00124B6E">
              <w:rPr>
                <w:color w:val="000000"/>
                <w:sz w:val="19"/>
                <w:szCs w:val="19"/>
              </w:rPr>
              <w:t>Smart Construction Incentives</w:t>
            </w:r>
          </w:p>
        </w:tc>
        <w:tc>
          <w:tcPr>
            <w:tcW w:w="1830" w:type="dxa"/>
            <w:shd w:val="clear" w:color="auto" w:fill="auto"/>
            <w:noWrap/>
            <w:vAlign w:val="center"/>
          </w:tcPr>
          <w:p w:rsidR="0025240A" w:rsidRPr="00124B6E" w:rsidRDefault="0025240A" w:rsidP="00AC55E9">
            <w:pPr>
              <w:jc w:val="center"/>
              <w:rPr>
                <w:color w:val="000000"/>
                <w:sz w:val="19"/>
                <w:szCs w:val="19"/>
              </w:rPr>
            </w:pPr>
            <w:r w:rsidRPr="00124B6E">
              <w:rPr>
                <w:color w:val="000000"/>
                <w:sz w:val="19"/>
                <w:szCs w:val="19"/>
              </w:rPr>
              <w:t>29%</w:t>
            </w:r>
          </w:p>
        </w:tc>
        <w:tc>
          <w:tcPr>
            <w:tcW w:w="1830" w:type="dxa"/>
            <w:shd w:val="clear" w:color="auto" w:fill="auto"/>
            <w:noWrap/>
            <w:vAlign w:val="center"/>
          </w:tcPr>
          <w:p w:rsidR="0025240A" w:rsidRPr="00124B6E" w:rsidRDefault="0025240A" w:rsidP="00AC55E9">
            <w:pPr>
              <w:jc w:val="center"/>
              <w:rPr>
                <w:color w:val="000000"/>
                <w:sz w:val="19"/>
                <w:szCs w:val="19"/>
              </w:rPr>
            </w:pPr>
            <w:r w:rsidRPr="00124B6E">
              <w:rPr>
                <w:color w:val="000000"/>
                <w:sz w:val="19"/>
                <w:szCs w:val="19"/>
              </w:rPr>
              <w:t>22%</w:t>
            </w:r>
          </w:p>
        </w:tc>
        <w:tc>
          <w:tcPr>
            <w:tcW w:w="1830" w:type="dxa"/>
            <w:shd w:val="clear" w:color="auto" w:fill="auto"/>
            <w:noWrap/>
            <w:vAlign w:val="center"/>
          </w:tcPr>
          <w:p w:rsidR="0025240A" w:rsidRPr="00124B6E" w:rsidRDefault="0025240A" w:rsidP="00AC55E9">
            <w:pPr>
              <w:jc w:val="center"/>
              <w:rPr>
                <w:sz w:val="19"/>
                <w:szCs w:val="19"/>
              </w:rPr>
            </w:pPr>
            <w:r w:rsidRPr="00124B6E">
              <w:rPr>
                <w:color w:val="FF0000"/>
                <w:sz w:val="19"/>
                <w:szCs w:val="19"/>
              </w:rPr>
              <w:sym w:font="Wingdings" w:char="F0FB"/>
            </w:r>
          </w:p>
        </w:tc>
      </w:tr>
      <w:tr w:rsidR="00A874AC" w:rsidRPr="00124B6E" w:rsidTr="00BE4EB1">
        <w:trPr>
          <w:trHeight w:val="488"/>
          <w:jc w:val="center"/>
        </w:trPr>
        <w:tc>
          <w:tcPr>
            <w:tcW w:w="3870" w:type="dxa"/>
            <w:shd w:val="clear" w:color="000000" w:fill="D2EAF1"/>
            <w:noWrap/>
            <w:vAlign w:val="center"/>
          </w:tcPr>
          <w:p w:rsidR="0025240A" w:rsidRPr="00124B6E" w:rsidRDefault="0025240A" w:rsidP="00AC55E9">
            <w:pPr>
              <w:jc w:val="left"/>
              <w:rPr>
                <w:color w:val="000000"/>
                <w:sz w:val="19"/>
                <w:szCs w:val="19"/>
              </w:rPr>
            </w:pPr>
            <w:r w:rsidRPr="00124B6E">
              <w:rPr>
                <w:color w:val="000000"/>
                <w:sz w:val="19"/>
                <w:szCs w:val="19"/>
              </w:rPr>
              <w:t>Small Business Solutions</w:t>
            </w:r>
          </w:p>
        </w:tc>
        <w:tc>
          <w:tcPr>
            <w:tcW w:w="1830" w:type="dxa"/>
            <w:shd w:val="clear" w:color="000000" w:fill="D2EAF1"/>
            <w:noWrap/>
            <w:vAlign w:val="center"/>
          </w:tcPr>
          <w:p w:rsidR="0025240A" w:rsidRPr="00124B6E" w:rsidRDefault="0025240A" w:rsidP="00AC55E9">
            <w:pPr>
              <w:jc w:val="center"/>
              <w:rPr>
                <w:color w:val="000000"/>
                <w:sz w:val="19"/>
                <w:szCs w:val="19"/>
              </w:rPr>
            </w:pPr>
            <w:r w:rsidRPr="00124B6E">
              <w:rPr>
                <w:color w:val="000000"/>
                <w:sz w:val="19"/>
                <w:szCs w:val="19"/>
              </w:rPr>
              <w:t>11%</w:t>
            </w:r>
          </w:p>
        </w:tc>
        <w:tc>
          <w:tcPr>
            <w:tcW w:w="1830" w:type="dxa"/>
            <w:shd w:val="clear" w:color="000000" w:fill="D2EAF1"/>
            <w:noWrap/>
            <w:vAlign w:val="center"/>
          </w:tcPr>
          <w:p w:rsidR="0025240A" w:rsidRPr="00124B6E" w:rsidRDefault="0025240A" w:rsidP="00AC55E9">
            <w:pPr>
              <w:jc w:val="center"/>
              <w:rPr>
                <w:color w:val="000000"/>
                <w:sz w:val="19"/>
                <w:szCs w:val="19"/>
              </w:rPr>
            </w:pPr>
            <w:r w:rsidRPr="00124B6E">
              <w:rPr>
                <w:color w:val="000000"/>
                <w:sz w:val="19"/>
                <w:szCs w:val="19"/>
              </w:rPr>
              <w:t>8%</w:t>
            </w:r>
          </w:p>
        </w:tc>
        <w:tc>
          <w:tcPr>
            <w:tcW w:w="1830" w:type="dxa"/>
            <w:shd w:val="clear" w:color="000000" w:fill="D2EAF1"/>
            <w:noWrap/>
            <w:vAlign w:val="center"/>
          </w:tcPr>
          <w:p w:rsidR="0025240A" w:rsidRPr="00124B6E" w:rsidRDefault="0025240A" w:rsidP="00AC55E9">
            <w:pPr>
              <w:jc w:val="center"/>
              <w:rPr>
                <w:bCs/>
                <w:color w:val="00B050"/>
                <w:sz w:val="19"/>
                <w:szCs w:val="19"/>
              </w:rPr>
            </w:pPr>
            <w:r w:rsidRPr="00124B6E">
              <w:rPr>
                <w:color w:val="00B050"/>
                <w:sz w:val="19"/>
                <w:szCs w:val="19"/>
              </w:rPr>
              <w:sym w:font="Wingdings" w:char="F0FC"/>
            </w:r>
          </w:p>
        </w:tc>
      </w:tr>
      <w:tr w:rsidR="00E7173E" w:rsidRPr="00124B6E" w:rsidTr="00AF6BD2">
        <w:trPr>
          <w:trHeight w:val="488"/>
          <w:jc w:val="center"/>
        </w:trPr>
        <w:tc>
          <w:tcPr>
            <w:tcW w:w="3870" w:type="dxa"/>
            <w:shd w:val="clear" w:color="auto" w:fill="auto"/>
            <w:noWrap/>
            <w:vAlign w:val="center"/>
          </w:tcPr>
          <w:p w:rsidR="0025240A" w:rsidRPr="00124B6E" w:rsidRDefault="0025240A" w:rsidP="00AC55E9">
            <w:pPr>
              <w:jc w:val="left"/>
              <w:rPr>
                <w:color w:val="000000"/>
                <w:sz w:val="19"/>
                <w:szCs w:val="19"/>
              </w:rPr>
            </w:pPr>
            <w:r w:rsidRPr="00124B6E">
              <w:rPr>
                <w:color w:val="000000"/>
                <w:sz w:val="19"/>
                <w:szCs w:val="19"/>
              </w:rPr>
              <w:t>Smart Multi-Family Solutions ‒ Non-residential</w:t>
            </w:r>
          </w:p>
        </w:tc>
        <w:tc>
          <w:tcPr>
            <w:tcW w:w="1830" w:type="dxa"/>
            <w:shd w:val="clear" w:color="auto" w:fill="auto"/>
            <w:noWrap/>
            <w:vAlign w:val="center"/>
          </w:tcPr>
          <w:p w:rsidR="0025240A" w:rsidRPr="00124B6E" w:rsidRDefault="0025240A" w:rsidP="00AC55E9">
            <w:pPr>
              <w:jc w:val="center"/>
              <w:rPr>
                <w:color w:val="000000"/>
                <w:sz w:val="19"/>
                <w:szCs w:val="19"/>
              </w:rPr>
            </w:pPr>
            <w:r w:rsidRPr="00124B6E">
              <w:rPr>
                <w:color w:val="000000"/>
                <w:sz w:val="19"/>
                <w:szCs w:val="19"/>
              </w:rPr>
              <w:t>4%</w:t>
            </w:r>
          </w:p>
        </w:tc>
        <w:tc>
          <w:tcPr>
            <w:tcW w:w="1830" w:type="dxa"/>
            <w:shd w:val="clear" w:color="auto" w:fill="auto"/>
            <w:noWrap/>
            <w:vAlign w:val="center"/>
          </w:tcPr>
          <w:p w:rsidR="0025240A" w:rsidRPr="00124B6E" w:rsidRDefault="0025240A" w:rsidP="00AC55E9">
            <w:pPr>
              <w:jc w:val="center"/>
              <w:rPr>
                <w:color w:val="000000"/>
                <w:sz w:val="19"/>
                <w:szCs w:val="19"/>
              </w:rPr>
            </w:pPr>
            <w:r w:rsidRPr="00124B6E">
              <w:rPr>
                <w:color w:val="000000"/>
                <w:sz w:val="19"/>
                <w:szCs w:val="19"/>
              </w:rPr>
              <w:t>4%</w:t>
            </w:r>
          </w:p>
        </w:tc>
        <w:tc>
          <w:tcPr>
            <w:tcW w:w="1830" w:type="dxa"/>
            <w:shd w:val="clear" w:color="auto" w:fill="auto"/>
            <w:noWrap/>
            <w:vAlign w:val="center"/>
          </w:tcPr>
          <w:p w:rsidR="0025240A" w:rsidRPr="00124B6E" w:rsidRDefault="0025240A" w:rsidP="00AC55E9">
            <w:pPr>
              <w:jc w:val="center"/>
              <w:rPr>
                <w:color w:val="00B050"/>
                <w:sz w:val="19"/>
                <w:szCs w:val="19"/>
              </w:rPr>
            </w:pPr>
            <w:r w:rsidRPr="00124B6E">
              <w:rPr>
                <w:color w:val="00B050"/>
                <w:sz w:val="19"/>
                <w:szCs w:val="19"/>
              </w:rPr>
              <w:sym w:font="Wingdings" w:char="F0FC"/>
            </w:r>
          </w:p>
        </w:tc>
      </w:tr>
      <w:tr w:rsidR="00A874AC" w:rsidRPr="00124B6E" w:rsidTr="00BE4EB1">
        <w:trPr>
          <w:trHeight w:val="488"/>
          <w:jc w:val="center"/>
        </w:trPr>
        <w:tc>
          <w:tcPr>
            <w:tcW w:w="3870" w:type="dxa"/>
            <w:shd w:val="clear" w:color="000000" w:fill="D2EAF1"/>
            <w:noWrap/>
            <w:vAlign w:val="center"/>
          </w:tcPr>
          <w:p w:rsidR="0025240A" w:rsidRPr="00124B6E" w:rsidRDefault="0025240A" w:rsidP="00AC55E9">
            <w:pPr>
              <w:jc w:val="left"/>
              <w:rPr>
                <w:color w:val="000000"/>
                <w:sz w:val="19"/>
                <w:szCs w:val="19"/>
              </w:rPr>
            </w:pPr>
            <w:r w:rsidRPr="00124B6E">
              <w:rPr>
                <w:color w:val="000000"/>
                <w:sz w:val="19"/>
                <w:szCs w:val="19"/>
              </w:rPr>
              <w:t>Smart Equipment Incentives (GNI)</w:t>
            </w:r>
          </w:p>
        </w:tc>
        <w:tc>
          <w:tcPr>
            <w:tcW w:w="1830" w:type="dxa"/>
            <w:shd w:val="clear" w:color="000000" w:fill="D2EAF1"/>
            <w:noWrap/>
            <w:vAlign w:val="center"/>
          </w:tcPr>
          <w:p w:rsidR="0025240A" w:rsidRPr="00124B6E" w:rsidRDefault="0025240A" w:rsidP="00AC55E9">
            <w:pPr>
              <w:jc w:val="center"/>
              <w:rPr>
                <w:color w:val="000000"/>
                <w:sz w:val="19"/>
                <w:szCs w:val="19"/>
              </w:rPr>
            </w:pPr>
            <w:r w:rsidRPr="00124B6E">
              <w:rPr>
                <w:color w:val="000000"/>
                <w:sz w:val="19"/>
                <w:szCs w:val="19"/>
              </w:rPr>
              <w:t>7%</w:t>
            </w:r>
          </w:p>
        </w:tc>
        <w:tc>
          <w:tcPr>
            <w:tcW w:w="1830" w:type="dxa"/>
            <w:shd w:val="clear" w:color="000000" w:fill="D2EAF1"/>
            <w:noWrap/>
            <w:vAlign w:val="center"/>
          </w:tcPr>
          <w:p w:rsidR="0025240A" w:rsidRPr="00124B6E" w:rsidRDefault="0025240A" w:rsidP="00AC55E9">
            <w:pPr>
              <w:jc w:val="center"/>
              <w:rPr>
                <w:color w:val="000000"/>
                <w:sz w:val="19"/>
                <w:szCs w:val="19"/>
              </w:rPr>
            </w:pPr>
            <w:r w:rsidRPr="00124B6E">
              <w:rPr>
                <w:color w:val="000000"/>
                <w:sz w:val="19"/>
                <w:szCs w:val="19"/>
              </w:rPr>
              <w:t>6%</w:t>
            </w:r>
          </w:p>
        </w:tc>
        <w:tc>
          <w:tcPr>
            <w:tcW w:w="1830" w:type="dxa"/>
            <w:shd w:val="clear" w:color="000000" w:fill="D2EAF1"/>
            <w:noWrap/>
            <w:vAlign w:val="center"/>
          </w:tcPr>
          <w:p w:rsidR="0025240A" w:rsidRPr="00124B6E" w:rsidRDefault="0025240A" w:rsidP="00AC55E9">
            <w:pPr>
              <w:jc w:val="center"/>
              <w:rPr>
                <w:sz w:val="19"/>
                <w:szCs w:val="19"/>
              </w:rPr>
            </w:pPr>
            <w:r w:rsidRPr="00124B6E">
              <w:rPr>
                <w:color w:val="00B050"/>
                <w:sz w:val="19"/>
                <w:szCs w:val="19"/>
              </w:rPr>
              <w:sym w:font="Wingdings" w:char="F0FC"/>
            </w:r>
          </w:p>
        </w:tc>
      </w:tr>
      <w:tr w:rsidR="00E7173E" w:rsidRPr="00124B6E" w:rsidTr="00AF6BD2">
        <w:trPr>
          <w:trHeight w:val="488"/>
          <w:jc w:val="center"/>
        </w:trPr>
        <w:tc>
          <w:tcPr>
            <w:tcW w:w="3870" w:type="dxa"/>
            <w:shd w:val="clear" w:color="auto" w:fill="auto"/>
            <w:noWrap/>
            <w:vAlign w:val="center"/>
          </w:tcPr>
          <w:p w:rsidR="0025240A" w:rsidRPr="00124B6E" w:rsidRDefault="0025240A" w:rsidP="00AC55E9">
            <w:pPr>
              <w:jc w:val="left"/>
              <w:rPr>
                <w:color w:val="000000"/>
                <w:sz w:val="19"/>
                <w:szCs w:val="19"/>
              </w:rPr>
            </w:pPr>
            <w:r w:rsidRPr="00124B6E">
              <w:rPr>
                <w:color w:val="000000"/>
                <w:sz w:val="19"/>
                <w:szCs w:val="19"/>
              </w:rPr>
              <w:t>Smart On-Site (SOS)</w:t>
            </w:r>
          </w:p>
        </w:tc>
        <w:tc>
          <w:tcPr>
            <w:tcW w:w="1830" w:type="dxa"/>
            <w:shd w:val="clear" w:color="auto" w:fill="auto"/>
            <w:noWrap/>
            <w:vAlign w:val="center"/>
          </w:tcPr>
          <w:p w:rsidR="0025240A" w:rsidRPr="00124B6E" w:rsidRDefault="0025240A" w:rsidP="00AC55E9">
            <w:pPr>
              <w:jc w:val="center"/>
              <w:rPr>
                <w:color w:val="000000"/>
                <w:sz w:val="19"/>
                <w:szCs w:val="19"/>
              </w:rPr>
            </w:pPr>
            <w:r w:rsidRPr="00124B6E">
              <w:rPr>
                <w:color w:val="000000"/>
                <w:sz w:val="19"/>
                <w:szCs w:val="19"/>
              </w:rPr>
              <w:t>0%</w:t>
            </w:r>
          </w:p>
        </w:tc>
        <w:tc>
          <w:tcPr>
            <w:tcW w:w="1830" w:type="dxa"/>
            <w:shd w:val="clear" w:color="auto" w:fill="auto"/>
            <w:noWrap/>
            <w:vAlign w:val="center"/>
          </w:tcPr>
          <w:p w:rsidR="0025240A" w:rsidRPr="00124B6E" w:rsidRDefault="0025240A" w:rsidP="00AC55E9">
            <w:pPr>
              <w:jc w:val="center"/>
              <w:rPr>
                <w:color w:val="000000"/>
                <w:sz w:val="19"/>
                <w:szCs w:val="19"/>
              </w:rPr>
            </w:pPr>
            <w:r w:rsidRPr="00124B6E">
              <w:rPr>
                <w:color w:val="000000"/>
                <w:sz w:val="19"/>
                <w:szCs w:val="19"/>
              </w:rPr>
              <w:t>0%</w:t>
            </w:r>
          </w:p>
        </w:tc>
        <w:tc>
          <w:tcPr>
            <w:tcW w:w="1830" w:type="dxa"/>
            <w:shd w:val="clear" w:color="auto" w:fill="auto"/>
            <w:noWrap/>
            <w:vAlign w:val="center"/>
          </w:tcPr>
          <w:p w:rsidR="0025240A" w:rsidRPr="00124B6E" w:rsidRDefault="0025240A" w:rsidP="00AC55E9">
            <w:pPr>
              <w:jc w:val="center"/>
              <w:rPr>
                <w:color w:val="00B050"/>
                <w:sz w:val="19"/>
                <w:szCs w:val="19"/>
              </w:rPr>
            </w:pPr>
            <w:r w:rsidRPr="00124B6E">
              <w:rPr>
                <w:color w:val="00B050"/>
                <w:sz w:val="19"/>
                <w:szCs w:val="19"/>
              </w:rPr>
              <w:sym w:font="Wingdings" w:char="F0FC"/>
            </w:r>
          </w:p>
        </w:tc>
      </w:tr>
    </w:tbl>
    <w:p w:rsidR="0025240A" w:rsidRPr="00D85274" w:rsidRDefault="0025240A" w:rsidP="0025240A"/>
    <w:p w:rsidR="0025240A" w:rsidRPr="00EA70B3" w:rsidRDefault="0025240A" w:rsidP="00EA70B3">
      <w:r w:rsidRPr="00EA70B3">
        <w:t xml:space="preserve">The goal of 15% precision at the 85% confidence level for energy was reached for all non-residential program groups except SCI in PY7. Navigant was forced to modify its initial sampling approach for SCI due to issues with several Q4 projects. Details about each program </w:t>
      </w:r>
      <w:r w:rsidR="009845FB" w:rsidRPr="00EA70B3">
        <w:t xml:space="preserve">evaluation sample are provided </w:t>
      </w:r>
      <w:r w:rsidR="00F4351F" w:rsidRPr="00EA70B3">
        <w:t>below</w:t>
      </w:r>
      <w:r w:rsidRPr="00EA70B3">
        <w:t>.</w:t>
      </w:r>
    </w:p>
    <w:p w:rsidR="0025240A" w:rsidRPr="00EA70B3" w:rsidRDefault="0025240A" w:rsidP="00EA70B3"/>
    <w:p w:rsidR="0025240A" w:rsidRPr="00EA70B3" w:rsidRDefault="0025240A" w:rsidP="00EA70B3">
      <w:r w:rsidRPr="00EA70B3">
        <w:t xml:space="preserve">As part of the audit process, the SWE Team performed 10 ride-along site inspections of non-residential projects to observe PECO’s on-site evaluation practices. The projects selected for ride-along inspection encompassed lighting, chiller, and motor upgrades and HVAC occupancy sensors. The SWE Team approved all 10 sampled projects and had no further recommendations. Details of all 10 projects and their associated findings are presented </w:t>
      </w:r>
      <w:r w:rsidR="00F4351F" w:rsidRPr="00EA70B3">
        <w:t>below</w:t>
      </w:r>
      <w:r w:rsidRPr="00EA70B3">
        <w:t>.</w:t>
      </w:r>
    </w:p>
    <w:p w:rsidR="0025240A" w:rsidRPr="00EA70B3" w:rsidRDefault="0025240A" w:rsidP="00EA70B3"/>
    <w:p w:rsidR="00B9141F" w:rsidRPr="00EA70B3" w:rsidRDefault="0025240A" w:rsidP="00EA70B3">
      <w:r w:rsidRPr="00EA70B3">
        <w:t xml:space="preserve">The SWE Team performed a verified savings analysis on six submitted projects, checking the accuracy of the calculations and the appropriateness of the evaluation method and level of rigor. The SWE Team was generally pleased with the orderliness of the project files and reports and the level of rigor used in the evaluations. However, there was one discrepancy between the verified savings reported in the site-level report for one project and the verified savings reported in the tracking system. The detailed results of the verified savings analysis are provided </w:t>
      </w:r>
      <w:r w:rsidR="00F4351F" w:rsidRPr="00EA70B3">
        <w:t>below</w:t>
      </w:r>
      <w:r w:rsidRPr="00EA70B3">
        <w:t>.</w:t>
      </w:r>
    </w:p>
    <w:p w:rsidR="00014BAF" w:rsidRDefault="00014BAF" w:rsidP="0025240A"/>
    <w:p w:rsidR="00014BAF" w:rsidRDefault="00014BAF" w:rsidP="0055598C">
      <w:pPr>
        <w:pStyle w:val="AppendixAHeading4"/>
      </w:pPr>
      <w:r>
        <w:t>Project Files Review</w:t>
      </w:r>
    </w:p>
    <w:p w:rsidR="00014BAF" w:rsidRPr="00EA70B3" w:rsidRDefault="00014BAF" w:rsidP="00EA70B3">
      <w:r w:rsidRPr="00EA70B3">
        <w:t xml:space="preserve">During PY7, the SWE Team reviewed project documentation from PECO’s Smart Equipment Incentives (SEI), Smart Construction </w:t>
      </w:r>
      <w:r w:rsidR="00E1624A" w:rsidRPr="00EA70B3">
        <w:t xml:space="preserve">Incentives </w:t>
      </w:r>
      <w:r w:rsidRPr="00EA70B3">
        <w:t>(</w:t>
      </w:r>
      <w:r w:rsidR="00E1624A" w:rsidRPr="00EA70B3">
        <w:t>SCI</w:t>
      </w:r>
      <w:r w:rsidRPr="00EA70B3">
        <w:t xml:space="preserve">), Smart Business Solutions (SBS), and Smart Multifamily (SMF) programs. Several projects were selected from each quarter within each program, for a total of 21 projects. For the most part, PECO’s project documentation was complete, well organized, and clearly labeled. </w:t>
      </w:r>
    </w:p>
    <w:p w:rsidR="00014BAF" w:rsidRPr="00EA70B3" w:rsidRDefault="00014BAF" w:rsidP="00EA70B3"/>
    <w:p w:rsidR="00EA70B3" w:rsidRDefault="00014BAF" w:rsidP="00EA70B3">
      <w:pPr>
        <w:sectPr w:rsidR="00EA70B3" w:rsidSect="00124B6E">
          <w:type w:val="continuous"/>
          <w:pgSz w:w="12240" w:h="15840"/>
          <w:pgMar w:top="1440" w:right="1440" w:bottom="1440" w:left="1440" w:header="720" w:footer="288" w:gutter="0"/>
          <w:cols w:space="720"/>
          <w:titlePg/>
          <w:docGrid w:linePitch="360"/>
        </w:sectPr>
      </w:pPr>
      <w:r w:rsidRPr="00EA70B3">
        <w:fldChar w:fldCharType="begin"/>
      </w:r>
      <w:r w:rsidRPr="00EA70B3">
        <w:instrText xml:space="preserve"> REF _Ref472469782 \h </w:instrText>
      </w:r>
      <w:r w:rsidRPr="00EA70B3">
        <w:fldChar w:fldCharType="separate"/>
      </w:r>
      <w:r w:rsidR="00037CB4">
        <w:t>Table A-</w:t>
      </w:r>
      <w:r w:rsidR="00037CB4">
        <w:rPr>
          <w:noProof/>
        </w:rPr>
        <w:t>111</w:t>
      </w:r>
      <w:r w:rsidRPr="00EA70B3">
        <w:fldChar w:fldCharType="end"/>
      </w:r>
      <w:r w:rsidRPr="00EA70B3">
        <w:t xml:space="preserve"> presents an overview of the projects that were reviewed by the SWE Team and the findings.</w:t>
      </w:r>
    </w:p>
    <w:p w:rsidR="0025240A" w:rsidRDefault="00014BAF" w:rsidP="004837FA">
      <w:pPr>
        <w:pStyle w:val="Caption"/>
      </w:pPr>
      <w:bookmarkStart w:id="1126" w:name="_Ref472469782"/>
      <w:bookmarkStart w:id="1127" w:name="_Toc472472520"/>
      <w:bookmarkStart w:id="1128" w:name="_Toc488741939"/>
      <w:r>
        <w:t>Table A-</w:t>
      </w:r>
      <w:r w:rsidR="007973A4">
        <w:fldChar w:fldCharType="begin"/>
      </w:r>
      <w:r w:rsidR="007973A4">
        <w:instrText xml:space="preserve"> SEQ Table_A- \* ARABIC </w:instrText>
      </w:r>
      <w:r w:rsidR="007973A4">
        <w:fldChar w:fldCharType="separate"/>
      </w:r>
      <w:r w:rsidR="00037CB4">
        <w:rPr>
          <w:noProof/>
        </w:rPr>
        <w:t>111</w:t>
      </w:r>
      <w:r w:rsidR="007973A4">
        <w:rPr>
          <w:noProof/>
        </w:rPr>
        <w:fldChar w:fldCharType="end"/>
      </w:r>
      <w:bookmarkEnd w:id="1126"/>
      <w:r>
        <w:t>: PECO PY7 Project Files Review</w:t>
      </w:r>
      <w:bookmarkEnd w:id="1127"/>
      <w:bookmarkEnd w:id="1128"/>
    </w:p>
    <w:tbl>
      <w:tblPr>
        <w:tblStyle w:val="AnnualReportTableStyle"/>
        <w:tblW w:w="13038" w:type="dxa"/>
        <w:tblLook w:val="04A0" w:firstRow="1" w:lastRow="0" w:firstColumn="1" w:lastColumn="0" w:noHBand="0" w:noVBand="1"/>
      </w:tblPr>
      <w:tblGrid>
        <w:gridCol w:w="872"/>
        <w:gridCol w:w="1193"/>
        <w:gridCol w:w="929"/>
        <w:gridCol w:w="2401"/>
        <w:gridCol w:w="1021"/>
        <w:gridCol w:w="1319"/>
        <w:gridCol w:w="1293"/>
        <w:gridCol w:w="1004"/>
        <w:gridCol w:w="1426"/>
        <w:gridCol w:w="1580"/>
      </w:tblGrid>
      <w:tr w:rsidR="00A874AC" w:rsidRPr="00124B6E" w:rsidTr="000641D7">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872" w:type="dxa"/>
            <w:noWrap/>
            <w:vAlign w:val="bottom"/>
            <w:hideMark/>
          </w:tcPr>
          <w:p w:rsidR="00014BAF" w:rsidRPr="00124B6E" w:rsidRDefault="00014BAF" w:rsidP="004F0C61">
            <w:pPr>
              <w:rPr>
                <w:bCs/>
                <w:sz w:val="19"/>
                <w:szCs w:val="19"/>
              </w:rPr>
            </w:pPr>
            <w:r w:rsidRPr="00124B6E">
              <w:rPr>
                <w:bCs/>
                <w:sz w:val="19"/>
                <w:szCs w:val="19"/>
              </w:rPr>
              <w:t>Quarter</w:t>
            </w:r>
          </w:p>
        </w:tc>
        <w:tc>
          <w:tcPr>
            <w:tcW w:w="1193" w:type="dxa"/>
            <w:noWrap/>
            <w:vAlign w:val="bottom"/>
            <w:hideMark/>
          </w:tcPr>
          <w:p w:rsidR="00014BAF" w:rsidRPr="00124B6E"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24B6E">
              <w:rPr>
                <w:bCs/>
                <w:sz w:val="19"/>
                <w:szCs w:val="19"/>
              </w:rPr>
              <w:t>Project Number</w:t>
            </w:r>
          </w:p>
        </w:tc>
        <w:tc>
          <w:tcPr>
            <w:tcW w:w="929" w:type="dxa"/>
            <w:noWrap/>
            <w:vAlign w:val="bottom"/>
            <w:hideMark/>
          </w:tcPr>
          <w:p w:rsidR="00014BAF" w:rsidRPr="00124B6E"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24B6E">
              <w:rPr>
                <w:bCs/>
                <w:sz w:val="19"/>
                <w:szCs w:val="19"/>
              </w:rPr>
              <w:t>Program</w:t>
            </w:r>
          </w:p>
        </w:tc>
        <w:tc>
          <w:tcPr>
            <w:tcW w:w="2401" w:type="dxa"/>
            <w:vAlign w:val="bottom"/>
            <w:hideMark/>
          </w:tcPr>
          <w:p w:rsidR="00014BAF" w:rsidRPr="00124B6E"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24B6E">
              <w:rPr>
                <w:bCs/>
                <w:sz w:val="19"/>
                <w:szCs w:val="19"/>
              </w:rPr>
              <w:t>Project Description</w:t>
            </w:r>
          </w:p>
        </w:tc>
        <w:tc>
          <w:tcPr>
            <w:tcW w:w="1021" w:type="dxa"/>
            <w:vAlign w:val="bottom"/>
            <w:hideMark/>
          </w:tcPr>
          <w:p w:rsidR="00014BAF" w:rsidRPr="00124B6E"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24B6E">
              <w:rPr>
                <w:bCs/>
                <w:sz w:val="19"/>
                <w:szCs w:val="19"/>
              </w:rPr>
              <w:t>Are all files included?</w:t>
            </w:r>
          </w:p>
        </w:tc>
        <w:tc>
          <w:tcPr>
            <w:tcW w:w="1319" w:type="dxa"/>
            <w:vAlign w:val="bottom"/>
            <w:hideMark/>
          </w:tcPr>
          <w:p w:rsidR="00014BAF" w:rsidRPr="00124B6E"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24B6E">
              <w:rPr>
                <w:bCs/>
                <w:sz w:val="19"/>
                <w:szCs w:val="19"/>
              </w:rPr>
              <w:t>Do values match program tracking data?</w:t>
            </w:r>
          </w:p>
        </w:tc>
        <w:tc>
          <w:tcPr>
            <w:tcW w:w="1293" w:type="dxa"/>
            <w:vAlign w:val="bottom"/>
            <w:hideMark/>
          </w:tcPr>
          <w:p w:rsidR="00014BAF" w:rsidRPr="00124B6E"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24B6E">
              <w:rPr>
                <w:bCs/>
                <w:sz w:val="19"/>
                <w:szCs w:val="19"/>
              </w:rPr>
              <w:t>Equipment discrepancy between invoices and calculations?</w:t>
            </w:r>
          </w:p>
        </w:tc>
        <w:tc>
          <w:tcPr>
            <w:tcW w:w="1004" w:type="dxa"/>
            <w:vAlign w:val="bottom"/>
            <w:hideMark/>
          </w:tcPr>
          <w:p w:rsidR="00014BAF" w:rsidRPr="00124B6E"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24B6E">
              <w:rPr>
                <w:bCs/>
                <w:sz w:val="19"/>
                <w:szCs w:val="19"/>
              </w:rPr>
              <w:t>Sufficient info for SWE to follow?</w:t>
            </w:r>
          </w:p>
        </w:tc>
        <w:tc>
          <w:tcPr>
            <w:tcW w:w="1426" w:type="dxa"/>
            <w:vAlign w:val="bottom"/>
            <w:hideMark/>
          </w:tcPr>
          <w:p w:rsidR="00014BAF" w:rsidRPr="00124B6E"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24B6E">
              <w:rPr>
                <w:bCs/>
                <w:sz w:val="19"/>
                <w:szCs w:val="19"/>
              </w:rPr>
              <w:t>For TRM measures, are correct algorithms and HOU values used?</w:t>
            </w:r>
          </w:p>
        </w:tc>
        <w:tc>
          <w:tcPr>
            <w:tcW w:w="1580" w:type="dxa"/>
            <w:vAlign w:val="bottom"/>
            <w:hideMark/>
          </w:tcPr>
          <w:p w:rsidR="00014BAF" w:rsidRPr="00124B6E"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124B6E">
              <w:rPr>
                <w:bCs/>
                <w:sz w:val="19"/>
                <w:szCs w:val="19"/>
              </w:rPr>
              <w:t>For Custom measures, is the methodology clear and auditable? Is it a sensible approach?</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PY7Q1</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PECO-15-07164</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SEI GNI</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T12 to T8 retrofit</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PY7Q1</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PECO-15-07757</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SEI GNI</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LED streetlight retrofit</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PY7Q3</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PECO-15-08680</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SEI GNI</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Lighting retrofit (CFL and inc. to LED)</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PY7Q3</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PECO-16-09043</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SEI GNI</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PC Power management (x 161 computers)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PY7Q4</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PECO-15-08917</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SEI GNI</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Lighting retrofit</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PY7Q1</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PECO-15-07395</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SEI C/I</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EMS system installation (automated logic)</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PY7Q1</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PECO-15-07810</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SEI C/I</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Corridor and exterior 8760 light LED retrofit</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PY7Q3</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PECO-14-06855</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SEI C/I</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Lighting retrofit (T8 to HPT8)</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PY7Q3</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PECO-15-08636</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SEI C/I</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Lighting retrofit (T8 to LED and MH to LED)</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PY7Q1</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PECO-14-06367</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SCI</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New construction lighting</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PY7Q1</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PECO-14-06932</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SCI</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New construction lighting LED, and HVAC RTU</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PY7Q2</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PECO-14-06473</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SCI</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New construction lighting</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PY7Q2</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PECO-15-07122</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SCI</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New construction lighting, ASHP, and AC</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PY7Q4</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PECO-14-06279</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SCI</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Custom HVAC (row-based data center cooling)</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PY7Q4</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PECO-15-08974</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SCI</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HVAC (efficient RTUs)</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PY7Q4</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PECO-16-09572</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SCI</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Custom (LEED new construction)</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PY7Q1</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2484</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SBS</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Lighting retrofit</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 14,865 kWh in calculator and 14,925 kWh in tracker</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PY7Q1</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2868</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SBS</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Lighting retrofit</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PY7Q2</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PECO-14-06473</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SCI</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New construction lighting</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580"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r>
      <w:tr w:rsidR="00014BAF" w:rsidRPr="00124B6E"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PY7Q2</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PECO-15-07122</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SCI</w:t>
            </w:r>
          </w:p>
        </w:tc>
        <w:tc>
          <w:tcPr>
            <w:tcW w:w="0" w:type="dxa"/>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New construction lighting, ASHP, and AC</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No</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Yes</w:t>
            </w:r>
          </w:p>
        </w:tc>
        <w:tc>
          <w:tcPr>
            <w:tcW w:w="0" w:type="dxa"/>
            <w:noWrap/>
            <w:hideMark/>
          </w:tcPr>
          <w:p w:rsidR="00014BAF" w:rsidRPr="00124B6E"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24B6E">
              <w:rPr>
                <w:color w:val="000000"/>
                <w:sz w:val="19"/>
                <w:szCs w:val="19"/>
              </w:rPr>
              <w:t>N/A</w:t>
            </w:r>
          </w:p>
        </w:tc>
      </w:tr>
      <w:tr w:rsidR="00A874AC" w:rsidRPr="00124B6E"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124B6E" w:rsidRDefault="00014BAF" w:rsidP="004F0C61">
            <w:pPr>
              <w:rPr>
                <w:b w:val="0"/>
                <w:bCs/>
                <w:i/>
                <w:iCs/>
                <w:color w:val="000000"/>
                <w:sz w:val="19"/>
                <w:szCs w:val="19"/>
              </w:rPr>
            </w:pPr>
            <w:r w:rsidRPr="00124B6E">
              <w:rPr>
                <w:b w:val="0"/>
                <w:bCs/>
                <w:i/>
                <w:iCs/>
                <w:color w:val="000000"/>
                <w:sz w:val="19"/>
                <w:szCs w:val="19"/>
              </w:rPr>
              <w:t>PY7Q4</w:t>
            </w:r>
          </w:p>
        </w:tc>
        <w:tc>
          <w:tcPr>
            <w:tcW w:w="11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PECO-13-05362</w:t>
            </w:r>
          </w:p>
        </w:tc>
        <w:tc>
          <w:tcPr>
            <w:tcW w:w="929"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SOS</w:t>
            </w:r>
          </w:p>
        </w:tc>
        <w:tc>
          <w:tcPr>
            <w:tcW w:w="2401"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CHP</w:t>
            </w:r>
          </w:p>
        </w:tc>
        <w:tc>
          <w:tcPr>
            <w:tcW w:w="1021"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319" w:type="dxa"/>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293"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No</w:t>
            </w:r>
          </w:p>
        </w:tc>
        <w:tc>
          <w:tcPr>
            <w:tcW w:w="1004"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c>
          <w:tcPr>
            <w:tcW w:w="1426"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N/A</w:t>
            </w:r>
          </w:p>
        </w:tc>
        <w:tc>
          <w:tcPr>
            <w:tcW w:w="1580" w:type="dxa"/>
            <w:noWrap/>
            <w:hideMark/>
          </w:tcPr>
          <w:p w:rsidR="00014BAF" w:rsidRPr="00124B6E"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24B6E">
              <w:rPr>
                <w:color w:val="000000"/>
                <w:sz w:val="19"/>
                <w:szCs w:val="19"/>
              </w:rPr>
              <w:t>Yes</w:t>
            </w:r>
          </w:p>
        </w:tc>
      </w:tr>
    </w:tbl>
    <w:p w:rsidR="00014BAF" w:rsidRDefault="00014BAF" w:rsidP="00014BAF"/>
    <w:p w:rsidR="00EA70B3" w:rsidRDefault="00EA70B3" w:rsidP="00AB1682">
      <w:pPr>
        <w:rPr>
          <w:rFonts w:eastAsia="Calibri"/>
        </w:rPr>
        <w:sectPr w:rsidR="00EA70B3" w:rsidSect="00EA70B3">
          <w:headerReference w:type="default" r:id="rId166"/>
          <w:footerReference w:type="default" r:id="rId167"/>
          <w:headerReference w:type="first" r:id="rId168"/>
          <w:footerReference w:type="first" r:id="rId169"/>
          <w:pgSz w:w="15840" w:h="12240" w:orient="landscape"/>
          <w:pgMar w:top="1440" w:right="1440" w:bottom="1440" w:left="1440" w:header="720" w:footer="288" w:gutter="0"/>
          <w:cols w:space="720"/>
          <w:titlePg/>
          <w:docGrid w:linePitch="360"/>
        </w:sectPr>
      </w:pPr>
    </w:p>
    <w:p w:rsidR="00AB1682" w:rsidRPr="003458B1" w:rsidRDefault="00AB1682" w:rsidP="00AB1682">
      <w:pPr>
        <w:rPr>
          <w:rFonts w:eastAsia="Calibri"/>
        </w:rPr>
      </w:pPr>
      <w:r w:rsidRPr="003458B1">
        <w:rPr>
          <w:rFonts w:eastAsia="Calibri"/>
        </w:rPr>
        <w:t xml:space="preserve">The only issue encountered </w:t>
      </w:r>
      <w:r>
        <w:rPr>
          <w:rFonts w:eastAsia="Calibri"/>
        </w:rPr>
        <w:t>in</w:t>
      </w:r>
      <w:r w:rsidRPr="003458B1">
        <w:rPr>
          <w:rFonts w:eastAsia="Calibri"/>
        </w:rPr>
        <w:t xml:space="preserve"> the SWE’s PY7 project file reviews was an inconsistency between the kWh savings in the Appendix C calculator and the tracking database for </w:t>
      </w:r>
      <w:r>
        <w:rPr>
          <w:rFonts w:eastAsia="Calibri"/>
        </w:rPr>
        <w:t>project number 2484 in the SBS P</w:t>
      </w:r>
      <w:r w:rsidRPr="003458B1">
        <w:rPr>
          <w:rFonts w:eastAsia="Calibri"/>
        </w:rPr>
        <w:t>rogram. The calculator records that 14,865 kWh were saved</w:t>
      </w:r>
      <w:r>
        <w:rPr>
          <w:rFonts w:eastAsia="Calibri"/>
        </w:rPr>
        <w:t>,</w:t>
      </w:r>
      <w:r w:rsidRPr="003458B1">
        <w:rPr>
          <w:rFonts w:eastAsia="Calibri"/>
        </w:rPr>
        <w:t xml:space="preserve"> but </w:t>
      </w:r>
      <w:r>
        <w:rPr>
          <w:rFonts w:eastAsia="Calibri"/>
        </w:rPr>
        <w:t>the database records 14,925 kWh</w:t>
      </w:r>
      <w:r w:rsidRPr="003458B1">
        <w:rPr>
          <w:rFonts w:eastAsia="Calibri"/>
        </w:rPr>
        <w:t>.</w:t>
      </w:r>
      <w:r>
        <w:rPr>
          <w:rFonts w:eastAsia="Calibri"/>
        </w:rPr>
        <w:t xml:space="preserve"> After discussion with</w:t>
      </w:r>
      <w:r w:rsidRPr="00046DD0">
        <w:t xml:space="preserve"> </w:t>
      </w:r>
      <w:r w:rsidRPr="00046DD0">
        <w:rPr>
          <w:rFonts w:eastAsia="Calibri"/>
        </w:rPr>
        <w:t>Navigant</w:t>
      </w:r>
      <w:r>
        <w:rPr>
          <w:rFonts w:eastAsia="Calibri"/>
        </w:rPr>
        <w:t>, they</w:t>
      </w:r>
      <w:r w:rsidRPr="00046DD0">
        <w:rPr>
          <w:rFonts w:eastAsia="Calibri"/>
        </w:rPr>
        <w:t xml:space="preserve"> found this same discrepancy in </w:t>
      </w:r>
      <w:r>
        <w:rPr>
          <w:rFonts w:eastAsia="Calibri"/>
        </w:rPr>
        <w:t>their</w:t>
      </w:r>
      <w:r w:rsidRPr="00046DD0">
        <w:rPr>
          <w:rFonts w:eastAsia="Calibri"/>
        </w:rPr>
        <w:t xml:space="preserve"> evaluation of the program and confirmed the savings recorded in the database is the correct value. </w:t>
      </w:r>
      <w:r>
        <w:rPr>
          <w:rFonts w:eastAsia="Calibri"/>
        </w:rPr>
        <w:t>They stated that t</w:t>
      </w:r>
      <w:r w:rsidRPr="00046DD0">
        <w:rPr>
          <w:rFonts w:eastAsia="Calibri"/>
        </w:rPr>
        <w:t>his is likely due to the file containing a preli</w:t>
      </w:r>
      <w:r>
        <w:rPr>
          <w:rFonts w:eastAsia="Calibri"/>
        </w:rPr>
        <w:t>minary calculation of savings versus</w:t>
      </w:r>
      <w:r w:rsidRPr="00046DD0">
        <w:rPr>
          <w:rFonts w:eastAsia="Calibri"/>
        </w:rPr>
        <w:t xml:space="preserve"> the database recording the final ex ante savings per the TRM.</w:t>
      </w:r>
    </w:p>
    <w:p w:rsidR="00014BAF" w:rsidRPr="003458B1" w:rsidRDefault="00014BAF" w:rsidP="00014BAF">
      <w:pPr>
        <w:rPr>
          <w:rFonts w:eastAsia="Calibri"/>
        </w:rPr>
      </w:pPr>
    </w:p>
    <w:p w:rsidR="00014BAF" w:rsidRPr="003458B1" w:rsidRDefault="00014BAF" w:rsidP="0055598C">
      <w:pPr>
        <w:pStyle w:val="AppendixAHeading4"/>
        <w:rPr>
          <w:rFonts w:eastAsia="Calibri"/>
        </w:rPr>
      </w:pPr>
      <w:bookmarkStart w:id="1129" w:name="_Toc408557473"/>
      <w:bookmarkStart w:id="1130" w:name="_Ref440444390"/>
      <w:r w:rsidRPr="003458B1">
        <w:rPr>
          <w:rFonts w:eastAsia="Calibri"/>
        </w:rPr>
        <w:t>Sample Design Review</w:t>
      </w:r>
      <w:bookmarkEnd w:id="1129"/>
      <w:bookmarkEnd w:id="1130"/>
    </w:p>
    <w:p w:rsidR="00014BAF" w:rsidRPr="003458B1" w:rsidRDefault="00014BAF" w:rsidP="00014BAF">
      <w:r w:rsidRPr="003458B1">
        <w:t xml:space="preserve">PECO’s PY7 annual report provided detailed information about the sample design for the PY7 gross impact evaluation of non-residential programs: SEI (C/I), SEI (GNI), SCI, SBS, SMFS – Non-Residential, and </w:t>
      </w:r>
      <w:r w:rsidR="009845FB">
        <w:t>SOS</w:t>
      </w:r>
      <w:r w:rsidRPr="003458B1">
        <w:t>. The following sections summarize the sampling approaches used by</w:t>
      </w:r>
      <w:r w:rsidR="009845FB">
        <w:t xml:space="preserve"> Navigant</w:t>
      </w:r>
      <w:r w:rsidRPr="003458B1">
        <w:t xml:space="preserve"> to develop verified savings estimates</w:t>
      </w:r>
      <w:r>
        <w:t>,</w:t>
      </w:r>
      <w:r w:rsidRPr="003458B1">
        <w:t xml:space="preserve"> as well as the SWE Team’s audit of the approach.</w:t>
      </w:r>
    </w:p>
    <w:p w:rsidR="00014BAF" w:rsidRPr="003458B1" w:rsidRDefault="00014BAF" w:rsidP="00014BAF"/>
    <w:p w:rsidR="00014BAF" w:rsidRPr="003458B1" w:rsidRDefault="00014BAF" w:rsidP="008C7396">
      <w:pPr>
        <w:pStyle w:val="AppendixAHeading5"/>
      </w:pPr>
      <w:r w:rsidRPr="003458B1">
        <w:t xml:space="preserve">Smart Equipment Incentives Program </w:t>
      </w:r>
      <w:r>
        <w:t xml:space="preserve">– </w:t>
      </w:r>
      <w:r w:rsidRPr="003458B1">
        <w:t xml:space="preserve">C/I </w:t>
      </w:r>
    </w:p>
    <w:p w:rsidR="00014BAF" w:rsidRPr="003458B1" w:rsidRDefault="00014BAF" w:rsidP="00014BAF">
      <w:pPr>
        <w:spacing w:after="120"/>
      </w:pPr>
      <w:r w:rsidRPr="003458B1">
        <w:t>This program was launched in Phase I and has been continued in Phase II. The sample designed by Navigant was aimed at exceeding the required 85%/15% confidence</w:t>
      </w:r>
      <w:r>
        <w:t>/</w:t>
      </w:r>
      <w:r w:rsidRPr="003458B1">
        <w:t xml:space="preserve">precision at the program level and used a similar method </w:t>
      </w:r>
      <w:r>
        <w:t>as in</w:t>
      </w:r>
      <w:r w:rsidRPr="003458B1">
        <w:t xml:space="preserve"> PY5 and PY6. However, based on PY6 and PY5 evaluations where a Cv of </w:t>
      </w:r>
      <w:r>
        <w:t>0</w:t>
      </w:r>
      <w:r w:rsidRPr="003458B1">
        <w:t>.5 was assumed for a</w:t>
      </w:r>
      <w:r w:rsidR="009845FB">
        <w:t>ll strata, Navigant assumed a Cv</w:t>
      </w:r>
      <w:r w:rsidRPr="003458B1">
        <w:t xml:space="preserve"> of 0.4 for </w:t>
      </w:r>
      <w:r>
        <w:t xml:space="preserve">the </w:t>
      </w:r>
      <w:r w:rsidRPr="003458B1">
        <w:t>large</w:t>
      </w:r>
      <w:r>
        <w:t xml:space="preserve"> stratum</w:t>
      </w:r>
      <w:r w:rsidR="009845FB">
        <w:t>,</w:t>
      </w:r>
      <w:r w:rsidRPr="003458B1">
        <w:t xml:space="preserve"> 0.5 for </w:t>
      </w:r>
      <w:r>
        <w:t xml:space="preserve">the </w:t>
      </w:r>
      <w:r w:rsidRPr="003458B1">
        <w:t>medium</w:t>
      </w:r>
      <w:r>
        <w:t xml:space="preserve"> stratum</w:t>
      </w:r>
      <w:r w:rsidRPr="003458B1">
        <w:t xml:space="preserve">, and 0.7 for </w:t>
      </w:r>
      <w:r>
        <w:t xml:space="preserve">the </w:t>
      </w:r>
      <w:r w:rsidRPr="003458B1">
        <w:t>small</w:t>
      </w:r>
      <w:r>
        <w:t xml:space="preserve"> stratum</w:t>
      </w:r>
      <w:r w:rsidRPr="003458B1">
        <w:t>. Additionally, Navigant followed the SWE Team’s request to design the sample to exceed 90/10 and included extra sites in the analysis. This was requested to ensure a program total of 85/15, which was not achieved in PY5. As it did in PY5 and PY6, Navigant used stratified ratio estimation to produce verified savings for the SEI Program. Based on participation data, the strata boundaries were defined as follows:</w:t>
      </w:r>
    </w:p>
    <w:p w:rsidR="00014BAF" w:rsidRPr="00727B1F" w:rsidRDefault="00014BAF" w:rsidP="00E646C9">
      <w:pPr>
        <w:pStyle w:val="ListParagraph"/>
        <w:numPr>
          <w:ilvl w:val="0"/>
          <w:numId w:val="39"/>
        </w:numPr>
        <w:ind w:left="360"/>
      </w:pPr>
      <w:r w:rsidRPr="00727B1F">
        <w:t xml:space="preserve">Stratum 1 - </w:t>
      </w:r>
      <w:r>
        <w:t>l</w:t>
      </w:r>
      <w:r w:rsidRPr="00727B1F">
        <w:t xml:space="preserve">arge </w:t>
      </w:r>
      <w:r>
        <w:t>s</w:t>
      </w:r>
      <w:r w:rsidRPr="00727B1F">
        <w:t>tratum: top 33% of reported kWh savings</w:t>
      </w:r>
    </w:p>
    <w:p w:rsidR="00014BAF" w:rsidRPr="00727B1F" w:rsidRDefault="00014BAF" w:rsidP="00E646C9">
      <w:pPr>
        <w:pStyle w:val="ListParagraph"/>
        <w:numPr>
          <w:ilvl w:val="0"/>
          <w:numId w:val="39"/>
        </w:numPr>
        <w:ind w:left="360"/>
      </w:pPr>
      <w:r w:rsidRPr="00727B1F">
        <w:t xml:space="preserve">Stratum 2 - </w:t>
      </w:r>
      <w:r>
        <w:t>m</w:t>
      </w:r>
      <w:r w:rsidRPr="00727B1F">
        <w:t xml:space="preserve">edium </w:t>
      </w:r>
      <w:r>
        <w:t>s</w:t>
      </w:r>
      <w:r w:rsidRPr="00727B1F">
        <w:t>tratum: middle 33% of reported kWh savings</w:t>
      </w:r>
    </w:p>
    <w:p w:rsidR="00014BAF" w:rsidRPr="00727B1F" w:rsidRDefault="00014BAF" w:rsidP="00E646C9">
      <w:pPr>
        <w:pStyle w:val="ListParagraph"/>
        <w:numPr>
          <w:ilvl w:val="0"/>
          <w:numId w:val="39"/>
        </w:numPr>
        <w:ind w:left="360"/>
      </w:pPr>
      <w:r w:rsidRPr="00727B1F">
        <w:t xml:space="preserve">Stratum 3 - </w:t>
      </w:r>
      <w:r>
        <w:t>s</w:t>
      </w:r>
      <w:r w:rsidRPr="00727B1F">
        <w:t xml:space="preserve">mall </w:t>
      </w:r>
      <w:r>
        <w:t>s</w:t>
      </w:r>
      <w:r w:rsidRPr="00727B1F">
        <w:t>tratum: lower 33% of reported kWh savings</w:t>
      </w:r>
    </w:p>
    <w:p w:rsidR="00014BAF" w:rsidRPr="003458B1" w:rsidRDefault="00014BAF" w:rsidP="00014BAF"/>
    <w:p w:rsidR="00014BAF" w:rsidRPr="003458B1" w:rsidRDefault="00014BAF" w:rsidP="00014BAF">
      <w:r w:rsidRPr="003458B1">
        <w:t>Navigant drew samples in three stages: after Q2, after Q3, and after Q4. Both Q1 and Q2 data were used at the first stage of sampling. Finally, Navigant used the pool of all projects as the population, and sampled only from the projects that represented the top 98% of aggregate program savings. Navigant stated that the projects representing the bottom 2% of aggregate program savings did not represent the entire population, so it did not sample from them. The sampling strategy for the SEI</w:t>
      </w:r>
      <w:r w:rsidR="009845FB">
        <w:t xml:space="preserve"> C/I</w:t>
      </w:r>
      <w:r w:rsidRPr="003458B1">
        <w:t xml:space="preserve"> Program is shown in </w:t>
      </w:r>
      <w:r w:rsidRPr="003458B1">
        <w:fldChar w:fldCharType="begin"/>
      </w:r>
      <w:r w:rsidRPr="003458B1">
        <w:instrText xml:space="preserve"> REF _Ref440033703 \h  \* MERGEFORMAT </w:instrText>
      </w:r>
      <w:r w:rsidRPr="003458B1">
        <w:fldChar w:fldCharType="separate"/>
      </w:r>
      <w:r w:rsidR="00037CB4" w:rsidRPr="003458B1">
        <w:t>Table A-</w:t>
      </w:r>
      <w:r w:rsidR="00037CB4">
        <w:t>112</w:t>
      </w:r>
      <w:r w:rsidRPr="003458B1">
        <w:fldChar w:fldCharType="end"/>
      </w:r>
      <w:r w:rsidRPr="003458B1">
        <w:t>.</w:t>
      </w:r>
    </w:p>
    <w:p w:rsidR="00014BAF" w:rsidRPr="003458B1" w:rsidRDefault="00014BAF" w:rsidP="00014BAF"/>
    <w:p w:rsidR="00014BAF" w:rsidRPr="003458B1" w:rsidRDefault="00014BAF" w:rsidP="004837FA">
      <w:pPr>
        <w:pStyle w:val="Caption"/>
      </w:pPr>
      <w:bookmarkStart w:id="1131" w:name="_Ref440033703"/>
      <w:bookmarkStart w:id="1132" w:name="_Toc410199388"/>
      <w:bookmarkStart w:id="1133" w:name="_Toc431462370"/>
      <w:bookmarkStart w:id="1134" w:name="_Toc444269896"/>
      <w:bookmarkStart w:id="1135" w:name="_Toc472472521"/>
      <w:bookmarkStart w:id="1136" w:name="_Toc488741940"/>
      <w:r w:rsidRPr="003458B1">
        <w:t>Table A-</w:t>
      </w:r>
      <w:r w:rsidR="007973A4">
        <w:fldChar w:fldCharType="begin"/>
      </w:r>
      <w:r w:rsidR="007973A4">
        <w:instrText xml:space="preserve"> SEQ Table_A- \* ARABIC </w:instrText>
      </w:r>
      <w:r w:rsidR="007973A4">
        <w:fldChar w:fldCharType="separate"/>
      </w:r>
      <w:r w:rsidR="00037CB4">
        <w:rPr>
          <w:noProof/>
        </w:rPr>
        <w:t>112</w:t>
      </w:r>
      <w:r w:rsidR="007973A4">
        <w:rPr>
          <w:noProof/>
        </w:rPr>
        <w:fldChar w:fldCharType="end"/>
      </w:r>
      <w:bookmarkEnd w:id="1131"/>
      <w:r w:rsidRPr="003458B1">
        <w:t>: PECO’s</w:t>
      </w:r>
      <w:r w:rsidR="009845FB">
        <w:t xml:space="preserve"> PY7 Sample Design Strategy – </w:t>
      </w:r>
      <w:r w:rsidRPr="003458B1">
        <w:t xml:space="preserve">SEI </w:t>
      </w:r>
      <w:r w:rsidR="009845FB">
        <w:t xml:space="preserve">C/I </w:t>
      </w:r>
      <w:r w:rsidRPr="003458B1">
        <w:t>Program</w:t>
      </w:r>
      <w:bookmarkEnd w:id="1132"/>
      <w:bookmarkEnd w:id="1133"/>
      <w:bookmarkEnd w:id="1134"/>
      <w:bookmarkEnd w:id="1135"/>
      <w:bookmarkEnd w:id="1136"/>
    </w:p>
    <w:tbl>
      <w:tblPr>
        <w:tblW w:w="9356"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71"/>
        <w:gridCol w:w="1379"/>
        <w:gridCol w:w="2520"/>
        <w:gridCol w:w="1952"/>
        <w:gridCol w:w="1834"/>
      </w:tblGrid>
      <w:tr w:rsidR="00A874AC" w:rsidRPr="00124B6E" w:rsidTr="00DC3249">
        <w:trPr>
          <w:trHeight w:val="20"/>
        </w:trPr>
        <w:tc>
          <w:tcPr>
            <w:tcW w:w="1671" w:type="dxa"/>
            <w:shd w:val="clear" w:color="auto" w:fill="448A99"/>
            <w:vAlign w:val="bottom"/>
            <w:hideMark/>
          </w:tcPr>
          <w:p w:rsidR="00014BAF" w:rsidRPr="00124B6E" w:rsidRDefault="00014BAF" w:rsidP="004F0C61">
            <w:pPr>
              <w:jc w:val="left"/>
              <w:rPr>
                <w:color w:val="FFFFFF"/>
                <w:sz w:val="19"/>
                <w:szCs w:val="19"/>
              </w:rPr>
            </w:pPr>
            <w:r w:rsidRPr="00124B6E">
              <w:rPr>
                <w:b/>
                <w:bCs/>
                <w:color w:val="FFFFFF"/>
                <w:sz w:val="19"/>
                <w:szCs w:val="19"/>
              </w:rPr>
              <w:t>Stratum</w:t>
            </w:r>
          </w:p>
        </w:tc>
        <w:tc>
          <w:tcPr>
            <w:tcW w:w="1379" w:type="dxa"/>
            <w:shd w:val="clear" w:color="auto" w:fill="448A99"/>
            <w:vAlign w:val="bottom"/>
            <w:hideMark/>
          </w:tcPr>
          <w:p w:rsidR="00014BAF" w:rsidRPr="00124B6E" w:rsidRDefault="00014BAF" w:rsidP="004F0C61">
            <w:pPr>
              <w:jc w:val="center"/>
              <w:rPr>
                <w:color w:val="FFFFFF"/>
                <w:sz w:val="19"/>
                <w:szCs w:val="19"/>
              </w:rPr>
            </w:pPr>
            <w:r w:rsidRPr="00124B6E">
              <w:rPr>
                <w:b/>
                <w:bCs/>
                <w:color w:val="FFFFFF"/>
                <w:sz w:val="19"/>
                <w:szCs w:val="19"/>
              </w:rPr>
              <w:t>Population</w:t>
            </w:r>
          </w:p>
        </w:tc>
        <w:tc>
          <w:tcPr>
            <w:tcW w:w="2520" w:type="dxa"/>
            <w:shd w:val="clear" w:color="auto" w:fill="448A99"/>
            <w:vAlign w:val="bottom"/>
            <w:hideMark/>
          </w:tcPr>
          <w:p w:rsidR="00014BAF" w:rsidRPr="00124B6E" w:rsidRDefault="00014BAF" w:rsidP="004F0C61">
            <w:pPr>
              <w:jc w:val="center"/>
              <w:rPr>
                <w:color w:val="FFFFFF"/>
                <w:sz w:val="19"/>
                <w:szCs w:val="19"/>
              </w:rPr>
            </w:pPr>
            <w:r w:rsidRPr="00124B6E">
              <w:rPr>
                <w:b/>
                <w:bCs/>
                <w:color w:val="FFFFFF"/>
                <w:sz w:val="19"/>
                <w:szCs w:val="19"/>
              </w:rPr>
              <w:t>Target Levels of Confidence &amp; Precision</w:t>
            </w:r>
          </w:p>
        </w:tc>
        <w:tc>
          <w:tcPr>
            <w:tcW w:w="1952" w:type="dxa"/>
            <w:shd w:val="clear" w:color="auto" w:fill="448A99"/>
            <w:vAlign w:val="bottom"/>
            <w:hideMark/>
          </w:tcPr>
          <w:p w:rsidR="00014BAF" w:rsidRPr="00124B6E" w:rsidRDefault="00014BAF" w:rsidP="004F0C61">
            <w:pPr>
              <w:jc w:val="center"/>
              <w:rPr>
                <w:color w:val="FFFFFF"/>
                <w:sz w:val="19"/>
                <w:szCs w:val="19"/>
              </w:rPr>
            </w:pPr>
            <w:r w:rsidRPr="00124B6E">
              <w:rPr>
                <w:b/>
                <w:bCs/>
                <w:color w:val="FFFFFF"/>
                <w:sz w:val="19"/>
                <w:szCs w:val="19"/>
              </w:rPr>
              <w:t>Target Sample Size</w:t>
            </w:r>
          </w:p>
        </w:tc>
        <w:tc>
          <w:tcPr>
            <w:tcW w:w="1834" w:type="dxa"/>
            <w:shd w:val="clear" w:color="auto" w:fill="448A99"/>
            <w:vAlign w:val="bottom"/>
            <w:hideMark/>
          </w:tcPr>
          <w:p w:rsidR="00014BAF" w:rsidRPr="00124B6E" w:rsidRDefault="00014BAF" w:rsidP="004F0C61">
            <w:pPr>
              <w:jc w:val="center"/>
              <w:rPr>
                <w:color w:val="FFFFFF"/>
                <w:sz w:val="19"/>
                <w:szCs w:val="19"/>
              </w:rPr>
            </w:pPr>
            <w:r w:rsidRPr="00124B6E">
              <w:rPr>
                <w:b/>
                <w:bCs/>
                <w:color w:val="FFFFFF"/>
                <w:sz w:val="19"/>
                <w:szCs w:val="19"/>
              </w:rPr>
              <w:t>Achieved Sample Size</w:t>
            </w:r>
          </w:p>
        </w:tc>
      </w:tr>
      <w:tr w:rsidR="00A874AC" w:rsidRPr="00124B6E" w:rsidTr="00DC3249">
        <w:trPr>
          <w:trHeight w:val="346"/>
        </w:trPr>
        <w:tc>
          <w:tcPr>
            <w:tcW w:w="1671" w:type="dxa"/>
            <w:shd w:val="clear" w:color="auto" w:fill="D2EAF1"/>
            <w:vAlign w:val="center"/>
          </w:tcPr>
          <w:p w:rsidR="00014BAF" w:rsidRPr="00124B6E" w:rsidRDefault="00014BAF" w:rsidP="004F0C61">
            <w:pPr>
              <w:jc w:val="left"/>
              <w:rPr>
                <w:bCs/>
                <w:color w:val="000000"/>
                <w:sz w:val="19"/>
                <w:szCs w:val="19"/>
              </w:rPr>
            </w:pPr>
            <w:r w:rsidRPr="00124B6E">
              <w:rPr>
                <w:bCs/>
                <w:color w:val="000000"/>
                <w:sz w:val="19"/>
                <w:szCs w:val="19"/>
              </w:rPr>
              <w:t>Large</w:t>
            </w:r>
          </w:p>
        </w:tc>
        <w:tc>
          <w:tcPr>
            <w:tcW w:w="1379" w:type="dxa"/>
            <w:shd w:val="clear" w:color="auto" w:fill="D2EAF1"/>
            <w:noWrap/>
            <w:vAlign w:val="center"/>
          </w:tcPr>
          <w:p w:rsidR="00014BAF" w:rsidRPr="00124B6E" w:rsidRDefault="00014BAF" w:rsidP="004F0C61">
            <w:pPr>
              <w:jc w:val="center"/>
              <w:rPr>
                <w:color w:val="000000"/>
                <w:sz w:val="19"/>
                <w:szCs w:val="19"/>
              </w:rPr>
            </w:pPr>
            <w:r w:rsidRPr="00124B6E">
              <w:rPr>
                <w:sz w:val="19"/>
                <w:szCs w:val="19"/>
              </w:rPr>
              <w:t>16</w:t>
            </w:r>
          </w:p>
        </w:tc>
        <w:tc>
          <w:tcPr>
            <w:tcW w:w="2520" w:type="dxa"/>
            <w:shd w:val="clear" w:color="auto" w:fill="D2EAF1"/>
            <w:noWrap/>
            <w:vAlign w:val="center"/>
          </w:tcPr>
          <w:p w:rsidR="00014BAF" w:rsidRPr="00124B6E" w:rsidRDefault="00014BAF" w:rsidP="004F0C61">
            <w:pPr>
              <w:jc w:val="center"/>
              <w:rPr>
                <w:sz w:val="19"/>
                <w:szCs w:val="19"/>
              </w:rPr>
            </w:pPr>
            <w:r w:rsidRPr="00124B6E">
              <w:rPr>
                <w:sz w:val="19"/>
                <w:szCs w:val="19"/>
              </w:rPr>
              <w:t>85%/15%</w:t>
            </w:r>
          </w:p>
        </w:tc>
        <w:tc>
          <w:tcPr>
            <w:tcW w:w="1952" w:type="dxa"/>
            <w:shd w:val="clear" w:color="auto" w:fill="D2EAF1"/>
            <w:noWrap/>
            <w:vAlign w:val="center"/>
          </w:tcPr>
          <w:p w:rsidR="00014BAF" w:rsidRPr="00124B6E" w:rsidRDefault="00014BAF" w:rsidP="004F0C61">
            <w:pPr>
              <w:jc w:val="center"/>
              <w:rPr>
                <w:sz w:val="19"/>
                <w:szCs w:val="19"/>
              </w:rPr>
            </w:pPr>
            <w:r w:rsidRPr="00124B6E">
              <w:rPr>
                <w:sz w:val="19"/>
                <w:szCs w:val="19"/>
              </w:rPr>
              <w:t>11</w:t>
            </w:r>
          </w:p>
        </w:tc>
        <w:tc>
          <w:tcPr>
            <w:tcW w:w="1834" w:type="dxa"/>
            <w:shd w:val="clear" w:color="auto" w:fill="D2EAF1"/>
            <w:noWrap/>
            <w:vAlign w:val="center"/>
          </w:tcPr>
          <w:p w:rsidR="00014BAF" w:rsidRPr="00124B6E" w:rsidRDefault="00014BAF" w:rsidP="004F0C61">
            <w:pPr>
              <w:jc w:val="center"/>
              <w:rPr>
                <w:sz w:val="19"/>
                <w:szCs w:val="19"/>
              </w:rPr>
            </w:pPr>
            <w:r w:rsidRPr="00124B6E">
              <w:rPr>
                <w:sz w:val="19"/>
                <w:szCs w:val="19"/>
              </w:rPr>
              <w:t>11</w:t>
            </w:r>
          </w:p>
        </w:tc>
      </w:tr>
      <w:tr w:rsidR="00E7173E" w:rsidRPr="00124B6E" w:rsidTr="00AF6BD2">
        <w:trPr>
          <w:trHeight w:val="346"/>
        </w:trPr>
        <w:tc>
          <w:tcPr>
            <w:tcW w:w="1671" w:type="dxa"/>
            <w:shd w:val="clear" w:color="auto" w:fill="auto"/>
            <w:vAlign w:val="center"/>
          </w:tcPr>
          <w:p w:rsidR="00014BAF" w:rsidRPr="00124B6E" w:rsidRDefault="00014BAF" w:rsidP="004F0C61">
            <w:pPr>
              <w:jc w:val="left"/>
              <w:rPr>
                <w:bCs/>
                <w:color w:val="000000"/>
                <w:sz w:val="19"/>
                <w:szCs w:val="19"/>
              </w:rPr>
            </w:pPr>
            <w:r w:rsidRPr="00124B6E">
              <w:rPr>
                <w:bCs/>
                <w:color w:val="000000"/>
                <w:sz w:val="19"/>
                <w:szCs w:val="19"/>
              </w:rPr>
              <w:t>Medium</w:t>
            </w:r>
          </w:p>
        </w:tc>
        <w:tc>
          <w:tcPr>
            <w:tcW w:w="1379" w:type="dxa"/>
            <w:shd w:val="clear" w:color="auto" w:fill="auto"/>
            <w:noWrap/>
            <w:vAlign w:val="center"/>
          </w:tcPr>
          <w:p w:rsidR="00014BAF" w:rsidRPr="00124B6E" w:rsidRDefault="00014BAF" w:rsidP="004F0C61">
            <w:pPr>
              <w:jc w:val="center"/>
              <w:rPr>
                <w:sz w:val="19"/>
                <w:szCs w:val="19"/>
              </w:rPr>
            </w:pPr>
            <w:r w:rsidRPr="00124B6E">
              <w:rPr>
                <w:sz w:val="19"/>
                <w:szCs w:val="19"/>
              </w:rPr>
              <w:t>84</w:t>
            </w:r>
          </w:p>
        </w:tc>
        <w:tc>
          <w:tcPr>
            <w:tcW w:w="2520" w:type="dxa"/>
            <w:shd w:val="clear" w:color="auto" w:fill="auto"/>
            <w:noWrap/>
            <w:vAlign w:val="center"/>
          </w:tcPr>
          <w:p w:rsidR="00014BAF" w:rsidRPr="00124B6E" w:rsidRDefault="00014BAF" w:rsidP="004F0C61">
            <w:pPr>
              <w:jc w:val="center"/>
              <w:rPr>
                <w:sz w:val="19"/>
                <w:szCs w:val="19"/>
              </w:rPr>
            </w:pPr>
            <w:r w:rsidRPr="00124B6E">
              <w:rPr>
                <w:sz w:val="19"/>
                <w:szCs w:val="19"/>
              </w:rPr>
              <w:t>85%/15%</w:t>
            </w:r>
          </w:p>
        </w:tc>
        <w:tc>
          <w:tcPr>
            <w:tcW w:w="1952" w:type="dxa"/>
            <w:shd w:val="clear" w:color="auto" w:fill="auto"/>
            <w:noWrap/>
            <w:vAlign w:val="center"/>
          </w:tcPr>
          <w:p w:rsidR="00014BAF" w:rsidRPr="00124B6E" w:rsidRDefault="00014BAF" w:rsidP="004F0C61">
            <w:pPr>
              <w:jc w:val="center"/>
              <w:rPr>
                <w:sz w:val="19"/>
                <w:szCs w:val="19"/>
              </w:rPr>
            </w:pPr>
            <w:r w:rsidRPr="00124B6E">
              <w:rPr>
                <w:sz w:val="19"/>
                <w:szCs w:val="19"/>
              </w:rPr>
              <w:t>24</w:t>
            </w:r>
          </w:p>
        </w:tc>
        <w:tc>
          <w:tcPr>
            <w:tcW w:w="1834" w:type="dxa"/>
            <w:shd w:val="clear" w:color="auto" w:fill="auto"/>
            <w:noWrap/>
            <w:vAlign w:val="center"/>
          </w:tcPr>
          <w:p w:rsidR="00014BAF" w:rsidRPr="00124B6E" w:rsidRDefault="00014BAF" w:rsidP="004F0C61">
            <w:pPr>
              <w:jc w:val="center"/>
              <w:rPr>
                <w:sz w:val="19"/>
                <w:szCs w:val="19"/>
              </w:rPr>
            </w:pPr>
            <w:r w:rsidRPr="00124B6E">
              <w:rPr>
                <w:sz w:val="19"/>
                <w:szCs w:val="19"/>
              </w:rPr>
              <w:t>31</w:t>
            </w:r>
          </w:p>
        </w:tc>
      </w:tr>
      <w:tr w:rsidR="00A874AC" w:rsidRPr="00124B6E" w:rsidTr="00DC3249">
        <w:trPr>
          <w:trHeight w:val="346"/>
        </w:trPr>
        <w:tc>
          <w:tcPr>
            <w:tcW w:w="1671" w:type="dxa"/>
            <w:shd w:val="clear" w:color="auto" w:fill="D2EAF1"/>
            <w:vAlign w:val="center"/>
          </w:tcPr>
          <w:p w:rsidR="00014BAF" w:rsidRPr="00124B6E" w:rsidRDefault="00014BAF" w:rsidP="004F0C61">
            <w:pPr>
              <w:jc w:val="left"/>
              <w:rPr>
                <w:bCs/>
                <w:color w:val="000000"/>
                <w:sz w:val="19"/>
                <w:szCs w:val="19"/>
              </w:rPr>
            </w:pPr>
            <w:r w:rsidRPr="00124B6E">
              <w:rPr>
                <w:bCs/>
                <w:color w:val="000000"/>
                <w:sz w:val="19"/>
                <w:szCs w:val="19"/>
              </w:rPr>
              <w:t>Small</w:t>
            </w:r>
          </w:p>
        </w:tc>
        <w:tc>
          <w:tcPr>
            <w:tcW w:w="1379" w:type="dxa"/>
            <w:shd w:val="clear" w:color="auto" w:fill="D2EAF1"/>
            <w:noWrap/>
            <w:vAlign w:val="center"/>
          </w:tcPr>
          <w:p w:rsidR="00014BAF" w:rsidRPr="00124B6E" w:rsidRDefault="00014BAF" w:rsidP="004F0C61">
            <w:pPr>
              <w:jc w:val="center"/>
              <w:rPr>
                <w:sz w:val="19"/>
                <w:szCs w:val="19"/>
              </w:rPr>
            </w:pPr>
            <w:r w:rsidRPr="00124B6E">
              <w:rPr>
                <w:sz w:val="19"/>
                <w:szCs w:val="19"/>
              </w:rPr>
              <w:t>1,229</w:t>
            </w:r>
          </w:p>
        </w:tc>
        <w:tc>
          <w:tcPr>
            <w:tcW w:w="2520" w:type="dxa"/>
            <w:shd w:val="clear" w:color="auto" w:fill="D2EAF1"/>
            <w:noWrap/>
            <w:vAlign w:val="center"/>
          </w:tcPr>
          <w:p w:rsidR="00014BAF" w:rsidRPr="00124B6E" w:rsidRDefault="00014BAF" w:rsidP="004F0C61">
            <w:pPr>
              <w:jc w:val="center"/>
              <w:rPr>
                <w:sz w:val="19"/>
                <w:szCs w:val="19"/>
              </w:rPr>
            </w:pPr>
            <w:r w:rsidRPr="00124B6E">
              <w:rPr>
                <w:sz w:val="19"/>
                <w:szCs w:val="19"/>
              </w:rPr>
              <w:t>85%/15%</w:t>
            </w:r>
          </w:p>
        </w:tc>
        <w:tc>
          <w:tcPr>
            <w:tcW w:w="1952" w:type="dxa"/>
            <w:shd w:val="clear" w:color="auto" w:fill="D2EAF1"/>
            <w:noWrap/>
            <w:vAlign w:val="center"/>
          </w:tcPr>
          <w:p w:rsidR="00014BAF" w:rsidRPr="00124B6E" w:rsidRDefault="00014BAF" w:rsidP="004F0C61">
            <w:pPr>
              <w:jc w:val="center"/>
              <w:rPr>
                <w:sz w:val="19"/>
                <w:szCs w:val="19"/>
              </w:rPr>
            </w:pPr>
            <w:r w:rsidRPr="00124B6E">
              <w:rPr>
                <w:sz w:val="19"/>
                <w:szCs w:val="19"/>
              </w:rPr>
              <w:t>32</w:t>
            </w:r>
          </w:p>
        </w:tc>
        <w:tc>
          <w:tcPr>
            <w:tcW w:w="1834" w:type="dxa"/>
            <w:shd w:val="clear" w:color="auto" w:fill="D2EAF1"/>
            <w:noWrap/>
            <w:vAlign w:val="center"/>
          </w:tcPr>
          <w:p w:rsidR="00014BAF" w:rsidRPr="00124B6E" w:rsidRDefault="00014BAF" w:rsidP="004F0C61">
            <w:pPr>
              <w:jc w:val="center"/>
              <w:rPr>
                <w:sz w:val="19"/>
                <w:szCs w:val="19"/>
              </w:rPr>
            </w:pPr>
            <w:r w:rsidRPr="00124B6E">
              <w:rPr>
                <w:sz w:val="19"/>
                <w:szCs w:val="19"/>
              </w:rPr>
              <w:t>32</w:t>
            </w:r>
          </w:p>
        </w:tc>
      </w:tr>
      <w:tr w:rsidR="00E7173E" w:rsidRPr="00124B6E" w:rsidTr="00AF6BD2">
        <w:trPr>
          <w:trHeight w:val="346"/>
        </w:trPr>
        <w:tc>
          <w:tcPr>
            <w:tcW w:w="1671" w:type="dxa"/>
            <w:shd w:val="clear" w:color="auto" w:fill="auto"/>
            <w:vAlign w:val="center"/>
          </w:tcPr>
          <w:p w:rsidR="00014BAF" w:rsidRPr="00124B6E" w:rsidRDefault="00014BAF" w:rsidP="004F0C61">
            <w:pPr>
              <w:jc w:val="left"/>
              <w:rPr>
                <w:b/>
                <w:bCs/>
                <w:color w:val="000000"/>
                <w:sz w:val="19"/>
                <w:szCs w:val="19"/>
              </w:rPr>
            </w:pPr>
            <w:r w:rsidRPr="00124B6E">
              <w:rPr>
                <w:b/>
                <w:bCs/>
                <w:color w:val="000000"/>
                <w:sz w:val="19"/>
                <w:szCs w:val="19"/>
              </w:rPr>
              <w:t>Program Total</w:t>
            </w:r>
          </w:p>
        </w:tc>
        <w:tc>
          <w:tcPr>
            <w:tcW w:w="1379" w:type="dxa"/>
            <w:shd w:val="clear" w:color="auto" w:fill="auto"/>
            <w:noWrap/>
            <w:vAlign w:val="center"/>
          </w:tcPr>
          <w:p w:rsidR="00014BAF" w:rsidRPr="00124B6E" w:rsidRDefault="00014BAF" w:rsidP="004F0C61">
            <w:pPr>
              <w:jc w:val="center"/>
              <w:rPr>
                <w:b/>
                <w:bCs/>
                <w:color w:val="000000"/>
                <w:sz w:val="19"/>
                <w:szCs w:val="19"/>
              </w:rPr>
            </w:pPr>
            <w:r w:rsidRPr="00124B6E">
              <w:rPr>
                <w:b/>
                <w:sz w:val="19"/>
                <w:szCs w:val="19"/>
              </w:rPr>
              <w:t>1,329</w:t>
            </w:r>
          </w:p>
        </w:tc>
        <w:tc>
          <w:tcPr>
            <w:tcW w:w="2520" w:type="dxa"/>
            <w:shd w:val="clear" w:color="auto" w:fill="auto"/>
            <w:noWrap/>
            <w:vAlign w:val="center"/>
          </w:tcPr>
          <w:p w:rsidR="00014BAF" w:rsidRPr="00124B6E" w:rsidRDefault="00014BAF" w:rsidP="004F0C61">
            <w:pPr>
              <w:jc w:val="center"/>
              <w:rPr>
                <w:b/>
                <w:bCs/>
                <w:color w:val="000000"/>
                <w:sz w:val="19"/>
                <w:szCs w:val="19"/>
              </w:rPr>
            </w:pPr>
            <w:r w:rsidRPr="00124B6E">
              <w:rPr>
                <w:b/>
                <w:sz w:val="19"/>
                <w:szCs w:val="19"/>
              </w:rPr>
              <w:t>85%/15%</w:t>
            </w:r>
          </w:p>
        </w:tc>
        <w:tc>
          <w:tcPr>
            <w:tcW w:w="1952" w:type="dxa"/>
            <w:shd w:val="clear" w:color="auto" w:fill="auto"/>
            <w:noWrap/>
            <w:vAlign w:val="center"/>
          </w:tcPr>
          <w:p w:rsidR="00014BAF" w:rsidRPr="00124B6E" w:rsidRDefault="00014BAF" w:rsidP="004F0C61">
            <w:pPr>
              <w:jc w:val="center"/>
              <w:rPr>
                <w:b/>
                <w:bCs/>
                <w:color w:val="000000"/>
                <w:sz w:val="19"/>
                <w:szCs w:val="19"/>
              </w:rPr>
            </w:pPr>
            <w:r w:rsidRPr="00124B6E">
              <w:rPr>
                <w:b/>
                <w:sz w:val="19"/>
                <w:szCs w:val="19"/>
              </w:rPr>
              <w:t>67</w:t>
            </w:r>
          </w:p>
        </w:tc>
        <w:tc>
          <w:tcPr>
            <w:tcW w:w="1834" w:type="dxa"/>
            <w:shd w:val="clear" w:color="auto" w:fill="auto"/>
            <w:noWrap/>
            <w:vAlign w:val="center"/>
          </w:tcPr>
          <w:p w:rsidR="00014BAF" w:rsidRPr="00124B6E" w:rsidRDefault="00014BAF" w:rsidP="004F0C61">
            <w:pPr>
              <w:jc w:val="center"/>
              <w:rPr>
                <w:b/>
                <w:bCs/>
                <w:color w:val="000000"/>
                <w:sz w:val="19"/>
                <w:szCs w:val="19"/>
              </w:rPr>
            </w:pPr>
            <w:r w:rsidRPr="00124B6E">
              <w:rPr>
                <w:b/>
                <w:sz w:val="19"/>
                <w:szCs w:val="19"/>
              </w:rPr>
              <w:t>74</w:t>
            </w:r>
          </w:p>
        </w:tc>
      </w:tr>
    </w:tbl>
    <w:p w:rsidR="00014BAF" w:rsidRPr="003458B1" w:rsidRDefault="00014BAF" w:rsidP="00014BAF"/>
    <w:p w:rsidR="00014BAF" w:rsidRPr="003458B1" w:rsidRDefault="00014BAF" w:rsidP="00014BAF">
      <w:r w:rsidRPr="00056CF7">
        <w:t>The achieved</w:t>
      </w:r>
      <w:r w:rsidRPr="003458B1">
        <w:t xml:space="preserve"> precision values at </w:t>
      </w:r>
      <w:r>
        <w:t xml:space="preserve">the </w:t>
      </w:r>
      <w:r w:rsidRPr="003458B1">
        <w:t xml:space="preserve">85% confidence level for both energy and peak demand are shown in </w:t>
      </w:r>
      <w:r w:rsidRPr="003458B1">
        <w:fldChar w:fldCharType="begin"/>
      </w:r>
      <w:r w:rsidRPr="003458B1">
        <w:instrText xml:space="preserve"> REF _Ref440268407 \h  \* MERGEFORMAT </w:instrText>
      </w:r>
      <w:r w:rsidRPr="003458B1">
        <w:fldChar w:fldCharType="separate"/>
      </w:r>
      <w:r w:rsidR="00037CB4" w:rsidRPr="003458B1">
        <w:t>Table A-</w:t>
      </w:r>
      <w:r w:rsidR="00037CB4">
        <w:t>113</w:t>
      </w:r>
      <w:r w:rsidRPr="003458B1">
        <w:fldChar w:fldCharType="end"/>
      </w:r>
      <w:r w:rsidRPr="003458B1">
        <w:t>.</w:t>
      </w:r>
    </w:p>
    <w:p w:rsidR="00014BAF" w:rsidRPr="003458B1" w:rsidRDefault="00014BAF" w:rsidP="004837FA">
      <w:pPr>
        <w:pStyle w:val="Caption"/>
      </w:pPr>
      <w:bookmarkStart w:id="1137" w:name="_Ref440268407"/>
      <w:bookmarkStart w:id="1138" w:name="_Toc410199389"/>
      <w:bookmarkStart w:id="1139" w:name="_Toc431462371"/>
      <w:bookmarkStart w:id="1140" w:name="_Toc444269897"/>
      <w:bookmarkStart w:id="1141" w:name="_Toc472472522"/>
      <w:bookmarkStart w:id="1142" w:name="_Toc488741941"/>
      <w:r w:rsidRPr="003458B1">
        <w:t>Table A-</w:t>
      </w:r>
      <w:r w:rsidR="007973A4">
        <w:fldChar w:fldCharType="begin"/>
      </w:r>
      <w:r w:rsidR="007973A4">
        <w:instrText xml:space="preserve"> SEQ Table_A- \* ARABIC </w:instrText>
      </w:r>
      <w:r w:rsidR="007973A4">
        <w:fldChar w:fldCharType="separate"/>
      </w:r>
      <w:r w:rsidR="00037CB4">
        <w:rPr>
          <w:noProof/>
        </w:rPr>
        <w:t>113</w:t>
      </w:r>
      <w:r w:rsidR="007973A4">
        <w:rPr>
          <w:noProof/>
        </w:rPr>
        <w:fldChar w:fldCharType="end"/>
      </w:r>
      <w:bookmarkEnd w:id="1137"/>
      <w:r w:rsidRPr="003458B1">
        <w:t xml:space="preserve">: Observed Coefficients of Variation and Relative Precisions – PECO’s </w:t>
      </w:r>
      <w:r w:rsidR="009845FB">
        <w:t>SEI C/I</w:t>
      </w:r>
      <w:r w:rsidRPr="003458B1">
        <w:t xml:space="preserve"> Program</w:t>
      </w:r>
      <w:bookmarkEnd w:id="1138"/>
      <w:bookmarkEnd w:id="1139"/>
      <w:bookmarkEnd w:id="1140"/>
      <w:bookmarkEnd w:id="1141"/>
      <w:bookmarkEnd w:id="1142"/>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92"/>
        <w:gridCol w:w="2358"/>
        <w:gridCol w:w="1526"/>
        <w:gridCol w:w="2164"/>
        <w:gridCol w:w="1720"/>
      </w:tblGrid>
      <w:tr w:rsidR="00A874AC" w:rsidRPr="00124B6E" w:rsidTr="004F0C61">
        <w:trPr>
          <w:trHeight w:val="1024"/>
          <w:tblHeader/>
          <w:jc w:val="center"/>
        </w:trPr>
        <w:tc>
          <w:tcPr>
            <w:tcW w:w="1592" w:type="dxa"/>
            <w:shd w:val="clear" w:color="000000" w:fill="448A99"/>
            <w:vAlign w:val="bottom"/>
            <w:hideMark/>
          </w:tcPr>
          <w:p w:rsidR="00014BAF" w:rsidRPr="00124B6E" w:rsidRDefault="00014BAF" w:rsidP="004F0C61">
            <w:pPr>
              <w:jc w:val="left"/>
              <w:rPr>
                <w:b/>
                <w:bCs/>
                <w:color w:val="FFFFFF"/>
                <w:sz w:val="19"/>
                <w:szCs w:val="19"/>
              </w:rPr>
            </w:pPr>
            <w:r w:rsidRPr="00124B6E">
              <w:rPr>
                <w:b/>
                <w:bCs/>
                <w:color w:val="FFFFFF"/>
                <w:sz w:val="19"/>
                <w:szCs w:val="19"/>
              </w:rPr>
              <w:t>Stratum</w:t>
            </w:r>
          </w:p>
        </w:tc>
        <w:tc>
          <w:tcPr>
            <w:tcW w:w="2358"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Energy</w:t>
            </w:r>
          </w:p>
        </w:tc>
        <w:tc>
          <w:tcPr>
            <w:tcW w:w="1526"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Energy</w:t>
            </w:r>
          </w:p>
        </w:tc>
        <w:tc>
          <w:tcPr>
            <w:tcW w:w="2164"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Demand</w:t>
            </w:r>
          </w:p>
        </w:tc>
        <w:tc>
          <w:tcPr>
            <w:tcW w:w="172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Demand</w:t>
            </w:r>
          </w:p>
        </w:tc>
      </w:tr>
      <w:tr w:rsidR="00A874AC" w:rsidRPr="00124B6E" w:rsidTr="00DC3249">
        <w:trPr>
          <w:trHeight w:val="360"/>
          <w:jc w:val="center"/>
        </w:trPr>
        <w:tc>
          <w:tcPr>
            <w:tcW w:w="1592" w:type="dxa"/>
            <w:shd w:val="clear" w:color="000000" w:fill="D2EAF1"/>
            <w:noWrap/>
          </w:tcPr>
          <w:p w:rsidR="00014BAF" w:rsidRPr="00124B6E" w:rsidRDefault="00014BAF" w:rsidP="004F0C61">
            <w:pPr>
              <w:jc w:val="left"/>
              <w:rPr>
                <w:bCs/>
                <w:color w:val="000000"/>
                <w:sz w:val="19"/>
                <w:szCs w:val="19"/>
              </w:rPr>
            </w:pPr>
            <w:r w:rsidRPr="00124B6E">
              <w:rPr>
                <w:color w:val="000000"/>
                <w:sz w:val="19"/>
                <w:szCs w:val="19"/>
              </w:rPr>
              <w:t>Large</w:t>
            </w:r>
          </w:p>
        </w:tc>
        <w:tc>
          <w:tcPr>
            <w:tcW w:w="2358"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0.90</w:t>
            </w:r>
          </w:p>
        </w:tc>
        <w:tc>
          <w:tcPr>
            <w:tcW w:w="1526"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24%</w:t>
            </w:r>
          </w:p>
        </w:tc>
        <w:tc>
          <w:tcPr>
            <w:tcW w:w="2164"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1.18</w:t>
            </w:r>
          </w:p>
        </w:tc>
        <w:tc>
          <w:tcPr>
            <w:tcW w:w="172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31%</w:t>
            </w:r>
          </w:p>
        </w:tc>
      </w:tr>
      <w:tr w:rsidR="00E7173E" w:rsidRPr="00124B6E" w:rsidTr="00AF6BD2">
        <w:trPr>
          <w:trHeight w:val="360"/>
          <w:jc w:val="center"/>
        </w:trPr>
        <w:tc>
          <w:tcPr>
            <w:tcW w:w="1592" w:type="dxa"/>
            <w:shd w:val="clear" w:color="auto" w:fill="auto"/>
            <w:noWrap/>
          </w:tcPr>
          <w:p w:rsidR="00014BAF" w:rsidRPr="00124B6E" w:rsidRDefault="00014BAF" w:rsidP="004F0C61">
            <w:pPr>
              <w:jc w:val="left"/>
              <w:rPr>
                <w:bCs/>
                <w:color w:val="000000"/>
                <w:sz w:val="19"/>
                <w:szCs w:val="19"/>
              </w:rPr>
            </w:pPr>
            <w:r w:rsidRPr="00124B6E">
              <w:rPr>
                <w:color w:val="000000"/>
                <w:sz w:val="19"/>
                <w:szCs w:val="19"/>
              </w:rPr>
              <w:t>Medium</w:t>
            </w:r>
          </w:p>
        </w:tc>
        <w:tc>
          <w:tcPr>
            <w:tcW w:w="2358"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1.40</w:t>
            </w:r>
          </w:p>
        </w:tc>
        <w:tc>
          <w:tcPr>
            <w:tcW w:w="1526"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30%</w:t>
            </w:r>
          </w:p>
        </w:tc>
        <w:tc>
          <w:tcPr>
            <w:tcW w:w="2164"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1.56</w:t>
            </w:r>
          </w:p>
        </w:tc>
        <w:tc>
          <w:tcPr>
            <w:tcW w:w="172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33%</w:t>
            </w:r>
          </w:p>
        </w:tc>
      </w:tr>
      <w:tr w:rsidR="00A874AC" w:rsidRPr="00124B6E" w:rsidTr="00DC3249">
        <w:trPr>
          <w:trHeight w:val="360"/>
          <w:jc w:val="center"/>
        </w:trPr>
        <w:tc>
          <w:tcPr>
            <w:tcW w:w="1592" w:type="dxa"/>
            <w:shd w:val="clear" w:color="000000" w:fill="D2EAF1"/>
            <w:noWrap/>
          </w:tcPr>
          <w:p w:rsidR="00014BAF" w:rsidRPr="00124B6E" w:rsidRDefault="00014BAF" w:rsidP="004F0C61">
            <w:pPr>
              <w:jc w:val="left"/>
              <w:rPr>
                <w:bCs/>
                <w:color w:val="000000"/>
                <w:sz w:val="19"/>
                <w:szCs w:val="19"/>
              </w:rPr>
            </w:pPr>
            <w:r w:rsidRPr="00124B6E">
              <w:rPr>
                <w:color w:val="000000"/>
                <w:sz w:val="19"/>
                <w:szCs w:val="19"/>
              </w:rPr>
              <w:t>Small</w:t>
            </w:r>
          </w:p>
        </w:tc>
        <w:tc>
          <w:tcPr>
            <w:tcW w:w="2358"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0.34</w:t>
            </w:r>
          </w:p>
        </w:tc>
        <w:tc>
          <w:tcPr>
            <w:tcW w:w="1526"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9%</w:t>
            </w:r>
          </w:p>
        </w:tc>
        <w:tc>
          <w:tcPr>
            <w:tcW w:w="2164"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1.02</w:t>
            </w:r>
          </w:p>
        </w:tc>
        <w:tc>
          <w:tcPr>
            <w:tcW w:w="172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26%</w:t>
            </w:r>
          </w:p>
        </w:tc>
      </w:tr>
      <w:tr w:rsidR="00E7173E" w:rsidRPr="00124B6E" w:rsidTr="00AF6BD2">
        <w:trPr>
          <w:trHeight w:val="360"/>
          <w:jc w:val="center"/>
        </w:trPr>
        <w:tc>
          <w:tcPr>
            <w:tcW w:w="1592" w:type="dxa"/>
            <w:shd w:val="clear" w:color="auto" w:fill="auto"/>
            <w:noWrap/>
            <w:vAlign w:val="center"/>
          </w:tcPr>
          <w:p w:rsidR="00014BAF" w:rsidRPr="00124B6E" w:rsidRDefault="00014BAF" w:rsidP="004F0C61">
            <w:pPr>
              <w:jc w:val="left"/>
              <w:rPr>
                <w:b/>
                <w:bCs/>
                <w:color w:val="000000"/>
                <w:sz w:val="19"/>
                <w:szCs w:val="19"/>
              </w:rPr>
            </w:pPr>
            <w:r w:rsidRPr="00124B6E">
              <w:rPr>
                <w:b/>
                <w:bCs/>
                <w:color w:val="000000"/>
                <w:sz w:val="19"/>
                <w:szCs w:val="19"/>
              </w:rPr>
              <w:t>Program Total</w:t>
            </w:r>
          </w:p>
        </w:tc>
        <w:tc>
          <w:tcPr>
            <w:tcW w:w="2358" w:type="dxa"/>
            <w:shd w:val="clear" w:color="auto" w:fill="auto"/>
            <w:noWrap/>
            <w:vAlign w:val="center"/>
          </w:tcPr>
          <w:p w:rsidR="00014BAF" w:rsidRPr="00124B6E" w:rsidRDefault="00014BAF" w:rsidP="004F0C61">
            <w:pPr>
              <w:jc w:val="center"/>
              <w:rPr>
                <w:b/>
                <w:bCs/>
                <w:color w:val="000000"/>
                <w:sz w:val="19"/>
                <w:szCs w:val="19"/>
              </w:rPr>
            </w:pPr>
          </w:p>
        </w:tc>
        <w:tc>
          <w:tcPr>
            <w:tcW w:w="1526" w:type="dxa"/>
            <w:shd w:val="clear" w:color="auto" w:fill="auto"/>
            <w:noWrap/>
            <w:vAlign w:val="center"/>
          </w:tcPr>
          <w:p w:rsidR="00014BAF" w:rsidRPr="00124B6E" w:rsidRDefault="00014BAF" w:rsidP="004F0C61">
            <w:pPr>
              <w:jc w:val="center"/>
              <w:rPr>
                <w:b/>
                <w:bCs/>
                <w:color w:val="000000"/>
                <w:sz w:val="19"/>
                <w:szCs w:val="19"/>
              </w:rPr>
            </w:pPr>
            <w:r w:rsidRPr="00124B6E">
              <w:rPr>
                <w:b/>
                <w:sz w:val="19"/>
                <w:szCs w:val="19"/>
              </w:rPr>
              <w:t>11%</w:t>
            </w:r>
          </w:p>
        </w:tc>
        <w:tc>
          <w:tcPr>
            <w:tcW w:w="2164" w:type="dxa"/>
            <w:shd w:val="clear" w:color="auto" w:fill="auto"/>
            <w:noWrap/>
            <w:vAlign w:val="center"/>
          </w:tcPr>
          <w:p w:rsidR="00014BAF" w:rsidRPr="00124B6E" w:rsidRDefault="00014BAF" w:rsidP="004F0C61">
            <w:pPr>
              <w:jc w:val="center"/>
              <w:rPr>
                <w:b/>
                <w:bCs/>
                <w:color w:val="000000"/>
                <w:sz w:val="19"/>
                <w:szCs w:val="19"/>
              </w:rPr>
            </w:pPr>
          </w:p>
        </w:tc>
        <w:tc>
          <w:tcPr>
            <w:tcW w:w="1720" w:type="dxa"/>
            <w:shd w:val="clear" w:color="auto" w:fill="auto"/>
            <w:noWrap/>
            <w:vAlign w:val="center"/>
          </w:tcPr>
          <w:p w:rsidR="00014BAF" w:rsidRPr="00124B6E" w:rsidRDefault="00014BAF" w:rsidP="004F0C61">
            <w:pPr>
              <w:spacing w:line="360" w:lineRule="auto"/>
              <w:jc w:val="center"/>
              <w:rPr>
                <w:b/>
                <w:bCs/>
                <w:color w:val="000000"/>
                <w:sz w:val="19"/>
                <w:szCs w:val="19"/>
              </w:rPr>
            </w:pPr>
            <w:r w:rsidRPr="00124B6E">
              <w:rPr>
                <w:b/>
                <w:color w:val="000000"/>
                <w:sz w:val="19"/>
                <w:szCs w:val="19"/>
              </w:rPr>
              <w:t>17%</w:t>
            </w:r>
          </w:p>
        </w:tc>
      </w:tr>
    </w:tbl>
    <w:p w:rsidR="00014BAF" w:rsidRPr="003458B1" w:rsidRDefault="00014BAF" w:rsidP="00014BAF"/>
    <w:p w:rsidR="00014BAF" w:rsidRPr="003458B1" w:rsidRDefault="00014BAF" w:rsidP="00014BAF">
      <w:r w:rsidRPr="003458B1">
        <w:t xml:space="preserve">In PY5 audit activities, the SWE Team found that PECO failed to meet the requirements of </w:t>
      </w:r>
      <w:r>
        <w:t>+/–</w:t>
      </w:r>
      <w:r w:rsidRPr="003458B1">
        <w:t>15% precision at the 85% confidence level for both peak demand and energy savings. The achieved precision for savings and demand were about 15.7% and 15.1%, respectively, at the 85% confidence level. In PY6, however, PECO made vast improvement in precision for energy and appropriate improvement for peak demand. This continued in PY7</w:t>
      </w:r>
      <w:r>
        <w:t>,</w:t>
      </w:r>
      <w:r w:rsidRPr="003458B1">
        <w:t xml:space="preserve"> with an achievement of 11% for energy and 17% for demand. Only targets for energy need to be met in Phase II.</w:t>
      </w:r>
    </w:p>
    <w:p w:rsidR="00014BAF" w:rsidRPr="003458B1" w:rsidRDefault="00014BAF" w:rsidP="00014BAF"/>
    <w:p w:rsidR="00014BAF" w:rsidRPr="003458B1" w:rsidRDefault="00014BAF" w:rsidP="008C7396">
      <w:pPr>
        <w:pStyle w:val="AppendixAHeading5"/>
      </w:pPr>
      <w:r w:rsidRPr="003458B1">
        <w:t xml:space="preserve">Smart Equipment Incentives Program </w:t>
      </w:r>
      <w:r>
        <w:t xml:space="preserve">– </w:t>
      </w:r>
      <w:r w:rsidRPr="003458B1">
        <w:t xml:space="preserve">GNI </w:t>
      </w:r>
    </w:p>
    <w:p w:rsidR="00014BAF" w:rsidRPr="003458B1" w:rsidRDefault="009845FB" w:rsidP="00014BAF">
      <w:r>
        <w:t xml:space="preserve">Similar to the </w:t>
      </w:r>
      <w:r w:rsidR="00014BAF" w:rsidRPr="003458B1">
        <w:t>SEI</w:t>
      </w:r>
      <w:r>
        <w:t xml:space="preserve"> C/I</w:t>
      </w:r>
      <w:r w:rsidR="00014BAF" w:rsidRPr="003458B1">
        <w:t xml:space="preserve"> Program, this program was launched in Phase I and has been continued in Phase II. Navigant used stratified ratio estimation to develop verified savings for the program. The projects were stratified into four groups: large, medium, small, and municipal lighting. Based on PY6 and PY5 evaluations where a Cv of </w:t>
      </w:r>
      <w:r w:rsidR="00014BAF">
        <w:t>0</w:t>
      </w:r>
      <w:r w:rsidR="00014BAF" w:rsidRPr="003458B1">
        <w:t>.5 was assumed for all strata, Navigant assumed a C</w:t>
      </w:r>
      <w:r w:rsidR="00014BAF">
        <w:t>v</w:t>
      </w:r>
      <w:r w:rsidR="00014BAF" w:rsidRPr="003458B1">
        <w:t xml:space="preserve"> of 0.4 for </w:t>
      </w:r>
      <w:r w:rsidR="00014BAF">
        <w:t xml:space="preserve">the </w:t>
      </w:r>
      <w:r w:rsidR="00014BAF" w:rsidRPr="003458B1">
        <w:t>large</w:t>
      </w:r>
      <w:r w:rsidR="00014BAF">
        <w:t xml:space="preserve"> stratum</w:t>
      </w:r>
      <w:r w:rsidR="00014BAF" w:rsidRPr="003458B1">
        <w:t xml:space="preserve">, 0.5 for </w:t>
      </w:r>
      <w:r w:rsidR="00014BAF">
        <w:t xml:space="preserve">the </w:t>
      </w:r>
      <w:r w:rsidR="00014BAF" w:rsidRPr="003458B1">
        <w:t>medium</w:t>
      </w:r>
      <w:r w:rsidR="00014BAF">
        <w:t xml:space="preserve"> stratum</w:t>
      </w:r>
      <w:r w:rsidR="00014BAF" w:rsidRPr="003458B1">
        <w:t xml:space="preserve">, 0.7 for </w:t>
      </w:r>
      <w:r w:rsidR="00014BAF">
        <w:t xml:space="preserve">the </w:t>
      </w:r>
      <w:r w:rsidR="00014BAF" w:rsidRPr="003458B1">
        <w:t>small</w:t>
      </w:r>
      <w:r w:rsidR="00014BAF">
        <w:t xml:space="preserve"> stratum</w:t>
      </w:r>
      <w:r w:rsidR="00014BAF" w:rsidRPr="003458B1">
        <w:t>, and 0.3 for municipal lighting projects. The sa</w:t>
      </w:r>
      <w:r>
        <w:t xml:space="preserve">mpling strategy for the PY7 </w:t>
      </w:r>
      <w:r w:rsidR="00014BAF" w:rsidRPr="003458B1">
        <w:t xml:space="preserve">SEI </w:t>
      </w:r>
      <w:r>
        <w:t xml:space="preserve">GNI </w:t>
      </w:r>
      <w:r w:rsidR="00014BAF" w:rsidRPr="003458B1">
        <w:t xml:space="preserve">Program is presented in </w:t>
      </w:r>
      <w:r w:rsidR="00014BAF" w:rsidRPr="003458B1">
        <w:fldChar w:fldCharType="begin"/>
      </w:r>
      <w:r w:rsidR="00014BAF" w:rsidRPr="003458B1">
        <w:instrText xml:space="preserve"> REF _Ref440268733 \h  \* MERGEFORMAT </w:instrText>
      </w:r>
      <w:r w:rsidR="00014BAF" w:rsidRPr="003458B1">
        <w:fldChar w:fldCharType="separate"/>
      </w:r>
      <w:r w:rsidR="00037CB4" w:rsidRPr="003458B1">
        <w:t>Table A-</w:t>
      </w:r>
      <w:r w:rsidR="00037CB4">
        <w:t>114</w:t>
      </w:r>
      <w:r w:rsidR="00014BAF" w:rsidRPr="003458B1">
        <w:fldChar w:fldCharType="end"/>
      </w:r>
      <w:r w:rsidR="00014BAF" w:rsidRPr="003458B1">
        <w:t>. In each of the three stages—after Q2, Q3, and Q4—samples were pulled and the sample design was reviewed and adjusted to make sure it would achi</w:t>
      </w:r>
      <w:r w:rsidR="00014BAF">
        <w:t>eve the targeted confidence/</w:t>
      </w:r>
      <w:r w:rsidR="00014BAF" w:rsidRPr="003458B1">
        <w:t>precision levels. Finally, samples were selected only from projects that represented the top 98% of overall program savings.</w:t>
      </w:r>
    </w:p>
    <w:p w:rsidR="00014BAF" w:rsidRPr="003458B1" w:rsidRDefault="00014BAF" w:rsidP="00014BAF">
      <w:bookmarkStart w:id="1143" w:name="_Ref409165741"/>
      <w:bookmarkStart w:id="1144" w:name="_Ref410119009"/>
      <w:bookmarkStart w:id="1145" w:name="_Toc410199396"/>
    </w:p>
    <w:p w:rsidR="00014BAF" w:rsidRPr="003458B1" w:rsidRDefault="00014BAF" w:rsidP="004837FA">
      <w:pPr>
        <w:pStyle w:val="Caption"/>
      </w:pPr>
      <w:bookmarkStart w:id="1146" w:name="_Ref440268733"/>
      <w:bookmarkStart w:id="1147" w:name="_Toc431462378"/>
      <w:bookmarkStart w:id="1148" w:name="_Toc444269904"/>
      <w:bookmarkStart w:id="1149" w:name="_Toc472472523"/>
      <w:bookmarkStart w:id="1150" w:name="_Toc488741942"/>
      <w:bookmarkEnd w:id="1143"/>
      <w:bookmarkEnd w:id="1144"/>
      <w:r w:rsidRPr="003458B1">
        <w:t>Table A-</w:t>
      </w:r>
      <w:r w:rsidR="007973A4">
        <w:fldChar w:fldCharType="begin"/>
      </w:r>
      <w:r w:rsidR="007973A4">
        <w:instrText xml:space="preserve"> SEQ Table_A- \* ARABIC </w:instrText>
      </w:r>
      <w:r w:rsidR="007973A4">
        <w:fldChar w:fldCharType="separate"/>
      </w:r>
      <w:r w:rsidR="00037CB4">
        <w:rPr>
          <w:noProof/>
        </w:rPr>
        <w:t>114</w:t>
      </w:r>
      <w:r w:rsidR="007973A4">
        <w:rPr>
          <w:noProof/>
        </w:rPr>
        <w:fldChar w:fldCharType="end"/>
      </w:r>
      <w:bookmarkEnd w:id="1146"/>
      <w:r w:rsidRPr="003458B1">
        <w:t>: PE</w:t>
      </w:r>
      <w:r w:rsidR="009845FB">
        <w:t xml:space="preserve">CO’s PY7 Sampling Strategy – </w:t>
      </w:r>
      <w:r w:rsidRPr="003458B1">
        <w:t xml:space="preserve">SEI </w:t>
      </w:r>
      <w:r w:rsidR="009845FB">
        <w:t xml:space="preserve">GNI </w:t>
      </w:r>
      <w:r w:rsidRPr="003458B1">
        <w:t>Program</w:t>
      </w:r>
      <w:bookmarkEnd w:id="1145"/>
      <w:bookmarkEnd w:id="1147"/>
      <w:bookmarkEnd w:id="1148"/>
      <w:bookmarkEnd w:id="1149"/>
      <w:bookmarkEnd w:id="1150"/>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1350"/>
        <w:gridCol w:w="2520"/>
        <w:gridCol w:w="1980"/>
        <w:gridCol w:w="1800"/>
      </w:tblGrid>
      <w:tr w:rsidR="00A874AC" w:rsidRPr="00124B6E" w:rsidTr="00DC3249">
        <w:trPr>
          <w:trHeight w:val="765"/>
        </w:trPr>
        <w:tc>
          <w:tcPr>
            <w:tcW w:w="1700" w:type="dxa"/>
            <w:shd w:val="clear" w:color="000000" w:fill="448A99"/>
            <w:vAlign w:val="bottom"/>
            <w:hideMark/>
          </w:tcPr>
          <w:p w:rsidR="00014BAF" w:rsidRPr="00124B6E" w:rsidRDefault="00014BAF" w:rsidP="004F0C61">
            <w:pPr>
              <w:jc w:val="left"/>
              <w:rPr>
                <w:b/>
                <w:bCs/>
                <w:color w:val="FFFFFF"/>
                <w:sz w:val="19"/>
                <w:szCs w:val="19"/>
              </w:rPr>
            </w:pPr>
            <w:r w:rsidRPr="00124B6E">
              <w:rPr>
                <w:b/>
                <w:bCs/>
                <w:color w:val="FFFFFF"/>
                <w:sz w:val="19"/>
                <w:szCs w:val="19"/>
              </w:rPr>
              <w:t>Stratum</w:t>
            </w:r>
          </w:p>
        </w:tc>
        <w:tc>
          <w:tcPr>
            <w:tcW w:w="135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Population</w:t>
            </w:r>
          </w:p>
        </w:tc>
        <w:tc>
          <w:tcPr>
            <w:tcW w:w="252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Levels of Confidence &amp; Precision</w:t>
            </w:r>
          </w:p>
        </w:tc>
        <w:tc>
          <w:tcPr>
            <w:tcW w:w="198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Sample Size</w:t>
            </w:r>
          </w:p>
        </w:tc>
        <w:tc>
          <w:tcPr>
            <w:tcW w:w="180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Achieved Sample Size</w:t>
            </w:r>
          </w:p>
        </w:tc>
      </w:tr>
      <w:tr w:rsidR="00A874AC" w:rsidRPr="00124B6E" w:rsidTr="00DC3249">
        <w:trPr>
          <w:trHeight w:val="360"/>
        </w:trPr>
        <w:tc>
          <w:tcPr>
            <w:tcW w:w="1700" w:type="dxa"/>
            <w:shd w:val="clear" w:color="000000" w:fill="D2EAF1"/>
            <w:noWrap/>
            <w:vAlign w:val="center"/>
          </w:tcPr>
          <w:p w:rsidR="00014BAF" w:rsidRPr="00124B6E" w:rsidRDefault="00014BAF" w:rsidP="004F0C61">
            <w:pPr>
              <w:jc w:val="left"/>
              <w:rPr>
                <w:bCs/>
                <w:color w:val="000000"/>
                <w:sz w:val="19"/>
                <w:szCs w:val="19"/>
              </w:rPr>
            </w:pPr>
            <w:r w:rsidRPr="00124B6E">
              <w:rPr>
                <w:bCs/>
                <w:color w:val="000000"/>
                <w:sz w:val="19"/>
                <w:szCs w:val="19"/>
              </w:rPr>
              <w:t>Large</w:t>
            </w:r>
          </w:p>
        </w:tc>
        <w:tc>
          <w:tcPr>
            <w:tcW w:w="13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7</w:t>
            </w:r>
          </w:p>
        </w:tc>
        <w:tc>
          <w:tcPr>
            <w:tcW w:w="252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85%/15%</w:t>
            </w:r>
          </w:p>
        </w:tc>
        <w:tc>
          <w:tcPr>
            <w:tcW w:w="198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7</w:t>
            </w:r>
          </w:p>
        </w:tc>
        <w:tc>
          <w:tcPr>
            <w:tcW w:w="180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7</w:t>
            </w:r>
          </w:p>
        </w:tc>
      </w:tr>
      <w:tr w:rsidR="00E7173E" w:rsidRPr="00124B6E" w:rsidTr="00AF6BD2">
        <w:trPr>
          <w:trHeight w:val="360"/>
        </w:trPr>
        <w:tc>
          <w:tcPr>
            <w:tcW w:w="1700" w:type="dxa"/>
            <w:shd w:val="clear" w:color="auto" w:fill="auto"/>
            <w:noWrap/>
            <w:vAlign w:val="center"/>
          </w:tcPr>
          <w:p w:rsidR="00014BAF" w:rsidRPr="00124B6E" w:rsidRDefault="00014BAF" w:rsidP="004F0C61">
            <w:pPr>
              <w:jc w:val="left"/>
              <w:rPr>
                <w:bCs/>
                <w:color w:val="000000"/>
                <w:sz w:val="19"/>
                <w:szCs w:val="19"/>
              </w:rPr>
            </w:pPr>
            <w:r w:rsidRPr="00124B6E">
              <w:rPr>
                <w:bCs/>
                <w:color w:val="000000"/>
                <w:sz w:val="19"/>
                <w:szCs w:val="19"/>
              </w:rPr>
              <w:t>Medium</w:t>
            </w:r>
          </w:p>
        </w:tc>
        <w:tc>
          <w:tcPr>
            <w:tcW w:w="135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65</w:t>
            </w:r>
          </w:p>
        </w:tc>
        <w:tc>
          <w:tcPr>
            <w:tcW w:w="252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85%/15%</w:t>
            </w:r>
          </w:p>
        </w:tc>
        <w:tc>
          <w:tcPr>
            <w:tcW w:w="198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14</w:t>
            </w:r>
          </w:p>
        </w:tc>
        <w:tc>
          <w:tcPr>
            <w:tcW w:w="180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32</w:t>
            </w:r>
          </w:p>
        </w:tc>
      </w:tr>
      <w:tr w:rsidR="00A874AC" w:rsidRPr="00124B6E" w:rsidTr="00DC3249">
        <w:trPr>
          <w:trHeight w:val="360"/>
        </w:trPr>
        <w:tc>
          <w:tcPr>
            <w:tcW w:w="1700" w:type="dxa"/>
            <w:shd w:val="clear" w:color="000000" w:fill="D2EAF1"/>
            <w:noWrap/>
            <w:vAlign w:val="center"/>
          </w:tcPr>
          <w:p w:rsidR="00014BAF" w:rsidRPr="00124B6E" w:rsidRDefault="00014BAF" w:rsidP="004F0C61">
            <w:pPr>
              <w:jc w:val="left"/>
              <w:rPr>
                <w:bCs/>
                <w:color w:val="000000"/>
                <w:sz w:val="19"/>
                <w:szCs w:val="19"/>
              </w:rPr>
            </w:pPr>
            <w:r w:rsidRPr="00124B6E">
              <w:rPr>
                <w:bCs/>
                <w:color w:val="000000"/>
                <w:sz w:val="19"/>
                <w:szCs w:val="19"/>
              </w:rPr>
              <w:t>Small</w:t>
            </w:r>
          </w:p>
        </w:tc>
        <w:tc>
          <w:tcPr>
            <w:tcW w:w="13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371</w:t>
            </w:r>
          </w:p>
        </w:tc>
        <w:tc>
          <w:tcPr>
            <w:tcW w:w="252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85%/15%</w:t>
            </w:r>
          </w:p>
        </w:tc>
        <w:tc>
          <w:tcPr>
            <w:tcW w:w="198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14</w:t>
            </w:r>
          </w:p>
        </w:tc>
        <w:tc>
          <w:tcPr>
            <w:tcW w:w="180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14</w:t>
            </w:r>
          </w:p>
        </w:tc>
      </w:tr>
      <w:tr w:rsidR="00E7173E" w:rsidRPr="00124B6E" w:rsidTr="00AF6BD2">
        <w:trPr>
          <w:trHeight w:val="360"/>
        </w:trPr>
        <w:tc>
          <w:tcPr>
            <w:tcW w:w="1700" w:type="dxa"/>
            <w:shd w:val="clear" w:color="auto" w:fill="auto"/>
            <w:vAlign w:val="center"/>
          </w:tcPr>
          <w:p w:rsidR="00014BAF" w:rsidRPr="00124B6E" w:rsidRDefault="00014BAF" w:rsidP="004F0C61">
            <w:pPr>
              <w:jc w:val="left"/>
              <w:rPr>
                <w:bCs/>
                <w:color w:val="000000"/>
                <w:sz w:val="19"/>
                <w:szCs w:val="19"/>
              </w:rPr>
            </w:pPr>
            <w:r w:rsidRPr="00124B6E">
              <w:rPr>
                <w:bCs/>
                <w:color w:val="000000"/>
                <w:sz w:val="19"/>
                <w:szCs w:val="19"/>
              </w:rPr>
              <w:t>Municipal lighting</w:t>
            </w:r>
          </w:p>
        </w:tc>
        <w:tc>
          <w:tcPr>
            <w:tcW w:w="135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27</w:t>
            </w:r>
          </w:p>
        </w:tc>
        <w:tc>
          <w:tcPr>
            <w:tcW w:w="252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85%/15%</w:t>
            </w:r>
          </w:p>
        </w:tc>
        <w:tc>
          <w:tcPr>
            <w:tcW w:w="198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4</w:t>
            </w:r>
          </w:p>
        </w:tc>
        <w:tc>
          <w:tcPr>
            <w:tcW w:w="180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5</w:t>
            </w:r>
          </w:p>
        </w:tc>
      </w:tr>
      <w:tr w:rsidR="00A874AC" w:rsidRPr="00124B6E" w:rsidTr="00DC3249">
        <w:trPr>
          <w:trHeight w:val="360"/>
        </w:trPr>
        <w:tc>
          <w:tcPr>
            <w:tcW w:w="1700" w:type="dxa"/>
            <w:shd w:val="clear" w:color="000000" w:fill="D2EAF1"/>
            <w:noWrap/>
            <w:vAlign w:val="center"/>
          </w:tcPr>
          <w:p w:rsidR="00014BAF" w:rsidRPr="00124B6E" w:rsidRDefault="00014BAF" w:rsidP="004F0C61">
            <w:pPr>
              <w:jc w:val="left"/>
              <w:rPr>
                <w:b/>
                <w:bCs/>
                <w:color w:val="000000"/>
                <w:sz w:val="19"/>
                <w:szCs w:val="19"/>
              </w:rPr>
            </w:pPr>
            <w:r w:rsidRPr="00124B6E">
              <w:rPr>
                <w:b/>
                <w:bCs/>
                <w:color w:val="000000"/>
                <w:sz w:val="19"/>
                <w:szCs w:val="19"/>
              </w:rPr>
              <w:t>Program Total</w:t>
            </w:r>
          </w:p>
        </w:tc>
        <w:tc>
          <w:tcPr>
            <w:tcW w:w="1350" w:type="dxa"/>
            <w:shd w:val="clear" w:color="000000" w:fill="D2EAF1"/>
            <w:noWrap/>
            <w:vAlign w:val="center"/>
          </w:tcPr>
          <w:p w:rsidR="00014BAF" w:rsidRPr="00124B6E" w:rsidRDefault="00014BAF" w:rsidP="004F0C61">
            <w:pPr>
              <w:jc w:val="center"/>
              <w:rPr>
                <w:b/>
                <w:bCs/>
                <w:color w:val="000000"/>
                <w:sz w:val="19"/>
                <w:szCs w:val="19"/>
              </w:rPr>
            </w:pPr>
            <w:r w:rsidRPr="00124B6E">
              <w:rPr>
                <w:b/>
                <w:sz w:val="19"/>
                <w:szCs w:val="19"/>
              </w:rPr>
              <w:t>470</w:t>
            </w:r>
          </w:p>
        </w:tc>
        <w:tc>
          <w:tcPr>
            <w:tcW w:w="2520" w:type="dxa"/>
            <w:shd w:val="clear" w:color="000000" w:fill="D2EAF1"/>
            <w:noWrap/>
            <w:vAlign w:val="center"/>
          </w:tcPr>
          <w:p w:rsidR="00014BAF" w:rsidRPr="00124B6E" w:rsidRDefault="00014BAF" w:rsidP="004F0C61">
            <w:pPr>
              <w:jc w:val="center"/>
              <w:rPr>
                <w:b/>
                <w:bCs/>
                <w:color w:val="000000"/>
                <w:sz w:val="19"/>
                <w:szCs w:val="19"/>
              </w:rPr>
            </w:pPr>
            <w:r w:rsidRPr="00124B6E">
              <w:rPr>
                <w:b/>
                <w:color w:val="000000"/>
                <w:sz w:val="19"/>
                <w:szCs w:val="19"/>
              </w:rPr>
              <w:t>85%/15%</w:t>
            </w:r>
          </w:p>
        </w:tc>
        <w:tc>
          <w:tcPr>
            <w:tcW w:w="1980" w:type="dxa"/>
            <w:shd w:val="clear" w:color="000000" w:fill="D2EAF1"/>
            <w:noWrap/>
            <w:vAlign w:val="center"/>
          </w:tcPr>
          <w:p w:rsidR="00014BAF" w:rsidRPr="00124B6E" w:rsidRDefault="00014BAF" w:rsidP="004F0C61">
            <w:pPr>
              <w:jc w:val="center"/>
              <w:rPr>
                <w:b/>
                <w:bCs/>
                <w:color w:val="000000"/>
                <w:sz w:val="19"/>
                <w:szCs w:val="19"/>
              </w:rPr>
            </w:pPr>
            <w:r w:rsidRPr="00124B6E">
              <w:rPr>
                <w:b/>
                <w:sz w:val="19"/>
                <w:szCs w:val="19"/>
              </w:rPr>
              <w:t>39</w:t>
            </w:r>
          </w:p>
        </w:tc>
        <w:tc>
          <w:tcPr>
            <w:tcW w:w="1800" w:type="dxa"/>
            <w:shd w:val="clear" w:color="000000" w:fill="D2EAF1"/>
            <w:noWrap/>
            <w:vAlign w:val="center"/>
          </w:tcPr>
          <w:p w:rsidR="00014BAF" w:rsidRPr="00124B6E" w:rsidRDefault="00014BAF" w:rsidP="004F0C61">
            <w:pPr>
              <w:jc w:val="center"/>
              <w:rPr>
                <w:b/>
                <w:bCs/>
                <w:color w:val="000000"/>
                <w:sz w:val="19"/>
                <w:szCs w:val="19"/>
              </w:rPr>
            </w:pPr>
            <w:r w:rsidRPr="00124B6E">
              <w:rPr>
                <w:b/>
                <w:sz w:val="19"/>
                <w:szCs w:val="19"/>
              </w:rPr>
              <w:t>58</w:t>
            </w:r>
          </w:p>
        </w:tc>
      </w:tr>
    </w:tbl>
    <w:p w:rsidR="00014BAF" w:rsidRPr="003458B1" w:rsidRDefault="00014BAF" w:rsidP="00014BAF"/>
    <w:p w:rsidR="00014BAF" w:rsidRPr="003458B1" w:rsidRDefault="00014BAF" w:rsidP="00014BAF">
      <w:r w:rsidRPr="003458B1">
        <w:t xml:space="preserve">The achieved precision values for both energy and demand are listed in </w:t>
      </w:r>
      <w:r w:rsidRPr="003458B1">
        <w:fldChar w:fldCharType="begin"/>
      </w:r>
      <w:r w:rsidRPr="003458B1">
        <w:instrText xml:space="preserve"> REF _Ref441830816 \h  \* MERGEFORMAT </w:instrText>
      </w:r>
      <w:r w:rsidRPr="003458B1">
        <w:fldChar w:fldCharType="separate"/>
      </w:r>
      <w:r w:rsidR="00037CB4" w:rsidRPr="003458B1">
        <w:t>Table A-</w:t>
      </w:r>
      <w:r w:rsidR="00037CB4">
        <w:t>115</w:t>
      </w:r>
      <w:r w:rsidRPr="003458B1">
        <w:fldChar w:fldCharType="end"/>
      </w:r>
      <w:r w:rsidRPr="003458B1">
        <w:t>. The results show that the samples represented the population in this program effectively and that the precision target was met.</w:t>
      </w:r>
    </w:p>
    <w:p w:rsidR="00014BAF" w:rsidRDefault="00014BAF" w:rsidP="00014BAF">
      <w:bookmarkStart w:id="1151" w:name="_Ref440268790"/>
      <w:bookmarkStart w:id="1152" w:name="_Toc410199397"/>
      <w:bookmarkStart w:id="1153" w:name="_Toc431462379"/>
    </w:p>
    <w:p w:rsidR="00DC3249" w:rsidRPr="003458B1" w:rsidRDefault="00DC3249" w:rsidP="00014BAF"/>
    <w:p w:rsidR="00014BAF" w:rsidRPr="003458B1" w:rsidRDefault="00014BAF" w:rsidP="004837FA">
      <w:pPr>
        <w:pStyle w:val="Caption"/>
      </w:pPr>
      <w:bookmarkStart w:id="1154" w:name="_Ref441830816"/>
      <w:bookmarkStart w:id="1155" w:name="_Toc444269905"/>
      <w:bookmarkStart w:id="1156" w:name="_Toc472472524"/>
      <w:bookmarkStart w:id="1157" w:name="_Toc488741943"/>
      <w:r w:rsidRPr="003458B1">
        <w:t>Table A-</w:t>
      </w:r>
      <w:r w:rsidR="007973A4">
        <w:fldChar w:fldCharType="begin"/>
      </w:r>
      <w:r w:rsidR="007973A4">
        <w:instrText xml:space="preserve"> SEQ Table_A- \* ARABIC </w:instrText>
      </w:r>
      <w:r w:rsidR="007973A4">
        <w:fldChar w:fldCharType="separate"/>
      </w:r>
      <w:r w:rsidR="00037CB4">
        <w:rPr>
          <w:noProof/>
        </w:rPr>
        <w:t>115</w:t>
      </w:r>
      <w:r w:rsidR="007973A4">
        <w:rPr>
          <w:noProof/>
        </w:rPr>
        <w:fldChar w:fldCharType="end"/>
      </w:r>
      <w:bookmarkEnd w:id="1151"/>
      <w:bookmarkEnd w:id="1154"/>
      <w:r w:rsidRPr="003458B1">
        <w:t xml:space="preserve">: Observed Coefficients of Variation and Relative Precisions – PECO’s </w:t>
      </w:r>
      <w:r w:rsidR="009845FB">
        <w:t xml:space="preserve">SEI </w:t>
      </w:r>
      <w:r w:rsidRPr="003458B1">
        <w:t>GNI Program</w:t>
      </w:r>
      <w:bookmarkEnd w:id="1152"/>
      <w:bookmarkEnd w:id="1153"/>
      <w:bookmarkEnd w:id="1155"/>
      <w:bookmarkEnd w:id="1156"/>
      <w:bookmarkEnd w:id="1157"/>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30"/>
        <w:gridCol w:w="2430"/>
        <w:gridCol w:w="1440"/>
        <w:gridCol w:w="2250"/>
        <w:gridCol w:w="1710"/>
      </w:tblGrid>
      <w:tr w:rsidR="00A874AC" w:rsidRPr="00124B6E" w:rsidTr="00DC3249">
        <w:trPr>
          <w:trHeight w:val="1015"/>
        </w:trPr>
        <w:tc>
          <w:tcPr>
            <w:tcW w:w="1530" w:type="dxa"/>
            <w:shd w:val="clear" w:color="000000" w:fill="448A99"/>
            <w:vAlign w:val="bottom"/>
            <w:hideMark/>
          </w:tcPr>
          <w:p w:rsidR="00014BAF" w:rsidRPr="00124B6E" w:rsidRDefault="00014BAF" w:rsidP="004F0C61">
            <w:pPr>
              <w:jc w:val="left"/>
              <w:rPr>
                <w:b/>
                <w:bCs/>
                <w:color w:val="FFFFFF"/>
                <w:sz w:val="19"/>
                <w:szCs w:val="19"/>
              </w:rPr>
            </w:pPr>
            <w:r w:rsidRPr="00124B6E">
              <w:rPr>
                <w:b/>
                <w:bCs/>
                <w:color w:val="FFFFFF"/>
                <w:sz w:val="19"/>
                <w:szCs w:val="19"/>
              </w:rPr>
              <w:t>Stratum</w:t>
            </w:r>
          </w:p>
        </w:tc>
        <w:tc>
          <w:tcPr>
            <w:tcW w:w="243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Energy</w:t>
            </w:r>
          </w:p>
        </w:tc>
        <w:tc>
          <w:tcPr>
            <w:tcW w:w="144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Energy</w:t>
            </w:r>
          </w:p>
        </w:tc>
        <w:tc>
          <w:tcPr>
            <w:tcW w:w="225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Demand</w:t>
            </w:r>
          </w:p>
        </w:tc>
        <w:tc>
          <w:tcPr>
            <w:tcW w:w="171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Demand</w:t>
            </w:r>
          </w:p>
        </w:tc>
      </w:tr>
      <w:tr w:rsidR="00A874AC" w:rsidRPr="00124B6E" w:rsidTr="00DC3249">
        <w:trPr>
          <w:trHeight w:val="360"/>
        </w:trPr>
        <w:tc>
          <w:tcPr>
            <w:tcW w:w="1530" w:type="dxa"/>
            <w:shd w:val="clear" w:color="000000" w:fill="D2EAF1"/>
            <w:noWrap/>
            <w:vAlign w:val="center"/>
          </w:tcPr>
          <w:p w:rsidR="00014BAF" w:rsidRPr="00124B6E" w:rsidRDefault="00014BAF" w:rsidP="004F0C61">
            <w:pPr>
              <w:jc w:val="left"/>
              <w:rPr>
                <w:bCs/>
                <w:color w:val="000000"/>
                <w:sz w:val="19"/>
                <w:szCs w:val="19"/>
              </w:rPr>
            </w:pPr>
            <w:r w:rsidRPr="00124B6E">
              <w:rPr>
                <w:bCs/>
                <w:color w:val="000000"/>
                <w:sz w:val="19"/>
                <w:szCs w:val="19"/>
              </w:rPr>
              <w:t>Large</w:t>
            </w:r>
          </w:p>
        </w:tc>
        <w:tc>
          <w:tcPr>
            <w:tcW w:w="243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0.10</w:t>
            </w:r>
          </w:p>
        </w:tc>
        <w:tc>
          <w:tcPr>
            <w:tcW w:w="144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0%</w:t>
            </w:r>
          </w:p>
        </w:tc>
        <w:tc>
          <w:tcPr>
            <w:tcW w:w="22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0.19</w:t>
            </w:r>
          </w:p>
        </w:tc>
        <w:tc>
          <w:tcPr>
            <w:tcW w:w="171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0%</w:t>
            </w:r>
          </w:p>
        </w:tc>
      </w:tr>
      <w:tr w:rsidR="00E7173E" w:rsidRPr="00124B6E" w:rsidTr="00AF6BD2">
        <w:trPr>
          <w:trHeight w:val="360"/>
        </w:trPr>
        <w:tc>
          <w:tcPr>
            <w:tcW w:w="1530" w:type="dxa"/>
            <w:shd w:val="clear" w:color="auto" w:fill="auto"/>
            <w:noWrap/>
            <w:vAlign w:val="center"/>
          </w:tcPr>
          <w:p w:rsidR="00014BAF" w:rsidRPr="00124B6E" w:rsidRDefault="00014BAF" w:rsidP="004F0C61">
            <w:pPr>
              <w:jc w:val="left"/>
              <w:rPr>
                <w:bCs/>
                <w:color w:val="000000"/>
                <w:sz w:val="19"/>
                <w:szCs w:val="19"/>
              </w:rPr>
            </w:pPr>
            <w:r w:rsidRPr="00124B6E">
              <w:rPr>
                <w:bCs/>
                <w:color w:val="000000"/>
                <w:sz w:val="19"/>
                <w:szCs w:val="19"/>
              </w:rPr>
              <w:t>Medium</w:t>
            </w:r>
          </w:p>
        </w:tc>
        <w:tc>
          <w:tcPr>
            <w:tcW w:w="243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0.20</w:t>
            </w:r>
          </w:p>
        </w:tc>
        <w:tc>
          <w:tcPr>
            <w:tcW w:w="144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4%</w:t>
            </w:r>
          </w:p>
        </w:tc>
        <w:tc>
          <w:tcPr>
            <w:tcW w:w="225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0.71</w:t>
            </w:r>
          </w:p>
        </w:tc>
        <w:tc>
          <w:tcPr>
            <w:tcW w:w="171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13%</w:t>
            </w:r>
          </w:p>
        </w:tc>
      </w:tr>
      <w:tr w:rsidR="00A874AC" w:rsidRPr="00124B6E" w:rsidTr="00DC3249">
        <w:trPr>
          <w:trHeight w:val="360"/>
        </w:trPr>
        <w:tc>
          <w:tcPr>
            <w:tcW w:w="1530" w:type="dxa"/>
            <w:shd w:val="clear" w:color="000000" w:fill="D2EAF1"/>
            <w:noWrap/>
            <w:vAlign w:val="center"/>
          </w:tcPr>
          <w:p w:rsidR="00014BAF" w:rsidRPr="00124B6E" w:rsidRDefault="00014BAF" w:rsidP="004F0C61">
            <w:pPr>
              <w:jc w:val="left"/>
              <w:rPr>
                <w:bCs/>
                <w:color w:val="000000"/>
                <w:sz w:val="19"/>
                <w:szCs w:val="19"/>
              </w:rPr>
            </w:pPr>
            <w:r w:rsidRPr="00124B6E">
              <w:rPr>
                <w:bCs/>
                <w:color w:val="000000"/>
                <w:sz w:val="19"/>
                <w:szCs w:val="19"/>
              </w:rPr>
              <w:t>Small</w:t>
            </w:r>
          </w:p>
        </w:tc>
        <w:tc>
          <w:tcPr>
            <w:tcW w:w="243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0.84</w:t>
            </w:r>
          </w:p>
        </w:tc>
        <w:tc>
          <w:tcPr>
            <w:tcW w:w="144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34%</w:t>
            </w:r>
          </w:p>
        </w:tc>
        <w:tc>
          <w:tcPr>
            <w:tcW w:w="22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0.50</w:t>
            </w:r>
          </w:p>
        </w:tc>
        <w:tc>
          <w:tcPr>
            <w:tcW w:w="171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21%</w:t>
            </w:r>
          </w:p>
        </w:tc>
      </w:tr>
      <w:tr w:rsidR="00E7173E" w:rsidRPr="00124B6E" w:rsidTr="00AF6BD2">
        <w:trPr>
          <w:trHeight w:val="360"/>
        </w:trPr>
        <w:tc>
          <w:tcPr>
            <w:tcW w:w="1530" w:type="dxa"/>
            <w:shd w:val="clear" w:color="auto" w:fill="auto"/>
            <w:vAlign w:val="center"/>
          </w:tcPr>
          <w:p w:rsidR="00014BAF" w:rsidRPr="00124B6E" w:rsidRDefault="00014BAF" w:rsidP="004F0C61">
            <w:pPr>
              <w:jc w:val="left"/>
              <w:rPr>
                <w:bCs/>
                <w:color w:val="000000"/>
                <w:sz w:val="19"/>
                <w:szCs w:val="19"/>
              </w:rPr>
            </w:pPr>
            <w:r w:rsidRPr="00124B6E">
              <w:rPr>
                <w:bCs/>
                <w:color w:val="000000"/>
                <w:sz w:val="19"/>
                <w:szCs w:val="19"/>
              </w:rPr>
              <w:t>Municipal lighting</w:t>
            </w:r>
          </w:p>
        </w:tc>
        <w:tc>
          <w:tcPr>
            <w:tcW w:w="243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0.00</w:t>
            </w:r>
          </w:p>
        </w:tc>
        <w:tc>
          <w:tcPr>
            <w:tcW w:w="144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0%</w:t>
            </w:r>
          </w:p>
        </w:tc>
        <w:tc>
          <w:tcPr>
            <w:tcW w:w="225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N/A</w:t>
            </w:r>
          </w:p>
        </w:tc>
        <w:tc>
          <w:tcPr>
            <w:tcW w:w="171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0%</w:t>
            </w:r>
          </w:p>
        </w:tc>
      </w:tr>
      <w:tr w:rsidR="00A874AC" w:rsidRPr="00124B6E" w:rsidTr="00DC3249">
        <w:trPr>
          <w:trHeight w:val="360"/>
        </w:trPr>
        <w:tc>
          <w:tcPr>
            <w:tcW w:w="1530" w:type="dxa"/>
            <w:shd w:val="clear" w:color="000000" w:fill="D2EAF1"/>
            <w:noWrap/>
            <w:vAlign w:val="center"/>
          </w:tcPr>
          <w:p w:rsidR="00014BAF" w:rsidRPr="00124B6E" w:rsidRDefault="00014BAF" w:rsidP="004F0C61">
            <w:pPr>
              <w:jc w:val="left"/>
              <w:rPr>
                <w:b/>
                <w:bCs/>
                <w:color w:val="000000"/>
                <w:sz w:val="19"/>
                <w:szCs w:val="19"/>
              </w:rPr>
            </w:pPr>
            <w:r w:rsidRPr="00124B6E">
              <w:rPr>
                <w:b/>
                <w:bCs/>
                <w:color w:val="000000"/>
                <w:sz w:val="19"/>
                <w:szCs w:val="19"/>
              </w:rPr>
              <w:t>Program Total</w:t>
            </w:r>
          </w:p>
        </w:tc>
        <w:tc>
          <w:tcPr>
            <w:tcW w:w="2430" w:type="dxa"/>
            <w:shd w:val="clear" w:color="000000" w:fill="D2EAF1"/>
            <w:noWrap/>
            <w:vAlign w:val="center"/>
          </w:tcPr>
          <w:p w:rsidR="00014BAF" w:rsidRPr="00124B6E" w:rsidRDefault="00014BAF" w:rsidP="004F0C61">
            <w:pPr>
              <w:jc w:val="center"/>
              <w:rPr>
                <w:b/>
                <w:bCs/>
                <w:color w:val="000000"/>
                <w:sz w:val="19"/>
                <w:szCs w:val="19"/>
              </w:rPr>
            </w:pPr>
          </w:p>
        </w:tc>
        <w:tc>
          <w:tcPr>
            <w:tcW w:w="1440" w:type="dxa"/>
            <w:shd w:val="clear" w:color="000000" w:fill="D2EAF1"/>
            <w:noWrap/>
            <w:vAlign w:val="center"/>
          </w:tcPr>
          <w:p w:rsidR="00014BAF" w:rsidRPr="00124B6E" w:rsidRDefault="00014BAF" w:rsidP="004F0C61">
            <w:pPr>
              <w:jc w:val="center"/>
              <w:rPr>
                <w:b/>
                <w:bCs/>
                <w:color w:val="000000"/>
                <w:sz w:val="19"/>
                <w:szCs w:val="19"/>
              </w:rPr>
            </w:pPr>
            <w:r w:rsidRPr="00124B6E">
              <w:rPr>
                <w:b/>
                <w:sz w:val="19"/>
                <w:szCs w:val="19"/>
              </w:rPr>
              <w:t>7%</w:t>
            </w:r>
          </w:p>
        </w:tc>
        <w:tc>
          <w:tcPr>
            <w:tcW w:w="2250" w:type="dxa"/>
            <w:shd w:val="clear" w:color="000000" w:fill="D2EAF1"/>
            <w:noWrap/>
            <w:vAlign w:val="center"/>
          </w:tcPr>
          <w:p w:rsidR="00014BAF" w:rsidRPr="00124B6E" w:rsidRDefault="00014BAF" w:rsidP="004F0C61">
            <w:pPr>
              <w:jc w:val="center"/>
              <w:rPr>
                <w:b/>
                <w:bCs/>
                <w:color w:val="000000"/>
                <w:sz w:val="19"/>
                <w:szCs w:val="19"/>
              </w:rPr>
            </w:pPr>
          </w:p>
        </w:tc>
        <w:tc>
          <w:tcPr>
            <w:tcW w:w="1710" w:type="dxa"/>
            <w:shd w:val="clear" w:color="000000" w:fill="D2EAF1"/>
            <w:noWrap/>
            <w:vAlign w:val="center"/>
          </w:tcPr>
          <w:p w:rsidR="00014BAF" w:rsidRPr="00124B6E" w:rsidRDefault="00014BAF" w:rsidP="004F0C61">
            <w:pPr>
              <w:jc w:val="center"/>
              <w:rPr>
                <w:b/>
                <w:bCs/>
                <w:color w:val="000000"/>
                <w:sz w:val="19"/>
                <w:szCs w:val="19"/>
              </w:rPr>
            </w:pPr>
            <w:r w:rsidRPr="00124B6E">
              <w:rPr>
                <w:b/>
                <w:color w:val="000000"/>
                <w:sz w:val="19"/>
                <w:szCs w:val="19"/>
              </w:rPr>
              <w:t>6%</w:t>
            </w:r>
          </w:p>
        </w:tc>
      </w:tr>
    </w:tbl>
    <w:p w:rsidR="00014BAF" w:rsidRPr="003458B1" w:rsidRDefault="00014BAF" w:rsidP="00014BAF"/>
    <w:p w:rsidR="00014BAF" w:rsidRPr="003458B1" w:rsidRDefault="00014BAF" w:rsidP="008C7396">
      <w:pPr>
        <w:pStyle w:val="AppendixAHeading5"/>
      </w:pPr>
      <w:r w:rsidRPr="003458B1">
        <w:t>Smart Construction Incentives Program</w:t>
      </w:r>
    </w:p>
    <w:p w:rsidR="00014BAF" w:rsidRPr="003458B1" w:rsidRDefault="00014BAF" w:rsidP="00014BAF">
      <w:r w:rsidRPr="003458B1">
        <w:t>The sample design for this program used a stratified random sampling approach at the project level. Samples were pulled from the population of prog</w:t>
      </w:r>
      <w:r>
        <w:t>ram participants in the program-</w:t>
      </w:r>
      <w:r w:rsidRPr="003458B1">
        <w:t xml:space="preserve">tracking database. Navigant was forced to modify </w:t>
      </w:r>
      <w:r>
        <w:t>its</w:t>
      </w:r>
      <w:r w:rsidRPr="003458B1">
        <w:t xml:space="preserve"> initial sampling approach due to issues with several Q4 projects. According to PECO’s PY7 </w:t>
      </w:r>
      <w:r>
        <w:t>a</w:t>
      </w:r>
      <w:r w:rsidRPr="003458B1">
        <w:t xml:space="preserve">nnual </w:t>
      </w:r>
      <w:r>
        <w:t>r</w:t>
      </w:r>
      <w:r w:rsidRPr="003458B1">
        <w:t>eport</w:t>
      </w:r>
      <w:r>
        <w:t>,</w:t>
      </w:r>
      <w:r w:rsidRPr="003458B1">
        <w:t xml:space="preserve"> “While conducting site visits on several Q4 projects, Navigant found that five of 10 visited sites were either not fully complete or not fully occupied, despite having passed the TRM-mandated deadline for completion and occupancy to be counted towards Phase II… Navigant determined that the best course of action for extrapolating the realization rates related to this finding to the entire PY7 population would be to create separate strata for Q4 and dead-zone (DZ) projects, as project incompletion was not an issue in any of the visited Q1, Q2, or Q3 sites. DZ projects are those that were completed in Q4, but too late to be included in the standard final program quarterly data extract for sampling.</w:t>
      </w:r>
      <w:r>
        <w:t>”</w:t>
      </w:r>
      <w:r w:rsidRPr="003458B1">
        <w:t xml:space="preserve"> The modified sampling strategy used in PY7 for this program is shown in </w:t>
      </w:r>
      <w:r w:rsidRPr="003458B1">
        <w:fldChar w:fldCharType="begin"/>
      </w:r>
      <w:r w:rsidRPr="003458B1">
        <w:instrText xml:space="preserve"> REF _Ref440268450 \h  \* MERGEFORMAT </w:instrText>
      </w:r>
      <w:r w:rsidRPr="003458B1">
        <w:fldChar w:fldCharType="separate"/>
      </w:r>
      <w:r w:rsidR="00037CB4" w:rsidRPr="003458B1">
        <w:t>Table A-</w:t>
      </w:r>
      <w:r w:rsidR="00037CB4">
        <w:t>116</w:t>
      </w:r>
      <w:r w:rsidRPr="003458B1">
        <w:fldChar w:fldCharType="end"/>
      </w:r>
      <w:r w:rsidRPr="003458B1">
        <w:t>.</w:t>
      </w:r>
    </w:p>
    <w:p w:rsidR="00014BAF" w:rsidRPr="003458B1" w:rsidRDefault="00014BAF" w:rsidP="00014BAF"/>
    <w:p w:rsidR="00014BAF" w:rsidRPr="003458B1" w:rsidRDefault="00014BAF" w:rsidP="004837FA">
      <w:pPr>
        <w:pStyle w:val="Caption"/>
      </w:pPr>
      <w:bookmarkStart w:id="1158" w:name="_Ref440268450"/>
      <w:bookmarkStart w:id="1159" w:name="_Toc410199390"/>
      <w:bookmarkStart w:id="1160" w:name="_Toc431462372"/>
      <w:bookmarkStart w:id="1161" w:name="_Toc444269898"/>
      <w:bookmarkStart w:id="1162" w:name="_Toc472472525"/>
      <w:bookmarkStart w:id="1163" w:name="_Toc488741944"/>
      <w:r w:rsidRPr="003458B1">
        <w:t>Table A-</w:t>
      </w:r>
      <w:r w:rsidR="007973A4">
        <w:fldChar w:fldCharType="begin"/>
      </w:r>
      <w:r w:rsidR="007973A4">
        <w:instrText xml:space="preserve"> SEQ Table_A- \* ARABIC </w:instrText>
      </w:r>
      <w:r w:rsidR="007973A4">
        <w:fldChar w:fldCharType="separate"/>
      </w:r>
      <w:r w:rsidR="00037CB4">
        <w:rPr>
          <w:noProof/>
        </w:rPr>
        <w:t>116</w:t>
      </w:r>
      <w:r w:rsidR="007973A4">
        <w:rPr>
          <w:noProof/>
        </w:rPr>
        <w:fldChar w:fldCharType="end"/>
      </w:r>
      <w:bookmarkEnd w:id="1158"/>
      <w:r w:rsidRPr="003458B1">
        <w:t>: PECO’s PY7 Sampling Strategy – SCI Program</w:t>
      </w:r>
      <w:bookmarkEnd w:id="1159"/>
      <w:bookmarkEnd w:id="1160"/>
      <w:bookmarkEnd w:id="1161"/>
      <w:bookmarkEnd w:id="1162"/>
      <w:bookmarkEnd w:id="1163"/>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1350"/>
        <w:gridCol w:w="2610"/>
        <w:gridCol w:w="1894"/>
        <w:gridCol w:w="1796"/>
      </w:tblGrid>
      <w:tr w:rsidR="00A874AC" w:rsidRPr="00124B6E" w:rsidTr="00DC3249">
        <w:trPr>
          <w:trHeight w:val="765"/>
        </w:trPr>
        <w:tc>
          <w:tcPr>
            <w:tcW w:w="1700" w:type="dxa"/>
            <w:shd w:val="clear" w:color="000000" w:fill="448A99"/>
            <w:vAlign w:val="bottom"/>
            <w:hideMark/>
          </w:tcPr>
          <w:p w:rsidR="00014BAF" w:rsidRPr="00124B6E" w:rsidRDefault="00014BAF" w:rsidP="004F0C61">
            <w:pPr>
              <w:jc w:val="left"/>
              <w:rPr>
                <w:b/>
                <w:bCs/>
                <w:color w:val="FFFFFF"/>
                <w:sz w:val="19"/>
                <w:szCs w:val="19"/>
              </w:rPr>
            </w:pPr>
            <w:r w:rsidRPr="00124B6E">
              <w:rPr>
                <w:b/>
                <w:bCs/>
                <w:color w:val="FFFFFF"/>
                <w:sz w:val="19"/>
                <w:szCs w:val="19"/>
              </w:rPr>
              <w:t>Stratum</w:t>
            </w:r>
          </w:p>
        </w:tc>
        <w:tc>
          <w:tcPr>
            <w:tcW w:w="135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Population</w:t>
            </w:r>
          </w:p>
        </w:tc>
        <w:tc>
          <w:tcPr>
            <w:tcW w:w="261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Levels of Confidence &amp; Precision (before breaking out DZ)</w:t>
            </w:r>
          </w:p>
        </w:tc>
        <w:tc>
          <w:tcPr>
            <w:tcW w:w="1894"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Sample Size (before breaking out DZ)</w:t>
            </w:r>
          </w:p>
        </w:tc>
        <w:tc>
          <w:tcPr>
            <w:tcW w:w="1796"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Achieved Sample Size</w:t>
            </w:r>
          </w:p>
        </w:tc>
      </w:tr>
      <w:tr w:rsidR="00A874AC" w:rsidRPr="00124B6E" w:rsidTr="00DC3249">
        <w:trPr>
          <w:trHeight w:val="346"/>
        </w:trPr>
        <w:tc>
          <w:tcPr>
            <w:tcW w:w="1700" w:type="dxa"/>
            <w:shd w:val="clear" w:color="000000" w:fill="D2EAF1"/>
            <w:noWrap/>
            <w:vAlign w:val="center"/>
          </w:tcPr>
          <w:p w:rsidR="00014BAF" w:rsidRPr="00124B6E" w:rsidRDefault="00014BAF" w:rsidP="004F0C61">
            <w:pPr>
              <w:jc w:val="left"/>
              <w:rPr>
                <w:bCs/>
                <w:color w:val="000000"/>
                <w:sz w:val="19"/>
                <w:szCs w:val="19"/>
              </w:rPr>
            </w:pPr>
            <w:r w:rsidRPr="00124B6E">
              <w:rPr>
                <w:sz w:val="19"/>
                <w:szCs w:val="19"/>
              </w:rPr>
              <w:t>Large Q1–Q3</w:t>
            </w:r>
          </w:p>
        </w:tc>
        <w:tc>
          <w:tcPr>
            <w:tcW w:w="13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13</w:t>
            </w:r>
          </w:p>
        </w:tc>
        <w:tc>
          <w:tcPr>
            <w:tcW w:w="2610" w:type="dxa"/>
            <w:vMerge w:val="restart"/>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85%/15%</w:t>
            </w:r>
          </w:p>
        </w:tc>
        <w:tc>
          <w:tcPr>
            <w:tcW w:w="1894" w:type="dxa"/>
            <w:vMerge w:val="restart"/>
            <w:shd w:val="clear" w:color="auto" w:fill="auto"/>
            <w:noWrap/>
            <w:vAlign w:val="center"/>
          </w:tcPr>
          <w:p w:rsidR="00014BAF" w:rsidRPr="00124B6E" w:rsidRDefault="00014BAF" w:rsidP="004F0C61">
            <w:pPr>
              <w:jc w:val="center"/>
              <w:rPr>
                <w:color w:val="000000"/>
                <w:sz w:val="19"/>
                <w:szCs w:val="19"/>
              </w:rPr>
            </w:pPr>
            <w:r w:rsidRPr="00124B6E">
              <w:rPr>
                <w:sz w:val="19"/>
                <w:szCs w:val="19"/>
              </w:rPr>
              <w:t>11</w:t>
            </w:r>
          </w:p>
        </w:tc>
        <w:tc>
          <w:tcPr>
            <w:tcW w:w="1796"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7</w:t>
            </w:r>
          </w:p>
        </w:tc>
      </w:tr>
      <w:tr w:rsidR="00E7173E" w:rsidRPr="00124B6E" w:rsidTr="00AF6BD2">
        <w:trPr>
          <w:trHeight w:val="346"/>
        </w:trPr>
        <w:tc>
          <w:tcPr>
            <w:tcW w:w="1700" w:type="dxa"/>
            <w:shd w:val="clear" w:color="auto" w:fill="auto"/>
            <w:noWrap/>
            <w:vAlign w:val="center"/>
          </w:tcPr>
          <w:p w:rsidR="00014BAF" w:rsidRPr="00124B6E" w:rsidRDefault="00014BAF" w:rsidP="004F0C61">
            <w:pPr>
              <w:jc w:val="left"/>
              <w:rPr>
                <w:bCs/>
                <w:color w:val="000000"/>
                <w:sz w:val="19"/>
                <w:szCs w:val="19"/>
              </w:rPr>
            </w:pPr>
            <w:r w:rsidRPr="00124B6E">
              <w:rPr>
                <w:sz w:val="19"/>
                <w:szCs w:val="19"/>
              </w:rPr>
              <w:t>Large Q4–DZ</w:t>
            </w:r>
          </w:p>
        </w:tc>
        <w:tc>
          <w:tcPr>
            <w:tcW w:w="135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13</w:t>
            </w:r>
          </w:p>
        </w:tc>
        <w:tc>
          <w:tcPr>
            <w:tcW w:w="2610" w:type="dxa"/>
            <w:vMerge/>
            <w:shd w:val="clear" w:color="auto" w:fill="auto"/>
            <w:noWrap/>
            <w:vAlign w:val="center"/>
          </w:tcPr>
          <w:p w:rsidR="00014BAF" w:rsidRPr="00124B6E" w:rsidRDefault="00014BAF" w:rsidP="004F0C61">
            <w:pPr>
              <w:jc w:val="center"/>
              <w:rPr>
                <w:color w:val="000000"/>
                <w:sz w:val="19"/>
                <w:szCs w:val="19"/>
              </w:rPr>
            </w:pPr>
          </w:p>
        </w:tc>
        <w:tc>
          <w:tcPr>
            <w:tcW w:w="1894" w:type="dxa"/>
            <w:vMerge/>
            <w:shd w:val="clear" w:color="auto" w:fill="auto"/>
            <w:noWrap/>
            <w:vAlign w:val="center"/>
          </w:tcPr>
          <w:p w:rsidR="00014BAF" w:rsidRPr="00124B6E" w:rsidRDefault="00014BAF" w:rsidP="004F0C61">
            <w:pPr>
              <w:jc w:val="center"/>
              <w:rPr>
                <w:color w:val="000000"/>
                <w:sz w:val="19"/>
                <w:szCs w:val="19"/>
              </w:rPr>
            </w:pPr>
          </w:p>
        </w:tc>
        <w:tc>
          <w:tcPr>
            <w:tcW w:w="1796"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3</w:t>
            </w:r>
          </w:p>
        </w:tc>
      </w:tr>
      <w:tr w:rsidR="00A874AC" w:rsidRPr="00124B6E" w:rsidTr="008C7396">
        <w:trPr>
          <w:trHeight w:val="346"/>
        </w:trPr>
        <w:tc>
          <w:tcPr>
            <w:tcW w:w="1700" w:type="dxa"/>
            <w:shd w:val="clear" w:color="000000" w:fill="D2EAF1"/>
            <w:noWrap/>
            <w:vAlign w:val="center"/>
          </w:tcPr>
          <w:p w:rsidR="00014BAF" w:rsidRPr="00124B6E" w:rsidRDefault="00014BAF" w:rsidP="004F0C61">
            <w:pPr>
              <w:jc w:val="left"/>
              <w:rPr>
                <w:bCs/>
                <w:color w:val="000000"/>
                <w:sz w:val="19"/>
                <w:szCs w:val="19"/>
              </w:rPr>
            </w:pPr>
            <w:r w:rsidRPr="00124B6E">
              <w:rPr>
                <w:sz w:val="19"/>
                <w:szCs w:val="19"/>
              </w:rPr>
              <w:t>Small Q1–Q3</w:t>
            </w:r>
          </w:p>
        </w:tc>
        <w:tc>
          <w:tcPr>
            <w:tcW w:w="13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80</w:t>
            </w:r>
          </w:p>
        </w:tc>
        <w:tc>
          <w:tcPr>
            <w:tcW w:w="2610" w:type="dxa"/>
            <w:vMerge w:val="restart"/>
            <w:shd w:val="clear" w:color="auto" w:fill="D2EAF1"/>
            <w:noWrap/>
            <w:vAlign w:val="center"/>
          </w:tcPr>
          <w:p w:rsidR="00014BAF" w:rsidRPr="00124B6E" w:rsidRDefault="00014BAF" w:rsidP="004F0C61">
            <w:pPr>
              <w:jc w:val="center"/>
              <w:rPr>
                <w:color w:val="000000"/>
                <w:sz w:val="19"/>
                <w:szCs w:val="19"/>
              </w:rPr>
            </w:pPr>
            <w:r w:rsidRPr="00124B6E">
              <w:rPr>
                <w:color w:val="000000"/>
                <w:sz w:val="19"/>
                <w:szCs w:val="19"/>
              </w:rPr>
              <w:t>85%/15%</w:t>
            </w:r>
          </w:p>
        </w:tc>
        <w:tc>
          <w:tcPr>
            <w:tcW w:w="1894" w:type="dxa"/>
            <w:vMerge w:val="restart"/>
            <w:shd w:val="clear" w:color="auto" w:fill="D2EAF1"/>
            <w:noWrap/>
            <w:vAlign w:val="center"/>
          </w:tcPr>
          <w:p w:rsidR="00014BAF" w:rsidRPr="00124B6E" w:rsidRDefault="00014BAF" w:rsidP="004F0C61">
            <w:pPr>
              <w:jc w:val="center"/>
              <w:rPr>
                <w:color w:val="000000"/>
                <w:sz w:val="19"/>
                <w:szCs w:val="19"/>
              </w:rPr>
            </w:pPr>
            <w:r w:rsidRPr="00124B6E">
              <w:rPr>
                <w:sz w:val="19"/>
                <w:szCs w:val="19"/>
              </w:rPr>
              <w:t>13</w:t>
            </w:r>
          </w:p>
        </w:tc>
        <w:tc>
          <w:tcPr>
            <w:tcW w:w="1796"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8</w:t>
            </w:r>
          </w:p>
        </w:tc>
      </w:tr>
      <w:tr w:rsidR="00E7173E" w:rsidRPr="00124B6E" w:rsidTr="008C7396">
        <w:trPr>
          <w:trHeight w:val="346"/>
        </w:trPr>
        <w:tc>
          <w:tcPr>
            <w:tcW w:w="1700" w:type="dxa"/>
            <w:shd w:val="clear" w:color="auto" w:fill="auto"/>
            <w:noWrap/>
            <w:vAlign w:val="center"/>
          </w:tcPr>
          <w:p w:rsidR="00014BAF" w:rsidRPr="00124B6E" w:rsidRDefault="00014BAF" w:rsidP="004F0C61">
            <w:pPr>
              <w:jc w:val="left"/>
              <w:rPr>
                <w:bCs/>
                <w:color w:val="000000"/>
                <w:sz w:val="19"/>
                <w:szCs w:val="19"/>
              </w:rPr>
            </w:pPr>
            <w:r w:rsidRPr="00124B6E">
              <w:rPr>
                <w:sz w:val="19"/>
                <w:szCs w:val="19"/>
              </w:rPr>
              <w:t>Small Q4–DZ</w:t>
            </w:r>
          </w:p>
        </w:tc>
        <w:tc>
          <w:tcPr>
            <w:tcW w:w="1350" w:type="dxa"/>
            <w:shd w:val="clear" w:color="auto" w:fill="auto"/>
            <w:noWrap/>
            <w:vAlign w:val="center"/>
          </w:tcPr>
          <w:p w:rsidR="00014BAF" w:rsidRPr="00124B6E" w:rsidRDefault="00014BAF" w:rsidP="004F0C61">
            <w:pPr>
              <w:jc w:val="center"/>
              <w:rPr>
                <w:bCs/>
                <w:color w:val="000000"/>
                <w:sz w:val="19"/>
                <w:szCs w:val="19"/>
              </w:rPr>
            </w:pPr>
            <w:r w:rsidRPr="00124B6E">
              <w:rPr>
                <w:sz w:val="19"/>
                <w:szCs w:val="19"/>
              </w:rPr>
              <w:t>62</w:t>
            </w:r>
          </w:p>
        </w:tc>
        <w:tc>
          <w:tcPr>
            <w:tcW w:w="2610" w:type="dxa"/>
            <w:vMerge/>
            <w:shd w:val="clear" w:color="auto" w:fill="D2EAF1"/>
            <w:noWrap/>
            <w:vAlign w:val="center"/>
          </w:tcPr>
          <w:p w:rsidR="00014BAF" w:rsidRPr="00124B6E" w:rsidRDefault="00014BAF" w:rsidP="004F0C61">
            <w:pPr>
              <w:jc w:val="center"/>
              <w:rPr>
                <w:bCs/>
                <w:color w:val="000000"/>
                <w:sz w:val="19"/>
                <w:szCs w:val="19"/>
              </w:rPr>
            </w:pPr>
          </w:p>
        </w:tc>
        <w:tc>
          <w:tcPr>
            <w:tcW w:w="1894" w:type="dxa"/>
            <w:vMerge/>
            <w:shd w:val="clear" w:color="auto" w:fill="D2EAF1"/>
            <w:noWrap/>
            <w:vAlign w:val="center"/>
          </w:tcPr>
          <w:p w:rsidR="00014BAF" w:rsidRPr="00124B6E" w:rsidRDefault="00014BAF" w:rsidP="004F0C61">
            <w:pPr>
              <w:jc w:val="center"/>
              <w:rPr>
                <w:bCs/>
                <w:color w:val="000000"/>
                <w:sz w:val="19"/>
                <w:szCs w:val="19"/>
              </w:rPr>
            </w:pPr>
          </w:p>
        </w:tc>
        <w:tc>
          <w:tcPr>
            <w:tcW w:w="1796" w:type="dxa"/>
            <w:shd w:val="clear" w:color="auto" w:fill="auto"/>
            <w:noWrap/>
            <w:vAlign w:val="center"/>
          </w:tcPr>
          <w:p w:rsidR="00014BAF" w:rsidRPr="00124B6E" w:rsidRDefault="00014BAF" w:rsidP="004F0C61">
            <w:pPr>
              <w:jc w:val="center"/>
              <w:rPr>
                <w:bCs/>
                <w:color w:val="000000"/>
                <w:sz w:val="19"/>
                <w:szCs w:val="19"/>
              </w:rPr>
            </w:pPr>
            <w:r w:rsidRPr="00124B6E">
              <w:rPr>
                <w:sz w:val="19"/>
                <w:szCs w:val="19"/>
              </w:rPr>
              <w:t>5</w:t>
            </w:r>
          </w:p>
        </w:tc>
      </w:tr>
      <w:tr w:rsidR="00A874AC" w:rsidRPr="00124B6E" w:rsidTr="00DC3249">
        <w:trPr>
          <w:trHeight w:val="346"/>
        </w:trPr>
        <w:tc>
          <w:tcPr>
            <w:tcW w:w="1700" w:type="dxa"/>
            <w:shd w:val="clear" w:color="auto" w:fill="D2EAF1"/>
            <w:noWrap/>
            <w:vAlign w:val="center"/>
          </w:tcPr>
          <w:p w:rsidR="00014BAF" w:rsidRPr="00124B6E" w:rsidRDefault="00014BAF" w:rsidP="004F0C61">
            <w:pPr>
              <w:jc w:val="left"/>
              <w:rPr>
                <w:b/>
                <w:bCs/>
                <w:color w:val="000000"/>
                <w:sz w:val="19"/>
                <w:szCs w:val="19"/>
              </w:rPr>
            </w:pPr>
            <w:r w:rsidRPr="00124B6E">
              <w:rPr>
                <w:sz w:val="19"/>
                <w:szCs w:val="19"/>
              </w:rPr>
              <w:t>Large whole-building Q1–Q3</w:t>
            </w:r>
          </w:p>
        </w:tc>
        <w:tc>
          <w:tcPr>
            <w:tcW w:w="1350" w:type="dxa"/>
            <w:shd w:val="clear" w:color="auto" w:fill="D2EAF1"/>
            <w:noWrap/>
            <w:vAlign w:val="center"/>
          </w:tcPr>
          <w:p w:rsidR="00014BAF" w:rsidRPr="00124B6E" w:rsidRDefault="00014BAF" w:rsidP="004F0C61">
            <w:pPr>
              <w:jc w:val="center"/>
              <w:rPr>
                <w:b/>
                <w:bCs/>
                <w:color w:val="000000"/>
                <w:sz w:val="19"/>
                <w:szCs w:val="19"/>
              </w:rPr>
            </w:pPr>
            <w:r w:rsidRPr="00124B6E">
              <w:rPr>
                <w:sz w:val="19"/>
                <w:szCs w:val="19"/>
              </w:rPr>
              <w:t>7</w:t>
            </w:r>
          </w:p>
        </w:tc>
        <w:tc>
          <w:tcPr>
            <w:tcW w:w="2610" w:type="dxa"/>
            <w:vMerge w:val="restart"/>
            <w:shd w:val="clear" w:color="auto" w:fill="auto"/>
            <w:noWrap/>
            <w:vAlign w:val="center"/>
          </w:tcPr>
          <w:p w:rsidR="00014BAF" w:rsidRPr="00124B6E" w:rsidRDefault="00014BAF" w:rsidP="004F0C61">
            <w:pPr>
              <w:jc w:val="center"/>
              <w:rPr>
                <w:b/>
                <w:bCs/>
                <w:color w:val="000000"/>
                <w:sz w:val="19"/>
                <w:szCs w:val="19"/>
              </w:rPr>
            </w:pPr>
            <w:r w:rsidRPr="00124B6E">
              <w:rPr>
                <w:color w:val="000000"/>
                <w:sz w:val="19"/>
                <w:szCs w:val="19"/>
              </w:rPr>
              <w:t>85%/15%</w:t>
            </w:r>
          </w:p>
        </w:tc>
        <w:tc>
          <w:tcPr>
            <w:tcW w:w="1894" w:type="dxa"/>
            <w:vMerge w:val="restart"/>
            <w:shd w:val="clear" w:color="auto" w:fill="auto"/>
            <w:noWrap/>
            <w:vAlign w:val="center"/>
          </w:tcPr>
          <w:p w:rsidR="00014BAF" w:rsidRPr="00124B6E" w:rsidRDefault="00014BAF" w:rsidP="004F0C61">
            <w:pPr>
              <w:jc w:val="center"/>
              <w:rPr>
                <w:bCs/>
                <w:color w:val="000000"/>
                <w:sz w:val="19"/>
                <w:szCs w:val="19"/>
              </w:rPr>
            </w:pPr>
            <w:r w:rsidRPr="00124B6E">
              <w:rPr>
                <w:sz w:val="19"/>
                <w:szCs w:val="19"/>
              </w:rPr>
              <w:t>4</w:t>
            </w:r>
          </w:p>
        </w:tc>
        <w:tc>
          <w:tcPr>
            <w:tcW w:w="1796" w:type="dxa"/>
            <w:shd w:val="clear" w:color="auto" w:fill="D2EAF1"/>
            <w:noWrap/>
            <w:vAlign w:val="center"/>
          </w:tcPr>
          <w:p w:rsidR="00014BAF" w:rsidRPr="00124B6E" w:rsidRDefault="00014BAF" w:rsidP="004F0C61">
            <w:pPr>
              <w:jc w:val="center"/>
              <w:rPr>
                <w:b/>
                <w:bCs/>
                <w:color w:val="000000"/>
                <w:sz w:val="19"/>
                <w:szCs w:val="19"/>
              </w:rPr>
            </w:pPr>
            <w:r w:rsidRPr="00124B6E">
              <w:rPr>
                <w:sz w:val="19"/>
                <w:szCs w:val="19"/>
              </w:rPr>
              <w:t>5</w:t>
            </w:r>
          </w:p>
        </w:tc>
      </w:tr>
      <w:tr w:rsidR="00E7173E" w:rsidRPr="00124B6E" w:rsidTr="00AF6BD2">
        <w:trPr>
          <w:trHeight w:val="346"/>
        </w:trPr>
        <w:tc>
          <w:tcPr>
            <w:tcW w:w="1700" w:type="dxa"/>
            <w:shd w:val="clear" w:color="auto" w:fill="auto"/>
            <w:noWrap/>
            <w:vAlign w:val="center"/>
          </w:tcPr>
          <w:p w:rsidR="00014BAF" w:rsidRPr="00124B6E" w:rsidRDefault="00014BAF" w:rsidP="004F0C61">
            <w:pPr>
              <w:jc w:val="left"/>
              <w:rPr>
                <w:b/>
                <w:bCs/>
                <w:color w:val="000000"/>
                <w:sz w:val="19"/>
                <w:szCs w:val="19"/>
              </w:rPr>
            </w:pPr>
            <w:r w:rsidRPr="00124B6E">
              <w:rPr>
                <w:sz w:val="19"/>
                <w:szCs w:val="19"/>
              </w:rPr>
              <w:t>Large whole-building Q4–DZ</w:t>
            </w:r>
          </w:p>
        </w:tc>
        <w:tc>
          <w:tcPr>
            <w:tcW w:w="1350" w:type="dxa"/>
            <w:shd w:val="clear" w:color="auto" w:fill="auto"/>
            <w:noWrap/>
            <w:vAlign w:val="center"/>
          </w:tcPr>
          <w:p w:rsidR="00014BAF" w:rsidRPr="00124B6E" w:rsidRDefault="00014BAF" w:rsidP="004F0C61">
            <w:pPr>
              <w:jc w:val="center"/>
              <w:rPr>
                <w:b/>
                <w:sz w:val="19"/>
                <w:szCs w:val="19"/>
              </w:rPr>
            </w:pPr>
            <w:r w:rsidRPr="00124B6E">
              <w:rPr>
                <w:sz w:val="19"/>
                <w:szCs w:val="19"/>
              </w:rPr>
              <w:t>4</w:t>
            </w:r>
          </w:p>
        </w:tc>
        <w:tc>
          <w:tcPr>
            <w:tcW w:w="2610" w:type="dxa"/>
            <w:vMerge/>
            <w:shd w:val="clear" w:color="auto" w:fill="auto"/>
            <w:noWrap/>
            <w:vAlign w:val="center"/>
          </w:tcPr>
          <w:p w:rsidR="00014BAF" w:rsidRPr="00124B6E" w:rsidRDefault="00014BAF" w:rsidP="004F0C61">
            <w:pPr>
              <w:jc w:val="center"/>
              <w:rPr>
                <w:b/>
                <w:bCs/>
                <w:color w:val="000000"/>
                <w:sz w:val="19"/>
                <w:szCs w:val="19"/>
              </w:rPr>
            </w:pPr>
          </w:p>
        </w:tc>
        <w:tc>
          <w:tcPr>
            <w:tcW w:w="1894" w:type="dxa"/>
            <w:vMerge/>
            <w:shd w:val="clear" w:color="auto" w:fill="auto"/>
            <w:noWrap/>
            <w:vAlign w:val="center"/>
          </w:tcPr>
          <w:p w:rsidR="00014BAF" w:rsidRPr="00124B6E" w:rsidRDefault="00014BAF" w:rsidP="004F0C61">
            <w:pPr>
              <w:jc w:val="center"/>
              <w:rPr>
                <w:sz w:val="19"/>
                <w:szCs w:val="19"/>
              </w:rPr>
            </w:pPr>
          </w:p>
        </w:tc>
        <w:tc>
          <w:tcPr>
            <w:tcW w:w="1796" w:type="dxa"/>
            <w:shd w:val="clear" w:color="auto" w:fill="auto"/>
            <w:noWrap/>
            <w:vAlign w:val="center"/>
          </w:tcPr>
          <w:p w:rsidR="00014BAF" w:rsidRPr="00124B6E" w:rsidRDefault="00014BAF" w:rsidP="004F0C61">
            <w:pPr>
              <w:jc w:val="center"/>
              <w:rPr>
                <w:b/>
                <w:sz w:val="19"/>
                <w:szCs w:val="19"/>
              </w:rPr>
            </w:pPr>
            <w:r w:rsidRPr="00124B6E">
              <w:rPr>
                <w:sz w:val="19"/>
                <w:szCs w:val="19"/>
              </w:rPr>
              <w:t>2</w:t>
            </w:r>
          </w:p>
        </w:tc>
      </w:tr>
      <w:tr w:rsidR="00A874AC" w:rsidRPr="00124B6E" w:rsidTr="00DC3249">
        <w:trPr>
          <w:trHeight w:val="346"/>
        </w:trPr>
        <w:tc>
          <w:tcPr>
            <w:tcW w:w="1700" w:type="dxa"/>
            <w:shd w:val="clear" w:color="auto" w:fill="D2EAF1"/>
            <w:noWrap/>
            <w:vAlign w:val="center"/>
          </w:tcPr>
          <w:p w:rsidR="00014BAF" w:rsidRPr="00124B6E" w:rsidRDefault="00014BAF" w:rsidP="004F0C61">
            <w:pPr>
              <w:jc w:val="left"/>
              <w:rPr>
                <w:b/>
                <w:bCs/>
                <w:color w:val="000000"/>
                <w:sz w:val="19"/>
                <w:szCs w:val="19"/>
              </w:rPr>
            </w:pPr>
            <w:r w:rsidRPr="00124B6E">
              <w:rPr>
                <w:sz w:val="19"/>
                <w:szCs w:val="19"/>
              </w:rPr>
              <w:t>Small whole-building Q1–Q3</w:t>
            </w:r>
          </w:p>
        </w:tc>
        <w:tc>
          <w:tcPr>
            <w:tcW w:w="1350" w:type="dxa"/>
            <w:shd w:val="clear" w:color="auto" w:fill="D2EAF1"/>
            <w:noWrap/>
            <w:vAlign w:val="center"/>
          </w:tcPr>
          <w:p w:rsidR="00014BAF" w:rsidRPr="00124B6E" w:rsidRDefault="00014BAF" w:rsidP="004F0C61">
            <w:pPr>
              <w:jc w:val="center"/>
              <w:rPr>
                <w:b/>
                <w:sz w:val="19"/>
                <w:szCs w:val="19"/>
              </w:rPr>
            </w:pPr>
            <w:r w:rsidRPr="00124B6E">
              <w:rPr>
                <w:sz w:val="19"/>
                <w:szCs w:val="19"/>
              </w:rPr>
              <w:t>3</w:t>
            </w:r>
          </w:p>
        </w:tc>
        <w:tc>
          <w:tcPr>
            <w:tcW w:w="2610" w:type="dxa"/>
            <w:shd w:val="clear" w:color="auto" w:fill="D2EAF1"/>
            <w:noWrap/>
            <w:vAlign w:val="center"/>
          </w:tcPr>
          <w:p w:rsidR="00014BAF" w:rsidRPr="00124B6E" w:rsidRDefault="00014BAF" w:rsidP="004F0C61">
            <w:pPr>
              <w:jc w:val="center"/>
              <w:rPr>
                <w:b/>
                <w:bCs/>
                <w:color w:val="000000"/>
                <w:sz w:val="19"/>
                <w:szCs w:val="19"/>
              </w:rPr>
            </w:pPr>
            <w:r w:rsidRPr="00124B6E">
              <w:rPr>
                <w:color w:val="000000"/>
                <w:sz w:val="19"/>
                <w:szCs w:val="19"/>
              </w:rPr>
              <w:t>85%/15%</w:t>
            </w:r>
          </w:p>
        </w:tc>
        <w:tc>
          <w:tcPr>
            <w:tcW w:w="1894" w:type="dxa"/>
            <w:shd w:val="clear" w:color="auto" w:fill="D2EAF1"/>
            <w:noWrap/>
            <w:vAlign w:val="center"/>
          </w:tcPr>
          <w:p w:rsidR="00014BAF" w:rsidRPr="00124B6E" w:rsidRDefault="00014BAF" w:rsidP="004F0C61">
            <w:pPr>
              <w:jc w:val="center"/>
              <w:rPr>
                <w:sz w:val="19"/>
                <w:szCs w:val="19"/>
              </w:rPr>
            </w:pPr>
            <w:r w:rsidRPr="00124B6E">
              <w:rPr>
                <w:sz w:val="19"/>
                <w:szCs w:val="19"/>
              </w:rPr>
              <w:t>2</w:t>
            </w:r>
          </w:p>
        </w:tc>
        <w:tc>
          <w:tcPr>
            <w:tcW w:w="1796" w:type="dxa"/>
            <w:shd w:val="clear" w:color="auto" w:fill="D2EAF1"/>
            <w:noWrap/>
            <w:vAlign w:val="center"/>
          </w:tcPr>
          <w:p w:rsidR="00014BAF" w:rsidRPr="00124B6E" w:rsidRDefault="00014BAF" w:rsidP="004F0C61">
            <w:pPr>
              <w:jc w:val="center"/>
              <w:rPr>
                <w:b/>
                <w:sz w:val="19"/>
                <w:szCs w:val="19"/>
              </w:rPr>
            </w:pPr>
            <w:r w:rsidRPr="00124B6E">
              <w:rPr>
                <w:sz w:val="19"/>
                <w:szCs w:val="19"/>
              </w:rPr>
              <w:t>2</w:t>
            </w:r>
          </w:p>
        </w:tc>
      </w:tr>
      <w:tr w:rsidR="00E7173E" w:rsidRPr="00124B6E" w:rsidTr="00AF6BD2">
        <w:trPr>
          <w:trHeight w:val="346"/>
        </w:trPr>
        <w:tc>
          <w:tcPr>
            <w:tcW w:w="1700" w:type="dxa"/>
            <w:shd w:val="clear" w:color="auto" w:fill="auto"/>
            <w:noWrap/>
            <w:vAlign w:val="center"/>
          </w:tcPr>
          <w:p w:rsidR="00014BAF" w:rsidRPr="00124B6E" w:rsidRDefault="00014BAF" w:rsidP="004F0C61">
            <w:pPr>
              <w:jc w:val="left"/>
              <w:rPr>
                <w:b/>
                <w:bCs/>
                <w:color w:val="000000"/>
                <w:sz w:val="19"/>
                <w:szCs w:val="19"/>
              </w:rPr>
            </w:pPr>
            <w:r w:rsidRPr="00124B6E">
              <w:rPr>
                <w:b/>
                <w:sz w:val="19"/>
                <w:szCs w:val="19"/>
              </w:rPr>
              <w:t>Program Total</w:t>
            </w:r>
          </w:p>
        </w:tc>
        <w:tc>
          <w:tcPr>
            <w:tcW w:w="1350" w:type="dxa"/>
            <w:shd w:val="clear" w:color="auto" w:fill="auto"/>
            <w:noWrap/>
            <w:vAlign w:val="center"/>
          </w:tcPr>
          <w:p w:rsidR="00014BAF" w:rsidRPr="00124B6E" w:rsidRDefault="00014BAF" w:rsidP="004F0C61">
            <w:pPr>
              <w:jc w:val="center"/>
              <w:rPr>
                <w:b/>
                <w:sz w:val="19"/>
                <w:szCs w:val="19"/>
              </w:rPr>
            </w:pPr>
            <w:r w:rsidRPr="00124B6E">
              <w:rPr>
                <w:b/>
                <w:sz w:val="19"/>
                <w:szCs w:val="19"/>
              </w:rPr>
              <w:t>182</w:t>
            </w:r>
          </w:p>
        </w:tc>
        <w:tc>
          <w:tcPr>
            <w:tcW w:w="2610" w:type="dxa"/>
            <w:shd w:val="clear" w:color="auto" w:fill="auto"/>
            <w:noWrap/>
            <w:vAlign w:val="center"/>
          </w:tcPr>
          <w:p w:rsidR="00014BAF" w:rsidRPr="00124B6E" w:rsidRDefault="00014BAF" w:rsidP="004F0C61">
            <w:pPr>
              <w:jc w:val="center"/>
              <w:rPr>
                <w:b/>
                <w:bCs/>
                <w:color w:val="000000"/>
                <w:sz w:val="19"/>
                <w:szCs w:val="19"/>
              </w:rPr>
            </w:pPr>
            <w:r w:rsidRPr="00124B6E">
              <w:rPr>
                <w:b/>
                <w:color w:val="000000"/>
                <w:sz w:val="19"/>
                <w:szCs w:val="19"/>
              </w:rPr>
              <w:t>85%/15%</w:t>
            </w:r>
          </w:p>
        </w:tc>
        <w:tc>
          <w:tcPr>
            <w:tcW w:w="1894" w:type="dxa"/>
            <w:shd w:val="clear" w:color="auto" w:fill="auto"/>
            <w:noWrap/>
            <w:vAlign w:val="center"/>
          </w:tcPr>
          <w:p w:rsidR="00014BAF" w:rsidRPr="00124B6E" w:rsidRDefault="00014BAF" w:rsidP="004F0C61">
            <w:pPr>
              <w:jc w:val="center"/>
              <w:rPr>
                <w:b/>
                <w:sz w:val="19"/>
                <w:szCs w:val="19"/>
              </w:rPr>
            </w:pPr>
            <w:r w:rsidRPr="00124B6E">
              <w:rPr>
                <w:b/>
                <w:sz w:val="19"/>
                <w:szCs w:val="19"/>
              </w:rPr>
              <w:t>30</w:t>
            </w:r>
          </w:p>
        </w:tc>
        <w:tc>
          <w:tcPr>
            <w:tcW w:w="1796" w:type="dxa"/>
            <w:shd w:val="clear" w:color="auto" w:fill="auto"/>
            <w:noWrap/>
            <w:vAlign w:val="center"/>
          </w:tcPr>
          <w:p w:rsidR="00014BAF" w:rsidRPr="00124B6E" w:rsidRDefault="00014BAF" w:rsidP="004F0C61">
            <w:pPr>
              <w:jc w:val="center"/>
              <w:rPr>
                <w:b/>
                <w:sz w:val="19"/>
                <w:szCs w:val="19"/>
              </w:rPr>
            </w:pPr>
            <w:r w:rsidRPr="00124B6E">
              <w:rPr>
                <w:b/>
                <w:sz w:val="19"/>
                <w:szCs w:val="19"/>
              </w:rPr>
              <w:t>32</w:t>
            </w:r>
          </w:p>
        </w:tc>
      </w:tr>
    </w:tbl>
    <w:p w:rsidR="00014BAF" w:rsidRPr="003458B1" w:rsidRDefault="00014BAF" w:rsidP="00014BAF"/>
    <w:p w:rsidR="00014BAF" w:rsidRPr="003458B1" w:rsidRDefault="00014BAF" w:rsidP="00014BAF">
      <w:r w:rsidRPr="003458B1">
        <w:t xml:space="preserve">The achieved precision values for energy and demand are presented in </w:t>
      </w:r>
      <w:r w:rsidRPr="003458B1">
        <w:fldChar w:fldCharType="begin"/>
      </w:r>
      <w:r w:rsidRPr="003458B1">
        <w:instrText xml:space="preserve"> REF _Ref440268486 \h  \* MERGEFORMAT </w:instrText>
      </w:r>
      <w:r w:rsidRPr="003458B1">
        <w:fldChar w:fldCharType="separate"/>
      </w:r>
      <w:r w:rsidR="00037CB4" w:rsidRPr="003458B1">
        <w:t>Table A-</w:t>
      </w:r>
      <w:r w:rsidR="00037CB4">
        <w:t>117</w:t>
      </w:r>
      <w:r w:rsidRPr="003458B1">
        <w:fldChar w:fldCharType="end"/>
      </w:r>
      <w:r w:rsidRPr="003458B1">
        <w:t>.</w:t>
      </w:r>
    </w:p>
    <w:p w:rsidR="00014BAF" w:rsidRPr="003458B1" w:rsidRDefault="00014BAF" w:rsidP="00014BAF"/>
    <w:p w:rsidR="00014BAF" w:rsidRPr="003458B1" w:rsidRDefault="00014BAF" w:rsidP="004837FA">
      <w:pPr>
        <w:pStyle w:val="Caption"/>
      </w:pPr>
      <w:bookmarkStart w:id="1164" w:name="_Ref440268486"/>
      <w:bookmarkStart w:id="1165" w:name="_Toc410199391"/>
      <w:bookmarkStart w:id="1166" w:name="_Toc431462373"/>
      <w:bookmarkStart w:id="1167" w:name="_Toc444269899"/>
      <w:bookmarkStart w:id="1168" w:name="_Toc472472526"/>
      <w:bookmarkStart w:id="1169" w:name="_Toc488741945"/>
      <w:r w:rsidRPr="003458B1">
        <w:t>Table A-</w:t>
      </w:r>
      <w:r w:rsidR="007973A4">
        <w:fldChar w:fldCharType="begin"/>
      </w:r>
      <w:r w:rsidR="007973A4">
        <w:instrText xml:space="preserve"> SEQ Table_A- \* ARABIC </w:instrText>
      </w:r>
      <w:r w:rsidR="007973A4">
        <w:fldChar w:fldCharType="separate"/>
      </w:r>
      <w:r w:rsidR="00037CB4">
        <w:rPr>
          <w:noProof/>
        </w:rPr>
        <w:t>117</w:t>
      </w:r>
      <w:r w:rsidR="007973A4">
        <w:rPr>
          <w:noProof/>
        </w:rPr>
        <w:fldChar w:fldCharType="end"/>
      </w:r>
      <w:bookmarkEnd w:id="1164"/>
      <w:r w:rsidRPr="003458B1">
        <w:t>: Observed Coefficients of Variation and Relative Precisions – PECO’s SCI Program</w:t>
      </w:r>
      <w:bookmarkEnd w:id="1165"/>
      <w:bookmarkEnd w:id="1166"/>
      <w:bookmarkEnd w:id="1167"/>
      <w:bookmarkEnd w:id="1168"/>
      <w:bookmarkEnd w:id="1169"/>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20"/>
        <w:gridCol w:w="2430"/>
        <w:gridCol w:w="1440"/>
        <w:gridCol w:w="2250"/>
        <w:gridCol w:w="1710"/>
      </w:tblGrid>
      <w:tr w:rsidR="00A874AC" w:rsidRPr="00124B6E" w:rsidTr="00DC3249">
        <w:trPr>
          <w:trHeight w:val="1159"/>
        </w:trPr>
        <w:tc>
          <w:tcPr>
            <w:tcW w:w="1520" w:type="dxa"/>
            <w:shd w:val="clear" w:color="000000" w:fill="448A99"/>
            <w:vAlign w:val="bottom"/>
            <w:hideMark/>
          </w:tcPr>
          <w:p w:rsidR="00014BAF" w:rsidRPr="00124B6E" w:rsidRDefault="00014BAF" w:rsidP="00DC3249">
            <w:pPr>
              <w:jc w:val="left"/>
              <w:rPr>
                <w:b/>
                <w:bCs/>
                <w:color w:val="FFFFFF"/>
                <w:sz w:val="19"/>
                <w:szCs w:val="19"/>
              </w:rPr>
            </w:pPr>
            <w:r w:rsidRPr="00124B6E">
              <w:rPr>
                <w:b/>
                <w:bCs/>
                <w:color w:val="FFFFFF"/>
                <w:sz w:val="19"/>
                <w:szCs w:val="19"/>
              </w:rPr>
              <w:t>Stratum</w:t>
            </w:r>
          </w:p>
        </w:tc>
        <w:tc>
          <w:tcPr>
            <w:tcW w:w="243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Energy</w:t>
            </w:r>
          </w:p>
        </w:tc>
        <w:tc>
          <w:tcPr>
            <w:tcW w:w="144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Energy</w:t>
            </w:r>
          </w:p>
        </w:tc>
        <w:tc>
          <w:tcPr>
            <w:tcW w:w="225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Demand</w:t>
            </w:r>
          </w:p>
        </w:tc>
        <w:tc>
          <w:tcPr>
            <w:tcW w:w="171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Demand</w:t>
            </w:r>
          </w:p>
        </w:tc>
      </w:tr>
      <w:tr w:rsidR="00A874AC" w:rsidRPr="00124B6E" w:rsidTr="00DC3249">
        <w:trPr>
          <w:trHeight w:val="488"/>
        </w:trPr>
        <w:tc>
          <w:tcPr>
            <w:tcW w:w="1520" w:type="dxa"/>
            <w:shd w:val="clear" w:color="000000" w:fill="D2EAF1"/>
            <w:noWrap/>
            <w:vAlign w:val="center"/>
          </w:tcPr>
          <w:p w:rsidR="00014BAF" w:rsidRPr="00124B6E" w:rsidRDefault="00014BAF" w:rsidP="00DC3249">
            <w:pPr>
              <w:jc w:val="left"/>
              <w:rPr>
                <w:bCs/>
                <w:color w:val="000000"/>
                <w:sz w:val="19"/>
                <w:szCs w:val="19"/>
              </w:rPr>
            </w:pPr>
            <w:r w:rsidRPr="00124B6E">
              <w:rPr>
                <w:sz w:val="19"/>
                <w:szCs w:val="19"/>
              </w:rPr>
              <w:t>Large Q1–Q3</w:t>
            </w:r>
          </w:p>
        </w:tc>
        <w:tc>
          <w:tcPr>
            <w:tcW w:w="243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0.55</w:t>
            </w:r>
          </w:p>
        </w:tc>
        <w:tc>
          <w:tcPr>
            <w:tcW w:w="144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23%</w:t>
            </w:r>
          </w:p>
        </w:tc>
        <w:tc>
          <w:tcPr>
            <w:tcW w:w="225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0.46</w:t>
            </w:r>
          </w:p>
        </w:tc>
        <w:tc>
          <w:tcPr>
            <w:tcW w:w="171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19%</w:t>
            </w:r>
          </w:p>
        </w:tc>
      </w:tr>
      <w:tr w:rsidR="00E7173E" w:rsidRPr="00124B6E" w:rsidTr="00AF6BD2">
        <w:trPr>
          <w:trHeight w:val="488"/>
        </w:trPr>
        <w:tc>
          <w:tcPr>
            <w:tcW w:w="1520" w:type="dxa"/>
            <w:shd w:val="clear" w:color="auto" w:fill="auto"/>
            <w:noWrap/>
            <w:vAlign w:val="center"/>
          </w:tcPr>
          <w:p w:rsidR="00014BAF" w:rsidRPr="00124B6E" w:rsidRDefault="00014BAF" w:rsidP="00DC3249">
            <w:pPr>
              <w:jc w:val="left"/>
              <w:rPr>
                <w:bCs/>
                <w:color w:val="000000"/>
                <w:sz w:val="19"/>
                <w:szCs w:val="19"/>
              </w:rPr>
            </w:pPr>
            <w:r w:rsidRPr="00124B6E">
              <w:rPr>
                <w:sz w:val="19"/>
                <w:szCs w:val="19"/>
              </w:rPr>
              <w:t>Large Q4–DZ</w:t>
            </w:r>
          </w:p>
        </w:tc>
        <w:tc>
          <w:tcPr>
            <w:tcW w:w="243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1.03</w:t>
            </w:r>
          </w:p>
        </w:tc>
        <w:tc>
          <w:tcPr>
            <w:tcW w:w="144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118%</w:t>
            </w:r>
          </w:p>
        </w:tc>
        <w:tc>
          <w:tcPr>
            <w:tcW w:w="225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0.72</w:t>
            </w:r>
          </w:p>
        </w:tc>
        <w:tc>
          <w:tcPr>
            <w:tcW w:w="171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83%</w:t>
            </w:r>
          </w:p>
        </w:tc>
      </w:tr>
      <w:tr w:rsidR="00A874AC" w:rsidRPr="00124B6E" w:rsidTr="00DC3249">
        <w:trPr>
          <w:trHeight w:val="488"/>
        </w:trPr>
        <w:tc>
          <w:tcPr>
            <w:tcW w:w="1520" w:type="dxa"/>
            <w:shd w:val="clear" w:color="000000" w:fill="D2EAF1"/>
            <w:noWrap/>
            <w:vAlign w:val="center"/>
          </w:tcPr>
          <w:p w:rsidR="00014BAF" w:rsidRPr="00124B6E" w:rsidRDefault="00014BAF" w:rsidP="00DC3249">
            <w:pPr>
              <w:jc w:val="left"/>
              <w:rPr>
                <w:bCs/>
                <w:color w:val="000000"/>
                <w:sz w:val="19"/>
                <w:szCs w:val="19"/>
              </w:rPr>
            </w:pPr>
            <w:r w:rsidRPr="00124B6E">
              <w:rPr>
                <w:sz w:val="19"/>
                <w:szCs w:val="19"/>
              </w:rPr>
              <w:t>Small Q1–Q3</w:t>
            </w:r>
          </w:p>
        </w:tc>
        <w:tc>
          <w:tcPr>
            <w:tcW w:w="243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0.32</w:t>
            </w:r>
          </w:p>
        </w:tc>
        <w:tc>
          <w:tcPr>
            <w:tcW w:w="144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17%</w:t>
            </w:r>
          </w:p>
        </w:tc>
        <w:tc>
          <w:tcPr>
            <w:tcW w:w="225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0.29</w:t>
            </w:r>
          </w:p>
        </w:tc>
        <w:tc>
          <w:tcPr>
            <w:tcW w:w="171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16%</w:t>
            </w:r>
          </w:p>
        </w:tc>
      </w:tr>
      <w:tr w:rsidR="00E7173E" w:rsidRPr="00124B6E" w:rsidTr="00AF6BD2">
        <w:trPr>
          <w:trHeight w:val="488"/>
        </w:trPr>
        <w:tc>
          <w:tcPr>
            <w:tcW w:w="1520" w:type="dxa"/>
            <w:shd w:val="clear" w:color="auto" w:fill="auto"/>
            <w:noWrap/>
            <w:vAlign w:val="center"/>
          </w:tcPr>
          <w:p w:rsidR="00014BAF" w:rsidRPr="00124B6E" w:rsidRDefault="00014BAF" w:rsidP="00DC3249">
            <w:pPr>
              <w:jc w:val="left"/>
              <w:rPr>
                <w:b/>
                <w:bCs/>
                <w:color w:val="000000"/>
                <w:sz w:val="19"/>
                <w:szCs w:val="19"/>
              </w:rPr>
            </w:pPr>
            <w:r w:rsidRPr="00124B6E">
              <w:rPr>
                <w:sz w:val="19"/>
                <w:szCs w:val="19"/>
              </w:rPr>
              <w:t>Small Q4–DZ</w:t>
            </w:r>
          </w:p>
        </w:tc>
        <w:tc>
          <w:tcPr>
            <w:tcW w:w="2430" w:type="dxa"/>
            <w:shd w:val="clear" w:color="auto" w:fill="auto"/>
            <w:noWrap/>
            <w:vAlign w:val="center"/>
          </w:tcPr>
          <w:p w:rsidR="00014BAF" w:rsidRPr="00124B6E" w:rsidRDefault="00014BAF" w:rsidP="004F0C61">
            <w:pPr>
              <w:jc w:val="center"/>
              <w:rPr>
                <w:bCs/>
                <w:color w:val="000000"/>
                <w:sz w:val="19"/>
                <w:szCs w:val="19"/>
              </w:rPr>
            </w:pPr>
            <w:r w:rsidRPr="00124B6E">
              <w:rPr>
                <w:color w:val="000000"/>
                <w:sz w:val="19"/>
                <w:szCs w:val="19"/>
              </w:rPr>
              <w:t>0.36</w:t>
            </w:r>
          </w:p>
        </w:tc>
        <w:tc>
          <w:tcPr>
            <w:tcW w:w="1440" w:type="dxa"/>
            <w:shd w:val="clear" w:color="auto" w:fill="auto"/>
            <w:noWrap/>
            <w:vAlign w:val="center"/>
          </w:tcPr>
          <w:p w:rsidR="00014BAF" w:rsidRPr="00124B6E" w:rsidRDefault="00014BAF" w:rsidP="004F0C61">
            <w:pPr>
              <w:jc w:val="center"/>
              <w:rPr>
                <w:bCs/>
                <w:color w:val="000000"/>
                <w:sz w:val="19"/>
                <w:szCs w:val="19"/>
              </w:rPr>
            </w:pPr>
            <w:r w:rsidRPr="00124B6E">
              <w:rPr>
                <w:color w:val="000000"/>
                <w:sz w:val="19"/>
                <w:szCs w:val="19"/>
              </w:rPr>
              <w:t>28%</w:t>
            </w:r>
          </w:p>
        </w:tc>
        <w:tc>
          <w:tcPr>
            <w:tcW w:w="2250" w:type="dxa"/>
            <w:shd w:val="clear" w:color="auto" w:fill="auto"/>
            <w:noWrap/>
            <w:vAlign w:val="center"/>
          </w:tcPr>
          <w:p w:rsidR="00014BAF" w:rsidRPr="00124B6E" w:rsidRDefault="00014BAF" w:rsidP="004F0C61">
            <w:pPr>
              <w:jc w:val="center"/>
              <w:rPr>
                <w:bCs/>
                <w:color w:val="000000"/>
                <w:sz w:val="19"/>
                <w:szCs w:val="19"/>
              </w:rPr>
            </w:pPr>
            <w:r w:rsidRPr="00124B6E">
              <w:rPr>
                <w:color w:val="000000"/>
                <w:sz w:val="19"/>
                <w:szCs w:val="19"/>
              </w:rPr>
              <w:t>0.46</w:t>
            </w:r>
          </w:p>
        </w:tc>
        <w:tc>
          <w:tcPr>
            <w:tcW w:w="1710" w:type="dxa"/>
            <w:shd w:val="clear" w:color="auto" w:fill="auto"/>
            <w:noWrap/>
            <w:vAlign w:val="center"/>
          </w:tcPr>
          <w:p w:rsidR="00014BAF" w:rsidRPr="00124B6E" w:rsidRDefault="00014BAF" w:rsidP="004F0C61">
            <w:pPr>
              <w:jc w:val="center"/>
              <w:rPr>
                <w:bCs/>
                <w:color w:val="000000"/>
                <w:sz w:val="19"/>
                <w:szCs w:val="19"/>
              </w:rPr>
            </w:pPr>
            <w:r w:rsidRPr="00124B6E">
              <w:rPr>
                <w:color w:val="000000"/>
                <w:sz w:val="19"/>
                <w:szCs w:val="19"/>
              </w:rPr>
              <w:t>35%</w:t>
            </w:r>
          </w:p>
        </w:tc>
      </w:tr>
      <w:tr w:rsidR="00A874AC" w:rsidRPr="00124B6E" w:rsidTr="00DC3249">
        <w:trPr>
          <w:trHeight w:val="488"/>
        </w:trPr>
        <w:tc>
          <w:tcPr>
            <w:tcW w:w="1520" w:type="dxa"/>
            <w:shd w:val="clear" w:color="auto" w:fill="D2EAF1"/>
            <w:noWrap/>
            <w:vAlign w:val="center"/>
          </w:tcPr>
          <w:p w:rsidR="00014BAF" w:rsidRPr="00124B6E" w:rsidRDefault="00014BAF" w:rsidP="00DC3249">
            <w:pPr>
              <w:jc w:val="left"/>
              <w:rPr>
                <w:b/>
                <w:bCs/>
                <w:color w:val="000000"/>
                <w:sz w:val="19"/>
                <w:szCs w:val="19"/>
              </w:rPr>
            </w:pPr>
            <w:r w:rsidRPr="00124B6E">
              <w:rPr>
                <w:sz w:val="19"/>
                <w:szCs w:val="19"/>
              </w:rPr>
              <w:t>Large whole-building Q1–Q3</w:t>
            </w:r>
          </w:p>
        </w:tc>
        <w:tc>
          <w:tcPr>
            <w:tcW w:w="2430" w:type="dxa"/>
            <w:shd w:val="clear" w:color="auto" w:fill="D2EAF1"/>
            <w:noWrap/>
            <w:vAlign w:val="center"/>
          </w:tcPr>
          <w:p w:rsidR="00014BAF" w:rsidRPr="00124B6E" w:rsidRDefault="00014BAF" w:rsidP="004F0C61">
            <w:pPr>
              <w:jc w:val="center"/>
              <w:rPr>
                <w:b/>
                <w:bCs/>
                <w:color w:val="000000"/>
                <w:sz w:val="19"/>
                <w:szCs w:val="19"/>
              </w:rPr>
            </w:pPr>
            <w:r w:rsidRPr="00124B6E">
              <w:rPr>
                <w:color w:val="000000"/>
                <w:sz w:val="19"/>
                <w:szCs w:val="19"/>
              </w:rPr>
              <w:t>0.36</w:t>
            </w:r>
          </w:p>
        </w:tc>
        <w:tc>
          <w:tcPr>
            <w:tcW w:w="1440" w:type="dxa"/>
            <w:shd w:val="clear" w:color="auto" w:fill="D2EAF1"/>
            <w:noWrap/>
            <w:vAlign w:val="center"/>
          </w:tcPr>
          <w:p w:rsidR="00014BAF" w:rsidRPr="00124B6E" w:rsidRDefault="00014BAF" w:rsidP="004F0C61">
            <w:pPr>
              <w:jc w:val="center"/>
              <w:rPr>
                <w:b/>
                <w:bCs/>
                <w:color w:val="000000"/>
                <w:sz w:val="19"/>
                <w:szCs w:val="19"/>
              </w:rPr>
            </w:pPr>
            <w:r w:rsidRPr="00124B6E">
              <w:rPr>
                <w:color w:val="000000"/>
                <w:sz w:val="19"/>
                <w:szCs w:val="19"/>
              </w:rPr>
              <w:t>15%</w:t>
            </w:r>
          </w:p>
        </w:tc>
        <w:tc>
          <w:tcPr>
            <w:tcW w:w="2250" w:type="dxa"/>
            <w:shd w:val="clear" w:color="auto" w:fill="D2EAF1"/>
            <w:noWrap/>
            <w:vAlign w:val="center"/>
          </w:tcPr>
          <w:p w:rsidR="00014BAF" w:rsidRPr="00124B6E" w:rsidRDefault="00014BAF" w:rsidP="004F0C61">
            <w:pPr>
              <w:jc w:val="center"/>
              <w:rPr>
                <w:b/>
                <w:bCs/>
                <w:color w:val="000000"/>
                <w:sz w:val="19"/>
                <w:szCs w:val="19"/>
              </w:rPr>
            </w:pPr>
            <w:r w:rsidRPr="00124B6E">
              <w:rPr>
                <w:color w:val="000000"/>
                <w:sz w:val="19"/>
                <w:szCs w:val="19"/>
              </w:rPr>
              <w:t>0.45</w:t>
            </w:r>
          </w:p>
        </w:tc>
        <w:tc>
          <w:tcPr>
            <w:tcW w:w="1710" w:type="dxa"/>
            <w:shd w:val="clear" w:color="auto" w:fill="D2EAF1"/>
            <w:noWrap/>
            <w:vAlign w:val="center"/>
          </w:tcPr>
          <w:p w:rsidR="00014BAF" w:rsidRPr="00124B6E" w:rsidRDefault="00014BAF" w:rsidP="004F0C61">
            <w:pPr>
              <w:jc w:val="center"/>
              <w:rPr>
                <w:b/>
                <w:bCs/>
                <w:color w:val="000000"/>
                <w:sz w:val="19"/>
                <w:szCs w:val="19"/>
              </w:rPr>
            </w:pPr>
            <w:r w:rsidRPr="00124B6E">
              <w:rPr>
                <w:color w:val="000000"/>
                <w:sz w:val="19"/>
                <w:szCs w:val="19"/>
              </w:rPr>
              <w:t>19%</w:t>
            </w:r>
          </w:p>
        </w:tc>
      </w:tr>
      <w:tr w:rsidR="00E7173E" w:rsidRPr="00124B6E" w:rsidTr="00AF6BD2">
        <w:trPr>
          <w:trHeight w:val="488"/>
        </w:trPr>
        <w:tc>
          <w:tcPr>
            <w:tcW w:w="1520" w:type="dxa"/>
            <w:shd w:val="clear" w:color="auto" w:fill="auto"/>
            <w:noWrap/>
            <w:vAlign w:val="center"/>
          </w:tcPr>
          <w:p w:rsidR="00014BAF" w:rsidRPr="00124B6E" w:rsidRDefault="00014BAF" w:rsidP="00DC3249">
            <w:pPr>
              <w:jc w:val="left"/>
              <w:rPr>
                <w:b/>
                <w:bCs/>
                <w:color w:val="000000"/>
                <w:sz w:val="19"/>
                <w:szCs w:val="19"/>
              </w:rPr>
            </w:pPr>
            <w:r w:rsidRPr="00124B6E">
              <w:rPr>
                <w:sz w:val="19"/>
                <w:szCs w:val="19"/>
              </w:rPr>
              <w:t>Large whole-building Q4–DZ</w:t>
            </w:r>
          </w:p>
        </w:tc>
        <w:tc>
          <w:tcPr>
            <w:tcW w:w="2430" w:type="dxa"/>
            <w:shd w:val="clear" w:color="auto" w:fill="auto"/>
            <w:noWrap/>
            <w:vAlign w:val="center"/>
          </w:tcPr>
          <w:p w:rsidR="00014BAF" w:rsidRPr="00124B6E" w:rsidRDefault="00014BAF" w:rsidP="004F0C61">
            <w:pPr>
              <w:jc w:val="center"/>
              <w:rPr>
                <w:b/>
                <w:bCs/>
                <w:color w:val="000000"/>
                <w:sz w:val="19"/>
                <w:szCs w:val="19"/>
              </w:rPr>
            </w:pPr>
            <w:r w:rsidRPr="00124B6E">
              <w:rPr>
                <w:color w:val="000000"/>
                <w:sz w:val="19"/>
                <w:szCs w:val="19"/>
              </w:rPr>
              <w:t>0.76</w:t>
            </w:r>
          </w:p>
        </w:tc>
        <w:tc>
          <w:tcPr>
            <w:tcW w:w="1440" w:type="dxa"/>
            <w:shd w:val="clear" w:color="auto" w:fill="auto"/>
            <w:noWrap/>
            <w:vAlign w:val="center"/>
          </w:tcPr>
          <w:p w:rsidR="00014BAF" w:rsidRPr="00124B6E" w:rsidRDefault="00014BAF" w:rsidP="004F0C61">
            <w:pPr>
              <w:jc w:val="center"/>
              <w:rPr>
                <w:b/>
                <w:bCs/>
                <w:color w:val="000000"/>
                <w:sz w:val="19"/>
                <w:szCs w:val="19"/>
              </w:rPr>
            </w:pPr>
            <w:r w:rsidRPr="00124B6E">
              <w:rPr>
                <w:color w:val="000000"/>
                <w:sz w:val="19"/>
                <w:szCs w:val="19"/>
              </w:rPr>
              <w:t>159%</w:t>
            </w:r>
          </w:p>
        </w:tc>
        <w:tc>
          <w:tcPr>
            <w:tcW w:w="2250" w:type="dxa"/>
            <w:shd w:val="clear" w:color="auto" w:fill="auto"/>
            <w:noWrap/>
            <w:vAlign w:val="center"/>
          </w:tcPr>
          <w:p w:rsidR="00014BAF" w:rsidRPr="00124B6E" w:rsidRDefault="00014BAF" w:rsidP="004F0C61">
            <w:pPr>
              <w:jc w:val="center"/>
              <w:rPr>
                <w:b/>
                <w:bCs/>
                <w:color w:val="000000"/>
                <w:sz w:val="19"/>
                <w:szCs w:val="19"/>
              </w:rPr>
            </w:pPr>
            <w:r w:rsidRPr="00124B6E">
              <w:rPr>
                <w:color w:val="000000"/>
                <w:sz w:val="19"/>
                <w:szCs w:val="19"/>
              </w:rPr>
              <w:t>0.61</w:t>
            </w:r>
          </w:p>
        </w:tc>
        <w:tc>
          <w:tcPr>
            <w:tcW w:w="1710" w:type="dxa"/>
            <w:shd w:val="clear" w:color="auto" w:fill="auto"/>
            <w:noWrap/>
            <w:vAlign w:val="center"/>
          </w:tcPr>
          <w:p w:rsidR="00014BAF" w:rsidRPr="00124B6E" w:rsidRDefault="00014BAF" w:rsidP="004F0C61">
            <w:pPr>
              <w:jc w:val="center"/>
              <w:rPr>
                <w:b/>
                <w:bCs/>
                <w:color w:val="000000"/>
                <w:sz w:val="19"/>
                <w:szCs w:val="19"/>
              </w:rPr>
            </w:pPr>
            <w:r w:rsidRPr="00124B6E">
              <w:rPr>
                <w:color w:val="000000"/>
                <w:sz w:val="19"/>
                <w:szCs w:val="19"/>
              </w:rPr>
              <w:t>127%</w:t>
            </w:r>
          </w:p>
        </w:tc>
      </w:tr>
      <w:tr w:rsidR="00A874AC" w:rsidRPr="00124B6E" w:rsidTr="00DC3249">
        <w:trPr>
          <w:trHeight w:val="488"/>
        </w:trPr>
        <w:tc>
          <w:tcPr>
            <w:tcW w:w="1520" w:type="dxa"/>
            <w:shd w:val="clear" w:color="auto" w:fill="D2EAF1"/>
            <w:noWrap/>
            <w:vAlign w:val="center"/>
          </w:tcPr>
          <w:p w:rsidR="00014BAF" w:rsidRPr="00124B6E" w:rsidRDefault="00014BAF" w:rsidP="00DC3249">
            <w:pPr>
              <w:jc w:val="left"/>
              <w:rPr>
                <w:b/>
                <w:bCs/>
                <w:color w:val="000000"/>
                <w:sz w:val="19"/>
                <w:szCs w:val="19"/>
              </w:rPr>
            </w:pPr>
            <w:r w:rsidRPr="00124B6E">
              <w:rPr>
                <w:sz w:val="19"/>
                <w:szCs w:val="19"/>
              </w:rPr>
              <w:t>Small whole-building Q1–Q3</w:t>
            </w:r>
          </w:p>
        </w:tc>
        <w:tc>
          <w:tcPr>
            <w:tcW w:w="2430" w:type="dxa"/>
            <w:shd w:val="clear" w:color="auto" w:fill="D2EAF1"/>
            <w:noWrap/>
            <w:vAlign w:val="center"/>
          </w:tcPr>
          <w:p w:rsidR="00014BAF" w:rsidRPr="00124B6E" w:rsidRDefault="00014BAF" w:rsidP="004F0C61">
            <w:pPr>
              <w:jc w:val="center"/>
              <w:rPr>
                <w:b/>
                <w:bCs/>
                <w:color w:val="000000"/>
                <w:sz w:val="19"/>
                <w:szCs w:val="19"/>
              </w:rPr>
            </w:pPr>
            <w:r w:rsidRPr="00124B6E">
              <w:rPr>
                <w:sz w:val="19"/>
                <w:szCs w:val="19"/>
              </w:rPr>
              <w:t>0.00</w:t>
            </w:r>
          </w:p>
        </w:tc>
        <w:tc>
          <w:tcPr>
            <w:tcW w:w="1440" w:type="dxa"/>
            <w:shd w:val="clear" w:color="auto" w:fill="D2EAF1"/>
            <w:noWrap/>
            <w:vAlign w:val="center"/>
          </w:tcPr>
          <w:p w:rsidR="00014BAF" w:rsidRPr="00124B6E" w:rsidRDefault="00014BAF" w:rsidP="004F0C61">
            <w:pPr>
              <w:jc w:val="center"/>
              <w:rPr>
                <w:b/>
                <w:bCs/>
                <w:color w:val="000000"/>
                <w:sz w:val="19"/>
                <w:szCs w:val="19"/>
              </w:rPr>
            </w:pPr>
            <w:r w:rsidRPr="00124B6E">
              <w:rPr>
                <w:sz w:val="19"/>
                <w:szCs w:val="19"/>
              </w:rPr>
              <w:t>0%</w:t>
            </w:r>
          </w:p>
        </w:tc>
        <w:tc>
          <w:tcPr>
            <w:tcW w:w="2250" w:type="dxa"/>
            <w:shd w:val="clear" w:color="auto" w:fill="D2EAF1"/>
            <w:noWrap/>
            <w:vAlign w:val="center"/>
          </w:tcPr>
          <w:p w:rsidR="00014BAF" w:rsidRPr="00124B6E" w:rsidRDefault="00014BAF" w:rsidP="004F0C61">
            <w:pPr>
              <w:jc w:val="center"/>
              <w:rPr>
                <w:b/>
                <w:bCs/>
                <w:color w:val="000000"/>
                <w:sz w:val="19"/>
                <w:szCs w:val="19"/>
              </w:rPr>
            </w:pPr>
            <w:r w:rsidRPr="00124B6E">
              <w:rPr>
                <w:sz w:val="19"/>
                <w:szCs w:val="19"/>
              </w:rPr>
              <w:t>0.46</w:t>
            </w:r>
          </w:p>
        </w:tc>
        <w:tc>
          <w:tcPr>
            <w:tcW w:w="1710" w:type="dxa"/>
            <w:shd w:val="clear" w:color="auto" w:fill="D2EAF1"/>
            <w:noWrap/>
            <w:vAlign w:val="center"/>
          </w:tcPr>
          <w:p w:rsidR="00014BAF" w:rsidRPr="00124B6E" w:rsidRDefault="00014BAF" w:rsidP="004F0C61">
            <w:pPr>
              <w:jc w:val="center"/>
              <w:rPr>
                <w:b/>
                <w:bCs/>
                <w:color w:val="000000"/>
                <w:sz w:val="19"/>
                <w:szCs w:val="19"/>
              </w:rPr>
            </w:pPr>
            <w:r w:rsidRPr="00124B6E">
              <w:rPr>
                <w:sz w:val="19"/>
                <w:szCs w:val="19"/>
              </w:rPr>
              <w:t>78%</w:t>
            </w:r>
          </w:p>
        </w:tc>
      </w:tr>
      <w:tr w:rsidR="00E7173E" w:rsidRPr="00124B6E" w:rsidTr="00AF6BD2">
        <w:trPr>
          <w:trHeight w:val="489"/>
        </w:trPr>
        <w:tc>
          <w:tcPr>
            <w:tcW w:w="1520" w:type="dxa"/>
            <w:shd w:val="clear" w:color="auto" w:fill="auto"/>
            <w:noWrap/>
            <w:vAlign w:val="center"/>
          </w:tcPr>
          <w:p w:rsidR="00014BAF" w:rsidRPr="00124B6E" w:rsidRDefault="00014BAF" w:rsidP="00DC3249">
            <w:pPr>
              <w:jc w:val="left"/>
              <w:rPr>
                <w:b/>
                <w:bCs/>
                <w:color w:val="000000"/>
                <w:sz w:val="19"/>
                <w:szCs w:val="19"/>
              </w:rPr>
            </w:pPr>
            <w:r w:rsidRPr="00124B6E">
              <w:rPr>
                <w:b/>
                <w:sz w:val="19"/>
                <w:szCs w:val="19"/>
              </w:rPr>
              <w:t>Program Total</w:t>
            </w:r>
          </w:p>
        </w:tc>
        <w:tc>
          <w:tcPr>
            <w:tcW w:w="2430" w:type="dxa"/>
            <w:shd w:val="clear" w:color="auto" w:fill="auto"/>
            <w:noWrap/>
            <w:vAlign w:val="center"/>
          </w:tcPr>
          <w:p w:rsidR="00014BAF" w:rsidRPr="00124B6E" w:rsidRDefault="00014BAF" w:rsidP="004F0C61">
            <w:pPr>
              <w:jc w:val="center"/>
              <w:rPr>
                <w:b/>
                <w:bCs/>
                <w:color w:val="000000"/>
                <w:sz w:val="19"/>
                <w:szCs w:val="19"/>
              </w:rPr>
            </w:pPr>
          </w:p>
        </w:tc>
        <w:tc>
          <w:tcPr>
            <w:tcW w:w="1440" w:type="dxa"/>
            <w:shd w:val="clear" w:color="auto" w:fill="auto"/>
            <w:noWrap/>
            <w:vAlign w:val="center"/>
          </w:tcPr>
          <w:p w:rsidR="00014BAF" w:rsidRPr="00124B6E" w:rsidRDefault="00014BAF" w:rsidP="004F0C61">
            <w:pPr>
              <w:jc w:val="center"/>
              <w:rPr>
                <w:b/>
                <w:bCs/>
                <w:color w:val="000000"/>
                <w:sz w:val="19"/>
                <w:szCs w:val="19"/>
              </w:rPr>
            </w:pPr>
            <w:r w:rsidRPr="00124B6E">
              <w:rPr>
                <w:b/>
                <w:sz w:val="19"/>
                <w:szCs w:val="19"/>
              </w:rPr>
              <w:t>29%</w:t>
            </w:r>
          </w:p>
        </w:tc>
        <w:tc>
          <w:tcPr>
            <w:tcW w:w="2250" w:type="dxa"/>
            <w:shd w:val="clear" w:color="auto" w:fill="auto"/>
            <w:noWrap/>
            <w:vAlign w:val="center"/>
          </w:tcPr>
          <w:p w:rsidR="00014BAF" w:rsidRPr="00124B6E" w:rsidRDefault="00014BAF" w:rsidP="004F0C61">
            <w:pPr>
              <w:rPr>
                <w:b/>
                <w:bCs/>
                <w:color w:val="000000"/>
                <w:sz w:val="19"/>
                <w:szCs w:val="19"/>
              </w:rPr>
            </w:pPr>
          </w:p>
        </w:tc>
        <w:tc>
          <w:tcPr>
            <w:tcW w:w="1710" w:type="dxa"/>
            <w:shd w:val="clear" w:color="auto" w:fill="auto"/>
            <w:noWrap/>
            <w:vAlign w:val="center"/>
          </w:tcPr>
          <w:p w:rsidR="00014BAF" w:rsidRPr="00124B6E" w:rsidRDefault="00014BAF" w:rsidP="004F0C61">
            <w:pPr>
              <w:jc w:val="center"/>
              <w:rPr>
                <w:b/>
                <w:bCs/>
                <w:color w:val="000000"/>
                <w:sz w:val="19"/>
                <w:szCs w:val="19"/>
              </w:rPr>
            </w:pPr>
            <w:r w:rsidRPr="00124B6E">
              <w:rPr>
                <w:b/>
                <w:sz w:val="19"/>
                <w:szCs w:val="19"/>
              </w:rPr>
              <w:t>22%</w:t>
            </w:r>
          </w:p>
        </w:tc>
      </w:tr>
    </w:tbl>
    <w:p w:rsidR="00014BAF" w:rsidRPr="003458B1" w:rsidRDefault="00014BAF" w:rsidP="00014BAF"/>
    <w:p w:rsidR="00014BAF" w:rsidRDefault="00014BAF" w:rsidP="00014BAF">
      <w:r w:rsidRPr="003458B1">
        <w:t xml:space="preserve">The adjustments made to the sampling strategy were not sufficient </w:t>
      </w:r>
      <w:r>
        <w:t>to</w:t>
      </w:r>
      <w:r w:rsidRPr="003458B1">
        <w:t xml:space="preserve"> exceed the SWE Team requirements of confidence</w:t>
      </w:r>
      <w:r>
        <w:t>/</w:t>
      </w:r>
      <w:r w:rsidRPr="003458B1">
        <w:t xml:space="preserve">precision levels as specified in the Evaluation Framework. </w:t>
      </w:r>
      <w:r>
        <w:t xml:space="preserve">The SWE inquired with PECO as to what the results would be if the evaluator had adhered to the original sampling strategy and was provided the alternative coefficients of variation and relative precision seen in </w:t>
      </w:r>
      <w:r>
        <w:rPr>
          <w:highlight w:val="yellow"/>
        </w:rPr>
        <w:fldChar w:fldCharType="begin"/>
      </w:r>
      <w:r>
        <w:instrText xml:space="preserve"> REF _Ref472469935 \h </w:instrText>
      </w:r>
      <w:r>
        <w:rPr>
          <w:highlight w:val="yellow"/>
        </w:rPr>
      </w:r>
      <w:r>
        <w:rPr>
          <w:highlight w:val="yellow"/>
        </w:rPr>
        <w:fldChar w:fldCharType="separate"/>
      </w:r>
      <w:r w:rsidR="00037CB4" w:rsidRPr="003458B1">
        <w:t>Table A-</w:t>
      </w:r>
      <w:r w:rsidR="00037CB4">
        <w:rPr>
          <w:noProof/>
        </w:rPr>
        <w:t>118</w:t>
      </w:r>
      <w:r>
        <w:rPr>
          <w:highlight w:val="yellow"/>
        </w:rPr>
        <w:fldChar w:fldCharType="end"/>
      </w:r>
      <w:r>
        <w:t>. The SWE approves the modified sampling approach used by PECO.</w:t>
      </w:r>
    </w:p>
    <w:p w:rsidR="00014BAF" w:rsidRDefault="00014BAF" w:rsidP="00014BAF"/>
    <w:p w:rsidR="00014BAF" w:rsidRPr="003458B1" w:rsidRDefault="00014BAF" w:rsidP="004837FA">
      <w:pPr>
        <w:pStyle w:val="Caption"/>
      </w:pPr>
      <w:bookmarkStart w:id="1170" w:name="_Ref472469935"/>
      <w:bookmarkStart w:id="1171" w:name="_Toc472472527"/>
      <w:bookmarkStart w:id="1172" w:name="_Toc488741946"/>
      <w:r w:rsidRPr="003458B1">
        <w:t>Table A-</w:t>
      </w:r>
      <w:r w:rsidR="007973A4">
        <w:fldChar w:fldCharType="begin"/>
      </w:r>
      <w:r w:rsidR="007973A4">
        <w:instrText xml:space="preserve"> SEQ Table_A- \* ARABIC </w:instrText>
      </w:r>
      <w:r w:rsidR="007973A4">
        <w:fldChar w:fldCharType="separate"/>
      </w:r>
      <w:r w:rsidR="00037CB4">
        <w:rPr>
          <w:noProof/>
        </w:rPr>
        <w:t>118</w:t>
      </w:r>
      <w:r w:rsidR="007973A4">
        <w:rPr>
          <w:noProof/>
        </w:rPr>
        <w:fldChar w:fldCharType="end"/>
      </w:r>
      <w:bookmarkEnd w:id="1170"/>
      <w:r w:rsidRPr="003458B1">
        <w:t>: Observed Coefficients of Variation and Relative Precisions – PECO’s SCI Program</w:t>
      </w:r>
      <w:r>
        <w:t xml:space="preserve"> (Original Sampling Approach, Results Not Used)</w:t>
      </w:r>
      <w:bookmarkEnd w:id="1171"/>
      <w:bookmarkEnd w:id="1172"/>
    </w:p>
    <w:tbl>
      <w:tblPr>
        <w:tblW w:w="944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2250"/>
        <w:gridCol w:w="1440"/>
        <w:gridCol w:w="2250"/>
        <w:gridCol w:w="1800"/>
      </w:tblGrid>
      <w:tr w:rsidR="00A874AC" w:rsidRPr="00124B6E" w:rsidTr="00DC3249">
        <w:trPr>
          <w:trHeight w:val="844"/>
        </w:trPr>
        <w:tc>
          <w:tcPr>
            <w:tcW w:w="1700" w:type="dxa"/>
            <w:shd w:val="clear" w:color="000000" w:fill="448A99"/>
            <w:vAlign w:val="bottom"/>
            <w:hideMark/>
          </w:tcPr>
          <w:p w:rsidR="00014BAF" w:rsidRPr="00124B6E" w:rsidRDefault="00014BAF" w:rsidP="004F0C61">
            <w:pPr>
              <w:rPr>
                <w:b/>
                <w:bCs/>
                <w:color w:val="FFFFFF"/>
                <w:sz w:val="19"/>
                <w:szCs w:val="19"/>
              </w:rPr>
            </w:pPr>
            <w:r w:rsidRPr="00124B6E">
              <w:rPr>
                <w:b/>
                <w:bCs/>
                <w:color w:val="FFFFFF"/>
                <w:sz w:val="19"/>
                <w:szCs w:val="19"/>
              </w:rPr>
              <w:t>Stratum</w:t>
            </w:r>
          </w:p>
        </w:tc>
        <w:tc>
          <w:tcPr>
            <w:tcW w:w="225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Energy</w:t>
            </w:r>
          </w:p>
        </w:tc>
        <w:tc>
          <w:tcPr>
            <w:tcW w:w="144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Energy</w:t>
            </w:r>
          </w:p>
        </w:tc>
        <w:tc>
          <w:tcPr>
            <w:tcW w:w="225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Demand</w:t>
            </w:r>
          </w:p>
        </w:tc>
        <w:tc>
          <w:tcPr>
            <w:tcW w:w="180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Demand</w:t>
            </w:r>
          </w:p>
        </w:tc>
      </w:tr>
      <w:tr w:rsidR="00A874AC" w:rsidRPr="00124B6E" w:rsidTr="00DC3249">
        <w:trPr>
          <w:trHeight w:val="488"/>
        </w:trPr>
        <w:tc>
          <w:tcPr>
            <w:tcW w:w="1700" w:type="dxa"/>
            <w:shd w:val="clear" w:color="000000" w:fill="D2EAF1"/>
            <w:noWrap/>
            <w:vAlign w:val="center"/>
          </w:tcPr>
          <w:p w:rsidR="00014BAF" w:rsidRPr="00124B6E" w:rsidRDefault="00014BAF" w:rsidP="004F0C61">
            <w:pPr>
              <w:jc w:val="left"/>
              <w:rPr>
                <w:bCs/>
                <w:color w:val="000000"/>
                <w:sz w:val="19"/>
                <w:szCs w:val="19"/>
              </w:rPr>
            </w:pPr>
            <w:r w:rsidRPr="00124B6E">
              <w:rPr>
                <w:sz w:val="19"/>
                <w:szCs w:val="19"/>
              </w:rPr>
              <w:t>Large</w:t>
            </w:r>
          </w:p>
        </w:tc>
        <w:tc>
          <w:tcPr>
            <w:tcW w:w="22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1.07</w:t>
            </w:r>
          </w:p>
        </w:tc>
        <w:tc>
          <w:tcPr>
            <w:tcW w:w="144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42%</w:t>
            </w:r>
          </w:p>
        </w:tc>
        <w:tc>
          <w:tcPr>
            <w:tcW w:w="22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0.91</w:t>
            </w:r>
          </w:p>
        </w:tc>
        <w:tc>
          <w:tcPr>
            <w:tcW w:w="180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36%</w:t>
            </w:r>
          </w:p>
        </w:tc>
      </w:tr>
      <w:tr w:rsidR="00E7173E" w:rsidRPr="00124B6E" w:rsidTr="00AF6BD2">
        <w:trPr>
          <w:trHeight w:val="488"/>
        </w:trPr>
        <w:tc>
          <w:tcPr>
            <w:tcW w:w="1700" w:type="dxa"/>
            <w:shd w:val="clear" w:color="auto" w:fill="auto"/>
            <w:noWrap/>
            <w:vAlign w:val="center"/>
          </w:tcPr>
          <w:p w:rsidR="00014BAF" w:rsidRPr="00124B6E" w:rsidRDefault="00014BAF" w:rsidP="004F0C61">
            <w:pPr>
              <w:jc w:val="left"/>
              <w:rPr>
                <w:bCs/>
                <w:color w:val="000000"/>
                <w:sz w:val="19"/>
                <w:szCs w:val="19"/>
              </w:rPr>
            </w:pPr>
            <w:r w:rsidRPr="00124B6E">
              <w:rPr>
                <w:sz w:val="19"/>
                <w:szCs w:val="19"/>
              </w:rPr>
              <w:t>Small</w:t>
            </w:r>
          </w:p>
        </w:tc>
        <w:tc>
          <w:tcPr>
            <w:tcW w:w="225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0.36</w:t>
            </w:r>
          </w:p>
        </w:tc>
        <w:tc>
          <w:tcPr>
            <w:tcW w:w="144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15%</w:t>
            </w:r>
          </w:p>
        </w:tc>
        <w:tc>
          <w:tcPr>
            <w:tcW w:w="225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0.48</w:t>
            </w:r>
          </w:p>
        </w:tc>
        <w:tc>
          <w:tcPr>
            <w:tcW w:w="1800" w:type="dxa"/>
            <w:shd w:val="clear" w:color="auto" w:fill="auto"/>
            <w:noWrap/>
            <w:vAlign w:val="center"/>
          </w:tcPr>
          <w:p w:rsidR="00014BAF" w:rsidRPr="00124B6E" w:rsidRDefault="00014BAF" w:rsidP="004F0C61">
            <w:pPr>
              <w:jc w:val="center"/>
              <w:rPr>
                <w:color w:val="000000"/>
                <w:sz w:val="19"/>
                <w:szCs w:val="19"/>
              </w:rPr>
            </w:pPr>
            <w:r w:rsidRPr="00124B6E">
              <w:rPr>
                <w:sz w:val="19"/>
                <w:szCs w:val="19"/>
              </w:rPr>
              <w:t>19%</w:t>
            </w:r>
          </w:p>
        </w:tc>
      </w:tr>
      <w:tr w:rsidR="00A874AC" w:rsidRPr="00124B6E" w:rsidTr="00DC3249">
        <w:trPr>
          <w:trHeight w:val="488"/>
        </w:trPr>
        <w:tc>
          <w:tcPr>
            <w:tcW w:w="1700" w:type="dxa"/>
            <w:shd w:val="clear" w:color="000000" w:fill="D2EAF1"/>
            <w:noWrap/>
            <w:vAlign w:val="center"/>
          </w:tcPr>
          <w:p w:rsidR="00014BAF" w:rsidRPr="00124B6E" w:rsidRDefault="00014BAF" w:rsidP="004F0C61">
            <w:pPr>
              <w:jc w:val="left"/>
              <w:rPr>
                <w:bCs/>
                <w:color w:val="000000"/>
                <w:sz w:val="19"/>
                <w:szCs w:val="19"/>
              </w:rPr>
            </w:pPr>
            <w:r w:rsidRPr="00124B6E">
              <w:rPr>
                <w:sz w:val="19"/>
                <w:szCs w:val="19"/>
              </w:rPr>
              <w:t>Large Whole Building</w:t>
            </w:r>
          </w:p>
        </w:tc>
        <w:tc>
          <w:tcPr>
            <w:tcW w:w="22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0.51</w:t>
            </w:r>
          </w:p>
        </w:tc>
        <w:tc>
          <w:tcPr>
            <w:tcW w:w="144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19%</w:t>
            </w:r>
          </w:p>
        </w:tc>
        <w:tc>
          <w:tcPr>
            <w:tcW w:w="225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0.56</w:t>
            </w:r>
          </w:p>
        </w:tc>
        <w:tc>
          <w:tcPr>
            <w:tcW w:w="1800" w:type="dxa"/>
            <w:shd w:val="clear" w:color="000000" w:fill="D2EAF1"/>
            <w:noWrap/>
            <w:vAlign w:val="center"/>
          </w:tcPr>
          <w:p w:rsidR="00014BAF" w:rsidRPr="00124B6E" w:rsidRDefault="00014BAF" w:rsidP="004F0C61">
            <w:pPr>
              <w:jc w:val="center"/>
              <w:rPr>
                <w:color w:val="000000"/>
                <w:sz w:val="19"/>
                <w:szCs w:val="19"/>
              </w:rPr>
            </w:pPr>
            <w:r w:rsidRPr="00124B6E">
              <w:rPr>
                <w:sz w:val="19"/>
                <w:szCs w:val="19"/>
              </w:rPr>
              <w:t>21%</w:t>
            </w:r>
          </w:p>
        </w:tc>
      </w:tr>
      <w:tr w:rsidR="00E7173E" w:rsidRPr="00124B6E" w:rsidTr="00AF6BD2">
        <w:trPr>
          <w:trHeight w:val="488"/>
        </w:trPr>
        <w:tc>
          <w:tcPr>
            <w:tcW w:w="1700" w:type="dxa"/>
            <w:shd w:val="clear" w:color="auto" w:fill="auto"/>
            <w:noWrap/>
            <w:vAlign w:val="center"/>
          </w:tcPr>
          <w:p w:rsidR="00014BAF" w:rsidRPr="00124B6E" w:rsidRDefault="00014BAF" w:rsidP="004F0C61">
            <w:pPr>
              <w:jc w:val="left"/>
              <w:rPr>
                <w:b/>
                <w:bCs/>
                <w:color w:val="000000"/>
                <w:sz w:val="19"/>
                <w:szCs w:val="19"/>
              </w:rPr>
            </w:pPr>
            <w:r w:rsidRPr="00124B6E">
              <w:rPr>
                <w:sz w:val="19"/>
                <w:szCs w:val="19"/>
              </w:rPr>
              <w:t>Small Whole Building</w:t>
            </w:r>
          </w:p>
        </w:tc>
        <w:tc>
          <w:tcPr>
            <w:tcW w:w="2250" w:type="dxa"/>
            <w:shd w:val="clear" w:color="auto" w:fill="auto"/>
            <w:noWrap/>
            <w:vAlign w:val="center"/>
          </w:tcPr>
          <w:p w:rsidR="00014BAF" w:rsidRPr="00124B6E" w:rsidRDefault="00014BAF" w:rsidP="004F0C61">
            <w:pPr>
              <w:jc w:val="center"/>
              <w:rPr>
                <w:bCs/>
                <w:color w:val="000000"/>
                <w:sz w:val="19"/>
                <w:szCs w:val="19"/>
              </w:rPr>
            </w:pPr>
            <w:r w:rsidRPr="00124B6E">
              <w:rPr>
                <w:sz w:val="19"/>
                <w:szCs w:val="19"/>
              </w:rPr>
              <w:t>0.00</w:t>
            </w:r>
          </w:p>
        </w:tc>
        <w:tc>
          <w:tcPr>
            <w:tcW w:w="1440" w:type="dxa"/>
            <w:shd w:val="clear" w:color="auto" w:fill="auto"/>
            <w:noWrap/>
            <w:vAlign w:val="center"/>
          </w:tcPr>
          <w:p w:rsidR="00014BAF" w:rsidRPr="00124B6E" w:rsidRDefault="00014BAF" w:rsidP="004F0C61">
            <w:pPr>
              <w:jc w:val="center"/>
              <w:rPr>
                <w:bCs/>
                <w:color w:val="000000"/>
                <w:sz w:val="19"/>
                <w:szCs w:val="19"/>
              </w:rPr>
            </w:pPr>
            <w:r w:rsidRPr="00124B6E">
              <w:rPr>
                <w:sz w:val="19"/>
                <w:szCs w:val="19"/>
              </w:rPr>
              <w:t>0%</w:t>
            </w:r>
          </w:p>
        </w:tc>
        <w:tc>
          <w:tcPr>
            <w:tcW w:w="2250" w:type="dxa"/>
            <w:shd w:val="clear" w:color="auto" w:fill="auto"/>
            <w:noWrap/>
            <w:vAlign w:val="center"/>
          </w:tcPr>
          <w:p w:rsidR="00014BAF" w:rsidRPr="00124B6E" w:rsidRDefault="00014BAF" w:rsidP="004F0C61">
            <w:pPr>
              <w:jc w:val="center"/>
              <w:rPr>
                <w:bCs/>
                <w:color w:val="000000"/>
                <w:sz w:val="19"/>
                <w:szCs w:val="19"/>
              </w:rPr>
            </w:pPr>
            <w:r w:rsidRPr="00124B6E">
              <w:rPr>
                <w:sz w:val="19"/>
                <w:szCs w:val="19"/>
              </w:rPr>
              <w:t>0.46</w:t>
            </w:r>
          </w:p>
        </w:tc>
        <w:tc>
          <w:tcPr>
            <w:tcW w:w="1800" w:type="dxa"/>
            <w:shd w:val="clear" w:color="auto" w:fill="auto"/>
            <w:noWrap/>
            <w:vAlign w:val="center"/>
          </w:tcPr>
          <w:p w:rsidR="00014BAF" w:rsidRPr="00124B6E" w:rsidRDefault="00014BAF" w:rsidP="004F0C61">
            <w:pPr>
              <w:jc w:val="center"/>
              <w:rPr>
                <w:bCs/>
                <w:color w:val="000000"/>
                <w:sz w:val="19"/>
                <w:szCs w:val="19"/>
              </w:rPr>
            </w:pPr>
            <w:r w:rsidRPr="00124B6E">
              <w:rPr>
                <w:sz w:val="19"/>
                <w:szCs w:val="19"/>
              </w:rPr>
              <w:t>78%</w:t>
            </w:r>
          </w:p>
        </w:tc>
      </w:tr>
      <w:tr w:rsidR="00A874AC" w:rsidRPr="00124B6E" w:rsidTr="00DC3249">
        <w:trPr>
          <w:trHeight w:val="489"/>
        </w:trPr>
        <w:tc>
          <w:tcPr>
            <w:tcW w:w="1700" w:type="dxa"/>
            <w:shd w:val="clear" w:color="auto" w:fill="D2EAF1"/>
            <w:noWrap/>
            <w:vAlign w:val="center"/>
          </w:tcPr>
          <w:p w:rsidR="00014BAF" w:rsidRPr="00124B6E" w:rsidRDefault="00014BAF" w:rsidP="004F0C61">
            <w:pPr>
              <w:rPr>
                <w:b/>
                <w:bCs/>
                <w:color w:val="000000"/>
                <w:sz w:val="19"/>
                <w:szCs w:val="19"/>
              </w:rPr>
            </w:pPr>
            <w:r w:rsidRPr="00124B6E">
              <w:rPr>
                <w:b/>
                <w:sz w:val="19"/>
                <w:szCs w:val="19"/>
              </w:rPr>
              <w:t>Program Total</w:t>
            </w:r>
          </w:p>
        </w:tc>
        <w:tc>
          <w:tcPr>
            <w:tcW w:w="2250" w:type="dxa"/>
            <w:shd w:val="clear" w:color="auto" w:fill="D2EAF1"/>
            <w:noWrap/>
            <w:vAlign w:val="center"/>
          </w:tcPr>
          <w:p w:rsidR="00014BAF" w:rsidRPr="00124B6E" w:rsidRDefault="00014BAF" w:rsidP="004F0C61">
            <w:pPr>
              <w:jc w:val="center"/>
              <w:rPr>
                <w:b/>
                <w:bCs/>
                <w:color w:val="000000"/>
                <w:sz w:val="19"/>
                <w:szCs w:val="19"/>
              </w:rPr>
            </w:pPr>
          </w:p>
        </w:tc>
        <w:tc>
          <w:tcPr>
            <w:tcW w:w="1440" w:type="dxa"/>
            <w:shd w:val="clear" w:color="auto" w:fill="D2EAF1"/>
            <w:noWrap/>
            <w:vAlign w:val="center"/>
          </w:tcPr>
          <w:p w:rsidR="00014BAF" w:rsidRPr="00124B6E" w:rsidRDefault="00014BAF" w:rsidP="004F0C61">
            <w:pPr>
              <w:jc w:val="center"/>
              <w:rPr>
                <w:b/>
                <w:bCs/>
                <w:color w:val="000000"/>
                <w:sz w:val="19"/>
                <w:szCs w:val="19"/>
              </w:rPr>
            </w:pPr>
            <w:r w:rsidRPr="00124B6E">
              <w:rPr>
                <w:b/>
                <w:sz w:val="19"/>
                <w:szCs w:val="19"/>
              </w:rPr>
              <w:t>20%</w:t>
            </w:r>
          </w:p>
        </w:tc>
        <w:tc>
          <w:tcPr>
            <w:tcW w:w="2250" w:type="dxa"/>
            <w:shd w:val="clear" w:color="auto" w:fill="D2EAF1"/>
            <w:noWrap/>
            <w:vAlign w:val="center"/>
          </w:tcPr>
          <w:p w:rsidR="00014BAF" w:rsidRPr="00124B6E" w:rsidRDefault="00014BAF" w:rsidP="004F0C61">
            <w:pPr>
              <w:jc w:val="center"/>
              <w:rPr>
                <w:b/>
                <w:bCs/>
                <w:color w:val="000000"/>
                <w:sz w:val="19"/>
                <w:szCs w:val="19"/>
              </w:rPr>
            </w:pPr>
          </w:p>
        </w:tc>
        <w:tc>
          <w:tcPr>
            <w:tcW w:w="1800" w:type="dxa"/>
            <w:shd w:val="clear" w:color="auto" w:fill="D2EAF1"/>
            <w:noWrap/>
            <w:vAlign w:val="center"/>
          </w:tcPr>
          <w:p w:rsidR="00014BAF" w:rsidRPr="00124B6E" w:rsidRDefault="00014BAF" w:rsidP="004F0C61">
            <w:pPr>
              <w:jc w:val="center"/>
              <w:rPr>
                <w:b/>
                <w:bCs/>
                <w:color w:val="000000"/>
                <w:sz w:val="19"/>
                <w:szCs w:val="19"/>
              </w:rPr>
            </w:pPr>
            <w:r w:rsidRPr="00124B6E">
              <w:rPr>
                <w:b/>
                <w:sz w:val="19"/>
                <w:szCs w:val="19"/>
              </w:rPr>
              <w:t>19%</w:t>
            </w:r>
          </w:p>
        </w:tc>
      </w:tr>
    </w:tbl>
    <w:p w:rsidR="00014BAF" w:rsidRDefault="00014BAF" w:rsidP="00014BAF"/>
    <w:p w:rsidR="00014BAF" w:rsidRPr="003458B1" w:rsidRDefault="00014BAF" w:rsidP="008C7396">
      <w:pPr>
        <w:pStyle w:val="AppendixAHeading5"/>
      </w:pPr>
      <w:r w:rsidRPr="003458B1">
        <w:t>Smart Business Solutions Program</w:t>
      </w:r>
    </w:p>
    <w:p w:rsidR="00014BAF" w:rsidRPr="003458B1" w:rsidRDefault="00014BAF" w:rsidP="00014BAF">
      <w:r w:rsidRPr="003458B1">
        <w:t>The SBS Program was launched in PY5. The participant sample design is at the project level. The method used was stratified random sampling, with samples being pulled from the population of participants in the PY6 tr</w:t>
      </w:r>
      <w:r w:rsidR="009845FB">
        <w:t>acking database. There were</w:t>
      </w:r>
      <w:r w:rsidRPr="003458B1">
        <w:t xml:space="preserve"> fewer projects in PY7 due to cost overruns in PY6, and </w:t>
      </w:r>
      <w:r>
        <w:t>about</w:t>
      </w:r>
      <w:r w:rsidRPr="003458B1">
        <w:t xml:space="preserve"> 3% were GNI projects. The lower project count allowed for stratification of only two groups instead of the four used in prior years. The details of the sampling strategy for this program are shown in </w:t>
      </w:r>
      <w:r w:rsidRPr="003458B1">
        <w:fldChar w:fldCharType="begin"/>
      </w:r>
      <w:r w:rsidRPr="003458B1">
        <w:instrText xml:space="preserve"> REF _Ref440268542 \h  \* MERGEFORMAT </w:instrText>
      </w:r>
      <w:r w:rsidRPr="003458B1">
        <w:fldChar w:fldCharType="separate"/>
      </w:r>
      <w:r w:rsidR="00037CB4" w:rsidRPr="003458B1">
        <w:t>Table A-</w:t>
      </w:r>
      <w:r w:rsidR="00037CB4">
        <w:t>119</w:t>
      </w:r>
      <w:r w:rsidRPr="003458B1">
        <w:fldChar w:fldCharType="end"/>
      </w:r>
      <w:r w:rsidRPr="003458B1">
        <w:t>.</w:t>
      </w:r>
    </w:p>
    <w:p w:rsidR="00014BAF" w:rsidRPr="003458B1" w:rsidRDefault="00014BAF" w:rsidP="00014BAF"/>
    <w:p w:rsidR="00014BAF" w:rsidRPr="003458B1" w:rsidRDefault="00014BAF" w:rsidP="004837FA">
      <w:pPr>
        <w:pStyle w:val="Caption"/>
      </w:pPr>
      <w:bookmarkStart w:id="1173" w:name="_Ref440268542"/>
      <w:bookmarkStart w:id="1174" w:name="_Toc410199392"/>
      <w:bookmarkStart w:id="1175" w:name="_Toc431462374"/>
      <w:bookmarkStart w:id="1176" w:name="_Toc444269900"/>
      <w:bookmarkStart w:id="1177" w:name="_Toc472472528"/>
      <w:bookmarkStart w:id="1178" w:name="_Toc488741947"/>
      <w:r w:rsidRPr="003458B1">
        <w:t>Table A-</w:t>
      </w:r>
      <w:r w:rsidR="007973A4">
        <w:fldChar w:fldCharType="begin"/>
      </w:r>
      <w:r w:rsidR="007973A4">
        <w:instrText xml:space="preserve"> SEQ Table_A- \* ARABIC </w:instrText>
      </w:r>
      <w:r w:rsidR="007973A4">
        <w:fldChar w:fldCharType="separate"/>
      </w:r>
      <w:r w:rsidR="00037CB4">
        <w:rPr>
          <w:noProof/>
        </w:rPr>
        <w:t>119</w:t>
      </w:r>
      <w:r w:rsidR="007973A4">
        <w:rPr>
          <w:noProof/>
        </w:rPr>
        <w:fldChar w:fldCharType="end"/>
      </w:r>
      <w:bookmarkEnd w:id="1173"/>
      <w:r w:rsidRPr="003458B1">
        <w:t>: PECO’s PY7 Sampling Strategy – SBS Program</w:t>
      </w:r>
      <w:bookmarkEnd w:id="1174"/>
      <w:bookmarkEnd w:id="1175"/>
      <w:bookmarkEnd w:id="1176"/>
      <w:bookmarkEnd w:id="1177"/>
      <w:bookmarkEnd w:id="1178"/>
    </w:p>
    <w:tbl>
      <w:tblPr>
        <w:tblW w:w="936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1260"/>
        <w:gridCol w:w="2610"/>
        <w:gridCol w:w="1867"/>
        <w:gridCol w:w="1925"/>
      </w:tblGrid>
      <w:tr w:rsidR="00A874AC" w:rsidRPr="00124B6E" w:rsidTr="00DC3249">
        <w:trPr>
          <w:trHeight w:val="457"/>
        </w:trPr>
        <w:tc>
          <w:tcPr>
            <w:tcW w:w="1700" w:type="dxa"/>
            <w:shd w:val="clear" w:color="000000" w:fill="448A99"/>
            <w:vAlign w:val="bottom"/>
            <w:hideMark/>
          </w:tcPr>
          <w:p w:rsidR="00014BAF" w:rsidRPr="00124B6E" w:rsidRDefault="00014BAF" w:rsidP="004F0C61">
            <w:pPr>
              <w:jc w:val="left"/>
              <w:rPr>
                <w:b/>
                <w:bCs/>
                <w:color w:val="FFFFFF"/>
                <w:sz w:val="19"/>
                <w:szCs w:val="19"/>
              </w:rPr>
            </w:pPr>
            <w:r w:rsidRPr="00124B6E">
              <w:rPr>
                <w:b/>
                <w:bCs/>
                <w:color w:val="FFFFFF"/>
                <w:sz w:val="19"/>
                <w:szCs w:val="19"/>
              </w:rPr>
              <w:t>Stratum</w:t>
            </w:r>
          </w:p>
        </w:tc>
        <w:tc>
          <w:tcPr>
            <w:tcW w:w="126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Population</w:t>
            </w:r>
          </w:p>
        </w:tc>
        <w:tc>
          <w:tcPr>
            <w:tcW w:w="261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Levels of Confidence &amp; Precision</w:t>
            </w:r>
          </w:p>
        </w:tc>
        <w:tc>
          <w:tcPr>
            <w:tcW w:w="1867"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Sample Size</w:t>
            </w:r>
          </w:p>
        </w:tc>
        <w:tc>
          <w:tcPr>
            <w:tcW w:w="1925"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Achieved Sample Size</w:t>
            </w:r>
          </w:p>
        </w:tc>
      </w:tr>
      <w:tr w:rsidR="00A874AC" w:rsidRPr="00124B6E" w:rsidTr="00DC3249">
        <w:trPr>
          <w:trHeight w:val="346"/>
        </w:trPr>
        <w:tc>
          <w:tcPr>
            <w:tcW w:w="1700" w:type="dxa"/>
            <w:shd w:val="clear" w:color="000000" w:fill="D2EAF1"/>
            <w:noWrap/>
            <w:vAlign w:val="center"/>
          </w:tcPr>
          <w:p w:rsidR="00014BAF" w:rsidRPr="00124B6E" w:rsidRDefault="00014BAF" w:rsidP="004F0C61">
            <w:pPr>
              <w:jc w:val="left"/>
              <w:rPr>
                <w:bCs/>
                <w:color w:val="000000"/>
                <w:sz w:val="19"/>
                <w:szCs w:val="19"/>
              </w:rPr>
            </w:pPr>
            <w:r w:rsidRPr="00124B6E">
              <w:rPr>
                <w:bCs/>
                <w:color w:val="000000"/>
                <w:sz w:val="19"/>
                <w:szCs w:val="19"/>
              </w:rPr>
              <w:t>Large</w:t>
            </w:r>
          </w:p>
        </w:tc>
        <w:tc>
          <w:tcPr>
            <w:tcW w:w="126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42</w:t>
            </w:r>
          </w:p>
        </w:tc>
        <w:tc>
          <w:tcPr>
            <w:tcW w:w="261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85%/60%</w:t>
            </w:r>
          </w:p>
        </w:tc>
        <w:tc>
          <w:tcPr>
            <w:tcW w:w="1867"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11</w:t>
            </w:r>
          </w:p>
        </w:tc>
        <w:tc>
          <w:tcPr>
            <w:tcW w:w="1925"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7</w:t>
            </w:r>
          </w:p>
        </w:tc>
      </w:tr>
      <w:tr w:rsidR="00E7173E" w:rsidRPr="00124B6E" w:rsidTr="00AF6BD2">
        <w:trPr>
          <w:trHeight w:val="346"/>
        </w:trPr>
        <w:tc>
          <w:tcPr>
            <w:tcW w:w="1700" w:type="dxa"/>
            <w:shd w:val="clear" w:color="auto" w:fill="auto"/>
            <w:noWrap/>
            <w:vAlign w:val="center"/>
          </w:tcPr>
          <w:p w:rsidR="00014BAF" w:rsidRPr="00124B6E" w:rsidRDefault="00014BAF" w:rsidP="004F0C61">
            <w:pPr>
              <w:jc w:val="left"/>
              <w:rPr>
                <w:bCs/>
                <w:color w:val="000000"/>
                <w:sz w:val="19"/>
                <w:szCs w:val="19"/>
              </w:rPr>
            </w:pPr>
            <w:r w:rsidRPr="00124B6E">
              <w:rPr>
                <w:bCs/>
                <w:color w:val="000000"/>
                <w:sz w:val="19"/>
                <w:szCs w:val="19"/>
              </w:rPr>
              <w:t>Small</w:t>
            </w:r>
          </w:p>
        </w:tc>
        <w:tc>
          <w:tcPr>
            <w:tcW w:w="126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147</w:t>
            </w:r>
          </w:p>
        </w:tc>
        <w:tc>
          <w:tcPr>
            <w:tcW w:w="261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85%/60%</w:t>
            </w:r>
          </w:p>
        </w:tc>
        <w:tc>
          <w:tcPr>
            <w:tcW w:w="1867"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5</w:t>
            </w:r>
          </w:p>
        </w:tc>
        <w:tc>
          <w:tcPr>
            <w:tcW w:w="1925"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6</w:t>
            </w:r>
          </w:p>
        </w:tc>
      </w:tr>
      <w:tr w:rsidR="00A874AC" w:rsidRPr="00124B6E" w:rsidTr="00DC3249">
        <w:trPr>
          <w:trHeight w:val="346"/>
        </w:trPr>
        <w:tc>
          <w:tcPr>
            <w:tcW w:w="1700" w:type="dxa"/>
            <w:shd w:val="clear" w:color="000000" w:fill="D2EAF1"/>
            <w:noWrap/>
            <w:vAlign w:val="center"/>
          </w:tcPr>
          <w:p w:rsidR="00014BAF" w:rsidRPr="00124B6E" w:rsidRDefault="00014BAF" w:rsidP="004F0C61">
            <w:pPr>
              <w:jc w:val="left"/>
              <w:rPr>
                <w:b/>
                <w:bCs/>
                <w:color w:val="000000"/>
                <w:sz w:val="19"/>
                <w:szCs w:val="19"/>
              </w:rPr>
            </w:pPr>
            <w:r w:rsidRPr="00124B6E">
              <w:rPr>
                <w:b/>
                <w:bCs/>
                <w:color w:val="000000"/>
                <w:sz w:val="19"/>
                <w:szCs w:val="19"/>
              </w:rPr>
              <w:t>Program Total</w:t>
            </w:r>
          </w:p>
        </w:tc>
        <w:tc>
          <w:tcPr>
            <w:tcW w:w="1260" w:type="dxa"/>
            <w:shd w:val="clear" w:color="000000" w:fill="D2EAF1"/>
            <w:noWrap/>
            <w:vAlign w:val="center"/>
          </w:tcPr>
          <w:p w:rsidR="00014BAF" w:rsidRPr="00124B6E" w:rsidRDefault="00014BAF" w:rsidP="004F0C61">
            <w:pPr>
              <w:jc w:val="center"/>
              <w:rPr>
                <w:b/>
                <w:bCs/>
                <w:color w:val="000000"/>
                <w:sz w:val="19"/>
                <w:szCs w:val="19"/>
              </w:rPr>
            </w:pPr>
            <w:r w:rsidRPr="00124B6E">
              <w:rPr>
                <w:b/>
                <w:color w:val="000000"/>
                <w:sz w:val="19"/>
                <w:szCs w:val="19"/>
              </w:rPr>
              <w:t>189</w:t>
            </w:r>
          </w:p>
        </w:tc>
        <w:tc>
          <w:tcPr>
            <w:tcW w:w="2610" w:type="dxa"/>
            <w:shd w:val="clear" w:color="000000" w:fill="D2EAF1"/>
            <w:noWrap/>
            <w:vAlign w:val="center"/>
          </w:tcPr>
          <w:p w:rsidR="00014BAF" w:rsidRPr="00124B6E" w:rsidRDefault="00014BAF" w:rsidP="004F0C61">
            <w:pPr>
              <w:jc w:val="center"/>
              <w:rPr>
                <w:b/>
                <w:bCs/>
                <w:color w:val="000000"/>
                <w:sz w:val="19"/>
                <w:szCs w:val="19"/>
              </w:rPr>
            </w:pPr>
            <w:r w:rsidRPr="00124B6E">
              <w:rPr>
                <w:b/>
                <w:bCs/>
                <w:color w:val="000000"/>
                <w:sz w:val="19"/>
                <w:szCs w:val="19"/>
              </w:rPr>
              <w:t>85%/15%</w:t>
            </w:r>
          </w:p>
        </w:tc>
        <w:tc>
          <w:tcPr>
            <w:tcW w:w="1867" w:type="dxa"/>
            <w:shd w:val="clear" w:color="000000" w:fill="D2EAF1"/>
            <w:noWrap/>
            <w:vAlign w:val="center"/>
          </w:tcPr>
          <w:p w:rsidR="00014BAF" w:rsidRPr="00124B6E" w:rsidRDefault="00014BAF" w:rsidP="004F0C61">
            <w:pPr>
              <w:jc w:val="center"/>
              <w:rPr>
                <w:b/>
                <w:bCs/>
                <w:color w:val="000000"/>
                <w:sz w:val="19"/>
                <w:szCs w:val="19"/>
              </w:rPr>
            </w:pPr>
            <w:r w:rsidRPr="00124B6E">
              <w:rPr>
                <w:b/>
                <w:color w:val="000000"/>
                <w:sz w:val="19"/>
                <w:szCs w:val="19"/>
              </w:rPr>
              <w:t>16</w:t>
            </w:r>
          </w:p>
        </w:tc>
        <w:tc>
          <w:tcPr>
            <w:tcW w:w="1925" w:type="dxa"/>
            <w:shd w:val="clear" w:color="000000" w:fill="D2EAF1"/>
            <w:noWrap/>
            <w:vAlign w:val="center"/>
          </w:tcPr>
          <w:p w:rsidR="00014BAF" w:rsidRPr="00124B6E" w:rsidRDefault="00014BAF" w:rsidP="004F0C61">
            <w:pPr>
              <w:jc w:val="center"/>
              <w:rPr>
                <w:b/>
                <w:bCs/>
                <w:color w:val="000000"/>
                <w:sz w:val="19"/>
                <w:szCs w:val="19"/>
              </w:rPr>
            </w:pPr>
            <w:r w:rsidRPr="00124B6E">
              <w:rPr>
                <w:b/>
                <w:color w:val="000000"/>
                <w:sz w:val="19"/>
                <w:szCs w:val="19"/>
              </w:rPr>
              <w:t>13</w:t>
            </w:r>
          </w:p>
        </w:tc>
      </w:tr>
    </w:tbl>
    <w:p w:rsidR="00014BAF" w:rsidRPr="003458B1" w:rsidRDefault="00014BAF" w:rsidP="00014BAF"/>
    <w:p w:rsidR="00014BAF" w:rsidRPr="003458B1" w:rsidRDefault="00014BAF" w:rsidP="00014BAF">
      <w:r w:rsidRPr="003458B1">
        <w:t xml:space="preserve">The achieved precision values for energy and demand are presented in </w:t>
      </w:r>
      <w:r w:rsidRPr="003458B1">
        <w:fldChar w:fldCharType="begin"/>
      </w:r>
      <w:r w:rsidRPr="003458B1">
        <w:instrText xml:space="preserve"> REF _Ref440268589 \h  \* MERGEFORMAT </w:instrText>
      </w:r>
      <w:r w:rsidRPr="003458B1">
        <w:fldChar w:fldCharType="separate"/>
      </w:r>
      <w:r w:rsidR="00037CB4" w:rsidRPr="003458B1">
        <w:t>Table A-</w:t>
      </w:r>
      <w:r w:rsidR="00037CB4">
        <w:t>120</w:t>
      </w:r>
      <w:r w:rsidRPr="003458B1">
        <w:fldChar w:fldCharType="end"/>
      </w:r>
      <w:r w:rsidRPr="003458B1">
        <w:t>.</w:t>
      </w:r>
    </w:p>
    <w:p w:rsidR="00014BAF" w:rsidRPr="003458B1" w:rsidRDefault="00014BAF" w:rsidP="00014BAF"/>
    <w:p w:rsidR="00014BAF" w:rsidRPr="003458B1" w:rsidRDefault="00014BAF" w:rsidP="004837FA">
      <w:pPr>
        <w:pStyle w:val="Caption"/>
      </w:pPr>
      <w:bookmarkStart w:id="1179" w:name="_Ref440268589"/>
      <w:bookmarkStart w:id="1180" w:name="_Toc410199393"/>
      <w:bookmarkStart w:id="1181" w:name="_Toc431462375"/>
      <w:bookmarkStart w:id="1182" w:name="_Toc444269901"/>
      <w:bookmarkStart w:id="1183" w:name="_Toc472472529"/>
      <w:bookmarkStart w:id="1184" w:name="_Toc488741948"/>
      <w:r w:rsidRPr="003458B1">
        <w:t>Table A-</w:t>
      </w:r>
      <w:r w:rsidR="007973A4">
        <w:fldChar w:fldCharType="begin"/>
      </w:r>
      <w:r w:rsidR="007973A4">
        <w:instrText xml:space="preserve"> SEQ Table_A- \* ARABIC </w:instrText>
      </w:r>
      <w:r w:rsidR="007973A4">
        <w:fldChar w:fldCharType="separate"/>
      </w:r>
      <w:r w:rsidR="00037CB4">
        <w:rPr>
          <w:noProof/>
        </w:rPr>
        <w:t>120</w:t>
      </w:r>
      <w:r w:rsidR="007973A4">
        <w:rPr>
          <w:noProof/>
        </w:rPr>
        <w:fldChar w:fldCharType="end"/>
      </w:r>
      <w:bookmarkEnd w:id="1179"/>
      <w:r w:rsidRPr="003458B1">
        <w:t>: Observed Coefficients of Variation and Relative Precisions –</w:t>
      </w:r>
      <w:r>
        <w:t xml:space="preserve"> </w:t>
      </w:r>
      <w:r w:rsidRPr="003458B1">
        <w:t>PECO SBS Program</w:t>
      </w:r>
      <w:bookmarkEnd w:id="1180"/>
      <w:bookmarkEnd w:id="1181"/>
      <w:bookmarkEnd w:id="1182"/>
      <w:bookmarkEnd w:id="1183"/>
      <w:bookmarkEnd w:id="1184"/>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2222"/>
        <w:gridCol w:w="1918"/>
        <w:gridCol w:w="2042"/>
        <w:gridCol w:w="1468"/>
      </w:tblGrid>
      <w:tr w:rsidR="00A874AC" w:rsidRPr="00124B6E" w:rsidTr="00DC3249">
        <w:trPr>
          <w:trHeight w:val="826"/>
          <w:tblHeader/>
        </w:trPr>
        <w:tc>
          <w:tcPr>
            <w:tcW w:w="1700" w:type="dxa"/>
            <w:shd w:val="clear" w:color="000000" w:fill="448A99"/>
            <w:vAlign w:val="bottom"/>
            <w:hideMark/>
          </w:tcPr>
          <w:p w:rsidR="00014BAF" w:rsidRPr="00124B6E" w:rsidRDefault="00014BAF" w:rsidP="004F0C61">
            <w:pPr>
              <w:rPr>
                <w:b/>
                <w:bCs/>
                <w:color w:val="FFFFFF"/>
                <w:sz w:val="19"/>
                <w:szCs w:val="19"/>
              </w:rPr>
            </w:pPr>
            <w:r w:rsidRPr="00124B6E">
              <w:rPr>
                <w:b/>
                <w:bCs/>
                <w:color w:val="FFFFFF"/>
                <w:sz w:val="19"/>
                <w:szCs w:val="19"/>
              </w:rPr>
              <w:t>Stratum</w:t>
            </w:r>
          </w:p>
        </w:tc>
        <w:tc>
          <w:tcPr>
            <w:tcW w:w="2222"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Energy</w:t>
            </w:r>
          </w:p>
        </w:tc>
        <w:tc>
          <w:tcPr>
            <w:tcW w:w="1918"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Energy</w:t>
            </w:r>
          </w:p>
        </w:tc>
        <w:tc>
          <w:tcPr>
            <w:tcW w:w="2042"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Demand</w:t>
            </w:r>
          </w:p>
        </w:tc>
        <w:tc>
          <w:tcPr>
            <w:tcW w:w="1468"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Demand</w:t>
            </w:r>
          </w:p>
        </w:tc>
      </w:tr>
      <w:tr w:rsidR="00A874AC" w:rsidRPr="00124B6E" w:rsidTr="00DC3249">
        <w:trPr>
          <w:trHeight w:val="346"/>
        </w:trPr>
        <w:tc>
          <w:tcPr>
            <w:tcW w:w="1700" w:type="dxa"/>
            <w:shd w:val="clear" w:color="000000" w:fill="D2EAF1"/>
            <w:noWrap/>
            <w:vAlign w:val="center"/>
          </w:tcPr>
          <w:p w:rsidR="00014BAF" w:rsidRPr="00124B6E" w:rsidRDefault="00014BAF" w:rsidP="004F0C61">
            <w:pPr>
              <w:rPr>
                <w:bCs/>
                <w:color w:val="000000"/>
                <w:sz w:val="19"/>
                <w:szCs w:val="19"/>
              </w:rPr>
            </w:pPr>
            <w:r w:rsidRPr="00124B6E">
              <w:rPr>
                <w:bCs/>
                <w:color w:val="000000"/>
                <w:sz w:val="19"/>
                <w:szCs w:val="19"/>
              </w:rPr>
              <w:t>Large</w:t>
            </w:r>
          </w:p>
        </w:tc>
        <w:tc>
          <w:tcPr>
            <w:tcW w:w="2222"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0.23</w:t>
            </w:r>
          </w:p>
        </w:tc>
        <w:tc>
          <w:tcPr>
            <w:tcW w:w="1918" w:type="dxa"/>
            <w:shd w:val="clear" w:color="000000" w:fill="D2EAF1"/>
            <w:noWrap/>
            <w:vAlign w:val="center"/>
          </w:tcPr>
          <w:p w:rsidR="00014BAF" w:rsidRPr="00124B6E" w:rsidRDefault="00014BAF" w:rsidP="004F0C61">
            <w:pPr>
              <w:jc w:val="center"/>
              <w:rPr>
                <w:color w:val="000000"/>
                <w:sz w:val="19"/>
                <w:szCs w:val="19"/>
              </w:rPr>
            </w:pPr>
            <w:bookmarkStart w:id="1185" w:name="RANGE!G36:G37"/>
            <w:r w:rsidRPr="00124B6E">
              <w:rPr>
                <w:color w:val="000000"/>
                <w:sz w:val="19"/>
                <w:szCs w:val="19"/>
              </w:rPr>
              <w:t>13%</w:t>
            </w:r>
            <w:bookmarkEnd w:id="1185"/>
          </w:p>
        </w:tc>
        <w:tc>
          <w:tcPr>
            <w:tcW w:w="2042"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0.16</w:t>
            </w:r>
          </w:p>
        </w:tc>
        <w:tc>
          <w:tcPr>
            <w:tcW w:w="1468" w:type="dxa"/>
            <w:shd w:val="clear" w:color="000000" w:fill="D2EAF1"/>
            <w:noWrap/>
            <w:vAlign w:val="center"/>
          </w:tcPr>
          <w:p w:rsidR="00014BAF" w:rsidRPr="00124B6E" w:rsidRDefault="00014BAF" w:rsidP="004F0C61">
            <w:pPr>
              <w:jc w:val="center"/>
              <w:rPr>
                <w:color w:val="000000"/>
                <w:sz w:val="19"/>
                <w:szCs w:val="19"/>
              </w:rPr>
            </w:pPr>
            <w:bookmarkStart w:id="1186" w:name="RANGE!G47:G48"/>
            <w:r w:rsidRPr="00124B6E">
              <w:rPr>
                <w:color w:val="000000"/>
                <w:sz w:val="19"/>
                <w:szCs w:val="19"/>
              </w:rPr>
              <w:t>9%</w:t>
            </w:r>
            <w:bookmarkEnd w:id="1186"/>
          </w:p>
        </w:tc>
      </w:tr>
      <w:tr w:rsidR="00E7173E" w:rsidRPr="00124B6E" w:rsidTr="00AF6BD2">
        <w:trPr>
          <w:trHeight w:val="346"/>
        </w:trPr>
        <w:tc>
          <w:tcPr>
            <w:tcW w:w="1700" w:type="dxa"/>
            <w:shd w:val="clear" w:color="auto" w:fill="auto"/>
            <w:noWrap/>
            <w:vAlign w:val="center"/>
          </w:tcPr>
          <w:p w:rsidR="00014BAF" w:rsidRPr="00124B6E" w:rsidRDefault="00014BAF" w:rsidP="004F0C61">
            <w:pPr>
              <w:rPr>
                <w:bCs/>
                <w:color w:val="000000"/>
                <w:sz w:val="19"/>
                <w:szCs w:val="19"/>
              </w:rPr>
            </w:pPr>
            <w:r w:rsidRPr="00124B6E">
              <w:rPr>
                <w:bCs/>
                <w:color w:val="000000"/>
                <w:sz w:val="19"/>
                <w:szCs w:val="19"/>
              </w:rPr>
              <w:t>Small</w:t>
            </w:r>
          </w:p>
        </w:tc>
        <w:tc>
          <w:tcPr>
            <w:tcW w:w="2222"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0.29</w:t>
            </w:r>
          </w:p>
        </w:tc>
        <w:tc>
          <w:tcPr>
            <w:tcW w:w="1918"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20%</w:t>
            </w:r>
          </w:p>
        </w:tc>
        <w:tc>
          <w:tcPr>
            <w:tcW w:w="2042"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0.19</w:t>
            </w:r>
          </w:p>
        </w:tc>
        <w:tc>
          <w:tcPr>
            <w:tcW w:w="1468"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13%</w:t>
            </w:r>
          </w:p>
        </w:tc>
      </w:tr>
      <w:tr w:rsidR="00A874AC" w:rsidRPr="00124B6E" w:rsidTr="00DC3249">
        <w:trPr>
          <w:trHeight w:val="346"/>
        </w:trPr>
        <w:tc>
          <w:tcPr>
            <w:tcW w:w="1700" w:type="dxa"/>
            <w:shd w:val="clear" w:color="000000" w:fill="D2EAF1"/>
            <w:noWrap/>
            <w:vAlign w:val="center"/>
          </w:tcPr>
          <w:p w:rsidR="00014BAF" w:rsidRPr="00124B6E" w:rsidRDefault="00014BAF" w:rsidP="004F0C61">
            <w:pPr>
              <w:rPr>
                <w:b/>
                <w:bCs/>
                <w:color w:val="000000"/>
                <w:sz w:val="19"/>
                <w:szCs w:val="19"/>
              </w:rPr>
            </w:pPr>
            <w:r w:rsidRPr="00124B6E">
              <w:rPr>
                <w:b/>
                <w:bCs/>
                <w:color w:val="000000"/>
                <w:sz w:val="19"/>
                <w:szCs w:val="19"/>
              </w:rPr>
              <w:t>Program Total</w:t>
            </w:r>
          </w:p>
        </w:tc>
        <w:tc>
          <w:tcPr>
            <w:tcW w:w="2222" w:type="dxa"/>
            <w:shd w:val="clear" w:color="000000" w:fill="D2EAF1"/>
            <w:noWrap/>
            <w:vAlign w:val="center"/>
          </w:tcPr>
          <w:p w:rsidR="00014BAF" w:rsidRPr="00124B6E" w:rsidRDefault="00014BAF" w:rsidP="004F0C61">
            <w:pPr>
              <w:jc w:val="center"/>
              <w:rPr>
                <w:b/>
                <w:bCs/>
                <w:color w:val="000000"/>
                <w:sz w:val="19"/>
                <w:szCs w:val="19"/>
              </w:rPr>
            </w:pPr>
          </w:p>
        </w:tc>
        <w:tc>
          <w:tcPr>
            <w:tcW w:w="1918" w:type="dxa"/>
            <w:shd w:val="clear" w:color="000000" w:fill="D2EAF1"/>
            <w:noWrap/>
            <w:vAlign w:val="center"/>
          </w:tcPr>
          <w:p w:rsidR="00014BAF" w:rsidRPr="00124B6E" w:rsidRDefault="00014BAF" w:rsidP="004F0C61">
            <w:pPr>
              <w:jc w:val="center"/>
              <w:rPr>
                <w:b/>
                <w:bCs/>
                <w:color w:val="000000"/>
                <w:sz w:val="19"/>
                <w:szCs w:val="19"/>
              </w:rPr>
            </w:pPr>
            <w:r w:rsidRPr="00124B6E">
              <w:rPr>
                <w:b/>
                <w:color w:val="000000"/>
                <w:sz w:val="19"/>
                <w:szCs w:val="19"/>
              </w:rPr>
              <w:t>11%</w:t>
            </w:r>
          </w:p>
        </w:tc>
        <w:tc>
          <w:tcPr>
            <w:tcW w:w="2042" w:type="dxa"/>
            <w:shd w:val="clear" w:color="000000" w:fill="D2EAF1"/>
            <w:noWrap/>
            <w:vAlign w:val="center"/>
          </w:tcPr>
          <w:p w:rsidR="00014BAF" w:rsidRPr="00124B6E" w:rsidRDefault="00014BAF" w:rsidP="004F0C61">
            <w:pPr>
              <w:jc w:val="center"/>
              <w:rPr>
                <w:b/>
                <w:bCs/>
                <w:color w:val="000000"/>
                <w:sz w:val="19"/>
                <w:szCs w:val="19"/>
              </w:rPr>
            </w:pPr>
          </w:p>
        </w:tc>
        <w:tc>
          <w:tcPr>
            <w:tcW w:w="1468" w:type="dxa"/>
            <w:shd w:val="clear" w:color="000000" w:fill="D2EAF1"/>
            <w:noWrap/>
            <w:vAlign w:val="center"/>
          </w:tcPr>
          <w:p w:rsidR="00014BAF" w:rsidRPr="00124B6E" w:rsidRDefault="00014BAF" w:rsidP="004F0C61">
            <w:pPr>
              <w:jc w:val="center"/>
              <w:rPr>
                <w:b/>
                <w:bCs/>
                <w:color w:val="000000"/>
                <w:sz w:val="19"/>
                <w:szCs w:val="19"/>
              </w:rPr>
            </w:pPr>
            <w:r w:rsidRPr="00124B6E">
              <w:rPr>
                <w:b/>
                <w:color w:val="000000"/>
                <w:sz w:val="19"/>
                <w:szCs w:val="19"/>
              </w:rPr>
              <w:t>8%</w:t>
            </w:r>
          </w:p>
        </w:tc>
      </w:tr>
    </w:tbl>
    <w:p w:rsidR="00014BAF" w:rsidRPr="003458B1" w:rsidRDefault="00014BAF" w:rsidP="00014BAF"/>
    <w:p w:rsidR="00014BAF" w:rsidRPr="003458B1" w:rsidRDefault="00014BAF" w:rsidP="00014BAF">
      <w:r w:rsidRPr="003458B1">
        <w:t>The program total achieved precision was 11% for energy and 8%</w:t>
      </w:r>
      <w:r>
        <w:t xml:space="preserve"> </w:t>
      </w:r>
      <w:r w:rsidRPr="003458B1">
        <w:t xml:space="preserve">for demand, </w:t>
      </w:r>
      <w:r>
        <w:t xml:space="preserve">both of </w:t>
      </w:r>
      <w:r w:rsidRPr="003458B1">
        <w:t xml:space="preserve">which exceed the SWE Team requirements </w:t>
      </w:r>
      <w:r>
        <w:t>for</w:t>
      </w:r>
      <w:r w:rsidRPr="003458B1">
        <w:t xml:space="preserve"> confidence</w:t>
      </w:r>
      <w:r>
        <w:t>/</w:t>
      </w:r>
      <w:r w:rsidRPr="003458B1">
        <w:t>precision as specified in the Evaluation Framework.</w:t>
      </w:r>
    </w:p>
    <w:p w:rsidR="00014BAF" w:rsidRPr="003458B1" w:rsidRDefault="00014BAF" w:rsidP="00014BAF"/>
    <w:p w:rsidR="00014BAF" w:rsidRPr="003458B1" w:rsidRDefault="00014BAF" w:rsidP="008C7396">
      <w:pPr>
        <w:pStyle w:val="AppendixAHeading5"/>
      </w:pPr>
      <w:r w:rsidRPr="003458B1">
        <w:t>Smart Multi-Family Solutions Program – Non-Residential</w:t>
      </w:r>
    </w:p>
    <w:p w:rsidR="00014BAF" w:rsidRPr="003458B1" w:rsidRDefault="00014BAF" w:rsidP="00014BAF">
      <w:r w:rsidRPr="003458B1">
        <w:t xml:space="preserve">This program was new for Phase II. Stratified ratio estimation was used to estimate savings for the program, and the sample was designed accordingly. </w:t>
      </w:r>
      <w:r w:rsidR="009845FB" w:rsidRPr="003458B1">
        <w:t>The projects were stratified into two groups: medium/large and small</w:t>
      </w:r>
      <w:r w:rsidRPr="003458B1">
        <w:t>. The stratification was based on the ex ante kWh savings recorded in the program</w:t>
      </w:r>
      <w:r>
        <w:t>-</w:t>
      </w:r>
      <w:r w:rsidRPr="003458B1">
        <w:t xml:space="preserve">tracking database. </w:t>
      </w:r>
      <w:r w:rsidRPr="003458B1">
        <w:fldChar w:fldCharType="begin"/>
      </w:r>
      <w:r w:rsidRPr="003458B1">
        <w:instrText xml:space="preserve"> REF _Ref440268654 \h  \* MERGEFORMAT </w:instrText>
      </w:r>
      <w:r w:rsidRPr="003458B1">
        <w:fldChar w:fldCharType="separate"/>
      </w:r>
      <w:r w:rsidR="00037CB4" w:rsidRPr="003458B1">
        <w:t>Table A-</w:t>
      </w:r>
      <w:r w:rsidR="00037CB4">
        <w:t>121</w:t>
      </w:r>
      <w:r w:rsidRPr="003458B1">
        <w:fldChar w:fldCharType="end"/>
      </w:r>
      <w:r w:rsidRPr="003458B1">
        <w:t xml:space="preserve"> lists the details of the sampling strategy for this program in PY</w:t>
      </w:r>
      <w:r>
        <w:t>7</w:t>
      </w:r>
      <w:r w:rsidRPr="003458B1">
        <w:t>.</w:t>
      </w:r>
    </w:p>
    <w:p w:rsidR="00014BAF" w:rsidRPr="003458B1" w:rsidRDefault="00014BAF" w:rsidP="00014BAF">
      <w:bookmarkStart w:id="1187" w:name="_Ref409165683"/>
      <w:bookmarkStart w:id="1188" w:name="_Ref410118932"/>
      <w:bookmarkStart w:id="1189" w:name="_Toc410199394"/>
    </w:p>
    <w:p w:rsidR="00014BAF" w:rsidRPr="003458B1" w:rsidRDefault="00014BAF" w:rsidP="004837FA">
      <w:pPr>
        <w:pStyle w:val="Caption"/>
      </w:pPr>
      <w:bookmarkStart w:id="1190" w:name="_Ref440268654"/>
      <w:bookmarkStart w:id="1191" w:name="_Toc431462376"/>
      <w:bookmarkStart w:id="1192" w:name="_Toc444269902"/>
      <w:bookmarkStart w:id="1193" w:name="_Toc472472530"/>
      <w:bookmarkStart w:id="1194" w:name="_Toc488741949"/>
      <w:bookmarkEnd w:id="1187"/>
      <w:bookmarkEnd w:id="1188"/>
      <w:r w:rsidRPr="003458B1">
        <w:t>Table A-</w:t>
      </w:r>
      <w:r w:rsidR="007973A4">
        <w:fldChar w:fldCharType="begin"/>
      </w:r>
      <w:r w:rsidR="007973A4">
        <w:instrText xml:space="preserve"> SEQ</w:instrText>
      </w:r>
      <w:r w:rsidR="007973A4">
        <w:instrText xml:space="preserve"> Table_A- \* ARABIC </w:instrText>
      </w:r>
      <w:r w:rsidR="007973A4">
        <w:fldChar w:fldCharType="separate"/>
      </w:r>
      <w:r w:rsidR="00037CB4">
        <w:rPr>
          <w:noProof/>
        </w:rPr>
        <w:t>121</w:t>
      </w:r>
      <w:r w:rsidR="007973A4">
        <w:rPr>
          <w:noProof/>
        </w:rPr>
        <w:fldChar w:fldCharType="end"/>
      </w:r>
      <w:bookmarkEnd w:id="1190"/>
      <w:r w:rsidRPr="003458B1">
        <w:t>: PECO’s PY7 Sampling Strategy - SMF Non-Residential Program</w:t>
      </w:r>
      <w:bookmarkEnd w:id="1189"/>
      <w:bookmarkEnd w:id="1191"/>
      <w:bookmarkEnd w:id="1192"/>
      <w:bookmarkEnd w:id="1193"/>
      <w:bookmarkEnd w:id="1194"/>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098"/>
        <w:gridCol w:w="1620"/>
        <w:gridCol w:w="1800"/>
        <w:gridCol w:w="1890"/>
        <w:gridCol w:w="1952"/>
      </w:tblGrid>
      <w:tr w:rsidR="00A874AC" w:rsidRPr="00124B6E" w:rsidTr="004F0C61">
        <w:trPr>
          <w:trHeight w:val="765"/>
          <w:jc w:val="center"/>
        </w:trPr>
        <w:tc>
          <w:tcPr>
            <w:tcW w:w="2098" w:type="dxa"/>
            <w:shd w:val="clear" w:color="000000" w:fill="448A99"/>
            <w:vAlign w:val="bottom"/>
            <w:hideMark/>
          </w:tcPr>
          <w:p w:rsidR="00014BAF" w:rsidRPr="00124B6E" w:rsidRDefault="00014BAF" w:rsidP="004F0C61">
            <w:pPr>
              <w:jc w:val="left"/>
              <w:rPr>
                <w:b/>
                <w:bCs/>
                <w:color w:val="FFFFFF"/>
                <w:sz w:val="19"/>
                <w:szCs w:val="19"/>
              </w:rPr>
            </w:pPr>
            <w:r w:rsidRPr="00124B6E">
              <w:rPr>
                <w:b/>
                <w:bCs/>
                <w:color w:val="FFFFFF"/>
                <w:sz w:val="19"/>
                <w:szCs w:val="19"/>
              </w:rPr>
              <w:t>Stratum</w:t>
            </w:r>
          </w:p>
        </w:tc>
        <w:tc>
          <w:tcPr>
            <w:tcW w:w="162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Population</w:t>
            </w:r>
          </w:p>
        </w:tc>
        <w:tc>
          <w:tcPr>
            <w:tcW w:w="180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Levels of Confidence &amp; Precision</w:t>
            </w:r>
          </w:p>
        </w:tc>
        <w:tc>
          <w:tcPr>
            <w:tcW w:w="189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Sample Size</w:t>
            </w:r>
          </w:p>
        </w:tc>
        <w:tc>
          <w:tcPr>
            <w:tcW w:w="1952"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Achieved Sample Size</w:t>
            </w:r>
          </w:p>
        </w:tc>
      </w:tr>
      <w:tr w:rsidR="00A874AC" w:rsidRPr="00124B6E" w:rsidTr="004F0C61">
        <w:trPr>
          <w:trHeight w:val="346"/>
          <w:jc w:val="center"/>
        </w:trPr>
        <w:tc>
          <w:tcPr>
            <w:tcW w:w="2098" w:type="dxa"/>
            <w:shd w:val="clear" w:color="000000" w:fill="D2EAF1"/>
            <w:noWrap/>
            <w:vAlign w:val="center"/>
          </w:tcPr>
          <w:p w:rsidR="00014BAF" w:rsidRPr="00124B6E" w:rsidRDefault="00014BAF" w:rsidP="004F0C61">
            <w:pPr>
              <w:jc w:val="left"/>
              <w:rPr>
                <w:bCs/>
                <w:color w:val="000000"/>
                <w:sz w:val="19"/>
                <w:szCs w:val="19"/>
              </w:rPr>
            </w:pPr>
            <w:r w:rsidRPr="00124B6E">
              <w:rPr>
                <w:bCs/>
                <w:color w:val="000000"/>
                <w:sz w:val="19"/>
                <w:szCs w:val="19"/>
              </w:rPr>
              <w:t>Non-residential Participants</w:t>
            </w:r>
          </w:p>
        </w:tc>
        <w:tc>
          <w:tcPr>
            <w:tcW w:w="162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122</w:t>
            </w:r>
          </w:p>
        </w:tc>
        <w:tc>
          <w:tcPr>
            <w:tcW w:w="180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85%/15%</w:t>
            </w:r>
          </w:p>
        </w:tc>
        <w:tc>
          <w:tcPr>
            <w:tcW w:w="189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24</w:t>
            </w:r>
          </w:p>
        </w:tc>
        <w:tc>
          <w:tcPr>
            <w:tcW w:w="1952"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24</w:t>
            </w:r>
          </w:p>
        </w:tc>
      </w:tr>
    </w:tbl>
    <w:p w:rsidR="00014BAF" w:rsidRPr="003458B1" w:rsidRDefault="00014BAF" w:rsidP="00014BAF"/>
    <w:p w:rsidR="00014BAF" w:rsidRPr="003458B1" w:rsidRDefault="00014BAF" w:rsidP="00014BAF">
      <w:r w:rsidRPr="003458B1">
        <w:t xml:space="preserve">The achieved precision levels for both energy and peak demand are shown in </w:t>
      </w:r>
      <w:r w:rsidRPr="003458B1">
        <w:fldChar w:fldCharType="begin"/>
      </w:r>
      <w:r w:rsidRPr="003458B1">
        <w:instrText xml:space="preserve"> REF _Ref440268698 \h  \* MERGEFORMAT </w:instrText>
      </w:r>
      <w:r w:rsidRPr="003458B1">
        <w:fldChar w:fldCharType="separate"/>
      </w:r>
      <w:r w:rsidR="00037CB4" w:rsidRPr="003458B1">
        <w:t>Table A-</w:t>
      </w:r>
      <w:r w:rsidR="00037CB4">
        <w:t>122</w:t>
      </w:r>
      <w:r w:rsidRPr="003458B1">
        <w:fldChar w:fldCharType="end"/>
      </w:r>
      <w:r w:rsidRPr="003458B1">
        <w:t>. The results show that the samples represented the populat</w:t>
      </w:r>
      <w:bookmarkStart w:id="1195" w:name="_Ref409165705"/>
      <w:bookmarkStart w:id="1196" w:name="_Ref410118981"/>
      <w:bookmarkStart w:id="1197" w:name="_Toc410199395"/>
      <w:r w:rsidRPr="003458B1">
        <w:t>ion in this program effectively and that the precision target was met.</w:t>
      </w:r>
    </w:p>
    <w:p w:rsidR="00014BAF" w:rsidRDefault="00014BAF" w:rsidP="00014BAF"/>
    <w:p w:rsidR="00DC3249" w:rsidRDefault="00DC3249" w:rsidP="00014BAF"/>
    <w:p w:rsidR="00DC3249" w:rsidRPr="003458B1" w:rsidRDefault="00DC3249" w:rsidP="00014BAF"/>
    <w:p w:rsidR="00014BAF" w:rsidRPr="003458B1" w:rsidRDefault="00014BAF" w:rsidP="004837FA">
      <w:pPr>
        <w:pStyle w:val="Caption"/>
      </w:pPr>
      <w:bookmarkStart w:id="1198" w:name="_Ref440268698"/>
      <w:bookmarkStart w:id="1199" w:name="_Toc431462377"/>
      <w:bookmarkStart w:id="1200" w:name="_Toc444269903"/>
      <w:bookmarkStart w:id="1201" w:name="_Toc472472531"/>
      <w:bookmarkStart w:id="1202" w:name="_Toc488741950"/>
      <w:bookmarkEnd w:id="1195"/>
      <w:bookmarkEnd w:id="1196"/>
      <w:r w:rsidRPr="003458B1">
        <w:t>Table A-</w:t>
      </w:r>
      <w:r w:rsidR="007973A4">
        <w:fldChar w:fldCharType="begin"/>
      </w:r>
      <w:r w:rsidR="007973A4">
        <w:instrText xml:space="preserve"> SEQ Table_A- \* ARABIC </w:instrText>
      </w:r>
      <w:r w:rsidR="007973A4">
        <w:fldChar w:fldCharType="separate"/>
      </w:r>
      <w:r w:rsidR="00037CB4">
        <w:rPr>
          <w:noProof/>
        </w:rPr>
        <w:t>122</w:t>
      </w:r>
      <w:r w:rsidR="007973A4">
        <w:rPr>
          <w:noProof/>
        </w:rPr>
        <w:fldChar w:fldCharType="end"/>
      </w:r>
      <w:bookmarkEnd w:id="1198"/>
      <w:r w:rsidRPr="003458B1">
        <w:t>: Observed Coefficients of Variation and Relative Precisions – PECO’s SMF</w:t>
      </w:r>
      <w:r>
        <w:t xml:space="preserve"> </w:t>
      </w:r>
      <w:r w:rsidRPr="003458B1">
        <w:t>Non-Residential Program</w:t>
      </w:r>
      <w:bookmarkEnd w:id="1197"/>
      <w:bookmarkEnd w:id="1199"/>
      <w:bookmarkEnd w:id="1200"/>
      <w:bookmarkEnd w:id="1201"/>
      <w:bookmarkEnd w:id="1202"/>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250"/>
        <w:gridCol w:w="2160"/>
        <w:gridCol w:w="1288"/>
        <w:gridCol w:w="2132"/>
        <w:gridCol w:w="1530"/>
      </w:tblGrid>
      <w:tr w:rsidR="00A874AC" w:rsidRPr="00124B6E" w:rsidTr="004F0C61">
        <w:trPr>
          <w:trHeight w:val="1078"/>
          <w:jc w:val="center"/>
        </w:trPr>
        <w:tc>
          <w:tcPr>
            <w:tcW w:w="2250" w:type="dxa"/>
            <w:shd w:val="clear" w:color="000000" w:fill="448A99"/>
            <w:vAlign w:val="bottom"/>
            <w:hideMark/>
          </w:tcPr>
          <w:p w:rsidR="00014BAF" w:rsidRPr="00124B6E" w:rsidRDefault="00014BAF" w:rsidP="004F0C61">
            <w:pPr>
              <w:jc w:val="left"/>
              <w:rPr>
                <w:b/>
                <w:bCs/>
                <w:color w:val="FFFFFF"/>
                <w:sz w:val="19"/>
                <w:szCs w:val="19"/>
              </w:rPr>
            </w:pPr>
            <w:r w:rsidRPr="00124B6E">
              <w:rPr>
                <w:b/>
                <w:bCs/>
                <w:color w:val="FFFFFF"/>
                <w:sz w:val="19"/>
                <w:szCs w:val="19"/>
              </w:rPr>
              <w:t>Stratum</w:t>
            </w:r>
          </w:p>
        </w:tc>
        <w:tc>
          <w:tcPr>
            <w:tcW w:w="216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Energy</w:t>
            </w:r>
          </w:p>
        </w:tc>
        <w:tc>
          <w:tcPr>
            <w:tcW w:w="1288"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Energy</w:t>
            </w:r>
          </w:p>
        </w:tc>
        <w:tc>
          <w:tcPr>
            <w:tcW w:w="2132"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Demand</w:t>
            </w:r>
          </w:p>
        </w:tc>
        <w:tc>
          <w:tcPr>
            <w:tcW w:w="153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Demand</w:t>
            </w:r>
          </w:p>
        </w:tc>
      </w:tr>
      <w:tr w:rsidR="00A874AC" w:rsidRPr="00124B6E" w:rsidTr="00DC3249">
        <w:trPr>
          <w:trHeight w:val="360"/>
          <w:jc w:val="center"/>
        </w:trPr>
        <w:tc>
          <w:tcPr>
            <w:tcW w:w="2250" w:type="dxa"/>
            <w:shd w:val="clear" w:color="000000" w:fill="D2EAF1"/>
            <w:noWrap/>
            <w:vAlign w:val="center"/>
          </w:tcPr>
          <w:p w:rsidR="00014BAF" w:rsidRPr="00124B6E" w:rsidRDefault="00014BAF" w:rsidP="004F0C61">
            <w:pPr>
              <w:jc w:val="left"/>
              <w:rPr>
                <w:bCs/>
                <w:color w:val="000000"/>
                <w:sz w:val="19"/>
                <w:szCs w:val="19"/>
              </w:rPr>
            </w:pPr>
            <w:r w:rsidRPr="00124B6E">
              <w:rPr>
                <w:bCs/>
                <w:color w:val="000000"/>
                <w:sz w:val="19"/>
                <w:szCs w:val="19"/>
              </w:rPr>
              <w:t>Small</w:t>
            </w:r>
          </w:p>
        </w:tc>
        <w:tc>
          <w:tcPr>
            <w:tcW w:w="216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0.23</w:t>
            </w:r>
          </w:p>
        </w:tc>
        <w:tc>
          <w:tcPr>
            <w:tcW w:w="1288"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7%</w:t>
            </w:r>
          </w:p>
        </w:tc>
        <w:tc>
          <w:tcPr>
            <w:tcW w:w="2132"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0.23</w:t>
            </w:r>
          </w:p>
        </w:tc>
        <w:tc>
          <w:tcPr>
            <w:tcW w:w="153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7%</w:t>
            </w:r>
          </w:p>
        </w:tc>
      </w:tr>
      <w:tr w:rsidR="00E7173E" w:rsidRPr="00124B6E" w:rsidTr="00AF6BD2">
        <w:trPr>
          <w:trHeight w:val="360"/>
          <w:jc w:val="center"/>
        </w:trPr>
        <w:tc>
          <w:tcPr>
            <w:tcW w:w="2250" w:type="dxa"/>
            <w:shd w:val="clear" w:color="auto" w:fill="auto"/>
            <w:noWrap/>
            <w:vAlign w:val="center"/>
          </w:tcPr>
          <w:p w:rsidR="00014BAF" w:rsidRPr="00124B6E" w:rsidRDefault="00014BAF" w:rsidP="004F0C61">
            <w:pPr>
              <w:jc w:val="left"/>
              <w:rPr>
                <w:bCs/>
                <w:color w:val="000000"/>
                <w:sz w:val="19"/>
                <w:szCs w:val="19"/>
              </w:rPr>
            </w:pPr>
            <w:r w:rsidRPr="00124B6E">
              <w:rPr>
                <w:bCs/>
                <w:color w:val="000000"/>
                <w:sz w:val="19"/>
                <w:szCs w:val="19"/>
              </w:rPr>
              <w:t>Medium/large</w:t>
            </w:r>
          </w:p>
        </w:tc>
        <w:tc>
          <w:tcPr>
            <w:tcW w:w="216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0.10</w:t>
            </w:r>
          </w:p>
        </w:tc>
        <w:tc>
          <w:tcPr>
            <w:tcW w:w="1288"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5%</w:t>
            </w:r>
          </w:p>
        </w:tc>
        <w:tc>
          <w:tcPr>
            <w:tcW w:w="2132"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0.10</w:t>
            </w:r>
          </w:p>
        </w:tc>
        <w:tc>
          <w:tcPr>
            <w:tcW w:w="153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5%</w:t>
            </w:r>
          </w:p>
        </w:tc>
      </w:tr>
      <w:tr w:rsidR="00A874AC" w:rsidRPr="00124B6E" w:rsidTr="00DC3249">
        <w:trPr>
          <w:trHeight w:val="360"/>
          <w:jc w:val="center"/>
        </w:trPr>
        <w:tc>
          <w:tcPr>
            <w:tcW w:w="2250" w:type="dxa"/>
            <w:shd w:val="clear" w:color="000000" w:fill="D2EAF1"/>
            <w:noWrap/>
            <w:vAlign w:val="center"/>
          </w:tcPr>
          <w:p w:rsidR="00014BAF" w:rsidRPr="00124B6E" w:rsidRDefault="00014BAF" w:rsidP="004F0C61">
            <w:pPr>
              <w:jc w:val="left"/>
              <w:rPr>
                <w:bCs/>
                <w:color w:val="000000"/>
                <w:sz w:val="19"/>
                <w:szCs w:val="19"/>
              </w:rPr>
            </w:pPr>
            <w:r w:rsidRPr="00124B6E">
              <w:rPr>
                <w:b/>
                <w:bCs/>
                <w:color w:val="000000"/>
                <w:sz w:val="19"/>
                <w:szCs w:val="19"/>
              </w:rPr>
              <w:t>Participant Total</w:t>
            </w:r>
          </w:p>
        </w:tc>
        <w:tc>
          <w:tcPr>
            <w:tcW w:w="2160" w:type="dxa"/>
            <w:shd w:val="clear" w:color="000000" w:fill="D2EAF1"/>
            <w:noWrap/>
            <w:vAlign w:val="center"/>
          </w:tcPr>
          <w:p w:rsidR="00014BAF" w:rsidRPr="00124B6E" w:rsidRDefault="00014BAF" w:rsidP="004F0C61">
            <w:pPr>
              <w:jc w:val="center"/>
              <w:rPr>
                <w:color w:val="000000"/>
                <w:sz w:val="19"/>
                <w:szCs w:val="19"/>
              </w:rPr>
            </w:pPr>
            <w:r w:rsidRPr="00124B6E">
              <w:rPr>
                <w:b/>
                <w:color w:val="000000"/>
                <w:sz w:val="19"/>
                <w:szCs w:val="19"/>
              </w:rPr>
              <w:t>0.16</w:t>
            </w:r>
          </w:p>
        </w:tc>
        <w:tc>
          <w:tcPr>
            <w:tcW w:w="1288" w:type="dxa"/>
            <w:shd w:val="clear" w:color="000000" w:fill="D2EAF1"/>
            <w:noWrap/>
            <w:vAlign w:val="center"/>
          </w:tcPr>
          <w:p w:rsidR="00014BAF" w:rsidRPr="00124B6E" w:rsidRDefault="00014BAF" w:rsidP="004F0C61">
            <w:pPr>
              <w:jc w:val="center"/>
              <w:rPr>
                <w:color w:val="000000"/>
                <w:sz w:val="19"/>
                <w:szCs w:val="19"/>
              </w:rPr>
            </w:pPr>
            <w:r w:rsidRPr="00124B6E">
              <w:rPr>
                <w:b/>
                <w:color w:val="000000"/>
                <w:sz w:val="19"/>
                <w:szCs w:val="19"/>
              </w:rPr>
              <w:t>4%</w:t>
            </w:r>
          </w:p>
        </w:tc>
        <w:tc>
          <w:tcPr>
            <w:tcW w:w="2132" w:type="dxa"/>
            <w:shd w:val="clear" w:color="000000" w:fill="D2EAF1"/>
            <w:noWrap/>
            <w:vAlign w:val="center"/>
          </w:tcPr>
          <w:p w:rsidR="00014BAF" w:rsidRPr="00124B6E" w:rsidRDefault="00014BAF" w:rsidP="004F0C61">
            <w:pPr>
              <w:jc w:val="center"/>
              <w:rPr>
                <w:color w:val="000000"/>
                <w:sz w:val="19"/>
                <w:szCs w:val="19"/>
              </w:rPr>
            </w:pPr>
            <w:r w:rsidRPr="00124B6E">
              <w:rPr>
                <w:b/>
                <w:color w:val="000000"/>
                <w:sz w:val="19"/>
                <w:szCs w:val="19"/>
              </w:rPr>
              <w:t>0.16</w:t>
            </w:r>
          </w:p>
        </w:tc>
        <w:tc>
          <w:tcPr>
            <w:tcW w:w="1530" w:type="dxa"/>
            <w:shd w:val="clear" w:color="000000" w:fill="D2EAF1"/>
            <w:noWrap/>
            <w:vAlign w:val="center"/>
          </w:tcPr>
          <w:p w:rsidR="00014BAF" w:rsidRPr="00124B6E" w:rsidRDefault="00014BAF" w:rsidP="004F0C61">
            <w:pPr>
              <w:jc w:val="center"/>
              <w:rPr>
                <w:color w:val="000000"/>
                <w:sz w:val="19"/>
                <w:szCs w:val="19"/>
              </w:rPr>
            </w:pPr>
            <w:r w:rsidRPr="00124B6E">
              <w:rPr>
                <w:b/>
                <w:color w:val="000000"/>
                <w:sz w:val="19"/>
                <w:szCs w:val="19"/>
              </w:rPr>
              <w:t>4%</w:t>
            </w:r>
          </w:p>
        </w:tc>
      </w:tr>
    </w:tbl>
    <w:p w:rsidR="00014BAF" w:rsidRPr="003458B1" w:rsidRDefault="00014BAF" w:rsidP="00014BAF"/>
    <w:p w:rsidR="00014BAF" w:rsidRPr="003458B1" w:rsidRDefault="00014BAF" w:rsidP="008C7396">
      <w:pPr>
        <w:pStyle w:val="AppendixAHeading5"/>
      </w:pPr>
      <w:r w:rsidRPr="003458B1">
        <w:t>Smart On-Site Program</w:t>
      </w:r>
    </w:p>
    <w:p w:rsidR="00014BAF" w:rsidRPr="003458B1" w:rsidRDefault="00014BAF" w:rsidP="00014BAF">
      <w:r w:rsidRPr="003458B1">
        <w:t xml:space="preserve">All </w:t>
      </w:r>
      <w:r>
        <w:t>six</w:t>
      </w:r>
      <w:r w:rsidRPr="003458B1">
        <w:t xml:space="preserve"> projects completed in PY7 were sampled for evaluation, resulting in relative precisions of 0% for both energy and demand.</w:t>
      </w:r>
      <w:r>
        <w:t xml:space="preserve"> </w:t>
      </w:r>
      <w:r w:rsidR="009D17D5">
        <w:fldChar w:fldCharType="begin"/>
      </w:r>
      <w:r w:rsidR="009D17D5">
        <w:instrText xml:space="preserve"> REF _Ref473466208 \h </w:instrText>
      </w:r>
      <w:r w:rsidR="009D17D5">
        <w:fldChar w:fldCharType="separate"/>
      </w:r>
      <w:r w:rsidR="00037CB4" w:rsidRPr="003458B1">
        <w:t>Table A-</w:t>
      </w:r>
      <w:r w:rsidR="00037CB4">
        <w:rPr>
          <w:noProof/>
        </w:rPr>
        <w:t>123</w:t>
      </w:r>
      <w:r w:rsidR="009D17D5">
        <w:fldChar w:fldCharType="end"/>
      </w:r>
      <w:r w:rsidR="009D17D5">
        <w:t xml:space="preserve"> </w:t>
      </w:r>
      <w:r w:rsidRPr="003458B1">
        <w:t>lists the details of the sampling strategy for this program in PY</w:t>
      </w:r>
      <w:r>
        <w:t>7</w:t>
      </w:r>
      <w:r w:rsidRPr="003458B1">
        <w:t>.</w:t>
      </w:r>
    </w:p>
    <w:p w:rsidR="00014BAF" w:rsidRPr="00727B1F" w:rsidRDefault="00014BAF" w:rsidP="00014BAF"/>
    <w:p w:rsidR="00014BAF" w:rsidRPr="003458B1" w:rsidRDefault="00014BAF" w:rsidP="004837FA">
      <w:pPr>
        <w:pStyle w:val="Caption"/>
      </w:pPr>
      <w:bookmarkStart w:id="1203" w:name="_Ref473466208"/>
      <w:bookmarkStart w:id="1204" w:name="_Toc472472532"/>
      <w:bookmarkStart w:id="1205" w:name="_Toc488741951"/>
      <w:r w:rsidRPr="003458B1">
        <w:t>Table A-</w:t>
      </w:r>
      <w:r w:rsidR="007973A4">
        <w:fldChar w:fldCharType="begin"/>
      </w:r>
      <w:r w:rsidR="007973A4">
        <w:instrText xml:space="preserve"> SEQ Table_A- \* ARABIC </w:instrText>
      </w:r>
      <w:r w:rsidR="007973A4">
        <w:fldChar w:fldCharType="separate"/>
      </w:r>
      <w:r w:rsidR="00037CB4">
        <w:rPr>
          <w:noProof/>
        </w:rPr>
        <w:t>123</w:t>
      </w:r>
      <w:r w:rsidR="007973A4">
        <w:rPr>
          <w:noProof/>
        </w:rPr>
        <w:fldChar w:fldCharType="end"/>
      </w:r>
      <w:bookmarkEnd w:id="1203"/>
      <w:r w:rsidRPr="003458B1">
        <w:t>: PECO’s PY7 Sampling Strategy – Smart On-Site Program</w:t>
      </w:r>
      <w:bookmarkEnd w:id="1204"/>
      <w:bookmarkEnd w:id="1205"/>
    </w:p>
    <w:tbl>
      <w:tblPr>
        <w:tblW w:w="917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060"/>
        <w:gridCol w:w="1620"/>
        <w:gridCol w:w="1800"/>
        <w:gridCol w:w="1890"/>
        <w:gridCol w:w="1800"/>
      </w:tblGrid>
      <w:tr w:rsidR="00A874AC" w:rsidRPr="00124B6E" w:rsidTr="00DC3249">
        <w:trPr>
          <w:trHeight w:val="765"/>
        </w:trPr>
        <w:tc>
          <w:tcPr>
            <w:tcW w:w="2060" w:type="dxa"/>
            <w:shd w:val="clear" w:color="000000" w:fill="448A99"/>
            <w:vAlign w:val="bottom"/>
            <w:hideMark/>
          </w:tcPr>
          <w:p w:rsidR="00014BAF" w:rsidRPr="00124B6E" w:rsidRDefault="00014BAF" w:rsidP="004F0C61">
            <w:pPr>
              <w:jc w:val="left"/>
              <w:rPr>
                <w:b/>
                <w:bCs/>
                <w:color w:val="FFFFFF"/>
                <w:sz w:val="19"/>
                <w:szCs w:val="19"/>
              </w:rPr>
            </w:pPr>
            <w:r w:rsidRPr="00124B6E">
              <w:rPr>
                <w:b/>
                <w:bCs/>
                <w:color w:val="FFFFFF"/>
                <w:sz w:val="19"/>
                <w:szCs w:val="19"/>
              </w:rPr>
              <w:t>Stratum</w:t>
            </w:r>
          </w:p>
        </w:tc>
        <w:tc>
          <w:tcPr>
            <w:tcW w:w="162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Population</w:t>
            </w:r>
          </w:p>
        </w:tc>
        <w:tc>
          <w:tcPr>
            <w:tcW w:w="180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Levels of Confidence &amp; Precision</w:t>
            </w:r>
          </w:p>
        </w:tc>
        <w:tc>
          <w:tcPr>
            <w:tcW w:w="189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Target Sample Size</w:t>
            </w:r>
          </w:p>
        </w:tc>
        <w:tc>
          <w:tcPr>
            <w:tcW w:w="180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Achieved Sample Size</w:t>
            </w:r>
          </w:p>
        </w:tc>
      </w:tr>
      <w:tr w:rsidR="00A874AC" w:rsidRPr="00124B6E" w:rsidTr="00DC3249">
        <w:trPr>
          <w:trHeight w:val="346"/>
        </w:trPr>
        <w:tc>
          <w:tcPr>
            <w:tcW w:w="2060" w:type="dxa"/>
            <w:shd w:val="clear" w:color="000000" w:fill="D2EAF1"/>
            <w:noWrap/>
            <w:vAlign w:val="center"/>
          </w:tcPr>
          <w:p w:rsidR="00014BAF" w:rsidRPr="00124B6E" w:rsidRDefault="00014BAF" w:rsidP="004F0C61">
            <w:pPr>
              <w:jc w:val="left"/>
              <w:rPr>
                <w:bCs/>
                <w:color w:val="000000"/>
                <w:sz w:val="19"/>
                <w:szCs w:val="19"/>
              </w:rPr>
            </w:pPr>
            <w:r w:rsidRPr="00124B6E">
              <w:rPr>
                <w:bCs/>
                <w:color w:val="000000"/>
                <w:sz w:val="19"/>
                <w:szCs w:val="19"/>
              </w:rPr>
              <w:t>All</w:t>
            </w:r>
          </w:p>
        </w:tc>
        <w:tc>
          <w:tcPr>
            <w:tcW w:w="162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6</w:t>
            </w:r>
          </w:p>
        </w:tc>
        <w:tc>
          <w:tcPr>
            <w:tcW w:w="180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85%/15%</w:t>
            </w:r>
          </w:p>
        </w:tc>
        <w:tc>
          <w:tcPr>
            <w:tcW w:w="189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6</w:t>
            </w:r>
          </w:p>
        </w:tc>
        <w:tc>
          <w:tcPr>
            <w:tcW w:w="1800" w:type="dxa"/>
            <w:shd w:val="clear" w:color="000000" w:fill="D2EAF1"/>
            <w:noWrap/>
            <w:vAlign w:val="center"/>
          </w:tcPr>
          <w:p w:rsidR="00014BAF" w:rsidRPr="00124B6E" w:rsidRDefault="00014BAF" w:rsidP="004F0C61">
            <w:pPr>
              <w:jc w:val="center"/>
              <w:rPr>
                <w:color w:val="000000"/>
                <w:sz w:val="19"/>
                <w:szCs w:val="19"/>
              </w:rPr>
            </w:pPr>
            <w:r w:rsidRPr="00124B6E">
              <w:rPr>
                <w:color w:val="000000"/>
                <w:sz w:val="19"/>
                <w:szCs w:val="19"/>
              </w:rPr>
              <w:t>6</w:t>
            </w:r>
          </w:p>
        </w:tc>
      </w:tr>
    </w:tbl>
    <w:p w:rsidR="00014BAF" w:rsidRPr="003458B1" w:rsidRDefault="00014BAF" w:rsidP="00014BAF"/>
    <w:p w:rsidR="00014BAF" w:rsidRPr="003458B1" w:rsidRDefault="00014BAF" w:rsidP="00014BAF">
      <w:r w:rsidRPr="003458B1">
        <w:t xml:space="preserve">The achieved precision levels for both energy and peak demand are shown in </w:t>
      </w:r>
      <w:r w:rsidR="009D17D5">
        <w:fldChar w:fldCharType="begin"/>
      </w:r>
      <w:r w:rsidR="009D17D5">
        <w:instrText xml:space="preserve"> REF _Ref473466238 \h </w:instrText>
      </w:r>
      <w:r w:rsidR="009D17D5">
        <w:fldChar w:fldCharType="separate"/>
      </w:r>
      <w:r w:rsidR="00037CB4" w:rsidRPr="003458B1">
        <w:t>Table A-</w:t>
      </w:r>
      <w:r w:rsidR="00037CB4">
        <w:rPr>
          <w:noProof/>
        </w:rPr>
        <w:t>124</w:t>
      </w:r>
      <w:r w:rsidR="009D17D5">
        <w:fldChar w:fldCharType="end"/>
      </w:r>
      <w:r w:rsidRPr="003458B1">
        <w:t>. The results show that the samples represented the population in this program effectively and that the precision target was met.</w:t>
      </w:r>
    </w:p>
    <w:p w:rsidR="00014BAF" w:rsidRPr="003458B1" w:rsidRDefault="00014BAF" w:rsidP="00014BAF"/>
    <w:p w:rsidR="00014BAF" w:rsidRPr="003458B1" w:rsidRDefault="00014BAF" w:rsidP="004837FA">
      <w:pPr>
        <w:pStyle w:val="Caption"/>
      </w:pPr>
      <w:bookmarkStart w:id="1206" w:name="_Ref473466238"/>
      <w:bookmarkStart w:id="1207" w:name="_Toc472472533"/>
      <w:bookmarkStart w:id="1208" w:name="_Toc488741952"/>
      <w:r w:rsidRPr="003458B1">
        <w:t>Table A-</w:t>
      </w:r>
      <w:r w:rsidR="007973A4">
        <w:fldChar w:fldCharType="begin"/>
      </w:r>
      <w:r w:rsidR="007973A4">
        <w:instrText xml:space="preserve"> SEQ Table_A- \* ARABIC </w:instrText>
      </w:r>
      <w:r w:rsidR="007973A4">
        <w:fldChar w:fldCharType="separate"/>
      </w:r>
      <w:r w:rsidR="00037CB4">
        <w:rPr>
          <w:noProof/>
        </w:rPr>
        <w:t>124</w:t>
      </w:r>
      <w:r w:rsidR="007973A4">
        <w:rPr>
          <w:noProof/>
        </w:rPr>
        <w:fldChar w:fldCharType="end"/>
      </w:r>
      <w:bookmarkEnd w:id="1206"/>
      <w:r w:rsidRPr="003458B1">
        <w:t>: Observed Coefficients of Variation and Relative Precisions – PECO’s SOS Program</w:t>
      </w:r>
      <w:bookmarkEnd w:id="1207"/>
      <w:bookmarkEnd w:id="1208"/>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250"/>
        <w:gridCol w:w="2160"/>
        <w:gridCol w:w="1288"/>
        <w:gridCol w:w="2132"/>
        <w:gridCol w:w="1530"/>
      </w:tblGrid>
      <w:tr w:rsidR="00A874AC" w:rsidRPr="00124B6E" w:rsidTr="004F0C61">
        <w:trPr>
          <w:trHeight w:val="1078"/>
          <w:jc w:val="center"/>
        </w:trPr>
        <w:tc>
          <w:tcPr>
            <w:tcW w:w="2250" w:type="dxa"/>
            <w:shd w:val="clear" w:color="000000" w:fill="448A99"/>
            <w:vAlign w:val="bottom"/>
            <w:hideMark/>
          </w:tcPr>
          <w:p w:rsidR="00014BAF" w:rsidRPr="00124B6E" w:rsidRDefault="00014BAF" w:rsidP="004F0C61">
            <w:pPr>
              <w:jc w:val="left"/>
              <w:rPr>
                <w:b/>
                <w:bCs/>
                <w:color w:val="FFFFFF"/>
                <w:sz w:val="19"/>
                <w:szCs w:val="19"/>
              </w:rPr>
            </w:pPr>
            <w:r w:rsidRPr="00124B6E">
              <w:rPr>
                <w:b/>
                <w:bCs/>
                <w:color w:val="FFFFFF"/>
                <w:sz w:val="19"/>
                <w:szCs w:val="19"/>
              </w:rPr>
              <w:t>Stratum</w:t>
            </w:r>
          </w:p>
        </w:tc>
        <w:tc>
          <w:tcPr>
            <w:tcW w:w="216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Energy</w:t>
            </w:r>
          </w:p>
        </w:tc>
        <w:tc>
          <w:tcPr>
            <w:tcW w:w="1288"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Energy</w:t>
            </w:r>
          </w:p>
        </w:tc>
        <w:tc>
          <w:tcPr>
            <w:tcW w:w="2132"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Observed Coefficient of Variation (Cv) or Proportion in Sample Design for Demand</w:t>
            </w:r>
          </w:p>
        </w:tc>
        <w:tc>
          <w:tcPr>
            <w:tcW w:w="1530" w:type="dxa"/>
            <w:shd w:val="clear" w:color="000000" w:fill="448A99"/>
            <w:vAlign w:val="bottom"/>
            <w:hideMark/>
          </w:tcPr>
          <w:p w:rsidR="00014BAF" w:rsidRPr="00124B6E" w:rsidRDefault="00014BAF" w:rsidP="004F0C61">
            <w:pPr>
              <w:jc w:val="center"/>
              <w:rPr>
                <w:b/>
                <w:bCs/>
                <w:color w:val="FFFFFF"/>
                <w:sz w:val="19"/>
                <w:szCs w:val="19"/>
              </w:rPr>
            </w:pPr>
            <w:r w:rsidRPr="00124B6E">
              <w:rPr>
                <w:b/>
                <w:bCs/>
                <w:color w:val="FFFFFF"/>
                <w:sz w:val="19"/>
                <w:szCs w:val="19"/>
              </w:rPr>
              <w:t>Relative Precision at 85% C.L. for Demand</w:t>
            </w:r>
          </w:p>
        </w:tc>
      </w:tr>
      <w:tr w:rsidR="00E7173E" w:rsidRPr="00124B6E" w:rsidTr="00AF6BD2">
        <w:trPr>
          <w:trHeight w:val="360"/>
          <w:jc w:val="center"/>
        </w:trPr>
        <w:tc>
          <w:tcPr>
            <w:tcW w:w="2250" w:type="dxa"/>
            <w:shd w:val="clear" w:color="auto" w:fill="auto"/>
            <w:noWrap/>
            <w:vAlign w:val="center"/>
          </w:tcPr>
          <w:p w:rsidR="00014BAF" w:rsidRPr="00124B6E" w:rsidRDefault="00014BAF" w:rsidP="004F0C61">
            <w:pPr>
              <w:jc w:val="left"/>
              <w:rPr>
                <w:bCs/>
                <w:color w:val="000000"/>
                <w:sz w:val="19"/>
                <w:szCs w:val="19"/>
              </w:rPr>
            </w:pPr>
            <w:r w:rsidRPr="00124B6E">
              <w:rPr>
                <w:bCs/>
                <w:color w:val="000000"/>
                <w:sz w:val="19"/>
                <w:szCs w:val="19"/>
              </w:rPr>
              <w:t>All</w:t>
            </w:r>
          </w:p>
        </w:tc>
        <w:tc>
          <w:tcPr>
            <w:tcW w:w="216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0.23</w:t>
            </w:r>
          </w:p>
        </w:tc>
        <w:tc>
          <w:tcPr>
            <w:tcW w:w="1288"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0%</w:t>
            </w:r>
          </w:p>
        </w:tc>
        <w:tc>
          <w:tcPr>
            <w:tcW w:w="2132"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0.26</w:t>
            </w:r>
          </w:p>
        </w:tc>
        <w:tc>
          <w:tcPr>
            <w:tcW w:w="1530" w:type="dxa"/>
            <w:shd w:val="clear" w:color="auto" w:fill="auto"/>
            <w:noWrap/>
            <w:vAlign w:val="center"/>
          </w:tcPr>
          <w:p w:rsidR="00014BAF" w:rsidRPr="00124B6E" w:rsidRDefault="00014BAF" w:rsidP="004F0C61">
            <w:pPr>
              <w:jc w:val="center"/>
              <w:rPr>
                <w:color w:val="000000"/>
                <w:sz w:val="19"/>
                <w:szCs w:val="19"/>
              </w:rPr>
            </w:pPr>
            <w:r w:rsidRPr="00124B6E">
              <w:rPr>
                <w:color w:val="000000"/>
                <w:sz w:val="19"/>
                <w:szCs w:val="19"/>
              </w:rPr>
              <w:t>0%</w:t>
            </w:r>
          </w:p>
        </w:tc>
      </w:tr>
      <w:tr w:rsidR="00A874AC" w:rsidRPr="00124B6E" w:rsidTr="00DC3249">
        <w:trPr>
          <w:trHeight w:val="360"/>
          <w:jc w:val="center"/>
        </w:trPr>
        <w:tc>
          <w:tcPr>
            <w:tcW w:w="2250" w:type="dxa"/>
            <w:shd w:val="clear" w:color="000000" w:fill="D2EAF1"/>
            <w:noWrap/>
            <w:vAlign w:val="center"/>
          </w:tcPr>
          <w:p w:rsidR="00014BAF" w:rsidRPr="00124B6E" w:rsidRDefault="00014BAF" w:rsidP="004F0C61">
            <w:pPr>
              <w:jc w:val="left"/>
              <w:rPr>
                <w:bCs/>
                <w:color w:val="000000"/>
                <w:sz w:val="19"/>
                <w:szCs w:val="19"/>
              </w:rPr>
            </w:pPr>
            <w:r w:rsidRPr="00124B6E">
              <w:rPr>
                <w:b/>
                <w:bCs/>
                <w:color w:val="000000"/>
                <w:sz w:val="19"/>
                <w:szCs w:val="19"/>
              </w:rPr>
              <w:t>Program Total</w:t>
            </w:r>
          </w:p>
        </w:tc>
        <w:tc>
          <w:tcPr>
            <w:tcW w:w="2160" w:type="dxa"/>
            <w:shd w:val="clear" w:color="000000" w:fill="D2EAF1"/>
            <w:noWrap/>
            <w:vAlign w:val="center"/>
          </w:tcPr>
          <w:p w:rsidR="00014BAF" w:rsidRPr="00124B6E" w:rsidRDefault="00014BAF" w:rsidP="004F0C61">
            <w:pPr>
              <w:jc w:val="center"/>
              <w:rPr>
                <w:color w:val="000000"/>
                <w:sz w:val="19"/>
                <w:szCs w:val="19"/>
              </w:rPr>
            </w:pPr>
            <w:r w:rsidRPr="00124B6E">
              <w:rPr>
                <w:b/>
                <w:color w:val="000000"/>
                <w:sz w:val="19"/>
                <w:szCs w:val="19"/>
              </w:rPr>
              <w:t>0.23</w:t>
            </w:r>
          </w:p>
        </w:tc>
        <w:tc>
          <w:tcPr>
            <w:tcW w:w="1288" w:type="dxa"/>
            <w:shd w:val="clear" w:color="000000" w:fill="D2EAF1"/>
            <w:noWrap/>
            <w:vAlign w:val="center"/>
          </w:tcPr>
          <w:p w:rsidR="00014BAF" w:rsidRPr="00124B6E" w:rsidRDefault="00014BAF" w:rsidP="004F0C61">
            <w:pPr>
              <w:jc w:val="center"/>
              <w:rPr>
                <w:color w:val="000000"/>
                <w:sz w:val="19"/>
                <w:szCs w:val="19"/>
              </w:rPr>
            </w:pPr>
            <w:r w:rsidRPr="00124B6E">
              <w:rPr>
                <w:b/>
                <w:color w:val="000000"/>
                <w:sz w:val="19"/>
                <w:szCs w:val="19"/>
              </w:rPr>
              <w:t>0%</w:t>
            </w:r>
          </w:p>
        </w:tc>
        <w:tc>
          <w:tcPr>
            <w:tcW w:w="2132" w:type="dxa"/>
            <w:shd w:val="clear" w:color="000000" w:fill="D2EAF1"/>
            <w:noWrap/>
            <w:vAlign w:val="center"/>
          </w:tcPr>
          <w:p w:rsidR="00014BAF" w:rsidRPr="00124B6E" w:rsidRDefault="00014BAF" w:rsidP="004F0C61">
            <w:pPr>
              <w:jc w:val="center"/>
              <w:rPr>
                <w:color w:val="000000"/>
                <w:sz w:val="19"/>
                <w:szCs w:val="19"/>
              </w:rPr>
            </w:pPr>
            <w:r w:rsidRPr="00124B6E">
              <w:rPr>
                <w:b/>
                <w:color w:val="000000"/>
                <w:sz w:val="19"/>
                <w:szCs w:val="19"/>
              </w:rPr>
              <w:t>0.26</w:t>
            </w:r>
          </w:p>
        </w:tc>
        <w:tc>
          <w:tcPr>
            <w:tcW w:w="1530" w:type="dxa"/>
            <w:shd w:val="clear" w:color="000000" w:fill="D2EAF1"/>
            <w:noWrap/>
            <w:vAlign w:val="center"/>
          </w:tcPr>
          <w:p w:rsidR="00014BAF" w:rsidRPr="00124B6E" w:rsidRDefault="00014BAF" w:rsidP="004F0C61">
            <w:pPr>
              <w:jc w:val="center"/>
              <w:rPr>
                <w:color w:val="000000"/>
                <w:sz w:val="19"/>
                <w:szCs w:val="19"/>
              </w:rPr>
            </w:pPr>
            <w:r w:rsidRPr="00124B6E">
              <w:rPr>
                <w:b/>
                <w:color w:val="000000"/>
                <w:sz w:val="19"/>
                <w:szCs w:val="19"/>
              </w:rPr>
              <w:t>0%</w:t>
            </w:r>
          </w:p>
        </w:tc>
      </w:tr>
    </w:tbl>
    <w:p w:rsidR="00014BAF" w:rsidRPr="004B56B4" w:rsidRDefault="00014BAF" w:rsidP="00014BAF"/>
    <w:p w:rsidR="00014BAF" w:rsidRPr="00DB1865" w:rsidRDefault="00014BAF" w:rsidP="0055598C">
      <w:pPr>
        <w:pStyle w:val="AppendixAHeading4"/>
        <w:rPr>
          <w:rFonts w:eastAsia="Calibri"/>
        </w:rPr>
      </w:pPr>
      <w:bookmarkStart w:id="1209" w:name="_Ref408503296"/>
      <w:bookmarkStart w:id="1210" w:name="_Toc408557474"/>
      <w:r w:rsidRPr="00DB1865">
        <w:rPr>
          <w:rFonts w:eastAsia="Calibri"/>
        </w:rPr>
        <w:t>Ride-Along Site Inspections</w:t>
      </w:r>
      <w:bookmarkEnd w:id="1209"/>
      <w:bookmarkEnd w:id="1210"/>
    </w:p>
    <w:p w:rsidR="00014BAF" w:rsidRPr="00DB1865" w:rsidRDefault="008111EC" w:rsidP="00014BAF">
      <w:pPr>
        <w:spacing w:after="120"/>
      </w:pPr>
      <w:r>
        <w:fldChar w:fldCharType="begin"/>
      </w:r>
      <w:r>
        <w:instrText xml:space="preserve"> REF _Ref473722436 \h </w:instrText>
      </w:r>
      <w:r>
        <w:fldChar w:fldCharType="separate"/>
      </w:r>
      <w:r w:rsidR="00037CB4" w:rsidRPr="004F0C61">
        <w:t>Table A-</w:t>
      </w:r>
      <w:r w:rsidR="00037CB4">
        <w:rPr>
          <w:noProof/>
        </w:rPr>
        <w:t>125</w:t>
      </w:r>
      <w:r>
        <w:fldChar w:fldCharType="end"/>
      </w:r>
      <w:r>
        <w:t xml:space="preserve"> </w:t>
      </w:r>
      <w:r w:rsidR="00014BAF" w:rsidRPr="00DB1865">
        <w:t xml:space="preserve">summarizes the SWE Team’s PY7 ride-along site inspections of PECO non-residential project installations. </w:t>
      </w:r>
      <w:r w:rsidR="00B27FAB">
        <w:t>For PY7, all PECO</w:t>
      </w:r>
      <w:r w:rsidR="00B27FAB" w:rsidRPr="003B2BD3">
        <w:t xml:space="preserve"> PY7 site inspection findings are categorized </w:t>
      </w:r>
      <w:r w:rsidR="00B27FAB">
        <w:t>as</w:t>
      </w:r>
      <w:r w:rsidR="00014BAF" w:rsidRPr="00DB1865">
        <w:t xml:space="preserve">: </w:t>
      </w:r>
    </w:p>
    <w:p w:rsidR="00014BAF" w:rsidRPr="00DB1865" w:rsidRDefault="00014BAF" w:rsidP="00E646C9">
      <w:pPr>
        <w:numPr>
          <w:ilvl w:val="0"/>
          <w:numId w:val="40"/>
        </w:numPr>
        <w:ind w:left="360"/>
      </w:pPr>
      <w:r w:rsidRPr="00DB1865">
        <w:t xml:space="preserve">Evaluation (Eval) findings are associated with ride-along site inspections and may reflect site activities or evaluation contractor savings calculations or reports. </w:t>
      </w:r>
    </w:p>
    <w:p w:rsidR="00014BAF" w:rsidRDefault="00014BAF" w:rsidP="00DC3249"/>
    <w:p w:rsidR="00DC3249" w:rsidRDefault="00DC3249" w:rsidP="004837FA">
      <w:pPr>
        <w:pStyle w:val="Caption"/>
        <w:sectPr w:rsidR="00DC3249" w:rsidSect="008B741E">
          <w:headerReference w:type="default" r:id="rId170"/>
          <w:footerReference w:type="default" r:id="rId171"/>
          <w:headerReference w:type="first" r:id="rId172"/>
          <w:footerReference w:type="first" r:id="rId173"/>
          <w:pgSz w:w="12240" w:h="15840"/>
          <w:pgMar w:top="1440" w:right="1440" w:bottom="1440" w:left="1440" w:header="720" w:footer="288" w:gutter="0"/>
          <w:cols w:space="720"/>
          <w:titlePg/>
          <w:docGrid w:linePitch="360"/>
        </w:sectPr>
      </w:pPr>
      <w:bookmarkStart w:id="1211" w:name="_Ref472470014"/>
      <w:bookmarkStart w:id="1212" w:name="_Toc472472534"/>
    </w:p>
    <w:p w:rsidR="00014BAF" w:rsidRPr="00DB1865" w:rsidRDefault="004F0C61" w:rsidP="004837FA">
      <w:pPr>
        <w:pStyle w:val="Caption"/>
      </w:pPr>
      <w:bookmarkStart w:id="1213" w:name="_Ref473722436"/>
      <w:bookmarkStart w:id="1214" w:name="_Toc488741953"/>
      <w:r w:rsidRPr="004F0C61">
        <w:t>Table A-</w:t>
      </w:r>
      <w:r w:rsidR="007973A4">
        <w:fldChar w:fldCharType="begin"/>
      </w:r>
      <w:r w:rsidR="007973A4">
        <w:instrText xml:space="preserve"> SEQ Table_A- \* ARABIC </w:instrText>
      </w:r>
      <w:r w:rsidR="007973A4">
        <w:fldChar w:fldCharType="separate"/>
      </w:r>
      <w:r w:rsidR="00037CB4">
        <w:rPr>
          <w:noProof/>
        </w:rPr>
        <w:t>125</w:t>
      </w:r>
      <w:r w:rsidR="007973A4">
        <w:rPr>
          <w:noProof/>
        </w:rPr>
        <w:fldChar w:fldCharType="end"/>
      </w:r>
      <w:bookmarkEnd w:id="1211"/>
      <w:bookmarkEnd w:id="1213"/>
      <w:r w:rsidRPr="004F0C61">
        <w:t>: PECO’s PY7 Non-Residential Site Inspection Findings</w:t>
      </w:r>
      <w:bookmarkEnd w:id="1212"/>
      <w:bookmarkEnd w:id="1214"/>
    </w:p>
    <w:tbl>
      <w:tblPr>
        <w:tblW w:w="129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20"/>
        <w:gridCol w:w="1440"/>
        <w:gridCol w:w="4590"/>
        <w:gridCol w:w="900"/>
        <w:gridCol w:w="4500"/>
      </w:tblGrid>
      <w:tr w:rsidR="00A874AC" w:rsidRPr="00DC3249" w:rsidTr="00DC3249">
        <w:trPr>
          <w:trHeight w:val="300"/>
          <w:tblHeader/>
        </w:trPr>
        <w:tc>
          <w:tcPr>
            <w:tcW w:w="1520" w:type="dxa"/>
            <w:shd w:val="clear" w:color="auto" w:fill="448A99"/>
            <w:noWrap/>
            <w:vAlign w:val="bottom"/>
            <w:hideMark/>
          </w:tcPr>
          <w:p w:rsidR="004F0C61" w:rsidRPr="00DC3249" w:rsidRDefault="004F0C61" w:rsidP="004F0C61">
            <w:pPr>
              <w:jc w:val="left"/>
              <w:rPr>
                <w:b/>
                <w:bCs/>
                <w:color w:val="FFFFFF"/>
                <w:sz w:val="20"/>
                <w:szCs w:val="20"/>
              </w:rPr>
            </w:pPr>
            <w:r w:rsidRPr="00DC3249">
              <w:rPr>
                <w:b/>
                <w:bCs/>
                <w:color w:val="FFFFFF"/>
                <w:sz w:val="20"/>
                <w:szCs w:val="20"/>
              </w:rPr>
              <w:t>Project ID</w:t>
            </w:r>
          </w:p>
        </w:tc>
        <w:tc>
          <w:tcPr>
            <w:tcW w:w="1440" w:type="dxa"/>
            <w:shd w:val="clear" w:color="auto" w:fill="448A99"/>
            <w:noWrap/>
            <w:vAlign w:val="bottom"/>
            <w:hideMark/>
          </w:tcPr>
          <w:p w:rsidR="004F0C61" w:rsidRPr="00DC3249" w:rsidRDefault="004F0C61" w:rsidP="00DC3249">
            <w:pPr>
              <w:jc w:val="center"/>
              <w:rPr>
                <w:b/>
                <w:bCs/>
                <w:color w:val="FFFFFF"/>
                <w:sz w:val="20"/>
                <w:szCs w:val="20"/>
              </w:rPr>
            </w:pPr>
            <w:r w:rsidRPr="00DC3249">
              <w:rPr>
                <w:b/>
                <w:bCs/>
                <w:color w:val="FFFFFF"/>
                <w:sz w:val="20"/>
                <w:szCs w:val="20"/>
              </w:rPr>
              <w:t>Technology</w:t>
            </w:r>
          </w:p>
        </w:tc>
        <w:tc>
          <w:tcPr>
            <w:tcW w:w="4590" w:type="dxa"/>
            <w:shd w:val="clear" w:color="auto" w:fill="448A99"/>
            <w:noWrap/>
            <w:vAlign w:val="bottom"/>
            <w:hideMark/>
          </w:tcPr>
          <w:p w:rsidR="004F0C61" w:rsidRPr="00DC3249" w:rsidRDefault="004F0C61" w:rsidP="00DC3249">
            <w:pPr>
              <w:jc w:val="center"/>
              <w:rPr>
                <w:b/>
                <w:bCs/>
                <w:color w:val="FFFFFF"/>
                <w:sz w:val="20"/>
                <w:szCs w:val="20"/>
              </w:rPr>
            </w:pPr>
            <w:r w:rsidRPr="00DC3249">
              <w:rPr>
                <w:b/>
                <w:bCs/>
                <w:color w:val="FFFFFF"/>
                <w:sz w:val="20"/>
                <w:szCs w:val="20"/>
              </w:rPr>
              <w:t>Finding</w:t>
            </w:r>
          </w:p>
        </w:tc>
        <w:tc>
          <w:tcPr>
            <w:tcW w:w="900" w:type="dxa"/>
            <w:shd w:val="clear" w:color="auto" w:fill="448A99"/>
            <w:noWrap/>
            <w:vAlign w:val="bottom"/>
            <w:hideMark/>
          </w:tcPr>
          <w:p w:rsidR="004F0C61" w:rsidRPr="00DC3249" w:rsidRDefault="004F0C61" w:rsidP="00DC3249">
            <w:pPr>
              <w:jc w:val="center"/>
              <w:rPr>
                <w:b/>
                <w:bCs/>
                <w:color w:val="FFFFFF"/>
                <w:sz w:val="20"/>
                <w:szCs w:val="20"/>
              </w:rPr>
            </w:pPr>
            <w:r w:rsidRPr="00DC3249">
              <w:rPr>
                <w:b/>
                <w:bCs/>
                <w:color w:val="FFFFFF"/>
                <w:sz w:val="20"/>
                <w:szCs w:val="20"/>
              </w:rPr>
              <w:t>Finding Type</w:t>
            </w:r>
          </w:p>
        </w:tc>
        <w:tc>
          <w:tcPr>
            <w:tcW w:w="4500" w:type="dxa"/>
            <w:shd w:val="clear" w:color="auto" w:fill="448A99"/>
            <w:noWrap/>
            <w:vAlign w:val="bottom"/>
            <w:hideMark/>
          </w:tcPr>
          <w:p w:rsidR="004F0C61" w:rsidRPr="00DC3249" w:rsidRDefault="004F0C61" w:rsidP="00DC3249">
            <w:pPr>
              <w:jc w:val="center"/>
              <w:rPr>
                <w:b/>
                <w:bCs/>
                <w:color w:val="FFFFFF"/>
                <w:sz w:val="20"/>
                <w:szCs w:val="20"/>
              </w:rPr>
            </w:pPr>
            <w:r w:rsidRPr="00DC3249">
              <w:rPr>
                <w:b/>
                <w:bCs/>
                <w:color w:val="FFFFFF"/>
                <w:sz w:val="20"/>
                <w:szCs w:val="20"/>
              </w:rPr>
              <w:t>Resolution</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PECO-14-06375</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HVAC</w:t>
            </w:r>
          </w:p>
        </w:tc>
        <w:tc>
          <w:tcPr>
            <w:tcW w:w="459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 xml:space="preserve">The SWE Team found that the </w:t>
            </w:r>
            <w:r w:rsidRPr="00DC3249">
              <w:rPr>
                <w:sz w:val="20"/>
                <w:szCs w:val="20"/>
              </w:rPr>
              <w:t>evaluation contractor’s</w:t>
            </w:r>
            <w:r w:rsidRPr="00DC3249">
              <w:rPr>
                <w:color w:val="000000"/>
                <w:sz w:val="20"/>
                <w:szCs w:val="20"/>
              </w:rPr>
              <w:t xml:space="preserve"> review of the project is accurate.</w:t>
            </w:r>
          </w:p>
        </w:tc>
        <w:tc>
          <w:tcPr>
            <w:tcW w:w="90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Eval</w:t>
            </w:r>
          </w:p>
        </w:tc>
        <w:tc>
          <w:tcPr>
            <w:tcW w:w="4500" w:type="dxa"/>
            <w:shd w:val="clear" w:color="auto" w:fill="D2EAF1"/>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E7173E" w:rsidRPr="00DC3249" w:rsidTr="00AF6BD2">
        <w:trPr>
          <w:trHeight w:val="732"/>
        </w:trPr>
        <w:tc>
          <w:tcPr>
            <w:tcW w:w="1520" w:type="dxa"/>
            <w:shd w:val="clear" w:color="auto" w:fill="auto"/>
            <w:noWrap/>
          </w:tcPr>
          <w:p w:rsidR="004F0C61" w:rsidRPr="00DC3249" w:rsidRDefault="004F0C61" w:rsidP="004F0C61">
            <w:pPr>
              <w:rPr>
                <w:sz w:val="20"/>
                <w:szCs w:val="20"/>
              </w:rPr>
            </w:pPr>
            <w:r w:rsidRPr="00DC3249">
              <w:rPr>
                <w:sz w:val="20"/>
                <w:szCs w:val="20"/>
              </w:rPr>
              <w:t>PECO-14-06458</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HVAC</w:t>
            </w:r>
          </w:p>
        </w:tc>
        <w:tc>
          <w:tcPr>
            <w:tcW w:w="4590" w:type="dxa"/>
            <w:shd w:val="clear" w:color="auto" w:fill="auto"/>
            <w:noWrap/>
          </w:tcPr>
          <w:p w:rsidR="004F0C61" w:rsidRPr="00DC3249" w:rsidRDefault="004F0C61" w:rsidP="00DC3249">
            <w:pPr>
              <w:jc w:val="center"/>
              <w:rPr>
                <w:sz w:val="20"/>
                <w:szCs w:val="20"/>
              </w:rPr>
            </w:pPr>
            <w:r w:rsidRPr="00DC3249">
              <w:rPr>
                <w:sz w:val="20"/>
                <w:szCs w:val="20"/>
              </w:rPr>
              <w:t>The SWE Team found that the evaluation contractor’s review of the project is accurate.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PECO-14-06778</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Lighting</w:t>
            </w:r>
          </w:p>
        </w:tc>
        <w:tc>
          <w:tcPr>
            <w:tcW w:w="4590" w:type="dxa"/>
            <w:shd w:val="clear" w:color="auto" w:fill="D2EAF1"/>
            <w:noWrap/>
          </w:tcPr>
          <w:p w:rsidR="004F0C61" w:rsidRPr="00DC3249" w:rsidRDefault="004F0C61" w:rsidP="00DC3249">
            <w:pPr>
              <w:jc w:val="center"/>
              <w:rPr>
                <w:sz w:val="20"/>
                <w:szCs w:val="20"/>
              </w:rPr>
            </w:pPr>
            <w:r w:rsidRPr="00DC3249">
              <w:rPr>
                <w:sz w:val="20"/>
                <w:szCs w:val="20"/>
              </w:rPr>
              <w:t>The SWE Team found that the evaluation contractor’s review of the project is accurate.</w:t>
            </w:r>
          </w:p>
        </w:tc>
        <w:tc>
          <w:tcPr>
            <w:tcW w:w="900" w:type="dxa"/>
            <w:shd w:val="clear" w:color="auto" w:fill="D2EAF1"/>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D2EAF1"/>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E7173E" w:rsidRPr="00DC3249" w:rsidTr="00706E5F">
        <w:trPr>
          <w:trHeight w:val="732"/>
        </w:trPr>
        <w:tc>
          <w:tcPr>
            <w:tcW w:w="1520" w:type="dxa"/>
            <w:shd w:val="clear" w:color="auto" w:fill="auto"/>
            <w:noWrap/>
          </w:tcPr>
          <w:p w:rsidR="004F0C61" w:rsidRPr="00DC3249" w:rsidRDefault="004F0C61" w:rsidP="004F0C61">
            <w:pPr>
              <w:rPr>
                <w:sz w:val="20"/>
                <w:szCs w:val="20"/>
              </w:rPr>
            </w:pPr>
            <w:r w:rsidRPr="00DC3249">
              <w:rPr>
                <w:sz w:val="20"/>
                <w:szCs w:val="20"/>
              </w:rPr>
              <w:t>PECO-14-06963</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HVAC</w:t>
            </w:r>
          </w:p>
        </w:tc>
        <w:tc>
          <w:tcPr>
            <w:tcW w:w="4590" w:type="dxa"/>
            <w:shd w:val="clear" w:color="auto" w:fill="auto"/>
            <w:noWrap/>
          </w:tcPr>
          <w:p w:rsidR="004F0C61" w:rsidRPr="00DC3249" w:rsidRDefault="004F0C61" w:rsidP="00DC3249">
            <w:pPr>
              <w:jc w:val="center"/>
              <w:rPr>
                <w:sz w:val="20"/>
                <w:szCs w:val="20"/>
              </w:rPr>
            </w:pPr>
            <w:r w:rsidRPr="00DC3249">
              <w:rPr>
                <w:sz w:val="20"/>
                <w:szCs w:val="20"/>
              </w:rPr>
              <w:t>The SWE Team found that the evaluation contractor’s review of the project is accurate.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PECO-15-08208</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Lighting</w:t>
            </w:r>
          </w:p>
        </w:tc>
        <w:tc>
          <w:tcPr>
            <w:tcW w:w="4590" w:type="dxa"/>
            <w:shd w:val="clear" w:color="auto" w:fill="D2EAF1"/>
            <w:noWrap/>
          </w:tcPr>
          <w:p w:rsidR="004F0C61" w:rsidRPr="00DC3249" w:rsidRDefault="004F0C61" w:rsidP="00DC3249">
            <w:pPr>
              <w:jc w:val="center"/>
              <w:rPr>
                <w:sz w:val="20"/>
                <w:szCs w:val="20"/>
              </w:rPr>
            </w:pPr>
            <w:r w:rsidRPr="00DC3249">
              <w:rPr>
                <w:sz w:val="20"/>
                <w:szCs w:val="20"/>
              </w:rPr>
              <w:t>The SWE Team found that the evaluation contractor’s review of the project is accurate.</w:t>
            </w:r>
          </w:p>
        </w:tc>
        <w:tc>
          <w:tcPr>
            <w:tcW w:w="900" w:type="dxa"/>
            <w:shd w:val="clear" w:color="auto" w:fill="D2EAF1"/>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D2EAF1"/>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E7173E" w:rsidRPr="00DC3249" w:rsidTr="00706E5F">
        <w:trPr>
          <w:trHeight w:val="732"/>
        </w:trPr>
        <w:tc>
          <w:tcPr>
            <w:tcW w:w="1520" w:type="dxa"/>
            <w:shd w:val="clear" w:color="auto" w:fill="auto"/>
            <w:noWrap/>
          </w:tcPr>
          <w:p w:rsidR="004F0C61" w:rsidRPr="00DC3249" w:rsidRDefault="004F0C61" w:rsidP="004F0C61">
            <w:pPr>
              <w:rPr>
                <w:sz w:val="20"/>
                <w:szCs w:val="20"/>
              </w:rPr>
            </w:pPr>
            <w:r w:rsidRPr="00DC3249">
              <w:rPr>
                <w:sz w:val="20"/>
                <w:szCs w:val="20"/>
              </w:rPr>
              <w:t>PECO-15-07120</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Lighting</w:t>
            </w:r>
          </w:p>
        </w:tc>
        <w:tc>
          <w:tcPr>
            <w:tcW w:w="459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Minor variations in the fixture counts were discovered on-site.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The verified savings evaluation did account for the site findings and the SWE Team had no further recommendations for this project.</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PECO-13-05437</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HVAC (chillers)</w:t>
            </w:r>
          </w:p>
        </w:tc>
        <w:tc>
          <w:tcPr>
            <w:tcW w:w="459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Equipment discovered on-site did not match the application; additional lighting project was discovered.</w:t>
            </w:r>
          </w:p>
        </w:tc>
        <w:tc>
          <w:tcPr>
            <w:tcW w:w="900" w:type="dxa"/>
            <w:shd w:val="clear" w:color="auto" w:fill="D2EAF1"/>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The verified savings evaluation did account for the site findings and the SWE Team had no further recommendations for this project.</w:t>
            </w:r>
          </w:p>
        </w:tc>
      </w:tr>
      <w:tr w:rsidR="00E7173E" w:rsidRPr="00DC3249" w:rsidTr="00706E5F">
        <w:trPr>
          <w:trHeight w:val="732"/>
        </w:trPr>
        <w:tc>
          <w:tcPr>
            <w:tcW w:w="1520" w:type="dxa"/>
            <w:shd w:val="clear" w:color="auto" w:fill="auto"/>
            <w:noWrap/>
          </w:tcPr>
          <w:p w:rsidR="004F0C61" w:rsidRPr="00DC3249" w:rsidRDefault="004F0C61" w:rsidP="004F0C61">
            <w:pPr>
              <w:rPr>
                <w:sz w:val="20"/>
                <w:szCs w:val="20"/>
              </w:rPr>
            </w:pPr>
            <w:r w:rsidRPr="00DC3249">
              <w:rPr>
                <w:sz w:val="20"/>
                <w:szCs w:val="20"/>
              </w:rPr>
              <w:t>PECO-15-07594</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HVAC, lighting</w:t>
            </w:r>
          </w:p>
        </w:tc>
        <w:tc>
          <w:tcPr>
            <w:tcW w:w="459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 xml:space="preserve">The SWE Team found that the </w:t>
            </w:r>
            <w:r w:rsidRPr="00DC3249">
              <w:rPr>
                <w:sz w:val="20"/>
                <w:szCs w:val="20"/>
              </w:rPr>
              <w:t>evaluation contractor’s</w:t>
            </w:r>
            <w:r w:rsidRPr="00DC3249">
              <w:rPr>
                <w:color w:val="000000"/>
                <w:sz w:val="20"/>
                <w:szCs w:val="20"/>
              </w:rPr>
              <w:t xml:space="preserve"> review of the project is accurate.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The SWE Team had no recommendations based on its review of this project.</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PECO-14-06805</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Recommissioning HVAC</w:t>
            </w:r>
          </w:p>
        </w:tc>
        <w:tc>
          <w:tcPr>
            <w:tcW w:w="459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The operating hours and VFD settings were found to be different on-site.</w:t>
            </w:r>
          </w:p>
        </w:tc>
        <w:tc>
          <w:tcPr>
            <w:tcW w:w="900" w:type="dxa"/>
            <w:shd w:val="clear" w:color="auto" w:fill="D2EAF1"/>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The verified savings evaluation did account for the site findings and the SWE Team had no further recommendations for this project.</w:t>
            </w:r>
          </w:p>
        </w:tc>
      </w:tr>
      <w:tr w:rsidR="00E7173E" w:rsidRPr="00DC3249" w:rsidTr="00706E5F">
        <w:trPr>
          <w:trHeight w:val="733"/>
        </w:trPr>
        <w:tc>
          <w:tcPr>
            <w:tcW w:w="1520" w:type="dxa"/>
            <w:shd w:val="clear" w:color="auto" w:fill="auto"/>
            <w:noWrap/>
          </w:tcPr>
          <w:p w:rsidR="004F0C61" w:rsidRPr="00DC3249" w:rsidRDefault="004F0C61" w:rsidP="004F0C61">
            <w:pPr>
              <w:rPr>
                <w:sz w:val="20"/>
                <w:szCs w:val="20"/>
              </w:rPr>
            </w:pPr>
            <w:r w:rsidRPr="00DC3249">
              <w:rPr>
                <w:sz w:val="20"/>
                <w:szCs w:val="20"/>
              </w:rPr>
              <w:t>PECO-15-08497</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Lighting</w:t>
            </w:r>
          </w:p>
        </w:tc>
        <w:tc>
          <w:tcPr>
            <w:tcW w:w="459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 xml:space="preserve">The SWE Team found that the </w:t>
            </w:r>
            <w:r w:rsidRPr="00DC3249">
              <w:rPr>
                <w:sz w:val="20"/>
                <w:szCs w:val="20"/>
              </w:rPr>
              <w:t>evaluation contractor’s</w:t>
            </w:r>
            <w:r w:rsidRPr="00DC3249">
              <w:rPr>
                <w:color w:val="000000"/>
                <w:sz w:val="20"/>
                <w:szCs w:val="20"/>
              </w:rPr>
              <w:t xml:space="preserve"> review of the project is accurate.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The SWE Team had no recommendations based on its review of this project.</w:t>
            </w:r>
          </w:p>
        </w:tc>
      </w:tr>
    </w:tbl>
    <w:p w:rsidR="00014BAF" w:rsidRDefault="00014BAF" w:rsidP="00014BAF"/>
    <w:p w:rsidR="00DC3249" w:rsidRDefault="00DC3249" w:rsidP="0055598C">
      <w:pPr>
        <w:pStyle w:val="AppendixAHeading4"/>
        <w:rPr>
          <w:rFonts w:eastAsia="Calibri"/>
        </w:rPr>
        <w:sectPr w:rsidR="00DC3249" w:rsidSect="00DC3249">
          <w:headerReference w:type="first" r:id="rId174"/>
          <w:footerReference w:type="first" r:id="rId175"/>
          <w:pgSz w:w="15840" w:h="12240" w:orient="landscape"/>
          <w:pgMar w:top="1440" w:right="1440" w:bottom="1440" w:left="1440" w:header="720" w:footer="288" w:gutter="0"/>
          <w:cols w:space="720"/>
          <w:titlePg/>
          <w:docGrid w:linePitch="360"/>
        </w:sectPr>
      </w:pPr>
      <w:bookmarkStart w:id="1215" w:name="_Toc408557475"/>
      <w:bookmarkStart w:id="1216" w:name="_Ref440444412"/>
    </w:p>
    <w:p w:rsidR="0016779B" w:rsidRPr="00EB5DD8" w:rsidRDefault="0016779B" w:rsidP="0055598C">
      <w:pPr>
        <w:pStyle w:val="AppendixAHeading4"/>
        <w:rPr>
          <w:rFonts w:eastAsia="Calibri"/>
        </w:rPr>
      </w:pPr>
      <w:r w:rsidRPr="00EB5DD8">
        <w:rPr>
          <w:rFonts w:eastAsia="Calibri"/>
        </w:rPr>
        <w:t>Verified Savings Review</w:t>
      </w:r>
      <w:bookmarkEnd w:id="1215"/>
      <w:bookmarkEnd w:id="1216"/>
    </w:p>
    <w:p w:rsidR="0016779B" w:rsidRPr="00EB5DD8" w:rsidRDefault="0016779B" w:rsidP="0016779B">
      <w:r w:rsidRPr="00EB5DD8">
        <w:t xml:space="preserve">The SWE Team requested a subset of Navigant’s sample for review. </w:t>
      </w:r>
      <w:r w:rsidRPr="00EB5DD8">
        <w:fldChar w:fldCharType="begin"/>
      </w:r>
      <w:r w:rsidRPr="00EB5DD8">
        <w:instrText xml:space="preserve"> REF _Ref440268882 \h  \* MERGEFORMAT </w:instrText>
      </w:r>
      <w:r w:rsidRPr="00EB5DD8">
        <w:fldChar w:fldCharType="separate"/>
      </w:r>
      <w:r w:rsidR="00037CB4" w:rsidRPr="00EB5DD8">
        <w:t>Table A-</w:t>
      </w:r>
      <w:r w:rsidR="00037CB4">
        <w:t>126</w:t>
      </w:r>
      <w:r w:rsidRPr="00EB5DD8">
        <w:fldChar w:fldCharType="end"/>
      </w:r>
      <w:r w:rsidRPr="00EB5DD8">
        <w:t xml:space="preserve"> shows the energy and demand savings for the projects chosen for SWE </w:t>
      </w:r>
      <w:r w:rsidRPr="00EB5DD8">
        <w:rPr>
          <w:color w:val="000000"/>
        </w:rPr>
        <w:t xml:space="preserve">Team </w:t>
      </w:r>
      <w:r w:rsidRPr="00EB5DD8">
        <w:t>review, as well as the M&amp;V method selected for each project evaluation. The SWE Team was generally pleased with the orderliness of the project files and reports and the level of rigor used in the evaluations. However, there was one discrepancy between the</w:t>
      </w:r>
      <w:r>
        <w:t xml:space="preserve"> verified</w:t>
      </w:r>
      <w:r w:rsidRPr="00EB5DD8">
        <w:t xml:space="preserve"> savings reported in the site-level report for project number PECO-15-08298 and the</w:t>
      </w:r>
      <w:r>
        <w:t xml:space="preserve"> verified</w:t>
      </w:r>
      <w:r w:rsidRPr="00EB5DD8">
        <w:t xml:space="preserve"> savings reported in the tracking system.</w:t>
      </w:r>
    </w:p>
    <w:p w:rsidR="0016779B" w:rsidRPr="00EB5DD8" w:rsidRDefault="0016779B" w:rsidP="0016779B"/>
    <w:p w:rsidR="0016779B" w:rsidRPr="00EB5DD8" w:rsidRDefault="0016779B" w:rsidP="004837FA">
      <w:pPr>
        <w:pStyle w:val="Caption"/>
      </w:pPr>
      <w:bookmarkStart w:id="1217" w:name="_Ref440268882"/>
      <w:bookmarkStart w:id="1218" w:name="_Toc410199399"/>
      <w:bookmarkStart w:id="1219" w:name="_Toc431462381"/>
      <w:bookmarkStart w:id="1220" w:name="_Toc444269907"/>
      <w:bookmarkStart w:id="1221" w:name="_Toc472472535"/>
      <w:bookmarkStart w:id="1222" w:name="_Toc488741954"/>
      <w:r w:rsidRPr="00EB5DD8">
        <w:t>Table A-</w:t>
      </w:r>
      <w:r w:rsidR="007973A4">
        <w:fldChar w:fldCharType="begin"/>
      </w:r>
      <w:r w:rsidR="007973A4">
        <w:instrText xml:space="preserve"> SEQ Table_A- \* ARABIC </w:instrText>
      </w:r>
      <w:r w:rsidR="007973A4">
        <w:fldChar w:fldCharType="separate"/>
      </w:r>
      <w:r w:rsidR="00037CB4">
        <w:rPr>
          <w:noProof/>
        </w:rPr>
        <w:t>126</w:t>
      </w:r>
      <w:r w:rsidR="007973A4">
        <w:rPr>
          <w:noProof/>
        </w:rPr>
        <w:fldChar w:fldCharType="end"/>
      </w:r>
      <w:bookmarkEnd w:id="1217"/>
      <w:r w:rsidRPr="00EB5DD8">
        <w:t xml:space="preserve">: Verified Savings </w:t>
      </w:r>
      <w:r>
        <w:t xml:space="preserve">and </w:t>
      </w:r>
      <w:r w:rsidRPr="00AE2046">
        <w:t>M&amp;V Methods</w:t>
      </w:r>
      <w:r>
        <w:t xml:space="preserve"> </w:t>
      </w:r>
      <w:r w:rsidRPr="00EB5DD8">
        <w:t>for SWE Team</w:t>
      </w:r>
      <w:r>
        <w:t>–</w:t>
      </w:r>
      <w:r w:rsidRPr="00EB5DD8">
        <w:t>Sample</w:t>
      </w:r>
      <w:bookmarkEnd w:id="1218"/>
      <w:bookmarkEnd w:id="1219"/>
      <w:bookmarkEnd w:id="1220"/>
      <w:r>
        <w:t>d PECO Projects</w:t>
      </w:r>
      <w:bookmarkEnd w:id="1221"/>
      <w:bookmarkEnd w:id="1222"/>
    </w:p>
    <w:tbl>
      <w:tblPr>
        <w:tblStyle w:val="MediumShading1-Accent51"/>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989"/>
        <w:gridCol w:w="1438"/>
        <w:gridCol w:w="1556"/>
        <w:gridCol w:w="1577"/>
        <w:gridCol w:w="1328"/>
        <w:gridCol w:w="2452"/>
      </w:tblGrid>
      <w:tr w:rsidR="00A874AC" w:rsidRPr="00124B6E" w:rsidTr="00EE3086">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990" w:type="dxa"/>
            <w:shd w:val="clear" w:color="auto" w:fill="448A99"/>
            <w:vAlign w:val="bottom"/>
          </w:tcPr>
          <w:p w:rsidR="0016779B" w:rsidRPr="00124B6E" w:rsidRDefault="0016779B" w:rsidP="00FC4E62">
            <w:pPr>
              <w:rPr>
                <w:rFonts w:eastAsia="Calibri"/>
                <w:noProof/>
                <w:sz w:val="19"/>
                <w:szCs w:val="19"/>
              </w:rPr>
            </w:pPr>
            <w:r w:rsidRPr="00124B6E">
              <w:rPr>
                <w:rFonts w:eastAsia="Calibri"/>
                <w:noProof/>
                <w:sz w:val="19"/>
                <w:szCs w:val="19"/>
              </w:rPr>
              <w:t>Program</w:t>
            </w:r>
          </w:p>
        </w:tc>
        <w:tc>
          <w:tcPr>
            <w:tcW w:w="1440" w:type="dxa"/>
            <w:shd w:val="clear" w:color="auto" w:fill="448A99"/>
            <w:vAlign w:val="bottom"/>
          </w:tcPr>
          <w:p w:rsidR="0016779B" w:rsidRPr="00124B6E"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19"/>
                <w:szCs w:val="19"/>
              </w:rPr>
            </w:pPr>
            <w:r w:rsidRPr="00124B6E">
              <w:rPr>
                <w:rFonts w:eastAsia="Calibri"/>
                <w:noProof/>
                <w:sz w:val="19"/>
                <w:szCs w:val="19"/>
              </w:rPr>
              <w:t>Stratum</w:t>
            </w:r>
          </w:p>
        </w:tc>
        <w:tc>
          <w:tcPr>
            <w:tcW w:w="1559" w:type="dxa"/>
            <w:shd w:val="clear" w:color="auto" w:fill="448A99"/>
            <w:vAlign w:val="bottom"/>
          </w:tcPr>
          <w:p w:rsidR="0016779B" w:rsidRPr="00124B6E"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19"/>
                <w:szCs w:val="19"/>
              </w:rPr>
            </w:pPr>
            <w:r w:rsidRPr="00124B6E">
              <w:rPr>
                <w:rFonts w:eastAsia="Calibri"/>
                <w:noProof/>
                <w:sz w:val="19"/>
                <w:szCs w:val="19"/>
              </w:rPr>
              <w:t>Project Number</w:t>
            </w:r>
          </w:p>
        </w:tc>
        <w:tc>
          <w:tcPr>
            <w:tcW w:w="1579" w:type="dxa"/>
            <w:shd w:val="clear" w:color="auto" w:fill="448A99"/>
            <w:vAlign w:val="bottom"/>
          </w:tcPr>
          <w:p w:rsidR="0016779B" w:rsidRPr="00124B6E"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19"/>
                <w:szCs w:val="19"/>
              </w:rPr>
            </w:pPr>
            <w:r w:rsidRPr="00124B6E">
              <w:rPr>
                <w:rFonts w:eastAsia="Calibri"/>
                <w:noProof/>
                <w:sz w:val="19"/>
                <w:szCs w:val="19"/>
              </w:rPr>
              <w:t>Verified Energy Savings (kWh)</w:t>
            </w:r>
          </w:p>
        </w:tc>
        <w:tc>
          <w:tcPr>
            <w:tcW w:w="1330" w:type="dxa"/>
            <w:shd w:val="clear" w:color="auto" w:fill="448A99"/>
            <w:vAlign w:val="bottom"/>
          </w:tcPr>
          <w:p w:rsidR="0016779B" w:rsidRPr="00124B6E"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19"/>
                <w:szCs w:val="19"/>
              </w:rPr>
            </w:pPr>
            <w:r w:rsidRPr="00124B6E">
              <w:rPr>
                <w:rFonts w:eastAsia="Calibri"/>
                <w:noProof/>
                <w:sz w:val="19"/>
                <w:szCs w:val="19"/>
              </w:rPr>
              <w:t>Verified Demand Savings (kW)</w:t>
            </w:r>
          </w:p>
        </w:tc>
        <w:tc>
          <w:tcPr>
            <w:tcW w:w="2457" w:type="dxa"/>
            <w:shd w:val="clear" w:color="auto" w:fill="448A99"/>
            <w:vAlign w:val="bottom"/>
          </w:tcPr>
          <w:p w:rsidR="0016779B" w:rsidRPr="00124B6E"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19"/>
                <w:szCs w:val="19"/>
              </w:rPr>
            </w:pPr>
            <w:r w:rsidRPr="00124B6E">
              <w:rPr>
                <w:rFonts w:eastAsia="Calibri"/>
                <w:noProof/>
                <w:sz w:val="19"/>
                <w:szCs w:val="19"/>
              </w:rPr>
              <w:t>M&amp;V Method</w:t>
            </w:r>
          </w:p>
        </w:tc>
      </w:tr>
      <w:tr w:rsidR="00A874AC" w:rsidRPr="00124B6E" w:rsidTr="00EE308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124B6E" w:rsidRDefault="0016779B" w:rsidP="00FC4E62">
            <w:pPr>
              <w:jc w:val="left"/>
              <w:rPr>
                <w:rFonts w:eastAsia="Calibri"/>
                <w:b w:val="0"/>
                <w:noProof/>
                <w:sz w:val="19"/>
                <w:szCs w:val="19"/>
              </w:rPr>
            </w:pPr>
            <w:r w:rsidRPr="00124B6E">
              <w:rPr>
                <w:rFonts w:eastAsia="Calibri"/>
                <w:b w:val="0"/>
                <w:noProof/>
                <w:sz w:val="19"/>
                <w:szCs w:val="19"/>
              </w:rPr>
              <w:t>SEI</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rFonts w:eastAsia="Calibri"/>
                <w:noProof/>
                <w:sz w:val="19"/>
                <w:szCs w:val="19"/>
              </w:rPr>
              <w:t>C/I – large</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rFonts w:eastAsia="Calibri"/>
                <w:noProof/>
                <w:sz w:val="19"/>
                <w:szCs w:val="19"/>
              </w:rPr>
              <w:t>PECO-15-08298</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208,641</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18.00</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Enhanced rigor option 3: billing regression analysis</w:t>
            </w:r>
          </w:p>
        </w:tc>
      </w:tr>
      <w:tr w:rsidR="005E6D04" w:rsidRPr="00124B6E" w:rsidTr="00EE3086">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124B6E" w:rsidRDefault="0016779B" w:rsidP="00FC4E62">
            <w:pPr>
              <w:jc w:val="left"/>
              <w:rPr>
                <w:rFonts w:eastAsia="Calibri"/>
                <w:b w:val="0"/>
                <w:noProof/>
                <w:sz w:val="19"/>
                <w:szCs w:val="19"/>
              </w:rPr>
            </w:pPr>
            <w:r w:rsidRPr="00124B6E">
              <w:rPr>
                <w:rFonts w:eastAsia="Calibri"/>
                <w:b w:val="0"/>
                <w:noProof/>
                <w:sz w:val="19"/>
                <w:szCs w:val="19"/>
              </w:rPr>
              <w:t>SEI</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rFonts w:eastAsia="Calibri"/>
                <w:noProof/>
                <w:sz w:val="19"/>
                <w:szCs w:val="19"/>
              </w:rPr>
              <w:t>C/I – medium</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rFonts w:eastAsia="Calibri"/>
                <w:noProof/>
                <w:sz w:val="19"/>
                <w:szCs w:val="19"/>
              </w:rPr>
              <w:t>PECO-14-06363</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sz w:val="19"/>
                <w:szCs w:val="19"/>
              </w:rPr>
              <w:t>676,160</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sz w:val="19"/>
                <w:szCs w:val="19"/>
              </w:rPr>
              <w:t>56.10</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sz w:val="19"/>
                <w:szCs w:val="19"/>
              </w:rPr>
              <w:t>Enhanced rigor option 2: retrofit isolation engineering models</w:t>
            </w:r>
          </w:p>
        </w:tc>
      </w:tr>
      <w:tr w:rsidR="00A874AC" w:rsidRPr="00124B6E" w:rsidTr="00EE308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124B6E" w:rsidRDefault="0016779B" w:rsidP="00FC4E62">
            <w:pPr>
              <w:jc w:val="left"/>
              <w:rPr>
                <w:rFonts w:eastAsia="Calibri"/>
                <w:b w:val="0"/>
                <w:noProof/>
                <w:sz w:val="19"/>
                <w:szCs w:val="19"/>
              </w:rPr>
            </w:pPr>
            <w:r w:rsidRPr="00124B6E">
              <w:rPr>
                <w:rFonts w:eastAsia="Calibri"/>
                <w:b w:val="0"/>
                <w:noProof/>
                <w:sz w:val="19"/>
                <w:szCs w:val="19"/>
              </w:rPr>
              <w:t>SEI</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rFonts w:eastAsia="Calibri"/>
                <w:noProof/>
                <w:sz w:val="19"/>
                <w:szCs w:val="19"/>
              </w:rPr>
              <w:t>C/I – medium</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rFonts w:eastAsia="Calibri"/>
                <w:noProof/>
                <w:sz w:val="19"/>
                <w:szCs w:val="19"/>
              </w:rPr>
              <w:t>PECO-15-07770</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439,199</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34.10</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Enhanced rigor option 1: simple engineering model with measurement</w:t>
            </w:r>
          </w:p>
        </w:tc>
      </w:tr>
      <w:tr w:rsidR="005E6D04" w:rsidRPr="00124B6E" w:rsidTr="00EE3086">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124B6E" w:rsidRDefault="0016779B" w:rsidP="00FC4E62">
            <w:pPr>
              <w:jc w:val="left"/>
              <w:rPr>
                <w:rFonts w:eastAsia="Calibri"/>
                <w:b w:val="0"/>
                <w:noProof/>
                <w:sz w:val="19"/>
                <w:szCs w:val="19"/>
              </w:rPr>
            </w:pPr>
            <w:r w:rsidRPr="00124B6E">
              <w:rPr>
                <w:rFonts w:eastAsia="Calibri"/>
                <w:b w:val="0"/>
                <w:noProof/>
                <w:sz w:val="19"/>
                <w:szCs w:val="19"/>
              </w:rPr>
              <w:t>SCI</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sz w:val="19"/>
                <w:szCs w:val="19"/>
              </w:rPr>
              <w:t xml:space="preserve">Large </w:t>
            </w:r>
            <w:r w:rsidRPr="00124B6E">
              <w:rPr>
                <w:rFonts w:eastAsia="Calibri"/>
                <w:noProof/>
                <w:sz w:val="19"/>
                <w:szCs w:val="19"/>
              </w:rPr>
              <w:t xml:space="preserve">– </w:t>
            </w:r>
            <w:r w:rsidRPr="00124B6E">
              <w:rPr>
                <w:sz w:val="19"/>
                <w:szCs w:val="19"/>
              </w:rPr>
              <w:t>Q1–Q3</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sz w:val="19"/>
                <w:szCs w:val="19"/>
              </w:rPr>
              <w:t>PECO-15-07437</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sz w:val="19"/>
                <w:szCs w:val="19"/>
              </w:rPr>
              <w:t>1,571,972</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sz w:val="19"/>
                <w:szCs w:val="19"/>
              </w:rPr>
              <w:t>191.86</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sz w:val="19"/>
                <w:szCs w:val="19"/>
              </w:rPr>
              <w:t>IPMVP Option A</w:t>
            </w:r>
          </w:p>
        </w:tc>
      </w:tr>
      <w:tr w:rsidR="00A874AC" w:rsidRPr="00124B6E" w:rsidTr="00EE308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124B6E" w:rsidRDefault="0016779B" w:rsidP="00FC4E62">
            <w:pPr>
              <w:jc w:val="left"/>
              <w:rPr>
                <w:rFonts w:eastAsia="Calibri"/>
                <w:b w:val="0"/>
                <w:noProof/>
                <w:sz w:val="19"/>
                <w:szCs w:val="19"/>
              </w:rPr>
            </w:pPr>
            <w:r w:rsidRPr="00124B6E">
              <w:rPr>
                <w:rFonts w:eastAsia="Calibri"/>
                <w:b w:val="0"/>
                <w:noProof/>
                <w:sz w:val="19"/>
                <w:szCs w:val="19"/>
              </w:rPr>
              <w:t>SCI</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Large whole- building – Q1–Q3</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PECO-14-06642</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337,690</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41.55</w:t>
            </w:r>
          </w:p>
        </w:tc>
        <w:tc>
          <w:tcPr>
            <w:tcW w:w="0" w:type="dxa"/>
          </w:tcPr>
          <w:p w:rsidR="0016779B" w:rsidRPr="00124B6E"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19"/>
                <w:szCs w:val="19"/>
              </w:rPr>
            </w:pPr>
            <w:r w:rsidRPr="00124B6E">
              <w:rPr>
                <w:sz w:val="19"/>
                <w:szCs w:val="19"/>
              </w:rPr>
              <w:t>IPMVP Option D</w:t>
            </w:r>
          </w:p>
        </w:tc>
      </w:tr>
      <w:tr w:rsidR="005E6D04" w:rsidRPr="00124B6E" w:rsidTr="00EE3086">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0" w:type="dxa"/>
          </w:tcPr>
          <w:p w:rsidR="0016779B" w:rsidRPr="00124B6E" w:rsidRDefault="0016779B" w:rsidP="00FC4E62">
            <w:pPr>
              <w:jc w:val="left"/>
              <w:rPr>
                <w:rFonts w:eastAsia="Calibri"/>
                <w:b w:val="0"/>
                <w:noProof/>
                <w:sz w:val="19"/>
                <w:szCs w:val="19"/>
              </w:rPr>
            </w:pPr>
            <w:r w:rsidRPr="00124B6E">
              <w:rPr>
                <w:rFonts w:eastAsia="Calibri"/>
                <w:b w:val="0"/>
                <w:noProof/>
                <w:sz w:val="19"/>
                <w:szCs w:val="19"/>
              </w:rPr>
              <w:t>SOS</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rFonts w:eastAsia="Calibri"/>
                <w:noProof/>
                <w:sz w:val="19"/>
                <w:szCs w:val="19"/>
              </w:rPr>
              <w:t>All</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rFonts w:eastAsia="Calibri"/>
                <w:noProof/>
                <w:sz w:val="19"/>
                <w:szCs w:val="19"/>
              </w:rPr>
              <w:t>3</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cs="Calibri"/>
                <w:sz w:val="19"/>
                <w:szCs w:val="19"/>
              </w:rPr>
            </w:pPr>
            <w:r w:rsidRPr="00124B6E">
              <w:rPr>
                <w:rFonts w:cs="Calibri"/>
                <w:sz w:val="19"/>
                <w:szCs w:val="19"/>
              </w:rPr>
              <w:t>941,823</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cs="Calibri"/>
                <w:sz w:val="19"/>
                <w:szCs w:val="19"/>
              </w:rPr>
            </w:pPr>
            <w:r w:rsidRPr="00124B6E">
              <w:rPr>
                <w:rFonts w:cs="Calibri"/>
                <w:sz w:val="19"/>
                <w:szCs w:val="19"/>
              </w:rPr>
              <w:t>122.26</w:t>
            </w:r>
          </w:p>
        </w:tc>
        <w:tc>
          <w:tcPr>
            <w:tcW w:w="0" w:type="dxa"/>
          </w:tcPr>
          <w:p w:rsidR="0016779B" w:rsidRPr="00124B6E"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19"/>
                <w:szCs w:val="19"/>
              </w:rPr>
            </w:pPr>
            <w:r w:rsidRPr="00124B6E">
              <w:rPr>
                <w:sz w:val="19"/>
                <w:szCs w:val="19"/>
              </w:rPr>
              <w:t>IPMVP Option B</w:t>
            </w:r>
          </w:p>
        </w:tc>
      </w:tr>
    </w:tbl>
    <w:p w:rsidR="0016779B" w:rsidRPr="00EB5DD8" w:rsidRDefault="0016779B" w:rsidP="0016779B"/>
    <w:p w:rsidR="0016779B" w:rsidRPr="00EB5DD8" w:rsidRDefault="0016779B" w:rsidP="0016779B">
      <w:r w:rsidRPr="00EB5DD8">
        <w:t xml:space="preserve">Project number PECO 15-08298 involved </w:t>
      </w:r>
      <w:r>
        <w:t>replacing</w:t>
      </w:r>
      <w:r w:rsidRPr="00EB5DD8">
        <w:t xml:space="preserve"> 152</w:t>
      </w:r>
      <w:r w:rsidR="00EF7546">
        <w:t xml:space="preserve"> packaged terminal heat pumps</w:t>
      </w:r>
      <w:r w:rsidRPr="00EB5DD8">
        <w:t xml:space="preserve"> </w:t>
      </w:r>
      <w:r w:rsidR="00EF7546">
        <w:t>(</w:t>
      </w:r>
      <w:r w:rsidRPr="00EB5DD8">
        <w:t>PTHPs</w:t>
      </w:r>
      <w:r w:rsidR="00EF7546">
        <w:t>)</w:t>
      </w:r>
      <w:r w:rsidRPr="00EB5DD8">
        <w:t xml:space="preserve"> and install</w:t>
      </w:r>
      <w:r>
        <w:t>ing</w:t>
      </w:r>
      <w:r w:rsidRPr="00EB5DD8">
        <w:t xml:space="preserve"> guest occupancy sensors at a hotel in Philadelphia, PA. Navigant performed a site visit to confirm installation and acquired pre- and post-installation billing data from </w:t>
      </w:r>
      <w:r w:rsidR="00E1624A">
        <w:t>PECO</w:t>
      </w:r>
      <w:r>
        <w:t xml:space="preserve"> </w:t>
      </w:r>
      <w:r w:rsidRPr="00EB5DD8">
        <w:t>and used a regression to determine verified savings</w:t>
      </w:r>
      <w:r w:rsidR="003855B5">
        <w:t xml:space="preserve">. </w:t>
      </w:r>
      <w:r w:rsidR="00AB1682">
        <w:t>T</w:t>
      </w:r>
      <w:r w:rsidR="00AB1682" w:rsidRPr="00EB5DD8">
        <w:t>he resulting realization rate was 63%. The verified savings listed in the site report are 158,247 kWh and 0 kW, but the tracking system records</w:t>
      </w:r>
      <w:r w:rsidR="00AB1682">
        <w:t xml:space="preserve"> the verified savings as</w:t>
      </w:r>
      <w:r w:rsidR="00AB1682" w:rsidRPr="00EB5DD8">
        <w:t xml:space="preserve"> 208,641 kWh and 18 kW.</w:t>
      </w:r>
    </w:p>
    <w:p w:rsidR="0016779B" w:rsidRPr="00EB5DD8" w:rsidRDefault="0016779B" w:rsidP="0016779B"/>
    <w:p w:rsidR="0016779B" w:rsidRPr="00EB5DD8" w:rsidRDefault="0016779B" w:rsidP="0016779B">
      <w:r w:rsidRPr="00EB5DD8">
        <w:t>Project number PECO-14-06363 involved install</w:t>
      </w:r>
      <w:r>
        <w:t>ing</w:t>
      </w:r>
      <w:r w:rsidRPr="00EB5DD8">
        <w:t xml:space="preserve"> a </w:t>
      </w:r>
      <w:r>
        <w:t>d</w:t>
      </w:r>
      <w:r w:rsidRPr="00EB5DD8">
        <w:t xml:space="preserve">irect </w:t>
      </w:r>
      <w:r>
        <w:t>d</w:t>
      </w:r>
      <w:r w:rsidRPr="00EB5DD8">
        <w:t>igital HVAC control system and install</w:t>
      </w:r>
      <w:r>
        <w:t>ing</w:t>
      </w:r>
      <w:r w:rsidRPr="00EB5DD8">
        <w:t xml:space="preserve"> VFDs on</w:t>
      </w:r>
      <w:r w:rsidR="009D17D5">
        <w:t xml:space="preserve"> air handler unit</w:t>
      </w:r>
      <w:r w:rsidRPr="00EB5DD8">
        <w:t xml:space="preserve"> </w:t>
      </w:r>
      <w:r w:rsidR="009D17D5">
        <w:t>(</w:t>
      </w:r>
      <w:r w:rsidRPr="00EB5DD8">
        <w:t>AHU</w:t>
      </w:r>
      <w:r w:rsidR="009D17D5">
        <w:t>)</w:t>
      </w:r>
      <w:r w:rsidRPr="00EB5DD8">
        <w:t xml:space="preserve"> supply fan motors in a government building in Norristown, PA. Navigant acquired pre- and post-installation billing data from </w:t>
      </w:r>
      <w:r w:rsidR="00E1624A">
        <w:t>PECO</w:t>
      </w:r>
      <w:r>
        <w:t xml:space="preserve"> </w:t>
      </w:r>
      <w:r w:rsidRPr="00EB5DD8">
        <w:t>and used a regression to determine verified savings. The realization rates were 100%.</w:t>
      </w:r>
    </w:p>
    <w:p w:rsidR="0016779B" w:rsidRPr="00EB5DD8" w:rsidRDefault="0016779B" w:rsidP="0016779B"/>
    <w:p w:rsidR="0016779B" w:rsidRPr="00EB5DD8" w:rsidRDefault="0016779B" w:rsidP="0016779B">
      <w:r w:rsidRPr="00EB5DD8">
        <w:t>Project number PECO-15-07770 involved an interior and exterior LED lighting retrofit at a water treatment plant in Levittown, PA. Several fixtures were discovered to still be in storage and not yet installed, which reduced the ex</w:t>
      </w:r>
      <w:r>
        <w:t xml:space="preserve"> </w:t>
      </w:r>
      <w:r w:rsidRPr="00EB5DD8">
        <w:t>post savings slightly and resulted in realization rates of 95% and 98%</w:t>
      </w:r>
      <w:r>
        <w:t>, respectively,</w:t>
      </w:r>
      <w:r w:rsidRPr="00EB5DD8">
        <w:t xml:space="preserve"> for energy and demand.</w:t>
      </w:r>
    </w:p>
    <w:p w:rsidR="0016779B" w:rsidRPr="00EB5DD8" w:rsidRDefault="0016779B" w:rsidP="0016779B"/>
    <w:p w:rsidR="0016779B" w:rsidRPr="00EB5DD8" w:rsidRDefault="0016779B" w:rsidP="0016779B">
      <w:r w:rsidRPr="00EB5DD8">
        <w:t>Project number PECO-15-07437 involved a new construction interior and exterior lighting, efficient RTU, anti-sweat heater control, and freezer/cooler</w:t>
      </w:r>
      <w:r w:rsidR="000C3B79">
        <w:t xml:space="preserve"> electronically commutated motor</w:t>
      </w:r>
      <w:r w:rsidRPr="00EB5DD8">
        <w:t xml:space="preserve"> </w:t>
      </w:r>
      <w:r w:rsidR="000C3B79">
        <w:t>(</w:t>
      </w:r>
      <w:r w:rsidRPr="00EB5DD8">
        <w:t>ECM</w:t>
      </w:r>
      <w:r w:rsidR="000C3B79">
        <w:t>)</w:t>
      </w:r>
      <w:r w:rsidRPr="00EB5DD8">
        <w:t xml:space="preserve"> project at a retail store in Warrington, PA. Navigant performed a site inspection and metering to reveal 24/7 operation of interior fixtures and dusk-to-dawn operation of exterior fixtures. The original lighting HOU were based on the much lower </w:t>
      </w:r>
      <w:r>
        <w:t>g</w:t>
      </w:r>
      <w:r w:rsidRPr="00EB5DD8">
        <w:t>rocery default, so the realization rates for energy and demand were 167% and 122%, respectively.</w:t>
      </w:r>
    </w:p>
    <w:p w:rsidR="0016779B" w:rsidRPr="00EB5DD8" w:rsidRDefault="0016779B" w:rsidP="0016779B"/>
    <w:p w:rsidR="0016779B" w:rsidRPr="00EB5DD8" w:rsidRDefault="0016779B" w:rsidP="0016779B">
      <w:pPr>
        <w:rPr>
          <w:noProof/>
        </w:rPr>
      </w:pPr>
      <w:r w:rsidRPr="00EB5DD8">
        <w:rPr>
          <w:noProof/>
        </w:rPr>
        <w:t>Project number PECO-14-06642 involved a new construction lighting and HVAC project at a government building in Philadelphia, PA. An on</w:t>
      </w:r>
      <w:r>
        <w:rPr>
          <w:noProof/>
        </w:rPr>
        <w:t>-</w:t>
      </w:r>
      <w:r w:rsidRPr="00EB5DD8">
        <w:rPr>
          <w:noProof/>
        </w:rPr>
        <w:t>site verification was performed to verify installation of equipment</w:t>
      </w:r>
      <w:r>
        <w:rPr>
          <w:noProof/>
        </w:rPr>
        <w:t>,</w:t>
      </w:r>
      <w:r w:rsidRPr="00EB5DD8">
        <w:rPr>
          <w:noProof/>
        </w:rPr>
        <w:t xml:space="preserve"> and trend data </w:t>
      </w:r>
      <w:r>
        <w:rPr>
          <w:noProof/>
        </w:rPr>
        <w:t>were</w:t>
      </w:r>
      <w:r w:rsidRPr="00EB5DD8">
        <w:rPr>
          <w:noProof/>
        </w:rPr>
        <w:t xml:space="preserve"> collected from the EMS system. Th</w:t>
      </w:r>
      <w:r>
        <w:rPr>
          <w:noProof/>
        </w:rPr>
        <w:t>ese</w:t>
      </w:r>
      <w:r w:rsidRPr="00EB5DD8">
        <w:rPr>
          <w:noProof/>
        </w:rPr>
        <w:t xml:space="preserve"> data </w:t>
      </w:r>
      <w:r>
        <w:rPr>
          <w:noProof/>
        </w:rPr>
        <w:t>were</w:t>
      </w:r>
      <w:r w:rsidRPr="00EB5DD8">
        <w:rPr>
          <w:noProof/>
        </w:rPr>
        <w:t xml:space="preserve"> used to update the IPMVP Option D energy simulation model. Savings realization rates </w:t>
      </w:r>
      <w:r>
        <w:rPr>
          <w:noProof/>
        </w:rPr>
        <w:t>were</w:t>
      </w:r>
      <w:r w:rsidRPr="00EB5DD8">
        <w:rPr>
          <w:noProof/>
        </w:rPr>
        <w:t xml:space="preserve"> less than 100% for both energy and demand due to </w:t>
      </w:r>
      <w:r>
        <w:rPr>
          <w:noProof/>
        </w:rPr>
        <w:t xml:space="preserve">the </w:t>
      </w:r>
      <w:r w:rsidRPr="00EB5DD8">
        <w:rPr>
          <w:noProof/>
        </w:rPr>
        <w:t>inclusion of exterior lighting savings and an electric heating penalty in ex post savings.</w:t>
      </w:r>
    </w:p>
    <w:p w:rsidR="0016779B" w:rsidRPr="00EB5DD8" w:rsidRDefault="0016779B" w:rsidP="0016779B">
      <w:pPr>
        <w:rPr>
          <w:noProof/>
        </w:rPr>
      </w:pPr>
    </w:p>
    <w:p w:rsidR="0016779B" w:rsidRPr="00EB5DD8" w:rsidRDefault="0016779B" w:rsidP="0016779B">
      <w:r>
        <w:t>Project</w:t>
      </w:r>
      <w:r w:rsidRPr="00EB5DD8">
        <w:t xml:space="preserve"> 3 involved install</w:t>
      </w:r>
      <w:r>
        <w:t>ing</w:t>
      </w:r>
      <w:r w:rsidRPr="00EB5DD8">
        <w:t xml:space="preserve"> a CHP system at a nursing home in Philadelphia, PA. Navigant performed an on-site inspection to verify installation of equipment and </w:t>
      </w:r>
      <w:r>
        <w:t xml:space="preserve">to </w:t>
      </w:r>
      <w:r w:rsidRPr="00EB5DD8">
        <w:t>review the gas train supplying the engine, electric meters, and thermal monitoring equipment to confirm that IPMVP Option B was the appropriate M&amp;V method. Reviewing trend data revealed that the engine had significant downtime due to oversizing of the system. Therefore, ex</w:t>
      </w:r>
      <w:r>
        <w:t xml:space="preserve"> </w:t>
      </w:r>
      <w:r w:rsidRPr="00EB5DD8">
        <w:t xml:space="preserve">post energy and demand savings </w:t>
      </w:r>
      <w:r>
        <w:t>were</w:t>
      </w:r>
      <w:r w:rsidRPr="00EB5DD8">
        <w:t xml:space="preserve"> significantly below the ex</w:t>
      </w:r>
      <w:r>
        <w:t xml:space="preserve"> </w:t>
      </w:r>
      <w:r w:rsidRPr="00EB5DD8">
        <w:t>ante estimates due to the inclusion of engine downtime hours in the ex</w:t>
      </w:r>
      <w:r>
        <w:t xml:space="preserve"> </w:t>
      </w:r>
      <w:r w:rsidRPr="00EB5DD8">
        <w:t xml:space="preserve">post analysis. Realization rates for energy and demand </w:t>
      </w:r>
      <w:r>
        <w:t>were</w:t>
      </w:r>
      <w:r w:rsidRPr="00EB5DD8">
        <w:t xml:space="preserve"> 48% and 52%, respectively. The SWE agrees with the rigor and approach used in the analysis. </w:t>
      </w:r>
    </w:p>
    <w:p w:rsidR="00014BAF" w:rsidRPr="00014BAF" w:rsidRDefault="00014BAF" w:rsidP="00014BAF"/>
    <w:p w:rsidR="00950837" w:rsidRDefault="00950837" w:rsidP="009C0DF1">
      <w:pPr>
        <w:pStyle w:val="AppendixAHeading3"/>
      </w:pPr>
      <w:r>
        <w:t>Net-to-Gross and Process Evaluation Audit Summary</w:t>
      </w:r>
    </w:p>
    <w:p w:rsidR="00F366E8" w:rsidRPr="00661E10" w:rsidRDefault="00F366E8" w:rsidP="00F366E8">
      <w:r w:rsidRPr="00661E10">
        <w:t xml:space="preserve">The SWE Team’s audit included a review of the process evaluation methods, findings, conclusions, and recommendations in Navigant’s PECO PY7 annual report to determine whether they were consistent with the reporting template provided by the SWE. The SWE Team’s audit of the process reports also included a review of process-related methods and research activities to determine whether they were consistent with the approved evaluation plan, and a review of the linkage between findings, conclusions, and recommendations. </w:t>
      </w:r>
    </w:p>
    <w:p w:rsidR="00F366E8" w:rsidRPr="00661E10" w:rsidRDefault="00F366E8" w:rsidP="00F366E8">
      <w:pPr>
        <w:rPr>
          <w:shd w:val="clear" w:color="auto" w:fill="D9D9D9"/>
        </w:rPr>
      </w:pPr>
    </w:p>
    <w:p w:rsidR="00F366E8" w:rsidRPr="00661E10" w:rsidRDefault="00F366E8" w:rsidP="00F366E8">
      <w:r w:rsidRPr="00661E10">
        <w:t xml:space="preserve">Overall, the process evaluations were consistent with the PY7 evaluation plan. </w:t>
      </w:r>
    </w:p>
    <w:p w:rsidR="00F366E8" w:rsidRPr="00661E10" w:rsidRDefault="00F366E8" w:rsidP="00F366E8"/>
    <w:p w:rsidR="00F366E8" w:rsidRPr="00661E10" w:rsidRDefault="00F366E8" w:rsidP="00F366E8">
      <w:r w:rsidRPr="00661E10">
        <w:t xml:space="preserve">The sampling approaches for the process evaluation activities were appropriate. The participant and customer surveys either attempted a census or used a simple or stratified random sampling approach. All samples had enough cases to achieve at least 85/15 confidence/precision per program. Some samples achieved 90/10 confidence/precision per program. For other non-survey research activities—the in-depth interviews with program staff, implementers, or other program actors—the sampling was purposive. </w:t>
      </w:r>
    </w:p>
    <w:p w:rsidR="00F366E8" w:rsidRPr="00661E10" w:rsidRDefault="00F366E8" w:rsidP="00F366E8">
      <w:pPr>
        <w:rPr>
          <w:color w:val="548DD4"/>
        </w:rPr>
      </w:pPr>
    </w:p>
    <w:p w:rsidR="00F366E8" w:rsidRPr="00661E10" w:rsidRDefault="00F366E8" w:rsidP="008111EC">
      <w:pPr>
        <w:spacing w:after="120"/>
        <w:rPr>
          <w:szCs w:val="20"/>
        </w:rPr>
      </w:pPr>
      <w:r w:rsidRPr="00661E10">
        <w:t xml:space="preserve">The report provided a comprehensive overview of the process evaluation key findings and recommendations. Two areas could be improved: </w:t>
      </w:r>
    </w:p>
    <w:p w:rsidR="00F366E8" w:rsidRPr="008111EC" w:rsidRDefault="00F366E8" w:rsidP="00E646C9">
      <w:pPr>
        <w:pStyle w:val="ListParagraph"/>
        <w:numPr>
          <w:ilvl w:val="0"/>
          <w:numId w:val="88"/>
        </w:numPr>
        <w:ind w:left="360"/>
      </w:pPr>
      <w:r w:rsidRPr="008111EC">
        <w:t>Comparisons between PY7 and PY5 or PY6 data lacked references to the statistical test(s) or variability statistics to determine the significance of the reported differences. The SWE Team recommends reporting this additional level of detail to clarify for the reader that the reported differences were statistically significant.</w:t>
      </w:r>
    </w:p>
    <w:p w:rsidR="00F366E8" w:rsidRPr="008111EC" w:rsidRDefault="00F366E8" w:rsidP="00E646C9">
      <w:pPr>
        <w:pStyle w:val="ListParagraph"/>
        <w:numPr>
          <w:ilvl w:val="0"/>
          <w:numId w:val="88"/>
        </w:numPr>
        <w:ind w:left="360"/>
      </w:pPr>
      <w:r w:rsidRPr="008111EC">
        <w:t xml:space="preserve">The report drew residential program recommendations from key findings rather than from conclusions. The SWE Team recommends connecting findings to conclusions and then to recommendations, to help readers better judge the quality of the recommendations. </w:t>
      </w:r>
    </w:p>
    <w:p w:rsidR="00F366E8" w:rsidRPr="00661E10" w:rsidRDefault="00F366E8" w:rsidP="00F366E8">
      <w:r w:rsidRPr="00661E10">
        <w:t xml:space="preserve">The report documents included a summary of methods and findings, a table of recommendations, and a description of whether or not the EDC was implementing or considering the recommendations. </w:t>
      </w:r>
    </w:p>
    <w:p w:rsidR="00F366E8" w:rsidRPr="00661E10" w:rsidRDefault="00F366E8" w:rsidP="00F366E8"/>
    <w:p w:rsidR="00F366E8" w:rsidRPr="00661E10" w:rsidRDefault="00F366E8" w:rsidP="00F366E8">
      <w:r w:rsidRPr="00661E10">
        <w:t>The report generally included sufficient detail for the SWE Team and others to assess the methods, findings, conclusions, and recommendations.</w:t>
      </w:r>
    </w:p>
    <w:p w:rsidR="00F366E8" w:rsidRPr="00661E10" w:rsidRDefault="00F366E8" w:rsidP="00F366E8"/>
    <w:p w:rsidR="00F366E8" w:rsidRPr="00661E10" w:rsidRDefault="00F366E8" w:rsidP="00F366E8">
      <w:r w:rsidRPr="00661E10">
        <w:rPr>
          <w:szCs w:val="20"/>
          <w:lang w:val="x-none" w:eastAsia="x-none"/>
        </w:rPr>
        <w:t xml:space="preserve">Detailed summaries </w:t>
      </w:r>
      <w:r w:rsidRPr="00661E10">
        <w:rPr>
          <w:szCs w:val="20"/>
          <w:lang w:eastAsia="x-none"/>
        </w:rPr>
        <w:t xml:space="preserve">of </w:t>
      </w:r>
      <w:r w:rsidRPr="00661E10">
        <w:rPr>
          <w:szCs w:val="20"/>
          <w:lang w:val="x-none" w:eastAsia="x-none"/>
        </w:rPr>
        <w:t>the SWE Team</w:t>
      </w:r>
      <w:r w:rsidRPr="00661E10">
        <w:rPr>
          <w:szCs w:val="20"/>
          <w:lang w:eastAsia="x-none"/>
        </w:rPr>
        <w:t>’s</w:t>
      </w:r>
      <w:r w:rsidRPr="00661E10">
        <w:rPr>
          <w:szCs w:val="20"/>
          <w:lang w:val="x-none" w:eastAsia="x-none"/>
        </w:rPr>
        <w:t xml:space="preserve"> review of the process evaluation by program are in Appendix </w:t>
      </w:r>
      <w:r w:rsidR="00573907">
        <w:rPr>
          <w:szCs w:val="20"/>
          <w:lang w:eastAsia="x-none"/>
        </w:rPr>
        <w:t>B</w:t>
      </w:r>
      <w:r w:rsidRPr="00661E10">
        <w:rPr>
          <w:szCs w:val="20"/>
          <w:lang w:val="x-none" w:eastAsia="x-none"/>
        </w:rPr>
        <w:t>.</w:t>
      </w:r>
    </w:p>
    <w:p w:rsidR="00F366E8" w:rsidRDefault="00F366E8" w:rsidP="00803C3E"/>
    <w:p w:rsidR="00F366E8" w:rsidRPr="006C05B5" w:rsidRDefault="00F366E8" w:rsidP="00F366E8">
      <w:r w:rsidRPr="006C05B5">
        <w:t>Th</w:t>
      </w:r>
      <w:r w:rsidR="00573907">
        <w:t>e remainder of this</w:t>
      </w:r>
      <w:r w:rsidRPr="006C05B5">
        <w:t xml:space="preserve"> section summarizes the activities and key findings of the SWE Team’s NTG audits of PECO’s programs. </w:t>
      </w:r>
    </w:p>
    <w:p w:rsidR="00F366E8" w:rsidRPr="006C05B5" w:rsidRDefault="00F366E8" w:rsidP="00F366E8"/>
    <w:p w:rsidR="00F366E8" w:rsidRPr="006C05B5" w:rsidRDefault="00573907" w:rsidP="00F366E8">
      <w:r>
        <w:fldChar w:fldCharType="begin"/>
      </w:r>
      <w:r>
        <w:instrText xml:space="preserve"> REF _Ref472453697 \h </w:instrText>
      </w:r>
      <w:r>
        <w:fldChar w:fldCharType="separate"/>
      </w:r>
      <w:r w:rsidR="00037CB4" w:rsidRPr="00573907">
        <w:t>Table A-</w:t>
      </w:r>
      <w:r w:rsidR="00037CB4">
        <w:rPr>
          <w:noProof/>
        </w:rPr>
        <w:t>127</w:t>
      </w:r>
      <w:r>
        <w:fldChar w:fldCharType="end"/>
      </w:r>
      <w:r w:rsidR="00F366E8" w:rsidRPr="006C05B5">
        <w:t xml:space="preserve"> summarizes the results of the SWE Team’s audit of Navigant’s NTG assessment of the PECO programs. </w:t>
      </w:r>
    </w:p>
    <w:p w:rsidR="00F366E8" w:rsidRPr="006C05B5" w:rsidRDefault="00F366E8" w:rsidP="00F366E8">
      <w:bookmarkStart w:id="1223" w:name="_Ref409020910"/>
      <w:bookmarkStart w:id="1224" w:name="_Toc409225019"/>
      <w:bookmarkStart w:id="1225" w:name="_Toc409443571"/>
    </w:p>
    <w:p w:rsidR="00F366E8" w:rsidRPr="00573907" w:rsidRDefault="00573907" w:rsidP="004837FA">
      <w:pPr>
        <w:pStyle w:val="Caption"/>
      </w:pPr>
      <w:bookmarkStart w:id="1226" w:name="_Ref472453697"/>
      <w:bookmarkStart w:id="1227" w:name="_Toc444269791"/>
      <w:bookmarkStart w:id="1228" w:name="_Toc472472536"/>
      <w:bookmarkStart w:id="1229" w:name="_Toc488741955"/>
      <w:bookmarkEnd w:id="1223"/>
      <w:r w:rsidRPr="00573907">
        <w:t>Table A-</w:t>
      </w:r>
      <w:r w:rsidR="007973A4">
        <w:fldChar w:fldCharType="begin"/>
      </w:r>
      <w:r w:rsidR="007973A4">
        <w:instrText xml:space="preserve"> SEQ Table_A- \* ARABIC </w:instrText>
      </w:r>
      <w:r w:rsidR="007973A4">
        <w:fldChar w:fldCharType="separate"/>
      </w:r>
      <w:r w:rsidR="00037CB4">
        <w:rPr>
          <w:noProof/>
        </w:rPr>
        <w:t>127</w:t>
      </w:r>
      <w:r w:rsidR="007973A4">
        <w:rPr>
          <w:noProof/>
        </w:rPr>
        <w:fldChar w:fldCharType="end"/>
      </w:r>
      <w:bookmarkEnd w:id="1226"/>
      <w:r w:rsidRPr="00573907">
        <w:t>:</w:t>
      </w:r>
      <w:r w:rsidR="00F366E8" w:rsidRPr="00573907">
        <w:t xml:space="preserve"> Summary of SWE Team Review of PECO NTG Evaluations</w:t>
      </w:r>
      <w:bookmarkEnd w:id="1224"/>
      <w:bookmarkEnd w:id="1225"/>
      <w:bookmarkEnd w:id="1227"/>
      <w:bookmarkEnd w:id="1228"/>
      <w:bookmarkEnd w:id="1229"/>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4765"/>
        <w:gridCol w:w="4590"/>
      </w:tblGrid>
      <w:tr w:rsidR="00E7173E" w:rsidRPr="00124B6E" w:rsidTr="005A33A4">
        <w:trPr>
          <w:trHeight w:val="206"/>
          <w:tblHeader/>
        </w:trPr>
        <w:tc>
          <w:tcPr>
            <w:tcW w:w="4765" w:type="dxa"/>
            <w:shd w:val="clear" w:color="auto" w:fill="448A99"/>
            <w:vAlign w:val="bottom"/>
          </w:tcPr>
          <w:p w:rsidR="00F366E8" w:rsidRPr="00124B6E" w:rsidRDefault="00F366E8" w:rsidP="005C1352">
            <w:pPr>
              <w:rPr>
                <w:b/>
                <w:color w:val="FFFFFF"/>
                <w:sz w:val="19"/>
                <w:szCs w:val="19"/>
              </w:rPr>
            </w:pPr>
            <w:r w:rsidRPr="00124B6E">
              <w:rPr>
                <w:b/>
                <w:color w:val="FFFFFF"/>
                <w:sz w:val="19"/>
                <w:szCs w:val="19"/>
              </w:rPr>
              <w:t>Elements Reviewed in PECO Annual Report</w:t>
            </w:r>
          </w:p>
        </w:tc>
        <w:tc>
          <w:tcPr>
            <w:tcW w:w="4590" w:type="dxa"/>
            <w:shd w:val="clear" w:color="auto" w:fill="448A99"/>
            <w:vAlign w:val="bottom"/>
          </w:tcPr>
          <w:p w:rsidR="00F366E8" w:rsidRPr="00124B6E" w:rsidRDefault="00F366E8" w:rsidP="005C1352">
            <w:pPr>
              <w:jc w:val="center"/>
              <w:rPr>
                <w:b/>
                <w:color w:val="FFFFFF"/>
                <w:sz w:val="19"/>
                <w:szCs w:val="19"/>
              </w:rPr>
            </w:pPr>
            <w:r w:rsidRPr="00124B6E">
              <w:rPr>
                <w:b/>
                <w:color w:val="FFFFFF"/>
                <w:sz w:val="19"/>
                <w:szCs w:val="19"/>
              </w:rPr>
              <w:t>SWE Findings</w:t>
            </w:r>
          </w:p>
        </w:tc>
      </w:tr>
      <w:tr w:rsidR="00E7173E" w:rsidRPr="00124B6E" w:rsidTr="005A33A4">
        <w:trPr>
          <w:trHeight w:val="288"/>
        </w:trPr>
        <w:tc>
          <w:tcPr>
            <w:tcW w:w="9355" w:type="dxa"/>
            <w:gridSpan w:val="2"/>
            <w:shd w:val="clear" w:color="auto" w:fill="9C9393"/>
            <w:vAlign w:val="center"/>
          </w:tcPr>
          <w:p w:rsidR="00F366E8" w:rsidRPr="00124B6E" w:rsidRDefault="00F366E8" w:rsidP="005C1352">
            <w:pPr>
              <w:jc w:val="left"/>
              <w:rPr>
                <w:b/>
                <w:color w:val="FFFFFF"/>
                <w:sz w:val="19"/>
                <w:szCs w:val="19"/>
              </w:rPr>
            </w:pPr>
            <w:r w:rsidRPr="00124B6E">
              <w:rPr>
                <w:b/>
                <w:color w:val="FFFFFF"/>
                <w:sz w:val="19"/>
                <w:szCs w:val="19"/>
              </w:rPr>
              <w:t>Use of NTG Common Method or Explanation for Alternate Method</w:t>
            </w:r>
          </w:p>
        </w:tc>
      </w:tr>
      <w:tr w:rsidR="00E7173E" w:rsidRPr="00124B6E" w:rsidTr="005A33A4">
        <w:trPr>
          <w:trHeight w:val="346"/>
        </w:trPr>
        <w:tc>
          <w:tcPr>
            <w:tcW w:w="4765" w:type="dxa"/>
            <w:shd w:val="clear" w:color="auto" w:fill="FFFFFF"/>
            <w:vAlign w:val="center"/>
          </w:tcPr>
          <w:p w:rsidR="00F366E8" w:rsidRPr="00124B6E" w:rsidRDefault="00F366E8" w:rsidP="005C1352">
            <w:pPr>
              <w:jc w:val="left"/>
              <w:rPr>
                <w:sz w:val="19"/>
                <w:szCs w:val="19"/>
              </w:rPr>
            </w:pPr>
            <w:r w:rsidRPr="00124B6E">
              <w:rPr>
                <w:sz w:val="19"/>
                <w:szCs w:val="19"/>
              </w:rPr>
              <w:t>Availability of NTG data files and documents</w:t>
            </w:r>
          </w:p>
        </w:tc>
        <w:tc>
          <w:tcPr>
            <w:tcW w:w="4590" w:type="dxa"/>
            <w:shd w:val="clear" w:color="auto" w:fill="FFFFFF"/>
            <w:vAlign w:val="center"/>
          </w:tcPr>
          <w:p w:rsidR="00F366E8" w:rsidRPr="00124B6E" w:rsidRDefault="00F366E8" w:rsidP="008111EC">
            <w:pPr>
              <w:jc w:val="center"/>
              <w:rPr>
                <w:sz w:val="19"/>
                <w:szCs w:val="19"/>
              </w:rPr>
            </w:pPr>
            <w:r w:rsidRPr="00124B6E">
              <w:rPr>
                <w:sz w:val="19"/>
                <w:szCs w:val="19"/>
              </w:rPr>
              <w:t>Yes, with exceptions noted</w:t>
            </w:r>
          </w:p>
        </w:tc>
      </w:tr>
      <w:tr w:rsidR="00E7173E" w:rsidRPr="00124B6E" w:rsidTr="005A33A4">
        <w:trPr>
          <w:trHeight w:val="346"/>
        </w:trPr>
        <w:tc>
          <w:tcPr>
            <w:tcW w:w="4765" w:type="dxa"/>
            <w:shd w:val="clear" w:color="auto" w:fill="D2EAF1"/>
            <w:vAlign w:val="center"/>
          </w:tcPr>
          <w:p w:rsidR="00F366E8" w:rsidRPr="00124B6E" w:rsidRDefault="00F366E8" w:rsidP="005C1352">
            <w:pPr>
              <w:jc w:val="left"/>
              <w:rPr>
                <w:sz w:val="19"/>
                <w:szCs w:val="19"/>
              </w:rPr>
            </w:pPr>
            <w:r w:rsidRPr="00124B6E">
              <w:rPr>
                <w:sz w:val="19"/>
                <w:szCs w:val="19"/>
              </w:rPr>
              <w:t>NTG method used – the common method or another</w:t>
            </w:r>
          </w:p>
        </w:tc>
        <w:tc>
          <w:tcPr>
            <w:tcW w:w="4590" w:type="dxa"/>
            <w:shd w:val="clear" w:color="auto" w:fill="D2EAF1"/>
            <w:vAlign w:val="center"/>
          </w:tcPr>
          <w:p w:rsidR="00F366E8" w:rsidRPr="00124B6E" w:rsidRDefault="00F366E8" w:rsidP="008111EC">
            <w:pPr>
              <w:jc w:val="center"/>
              <w:rPr>
                <w:sz w:val="19"/>
                <w:szCs w:val="19"/>
              </w:rPr>
            </w:pPr>
            <w:r w:rsidRPr="00124B6E">
              <w:rPr>
                <w:sz w:val="19"/>
                <w:szCs w:val="19"/>
              </w:rPr>
              <w:t>Common method</w:t>
            </w:r>
          </w:p>
        </w:tc>
      </w:tr>
      <w:tr w:rsidR="00E7173E" w:rsidRPr="00124B6E" w:rsidTr="005A33A4">
        <w:trPr>
          <w:trHeight w:val="346"/>
        </w:trPr>
        <w:tc>
          <w:tcPr>
            <w:tcW w:w="4765" w:type="dxa"/>
            <w:shd w:val="clear" w:color="auto" w:fill="FFFFFF"/>
            <w:vAlign w:val="center"/>
          </w:tcPr>
          <w:p w:rsidR="00F366E8" w:rsidRPr="00124B6E" w:rsidRDefault="00F366E8" w:rsidP="005C1352">
            <w:pPr>
              <w:jc w:val="left"/>
              <w:rPr>
                <w:sz w:val="19"/>
                <w:szCs w:val="19"/>
              </w:rPr>
            </w:pPr>
            <w:r w:rsidRPr="00124B6E">
              <w:rPr>
                <w:sz w:val="19"/>
                <w:szCs w:val="19"/>
              </w:rPr>
              <w:t>NTG common method applied correctly</w:t>
            </w:r>
          </w:p>
        </w:tc>
        <w:tc>
          <w:tcPr>
            <w:tcW w:w="4590" w:type="dxa"/>
            <w:shd w:val="clear" w:color="auto" w:fill="FFFFFF"/>
          </w:tcPr>
          <w:p w:rsidR="00F366E8" w:rsidRPr="00124B6E" w:rsidRDefault="00F366E8" w:rsidP="008111EC">
            <w:pPr>
              <w:jc w:val="center"/>
              <w:rPr>
                <w:sz w:val="19"/>
                <w:szCs w:val="19"/>
              </w:rPr>
            </w:pPr>
            <w:r w:rsidRPr="00124B6E">
              <w:rPr>
                <w:sz w:val="19"/>
                <w:szCs w:val="19"/>
              </w:rPr>
              <w:t>Yes</w:t>
            </w:r>
          </w:p>
        </w:tc>
      </w:tr>
    </w:tbl>
    <w:p w:rsidR="00F366E8" w:rsidRPr="006C05B5" w:rsidRDefault="00F366E8" w:rsidP="00F366E8"/>
    <w:p w:rsidR="00F366E8" w:rsidRPr="006C05B5" w:rsidRDefault="00F366E8" w:rsidP="00F366E8">
      <w:pPr>
        <w:rPr>
          <w:rFonts w:eastAsia="Calibri"/>
        </w:rPr>
      </w:pPr>
      <w:r w:rsidRPr="006C05B5">
        <w:t xml:space="preserve">The following subsections </w:t>
      </w:r>
      <w:r w:rsidRPr="006C05B5">
        <w:rPr>
          <w:rFonts w:cs="Calibri"/>
        </w:rPr>
        <w:t>present detailed discussions</w:t>
      </w:r>
      <w:r w:rsidRPr="006C05B5">
        <w:t xml:space="preserve"> of the SWE Team’s NTG audits of PECO’s programs in PY7, including a summary of the program-level NTG values that PECO’s evaluation contractor reported. The results are provided for residential, low-income, and non-residential programs.</w:t>
      </w:r>
    </w:p>
    <w:p w:rsidR="00F366E8" w:rsidRPr="006C05B5" w:rsidRDefault="00F366E8" w:rsidP="00F366E8">
      <w:pPr>
        <w:rPr>
          <w:rFonts w:eastAsia="Calibri"/>
          <w:highlight w:val="lightGray"/>
        </w:rPr>
      </w:pPr>
    </w:p>
    <w:p w:rsidR="00F366E8" w:rsidRPr="006C05B5" w:rsidRDefault="00F366E8" w:rsidP="0055598C">
      <w:pPr>
        <w:pStyle w:val="AppendixAHeading4"/>
      </w:pPr>
      <w:r w:rsidRPr="006C05B5">
        <w:t>Residential Programs</w:t>
      </w:r>
    </w:p>
    <w:p w:rsidR="00F366E8" w:rsidRPr="006C05B5" w:rsidRDefault="00F366E8" w:rsidP="00F366E8">
      <w:r w:rsidRPr="006C05B5">
        <w:t xml:space="preserve">Navigant estimated NTGR for Smart Home Rebates (SHR), Smart House Call (SHC), Smart Builder Rebates (SBR), Smart Appliance Recycling (SAR), and Smart Multifamily (SMF) Solutions programs. Navigant did not estimate NTGR for the Smart Usage Profile (SUP) Program, since </w:t>
      </w:r>
      <w:r w:rsidRPr="006C05B5">
        <w:rPr>
          <w:rFonts w:cs="Calibri"/>
        </w:rPr>
        <w:t>free-ridership and participant spillover are already incorporated in the impact analysis.</w:t>
      </w:r>
      <w:r w:rsidRPr="006C05B5">
        <w:t xml:space="preserve"> Navigant assumed NTGR to be 1.0 for the residential Smart A/C Saver (SACS) Program. For Smart Energy Saver (SES), Navigant did not estimate NTG impacts in PY7 because the program will not continue in Phase III.</w:t>
      </w:r>
    </w:p>
    <w:p w:rsidR="00F366E8" w:rsidRPr="006C05B5" w:rsidRDefault="00F366E8" w:rsidP="00F366E8"/>
    <w:p w:rsidR="00F366E8" w:rsidRPr="006C05B5" w:rsidRDefault="00F366E8" w:rsidP="00F366E8">
      <w:r w:rsidRPr="006C05B5">
        <w:t xml:space="preserve">Navigant cited using the SWE Team’s common approach for estimating NTGR and provided detailed descriptions of the common method, but it did not explain how it combined strata NTG values into program-level estimates. Assessment of Navigant’s NTG Excel files confirmed that Navigant used the SWE Team’s common approach for NTGR estimation.  </w:t>
      </w:r>
    </w:p>
    <w:p w:rsidR="00F366E8" w:rsidRPr="006C05B5" w:rsidRDefault="00F366E8" w:rsidP="00F366E8"/>
    <w:p w:rsidR="00F366E8" w:rsidRPr="006C05B5" w:rsidRDefault="00F366E8" w:rsidP="00F366E8">
      <w:r w:rsidRPr="006C05B5">
        <w:t>Navigant provided the SWE Team with all of its NTG and net savings calculations, together with the raw survey data, in Excel workbooks. In reviewing these Excel workbooks, the SWE Team found that all NTG and net savings Excel calculations were correct. However, the workbooks provided did not include the calculations that combined strata estimates into program-level estimates.</w:t>
      </w:r>
    </w:p>
    <w:p w:rsidR="00F366E8" w:rsidRPr="006C05B5" w:rsidRDefault="00F366E8" w:rsidP="00F366E8">
      <w:pPr>
        <w:rPr>
          <w:highlight w:val="lightGray"/>
        </w:rPr>
      </w:pPr>
    </w:p>
    <w:p w:rsidR="00F366E8" w:rsidRPr="006C05B5" w:rsidRDefault="00573907" w:rsidP="00F366E8">
      <w:r>
        <w:fldChar w:fldCharType="begin"/>
      </w:r>
      <w:r>
        <w:instrText xml:space="preserve"> REF _Ref472453730 \h </w:instrText>
      </w:r>
      <w:r>
        <w:fldChar w:fldCharType="separate"/>
      </w:r>
      <w:r w:rsidR="00037CB4" w:rsidRPr="00573907">
        <w:t>Table A-</w:t>
      </w:r>
      <w:r w:rsidR="00037CB4">
        <w:rPr>
          <w:noProof/>
        </w:rPr>
        <w:t>128</w:t>
      </w:r>
      <w:r>
        <w:fldChar w:fldCharType="end"/>
      </w:r>
      <w:r w:rsidR="00F366E8" w:rsidRPr="006C05B5">
        <w:t xml:space="preserve"> summarizes the SWE Team’s review of the NTG activities by program.  </w:t>
      </w:r>
    </w:p>
    <w:p w:rsidR="00F366E8" w:rsidRDefault="00F366E8" w:rsidP="00F366E8">
      <w:pPr>
        <w:rPr>
          <w:highlight w:val="lightGray"/>
        </w:rPr>
      </w:pPr>
    </w:p>
    <w:p w:rsidR="00F366E8" w:rsidRPr="00573907" w:rsidRDefault="00573907" w:rsidP="004837FA">
      <w:pPr>
        <w:pStyle w:val="Caption"/>
      </w:pPr>
      <w:bookmarkStart w:id="1230" w:name="_Ref472453730"/>
      <w:bookmarkStart w:id="1231" w:name="_Toc409225020"/>
      <w:bookmarkStart w:id="1232" w:name="_Toc409443572"/>
      <w:bookmarkStart w:id="1233" w:name="_Toc444269792"/>
      <w:bookmarkStart w:id="1234" w:name="_Toc472472537"/>
      <w:bookmarkStart w:id="1235" w:name="_Toc488741956"/>
      <w:r w:rsidRPr="00573907">
        <w:t>Table A-</w:t>
      </w:r>
      <w:r w:rsidR="007973A4">
        <w:fldChar w:fldCharType="begin"/>
      </w:r>
      <w:r w:rsidR="007973A4">
        <w:instrText xml:space="preserve"> SEQ Table_A- \* ARABIC </w:instrText>
      </w:r>
      <w:r w:rsidR="007973A4">
        <w:fldChar w:fldCharType="separate"/>
      </w:r>
      <w:r w:rsidR="00037CB4">
        <w:rPr>
          <w:noProof/>
        </w:rPr>
        <w:t>128</w:t>
      </w:r>
      <w:r w:rsidR="007973A4">
        <w:rPr>
          <w:noProof/>
        </w:rPr>
        <w:fldChar w:fldCharType="end"/>
      </w:r>
      <w:bookmarkEnd w:id="1230"/>
      <w:r>
        <w:t>:</w:t>
      </w:r>
      <w:r w:rsidR="00F366E8" w:rsidRPr="00573907">
        <w:t xml:space="preserve"> Summary of NTG Audit of PECO’s Residential Programs</w:t>
      </w:r>
      <w:bookmarkEnd w:id="1231"/>
      <w:bookmarkEnd w:id="1232"/>
      <w:bookmarkEnd w:id="1233"/>
      <w:bookmarkEnd w:id="1234"/>
      <w:bookmarkEnd w:id="1235"/>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15"/>
        <w:gridCol w:w="2559"/>
        <w:gridCol w:w="5181"/>
      </w:tblGrid>
      <w:tr w:rsidR="00A874AC" w:rsidRPr="007F1972" w:rsidTr="008111EC">
        <w:trPr>
          <w:cantSplit/>
          <w:tblHeader/>
        </w:trPr>
        <w:tc>
          <w:tcPr>
            <w:tcW w:w="1615" w:type="dxa"/>
            <w:shd w:val="clear" w:color="auto" w:fill="448A99"/>
            <w:vAlign w:val="bottom"/>
          </w:tcPr>
          <w:p w:rsidR="00F366E8" w:rsidRPr="007F1972" w:rsidRDefault="00F366E8" w:rsidP="005C1352">
            <w:pPr>
              <w:rPr>
                <w:b/>
                <w:color w:val="FFFFFF"/>
                <w:sz w:val="19"/>
                <w:szCs w:val="19"/>
              </w:rPr>
            </w:pPr>
            <w:r w:rsidRPr="007F1972">
              <w:rPr>
                <w:b/>
                <w:color w:val="FFFFFF"/>
                <w:sz w:val="19"/>
                <w:szCs w:val="19"/>
              </w:rPr>
              <w:t>Program</w:t>
            </w:r>
          </w:p>
        </w:tc>
        <w:tc>
          <w:tcPr>
            <w:tcW w:w="2559" w:type="dxa"/>
            <w:shd w:val="clear" w:color="auto" w:fill="448A99"/>
            <w:vAlign w:val="bottom"/>
          </w:tcPr>
          <w:p w:rsidR="00F366E8" w:rsidRPr="007F1972" w:rsidRDefault="00F366E8" w:rsidP="008111EC">
            <w:pPr>
              <w:jc w:val="center"/>
              <w:rPr>
                <w:b/>
                <w:color w:val="FFFFFF"/>
                <w:sz w:val="19"/>
                <w:szCs w:val="19"/>
              </w:rPr>
            </w:pPr>
            <w:r w:rsidRPr="007F1972">
              <w:rPr>
                <w:b/>
                <w:color w:val="FFFFFF"/>
                <w:sz w:val="19"/>
                <w:szCs w:val="19"/>
              </w:rPr>
              <w:t>NTG Method</w:t>
            </w:r>
          </w:p>
        </w:tc>
        <w:tc>
          <w:tcPr>
            <w:tcW w:w="5181" w:type="dxa"/>
            <w:shd w:val="clear" w:color="auto" w:fill="448A99"/>
            <w:vAlign w:val="bottom"/>
          </w:tcPr>
          <w:p w:rsidR="00F366E8" w:rsidRPr="007F1972" w:rsidRDefault="00F366E8" w:rsidP="008111EC">
            <w:pPr>
              <w:jc w:val="center"/>
              <w:rPr>
                <w:b/>
                <w:color w:val="FFFFFF"/>
                <w:sz w:val="19"/>
                <w:szCs w:val="19"/>
              </w:rPr>
            </w:pPr>
            <w:r w:rsidRPr="007F1972">
              <w:rPr>
                <w:b/>
                <w:color w:val="FFFFFF"/>
                <w:sz w:val="19"/>
                <w:szCs w:val="19"/>
              </w:rPr>
              <w:t>Review Comments</w:t>
            </w:r>
          </w:p>
        </w:tc>
      </w:tr>
      <w:tr w:rsidR="00E7173E" w:rsidRPr="007F1972" w:rsidTr="005A33A4">
        <w:trPr>
          <w:trHeight w:val="864"/>
        </w:trPr>
        <w:tc>
          <w:tcPr>
            <w:tcW w:w="1615" w:type="dxa"/>
            <w:shd w:val="clear" w:color="auto" w:fill="D2EAF1"/>
          </w:tcPr>
          <w:p w:rsidR="00F366E8" w:rsidRPr="007F1972" w:rsidRDefault="00F366E8" w:rsidP="005C1352">
            <w:pPr>
              <w:jc w:val="left"/>
              <w:rPr>
                <w:color w:val="548DD4"/>
                <w:sz w:val="19"/>
                <w:szCs w:val="19"/>
              </w:rPr>
            </w:pPr>
            <w:r w:rsidRPr="007F1972">
              <w:rPr>
                <w:sz w:val="19"/>
                <w:szCs w:val="19"/>
              </w:rPr>
              <w:t>Smart Home Rebates (SHR)</w:t>
            </w:r>
          </w:p>
        </w:tc>
        <w:tc>
          <w:tcPr>
            <w:tcW w:w="2559" w:type="dxa"/>
            <w:shd w:val="clear" w:color="auto" w:fill="D2EAF1"/>
          </w:tcPr>
          <w:p w:rsidR="00F366E8" w:rsidRPr="007F1972" w:rsidRDefault="00F366E8" w:rsidP="008111EC">
            <w:pPr>
              <w:jc w:val="center"/>
              <w:rPr>
                <w:color w:val="548DD4"/>
                <w:sz w:val="19"/>
                <w:szCs w:val="19"/>
              </w:rPr>
            </w:pPr>
            <w:r w:rsidRPr="007F1972">
              <w:rPr>
                <w:sz w:val="19"/>
                <w:szCs w:val="19"/>
              </w:rPr>
              <w:t>The common method was used.</w:t>
            </w:r>
          </w:p>
        </w:tc>
        <w:tc>
          <w:tcPr>
            <w:tcW w:w="5181" w:type="dxa"/>
            <w:shd w:val="clear" w:color="auto" w:fill="D2EAF1"/>
          </w:tcPr>
          <w:p w:rsidR="00F366E8" w:rsidRPr="007F1972" w:rsidRDefault="00F366E8" w:rsidP="008111EC">
            <w:pPr>
              <w:jc w:val="center"/>
              <w:rPr>
                <w:color w:val="548DD4"/>
                <w:sz w:val="19"/>
                <w:szCs w:val="19"/>
              </w:rPr>
            </w:pPr>
            <w:r w:rsidRPr="007F1972">
              <w:rPr>
                <w:sz w:val="19"/>
                <w:szCs w:val="19"/>
              </w:rPr>
              <w:t>Navigant used the common approach for NTG but did not explain how it combined strata NTG values into program-level values.</w:t>
            </w:r>
          </w:p>
        </w:tc>
      </w:tr>
      <w:tr w:rsidR="00F366E8" w:rsidRPr="007F1972" w:rsidTr="005A33A4">
        <w:trPr>
          <w:trHeight w:val="864"/>
        </w:trPr>
        <w:tc>
          <w:tcPr>
            <w:tcW w:w="1615" w:type="dxa"/>
          </w:tcPr>
          <w:p w:rsidR="00F366E8" w:rsidRPr="007F1972" w:rsidRDefault="00F366E8" w:rsidP="005C1352">
            <w:pPr>
              <w:jc w:val="left"/>
              <w:rPr>
                <w:color w:val="548DD4"/>
                <w:sz w:val="19"/>
                <w:szCs w:val="19"/>
              </w:rPr>
            </w:pPr>
            <w:r w:rsidRPr="007F1972">
              <w:rPr>
                <w:sz w:val="19"/>
                <w:szCs w:val="19"/>
              </w:rPr>
              <w:t>Smart Appliance Recycling (SAR)</w:t>
            </w:r>
          </w:p>
        </w:tc>
        <w:tc>
          <w:tcPr>
            <w:tcW w:w="2559" w:type="dxa"/>
          </w:tcPr>
          <w:p w:rsidR="00F366E8" w:rsidRPr="007F1972" w:rsidRDefault="00F366E8" w:rsidP="008111EC">
            <w:pPr>
              <w:jc w:val="center"/>
              <w:rPr>
                <w:sz w:val="19"/>
                <w:szCs w:val="19"/>
              </w:rPr>
            </w:pPr>
            <w:r w:rsidRPr="007F1972">
              <w:rPr>
                <w:sz w:val="19"/>
                <w:szCs w:val="19"/>
              </w:rPr>
              <w:t>The common method was used.</w:t>
            </w:r>
          </w:p>
        </w:tc>
        <w:tc>
          <w:tcPr>
            <w:tcW w:w="5181" w:type="dxa"/>
          </w:tcPr>
          <w:p w:rsidR="00F366E8" w:rsidRPr="007F1972" w:rsidRDefault="00F366E8" w:rsidP="008111EC">
            <w:pPr>
              <w:jc w:val="center"/>
              <w:rPr>
                <w:color w:val="548DD4"/>
                <w:sz w:val="19"/>
                <w:szCs w:val="19"/>
              </w:rPr>
            </w:pPr>
            <w:r w:rsidRPr="007F1972">
              <w:rPr>
                <w:sz w:val="19"/>
                <w:szCs w:val="19"/>
              </w:rPr>
              <w:t>Net savings for various appliance recycling counterfactual scenarios were estimated. Navigant did not explain how it combined strata NTG values into program-level NTGR.</w:t>
            </w:r>
          </w:p>
        </w:tc>
      </w:tr>
      <w:tr w:rsidR="00E7173E" w:rsidRPr="007F1972" w:rsidTr="005A33A4">
        <w:trPr>
          <w:trHeight w:val="864"/>
        </w:trPr>
        <w:tc>
          <w:tcPr>
            <w:tcW w:w="1615" w:type="dxa"/>
            <w:shd w:val="clear" w:color="auto" w:fill="D2EAF1"/>
          </w:tcPr>
          <w:p w:rsidR="00F366E8" w:rsidRPr="007F1972" w:rsidRDefault="00F366E8" w:rsidP="005C1352">
            <w:pPr>
              <w:jc w:val="left"/>
              <w:rPr>
                <w:color w:val="548DD4"/>
                <w:sz w:val="19"/>
                <w:szCs w:val="19"/>
              </w:rPr>
            </w:pPr>
            <w:r w:rsidRPr="007F1972">
              <w:rPr>
                <w:sz w:val="19"/>
                <w:szCs w:val="19"/>
              </w:rPr>
              <w:t>Smart House Call (SHC)</w:t>
            </w:r>
          </w:p>
        </w:tc>
        <w:tc>
          <w:tcPr>
            <w:tcW w:w="2559" w:type="dxa"/>
            <w:shd w:val="clear" w:color="auto" w:fill="D2EAF1"/>
          </w:tcPr>
          <w:p w:rsidR="00F366E8" w:rsidRPr="007F1972" w:rsidRDefault="00F366E8" w:rsidP="008111EC">
            <w:pPr>
              <w:jc w:val="center"/>
              <w:rPr>
                <w:color w:val="548DD4"/>
                <w:sz w:val="19"/>
                <w:szCs w:val="19"/>
              </w:rPr>
            </w:pPr>
            <w:r w:rsidRPr="007F1972">
              <w:rPr>
                <w:sz w:val="19"/>
                <w:szCs w:val="19"/>
              </w:rPr>
              <w:t>The common method was used.</w:t>
            </w:r>
          </w:p>
        </w:tc>
        <w:tc>
          <w:tcPr>
            <w:tcW w:w="5181" w:type="dxa"/>
            <w:shd w:val="clear" w:color="auto" w:fill="D2EAF1"/>
          </w:tcPr>
          <w:p w:rsidR="00F366E8" w:rsidRPr="007F1972" w:rsidRDefault="00F366E8" w:rsidP="008111EC">
            <w:pPr>
              <w:jc w:val="center"/>
              <w:rPr>
                <w:color w:val="548DD4"/>
                <w:sz w:val="19"/>
                <w:szCs w:val="19"/>
              </w:rPr>
            </w:pPr>
            <w:r w:rsidRPr="007F1972">
              <w:rPr>
                <w:sz w:val="19"/>
                <w:szCs w:val="19"/>
              </w:rPr>
              <w:t>Navigant used the common approach for NTG but did not explain how it combined strata NTG values into program-level values.</w:t>
            </w:r>
          </w:p>
        </w:tc>
      </w:tr>
      <w:tr w:rsidR="00E7173E" w:rsidRPr="007F1972" w:rsidTr="005A33A4">
        <w:trPr>
          <w:trHeight w:val="864"/>
        </w:trPr>
        <w:tc>
          <w:tcPr>
            <w:tcW w:w="1615" w:type="dxa"/>
            <w:shd w:val="clear" w:color="auto" w:fill="auto"/>
          </w:tcPr>
          <w:p w:rsidR="00F366E8" w:rsidRPr="007F1972" w:rsidRDefault="00F366E8" w:rsidP="005C1352">
            <w:pPr>
              <w:jc w:val="left"/>
              <w:rPr>
                <w:sz w:val="19"/>
                <w:szCs w:val="19"/>
              </w:rPr>
            </w:pPr>
            <w:r w:rsidRPr="007F1972">
              <w:rPr>
                <w:sz w:val="19"/>
                <w:szCs w:val="19"/>
              </w:rPr>
              <w:t>Smart Usage Profile (SUP)</w:t>
            </w:r>
          </w:p>
        </w:tc>
        <w:tc>
          <w:tcPr>
            <w:tcW w:w="2559" w:type="dxa"/>
            <w:shd w:val="clear" w:color="auto" w:fill="auto"/>
          </w:tcPr>
          <w:p w:rsidR="00F366E8" w:rsidRPr="007F1972" w:rsidRDefault="00F366E8" w:rsidP="008111EC">
            <w:pPr>
              <w:jc w:val="center"/>
              <w:rPr>
                <w:sz w:val="19"/>
                <w:szCs w:val="19"/>
              </w:rPr>
            </w:pPr>
            <w:r w:rsidRPr="007F1972">
              <w:rPr>
                <w:sz w:val="19"/>
                <w:szCs w:val="19"/>
              </w:rPr>
              <w:t>Not estimated; impact analysis accounts for FR and SO.</w:t>
            </w:r>
          </w:p>
        </w:tc>
        <w:tc>
          <w:tcPr>
            <w:tcW w:w="5181" w:type="dxa"/>
            <w:shd w:val="clear" w:color="auto" w:fill="auto"/>
          </w:tcPr>
          <w:p w:rsidR="00F366E8" w:rsidRPr="007F1972" w:rsidRDefault="00F366E8" w:rsidP="008111EC">
            <w:pPr>
              <w:jc w:val="center"/>
              <w:rPr>
                <w:sz w:val="19"/>
                <w:szCs w:val="19"/>
              </w:rPr>
            </w:pPr>
            <w:r w:rsidRPr="007F1972">
              <w:rPr>
                <w:sz w:val="19"/>
                <w:szCs w:val="19"/>
              </w:rPr>
              <w:t>Navigant did not estimate NTGR, as the randomized control trial (RCT) approach to impact analysis results in net savings.</w:t>
            </w:r>
          </w:p>
        </w:tc>
      </w:tr>
      <w:tr w:rsidR="00E7173E" w:rsidRPr="007F1972" w:rsidTr="005A33A4">
        <w:trPr>
          <w:trHeight w:val="864"/>
        </w:trPr>
        <w:tc>
          <w:tcPr>
            <w:tcW w:w="1615" w:type="dxa"/>
            <w:shd w:val="clear" w:color="auto" w:fill="D2EAF1"/>
          </w:tcPr>
          <w:p w:rsidR="00F366E8" w:rsidRPr="007F1972" w:rsidRDefault="00F366E8" w:rsidP="005C1352">
            <w:pPr>
              <w:jc w:val="left"/>
              <w:rPr>
                <w:sz w:val="19"/>
                <w:szCs w:val="19"/>
              </w:rPr>
            </w:pPr>
            <w:r w:rsidRPr="007F1972">
              <w:rPr>
                <w:sz w:val="19"/>
                <w:szCs w:val="19"/>
              </w:rPr>
              <w:t>Smart Energy Saver (SES)</w:t>
            </w:r>
          </w:p>
        </w:tc>
        <w:tc>
          <w:tcPr>
            <w:tcW w:w="2559" w:type="dxa"/>
            <w:shd w:val="clear" w:color="auto" w:fill="D2EAF1"/>
          </w:tcPr>
          <w:p w:rsidR="00F366E8" w:rsidRPr="007F1972" w:rsidRDefault="00F366E8" w:rsidP="008111EC">
            <w:pPr>
              <w:jc w:val="center"/>
              <w:rPr>
                <w:sz w:val="19"/>
                <w:szCs w:val="19"/>
              </w:rPr>
            </w:pPr>
            <w:r w:rsidRPr="007F1972">
              <w:rPr>
                <w:sz w:val="19"/>
                <w:szCs w:val="19"/>
              </w:rPr>
              <w:t>No NTGR estimation in PY7.</w:t>
            </w:r>
          </w:p>
        </w:tc>
        <w:tc>
          <w:tcPr>
            <w:tcW w:w="5181" w:type="dxa"/>
            <w:shd w:val="clear" w:color="auto" w:fill="D2EAF1"/>
          </w:tcPr>
          <w:p w:rsidR="00F366E8" w:rsidRPr="007F1972" w:rsidRDefault="00F366E8" w:rsidP="008111EC">
            <w:pPr>
              <w:jc w:val="center"/>
              <w:rPr>
                <w:sz w:val="19"/>
                <w:szCs w:val="19"/>
              </w:rPr>
            </w:pPr>
            <w:r w:rsidRPr="007F1972">
              <w:rPr>
                <w:sz w:val="19"/>
                <w:szCs w:val="19"/>
              </w:rPr>
              <w:t>Navigant did not estimate NTG in PY7 since this program is being terminated at the end of PY7.</w:t>
            </w:r>
          </w:p>
        </w:tc>
      </w:tr>
      <w:tr w:rsidR="00E7173E" w:rsidRPr="007F1972" w:rsidTr="005A33A4">
        <w:trPr>
          <w:trHeight w:val="864"/>
        </w:trPr>
        <w:tc>
          <w:tcPr>
            <w:tcW w:w="1615" w:type="dxa"/>
            <w:shd w:val="clear" w:color="auto" w:fill="auto"/>
          </w:tcPr>
          <w:p w:rsidR="00F366E8" w:rsidRPr="007F1972" w:rsidRDefault="00F366E8" w:rsidP="005C1352">
            <w:pPr>
              <w:jc w:val="left"/>
              <w:rPr>
                <w:sz w:val="19"/>
                <w:szCs w:val="19"/>
              </w:rPr>
            </w:pPr>
            <w:r w:rsidRPr="007F1972">
              <w:rPr>
                <w:sz w:val="19"/>
                <w:szCs w:val="19"/>
              </w:rPr>
              <w:t>Smart Builder Rebates (SBR)</w:t>
            </w:r>
          </w:p>
        </w:tc>
        <w:tc>
          <w:tcPr>
            <w:tcW w:w="2559" w:type="dxa"/>
            <w:shd w:val="clear" w:color="auto" w:fill="auto"/>
          </w:tcPr>
          <w:p w:rsidR="00F366E8" w:rsidRPr="007F1972" w:rsidRDefault="00F366E8" w:rsidP="008111EC">
            <w:pPr>
              <w:jc w:val="center"/>
              <w:rPr>
                <w:sz w:val="19"/>
                <w:szCs w:val="19"/>
              </w:rPr>
            </w:pPr>
            <w:r w:rsidRPr="007F1972">
              <w:rPr>
                <w:sz w:val="19"/>
                <w:szCs w:val="19"/>
              </w:rPr>
              <w:t>The common method was used.</w:t>
            </w:r>
          </w:p>
        </w:tc>
        <w:tc>
          <w:tcPr>
            <w:tcW w:w="5181" w:type="dxa"/>
            <w:shd w:val="clear" w:color="auto" w:fill="auto"/>
          </w:tcPr>
          <w:p w:rsidR="00F366E8" w:rsidRPr="007F1972" w:rsidRDefault="00F366E8" w:rsidP="008111EC">
            <w:pPr>
              <w:jc w:val="center"/>
              <w:rPr>
                <w:sz w:val="19"/>
                <w:szCs w:val="19"/>
              </w:rPr>
            </w:pPr>
            <w:r w:rsidRPr="007F1972">
              <w:rPr>
                <w:sz w:val="19"/>
                <w:szCs w:val="19"/>
              </w:rPr>
              <w:t>Navigant used the common approach for NTG, relying on interviews with participating builders.</w:t>
            </w:r>
          </w:p>
        </w:tc>
      </w:tr>
      <w:tr w:rsidR="00E7173E" w:rsidRPr="007F1972" w:rsidTr="005A33A4">
        <w:tc>
          <w:tcPr>
            <w:tcW w:w="1615" w:type="dxa"/>
            <w:shd w:val="clear" w:color="auto" w:fill="D2EAF1"/>
          </w:tcPr>
          <w:p w:rsidR="00F366E8" w:rsidRPr="007F1972" w:rsidRDefault="00F366E8" w:rsidP="005C1352">
            <w:pPr>
              <w:jc w:val="left"/>
              <w:rPr>
                <w:sz w:val="19"/>
                <w:szCs w:val="19"/>
              </w:rPr>
            </w:pPr>
            <w:r w:rsidRPr="007F1972">
              <w:rPr>
                <w:sz w:val="19"/>
                <w:szCs w:val="19"/>
              </w:rPr>
              <w:t>Smart A/C Saver (SACS) –  Residential</w:t>
            </w:r>
          </w:p>
        </w:tc>
        <w:tc>
          <w:tcPr>
            <w:tcW w:w="2559" w:type="dxa"/>
            <w:shd w:val="clear" w:color="auto" w:fill="D2EAF1"/>
          </w:tcPr>
          <w:p w:rsidR="00F366E8" w:rsidRPr="007F1972" w:rsidRDefault="00F366E8" w:rsidP="008111EC">
            <w:pPr>
              <w:jc w:val="center"/>
              <w:rPr>
                <w:sz w:val="19"/>
                <w:szCs w:val="19"/>
              </w:rPr>
            </w:pPr>
            <w:r w:rsidRPr="007F1972">
              <w:rPr>
                <w:sz w:val="19"/>
                <w:szCs w:val="19"/>
              </w:rPr>
              <w:t>NTGR assumed to be 1.0.</w:t>
            </w:r>
          </w:p>
        </w:tc>
        <w:tc>
          <w:tcPr>
            <w:tcW w:w="5181" w:type="dxa"/>
            <w:shd w:val="clear" w:color="auto" w:fill="D2EAF1"/>
          </w:tcPr>
          <w:p w:rsidR="00F366E8" w:rsidRPr="007F1972" w:rsidRDefault="00F366E8" w:rsidP="008111EC">
            <w:pPr>
              <w:jc w:val="center"/>
              <w:rPr>
                <w:sz w:val="19"/>
                <w:szCs w:val="19"/>
              </w:rPr>
            </w:pPr>
            <w:r w:rsidRPr="007F1972">
              <w:rPr>
                <w:sz w:val="19"/>
                <w:szCs w:val="19"/>
              </w:rPr>
              <w:t>Navigant did not conduct NTG research to determine FR. Navigant assumed that none of the program participants would have curtailed load at the times PECO dispatched the program without the incentives the conservation service provider paid them for their load curtailment. This reasonable assumption also was stated in the evaluation plan.</w:t>
            </w:r>
          </w:p>
        </w:tc>
      </w:tr>
      <w:tr w:rsidR="00E7173E" w:rsidRPr="007F1972" w:rsidTr="005A33A4">
        <w:trPr>
          <w:trHeight w:val="864"/>
        </w:trPr>
        <w:tc>
          <w:tcPr>
            <w:tcW w:w="1615" w:type="dxa"/>
            <w:shd w:val="clear" w:color="auto" w:fill="auto"/>
          </w:tcPr>
          <w:p w:rsidR="00F366E8" w:rsidRPr="007F1972" w:rsidRDefault="00F366E8" w:rsidP="005C1352">
            <w:pPr>
              <w:jc w:val="left"/>
              <w:rPr>
                <w:sz w:val="19"/>
                <w:szCs w:val="19"/>
              </w:rPr>
            </w:pPr>
            <w:r w:rsidRPr="007F1972">
              <w:rPr>
                <w:sz w:val="19"/>
                <w:szCs w:val="19"/>
              </w:rPr>
              <w:t>Smart Multi-Family (SMF) Solutions Program</w:t>
            </w:r>
          </w:p>
        </w:tc>
        <w:tc>
          <w:tcPr>
            <w:tcW w:w="2559" w:type="dxa"/>
            <w:shd w:val="clear" w:color="auto" w:fill="auto"/>
          </w:tcPr>
          <w:p w:rsidR="00F366E8" w:rsidRPr="007F1972" w:rsidRDefault="00F366E8" w:rsidP="008111EC">
            <w:pPr>
              <w:jc w:val="center"/>
              <w:rPr>
                <w:sz w:val="19"/>
                <w:szCs w:val="19"/>
              </w:rPr>
            </w:pPr>
            <w:r w:rsidRPr="007F1972">
              <w:rPr>
                <w:sz w:val="19"/>
                <w:szCs w:val="19"/>
              </w:rPr>
              <w:t>The common method was used.</w:t>
            </w:r>
          </w:p>
        </w:tc>
        <w:tc>
          <w:tcPr>
            <w:tcW w:w="5181" w:type="dxa"/>
            <w:shd w:val="clear" w:color="auto" w:fill="auto"/>
          </w:tcPr>
          <w:p w:rsidR="00F366E8" w:rsidRPr="007F1972" w:rsidRDefault="00F366E8" w:rsidP="008111EC">
            <w:pPr>
              <w:jc w:val="center"/>
              <w:rPr>
                <w:sz w:val="19"/>
                <w:szCs w:val="19"/>
              </w:rPr>
            </w:pPr>
            <w:r w:rsidRPr="007F1972">
              <w:rPr>
                <w:sz w:val="19"/>
                <w:szCs w:val="19"/>
              </w:rPr>
              <w:t>Navigant used the common approach for NTG but did not explain how it combined strata NTG values into program-level values.</w:t>
            </w:r>
          </w:p>
        </w:tc>
      </w:tr>
    </w:tbl>
    <w:p w:rsidR="00F366E8" w:rsidRPr="006C05B5" w:rsidRDefault="00F366E8" w:rsidP="00F366E8"/>
    <w:p w:rsidR="00F366E8" w:rsidRPr="006C05B5" w:rsidRDefault="00573907" w:rsidP="00F366E8">
      <w:r>
        <w:fldChar w:fldCharType="begin"/>
      </w:r>
      <w:r>
        <w:instrText xml:space="preserve"> REF _Ref472453751 \h </w:instrText>
      </w:r>
      <w:r>
        <w:fldChar w:fldCharType="separate"/>
      </w:r>
      <w:r w:rsidR="00037CB4" w:rsidRPr="00573907">
        <w:t>Table A-</w:t>
      </w:r>
      <w:r w:rsidR="00037CB4">
        <w:rPr>
          <w:noProof/>
        </w:rPr>
        <w:t>129</w:t>
      </w:r>
      <w:r>
        <w:fldChar w:fldCharType="end"/>
      </w:r>
      <w:r w:rsidR="00F366E8" w:rsidRPr="006C05B5">
        <w:t xml:space="preserve"> summarizes NTG values from the PECO PY7 annual report. </w:t>
      </w:r>
    </w:p>
    <w:p w:rsidR="008111EC" w:rsidRPr="006C05B5" w:rsidRDefault="008111EC" w:rsidP="00F366E8">
      <w:pPr>
        <w:rPr>
          <w:highlight w:val="lightGray"/>
        </w:rPr>
      </w:pPr>
    </w:p>
    <w:p w:rsidR="00F366E8" w:rsidRPr="00573907" w:rsidRDefault="00573907" w:rsidP="004837FA">
      <w:pPr>
        <w:pStyle w:val="Caption"/>
      </w:pPr>
      <w:bookmarkStart w:id="1236" w:name="_Ref472453751"/>
      <w:bookmarkStart w:id="1237" w:name="_Toc409225021"/>
      <w:bookmarkStart w:id="1238" w:name="_Toc409443573"/>
      <w:bookmarkStart w:id="1239" w:name="_Toc444269793"/>
      <w:bookmarkStart w:id="1240" w:name="_Toc472472538"/>
      <w:bookmarkStart w:id="1241" w:name="_Toc488741957"/>
      <w:r w:rsidRPr="00573907">
        <w:t>Table A-</w:t>
      </w:r>
      <w:r w:rsidR="007973A4">
        <w:fldChar w:fldCharType="begin"/>
      </w:r>
      <w:r w:rsidR="007973A4">
        <w:instrText xml:space="preserve"> SEQ Table_A- \* ARABIC </w:instrText>
      </w:r>
      <w:r w:rsidR="007973A4">
        <w:fldChar w:fldCharType="separate"/>
      </w:r>
      <w:r w:rsidR="00037CB4">
        <w:rPr>
          <w:noProof/>
        </w:rPr>
        <w:t>129</w:t>
      </w:r>
      <w:r w:rsidR="007973A4">
        <w:rPr>
          <w:noProof/>
        </w:rPr>
        <w:fldChar w:fldCharType="end"/>
      </w:r>
      <w:bookmarkEnd w:id="1236"/>
      <w:r w:rsidRPr="00573907">
        <w:t>:</w:t>
      </w:r>
      <w:r w:rsidR="00F366E8" w:rsidRPr="00573907">
        <w:t xml:space="preserve"> Summary of NTG Estimates for PECO’s Residential Program</w:t>
      </w:r>
      <w:bookmarkEnd w:id="1237"/>
      <w:bookmarkEnd w:id="1238"/>
      <w:bookmarkEnd w:id="1239"/>
      <w:r w:rsidR="00F366E8" w:rsidRPr="00573907">
        <w:t>s</w:t>
      </w:r>
      <w:bookmarkEnd w:id="1240"/>
      <w:bookmarkEnd w:id="1241"/>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260"/>
        <w:gridCol w:w="3240"/>
        <w:gridCol w:w="1350"/>
        <w:gridCol w:w="1350"/>
        <w:gridCol w:w="1170"/>
        <w:gridCol w:w="990"/>
      </w:tblGrid>
      <w:tr w:rsidR="00A874AC" w:rsidRPr="007F1972" w:rsidTr="00EE3086">
        <w:trPr>
          <w:trHeight w:val="20"/>
        </w:trPr>
        <w:tc>
          <w:tcPr>
            <w:tcW w:w="1260" w:type="dxa"/>
            <w:shd w:val="clear" w:color="auto" w:fill="448A99"/>
            <w:vAlign w:val="bottom"/>
            <w:hideMark/>
          </w:tcPr>
          <w:p w:rsidR="00F366E8" w:rsidRPr="007F1972" w:rsidRDefault="00F366E8" w:rsidP="005C1352">
            <w:pPr>
              <w:jc w:val="left"/>
              <w:rPr>
                <w:b/>
                <w:bCs/>
                <w:color w:val="FFFFFF"/>
                <w:sz w:val="19"/>
                <w:szCs w:val="19"/>
              </w:rPr>
            </w:pPr>
            <w:r w:rsidRPr="007F1972">
              <w:rPr>
                <w:b/>
                <w:bCs/>
                <w:color w:val="FFFFFF"/>
                <w:sz w:val="19"/>
                <w:szCs w:val="19"/>
              </w:rPr>
              <w:t>Approach</w:t>
            </w:r>
          </w:p>
        </w:tc>
        <w:tc>
          <w:tcPr>
            <w:tcW w:w="3240" w:type="dxa"/>
            <w:shd w:val="clear" w:color="auto" w:fill="448A99"/>
            <w:vAlign w:val="bottom"/>
            <w:hideMark/>
          </w:tcPr>
          <w:p w:rsidR="00F366E8" w:rsidRPr="007F1972" w:rsidRDefault="00F366E8" w:rsidP="005C1352">
            <w:pPr>
              <w:jc w:val="center"/>
              <w:rPr>
                <w:b/>
                <w:bCs/>
                <w:color w:val="FFFFFF"/>
                <w:sz w:val="19"/>
                <w:szCs w:val="19"/>
              </w:rPr>
            </w:pPr>
            <w:r w:rsidRPr="007F1972">
              <w:rPr>
                <w:b/>
                <w:bCs/>
                <w:color w:val="FFFFFF"/>
                <w:sz w:val="19"/>
                <w:szCs w:val="19"/>
              </w:rPr>
              <w:t>Program</w:t>
            </w:r>
          </w:p>
        </w:tc>
        <w:tc>
          <w:tcPr>
            <w:tcW w:w="1350" w:type="dxa"/>
            <w:shd w:val="clear" w:color="auto" w:fill="448A99"/>
            <w:vAlign w:val="bottom"/>
            <w:hideMark/>
          </w:tcPr>
          <w:p w:rsidR="00F366E8" w:rsidRPr="007F1972" w:rsidRDefault="00F366E8" w:rsidP="005C1352">
            <w:pPr>
              <w:jc w:val="center"/>
              <w:rPr>
                <w:b/>
                <w:bCs/>
                <w:color w:val="FFFFFF"/>
                <w:sz w:val="19"/>
                <w:szCs w:val="19"/>
              </w:rPr>
            </w:pPr>
            <w:r w:rsidRPr="007F1972">
              <w:rPr>
                <w:b/>
                <w:bCs/>
                <w:color w:val="FFFFFF"/>
                <w:sz w:val="19"/>
                <w:szCs w:val="19"/>
              </w:rPr>
              <w:t>Free-Ridership</w:t>
            </w:r>
          </w:p>
        </w:tc>
        <w:tc>
          <w:tcPr>
            <w:tcW w:w="1350" w:type="dxa"/>
            <w:shd w:val="clear" w:color="auto" w:fill="448A99"/>
            <w:vAlign w:val="bottom"/>
            <w:hideMark/>
          </w:tcPr>
          <w:p w:rsidR="00F366E8" w:rsidRPr="007F1972" w:rsidRDefault="00F366E8" w:rsidP="005C1352">
            <w:pPr>
              <w:jc w:val="center"/>
              <w:rPr>
                <w:b/>
                <w:bCs/>
                <w:color w:val="FFFFFF"/>
                <w:sz w:val="19"/>
                <w:szCs w:val="19"/>
              </w:rPr>
            </w:pPr>
            <w:r w:rsidRPr="007F1972">
              <w:rPr>
                <w:b/>
                <w:bCs/>
                <w:color w:val="FFFFFF"/>
                <w:sz w:val="19"/>
                <w:szCs w:val="19"/>
              </w:rPr>
              <w:t>Spillover</w:t>
            </w:r>
          </w:p>
        </w:tc>
        <w:tc>
          <w:tcPr>
            <w:tcW w:w="1170" w:type="dxa"/>
            <w:shd w:val="clear" w:color="auto" w:fill="448A99"/>
            <w:vAlign w:val="bottom"/>
            <w:hideMark/>
          </w:tcPr>
          <w:p w:rsidR="00F366E8" w:rsidRPr="007F1972" w:rsidRDefault="00F366E8" w:rsidP="005C1352">
            <w:pPr>
              <w:jc w:val="center"/>
              <w:rPr>
                <w:b/>
                <w:bCs/>
                <w:color w:val="FFFFFF"/>
                <w:sz w:val="19"/>
                <w:szCs w:val="19"/>
              </w:rPr>
            </w:pPr>
            <w:r w:rsidRPr="007F1972">
              <w:rPr>
                <w:b/>
                <w:bCs/>
                <w:color w:val="FFFFFF"/>
                <w:sz w:val="19"/>
                <w:szCs w:val="19"/>
              </w:rPr>
              <w:t>NTGR</w:t>
            </w:r>
            <w:r w:rsidRPr="007F1972">
              <w:rPr>
                <w:b/>
                <w:bCs/>
                <w:color w:val="FFFFFF"/>
                <w:sz w:val="19"/>
                <w:szCs w:val="19"/>
                <w:vertAlign w:val="superscript"/>
              </w:rPr>
              <w:t>[a]</w:t>
            </w:r>
          </w:p>
        </w:tc>
        <w:tc>
          <w:tcPr>
            <w:tcW w:w="990" w:type="dxa"/>
            <w:shd w:val="clear" w:color="auto" w:fill="448A99"/>
            <w:vAlign w:val="bottom"/>
          </w:tcPr>
          <w:p w:rsidR="00F366E8" w:rsidRPr="007F1972" w:rsidRDefault="00F366E8" w:rsidP="005C1352">
            <w:pPr>
              <w:jc w:val="center"/>
              <w:rPr>
                <w:b/>
                <w:bCs/>
                <w:color w:val="FFFFFF"/>
                <w:sz w:val="19"/>
                <w:szCs w:val="19"/>
              </w:rPr>
            </w:pPr>
            <w:r w:rsidRPr="007F1972">
              <w:rPr>
                <w:b/>
                <w:bCs/>
                <w:color w:val="FFFFFF"/>
                <w:sz w:val="19"/>
                <w:szCs w:val="19"/>
              </w:rPr>
              <w:t>Sample Size</w:t>
            </w:r>
            <w:r w:rsidRPr="007F1972">
              <w:rPr>
                <w:b/>
                <w:bCs/>
                <w:color w:val="FFFFFF"/>
                <w:sz w:val="19"/>
                <w:szCs w:val="19"/>
                <w:vertAlign w:val="superscript"/>
              </w:rPr>
              <w:t>[b]</w:t>
            </w:r>
          </w:p>
        </w:tc>
      </w:tr>
      <w:tr w:rsidR="00A874AC" w:rsidRPr="007F1972" w:rsidTr="008111EC">
        <w:trPr>
          <w:trHeight w:val="346"/>
        </w:trPr>
        <w:tc>
          <w:tcPr>
            <w:tcW w:w="1260" w:type="dxa"/>
            <w:vMerge w:val="restart"/>
            <w:shd w:val="clear" w:color="auto" w:fill="D2EAF1"/>
          </w:tcPr>
          <w:p w:rsidR="00F366E8" w:rsidRPr="007F1972" w:rsidRDefault="00F366E8" w:rsidP="005C1352">
            <w:pPr>
              <w:jc w:val="left"/>
              <w:rPr>
                <w:bCs/>
                <w:sz w:val="19"/>
                <w:szCs w:val="19"/>
              </w:rPr>
            </w:pPr>
            <w:r w:rsidRPr="007F1972">
              <w:rPr>
                <w:bCs/>
                <w:sz w:val="19"/>
                <w:szCs w:val="19"/>
              </w:rPr>
              <w:t>Estimated</w:t>
            </w:r>
          </w:p>
        </w:tc>
        <w:tc>
          <w:tcPr>
            <w:tcW w:w="3240" w:type="dxa"/>
            <w:shd w:val="clear" w:color="auto" w:fill="D2EAF1"/>
            <w:noWrap/>
            <w:vAlign w:val="center"/>
          </w:tcPr>
          <w:p w:rsidR="00F366E8" w:rsidRPr="007F1972" w:rsidRDefault="00F366E8" w:rsidP="005C1352">
            <w:pPr>
              <w:jc w:val="left"/>
              <w:rPr>
                <w:sz w:val="19"/>
                <w:szCs w:val="19"/>
              </w:rPr>
            </w:pPr>
            <w:r w:rsidRPr="007F1972">
              <w:rPr>
                <w:sz w:val="19"/>
                <w:szCs w:val="19"/>
              </w:rPr>
              <w:t xml:space="preserve">Smart Home Rebates (SHR) </w:t>
            </w:r>
          </w:p>
        </w:tc>
        <w:tc>
          <w:tcPr>
            <w:tcW w:w="1350" w:type="dxa"/>
            <w:shd w:val="clear" w:color="auto" w:fill="D2EAF1"/>
            <w:noWrap/>
            <w:vAlign w:val="center"/>
          </w:tcPr>
          <w:p w:rsidR="00F366E8" w:rsidRPr="007F1972" w:rsidRDefault="00F366E8" w:rsidP="005C1352">
            <w:pPr>
              <w:jc w:val="center"/>
              <w:rPr>
                <w:sz w:val="19"/>
                <w:szCs w:val="19"/>
              </w:rPr>
            </w:pPr>
            <w:r w:rsidRPr="007F1972">
              <w:rPr>
                <w:sz w:val="19"/>
                <w:szCs w:val="19"/>
              </w:rPr>
              <w:t>0.49</w:t>
            </w:r>
          </w:p>
        </w:tc>
        <w:tc>
          <w:tcPr>
            <w:tcW w:w="1350" w:type="dxa"/>
            <w:shd w:val="clear" w:color="auto" w:fill="D2EAF1"/>
            <w:noWrap/>
            <w:vAlign w:val="center"/>
          </w:tcPr>
          <w:p w:rsidR="00F366E8" w:rsidRPr="007F1972" w:rsidRDefault="00F366E8" w:rsidP="005C1352">
            <w:pPr>
              <w:jc w:val="center"/>
              <w:rPr>
                <w:sz w:val="19"/>
                <w:szCs w:val="19"/>
              </w:rPr>
            </w:pPr>
            <w:r w:rsidRPr="007F1972">
              <w:rPr>
                <w:sz w:val="19"/>
                <w:szCs w:val="19"/>
              </w:rPr>
              <w:t>0.03</w:t>
            </w:r>
          </w:p>
        </w:tc>
        <w:tc>
          <w:tcPr>
            <w:tcW w:w="1170" w:type="dxa"/>
            <w:shd w:val="clear" w:color="auto" w:fill="D2EAF1"/>
            <w:noWrap/>
            <w:vAlign w:val="center"/>
          </w:tcPr>
          <w:p w:rsidR="00F366E8" w:rsidRPr="007F1972" w:rsidRDefault="006E54AF" w:rsidP="005C1352">
            <w:pPr>
              <w:jc w:val="center"/>
              <w:rPr>
                <w:sz w:val="19"/>
                <w:szCs w:val="19"/>
              </w:rPr>
            </w:pPr>
            <w:r w:rsidRPr="007F1972">
              <w:rPr>
                <w:sz w:val="19"/>
                <w:szCs w:val="19"/>
              </w:rPr>
              <w:t>0.54</w:t>
            </w:r>
          </w:p>
        </w:tc>
        <w:tc>
          <w:tcPr>
            <w:tcW w:w="990" w:type="dxa"/>
            <w:shd w:val="clear" w:color="auto" w:fill="D2EAF1"/>
            <w:vAlign w:val="center"/>
          </w:tcPr>
          <w:p w:rsidR="00F366E8" w:rsidRPr="007F1972" w:rsidRDefault="00F366E8" w:rsidP="005C1352">
            <w:pPr>
              <w:jc w:val="center"/>
              <w:rPr>
                <w:sz w:val="19"/>
                <w:szCs w:val="19"/>
              </w:rPr>
            </w:pPr>
            <w:r w:rsidRPr="007F1972">
              <w:rPr>
                <w:sz w:val="19"/>
                <w:szCs w:val="19"/>
              </w:rPr>
              <w:t>542</w:t>
            </w:r>
          </w:p>
        </w:tc>
      </w:tr>
      <w:tr w:rsidR="00E7173E" w:rsidRPr="007F1972" w:rsidTr="005A33A4">
        <w:trPr>
          <w:trHeight w:val="346"/>
        </w:trPr>
        <w:tc>
          <w:tcPr>
            <w:tcW w:w="1260" w:type="dxa"/>
            <w:vMerge/>
            <w:shd w:val="clear" w:color="auto" w:fill="D2EAF1"/>
          </w:tcPr>
          <w:p w:rsidR="00F366E8" w:rsidRPr="007F1972" w:rsidRDefault="00F366E8" w:rsidP="005C1352">
            <w:pPr>
              <w:jc w:val="left"/>
              <w:rPr>
                <w:bCs/>
                <w:sz w:val="19"/>
                <w:szCs w:val="19"/>
              </w:rPr>
            </w:pPr>
          </w:p>
        </w:tc>
        <w:tc>
          <w:tcPr>
            <w:tcW w:w="3240" w:type="dxa"/>
            <w:shd w:val="clear" w:color="auto" w:fill="auto"/>
            <w:noWrap/>
            <w:vAlign w:val="center"/>
          </w:tcPr>
          <w:p w:rsidR="00F366E8" w:rsidRPr="007F1972" w:rsidRDefault="00F366E8" w:rsidP="005C1352">
            <w:pPr>
              <w:jc w:val="left"/>
              <w:rPr>
                <w:sz w:val="19"/>
                <w:szCs w:val="19"/>
              </w:rPr>
            </w:pPr>
            <w:r w:rsidRPr="007F1972">
              <w:rPr>
                <w:sz w:val="19"/>
                <w:szCs w:val="19"/>
              </w:rPr>
              <w:t>Smart House Call (SHC)</w:t>
            </w:r>
          </w:p>
        </w:tc>
        <w:tc>
          <w:tcPr>
            <w:tcW w:w="1350" w:type="dxa"/>
            <w:shd w:val="clear" w:color="auto" w:fill="auto"/>
            <w:noWrap/>
            <w:vAlign w:val="center"/>
          </w:tcPr>
          <w:p w:rsidR="00F366E8" w:rsidRPr="007F1972" w:rsidRDefault="00F366E8" w:rsidP="005C1352">
            <w:pPr>
              <w:jc w:val="center"/>
              <w:rPr>
                <w:sz w:val="19"/>
                <w:szCs w:val="19"/>
              </w:rPr>
            </w:pPr>
            <w:r w:rsidRPr="007F1972">
              <w:rPr>
                <w:sz w:val="19"/>
                <w:szCs w:val="19"/>
              </w:rPr>
              <w:t>0.13</w:t>
            </w:r>
          </w:p>
        </w:tc>
        <w:tc>
          <w:tcPr>
            <w:tcW w:w="1350" w:type="dxa"/>
            <w:shd w:val="clear" w:color="auto" w:fill="auto"/>
            <w:noWrap/>
            <w:vAlign w:val="center"/>
          </w:tcPr>
          <w:p w:rsidR="00F366E8" w:rsidRPr="007F1972" w:rsidRDefault="00F366E8" w:rsidP="005C1352">
            <w:pPr>
              <w:jc w:val="center"/>
              <w:rPr>
                <w:sz w:val="19"/>
                <w:szCs w:val="19"/>
              </w:rPr>
            </w:pPr>
            <w:r w:rsidRPr="007F1972">
              <w:rPr>
                <w:sz w:val="19"/>
                <w:szCs w:val="19"/>
              </w:rPr>
              <w:t>0.07</w:t>
            </w:r>
          </w:p>
        </w:tc>
        <w:tc>
          <w:tcPr>
            <w:tcW w:w="1170" w:type="dxa"/>
            <w:shd w:val="clear" w:color="auto" w:fill="auto"/>
            <w:noWrap/>
            <w:vAlign w:val="center"/>
          </w:tcPr>
          <w:p w:rsidR="00F366E8" w:rsidRPr="007F1972" w:rsidRDefault="00F366E8" w:rsidP="005C1352">
            <w:pPr>
              <w:jc w:val="center"/>
              <w:rPr>
                <w:sz w:val="19"/>
                <w:szCs w:val="19"/>
              </w:rPr>
            </w:pPr>
            <w:r w:rsidRPr="007F1972">
              <w:rPr>
                <w:sz w:val="19"/>
                <w:szCs w:val="19"/>
              </w:rPr>
              <w:t>0.94</w:t>
            </w:r>
          </w:p>
        </w:tc>
        <w:tc>
          <w:tcPr>
            <w:tcW w:w="990" w:type="dxa"/>
            <w:shd w:val="clear" w:color="auto" w:fill="auto"/>
            <w:vAlign w:val="center"/>
          </w:tcPr>
          <w:p w:rsidR="00F366E8" w:rsidRPr="007F1972" w:rsidRDefault="00F366E8" w:rsidP="005C1352">
            <w:pPr>
              <w:jc w:val="center"/>
              <w:rPr>
                <w:sz w:val="19"/>
                <w:szCs w:val="19"/>
              </w:rPr>
            </w:pPr>
            <w:r w:rsidRPr="007F1972">
              <w:rPr>
                <w:sz w:val="19"/>
                <w:szCs w:val="19"/>
              </w:rPr>
              <w:t>130</w:t>
            </w:r>
          </w:p>
        </w:tc>
      </w:tr>
      <w:tr w:rsidR="00A874AC" w:rsidRPr="007F1972" w:rsidTr="008111EC">
        <w:trPr>
          <w:trHeight w:val="346"/>
        </w:trPr>
        <w:tc>
          <w:tcPr>
            <w:tcW w:w="1260" w:type="dxa"/>
            <w:vMerge/>
            <w:shd w:val="clear" w:color="auto" w:fill="D2EAF1"/>
          </w:tcPr>
          <w:p w:rsidR="00F366E8" w:rsidRPr="007F1972" w:rsidRDefault="00F366E8" w:rsidP="005C1352">
            <w:pPr>
              <w:jc w:val="left"/>
              <w:rPr>
                <w:bCs/>
                <w:sz w:val="19"/>
                <w:szCs w:val="19"/>
              </w:rPr>
            </w:pPr>
          </w:p>
        </w:tc>
        <w:tc>
          <w:tcPr>
            <w:tcW w:w="3240" w:type="dxa"/>
            <w:shd w:val="clear" w:color="auto" w:fill="D2EAF1"/>
            <w:noWrap/>
            <w:vAlign w:val="center"/>
          </w:tcPr>
          <w:p w:rsidR="00F366E8" w:rsidRPr="007F1972" w:rsidRDefault="00F366E8" w:rsidP="005C1352">
            <w:pPr>
              <w:jc w:val="left"/>
              <w:rPr>
                <w:sz w:val="19"/>
                <w:szCs w:val="19"/>
              </w:rPr>
            </w:pPr>
            <w:r w:rsidRPr="007F1972">
              <w:rPr>
                <w:sz w:val="19"/>
                <w:szCs w:val="19"/>
              </w:rPr>
              <w:t>Smart Builder Rebates (SBR)</w:t>
            </w:r>
          </w:p>
        </w:tc>
        <w:tc>
          <w:tcPr>
            <w:tcW w:w="1350" w:type="dxa"/>
            <w:shd w:val="clear" w:color="auto" w:fill="D2EAF1"/>
            <w:noWrap/>
            <w:vAlign w:val="center"/>
          </w:tcPr>
          <w:p w:rsidR="00F366E8" w:rsidRPr="007F1972" w:rsidRDefault="00F366E8" w:rsidP="005C1352">
            <w:pPr>
              <w:jc w:val="center"/>
              <w:rPr>
                <w:sz w:val="19"/>
                <w:szCs w:val="19"/>
              </w:rPr>
            </w:pPr>
            <w:r w:rsidRPr="007F1972">
              <w:rPr>
                <w:sz w:val="19"/>
                <w:szCs w:val="19"/>
              </w:rPr>
              <w:t>0.50</w:t>
            </w:r>
          </w:p>
        </w:tc>
        <w:tc>
          <w:tcPr>
            <w:tcW w:w="1350" w:type="dxa"/>
            <w:shd w:val="clear" w:color="auto" w:fill="D2EAF1"/>
            <w:noWrap/>
            <w:vAlign w:val="center"/>
          </w:tcPr>
          <w:p w:rsidR="00F366E8" w:rsidRPr="007F1972" w:rsidRDefault="00F366E8" w:rsidP="005C1352">
            <w:pPr>
              <w:jc w:val="center"/>
              <w:rPr>
                <w:sz w:val="19"/>
                <w:szCs w:val="19"/>
              </w:rPr>
            </w:pPr>
            <w:r w:rsidRPr="007F1972">
              <w:rPr>
                <w:sz w:val="19"/>
                <w:szCs w:val="19"/>
              </w:rPr>
              <w:t>0.00</w:t>
            </w:r>
          </w:p>
        </w:tc>
        <w:tc>
          <w:tcPr>
            <w:tcW w:w="1170" w:type="dxa"/>
            <w:shd w:val="clear" w:color="auto" w:fill="D2EAF1"/>
            <w:noWrap/>
            <w:vAlign w:val="center"/>
          </w:tcPr>
          <w:p w:rsidR="00F366E8" w:rsidRPr="007F1972" w:rsidRDefault="00F366E8" w:rsidP="005C1352">
            <w:pPr>
              <w:jc w:val="center"/>
              <w:rPr>
                <w:sz w:val="19"/>
                <w:szCs w:val="19"/>
              </w:rPr>
            </w:pPr>
            <w:r w:rsidRPr="007F1972">
              <w:rPr>
                <w:sz w:val="19"/>
                <w:szCs w:val="19"/>
              </w:rPr>
              <w:t>0.50</w:t>
            </w:r>
          </w:p>
        </w:tc>
        <w:tc>
          <w:tcPr>
            <w:tcW w:w="990" w:type="dxa"/>
            <w:shd w:val="clear" w:color="auto" w:fill="D2EAF1"/>
            <w:vAlign w:val="center"/>
          </w:tcPr>
          <w:p w:rsidR="00F366E8" w:rsidRPr="007F1972" w:rsidDel="00044C39" w:rsidRDefault="00F366E8" w:rsidP="005C1352">
            <w:pPr>
              <w:jc w:val="center"/>
              <w:rPr>
                <w:sz w:val="19"/>
                <w:szCs w:val="19"/>
              </w:rPr>
            </w:pPr>
            <w:r w:rsidRPr="007F1972">
              <w:rPr>
                <w:sz w:val="19"/>
                <w:szCs w:val="19"/>
              </w:rPr>
              <w:t>7</w:t>
            </w:r>
          </w:p>
        </w:tc>
      </w:tr>
      <w:tr w:rsidR="00E7173E" w:rsidRPr="007F1972" w:rsidTr="005A33A4">
        <w:trPr>
          <w:trHeight w:val="346"/>
        </w:trPr>
        <w:tc>
          <w:tcPr>
            <w:tcW w:w="1260" w:type="dxa"/>
            <w:vMerge/>
            <w:shd w:val="clear" w:color="auto" w:fill="D2EAF1"/>
          </w:tcPr>
          <w:p w:rsidR="00F366E8" w:rsidRPr="007F1972" w:rsidRDefault="00F366E8" w:rsidP="005C1352">
            <w:pPr>
              <w:jc w:val="left"/>
              <w:rPr>
                <w:bCs/>
                <w:sz w:val="19"/>
                <w:szCs w:val="19"/>
              </w:rPr>
            </w:pPr>
          </w:p>
        </w:tc>
        <w:tc>
          <w:tcPr>
            <w:tcW w:w="3240" w:type="dxa"/>
            <w:shd w:val="clear" w:color="auto" w:fill="auto"/>
            <w:noWrap/>
            <w:vAlign w:val="center"/>
          </w:tcPr>
          <w:p w:rsidR="00F366E8" w:rsidRPr="007F1972" w:rsidRDefault="00F366E8" w:rsidP="005C1352">
            <w:pPr>
              <w:jc w:val="left"/>
              <w:rPr>
                <w:sz w:val="19"/>
                <w:szCs w:val="19"/>
              </w:rPr>
            </w:pPr>
            <w:r w:rsidRPr="007F1972">
              <w:rPr>
                <w:sz w:val="19"/>
                <w:szCs w:val="19"/>
              </w:rPr>
              <w:t>Smart Appliance Recycling (SAR)</w:t>
            </w:r>
          </w:p>
        </w:tc>
        <w:tc>
          <w:tcPr>
            <w:tcW w:w="1350" w:type="dxa"/>
            <w:shd w:val="clear" w:color="auto" w:fill="auto"/>
            <w:noWrap/>
            <w:vAlign w:val="center"/>
          </w:tcPr>
          <w:p w:rsidR="00F366E8" w:rsidRPr="007F1972" w:rsidRDefault="00F366E8" w:rsidP="005C1352">
            <w:pPr>
              <w:jc w:val="center"/>
              <w:rPr>
                <w:sz w:val="19"/>
                <w:szCs w:val="19"/>
              </w:rPr>
            </w:pPr>
            <w:r w:rsidRPr="007F1972">
              <w:rPr>
                <w:sz w:val="19"/>
                <w:szCs w:val="19"/>
              </w:rPr>
              <w:t>0.50</w:t>
            </w:r>
          </w:p>
        </w:tc>
        <w:tc>
          <w:tcPr>
            <w:tcW w:w="1350" w:type="dxa"/>
            <w:shd w:val="clear" w:color="auto" w:fill="auto"/>
            <w:noWrap/>
            <w:vAlign w:val="center"/>
          </w:tcPr>
          <w:p w:rsidR="00F366E8" w:rsidRPr="007F1972" w:rsidRDefault="006E54AF" w:rsidP="005C1352">
            <w:pPr>
              <w:jc w:val="center"/>
              <w:rPr>
                <w:sz w:val="19"/>
                <w:szCs w:val="19"/>
              </w:rPr>
            </w:pPr>
            <w:r w:rsidRPr="007F1972">
              <w:rPr>
                <w:sz w:val="19"/>
                <w:szCs w:val="19"/>
              </w:rPr>
              <w:t>0.00</w:t>
            </w:r>
          </w:p>
        </w:tc>
        <w:tc>
          <w:tcPr>
            <w:tcW w:w="1170" w:type="dxa"/>
            <w:shd w:val="clear" w:color="auto" w:fill="auto"/>
            <w:noWrap/>
            <w:vAlign w:val="center"/>
          </w:tcPr>
          <w:p w:rsidR="00F366E8" w:rsidRPr="007F1972" w:rsidRDefault="00F366E8" w:rsidP="005C1352">
            <w:pPr>
              <w:jc w:val="center"/>
              <w:rPr>
                <w:sz w:val="19"/>
                <w:szCs w:val="19"/>
              </w:rPr>
            </w:pPr>
            <w:r w:rsidRPr="007F1972">
              <w:rPr>
                <w:sz w:val="19"/>
                <w:szCs w:val="19"/>
              </w:rPr>
              <w:t>0.50</w:t>
            </w:r>
          </w:p>
        </w:tc>
        <w:tc>
          <w:tcPr>
            <w:tcW w:w="990" w:type="dxa"/>
            <w:shd w:val="clear" w:color="auto" w:fill="auto"/>
            <w:vAlign w:val="center"/>
          </w:tcPr>
          <w:p w:rsidR="00F366E8" w:rsidRPr="007F1972" w:rsidRDefault="00F366E8" w:rsidP="005C1352">
            <w:pPr>
              <w:jc w:val="center"/>
              <w:rPr>
                <w:sz w:val="19"/>
                <w:szCs w:val="19"/>
              </w:rPr>
            </w:pPr>
            <w:r w:rsidRPr="007F1972">
              <w:rPr>
                <w:sz w:val="19"/>
                <w:szCs w:val="19"/>
              </w:rPr>
              <w:t>140</w:t>
            </w:r>
          </w:p>
        </w:tc>
      </w:tr>
      <w:tr w:rsidR="00A874AC" w:rsidRPr="007F1972" w:rsidTr="008111EC">
        <w:trPr>
          <w:trHeight w:val="346"/>
        </w:trPr>
        <w:tc>
          <w:tcPr>
            <w:tcW w:w="1260" w:type="dxa"/>
            <w:vMerge/>
            <w:shd w:val="clear" w:color="auto" w:fill="auto"/>
          </w:tcPr>
          <w:p w:rsidR="00F366E8" w:rsidRPr="007F1972" w:rsidRDefault="00F366E8" w:rsidP="005C1352">
            <w:pPr>
              <w:jc w:val="left"/>
              <w:rPr>
                <w:bCs/>
                <w:sz w:val="19"/>
                <w:szCs w:val="19"/>
              </w:rPr>
            </w:pPr>
          </w:p>
        </w:tc>
        <w:tc>
          <w:tcPr>
            <w:tcW w:w="3240" w:type="dxa"/>
            <w:shd w:val="clear" w:color="auto" w:fill="D2EAF1"/>
            <w:noWrap/>
            <w:vAlign w:val="center"/>
          </w:tcPr>
          <w:p w:rsidR="00F366E8" w:rsidRPr="007F1972" w:rsidRDefault="00F366E8" w:rsidP="005C1352">
            <w:pPr>
              <w:jc w:val="left"/>
              <w:rPr>
                <w:sz w:val="19"/>
                <w:szCs w:val="19"/>
              </w:rPr>
            </w:pPr>
            <w:r w:rsidRPr="007F1972">
              <w:rPr>
                <w:sz w:val="19"/>
                <w:szCs w:val="19"/>
              </w:rPr>
              <w:t>Smart Multi-Family (SMF) Solutions Program</w:t>
            </w:r>
          </w:p>
        </w:tc>
        <w:tc>
          <w:tcPr>
            <w:tcW w:w="1350" w:type="dxa"/>
            <w:shd w:val="clear" w:color="auto" w:fill="D2EAF1"/>
            <w:noWrap/>
            <w:vAlign w:val="center"/>
          </w:tcPr>
          <w:p w:rsidR="00F366E8" w:rsidRPr="007F1972" w:rsidRDefault="00F366E8" w:rsidP="005C1352">
            <w:pPr>
              <w:jc w:val="center"/>
              <w:rPr>
                <w:sz w:val="19"/>
                <w:szCs w:val="19"/>
              </w:rPr>
            </w:pPr>
            <w:r w:rsidRPr="007F1972">
              <w:rPr>
                <w:sz w:val="19"/>
                <w:szCs w:val="19"/>
              </w:rPr>
              <w:t>0.43</w:t>
            </w:r>
          </w:p>
        </w:tc>
        <w:tc>
          <w:tcPr>
            <w:tcW w:w="1350" w:type="dxa"/>
            <w:shd w:val="clear" w:color="auto" w:fill="D2EAF1"/>
            <w:noWrap/>
            <w:vAlign w:val="center"/>
          </w:tcPr>
          <w:p w:rsidR="00F366E8" w:rsidRPr="007F1972" w:rsidRDefault="00F366E8" w:rsidP="005C1352">
            <w:pPr>
              <w:jc w:val="center"/>
              <w:rPr>
                <w:sz w:val="19"/>
                <w:szCs w:val="19"/>
              </w:rPr>
            </w:pPr>
            <w:r w:rsidRPr="007F1972">
              <w:rPr>
                <w:sz w:val="19"/>
                <w:szCs w:val="19"/>
              </w:rPr>
              <w:t>0.01</w:t>
            </w:r>
          </w:p>
        </w:tc>
        <w:tc>
          <w:tcPr>
            <w:tcW w:w="1170" w:type="dxa"/>
            <w:shd w:val="clear" w:color="auto" w:fill="D2EAF1"/>
            <w:noWrap/>
            <w:vAlign w:val="center"/>
          </w:tcPr>
          <w:p w:rsidR="00F366E8" w:rsidRPr="007F1972" w:rsidRDefault="00F366E8" w:rsidP="005C1352">
            <w:pPr>
              <w:jc w:val="center"/>
              <w:rPr>
                <w:sz w:val="19"/>
                <w:szCs w:val="19"/>
              </w:rPr>
            </w:pPr>
            <w:r w:rsidRPr="007F1972">
              <w:rPr>
                <w:sz w:val="19"/>
                <w:szCs w:val="19"/>
              </w:rPr>
              <w:t>0.59</w:t>
            </w:r>
          </w:p>
        </w:tc>
        <w:tc>
          <w:tcPr>
            <w:tcW w:w="990" w:type="dxa"/>
            <w:shd w:val="clear" w:color="auto" w:fill="D2EAF1"/>
            <w:vAlign w:val="center"/>
          </w:tcPr>
          <w:p w:rsidR="00F366E8" w:rsidRPr="007F1972" w:rsidRDefault="00F366E8" w:rsidP="005C1352">
            <w:pPr>
              <w:jc w:val="center"/>
              <w:rPr>
                <w:sz w:val="19"/>
                <w:szCs w:val="19"/>
              </w:rPr>
            </w:pPr>
            <w:r w:rsidRPr="007F1972">
              <w:rPr>
                <w:sz w:val="19"/>
                <w:szCs w:val="19"/>
              </w:rPr>
              <w:t>48</w:t>
            </w:r>
          </w:p>
        </w:tc>
      </w:tr>
      <w:tr w:rsidR="00A874AC" w:rsidRPr="007F1972" w:rsidTr="008111EC">
        <w:trPr>
          <w:trHeight w:val="346"/>
        </w:trPr>
        <w:tc>
          <w:tcPr>
            <w:tcW w:w="1260" w:type="dxa"/>
            <w:vMerge w:val="restart"/>
            <w:shd w:val="clear" w:color="auto" w:fill="FFFFFF" w:themeFill="background1"/>
          </w:tcPr>
          <w:p w:rsidR="00F366E8" w:rsidRPr="007F1972" w:rsidRDefault="00F366E8" w:rsidP="005C1352">
            <w:pPr>
              <w:jc w:val="left"/>
              <w:rPr>
                <w:bCs/>
                <w:sz w:val="19"/>
                <w:szCs w:val="19"/>
              </w:rPr>
            </w:pPr>
            <w:r w:rsidRPr="007F1972">
              <w:rPr>
                <w:bCs/>
                <w:sz w:val="19"/>
                <w:szCs w:val="19"/>
              </w:rPr>
              <w:t>Not calculated</w:t>
            </w:r>
          </w:p>
        </w:tc>
        <w:tc>
          <w:tcPr>
            <w:tcW w:w="3240" w:type="dxa"/>
            <w:shd w:val="clear" w:color="auto" w:fill="FFFFFF" w:themeFill="background1"/>
            <w:noWrap/>
            <w:vAlign w:val="center"/>
          </w:tcPr>
          <w:p w:rsidR="00F366E8" w:rsidRPr="007F1972" w:rsidRDefault="00F366E8" w:rsidP="005C1352">
            <w:pPr>
              <w:jc w:val="left"/>
              <w:rPr>
                <w:sz w:val="19"/>
                <w:szCs w:val="19"/>
              </w:rPr>
            </w:pPr>
            <w:r w:rsidRPr="007F1972">
              <w:rPr>
                <w:sz w:val="19"/>
                <w:szCs w:val="19"/>
              </w:rPr>
              <w:t>Smart A/C Saver (SACS) – Residential</w:t>
            </w:r>
          </w:p>
        </w:tc>
        <w:tc>
          <w:tcPr>
            <w:tcW w:w="1350" w:type="dxa"/>
            <w:shd w:val="clear" w:color="auto" w:fill="FFFFFF" w:themeFill="background1"/>
            <w:noWrap/>
            <w:vAlign w:val="center"/>
          </w:tcPr>
          <w:p w:rsidR="00F366E8" w:rsidRPr="007F1972" w:rsidRDefault="00F366E8" w:rsidP="005C1352">
            <w:pPr>
              <w:jc w:val="center"/>
              <w:rPr>
                <w:sz w:val="19"/>
                <w:szCs w:val="19"/>
              </w:rPr>
            </w:pPr>
            <w:r w:rsidRPr="007F1972">
              <w:rPr>
                <w:sz w:val="19"/>
                <w:szCs w:val="19"/>
              </w:rPr>
              <w:t>N/A</w:t>
            </w:r>
          </w:p>
        </w:tc>
        <w:tc>
          <w:tcPr>
            <w:tcW w:w="1350" w:type="dxa"/>
            <w:shd w:val="clear" w:color="auto" w:fill="FFFFFF" w:themeFill="background1"/>
            <w:noWrap/>
            <w:vAlign w:val="center"/>
          </w:tcPr>
          <w:p w:rsidR="00F366E8" w:rsidRPr="007F1972" w:rsidRDefault="00F366E8" w:rsidP="005C1352">
            <w:pPr>
              <w:jc w:val="center"/>
              <w:rPr>
                <w:sz w:val="19"/>
                <w:szCs w:val="19"/>
              </w:rPr>
            </w:pPr>
            <w:r w:rsidRPr="007F1972">
              <w:rPr>
                <w:sz w:val="19"/>
                <w:szCs w:val="19"/>
              </w:rPr>
              <w:t>N/A</w:t>
            </w:r>
          </w:p>
        </w:tc>
        <w:tc>
          <w:tcPr>
            <w:tcW w:w="1170" w:type="dxa"/>
            <w:shd w:val="clear" w:color="auto" w:fill="FFFFFF" w:themeFill="background1"/>
            <w:noWrap/>
            <w:vAlign w:val="center"/>
          </w:tcPr>
          <w:p w:rsidR="00F366E8" w:rsidRPr="007F1972" w:rsidRDefault="00F366E8" w:rsidP="005C1352">
            <w:pPr>
              <w:jc w:val="center"/>
              <w:rPr>
                <w:sz w:val="19"/>
                <w:szCs w:val="19"/>
              </w:rPr>
            </w:pPr>
            <w:r w:rsidRPr="007F1972">
              <w:rPr>
                <w:sz w:val="19"/>
                <w:szCs w:val="19"/>
              </w:rPr>
              <w:t>1.0</w:t>
            </w:r>
          </w:p>
        </w:tc>
        <w:tc>
          <w:tcPr>
            <w:tcW w:w="990" w:type="dxa"/>
            <w:shd w:val="clear" w:color="auto" w:fill="FFFFFF" w:themeFill="background1"/>
            <w:vAlign w:val="center"/>
          </w:tcPr>
          <w:p w:rsidR="00F366E8" w:rsidRPr="007F1972" w:rsidRDefault="00F366E8" w:rsidP="005C1352">
            <w:pPr>
              <w:jc w:val="center"/>
              <w:rPr>
                <w:sz w:val="19"/>
                <w:szCs w:val="19"/>
              </w:rPr>
            </w:pPr>
            <w:r w:rsidRPr="007F1972">
              <w:rPr>
                <w:sz w:val="19"/>
                <w:szCs w:val="19"/>
              </w:rPr>
              <w:t>N/A</w:t>
            </w:r>
          </w:p>
        </w:tc>
      </w:tr>
      <w:tr w:rsidR="00A874AC" w:rsidRPr="007F1972" w:rsidTr="008111EC">
        <w:trPr>
          <w:trHeight w:val="346"/>
        </w:trPr>
        <w:tc>
          <w:tcPr>
            <w:tcW w:w="1260" w:type="dxa"/>
            <w:vMerge/>
            <w:shd w:val="clear" w:color="auto" w:fill="D2EAF1"/>
          </w:tcPr>
          <w:p w:rsidR="00F366E8" w:rsidRPr="007F1972" w:rsidDel="00471DA9" w:rsidRDefault="00F366E8" w:rsidP="005C1352">
            <w:pPr>
              <w:jc w:val="left"/>
              <w:rPr>
                <w:bCs/>
                <w:sz w:val="19"/>
                <w:szCs w:val="19"/>
              </w:rPr>
            </w:pPr>
          </w:p>
        </w:tc>
        <w:tc>
          <w:tcPr>
            <w:tcW w:w="3240" w:type="dxa"/>
            <w:shd w:val="clear" w:color="auto" w:fill="D2EAF1"/>
            <w:noWrap/>
            <w:vAlign w:val="center"/>
          </w:tcPr>
          <w:p w:rsidR="00F366E8" w:rsidRPr="007F1972" w:rsidRDefault="00F366E8" w:rsidP="005C1352">
            <w:pPr>
              <w:jc w:val="left"/>
              <w:rPr>
                <w:sz w:val="19"/>
                <w:szCs w:val="19"/>
              </w:rPr>
            </w:pPr>
            <w:r w:rsidRPr="007F1972">
              <w:rPr>
                <w:sz w:val="19"/>
                <w:szCs w:val="19"/>
              </w:rPr>
              <w:t>Smart Usage Profile (SUP)</w:t>
            </w:r>
          </w:p>
        </w:tc>
        <w:tc>
          <w:tcPr>
            <w:tcW w:w="1350" w:type="dxa"/>
            <w:shd w:val="clear" w:color="auto" w:fill="D2EAF1"/>
            <w:noWrap/>
            <w:vAlign w:val="center"/>
          </w:tcPr>
          <w:p w:rsidR="00F366E8" w:rsidRPr="007F1972" w:rsidRDefault="00F366E8" w:rsidP="005C1352">
            <w:pPr>
              <w:jc w:val="center"/>
              <w:rPr>
                <w:sz w:val="19"/>
                <w:szCs w:val="19"/>
              </w:rPr>
            </w:pPr>
            <w:r w:rsidRPr="007F1972">
              <w:rPr>
                <w:sz w:val="19"/>
                <w:szCs w:val="19"/>
              </w:rPr>
              <w:t>N/A</w:t>
            </w:r>
          </w:p>
        </w:tc>
        <w:tc>
          <w:tcPr>
            <w:tcW w:w="1350" w:type="dxa"/>
            <w:shd w:val="clear" w:color="auto" w:fill="D2EAF1"/>
            <w:noWrap/>
            <w:vAlign w:val="center"/>
          </w:tcPr>
          <w:p w:rsidR="00F366E8" w:rsidRPr="007F1972" w:rsidRDefault="00F366E8" w:rsidP="005C1352">
            <w:pPr>
              <w:jc w:val="center"/>
              <w:rPr>
                <w:sz w:val="19"/>
                <w:szCs w:val="19"/>
              </w:rPr>
            </w:pPr>
            <w:r w:rsidRPr="007F1972">
              <w:rPr>
                <w:sz w:val="19"/>
                <w:szCs w:val="19"/>
              </w:rPr>
              <w:t>N/A</w:t>
            </w:r>
          </w:p>
        </w:tc>
        <w:tc>
          <w:tcPr>
            <w:tcW w:w="1170" w:type="dxa"/>
            <w:shd w:val="clear" w:color="auto" w:fill="D2EAF1"/>
            <w:noWrap/>
            <w:vAlign w:val="center"/>
          </w:tcPr>
          <w:p w:rsidR="00F366E8" w:rsidRPr="007F1972" w:rsidRDefault="00F366E8" w:rsidP="005C1352">
            <w:pPr>
              <w:jc w:val="center"/>
              <w:rPr>
                <w:sz w:val="19"/>
                <w:szCs w:val="19"/>
              </w:rPr>
            </w:pPr>
            <w:r w:rsidRPr="007F1972">
              <w:rPr>
                <w:sz w:val="19"/>
                <w:szCs w:val="19"/>
              </w:rPr>
              <w:t>N/A</w:t>
            </w:r>
          </w:p>
        </w:tc>
        <w:tc>
          <w:tcPr>
            <w:tcW w:w="990" w:type="dxa"/>
            <w:shd w:val="clear" w:color="auto" w:fill="D2EAF1"/>
            <w:vAlign w:val="center"/>
          </w:tcPr>
          <w:p w:rsidR="00F366E8" w:rsidRPr="007F1972" w:rsidDel="006F2499" w:rsidRDefault="00F366E8" w:rsidP="005C1352">
            <w:pPr>
              <w:jc w:val="center"/>
              <w:rPr>
                <w:sz w:val="19"/>
                <w:szCs w:val="19"/>
              </w:rPr>
            </w:pPr>
            <w:r w:rsidRPr="007F1972">
              <w:rPr>
                <w:sz w:val="19"/>
                <w:szCs w:val="19"/>
              </w:rPr>
              <w:t>N/A</w:t>
            </w:r>
          </w:p>
        </w:tc>
      </w:tr>
      <w:tr w:rsidR="00E7173E" w:rsidRPr="008C7396" w:rsidTr="005A33A4">
        <w:trPr>
          <w:trHeight w:val="288"/>
        </w:trPr>
        <w:tc>
          <w:tcPr>
            <w:tcW w:w="9360" w:type="dxa"/>
            <w:gridSpan w:val="6"/>
            <w:shd w:val="clear" w:color="auto" w:fill="448A99"/>
          </w:tcPr>
          <w:p w:rsidR="00F366E8" w:rsidRPr="008C7396" w:rsidRDefault="006142E6" w:rsidP="005C1352">
            <w:pPr>
              <w:contextualSpacing/>
              <w:jc w:val="left"/>
              <w:rPr>
                <w:bCs/>
                <w:color w:val="FFFFFF"/>
                <w:sz w:val="18"/>
                <w:szCs w:val="19"/>
              </w:rPr>
            </w:pPr>
            <w:r w:rsidRPr="008C7396">
              <w:rPr>
                <w:bCs/>
                <w:color w:val="FFFFFF"/>
                <w:sz w:val="18"/>
                <w:szCs w:val="19"/>
              </w:rPr>
              <w:t>NOTES:</w:t>
            </w:r>
          </w:p>
          <w:p w:rsidR="00F366E8" w:rsidRPr="008C7396" w:rsidRDefault="00F366E8" w:rsidP="005C1352">
            <w:pPr>
              <w:jc w:val="left"/>
              <w:rPr>
                <w:color w:val="FFFFFF"/>
                <w:sz w:val="18"/>
                <w:szCs w:val="19"/>
              </w:rPr>
            </w:pPr>
            <w:r w:rsidRPr="008C7396">
              <w:rPr>
                <w:color w:val="FFFFFF"/>
                <w:sz w:val="18"/>
                <w:szCs w:val="19"/>
              </w:rPr>
              <w:t>[a]</w:t>
            </w:r>
            <w:r w:rsidRPr="008C7396">
              <w:rPr>
                <w:bCs/>
                <w:color w:val="FFFFFF"/>
                <w:sz w:val="18"/>
                <w:szCs w:val="19"/>
              </w:rPr>
              <w:t xml:space="preserve"> </w:t>
            </w:r>
            <w:r w:rsidRPr="008C7396">
              <w:rPr>
                <w:color w:val="FFFFFF"/>
                <w:sz w:val="18"/>
                <w:szCs w:val="19"/>
              </w:rPr>
              <w:t xml:space="preserve">NTGR = 1 – free-ridership + spillover. In some cases, the NTGR shown in the table may not equal exactly 1 – </w:t>
            </w:r>
            <w:r w:rsidRPr="008C7396">
              <w:rPr>
                <w:rFonts w:eastAsia="Calibri"/>
                <w:color w:val="FFFFFF"/>
                <w:sz w:val="18"/>
                <w:szCs w:val="19"/>
              </w:rPr>
              <w:t>free-ridership + spillover</w:t>
            </w:r>
            <w:r w:rsidRPr="008C7396">
              <w:rPr>
                <w:color w:val="FFFFFF"/>
                <w:sz w:val="18"/>
                <w:szCs w:val="19"/>
              </w:rPr>
              <w:t xml:space="preserve"> because of rounding.</w:t>
            </w:r>
          </w:p>
          <w:p w:rsidR="00F366E8" w:rsidRPr="008C7396" w:rsidRDefault="00F366E8" w:rsidP="005C1352">
            <w:pPr>
              <w:contextualSpacing/>
              <w:jc w:val="left"/>
              <w:rPr>
                <w:bCs/>
                <w:color w:val="FFFFFF"/>
                <w:sz w:val="18"/>
                <w:szCs w:val="19"/>
              </w:rPr>
            </w:pPr>
            <w:r w:rsidRPr="008C7396">
              <w:rPr>
                <w:color w:val="FFFFFF"/>
                <w:sz w:val="18"/>
                <w:szCs w:val="19"/>
              </w:rPr>
              <w:t>[b]</w:t>
            </w:r>
            <w:r w:rsidRPr="008C7396">
              <w:rPr>
                <w:bCs/>
                <w:color w:val="FFFFFF"/>
                <w:sz w:val="18"/>
                <w:szCs w:val="19"/>
              </w:rPr>
              <w:t xml:space="preserve"> All samples provided at least 85/15 precision/confidence.</w:t>
            </w:r>
          </w:p>
        </w:tc>
      </w:tr>
    </w:tbl>
    <w:p w:rsidR="00F366E8" w:rsidRPr="006C05B5" w:rsidRDefault="00F366E8" w:rsidP="00F366E8"/>
    <w:p w:rsidR="00F366E8" w:rsidRPr="006C05B5" w:rsidRDefault="00F366E8" w:rsidP="0055598C">
      <w:pPr>
        <w:pStyle w:val="AppendixAHeading4"/>
      </w:pPr>
      <w:r w:rsidRPr="006C05B5">
        <w:t>Low-Income Residential Programs</w:t>
      </w:r>
    </w:p>
    <w:p w:rsidR="00F366E8" w:rsidRPr="006C05B5" w:rsidRDefault="006E54AF" w:rsidP="00F366E8">
      <w:pPr>
        <w:rPr>
          <w:highlight w:val="lightGray"/>
        </w:rPr>
      </w:pPr>
      <w:r w:rsidRPr="00AC21AF">
        <w:t>For the first time in its evaluation history, Navigant estimated NTG for PECO’s Low-Income Energy Efficiency Program (LEEP). Navigant reported using the common method to estimate NTG, but did not explain if it used any weighting schemes to calculate NTG at the program level. However, the Excel workbook provided revealed that program NTG was calculated using measure savings weights</w:t>
      </w:r>
      <w:r w:rsidR="00F366E8" w:rsidRPr="006C05B5">
        <w:t>.</w:t>
      </w:r>
    </w:p>
    <w:p w:rsidR="00F366E8" w:rsidRPr="006C05B5" w:rsidRDefault="00F366E8" w:rsidP="00F366E8"/>
    <w:p w:rsidR="00F366E8" w:rsidRPr="006C05B5" w:rsidRDefault="008B25EB" w:rsidP="00F366E8">
      <w:r>
        <w:fldChar w:fldCharType="begin"/>
      </w:r>
      <w:r>
        <w:instrText xml:space="preserve"> REF _Ref472453802 \h </w:instrText>
      </w:r>
      <w:r>
        <w:fldChar w:fldCharType="separate"/>
      </w:r>
      <w:r w:rsidR="00037CB4" w:rsidRPr="008B25EB">
        <w:t>Table A-</w:t>
      </w:r>
      <w:r w:rsidR="00037CB4">
        <w:rPr>
          <w:noProof/>
        </w:rPr>
        <w:t>130</w:t>
      </w:r>
      <w:r>
        <w:fldChar w:fldCharType="end"/>
      </w:r>
      <w:r w:rsidR="00F366E8" w:rsidRPr="006C05B5">
        <w:t xml:space="preserve"> summarizes the SWE Team’s review of the low-income NTG activities. The SWE Team found Navigant’s description of the NTG methods to be relatively clear and the application of the SWE common methods to be error-free.</w:t>
      </w:r>
    </w:p>
    <w:p w:rsidR="00F366E8" w:rsidRPr="006C05B5" w:rsidRDefault="00F366E8" w:rsidP="00F366E8">
      <w:pPr>
        <w:rPr>
          <w:highlight w:val="lightGray"/>
        </w:rPr>
      </w:pPr>
    </w:p>
    <w:p w:rsidR="00F366E8" w:rsidRPr="008B25EB" w:rsidRDefault="008B25EB" w:rsidP="004837FA">
      <w:pPr>
        <w:pStyle w:val="Caption"/>
      </w:pPr>
      <w:bookmarkStart w:id="1242" w:name="_Ref472453802"/>
      <w:bookmarkStart w:id="1243" w:name="_Toc472472539"/>
      <w:bookmarkStart w:id="1244" w:name="_Toc488741958"/>
      <w:r w:rsidRPr="008B25EB">
        <w:t>Table A-</w:t>
      </w:r>
      <w:r w:rsidR="007973A4">
        <w:fldChar w:fldCharType="begin"/>
      </w:r>
      <w:r w:rsidR="007973A4">
        <w:instrText xml:space="preserve"> SEQ Table_A- \* ARABIC </w:instrText>
      </w:r>
      <w:r w:rsidR="007973A4">
        <w:fldChar w:fldCharType="separate"/>
      </w:r>
      <w:r w:rsidR="00037CB4">
        <w:rPr>
          <w:noProof/>
        </w:rPr>
        <w:t>130</w:t>
      </w:r>
      <w:r w:rsidR="007973A4">
        <w:rPr>
          <w:noProof/>
        </w:rPr>
        <w:fldChar w:fldCharType="end"/>
      </w:r>
      <w:bookmarkEnd w:id="1242"/>
      <w:r w:rsidRPr="008B25EB">
        <w:t>:</w:t>
      </w:r>
      <w:r w:rsidR="00F366E8" w:rsidRPr="008B25EB">
        <w:t xml:space="preserve"> Summary of NTG Audit of PECO’s</w:t>
      </w:r>
      <w:r w:rsidR="00F366E8" w:rsidRPr="008B25EB" w:rsidDel="00FB4C9C">
        <w:t xml:space="preserve"> </w:t>
      </w:r>
      <w:r w:rsidR="00F366E8" w:rsidRPr="008B25EB">
        <w:t>Low-Income Program</w:t>
      </w:r>
      <w:bookmarkEnd w:id="1243"/>
      <w:bookmarkEnd w:id="1244"/>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92"/>
        <w:gridCol w:w="3078"/>
        <w:gridCol w:w="4590"/>
      </w:tblGrid>
      <w:tr w:rsidR="00E7173E" w:rsidRPr="007F1972" w:rsidTr="005A33A4">
        <w:trPr>
          <w:trHeight w:val="368"/>
          <w:tblHeader/>
          <w:jc w:val="center"/>
        </w:trPr>
        <w:tc>
          <w:tcPr>
            <w:tcW w:w="1692" w:type="dxa"/>
            <w:shd w:val="clear" w:color="auto" w:fill="448A99"/>
            <w:vAlign w:val="bottom"/>
          </w:tcPr>
          <w:p w:rsidR="00F366E8" w:rsidRPr="007F1972" w:rsidRDefault="00F366E8" w:rsidP="005C1352">
            <w:pPr>
              <w:jc w:val="left"/>
              <w:rPr>
                <w:b/>
                <w:color w:val="FFFFFF"/>
                <w:sz w:val="19"/>
                <w:szCs w:val="19"/>
              </w:rPr>
            </w:pPr>
            <w:r w:rsidRPr="007F1972">
              <w:rPr>
                <w:b/>
                <w:color w:val="FFFFFF"/>
                <w:sz w:val="19"/>
                <w:szCs w:val="19"/>
              </w:rPr>
              <w:t>Program</w:t>
            </w:r>
          </w:p>
        </w:tc>
        <w:tc>
          <w:tcPr>
            <w:tcW w:w="3078" w:type="dxa"/>
            <w:shd w:val="clear" w:color="auto" w:fill="448A99"/>
            <w:vAlign w:val="bottom"/>
          </w:tcPr>
          <w:p w:rsidR="00F366E8" w:rsidRPr="007F1972" w:rsidRDefault="00F366E8" w:rsidP="005C1352">
            <w:pPr>
              <w:jc w:val="center"/>
              <w:rPr>
                <w:b/>
                <w:color w:val="FFFFFF"/>
                <w:sz w:val="19"/>
                <w:szCs w:val="19"/>
              </w:rPr>
            </w:pPr>
            <w:r w:rsidRPr="007F1972">
              <w:rPr>
                <w:b/>
                <w:color w:val="FFFFFF"/>
                <w:sz w:val="19"/>
                <w:szCs w:val="19"/>
              </w:rPr>
              <w:t>NTG Method</w:t>
            </w:r>
          </w:p>
        </w:tc>
        <w:tc>
          <w:tcPr>
            <w:tcW w:w="4590" w:type="dxa"/>
            <w:shd w:val="clear" w:color="auto" w:fill="448A99"/>
            <w:vAlign w:val="bottom"/>
          </w:tcPr>
          <w:p w:rsidR="00F366E8" w:rsidRPr="007F1972" w:rsidRDefault="00F366E8" w:rsidP="005C1352">
            <w:pPr>
              <w:jc w:val="center"/>
              <w:rPr>
                <w:b/>
                <w:color w:val="FFFFFF"/>
                <w:sz w:val="19"/>
                <w:szCs w:val="19"/>
              </w:rPr>
            </w:pPr>
            <w:r w:rsidRPr="007F1972">
              <w:rPr>
                <w:b/>
                <w:color w:val="FFFFFF"/>
                <w:sz w:val="19"/>
                <w:szCs w:val="19"/>
              </w:rPr>
              <w:t>Review Comments</w:t>
            </w:r>
          </w:p>
        </w:tc>
      </w:tr>
      <w:tr w:rsidR="00E7173E" w:rsidRPr="007F1972" w:rsidTr="005A33A4">
        <w:trPr>
          <w:jc w:val="center"/>
        </w:trPr>
        <w:tc>
          <w:tcPr>
            <w:tcW w:w="1692" w:type="dxa"/>
            <w:shd w:val="clear" w:color="auto" w:fill="D2EAF1"/>
          </w:tcPr>
          <w:p w:rsidR="00F366E8" w:rsidRPr="007F1972" w:rsidRDefault="00F366E8" w:rsidP="005C1352">
            <w:pPr>
              <w:jc w:val="left"/>
              <w:rPr>
                <w:color w:val="000000"/>
                <w:sz w:val="19"/>
                <w:szCs w:val="19"/>
              </w:rPr>
            </w:pPr>
            <w:r w:rsidRPr="007F1972">
              <w:rPr>
                <w:sz w:val="19"/>
                <w:szCs w:val="19"/>
              </w:rPr>
              <w:t>Low-Income Energy Efficiency Program (LEEP)</w:t>
            </w:r>
          </w:p>
        </w:tc>
        <w:tc>
          <w:tcPr>
            <w:tcW w:w="3078" w:type="dxa"/>
            <w:shd w:val="clear" w:color="auto" w:fill="D2EAF1"/>
          </w:tcPr>
          <w:p w:rsidR="00F366E8" w:rsidRPr="007F1972" w:rsidRDefault="00F366E8" w:rsidP="005C1352">
            <w:pPr>
              <w:jc w:val="left"/>
              <w:rPr>
                <w:sz w:val="19"/>
                <w:szCs w:val="19"/>
              </w:rPr>
            </w:pPr>
            <w:r w:rsidRPr="007F1972">
              <w:rPr>
                <w:sz w:val="19"/>
                <w:szCs w:val="19"/>
              </w:rPr>
              <w:t>The common method was used.</w:t>
            </w:r>
          </w:p>
        </w:tc>
        <w:tc>
          <w:tcPr>
            <w:tcW w:w="4590" w:type="dxa"/>
            <w:shd w:val="clear" w:color="auto" w:fill="D2EAF1"/>
          </w:tcPr>
          <w:p w:rsidR="00F366E8" w:rsidRPr="007F1972" w:rsidRDefault="00F366E8" w:rsidP="005C1352">
            <w:pPr>
              <w:jc w:val="left"/>
              <w:rPr>
                <w:sz w:val="19"/>
                <w:szCs w:val="19"/>
              </w:rPr>
            </w:pPr>
            <w:r w:rsidRPr="007F1972">
              <w:rPr>
                <w:sz w:val="19"/>
                <w:szCs w:val="19"/>
              </w:rPr>
              <w:t xml:space="preserve">Navigant used the common approach for LEEP NTG but </w:t>
            </w:r>
            <w:r w:rsidR="006E54AF" w:rsidRPr="007F1972">
              <w:rPr>
                <w:sz w:val="19"/>
                <w:szCs w:val="19"/>
              </w:rPr>
              <w:t xml:space="preserve">the report </w:t>
            </w:r>
            <w:r w:rsidRPr="007F1972">
              <w:rPr>
                <w:sz w:val="19"/>
                <w:szCs w:val="19"/>
              </w:rPr>
              <w:t>did not explain how it combined strata NTG values into program-level values.</w:t>
            </w:r>
          </w:p>
        </w:tc>
      </w:tr>
    </w:tbl>
    <w:p w:rsidR="00F366E8" w:rsidRPr="006C05B5" w:rsidRDefault="00F366E8" w:rsidP="00F366E8"/>
    <w:p w:rsidR="00F366E8" w:rsidRPr="006C05B5" w:rsidRDefault="008B25EB" w:rsidP="00F366E8">
      <w:r>
        <w:fldChar w:fldCharType="begin"/>
      </w:r>
      <w:r>
        <w:instrText xml:space="preserve"> REF _Ref472453825 \h </w:instrText>
      </w:r>
      <w:r>
        <w:fldChar w:fldCharType="separate"/>
      </w:r>
      <w:r w:rsidR="00037CB4" w:rsidRPr="008B25EB">
        <w:t>Table A-</w:t>
      </w:r>
      <w:r w:rsidR="00037CB4">
        <w:rPr>
          <w:noProof/>
        </w:rPr>
        <w:t>131</w:t>
      </w:r>
      <w:r>
        <w:fldChar w:fldCharType="end"/>
      </w:r>
      <w:r w:rsidR="00F366E8" w:rsidRPr="006C05B5">
        <w:t xml:space="preserve"> shows the NTG</w:t>
      </w:r>
      <w:r w:rsidR="000C3B79">
        <w:t>R</w:t>
      </w:r>
      <w:r w:rsidR="00F366E8" w:rsidRPr="006C05B5">
        <w:t xml:space="preserve"> as reported in the PECO PY7 annual report.</w:t>
      </w:r>
    </w:p>
    <w:p w:rsidR="00F366E8" w:rsidRPr="006C05B5" w:rsidRDefault="00F366E8" w:rsidP="00F366E8">
      <w:pPr>
        <w:rPr>
          <w:highlight w:val="lightGray"/>
        </w:rPr>
      </w:pPr>
    </w:p>
    <w:p w:rsidR="00F366E8" w:rsidRPr="008B25EB" w:rsidRDefault="008B25EB" w:rsidP="004837FA">
      <w:pPr>
        <w:pStyle w:val="Caption"/>
      </w:pPr>
      <w:bookmarkStart w:id="1245" w:name="_Ref472453825"/>
      <w:bookmarkStart w:id="1246" w:name="_Toc472472540"/>
      <w:bookmarkStart w:id="1247" w:name="_Toc488741959"/>
      <w:r w:rsidRPr="008B25EB">
        <w:t>Table A-</w:t>
      </w:r>
      <w:r w:rsidR="007973A4">
        <w:fldChar w:fldCharType="begin"/>
      </w:r>
      <w:r w:rsidR="007973A4">
        <w:instrText xml:space="preserve"> SEQ Table_A- \* ARABIC </w:instrText>
      </w:r>
      <w:r w:rsidR="007973A4">
        <w:fldChar w:fldCharType="separate"/>
      </w:r>
      <w:r w:rsidR="00037CB4">
        <w:rPr>
          <w:noProof/>
        </w:rPr>
        <w:t>131</w:t>
      </w:r>
      <w:r w:rsidR="007973A4">
        <w:rPr>
          <w:noProof/>
        </w:rPr>
        <w:fldChar w:fldCharType="end"/>
      </w:r>
      <w:bookmarkEnd w:id="1245"/>
      <w:r w:rsidRPr="008B25EB">
        <w:t>:</w:t>
      </w:r>
      <w:r w:rsidR="00F366E8" w:rsidRPr="008B25EB">
        <w:t xml:space="preserve"> Summary of NTG Estimates for PECO’s Low-Income Program</w:t>
      </w:r>
      <w:bookmarkEnd w:id="1246"/>
      <w:bookmarkEnd w:id="1247"/>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3"/>
        <w:gridCol w:w="3482"/>
        <w:gridCol w:w="1153"/>
        <w:gridCol w:w="1233"/>
        <w:gridCol w:w="1120"/>
        <w:gridCol w:w="1219"/>
      </w:tblGrid>
      <w:tr w:rsidR="00A874AC" w:rsidRPr="007F1972" w:rsidTr="005C1352">
        <w:trPr>
          <w:jc w:val="center"/>
        </w:trPr>
        <w:tc>
          <w:tcPr>
            <w:tcW w:w="1143" w:type="dxa"/>
            <w:tcBorders>
              <w:bottom w:val="single" w:sz="4" w:space="0" w:color="448A99"/>
            </w:tcBorders>
            <w:shd w:val="clear" w:color="auto" w:fill="448A99"/>
            <w:vAlign w:val="bottom"/>
          </w:tcPr>
          <w:p w:rsidR="00F366E8" w:rsidRPr="007F1972" w:rsidRDefault="00F366E8" w:rsidP="005C1352">
            <w:pPr>
              <w:keepNext/>
              <w:keepLines/>
              <w:jc w:val="left"/>
              <w:rPr>
                <w:b/>
                <w:color w:val="FFFFFF"/>
                <w:sz w:val="19"/>
                <w:szCs w:val="19"/>
              </w:rPr>
            </w:pPr>
            <w:r w:rsidRPr="007F1972">
              <w:rPr>
                <w:b/>
                <w:color w:val="FFFFFF"/>
                <w:sz w:val="19"/>
                <w:szCs w:val="19"/>
              </w:rPr>
              <w:t>Approach</w:t>
            </w:r>
          </w:p>
        </w:tc>
        <w:tc>
          <w:tcPr>
            <w:tcW w:w="3482" w:type="dxa"/>
            <w:tcBorders>
              <w:bottom w:val="single" w:sz="4" w:space="0" w:color="448A99"/>
            </w:tcBorders>
            <w:shd w:val="clear" w:color="auto" w:fill="448A99"/>
            <w:vAlign w:val="bottom"/>
          </w:tcPr>
          <w:p w:rsidR="00F366E8" w:rsidRPr="007F1972" w:rsidRDefault="00F366E8" w:rsidP="005C1352">
            <w:pPr>
              <w:keepNext/>
              <w:keepLines/>
              <w:jc w:val="center"/>
              <w:rPr>
                <w:b/>
                <w:color w:val="FFFFFF"/>
                <w:sz w:val="19"/>
                <w:szCs w:val="19"/>
              </w:rPr>
            </w:pPr>
            <w:r w:rsidRPr="007F1972">
              <w:rPr>
                <w:b/>
                <w:color w:val="FFFFFF"/>
                <w:sz w:val="19"/>
                <w:szCs w:val="19"/>
              </w:rPr>
              <w:t>Program</w:t>
            </w:r>
          </w:p>
        </w:tc>
        <w:tc>
          <w:tcPr>
            <w:tcW w:w="1153" w:type="dxa"/>
            <w:tcBorders>
              <w:bottom w:val="single" w:sz="4" w:space="0" w:color="448A99"/>
            </w:tcBorders>
            <w:shd w:val="clear" w:color="auto" w:fill="448A99"/>
            <w:vAlign w:val="bottom"/>
          </w:tcPr>
          <w:p w:rsidR="00F366E8" w:rsidRPr="007F1972" w:rsidRDefault="00F366E8" w:rsidP="005C1352">
            <w:pPr>
              <w:keepNext/>
              <w:keepLines/>
              <w:jc w:val="center"/>
              <w:rPr>
                <w:b/>
                <w:color w:val="FFFFFF"/>
                <w:sz w:val="19"/>
                <w:szCs w:val="19"/>
              </w:rPr>
            </w:pPr>
            <w:r w:rsidRPr="007F1972">
              <w:rPr>
                <w:b/>
                <w:color w:val="FFFFFF"/>
                <w:sz w:val="19"/>
                <w:szCs w:val="19"/>
              </w:rPr>
              <w:t>Free-ridership</w:t>
            </w:r>
          </w:p>
        </w:tc>
        <w:tc>
          <w:tcPr>
            <w:tcW w:w="1233" w:type="dxa"/>
            <w:tcBorders>
              <w:bottom w:val="single" w:sz="4" w:space="0" w:color="448A99"/>
            </w:tcBorders>
            <w:shd w:val="clear" w:color="auto" w:fill="448A99"/>
            <w:vAlign w:val="bottom"/>
          </w:tcPr>
          <w:p w:rsidR="00F366E8" w:rsidRPr="007F1972" w:rsidRDefault="00F366E8" w:rsidP="005C1352">
            <w:pPr>
              <w:keepNext/>
              <w:keepLines/>
              <w:jc w:val="center"/>
              <w:rPr>
                <w:b/>
                <w:color w:val="FFFFFF"/>
                <w:sz w:val="19"/>
                <w:szCs w:val="19"/>
              </w:rPr>
            </w:pPr>
            <w:r w:rsidRPr="007F1972">
              <w:rPr>
                <w:b/>
                <w:color w:val="FFFFFF"/>
                <w:sz w:val="19"/>
                <w:szCs w:val="19"/>
              </w:rPr>
              <w:t>Spillover</w:t>
            </w:r>
          </w:p>
        </w:tc>
        <w:tc>
          <w:tcPr>
            <w:tcW w:w="1120" w:type="dxa"/>
            <w:tcBorders>
              <w:bottom w:val="single" w:sz="4" w:space="0" w:color="448A99"/>
            </w:tcBorders>
            <w:shd w:val="clear" w:color="auto" w:fill="448A99"/>
            <w:vAlign w:val="bottom"/>
          </w:tcPr>
          <w:p w:rsidR="00F366E8" w:rsidRPr="007F1972" w:rsidRDefault="00F366E8" w:rsidP="005C1352">
            <w:pPr>
              <w:keepNext/>
              <w:keepLines/>
              <w:jc w:val="center"/>
              <w:rPr>
                <w:b/>
                <w:color w:val="FFFFFF"/>
                <w:sz w:val="19"/>
                <w:szCs w:val="19"/>
              </w:rPr>
            </w:pPr>
            <w:r w:rsidRPr="007F1972">
              <w:rPr>
                <w:b/>
                <w:color w:val="FFFFFF"/>
                <w:sz w:val="19"/>
                <w:szCs w:val="19"/>
              </w:rPr>
              <w:t>NTGR</w:t>
            </w:r>
          </w:p>
        </w:tc>
        <w:tc>
          <w:tcPr>
            <w:tcW w:w="1219" w:type="dxa"/>
            <w:tcBorders>
              <w:bottom w:val="single" w:sz="4" w:space="0" w:color="448A99"/>
            </w:tcBorders>
            <w:shd w:val="clear" w:color="auto" w:fill="448A99"/>
            <w:vAlign w:val="bottom"/>
          </w:tcPr>
          <w:p w:rsidR="00F366E8" w:rsidRPr="007F1972" w:rsidRDefault="00F366E8" w:rsidP="005C1352">
            <w:pPr>
              <w:keepNext/>
              <w:keepLines/>
              <w:jc w:val="center"/>
              <w:rPr>
                <w:b/>
                <w:color w:val="FFFFFF"/>
                <w:sz w:val="19"/>
                <w:szCs w:val="19"/>
              </w:rPr>
            </w:pPr>
            <w:r w:rsidRPr="007F1972">
              <w:rPr>
                <w:b/>
                <w:color w:val="FFFFFF"/>
                <w:sz w:val="19"/>
                <w:szCs w:val="19"/>
              </w:rPr>
              <w:t>Sample Size</w:t>
            </w:r>
          </w:p>
        </w:tc>
      </w:tr>
      <w:tr w:rsidR="00A874AC" w:rsidRPr="007F1972" w:rsidTr="005C1352">
        <w:trPr>
          <w:jc w:val="center"/>
        </w:trPr>
        <w:tc>
          <w:tcPr>
            <w:tcW w:w="1143" w:type="dxa"/>
            <w:tcBorders>
              <w:bottom w:val="single" w:sz="4" w:space="0" w:color="448A99"/>
            </w:tcBorders>
            <w:shd w:val="clear" w:color="auto" w:fill="D2EAF1"/>
          </w:tcPr>
          <w:p w:rsidR="00F366E8" w:rsidRPr="007F1972" w:rsidRDefault="00F366E8" w:rsidP="005C1352">
            <w:pPr>
              <w:jc w:val="left"/>
              <w:rPr>
                <w:sz w:val="19"/>
                <w:szCs w:val="19"/>
              </w:rPr>
            </w:pPr>
            <w:r w:rsidRPr="007F1972">
              <w:rPr>
                <w:sz w:val="19"/>
                <w:szCs w:val="19"/>
              </w:rPr>
              <w:t>Estimated</w:t>
            </w:r>
          </w:p>
        </w:tc>
        <w:tc>
          <w:tcPr>
            <w:tcW w:w="3482" w:type="dxa"/>
            <w:tcBorders>
              <w:bottom w:val="single" w:sz="4" w:space="0" w:color="448A99"/>
            </w:tcBorders>
            <w:shd w:val="clear" w:color="auto" w:fill="D2EAF1"/>
            <w:vAlign w:val="center"/>
          </w:tcPr>
          <w:p w:rsidR="00F366E8" w:rsidRPr="007F1972" w:rsidRDefault="00F366E8" w:rsidP="005C1352">
            <w:pPr>
              <w:jc w:val="left"/>
              <w:rPr>
                <w:color w:val="000000"/>
                <w:sz w:val="19"/>
                <w:szCs w:val="19"/>
              </w:rPr>
            </w:pPr>
            <w:r w:rsidRPr="007F1972">
              <w:rPr>
                <w:color w:val="000000"/>
                <w:sz w:val="19"/>
                <w:szCs w:val="19"/>
              </w:rPr>
              <w:t>Low-Income Energy Efficiency Program (LEEP)</w:t>
            </w:r>
          </w:p>
        </w:tc>
        <w:tc>
          <w:tcPr>
            <w:tcW w:w="1153" w:type="dxa"/>
            <w:tcBorders>
              <w:bottom w:val="single" w:sz="4" w:space="0" w:color="448A99"/>
            </w:tcBorders>
            <w:shd w:val="clear" w:color="auto" w:fill="D2EAF1"/>
          </w:tcPr>
          <w:p w:rsidR="00F366E8" w:rsidRPr="007F1972" w:rsidRDefault="00F366E8" w:rsidP="005C1352">
            <w:pPr>
              <w:jc w:val="center"/>
              <w:rPr>
                <w:sz w:val="19"/>
                <w:szCs w:val="19"/>
              </w:rPr>
            </w:pPr>
            <w:r w:rsidRPr="007F1972">
              <w:rPr>
                <w:sz w:val="19"/>
                <w:szCs w:val="19"/>
              </w:rPr>
              <w:t>0.19</w:t>
            </w:r>
          </w:p>
        </w:tc>
        <w:tc>
          <w:tcPr>
            <w:tcW w:w="1233" w:type="dxa"/>
            <w:tcBorders>
              <w:bottom w:val="single" w:sz="4" w:space="0" w:color="448A99"/>
            </w:tcBorders>
            <w:shd w:val="clear" w:color="auto" w:fill="D2EAF1"/>
          </w:tcPr>
          <w:p w:rsidR="00F366E8" w:rsidRPr="007F1972" w:rsidRDefault="00F366E8" w:rsidP="005C1352">
            <w:pPr>
              <w:jc w:val="center"/>
              <w:rPr>
                <w:sz w:val="19"/>
                <w:szCs w:val="19"/>
              </w:rPr>
            </w:pPr>
            <w:r w:rsidRPr="007F1972">
              <w:rPr>
                <w:sz w:val="19"/>
                <w:szCs w:val="19"/>
              </w:rPr>
              <w:t>0.00</w:t>
            </w:r>
          </w:p>
        </w:tc>
        <w:tc>
          <w:tcPr>
            <w:tcW w:w="1120" w:type="dxa"/>
            <w:tcBorders>
              <w:bottom w:val="single" w:sz="4" w:space="0" w:color="448A99"/>
            </w:tcBorders>
            <w:shd w:val="clear" w:color="auto" w:fill="D2EAF1"/>
          </w:tcPr>
          <w:p w:rsidR="00F366E8" w:rsidRPr="007F1972" w:rsidRDefault="00F366E8" w:rsidP="005C1352">
            <w:pPr>
              <w:jc w:val="center"/>
              <w:rPr>
                <w:sz w:val="19"/>
                <w:szCs w:val="19"/>
              </w:rPr>
            </w:pPr>
            <w:r w:rsidRPr="007F1972">
              <w:rPr>
                <w:sz w:val="19"/>
                <w:szCs w:val="19"/>
              </w:rPr>
              <w:t>0.81</w:t>
            </w:r>
          </w:p>
        </w:tc>
        <w:tc>
          <w:tcPr>
            <w:tcW w:w="1219" w:type="dxa"/>
            <w:tcBorders>
              <w:bottom w:val="single" w:sz="4" w:space="0" w:color="448A99"/>
            </w:tcBorders>
            <w:shd w:val="clear" w:color="auto" w:fill="D2EAF1"/>
          </w:tcPr>
          <w:p w:rsidR="00F366E8" w:rsidRPr="007F1972" w:rsidRDefault="00F366E8" w:rsidP="005C1352">
            <w:pPr>
              <w:jc w:val="center"/>
              <w:rPr>
                <w:sz w:val="19"/>
                <w:szCs w:val="19"/>
              </w:rPr>
            </w:pPr>
            <w:r w:rsidRPr="007F1972">
              <w:rPr>
                <w:sz w:val="19"/>
                <w:szCs w:val="19"/>
              </w:rPr>
              <w:t>90</w:t>
            </w:r>
          </w:p>
        </w:tc>
      </w:tr>
    </w:tbl>
    <w:p w:rsidR="00F366E8" w:rsidRPr="006C05B5" w:rsidRDefault="00F366E8" w:rsidP="00F366E8"/>
    <w:p w:rsidR="00F366E8" w:rsidRPr="006C05B5" w:rsidRDefault="00F366E8" w:rsidP="0055598C">
      <w:pPr>
        <w:pStyle w:val="AppendixAHeading4"/>
      </w:pPr>
      <w:r w:rsidRPr="006C05B5">
        <w:t>Non-Residential Programs</w:t>
      </w:r>
    </w:p>
    <w:p w:rsidR="00F366E8" w:rsidRPr="006C05B5" w:rsidRDefault="00F366E8" w:rsidP="00F366E8">
      <w:r w:rsidRPr="006C05B5">
        <w:t xml:space="preserve">Navigant estimated an NTGR for </w:t>
      </w:r>
      <w:r w:rsidRPr="005A33A4">
        <w:rPr>
          <w:sz w:val="20"/>
        </w:rPr>
        <w:t>Smart Equipment Incentives (</w:t>
      </w:r>
      <w:r w:rsidRPr="006C05B5">
        <w:t xml:space="preserve">SEI), </w:t>
      </w:r>
      <w:r w:rsidRPr="005A33A4">
        <w:rPr>
          <w:sz w:val="20"/>
        </w:rPr>
        <w:t>Smart On-Site (</w:t>
      </w:r>
      <w:r w:rsidRPr="006C05B5">
        <w:t>SOS), and the commercial component of the SMF Solutions Program and assumed NTGR to be 1.0 for the commercial SACS. For the remaining programs</w:t>
      </w:r>
      <w:r w:rsidR="005A33A4">
        <w:t xml:space="preserve"> </w:t>
      </w:r>
      <w:r w:rsidRPr="005A33A4">
        <w:t>Smart Business Solutions (SBS) and Smart Construction Incentives (SCI)</w:t>
      </w:r>
      <w:r w:rsidR="005A33A4">
        <w:t>,</w:t>
      </w:r>
      <w:r w:rsidR="005A33A4" w:rsidRPr="006C05B5">
        <w:t xml:space="preserve"> </w:t>
      </w:r>
      <w:r w:rsidRPr="006C05B5">
        <w:t xml:space="preserve">Navigant did not estimate NTG impacts in PY7, and instead applied the respective values from either PY5 or PY6. </w:t>
      </w:r>
    </w:p>
    <w:p w:rsidR="007C0930" w:rsidRPr="007C0930" w:rsidRDefault="007C0930" w:rsidP="00F366E8"/>
    <w:p w:rsidR="00F366E8" w:rsidRPr="006C05B5" w:rsidRDefault="00F366E8" w:rsidP="00F366E8">
      <w:r w:rsidRPr="006C05B5">
        <w:t>The SWE Team found Navigant’s description of the NTG methods to be detailed and clear, except for how it combined strata NTG results into program-level estimates. Assessment of Navigant’s NTG Excel files confirmed that Navigant used the SWE Team’s common approach for the SMF Solutions NTGR estimation.</w:t>
      </w:r>
    </w:p>
    <w:p w:rsidR="00F366E8" w:rsidRPr="006C05B5" w:rsidRDefault="00F366E8" w:rsidP="00F366E8"/>
    <w:p w:rsidR="00F366E8" w:rsidRPr="006C05B5" w:rsidRDefault="00F366E8" w:rsidP="00F366E8">
      <w:pPr>
        <w:rPr>
          <w:highlight w:val="lightGray"/>
        </w:rPr>
      </w:pPr>
      <w:r w:rsidRPr="006C05B5">
        <w:t>Navigant provided the SWE Team with all of its NTG calculations, together with the raw survey data, in Excel workbooks and additional information on spillover calculations, when requested. In reviewing these Excel workbooks and additional information, the SWE Team found that all NTG Excel calculations were correct and followed the SWE Team’s common method. However, the workbooks provided did not include the calculations that combined strata estimates into program-level estimates.</w:t>
      </w:r>
    </w:p>
    <w:p w:rsidR="00F366E8" w:rsidRPr="006C05B5" w:rsidRDefault="00F366E8" w:rsidP="00F366E8">
      <w:pPr>
        <w:rPr>
          <w:highlight w:val="lightGray"/>
        </w:rPr>
      </w:pPr>
    </w:p>
    <w:p w:rsidR="00F366E8" w:rsidRPr="006C05B5" w:rsidRDefault="008B25EB" w:rsidP="00F366E8">
      <w:r w:rsidRPr="001C055E">
        <w:fldChar w:fldCharType="begin"/>
      </w:r>
      <w:r w:rsidRPr="007C0930">
        <w:instrText xml:space="preserve"> REF _Ref472453858 \h </w:instrText>
      </w:r>
      <w:r w:rsidR="007C0930">
        <w:instrText xml:space="preserve"> \* MERGEFORMAT </w:instrText>
      </w:r>
      <w:r w:rsidRPr="001C055E">
        <w:fldChar w:fldCharType="separate"/>
      </w:r>
      <w:r w:rsidR="00037CB4" w:rsidRPr="008B25EB">
        <w:t>Table A-</w:t>
      </w:r>
      <w:r w:rsidR="00037CB4">
        <w:t>132</w:t>
      </w:r>
      <w:r w:rsidRPr="001C055E">
        <w:fldChar w:fldCharType="end"/>
      </w:r>
      <w:r w:rsidR="00F366E8" w:rsidRPr="006C05B5">
        <w:t xml:space="preserve"> summarizes the SWE Team’s review of the NTG methodology by program. The SWE Team found the application of the SWE common methods to be generally error-free.  </w:t>
      </w:r>
    </w:p>
    <w:p w:rsidR="00F366E8" w:rsidRPr="008B25EB" w:rsidRDefault="008B25EB" w:rsidP="004837FA">
      <w:pPr>
        <w:pStyle w:val="Caption"/>
      </w:pPr>
      <w:bookmarkStart w:id="1248" w:name="_Ref472453858"/>
      <w:bookmarkStart w:id="1249" w:name="_Toc409443574"/>
      <w:bookmarkStart w:id="1250" w:name="_Toc409225022"/>
      <w:bookmarkStart w:id="1251" w:name="_Toc444269794"/>
      <w:bookmarkStart w:id="1252" w:name="_Toc472472541"/>
      <w:bookmarkStart w:id="1253" w:name="_Toc488741960"/>
      <w:r w:rsidRPr="008B25EB">
        <w:t>Table A-</w:t>
      </w:r>
      <w:r w:rsidR="007973A4">
        <w:fldChar w:fldCharType="begin"/>
      </w:r>
      <w:r w:rsidR="007973A4">
        <w:instrText xml:space="preserve"> SEQ Table_A- \* ARABIC </w:instrText>
      </w:r>
      <w:r w:rsidR="007973A4">
        <w:fldChar w:fldCharType="separate"/>
      </w:r>
      <w:r w:rsidR="00037CB4">
        <w:rPr>
          <w:noProof/>
        </w:rPr>
        <w:t>132</w:t>
      </w:r>
      <w:r w:rsidR="007973A4">
        <w:rPr>
          <w:noProof/>
        </w:rPr>
        <w:fldChar w:fldCharType="end"/>
      </w:r>
      <w:bookmarkEnd w:id="1248"/>
      <w:r w:rsidRPr="008B25EB">
        <w:t>:</w:t>
      </w:r>
      <w:r w:rsidR="00F366E8" w:rsidRPr="008B25EB">
        <w:t xml:space="preserve"> Summary of NTG Audit of </w:t>
      </w:r>
      <w:bookmarkEnd w:id="1249"/>
      <w:r w:rsidR="00F366E8" w:rsidRPr="008B25EB">
        <w:t>PECO’s Non-Residential Programs</w:t>
      </w:r>
      <w:bookmarkEnd w:id="1250"/>
      <w:bookmarkEnd w:id="1251"/>
      <w:bookmarkEnd w:id="1252"/>
      <w:bookmarkEnd w:id="1253"/>
      <w:r w:rsidR="00F366E8" w:rsidRPr="008B25EB">
        <w:t xml:space="preserve"> </w:t>
      </w:r>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705"/>
        <w:gridCol w:w="1890"/>
        <w:gridCol w:w="5760"/>
      </w:tblGrid>
      <w:tr w:rsidR="00A874AC" w:rsidRPr="007F1972" w:rsidTr="008111EC">
        <w:trPr>
          <w:cantSplit/>
          <w:tblHeader/>
        </w:trPr>
        <w:tc>
          <w:tcPr>
            <w:tcW w:w="1705" w:type="dxa"/>
            <w:shd w:val="clear" w:color="auto" w:fill="448A99"/>
            <w:vAlign w:val="bottom"/>
          </w:tcPr>
          <w:p w:rsidR="00F366E8" w:rsidRPr="007F1972" w:rsidRDefault="00F366E8" w:rsidP="005C1352">
            <w:pPr>
              <w:rPr>
                <w:b/>
                <w:color w:val="FFFFFF"/>
                <w:sz w:val="19"/>
                <w:szCs w:val="19"/>
              </w:rPr>
            </w:pPr>
            <w:r w:rsidRPr="007F1972">
              <w:rPr>
                <w:b/>
                <w:color w:val="FFFFFF"/>
                <w:sz w:val="19"/>
                <w:szCs w:val="19"/>
              </w:rPr>
              <w:t>Program</w:t>
            </w:r>
          </w:p>
        </w:tc>
        <w:tc>
          <w:tcPr>
            <w:tcW w:w="1890" w:type="dxa"/>
            <w:shd w:val="clear" w:color="auto" w:fill="448A99"/>
            <w:vAlign w:val="bottom"/>
          </w:tcPr>
          <w:p w:rsidR="00F366E8" w:rsidRPr="007F1972" w:rsidRDefault="00F366E8" w:rsidP="005C1352">
            <w:pPr>
              <w:jc w:val="center"/>
              <w:rPr>
                <w:b/>
                <w:color w:val="FFFFFF"/>
                <w:sz w:val="19"/>
                <w:szCs w:val="19"/>
              </w:rPr>
            </w:pPr>
            <w:r w:rsidRPr="007F1972">
              <w:rPr>
                <w:b/>
                <w:color w:val="FFFFFF"/>
                <w:sz w:val="19"/>
                <w:szCs w:val="19"/>
              </w:rPr>
              <w:t>NTG Method</w:t>
            </w:r>
          </w:p>
        </w:tc>
        <w:tc>
          <w:tcPr>
            <w:tcW w:w="5760" w:type="dxa"/>
            <w:shd w:val="clear" w:color="auto" w:fill="448A99"/>
            <w:vAlign w:val="bottom"/>
          </w:tcPr>
          <w:p w:rsidR="00F366E8" w:rsidRPr="007F1972" w:rsidRDefault="00F366E8" w:rsidP="005C1352">
            <w:pPr>
              <w:jc w:val="center"/>
              <w:rPr>
                <w:b/>
                <w:color w:val="FFFFFF"/>
                <w:sz w:val="19"/>
                <w:szCs w:val="19"/>
              </w:rPr>
            </w:pPr>
            <w:r w:rsidRPr="007F1972">
              <w:rPr>
                <w:b/>
                <w:color w:val="FFFFFF"/>
                <w:sz w:val="19"/>
                <w:szCs w:val="19"/>
              </w:rPr>
              <w:t>Review Comments</w:t>
            </w:r>
          </w:p>
        </w:tc>
      </w:tr>
      <w:tr w:rsidR="00E7173E" w:rsidRPr="007F1972" w:rsidTr="005A33A4">
        <w:trPr>
          <w:trHeight w:val="864"/>
        </w:trPr>
        <w:tc>
          <w:tcPr>
            <w:tcW w:w="1705" w:type="dxa"/>
            <w:shd w:val="clear" w:color="auto" w:fill="D2EAF1"/>
          </w:tcPr>
          <w:p w:rsidR="00F366E8" w:rsidRPr="007F1972" w:rsidRDefault="00F366E8" w:rsidP="005C1352">
            <w:pPr>
              <w:jc w:val="left"/>
              <w:rPr>
                <w:color w:val="548DD4"/>
                <w:sz w:val="19"/>
                <w:szCs w:val="19"/>
              </w:rPr>
            </w:pPr>
            <w:r w:rsidRPr="007F1972">
              <w:rPr>
                <w:sz w:val="19"/>
                <w:szCs w:val="19"/>
              </w:rPr>
              <w:t>Smart Equipment Incentives (SEI) – C/I and GNI</w:t>
            </w:r>
          </w:p>
        </w:tc>
        <w:tc>
          <w:tcPr>
            <w:tcW w:w="1890" w:type="dxa"/>
            <w:shd w:val="clear" w:color="auto" w:fill="D2EAF1"/>
          </w:tcPr>
          <w:p w:rsidR="00F366E8" w:rsidRPr="007F1972" w:rsidRDefault="00F366E8" w:rsidP="005C1352">
            <w:pPr>
              <w:jc w:val="left"/>
              <w:rPr>
                <w:color w:val="548DD4"/>
                <w:sz w:val="19"/>
                <w:szCs w:val="19"/>
              </w:rPr>
            </w:pPr>
            <w:r w:rsidRPr="007F1972">
              <w:rPr>
                <w:sz w:val="19"/>
                <w:szCs w:val="19"/>
              </w:rPr>
              <w:t>The common method was used.</w:t>
            </w:r>
          </w:p>
        </w:tc>
        <w:tc>
          <w:tcPr>
            <w:tcW w:w="5760" w:type="dxa"/>
            <w:shd w:val="clear" w:color="auto" w:fill="D2EAF1"/>
          </w:tcPr>
          <w:p w:rsidR="00F366E8" w:rsidRPr="007F1972" w:rsidRDefault="00F366E8" w:rsidP="005C1352">
            <w:pPr>
              <w:jc w:val="left"/>
              <w:rPr>
                <w:color w:val="548DD4"/>
                <w:sz w:val="19"/>
                <w:szCs w:val="19"/>
              </w:rPr>
            </w:pPr>
            <w:r w:rsidRPr="007F1972">
              <w:rPr>
                <w:sz w:val="19"/>
                <w:szCs w:val="19"/>
              </w:rPr>
              <w:t>Navigant used the common approach. The workbook contained FR and SO values and calculations. Calculations followed the SWE common method.</w:t>
            </w:r>
          </w:p>
        </w:tc>
      </w:tr>
      <w:tr w:rsidR="00E7173E" w:rsidRPr="007F1972" w:rsidTr="005A33A4">
        <w:trPr>
          <w:trHeight w:val="864"/>
        </w:trPr>
        <w:tc>
          <w:tcPr>
            <w:tcW w:w="1705" w:type="dxa"/>
            <w:shd w:val="clear" w:color="auto" w:fill="auto"/>
          </w:tcPr>
          <w:p w:rsidR="00F366E8" w:rsidRPr="007F1972" w:rsidRDefault="00F366E8" w:rsidP="005C1352">
            <w:pPr>
              <w:jc w:val="left"/>
              <w:rPr>
                <w:sz w:val="19"/>
                <w:szCs w:val="19"/>
              </w:rPr>
            </w:pPr>
            <w:r w:rsidRPr="007F1972">
              <w:rPr>
                <w:sz w:val="19"/>
                <w:szCs w:val="19"/>
              </w:rPr>
              <w:t>Smart Construction Incentives (SCI)</w:t>
            </w:r>
          </w:p>
        </w:tc>
        <w:tc>
          <w:tcPr>
            <w:tcW w:w="1890" w:type="dxa"/>
            <w:shd w:val="clear" w:color="auto" w:fill="auto"/>
          </w:tcPr>
          <w:p w:rsidR="00F366E8" w:rsidRPr="007F1972" w:rsidRDefault="00F366E8" w:rsidP="005C1352">
            <w:pPr>
              <w:jc w:val="left"/>
              <w:rPr>
                <w:sz w:val="19"/>
                <w:szCs w:val="19"/>
              </w:rPr>
            </w:pPr>
            <w:r w:rsidRPr="007F1972">
              <w:rPr>
                <w:sz w:val="19"/>
                <w:szCs w:val="19"/>
              </w:rPr>
              <w:t>Not calculated; Navigant used PY6 values.</w:t>
            </w:r>
          </w:p>
        </w:tc>
        <w:tc>
          <w:tcPr>
            <w:tcW w:w="5760" w:type="dxa"/>
            <w:shd w:val="clear" w:color="auto" w:fill="auto"/>
          </w:tcPr>
          <w:p w:rsidR="00F366E8" w:rsidRPr="007F1972" w:rsidRDefault="00F366E8" w:rsidP="005C1352">
            <w:pPr>
              <w:jc w:val="left"/>
              <w:rPr>
                <w:sz w:val="19"/>
                <w:szCs w:val="19"/>
              </w:rPr>
            </w:pPr>
            <w:r w:rsidRPr="007F1972">
              <w:rPr>
                <w:sz w:val="19"/>
                <w:szCs w:val="19"/>
              </w:rPr>
              <w:t>Because there were no significant changes to program delivery or the target market, Navigant used the PY6 NTGR for the PY7 NTGR.</w:t>
            </w:r>
          </w:p>
        </w:tc>
      </w:tr>
      <w:tr w:rsidR="00E7173E" w:rsidRPr="007F1972" w:rsidTr="005A33A4">
        <w:trPr>
          <w:trHeight w:val="864"/>
        </w:trPr>
        <w:tc>
          <w:tcPr>
            <w:tcW w:w="1705" w:type="dxa"/>
            <w:shd w:val="clear" w:color="auto" w:fill="D2EAF1"/>
          </w:tcPr>
          <w:p w:rsidR="00F366E8" w:rsidRPr="007F1972" w:rsidRDefault="00F366E8" w:rsidP="005C1352">
            <w:pPr>
              <w:jc w:val="left"/>
              <w:rPr>
                <w:sz w:val="19"/>
                <w:szCs w:val="19"/>
              </w:rPr>
            </w:pPr>
            <w:r w:rsidRPr="007F1972">
              <w:rPr>
                <w:sz w:val="19"/>
                <w:szCs w:val="19"/>
              </w:rPr>
              <w:t>Smart On-Site (SOS)</w:t>
            </w:r>
          </w:p>
        </w:tc>
        <w:tc>
          <w:tcPr>
            <w:tcW w:w="1890" w:type="dxa"/>
            <w:shd w:val="clear" w:color="auto" w:fill="D2EAF1"/>
          </w:tcPr>
          <w:p w:rsidR="00F366E8" w:rsidRPr="007F1972" w:rsidRDefault="00F366E8" w:rsidP="005C1352">
            <w:pPr>
              <w:jc w:val="left"/>
              <w:rPr>
                <w:sz w:val="19"/>
                <w:szCs w:val="19"/>
              </w:rPr>
            </w:pPr>
            <w:r w:rsidRPr="007F1972">
              <w:rPr>
                <w:sz w:val="19"/>
                <w:szCs w:val="19"/>
              </w:rPr>
              <w:t>The common method was used.</w:t>
            </w:r>
          </w:p>
        </w:tc>
        <w:tc>
          <w:tcPr>
            <w:tcW w:w="5760" w:type="dxa"/>
            <w:shd w:val="clear" w:color="auto" w:fill="D2EAF1"/>
          </w:tcPr>
          <w:p w:rsidR="00F366E8" w:rsidRPr="007F1972" w:rsidRDefault="00F366E8" w:rsidP="005C1352">
            <w:pPr>
              <w:jc w:val="left"/>
              <w:rPr>
                <w:sz w:val="19"/>
                <w:szCs w:val="19"/>
              </w:rPr>
            </w:pPr>
            <w:r w:rsidRPr="007F1972">
              <w:rPr>
                <w:sz w:val="19"/>
                <w:szCs w:val="19"/>
              </w:rPr>
              <w:t>Navigant used the common approach.</w:t>
            </w:r>
          </w:p>
        </w:tc>
      </w:tr>
      <w:tr w:rsidR="00E7173E" w:rsidRPr="007F1972" w:rsidTr="005A33A4">
        <w:tc>
          <w:tcPr>
            <w:tcW w:w="1705" w:type="dxa"/>
            <w:shd w:val="clear" w:color="auto" w:fill="auto"/>
          </w:tcPr>
          <w:p w:rsidR="00F366E8" w:rsidRPr="007F1972" w:rsidRDefault="00F366E8" w:rsidP="005C1352">
            <w:pPr>
              <w:jc w:val="left"/>
              <w:rPr>
                <w:sz w:val="19"/>
                <w:szCs w:val="19"/>
              </w:rPr>
            </w:pPr>
            <w:r w:rsidRPr="007F1972">
              <w:rPr>
                <w:sz w:val="19"/>
                <w:szCs w:val="19"/>
              </w:rPr>
              <w:t>Smart A/C Saver (SACS) – Commercial</w:t>
            </w:r>
          </w:p>
        </w:tc>
        <w:tc>
          <w:tcPr>
            <w:tcW w:w="1890" w:type="dxa"/>
            <w:shd w:val="clear" w:color="auto" w:fill="auto"/>
          </w:tcPr>
          <w:p w:rsidR="00F366E8" w:rsidRPr="007F1972" w:rsidRDefault="00F366E8" w:rsidP="005C1352">
            <w:pPr>
              <w:jc w:val="left"/>
              <w:rPr>
                <w:sz w:val="19"/>
                <w:szCs w:val="19"/>
              </w:rPr>
            </w:pPr>
            <w:r w:rsidRPr="007F1972">
              <w:rPr>
                <w:sz w:val="19"/>
                <w:szCs w:val="19"/>
              </w:rPr>
              <w:t xml:space="preserve">NTGR assumed to be 1.0 </w:t>
            </w:r>
          </w:p>
        </w:tc>
        <w:tc>
          <w:tcPr>
            <w:tcW w:w="5760" w:type="dxa"/>
            <w:shd w:val="clear" w:color="auto" w:fill="auto"/>
          </w:tcPr>
          <w:p w:rsidR="00F366E8" w:rsidRPr="007F1972" w:rsidRDefault="00F366E8" w:rsidP="005C1352">
            <w:pPr>
              <w:jc w:val="left"/>
              <w:rPr>
                <w:sz w:val="19"/>
                <w:szCs w:val="19"/>
              </w:rPr>
            </w:pPr>
            <w:r w:rsidRPr="007F1972">
              <w:rPr>
                <w:sz w:val="19"/>
                <w:szCs w:val="19"/>
              </w:rPr>
              <w:t>Navigant did not conduct NTG research to determine FR. Navigant assumed that none of the program participants would have curtailed load at the times PECO dispatched the program without the incentives the conservation service provider paid them for their load curtailment. This reasonable assumption also was stated in the evaluation plan.</w:t>
            </w:r>
          </w:p>
        </w:tc>
      </w:tr>
      <w:tr w:rsidR="00E7173E" w:rsidRPr="007F1972" w:rsidTr="005A33A4">
        <w:trPr>
          <w:trHeight w:val="864"/>
        </w:trPr>
        <w:tc>
          <w:tcPr>
            <w:tcW w:w="1705" w:type="dxa"/>
            <w:shd w:val="clear" w:color="auto" w:fill="D2EAF1"/>
          </w:tcPr>
          <w:p w:rsidR="00F366E8" w:rsidRPr="007F1972" w:rsidRDefault="00F366E8" w:rsidP="005C1352">
            <w:pPr>
              <w:jc w:val="left"/>
              <w:rPr>
                <w:sz w:val="19"/>
                <w:szCs w:val="19"/>
              </w:rPr>
            </w:pPr>
            <w:r w:rsidRPr="007F1972">
              <w:rPr>
                <w:sz w:val="19"/>
                <w:szCs w:val="19"/>
              </w:rPr>
              <w:t>Smart Multi-Family (SMF) Solutions Program</w:t>
            </w:r>
          </w:p>
        </w:tc>
        <w:tc>
          <w:tcPr>
            <w:tcW w:w="1890" w:type="dxa"/>
            <w:shd w:val="clear" w:color="auto" w:fill="D2EAF1"/>
          </w:tcPr>
          <w:p w:rsidR="00F366E8" w:rsidRPr="007F1972" w:rsidRDefault="00F366E8" w:rsidP="005C1352">
            <w:pPr>
              <w:jc w:val="left"/>
              <w:rPr>
                <w:sz w:val="19"/>
                <w:szCs w:val="19"/>
              </w:rPr>
            </w:pPr>
            <w:r w:rsidRPr="007F1972">
              <w:rPr>
                <w:sz w:val="19"/>
                <w:szCs w:val="19"/>
              </w:rPr>
              <w:t>The common method was used.</w:t>
            </w:r>
          </w:p>
        </w:tc>
        <w:tc>
          <w:tcPr>
            <w:tcW w:w="5760" w:type="dxa"/>
            <w:shd w:val="clear" w:color="auto" w:fill="D2EAF1"/>
          </w:tcPr>
          <w:p w:rsidR="00F366E8" w:rsidRPr="007F1972" w:rsidRDefault="00F366E8" w:rsidP="005C1352">
            <w:pPr>
              <w:jc w:val="left"/>
              <w:rPr>
                <w:sz w:val="19"/>
                <w:szCs w:val="19"/>
              </w:rPr>
            </w:pPr>
            <w:r w:rsidRPr="007F1972">
              <w:rPr>
                <w:sz w:val="19"/>
                <w:szCs w:val="19"/>
              </w:rPr>
              <w:t>Navigant used the common approach for NTG but did not explain how it combined strata NTG values into program-level values.</w:t>
            </w:r>
          </w:p>
        </w:tc>
      </w:tr>
      <w:tr w:rsidR="00E7173E" w:rsidRPr="007F1972" w:rsidTr="005A33A4">
        <w:trPr>
          <w:trHeight w:val="864"/>
        </w:trPr>
        <w:tc>
          <w:tcPr>
            <w:tcW w:w="1705" w:type="dxa"/>
            <w:shd w:val="clear" w:color="auto" w:fill="auto"/>
          </w:tcPr>
          <w:p w:rsidR="00F366E8" w:rsidRPr="007F1972" w:rsidRDefault="00F366E8" w:rsidP="005C1352">
            <w:pPr>
              <w:jc w:val="left"/>
              <w:rPr>
                <w:sz w:val="19"/>
                <w:szCs w:val="19"/>
              </w:rPr>
            </w:pPr>
            <w:r w:rsidRPr="007F1972">
              <w:rPr>
                <w:sz w:val="19"/>
                <w:szCs w:val="19"/>
              </w:rPr>
              <w:t>Smart Business Solutions (SBS)</w:t>
            </w:r>
          </w:p>
        </w:tc>
        <w:tc>
          <w:tcPr>
            <w:tcW w:w="1890" w:type="dxa"/>
            <w:shd w:val="clear" w:color="auto" w:fill="auto"/>
          </w:tcPr>
          <w:p w:rsidR="00F366E8" w:rsidRPr="007F1972" w:rsidRDefault="00F366E8" w:rsidP="005C1352">
            <w:pPr>
              <w:jc w:val="left"/>
              <w:rPr>
                <w:sz w:val="19"/>
                <w:szCs w:val="19"/>
              </w:rPr>
            </w:pPr>
            <w:r w:rsidRPr="007F1972">
              <w:rPr>
                <w:sz w:val="19"/>
                <w:szCs w:val="19"/>
              </w:rPr>
              <w:t>No NTGR estimation in PY7; NTGR estimated in PY5.</w:t>
            </w:r>
          </w:p>
        </w:tc>
        <w:tc>
          <w:tcPr>
            <w:tcW w:w="5760" w:type="dxa"/>
            <w:shd w:val="clear" w:color="auto" w:fill="auto"/>
          </w:tcPr>
          <w:p w:rsidR="00F366E8" w:rsidRPr="007F1972" w:rsidRDefault="00F366E8" w:rsidP="005C1352">
            <w:pPr>
              <w:jc w:val="left"/>
              <w:rPr>
                <w:sz w:val="19"/>
                <w:szCs w:val="19"/>
              </w:rPr>
            </w:pPr>
            <w:r w:rsidRPr="007F1972">
              <w:rPr>
                <w:sz w:val="19"/>
                <w:szCs w:val="19"/>
              </w:rPr>
              <w:t>The common method was used to estimate the NTGR in PY5. There was no NTG estimation in PY7. Navigant did not report the PY5 NTG values in the PY7 annual report.</w:t>
            </w:r>
          </w:p>
        </w:tc>
      </w:tr>
      <w:tr w:rsidR="00E7173E" w:rsidRPr="007F1972" w:rsidTr="005A33A4">
        <w:trPr>
          <w:trHeight w:val="864"/>
        </w:trPr>
        <w:tc>
          <w:tcPr>
            <w:tcW w:w="1705" w:type="dxa"/>
            <w:shd w:val="clear" w:color="auto" w:fill="D2EAF1"/>
          </w:tcPr>
          <w:p w:rsidR="00F366E8" w:rsidRPr="007F1972" w:rsidRDefault="00F366E8" w:rsidP="005C1352">
            <w:pPr>
              <w:jc w:val="left"/>
              <w:rPr>
                <w:sz w:val="19"/>
                <w:szCs w:val="19"/>
              </w:rPr>
            </w:pPr>
            <w:r w:rsidRPr="007F1972">
              <w:rPr>
                <w:sz w:val="19"/>
                <w:szCs w:val="19"/>
              </w:rPr>
              <w:t>Smart On-Site (SOS)</w:t>
            </w:r>
          </w:p>
        </w:tc>
        <w:tc>
          <w:tcPr>
            <w:tcW w:w="1890" w:type="dxa"/>
            <w:shd w:val="clear" w:color="auto" w:fill="D2EAF1"/>
          </w:tcPr>
          <w:p w:rsidR="00F366E8" w:rsidRPr="007F1972" w:rsidRDefault="00F366E8" w:rsidP="005C1352">
            <w:pPr>
              <w:jc w:val="left"/>
              <w:rPr>
                <w:sz w:val="19"/>
                <w:szCs w:val="19"/>
              </w:rPr>
            </w:pPr>
            <w:r w:rsidRPr="007F1972">
              <w:rPr>
                <w:sz w:val="19"/>
                <w:szCs w:val="19"/>
              </w:rPr>
              <w:t>The common method was used.</w:t>
            </w:r>
          </w:p>
        </w:tc>
        <w:tc>
          <w:tcPr>
            <w:tcW w:w="5760" w:type="dxa"/>
            <w:shd w:val="clear" w:color="auto" w:fill="D2EAF1"/>
          </w:tcPr>
          <w:p w:rsidR="00F366E8" w:rsidRPr="007F1972" w:rsidRDefault="00F366E8" w:rsidP="005C1352">
            <w:pPr>
              <w:jc w:val="left"/>
              <w:rPr>
                <w:sz w:val="19"/>
                <w:szCs w:val="19"/>
              </w:rPr>
            </w:pPr>
            <w:r w:rsidRPr="007F1972">
              <w:rPr>
                <w:sz w:val="19"/>
                <w:szCs w:val="19"/>
              </w:rPr>
              <w:t>Navigant used the common approach for NTG but did not explain how it combined strata NTG values into program-level values.</w:t>
            </w:r>
          </w:p>
        </w:tc>
      </w:tr>
    </w:tbl>
    <w:p w:rsidR="00EE3086" w:rsidRDefault="00EE3086" w:rsidP="00F366E8"/>
    <w:p w:rsidR="00F366E8" w:rsidRDefault="00EE3086" w:rsidP="00F366E8">
      <w:r>
        <w:t xml:space="preserve">Table A-133 </w:t>
      </w:r>
      <w:r w:rsidR="00F366E8" w:rsidRPr="006C05B5">
        <w:t xml:space="preserve">shows the NTG values reported in the PY7 annual report. </w:t>
      </w:r>
    </w:p>
    <w:p w:rsidR="00EE3086" w:rsidRPr="00EE3086" w:rsidRDefault="00EE3086" w:rsidP="00EE3086"/>
    <w:p w:rsidR="00F366E8" w:rsidRPr="001141CD" w:rsidRDefault="001141CD" w:rsidP="004837FA">
      <w:pPr>
        <w:pStyle w:val="Caption"/>
      </w:pPr>
      <w:bookmarkStart w:id="1254" w:name="_Ref472453908"/>
      <w:bookmarkStart w:id="1255" w:name="_Toc409225023"/>
      <w:bookmarkStart w:id="1256" w:name="_Toc409443575"/>
      <w:bookmarkStart w:id="1257" w:name="_Toc444269795"/>
      <w:bookmarkStart w:id="1258" w:name="_Toc472472542"/>
      <w:bookmarkStart w:id="1259" w:name="_Toc488741961"/>
      <w:r w:rsidRPr="001141CD">
        <w:t>Table A-</w:t>
      </w:r>
      <w:r w:rsidR="007973A4">
        <w:fldChar w:fldCharType="begin"/>
      </w:r>
      <w:r w:rsidR="007973A4">
        <w:instrText xml:space="preserve"> SEQ Table_A- \* ARABIC </w:instrText>
      </w:r>
      <w:r w:rsidR="007973A4">
        <w:fldChar w:fldCharType="separate"/>
      </w:r>
      <w:r w:rsidR="00037CB4">
        <w:rPr>
          <w:noProof/>
        </w:rPr>
        <w:t>133</w:t>
      </w:r>
      <w:r w:rsidR="007973A4">
        <w:rPr>
          <w:noProof/>
        </w:rPr>
        <w:fldChar w:fldCharType="end"/>
      </w:r>
      <w:bookmarkEnd w:id="1254"/>
      <w:r w:rsidRPr="001141CD">
        <w:t>:</w:t>
      </w:r>
      <w:r w:rsidR="00F366E8" w:rsidRPr="001141CD">
        <w:t xml:space="preserve"> Summary of NTG Estimates for PECO’s Non-Residential Program</w:t>
      </w:r>
      <w:bookmarkEnd w:id="1255"/>
      <w:bookmarkEnd w:id="1256"/>
      <w:bookmarkEnd w:id="1257"/>
      <w:r w:rsidR="00F366E8" w:rsidRPr="001141CD">
        <w:t>s</w:t>
      </w:r>
      <w:bookmarkEnd w:id="1258"/>
      <w:bookmarkEnd w:id="1259"/>
    </w:p>
    <w:tbl>
      <w:tblPr>
        <w:tblW w:w="934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242"/>
        <w:gridCol w:w="3510"/>
        <w:gridCol w:w="1260"/>
        <w:gridCol w:w="1170"/>
        <w:gridCol w:w="1170"/>
        <w:gridCol w:w="990"/>
      </w:tblGrid>
      <w:tr w:rsidR="00A874AC" w:rsidRPr="007F1972" w:rsidTr="00EE3086">
        <w:trPr>
          <w:trHeight w:val="20"/>
        </w:trPr>
        <w:tc>
          <w:tcPr>
            <w:tcW w:w="1242" w:type="dxa"/>
            <w:shd w:val="clear" w:color="auto" w:fill="448A99"/>
            <w:vAlign w:val="bottom"/>
            <w:hideMark/>
          </w:tcPr>
          <w:p w:rsidR="00F366E8" w:rsidRPr="007F1972" w:rsidRDefault="00F366E8" w:rsidP="005C1352">
            <w:pPr>
              <w:jc w:val="left"/>
              <w:rPr>
                <w:b/>
                <w:bCs/>
                <w:color w:val="FFFFFF"/>
                <w:sz w:val="19"/>
                <w:szCs w:val="19"/>
              </w:rPr>
            </w:pPr>
            <w:r w:rsidRPr="007F1972">
              <w:rPr>
                <w:b/>
                <w:bCs/>
                <w:color w:val="FFFFFF"/>
                <w:sz w:val="19"/>
                <w:szCs w:val="19"/>
              </w:rPr>
              <w:t>Approach</w:t>
            </w:r>
          </w:p>
        </w:tc>
        <w:tc>
          <w:tcPr>
            <w:tcW w:w="3510" w:type="dxa"/>
            <w:shd w:val="clear" w:color="auto" w:fill="448A99"/>
            <w:vAlign w:val="bottom"/>
            <w:hideMark/>
          </w:tcPr>
          <w:p w:rsidR="00F366E8" w:rsidRPr="007F1972" w:rsidRDefault="00F366E8" w:rsidP="005C1352">
            <w:pPr>
              <w:jc w:val="center"/>
              <w:rPr>
                <w:b/>
                <w:bCs/>
                <w:color w:val="FFFFFF"/>
                <w:sz w:val="19"/>
                <w:szCs w:val="19"/>
              </w:rPr>
            </w:pPr>
            <w:r w:rsidRPr="007F1972">
              <w:rPr>
                <w:b/>
                <w:bCs/>
                <w:color w:val="FFFFFF"/>
                <w:sz w:val="19"/>
                <w:szCs w:val="19"/>
              </w:rPr>
              <w:t>Program</w:t>
            </w:r>
          </w:p>
        </w:tc>
        <w:tc>
          <w:tcPr>
            <w:tcW w:w="1260" w:type="dxa"/>
            <w:shd w:val="clear" w:color="auto" w:fill="448A99"/>
            <w:vAlign w:val="bottom"/>
            <w:hideMark/>
          </w:tcPr>
          <w:p w:rsidR="00F366E8" w:rsidRPr="007F1972" w:rsidRDefault="00F366E8" w:rsidP="005C1352">
            <w:pPr>
              <w:jc w:val="center"/>
              <w:rPr>
                <w:b/>
                <w:bCs/>
                <w:color w:val="FFFFFF"/>
                <w:sz w:val="19"/>
                <w:szCs w:val="19"/>
              </w:rPr>
            </w:pPr>
            <w:r w:rsidRPr="007F1972">
              <w:rPr>
                <w:b/>
                <w:bCs/>
                <w:color w:val="FFFFFF"/>
                <w:sz w:val="19"/>
                <w:szCs w:val="19"/>
              </w:rPr>
              <w:t>Free-Ridership</w:t>
            </w:r>
          </w:p>
        </w:tc>
        <w:tc>
          <w:tcPr>
            <w:tcW w:w="1170" w:type="dxa"/>
            <w:shd w:val="clear" w:color="auto" w:fill="448A99"/>
            <w:vAlign w:val="bottom"/>
            <w:hideMark/>
          </w:tcPr>
          <w:p w:rsidR="00F366E8" w:rsidRPr="007F1972" w:rsidRDefault="00F366E8" w:rsidP="005C1352">
            <w:pPr>
              <w:jc w:val="center"/>
              <w:rPr>
                <w:b/>
                <w:bCs/>
                <w:color w:val="FFFFFF"/>
                <w:sz w:val="19"/>
                <w:szCs w:val="19"/>
              </w:rPr>
            </w:pPr>
            <w:r w:rsidRPr="007F1972">
              <w:rPr>
                <w:b/>
                <w:bCs/>
                <w:color w:val="FFFFFF"/>
                <w:sz w:val="19"/>
                <w:szCs w:val="19"/>
              </w:rPr>
              <w:t>Spillover</w:t>
            </w:r>
          </w:p>
        </w:tc>
        <w:tc>
          <w:tcPr>
            <w:tcW w:w="1170" w:type="dxa"/>
            <w:shd w:val="clear" w:color="auto" w:fill="448A99"/>
            <w:vAlign w:val="bottom"/>
            <w:hideMark/>
          </w:tcPr>
          <w:p w:rsidR="00F366E8" w:rsidRPr="007F1972" w:rsidRDefault="00F366E8" w:rsidP="005C1352">
            <w:pPr>
              <w:jc w:val="center"/>
              <w:rPr>
                <w:b/>
                <w:bCs/>
                <w:color w:val="FFFFFF"/>
                <w:sz w:val="19"/>
                <w:szCs w:val="19"/>
              </w:rPr>
            </w:pPr>
            <w:r w:rsidRPr="007F1972">
              <w:rPr>
                <w:b/>
                <w:bCs/>
                <w:color w:val="FFFFFF"/>
                <w:sz w:val="19"/>
                <w:szCs w:val="19"/>
              </w:rPr>
              <w:t>NTGR</w:t>
            </w:r>
            <w:r w:rsidRPr="007F1972">
              <w:rPr>
                <w:b/>
                <w:bCs/>
                <w:color w:val="FFFFFF"/>
                <w:sz w:val="19"/>
                <w:szCs w:val="19"/>
                <w:vertAlign w:val="superscript"/>
              </w:rPr>
              <w:t>[a]</w:t>
            </w:r>
          </w:p>
        </w:tc>
        <w:tc>
          <w:tcPr>
            <w:tcW w:w="990" w:type="dxa"/>
            <w:shd w:val="clear" w:color="auto" w:fill="448A99"/>
            <w:vAlign w:val="bottom"/>
          </w:tcPr>
          <w:p w:rsidR="00F366E8" w:rsidRPr="007F1972" w:rsidRDefault="00F366E8" w:rsidP="005C1352">
            <w:pPr>
              <w:jc w:val="center"/>
              <w:rPr>
                <w:b/>
                <w:bCs/>
                <w:color w:val="FFFFFF"/>
                <w:sz w:val="19"/>
                <w:szCs w:val="19"/>
              </w:rPr>
            </w:pPr>
            <w:r w:rsidRPr="007F1972">
              <w:rPr>
                <w:b/>
                <w:bCs/>
                <w:color w:val="FFFFFF"/>
                <w:sz w:val="19"/>
                <w:szCs w:val="19"/>
              </w:rPr>
              <w:t>Sample Size</w:t>
            </w:r>
            <w:r w:rsidRPr="007F1972">
              <w:rPr>
                <w:b/>
                <w:bCs/>
                <w:color w:val="FFFFFF"/>
                <w:sz w:val="19"/>
                <w:szCs w:val="19"/>
                <w:vertAlign w:val="superscript"/>
              </w:rPr>
              <w:t>[b]</w:t>
            </w:r>
          </w:p>
        </w:tc>
      </w:tr>
      <w:tr w:rsidR="00A874AC" w:rsidRPr="007F1972" w:rsidTr="008111EC">
        <w:trPr>
          <w:trHeight w:val="488"/>
        </w:trPr>
        <w:tc>
          <w:tcPr>
            <w:tcW w:w="1242" w:type="dxa"/>
            <w:vMerge w:val="restart"/>
            <w:shd w:val="clear" w:color="auto" w:fill="D2EAF1"/>
          </w:tcPr>
          <w:p w:rsidR="00F366E8" w:rsidRPr="007F1972" w:rsidRDefault="00F366E8" w:rsidP="005C1352">
            <w:pPr>
              <w:jc w:val="left"/>
              <w:rPr>
                <w:bCs/>
                <w:sz w:val="19"/>
                <w:szCs w:val="19"/>
              </w:rPr>
            </w:pPr>
            <w:r w:rsidRPr="007F1972">
              <w:rPr>
                <w:bCs/>
                <w:sz w:val="19"/>
                <w:szCs w:val="19"/>
              </w:rPr>
              <w:t>Estimated</w:t>
            </w:r>
          </w:p>
        </w:tc>
        <w:tc>
          <w:tcPr>
            <w:tcW w:w="3510" w:type="dxa"/>
            <w:shd w:val="clear" w:color="auto" w:fill="D2EAF1"/>
            <w:noWrap/>
            <w:vAlign w:val="center"/>
          </w:tcPr>
          <w:p w:rsidR="00F366E8" w:rsidRPr="007F1972" w:rsidRDefault="00F366E8" w:rsidP="005C1352">
            <w:pPr>
              <w:jc w:val="left"/>
              <w:rPr>
                <w:sz w:val="19"/>
                <w:szCs w:val="19"/>
              </w:rPr>
            </w:pPr>
            <w:r w:rsidRPr="007F1972">
              <w:rPr>
                <w:sz w:val="19"/>
                <w:szCs w:val="19"/>
              </w:rPr>
              <w:t>Smart Equipment Incentives (SEI) – C/I</w:t>
            </w:r>
          </w:p>
        </w:tc>
        <w:tc>
          <w:tcPr>
            <w:tcW w:w="1260" w:type="dxa"/>
            <w:shd w:val="clear" w:color="auto" w:fill="D2EAF1"/>
            <w:noWrap/>
            <w:vAlign w:val="center"/>
          </w:tcPr>
          <w:p w:rsidR="00F366E8" w:rsidRPr="007F1972" w:rsidRDefault="00F366E8" w:rsidP="005C1352">
            <w:pPr>
              <w:jc w:val="center"/>
              <w:rPr>
                <w:sz w:val="19"/>
                <w:szCs w:val="19"/>
              </w:rPr>
            </w:pPr>
            <w:r w:rsidRPr="007F1972">
              <w:rPr>
                <w:sz w:val="19"/>
                <w:szCs w:val="19"/>
              </w:rPr>
              <w:t>0.37</w:t>
            </w:r>
          </w:p>
        </w:tc>
        <w:tc>
          <w:tcPr>
            <w:tcW w:w="1170" w:type="dxa"/>
            <w:shd w:val="clear" w:color="auto" w:fill="D2EAF1"/>
            <w:noWrap/>
            <w:vAlign w:val="center"/>
          </w:tcPr>
          <w:p w:rsidR="00F366E8" w:rsidRPr="007F1972" w:rsidRDefault="00F366E8" w:rsidP="005C1352">
            <w:pPr>
              <w:jc w:val="center"/>
              <w:rPr>
                <w:sz w:val="19"/>
                <w:szCs w:val="19"/>
              </w:rPr>
            </w:pPr>
            <w:r w:rsidRPr="007F1972">
              <w:rPr>
                <w:sz w:val="19"/>
                <w:szCs w:val="19"/>
              </w:rPr>
              <w:t>0.01</w:t>
            </w:r>
          </w:p>
        </w:tc>
        <w:tc>
          <w:tcPr>
            <w:tcW w:w="1170" w:type="dxa"/>
            <w:shd w:val="clear" w:color="auto" w:fill="D2EAF1"/>
            <w:noWrap/>
            <w:vAlign w:val="center"/>
          </w:tcPr>
          <w:p w:rsidR="00F366E8" w:rsidRPr="007F1972" w:rsidRDefault="00F366E8" w:rsidP="005C1352">
            <w:pPr>
              <w:jc w:val="center"/>
              <w:rPr>
                <w:sz w:val="19"/>
                <w:szCs w:val="19"/>
              </w:rPr>
            </w:pPr>
            <w:r w:rsidRPr="007F1972">
              <w:rPr>
                <w:sz w:val="19"/>
                <w:szCs w:val="19"/>
              </w:rPr>
              <w:t>0.64</w:t>
            </w:r>
          </w:p>
        </w:tc>
        <w:tc>
          <w:tcPr>
            <w:tcW w:w="990" w:type="dxa"/>
            <w:shd w:val="clear" w:color="auto" w:fill="D2EAF1"/>
            <w:vAlign w:val="center"/>
          </w:tcPr>
          <w:p w:rsidR="00F366E8" w:rsidRPr="007F1972" w:rsidRDefault="00F366E8" w:rsidP="005C1352">
            <w:pPr>
              <w:jc w:val="center"/>
              <w:rPr>
                <w:sz w:val="19"/>
                <w:szCs w:val="19"/>
              </w:rPr>
            </w:pPr>
            <w:r w:rsidRPr="007F1972">
              <w:rPr>
                <w:sz w:val="19"/>
                <w:szCs w:val="19"/>
              </w:rPr>
              <w:t>51</w:t>
            </w:r>
          </w:p>
        </w:tc>
      </w:tr>
      <w:tr w:rsidR="00E7173E" w:rsidRPr="007F1972" w:rsidTr="005A33A4">
        <w:trPr>
          <w:trHeight w:val="488"/>
        </w:trPr>
        <w:tc>
          <w:tcPr>
            <w:tcW w:w="1242" w:type="dxa"/>
            <w:vMerge/>
            <w:shd w:val="clear" w:color="auto" w:fill="auto"/>
          </w:tcPr>
          <w:p w:rsidR="00F366E8" w:rsidRPr="007F1972" w:rsidRDefault="00F366E8" w:rsidP="005C1352">
            <w:pPr>
              <w:jc w:val="left"/>
              <w:rPr>
                <w:b/>
                <w:bCs/>
                <w:sz w:val="19"/>
                <w:szCs w:val="19"/>
              </w:rPr>
            </w:pPr>
          </w:p>
        </w:tc>
        <w:tc>
          <w:tcPr>
            <w:tcW w:w="3510" w:type="dxa"/>
            <w:shd w:val="clear" w:color="auto" w:fill="auto"/>
            <w:noWrap/>
            <w:vAlign w:val="center"/>
          </w:tcPr>
          <w:p w:rsidR="00F366E8" w:rsidRPr="007F1972" w:rsidRDefault="00F366E8" w:rsidP="005C1352">
            <w:pPr>
              <w:jc w:val="left"/>
              <w:rPr>
                <w:sz w:val="19"/>
                <w:szCs w:val="19"/>
              </w:rPr>
            </w:pPr>
            <w:r w:rsidRPr="007F1972">
              <w:rPr>
                <w:sz w:val="19"/>
                <w:szCs w:val="19"/>
              </w:rPr>
              <w:t>Smart Equipment Incentives (SEI) – GNI</w:t>
            </w:r>
          </w:p>
        </w:tc>
        <w:tc>
          <w:tcPr>
            <w:tcW w:w="1260" w:type="dxa"/>
            <w:shd w:val="clear" w:color="auto" w:fill="auto"/>
            <w:noWrap/>
            <w:vAlign w:val="center"/>
          </w:tcPr>
          <w:p w:rsidR="00F366E8" w:rsidRPr="007F1972" w:rsidRDefault="00F366E8" w:rsidP="005C1352">
            <w:pPr>
              <w:jc w:val="center"/>
              <w:rPr>
                <w:sz w:val="19"/>
                <w:szCs w:val="19"/>
              </w:rPr>
            </w:pPr>
            <w:r w:rsidRPr="007F1972">
              <w:rPr>
                <w:sz w:val="19"/>
                <w:szCs w:val="19"/>
              </w:rPr>
              <w:t>0.58</w:t>
            </w:r>
          </w:p>
        </w:tc>
        <w:tc>
          <w:tcPr>
            <w:tcW w:w="1170" w:type="dxa"/>
            <w:shd w:val="clear" w:color="auto" w:fill="auto"/>
            <w:noWrap/>
            <w:vAlign w:val="center"/>
          </w:tcPr>
          <w:p w:rsidR="00F366E8" w:rsidRPr="007F1972" w:rsidRDefault="00F366E8" w:rsidP="005C1352">
            <w:pPr>
              <w:jc w:val="center"/>
              <w:rPr>
                <w:sz w:val="19"/>
                <w:szCs w:val="19"/>
              </w:rPr>
            </w:pPr>
            <w:r w:rsidRPr="007F1972">
              <w:rPr>
                <w:sz w:val="19"/>
                <w:szCs w:val="19"/>
              </w:rPr>
              <w:t>0.01</w:t>
            </w:r>
          </w:p>
        </w:tc>
        <w:tc>
          <w:tcPr>
            <w:tcW w:w="1170" w:type="dxa"/>
            <w:shd w:val="clear" w:color="auto" w:fill="auto"/>
            <w:noWrap/>
            <w:vAlign w:val="center"/>
          </w:tcPr>
          <w:p w:rsidR="00F366E8" w:rsidRPr="007F1972" w:rsidRDefault="00F366E8" w:rsidP="005C1352">
            <w:pPr>
              <w:jc w:val="center"/>
              <w:rPr>
                <w:sz w:val="19"/>
                <w:szCs w:val="19"/>
              </w:rPr>
            </w:pPr>
            <w:r w:rsidRPr="007F1972">
              <w:rPr>
                <w:sz w:val="19"/>
                <w:szCs w:val="19"/>
              </w:rPr>
              <w:t>0.43</w:t>
            </w:r>
          </w:p>
        </w:tc>
        <w:tc>
          <w:tcPr>
            <w:tcW w:w="990" w:type="dxa"/>
            <w:shd w:val="clear" w:color="auto" w:fill="auto"/>
            <w:vAlign w:val="center"/>
          </w:tcPr>
          <w:p w:rsidR="00F366E8" w:rsidRPr="007F1972" w:rsidRDefault="00F366E8" w:rsidP="005C1352">
            <w:pPr>
              <w:jc w:val="center"/>
              <w:rPr>
                <w:sz w:val="19"/>
                <w:szCs w:val="19"/>
              </w:rPr>
            </w:pPr>
            <w:r w:rsidRPr="007F1972">
              <w:rPr>
                <w:sz w:val="19"/>
                <w:szCs w:val="19"/>
              </w:rPr>
              <w:t>35</w:t>
            </w:r>
          </w:p>
        </w:tc>
      </w:tr>
      <w:tr w:rsidR="00A874AC" w:rsidRPr="007F1972" w:rsidTr="008111EC">
        <w:trPr>
          <w:trHeight w:val="488"/>
        </w:trPr>
        <w:tc>
          <w:tcPr>
            <w:tcW w:w="1242" w:type="dxa"/>
            <w:vMerge/>
            <w:shd w:val="clear" w:color="auto" w:fill="auto"/>
          </w:tcPr>
          <w:p w:rsidR="00F366E8" w:rsidRPr="007F1972" w:rsidRDefault="00F366E8" w:rsidP="005C1352">
            <w:pPr>
              <w:jc w:val="left"/>
              <w:rPr>
                <w:b/>
                <w:bCs/>
                <w:sz w:val="19"/>
                <w:szCs w:val="19"/>
              </w:rPr>
            </w:pPr>
          </w:p>
        </w:tc>
        <w:tc>
          <w:tcPr>
            <w:tcW w:w="3510" w:type="dxa"/>
            <w:shd w:val="clear" w:color="auto" w:fill="D2EAF1"/>
            <w:noWrap/>
            <w:vAlign w:val="center"/>
          </w:tcPr>
          <w:p w:rsidR="00F366E8" w:rsidRPr="007F1972" w:rsidRDefault="00F366E8" w:rsidP="005C1352">
            <w:pPr>
              <w:jc w:val="left"/>
              <w:rPr>
                <w:sz w:val="19"/>
                <w:szCs w:val="19"/>
              </w:rPr>
            </w:pPr>
            <w:r w:rsidRPr="007F1972">
              <w:rPr>
                <w:sz w:val="19"/>
                <w:szCs w:val="19"/>
              </w:rPr>
              <w:t>Smart Multi-Family (SMF) Solutions Program</w:t>
            </w:r>
          </w:p>
        </w:tc>
        <w:tc>
          <w:tcPr>
            <w:tcW w:w="1260" w:type="dxa"/>
            <w:shd w:val="clear" w:color="auto" w:fill="D2EAF1"/>
            <w:noWrap/>
            <w:vAlign w:val="center"/>
          </w:tcPr>
          <w:p w:rsidR="00F366E8" w:rsidRPr="007F1972" w:rsidRDefault="00F366E8" w:rsidP="005C1352">
            <w:pPr>
              <w:jc w:val="center"/>
              <w:rPr>
                <w:sz w:val="19"/>
                <w:szCs w:val="19"/>
              </w:rPr>
            </w:pPr>
            <w:r w:rsidRPr="007F1972">
              <w:rPr>
                <w:sz w:val="19"/>
                <w:szCs w:val="19"/>
              </w:rPr>
              <w:t>0.38</w:t>
            </w:r>
          </w:p>
        </w:tc>
        <w:tc>
          <w:tcPr>
            <w:tcW w:w="1170" w:type="dxa"/>
            <w:shd w:val="clear" w:color="auto" w:fill="D2EAF1"/>
            <w:noWrap/>
            <w:vAlign w:val="center"/>
          </w:tcPr>
          <w:p w:rsidR="00F366E8" w:rsidRPr="007F1972" w:rsidRDefault="00F366E8" w:rsidP="005C1352">
            <w:pPr>
              <w:jc w:val="center"/>
              <w:rPr>
                <w:sz w:val="19"/>
                <w:szCs w:val="19"/>
              </w:rPr>
            </w:pPr>
            <w:r w:rsidRPr="007F1972">
              <w:rPr>
                <w:sz w:val="19"/>
                <w:szCs w:val="19"/>
              </w:rPr>
              <w:t>0.00</w:t>
            </w:r>
          </w:p>
        </w:tc>
        <w:tc>
          <w:tcPr>
            <w:tcW w:w="1170" w:type="dxa"/>
            <w:shd w:val="clear" w:color="auto" w:fill="D2EAF1"/>
            <w:noWrap/>
            <w:vAlign w:val="center"/>
          </w:tcPr>
          <w:p w:rsidR="00F366E8" w:rsidRPr="007F1972" w:rsidRDefault="00F366E8" w:rsidP="005C1352">
            <w:pPr>
              <w:jc w:val="center"/>
              <w:rPr>
                <w:sz w:val="19"/>
                <w:szCs w:val="19"/>
              </w:rPr>
            </w:pPr>
            <w:r w:rsidRPr="007F1972">
              <w:rPr>
                <w:sz w:val="19"/>
                <w:szCs w:val="19"/>
              </w:rPr>
              <w:t>0.62</w:t>
            </w:r>
          </w:p>
        </w:tc>
        <w:tc>
          <w:tcPr>
            <w:tcW w:w="990" w:type="dxa"/>
            <w:shd w:val="clear" w:color="auto" w:fill="D2EAF1"/>
            <w:vAlign w:val="center"/>
          </w:tcPr>
          <w:p w:rsidR="00F366E8" w:rsidRPr="007F1972" w:rsidRDefault="00F366E8" w:rsidP="005C1352">
            <w:pPr>
              <w:jc w:val="center"/>
              <w:rPr>
                <w:sz w:val="19"/>
                <w:szCs w:val="19"/>
              </w:rPr>
            </w:pPr>
            <w:r w:rsidRPr="007F1972">
              <w:rPr>
                <w:sz w:val="19"/>
                <w:szCs w:val="19"/>
              </w:rPr>
              <w:t>22</w:t>
            </w:r>
          </w:p>
        </w:tc>
      </w:tr>
      <w:tr w:rsidR="00E7173E" w:rsidRPr="007F1972" w:rsidTr="005A33A4">
        <w:trPr>
          <w:trHeight w:val="488"/>
        </w:trPr>
        <w:tc>
          <w:tcPr>
            <w:tcW w:w="1242" w:type="dxa"/>
            <w:vMerge/>
            <w:shd w:val="clear" w:color="auto" w:fill="auto"/>
          </w:tcPr>
          <w:p w:rsidR="00F366E8" w:rsidRPr="007F1972" w:rsidRDefault="00F366E8" w:rsidP="005C1352">
            <w:pPr>
              <w:jc w:val="left"/>
              <w:rPr>
                <w:b/>
                <w:bCs/>
                <w:sz w:val="19"/>
                <w:szCs w:val="19"/>
              </w:rPr>
            </w:pPr>
          </w:p>
        </w:tc>
        <w:tc>
          <w:tcPr>
            <w:tcW w:w="3510" w:type="dxa"/>
            <w:shd w:val="clear" w:color="auto" w:fill="auto"/>
            <w:noWrap/>
            <w:vAlign w:val="center"/>
          </w:tcPr>
          <w:p w:rsidR="00F366E8" w:rsidRPr="007F1972" w:rsidRDefault="00F366E8" w:rsidP="005C1352">
            <w:pPr>
              <w:jc w:val="left"/>
              <w:rPr>
                <w:sz w:val="19"/>
                <w:szCs w:val="19"/>
              </w:rPr>
            </w:pPr>
            <w:r w:rsidRPr="007F1972">
              <w:rPr>
                <w:sz w:val="19"/>
                <w:szCs w:val="19"/>
              </w:rPr>
              <w:t>Smart On-Site (SOS)</w:t>
            </w:r>
          </w:p>
        </w:tc>
        <w:tc>
          <w:tcPr>
            <w:tcW w:w="1260" w:type="dxa"/>
            <w:shd w:val="clear" w:color="auto" w:fill="auto"/>
            <w:noWrap/>
            <w:vAlign w:val="center"/>
          </w:tcPr>
          <w:p w:rsidR="00F366E8" w:rsidRPr="007F1972" w:rsidRDefault="00F366E8" w:rsidP="005C1352">
            <w:pPr>
              <w:jc w:val="center"/>
              <w:rPr>
                <w:sz w:val="19"/>
                <w:szCs w:val="19"/>
              </w:rPr>
            </w:pPr>
            <w:r w:rsidRPr="007F1972">
              <w:rPr>
                <w:sz w:val="19"/>
                <w:szCs w:val="19"/>
              </w:rPr>
              <w:t>0.11</w:t>
            </w:r>
          </w:p>
        </w:tc>
        <w:tc>
          <w:tcPr>
            <w:tcW w:w="1170" w:type="dxa"/>
            <w:shd w:val="clear" w:color="auto" w:fill="auto"/>
            <w:noWrap/>
            <w:vAlign w:val="center"/>
          </w:tcPr>
          <w:p w:rsidR="00F366E8" w:rsidRPr="007F1972" w:rsidRDefault="00F366E8" w:rsidP="005C1352">
            <w:pPr>
              <w:jc w:val="center"/>
              <w:rPr>
                <w:sz w:val="19"/>
                <w:szCs w:val="19"/>
              </w:rPr>
            </w:pPr>
            <w:r w:rsidRPr="007F1972">
              <w:rPr>
                <w:sz w:val="19"/>
                <w:szCs w:val="19"/>
              </w:rPr>
              <w:t>0.00</w:t>
            </w:r>
          </w:p>
        </w:tc>
        <w:tc>
          <w:tcPr>
            <w:tcW w:w="1170" w:type="dxa"/>
            <w:shd w:val="clear" w:color="auto" w:fill="auto"/>
            <w:noWrap/>
            <w:vAlign w:val="center"/>
          </w:tcPr>
          <w:p w:rsidR="00F366E8" w:rsidRPr="007F1972" w:rsidRDefault="00F366E8" w:rsidP="005C1352">
            <w:pPr>
              <w:jc w:val="center"/>
              <w:rPr>
                <w:sz w:val="19"/>
                <w:szCs w:val="19"/>
              </w:rPr>
            </w:pPr>
            <w:r w:rsidRPr="007F1972">
              <w:rPr>
                <w:sz w:val="19"/>
                <w:szCs w:val="19"/>
              </w:rPr>
              <w:t>0.89</w:t>
            </w:r>
          </w:p>
        </w:tc>
        <w:tc>
          <w:tcPr>
            <w:tcW w:w="990" w:type="dxa"/>
            <w:shd w:val="clear" w:color="auto" w:fill="auto"/>
            <w:vAlign w:val="center"/>
          </w:tcPr>
          <w:p w:rsidR="00F366E8" w:rsidRPr="007F1972" w:rsidDel="00E64C73" w:rsidRDefault="00F366E8" w:rsidP="005C1352">
            <w:pPr>
              <w:jc w:val="center"/>
              <w:rPr>
                <w:sz w:val="19"/>
                <w:szCs w:val="19"/>
              </w:rPr>
            </w:pPr>
            <w:r w:rsidRPr="007F1972">
              <w:rPr>
                <w:sz w:val="19"/>
                <w:szCs w:val="19"/>
              </w:rPr>
              <w:t>6</w:t>
            </w:r>
          </w:p>
        </w:tc>
      </w:tr>
      <w:tr w:rsidR="00E7173E" w:rsidRPr="007F1972" w:rsidTr="005A33A4">
        <w:trPr>
          <w:trHeight w:val="488"/>
        </w:trPr>
        <w:tc>
          <w:tcPr>
            <w:tcW w:w="1242" w:type="dxa"/>
            <w:shd w:val="clear" w:color="auto" w:fill="auto"/>
            <w:vAlign w:val="center"/>
          </w:tcPr>
          <w:p w:rsidR="00F366E8" w:rsidRPr="007F1972" w:rsidRDefault="00F366E8" w:rsidP="005C1352">
            <w:pPr>
              <w:jc w:val="left"/>
              <w:rPr>
                <w:b/>
                <w:bCs/>
                <w:sz w:val="19"/>
                <w:szCs w:val="19"/>
              </w:rPr>
            </w:pPr>
            <w:r w:rsidRPr="007F1972">
              <w:rPr>
                <w:bCs/>
                <w:sz w:val="19"/>
                <w:szCs w:val="19"/>
              </w:rPr>
              <w:t>Not calculated</w:t>
            </w:r>
          </w:p>
        </w:tc>
        <w:tc>
          <w:tcPr>
            <w:tcW w:w="3510" w:type="dxa"/>
            <w:shd w:val="clear" w:color="auto" w:fill="auto"/>
            <w:noWrap/>
            <w:vAlign w:val="center"/>
          </w:tcPr>
          <w:p w:rsidR="00F366E8" w:rsidRPr="007F1972" w:rsidRDefault="00F366E8" w:rsidP="005C1352">
            <w:pPr>
              <w:jc w:val="left"/>
              <w:rPr>
                <w:sz w:val="19"/>
                <w:szCs w:val="19"/>
              </w:rPr>
            </w:pPr>
            <w:r w:rsidRPr="007F1972">
              <w:rPr>
                <w:sz w:val="19"/>
                <w:szCs w:val="19"/>
              </w:rPr>
              <w:t>Smart A/C Saver – Commercial</w:t>
            </w:r>
          </w:p>
        </w:tc>
        <w:tc>
          <w:tcPr>
            <w:tcW w:w="1260" w:type="dxa"/>
            <w:shd w:val="clear" w:color="auto" w:fill="auto"/>
            <w:noWrap/>
            <w:vAlign w:val="center"/>
          </w:tcPr>
          <w:p w:rsidR="00F366E8" w:rsidRPr="007F1972" w:rsidRDefault="00F366E8" w:rsidP="005C1352">
            <w:pPr>
              <w:jc w:val="center"/>
              <w:rPr>
                <w:sz w:val="19"/>
                <w:szCs w:val="19"/>
              </w:rPr>
            </w:pPr>
            <w:r w:rsidRPr="007F1972">
              <w:rPr>
                <w:sz w:val="19"/>
                <w:szCs w:val="19"/>
              </w:rPr>
              <w:t>N/A</w:t>
            </w:r>
          </w:p>
        </w:tc>
        <w:tc>
          <w:tcPr>
            <w:tcW w:w="1170" w:type="dxa"/>
            <w:shd w:val="clear" w:color="auto" w:fill="auto"/>
            <w:noWrap/>
            <w:vAlign w:val="center"/>
          </w:tcPr>
          <w:p w:rsidR="00F366E8" w:rsidRPr="007F1972" w:rsidRDefault="00F366E8" w:rsidP="005C1352">
            <w:pPr>
              <w:jc w:val="center"/>
              <w:rPr>
                <w:sz w:val="19"/>
                <w:szCs w:val="19"/>
              </w:rPr>
            </w:pPr>
            <w:r w:rsidRPr="007F1972">
              <w:rPr>
                <w:sz w:val="19"/>
                <w:szCs w:val="19"/>
              </w:rPr>
              <w:t>N/A</w:t>
            </w:r>
          </w:p>
        </w:tc>
        <w:tc>
          <w:tcPr>
            <w:tcW w:w="1170" w:type="dxa"/>
            <w:shd w:val="clear" w:color="auto" w:fill="auto"/>
            <w:noWrap/>
            <w:vAlign w:val="center"/>
          </w:tcPr>
          <w:p w:rsidR="00F366E8" w:rsidRPr="007F1972" w:rsidRDefault="00F366E8" w:rsidP="005C1352">
            <w:pPr>
              <w:jc w:val="center"/>
              <w:rPr>
                <w:sz w:val="19"/>
                <w:szCs w:val="19"/>
              </w:rPr>
            </w:pPr>
            <w:r w:rsidRPr="007F1972">
              <w:rPr>
                <w:sz w:val="19"/>
                <w:szCs w:val="19"/>
              </w:rPr>
              <w:t>1.0</w:t>
            </w:r>
          </w:p>
        </w:tc>
        <w:tc>
          <w:tcPr>
            <w:tcW w:w="990" w:type="dxa"/>
            <w:shd w:val="clear" w:color="auto" w:fill="auto"/>
            <w:vAlign w:val="center"/>
          </w:tcPr>
          <w:p w:rsidR="00F366E8" w:rsidRPr="007F1972" w:rsidRDefault="00F366E8" w:rsidP="005C1352">
            <w:pPr>
              <w:jc w:val="center"/>
              <w:rPr>
                <w:sz w:val="19"/>
                <w:szCs w:val="19"/>
              </w:rPr>
            </w:pPr>
            <w:r w:rsidRPr="007F1972">
              <w:rPr>
                <w:sz w:val="19"/>
                <w:szCs w:val="19"/>
              </w:rPr>
              <w:t>N/A</w:t>
            </w:r>
          </w:p>
        </w:tc>
      </w:tr>
      <w:tr w:rsidR="00A874AC" w:rsidRPr="007F1972" w:rsidTr="008111EC">
        <w:trPr>
          <w:trHeight w:val="488"/>
        </w:trPr>
        <w:tc>
          <w:tcPr>
            <w:tcW w:w="1242" w:type="dxa"/>
            <w:shd w:val="clear" w:color="auto" w:fill="D2EAF1"/>
            <w:vAlign w:val="center"/>
          </w:tcPr>
          <w:p w:rsidR="00F366E8" w:rsidRPr="007F1972" w:rsidRDefault="00F366E8" w:rsidP="005C1352">
            <w:pPr>
              <w:jc w:val="left"/>
              <w:rPr>
                <w:bCs/>
                <w:sz w:val="19"/>
                <w:szCs w:val="19"/>
              </w:rPr>
            </w:pPr>
            <w:r w:rsidRPr="007F1972">
              <w:rPr>
                <w:sz w:val="19"/>
                <w:szCs w:val="19"/>
              </w:rPr>
              <w:t>Referenced from PY6</w:t>
            </w:r>
          </w:p>
        </w:tc>
        <w:tc>
          <w:tcPr>
            <w:tcW w:w="3510" w:type="dxa"/>
            <w:shd w:val="clear" w:color="auto" w:fill="D2EAF1"/>
            <w:noWrap/>
            <w:vAlign w:val="center"/>
          </w:tcPr>
          <w:p w:rsidR="00F366E8" w:rsidRPr="007F1972" w:rsidRDefault="00F366E8" w:rsidP="005C1352">
            <w:pPr>
              <w:jc w:val="left"/>
              <w:rPr>
                <w:sz w:val="19"/>
                <w:szCs w:val="19"/>
              </w:rPr>
            </w:pPr>
            <w:r w:rsidRPr="007F1972">
              <w:rPr>
                <w:sz w:val="19"/>
                <w:szCs w:val="19"/>
              </w:rPr>
              <w:t>Smart Construction Incentives (SCI)</w:t>
            </w:r>
          </w:p>
        </w:tc>
        <w:tc>
          <w:tcPr>
            <w:tcW w:w="1260" w:type="dxa"/>
            <w:shd w:val="clear" w:color="auto" w:fill="D2EAF1"/>
            <w:noWrap/>
            <w:vAlign w:val="center"/>
          </w:tcPr>
          <w:p w:rsidR="00F366E8" w:rsidRPr="007F1972" w:rsidRDefault="00F366E8" w:rsidP="005C1352">
            <w:pPr>
              <w:jc w:val="center"/>
              <w:rPr>
                <w:sz w:val="19"/>
                <w:szCs w:val="19"/>
              </w:rPr>
            </w:pPr>
            <w:r w:rsidRPr="007F1972">
              <w:rPr>
                <w:sz w:val="19"/>
                <w:szCs w:val="19"/>
              </w:rPr>
              <w:t>0.48</w:t>
            </w:r>
          </w:p>
        </w:tc>
        <w:tc>
          <w:tcPr>
            <w:tcW w:w="1170" w:type="dxa"/>
            <w:shd w:val="clear" w:color="auto" w:fill="D2EAF1"/>
            <w:noWrap/>
            <w:vAlign w:val="center"/>
          </w:tcPr>
          <w:p w:rsidR="00F366E8" w:rsidRPr="007F1972" w:rsidRDefault="00F366E8" w:rsidP="005C1352">
            <w:pPr>
              <w:jc w:val="center"/>
              <w:rPr>
                <w:sz w:val="19"/>
                <w:szCs w:val="19"/>
              </w:rPr>
            </w:pPr>
            <w:r w:rsidRPr="007F1972">
              <w:rPr>
                <w:sz w:val="19"/>
                <w:szCs w:val="19"/>
              </w:rPr>
              <w:t>0.00</w:t>
            </w:r>
          </w:p>
        </w:tc>
        <w:tc>
          <w:tcPr>
            <w:tcW w:w="1170" w:type="dxa"/>
            <w:shd w:val="clear" w:color="auto" w:fill="D2EAF1"/>
            <w:noWrap/>
            <w:vAlign w:val="center"/>
          </w:tcPr>
          <w:p w:rsidR="00F366E8" w:rsidRPr="007F1972" w:rsidRDefault="00F366E8" w:rsidP="005C1352">
            <w:pPr>
              <w:jc w:val="center"/>
              <w:rPr>
                <w:sz w:val="19"/>
                <w:szCs w:val="19"/>
              </w:rPr>
            </w:pPr>
            <w:r w:rsidRPr="007F1972">
              <w:rPr>
                <w:sz w:val="19"/>
                <w:szCs w:val="19"/>
              </w:rPr>
              <w:t>0.52</w:t>
            </w:r>
          </w:p>
        </w:tc>
        <w:tc>
          <w:tcPr>
            <w:tcW w:w="990" w:type="dxa"/>
            <w:shd w:val="clear" w:color="auto" w:fill="D2EAF1"/>
            <w:vAlign w:val="center"/>
          </w:tcPr>
          <w:p w:rsidR="00F366E8" w:rsidRPr="007F1972" w:rsidRDefault="00F366E8" w:rsidP="005C1352">
            <w:pPr>
              <w:jc w:val="center"/>
              <w:rPr>
                <w:sz w:val="19"/>
                <w:szCs w:val="19"/>
              </w:rPr>
            </w:pPr>
            <w:r w:rsidRPr="007F1972">
              <w:rPr>
                <w:sz w:val="19"/>
                <w:szCs w:val="19"/>
              </w:rPr>
              <w:t>N/A</w:t>
            </w:r>
          </w:p>
        </w:tc>
      </w:tr>
      <w:tr w:rsidR="00E7173E" w:rsidRPr="007F1972" w:rsidTr="005A33A4">
        <w:trPr>
          <w:trHeight w:val="489"/>
        </w:trPr>
        <w:tc>
          <w:tcPr>
            <w:tcW w:w="1242" w:type="dxa"/>
            <w:shd w:val="clear" w:color="auto" w:fill="auto"/>
            <w:vAlign w:val="center"/>
          </w:tcPr>
          <w:p w:rsidR="00F366E8" w:rsidRPr="007F1972" w:rsidRDefault="00F366E8" w:rsidP="005C1352">
            <w:pPr>
              <w:jc w:val="left"/>
              <w:rPr>
                <w:sz w:val="19"/>
                <w:szCs w:val="19"/>
              </w:rPr>
            </w:pPr>
            <w:r w:rsidRPr="007F1972">
              <w:rPr>
                <w:sz w:val="19"/>
                <w:szCs w:val="19"/>
              </w:rPr>
              <w:t>Referenced from PY5</w:t>
            </w:r>
          </w:p>
        </w:tc>
        <w:tc>
          <w:tcPr>
            <w:tcW w:w="3510" w:type="dxa"/>
            <w:shd w:val="clear" w:color="auto" w:fill="auto"/>
            <w:noWrap/>
            <w:vAlign w:val="center"/>
          </w:tcPr>
          <w:p w:rsidR="00F366E8" w:rsidRPr="007F1972" w:rsidRDefault="00F366E8" w:rsidP="005C1352">
            <w:pPr>
              <w:jc w:val="left"/>
              <w:rPr>
                <w:sz w:val="19"/>
                <w:szCs w:val="19"/>
              </w:rPr>
            </w:pPr>
            <w:r w:rsidRPr="007F1972">
              <w:rPr>
                <w:sz w:val="19"/>
                <w:szCs w:val="19"/>
              </w:rPr>
              <w:t>Smart Business Solutions (SBS)</w:t>
            </w:r>
          </w:p>
        </w:tc>
        <w:tc>
          <w:tcPr>
            <w:tcW w:w="1260" w:type="dxa"/>
            <w:shd w:val="clear" w:color="auto" w:fill="auto"/>
            <w:noWrap/>
            <w:vAlign w:val="center"/>
          </w:tcPr>
          <w:p w:rsidR="00F366E8" w:rsidRPr="007F1972" w:rsidRDefault="00CC24BB" w:rsidP="005C1352">
            <w:pPr>
              <w:jc w:val="center"/>
              <w:rPr>
                <w:sz w:val="19"/>
                <w:szCs w:val="19"/>
              </w:rPr>
            </w:pPr>
            <w:r w:rsidRPr="007F1972">
              <w:rPr>
                <w:sz w:val="19"/>
                <w:szCs w:val="19"/>
              </w:rPr>
              <w:t>0.10</w:t>
            </w:r>
          </w:p>
        </w:tc>
        <w:tc>
          <w:tcPr>
            <w:tcW w:w="1170" w:type="dxa"/>
            <w:shd w:val="clear" w:color="auto" w:fill="auto"/>
            <w:noWrap/>
            <w:vAlign w:val="center"/>
          </w:tcPr>
          <w:p w:rsidR="00F366E8" w:rsidRPr="007F1972" w:rsidRDefault="00CC24BB" w:rsidP="005C1352">
            <w:pPr>
              <w:jc w:val="center"/>
              <w:rPr>
                <w:sz w:val="19"/>
                <w:szCs w:val="19"/>
              </w:rPr>
            </w:pPr>
            <w:r w:rsidRPr="007F1972">
              <w:rPr>
                <w:sz w:val="19"/>
                <w:szCs w:val="19"/>
              </w:rPr>
              <w:t>0.00</w:t>
            </w:r>
          </w:p>
        </w:tc>
        <w:tc>
          <w:tcPr>
            <w:tcW w:w="1170" w:type="dxa"/>
            <w:shd w:val="clear" w:color="auto" w:fill="auto"/>
            <w:noWrap/>
            <w:vAlign w:val="center"/>
          </w:tcPr>
          <w:p w:rsidR="00F366E8" w:rsidRPr="007F1972" w:rsidRDefault="00CC24BB" w:rsidP="005C1352">
            <w:pPr>
              <w:jc w:val="center"/>
              <w:rPr>
                <w:sz w:val="19"/>
                <w:szCs w:val="19"/>
              </w:rPr>
            </w:pPr>
            <w:r w:rsidRPr="007F1972">
              <w:rPr>
                <w:sz w:val="19"/>
                <w:szCs w:val="19"/>
              </w:rPr>
              <w:t>0.90</w:t>
            </w:r>
          </w:p>
        </w:tc>
        <w:tc>
          <w:tcPr>
            <w:tcW w:w="990" w:type="dxa"/>
            <w:shd w:val="clear" w:color="auto" w:fill="auto"/>
            <w:vAlign w:val="center"/>
          </w:tcPr>
          <w:p w:rsidR="00F366E8" w:rsidRPr="007F1972" w:rsidRDefault="00F366E8" w:rsidP="005C1352">
            <w:pPr>
              <w:jc w:val="center"/>
              <w:rPr>
                <w:sz w:val="19"/>
                <w:szCs w:val="19"/>
              </w:rPr>
            </w:pPr>
            <w:r w:rsidRPr="007F1972">
              <w:rPr>
                <w:sz w:val="19"/>
                <w:szCs w:val="19"/>
              </w:rPr>
              <w:t>N/A</w:t>
            </w:r>
          </w:p>
        </w:tc>
      </w:tr>
      <w:tr w:rsidR="00E7173E" w:rsidRPr="001D0677" w:rsidTr="005A33A4">
        <w:trPr>
          <w:trHeight w:val="288"/>
        </w:trPr>
        <w:tc>
          <w:tcPr>
            <w:tcW w:w="9342" w:type="dxa"/>
            <w:gridSpan w:val="6"/>
            <w:shd w:val="clear" w:color="auto" w:fill="448A99"/>
          </w:tcPr>
          <w:p w:rsidR="000C3B79" w:rsidRPr="001D0677" w:rsidRDefault="006142E6" w:rsidP="005C1352">
            <w:pPr>
              <w:jc w:val="left"/>
              <w:rPr>
                <w:color w:val="FFFFFF"/>
                <w:sz w:val="18"/>
                <w:szCs w:val="18"/>
              </w:rPr>
            </w:pPr>
            <w:r w:rsidRPr="001D0677">
              <w:rPr>
                <w:color w:val="FFFFFF"/>
                <w:sz w:val="18"/>
                <w:szCs w:val="18"/>
              </w:rPr>
              <w:t>NOTES:</w:t>
            </w:r>
          </w:p>
          <w:p w:rsidR="00F366E8" w:rsidRPr="001D0677" w:rsidRDefault="00F366E8" w:rsidP="005C1352">
            <w:pPr>
              <w:jc w:val="left"/>
              <w:rPr>
                <w:color w:val="FFFFFF"/>
                <w:sz w:val="18"/>
                <w:szCs w:val="20"/>
              </w:rPr>
            </w:pPr>
            <w:r w:rsidRPr="001D0677">
              <w:rPr>
                <w:color w:val="FFFFFF"/>
                <w:sz w:val="18"/>
                <w:szCs w:val="18"/>
              </w:rPr>
              <w:t>[a]</w:t>
            </w:r>
            <w:r w:rsidRPr="001D0677">
              <w:rPr>
                <w:bCs/>
                <w:color w:val="FFFFFF"/>
                <w:sz w:val="18"/>
                <w:szCs w:val="20"/>
              </w:rPr>
              <w:t xml:space="preserve"> </w:t>
            </w:r>
            <w:r w:rsidRPr="001D0677">
              <w:rPr>
                <w:color w:val="FFFFFF"/>
                <w:sz w:val="18"/>
                <w:szCs w:val="20"/>
              </w:rPr>
              <w:t xml:space="preserve">NTGR = 1 – free-ridership + spillover. In some cases, the NTGR shown in the table may not equal exactly 1 – </w:t>
            </w:r>
            <w:r w:rsidRPr="001D0677">
              <w:rPr>
                <w:rFonts w:eastAsia="Calibri"/>
                <w:color w:val="FFFFFF"/>
                <w:sz w:val="18"/>
                <w:szCs w:val="20"/>
              </w:rPr>
              <w:t>free-ridership + spillover</w:t>
            </w:r>
            <w:r w:rsidRPr="001D0677">
              <w:rPr>
                <w:color w:val="FFFFFF"/>
                <w:sz w:val="18"/>
                <w:szCs w:val="20"/>
              </w:rPr>
              <w:t xml:space="preserve"> because of rounding.</w:t>
            </w:r>
          </w:p>
          <w:p w:rsidR="00F366E8" w:rsidRPr="001D0677" w:rsidRDefault="00F366E8" w:rsidP="005C1352">
            <w:pPr>
              <w:contextualSpacing/>
              <w:jc w:val="left"/>
              <w:rPr>
                <w:bCs/>
                <w:color w:val="FFFFFF"/>
                <w:sz w:val="20"/>
                <w:szCs w:val="20"/>
              </w:rPr>
            </w:pPr>
            <w:r w:rsidRPr="001D0677">
              <w:rPr>
                <w:color w:val="FFFFFF"/>
                <w:sz w:val="18"/>
                <w:szCs w:val="18"/>
              </w:rPr>
              <w:t>[b]</w:t>
            </w:r>
            <w:r w:rsidRPr="001D0677">
              <w:rPr>
                <w:bCs/>
                <w:color w:val="FFFFFF"/>
                <w:sz w:val="18"/>
                <w:szCs w:val="20"/>
              </w:rPr>
              <w:t xml:space="preserve"> </w:t>
            </w:r>
            <w:r w:rsidRPr="001D0677">
              <w:rPr>
                <w:bCs/>
                <w:color w:val="FFFFFF"/>
                <w:sz w:val="18"/>
                <w:szCs w:val="18"/>
              </w:rPr>
              <w:t>All samples provided at least 85/15 precision/confidence.</w:t>
            </w:r>
          </w:p>
        </w:tc>
      </w:tr>
    </w:tbl>
    <w:p w:rsidR="00F366E8" w:rsidRPr="006C05B5" w:rsidRDefault="00F366E8" w:rsidP="00F366E8"/>
    <w:p w:rsidR="00950837" w:rsidRDefault="00950837" w:rsidP="000D3563">
      <w:pPr>
        <w:pStyle w:val="AppendixAHeading2"/>
      </w:pPr>
      <w:r>
        <w:t>Statewide Evaluator Final Recommendations</w:t>
      </w:r>
    </w:p>
    <w:p w:rsidR="00024C49" w:rsidRDefault="00024C49" w:rsidP="008111EC">
      <w:pPr>
        <w:spacing w:after="120"/>
      </w:pPr>
      <w:r>
        <w:t xml:space="preserve">The SWE Team has the following </w:t>
      </w:r>
      <w:r w:rsidR="003E6CCF">
        <w:t>four</w:t>
      </w:r>
      <w:r>
        <w:t xml:space="preserve"> recommendations for P</w:t>
      </w:r>
      <w:r w:rsidR="00BF321B">
        <w:t>ECO</w:t>
      </w:r>
      <w:r>
        <w:t>’s consideration.</w:t>
      </w:r>
    </w:p>
    <w:p w:rsidR="00024C49" w:rsidRPr="008111EC" w:rsidRDefault="00024C49" w:rsidP="00E646C9">
      <w:pPr>
        <w:pStyle w:val="ListParagraph"/>
        <w:numPr>
          <w:ilvl w:val="0"/>
          <w:numId w:val="89"/>
        </w:numPr>
        <w:ind w:left="360"/>
      </w:pPr>
      <w:r w:rsidRPr="008111EC">
        <w:t>Focus education and marketing efforts on HVAC installers for the non-lighting aspect of Smart Home Rebates program in Phase III as the program ramps back up and invites new installation companies to join.</w:t>
      </w:r>
    </w:p>
    <w:p w:rsidR="00024C49" w:rsidRPr="008111EC" w:rsidRDefault="00024C49" w:rsidP="00E646C9">
      <w:pPr>
        <w:pStyle w:val="ListParagraph"/>
        <w:numPr>
          <w:ilvl w:val="0"/>
          <w:numId w:val="89"/>
        </w:numPr>
        <w:ind w:left="360"/>
      </w:pPr>
      <w:r w:rsidRPr="008111EC">
        <w:t>Develop targeted Low-Income Energy Efficiency (LEEP) program materials that prioritize next steps and guide customers to the most appropriate program component, and ensure that schedule expectations are clear and applied consistently across customers.</w:t>
      </w:r>
    </w:p>
    <w:p w:rsidR="00024C49" w:rsidRPr="008111EC" w:rsidRDefault="00024C49" w:rsidP="00E646C9">
      <w:pPr>
        <w:pStyle w:val="ListParagraph"/>
        <w:numPr>
          <w:ilvl w:val="0"/>
          <w:numId w:val="89"/>
        </w:numPr>
        <w:ind w:left="360"/>
      </w:pPr>
      <w:r w:rsidRPr="008111EC">
        <w:t>PECO: Use the limited time offer as a lever in future years if participation is low in the Smart Equipment Incentives (SEI) program.</w:t>
      </w:r>
    </w:p>
    <w:p w:rsidR="00024C49" w:rsidRPr="008111EC" w:rsidRDefault="00024C49" w:rsidP="00E646C9">
      <w:pPr>
        <w:pStyle w:val="ListParagraph"/>
        <w:numPr>
          <w:ilvl w:val="0"/>
          <w:numId w:val="89"/>
        </w:numPr>
        <w:ind w:left="360"/>
      </w:pPr>
      <w:r w:rsidRPr="008111EC">
        <w:t>PECO: Set final Phase III Smart On-Site (SOS) project enrollment deadlines of January 1, 2019 for projects over 1 MW and January 1, 2020 for projects less than 1 MW, to mitigate completion risks that lead to portfolio-level uncertainty.</w:t>
      </w:r>
    </w:p>
    <w:p w:rsidR="007C0930" w:rsidRPr="008111EC" w:rsidRDefault="007C0930" w:rsidP="008111EC"/>
    <w:p w:rsidR="00950837" w:rsidRDefault="00950837" w:rsidP="00353645">
      <w:pPr>
        <w:pStyle w:val="AppendixAHeading1"/>
      </w:pPr>
      <w:r>
        <w:t>PPL</w:t>
      </w:r>
    </w:p>
    <w:p w:rsidR="007724F5" w:rsidRPr="007724F5" w:rsidRDefault="007724F5" w:rsidP="007724F5">
      <w:r w:rsidRPr="00735BA9">
        <w:t xml:space="preserve">This </w:t>
      </w:r>
      <w:r>
        <w:t>section</w:t>
      </w:r>
      <w:r w:rsidRPr="00735BA9">
        <w:t xml:space="preserve"> summarizes </w:t>
      </w:r>
      <w:r>
        <w:t>PPL</w:t>
      </w:r>
      <w:r w:rsidRPr="00735BA9">
        <w:t xml:space="preserve">’s program performance </w:t>
      </w:r>
      <w:r>
        <w:t>through PY7</w:t>
      </w:r>
      <w:r w:rsidRPr="00735BA9">
        <w:t xml:space="preserve">. It includes an overview of the cumulative energy savings and demand reductions achieved by </w:t>
      </w:r>
      <w:r>
        <w:t>PPL</w:t>
      </w:r>
      <w:r w:rsidRPr="00735BA9">
        <w:t xml:space="preserve">’s Act 129 EE&amp;C programs in Phase II; an overview of the TRC test results for each program and for the portfolio of programs; a discussion of the activities completed by </w:t>
      </w:r>
      <w:r>
        <w:t>PPL</w:t>
      </w:r>
      <w:r w:rsidRPr="00735BA9">
        <w:t xml:space="preserve">’s evaluation contractor to conduct M&amp;V of </w:t>
      </w:r>
      <w:r w:rsidR="00AC4631">
        <w:t>PPL</w:t>
      </w:r>
      <w:r w:rsidR="00AC4631" w:rsidRPr="00735BA9">
        <w:t>’s</w:t>
      </w:r>
      <w:r w:rsidRPr="00735BA9">
        <w:t xml:space="preserve"> EE&amp;C programs and to calculate the cost-effectiveness of the portfolio of programs; a description of the work and findings of the SWE Team audits; and the SWE Team’s recommendations of actions to help improve </w:t>
      </w:r>
      <w:r>
        <w:t>PPL</w:t>
      </w:r>
      <w:r w:rsidRPr="00735BA9">
        <w:t>’s programs in the future</w:t>
      </w:r>
      <w:r>
        <w:t>.</w:t>
      </w:r>
    </w:p>
    <w:p w:rsidR="007724F5" w:rsidRDefault="007724F5" w:rsidP="008111EC"/>
    <w:p w:rsidR="00950837" w:rsidRDefault="00950837" w:rsidP="000D3563">
      <w:pPr>
        <w:pStyle w:val="AppendixAHeading2"/>
      </w:pPr>
      <w:r>
        <w:t>Summary of Energy and Demand Reductions</w:t>
      </w:r>
    </w:p>
    <w:p w:rsidR="009C5272" w:rsidRDefault="009C5272" w:rsidP="009C5272">
      <w:r>
        <w:t xml:space="preserve">This section lists the programs </w:t>
      </w:r>
      <w:r w:rsidR="003E6CCF">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9C0DF1">
      <w:pPr>
        <w:pStyle w:val="AppendixAHeading3"/>
      </w:pPr>
      <w:r>
        <w:t>Phase II Savings by Program</w:t>
      </w:r>
    </w:p>
    <w:p w:rsidR="005A27BE" w:rsidRDefault="007779FE" w:rsidP="005A27BE">
      <w:r>
        <w:t xml:space="preserve">Table A-134 </w:t>
      </w:r>
      <w:r w:rsidR="005A27BE" w:rsidRPr="004B480A">
        <w:t>lists</w:t>
      </w:r>
      <w:r w:rsidR="005A27BE">
        <w:t xml:space="preserve"> the</w:t>
      </w:r>
      <w:r w:rsidR="005A27BE" w:rsidRPr="004B480A">
        <w:t xml:space="preserve"> </w:t>
      </w:r>
      <w:r w:rsidR="00893B85">
        <w:t xml:space="preserve">PPL </w:t>
      </w:r>
      <w:r w:rsidR="005A27BE" w:rsidRPr="004B480A">
        <w:t>EE&amp;C programs</w:t>
      </w:r>
      <w:r w:rsidR="005A27BE">
        <w:t xml:space="preserve"> that yielded reported savings in PY7. </w:t>
      </w:r>
      <w:r>
        <w:t xml:space="preserve">Table A-135 </w:t>
      </w:r>
      <w:r w:rsidR="005A27BE">
        <w:t xml:space="preserve">shows the verified gross energy and demand savings of each program at the conclusion of Phase II. The </w:t>
      </w:r>
      <w:r w:rsidR="00504627">
        <w:t>Prescriptive Equipment progr</w:t>
      </w:r>
      <w:r w:rsidR="005A27BE">
        <w:t>am was the largest contributor of both energy and demand savings.</w:t>
      </w:r>
    </w:p>
    <w:p w:rsidR="00D77B11" w:rsidRPr="007779FE" w:rsidRDefault="00D77B11" w:rsidP="007779FE">
      <w:bookmarkStart w:id="1260" w:name="_Ref472359548"/>
      <w:bookmarkStart w:id="1261" w:name="_Toc472472543"/>
    </w:p>
    <w:p w:rsidR="005A27BE" w:rsidRDefault="005A27BE" w:rsidP="004837FA">
      <w:pPr>
        <w:pStyle w:val="Caption"/>
      </w:pPr>
      <w:bookmarkStart w:id="1262" w:name="_Toc488741962"/>
      <w:r w:rsidRPr="00E41D9C">
        <w:t>Table A-</w:t>
      </w:r>
      <w:r w:rsidR="007973A4">
        <w:fldChar w:fldCharType="begin"/>
      </w:r>
      <w:r w:rsidR="007973A4">
        <w:instrText xml:space="preserve"> SEQ Table_A- \* ARABIC </w:instrText>
      </w:r>
      <w:r w:rsidR="007973A4">
        <w:fldChar w:fldCharType="separate"/>
      </w:r>
      <w:r w:rsidR="00037CB4">
        <w:rPr>
          <w:noProof/>
        </w:rPr>
        <w:t>134</w:t>
      </w:r>
      <w:r w:rsidR="007973A4">
        <w:rPr>
          <w:noProof/>
        </w:rPr>
        <w:fldChar w:fldCharType="end"/>
      </w:r>
      <w:bookmarkEnd w:id="1260"/>
      <w:r w:rsidRPr="00E41D9C">
        <w:t xml:space="preserve">: </w:t>
      </w:r>
      <w:r w:rsidR="00893B85">
        <w:t>PPL</w:t>
      </w:r>
      <w:r w:rsidRPr="00E41D9C">
        <w:t xml:space="preserve"> EE&amp;C Programs wi</w:t>
      </w:r>
      <w:r>
        <w:t>th Reported Gross Savings in PY7</w:t>
      </w:r>
      <w:bookmarkEnd w:id="1261"/>
      <w:bookmarkEnd w:id="1262"/>
    </w:p>
    <w:tbl>
      <w:tblPr>
        <w:tblW w:w="9350" w:type="dxa"/>
        <w:tblLook w:val="04A0" w:firstRow="1" w:lastRow="0" w:firstColumn="1" w:lastColumn="0" w:noHBand="0" w:noVBand="1"/>
      </w:tblPr>
      <w:tblGrid>
        <w:gridCol w:w="5480"/>
        <w:gridCol w:w="3870"/>
      </w:tblGrid>
      <w:tr w:rsidR="00E7173E" w:rsidRPr="007779FE" w:rsidTr="00EE3086">
        <w:trPr>
          <w:trHeight w:val="223"/>
          <w:tblHeader/>
        </w:trPr>
        <w:tc>
          <w:tcPr>
            <w:tcW w:w="548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07628E" w:rsidRPr="007779FE" w:rsidRDefault="0007628E" w:rsidP="008111EC">
            <w:pPr>
              <w:rPr>
                <w:b/>
                <w:bCs/>
                <w:color w:val="FFFFFF"/>
                <w:sz w:val="19"/>
                <w:szCs w:val="19"/>
              </w:rPr>
            </w:pPr>
            <w:r w:rsidRPr="007779FE">
              <w:rPr>
                <w:b/>
                <w:bCs/>
                <w:color w:val="FFFFFF"/>
                <w:sz w:val="19"/>
                <w:szCs w:val="19"/>
              </w:rPr>
              <w:t>Programs Reporting PY7 Gross Savings</w:t>
            </w:r>
          </w:p>
        </w:tc>
        <w:tc>
          <w:tcPr>
            <w:tcW w:w="3870" w:type="dxa"/>
            <w:tcBorders>
              <w:top w:val="single" w:sz="8" w:space="0" w:color="448A99"/>
              <w:left w:val="nil"/>
              <w:bottom w:val="single" w:sz="8" w:space="0" w:color="448A99"/>
              <w:right w:val="single" w:sz="8" w:space="0" w:color="448A99"/>
            </w:tcBorders>
            <w:shd w:val="clear" w:color="000000" w:fill="448A99"/>
            <w:vAlign w:val="bottom"/>
            <w:hideMark/>
          </w:tcPr>
          <w:p w:rsidR="0007628E" w:rsidRPr="007779FE" w:rsidRDefault="0007628E" w:rsidP="008111EC">
            <w:pPr>
              <w:jc w:val="center"/>
              <w:rPr>
                <w:b/>
                <w:bCs/>
                <w:color w:val="FFFFFF"/>
                <w:sz w:val="19"/>
                <w:szCs w:val="19"/>
              </w:rPr>
            </w:pPr>
            <w:r w:rsidRPr="007779FE">
              <w:rPr>
                <w:b/>
                <w:bCs/>
                <w:color w:val="FFFFFF"/>
                <w:sz w:val="19"/>
                <w:szCs w:val="19"/>
              </w:rPr>
              <w:t>Sector(s)</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Appliance Recycling</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Residential</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Continuous Energy Improvement</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GNI</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Custom Incentive</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Non-Residential / GNI</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E-Power Wise</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Low-Income</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Low-Income Energy-Efficiency Behavior and Education</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Low-Income</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Low-Income WRAP</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Low-Income</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Master Metered Multifamily Housing</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GNI</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Prescriptive Equipment</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7779FE" w:rsidRDefault="0007628E" w:rsidP="0007628E">
            <w:pPr>
              <w:jc w:val="left"/>
              <w:rPr>
                <w:color w:val="000000"/>
                <w:sz w:val="19"/>
                <w:szCs w:val="19"/>
              </w:rPr>
            </w:pPr>
            <w:r w:rsidRPr="007779FE">
              <w:rPr>
                <w:color w:val="000000"/>
                <w:sz w:val="19"/>
                <w:szCs w:val="19"/>
              </w:rPr>
              <w:t xml:space="preserve">Non-Residential / GNI / Residential </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Residential Energy-Efficiency Behavior and Education</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Residential</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Residential Home Comfort</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7779FE" w:rsidRDefault="0007628E" w:rsidP="00CE78B5">
            <w:pPr>
              <w:jc w:val="left"/>
              <w:rPr>
                <w:color w:val="000000"/>
                <w:sz w:val="19"/>
                <w:szCs w:val="19"/>
              </w:rPr>
            </w:pPr>
            <w:r w:rsidRPr="007779FE">
              <w:rPr>
                <w:color w:val="000000"/>
                <w:sz w:val="19"/>
                <w:szCs w:val="19"/>
              </w:rPr>
              <w:t>Residential</w:t>
            </w:r>
            <w:r w:rsidR="00164F59" w:rsidRPr="007779FE">
              <w:rPr>
                <w:color w:val="000000"/>
                <w:sz w:val="19"/>
                <w:szCs w:val="19"/>
              </w:rPr>
              <w:t xml:space="preserve"> / Small Commercial / GNI</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Residential Retail</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7779FE" w:rsidRDefault="0007628E" w:rsidP="0007628E">
            <w:pPr>
              <w:rPr>
                <w:color w:val="000000"/>
                <w:sz w:val="19"/>
                <w:szCs w:val="19"/>
              </w:rPr>
            </w:pPr>
            <w:r w:rsidRPr="007779FE">
              <w:rPr>
                <w:color w:val="000000"/>
                <w:sz w:val="19"/>
                <w:szCs w:val="19"/>
              </w:rPr>
              <w:t>Residential</w:t>
            </w:r>
          </w:p>
        </w:tc>
      </w:tr>
      <w:tr w:rsidR="00E7173E" w:rsidRPr="007779F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Student &amp; Parent Education</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Residential</w:t>
            </w:r>
          </w:p>
        </w:tc>
      </w:tr>
      <w:tr w:rsidR="00E7173E" w:rsidRPr="007779FE" w:rsidTr="005A33A4">
        <w:trPr>
          <w:trHeight w:val="144"/>
        </w:trPr>
        <w:tc>
          <w:tcPr>
            <w:tcW w:w="5480" w:type="dxa"/>
            <w:tcBorders>
              <w:top w:val="nil"/>
              <w:left w:val="single" w:sz="8" w:space="0" w:color="448A99"/>
              <w:bottom w:val="single" w:sz="8" w:space="0" w:color="448A99"/>
              <w:right w:val="single" w:sz="8" w:space="0" w:color="448A99"/>
            </w:tcBorders>
            <w:shd w:val="clear" w:color="auto" w:fill="9C9393"/>
            <w:vAlign w:val="center"/>
            <w:hideMark/>
          </w:tcPr>
          <w:p w:rsidR="0007628E" w:rsidRPr="007779FE" w:rsidRDefault="0007628E" w:rsidP="0007628E">
            <w:pPr>
              <w:rPr>
                <w:b/>
                <w:bCs/>
                <w:color w:val="FFFFFF"/>
                <w:sz w:val="19"/>
                <w:szCs w:val="19"/>
              </w:rPr>
            </w:pPr>
            <w:r w:rsidRPr="007779FE">
              <w:rPr>
                <w:b/>
                <w:bCs/>
                <w:color w:val="FFFFFF"/>
                <w:sz w:val="19"/>
                <w:szCs w:val="19"/>
              </w:rPr>
              <w:t>Programs implemented with no reported PY7 savings</w:t>
            </w:r>
          </w:p>
        </w:tc>
        <w:tc>
          <w:tcPr>
            <w:tcW w:w="3870" w:type="dxa"/>
            <w:tcBorders>
              <w:top w:val="nil"/>
              <w:left w:val="nil"/>
              <w:bottom w:val="single" w:sz="8" w:space="0" w:color="448A99"/>
              <w:right w:val="single" w:sz="8" w:space="0" w:color="448A99"/>
            </w:tcBorders>
            <w:shd w:val="clear" w:color="auto" w:fill="9C9393"/>
            <w:vAlign w:val="center"/>
            <w:hideMark/>
          </w:tcPr>
          <w:p w:rsidR="0007628E" w:rsidRPr="007779FE" w:rsidRDefault="0007628E" w:rsidP="0007628E">
            <w:pPr>
              <w:rPr>
                <w:b/>
                <w:bCs/>
                <w:color w:val="FFFFFF"/>
                <w:sz w:val="19"/>
                <w:szCs w:val="19"/>
              </w:rPr>
            </w:pPr>
            <w:r w:rsidRPr="007779FE">
              <w:rPr>
                <w:b/>
                <w:bCs/>
                <w:color w:val="FFFFFF"/>
                <w:sz w:val="19"/>
                <w:szCs w:val="19"/>
              </w:rPr>
              <w:t>Sector(s)</w:t>
            </w:r>
          </w:p>
        </w:tc>
      </w:tr>
      <w:tr w:rsidR="00E7173E" w:rsidRPr="007779FE" w:rsidTr="005A33A4">
        <w:trPr>
          <w:trHeight w:val="315"/>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School Benchmarking</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7779FE" w:rsidRDefault="0007628E" w:rsidP="0007628E">
            <w:pPr>
              <w:rPr>
                <w:color w:val="000000"/>
                <w:sz w:val="19"/>
                <w:szCs w:val="19"/>
              </w:rPr>
            </w:pPr>
            <w:r w:rsidRPr="007779FE">
              <w:rPr>
                <w:color w:val="000000"/>
                <w:sz w:val="19"/>
                <w:szCs w:val="19"/>
              </w:rPr>
              <w:t>GNI</w:t>
            </w:r>
          </w:p>
        </w:tc>
      </w:tr>
    </w:tbl>
    <w:p w:rsidR="001C055E" w:rsidRDefault="001C055E" w:rsidP="005A27BE">
      <w:bookmarkStart w:id="1263" w:name="_Ref472359556"/>
      <w:bookmarkStart w:id="1264" w:name="_Toc472472544"/>
    </w:p>
    <w:p w:rsidR="005A27BE" w:rsidRDefault="005A27BE" w:rsidP="004837FA">
      <w:pPr>
        <w:pStyle w:val="Caption"/>
      </w:pPr>
      <w:bookmarkStart w:id="1265" w:name="_Toc488741963"/>
      <w:r w:rsidRPr="00E41D9C">
        <w:t>Table A-</w:t>
      </w:r>
      <w:r w:rsidR="007973A4">
        <w:fldChar w:fldCharType="begin"/>
      </w:r>
      <w:r w:rsidR="007973A4">
        <w:instrText xml:space="preserve"> SEQ Table_A- \* ARABIC </w:instrText>
      </w:r>
      <w:r w:rsidR="007973A4">
        <w:fldChar w:fldCharType="separate"/>
      </w:r>
      <w:r w:rsidR="00037CB4">
        <w:rPr>
          <w:noProof/>
        </w:rPr>
        <w:t>135</w:t>
      </w:r>
      <w:r w:rsidR="007973A4">
        <w:rPr>
          <w:noProof/>
        </w:rPr>
        <w:fldChar w:fldCharType="end"/>
      </w:r>
      <w:bookmarkEnd w:id="1263"/>
      <w:r w:rsidRPr="00E41D9C">
        <w:t xml:space="preserve">: </w:t>
      </w:r>
      <w:r w:rsidRPr="005A1DB5">
        <w:t xml:space="preserve">Summary of </w:t>
      </w:r>
      <w:r w:rsidR="00893B85">
        <w:t>PPL</w:t>
      </w:r>
      <w:r w:rsidRPr="005A1DB5">
        <w:t xml:space="preserve"> EE&amp;C Program Impacts on Verified Gross Portfolio Savings</w:t>
      </w:r>
      <w:bookmarkEnd w:id="1264"/>
      <w:bookmarkEnd w:id="1265"/>
    </w:p>
    <w:tbl>
      <w:tblPr>
        <w:tblW w:w="9350" w:type="dxa"/>
        <w:tblLook w:val="04A0" w:firstRow="1" w:lastRow="0" w:firstColumn="1" w:lastColumn="0" w:noHBand="0" w:noVBand="1"/>
      </w:tblPr>
      <w:tblGrid>
        <w:gridCol w:w="3680"/>
        <w:gridCol w:w="1420"/>
        <w:gridCol w:w="1420"/>
        <w:gridCol w:w="1420"/>
        <w:gridCol w:w="1410"/>
      </w:tblGrid>
      <w:tr w:rsidR="00A874AC" w:rsidRPr="007779FE" w:rsidTr="007779FE">
        <w:trPr>
          <w:cantSplit/>
          <w:trHeight w:val="780"/>
          <w:tblHeader/>
        </w:trPr>
        <w:tc>
          <w:tcPr>
            <w:tcW w:w="368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504627" w:rsidRPr="007779FE" w:rsidRDefault="00504627" w:rsidP="008111EC">
            <w:pPr>
              <w:rPr>
                <w:b/>
                <w:bCs/>
                <w:color w:val="FFFFFF"/>
                <w:sz w:val="19"/>
                <w:szCs w:val="19"/>
              </w:rPr>
            </w:pPr>
            <w:r w:rsidRPr="007779FE">
              <w:rPr>
                <w:b/>
                <w:bCs/>
                <w:color w:val="FFFFFF"/>
                <w:sz w:val="19"/>
                <w:szCs w:val="19"/>
              </w:rPr>
              <w:t>Program</w:t>
            </w:r>
          </w:p>
        </w:tc>
        <w:tc>
          <w:tcPr>
            <w:tcW w:w="1420" w:type="dxa"/>
            <w:tcBorders>
              <w:top w:val="single" w:sz="8" w:space="0" w:color="448A99"/>
              <w:left w:val="nil"/>
              <w:bottom w:val="single" w:sz="8" w:space="0" w:color="448A99"/>
              <w:right w:val="single" w:sz="8" w:space="0" w:color="448A99"/>
            </w:tcBorders>
            <w:shd w:val="clear" w:color="000000" w:fill="448A99"/>
            <w:vAlign w:val="bottom"/>
            <w:hideMark/>
          </w:tcPr>
          <w:p w:rsidR="00504627" w:rsidRPr="007779FE" w:rsidRDefault="00504627" w:rsidP="008111EC">
            <w:pPr>
              <w:jc w:val="center"/>
              <w:rPr>
                <w:b/>
                <w:bCs/>
                <w:color w:val="FFFFFF"/>
                <w:sz w:val="19"/>
                <w:szCs w:val="19"/>
              </w:rPr>
            </w:pPr>
            <w:r w:rsidRPr="007779FE">
              <w:rPr>
                <w:b/>
                <w:bCs/>
                <w:color w:val="FFFFFF"/>
                <w:sz w:val="19"/>
                <w:szCs w:val="19"/>
              </w:rPr>
              <w:t>Phase II VG Savings (MWh</w:t>
            </w:r>
            <w:r w:rsidR="00246B36" w:rsidRPr="007779FE">
              <w:rPr>
                <w:b/>
                <w:bCs/>
                <w:color w:val="FFFFFF"/>
                <w:sz w:val="19"/>
                <w:szCs w:val="19"/>
              </w:rPr>
              <w:t>/yr</w:t>
            </w:r>
            <w:r w:rsidRPr="007779FE">
              <w:rPr>
                <w:b/>
                <w:bCs/>
                <w:color w:val="FFFFFF"/>
                <w:sz w:val="19"/>
                <w:szCs w:val="19"/>
              </w:rPr>
              <w:t>)</w:t>
            </w:r>
          </w:p>
        </w:tc>
        <w:tc>
          <w:tcPr>
            <w:tcW w:w="1420" w:type="dxa"/>
            <w:tcBorders>
              <w:top w:val="single" w:sz="8" w:space="0" w:color="448A99"/>
              <w:left w:val="nil"/>
              <w:bottom w:val="single" w:sz="8" w:space="0" w:color="448A99"/>
              <w:right w:val="single" w:sz="8" w:space="0" w:color="448A99"/>
            </w:tcBorders>
            <w:shd w:val="clear" w:color="000000" w:fill="448A99"/>
            <w:vAlign w:val="bottom"/>
            <w:hideMark/>
          </w:tcPr>
          <w:p w:rsidR="00504627" w:rsidRPr="007779FE" w:rsidRDefault="00504627" w:rsidP="008111EC">
            <w:pPr>
              <w:jc w:val="center"/>
              <w:rPr>
                <w:b/>
                <w:bCs/>
                <w:color w:val="FFFFFF"/>
                <w:sz w:val="19"/>
                <w:szCs w:val="19"/>
              </w:rPr>
            </w:pPr>
            <w:r w:rsidRPr="007779FE">
              <w:rPr>
                <w:b/>
                <w:bCs/>
                <w:color w:val="FFFFFF"/>
                <w:sz w:val="19"/>
                <w:szCs w:val="19"/>
              </w:rPr>
              <w:t>Percent of Portfolio Phase II VG MWh</w:t>
            </w:r>
            <w:r w:rsidR="00246B36" w:rsidRPr="007779FE">
              <w:rPr>
                <w:b/>
                <w:bCs/>
                <w:color w:val="FFFFFF"/>
                <w:sz w:val="19"/>
                <w:szCs w:val="19"/>
              </w:rPr>
              <w:t>/yr</w:t>
            </w:r>
            <w:r w:rsidRPr="007779FE">
              <w:rPr>
                <w:b/>
                <w:bCs/>
                <w:color w:val="FFFFFF"/>
                <w:sz w:val="19"/>
                <w:szCs w:val="19"/>
              </w:rPr>
              <w:t xml:space="preserve"> Savings</w:t>
            </w:r>
          </w:p>
        </w:tc>
        <w:tc>
          <w:tcPr>
            <w:tcW w:w="1420" w:type="dxa"/>
            <w:tcBorders>
              <w:top w:val="single" w:sz="8" w:space="0" w:color="448A99"/>
              <w:left w:val="nil"/>
              <w:bottom w:val="single" w:sz="8" w:space="0" w:color="448A99"/>
              <w:right w:val="single" w:sz="8" w:space="0" w:color="448A99"/>
            </w:tcBorders>
            <w:shd w:val="clear" w:color="000000" w:fill="448A99"/>
            <w:vAlign w:val="bottom"/>
            <w:hideMark/>
          </w:tcPr>
          <w:p w:rsidR="00504627" w:rsidRPr="007779FE" w:rsidRDefault="00504627" w:rsidP="008111EC">
            <w:pPr>
              <w:jc w:val="center"/>
              <w:rPr>
                <w:b/>
                <w:bCs/>
                <w:color w:val="FFFFFF"/>
                <w:sz w:val="19"/>
                <w:szCs w:val="19"/>
              </w:rPr>
            </w:pPr>
            <w:r w:rsidRPr="007779FE">
              <w:rPr>
                <w:b/>
                <w:bCs/>
                <w:color w:val="FFFFFF"/>
                <w:sz w:val="19"/>
                <w:szCs w:val="19"/>
              </w:rPr>
              <w:t>Phase II VG Savings (MW)</w:t>
            </w:r>
          </w:p>
        </w:tc>
        <w:tc>
          <w:tcPr>
            <w:tcW w:w="1410" w:type="dxa"/>
            <w:tcBorders>
              <w:top w:val="single" w:sz="8" w:space="0" w:color="448A99"/>
              <w:left w:val="nil"/>
              <w:bottom w:val="single" w:sz="8" w:space="0" w:color="448A99"/>
              <w:right w:val="single" w:sz="8" w:space="0" w:color="448A99"/>
            </w:tcBorders>
            <w:shd w:val="clear" w:color="000000" w:fill="448A99"/>
            <w:vAlign w:val="bottom"/>
            <w:hideMark/>
          </w:tcPr>
          <w:p w:rsidR="00504627" w:rsidRPr="007779FE" w:rsidRDefault="00504627" w:rsidP="008111EC">
            <w:pPr>
              <w:jc w:val="center"/>
              <w:rPr>
                <w:b/>
                <w:bCs/>
                <w:color w:val="FFFFFF"/>
                <w:sz w:val="19"/>
                <w:szCs w:val="19"/>
              </w:rPr>
            </w:pPr>
            <w:r w:rsidRPr="007779FE">
              <w:rPr>
                <w:b/>
                <w:bCs/>
                <w:color w:val="FFFFFF"/>
                <w:sz w:val="19"/>
                <w:szCs w:val="19"/>
              </w:rPr>
              <w:t>Percent of Portfolio Phase II VG MW Savings</w:t>
            </w:r>
          </w:p>
        </w:tc>
      </w:tr>
      <w:tr w:rsidR="005E6D04"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7779FE" w:rsidRDefault="00504627" w:rsidP="00504627">
            <w:pPr>
              <w:jc w:val="left"/>
              <w:rPr>
                <w:color w:val="000000"/>
                <w:sz w:val="19"/>
                <w:szCs w:val="19"/>
              </w:rPr>
            </w:pPr>
            <w:r w:rsidRPr="007779FE">
              <w:rPr>
                <w:color w:val="000000"/>
                <w:sz w:val="19"/>
                <w:szCs w:val="19"/>
              </w:rPr>
              <w:t xml:space="preserve">Appliance </w:t>
            </w:r>
            <w:r w:rsidR="00C45E9A" w:rsidRPr="007779FE">
              <w:rPr>
                <w:color w:val="000000"/>
                <w:sz w:val="19"/>
                <w:szCs w:val="19"/>
              </w:rPr>
              <w:t>Recycling</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25,012</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4%</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4.45</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4%</w:t>
            </w:r>
          </w:p>
        </w:tc>
      </w:tr>
      <w:tr w:rsidR="00A874AC"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7779FE" w:rsidRDefault="00504627" w:rsidP="00504627">
            <w:pPr>
              <w:jc w:val="left"/>
              <w:rPr>
                <w:color w:val="000000"/>
                <w:sz w:val="19"/>
                <w:szCs w:val="19"/>
              </w:rPr>
            </w:pPr>
            <w:r w:rsidRPr="007779FE">
              <w:rPr>
                <w:color w:val="000000"/>
                <w:sz w:val="19"/>
                <w:szCs w:val="19"/>
              </w:rPr>
              <w:t>Continuous Energy Improvement</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4,697</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7779FE" w:rsidRDefault="00504627" w:rsidP="00504627">
            <w:pPr>
              <w:jc w:val="center"/>
              <w:rPr>
                <w:color w:val="000000"/>
                <w:sz w:val="19"/>
                <w:szCs w:val="19"/>
              </w:rPr>
            </w:pPr>
            <w:r w:rsidRPr="007779FE">
              <w:rPr>
                <w:color w:val="000000"/>
                <w:sz w:val="19"/>
                <w:szCs w:val="19"/>
              </w:rPr>
              <w:t>1%</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0.77</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1%</w:t>
            </w:r>
          </w:p>
        </w:tc>
      </w:tr>
      <w:tr w:rsidR="005E6D04"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7779FE" w:rsidRDefault="00504627" w:rsidP="00504627">
            <w:pPr>
              <w:jc w:val="left"/>
              <w:rPr>
                <w:color w:val="000000"/>
                <w:sz w:val="19"/>
                <w:szCs w:val="19"/>
              </w:rPr>
            </w:pPr>
            <w:r w:rsidRPr="007779FE">
              <w:rPr>
                <w:color w:val="000000"/>
                <w:sz w:val="19"/>
                <w:szCs w:val="19"/>
              </w:rPr>
              <w:t>Custom Incentive</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56,852</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8%</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7.39</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7%</w:t>
            </w:r>
          </w:p>
        </w:tc>
      </w:tr>
      <w:tr w:rsidR="00A874AC"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7779FE" w:rsidRDefault="00504627" w:rsidP="00504627">
            <w:pPr>
              <w:jc w:val="left"/>
              <w:rPr>
                <w:color w:val="000000"/>
                <w:sz w:val="19"/>
                <w:szCs w:val="19"/>
              </w:rPr>
            </w:pPr>
            <w:r w:rsidRPr="007779FE">
              <w:rPr>
                <w:color w:val="000000"/>
                <w:sz w:val="19"/>
                <w:szCs w:val="19"/>
              </w:rPr>
              <w:t>E-Power Wise</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5,933</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7779FE" w:rsidRDefault="00504627" w:rsidP="00504627">
            <w:pPr>
              <w:jc w:val="center"/>
              <w:rPr>
                <w:color w:val="000000"/>
                <w:sz w:val="19"/>
                <w:szCs w:val="19"/>
              </w:rPr>
            </w:pPr>
            <w:r w:rsidRPr="007779FE">
              <w:rPr>
                <w:color w:val="000000"/>
                <w:sz w:val="19"/>
                <w:szCs w:val="19"/>
              </w:rPr>
              <w:t>1%</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0.74</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1%</w:t>
            </w:r>
          </w:p>
        </w:tc>
      </w:tr>
      <w:tr w:rsidR="005E6D04"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7779FE" w:rsidRDefault="00504627" w:rsidP="00504627">
            <w:pPr>
              <w:jc w:val="left"/>
              <w:rPr>
                <w:color w:val="000000"/>
                <w:sz w:val="19"/>
                <w:szCs w:val="19"/>
              </w:rPr>
            </w:pPr>
            <w:r w:rsidRPr="007779FE">
              <w:rPr>
                <w:color w:val="000000"/>
                <w:sz w:val="19"/>
                <w:szCs w:val="19"/>
              </w:rPr>
              <w:t>Low-Income Energy-Efficiency Behavior and Education</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10,622</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2%</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2.07</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2%</w:t>
            </w:r>
          </w:p>
        </w:tc>
      </w:tr>
      <w:tr w:rsidR="00A874AC"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7779FE" w:rsidRDefault="00504627" w:rsidP="00504627">
            <w:pPr>
              <w:jc w:val="left"/>
              <w:rPr>
                <w:color w:val="000000"/>
                <w:sz w:val="19"/>
                <w:szCs w:val="19"/>
              </w:rPr>
            </w:pPr>
            <w:r w:rsidRPr="007779FE">
              <w:rPr>
                <w:color w:val="000000"/>
                <w:sz w:val="19"/>
                <w:szCs w:val="19"/>
              </w:rPr>
              <w:t>Low-Income WRAP</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11,832</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7779FE" w:rsidRDefault="00504627" w:rsidP="00504627">
            <w:pPr>
              <w:jc w:val="center"/>
              <w:rPr>
                <w:color w:val="000000"/>
                <w:sz w:val="19"/>
                <w:szCs w:val="19"/>
              </w:rPr>
            </w:pPr>
            <w:r w:rsidRPr="007779FE">
              <w:rPr>
                <w:color w:val="000000"/>
                <w:sz w:val="19"/>
                <w:szCs w:val="19"/>
              </w:rPr>
              <w:t>2%</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1.44</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1%</w:t>
            </w:r>
          </w:p>
        </w:tc>
      </w:tr>
      <w:tr w:rsidR="005E6D04"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7779FE" w:rsidRDefault="00504627" w:rsidP="00504627">
            <w:pPr>
              <w:jc w:val="left"/>
              <w:rPr>
                <w:color w:val="000000"/>
                <w:sz w:val="19"/>
                <w:szCs w:val="19"/>
              </w:rPr>
            </w:pPr>
            <w:r w:rsidRPr="007779FE">
              <w:rPr>
                <w:color w:val="000000"/>
                <w:sz w:val="19"/>
                <w:szCs w:val="19"/>
              </w:rPr>
              <w:t>Master Metered Multifamily Housing</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6,488</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1%</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0.77</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1%</w:t>
            </w:r>
          </w:p>
        </w:tc>
      </w:tr>
      <w:tr w:rsidR="00A874AC"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7779FE" w:rsidRDefault="00504627" w:rsidP="00504627">
            <w:pPr>
              <w:jc w:val="left"/>
              <w:rPr>
                <w:color w:val="000000"/>
                <w:sz w:val="19"/>
                <w:szCs w:val="19"/>
              </w:rPr>
            </w:pPr>
            <w:r w:rsidRPr="007779FE">
              <w:rPr>
                <w:color w:val="000000"/>
                <w:sz w:val="19"/>
                <w:szCs w:val="19"/>
              </w:rPr>
              <w:t>Prescriptive Equipment</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303,542</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7779FE" w:rsidRDefault="00504627" w:rsidP="00504627">
            <w:pPr>
              <w:jc w:val="center"/>
              <w:rPr>
                <w:color w:val="000000"/>
                <w:sz w:val="19"/>
                <w:szCs w:val="19"/>
              </w:rPr>
            </w:pPr>
            <w:r w:rsidRPr="007779FE">
              <w:rPr>
                <w:color w:val="000000"/>
                <w:sz w:val="19"/>
                <w:szCs w:val="19"/>
              </w:rPr>
              <w:t>43%</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47.33</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45%</w:t>
            </w:r>
          </w:p>
        </w:tc>
      </w:tr>
      <w:tr w:rsidR="005E6D04"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7779FE" w:rsidRDefault="00504627" w:rsidP="00504627">
            <w:pPr>
              <w:jc w:val="left"/>
              <w:rPr>
                <w:color w:val="000000"/>
                <w:sz w:val="19"/>
                <w:szCs w:val="19"/>
              </w:rPr>
            </w:pPr>
            <w:r w:rsidRPr="007779FE">
              <w:rPr>
                <w:color w:val="000000"/>
                <w:sz w:val="19"/>
                <w:szCs w:val="19"/>
              </w:rPr>
              <w:t>Residential Energy-Efficiency Behavior and Education</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39,078</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6%</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7.30</w:t>
            </w:r>
          </w:p>
        </w:tc>
        <w:tc>
          <w:tcPr>
            <w:tcW w:w="141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7%</w:t>
            </w:r>
          </w:p>
        </w:tc>
      </w:tr>
      <w:tr w:rsidR="00A874AC"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7779FE" w:rsidRDefault="00504627" w:rsidP="00504627">
            <w:pPr>
              <w:jc w:val="left"/>
              <w:rPr>
                <w:color w:val="000000"/>
                <w:sz w:val="19"/>
                <w:szCs w:val="19"/>
              </w:rPr>
            </w:pPr>
            <w:r w:rsidRPr="007779FE">
              <w:rPr>
                <w:color w:val="000000"/>
                <w:sz w:val="19"/>
                <w:szCs w:val="19"/>
              </w:rPr>
              <w:t>Residential Home Comfort</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18,649</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7779FE" w:rsidRDefault="00504627" w:rsidP="00504627">
            <w:pPr>
              <w:jc w:val="center"/>
              <w:rPr>
                <w:color w:val="000000"/>
                <w:sz w:val="19"/>
                <w:szCs w:val="19"/>
              </w:rPr>
            </w:pPr>
            <w:r w:rsidRPr="007779FE">
              <w:rPr>
                <w:color w:val="000000"/>
                <w:sz w:val="19"/>
                <w:szCs w:val="19"/>
              </w:rPr>
              <w:t>3%</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6.15</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6%</w:t>
            </w:r>
          </w:p>
        </w:tc>
      </w:tr>
      <w:tr w:rsidR="005E6D04"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7779FE" w:rsidRDefault="00504627" w:rsidP="00504627">
            <w:pPr>
              <w:jc w:val="left"/>
              <w:rPr>
                <w:color w:val="000000"/>
                <w:sz w:val="19"/>
                <w:szCs w:val="19"/>
              </w:rPr>
            </w:pPr>
            <w:r w:rsidRPr="007779FE">
              <w:rPr>
                <w:color w:val="000000"/>
                <w:sz w:val="19"/>
                <w:szCs w:val="19"/>
              </w:rPr>
              <w:t>Residential Retail</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206,018</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29%</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26.55</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25%</w:t>
            </w:r>
          </w:p>
        </w:tc>
      </w:tr>
      <w:tr w:rsidR="00A874AC"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7779FE" w:rsidRDefault="00504627" w:rsidP="00504627">
            <w:pPr>
              <w:jc w:val="left"/>
              <w:rPr>
                <w:color w:val="000000"/>
                <w:sz w:val="19"/>
                <w:szCs w:val="19"/>
              </w:rPr>
            </w:pPr>
            <w:r w:rsidRPr="007779FE">
              <w:rPr>
                <w:color w:val="000000"/>
                <w:sz w:val="19"/>
                <w:szCs w:val="19"/>
              </w:rPr>
              <w:t>School Benchmarking</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0</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7779FE" w:rsidRDefault="00504627" w:rsidP="00504627">
            <w:pPr>
              <w:jc w:val="center"/>
              <w:rPr>
                <w:color w:val="000000"/>
                <w:sz w:val="19"/>
                <w:szCs w:val="19"/>
              </w:rPr>
            </w:pPr>
            <w:r w:rsidRPr="007779FE">
              <w:rPr>
                <w:color w:val="000000"/>
                <w:sz w:val="19"/>
                <w:szCs w:val="19"/>
              </w:rPr>
              <w:t>0%</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0.00</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7779FE" w:rsidRDefault="00504627" w:rsidP="00504627">
            <w:pPr>
              <w:jc w:val="center"/>
              <w:rPr>
                <w:color w:val="000000"/>
                <w:sz w:val="19"/>
                <w:szCs w:val="19"/>
              </w:rPr>
            </w:pPr>
            <w:r w:rsidRPr="007779FE">
              <w:rPr>
                <w:color w:val="000000"/>
                <w:sz w:val="19"/>
                <w:szCs w:val="19"/>
              </w:rPr>
              <w:t>0%</w:t>
            </w:r>
          </w:p>
        </w:tc>
      </w:tr>
      <w:tr w:rsidR="005E6D04" w:rsidRPr="007779FE" w:rsidTr="007779FE">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7779FE" w:rsidRDefault="00504627" w:rsidP="00504627">
            <w:pPr>
              <w:jc w:val="left"/>
              <w:rPr>
                <w:color w:val="000000"/>
                <w:sz w:val="19"/>
                <w:szCs w:val="19"/>
              </w:rPr>
            </w:pPr>
            <w:r w:rsidRPr="007779FE">
              <w:rPr>
                <w:color w:val="000000"/>
                <w:sz w:val="19"/>
                <w:szCs w:val="19"/>
              </w:rPr>
              <w:t>Student &amp; Parent Education</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13,397</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2%</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7779FE" w:rsidRDefault="00504627" w:rsidP="00504627">
            <w:pPr>
              <w:jc w:val="center"/>
              <w:rPr>
                <w:color w:val="000000"/>
                <w:sz w:val="19"/>
                <w:szCs w:val="19"/>
              </w:rPr>
            </w:pPr>
            <w:r w:rsidRPr="007779FE">
              <w:rPr>
                <w:color w:val="000000"/>
                <w:sz w:val="19"/>
                <w:szCs w:val="19"/>
              </w:rPr>
              <w:t>1.30</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7779FE" w:rsidRDefault="00504627" w:rsidP="00504627">
            <w:pPr>
              <w:jc w:val="center"/>
              <w:rPr>
                <w:color w:val="000000"/>
                <w:sz w:val="19"/>
                <w:szCs w:val="19"/>
              </w:rPr>
            </w:pPr>
            <w:r w:rsidRPr="007779FE">
              <w:rPr>
                <w:color w:val="000000"/>
                <w:sz w:val="19"/>
                <w:szCs w:val="19"/>
              </w:rPr>
              <w:t>1%</w:t>
            </w:r>
          </w:p>
        </w:tc>
      </w:tr>
      <w:tr w:rsidR="00A874AC" w:rsidRPr="007779FE" w:rsidTr="007779FE">
        <w:trPr>
          <w:trHeight w:val="489"/>
        </w:trPr>
        <w:tc>
          <w:tcPr>
            <w:tcW w:w="3680" w:type="dxa"/>
            <w:tcBorders>
              <w:top w:val="nil"/>
              <w:left w:val="single" w:sz="8" w:space="0" w:color="448A99"/>
              <w:right w:val="single" w:sz="8" w:space="0" w:color="448A99"/>
            </w:tcBorders>
            <w:shd w:val="clear" w:color="000000" w:fill="D2EAF1"/>
            <w:noWrap/>
            <w:vAlign w:val="center"/>
            <w:hideMark/>
          </w:tcPr>
          <w:p w:rsidR="00504627" w:rsidRPr="007779FE" w:rsidRDefault="00504627" w:rsidP="00504627">
            <w:pPr>
              <w:jc w:val="left"/>
              <w:rPr>
                <w:b/>
                <w:bCs/>
                <w:color w:val="000000"/>
                <w:sz w:val="19"/>
                <w:szCs w:val="19"/>
              </w:rPr>
            </w:pPr>
            <w:r w:rsidRPr="007779FE">
              <w:rPr>
                <w:b/>
                <w:bCs/>
                <w:color w:val="000000"/>
                <w:sz w:val="19"/>
                <w:szCs w:val="19"/>
              </w:rPr>
              <w:t>Total Portfolio</w:t>
            </w:r>
            <w:r w:rsidR="003203FA" w:rsidRPr="007779FE">
              <w:rPr>
                <w:b/>
                <w:bCs/>
                <w:color w:val="000000"/>
                <w:sz w:val="19"/>
                <w:szCs w:val="19"/>
                <w:vertAlign w:val="superscript"/>
              </w:rPr>
              <w:t>[a]</w:t>
            </w:r>
            <w:r w:rsidRPr="007779FE">
              <w:rPr>
                <w:b/>
                <w:bCs/>
                <w:color w:val="000000"/>
                <w:sz w:val="19"/>
                <w:szCs w:val="19"/>
              </w:rPr>
              <w:t xml:space="preserve"> </w:t>
            </w:r>
          </w:p>
        </w:tc>
        <w:tc>
          <w:tcPr>
            <w:tcW w:w="1420" w:type="dxa"/>
            <w:tcBorders>
              <w:top w:val="nil"/>
              <w:left w:val="nil"/>
              <w:right w:val="single" w:sz="8" w:space="0" w:color="448A99"/>
            </w:tcBorders>
            <w:shd w:val="clear" w:color="000000" w:fill="D2EAF1"/>
            <w:vAlign w:val="center"/>
            <w:hideMark/>
          </w:tcPr>
          <w:p w:rsidR="00504627" w:rsidRPr="007779FE" w:rsidRDefault="003203FA" w:rsidP="00504627">
            <w:pPr>
              <w:jc w:val="center"/>
              <w:rPr>
                <w:b/>
                <w:bCs/>
                <w:color w:val="000000"/>
                <w:sz w:val="19"/>
                <w:szCs w:val="19"/>
              </w:rPr>
            </w:pPr>
            <w:r w:rsidRPr="007779FE">
              <w:rPr>
                <w:b/>
                <w:bCs/>
                <w:color w:val="000000"/>
                <w:sz w:val="19"/>
                <w:szCs w:val="19"/>
              </w:rPr>
              <w:t>698,736</w:t>
            </w:r>
          </w:p>
        </w:tc>
        <w:tc>
          <w:tcPr>
            <w:tcW w:w="1420" w:type="dxa"/>
            <w:tcBorders>
              <w:top w:val="nil"/>
              <w:left w:val="nil"/>
              <w:right w:val="single" w:sz="8" w:space="0" w:color="448A99"/>
            </w:tcBorders>
            <w:shd w:val="clear" w:color="000000" w:fill="D2EAF1"/>
            <w:noWrap/>
            <w:vAlign w:val="center"/>
            <w:hideMark/>
          </w:tcPr>
          <w:p w:rsidR="00504627" w:rsidRPr="007779FE" w:rsidRDefault="00504627" w:rsidP="00504627">
            <w:pPr>
              <w:jc w:val="center"/>
              <w:rPr>
                <w:b/>
                <w:bCs/>
                <w:color w:val="000000"/>
                <w:sz w:val="19"/>
                <w:szCs w:val="19"/>
              </w:rPr>
            </w:pPr>
            <w:r w:rsidRPr="007779FE">
              <w:rPr>
                <w:b/>
                <w:bCs/>
                <w:color w:val="000000"/>
                <w:sz w:val="19"/>
                <w:szCs w:val="19"/>
              </w:rPr>
              <w:t>100%</w:t>
            </w:r>
          </w:p>
        </w:tc>
        <w:tc>
          <w:tcPr>
            <w:tcW w:w="1420" w:type="dxa"/>
            <w:tcBorders>
              <w:top w:val="nil"/>
              <w:left w:val="nil"/>
              <w:right w:val="single" w:sz="8" w:space="0" w:color="448A99"/>
            </w:tcBorders>
            <w:shd w:val="clear" w:color="000000" w:fill="D2EAF1"/>
            <w:vAlign w:val="center"/>
            <w:hideMark/>
          </w:tcPr>
          <w:p w:rsidR="00504627" w:rsidRPr="007779FE" w:rsidRDefault="00504627" w:rsidP="00504627">
            <w:pPr>
              <w:jc w:val="center"/>
              <w:rPr>
                <w:b/>
                <w:bCs/>
                <w:color w:val="000000"/>
                <w:sz w:val="19"/>
                <w:szCs w:val="19"/>
              </w:rPr>
            </w:pPr>
            <w:r w:rsidRPr="007779FE">
              <w:rPr>
                <w:b/>
                <w:bCs/>
                <w:color w:val="000000"/>
                <w:sz w:val="19"/>
                <w:szCs w:val="19"/>
              </w:rPr>
              <w:t>106.27</w:t>
            </w:r>
          </w:p>
        </w:tc>
        <w:tc>
          <w:tcPr>
            <w:tcW w:w="1410" w:type="dxa"/>
            <w:tcBorders>
              <w:top w:val="nil"/>
              <w:left w:val="nil"/>
              <w:right w:val="single" w:sz="8" w:space="0" w:color="448A99"/>
            </w:tcBorders>
            <w:shd w:val="clear" w:color="000000" w:fill="D2EAF1"/>
            <w:noWrap/>
            <w:vAlign w:val="center"/>
            <w:hideMark/>
          </w:tcPr>
          <w:p w:rsidR="00504627" w:rsidRPr="007779FE" w:rsidRDefault="00504627" w:rsidP="00504627">
            <w:pPr>
              <w:jc w:val="center"/>
              <w:rPr>
                <w:b/>
                <w:bCs/>
                <w:color w:val="000000"/>
                <w:sz w:val="19"/>
                <w:szCs w:val="19"/>
              </w:rPr>
            </w:pPr>
            <w:r w:rsidRPr="007779FE">
              <w:rPr>
                <w:b/>
                <w:bCs/>
                <w:color w:val="000000"/>
                <w:sz w:val="19"/>
                <w:szCs w:val="19"/>
              </w:rPr>
              <w:t>100%</w:t>
            </w:r>
          </w:p>
        </w:tc>
      </w:tr>
      <w:tr w:rsidR="00A874AC" w:rsidRPr="008C7396" w:rsidTr="007779FE">
        <w:trPr>
          <w:trHeight w:val="315"/>
        </w:trPr>
        <w:tc>
          <w:tcPr>
            <w:tcW w:w="3680" w:type="dxa"/>
            <w:tcBorders>
              <w:top w:val="nil"/>
              <w:left w:val="single" w:sz="8" w:space="0" w:color="448A99"/>
              <w:bottom w:val="single" w:sz="8" w:space="0" w:color="448A99"/>
              <w:right w:val="single" w:sz="8" w:space="0" w:color="448A99"/>
            </w:tcBorders>
            <w:shd w:val="clear" w:color="000000" w:fill="448A99"/>
            <w:noWrap/>
            <w:vAlign w:val="center"/>
          </w:tcPr>
          <w:p w:rsidR="008111EC" w:rsidRPr="008C7396" w:rsidRDefault="006142E6" w:rsidP="008111EC">
            <w:pPr>
              <w:rPr>
                <w:color w:val="FFFFFF" w:themeColor="background1"/>
                <w:sz w:val="18"/>
                <w:szCs w:val="19"/>
              </w:rPr>
            </w:pPr>
            <w:r w:rsidRPr="008C7396">
              <w:rPr>
                <w:color w:val="FFFFFF" w:themeColor="background1"/>
                <w:sz w:val="18"/>
                <w:szCs w:val="19"/>
              </w:rPr>
              <w:t>NOTES:</w:t>
            </w:r>
          </w:p>
          <w:p w:rsidR="003203FA" w:rsidRPr="008C7396" w:rsidRDefault="003203FA" w:rsidP="00504627">
            <w:pPr>
              <w:jc w:val="left"/>
              <w:rPr>
                <w:bCs/>
                <w:color w:val="FFFFFF" w:themeColor="background1"/>
                <w:sz w:val="18"/>
                <w:szCs w:val="19"/>
              </w:rPr>
            </w:pPr>
            <w:r w:rsidRPr="008C7396">
              <w:rPr>
                <w:bCs/>
                <w:color w:val="FFFFFF" w:themeColor="background1"/>
                <w:sz w:val="18"/>
                <w:szCs w:val="19"/>
                <w:vertAlign w:val="superscript"/>
              </w:rPr>
              <w:t>[a]</w:t>
            </w:r>
            <w:r w:rsidRPr="008C7396">
              <w:rPr>
                <w:bCs/>
                <w:color w:val="FFFFFF" w:themeColor="background1"/>
                <w:sz w:val="18"/>
                <w:szCs w:val="19"/>
              </w:rPr>
              <w:t xml:space="preserve"> Adjusted for double-counting</w:t>
            </w:r>
          </w:p>
        </w:tc>
        <w:tc>
          <w:tcPr>
            <w:tcW w:w="1420" w:type="dxa"/>
            <w:tcBorders>
              <w:top w:val="nil"/>
              <w:left w:val="nil"/>
              <w:bottom w:val="single" w:sz="8" w:space="0" w:color="448A99"/>
              <w:right w:val="single" w:sz="8" w:space="0" w:color="448A99"/>
            </w:tcBorders>
            <w:shd w:val="clear" w:color="000000" w:fill="448A99"/>
            <w:vAlign w:val="center"/>
          </w:tcPr>
          <w:p w:rsidR="003203FA" w:rsidRPr="008C7396" w:rsidRDefault="003203FA" w:rsidP="00504627">
            <w:pPr>
              <w:jc w:val="center"/>
              <w:rPr>
                <w:bCs/>
                <w:color w:val="FFFFFF" w:themeColor="background1"/>
                <w:sz w:val="18"/>
                <w:szCs w:val="19"/>
              </w:rPr>
            </w:pPr>
          </w:p>
        </w:tc>
        <w:tc>
          <w:tcPr>
            <w:tcW w:w="1420" w:type="dxa"/>
            <w:tcBorders>
              <w:top w:val="nil"/>
              <w:left w:val="nil"/>
              <w:bottom w:val="single" w:sz="8" w:space="0" w:color="448A99"/>
              <w:right w:val="single" w:sz="8" w:space="0" w:color="448A99"/>
            </w:tcBorders>
            <w:shd w:val="clear" w:color="000000" w:fill="448A99"/>
            <w:noWrap/>
            <w:vAlign w:val="center"/>
          </w:tcPr>
          <w:p w:rsidR="003203FA" w:rsidRPr="008C7396" w:rsidRDefault="003203FA" w:rsidP="00504627">
            <w:pPr>
              <w:jc w:val="center"/>
              <w:rPr>
                <w:bCs/>
                <w:color w:val="FFFFFF" w:themeColor="background1"/>
                <w:sz w:val="18"/>
                <w:szCs w:val="19"/>
              </w:rPr>
            </w:pPr>
          </w:p>
        </w:tc>
        <w:tc>
          <w:tcPr>
            <w:tcW w:w="1420" w:type="dxa"/>
            <w:tcBorders>
              <w:top w:val="nil"/>
              <w:left w:val="nil"/>
              <w:bottom w:val="single" w:sz="8" w:space="0" w:color="448A99"/>
              <w:right w:val="single" w:sz="8" w:space="0" w:color="448A99"/>
            </w:tcBorders>
            <w:shd w:val="clear" w:color="000000" w:fill="448A99"/>
            <w:vAlign w:val="center"/>
          </w:tcPr>
          <w:p w:rsidR="003203FA" w:rsidRPr="008C7396" w:rsidRDefault="003203FA" w:rsidP="00504627">
            <w:pPr>
              <w:jc w:val="center"/>
              <w:rPr>
                <w:bCs/>
                <w:color w:val="FFFFFF" w:themeColor="background1"/>
                <w:sz w:val="18"/>
                <w:szCs w:val="19"/>
              </w:rPr>
            </w:pPr>
          </w:p>
        </w:tc>
        <w:tc>
          <w:tcPr>
            <w:tcW w:w="1410" w:type="dxa"/>
            <w:tcBorders>
              <w:top w:val="nil"/>
              <w:left w:val="nil"/>
              <w:bottom w:val="single" w:sz="8" w:space="0" w:color="448A99"/>
              <w:right w:val="single" w:sz="8" w:space="0" w:color="448A99"/>
            </w:tcBorders>
            <w:shd w:val="clear" w:color="000000" w:fill="448A99"/>
            <w:noWrap/>
            <w:vAlign w:val="center"/>
          </w:tcPr>
          <w:p w:rsidR="003203FA" w:rsidRPr="008C7396" w:rsidRDefault="003203FA" w:rsidP="00504627">
            <w:pPr>
              <w:jc w:val="center"/>
              <w:rPr>
                <w:bCs/>
                <w:color w:val="FFFFFF" w:themeColor="background1"/>
                <w:sz w:val="18"/>
                <w:szCs w:val="19"/>
              </w:rPr>
            </w:pPr>
          </w:p>
        </w:tc>
      </w:tr>
    </w:tbl>
    <w:p w:rsidR="005A27BE" w:rsidRDefault="005A27BE" w:rsidP="005A27BE"/>
    <w:p w:rsidR="00735BA9" w:rsidRDefault="00735BA9" w:rsidP="009C0DF1">
      <w:pPr>
        <w:pStyle w:val="AppendixAHeading3"/>
      </w:pPr>
      <w:r>
        <w:t>PY7 Gross and Net Savings by Sector</w:t>
      </w:r>
    </w:p>
    <w:p w:rsidR="00710D47" w:rsidRDefault="00710D47" w:rsidP="00710D47">
      <w:r w:rsidRPr="00C23348">
        <w:t>The sector-level verified gross and net energy savings achieved in PY7 are provided</w:t>
      </w:r>
      <w:r>
        <w:t xml:space="preserve"> in </w:t>
      </w:r>
      <w:r w:rsidR="008F62F5">
        <w:fldChar w:fldCharType="begin"/>
      </w:r>
      <w:r w:rsidR="008F62F5">
        <w:instrText xml:space="preserve"> REF _Ref472360444 \h </w:instrText>
      </w:r>
      <w:r w:rsidR="008F62F5">
        <w:fldChar w:fldCharType="separate"/>
      </w:r>
      <w:r w:rsidR="00037CB4" w:rsidRPr="00E41D9C">
        <w:t>Table A-</w:t>
      </w:r>
      <w:r w:rsidR="00037CB4">
        <w:rPr>
          <w:noProof/>
        </w:rPr>
        <w:t>136</w:t>
      </w:r>
      <w:r w:rsidR="008F62F5">
        <w:fldChar w:fldCharType="end"/>
      </w:r>
      <w:r>
        <w:t xml:space="preserve"> below. In PY7, the net energy savings were approximately </w:t>
      </w:r>
      <w:r w:rsidRPr="00504627">
        <w:t>75%</w:t>
      </w:r>
      <w:r>
        <w:t xml:space="preserve"> of the gross energy savings.</w:t>
      </w:r>
    </w:p>
    <w:p w:rsidR="00710D47" w:rsidRPr="00C23348" w:rsidRDefault="00710D47" w:rsidP="00710D47"/>
    <w:p w:rsidR="00710D47" w:rsidRDefault="00710D47" w:rsidP="004837FA">
      <w:pPr>
        <w:pStyle w:val="Caption"/>
      </w:pPr>
      <w:bookmarkStart w:id="1266" w:name="_Ref472360444"/>
      <w:bookmarkStart w:id="1267" w:name="_Toc472472545"/>
      <w:bookmarkStart w:id="1268" w:name="_Toc488741964"/>
      <w:r w:rsidRPr="00E41D9C">
        <w:t>Table A-</w:t>
      </w:r>
      <w:r w:rsidR="007973A4">
        <w:fldChar w:fldCharType="begin"/>
      </w:r>
      <w:r w:rsidR="007973A4">
        <w:instrText xml:space="preserve"> SEQ Table_A- \* ARABIC </w:instrText>
      </w:r>
      <w:r w:rsidR="007973A4">
        <w:fldChar w:fldCharType="separate"/>
      </w:r>
      <w:r w:rsidR="00037CB4">
        <w:rPr>
          <w:noProof/>
        </w:rPr>
        <w:t>136</w:t>
      </w:r>
      <w:r w:rsidR="007973A4">
        <w:rPr>
          <w:noProof/>
        </w:rPr>
        <w:fldChar w:fldCharType="end"/>
      </w:r>
      <w:bookmarkEnd w:id="1266"/>
      <w:r w:rsidRPr="00E41D9C">
        <w:t xml:space="preserve">: </w:t>
      </w:r>
      <w:r w:rsidRPr="008B45A8">
        <w:t xml:space="preserve">Summary of </w:t>
      </w:r>
      <w:r w:rsidR="008F62F5">
        <w:t>PPL</w:t>
      </w:r>
      <w:r w:rsidRPr="008B45A8">
        <w:t xml:space="preserve"> EE&amp;C Verified Net Savings – by Sector</w:t>
      </w:r>
      <w:bookmarkEnd w:id="1267"/>
      <w:bookmarkEnd w:id="1268"/>
    </w:p>
    <w:tbl>
      <w:tblPr>
        <w:tblW w:w="9350" w:type="dxa"/>
        <w:tblLook w:val="04A0" w:firstRow="1" w:lastRow="0" w:firstColumn="1" w:lastColumn="0" w:noHBand="0" w:noVBand="1"/>
      </w:tblPr>
      <w:tblGrid>
        <w:gridCol w:w="1790"/>
        <w:gridCol w:w="1890"/>
        <w:gridCol w:w="1890"/>
        <w:gridCol w:w="1890"/>
        <w:gridCol w:w="1890"/>
      </w:tblGrid>
      <w:tr w:rsidR="00A874AC" w:rsidRPr="007779FE" w:rsidTr="007779FE">
        <w:trPr>
          <w:trHeight w:val="655"/>
        </w:trPr>
        <w:tc>
          <w:tcPr>
            <w:tcW w:w="179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7779FE" w:rsidRDefault="00710D47" w:rsidP="008111EC">
            <w:pPr>
              <w:rPr>
                <w:b/>
                <w:bCs/>
                <w:color w:val="FFFFFF"/>
                <w:sz w:val="19"/>
                <w:szCs w:val="19"/>
              </w:rPr>
            </w:pPr>
            <w:r w:rsidRPr="007779FE">
              <w:rPr>
                <w:b/>
                <w:bCs/>
                <w:color w:val="FFFFFF"/>
                <w:sz w:val="19"/>
                <w:szCs w:val="19"/>
              </w:rPr>
              <w:t>Sector</w:t>
            </w:r>
          </w:p>
        </w:tc>
        <w:tc>
          <w:tcPr>
            <w:tcW w:w="189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7779FE" w:rsidRDefault="00710D47" w:rsidP="008111EC">
            <w:pPr>
              <w:jc w:val="center"/>
              <w:rPr>
                <w:b/>
                <w:bCs/>
                <w:color w:val="FFFFFF"/>
                <w:sz w:val="19"/>
                <w:szCs w:val="19"/>
              </w:rPr>
            </w:pPr>
            <w:r w:rsidRPr="007779FE">
              <w:rPr>
                <w:b/>
                <w:bCs/>
                <w:color w:val="FFFFFF"/>
                <w:sz w:val="19"/>
                <w:szCs w:val="19"/>
              </w:rPr>
              <w:t>PY7 VG Savings (MWh/yr)</w:t>
            </w:r>
          </w:p>
        </w:tc>
        <w:tc>
          <w:tcPr>
            <w:tcW w:w="189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7779FE" w:rsidRDefault="00710D47" w:rsidP="008111EC">
            <w:pPr>
              <w:jc w:val="center"/>
              <w:rPr>
                <w:b/>
                <w:bCs/>
                <w:color w:val="FFFFFF"/>
                <w:sz w:val="19"/>
                <w:szCs w:val="19"/>
              </w:rPr>
            </w:pPr>
            <w:r w:rsidRPr="007779FE">
              <w:rPr>
                <w:b/>
                <w:bCs/>
                <w:color w:val="FFFFFF"/>
                <w:sz w:val="19"/>
                <w:szCs w:val="19"/>
              </w:rPr>
              <w:t>PY7 Verified Net Savings (MWh/yr)</w:t>
            </w:r>
          </w:p>
        </w:tc>
        <w:tc>
          <w:tcPr>
            <w:tcW w:w="189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7779FE" w:rsidRDefault="00710D47" w:rsidP="008111EC">
            <w:pPr>
              <w:jc w:val="center"/>
              <w:rPr>
                <w:b/>
                <w:bCs/>
                <w:color w:val="FFFFFF"/>
                <w:sz w:val="19"/>
                <w:szCs w:val="19"/>
              </w:rPr>
            </w:pPr>
            <w:r w:rsidRPr="007779FE">
              <w:rPr>
                <w:b/>
                <w:bCs/>
                <w:color w:val="FFFFFF"/>
                <w:sz w:val="19"/>
                <w:szCs w:val="19"/>
              </w:rPr>
              <w:t>Phase II VG Savings (MWh/yr)</w:t>
            </w:r>
          </w:p>
        </w:tc>
        <w:tc>
          <w:tcPr>
            <w:tcW w:w="189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7779FE" w:rsidRDefault="00710D47" w:rsidP="008111EC">
            <w:pPr>
              <w:jc w:val="center"/>
              <w:rPr>
                <w:b/>
                <w:bCs/>
                <w:color w:val="FFFFFF"/>
                <w:sz w:val="19"/>
                <w:szCs w:val="19"/>
              </w:rPr>
            </w:pPr>
            <w:r w:rsidRPr="007779FE">
              <w:rPr>
                <w:b/>
                <w:bCs/>
                <w:color w:val="FFFFFF"/>
                <w:sz w:val="19"/>
                <w:szCs w:val="19"/>
              </w:rPr>
              <w:t>Phase II Verified Net Savings (MWh/yr)</w:t>
            </w:r>
          </w:p>
        </w:tc>
      </w:tr>
      <w:tr w:rsidR="003203FA" w:rsidRPr="007779FE" w:rsidTr="007779FE">
        <w:trPr>
          <w:trHeight w:val="360"/>
        </w:trPr>
        <w:tc>
          <w:tcPr>
            <w:tcW w:w="1790" w:type="dxa"/>
            <w:tcBorders>
              <w:top w:val="nil"/>
              <w:left w:val="single" w:sz="8" w:space="0" w:color="448A99"/>
              <w:bottom w:val="single" w:sz="8" w:space="0" w:color="448A99"/>
              <w:right w:val="single" w:sz="8" w:space="0" w:color="448A99"/>
            </w:tcBorders>
            <w:shd w:val="clear" w:color="auto" w:fill="auto"/>
            <w:noWrap/>
            <w:vAlign w:val="center"/>
          </w:tcPr>
          <w:p w:rsidR="003203FA" w:rsidRPr="007779FE" w:rsidRDefault="003203FA" w:rsidP="003203FA">
            <w:pPr>
              <w:jc w:val="left"/>
              <w:rPr>
                <w:color w:val="000000"/>
                <w:sz w:val="19"/>
                <w:szCs w:val="19"/>
              </w:rPr>
            </w:pPr>
            <w:r w:rsidRPr="007779FE">
              <w:rPr>
                <w:color w:val="000000"/>
                <w:sz w:val="19"/>
                <w:szCs w:val="19"/>
              </w:rPr>
              <w:t>Residential</w:t>
            </w:r>
          </w:p>
        </w:tc>
        <w:tc>
          <w:tcPr>
            <w:tcW w:w="1890" w:type="dxa"/>
            <w:tcBorders>
              <w:top w:val="nil"/>
              <w:left w:val="nil"/>
              <w:bottom w:val="single" w:sz="8" w:space="0" w:color="448A99"/>
              <w:right w:val="single" w:sz="8" w:space="0" w:color="448A99"/>
            </w:tcBorders>
            <w:shd w:val="clear" w:color="auto" w:fill="auto"/>
            <w:vAlign w:val="center"/>
          </w:tcPr>
          <w:p w:rsidR="003203FA" w:rsidRPr="007779FE" w:rsidRDefault="003203FA" w:rsidP="003203FA">
            <w:pPr>
              <w:jc w:val="center"/>
              <w:rPr>
                <w:color w:val="000000"/>
                <w:sz w:val="19"/>
                <w:szCs w:val="19"/>
              </w:rPr>
            </w:pPr>
            <w:r w:rsidRPr="007779FE">
              <w:rPr>
                <w:color w:val="000000"/>
                <w:sz w:val="19"/>
                <w:szCs w:val="19"/>
              </w:rPr>
              <w:t>128,417</w:t>
            </w:r>
          </w:p>
        </w:tc>
        <w:tc>
          <w:tcPr>
            <w:tcW w:w="1890" w:type="dxa"/>
            <w:tcBorders>
              <w:top w:val="nil"/>
              <w:left w:val="nil"/>
              <w:bottom w:val="single" w:sz="8" w:space="0" w:color="448A99"/>
              <w:right w:val="single" w:sz="8" w:space="0" w:color="448A99"/>
            </w:tcBorders>
            <w:shd w:val="clear" w:color="auto" w:fill="auto"/>
            <w:vAlign w:val="center"/>
          </w:tcPr>
          <w:p w:rsidR="003203FA" w:rsidRPr="007779FE" w:rsidRDefault="003203FA" w:rsidP="003203FA">
            <w:pPr>
              <w:jc w:val="center"/>
              <w:rPr>
                <w:color w:val="000000"/>
                <w:sz w:val="19"/>
                <w:szCs w:val="19"/>
              </w:rPr>
            </w:pPr>
            <w:r w:rsidRPr="007779FE">
              <w:rPr>
                <w:color w:val="000000"/>
                <w:sz w:val="19"/>
                <w:szCs w:val="19"/>
              </w:rPr>
              <w:t>99,073</w:t>
            </w:r>
          </w:p>
        </w:tc>
        <w:tc>
          <w:tcPr>
            <w:tcW w:w="1890" w:type="dxa"/>
            <w:tcBorders>
              <w:top w:val="nil"/>
              <w:left w:val="nil"/>
              <w:bottom w:val="single" w:sz="8" w:space="0" w:color="448A99"/>
              <w:right w:val="single" w:sz="8" w:space="0" w:color="448A99"/>
            </w:tcBorders>
            <w:shd w:val="clear" w:color="auto" w:fill="auto"/>
            <w:vAlign w:val="center"/>
          </w:tcPr>
          <w:p w:rsidR="003203FA" w:rsidRPr="007779FE" w:rsidRDefault="003203FA" w:rsidP="003203FA">
            <w:pPr>
              <w:jc w:val="center"/>
              <w:rPr>
                <w:color w:val="000000"/>
                <w:sz w:val="19"/>
                <w:szCs w:val="19"/>
              </w:rPr>
            </w:pPr>
            <w:r w:rsidRPr="007779FE">
              <w:rPr>
                <w:color w:val="000000"/>
                <w:sz w:val="19"/>
                <w:szCs w:val="19"/>
              </w:rPr>
              <w:t>270,117</w:t>
            </w:r>
          </w:p>
        </w:tc>
        <w:tc>
          <w:tcPr>
            <w:tcW w:w="1890" w:type="dxa"/>
            <w:tcBorders>
              <w:top w:val="nil"/>
              <w:left w:val="nil"/>
              <w:bottom w:val="single" w:sz="8" w:space="0" w:color="448A99"/>
              <w:right w:val="single" w:sz="8" w:space="0" w:color="448A99"/>
            </w:tcBorders>
            <w:shd w:val="clear" w:color="auto" w:fill="auto"/>
            <w:vAlign w:val="center"/>
          </w:tcPr>
          <w:p w:rsidR="003203FA" w:rsidRPr="007779FE" w:rsidRDefault="003203FA" w:rsidP="003203FA">
            <w:pPr>
              <w:jc w:val="center"/>
              <w:rPr>
                <w:color w:val="000000"/>
                <w:sz w:val="19"/>
                <w:szCs w:val="19"/>
              </w:rPr>
            </w:pPr>
            <w:r w:rsidRPr="007779FE">
              <w:rPr>
                <w:color w:val="000000"/>
                <w:sz w:val="19"/>
                <w:szCs w:val="19"/>
              </w:rPr>
              <w:t>213,224</w:t>
            </w:r>
          </w:p>
        </w:tc>
      </w:tr>
      <w:tr w:rsidR="00A874AC" w:rsidRPr="007779FE" w:rsidTr="007779FE">
        <w:trPr>
          <w:trHeight w:val="360"/>
        </w:trPr>
        <w:tc>
          <w:tcPr>
            <w:tcW w:w="1790" w:type="dxa"/>
            <w:tcBorders>
              <w:top w:val="nil"/>
              <w:left w:val="single" w:sz="8" w:space="0" w:color="448A99"/>
              <w:bottom w:val="single" w:sz="8" w:space="0" w:color="448A99"/>
              <w:right w:val="single" w:sz="8" w:space="0" w:color="448A99"/>
            </w:tcBorders>
            <w:shd w:val="clear" w:color="000000" w:fill="D2EAF1"/>
            <w:noWrap/>
            <w:vAlign w:val="center"/>
          </w:tcPr>
          <w:p w:rsidR="003203FA" w:rsidRPr="007779FE" w:rsidRDefault="003203FA" w:rsidP="003203FA">
            <w:pPr>
              <w:jc w:val="left"/>
              <w:rPr>
                <w:color w:val="000000"/>
                <w:sz w:val="19"/>
                <w:szCs w:val="19"/>
              </w:rPr>
            </w:pPr>
            <w:r w:rsidRPr="007779FE">
              <w:rPr>
                <w:color w:val="000000"/>
                <w:sz w:val="19"/>
                <w:szCs w:val="19"/>
              </w:rPr>
              <w:t>C/I</w:t>
            </w:r>
          </w:p>
        </w:tc>
        <w:tc>
          <w:tcPr>
            <w:tcW w:w="1890" w:type="dxa"/>
            <w:tcBorders>
              <w:top w:val="nil"/>
              <w:left w:val="nil"/>
              <w:bottom w:val="single" w:sz="8" w:space="0" w:color="448A99"/>
              <w:right w:val="single" w:sz="8" w:space="0" w:color="448A99"/>
            </w:tcBorders>
            <w:shd w:val="clear" w:color="000000" w:fill="D2EAF1"/>
            <w:vAlign w:val="center"/>
          </w:tcPr>
          <w:p w:rsidR="003203FA" w:rsidRPr="007779FE" w:rsidRDefault="003203FA" w:rsidP="003203FA">
            <w:pPr>
              <w:jc w:val="center"/>
              <w:rPr>
                <w:color w:val="000000"/>
                <w:sz w:val="19"/>
                <w:szCs w:val="19"/>
              </w:rPr>
            </w:pPr>
            <w:r w:rsidRPr="007779FE">
              <w:rPr>
                <w:color w:val="000000"/>
                <w:sz w:val="19"/>
                <w:szCs w:val="19"/>
              </w:rPr>
              <w:t>141,900</w:t>
            </w:r>
          </w:p>
        </w:tc>
        <w:tc>
          <w:tcPr>
            <w:tcW w:w="1890" w:type="dxa"/>
            <w:tcBorders>
              <w:top w:val="nil"/>
              <w:left w:val="nil"/>
              <w:bottom w:val="single" w:sz="8" w:space="0" w:color="448A99"/>
              <w:right w:val="single" w:sz="8" w:space="0" w:color="448A99"/>
            </w:tcBorders>
            <w:shd w:val="clear" w:color="000000" w:fill="D2EAF1"/>
            <w:vAlign w:val="center"/>
          </w:tcPr>
          <w:p w:rsidR="003203FA" w:rsidRPr="007779FE" w:rsidRDefault="003203FA" w:rsidP="003203FA">
            <w:pPr>
              <w:jc w:val="center"/>
              <w:rPr>
                <w:color w:val="000000"/>
                <w:sz w:val="19"/>
                <w:szCs w:val="19"/>
              </w:rPr>
            </w:pPr>
            <w:r w:rsidRPr="007779FE">
              <w:rPr>
                <w:color w:val="000000"/>
                <w:sz w:val="19"/>
                <w:szCs w:val="19"/>
              </w:rPr>
              <w:t>102,732</w:t>
            </w:r>
          </w:p>
        </w:tc>
        <w:tc>
          <w:tcPr>
            <w:tcW w:w="1890" w:type="dxa"/>
            <w:tcBorders>
              <w:top w:val="nil"/>
              <w:left w:val="nil"/>
              <w:bottom w:val="single" w:sz="8" w:space="0" w:color="448A99"/>
              <w:right w:val="single" w:sz="8" w:space="0" w:color="448A99"/>
            </w:tcBorders>
            <w:shd w:val="clear" w:color="000000" w:fill="D2EAF1"/>
            <w:vAlign w:val="center"/>
          </w:tcPr>
          <w:p w:rsidR="003203FA" w:rsidRPr="007779FE" w:rsidRDefault="003203FA" w:rsidP="003203FA">
            <w:pPr>
              <w:jc w:val="center"/>
              <w:rPr>
                <w:color w:val="000000"/>
                <w:sz w:val="19"/>
                <w:szCs w:val="19"/>
              </w:rPr>
            </w:pPr>
            <w:r w:rsidRPr="007779FE">
              <w:rPr>
                <w:color w:val="000000"/>
                <w:sz w:val="19"/>
                <w:szCs w:val="19"/>
              </w:rPr>
              <w:t>335,372</w:t>
            </w:r>
          </w:p>
        </w:tc>
        <w:tc>
          <w:tcPr>
            <w:tcW w:w="1890" w:type="dxa"/>
            <w:tcBorders>
              <w:top w:val="nil"/>
              <w:left w:val="nil"/>
              <w:bottom w:val="single" w:sz="8" w:space="0" w:color="448A99"/>
              <w:right w:val="single" w:sz="8" w:space="0" w:color="448A99"/>
            </w:tcBorders>
            <w:shd w:val="clear" w:color="000000" w:fill="D2EAF1"/>
            <w:vAlign w:val="center"/>
          </w:tcPr>
          <w:p w:rsidR="003203FA" w:rsidRPr="007779FE" w:rsidRDefault="003203FA" w:rsidP="003203FA">
            <w:pPr>
              <w:jc w:val="center"/>
              <w:rPr>
                <w:color w:val="000000"/>
                <w:sz w:val="19"/>
                <w:szCs w:val="19"/>
              </w:rPr>
            </w:pPr>
            <w:r w:rsidRPr="007779FE">
              <w:rPr>
                <w:color w:val="000000"/>
                <w:sz w:val="19"/>
                <w:szCs w:val="19"/>
              </w:rPr>
              <w:t>253,580</w:t>
            </w:r>
          </w:p>
        </w:tc>
      </w:tr>
      <w:tr w:rsidR="003203FA" w:rsidRPr="007779FE" w:rsidTr="007779FE">
        <w:trPr>
          <w:trHeight w:val="360"/>
        </w:trPr>
        <w:tc>
          <w:tcPr>
            <w:tcW w:w="1790" w:type="dxa"/>
            <w:tcBorders>
              <w:top w:val="nil"/>
              <w:left w:val="single" w:sz="8" w:space="0" w:color="448A99"/>
              <w:bottom w:val="single" w:sz="8" w:space="0" w:color="448A99"/>
              <w:right w:val="single" w:sz="8" w:space="0" w:color="448A99"/>
            </w:tcBorders>
            <w:shd w:val="clear" w:color="auto" w:fill="auto"/>
            <w:noWrap/>
            <w:vAlign w:val="center"/>
          </w:tcPr>
          <w:p w:rsidR="003203FA" w:rsidRPr="007779FE" w:rsidRDefault="003203FA" w:rsidP="003203FA">
            <w:pPr>
              <w:jc w:val="left"/>
              <w:rPr>
                <w:color w:val="000000"/>
                <w:sz w:val="19"/>
                <w:szCs w:val="19"/>
              </w:rPr>
            </w:pPr>
            <w:r w:rsidRPr="007779FE">
              <w:rPr>
                <w:color w:val="000000"/>
                <w:sz w:val="19"/>
                <w:szCs w:val="19"/>
              </w:rPr>
              <w:t>GNI</w:t>
            </w:r>
          </w:p>
        </w:tc>
        <w:tc>
          <w:tcPr>
            <w:tcW w:w="1890" w:type="dxa"/>
            <w:tcBorders>
              <w:top w:val="nil"/>
              <w:left w:val="nil"/>
              <w:bottom w:val="single" w:sz="8" w:space="0" w:color="448A99"/>
              <w:right w:val="single" w:sz="8" w:space="0" w:color="448A99"/>
            </w:tcBorders>
            <w:shd w:val="clear" w:color="auto" w:fill="auto"/>
            <w:vAlign w:val="center"/>
          </w:tcPr>
          <w:p w:rsidR="003203FA" w:rsidRPr="007779FE" w:rsidRDefault="003203FA" w:rsidP="003203FA">
            <w:pPr>
              <w:jc w:val="center"/>
              <w:rPr>
                <w:color w:val="000000"/>
                <w:sz w:val="19"/>
                <w:szCs w:val="19"/>
              </w:rPr>
            </w:pPr>
            <w:r w:rsidRPr="007779FE">
              <w:rPr>
                <w:color w:val="000000"/>
                <w:sz w:val="19"/>
                <w:szCs w:val="19"/>
              </w:rPr>
              <w:t>47,044</w:t>
            </w:r>
          </w:p>
        </w:tc>
        <w:tc>
          <w:tcPr>
            <w:tcW w:w="1890" w:type="dxa"/>
            <w:tcBorders>
              <w:top w:val="nil"/>
              <w:left w:val="nil"/>
              <w:bottom w:val="single" w:sz="8" w:space="0" w:color="448A99"/>
              <w:right w:val="single" w:sz="8" w:space="0" w:color="448A99"/>
            </w:tcBorders>
            <w:shd w:val="clear" w:color="auto" w:fill="auto"/>
            <w:vAlign w:val="center"/>
          </w:tcPr>
          <w:p w:rsidR="003203FA" w:rsidRPr="007779FE" w:rsidRDefault="003203FA" w:rsidP="003203FA">
            <w:pPr>
              <w:jc w:val="center"/>
              <w:rPr>
                <w:color w:val="000000"/>
                <w:sz w:val="19"/>
                <w:szCs w:val="19"/>
              </w:rPr>
            </w:pPr>
            <w:r w:rsidRPr="007779FE">
              <w:rPr>
                <w:color w:val="000000"/>
                <w:sz w:val="19"/>
                <w:szCs w:val="19"/>
              </w:rPr>
              <w:t>36,207</w:t>
            </w:r>
          </w:p>
        </w:tc>
        <w:tc>
          <w:tcPr>
            <w:tcW w:w="1890" w:type="dxa"/>
            <w:tcBorders>
              <w:top w:val="nil"/>
              <w:left w:val="nil"/>
              <w:bottom w:val="single" w:sz="8" w:space="0" w:color="448A99"/>
              <w:right w:val="single" w:sz="8" w:space="0" w:color="448A99"/>
            </w:tcBorders>
            <w:shd w:val="clear" w:color="auto" w:fill="auto"/>
            <w:vAlign w:val="center"/>
          </w:tcPr>
          <w:p w:rsidR="003203FA" w:rsidRPr="007779FE" w:rsidRDefault="003203FA" w:rsidP="003203FA">
            <w:pPr>
              <w:jc w:val="center"/>
              <w:rPr>
                <w:color w:val="000000"/>
                <w:sz w:val="19"/>
                <w:szCs w:val="19"/>
              </w:rPr>
            </w:pPr>
            <w:r w:rsidRPr="007779FE">
              <w:rPr>
                <w:color w:val="000000"/>
                <w:sz w:val="19"/>
                <w:szCs w:val="19"/>
              </w:rPr>
              <w:t>93,248</w:t>
            </w:r>
          </w:p>
        </w:tc>
        <w:tc>
          <w:tcPr>
            <w:tcW w:w="1890" w:type="dxa"/>
            <w:tcBorders>
              <w:top w:val="nil"/>
              <w:left w:val="nil"/>
              <w:bottom w:val="single" w:sz="8" w:space="0" w:color="448A99"/>
              <w:right w:val="single" w:sz="8" w:space="0" w:color="448A99"/>
            </w:tcBorders>
            <w:shd w:val="clear" w:color="auto" w:fill="auto"/>
            <w:vAlign w:val="center"/>
          </w:tcPr>
          <w:p w:rsidR="003203FA" w:rsidRPr="007779FE" w:rsidRDefault="003203FA" w:rsidP="003203FA">
            <w:pPr>
              <w:jc w:val="center"/>
              <w:rPr>
                <w:color w:val="000000"/>
                <w:sz w:val="19"/>
                <w:szCs w:val="19"/>
              </w:rPr>
            </w:pPr>
            <w:r w:rsidRPr="007779FE">
              <w:rPr>
                <w:color w:val="000000"/>
                <w:sz w:val="19"/>
                <w:szCs w:val="19"/>
              </w:rPr>
              <w:t>75,008</w:t>
            </w:r>
          </w:p>
        </w:tc>
      </w:tr>
      <w:tr w:rsidR="00A874AC" w:rsidRPr="007779FE" w:rsidTr="007779FE">
        <w:trPr>
          <w:trHeight w:val="360"/>
        </w:trPr>
        <w:tc>
          <w:tcPr>
            <w:tcW w:w="1790" w:type="dxa"/>
            <w:tcBorders>
              <w:top w:val="nil"/>
              <w:left w:val="single" w:sz="8" w:space="0" w:color="448A99"/>
              <w:bottom w:val="single" w:sz="8" w:space="0" w:color="448A99"/>
              <w:right w:val="single" w:sz="8" w:space="0" w:color="448A99"/>
            </w:tcBorders>
            <w:shd w:val="clear" w:color="000000" w:fill="D2EAF1"/>
            <w:noWrap/>
            <w:vAlign w:val="center"/>
          </w:tcPr>
          <w:p w:rsidR="003203FA" w:rsidRPr="007779FE" w:rsidRDefault="003203FA" w:rsidP="003203FA">
            <w:pPr>
              <w:jc w:val="left"/>
              <w:rPr>
                <w:b/>
                <w:bCs/>
                <w:i/>
                <w:iCs/>
                <w:color w:val="000000"/>
                <w:sz w:val="19"/>
                <w:szCs w:val="19"/>
              </w:rPr>
            </w:pPr>
            <w:r w:rsidRPr="007779FE">
              <w:rPr>
                <w:b/>
                <w:bCs/>
                <w:i/>
                <w:iCs/>
                <w:color w:val="000000"/>
                <w:sz w:val="19"/>
                <w:szCs w:val="19"/>
              </w:rPr>
              <w:t>Total Portfolio</w:t>
            </w:r>
          </w:p>
        </w:tc>
        <w:tc>
          <w:tcPr>
            <w:tcW w:w="1890" w:type="dxa"/>
            <w:tcBorders>
              <w:top w:val="nil"/>
              <w:left w:val="nil"/>
              <w:bottom w:val="single" w:sz="8" w:space="0" w:color="448A99"/>
              <w:right w:val="single" w:sz="8" w:space="0" w:color="448A99"/>
            </w:tcBorders>
            <w:shd w:val="clear" w:color="000000" w:fill="D2EAF1"/>
            <w:vAlign w:val="center"/>
          </w:tcPr>
          <w:p w:rsidR="003203FA" w:rsidRPr="007779FE" w:rsidRDefault="003203FA" w:rsidP="003203FA">
            <w:pPr>
              <w:jc w:val="center"/>
              <w:rPr>
                <w:b/>
                <w:bCs/>
                <w:i/>
                <w:iCs/>
                <w:color w:val="000000"/>
                <w:sz w:val="19"/>
                <w:szCs w:val="19"/>
              </w:rPr>
            </w:pPr>
            <w:r w:rsidRPr="007779FE">
              <w:rPr>
                <w:b/>
                <w:bCs/>
                <w:i/>
                <w:iCs/>
                <w:color w:val="000000"/>
                <w:sz w:val="19"/>
                <w:szCs w:val="19"/>
              </w:rPr>
              <w:t>317,361</w:t>
            </w:r>
          </w:p>
        </w:tc>
        <w:tc>
          <w:tcPr>
            <w:tcW w:w="1890" w:type="dxa"/>
            <w:tcBorders>
              <w:top w:val="nil"/>
              <w:left w:val="nil"/>
              <w:bottom w:val="single" w:sz="8" w:space="0" w:color="448A99"/>
              <w:right w:val="single" w:sz="8" w:space="0" w:color="448A99"/>
            </w:tcBorders>
            <w:shd w:val="clear" w:color="000000" w:fill="D2EAF1"/>
            <w:vAlign w:val="center"/>
          </w:tcPr>
          <w:p w:rsidR="003203FA" w:rsidRPr="007779FE" w:rsidRDefault="003203FA" w:rsidP="003203FA">
            <w:pPr>
              <w:jc w:val="center"/>
              <w:rPr>
                <w:b/>
                <w:bCs/>
                <w:i/>
                <w:iCs/>
                <w:color w:val="000000"/>
                <w:sz w:val="19"/>
                <w:szCs w:val="19"/>
              </w:rPr>
            </w:pPr>
            <w:r w:rsidRPr="007779FE">
              <w:rPr>
                <w:b/>
                <w:bCs/>
                <w:i/>
                <w:iCs/>
                <w:color w:val="000000"/>
                <w:sz w:val="19"/>
                <w:szCs w:val="19"/>
              </w:rPr>
              <w:t>238,012</w:t>
            </w:r>
          </w:p>
        </w:tc>
        <w:tc>
          <w:tcPr>
            <w:tcW w:w="1890" w:type="dxa"/>
            <w:tcBorders>
              <w:top w:val="nil"/>
              <w:left w:val="nil"/>
              <w:bottom w:val="single" w:sz="8" w:space="0" w:color="448A99"/>
              <w:right w:val="single" w:sz="8" w:space="0" w:color="448A99"/>
            </w:tcBorders>
            <w:shd w:val="clear" w:color="000000" w:fill="D2EAF1"/>
            <w:vAlign w:val="center"/>
          </w:tcPr>
          <w:p w:rsidR="003203FA" w:rsidRPr="007779FE" w:rsidRDefault="003203FA" w:rsidP="003203FA">
            <w:pPr>
              <w:jc w:val="center"/>
              <w:rPr>
                <w:b/>
                <w:bCs/>
                <w:i/>
                <w:iCs/>
                <w:color w:val="000000"/>
                <w:sz w:val="19"/>
                <w:szCs w:val="19"/>
              </w:rPr>
            </w:pPr>
            <w:r w:rsidRPr="007779FE">
              <w:rPr>
                <w:b/>
                <w:bCs/>
                <w:i/>
                <w:iCs/>
                <w:color w:val="000000"/>
                <w:sz w:val="19"/>
                <w:szCs w:val="19"/>
              </w:rPr>
              <w:t>698,736</w:t>
            </w:r>
          </w:p>
        </w:tc>
        <w:tc>
          <w:tcPr>
            <w:tcW w:w="1890" w:type="dxa"/>
            <w:tcBorders>
              <w:top w:val="nil"/>
              <w:left w:val="nil"/>
              <w:bottom w:val="single" w:sz="8" w:space="0" w:color="448A99"/>
              <w:right w:val="single" w:sz="8" w:space="0" w:color="448A99"/>
            </w:tcBorders>
            <w:shd w:val="clear" w:color="000000" w:fill="D2EAF1"/>
            <w:vAlign w:val="center"/>
          </w:tcPr>
          <w:p w:rsidR="003203FA" w:rsidRPr="007779FE" w:rsidRDefault="003203FA" w:rsidP="003203FA">
            <w:pPr>
              <w:jc w:val="center"/>
              <w:rPr>
                <w:b/>
                <w:bCs/>
                <w:i/>
                <w:iCs/>
                <w:color w:val="000000"/>
                <w:sz w:val="19"/>
                <w:szCs w:val="19"/>
              </w:rPr>
            </w:pPr>
            <w:r w:rsidRPr="007779FE">
              <w:rPr>
                <w:b/>
                <w:bCs/>
                <w:i/>
                <w:iCs/>
                <w:color w:val="000000"/>
                <w:sz w:val="19"/>
                <w:szCs w:val="19"/>
              </w:rPr>
              <w:t>541,813</w:t>
            </w:r>
          </w:p>
        </w:tc>
      </w:tr>
    </w:tbl>
    <w:p w:rsidR="00710D47" w:rsidRPr="008111EC" w:rsidRDefault="00710D47" w:rsidP="008111EC"/>
    <w:p w:rsidR="00950837" w:rsidRDefault="00950837" w:rsidP="000D3563">
      <w:pPr>
        <w:pStyle w:val="AppendixAHeading2"/>
      </w:pPr>
      <w:r>
        <w:t>Total Resource Cost Test</w:t>
      </w:r>
    </w:p>
    <w:p w:rsidR="00873770" w:rsidRDefault="00873770" w:rsidP="00873770">
      <w:r>
        <w:fldChar w:fldCharType="begin"/>
      </w:r>
      <w:r>
        <w:instrText xml:space="preserve"> REF _Ref472447312 \h </w:instrText>
      </w:r>
      <w:r>
        <w:fldChar w:fldCharType="separate"/>
      </w:r>
      <w:r w:rsidR="00037CB4">
        <w:t>Table A-</w:t>
      </w:r>
      <w:r w:rsidR="00037CB4">
        <w:rPr>
          <w:noProof/>
        </w:rPr>
        <w:t>137</w:t>
      </w:r>
      <w:r>
        <w:fldChar w:fldCharType="end"/>
      </w:r>
      <w:r w:rsidR="009E77FB">
        <w:t xml:space="preserve"> </w:t>
      </w:r>
      <w:r w:rsidRPr="00873770">
        <w:t xml:space="preserve">presents TRC NPV benefits, TRC NPV costs, present value of net benefits, and TRC ratio for PPL’s PY7 individual programs and total portfolio. The SWE found no initial inconsistencies between the TRC model outputs and the TRC results shown in the PY7 </w:t>
      </w:r>
      <w:r w:rsidR="001C055E">
        <w:t>a</w:t>
      </w:r>
      <w:r w:rsidRPr="00873770">
        <w:t xml:space="preserve">nnual </w:t>
      </w:r>
      <w:r w:rsidR="001C055E">
        <w:t>r</w:t>
      </w:r>
      <w:r w:rsidRPr="00873770">
        <w:t>eport.</w:t>
      </w:r>
    </w:p>
    <w:p w:rsidR="008111EC" w:rsidRDefault="008111EC" w:rsidP="00873770"/>
    <w:p w:rsidR="00873770" w:rsidRDefault="00873770" w:rsidP="004837FA">
      <w:pPr>
        <w:pStyle w:val="Caption"/>
      </w:pPr>
      <w:bookmarkStart w:id="1269" w:name="_Ref472447312"/>
      <w:bookmarkStart w:id="1270" w:name="_Toc472472546"/>
      <w:bookmarkStart w:id="1271" w:name="_Toc488741965"/>
      <w:r>
        <w:t>Table A-</w:t>
      </w:r>
      <w:r w:rsidR="007973A4">
        <w:fldChar w:fldCharType="begin"/>
      </w:r>
      <w:r w:rsidR="007973A4">
        <w:instrText xml:space="preserve"> SEQ Table_A- \* ARABIC </w:instrText>
      </w:r>
      <w:r w:rsidR="007973A4">
        <w:fldChar w:fldCharType="separate"/>
      </w:r>
      <w:r w:rsidR="00037CB4">
        <w:rPr>
          <w:noProof/>
        </w:rPr>
        <w:t>137</w:t>
      </w:r>
      <w:r w:rsidR="007973A4">
        <w:rPr>
          <w:noProof/>
        </w:rPr>
        <w:fldChar w:fldCharType="end"/>
      </w:r>
      <w:bookmarkEnd w:id="1269"/>
      <w:r>
        <w:t xml:space="preserve">: </w:t>
      </w:r>
      <w:r w:rsidRPr="00873770">
        <w:t>Summary of PPL’s PY</w:t>
      </w:r>
      <w:r>
        <w:t>7</w:t>
      </w:r>
      <w:r w:rsidRPr="00873770">
        <w:t xml:space="preserve"> TRC Factors and Results</w:t>
      </w:r>
      <w:bookmarkEnd w:id="1270"/>
      <w:bookmarkEnd w:id="1271"/>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600"/>
        <w:gridCol w:w="1620"/>
        <w:gridCol w:w="1620"/>
        <w:gridCol w:w="1620"/>
        <w:gridCol w:w="900"/>
      </w:tblGrid>
      <w:tr w:rsidR="00A874AC" w:rsidRPr="007779FE" w:rsidTr="008C7396">
        <w:trPr>
          <w:trHeight w:val="576"/>
          <w:tblHeader/>
        </w:trPr>
        <w:tc>
          <w:tcPr>
            <w:tcW w:w="3600" w:type="dxa"/>
            <w:shd w:val="clear" w:color="000000" w:fill="448A99"/>
            <w:noWrap/>
            <w:vAlign w:val="bottom"/>
            <w:hideMark/>
          </w:tcPr>
          <w:p w:rsidR="00873770" w:rsidRPr="007779FE" w:rsidRDefault="00873770" w:rsidP="00873770">
            <w:pPr>
              <w:jc w:val="left"/>
              <w:rPr>
                <w:b/>
                <w:bCs/>
                <w:color w:val="FFFFFF"/>
                <w:sz w:val="19"/>
                <w:szCs w:val="19"/>
              </w:rPr>
            </w:pPr>
            <w:r w:rsidRPr="007779FE">
              <w:rPr>
                <w:b/>
                <w:bCs/>
                <w:color w:val="FFFFFF"/>
                <w:sz w:val="19"/>
                <w:szCs w:val="19"/>
              </w:rPr>
              <w:t>Program</w:t>
            </w:r>
          </w:p>
        </w:tc>
        <w:tc>
          <w:tcPr>
            <w:tcW w:w="1620" w:type="dxa"/>
            <w:shd w:val="clear" w:color="000000" w:fill="448A99"/>
            <w:vAlign w:val="bottom"/>
            <w:hideMark/>
          </w:tcPr>
          <w:p w:rsidR="00873770" w:rsidRPr="007779FE" w:rsidRDefault="00873770" w:rsidP="00873770">
            <w:pPr>
              <w:jc w:val="center"/>
              <w:rPr>
                <w:b/>
                <w:bCs/>
                <w:color w:val="FFFFFF"/>
                <w:sz w:val="19"/>
                <w:szCs w:val="19"/>
              </w:rPr>
            </w:pPr>
            <w:r w:rsidRPr="007779FE">
              <w:rPr>
                <w:b/>
                <w:bCs/>
                <w:color w:val="FFFFFF"/>
                <w:sz w:val="19"/>
                <w:szCs w:val="19"/>
              </w:rPr>
              <w:t>TRC NPV Benefits</w:t>
            </w:r>
          </w:p>
          <w:p w:rsidR="00873770" w:rsidRPr="007779FE" w:rsidRDefault="00873770" w:rsidP="00873770">
            <w:pPr>
              <w:jc w:val="center"/>
              <w:rPr>
                <w:rFonts w:eastAsia="Calibri"/>
                <w:b/>
                <w:bCs/>
                <w:color w:val="FFFFFF"/>
                <w:sz w:val="19"/>
                <w:szCs w:val="19"/>
              </w:rPr>
            </w:pPr>
            <w:r w:rsidRPr="007779FE">
              <w:rPr>
                <w:b/>
                <w:bCs/>
                <w:color w:val="FFFFFF"/>
                <w:sz w:val="19"/>
                <w:szCs w:val="19"/>
              </w:rPr>
              <w:t>($)</w:t>
            </w:r>
          </w:p>
        </w:tc>
        <w:tc>
          <w:tcPr>
            <w:tcW w:w="1620" w:type="dxa"/>
            <w:shd w:val="clear" w:color="000000" w:fill="448A99"/>
            <w:vAlign w:val="bottom"/>
            <w:hideMark/>
          </w:tcPr>
          <w:p w:rsidR="00873770" w:rsidRPr="007779FE" w:rsidRDefault="00873770" w:rsidP="00873770">
            <w:pPr>
              <w:jc w:val="center"/>
              <w:rPr>
                <w:rFonts w:eastAsia="Calibri"/>
                <w:b/>
                <w:bCs/>
                <w:color w:val="FFFFFF"/>
                <w:sz w:val="19"/>
                <w:szCs w:val="19"/>
              </w:rPr>
            </w:pPr>
            <w:r w:rsidRPr="007779FE">
              <w:rPr>
                <w:b/>
                <w:bCs/>
                <w:color w:val="FFFFFF"/>
                <w:sz w:val="19"/>
                <w:szCs w:val="19"/>
              </w:rPr>
              <w:t>TRC NPV Costs</w:t>
            </w:r>
          </w:p>
          <w:p w:rsidR="00873770" w:rsidRPr="007779FE" w:rsidRDefault="00873770" w:rsidP="00873770">
            <w:pPr>
              <w:jc w:val="center"/>
              <w:rPr>
                <w:rFonts w:eastAsia="Calibri"/>
                <w:b/>
                <w:bCs/>
                <w:color w:val="FFFFFF"/>
                <w:sz w:val="19"/>
                <w:szCs w:val="19"/>
              </w:rPr>
            </w:pPr>
            <w:r w:rsidRPr="007779FE">
              <w:rPr>
                <w:b/>
                <w:bCs/>
                <w:color w:val="FFFFFF"/>
                <w:sz w:val="19"/>
                <w:szCs w:val="19"/>
              </w:rPr>
              <w:t>($)</w:t>
            </w:r>
          </w:p>
        </w:tc>
        <w:tc>
          <w:tcPr>
            <w:tcW w:w="1620" w:type="dxa"/>
            <w:shd w:val="clear" w:color="000000" w:fill="448A99"/>
            <w:vAlign w:val="bottom"/>
          </w:tcPr>
          <w:p w:rsidR="00873770" w:rsidRPr="007779FE" w:rsidRDefault="00873770" w:rsidP="00873770">
            <w:pPr>
              <w:jc w:val="center"/>
              <w:rPr>
                <w:rFonts w:eastAsia="Calibri"/>
                <w:b/>
                <w:bCs/>
                <w:color w:val="FFFFFF"/>
                <w:sz w:val="19"/>
                <w:szCs w:val="19"/>
              </w:rPr>
            </w:pPr>
            <w:r w:rsidRPr="007779FE">
              <w:rPr>
                <w:b/>
                <w:bCs/>
                <w:color w:val="FFFFFF"/>
                <w:sz w:val="19"/>
                <w:szCs w:val="19"/>
              </w:rPr>
              <w:t>Present Value of Net Benefits</w:t>
            </w:r>
          </w:p>
          <w:p w:rsidR="00873770" w:rsidRPr="007779FE" w:rsidRDefault="00873770" w:rsidP="00873770">
            <w:pPr>
              <w:jc w:val="center"/>
              <w:rPr>
                <w:rFonts w:eastAsia="Calibri"/>
                <w:b/>
                <w:bCs/>
                <w:color w:val="FFFFFF"/>
                <w:sz w:val="19"/>
                <w:szCs w:val="19"/>
              </w:rPr>
            </w:pPr>
            <w:r w:rsidRPr="007779FE">
              <w:rPr>
                <w:b/>
                <w:bCs/>
                <w:color w:val="FFFFFF"/>
                <w:sz w:val="19"/>
                <w:szCs w:val="19"/>
              </w:rPr>
              <w:t>($)</w:t>
            </w:r>
          </w:p>
        </w:tc>
        <w:tc>
          <w:tcPr>
            <w:tcW w:w="900" w:type="dxa"/>
            <w:shd w:val="clear" w:color="000000" w:fill="448A99"/>
            <w:noWrap/>
            <w:vAlign w:val="bottom"/>
            <w:hideMark/>
          </w:tcPr>
          <w:p w:rsidR="00873770" w:rsidRPr="007779FE" w:rsidRDefault="00873770" w:rsidP="00873770">
            <w:pPr>
              <w:jc w:val="center"/>
              <w:rPr>
                <w:rFonts w:eastAsia="Calibri"/>
                <w:b/>
                <w:bCs/>
                <w:color w:val="FFFFFF"/>
                <w:sz w:val="19"/>
                <w:szCs w:val="19"/>
              </w:rPr>
            </w:pPr>
            <w:r w:rsidRPr="007779FE">
              <w:rPr>
                <w:b/>
                <w:bCs/>
                <w:color w:val="FFFFFF"/>
                <w:sz w:val="19"/>
                <w:szCs w:val="19"/>
              </w:rPr>
              <w:t>TRC Ratio</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7779FE" w:rsidRDefault="00873770" w:rsidP="00873770">
            <w:pPr>
              <w:jc w:val="left"/>
              <w:rPr>
                <w:color w:val="000000"/>
                <w:sz w:val="19"/>
                <w:szCs w:val="19"/>
              </w:rPr>
            </w:pPr>
            <w:r w:rsidRPr="007779FE">
              <w:rPr>
                <w:color w:val="000000"/>
                <w:sz w:val="19"/>
                <w:szCs w:val="19"/>
              </w:rPr>
              <w:t>Appliance Recycling</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$5,782,135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$1,240,144 </w:t>
            </w:r>
          </w:p>
        </w:tc>
        <w:tc>
          <w:tcPr>
            <w:tcW w:w="1620" w:type="dxa"/>
            <w:tcBorders>
              <w:top w:val="nil"/>
              <w:left w:val="nil"/>
              <w:bottom w:val="single" w:sz="8" w:space="0" w:color="448A99"/>
              <w:right w:val="single" w:sz="8" w:space="0" w:color="448A99"/>
            </w:tcBorders>
            <w:shd w:val="clear" w:color="000000" w:fill="D2EAF1"/>
            <w:vAlign w:val="center"/>
          </w:tcPr>
          <w:p w:rsidR="00873770" w:rsidRPr="007779FE" w:rsidRDefault="00873770" w:rsidP="00873770">
            <w:pPr>
              <w:jc w:val="center"/>
              <w:rPr>
                <w:color w:val="000000"/>
                <w:sz w:val="19"/>
                <w:szCs w:val="19"/>
              </w:rPr>
            </w:pPr>
            <w:r w:rsidRPr="007779FE">
              <w:rPr>
                <w:color w:val="000000"/>
                <w:sz w:val="19"/>
                <w:szCs w:val="19"/>
              </w:rPr>
              <w:t xml:space="preserve">$4,541,991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4.66</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auto" w:fill="auto"/>
            <w:noWrap/>
            <w:vAlign w:val="center"/>
          </w:tcPr>
          <w:p w:rsidR="00873770" w:rsidRPr="007779FE" w:rsidRDefault="00873770" w:rsidP="00873770">
            <w:pPr>
              <w:jc w:val="left"/>
              <w:rPr>
                <w:color w:val="000000"/>
                <w:sz w:val="19"/>
                <w:szCs w:val="19"/>
              </w:rPr>
            </w:pPr>
            <w:r w:rsidRPr="007779FE">
              <w:rPr>
                <w:color w:val="000000"/>
                <w:sz w:val="19"/>
                <w:szCs w:val="19"/>
              </w:rPr>
              <w:t>Residential EE Behavior and Education</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$3,893,563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$503,938 </w:t>
            </w:r>
          </w:p>
        </w:tc>
        <w:tc>
          <w:tcPr>
            <w:tcW w:w="1620" w:type="dxa"/>
            <w:tcBorders>
              <w:top w:val="nil"/>
              <w:left w:val="nil"/>
              <w:bottom w:val="single" w:sz="8" w:space="0" w:color="448A99"/>
              <w:right w:val="single" w:sz="8" w:space="0" w:color="448A99"/>
            </w:tcBorders>
            <w:shd w:val="clear" w:color="auto" w:fill="auto"/>
            <w:vAlign w:val="center"/>
          </w:tcPr>
          <w:p w:rsidR="00873770" w:rsidRPr="007779FE" w:rsidRDefault="00873770" w:rsidP="00873770">
            <w:pPr>
              <w:jc w:val="center"/>
              <w:rPr>
                <w:color w:val="000000"/>
                <w:sz w:val="19"/>
                <w:szCs w:val="19"/>
              </w:rPr>
            </w:pPr>
            <w:r w:rsidRPr="007779FE">
              <w:rPr>
                <w:color w:val="000000"/>
                <w:sz w:val="19"/>
                <w:szCs w:val="19"/>
              </w:rPr>
              <w:t xml:space="preserve">$3,389,625 </w:t>
            </w:r>
          </w:p>
        </w:tc>
        <w:tc>
          <w:tcPr>
            <w:tcW w:w="90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7.73</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7779FE" w:rsidRDefault="00873770" w:rsidP="00873770">
            <w:pPr>
              <w:jc w:val="left"/>
              <w:rPr>
                <w:color w:val="000000"/>
                <w:sz w:val="19"/>
                <w:szCs w:val="19"/>
              </w:rPr>
            </w:pPr>
            <w:r w:rsidRPr="007779FE">
              <w:rPr>
                <w:color w:val="000000"/>
                <w:sz w:val="19"/>
                <w:szCs w:val="19"/>
              </w:rPr>
              <w:t>Residential Home Comfort</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$12,472,643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$18,976,932 </w:t>
            </w:r>
          </w:p>
        </w:tc>
        <w:tc>
          <w:tcPr>
            <w:tcW w:w="1620" w:type="dxa"/>
            <w:tcBorders>
              <w:top w:val="nil"/>
              <w:left w:val="nil"/>
              <w:bottom w:val="single" w:sz="8" w:space="0" w:color="448A99"/>
              <w:right w:val="single" w:sz="8" w:space="0" w:color="448A99"/>
            </w:tcBorders>
            <w:shd w:val="clear" w:color="000000" w:fill="D2EAF1"/>
            <w:vAlign w:val="center"/>
          </w:tcPr>
          <w:p w:rsidR="00873770" w:rsidRPr="007779FE" w:rsidRDefault="00873770" w:rsidP="00873770">
            <w:pPr>
              <w:jc w:val="center"/>
              <w:rPr>
                <w:color w:val="000000"/>
                <w:sz w:val="19"/>
                <w:szCs w:val="19"/>
              </w:rPr>
            </w:pPr>
            <w:r w:rsidRPr="007779FE">
              <w:rPr>
                <w:color w:val="FF0000"/>
                <w:sz w:val="19"/>
                <w:szCs w:val="19"/>
              </w:rPr>
              <w:t>($6,504,288)</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0.66</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auto" w:fill="auto"/>
            <w:noWrap/>
            <w:vAlign w:val="center"/>
          </w:tcPr>
          <w:p w:rsidR="00873770" w:rsidRPr="007779FE" w:rsidRDefault="00873770" w:rsidP="00873770">
            <w:pPr>
              <w:jc w:val="left"/>
              <w:rPr>
                <w:color w:val="000000"/>
                <w:sz w:val="19"/>
                <w:szCs w:val="19"/>
              </w:rPr>
            </w:pPr>
            <w:r w:rsidRPr="007779FE">
              <w:rPr>
                <w:color w:val="000000"/>
                <w:sz w:val="19"/>
                <w:szCs w:val="19"/>
              </w:rPr>
              <w:t>Residential Retail</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$61,324,528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$16,347,202 </w:t>
            </w:r>
          </w:p>
        </w:tc>
        <w:tc>
          <w:tcPr>
            <w:tcW w:w="1620" w:type="dxa"/>
            <w:tcBorders>
              <w:top w:val="nil"/>
              <w:left w:val="nil"/>
              <w:bottom w:val="single" w:sz="8" w:space="0" w:color="448A99"/>
              <w:right w:val="single" w:sz="8" w:space="0" w:color="448A99"/>
            </w:tcBorders>
            <w:shd w:val="clear" w:color="auto" w:fill="auto"/>
            <w:vAlign w:val="center"/>
          </w:tcPr>
          <w:p w:rsidR="00873770" w:rsidRPr="007779FE" w:rsidRDefault="00873770" w:rsidP="00873770">
            <w:pPr>
              <w:jc w:val="center"/>
              <w:rPr>
                <w:color w:val="000000"/>
                <w:sz w:val="19"/>
                <w:szCs w:val="19"/>
              </w:rPr>
            </w:pPr>
            <w:r w:rsidRPr="007779FE">
              <w:rPr>
                <w:color w:val="000000"/>
                <w:sz w:val="19"/>
                <w:szCs w:val="19"/>
              </w:rPr>
              <w:t xml:space="preserve">$44,977,326 </w:t>
            </w:r>
          </w:p>
        </w:tc>
        <w:tc>
          <w:tcPr>
            <w:tcW w:w="90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3.75</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7779FE" w:rsidRDefault="00873770" w:rsidP="00873770">
            <w:pPr>
              <w:jc w:val="left"/>
              <w:rPr>
                <w:color w:val="000000"/>
                <w:sz w:val="19"/>
                <w:szCs w:val="19"/>
              </w:rPr>
            </w:pPr>
            <w:r w:rsidRPr="007779FE">
              <w:rPr>
                <w:color w:val="000000"/>
                <w:sz w:val="19"/>
                <w:szCs w:val="19"/>
              </w:rPr>
              <w:t>Student and Parent Education</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$3,465,013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$2,216,353 </w:t>
            </w:r>
          </w:p>
        </w:tc>
        <w:tc>
          <w:tcPr>
            <w:tcW w:w="1620" w:type="dxa"/>
            <w:tcBorders>
              <w:top w:val="nil"/>
              <w:left w:val="nil"/>
              <w:bottom w:val="single" w:sz="8" w:space="0" w:color="448A99"/>
              <w:right w:val="single" w:sz="8" w:space="0" w:color="448A99"/>
            </w:tcBorders>
            <w:shd w:val="clear" w:color="000000" w:fill="D2EAF1"/>
            <w:vAlign w:val="center"/>
          </w:tcPr>
          <w:p w:rsidR="00873770" w:rsidRPr="007779FE" w:rsidRDefault="00873770" w:rsidP="00873770">
            <w:pPr>
              <w:jc w:val="center"/>
              <w:rPr>
                <w:color w:val="000000"/>
                <w:sz w:val="19"/>
                <w:szCs w:val="19"/>
              </w:rPr>
            </w:pPr>
            <w:r w:rsidRPr="007779FE">
              <w:rPr>
                <w:color w:val="000000"/>
                <w:sz w:val="19"/>
                <w:szCs w:val="19"/>
              </w:rPr>
              <w:t xml:space="preserve">$1,248,660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1.56</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auto" w:fill="auto"/>
            <w:noWrap/>
            <w:vAlign w:val="center"/>
          </w:tcPr>
          <w:p w:rsidR="00873770" w:rsidRPr="007779FE" w:rsidRDefault="00873770" w:rsidP="00873770">
            <w:pPr>
              <w:jc w:val="left"/>
              <w:rPr>
                <w:color w:val="000000"/>
                <w:sz w:val="19"/>
                <w:szCs w:val="19"/>
              </w:rPr>
            </w:pPr>
            <w:r w:rsidRPr="007779FE">
              <w:rPr>
                <w:color w:val="000000"/>
                <w:sz w:val="19"/>
                <w:szCs w:val="19"/>
              </w:rPr>
              <w:t>E-Power Wise</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$1,614,329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$503,003 </w:t>
            </w:r>
          </w:p>
        </w:tc>
        <w:tc>
          <w:tcPr>
            <w:tcW w:w="1620" w:type="dxa"/>
            <w:tcBorders>
              <w:top w:val="nil"/>
              <w:left w:val="nil"/>
              <w:bottom w:val="single" w:sz="8" w:space="0" w:color="448A99"/>
              <w:right w:val="single" w:sz="8" w:space="0" w:color="448A99"/>
            </w:tcBorders>
            <w:shd w:val="clear" w:color="auto" w:fill="auto"/>
            <w:vAlign w:val="center"/>
          </w:tcPr>
          <w:p w:rsidR="00873770" w:rsidRPr="007779FE" w:rsidRDefault="00873770" w:rsidP="00873770">
            <w:pPr>
              <w:jc w:val="center"/>
              <w:rPr>
                <w:color w:val="000000"/>
                <w:sz w:val="19"/>
                <w:szCs w:val="19"/>
              </w:rPr>
            </w:pPr>
            <w:r w:rsidRPr="007779FE">
              <w:rPr>
                <w:color w:val="000000"/>
                <w:sz w:val="19"/>
                <w:szCs w:val="19"/>
              </w:rPr>
              <w:t xml:space="preserve">$1,111,326 </w:t>
            </w:r>
          </w:p>
        </w:tc>
        <w:tc>
          <w:tcPr>
            <w:tcW w:w="90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3.21</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000000" w:fill="D2EAF1"/>
            <w:vAlign w:val="center"/>
          </w:tcPr>
          <w:p w:rsidR="00873770" w:rsidRPr="007779FE" w:rsidRDefault="00873770" w:rsidP="003B2EE7">
            <w:pPr>
              <w:jc w:val="left"/>
              <w:rPr>
                <w:color w:val="000000"/>
                <w:sz w:val="19"/>
                <w:szCs w:val="19"/>
              </w:rPr>
            </w:pPr>
            <w:r w:rsidRPr="007779FE">
              <w:rPr>
                <w:color w:val="000000"/>
                <w:sz w:val="19"/>
                <w:szCs w:val="19"/>
              </w:rPr>
              <w:t>Wise Home Pilot</w:t>
            </w:r>
            <w:r w:rsidR="00796960" w:rsidRPr="007779FE">
              <w:rPr>
                <w:color w:val="000000"/>
                <w:sz w:val="19"/>
                <w:szCs w:val="19"/>
              </w:rPr>
              <w:t xml:space="preserve"> (Part of </w:t>
            </w:r>
            <w:r w:rsidR="003B2EE7" w:rsidRPr="007779FE">
              <w:rPr>
                <w:color w:val="000000"/>
                <w:sz w:val="19"/>
                <w:szCs w:val="19"/>
              </w:rPr>
              <w:t>E-Power Wis</w:t>
            </w:r>
            <w:r w:rsidR="00796960" w:rsidRPr="007779FE">
              <w:rPr>
                <w:color w:val="000000"/>
                <w:sz w:val="19"/>
                <w:szCs w:val="19"/>
              </w:rPr>
              <w:t>)</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$114,793</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$97,952</w:t>
            </w:r>
          </w:p>
        </w:tc>
        <w:tc>
          <w:tcPr>
            <w:tcW w:w="1620" w:type="dxa"/>
            <w:tcBorders>
              <w:top w:val="nil"/>
              <w:left w:val="nil"/>
              <w:bottom w:val="single" w:sz="8" w:space="0" w:color="448A99"/>
              <w:right w:val="single" w:sz="8" w:space="0" w:color="448A99"/>
            </w:tcBorders>
            <w:shd w:val="clear" w:color="000000" w:fill="D2EAF1"/>
            <w:vAlign w:val="center"/>
          </w:tcPr>
          <w:p w:rsidR="00873770" w:rsidRPr="007779FE" w:rsidRDefault="00873770" w:rsidP="00873770">
            <w:pPr>
              <w:jc w:val="center"/>
              <w:rPr>
                <w:color w:val="000000"/>
                <w:sz w:val="19"/>
                <w:szCs w:val="19"/>
              </w:rPr>
            </w:pPr>
            <w:r w:rsidRPr="007779FE">
              <w:rPr>
                <w:color w:val="000000"/>
                <w:sz w:val="19"/>
                <w:szCs w:val="19"/>
              </w:rPr>
              <w:t>$16,841</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1.17</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auto" w:fill="auto"/>
            <w:vAlign w:val="center"/>
          </w:tcPr>
          <w:p w:rsidR="00873770" w:rsidRPr="007779FE" w:rsidRDefault="00873770" w:rsidP="00873770">
            <w:pPr>
              <w:jc w:val="left"/>
              <w:rPr>
                <w:color w:val="000000"/>
                <w:sz w:val="19"/>
                <w:szCs w:val="19"/>
              </w:rPr>
            </w:pPr>
            <w:r w:rsidRPr="007779FE">
              <w:rPr>
                <w:color w:val="000000"/>
                <w:sz w:val="19"/>
                <w:szCs w:val="19"/>
              </w:rPr>
              <w:t>Low-Income EE Behavior and Education</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$1,062,297</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$385,025</w:t>
            </w:r>
          </w:p>
        </w:tc>
        <w:tc>
          <w:tcPr>
            <w:tcW w:w="1620" w:type="dxa"/>
            <w:tcBorders>
              <w:top w:val="nil"/>
              <w:left w:val="nil"/>
              <w:bottom w:val="single" w:sz="8" w:space="0" w:color="448A99"/>
              <w:right w:val="single" w:sz="8" w:space="0" w:color="448A99"/>
            </w:tcBorders>
            <w:shd w:val="clear" w:color="auto" w:fill="auto"/>
            <w:vAlign w:val="center"/>
          </w:tcPr>
          <w:p w:rsidR="00873770" w:rsidRPr="007779FE" w:rsidRDefault="00873770" w:rsidP="00873770">
            <w:pPr>
              <w:jc w:val="center"/>
              <w:rPr>
                <w:color w:val="000000"/>
                <w:sz w:val="19"/>
                <w:szCs w:val="19"/>
              </w:rPr>
            </w:pPr>
            <w:r w:rsidRPr="007779FE">
              <w:rPr>
                <w:color w:val="000000"/>
                <w:sz w:val="19"/>
                <w:szCs w:val="19"/>
              </w:rPr>
              <w:t xml:space="preserve">$677,272 </w:t>
            </w:r>
          </w:p>
        </w:tc>
        <w:tc>
          <w:tcPr>
            <w:tcW w:w="90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2.76</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000000" w:fill="D2EAF1"/>
            <w:vAlign w:val="center"/>
          </w:tcPr>
          <w:p w:rsidR="00873770" w:rsidRPr="007779FE" w:rsidRDefault="00873770" w:rsidP="00873770">
            <w:pPr>
              <w:jc w:val="left"/>
              <w:rPr>
                <w:color w:val="000000"/>
                <w:sz w:val="19"/>
                <w:szCs w:val="19"/>
              </w:rPr>
            </w:pPr>
            <w:r w:rsidRPr="007779FE">
              <w:rPr>
                <w:color w:val="000000"/>
                <w:sz w:val="19"/>
                <w:szCs w:val="19"/>
              </w:rPr>
              <w:t>Low-Income WRAP</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$4,836,389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$6,444,747 </w:t>
            </w:r>
          </w:p>
        </w:tc>
        <w:tc>
          <w:tcPr>
            <w:tcW w:w="1620" w:type="dxa"/>
            <w:tcBorders>
              <w:top w:val="nil"/>
              <w:left w:val="nil"/>
              <w:bottom w:val="single" w:sz="8" w:space="0" w:color="448A99"/>
              <w:right w:val="single" w:sz="8" w:space="0" w:color="448A99"/>
            </w:tcBorders>
            <w:shd w:val="clear" w:color="000000" w:fill="D2EAF1"/>
            <w:vAlign w:val="center"/>
          </w:tcPr>
          <w:p w:rsidR="00873770" w:rsidRPr="007779FE" w:rsidRDefault="00873770" w:rsidP="00873770">
            <w:pPr>
              <w:jc w:val="center"/>
              <w:rPr>
                <w:color w:val="000000"/>
                <w:sz w:val="19"/>
                <w:szCs w:val="19"/>
              </w:rPr>
            </w:pPr>
            <w:r w:rsidRPr="007779FE">
              <w:rPr>
                <w:color w:val="FF0000"/>
                <w:sz w:val="19"/>
                <w:szCs w:val="19"/>
              </w:rPr>
              <w:t>($1,608,359)</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0.75</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auto" w:fill="auto"/>
            <w:vAlign w:val="center"/>
          </w:tcPr>
          <w:p w:rsidR="00873770" w:rsidRPr="007779FE" w:rsidRDefault="00873770" w:rsidP="003B2EE7">
            <w:pPr>
              <w:jc w:val="left"/>
              <w:rPr>
                <w:color w:val="000000"/>
                <w:sz w:val="19"/>
                <w:szCs w:val="19"/>
              </w:rPr>
            </w:pPr>
            <w:r w:rsidRPr="007779FE">
              <w:rPr>
                <w:color w:val="000000"/>
                <w:sz w:val="19"/>
                <w:szCs w:val="19"/>
              </w:rPr>
              <w:t>Defacto Heating Pilot</w:t>
            </w:r>
            <w:r w:rsidR="00986774" w:rsidRPr="007779FE">
              <w:rPr>
                <w:color w:val="000000"/>
                <w:sz w:val="19"/>
                <w:szCs w:val="19"/>
              </w:rPr>
              <w:t xml:space="preserve"> (Part of WRAP)</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$46,443</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$225,981</w:t>
            </w:r>
          </w:p>
        </w:tc>
        <w:tc>
          <w:tcPr>
            <w:tcW w:w="1620" w:type="dxa"/>
            <w:tcBorders>
              <w:top w:val="nil"/>
              <w:left w:val="nil"/>
              <w:bottom w:val="single" w:sz="8" w:space="0" w:color="448A99"/>
              <w:right w:val="single" w:sz="8" w:space="0" w:color="448A99"/>
            </w:tcBorders>
            <w:shd w:val="clear" w:color="auto" w:fill="auto"/>
            <w:vAlign w:val="center"/>
          </w:tcPr>
          <w:p w:rsidR="00873770" w:rsidRPr="007779FE" w:rsidRDefault="00873770" w:rsidP="00873770">
            <w:pPr>
              <w:jc w:val="center"/>
              <w:rPr>
                <w:color w:val="000000"/>
                <w:sz w:val="19"/>
                <w:szCs w:val="19"/>
              </w:rPr>
            </w:pPr>
            <w:r w:rsidRPr="007779FE">
              <w:rPr>
                <w:color w:val="FF0000"/>
                <w:sz w:val="19"/>
                <w:szCs w:val="19"/>
              </w:rPr>
              <w:t>($179,537)</w:t>
            </w:r>
          </w:p>
        </w:tc>
        <w:tc>
          <w:tcPr>
            <w:tcW w:w="90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0.21</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000000" w:fill="D2EAF1"/>
            <w:vAlign w:val="center"/>
          </w:tcPr>
          <w:p w:rsidR="00873770" w:rsidRPr="007779FE" w:rsidRDefault="00873770" w:rsidP="00873770">
            <w:pPr>
              <w:jc w:val="left"/>
              <w:rPr>
                <w:color w:val="000000"/>
                <w:sz w:val="19"/>
                <w:szCs w:val="19"/>
              </w:rPr>
            </w:pPr>
            <w:r w:rsidRPr="007779FE">
              <w:rPr>
                <w:color w:val="000000"/>
                <w:sz w:val="19"/>
                <w:szCs w:val="19"/>
              </w:rPr>
              <w:t>Continuous Energy Improvement</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$1,035,251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$361,247 </w:t>
            </w:r>
          </w:p>
        </w:tc>
        <w:tc>
          <w:tcPr>
            <w:tcW w:w="1620" w:type="dxa"/>
            <w:tcBorders>
              <w:top w:val="nil"/>
              <w:left w:val="nil"/>
              <w:bottom w:val="single" w:sz="8" w:space="0" w:color="448A99"/>
              <w:right w:val="single" w:sz="8" w:space="0" w:color="448A99"/>
            </w:tcBorders>
            <w:shd w:val="clear" w:color="000000" w:fill="D2EAF1"/>
            <w:vAlign w:val="center"/>
          </w:tcPr>
          <w:p w:rsidR="00873770" w:rsidRPr="007779FE" w:rsidRDefault="00873770" w:rsidP="00873770">
            <w:pPr>
              <w:jc w:val="center"/>
              <w:rPr>
                <w:color w:val="000000"/>
                <w:sz w:val="19"/>
                <w:szCs w:val="19"/>
              </w:rPr>
            </w:pPr>
            <w:r w:rsidRPr="007779FE">
              <w:rPr>
                <w:color w:val="000000"/>
                <w:sz w:val="19"/>
                <w:szCs w:val="19"/>
              </w:rPr>
              <w:t xml:space="preserve">$674,004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2.87</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auto" w:fill="auto"/>
            <w:vAlign w:val="center"/>
          </w:tcPr>
          <w:p w:rsidR="00873770" w:rsidRPr="007779FE" w:rsidRDefault="00873770" w:rsidP="00873770">
            <w:pPr>
              <w:jc w:val="left"/>
              <w:rPr>
                <w:color w:val="000000"/>
                <w:sz w:val="19"/>
                <w:szCs w:val="19"/>
              </w:rPr>
            </w:pPr>
            <w:r w:rsidRPr="007779FE">
              <w:rPr>
                <w:color w:val="000000"/>
                <w:sz w:val="19"/>
                <w:szCs w:val="19"/>
              </w:rPr>
              <w:t>Custom Incentive</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$20,301,843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$16,178,329 </w:t>
            </w:r>
          </w:p>
        </w:tc>
        <w:tc>
          <w:tcPr>
            <w:tcW w:w="1620" w:type="dxa"/>
            <w:tcBorders>
              <w:top w:val="nil"/>
              <w:left w:val="nil"/>
              <w:bottom w:val="single" w:sz="8" w:space="0" w:color="448A99"/>
              <w:right w:val="single" w:sz="8" w:space="0" w:color="448A99"/>
            </w:tcBorders>
            <w:shd w:val="clear" w:color="auto" w:fill="auto"/>
            <w:vAlign w:val="center"/>
          </w:tcPr>
          <w:p w:rsidR="00873770" w:rsidRPr="007779FE" w:rsidRDefault="00873770" w:rsidP="00873770">
            <w:pPr>
              <w:jc w:val="center"/>
              <w:rPr>
                <w:color w:val="000000"/>
                <w:sz w:val="19"/>
                <w:szCs w:val="19"/>
              </w:rPr>
            </w:pPr>
            <w:r w:rsidRPr="007779FE">
              <w:rPr>
                <w:color w:val="000000"/>
                <w:sz w:val="19"/>
                <w:szCs w:val="19"/>
              </w:rPr>
              <w:t xml:space="preserve">$4,123,514 </w:t>
            </w:r>
          </w:p>
        </w:tc>
        <w:tc>
          <w:tcPr>
            <w:tcW w:w="90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1.25</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7779FE" w:rsidRDefault="00873770" w:rsidP="00873770">
            <w:pPr>
              <w:jc w:val="left"/>
              <w:rPr>
                <w:color w:val="000000"/>
                <w:sz w:val="19"/>
                <w:szCs w:val="19"/>
              </w:rPr>
            </w:pPr>
            <w:r w:rsidRPr="007779FE">
              <w:rPr>
                <w:color w:val="000000"/>
                <w:sz w:val="19"/>
                <w:szCs w:val="19"/>
              </w:rPr>
              <w:t>Master Metered Multifamily Housing</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$1,580,508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$950,573 </w:t>
            </w:r>
          </w:p>
        </w:tc>
        <w:tc>
          <w:tcPr>
            <w:tcW w:w="1620" w:type="dxa"/>
            <w:tcBorders>
              <w:top w:val="nil"/>
              <w:left w:val="nil"/>
              <w:bottom w:val="single" w:sz="8" w:space="0" w:color="448A99"/>
              <w:right w:val="single" w:sz="8" w:space="0" w:color="448A99"/>
            </w:tcBorders>
            <w:shd w:val="clear" w:color="000000" w:fill="D2EAF1"/>
            <w:vAlign w:val="center"/>
          </w:tcPr>
          <w:p w:rsidR="00873770" w:rsidRPr="007779FE" w:rsidRDefault="00873770" w:rsidP="00873770">
            <w:pPr>
              <w:jc w:val="center"/>
              <w:rPr>
                <w:color w:val="000000"/>
                <w:sz w:val="19"/>
                <w:szCs w:val="19"/>
              </w:rPr>
            </w:pPr>
            <w:r w:rsidRPr="007779FE">
              <w:rPr>
                <w:color w:val="000000"/>
                <w:sz w:val="19"/>
                <w:szCs w:val="19"/>
              </w:rPr>
              <w:t xml:space="preserve">$629,935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1.66</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auto" w:fill="auto"/>
            <w:vAlign w:val="center"/>
          </w:tcPr>
          <w:p w:rsidR="00873770" w:rsidRPr="007779FE" w:rsidRDefault="00873770" w:rsidP="00873770">
            <w:pPr>
              <w:jc w:val="left"/>
              <w:rPr>
                <w:color w:val="000000"/>
                <w:sz w:val="19"/>
                <w:szCs w:val="19"/>
              </w:rPr>
            </w:pPr>
            <w:r w:rsidRPr="007779FE">
              <w:rPr>
                <w:color w:val="000000"/>
                <w:sz w:val="19"/>
                <w:szCs w:val="19"/>
              </w:rPr>
              <w:t>Prescriptive Equipment</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$120,754,941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$101,548,395 </w:t>
            </w:r>
          </w:p>
        </w:tc>
        <w:tc>
          <w:tcPr>
            <w:tcW w:w="1620" w:type="dxa"/>
            <w:tcBorders>
              <w:top w:val="nil"/>
              <w:left w:val="nil"/>
              <w:bottom w:val="single" w:sz="8" w:space="0" w:color="448A99"/>
              <w:right w:val="single" w:sz="8" w:space="0" w:color="448A99"/>
            </w:tcBorders>
            <w:shd w:val="clear" w:color="auto" w:fill="auto"/>
            <w:vAlign w:val="center"/>
          </w:tcPr>
          <w:p w:rsidR="00873770" w:rsidRPr="007779FE" w:rsidRDefault="00873770" w:rsidP="00873770">
            <w:pPr>
              <w:jc w:val="center"/>
              <w:rPr>
                <w:color w:val="000000"/>
                <w:sz w:val="19"/>
                <w:szCs w:val="19"/>
              </w:rPr>
            </w:pPr>
            <w:r w:rsidRPr="007779FE">
              <w:rPr>
                <w:color w:val="000000"/>
                <w:sz w:val="19"/>
                <w:szCs w:val="19"/>
              </w:rPr>
              <w:t xml:space="preserve">$19,206,546 </w:t>
            </w:r>
          </w:p>
        </w:tc>
        <w:tc>
          <w:tcPr>
            <w:tcW w:w="90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1.19</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7779FE" w:rsidRDefault="00873770" w:rsidP="00873770">
            <w:pPr>
              <w:jc w:val="left"/>
              <w:rPr>
                <w:color w:val="000000"/>
                <w:sz w:val="19"/>
                <w:szCs w:val="19"/>
              </w:rPr>
            </w:pPr>
            <w:r w:rsidRPr="007779FE">
              <w:rPr>
                <w:color w:val="000000"/>
                <w:sz w:val="19"/>
                <w:szCs w:val="19"/>
              </w:rPr>
              <w:t>School Benchmarking</w:t>
            </w:r>
            <w:r w:rsidRPr="007779FE">
              <w:rPr>
                <w:color w:val="000000"/>
                <w:sz w:val="19"/>
                <w:szCs w:val="19"/>
                <w:vertAlign w:val="superscript"/>
              </w:rPr>
              <w:t>[a]</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0</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 xml:space="preserve">$92,253 </w:t>
            </w:r>
          </w:p>
        </w:tc>
        <w:tc>
          <w:tcPr>
            <w:tcW w:w="1620" w:type="dxa"/>
            <w:tcBorders>
              <w:top w:val="nil"/>
              <w:left w:val="nil"/>
              <w:bottom w:val="single" w:sz="8" w:space="0" w:color="448A99"/>
              <w:right w:val="single" w:sz="8" w:space="0" w:color="448A99"/>
            </w:tcBorders>
            <w:shd w:val="clear" w:color="000000" w:fill="D2EAF1"/>
            <w:vAlign w:val="center"/>
          </w:tcPr>
          <w:p w:rsidR="00873770" w:rsidRPr="007779FE" w:rsidRDefault="00873770" w:rsidP="00873770">
            <w:pPr>
              <w:jc w:val="center"/>
              <w:rPr>
                <w:color w:val="000000"/>
                <w:sz w:val="19"/>
                <w:szCs w:val="19"/>
              </w:rPr>
            </w:pPr>
            <w:r w:rsidRPr="007779FE">
              <w:rPr>
                <w:color w:val="FF0000"/>
                <w:sz w:val="19"/>
                <w:szCs w:val="19"/>
              </w:rPr>
              <w:t>($92,253)</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color w:val="000000"/>
                <w:sz w:val="19"/>
                <w:szCs w:val="19"/>
              </w:rPr>
            </w:pPr>
            <w:r w:rsidRPr="007779FE">
              <w:rPr>
                <w:color w:val="000000"/>
                <w:sz w:val="19"/>
                <w:szCs w:val="19"/>
              </w:rPr>
              <w:t>0.00</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auto" w:fill="auto"/>
            <w:noWrap/>
            <w:vAlign w:val="center"/>
          </w:tcPr>
          <w:p w:rsidR="00873770" w:rsidRPr="007779FE" w:rsidRDefault="00873770" w:rsidP="00873770">
            <w:pPr>
              <w:jc w:val="left"/>
              <w:rPr>
                <w:i/>
                <w:iCs/>
                <w:color w:val="000000"/>
                <w:sz w:val="19"/>
                <w:szCs w:val="19"/>
              </w:rPr>
            </w:pPr>
            <w:r w:rsidRPr="007779FE">
              <w:rPr>
                <w:i/>
                <w:iCs/>
                <w:color w:val="000000"/>
                <w:sz w:val="19"/>
                <w:szCs w:val="19"/>
              </w:rPr>
              <w:t>Common Costs</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i/>
                <w:iCs/>
                <w:color w:val="000000"/>
                <w:sz w:val="19"/>
                <w:szCs w:val="19"/>
              </w:rPr>
            </w:pPr>
            <w:r w:rsidRPr="007779FE">
              <w:rPr>
                <w:i/>
                <w:iCs/>
                <w:color w:val="000000"/>
                <w:sz w:val="19"/>
                <w:szCs w:val="19"/>
              </w:rPr>
              <w:t>-</w:t>
            </w:r>
          </w:p>
        </w:tc>
        <w:tc>
          <w:tcPr>
            <w:tcW w:w="162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color w:val="000000"/>
                <w:sz w:val="19"/>
                <w:szCs w:val="19"/>
              </w:rPr>
            </w:pPr>
            <w:r w:rsidRPr="007779FE">
              <w:rPr>
                <w:color w:val="000000"/>
                <w:sz w:val="19"/>
                <w:szCs w:val="19"/>
              </w:rPr>
              <w:t xml:space="preserve">$7,005,580 </w:t>
            </w:r>
          </w:p>
        </w:tc>
        <w:tc>
          <w:tcPr>
            <w:tcW w:w="1620" w:type="dxa"/>
            <w:tcBorders>
              <w:top w:val="nil"/>
              <w:left w:val="nil"/>
              <w:bottom w:val="single" w:sz="8" w:space="0" w:color="448A99"/>
              <w:right w:val="single" w:sz="8" w:space="0" w:color="448A99"/>
            </w:tcBorders>
            <w:shd w:val="clear" w:color="auto" w:fill="auto"/>
            <w:vAlign w:val="center"/>
          </w:tcPr>
          <w:p w:rsidR="00873770" w:rsidRPr="007779FE" w:rsidRDefault="00873770" w:rsidP="00873770">
            <w:pPr>
              <w:jc w:val="center"/>
              <w:rPr>
                <w:i/>
                <w:iCs/>
                <w:color w:val="000000"/>
                <w:sz w:val="19"/>
                <w:szCs w:val="19"/>
              </w:rPr>
            </w:pPr>
            <w:r w:rsidRPr="007779FE">
              <w:rPr>
                <w:i/>
                <w:iCs/>
                <w:color w:val="000000"/>
                <w:sz w:val="19"/>
                <w:szCs w:val="19"/>
              </w:rPr>
              <w:t>-</w:t>
            </w:r>
          </w:p>
        </w:tc>
        <w:tc>
          <w:tcPr>
            <w:tcW w:w="900" w:type="dxa"/>
            <w:tcBorders>
              <w:top w:val="nil"/>
              <w:left w:val="nil"/>
              <w:bottom w:val="single" w:sz="8" w:space="0" w:color="448A99"/>
              <w:right w:val="single" w:sz="8" w:space="0" w:color="448A99"/>
            </w:tcBorders>
            <w:shd w:val="clear" w:color="auto" w:fill="auto"/>
            <w:noWrap/>
            <w:vAlign w:val="center"/>
          </w:tcPr>
          <w:p w:rsidR="00873770" w:rsidRPr="007779FE" w:rsidRDefault="00873770" w:rsidP="00873770">
            <w:pPr>
              <w:jc w:val="center"/>
              <w:rPr>
                <w:i/>
                <w:iCs/>
                <w:color w:val="000000"/>
                <w:sz w:val="19"/>
                <w:szCs w:val="19"/>
              </w:rPr>
            </w:pPr>
            <w:r w:rsidRPr="007779FE">
              <w:rPr>
                <w:i/>
                <w:iCs/>
                <w:color w:val="000000"/>
                <w:sz w:val="19"/>
                <w:szCs w:val="19"/>
              </w:rPr>
              <w:t>-</w:t>
            </w:r>
          </w:p>
        </w:tc>
      </w:tr>
      <w:tr w:rsidR="00A874AC" w:rsidRPr="007779FE" w:rsidTr="008C7396">
        <w:trPr>
          <w:trHeight w:val="302"/>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7779FE" w:rsidRDefault="00873770" w:rsidP="00873770">
            <w:pPr>
              <w:jc w:val="left"/>
              <w:rPr>
                <w:b/>
                <w:bCs/>
                <w:color w:val="000000"/>
                <w:sz w:val="19"/>
                <w:szCs w:val="19"/>
              </w:rPr>
            </w:pPr>
            <w:r w:rsidRPr="007779FE">
              <w:rPr>
                <w:b/>
                <w:bCs/>
                <w:color w:val="000000"/>
                <w:sz w:val="19"/>
                <w:szCs w:val="19"/>
              </w:rPr>
              <w:t>Total Portfolio</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b/>
                <w:bCs/>
                <w:color w:val="000000"/>
                <w:sz w:val="19"/>
                <w:szCs w:val="19"/>
              </w:rPr>
            </w:pPr>
            <w:r w:rsidRPr="007779FE">
              <w:rPr>
                <w:b/>
                <w:bCs/>
                <w:color w:val="000000"/>
                <w:sz w:val="19"/>
                <w:szCs w:val="19"/>
              </w:rPr>
              <w:t xml:space="preserve">$238,284,677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b/>
                <w:bCs/>
                <w:color w:val="000000"/>
                <w:sz w:val="19"/>
                <w:szCs w:val="19"/>
              </w:rPr>
            </w:pPr>
            <w:r w:rsidRPr="007779FE">
              <w:rPr>
                <w:b/>
                <w:bCs/>
                <w:color w:val="000000"/>
                <w:sz w:val="19"/>
                <w:szCs w:val="19"/>
              </w:rPr>
              <w:t xml:space="preserve">$173,077,654 </w:t>
            </w:r>
          </w:p>
        </w:tc>
        <w:tc>
          <w:tcPr>
            <w:tcW w:w="1620" w:type="dxa"/>
            <w:tcBorders>
              <w:top w:val="nil"/>
              <w:left w:val="nil"/>
              <w:bottom w:val="single" w:sz="8" w:space="0" w:color="448A99"/>
              <w:right w:val="single" w:sz="8" w:space="0" w:color="448A99"/>
            </w:tcBorders>
            <w:shd w:val="clear" w:color="000000" w:fill="D2EAF1"/>
            <w:vAlign w:val="center"/>
          </w:tcPr>
          <w:p w:rsidR="00873770" w:rsidRPr="007779FE" w:rsidRDefault="00873770" w:rsidP="00873770">
            <w:pPr>
              <w:jc w:val="center"/>
              <w:rPr>
                <w:b/>
                <w:bCs/>
                <w:color w:val="000000"/>
                <w:sz w:val="19"/>
                <w:szCs w:val="19"/>
              </w:rPr>
            </w:pPr>
            <w:r w:rsidRPr="007779FE">
              <w:rPr>
                <w:b/>
                <w:bCs/>
                <w:color w:val="000000"/>
                <w:sz w:val="19"/>
                <w:szCs w:val="19"/>
              </w:rPr>
              <w:t xml:space="preserve">$65,207,024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7779FE" w:rsidRDefault="00873770" w:rsidP="00873770">
            <w:pPr>
              <w:jc w:val="center"/>
              <w:rPr>
                <w:b/>
                <w:bCs/>
                <w:color w:val="000000"/>
                <w:sz w:val="19"/>
                <w:szCs w:val="19"/>
              </w:rPr>
            </w:pPr>
            <w:r w:rsidRPr="007779FE">
              <w:rPr>
                <w:b/>
                <w:bCs/>
                <w:color w:val="000000"/>
                <w:sz w:val="19"/>
                <w:szCs w:val="19"/>
              </w:rPr>
              <w:t>1.38</w:t>
            </w:r>
          </w:p>
        </w:tc>
      </w:tr>
      <w:tr w:rsidR="00E7173E" w:rsidRPr="008C7396" w:rsidTr="007779FE">
        <w:trPr>
          <w:trHeight w:val="346"/>
        </w:trPr>
        <w:tc>
          <w:tcPr>
            <w:tcW w:w="9360" w:type="dxa"/>
            <w:gridSpan w:val="5"/>
            <w:tcBorders>
              <w:bottom w:val="single" w:sz="4" w:space="0" w:color="448A99"/>
            </w:tcBorders>
            <w:shd w:val="clear" w:color="auto" w:fill="448A99"/>
            <w:noWrap/>
            <w:vAlign w:val="center"/>
          </w:tcPr>
          <w:p w:rsidR="008111EC" w:rsidRPr="008C7396" w:rsidRDefault="006142E6" w:rsidP="008111EC">
            <w:pPr>
              <w:rPr>
                <w:color w:val="FFFFFF" w:themeColor="background1"/>
                <w:sz w:val="18"/>
                <w:szCs w:val="19"/>
              </w:rPr>
            </w:pPr>
            <w:r w:rsidRPr="008C7396">
              <w:rPr>
                <w:color w:val="FFFFFF" w:themeColor="background1"/>
                <w:sz w:val="18"/>
                <w:szCs w:val="19"/>
              </w:rPr>
              <w:t>NOTES:</w:t>
            </w:r>
          </w:p>
          <w:p w:rsidR="00873770" w:rsidRPr="008C7396" w:rsidRDefault="00873770" w:rsidP="00873770">
            <w:pPr>
              <w:jc w:val="left"/>
              <w:rPr>
                <w:color w:val="000000"/>
                <w:sz w:val="18"/>
                <w:szCs w:val="19"/>
              </w:rPr>
            </w:pPr>
            <w:r w:rsidRPr="008C7396">
              <w:rPr>
                <w:color w:val="FFFFFF"/>
                <w:sz w:val="18"/>
                <w:szCs w:val="19"/>
              </w:rPr>
              <w:t>[a] PPL is not tracking energy savings from the School Benchmarking program. This practice is explained in its approved implementation plan. Counting savings from this program could potentially double-count or reflect savings from participation in other overlapping programs.</w:t>
            </w:r>
          </w:p>
        </w:tc>
      </w:tr>
    </w:tbl>
    <w:p w:rsidR="00873770" w:rsidRPr="00873770" w:rsidRDefault="003B2EE7" w:rsidP="00EE3086">
      <w:pPr>
        <w:spacing w:after="120"/>
      </w:pPr>
      <w:r w:rsidRPr="00873770">
        <w:t xml:space="preserve">In addition to the programs offered in PY6, PPL introduced two </w:t>
      </w:r>
      <w:r>
        <w:t xml:space="preserve">pilots within existing low-income programs </w:t>
      </w:r>
      <w:r w:rsidRPr="00873770">
        <w:t xml:space="preserve">in PY7: The Wise Home Pilot </w:t>
      </w:r>
      <w:r>
        <w:t xml:space="preserve">(a component of E-Power Wise) </w:t>
      </w:r>
      <w:r w:rsidRPr="00873770">
        <w:t>and the Defacto Heating Pilot</w:t>
      </w:r>
      <w:r>
        <w:t xml:space="preserve"> (a component of WRAP)</w:t>
      </w:r>
      <w:r w:rsidRPr="00873770">
        <w:t xml:space="preserve">. In summary, </w:t>
      </w:r>
      <w:r>
        <w:t xml:space="preserve">10 </w:t>
      </w:r>
      <w:r w:rsidRPr="00873770">
        <w:t>of PPL’s 1</w:t>
      </w:r>
      <w:r>
        <w:t>3</w:t>
      </w:r>
      <w:r w:rsidRPr="00873770">
        <w:t xml:space="preserve"> programs were found to be cost-effective, </w:t>
      </w:r>
      <w:r>
        <w:t>2</w:t>
      </w:r>
      <w:r w:rsidRPr="00873770">
        <w:t xml:space="preserve"> were found to be non-cost-effective</w:t>
      </w:r>
      <w:r>
        <w:t xml:space="preserve"> (as expected in the EE&amp;C Plan)</w:t>
      </w:r>
      <w:r w:rsidRPr="00873770">
        <w:t xml:space="preserve">, and 1 claimed no savings and therefore </w:t>
      </w:r>
      <w:r w:rsidR="00D92D74">
        <w:t xml:space="preserve">has </w:t>
      </w:r>
      <w:r w:rsidRPr="00873770">
        <w:t>a TRC ratio of 0. In general, cost-effective programs in PY6 remained cost-effective in PY7. One program, the Continuous Energy Improvement program, transitioned to become cost-effective i</w:t>
      </w:r>
      <w:r w:rsidR="008111EC">
        <w:t xml:space="preserve">n PY7. </w:t>
      </w:r>
      <w:r w:rsidRPr="00873770">
        <w:t>The breakout of cost-effective, non-cost-effective, and no-participant programs is shown below</w:t>
      </w:r>
      <w:r w:rsidR="00873770" w:rsidRPr="00873770">
        <w:t>.</w:t>
      </w:r>
    </w:p>
    <w:p w:rsidR="00873770" w:rsidRPr="007779FE" w:rsidRDefault="007779FE" w:rsidP="00873770">
      <w:pPr>
        <w:rPr>
          <w:rFonts w:ascii="Century Gothic" w:hAnsi="Century Gothic"/>
          <w:b/>
          <w:color w:val="404040" w:themeColor="text1" w:themeTint="BF"/>
          <w:spacing w:val="-12"/>
        </w:rPr>
      </w:pPr>
      <w:r w:rsidRPr="007779FE">
        <w:rPr>
          <w:rFonts w:ascii="Century Gothic" w:hAnsi="Century Gothic"/>
          <w:b/>
          <w:color w:val="404040" w:themeColor="text1" w:themeTint="BF"/>
          <w:spacing w:val="-12"/>
        </w:rPr>
        <w:t>COST-EFFECTIVE PROGRAMS</w:t>
      </w:r>
    </w:p>
    <w:p w:rsidR="00873770" w:rsidRPr="00873770" w:rsidRDefault="00873770" w:rsidP="00873770">
      <w:pPr>
        <w:spacing w:after="60"/>
        <w:rPr>
          <w:b/>
          <w:color w:val="448A99"/>
        </w:rPr>
      </w:pPr>
      <w:r w:rsidRPr="00873770">
        <w:rPr>
          <w:b/>
          <w:color w:val="448A99"/>
        </w:rPr>
        <w:t>(TRC Ratio &gt; 1.0)</w:t>
      </w:r>
    </w:p>
    <w:p w:rsidR="007779FE" w:rsidRDefault="007779FE" w:rsidP="00E646C9">
      <w:pPr>
        <w:numPr>
          <w:ilvl w:val="0"/>
          <w:numId w:val="90"/>
        </w:numPr>
        <w:ind w:left="360"/>
        <w:rPr>
          <w:i/>
        </w:rPr>
        <w:sectPr w:rsidR="007779FE" w:rsidSect="008B741E">
          <w:headerReference w:type="first" r:id="rId176"/>
          <w:footerReference w:type="first" r:id="rId177"/>
          <w:pgSz w:w="12240" w:h="15840"/>
          <w:pgMar w:top="1440" w:right="1440" w:bottom="1440" w:left="1440" w:header="720" w:footer="288" w:gutter="0"/>
          <w:cols w:space="720"/>
          <w:titlePg/>
          <w:docGrid w:linePitch="360"/>
        </w:sectPr>
      </w:pPr>
    </w:p>
    <w:p w:rsidR="003B2EE7" w:rsidRPr="008C7396" w:rsidRDefault="003B2EE7" w:rsidP="007779FE">
      <w:pPr>
        <w:numPr>
          <w:ilvl w:val="0"/>
          <w:numId w:val="90"/>
        </w:numPr>
        <w:ind w:left="360"/>
        <w:jc w:val="left"/>
        <w:rPr>
          <w:i/>
          <w:sz w:val="21"/>
          <w:szCs w:val="21"/>
        </w:rPr>
      </w:pPr>
      <w:r w:rsidRPr="008C7396">
        <w:rPr>
          <w:i/>
          <w:sz w:val="21"/>
          <w:szCs w:val="21"/>
        </w:rPr>
        <w:t>Appliance Recycling</w:t>
      </w:r>
    </w:p>
    <w:p w:rsidR="003B2EE7" w:rsidRPr="008C7396" w:rsidRDefault="003B2EE7" w:rsidP="007779FE">
      <w:pPr>
        <w:numPr>
          <w:ilvl w:val="0"/>
          <w:numId w:val="90"/>
        </w:numPr>
        <w:ind w:left="360"/>
        <w:jc w:val="left"/>
        <w:rPr>
          <w:i/>
          <w:sz w:val="21"/>
          <w:szCs w:val="21"/>
        </w:rPr>
      </w:pPr>
      <w:r w:rsidRPr="008C7396">
        <w:rPr>
          <w:i/>
          <w:sz w:val="21"/>
          <w:szCs w:val="21"/>
        </w:rPr>
        <w:t>Residential EE Behavior and Education</w:t>
      </w:r>
    </w:p>
    <w:p w:rsidR="003B2EE7" w:rsidRPr="008C7396" w:rsidRDefault="003B2EE7" w:rsidP="007779FE">
      <w:pPr>
        <w:numPr>
          <w:ilvl w:val="0"/>
          <w:numId w:val="90"/>
        </w:numPr>
        <w:ind w:left="360"/>
        <w:jc w:val="left"/>
        <w:rPr>
          <w:i/>
          <w:sz w:val="21"/>
          <w:szCs w:val="21"/>
        </w:rPr>
      </w:pPr>
      <w:r w:rsidRPr="008C7396">
        <w:rPr>
          <w:i/>
          <w:sz w:val="21"/>
          <w:szCs w:val="21"/>
        </w:rPr>
        <w:t>Low Income Behavior and Education</w:t>
      </w:r>
    </w:p>
    <w:p w:rsidR="003B2EE7" w:rsidRPr="008C7396" w:rsidRDefault="003B2EE7" w:rsidP="007779FE">
      <w:pPr>
        <w:numPr>
          <w:ilvl w:val="0"/>
          <w:numId w:val="90"/>
        </w:numPr>
        <w:ind w:left="360"/>
        <w:jc w:val="left"/>
        <w:rPr>
          <w:i/>
          <w:sz w:val="21"/>
          <w:szCs w:val="21"/>
        </w:rPr>
      </w:pPr>
      <w:r w:rsidRPr="008C7396">
        <w:rPr>
          <w:i/>
          <w:sz w:val="21"/>
          <w:szCs w:val="21"/>
        </w:rPr>
        <w:t xml:space="preserve">Residential Retail </w:t>
      </w:r>
    </w:p>
    <w:p w:rsidR="003B2EE7" w:rsidRPr="008C7396" w:rsidRDefault="003B2EE7" w:rsidP="007779FE">
      <w:pPr>
        <w:numPr>
          <w:ilvl w:val="0"/>
          <w:numId w:val="90"/>
        </w:numPr>
        <w:ind w:left="360"/>
        <w:jc w:val="left"/>
        <w:rPr>
          <w:i/>
          <w:sz w:val="21"/>
          <w:szCs w:val="21"/>
        </w:rPr>
      </w:pPr>
      <w:r w:rsidRPr="008C7396">
        <w:rPr>
          <w:i/>
          <w:sz w:val="21"/>
          <w:szCs w:val="21"/>
        </w:rPr>
        <w:t>Student and Parent Education</w:t>
      </w:r>
    </w:p>
    <w:p w:rsidR="00EA4A2F" w:rsidRPr="008C7396" w:rsidRDefault="00EA4A2F" w:rsidP="00EA4A2F">
      <w:pPr>
        <w:numPr>
          <w:ilvl w:val="0"/>
          <w:numId w:val="90"/>
        </w:numPr>
        <w:ind w:left="360"/>
        <w:jc w:val="left"/>
        <w:rPr>
          <w:i/>
          <w:sz w:val="21"/>
          <w:szCs w:val="21"/>
        </w:rPr>
      </w:pPr>
      <w:r w:rsidRPr="008C7396">
        <w:rPr>
          <w:i/>
          <w:sz w:val="21"/>
          <w:szCs w:val="21"/>
        </w:rPr>
        <w:t>Continuous Energy Improvement</w:t>
      </w:r>
    </w:p>
    <w:p w:rsidR="003B2EE7" w:rsidRPr="008C7396" w:rsidRDefault="003B2EE7" w:rsidP="007779FE">
      <w:pPr>
        <w:numPr>
          <w:ilvl w:val="0"/>
          <w:numId w:val="90"/>
        </w:numPr>
        <w:ind w:left="360"/>
        <w:jc w:val="left"/>
        <w:rPr>
          <w:i/>
          <w:sz w:val="21"/>
          <w:szCs w:val="21"/>
        </w:rPr>
      </w:pPr>
      <w:r w:rsidRPr="008C7396">
        <w:rPr>
          <w:i/>
          <w:sz w:val="21"/>
          <w:szCs w:val="21"/>
        </w:rPr>
        <w:t>E-Power Wise</w:t>
      </w:r>
    </w:p>
    <w:p w:rsidR="003B2EE7" w:rsidRPr="007779FE" w:rsidRDefault="003B2EE7" w:rsidP="007779FE">
      <w:pPr>
        <w:numPr>
          <w:ilvl w:val="1"/>
          <w:numId w:val="92"/>
        </w:numPr>
        <w:ind w:left="720"/>
        <w:jc w:val="left"/>
        <w:rPr>
          <w:i/>
          <w:sz w:val="20"/>
        </w:rPr>
      </w:pPr>
      <w:r w:rsidRPr="007779FE">
        <w:rPr>
          <w:i/>
          <w:sz w:val="20"/>
        </w:rPr>
        <w:t>Wise Home Pilot (</w:t>
      </w:r>
      <w:r w:rsidRPr="007779FE">
        <w:rPr>
          <w:color w:val="000000"/>
          <w:sz w:val="18"/>
          <w:szCs w:val="20"/>
        </w:rPr>
        <w:t xml:space="preserve">a </w:t>
      </w:r>
      <w:r w:rsidRPr="007779FE">
        <w:rPr>
          <w:i/>
          <w:sz w:val="20"/>
        </w:rPr>
        <w:t>component of E-Power Wise)</w:t>
      </w:r>
    </w:p>
    <w:p w:rsidR="003B2EE7" w:rsidRPr="008C7396" w:rsidRDefault="003B2EE7" w:rsidP="007779FE">
      <w:pPr>
        <w:numPr>
          <w:ilvl w:val="0"/>
          <w:numId w:val="90"/>
        </w:numPr>
        <w:ind w:left="360"/>
        <w:jc w:val="left"/>
        <w:rPr>
          <w:i/>
          <w:sz w:val="21"/>
          <w:szCs w:val="21"/>
        </w:rPr>
      </w:pPr>
      <w:r w:rsidRPr="008C7396">
        <w:rPr>
          <w:i/>
          <w:sz w:val="21"/>
          <w:szCs w:val="21"/>
        </w:rPr>
        <w:t>Custom Incentive</w:t>
      </w:r>
    </w:p>
    <w:p w:rsidR="003B2EE7" w:rsidRPr="008C7396" w:rsidRDefault="003B2EE7" w:rsidP="007779FE">
      <w:pPr>
        <w:numPr>
          <w:ilvl w:val="0"/>
          <w:numId w:val="90"/>
        </w:numPr>
        <w:ind w:left="360"/>
        <w:jc w:val="left"/>
        <w:rPr>
          <w:i/>
          <w:sz w:val="21"/>
          <w:szCs w:val="21"/>
        </w:rPr>
      </w:pPr>
      <w:r w:rsidRPr="008C7396">
        <w:rPr>
          <w:i/>
          <w:sz w:val="21"/>
          <w:szCs w:val="21"/>
        </w:rPr>
        <w:t>Master Metered Multifamily Housing</w:t>
      </w:r>
    </w:p>
    <w:p w:rsidR="003B2EE7" w:rsidRPr="008C7396" w:rsidRDefault="003B2EE7" w:rsidP="007779FE">
      <w:pPr>
        <w:numPr>
          <w:ilvl w:val="0"/>
          <w:numId w:val="90"/>
        </w:numPr>
        <w:ind w:left="360"/>
        <w:jc w:val="left"/>
        <w:rPr>
          <w:i/>
          <w:sz w:val="21"/>
          <w:szCs w:val="21"/>
        </w:rPr>
      </w:pPr>
      <w:r w:rsidRPr="008C7396">
        <w:rPr>
          <w:i/>
          <w:sz w:val="21"/>
          <w:szCs w:val="21"/>
        </w:rPr>
        <w:t>Prescriptive Equipment</w:t>
      </w:r>
    </w:p>
    <w:p w:rsidR="007779FE" w:rsidRDefault="007779FE" w:rsidP="00873770">
      <w:pPr>
        <w:sectPr w:rsidR="007779FE" w:rsidSect="007779FE">
          <w:type w:val="continuous"/>
          <w:pgSz w:w="12240" w:h="15840"/>
          <w:pgMar w:top="1440" w:right="1440" w:bottom="1440" w:left="1440" w:header="720" w:footer="288" w:gutter="0"/>
          <w:cols w:num="2" w:space="360"/>
          <w:titlePg/>
          <w:docGrid w:linePitch="360"/>
        </w:sectPr>
      </w:pPr>
    </w:p>
    <w:p w:rsidR="00873770" w:rsidRPr="00873770" w:rsidRDefault="00873770" w:rsidP="00873770"/>
    <w:p w:rsidR="00873770" w:rsidRPr="007779FE" w:rsidRDefault="007779FE" w:rsidP="00873770">
      <w:pPr>
        <w:rPr>
          <w:rFonts w:ascii="Century Gothic" w:hAnsi="Century Gothic"/>
          <w:b/>
          <w:color w:val="404040" w:themeColor="text1" w:themeTint="BF"/>
          <w:spacing w:val="-12"/>
        </w:rPr>
      </w:pPr>
      <w:r w:rsidRPr="007779FE">
        <w:rPr>
          <w:rFonts w:ascii="Century Gothic" w:hAnsi="Century Gothic"/>
          <w:b/>
          <w:color w:val="404040" w:themeColor="text1" w:themeTint="BF"/>
          <w:spacing w:val="-12"/>
        </w:rPr>
        <w:t>NON-COST-EFFECTIVE PROGRAMS</w:t>
      </w:r>
    </w:p>
    <w:p w:rsidR="00873770" w:rsidRPr="00873770" w:rsidRDefault="00873770" w:rsidP="00873770">
      <w:pPr>
        <w:spacing w:after="60"/>
        <w:rPr>
          <w:b/>
          <w:color w:val="448A99"/>
        </w:rPr>
      </w:pPr>
      <w:r w:rsidRPr="00873770">
        <w:rPr>
          <w:b/>
          <w:color w:val="448A99"/>
        </w:rPr>
        <w:t>(TRC Ratio &lt; 1.0)</w:t>
      </w:r>
    </w:p>
    <w:p w:rsidR="007779FE" w:rsidRDefault="007779FE" w:rsidP="00E646C9">
      <w:pPr>
        <w:numPr>
          <w:ilvl w:val="0"/>
          <w:numId w:val="90"/>
        </w:numPr>
        <w:ind w:left="360"/>
        <w:rPr>
          <w:i/>
        </w:rPr>
        <w:sectPr w:rsidR="007779FE" w:rsidSect="007779FE">
          <w:type w:val="continuous"/>
          <w:pgSz w:w="12240" w:h="15840"/>
          <w:pgMar w:top="1440" w:right="1440" w:bottom="1440" w:left="1440" w:header="720" w:footer="288" w:gutter="0"/>
          <w:cols w:space="720"/>
          <w:titlePg/>
          <w:docGrid w:linePitch="360"/>
        </w:sectPr>
      </w:pPr>
    </w:p>
    <w:p w:rsidR="00873770" w:rsidRPr="008C7396" w:rsidRDefault="00873770" w:rsidP="00E646C9">
      <w:pPr>
        <w:numPr>
          <w:ilvl w:val="0"/>
          <w:numId w:val="90"/>
        </w:numPr>
        <w:ind w:left="360"/>
        <w:rPr>
          <w:i/>
          <w:sz w:val="21"/>
          <w:szCs w:val="21"/>
        </w:rPr>
      </w:pPr>
      <w:r w:rsidRPr="008C7396">
        <w:rPr>
          <w:i/>
          <w:sz w:val="21"/>
          <w:szCs w:val="21"/>
        </w:rPr>
        <w:t>Residential Home Comfort</w:t>
      </w:r>
    </w:p>
    <w:p w:rsidR="007779FE" w:rsidRPr="007779FE" w:rsidRDefault="007779FE" w:rsidP="007779FE"/>
    <w:p w:rsidR="007779FE" w:rsidRPr="007779FE" w:rsidRDefault="007779FE" w:rsidP="007779FE"/>
    <w:p w:rsidR="00873770" w:rsidRPr="008C7396" w:rsidRDefault="00873770" w:rsidP="00E646C9">
      <w:pPr>
        <w:numPr>
          <w:ilvl w:val="0"/>
          <w:numId w:val="90"/>
        </w:numPr>
        <w:ind w:left="360"/>
        <w:rPr>
          <w:i/>
          <w:sz w:val="21"/>
          <w:szCs w:val="21"/>
        </w:rPr>
      </w:pPr>
      <w:r w:rsidRPr="008C7396">
        <w:rPr>
          <w:i/>
          <w:sz w:val="21"/>
          <w:szCs w:val="21"/>
        </w:rPr>
        <w:t>Low-Income Wrap</w:t>
      </w:r>
    </w:p>
    <w:p w:rsidR="00873770" w:rsidRPr="007779FE" w:rsidRDefault="00873770" w:rsidP="00A763FD">
      <w:pPr>
        <w:numPr>
          <w:ilvl w:val="1"/>
          <w:numId w:val="91"/>
        </w:numPr>
        <w:ind w:left="720"/>
        <w:jc w:val="left"/>
        <w:rPr>
          <w:i/>
          <w:sz w:val="20"/>
        </w:rPr>
      </w:pPr>
      <w:r w:rsidRPr="007779FE">
        <w:rPr>
          <w:i/>
          <w:sz w:val="20"/>
        </w:rPr>
        <w:t>Defacto Heating Pilot</w:t>
      </w:r>
      <w:r w:rsidR="00B549B2" w:rsidRPr="007779FE">
        <w:rPr>
          <w:i/>
          <w:sz w:val="20"/>
        </w:rPr>
        <w:t xml:space="preserve"> </w:t>
      </w:r>
      <w:r w:rsidR="003B2EE7" w:rsidRPr="007779FE">
        <w:rPr>
          <w:i/>
          <w:sz w:val="20"/>
        </w:rPr>
        <w:t xml:space="preserve">(a </w:t>
      </w:r>
      <w:r w:rsidR="009675DD" w:rsidRPr="007779FE">
        <w:rPr>
          <w:i/>
          <w:sz w:val="20"/>
        </w:rPr>
        <w:t>component</w:t>
      </w:r>
      <w:r w:rsidR="00974E32" w:rsidRPr="007779FE">
        <w:rPr>
          <w:i/>
          <w:sz w:val="20"/>
        </w:rPr>
        <w:t xml:space="preserve"> of WRAP</w:t>
      </w:r>
      <w:r w:rsidR="00B549B2" w:rsidRPr="007779FE">
        <w:rPr>
          <w:i/>
          <w:sz w:val="20"/>
        </w:rPr>
        <w:t>)</w:t>
      </w:r>
    </w:p>
    <w:p w:rsidR="007779FE" w:rsidRPr="007779FE" w:rsidRDefault="007779FE" w:rsidP="00873770">
      <w:pPr>
        <w:rPr>
          <w:sz w:val="20"/>
        </w:rPr>
        <w:sectPr w:rsidR="007779FE" w:rsidRPr="007779FE" w:rsidSect="00A763FD">
          <w:type w:val="continuous"/>
          <w:pgSz w:w="12240" w:h="15840"/>
          <w:pgMar w:top="1440" w:right="1440" w:bottom="1440" w:left="1440" w:header="720" w:footer="288" w:gutter="0"/>
          <w:cols w:num="2" w:space="360"/>
          <w:titlePg/>
          <w:docGrid w:linePitch="360"/>
        </w:sectPr>
      </w:pPr>
    </w:p>
    <w:p w:rsidR="00873770" w:rsidRPr="007779FE" w:rsidRDefault="00873770" w:rsidP="00873770">
      <w:pPr>
        <w:rPr>
          <w:sz w:val="20"/>
        </w:rPr>
      </w:pPr>
    </w:p>
    <w:p w:rsidR="00873770" w:rsidRPr="007779FE" w:rsidRDefault="007779FE" w:rsidP="00873770">
      <w:pPr>
        <w:rPr>
          <w:rFonts w:ascii="Century Gothic" w:hAnsi="Century Gothic"/>
          <w:b/>
          <w:color w:val="404040" w:themeColor="text1" w:themeTint="BF"/>
          <w:spacing w:val="-12"/>
        </w:rPr>
      </w:pPr>
      <w:r w:rsidRPr="007779FE">
        <w:rPr>
          <w:rFonts w:ascii="Century Gothic" w:hAnsi="Century Gothic"/>
          <w:b/>
          <w:color w:val="404040" w:themeColor="text1" w:themeTint="BF"/>
          <w:spacing w:val="-12"/>
        </w:rPr>
        <w:t>NO SAVINGS CLAIMED</w:t>
      </w:r>
    </w:p>
    <w:p w:rsidR="00873770" w:rsidRPr="00873770" w:rsidRDefault="00873770" w:rsidP="00873770">
      <w:pPr>
        <w:spacing w:after="60"/>
        <w:rPr>
          <w:b/>
          <w:color w:val="448A99"/>
        </w:rPr>
      </w:pPr>
      <w:r w:rsidRPr="00873770">
        <w:rPr>
          <w:b/>
          <w:color w:val="448A99"/>
        </w:rPr>
        <w:t>(TRC Ratio = 0)</w:t>
      </w:r>
    </w:p>
    <w:p w:rsidR="00873770" w:rsidRPr="008C7396" w:rsidRDefault="00873770" w:rsidP="00E646C9">
      <w:pPr>
        <w:numPr>
          <w:ilvl w:val="0"/>
          <w:numId w:val="90"/>
        </w:numPr>
        <w:ind w:left="360"/>
        <w:rPr>
          <w:i/>
          <w:sz w:val="21"/>
          <w:szCs w:val="21"/>
        </w:rPr>
      </w:pPr>
      <w:r w:rsidRPr="008C7396">
        <w:rPr>
          <w:i/>
          <w:sz w:val="21"/>
          <w:szCs w:val="21"/>
        </w:rPr>
        <w:t>School Benchmarking</w:t>
      </w:r>
    </w:p>
    <w:p w:rsidR="007779FE" w:rsidRPr="007779FE" w:rsidRDefault="007779FE" w:rsidP="007779FE"/>
    <w:p w:rsidR="00950837" w:rsidRDefault="00950837" w:rsidP="009C0DF1">
      <w:pPr>
        <w:pStyle w:val="AppendixAHeading3"/>
      </w:pPr>
      <w:r>
        <w:t>Assumptions and Inputs</w:t>
      </w:r>
    </w:p>
    <w:p w:rsidR="00873770" w:rsidRDefault="003B2EE7" w:rsidP="00873770">
      <w:r w:rsidRPr="00873770">
        <w:t>As stipulated in the approved EE&amp;C Plan, PPL used a discount rate of 8.14% in its TRC model to discount program benefits and costs. The rate was used to compare the NPV of program benefits that will occur later in a measure’s lifetime to the upfront costs of installation and implementation. Different values of LLFs were used for different sectors, as shown in</w:t>
      </w:r>
      <w:r>
        <w:t xml:space="preserve"> </w:t>
      </w:r>
      <w:r w:rsidR="00873770">
        <w:fldChar w:fldCharType="begin"/>
      </w:r>
      <w:r w:rsidR="00873770">
        <w:instrText xml:space="preserve"> REF _Ref472447412 \h </w:instrText>
      </w:r>
      <w:r w:rsidR="00873770">
        <w:fldChar w:fldCharType="separate"/>
      </w:r>
      <w:r w:rsidR="00037CB4">
        <w:t>Table A-</w:t>
      </w:r>
      <w:r w:rsidR="00037CB4">
        <w:rPr>
          <w:noProof/>
        </w:rPr>
        <w:t>138</w:t>
      </w:r>
      <w:r w:rsidR="00873770">
        <w:fldChar w:fldCharType="end"/>
      </w:r>
      <w:r w:rsidR="00873770">
        <w:t>.</w:t>
      </w:r>
      <w:r w:rsidR="00873770" w:rsidRPr="00873770">
        <w:t xml:space="preserve"> </w:t>
      </w:r>
      <w:r w:rsidR="00F4658E" w:rsidRPr="00873770">
        <w:t>Inconsistencies were found in the energy LLF values applied in the TRC model workbook and those specified in the PPL PY</w:t>
      </w:r>
      <w:r w:rsidR="00F4658E">
        <w:t xml:space="preserve">7 </w:t>
      </w:r>
      <w:r w:rsidR="00F4658E" w:rsidRPr="00873770">
        <w:t>annual report, specifically in the Student and Parent Education Program. The SWE believes the values specified in the PY</w:t>
      </w:r>
      <w:r w:rsidR="00F4658E">
        <w:t xml:space="preserve">7 </w:t>
      </w:r>
      <w:r w:rsidR="00F4658E" w:rsidRPr="00873770">
        <w:t>annual report to be incorrect, and has noted the energy LLF used by program in the PPL TRC model in</w:t>
      </w:r>
      <w:r w:rsidR="00F4658E">
        <w:t xml:space="preserve"> </w:t>
      </w:r>
      <w:r w:rsidR="00873770">
        <w:fldChar w:fldCharType="begin"/>
      </w:r>
      <w:r w:rsidR="00873770">
        <w:instrText xml:space="preserve"> REF _Ref472447412 \h </w:instrText>
      </w:r>
      <w:r w:rsidR="00873770">
        <w:fldChar w:fldCharType="separate"/>
      </w:r>
      <w:r w:rsidR="00037CB4">
        <w:t>Table A-</w:t>
      </w:r>
      <w:r w:rsidR="00037CB4">
        <w:rPr>
          <w:noProof/>
        </w:rPr>
        <w:t>138</w:t>
      </w:r>
      <w:r w:rsidR="00873770">
        <w:fldChar w:fldCharType="end"/>
      </w:r>
      <w:r w:rsidR="00873770" w:rsidRPr="00873770">
        <w:t>. These inconsistencies do not materially impact the TRC calculations.</w:t>
      </w:r>
    </w:p>
    <w:p w:rsidR="00873770" w:rsidRDefault="00873770" w:rsidP="00873770"/>
    <w:p w:rsidR="00873770" w:rsidRPr="00873770" w:rsidRDefault="00873770" w:rsidP="004837FA">
      <w:pPr>
        <w:pStyle w:val="Caption"/>
      </w:pPr>
      <w:bookmarkStart w:id="1272" w:name="_Ref472447412"/>
      <w:bookmarkStart w:id="1273" w:name="_Toc472472547"/>
      <w:bookmarkStart w:id="1274" w:name="_Toc488741966"/>
      <w:r>
        <w:t>Table A-</w:t>
      </w:r>
      <w:r w:rsidR="007973A4">
        <w:fldChar w:fldCharType="begin"/>
      </w:r>
      <w:r w:rsidR="007973A4">
        <w:instrText xml:space="preserve"> SEQ Table_A- \* ARABIC </w:instrText>
      </w:r>
      <w:r w:rsidR="007973A4">
        <w:fldChar w:fldCharType="separate"/>
      </w:r>
      <w:r w:rsidR="00037CB4">
        <w:rPr>
          <w:noProof/>
        </w:rPr>
        <w:t>138</w:t>
      </w:r>
      <w:r w:rsidR="007973A4">
        <w:rPr>
          <w:noProof/>
        </w:rPr>
        <w:fldChar w:fldCharType="end"/>
      </w:r>
      <w:bookmarkEnd w:id="1272"/>
      <w:r>
        <w:t xml:space="preserve">: </w:t>
      </w:r>
      <w:r w:rsidRPr="00873770">
        <w:t>PPL’s PY</w:t>
      </w:r>
      <w:r>
        <w:t>7</w:t>
      </w:r>
      <w:r w:rsidRPr="00873770">
        <w:t xml:space="preserve"> Discount Rates and LLFs</w:t>
      </w:r>
      <w:bookmarkEnd w:id="1273"/>
      <w:bookmarkEnd w:id="1274"/>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51"/>
        <w:gridCol w:w="1440"/>
        <w:gridCol w:w="1617"/>
        <w:gridCol w:w="1617"/>
        <w:gridCol w:w="1630"/>
      </w:tblGrid>
      <w:tr w:rsidR="00A874AC" w:rsidRPr="00A763FD" w:rsidTr="00A763FD">
        <w:trPr>
          <w:trHeight w:val="260"/>
          <w:tblHeader/>
        </w:trPr>
        <w:tc>
          <w:tcPr>
            <w:tcW w:w="3051" w:type="dxa"/>
            <w:shd w:val="clear" w:color="auto" w:fill="448A99"/>
            <w:noWrap/>
            <w:vAlign w:val="bottom"/>
            <w:hideMark/>
          </w:tcPr>
          <w:p w:rsidR="00873770" w:rsidRPr="00A763FD" w:rsidRDefault="00873770" w:rsidP="00873770">
            <w:pPr>
              <w:jc w:val="left"/>
              <w:rPr>
                <w:b/>
                <w:bCs/>
                <w:color w:val="FFFFFF"/>
                <w:sz w:val="19"/>
                <w:szCs w:val="19"/>
              </w:rPr>
            </w:pPr>
            <w:r w:rsidRPr="00A763FD">
              <w:rPr>
                <w:b/>
                <w:bCs/>
                <w:color w:val="FFFFFF"/>
                <w:sz w:val="19"/>
                <w:szCs w:val="19"/>
              </w:rPr>
              <w:t>Program</w:t>
            </w:r>
          </w:p>
        </w:tc>
        <w:tc>
          <w:tcPr>
            <w:tcW w:w="1440" w:type="dxa"/>
            <w:shd w:val="clear" w:color="auto" w:fill="448A99"/>
            <w:noWrap/>
            <w:vAlign w:val="bottom"/>
            <w:hideMark/>
          </w:tcPr>
          <w:p w:rsidR="00873770" w:rsidRPr="00A763FD" w:rsidRDefault="00873770" w:rsidP="00873770">
            <w:pPr>
              <w:jc w:val="center"/>
              <w:rPr>
                <w:b/>
                <w:bCs/>
                <w:color w:val="FFFFFF"/>
                <w:sz w:val="19"/>
                <w:szCs w:val="19"/>
              </w:rPr>
            </w:pPr>
            <w:r w:rsidRPr="00A763FD">
              <w:rPr>
                <w:b/>
                <w:bCs/>
                <w:color w:val="FFFFFF"/>
                <w:sz w:val="19"/>
                <w:szCs w:val="19"/>
              </w:rPr>
              <w:t>Sector</w:t>
            </w:r>
          </w:p>
        </w:tc>
        <w:tc>
          <w:tcPr>
            <w:tcW w:w="1617" w:type="dxa"/>
            <w:shd w:val="clear" w:color="auto" w:fill="448A99"/>
            <w:noWrap/>
            <w:vAlign w:val="bottom"/>
            <w:hideMark/>
          </w:tcPr>
          <w:p w:rsidR="00873770" w:rsidRPr="00A763FD" w:rsidRDefault="00873770" w:rsidP="00873770">
            <w:pPr>
              <w:jc w:val="center"/>
              <w:rPr>
                <w:b/>
                <w:bCs/>
                <w:color w:val="FFFFFF"/>
                <w:sz w:val="19"/>
                <w:szCs w:val="19"/>
              </w:rPr>
            </w:pPr>
            <w:r w:rsidRPr="00A763FD">
              <w:rPr>
                <w:b/>
                <w:bCs/>
                <w:color w:val="FFFFFF"/>
                <w:sz w:val="19"/>
                <w:szCs w:val="19"/>
              </w:rPr>
              <w:t>Discount Rate</w:t>
            </w:r>
          </w:p>
        </w:tc>
        <w:tc>
          <w:tcPr>
            <w:tcW w:w="1617" w:type="dxa"/>
            <w:shd w:val="clear" w:color="auto" w:fill="448A99"/>
            <w:vAlign w:val="bottom"/>
            <w:hideMark/>
          </w:tcPr>
          <w:p w:rsidR="00873770" w:rsidRPr="00A763FD" w:rsidRDefault="00873770" w:rsidP="00873770">
            <w:pPr>
              <w:jc w:val="center"/>
              <w:rPr>
                <w:b/>
                <w:bCs/>
                <w:color w:val="FFFFFF"/>
                <w:sz w:val="19"/>
                <w:szCs w:val="19"/>
              </w:rPr>
            </w:pPr>
            <w:r w:rsidRPr="00A763FD">
              <w:rPr>
                <w:b/>
                <w:bCs/>
                <w:color w:val="FFFFFF"/>
                <w:sz w:val="19"/>
                <w:szCs w:val="19"/>
              </w:rPr>
              <w:t>Energy LLF</w:t>
            </w:r>
            <w:r w:rsidRPr="00A763FD">
              <w:rPr>
                <w:b/>
                <w:bCs/>
                <w:color w:val="FFFFFF"/>
                <w:sz w:val="19"/>
                <w:szCs w:val="19"/>
                <w:vertAlign w:val="superscript"/>
              </w:rPr>
              <w:t>[a]</w:t>
            </w:r>
          </w:p>
        </w:tc>
        <w:tc>
          <w:tcPr>
            <w:tcW w:w="1630" w:type="dxa"/>
            <w:shd w:val="clear" w:color="auto" w:fill="448A99"/>
            <w:vAlign w:val="bottom"/>
            <w:hideMark/>
          </w:tcPr>
          <w:p w:rsidR="00873770" w:rsidRPr="00A763FD" w:rsidRDefault="00873770" w:rsidP="00873770">
            <w:pPr>
              <w:jc w:val="center"/>
              <w:rPr>
                <w:b/>
                <w:bCs/>
                <w:color w:val="FFFFFF"/>
                <w:sz w:val="19"/>
                <w:szCs w:val="19"/>
              </w:rPr>
            </w:pPr>
            <w:r w:rsidRPr="00A763FD">
              <w:rPr>
                <w:b/>
                <w:bCs/>
                <w:color w:val="FFFFFF"/>
                <w:sz w:val="19"/>
                <w:szCs w:val="19"/>
              </w:rPr>
              <w:t>Demand LLF</w:t>
            </w:r>
            <w:r w:rsidRPr="00A763FD">
              <w:rPr>
                <w:b/>
                <w:bCs/>
                <w:color w:val="FFFFFF"/>
                <w:sz w:val="19"/>
                <w:szCs w:val="19"/>
                <w:vertAlign w:val="superscript"/>
              </w:rPr>
              <w:t>[a]</w:t>
            </w:r>
          </w:p>
        </w:tc>
      </w:tr>
      <w:tr w:rsidR="00A874AC" w:rsidRPr="00A763FD" w:rsidTr="00A763FD">
        <w:trPr>
          <w:trHeight w:val="488"/>
        </w:trPr>
        <w:tc>
          <w:tcPr>
            <w:tcW w:w="3051" w:type="dxa"/>
            <w:shd w:val="clear" w:color="000000" w:fill="D2EAF1"/>
            <w:vAlign w:val="center"/>
          </w:tcPr>
          <w:p w:rsidR="00873770" w:rsidRPr="00A763FD" w:rsidRDefault="00873770" w:rsidP="00873770">
            <w:pPr>
              <w:jc w:val="left"/>
              <w:rPr>
                <w:color w:val="000000"/>
                <w:sz w:val="19"/>
                <w:szCs w:val="19"/>
              </w:rPr>
            </w:pPr>
            <w:r w:rsidRPr="00A763FD">
              <w:rPr>
                <w:color w:val="000000"/>
                <w:sz w:val="19"/>
                <w:szCs w:val="19"/>
              </w:rPr>
              <w:t>Appliance Recycling</w:t>
            </w:r>
          </w:p>
        </w:tc>
        <w:tc>
          <w:tcPr>
            <w:tcW w:w="1440"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Residential</w:t>
            </w:r>
            <w:r w:rsidRPr="00A763FD">
              <w:rPr>
                <w:bCs/>
                <w:color w:val="000000"/>
                <w:sz w:val="19"/>
                <w:szCs w:val="19"/>
                <w:vertAlign w:val="superscript"/>
              </w:rPr>
              <w:t>[b]</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[b]</w:t>
            </w:r>
          </w:p>
        </w:tc>
        <w:tc>
          <w:tcPr>
            <w:tcW w:w="1630"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[b]</w:t>
            </w:r>
          </w:p>
        </w:tc>
      </w:tr>
      <w:tr w:rsidR="00E7173E" w:rsidRPr="00A763FD" w:rsidTr="00A763FD">
        <w:trPr>
          <w:trHeight w:val="488"/>
        </w:trPr>
        <w:tc>
          <w:tcPr>
            <w:tcW w:w="3051" w:type="dxa"/>
            <w:shd w:val="clear" w:color="auto" w:fill="auto"/>
            <w:vAlign w:val="center"/>
          </w:tcPr>
          <w:p w:rsidR="00873770" w:rsidRPr="00A763FD" w:rsidRDefault="00873770" w:rsidP="00873770">
            <w:pPr>
              <w:jc w:val="left"/>
              <w:rPr>
                <w:rFonts w:cs="Arial"/>
                <w:bCs/>
                <w:color w:val="000000"/>
                <w:sz w:val="19"/>
                <w:szCs w:val="19"/>
              </w:rPr>
            </w:pPr>
            <w:r w:rsidRPr="00A763FD">
              <w:rPr>
                <w:color w:val="000000"/>
                <w:sz w:val="19"/>
                <w:szCs w:val="19"/>
              </w:rPr>
              <w:t>Residential EE Behavior and Education</w:t>
            </w:r>
          </w:p>
        </w:tc>
        <w:tc>
          <w:tcPr>
            <w:tcW w:w="144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Residential</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p>
        </w:tc>
        <w:tc>
          <w:tcPr>
            <w:tcW w:w="163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p>
        </w:tc>
      </w:tr>
      <w:tr w:rsidR="00A874AC" w:rsidRPr="00A763FD" w:rsidTr="00A763FD">
        <w:trPr>
          <w:trHeight w:val="488"/>
        </w:trPr>
        <w:tc>
          <w:tcPr>
            <w:tcW w:w="3051" w:type="dxa"/>
            <w:shd w:val="clear" w:color="000000" w:fill="D2EAF1"/>
            <w:vAlign w:val="center"/>
          </w:tcPr>
          <w:p w:rsidR="00873770" w:rsidRPr="00A763FD" w:rsidRDefault="00873770" w:rsidP="00873770">
            <w:pPr>
              <w:jc w:val="left"/>
              <w:rPr>
                <w:color w:val="000000"/>
                <w:sz w:val="19"/>
                <w:szCs w:val="19"/>
              </w:rPr>
            </w:pPr>
            <w:r w:rsidRPr="00A763FD">
              <w:rPr>
                <w:color w:val="000000"/>
                <w:sz w:val="19"/>
                <w:szCs w:val="19"/>
              </w:rPr>
              <w:t>Residential Home Comfort</w:t>
            </w:r>
          </w:p>
        </w:tc>
        <w:tc>
          <w:tcPr>
            <w:tcW w:w="1440"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Residential</w:t>
            </w:r>
            <w:r w:rsidRPr="00A763FD">
              <w:rPr>
                <w:bCs/>
                <w:color w:val="000000"/>
                <w:sz w:val="19"/>
                <w:szCs w:val="19"/>
                <w:vertAlign w:val="superscript"/>
              </w:rPr>
              <w:t>[b]</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[b]</w:t>
            </w:r>
          </w:p>
        </w:tc>
        <w:tc>
          <w:tcPr>
            <w:tcW w:w="1630"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[b]</w:t>
            </w:r>
          </w:p>
        </w:tc>
      </w:tr>
      <w:tr w:rsidR="00E7173E" w:rsidRPr="00A763FD" w:rsidTr="00A763FD">
        <w:trPr>
          <w:trHeight w:val="488"/>
        </w:trPr>
        <w:tc>
          <w:tcPr>
            <w:tcW w:w="3051" w:type="dxa"/>
            <w:shd w:val="clear" w:color="auto" w:fill="auto"/>
            <w:vAlign w:val="center"/>
          </w:tcPr>
          <w:p w:rsidR="00873770" w:rsidRPr="00A763FD" w:rsidRDefault="00873770" w:rsidP="00873770">
            <w:pPr>
              <w:jc w:val="left"/>
              <w:rPr>
                <w:color w:val="000000"/>
                <w:sz w:val="19"/>
                <w:szCs w:val="19"/>
              </w:rPr>
            </w:pPr>
            <w:r w:rsidRPr="00A763FD">
              <w:rPr>
                <w:color w:val="000000"/>
                <w:sz w:val="19"/>
                <w:szCs w:val="19"/>
              </w:rPr>
              <w:t>Residential Retail</w:t>
            </w:r>
          </w:p>
        </w:tc>
        <w:tc>
          <w:tcPr>
            <w:tcW w:w="144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Residential</w:t>
            </w:r>
            <w:r w:rsidRPr="00A763FD">
              <w:rPr>
                <w:bCs/>
                <w:color w:val="000000"/>
                <w:sz w:val="19"/>
                <w:szCs w:val="19"/>
                <w:vertAlign w:val="superscript"/>
              </w:rPr>
              <w:t>[b]</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[b]</w:t>
            </w:r>
          </w:p>
        </w:tc>
        <w:tc>
          <w:tcPr>
            <w:tcW w:w="163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[b]</w:t>
            </w:r>
          </w:p>
        </w:tc>
      </w:tr>
      <w:tr w:rsidR="00A874AC" w:rsidRPr="00A763FD" w:rsidTr="00A763FD">
        <w:trPr>
          <w:trHeight w:val="488"/>
        </w:trPr>
        <w:tc>
          <w:tcPr>
            <w:tcW w:w="3051" w:type="dxa"/>
            <w:shd w:val="clear" w:color="000000" w:fill="D2EAF1"/>
            <w:vAlign w:val="center"/>
          </w:tcPr>
          <w:p w:rsidR="00873770" w:rsidRPr="00A763FD" w:rsidRDefault="00873770" w:rsidP="00873770">
            <w:pPr>
              <w:jc w:val="left"/>
              <w:rPr>
                <w:color w:val="000000"/>
                <w:sz w:val="19"/>
                <w:szCs w:val="19"/>
              </w:rPr>
            </w:pPr>
            <w:r w:rsidRPr="00A763FD">
              <w:rPr>
                <w:color w:val="000000"/>
                <w:sz w:val="19"/>
                <w:szCs w:val="19"/>
              </w:rPr>
              <w:t>Student and Parent Education</w:t>
            </w:r>
          </w:p>
        </w:tc>
        <w:tc>
          <w:tcPr>
            <w:tcW w:w="1440" w:type="dxa"/>
            <w:shd w:val="clear" w:color="000000" w:fill="D2EAF1"/>
            <w:noWrap/>
            <w:vAlign w:val="center"/>
          </w:tcPr>
          <w:p w:rsidR="00873770" w:rsidRPr="00A763FD" w:rsidRDefault="00873770" w:rsidP="00873770">
            <w:pPr>
              <w:jc w:val="center"/>
              <w:rPr>
                <w:b/>
                <w:color w:val="000000"/>
                <w:sz w:val="19"/>
                <w:szCs w:val="19"/>
              </w:rPr>
            </w:pPr>
            <w:r w:rsidRPr="00A763FD">
              <w:rPr>
                <w:color w:val="000000"/>
                <w:sz w:val="19"/>
                <w:szCs w:val="19"/>
              </w:rPr>
              <w:t>Residential</w:t>
            </w:r>
            <w:r w:rsidRPr="00A763FD">
              <w:rPr>
                <w:bCs/>
                <w:color w:val="000000"/>
                <w:sz w:val="19"/>
                <w:szCs w:val="19"/>
                <w:vertAlign w:val="superscript"/>
              </w:rPr>
              <w:t>[c]</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[c]</w:t>
            </w:r>
          </w:p>
        </w:tc>
        <w:tc>
          <w:tcPr>
            <w:tcW w:w="1630"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[c]</w:t>
            </w:r>
          </w:p>
        </w:tc>
      </w:tr>
      <w:tr w:rsidR="00E7173E" w:rsidRPr="00A763FD" w:rsidTr="00A763FD">
        <w:trPr>
          <w:trHeight w:val="488"/>
        </w:trPr>
        <w:tc>
          <w:tcPr>
            <w:tcW w:w="3051" w:type="dxa"/>
            <w:shd w:val="clear" w:color="auto" w:fill="auto"/>
            <w:vAlign w:val="center"/>
          </w:tcPr>
          <w:p w:rsidR="00873770" w:rsidRPr="00A763FD" w:rsidRDefault="00873770" w:rsidP="00873770">
            <w:pPr>
              <w:jc w:val="left"/>
              <w:rPr>
                <w:color w:val="000000"/>
                <w:sz w:val="19"/>
                <w:szCs w:val="19"/>
              </w:rPr>
            </w:pPr>
            <w:r w:rsidRPr="00A763FD">
              <w:rPr>
                <w:color w:val="000000"/>
                <w:sz w:val="19"/>
                <w:szCs w:val="19"/>
              </w:rPr>
              <w:t>E-Power Wise</w:t>
            </w:r>
          </w:p>
        </w:tc>
        <w:tc>
          <w:tcPr>
            <w:tcW w:w="144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Residential</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p>
        </w:tc>
        <w:tc>
          <w:tcPr>
            <w:tcW w:w="163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p>
        </w:tc>
      </w:tr>
      <w:tr w:rsidR="00A874AC" w:rsidRPr="00A763FD" w:rsidTr="00A763FD">
        <w:trPr>
          <w:trHeight w:val="488"/>
        </w:trPr>
        <w:tc>
          <w:tcPr>
            <w:tcW w:w="3051" w:type="dxa"/>
            <w:shd w:val="clear" w:color="auto" w:fill="D2EAF1"/>
            <w:vAlign w:val="center"/>
          </w:tcPr>
          <w:p w:rsidR="00873770" w:rsidRPr="00A763FD" w:rsidRDefault="00873770" w:rsidP="00873770">
            <w:pPr>
              <w:jc w:val="left"/>
              <w:rPr>
                <w:color w:val="000000"/>
                <w:sz w:val="19"/>
                <w:szCs w:val="19"/>
              </w:rPr>
            </w:pPr>
            <w:r w:rsidRPr="00A763FD">
              <w:rPr>
                <w:color w:val="000000"/>
                <w:sz w:val="19"/>
                <w:szCs w:val="19"/>
              </w:rPr>
              <w:t>Wise Home Pilot</w:t>
            </w:r>
          </w:p>
        </w:tc>
        <w:tc>
          <w:tcPr>
            <w:tcW w:w="1440" w:type="dxa"/>
            <w:shd w:val="clear" w:color="auto" w:fill="D2EAF1"/>
            <w:noWrap/>
            <w:vAlign w:val="center"/>
          </w:tcPr>
          <w:p w:rsidR="00873770" w:rsidRPr="00A763FD" w:rsidRDefault="00873770" w:rsidP="00873770">
            <w:pPr>
              <w:jc w:val="center"/>
              <w:rPr>
                <w:color w:val="000000"/>
                <w:sz w:val="19"/>
                <w:szCs w:val="19"/>
              </w:rPr>
            </w:pPr>
            <w:r w:rsidRPr="00A763FD">
              <w:rPr>
                <w:color w:val="000000"/>
                <w:sz w:val="19"/>
                <w:szCs w:val="19"/>
              </w:rPr>
              <w:t>Residential</w:t>
            </w:r>
          </w:p>
        </w:tc>
        <w:tc>
          <w:tcPr>
            <w:tcW w:w="1617" w:type="dxa"/>
            <w:shd w:val="clear" w:color="auto" w:fill="D2EAF1"/>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auto" w:fill="D2EAF1"/>
            <w:noWrap/>
            <w:vAlign w:val="center"/>
          </w:tcPr>
          <w:p w:rsidR="00873770" w:rsidRPr="00A763FD" w:rsidRDefault="00873770" w:rsidP="00873770">
            <w:pPr>
              <w:jc w:val="center"/>
              <w:rPr>
                <w:color w:val="000000"/>
                <w:sz w:val="19"/>
                <w:szCs w:val="19"/>
              </w:rPr>
            </w:pPr>
            <w:r w:rsidRPr="00A763FD">
              <w:rPr>
                <w:color w:val="000000"/>
                <w:sz w:val="19"/>
                <w:szCs w:val="19"/>
              </w:rPr>
              <w:t>7.69%</w:t>
            </w:r>
          </w:p>
        </w:tc>
        <w:tc>
          <w:tcPr>
            <w:tcW w:w="1630" w:type="dxa"/>
            <w:shd w:val="clear" w:color="auto" w:fill="D2EAF1"/>
            <w:noWrap/>
            <w:vAlign w:val="center"/>
          </w:tcPr>
          <w:p w:rsidR="00873770" w:rsidRPr="00A763FD" w:rsidRDefault="00873770" w:rsidP="00873770">
            <w:pPr>
              <w:jc w:val="center"/>
              <w:rPr>
                <w:color w:val="000000"/>
                <w:sz w:val="19"/>
                <w:szCs w:val="19"/>
              </w:rPr>
            </w:pPr>
            <w:r w:rsidRPr="00A763FD">
              <w:rPr>
                <w:color w:val="000000"/>
                <w:sz w:val="19"/>
                <w:szCs w:val="19"/>
              </w:rPr>
              <w:t>7.69%</w:t>
            </w:r>
          </w:p>
        </w:tc>
      </w:tr>
      <w:tr w:rsidR="00E7173E" w:rsidRPr="00A763FD" w:rsidTr="00A763FD">
        <w:trPr>
          <w:trHeight w:val="488"/>
        </w:trPr>
        <w:tc>
          <w:tcPr>
            <w:tcW w:w="3051" w:type="dxa"/>
            <w:shd w:val="clear" w:color="auto" w:fill="auto"/>
            <w:vAlign w:val="center"/>
          </w:tcPr>
          <w:p w:rsidR="00873770" w:rsidRPr="00A763FD" w:rsidRDefault="00873770" w:rsidP="00873770">
            <w:pPr>
              <w:jc w:val="left"/>
              <w:rPr>
                <w:color w:val="000000"/>
                <w:sz w:val="19"/>
                <w:szCs w:val="19"/>
              </w:rPr>
            </w:pPr>
            <w:r w:rsidRPr="00A763FD">
              <w:rPr>
                <w:color w:val="000000"/>
                <w:sz w:val="19"/>
                <w:szCs w:val="19"/>
              </w:rPr>
              <w:t>Low-Income EE Behavior and Education</w:t>
            </w:r>
          </w:p>
        </w:tc>
        <w:tc>
          <w:tcPr>
            <w:tcW w:w="144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Residential</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p>
        </w:tc>
        <w:tc>
          <w:tcPr>
            <w:tcW w:w="163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p>
        </w:tc>
      </w:tr>
      <w:tr w:rsidR="00A874AC" w:rsidRPr="00A763FD" w:rsidTr="00A763FD">
        <w:trPr>
          <w:trHeight w:val="488"/>
        </w:trPr>
        <w:tc>
          <w:tcPr>
            <w:tcW w:w="3051" w:type="dxa"/>
            <w:shd w:val="clear" w:color="auto" w:fill="D2EAF1"/>
            <w:vAlign w:val="center"/>
          </w:tcPr>
          <w:p w:rsidR="00873770" w:rsidRPr="00A763FD" w:rsidRDefault="00873770" w:rsidP="00873770">
            <w:pPr>
              <w:jc w:val="left"/>
              <w:rPr>
                <w:color w:val="000000"/>
                <w:sz w:val="19"/>
                <w:szCs w:val="19"/>
              </w:rPr>
            </w:pPr>
            <w:r w:rsidRPr="00A763FD">
              <w:rPr>
                <w:color w:val="000000"/>
                <w:sz w:val="19"/>
                <w:szCs w:val="19"/>
              </w:rPr>
              <w:t>Low-Income WRAP</w:t>
            </w:r>
          </w:p>
        </w:tc>
        <w:tc>
          <w:tcPr>
            <w:tcW w:w="1440" w:type="dxa"/>
            <w:shd w:val="clear" w:color="auto" w:fill="D2EAF1"/>
            <w:noWrap/>
            <w:vAlign w:val="center"/>
          </w:tcPr>
          <w:p w:rsidR="00873770" w:rsidRPr="00A763FD" w:rsidRDefault="00873770" w:rsidP="00873770">
            <w:pPr>
              <w:jc w:val="center"/>
              <w:rPr>
                <w:color w:val="000000"/>
                <w:sz w:val="19"/>
                <w:szCs w:val="19"/>
              </w:rPr>
            </w:pPr>
            <w:r w:rsidRPr="00A763FD">
              <w:rPr>
                <w:color w:val="000000"/>
                <w:sz w:val="19"/>
                <w:szCs w:val="19"/>
              </w:rPr>
              <w:t>Residential</w:t>
            </w:r>
          </w:p>
        </w:tc>
        <w:tc>
          <w:tcPr>
            <w:tcW w:w="1617" w:type="dxa"/>
            <w:shd w:val="clear" w:color="auto" w:fill="D2EAF1"/>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auto" w:fill="D2EAF1"/>
            <w:noWrap/>
            <w:vAlign w:val="center"/>
          </w:tcPr>
          <w:p w:rsidR="00873770" w:rsidRPr="00A763FD" w:rsidRDefault="00873770" w:rsidP="00873770">
            <w:pPr>
              <w:jc w:val="center"/>
              <w:rPr>
                <w:color w:val="000000"/>
                <w:sz w:val="19"/>
                <w:szCs w:val="19"/>
              </w:rPr>
            </w:pPr>
            <w:r w:rsidRPr="00A763FD">
              <w:rPr>
                <w:color w:val="000000"/>
                <w:sz w:val="19"/>
                <w:szCs w:val="19"/>
              </w:rPr>
              <w:t>7.69%</w:t>
            </w:r>
          </w:p>
        </w:tc>
        <w:tc>
          <w:tcPr>
            <w:tcW w:w="1630" w:type="dxa"/>
            <w:shd w:val="clear" w:color="auto" w:fill="D2EAF1"/>
            <w:noWrap/>
            <w:vAlign w:val="center"/>
          </w:tcPr>
          <w:p w:rsidR="00873770" w:rsidRPr="00A763FD" w:rsidRDefault="00873770" w:rsidP="00873770">
            <w:pPr>
              <w:jc w:val="center"/>
              <w:rPr>
                <w:color w:val="000000"/>
                <w:sz w:val="19"/>
                <w:szCs w:val="19"/>
              </w:rPr>
            </w:pPr>
            <w:r w:rsidRPr="00A763FD">
              <w:rPr>
                <w:color w:val="000000"/>
                <w:sz w:val="19"/>
                <w:szCs w:val="19"/>
              </w:rPr>
              <w:t>7.69%</w:t>
            </w:r>
          </w:p>
        </w:tc>
      </w:tr>
      <w:tr w:rsidR="00E7173E" w:rsidRPr="00A763FD" w:rsidTr="00A763FD">
        <w:trPr>
          <w:trHeight w:val="488"/>
        </w:trPr>
        <w:tc>
          <w:tcPr>
            <w:tcW w:w="3051" w:type="dxa"/>
            <w:shd w:val="clear" w:color="auto" w:fill="auto"/>
            <w:vAlign w:val="center"/>
          </w:tcPr>
          <w:p w:rsidR="00873770" w:rsidRPr="00A763FD" w:rsidRDefault="00873770" w:rsidP="00873770">
            <w:pPr>
              <w:jc w:val="left"/>
              <w:rPr>
                <w:color w:val="000000"/>
                <w:sz w:val="19"/>
                <w:szCs w:val="19"/>
              </w:rPr>
            </w:pPr>
            <w:r w:rsidRPr="00A763FD">
              <w:rPr>
                <w:color w:val="000000"/>
                <w:sz w:val="19"/>
                <w:szCs w:val="19"/>
              </w:rPr>
              <w:t>Defacto Heating Pilot</w:t>
            </w:r>
          </w:p>
        </w:tc>
        <w:tc>
          <w:tcPr>
            <w:tcW w:w="144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Residential</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p>
        </w:tc>
        <w:tc>
          <w:tcPr>
            <w:tcW w:w="163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p>
        </w:tc>
      </w:tr>
      <w:tr w:rsidR="00A874AC" w:rsidRPr="00A763FD" w:rsidTr="00A763FD">
        <w:trPr>
          <w:trHeight w:val="488"/>
        </w:trPr>
        <w:tc>
          <w:tcPr>
            <w:tcW w:w="3051" w:type="dxa"/>
            <w:shd w:val="clear" w:color="000000" w:fill="D2EAF1"/>
            <w:vAlign w:val="center"/>
          </w:tcPr>
          <w:p w:rsidR="00873770" w:rsidRPr="00A763FD" w:rsidRDefault="00873770" w:rsidP="00873770">
            <w:pPr>
              <w:jc w:val="left"/>
              <w:rPr>
                <w:color w:val="000000"/>
                <w:sz w:val="19"/>
                <w:szCs w:val="19"/>
              </w:rPr>
            </w:pPr>
            <w:r w:rsidRPr="00A763FD">
              <w:rPr>
                <w:color w:val="000000"/>
                <w:sz w:val="19"/>
                <w:szCs w:val="19"/>
              </w:rPr>
              <w:t>Continuous Energy Improvement</w:t>
            </w:r>
          </w:p>
        </w:tc>
        <w:tc>
          <w:tcPr>
            <w:tcW w:w="1440"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GNI</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5.86%</w:t>
            </w:r>
          </w:p>
        </w:tc>
        <w:tc>
          <w:tcPr>
            <w:tcW w:w="1630"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5.86%</w:t>
            </w:r>
          </w:p>
        </w:tc>
      </w:tr>
      <w:tr w:rsidR="00E7173E" w:rsidRPr="00A763FD" w:rsidTr="00A763FD">
        <w:trPr>
          <w:trHeight w:val="488"/>
        </w:trPr>
        <w:tc>
          <w:tcPr>
            <w:tcW w:w="3051" w:type="dxa"/>
            <w:shd w:val="clear" w:color="auto" w:fill="auto"/>
            <w:vAlign w:val="center"/>
          </w:tcPr>
          <w:p w:rsidR="00873770" w:rsidRPr="00A763FD" w:rsidRDefault="00873770" w:rsidP="00873770">
            <w:pPr>
              <w:jc w:val="left"/>
              <w:rPr>
                <w:color w:val="000000"/>
                <w:sz w:val="19"/>
                <w:szCs w:val="19"/>
              </w:rPr>
            </w:pPr>
            <w:r w:rsidRPr="00A763FD">
              <w:rPr>
                <w:color w:val="000000"/>
                <w:sz w:val="19"/>
                <w:szCs w:val="19"/>
              </w:rPr>
              <w:t>Custom Incentive</w:t>
            </w:r>
          </w:p>
        </w:tc>
        <w:tc>
          <w:tcPr>
            <w:tcW w:w="144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C/I</w:t>
            </w:r>
            <w:r w:rsidRPr="00A763FD">
              <w:rPr>
                <w:bCs/>
                <w:color w:val="000000"/>
                <w:sz w:val="19"/>
                <w:szCs w:val="19"/>
                <w:vertAlign w:val="superscript"/>
              </w:rPr>
              <w:t>[b]</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3.96%</w:t>
            </w:r>
            <w:r w:rsidRPr="00A763FD">
              <w:rPr>
                <w:bCs/>
                <w:color w:val="000000"/>
                <w:sz w:val="19"/>
                <w:szCs w:val="19"/>
                <w:vertAlign w:val="superscript"/>
              </w:rPr>
              <w:t>[b]</w:t>
            </w:r>
          </w:p>
        </w:tc>
        <w:tc>
          <w:tcPr>
            <w:tcW w:w="1630" w:type="dxa"/>
            <w:shd w:val="clear" w:color="auto" w:fill="auto"/>
            <w:vAlign w:val="center"/>
          </w:tcPr>
          <w:p w:rsidR="00873770" w:rsidRPr="00A763FD" w:rsidRDefault="00873770" w:rsidP="00873770">
            <w:pPr>
              <w:jc w:val="center"/>
              <w:rPr>
                <w:color w:val="000000"/>
                <w:sz w:val="19"/>
                <w:szCs w:val="19"/>
              </w:rPr>
            </w:pPr>
            <w:r w:rsidRPr="00A763FD">
              <w:rPr>
                <w:color w:val="000000"/>
                <w:sz w:val="19"/>
                <w:szCs w:val="19"/>
              </w:rPr>
              <w:t>3.96%</w:t>
            </w:r>
            <w:r w:rsidRPr="00A763FD">
              <w:rPr>
                <w:bCs/>
                <w:color w:val="000000"/>
                <w:sz w:val="19"/>
                <w:szCs w:val="19"/>
                <w:vertAlign w:val="superscript"/>
              </w:rPr>
              <w:t>[b]</w:t>
            </w:r>
          </w:p>
        </w:tc>
      </w:tr>
      <w:tr w:rsidR="00A874AC" w:rsidRPr="00A763FD" w:rsidTr="00A763FD">
        <w:trPr>
          <w:trHeight w:val="488"/>
        </w:trPr>
        <w:tc>
          <w:tcPr>
            <w:tcW w:w="3051" w:type="dxa"/>
            <w:shd w:val="clear" w:color="000000" w:fill="D2EAF1"/>
            <w:vAlign w:val="center"/>
          </w:tcPr>
          <w:p w:rsidR="00873770" w:rsidRPr="00A763FD" w:rsidRDefault="00873770" w:rsidP="00873770">
            <w:pPr>
              <w:jc w:val="left"/>
              <w:rPr>
                <w:color w:val="000000"/>
                <w:sz w:val="19"/>
                <w:szCs w:val="19"/>
              </w:rPr>
            </w:pPr>
            <w:r w:rsidRPr="00A763FD">
              <w:rPr>
                <w:color w:val="000000"/>
                <w:sz w:val="19"/>
                <w:szCs w:val="19"/>
              </w:rPr>
              <w:t>Master Metered Multifamily Housing</w:t>
            </w:r>
          </w:p>
        </w:tc>
        <w:tc>
          <w:tcPr>
            <w:tcW w:w="1440"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GNI</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5.86%</w:t>
            </w:r>
          </w:p>
        </w:tc>
        <w:tc>
          <w:tcPr>
            <w:tcW w:w="1630" w:type="dxa"/>
            <w:shd w:val="clear" w:color="000000" w:fill="D2EAF1"/>
            <w:vAlign w:val="center"/>
          </w:tcPr>
          <w:p w:rsidR="00873770" w:rsidRPr="00A763FD" w:rsidRDefault="00873770" w:rsidP="00873770">
            <w:pPr>
              <w:jc w:val="center"/>
              <w:rPr>
                <w:color w:val="000000"/>
                <w:sz w:val="19"/>
                <w:szCs w:val="19"/>
              </w:rPr>
            </w:pPr>
            <w:r w:rsidRPr="00A763FD">
              <w:rPr>
                <w:color w:val="000000"/>
                <w:sz w:val="19"/>
                <w:szCs w:val="19"/>
              </w:rPr>
              <w:t>5.86%</w:t>
            </w:r>
          </w:p>
        </w:tc>
      </w:tr>
      <w:tr w:rsidR="00E7173E" w:rsidRPr="00A763FD" w:rsidTr="00A763FD">
        <w:trPr>
          <w:trHeight w:val="488"/>
        </w:trPr>
        <w:tc>
          <w:tcPr>
            <w:tcW w:w="3051" w:type="dxa"/>
            <w:shd w:val="clear" w:color="auto" w:fill="auto"/>
            <w:vAlign w:val="center"/>
          </w:tcPr>
          <w:p w:rsidR="00873770" w:rsidRPr="00A763FD" w:rsidRDefault="00873770" w:rsidP="00873770">
            <w:pPr>
              <w:jc w:val="left"/>
              <w:rPr>
                <w:color w:val="000000"/>
                <w:sz w:val="19"/>
                <w:szCs w:val="19"/>
              </w:rPr>
            </w:pPr>
            <w:r w:rsidRPr="00A763FD">
              <w:rPr>
                <w:color w:val="000000"/>
                <w:sz w:val="19"/>
                <w:szCs w:val="19"/>
              </w:rPr>
              <w:t>Prescriptive Equipment</w:t>
            </w:r>
          </w:p>
        </w:tc>
        <w:tc>
          <w:tcPr>
            <w:tcW w:w="1440"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C/I</w:t>
            </w:r>
            <w:r w:rsidRPr="00A763FD">
              <w:rPr>
                <w:bCs/>
                <w:color w:val="000000"/>
                <w:sz w:val="19"/>
                <w:szCs w:val="19"/>
                <w:vertAlign w:val="superscript"/>
              </w:rPr>
              <w:t>[b]</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auto" w:fill="auto"/>
            <w:noWrap/>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[b]</w:t>
            </w:r>
          </w:p>
        </w:tc>
        <w:tc>
          <w:tcPr>
            <w:tcW w:w="1630" w:type="dxa"/>
            <w:shd w:val="clear" w:color="auto" w:fill="auto"/>
            <w:vAlign w:val="center"/>
          </w:tcPr>
          <w:p w:rsidR="00873770" w:rsidRPr="00A763FD" w:rsidRDefault="00873770" w:rsidP="00873770">
            <w:pPr>
              <w:jc w:val="center"/>
              <w:rPr>
                <w:color w:val="000000"/>
                <w:sz w:val="19"/>
                <w:szCs w:val="19"/>
              </w:rPr>
            </w:pPr>
            <w:r w:rsidRPr="00A763FD">
              <w:rPr>
                <w:color w:val="000000"/>
                <w:sz w:val="19"/>
                <w:szCs w:val="19"/>
              </w:rPr>
              <w:t>7.69%</w:t>
            </w:r>
            <w:r w:rsidRPr="00A763FD">
              <w:rPr>
                <w:bCs/>
                <w:color w:val="000000"/>
                <w:sz w:val="19"/>
                <w:szCs w:val="19"/>
                <w:vertAlign w:val="superscript"/>
              </w:rPr>
              <w:t>[b]</w:t>
            </w:r>
          </w:p>
        </w:tc>
      </w:tr>
      <w:tr w:rsidR="00A874AC" w:rsidRPr="00A763FD" w:rsidTr="00A763FD">
        <w:trPr>
          <w:trHeight w:val="489"/>
        </w:trPr>
        <w:tc>
          <w:tcPr>
            <w:tcW w:w="3051" w:type="dxa"/>
            <w:shd w:val="clear" w:color="000000" w:fill="D2EAF1"/>
            <w:vAlign w:val="center"/>
          </w:tcPr>
          <w:p w:rsidR="00873770" w:rsidRPr="00A763FD" w:rsidRDefault="00873770" w:rsidP="00873770">
            <w:pPr>
              <w:jc w:val="left"/>
              <w:rPr>
                <w:color w:val="000000"/>
                <w:sz w:val="19"/>
                <w:szCs w:val="19"/>
              </w:rPr>
            </w:pPr>
            <w:r w:rsidRPr="00A763FD">
              <w:rPr>
                <w:color w:val="000000"/>
                <w:sz w:val="19"/>
                <w:szCs w:val="19"/>
              </w:rPr>
              <w:t>School Benchmarking</w:t>
            </w:r>
          </w:p>
        </w:tc>
        <w:tc>
          <w:tcPr>
            <w:tcW w:w="1440"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GNI</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8.14%</w:t>
            </w:r>
          </w:p>
        </w:tc>
        <w:tc>
          <w:tcPr>
            <w:tcW w:w="1617" w:type="dxa"/>
            <w:shd w:val="clear" w:color="000000" w:fill="D2EAF1"/>
            <w:noWrap/>
            <w:vAlign w:val="center"/>
          </w:tcPr>
          <w:p w:rsidR="00873770" w:rsidRPr="00A763FD" w:rsidRDefault="00873770" w:rsidP="00873770">
            <w:pPr>
              <w:jc w:val="center"/>
              <w:rPr>
                <w:color w:val="000000"/>
                <w:sz w:val="19"/>
                <w:szCs w:val="19"/>
              </w:rPr>
            </w:pPr>
            <w:r w:rsidRPr="00A763FD">
              <w:rPr>
                <w:color w:val="000000"/>
                <w:sz w:val="19"/>
                <w:szCs w:val="19"/>
              </w:rPr>
              <w:t>5.86%</w:t>
            </w:r>
          </w:p>
        </w:tc>
        <w:tc>
          <w:tcPr>
            <w:tcW w:w="1630" w:type="dxa"/>
            <w:shd w:val="clear" w:color="000000" w:fill="D2EAF1"/>
            <w:vAlign w:val="center"/>
          </w:tcPr>
          <w:p w:rsidR="00873770" w:rsidRPr="00A763FD" w:rsidRDefault="00873770" w:rsidP="00873770">
            <w:pPr>
              <w:jc w:val="center"/>
              <w:rPr>
                <w:color w:val="000000"/>
                <w:sz w:val="19"/>
                <w:szCs w:val="19"/>
              </w:rPr>
            </w:pPr>
            <w:r w:rsidRPr="00A763FD">
              <w:rPr>
                <w:color w:val="000000"/>
                <w:sz w:val="19"/>
                <w:szCs w:val="19"/>
              </w:rPr>
              <w:t>5.86%</w:t>
            </w:r>
          </w:p>
        </w:tc>
      </w:tr>
      <w:tr w:rsidR="00E7173E" w:rsidRPr="00EA4A2F" w:rsidTr="00A763FD">
        <w:trPr>
          <w:trHeight w:val="302"/>
        </w:trPr>
        <w:tc>
          <w:tcPr>
            <w:tcW w:w="9355" w:type="dxa"/>
            <w:gridSpan w:val="5"/>
            <w:shd w:val="clear" w:color="auto" w:fill="448A99"/>
            <w:vAlign w:val="center"/>
          </w:tcPr>
          <w:p w:rsidR="00873770" w:rsidRPr="00EA4A2F" w:rsidRDefault="006142E6" w:rsidP="00873770">
            <w:pPr>
              <w:jc w:val="left"/>
              <w:rPr>
                <w:color w:val="FFFFFF"/>
                <w:sz w:val="18"/>
                <w:szCs w:val="19"/>
              </w:rPr>
            </w:pPr>
            <w:r w:rsidRPr="00EA4A2F">
              <w:rPr>
                <w:color w:val="FFFFFF"/>
                <w:sz w:val="18"/>
                <w:szCs w:val="19"/>
              </w:rPr>
              <w:t>NOTES:</w:t>
            </w:r>
          </w:p>
          <w:p w:rsidR="00873770" w:rsidRPr="00EA4A2F" w:rsidRDefault="00873770" w:rsidP="00873770">
            <w:pPr>
              <w:jc w:val="left"/>
              <w:rPr>
                <w:color w:val="FFFFFF"/>
                <w:sz w:val="18"/>
                <w:szCs w:val="19"/>
              </w:rPr>
            </w:pPr>
            <w:r w:rsidRPr="00EA4A2F">
              <w:rPr>
                <w:color w:val="FFFFFF"/>
                <w:sz w:val="18"/>
                <w:szCs w:val="19"/>
              </w:rPr>
              <w:t>[a]</w:t>
            </w:r>
            <w:r w:rsidR="008111EC" w:rsidRPr="00EA4A2F">
              <w:rPr>
                <w:color w:val="FFFFFF"/>
                <w:sz w:val="18"/>
                <w:szCs w:val="19"/>
              </w:rPr>
              <w:t xml:space="preserve"> </w:t>
            </w:r>
            <w:r w:rsidRPr="00EA4A2F">
              <w:rPr>
                <w:color w:val="FFFFFF"/>
                <w:sz w:val="18"/>
                <w:szCs w:val="19"/>
              </w:rPr>
              <w:t>PPL’s PY7 annual report shows line losses that are treated as a multiplier (i.e. 1.0833) in their TRC model. SWE has converted the multiplier to a LLF for consistency in reporting across EDCs</w:t>
            </w:r>
          </w:p>
          <w:p w:rsidR="00873770" w:rsidRPr="00EA4A2F" w:rsidRDefault="00873770" w:rsidP="00873770">
            <w:pPr>
              <w:jc w:val="left"/>
              <w:rPr>
                <w:color w:val="FFFFFF"/>
                <w:sz w:val="18"/>
                <w:szCs w:val="19"/>
              </w:rPr>
            </w:pPr>
            <w:r w:rsidRPr="00EA4A2F">
              <w:rPr>
                <w:color w:val="FFFFFF"/>
                <w:sz w:val="18"/>
                <w:szCs w:val="19"/>
              </w:rPr>
              <w:t>[b]</w:t>
            </w:r>
            <w:r w:rsidR="008111EC" w:rsidRPr="00EA4A2F">
              <w:rPr>
                <w:color w:val="FFFFFF"/>
                <w:sz w:val="18"/>
                <w:szCs w:val="19"/>
              </w:rPr>
              <w:t xml:space="preserve"> </w:t>
            </w:r>
            <w:r w:rsidRPr="00EA4A2F">
              <w:rPr>
                <w:color w:val="FFFFFF"/>
                <w:sz w:val="18"/>
                <w:szCs w:val="19"/>
              </w:rPr>
              <w:t>Program includes savings across multiple sectors. Additional sector LLFs may include commercial (7.69%), industrial (3.96%), and GNI (5.86%).</w:t>
            </w:r>
          </w:p>
          <w:p w:rsidR="00873770" w:rsidRPr="00EA4A2F" w:rsidRDefault="00873770" w:rsidP="00873770">
            <w:pPr>
              <w:jc w:val="left"/>
              <w:rPr>
                <w:b/>
                <w:color w:val="FFFFFF"/>
                <w:sz w:val="18"/>
                <w:szCs w:val="19"/>
              </w:rPr>
            </w:pPr>
            <w:r w:rsidRPr="00EA4A2F">
              <w:rPr>
                <w:color w:val="FFFFFF"/>
                <w:sz w:val="18"/>
                <w:szCs w:val="19"/>
              </w:rPr>
              <w:t>[c] The value presented in the table is the value that ultimately was used in the calculations. This value,</w:t>
            </w:r>
            <w:r w:rsidRPr="00EA4A2F" w:rsidDel="00AD144F">
              <w:rPr>
                <w:color w:val="FFFFFF"/>
                <w:sz w:val="18"/>
                <w:szCs w:val="19"/>
              </w:rPr>
              <w:t xml:space="preserve"> </w:t>
            </w:r>
            <w:r w:rsidRPr="00EA4A2F">
              <w:rPr>
                <w:color w:val="FFFFFF"/>
                <w:sz w:val="18"/>
                <w:szCs w:val="19"/>
              </w:rPr>
              <w:t>however, does not agree with LLF definitions in the PPL PY6 annual report.</w:t>
            </w:r>
          </w:p>
        </w:tc>
      </w:tr>
    </w:tbl>
    <w:p w:rsidR="00D77B11" w:rsidRDefault="00D77B11" w:rsidP="00873770"/>
    <w:p w:rsidR="00873770" w:rsidRPr="00873770" w:rsidRDefault="00873770" w:rsidP="00873770">
      <w:r w:rsidRPr="00873770">
        <w:t>Cadmus assigned an EUL to each measure in PPL’s EE&amp;C portfolio in order to determine the number of years of saving to attribute to that measure. The SWE Team checked the measure lives in the PPL TRC model against the measure lives in the 2013 TRM and found negligible variances.</w:t>
      </w:r>
      <w:r w:rsidRPr="00873770">
        <w:rPr>
          <w:vertAlign w:val="superscript"/>
        </w:rPr>
        <w:footnoteReference w:id="74"/>
      </w:r>
      <w:r w:rsidRPr="00873770">
        <w:t xml:space="preserve"> The measure lives applied to custom measures not explicitly stated in the TRM were found to be reasonable.</w:t>
      </w:r>
    </w:p>
    <w:p w:rsidR="00873770" w:rsidRPr="00873770" w:rsidRDefault="00873770" w:rsidP="00873770">
      <w:pPr>
        <w:rPr>
          <w:highlight w:val="lightGray"/>
        </w:rPr>
      </w:pPr>
    </w:p>
    <w:p w:rsidR="00873770" w:rsidRPr="00873770" w:rsidRDefault="00873770" w:rsidP="00873770">
      <w:r w:rsidRPr="00873770">
        <w:t xml:space="preserve">Incremental costs for all rebated measures were typically sourced from the SWE incremental cost database, with other measure cost data sourced in Appendix B of PPL’s PY7 </w:t>
      </w:r>
      <w:r w:rsidR="00FD03DC">
        <w:t>a</w:t>
      </w:r>
      <w:r w:rsidRPr="00873770">
        <w:t>nnual</w:t>
      </w:r>
      <w:r w:rsidR="00FD03DC">
        <w:t xml:space="preserve"> r</w:t>
      </w:r>
      <w:r w:rsidRPr="00873770">
        <w:t xml:space="preserve">eport. For these measures, several different methods were used to assign incremental costs in the PPL TRC model. For Prescriptive Equipment programs, incremental costs for New Construction lighting measures (excluding exterior lighting) were based on Energy Trust of Oregon’s average cost per square foot for 20% lighting power density (LPD) reduction adjusted linearly for project-specific LPD reductions. Incremental costs for retrofit lighting fixtures, controls, residential retail lighting, and custom projects were determined through an analysis of the project files and invoices.  </w:t>
      </w:r>
    </w:p>
    <w:p w:rsidR="00873770" w:rsidRPr="00873770" w:rsidRDefault="00873770" w:rsidP="00873770">
      <w:pPr>
        <w:rPr>
          <w:highlight w:val="lightGray"/>
        </w:rPr>
      </w:pPr>
    </w:p>
    <w:p w:rsidR="00873770" w:rsidRPr="00873770" w:rsidRDefault="00873770" w:rsidP="00873770">
      <w:r w:rsidRPr="00873770">
        <w:t>The PPL TRC analysis was based on ex post verified savings, as required by the TRC Order. Cadmus adjusted measure impacts by an applicable realization rate. Cadmus calculated realization rates by program, sector, and stratum. Realization rates for demand impacts were calculated separately and were used to adjust the reported demand impacts prior to entering them into the TRC calculations. The energy and demand impacts in the tracking databases were calculated at the meter level, and a LLF was appropriately applied prior to the calculation of avoided cost benefits.</w:t>
      </w:r>
    </w:p>
    <w:p w:rsidR="00873770" w:rsidRPr="00873770" w:rsidRDefault="00873770" w:rsidP="00873770"/>
    <w:p w:rsidR="00873770" w:rsidRPr="00873770" w:rsidRDefault="00F4658E" w:rsidP="00873770">
      <w:r w:rsidRPr="00873770">
        <w:t xml:space="preserve">The SWE Team found the energy and demand impacts used in the PPL TRC model to be generally consistent with those provided in the program tracking databases, with one minor exception. The PPL PY7 </w:t>
      </w:r>
      <w:r w:rsidR="00D92D74">
        <w:t>a</w:t>
      </w:r>
      <w:r w:rsidRPr="00873770">
        <w:t xml:space="preserve">nnual </w:t>
      </w:r>
      <w:r w:rsidR="00D92D74">
        <w:t>r</w:t>
      </w:r>
      <w:r w:rsidRPr="00873770">
        <w:t>eport adjust</w:t>
      </w:r>
      <w:r>
        <w:t>ed</w:t>
      </w:r>
      <w:r w:rsidRPr="00873770">
        <w:t xml:space="preserve"> portfolio savings by 3,385 MWh</w:t>
      </w:r>
      <w:r>
        <w:t>/yr</w:t>
      </w:r>
      <w:r w:rsidRPr="00873770">
        <w:t xml:space="preserve"> to reflect potential double-counting from the Residential Energy-Efficiency Behavior &amp; Education program, but no similar adjustment was observed in the TRC model review.  This variance is expected to impact the TRC benefits and TRC ratios for PY7 by less than 1%</w:t>
      </w:r>
      <w:r>
        <w:t>, and would not materially impact the overall TRC ratio.</w:t>
      </w:r>
      <w:r w:rsidR="00873770" w:rsidRPr="00873770">
        <w:t xml:space="preserve">  </w:t>
      </w:r>
    </w:p>
    <w:p w:rsidR="00D92D74" w:rsidRPr="00873770" w:rsidRDefault="00D92D74" w:rsidP="00873770"/>
    <w:p w:rsidR="00873770" w:rsidRPr="00873770" w:rsidRDefault="00873770" w:rsidP="00873770">
      <w:r w:rsidRPr="00873770">
        <w:t>As in prior Phase II years, the 2015 TRM specifically instructed EDCs to account for dual baselines with regard to T12 linear fluorescent replacements. The dual baseline adjustment impacts the lifetime energy and demand savings of measures but does not impact first-year savings for PY</w:t>
      </w:r>
      <w:r w:rsidR="00F4658E">
        <w:t>7</w:t>
      </w:r>
      <w:r w:rsidRPr="00873770">
        <w:t>. EDCs may choose to reflect the dual baselines either by applying savings adjustment factors or by reducing the EUL to adjust lifetime savings. The PPL TRC model uses a savings adjustment to account for the dual baseline measures, consistent with the guidance provided in the 2015 TRM.</w:t>
      </w:r>
    </w:p>
    <w:p w:rsidR="00D77B11" w:rsidRPr="00873770" w:rsidRDefault="00D77B11" w:rsidP="00873770"/>
    <w:p w:rsidR="00950837" w:rsidRDefault="00950837" w:rsidP="009C0DF1">
      <w:pPr>
        <w:pStyle w:val="AppendixAHeading3"/>
      </w:pPr>
      <w:r>
        <w:t xml:space="preserve">Avoided Cost of </w:t>
      </w:r>
      <w:r w:rsidR="00873770">
        <w:t xml:space="preserve">Energy and </w:t>
      </w:r>
      <w:r>
        <w:t>Capacity</w:t>
      </w:r>
    </w:p>
    <w:p w:rsidR="00873770" w:rsidRDefault="00873770" w:rsidP="00873770">
      <w:r w:rsidRPr="00873770">
        <w:t xml:space="preserve">Consistent with prior Phase II program years, the PY7 </w:t>
      </w:r>
      <w:r w:rsidR="00974E32">
        <w:t xml:space="preserve">PPL </w:t>
      </w:r>
      <w:r w:rsidRPr="00873770">
        <w:t xml:space="preserve">TRC </w:t>
      </w:r>
      <w:r w:rsidR="003E6CCF">
        <w:t>m</w:t>
      </w:r>
      <w:r w:rsidRPr="00873770">
        <w:t>odels use the Phase II approved avoided costs of energy and capacity.  The PY7 models were updated to select the appropriate PY7 stream of avoided costs.</w:t>
      </w:r>
    </w:p>
    <w:p w:rsidR="00873770" w:rsidRPr="00873770" w:rsidRDefault="00873770" w:rsidP="00873770">
      <w:r w:rsidRPr="00873770">
        <w:t xml:space="preserve">  </w:t>
      </w:r>
    </w:p>
    <w:p w:rsidR="00950837" w:rsidRDefault="00950837" w:rsidP="009C0DF1">
      <w:pPr>
        <w:pStyle w:val="AppendixAHeading3"/>
      </w:pPr>
      <w:r>
        <w:t>Conclusions and Recommendations</w:t>
      </w:r>
    </w:p>
    <w:p w:rsidR="00873770" w:rsidRDefault="00873770" w:rsidP="00873770">
      <w:r w:rsidRPr="00873770">
        <w:t>The PPL TRC model was transparent, and the SWE observed no significant changes in the TRC model during Phase II. The SWE Team determined that the PPL TRC model provided the requested details regarding the determination of financial benefits from energy and demand impacts. The SWE review determined that there were minor differences (less than 1%) between the modeled energy and demand savings and the verified energy and demand savings in the PY7 report. The SWE believes the PY7 TRC benefits, costs, and ratios to be reasonable and accurate.</w:t>
      </w:r>
    </w:p>
    <w:p w:rsidR="00873770" w:rsidRPr="00873770" w:rsidRDefault="00873770" w:rsidP="00873770"/>
    <w:p w:rsidR="00950837" w:rsidRDefault="00950837" w:rsidP="000D3563">
      <w:pPr>
        <w:pStyle w:val="AppendixAHeading2"/>
      </w:pPr>
      <w:r>
        <w:t>Status of Evaluation Activities</w:t>
      </w:r>
    </w:p>
    <w:p w:rsidR="001B5BFF" w:rsidRDefault="001B5BFF" w:rsidP="001B5BFF">
      <w:r w:rsidRPr="001B5BFF">
        <w:t>This section discusses the status of PPL’s EM&amp;V plans, M&amp;V activities and findings, and process evaluation activities and findings.</w:t>
      </w:r>
    </w:p>
    <w:p w:rsidR="00A763FD" w:rsidRPr="001B5BFF" w:rsidRDefault="00A763FD" w:rsidP="001B5BFF"/>
    <w:p w:rsidR="00950837" w:rsidRDefault="00950837" w:rsidP="009C0DF1">
      <w:pPr>
        <w:pStyle w:val="AppendixAHeading3"/>
      </w:pPr>
      <w:r>
        <w:t>Status of Evaluation, Measurement</w:t>
      </w:r>
      <w:r w:rsidR="003E6CCF">
        <w:t>,</w:t>
      </w:r>
      <w:r>
        <w:t xml:space="preserve"> and Verification Plans</w:t>
      </w:r>
    </w:p>
    <w:p w:rsidR="00496A99" w:rsidRPr="009472F6" w:rsidRDefault="00015AFB" w:rsidP="00496A99">
      <w:pPr>
        <w:pStyle w:val="bullettext"/>
      </w:pPr>
      <w:r w:rsidRPr="009472F6">
        <w:t xml:space="preserve">The standardization of evaluation protocols across EDCs was outlined in the Phase II Evaluation Framework in order to create consistency in evaluation practices across EDCs. The </w:t>
      </w:r>
      <w:r>
        <w:t xml:space="preserve">initial Phase II </w:t>
      </w:r>
      <w:r w:rsidRPr="009472F6">
        <w:t>SWE Evaluation Framework was finalized and published on June 28, 2013.</w:t>
      </w:r>
      <w:r>
        <w:t xml:space="preserve"> The Phase II SWE published an updated Evaluation Framework on July 14, 2015. Both Phase II Evaluation F</w:t>
      </w:r>
      <w:r w:rsidRPr="009472F6">
        <w:t xml:space="preserve">ramework </w:t>
      </w:r>
      <w:r>
        <w:t xml:space="preserve">documents </w:t>
      </w:r>
      <w:r w:rsidRPr="009472F6">
        <w:t xml:space="preserve">required each EDC to complete an initial evaluation plan for each program in </w:t>
      </w:r>
      <w:r>
        <w:t>its</w:t>
      </w:r>
      <w:r w:rsidRPr="009472F6">
        <w:t xml:space="preserve"> portfolio</w:t>
      </w:r>
      <w:r>
        <w:rPr>
          <w:rStyle w:val="FootnoteReference"/>
        </w:rPr>
        <w:footnoteReference w:id="75"/>
      </w:r>
      <w:r>
        <w:t>,</w:t>
      </w:r>
      <w:r w:rsidRPr="009472F6">
        <w:t xml:space="preserve"> addressing the following objectives</w:t>
      </w:r>
      <w:r w:rsidR="00496A99" w:rsidRPr="009472F6">
        <w:t>:</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Outline gross impact evaluation methodology</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Outline NTG analysis methodology</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Outline process evaluation methodology</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Outline cost-effectiveness evaluation methodology</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015AFB" w:rsidRPr="008A5E9E" w:rsidRDefault="00015AFB" w:rsidP="00E646C9">
      <w:pPr>
        <w:numPr>
          <w:ilvl w:val="0"/>
          <w:numId w:val="42"/>
        </w:numPr>
        <w:ind w:left="360"/>
        <w:rPr>
          <w:color w:val="000000"/>
          <w:szCs w:val="20"/>
        </w:rPr>
      </w:pPr>
      <w:r w:rsidRPr="008A5E9E">
        <w:rPr>
          <w:color w:val="000000"/>
          <w:szCs w:val="20"/>
        </w:rPr>
        <w:t>Establish key program contacts</w:t>
      </w:r>
    </w:p>
    <w:p w:rsidR="00496A99" w:rsidRPr="00401F84" w:rsidRDefault="00496A99" w:rsidP="00496A99"/>
    <w:p w:rsidR="00015AFB" w:rsidRDefault="00015AFB" w:rsidP="00015AFB">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496A99" w:rsidRDefault="00496A99" w:rsidP="009847AC"/>
    <w:bookmarkStart w:id="1275" w:name="_Ref406411164"/>
    <w:bookmarkStart w:id="1276" w:name="_Toc408557553"/>
    <w:bookmarkStart w:id="1277" w:name="_Toc408999429"/>
    <w:p w:rsidR="00015AFB" w:rsidRDefault="00FA1E14" w:rsidP="00015AFB">
      <w:pPr>
        <w:rPr>
          <w:color w:val="000000"/>
        </w:rPr>
      </w:pPr>
      <w:r>
        <w:rPr>
          <w:color w:val="000000"/>
        </w:rPr>
        <w:fldChar w:fldCharType="begin"/>
      </w:r>
      <w:r>
        <w:rPr>
          <w:color w:val="000000"/>
        </w:rPr>
        <w:instrText xml:space="preserve"> REF _Ref472360493 \h </w:instrText>
      </w:r>
      <w:r>
        <w:rPr>
          <w:color w:val="000000"/>
        </w:rPr>
      </w:r>
      <w:r>
        <w:rPr>
          <w:color w:val="000000"/>
        </w:rPr>
        <w:fldChar w:fldCharType="separate"/>
      </w:r>
      <w:r w:rsidR="00037CB4">
        <w:t>Table A-</w:t>
      </w:r>
      <w:r w:rsidR="00037CB4">
        <w:rPr>
          <w:noProof/>
        </w:rPr>
        <w:t>139</w:t>
      </w:r>
      <w:r>
        <w:rPr>
          <w:color w:val="000000"/>
        </w:rPr>
        <w:fldChar w:fldCharType="end"/>
      </w:r>
      <w:r>
        <w:rPr>
          <w:color w:val="000000"/>
        </w:rPr>
        <w:t xml:space="preserve"> </w:t>
      </w:r>
      <w:r w:rsidR="00015AFB" w:rsidRPr="008A5E9E">
        <w:rPr>
          <w:color w:val="000000"/>
        </w:rPr>
        <w:t>displays key milestones completed</w:t>
      </w:r>
      <w:r w:rsidR="00015AFB">
        <w:rPr>
          <w:color w:val="000000"/>
        </w:rPr>
        <w:t xml:space="preserve"> </w:t>
      </w:r>
      <w:r w:rsidR="00015AFB" w:rsidRPr="009472F6">
        <w:t xml:space="preserve">by </w:t>
      </w:r>
      <w:r w:rsidR="00015AFB">
        <w:t>PPL</w:t>
      </w:r>
      <w:r w:rsidR="00015AFB" w:rsidRPr="009472F6">
        <w:t xml:space="preserve"> and the SWE</w:t>
      </w:r>
      <w:r w:rsidR="00015AFB">
        <w:rPr>
          <w:color w:val="000000"/>
        </w:rPr>
        <w:t xml:space="preserve"> for the company’s </w:t>
      </w:r>
      <w:r w:rsidR="00015AFB" w:rsidRPr="00F46239">
        <w:rPr>
          <w:color w:val="000000"/>
        </w:rPr>
        <w:t xml:space="preserve">Phase II EM&amp;V Plan. The SWE is presenting information on all revisions to this EM&amp;V Plan that have occurred </w:t>
      </w:r>
      <w:r w:rsidR="00015AFB">
        <w:rPr>
          <w:color w:val="000000"/>
        </w:rPr>
        <w:t>during Phase II</w:t>
      </w:r>
      <w:r w:rsidR="00015AFB" w:rsidRPr="00F46239">
        <w:rPr>
          <w:color w:val="000000"/>
        </w:rPr>
        <w:t xml:space="preserve"> in order to provide a complete picture of the evolution of this plan during Phase II to date</w:t>
      </w:r>
      <w:r w:rsidR="00015AFB" w:rsidRPr="008A5E9E">
        <w:rPr>
          <w:color w:val="000000"/>
        </w:rPr>
        <w:t>.</w:t>
      </w:r>
      <w:r w:rsidR="00015AFB">
        <w:rPr>
          <w:color w:val="000000"/>
        </w:rPr>
        <w:t xml:space="preserve"> </w:t>
      </w:r>
    </w:p>
    <w:bookmarkEnd w:id="1275"/>
    <w:bookmarkEnd w:id="1276"/>
    <w:bookmarkEnd w:id="1277"/>
    <w:p w:rsidR="00DD3B6D" w:rsidRPr="008A5E9E" w:rsidRDefault="00DD3B6D" w:rsidP="00DD3B6D">
      <w:pPr>
        <w:jc w:val="center"/>
        <w:rPr>
          <w:color w:val="000000"/>
        </w:rPr>
      </w:pPr>
    </w:p>
    <w:p w:rsidR="00DD3B6D" w:rsidRPr="008A5E9E" w:rsidRDefault="00FA1E14" w:rsidP="004837FA">
      <w:pPr>
        <w:pStyle w:val="Caption"/>
        <w:rPr>
          <w:color w:val="000000"/>
          <w14:textFill>
            <w14:solidFill>
              <w14:srgbClr w14:val="000000">
                <w14:lumMod w14:val="75000"/>
                <w14:lumOff w14:val="25000"/>
              </w14:srgbClr>
            </w14:solidFill>
          </w14:textFill>
        </w:rPr>
      </w:pPr>
      <w:bookmarkStart w:id="1278" w:name="_Ref472360493"/>
      <w:bookmarkStart w:id="1279" w:name="_Toc445206263"/>
      <w:bookmarkStart w:id="1280" w:name="_Toc472472548"/>
      <w:bookmarkStart w:id="1281" w:name="_Toc488741967"/>
      <w:r>
        <w:t>Table A-</w:t>
      </w:r>
      <w:r w:rsidR="007973A4">
        <w:fldChar w:fldCharType="begin"/>
      </w:r>
      <w:r w:rsidR="007973A4">
        <w:instrText xml:space="preserve"> SEQ Table_A- \* ARABIC </w:instrText>
      </w:r>
      <w:r w:rsidR="007973A4">
        <w:fldChar w:fldCharType="separate"/>
      </w:r>
      <w:r w:rsidR="00037CB4">
        <w:rPr>
          <w:noProof/>
        </w:rPr>
        <w:t>139</w:t>
      </w:r>
      <w:r w:rsidR="007973A4">
        <w:rPr>
          <w:noProof/>
        </w:rPr>
        <w:fldChar w:fldCharType="end"/>
      </w:r>
      <w:bookmarkEnd w:id="1278"/>
      <w:r w:rsidR="00DD3B6D" w:rsidRPr="00724792">
        <w:t>: Key Milestones Reached for PPL’s Phase II EM&amp;V Plan</w:t>
      </w:r>
      <w:bookmarkEnd w:id="1279"/>
      <w:bookmarkEnd w:id="1280"/>
      <w:bookmarkEnd w:id="1281"/>
    </w:p>
    <w:tbl>
      <w:tblPr>
        <w:tblW w:w="9355" w:type="dxa"/>
        <w:tblLayout w:type="fixed"/>
        <w:tblLook w:val="04A0" w:firstRow="1" w:lastRow="0" w:firstColumn="1" w:lastColumn="0" w:noHBand="0" w:noVBand="1"/>
      </w:tblPr>
      <w:tblGrid>
        <w:gridCol w:w="1975"/>
        <w:gridCol w:w="7380"/>
      </w:tblGrid>
      <w:tr w:rsidR="00015AFB" w:rsidRPr="00A763FD" w:rsidTr="00FD03DC">
        <w:trPr>
          <w:cantSplit/>
          <w:trHeight w:val="197"/>
          <w:tblHeader/>
        </w:trPr>
        <w:tc>
          <w:tcPr>
            <w:tcW w:w="197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015AFB" w:rsidRPr="00A763FD" w:rsidRDefault="00015AFB" w:rsidP="00C0310F">
            <w:pPr>
              <w:jc w:val="left"/>
              <w:rPr>
                <w:b/>
                <w:bCs/>
                <w:color w:val="FFFFFF"/>
                <w:sz w:val="19"/>
                <w:szCs w:val="19"/>
              </w:rPr>
            </w:pPr>
            <w:r w:rsidRPr="00A763FD">
              <w:rPr>
                <w:b/>
                <w:bCs/>
                <w:color w:val="FFFFFF"/>
                <w:sz w:val="19"/>
                <w:szCs w:val="19"/>
              </w:rPr>
              <w:t>Date</w:t>
            </w:r>
          </w:p>
        </w:tc>
        <w:tc>
          <w:tcPr>
            <w:tcW w:w="7380" w:type="dxa"/>
            <w:tcBorders>
              <w:top w:val="single" w:sz="4" w:space="0" w:color="448A99"/>
              <w:left w:val="nil"/>
              <w:bottom w:val="single" w:sz="4" w:space="0" w:color="448A99"/>
              <w:right w:val="single" w:sz="4" w:space="0" w:color="448A99"/>
            </w:tcBorders>
            <w:shd w:val="clear" w:color="000000" w:fill="448A99"/>
            <w:vAlign w:val="bottom"/>
          </w:tcPr>
          <w:p w:rsidR="00015AFB" w:rsidRPr="00A763FD" w:rsidRDefault="00015AFB" w:rsidP="00C0310F">
            <w:pPr>
              <w:jc w:val="left"/>
              <w:rPr>
                <w:b/>
                <w:bCs/>
                <w:color w:val="FFFFFF"/>
                <w:sz w:val="19"/>
                <w:szCs w:val="19"/>
              </w:rPr>
            </w:pPr>
            <w:r w:rsidRPr="00A763FD">
              <w:rPr>
                <w:b/>
                <w:bCs/>
                <w:color w:val="FFFFFF"/>
                <w:sz w:val="19"/>
                <w:szCs w:val="19"/>
              </w:rPr>
              <w:t>Event</w:t>
            </w:r>
          </w:p>
        </w:tc>
      </w:tr>
      <w:tr w:rsidR="00015AFB" w:rsidRPr="00A763FD" w:rsidTr="00FD03DC">
        <w:trPr>
          <w:trHeight w:val="300"/>
        </w:trPr>
        <w:tc>
          <w:tcPr>
            <w:tcW w:w="1975" w:type="dxa"/>
            <w:tcBorders>
              <w:top w:val="nil"/>
              <w:left w:val="single" w:sz="4" w:space="0" w:color="448A99"/>
              <w:bottom w:val="single" w:sz="4" w:space="0" w:color="448A99"/>
              <w:right w:val="single" w:sz="4" w:space="0" w:color="448A99"/>
            </w:tcBorders>
            <w:shd w:val="clear" w:color="auto" w:fill="D2EAF1"/>
          </w:tcPr>
          <w:p w:rsidR="00015AFB" w:rsidRPr="00A763FD" w:rsidRDefault="00015AFB" w:rsidP="00C0310F">
            <w:pPr>
              <w:jc w:val="left"/>
              <w:rPr>
                <w:bCs/>
                <w:color w:val="000000"/>
                <w:sz w:val="19"/>
                <w:szCs w:val="19"/>
              </w:rPr>
            </w:pPr>
            <w:r w:rsidRPr="00A763FD">
              <w:rPr>
                <w:sz w:val="19"/>
                <w:szCs w:val="19"/>
              </w:rPr>
              <w:t>June 1, 2013</w:t>
            </w:r>
          </w:p>
        </w:tc>
        <w:tc>
          <w:tcPr>
            <w:tcW w:w="7380" w:type="dxa"/>
            <w:tcBorders>
              <w:top w:val="nil"/>
              <w:left w:val="nil"/>
              <w:bottom w:val="single" w:sz="4" w:space="0" w:color="448A99"/>
              <w:right w:val="single" w:sz="4" w:space="0" w:color="448A99"/>
            </w:tcBorders>
            <w:shd w:val="clear" w:color="auto" w:fill="D2EAF1"/>
          </w:tcPr>
          <w:p w:rsidR="00015AFB" w:rsidRPr="00A763FD" w:rsidRDefault="00015AFB" w:rsidP="00C0310F">
            <w:pPr>
              <w:jc w:val="left"/>
              <w:rPr>
                <w:color w:val="000000"/>
                <w:sz w:val="19"/>
                <w:szCs w:val="19"/>
              </w:rPr>
            </w:pPr>
            <w:r w:rsidRPr="00A763FD" w:rsidDel="004840B6">
              <w:rPr>
                <w:sz w:val="19"/>
                <w:szCs w:val="19"/>
              </w:rPr>
              <w:t>P</w:t>
            </w:r>
            <w:r w:rsidRPr="00A763FD">
              <w:rPr>
                <w:sz w:val="19"/>
                <w:szCs w:val="19"/>
              </w:rPr>
              <w:t>Y5 starts</w:t>
            </w:r>
          </w:p>
        </w:tc>
      </w:tr>
      <w:tr w:rsidR="00015AFB" w:rsidRPr="00A763FD" w:rsidTr="00FD03DC">
        <w:trPr>
          <w:trHeight w:val="300"/>
        </w:trPr>
        <w:tc>
          <w:tcPr>
            <w:tcW w:w="1975" w:type="dxa"/>
            <w:tcBorders>
              <w:top w:val="nil"/>
              <w:left w:val="single" w:sz="4" w:space="0" w:color="448A99"/>
              <w:bottom w:val="single" w:sz="4" w:space="0" w:color="448A99"/>
              <w:right w:val="single" w:sz="4" w:space="0" w:color="448A99"/>
            </w:tcBorders>
            <w:shd w:val="clear" w:color="auto" w:fill="auto"/>
          </w:tcPr>
          <w:p w:rsidR="00015AFB" w:rsidRPr="00A763FD" w:rsidRDefault="00015AFB" w:rsidP="00C0310F">
            <w:pPr>
              <w:jc w:val="left"/>
              <w:rPr>
                <w:bCs/>
                <w:color w:val="000000"/>
                <w:sz w:val="19"/>
                <w:szCs w:val="19"/>
                <w:lang w:eastAsia="zh-CN"/>
              </w:rPr>
            </w:pPr>
            <w:r w:rsidRPr="00A763FD">
              <w:rPr>
                <w:sz w:val="19"/>
                <w:szCs w:val="19"/>
              </w:rPr>
              <w:t>August 30, 2013</w:t>
            </w:r>
          </w:p>
        </w:tc>
        <w:tc>
          <w:tcPr>
            <w:tcW w:w="7380" w:type="dxa"/>
            <w:tcBorders>
              <w:top w:val="nil"/>
              <w:left w:val="nil"/>
              <w:bottom w:val="single" w:sz="4" w:space="0" w:color="448A99"/>
              <w:right w:val="single" w:sz="4" w:space="0" w:color="448A99"/>
            </w:tcBorders>
            <w:shd w:val="clear" w:color="auto" w:fill="auto"/>
          </w:tcPr>
          <w:p w:rsidR="00015AFB" w:rsidRPr="00A763FD" w:rsidRDefault="00015AFB" w:rsidP="00C0310F">
            <w:pPr>
              <w:jc w:val="left"/>
              <w:rPr>
                <w:color w:val="000000"/>
                <w:sz w:val="19"/>
                <w:szCs w:val="19"/>
              </w:rPr>
            </w:pPr>
            <w:r w:rsidRPr="00A763FD">
              <w:rPr>
                <w:sz w:val="19"/>
                <w:szCs w:val="19"/>
              </w:rPr>
              <w:t>PPL submits first draft of Phase II evaluation plan to the PUC and SWE</w:t>
            </w:r>
          </w:p>
        </w:tc>
      </w:tr>
      <w:tr w:rsidR="00015AFB" w:rsidRPr="00A763FD" w:rsidTr="00FD03DC">
        <w:trPr>
          <w:trHeight w:val="300"/>
        </w:trPr>
        <w:tc>
          <w:tcPr>
            <w:tcW w:w="1975" w:type="dxa"/>
            <w:tcBorders>
              <w:top w:val="nil"/>
              <w:left w:val="single" w:sz="4" w:space="0" w:color="448A99"/>
              <w:bottom w:val="single" w:sz="4" w:space="0" w:color="448A99"/>
              <w:right w:val="single" w:sz="4" w:space="0" w:color="448A99"/>
            </w:tcBorders>
            <w:shd w:val="clear" w:color="auto" w:fill="D2EAF1"/>
          </w:tcPr>
          <w:p w:rsidR="00015AFB" w:rsidRPr="00A763FD" w:rsidRDefault="00015AFB" w:rsidP="00C0310F">
            <w:pPr>
              <w:jc w:val="left"/>
              <w:rPr>
                <w:bCs/>
                <w:color w:val="000000"/>
                <w:sz w:val="19"/>
                <w:szCs w:val="19"/>
                <w:lang w:eastAsia="zh-CN"/>
              </w:rPr>
            </w:pPr>
            <w:r w:rsidRPr="00A763FD">
              <w:rPr>
                <w:sz w:val="19"/>
                <w:szCs w:val="19"/>
              </w:rPr>
              <w:t>October 15, 2013</w:t>
            </w:r>
          </w:p>
        </w:tc>
        <w:tc>
          <w:tcPr>
            <w:tcW w:w="7380" w:type="dxa"/>
            <w:tcBorders>
              <w:top w:val="nil"/>
              <w:left w:val="nil"/>
              <w:bottom w:val="single" w:sz="4" w:space="0" w:color="448A99"/>
              <w:right w:val="single" w:sz="4" w:space="0" w:color="448A99"/>
            </w:tcBorders>
            <w:shd w:val="clear" w:color="auto" w:fill="D2EAF1"/>
          </w:tcPr>
          <w:p w:rsidR="00015AFB" w:rsidRPr="00A763FD" w:rsidRDefault="00015AFB" w:rsidP="00C0310F">
            <w:pPr>
              <w:jc w:val="left"/>
              <w:rPr>
                <w:color w:val="000000"/>
                <w:sz w:val="19"/>
                <w:szCs w:val="19"/>
              </w:rPr>
            </w:pPr>
            <w:r w:rsidRPr="00A763FD">
              <w:rPr>
                <w:sz w:val="19"/>
                <w:szCs w:val="19"/>
              </w:rPr>
              <w:t>SWE returns comments on the PPL evaluation plan to PPL</w:t>
            </w:r>
          </w:p>
        </w:tc>
      </w:tr>
      <w:tr w:rsidR="00015AFB" w:rsidRPr="00A763FD" w:rsidTr="00FD03DC">
        <w:trPr>
          <w:trHeight w:val="300"/>
        </w:trPr>
        <w:tc>
          <w:tcPr>
            <w:tcW w:w="1975" w:type="dxa"/>
            <w:tcBorders>
              <w:top w:val="nil"/>
              <w:left w:val="single" w:sz="4" w:space="0" w:color="448A99"/>
              <w:bottom w:val="single" w:sz="4" w:space="0" w:color="448A99"/>
              <w:right w:val="single" w:sz="4" w:space="0" w:color="448A99"/>
            </w:tcBorders>
            <w:shd w:val="clear" w:color="auto" w:fill="auto"/>
          </w:tcPr>
          <w:p w:rsidR="00015AFB" w:rsidRPr="00A763FD" w:rsidRDefault="00015AFB" w:rsidP="00C0310F">
            <w:pPr>
              <w:jc w:val="left"/>
              <w:rPr>
                <w:bCs/>
                <w:color w:val="000000"/>
                <w:sz w:val="19"/>
                <w:szCs w:val="19"/>
                <w:lang w:eastAsia="zh-CN"/>
              </w:rPr>
            </w:pPr>
            <w:r w:rsidRPr="00A763FD">
              <w:rPr>
                <w:sz w:val="19"/>
                <w:szCs w:val="19"/>
              </w:rPr>
              <w:t>January 31, 2014</w:t>
            </w:r>
          </w:p>
        </w:tc>
        <w:tc>
          <w:tcPr>
            <w:tcW w:w="7380" w:type="dxa"/>
            <w:tcBorders>
              <w:top w:val="nil"/>
              <w:left w:val="nil"/>
              <w:bottom w:val="single" w:sz="4" w:space="0" w:color="448A99"/>
              <w:right w:val="single" w:sz="4" w:space="0" w:color="448A99"/>
            </w:tcBorders>
            <w:shd w:val="clear" w:color="auto" w:fill="auto"/>
          </w:tcPr>
          <w:p w:rsidR="00015AFB" w:rsidRPr="00A763FD" w:rsidRDefault="00015AFB" w:rsidP="00C0310F">
            <w:pPr>
              <w:jc w:val="left"/>
              <w:rPr>
                <w:color w:val="000000"/>
                <w:sz w:val="19"/>
                <w:szCs w:val="19"/>
              </w:rPr>
            </w:pPr>
            <w:r w:rsidRPr="00A763FD">
              <w:rPr>
                <w:sz w:val="19"/>
                <w:szCs w:val="19"/>
              </w:rPr>
              <w:t>PPL submits revised Phase II EM&amp;V Plan to the PUC and SWE</w:t>
            </w:r>
          </w:p>
        </w:tc>
      </w:tr>
      <w:tr w:rsidR="00015AFB" w:rsidRPr="00A763FD" w:rsidTr="00FD03DC">
        <w:trPr>
          <w:trHeight w:val="300"/>
        </w:trPr>
        <w:tc>
          <w:tcPr>
            <w:tcW w:w="1975" w:type="dxa"/>
            <w:tcBorders>
              <w:top w:val="nil"/>
              <w:left w:val="single" w:sz="4" w:space="0" w:color="448A99"/>
              <w:bottom w:val="single" w:sz="8" w:space="0" w:color="448A99"/>
              <w:right w:val="single" w:sz="4" w:space="0" w:color="448A99"/>
            </w:tcBorders>
            <w:shd w:val="clear" w:color="auto" w:fill="D2EAF1"/>
          </w:tcPr>
          <w:p w:rsidR="00015AFB" w:rsidRPr="00A763FD" w:rsidRDefault="00015AFB" w:rsidP="00C0310F">
            <w:pPr>
              <w:jc w:val="left"/>
              <w:rPr>
                <w:bCs/>
                <w:color w:val="000000"/>
                <w:sz w:val="19"/>
                <w:szCs w:val="19"/>
              </w:rPr>
            </w:pPr>
            <w:r w:rsidRPr="00A763FD">
              <w:rPr>
                <w:sz w:val="19"/>
                <w:szCs w:val="19"/>
              </w:rPr>
              <w:t>January 31, 2014</w:t>
            </w:r>
          </w:p>
        </w:tc>
        <w:tc>
          <w:tcPr>
            <w:tcW w:w="7380" w:type="dxa"/>
            <w:tcBorders>
              <w:top w:val="nil"/>
              <w:left w:val="nil"/>
              <w:bottom w:val="single" w:sz="8" w:space="0" w:color="448A99"/>
              <w:right w:val="single" w:sz="4" w:space="0" w:color="448A99"/>
            </w:tcBorders>
            <w:shd w:val="clear" w:color="auto" w:fill="D2EAF1"/>
          </w:tcPr>
          <w:p w:rsidR="00015AFB" w:rsidRPr="00A763FD" w:rsidRDefault="00015AFB" w:rsidP="00C0310F">
            <w:pPr>
              <w:jc w:val="left"/>
              <w:rPr>
                <w:color w:val="000000"/>
                <w:sz w:val="19"/>
                <w:szCs w:val="19"/>
              </w:rPr>
            </w:pPr>
            <w:r w:rsidRPr="00A763FD">
              <w:rPr>
                <w:sz w:val="19"/>
                <w:szCs w:val="19"/>
              </w:rPr>
              <w:t>SWE approves the revised PPL EM&amp;V Plan</w:t>
            </w:r>
          </w:p>
        </w:tc>
      </w:tr>
      <w:tr w:rsidR="00015AFB" w:rsidRPr="00A763FD" w:rsidTr="00FD03DC">
        <w:trPr>
          <w:trHeight w:val="300"/>
        </w:trPr>
        <w:tc>
          <w:tcPr>
            <w:tcW w:w="1975" w:type="dxa"/>
            <w:tcBorders>
              <w:top w:val="single" w:sz="8" w:space="0" w:color="448A99"/>
              <w:left w:val="single" w:sz="4" w:space="0" w:color="448A99"/>
              <w:bottom w:val="single" w:sz="8" w:space="0" w:color="448A99"/>
              <w:right w:val="single" w:sz="4" w:space="0" w:color="448A99"/>
            </w:tcBorders>
            <w:shd w:val="clear" w:color="auto" w:fill="auto"/>
          </w:tcPr>
          <w:p w:rsidR="00015AFB" w:rsidRPr="00A763FD" w:rsidRDefault="00015AFB" w:rsidP="00C0310F">
            <w:pPr>
              <w:jc w:val="left"/>
              <w:rPr>
                <w:sz w:val="19"/>
                <w:szCs w:val="19"/>
              </w:rPr>
            </w:pPr>
            <w:r w:rsidRPr="00A763FD">
              <w:rPr>
                <w:sz w:val="19"/>
                <w:szCs w:val="19"/>
              </w:rPr>
              <w:t>June 1, 2014</w:t>
            </w:r>
          </w:p>
        </w:tc>
        <w:tc>
          <w:tcPr>
            <w:tcW w:w="7380" w:type="dxa"/>
            <w:tcBorders>
              <w:top w:val="single" w:sz="8" w:space="0" w:color="448A99"/>
              <w:left w:val="nil"/>
              <w:bottom w:val="single" w:sz="8" w:space="0" w:color="448A99"/>
              <w:right w:val="single" w:sz="4" w:space="0" w:color="448A99"/>
            </w:tcBorders>
            <w:shd w:val="clear" w:color="auto" w:fill="auto"/>
          </w:tcPr>
          <w:p w:rsidR="00015AFB" w:rsidRPr="00A763FD" w:rsidRDefault="00015AFB" w:rsidP="00C0310F">
            <w:pPr>
              <w:jc w:val="left"/>
              <w:rPr>
                <w:sz w:val="19"/>
                <w:szCs w:val="19"/>
              </w:rPr>
            </w:pPr>
            <w:r w:rsidRPr="00A763FD">
              <w:rPr>
                <w:sz w:val="19"/>
                <w:szCs w:val="19"/>
              </w:rPr>
              <w:t>PY6 starts</w:t>
            </w:r>
          </w:p>
        </w:tc>
      </w:tr>
      <w:tr w:rsidR="00015AFB" w:rsidRPr="00A763FD" w:rsidTr="00FD03DC">
        <w:trPr>
          <w:trHeight w:val="300"/>
        </w:trPr>
        <w:tc>
          <w:tcPr>
            <w:tcW w:w="1975" w:type="dxa"/>
            <w:tcBorders>
              <w:top w:val="single" w:sz="8" w:space="0" w:color="448A99"/>
              <w:left w:val="single" w:sz="4" w:space="0" w:color="448A99"/>
              <w:bottom w:val="single" w:sz="8" w:space="0" w:color="448A99"/>
              <w:right w:val="single" w:sz="4" w:space="0" w:color="448A99"/>
            </w:tcBorders>
            <w:shd w:val="clear" w:color="auto" w:fill="D2EAF1"/>
          </w:tcPr>
          <w:p w:rsidR="00015AFB" w:rsidRPr="00A763FD" w:rsidRDefault="00015AFB" w:rsidP="00C0310F">
            <w:pPr>
              <w:jc w:val="left"/>
              <w:rPr>
                <w:sz w:val="19"/>
                <w:szCs w:val="19"/>
              </w:rPr>
            </w:pPr>
            <w:r w:rsidRPr="00A763FD">
              <w:rPr>
                <w:sz w:val="19"/>
                <w:szCs w:val="19"/>
              </w:rPr>
              <w:t>June 1, 2015</w:t>
            </w:r>
          </w:p>
        </w:tc>
        <w:tc>
          <w:tcPr>
            <w:tcW w:w="7380" w:type="dxa"/>
            <w:tcBorders>
              <w:top w:val="single" w:sz="8" w:space="0" w:color="448A99"/>
              <w:left w:val="nil"/>
              <w:bottom w:val="single" w:sz="8" w:space="0" w:color="448A99"/>
              <w:right w:val="single" w:sz="4" w:space="0" w:color="448A99"/>
            </w:tcBorders>
            <w:shd w:val="clear" w:color="auto" w:fill="D2EAF1"/>
          </w:tcPr>
          <w:p w:rsidR="00015AFB" w:rsidRPr="00A763FD" w:rsidRDefault="00015AFB" w:rsidP="00C0310F">
            <w:pPr>
              <w:jc w:val="left"/>
              <w:rPr>
                <w:sz w:val="19"/>
                <w:szCs w:val="19"/>
              </w:rPr>
            </w:pPr>
            <w:r w:rsidRPr="00A763FD">
              <w:rPr>
                <w:sz w:val="19"/>
                <w:szCs w:val="19"/>
              </w:rPr>
              <w:t>PY7 starts</w:t>
            </w:r>
          </w:p>
        </w:tc>
      </w:tr>
      <w:tr w:rsidR="00015AFB" w:rsidRPr="00A763FD" w:rsidTr="00FD03DC">
        <w:trPr>
          <w:trHeight w:val="300"/>
        </w:trPr>
        <w:tc>
          <w:tcPr>
            <w:tcW w:w="1975" w:type="dxa"/>
            <w:tcBorders>
              <w:top w:val="single" w:sz="8" w:space="0" w:color="448A99"/>
              <w:left w:val="single" w:sz="4" w:space="0" w:color="448A99"/>
              <w:bottom w:val="single" w:sz="8" w:space="0" w:color="448A99"/>
              <w:right w:val="single" w:sz="4" w:space="0" w:color="448A99"/>
            </w:tcBorders>
            <w:shd w:val="clear" w:color="auto" w:fill="auto"/>
          </w:tcPr>
          <w:p w:rsidR="00015AFB" w:rsidRPr="00A763FD" w:rsidRDefault="00015AFB" w:rsidP="00C0310F">
            <w:pPr>
              <w:jc w:val="left"/>
              <w:rPr>
                <w:sz w:val="19"/>
                <w:szCs w:val="19"/>
              </w:rPr>
            </w:pPr>
            <w:r w:rsidRPr="00A763FD">
              <w:rPr>
                <w:sz w:val="19"/>
                <w:szCs w:val="19"/>
              </w:rPr>
              <w:t>May 27, 2015</w:t>
            </w:r>
          </w:p>
        </w:tc>
        <w:tc>
          <w:tcPr>
            <w:tcW w:w="7380" w:type="dxa"/>
            <w:tcBorders>
              <w:top w:val="single" w:sz="8" w:space="0" w:color="448A99"/>
              <w:left w:val="nil"/>
              <w:bottom w:val="single" w:sz="8" w:space="0" w:color="448A99"/>
              <w:right w:val="single" w:sz="4" w:space="0" w:color="448A99"/>
            </w:tcBorders>
            <w:shd w:val="clear" w:color="auto" w:fill="auto"/>
          </w:tcPr>
          <w:p w:rsidR="00015AFB" w:rsidRPr="00A763FD" w:rsidRDefault="00015AFB" w:rsidP="00C0310F">
            <w:pPr>
              <w:jc w:val="left"/>
              <w:rPr>
                <w:sz w:val="19"/>
                <w:szCs w:val="19"/>
              </w:rPr>
            </w:pPr>
            <w:r w:rsidRPr="00A763FD">
              <w:rPr>
                <w:sz w:val="19"/>
                <w:szCs w:val="19"/>
              </w:rPr>
              <w:t>PPL submits revisions to PPL PY7 EM&amp;V Plan</w:t>
            </w:r>
          </w:p>
        </w:tc>
      </w:tr>
      <w:tr w:rsidR="00015AFB" w:rsidRPr="00A763FD" w:rsidTr="00FD03DC">
        <w:trPr>
          <w:trHeight w:val="300"/>
        </w:trPr>
        <w:tc>
          <w:tcPr>
            <w:tcW w:w="1975" w:type="dxa"/>
            <w:tcBorders>
              <w:top w:val="single" w:sz="8" w:space="0" w:color="448A99"/>
              <w:left w:val="single" w:sz="4" w:space="0" w:color="448A99"/>
              <w:bottom w:val="single" w:sz="4" w:space="0" w:color="448A99"/>
              <w:right w:val="single" w:sz="4" w:space="0" w:color="448A99"/>
            </w:tcBorders>
            <w:shd w:val="clear" w:color="auto" w:fill="D2EAF1"/>
          </w:tcPr>
          <w:p w:rsidR="00015AFB" w:rsidRPr="00A763FD" w:rsidRDefault="00015AFB" w:rsidP="00C0310F">
            <w:pPr>
              <w:jc w:val="left"/>
              <w:rPr>
                <w:sz w:val="19"/>
                <w:szCs w:val="19"/>
              </w:rPr>
            </w:pPr>
            <w:r w:rsidRPr="00A763FD">
              <w:rPr>
                <w:sz w:val="19"/>
                <w:szCs w:val="19"/>
              </w:rPr>
              <w:t>September 8, 2015</w:t>
            </w:r>
          </w:p>
        </w:tc>
        <w:tc>
          <w:tcPr>
            <w:tcW w:w="7380" w:type="dxa"/>
            <w:tcBorders>
              <w:top w:val="single" w:sz="8" w:space="0" w:color="448A99"/>
              <w:left w:val="nil"/>
              <w:bottom w:val="single" w:sz="4" w:space="0" w:color="448A99"/>
              <w:right w:val="single" w:sz="4" w:space="0" w:color="448A99"/>
            </w:tcBorders>
            <w:shd w:val="clear" w:color="auto" w:fill="D2EAF1"/>
          </w:tcPr>
          <w:p w:rsidR="00015AFB" w:rsidRPr="00A763FD" w:rsidRDefault="00015AFB" w:rsidP="00C0310F">
            <w:pPr>
              <w:jc w:val="left"/>
              <w:rPr>
                <w:sz w:val="19"/>
                <w:szCs w:val="19"/>
              </w:rPr>
            </w:pPr>
            <w:r w:rsidRPr="00A763FD">
              <w:rPr>
                <w:sz w:val="19"/>
                <w:szCs w:val="19"/>
              </w:rPr>
              <w:t>PPL submits additional revisions to its PY7 EM&amp;V Plan</w:t>
            </w:r>
          </w:p>
        </w:tc>
      </w:tr>
    </w:tbl>
    <w:p w:rsidR="00DD3B6D" w:rsidRPr="00724792" w:rsidRDefault="00DD3B6D" w:rsidP="00DD3B6D"/>
    <w:p w:rsidR="00DD3B6D" w:rsidRPr="00724792" w:rsidRDefault="00015AFB" w:rsidP="00DD3B6D">
      <w:pPr>
        <w:spacing w:after="120"/>
      </w:pPr>
      <w:r w:rsidRPr="00724792">
        <w:t>PPL’s initial EM&amp;V Plan, submitted on August 30, 2013, detailed proposed evaluation objectives and activities for 13 programs across two sectors. The plan presented key evaluation issues, impact evaluation details, process evaluation details, sampling plans, and key contacts for each of the 13 programs. The SWE Team reviewed the plan and returned 105 comments. The SWE Team noted major deficiencies in the following areas</w:t>
      </w:r>
      <w:r w:rsidRPr="00F46239">
        <w:t xml:space="preserve"> (all of these issues </w:t>
      </w:r>
      <w:r>
        <w:t>were</w:t>
      </w:r>
      <w:r w:rsidRPr="00F46239">
        <w:t xml:space="preserve"> addressed by PPL)</w:t>
      </w:r>
      <w:r w:rsidRPr="00724792">
        <w:t>:</w:t>
      </w:r>
    </w:p>
    <w:p w:rsidR="00015AFB" w:rsidRPr="008C599E" w:rsidRDefault="00015AFB" w:rsidP="00E646C9">
      <w:pPr>
        <w:numPr>
          <w:ilvl w:val="0"/>
          <w:numId w:val="43"/>
        </w:numPr>
        <w:spacing w:after="120"/>
        <w:ind w:left="360"/>
        <w:rPr>
          <w:color w:val="000000"/>
        </w:rPr>
      </w:pPr>
      <w:r w:rsidRPr="008C599E">
        <w:rPr>
          <w:color w:val="000000"/>
        </w:rPr>
        <w:t xml:space="preserve">Confirmation that PPL’s billing analysis for the residential low-income program will focus on Act 129, Phase II participants only, and not include any </w:t>
      </w:r>
      <w:r w:rsidRPr="008C599E">
        <w:t xml:space="preserve">Low-Income Usage Reduction Program </w:t>
      </w:r>
      <w:r w:rsidRPr="008C599E">
        <w:rPr>
          <w:color w:val="000000"/>
        </w:rPr>
        <w:t xml:space="preserve">(LIURP) participants </w:t>
      </w:r>
    </w:p>
    <w:p w:rsidR="00015AFB" w:rsidRPr="008C599E" w:rsidRDefault="00015AFB" w:rsidP="00E646C9">
      <w:pPr>
        <w:numPr>
          <w:ilvl w:val="0"/>
          <w:numId w:val="43"/>
        </w:numPr>
        <w:spacing w:after="120"/>
        <w:ind w:left="360"/>
        <w:rPr>
          <w:color w:val="000000"/>
        </w:rPr>
      </w:pPr>
      <w:r w:rsidRPr="008C599E">
        <w:rPr>
          <w:color w:val="000000"/>
        </w:rPr>
        <w:t>More explanation of the verification steps planned for the Residential Efficient Equipment Program</w:t>
      </w:r>
    </w:p>
    <w:p w:rsidR="00015AFB" w:rsidRPr="008C599E" w:rsidRDefault="00015AFB" w:rsidP="00E646C9">
      <w:pPr>
        <w:numPr>
          <w:ilvl w:val="0"/>
          <w:numId w:val="43"/>
        </w:numPr>
        <w:spacing w:after="120"/>
        <w:ind w:left="360"/>
        <w:rPr>
          <w:color w:val="000000"/>
        </w:rPr>
      </w:pPr>
      <w:r w:rsidRPr="008C599E">
        <w:rPr>
          <w:color w:val="000000"/>
        </w:rPr>
        <w:t>Phone and web survey definitions and objectives across most applicable programs</w:t>
      </w:r>
    </w:p>
    <w:p w:rsidR="00015AFB" w:rsidRPr="008C599E" w:rsidRDefault="00015AFB" w:rsidP="00E646C9">
      <w:pPr>
        <w:numPr>
          <w:ilvl w:val="0"/>
          <w:numId w:val="43"/>
        </w:numPr>
        <w:spacing w:after="120"/>
        <w:ind w:left="360"/>
        <w:rPr>
          <w:color w:val="000000"/>
        </w:rPr>
      </w:pPr>
      <w:r w:rsidRPr="008C599E">
        <w:rPr>
          <w:color w:val="000000"/>
        </w:rPr>
        <w:t>Research design and sample sizes across most programs</w:t>
      </w:r>
    </w:p>
    <w:p w:rsidR="00015AFB" w:rsidRPr="008C599E" w:rsidRDefault="00015AFB" w:rsidP="00E646C9">
      <w:pPr>
        <w:numPr>
          <w:ilvl w:val="0"/>
          <w:numId w:val="43"/>
        </w:numPr>
        <w:spacing w:after="120"/>
        <w:ind w:left="360"/>
        <w:rPr>
          <w:color w:val="000000"/>
        </w:rPr>
      </w:pPr>
      <w:r w:rsidRPr="008C599E">
        <w:rPr>
          <w:color w:val="000000"/>
        </w:rPr>
        <w:t>Benchmarking across most applicable programs</w:t>
      </w:r>
    </w:p>
    <w:p w:rsidR="00015AFB" w:rsidRPr="008C599E" w:rsidRDefault="00A92A46" w:rsidP="00E646C9">
      <w:pPr>
        <w:numPr>
          <w:ilvl w:val="0"/>
          <w:numId w:val="43"/>
        </w:numPr>
        <w:spacing w:after="120"/>
        <w:ind w:left="360"/>
        <w:rPr>
          <w:color w:val="000000"/>
        </w:rPr>
      </w:pPr>
      <w:r>
        <w:rPr>
          <w:color w:val="000000"/>
        </w:rPr>
        <w:t>OPower</w:t>
      </w:r>
      <w:r w:rsidR="00015AFB" w:rsidRPr="008C599E">
        <w:rPr>
          <w:color w:val="000000"/>
        </w:rPr>
        <w:t xml:space="preserve"> analyses of behavior modification programs</w:t>
      </w:r>
    </w:p>
    <w:p w:rsidR="00015AFB" w:rsidRPr="008C599E" w:rsidRDefault="00015AFB" w:rsidP="00E646C9">
      <w:pPr>
        <w:numPr>
          <w:ilvl w:val="0"/>
          <w:numId w:val="43"/>
        </w:numPr>
        <w:spacing w:after="120"/>
        <w:ind w:left="360"/>
        <w:rPr>
          <w:color w:val="000000"/>
        </w:rPr>
      </w:pPr>
      <w:r w:rsidRPr="008C599E">
        <w:rPr>
          <w:color w:val="000000"/>
        </w:rPr>
        <w:t xml:space="preserve">Act 129 </w:t>
      </w:r>
      <w:r w:rsidRPr="008C599E">
        <w:t>Winter Relief Assistance Program (</w:t>
      </w:r>
      <w:r w:rsidRPr="008C599E">
        <w:rPr>
          <w:color w:val="000000"/>
        </w:rPr>
        <w:t>WRAP) impact evaluation methodology</w:t>
      </w:r>
    </w:p>
    <w:p w:rsidR="00015AFB" w:rsidRPr="008C599E" w:rsidRDefault="00015AFB" w:rsidP="00E646C9">
      <w:pPr>
        <w:numPr>
          <w:ilvl w:val="0"/>
          <w:numId w:val="43"/>
        </w:numPr>
        <w:spacing w:after="120"/>
        <w:ind w:left="360"/>
        <w:rPr>
          <w:color w:val="000000"/>
        </w:rPr>
      </w:pPr>
      <w:r w:rsidRPr="008C599E">
        <w:rPr>
          <w:color w:val="000000"/>
        </w:rPr>
        <w:t>Residential Lighting Program impact evaluation methodology</w:t>
      </w:r>
    </w:p>
    <w:p w:rsidR="00015AFB" w:rsidRPr="008C599E" w:rsidRDefault="00015AFB" w:rsidP="00E646C9">
      <w:pPr>
        <w:numPr>
          <w:ilvl w:val="0"/>
          <w:numId w:val="43"/>
        </w:numPr>
        <w:spacing w:after="120"/>
        <w:ind w:left="360"/>
        <w:rPr>
          <w:color w:val="000000"/>
        </w:rPr>
      </w:pPr>
      <w:r w:rsidRPr="008C599E">
        <w:rPr>
          <w:color w:val="000000"/>
        </w:rPr>
        <w:t>Residential Appliance Recycling Program savings calculation methodology</w:t>
      </w:r>
    </w:p>
    <w:p w:rsidR="00015AFB" w:rsidRPr="008C599E" w:rsidRDefault="00015AFB" w:rsidP="00E646C9">
      <w:pPr>
        <w:numPr>
          <w:ilvl w:val="0"/>
          <w:numId w:val="43"/>
        </w:numPr>
        <w:spacing w:after="120"/>
        <w:ind w:left="360"/>
        <w:rPr>
          <w:color w:val="000000"/>
        </w:rPr>
      </w:pPr>
      <w:r w:rsidRPr="008C599E">
        <w:rPr>
          <w:color w:val="000000"/>
        </w:rPr>
        <w:t>Level of rigor across all non-residential programs</w:t>
      </w:r>
    </w:p>
    <w:p w:rsidR="00015AFB" w:rsidRPr="008C599E" w:rsidRDefault="00015AFB" w:rsidP="00E646C9">
      <w:pPr>
        <w:numPr>
          <w:ilvl w:val="0"/>
          <w:numId w:val="43"/>
        </w:numPr>
        <w:ind w:left="360"/>
        <w:rPr>
          <w:color w:val="000000"/>
        </w:rPr>
      </w:pPr>
      <w:r w:rsidRPr="008C599E">
        <w:rPr>
          <w:color w:val="000000"/>
        </w:rPr>
        <w:t>Concern for mutual exclusivity of samples and/or savings calculations from overlapping programs</w:t>
      </w:r>
    </w:p>
    <w:p w:rsidR="00DD3B6D" w:rsidRPr="008A5E9E" w:rsidRDefault="00DD3B6D" w:rsidP="00DD3B6D">
      <w:pPr>
        <w:rPr>
          <w:color w:val="000000"/>
        </w:rPr>
      </w:pPr>
    </w:p>
    <w:p w:rsidR="00015AFB" w:rsidRDefault="00015AFB" w:rsidP="00015AFB">
      <w:pPr>
        <w:rPr>
          <w:color w:val="000000"/>
        </w:rPr>
      </w:pPr>
      <w:r>
        <w:rPr>
          <w:color w:val="000000"/>
        </w:rPr>
        <w:t>As noted above, t</w:t>
      </w:r>
      <w:r w:rsidRPr="00F46239">
        <w:rPr>
          <w:color w:val="000000"/>
        </w:rPr>
        <w:t xml:space="preserve">he SWE is presenting information on all revisions to this EM&amp;V Plan that have occurred </w:t>
      </w:r>
      <w:r>
        <w:rPr>
          <w:color w:val="000000"/>
        </w:rPr>
        <w:t>during Phase II (includes PY5, PY6 and PY7)</w:t>
      </w:r>
      <w:r w:rsidRPr="00F46239">
        <w:rPr>
          <w:color w:val="000000"/>
        </w:rPr>
        <w:t xml:space="preserve"> in order to provide a complete picture of the evolution of this plan during Phase II to date</w:t>
      </w:r>
      <w:r w:rsidRPr="008A5E9E">
        <w:rPr>
          <w:color w:val="000000"/>
        </w:rPr>
        <w:t>.</w:t>
      </w:r>
      <w:r>
        <w:rPr>
          <w:color w:val="000000"/>
        </w:rPr>
        <w:t xml:space="preserve"> </w:t>
      </w:r>
    </w:p>
    <w:p w:rsidR="00015AFB" w:rsidRPr="008A5E9E" w:rsidRDefault="00015AFB" w:rsidP="00015AFB">
      <w:pPr>
        <w:rPr>
          <w:color w:val="000000"/>
        </w:rPr>
      </w:pPr>
    </w:p>
    <w:p w:rsidR="00015AFB" w:rsidRPr="008A5E9E" w:rsidRDefault="00015AFB" w:rsidP="00015AFB">
      <w:pPr>
        <w:rPr>
          <w:color w:val="000000"/>
        </w:rPr>
      </w:pPr>
      <w:r w:rsidRPr="008A5E9E">
        <w:rPr>
          <w:color w:val="000000"/>
        </w:rPr>
        <w:t xml:space="preserve">PPL submitted </w:t>
      </w:r>
      <w:r>
        <w:rPr>
          <w:color w:val="000000"/>
        </w:rPr>
        <w:t xml:space="preserve">EM&amp;V Plan </w:t>
      </w:r>
      <w:r w:rsidRPr="008A5E9E">
        <w:rPr>
          <w:color w:val="000000"/>
        </w:rPr>
        <w:t>revisions on January 31, 2014, and these were incorporated into the draft plan, which was approved as the final Phase II EM&amp;V Plan. The SWE Team’s review of the evaluation activities revealed that the plan was followed appropriately for all EM&amp;V activities occurring in PY6.</w:t>
      </w:r>
    </w:p>
    <w:p w:rsidR="00015AFB" w:rsidRPr="008A5E9E" w:rsidRDefault="00015AFB" w:rsidP="00015AFB">
      <w:pPr>
        <w:rPr>
          <w:color w:val="000000"/>
        </w:rPr>
      </w:pPr>
    </w:p>
    <w:p w:rsidR="00015AFB" w:rsidRPr="00724792" w:rsidRDefault="00015AFB" w:rsidP="00015AFB">
      <w:pPr>
        <w:spacing w:after="120"/>
      </w:pPr>
      <w:r w:rsidRPr="008A5E9E">
        <w:rPr>
          <w:color w:val="000000"/>
        </w:rPr>
        <w:t xml:space="preserve">PPL submitted subsequent revisions to its PY6 EM&amp;V Plan. </w:t>
      </w:r>
      <w:r w:rsidRPr="00724792">
        <w:t xml:space="preserve">The revisions incorporated program changes, reflected changes to the evaluation plan, and addressed the SWE Team’s comments in its PY5 </w:t>
      </w:r>
      <w:r>
        <w:t>annual report</w:t>
      </w:r>
      <w:r w:rsidRPr="00724792">
        <w:t>. The list of changes to the evaluation activities for PY6 included the following:</w:t>
      </w:r>
    </w:p>
    <w:p w:rsidR="00015AFB" w:rsidRPr="00515AA9" w:rsidRDefault="00015AFB" w:rsidP="00D405A7">
      <w:pPr>
        <w:pStyle w:val="ListParagraph"/>
        <w:numPr>
          <w:ilvl w:val="0"/>
          <w:numId w:val="26"/>
        </w:numPr>
        <w:spacing w:after="120"/>
        <w:ind w:left="360"/>
        <w:contextualSpacing w:val="0"/>
      </w:pPr>
      <w:r w:rsidRPr="00515AA9">
        <w:t xml:space="preserve">Beginning in PY6, Cadmus’s Act 129 WRAP evaluation activities included telephone surveys with a sample of baseload job recipients. An additional two measure groups of WRAP activities were added in addition to baseload jobs and heat pump water heaters: low-cost jobs and full-cost jobs. The sample size for Cadmus’s random sample for WRAP data collection was changed from 50 to 140 sites. </w:t>
      </w:r>
    </w:p>
    <w:p w:rsidR="00015AFB" w:rsidRPr="00515AA9" w:rsidRDefault="00015AFB" w:rsidP="00D405A7">
      <w:pPr>
        <w:pStyle w:val="ListParagraph"/>
        <w:numPr>
          <w:ilvl w:val="0"/>
          <w:numId w:val="26"/>
        </w:numPr>
        <w:spacing w:after="120"/>
        <w:ind w:left="360"/>
        <w:contextualSpacing w:val="0"/>
      </w:pPr>
      <w:r w:rsidRPr="00C87A3C">
        <w:t>The PPL evaluation plan submitted to the SWE before the PPL PY6 program evaluation began provided that in PY6</w:t>
      </w:r>
      <w:r w:rsidRPr="00515AA9">
        <w:t xml:space="preserve"> the Appliance Recycling Program process evaluation</w:t>
      </w:r>
      <w:r>
        <w:t xml:space="preserve"> would</w:t>
      </w:r>
      <w:r w:rsidRPr="00515AA9">
        <w:t xml:space="preserve"> describe and assess the program’s success meeting key performance indicators (KPIs). The KPIs are “days to pick up” and “days to issue check.” The total number of nonparticipant surveys and trade ally interviews was changed in both PY5 and PY6 for the Appliance Recycling </w:t>
      </w:r>
      <w:r w:rsidRPr="00870D8B">
        <w:t>Program</w:t>
      </w:r>
      <w:r w:rsidRPr="00515AA9">
        <w:t xml:space="preserve">. </w:t>
      </w:r>
    </w:p>
    <w:p w:rsidR="00015AFB" w:rsidRPr="00515AA9" w:rsidRDefault="00015AFB" w:rsidP="00D405A7">
      <w:pPr>
        <w:pStyle w:val="ListParagraph"/>
        <w:numPr>
          <w:ilvl w:val="0"/>
          <w:numId w:val="26"/>
        </w:numPr>
        <w:spacing w:after="120"/>
        <w:ind w:left="360"/>
        <w:contextualSpacing w:val="0"/>
      </w:pPr>
      <w:r w:rsidRPr="00515AA9">
        <w:t xml:space="preserve">Participant phone surveys </w:t>
      </w:r>
      <w:r>
        <w:t>were</w:t>
      </w:r>
      <w:r w:rsidRPr="00515AA9">
        <w:t xml:space="preserve"> no longer included as an evaluation activity for the E-Power Wise program</w:t>
      </w:r>
      <w:r>
        <w:t xml:space="preserve"> in PY6 and PY7</w:t>
      </w:r>
      <w:r w:rsidRPr="00515AA9">
        <w:t xml:space="preserve">. </w:t>
      </w:r>
    </w:p>
    <w:p w:rsidR="00015AFB" w:rsidRPr="00515AA9" w:rsidRDefault="00015AFB" w:rsidP="00D405A7">
      <w:pPr>
        <w:pStyle w:val="ListParagraph"/>
        <w:numPr>
          <w:ilvl w:val="0"/>
          <w:numId w:val="26"/>
        </w:numPr>
        <w:spacing w:after="120"/>
        <w:ind w:left="360"/>
        <w:contextualSpacing w:val="0"/>
      </w:pPr>
      <w:r w:rsidRPr="00515AA9">
        <w:t xml:space="preserve">Secondary research and calculation of demand savings (MW) impacts </w:t>
      </w:r>
      <w:r>
        <w:t>were</w:t>
      </w:r>
      <w:r w:rsidRPr="00515AA9">
        <w:t xml:space="preserve"> no longer included as evaluation activities for the Low-Income Behavior and Education Program. </w:t>
      </w:r>
    </w:p>
    <w:p w:rsidR="00015AFB" w:rsidRPr="00515AA9" w:rsidRDefault="00015AFB" w:rsidP="00D405A7">
      <w:pPr>
        <w:pStyle w:val="ListParagraph"/>
        <w:numPr>
          <w:ilvl w:val="0"/>
          <w:numId w:val="26"/>
        </w:numPr>
        <w:spacing w:after="120"/>
        <w:ind w:left="360"/>
        <w:contextualSpacing w:val="0"/>
      </w:pPr>
      <w:r w:rsidRPr="00515AA9">
        <w:t xml:space="preserve">Opt-out surveys, secondary research, and calculation of demand savings (MW) impacts </w:t>
      </w:r>
      <w:r>
        <w:t>were</w:t>
      </w:r>
      <w:r w:rsidRPr="00515AA9">
        <w:t xml:space="preserve"> no longer included as evaluation activities for the Residential Energy-Efficiency Behavior and Education Program</w:t>
      </w:r>
      <w:r>
        <w:t>. This change also applied to the PPL PY7 EM&amp;V Plan</w:t>
      </w:r>
      <w:r w:rsidRPr="00515AA9">
        <w:t xml:space="preserve">. </w:t>
      </w:r>
    </w:p>
    <w:p w:rsidR="00015AFB" w:rsidRPr="00515AA9" w:rsidRDefault="00015AFB" w:rsidP="00D405A7">
      <w:pPr>
        <w:pStyle w:val="ListParagraph"/>
        <w:numPr>
          <w:ilvl w:val="0"/>
          <w:numId w:val="26"/>
        </w:numPr>
        <w:spacing w:after="120"/>
        <w:ind w:left="360"/>
        <w:contextualSpacing w:val="0"/>
      </w:pPr>
      <w:r w:rsidRPr="00515AA9">
        <w:t>The Residential Home Comfort Program no longer include</w:t>
      </w:r>
      <w:r>
        <w:t>d</w:t>
      </w:r>
      <w:r w:rsidRPr="00515AA9">
        <w:t xml:space="preserve"> the trade ally training component</w:t>
      </w:r>
      <w:r>
        <w:t>,</w:t>
      </w:r>
      <w:r w:rsidRPr="00515AA9">
        <w:t xml:space="preserve"> and </w:t>
      </w:r>
      <w:r>
        <w:t xml:space="preserve">instead </w:t>
      </w:r>
      <w:r w:rsidRPr="00515AA9">
        <w:t>include</w:t>
      </w:r>
      <w:r>
        <w:t>d</w:t>
      </w:r>
      <w:r w:rsidRPr="00515AA9">
        <w:t xml:space="preserve"> a manufactured homes component. Process evaluation sample sizes for the Home Comfort Program changed </w:t>
      </w:r>
      <w:r>
        <w:t>going forward</w:t>
      </w:r>
      <w:r w:rsidRPr="00515AA9">
        <w:t xml:space="preserve"> for new homes, audit and weatherization, efficient equipment fuel switching, and manufactured home purchasers. Sample sizes for trade ally interviews were changed for PY6 and PY7. The efficient equipment rebate recipients sample was added. Impact evaluation survey sample sizes were changed for most activities. </w:t>
      </w:r>
    </w:p>
    <w:p w:rsidR="00015AFB" w:rsidRDefault="00015AFB" w:rsidP="00D405A7">
      <w:pPr>
        <w:pStyle w:val="ListParagraph"/>
        <w:numPr>
          <w:ilvl w:val="0"/>
          <w:numId w:val="26"/>
        </w:numPr>
        <w:spacing w:after="120"/>
        <w:ind w:left="360"/>
        <w:contextualSpacing w:val="0"/>
      </w:pPr>
      <w:r w:rsidRPr="00515AA9">
        <w:t xml:space="preserve">Follow-up participant surveys </w:t>
      </w:r>
      <w:r>
        <w:t>were</w:t>
      </w:r>
      <w:r w:rsidRPr="00515AA9">
        <w:t xml:space="preserve"> no longer offered as an evaluation activity for the Student and Parent Energy-Efficiency Education Program</w:t>
      </w:r>
      <w:r>
        <w:t xml:space="preserve"> in PY6 and PY7</w:t>
      </w:r>
      <w:r w:rsidRPr="00515AA9">
        <w:t>.</w:t>
      </w:r>
    </w:p>
    <w:p w:rsidR="00015AFB" w:rsidRDefault="00015AFB" w:rsidP="00EE3086">
      <w:pPr>
        <w:pStyle w:val="ListParagraph"/>
        <w:numPr>
          <w:ilvl w:val="0"/>
          <w:numId w:val="26"/>
        </w:numPr>
        <w:ind w:left="360"/>
        <w:contextualSpacing w:val="0"/>
      </w:pPr>
      <w:r w:rsidRPr="00515AA9">
        <w:t>Trade ally interviews</w:t>
      </w:r>
      <w:r w:rsidRPr="00724792">
        <w:t xml:space="preserve"> </w:t>
      </w:r>
      <w:r>
        <w:t>were</w:t>
      </w:r>
      <w:r w:rsidRPr="00724792">
        <w:t xml:space="preserve"> no longer an evaluation activity for the Custom Incentive Program.</w:t>
      </w:r>
    </w:p>
    <w:p w:rsidR="00EE3086" w:rsidRDefault="00EE3086" w:rsidP="00015AFB">
      <w:pPr>
        <w:rPr>
          <w:color w:val="000000"/>
        </w:rPr>
      </w:pPr>
    </w:p>
    <w:p w:rsidR="00DD3B6D" w:rsidRDefault="00015AFB" w:rsidP="00015AFB">
      <w:r w:rsidRPr="008A5E9E">
        <w:rPr>
          <w:color w:val="000000"/>
        </w:rPr>
        <w:t xml:space="preserve">PPL submitted </w:t>
      </w:r>
      <w:r>
        <w:rPr>
          <w:color w:val="000000"/>
        </w:rPr>
        <w:t>revisions to its PY7</w:t>
      </w:r>
      <w:r w:rsidRPr="008A5E9E">
        <w:rPr>
          <w:color w:val="000000"/>
        </w:rPr>
        <w:t xml:space="preserve"> EM&amp;V Plan</w:t>
      </w:r>
      <w:r>
        <w:rPr>
          <w:color w:val="000000"/>
        </w:rPr>
        <w:t xml:space="preserve"> on September 8, 2015. </w:t>
      </w:r>
      <w:r>
        <w:t>Most changes reflect PPL’s revised Phase II EE&amp;C Plan approved in June 2015, related decisions for the impact evaluations, and decisions about process evaluations.</w:t>
      </w:r>
    </w:p>
    <w:p w:rsidR="00015AFB" w:rsidRPr="009847AC" w:rsidRDefault="00015AFB" w:rsidP="00015AFB"/>
    <w:p w:rsidR="00950837" w:rsidRDefault="00950837" w:rsidP="009C0DF1">
      <w:pPr>
        <w:pStyle w:val="AppendixAHeading3"/>
      </w:pPr>
      <w:r>
        <w:t>Measurement and Verification Activities and Findings</w:t>
      </w:r>
    </w:p>
    <w:p w:rsidR="00CD1D5B" w:rsidRDefault="00CD1D5B" w:rsidP="00CD1D5B">
      <w:r>
        <w:t xml:space="preserve">PPL achieved 145% of its total Phase II energy savings compliance target, based on aggregated verified savings as of May 31, 2016 from Phase II in addition to Phase I carryover. Realization rates compare </w:t>
      </w:r>
      <w:r w:rsidR="003E6CCF">
        <w:t>gross savings with</w:t>
      </w:r>
      <w:r>
        <w:t xml:space="preserve"> the verified gross savings determined by the EDC evaluation contractor through M&amp;V activities.</w:t>
      </w:r>
    </w:p>
    <w:p w:rsidR="00CD1D5B" w:rsidRDefault="00CD1D5B" w:rsidP="00CD1D5B"/>
    <w:p w:rsidR="00CD1D5B" w:rsidRDefault="00CD1D5B" w:rsidP="00CD1D5B">
      <w:r>
        <w:fldChar w:fldCharType="begin"/>
      </w:r>
      <w:r>
        <w:instrText xml:space="preserve"> REF _Ref472449196 \h </w:instrText>
      </w:r>
      <w:r>
        <w:fldChar w:fldCharType="separate"/>
      </w:r>
      <w:r w:rsidR="00037CB4">
        <w:t>Table A-</w:t>
      </w:r>
      <w:r w:rsidR="00037CB4">
        <w:rPr>
          <w:noProof/>
        </w:rPr>
        <w:t>140</w:t>
      </w:r>
      <w:r>
        <w:fldChar w:fldCharType="end"/>
      </w:r>
      <w:r>
        <w:t xml:space="preserve"> provides a summary of M&amp;V findings based on activities conducted by Cadmus. The summary is based on details provided in PPL’s PY7 annual report and on information obtained from the SWE Team’s data requests and audits. </w:t>
      </w:r>
      <w:r>
        <w:fldChar w:fldCharType="begin"/>
      </w:r>
      <w:r>
        <w:instrText xml:space="preserve"> REF _Ref472449196 \h </w:instrText>
      </w:r>
      <w:r>
        <w:fldChar w:fldCharType="separate"/>
      </w:r>
      <w:r w:rsidR="00037CB4">
        <w:t>Table A-</w:t>
      </w:r>
      <w:r w:rsidR="00037CB4">
        <w:rPr>
          <w:noProof/>
        </w:rPr>
        <w:t>140</w:t>
      </w:r>
      <w:r>
        <w:fldChar w:fldCharType="end"/>
      </w:r>
      <w:r>
        <w:t xml:space="preserve"> presents realization rates and relative precision values for verified energy and demand savings for each of PPL’s r</w:t>
      </w:r>
      <w:r w:rsidR="00D90336">
        <w:t>esidential and non-residential energy efficiency</w:t>
      </w:r>
      <w:r>
        <w:t xml:space="preserve"> programs for PY7.</w:t>
      </w:r>
    </w:p>
    <w:p w:rsidR="00CD1D5B" w:rsidRDefault="00CD1D5B" w:rsidP="00CD1D5B"/>
    <w:p w:rsidR="00CD1D5B" w:rsidRDefault="00CD1D5B" w:rsidP="004837FA">
      <w:pPr>
        <w:pStyle w:val="Caption"/>
      </w:pPr>
      <w:bookmarkStart w:id="1282" w:name="_Ref472449196"/>
      <w:bookmarkStart w:id="1283" w:name="_Toc472472549"/>
      <w:bookmarkStart w:id="1284" w:name="_Toc488741968"/>
      <w:r>
        <w:t>Table A-</w:t>
      </w:r>
      <w:r w:rsidR="007973A4">
        <w:fldChar w:fldCharType="begin"/>
      </w:r>
      <w:r w:rsidR="007973A4">
        <w:instrText xml:space="preserve"> SEQ Table_A- \* ARABIC </w:instrText>
      </w:r>
      <w:r w:rsidR="007973A4">
        <w:fldChar w:fldCharType="separate"/>
      </w:r>
      <w:r w:rsidR="00037CB4">
        <w:rPr>
          <w:noProof/>
        </w:rPr>
        <w:t>140</w:t>
      </w:r>
      <w:r w:rsidR="007973A4">
        <w:rPr>
          <w:noProof/>
        </w:rPr>
        <w:fldChar w:fldCharType="end"/>
      </w:r>
      <w:bookmarkEnd w:id="1282"/>
      <w:r>
        <w:t xml:space="preserve">: </w:t>
      </w:r>
      <w:r w:rsidRPr="00C84ED7">
        <w:t>Realization Rates and Relative Precisions for PPL’s Programs in PY7</w:t>
      </w:r>
      <w:bookmarkEnd w:id="1283"/>
      <w:bookmarkEnd w:id="1284"/>
    </w:p>
    <w:tbl>
      <w:tblPr>
        <w:tblW w:w="9359"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4315"/>
        <w:gridCol w:w="1261"/>
        <w:gridCol w:w="1261"/>
        <w:gridCol w:w="1261"/>
        <w:gridCol w:w="1261"/>
      </w:tblGrid>
      <w:tr w:rsidR="00A874AC" w:rsidRPr="00A763FD" w:rsidTr="00A763FD">
        <w:trPr>
          <w:trHeight w:val="808"/>
          <w:tblHeader/>
        </w:trPr>
        <w:tc>
          <w:tcPr>
            <w:tcW w:w="4315" w:type="dxa"/>
            <w:shd w:val="clear" w:color="auto" w:fill="448A99"/>
            <w:noWrap/>
            <w:vAlign w:val="bottom"/>
            <w:hideMark/>
          </w:tcPr>
          <w:p w:rsidR="00CD1D5B" w:rsidRPr="00A763FD" w:rsidRDefault="003E6CCF" w:rsidP="0051612D">
            <w:pPr>
              <w:jc w:val="left"/>
              <w:rPr>
                <w:rFonts w:eastAsia="Calibri"/>
                <w:b/>
                <w:color w:val="FFFFFF"/>
                <w:sz w:val="19"/>
                <w:szCs w:val="19"/>
              </w:rPr>
            </w:pPr>
            <w:r w:rsidRPr="00A763FD">
              <w:rPr>
                <w:rFonts w:eastAsia="Calibri"/>
                <w:b/>
                <w:color w:val="FFFFFF"/>
                <w:sz w:val="19"/>
                <w:szCs w:val="19"/>
              </w:rPr>
              <w:t>Program</w:t>
            </w:r>
            <w:r w:rsidR="00A87AA6" w:rsidRPr="00A763FD">
              <w:rPr>
                <w:rFonts w:eastAsia="Calibri"/>
                <w:b/>
                <w:color w:val="FFFFFF"/>
                <w:sz w:val="19"/>
                <w:szCs w:val="19"/>
              </w:rPr>
              <w:t xml:space="preserve"> </w:t>
            </w:r>
          </w:p>
        </w:tc>
        <w:tc>
          <w:tcPr>
            <w:tcW w:w="1261" w:type="dxa"/>
            <w:shd w:val="clear" w:color="auto" w:fill="448A99"/>
            <w:vAlign w:val="bottom"/>
            <w:hideMark/>
          </w:tcPr>
          <w:p w:rsidR="00CD1D5B" w:rsidRPr="00A763FD" w:rsidRDefault="00CD1D5B" w:rsidP="005C1352">
            <w:pPr>
              <w:jc w:val="center"/>
              <w:rPr>
                <w:rFonts w:eastAsia="Calibri"/>
                <w:b/>
                <w:color w:val="FFFFFF"/>
                <w:sz w:val="19"/>
                <w:szCs w:val="19"/>
              </w:rPr>
            </w:pPr>
            <w:r w:rsidRPr="00A763FD">
              <w:rPr>
                <w:rFonts w:eastAsia="Calibri"/>
                <w:b/>
                <w:color w:val="FFFFFF"/>
                <w:sz w:val="19"/>
                <w:szCs w:val="19"/>
              </w:rPr>
              <w:t>Energy Realization Rate</w:t>
            </w:r>
          </w:p>
        </w:tc>
        <w:tc>
          <w:tcPr>
            <w:tcW w:w="1261" w:type="dxa"/>
            <w:shd w:val="clear" w:color="auto" w:fill="448A99"/>
            <w:vAlign w:val="bottom"/>
            <w:hideMark/>
          </w:tcPr>
          <w:p w:rsidR="00CD1D5B" w:rsidRPr="00A763FD" w:rsidRDefault="00CD1D5B" w:rsidP="005C1352">
            <w:pPr>
              <w:jc w:val="center"/>
              <w:rPr>
                <w:rFonts w:eastAsia="Calibri"/>
                <w:b/>
                <w:color w:val="FFFFFF"/>
                <w:sz w:val="19"/>
                <w:szCs w:val="19"/>
              </w:rPr>
            </w:pPr>
            <w:r w:rsidRPr="00A763FD">
              <w:rPr>
                <w:rFonts w:eastAsia="Calibri"/>
                <w:b/>
                <w:color w:val="FFFFFF"/>
                <w:sz w:val="19"/>
                <w:szCs w:val="19"/>
              </w:rPr>
              <w:t>Relative Precision (Energy)</w:t>
            </w:r>
            <w:r w:rsidRPr="00A763FD">
              <w:rPr>
                <w:rFonts w:eastAsia="Calibri"/>
                <w:b/>
                <w:color w:val="FFFFFF"/>
                <w:sz w:val="19"/>
                <w:szCs w:val="19"/>
                <w:vertAlign w:val="superscript"/>
              </w:rPr>
              <w:t>[a]</w:t>
            </w:r>
          </w:p>
        </w:tc>
        <w:tc>
          <w:tcPr>
            <w:tcW w:w="1261" w:type="dxa"/>
            <w:shd w:val="clear" w:color="auto" w:fill="448A99"/>
            <w:vAlign w:val="bottom"/>
            <w:hideMark/>
          </w:tcPr>
          <w:p w:rsidR="00CD1D5B" w:rsidRPr="00A763FD" w:rsidRDefault="00CD1D5B" w:rsidP="005C1352">
            <w:pPr>
              <w:jc w:val="center"/>
              <w:rPr>
                <w:rFonts w:eastAsia="Calibri"/>
                <w:b/>
                <w:color w:val="FFFFFF"/>
                <w:sz w:val="19"/>
                <w:szCs w:val="19"/>
              </w:rPr>
            </w:pPr>
            <w:r w:rsidRPr="00A763FD">
              <w:rPr>
                <w:rFonts w:eastAsia="Calibri"/>
                <w:b/>
                <w:color w:val="FFFFFF"/>
                <w:sz w:val="19"/>
                <w:szCs w:val="19"/>
              </w:rPr>
              <w:t>Demand Realization Rate</w:t>
            </w:r>
          </w:p>
        </w:tc>
        <w:tc>
          <w:tcPr>
            <w:tcW w:w="1261" w:type="dxa"/>
            <w:shd w:val="clear" w:color="auto" w:fill="448A99"/>
            <w:vAlign w:val="bottom"/>
            <w:hideMark/>
          </w:tcPr>
          <w:p w:rsidR="00CD1D5B" w:rsidRPr="00A763FD" w:rsidRDefault="00CD1D5B" w:rsidP="005C1352">
            <w:pPr>
              <w:jc w:val="center"/>
              <w:rPr>
                <w:rFonts w:eastAsia="Calibri"/>
                <w:b/>
                <w:color w:val="FFFFFF"/>
                <w:sz w:val="19"/>
                <w:szCs w:val="19"/>
              </w:rPr>
            </w:pPr>
            <w:r w:rsidRPr="00A763FD">
              <w:rPr>
                <w:rFonts w:eastAsia="Calibri"/>
                <w:b/>
                <w:color w:val="FFFFFF"/>
                <w:sz w:val="19"/>
                <w:szCs w:val="19"/>
              </w:rPr>
              <w:t>Relative Precision (Demand)</w:t>
            </w:r>
            <w:r w:rsidRPr="00A763FD">
              <w:rPr>
                <w:rFonts w:eastAsia="Calibri"/>
                <w:b/>
                <w:color w:val="FFFFFF"/>
                <w:sz w:val="19"/>
                <w:szCs w:val="19"/>
                <w:vertAlign w:val="superscript"/>
              </w:rPr>
              <w:t>[a]</w:t>
            </w:r>
          </w:p>
        </w:tc>
      </w:tr>
      <w:tr w:rsidR="00A874AC" w:rsidRPr="00A763FD" w:rsidTr="00A763FD">
        <w:trPr>
          <w:trHeight w:val="288"/>
        </w:trPr>
        <w:tc>
          <w:tcPr>
            <w:tcW w:w="4315" w:type="dxa"/>
            <w:shd w:val="clear" w:color="auto" w:fill="D2EAF1"/>
            <w:noWrap/>
            <w:vAlign w:val="center"/>
          </w:tcPr>
          <w:p w:rsidR="00E56FFD" w:rsidRPr="00A763FD" w:rsidRDefault="00E56FFD" w:rsidP="0051612D">
            <w:pPr>
              <w:jc w:val="left"/>
              <w:rPr>
                <w:rFonts w:eastAsia="Calibri"/>
                <w:color w:val="000000"/>
                <w:sz w:val="19"/>
                <w:szCs w:val="19"/>
              </w:rPr>
            </w:pPr>
            <w:r w:rsidRPr="00A763FD">
              <w:rPr>
                <w:rFonts w:eastAsia="Calibri"/>
                <w:sz w:val="19"/>
                <w:szCs w:val="19"/>
              </w:rPr>
              <w:t>Appliance Recycling</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100%</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N/A</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100%</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N/A</w:t>
            </w:r>
          </w:p>
        </w:tc>
      </w:tr>
      <w:tr w:rsidR="00E56FFD" w:rsidRPr="00A763FD" w:rsidTr="00A763FD">
        <w:trPr>
          <w:trHeight w:val="288"/>
        </w:trPr>
        <w:tc>
          <w:tcPr>
            <w:tcW w:w="4315" w:type="dxa"/>
            <w:shd w:val="clear" w:color="auto" w:fill="auto"/>
            <w:noWrap/>
            <w:vAlign w:val="center"/>
          </w:tcPr>
          <w:p w:rsidR="00E56FFD" w:rsidRPr="00A763FD" w:rsidRDefault="00E56FFD" w:rsidP="0051612D">
            <w:pPr>
              <w:jc w:val="left"/>
              <w:rPr>
                <w:rFonts w:eastAsia="Calibri"/>
                <w:sz w:val="19"/>
                <w:szCs w:val="19"/>
              </w:rPr>
            </w:pPr>
            <w:r w:rsidRPr="00A763FD">
              <w:rPr>
                <w:rFonts w:eastAsia="Calibri"/>
                <w:sz w:val="19"/>
                <w:szCs w:val="19"/>
              </w:rPr>
              <w:t>Continuous Energy Improvement</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98.2%</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3.8%</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131.4%</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46.6%</w:t>
            </w:r>
          </w:p>
        </w:tc>
      </w:tr>
      <w:tr w:rsidR="00A874AC" w:rsidRPr="00A763FD" w:rsidTr="00A763FD">
        <w:trPr>
          <w:trHeight w:val="288"/>
        </w:trPr>
        <w:tc>
          <w:tcPr>
            <w:tcW w:w="4315" w:type="dxa"/>
            <w:shd w:val="clear" w:color="auto" w:fill="D2EAF1"/>
            <w:noWrap/>
            <w:vAlign w:val="center"/>
          </w:tcPr>
          <w:p w:rsidR="00E56FFD" w:rsidRPr="00A763FD" w:rsidRDefault="00E56FFD" w:rsidP="0051612D">
            <w:pPr>
              <w:jc w:val="left"/>
              <w:rPr>
                <w:rFonts w:eastAsia="Calibri"/>
                <w:color w:val="000000"/>
                <w:sz w:val="19"/>
                <w:szCs w:val="19"/>
              </w:rPr>
            </w:pPr>
            <w:r w:rsidRPr="00A763FD">
              <w:rPr>
                <w:rFonts w:eastAsia="Calibri"/>
                <w:sz w:val="19"/>
                <w:szCs w:val="19"/>
              </w:rPr>
              <w:t>Custom Incentive</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100.1%</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4.3%</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107%</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N/A</w:t>
            </w:r>
          </w:p>
        </w:tc>
      </w:tr>
      <w:tr w:rsidR="00E56FFD" w:rsidRPr="00A763FD" w:rsidTr="00A763FD">
        <w:trPr>
          <w:trHeight w:val="288"/>
        </w:trPr>
        <w:tc>
          <w:tcPr>
            <w:tcW w:w="4315" w:type="dxa"/>
            <w:shd w:val="clear" w:color="auto" w:fill="auto"/>
            <w:noWrap/>
            <w:vAlign w:val="center"/>
          </w:tcPr>
          <w:p w:rsidR="00E56FFD" w:rsidRPr="00A763FD" w:rsidRDefault="00E56FFD" w:rsidP="0051612D">
            <w:pPr>
              <w:jc w:val="left"/>
              <w:rPr>
                <w:rFonts w:eastAsia="Calibri"/>
                <w:color w:val="000000"/>
                <w:sz w:val="19"/>
                <w:szCs w:val="19"/>
              </w:rPr>
            </w:pPr>
            <w:r w:rsidRPr="00A763FD">
              <w:rPr>
                <w:rFonts w:eastAsia="Calibri"/>
                <w:sz w:val="19"/>
                <w:szCs w:val="19"/>
              </w:rPr>
              <w:t>E-Power Wise</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62.4%</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3.3%</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39.8%</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4.1%</w:t>
            </w:r>
          </w:p>
        </w:tc>
      </w:tr>
      <w:tr w:rsidR="00A874AC" w:rsidRPr="00A763FD" w:rsidTr="00A763FD">
        <w:trPr>
          <w:trHeight w:val="288"/>
        </w:trPr>
        <w:tc>
          <w:tcPr>
            <w:tcW w:w="4315" w:type="dxa"/>
            <w:shd w:val="clear" w:color="auto" w:fill="D2EAF1"/>
            <w:noWrap/>
            <w:vAlign w:val="center"/>
          </w:tcPr>
          <w:p w:rsidR="00E56FFD" w:rsidRPr="00A763FD" w:rsidRDefault="00E56FFD" w:rsidP="0051612D">
            <w:pPr>
              <w:jc w:val="left"/>
              <w:rPr>
                <w:rFonts w:eastAsia="Calibri"/>
                <w:color w:val="000000"/>
                <w:sz w:val="19"/>
                <w:szCs w:val="19"/>
              </w:rPr>
            </w:pPr>
            <w:r w:rsidRPr="00A763FD">
              <w:rPr>
                <w:rFonts w:eastAsia="Calibri"/>
                <w:sz w:val="19"/>
                <w:szCs w:val="19"/>
              </w:rPr>
              <w:t>Low-Income WRAP</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100.1%</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2.3%</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101.7%</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N/A%</w:t>
            </w:r>
          </w:p>
        </w:tc>
      </w:tr>
      <w:tr w:rsidR="00E56FFD" w:rsidRPr="00A763FD" w:rsidTr="00A763FD">
        <w:trPr>
          <w:trHeight w:val="288"/>
        </w:trPr>
        <w:tc>
          <w:tcPr>
            <w:tcW w:w="4315" w:type="dxa"/>
            <w:shd w:val="clear" w:color="auto" w:fill="auto"/>
            <w:noWrap/>
            <w:vAlign w:val="center"/>
          </w:tcPr>
          <w:p w:rsidR="00E56FFD" w:rsidRPr="00A763FD" w:rsidRDefault="00E56FFD" w:rsidP="0051612D">
            <w:pPr>
              <w:jc w:val="left"/>
              <w:rPr>
                <w:rFonts w:eastAsia="Calibri"/>
                <w:color w:val="000000"/>
                <w:sz w:val="19"/>
                <w:szCs w:val="19"/>
              </w:rPr>
            </w:pPr>
            <w:r w:rsidRPr="00A763FD">
              <w:rPr>
                <w:rFonts w:eastAsia="Calibri"/>
                <w:sz w:val="19"/>
                <w:szCs w:val="19"/>
              </w:rPr>
              <w:t>Master Metered Multifamily Housing</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109%</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9.9%</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110%</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7.6%</w:t>
            </w:r>
          </w:p>
        </w:tc>
      </w:tr>
      <w:tr w:rsidR="00A874AC" w:rsidRPr="00A763FD" w:rsidTr="00A763FD">
        <w:trPr>
          <w:trHeight w:val="288"/>
        </w:trPr>
        <w:tc>
          <w:tcPr>
            <w:tcW w:w="4315" w:type="dxa"/>
            <w:shd w:val="clear" w:color="auto" w:fill="D2EAF1"/>
            <w:noWrap/>
            <w:vAlign w:val="center"/>
          </w:tcPr>
          <w:p w:rsidR="00E56FFD" w:rsidRPr="00A763FD" w:rsidRDefault="00E56FFD" w:rsidP="0051612D">
            <w:pPr>
              <w:jc w:val="left"/>
              <w:rPr>
                <w:rFonts w:eastAsia="Calibri"/>
                <w:sz w:val="19"/>
                <w:szCs w:val="19"/>
                <w:vertAlign w:val="superscript"/>
              </w:rPr>
            </w:pPr>
            <w:r w:rsidRPr="00A763FD">
              <w:rPr>
                <w:rFonts w:eastAsia="Calibri"/>
                <w:sz w:val="19"/>
                <w:szCs w:val="19"/>
              </w:rPr>
              <w:t>Prescriptive Equipment</w:t>
            </w:r>
          </w:p>
        </w:tc>
        <w:tc>
          <w:tcPr>
            <w:tcW w:w="1261" w:type="dxa"/>
            <w:shd w:val="clear" w:color="auto" w:fill="D2EAF1"/>
            <w:noWrap/>
            <w:vAlign w:val="center"/>
          </w:tcPr>
          <w:p w:rsidR="00E56FFD" w:rsidRPr="00A763FD" w:rsidRDefault="00E56FFD" w:rsidP="00E56FFD">
            <w:pPr>
              <w:jc w:val="center"/>
              <w:rPr>
                <w:rFonts w:eastAsia="Calibri"/>
                <w:sz w:val="19"/>
                <w:szCs w:val="19"/>
              </w:rPr>
            </w:pPr>
            <w:r w:rsidRPr="00A763FD">
              <w:rPr>
                <w:rFonts w:eastAsia="Calibri"/>
                <w:sz w:val="19"/>
                <w:szCs w:val="19"/>
              </w:rPr>
              <w:t>98.1%</w:t>
            </w:r>
          </w:p>
        </w:tc>
        <w:tc>
          <w:tcPr>
            <w:tcW w:w="1261" w:type="dxa"/>
            <w:shd w:val="clear" w:color="auto" w:fill="D2EAF1"/>
            <w:noWrap/>
            <w:vAlign w:val="center"/>
          </w:tcPr>
          <w:p w:rsidR="00E56FFD" w:rsidRPr="00A763FD" w:rsidRDefault="00E56FFD" w:rsidP="00E56FFD">
            <w:pPr>
              <w:jc w:val="center"/>
              <w:rPr>
                <w:rFonts w:eastAsia="Calibri"/>
                <w:sz w:val="19"/>
                <w:szCs w:val="19"/>
              </w:rPr>
            </w:pPr>
            <w:r w:rsidRPr="00A763FD">
              <w:rPr>
                <w:rFonts w:eastAsia="Calibri"/>
                <w:sz w:val="19"/>
                <w:szCs w:val="19"/>
              </w:rPr>
              <w:t>1.8%</w:t>
            </w:r>
          </w:p>
        </w:tc>
        <w:tc>
          <w:tcPr>
            <w:tcW w:w="1261" w:type="dxa"/>
            <w:shd w:val="clear" w:color="auto" w:fill="D2EAF1"/>
            <w:noWrap/>
            <w:vAlign w:val="center"/>
          </w:tcPr>
          <w:p w:rsidR="00E56FFD" w:rsidRPr="00A763FD" w:rsidRDefault="00E56FFD" w:rsidP="00E56FFD">
            <w:pPr>
              <w:jc w:val="center"/>
              <w:rPr>
                <w:rFonts w:eastAsia="Calibri"/>
                <w:sz w:val="19"/>
                <w:szCs w:val="19"/>
              </w:rPr>
            </w:pPr>
            <w:r w:rsidRPr="00A763FD">
              <w:rPr>
                <w:rFonts w:eastAsia="Calibri"/>
                <w:sz w:val="19"/>
                <w:szCs w:val="19"/>
              </w:rPr>
              <w:t>95.8%</w:t>
            </w:r>
          </w:p>
        </w:tc>
        <w:tc>
          <w:tcPr>
            <w:tcW w:w="1261" w:type="dxa"/>
            <w:shd w:val="clear" w:color="auto" w:fill="D2EAF1"/>
            <w:noWrap/>
            <w:vAlign w:val="center"/>
          </w:tcPr>
          <w:p w:rsidR="00E56FFD" w:rsidRPr="00A763FD" w:rsidRDefault="00E56FFD" w:rsidP="00E56FFD">
            <w:pPr>
              <w:jc w:val="center"/>
              <w:rPr>
                <w:rFonts w:eastAsia="Calibri"/>
                <w:sz w:val="19"/>
                <w:szCs w:val="19"/>
              </w:rPr>
            </w:pPr>
            <w:r w:rsidRPr="00A763FD">
              <w:rPr>
                <w:rFonts w:eastAsia="Calibri"/>
                <w:sz w:val="19"/>
                <w:szCs w:val="19"/>
              </w:rPr>
              <w:t>2.8%</w:t>
            </w:r>
          </w:p>
        </w:tc>
      </w:tr>
      <w:tr w:rsidR="00E56FFD" w:rsidRPr="00A763FD" w:rsidTr="00A763FD">
        <w:trPr>
          <w:trHeight w:val="288"/>
        </w:trPr>
        <w:tc>
          <w:tcPr>
            <w:tcW w:w="4315" w:type="dxa"/>
            <w:shd w:val="clear" w:color="auto" w:fill="auto"/>
            <w:noWrap/>
            <w:vAlign w:val="center"/>
          </w:tcPr>
          <w:p w:rsidR="00E56FFD" w:rsidRPr="00A763FD" w:rsidRDefault="00E56FFD" w:rsidP="0051612D">
            <w:pPr>
              <w:jc w:val="left"/>
              <w:rPr>
                <w:rFonts w:eastAsia="Calibri"/>
                <w:color w:val="000000"/>
                <w:sz w:val="19"/>
                <w:szCs w:val="19"/>
              </w:rPr>
            </w:pPr>
            <w:r w:rsidRPr="00A763FD">
              <w:rPr>
                <w:rFonts w:eastAsia="Calibri"/>
                <w:sz w:val="19"/>
                <w:szCs w:val="19"/>
              </w:rPr>
              <w:t>Residential Energy-Efficiency Behavior and Education</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98.2%</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10.7%</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17.2%</w:t>
            </w:r>
          </w:p>
        </w:tc>
        <w:tc>
          <w:tcPr>
            <w:tcW w:w="1261" w:type="dxa"/>
            <w:shd w:val="clear" w:color="auto" w:fill="auto"/>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29.1%</w:t>
            </w:r>
          </w:p>
        </w:tc>
      </w:tr>
      <w:tr w:rsidR="00A874AC" w:rsidRPr="00A763FD" w:rsidTr="00A763FD">
        <w:trPr>
          <w:trHeight w:val="288"/>
        </w:trPr>
        <w:tc>
          <w:tcPr>
            <w:tcW w:w="4315" w:type="dxa"/>
            <w:shd w:val="clear" w:color="auto" w:fill="D2EAF1"/>
            <w:noWrap/>
            <w:vAlign w:val="center"/>
          </w:tcPr>
          <w:p w:rsidR="00E56FFD" w:rsidRPr="00A763FD" w:rsidRDefault="00E56FFD" w:rsidP="0051612D">
            <w:pPr>
              <w:jc w:val="left"/>
              <w:rPr>
                <w:rFonts w:eastAsia="Calibri"/>
                <w:color w:val="000000"/>
                <w:sz w:val="19"/>
                <w:szCs w:val="19"/>
              </w:rPr>
            </w:pPr>
            <w:r w:rsidRPr="00A763FD">
              <w:rPr>
                <w:rFonts w:eastAsia="Calibri"/>
                <w:sz w:val="19"/>
                <w:szCs w:val="19"/>
              </w:rPr>
              <w:t>Residential Home Comfort</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99.5%</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2.5%</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96.1%</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1.6%</w:t>
            </w:r>
          </w:p>
        </w:tc>
      </w:tr>
      <w:tr w:rsidR="00E56FFD" w:rsidRPr="00A763FD" w:rsidTr="00A763FD">
        <w:trPr>
          <w:trHeight w:val="288"/>
        </w:trPr>
        <w:tc>
          <w:tcPr>
            <w:tcW w:w="4315" w:type="dxa"/>
            <w:shd w:val="clear" w:color="auto" w:fill="auto"/>
            <w:noWrap/>
            <w:vAlign w:val="center"/>
          </w:tcPr>
          <w:p w:rsidR="00E56FFD" w:rsidRPr="00A763FD" w:rsidRDefault="00E56FFD" w:rsidP="0051612D">
            <w:pPr>
              <w:jc w:val="left"/>
              <w:rPr>
                <w:rFonts w:eastAsia="Calibri"/>
                <w:sz w:val="19"/>
                <w:szCs w:val="19"/>
                <w:vertAlign w:val="superscript"/>
              </w:rPr>
            </w:pPr>
            <w:r w:rsidRPr="00A763FD">
              <w:rPr>
                <w:rFonts w:eastAsia="Calibri"/>
                <w:sz w:val="19"/>
                <w:szCs w:val="19"/>
              </w:rPr>
              <w:t>Residential Retail</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100%</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11.5%</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100%</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11.7%</w:t>
            </w:r>
          </w:p>
        </w:tc>
      </w:tr>
      <w:tr w:rsidR="00A874AC" w:rsidRPr="00A763FD" w:rsidTr="00A763FD">
        <w:trPr>
          <w:trHeight w:val="288"/>
        </w:trPr>
        <w:tc>
          <w:tcPr>
            <w:tcW w:w="4315" w:type="dxa"/>
            <w:shd w:val="clear" w:color="auto" w:fill="D2EAF1"/>
            <w:noWrap/>
            <w:vAlign w:val="center"/>
          </w:tcPr>
          <w:p w:rsidR="00E56FFD" w:rsidRPr="00A763FD" w:rsidRDefault="00E56FFD" w:rsidP="0051612D">
            <w:pPr>
              <w:jc w:val="left"/>
              <w:rPr>
                <w:rFonts w:eastAsia="Calibri"/>
                <w:color w:val="000000"/>
                <w:sz w:val="19"/>
                <w:szCs w:val="19"/>
              </w:rPr>
            </w:pPr>
            <w:r w:rsidRPr="00A763FD">
              <w:rPr>
                <w:rFonts w:eastAsia="Calibri"/>
                <w:sz w:val="19"/>
                <w:szCs w:val="19"/>
              </w:rPr>
              <w:t>Low-Income Energy-Efficiency Behavior and Education</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98%</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20.8%</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12.9%</w:t>
            </w:r>
          </w:p>
        </w:tc>
        <w:tc>
          <w:tcPr>
            <w:tcW w:w="1261" w:type="dxa"/>
            <w:shd w:val="clear" w:color="auto" w:fill="D2EAF1"/>
            <w:noWrap/>
            <w:vAlign w:val="center"/>
          </w:tcPr>
          <w:p w:rsidR="00E56FFD" w:rsidRPr="00A763FD" w:rsidRDefault="00E56FFD" w:rsidP="00E56FFD">
            <w:pPr>
              <w:jc w:val="center"/>
              <w:rPr>
                <w:rFonts w:eastAsia="Calibri"/>
                <w:color w:val="000000"/>
                <w:sz w:val="19"/>
                <w:szCs w:val="19"/>
              </w:rPr>
            </w:pPr>
            <w:r w:rsidRPr="00A763FD">
              <w:rPr>
                <w:rFonts w:eastAsia="Calibri"/>
                <w:color w:val="000000"/>
                <w:sz w:val="19"/>
                <w:szCs w:val="19"/>
              </w:rPr>
              <w:t>46.2%</w:t>
            </w:r>
          </w:p>
        </w:tc>
      </w:tr>
      <w:tr w:rsidR="00E56FFD" w:rsidRPr="00A763FD" w:rsidTr="00A763FD">
        <w:trPr>
          <w:trHeight w:val="288"/>
        </w:trPr>
        <w:tc>
          <w:tcPr>
            <w:tcW w:w="4315" w:type="dxa"/>
            <w:shd w:val="clear" w:color="auto" w:fill="auto"/>
            <w:noWrap/>
            <w:vAlign w:val="center"/>
          </w:tcPr>
          <w:p w:rsidR="00E56FFD" w:rsidRPr="00A763FD" w:rsidRDefault="00E56FFD" w:rsidP="0051612D">
            <w:pPr>
              <w:jc w:val="left"/>
              <w:rPr>
                <w:rFonts w:eastAsia="Calibri"/>
                <w:sz w:val="19"/>
                <w:szCs w:val="19"/>
                <w:vertAlign w:val="superscript"/>
              </w:rPr>
            </w:pPr>
            <w:r w:rsidRPr="00A763FD">
              <w:rPr>
                <w:rFonts w:eastAsia="Calibri"/>
                <w:sz w:val="19"/>
                <w:szCs w:val="19"/>
              </w:rPr>
              <w:t>Student &amp; Parent Education</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79.3%</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.9%</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59.3%</w:t>
            </w:r>
          </w:p>
        </w:tc>
        <w:tc>
          <w:tcPr>
            <w:tcW w:w="1261" w:type="dxa"/>
            <w:shd w:val="clear" w:color="auto" w:fill="auto"/>
            <w:noWrap/>
            <w:vAlign w:val="center"/>
          </w:tcPr>
          <w:p w:rsidR="00E56FFD" w:rsidRPr="00A763FD" w:rsidRDefault="00E56FFD" w:rsidP="00E56FFD">
            <w:pPr>
              <w:jc w:val="center"/>
              <w:rPr>
                <w:rFonts w:eastAsia="Calibri"/>
                <w:sz w:val="19"/>
                <w:szCs w:val="19"/>
              </w:rPr>
            </w:pPr>
            <w:r w:rsidRPr="00A763FD">
              <w:rPr>
                <w:rFonts w:eastAsia="Calibri"/>
                <w:sz w:val="19"/>
                <w:szCs w:val="19"/>
              </w:rPr>
              <w:t>1.0%</w:t>
            </w:r>
          </w:p>
        </w:tc>
      </w:tr>
      <w:tr w:rsidR="00A874AC" w:rsidRPr="00A763FD" w:rsidTr="00A763FD">
        <w:trPr>
          <w:trHeight w:val="288"/>
        </w:trPr>
        <w:tc>
          <w:tcPr>
            <w:tcW w:w="4315" w:type="dxa"/>
            <w:shd w:val="clear" w:color="auto" w:fill="D2EAF1"/>
            <w:noWrap/>
            <w:vAlign w:val="center"/>
          </w:tcPr>
          <w:p w:rsidR="00E56FFD" w:rsidRPr="00A763FD" w:rsidRDefault="00E56FFD" w:rsidP="0051612D">
            <w:pPr>
              <w:jc w:val="left"/>
              <w:rPr>
                <w:rFonts w:eastAsia="Calibri"/>
                <w:sz w:val="19"/>
                <w:szCs w:val="19"/>
              </w:rPr>
            </w:pPr>
            <w:r w:rsidRPr="00A763FD">
              <w:rPr>
                <w:rFonts w:eastAsia="Calibri"/>
                <w:sz w:val="19"/>
                <w:szCs w:val="19"/>
              </w:rPr>
              <w:t>School Benchmarking</w:t>
            </w:r>
          </w:p>
        </w:tc>
        <w:tc>
          <w:tcPr>
            <w:tcW w:w="1261" w:type="dxa"/>
            <w:shd w:val="clear" w:color="auto" w:fill="D2EAF1"/>
            <w:noWrap/>
            <w:vAlign w:val="center"/>
          </w:tcPr>
          <w:p w:rsidR="00E56FFD" w:rsidRPr="00A763FD" w:rsidRDefault="00E56FFD" w:rsidP="00E56FFD">
            <w:pPr>
              <w:tabs>
                <w:tab w:val="center" w:pos="599"/>
                <w:tab w:val="left" w:pos="1155"/>
              </w:tabs>
              <w:jc w:val="center"/>
              <w:rPr>
                <w:rFonts w:eastAsia="Calibri"/>
                <w:sz w:val="19"/>
                <w:szCs w:val="19"/>
              </w:rPr>
            </w:pPr>
            <w:r w:rsidRPr="00A763FD">
              <w:rPr>
                <w:rFonts w:eastAsia="Calibri"/>
                <w:sz w:val="19"/>
                <w:szCs w:val="19"/>
              </w:rPr>
              <w:t>0%</w:t>
            </w:r>
          </w:p>
        </w:tc>
        <w:tc>
          <w:tcPr>
            <w:tcW w:w="1261" w:type="dxa"/>
            <w:shd w:val="clear" w:color="auto" w:fill="D2EAF1"/>
            <w:noWrap/>
            <w:vAlign w:val="center"/>
          </w:tcPr>
          <w:p w:rsidR="00E56FFD" w:rsidRPr="00A763FD" w:rsidRDefault="00E56FFD" w:rsidP="00E56FFD">
            <w:pPr>
              <w:jc w:val="center"/>
              <w:rPr>
                <w:rFonts w:eastAsia="Calibri"/>
                <w:sz w:val="19"/>
                <w:szCs w:val="19"/>
              </w:rPr>
            </w:pPr>
            <w:r w:rsidRPr="00A763FD">
              <w:rPr>
                <w:rFonts w:eastAsia="Calibri"/>
                <w:sz w:val="19"/>
                <w:szCs w:val="19"/>
              </w:rPr>
              <w:t>0%</w:t>
            </w:r>
          </w:p>
        </w:tc>
        <w:tc>
          <w:tcPr>
            <w:tcW w:w="1261" w:type="dxa"/>
            <w:shd w:val="clear" w:color="auto" w:fill="D2EAF1"/>
            <w:noWrap/>
            <w:vAlign w:val="center"/>
          </w:tcPr>
          <w:p w:rsidR="00E56FFD" w:rsidRPr="00A763FD" w:rsidRDefault="00E56FFD" w:rsidP="00E56FFD">
            <w:pPr>
              <w:jc w:val="center"/>
              <w:rPr>
                <w:rFonts w:eastAsia="Calibri"/>
                <w:sz w:val="19"/>
                <w:szCs w:val="19"/>
              </w:rPr>
            </w:pPr>
            <w:r w:rsidRPr="00A763FD">
              <w:rPr>
                <w:rFonts w:eastAsia="Calibri"/>
                <w:sz w:val="19"/>
                <w:szCs w:val="19"/>
              </w:rPr>
              <w:t>0%</w:t>
            </w:r>
          </w:p>
        </w:tc>
        <w:tc>
          <w:tcPr>
            <w:tcW w:w="1261" w:type="dxa"/>
            <w:shd w:val="clear" w:color="auto" w:fill="D2EAF1"/>
            <w:noWrap/>
            <w:vAlign w:val="center"/>
          </w:tcPr>
          <w:p w:rsidR="00E56FFD" w:rsidRPr="00A763FD" w:rsidRDefault="00E56FFD" w:rsidP="00E56FFD">
            <w:pPr>
              <w:jc w:val="center"/>
              <w:rPr>
                <w:rFonts w:eastAsia="Calibri"/>
                <w:sz w:val="19"/>
                <w:szCs w:val="19"/>
              </w:rPr>
            </w:pPr>
            <w:r w:rsidRPr="00A763FD">
              <w:rPr>
                <w:rFonts w:eastAsia="Calibri"/>
                <w:sz w:val="19"/>
                <w:szCs w:val="19"/>
              </w:rPr>
              <w:t>0%</w:t>
            </w:r>
          </w:p>
        </w:tc>
      </w:tr>
      <w:tr w:rsidR="00E7173E" w:rsidRPr="00B32B81" w:rsidTr="00A763FD">
        <w:trPr>
          <w:trHeight w:val="300"/>
        </w:trPr>
        <w:tc>
          <w:tcPr>
            <w:tcW w:w="9359" w:type="dxa"/>
            <w:gridSpan w:val="5"/>
            <w:shd w:val="clear" w:color="auto" w:fill="448A99"/>
            <w:noWrap/>
            <w:vAlign w:val="center"/>
          </w:tcPr>
          <w:p w:rsidR="00CD1D5B" w:rsidRPr="00B32B81" w:rsidRDefault="00D90336" w:rsidP="0051612D">
            <w:pPr>
              <w:jc w:val="left"/>
              <w:rPr>
                <w:rFonts w:eastAsia="Calibri"/>
                <w:color w:val="FFFFFF"/>
                <w:sz w:val="18"/>
                <w:szCs w:val="19"/>
              </w:rPr>
            </w:pPr>
            <w:r w:rsidRPr="00B32B81">
              <w:rPr>
                <w:rFonts w:eastAsia="Calibri"/>
                <w:color w:val="FFFFFF"/>
                <w:sz w:val="18"/>
                <w:szCs w:val="19"/>
              </w:rPr>
              <w:t>NOTE</w:t>
            </w:r>
            <w:r w:rsidR="001D0677" w:rsidRPr="00B32B81">
              <w:rPr>
                <w:rFonts w:eastAsia="Calibri"/>
                <w:color w:val="FFFFFF"/>
                <w:sz w:val="18"/>
                <w:szCs w:val="19"/>
              </w:rPr>
              <w:t>S:</w:t>
            </w:r>
          </w:p>
          <w:p w:rsidR="00CD1D5B" w:rsidRPr="00B32B81" w:rsidRDefault="00CD1D5B" w:rsidP="0051612D">
            <w:pPr>
              <w:jc w:val="left"/>
              <w:rPr>
                <w:rFonts w:eastAsia="Calibri"/>
                <w:color w:val="FFFFFF"/>
                <w:sz w:val="18"/>
                <w:szCs w:val="19"/>
              </w:rPr>
            </w:pPr>
            <w:r w:rsidRPr="00B32B81">
              <w:rPr>
                <w:rFonts w:eastAsia="Calibri"/>
                <w:color w:val="FFFFFF"/>
                <w:sz w:val="18"/>
                <w:szCs w:val="19"/>
              </w:rPr>
              <w:t>[a] Relative precision values shown are at the 85% confidence level.</w:t>
            </w:r>
          </w:p>
        </w:tc>
      </w:tr>
    </w:tbl>
    <w:p w:rsidR="00CD1D5B" w:rsidRDefault="00CD1D5B" w:rsidP="00CD1D5B"/>
    <w:p w:rsidR="00B5775F" w:rsidRDefault="00E56FFD" w:rsidP="0055598C">
      <w:pPr>
        <w:pStyle w:val="AppendixAHeading4"/>
      </w:pPr>
      <w:r>
        <w:t>Residential and Low-Income Energy Efficiency Programs</w:t>
      </w:r>
    </w:p>
    <w:p w:rsidR="00E56FFD" w:rsidRDefault="00E56FFD" w:rsidP="00E56FFD">
      <w:r w:rsidRPr="0000776D">
        <w:t>Realization rates for PPL’s residential programs’ energy savings ranged from 62.4% to 10</w:t>
      </w:r>
      <w:r>
        <w:t>0</w:t>
      </w:r>
      <w:r w:rsidRPr="0000776D">
        <w:t xml:space="preserve">%. Realization rates for demand reductions from these programs ranged 12.9% to </w:t>
      </w:r>
      <w:r>
        <w:t>100</w:t>
      </w:r>
      <w:r w:rsidRPr="0000776D">
        <w:t>%.</w:t>
      </w:r>
    </w:p>
    <w:p w:rsidR="00E56FFD" w:rsidRPr="0000776D" w:rsidRDefault="00E56FFD" w:rsidP="00E56FFD">
      <w:pPr>
        <w:rPr>
          <w:highlight w:val="yellow"/>
        </w:rPr>
      </w:pPr>
      <w:r w:rsidRPr="0000776D">
        <w:t xml:space="preserve"> </w:t>
      </w:r>
    </w:p>
    <w:p w:rsidR="00E56FFD" w:rsidRDefault="00E56FFD" w:rsidP="00E56FFD">
      <w:r w:rsidRPr="0000776D">
        <w:t>During PY7, Cadmus performed M&amp;V activities in accordance with PPL’s EM&amp;V Plan to verify PPL’s reported savings. The EM&amp;V Plan describes verification activities for deemed and partially deemed measures using the 2015 TRM as the basis for verifying annual electric energy and demand savings when applicable. For deemed measures, the impact evaluation activities included a basic level of rigor through desk audits (tracking system and file reviews) and phone surveys, including verification of measure installation, measure quantities, and supporting project documentation. Evaluations of programs that did not use deemed measures instead used billing analyses to evaluate measure energy savings.</w:t>
      </w:r>
    </w:p>
    <w:p w:rsidR="00E56FFD" w:rsidRPr="00E169B9" w:rsidRDefault="00E56FFD" w:rsidP="00E56FFD">
      <w:r w:rsidRPr="0000776D">
        <w:t xml:space="preserve"> </w:t>
      </w:r>
    </w:p>
    <w:p w:rsidR="00E56FFD" w:rsidRPr="0000776D" w:rsidRDefault="00E56FFD" w:rsidP="00E56FFD">
      <w:pPr>
        <w:autoSpaceDE w:val="0"/>
        <w:autoSpaceDN w:val="0"/>
        <w:adjustRightInd w:val="0"/>
        <w:rPr>
          <w:highlight w:val="lightGray"/>
        </w:rPr>
      </w:pPr>
      <w:r w:rsidRPr="00E169B9">
        <w:t xml:space="preserve">For PPL’s Appliance Recycling program, Cadmus reviewed all project records and </w:t>
      </w:r>
      <w:r w:rsidRPr="00E169B9">
        <w:rPr>
          <w:rFonts w:cs="Calibri"/>
        </w:rPr>
        <w:t xml:space="preserve">inspected a census of PY7 participant records from the EEMIS database to verify reported savings. Cadmus was not able to reconcile EEMIS records with the JACO’s ICSP’s database because JACO did not provide PY7 data prior to ceasing operations. Since discrepancies were rare in prior evaluations and the ICSP tracking data was unavailable, Cadmus verified all records in EEMIS. Reported savings for room air conditioners assumed average of the locations specified in the 2015 TRM rather than mapping savings to the exact locations. </w:t>
      </w:r>
      <w:r>
        <w:rPr>
          <w:rFonts w:cs="Calibri"/>
        </w:rPr>
        <w:t xml:space="preserve">Adjustments were made to the PY7 program data </w:t>
      </w:r>
      <w:r w:rsidRPr="00E169B9">
        <w:rPr>
          <w:rFonts w:cs="Calibri"/>
        </w:rPr>
        <w:t>by mapping each ZIP code to the specified climate zone city specified in the 2015 TRM.</w:t>
      </w:r>
      <w:r w:rsidRPr="00E169B9">
        <w:t xml:space="preserve"> Overall the program realization rates for energy and demand were 100% and 100%, respectively.</w:t>
      </w:r>
    </w:p>
    <w:p w:rsidR="00E56FFD" w:rsidRPr="0000776D" w:rsidRDefault="00E56FFD" w:rsidP="00E56FFD">
      <w:pPr>
        <w:autoSpaceDE w:val="0"/>
        <w:autoSpaceDN w:val="0"/>
        <w:adjustRightInd w:val="0"/>
        <w:rPr>
          <w:highlight w:val="lightGray"/>
        </w:rPr>
      </w:pPr>
    </w:p>
    <w:p w:rsidR="00E56FFD" w:rsidRPr="00D53D16" w:rsidRDefault="00E56FFD" w:rsidP="00E56FFD">
      <w:pPr>
        <w:rPr>
          <w:highlight w:val="lightGray"/>
        </w:rPr>
      </w:pPr>
      <w:r w:rsidRPr="00D53D16">
        <w:t>To evaluate the energy savings associated with the Residential EE Behavior and Education program, Cadmus analyzed monthly electric bills for a census of program treatment and control group homes. During PY7, there were three treatment groups, each receiving monthly reports for a different length of time. The evaluation methodology is based on IPMVP Option C and employs a regression of customer average daily electricity consumption using a statistical approach detailed by Allcott and Rogers.</w:t>
      </w:r>
      <w:r w:rsidRPr="0000776D">
        <w:rPr>
          <w:vertAlign w:val="superscript"/>
        </w:rPr>
        <w:footnoteReference w:id="76"/>
      </w:r>
      <w:r w:rsidRPr="00D53D16">
        <w:t xml:space="preserve"> PPL reports PY</w:t>
      </w:r>
      <w:r>
        <w:t xml:space="preserve">7 </w:t>
      </w:r>
      <w:r w:rsidRPr="00D53D16">
        <w:t>program net savings of 39,786 MWh/yr attributed to 148,305 participating homes, or an overall average savings of 268 kWh per home. Overall the verified savings equaled the reported energy savings, resulting in a realization rate of 100%. The evaluator also examined the impacts of behavioral programs on participation in other energy efficiency programs, and this is reflected in an adjustment to the final verified gross portfolio savings total.</w:t>
      </w:r>
    </w:p>
    <w:p w:rsidR="00E56FFD" w:rsidRPr="0000776D" w:rsidRDefault="00E56FFD" w:rsidP="00E56FFD">
      <w:pPr>
        <w:autoSpaceDE w:val="0"/>
        <w:autoSpaceDN w:val="0"/>
        <w:adjustRightInd w:val="0"/>
        <w:rPr>
          <w:highlight w:val="lightGray"/>
        </w:rPr>
      </w:pPr>
    </w:p>
    <w:p w:rsidR="00E56FFD" w:rsidRPr="00D53D16" w:rsidRDefault="00E56FFD" w:rsidP="00E56FFD">
      <w:pPr>
        <w:rPr>
          <w:highlight w:val="lightGray"/>
        </w:rPr>
      </w:pPr>
      <w:r w:rsidRPr="00D53D16">
        <w:t>To evaluate the energy savings associated with the Low Income EE Behavior and Education program, Cadmus analyzed monthly electric bills for a census of program treatment and control group homes. During PY7, there were two treatment groups, each receiving monthly reports for a different length of time. The evaluation methodology is based on IPMVP Option C and employs a regression of customer average daily electricity consumption using a statistical approach detailed by Allcott and Rogers.</w:t>
      </w:r>
      <w:r w:rsidRPr="0000776D">
        <w:rPr>
          <w:vertAlign w:val="superscript"/>
        </w:rPr>
        <w:footnoteReference w:id="77"/>
      </w:r>
      <w:r w:rsidRPr="00D53D16">
        <w:t xml:space="preserve"> PPL reports PY7 program net savings of 10,833 MWh/yr attributed to 87,376 participating homes, or an overall average savings of 124 kWh per home. Overall the verified savings were slightly lower than the reported energy savings, resulting in a realization rate of 98%. The evaluator also examined the impacts of behavioral programs on participation in other energy efficiency programs, and this is reflected in an adjustment to the final verified gross portfolio savings total.</w:t>
      </w:r>
    </w:p>
    <w:p w:rsidR="00E56FFD" w:rsidRPr="0000776D" w:rsidRDefault="00E56FFD" w:rsidP="00E56FFD"/>
    <w:p w:rsidR="00E56FFD" w:rsidRDefault="00E56FFD" w:rsidP="00E56FFD">
      <w:r w:rsidRPr="0000776D">
        <w:t>Cadmus’s M&amp;V efforts for the Residential Home Comfort program included quarterly records verification (desk audit). The records review verified the quantities reported in EEMIS and the input parameters necessary to calculate savings using the 2015 TRM. The program realization rate was calculated using findings from the projects chosen from the results of the records review. For verification activity sampling, records were assigned to one of eleven strata. The EM&amp;V sample plan was designed to meet levels of at least 85% confidence and 15% precision at the program level. The energy realization rates in the eleven strata ranged from 88% to 227%, with the overall program realization rate for energy being 99%. The demand realization rates ranged from 88% to 100% across the strata, resulting in an overall program realization rate for demand of 96%.</w:t>
      </w:r>
    </w:p>
    <w:p w:rsidR="00E56FFD" w:rsidRPr="0000776D" w:rsidRDefault="00E56FFD" w:rsidP="00E56FFD">
      <w:pPr>
        <w:rPr>
          <w:highlight w:val="yellow"/>
        </w:rPr>
      </w:pPr>
    </w:p>
    <w:p w:rsidR="00E56FFD" w:rsidRDefault="00E56FFD" w:rsidP="00E56FFD">
      <w:r w:rsidRPr="0000776D">
        <w:t>PPL’s Residential Retail program offers upstream incentives for energy efficient lighting and rebates for energy efficient equipment sold through retailers. In PY7,</w:t>
      </w:r>
      <w:r>
        <w:t xml:space="preserve"> PPL</w:t>
      </w:r>
      <w:r w:rsidRPr="0000776D">
        <w:t xml:space="preserve"> introduced a tiered rebate approach for heat pump water heaters that provides for an increased incentive for units with an energy factor above the minimum threshold for the rebate. For rebated energy efficient equipment, Cadmus looked up specific model numbers for rebated equipment and verified that the appropriate TRM deemed values or algorithms had been used in order to develop ex ante savings adjustments. Cadmus then conducted desk reviews of a simple random sample of rebate forms to verify installation and confirm the quantities reported in the tracking system.</w:t>
      </w:r>
    </w:p>
    <w:p w:rsidR="00E56FFD" w:rsidRPr="0000776D" w:rsidRDefault="00E56FFD" w:rsidP="00E56FFD"/>
    <w:p w:rsidR="00E56FFD" w:rsidRDefault="00E56FFD" w:rsidP="00E56FFD">
      <w:r w:rsidRPr="0000776D">
        <w:t>For the evaluation of the upstream lighting component of the Residential Retail Program, Cadmus verified the database against the implementer-based invoicing system and conducted a complete baseline wattage review and TRM algorithm verification. A cross-sector sales adjustment was made to account for bulbs that were installed in commercial facilities. As in PY6, Cadmus and PPL opted to continue to use the previous cross-sector sales estimate (12%) in PY7. As any baseline or deemed variable adjustments were made to the Ex Ante savings prior to verification, overall the energy realization rate and demand realization rate for the upstream lighting component and the Residential Retail program as a whole was 100%.</w:t>
      </w:r>
    </w:p>
    <w:p w:rsidR="00E56FFD" w:rsidRPr="0000776D" w:rsidRDefault="00E56FFD" w:rsidP="00E56FFD">
      <w:r w:rsidRPr="0000776D">
        <w:t xml:space="preserve"> </w:t>
      </w:r>
    </w:p>
    <w:p w:rsidR="00E56FFD" w:rsidRDefault="00E56FFD" w:rsidP="00E56FFD">
      <w:r w:rsidRPr="0000776D">
        <w:t>The Student and Parent program provides school-based energy efficiency education to students, parents, and teachers and take-home kits of low-cost energy efficiency items to be installed in homes. Cadmus conducted a complete database review, a record review for a sample of participants, a review of student and parent returned home energy worksheets</w:t>
      </w:r>
      <w:r>
        <w:t>,</w:t>
      </w:r>
      <w:r w:rsidRPr="0000776D">
        <w:t xml:space="preserve"> ICSP-administered classroom teacher</w:t>
      </w:r>
      <w:r>
        <w:t xml:space="preserve"> evaluations</w:t>
      </w:r>
      <w:r w:rsidRPr="0000776D">
        <w:t>, teacher workshop, and parent workshop evaluation surveys to verify installation rates and TRM open variables. Cadmus conducted multiple reviews of the EEMIS and ICSP’s databases as well as reviewing the sources</w:t>
      </w:r>
      <w:r w:rsidR="00B71628">
        <w:t xml:space="preserve"> </w:t>
      </w:r>
      <w:r w:rsidRPr="0000776D">
        <w:t>for the records in the databases. It inspected the databases for accuracy and consistency of EEMIS records</w:t>
      </w:r>
      <w:r w:rsidR="00B71628">
        <w:t xml:space="preserve"> </w:t>
      </w:r>
      <w:r w:rsidRPr="0000776D">
        <w:t>against the ICSP records and found minimal discrepancies. Reported savings first were adjusted to align program planning assumptions with 2015 TRM values, and survey data were used to adjust equipment ISRs and installation quantities in order to calculate verified energy and demand savings.</w:t>
      </w:r>
    </w:p>
    <w:p w:rsidR="00B32B81" w:rsidRPr="0000776D" w:rsidRDefault="00B32B81" w:rsidP="00E56FFD"/>
    <w:p w:rsidR="00DB54C9" w:rsidRDefault="00DB54C9" w:rsidP="0055598C">
      <w:pPr>
        <w:pStyle w:val="AppendixAHeading4"/>
      </w:pPr>
      <w:r>
        <w:t>Non-Residential Energy Efficiency Programs</w:t>
      </w:r>
    </w:p>
    <w:p w:rsidR="00DB54C9" w:rsidRPr="00692B92" w:rsidRDefault="00DB54C9" w:rsidP="00DB54C9">
      <w:r w:rsidRPr="00692B92">
        <w:t xml:space="preserve">Realization rates for PPL’s C/I program energy savings ranged from 98.1% to 109.1%. Realization rates for demand reductions from these programs ranged from 95.8% to 131.4%. Relative precisions for these programs ranged from 1.77% to 9.85% for energy savings and from 2.8% to 46.57% for demand reduction at the 85% confidence level. All of PPL’s programs achieved the 15% precision requirement for kWh. Outside of the CEI program, </w:t>
      </w:r>
      <w:r>
        <w:t>PPL</w:t>
      </w:r>
      <w:r w:rsidRPr="00692B92">
        <w:t xml:space="preserve"> also achieved better than 15% precision for demand savings, although this is not a requirement for Phase II.</w:t>
      </w:r>
    </w:p>
    <w:p w:rsidR="00DB54C9" w:rsidRPr="00692B92" w:rsidRDefault="00DB54C9" w:rsidP="00DB54C9">
      <w:pPr>
        <w:rPr>
          <w:color w:val="000000"/>
        </w:rPr>
      </w:pPr>
    </w:p>
    <w:p w:rsidR="00DB54C9" w:rsidRPr="00692B92" w:rsidRDefault="00DB54C9" w:rsidP="00DB54C9">
      <w:pPr>
        <w:rPr>
          <w:color w:val="000000"/>
        </w:rPr>
      </w:pPr>
      <w:r>
        <w:rPr>
          <w:color w:val="000000"/>
        </w:rPr>
        <w:fldChar w:fldCharType="begin"/>
      </w:r>
      <w:r>
        <w:rPr>
          <w:color w:val="000000"/>
        </w:rPr>
        <w:instrText xml:space="preserve"> REF _Ref473527553 \h </w:instrText>
      </w:r>
      <w:r>
        <w:rPr>
          <w:color w:val="000000"/>
        </w:rPr>
      </w:r>
      <w:r>
        <w:rPr>
          <w:color w:val="000000"/>
        </w:rPr>
        <w:fldChar w:fldCharType="separate"/>
      </w:r>
      <w:r w:rsidR="00037CB4">
        <w:t>Figure A-</w:t>
      </w:r>
      <w:r w:rsidR="00037CB4">
        <w:rPr>
          <w:noProof/>
        </w:rPr>
        <w:t>23</w:t>
      </w:r>
      <w:r>
        <w:rPr>
          <w:color w:val="000000"/>
        </w:rPr>
        <w:fldChar w:fldCharType="end"/>
      </w:r>
      <w:r w:rsidRPr="00692B92">
        <w:rPr>
          <w:color w:val="000000"/>
        </w:rPr>
        <w:t xml:space="preserve"> displays the frequency of each M&amp;V approach performed by Cadmus in PY7 for PPL’s Custom Program group evaluation sample and the verified energy savings associated with each M&amp;V approach. </w:t>
      </w:r>
      <w:r w:rsidRPr="00137EE2">
        <w:rPr>
          <w:color w:val="000000"/>
        </w:rPr>
        <w:t>The enhanced rigor used in the evaluations included IPMVP Options A, B, C, and D. Option A combines the measurement of key parameters of retrofitted equipment with the use of stipulated values for other measurement parameters. Option B involves more robust measurement of the retrofitted system’s continuous energy usage, typically through short-term power metering. Option C consists of utility billing analysis to determine energy savings. Typically, 12 months of pre- and post-installation billing data are required for this approach. Option D involves modeling energy performance of a facility before and after the efficiency measure is installed</w:t>
      </w:r>
      <w:r w:rsidRPr="00692B92">
        <w:rPr>
          <w:color w:val="000000"/>
        </w:rPr>
        <w:t>.</w:t>
      </w:r>
    </w:p>
    <w:p w:rsidR="00DB54C9" w:rsidRDefault="00DB54C9" w:rsidP="00DB54C9">
      <w:bookmarkStart w:id="1285" w:name="_Ref407622352"/>
      <w:bookmarkStart w:id="1286" w:name="_Toc408557554"/>
      <w:bookmarkStart w:id="1287" w:name="_Toc408999430"/>
      <w:bookmarkStart w:id="1288" w:name="_Toc409224955"/>
      <w:bookmarkStart w:id="1289" w:name="_Toc409443634"/>
      <w:bookmarkStart w:id="1290" w:name="_Toc431462298"/>
    </w:p>
    <w:p w:rsidR="00DB54C9" w:rsidRPr="00692B92" w:rsidRDefault="00DB54C9" w:rsidP="004837FA">
      <w:pPr>
        <w:pStyle w:val="Caption"/>
      </w:pPr>
      <w:bookmarkStart w:id="1291" w:name="_Ref473527553"/>
      <w:bookmarkStart w:id="1292" w:name="_Toc444269834"/>
      <w:bookmarkStart w:id="1293" w:name="_Toc488742034"/>
      <w:bookmarkEnd w:id="1285"/>
      <w:r>
        <w:t>Figure A-</w:t>
      </w:r>
      <w:r w:rsidR="007973A4">
        <w:fldChar w:fldCharType="begin"/>
      </w:r>
      <w:r w:rsidR="007973A4">
        <w:instrText xml:space="preserve"> SEQ Figure_A- \* AR</w:instrText>
      </w:r>
      <w:r w:rsidR="007973A4">
        <w:instrText xml:space="preserve">ABIC </w:instrText>
      </w:r>
      <w:r w:rsidR="007973A4">
        <w:fldChar w:fldCharType="separate"/>
      </w:r>
      <w:r w:rsidR="00037CB4">
        <w:rPr>
          <w:noProof/>
        </w:rPr>
        <w:t>23</w:t>
      </w:r>
      <w:r w:rsidR="007973A4">
        <w:rPr>
          <w:noProof/>
        </w:rPr>
        <w:fldChar w:fldCharType="end"/>
      </w:r>
      <w:bookmarkEnd w:id="1291"/>
      <w:r>
        <w:t>:</w:t>
      </w:r>
      <w:r w:rsidRPr="00692B92">
        <w:t xml:space="preserve"> </w:t>
      </w:r>
      <w:bookmarkEnd w:id="1286"/>
      <w:bookmarkEnd w:id="1287"/>
      <w:bookmarkEnd w:id="1288"/>
      <w:bookmarkEnd w:id="1289"/>
      <w:bookmarkEnd w:id="1290"/>
      <w:r w:rsidRPr="00692B92">
        <w:t xml:space="preserve">Frequency </w:t>
      </w:r>
      <w:r>
        <w:t xml:space="preserve">of </w:t>
      </w:r>
      <w:r w:rsidRPr="00692B92">
        <w:t xml:space="preserve">and Associated </w:t>
      </w:r>
      <w:r>
        <w:t xml:space="preserve">Energy </w:t>
      </w:r>
      <w:r w:rsidRPr="00692B92">
        <w:t xml:space="preserve">Savings </w:t>
      </w:r>
      <w:r>
        <w:t>by</w:t>
      </w:r>
      <w:r w:rsidRPr="00692B92">
        <w:t xml:space="preserve"> M&amp;V Approach</w:t>
      </w:r>
      <w:r>
        <w:t xml:space="preserve"> –</w:t>
      </w:r>
      <w:r w:rsidRPr="00692B92">
        <w:t xml:space="preserve"> Custom Program</w:t>
      </w:r>
      <w:bookmarkEnd w:id="1292"/>
      <w:bookmarkEnd w:id="1293"/>
    </w:p>
    <w:p w:rsidR="00DB54C9" w:rsidRPr="00692B92" w:rsidRDefault="00DB54C9" w:rsidP="00DB54C9">
      <w:pPr>
        <w:spacing w:before="200"/>
        <w:jc w:val="center"/>
      </w:pPr>
      <w:r w:rsidRPr="00692B92">
        <w:rPr>
          <w:noProof/>
        </w:rPr>
        <w:drawing>
          <wp:inline distT="0" distB="0" distL="0" distR="0" wp14:anchorId="71CB24CF" wp14:editId="195002ED">
            <wp:extent cx="5932368" cy="2166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8">
                      <a:extLst>
                        <a:ext uri="{28A0092B-C50C-407E-A947-70E740481C1C}">
                          <a14:useLocalDpi xmlns:a14="http://schemas.microsoft.com/office/drawing/2010/main" val="0"/>
                        </a:ext>
                      </a:extLst>
                    </a:blip>
                    <a:srcRect t="5081" b="9687"/>
                    <a:stretch/>
                  </pic:blipFill>
                  <pic:spPr bwMode="auto">
                    <a:xfrm>
                      <a:off x="0" y="0"/>
                      <a:ext cx="5948193" cy="2172511"/>
                    </a:xfrm>
                    <a:prstGeom prst="rect">
                      <a:avLst/>
                    </a:prstGeom>
                    <a:noFill/>
                    <a:ln>
                      <a:noFill/>
                    </a:ln>
                    <a:extLst>
                      <a:ext uri="{53640926-AAD7-44D8-BBD7-CCE9431645EC}">
                        <a14:shadowObscured xmlns:a14="http://schemas.microsoft.com/office/drawing/2010/main"/>
                      </a:ext>
                    </a:extLst>
                  </pic:spPr>
                </pic:pic>
              </a:graphicData>
            </a:graphic>
          </wp:inline>
        </w:drawing>
      </w:r>
    </w:p>
    <w:p w:rsidR="00037CB4" w:rsidRDefault="00DB54C9" w:rsidP="00DB54C9">
      <w:r w:rsidRPr="00692B92">
        <w:rPr>
          <w:color w:val="000000"/>
        </w:rPr>
        <w:fldChar w:fldCharType="begin"/>
      </w:r>
      <w:r w:rsidRPr="00692B92">
        <w:rPr>
          <w:color w:val="000000"/>
        </w:rPr>
        <w:instrText xml:space="preserve"> REF _Ref407622352 \h  \* MERGEFORMAT </w:instrText>
      </w:r>
      <w:r w:rsidRPr="00692B92">
        <w:rPr>
          <w:color w:val="000000"/>
        </w:rPr>
      </w:r>
      <w:r w:rsidRPr="00692B92">
        <w:rPr>
          <w:color w:val="000000"/>
        </w:rPr>
        <w:fldChar w:fldCharType="separate"/>
      </w:r>
    </w:p>
    <w:p w:rsidR="00DB54C9" w:rsidRPr="00692B92" w:rsidRDefault="00DB54C9" w:rsidP="00DB54C9">
      <w:pPr>
        <w:rPr>
          <w:color w:val="000000"/>
        </w:rPr>
      </w:pPr>
      <w:r w:rsidRPr="00692B92">
        <w:rPr>
          <w:color w:val="000000"/>
        </w:rPr>
        <w:fldChar w:fldCharType="end"/>
      </w:r>
      <w:r w:rsidR="00C345F8">
        <w:rPr>
          <w:color w:val="000000"/>
        </w:rPr>
        <w:fldChar w:fldCharType="begin"/>
      </w:r>
      <w:r w:rsidR="00C345F8">
        <w:rPr>
          <w:color w:val="000000"/>
        </w:rPr>
        <w:instrText xml:space="preserve"> REF _Ref473527553 \h </w:instrText>
      </w:r>
      <w:r w:rsidR="00C345F8">
        <w:rPr>
          <w:color w:val="000000"/>
        </w:rPr>
      </w:r>
      <w:r w:rsidR="00C345F8">
        <w:rPr>
          <w:color w:val="000000"/>
        </w:rPr>
        <w:fldChar w:fldCharType="separate"/>
      </w:r>
      <w:r w:rsidR="00037CB4">
        <w:t>Figure A-</w:t>
      </w:r>
      <w:r w:rsidR="00037CB4">
        <w:rPr>
          <w:noProof/>
        </w:rPr>
        <w:t>23</w:t>
      </w:r>
      <w:r w:rsidR="00C345F8">
        <w:rPr>
          <w:color w:val="000000"/>
        </w:rPr>
        <w:fldChar w:fldCharType="end"/>
      </w:r>
      <w:r w:rsidR="00C345F8" w:rsidRPr="00692B92">
        <w:rPr>
          <w:color w:val="000000"/>
        </w:rPr>
        <w:t xml:space="preserve"> </w:t>
      </w:r>
      <w:r w:rsidRPr="00692B92">
        <w:rPr>
          <w:color w:val="000000"/>
        </w:rPr>
        <w:t>indicates that Cadmus used Option A for 64% of the projects selected for sampling. However, these projects accounted for 49% of the sample’s energy savings. Option B was used for only 21% of projects, but they accounted for 39% of the savings. Options C and D were only used on 4% and 11% of projects, respectively, and these projects accounted for similar proportions of the program’s savings.</w:t>
      </w:r>
    </w:p>
    <w:p w:rsidR="00DB54C9" w:rsidRPr="00692B92" w:rsidRDefault="00DB54C9" w:rsidP="00DB54C9">
      <w:pPr>
        <w:rPr>
          <w:color w:val="000000"/>
        </w:rPr>
      </w:pPr>
    </w:p>
    <w:p w:rsidR="00DB54C9" w:rsidRPr="00692B92" w:rsidRDefault="00DB54C9" w:rsidP="00DB54C9">
      <w:r w:rsidRPr="00692B92">
        <w:rPr>
          <w:color w:val="000000"/>
        </w:rPr>
        <w:t>During PY7, PPL applied various evaluation approaches to verify its reported savings. The level of rigor used to evaluate projects sampled followed each program’s corresponding QA/QC and EM&amp;V plans. The MMMF program used site visit and records review for the entire sample.</w:t>
      </w:r>
      <w:r w:rsidRPr="00692B92">
        <w:t xml:space="preserve"> </w:t>
      </w:r>
      <w:r w:rsidRPr="00692B92">
        <w:rPr>
          <w:color w:val="000000"/>
        </w:rPr>
        <w:t xml:space="preserve">The Prescriptive Equipment Non-Lighting </w:t>
      </w:r>
      <w:r>
        <w:rPr>
          <w:color w:val="000000"/>
        </w:rPr>
        <w:t>P</w:t>
      </w:r>
      <w:r w:rsidRPr="00692B92">
        <w:rPr>
          <w:color w:val="000000"/>
        </w:rPr>
        <w:t>rogram was evaluated with basic rigor using desk reviews and phone verifications. The Prescriptive Equipment Lighting Program used site visits and file reviews for the entire sample. The CEI Program used Option C for its entire evaluation sample.</w:t>
      </w:r>
    </w:p>
    <w:p w:rsidR="00A763FD" w:rsidRPr="00CD1D5B" w:rsidRDefault="00A763FD" w:rsidP="00CD1D5B"/>
    <w:p w:rsidR="00950837" w:rsidRDefault="00950837" w:rsidP="009C0DF1">
      <w:pPr>
        <w:pStyle w:val="AppendixAHeading3"/>
      </w:pPr>
      <w:r>
        <w:t>Process Evaluation Activities and Findings</w:t>
      </w:r>
    </w:p>
    <w:p w:rsidR="00183636" w:rsidRPr="00661E10" w:rsidRDefault="00183636" w:rsidP="00183636">
      <w:r w:rsidRPr="00661E10">
        <w:t xml:space="preserve">The process evaluation conducted by Cadmus involved review of key program documentation; interviews with program staff, implementers, program-affiliated contractors, and community-based organizations; and surveys with program participants, partial participants, and nonparticipants, although not every evaluation included all of these activities. </w:t>
      </w:r>
      <w:r>
        <w:fldChar w:fldCharType="begin"/>
      </w:r>
      <w:r>
        <w:instrText xml:space="preserve"> REF _Ref472450841 \h </w:instrText>
      </w:r>
      <w:r>
        <w:fldChar w:fldCharType="separate"/>
      </w:r>
      <w:r w:rsidR="00037CB4">
        <w:t>Table A-</w:t>
      </w:r>
      <w:r w:rsidR="00037CB4">
        <w:rPr>
          <w:noProof/>
        </w:rPr>
        <w:t>141</w:t>
      </w:r>
      <w:r>
        <w:fldChar w:fldCharType="end"/>
      </w:r>
      <w:r>
        <w:t xml:space="preserve"> </w:t>
      </w:r>
      <w:r w:rsidRPr="00661E10">
        <w:t>summarizes the data sources Cadmus used and its key findings for each program.</w:t>
      </w:r>
    </w:p>
    <w:p w:rsidR="00183636" w:rsidRPr="00661E10" w:rsidRDefault="00183636" w:rsidP="00183636"/>
    <w:p w:rsidR="00183636" w:rsidRPr="00CE056F" w:rsidRDefault="00183636" w:rsidP="004837FA">
      <w:pPr>
        <w:pStyle w:val="Caption"/>
      </w:pPr>
      <w:bookmarkStart w:id="1294" w:name="_Ref472450841"/>
      <w:bookmarkStart w:id="1295" w:name="_Toc472472550"/>
      <w:bookmarkStart w:id="1296" w:name="_Toc488741969"/>
      <w:r>
        <w:t>Table A-</w:t>
      </w:r>
      <w:r w:rsidR="007973A4">
        <w:fldChar w:fldCharType="begin"/>
      </w:r>
      <w:r w:rsidR="007973A4">
        <w:instrText xml:space="preserve"> SEQ Table_A- \* ARABIC </w:instrText>
      </w:r>
      <w:r w:rsidR="007973A4">
        <w:fldChar w:fldCharType="separate"/>
      </w:r>
      <w:r w:rsidR="00037CB4">
        <w:rPr>
          <w:noProof/>
        </w:rPr>
        <w:t>141</w:t>
      </w:r>
      <w:r w:rsidR="007973A4">
        <w:rPr>
          <w:noProof/>
        </w:rPr>
        <w:fldChar w:fldCharType="end"/>
      </w:r>
      <w:bookmarkEnd w:id="1294"/>
      <w:r>
        <w:t>:</w:t>
      </w:r>
      <w:r w:rsidRPr="00CE056F">
        <w:t xml:space="preserve"> </w:t>
      </w:r>
      <w:r w:rsidRPr="00CE056F">
        <w:rPr>
          <w:rStyle w:val="CaptionChar1"/>
          <w:b/>
          <w:bCs/>
        </w:rPr>
        <w:t>Summary of Key Findings and Data Sources – PP</w:t>
      </w:r>
      <w:r w:rsidRPr="00CE056F">
        <w:t>L</w:t>
      </w:r>
      <w:bookmarkEnd w:id="1295"/>
      <w:bookmarkEnd w:id="1296"/>
    </w:p>
    <w:tbl>
      <w:tblPr>
        <w:tblW w:w="944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839"/>
        <w:gridCol w:w="4923"/>
        <w:gridCol w:w="2678"/>
      </w:tblGrid>
      <w:tr w:rsidR="00A874AC" w:rsidRPr="00A763FD" w:rsidTr="00B32B81">
        <w:trPr>
          <w:cantSplit/>
          <w:trHeight w:val="141"/>
          <w:tblHeader/>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183636" w:rsidRPr="00A763FD" w:rsidRDefault="00183636" w:rsidP="005C1352">
            <w:pPr>
              <w:jc w:val="left"/>
              <w:rPr>
                <w:b/>
                <w:color w:val="FFFFFF"/>
                <w:sz w:val="19"/>
                <w:szCs w:val="19"/>
              </w:rPr>
            </w:pPr>
            <w:r w:rsidRPr="00A763FD">
              <w:rPr>
                <w:b/>
                <w:color w:val="FFFFFF"/>
                <w:sz w:val="19"/>
                <w:szCs w:val="19"/>
              </w:rPr>
              <w:t>Program</w:t>
            </w:r>
          </w:p>
        </w:tc>
        <w:tc>
          <w:tcPr>
            <w:tcW w:w="492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183636" w:rsidRPr="00A763FD" w:rsidRDefault="00183636" w:rsidP="005C1352">
            <w:pPr>
              <w:jc w:val="center"/>
              <w:rPr>
                <w:b/>
                <w:color w:val="FFFFFF"/>
                <w:sz w:val="19"/>
                <w:szCs w:val="19"/>
              </w:rPr>
            </w:pPr>
            <w:r w:rsidRPr="00A763FD">
              <w:rPr>
                <w:b/>
                <w:color w:val="FFFFFF"/>
                <w:sz w:val="19"/>
                <w:szCs w:val="19"/>
              </w:rPr>
              <w:t>Key Findings</w:t>
            </w:r>
          </w:p>
        </w:tc>
        <w:tc>
          <w:tcPr>
            <w:tcW w:w="2678"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183636" w:rsidRPr="00A763FD" w:rsidRDefault="00183636" w:rsidP="005C1352">
            <w:pPr>
              <w:jc w:val="center"/>
              <w:rPr>
                <w:b/>
                <w:color w:val="FFFFFF"/>
                <w:sz w:val="19"/>
                <w:szCs w:val="19"/>
              </w:rPr>
            </w:pPr>
            <w:r w:rsidRPr="00A763FD">
              <w:rPr>
                <w:b/>
                <w:color w:val="FFFFFF"/>
                <w:sz w:val="19"/>
                <w:szCs w:val="19"/>
              </w:rPr>
              <w:t>Data Sources</w:t>
            </w:r>
          </w:p>
        </w:tc>
      </w:tr>
      <w:tr w:rsidR="00E7173E" w:rsidRPr="00A763FD" w:rsidTr="00B32B81">
        <w:trPr>
          <w:trHeight w:val="141"/>
          <w:jc w:val="center"/>
        </w:trPr>
        <w:tc>
          <w:tcPr>
            <w:tcW w:w="9440" w:type="dxa"/>
            <w:gridSpan w:val="3"/>
            <w:tcBorders>
              <w:top w:val="single" w:sz="8" w:space="0" w:color="448A99"/>
              <w:left w:val="single" w:sz="8" w:space="0" w:color="448A99"/>
              <w:bottom w:val="single" w:sz="8" w:space="0" w:color="448A99"/>
              <w:right w:val="single" w:sz="8" w:space="0" w:color="448A99"/>
            </w:tcBorders>
            <w:shd w:val="clear" w:color="auto" w:fill="9C9393"/>
            <w:hideMark/>
          </w:tcPr>
          <w:p w:rsidR="00183636" w:rsidRPr="00A763FD" w:rsidRDefault="00183636" w:rsidP="005C1352">
            <w:pPr>
              <w:jc w:val="left"/>
              <w:rPr>
                <w:b/>
                <w:i/>
                <w:color w:val="FFFFFF"/>
                <w:sz w:val="19"/>
                <w:szCs w:val="19"/>
              </w:rPr>
            </w:pPr>
            <w:r w:rsidRPr="00A763FD">
              <w:rPr>
                <w:b/>
                <w:color w:val="FFFFFF"/>
                <w:sz w:val="19"/>
                <w:szCs w:val="19"/>
              </w:rPr>
              <w:t>Residential Sector</w:t>
            </w:r>
          </w:p>
        </w:tc>
      </w:tr>
      <w:tr w:rsidR="00A874AC"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A763FD" w:rsidRDefault="00183636" w:rsidP="005C1352">
            <w:pPr>
              <w:jc w:val="left"/>
              <w:rPr>
                <w:sz w:val="19"/>
                <w:szCs w:val="19"/>
              </w:rPr>
            </w:pPr>
            <w:r w:rsidRPr="00A763FD">
              <w:rPr>
                <w:sz w:val="19"/>
                <w:szCs w:val="19"/>
              </w:rPr>
              <w:t>Residential Energy-Efficiency Behavior and Education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A763FD" w:rsidRDefault="00183636" w:rsidP="009349F1">
            <w:pPr>
              <w:numPr>
                <w:ilvl w:val="0"/>
                <w:numId w:val="12"/>
              </w:numPr>
              <w:autoSpaceDE w:val="0"/>
              <w:autoSpaceDN w:val="0"/>
              <w:adjustRightInd w:val="0"/>
              <w:ind w:left="232" w:hanging="180"/>
              <w:contextualSpacing/>
              <w:jc w:val="left"/>
              <w:rPr>
                <w:rFonts w:cs="Calibri"/>
                <w:sz w:val="19"/>
                <w:szCs w:val="19"/>
              </w:rPr>
            </w:pPr>
            <w:r w:rsidRPr="00A763FD">
              <w:rPr>
                <w:sz w:val="19"/>
                <w:szCs w:val="19"/>
              </w:rPr>
              <w:t xml:space="preserve">The program did not meet its participation </w:t>
            </w:r>
            <w:r w:rsidR="00D70A28" w:rsidRPr="00A763FD">
              <w:rPr>
                <w:sz w:val="19"/>
                <w:szCs w:val="19"/>
              </w:rPr>
              <w:t xml:space="preserve">plans </w:t>
            </w:r>
            <w:r w:rsidRPr="00A763FD">
              <w:rPr>
                <w:sz w:val="19"/>
                <w:szCs w:val="19"/>
              </w:rPr>
              <w:t xml:space="preserve">in PY7 due to attrition during PY6, but did exceed its </w:t>
            </w:r>
            <w:r w:rsidR="00D70A28" w:rsidRPr="00A763FD">
              <w:rPr>
                <w:sz w:val="19"/>
                <w:szCs w:val="19"/>
              </w:rPr>
              <w:t xml:space="preserve">plans for </w:t>
            </w:r>
            <w:r w:rsidRPr="00A763FD">
              <w:rPr>
                <w:sz w:val="19"/>
                <w:szCs w:val="19"/>
              </w:rPr>
              <w:t>energy savings.</w:t>
            </w:r>
          </w:p>
          <w:p w:rsidR="00183636" w:rsidRPr="00A763FD" w:rsidRDefault="00183636" w:rsidP="009349F1">
            <w:pPr>
              <w:numPr>
                <w:ilvl w:val="0"/>
                <w:numId w:val="12"/>
              </w:numPr>
              <w:autoSpaceDE w:val="0"/>
              <w:autoSpaceDN w:val="0"/>
              <w:adjustRightInd w:val="0"/>
              <w:ind w:left="232" w:hanging="180"/>
              <w:contextualSpacing/>
              <w:jc w:val="left"/>
              <w:rPr>
                <w:rFonts w:cs="Calibri"/>
                <w:sz w:val="19"/>
                <w:szCs w:val="19"/>
              </w:rPr>
            </w:pPr>
            <w:r w:rsidRPr="00A763FD">
              <w:rPr>
                <w:sz w:val="19"/>
                <w:szCs w:val="19"/>
              </w:rPr>
              <w:t>Due to higher than expected savings, the program ceased delivery of HERs at the end of Q2 in PY7.</w:t>
            </w:r>
          </w:p>
          <w:p w:rsidR="00183636" w:rsidRPr="00A763FD" w:rsidRDefault="00183636" w:rsidP="009349F1">
            <w:pPr>
              <w:numPr>
                <w:ilvl w:val="0"/>
                <w:numId w:val="12"/>
              </w:numPr>
              <w:autoSpaceDE w:val="0"/>
              <w:autoSpaceDN w:val="0"/>
              <w:adjustRightInd w:val="0"/>
              <w:ind w:left="232" w:hanging="180"/>
              <w:contextualSpacing/>
              <w:jc w:val="left"/>
              <w:rPr>
                <w:rFonts w:cs="Calibri"/>
                <w:sz w:val="19"/>
                <w:szCs w:val="19"/>
              </w:rPr>
            </w:pPr>
            <w:r w:rsidRPr="00A763FD">
              <w:rPr>
                <w:sz w:val="19"/>
                <w:szCs w:val="19"/>
              </w:rPr>
              <w:t>The program manager and implementer did not report any implementation challenges in PY7.</w:t>
            </w:r>
          </w:p>
          <w:p w:rsidR="00183636" w:rsidRPr="00A763FD" w:rsidRDefault="00183636" w:rsidP="009349F1">
            <w:pPr>
              <w:numPr>
                <w:ilvl w:val="0"/>
                <w:numId w:val="12"/>
              </w:numPr>
              <w:autoSpaceDE w:val="0"/>
              <w:autoSpaceDN w:val="0"/>
              <w:adjustRightInd w:val="0"/>
              <w:ind w:left="232" w:hanging="180"/>
              <w:contextualSpacing/>
              <w:jc w:val="left"/>
              <w:rPr>
                <w:rFonts w:cs="Calibri"/>
                <w:sz w:val="19"/>
                <w:szCs w:val="19"/>
              </w:rPr>
            </w:pPr>
            <w:r w:rsidRPr="00A763FD">
              <w:rPr>
                <w:sz w:val="19"/>
                <w:szCs w:val="19"/>
              </w:rPr>
              <w:t>The shortened report delivery period during PY7 resulted in fewer customer calls to the call center.</w:t>
            </w:r>
          </w:p>
          <w:p w:rsidR="003F09E3" w:rsidRPr="00A763FD" w:rsidRDefault="003F09E3" w:rsidP="009349F1">
            <w:pPr>
              <w:numPr>
                <w:ilvl w:val="0"/>
                <w:numId w:val="12"/>
              </w:numPr>
              <w:autoSpaceDE w:val="0"/>
              <w:autoSpaceDN w:val="0"/>
              <w:adjustRightInd w:val="0"/>
              <w:ind w:left="232" w:hanging="180"/>
              <w:contextualSpacing/>
              <w:jc w:val="left"/>
              <w:rPr>
                <w:rFonts w:cs="Calibri"/>
                <w:sz w:val="19"/>
                <w:szCs w:val="19"/>
              </w:rPr>
            </w:pPr>
            <w:r w:rsidRPr="00A763FD">
              <w:rPr>
                <w:sz w:val="19"/>
                <w:szCs w:val="19"/>
              </w:rPr>
              <w:t>The HERs provided an aggregate uplift in participation in (12%) and savings (5%) from other PPL energy efficiency programs.</w:t>
            </w:r>
          </w:p>
        </w:tc>
        <w:tc>
          <w:tcPr>
            <w:tcW w:w="2678"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Program staff and implementer interviews (n=2)</w:t>
            </w:r>
          </w:p>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Program database and HERs recipient records</w:t>
            </w:r>
          </w:p>
          <w:p w:rsidR="00183636" w:rsidRPr="00A763FD" w:rsidRDefault="00D70A28" w:rsidP="009349F1">
            <w:pPr>
              <w:numPr>
                <w:ilvl w:val="0"/>
                <w:numId w:val="12"/>
              </w:numPr>
              <w:autoSpaceDE w:val="0"/>
              <w:autoSpaceDN w:val="0"/>
              <w:adjustRightInd w:val="0"/>
              <w:ind w:left="232" w:hanging="180"/>
              <w:contextualSpacing/>
              <w:jc w:val="left"/>
              <w:rPr>
                <w:sz w:val="19"/>
                <w:szCs w:val="19"/>
              </w:rPr>
            </w:pPr>
            <w:r w:rsidRPr="00A763FD">
              <w:rPr>
                <w:sz w:val="19"/>
                <w:szCs w:val="19"/>
              </w:rPr>
              <w:t>EEMIS</w:t>
            </w:r>
            <w:r w:rsidR="00183636" w:rsidRPr="00A763FD">
              <w:rPr>
                <w:sz w:val="19"/>
                <w:szCs w:val="19"/>
              </w:rPr>
              <w:t xml:space="preserve"> database</w:t>
            </w:r>
          </w:p>
        </w:tc>
      </w:tr>
      <w:tr w:rsidR="00E7173E"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183636" w:rsidRPr="00A763FD" w:rsidRDefault="00183636" w:rsidP="005C1352">
            <w:pPr>
              <w:jc w:val="left"/>
              <w:rPr>
                <w:sz w:val="19"/>
                <w:szCs w:val="19"/>
              </w:rPr>
            </w:pPr>
            <w:r w:rsidRPr="00A763FD">
              <w:rPr>
                <w:sz w:val="19"/>
                <w:szCs w:val="19"/>
              </w:rPr>
              <w:t>Residential Home Comfort Program</w:t>
            </w:r>
          </w:p>
        </w:tc>
        <w:tc>
          <w:tcPr>
            <w:tcW w:w="4923" w:type="dxa"/>
            <w:tcBorders>
              <w:top w:val="single" w:sz="8" w:space="0" w:color="448A99"/>
              <w:left w:val="single" w:sz="8" w:space="0" w:color="448A99"/>
              <w:bottom w:val="single" w:sz="8" w:space="0" w:color="448A99"/>
              <w:right w:val="single" w:sz="8" w:space="0" w:color="448A99"/>
            </w:tcBorders>
            <w:hideMark/>
          </w:tcPr>
          <w:p w:rsidR="00183636" w:rsidRPr="00A763FD" w:rsidRDefault="00183636" w:rsidP="009349F1">
            <w:pPr>
              <w:numPr>
                <w:ilvl w:val="0"/>
                <w:numId w:val="11"/>
              </w:numPr>
              <w:autoSpaceDE w:val="0"/>
              <w:autoSpaceDN w:val="0"/>
              <w:adjustRightInd w:val="0"/>
              <w:ind w:left="187" w:hanging="187"/>
              <w:contextualSpacing/>
              <w:jc w:val="left"/>
              <w:rPr>
                <w:rFonts w:cs="Calibri"/>
                <w:sz w:val="19"/>
                <w:szCs w:val="19"/>
              </w:rPr>
            </w:pPr>
            <w:r w:rsidRPr="00A763FD">
              <w:rPr>
                <w:sz w:val="19"/>
                <w:szCs w:val="19"/>
              </w:rPr>
              <w:t xml:space="preserve">Overall, the program met its energy savings and participation </w:t>
            </w:r>
            <w:r w:rsidR="004479A9" w:rsidRPr="00A763FD">
              <w:rPr>
                <w:sz w:val="19"/>
                <w:szCs w:val="19"/>
              </w:rPr>
              <w:t xml:space="preserve">plans </w:t>
            </w:r>
            <w:r w:rsidRPr="00A763FD">
              <w:rPr>
                <w:sz w:val="19"/>
                <w:szCs w:val="19"/>
              </w:rPr>
              <w:t>for PY7 and Phase II.</w:t>
            </w:r>
          </w:p>
          <w:p w:rsidR="00183636" w:rsidRPr="00A763FD" w:rsidRDefault="00183636" w:rsidP="009349F1">
            <w:pPr>
              <w:numPr>
                <w:ilvl w:val="0"/>
                <w:numId w:val="11"/>
              </w:numPr>
              <w:autoSpaceDE w:val="0"/>
              <w:autoSpaceDN w:val="0"/>
              <w:adjustRightInd w:val="0"/>
              <w:ind w:left="187" w:hanging="187"/>
              <w:contextualSpacing/>
              <w:jc w:val="left"/>
              <w:rPr>
                <w:rFonts w:cs="Calibri"/>
                <w:sz w:val="19"/>
                <w:szCs w:val="19"/>
              </w:rPr>
            </w:pPr>
            <w:r w:rsidRPr="00A763FD">
              <w:rPr>
                <w:sz w:val="19"/>
                <w:szCs w:val="19"/>
              </w:rPr>
              <w:t>Over one-third (38%) of audit participants installed measures, but high up</w:t>
            </w:r>
            <w:r w:rsidR="00D90336" w:rsidRPr="00A763FD">
              <w:rPr>
                <w:sz w:val="19"/>
                <w:szCs w:val="19"/>
              </w:rPr>
              <w:t>-</w:t>
            </w:r>
            <w:r w:rsidRPr="00A763FD">
              <w:rPr>
                <w:sz w:val="19"/>
                <w:szCs w:val="19"/>
              </w:rPr>
              <w:t>front costs of an audit continued to be a barrier to participation in PY7.</w:t>
            </w:r>
          </w:p>
          <w:p w:rsidR="00183636" w:rsidRPr="00A763FD" w:rsidRDefault="00183636" w:rsidP="009349F1">
            <w:pPr>
              <w:numPr>
                <w:ilvl w:val="0"/>
                <w:numId w:val="11"/>
              </w:numPr>
              <w:autoSpaceDE w:val="0"/>
              <w:autoSpaceDN w:val="0"/>
              <w:adjustRightInd w:val="0"/>
              <w:ind w:left="187" w:hanging="187"/>
              <w:jc w:val="left"/>
              <w:rPr>
                <w:sz w:val="19"/>
                <w:szCs w:val="19"/>
              </w:rPr>
            </w:pPr>
            <w:r w:rsidRPr="00A763FD">
              <w:rPr>
                <w:sz w:val="19"/>
                <w:szCs w:val="19"/>
              </w:rPr>
              <w:t>Ductless heat pumps achieved the most savings in PY7. The new products added in PY7, particularly the central air conditioners, were successful at increasing energy savings.</w:t>
            </w:r>
          </w:p>
          <w:p w:rsidR="00183636" w:rsidRPr="00A763FD" w:rsidRDefault="00183636" w:rsidP="009349F1">
            <w:pPr>
              <w:numPr>
                <w:ilvl w:val="0"/>
                <w:numId w:val="11"/>
              </w:numPr>
              <w:autoSpaceDE w:val="0"/>
              <w:autoSpaceDN w:val="0"/>
              <w:adjustRightInd w:val="0"/>
              <w:ind w:left="187" w:hanging="187"/>
              <w:contextualSpacing/>
              <w:jc w:val="left"/>
              <w:rPr>
                <w:rFonts w:cs="Calibri"/>
                <w:sz w:val="19"/>
                <w:szCs w:val="19"/>
              </w:rPr>
            </w:pPr>
            <w:r w:rsidRPr="00A763FD">
              <w:rPr>
                <w:sz w:val="19"/>
                <w:szCs w:val="19"/>
              </w:rPr>
              <w:t>The new homes prescriptive path (n=2) and manufactured home offerings (n=1) continued to not perform as well as planned.</w:t>
            </w:r>
          </w:p>
          <w:p w:rsidR="00183636" w:rsidRPr="00A763FD" w:rsidRDefault="00183636" w:rsidP="009349F1">
            <w:pPr>
              <w:numPr>
                <w:ilvl w:val="0"/>
                <w:numId w:val="11"/>
              </w:numPr>
              <w:autoSpaceDE w:val="0"/>
              <w:autoSpaceDN w:val="0"/>
              <w:adjustRightInd w:val="0"/>
              <w:ind w:left="187" w:hanging="187"/>
              <w:contextualSpacing/>
              <w:jc w:val="left"/>
              <w:rPr>
                <w:rFonts w:cs="Calibri"/>
                <w:sz w:val="19"/>
                <w:szCs w:val="19"/>
              </w:rPr>
            </w:pPr>
            <w:r w:rsidRPr="00A763FD">
              <w:rPr>
                <w:sz w:val="19"/>
                <w:szCs w:val="19"/>
              </w:rPr>
              <w:t>The rigidity of the prescriptive paths, in which contractors had to install specific products, led to lower participation. The HERS new home approach performed better than planned because contractors had some flexibility in choosing qualified measures.</w:t>
            </w:r>
          </w:p>
          <w:p w:rsidR="00183636" w:rsidRPr="00A763FD" w:rsidRDefault="00183636" w:rsidP="009349F1">
            <w:pPr>
              <w:numPr>
                <w:ilvl w:val="0"/>
                <w:numId w:val="11"/>
              </w:numPr>
              <w:autoSpaceDE w:val="0"/>
              <w:autoSpaceDN w:val="0"/>
              <w:adjustRightInd w:val="0"/>
              <w:ind w:left="187" w:hanging="187"/>
              <w:contextualSpacing/>
              <w:jc w:val="left"/>
              <w:rPr>
                <w:rFonts w:cs="Calibri"/>
                <w:sz w:val="19"/>
                <w:szCs w:val="19"/>
              </w:rPr>
            </w:pPr>
            <w:r w:rsidRPr="00A763FD">
              <w:rPr>
                <w:sz w:val="19"/>
                <w:szCs w:val="19"/>
              </w:rPr>
              <w:t>The program met its customer satisfaction goal of 80% (98% reported being very or somewhat satisfied) but did not meet its customer complaint goal of zero complaints.</w:t>
            </w:r>
          </w:p>
        </w:tc>
        <w:tc>
          <w:tcPr>
            <w:tcW w:w="2678" w:type="dxa"/>
            <w:tcBorders>
              <w:top w:val="single" w:sz="8" w:space="0" w:color="448A99"/>
              <w:left w:val="single" w:sz="8" w:space="0" w:color="448A99"/>
              <w:bottom w:val="single" w:sz="8" w:space="0" w:color="448A99"/>
              <w:right w:val="single" w:sz="8" w:space="0" w:color="448A99"/>
            </w:tcBorders>
            <w:hideMark/>
          </w:tcPr>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Program staff and implementer interviews (n=2)</w:t>
            </w:r>
          </w:p>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Cross-program participant surveys (n=286)</w:t>
            </w:r>
          </w:p>
          <w:p w:rsidR="00183636" w:rsidRPr="00A763FD" w:rsidRDefault="00164F59" w:rsidP="009349F1">
            <w:pPr>
              <w:numPr>
                <w:ilvl w:val="0"/>
                <w:numId w:val="12"/>
              </w:numPr>
              <w:autoSpaceDE w:val="0"/>
              <w:autoSpaceDN w:val="0"/>
              <w:adjustRightInd w:val="0"/>
              <w:ind w:left="232" w:hanging="180"/>
              <w:contextualSpacing/>
              <w:jc w:val="left"/>
              <w:rPr>
                <w:sz w:val="19"/>
                <w:szCs w:val="19"/>
              </w:rPr>
            </w:pPr>
            <w:r w:rsidRPr="00A763FD">
              <w:rPr>
                <w:sz w:val="19"/>
                <w:szCs w:val="19"/>
              </w:rPr>
              <w:t>EEMIS</w:t>
            </w:r>
            <w:r w:rsidR="00183636" w:rsidRPr="00A763FD">
              <w:rPr>
                <w:sz w:val="19"/>
                <w:szCs w:val="19"/>
              </w:rPr>
              <w:t xml:space="preserve"> database</w:t>
            </w:r>
          </w:p>
        </w:tc>
      </w:tr>
      <w:tr w:rsidR="00A874AC"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A763FD" w:rsidRDefault="00183636" w:rsidP="005C1352">
            <w:pPr>
              <w:jc w:val="left"/>
              <w:rPr>
                <w:sz w:val="19"/>
                <w:szCs w:val="19"/>
              </w:rPr>
            </w:pPr>
            <w:r w:rsidRPr="00A763FD">
              <w:rPr>
                <w:sz w:val="19"/>
                <w:szCs w:val="19"/>
              </w:rPr>
              <w:t>Residential Retail Program (Equipment)</w:t>
            </w:r>
          </w:p>
        </w:tc>
        <w:tc>
          <w:tcPr>
            <w:tcW w:w="4923"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A763FD" w:rsidRDefault="00183636" w:rsidP="009349F1">
            <w:pPr>
              <w:numPr>
                <w:ilvl w:val="0"/>
                <w:numId w:val="11"/>
              </w:numPr>
              <w:autoSpaceDE w:val="0"/>
              <w:autoSpaceDN w:val="0"/>
              <w:adjustRightInd w:val="0"/>
              <w:ind w:left="232" w:hanging="180"/>
              <w:contextualSpacing/>
              <w:jc w:val="left"/>
              <w:rPr>
                <w:color w:val="365F91"/>
                <w:sz w:val="19"/>
                <w:szCs w:val="19"/>
              </w:rPr>
            </w:pPr>
            <w:r w:rsidRPr="00A763FD">
              <w:rPr>
                <w:rFonts w:cs="Calibri"/>
                <w:color w:val="000000"/>
                <w:sz w:val="19"/>
                <w:szCs w:val="19"/>
              </w:rPr>
              <w:t>The program exceeded its planned energy savings for PY7 and Phase II</w:t>
            </w:r>
            <w:r w:rsidR="003F09E3" w:rsidRPr="00A763FD">
              <w:rPr>
                <w:rFonts w:cs="Calibri"/>
                <w:color w:val="000000"/>
                <w:sz w:val="19"/>
                <w:szCs w:val="19"/>
              </w:rPr>
              <w:t>.</w:t>
            </w:r>
          </w:p>
          <w:p w:rsidR="00183636" w:rsidRPr="00A763FD" w:rsidRDefault="00183636" w:rsidP="009349F1">
            <w:pPr>
              <w:numPr>
                <w:ilvl w:val="0"/>
                <w:numId w:val="11"/>
              </w:numPr>
              <w:autoSpaceDE w:val="0"/>
              <w:autoSpaceDN w:val="0"/>
              <w:adjustRightInd w:val="0"/>
              <w:ind w:left="232" w:hanging="180"/>
              <w:contextualSpacing/>
              <w:jc w:val="left"/>
              <w:rPr>
                <w:color w:val="365F91"/>
                <w:sz w:val="19"/>
                <w:szCs w:val="19"/>
              </w:rPr>
            </w:pPr>
            <w:r w:rsidRPr="00A763FD">
              <w:rPr>
                <w:rFonts w:cs="Calibri"/>
                <w:color w:val="000000"/>
                <w:sz w:val="19"/>
                <w:szCs w:val="19"/>
              </w:rPr>
              <w:t>The program was delivered efficiency and effectively. Rebate processing times averaged 3 weeks, lower than in PY6.</w:t>
            </w:r>
          </w:p>
          <w:p w:rsidR="00183636" w:rsidRPr="00A763FD" w:rsidRDefault="00183636" w:rsidP="009349F1">
            <w:pPr>
              <w:numPr>
                <w:ilvl w:val="0"/>
                <w:numId w:val="11"/>
              </w:numPr>
              <w:autoSpaceDE w:val="0"/>
              <w:autoSpaceDN w:val="0"/>
              <w:adjustRightInd w:val="0"/>
              <w:ind w:left="232" w:hanging="180"/>
              <w:contextualSpacing/>
              <w:jc w:val="left"/>
              <w:rPr>
                <w:color w:val="365F91"/>
                <w:sz w:val="19"/>
                <w:szCs w:val="19"/>
              </w:rPr>
            </w:pPr>
            <w:r w:rsidRPr="00A763FD">
              <w:rPr>
                <w:sz w:val="19"/>
                <w:szCs w:val="19"/>
              </w:rPr>
              <w:t>Some participants expressed disappointment with refrigerator rebates that were lowered due to changes in ENERGY STAR qualification criteria for various models.</w:t>
            </w:r>
          </w:p>
          <w:p w:rsidR="00183636" w:rsidRPr="00A763FD" w:rsidRDefault="00183636" w:rsidP="009349F1">
            <w:pPr>
              <w:numPr>
                <w:ilvl w:val="0"/>
                <w:numId w:val="11"/>
              </w:numPr>
              <w:autoSpaceDE w:val="0"/>
              <w:autoSpaceDN w:val="0"/>
              <w:adjustRightInd w:val="0"/>
              <w:ind w:left="232" w:hanging="180"/>
              <w:contextualSpacing/>
              <w:jc w:val="left"/>
              <w:rPr>
                <w:color w:val="365F91"/>
                <w:sz w:val="19"/>
                <w:szCs w:val="19"/>
              </w:rPr>
            </w:pPr>
            <w:r w:rsidRPr="00A763FD">
              <w:rPr>
                <w:sz w:val="19"/>
                <w:szCs w:val="19"/>
              </w:rPr>
              <w:t xml:space="preserve">More surveyed participants reported satisfaction with the program (79%) compared with PY6 (69%). Recipients of rebates for </w:t>
            </w:r>
            <w:r w:rsidR="00D90336" w:rsidRPr="00A763FD">
              <w:rPr>
                <w:sz w:val="19"/>
                <w:szCs w:val="19"/>
              </w:rPr>
              <w:t>HPWHs</w:t>
            </w:r>
            <w:r w:rsidRPr="00A763FD">
              <w:rPr>
                <w:sz w:val="19"/>
                <w:szCs w:val="19"/>
              </w:rPr>
              <w:t xml:space="preserve"> were more satisfied than recipients of refrigerator rebates.</w:t>
            </w:r>
          </w:p>
        </w:tc>
        <w:tc>
          <w:tcPr>
            <w:tcW w:w="2678"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A763FD" w:rsidRDefault="00183636"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Program staff and implementer interviews (n=2)</w:t>
            </w:r>
          </w:p>
          <w:p w:rsidR="00183636" w:rsidRPr="00A763FD" w:rsidRDefault="00183636" w:rsidP="009349F1">
            <w:pPr>
              <w:numPr>
                <w:ilvl w:val="0"/>
                <w:numId w:val="11"/>
              </w:numPr>
              <w:autoSpaceDE w:val="0"/>
              <w:autoSpaceDN w:val="0"/>
              <w:adjustRightInd w:val="0"/>
              <w:ind w:left="232" w:hanging="180"/>
              <w:contextualSpacing/>
              <w:jc w:val="left"/>
              <w:rPr>
                <w:rFonts w:cs="Calibri"/>
                <w:sz w:val="19"/>
                <w:szCs w:val="19"/>
              </w:rPr>
            </w:pPr>
            <w:r w:rsidRPr="00A763FD">
              <w:rPr>
                <w:rFonts w:cs="Calibri"/>
                <w:sz w:val="19"/>
                <w:szCs w:val="19"/>
              </w:rPr>
              <w:t>Refrigerator participant surveys (n</w:t>
            </w:r>
            <w:r w:rsidRPr="00A763FD">
              <w:rPr>
                <w:sz w:val="19"/>
                <w:szCs w:val="19"/>
              </w:rPr>
              <w:t>=</w:t>
            </w:r>
            <w:r w:rsidRPr="00A763FD">
              <w:rPr>
                <w:rFonts w:cs="Calibri"/>
                <w:sz w:val="19"/>
                <w:szCs w:val="19"/>
              </w:rPr>
              <w:t>62)</w:t>
            </w:r>
          </w:p>
          <w:p w:rsidR="00183636" w:rsidRPr="00A763FD" w:rsidRDefault="00D90336" w:rsidP="009349F1">
            <w:pPr>
              <w:numPr>
                <w:ilvl w:val="0"/>
                <w:numId w:val="11"/>
              </w:numPr>
              <w:autoSpaceDE w:val="0"/>
              <w:autoSpaceDN w:val="0"/>
              <w:adjustRightInd w:val="0"/>
              <w:ind w:left="232" w:hanging="180"/>
              <w:contextualSpacing/>
              <w:jc w:val="left"/>
              <w:rPr>
                <w:rFonts w:cs="Calibri"/>
                <w:sz w:val="19"/>
                <w:szCs w:val="19"/>
              </w:rPr>
            </w:pPr>
            <w:r w:rsidRPr="00A763FD">
              <w:rPr>
                <w:rFonts w:cs="Calibri"/>
                <w:sz w:val="19"/>
                <w:szCs w:val="19"/>
              </w:rPr>
              <w:t>HPWH</w:t>
            </w:r>
            <w:r w:rsidR="00183636" w:rsidRPr="00A763FD">
              <w:rPr>
                <w:rFonts w:cs="Calibri"/>
                <w:sz w:val="19"/>
                <w:szCs w:val="19"/>
              </w:rPr>
              <w:t xml:space="preserve"> participant surveys (n</w:t>
            </w:r>
            <w:r w:rsidR="00183636" w:rsidRPr="00A763FD">
              <w:rPr>
                <w:sz w:val="19"/>
                <w:szCs w:val="19"/>
              </w:rPr>
              <w:t>=</w:t>
            </w:r>
            <w:r w:rsidR="00183636" w:rsidRPr="00A763FD">
              <w:rPr>
                <w:rFonts w:cs="Calibri"/>
                <w:sz w:val="19"/>
                <w:szCs w:val="19"/>
              </w:rPr>
              <w:t>70)</w:t>
            </w:r>
          </w:p>
        </w:tc>
      </w:tr>
      <w:tr w:rsidR="003F09E3"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3F09E3" w:rsidRPr="00A763FD" w:rsidRDefault="003F09E3" w:rsidP="003F09E3">
            <w:pPr>
              <w:jc w:val="left"/>
              <w:rPr>
                <w:sz w:val="19"/>
                <w:szCs w:val="19"/>
              </w:rPr>
            </w:pPr>
            <w:r w:rsidRPr="00A763FD">
              <w:rPr>
                <w:sz w:val="19"/>
                <w:szCs w:val="19"/>
              </w:rPr>
              <w:t>Residential Retail Program (Lighting)</w:t>
            </w:r>
          </w:p>
        </w:tc>
        <w:tc>
          <w:tcPr>
            <w:tcW w:w="4923" w:type="dxa"/>
            <w:tcBorders>
              <w:top w:val="single" w:sz="8" w:space="0" w:color="448A99"/>
              <w:left w:val="single" w:sz="8" w:space="0" w:color="448A99"/>
              <w:bottom w:val="single" w:sz="8" w:space="0" w:color="448A99"/>
              <w:right w:val="single" w:sz="8" w:space="0" w:color="448A99"/>
            </w:tcBorders>
            <w:hideMark/>
          </w:tcPr>
          <w:p w:rsidR="003F09E3" w:rsidRPr="00A763FD" w:rsidRDefault="003F09E3" w:rsidP="009349F1">
            <w:pPr>
              <w:numPr>
                <w:ilvl w:val="0"/>
                <w:numId w:val="11"/>
              </w:numPr>
              <w:autoSpaceDE w:val="0"/>
              <w:autoSpaceDN w:val="0"/>
              <w:adjustRightInd w:val="0"/>
              <w:ind w:left="232" w:hanging="180"/>
              <w:contextualSpacing/>
              <w:jc w:val="left"/>
              <w:rPr>
                <w:color w:val="365F91"/>
                <w:sz w:val="19"/>
                <w:szCs w:val="19"/>
              </w:rPr>
            </w:pPr>
            <w:r w:rsidRPr="00A763FD">
              <w:rPr>
                <w:rFonts w:cs="Calibri"/>
                <w:color w:val="000000"/>
                <w:sz w:val="19"/>
                <w:szCs w:val="19"/>
              </w:rPr>
              <w:t xml:space="preserve">The program exceeded its planned energy savings for PY7 and Phase II. </w:t>
            </w:r>
          </w:p>
          <w:p w:rsidR="003F09E3" w:rsidRPr="00A763FD" w:rsidRDefault="003F09E3" w:rsidP="009349F1">
            <w:pPr>
              <w:numPr>
                <w:ilvl w:val="0"/>
                <w:numId w:val="11"/>
              </w:numPr>
              <w:autoSpaceDE w:val="0"/>
              <w:autoSpaceDN w:val="0"/>
              <w:adjustRightInd w:val="0"/>
              <w:ind w:left="187" w:hanging="187"/>
              <w:contextualSpacing/>
              <w:jc w:val="left"/>
              <w:rPr>
                <w:sz w:val="19"/>
                <w:szCs w:val="19"/>
              </w:rPr>
            </w:pPr>
            <w:r w:rsidRPr="00A763FD">
              <w:rPr>
                <w:rFonts w:cs="Calibri"/>
                <w:color w:val="000000"/>
                <w:sz w:val="19"/>
                <w:szCs w:val="19"/>
              </w:rPr>
              <w:t>The program was delivered efficiently and effectively, and the quality of the data from the various program sources was very good.</w:t>
            </w:r>
          </w:p>
          <w:p w:rsidR="003F09E3" w:rsidRPr="00A763FD" w:rsidRDefault="003F09E3" w:rsidP="009349F1">
            <w:pPr>
              <w:numPr>
                <w:ilvl w:val="0"/>
                <w:numId w:val="11"/>
              </w:numPr>
              <w:autoSpaceDE w:val="0"/>
              <w:autoSpaceDN w:val="0"/>
              <w:adjustRightInd w:val="0"/>
              <w:ind w:left="187" w:hanging="187"/>
              <w:contextualSpacing/>
              <w:jc w:val="left"/>
              <w:rPr>
                <w:sz w:val="19"/>
                <w:szCs w:val="19"/>
              </w:rPr>
            </w:pPr>
            <w:r w:rsidRPr="00A763FD">
              <w:rPr>
                <w:sz w:val="19"/>
                <w:szCs w:val="19"/>
              </w:rPr>
              <w:t>Most surveyed PPL customers (79%) reported awareness of LEDs, and 78% had seen them for sale at retailers in PY7, compared to 71% in PY6. However, most surveyed customers (85%) were unaware that PPL discounted LED bulbs.</w:t>
            </w:r>
          </w:p>
          <w:p w:rsidR="003F09E3" w:rsidRPr="00A763FD" w:rsidRDefault="003F09E3" w:rsidP="009349F1">
            <w:pPr>
              <w:numPr>
                <w:ilvl w:val="0"/>
                <w:numId w:val="11"/>
              </w:numPr>
              <w:autoSpaceDE w:val="0"/>
              <w:autoSpaceDN w:val="0"/>
              <w:adjustRightInd w:val="0"/>
              <w:ind w:left="187" w:hanging="187"/>
              <w:contextualSpacing/>
              <w:rPr>
                <w:sz w:val="19"/>
                <w:szCs w:val="19"/>
              </w:rPr>
            </w:pPr>
            <w:r w:rsidRPr="00A763FD">
              <w:rPr>
                <w:sz w:val="19"/>
                <w:szCs w:val="19"/>
              </w:rPr>
              <w:t>44% of respondents reported currently using LEDs, up from 30% in PY6; non-users cited high cost as a barrier.</w:t>
            </w:r>
          </w:p>
          <w:p w:rsidR="003F09E3" w:rsidRPr="00A763FD" w:rsidRDefault="003F09E3" w:rsidP="009349F1">
            <w:pPr>
              <w:numPr>
                <w:ilvl w:val="0"/>
                <w:numId w:val="11"/>
              </w:numPr>
              <w:autoSpaceDE w:val="0"/>
              <w:autoSpaceDN w:val="0"/>
              <w:adjustRightInd w:val="0"/>
              <w:ind w:left="187" w:hanging="187"/>
              <w:contextualSpacing/>
              <w:jc w:val="left"/>
              <w:rPr>
                <w:sz w:val="19"/>
                <w:szCs w:val="19"/>
              </w:rPr>
            </w:pPr>
            <w:r w:rsidRPr="00A763FD">
              <w:rPr>
                <w:sz w:val="19"/>
                <w:szCs w:val="19"/>
              </w:rPr>
              <w:t>Most respondents with LEDs were overall very satisfied with their LEDs.</w:t>
            </w:r>
          </w:p>
          <w:p w:rsidR="003F09E3" w:rsidRPr="00A763FD" w:rsidRDefault="003F09E3" w:rsidP="009349F1">
            <w:pPr>
              <w:numPr>
                <w:ilvl w:val="0"/>
                <w:numId w:val="11"/>
              </w:numPr>
              <w:autoSpaceDE w:val="0"/>
              <w:autoSpaceDN w:val="0"/>
              <w:adjustRightInd w:val="0"/>
              <w:ind w:left="187" w:hanging="187"/>
              <w:contextualSpacing/>
              <w:jc w:val="left"/>
              <w:rPr>
                <w:sz w:val="19"/>
                <w:szCs w:val="19"/>
              </w:rPr>
            </w:pPr>
            <w:r w:rsidRPr="00A763FD">
              <w:rPr>
                <w:sz w:val="19"/>
                <w:szCs w:val="19"/>
              </w:rPr>
              <w:t>Reported willingness to pay $5 or more for LEDs dropped in PY7 compared with PY6, but 90% of respondents reported being willing to pay $3 per LED. However, respondents who purchased LEDs from participating retailers reported an average price of $7.51 per bulb; respondents who purchased LEDs from any retailer reported an average price of $8.10 per bulb.</w:t>
            </w:r>
          </w:p>
          <w:p w:rsidR="003F09E3" w:rsidRPr="00A763FD" w:rsidRDefault="003F09E3" w:rsidP="009349F1">
            <w:pPr>
              <w:numPr>
                <w:ilvl w:val="0"/>
                <w:numId w:val="11"/>
              </w:numPr>
              <w:autoSpaceDE w:val="0"/>
              <w:autoSpaceDN w:val="0"/>
              <w:adjustRightInd w:val="0"/>
              <w:ind w:left="187" w:hanging="187"/>
              <w:contextualSpacing/>
              <w:jc w:val="left"/>
              <w:rPr>
                <w:sz w:val="19"/>
                <w:szCs w:val="19"/>
              </w:rPr>
            </w:pPr>
            <w:r w:rsidRPr="00A763FD">
              <w:rPr>
                <w:sz w:val="19"/>
                <w:szCs w:val="19"/>
              </w:rPr>
              <w:t>Most respondents who disposed of CFLs in PY7 (60%) reported throwing the bulbs in the trash. Only 7% of surveyed respondents reported awareness of PPL’s CFL recycle bins.</w:t>
            </w:r>
          </w:p>
        </w:tc>
        <w:tc>
          <w:tcPr>
            <w:tcW w:w="2678" w:type="dxa"/>
            <w:tcBorders>
              <w:top w:val="single" w:sz="8" w:space="0" w:color="448A99"/>
              <w:left w:val="single" w:sz="8" w:space="0" w:color="448A99"/>
              <w:bottom w:val="single" w:sz="8" w:space="0" w:color="448A99"/>
              <w:right w:val="single" w:sz="8" w:space="0" w:color="448A99"/>
            </w:tcBorders>
            <w:hideMark/>
          </w:tcPr>
          <w:p w:rsidR="003F09E3" w:rsidRPr="00A763FD" w:rsidRDefault="003F09E3"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Program staff and implementer interviews (n=2)</w:t>
            </w:r>
          </w:p>
          <w:p w:rsidR="003F09E3" w:rsidRPr="00A763FD" w:rsidRDefault="003F09E3" w:rsidP="009349F1">
            <w:pPr>
              <w:numPr>
                <w:ilvl w:val="0"/>
                <w:numId w:val="11"/>
              </w:numPr>
              <w:autoSpaceDE w:val="0"/>
              <w:autoSpaceDN w:val="0"/>
              <w:adjustRightInd w:val="0"/>
              <w:ind w:left="232" w:hanging="180"/>
              <w:contextualSpacing/>
              <w:jc w:val="left"/>
              <w:rPr>
                <w:rFonts w:cs="Calibri"/>
                <w:sz w:val="19"/>
                <w:szCs w:val="19"/>
              </w:rPr>
            </w:pPr>
            <w:r w:rsidRPr="00A763FD">
              <w:rPr>
                <w:rFonts w:cs="Calibri"/>
                <w:sz w:val="19"/>
                <w:szCs w:val="19"/>
              </w:rPr>
              <w:t>Residential customer surveys (n</w:t>
            </w:r>
            <w:r w:rsidRPr="00A763FD">
              <w:rPr>
                <w:sz w:val="19"/>
                <w:szCs w:val="19"/>
              </w:rPr>
              <w:t>=</w:t>
            </w:r>
            <w:r w:rsidRPr="00A763FD">
              <w:rPr>
                <w:rFonts w:cs="Calibri"/>
                <w:sz w:val="19"/>
                <w:szCs w:val="19"/>
              </w:rPr>
              <w:t>337)</w:t>
            </w:r>
          </w:p>
          <w:p w:rsidR="003F09E3" w:rsidRPr="00A763FD" w:rsidRDefault="003F09E3" w:rsidP="009349F1">
            <w:pPr>
              <w:numPr>
                <w:ilvl w:val="0"/>
                <w:numId w:val="11"/>
              </w:numPr>
              <w:autoSpaceDE w:val="0"/>
              <w:autoSpaceDN w:val="0"/>
              <w:adjustRightInd w:val="0"/>
              <w:ind w:left="232" w:hanging="180"/>
              <w:contextualSpacing/>
              <w:jc w:val="left"/>
              <w:rPr>
                <w:rFonts w:cs="Calibri"/>
                <w:sz w:val="19"/>
                <w:szCs w:val="19"/>
              </w:rPr>
            </w:pPr>
            <w:r w:rsidRPr="00A763FD">
              <w:rPr>
                <w:rFonts w:cs="Calibri"/>
                <w:sz w:val="19"/>
                <w:szCs w:val="19"/>
              </w:rPr>
              <w:t>Low-Income Energy-Efficiency Behavior &amp; Education Program treatment and control surveys (n</w:t>
            </w:r>
            <w:r w:rsidRPr="00A763FD">
              <w:rPr>
                <w:sz w:val="19"/>
                <w:szCs w:val="19"/>
              </w:rPr>
              <w:t>=</w:t>
            </w:r>
            <w:r w:rsidRPr="00A763FD">
              <w:rPr>
                <w:rFonts w:cs="Calibri"/>
                <w:sz w:val="19"/>
                <w:szCs w:val="19"/>
              </w:rPr>
              <w:t>301)</w:t>
            </w:r>
          </w:p>
          <w:p w:rsidR="003F09E3" w:rsidRPr="00A763FD" w:rsidRDefault="003F09E3" w:rsidP="009349F1">
            <w:pPr>
              <w:numPr>
                <w:ilvl w:val="0"/>
                <w:numId w:val="11"/>
              </w:numPr>
              <w:autoSpaceDE w:val="0"/>
              <w:autoSpaceDN w:val="0"/>
              <w:adjustRightInd w:val="0"/>
              <w:ind w:left="232" w:hanging="180"/>
              <w:contextualSpacing/>
              <w:jc w:val="left"/>
              <w:rPr>
                <w:rFonts w:cs="Calibri"/>
                <w:sz w:val="19"/>
                <w:szCs w:val="19"/>
              </w:rPr>
            </w:pPr>
            <w:r w:rsidRPr="00A763FD">
              <w:rPr>
                <w:rFonts w:cs="Calibri"/>
                <w:sz w:val="19"/>
                <w:szCs w:val="19"/>
              </w:rPr>
              <w:t>Program database and manufacturing invoices</w:t>
            </w:r>
          </w:p>
        </w:tc>
      </w:tr>
      <w:tr w:rsidR="00A874AC"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tcPr>
          <w:p w:rsidR="004B789C" w:rsidRPr="00A763FD" w:rsidRDefault="004B789C" w:rsidP="004B789C">
            <w:pPr>
              <w:ind w:left="139" w:hanging="180"/>
              <w:jc w:val="left"/>
              <w:rPr>
                <w:b/>
                <w:color w:val="FFFFFF"/>
                <w:sz w:val="19"/>
                <w:szCs w:val="19"/>
              </w:rPr>
            </w:pPr>
            <w:r w:rsidRPr="00A763FD">
              <w:rPr>
                <w:sz w:val="19"/>
                <w:szCs w:val="19"/>
              </w:rPr>
              <w:t>Student and Parent Energy Efficiency-Education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tcPr>
          <w:p w:rsidR="004B789C" w:rsidRPr="00A763FD" w:rsidRDefault="004B789C"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 xml:space="preserve">The program met its PY7 participation plans but did not meet planned energy savings; the program also did not meet its participation or savings plans for Phase II. </w:t>
            </w:r>
          </w:p>
          <w:p w:rsidR="004B789C" w:rsidRPr="00A763FD" w:rsidRDefault="004B789C"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Interviewed staff reported a smooth delivery of the program in PY6 and PY7.</w:t>
            </w:r>
          </w:p>
          <w:p w:rsidR="004B789C" w:rsidRPr="00A763FD" w:rsidRDefault="004B789C"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All four key performance indicator goals were met or exceeded in PY7. Program enrollment was successful; new school enrollment reached 30% of all participants, 150 teachers enrolled to participate, and the number of returned HEWs exceeded 72%.</w:t>
            </w:r>
          </w:p>
          <w:p w:rsidR="004B789C" w:rsidRPr="00A763FD" w:rsidRDefault="004B789C" w:rsidP="009349F1">
            <w:pPr>
              <w:numPr>
                <w:ilvl w:val="0"/>
                <w:numId w:val="11"/>
              </w:numPr>
              <w:autoSpaceDE w:val="0"/>
              <w:autoSpaceDN w:val="0"/>
              <w:adjustRightInd w:val="0"/>
              <w:ind w:left="232" w:hanging="180"/>
              <w:contextualSpacing/>
              <w:jc w:val="left"/>
              <w:rPr>
                <w:rFonts w:cs="Calibri"/>
                <w:sz w:val="19"/>
                <w:szCs w:val="19"/>
              </w:rPr>
            </w:pPr>
            <w:r w:rsidRPr="00A763FD">
              <w:rPr>
                <w:rFonts w:cs="Calibri"/>
                <w:color w:val="000000"/>
                <w:sz w:val="19"/>
                <w:szCs w:val="19"/>
              </w:rPr>
              <w:t>The implementation CSP’s targeted marketing and personalized outreach efforts increased program awareness and helped increase participation, particularly for new schools.</w:t>
            </w:r>
          </w:p>
          <w:p w:rsidR="004B789C" w:rsidRPr="00A763FD" w:rsidRDefault="004B789C" w:rsidP="009349F1">
            <w:pPr>
              <w:numPr>
                <w:ilvl w:val="0"/>
                <w:numId w:val="11"/>
              </w:numPr>
              <w:autoSpaceDE w:val="0"/>
              <w:autoSpaceDN w:val="0"/>
              <w:adjustRightInd w:val="0"/>
              <w:ind w:left="232" w:hanging="180"/>
              <w:contextualSpacing/>
              <w:jc w:val="left"/>
              <w:rPr>
                <w:rFonts w:cs="Calibri"/>
                <w:sz w:val="19"/>
                <w:szCs w:val="19"/>
              </w:rPr>
            </w:pPr>
            <w:r w:rsidRPr="00A763FD">
              <w:rPr>
                <w:rFonts w:cs="Calibri"/>
                <w:color w:val="000000"/>
                <w:sz w:val="19"/>
                <w:szCs w:val="19"/>
              </w:rPr>
              <w:t>Classroom teachers (81%) and workshop teachers (84%) were overall highly satisfied with the program and its components.</w:t>
            </w:r>
          </w:p>
          <w:p w:rsidR="004B789C" w:rsidRPr="00A763FD" w:rsidRDefault="004B789C" w:rsidP="004B789C">
            <w:pPr>
              <w:ind w:left="139" w:hanging="180"/>
              <w:jc w:val="left"/>
              <w:rPr>
                <w:b/>
                <w:color w:val="FFFFFF"/>
                <w:sz w:val="19"/>
                <w:szCs w:val="19"/>
              </w:rPr>
            </w:pPr>
            <w:r w:rsidRPr="00A763FD">
              <w:rPr>
                <w:rFonts w:cs="Calibri"/>
                <w:color w:val="000000"/>
                <w:sz w:val="19"/>
                <w:szCs w:val="19"/>
              </w:rPr>
              <w:t>Teacher and parent recommendations for improvement included providing more student interaction opportunities, reducing the paperwork of the HEWs, and improving the presentations.</w:t>
            </w:r>
          </w:p>
        </w:tc>
        <w:tc>
          <w:tcPr>
            <w:tcW w:w="2678" w:type="dxa"/>
            <w:tcBorders>
              <w:top w:val="single" w:sz="8" w:space="0" w:color="448A99"/>
              <w:left w:val="single" w:sz="8" w:space="0" w:color="448A99"/>
              <w:bottom w:val="single" w:sz="8" w:space="0" w:color="448A99"/>
              <w:right w:val="single" w:sz="8" w:space="0" w:color="448A99"/>
            </w:tcBorders>
            <w:shd w:val="clear" w:color="auto" w:fill="D2EAF1"/>
          </w:tcPr>
          <w:p w:rsidR="004B789C" w:rsidRPr="00A763FD" w:rsidRDefault="004B789C" w:rsidP="009349F1">
            <w:pPr>
              <w:numPr>
                <w:ilvl w:val="0"/>
                <w:numId w:val="12"/>
              </w:numPr>
              <w:autoSpaceDE w:val="0"/>
              <w:autoSpaceDN w:val="0"/>
              <w:adjustRightInd w:val="0"/>
              <w:ind w:left="232" w:hanging="180"/>
              <w:contextualSpacing/>
              <w:jc w:val="left"/>
              <w:rPr>
                <w:sz w:val="19"/>
                <w:szCs w:val="19"/>
              </w:rPr>
            </w:pPr>
            <w:r w:rsidRPr="00A763FD">
              <w:rPr>
                <w:sz w:val="19"/>
                <w:szCs w:val="19"/>
              </w:rPr>
              <w:t>Program staff and implementer interviews (n=2)</w:t>
            </w:r>
          </w:p>
          <w:p w:rsidR="004B789C" w:rsidRPr="00A763FD" w:rsidRDefault="004B789C" w:rsidP="009349F1">
            <w:pPr>
              <w:numPr>
                <w:ilvl w:val="0"/>
                <w:numId w:val="12"/>
              </w:numPr>
              <w:autoSpaceDE w:val="0"/>
              <w:autoSpaceDN w:val="0"/>
              <w:adjustRightInd w:val="0"/>
              <w:ind w:left="232" w:hanging="180"/>
              <w:contextualSpacing/>
              <w:jc w:val="left"/>
              <w:rPr>
                <w:sz w:val="19"/>
                <w:szCs w:val="19"/>
              </w:rPr>
            </w:pPr>
            <w:r w:rsidRPr="00A763FD">
              <w:rPr>
                <w:sz w:val="19"/>
                <w:szCs w:val="19"/>
              </w:rPr>
              <w:t>Student home energy worksheets (HEWs) (n=19,249)</w:t>
            </w:r>
          </w:p>
          <w:p w:rsidR="004B789C" w:rsidRPr="00A763FD" w:rsidRDefault="004B789C" w:rsidP="009349F1">
            <w:pPr>
              <w:numPr>
                <w:ilvl w:val="0"/>
                <w:numId w:val="12"/>
              </w:numPr>
              <w:autoSpaceDE w:val="0"/>
              <w:autoSpaceDN w:val="0"/>
              <w:adjustRightInd w:val="0"/>
              <w:ind w:left="232" w:hanging="180"/>
              <w:contextualSpacing/>
              <w:jc w:val="left"/>
              <w:rPr>
                <w:sz w:val="19"/>
                <w:szCs w:val="19"/>
              </w:rPr>
            </w:pPr>
            <w:r w:rsidRPr="00A763FD">
              <w:rPr>
                <w:sz w:val="19"/>
                <w:szCs w:val="19"/>
              </w:rPr>
              <w:t>Parent HEWs (n=1,015)</w:t>
            </w:r>
          </w:p>
          <w:p w:rsidR="004B789C" w:rsidRPr="00A763FD" w:rsidRDefault="004B789C" w:rsidP="009349F1">
            <w:pPr>
              <w:numPr>
                <w:ilvl w:val="0"/>
                <w:numId w:val="12"/>
              </w:numPr>
              <w:autoSpaceDE w:val="0"/>
              <w:autoSpaceDN w:val="0"/>
              <w:adjustRightInd w:val="0"/>
              <w:ind w:left="232" w:hanging="180"/>
              <w:contextualSpacing/>
              <w:jc w:val="left"/>
              <w:rPr>
                <w:sz w:val="19"/>
                <w:szCs w:val="19"/>
              </w:rPr>
            </w:pPr>
            <w:r w:rsidRPr="00A763FD">
              <w:rPr>
                <w:sz w:val="19"/>
                <w:szCs w:val="19"/>
              </w:rPr>
              <w:t>Parent surveys (n=2,229)</w:t>
            </w:r>
          </w:p>
          <w:p w:rsidR="004B789C" w:rsidRPr="00A763FD" w:rsidRDefault="004B789C" w:rsidP="009349F1">
            <w:pPr>
              <w:numPr>
                <w:ilvl w:val="0"/>
                <w:numId w:val="12"/>
              </w:numPr>
              <w:autoSpaceDE w:val="0"/>
              <w:autoSpaceDN w:val="0"/>
              <w:adjustRightInd w:val="0"/>
              <w:ind w:left="232" w:hanging="180"/>
              <w:contextualSpacing/>
              <w:jc w:val="left"/>
              <w:rPr>
                <w:sz w:val="19"/>
                <w:szCs w:val="19"/>
              </w:rPr>
            </w:pPr>
            <w:r w:rsidRPr="00A763FD">
              <w:rPr>
                <w:sz w:val="19"/>
                <w:szCs w:val="19"/>
              </w:rPr>
              <w:t>Teacher and parent workshop evaluation surveys (n=1,918)</w:t>
            </w:r>
          </w:p>
          <w:p w:rsidR="004B789C" w:rsidRPr="00A763FD" w:rsidRDefault="004B789C" w:rsidP="004B789C">
            <w:pPr>
              <w:ind w:left="139" w:hanging="180"/>
              <w:jc w:val="left"/>
              <w:rPr>
                <w:b/>
                <w:color w:val="FFFFFF"/>
                <w:sz w:val="19"/>
                <w:szCs w:val="19"/>
              </w:rPr>
            </w:pPr>
            <w:r w:rsidRPr="00A763FD">
              <w:rPr>
                <w:sz w:val="19"/>
                <w:szCs w:val="19"/>
              </w:rPr>
              <w:t>Program database and participant records</w:t>
            </w:r>
          </w:p>
        </w:tc>
      </w:tr>
      <w:tr w:rsidR="00E7173E" w:rsidRPr="00A763FD" w:rsidTr="00B32B81">
        <w:trPr>
          <w:trHeight w:val="141"/>
          <w:jc w:val="center"/>
        </w:trPr>
        <w:tc>
          <w:tcPr>
            <w:tcW w:w="9440" w:type="dxa"/>
            <w:gridSpan w:val="3"/>
            <w:tcBorders>
              <w:top w:val="single" w:sz="8" w:space="0" w:color="448A99"/>
              <w:left w:val="single" w:sz="8" w:space="0" w:color="448A99"/>
              <w:bottom w:val="single" w:sz="8" w:space="0" w:color="448A99"/>
              <w:right w:val="single" w:sz="8" w:space="0" w:color="448A99"/>
            </w:tcBorders>
            <w:shd w:val="clear" w:color="auto" w:fill="9C9393"/>
            <w:hideMark/>
          </w:tcPr>
          <w:p w:rsidR="00183636" w:rsidRPr="00A763FD" w:rsidRDefault="00183636" w:rsidP="005C1352">
            <w:pPr>
              <w:ind w:left="139" w:hanging="180"/>
              <w:jc w:val="left"/>
              <w:rPr>
                <w:b/>
                <w:i/>
                <w:sz w:val="19"/>
                <w:szCs w:val="19"/>
              </w:rPr>
            </w:pPr>
            <w:r w:rsidRPr="00A763FD">
              <w:rPr>
                <w:b/>
                <w:color w:val="FFFFFF"/>
                <w:sz w:val="19"/>
                <w:szCs w:val="19"/>
              </w:rPr>
              <w:t>Low-Income Sector</w:t>
            </w:r>
          </w:p>
        </w:tc>
      </w:tr>
      <w:tr w:rsidR="00A874AC"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FFFFFF" w:themeFill="background1"/>
            <w:vAlign w:val="center"/>
            <w:hideMark/>
          </w:tcPr>
          <w:p w:rsidR="003F09E3" w:rsidRPr="00A763FD" w:rsidRDefault="003F09E3" w:rsidP="003F09E3">
            <w:pPr>
              <w:jc w:val="left"/>
              <w:rPr>
                <w:color w:val="000000"/>
                <w:sz w:val="19"/>
                <w:szCs w:val="19"/>
              </w:rPr>
            </w:pPr>
            <w:r w:rsidRPr="00A763FD">
              <w:rPr>
                <w:color w:val="000000"/>
                <w:sz w:val="19"/>
                <w:szCs w:val="19"/>
              </w:rPr>
              <w:t xml:space="preserve">E-Power Wise </w:t>
            </w:r>
          </w:p>
        </w:tc>
        <w:tc>
          <w:tcPr>
            <w:tcW w:w="4923" w:type="dxa"/>
            <w:tcBorders>
              <w:top w:val="single" w:sz="8" w:space="0" w:color="448A99"/>
              <w:left w:val="single" w:sz="8" w:space="0" w:color="448A99"/>
              <w:bottom w:val="single" w:sz="8" w:space="0" w:color="448A99"/>
              <w:right w:val="single" w:sz="8" w:space="0" w:color="448A99"/>
            </w:tcBorders>
            <w:shd w:val="clear" w:color="auto" w:fill="FFFFFF" w:themeFill="background1"/>
            <w:hideMark/>
          </w:tcPr>
          <w:p w:rsidR="003F09E3" w:rsidRPr="00A763FD" w:rsidRDefault="003F09E3" w:rsidP="009349F1">
            <w:pPr>
              <w:numPr>
                <w:ilvl w:val="0"/>
                <w:numId w:val="11"/>
              </w:numPr>
              <w:autoSpaceDE w:val="0"/>
              <w:autoSpaceDN w:val="0"/>
              <w:adjustRightInd w:val="0"/>
              <w:ind w:left="232" w:hanging="180"/>
              <w:contextualSpacing/>
              <w:jc w:val="left"/>
              <w:rPr>
                <w:sz w:val="19"/>
                <w:szCs w:val="19"/>
              </w:rPr>
            </w:pPr>
            <w:r w:rsidRPr="00A763FD">
              <w:rPr>
                <w:sz w:val="19"/>
                <w:szCs w:val="19"/>
              </w:rPr>
              <w:t xml:space="preserve">The program met or exceeded its planned energy savings and plans for participation </w:t>
            </w:r>
          </w:p>
          <w:p w:rsidR="003F09E3" w:rsidRPr="00A763FD" w:rsidRDefault="003F09E3" w:rsidP="009349F1">
            <w:pPr>
              <w:numPr>
                <w:ilvl w:val="0"/>
                <w:numId w:val="11"/>
              </w:numPr>
              <w:autoSpaceDE w:val="0"/>
              <w:autoSpaceDN w:val="0"/>
              <w:adjustRightInd w:val="0"/>
              <w:ind w:left="232" w:hanging="180"/>
              <w:contextualSpacing/>
              <w:jc w:val="left"/>
              <w:rPr>
                <w:sz w:val="19"/>
                <w:szCs w:val="19"/>
              </w:rPr>
            </w:pPr>
            <w:r w:rsidRPr="00A763FD">
              <w:rPr>
                <w:sz w:val="19"/>
                <w:szCs w:val="19"/>
              </w:rPr>
              <w:t>The program was very well managed.</w:t>
            </w:r>
          </w:p>
          <w:p w:rsidR="003F09E3" w:rsidRPr="00A763FD" w:rsidRDefault="003F09E3" w:rsidP="009349F1">
            <w:pPr>
              <w:numPr>
                <w:ilvl w:val="0"/>
                <w:numId w:val="11"/>
              </w:numPr>
              <w:autoSpaceDE w:val="0"/>
              <w:autoSpaceDN w:val="0"/>
              <w:adjustRightInd w:val="0"/>
              <w:ind w:left="232" w:hanging="180"/>
              <w:contextualSpacing/>
              <w:jc w:val="left"/>
              <w:rPr>
                <w:sz w:val="19"/>
                <w:szCs w:val="19"/>
              </w:rPr>
            </w:pPr>
            <w:r w:rsidRPr="00A763FD">
              <w:rPr>
                <w:sz w:val="19"/>
                <w:szCs w:val="19"/>
              </w:rPr>
              <w:t>The number of agencies that distributed kits for the program increased by three in PY7, in line with planned goals.</w:t>
            </w:r>
          </w:p>
          <w:p w:rsidR="003F09E3" w:rsidRPr="00A763FD" w:rsidRDefault="003F09E3" w:rsidP="009349F1">
            <w:pPr>
              <w:numPr>
                <w:ilvl w:val="0"/>
                <w:numId w:val="11"/>
              </w:numPr>
              <w:autoSpaceDE w:val="0"/>
              <w:autoSpaceDN w:val="0"/>
              <w:adjustRightInd w:val="0"/>
              <w:ind w:left="232" w:hanging="180"/>
              <w:contextualSpacing/>
              <w:jc w:val="left"/>
              <w:rPr>
                <w:sz w:val="19"/>
                <w:szCs w:val="19"/>
              </w:rPr>
            </w:pPr>
            <w:r w:rsidRPr="00A763FD">
              <w:rPr>
                <w:sz w:val="19"/>
                <w:szCs w:val="19"/>
              </w:rPr>
              <w:t>Interviewed agencies are very satisfied with the program overall. One agency was not too satisfied with the training, and agencies recommended removing the furnace whistle from the kit.</w:t>
            </w:r>
          </w:p>
          <w:p w:rsidR="003F09E3" w:rsidRPr="00A763FD" w:rsidRDefault="003F09E3" w:rsidP="009349F1">
            <w:pPr>
              <w:numPr>
                <w:ilvl w:val="0"/>
                <w:numId w:val="11"/>
              </w:numPr>
              <w:autoSpaceDE w:val="0"/>
              <w:autoSpaceDN w:val="0"/>
              <w:adjustRightInd w:val="0"/>
              <w:ind w:left="232" w:hanging="180"/>
              <w:contextualSpacing/>
              <w:jc w:val="left"/>
              <w:rPr>
                <w:sz w:val="19"/>
                <w:szCs w:val="19"/>
              </w:rPr>
            </w:pPr>
            <w:r w:rsidRPr="00A763FD">
              <w:rPr>
                <w:sz w:val="19"/>
                <w:szCs w:val="19"/>
              </w:rPr>
              <w:t>Interviewed agencies reported they most commonly distributed kits in one-on-one meetings with clients because they were getting little participation via workshops.</w:t>
            </w:r>
          </w:p>
          <w:p w:rsidR="003F09E3" w:rsidRPr="00A763FD" w:rsidRDefault="003F09E3" w:rsidP="009349F1">
            <w:pPr>
              <w:numPr>
                <w:ilvl w:val="0"/>
                <w:numId w:val="11"/>
              </w:numPr>
              <w:autoSpaceDE w:val="0"/>
              <w:autoSpaceDN w:val="0"/>
              <w:adjustRightInd w:val="0"/>
              <w:ind w:left="232" w:hanging="180"/>
              <w:contextualSpacing/>
              <w:jc w:val="left"/>
              <w:rPr>
                <w:sz w:val="19"/>
                <w:szCs w:val="19"/>
              </w:rPr>
            </w:pPr>
            <w:r w:rsidRPr="00A763FD">
              <w:rPr>
                <w:sz w:val="19"/>
                <w:szCs w:val="19"/>
              </w:rPr>
              <w:t>Three of the five interviewed agencies reported that program saturation was still a concern because they frequently see the same clients.</w:t>
            </w:r>
          </w:p>
        </w:tc>
        <w:tc>
          <w:tcPr>
            <w:tcW w:w="2678" w:type="dxa"/>
            <w:tcBorders>
              <w:top w:val="single" w:sz="8" w:space="0" w:color="448A99"/>
              <w:left w:val="single" w:sz="8" w:space="0" w:color="448A99"/>
              <w:bottom w:val="single" w:sz="8" w:space="0" w:color="448A99"/>
              <w:right w:val="single" w:sz="8" w:space="0" w:color="448A99"/>
            </w:tcBorders>
            <w:shd w:val="clear" w:color="auto" w:fill="FFFFFF" w:themeFill="background1"/>
            <w:hideMark/>
          </w:tcPr>
          <w:p w:rsidR="003F09E3" w:rsidRPr="00A763FD" w:rsidRDefault="003F09E3" w:rsidP="0036185D">
            <w:pPr>
              <w:numPr>
                <w:ilvl w:val="0"/>
                <w:numId w:val="13"/>
              </w:numPr>
              <w:ind w:left="187" w:hanging="187"/>
              <w:contextualSpacing/>
              <w:jc w:val="left"/>
              <w:rPr>
                <w:sz w:val="19"/>
                <w:szCs w:val="19"/>
              </w:rPr>
            </w:pPr>
            <w:r w:rsidRPr="00A763FD">
              <w:rPr>
                <w:sz w:val="19"/>
                <w:szCs w:val="19"/>
              </w:rPr>
              <w:t>Program staff and implementer interviews (n=2)</w:t>
            </w:r>
          </w:p>
          <w:p w:rsidR="003F09E3" w:rsidRPr="00A763FD" w:rsidRDefault="003F09E3" w:rsidP="0036185D">
            <w:pPr>
              <w:numPr>
                <w:ilvl w:val="0"/>
                <w:numId w:val="13"/>
              </w:numPr>
              <w:ind w:left="187" w:hanging="187"/>
              <w:contextualSpacing/>
              <w:jc w:val="left"/>
              <w:rPr>
                <w:sz w:val="19"/>
                <w:szCs w:val="19"/>
              </w:rPr>
            </w:pPr>
            <w:r w:rsidRPr="00A763FD">
              <w:rPr>
                <w:sz w:val="19"/>
                <w:szCs w:val="19"/>
              </w:rPr>
              <w:t>Community-based organization interviews (n=5)</w:t>
            </w:r>
          </w:p>
          <w:p w:rsidR="003F09E3" w:rsidRPr="00A763FD" w:rsidRDefault="003F09E3" w:rsidP="0036185D">
            <w:pPr>
              <w:numPr>
                <w:ilvl w:val="0"/>
                <w:numId w:val="13"/>
              </w:numPr>
              <w:ind w:left="187" w:hanging="187"/>
              <w:contextualSpacing/>
              <w:jc w:val="left"/>
              <w:rPr>
                <w:sz w:val="19"/>
                <w:szCs w:val="19"/>
              </w:rPr>
            </w:pPr>
            <w:r w:rsidRPr="00A763FD">
              <w:rPr>
                <w:sz w:val="19"/>
                <w:szCs w:val="19"/>
              </w:rPr>
              <w:t>Customer surveys returned from kits (n=776)</w:t>
            </w:r>
          </w:p>
          <w:p w:rsidR="003F09E3" w:rsidRPr="00A763FD" w:rsidRDefault="003F09E3" w:rsidP="0036185D">
            <w:pPr>
              <w:numPr>
                <w:ilvl w:val="0"/>
                <w:numId w:val="13"/>
              </w:numPr>
              <w:ind w:left="187" w:hanging="187"/>
              <w:contextualSpacing/>
              <w:jc w:val="left"/>
              <w:rPr>
                <w:sz w:val="19"/>
                <w:szCs w:val="19"/>
              </w:rPr>
            </w:pPr>
            <w:r w:rsidRPr="00A763FD">
              <w:rPr>
                <w:sz w:val="19"/>
                <w:szCs w:val="19"/>
              </w:rPr>
              <w:t>Program database</w:t>
            </w:r>
          </w:p>
        </w:tc>
      </w:tr>
      <w:tr w:rsidR="00A874AC"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vAlign w:val="center"/>
            <w:hideMark/>
          </w:tcPr>
          <w:p w:rsidR="00183636" w:rsidRPr="00A763FD" w:rsidRDefault="00183636" w:rsidP="00D21542">
            <w:pPr>
              <w:jc w:val="left"/>
              <w:rPr>
                <w:color w:val="000000"/>
                <w:sz w:val="19"/>
                <w:szCs w:val="19"/>
              </w:rPr>
            </w:pPr>
            <w:r w:rsidRPr="00A763FD">
              <w:rPr>
                <w:color w:val="000000"/>
                <w:sz w:val="19"/>
                <w:szCs w:val="19"/>
              </w:rPr>
              <w:t>Wise Home Pilot</w:t>
            </w:r>
            <w:r w:rsidR="001B37BA" w:rsidRPr="00A763FD">
              <w:rPr>
                <w:color w:val="000000"/>
                <w:sz w:val="19"/>
                <w:szCs w:val="19"/>
              </w:rPr>
              <w:t xml:space="preserve"> </w:t>
            </w:r>
            <w:r w:rsidR="00D21542" w:rsidRPr="00A763FD">
              <w:rPr>
                <w:color w:val="000000"/>
                <w:sz w:val="19"/>
                <w:szCs w:val="19"/>
              </w:rPr>
              <w:t>(</w:t>
            </w:r>
            <w:r w:rsidR="001B37BA" w:rsidRPr="00A763FD">
              <w:rPr>
                <w:color w:val="000000"/>
                <w:sz w:val="19"/>
                <w:szCs w:val="19"/>
              </w:rPr>
              <w:t>component of the E-</w:t>
            </w:r>
            <w:r w:rsidR="00B47F0D" w:rsidRPr="00A763FD">
              <w:rPr>
                <w:color w:val="000000"/>
                <w:sz w:val="19"/>
                <w:szCs w:val="19"/>
              </w:rPr>
              <w:t>Power Wise</w:t>
            </w:r>
            <w:r w:rsidR="001B37BA" w:rsidRPr="00A763FD">
              <w:rPr>
                <w:color w:val="000000"/>
                <w:sz w:val="19"/>
                <w:szCs w:val="19"/>
              </w:rPr>
              <w:t xml:space="preserve">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hideMark/>
          </w:tcPr>
          <w:p w:rsidR="00EF3BC6" w:rsidRPr="00A763FD" w:rsidRDefault="00EF3BC6" w:rsidP="009349F1">
            <w:pPr>
              <w:numPr>
                <w:ilvl w:val="0"/>
                <w:numId w:val="11"/>
              </w:numPr>
              <w:autoSpaceDE w:val="0"/>
              <w:autoSpaceDN w:val="0"/>
              <w:adjustRightInd w:val="0"/>
              <w:ind w:left="187" w:hanging="187"/>
              <w:contextualSpacing/>
              <w:jc w:val="left"/>
              <w:rPr>
                <w:sz w:val="19"/>
                <w:szCs w:val="19"/>
              </w:rPr>
            </w:pPr>
            <w:r w:rsidRPr="00A763FD">
              <w:rPr>
                <w:sz w:val="19"/>
                <w:szCs w:val="19"/>
              </w:rPr>
              <w:t>The program met its key performance indicator goal of 80% participant satisfaction (96% reported being very or somewhat satisfied).</w:t>
            </w:r>
          </w:p>
          <w:p w:rsidR="00EF3BC6" w:rsidRPr="00A763FD" w:rsidRDefault="00EF3BC6" w:rsidP="009349F1">
            <w:pPr>
              <w:numPr>
                <w:ilvl w:val="0"/>
                <w:numId w:val="11"/>
              </w:numPr>
              <w:autoSpaceDE w:val="0"/>
              <w:autoSpaceDN w:val="0"/>
              <w:adjustRightInd w:val="0"/>
              <w:ind w:left="187" w:hanging="187"/>
              <w:contextualSpacing/>
              <w:jc w:val="left"/>
              <w:rPr>
                <w:sz w:val="19"/>
                <w:szCs w:val="19"/>
              </w:rPr>
            </w:pPr>
            <w:r w:rsidRPr="00A763FD">
              <w:rPr>
                <w:sz w:val="19"/>
                <w:szCs w:val="19"/>
              </w:rPr>
              <w:t xml:space="preserve">Most participants (75%) reported being very or somewhat satisfied with their home’s comfort and temperature control after participating, up from 44% before participating; most participants reported being very or somewhat satisfied with other program elements and rated them as very or somewhat important. </w:t>
            </w:r>
          </w:p>
          <w:p w:rsidR="00EF3BC6" w:rsidRPr="00A763FD" w:rsidRDefault="00EF3BC6" w:rsidP="009349F1">
            <w:pPr>
              <w:numPr>
                <w:ilvl w:val="0"/>
                <w:numId w:val="11"/>
              </w:numPr>
              <w:autoSpaceDE w:val="0"/>
              <w:autoSpaceDN w:val="0"/>
              <w:adjustRightInd w:val="0"/>
              <w:ind w:left="187" w:hanging="187"/>
              <w:contextualSpacing/>
              <w:jc w:val="left"/>
              <w:rPr>
                <w:sz w:val="19"/>
                <w:szCs w:val="19"/>
              </w:rPr>
            </w:pPr>
            <w:r w:rsidRPr="00A763FD">
              <w:rPr>
                <w:sz w:val="19"/>
                <w:szCs w:val="19"/>
              </w:rPr>
              <w:t>Most surveyed participants (84%) reported that their monthly energy bills did not change or decreased since participating.</w:t>
            </w:r>
          </w:p>
          <w:p w:rsidR="00EF3BC6" w:rsidRPr="00A763FD" w:rsidRDefault="00EF3BC6" w:rsidP="009349F1">
            <w:pPr>
              <w:numPr>
                <w:ilvl w:val="0"/>
                <w:numId w:val="11"/>
              </w:numPr>
              <w:autoSpaceDE w:val="0"/>
              <w:autoSpaceDN w:val="0"/>
              <w:adjustRightInd w:val="0"/>
              <w:ind w:left="187" w:hanging="187"/>
              <w:contextualSpacing/>
              <w:jc w:val="left"/>
              <w:rPr>
                <w:sz w:val="19"/>
                <w:szCs w:val="19"/>
              </w:rPr>
            </w:pPr>
            <w:r w:rsidRPr="00A763FD">
              <w:rPr>
                <w:sz w:val="19"/>
                <w:szCs w:val="19"/>
              </w:rPr>
              <w:t>There are far fewer manufactured homes in the study region that have electric heating and more homes with non-electric heating than initially anticipated, which led to major changes in the program and study design, substantial delays in implementation, and customer attrition.</w:t>
            </w:r>
          </w:p>
          <w:p w:rsidR="00EF3BC6" w:rsidRPr="00A763FD" w:rsidRDefault="00EF3BC6" w:rsidP="009349F1">
            <w:pPr>
              <w:numPr>
                <w:ilvl w:val="0"/>
                <w:numId w:val="11"/>
              </w:numPr>
              <w:autoSpaceDE w:val="0"/>
              <w:autoSpaceDN w:val="0"/>
              <w:adjustRightInd w:val="0"/>
              <w:ind w:left="187" w:hanging="187"/>
              <w:contextualSpacing/>
              <w:jc w:val="left"/>
              <w:rPr>
                <w:sz w:val="19"/>
                <w:szCs w:val="19"/>
              </w:rPr>
            </w:pPr>
            <w:r w:rsidRPr="00A763FD">
              <w:rPr>
                <w:sz w:val="19"/>
                <w:szCs w:val="19"/>
              </w:rPr>
              <w:t>Customer distrust played a large role in low recruitment, particularly because the program was free.</w:t>
            </w:r>
          </w:p>
          <w:p w:rsidR="00183636" w:rsidRPr="00A763FD" w:rsidRDefault="00EF3BC6" w:rsidP="009349F1">
            <w:pPr>
              <w:numPr>
                <w:ilvl w:val="0"/>
                <w:numId w:val="11"/>
              </w:numPr>
              <w:autoSpaceDE w:val="0"/>
              <w:autoSpaceDN w:val="0"/>
              <w:adjustRightInd w:val="0"/>
              <w:ind w:left="187" w:hanging="187"/>
              <w:contextualSpacing/>
              <w:rPr>
                <w:sz w:val="19"/>
                <w:szCs w:val="19"/>
              </w:rPr>
            </w:pPr>
            <w:r w:rsidRPr="00A763FD">
              <w:rPr>
                <w:sz w:val="19"/>
                <w:szCs w:val="19"/>
              </w:rPr>
              <w:t>Delays in implementation pushed the installations and weatherizations into winter instead of being performed as planned during the summer. This caused some unanticipated delays due to weather, holidays, and shorter days.</w:t>
            </w:r>
          </w:p>
        </w:tc>
        <w:tc>
          <w:tcPr>
            <w:tcW w:w="2678"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A763FD" w:rsidRDefault="00183636" w:rsidP="0036185D">
            <w:pPr>
              <w:numPr>
                <w:ilvl w:val="0"/>
                <w:numId w:val="13"/>
              </w:numPr>
              <w:ind w:left="187" w:hanging="187"/>
              <w:contextualSpacing/>
              <w:jc w:val="left"/>
              <w:rPr>
                <w:sz w:val="19"/>
                <w:szCs w:val="19"/>
              </w:rPr>
            </w:pPr>
            <w:r w:rsidRPr="00A763FD">
              <w:rPr>
                <w:sz w:val="19"/>
                <w:szCs w:val="19"/>
              </w:rPr>
              <w:t>Program staff and implementer interviews (n=3)</w:t>
            </w:r>
          </w:p>
          <w:p w:rsidR="00183636" w:rsidRPr="00A763FD" w:rsidRDefault="00183636" w:rsidP="0036185D">
            <w:pPr>
              <w:numPr>
                <w:ilvl w:val="0"/>
                <w:numId w:val="13"/>
              </w:numPr>
              <w:ind w:left="187" w:hanging="187"/>
              <w:contextualSpacing/>
              <w:jc w:val="left"/>
              <w:rPr>
                <w:sz w:val="19"/>
                <w:szCs w:val="19"/>
              </w:rPr>
            </w:pPr>
            <w:r w:rsidRPr="00A763FD">
              <w:rPr>
                <w:sz w:val="19"/>
                <w:szCs w:val="19"/>
              </w:rPr>
              <w:t>Participating technician interview</w:t>
            </w:r>
          </w:p>
          <w:p w:rsidR="00183636" w:rsidRPr="00A763FD" w:rsidRDefault="00183636" w:rsidP="0036185D">
            <w:pPr>
              <w:numPr>
                <w:ilvl w:val="0"/>
                <w:numId w:val="13"/>
              </w:numPr>
              <w:ind w:left="187" w:hanging="187"/>
              <w:contextualSpacing/>
              <w:jc w:val="left"/>
              <w:rPr>
                <w:sz w:val="19"/>
                <w:szCs w:val="19"/>
              </w:rPr>
            </w:pPr>
            <w:r w:rsidRPr="00A763FD">
              <w:rPr>
                <w:sz w:val="19"/>
                <w:szCs w:val="19"/>
              </w:rPr>
              <w:t>Customer enrollment surveys (n=243)</w:t>
            </w:r>
          </w:p>
          <w:p w:rsidR="00183636" w:rsidRPr="00A763FD" w:rsidRDefault="00183636" w:rsidP="0036185D">
            <w:pPr>
              <w:numPr>
                <w:ilvl w:val="0"/>
                <w:numId w:val="13"/>
              </w:numPr>
              <w:ind w:left="187" w:hanging="187"/>
              <w:contextualSpacing/>
              <w:jc w:val="left"/>
              <w:rPr>
                <w:sz w:val="19"/>
                <w:szCs w:val="19"/>
              </w:rPr>
            </w:pPr>
            <w:r w:rsidRPr="00A763FD">
              <w:rPr>
                <w:sz w:val="19"/>
                <w:szCs w:val="19"/>
              </w:rPr>
              <w:t>Leave-behind participant postcards (n=40)</w:t>
            </w:r>
          </w:p>
          <w:p w:rsidR="00183636" w:rsidRPr="00A763FD" w:rsidRDefault="00183636" w:rsidP="0036185D">
            <w:pPr>
              <w:numPr>
                <w:ilvl w:val="0"/>
                <w:numId w:val="13"/>
              </w:numPr>
              <w:ind w:left="187" w:hanging="187"/>
              <w:contextualSpacing/>
              <w:jc w:val="left"/>
              <w:rPr>
                <w:sz w:val="19"/>
                <w:szCs w:val="19"/>
              </w:rPr>
            </w:pPr>
            <w:r w:rsidRPr="00A763FD">
              <w:rPr>
                <w:sz w:val="19"/>
                <w:szCs w:val="19"/>
              </w:rPr>
              <w:t>Participant satisfaction surveys (n=44)</w:t>
            </w:r>
          </w:p>
          <w:p w:rsidR="00183636" w:rsidRPr="00A763FD" w:rsidRDefault="00183636" w:rsidP="0036185D">
            <w:pPr>
              <w:numPr>
                <w:ilvl w:val="0"/>
                <w:numId w:val="13"/>
              </w:numPr>
              <w:ind w:left="187" w:hanging="187"/>
              <w:contextualSpacing/>
              <w:jc w:val="left"/>
              <w:rPr>
                <w:sz w:val="19"/>
                <w:szCs w:val="19"/>
              </w:rPr>
            </w:pPr>
            <w:r w:rsidRPr="00A763FD">
              <w:rPr>
                <w:sz w:val="19"/>
                <w:szCs w:val="19"/>
              </w:rPr>
              <w:t>Program database</w:t>
            </w:r>
          </w:p>
        </w:tc>
      </w:tr>
      <w:tr w:rsidR="00A874AC"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FFFFFF" w:themeFill="background1"/>
            <w:vAlign w:val="center"/>
            <w:hideMark/>
          </w:tcPr>
          <w:p w:rsidR="004B789C" w:rsidRPr="00A763FD" w:rsidRDefault="004B789C" w:rsidP="004B789C">
            <w:pPr>
              <w:jc w:val="left"/>
              <w:rPr>
                <w:color w:val="000000"/>
                <w:sz w:val="19"/>
                <w:szCs w:val="19"/>
              </w:rPr>
            </w:pPr>
            <w:r w:rsidRPr="00A763FD">
              <w:rPr>
                <w:color w:val="000000"/>
                <w:sz w:val="19"/>
                <w:szCs w:val="19"/>
              </w:rPr>
              <w:t>Low-Income Energy-Efficiency Behavior and Education Program</w:t>
            </w:r>
          </w:p>
        </w:tc>
        <w:tc>
          <w:tcPr>
            <w:tcW w:w="4923" w:type="dxa"/>
            <w:tcBorders>
              <w:top w:val="single" w:sz="8" w:space="0" w:color="448A99"/>
              <w:left w:val="single" w:sz="8" w:space="0" w:color="448A99"/>
              <w:bottom w:val="single" w:sz="8" w:space="0" w:color="448A99"/>
              <w:right w:val="single" w:sz="8" w:space="0" w:color="448A99"/>
            </w:tcBorders>
            <w:shd w:val="clear" w:color="auto" w:fill="FFFFFF" w:themeFill="background1"/>
            <w:hideMark/>
          </w:tcPr>
          <w:p w:rsidR="004B789C" w:rsidRPr="00A763FD" w:rsidRDefault="004B789C" w:rsidP="009349F1">
            <w:pPr>
              <w:numPr>
                <w:ilvl w:val="0"/>
                <w:numId w:val="11"/>
              </w:numPr>
              <w:autoSpaceDE w:val="0"/>
              <w:autoSpaceDN w:val="0"/>
              <w:adjustRightInd w:val="0"/>
              <w:ind w:left="360"/>
              <w:contextualSpacing/>
              <w:jc w:val="left"/>
              <w:rPr>
                <w:sz w:val="19"/>
                <w:szCs w:val="19"/>
              </w:rPr>
            </w:pPr>
            <w:r w:rsidRPr="00A763FD">
              <w:rPr>
                <w:sz w:val="19"/>
                <w:szCs w:val="19"/>
              </w:rPr>
              <w:t>The program exceeded its PY7 and Phase II planned MWh/yr savings and nearly met its planned participation.</w:t>
            </w:r>
          </w:p>
          <w:p w:rsidR="004B789C" w:rsidRPr="00A763FD" w:rsidRDefault="004B789C" w:rsidP="009349F1">
            <w:pPr>
              <w:numPr>
                <w:ilvl w:val="0"/>
                <w:numId w:val="11"/>
              </w:numPr>
              <w:autoSpaceDE w:val="0"/>
              <w:autoSpaceDN w:val="0"/>
              <w:adjustRightInd w:val="0"/>
              <w:ind w:left="360"/>
              <w:contextualSpacing/>
              <w:jc w:val="left"/>
              <w:rPr>
                <w:sz w:val="19"/>
                <w:szCs w:val="19"/>
              </w:rPr>
            </w:pPr>
            <w:r w:rsidRPr="00A763FD">
              <w:rPr>
                <w:rFonts w:cs="Calibri"/>
                <w:color w:val="000000"/>
                <w:sz w:val="19"/>
                <w:szCs w:val="19"/>
              </w:rPr>
              <w:t>The interviewed staff reported that the program worked well and that customers received HERs as planned.</w:t>
            </w:r>
          </w:p>
          <w:p w:rsidR="004B789C" w:rsidRPr="00A763FD" w:rsidRDefault="004B789C" w:rsidP="009349F1">
            <w:pPr>
              <w:numPr>
                <w:ilvl w:val="0"/>
                <w:numId w:val="11"/>
              </w:numPr>
              <w:autoSpaceDE w:val="0"/>
              <w:autoSpaceDN w:val="0"/>
              <w:adjustRightInd w:val="0"/>
              <w:ind w:left="360"/>
              <w:contextualSpacing/>
              <w:jc w:val="left"/>
              <w:rPr>
                <w:sz w:val="19"/>
                <w:szCs w:val="19"/>
              </w:rPr>
            </w:pPr>
            <w:r w:rsidRPr="00A763FD">
              <w:rPr>
                <w:rFonts w:cs="Calibri"/>
                <w:color w:val="000000"/>
                <w:sz w:val="19"/>
                <w:szCs w:val="19"/>
              </w:rPr>
              <w:t>The program did not meet its key performance indicator goal of increasing participation to 90,000 customers due to attrition in PY6, but it did meet its call center goal for reducing calls compared with PY6.</w:t>
            </w:r>
          </w:p>
          <w:p w:rsidR="004B789C" w:rsidRPr="00A763FD" w:rsidRDefault="004B789C" w:rsidP="009349F1">
            <w:pPr>
              <w:numPr>
                <w:ilvl w:val="0"/>
                <w:numId w:val="11"/>
              </w:numPr>
              <w:autoSpaceDE w:val="0"/>
              <w:autoSpaceDN w:val="0"/>
              <w:adjustRightInd w:val="0"/>
              <w:ind w:left="360"/>
              <w:contextualSpacing/>
              <w:jc w:val="left"/>
              <w:rPr>
                <w:sz w:val="19"/>
                <w:szCs w:val="19"/>
              </w:rPr>
            </w:pPr>
            <w:r w:rsidRPr="00A763FD">
              <w:rPr>
                <w:rFonts w:cs="Calibri"/>
                <w:color w:val="000000"/>
                <w:sz w:val="19"/>
                <w:szCs w:val="19"/>
              </w:rPr>
              <w:t>Most of surveyed customers (89%) reported reading, partially reading, or skimming the last paper HERs they received, compared with 95% in the residential program.</w:t>
            </w:r>
          </w:p>
          <w:p w:rsidR="004B789C" w:rsidRPr="00A763FD" w:rsidRDefault="004B789C" w:rsidP="009349F1">
            <w:pPr>
              <w:numPr>
                <w:ilvl w:val="0"/>
                <w:numId w:val="11"/>
              </w:numPr>
              <w:autoSpaceDE w:val="0"/>
              <w:autoSpaceDN w:val="0"/>
              <w:adjustRightInd w:val="0"/>
              <w:ind w:left="360"/>
              <w:contextualSpacing/>
              <w:jc w:val="left"/>
              <w:rPr>
                <w:sz w:val="19"/>
                <w:szCs w:val="19"/>
              </w:rPr>
            </w:pPr>
            <w:r w:rsidRPr="00A763FD">
              <w:rPr>
                <w:rFonts w:cs="Calibri"/>
                <w:sz w:val="19"/>
                <w:szCs w:val="19"/>
              </w:rPr>
              <w:t>The HERs provided an aggregate uplift in participation (6%) and savings (2%) in other PPL energy efficiency programs. There was very little difference between the treatment and control groups in the average number of other programs in which PPL customers participated.</w:t>
            </w:r>
          </w:p>
          <w:p w:rsidR="004B789C" w:rsidRPr="00A763FD" w:rsidRDefault="004B789C" w:rsidP="009349F1">
            <w:pPr>
              <w:numPr>
                <w:ilvl w:val="0"/>
                <w:numId w:val="11"/>
              </w:numPr>
              <w:autoSpaceDE w:val="0"/>
              <w:autoSpaceDN w:val="0"/>
              <w:adjustRightInd w:val="0"/>
              <w:ind w:left="360"/>
              <w:contextualSpacing/>
              <w:jc w:val="left"/>
              <w:rPr>
                <w:sz w:val="19"/>
                <w:szCs w:val="19"/>
              </w:rPr>
            </w:pPr>
            <w:r w:rsidRPr="00A763FD">
              <w:rPr>
                <w:rFonts w:cs="Calibri"/>
                <w:color w:val="000000"/>
                <w:sz w:val="19"/>
                <w:szCs w:val="19"/>
              </w:rPr>
              <w:t>The HERs did not appear to influence customers to make any of seven energy savings improvements or any of seven energy saving behaviors except turning down the thermostat.</w:t>
            </w:r>
          </w:p>
          <w:p w:rsidR="004B789C" w:rsidRPr="00A763FD" w:rsidRDefault="004B789C" w:rsidP="009349F1">
            <w:pPr>
              <w:numPr>
                <w:ilvl w:val="0"/>
                <w:numId w:val="11"/>
              </w:numPr>
              <w:autoSpaceDE w:val="0"/>
              <w:autoSpaceDN w:val="0"/>
              <w:adjustRightInd w:val="0"/>
              <w:ind w:left="360"/>
              <w:contextualSpacing/>
              <w:jc w:val="left"/>
              <w:rPr>
                <w:sz w:val="19"/>
                <w:szCs w:val="19"/>
              </w:rPr>
            </w:pPr>
            <w:r w:rsidRPr="00A763FD">
              <w:rPr>
                <w:rFonts w:cs="Calibri"/>
                <w:color w:val="000000"/>
                <w:sz w:val="19"/>
                <w:szCs w:val="19"/>
              </w:rPr>
              <w:t>Over three-fourths of surveyed customers reported being very or somewhat satisfied with the HERs, which was significantly higher than the Residential program’s PY6 satisfaction results.</w:t>
            </w:r>
          </w:p>
        </w:tc>
        <w:tc>
          <w:tcPr>
            <w:tcW w:w="2678" w:type="dxa"/>
            <w:tcBorders>
              <w:top w:val="single" w:sz="8" w:space="0" w:color="448A99"/>
              <w:left w:val="single" w:sz="8" w:space="0" w:color="448A99"/>
              <w:bottom w:val="single" w:sz="8" w:space="0" w:color="448A99"/>
              <w:right w:val="single" w:sz="8" w:space="0" w:color="448A99"/>
            </w:tcBorders>
            <w:shd w:val="clear" w:color="auto" w:fill="FFFFFF" w:themeFill="background1"/>
            <w:hideMark/>
          </w:tcPr>
          <w:p w:rsidR="004B789C" w:rsidRPr="00A763FD" w:rsidRDefault="004B789C" w:rsidP="0036185D">
            <w:pPr>
              <w:numPr>
                <w:ilvl w:val="0"/>
                <w:numId w:val="14"/>
              </w:numPr>
              <w:ind w:left="187" w:hanging="187"/>
              <w:contextualSpacing/>
              <w:jc w:val="left"/>
              <w:rPr>
                <w:sz w:val="19"/>
                <w:szCs w:val="19"/>
              </w:rPr>
            </w:pPr>
            <w:r w:rsidRPr="00A763FD">
              <w:rPr>
                <w:sz w:val="19"/>
                <w:szCs w:val="19"/>
              </w:rPr>
              <w:t>Program staff and implementer interviews (n=2)</w:t>
            </w:r>
          </w:p>
          <w:p w:rsidR="004B789C" w:rsidRPr="00A763FD" w:rsidRDefault="004B789C" w:rsidP="0036185D">
            <w:pPr>
              <w:numPr>
                <w:ilvl w:val="0"/>
                <w:numId w:val="14"/>
              </w:numPr>
              <w:ind w:left="187" w:hanging="187"/>
              <w:contextualSpacing/>
              <w:jc w:val="left"/>
              <w:rPr>
                <w:sz w:val="19"/>
                <w:szCs w:val="19"/>
              </w:rPr>
            </w:pPr>
            <w:r w:rsidRPr="00A763FD">
              <w:rPr>
                <w:sz w:val="19"/>
                <w:szCs w:val="19"/>
              </w:rPr>
              <w:t>Treatment group surveys (n=151)</w:t>
            </w:r>
          </w:p>
          <w:p w:rsidR="004B789C" w:rsidRPr="00A763FD" w:rsidRDefault="004B789C" w:rsidP="0036185D">
            <w:pPr>
              <w:numPr>
                <w:ilvl w:val="0"/>
                <w:numId w:val="14"/>
              </w:numPr>
              <w:ind w:left="187" w:hanging="187"/>
              <w:contextualSpacing/>
              <w:jc w:val="left"/>
              <w:rPr>
                <w:sz w:val="19"/>
                <w:szCs w:val="19"/>
              </w:rPr>
            </w:pPr>
            <w:r w:rsidRPr="00A763FD">
              <w:rPr>
                <w:sz w:val="19"/>
                <w:szCs w:val="19"/>
              </w:rPr>
              <w:t>Control group surveys (n=150)</w:t>
            </w:r>
          </w:p>
          <w:p w:rsidR="004B789C" w:rsidRPr="00A763FD" w:rsidRDefault="004B789C" w:rsidP="0036185D">
            <w:pPr>
              <w:numPr>
                <w:ilvl w:val="0"/>
                <w:numId w:val="14"/>
              </w:numPr>
              <w:ind w:left="187" w:hanging="187"/>
              <w:contextualSpacing/>
              <w:jc w:val="left"/>
              <w:rPr>
                <w:sz w:val="19"/>
                <w:szCs w:val="19"/>
              </w:rPr>
            </w:pPr>
            <w:r w:rsidRPr="00A763FD">
              <w:rPr>
                <w:sz w:val="19"/>
                <w:szCs w:val="19"/>
              </w:rPr>
              <w:t>EEMIS and program databases</w:t>
            </w:r>
          </w:p>
        </w:tc>
      </w:tr>
      <w:tr w:rsidR="00A874AC"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A763FD" w:rsidRDefault="00183636" w:rsidP="005C1352">
            <w:pPr>
              <w:jc w:val="left"/>
              <w:rPr>
                <w:sz w:val="19"/>
                <w:szCs w:val="19"/>
              </w:rPr>
            </w:pPr>
            <w:r w:rsidRPr="00A763FD">
              <w:rPr>
                <w:sz w:val="19"/>
                <w:szCs w:val="19"/>
              </w:rPr>
              <w:t>Winter Relief Assistance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hideMark/>
          </w:tcPr>
          <w:p w:rsidR="00EE0EDE" w:rsidRPr="00A763FD" w:rsidRDefault="00EE0EDE"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The program met or exceeded all its PY7 and Phase II planned energy savings and planned participation, except for its planned participation in PY7.</w:t>
            </w:r>
          </w:p>
          <w:p w:rsidR="00EE0EDE" w:rsidRPr="00A763FD" w:rsidRDefault="00EE0EDE"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Program staff reported being very satisfied with the LEAP tracking system and reported that the program ran smoothly in PY7.</w:t>
            </w:r>
          </w:p>
          <w:p w:rsidR="00EE0EDE" w:rsidRPr="00A763FD" w:rsidRDefault="00EE0EDE"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The program manager reported that CAP enrollment increased 25% in PY7 and that referrals through CAP were likely a strong contributor to PY7 participation.</w:t>
            </w:r>
          </w:p>
          <w:p w:rsidR="00EE0EDE" w:rsidRPr="00A763FD" w:rsidRDefault="00EE0EDE"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Most surveyed participants (71%) reported being very satisfied with the program.</w:t>
            </w:r>
          </w:p>
          <w:p w:rsidR="00EE0EDE" w:rsidRPr="00A763FD" w:rsidRDefault="00EE0EDE"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The program used mail-in postcards as its targeted marketing strategy and had less success with the cards in PY7 than in PY6, but the online application launched during PY6 and the toll-free number contributed to participation in PY7.</w:t>
            </w:r>
          </w:p>
          <w:p w:rsidR="00183636" w:rsidRPr="00A763FD" w:rsidRDefault="00EE0EDE"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Most surveyed participants (83%) could recall examples of energy saving ideas provided during the in-home energy audit, and nearly all (94%) reported taking at least one of the steps to save energy.</w:t>
            </w:r>
          </w:p>
        </w:tc>
        <w:tc>
          <w:tcPr>
            <w:tcW w:w="2678"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Program implementer interview (n=1)</w:t>
            </w:r>
          </w:p>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Participant surveys (n=141)</w:t>
            </w:r>
          </w:p>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Program database and participant records</w:t>
            </w:r>
          </w:p>
        </w:tc>
      </w:tr>
      <w:tr w:rsidR="00E7173E"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183636" w:rsidRPr="00A763FD" w:rsidRDefault="00183636" w:rsidP="00445EE0">
            <w:pPr>
              <w:jc w:val="left"/>
              <w:rPr>
                <w:sz w:val="19"/>
                <w:szCs w:val="19"/>
              </w:rPr>
            </w:pPr>
            <w:r w:rsidRPr="00A763FD">
              <w:rPr>
                <w:sz w:val="19"/>
                <w:szCs w:val="19"/>
              </w:rPr>
              <w:t>De Facto Heating Pilot</w:t>
            </w:r>
            <w:r w:rsidR="00EF3012" w:rsidRPr="00A763FD">
              <w:rPr>
                <w:sz w:val="19"/>
                <w:szCs w:val="19"/>
              </w:rPr>
              <w:t xml:space="preserve"> (component of the WRAP</w:t>
            </w:r>
            <w:r w:rsidR="00A64165" w:rsidRPr="00A763FD">
              <w:rPr>
                <w:sz w:val="19"/>
                <w:szCs w:val="19"/>
              </w:rPr>
              <w:t xml:space="preserve"> Program</w:t>
            </w:r>
            <w:r w:rsidR="00EF3012" w:rsidRPr="00A763FD">
              <w:rPr>
                <w:sz w:val="19"/>
                <w:szCs w:val="19"/>
              </w:rPr>
              <w:t>)</w:t>
            </w:r>
          </w:p>
        </w:tc>
        <w:tc>
          <w:tcPr>
            <w:tcW w:w="4923" w:type="dxa"/>
            <w:tcBorders>
              <w:top w:val="single" w:sz="8" w:space="0" w:color="448A99"/>
              <w:left w:val="single" w:sz="8" w:space="0" w:color="448A99"/>
              <w:bottom w:val="single" w:sz="8" w:space="0" w:color="448A99"/>
              <w:right w:val="single" w:sz="8" w:space="0" w:color="448A99"/>
            </w:tcBorders>
            <w:hideMark/>
          </w:tcPr>
          <w:p w:rsidR="00445EE0" w:rsidRPr="00A763FD" w:rsidRDefault="00445EE0"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The Pilot did not meet its plans for energy savings, participation, or cost-effectiveness for PY7. It will not continue in Phase III.</w:t>
            </w:r>
          </w:p>
          <w:p w:rsidR="00445EE0" w:rsidRPr="00A763FD" w:rsidRDefault="00445EE0"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Selecting qualified participants and homes from the 2,000 income-eligible customers and getting them to participate was very difficult.</w:t>
            </w:r>
          </w:p>
          <w:p w:rsidR="00445EE0" w:rsidRPr="00A763FD" w:rsidRDefault="00445EE0"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Average project costs per home were higher than anticipated, limiting the number of participants to 11 instead of 20 under a fixed program budget.</w:t>
            </w:r>
          </w:p>
          <w:p w:rsidR="00445EE0" w:rsidRPr="00A763FD" w:rsidRDefault="00445EE0"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Two of the three surveyed participants reported high satisfaction with the contractor, the money they saved with the heat pump, and the money they saved with the WRAP measures; all three were satisfied with their home’s comfort and were satisfied overall with the program.</w:t>
            </w:r>
          </w:p>
          <w:p w:rsidR="00183636" w:rsidRPr="00A763FD" w:rsidRDefault="00445EE0" w:rsidP="009349F1">
            <w:pPr>
              <w:numPr>
                <w:ilvl w:val="0"/>
                <w:numId w:val="11"/>
              </w:numPr>
              <w:autoSpaceDE w:val="0"/>
              <w:autoSpaceDN w:val="0"/>
              <w:adjustRightInd w:val="0"/>
              <w:ind w:left="232" w:hanging="180"/>
              <w:contextualSpacing/>
              <w:jc w:val="left"/>
              <w:rPr>
                <w:rFonts w:cs="Calibri"/>
                <w:sz w:val="19"/>
                <w:szCs w:val="19"/>
              </w:rPr>
            </w:pPr>
            <w:r w:rsidRPr="00A763FD">
              <w:rPr>
                <w:sz w:val="19"/>
                <w:szCs w:val="19"/>
              </w:rPr>
              <w:t>None of the three survey participants reported using portable space heaters or plan to use room air conditioners after participating in the Pilot.</w:t>
            </w:r>
          </w:p>
        </w:tc>
        <w:tc>
          <w:tcPr>
            <w:tcW w:w="2678" w:type="dxa"/>
            <w:tcBorders>
              <w:top w:val="single" w:sz="8" w:space="0" w:color="448A99"/>
              <w:left w:val="single" w:sz="8" w:space="0" w:color="448A99"/>
              <w:bottom w:val="single" w:sz="8" w:space="0" w:color="448A99"/>
              <w:right w:val="single" w:sz="8" w:space="0" w:color="448A99"/>
            </w:tcBorders>
            <w:hideMark/>
          </w:tcPr>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Program implementer interview (n=1)</w:t>
            </w:r>
          </w:p>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Installation contractor interview (n=1)</w:t>
            </w:r>
          </w:p>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Participant interviews (n=3)</w:t>
            </w:r>
          </w:p>
          <w:p w:rsidR="00183636" w:rsidRPr="00A763FD" w:rsidRDefault="00183636" w:rsidP="009349F1">
            <w:pPr>
              <w:numPr>
                <w:ilvl w:val="0"/>
                <w:numId w:val="12"/>
              </w:numPr>
              <w:autoSpaceDE w:val="0"/>
              <w:autoSpaceDN w:val="0"/>
              <w:adjustRightInd w:val="0"/>
              <w:ind w:left="232" w:hanging="180"/>
              <w:contextualSpacing/>
              <w:jc w:val="left"/>
              <w:rPr>
                <w:sz w:val="19"/>
                <w:szCs w:val="19"/>
              </w:rPr>
            </w:pPr>
            <w:r w:rsidRPr="00A763FD">
              <w:rPr>
                <w:sz w:val="19"/>
                <w:szCs w:val="19"/>
              </w:rPr>
              <w:t>Program database</w:t>
            </w:r>
          </w:p>
        </w:tc>
      </w:tr>
      <w:tr w:rsidR="00E7173E" w:rsidRPr="00A763FD" w:rsidTr="00B32B81">
        <w:trPr>
          <w:trHeight w:val="141"/>
          <w:jc w:val="center"/>
        </w:trPr>
        <w:tc>
          <w:tcPr>
            <w:tcW w:w="9440" w:type="dxa"/>
            <w:gridSpan w:val="3"/>
            <w:tcBorders>
              <w:top w:val="single" w:sz="8" w:space="0" w:color="448A99"/>
              <w:left w:val="single" w:sz="8" w:space="0" w:color="448A99"/>
              <w:bottom w:val="single" w:sz="8" w:space="0" w:color="448A99"/>
              <w:right w:val="single" w:sz="8" w:space="0" w:color="448A99"/>
            </w:tcBorders>
            <w:shd w:val="clear" w:color="auto" w:fill="9C9393"/>
            <w:hideMark/>
          </w:tcPr>
          <w:p w:rsidR="00183636" w:rsidRPr="00A763FD" w:rsidRDefault="00183636" w:rsidP="005C1352">
            <w:pPr>
              <w:ind w:left="139" w:hanging="180"/>
              <w:jc w:val="left"/>
              <w:rPr>
                <w:b/>
                <w:i/>
                <w:sz w:val="19"/>
                <w:szCs w:val="19"/>
              </w:rPr>
            </w:pPr>
            <w:r w:rsidRPr="00A763FD">
              <w:rPr>
                <w:b/>
                <w:color w:val="FFFFFF"/>
                <w:sz w:val="19"/>
                <w:szCs w:val="19"/>
              </w:rPr>
              <w:t>Non-Residential Sector</w:t>
            </w:r>
          </w:p>
        </w:tc>
      </w:tr>
      <w:tr w:rsidR="00445EE0"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445EE0" w:rsidRPr="00A763FD" w:rsidRDefault="00445EE0" w:rsidP="00445EE0">
            <w:pPr>
              <w:jc w:val="left"/>
              <w:rPr>
                <w:sz w:val="19"/>
                <w:szCs w:val="19"/>
              </w:rPr>
            </w:pPr>
            <w:r w:rsidRPr="00A763FD">
              <w:rPr>
                <w:sz w:val="19"/>
                <w:szCs w:val="19"/>
              </w:rPr>
              <w:t>Continuous Energy Improvement Program</w:t>
            </w:r>
          </w:p>
        </w:tc>
        <w:tc>
          <w:tcPr>
            <w:tcW w:w="4923" w:type="dxa"/>
            <w:tcBorders>
              <w:top w:val="single" w:sz="8" w:space="0" w:color="448A99"/>
              <w:left w:val="single" w:sz="8" w:space="0" w:color="448A99"/>
              <w:bottom w:val="single" w:sz="8" w:space="0" w:color="448A99"/>
              <w:right w:val="single" w:sz="8" w:space="0" w:color="448A99"/>
            </w:tcBorders>
            <w:vAlign w:val="bottom"/>
            <w:hideMark/>
          </w:tcPr>
          <w:p w:rsidR="00445EE0" w:rsidRPr="00A763FD" w:rsidRDefault="00445EE0" w:rsidP="009349F1">
            <w:pPr>
              <w:numPr>
                <w:ilvl w:val="0"/>
                <w:numId w:val="10"/>
              </w:numPr>
              <w:autoSpaceDE w:val="0"/>
              <w:autoSpaceDN w:val="0"/>
              <w:adjustRightInd w:val="0"/>
              <w:ind w:left="187" w:hanging="187"/>
              <w:contextualSpacing/>
              <w:jc w:val="left"/>
              <w:rPr>
                <w:rFonts w:cs="Calibri"/>
                <w:sz w:val="19"/>
                <w:szCs w:val="19"/>
              </w:rPr>
            </w:pPr>
            <w:r w:rsidRPr="00A763FD">
              <w:rPr>
                <w:sz w:val="19"/>
                <w:szCs w:val="19"/>
              </w:rPr>
              <w:t>The program met or exceeded its PY7 and Phase II planned energy savings and planned participation.</w:t>
            </w:r>
          </w:p>
          <w:p w:rsidR="00445EE0" w:rsidRPr="00A763FD" w:rsidRDefault="00445EE0" w:rsidP="009349F1">
            <w:pPr>
              <w:numPr>
                <w:ilvl w:val="0"/>
                <w:numId w:val="10"/>
              </w:numPr>
              <w:autoSpaceDE w:val="0"/>
              <w:autoSpaceDN w:val="0"/>
              <w:adjustRightInd w:val="0"/>
              <w:ind w:left="187" w:hanging="187"/>
              <w:contextualSpacing/>
              <w:jc w:val="left"/>
              <w:rPr>
                <w:rFonts w:cs="Calibri"/>
                <w:sz w:val="19"/>
                <w:szCs w:val="19"/>
              </w:rPr>
            </w:pPr>
            <w:r w:rsidRPr="00A763FD">
              <w:rPr>
                <w:rFonts w:cs="Calibri"/>
                <w:color w:val="000000"/>
                <w:sz w:val="19"/>
                <w:szCs w:val="19"/>
              </w:rPr>
              <w:t>Interviewed staff reported that the program is working well, with schools taking ownership of the program and doing SEMP plans on their own.</w:t>
            </w:r>
          </w:p>
          <w:p w:rsidR="00445EE0" w:rsidRPr="00A763FD" w:rsidRDefault="00445EE0" w:rsidP="009349F1">
            <w:pPr>
              <w:numPr>
                <w:ilvl w:val="0"/>
                <w:numId w:val="10"/>
              </w:numPr>
              <w:autoSpaceDE w:val="0"/>
              <w:autoSpaceDN w:val="0"/>
              <w:adjustRightInd w:val="0"/>
              <w:ind w:left="187" w:hanging="187"/>
              <w:contextualSpacing/>
              <w:jc w:val="left"/>
              <w:rPr>
                <w:rFonts w:cs="Calibri"/>
                <w:sz w:val="19"/>
                <w:szCs w:val="19"/>
              </w:rPr>
            </w:pPr>
            <w:r w:rsidRPr="00A763FD">
              <w:rPr>
                <w:rFonts w:cs="Calibri"/>
                <w:color w:val="000000"/>
                <w:sz w:val="19"/>
                <w:szCs w:val="19"/>
              </w:rPr>
              <w:t>Customer satisfaction exceeded the planned target of 80% (100% reported being very or somewhat satisfied).</w:t>
            </w:r>
          </w:p>
          <w:p w:rsidR="00445EE0" w:rsidRPr="00A763FD" w:rsidRDefault="00445EE0" w:rsidP="009349F1">
            <w:pPr>
              <w:numPr>
                <w:ilvl w:val="0"/>
                <w:numId w:val="10"/>
              </w:numPr>
              <w:autoSpaceDE w:val="0"/>
              <w:autoSpaceDN w:val="0"/>
              <w:adjustRightInd w:val="0"/>
              <w:ind w:left="187" w:hanging="187"/>
              <w:contextualSpacing/>
              <w:jc w:val="left"/>
              <w:rPr>
                <w:rFonts w:cs="Calibri"/>
                <w:sz w:val="19"/>
                <w:szCs w:val="19"/>
              </w:rPr>
            </w:pPr>
            <w:r w:rsidRPr="00A763FD">
              <w:rPr>
                <w:rFonts w:cs="Calibri"/>
                <w:color w:val="000000"/>
                <w:sz w:val="19"/>
                <w:szCs w:val="19"/>
              </w:rPr>
              <w:t>Surveyed school district energy managers and school champions reported that the greatest challenges involved organizing and gaining commitment from others involved in the schools and not having enough time to dedicate to the program.</w:t>
            </w:r>
          </w:p>
          <w:p w:rsidR="00445EE0" w:rsidRPr="00A763FD" w:rsidRDefault="00445EE0" w:rsidP="009349F1">
            <w:pPr>
              <w:numPr>
                <w:ilvl w:val="0"/>
                <w:numId w:val="10"/>
              </w:numPr>
              <w:autoSpaceDE w:val="0"/>
              <w:autoSpaceDN w:val="0"/>
              <w:adjustRightInd w:val="0"/>
              <w:ind w:left="187" w:hanging="187"/>
              <w:contextualSpacing/>
              <w:jc w:val="left"/>
              <w:rPr>
                <w:rFonts w:cs="Calibri"/>
                <w:sz w:val="19"/>
                <w:szCs w:val="19"/>
              </w:rPr>
            </w:pPr>
            <w:r w:rsidRPr="00A763FD">
              <w:rPr>
                <w:rFonts w:cs="Calibri"/>
                <w:sz w:val="19"/>
                <w:szCs w:val="19"/>
              </w:rPr>
              <w:t>Overall SEM adoption was high across all program participants. However, the number of schools with full adoption declined from PY6 due to infrequent updates of program planning materials.</w:t>
            </w:r>
          </w:p>
          <w:p w:rsidR="00445EE0" w:rsidRPr="00A763FD" w:rsidRDefault="00445EE0" w:rsidP="009349F1">
            <w:pPr>
              <w:numPr>
                <w:ilvl w:val="0"/>
                <w:numId w:val="10"/>
              </w:numPr>
              <w:autoSpaceDE w:val="0"/>
              <w:autoSpaceDN w:val="0"/>
              <w:adjustRightInd w:val="0"/>
              <w:ind w:left="187" w:hanging="187"/>
              <w:contextualSpacing/>
              <w:jc w:val="left"/>
              <w:rPr>
                <w:rFonts w:cs="Calibri"/>
                <w:sz w:val="19"/>
                <w:szCs w:val="19"/>
              </w:rPr>
            </w:pPr>
            <w:r w:rsidRPr="00A763FD">
              <w:rPr>
                <w:rFonts w:cs="Calibri"/>
                <w:color w:val="000000"/>
                <w:sz w:val="19"/>
                <w:szCs w:val="19"/>
              </w:rPr>
              <w:t>Most survey participants reported that the program was extremely or somewhat influential in their decision to implement energy efficiency projects.</w:t>
            </w:r>
          </w:p>
        </w:tc>
        <w:tc>
          <w:tcPr>
            <w:tcW w:w="2678" w:type="dxa"/>
            <w:tcBorders>
              <w:top w:val="single" w:sz="8" w:space="0" w:color="448A99"/>
              <w:left w:val="single" w:sz="8" w:space="0" w:color="448A99"/>
              <w:bottom w:val="single" w:sz="8" w:space="0" w:color="448A99"/>
              <w:right w:val="single" w:sz="8" w:space="0" w:color="448A99"/>
            </w:tcBorders>
            <w:hideMark/>
          </w:tcPr>
          <w:p w:rsidR="00445EE0" w:rsidRPr="00A763FD" w:rsidRDefault="00445EE0" w:rsidP="009349F1">
            <w:pPr>
              <w:numPr>
                <w:ilvl w:val="0"/>
                <w:numId w:val="10"/>
              </w:numPr>
              <w:autoSpaceDE w:val="0"/>
              <w:autoSpaceDN w:val="0"/>
              <w:adjustRightInd w:val="0"/>
              <w:ind w:left="142" w:hanging="180"/>
              <w:contextualSpacing/>
              <w:jc w:val="left"/>
              <w:rPr>
                <w:sz w:val="19"/>
                <w:szCs w:val="19"/>
              </w:rPr>
            </w:pPr>
            <w:r w:rsidRPr="00A763FD">
              <w:rPr>
                <w:sz w:val="19"/>
                <w:szCs w:val="19"/>
              </w:rPr>
              <w:t>Program staff and implementer interviews (n=2)</w:t>
            </w:r>
          </w:p>
          <w:p w:rsidR="00445EE0" w:rsidRPr="00A763FD" w:rsidRDefault="00445EE0" w:rsidP="009349F1">
            <w:pPr>
              <w:numPr>
                <w:ilvl w:val="0"/>
                <w:numId w:val="10"/>
              </w:numPr>
              <w:autoSpaceDE w:val="0"/>
              <w:autoSpaceDN w:val="0"/>
              <w:adjustRightInd w:val="0"/>
              <w:ind w:left="142" w:hanging="180"/>
              <w:contextualSpacing/>
              <w:jc w:val="left"/>
              <w:rPr>
                <w:sz w:val="19"/>
                <w:szCs w:val="19"/>
              </w:rPr>
            </w:pPr>
            <w:r w:rsidRPr="00A763FD">
              <w:rPr>
                <w:sz w:val="19"/>
                <w:szCs w:val="19"/>
              </w:rPr>
              <w:t>Participant surveys (n=23)</w:t>
            </w:r>
          </w:p>
          <w:p w:rsidR="00445EE0" w:rsidRPr="00A763FD" w:rsidRDefault="00445EE0" w:rsidP="009349F1">
            <w:pPr>
              <w:numPr>
                <w:ilvl w:val="0"/>
                <w:numId w:val="10"/>
              </w:numPr>
              <w:autoSpaceDE w:val="0"/>
              <w:autoSpaceDN w:val="0"/>
              <w:adjustRightInd w:val="0"/>
              <w:ind w:left="142" w:hanging="180"/>
              <w:contextualSpacing/>
              <w:jc w:val="left"/>
              <w:rPr>
                <w:sz w:val="19"/>
                <w:szCs w:val="19"/>
              </w:rPr>
            </w:pPr>
            <w:r w:rsidRPr="00A763FD">
              <w:rPr>
                <w:sz w:val="19"/>
                <w:szCs w:val="19"/>
              </w:rPr>
              <w:t>Program database and participant records</w:t>
            </w:r>
          </w:p>
        </w:tc>
      </w:tr>
      <w:tr w:rsidR="00A874AC"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hideMark/>
          </w:tcPr>
          <w:p w:rsidR="00445EE0" w:rsidRPr="00A763FD" w:rsidRDefault="00445EE0" w:rsidP="00445EE0">
            <w:pPr>
              <w:jc w:val="left"/>
              <w:rPr>
                <w:sz w:val="19"/>
                <w:szCs w:val="19"/>
              </w:rPr>
            </w:pPr>
            <w:r w:rsidRPr="00A763FD">
              <w:rPr>
                <w:sz w:val="19"/>
                <w:szCs w:val="19"/>
              </w:rPr>
              <w:t>Custom Incentive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vAlign w:val="bottom"/>
            <w:hideMark/>
          </w:tcPr>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The program exceeded its planned energy savings for PY7 but not for Phase II; it also did not meet planned Phase II participation, primarily because several very large projects were deferred by customers into Phase III.</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Customer satisfaction exceeded the planned target of 80% (87% reported high satisfaction rating). For the majority of program elements, customer satisfaction increased from PY6.</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Surveyed customers suggested improvements to the program, including providing better communication about timing, completing the review of materials and application steps more quickly, providing more options for rebated equipment, and improving the wait list.</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Surveyed customers chose to upgrade equipment to replace old or broken equipment, save money or energy, or make improvements to existing systems.</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The most important reported criteria for determining whether to go forward with a project was the return on investment, energy and operating costs, and initial costs.</w:t>
            </w:r>
          </w:p>
        </w:tc>
        <w:tc>
          <w:tcPr>
            <w:tcW w:w="2678" w:type="dxa"/>
            <w:tcBorders>
              <w:top w:val="single" w:sz="8" w:space="0" w:color="448A99"/>
              <w:left w:val="single" w:sz="8" w:space="0" w:color="448A99"/>
              <w:bottom w:val="single" w:sz="8" w:space="0" w:color="448A99"/>
              <w:right w:val="single" w:sz="8" w:space="0" w:color="448A99"/>
            </w:tcBorders>
            <w:shd w:val="clear" w:color="auto" w:fill="D2EAF1"/>
            <w:hideMark/>
          </w:tcPr>
          <w:p w:rsidR="00445EE0" w:rsidRPr="00A763FD" w:rsidRDefault="00445EE0" w:rsidP="009349F1">
            <w:pPr>
              <w:numPr>
                <w:ilvl w:val="0"/>
                <w:numId w:val="10"/>
              </w:numPr>
              <w:autoSpaceDE w:val="0"/>
              <w:autoSpaceDN w:val="0"/>
              <w:adjustRightInd w:val="0"/>
              <w:ind w:left="142" w:hanging="180"/>
              <w:contextualSpacing/>
              <w:jc w:val="left"/>
              <w:rPr>
                <w:sz w:val="19"/>
                <w:szCs w:val="19"/>
              </w:rPr>
            </w:pPr>
            <w:r w:rsidRPr="00A763FD">
              <w:rPr>
                <w:sz w:val="19"/>
                <w:szCs w:val="19"/>
              </w:rPr>
              <w:t>Program staff and implementer interviews (n=2)</w:t>
            </w:r>
          </w:p>
          <w:p w:rsidR="00445EE0" w:rsidRPr="00A763FD" w:rsidRDefault="00445EE0" w:rsidP="009349F1">
            <w:pPr>
              <w:numPr>
                <w:ilvl w:val="0"/>
                <w:numId w:val="10"/>
              </w:numPr>
              <w:autoSpaceDE w:val="0"/>
              <w:autoSpaceDN w:val="0"/>
              <w:adjustRightInd w:val="0"/>
              <w:ind w:left="142" w:hanging="180"/>
              <w:contextualSpacing/>
              <w:jc w:val="left"/>
              <w:rPr>
                <w:sz w:val="19"/>
                <w:szCs w:val="19"/>
              </w:rPr>
            </w:pPr>
            <w:r w:rsidRPr="00A763FD">
              <w:rPr>
                <w:sz w:val="19"/>
                <w:szCs w:val="19"/>
              </w:rPr>
              <w:t>Participant surveys (n=24)</w:t>
            </w:r>
          </w:p>
        </w:tc>
      </w:tr>
      <w:tr w:rsidR="00445EE0"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445EE0" w:rsidRPr="00A763FD" w:rsidRDefault="00445EE0" w:rsidP="00445EE0">
            <w:pPr>
              <w:jc w:val="left"/>
              <w:rPr>
                <w:sz w:val="19"/>
                <w:szCs w:val="19"/>
              </w:rPr>
            </w:pPr>
            <w:r w:rsidRPr="00A763FD">
              <w:rPr>
                <w:sz w:val="19"/>
                <w:szCs w:val="19"/>
              </w:rPr>
              <w:t>Prescriptive Equipment Program</w:t>
            </w:r>
          </w:p>
        </w:tc>
        <w:tc>
          <w:tcPr>
            <w:tcW w:w="4923" w:type="dxa"/>
            <w:tcBorders>
              <w:top w:val="single" w:sz="8" w:space="0" w:color="448A99"/>
              <w:left w:val="single" w:sz="8" w:space="0" w:color="448A99"/>
              <w:bottom w:val="single" w:sz="8" w:space="0" w:color="448A99"/>
              <w:right w:val="single" w:sz="8" w:space="0" w:color="448A99"/>
            </w:tcBorders>
            <w:vAlign w:val="bottom"/>
            <w:hideMark/>
          </w:tcPr>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sz w:val="19"/>
                <w:szCs w:val="19"/>
              </w:rPr>
              <w:t>The program exceeded its planned PY7 and Phase II energy savings planned but did not meet its planned Phase II participation.</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The program did not meet its goal of 80% customer satisfaction; 77% of surveyed participants reported high satisfaction.</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The limited-time higher incentives for HVAC equipment and heat pump water heaters had a minimal effect on participation.</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There is very limited uptake in rebates for agricultural equipment, but the program received applications for six different agricultural measures in PY7 for the first time.</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Most surveyed participants were satisfied with elements of the program. However, satisfaction with the time it took to receive the rebate has been on the decline since PY5, likely due to the preapproval process in PY6 and wait list in PY7.</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rFonts w:cs="Calibri"/>
                <w:color w:val="000000"/>
                <w:sz w:val="19"/>
                <w:szCs w:val="19"/>
              </w:rPr>
              <w:t>Surveyed participants suggested improvements to the application communications, wait list, and application and rebate processing times so they can better manage their projects.</w:t>
            </w:r>
          </w:p>
        </w:tc>
        <w:tc>
          <w:tcPr>
            <w:tcW w:w="2678" w:type="dxa"/>
            <w:tcBorders>
              <w:top w:val="single" w:sz="8" w:space="0" w:color="448A99"/>
              <w:left w:val="single" w:sz="8" w:space="0" w:color="448A99"/>
              <w:bottom w:val="single" w:sz="8" w:space="0" w:color="448A99"/>
              <w:right w:val="single" w:sz="8" w:space="0" w:color="448A99"/>
            </w:tcBorders>
            <w:hideMark/>
          </w:tcPr>
          <w:p w:rsidR="00445EE0" w:rsidRPr="00A763FD" w:rsidRDefault="00445EE0" w:rsidP="009349F1">
            <w:pPr>
              <w:numPr>
                <w:ilvl w:val="0"/>
                <w:numId w:val="10"/>
              </w:numPr>
              <w:autoSpaceDE w:val="0"/>
              <w:autoSpaceDN w:val="0"/>
              <w:adjustRightInd w:val="0"/>
              <w:ind w:left="142" w:hanging="180"/>
              <w:contextualSpacing/>
              <w:jc w:val="left"/>
              <w:rPr>
                <w:sz w:val="19"/>
                <w:szCs w:val="19"/>
              </w:rPr>
            </w:pPr>
            <w:r w:rsidRPr="00A763FD">
              <w:rPr>
                <w:sz w:val="19"/>
                <w:szCs w:val="19"/>
              </w:rPr>
              <w:t>Program staff and implementer interviews (n=2)</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sz w:val="19"/>
                <w:szCs w:val="19"/>
              </w:rPr>
              <w:t>Lighting participant surveys (n=68)</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sz w:val="19"/>
                <w:szCs w:val="19"/>
              </w:rPr>
              <w:t>Equipment participant surveys (n=12)</w:t>
            </w:r>
          </w:p>
          <w:p w:rsidR="00445EE0" w:rsidRPr="00A763FD" w:rsidRDefault="00445EE0" w:rsidP="009349F1">
            <w:pPr>
              <w:numPr>
                <w:ilvl w:val="0"/>
                <w:numId w:val="10"/>
              </w:numPr>
              <w:autoSpaceDE w:val="0"/>
              <w:autoSpaceDN w:val="0"/>
              <w:adjustRightInd w:val="0"/>
              <w:ind w:left="142" w:hanging="180"/>
              <w:contextualSpacing/>
              <w:jc w:val="left"/>
              <w:rPr>
                <w:rFonts w:cs="Calibri"/>
                <w:sz w:val="19"/>
                <w:szCs w:val="19"/>
              </w:rPr>
            </w:pPr>
            <w:r w:rsidRPr="00A763FD">
              <w:rPr>
                <w:sz w:val="19"/>
                <w:szCs w:val="19"/>
              </w:rPr>
              <w:t>Program database and participant records</w:t>
            </w:r>
          </w:p>
        </w:tc>
      </w:tr>
      <w:tr w:rsidR="00A874AC" w:rsidRPr="00A763FD" w:rsidTr="00B32B81">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vAlign w:val="center"/>
          </w:tcPr>
          <w:p w:rsidR="00445EE0" w:rsidRPr="00A763FD" w:rsidRDefault="00445EE0" w:rsidP="00445EE0">
            <w:pPr>
              <w:jc w:val="left"/>
              <w:rPr>
                <w:sz w:val="19"/>
                <w:szCs w:val="19"/>
              </w:rPr>
            </w:pPr>
            <w:r w:rsidRPr="00A763FD">
              <w:rPr>
                <w:color w:val="000000"/>
                <w:sz w:val="19"/>
                <w:szCs w:val="19"/>
              </w:rPr>
              <w:t>Master Metered Low-Income Multifamily Housing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tcPr>
          <w:p w:rsidR="00445EE0" w:rsidRPr="00A763FD" w:rsidRDefault="00445EE0" w:rsidP="009349F1">
            <w:pPr>
              <w:numPr>
                <w:ilvl w:val="0"/>
                <w:numId w:val="11"/>
              </w:numPr>
              <w:autoSpaceDE w:val="0"/>
              <w:autoSpaceDN w:val="0"/>
              <w:adjustRightInd w:val="0"/>
              <w:ind w:left="187" w:hanging="187"/>
              <w:contextualSpacing/>
              <w:jc w:val="left"/>
              <w:rPr>
                <w:sz w:val="19"/>
                <w:szCs w:val="19"/>
              </w:rPr>
            </w:pPr>
            <w:r w:rsidRPr="00A763FD">
              <w:rPr>
                <w:sz w:val="19"/>
                <w:szCs w:val="19"/>
              </w:rPr>
              <w:t xml:space="preserve">The program exceeded its planned energy savings in PY7 but did not meet the plan for Phase II. </w:t>
            </w:r>
            <w:r w:rsidRPr="00A763FD">
              <w:rPr>
                <w:rFonts w:cs="Calibri"/>
                <w:color w:val="000000"/>
                <w:sz w:val="19"/>
                <w:szCs w:val="19"/>
              </w:rPr>
              <w:t>The program will not be offered in Phase III as a standalone program but all multifamily programs are eligible for other programs in Phase III.</w:t>
            </w:r>
          </w:p>
          <w:p w:rsidR="00445EE0" w:rsidRPr="00A763FD" w:rsidRDefault="00445EE0" w:rsidP="009349F1">
            <w:pPr>
              <w:numPr>
                <w:ilvl w:val="0"/>
                <w:numId w:val="11"/>
              </w:numPr>
              <w:autoSpaceDE w:val="0"/>
              <w:autoSpaceDN w:val="0"/>
              <w:adjustRightInd w:val="0"/>
              <w:ind w:left="187" w:hanging="187"/>
              <w:contextualSpacing/>
              <w:jc w:val="left"/>
              <w:rPr>
                <w:sz w:val="19"/>
                <w:szCs w:val="19"/>
              </w:rPr>
            </w:pPr>
            <w:r w:rsidRPr="00A763FD">
              <w:rPr>
                <w:rFonts w:cs="Calibri"/>
                <w:color w:val="000000"/>
                <w:sz w:val="19"/>
                <w:szCs w:val="19"/>
              </w:rPr>
              <w:t>Program staff reported that upfront costs, tight operating budgets, and a reluctance to take on additional debt were the most important reasons why some building owners/operators did not participate after receiving an audit or did not do comprehensive upgrades.</w:t>
            </w:r>
          </w:p>
          <w:p w:rsidR="00445EE0" w:rsidRPr="00A763FD" w:rsidRDefault="00445EE0" w:rsidP="009349F1">
            <w:pPr>
              <w:numPr>
                <w:ilvl w:val="0"/>
                <w:numId w:val="11"/>
              </w:numPr>
              <w:autoSpaceDE w:val="0"/>
              <w:autoSpaceDN w:val="0"/>
              <w:adjustRightInd w:val="0"/>
              <w:ind w:left="187" w:hanging="187"/>
              <w:contextualSpacing/>
              <w:jc w:val="left"/>
              <w:rPr>
                <w:sz w:val="19"/>
                <w:szCs w:val="19"/>
              </w:rPr>
            </w:pPr>
            <w:r w:rsidRPr="00A763FD">
              <w:rPr>
                <w:rFonts w:cs="Calibri"/>
                <w:color w:val="000000"/>
                <w:sz w:val="19"/>
                <w:szCs w:val="19"/>
              </w:rPr>
              <w:t>Interviewed staff reported that they were pleased with the addition of nursing home buildings to the program in PY7; it helped them meet program goals without increasing marketing and outreach.</w:t>
            </w:r>
          </w:p>
          <w:p w:rsidR="00445EE0" w:rsidRPr="00A763FD" w:rsidRDefault="00445EE0" w:rsidP="009349F1">
            <w:pPr>
              <w:numPr>
                <w:ilvl w:val="0"/>
                <w:numId w:val="11"/>
              </w:numPr>
              <w:autoSpaceDE w:val="0"/>
              <w:autoSpaceDN w:val="0"/>
              <w:adjustRightInd w:val="0"/>
              <w:ind w:left="187" w:hanging="187"/>
              <w:contextualSpacing/>
              <w:jc w:val="left"/>
              <w:rPr>
                <w:sz w:val="19"/>
                <w:szCs w:val="19"/>
              </w:rPr>
            </w:pPr>
            <w:r w:rsidRPr="00A763FD">
              <w:rPr>
                <w:rFonts w:cs="Calibri"/>
                <w:color w:val="000000"/>
                <w:sz w:val="19"/>
                <w:szCs w:val="19"/>
              </w:rPr>
              <w:t>Cadmus did not find any customer complaints or safety violations for PY7.</w:t>
            </w:r>
          </w:p>
          <w:p w:rsidR="00445EE0" w:rsidRPr="00A763FD" w:rsidRDefault="00445EE0" w:rsidP="009349F1">
            <w:pPr>
              <w:numPr>
                <w:ilvl w:val="0"/>
                <w:numId w:val="11"/>
              </w:numPr>
              <w:autoSpaceDE w:val="0"/>
              <w:autoSpaceDN w:val="0"/>
              <w:adjustRightInd w:val="0"/>
              <w:ind w:left="187" w:hanging="187"/>
              <w:contextualSpacing/>
              <w:jc w:val="left"/>
              <w:rPr>
                <w:sz w:val="19"/>
                <w:szCs w:val="19"/>
              </w:rPr>
            </w:pPr>
            <w:r w:rsidRPr="00A763FD">
              <w:rPr>
                <w:rFonts w:cs="Calibri"/>
                <w:color w:val="000000"/>
                <w:sz w:val="19"/>
                <w:szCs w:val="19"/>
              </w:rPr>
              <w:t>Most surveyed tenants (78%) reported high satisfaction with the installation contractors, but this was significantly lower than in PY6 (95%); nearly all respondents (94%) who completed the tenant energy education workshop reported high satisfaction with the workshops.</w:t>
            </w:r>
          </w:p>
          <w:p w:rsidR="00445EE0" w:rsidRPr="00A763FD" w:rsidRDefault="00445EE0" w:rsidP="009349F1">
            <w:pPr>
              <w:numPr>
                <w:ilvl w:val="0"/>
                <w:numId w:val="10"/>
              </w:numPr>
              <w:autoSpaceDE w:val="0"/>
              <w:autoSpaceDN w:val="0"/>
              <w:adjustRightInd w:val="0"/>
              <w:ind w:left="142" w:hanging="180"/>
              <w:contextualSpacing/>
              <w:jc w:val="left"/>
              <w:rPr>
                <w:sz w:val="19"/>
                <w:szCs w:val="19"/>
              </w:rPr>
            </w:pPr>
            <w:r w:rsidRPr="00A763FD">
              <w:rPr>
                <w:rFonts w:cs="Calibri"/>
                <w:color w:val="000000"/>
                <w:sz w:val="19"/>
                <w:szCs w:val="19"/>
              </w:rPr>
              <w:t>LEDs constituted 94% of products installed in tenant units, and 77% of respondents reported high satisfaction with the LEDs.</w:t>
            </w:r>
          </w:p>
        </w:tc>
        <w:tc>
          <w:tcPr>
            <w:tcW w:w="2678" w:type="dxa"/>
            <w:tcBorders>
              <w:top w:val="single" w:sz="8" w:space="0" w:color="448A99"/>
              <w:left w:val="single" w:sz="8" w:space="0" w:color="448A99"/>
              <w:bottom w:val="single" w:sz="8" w:space="0" w:color="448A99"/>
              <w:right w:val="single" w:sz="8" w:space="0" w:color="448A99"/>
            </w:tcBorders>
            <w:shd w:val="clear" w:color="auto" w:fill="D2EAF1"/>
          </w:tcPr>
          <w:p w:rsidR="00445EE0" w:rsidRPr="00A763FD" w:rsidRDefault="00445EE0" w:rsidP="009349F1">
            <w:pPr>
              <w:numPr>
                <w:ilvl w:val="0"/>
                <w:numId w:val="12"/>
              </w:numPr>
              <w:ind w:left="187" w:hanging="187"/>
              <w:contextualSpacing/>
              <w:jc w:val="left"/>
              <w:rPr>
                <w:sz w:val="19"/>
                <w:szCs w:val="19"/>
              </w:rPr>
            </w:pPr>
            <w:r w:rsidRPr="00A763FD">
              <w:rPr>
                <w:sz w:val="19"/>
                <w:szCs w:val="19"/>
              </w:rPr>
              <w:t>Program staff and implementer interviews (n=2)</w:t>
            </w:r>
          </w:p>
          <w:p w:rsidR="00445EE0" w:rsidRPr="00A763FD" w:rsidRDefault="00445EE0" w:rsidP="009349F1">
            <w:pPr>
              <w:numPr>
                <w:ilvl w:val="0"/>
                <w:numId w:val="12"/>
              </w:numPr>
              <w:ind w:left="187" w:hanging="187"/>
              <w:contextualSpacing/>
              <w:jc w:val="left"/>
              <w:rPr>
                <w:sz w:val="19"/>
                <w:szCs w:val="19"/>
              </w:rPr>
            </w:pPr>
            <w:r w:rsidRPr="00A763FD">
              <w:rPr>
                <w:sz w:val="19"/>
                <w:szCs w:val="19"/>
              </w:rPr>
              <w:t>Leave-behind tenant postcards (n=44)</w:t>
            </w:r>
          </w:p>
          <w:p w:rsidR="00445EE0" w:rsidRPr="00A763FD" w:rsidRDefault="00445EE0" w:rsidP="009349F1">
            <w:pPr>
              <w:numPr>
                <w:ilvl w:val="0"/>
                <w:numId w:val="12"/>
              </w:numPr>
              <w:ind w:left="187" w:hanging="187"/>
              <w:contextualSpacing/>
              <w:jc w:val="left"/>
              <w:rPr>
                <w:sz w:val="19"/>
                <w:szCs w:val="19"/>
              </w:rPr>
            </w:pPr>
            <w:r w:rsidRPr="00A763FD">
              <w:rPr>
                <w:sz w:val="19"/>
                <w:szCs w:val="19"/>
              </w:rPr>
              <w:t>Tenant education workshop satisfaction surveys (n=156)</w:t>
            </w:r>
          </w:p>
          <w:p w:rsidR="00445EE0" w:rsidRPr="00A763FD" w:rsidRDefault="00445EE0" w:rsidP="009349F1">
            <w:pPr>
              <w:numPr>
                <w:ilvl w:val="0"/>
                <w:numId w:val="12"/>
              </w:numPr>
              <w:ind w:left="187" w:hanging="187"/>
              <w:contextualSpacing/>
              <w:jc w:val="left"/>
              <w:rPr>
                <w:sz w:val="19"/>
                <w:szCs w:val="19"/>
              </w:rPr>
            </w:pPr>
            <w:r w:rsidRPr="00A763FD">
              <w:rPr>
                <w:sz w:val="19"/>
                <w:szCs w:val="19"/>
              </w:rPr>
              <w:t>Program database and participating building records (n=50)</w:t>
            </w:r>
          </w:p>
          <w:p w:rsidR="00445EE0" w:rsidRPr="00A763FD" w:rsidRDefault="00445EE0" w:rsidP="009349F1">
            <w:pPr>
              <w:numPr>
                <w:ilvl w:val="0"/>
                <w:numId w:val="10"/>
              </w:numPr>
              <w:autoSpaceDE w:val="0"/>
              <w:autoSpaceDN w:val="0"/>
              <w:adjustRightInd w:val="0"/>
              <w:ind w:left="142" w:hanging="180"/>
              <w:contextualSpacing/>
              <w:jc w:val="left"/>
              <w:rPr>
                <w:sz w:val="19"/>
                <w:szCs w:val="19"/>
              </w:rPr>
            </w:pPr>
            <w:r w:rsidRPr="00A763FD">
              <w:rPr>
                <w:sz w:val="19"/>
                <w:szCs w:val="19"/>
              </w:rPr>
              <w:t>EEMIS database</w:t>
            </w:r>
          </w:p>
        </w:tc>
      </w:tr>
    </w:tbl>
    <w:p w:rsidR="00183636" w:rsidRPr="00183636" w:rsidRDefault="00183636" w:rsidP="00183636"/>
    <w:p w:rsidR="00950837" w:rsidRDefault="00950837" w:rsidP="000D3563">
      <w:pPr>
        <w:pStyle w:val="AppendixAHeading2"/>
      </w:pPr>
      <w:r>
        <w:t>Statewide Evaluator Audit Activities and Findings</w:t>
      </w:r>
    </w:p>
    <w:p w:rsidR="00C737E8" w:rsidRPr="00C737E8" w:rsidRDefault="00C737E8" w:rsidP="00C737E8">
      <w:r w:rsidRPr="00C737E8">
        <w:t xml:space="preserve">This section presents the activities of the SWE Team’s audits of </w:t>
      </w:r>
      <w:r>
        <w:t>PPL</w:t>
      </w:r>
      <w:r w:rsidRPr="00C737E8">
        <w:t>’s portfolio of programs. It provides summary information and key findings from the SWE Team’s residential, low-income, non-residential, and NTG and process evaluation audit activities.</w:t>
      </w:r>
    </w:p>
    <w:p w:rsidR="00C737E8" w:rsidRPr="00C737E8" w:rsidRDefault="00C737E8" w:rsidP="00C737E8"/>
    <w:p w:rsidR="00950837" w:rsidRDefault="00950837" w:rsidP="009C0DF1">
      <w:pPr>
        <w:pStyle w:val="AppendixAHeading3"/>
      </w:pPr>
      <w:r>
        <w:t>Residential Program Audit Summary</w:t>
      </w:r>
    </w:p>
    <w:p w:rsidR="00CC15F9" w:rsidRPr="0089176C" w:rsidRDefault="00CC15F9" w:rsidP="0055598C">
      <w:pPr>
        <w:pStyle w:val="AppendixAHeading4"/>
      </w:pPr>
      <w:r w:rsidRPr="0089176C">
        <w:t>Appliance Recycling</w:t>
      </w:r>
    </w:p>
    <w:p w:rsidR="00CC15F9" w:rsidRDefault="00CC15F9" w:rsidP="00CC15F9">
      <w:r w:rsidRPr="0089176C">
        <w:t xml:space="preserve">In PY7, the PPL </w:t>
      </w:r>
      <w:r w:rsidR="00D90336">
        <w:t>Appliance R</w:t>
      </w:r>
      <w:r w:rsidRPr="0089176C">
        <w:t xml:space="preserve">ecycling </w:t>
      </w:r>
      <w:r w:rsidR="00D90336">
        <w:t>P</w:t>
      </w:r>
      <w:r w:rsidRPr="0089176C">
        <w:t>rogram includes rebates for room air conditioners, refrigerators, and freezers. For all programs, the SWE c</w:t>
      </w:r>
      <w:r>
        <w:t>onfirmed the accuracy of the ex-</w:t>
      </w:r>
      <w:r w:rsidRPr="0089176C">
        <w:t>ante savings adjustments and the weighted average calculations versus the 2015 TRM. Cadmus used the NTG</w:t>
      </w:r>
      <w:r w:rsidR="00D90336">
        <w:t>Rs</w:t>
      </w:r>
      <w:r w:rsidRPr="0089176C">
        <w:t xml:space="preserve"> that were determined in PY6 for the Appliance Recycling Program for the PY7 program.</w:t>
      </w:r>
    </w:p>
    <w:p w:rsidR="00CC15F9" w:rsidRPr="0089176C" w:rsidRDefault="00CC15F9" w:rsidP="00CC15F9"/>
    <w:p w:rsidR="00CC15F9" w:rsidRDefault="00CC15F9" w:rsidP="00CC15F9">
      <w:r w:rsidRPr="0089176C">
        <w:t xml:space="preserve">GDS notes that JACO Environmental, the </w:t>
      </w:r>
      <w:r w:rsidR="00D90336">
        <w:t>i</w:t>
      </w:r>
      <w:r w:rsidRPr="0089176C">
        <w:t>mplementation Conservation Service Provider</w:t>
      </w:r>
      <w:r w:rsidR="00D92D74">
        <w:t xml:space="preserve"> </w:t>
      </w:r>
      <w:r w:rsidRPr="0089176C">
        <w:t>(ICSP) for PPL, abruptly went out of business during PY7 and</w:t>
      </w:r>
      <w:r w:rsidR="00D90336">
        <w:t xml:space="preserve"> that</w:t>
      </w:r>
      <w:r w:rsidRPr="0089176C">
        <w:t xml:space="preserve"> this lead to a decrease in program participation. However, </w:t>
      </w:r>
      <w:r w:rsidR="00C77E07">
        <w:t>PPL still surpassed its savings targets for this program.</w:t>
      </w:r>
    </w:p>
    <w:p w:rsidR="00CC15F9" w:rsidRPr="0089176C" w:rsidRDefault="00CC15F9" w:rsidP="00CC15F9">
      <w:r w:rsidRPr="0089176C">
        <w:t xml:space="preserve"> </w:t>
      </w:r>
    </w:p>
    <w:p w:rsidR="00CC15F9" w:rsidRDefault="00CC15F9" w:rsidP="00CC15F9">
      <w:r w:rsidRPr="0089176C">
        <w:t>The SWE Team found no reportable errors and agrees with PPL’s verified gross savings findings for the Appliance Recycling Program.</w:t>
      </w:r>
    </w:p>
    <w:p w:rsidR="00CC15F9" w:rsidRPr="0089176C" w:rsidRDefault="00CC15F9" w:rsidP="00CC15F9"/>
    <w:p w:rsidR="00CC15F9" w:rsidRDefault="00CC15F9" w:rsidP="0055598C">
      <w:pPr>
        <w:pStyle w:val="AppendixAHeading4"/>
      </w:pPr>
      <w:r w:rsidRPr="0089176C">
        <w:t>Residential EE Behavior and Education</w:t>
      </w:r>
    </w:p>
    <w:p w:rsidR="00CC15F9" w:rsidRDefault="00CC15F9" w:rsidP="00CC15F9">
      <w:r w:rsidRPr="00FF4A0B">
        <w:t xml:space="preserve">PPL’s reported savings are based on a methodology employed by Allcott and </w:t>
      </w:r>
      <w:r w:rsidR="00D90336" w:rsidRPr="00FF4A0B">
        <w:t>Rogers</w:t>
      </w:r>
      <w:r w:rsidRPr="00FF4A0B">
        <w:t xml:space="preserve"> which is a regression technique that uses only post-treatment data and controls for differences in control and participant base usage patterns using pre-treatment usage independent variables as opposed to fixed effects parameters. The approach conforms with the </w:t>
      </w:r>
      <w:r w:rsidR="00D90336">
        <w:t>UMP p</w:t>
      </w:r>
      <w:r w:rsidRPr="00FF4A0B">
        <w:t>rotocol and the IPMV</w:t>
      </w:r>
      <w:r>
        <w:t>P</w:t>
      </w:r>
      <w:r w:rsidR="00D90336">
        <w:t xml:space="preserve"> O</w:t>
      </w:r>
      <w:r w:rsidRPr="00FF4A0B">
        <w:t>ption C. Participants were randomly assigned to treatment and control groups, and Cadmus analyzed pre-treatment average daily energy consumption to ensure that the treatment and control groups were evenly balanced.</w:t>
      </w:r>
    </w:p>
    <w:p w:rsidR="00CC15F9" w:rsidRPr="00FF4A0B" w:rsidRDefault="00CC15F9" w:rsidP="00CC15F9">
      <w:r w:rsidRPr="00FF4A0B">
        <w:t xml:space="preserve"> </w:t>
      </w:r>
    </w:p>
    <w:p w:rsidR="00CC15F9" w:rsidRDefault="00CC15F9" w:rsidP="00CC15F9">
      <w:r w:rsidRPr="00FF4A0B">
        <w:t xml:space="preserve">PPL performed a participation uplift analysis to identify the possibility of double counting savings attributed to both the Residential Energy-Efficiency Behavior and Education Program and other programs. The estimated impact was a total of 2,127 MWh/yr in PY7, representing 5.4% of the program’s total PY7 </w:t>
      </w:r>
      <w:r w:rsidRPr="00FF4A0B">
        <w:rPr>
          <w:i/>
        </w:rPr>
        <w:t>ex post</w:t>
      </w:r>
      <w:r w:rsidRPr="00FF4A0B">
        <w:t xml:space="preserve"> savings. These savings were subtracted from the residential portfolio, not from the Behavior and Education Program.</w:t>
      </w:r>
    </w:p>
    <w:p w:rsidR="00CC15F9" w:rsidRPr="00FF4A0B" w:rsidRDefault="00CC15F9" w:rsidP="00CC15F9"/>
    <w:p w:rsidR="00CC15F9" w:rsidRDefault="00CC15F9" w:rsidP="00CC15F9">
      <w:r w:rsidRPr="00FF4A0B">
        <w:t xml:space="preserve">The SWE Team reviewed the billing analysis output, equations, and statistics and confirmed that the approach is sound and the conclusions reasonable. The SWE Team agrees with PPL’s verified gross savings findings for the Residential Energy-Efficiency Behavior and Education Program.  </w:t>
      </w:r>
    </w:p>
    <w:p w:rsidR="00CC15F9" w:rsidRDefault="00CC15F9" w:rsidP="00CC15F9"/>
    <w:p w:rsidR="00B32B81" w:rsidRDefault="00B32B81" w:rsidP="00CC15F9"/>
    <w:p w:rsidR="00B32B81" w:rsidRDefault="00B32B81" w:rsidP="00CC15F9"/>
    <w:p w:rsidR="00B32B81" w:rsidRPr="006B1426" w:rsidRDefault="00B32B81" w:rsidP="00CC15F9"/>
    <w:p w:rsidR="00CC15F9" w:rsidRDefault="00CC15F9" w:rsidP="0055598C">
      <w:pPr>
        <w:pStyle w:val="AppendixAHeading4"/>
      </w:pPr>
      <w:r w:rsidRPr="0089176C">
        <w:t>Residential Home Comfort</w:t>
      </w:r>
    </w:p>
    <w:p w:rsidR="00CC15F9" w:rsidRDefault="00CC15F9" w:rsidP="0051612D">
      <w:r w:rsidRPr="0051612D">
        <w:t xml:space="preserve">The SWE Team reviewed each of the eleven strata of the RHC Program (Audits, Weatherization, Air-Source Heat Pumps (ASHP), Ductless Heat Pumps (DHP), Central Air-Conditioner, ECM Furnace Fans, </w:t>
      </w:r>
      <w:r w:rsidR="00623BE9" w:rsidRPr="0051612D">
        <w:t>Whole House Fans, Fuel-Switching, Pool Pumps, New Homes, and Manufactured Homes,</w:t>
      </w:r>
      <w:r w:rsidRPr="0051612D">
        <w:t xml:space="preserve"> to verify saving in PY7. </w:t>
      </w:r>
      <w:r w:rsidR="00D90336" w:rsidRPr="0051612D">
        <w:t>Five of these strata were added in PY7: air sealing, ECM furnace fans, whole house fan, central air conditioner, and above-group pool pumps</w:t>
      </w:r>
      <w:r w:rsidRPr="0051612D">
        <w:t>.</w:t>
      </w:r>
    </w:p>
    <w:p w:rsidR="0051612D" w:rsidRPr="0051612D" w:rsidRDefault="0051612D" w:rsidP="0051612D"/>
    <w:p w:rsidR="00CC15F9" w:rsidRDefault="00CC15F9" w:rsidP="0051612D">
      <w:r w:rsidRPr="0051612D">
        <w:t>Approximately 83% of the verified energy savings, and 89% of the verified demand savings, occur in the Efficient Equipment – HVAC program. This program includes Air-Source Heat Pumps (ASHP), Ductless Heat Pumps (DHP), Central Air-Conditioner, ECM Furnace Fans and Whole House Fans.</w:t>
      </w:r>
    </w:p>
    <w:p w:rsidR="0051612D" w:rsidRPr="0051612D" w:rsidRDefault="0051612D" w:rsidP="0051612D"/>
    <w:p w:rsidR="00CC15F9" w:rsidRPr="00A1290B" w:rsidRDefault="00CC15F9" w:rsidP="0051612D">
      <w:pPr>
        <w:spacing w:after="120"/>
      </w:pPr>
      <w:r w:rsidRPr="00A1290B">
        <w:t>Several changes in the 2015 TRM significantly impacted reported and verified savings in PY7:</w:t>
      </w:r>
    </w:p>
    <w:p w:rsidR="00CC15F9" w:rsidRPr="0051612D" w:rsidRDefault="00CC15F9" w:rsidP="00E646C9">
      <w:pPr>
        <w:pStyle w:val="ListParagraph"/>
        <w:numPr>
          <w:ilvl w:val="0"/>
          <w:numId w:val="93"/>
        </w:numPr>
        <w:ind w:left="360"/>
      </w:pPr>
      <w:r w:rsidRPr="0051612D">
        <w:t xml:space="preserve">Beginning with the 2015 TRM, </w:t>
      </w:r>
      <w:r w:rsidR="00D90336" w:rsidRPr="0051612D">
        <w:t>ASHP</w:t>
      </w:r>
      <w:r w:rsidRPr="0051612D">
        <w:t xml:space="preserve"> stipulated values for SEERb, EERb, and EERe are based on the customer’s existing cooling equipment, as opposed to default values established in prior TRMs.</w:t>
      </w:r>
    </w:p>
    <w:p w:rsidR="00CC15F9" w:rsidRPr="0051612D" w:rsidRDefault="00CC15F9" w:rsidP="00E646C9">
      <w:pPr>
        <w:pStyle w:val="ListParagraph"/>
        <w:numPr>
          <w:ilvl w:val="0"/>
          <w:numId w:val="93"/>
        </w:numPr>
        <w:ind w:left="360"/>
      </w:pPr>
      <w:r w:rsidRPr="0051612D">
        <w:t xml:space="preserve">The 2015 TRM pool pump algorithms broke out </w:t>
      </w:r>
      <w:r w:rsidR="00D90336" w:rsidRPr="0051612D">
        <w:t>HOU</w:t>
      </w:r>
      <w:r w:rsidRPr="0051612D">
        <w:t xml:space="preserve"> by filter mode and clean mode and used EDC data gathering for </w:t>
      </w:r>
      <w:r w:rsidR="00D90336" w:rsidRPr="0051612D">
        <w:t>CFs</w:t>
      </w:r>
      <w:r w:rsidRPr="0051612D">
        <w:t>.</w:t>
      </w:r>
    </w:p>
    <w:p w:rsidR="00CC15F9" w:rsidRPr="0051612D" w:rsidRDefault="00D90336" w:rsidP="00E646C9">
      <w:pPr>
        <w:pStyle w:val="ListParagraph"/>
        <w:numPr>
          <w:ilvl w:val="0"/>
          <w:numId w:val="93"/>
        </w:numPr>
        <w:ind w:left="360"/>
      </w:pPr>
      <w:r w:rsidRPr="0051612D">
        <w:t>DHPs</w:t>
      </w:r>
      <w:r w:rsidR="00CC15F9" w:rsidRPr="0051612D">
        <w:t xml:space="preserve"> were the top contributors to program savings in PY7, accounting for over half of the program’s reported energy savings. </w:t>
      </w:r>
      <w:r w:rsidR="00C77E07" w:rsidRPr="0051612D">
        <w:t xml:space="preserve">Participation increased from 1,177 in PY6 to 1,582 participants in PY7. </w:t>
      </w:r>
      <w:r w:rsidR="00CC15F9" w:rsidRPr="0051612D">
        <w:t xml:space="preserve">The large increase in energy savings was attributed to </w:t>
      </w:r>
      <w:r w:rsidR="00C77E07" w:rsidRPr="0051612D">
        <w:t xml:space="preserve">increased enrollment and to </w:t>
      </w:r>
      <w:r w:rsidR="00CC15F9" w:rsidRPr="0051612D">
        <w:t xml:space="preserve">the updates to the </w:t>
      </w:r>
      <w:r w:rsidRPr="0051612D">
        <w:t>DHP</w:t>
      </w:r>
      <w:r w:rsidR="00CC15F9" w:rsidRPr="0051612D">
        <w:t xml:space="preserve"> algorithm in the 2015 TRM, which involved adding an oversize factor and duct leakage factor</w:t>
      </w:r>
      <w:r w:rsidRPr="0051612D">
        <w:t>,</w:t>
      </w:r>
      <w:r w:rsidR="00CC15F9" w:rsidRPr="0051612D">
        <w:t xml:space="preserve"> to account for the fact that the baseline unit is typically oversized and that a percentage of the energy is lost to duct leakage (in ducted systems, but not ductless systems).</w:t>
      </w:r>
    </w:p>
    <w:p w:rsidR="00CC15F9" w:rsidRPr="00A1290B" w:rsidRDefault="00CC15F9" w:rsidP="00CC15F9">
      <w:pPr>
        <w:autoSpaceDE w:val="0"/>
        <w:autoSpaceDN w:val="0"/>
        <w:adjustRightInd w:val="0"/>
        <w:spacing w:after="120"/>
        <w:ind w:left="720"/>
        <w:contextualSpacing/>
      </w:pPr>
    </w:p>
    <w:p w:rsidR="00CC15F9" w:rsidRDefault="00CC15F9" w:rsidP="00B32B81">
      <w:r w:rsidRPr="00A1290B">
        <w:t xml:space="preserve">The SWE Team confirmed that Cadmus performed a records review of each major stratum of the RHC Program using samples that exceeded the required number to achieve the targeted confidence and precision. This process eliminated the need for the SWE Team to conduct additional desk audits.  Instead, the SWE Team reviewed a small sample of the existing records review to verify the accuracy of the information, and that the calculated savings values used the appropriate TRM values and algorithms. The SWE Team confirmed that all verified per-measure savings, participant counts, and program energy and demand impacts were consistent with the 2015 TRM. </w:t>
      </w:r>
    </w:p>
    <w:p w:rsidR="00B32B81" w:rsidRPr="00A1290B" w:rsidRDefault="00B32B81" w:rsidP="00B32B81"/>
    <w:p w:rsidR="00CC15F9" w:rsidRPr="00A1290B" w:rsidRDefault="00CC15F9" w:rsidP="00CC15F9">
      <w:r w:rsidRPr="00A1290B">
        <w:t xml:space="preserve">Based on its review of Cadmus’s records, the SWE Team confirmed that the reported savings of the </w:t>
      </w:r>
      <w:r w:rsidR="00D90336">
        <w:t>RHC</w:t>
      </w:r>
      <w:r w:rsidRPr="00A1290B">
        <w:t xml:space="preserve"> Program were appropriately adjusted, and that the verified gross energy and demand savings calculations were reasonable and accurate.</w:t>
      </w:r>
    </w:p>
    <w:p w:rsidR="00CC15F9" w:rsidRPr="006B1426" w:rsidRDefault="00CC15F9" w:rsidP="00CC15F9"/>
    <w:p w:rsidR="00CC15F9" w:rsidRPr="0089176C" w:rsidRDefault="00CC15F9" w:rsidP="0055598C">
      <w:pPr>
        <w:pStyle w:val="AppendixAHeading4"/>
      </w:pPr>
      <w:r w:rsidRPr="0089176C">
        <w:t>Residential Retail</w:t>
      </w:r>
    </w:p>
    <w:p w:rsidR="00CC15F9" w:rsidRDefault="00CC15F9" w:rsidP="00CC15F9">
      <w:r>
        <w:t xml:space="preserve">The Residential Retail program for PY7 provides incentives for both upstream lighting purchases as well as downstream rebates on refrigerators and </w:t>
      </w:r>
      <w:r w:rsidR="00D90336">
        <w:t>HPWHs</w:t>
      </w:r>
      <w:r>
        <w:t xml:space="preserve">. </w:t>
      </w:r>
    </w:p>
    <w:p w:rsidR="009911E6" w:rsidRPr="00EE740B" w:rsidRDefault="009911E6" w:rsidP="00CC15F9"/>
    <w:p w:rsidR="00CC15F9" w:rsidRPr="0065134E" w:rsidRDefault="00CC15F9" w:rsidP="00CC15F9">
      <w:r w:rsidRPr="0065134E">
        <w:t xml:space="preserve">For the rebated equipment subsection of the </w:t>
      </w:r>
      <w:r w:rsidR="00D90336">
        <w:t>p</w:t>
      </w:r>
      <w:r w:rsidRPr="0065134E">
        <w:t xml:space="preserve">rogram, the SWE Team reviewed the data tracked in PPL’s database as well as the records reviews completed by Cadmus. The SWE Team confirmed that PPL’s tracking system was using the correct </w:t>
      </w:r>
      <w:r>
        <w:t xml:space="preserve">version of the </w:t>
      </w:r>
      <w:r w:rsidRPr="0065134E">
        <w:t xml:space="preserve">PA TRM deemed savings values or savings algorithm calculations. The SWE Team also verified a small sub-sample of Cadmus’s desk reviews for rebated equipment to confirm accurate make/model look-up functions and assignment of efficiency status. All energy and demand savings </w:t>
      </w:r>
      <w:r>
        <w:t>appear accurate and reasonable.</w:t>
      </w:r>
      <w:r w:rsidRPr="0065134E">
        <w:t xml:space="preserve"> </w:t>
      </w:r>
      <w:r w:rsidR="00D90336">
        <w:t>While the year-</w:t>
      </w:r>
      <w:r>
        <w:t>over</w:t>
      </w:r>
      <w:r w:rsidR="00D90336">
        <w:t>-</w:t>
      </w:r>
      <w:r>
        <w:t xml:space="preserve">year installation applicability to PY7 has improved over the lag that was noted in PY6, about one-third of the </w:t>
      </w:r>
      <w:r w:rsidR="00A870B5">
        <w:t>HPWH</w:t>
      </w:r>
      <w:r>
        <w:t xml:space="preserve">s were installed before the beginning of PY7. </w:t>
      </w:r>
    </w:p>
    <w:p w:rsidR="009911E6" w:rsidRPr="00EE740B" w:rsidRDefault="009911E6" w:rsidP="00CC15F9"/>
    <w:p w:rsidR="00251727" w:rsidRDefault="00CC15F9" w:rsidP="00CC15F9">
      <w:r w:rsidRPr="00633DCD">
        <w:t xml:space="preserve">For the upstream lighting component of the program, the SWE Team reviewed the data tracked in PPL’s database and tracking system to verify that PPL was using the appropriate savings values and algorithms from the 2015 TRM </w:t>
      </w:r>
      <w:r>
        <w:t>or 2014 TRM for PY7</w:t>
      </w:r>
      <w:r w:rsidRPr="00633DCD">
        <w:t xml:space="preserve">. </w:t>
      </w:r>
      <w:r>
        <w:t>A small amount of savings reported in PY7 was the result of an oversight of a PY5 invoice</w:t>
      </w:r>
      <w:r w:rsidR="00A870B5">
        <w:t>;</w:t>
      </w:r>
      <w:r>
        <w:t xml:space="preserve"> this savings was determined under the 2013 TRM lighting algorithms. The SWE reviewed the evaluation team’s sample that was pulled from the larger database in order to check for proper use of the </w:t>
      </w:r>
      <w:r w:rsidR="00A870B5">
        <w:t>CFs, ISRs, HOUs</w:t>
      </w:r>
      <w:r>
        <w:t>, and other deemed values.</w:t>
      </w:r>
    </w:p>
    <w:p w:rsidR="00CC15F9" w:rsidRPr="0065134E" w:rsidRDefault="00CC15F9" w:rsidP="00CC15F9">
      <w:r>
        <w:t xml:space="preserve"> </w:t>
      </w:r>
    </w:p>
    <w:p w:rsidR="00CC15F9" w:rsidRDefault="00CC15F9" w:rsidP="00CC15F9">
      <w:r>
        <w:t>The SWE also reviewed the cross-sector sales information provided by P</w:t>
      </w:r>
      <w:r w:rsidR="00A870B5">
        <w:t>PL and noted that the approach wa</w:t>
      </w:r>
      <w:r>
        <w:t>s identical to that of PY6</w:t>
      </w:r>
      <w:r w:rsidR="00C77E07">
        <w:t>, and resulted</w:t>
      </w:r>
      <w:r>
        <w:t xml:space="preserve"> in using the conservative estimate of 12% of residential bulbs sales showing up in non-residential sockets. This approach was born from the PY4 cross</w:t>
      </w:r>
      <w:r w:rsidR="00A870B5">
        <w:t>-</w:t>
      </w:r>
      <w:r>
        <w:t>sector analysis done by PPL and applied to PY7 sales numbers for residential LEDs.</w:t>
      </w:r>
    </w:p>
    <w:p w:rsidR="00CC15F9" w:rsidRPr="0065134E" w:rsidRDefault="00CC15F9" w:rsidP="00CC15F9"/>
    <w:p w:rsidR="00CC15F9" w:rsidRDefault="00CC15F9" w:rsidP="00CC15F9">
      <w:r w:rsidRPr="0065134E">
        <w:t>Based on the review described above, the SWE Team agrees with PPL’s verified gross savings findings for the Residential Retail Program.</w:t>
      </w:r>
    </w:p>
    <w:p w:rsidR="00CC15F9" w:rsidRPr="0065134E" w:rsidRDefault="00CC15F9" w:rsidP="00CC15F9"/>
    <w:p w:rsidR="00CC15F9" w:rsidRDefault="00CC15F9" w:rsidP="0055598C">
      <w:pPr>
        <w:pStyle w:val="AppendixAHeading4"/>
      </w:pPr>
      <w:r w:rsidRPr="005002F1">
        <w:t>Student and</w:t>
      </w:r>
      <w:r>
        <w:t xml:space="preserve"> Parent Education</w:t>
      </w:r>
    </w:p>
    <w:p w:rsidR="00CC15F9" w:rsidRDefault="00CC15F9" w:rsidP="00CC15F9">
      <w:r w:rsidRPr="00051795">
        <w:t xml:space="preserve">The Student and Parent Energy Efficiency Education Program provides school-based </w:t>
      </w:r>
      <w:r w:rsidR="00A870B5">
        <w:t>energy efficiency</w:t>
      </w:r>
      <w:r w:rsidRPr="00051795">
        <w:t xml:space="preserve"> education and take-home </w:t>
      </w:r>
      <w:r w:rsidR="00A870B5">
        <w:t>energy efficiency</w:t>
      </w:r>
      <w:r w:rsidRPr="00051795">
        <w:t xml:space="preserve"> kits that include low-cost items to install at home. The program includes five unique delivery components: student cohorts for elementary, primary</w:t>
      </w:r>
      <w:r>
        <w:t>,</w:t>
      </w:r>
      <w:r w:rsidRPr="00051795">
        <w:t xml:space="preserve"> and secondary schools, parent workshops, and participating classroom teachers. For the initial verification effort, the SWE Team verified that the program evaluation activities were consistent with PPL’s </w:t>
      </w:r>
      <w:r w:rsidR="00A870B5">
        <w:t>e</w:t>
      </w:r>
      <w:r w:rsidRPr="00051795">
        <w:t xml:space="preserve">valuation </w:t>
      </w:r>
      <w:r w:rsidR="00A870B5">
        <w:t>p</w:t>
      </w:r>
      <w:r w:rsidRPr="00051795">
        <w:t>lan. Cadmus used a combination of database review, records reviews, and phone</w:t>
      </w:r>
      <w:r w:rsidR="00A870B5">
        <w:t xml:space="preserve"> or </w:t>
      </w:r>
      <w:r w:rsidRPr="00051795">
        <w:t>internet surveys to calc</w:t>
      </w:r>
      <w:r>
        <w:t>ulate verified gross savings.</w:t>
      </w:r>
    </w:p>
    <w:p w:rsidR="00CC15F9" w:rsidRPr="00051795" w:rsidRDefault="00CC15F9" w:rsidP="00CC15F9">
      <w:r>
        <w:t xml:space="preserve">  </w:t>
      </w:r>
    </w:p>
    <w:p w:rsidR="00CC15F9" w:rsidRDefault="00CC15F9" w:rsidP="00CC15F9">
      <w:r w:rsidRPr="00051795">
        <w:t>The SWE Team verified that, for each measure type, savings were properly calculated and aligned with TRM savings and algorithms. The SWE Team also reviewed the survey data files and confirmed th</w:t>
      </w:r>
      <w:r w:rsidR="00A870B5">
        <w:t xml:space="preserve">e calculation of </w:t>
      </w:r>
      <w:r w:rsidRPr="00051795">
        <w:t>ISRs for the various technologies, where appropriate. Finally, the SWE Team reviewed Cadmus’s calculation of realization rates for the sample of participants in each delivery component, and confirmed the correct application of these realization rates to the</w:t>
      </w:r>
      <w:r>
        <w:t xml:space="preserve"> program population as a whole.</w:t>
      </w:r>
    </w:p>
    <w:p w:rsidR="00CC15F9" w:rsidRPr="00051795" w:rsidRDefault="00CC15F9" w:rsidP="00CC15F9"/>
    <w:p w:rsidR="00CC15F9" w:rsidRPr="00051795" w:rsidRDefault="00CC15F9" w:rsidP="00CC15F9">
      <w:r w:rsidRPr="00051795">
        <w:t>The SWE Team found no reportable errors and agrees with PPL’s verified gross savings findings for the Student and Parent Energy Efficiency Education Program.</w:t>
      </w:r>
    </w:p>
    <w:p w:rsidR="00CC15F9" w:rsidRPr="00CC15F9" w:rsidRDefault="00CC15F9" w:rsidP="00CC15F9"/>
    <w:p w:rsidR="00950837" w:rsidRDefault="00950837" w:rsidP="009C0DF1">
      <w:pPr>
        <w:pStyle w:val="AppendixAHeading3"/>
      </w:pPr>
      <w:r>
        <w:t>Low-Income Program and Audit Summary</w:t>
      </w:r>
    </w:p>
    <w:p w:rsidR="00CC15F9" w:rsidRPr="005002F1" w:rsidRDefault="00CC15F9" w:rsidP="0055598C">
      <w:pPr>
        <w:pStyle w:val="AppendixAHeading4"/>
        <w:rPr>
          <w:rFonts w:eastAsia="Calibri"/>
        </w:rPr>
      </w:pPr>
      <w:r w:rsidRPr="005002F1">
        <w:rPr>
          <w:rFonts w:eastAsia="Calibri"/>
        </w:rPr>
        <w:t>E-Power Wise Program</w:t>
      </w:r>
    </w:p>
    <w:p w:rsidR="00CC15F9" w:rsidRPr="004B4B06" w:rsidRDefault="00CC15F9" w:rsidP="004B4B06">
      <w:r w:rsidRPr="004B4B06">
        <w:t xml:space="preserve">PPL’s E-Power Wise Program provides low-income customers with kits containing basic measures such as CFLs, faucet aerators, low-flow showerheads, and LED nightlights. For its evaluation of the program, Cadmus adjusted the energy and demand savings resulting from 2015 TRM algorithms by applying </w:t>
      </w:r>
      <w:r w:rsidR="00A870B5" w:rsidRPr="004B4B06">
        <w:t>ISRs</w:t>
      </w:r>
      <w:r w:rsidRPr="004B4B06">
        <w:t xml:space="preserve"> determined through surveys of program participants. Ex-ante savings adjustments were made as a result of the review of the</w:t>
      </w:r>
      <w:r w:rsidR="00623BE9" w:rsidRPr="004B4B06">
        <w:t xml:space="preserve"> Energy Efficiency Management Information System</w:t>
      </w:r>
      <w:r w:rsidRPr="004B4B06">
        <w:t xml:space="preserve"> </w:t>
      </w:r>
      <w:r w:rsidR="00623BE9" w:rsidRPr="004B4B06">
        <w:t>(</w:t>
      </w:r>
      <w:r w:rsidRPr="004B4B06">
        <w:t>EEMIS</w:t>
      </w:r>
      <w:r w:rsidR="00623BE9" w:rsidRPr="004B4B06">
        <w:t>)</w:t>
      </w:r>
      <w:r w:rsidRPr="004B4B06">
        <w:t xml:space="preserve"> against records in the </w:t>
      </w:r>
      <w:r w:rsidR="00A870B5" w:rsidRPr="004B4B06">
        <w:t xml:space="preserve">implementer </w:t>
      </w:r>
      <w:r w:rsidRPr="004B4B06">
        <w:t>CSP database. Several kit records were duplicate</w:t>
      </w:r>
      <w:r w:rsidR="00A870B5" w:rsidRPr="004B4B06">
        <w:t xml:space="preserve">d in the EEMIS, but not in the implementer </w:t>
      </w:r>
      <w:r w:rsidRPr="004B4B06">
        <w:t>CSP data. Overall</w:t>
      </w:r>
      <w:r w:rsidR="00A870B5" w:rsidRPr="004B4B06">
        <w:t>,</w:t>
      </w:r>
      <w:r w:rsidRPr="004B4B06">
        <w:t xml:space="preserve"> the program realization rates for energy and demand were 91% and 40%, respectively.</w:t>
      </w:r>
    </w:p>
    <w:p w:rsidR="00CC15F9" w:rsidRPr="004B4B06" w:rsidRDefault="00CC15F9" w:rsidP="004B4B06">
      <w:pPr>
        <w:rPr>
          <w:highlight w:val="lightGray"/>
        </w:rPr>
      </w:pPr>
    </w:p>
    <w:p w:rsidR="00CC15F9" w:rsidRDefault="00CC15F9" w:rsidP="004B4B06">
      <w:r w:rsidRPr="004B4B06">
        <w:t xml:space="preserve">The SWE Team reproduced Cadmus’s per-measure calculations using these </w:t>
      </w:r>
      <w:r w:rsidR="00A870B5" w:rsidRPr="004B4B06">
        <w:t>ISRs</w:t>
      </w:r>
      <w:r w:rsidRPr="004B4B06">
        <w:t>, reviewed the calculation of behaviorally based savings, and verified that the energy and demand</w:t>
      </w:r>
      <w:r w:rsidR="00A870B5" w:rsidRPr="004B4B06">
        <w:t xml:space="preserve"> savings reported in PPL’s PY7 a</w:t>
      </w:r>
      <w:r w:rsidRPr="004B4B06">
        <w:t xml:space="preserve">nnual </w:t>
      </w:r>
      <w:r w:rsidR="00A870B5" w:rsidRPr="004B4B06">
        <w:t>r</w:t>
      </w:r>
      <w:r w:rsidRPr="004B4B06">
        <w:t>eport were accurate.</w:t>
      </w:r>
    </w:p>
    <w:p w:rsidR="00CC15F9" w:rsidRPr="0034212D" w:rsidRDefault="00CC15F9" w:rsidP="0055598C">
      <w:pPr>
        <w:pStyle w:val="AppendixAHeading4"/>
      </w:pPr>
      <w:r w:rsidRPr="0034212D">
        <w:t>Wise Home Pilot</w:t>
      </w:r>
      <w:r w:rsidR="00EC0A8F">
        <w:t xml:space="preserve"> – A Component of the E-Power Wise Program</w:t>
      </w:r>
    </w:p>
    <w:p w:rsidR="00CC15F9" w:rsidRDefault="00702765" w:rsidP="004B4B06">
      <w:r w:rsidRPr="004B4B06">
        <w:t>PPL</w:t>
      </w:r>
      <w:r w:rsidR="00CC15F9" w:rsidRPr="004B4B06">
        <w:t xml:space="preserve"> introduced the Wise Home Pilot in PY7, which targeted the manufactured home segment within the E-Power Wise Program’s eligible participants. The pilot offered two types of weatherization treatments through direct-install: one provided a full treatment that included air sealing and duct sealing, </w:t>
      </w:r>
      <w:r w:rsidR="00A870B5" w:rsidRPr="004B4B06">
        <w:t xml:space="preserve">and </w:t>
      </w:r>
      <w:r w:rsidR="00CC15F9" w:rsidRPr="004B4B06">
        <w:t>the other was a partial treatment that only include</w:t>
      </w:r>
      <w:r w:rsidR="00A870B5" w:rsidRPr="004B4B06">
        <w:t>d</w:t>
      </w:r>
      <w:r w:rsidR="00CC15F9" w:rsidRPr="004B4B06">
        <w:t xml:space="preserve"> air sealing. Both treatments included simple weatherization treatments and water efficiency treatments.</w:t>
      </w:r>
    </w:p>
    <w:p w:rsidR="004B4B06" w:rsidRPr="004B4B06" w:rsidRDefault="004B4B06" w:rsidP="004B4B06"/>
    <w:p w:rsidR="00CC15F9" w:rsidRDefault="00CC15F9" w:rsidP="004B4B06">
      <w:r w:rsidRPr="004B4B06">
        <w:t>Cadmus identified 78 data</w:t>
      </w:r>
      <w:r w:rsidR="00A870B5" w:rsidRPr="004B4B06">
        <w:t>-</w:t>
      </w:r>
      <w:r w:rsidRPr="004B4B06">
        <w:t xml:space="preserve">entry errors in </w:t>
      </w:r>
      <w:r w:rsidR="00A870B5" w:rsidRPr="004B4B06">
        <w:t>its</w:t>
      </w:r>
      <w:r w:rsidRPr="004B4B06">
        <w:t xml:space="preserve"> review of the EEMIS data, but these had minimal impact on the overall realization rate. The evaluation for the Wise Home Pilot included a </w:t>
      </w:r>
      <w:r w:rsidR="002676DB" w:rsidRPr="004B4B06">
        <w:t xml:space="preserve">randomized control trial and </w:t>
      </w:r>
      <w:r w:rsidRPr="004B4B06">
        <w:t xml:space="preserve">billing analysis to evaluate energy savings based on differences in consumption before and after the home weatherization between treatment and control groups, where applicable. </w:t>
      </w:r>
    </w:p>
    <w:p w:rsidR="004B4B06" w:rsidRPr="004B4B06" w:rsidRDefault="004B4B06" w:rsidP="004B4B06"/>
    <w:p w:rsidR="00BA421E" w:rsidRPr="004B4B06" w:rsidRDefault="00BA421E" w:rsidP="004B4B06">
      <w:r w:rsidRPr="004B4B06">
        <w:t>The SWE Team reviewed the billing analysis output, equations, and statistics and confirmed that the</w:t>
      </w:r>
      <w:r w:rsidR="00FD03DC">
        <w:t>y</w:t>
      </w:r>
      <w:r w:rsidRPr="004B4B06">
        <w:t xml:space="preserve"> did impact the pilot realization rate. A review of data entry procedures would help to control issues around data entry errors.</w:t>
      </w:r>
    </w:p>
    <w:p w:rsidR="004B4B06" w:rsidRDefault="004B4B06" w:rsidP="004B4B06"/>
    <w:p w:rsidR="00CC15F9" w:rsidRDefault="00CC15F9" w:rsidP="0055598C">
      <w:pPr>
        <w:pStyle w:val="AppendixAHeading4"/>
      </w:pPr>
      <w:r w:rsidRPr="005002F1">
        <w:t>Low-Income EE Behavior and Education</w:t>
      </w:r>
    </w:p>
    <w:p w:rsidR="00CC15F9" w:rsidRDefault="00CC15F9" w:rsidP="00CC15F9">
      <w:r>
        <w:t xml:space="preserve">PPL began offering the Low-Income EE Behavior and Education program midyear in PY6 and continued </w:t>
      </w:r>
      <w:r w:rsidR="00A870B5">
        <w:t xml:space="preserve">it </w:t>
      </w:r>
      <w:r>
        <w:t xml:space="preserve">through PY7. PPL used the same regression analysis as the one employed to estimate program impacts for the Residential EE Behavior and Education program. PPL also performed a savings uplift analysis to identify possible double counting of savings. The uplift analysis concluded that 2.1% of PY7 </w:t>
      </w:r>
      <w:r w:rsidRPr="00D0558D">
        <w:rPr>
          <w:i/>
        </w:rPr>
        <w:t>ex post</w:t>
      </w:r>
      <w:r>
        <w:t xml:space="preserve"> savings were attributable to other efficiency programs, equating to 223 MWh/yr. These savings were subtracted from the residential portfolio to correct for double-counting, but not from the Low-Income EE Behavior and Education savings estimates.</w:t>
      </w:r>
    </w:p>
    <w:p w:rsidR="00CC15F9" w:rsidRDefault="00CC15F9" w:rsidP="00CC15F9"/>
    <w:p w:rsidR="00CC15F9" w:rsidRDefault="00CC15F9" w:rsidP="00CC15F9">
      <w:r>
        <w:t xml:space="preserve">The SWE Team reviewed the billing analysis output, equations, and statistics and confirmed that the approach is sound and the conclusions reasonable. The SWE Team agrees with PPL’s verified gross savings findings for the Low-Income Residential Energy-Efficiency Behavior and Education Program. </w:t>
      </w:r>
    </w:p>
    <w:p w:rsidR="00CC15F9" w:rsidRDefault="00CC15F9" w:rsidP="00CC15F9">
      <w:r>
        <w:t xml:space="preserve"> </w:t>
      </w:r>
    </w:p>
    <w:p w:rsidR="00CC15F9" w:rsidRPr="00A61C62" w:rsidRDefault="00CC15F9" w:rsidP="0055598C">
      <w:pPr>
        <w:pStyle w:val="AppendixAHeading4"/>
        <w:rPr>
          <w:rFonts w:eastAsia="Calibri"/>
        </w:rPr>
      </w:pPr>
      <w:r w:rsidRPr="00A61C62">
        <w:rPr>
          <w:rFonts w:eastAsia="Calibri"/>
        </w:rPr>
        <w:t>Low-Income WRAP</w:t>
      </w:r>
    </w:p>
    <w:p w:rsidR="00CC15F9" w:rsidRDefault="00CC15F9" w:rsidP="004B4B06">
      <w:r w:rsidRPr="004B4B06">
        <w:t xml:space="preserve">The program evaluation for the PY7 WRAP included a billing analysis of participating customers with a monthly fixed-effects model. The billing analysis was conducted on participants from PY4 and PY5. Only baseload jobs were installed in PY5; therefore, the low-cost and full-cost savings per job were based on customer usage analysis of only PY4 participants because there </w:t>
      </w:r>
      <w:r w:rsidR="00A870B5" w:rsidRPr="004B4B06">
        <w:t>were</w:t>
      </w:r>
      <w:r w:rsidRPr="004B4B06">
        <w:t xml:space="preserve"> no PY5 data for these jobs. The full-cost job savings estimate was based on usage from more than 500 PY4 homes, consistent with the Phase II Evaluation Framework guidance. The SWE Team confirmed that the billing analysis followed PPL’s program evaluation plan and the Pennsylvania Mass Market protocol. The SWE Team also reviewed the billing analysis output, equations, and statistics and confirmed that the approach is sound and the conclusions reasonable.</w:t>
      </w:r>
    </w:p>
    <w:p w:rsidR="004B4B06" w:rsidRPr="004B4B06" w:rsidRDefault="004B4B06" w:rsidP="004B4B06"/>
    <w:p w:rsidR="00CC15F9" w:rsidRDefault="00CC15F9" w:rsidP="004B4B06">
      <w:r w:rsidRPr="004B4B06">
        <w:t>PPL also performed customer-specific modeling using the Princeton Scorekeeping Method (PRISM) to provide an alternative weather-normalization methodology</w:t>
      </w:r>
      <w:r w:rsidR="00A870B5" w:rsidRPr="004B4B06">
        <w:t>.</w:t>
      </w:r>
      <w:r w:rsidRPr="004B4B06">
        <w:t xml:space="preserve"> The SWE confirmed that the PRISM approach provided similar savings estimates as the monthly fixed-effects models.</w:t>
      </w:r>
    </w:p>
    <w:p w:rsidR="004B4B06" w:rsidRPr="004B4B06" w:rsidRDefault="004B4B06" w:rsidP="004B4B06"/>
    <w:p w:rsidR="00CC15F9" w:rsidRDefault="00CC15F9" w:rsidP="004B4B06">
      <w:r w:rsidRPr="004B4B06">
        <w:t xml:space="preserve">The SWE Team agrees with PPL’s verified gross savings findings for the Low-Income WRAP. </w:t>
      </w:r>
    </w:p>
    <w:p w:rsidR="00B32B81" w:rsidRDefault="00B32B81" w:rsidP="004B4B06"/>
    <w:p w:rsidR="004B4B06" w:rsidRPr="004B4B06" w:rsidRDefault="004B4B06" w:rsidP="004B4B06"/>
    <w:p w:rsidR="00CC15F9" w:rsidRPr="005E26AE" w:rsidRDefault="00CC15F9" w:rsidP="0055598C">
      <w:pPr>
        <w:pStyle w:val="AppendixAHeading4"/>
      </w:pPr>
      <w:r w:rsidRPr="005E26AE">
        <w:t>De Facto Heating Pilot</w:t>
      </w:r>
      <w:r w:rsidR="00BA421E">
        <w:t xml:space="preserve"> </w:t>
      </w:r>
      <w:r w:rsidR="00EC0A8F">
        <w:t>– A Component of the WRAP</w:t>
      </w:r>
      <w:r w:rsidR="0091502B">
        <w:t>)</w:t>
      </w:r>
    </w:p>
    <w:p w:rsidR="00BA421E" w:rsidRDefault="00BA421E" w:rsidP="004B4B06">
      <w:r w:rsidRPr="004B4B06">
        <w:t xml:space="preserve">PPL introduced the De Facto Heating Pilot in PY7. The pilot targets low-income households that use an inefficient or unsafe electric heat source, such as portable electric space heaters or an electric stove, in place of their inoperable fossil fuel heating system. Through the pilot, PPL Electric Utilities replaced the inoperable heating system of 12 participants with an efficient heat pump system. Some participants were also eligible to receive a heat pump water heater and full-cost products and services through the Winter Relief Assistance Program (WRAP). </w:t>
      </w:r>
    </w:p>
    <w:p w:rsidR="004B4B06" w:rsidRPr="004B4B06" w:rsidRDefault="004B4B06" w:rsidP="004B4B06"/>
    <w:p w:rsidR="00CC15F9" w:rsidRDefault="00CC15F9" w:rsidP="004B4B06">
      <w:r w:rsidRPr="004B4B06">
        <w:t xml:space="preserve">PPL </w:t>
      </w:r>
      <w:r w:rsidR="00BA421E" w:rsidRPr="004B4B06">
        <w:t>originally targeted up to 20 homes for installation of new ductless mini-splits. However, during the pilot, one house was found to already have ducts installed and the pilot was modified to include air source heat pumps. The pilot was also expanded to allow a customer who used kerosene, an electric stove, and an electric space heater to participate in the pilot</w:t>
      </w:r>
      <w:r w:rsidRPr="004B4B06">
        <w:t>.</w:t>
      </w:r>
    </w:p>
    <w:p w:rsidR="004B4B06" w:rsidRPr="004B4B06" w:rsidRDefault="004B4B06" w:rsidP="004B4B06"/>
    <w:p w:rsidR="00BA421E" w:rsidRDefault="00BA421E" w:rsidP="004B4B06">
      <w:r w:rsidRPr="004B4B06">
        <w:t>As the De Facto Heating measure began as an IMP to be incorporated into the 2016 TRM, the SWE Team confirmed the calculated savings for each measure was consist with the 2016 TRM section 2.2.3 for ductless mini-split heat pumps and the 2015 TRM for the remaining measures. The SWE Team found that the tracking database had accurate data fields and that the algorithms were in general agreement</w:t>
      </w:r>
      <w:r w:rsidRPr="00D62847">
        <w:t xml:space="preserve"> with the TRM. The Team also confirmed that Cadmus followed the December 2015 PPL Electric Utilities EM&amp;V Plan De Facto Heating Pilot Program and the use of the draft 2016 TRM for the mini-split heat pump savings. It was also confirmed that Cadmus made the appropriate adjustments when </w:t>
      </w:r>
      <w:r w:rsidRPr="00A1290B">
        <w:t xml:space="preserve">the </w:t>
      </w:r>
      <w:r w:rsidRPr="00D62847">
        <w:t xml:space="preserve">high-efficiency heat pump system </w:t>
      </w:r>
      <w:r w:rsidRPr="00A1290B">
        <w:t>was</w:t>
      </w:r>
      <w:r w:rsidRPr="00D62847">
        <w:t xml:space="preserve"> added to the pilot.</w:t>
      </w:r>
    </w:p>
    <w:p w:rsidR="00CC15F9" w:rsidRPr="00CC15F9" w:rsidRDefault="00CC15F9" w:rsidP="00CC15F9"/>
    <w:p w:rsidR="00950837" w:rsidRDefault="00950837" w:rsidP="009C0DF1">
      <w:pPr>
        <w:pStyle w:val="AppendixAHeading3"/>
      </w:pPr>
      <w:r>
        <w:t>Non-Residential Program Audit Summary</w:t>
      </w:r>
    </w:p>
    <w:p w:rsidR="009C7E38" w:rsidRDefault="009C7E38" w:rsidP="004B4B06">
      <w:r w:rsidRPr="004B4B06">
        <w:t xml:space="preserve">The SWE Team reviewed project files to audit the accuracy of the savings values stored in the program-tracking database and to confirm that calculations were performed in accordance with the applicable TRM, or by some other reasonable methodology. The SWE Team reviewed non-residential projects from PPL’s Master Metered Low-Income Multifamily Housing (MMMF), Prescriptive Equipment Lighting, Prescriptive Equipment Non-Lighting, and Custom Incentives programs in PY7. Several projects were selected from each quarter within each program, for a total of 24 projects. For the most part, PPL’s project documentation was complete, well organized, and clearly labeled, except for two projects that had small inconsistencies between the documentation and the tracking system. The details of the review can be found </w:t>
      </w:r>
      <w:r w:rsidR="00B5775F" w:rsidRPr="004B4B06">
        <w:t>below</w:t>
      </w:r>
      <w:r w:rsidRPr="004B4B06">
        <w:t>.</w:t>
      </w:r>
    </w:p>
    <w:p w:rsidR="004B4B06" w:rsidRPr="004B4B06" w:rsidRDefault="004B4B06" w:rsidP="004B4B06"/>
    <w:p w:rsidR="009C7E38" w:rsidRPr="004B4B06" w:rsidRDefault="009C7E38" w:rsidP="004B4B06">
      <w:r w:rsidRPr="004B4B06">
        <w:t xml:space="preserve">The SWE Team reviewed PPL’s PY7 sample design to ensure its compliance with the Evaluation Framework. The results are displayed in </w:t>
      </w:r>
      <w:r w:rsidRPr="004B4B06">
        <w:fldChar w:fldCharType="begin"/>
      </w:r>
      <w:r w:rsidRPr="004B4B06">
        <w:instrText xml:space="preserve"> REF _Ref472393532 \h </w:instrText>
      </w:r>
      <w:r w:rsidRPr="004B4B06">
        <w:fldChar w:fldCharType="separate"/>
      </w:r>
      <w:r w:rsidR="00037CB4">
        <w:t>Table A-</w:t>
      </w:r>
      <w:r w:rsidR="00037CB4">
        <w:rPr>
          <w:noProof/>
        </w:rPr>
        <w:t>142</w:t>
      </w:r>
      <w:r w:rsidRPr="004B4B06">
        <w:fldChar w:fldCharType="end"/>
      </w:r>
      <w:r w:rsidRPr="004B4B06">
        <w:t>, showing relative precision at the 85% confidence level.</w:t>
      </w:r>
    </w:p>
    <w:p w:rsidR="00432152" w:rsidRPr="004B4B06" w:rsidRDefault="00432152" w:rsidP="004B4B06"/>
    <w:p w:rsidR="009C7E38" w:rsidRPr="00D85274" w:rsidRDefault="009C7E38" w:rsidP="004837FA">
      <w:pPr>
        <w:pStyle w:val="Caption"/>
      </w:pPr>
      <w:bookmarkStart w:id="1297" w:name="_Ref472393532"/>
      <w:bookmarkStart w:id="1298" w:name="_Ref408430569"/>
      <w:bookmarkStart w:id="1299" w:name="_Toc409225030"/>
      <w:bookmarkStart w:id="1300" w:name="_Toc409443582"/>
      <w:bookmarkStart w:id="1301" w:name="_Toc445206266"/>
      <w:bookmarkStart w:id="1302" w:name="_Toc472472551"/>
      <w:bookmarkStart w:id="1303" w:name="_Toc488741970"/>
      <w:r>
        <w:t>Table A-</w:t>
      </w:r>
      <w:r w:rsidR="007973A4">
        <w:fldChar w:fldCharType="begin"/>
      </w:r>
      <w:r w:rsidR="007973A4">
        <w:instrText xml:space="preserve"> SEQ Table_A- \* ARABIC </w:instrText>
      </w:r>
      <w:r w:rsidR="007973A4">
        <w:fldChar w:fldCharType="separate"/>
      </w:r>
      <w:r w:rsidR="00037CB4">
        <w:rPr>
          <w:noProof/>
        </w:rPr>
        <w:t>142</w:t>
      </w:r>
      <w:r w:rsidR="007973A4">
        <w:rPr>
          <w:noProof/>
        </w:rPr>
        <w:fldChar w:fldCharType="end"/>
      </w:r>
      <w:bookmarkEnd w:id="1297"/>
      <w:r w:rsidRPr="00D85274">
        <w:t>: Compliance across Sample Designs for PPL’s PY7 Non-Residential Programs</w:t>
      </w:r>
      <w:bookmarkEnd w:id="1298"/>
      <w:bookmarkEnd w:id="1299"/>
      <w:bookmarkEnd w:id="1300"/>
      <w:bookmarkEnd w:id="1301"/>
      <w:bookmarkEnd w:id="1302"/>
      <w:bookmarkEnd w:id="1303"/>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78"/>
        <w:gridCol w:w="2060"/>
        <w:gridCol w:w="2061"/>
        <w:gridCol w:w="2061"/>
      </w:tblGrid>
      <w:tr w:rsidR="00A874AC" w:rsidRPr="00A763FD" w:rsidTr="00A763FD">
        <w:trPr>
          <w:trHeight w:val="432"/>
          <w:tblHeader/>
        </w:trPr>
        <w:tc>
          <w:tcPr>
            <w:tcW w:w="3178" w:type="dxa"/>
            <w:shd w:val="clear" w:color="000000" w:fill="448A99"/>
            <w:vAlign w:val="bottom"/>
            <w:hideMark/>
          </w:tcPr>
          <w:p w:rsidR="009C7E38" w:rsidRPr="00A763FD" w:rsidRDefault="009C7E38" w:rsidP="00AC55E9">
            <w:pPr>
              <w:jc w:val="left"/>
              <w:rPr>
                <w:b/>
                <w:bCs/>
                <w:color w:val="FFFFFF"/>
                <w:sz w:val="19"/>
                <w:szCs w:val="19"/>
              </w:rPr>
            </w:pPr>
            <w:r w:rsidRPr="00A763FD">
              <w:rPr>
                <w:b/>
                <w:bCs/>
                <w:color w:val="FFFFFF"/>
                <w:sz w:val="19"/>
                <w:szCs w:val="19"/>
              </w:rPr>
              <w:t>Program</w:t>
            </w:r>
          </w:p>
        </w:tc>
        <w:tc>
          <w:tcPr>
            <w:tcW w:w="2060" w:type="dxa"/>
            <w:shd w:val="clear" w:color="000000" w:fill="448A99"/>
            <w:vAlign w:val="bottom"/>
            <w:hideMark/>
          </w:tcPr>
          <w:p w:rsidR="009C7E38" w:rsidRPr="00A763FD" w:rsidRDefault="009C7E38" w:rsidP="00AC55E9">
            <w:pPr>
              <w:jc w:val="center"/>
              <w:rPr>
                <w:b/>
                <w:bCs/>
                <w:color w:val="FFFFFF"/>
                <w:sz w:val="19"/>
                <w:szCs w:val="19"/>
              </w:rPr>
            </w:pPr>
            <w:r w:rsidRPr="00A763FD">
              <w:rPr>
                <w:b/>
                <w:bCs/>
                <w:color w:val="FFFFFF"/>
                <w:sz w:val="19"/>
                <w:szCs w:val="19"/>
              </w:rPr>
              <w:t>Relative Precision at 85% CL for Energy</w:t>
            </w:r>
          </w:p>
        </w:tc>
        <w:tc>
          <w:tcPr>
            <w:tcW w:w="2061" w:type="dxa"/>
            <w:shd w:val="clear" w:color="000000" w:fill="448A99"/>
            <w:vAlign w:val="bottom"/>
            <w:hideMark/>
          </w:tcPr>
          <w:p w:rsidR="009C7E38" w:rsidRPr="00A763FD" w:rsidRDefault="009C7E38" w:rsidP="00AC55E9">
            <w:pPr>
              <w:jc w:val="center"/>
              <w:rPr>
                <w:b/>
                <w:bCs/>
                <w:color w:val="FFFFFF"/>
                <w:sz w:val="19"/>
                <w:szCs w:val="19"/>
              </w:rPr>
            </w:pPr>
            <w:r w:rsidRPr="00A763FD">
              <w:rPr>
                <w:b/>
                <w:bCs/>
                <w:color w:val="FFFFFF"/>
                <w:sz w:val="19"/>
                <w:szCs w:val="19"/>
              </w:rPr>
              <w:t>Relative Precision at 85% CL for Demand</w:t>
            </w:r>
          </w:p>
        </w:tc>
        <w:tc>
          <w:tcPr>
            <w:tcW w:w="2061" w:type="dxa"/>
            <w:shd w:val="clear" w:color="000000" w:fill="448A99"/>
            <w:vAlign w:val="bottom"/>
            <w:hideMark/>
          </w:tcPr>
          <w:p w:rsidR="009C7E38" w:rsidRPr="00A763FD" w:rsidRDefault="009C7E38" w:rsidP="00AC55E9">
            <w:pPr>
              <w:jc w:val="center"/>
              <w:rPr>
                <w:b/>
                <w:bCs/>
                <w:color w:val="FFFFFF"/>
                <w:sz w:val="19"/>
                <w:szCs w:val="19"/>
              </w:rPr>
            </w:pPr>
            <w:r w:rsidRPr="00A763FD">
              <w:rPr>
                <w:b/>
                <w:bCs/>
                <w:color w:val="FFFFFF"/>
                <w:sz w:val="19"/>
                <w:szCs w:val="19"/>
              </w:rPr>
              <w:t>Compliance with Evaluation Framework</w:t>
            </w:r>
          </w:p>
        </w:tc>
      </w:tr>
      <w:tr w:rsidR="00A874AC" w:rsidRPr="00A763FD" w:rsidTr="00A763FD">
        <w:trPr>
          <w:trHeight w:val="360"/>
        </w:trPr>
        <w:tc>
          <w:tcPr>
            <w:tcW w:w="3178" w:type="dxa"/>
            <w:shd w:val="clear" w:color="000000" w:fill="D2EAF1"/>
            <w:noWrap/>
            <w:vAlign w:val="center"/>
          </w:tcPr>
          <w:p w:rsidR="009C7E38" w:rsidRPr="00A763FD" w:rsidRDefault="009C7E38" w:rsidP="00AC55E9">
            <w:pPr>
              <w:jc w:val="left"/>
              <w:rPr>
                <w:color w:val="000000"/>
                <w:sz w:val="19"/>
                <w:szCs w:val="19"/>
              </w:rPr>
            </w:pPr>
            <w:r w:rsidRPr="00A763FD">
              <w:rPr>
                <w:color w:val="000000"/>
                <w:sz w:val="19"/>
                <w:szCs w:val="19"/>
              </w:rPr>
              <w:t>Custom Incentive</w:t>
            </w:r>
          </w:p>
        </w:tc>
        <w:tc>
          <w:tcPr>
            <w:tcW w:w="2060" w:type="dxa"/>
            <w:shd w:val="clear" w:color="000000" w:fill="D2EAF1"/>
            <w:noWrap/>
            <w:vAlign w:val="center"/>
          </w:tcPr>
          <w:p w:rsidR="009C7E38" w:rsidRPr="00A763FD" w:rsidRDefault="009C7E38" w:rsidP="00AC55E9">
            <w:pPr>
              <w:jc w:val="center"/>
              <w:rPr>
                <w:color w:val="000000"/>
                <w:sz w:val="19"/>
                <w:szCs w:val="19"/>
              </w:rPr>
            </w:pPr>
            <w:r w:rsidRPr="00A763FD">
              <w:rPr>
                <w:color w:val="000000"/>
                <w:sz w:val="19"/>
                <w:szCs w:val="19"/>
              </w:rPr>
              <w:t>4.3%</w:t>
            </w:r>
          </w:p>
        </w:tc>
        <w:tc>
          <w:tcPr>
            <w:tcW w:w="2061" w:type="dxa"/>
            <w:shd w:val="clear" w:color="000000" w:fill="D2EAF1"/>
            <w:noWrap/>
            <w:vAlign w:val="center"/>
          </w:tcPr>
          <w:p w:rsidR="009C7E38" w:rsidRPr="00A763FD" w:rsidRDefault="009C7E38" w:rsidP="00AC55E9">
            <w:pPr>
              <w:jc w:val="center"/>
              <w:rPr>
                <w:color w:val="000000"/>
                <w:sz w:val="19"/>
                <w:szCs w:val="19"/>
              </w:rPr>
            </w:pPr>
            <w:r w:rsidRPr="00A763FD">
              <w:rPr>
                <w:color w:val="000000"/>
                <w:sz w:val="19"/>
                <w:szCs w:val="19"/>
              </w:rPr>
              <w:t>8.6%</w:t>
            </w:r>
          </w:p>
        </w:tc>
        <w:tc>
          <w:tcPr>
            <w:tcW w:w="2061" w:type="dxa"/>
            <w:shd w:val="clear" w:color="000000" w:fill="D2EAF1"/>
            <w:noWrap/>
            <w:vAlign w:val="center"/>
          </w:tcPr>
          <w:p w:rsidR="009C7E38" w:rsidRPr="00A763FD" w:rsidRDefault="009C7E38" w:rsidP="00AC55E9">
            <w:pPr>
              <w:jc w:val="center"/>
              <w:rPr>
                <w:color w:val="000000"/>
                <w:sz w:val="19"/>
                <w:szCs w:val="19"/>
              </w:rPr>
            </w:pPr>
            <w:r w:rsidRPr="00A763FD">
              <w:rPr>
                <w:color w:val="00B050"/>
                <w:sz w:val="19"/>
                <w:szCs w:val="19"/>
              </w:rPr>
              <w:sym w:font="Wingdings" w:char="F0FC"/>
            </w:r>
          </w:p>
        </w:tc>
      </w:tr>
      <w:tr w:rsidR="00E7173E" w:rsidRPr="00A763FD" w:rsidTr="00A763FD">
        <w:trPr>
          <w:trHeight w:val="360"/>
        </w:trPr>
        <w:tc>
          <w:tcPr>
            <w:tcW w:w="3178" w:type="dxa"/>
            <w:shd w:val="clear" w:color="auto" w:fill="auto"/>
            <w:noWrap/>
            <w:vAlign w:val="center"/>
          </w:tcPr>
          <w:p w:rsidR="009C7E38" w:rsidRPr="00A763FD" w:rsidRDefault="009C7E38" w:rsidP="00AC55E9">
            <w:pPr>
              <w:jc w:val="left"/>
              <w:rPr>
                <w:color w:val="000000"/>
                <w:sz w:val="19"/>
                <w:szCs w:val="19"/>
              </w:rPr>
            </w:pPr>
            <w:r w:rsidRPr="00A763FD">
              <w:rPr>
                <w:color w:val="000000"/>
                <w:sz w:val="19"/>
                <w:szCs w:val="19"/>
              </w:rPr>
              <w:t>Master Metered Low-Income Multifamily Housing</w:t>
            </w:r>
          </w:p>
        </w:tc>
        <w:tc>
          <w:tcPr>
            <w:tcW w:w="2060" w:type="dxa"/>
            <w:shd w:val="clear" w:color="auto" w:fill="auto"/>
            <w:noWrap/>
            <w:vAlign w:val="center"/>
          </w:tcPr>
          <w:p w:rsidR="009C7E38" w:rsidRPr="00A763FD" w:rsidRDefault="009C7E38" w:rsidP="00AC55E9">
            <w:pPr>
              <w:jc w:val="center"/>
              <w:rPr>
                <w:color w:val="000000"/>
                <w:sz w:val="19"/>
                <w:szCs w:val="19"/>
              </w:rPr>
            </w:pPr>
            <w:r w:rsidRPr="00A763FD">
              <w:rPr>
                <w:color w:val="000000"/>
                <w:sz w:val="19"/>
                <w:szCs w:val="19"/>
              </w:rPr>
              <w:t>9.9%</w:t>
            </w:r>
          </w:p>
        </w:tc>
        <w:tc>
          <w:tcPr>
            <w:tcW w:w="2061" w:type="dxa"/>
            <w:shd w:val="clear" w:color="auto" w:fill="auto"/>
            <w:noWrap/>
            <w:vAlign w:val="center"/>
          </w:tcPr>
          <w:p w:rsidR="009C7E38" w:rsidRPr="00A763FD" w:rsidRDefault="009C7E38" w:rsidP="00AC55E9">
            <w:pPr>
              <w:jc w:val="center"/>
              <w:rPr>
                <w:color w:val="000000"/>
                <w:sz w:val="19"/>
                <w:szCs w:val="19"/>
              </w:rPr>
            </w:pPr>
            <w:r w:rsidRPr="00A763FD">
              <w:rPr>
                <w:color w:val="000000"/>
                <w:sz w:val="19"/>
                <w:szCs w:val="19"/>
              </w:rPr>
              <w:t>7.6%</w:t>
            </w:r>
          </w:p>
        </w:tc>
        <w:tc>
          <w:tcPr>
            <w:tcW w:w="2061" w:type="dxa"/>
            <w:shd w:val="clear" w:color="auto" w:fill="auto"/>
            <w:noWrap/>
            <w:vAlign w:val="center"/>
          </w:tcPr>
          <w:p w:rsidR="009C7E38" w:rsidRPr="00A763FD" w:rsidRDefault="009C7E38" w:rsidP="00AC55E9">
            <w:pPr>
              <w:jc w:val="center"/>
              <w:rPr>
                <w:color w:val="FF0000"/>
                <w:sz w:val="19"/>
                <w:szCs w:val="19"/>
              </w:rPr>
            </w:pPr>
            <w:r w:rsidRPr="00A763FD">
              <w:rPr>
                <w:color w:val="00B050"/>
                <w:sz w:val="19"/>
                <w:szCs w:val="19"/>
              </w:rPr>
              <w:sym w:font="Wingdings" w:char="F0FC"/>
            </w:r>
          </w:p>
        </w:tc>
      </w:tr>
      <w:tr w:rsidR="00A874AC" w:rsidRPr="00A763FD" w:rsidTr="00A763FD">
        <w:trPr>
          <w:trHeight w:val="360"/>
        </w:trPr>
        <w:tc>
          <w:tcPr>
            <w:tcW w:w="3178" w:type="dxa"/>
            <w:shd w:val="clear" w:color="000000" w:fill="D2EAF1"/>
            <w:noWrap/>
            <w:vAlign w:val="center"/>
          </w:tcPr>
          <w:p w:rsidR="009C7E38" w:rsidRPr="00A763FD" w:rsidRDefault="009C7E38" w:rsidP="00AC55E9">
            <w:pPr>
              <w:jc w:val="left"/>
              <w:rPr>
                <w:color w:val="000000"/>
                <w:sz w:val="19"/>
                <w:szCs w:val="19"/>
              </w:rPr>
            </w:pPr>
            <w:r w:rsidRPr="00A763FD">
              <w:rPr>
                <w:color w:val="000000"/>
                <w:sz w:val="19"/>
                <w:szCs w:val="19"/>
              </w:rPr>
              <w:t>Prescriptive Equipment</w:t>
            </w:r>
          </w:p>
        </w:tc>
        <w:tc>
          <w:tcPr>
            <w:tcW w:w="2060" w:type="dxa"/>
            <w:shd w:val="clear" w:color="000000" w:fill="D2EAF1"/>
            <w:noWrap/>
            <w:vAlign w:val="center"/>
          </w:tcPr>
          <w:p w:rsidR="009C7E38" w:rsidRPr="00A763FD" w:rsidRDefault="009C7E38" w:rsidP="00AC55E9">
            <w:pPr>
              <w:jc w:val="center"/>
              <w:rPr>
                <w:color w:val="000000"/>
                <w:sz w:val="19"/>
                <w:szCs w:val="19"/>
              </w:rPr>
            </w:pPr>
            <w:r w:rsidRPr="00A763FD">
              <w:rPr>
                <w:color w:val="000000"/>
                <w:sz w:val="19"/>
                <w:szCs w:val="19"/>
              </w:rPr>
              <w:t>1.8%</w:t>
            </w:r>
          </w:p>
        </w:tc>
        <w:tc>
          <w:tcPr>
            <w:tcW w:w="2061" w:type="dxa"/>
            <w:shd w:val="clear" w:color="000000" w:fill="D2EAF1"/>
            <w:noWrap/>
            <w:vAlign w:val="center"/>
          </w:tcPr>
          <w:p w:rsidR="009C7E38" w:rsidRPr="00A763FD" w:rsidRDefault="009C7E38" w:rsidP="00AC55E9">
            <w:pPr>
              <w:jc w:val="center"/>
              <w:rPr>
                <w:color w:val="000000"/>
                <w:sz w:val="19"/>
                <w:szCs w:val="19"/>
              </w:rPr>
            </w:pPr>
            <w:r w:rsidRPr="00A763FD">
              <w:rPr>
                <w:color w:val="000000"/>
                <w:sz w:val="19"/>
                <w:szCs w:val="19"/>
              </w:rPr>
              <w:t>2.8%</w:t>
            </w:r>
          </w:p>
        </w:tc>
        <w:tc>
          <w:tcPr>
            <w:tcW w:w="2061" w:type="dxa"/>
            <w:shd w:val="clear" w:color="000000" w:fill="D2EAF1"/>
            <w:noWrap/>
            <w:vAlign w:val="center"/>
          </w:tcPr>
          <w:p w:rsidR="009C7E38" w:rsidRPr="00A763FD" w:rsidRDefault="009C7E38" w:rsidP="00AC55E9">
            <w:pPr>
              <w:jc w:val="center"/>
              <w:rPr>
                <w:bCs/>
                <w:color w:val="FF0000"/>
                <w:sz w:val="19"/>
                <w:szCs w:val="19"/>
              </w:rPr>
            </w:pPr>
            <w:r w:rsidRPr="00A763FD">
              <w:rPr>
                <w:color w:val="00B050"/>
                <w:sz w:val="19"/>
                <w:szCs w:val="19"/>
              </w:rPr>
              <w:sym w:font="Wingdings" w:char="F0FC"/>
            </w:r>
          </w:p>
        </w:tc>
      </w:tr>
      <w:tr w:rsidR="00E7173E" w:rsidRPr="00A763FD" w:rsidTr="00A763FD">
        <w:trPr>
          <w:trHeight w:val="360"/>
        </w:trPr>
        <w:tc>
          <w:tcPr>
            <w:tcW w:w="3178" w:type="dxa"/>
            <w:shd w:val="clear" w:color="auto" w:fill="auto"/>
            <w:noWrap/>
            <w:vAlign w:val="center"/>
          </w:tcPr>
          <w:p w:rsidR="009C7E38" w:rsidRPr="00A763FD" w:rsidRDefault="009C7E38" w:rsidP="00AC55E9">
            <w:pPr>
              <w:jc w:val="left"/>
              <w:rPr>
                <w:color w:val="000000"/>
                <w:sz w:val="19"/>
                <w:szCs w:val="19"/>
              </w:rPr>
            </w:pPr>
            <w:r w:rsidRPr="00A763FD">
              <w:rPr>
                <w:color w:val="000000"/>
                <w:sz w:val="19"/>
                <w:szCs w:val="19"/>
              </w:rPr>
              <w:t>Prescriptive Equipment (GNI)</w:t>
            </w:r>
          </w:p>
        </w:tc>
        <w:tc>
          <w:tcPr>
            <w:tcW w:w="2060" w:type="dxa"/>
            <w:shd w:val="clear" w:color="auto" w:fill="auto"/>
            <w:noWrap/>
            <w:vAlign w:val="center"/>
          </w:tcPr>
          <w:p w:rsidR="009C7E38" w:rsidRPr="00A763FD" w:rsidRDefault="009C7E38" w:rsidP="00AC55E9">
            <w:pPr>
              <w:jc w:val="center"/>
              <w:rPr>
                <w:color w:val="000000"/>
                <w:sz w:val="19"/>
                <w:szCs w:val="19"/>
              </w:rPr>
            </w:pPr>
            <w:r w:rsidRPr="00A763FD">
              <w:rPr>
                <w:color w:val="000000"/>
                <w:sz w:val="19"/>
                <w:szCs w:val="19"/>
              </w:rPr>
              <w:t>1.0%</w:t>
            </w:r>
          </w:p>
        </w:tc>
        <w:tc>
          <w:tcPr>
            <w:tcW w:w="2061" w:type="dxa"/>
            <w:shd w:val="clear" w:color="auto" w:fill="auto"/>
            <w:noWrap/>
            <w:vAlign w:val="center"/>
          </w:tcPr>
          <w:p w:rsidR="009C7E38" w:rsidRPr="00A763FD" w:rsidRDefault="009C7E38" w:rsidP="00AC55E9">
            <w:pPr>
              <w:jc w:val="center"/>
              <w:rPr>
                <w:color w:val="000000"/>
                <w:sz w:val="19"/>
                <w:szCs w:val="19"/>
              </w:rPr>
            </w:pPr>
            <w:r w:rsidRPr="00A763FD">
              <w:rPr>
                <w:color w:val="000000"/>
                <w:sz w:val="19"/>
                <w:szCs w:val="19"/>
              </w:rPr>
              <w:t>5.3%</w:t>
            </w:r>
          </w:p>
        </w:tc>
        <w:tc>
          <w:tcPr>
            <w:tcW w:w="2061" w:type="dxa"/>
            <w:shd w:val="clear" w:color="auto" w:fill="auto"/>
            <w:noWrap/>
            <w:vAlign w:val="center"/>
          </w:tcPr>
          <w:p w:rsidR="009C7E38" w:rsidRPr="00A763FD" w:rsidRDefault="009C7E38" w:rsidP="00AC55E9">
            <w:pPr>
              <w:jc w:val="center"/>
              <w:rPr>
                <w:bCs/>
                <w:color w:val="FF0000"/>
                <w:sz w:val="19"/>
                <w:szCs w:val="19"/>
              </w:rPr>
            </w:pPr>
            <w:r w:rsidRPr="00A763FD">
              <w:rPr>
                <w:color w:val="00B050"/>
                <w:sz w:val="19"/>
                <w:szCs w:val="19"/>
              </w:rPr>
              <w:sym w:font="Wingdings" w:char="F0FC"/>
            </w:r>
          </w:p>
        </w:tc>
      </w:tr>
      <w:tr w:rsidR="00A874AC" w:rsidRPr="00A763FD" w:rsidTr="00A763FD">
        <w:trPr>
          <w:trHeight w:val="360"/>
        </w:trPr>
        <w:tc>
          <w:tcPr>
            <w:tcW w:w="3178" w:type="dxa"/>
            <w:shd w:val="clear" w:color="000000" w:fill="D2EAF1"/>
            <w:noWrap/>
            <w:vAlign w:val="center"/>
          </w:tcPr>
          <w:p w:rsidR="009C7E38" w:rsidRPr="00A763FD" w:rsidRDefault="009C7E38" w:rsidP="00AC55E9">
            <w:pPr>
              <w:jc w:val="left"/>
              <w:rPr>
                <w:color w:val="000000"/>
                <w:sz w:val="19"/>
                <w:szCs w:val="19"/>
              </w:rPr>
            </w:pPr>
            <w:r w:rsidRPr="00A763FD">
              <w:rPr>
                <w:color w:val="000000"/>
                <w:sz w:val="19"/>
                <w:szCs w:val="19"/>
              </w:rPr>
              <w:t>Continuous Energy Improvement</w:t>
            </w:r>
          </w:p>
        </w:tc>
        <w:tc>
          <w:tcPr>
            <w:tcW w:w="2060" w:type="dxa"/>
            <w:shd w:val="clear" w:color="000000" w:fill="D2EAF1"/>
            <w:noWrap/>
            <w:vAlign w:val="center"/>
          </w:tcPr>
          <w:p w:rsidR="009C7E38" w:rsidRPr="00A763FD" w:rsidRDefault="009C7E38" w:rsidP="00AC55E9">
            <w:pPr>
              <w:jc w:val="center"/>
              <w:rPr>
                <w:color w:val="000000"/>
                <w:sz w:val="19"/>
                <w:szCs w:val="19"/>
              </w:rPr>
            </w:pPr>
            <w:r w:rsidRPr="00A763FD">
              <w:rPr>
                <w:color w:val="000000"/>
                <w:sz w:val="19"/>
                <w:szCs w:val="19"/>
              </w:rPr>
              <w:t>3.8%</w:t>
            </w:r>
          </w:p>
        </w:tc>
        <w:tc>
          <w:tcPr>
            <w:tcW w:w="2061" w:type="dxa"/>
            <w:shd w:val="clear" w:color="000000" w:fill="D2EAF1"/>
            <w:noWrap/>
            <w:vAlign w:val="center"/>
          </w:tcPr>
          <w:p w:rsidR="009C7E38" w:rsidRPr="00A763FD" w:rsidRDefault="009C7E38" w:rsidP="00AC55E9">
            <w:pPr>
              <w:jc w:val="center"/>
              <w:rPr>
                <w:color w:val="000000"/>
                <w:sz w:val="19"/>
                <w:szCs w:val="19"/>
              </w:rPr>
            </w:pPr>
            <w:r w:rsidRPr="00A763FD">
              <w:rPr>
                <w:color w:val="000000"/>
                <w:sz w:val="19"/>
                <w:szCs w:val="19"/>
              </w:rPr>
              <w:t>46.6%</w:t>
            </w:r>
          </w:p>
        </w:tc>
        <w:tc>
          <w:tcPr>
            <w:tcW w:w="2061" w:type="dxa"/>
            <w:shd w:val="clear" w:color="000000" w:fill="D2EAF1"/>
            <w:noWrap/>
            <w:vAlign w:val="center"/>
          </w:tcPr>
          <w:p w:rsidR="009C7E38" w:rsidRPr="00A763FD" w:rsidRDefault="009C7E38" w:rsidP="00AC55E9">
            <w:pPr>
              <w:jc w:val="center"/>
              <w:rPr>
                <w:bCs/>
                <w:color w:val="FF0000"/>
                <w:sz w:val="19"/>
                <w:szCs w:val="19"/>
              </w:rPr>
            </w:pPr>
            <w:r w:rsidRPr="00A763FD">
              <w:rPr>
                <w:color w:val="00B050"/>
                <w:sz w:val="19"/>
                <w:szCs w:val="19"/>
              </w:rPr>
              <w:sym w:font="Wingdings" w:char="F0FC"/>
            </w:r>
          </w:p>
        </w:tc>
      </w:tr>
    </w:tbl>
    <w:p w:rsidR="009C7E38" w:rsidRPr="00D85274" w:rsidRDefault="009C7E38" w:rsidP="009C7E38"/>
    <w:p w:rsidR="009C7E38" w:rsidRPr="00D85274" w:rsidRDefault="009C7E38" w:rsidP="009C7E38">
      <w:r w:rsidRPr="00D85274">
        <w:t xml:space="preserve">The goal of 15% precision at the 85% confidence level for energy was reached for all non-residential program groups. Details about each program evaluation sample are provided in Appendix </w:t>
      </w:r>
      <w:r w:rsidRPr="00D85274">
        <w:fldChar w:fldCharType="begin"/>
      </w:r>
      <w:r w:rsidRPr="00D85274">
        <w:instrText xml:space="preserve"> REF _Ref440444471 \r \h  \* MERGEFORMAT </w:instrText>
      </w:r>
      <w:r w:rsidRPr="00D85274">
        <w:fldChar w:fldCharType="separate"/>
      </w:r>
      <w:r w:rsidR="00037CB4">
        <w:t>A.7.4.3.2</w:t>
      </w:r>
      <w:r w:rsidRPr="00D85274">
        <w:fldChar w:fldCharType="end"/>
      </w:r>
      <w:r w:rsidRPr="00D85274">
        <w:t>.</w:t>
      </w:r>
    </w:p>
    <w:p w:rsidR="009C7E38" w:rsidRPr="00D85274" w:rsidRDefault="009C7E38" w:rsidP="009C7E38"/>
    <w:p w:rsidR="009C7E38" w:rsidRPr="00D85274" w:rsidRDefault="009C7E38" w:rsidP="009C7E38">
      <w:pPr>
        <w:rPr>
          <w:color w:val="000000"/>
        </w:rPr>
      </w:pPr>
      <w:r w:rsidRPr="00D85274">
        <w:rPr>
          <w:color w:val="000000"/>
        </w:rPr>
        <w:t xml:space="preserve">As part of the audit process, the SWE Team performed </w:t>
      </w:r>
      <w:r>
        <w:rPr>
          <w:color w:val="000000"/>
        </w:rPr>
        <w:t>six</w:t>
      </w:r>
      <w:r w:rsidRPr="00D85274">
        <w:rPr>
          <w:color w:val="000000"/>
        </w:rPr>
        <w:t xml:space="preserve"> ride-along site inspections of non-residential projects to oversee PPL’s on-site evaluation practices. The projects selected for ride-along inspection encompassed lighting upgrades, RTU upgrades, and a VFD project. The SWE Team approved all sampled projects. Details of all </w:t>
      </w:r>
      <w:r>
        <w:rPr>
          <w:color w:val="000000"/>
        </w:rPr>
        <w:t>six</w:t>
      </w:r>
      <w:r w:rsidRPr="00D85274">
        <w:rPr>
          <w:color w:val="000000"/>
        </w:rPr>
        <w:t xml:space="preserve"> projects and their associated findings are presented </w:t>
      </w:r>
      <w:r w:rsidR="00B5775F">
        <w:rPr>
          <w:color w:val="000000"/>
        </w:rPr>
        <w:t>below</w:t>
      </w:r>
      <w:r w:rsidRPr="00D85274">
        <w:rPr>
          <w:color w:val="000000"/>
        </w:rPr>
        <w:t>.</w:t>
      </w:r>
    </w:p>
    <w:p w:rsidR="009C7E38" w:rsidRPr="00D85274" w:rsidRDefault="009C7E38" w:rsidP="009C7E38"/>
    <w:p w:rsidR="0025240A" w:rsidRDefault="009C7E38" w:rsidP="009C7E38">
      <w:r w:rsidRPr="009C7E38">
        <w:t xml:space="preserve">The SWE Team performed a verified savings analysis on seven submitted projects, checking the accuracy of the calculations, appropriateness of the evaluation method, and level of rigor selections. The SWE Team found the level of rigor chosen by the evaluation contractor to be reasonable, based on project size and uncertainty. In its PY5 and PY6 annual report, the SWE Team recommended that Cadmus provide more detailed documentation and more consistently record the evaluation work and corresponding outcomes. The detailed site reports and supporting information provided in PY7 fulfilled this request and clearly presented the methodologies, assumptions, and calculations used in the evaluations. The results of the verified savings analysis are presented </w:t>
      </w:r>
      <w:r w:rsidR="00B5775F">
        <w:t>below</w:t>
      </w:r>
      <w:r w:rsidRPr="009C7E38">
        <w:t>.</w:t>
      </w:r>
    </w:p>
    <w:p w:rsidR="00B5775F" w:rsidRPr="006C05B5" w:rsidRDefault="00B5775F" w:rsidP="00B5775F">
      <w:pPr>
        <w:rPr>
          <w:color w:val="000000"/>
        </w:rPr>
      </w:pPr>
    </w:p>
    <w:p w:rsidR="00B5775F" w:rsidRDefault="00B5775F" w:rsidP="0055598C">
      <w:pPr>
        <w:pStyle w:val="AppendixAHeading4"/>
      </w:pPr>
      <w:r>
        <w:t>Project Files Review</w:t>
      </w:r>
    </w:p>
    <w:p w:rsidR="00B5775F" w:rsidRDefault="00B5775F" w:rsidP="00B5775F">
      <w:pPr>
        <w:rPr>
          <w:color w:val="000000"/>
        </w:rPr>
      </w:pPr>
      <w:r w:rsidRPr="00141D58">
        <w:t>The SWE Team</w:t>
      </w:r>
      <w:r w:rsidRPr="00EB5DD8">
        <w:t xml:space="preserve"> </w:t>
      </w:r>
      <w:r w:rsidRPr="00EB5DD8">
        <w:rPr>
          <w:color w:val="000000"/>
        </w:rPr>
        <w:t xml:space="preserve">reviewed non-residential projects from PPL’s Master Metered Low-Income Multifamily Housing (MMMF), Prescriptive Equipment Lighting, Prescriptive Equipment Non-Lighting, and Custom Incentives </w:t>
      </w:r>
      <w:r>
        <w:rPr>
          <w:color w:val="000000"/>
        </w:rPr>
        <w:t>p</w:t>
      </w:r>
      <w:r w:rsidRPr="00EB5DD8">
        <w:rPr>
          <w:color w:val="000000"/>
        </w:rPr>
        <w:t>rograms in PY7. Several projects were selected from each quarter within each program</w:t>
      </w:r>
      <w:r>
        <w:rPr>
          <w:color w:val="000000"/>
        </w:rPr>
        <w:t>,</w:t>
      </w:r>
      <w:r w:rsidRPr="00EB5DD8">
        <w:rPr>
          <w:color w:val="000000"/>
        </w:rPr>
        <w:t xml:space="preserve"> for a total of 24 projects. Project files included project-level savings calculation workbooks, applications, invoices, inspection forms, and specification sheets. For the most part, PPL’s project documentation was complete, well organized, and clearly labeled except for two projects </w:t>
      </w:r>
      <w:r>
        <w:rPr>
          <w:color w:val="000000"/>
        </w:rPr>
        <w:t>that</w:t>
      </w:r>
      <w:r w:rsidRPr="00EB5DD8">
        <w:rPr>
          <w:color w:val="000000"/>
        </w:rPr>
        <w:t xml:space="preserve"> had small inconsistencies between the documentation and the tracking system. </w:t>
      </w:r>
    </w:p>
    <w:p w:rsidR="00B5775F" w:rsidRDefault="00B5775F" w:rsidP="00B5775F">
      <w:pPr>
        <w:rPr>
          <w:color w:val="000000"/>
        </w:rPr>
      </w:pPr>
    </w:p>
    <w:p w:rsidR="004B4B06" w:rsidRDefault="00B5775F" w:rsidP="00B5775F">
      <w:pPr>
        <w:rPr>
          <w:color w:val="000000"/>
        </w:rPr>
        <w:sectPr w:rsidR="004B4B06" w:rsidSect="007779FE">
          <w:type w:val="continuous"/>
          <w:pgSz w:w="12240" w:h="15840"/>
          <w:pgMar w:top="1440" w:right="1440" w:bottom="1440" w:left="1440" w:header="720" w:footer="288" w:gutter="0"/>
          <w:cols w:space="720"/>
          <w:titlePg/>
          <w:docGrid w:linePitch="360"/>
        </w:sectPr>
      </w:pPr>
      <w:r>
        <w:rPr>
          <w:color w:val="000000"/>
        </w:rPr>
        <w:fldChar w:fldCharType="begin"/>
      </w:r>
      <w:r>
        <w:rPr>
          <w:color w:val="000000"/>
        </w:rPr>
        <w:instrText xml:space="preserve"> REF _Ref472470173 \h </w:instrText>
      </w:r>
      <w:r>
        <w:rPr>
          <w:color w:val="000000"/>
        </w:rPr>
      </w:r>
      <w:r>
        <w:rPr>
          <w:color w:val="000000"/>
        </w:rPr>
        <w:fldChar w:fldCharType="separate"/>
      </w:r>
      <w:r w:rsidR="00037CB4">
        <w:t>Table A-</w:t>
      </w:r>
      <w:r w:rsidR="00037CB4">
        <w:rPr>
          <w:noProof/>
        </w:rPr>
        <w:t>143</w:t>
      </w:r>
      <w:r>
        <w:rPr>
          <w:color w:val="000000"/>
        </w:rPr>
        <w:fldChar w:fldCharType="end"/>
      </w:r>
      <w:r>
        <w:rPr>
          <w:color w:val="000000"/>
        </w:rPr>
        <w:t xml:space="preserve"> </w:t>
      </w:r>
      <w:r w:rsidRPr="006E6583">
        <w:rPr>
          <w:color w:val="000000"/>
        </w:rPr>
        <w:t xml:space="preserve">presents an overview of the projects that were reviewed by the SWE </w:t>
      </w:r>
      <w:r>
        <w:rPr>
          <w:color w:val="000000"/>
        </w:rPr>
        <w:t xml:space="preserve">Team </w:t>
      </w:r>
      <w:r w:rsidRPr="006E6583">
        <w:rPr>
          <w:color w:val="000000"/>
        </w:rPr>
        <w:t xml:space="preserve">and </w:t>
      </w:r>
      <w:r>
        <w:rPr>
          <w:color w:val="000000"/>
        </w:rPr>
        <w:t>the</w:t>
      </w:r>
      <w:r w:rsidRPr="006E6583">
        <w:rPr>
          <w:color w:val="000000"/>
        </w:rPr>
        <w:t xml:space="preserve"> findings</w:t>
      </w:r>
      <w:r>
        <w:rPr>
          <w:color w:val="000000"/>
        </w:rPr>
        <w:t>.</w:t>
      </w:r>
    </w:p>
    <w:p w:rsidR="00B5775F" w:rsidRDefault="00B5775F" w:rsidP="004837FA">
      <w:pPr>
        <w:pStyle w:val="Caption"/>
      </w:pPr>
      <w:bookmarkStart w:id="1304" w:name="_Ref472470173"/>
      <w:bookmarkStart w:id="1305" w:name="_Toc472472557"/>
      <w:bookmarkStart w:id="1306" w:name="_Toc488741971"/>
      <w:r>
        <w:t>Table A-</w:t>
      </w:r>
      <w:r w:rsidR="007973A4">
        <w:fldChar w:fldCharType="begin"/>
      </w:r>
      <w:r w:rsidR="007973A4">
        <w:instrText xml:space="preserve"> SEQ Table_A- \* ARABIC </w:instrText>
      </w:r>
      <w:r w:rsidR="007973A4">
        <w:fldChar w:fldCharType="separate"/>
      </w:r>
      <w:r w:rsidR="00037CB4">
        <w:rPr>
          <w:noProof/>
        </w:rPr>
        <w:t>143</w:t>
      </w:r>
      <w:r w:rsidR="007973A4">
        <w:rPr>
          <w:noProof/>
        </w:rPr>
        <w:fldChar w:fldCharType="end"/>
      </w:r>
      <w:bookmarkEnd w:id="1304"/>
      <w:r>
        <w:t>: PY7 Project Files Review for PPL</w:t>
      </w:r>
      <w:bookmarkEnd w:id="1305"/>
      <w:bookmarkEnd w:id="1306"/>
    </w:p>
    <w:tbl>
      <w:tblPr>
        <w:tblStyle w:val="AnnualReportTableStyle"/>
        <w:tblW w:w="13045" w:type="dxa"/>
        <w:tblLook w:val="04A0" w:firstRow="1" w:lastRow="0" w:firstColumn="1" w:lastColumn="0" w:noHBand="0" w:noVBand="1"/>
      </w:tblPr>
      <w:tblGrid>
        <w:gridCol w:w="872"/>
        <w:gridCol w:w="1013"/>
        <w:gridCol w:w="1085"/>
        <w:gridCol w:w="2515"/>
        <w:gridCol w:w="1021"/>
        <w:gridCol w:w="1499"/>
        <w:gridCol w:w="1293"/>
        <w:gridCol w:w="1004"/>
        <w:gridCol w:w="1128"/>
        <w:gridCol w:w="1615"/>
      </w:tblGrid>
      <w:tr w:rsidR="00A874AC" w:rsidRPr="00A763FD" w:rsidTr="00B32B81">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872" w:type="dxa"/>
            <w:noWrap/>
            <w:vAlign w:val="bottom"/>
            <w:hideMark/>
          </w:tcPr>
          <w:p w:rsidR="00B5775F" w:rsidRPr="00A763FD" w:rsidRDefault="00B5775F" w:rsidP="004B4B06">
            <w:pPr>
              <w:jc w:val="left"/>
              <w:rPr>
                <w:bCs/>
                <w:sz w:val="19"/>
                <w:szCs w:val="19"/>
              </w:rPr>
            </w:pPr>
            <w:r w:rsidRPr="00A763FD">
              <w:rPr>
                <w:bCs/>
                <w:sz w:val="19"/>
                <w:szCs w:val="19"/>
              </w:rPr>
              <w:t>Quarter</w:t>
            </w:r>
          </w:p>
        </w:tc>
        <w:tc>
          <w:tcPr>
            <w:tcW w:w="1013" w:type="dxa"/>
            <w:noWrap/>
            <w:vAlign w:val="bottom"/>
            <w:hideMark/>
          </w:tcPr>
          <w:p w:rsidR="00B5775F" w:rsidRPr="00A763FD"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A763FD">
              <w:rPr>
                <w:bCs/>
                <w:sz w:val="19"/>
                <w:szCs w:val="19"/>
              </w:rPr>
              <w:t>Project Number</w:t>
            </w:r>
          </w:p>
        </w:tc>
        <w:tc>
          <w:tcPr>
            <w:tcW w:w="1085" w:type="dxa"/>
            <w:noWrap/>
            <w:vAlign w:val="bottom"/>
            <w:hideMark/>
          </w:tcPr>
          <w:p w:rsidR="00B5775F" w:rsidRPr="00A763FD"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A763FD">
              <w:rPr>
                <w:bCs/>
                <w:sz w:val="19"/>
                <w:szCs w:val="19"/>
              </w:rPr>
              <w:t>Program</w:t>
            </w:r>
          </w:p>
        </w:tc>
        <w:tc>
          <w:tcPr>
            <w:tcW w:w="2515" w:type="dxa"/>
            <w:vAlign w:val="bottom"/>
            <w:hideMark/>
          </w:tcPr>
          <w:p w:rsidR="00B5775F" w:rsidRPr="00A763FD"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A763FD">
              <w:rPr>
                <w:bCs/>
                <w:sz w:val="19"/>
                <w:szCs w:val="19"/>
              </w:rPr>
              <w:t>Project Description</w:t>
            </w:r>
          </w:p>
        </w:tc>
        <w:tc>
          <w:tcPr>
            <w:tcW w:w="1021" w:type="dxa"/>
            <w:vAlign w:val="bottom"/>
            <w:hideMark/>
          </w:tcPr>
          <w:p w:rsidR="00B5775F" w:rsidRPr="00A763FD"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A763FD">
              <w:rPr>
                <w:bCs/>
                <w:sz w:val="19"/>
                <w:szCs w:val="19"/>
              </w:rPr>
              <w:t>Are all files included?</w:t>
            </w:r>
          </w:p>
        </w:tc>
        <w:tc>
          <w:tcPr>
            <w:tcW w:w="1499" w:type="dxa"/>
            <w:vAlign w:val="bottom"/>
            <w:hideMark/>
          </w:tcPr>
          <w:p w:rsidR="00B5775F" w:rsidRPr="00A763FD"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A763FD">
              <w:rPr>
                <w:bCs/>
                <w:sz w:val="19"/>
                <w:szCs w:val="19"/>
              </w:rPr>
              <w:t>Do values match program tracking data?</w:t>
            </w:r>
          </w:p>
        </w:tc>
        <w:tc>
          <w:tcPr>
            <w:tcW w:w="1293" w:type="dxa"/>
            <w:vAlign w:val="bottom"/>
            <w:hideMark/>
          </w:tcPr>
          <w:p w:rsidR="00B5775F" w:rsidRPr="00A763FD"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A763FD">
              <w:rPr>
                <w:bCs/>
                <w:sz w:val="19"/>
                <w:szCs w:val="19"/>
              </w:rPr>
              <w:t>Equipment discrepancy between invoices and calculations?</w:t>
            </w:r>
          </w:p>
        </w:tc>
        <w:tc>
          <w:tcPr>
            <w:tcW w:w="1004" w:type="dxa"/>
            <w:vAlign w:val="bottom"/>
            <w:hideMark/>
          </w:tcPr>
          <w:p w:rsidR="00B5775F" w:rsidRPr="00A763FD"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A763FD">
              <w:rPr>
                <w:bCs/>
                <w:sz w:val="19"/>
                <w:szCs w:val="19"/>
              </w:rPr>
              <w:t>Sufficient info for SWE to follow?</w:t>
            </w:r>
          </w:p>
        </w:tc>
        <w:tc>
          <w:tcPr>
            <w:tcW w:w="1128" w:type="dxa"/>
            <w:vAlign w:val="bottom"/>
            <w:hideMark/>
          </w:tcPr>
          <w:p w:rsidR="00B5775F" w:rsidRPr="00A763FD"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A763FD">
              <w:rPr>
                <w:bCs/>
                <w:sz w:val="19"/>
                <w:szCs w:val="19"/>
              </w:rPr>
              <w:t>For TRM measures, are correct algorithms and HOU values used?</w:t>
            </w:r>
          </w:p>
        </w:tc>
        <w:tc>
          <w:tcPr>
            <w:tcW w:w="1615" w:type="dxa"/>
            <w:vAlign w:val="bottom"/>
            <w:hideMark/>
          </w:tcPr>
          <w:p w:rsidR="00B5775F" w:rsidRPr="00A763FD"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A763FD">
              <w:rPr>
                <w:bCs/>
                <w:sz w:val="19"/>
                <w:szCs w:val="19"/>
              </w:rPr>
              <w:t>For Custom measures, is the methodology clear and auditable? Is it a sensible approach?</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PY7Q1</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PPL-13-07989</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Custom</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Ammonia compressor process refrigeration system</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 eQuest modeling</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PY7Q2</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PPL-13-07498</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Custom</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Compressed air retrofit including controls, air receiver tank and high-pressure to low-pressure demand conversion</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PY7Q3</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PPL-13-08365</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Custom</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Installed a 1,500-ton steam turbine chiller to utilize the exhaust heat from its CHP unit to generated steam to run the chiller and offset the electricity the two 900-ton chillers would have used.</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 1,615,462 kWh in Tracker but 1,202,014 kWh in Analysis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PY7Q3</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PPL-13-11790</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Custom</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EMS</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PY7Q1</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1398412</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MMMF</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Lighting and light control retrofit (mostly LED fixtures)</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PY7Q1</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1238822</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MMMF</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LED lighting retrofit</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PY7Q2</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1653152</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MMMF</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Lighting retrofit T12s to T8 and incandescent to LED, controls</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PY7Q3</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919635</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MMMF</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LED lighting retrofit</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PY7Q3</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1804304</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MMMF</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T12 to T8 retrofit</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PY7Q3</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841819</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MMMF</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Lighting, showerheads, aerators, and thermostatic shower restriction valves</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 46,837 in tracker but 35,043 or 51,086 in bundle</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PY7Q4</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1952839</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MMMF</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Lighting and vending machine controls</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PY7Q1</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PPL-13-07619</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 Equip Non-Lighting</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Mini-split ASHP 19 SEER</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PY7Q1</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PPL-13-08217</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 Equip Non-Lighting</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HVAC (ductless heat pump)</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PY7Q1</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PPL-13-11248</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 Equip Non-Lighting</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Refrigeration (high-efficiency evaporator fans)</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PY7Q3</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PPL-13-12355</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 Equip Non-Lighting</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Refrigeration (high-efficiency evaporator fans)</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PY7Q4</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PPL-13-10648</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 Equip Non-Lighting</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Refrigeration (high-efficiency evaporator fans)</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PY7Q4</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PPL-13-12190</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 Equip Non-Lighting</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Ice maker</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PY7Q2</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PPL-13-09184</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 Equip Lighting</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Lighting retrofit (LED, T5, fridge cases, etc.)</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PY7Q2</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PPL-13-09236</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 Equip Lighting</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Lighting retrofit (LED, T5, fridge cases, etc.)</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PY7Q2</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PPL-13-11365</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 Equip Lighting</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Lighting retrofit (interior and exterior)</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PY7Q2</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PPL-13-12055</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 Equip Lighting</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Dusk-to-dawn LED floodlight retrofit</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PY7Q3</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PPL-13-12100</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 Equip Lighting</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Lighting retrofit (incandescent to LED)</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r w:rsidR="00A874AC" w:rsidRPr="00A763FD" w:rsidTr="00B32B81">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PY7Q3</w:t>
            </w:r>
          </w:p>
        </w:tc>
        <w:tc>
          <w:tcPr>
            <w:tcW w:w="101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PPL-13-12477</w:t>
            </w:r>
          </w:p>
        </w:tc>
        <w:tc>
          <w:tcPr>
            <w:tcW w:w="108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P. Equip Lighting</w:t>
            </w:r>
          </w:p>
        </w:tc>
        <w:tc>
          <w:tcPr>
            <w:tcW w:w="2515" w:type="dxa"/>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Lighting retrofit (indoor and outdoor LED)</w:t>
            </w:r>
          </w:p>
        </w:tc>
        <w:tc>
          <w:tcPr>
            <w:tcW w:w="1021"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A763FD">
              <w:rPr>
                <w:color w:val="000000"/>
                <w:sz w:val="19"/>
                <w:szCs w:val="19"/>
              </w:rPr>
              <w:t>N/A</w:t>
            </w:r>
          </w:p>
        </w:tc>
      </w:tr>
      <w:tr w:rsidR="00B5775F" w:rsidRPr="00A763FD" w:rsidTr="00B32B81">
        <w:trPr>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A763FD" w:rsidRDefault="00B5775F" w:rsidP="004B4B06">
            <w:pPr>
              <w:jc w:val="left"/>
              <w:rPr>
                <w:b w:val="0"/>
                <w:bCs/>
                <w:i/>
                <w:iCs/>
                <w:color w:val="000000"/>
                <w:sz w:val="19"/>
                <w:szCs w:val="19"/>
              </w:rPr>
            </w:pPr>
            <w:r w:rsidRPr="00A763FD">
              <w:rPr>
                <w:b w:val="0"/>
                <w:bCs/>
                <w:i/>
                <w:iCs/>
                <w:color w:val="000000"/>
                <w:sz w:val="19"/>
                <w:szCs w:val="19"/>
              </w:rPr>
              <w:t>PY7Q3</w:t>
            </w:r>
          </w:p>
        </w:tc>
        <w:tc>
          <w:tcPr>
            <w:tcW w:w="101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PPL-13-11701</w:t>
            </w:r>
          </w:p>
        </w:tc>
        <w:tc>
          <w:tcPr>
            <w:tcW w:w="108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P. Equip Lighting</w:t>
            </w:r>
          </w:p>
        </w:tc>
        <w:tc>
          <w:tcPr>
            <w:tcW w:w="2515" w:type="dxa"/>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Lighting retrofit (indoor LED)</w:t>
            </w:r>
          </w:p>
        </w:tc>
        <w:tc>
          <w:tcPr>
            <w:tcW w:w="1021"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499"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293"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No</w:t>
            </w:r>
          </w:p>
        </w:tc>
        <w:tc>
          <w:tcPr>
            <w:tcW w:w="1004"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128"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Yes</w:t>
            </w:r>
          </w:p>
        </w:tc>
        <w:tc>
          <w:tcPr>
            <w:tcW w:w="1615" w:type="dxa"/>
            <w:noWrap/>
            <w:hideMark/>
          </w:tcPr>
          <w:p w:rsidR="00B5775F" w:rsidRPr="00A763FD"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A763FD">
              <w:rPr>
                <w:color w:val="000000"/>
                <w:sz w:val="19"/>
                <w:szCs w:val="19"/>
              </w:rPr>
              <w:t>N/A</w:t>
            </w:r>
          </w:p>
        </w:tc>
      </w:tr>
    </w:tbl>
    <w:p w:rsidR="00B5775F" w:rsidRDefault="00B5775F" w:rsidP="00B5775F"/>
    <w:p w:rsidR="004B4B06" w:rsidRDefault="004B4B06" w:rsidP="00B5775F">
      <w:pPr>
        <w:rPr>
          <w:color w:val="000000"/>
        </w:rPr>
        <w:sectPr w:rsidR="004B4B06" w:rsidSect="004B4B06">
          <w:headerReference w:type="default" r:id="rId179"/>
          <w:footerReference w:type="default" r:id="rId180"/>
          <w:headerReference w:type="first" r:id="rId181"/>
          <w:footerReference w:type="first" r:id="rId182"/>
          <w:pgSz w:w="15840" w:h="12240" w:orient="landscape"/>
          <w:pgMar w:top="1440" w:right="1440" w:bottom="1440" w:left="1440" w:header="720" w:footer="288" w:gutter="0"/>
          <w:cols w:space="720"/>
          <w:titlePg/>
          <w:docGrid w:linePitch="360"/>
        </w:sectPr>
      </w:pPr>
    </w:p>
    <w:p w:rsidR="00B5775F" w:rsidRPr="00EB5DD8" w:rsidRDefault="00B5775F" w:rsidP="00B5775F">
      <w:pPr>
        <w:rPr>
          <w:color w:val="000000"/>
        </w:rPr>
      </w:pPr>
      <w:r w:rsidRPr="00EB5DD8">
        <w:rPr>
          <w:color w:val="000000"/>
        </w:rPr>
        <w:t xml:space="preserve">Project PPL-13-08365 in the Custom </w:t>
      </w:r>
      <w:r>
        <w:rPr>
          <w:color w:val="000000"/>
        </w:rPr>
        <w:t xml:space="preserve">Incentives </w:t>
      </w:r>
      <w:r w:rsidRPr="00EB5DD8">
        <w:rPr>
          <w:color w:val="000000"/>
        </w:rPr>
        <w:t>Program had 1,202,014 kWh</w:t>
      </w:r>
      <w:r>
        <w:rPr>
          <w:color w:val="000000"/>
        </w:rPr>
        <w:t>/yr</w:t>
      </w:r>
      <w:r w:rsidRPr="00EB5DD8">
        <w:rPr>
          <w:color w:val="000000"/>
        </w:rPr>
        <w:t xml:space="preserve"> reported as the savings total in </w:t>
      </w:r>
      <w:r>
        <w:rPr>
          <w:color w:val="000000"/>
        </w:rPr>
        <w:t>a</w:t>
      </w:r>
      <w:r w:rsidRPr="00EB5DD8">
        <w:rPr>
          <w:color w:val="000000"/>
        </w:rPr>
        <w:t>nalysis in the project file, but 1,615,462 kWh</w:t>
      </w:r>
      <w:r>
        <w:rPr>
          <w:color w:val="000000"/>
        </w:rPr>
        <w:t>/yr</w:t>
      </w:r>
      <w:r w:rsidRPr="00EB5DD8">
        <w:rPr>
          <w:color w:val="000000"/>
        </w:rPr>
        <w:t xml:space="preserve"> reported in the </w:t>
      </w:r>
      <w:r>
        <w:rPr>
          <w:color w:val="000000"/>
        </w:rPr>
        <w:t>t</w:t>
      </w:r>
      <w:r w:rsidRPr="00EB5DD8">
        <w:rPr>
          <w:color w:val="000000"/>
        </w:rPr>
        <w:t>racker.</w:t>
      </w:r>
      <w:r>
        <w:rPr>
          <w:color w:val="000000"/>
        </w:rPr>
        <w:t xml:space="preserve"> After consulting with PPL, the number reported in the tracker is correct, and the </w:t>
      </w:r>
      <w:r w:rsidRPr="00942467">
        <w:rPr>
          <w:color w:val="000000"/>
        </w:rPr>
        <w:t>value of 1,202,014 in the “analysis in the project file” was apparently taken from an analysis done by the implementer, EPS, in file “PPL-13-08365 Custom Analysis.xls”. This was the value prior to verification by the evaluator. PPL correctly reported the verified savings value, not the EPS result</w:t>
      </w:r>
      <w:r>
        <w:rPr>
          <w:color w:val="000000"/>
        </w:rPr>
        <w:t>.</w:t>
      </w:r>
    </w:p>
    <w:p w:rsidR="00B5775F" w:rsidRPr="00EB5DD8" w:rsidRDefault="00B5775F" w:rsidP="00B5775F">
      <w:pPr>
        <w:rPr>
          <w:color w:val="000000"/>
        </w:rPr>
      </w:pPr>
    </w:p>
    <w:p w:rsidR="00B5775F" w:rsidRPr="00EB5DD8" w:rsidRDefault="00B5775F" w:rsidP="00B5775F">
      <w:pPr>
        <w:rPr>
          <w:color w:val="000000"/>
        </w:rPr>
      </w:pPr>
      <w:r w:rsidRPr="00EB5DD8">
        <w:rPr>
          <w:color w:val="000000"/>
        </w:rPr>
        <w:t xml:space="preserve">Project 841819 in the MMMF </w:t>
      </w:r>
      <w:r>
        <w:rPr>
          <w:color w:val="000000"/>
        </w:rPr>
        <w:t>P</w:t>
      </w:r>
      <w:r w:rsidRPr="00EB5DD8">
        <w:rPr>
          <w:color w:val="000000"/>
        </w:rPr>
        <w:t>rogram had 46,837 kWh</w:t>
      </w:r>
      <w:r>
        <w:rPr>
          <w:color w:val="000000"/>
        </w:rPr>
        <w:t>/yr</w:t>
      </w:r>
      <w:r w:rsidRPr="00EB5DD8">
        <w:rPr>
          <w:color w:val="000000"/>
        </w:rPr>
        <w:t xml:space="preserve"> in the </w:t>
      </w:r>
      <w:r>
        <w:rPr>
          <w:color w:val="000000"/>
        </w:rPr>
        <w:t>t</w:t>
      </w:r>
      <w:r w:rsidRPr="00EB5DD8">
        <w:rPr>
          <w:color w:val="000000"/>
        </w:rPr>
        <w:t>racker but either 35,043 kWh</w:t>
      </w:r>
      <w:r>
        <w:rPr>
          <w:color w:val="000000"/>
        </w:rPr>
        <w:t>/yr</w:t>
      </w:r>
      <w:r w:rsidRPr="00EB5DD8">
        <w:rPr>
          <w:color w:val="000000"/>
        </w:rPr>
        <w:t xml:space="preserve"> or 51,086 kWh</w:t>
      </w:r>
      <w:r>
        <w:rPr>
          <w:color w:val="000000"/>
        </w:rPr>
        <w:t>/yr</w:t>
      </w:r>
      <w:r w:rsidRPr="00EB5DD8">
        <w:rPr>
          <w:color w:val="000000"/>
        </w:rPr>
        <w:t xml:space="preserve"> in </w:t>
      </w:r>
      <w:r>
        <w:rPr>
          <w:color w:val="000000"/>
        </w:rPr>
        <w:t>the b</w:t>
      </w:r>
      <w:r w:rsidRPr="00EB5DD8">
        <w:rPr>
          <w:color w:val="000000"/>
        </w:rPr>
        <w:t>undle</w:t>
      </w:r>
      <w:r>
        <w:rPr>
          <w:color w:val="000000"/>
        </w:rPr>
        <w:t>,</w:t>
      </w:r>
      <w:r w:rsidRPr="00EB5DD8">
        <w:rPr>
          <w:color w:val="000000"/>
        </w:rPr>
        <w:t xml:space="preserve"> depending on the section. The SWE was unable to square the Appendix C calculator and the </w:t>
      </w:r>
      <w:r>
        <w:rPr>
          <w:color w:val="000000"/>
        </w:rPr>
        <w:t>b</w:t>
      </w:r>
      <w:r w:rsidRPr="00EB5DD8">
        <w:rPr>
          <w:color w:val="000000"/>
        </w:rPr>
        <w:t>undle</w:t>
      </w:r>
      <w:r>
        <w:rPr>
          <w:color w:val="000000"/>
        </w:rPr>
        <w:t>-</w:t>
      </w:r>
      <w:r w:rsidRPr="00EB5DD8">
        <w:rPr>
          <w:color w:val="000000"/>
        </w:rPr>
        <w:t>reported savings with the savings in the tracking database.</w:t>
      </w:r>
      <w:r>
        <w:rPr>
          <w:color w:val="000000"/>
        </w:rPr>
        <w:t xml:space="preserve"> After consulting with PPL, they noted that the savings in the tracker were correct and the bundle was incorrect. </w:t>
      </w:r>
      <w:r w:rsidRPr="00953E17">
        <w:rPr>
          <w:color w:val="000000"/>
        </w:rPr>
        <w:t>Th</w:t>
      </w:r>
      <w:r>
        <w:rPr>
          <w:color w:val="000000"/>
        </w:rPr>
        <w:t>e</w:t>
      </w:r>
      <w:r w:rsidRPr="00953E17">
        <w:rPr>
          <w:color w:val="000000"/>
        </w:rPr>
        <w:t xml:space="preserve"> discrepancy </w:t>
      </w:r>
      <w:r>
        <w:rPr>
          <w:color w:val="000000"/>
        </w:rPr>
        <w:t xml:space="preserve">in the Appendix C calculator </w:t>
      </w:r>
      <w:r w:rsidRPr="00953E17">
        <w:rPr>
          <w:color w:val="000000"/>
        </w:rPr>
        <w:t>is due to the implementer using 13.5W</w:t>
      </w:r>
      <w:r>
        <w:rPr>
          <w:color w:val="000000"/>
        </w:rPr>
        <w:t xml:space="preserve"> </w:t>
      </w:r>
      <w:r w:rsidRPr="00953E17">
        <w:rPr>
          <w:color w:val="000000"/>
        </w:rPr>
        <w:t>as the installed wattage for the Front White Cylinder S</w:t>
      </w:r>
      <w:r>
        <w:rPr>
          <w:color w:val="000000"/>
        </w:rPr>
        <w:t>conces in EEMIS instead of 14 W</w:t>
      </w:r>
      <w:r w:rsidRPr="00953E17">
        <w:rPr>
          <w:color w:val="000000"/>
        </w:rPr>
        <w:t>.</w:t>
      </w:r>
    </w:p>
    <w:p w:rsidR="00B5775F" w:rsidRPr="00EB5DD8" w:rsidRDefault="00B5775F" w:rsidP="00B5775F">
      <w:pPr>
        <w:rPr>
          <w:color w:val="000000"/>
        </w:rPr>
      </w:pPr>
    </w:p>
    <w:p w:rsidR="00B5775F" w:rsidRPr="00EB5DD8" w:rsidRDefault="00B5775F" w:rsidP="0055598C">
      <w:pPr>
        <w:pStyle w:val="AppendixAHeading4"/>
        <w:rPr>
          <w:rFonts w:eastAsia="Calibri"/>
        </w:rPr>
      </w:pPr>
      <w:bookmarkStart w:id="1307" w:name="_Toc408557479"/>
      <w:bookmarkStart w:id="1308" w:name="_Ref440444471"/>
      <w:r w:rsidRPr="00EB5DD8">
        <w:rPr>
          <w:rFonts w:eastAsia="Calibri"/>
        </w:rPr>
        <w:t>Sample Design Review</w:t>
      </w:r>
      <w:bookmarkEnd w:id="1307"/>
      <w:bookmarkEnd w:id="1308"/>
    </w:p>
    <w:p w:rsidR="00B5775F" w:rsidRPr="00EB5DD8" w:rsidRDefault="00B5775F" w:rsidP="00B5775F">
      <w:r w:rsidRPr="00466333">
        <w:t>PPL’s</w:t>
      </w:r>
      <w:r w:rsidRPr="00EB5DD8">
        <w:t xml:space="preserve"> PY7 annual report provides detailed information about the sample design and selection for the PY7 gross impact evaluation of non-residential programs. Four PPL non-residential programs reported savings in PY7: Custom Incentive Program, Master Metered Low-Income Multifamily Housing </w:t>
      </w:r>
      <w:r>
        <w:t>P</w:t>
      </w:r>
      <w:r w:rsidRPr="00EB5DD8">
        <w:t xml:space="preserve">rogram, Prescriptive Equipment Program (includes lighting and non-lighting strata), and Continuous Energy Improvement Program. </w:t>
      </w:r>
    </w:p>
    <w:p w:rsidR="00B5775F" w:rsidRPr="00EB5DD8" w:rsidRDefault="00B5775F" w:rsidP="00B5775F"/>
    <w:p w:rsidR="00B5775F" w:rsidRPr="00EB5DD8" w:rsidRDefault="00B5775F" w:rsidP="008C7396">
      <w:pPr>
        <w:pStyle w:val="AppendixAHeading5"/>
      </w:pPr>
      <w:r w:rsidRPr="00EB5DD8">
        <w:t>Custom Incentive Program</w:t>
      </w:r>
    </w:p>
    <w:p w:rsidR="00B5775F" w:rsidRPr="00EB5DD8" w:rsidRDefault="00B5775F" w:rsidP="00B5775F">
      <w:r w:rsidRPr="00EB5DD8">
        <w:t xml:space="preserve">The Custom Incentive Program offers financial incentives to customers for installing extensive energy efficiency projects, retro-commissioning existing equipment, making repairs, optimizing equipment, or installing equipment measures or systems not covered by the Prescriptive Equipment Program or the TRM. A threshold of 500,000 kWh/year savings was used to delineate the small and large strata for the </w:t>
      </w:r>
      <w:r>
        <w:t>p</w:t>
      </w:r>
      <w:r w:rsidRPr="00EB5DD8">
        <w:t>rogram. The large stratum ha</w:t>
      </w:r>
      <w:r>
        <w:t>d</w:t>
      </w:r>
      <w:r w:rsidRPr="00EB5DD8">
        <w:t xml:space="preserve"> 18 projects in PY7, and these were evaluated at a high level of rigor with pre-installment measurements. The sampling strategy of this program is presented in </w:t>
      </w:r>
      <w:r w:rsidRPr="00EB5DD8">
        <w:fldChar w:fldCharType="begin"/>
      </w:r>
      <w:r w:rsidRPr="00EB5DD8">
        <w:instrText xml:space="preserve"> REF _Ref440269090 \h  \* MERGEFORMAT </w:instrText>
      </w:r>
      <w:r w:rsidRPr="00EB5DD8">
        <w:fldChar w:fldCharType="separate"/>
      </w:r>
      <w:r w:rsidR="00037CB4" w:rsidRPr="00EB5DD8">
        <w:t>Table A-</w:t>
      </w:r>
      <w:r w:rsidR="00037CB4">
        <w:t>144</w:t>
      </w:r>
      <w:r w:rsidRPr="00EB5DD8">
        <w:fldChar w:fldCharType="end"/>
      </w:r>
      <w:r w:rsidRPr="00EB5DD8">
        <w:t>.</w:t>
      </w:r>
    </w:p>
    <w:p w:rsidR="00B5775F" w:rsidRPr="00EB5DD8" w:rsidRDefault="00B5775F" w:rsidP="00B5775F"/>
    <w:p w:rsidR="00B5775F" w:rsidRPr="00EB5DD8" w:rsidRDefault="00B5775F" w:rsidP="004837FA">
      <w:pPr>
        <w:pStyle w:val="Caption"/>
      </w:pPr>
      <w:bookmarkStart w:id="1309" w:name="_Ref440269090"/>
      <w:bookmarkStart w:id="1310" w:name="_Toc410199401"/>
      <w:bookmarkStart w:id="1311" w:name="_Toc431462383"/>
      <w:bookmarkStart w:id="1312" w:name="_Toc444269911"/>
      <w:bookmarkStart w:id="1313" w:name="_Toc472472558"/>
      <w:bookmarkStart w:id="1314" w:name="_Toc488741972"/>
      <w:r w:rsidRPr="00EB5DD8">
        <w:t>Table A-</w:t>
      </w:r>
      <w:r w:rsidR="007973A4">
        <w:fldChar w:fldCharType="begin"/>
      </w:r>
      <w:r w:rsidR="007973A4">
        <w:instrText xml:space="preserve"> SEQ Table_A- \* ARABIC </w:instrText>
      </w:r>
      <w:r w:rsidR="007973A4">
        <w:fldChar w:fldCharType="separate"/>
      </w:r>
      <w:r w:rsidR="00037CB4">
        <w:rPr>
          <w:noProof/>
        </w:rPr>
        <w:t>144</w:t>
      </w:r>
      <w:r w:rsidR="007973A4">
        <w:rPr>
          <w:noProof/>
        </w:rPr>
        <w:fldChar w:fldCharType="end"/>
      </w:r>
      <w:bookmarkEnd w:id="1309"/>
      <w:r w:rsidRPr="00EB5DD8">
        <w:t>: PPL’s PY7 Sampling Strategy – Custom Incentive Program</w:t>
      </w:r>
      <w:bookmarkEnd w:id="1310"/>
      <w:bookmarkEnd w:id="1311"/>
      <w:bookmarkEnd w:id="1312"/>
      <w:bookmarkEnd w:id="1313"/>
      <w:bookmarkEnd w:id="1314"/>
    </w:p>
    <w:tbl>
      <w:tblPr>
        <w:tblW w:w="9341"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71"/>
        <w:gridCol w:w="2094"/>
        <w:gridCol w:w="2094"/>
        <w:gridCol w:w="1611"/>
        <w:gridCol w:w="1771"/>
      </w:tblGrid>
      <w:tr w:rsidR="00A874AC" w:rsidRPr="00A763FD" w:rsidTr="004B4B06">
        <w:trPr>
          <w:trHeight w:val="808"/>
        </w:trPr>
        <w:tc>
          <w:tcPr>
            <w:tcW w:w="1771" w:type="dxa"/>
            <w:shd w:val="clear" w:color="000000" w:fill="448A99"/>
            <w:vAlign w:val="bottom"/>
            <w:hideMark/>
          </w:tcPr>
          <w:p w:rsidR="00B5775F" w:rsidRPr="00A763FD" w:rsidRDefault="00B5775F" w:rsidP="008D7800">
            <w:pPr>
              <w:jc w:val="left"/>
              <w:rPr>
                <w:b/>
                <w:bCs/>
                <w:color w:val="FFFFFF"/>
                <w:sz w:val="19"/>
                <w:szCs w:val="19"/>
              </w:rPr>
            </w:pPr>
            <w:r w:rsidRPr="00A763FD">
              <w:rPr>
                <w:b/>
                <w:bCs/>
                <w:color w:val="FFFFFF"/>
                <w:sz w:val="19"/>
                <w:szCs w:val="19"/>
              </w:rPr>
              <w:t>Stratum</w:t>
            </w:r>
          </w:p>
        </w:tc>
        <w:tc>
          <w:tcPr>
            <w:tcW w:w="2094"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Population</w:t>
            </w:r>
          </w:p>
        </w:tc>
        <w:tc>
          <w:tcPr>
            <w:tcW w:w="2094"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Target Levels of Confidence &amp; Precision</w:t>
            </w:r>
          </w:p>
        </w:tc>
        <w:tc>
          <w:tcPr>
            <w:tcW w:w="1611"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Target Sample Size</w:t>
            </w:r>
          </w:p>
        </w:tc>
        <w:tc>
          <w:tcPr>
            <w:tcW w:w="1771"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Achieved Sample Size</w:t>
            </w:r>
          </w:p>
        </w:tc>
      </w:tr>
      <w:tr w:rsidR="00A874AC" w:rsidRPr="00A763FD" w:rsidTr="004B4B06">
        <w:trPr>
          <w:trHeight w:val="350"/>
        </w:trPr>
        <w:tc>
          <w:tcPr>
            <w:tcW w:w="1771" w:type="dxa"/>
            <w:shd w:val="clear" w:color="000000" w:fill="D2EAF1"/>
            <w:noWrap/>
            <w:vAlign w:val="center"/>
          </w:tcPr>
          <w:p w:rsidR="00B5775F" w:rsidRPr="00A763FD" w:rsidRDefault="00B5775F" w:rsidP="008D7800">
            <w:pPr>
              <w:jc w:val="left"/>
              <w:rPr>
                <w:bCs/>
                <w:color w:val="000000"/>
                <w:sz w:val="19"/>
                <w:szCs w:val="19"/>
              </w:rPr>
            </w:pPr>
            <w:r w:rsidRPr="00A763FD">
              <w:rPr>
                <w:bCs/>
                <w:color w:val="000000"/>
                <w:sz w:val="19"/>
                <w:szCs w:val="19"/>
              </w:rPr>
              <w:t>Small</w:t>
            </w:r>
          </w:p>
        </w:tc>
        <w:tc>
          <w:tcPr>
            <w:tcW w:w="2094"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64</w:t>
            </w:r>
          </w:p>
        </w:tc>
        <w:tc>
          <w:tcPr>
            <w:tcW w:w="2094"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85%/15%</w:t>
            </w:r>
          </w:p>
        </w:tc>
        <w:tc>
          <w:tcPr>
            <w:tcW w:w="1611"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10</w:t>
            </w:r>
          </w:p>
        </w:tc>
        <w:tc>
          <w:tcPr>
            <w:tcW w:w="1771"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10</w:t>
            </w:r>
          </w:p>
        </w:tc>
      </w:tr>
      <w:tr w:rsidR="00B5775F" w:rsidRPr="00A763FD" w:rsidTr="00FD03DC">
        <w:trPr>
          <w:trHeight w:val="350"/>
        </w:trPr>
        <w:tc>
          <w:tcPr>
            <w:tcW w:w="1771" w:type="dxa"/>
            <w:shd w:val="clear" w:color="auto" w:fill="auto"/>
            <w:noWrap/>
            <w:vAlign w:val="center"/>
          </w:tcPr>
          <w:p w:rsidR="00B5775F" w:rsidRPr="00A763FD" w:rsidRDefault="00B5775F" w:rsidP="008D7800">
            <w:pPr>
              <w:jc w:val="left"/>
              <w:rPr>
                <w:bCs/>
                <w:color w:val="000000"/>
                <w:sz w:val="19"/>
                <w:szCs w:val="19"/>
              </w:rPr>
            </w:pPr>
            <w:r w:rsidRPr="00A763FD">
              <w:rPr>
                <w:bCs/>
                <w:color w:val="000000"/>
                <w:sz w:val="19"/>
                <w:szCs w:val="19"/>
              </w:rPr>
              <w:t>Large</w:t>
            </w:r>
          </w:p>
        </w:tc>
        <w:tc>
          <w:tcPr>
            <w:tcW w:w="2094"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18 (all projects in large stratum)</w:t>
            </w:r>
          </w:p>
        </w:tc>
        <w:tc>
          <w:tcPr>
            <w:tcW w:w="2094"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N/A</w:t>
            </w:r>
          </w:p>
        </w:tc>
        <w:tc>
          <w:tcPr>
            <w:tcW w:w="1611"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18</w:t>
            </w:r>
          </w:p>
        </w:tc>
        <w:tc>
          <w:tcPr>
            <w:tcW w:w="1771"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18</w:t>
            </w:r>
          </w:p>
        </w:tc>
      </w:tr>
      <w:tr w:rsidR="00A874AC" w:rsidRPr="00A763FD" w:rsidTr="004B4B06">
        <w:trPr>
          <w:trHeight w:val="350"/>
        </w:trPr>
        <w:tc>
          <w:tcPr>
            <w:tcW w:w="1771" w:type="dxa"/>
            <w:shd w:val="clear" w:color="000000" w:fill="D2EAF1"/>
            <w:vAlign w:val="center"/>
          </w:tcPr>
          <w:p w:rsidR="00B5775F" w:rsidRPr="00A763FD" w:rsidRDefault="00B5775F" w:rsidP="008D7800">
            <w:pPr>
              <w:jc w:val="left"/>
              <w:rPr>
                <w:b/>
                <w:bCs/>
                <w:color w:val="000000"/>
                <w:sz w:val="19"/>
                <w:szCs w:val="19"/>
              </w:rPr>
            </w:pPr>
            <w:r w:rsidRPr="00A763FD">
              <w:rPr>
                <w:b/>
                <w:bCs/>
                <w:color w:val="000000"/>
                <w:sz w:val="19"/>
                <w:szCs w:val="19"/>
              </w:rPr>
              <w:t>Program Total</w:t>
            </w:r>
          </w:p>
        </w:tc>
        <w:tc>
          <w:tcPr>
            <w:tcW w:w="2094" w:type="dxa"/>
            <w:shd w:val="clear" w:color="000000" w:fill="D2EAF1"/>
            <w:noWrap/>
            <w:vAlign w:val="center"/>
          </w:tcPr>
          <w:p w:rsidR="00B5775F" w:rsidRPr="00A763FD" w:rsidRDefault="00B5775F" w:rsidP="008D7800">
            <w:pPr>
              <w:jc w:val="center"/>
              <w:rPr>
                <w:b/>
                <w:bCs/>
                <w:color w:val="000000"/>
                <w:sz w:val="19"/>
                <w:szCs w:val="19"/>
              </w:rPr>
            </w:pPr>
            <w:r w:rsidRPr="00A763FD">
              <w:rPr>
                <w:b/>
                <w:sz w:val="19"/>
                <w:szCs w:val="19"/>
              </w:rPr>
              <w:t>82</w:t>
            </w:r>
          </w:p>
        </w:tc>
        <w:tc>
          <w:tcPr>
            <w:tcW w:w="2094" w:type="dxa"/>
            <w:shd w:val="clear" w:color="000000" w:fill="D2EAF1"/>
            <w:noWrap/>
            <w:vAlign w:val="center"/>
          </w:tcPr>
          <w:p w:rsidR="00B5775F" w:rsidRPr="00A763FD" w:rsidRDefault="00B5775F" w:rsidP="008D7800">
            <w:pPr>
              <w:jc w:val="center"/>
              <w:rPr>
                <w:b/>
                <w:bCs/>
                <w:color w:val="000000"/>
                <w:sz w:val="19"/>
                <w:szCs w:val="19"/>
              </w:rPr>
            </w:pPr>
            <w:r w:rsidRPr="00A763FD">
              <w:rPr>
                <w:b/>
                <w:bCs/>
                <w:color w:val="000000"/>
                <w:sz w:val="19"/>
                <w:szCs w:val="19"/>
              </w:rPr>
              <w:t>85%/15%</w:t>
            </w:r>
          </w:p>
        </w:tc>
        <w:tc>
          <w:tcPr>
            <w:tcW w:w="1611" w:type="dxa"/>
            <w:shd w:val="clear" w:color="000000" w:fill="D2EAF1"/>
            <w:noWrap/>
            <w:vAlign w:val="center"/>
          </w:tcPr>
          <w:p w:rsidR="00B5775F" w:rsidRPr="00A763FD" w:rsidRDefault="00B5775F" w:rsidP="008D7800">
            <w:pPr>
              <w:jc w:val="center"/>
              <w:rPr>
                <w:b/>
                <w:bCs/>
                <w:color w:val="000000"/>
                <w:sz w:val="19"/>
                <w:szCs w:val="19"/>
              </w:rPr>
            </w:pPr>
            <w:r w:rsidRPr="00A763FD">
              <w:rPr>
                <w:b/>
                <w:sz w:val="19"/>
                <w:szCs w:val="19"/>
              </w:rPr>
              <w:t>28</w:t>
            </w:r>
          </w:p>
        </w:tc>
        <w:tc>
          <w:tcPr>
            <w:tcW w:w="1771" w:type="dxa"/>
            <w:shd w:val="clear" w:color="000000" w:fill="D2EAF1"/>
            <w:noWrap/>
            <w:vAlign w:val="center"/>
          </w:tcPr>
          <w:p w:rsidR="00B5775F" w:rsidRPr="00A763FD" w:rsidRDefault="00B5775F" w:rsidP="008D7800">
            <w:pPr>
              <w:jc w:val="center"/>
              <w:rPr>
                <w:b/>
                <w:bCs/>
                <w:color w:val="000000"/>
                <w:sz w:val="19"/>
                <w:szCs w:val="19"/>
              </w:rPr>
            </w:pPr>
            <w:r w:rsidRPr="00A763FD">
              <w:rPr>
                <w:b/>
                <w:sz w:val="19"/>
                <w:szCs w:val="19"/>
              </w:rPr>
              <w:t>28</w:t>
            </w:r>
          </w:p>
        </w:tc>
      </w:tr>
    </w:tbl>
    <w:p w:rsidR="00B5775F" w:rsidRPr="00EB5DD8" w:rsidRDefault="00B5775F" w:rsidP="00B5775F"/>
    <w:p w:rsidR="00B5775F" w:rsidRPr="00EB5DD8" w:rsidRDefault="00B5775F" w:rsidP="00B5775F">
      <w:r w:rsidRPr="00EB5DD8">
        <w:t xml:space="preserve">The achieved precision values for energy and demand are listed in </w:t>
      </w:r>
      <w:r w:rsidRPr="00EB5DD8">
        <w:fldChar w:fldCharType="begin"/>
      </w:r>
      <w:r w:rsidRPr="00EB5DD8">
        <w:instrText xml:space="preserve"> REF _Ref440269121 \h  \* MERGEFORMAT </w:instrText>
      </w:r>
      <w:r w:rsidRPr="00EB5DD8">
        <w:fldChar w:fldCharType="separate"/>
      </w:r>
      <w:r w:rsidR="00037CB4" w:rsidRPr="00EB5DD8">
        <w:t>Table A-</w:t>
      </w:r>
      <w:r w:rsidR="00037CB4">
        <w:t>145</w:t>
      </w:r>
      <w:r w:rsidRPr="00EB5DD8">
        <w:fldChar w:fldCharType="end"/>
      </w:r>
      <w:r w:rsidRPr="00EB5DD8">
        <w:t>.</w:t>
      </w:r>
    </w:p>
    <w:p w:rsidR="00B5775F" w:rsidRDefault="00B5775F" w:rsidP="00B5775F"/>
    <w:p w:rsidR="004B4B06" w:rsidRDefault="004B4B06" w:rsidP="00B5775F"/>
    <w:p w:rsidR="004B4B06" w:rsidRDefault="004B4B06" w:rsidP="00B5775F"/>
    <w:p w:rsidR="004B4B06" w:rsidRDefault="004B4B06" w:rsidP="00B5775F"/>
    <w:p w:rsidR="004B4B06" w:rsidRDefault="004B4B06" w:rsidP="00B5775F"/>
    <w:p w:rsidR="004B4B06" w:rsidRDefault="004B4B06" w:rsidP="00B5775F"/>
    <w:p w:rsidR="00BC1E78" w:rsidRPr="00EB5DD8" w:rsidRDefault="00BC1E78" w:rsidP="00B5775F"/>
    <w:p w:rsidR="00B5775F" w:rsidRPr="00EB5DD8" w:rsidRDefault="00B5775F" w:rsidP="004837FA">
      <w:pPr>
        <w:pStyle w:val="Caption"/>
      </w:pPr>
      <w:bookmarkStart w:id="1315" w:name="_Ref440269121"/>
      <w:bookmarkStart w:id="1316" w:name="_Toc444269912"/>
      <w:bookmarkStart w:id="1317" w:name="_Toc472472559"/>
      <w:bookmarkStart w:id="1318" w:name="_Toc488741973"/>
      <w:r w:rsidRPr="00EB5DD8">
        <w:t>Table A-</w:t>
      </w:r>
      <w:r w:rsidR="007973A4">
        <w:fldChar w:fldCharType="begin"/>
      </w:r>
      <w:r w:rsidR="007973A4">
        <w:instrText xml:space="preserve"> SEQ Table_A- \* ARABIC </w:instrText>
      </w:r>
      <w:r w:rsidR="007973A4">
        <w:fldChar w:fldCharType="separate"/>
      </w:r>
      <w:r w:rsidR="00037CB4">
        <w:rPr>
          <w:noProof/>
        </w:rPr>
        <w:t>145</w:t>
      </w:r>
      <w:r w:rsidR="007973A4">
        <w:rPr>
          <w:noProof/>
        </w:rPr>
        <w:fldChar w:fldCharType="end"/>
      </w:r>
      <w:bookmarkEnd w:id="1315"/>
      <w:r w:rsidRPr="00EB5DD8">
        <w:t>: Observed Coefficients of Variation and Relative Precision – Custom Incentive Program</w:t>
      </w:r>
      <w:bookmarkEnd w:id="1316"/>
      <w:bookmarkEnd w:id="1317"/>
      <w:bookmarkEnd w:id="1318"/>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10"/>
        <w:gridCol w:w="2340"/>
        <w:gridCol w:w="1762"/>
        <w:gridCol w:w="2198"/>
        <w:gridCol w:w="1440"/>
      </w:tblGrid>
      <w:tr w:rsidR="00A874AC" w:rsidRPr="00A763FD" w:rsidTr="004B4B06">
        <w:trPr>
          <w:trHeight w:val="808"/>
          <w:tblHeader/>
        </w:trPr>
        <w:tc>
          <w:tcPr>
            <w:tcW w:w="1610" w:type="dxa"/>
            <w:shd w:val="clear" w:color="000000" w:fill="448A99"/>
            <w:vAlign w:val="bottom"/>
            <w:hideMark/>
          </w:tcPr>
          <w:p w:rsidR="00B5775F" w:rsidRPr="00A763FD" w:rsidRDefault="00B5775F" w:rsidP="008D7800">
            <w:pPr>
              <w:jc w:val="left"/>
              <w:rPr>
                <w:b/>
                <w:bCs/>
                <w:color w:val="FFFFFF"/>
                <w:sz w:val="19"/>
                <w:szCs w:val="19"/>
              </w:rPr>
            </w:pPr>
            <w:r w:rsidRPr="00A763FD">
              <w:rPr>
                <w:b/>
                <w:bCs/>
                <w:color w:val="FFFFFF"/>
                <w:sz w:val="19"/>
                <w:szCs w:val="19"/>
              </w:rPr>
              <w:t>Stratum</w:t>
            </w:r>
          </w:p>
        </w:tc>
        <w:tc>
          <w:tcPr>
            <w:tcW w:w="2340"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Observed Coefficient of Variation (C</w:t>
            </w:r>
            <w:r w:rsidRPr="00A763FD">
              <w:rPr>
                <w:b/>
                <w:bCs/>
                <w:color w:val="FFFFFF"/>
                <w:sz w:val="19"/>
                <w:szCs w:val="19"/>
                <w:vertAlign w:val="subscript"/>
              </w:rPr>
              <w:t>v</w:t>
            </w:r>
            <w:r w:rsidRPr="00A763FD">
              <w:rPr>
                <w:b/>
                <w:bCs/>
                <w:color w:val="FFFFFF"/>
                <w:sz w:val="19"/>
                <w:szCs w:val="19"/>
              </w:rPr>
              <w:t>) or Proportion in Sample Design for Energy</w:t>
            </w:r>
          </w:p>
        </w:tc>
        <w:tc>
          <w:tcPr>
            <w:tcW w:w="1762"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Relative Precision at 85% C.L. for Energy</w:t>
            </w:r>
          </w:p>
        </w:tc>
        <w:tc>
          <w:tcPr>
            <w:tcW w:w="2198"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Observed Coefficient of Variation (C</w:t>
            </w:r>
            <w:r w:rsidRPr="00A763FD">
              <w:rPr>
                <w:b/>
                <w:bCs/>
                <w:color w:val="FFFFFF"/>
                <w:sz w:val="19"/>
                <w:szCs w:val="19"/>
                <w:vertAlign w:val="subscript"/>
              </w:rPr>
              <w:t>v</w:t>
            </w:r>
            <w:r w:rsidRPr="00A763FD">
              <w:rPr>
                <w:b/>
                <w:bCs/>
                <w:color w:val="FFFFFF"/>
                <w:sz w:val="19"/>
                <w:szCs w:val="19"/>
              </w:rPr>
              <w:t>) or Proportion in Sample Design for Demand</w:t>
            </w:r>
          </w:p>
        </w:tc>
        <w:tc>
          <w:tcPr>
            <w:tcW w:w="1440"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Relative Precision at 85% C.L. for Demand</w:t>
            </w:r>
          </w:p>
        </w:tc>
      </w:tr>
      <w:tr w:rsidR="00A874AC" w:rsidRPr="00A763FD" w:rsidTr="004B4B06">
        <w:trPr>
          <w:trHeight w:val="346"/>
        </w:trPr>
        <w:tc>
          <w:tcPr>
            <w:tcW w:w="1610" w:type="dxa"/>
            <w:shd w:val="clear" w:color="000000" w:fill="D2EAF1"/>
            <w:noWrap/>
            <w:vAlign w:val="center"/>
          </w:tcPr>
          <w:p w:rsidR="00B5775F" w:rsidRPr="00A763FD" w:rsidRDefault="00B5775F" w:rsidP="008D7800">
            <w:pPr>
              <w:jc w:val="left"/>
              <w:rPr>
                <w:bCs/>
                <w:color w:val="000000"/>
                <w:sz w:val="19"/>
                <w:szCs w:val="19"/>
              </w:rPr>
            </w:pPr>
            <w:r w:rsidRPr="00A763FD">
              <w:rPr>
                <w:bCs/>
                <w:color w:val="000000"/>
                <w:sz w:val="19"/>
                <w:szCs w:val="19"/>
              </w:rPr>
              <w:t>Small</w:t>
            </w:r>
          </w:p>
        </w:tc>
        <w:tc>
          <w:tcPr>
            <w:tcW w:w="2340"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0.6271</w:t>
            </w:r>
          </w:p>
        </w:tc>
        <w:tc>
          <w:tcPr>
            <w:tcW w:w="1762"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28.67%</w:t>
            </w:r>
          </w:p>
        </w:tc>
        <w:tc>
          <w:tcPr>
            <w:tcW w:w="2198"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0.9018</w:t>
            </w:r>
          </w:p>
        </w:tc>
        <w:tc>
          <w:tcPr>
            <w:tcW w:w="1440"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41.23%</w:t>
            </w:r>
          </w:p>
        </w:tc>
      </w:tr>
      <w:tr w:rsidR="00B5775F" w:rsidRPr="00A763FD" w:rsidTr="00FD03DC">
        <w:trPr>
          <w:trHeight w:val="346"/>
        </w:trPr>
        <w:tc>
          <w:tcPr>
            <w:tcW w:w="1610" w:type="dxa"/>
            <w:shd w:val="clear" w:color="auto" w:fill="auto"/>
            <w:noWrap/>
            <w:vAlign w:val="center"/>
          </w:tcPr>
          <w:p w:rsidR="00B5775F" w:rsidRPr="00A763FD" w:rsidRDefault="00B5775F" w:rsidP="008D7800">
            <w:pPr>
              <w:jc w:val="left"/>
              <w:rPr>
                <w:bCs/>
                <w:color w:val="000000"/>
                <w:sz w:val="19"/>
                <w:szCs w:val="19"/>
              </w:rPr>
            </w:pPr>
            <w:r w:rsidRPr="00A763FD">
              <w:rPr>
                <w:bCs/>
                <w:color w:val="000000"/>
                <w:sz w:val="19"/>
                <w:szCs w:val="19"/>
              </w:rPr>
              <w:t>Large</w:t>
            </w:r>
          </w:p>
        </w:tc>
        <w:tc>
          <w:tcPr>
            <w:tcW w:w="2340"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0.0</w:t>
            </w:r>
          </w:p>
        </w:tc>
        <w:tc>
          <w:tcPr>
            <w:tcW w:w="1762"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0.0%</w:t>
            </w:r>
          </w:p>
        </w:tc>
        <w:tc>
          <w:tcPr>
            <w:tcW w:w="2198"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0.0</w:t>
            </w:r>
          </w:p>
        </w:tc>
        <w:tc>
          <w:tcPr>
            <w:tcW w:w="1440"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0.0%</w:t>
            </w:r>
          </w:p>
        </w:tc>
      </w:tr>
      <w:tr w:rsidR="00A874AC" w:rsidRPr="00A763FD" w:rsidTr="004B4B06">
        <w:trPr>
          <w:trHeight w:val="346"/>
        </w:trPr>
        <w:tc>
          <w:tcPr>
            <w:tcW w:w="1610" w:type="dxa"/>
            <w:shd w:val="clear" w:color="000000" w:fill="D2EAF1"/>
            <w:noWrap/>
            <w:vAlign w:val="center"/>
          </w:tcPr>
          <w:p w:rsidR="00B5775F" w:rsidRPr="00A763FD" w:rsidRDefault="00B5775F" w:rsidP="008D7800">
            <w:pPr>
              <w:jc w:val="left"/>
              <w:rPr>
                <w:bCs/>
                <w:color w:val="000000"/>
                <w:sz w:val="19"/>
                <w:szCs w:val="19"/>
              </w:rPr>
            </w:pPr>
            <w:r w:rsidRPr="00A763FD">
              <w:rPr>
                <w:b/>
                <w:bCs/>
                <w:color w:val="000000"/>
                <w:sz w:val="19"/>
                <w:szCs w:val="19"/>
              </w:rPr>
              <w:t>Program Total</w:t>
            </w:r>
          </w:p>
        </w:tc>
        <w:tc>
          <w:tcPr>
            <w:tcW w:w="2340" w:type="dxa"/>
            <w:shd w:val="clear" w:color="000000" w:fill="D2EAF1"/>
            <w:noWrap/>
            <w:vAlign w:val="center"/>
          </w:tcPr>
          <w:p w:rsidR="00B5775F" w:rsidRPr="00A763FD" w:rsidRDefault="00B5775F" w:rsidP="008D7800">
            <w:pPr>
              <w:jc w:val="center"/>
              <w:rPr>
                <w:color w:val="000000"/>
                <w:sz w:val="19"/>
                <w:szCs w:val="19"/>
              </w:rPr>
            </w:pPr>
          </w:p>
        </w:tc>
        <w:tc>
          <w:tcPr>
            <w:tcW w:w="1762" w:type="dxa"/>
            <w:shd w:val="clear" w:color="000000" w:fill="D2EAF1"/>
            <w:noWrap/>
            <w:vAlign w:val="center"/>
          </w:tcPr>
          <w:p w:rsidR="00B5775F" w:rsidRPr="00A763FD" w:rsidRDefault="00B5775F" w:rsidP="008D7800">
            <w:pPr>
              <w:jc w:val="center"/>
              <w:rPr>
                <w:b/>
                <w:color w:val="000000"/>
                <w:sz w:val="19"/>
                <w:szCs w:val="19"/>
              </w:rPr>
            </w:pPr>
            <w:r w:rsidRPr="00A763FD">
              <w:rPr>
                <w:b/>
                <w:color w:val="000000"/>
                <w:sz w:val="19"/>
                <w:szCs w:val="19"/>
              </w:rPr>
              <w:t>4.3%</w:t>
            </w:r>
          </w:p>
        </w:tc>
        <w:tc>
          <w:tcPr>
            <w:tcW w:w="2198" w:type="dxa"/>
            <w:shd w:val="clear" w:color="000000" w:fill="D2EAF1"/>
            <w:noWrap/>
            <w:vAlign w:val="center"/>
          </w:tcPr>
          <w:p w:rsidR="00B5775F" w:rsidRPr="00A763FD" w:rsidRDefault="00B5775F" w:rsidP="008D7800">
            <w:pPr>
              <w:jc w:val="center"/>
              <w:rPr>
                <w:b/>
                <w:color w:val="000000"/>
                <w:sz w:val="19"/>
                <w:szCs w:val="19"/>
              </w:rPr>
            </w:pPr>
          </w:p>
        </w:tc>
        <w:tc>
          <w:tcPr>
            <w:tcW w:w="1440" w:type="dxa"/>
            <w:shd w:val="clear" w:color="000000" w:fill="D2EAF1"/>
            <w:noWrap/>
            <w:vAlign w:val="center"/>
          </w:tcPr>
          <w:p w:rsidR="00B5775F" w:rsidRPr="00A763FD" w:rsidRDefault="00B5775F" w:rsidP="008D7800">
            <w:pPr>
              <w:jc w:val="center"/>
              <w:rPr>
                <w:b/>
                <w:color w:val="000000"/>
                <w:sz w:val="19"/>
                <w:szCs w:val="19"/>
              </w:rPr>
            </w:pPr>
            <w:r w:rsidRPr="00A763FD">
              <w:rPr>
                <w:b/>
                <w:color w:val="000000"/>
                <w:sz w:val="19"/>
                <w:szCs w:val="19"/>
              </w:rPr>
              <w:t>8.6%</w:t>
            </w:r>
          </w:p>
        </w:tc>
      </w:tr>
    </w:tbl>
    <w:p w:rsidR="00B5775F" w:rsidRPr="00EB5DD8" w:rsidRDefault="00B5775F" w:rsidP="00B5775F"/>
    <w:p w:rsidR="00B5775F" w:rsidRPr="00EB5DD8" w:rsidRDefault="00B5775F" w:rsidP="00B5775F">
      <w:r w:rsidRPr="00EB5DD8">
        <w:t xml:space="preserve">The achieved precision values of 4.3% for energy and 8.6% for demand at the 85% confidence level met the SWE Team requirements of 85/15 </w:t>
      </w:r>
      <w:r>
        <w:t xml:space="preserve">confidence/precision </w:t>
      </w:r>
      <w:r w:rsidRPr="00EB5DD8">
        <w:t xml:space="preserve">as specified in the Evaluation Framework. </w:t>
      </w:r>
    </w:p>
    <w:p w:rsidR="00B5775F" w:rsidRPr="00EB5DD8" w:rsidRDefault="00B5775F" w:rsidP="00B5775F"/>
    <w:p w:rsidR="00B5775F" w:rsidRPr="00EB5DD8" w:rsidRDefault="00B5775F" w:rsidP="008C7396">
      <w:pPr>
        <w:pStyle w:val="AppendixAHeading5"/>
      </w:pPr>
      <w:r w:rsidRPr="00EB5DD8">
        <w:t>Master Metered Low-Income Multifamily Housing (MMMF)</w:t>
      </w:r>
      <w:r>
        <w:t xml:space="preserve"> </w:t>
      </w:r>
      <w:r w:rsidRPr="00EB5DD8">
        <w:t xml:space="preserve">Program </w:t>
      </w:r>
    </w:p>
    <w:p w:rsidR="00B5775F" w:rsidRPr="00EB5DD8" w:rsidRDefault="00B5775F" w:rsidP="00B5775F">
      <w:r w:rsidRPr="00EB5DD8">
        <w:t>This is a new program that started at the beginning of Phase II. Twenty projects were selected</w:t>
      </w:r>
      <w:r>
        <w:t>,</w:t>
      </w:r>
      <w:r w:rsidRPr="00EB5DD8">
        <w:t xml:space="preserve"> from </w:t>
      </w:r>
      <w:r>
        <w:t>a</w:t>
      </w:r>
      <w:r w:rsidRPr="00EB5DD8">
        <w:t xml:space="preserve"> total population of 55 projects that were completed in PY7</w:t>
      </w:r>
      <w:r>
        <w:t>,</w:t>
      </w:r>
      <w:r w:rsidRPr="00EB5DD8">
        <w:t xml:space="preserve"> as samples for site visits and records review. The sample design targeted precision of +/</w:t>
      </w:r>
      <w:r>
        <w:t>–</w:t>
      </w:r>
      <w:r w:rsidRPr="00EB5DD8">
        <w:t xml:space="preserve">15% at the 85% confidence level. The detailed sampling strategy for the MMMF </w:t>
      </w:r>
      <w:r>
        <w:t xml:space="preserve">Program </w:t>
      </w:r>
      <w:r w:rsidRPr="00EB5DD8">
        <w:t xml:space="preserve">is shown in </w:t>
      </w:r>
      <w:r w:rsidRPr="00EB5DD8">
        <w:fldChar w:fldCharType="begin"/>
      </w:r>
      <w:r w:rsidRPr="00EB5DD8">
        <w:instrText xml:space="preserve"> REF _Ref440269171 \h  \* MERGEFORMAT </w:instrText>
      </w:r>
      <w:r w:rsidRPr="00EB5DD8">
        <w:fldChar w:fldCharType="separate"/>
      </w:r>
      <w:r w:rsidR="00037CB4" w:rsidRPr="00EB5DD8">
        <w:t>Table A-</w:t>
      </w:r>
      <w:r w:rsidR="00037CB4">
        <w:t>146</w:t>
      </w:r>
      <w:r w:rsidRPr="00EB5DD8">
        <w:fldChar w:fldCharType="end"/>
      </w:r>
      <w:r w:rsidRPr="00EB5DD8">
        <w:t>. During the evaluations from each of the strata listed below, Cadmus measured three specific program components: common area lighting, direct installation in apartments, and direct installation in common areas. EM&amp;V and precision calculations were reported for these program types.</w:t>
      </w:r>
    </w:p>
    <w:p w:rsidR="00B5775F" w:rsidRPr="00EB5DD8" w:rsidRDefault="00B5775F" w:rsidP="00B5775F"/>
    <w:p w:rsidR="00B5775F" w:rsidRPr="00EB5DD8" w:rsidRDefault="00B5775F" w:rsidP="004837FA">
      <w:pPr>
        <w:pStyle w:val="Caption"/>
      </w:pPr>
      <w:bookmarkStart w:id="1319" w:name="_Ref440269171"/>
      <w:bookmarkStart w:id="1320" w:name="_Toc410199402"/>
      <w:bookmarkStart w:id="1321" w:name="_Toc431462384"/>
      <w:bookmarkStart w:id="1322" w:name="_Toc444269913"/>
      <w:bookmarkStart w:id="1323" w:name="_Toc472472560"/>
      <w:bookmarkStart w:id="1324" w:name="_Toc488741974"/>
      <w:r w:rsidRPr="00EB5DD8">
        <w:t>Table A-</w:t>
      </w:r>
      <w:r w:rsidR="007973A4">
        <w:fldChar w:fldCharType="begin"/>
      </w:r>
      <w:r w:rsidR="007973A4">
        <w:instrText xml:space="preserve"> SEQ Table_A- \* ARABIC </w:instrText>
      </w:r>
      <w:r w:rsidR="007973A4">
        <w:fldChar w:fldCharType="separate"/>
      </w:r>
      <w:r w:rsidR="00037CB4">
        <w:rPr>
          <w:noProof/>
        </w:rPr>
        <w:t>146</w:t>
      </w:r>
      <w:r w:rsidR="007973A4">
        <w:rPr>
          <w:noProof/>
        </w:rPr>
        <w:fldChar w:fldCharType="end"/>
      </w:r>
      <w:bookmarkEnd w:id="1319"/>
      <w:r w:rsidRPr="00EB5DD8">
        <w:t>: PPL’s PY7 Sampling Strategy – MMMF Program</w:t>
      </w:r>
      <w:bookmarkEnd w:id="1320"/>
      <w:bookmarkEnd w:id="1321"/>
      <w:bookmarkEnd w:id="1322"/>
      <w:bookmarkEnd w:id="1323"/>
      <w:bookmarkEnd w:id="1324"/>
    </w:p>
    <w:tbl>
      <w:tblPr>
        <w:tblW w:w="9305"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00"/>
        <w:gridCol w:w="1620"/>
        <w:gridCol w:w="2520"/>
        <w:gridCol w:w="1980"/>
        <w:gridCol w:w="1485"/>
      </w:tblGrid>
      <w:tr w:rsidR="00A874AC" w:rsidRPr="00A763FD" w:rsidTr="004B4B06">
        <w:trPr>
          <w:trHeight w:val="475"/>
        </w:trPr>
        <w:tc>
          <w:tcPr>
            <w:tcW w:w="1700" w:type="dxa"/>
            <w:shd w:val="clear" w:color="000000" w:fill="448A99"/>
            <w:vAlign w:val="bottom"/>
            <w:hideMark/>
          </w:tcPr>
          <w:p w:rsidR="00B5775F" w:rsidRPr="00A763FD" w:rsidRDefault="00B5775F" w:rsidP="008D7800">
            <w:pPr>
              <w:jc w:val="left"/>
              <w:rPr>
                <w:b/>
                <w:bCs/>
                <w:color w:val="FFFFFF"/>
                <w:sz w:val="19"/>
                <w:szCs w:val="19"/>
              </w:rPr>
            </w:pPr>
            <w:r w:rsidRPr="00A763FD">
              <w:rPr>
                <w:b/>
                <w:bCs/>
                <w:color w:val="FFFFFF"/>
                <w:sz w:val="19"/>
                <w:szCs w:val="19"/>
              </w:rPr>
              <w:t>Stratum</w:t>
            </w:r>
          </w:p>
        </w:tc>
        <w:tc>
          <w:tcPr>
            <w:tcW w:w="1620"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Population</w:t>
            </w:r>
          </w:p>
        </w:tc>
        <w:tc>
          <w:tcPr>
            <w:tcW w:w="2520"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Target Levels of Confidence &amp; Precision</w:t>
            </w:r>
          </w:p>
        </w:tc>
        <w:tc>
          <w:tcPr>
            <w:tcW w:w="1980"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Target Sample Size</w:t>
            </w:r>
          </w:p>
        </w:tc>
        <w:tc>
          <w:tcPr>
            <w:tcW w:w="1485"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Achieved Sample Size</w:t>
            </w:r>
          </w:p>
        </w:tc>
      </w:tr>
      <w:tr w:rsidR="00B5775F" w:rsidRPr="00A763FD" w:rsidTr="00FD03DC">
        <w:trPr>
          <w:trHeight w:val="346"/>
        </w:trPr>
        <w:tc>
          <w:tcPr>
            <w:tcW w:w="1700" w:type="dxa"/>
            <w:shd w:val="clear" w:color="auto" w:fill="auto"/>
            <w:noWrap/>
            <w:vAlign w:val="center"/>
          </w:tcPr>
          <w:p w:rsidR="00B5775F" w:rsidRPr="00A763FD" w:rsidRDefault="00B5775F" w:rsidP="008D7800">
            <w:pPr>
              <w:jc w:val="left"/>
              <w:rPr>
                <w:bCs/>
                <w:color w:val="000000"/>
                <w:sz w:val="19"/>
                <w:szCs w:val="19"/>
              </w:rPr>
            </w:pPr>
            <w:r w:rsidRPr="00A763FD">
              <w:rPr>
                <w:bCs/>
                <w:color w:val="000000"/>
                <w:sz w:val="19"/>
                <w:szCs w:val="19"/>
              </w:rPr>
              <w:t>Multifamily</w:t>
            </w:r>
          </w:p>
        </w:tc>
        <w:tc>
          <w:tcPr>
            <w:tcW w:w="1620"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41</w:t>
            </w:r>
          </w:p>
        </w:tc>
        <w:tc>
          <w:tcPr>
            <w:tcW w:w="2520"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85%/15%</w:t>
            </w:r>
          </w:p>
        </w:tc>
        <w:tc>
          <w:tcPr>
            <w:tcW w:w="1980"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10</w:t>
            </w:r>
          </w:p>
        </w:tc>
        <w:tc>
          <w:tcPr>
            <w:tcW w:w="1485"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10</w:t>
            </w:r>
          </w:p>
        </w:tc>
      </w:tr>
      <w:tr w:rsidR="00A874AC" w:rsidRPr="00A763FD" w:rsidTr="004B4B06">
        <w:trPr>
          <w:trHeight w:val="346"/>
        </w:trPr>
        <w:tc>
          <w:tcPr>
            <w:tcW w:w="1700" w:type="dxa"/>
            <w:shd w:val="clear" w:color="000000" w:fill="D2EAF1"/>
            <w:noWrap/>
            <w:vAlign w:val="center"/>
          </w:tcPr>
          <w:p w:rsidR="00B5775F" w:rsidRPr="00A763FD" w:rsidRDefault="00B5775F" w:rsidP="008D7800">
            <w:pPr>
              <w:jc w:val="left"/>
              <w:rPr>
                <w:bCs/>
                <w:color w:val="000000"/>
                <w:sz w:val="19"/>
                <w:szCs w:val="19"/>
              </w:rPr>
            </w:pPr>
            <w:r w:rsidRPr="00A763FD">
              <w:rPr>
                <w:bCs/>
                <w:color w:val="000000"/>
                <w:sz w:val="19"/>
                <w:szCs w:val="19"/>
              </w:rPr>
              <w:t>Nursing homes</w:t>
            </w:r>
          </w:p>
        </w:tc>
        <w:tc>
          <w:tcPr>
            <w:tcW w:w="1620"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14</w:t>
            </w:r>
          </w:p>
        </w:tc>
        <w:tc>
          <w:tcPr>
            <w:tcW w:w="2520"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85%/15%</w:t>
            </w:r>
          </w:p>
        </w:tc>
        <w:tc>
          <w:tcPr>
            <w:tcW w:w="1980"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10</w:t>
            </w:r>
          </w:p>
        </w:tc>
        <w:tc>
          <w:tcPr>
            <w:tcW w:w="1485"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10</w:t>
            </w:r>
          </w:p>
        </w:tc>
      </w:tr>
      <w:tr w:rsidR="00B5775F" w:rsidRPr="00A763FD" w:rsidTr="00FD03DC">
        <w:trPr>
          <w:trHeight w:val="346"/>
        </w:trPr>
        <w:tc>
          <w:tcPr>
            <w:tcW w:w="1700" w:type="dxa"/>
            <w:shd w:val="clear" w:color="auto" w:fill="auto"/>
            <w:noWrap/>
            <w:vAlign w:val="center"/>
          </w:tcPr>
          <w:p w:rsidR="00B5775F" w:rsidRPr="00A763FD" w:rsidRDefault="00B5775F" w:rsidP="008D7800">
            <w:pPr>
              <w:jc w:val="left"/>
              <w:rPr>
                <w:b/>
                <w:bCs/>
                <w:color w:val="000000"/>
                <w:sz w:val="19"/>
                <w:szCs w:val="19"/>
              </w:rPr>
            </w:pPr>
            <w:r w:rsidRPr="00A763FD">
              <w:rPr>
                <w:b/>
                <w:bCs/>
                <w:color w:val="000000"/>
                <w:sz w:val="19"/>
                <w:szCs w:val="19"/>
              </w:rPr>
              <w:t>Program Total</w:t>
            </w:r>
          </w:p>
        </w:tc>
        <w:tc>
          <w:tcPr>
            <w:tcW w:w="1620" w:type="dxa"/>
            <w:shd w:val="clear" w:color="auto" w:fill="auto"/>
            <w:noWrap/>
            <w:vAlign w:val="center"/>
          </w:tcPr>
          <w:p w:rsidR="00B5775F" w:rsidRPr="00A763FD" w:rsidRDefault="00B5775F" w:rsidP="008D7800">
            <w:pPr>
              <w:jc w:val="center"/>
              <w:rPr>
                <w:b/>
                <w:bCs/>
                <w:color w:val="000000"/>
                <w:sz w:val="19"/>
                <w:szCs w:val="19"/>
              </w:rPr>
            </w:pPr>
            <w:r w:rsidRPr="00A763FD">
              <w:rPr>
                <w:b/>
                <w:bCs/>
                <w:color w:val="000000"/>
                <w:sz w:val="19"/>
                <w:szCs w:val="19"/>
              </w:rPr>
              <w:t>55</w:t>
            </w:r>
          </w:p>
        </w:tc>
        <w:tc>
          <w:tcPr>
            <w:tcW w:w="2520" w:type="dxa"/>
            <w:shd w:val="clear" w:color="auto" w:fill="auto"/>
            <w:noWrap/>
            <w:vAlign w:val="center"/>
          </w:tcPr>
          <w:p w:rsidR="00B5775F" w:rsidRPr="00A763FD" w:rsidRDefault="00B5775F" w:rsidP="008D7800">
            <w:pPr>
              <w:jc w:val="center"/>
              <w:rPr>
                <w:b/>
                <w:bCs/>
                <w:color w:val="000000"/>
                <w:sz w:val="19"/>
                <w:szCs w:val="19"/>
              </w:rPr>
            </w:pPr>
            <w:r w:rsidRPr="00A763FD">
              <w:rPr>
                <w:b/>
                <w:bCs/>
                <w:color w:val="000000"/>
                <w:sz w:val="19"/>
                <w:szCs w:val="19"/>
              </w:rPr>
              <w:t>85%/15%</w:t>
            </w:r>
          </w:p>
        </w:tc>
        <w:tc>
          <w:tcPr>
            <w:tcW w:w="1980" w:type="dxa"/>
            <w:shd w:val="clear" w:color="auto" w:fill="auto"/>
            <w:noWrap/>
            <w:vAlign w:val="center"/>
          </w:tcPr>
          <w:p w:rsidR="00B5775F" w:rsidRPr="00A763FD" w:rsidRDefault="00B5775F" w:rsidP="008D7800">
            <w:pPr>
              <w:jc w:val="center"/>
              <w:rPr>
                <w:b/>
                <w:bCs/>
                <w:color w:val="000000"/>
                <w:sz w:val="19"/>
                <w:szCs w:val="19"/>
              </w:rPr>
            </w:pPr>
            <w:r w:rsidRPr="00A763FD">
              <w:rPr>
                <w:b/>
                <w:bCs/>
                <w:color w:val="000000"/>
                <w:sz w:val="19"/>
                <w:szCs w:val="19"/>
              </w:rPr>
              <w:t>20</w:t>
            </w:r>
          </w:p>
        </w:tc>
        <w:tc>
          <w:tcPr>
            <w:tcW w:w="1485" w:type="dxa"/>
            <w:shd w:val="clear" w:color="auto" w:fill="auto"/>
            <w:noWrap/>
            <w:vAlign w:val="center"/>
          </w:tcPr>
          <w:p w:rsidR="00B5775F" w:rsidRPr="00A763FD" w:rsidRDefault="00B5775F" w:rsidP="008D7800">
            <w:pPr>
              <w:jc w:val="center"/>
              <w:rPr>
                <w:b/>
                <w:bCs/>
                <w:color w:val="000000"/>
                <w:sz w:val="19"/>
                <w:szCs w:val="19"/>
              </w:rPr>
            </w:pPr>
            <w:r w:rsidRPr="00A763FD">
              <w:rPr>
                <w:b/>
                <w:bCs/>
                <w:color w:val="000000"/>
                <w:sz w:val="19"/>
                <w:szCs w:val="19"/>
              </w:rPr>
              <w:t>20</w:t>
            </w:r>
          </w:p>
        </w:tc>
      </w:tr>
    </w:tbl>
    <w:p w:rsidR="00B5775F" w:rsidRPr="00EB5DD8" w:rsidRDefault="00B5775F" w:rsidP="00B5775F"/>
    <w:p w:rsidR="00B5775F" w:rsidRPr="00EB5DD8" w:rsidRDefault="00B5775F" w:rsidP="00B5775F">
      <w:r w:rsidRPr="00EB5DD8">
        <w:t xml:space="preserve">The achieved precision values for energy and demand are listed in </w:t>
      </w:r>
      <w:r w:rsidRPr="00EB5DD8">
        <w:fldChar w:fldCharType="begin"/>
      </w:r>
      <w:r w:rsidRPr="00EB5DD8">
        <w:instrText xml:space="preserve"> REF _Ref440269203 \h  \* MERGEFORMAT </w:instrText>
      </w:r>
      <w:r w:rsidRPr="00EB5DD8">
        <w:fldChar w:fldCharType="separate"/>
      </w:r>
      <w:r w:rsidR="00037CB4" w:rsidRPr="00EB5DD8">
        <w:t>Table A-</w:t>
      </w:r>
      <w:r w:rsidR="00037CB4">
        <w:t>147</w:t>
      </w:r>
      <w:r w:rsidRPr="00EB5DD8">
        <w:fldChar w:fldCharType="end"/>
      </w:r>
      <w:r w:rsidRPr="00EB5DD8">
        <w:t>.</w:t>
      </w:r>
    </w:p>
    <w:p w:rsidR="00B5775F" w:rsidRPr="00EB5DD8" w:rsidRDefault="00B5775F" w:rsidP="00B5775F"/>
    <w:p w:rsidR="00B5775F" w:rsidRPr="00EB5DD8" w:rsidRDefault="00B5775F" w:rsidP="004837FA">
      <w:pPr>
        <w:pStyle w:val="Caption"/>
      </w:pPr>
      <w:bookmarkStart w:id="1325" w:name="_Ref440269203"/>
      <w:bookmarkStart w:id="1326" w:name="_Toc410199403"/>
      <w:bookmarkStart w:id="1327" w:name="_Toc431462385"/>
      <w:bookmarkStart w:id="1328" w:name="_Toc444269914"/>
      <w:bookmarkStart w:id="1329" w:name="_Toc472472561"/>
      <w:bookmarkStart w:id="1330" w:name="_Toc488741975"/>
      <w:r w:rsidRPr="00EB5DD8">
        <w:t>Table A-</w:t>
      </w:r>
      <w:r w:rsidR="007973A4">
        <w:fldChar w:fldCharType="begin"/>
      </w:r>
      <w:r w:rsidR="007973A4">
        <w:instrText xml:space="preserve"> SEQ Table_A- \* ARABIC </w:instrText>
      </w:r>
      <w:r w:rsidR="007973A4">
        <w:fldChar w:fldCharType="separate"/>
      </w:r>
      <w:r w:rsidR="00037CB4">
        <w:rPr>
          <w:noProof/>
        </w:rPr>
        <w:t>147</w:t>
      </w:r>
      <w:r w:rsidR="007973A4">
        <w:rPr>
          <w:noProof/>
        </w:rPr>
        <w:fldChar w:fldCharType="end"/>
      </w:r>
      <w:bookmarkEnd w:id="1325"/>
      <w:r w:rsidRPr="00EB5DD8">
        <w:t>: Observed Coefficients of Variation and Relative Precision – PPL’s MMMF Program</w:t>
      </w:r>
      <w:bookmarkEnd w:id="1326"/>
      <w:bookmarkEnd w:id="1327"/>
      <w:bookmarkEnd w:id="1328"/>
      <w:bookmarkEnd w:id="1329"/>
      <w:bookmarkEnd w:id="1330"/>
    </w:p>
    <w:tbl>
      <w:tblPr>
        <w:tblW w:w="9256"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80"/>
        <w:gridCol w:w="2070"/>
        <w:gridCol w:w="1658"/>
        <w:gridCol w:w="1980"/>
        <w:gridCol w:w="1568"/>
      </w:tblGrid>
      <w:tr w:rsidR="00A874AC" w:rsidRPr="00A763FD" w:rsidTr="004B4B06">
        <w:trPr>
          <w:trHeight w:val="1123"/>
          <w:tblHeader/>
        </w:trPr>
        <w:tc>
          <w:tcPr>
            <w:tcW w:w="1980" w:type="dxa"/>
            <w:shd w:val="clear" w:color="000000" w:fill="448A99"/>
            <w:vAlign w:val="bottom"/>
            <w:hideMark/>
          </w:tcPr>
          <w:p w:rsidR="00B5775F" w:rsidRPr="00A763FD" w:rsidRDefault="00B5775F" w:rsidP="004B4B06">
            <w:pPr>
              <w:jc w:val="left"/>
              <w:rPr>
                <w:b/>
                <w:bCs/>
                <w:color w:val="FFFFFF"/>
                <w:sz w:val="19"/>
                <w:szCs w:val="19"/>
              </w:rPr>
            </w:pPr>
            <w:r w:rsidRPr="00A763FD">
              <w:rPr>
                <w:b/>
                <w:bCs/>
                <w:color w:val="FFFFFF"/>
                <w:sz w:val="19"/>
                <w:szCs w:val="19"/>
              </w:rPr>
              <w:t>Stratum</w:t>
            </w:r>
          </w:p>
        </w:tc>
        <w:tc>
          <w:tcPr>
            <w:tcW w:w="2070"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Observed Coefficient of Variation (C</w:t>
            </w:r>
            <w:r w:rsidRPr="00A763FD">
              <w:rPr>
                <w:b/>
                <w:bCs/>
                <w:color w:val="FFFFFF"/>
                <w:sz w:val="19"/>
                <w:szCs w:val="19"/>
                <w:vertAlign w:val="subscript"/>
              </w:rPr>
              <w:t>v</w:t>
            </w:r>
            <w:r w:rsidRPr="00A763FD">
              <w:rPr>
                <w:b/>
                <w:bCs/>
                <w:color w:val="FFFFFF"/>
                <w:sz w:val="19"/>
                <w:szCs w:val="19"/>
              </w:rPr>
              <w:t>) or Proportion in Sample Design for Energy</w:t>
            </w:r>
          </w:p>
        </w:tc>
        <w:tc>
          <w:tcPr>
            <w:tcW w:w="1658"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Relative Precision at 85% C.L. for Energy</w:t>
            </w:r>
          </w:p>
        </w:tc>
        <w:tc>
          <w:tcPr>
            <w:tcW w:w="1980"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Observed Coefficient of Variation (C</w:t>
            </w:r>
            <w:r w:rsidRPr="00A763FD">
              <w:rPr>
                <w:b/>
                <w:bCs/>
                <w:color w:val="FFFFFF"/>
                <w:sz w:val="19"/>
                <w:szCs w:val="19"/>
                <w:vertAlign w:val="subscript"/>
              </w:rPr>
              <w:t>v</w:t>
            </w:r>
            <w:r w:rsidRPr="00A763FD">
              <w:rPr>
                <w:b/>
                <w:bCs/>
                <w:color w:val="FFFFFF"/>
                <w:sz w:val="19"/>
                <w:szCs w:val="19"/>
              </w:rPr>
              <w:t>) or Proportion in Sample Design for Demand</w:t>
            </w:r>
          </w:p>
        </w:tc>
        <w:tc>
          <w:tcPr>
            <w:tcW w:w="1568"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Relative Precision at 85% C.L. for Demand</w:t>
            </w:r>
          </w:p>
        </w:tc>
      </w:tr>
      <w:tr w:rsidR="00A874AC" w:rsidRPr="00A763FD" w:rsidTr="004B4B06">
        <w:trPr>
          <w:trHeight w:val="732"/>
        </w:trPr>
        <w:tc>
          <w:tcPr>
            <w:tcW w:w="1980" w:type="dxa"/>
            <w:shd w:val="clear" w:color="000000" w:fill="D2EAF1"/>
            <w:noWrap/>
            <w:vAlign w:val="center"/>
          </w:tcPr>
          <w:p w:rsidR="00B5775F" w:rsidRPr="00A763FD" w:rsidRDefault="00B5775F" w:rsidP="004B4B06">
            <w:pPr>
              <w:jc w:val="left"/>
              <w:rPr>
                <w:bCs/>
                <w:color w:val="000000"/>
                <w:sz w:val="19"/>
                <w:szCs w:val="19"/>
              </w:rPr>
            </w:pPr>
            <w:r w:rsidRPr="00A763FD">
              <w:rPr>
                <w:rFonts w:eastAsiaTheme="minorHAnsi" w:cs="Calibri"/>
                <w:sz w:val="19"/>
                <w:szCs w:val="19"/>
              </w:rPr>
              <w:t>Multifamily – common area lighting</w:t>
            </w:r>
          </w:p>
        </w:tc>
        <w:tc>
          <w:tcPr>
            <w:tcW w:w="2070"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0.0963</w:t>
            </w:r>
          </w:p>
        </w:tc>
        <w:tc>
          <w:tcPr>
            <w:tcW w:w="1658"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4.79%</w:t>
            </w:r>
          </w:p>
        </w:tc>
        <w:tc>
          <w:tcPr>
            <w:tcW w:w="1980"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0.3581</w:t>
            </w:r>
          </w:p>
        </w:tc>
        <w:tc>
          <w:tcPr>
            <w:tcW w:w="1568"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17.82%</w:t>
            </w:r>
          </w:p>
        </w:tc>
      </w:tr>
      <w:tr w:rsidR="00B5775F" w:rsidRPr="00A763FD" w:rsidTr="00FD03DC">
        <w:trPr>
          <w:trHeight w:val="732"/>
        </w:trPr>
        <w:tc>
          <w:tcPr>
            <w:tcW w:w="1980" w:type="dxa"/>
            <w:shd w:val="clear" w:color="auto" w:fill="auto"/>
            <w:noWrap/>
            <w:vAlign w:val="center"/>
          </w:tcPr>
          <w:p w:rsidR="00B5775F" w:rsidRPr="00A763FD" w:rsidRDefault="00B5775F" w:rsidP="004B4B06">
            <w:pPr>
              <w:jc w:val="left"/>
              <w:rPr>
                <w:bCs/>
                <w:color w:val="000000"/>
                <w:sz w:val="19"/>
                <w:szCs w:val="19"/>
              </w:rPr>
            </w:pPr>
            <w:r w:rsidRPr="00A763FD">
              <w:rPr>
                <w:rFonts w:eastAsiaTheme="minorHAnsi" w:cs="Calibri"/>
                <w:sz w:val="19"/>
                <w:szCs w:val="19"/>
              </w:rPr>
              <w:t>Multifamily – direct install – apartments</w:t>
            </w:r>
          </w:p>
        </w:tc>
        <w:tc>
          <w:tcPr>
            <w:tcW w:w="2070"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0.0456</w:t>
            </w:r>
          </w:p>
        </w:tc>
        <w:tc>
          <w:tcPr>
            <w:tcW w:w="1658"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2.84%</w:t>
            </w:r>
          </w:p>
        </w:tc>
        <w:tc>
          <w:tcPr>
            <w:tcW w:w="1980"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0.0427</w:t>
            </w:r>
          </w:p>
        </w:tc>
        <w:tc>
          <w:tcPr>
            <w:tcW w:w="1568"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2.67%</w:t>
            </w:r>
          </w:p>
        </w:tc>
      </w:tr>
      <w:tr w:rsidR="00A874AC" w:rsidRPr="00A763FD" w:rsidTr="004B4B06">
        <w:trPr>
          <w:trHeight w:val="732"/>
        </w:trPr>
        <w:tc>
          <w:tcPr>
            <w:tcW w:w="1980" w:type="dxa"/>
            <w:shd w:val="clear" w:color="000000" w:fill="D2EAF1"/>
            <w:noWrap/>
            <w:vAlign w:val="center"/>
          </w:tcPr>
          <w:p w:rsidR="00B5775F" w:rsidRPr="00A763FD" w:rsidRDefault="00B5775F" w:rsidP="004B4B06">
            <w:pPr>
              <w:jc w:val="left"/>
              <w:rPr>
                <w:bCs/>
                <w:color w:val="000000"/>
                <w:sz w:val="19"/>
                <w:szCs w:val="19"/>
              </w:rPr>
            </w:pPr>
            <w:r w:rsidRPr="00A763FD">
              <w:rPr>
                <w:rFonts w:eastAsiaTheme="minorHAnsi" w:cs="Calibri"/>
                <w:sz w:val="19"/>
                <w:szCs w:val="19"/>
              </w:rPr>
              <w:t>Multifamily – direct install – common areas</w:t>
            </w:r>
          </w:p>
        </w:tc>
        <w:tc>
          <w:tcPr>
            <w:tcW w:w="2070"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0.7603</w:t>
            </w:r>
          </w:p>
        </w:tc>
        <w:tc>
          <w:tcPr>
            <w:tcW w:w="1658"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73.15%</w:t>
            </w:r>
          </w:p>
        </w:tc>
        <w:tc>
          <w:tcPr>
            <w:tcW w:w="1980"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w:t>
            </w:r>
          </w:p>
        </w:tc>
        <w:tc>
          <w:tcPr>
            <w:tcW w:w="1568"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w:t>
            </w:r>
          </w:p>
        </w:tc>
      </w:tr>
      <w:tr w:rsidR="00B5775F" w:rsidRPr="00A763FD" w:rsidTr="00FD03DC">
        <w:trPr>
          <w:trHeight w:val="733"/>
        </w:trPr>
        <w:tc>
          <w:tcPr>
            <w:tcW w:w="1980" w:type="dxa"/>
            <w:shd w:val="clear" w:color="auto" w:fill="auto"/>
            <w:noWrap/>
            <w:vAlign w:val="center"/>
          </w:tcPr>
          <w:p w:rsidR="00B5775F" w:rsidRPr="00A763FD" w:rsidRDefault="00B5775F" w:rsidP="004B4B06">
            <w:pPr>
              <w:autoSpaceDE w:val="0"/>
              <w:autoSpaceDN w:val="0"/>
              <w:adjustRightInd w:val="0"/>
              <w:jc w:val="left"/>
              <w:rPr>
                <w:bCs/>
                <w:color w:val="000000"/>
                <w:sz w:val="19"/>
                <w:szCs w:val="19"/>
              </w:rPr>
            </w:pPr>
            <w:r w:rsidRPr="00A763FD">
              <w:rPr>
                <w:rFonts w:eastAsiaTheme="minorHAnsi" w:cs="Calibri"/>
                <w:sz w:val="19"/>
                <w:szCs w:val="19"/>
              </w:rPr>
              <w:t xml:space="preserve">Nursing home – common area lighting </w:t>
            </w:r>
          </w:p>
        </w:tc>
        <w:tc>
          <w:tcPr>
            <w:tcW w:w="2070" w:type="dxa"/>
            <w:shd w:val="clear" w:color="auto" w:fill="auto"/>
            <w:noWrap/>
            <w:vAlign w:val="center"/>
          </w:tcPr>
          <w:p w:rsidR="00B5775F" w:rsidRPr="00A763FD" w:rsidRDefault="00B5775F" w:rsidP="008D7800">
            <w:pPr>
              <w:jc w:val="center"/>
              <w:rPr>
                <w:bCs/>
                <w:color w:val="000000"/>
                <w:sz w:val="19"/>
                <w:szCs w:val="19"/>
              </w:rPr>
            </w:pPr>
            <w:r w:rsidRPr="00A763FD">
              <w:rPr>
                <w:sz w:val="19"/>
                <w:szCs w:val="19"/>
              </w:rPr>
              <w:t>0.3016</w:t>
            </w:r>
          </w:p>
        </w:tc>
        <w:tc>
          <w:tcPr>
            <w:tcW w:w="1658" w:type="dxa"/>
            <w:shd w:val="clear" w:color="auto" w:fill="auto"/>
            <w:noWrap/>
            <w:vAlign w:val="center"/>
          </w:tcPr>
          <w:p w:rsidR="00B5775F" w:rsidRPr="00A763FD" w:rsidRDefault="00B5775F" w:rsidP="008D7800">
            <w:pPr>
              <w:jc w:val="center"/>
              <w:rPr>
                <w:bCs/>
                <w:color w:val="000000"/>
                <w:sz w:val="19"/>
                <w:szCs w:val="19"/>
              </w:rPr>
            </w:pPr>
            <w:r w:rsidRPr="00A763FD">
              <w:rPr>
                <w:sz w:val="19"/>
                <w:szCs w:val="19"/>
              </w:rPr>
              <w:t>15.01%</w:t>
            </w:r>
          </w:p>
        </w:tc>
        <w:tc>
          <w:tcPr>
            <w:tcW w:w="1980" w:type="dxa"/>
            <w:shd w:val="clear" w:color="auto" w:fill="auto"/>
            <w:noWrap/>
            <w:vAlign w:val="center"/>
          </w:tcPr>
          <w:p w:rsidR="00B5775F" w:rsidRPr="00A763FD" w:rsidRDefault="00B5775F" w:rsidP="008D7800">
            <w:pPr>
              <w:jc w:val="center"/>
              <w:rPr>
                <w:bCs/>
                <w:color w:val="000000"/>
                <w:sz w:val="19"/>
                <w:szCs w:val="19"/>
              </w:rPr>
            </w:pPr>
            <w:r w:rsidRPr="00A763FD">
              <w:rPr>
                <w:sz w:val="19"/>
                <w:szCs w:val="19"/>
              </w:rPr>
              <w:t>0.1920</w:t>
            </w:r>
          </w:p>
        </w:tc>
        <w:tc>
          <w:tcPr>
            <w:tcW w:w="1568" w:type="dxa"/>
            <w:shd w:val="clear" w:color="auto" w:fill="auto"/>
            <w:noWrap/>
            <w:vAlign w:val="center"/>
          </w:tcPr>
          <w:p w:rsidR="00B5775F" w:rsidRPr="00A763FD" w:rsidRDefault="00B5775F" w:rsidP="008D7800">
            <w:pPr>
              <w:jc w:val="center"/>
              <w:rPr>
                <w:bCs/>
                <w:color w:val="000000"/>
                <w:sz w:val="19"/>
                <w:szCs w:val="19"/>
              </w:rPr>
            </w:pPr>
            <w:r w:rsidRPr="00A763FD">
              <w:rPr>
                <w:sz w:val="19"/>
                <w:szCs w:val="19"/>
              </w:rPr>
              <w:t>9.56%</w:t>
            </w:r>
          </w:p>
        </w:tc>
      </w:tr>
      <w:tr w:rsidR="00A874AC" w:rsidRPr="00A763FD" w:rsidTr="004B4B06">
        <w:trPr>
          <w:trHeight w:val="732"/>
        </w:trPr>
        <w:tc>
          <w:tcPr>
            <w:tcW w:w="1980" w:type="dxa"/>
            <w:shd w:val="clear" w:color="auto" w:fill="D2EAF1"/>
            <w:noWrap/>
            <w:vAlign w:val="center"/>
          </w:tcPr>
          <w:p w:rsidR="00B5775F" w:rsidRPr="00A763FD" w:rsidRDefault="00B5775F" w:rsidP="004B4B06">
            <w:pPr>
              <w:autoSpaceDE w:val="0"/>
              <w:autoSpaceDN w:val="0"/>
              <w:adjustRightInd w:val="0"/>
              <w:jc w:val="left"/>
              <w:rPr>
                <w:b/>
                <w:bCs/>
                <w:color w:val="000000"/>
                <w:sz w:val="19"/>
                <w:szCs w:val="19"/>
              </w:rPr>
            </w:pPr>
            <w:r w:rsidRPr="00A763FD">
              <w:rPr>
                <w:rFonts w:eastAsiaTheme="minorHAnsi" w:cs="Calibri"/>
                <w:sz w:val="19"/>
                <w:szCs w:val="19"/>
              </w:rPr>
              <w:t>Nursing home – direct install – apartments</w:t>
            </w:r>
          </w:p>
        </w:tc>
        <w:tc>
          <w:tcPr>
            <w:tcW w:w="2070" w:type="dxa"/>
            <w:shd w:val="clear" w:color="auto" w:fill="D2EAF1"/>
            <w:noWrap/>
            <w:vAlign w:val="center"/>
          </w:tcPr>
          <w:p w:rsidR="00B5775F" w:rsidRPr="00A763FD" w:rsidRDefault="00B5775F" w:rsidP="008D7800">
            <w:pPr>
              <w:jc w:val="center"/>
              <w:rPr>
                <w:b/>
                <w:bCs/>
                <w:color w:val="000000"/>
                <w:sz w:val="19"/>
                <w:szCs w:val="19"/>
              </w:rPr>
            </w:pPr>
            <w:r w:rsidRPr="00A763FD">
              <w:rPr>
                <w:sz w:val="19"/>
                <w:szCs w:val="19"/>
              </w:rPr>
              <w:t>N/A</w:t>
            </w:r>
          </w:p>
        </w:tc>
        <w:tc>
          <w:tcPr>
            <w:tcW w:w="1658" w:type="dxa"/>
            <w:shd w:val="clear" w:color="auto" w:fill="D2EAF1"/>
            <w:noWrap/>
            <w:vAlign w:val="center"/>
          </w:tcPr>
          <w:p w:rsidR="00B5775F" w:rsidRPr="00A763FD" w:rsidRDefault="00B5775F" w:rsidP="008D7800">
            <w:pPr>
              <w:jc w:val="center"/>
              <w:rPr>
                <w:b/>
                <w:bCs/>
                <w:color w:val="000000"/>
                <w:sz w:val="19"/>
                <w:szCs w:val="19"/>
              </w:rPr>
            </w:pPr>
            <w:r w:rsidRPr="00A763FD">
              <w:rPr>
                <w:sz w:val="19"/>
                <w:szCs w:val="19"/>
              </w:rPr>
              <w:t>0.00%</w:t>
            </w:r>
          </w:p>
        </w:tc>
        <w:tc>
          <w:tcPr>
            <w:tcW w:w="1980" w:type="dxa"/>
            <w:shd w:val="clear" w:color="auto" w:fill="D2EAF1"/>
            <w:noWrap/>
            <w:vAlign w:val="center"/>
          </w:tcPr>
          <w:p w:rsidR="00B5775F" w:rsidRPr="00A763FD" w:rsidRDefault="00B5775F" w:rsidP="008D7800">
            <w:pPr>
              <w:jc w:val="center"/>
              <w:rPr>
                <w:b/>
                <w:bCs/>
                <w:color w:val="000000"/>
                <w:sz w:val="19"/>
                <w:szCs w:val="19"/>
              </w:rPr>
            </w:pPr>
            <w:r w:rsidRPr="00A763FD">
              <w:rPr>
                <w:sz w:val="19"/>
                <w:szCs w:val="19"/>
              </w:rPr>
              <w:t>N/A</w:t>
            </w:r>
          </w:p>
        </w:tc>
        <w:tc>
          <w:tcPr>
            <w:tcW w:w="1568" w:type="dxa"/>
            <w:shd w:val="clear" w:color="auto" w:fill="D2EAF1"/>
            <w:noWrap/>
            <w:vAlign w:val="center"/>
          </w:tcPr>
          <w:p w:rsidR="00B5775F" w:rsidRPr="00A763FD" w:rsidRDefault="00B5775F" w:rsidP="008D7800">
            <w:pPr>
              <w:jc w:val="center"/>
              <w:rPr>
                <w:b/>
                <w:bCs/>
                <w:color w:val="000000"/>
                <w:sz w:val="19"/>
                <w:szCs w:val="19"/>
              </w:rPr>
            </w:pPr>
            <w:r w:rsidRPr="00A763FD">
              <w:rPr>
                <w:sz w:val="19"/>
                <w:szCs w:val="19"/>
              </w:rPr>
              <w:t>0.00%</w:t>
            </w:r>
          </w:p>
        </w:tc>
      </w:tr>
      <w:tr w:rsidR="00B5775F" w:rsidRPr="00A763FD" w:rsidTr="00FD03DC">
        <w:trPr>
          <w:trHeight w:val="732"/>
        </w:trPr>
        <w:tc>
          <w:tcPr>
            <w:tcW w:w="1980" w:type="dxa"/>
            <w:shd w:val="clear" w:color="auto" w:fill="auto"/>
            <w:noWrap/>
            <w:vAlign w:val="center"/>
          </w:tcPr>
          <w:p w:rsidR="00B5775F" w:rsidRPr="00A763FD" w:rsidRDefault="00B5775F" w:rsidP="004B4B06">
            <w:pPr>
              <w:autoSpaceDE w:val="0"/>
              <w:autoSpaceDN w:val="0"/>
              <w:adjustRightInd w:val="0"/>
              <w:jc w:val="left"/>
              <w:rPr>
                <w:b/>
                <w:bCs/>
                <w:color w:val="000000"/>
                <w:sz w:val="19"/>
                <w:szCs w:val="19"/>
              </w:rPr>
            </w:pPr>
            <w:r w:rsidRPr="00A763FD">
              <w:rPr>
                <w:rFonts w:eastAsiaTheme="minorHAnsi" w:cs="Calibri"/>
                <w:sz w:val="19"/>
                <w:szCs w:val="19"/>
              </w:rPr>
              <w:t>Nursing home – direct install – common areas</w:t>
            </w:r>
          </w:p>
        </w:tc>
        <w:tc>
          <w:tcPr>
            <w:tcW w:w="2070" w:type="dxa"/>
            <w:shd w:val="clear" w:color="auto" w:fill="auto"/>
            <w:noWrap/>
            <w:vAlign w:val="center"/>
          </w:tcPr>
          <w:p w:rsidR="00B5775F" w:rsidRPr="00A763FD" w:rsidRDefault="00B5775F" w:rsidP="008D7800">
            <w:pPr>
              <w:jc w:val="center"/>
              <w:rPr>
                <w:b/>
                <w:bCs/>
                <w:color w:val="000000"/>
                <w:sz w:val="19"/>
                <w:szCs w:val="19"/>
              </w:rPr>
            </w:pPr>
            <w:r w:rsidRPr="00A763FD">
              <w:rPr>
                <w:sz w:val="19"/>
                <w:szCs w:val="19"/>
              </w:rPr>
              <w:t>N/A</w:t>
            </w:r>
          </w:p>
        </w:tc>
        <w:tc>
          <w:tcPr>
            <w:tcW w:w="1658" w:type="dxa"/>
            <w:shd w:val="clear" w:color="auto" w:fill="auto"/>
            <w:noWrap/>
            <w:vAlign w:val="center"/>
          </w:tcPr>
          <w:p w:rsidR="00B5775F" w:rsidRPr="00A763FD" w:rsidRDefault="00B5775F" w:rsidP="008D7800">
            <w:pPr>
              <w:jc w:val="center"/>
              <w:rPr>
                <w:b/>
                <w:bCs/>
                <w:color w:val="000000"/>
                <w:sz w:val="19"/>
                <w:szCs w:val="19"/>
              </w:rPr>
            </w:pPr>
            <w:r w:rsidRPr="00A763FD">
              <w:rPr>
                <w:sz w:val="19"/>
                <w:szCs w:val="19"/>
              </w:rPr>
              <w:t>N/A</w:t>
            </w:r>
          </w:p>
        </w:tc>
        <w:tc>
          <w:tcPr>
            <w:tcW w:w="1980" w:type="dxa"/>
            <w:shd w:val="clear" w:color="auto" w:fill="auto"/>
            <w:noWrap/>
            <w:vAlign w:val="center"/>
          </w:tcPr>
          <w:p w:rsidR="00B5775F" w:rsidRPr="00A763FD" w:rsidRDefault="00B5775F" w:rsidP="008D7800">
            <w:pPr>
              <w:jc w:val="center"/>
              <w:rPr>
                <w:b/>
                <w:bCs/>
                <w:color w:val="000000"/>
                <w:sz w:val="19"/>
                <w:szCs w:val="19"/>
              </w:rPr>
            </w:pPr>
            <w:r w:rsidRPr="00A763FD">
              <w:rPr>
                <w:sz w:val="19"/>
                <w:szCs w:val="19"/>
              </w:rPr>
              <w:t>–</w:t>
            </w:r>
          </w:p>
        </w:tc>
        <w:tc>
          <w:tcPr>
            <w:tcW w:w="1568" w:type="dxa"/>
            <w:shd w:val="clear" w:color="auto" w:fill="auto"/>
            <w:noWrap/>
            <w:vAlign w:val="center"/>
          </w:tcPr>
          <w:p w:rsidR="00B5775F" w:rsidRPr="00A763FD" w:rsidRDefault="00B5775F" w:rsidP="008D7800">
            <w:pPr>
              <w:jc w:val="center"/>
              <w:rPr>
                <w:b/>
                <w:bCs/>
                <w:color w:val="000000"/>
                <w:sz w:val="19"/>
                <w:szCs w:val="19"/>
              </w:rPr>
            </w:pPr>
            <w:r w:rsidRPr="00A763FD">
              <w:rPr>
                <w:sz w:val="19"/>
                <w:szCs w:val="19"/>
              </w:rPr>
              <w:t>–</w:t>
            </w:r>
          </w:p>
        </w:tc>
      </w:tr>
      <w:tr w:rsidR="00A874AC" w:rsidRPr="00A763FD" w:rsidTr="004B4B06">
        <w:trPr>
          <w:trHeight w:val="733"/>
        </w:trPr>
        <w:tc>
          <w:tcPr>
            <w:tcW w:w="1980" w:type="dxa"/>
            <w:shd w:val="clear" w:color="auto" w:fill="D2EAF1"/>
            <w:noWrap/>
            <w:vAlign w:val="center"/>
          </w:tcPr>
          <w:p w:rsidR="00B5775F" w:rsidRPr="00A763FD" w:rsidRDefault="00B5775F" w:rsidP="004B4B06">
            <w:pPr>
              <w:jc w:val="left"/>
              <w:rPr>
                <w:b/>
                <w:bCs/>
                <w:color w:val="000000"/>
                <w:sz w:val="19"/>
                <w:szCs w:val="19"/>
              </w:rPr>
            </w:pPr>
            <w:r w:rsidRPr="00A763FD">
              <w:rPr>
                <w:b/>
                <w:bCs/>
                <w:color w:val="000000"/>
                <w:sz w:val="19"/>
                <w:szCs w:val="19"/>
              </w:rPr>
              <w:t>Program Total</w:t>
            </w:r>
          </w:p>
        </w:tc>
        <w:tc>
          <w:tcPr>
            <w:tcW w:w="2070" w:type="dxa"/>
            <w:shd w:val="clear" w:color="auto" w:fill="D2EAF1"/>
            <w:noWrap/>
            <w:vAlign w:val="center"/>
          </w:tcPr>
          <w:p w:rsidR="00B5775F" w:rsidRPr="00A763FD" w:rsidRDefault="00B5775F" w:rsidP="008D7800">
            <w:pPr>
              <w:jc w:val="center"/>
              <w:rPr>
                <w:b/>
                <w:bCs/>
                <w:color w:val="000000"/>
                <w:sz w:val="19"/>
                <w:szCs w:val="19"/>
              </w:rPr>
            </w:pPr>
          </w:p>
        </w:tc>
        <w:tc>
          <w:tcPr>
            <w:tcW w:w="1658" w:type="dxa"/>
            <w:shd w:val="clear" w:color="auto" w:fill="D2EAF1"/>
            <w:noWrap/>
            <w:vAlign w:val="center"/>
          </w:tcPr>
          <w:p w:rsidR="00B5775F" w:rsidRPr="00A763FD" w:rsidRDefault="00B5775F" w:rsidP="008D7800">
            <w:pPr>
              <w:jc w:val="center"/>
              <w:rPr>
                <w:b/>
                <w:bCs/>
                <w:color w:val="000000"/>
                <w:sz w:val="19"/>
                <w:szCs w:val="19"/>
              </w:rPr>
            </w:pPr>
            <w:r w:rsidRPr="00A763FD">
              <w:rPr>
                <w:b/>
                <w:sz w:val="19"/>
                <w:szCs w:val="19"/>
              </w:rPr>
              <w:t>9.85%</w:t>
            </w:r>
          </w:p>
        </w:tc>
        <w:tc>
          <w:tcPr>
            <w:tcW w:w="1980" w:type="dxa"/>
            <w:shd w:val="clear" w:color="auto" w:fill="D2EAF1"/>
            <w:noWrap/>
            <w:vAlign w:val="center"/>
          </w:tcPr>
          <w:p w:rsidR="00B5775F" w:rsidRPr="00A763FD" w:rsidRDefault="00B5775F" w:rsidP="008D7800">
            <w:pPr>
              <w:jc w:val="center"/>
              <w:rPr>
                <w:b/>
                <w:bCs/>
                <w:color w:val="000000"/>
                <w:sz w:val="19"/>
                <w:szCs w:val="19"/>
              </w:rPr>
            </w:pPr>
          </w:p>
        </w:tc>
        <w:tc>
          <w:tcPr>
            <w:tcW w:w="1568" w:type="dxa"/>
            <w:shd w:val="clear" w:color="auto" w:fill="D2EAF1"/>
            <w:noWrap/>
            <w:vAlign w:val="center"/>
          </w:tcPr>
          <w:p w:rsidR="00B5775F" w:rsidRPr="00A763FD" w:rsidRDefault="00B5775F" w:rsidP="008D7800">
            <w:pPr>
              <w:jc w:val="center"/>
              <w:rPr>
                <w:b/>
                <w:bCs/>
                <w:color w:val="000000"/>
                <w:sz w:val="19"/>
                <w:szCs w:val="19"/>
              </w:rPr>
            </w:pPr>
            <w:r w:rsidRPr="00A763FD">
              <w:rPr>
                <w:b/>
                <w:sz w:val="19"/>
                <w:szCs w:val="19"/>
              </w:rPr>
              <w:t>7.62%</w:t>
            </w:r>
          </w:p>
        </w:tc>
      </w:tr>
    </w:tbl>
    <w:p w:rsidR="00B5775F" w:rsidRPr="00EB5DD8" w:rsidRDefault="00B5775F" w:rsidP="00B5775F"/>
    <w:p w:rsidR="00B5775F" w:rsidRPr="00EB5DD8" w:rsidRDefault="00B5775F" w:rsidP="00B5775F">
      <w:r w:rsidRPr="00EB5DD8">
        <w:t xml:space="preserve">The program total achieved precision for energy and demand met the SWE Team requirements. </w:t>
      </w:r>
    </w:p>
    <w:p w:rsidR="00B5775F" w:rsidRPr="00EB5DD8" w:rsidRDefault="00B5775F" w:rsidP="00B5775F"/>
    <w:p w:rsidR="00B5775F" w:rsidRPr="00EB5DD8" w:rsidRDefault="00B5775F" w:rsidP="008C7396">
      <w:pPr>
        <w:pStyle w:val="AppendixAHeading5"/>
      </w:pPr>
      <w:r w:rsidRPr="00EB5DD8">
        <w:t>Prescriptive Equipment Program</w:t>
      </w:r>
    </w:p>
    <w:p w:rsidR="00B5775F" w:rsidRPr="00EB5DD8" w:rsidRDefault="00B5775F" w:rsidP="00B5775F">
      <w:r w:rsidRPr="00EB5DD8">
        <w:t xml:space="preserve">The Prescriptive Equipment Program targets customers from the small C/I, large C/I, GNI, and agricultural sectors. Sample design was at the measure level; all the measures were stratified into two groups: lighting and equipment (non-lighting) projects. Four substrata were assigned to lighting measures based on the reported savings. The substrata for lighting projects </w:t>
      </w:r>
      <w:r>
        <w:t>were</w:t>
      </w:r>
      <w:r w:rsidRPr="00EB5DD8">
        <w:t xml:space="preserve"> small, small-medium, medium-small, and large. </w:t>
      </w:r>
    </w:p>
    <w:p w:rsidR="00B5775F" w:rsidRPr="00EB5DD8" w:rsidRDefault="00B5775F" w:rsidP="00B5775F"/>
    <w:p w:rsidR="00B5775F" w:rsidRPr="00EB5DD8" w:rsidRDefault="00B5775F" w:rsidP="00B5775F">
      <w:r w:rsidRPr="00EB5DD8">
        <w:t>For the equipment measure</w:t>
      </w:r>
      <w:r>
        <w:t>s, the sample plan targeted +/–</w:t>
      </w:r>
      <w:r w:rsidRPr="00EB5DD8">
        <w:t>15% precision at the 85% confidence level. No site visits were performed for the equipment measures in PY7 because the specs for the types of products rebated could not be ea</w:t>
      </w:r>
      <w:r>
        <w:t>sily verified on-</w:t>
      </w:r>
      <w:r w:rsidRPr="00EB5DD8">
        <w:t xml:space="preserve">site. The sampling strategy and corresponding evaluation activities for the non-lighting stratum </w:t>
      </w:r>
      <w:r>
        <w:t>are</w:t>
      </w:r>
      <w:r w:rsidRPr="00EB5DD8">
        <w:t xml:space="preserve"> shown in </w:t>
      </w:r>
      <w:r w:rsidRPr="00EB5DD8">
        <w:fldChar w:fldCharType="begin"/>
      </w:r>
      <w:r w:rsidRPr="00EB5DD8">
        <w:instrText xml:space="preserve"> REF _Ref440269236 \h  \* MERGEFORMAT </w:instrText>
      </w:r>
      <w:r w:rsidRPr="00EB5DD8">
        <w:fldChar w:fldCharType="separate"/>
      </w:r>
      <w:r w:rsidR="00037CB4" w:rsidRPr="00EB5DD8">
        <w:t>Table A-</w:t>
      </w:r>
      <w:r w:rsidR="00037CB4">
        <w:t>148</w:t>
      </w:r>
      <w:r w:rsidRPr="00EB5DD8">
        <w:fldChar w:fldCharType="end"/>
      </w:r>
      <w:r w:rsidRPr="00EB5DD8">
        <w:t>.</w:t>
      </w:r>
    </w:p>
    <w:p w:rsidR="00B5775F" w:rsidRPr="00EB5DD8" w:rsidRDefault="00B5775F" w:rsidP="00B5775F"/>
    <w:p w:rsidR="00B5775F" w:rsidRPr="00EB5DD8" w:rsidRDefault="00B5775F" w:rsidP="004837FA">
      <w:pPr>
        <w:pStyle w:val="Caption"/>
      </w:pPr>
      <w:bookmarkStart w:id="1331" w:name="_Ref440269236"/>
      <w:bookmarkStart w:id="1332" w:name="_Toc410199404"/>
      <w:bookmarkStart w:id="1333" w:name="_Toc431462386"/>
      <w:bookmarkStart w:id="1334" w:name="_Toc444269915"/>
      <w:bookmarkStart w:id="1335" w:name="_Toc472472562"/>
      <w:bookmarkStart w:id="1336" w:name="_Toc488741976"/>
      <w:r w:rsidRPr="00EB5DD8">
        <w:t>Table A-</w:t>
      </w:r>
      <w:r w:rsidR="007973A4">
        <w:fldChar w:fldCharType="begin"/>
      </w:r>
      <w:r w:rsidR="007973A4">
        <w:instrText xml:space="preserve"> SEQ Table_A- \* ARABIC </w:instrText>
      </w:r>
      <w:r w:rsidR="007973A4">
        <w:fldChar w:fldCharType="separate"/>
      </w:r>
      <w:r w:rsidR="00037CB4">
        <w:rPr>
          <w:noProof/>
        </w:rPr>
        <w:t>148</w:t>
      </w:r>
      <w:r w:rsidR="007973A4">
        <w:rPr>
          <w:noProof/>
        </w:rPr>
        <w:fldChar w:fldCharType="end"/>
      </w:r>
      <w:bookmarkEnd w:id="1331"/>
      <w:r w:rsidRPr="00EB5DD8">
        <w:t>: PPL’s PY7 Sampling Strategy – Prescriptive Equipment Program, Non-Lighting</w:t>
      </w:r>
      <w:bookmarkEnd w:id="1332"/>
      <w:bookmarkEnd w:id="1333"/>
      <w:bookmarkEnd w:id="1334"/>
      <w:bookmarkEnd w:id="1335"/>
      <w:bookmarkEnd w:id="1336"/>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332"/>
        <w:gridCol w:w="1651"/>
        <w:gridCol w:w="1651"/>
        <w:gridCol w:w="1651"/>
        <w:gridCol w:w="1651"/>
        <w:gridCol w:w="1414"/>
      </w:tblGrid>
      <w:tr w:rsidR="00A874AC" w:rsidRPr="00A763FD" w:rsidTr="008D7800">
        <w:trPr>
          <w:trHeight w:val="765"/>
        </w:trPr>
        <w:tc>
          <w:tcPr>
            <w:tcW w:w="1332" w:type="dxa"/>
            <w:shd w:val="clear" w:color="000000" w:fill="448A99"/>
            <w:noWrap/>
            <w:vAlign w:val="bottom"/>
            <w:hideMark/>
          </w:tcPr>
          <w:p w:rsidR="00B5775F" w:rsidRPr="00A763FD" w:rsidRDefault="00B5775F" w:rsidP="008D7800">
            <w:pPr>
              <w:rPr>
                <w:b/>
                <w:bCs/>
                <w:color w:val="FFFFFF"/>
                <w:sz w:val="19"/>
                <w:szCs w:val="19"/>
              </w:rPr>
            </w:pPr>
            <w:r w:rsidRPr="00A763FD">
              <w:rPr>
                <w:b/>
                <w:bCs/>
                <w:color w:val="FFFFFF"/>
                <w:sz w:val="19"/>
                <w:szCs w:val="19"/>
              </w:rPr>
              <w:t>Stratum</w:t>
            </w:r>
          </w:p>
        </w:tc>
        <w:tc>
          <w:tcPr>
            <w:tcW w:w="1651" w:type="dxa"/>
            <w:shd w:val="clear" w:color="000000" w:fill="448A99"/>
            <w:noWrap/>
            <w:vAlign w:val="bottom"/>
            <w:hideMark/>
          </w:tcPr>
          <w:p w:rsidR="00B5775F" w:rsidRPr="00A763FD" w:rsidRDefault="00B5775F" w:rsidP="008D7800">
            <w:pPr>
              <w:jc w:val="center"/>
              <w:rPr>
                <w:b/>
                <w:bCs/>
                <w:color w:val="FFFFFF"/>
                <w:sz w:val="19"/>
                <w:szCs w:val="19"/>
              </w:rPr>
            </w:pPr>
            <w:r w:rsidRPr="00A763FD">
              <w:rPr>
                <w:b/>
                <w:bCs/>
                <w:color w:val="FFFFFF"/>
                <w:sz w:val="19"/>
                <w:szCs w:val="19"/>
              </w:rPr>
              <w:t>Population</w:t>
            </w:r>
          </w:p>
        </w:tc>
        <w:tc>
          <w:tcPr>
            <w:tcW w:w="1651"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Target Levels of Confidence &amp; Precision</w:t>
            </w:r>
          </w:p>
        </w:tc>
        <w:tc>
          <w:tcPr>
            <w:tcW w:w="1651" w:type="dxa"/>
            <w:shd w:val="clear" w:color="000000" w:fill="448A99"/>
            <w:noWrap/>
            <w:vAlign w:val="bottom"/>
            <w:hideMark/>
          </w:tcPr>
          <w:p w:rsidR="00B5775F" w:rsidRPr="00A763FD" w:rsidRDefault="00B5775F" w:rsidP="008D7800">
            <w:pPr>
              <w:jc w:val="center"/>
              <w:rPr>
                <w:b/>
                <w:bCs/>
                <w:color w:val="FFFFFF"/>
                <w:sz w:val="19"/>
                <w:szCs w:val="19"/>
              </w:rPr>
            </w:pPr>
            <w:r w:rsidRPr="00A763FD">
              <w:rPr>
                <w:b/>
                <w:bCs/>
                <w:color w:val="FFFFFF"/>
                <w:sz w:val="19"/>
                <w:szCs w:val="19"/>
              </w:rPr>
              <w:t>Target Sample Size</w:t>
            </w:r>
          </w:p>
        </w:tc>
        <w:tc>
          <w:tcPr>
            <w:tcW w:w="1651" w:type="dxa"/>
            <w:shd w:val="clear" w:color="000000" w:fill="448A99"/>
            <w:noWrap/>
            <w:vAlign w:val="bottom"/>
            <w:hideMark/>
          </w:tcPr>
          <w:p w:rsidR="00B5775F" w:rsidRPr="00A763FD" w:rsidRDefault="00B5775F" w:rsidP="008D7800">
            <w:pPr>
              <w:jc w:val="center"/>
              <w:rPr>
                <w:b/>
                <w:bCs/>
                <w:color w:val="FFFFFF"/>
                <w:sz w:val="19"/>
                <w:szCs w:val="19"/>
              </w:rPr>
            </w:pPr>
            <w:r w:rsidRPr="00A763FD">
              <w:rPr>
                <w:b/>
                <w:bCs/>
                <w:color w:val="FFFFFF"/>
                <w:sz w:val="19"/>
                <w:szCs w:val="19"/>
              </w:rPr>
              <w:t>Achieved Sample Size</w:t>
            </w:r>
          </w:p>
        </w:tc>
        <w:tc>
          <w:tcPr>
            <w:tcW w:w="1414" w:type="dxa"/>
            <w:shd w:val="clear" w:color="000000" w:fill="448A99"/>
            <w:noWrap/>
            <w:vAlign w:val="bottom"/>
            <w:hideMark/>
          </w:tcPr>
          <w:p w:rsidR="00B5775F" w:rsidRPr="00A763FD" w:rsidRDefault="00B5775F" w:rsidP="008D7800">
            <w:pPr>
              <w:jc w:val="center"/>
              <w:rPr>
                <w:b/>
                <w:bCs/>
                <w:color w:val="FFFFFF"/>
                <w:sz w:val="19"/>
                <w:szCs w:val="19"/>
              </w:rPr>
            </w:pPr>
            <w:r w:rsidRPr="00A763FD">
              <w:rPr>
                <w:b/>
                <w:bCs/>
                <w:color w:val="FFFFFF"/>
                <w:sz w:val="19"/>
                <w:szCs w:val="19"/>
              </w:rPr>
              <w:t>Evaluation Activities</w:t>
            </w:r>
          </w:p>
        </w:tc>
      </w:tr>
      <w:tr w:rsidR="00A874AC" w:rsidRPr="00A763FD" w:rsidTr="008D7800">
        <w:trPr>
          <w:trHeight w:val="610"/>
        </w:trPr>
        <w:tc>
          <w:tcPr>
            <w:tcW w:w="1332" w:type="dxa"/>
            <w:vMerge w:val="restart"/>
            <w:shd w:val="clear" w:color="000000" w:fill="D2EAF1"/>
            <w:noWrap/>
            <w:vAlign w:val="center"/>
          </w:tcPr>
          <w:p w:rsidR="00B5775F" w:rsidRPr="00A763FD" w:rsidRDefault="00B5775F" w:rsidP="008D7800">
            <w:pPr>
              <w:rPr>
                <w:bCs/>
                <w:color w:val="000000"/>
                <w:sz w:val="19"/>
                <w:szCs w:val="19"/>
              </w:rPr>
            </w:pPr>
            <w:r w:rsidRPr="00A763FD">
              <w:rPr>
                <w:b/>
                <w:bCs/>
                <w:color w:val="000000"/>
                <w:sz w:val="19"/>
                <w:szCs w:val="19"/>
              </w:rPr>
              <w:t>Equipment Total</w:t>
            </w:r>
          </w:p>
        </w:tc>
        <w:tc>
          <w:tcPr>
            <w:tcW w:w="1651" w:type="dxa"/>
            <w:vMerge w:val="restart"/>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119</w:t>
            </w:r>
          </w:p>
        </w:tc>
        <w:tc>
          <w:tcPr>
            <w:tcW w:w="1651" w:type="dxa"/>
            <w:vMerge w:val="restart"/>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85%/15% at the stratum level</w:t>
            </w:r>
          </w:p>
        </w:tc>
        <w:tc>
          <w:tcPr>
            <w:tcW w:w="1651"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49</w:t>
            </w:r>
          </w:p>
        </w:tc>
        <w:tc>
          <w:tcPr>
            <w:tcW w:w="1651"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49</w:t>
            </w:r>
          </w:p>
        </w:tc>
        <w:tc>
          <w:tcPr>
            <w:tcW w:w="1414"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Records review</w:t>
            </w:r>
          </w:p>
        </w:tc>
      </w:tr>
      <w:tr w:rsidR="00A874AC" w:rsidRPr="00A763FD" w:rsidTr="008D7800">
        <w:trPr>
          <w:trHeight w:val="439"/>
        </w:trPr>
        <w:tc>
          <w:tcPr>
            <w:tcW w:w="1332" w:type="dxa"/>
            <w:vMerge/>
            <w:vAlign w:val="center"/>
          </w:tcPr>
          <w:p w:rsidR="00B5775F" w:rsidRPr="00A763FD" w:rsidRDefault="00B5775F" w:rsidP="008D7800">
            <w:pPr>
              <w:rPr>
                <w:b/>
                <w:bCs/>
                <w:color w:val="000000"/>
                <w:sz w:val="19"/>
                <w:szCs w:val="19"/>
              </w:rPr>
            </w:pPr>
          </w:p>
        </w:tc>
        <w:tc>
          <w:tcPr>
            <w:tcW w:w="1651" w:type="dxa"/>
            <w:vMerge/>
            <w:vAlign w:val="center"/>
          </w:tcPr>
          <w:p w:rsidR="00B5775F" w:rsidRPr="00A763FD" w:rsidRDefault="00B5775F" w:rsidP="008D7800">
            <w:pPr>
              <w:jc w:val="center"/>
              <w:rPr>
                <w:color w:val="000000"/>
                <w:sz w:val="19"/>
                <w:szCs w:val="19"/>
              </w:rPr>
            </w:pPr>
          </w:p>
        </w:tc>
        <w:tc>
          <w:tcPr>
            <w:tcW w:w="1651" w:type="dxa"/>
            <w:vMerge/>
            <w:shd w:val="clear" w:color="000000" w:fill="D2EAF1"/>
            <w:noWrap/>
            <w:vAlign w:val="center"/>
          </w:tcPr>
          <w:p w:rsidR="00B5775F" w:rsidRPr="00A763FD" w:rsidRDefault="00B5775F" w:rsidP="008D7800">
            <w:pPr>
              <w:jc w:val="center"/>
              <w:rPr>
                <w:color w:val="000000"/>
                <w:sz w:val="19"/>
                <w:szCs w:val="19"/>
              </w:rPr>
            </w:pPr>
          </w:p>
        </w:tc>
        <w:tc>
          <w:tcPr>
            <w:tcW w:w="1651"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9</w:t>
            </w:r>
          </w:p>
        </w:tc>
        <w:tc>
          <w:tcPr>
            <w:tcW w:w="1651"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4</w:t>
            </w:r>
          </w:p>
        </w:tc>
        <w:tc>
          <w:tcPr>
            <w:tcW w:w="1414"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Telephone verification</w:t>
            </w:r>
          </w:p>
        </w:tc>
      </w:tr>
    </w:tbl>
    <w:p w:rsidR="00B5775F" w:rsidRPr="00EB5DD8" w:rsidRDefault="00B5775F" w:rsidP="00B5775F"/>
    <w:p w:rsidR="004B4B06" w:rsidRDefault="00B5775F" w:rsidP="00A763FD">
      <w:r w:rsidRPr="00EB5DD8">
        <w:t>The sample design for the lighting measures targeted +/</w:t>
      </w:r>
      <w:r>
        <w:t>–</w:t>
      </w:r>
      <w:r w:rsidRPr="00EB5DD8">
        <w:t>10% precision at the 90% confidence level, and stratified ratio estimation was used to estimate savings for the program. The detailed sampling strategy for lighting projects is shown in</w:t>
      </w:r>
      <w:r w:rsidR="00A763FD">
        <w:t xml:space="preserve"> Table A-149.</w:t>
      </w:r>
      <w:bookmarkStart w:id="1337" w:name="_Ref440269271"/>
      <w:bookmarkStart w:id="1338" w:name="_Toc410199405"/>
      <w:bookmarkStart w:id="1339" w:name="_Toc431462387"/>
      <w:bookmarkStart w:id="1340" w:name="_Toc444269916"/>
      <w:bookmarkStart w:id="1341" w:name="_Toc472472563"/>
    </w:p>
    <w:p w:rsidR="00A763FD" w:rsidRDefault="00A763FD" w:rsidP="00A763FD"/>
    <w:p w:rsidR="00B32B81" w:rsidRDefault="00B32B81" w:rsidP="00A763FD"/>
    <w:p w:rsidR="004B4B06" w:rsidRPr="00A763FD" w:rsidRDefault="004B4B06" w:rsidP="00A763FD"/>
    <w:p w:rsidR="00B5775F" w:rsidRPr="00EB5DD8" w:rsidRDefault="00B5775F" w:rsidP="004837FA">
      <w:pPr>
        <w:pStyle w:val="Caption"/>
      </w:pPr>
      <w:bookmarkStart w:id="1342" w:name="_Toc488741977"/>
      <w:r w:rsidRPr="00EB5DD8">
        <w:t>Table A-</w:t>
      </w:r>
      <w:r w:rsidR="007973A4">
        <w:fldChar w:fldCharType="begin"/>
      </w:r>
      <w:r w:rsidR="007973A4">
        <w:instrText xml:space="preserve"> SEQ Table_A- \* ARABIC </w:instrText>
      </w:r>
      <w:r w:rsidR="007973A4">
        <w:fldChar w:fldCharType="separate"/>
      </w:r>
      <w:r w:rsidR="00037CB4">
        <w:rPr>
          <w:noProof/>
        </w:rPr>
        <w:t>149</w:t>
      </w:r>
      <w:r w:rsidR="007973A4">
        <w:rPr>
          <w:noProof/>
        </w:rPr>
        <w:fldChar w:fldCharType="end"/>
      </w:r>
      <w:bookmarkEnd w:id="1337"/>
      <w:r w:rsidRPr="00EB5DD8">
        <w:t>: PPL’s PY7 Sampling Strategy – Prescriptive Equipment Program, Lighting</w:t>
      </w:r>
      <w:bookmarkEnd w:id="1338"/>
      <w:bookmarkEnd w:id="1339"/>
      <w:bookmarkEnd w:id="1340"/>
      <w:bookmarkEnd w:id="1341"/>
      <w:bookmarkEnd w:id="1342"/>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28"/>
        <w:gridCol w:w="1933"/>
        <w:gridCol w:w="1933"/>
        <w:gridCol w:w="1933"/>
        <w:gridCol w:w="1933"/>
      </w:tblGrid>
      <w:tr w:rsidR="00A874AC" w:rsidRPr="00A763FD" w:rsidTr="004B4B06">
        <w:trPr>
          <w:trHeight w:val="765"/>
        </w:trPr>
        <w:tc>
          <w:tcPr>
            <w:tcW w:w="1628" w:type="dxa"/>
            <w:shd w:val="clear" w:color="000000" w:fill="448A99"/>
            <w:vAlign w:val="bottom"/>
            <w:hideMark/>
          </w:tcPr>
          <w:p w:rsidR="00B5775F" w:rsidRPr="00A763FD" w:rsidRDefault="00B5775F" w:rsidP="008D7800">
            <w:pPr>
              <w:rPr>
                <w:b/>
                <w:bCs/>
                <w:color w:val="FFFFFF"/>
                <w:sz w:val="19"/>
                <w:szCs w:val="19"/>
              </w:rPr>
            </w:pPr>
            <w:r w:rsidRPr="00A763FD">
              <w:rPr>
                <w:b/>
                <w:bCs/>
                <w:color w:val="FFFFFF"/>
                <w:sz w:val="19"/>
                <w:szCs w:val="19"/>
              </w:rPr>
              <w:t>Substratum</w:t>
            </w:r>
          </w:p>
        </w:tc>
        <w:tc>
          <w:tcPr>
            <w:tcW w:w="1933"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Population</w:t>
            </w:r>
          </w:p>
        </w:tc>
        <w:tc>
          <w:tcPr>
            <w:tcW w:w="1933"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Target Levels of Confidence &amp; Precision</w:t>
            </w:r>
          </w:p>
        </w:tc>
        <w:tc>
          <w:tcPr>
            <w:tcW w:w="1933"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Target Sample Size</w:t>
            </w:r>
          </w:p>
        </w:tc>
        <w:tc>
          <w:tcPr>
            <w:tcW w:w="1933"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Achieved Sample Size</w:t>
            </w:r>
          </w:p>
        </w:tc>
      </w:tr>
      <w:tr w:rsidR="00A874AC" w:rsidRPr="00A763FD" w:rsidTr="004B4B06">
        <w:trPr>
          <w:trHeight w:val="360"/>
        </w:trPr>
        <w:tc>
          <w:tcPr>
            <w:tcW w:w="1628" w:type="dxa"/>
            <w:shd w:val="clear" w:color="000000" w:fill="D2EAF1"/>
            <w:noWrap/>
            <w:vAlign w:val="center"/>
          </w:tcPr>
          <w:p w:rsidR="00B5775F" w:rsidRPr="00A763FD" w:rsidRDefault="00B5775F" w:rsidP="008D7800">
            <w:pPr>
              <w:rPr>
                <w:color w:val="000000"/>
                <w:sz w:val="19"/>
                <w:szCs w:val="19"/>
              </w:rPr>
            </w:pPr>
            <w:r w:rsidRPr="00A763FD">
              <w:rPr>
                <w:color w:val="000000"/>
                <w:sz w:val="19"/>
                <w:szCs w:val="19"/>
              </w:rPr>
              <w:t>Small</w:t>
            </w:r>
          </w:p>
        </w:tc>
        <w:tc>
          <w:tcPr>
            <w:tcW w:w="1933"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1,080</w:t>
            </w:r>
          </w:p>
        </w:tc>
        <w:tc>
          <w:tcPr>
            <w:tcW w:w="1933"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N/A</w:t>
            </w:r>
          </w:p>
        </w:tc>
        <w:tc>
          <w:tcPr>
            <w:tcW w:w="1933"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N/A</w:t>
            </w:r>
          </w:p>
        </w:tc>
        <w:tc>
          <w:tcPr>
            <w:tcW w:w="1933"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10</w:t>
            </w:r>
          </w:p>
        </w:tc>
      </w:tr>
      <w:tr w:rsidR="00B5775F" w:rsidRPr="00A763FD" w:rsidTr="00FD03DC">
        <w:trPr>
          <w:trHeight w:val="360"/>
        </w:trPr>
        <w:tc>
          <w:tcPr>
            <w:tcW w:w="1628" w:type="dxa"/>
            <w:shd w:val="clear" w:color="auto" w:fill="auto"/>
            <w:noWrap/>
            <w:vAlign w:val="center"/>
          </w:tcPr>
          <w:p w:rsidR="00B5775F" w:rsidRPr="00A763FD" w:rsidRDefault="00B5775F" w:rsidP="008D7800">
            <w:pPr>
              <w:rPr>
                <w:color w:val="000000"/>
                <w:sz w:val="19"/>
                <w:szCs w:val="19"/>
              </w:rPr>
            </w:pPr>
            <w:r w:rsidRPr="00A763FD">
              <w:rPr>
                <w:color w:val="000000"/>
                <w:sz w:val="19"/>
                <w:szCs w:val="19"/>
              </w:rPr>
              <w:t>Small-medium</w:t>
            </w:r>
          </w:p>
        </w:tc>
        <w:tc>
          <w:tcPr>
            <w:tcW w:w="1933"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199</w:t>
            </w:r>
          </w:p>
        </w:tc>
        <w:tc>
          <w:tcPr>
            <w:tcW w:w="1933"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N/A</w:t>
            </w:r>
          </w:p>
        </w:tc>
        <w:tc>
          <w:tcPr>
            <w:tcW w:w="1933"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N/A</w:t>
            </w:r>
          </w:p>
        </w:tc>
        <w:tc>
          <w:tcPr>
            <w:tcW w:w="1933"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7</w:t>
            </w:r>
          </w:p>
        </w:tc>
      </w:tr>
      <w:tr w:rsidR="00A874AC" w:rsidRPr="00A763FD" w:rsidTr="004B4B06">
        <w:trPr>
          <w:trHeight w:val="360"/>
        </w:trPr>
        <w:tc>
          <w:tcPr>
            <w:tcW w:w="1628" w:type="dxa"/>
            <w:shd w:val="clear" w:color="000000" w:fill="D2EAF1"/>
            <w:noWrap/>
            <w:vAlign w:val="center"/>
          </w:tcPr>
          <w:p w:rsidR="00B5775F" w:rsidRPr="00A763FD" w:rsidRDefault="00B5775F" w:rsidP="008D7800">
            <w:pPr>
              <w:rPr>
                <w:color w:val="000000"/>
                <w:sz w:val="19"/>
                <w:szCs w:val="19"/>
              </w:rPr>
            </w:pPr>
            <w:r w:rsidRPr="00A763FD">
              <w:rPr>
                <w:color w:val="000000"/>
                <w:sz w:val="19"/>
                <w:szCs w:val="19"/>
              </w:rPr>
              <w:t>Medium-small</w:t>
            </w:r>
          </w:p>
        </w:tc>
        <w:tc>
          <w:tcPr>
            <w:tcW w:w="1933"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61</w:t>
            </w:r>
          </w:p>
        </w:tc>
        <w:tc>
          <w:tcPr>
            <w:tcW w:w="1933"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N/A</w:t>
            </w:r>
          </w:p>
        </w:tc>
        <w:tc>
          <w:tcPr>
            <w:tcW w:w="1933"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N/A</w:t>
            </w:r>
          </w:p>
        </w:tc>
        <w:tc>
          <w:tcPr>
            <w:tcW w:w="1933"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6</w:t>
            </w:r>
          </w:p>
        </w:tc>
      </w:tr>
      <w:tr w:rsidR="00B5775F" w:rsidRPr="00A763FD" w:rsidTr="00FD03DC">
        <w:trPr>
          <w:trHeight w:val="360"/>
        </w:trPr>
        <w:tc>
          <w:tcPr>
            <w:tcW w:w="1628" w:type="dxa"/>
            <w:shd w:val="clear" w:color="auto" w:fill="auto"/>
            <w:noWrap/>
            <w:vAlign w:val="center"/>
          </w:tcPr>
          <w:p w:rsidR="00B5775F" w:rsidRPr="00A763FD" w:rsidRDefault="00B5775F" w:rsidP="008D7800">
            <w:pPr>
              <w:rPr>
                <w:color w:val="000000"/>
                <w:sz w:val="19"/>
                <w:szCs w:val="19"/>
              </w:rPr>
            </w:pPr>
            <w:r w:rsidRPr="00A763FD">
              <w:rPr>
                <w:color w:val="000000"/>
                <w:sz w:val="19"/>
                <w:szCs w:val="19"/>
              </w:rPr>
              <w:t>Large</w:t>
            </w:r>
          </w:p>
        </w:tc>
        <w:tc>
          <w:tcPr>
            <w:tcW w:w="1933"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25</w:t>
            </w:r>
          </w:p>
        </w:tc>
        <w:tc>
          <w:tcPr>
            <w:tcW w:w="1933"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N/A</w:t>
            </w:r>
          </w:p>
        </w:tc>
        <w:tc>
          <w:tcPr>
            <w:tcW w:w="1933" w:type="dxa"/>
            <w:shd w:val="clear" w:color="auto" w:fill="auto"/>
            <w:noWrap/>
            <w:vAlign w:val="center"/>
          </w:tcPr>
          <w:p w:rsidR="00B5775F" w:rsidRPr="00A763FD" w:rsidRDefault="00B5775F" w:rsidP="008D7800">
            <w:pPr>
              <w:jc w:val="center"/>
              <w:rPr>
                <w:color w:val="000000"/>
                <w:sz w:val="19"/>
                <w:szCs w:val="19"/>
              </w:rPr>
            </w:pPr>
            <w:r w:rsidRPr="00A763FD">
              <w:rPr>
                <w:color w:val="000000"/>
                <w:sz w:val="19"/>
                <w:szCs w:val="19"/>
              </w:rPr>
              <w:t>N/A</w:t>
            </w:r>
          </w:p>
        </w:tc>
        <w:tc>
          <w:tcPr>
            <w:tcW w:w="1933"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12</w:t>
            </w:r>
          </w:p>
        </w:tc>
      </w:tr>
      <w:tr w:rsidR="00A874AC" w:rsidRPr="00A763FD" w:rsidTr="004B4B06">
        <w:trPr>
          <w:trHeight w:val="360"/>
        </w:trPr>
        <w:tc>
          <w:tcPr>
            <w:tcW w:w="1628" w:type="dxa"/>
            <w:shd w:val="clear" w:color="000000" w:fill="D2EAF1"/>
            <w:noWrap/>
            <w:vAlign w:val="center"/>
          </w:tcPr>
          <w:p w:rsidR="00B5775F" w:rsidRPr="00A763FD" w:rsidRDefault="00B5775F" w:rsidP="008D7800">
            <w:pPr>
              <w:rPr>
                <w:b/>
                <w:bCs/>
                <w:color w:val="000000"/>
                <w:sz w:val="19"/>
                <w:szCs w:val="19"/>
              </w:rPr>
            </w:pPr>
            <w:r w:rsidRPr="00A763FD">
              <w:rPr>
                <w:b/>
                <w:bCs/>
                <w:color w:val="000000"/>
                <w:sz w:val="19"/>
                <w:szCs w:val="19"/>
              </w:rPr>
              <w:t>Total</w:t>
            </w:r>
          </w:p>
        </w:tc>
        <w:tc>
          <w:tcPr>
            <w:tcW w:w="1933" w:type="dxa"/>
            <w:shd w:val="clear" w:color="000000" w:fill="D2EAF1"/>
            <w:noWrap/>
            <w:vAlign w:val="center"/>
          </w:tcPr>
          <w:p w:rsidR="00B5775F" w:rsidRPr="00A763FD" w:rsidRDefault="00B5775F" w:rsidP="008D7800">
            <w:pPr>
              <w:jc w:val="center"/>
              <w:rPr>
                <w:b/>
                <w:bCs/>
                <w:color w:val="000000"/>
                <w:sz w:val="19"/>
                <w:szCs w:val="19"/>
              </w:rPr>
            </w:pPr>
            <w:r w:rsidRPr="00A763FD">
              <w:rPr>
                <w:b/>
                <w:sz w:val="19"/>
                <w:szCs w:val="19"/>
              </w:rPr>
              <w:t>1,365</w:t>
            </w:r>
          </w:p>
        </w:tc>
        <w:tc>
          <w:tcPr>
            <w:tcW w:w="1933" w:type="dxa"/>
            <w:shd w:val="clear" w:color="000000" w:fill="D2EAF1"/>
            <w:noWrap/>
            <w:vAlign w:val="center"/>
          </w:tcPr>
          <w:p w:rsidR="00B5775F" w:rsidRPr="00A763FD" w:rsidRDefault="00B5775F" w:rsidP="008D7800">
            <w:pPr>
              <w:jc w:val="center"/>
              <w:rPr>
                <w:b/>
                <w:bCs/>
                <w:color w:val="000000"/>
                <w:sz w:val="19"/>
                <w:szCs w:val="19"/>
              </w:rPr>
            </w:pPr>
            <w:r w:rsidRPr="00A763FD">
              <w:rPr>
                <w:b/>
                <w:bCs/>
                <w:color w:val="000000"/>
                <w:sz w:val="19"/>
                <w:szCs w:val="19"/>
              </w:rPr>
              <w:t>90%/10%</w:t>
            </w:r>
          </w:p>
        </w:tc>
        <w:tc>
          <w:tcPr>
            <w:tcW w:w="1933" w:type="dxa"/>
            <w:shd w:val="clear" w:color="000000" w:fill="D2EAF1"/>
            <w:noWrap/>
            <w:vAlign w:val="center"/>
          </w:tcPr>
          <w:p w:rsidR="00B5775F" w:rsidRPr="00A763FD" w:rsidRDefault="00B5775F" w:rsidP="008D7800">
            <w:pPr>
              <w:jc w:val="center"/>
              <w:rPr>
                <w:b/>
                <w:bCs/>
                <w:color w:val="000000"/>
                <w:sz w:val="19"/>
                <w:szCs w:val="19"/>
              </w:rPr>
            </w:pPr>
            <w:r w:rsidRPr="00A763FD">
              <w:rPr>
                <w:b/>
                <w:bCs/>
                <w:color w:val="000000"/>
                <w:sz w:val="19"/>
                <w:szCs w:val="19"/>
              </w:rPr>
              <w:t>N/A</w:t>
            </w:r>
          </w:p>
        </w:tc>
        <w:tc>
          <w:tcPr>
            <w:tcW w:w="1933" w:type="dxa"/>
            <w:shd w:val="clear" w:color="000000" w:fill="D2EAF1"/>
            <w:noWrap/>
            <w:vAlign w:val="center"/>
          </w:tcPr>
          <w:p w:rsidR="00B5775F" w:rsidRPr="00A763FD" w:rsidRDefault="00B5775F" w:rsidP="008D7800">
            <w:pPr>
              <w:jc w:val="center"/>
              <w:rPr>
                <w:b/>
                <w:bCs/>
                <w:color w:val="000000"/>
                <w:sz w:val="19"/>
                <w:szCs w:val="19"/>
              </w:rPr>
            </w:pPr>
            <w:r w:rsidRPr="00A763FD">
              <w:rPr>
                <w:b/>
                <w:sz w:val="19"/>
                <w:szCs w:val="19"/>
              </w:rPr>
              <w:t>35</w:t>
            </w:r>
          </w:p>
        </w:tc>
      </w:tr>
    </w:tbl>
    <w:p w:rsidR="00B5775F" w:rsidRPr="00EB5DD8" w:rsidRDefault="00B5775F" w:rsidP="00B5775F"/>
    <w:p w:rsidR="00B5775F" w:rsidRPr="00EB5DD8" w:rsidRDefault="00B5775F" w:rsidP="00B5775F">
      <w:r w:rsidRPr="00EB5DD8">
        <w:t xml:space="preserve">The achieved precision values for both energy and peak demand for the Prescriptive Equipment Program are presented in </w:t>
      </w:r>
      <w:r w:rsidRPr="00EB5DD8">
        <w:fldChar w:fldCharType="begin"/>
      </w:r>
      <w:r w:rsidRPr="00EB5DD8">
        <w:instrText xml:space="preserve"> REF _Ref440269312 \h  \* MERGEFORMAT </w:instrText>
      </w:r>
      <w:r w:rsidRPr="00EB5DD8">
        <w:fldChar w:fldCharType="separate"/>
      </w:r>
      <w:r w:rsidR="00037CB4" w:rsidRPr="00EB5DD8">
        <w:t>Table A-</w:t>
      </w:r>
      <w:r w:rsidR="00037CB4">
        <w:t>150</w:t>
      </w:r>
      <w:r w:rsidRPr="00EB5DD8">
        <w:fldChar w:fldCharType="end"/>
      </w:r>
      <w:r w:rsidRPr="00EB5DD8">
        <w:t>. The table shows that PPL exceeded the requir</w:t>
      </w:r>
      <w:r>
        <w:t>ement of 85%/15% confidence/</w:t>
      </w:r>
      <w:r w:rsidRPr="00EB5DD8">
        <w:t xml:space="preserve">precision for this program. The GNI sector contributed gross savings of 24% of the total lighting savings, so Cadmus reported the relative precision values at 85% confidence level for both energy and peak demand for the GNI sector in this program separately in the PY7 annual report, in accordance with the Evaluation Framework. The observed coefficients of variation and relative precisions are provided in </w:t>
      </w:r>
      <w:r w:rsidRPr="00EB5DD8">
        <w:fldChar w:fldCharType="begin"/>
      </w:r>
      <w:r w:rsidRPr="00EB5DD8">
        <w:instrText xml:space="preserve"> REF _Ref440269461 \h  \* MERGEFORMAT </w:instrText>
      </w:r>
      <w:r w:rsidRPr="00EB5DD8">
        <w:fldChar w:fldCharType="separate"/>
      </w:r>
      <w:r w:rsidR="00037CB4" w:rsidRPr="00EB5DD8">
        <w:t>Table A-</w:t>
      </w:r>
      <w:r w:rsidR="00037CB4">
        <w:t>151</w:t>
      </w:r>
      <w:r w:rsidRPr="00EB5DD8">
        <w:fldChar w:fldCharType="end"/>
      </w:r>
      <w:r w:rsidRPr="00EB5DD8">
        <w:t>.</w:t>
      </w:r>
    </w:p>
    <w:p w:rsidR="00B5775F" w:rsidRPr="00EB5DD8" w:rsidRDefault="00B5775F" w:rsidP="00B5775F"/>
    <w:p w:rsidR="00B5775F" w:rsidRPr="00EB5DD8" w:rsidRDefault="00B5775F" w:rsidP="004837FA">
      <w:pPr>
        <w:pStyle w:val="Caption"/>
      </w:pPr>
      <w:bookmarkStart w:id="1343" w:name="_Ref440269312"/>
      <w:bookmarkStart w:id="1344" w:name="_Toc410199406"/>
      <w:bookmarkStart w:id="1345" w:name="_Toc431462388"/>
      <w:bookmarkStart w:id="1346" w:name="_Toc444269917"/>
      <w:bookmarkStart w:id="1347" w:name="_Toc472472564"/>
      <w:bookmarkStart w:id="1348" w:name="_Toc488741978"/>
      <w:r w:rsidRPr="00EB5DD8">
        <w:t>Table A-</w:t>
      </w:r>
      <w:r w:rsidR="007973A4">
        <w:fldChar w:fldCharType="begin"/>
      </w:r>
      <w:r w:rsidR="007973A4">
        <w:instrText xml:space="preserve"> SEQ Table_A- \* ARABIC </w:instrText>
      </w:r>
      <w:r w:rsidR="007973A4">
        <w:fldChar w:fldCharType="separate"/>
      </w:r>
      <w:r w:rsidR="00037CB4">
        <w:rPr>
          <w:noProof/>
        </w:rPr>
        <w:t>150</w:t>
      </w:r>
      <w:r w:rsidR="007973A4">
        <w:rPr>
          <w:noProof/>
        </w:rPr>
        <w:fldChar w:fldCharType="end"/>
      </w:r>
      <w:bookmarkEnd w:id="1343"/>
      <w:r w:rsidRPr="00EB5DD8">
        <w:t>: Observed Coefficients of Variation and Relative Precisions – PPL’s Prescriptive Equipment Program</w:t>
      </w:r>
      <w:bookmarkEnd w:id="1344"/>
      <w:bookmarkEnd w:id="1345"/>
      <w:bookmarkEnd w:id="1346"/>
      <w:bookmarkEnd w:id="1347"/>
      <w:bookmarkEnd w:id="1348"/>
    </w:p>
    <w:tbl>
      <w:tblPr>
        <w:tblW w:w="9284"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58"/>
        <w:gridCol w:w="2212"/>
        <w:gridCol w:w="1672"/>
        <w:gridCol w:w="2070"/>
        <w:gridCol w:w="1772"/>
      </w:tblGrid>
      <w:tr w:rsidR="00A874AC" w:rsidRPr="00A763FD" w:rsidTr="004B4B06">
        <w:trPr>
          <w:trHeight w:val="970"/>
          <w:tblHeader/>
        </w:trPr>
        <w:tc>
          <w:tcPr>
            <w:tcW w:w="1558" w:type="dxa"/>
            <w:shd w:val="clear" w:color="000000" w:fill="448A99"/>
            <w:vAlign w:val="bottom"/>
            <w:hideMark/>
          </w:tcPr>
          <w:p w:rsidR="00B5775F" w:rsidRPr="00A763FD" w:rsidRDefault="00B5775F" w:rsidP="008D7800">
            <w:pPr>
              <w:rPr>
                <w:b/>
                <w:bCs/>
                <w:color w:val="FFFFFF"/>
                <w:sz w:val="19"/>
                <w:szCs w:val="19"/>
              </w:rPr>
            </w:pPr>
            <w:r w:rsidRPr="00A763FD">
              <w:rPr>
                <w:b/>
                <w:bCs/>
                <w:color w:val="FFFFFF"/>
                <w:sz w:val="19"/>
                <w:szCs w:val="19"/>
              </w:rPr>
              <w:t>Stratum</w:t>
            </w:r>
          </w:p>
        </w:tc>
        <w:tc>
          <w:tcPr>
            <w:tcW w:w="2212"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Observed Coefficient of Variation (C</w:t>
            </w:r>
            <w:r w:rsidRPr="00A763FD">
              <w:rPr>
                <w:b/>
                <w:bCs/>
                <w:color w:val="FFFFFF"/>
                <w:sz w:val="19"/>
                <w:szCs w:val="19"/>
                <w:vertAlign w:val="subscript"/>
              </w:rPr>
              <w:t>v</w:t>
            </w:r>
            <w:r w:rsidRPr="00A763FD">
              <w:rPr>
                <w:b/>
                <w:bCs/>
                <w:color w:val="FFFFFF"/>
                <w:sz w:val="19"/>
                <w:szCs w:val="19"/>
              </w:rPr>
              <w:t>) or Proportion in Sample Design for Energy</w:t>
            </w:r>
          </w:p>
        </w:tc>
        <w:tc>
          <w:tcPr>
            <w:tcW w:w="1672"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Relative Precision at 85% C.L. for Energy</w:t>
            </w:r>
          </w:p>
        </w:tc>
        <w:tc>
          <w:tcPr>
            <w:tcW w:w="2070"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Observed Coefficient of Variation (C</w:t>
            </w:r>
            <w:r w:rsidRPr="00A763FD">
              <w:rPr>
                <w:b/>
                <w:bCs/>
                <w:color w:val="FFFFFF"/>
                <w:sz w:val="19"/>
                <w:szCs w:val="19"/>
                <w:vertAlign w:val="subscript"/>
              </w:rPr>
              <w:t>v</w:t>
            </w:r>
            <w:r w:rsidRPr="00A763FD">
              <w:rPr>
                <w:b/>
                <w:bCs/>
                <w:color w:val="FFFFFF"/>
                <w:sz w:val="19"/>
                <w:szCs w:val="19"/>
              </w:rPr>
              <w:t>) or Proportion in Sample Design for Demand</w:t>
            </w:r>
          </w:p>
        </w:tc>
        <w:tc>
          <w:tcPr>
            <w:tcW w:w="1772"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Relative Precision at 85% C.L. for Demand</w:t>
            </w:r>
          </w:p>
        </w:tc>
      </w:tr>
      <w:tr w:rsidR="00A874AC" w:rsidRPr="00A763FD" w:rsidTr="004B4B06">
        <w:trPr>
          <w:trHeight w:val="346"/>
        </w:trPr>
        <w:tc>
          <w:tcPr>
            <w:tcW w:w="1558" w:type="dxa"/>
            <w:shd w:val="clear" w:color="000000" w:fill="D2EAF1"/>
            <w:noWrap/>
            <w:vAlign w:val="center"/>
          </w:tcPr>
          <w:p w:rsidR="00B5775F" w:rsidRPr="00A763FD" w:rsidRDefault="00B5775F" w:rsidP="008D7800">
            <w:pPr>
              <w:rPr>
                <w:bCs/>
                <w:color w:val="000000"/>
                <w:sz w:val="19"/>
                <w:szCs w:val="19"/>
              </w:rPr>
            </w:pPr>
            <w:r w:rsidRPr="00A763FD">
              <w:rPr>
                <w:bCs/>
                <w:color w:val="000000"/>
                <w:sz w:val="19"/>
                <w:szCs w:val="19"/>
              </w:rPr>
              <w:t>Lighting</w:t>
            </w:r>
          </w:p>
        </w:tc>
        <w:tc>
          <w:tcPr>
            <w:tcW w:w="2212"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0.01</w:t>
            </w:r>
          </w:p>
        </w:tc>
        <w:tc>
          <w:tcPr>
            <w:tcW w:w="1672"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1.80%</w:t>
            </w:r>
          </w:p>
        </w:tc>
        <w:tc>
          <w:tcPr>
            <w:tcW w:w="2070"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0.09</w:t>
            </w:r>
          </w:p>
        </w:tc>
        <w:tc>
          <w:tcPr>
            <w:tcW w:w="1772" w:type="dxa"/>
            <w:shd w:val="clear" w:color="000000" w:fill="D2EAF1"/>
            <w:noWrap/>
            <w:vAlign w:val="center"/>
          </w:tcPr>
          <w:p w:rsidR="00B5775F" w:rsidRPr="00A763FD" w:rsidRDefault="00B5775F" w:rsidP="008D7800">
            <w:pPr>
              <w:jc w:val="center"/>
              <w:rPr>
                <w:color w:val="000000"/>
                <w:sz w:val="19"/>
                <w:szCs w:val="19"/>
              </w:rPr>
            </w:pPr>
            <w:r w:rsidRPr="00A763FD">
              <w:rPr>
                <w:sz w:val="19"/>
                <w:szCs w:val="19"/>
              </w:rPr>
              <w:t>3%</w:t>
            </w:r>
          </w:p>
        </w:tc>
      </w:tr>
      <w:tr w:rsidR="00B5775F" w:rsidRPr="00A763FD" w:rsidTr="00FD03DC">
        <w:trPr>
          <w:trHeight w:val="346"/>
        </w:trPr>
        <w:tc>
          <w:tcPr>
            <w:tcW w:w="1558" w:type="dxa"/>
            <w:shd w:val="clear" w:color="auto" w:fill="auto"/>
            <w:noWrap/>
            <w:vAlign w:val="center"/>
          </w:tcPr>
          <w:p w:rsidR="00B5775F" w:rsidRPr="00A763FD" w:rsidRDefault="00B5775F" w:rsidP="008D7800">
            <w:pPr>
              <w:rPr>
                <w:bCs/>
                <w:color w:val="000000"/>
                <w:sz w:val="19"/>
                <w:szCs w:val="19"/>
              </w:rPr>
            </w:pPr>
            <w:r w:rsidRPr="00A763FD">
              <w:rPr>
                <w:bCs/>
                <w:color w:val="000000"/>
                <w:sz w:val="19"/>
                <w:szCs w:val="19"/>
              </w:rPr>
              <w:t>Equipment</w:t>
            </w:r>
          </w:p>
        </w:tc>
        <w:tc>
          <w:tcPr>
            <w:tcW w:w="2212"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0.07</w:t>
            </w:r>
          </w:p>
        </w:tc>
        <w:tc>
          <w:tcPr>
            <w:tcW w:w="1672"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2.94%</w:t>
            </w:r>
          </w:p>
        </w:tc>
        <w:tc>
          <w:tcPr>
            <w:tcW w:w="2070"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0.003</w:t>
            </w:r>
          </w:p>
        </w:tc>
        <w:tc>
          <w:tcPr>
            <w:tcW w:w="1772" w:type="dxa"/>
            <w:shd w:val="clear" w:color="auto" w:fill="auto"/>
            <w:noWrap/>
            <w:vAlign w:val="center"/>
          </w:tcPr>
          <w:p w:rsidR="00B5775F" w:rsidRPr="00A763FD" w:rsidRDefault="00B5775F" w:rsidP="008D7800">
            <w:pPr>
              <w:jc w:val="center"/>
              <w:rPr>
                <w:color w:val="000000"/>
                <w:sz w:val="19"/>
                <w:szCs w:val="19"/>
              </w:rPr>
            </w:pPr>
            <w:r w:rsidRPr="00A763FD">
              <w:rPr>
                <w:sz w:val="19"/>
                <w:szCs w:val="19"/>
              </w:rPr>
              <w:t>4%</w:t>
            </w:r>
          </w:p>
        </w:tc>
      </w:tr>
      <w:tr w:rsidR="00A874AC" w:rsidRPr="00A763FD" w:rsidTr="004B4B06">
        <w:trPr>
          <w:trHeight w:val="346"/>
        </w:trPr>
        <w:tc>
          <w:tcPr>
            <w:tcW w:w="1558" w:type="dxa"/>
            <w:shd w:val="clear" w:color="000000" w:fill="D2EAF1"/>
            <w:noWrap/>
            <w:vAlign w:val="center"/>
          </w:tcPr>
          <w:p w:rsidR="00B5775F" w:rsidRPr="00A763FD" w:rsidRDefault="00B5775F" w:rsidP="008D7800">
            <w:pPr>
              <w:rPr>
                <w:b/>
                <w:bCs/>
                <w:color w:val="000000"/>
                <w:sz w:val="19"/>
                <w:szCs w:val="19"/>
              </w:rPr>
            </w:pPr>
            <w:r w:rsidRPr="00A763FD">
              <w:rPr>
                <w:b/>
                <w:bCs/>
                <w:color w:val="000000"/>
                <w:sz w:val="19"/>
                <w:szCs w:val="19"/>
              </w:rPr>
              <w:t>Program Total</w:t>
            </w:r>
          </w:p>
        </w:tc>
        <w:tc>
          <w:tcPr>
            <w:tcW w:w="2212" w:type="dxa"/>
            <w:shd w:val="clear" w:color="000000" w:fill="D2EAF1"/>
            <w:noWrap/>
            <w:vAlign w:val="center"/>
          </w:tcPr>
          <w:p w:rsidR="00B5775F" w:rsidRPr="00A763FD" w:rsidRDefault="00B5775F" w:rsidP="008D7800">
            <w:pPr>
              <w:jc w:val="center"/>
              <w:rPr>
                <w:b/>
                <w:bCs/>
                <w:color w:val="000000"/>
                <w:sz w:val="19"/>
                <w:szCs w:val="19"/>
              </w:rPr>
            </w:pPr>
          </w:p>
        </w:tc>
        <w:tc>
          <w:tcPr>
            <w:tcW w:w="1672" w:type="dxa"/>
            <w:shd w:val="clear" w:color="000000" w:fill="D2EAF1"/>
            <w:noWrap/>
            <w:vAlign w:val="center"/>
          </w:tcPr>
          <w:p w:rsidR="00B5775F" w:rsidRPr="00A763FD" w:rsidRDefault="00B5775F" w:rsidP="008D7800">
            <w:pPr>
              <w:jc w:val="center"/>
              <w:rPr>
                <w:b/>
                <w:bCs/>
                <w:color w:val="000000"/>
                <w:sz w:val="19"/>
                <w:szCs w:val="19"/>
              </w:rPr>
            </w:pPr>
            <w:r w:rsidRPr="00A763FD">
              <w:rPr>
                <w:b/>
                <w:sz w:val="19"/>
                <w:szCs w:val="19"/>
              </w:rPr>
              <w:t>1.77%</w:t>
            </w:r>
          </w:p>
        </w:tc>
        <w:tc>
          <w:tcPr>
            <w:tcW w:w="2070" w:type="dxa"/>
            <w:shd w:val="clear" w:color="000000" w:fill="D2EAF1"/>
            <w:noWrap/>
            <w:vAlign w:val="center"/>
          </w:tcPr>
          <w:p w:rsidR="00B5775F" w:rsidRPr="00A763FD" w:rsidRDefault="00B5775F" w:rsidP="008D7800">
            <w:pPr>
              <w:jc w:val="center"/>
              <w:rPr>
                <w:b/>
                <w:bCs/>
                <w:color w:val="000000"/>
                <w:sz w:val="19"/>
                <w:szCs w:val="19"/>
              </w:rPr>
            </w:pPr>
          </w:p>
        </w:tc>
        <w:tc>
          <w:tcPr>
            <w:tcW w:w="1772" w:type="dxa"/>
            <w:shd w:val="clear" w:color="000000" w:fill="D2EAF1"/>
            <w:noWrap/>
            <w:vAlign w:val="center"/>
          </w:tcPr>
          <w:p w:rsidR="00B5775F" w:rsidRPr="00A763FD" w:rsidRDefault="00B5775F" w:rsidP="008D7800">
            <w:pPr>
              <w:jc w:val="center"/>
              <w:rPr>
                <w:b/>
                <w:bCs/>
                <w:color w:val="000000"/>
                <w:sz w:val="19"/>
                <w:szCs w:val="19"/>
              </w:rPr>
            </w:pPr>
            <w:r w:rsidRPr="00A763FD">
              <w:rPr>
                <w:b/>
                <w:sz w:val="19"/>
                <w:szCs w:val="19"/>
              </w:rPr>
              <w:t>2.80%</w:t>
            </w:r>
          </w:p>
        </w:tc>
      </w:tr>
    </w:tbl>
    <w:p w:rsidR="00B5775F" w:rsidRDefault="00B5775F" w:rsidP="00B5775F"/>
    <w:p w:rsidR="00B5775F" w:rsidRPr="00EB5DD8" w:rsidRDefault="00B5775F" w:rsidP="004837FA">
      <w:pPr>
        <w:pStyle w:val="Caption"/>
      </w:pPr>
      <w:bookmarkStart w:id="1349" w:name="_Ref440269461"/>
      <w:bookmarkStart w:id="1350" w:name="_Toc410199407"/>
      <w:bookmarkStart w:id="1351" w:name="_Toc431462389"/>
      <w:bookmarkStart w:id="1352" w:name="_Toc444269918"/>
      <w:bookmarkStart w:id="1353" w:name="_Toc472472565"/>
      <w:bookmarkStart w:id="1354" w:name="_Toc488741979"/>
      <w:r w:rsidRPr="00EB5DD8">
        <w:t>Table A-</w:t>
      </w:r>
      <w:r w:rsidR="007973A4">
        <w:fldChar w:fldCharType="begin"/>
      </w:r>
      <w:r w:rsidR="007973A4">
        <w:instrText xml:space="preserve"> SEQ Table_A- \* ARABIC </w:instrText>
      </w:r>
      <w:r w:rsidR="007973A4">
        <w:fldChar w:fldCharType="separate"/>
      </w:r>
      <w:r w:rsidR="00037CB4">
        <w:rPr>
          <w:noProof/>
        </w:rPr>
        <w:t>151</w:t>
      </w:r>
      <w:r w:rsidR="007973A4">
        <w:rPr>
          <w:noProof/>
        </w:rPr>
        <w:fldChar w:fldCharType="end"/>
      </w:r>
      <w:bookmarkEnd w:id="1349"/>
      <w:r w:rsidRPr="00EB5DD8">
        <w:t xml:space="preserve">: Observed Coefficients of Variation and Relative Precisions – PPL’s Prescriptive Equipment Program </w:t>
      </w:r>
      <w:r>
        <w:t xml:space="preserve">– </w:t>
      </w:r>
      <w:r w:rsidRPr="00EB5DD8">
        <w:t>GNI Sector</w:t>
      </w:r>
      <w:bookmarkEnd w:id="1350"/>
      <w:bookmarkEnd w:id="1351"/>
      <w:bookmarkEnd w:id="1352"/>
      <w:bookmarkEnd w:id="1353"/>
      <w:bookmarkEnd w:id="1354"/>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10"/>
        <w:gridCol w:w="2017"/>
        <w:gridCol w:w="2017"/>
        <w:gridCol w:w="2017"/>
        <w:gridCol w:w="1899"/>
      </w:tblGrid>
      <w:tr w:rsidR="00A874AC" w:rsidRPr="00A763FD" w:rsidTr="004B4B06">
        <w:trPr>
          <w:trHeight w:val="1177"/>
        </w:trPr>
        <w:tc>
          <w:tcPr>
            <w:tcW w:w="1410" w:type="dxa"/>
            <w:shd w:val="clear" w:color="000000" w:fill="448A99"/>
            <w:vAlign w:val="bottom"/>
            <w:hideMark/>
          </w:tcPr>
          <w:p w:rsidR="00B5775F" w:rsidRPr="00A763FD" w:rsidRDefault="00B5775F" w:rsidP="008D7800">
            <w:pPr>
              <w:jc w:val="left"/>
              <w:rPr>
                <w:b/>
                <w:bCs/>
                <w:color w:val="FFFFFF"/>
                <w:sz w:val="19"/>
                <w:szCs w:val="19"/>
              </w:rPr>
            </w:pPr>
            <w:r w:rsidRPr="00A763FD">
              <w:rPr>
                <w:b/>
                <w:bCs/>
                <w:color w:val="FFFFFF"/>
                <w:sz w:val="19"/>
                <w:szCs w:val="19"/>
              </w:rPr>
              <w:t>Sector</w:t>
            </w:r>
          </w:p>
        </w:tc>
        <w:tc>
          <w:tcPr>
            <w:tcW w:w="2017"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Observed Coefficient of Variation (C</w:t>
            </w:r>
            <w:r w:rsidRPr="00A763FD">
              <w:rPr>
                <w:b/>
                <w:bCs/>
                <w:color w:val="FFFFFF"/>
                <w:sz w:val="19"/>
                <w:szCs w:val="19"/>
                <w:vertAlign w:val="subscript"/>
              </w:rPr>
              <w:t>v</w:t>
            </w:r>
            <w:r w:rsidRPr="00A763FD">
              <w:rPr>
                <w:b/>
                <w:bCs/>
                <w:color w:val="FFFFFF"/>
                <w:sz w:val="19"/>
                <w:szCs w:val="19"/>
              </w:rPr>
              <w:t>) or Proportion in Sample Design for Energy</w:t>
            </w:r>
          </w:p>
        </w:tc>
        <w:tc>
          <w:tcPr>
            <w:tcW w:w="2017"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Relative Precision at 85% C.L. for Energy</w:t>
            </w:r>
          </w:p>
        </w:tc>
        <w:tc>
          <w:tcPr>
            <w:tcW w:w="2017"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Observed Coefficient of Variation (C</w:t>
            </w:r>
            <w:r w:rsidRPr="00A763FD">
              <w:rPr>
                <w:b/>
                <w:bCs/>
                <w:color w:val="FFFFFF"/>
                <w:sz w:val="19"/>
                <w:szCs w:val="19"/>
                <w:vertAlign w:val="subscript"/>
              </w:rPr>
              <w:t>v</w:t>
            </w:r>
            <w:r w:rsidRPr="00A763FD">
              <w:rPr>
                <w:b/>
                <w:bCs/>
                <w:color w:val="FFFFFF"/>
                <w:sz w:val="19"/>
                <w:szCs w:val="19"/>
              </w:rPr>
              <w:t>) or Proportion in Sample Design for Demand</w:t>
            </w:r>
          </w:p>
        </w:tc>
        <w:tc>
          <w:tcPr>
            <w:tcW w:w="1899" w:type="dxa"/>
            <w:shd w:val="clear" w:color="000000" w:fill="448A99"/>
            <w:vAlign w:val="bottom"/>
            <w:hideMark/>
          </w:tcPr>
          <w:p w:rsidR="00B5775F" w:rsidRPr="00A763FD" w:rsidRDefault="00B5775F" w:rsidP="008D7800">
            <w:pPr>
              <w:jc w:val="center"/>
              <w:rPr>
                <w:b/>
                <w:bCs/>
                <w:color w:val="FFFFFF"/>
                <w:sz w:val="19"/>
                <w:szCs w:val="19"/>
              </w:rPr>
            </w:pPr>
            <w:r w:rsidRPr="00A763FD">
              <w:rPr>
                <w:b/>
                <w:bCs/>
                <w:color w:val="FFFFFF"/>
                <w:sz w:val="19"/>
                <w:szCs w:val="19"/>
              </w:rPr>
              <w:t>Relative Precision at 85% C.L. for Demand</w:t>
            </w:r>
          </w:p>
        </w:tc>
      </w:tr>
      <w:tr w:rsidR="00A874AC" w:rsidRPr="00A763FD" w:rsidTr="004B4B06">
        <w:trPr>
          <w:trHeight w:val="360"/>
        </w:trPr>
        <w:tc>
          <w:tcPr>
            <w:tcW w:w="1410" w:type="dxa"/>
            <w:shd w:val="clear" w:color="000000" w:fill="D2EAF1"/>
            <w:vAlign w:val="center"/>
          </w:tcPr>
          <w:p w:rsidR="00B5775F" w:rsidRPr="00A763FD" w:rsidRDefault="00B5775F" w:rsidP="008D7800">
            <w:pPr>
              <w:jc w:val="left"/>
              <w:rPr>
                <w:bCs/>
                <w:color w:val="000000"/>
                <w:sz w:val="19"/>
                <w:szCs w:val="19"/>
              </w:rPr>
            </w:pPr>
            <w:r w:rsidRPr="00A763FD">
              <w:rPr>
                <w:bCs/>
                <w:color w:val="000000"/>
                <w:sz w:val="19"/>
                <w:szCs w:val="19"/>
              </w:rPr>
              <w:t>GNI</w:t>
            </w:r>
          </w:p>
        </w:tc>
        <w:tc>
          <w:tcPr>
            <w:tcW w:w="2017"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0.09</w:t>
            </w:r>
          </w:p>
        </w:tc>
        <w:tc>
          <w:tcPr>
            <w:tcW w:w="2017"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0.99%</w:t>
            </w:r>
          </w:p>
        </w:tc>
        <w:tc>
          <w:tcPr>
            <w:tcW w:w="2017"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0.22</w:t>
            </w:r>
          </w:p>
        </w:tc>
        <w:tc>
          <w:tcPr>
            <w:tcW w:w="1899" w:type="dxa"/>
            <w:shd w:val="clear" w:color="000000" w:fill="D2EAF1"/>
            <w:noWrap/>
            <w:vAlign w:val="center"/>
          </w:tcPr>
          <w:p w:rsidR="00B5775F" w:rsidRPr="00A763FD" w:rsidRDefault="00B5775F" w:rsidP="008D7800">
            <w:pPr>
              <w:jc w:val="center"/>
              <w:rPr>
                <w:color w:val="000000"/>
                <w:sz w:val="19"/>
                <w:szCs w:val="19"/>
              </w:rPr>
            </w:pPr>
            <w:r w:rsidRPr="00A763FD">
              <w:rPr>
                <w:color w:val="000000"/>
                <w:sz w:val="19"/>
                <w:szCs w:val="19"/>
              </w:rPr>
              <w:t>5.27%</w:t>
            </w:r>
          </w:p>
        </w:tc>
      </w:tr>
    </w:tbl>
    <w:p w:rsidR="00B5775F" w:rsidRPr="00EB5DD8" w:rsidRDefault="00B5775F" w:rsidP="00B5775F"/>
    <w:p w:rsidR="00B5775F" w:rsidRPr="00EB5DD8" w:rsidRDefault="00B5775F" w:rsidP="008C7396">
      <w:pPr>
        <w:pStyle w:val="AppendixAHeading5"/>
      </w:pPr>
      <w:r w:rsidRPr="00EB5DD8">
        <w:t>Continuous Energy Improvement Program</w:t>
      </w:r>
    </w:p>
    <w:p w:rsidR="00B5775F" w:rsidRPr="00EB5DD8" w:rsidRDefault="00B5775F" w:rsidP="00B5775F">
      <w:r w:rsidRPr="00EB5DD8">
        <w:t xml:space="preserve">The Continuous Energy Improvement (CEI) Program targets school districts, for which PPL provides technical support to develop and implement a </w:t>
      </w:r>
      <w:r>
        <w:t>s</w:t>
      </w:r>
      <w:r w:rsidRPr="00EB5DD8">
        <w:t xml:space="preserve">trategic </w:t>
      </w:r>
      <w:r>
        <w:t>e</w:t>
      </w:r>
      <w:r w:rsidRPr="00EB5DD8">
        <w:t xml:space="preserve">nergy </w:t>
      </w:r>
      <w:r>
        <w:t>m</w:t>
      </w:r>
      <w:r w:rsidRPr="00EB5DD8">
        <w:t>anagement</w:t>
      </w:r>
      <w:r>
        <w:t xml:space="preserve"> p</w:t>
      </w:r>
      <w:r w:rsidRPr="00EB5DD8">
        <w:t xml:space="preserve">lan (SEMP). This program was new in Phase II and no savings were reported in PY5, so PY6 was the first year that savings were reported. The sampling strategy of this program is presented in </w:t>
      </w:r>
      <w:r w:rsidRPr="00EB5DD8">
        <w:fldChar w:fldCharType="begin"/>
      </w:r>
      <w:r w:rsidRPr="00EB5DD8">
        <w:instrText xml:space="preserve"> REF _Ref440034091 \h  \* MERGEFORMAT </w:instrText>
      </w:r>
      <w:r w:rsidRPr="00EB5DD8">
        <w:fldChar w:fldCharType="separate"/>
      </w:r>
      <w:r w:rsidR="00037CB4" w:rsidRPr="00EB5DD8">
        <w:t>Table A-</w:t>
      </w:r>
      <w:r w:rsidR="00037CB4">
        <w:t>152</w:t>
      </w:r>
      <w:r w:rsidRPr="00EB5DD8">
        <w:fldChar w:fldCharType="end"/>
      </w:r>
      <w:r w:rsidRPr="00EB5DD8">
        <w:t>.</w:t>
      </w:r>
      <w:r>
        <w:t xml:space="preserve"> The population and sampling changed from school districts in PY6 to schools in PY7, in accordance with the program and evaluation design.</w:t>
      </w:r>
    </w:p>
    <w:p w:rsidR="00B5775F" w:rsidRPr="00EB5DD8" w:rsidRDefault="00B5775F" w:rsidP="004837FA">
      <w:pPr>
        <w:pStyle w:val="Caption"/>
      </w:pPr>
      <w:bookmarkStart w:id="1355" w:name="_Ref440034091"/>
      <w:bookmarkStart w:id="1356" w:name="_Toc444269919"/>
      <w:bookmarkStart w:id="1357" w:name="_Toc472472566"/>
      <w:bookmarkStart w:id="1358" w:name="_Toc488741980"/>
      <w:r w:rsidRPr="00EB5DD8">
        <w:t>Table A-</w:t>
      </w:r>
      <w:r w:rsidR="007973A4">
        <w:fldChar w:fldCharType="begin"/>
      </w:r>
      <w:r w:rsidR="007973A4">
        <w:instrText xml:space="preserve"> SEQ Table_A- \* ARABIC </w:instrText>
      </w:r>
      <w:r w:rsidR="007973A4">
        <w:fldChar w:fldCharType="separate"/>
      </w:r>
      <w:r w:rsidR="00037CB4">
        <w:rPr>
          <w:noProof/>
        </w:rPr>
        <w:t>152</w:t>
      </w:r>
      <w:r w:rsidR="007973A4">
        <w:rPr>
          <w:noProof/>
        </w:rPr>
        <w:fldChar w:fldCharType="end"/>
      </w:r>
      <w:bookmarkEnd w:id="1355"/>
      <w:r w:rsidRPr="00EB5DD8">
        <w:t>: PPL’s PY7 Sampling Strategy – CEI Program</w:t>
      </w:r>
      <w:bookmarkEnd w:id="1356"/>
      <w:bookmarkEnd w:id="1357"/>
      <w:bookmarkEnd w:id="1358"/>
    </w:p>
    <w:tbl>
      <w:tblPr>
        <w:tblW w:w="9341"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71"/>
        <w:gridCol w:w="2094"/>
        <w:gridCol w:w="2094"/>
        <w:gridCol w:w="1611"/>
        <w:gridCol w:w="1771"/>
      </w:tblGrid>
      <w:tr w:rsidR="00A874AC" w:rsidRPr="00194D44" w:rsidTr="0036185D">
        <w:trPr>
          <w:trHeight w:val="628"/>
        </w:trPr>
        <w:tc>
          <w:tcPr>
            <w:tcW w:w="1771" w:type="dxa"/>
            <w:shd w:val="clear" w:color="000000" w:fill="448A99"/>
            <w:vAlign w:val="bottom"/>
            <w:hideMark/>
          </w:tcPr>
          <w:p w:rsidR="00B5775F" w:rsidRPr="00194D44" w:rsidRDefault="00B5775F" w:rsidP="008D7800">
            <w:pPr>
              <w:jc w:val="left"/>
              <w:rPr>
                <w:b/>
                <w:bCs/>
                <w:color w:val="FFFFFF"/>
                <w:sz w:val="19"/>
                <w:szCs w:val="19"/>
              </w:rPr>
            </w:pPr>
            <w:r w:rsidRPr="00194D44">
              <w:rPr>
                <w:b/>
                <w:bCs/>
                <w:color w:val="FFFFFF"/>
                <w:sz w:val="19"/>
                <w:szCs w:val="19"/>
              </w:rPr>
              <w:t>Stratum</w:t>
            </w:r>
          </w:p>
        </w:tc>
        <w:tc>
          <w:tcPr>
            <w:tcW w:w="2094" w:type="dxa"/>
            <w:shd w:val="clear" w:color="000000" w:fill="448A99"/>
            <w:vAlign w:val="bottom"/>
            <w:hideMark/>
          </w:tcPr>
          <w:p w:rsidR="00B5775F" w:rsidRPr="00194D44" w:rsidRDefault="00B5775F" w:rsidP="008D7800">
            <w:pPr>
              <w:jc w:val="center"/>
              <w:rPr>
                <w:b/>
                <w:bCs/>
                <w:color w:val="FFFFFF"/>
                <w:sz w:val="19"/>
                <w:szCs w:val="19"/>
              </w:rPr>
            </w:pPr>
            <w:r w:rsidRPr="00194D44">
              <w:rPr>
                <w:b/>
                <w:bCs/>
                <w:color w:val="FFFFFF"/>
                <w:sz w:val="19"/>
                <w:szCs w:val="19"/>
              </w:rPr>
              <w:t>Population (Schools)</w:t>
            </w:r>
          </w:p>
        </w:tc>
        <w:tc>
          <w:tcPr>
            <w:tcW w:w="2094" w:type="dxa"/>
            <w:shd w:val="clear" w:color="000000" w:fill="448A99"/>
            <w:vAlign w:val="bottom"/>
            <w:hideMark/>
          </w:tcPr>
          <w:p w:rsidR="00B5775F" w:rsidRPr="00194D44" w:rsidRDefault="00B5775F" w:rsidP="008D7800">
            <w:pPr>
              <w:jc w:val="center"/>
              <w:rPr>
                <w:b/>
                <w:bCs/>
                <w:color w:val="FFFFFF"/>
                <w:sz w:val="19"/>
                <w:szCs w:val="19"/>
              </w:rPr>
            </w:pPr>
            <w:r w:rsidRPr="00194D44">
              <w:rPr>
                <w:b/>
                <w:bCs/>
                <w:color w:val="FFFFFF"/>
                <w:sz w:val="19"/>
                <w:szCs w:val="19"/>
              </w:rPr>
              <w:t>Target Levels of Confidence &amp; Precision</w:t>
            </w:r>
          </w:p>
        </w:tc>
        <w:tc>
          <w:tcPr>
            <w:tcW w:w="1611" w:type="dxa"/>
            <w:shd w:val="clear" w:color="000000" w:fill="448A99"/>
            <w:vAlign w:val="bottom"/>
            <w:hideMark/>
          </w:tcPr>
          <w:p w:rsidR="00B5775F" w:rsidRPr="00194D44" w:rsidRDefault="00B5775F" w:rsidP="008D7800">
            <w:pPr>
              <w:jc w:val="center"/>
              <w:rPr>
                <w:b/>
                <w:bCs/>
                <w:color w:val="FFFFFF"/>
                <w:sz w:val="19"/>
                <w:szCs w:val="19"/>
              </w:rPr>
            </w:pPr>
            <w:r w:rsidRPr="00194D44">
              <w:rPr>
                <w:b/>
                <w:bCs/>
                <w:color w:val="FFFFFF"/>
                <w:sz w:val="19"/>
                <w:szCs w:val="19"/>
              </w:rPr>
              <w:t>Target Sample Size</w:t>
            </w:r>
          </w:p>
        </w:tc>
        <w:tc>
          <w:tcPr>
            <w:tcW w:w="1771" w:type="dxa"/>
            <w:shd w:val="clear" w:color="000000" w:fill="448A99"/>
            <w:vAlign w:val="bottom"/>
            <w:hideMark/>
          </w:tcPr>
          <w:p w:rsidR="00B5775F" w:rsidRPr="00194D44" w:rsidRDefault="00B5775F" w:rsidP="008D7800">
            <w:pPr>
              <w:jc w:val="center"/>
              <w:rPr>
                <w:b/>
                <w:bCs/>
                <w:color w:val="FFFFFF"/>
                <w:sz w:val="19"/>
                <w:szCs w:val="19"/>
              </w:rPr>
            </w:pPr>
            <w:r w:rsidRPr="00194D44">
              <w:rPr>
                <w:b/>
                <w:bCs/>
                <w:color w:val="FFFFFF"/>
                <w:sz w:val="19"/>
                <w:szCs w:val="19"/>
              </w:rPr>
              <w:t>Achieved Sample Size</w:t>
            </w:r>
          </w:p>
        </w:tc>
      </w:tr>
      <w:tr w:rsidR="00A874AC" w:rsidRPr="00194D44" w:rsidTr="0036185D">
        <w:trPr>
          <w:trHeight w:val="350"/>
        </w:trPr>
        <w:tc>
          <w:tcPr>
            <w:tcW w:w="1771" w:type="dxa"/>
            <w:shd w:val="clear" w:color="000000" w:fill="D2EAF1"/>
            <w:noWrap/>
            <w:vAlign w:val="center"/>
          </w:tcPr>
          <w:p w:rsidR="00B5775F" w:rsidRPr="00194D44" w:rsidRDefault="00B5775F" w:rsidP="008D7800">
            <w:pPr>
              <w:jc w:val="left"/>
              <w:rPr>
                <w:bCs/>
                <w:color w:val="000000"/>
                <w:sz w:val="19"/>
                <w:szCs w:val="19"/>
              </w:rPr>
            </w:pPr>
            <w:r w:rsidRPr="00194D44">
              <w:rPr>
                <w:bCs/>
                <w:color w:val="000000"/>
                <w:sz w:val="19"/>
                <w:szCs w:val="19"/>
              </w:rPr>
              <w:t>Schools</w:t>
            </w:r>
          </w:p>
        </w:tc>
        <w:tc>
          <w:tcPr>
            <w:tcW w:w="2094" w:type="dxa"/>
            <w:shd w:val="clear" w:color="000000" w:fill="D2EAF1"/>
            <w:noWrap/>
            <w:vAlign w:val="center"/>
          </w:tcPr>
          <w:p w:rsidR="00B5775F" w:rsidRPr="00194D44" w:rsidRDefault="00B5775F" w:rsidP="008D7800">
            <w:pPr>
              <w:jc w:val="center"/>
              <w:rPr>
                <w:color w:val="000000"/>
                <w:sz w:val="19"/>
                <w:szCs w:val="19"/>
              </w:rPr>
            </w:pPr>
            <w:r w:rsidRPr="00194D44">
              <w:rPr>
                <w:color w:val="000000"/>
                <w:sz w:val="19"/>
                <w:szCs w:val="19"/>
              </w:rPr>
              <w:t>44</w:t>
            </w:r>
          </w:p>
        </w:tc>
        <w:tc>
          <w:tcPr>
            <w:tcW w:w="2094" w:type="dxa"/>
            <w:shd w:val="clear" w:color="000000" w:fill="D2EAF1"/>
            <w:noWrap/>
            <w:vAlign w:val="center"/>
          </w:tcPr>
          <w:p w:rsidR="00B5775F" w:rsidRPr="00194D44" w:rsidRDefault="00B5775F" w:rsidP="008D7800">
            <w:pPr>
              <w:jc w:val="center"/>
              <w:rPr>
                <w:color w:val="000000"/>
                <w:sz w:val="19"/>
                <w:szCs w:val="19"/>
              </w:rPr>
            </w:pPr>
            <w:r w:rsidRPr="00194D44">
              <w:rPr>
                <w:color w:val="000000"/>
                <w:sz w:val="19"/>
                <w:szCs w:val="19"/>
              </w:rPr>
              <w:t>N/A</w:t>
            </w:r>
          </w:p>
        </w:tc>
        <w:tc>
          <w:tcPr>
            <w:tcW w:w="1611" w:type="dxa"/>
            <w:shd w:val="clear" w:color="000000" w:fill="D2EAF1"/>
            <w:noWrap/>
            <w:vAlign w:val="center"/>
          </w:tcPr>
          <w:p w:rsidR="00B5775F" w:rsidRPr="00194D44" w:rsidRDefault="00B5775F" w:rsidP="008D7800">
            <w:pPr>
              <w:jc w:val="center"/>
              <w:rPr>
                <w:color w:val="000000"/>
                <w:sz w:val="19"/>
                <w:szCs w:val="19"/>
              </w:rPr>
            </w:pPr>
            <w:r w:rsidRPr="00194D44">
              <w:rPr>
                <w:color w:val="000000"/>
                <w:sz w:val="19"/>
                <w:szCs w:val="19"/>
              </w:rPr>
              <w:t>44</w:t>
            </w:r>
          </w:p>
        </w:tc>
        <w:tc>
          <w:tcPr>
            <w:tcW w:w="1771" w:type="dxa"/>
            <w:shd w:val="clear" w:color="000000" w:fill="D2EAF1"/>
            <w:noWrap/>
            <w:vAlign w:val="center"/>
          </w:tcPr>
          <w:p w:rsidR="00B5775F" w:rsidRPr="00194D44" w:rsidRDefault="00B5775F" w:rsidP="008D7800">
            <w:pPr>
              <w:jc w:val="center"/>
              <w:rPr>
                <w:color w:val="000000"/>
                <w:sz w:val="19"/>
                <w:szCs w:val="19"/>
              </w:rPr>
            </w:pPr>
            <w:r w:rsidRPr="00194D44">
              <w:rPr>
                <w:color w:val="000000"/>
                <w:sz w:val="19"/>
                <w:szCs w:val="19"/>
              </w:rPr>
              <w:t>42</w:t>
            </w:r>
          </w:p>
        </w:tc>
      </w:tr>
      <w:tr w:rsidR="00B5775F" w:rsidRPr="00194D44" w:rsidTr="00FD03DC">
        <w:trPr>
          <w:trHeight w:val="350"/>
        </w:trPr>
        <w:tc>
          <w:tcPr>
            <w:tcW w:w="1771" w:type="dxa"/>
            <w:shd w:val="clear" w:color="auto" w:fill="auto"/>
            <w:vAlign w:val="center"/>
          </w:tcPr>
          <w:p w:rsidR="00B5775F" w:rsidRPr="00194D44" w:rsidRDefault="00B5775F" w:rsidP="008D7800">
            <w:pPr>
              <w:jc w:val="left"/>
              <w:rPr>
                <w:b/>
                <w:bCs/>
                <w:color w:val="000000"/>
                <w:sz w:val="19"/>
                <w:szCs w:val="19"/>
              </w:rPr>
            </w:pPr>
            <w:r w:rsidRPr="00194D44">
              <w:rPr>
                <w:b/>
                <w:bCs/>
                <w:color w:val="000000"/>
                <w:sz w:val="19"/>
                <w:szCs w:val="19"/>
              </w:rPr>
              <w:t>Program Total</w:t>
            </w:r>
          </w:p>
        </w:tc>
        <w:tc>
          <w:tcPr>
            <w:tcW w:w="2094" w:type="dxa"/>
            <w:shd w:val="clear" w:color="auto" w:fill="auto"/>
            <w:noWrap/>
            <w:vAlign w:val="center"/>
          </w:tcPr>
          <w:p w:rsidR="00B5775F" w:rsidRPr="00194D44" w:rsidRDefault="00B5775F" w:rsidP="008D7800">
            <w:pPr>
              <w:jc w:val="center"/>
              <w:rPr>
                <w:b/>
                <w:bCs/>
                <w:color w:val="000000"/>
                <w:sz w:val="19"/>
                <w:szCs w:val="19"/>
              </w:rPr>
            </w:pPr>
            <w:r w:rsidRPr="00194D44">
              <w:rPr>
                <w:b/>
                <w:bCs/>
                <w:color w:val="000000"/>
                <w:sz w:val="19"/>
                <w:szCs w:val="19"/>
              </w:rPr>
              <w:t>44</w:t>
            </w:r>
          </w:p>
        </w:tc>
        <w:tc>
          <w:tcPr>
            <w:tcW w:w="2094" w:type="dxa"/>
            <w:shd w:val="clear" w:color="auto" w:fill="auto"/>
            <w:noWrap/>
            <w:vAlign w:val="center"/>
          </w:tcPr>
          <w:p w:rsidR="00B5775F" w:rsidRPr="00194D44" w:rsidRDefault="00B5775F" w:rsidP="008D7800">
            <w:pPr>
              <w:jc w:val="center"/>
              <w:rPr>
                <w:b/>
                <w:bCs/>
                <w:color w:val="000000"/>
                <w:sz w:val="19"/>
                <w:szCs w:val="19"/>
              </w:rPr>
            </w:pPr>
            <w:r w:rsidRPr="00194D44">
              <w:rPr>
                <w:b/>
                <w:bCs/>
                <w:color w:val="000000"/>
                <w:sz w:val="19"/>
                <w:szCs w:val="19"/>
              </w:rPr>
              <w:t>N/A</w:t>
            </w:r>
          </w:p>
        </w:tc>
        <w:tc>
          <w:tcPr>
            <w:tcW w:w="1611" w:type="dxa"/>
            <w:shd w:val="clear" w:color="auto" w:fill="auto"/>
            <w:noWrap/>
            <w:vAlign w:val="center"/>
          </w:tcPr>
          <w:p w:rsidR="00B5775F" w:rsidRPr="00194D44" w:rsidRDefault="00B5775F" w:rsidP="008D7800">
            <w:pPr>
              <w:jc w:val="center"/>
              <w:rPr>
                <w:b/>
                <w:bCs/>
                <w:color w:val="000000"/>
                <w:sz w:val="19"/>
                <w:szCs w:val="19"/>
              </w:rPr>
            </w:pPr>
            <w:r w:rsidRPr="00194D44">
              <w:rPr>
                <w:b/>
                <w:bCs/>
                <w:color w:val="000000"/>
                <w:sz w:val="19"/>
                <w:szCs w:val="19"/>
              </w:rPr>
              <w:t>44</w:t>
            </w:r>
          </w:p>
        </w:tc>
        <w:tc>
          <w:tcPr>
            <w:tcW w:w="1771" w:type="dxa"/>
            <w:shd w:val="clear" w:color="auto" w:fill="auto"/>
            <w:noWrap/>
            <w:vAlign w:val="center"/>
          </w:tcPr>
          <w:p w:rsidR="00B5775F" w:rsidRPr="00194D44" w:rsidRDefault="00B5775F" w:rsidP="008D7800">
            <w:pPr>
              <w:jc w:val="center"/>
              <w:rPr>
                <w:b/>
                <w:bCs/>
                <w:color w:val="000000"/>
                <w:sz w:val="19"/>
                <w:szCs w:val="19"/>
              </w:rPr>
            </w:pPr>
            <w:r w:rsidRPr="00194D44">
              <w:rPr>
                <w:b/>
                <w:bCs/>
                <w:color w:val="000000"/>
                <w:sz w:val="19"/>
                <w:szCs w:val="19"/>
              </w:rPr>
              <w:t>42</w:t>
            </w:r>
          </w:p>
        </w:tc>
      </w:tr>
    </w:tbl>
    <w:p w:rsidR="00B5775F" w:rsidRPr="00EB5DD8" w:rsidRDefault="00B5775F" w:rsidP="00B5775F"/>
    <w:p w:rsidR="00B5775F" w:rsidRPr="00EB5DD8" w:rsidRDefault="00B5775F" w:rsidP="00B5775F">
      <w:r w:rsidRPr="00EB5DD8">
        <w:t xml:space="preserve">The achieved precision values for energy and demand are listed in </w:t>
      </w:r>
      <w:r>
        <w:fldChar w:fldCharType="begin"/>
      </w:r>
      <w:r>
        <w:instrText xml:space="preserve"> REF _Ref473625362 \h </w:instrText>
      </w:r>
      <w:r>
        <w:fldChar w:fldCharType="separate"/>
      </w:r>
      <w:r w:rsidR="00037CB4" w:rsidRPr="00EB5DD8">
        <w:t>Table A-</w:t>
      </w:r>
      <w:r w:rsidR="00037CB4">
        <w:rPr>
          <w:noProof/>
        </w:rPr>
        <w:t>153</w:t>
      </w:r>
      <w:r>
        <w:fldChar w:fldCharType="end"/>
      </w:r>
      <w:r w:rsidRPr="00EB5DD8">
        <w:t>.</w:t>
      </w:r>
    </w:p>
    <w:p w:rsidR="00B5775F" w:rsidRPr="0036185D" w:rsidRDefault="00B5775F" w:rsidP="0036185D">
      <w:bookmarkStart w:id="1359" w:name="_Ref440269510"/>
    </w:p>
    <w:p w:rsidR="00B5775F" w:rsidRPr="00EB5DD8" w:rsidRDefault="00B5775F" w:rsidP="004837FA">
      <w:pPr>
        <w:pStyle w:val="Caption"/>
      </w:pPr>
      <w:bookmarkStart w:id="1360" w:name="_Ref473625362"/>
      <w:bookmarkStart w:id="1361" w:name="_Toc444269920"/>
      <w:bookmarkStart w:id="1362" w:name="_Toc472472567"/>
      <w:bookmarkStart w:id="1363" w:name="_Toc488741981"/>
      <w:r w:rsidRPr="00EB5DD8">
        <w:t>Table A-</w:t>
      </w:r>
      <w:r w:rsidR="007973A4">
        <w:fldChar w:fldCharType="begin"/>
      </w:r>
      <w:r w:rsidR="007973A4">
        <w:instrText xml:space="preserve"> SEQ Table_A- \* ARABIC </w:instrText>
      </w:r>
      <w:r w:rsidR="007973A4">
        <w:fldChar w:fldCharType="separate"/>
      </w:r>
      <w:r w:rsidR="00037CB4">
        <w:rPr>
          <w:noProof/>
        </w:rPr>
        <w:t>153</w:t>
      </w:r>
      <w:r w:rsidR="007973A4">
        <w:rPr>
          <w:noProof/>
        </w:rPr>
        <w:fldChar w:fldCharType="end"/>
      </w:r>
      <w:bookmarkEnd w:id="1359"/>
      <w:bookmarkEnd w:id="1360"/>
      <w:r w:rsidRPr="00EB5DD8">
        <w:t>: Observed Coefficients of Variation and Relative Precision – CEI Program</w:t>
      </w:r>
      <w:bookmarkEnd w:id="1361"/>
      <w:bookmarkEnd w:id="1362"/>
      <w:bookmarkEnd w:id="1363"/>
    </w:p>
    <w:tbl>
      <w:tblPr>
        <w:tblW w:w="929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90"/>
        <w:gridCol w:w="2250"/>
        <w:gridCol w:w="1530"/>
        <w:gridCol w:w="2160"/>
        <w:gridCol w:w="1568"/>
      </w:tblGrid>
      <w:tr w:rsidR="00A874AC" w:rsidRPr="00194D44" w:rsidTr="0036185D">
        <w:trPr>
          <w:trHeight w:val="1024"/>
          <w:tblHeader/>
        </w:trPr>
        <w:tc>
          <w:tcPr>
            <w:tcW w:w="1790" w:type="dxa"/>
            <w:shd w:val="clear" w:color="000000" w:fill="448A99"/>
            <w:vAlign w:val="bottom"/>
            <w:hideMark/>
          </w:tcPr>
          <w:p w:rsidR="00B5775F" w:rsidRPr="00194D44" w:rsidRDefault="00B5775F" w:rsidP="008D7800">
            <w:pPr>
              <w:jc w:val="left"/>
              <w:rPr>
                <w:b/>
                <w:bCs/>
                <w:color w:val="FFFFFF"/>
                <w:sz w:val="19"/>
                <w:szCs w:val="19"/>
              </w:rPr>
            </w:pPr>
            <w:r w:rsidRPr="00194D44">
              <w:rPr>
                <w:b/>
                <w:bCs/>
                <w:color w:val="FFFFFF"/>
                <w:sz w:val="19"/>
                <w:szCs w:val="19"/>
              </w:rPr>
              <w:t>Stratum</w:t>
            </w:r>
          </w:p>
        </w:tc>
        <w:tc>
          <w:tcPr>
            <w:tcW w:w="2250" w:type="dxa"/>
            <w:shd w:val="clear" w:color="000000" w:fill="448A99"/>
            <w:vAlign w:val="bottom"/>
            <w:hideMark/>
          </w:tcPr>
          <w:p w:rsidR="00B5775F" w:rsidRPr="00194D44" w:rsidRDefault="00B5775F" w:rsidP="008D7800">
            <w:pPr>
              <w:jc w:val="center"/>
              <w:rPr>
                <w:b/>
                <w:bCs/>
                <w:color w:val="FFFFFF"/>
                <w:sz w:val="19"/>
                <w:szCs w:val="19"/>
              </w:rPr>
            </w:pPr>
            <w:r w:rsidRPr="00194D44">
              <w:rPr>
                <w:b/>
                <w:bCs/>
                <w:color w:val="FFFFFF"/>
                <w:sz w:val="19"/>
                <w:szCs w:val="19"/>
              </w:rPr>
              <w:t>Observed Coefficient of Variation (C</w:t>
            </w:r>
            <w:r w:rsidRPr="00194D44">
              <w:rPr>
                <w:b/>
                <w:bCs/>
                <w:color w:val="FFFFFF"/>
                <w:sz w:val="19"/>
                <w:szCs w:val="19"/>
                <w:vertAlign w:val="subscript"/>
              </w:rPr>
              <w:t>v</w:t>
            </w:r>
            <w:r w:rsidRPr="00194D44">
              <w:rPr>
                <w:b/>
                <w:bCs/>
                <w:color w:val="FFFFFF"/>
                <w:sz w:val="19"/>
                <w:szCs w:val="19"/>
              </w:rPr>
              <w:t>) or Proportion in Sample Design for Energy</w:t>
            </w:r>
          </w:p>
        </w:tc>
        <w:tc>
          <w:tcPr>
            <w:tcW w:w="1530" w:type="dxa"/>
            <w:shd w:val="clear" w:color="000000" w:fill="448A99"/>
            <w:vAlign w:val="bottom"/>
            <w:hideMark/>
          </w:tcPr>
          <w:p w:rsidR="00B5775F" w:rsidRPr="00194D44" w:rsidRDefault="00B5775F" w:rsidP="008D7800">
            <w:pPr>
              <w:jc w:val="center"/>
              <w:rPr>
                <w:b/>
                <w:bCs/>
                <w:color w:val="FFFFFF"/>
                <w:sz w:val="19"/>
                <w:szCs w:val="19"/>
              </w:rPr>
            </w:pPr>
            <w:r w:rsidRPr="00194D44">
              <w:rPr>
                <w:b/>
                <w:bCs/>
                <w:color w:val="FFFFFF"/>
                <w:sz w:val="19"/>
                <w:szCs w:val="19"/>
              </w:rPr>
              <w:t>Relative Precision at 85% C.L. for Energy</w:t>
            </w:r>
          </w:p>
        </w:tc>
        <w:tc>
          <w:tcPr>
            <w:tcW w:w="2160" w:type="dxa"/>
            <w:shd w:val="clear" w:color="000000" w:fill="448A99"/>
            <w:vAlign w:val="bottom"/>
            <w:hideMark/>
          </w:tcPr>
          <w:p w:rsidR="00B5775F" w:rsidRPr="00194D44" w:rsidRDefault="00B5775F" w:rsidP="008D7800">
            <w:pPr>
              <w:jc w:val="center"/>
              <w:rPr>
                <w:b/>
                <w:bCs/>
                <w:color w:val="FFFFFF"/>
                <w:sz w:val="19"/>
                <w:szCs w:val="19"/>
              </w:rPr>
            </w:pPr>
            <w:r w:rsidRPr="00194D44">
              <w:rPr>
                <w:b/>
                <w:bCs/>
                <w:color w:val="FFFFFF"/>
                <w:sz w:val="19"/>
                <w:szCs w:val="19"/>
              </w:rPr>
              <w:t>Observed Coefficient of Variation (C</w:t>
            </w:r>
            <w:r w:rsidRPr="00194D44">
              <w:rPr>
                <w:b/>
                <w:bCs/>
                <w:color w:val="FFFFFF"/>
                <w:sz w:val="19"/>
                <w:szCs w:val="19"/>
                <w:vertAlign w:val="subscript"/>
              </w:rPr>
              <w:t>v</w:t>
            </w:r>
            <w:r w:rsidRPr="00194D44">
              <w:rPr>
                <w:b/>
                <w:bCs/>
                <w:color w:val="FFFFFF"/>
                <w:sz w:val="19"/>
                <w:szCs w:val="19"/>
              </w:rPr>
              <w:t>) or Proportion in Sample Design for Demand</w:t>
            </w:r>
          </w:p>
        </w:tc>
        <w:tc>
          <w:tcPr>
            <w:tcW w:w="1568" w:type="dxa"/>
            <w:shd w:val="clear" w:color="000000" w:fill="448A99"/>
            <w:vAlign w:val="bottom"/>
            <w:hideMark/>
          </w:tcPr>
          <w:p w:rsidR="00B5775F" w:rsidRPr="00194D44" w:rsidRDefault="00B5775F" w:rsidP="008D7800">
            <w:pPr>
              <w:jc w:val="center"/>
              <w:rPr>
                <w:b/>
                <w:bCs/>
                <w:color w:val="FFFFFF"/>
                <w:sz w:val="19"/>
                <w:szCs w:val="19"/>
              </w:rPr>
            </w:pPr>
            <w:r w:rsidRPr="00194D44">
              <w:rPr>
                <w:b/>
                <w:bCs/>
                <w:color w:val="FFFFFF"/>
                <w:sz w:val="19"/>
                <w:szCs w:val="19"/>
              </w:rPr>
              <w:t>Relative Precision at 85% C.L. for Demand</w:t>
            </w:r>
          </w:p>
        </w:tc>
      </w:tr>
      <w:tr w:rsidR="00A874AC" w:rsidRPr="00194D44" w:rsidTr="0036185D">
        <w:trPr>
          <w:trHeight w:val="346"/>
        </w:trPr>
        <w:tc>
          <w:tcPr>
            <w:tcW w:w="1790" w:type="dxa"/>
            <w:shd w:val="clear" w:color="000000" w:fill="D2EAF1"/>
            <w:noWrap/>
            <w:vAlign w:val="center"/>
          </w:tcPr>
          <w:p w:rsidR="00B5775F" w:rsidRPr="00194D44" w:rsidRDefault="00B5775F" w:rsidP="008D7800">
            <w:pPr>
              <w:jc w:val="left"/>
              <w:rPr>
                <w:bCs/>
                <w:color w:val="000000"/>
                <w:sz w:val="19"/>
                <w:szCs w:val="19"/>
              </w:rPr>
            </w:pPr>
            <w:r w:rsidRPr="00194D44">
              <w:rPr>
                <w:bCs/>
                <w:color w:val="000000"/>
                <w:sz w:val="19"/>
                <w:szCs w:val="19"/>
              </w:rPr>
              <w:t>School district</w:t>
            </w:r>
          </w:p>
        </w:tc>
        <w:tc>
          <w:tcPr>
            <w:tcW w:w="2250" w:type="dxa"/>
            <w:shd w:val="clear" w:color="000000" w:fill="D2EAF1"/>
            <w:noWrap/>
            <w:vAlign w:val="center"/>
          </w:tcPr>
          <w:p w:rsidR="00B5775F" w:rsidRPr="00194D44" w:rsidRDefault="00B5775F" w:rsidP="008D7800">
            <w:pPr>
              <w:jc w:val="center"/>
              <w:rPr>
                <w:color w:val="000000"/>
                <w:sz w:val="19"/>
                <w:szCs w:val="19"/>
              </w:rPr>
            </w:pPr>
            <w:r w:rsidRPr="00194D44">
              <w:rPr>
                <w:color w:val="000000"/>
                <w:sz w:val="19"/>
                <w:szCs w:val="19"/>
              </w:rPr>
              <w:t>N/A</w:t>
            </w:r>
          </w:p>
        </w:tc>
        <w:tc>
          <w:tcPr>
            <w:tcW w:w="1530" w:type="dxa"/>
            <w:shd w:val="clear" w:color="000000" w:fill="D2EAF1"/>
            <w:noWrap/>
            <w:vAlign w:val="center"/>
          </w:tcPr>
          <w:p w:rsidR="00B5775F" w:rsidRPr="00194D44" w:rsidRDefault="00B5775F" w:rsidP="008D7800">
            <w:pPr>
              <w:jc w:val="center"/>
              <w:rPr>
                <w:color w:val="000000"/>
                <w:sz w:val="19"/>
                <w:szCs w:val="19"/>
              </w:rPr>
            </w:pPr>
            <w:r w:rsidRPr="00194D44">
              <w:rPr>
                <w:color w:val="000000"/>
                <w:sz w:val="19"/>
                <w:szCs w:val="19"/>
              </w:rPr>
              <w:t>3.83%</w:t>
            </w:r>
          </w:p>
        </w:tc>
        <w:tc>
          <w:tcPr>
            <w:tcW w:w="2160" w:type="dxa"/>
            <w:shd w:val="clear" w:color="000000" w:fill="D2EAF1"/>
            <w:noWrap/>
            <w:vAlign w:val="center"/>
          </w:tcPr>
          <w:p w:rsidR="00B5775F" w:rsidRPr="00194D44" w:rsidRDefault="00B5775F" w:rsidP="008D7800">
            <w:pPr>
              <w:jc w:val="center"/>
              <w:rPr>
                <w:color w:val="000000"/>
                <w:sz w:val="19"/>
                <w:szCs w:val="19"/>
              </w:rPr>
            </w:pPr>
            <w:r w:rsidRPr="00194D44">
              <w:rPr>
                <w:color w:val="000000"/>
                <w:sz w:val="19"/>
                <w:szCs w:val="19"/>
              </w:rPr>
              <w:t>N/A</w:t>
            </w:r>
          </w:p>
        </w:tc>
        <w:tc>
          <w:tcPr>
            <w:tcW w:w="1568" w:type="dxa"/>
            <w:shd w:val="clear" w:color="000000" w:fill="D2EAF1"/>
            <w:noWrap/>
            <w:vAlign w:val="center"/>
          </w:tcPr>
          <w:p w:rsidR="00B5775F" w:rsidRPr="00194D44" w:rsidRDefault="00B5775F" w:rsidP="008D7800">
            <w:pPr>
              <w:jc w:val="center"/>
              <w:rPr>
                <w:color w:val="000000"/>
                <w:sz w:val="19"/>
                <w:szCs w:val="19"/>
              </w:rPr>
            </w:pPr>
            <w:r w:rsidRPr="00194D44">
              <w:rPr>
                <w:color w:val="000000"/>
                <w:sz w:val="19"/>
                <w:szCs w:val="19"/>
              </w:rPr>
              <w:t>46.57%</w:t>
            </w:r>
          </w:p>
        </w:tc>
      </w:tr>
      <w:tr w:rsidR="00B5775F" w:rsidRPr="00194D44" w:rsidTr="00FD03DC">
        <w:trPr>
          <w:trHeight w:val="346"/>
        </w:trPr>
        <w:tc>
          <w:tcPr>
            <w:tcW w:w="1790" w:type="dxa"/>
            <w:shd w:val="clear" w:color="auto" w:fill="auto"/>
            <w:noWrap/>
            <w:vAlign w:val="center"/>
          </w:tcPr>
          <w:p w:rsidR="00B5775F" w:rsidRPr="00194D44" w:rsidRDefault="00B5775F" w:rsidP="008D7800">
            <w:pPr>
              <w:jc w:val="left"/>
              <w:rPr>
                <w:bCs/>
                <w:color w:val="000000"/>
                <w:sz w:val="19"/>
                <w:szCs w:val="19"/>
              </w:rPr>
            </w:pPr>
            <w:r w:rsidRPr="00194D44">
              <w:rPr>
                <w:b/>
                <w:bCs/>
                <w:color w:val="000000"/>
                <w:sz w:val="19"/>
                <w:szCs w:val="19"/>
              </w:rPr>
              <w:t>Program Total</w:t>
            </w:r>
          </w:p>
        </w:tc>
        <w:tc>
          <w:tcPr>
            <w:tcW w:w="2250" w:type="dxa"/>
            <w:shd w:val="clear" w:color="auto" w:fill="auto"/>
            <w:noWrap/>
            <w:vAlign w:val="center"/>
          </w:tcPr>
          <w:p w:rsidR="00B5775F" w:rsidRPr="00194D44" w:rsidRDefault="00B5775F" w:rsidP="008D7800">
            <w:pPr>
              <w:jc w:val="center"/>
              <w:rPr>
                <w:color w:val="000000"/>
                <w:sz w:val="19"/>
                <w:szCs w:val="19"/>
              </w:rPr>
            </w:pPr>
            <w:r w:rsidRPr="00194D44">
              <w:rPr>
                <w:color w:val="000000"/>
                <w:sz w:val="19"/>
                <w:szCs w:val="19"/>
              </w:rPr>
              <w:t>N/A</w:t>
            </w:r>
          </w:p>
        </w:tc>
        <w:tc>
          <w:tcPr>
            <w:tcW w:w="1530" w:type="dxa"/>
            <w:shd w:val="clear" w:color="auto" w:fill="auto"/>
            <w:noWrap/>
            <w:vAlign w:val="center"/>
          </w:tcPr>
          <w:p w:rsidR="00B5775F" w:rsidRPr="00194D44" w:rsidRDefault="00B5775F" w:rsidP="008D7800">
            <w:pPr>
              <w:jc w:val="center"/>
              <w:rPr>
                <w:b/>
                <w:color w:val="000000"/>
                <w:sz w:val="19"/>
                <w:szCs w:val="19"/>
              </w:rPr>
            </w:pPr>
            <w:r w:rsidRPr="00194D44">
              <w:rPr>
                <w:color w:val="000000"/>
                <w:sz w:val="19"/>
                <w:szCs w:val="19"/>
              </w:rPr>
              <w:t>3.83%</w:t>
            </w:r>
          </w:p>
        </w:tc>
        <w:tc>
          <w:tcPr>
            <w:tcW w:w="2160" w:type="dxa"/>
            <w:shd w:val="clear" w:color="auto" w:fill="auto"/>
            <w:noWrap/>
            <w:vAlign w:val="center"/>
          </w:tcPr>
          <w:p w:rsidR="00B5775F" w:rsidRPr="00194D44" w:rsidRDefault="00B5775F" w:rsidP="008D7800">
            <w:pPr>
              <w:jc w:val="center"/>
              <w:rPr>
                <w:b/>
                <w:color w:val="000000"/>
                <w:sz w:val="19"/>
                <w:szCs w:val="19"/>
              </w:rPr>
            </w:pPr>
            <w:r w:rsidRPr="00194D44">
              <w:rPr>
                <w:color w:val="000000"/>
                <w:sz w:val="19"/>
                <w:szCs w:val="19"/>
              </w:rPr>
              <w:t>N/A</w:t>
            </w:r>
          </w:p>
        </w:tc>
        <w:tc>
          <w:tcPr>
            <w:tcW w:w="1568" w:type="dxa"/>
            <w:shd w:val="clear" w:color="auto" w:fill="auto"/>
            <w:noWrap/>
            <w:vAlign w:val="center"/>
          </w:tcPr>
          <w:p w:rsidR="00B5775F" w:rsidRPr="00194D44" w:rsidRDefault="00B5775F" w:rsidP="008D7800">
            <w:pPr>
              <w:jc w:val="center"/>
              <w:rPr>
                <w:b/>
                <w:color w:val="000000"/>
                <w:sz w:val="19"/>
                <w:szCs w:val="19"/>
              </w:rPr>
            </w:pPr>
            <w:r w:rsidRPr="00194D44">
              <w:rPr>
                <w:color w:val="000000"/>
                <w:sz w:val="19"/>
                <w:szCs w:val="19"/>
              </w:rPr>
              <w:t>46.57%</w:t>
            </w:r>
          </w:p>
        </w:tc>
      </w:tr>
    </w:tbl>
    <w:p w:rsidR="00B5775F" w:rsidRDefault="00B5775F" w:rsidP="00B5775F"/>
    <w:p w:rsidR="00B5775F" w:rsidRPr="00AE0B51" w:rsidRDefault="00B5775F" w:rsidP="00B5775F">
      <w:r w:rsidRPr="00EB5DD8">
        <w:t>The relative precision for energy in PY6 was 29%</w:t>
      </w:r>
      <w:r>
        <w:t>,</w:t>
      </w:r>
      <w:r w:rsidRPr="00EB5DD8">
        <w:t xml:space="preserve"> which was expected due to </w:t>
      </w:r>
      <w:r>
        <w:t xml:space="preserve">the </w:t>
      </w:r>
      <w:r w:rsidRPr="00EB5DD8">
        <w:t xml:space="preserve">low sample size available. </w:t>
      </w:r>
      <w:r>
        <w:t>This improved to be within the E</w:t>
      </w:r>
      <w:r w:rsidRPr="00EB5DD8">
        <w:t xml:space="preserve">valuation </w:t>
      </w:r>
      <w:r>
        <w:t>F</w:t>
      </w:r>
      <w:r w:rsidRPr="00EB5DD8">
        <w:t>ramework limits for PY7</w:t>
      </w:r>
      <w:r>
        <w:t>. H</w:t>
      </w:r>
      <w:r w:rsidRPr="00EB5DD8">
        <w:t>owever</w:t>
      </w:r>
      <w:r>
        <w:t>,</w:t>
      </w:r>
      <w:r w:rsidRPr="00EB5DD8">
        <w:t xml:space="preserve"> demand is well outside the recommended target of 15%.</w:t>
      </w:r>
      <w:r>
        <w:t xml:space="preserve"> However, the program was designed to deliver energy savings as there are no demand reduction compliance requirements in Phase II.</w:t>
      </w:r>
    </w:p>
    <w:p w:rsidR="00B5775F" w:rsidRPr="00AE0B51" w:rsidRDefault="00B5775F" w:rsidP="00B5775F"/>
    <w:p w:rsidR="00B5775F" w:rsidRPr="00DB1865" w:rsidRDefault="00B5775F" w:rsidP="0055598C">
      <w:pPr>
        <w:pStyle w:val="AppendixAHeading4"/>
        <w:rPr>
          <w:rFonts w:eastAsia="Calibri"/>
        </w:rPr>
      </w:pPr>
      <w:bookmarkStart w:id="1364" w:name="_Toc408557480"/>
      <w:bookmarkStart w:id="1365" w:name="_Ref408572305"/>
      <w:bookmarkStart w:id="1366" w:name="_Ref409193306"/>
      <w:r w:rsidRPr="00DB1865">
        <w:rPr>
          <w:rFonts w:eastAsia="Calibri"/>
        </w:rPr>
        <w:t>Ride-Along Site Inspections</w:t>
      </w:r>
      <w:bookmarkEnd w:id="1364"/>
      <w:bookmarkEnd w:id="1365"/>
      <w:bookmarkEnd w:id="1366"/>
    </w:p>
    <w:p w:rsidR="00B5775F" w:rsidRPr="00DB1865" w:rsidRDefault="0036185D" w:rsidP="00B5775F">
      <w:pPr>
        <w:spacing w:after="120"/>
      </w:pPr>
      <w:r>
        <w:fldChar w:fldCharType="begin"/>
      </w:r>
      <w:r>
        <w:instrText xml:space="preserve"> REF _Ref473724230 \h </w:instrText>
      </w:r>
      <w:r>
        <w:fldChar w:fldCharType="separate"/>
      </w:r>
      <w:r w:rsidR="00037CB4">
        <w:t>Table A-</w:t>
      </w:r>
      <w:r w:rsidR="00037CB4">
        <w:rPr>
          <w:noProof/>
        </w:rPr>
        <w:t>154</w:t>
      </w:r>
      <w:r>
        <w:fldChar w:fldCharType="end"/>
      </w:r>
      <w:r>
        <w:t xml:space="preserve"> </w:t>
      </w:r>
      <w:r w:rsidR="00B5775F" w:rsidRPr="006D385A">
        <w:t>summarizes the SWE</w:t>
      </w:r>
      <w:r w:rsidR="00B5775F" w:rsidRPr="00DB1865">
        <w:t xml:space="preserve"> Team’s PY7 ride-along site inspections of PPL’s non-residential project installations. </w:t>
      </w:r>
      <w:r w:rsidR="00B5775F">
        <w:t>For PY7, all PPL</w:t>
      </w:r>
      <w:r w:rsidR="00B5775F" w:rsidRPr="003B2BD3">
        <w:t xml:space="preserve"> PY7 site inspection findings are categorized </w:t>
      </w:r>
      <w:r w:rsidR="00B5775F">
        <w:t>as</w:t>
      </w:r>
      <w:r w:rsidR="00B5775F" w:rsidRPr="00DB1865">
        <w:t xml:space="preserve">: </w:t>
      </w:r>
    </w:p>
    <w:p w:rsidR="00B5775F" w:rsidRDefault="00B5775F" w:rsidP="00E646C9">
      <w:pPr>
        <w:numPr>
          <w:ilvl w:val="0"/>
          <w:numId w:val="41"/>
        </w:numPr>
        <w:ind w:left="450"/>
      </w:pPr>
      <w:r w:rsidRPr="00DB1865">
        <w:t>Evaluation (Eval) findings are associated with ride-along site inspections and may reflect site activities or evaluation contractor savings calculations or reports.</w:t>
      </w:r>
    </w:p>
    <w:p w:rsidR="00B5775F" w:rsidRDefault="00B5775F" w:rsidP="004837FA">
      <w:pPr>
        <w:pStyle w:val="Caption"/>
      </w:pPr>
      <w:bookmarkStart w:id="1367" w:name="_Ref472470325"/>
      <w:bookmarkStart w:id="1368" w:name="_Toc472472568"/>
    </w:p>
    <w:p w:rsidR="00B5775F" w:rsidRDefault="00B5775F" w:rsidP="004837FA">
      <w:pPr>
        <w:pStyle w:val="Caption"/>
      </w:pPr>
      <w:bookmarkStart w:id="1369" w:name="_Ref473724230"/>
      <w:bookmarkStart w:id="1370" w:name="_Toc488741982"/>
      <w:r>
        <w:t>Table A-</w:t>
      </w:r>
      <w:r w:rsidR="007973A4">
        <w:fldChar w:fldCharType="begin"/>
      </w:r>
      <w:r w:rsidR="007973A4">
        <w:instrText xml:space="preserve"> SEQ Table_A- \* ARABIC </w:instrText>
      </w:r>
      <w:r w:rsidR="007973A4">
        <w:fldChar w:fldCharType="separate"/>
      </w:r>
      <w:r w:rsidR="00037CB4">
        <w:rPr>
          <w:noProof/>
        </w:rPr>
        <w:t>154</w:t>
      </w:r>
      <w:r w:rsidR="007973A4">
        <w:rPr>
          <w:noProof/>
        </w:rPr>
        <w:fldChar w:fldCharType="end"/>
      </w:r>
      <w:bookmarkEnd w:id="1367"/>
      <w:bookmarkEnd w:id="1369"/>
      <w:r>
        <w:t>: PPL’s PY7 Non-Residential Site Inspection Findings</w:t>
      </w:r>
      <w:bookmarkEnd w:id="1368"/>
      <w:bookmarkEnd w:id="1370"/>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070"/>
        <w:gridCol w:w="1232"/>
        <w:gridCol w:w="3150"/>
        <w:gridCol w:w="990"/>
        <w:gridCol w:w="2908"/>
      </w:tblGrid>
      <w:tr w:rsidR="00A874AC" w:rsidRPr="00D613BE" w:rsidTr="0036185D">
        <w:trPr>
          <w:trHeight w:val="300"/>
          <w:tblHeader/>
        </w:trPr>
        <w:tc>
          <w:tcPr>
            <w:tcW w:w="1070" w:type="dxa"/>
            <w:shd w:val="clear" w:color="auto" w:fill="448A99"/>
            <w:noWrap/>
            <w:vAlign w:val="bottom"/>
            <w:hideMark/>
          </w:tcPr>
          <w:p w:rsidR="00B5775F" w:rsidRPr="00D613BE" w:rsidRDefault="00B5775F" w:rsidP="008D7800">
            <w:pPr>
              <w:jc w:val="left"/>
              <w:rPr>
                <w:b/>
                <w:bCs/>
                <w:color w:val="FFFFFF"/>
                <w:sz w:val="19"/>
                <w:szCs w:val="19"/>
              </w:rPr>
            </w:pPr>
            <w:r w:rsidRPr="00D613BE">
              <w:rPr>
                <w:b/>
                <w:bCs/>
                <w:color w:val="FFFFFF"/>
                <w:sz w:val="19"/>
                <w:szCs w:val="19"/>
              </w:rPr>
              <w:t>Project ID</w:t>
            </w:r>
          </w:p>
        </w:tc>
        <w:tc>
          <w:tcPr>
            <w:tcW w:w="1232" w:type="dxa"/>
            <w:shd w:val="clear" w:color="auto" w:fill="448A99"/>
            <w:noWrap/>
            <w:vAlign w:val="bottom"/>
            <w:hideMark/>
          </w:tcPr>
          <w:p w:rsidR="00B5775F" w:rsidRPr="00D613BE" w:rsidRDefault="00B5775F" w:rsidP="008D7800">
            <w:pPr>
              <w:jc w:val="center"/>
              <w:rPr>
                <w:b/>
                <w:bCs/>
                <w:color w:val="FFFFFF"/>
                <w:sz w:val="19"/>
                <w:szCs w:val="19"/>
              </w:rPr>
            </w:pPr>
            <w:r w:rsidRPr="00D613BE">
              <w:rPr>
                <w:b/>
                <w:bCs/>
                <w:color w:val="FFFFFF"/>
                <w:sz w:val="19"/>
                <w:szCs w:val="19"/>
              </w:rPr>
              <w:t>Technology</w:t>
            </w:r>
          </w:p>
        </w:tc>
        <w:tc>
          <w:tcPr>
            <w:tcW w:w="3150" w:type="dxa"/>
            <w:shd w:val="clear" w:color="auto" w:fill="448A99"/>
            <w:noWrap/>
            <w:vAlign w:val="bottom"/>
            <w:hideMark/>
          </w:tcPr>
          <w:p w:rsidR="00B5775F" w:rsidRPr="00D613BE" w:rsidRDefault="00B5775F" w:rsidP="008D7800">
            <w:pPr>
              <w:jc w:val="center"/>
              <w:rPr>
                <w:b/>
                <w:bCs/>
                <w:color w:val="FFFFFF"/>
                <w:sz w:val="19"/>
                <w:szCs w:val="19"/>
              </w:rPr>
            </w:pPr>
            <w:r w:rsidRPr="00D613BE">
              <w:rPr>
                <w:b/>
                <w:bCs/>
                <w:color w:val="FFFFFF"/>
                <w:sz w:val="19"/>
                <w:szCs w:val="19"/>
              </w:rPr>
              <w:t>Finding</w:t>
            </w:r>
          </w:p>
        </w:tc>
        <w:tc>
          <w:tcPr>
            <w:tcW w:w="990" w:type="dxa"/>
            <w:shd w:val="clear" w:color="auto" w:fill="448A99"/>
            <w:noWrap/>
            <w:vAlign w:val="bottom"/>
            <w:hideMark/>
          </w:tcPr>
          <w:p w:rsidR="00B5775F" w:rsidRPr="00D613BE" w:rsidRDefault="00B5775F" w:rsidP="008D7800">
            <w:pPr>
              <w:jc w:val="center"/>
              <w:rPr>
                <w:b/>
                <w:bCs/>
                <w:color w:val="FFFFFF"/>
                <w:sz w:val="19"/>
                <w:szCs w:val="19"/>
              </w:rPr>
            </w:pPr>
            <w:r w:rsidRPr="00D613BE">
              <w:rPr>
                <w:b/>
                <w:bCs/>
                <w:color w:val="FFFFFF"/>
                <w:sz w:val="19"/>
                <w:szCs w:val="19"/>
              </w:rPr>
              <w:t>Finding Type</w:t>
            </w:r>
          </w:p>
        </w:tc>
        <w:tc>
          <w:tcPr>
            <w:tcW w:w="2908" w:type="dxa"/>
            <w:shd w:val="clear" w:color="auto" w:fill="448A99"/>
            <w:noWrap/>
            <w:vAlign w:val="bottom"/>
            <w:hideMark/>
          </w:tcPr>
          <w:p w:rsidR="00B5775F" w:rsidRPr="00D613BE" w:rsidRDefault="00B5775F" w:rsidP="008D7800">
            <w:pPr>
              <w:jc w:val="center"/>
              <w:rPr>
                <w:b/>
                <w:bCs/>
                <w:color w:val="FFFFFF"/>
                <w:sz w:val="19"/>
                <w:szCs w:val="19"/>
              </w:rPr>
            </w:pPr>
            <w:r w:rsidRPr="00D613BE">
              <w:rPr>
                <w:b/>
                <w:bCs/>
                <w:color w:val="FFFFFF"/>
                <w:sz w:val="19"/>
                <w:szCs w:val="19"/>
              </w:rPr>
              <w:t>Resolution</w:t>
            </w:r>
          </w:p>
        </w:tc>
      </w:tr>
      <w:tr w:rsidR="00A874AC" w:rsidRPr="00D613BE" w:rsidTr="0036185D">
        <w:trPr>
          <w:trHeight w:val="977"/>
        </w:trPr>
        <w:tc>
          <w:tcPr>
            <w:tcW w:w="1070" w:type="dxa"/>
            <w:shd w:val="clear" w:color="auto" w:fill="D2EAF1"/>
            <w:noWrap/>
          </w:tcPr>
          <w:p w:rsidR="00B5775F" w:rsidRPr="00D613BE" w:rsidRDefault="00B5775F" w:rsidP="008D7800">
            <w:pPr>
              <w:rPr>
                <w:sz w:val="19"/>
                <w:szCs w:val="19"/>
              </w:rPr>
            </w:pPr>
            <w:r w:rsidRPr="00D613BE">
              <w:rPr>
                <w:sz w:val="19"/>
                <w:szCs w:val="19"/>
              </w:rPr>
              <w:t>PPL-13-11947</w:t>
            </w:r>
          </w:p>
        </w:tc>
        <w:tc>
          <w:tcPr>
            <w:tcW w:w="1232" w:type="dxa"/>
            <w:shd w:val="clear" w:color="auto" w:fill="D2EAF1"/>
            <w:noWrap/>
          </w:tcPr>
          <w:p w:rsidR="00B5775F" w:rsidRPr="00D613BE" w:rsidRDefault="00B5775F" w:rsidP="008D7800">
            <w:pPr>
              <w:jc w:val="center"/>
              <w:rPr>
                <w:sz w:val="19"/>
                <w:szCs w:val="19"/>
              </w:rPr>
            </w:pPr>
            <w:r w:rsidRPr="00D613BE">
              <w:rPr>
                <w:sz w:val="19"/>
                <w:szCs w:val="19"/>
              </w:rPr>
              <w:t>VFDs</w:t>
            </w:r>
          </w:p>
        </w:tc>
        <w:tc>
          <w:tcPr>
            <w:tcW w:w="3150" w:type="dxa"/>
            <w:shd w:val="clear" w:color="auto" w:fill="D2EAF1"/>
            <w:noWrap/>
          </w:tcPr>
          <w:p w:rsidR="00B5775F" w:rsidRPr="00D613BE" w:rsidRDefault="00B5775F" w:rsidP="008D7800">
            <w:pPr>
              <w:jc w:val="center"/>
              <w:rPr>
                <w:color w:val="000000"/>
                <w:sz w:val="19"/>
                <w:szCs w:val="19"/>
              </w:rPr>
            </w:pPr>
            <w:r w:rsidRPr="00D613BE">
              <w:rPr>
                <w:color w:val="000000"/>
                <w:sz w:val="19"/>
                <w:szCs w:val="19"/>
              </w:rPr>
              <w:t>The ex ante savings were calculated using an incorrect peak and regression analysis; the evaluation contractor used a more appropriate approach for verified savings.</w:t>
            </w:r>
          </w:p>
        </w:tc>
        <w:tc>
          <w:tcPr>
            <w:tcW w:w="990" w:type="dxa"/>
            <w:shd w:val="clear" w:color="auto" w:fill="D2EAF1"/>
            <w:noWrap/>
          </w:tcPr>
          <w:p w:rsidR="00B5775F" w:rsidRPr="00D613BE" w:rsidRDefault="00B5775F" w:rsidP="008D7800">
            <w:pPr>
              <w:jc w:val="center"/>
              <w:rPr>
                <w:color w:val="000000"/>
                <w:sz w:val="19"/>
                <w:szCs w:val="19"/>
              </w:rPr>
            </w:pPr>
            <w:r w:rsidRPr="00D613BE">
              <w:rPr>
                <w:color w:val="000000"/>
                <w:sz w:val="19"/>
                <w:szCs w:val="19"/>
              </w:rPr>
              <w:t>Eval</w:t>
            </w:r>
          </w:p>
        </w:tc>
        <w:tc>
          <w:tcPr>
            <w:tcW w:w="2908" w:type="dxa"/>
            <w:shd w:val="clear" w:color="auto" w:fill="D2EAF1"/>
            <w:noWrap/>
          </w:tcPr>
          <w:p w:rsidR="00B5775F" w:rsidRPr="00D613BE" w:rsidRDefault="00B5775F" w:rsidP="008D7800">
            <w:pPr>
              <w:jc w:val="center"/>
              <w:rPr>
                <w:color w:val="000000"/>
                <w:sz w:val="19"/>
                <w:szCs w:val="19"/>
              </w:rPr>
            </w:pPr>
            <w:r w:rsidRPr="00D613BE">
              <w:rPr>
                <w:color w:val="000000"/>
                <w:sz w:val="19"/>
                <w:szCs w:val="19"/>
              </w:rPr>
              <w:t>The verified savings evaluation did account for the site findings and the SWE Team had no further recommendations for this project.</w:t>
            </w:r>
          </w:p>
        </w:tc>
      </w:tr>
      <w:tr w:rsidR="00B5775F" w:rsidRPr="00D613BE" w:rsidTr="00FD03DC">
        <w:trPr>
          <w:trHeight w:val="977"/>
        </w:trPr>
        <w:tc>
          <w:tcPr>
            <w:tcW w:w="1070" w:type="dxa"/>
            <w:shd w:val="clear" w:color="auto" w:fill="auto"/>
            <w:noWrap/>
          </w:tcPr>
          <w:p w:rsidR="00B5775F" w:rsidRPr="00D613BE" w:rsidRDefault="00B5775F" w:rsidP="008D7800">
            <w:pPr>
              <w:rPr>
                <w:sz w:val="19"/>
                <w:szCs w:val="19"/>
              </w:rPr>
            </w:pPr>
            <w:r w:rsidRPr="00D613BE">
              <w:rPr>
                <w:sz w:val="19"/>
                <w:szCs w:val="19"/>
              </w:rPr>
              <w:t>PPL-13-12356</w:t>
            </w:r>
          </w:p>
        </w:tc>
        <w:tc>
          <w:tcPr>
            <w:tcW w:w="1232" w:type="dxa"/>
            <w:shd w:val="clear" w:color="auto" w:fill="auto"/>
            <w:noWrap/>
          </w:tcPr>
          <w:p w:rsidR="00B5775F" w:rsidRPr="00D613BE" w:rsidRDefault="00B5775F" w:rsidP="008D7800">
            <w:pPr>
              <w:jc w:val="center"/>
              <w:rPr>
                <w:sz w:val="19"/>
                <w:szCs w:val="19"/>
              </w:rPr>
            </w:pPr>
            <w:r w:rsidRPr="00D613BE">
              <w:rPr>
                <w:sz w:val="19"/>
                <w:szCs w:val="19"/>
              </w:rPr>
              <w:t>HVAC (RTUs)</w:t>
            </w:r>
          </w:p>
        </w:tc>
        <w:tc>
          <w:tcPr>
            <w:tcW w:w="3150" w:type="dxa"/>
            <w:shd w:val="clear" w:color="auto" w:fill="auto"/>
            <w:noWrap/>
          </w:tcPr>
          <w:p w:rsidR="00B5775F" w:rsidRPr="00D613BE" w:rsidRDefault="00B5775F" w:rsidP="008D7800">
            <w:pPr>
              <w:jc w:val="center"/>
              <w:rPr>
                <w:color w:val="000000"/>
                <w:sz w:val="19"/>
                <w:szCs w:val="19"/>
              </w:rPr>
            </w:pPr>
            <w:r w:rsidRPr="00D613BE">
              <w:rPr>
                <w:color w:val="000000"/>
                <w:sz w:val="19"/>
                <w:szCs w:val="19"/>
              </w:rPr>
              <w:t>At the site visit, it was determined that the incorrect HOU was used in the ex ante; the evaluation contractor has corrected for this in the ex post.</w:t>
            </w:r>
          </w:p>
        </w:tc>
        <w:tc>
          <w:tcPr>
            <w:tcW w:w="990" w:type="dxa"/>
            <w:shd w:val="clear" w:color="auto" w:fill="auto"/>
            <w:noWrap/>
          </w:tcPr>
          <w:p w:rsidR="00B5775F" w:rsidRPr="00D613BE" w:rsidRDefault="00B5775F" w:rsidP="008D7800">
            <w:pPr>
              <w:jc w:val="center"/>
              <w:rPr>
                <w:color w:val="000000"/>
                <w:sz w:val="19"/>
                <w:szCs w:val="19"/>
              </w:rPr>
            </w:pPr>
            <w:r w:rsidRPr="00D613BE">
              <w:rPr>
                <w:color w:val="000000"/>
                <w:sz w:val="19"/>
                <w:szCs w:val="19"/>
              </w:rPr>
              <w:t>Eval</w:t>
            </w:r>
          </w:p>
        </w:tc>
        <w:tc>
          <w:tcPr>
            <w:tcW w:w="2908" w:type="dxa"/>
            <w:shd w:val="clear" w:color="auto" w:fill="auto"/>
            <w:noWrap/>
          </w:tcPr>
          <w:p w:rsidR="00B5775F" w:rsidRPr="00D613BE" w:rsidRDefault="00B5775F" w:rsidP="008D7800">
            <w:pPr>
              <w:jc w:val="center"/>
              <w:rPr>
                <w:color w:val="000000"/>
                <w:sz w:val="19"/>
                <w:szCs w:val="19"/>
              </w:rPr>
            </w:pPr>
            <w:r w:rsidRPr="00D613BE">
              <w:rPr>
                <w:color w:val="000000"/>
                <w:sz w:val="19"/>
                <w:szCs w:val="19"/>
              </w:rPr>
              <w:t>The verified savings evaluation did account for the site findings and the SWE Team had no further recommendations for this project.</w:t>
            </w:r>
          </w:p>
        </w:tc>
      </w:tr>
      <w:tr w:rsidR="00A874AC" w:rsidRPr="00D613BE" w:rsidTr="0036185D">
        <w:trPr>
          <w:trHeight w:val="977"/>
        </w:trPr>
        <w:tc>
          <w:tcPr>
            <w:tcW w:w="1070" w:type="dxa"/>
            <w:shd w:val="clear" w:color="auto" w:fill="D2EAF1"/>
            <w:noWrap/>
          </w:tcPr>
          <w:p w:rsidR="00B5775F" w:rsidRPr="00D613BE" w:rsidRDefault="00B5775F" w:rsidP="008D7800">
            <w:pPr>
              <w:rPr>
                <w:sz w:val="19"/>
                <w:szCs w:val="19"/>
              </w:rPr>
            </w:pPr>
            <w:r w:rsidRPr="00D613BE">
              <w:rPr>
                <w:sz w:val="19"/>
                <w:szCs w:val="19"/>
              </w:rPr>
              <w:t>MMMF-1436246</w:t>
            </w:r>
          </w:p>
        </w:tc>
        <w:tc>
          <w:tcPr>
            <w:tcW w:w="1232" w:type="dxa"/>
            <w:shd w:val="clear" w:color="auto" w:fill="D2EAF1"/>
            <w:noWrap/>
          </w:tcPr>
          <w:p w:rsidR="00B5775F" w:rsidRPr="00D613BE" w:rsidRDefault="00B5775F" w:rsidP="008D7800">
            <w:pPr>
              <w:jc w:val="center"/>
              <w:rPr>
                <w:sz w:val="19"/>
                <w:szCs w:val="19"/>
              </w:rPr>
            </w:pPr>
            <w:r w:rsidRPr="00D613BE">
              <w:rPr>
                <w:sz w:val="19"/>
                <w:szCs w:val="19"/>
              </w:rPr>
              <w:t>Lighting</w:t>
            </w:r>
          </w:p>
        </w:tc>
        <w:tc>
          <w:tcPr>
            <w:tcW w:w="3150" w:type="dxa"/>
            <w:shd w:val="clear" w:color="auto" w:fill="D2EAF1"/>
            <w:noWrap/>
          </w:tcPr>
          <w:p w:rsidR="00B5775F" w:rsidRPr="00D613BE" w:rsidRDefault="00B5775F" w:rsidP="008D7800">
            <w:pPr>
              <w:jc w:val="center"/>
              <w:rPr>
                <w:sz w:val="19"/>
                <w:szCs w:val="19"/>
              </w:rPr>
            </w:pPr>
            <w:r w:rsidRPr="00D613BE">
              <w:rPr>
                <w:sz w:val="19"/>
                <w:szCs w:val="19"/>
              </w:rPr>
              <w:t>Minor variations in the fixture counts were discovered on-site.</w:t>
            </w:r>
          </w:p>
        </w:tc>
        <w:tc>
          <w:tcPr>
            <w:tcW w:w="990" w:type="dxa"/>
            <w:shd w:val="clear" w:color="auto" w:fill="D2EAF1"/>
            <w:noWrap/>
          </w:tcPr>
          <w:p w:rsidR="00B5775F" w:rsidRPr="00D613BE" w:rsidRDefault="00B5775F" w:rsidP="008D7800">
            <w:pPr>
              <w:jc w:val="center"/>
              <w:rPr>
                <w:sz w:val="19"/>
                <w:szCs w:val="19"/>
              </w:rPr>
            </w:pPr>
            <w:r w:rsidRPr="00D613BE">
              <w:rPr>
                <w:sz w:val="19"/>
                <w:szCs w:val="19"/>
              </w:rPr>
              <w:t>Eval</w:t>
            </w:r>
          </w:p>
        </w:tc>
        <w:tc>
          <w:tcPr>
            <w:tcW w:w="2908" w:type="dxa"/>
            <w:shd w:val="clear" w:color="auto" w:fill="D2EAF1"/>
            <w:noWrap/>
          </w:tcPr>
          <w:p w:rsidR="00B5775F" w:rsidRPr="00D613BE" w:rsidRDefault="00B5775F" w:rsidP="008D7800">
            <w:pPr>
              <w:jc w:val="center"/>
              <w:rPr>
                <w:sz w:val="19"/>
                <w:szCs w:val="19"/>
              </w:rPr>
            </w:pPr>
            <w:r w:rsidRPr="00D613BE">
              <w:rPr>
                <w:sz w:val="19"/>
                <w:szCs w:val="19"/>
              </w:rPr>
              <w:t>The verified savings evaluation did account for the site findings and the SWE Team had no further recommendations for this project.</w:t>
            </w:r>
          </w:p>
        </w:tc>
      </w:tr>
      <w:tr w:rsidR="00B5775F" w:rsidRPr="00D613BE" w:rsidTr="00FD03DC">
        <w:trPr>
          <w:trHeight w:val="977"/>
        </w:trPr>
        <w:tc>
          <w:tcPr>
            <w:tcW w:w="1070" w:type="dxa"/>
            <w:shd w:val="clear" w:color="auto" w:fill="auto"/>
            <w:noWrap/>
          </w:tcPr>
          <w:p w:rsidR="00B5775F" w:rsidRPr="00D613BE" w:rsidRDefault="00B5775F" w:rsidP="008D7800">
            <w:pPr>
              <w:rPr>
                <w:sz w:val="19"/>
                <w:szCs w:val="19"/>
              </w:rPr>
            </w:pPr>
            <w:r w:rsidRPr="00D613BE">
              <w:rPr>
                <w:sz w:val="19"/>
                <w:szCs w:val="19"/>
              </w:rPr>
              <w:t>PPL-13-11832</w:t>
            </w:r>
          </w:p>
        </w:tc>
        <w:tc>
          <w:tcPr>
            <w:tcW w:w="1232" w:type="dxa"/>
            <w:shd w:val="clear" w:color="auto" w:fill="auto"/>
            <w:noWrap/>
          </w:tcPr>
          <w:p w:rsidR="00B5775F" w:rsidRPr="00D613BE" w:rsidRDefault="00B5775F" w:rsidP="008D7800">
            <w:pPr>
              <w:jc w:val="center"/>
              <w:rPr>
                <w:sz w:val="19"/>
                <w:szCs w:val="19"/>
              </w:rPr>
            </w:pPr>
            <w:r w:rsidRPr="00D613BE">
              <w:rPr>
                <w:sz w:val="19"/>
                <w:szCs w:val="19"/>
              </w:rPr>
              <w:t>Lighting</w:t>
            </w:r>
          </w:p>
        </w:tc>
        <w:tc>
          <w:tcPr>
            <w:tcW w:w="3150" w:type="dxa"/>
            <w:shd w:val="clear" w:color="auto" w:fill="auto"/>
            <w:noWrap/>
          </w:tcPr>
          <w:p w:rsidR="00B5775F" w:rsidRPr="00D613BE" w:rsidRDefault="00B5775F" w:rsidP="008D7800">
            <w:pPr>
              <w:jc w:val="center"/>
              <w:rPr>
                <w:sz w:val="19"/>
                <w:szCs w:val="19"/>
              </w:rPr>
            </w:pPr>
            <w:r w:rsidRPr="00D613BE">
              <w:rPr>
                <w:sz w:val="19"/>
                <w:szCs w:val="19"/>
              </w:rPr>
              <w:t>The SWE Team found that the evaluation contractor’s review of the project is accurate.</w:t>
            </w:r>
          </w:p>
        </w:tc>
        <w:tc>
          <w:tcPr>
            <w:tcW w:w="990" w:type="dxa"/>
            <w:shd w:val="clear" w:color="auto" w:fill="auto"/>
            <w:noWrap/>
          </w:tcPr>
          <w:p w:rsidR="00B5775F" w:rsidRPr="00D613BE" w:rsidRDefault="00B5775F" w:rsidP="008D7800">
            <w:pPr>
              <w:jc w:val="center"/>
              <w:rPr>
                <w:sz w:val="19"/>
                <w:szCs w:val="19"/>
              </w:rPr>
            </w:pPr>
            <w:r w:rsidRPr="00D613BE">
              <w:rPr>
                <w:sz w:val="19"/>
                <w:szCs w:val="19"/>
              </w:rPr>
              <w:t>Eval</w:t>
            </w:r>
          </w:p>
        </w:tc>
        <w:tc>
          <w:tcPr>
            <w:tcW w:w="2908" w:type="dxa"/>
            <w:shd w:val="clear" w:color="auto" w:fill="auto"/>
            <w:noWrap/>
          </w:tcPr>
          <w:p w:rsidR="00B5775F" w:rsidRPr="00D613BE" w:rsidRDefault="00B5775F" w:rsidP="008D7800">
            <w:pPr>
              <w:jc w:val="center"/>
              <w:rPr>
                <w:sz w:val="19"/>
                <w:szCs w:val="19"/>
              </w:rPr>
            </w:pPr>
            <w:r w:rsidRPr="00D613BE">
              <w:rPr>
                <w:sz w:val="19"/>
                <w:szCs w:val="19"/>
              </w:rPr>
              <w:t>The SWE Team had no recommendations based on its review of this project.</w:t>
            </w:r>
          </w:p>
        </w:tc>
      </w:tr>
      <w:tr w:rsidR="00A874AC" w:rsidRPr="00D613BE" w:rsidTr="0036185D">
        <w:trPr>
          <w:trHeight w:val="977"/>
        </w:trPr>
        <w:tc>
          <w:tcPr>
            <w:tcW w:w="1070" w:type="dxa"/>
            <w:shd w:val="clear" w:color="auto" w:fill="D2EAF1"/>
            <w:noWrap/>
          </w:tcPr>
          <w:p w:rsidR="00B5775F" w:rsidRPr="00D613BE" w:rsidRDefault="00B5775F" w:rsidP="008D7800">
            <w:pPr>
              <w:rPr>
                <w:sz w:val="19"/>
                <w:szCs w:val="19"/>
              </w:rPr>
            </w:pPr>
            <w:r w:rsidRPr="00D613BE">
              <w:rPr>
                <w:sz w:val="19"/>
                <w:szCs w:val="19"/>
              </w:rPr>
              <w:t>PPL-13-11882</w:t>
            </w:r>
          </w:p>
        </w:tc>
        <w:tc>
          <w:tcPr>
            <w:tcW w:w="1232" w:type="dxa"/>
            <w:shd w:val="clear" w:color="auto" w:fill="D2EAF1"/>
            <w:noWrap/>
          </w:tcPr>
          <w:p w:rsidR="00B5775F" w:rsidRPr="00D613BE" w:rsidRDefault="00B5775F" w:rsidP="008D7800">
            <w:pPr>
              <w:jc w:val="center"/>
              <w:rPr>
                <w:sz w:val="19"/>
                <w:szCs w:val="19"/>
              </w:rPr>
            </w:pPr>
            <w:r w:rsidRPr="00D613BE">
              <w:rPr>
                <w:sz w:val="19"/>
                <w:szCs w:val="19"/>
              </w:rPr>
              <w:t>Lighting</w:t>
            </w:r>
          </w:p>
        </w:tc>
        <w:tc>
          <w:tcPr>
            <w:tcW w:w="3150" w:type="dxa"/>
            <w:shd w:val="clear" w:color="auto" w:fill="D2EAF1"/>
            <w:noWrap/>
          </w:tcPr>
          <w:p w:rsidR="00B5775F" w:rsidRPr="00D613BE" w:rsidRDefault="00B5775F" w:rsidP="008D7800">
            <w:pPr>
              <w:jc w:val="center"/>
              <w:rPr>
                <w:sz w:val="19"/>
                <w:szCs w:val="19"/>
              </w:rPr>
            </w:pPr>
            <w:r w:rsidRPr="00D613BE">
              <w:rPr>
                <w:sz w:val="19"/>
                <w:szCs w:val="19"/>
              </w:rPr>
              <w:t>The SWE Team found that the evaluation contractor’s review of the project is accurate.</w:t>
            </w:r>
          </w:p>
        </w:tc>
        <w:tc>
          <w:tcPr>
            <w:tcW w:w="990" w:type="dxa"/>
            <w:shd w:val="clear" w:color="auto" w:fill="D2EAF1"/>
            <w:noWrap/>
          </w:tcPr>
          <w:p w:rsidR="00B5775F" w:rsidRPr="00D613BE" w:rsidRDefault="00B5775F" w:rsidP="008D7800">
            <w:pPr>
              <w:jc w:val="center"/>
              <w:rPr>
                <w:sz w:val="19"/>
                <w:szCs w:val="19"/>
              </w:rPr>
            </w:pPr>
            <w:r w:rsidRPr="00D613BE">
              <w:rPr>
                <w:sz w:val="19"/>
                <w:szCs w:val="19"/>
              </w:rPr>
              <w:t>Eval</w:t>
            </w:r>
          </w:p>
        </w:tc>
        <w:tc>
          <w:tcPr>
            <w:tcW w:w="2908" w:type="dxa"/>
            <w:shd w:val="clear" w:color="auto" w:fill="D2EAF1"/>
            <w:noWrap/>
          </w:tcPr>
          <w:p w:rsidR="00B5775F" w:rsidRPr="00D613BE" w:rsidRDefault="00B5775F" w:rsidP="008D7800">
            <w:pPr>
              <w:jc w:val="center"/>
              <w:rPr>
                <w:sz w:val="19"/>
                <w:szCs w:val="19"/>
              </w:rPr>
            </w:pPr>
            <w:r w:rsidRPr="00D613BE">
              <w:rPr>
                <w:sz w:val="19"/>
                <w:szCs w:val="19"/>
              </w:rPr>
              <w:t>The SWE Team had no recommendations based on its review of this project.</w:t>
            </w:r>
          </w:p>
        </w:tc>
      </w:tr>
      <w:tr w:rsidR="00B5775F" w:rsidRPr="00D613BE" w:rsidTr="00FD03DC">
        <w:trPr>
          <w:trHeight w:val="977"/>
        </w:trPr>
        <w:tc>
          <w:tcPr>
            <w:tcW w:w="1070" w:type="dxa"/>
            <w:shd w:val="clear" w:color="auto" w:fill="auto"/>
            <w:noWrap/>
          </w:tcPr>
          <w:p w:rsidR="00B5775F" w:rsidRPr="00D613BE" w:rsidRDefault="00B5775F" w:rsidP="008D7800">
            <w:pPr>
              <w:rPr>
                <w:sz w:val="19"/>
                <w:szCs w:val="19"/>
              </w:rPr>
            </w:pPr>
            <w:r w:rsidRPr="00D613BE">
              <w:rPr>
                <w:sz w:val="19"/>
                <w:szCs w:val="19"/>
              </w:rPr>
              <w:t>PPL-13-12424</w:t>
            </w:r>
          </w:p>
        </w:tc>
        <w:tc>
          <w:tcPr>
            <w:tcW w:w="1232" w:type="dxa"/>
            <w:shd w:val="clear" w:color="auto" w:fill="auto"/>
            <w:noWrap/>
          </w:tcPr>
          <w:p w:rsidR="00B5775F" w:rsidRPr="00D613BE" w:rsidRDefault="00B5775F" w:rsidP="008D7800">
            <w:pPr>
              <w:jc w:val="center"/>
              <w:rPr>
                <w:sz w:val="19"/>
                <w:szCs w:val="19"/>
              </w:rPr>
            </w:pPr>
            <w:r w:rsidRPr="00D613BE">
              <w:rPr>
                <w:sz w:val="19"/>
                <w:szCs w:val="19"/>
              </w:rPr>
              <w:t>Lighting</w:t>
            </w:r>
          </w:p>
        </w:tc>
        <w:tc>
          <w:tcPr>
            <w:tcW w:w="3150" w:type="dxa"/>
            <w:shd w:val="clear" w:color="auto" w:fill="auto"/>
            <w:noWrap/>
          </w:tcPr>
          <w:p w:rsidR="00B5775F" w:rsidRPr="00D613BE" w:rsidRDefault="00B5775F" w:rsidP="008D7800">
            <w:pPr>
              <w:jc w:val="center"/>
              <w:rPr>
                <w:sz w:val="19"/>
                <w:szCs w:val="19"/>
              </w:rPr>
            </w:pPr>
            <w:r w:rsidRPr="00D613BE">
              <w:rPr>
                <w:sz w:val="19"/>
                <w:szCs w:val="19"/>
              </w:rPr>
              <w:t>Minor variations in the fixture counts were discovered on-site.</w:t>
            </w:r>
          </w:p>
        </w:tc>
        <w:tc>
          <w:tcPr>
            <w:tcW w:w="990" w:type="dxa"/>
            <w:shd w:val="clear" w:color="auto" w:fill="auto"/>
            <w:noWrap/>
          </w:tcPr>
          <w:p w:rsidR="00B5775F" w:rsidRPr="00D613BE" w:rsidRDefault="00B5775F" w:rsidP="008D7800">
            <w:pPr>
              <w:jc w:val="center"/>
              <w:rPr>
                <w:sz w:val="19"/>
                <w:szCs w:val="19"/>
              </w:rPr>
            </w:pPr>
            <w:r w:rsidRPr="00D613BE">
              <w:rPr>
                <w:sz w:val="19"/>
                <w:szCs w:val="19"/>
              </w:rPr>
              <w:t>Eval</w:t>
            </w:r>
          </w:p>
        </w:tc>
        <w:tc>
          <w:tcPr>
            <w:tcW w:w="2908" w:type="dxa"/>
            <w:shd w:val="clear" w:color="auto" w:fill="auto"/>
            <w:noWrap/>
          </w:tcPr>
          <w:p w:rsidR="00B5775F" w:rsidRPr="00D613BE" w:rsidRDefault="00B5775F" w:rsidP="008D7800">
            <w:pPr>
              <w:jc w:val="center"/>
              <w:rPr>
                <w:sz w:val="19"/>
                <w:szCs w:val="19"/>
              </w:rPr>
            </w:pPr>
            <w:r w:rsidRPr="00D613BE">
              <w:rPr>
                <w:sz w:val="19"/>
                <w:szCs w:val="19"/>
              </w:rPr>
              <w:t>The verified savings evaluation did account for the site findings and the SWE had no further recommendations for this project.</w:t>
            </w:r>
          </w:p>
        </w:tc>
      </w:tr>
    </w:tbl>
    <w:p w:rsidR="00B5775F" w:rsidRPr="00442645" w:rsidRDefault="00B5775F" w:rsidP="00B5775F"/>
    <w:p w:rsidR="00950837" w:rsidRDefault="00950837" w:rsidP="009C0DF1">
      <w:pPr>
        <w:pStyle w:val="AppendixAHeading3"/>
      </w:pPr>
      <w:r>
        <w:t>Net-to-Gross and Process Evaluation Audit Summary</w:t>
      </w:r>
    </w:p>
    <w:p w:rsidR="005A311D" w:rsidRPr="00661E10" w:rsidRDefault="005A311D" w:rsidP="005A311D">
      <w:r w:rsidRPr="00661E10">
        <w:t>The SWE Team’s audit included a review of the process evaluation methods, findings, conclusions, and recommendations in PPL’s PY7 annual report to determine whether they were consistent with the reporting templates provided by the SWE. The SWE Team’s audit of the process reports also included a review of process-related methods and research activities to determine whether they were consistent with the approved evaluation plan, and a review of the linkage between findings, conclusions, and recommendations.</w:t>
      </w:r>
    </w:p>
    <w:p w:rsidR="005A311D" w:rsidRPr="00661E10" w:rsidRDefault="005A311D" w:rsidP="005A311D">
      <w:pPr>
        <w:rPr>
          <w:shd w:val="clear" w:color="auto" w:fill="D9D9D9"/>
        </w:rPr>
      </w:pPr>
    </w:p>
    <w:p w:rsidR="005A311D" w:rsidRPr="00661E10" w:rsidRDefault="005A311D" w:rsidP="0036185D">
      <w:pPr>
        <w:spacing w:after="120"/>
      </w:pPr>
      <w:r w:rsidRPr="00661E10">
        <w:t>Overall, the SWE Team found that the evaluations appeared to be consistent with the Phase II evaluation plan, with four exceptions:</w:t>
      </w:r>
    </w:p>
    <w:p w:rsidR="005A311D" w:rsidRPr="0036185D" w:rsidRDefault="005A311D" w:rsidP="00E646C9">
      <w:pPr>
        <w:pStyle w:val="ListParagraph"/>
        <w:numPr>
          <w:ilvl w:val="0"/>
          <w:numId w:val="94"/>
        </w:numPr>
        <w:ind w:left="360"/>
        <w:rPr>
          <w:rFonts w:eastAsia="Calibri"/>
        </w:rPr>
      </w:pPr>
      <w:r w:rsidRPr="0036185D">
        <w:rPr>
          <w:rFonts w:eastAsia="Calibri"/>
        </w:rPr>
        <w:t xml:space="preserve">For a few of the interviews and surveys, Cadmus did not achieve the planned number of completions; only one of the surveys had a targeted level of confidence/precision, and </w:t>
      </w:r>
      <w:r w:rsidR="00C20C41" w:rsidRPr="0036185D">
        <w:rPr>
          <w:rFonts w:eastAsia="Calibri"/>
        </w:rPr>
        <w:t>Cadmus did not report the impact the reduced number of completions had on confidence/precision</w:t>
      </w:r>
      <w:r w:rsidRPr="0036185D">
        <w:rPr>
          <w:rFonts w:eastAsia="Calibri"/>
        </w:rPr>
        <w:t xml:space="preserve">. </w:t>
      </w:r>
    </w:p>
    <w:p w:rsidR="005A311D" w:rsidRPr="0036185D" w:rsidRDefault="005A311D" w:rsidP="00E646C9">
      <w:pPr>
        <w:pStyle w:val="ListParagraph"/>
        <w:numPr>
          <w:ilvl w:val="0"/>
          <w:numId w:val="94"/>
        </w:numPr>
        <w:ind w:left="360"/>
        <w:rPr>
          <w:rFonts w:eastAsia="Calibri"/>
        </w:rPr>
      </w:pPr>
      <w:r w:rsidRPr="0036185D">
        <w:rPr>
          <w:rFonts w:eastAsia="Calibri"/>
        </w:rPr>
        <w:t xml:space="preserve">PPL and Cadmus substantially revised the evaluation plan for the Wise Home Pilot after PPL was unable to enroll the planned number of eligible customers, and Cadmus followed the revised plan. </w:t>
      </w:r>
    </w:p>
    <w:p w:rsidR="005A311D" w:rsidRPr="0036185D" w:rsidRDefault="005A311D" w:rsidP="00E646C9">
      <w:pPr>
        <w:pStyle w:val="ListParagraph"/>
        <w:numPr>
          <w:ilvl w:val="0"/>
          <w:numId w:val="94"/>
        </w:numPr>
        <w:ind w:left="360"/>
        <w:rPr>
          <w:rFonts w:eastAsia="Calibri"/>
        </w:rPr>
      </w:pPr>
      <w:r w:rsidRPr="0036185D">
        <w:rPr>
          <w:rFonts w:eastAsia="Calibri"/>
        </w:rPr>
        <w:t xml:space="preserve">Cadmus and PPL moved the planned contractor and designer interviews and additional benchmarking research to Phase III for the Custom Incentive Program but did not provide an explanation for the change. </w:t>
      </w:r>
    </w:p>
    <w:p w:rsidR="005A311D" w:rsidRPr="0036185D" w:rsidRDefault="005A311D" w:rsidP="00E646C9">
      <w:pPr>
        <w:pStyle w:val="ListParagraph"/>
        <w:numPr>
          <w:ilvl w:val="0"/>
          <w:numId w:val="94"/>
        </w:numPr>
        <w:ind w:left="360"/>
        <w:rPr>
          <w:rFonts w:eastAsia="Calibri"/>
        </w:rPr>
      </w:pPr>
      <w:r w:rsidRPr="0036185D">
        <w:rPr>
          <w:rFonts w:eastAsia="Calibri"/>
        </w:rPr>
        <w:t>Cadmus and PPL decided not to conduct interviews with agricultural trade allies in the Prescriptive Rebate program due to several complications.</w:t>
      </w:r>
    </w:p>
    <w:p w:rsidR="005A311D" w:rsidRPr="00661E10" w:rsidRDefault="005A311D" w:rsidP="005A311D"/>
    <w:p w:rsidR="005A311D" w:rsidRPr="00661E10" w:rsidRDefault="005A311D" w:rsidP="005A311D">
      <w:r w:rsidRPr="00661E10">
        <w:t xml:space="preserve">The SWE Team determined that the sampling approaches for the process evaluation activities were appropriate. The participant surveys either attempted a census or used a simple or stratified random sampling approach. Most survey samples either had enough cases to achieve at least 90/10 confidence/precision, or were drawn from such small populations that achieving that standard would have required reaching a large percentage of the population. For the in-depth interviews with program staff, implementers, or other program actors, the sampling was purposive. In a few instances, Cadmus completed interviews or surveys with fewer respondents than planned; Cadmus discussed why this occurred and any impacts this had on the findings. </w:t>
      </w:r>
    </w:p>
    <w:p w:rsidR="005A311D" w:rsidRPr="00661E10" w:rsidRDefault="005A311D" w:rsidP="005A311D">
      <w:pPr>
        <w:rPr>
          <w:color w:val="548DD4"/>
        </w:rPr>
      </w:pPr>
    </w:p>
    <w:p w:rsidR="005A311D" w:rsidRPr="00661E10" w:rsidRDefault="005A311D" w:rsidP="0036185D">
      <w:pPr>
        <w:spacing w:after="120"/>
      </w:pPr>
      <w:r w:rsidRPr="00661E10">
        <w:t xml:space="preserve">The SWE Team deemed the reporting to be generally well done, with a few exceptions (see the list below). Overall, the evaluation contractor presented findings in a clear manner and the report generally included sufficient detail for the SWE Team (and other readers) to assess the methods, findings, conclusions, and recommendations. The PY7 annual report provided all the required elements, including a summary of methods, high-level findings, and a table of recommendations with descriptions of whether or not the EDC was implementing or considering the recommendations. All programs drew on multiple sources to inform most findings and recommendations. </w:t>
      </w:r>
      <w:r w:rsidR="00C20C41" w:rsidRPr="00C20C41">
        <w:t>Listed below are areas where additional information would be valuable, although not required</w:t>
      </w:r>
      <w:r w:rsidRPr="00661E10">
        <w:t>:</w:t>
      </w:r>
    </w:p>
    <w:p w:rsidR="00C20C41" w:rsidRPr="0036185D" w:rsidRDefault="00C20C41" w:rsidP="00E646C9">
      <w:pPr>
        <w:pStyle w:val="ListParagraph"/>
        <w:numPr>
          <w:ilvl w:val="0"/>
          <w:numId w:val="95"/>
        </w:numPr>
        <w:ind w:left="360"/>
      </w:pPr>
      <w:r w:rsidRPr="0036185D">
        <w:t xml:space="preserve">It would be valuable to include the survey mode (web, phone, mail) used to conduct each survey in the sample and disposition tables as well as in the text so the reader does not have to refer to the text to find which mode was used. In addition, for multi-mode surveys (e.g., a web and phone survey), it would be valuable to report the sampling and disposition information separately by mode rather than in the aggregate. </w:t>
      </w:r>
    </w:p>
    <w:p w:rsidR="00C20C41" w:rsidRPr="0036185D" w:rsidRDefault="00C20C41" w:rsidP="00E646C9">
      <w:pPr>
        <w:pStyle w:val="ListParagraph"/>
        <w:numPr>
          <w:ilvl w:val="0"/>
          <w:numId w:val="95"/>
        </w:numPr>
        <w:ind w:left="360"/>
      </w:pPr>
      <w:r w:rsidRPr="0036185D">
        <w:t>Several recommendations included multiple specific recommendations that could be separated. Combining too many recommended actions into one recommendation can be confusing, particularly if one recommended action can be taken without taking the other recommended actions.</w:t>
      </w:r>
    </w:p>
    <w:p w:rsidR="00C20C41" w:rsidRPr="0036185D" w:rsidRDefault="00C20C41" w:rsidP="00E646C9">
      <w:pPr>
        <w:pStyle w:val="ListParagraph"/>
        <w:numPr>
          <w:ilvl w:val="0"/>
          <w:numId w:val="95"/>
        </w:numPr>
        <w:ind w:left="360"/>
      </w:pPr>
      <w:r w:rsidRPr="0036185D">
        <w:t>Two recommendations were too vague and did not include specific actions to take. All recommendations should include actionable tasks or ideas.</w:t>
      </w:r>
    </w:p>
    <w:p w:rsidR="00C20C41" w:rsidRPr="0036185D" w:rsidRDefault="00C20C41" w:rsidP="00E646C9">
      <w:pPr>
        <w:pStyle w:val="ListParagraph"/>
        <w:numPr>
          <w:ilvl w:val="0"/>
          <w:numId w:val="95"/>
        </w:numPr>
        <w:ind w:left="360"/>
      </w:pPr>
      <w:r w:rsidRPr="0036185D">
        <w:t>The results in a few sections of the report would be easier to process if provided in a table instead of the bullets or short paragraphs currently used.</w:t>
      </w:r>
    </w:p>
    <w:p w:rsidR="005A311D" w:rsidRPr="0036185D" w:rsidRDefault="00C20C41" w:rsidP="00E646C9">
      <w:pPr>
        <w:pStyle w:val="ListParagraph"/>
        <w:numPr>
          <w:ilvl w:val="0"/>
          <w:numId w:val="95"/>
        </w:numPr>
        <w:ind w:left="360"/>
      </w:pPr>
      <w:r w:rsidRPr="0036185D">
        <w:t>Some survey findings from the low-income program were reported in the residential program chapter but did not include the information about the data collection methods. Adding these details to each chapter would improve the readability of the report so that the reader does not have to go back and forth between chapters to get the full details.</w:t>
      </w:r>
    </w:p>
    <w:p w:rsidR="00C20C41" w:rsidRPr="00661E10" w:rsidRDefault="00C20C41" w:rsidP="00C20C41"/>
    <w:p w:rsidR="005A311D" w:rsidRPr="00661E10" w:rsidRDefault="005A311D" w:rsidP="005A311D">
      <w:r w:rsidRPr="00661E10">
        <w:rPr>
          <w:szCs w:val="20"/>
          <w:lang w:val="x-none" w:eastAsia="x-none"/>
        </w:rPr>
        <w:t xml:space="preserve">Detailed summaries </w:t>
      </w:r>
      <w:r w:rsidRPr="00661E10">
        <w:rPr>
          <w:szCs w:val="20"/>
          <w:lang w:eastAsia="x-none"/>
        </w:rPr>
        <w:t xml:space="preserve">of </w:t>
      </w:r>
      <w:r w:rsidRPr="00661E10">
        <w:rPr>
          <w:szCs w:val="20"/>
          <w:lang w:val="x-none" w:eastAsia="x-none"/>
        </w:rPr>
        <w:t>the SWE Team</w:t>
      </w:r>
      <w:r w:rsidRPr="00661E10">
        <w:rPr>
          <w:szCs w:val="20"/>
          <w:lang w:eastAsia="x-none"/>
        </w:rPr>
        <w:t>’s</w:t>
      </w:r>
      <w:r w:rsidRPr="00661E10">
        <w:rPr>
          <w:szCs w:val="20"/>
          <w:lang w:val="x-none" w:eastAsia="x-none"/>
        </w:rPr>
        <w:t xml:space="preserve"> review of the process evaluation by program are in Appendix </w:t>
      </w:r>
      <w:r>
        <w:rPr>
          <w:szCs w:val="20"/>
          <w:lang w:eastAsia="x-none"/>
        </w:rPr>
        <w:t>B</w:t>
      </w:r>
      <w:r w:rsidRPr="00661E10">
        <w:rPr>
          <w:szCs w:val="20"/>
          <w:lang w:val="x-none" w:eastAsia="x-none"/>
        </w:rPr>
        <w:t>.</w:t>
      </w:r>
    </w:p>
    <w:p w:rsidR="005A311D" w:rsidRPr="00661E10" w:rsidRDefault="005A311D" w:rsidP="005A311D"/>
    <w:p w:rsidR="0075500D" w:rsidRPr="006C05B5" w:rsidRDefault="0075500D" w:rsidP="0075500D">
      <w:r w:rsidRPr="006C05B5">
        <w:t>Th</w:t>
      </w:r>
      <w:r>
        <w:t>e remainder of this</w:t>
      </w:r>
      <w:r w:rsidRPr="006C05B5">
        <w:t xml:space="preserve"> section summarizes the activities and key findings of the SWE Team’s NTG audits of PPL’s PY7 programs. </w:t>
      </w:r>
    </w:p>
    <w:p w:rsidR="0075500D" w:rsidRPr="006C05B5" w:rsidRDefault="0075500D" w:rsidP="0075500D"/>
    <w:p w:rsidR="0075500D" w:rsidRPr="006C05B5" w:rsidRDefault="0075500D" w:rsidP="0075500D">
      <w:r>
        <w:fldChar w:fldCharType="begin"/>
      </w:r>
      <w:r>
        <w:instrText xml:space="preserve"> REF _Ref472454135 \h </w:instrText>
      </w:r>
      <w:r>
        <w:fldChar w:fldCharType="separate"/>
      </w:r>
      <w:r w:rsidR="00037CB4" w:rsidRPr="0075500D">
        <w:t>Table A-</w:t>
      </w:r>
      <w:r w:rsidR="00037CB4">
        <w:rPr>
          <w:noProof/>
        </w:rPr>
        <w:t>155</w:t>
      </w:r>
      <w:r>
        <w:fldChar w:fldCharType="end"/>
      </w:r>
      <w:r w:rsidRPr="006C05B5">
        <w:t xml:space="preserve"> summarizes the results of the SWE Team’s audit of Cadmus’s NTG assessment of the PPL programs. </w:t>
      </w:r>
    </w:p>
    <w:p w:rsidR="0075500D" w:rsidRPr="006C05B5" w:rsidRDefault="0075500D" w:rsidP="0075500D"/>
    <w:p w:rsidR="0075500D" w:rsidRPr="0075500D" w:rsidRDefault="0075500D" w:rsidP="004837FA">
      <w:pPr>
        <w:pStyle w:val="Caption"/>
      </w:pPr>
      <w:bookmarkStart w:id="1371" w:name="_Ref472454135"/>
      <w:bookmarkStart w:id="1372" w:name="_Toc444269806"/>
      <w:bookmarkStart w:id="1373" w:name="_Toc472472552"/>
      <w:bookmarkStart w:id="1374" w:name="_Toc488741983"/>
      <w:bookmarkStart w:id="1375" w:name="_Toc409225031"/>
      <w:bookmarkStart w:id="1376" w:name="_Toc409443583"/>
      <w:r w:rsidRPr="0075500D">
        <w:t>Table A-</w:t>
      </w:r>
      <w:r w:rsidR="007973A4">
        <w:fldChar w:fldCharType="begin"/>
      </w:r>
      <w:r w:rsidR="007973A4">
        <w:instrText xml:space="preserve"> SEQ Table_A- \* ARABIC </w:instrText>
      </w:r>
      <w:r w:rsidR="007973A4">
        <w:fldChar w:fldCharType="separate"/>
      </w:r>
      <w:r w:rsidR="00037CB4">
        <w:rPr>
          <w:noProof/>
        </w:rPr>
        <w:t>155</w:t>
      </w:r>
      <w:r w:rsidR="007973A4">
        <w:rPr>
          <w:noProof/>
        </w:rPr>
        <w:fldChar w:fldCharType="end"/>
      </w:r>
      <w:bookmarkEnd w:id="1371"/>
      <w:r w:rsidRPr="0075500D">
        <w:t>: Summary of SWE Team Review of PPL NTG Evaluations</w:t>
      </w:r>
      <w:bookmarkEnd w:id="1372"/>
      <w:bookmarkEnd w:id="1373"/>
      <w:bookmarkEnd w:id="1374"/>
      <w:r w:rsidRPr="0075500D">
        <w:t xml:space="preserve"> </w:t>
      </w:r>
      <w:bookmarkEnd w:id="1375"/>
      <w:bookmarkEnd w:id="1376"/>
    </w:p>
    <w:tbl>
      <w:tblPr>
        <w:tblW w:w="9350" w:type="dxa"/>
        <w:tblCellMar>
          <w:left w:w="0" w:type="dxa"/>
          <w:right w:w="0" w:type="dxa"/>
        </w:tblCellMar>
        <w:tblLook w:val="04A0" w:firstRow="1" w:lastRow="0" w:firstColumn="1" w:lastColumn="0" w:noHBand="0" w:noVBand="1"/>
      </w:tblPr>
      <w:tblGrid>
        <w:gridCol w:w="3680"/>
        <w:gridCol w:w="5670"/>
      </w:tblGrid>
      <w:tr w:rsidR="00E7173E" w:rsidRPr="00D613BE" w:rsidTr="00FD03DC">
        <w:trPr>
          <w:trHeight w:val="346"/>
        </w:trPr>
        <w:tc>
          <w:tcPr>
            <w:tcW w:w="3680" w:type="dxa"/>
            <w:tcBorders>
              <w:top w:val="single" w:sz="8" w:space="0" w:color="448A99"/>
              <w:left w:val="single" w:sz="8" w:space="0" w:color="448A99"/>
              <w:bottom w:val="single" w:sz="8" w:space="0" w:color="448A99"/>
              <w:right w:val="single" w:sz="8" w:space="0" w:color="448A99"/>
            </w:tcBorders>
            <w:shd w:val="clear" w:color="auto" w:fill="448A99"/>
            <w:tcMar>
              <w:top w:w="0" w:type="dxa"/>
              <w:left w:w="108" w:type="dxa"/>
              <w:bottom w:w="0" w:type="dxa"/>
              <w:right w:w="108" w:type="dxa"/>
            </w:tcMar>
            <w:vAlign w:val="bottom"/>
            <w:hideMark/>
          </w:tcPr>
          <w:p w:rsidR="0075500D" w:rsidRPr="00D613BE" w:rsidRDefault="0075500D" w:rsidP="005C1352">
            <w:pPr>
              <w:jc w:val="left"/>
              <w:rPr>
                <w:b/>
                <w:bCs/>
                <w:color w:val="FFFFFF"/>
                <w:sz w:val="19"/>
                <w:szCs w:val="19"/>
              </w:rPr>
            </w:pPr>
            <w:bookmarkStart w:id="1377" w:name="_Ref409191115"/>
            <w:r w:rsidRPr="00D613BE">
              <w:rPr>
                <w:b/>
                <w:bCs/>
                <w:color w:val="FFFFFF"/>
                <w:sz w:val="19"/>
                <w:szCs w:val="19"/>
              </w:rPr>
              <w:t>Elements Reviewed in PPL Annual Report</w:t>
            </w:r>
          </w:p>
        </w:tc>
        <w:tc>
          <w:tcPr>
            <w:tcW w:w="5670" w:type="dxa"/>
            <w:tcBorders>
              <w:top w:val="single" w:sz="8" w:space="0" w:color="448A99"/>
              <w:left w:val="nil"/>
              <w:bottom w:val="single" w:sz="8" w:space="0" w:color="448A99"/>
              <w:right w:val="single" w:sz="8" w:space="0" w:color="448A99"/>
            </w:tcBorders>
            <w:shd w:val="clear" w:color="auto" w:fill="448A99"/>
            <w:tcMar>
              <w:top w:w="0" w:type="dxa"/>
              <w:left w:w="108" w:type="dxa"/>
              <w:bottom w:w="0" w:type="dxa"/>
              <w:right w:w="108" w:type="dxa"/>
            </w:tcMar>
            <w:vAlign w:val="bottom"/>
            <w:hideMark/>
          </w:tcPr>
          <w:p w:rsidR="0075500D" w:rsidRPr="00D613BE" w:rsidRDefault="0075500D" w:rsidP="005C1352">
            <w:pPr>
              <w:jc w:val="center"/>
              <w:rPr>
                <w:b/>
                <w:bCs/>
                <w:color w:val="FFFFFF"/>
                <w:sz w:val="19"/>
                <w:szCs w:val="19"/>
              </w:rPr>
            </w:pPr>
            <w:r w:rsidRPr="00D613BE">
              <w:rPr>
                <w:b/>
                <w:bCs/>
                <w:color w:val="FFFFFF"/>
                <w:sz w:val="19"/>
                <w:szCs w:val="19"/>
              </w:rPr>
              <w:t>SWE Findings</w:t>
            </w:r>
          </w:p>
        </w:tc>
      </w:tr>
      <w:tr w:rsidR="00E7173E" w:rsidRPr="00D613BE" w:rsidTr="00FD03DC">
        <w:trPr>
          <w:trHeight w:val="20"/>
        </w:trPr>
        <w:tc>
          <w:tcPr>
            <w:tcW w:w="9350" w:type="dxa"/>
            <w:gridSpan w:val="2"/>
            <w:tcBorders>
              <w:top w:val="nil"/>
              <w:left w:val="single" w:sz="8" w:space="0" w:color="448A99"/>
              <w:bottom w:val="single" w:sz="8" w:space="0" w:color="448A99"/>
              <w:right w:val="single" w:sz="8" w:space="0" w:color="448A99"/>
            </w:tcBorders>
            <w:shd w:val="clear" w:color="auto" w:fill="9C9393"/>
            <w:tcMar>
              <w:top w:w="0" w:type="dxa"/>
              <w:left w:w="108" w:type="dxa"/>
              <w:bottom w:w="0" w:type="dxa"/>
              <w:right w:w="108" w:type="dxa"/>
            </w:tcMar>
            <w:hideMark/>
          </w:tcPr>
          <w:p w:rsidR="0075500D" w:rsidRPr="00D613BE" w:rsidRDefault="0075500D" w:rsidP="005C1352">
            <w:pPr>
              <w:jc w:val="left"/>
              <w:rPr>
                <w:b/>
                <w:bCs/>
                <w:color w:val="FFFFFF"/>
                <w:sz w:val="19"/>
                <w:szCs w:val="19"/>
              </w:rPr>
            </w:pPr>
            <w:r w:rsidRPr="00D613BE">
              <w:rPr>
                <w:b/>
                <w:bCs/>
                <w:color w:val="FFFFFF"/>
                <w:sz w:val="19"/>
                <w:szCs w:val="19"/>
              </w:rPr>
              <w:t>Use of NTG Common Method or Explanation for Alternate Method</w:t>
            </w:r>
          </w:p>
        </w:tc>
      </w:tr>
      <w:tr w:rsidR="00E7173E" w:rsidRPr="00D613BE" w:rsidTr="00FD03DC">
        <w:trPr>
          <w:trHeight w:val="732"/>
        </w:trPr>
        <w:tc>
          <w:tcPr>
            <w:tcW w:w="3680" w:type="dxa"/>
            <w:tcBorders>
              <w:top w:val="nil"/>
              <w:left w:val="single" w:sz="8" w:space="0" w:color="448A99"/>
              <w:bottom w:val="single" w:sz="8" w:space="0" w:color="448A99"/>
              <w:right w:val="single" w:sz="8" w:space="0" w:color="448A99"/>
            </w:tcBorders>
            <w:shd w:val="clear" w:color="auto" w:fill="D2EAF1"/>
            <w:tcMar>
              <w:top w:w="0" w:type="dxa"/>
              <w:left w:w="108" w:type="dxa"/>
              <w:bottom w:w="0" w:type="dxa"/>
              <w:right w:w="108" w:type="dxa"/>
            </w:tcMar>
            <w:hideMark/>
          </w:tcPr>
          <w:p w:rsidR="0075500D" w:rsidRPr="00D613BE" w:rsidRDefault="0075500D" w:rsidP="005C1352">
            <w:pPr>
              <w:jc w:val="left"/>
              <w:rPr>
                <w:sz w:val="19"/>
                <w:szCs w:val="19"/>
              </w:rPr>
            </w:pPr>
            <w:r w:rsidRPr="00D613BE">
              <w:rPr>
                <w:sz w:val="19"/>
                <w:szCs w:val="19"/>
              </w:rPr>
              <w:t>Availability of NTG data files and documents</w:t>
            </w:r>
          </w:p>
        </w:tc>
        <w:tc>
          <w:tcPr>
            <w:tcW w:w="5670" w:type="dxa"/>
            <w:tcBorders>
              <w:top w:val="nil"/>
              <w:left w:val="nil"/>
              <w:bottom w:val="single" w:sz="8" w:space="0" w:color="448A99"/>
              <w:right w:val="single" w:sz="8" w:space="0" w:color="448A99"/>
            </w:tcBorders>
            <w:shd w:val="clear" w:color="auto" w:fill="D2EAF1"/>
            <w:tcMar>
              <w:top w:w="0" w:type="dxa"/>
              <w:left w:w="108" w:type="dxa"/>
              <w:bottom w:w="0" w:type="dxa"/>
              <w:right w:w="108" w:type="dxa"/>
            </w:tcMar>
            <w:hideMark/>
          </w:tcPr>
          <w:p w:rsidR="0075500D" w:rsidRPr="00D613BE" w:rsidRDefault="0075500D" w:rsidP="005C1352">
            <w:pPr>
              <w:jc w:val="center"/>
              <w:rPr>
                <w:sz w:val="19"/>
                <w:szCs w:val="19"/>
              </w:rPr>
            </w:pPr>
            <w:r w:rsidRPr="00D613BE">
              <w:rPr>
                <w:sz w:val="19"/>
                <w:szCs w:val="19"/>
              </w:rPr>
              <w:t>Yes, with exceptions noted</w:t>
            </w:r>
          </w:p>
        </w:tc>
      </w:tr>
      <w:tr w:rsidR="00E7173E" w:rsidRPr="00D613BE" w:rsidTr="00FD03DC">
        <w:trPr>
          <w:trHeight w:val="732"/>
        </w:trPr>
        <w:tc>
          <w:tcPr>
            <w:tcW w:w="3680" w:type="dxa"/>
            <w:tcBorders>
              <w:top w:val="nil"/>
              <w:left w:val="single" w:sz="8" w:space="0" w:color="448A99"/>
              <w:bottom w:val="single" w:sz="8" w:space="0" w:color="448A99"/>
              <w:right w:val="single" w:sz="8" w:space="0" w:color="448A99"/>
            </w:tcBorders>
            <w:shd w:val="clear" w:color="auto" w:fill="auto"/>
            <w:tcMar>
              <w:top w:w="0" w:type="dxa"/>
              <w:left w:w="108" w:type="dxa"/>
              <w:bottom w:w="0" w:type="dxa"/>
              <w:right w:w="108" w:type="dxa"/>
            </w:tcMar>
            <w:hideMark/>
          </w:tcPr>
          <w:p w:rsidR="0075500D" w:rsidRPr="00D613BE" w:rsidRDefault="0075500D" w:rsidP="005C1352">
            <w:pPr>
              <w:jc w:val="left"/>
              <w:rPr>
                <w:sz w:val="19"/>
                <w:szCs w:val="19"/>
              </w:rPr>
            </w:pPr>
            <w:r w:rsidRPr="00D613BE">
              <w:rPr>
                <w:sz w:val="19"/>
                <w:szCs w:val="19"/>
              </w:rPr>
              <w:t>NTG method used – the common method or another</w:t>
            </w:r>
          </w:p>
        </w:tc>
        <w:tc>
          <w:tcPr>
            <w:tcW w:w="5670" w:type="dxa"/>
            <w:tcBorders>
              <w:top w:val="nil"/>
              <w:left w:val="nil"/>
              <w:bottom w:val="single" w:sz="8" w:space="0" w:color="448A99"/>
              <w:right w:val="single" w:sz="8" w:space="0" w:color="448A99"/>
            </w:tcBorders>
            <w:shd w:val="clear" w:color="auto" w:fill="auto"/>
            <w:tcMar>
              <w:top w:w="0" w:type="dxa"/>
              <w:left w:w="108" w:type="dxa"/>
              <w:bottom w:w="0" w:type="dxa"/>
              <w:right w:w="108" w:type="dxa"/>
            </w:tcMar>
            <w:hideMark/>
          </w:tcPr>
          <w:p w:rsidR="0075500D" w:rsidRPr="00D613BE" w:rsidRDefault="0075500D" w:rsidP="005C1352">
            <w:pPr>
              <w:jc w:val="center"/>
              <w:rPr>
                <w:sz w:val="19"/>
                <w:szCs w:val="19"/>
                <w:shd w:val="clear" w:color="auto" w:fill="D9D9D9"/>
              </w:rPr>
            </w:pPr>
            <w:r w:rsidRPr="00D613BE">
              <w:rPr>
                <w:sz w:val="19"/>
                <w:szCs w:val="19"/>
              </w:rPr>
              <w:t>Usually common method, with acceptable modifications</w:t>
            </w:r>
          </w:p>
          <w:p w:rsidR="0075500D" w:rsidRPr="00D613BE" w:rsidRDefault="0075500D" w:rsidP="005C1352">
            <w:pPr>
              <w:jc w:val="center"/>
              <w:rPr>
                <w:sz w:val="19"/>
                <w:szCs w:val="19"/>
              </w:rPr>
            </w:pPr>
            <w:r w:rsidRPr="00D613BE">
              <w:rPr>
                <w:sz w:val="19"/>
                <w:szCs w:val="19"/>
              </w:rPr>
              <w:t>Also used billing analysis and demand elasticity model where common method not required</w:t>
            </w:r>
          </w:p>
        </w:tc>
      </w:tr>
      <w:tr w:rsidR="00E7173E" w:rsidRPr="00D613BE" w:rsidTr="00FD03DC">
        <w:trPr>
          <w:trHeight w:val="732"/>
        </w:trPr>
        <w:tc>
          <w:tcPr>
            <w:tcW w:w="3680" w:type="dxa"/>
            <w:tcBorders>
              <w:top w:val="nil"/>
              <w:left w:val="single" w:sz="8" w:space="0" w:color="448A99"/>
              <w:bottom w:val="single" w:sz="8" w:space="0" w:color="448A99"/>
              <w:right w:val="single" w:sz="8" w:space="0" w:color="448A99"/>
            </w:tcBorders>
            <w:shd w:val="clear" w:color="auto" w:fill="D2EAF1"/>
            <w:tcMar>
              <w:top w:w="0" w:type="dxa"/>
              <w:left w:w="108" w:type="dxa"/>
              <w:bottom w:w="0" w:type="dxa"/>
              <w:right w:w="108" w:type="dxa"/>
            </w:tcMar>
            <w:hideMark/>
          </w:tcPr>
          <w:p w:rsidR="0075500D" w:rsidRPr="00D613BE" w:rsidRDefault="0075500D" w:rsidP="005C1352">
            <w:pPr>
              <w:jc w:val="left"/>
              <w:rPr>
                <w:sz w:val="19"/>
                <w:szCs w:val="19"/>
              </w:rPr>
            </w:pPr>
            <w:r w:rsidRPr="00D613BE">
              <w:rPr>
                <w:sz w:val="19"/>
                <w:szCs w:val="19"/>
              </w:rPr>
              <w:t>NTG common method applied correctly</w:t>
            </w:r>
          </w:p>
        </w:tc>
        <w:tc>
          <w:tcPr>
            <w:tcW w:w="5670" w:type="dxa"/>
            <w:tcBorders>
              <w:top w:val="nil"/>
              <w:left w:val="nil"/>
              <w:bottom w:val="single" w:sz="8" w:space="0" w:color="448A99"/>
              <w:right w:val="single" w:sz="8" w:space="0" w:color="448A99"/>
            </w:tcBorders>
            <w:shd w:val="clear" w:color="auto" w:fill="D2EAF1"/>
            <w:tcMar>
              <w:top w:w="0" w:type="dxa"/>
              <w:left w:w="108" w:type="dxa"/>
              <w:bottom w:w="0" w:type="dxa"/>
              <w:right w:w="108" w:type="dxa"/>
            </w:tcMar>
            <w:hideMark/>
          </w:tcPr>
          <w:p w:rsidR="0075500D" w:rsidRPr="00D613BE" w:rsidRDefault="0075500D" w:rsidP="005C1352">
            <w:pPr>
              <w:jc w:val="center"/>
              <w:rPr>
                <w:sz w:val="19"/>
                <w:szCs w:val="19"/>
              </w:rPr>
            </w:pPr>
            <w:r w:rsidRPr="00D613BE">
              <w:rPr>
                <w:sz w:val="19"/>
                <w:szCs w:val="19"/>
              </w:rPr>
              <w:t xml:space="preserve">Yes </w:t>
            </w:r>
          </w:p>
        </w:tc>
      </w:tr>
    </w:tbl>
    <w:p w:rsidR="0075500D" w:rsidRPr="006C05B5" w:rsidRDefault="0075500D" w:rsidP="0075500D">
      <w:pPr>
        <w:rPr>
          <w:highlight w:val="lightGray"/>
        </w:rPr>
      </w:pPr>
    </w:p>
    <w:bookmarkEnd w:id="1377"/>
    <w:p w:rsidR="007E03F7" w:rsidRDefault="0075500D" w:rsidP="0036185D">
      <w:r w:rsidRPr="0036185D">
        <w:t>The following subsections present detailed discussions of the SWE Team’s NTG audits of PPL programs in PY7 and summarize the findings, specifically the audit of NTG reporting and related files. The results are provided for residential, low-income, and non-residential programs.</w:t>
      </w:r>
    </w:p>
    <w:p w:rsidR="00D613BE" w:rsidRPr="0036185D" w:rsidRDefault="00D613BE" w:rsidP="0036185D"/>
    <w:p w:rsidR="0075500D" w:rsidRPr="00B32B81" w:rsidRDefault="0075500D" w:rsidP="00B32B81">
      <w:pPr>
        <w:pStyle w:val="AppendixAHeading4"/>
      </w:pPr>
      <w:r w:rsidRPr="00B32B81">
        <w:t>Residential Programs</w:t>
      </w:r>
      <w:r w:rsidR="00BC1E78" w:rsidRPr="00B32B81">
        <w:t xml:space="preserve"> </w:t>
      </w:r>
    </w:p>
    <w:p w:rsidR="0075500D" w:rsidRPr="006C05B5" w:rsidRDefault="00C20C41" w:rsidP="0075500D">
      <w:r w:rsidRPr="001C718B">
        <w:t xml:space="preserve">Cadmus estimated NTG for two residential programs: </w:t>
      </w:r>
      <w:r w:rsidR="0036185D" w:rsidRPr="001C718B">
        <w:t>The</w:t>
      </w:r>
      <w:r w:rsidRPr="001C718B">
        <w:t xml:space="preserve"> Residential Retail Program and </w:t>
      </w:r>
      <w:r w:rsidR="00C83389">
        <w:t xml:space="preserve">the </w:t>
      </w:r>
      <w:r w:rsidRPr="001C718B">
        <w:t xml:space="preserve">Residential Home Comfort Program. Cadmus did not conduct NTG research for three other programs. For the </w:t>
      </w:r>
      <w:r w:rsidRPr="001C718B">
        <w:rPr>
          <w:rFonts w:cs="Calibri"/>
        </w:rPr>
        <w:t>Appliance Recycling Program (ARP)</w:t>
      </w:r>
      <w:r w:rsidRPr="001C718B">
        <w:t>, Cadmus reported the PY6 NTG values, citing no significant changes to program delivery and the target market. It reported an assumed NTGR of 1.0 for the Student and Parent Energy-Efficiency Education Program, based on the voluntary participation of teachers and schools and the fact that energy efficiency measures are provided at no cost to the teachers, who pass them on to students as part of the curriculum. Finally, Cadmus noted that the impact evaluation for the Residential Energy-Efficiency Behavior &amp; Education Program produces net savings via the RCT analysis, and argued that therefore estimation of NTGR is not applicable</w:t>
      </w:r>
      <w:r w:rsidR="004D072A">
        <w:t>.</w:t>
      </w:r>
    </w:p>
    <w:p w:rsidR="0075500D" w:rsidRPr="006C05B5" w:rsidRDefault="0075500D" w:rsidP="0075500D"/>
    <w:p w:rsidR="0075500D" w:rsidRPr="006C05B5" w:rsidRDefault="0075500D" w:rsidP="0075500D">
      <w:r w:rsidRPr="006C05B5">
        <w:t>Cadmus correctly used the SWE Team’s common approach for all downstream programs and used a reasonable approach for estimating NTG for an upstream program component. Cadmus reported the NTG methodology in the PPL PY7 annual report and showed calculations in corresponding Excel workbooks for each program</w:t>
      </w:r>
      <w:r w:rsidR="00672127">
        <w:t>, and provided the survey instruments</w:t>
      </w:r>
      <w:r w:rsidRPr="006C05B5">
        <w:t>.</w:t>
      </w:r>
    </w:p>
    <w:p w:rsidR="0075500D" w:rsidRPr="006C05B5" w:rsidRDefault="0075500D" w:rsidP="0075500D"/>
    <w:p w:rsidR="0075500D" w:rsidRDefault="00C20C41" w:rsidP="0075500D">
      <w:r w:rsidRPr="00C20C41">
        <w:t xml:space="preserve">Cadmus used the common method for downstream program components, following the common method to score the intention and influence components to determine the free ridership score. While the provided Excel workbooks demonstrate proper and error-free use of the common method, the SWE Team found the description of the downstream NTG methods to be somewhat unclear: while Cadmus did explain a high-level summary of the survey methods, it did not explain the free-ridership or spillover calculation algorithm. Cadmus did provide an Appendix in the PY5 </w:t>
      </w:r>
      <w:r w:rsidR="00BC1E78">
        <w:t>Annual Report</w:t>
      </w:r>
      <w:r w:rsidRPr="00C20C41">
        <w:t>, and the methodology was unchanged in PY6 and PY7. In the PY7 annual report, Cadmus provided a high-level summary of the methods used for estimating ARP NTGR in PY6, stating it followed the SWE’s “Common Approach for Measuring Net Savings for Appliance Retirement Programs” and summarizing the four major factors in the net savings analysis: free-ridership, secondary market impacts, induced replacement, and spillover.</w:t>
      </w:r>
    </w:p>
    <w:p w:rsidR="00C20C41" w:rsidRPr="006C05B5" w:rsidRDefault="00C20C41" w:rsidP="0075500D"/>
    <w:p w:rsidR="0075500D" w:rsidRPr="006C05B5" w:rsidRDefault="0075500D" w:rsidP="0075500D">
      <w:r w:rsidRPr="006C05B5">
        <w:t>Cadmus used a demand elasticity model to estimate free-ridership and NTGR for the upstream lighting component of the Residential Retail Program. The description of the demand elasticity method was very clear. Noting that its demand elasticity approach did not quantify market effects, Cadmus suggested that if market effects were accounted for then the NTGR for the upstream lighting component of the Residential Retail Program “would be higher than 59%.” While the SWE Team acknowledges the merit of this methodological claim, and approves of Cadmus’s choice to refrain from quoting a specific alternative NTGR, the SWE Team interprets “59%” as a typo, as Cadmus reported 39% free-ridership and an NTGR of 61%.</w:t>
      </w:r>
    </w:p>
    <w:p w:rsidR="0075500D" w:rsidRPr="006C05B5" w:rsidRDefault="0075500D" w:rsidP="0075500D"/>
    <w:p w:rsidR="0075500D" w:rsidRPr="006C05B5" w:rsidRDefault="0075500D" w:rsidP="0075500D">
      <w:r w:rsidRPr="006C05B5">
        <w:t>A summary table in the PPL PY7 annual report’s overview section shows the program-level NTGR for the Residential Retail Program, which appears to be a savings-weighted mean of the component NTGRs. However, the report does not explain this, and the Excel workbooks provided do not include the calculations used for estimating program-level NTGR. The SWE Team found this issue in Cadmus’s PY6 report as well, and noted the issue in the PY6 SWE annual report. In response to the draft of the PY6 report, Cadmus clarified that the program-level NTGR was a savings-weighted average, and said it would note that in future reports. The SWE Team confirmed via email with Cadmus that the PY7 result is also a weighted mean, but would have preferred that Cadmus note that methodological detail in its PY7 report.</w:t>
      </w:r>
    </w:p>
    <w:p w:rsidR="0075500D" w:rsidRPr="006C05B5" w:rsidRDefault="0075500D" w:rsidP="0075500D"/>
    <w:p w:rsidR="0075500D" w:rsidRDefault="00C20C41" w:rsidP="0075500D">
      <w:r w:rsidRPr="001C718B">
        <w:t>Cadmus used a hybrid approach to estimate NTGR for the Residential Home Comfort Program: it used PY5 results for audit and weatherization measures, and conducted primary data collection and analysis for equipment measures. Cadmus reported using a savings-weighted approach to combine these various estimates into a program-level free-ridership, spillover, and NTGR for PY7. The PY7 Home Comfort Program workbook that was provided to the SWE encompassed only the new “Efficient Equipment” program stratum primary data collected and analyzed in PY7 and did not include these weighted calculations, so the SWE Team is unable to confirm the accuracy of weighted program-level calculations. While Cadmus reported program-level free-ridership and spillover values in the Overview of Portfolio chapter, it reported only program-level NTGR in the Residential Home Comfort Program chapter. The SWE Team recommends that Cadmus include program-level free-ridership and spillover values in all program-specific chapters.</w:t>
      </w:r>
    </w:p>
    <w:p w:rsidR="00C20C41" w:rsidRDefault="00C20C41" w:rsidP="0075500D"/>
    <w:p w:rsidR="00C20C41" w:rsidRPr="006C05B5" w:rsidRDefault="00C20C41" w:rsidP="0075500D">
      <w:r w:rsidRPr="00C20C41">
        <w:t>Cadmus did not estimate NTGR for manufactured homes or new construction projects. The Cadmus report explained that it did not estimate manufactured home NTGR since there was only one participant. The report did not provide a reason for not estimating NTGR for new construction, but subsequent clarification from Cadmus indicates that the reasons was that there were too few participating builders, as in PY6, and referred to the PY6 report for additional details.</w:t>
      </w:r>
    </w:p>
    <w:p w:rsidR="0075500D" w:rsidRPr="006C05B5" w:rsidRDefault="0075500D" w:rsidP="0075500D"/>
    <w:p w:rsidR="00C20C41" w:rsidRPr="001C718B" w:rsidRDefault="00C20C41" w:rsidP="00C20C41">
      <w:r w:rsidRPr="001C718B">
        <w:t>The SWE Team did not question Cadmus’s assumption of an NTGR of 1.0 for the Student and Parent Energy-Efficiency Education Program in its PY5 annual report. However, the SWE Team disagrees with Cadmus’s arguments for that assumption. It is possible that some of the program participants would have installed the measures even if there had been no program. Therefore, the fact that the measures were distributed at no cost to the recipient through the intervention of school faculty does not mean there were no free-riders. The SWE Team noted its disagreement in the PY6 annual report, and repeats it again here.</w:t>
      </w:r>
    </w:p>
    <w:p w:rsidR="0075500D" w:rsidRPr="006C05B5" w:rsidRDefault="0075500D" w:rsidP="0075500D"/>
    <w:p w:rsidR="0075500D" w:rsidRPr="006C05B5" w:rsidRDefault="0075500D" w:rsidP="0075500D">
      <w:r>
        <w:fldChar w:fldCharType="begin"/>
      </w:r>
      <w:r>
        <w:instrText xml:space="preserve"> REF _Ref472454180 \h </w:instrText>
      </w:r>
      <w:r>
        <w:fldChar w:fldCharType="separate"/>
      </w:r>
      <w:r w:rsidR="00037CB4" w:rsidRPr="0075500D">
        <w:t>Table A-</w:t>
      </w:r>
      <w:r w:rsidR="00037CB4">
        <w:rPr>
          <w:noProof/>
        </w:rPr>
        <w:t>156</w:t>
      </w:r>
      <w:r>
        <w:fldChar w:fldCharType="end"/>
      </w:r>
      <w:r>
        <w:t xml:space="preserve"> </w:t>
      </w:r>
      <w:r w:rsidRPr="006C05B5">
        <w:t xml:space="preserve">summarizes the SWE Team’s review of PPL’s NTG activities by program. </w:t>
      </w:r>
    </w:p>
    <w:p w:rsidR="0075500D" w:rsidRPr="006C05B5" w:rsidRDefault="0075500D" w:rsidP="0075500D">
      <w:pPr>
        <w:rPr>
          <w:highlight w:val="lightGray"/>
        </w:rPr>
      </w:pPr>
    </w:p>
    <w:p w:rsidR="0075500D" w:rsidRPr="0075500D" w:rsidRDefault="0075500D" w:rsidP="004837FA">
      <w:pPr>
        <w:pStyle w:val="Caption"/>
      </w:pPr>
      <w:bookmarkStart w:id="1378" w:name="_Ref472454180"/>
      <w:bookmarkStart w:id="1379" w:name="_Toc409225032"/>
      <w:bookmarkStart w:id="1380" w:name="_Toc409443584"/>
      <w:bookmarkStart w:id="1381" w:name="_Toc444269807"/>
      <w:bookmarkStart w:id="1382" w:name="_Toc472472553"/>
      <w:bookmarkStart w:id="1383" w:name="_Toc488741984"/>
      <w:r w:rsidRPr="0075500D">
        <w:t>Table A-</w:t>
      </w:r>
      <w:r w:rsidR="007973A4">
        <w:fldChar w:fldCharType="begin"/>
      </w:r>
      <w:r w:rsidR="007973A4">
        <w:instrText xml:space="preserve"> SEQ Table_A- \* ARABIC </w:instrText>
      </w:r>
      <w:r w:rsidR="007973A4">
        <w:fldChar w:fldCharType="separate"/>
      </w:r>
      <w:r w:rsidR="00037CB4">
        <w:rPr>
          <w:noProof/>
        </w:rPr>
        <w:t>156</w:t>
      </w:r>
      <w:r w:rsidR="007973A4">
        <w:rPr>
          <w:noProof/>
        </w:rPr>
        <w:fldChar w:fldCharType="end"/>
      </w:r>
      <w:bookmarkEnd w:id="1378"/>
      <w:r w:rsidRPr="0075500D">
        <w:t>: Summary of NTG Audit of PPL’s Residential Programs</w:t>
      </w:r>
      <w:bookmarkEnd w:id="1379"/>
      <w:bookmarkEnd w:id="1380"/>
      <w:bookmarkEnd w:id="1381"/>
      <w:bookmarkEnd w:id="1382"/>
      <w:bookmarkEnd w:id="1383"/>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065"/>
        <w:gridCol w:w="1800"/>
        <w:gridCol w:w="5490"/>
      </w:tblGrid>
      <w:tr w:rsidR="00A874AC" w:rsidRPr="00D613BE" w:rsidTr="0036185D">
        <w:trPr>
          <w:cantSplit/>
          <w:tblHeader/>
        </w:trPr>
        <w:tc>
          <w:tcPr>
            <w:tcW w:w="2065" w:type="dxa"/>
            <w:shd w:val="clear" w:color="auto" w:fill="448A99"/>
            <w:vAlign w:val="bottom"/>
          </w:tcPr>
          <w:p w:rsidR="0075500D" w:rsidRPr="00D613BE" w:rsidRDefault="0075500D" w:rsidP="005C1352">
            <w:pPr>
              <w:jc w:val="left"/>
              <w:rPr>
                <w:b/>
                <w:color w:val="FFFFFF"/>
                <w:sz w:val="19"/>
                <w:szCs w:val="19"/>
              </w:rPr>
            </w:pPr>
            <w:r w:rsidRPr="00D613BE">
              <w:rPr>
                <w:b/>
                <w:color w:val="FFFFFF"/>
                <w:sz w:val="19"/>
                <w:szCs w:val="19"/>
              </w:rPr>
              <w:t>Program</w:t>
            </w:r>
          </w:p>
        </w:tc>
        <w:tc>
          <w:tcPr>
            <w:tcW w:w="1800" w:type="dxa"/>
            <w:shd w:val="clear" w:color="auto" w:fill="448A99"/>
            <w:vAlign w:val="bottom"/>
          </w:tcPr>
          <w:p w:rsidR="0075500D" w:rsidRPr="00D613BE" w:rsidRDefault="0075500D" w:rsidP="0036185D">
            <w:pPr>
              <w:jc w:val="center"/>
              <w:rPr>
                <w:b/>
                <w:color w:val="FFFFFF"/>
                <w:sz w:val="19"/>
                <w:szCs w:val="19"/>
              </w:rPr>
            </w:pPr>
            <w:r w:rsidRPr="00D613BE">
              <w:rPr>
                <w:b/>
                <w:color w:val="FFFFFF"/>
                <w:sz w:val="19"/>
                <w:szCs w:val="19"/>
              </w:rPr>
              <w:t>NTG Method</w:t>
            </w:r>
          </w:p>
        </w:tc>
        <w:tc>
          <w:tcPr>
            <w:tcW w:w="5490" w:type="dxa"/>
            <w:shd w:val="clear" w:color="auto" w:fill="448A99"/>
            <w:vAlign w:val="bottom"/>
          </w:tcPr>
          <w:p w:rsidR="0075500D" w:rsidRPr="00D613BE" w:rsidRDefault="0075500D" w:rsidP="005C1352">
            <w:pPr>
              <w:jc w:val="center"/>
              <w:rPr>
                <w:b/>
                <w:color w:val="FFFFFF"/>
                <w:sz w:val="19"/>
                <w:szCs w:val="19"/>
              </w:rPr>
            </w:pPr>
            <w:r w:rsidRPr="00D613BE">
              <w:rPr>
                <w:b/>
                <w:color w:val="FFFFFF"/>
                <w:sz w:val="19"/>
                <w:szCs w:val="19"/>
              </w:rPr>
              <w:t>Review Comments</w:t>
            </w:r>
          </w:p>
        </w:tc>
      </w:tr>
      <w:tr w:rsidR="00E7173E" w:rsidRPr="00D613BE" w:rsidTr="00BC1E78">
        <w:tc>
          <w:tcPr>
            <w:tcW w:w="2065" w:type="dxa"/>
            <w:shd w:val="clear" w:color="auto" w:fill="D2EAF1"/>
          </w:tcPr>
          <w:p w:rsidR="0075500D" w:rsidRPr="00D613BE" w:rsidRDefault="0075500D" w:rsidP="005C1352">
            <w:pPr>
              <w:jc w:val="left"/>
              <w:rPr>
                <w:color w:val="548DD4"/>
                <w:sz w:val="19"/>
                <w:szCs w:val="19"/>
              </w:rPr>
            </w:pPr>
            <w:r w:rsidRPr="00D613BE">
              <w:rPr>
                <w:sz w:val="19"/>
                <w:szCs w:val="19"/>
              </w:rPr>
              <w:t>Residential Retail Program</w:t>
            </w:r>
          </w:p>
        </w:tc>
        <w:tc>
          <w:tcPr>
            <w:tcW w:w="1800" w:type="dxa"/>
            <w:shd w:val="clear" w:color="auto" w:fill="D2EAF1"/>
          </w:tcPr>
          <w:p w:rsidR="0075500D" w:rsidRPr="00D613BE" w:rsidRDefault="0075500D" w:rsidP="0036185D">
            <w:pPr>
              <w:jc w:val="center"/>
              <w:rPr>
                <w:color w:val="548DD4"/>
                <w:sz w:val="19"/>
                <w:szCs w:val="19"/>
              </w:rPr>
            </w:pPr>
            <w:r w:rsidRPr="00D613BE">
              <w:rPr>
                <w:sz w:val="19"/>
                <w:szCs w:val="19"/>
              </w:rPr>
              <w:t>The common method was used for downstream components. A demand elasticity model was used to estimate FR in upstream lighting.</w:t>
            </w:r>
          </w:p>
        </w:tc>
        <w:tc>
          <w:tcPr>
            <w:tcW w:w="5490" w:type="dxa"/>
            <w:shd w:val="clear" w:color="auto" w:fill="D2EAF1"/>
          </w:tcPr>
          <w:p w:rsidR="0075500D" w:rsidRPr="00D613BE" w:rsidRDefault="0075500D" w:rsidP="005C1352">
            <w:pPr>
              <w:jc w:val="left"/>
              <w:rPr>
                <w:sz w:val="19"/>
                <w:szCs w:val="19"/>
              </w:rPr>
            </w:pPr>
            <w:r w:rsidRPr="00D613BE">
              <w:rPr>
                <w:sz w:val="19"/>
                <w:szCs w:val="19"/>
              </w:rPr>
              <w:t xml:space="preserve">Cadmus used the common method for downstream program components and a demand elasticity model for upstream lighting. The description of the latter was clear, but the description of the downstream methods lacked detail (namely, Cadmus did not explain the NTGR calculation algorithm). </w:t>
            </w:r>
          </w:p>
        </w:tc>
      </w:tr>
      <w:tr w:rsidR="0075500D" w:rsidRPr="00D613BE" w:rsidTr="00BC1E78">
        <w:tc>
          <w:tcPr>
            <w:tcW w:w="2065" w:type="dxa"/>
          </w:tcPr>
          <w:p w:rsidR="0075500D" w:rsidRPr="00D613BE" w:rsidRDefault="0075500D" w:rsidP="005C1352">
            <w:pPr>
              <w:jc w:val="left"/>
              <w:rPr>
                <w:color w:val="548DD4"/>
                <w:sz w:val="19"/>
                <w:szCs w:val="19"/>
              </w:rPr>
            </w:pPr>
            <w:r w:rsidRPr="00D613BE">
              <w:rPr>
                <w:sz w:val="19"/>
                <w:szCs w:val="19"/>
              </w:rPr>
              <w:t>Appliance Recycling Program (ARP)</w:t>
            </w:r>
          </w:p>
        </w:tc>
        <w:tc>
          <w:tcPr>
            <w:tcW w:w="1800" w:type="dxa"/>
          </w:tcPr>
          <w:p w:rsidR="0075500D" w:rsidRPr="00D613BE" w:rsidRDefault="0075500D" w:rsidP="0036185D">
            <w:pPr>
              <w:jc w:val="center"/>
              <w:rPr>
                <w:sz w:val="19"/>
                <w:szCs w:val="19"/>
              </w:rPr>
            </w:pPr>
            <w:r w:rsidRPr="00D613BE">
              <w:rPr>
                <w:sz w:val="19"/>
                <w:szCs w:val="19"/>
              </w:rPr>
              <w:t>Not calculated: used PY6 values.</w:t>
            </w:r>
          </w:p>
        </w:tc>
        <w:tc>
          <w:tcPr>
            <w:tcW w:w="5490" w:type="dxa"/>
          </w:tcPr>
          <w:p w:rsidR="0075500D" w:rsidRPr="00D613BE" w:rsidRDefault="0075500D" w:rsidP="005C1352">
            <w:pPr>
              <w:jc w:val="left"/>
              <w:rPr>
                <w:color w:val="548DD4"/>
                <w:sz w:val="19"/>
                <w:szCs w:val="19"/>
              </w:rPr>
            </w:pPr>
            <w:r w:rsidRPr="00D613BE">
              <w:rPr>
                <w:sz w:val="19"/>
                <w:szCs w:val="19"/>
              </w:rPr>
              <w:t xml:space="preserve">Because there were no significant changes to program delivery or the target market, Cadmus used the PY6 NTGR for the PY7 NTGR. </w:t>
            </w:r>
          </w:p>
        </w:tc>
      </w:tr>
      <w:tr w:rsidR="00E7173E" w:rsidRPr="00D613BE" w:rsidTr="00BC1E78">
        <w:tc>
          <w:tcPr>
            <w:tcW w:w="2065" w:type="dxa"/>
            <w:shd w:val="clear" w:color="auto" w:fill="D2EAF1"/>
          </w:tcPr>
          <w:p w:rsidR="0075500D" w:rsidRPr="00D613BE" w:rsidRDefault="0075500D" w:rsidP="005C1352">
            <w:pPr>
              <w:jc w:val="left"/>
              <w:rPr>
                <w:color w:val="548DD4"/>
                <w:sz w:val="19"/>
                <w:szCs w:val="19"/>
              </w:rPr>
            </w:pPr>
            <w:r w:rsidRPr="00D613BE">
              <w:rPr>
                <w:sz w:val="19"/>
                <w:szCs w:val="19"/>
              </w:rPr>
              <w:t>Student and Parent Energy-Efficiency Education Program</w:t>
            </w:r>
          </w:p>
        </w:tc>
        <w:tc>
          <w:tcPr>
            <w:tcW w:w="1800" w:type="dxa"/>
            <w:shd w:val="clear" w:color="auto" w:fill="D2EAF1"/>
          </w:tcPr>
          <w:p w:rsidR="0075500D" w:rsidRPr="00D613BE" w:rsidRDefault="0075500D" w:rsidP="0036185D">
            <w:pPr>
              <w:jc w:val="center"/>
              <w:rPr>
                <w:color w:val="548DD4"/>
                <w:sz w:val="19"/>
                <w:szCs w:val="19"/>
              </w:rPr>
            </w:pPr>
            <w:r w:rsidRPr="00D613BE">
              <w:rPr>
                <w:sz w:val="19"/>
                <w:szCs w:val="19"/>
              </w:rPr>
              <w:t>NTGR was assumed to be 1.0.</w:t>
            </w:r>
          </w:p>
        </w:tc>
        <w:tc>
          <w:tcPr>
            <w:tcW w:w="5490" w:type="dxa"/>
            <w:shd w:val="clear" w:color="auto" w:fill="D2EAF1"/>
          </w:tcPr>
          <w:p w:rsidR="0075500D" w:rsidRPr="00D613BE" w:rsidRDefault="0075500D" w:rsidP="005C1352">
            <w:pPr>
              <w:jc w:val="left"/>
              <w:rPr>
                <w:color w:val="548DD4"/>
                <w:sz w:val="19"/>
                <w:szCs w:val="19"/>
              </w:rPr>
            </w:pPr>
            <w:r w:rsidRPr="00D613BE">
              <w:rPr>
                <w:sz w:val="19"/>
                <w:szCs w:val="19"/>
              </w:rPr>
              <w:t>Cadmus assumed no FR or SO for this program. The SWE Team disagrees with this assumption but allows it for PY7.</w:t>
            </w:r>
          </w:p>
        </w:tc>
      </w:tr>
      <w:tr w:rsidR="00E7173E" w:rsidRPr="00D613BE" w:rsidTr="00BC1E78">
        <w:tc>
          <w:tcPr>
            <w:tcW w:w="2065" w:type="dxa"/>
            <w:shd w:val="clear" w:color="auto" w:fill="auto"/>
          </w:tcPr>
          <w:p w:rsidR="0075500D" w:rsidRPr="00D613BE" w:rsidRDefault="0075500D" w:rsidP="005C1352">
            <w:pPr>
              <w:jc w:val="left"/>
              <w:rPr>
                <w:sz w:val="19"/>
                <w:szCs w:val="19"/>
              </w:rPr>
            </w:pPr>
            <w:r w:rsidRPr="00D613BE">
              <w:rPr>
                <w:sz w:val="19"/>
                <w:szCs w:val="19"/>
              </w:rPr>
              <w:t>Residential Home Comfort Program</w:t>
            </w:r>
          </w:p>
        </w:tc>
        <w:tc>
          <w:tcPr>
            <w:tcW w:w="1800" w:type="dxa"/>
            <w:shd w:val="clear" w:color="auto" w:fill="auto"/>
          </w:tcPr>
          <w:p w:rsidR="0075500D" w:rsidRPr="00D613BE" w:rsidDel="00EF6AC3" w:rsidRDefault="0075500D" w:rsidP="0036185D">
            <w:pPr>
              <w:jc w:val="center"/>
              <w:rPr>
                <w:sz w:val="19"/>
                <w:szCs w:val="19"/>
                <w:shd w:val="clear" w:color="auto" w:fill="D9D9D9"/>
              </w:rPr>
            </w:pPr>
            <w:r w:rsidRPr="00D613BE">
              <w:rPr>
                <w:sz w:val="19"/>
                <w:szCs w:val="19"/>
              </w:rPr>
              <w:t>The common method was used for equipment measures. PY5 results were used for audit and weatherization NTGR. Did not calculate NTGR for new construction or manufactured homes.</w:t>
            </w:r>
          </w:p>
        </w:tc>
        <w:tc>
          <w:tcPr>
            <w:tcW w:w="5490" w:type="dxa"/>
            <w:shd w:val="clear" w:color="auto" w:fill="auto"/>
          </w:tcPr>
          <w:p w:rsidR="0075500D" w:rsidRPr="00D613BE" w:rsidDel="00EF6AC3" w:rsidRDefault="0075500D" w:rsidP="005C1352">
            <w:pPr>
              <w:jc w:val="left"/>
              <w:rPr>
                <w:sz w:val="19"/>
                <w:szCs w:val="19"/>
                <w:shd w:val="clear" w:color="auto" w:fill="D9D9D9"/>
              </w:rPr>
            </w:pPr>
            <w:r w:rsidRPr="00D613BE">
              <w:rPr>
                <w:sz w:val="19"/>
                <w:szCs w:val="19"/>
              </w:rPr>
              <w:t xml:space="preserve">Cadmus used a savings-weighted approach to combine PY5 results (for audit and weatherization measures) and PY7 results for equipment measures. The Excel workbook provided to the SWE Team did not include this weighted calculation, so the SWE Team is unable to confirm the accuracy of weighted program-level calculations. While the Overview of Portfolio chapter reports program-level FR and SO values, the Residential Home Comfort Program chapter does not include these values (instead, it includes only the program-level NTGR). The SWE Team recommends that Cadmus include program-level FR and SO values in all program-specific chapters. Cadmus did not estimate NTGR for manufactured homes or new construction projects. While Cadmus explained that it did not estimate manufactured home NTGR due to a small participant population, it did not provide a reason for not estimating NTGR for new construction. The SWE Team recommends that Cadmus report its reasoning for not calculating NTGR for new construction. </w:t>
            </w:r>
          </w:p>
        </w:tc>
      </w:tr>
      <w:tr w:rsidR="00E7173E" w:rsidRPr="00D613BE" w:rsidTr="00BC1E78">
        <w:tc>
          <w:tcPr>
            <w:tcW w:w="2065" w:type="dxa"/>
            <w:shd w:val="clear" w:color="auto" w:fill="D2EAF1"/>
          </w:tcPr>
          <w:p w:rsidR="0075500D" w:rsidRPr="00D613BE" w:rsidRDefault="0075500D" w:rsidP="005C1352">
            <w:pPr>
              <w:jc w:val="left"/>
              <w:rPr>
                <w:sz w:val="19"/>
                <w:szCs w:val="19"/>
              </w:rPr>
            </w:pPr>
            <w:r w:rsidRPr="00D613BE">
              <w:rPr>
                <w:sz w:val="19"/>
                <w:szCs w:val="19"/>
              </w:rPr>
              <w:t>Residential Energy-Efficiency Behavior &amp; Education Program</w:t>
            </w:r>
          </w:p>
        </w:tc>
        <w:tc>
          <w:tcPr>
            <w:tcW w:w="1800" w:type="dxa"/>
            <w:shd w:val="clear" w:color="auto" w:fill="D2EAF1"/>
          </w:tcPr>
          <w:p w:rsidR="0075500D" w:rsidRPr="00D613BE" w:rsidDel="00EF6AC3" w:rsidRDefault="0075500D" w:rsidP="0036185D">
            <w:pPr>
              <w:jc w:val="center"/>
              <w:rPr>
                <w:sz w:val="19"/>
                <w:szCs w:val="19"/>
                <w:shd w:val="clear" w:color="auto" w:fill="D9D9D9"/>
              </w:rPr>
            </w:pPr>
            <w:r w:rsidRPr="00D613BE">
              <w:rPr>
                <w:sz w:val="19"/>
                <w:szCs w:val="19"/>
              </w:rPr>
              <w:t>Not estimated; impact analysis accounts for FR and SO.</w:t>
            </w:r>
          </w:p>
        </w:tc>
        <w:tc>
          <w:tcPr>
            <w:tcW w:w="5490" w:type="dxa"/>
            <w:shd w:val="clear" w:color="auto" w:fill="D2EAF1"/>
          </w:tcPr>
          <w:p w:rsidR="0075500D" w:rsidRPr="00D613BE" w:rsidDel="00EF6AC3" w:rsidRDefault="0075500D" w:rsidP="005C1352">
            <w:pPr>
              <w:jc w:val="left"/>
              <w:rPr>
                <w:sz w:val="19"/>
                <w:szCs w:val="19"/>
                <w:shd w:val="clear" w:color="auto" w:fill="D9D9D9"/>
              </w:rPr>
            </w:pPr>
            <w:r w:rsidRPr="00D613BE">
              <w:rPr>
                <w:sz w:val="19"/>
                <w:szCs w:val="19"/>
              </w:rPr>
              <w:t>Cadmus reported that no net savings calculations were needed for this program, as the impact evaluation estimates net savings.</w:t>
            </w:r>
          </w:p>
        </w:tc>
      </w:tr>
    </w:tbl>
    <w:p w:rsidR="00037CB4" w:rsidRPr="006C05B5" w:rsidRDefault="0075500D" w:rsidP="0075500D">
      <w:pPr>
        <w:rPr>
          <w:highlight w:val="lightGray"/>
        </w:rPr>
      </w:pPr>
      <w:r w:rsidRPr="006C05B5">
        <w:fldChar w:fldCharType="begin"/>
      </w:r>
      <w:r w:rsidRPr="006C05B5">
        <w:instrText xml:space="preserve"> REF _Ref408906554 \h  \* MERGEFORMAT </w:instrText>
      </w:r>
      <w:r w:rsidRPr="006C05B5">
        <w:fldChar w:fldCharType="separate"/>
      </w:r>
    </w:p>
    <w:p w:rsidR="0075500D" w:rsidRPr="006C05B5" w:rsidRDefault="0075500D" w:rsidP="0075500D">
      <w:r w:rsidRPr="006C05B5">
        <w:fldChar w:fldCharType="end"/>
      </w:r>
      <w:r w:rsidR="002317CF">
        <w:fldChar w:fldCharType="begin"/>
      </w:r>
      <w:r w:rsidR="002317CF">
        <w:instrText xml:space="preserve"> REF _Ref472472409 \h </w:instrText>
      </w:r>
      <w:r w:rsidR="002317CF">
        <w:fldChar w:fldCharType="separate"/>
      </w:r>
      <w:r w:rsidR="00037CB4" w:rsidRPr="00523021">
        <w:t>Table A-</w:t>
      </w:r>
      <w:r w:rsidR="00037CB4">
        <w:rPr>
          <w:noProof/>
        </w:rPr>
        <w:t>157</w:t>
      </w:r>
      <w:r w:rsidR="002317CF">
        <w:fldChar w:fldCharType="end"/>
      </w:r>
      <w:r w:rsidRPr="006C05B5">
        <w:t xml:space="preserve"> summarizes the free-ridership, spillover, and NTG estimates reported in PPL’s PY</w:t>
      </w:r>
      <w:r w:rsidR="002317CF">
        <w:t>7</w:t>
      </w:r>
      <w:r w:rsidRPr="006C05B5">
        <w:t xml:space="preserve"> annual report for residential programs.</w:t>
      </w:r>
    </w:p>
    <w:p w:rsidR="0075500D" w:rsidRPr="006C05B5" w:rsidRDefault="0075500D" w:rsidP="0075500D">
      <w:pPr>
        <w:rPr>
          <w:highlight w:val="lightGray"/>
        </w:rPr>
      </w:pPr>
      <w:bookmarkStart w:id="1384" w:name="_Ref408906554"/>
      <w:bookmarkStart w:id="1385" w:name="_Toc409225033"/>
      <w:bookmarkStart w:id="1386" w:name="_Toc409443585"/>
    </w:p>
    <w:p w:rsidR="0075500D" w:rsidRPr="00523021" w:rsidRDefault="002B3559" w:rsidP="004837FA">
      <w:pPr>
        <w:pStyle w:val="Caption"/>
      </w:pPr>
      <w:bookmarkStart w:id="1387" w:name="_Ref472472409"/>
      <w:bookmarkStart w:id="1388" w:name="_Toc444269808"/>
      <w:bookmarkStart w:id="1389" w:name="_Toc472472207"/>
      <w:bookmarkStart w:id="1390" w:name="_Toc472472554"/>
      <w:bookmarkStart w:id="1391" w:name="_Toc488741985"/>
      <w:bookmarkEnd w:id="1384"/>
      <w:r w:rsidRPr="00523021">
        <w:t>Table A-</w:t>
      </w:r>
      <w:r w:rsidR="007973A4">
        <w:fldChar w:fldCharType="begin"/>
      </w:r>
      <w:r w:rsidR="007973A4">
        <w:instrText xml:space="preserve"> SEQ Table_A- \* ARABIC </w:instrText>
      </w:r>
      <w:r w:rsidR="007973A4">
        <w:fldChar w:fldCharType="separate"/>
      </w:r>
      <w:r w:rsidR="00037CB4">
        <w:rPr>
          <w:noProof/>
        </w:rPr>
        <w:t>157</w:t>
      </w:r>
      <w:r w:rsidR="007973A4">
        <w:rPr>
          <w:noProof/>
        </w:rPr>
        <w:fldChar w:fldCharType="end"/>
      </w:r>
      <w:bookmarkEnd w:id="1387"/>
      <w:r w:rsidRPr="00523021">
        <w:t xml:space="preserve">: </w:t>
      </w:r>
      <w:r w:rsidR="0075500D" w:rsidRPr="00523021">
        <w:t>Summary of NTG Estimates for PPL’s Residential Programs</w:t>
      </w:r>
      <w:bookmarkEnd w:id="1385"/>
      <w:bookmarkEnd w:id="1386"/>
      <w:bookmarkEnd w:id="1388"/>
      <w:bookmarkEnd w:id="1389"/>
      <w:bookmarkEnd w:id="1390"/>
      <w:bookmarkEnd w:id="1391"/>
    </w:p>
    <w:tbl>
      <w:tblPr>
        <w:tblW w:w="944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244"/>
        <w:gridCol w:w="3487"/>
        <w:gridCol w:w="1158"/>
        <w:gridCol w:w="1238"/>
        <w:gridCol w:w="1120"/>
        <w:gridCol w:w="1198"/>
      </w:tblGrid>
      <w:tr w:rsidR="00A874AC" w:rsidRPr="00D613BE" w:rsidTr="0036185D">
        <w:trPr>
          <w:cantSplit/>
        </w:trPr>
        <w:tc>
          <w:tcPr>
            <w:tcW w:w="1244" w:type="dxa"/>
            <w:shd w:val="clear" w:color="auto" w:fill="448A99"/>
            <w:vAlign w:val="bottom"/>
          </w:tcPr>
          <w:p w:rsidR="0075500D" w:rsidRPr="00D613BE" w:rsidRDefault="0075500D" w:rsidP="005C1352">
            <w:pPr>
              <w:jc w:val="left"/>
              <w:rPr>
                <w:b/>
                <w:color w:val="FFFFFF"/>
                <w:sz w:val="19"/>
                <w:szCs w:val="19"/>
              </w:rPr>
            </w:pPr>
            <w:r w:rsidRPr="00D613BE">
              <w:rPr>
                <w:b/>
                <w:color w:val="FFFFFF"/>
                <w:sz w:val="19"/>
                <w:szCs w:val="19"/>
              </w:rPr>
              <w:t>Approach</w:t>
            </w:r>
          </w:p>
        </w:tc>
        <w:tc>
          <w:tcPr>
            <w:tcW w:w="3487" w:type="dxa"/>
            <w:shd w:val="clear" w:color="auto" w:fill="448A99"/>
            <w:vAlign w:val="bottom"/>
          </w:tcPr>
          <w:p w:rsidR="0075500D" w:rsidRPr="00D613BE" w:rsidRDefault="0075500D" w:rsidP="005C1352">
            <w:pPr>
              <w:jc w:val="center"/>
              <w:rPr>
                <w:b/>
                <w:color w:val="FFFFFF"/>
                <w:sz w:val="19"/>
                <w:szCs w:val="19"/>
              </w:rPr>
            </w:pPr>
            <w:r w:rsidRPr="00D613BE">
              <w:rPr>
                <w:b/>
                <w:color w:val="FFFFFF"/>
                <w:sz w:val="19"/>
                <w:szCs w:val="19"/>
              </w:rPr>
              <w:t>Program</w:t>
            </w:r>
          </w:p>
        </w:tc>
        <w:tc>
          <w:tcPr>
            <w:tcW w:w="1158" w:type="dxa"/>
            <w:shd w:val="clear" w:color="auto" w:fill="448A99"/>
            <w:vAlign w:val="bottom"/>
          </w:tcPr>
          <w:p w:rsidR="0075500D" w:rsidRPr="00D613BE" w:rsidRDefault="0075500D" w:rsidP="005C1352">
            <w:pPr>
              <w:jc w:val="center"/>
              <w:rPr>
                <w:b/>
                <w:color w:val="FFFFFF"/>
                <w:sz w:val="19"/>
                <w:szCs w:val="19"/>
              </w:rPr>
            </w:pPr>
            <w:r w:rsidRPr="00D613BE">
              <w:rPr>
                <w:b/>
                <w:color w:val="FFFFFF"/>
                <w:sz w:val="19"/>
                <w:szCs w:val="19"/>
              </w:rPr>
              <w:t>Free-Ridership</w:t>
            </w:r>
          </w:p>
        </w:tc>
        <w:tc>
          <w:tcPr>
            <w:tcW w:w="1238" w:type="dxa"/>
            <w:shd w:val="clear" w:color="auto" w:fill="448A99"/>
            <w:vAlign w:val="bottom"/>
          </w:tcPr>
          <w:p w:rsidR="0075500D" w:rsidRPr="00D613BE" w:rsidRDefault="0075500D" w:rsidP="005C1352">
            <w:pPr>
              <w:jc w:val="center"/>
              <w:rPr>
                <w:b/>
                <w:color w:val="FFFFFF"/>
                <w:sz w:val="19"/>
                <w:szCs w:val="19"/>
              </w:rPr>
            </w:pPr>
            <w:r w:rsidRPr="00D613BE">
              <w:rPr>
                <w:b/>
                <w:color w:val="FFFFFF"/>
                <w:sz w:val="19"/>
                <w:szCs w:val="19"/>
              </w:rPr>
              <w:t>Spillover</w:t>
            </w:r>
          </w:p>
        </w:tc>
        <w:tc>
          <w:tcPr>
            <w:tcW w:w="1120" w:type="dxa"/>
            <w:shd w:val="clear" w:color="auto" w:fill="448A99"/>
            <w:vAlign w:val="bottom"/>
          </w:tcPr>
          <w:p w:rsidR="0075500D" w:rsidRPr="00D613BE" w:rsidRDefault="0075500D" w:rsidP="005C1352">
            <w:pPr>
              <w:jc w:val="center"/>
              <w:rPr>
                <w:b/>
                <w:color w:val="FFFFFF"/>
                <w:sz w:val="19"/>
                <w:szCs w:val="19"/>
              </w:rPr>
            </w:pPr>
            <w:r w:rsidRPr="00D613BE">
              <w:rPr>
                <w:b/>
                <w:color w:val="FFFFFF"/>
                <w:sz w:val="19"/>
                <w:szCs w:val="19"/>
              </w:rPr>
              <w:t>NTGR</w:t>
            </w:r>
            <w:r w:rsidRPr="00D613BE">
              <w:rPr>
                <w:b/>
                <w:color w:val="FFFFFF"/>
                <w:sz w:val="19"/>
                <w:szCs w:val="19"/>
                <w:vertAlign w:val="superscript"/>
              </w:rPr>
              <w:t>[a]</w:t>
            </w:r>
          </w:p>
        </w:tc>
        <w:tc>
          <w:tcPr>
            <w:tcW w:w="1198" w:type="dxa"/>
            <w:shd w:val="clear" w:color="auto" w:fill="448A99"/>
            <w:vAlign w:val="bottom"/>
          </w:tcPr>
          <w:p w:rsidR="0075500D" w:rsidRPr="00D613BE" w:rsidRDefault="0075500D" w:rsidP="005C1352">
            <w:pPr>
              <w:jc w:val="center"/>
              <w:rPr>
                <w:b/>
                <w:color w:val="FFFFFF"/>
                <w:sz w:val="19"/>
                <w:szCs w:val="19"/>
                <w:vertAlign w:val="superscript"/>
              </w:rPr>
            </w:pPr>
            <w:r w:rsidRPr="00D613BE">
              <w:rPr>
                <w:b/>
                <w:color w:val="FFFFFF"/>
                <w:sz w:val="19"/>
                <w:szCs w:val="19"/>
              </w:rPr>
              <w:t>Sample Size</w:t>
            </w:r>
            <w:r w:rsidRPr="00D613BE">
              <w:rPr>
                <w:b/>
                <w:color w:val="FFFFFF"/>
                <w:sz w:val="19"/>
                <w:szCs w:val="19"/>
                <w:vertAlign w:val="superscript"/>
              </w:rPr>
              <w:t>[b]</w:t>
            </w:r>
          </w:p>
        </w:tc>
      </w:tr>
      <w:tr w:rsidR="00A874AC" w:rsidRPr="00D613BE" w:rsidTr="0036185D">
        <w:trPr>
          <w:trHeight w:val="488"/>
        </w:trPr>
        <w:tc>
          <w:tcPr>
            <w:tcW w:w="1244" w:type="dxa"/>
            <w:vMerge w:val="restart"/>
            <w:shd w:val="clear" w:color="auto" w:fill="D2EAF1"/>
          </w:tcPr>
          <w:p w:rsidR="0075500D" w:rsidRPr="00D613BE" w:rsidRDefault="0075500D" w:rsidP="005C1352">
            <w:pPr>
              <w:jc w:val="left"/>
              <w:rPr>
                <w:sz w:val="19"/>
                <w:szCs w:val="19"/>
              </w:rPr>
            </w:pPr>
            <w:r w:rsidRPr="00D613BE">
              <w:rPr>
                <w:sz w:val="19"/>
                <w:szCs w:val="19"/>
              </w:rPr>
              <w:t>Estimated</w:t>
            </w:r>
          </w:p>
        </w:tc>
        <w:tc>
          <w:tcPr>
            <w:tcW w:w="3487" w:type="dxa"/>
            <w:shd w:val="clear" w:color="auto" w:fill="D2EAF1"/>
            <w:vAlign w:val="center"/>
          </w:tcPr>
          <w:p w:rsidR="0075500D" w:rsidRPr="00D613BE" w:rsidRDefault="0075500D" w:rsidP="005C1352">
            <w:pPr>
              <w:jc w:val="left"/>
              <w:rPr>
                <w:sz w:val="19"/>
                <w:szCs w:val="19"/>
              </w:rPr>
            </w:pPr>
            <w:r w:rsidRPr="00D613BE">
              <w:rPr>
                <w:sz w:val="19"/>
                <w:szCs w:val="19"/>
              </w:rPr>
              <w:t>Residential Retail Program</w:t>
            </w:r>
            <w:r w:rsidRPr="00D613BE">
              <w:rPr>
                <w:sz w:val="19"/>
                <w:szCs w:val="19"/>
                <w:vertAlign w:val="superscript"/>
              </w:rPr>
              <w:t>[c]</w:t>
            </w:r>
          </w:p>
        </w:tc>
        <w:tc>
          <w:tcPr>
            <w:tcW w:w="1158" w:type="dxa"/>
            <w:shd w:val="clear" w:color="auto" w:fill="D2EAF1"/>
            <w:vAlign w:val="center"/>
          </w:tcPr>
          <w:p w:rsidR="0075500D" w:rsidRPr="00D613BE" w:rsidRDefault="0075500D" w:rsidP="005C1352">
            <w:pPr>
              <w:jc w:val="center"/>
              <w:rPr>
                <w:sz w:val="19"/>
                <w:szCs w:val="19"/>
              </w:rPr>
            </w:pPr>
            <w:r w:rsidRPr="00D613BE">
              <w:rPr>
                <w:sz w:val="19"/>
                <w:szCs w:val="19"/>
              </w:rPr>
              <w:t>0.39</w:t>
            </w:r>
          </w:p>
        </w:tc>
        <w:tc>
          <w:tcPr>
            <w:tcW w:w="1238" w:type="dxa"/>
            <w:shd w:val="clear" w:color="auto" w:fill="D2EAF1"/>
            <w:vAlign w:val="center"/>
          </w:tcPr>
          <w:p w:rsidR="0075500D" w:rsidRPr="00D613BE" w:rsidRDefault="0075500D" w:rsidP="005C1352">
            <w:pPr>
              <w:jc w:val="center"/>
              <w:rPr>
                <w:sz w:val="19"/>
                <w:szCs w:val="19"/>
              </w:rPr>
            </w:pPr>
            <w:r w:rsidRPr="00D613BE">
              <w:rPr>
                <w:sz w:val="19"/>
                <w:szCs w:val="19"/>
              </w:rPr>
              <w:t>0.00</w:t>
            </w:r>
          </w:p>
        </w:tc>
        <w:tc>
          <w:tcPr>
            <w:tcW w:w="1120" w:type="dxa"/>
            <w:shd w:val="clear" w:color="auto" w:fill="D2EAF1"/>
            <w:vAlign w:val="center"/>
          </w:tcPr>
          <w:p w:rsidR="0075500D" w:rsidRPr="00D613BE" w:rsidRDefault="0075500D" w:rsidP="005C1352">
            <w:pPr>
              <w:jc w:val="center"/>
              <w:rPr>
                <w:sz w:val="19"/>
                <w:szCs w:val="19"/>
              </w:rPr>
            </w:pPr>
            <w:r w:rsidRPr="00D613BE">
              <w:rPr>
                <w:sz w:val="19"/>
                <w:szCs w:val="19"/>
              </w:rPr>
              <w:t>0.61</w:t>
            </w:r>
          </w:p>
        </w:tc>
        <w:tc>
          <w:tcPr>
            <w:tcW w:w="1198" w:type="dxa"/>
            <w:shd w:val="clear" w:color="auto" w:fill="D2EAF1"/>
            <w:vAlign w:val="center"/>
          </w:tcPr>
          <w:p w:rsidR="0075500D" w:rsidRPr="00D613BE" w:rsidRDefault="0075500D" w:rsidP="005C1352">
            <w:pPr>
              <w:jc w:val="center"/>
              <w:rPr>
                <w:sz w:val="19"/>
                <w:szCs w:val="19"/>
              </w:rPr>
            </w:pPr>
            <w:r w:rsidRPr="00D613BE">
              <w:rPr>
                <w:sz w:val="19"/>
                <w:szCs w:val="19"/>
              </w:rPr>
              <w:t>84</w:t>
            </w:r>
          </w:p>
        </w:tc>
      </w:tr>
      <w:tr w:rsidR="00E7173E" w:rsidRPr="00D613BE" w:rsidTr="00BC1E78">
        <w:trPr>
          <w:trHeight w:val="488"/>
        </w:trPr>
        <w:tc>
          <w:tcPr>
            <w:tcW w:w="1244" w:type="dxa"/>
            <w:vMerge/>
            <w:shd w:val="clear" w:color="auto" w:fill="D2EAF1"/>
          </w:tcPr>
          <w:p w:rsidR="0075500D" w:rsidRPr="00D613BE" w:rsidRDefault="0075500D" w:rsidP="005C1352">
            <w:pPr>
              <w:jc w:val="left"/>
              <w:rPr>
                <w:sz w:val="19"/>
                <w:szCs w:val="19"/>
              </w:rPr>
            </w:pPr>
          </w:p>
        </w:tc>
        <w:tc>
          <w:tcPr>
            <w:tcW w:w="3487" w:type="dxa"/>
            <w:vAlign w:val="center"/>
          </w:tcPr>
          <w:p w:rsidR="0075500D" w:rsidRPr="00D613BE" w:rsidRDefault="0075500D" w:rsidP="005C1352">
            <w:pPr>
              <w:jc w:val="left"/>
              <w:rPr>
                <w:sz w:val="19"/>
                <w:szCs w:val="19"/>
              </w:rPr>
            </w:pPr>
            <w:r w:rsidRPr="00D613BE">
              <w:rPr>
                <w:sz w:val="19"/>
                <w:szCs w:val="19"/>
              </w:rPr>
              <w:t>Residential Home Comfort Program</w:t>
            </w:r>
          </w:p>
        </w:tc>
        <w:tc>
          <w:tcPr>
            <w:tcW w:w="1158" w:type="dxa"/>
            <w:vAlign w:val="center"/>
          </w:tcPr>
          <w:p w:rsidR="0075500D" w:rsidRPr="00D613BE" w:rsidRDefault="0075500D" w:rsidP="005C1352">
            <w:pPr>
              <w:jc w:val="center"/>
              <w:rPr>
                <w:sz w:val="19"/>
                <w:szCs w:val="19"/>
              </w:rPr>
            </w:pPr>
            <w:r w:rsidRPr="00D613BE">
              <w:rPr>
                <w:sz w:val="19"/>
                <w:szCs w:val="19"/>
              </w:rPr>
              <w:t>0.42</w:t>
            </w:r>
          </w:p>
        </w:tc>
        <w:tc>
          <w:tcPr>
            <w:tcW w:w="1238" w:type="dxa"/>
            <w:vAlign w:val="center"/>
          </w:tcPr>
          <w:p w:rsidR="0075500D" w:rsidRPr="00D613BE" w:rsidRDefault="0075500D" w:rsidP="005C1352">
            <w:pPr>
              <w:jc w:val="center"/>
              <w:rPr>
                <w:sz w:val="19"/>
                <w:szCs w:val="19"/>
              </w:rPr>
            </w:pPr>
            <w:r w:rsidRPr="00D613BE">
              <w:rPr>
                <w:sz w:val="19"/>
                <w:szCs w:val="19"/>
              </w:rPr>
              <w:t>0.04</w:t>
            </w:r>
          </w:p>
        </w:tc>
        <w:tc>
          <w:tcPr>
            <w:tcW w:w="1120" w:type="dxa"/>
            <w:vAlign w:val="center"/>
          </w:tcPr>
          <w:p w:rsidR="0075500D" w:rsidRPr="00D613BE" w:rsidRDefault="0075500D" w:rsidP="005C1352">
            <w:pPr>
              <w:jc w:val="center"/>
              <w:rPr>
                <w:sz w:val="19"/>
                <w:szCs w:val="19"/>
              </w:rPr>
            </w:pPr>
            <w:r w:rsidRPr="00D613BE">
              <w:rPr>
                <w:sz w:val="19"/>
                <w:szCs w:val="19"/>
              </w:rPr>
              <w:t>0.61</w:t>
            </w:r>
          </w:p>
        </w:tc>
        <w:tc>
          <w:tcPr>
            <w:tcW w:w="1198" w:type="dxa"/>
            <w:vAlign w:val="center"/>
          </w:tcPr>
          <w:p w:rsidR="0075500D" w:rsidRPr="00D613BE" w:rsidRDefault="0075500D" w:rsidP="005C1352">
            <w:pPr>
              <w:jc w:val="center"/>
              <w:rPr>
                <w:sz w:val="19"/>
                <w:szCs w:val="19"/>
              </w:rPr>
            </w:pPr>
            <w:r w:rsidRPr="00D613BE">
              <w:rPr>
                <w:sz w:val="19"/>
                <w:szCs w:val="19"/>
              </w:rPr>
              <w:t>224</w:t>
            </w:r>
          </w:p>
        </w:tc>
      </w:tr>
      <w:tr w:rsidR="00A874AC" w:rsidRPr="00D613BE" w:rsidTr="0036185D">
        <w:trPr>
          <w:trHeight w:val="488"/>
        </w:trPr>
        <w:tc>
          <w:tcPr>
            <w:tcW w:w="1244" w:type="dxa"/>
            <w:vMerge w:val="restart"/>
            <w:shd w:val="clear" w:color="auto" w:fill="FFFFFF"/>
          </w:tcPr>
          <w:p w:rsidR="0075500D" w:rsidRPr="00D613BE" w:rsidRDefault="0075500D" w:rsidP="005C1352">
            <w:pPr>
              <w:jc w:val="left"/>
              <w:rPr>
                <w:sz w:val="19"/>
                <w:szCs w:val="19"/>
              </w:rPr>
            </w:pPr>
            <w:r w:rsidRPr="00D613BE">
              <w:rPr>
                <w:sz w:val="19"/>
                <w:szCs w:val="19"/>
              </w:rPr>
              <w:t>Assumed NTGR = 1.0</w:t>
            </w:r>
          </w:p>
        </w:tc>
        <w:tc>
          <w:tcPr>
            <w:tcW w:w="3487" w:type="dxa"/>
            <w:shd w:val="clear" w:color="auto" w:fill="D2EAF1"/>
            <w:vAlign w:val="center"/>
          </w:tcPr>
          <w:p w:rsidR="0075500D" w:rsidRPr="00D613BE" w:rsidRDefault="0075500D" w:rsidP="005C1352">
            <w:pPr>
              <w:jc w:val="left"/>
              <w:rPr>
                <w:sz w:val="19"/>
                <w:szCs w:val="19"/>
              </w:rPr>
            </w:pPr>
            <w:r w:rsidRPr="00D613BE">
              <w:rPr>
                <w:sz w:val="19"/>
                <w:szCs w:val="19"/>
              </w:rPr>
              <w:t>Student and Parent Energy-Efficiency Education Program</w:t>
            </w:r>
          </w:p>
        </w:tc>
        <w:tc>
          <w:tcPr>
            <w:tcW w:w="1158" w:type="dxa"/>
            <w:shd w:val="clear" w:color="auto" w:fill="D2EAF1"/>
            <w:vAlign w:val="center"/>
          </w:tcPr>
          <w:p w:rsidR="0075500D" w:rsidRPr="00D613BE" w:rsidRDefault="0075500D" w:rsidP="005C1352">
            <w:pPr>
              <w:jc w:val="center"/>
              <w:rPr>
                <w:sz w:val="19"/>
                <w:szCs w:val="19"/>
              </w:rPr>
            </w:pPr>
            <w:r w:rsidRPr="00D613BE">
              <w:rPr>
                <w:sz w:val="19"/>
                <w:szCs w:val="19"/>
              </w:rPr>
              <w:t>0.0</w:t>
            </w:r>
          </w:p>
        </w:tc>
        <w:tc>
          <w:tcPr>
            <w:tcW w:w="1238" w:type="dxa"/>
            <w:shd w:val="clear" w:color="auto" w:fill="D2EAF1"/>
            <w:vAlign w:val="center"/>
          </w:tcPr>
          <w:p w:rsidR="0075500D" w:rsidRPr="00D613BE" w:rsidRDefault="0075500D" w:rsidP="005C1352">
            <w:pPr>
              <w:jc w:val="center"/>
              <w:rPr>
                <w:sz w:val="19"/>
                <w:szCs w:val="19"/>
              </w:rPr>
            </w:pPr>
            <w:r w:rsidRPr="00D613BE">
              <w:rPr>
                <w:sz w:val="19"/>
                <w:szCs w:val="19"/>
              </w:rPr>
              <w:t>0.0</w:t>
            </w:r>
          </w:p>
        </w:tc>
        <w:tc>
          <w:tcPr>
            <w:tcW w:w="1120" w:type="dxa"/>
            <w:shd w:val="clear" w:color="auto" w:fill="D2EAF1"/>
            <w:vAlign w:val="center"/>
          </w:tcPr>
          <w:p w:rsidR="0075500D" w:rsidRPr="00D613BE" w:rsidRDefault="0075500D" w:rsidP="005C1352">
            <w:pPr>
              <w:jc w:val="center"/>
              <w:rPr>
                <w:sz w:val="19"/>
                <w:szCs w:val="19"/>
              </w:rPr>
            </w:pPr>
            <w:r w:rsidRPr="00D613BE">
              <w:rPr>
                <w:sz w:val="19"/>
                <w:szCs w:val="19"/>
              </w:rPr>
              <w:t>1.0</w:t>
            </w:r>
          </w:p>
        </w:tc>
        <w:tc>
          <w:tcPr>
            <w:tcW w:w="1198" w:type="dxa"/>
            <w:shd w:val="clear" w:color="auto" w:fill="D2EAF1"/>
            <w:vAlign w:val="center"/>
          </w:tcPr>
          <w:p w:rsidR="0075500D" w:rsidRPr="00D613BE" w:rsidRDefault="0075500D" w:rsidP="005C1352">
            <w:pPr>
              <w:jc w:val="center"/>
              <w:rPr>
                <w:sz w:val="19"/>
                <w:szCs w:val="19"/>
              </w:rPr>
            </w:pPr>
            <w:r w:rsidRPr="00D613BE">
              <w:rPr>
                <w:sz w:val="19"/>
                <w:szCs w:val="19"/>
              </w:rPr>
              <w:t>N/A</w:t>
            </w:r>
          </w:p>
        </w:tc>
      </w:tr>
      <w:tr w:rsidR="00A874AC" w:rsidRPr="00D613BE" w:rsidTr="0036185D">
        <w:trPr>
          <w:trHeight w:val="488"/>
        </w:trPr>
        <w:tc>
          <w:tcPr>
            <w:tcW w:w="1244" w:type="dxa"/>
            <w:vMerge/>
            <w:shd w:val="clear" w:color="auto" w:fill="FFFFFF"/>
          </w:tcPr>
          <w:p w:rsidR="0075500D" w:rsidRPr="00D613BE" w:rsidRDefault="0075500D" w:rsidP="005C1352">
            <w:pPr>
              <w:jc w:val="left"/>
              <w:rPr>
                <w:sz w:val="19"/>
                <w:szCs w:val="19"/>
              </w:rPr>
            </w:pPr>
          </w:p>
        </w:tc>
        <w:tc>
          <w:tcPr>
            <w:tcW w:w="3487" w:type="dxa"/>
            <w:shd w:val="clear" w:color="auto" w:fill="FFFFFF"/>
            <w:vAlign w:val="center"/>
          </w:tcPr>
          <w:p w:rsidR="0075500D" w:rsidRPr="00D613BE" w:rsidRDefault="0075500D" w:rsidP="005C1352">
            <w:pPr>
              <w:jc w:val="left"/>
              <w:rPr>
                <w:sz w:val="19"/>
                <w:szCs w:val="19"/>
              </w:rPr>
            </w:pPr>
            <w:r w:rsidRPr="00D613BE">
              <w:rPr>
                <w:sz w:val="19"/>
                <w:szCs w:val="19"/>
              </w:rPr>
              <w:t>Residential Energy-Efficiency Behavior &amp; Education Program</w:t>
            </w:r>
          </w:p>
        </w:tc>
        <w:tc>
          <w:tcPr>
            <w:tcW w:w="1158" w:type="dxa"/>
            <w:shd w:val="clear" w:color="auto" w:fill="FFFFFF"/>
            <w:vAlign w:val="center"/>
          </w:tcPr>
          <w:p w:rsidR="0075500D" w:rsidRPr="00D613BE" w:rsidRDefault="0075500D" w:rsidP="005C1352">
            <w:pPr>
              <w:jc w:val="center"/>
              <w:rPr>
                <w:sz w:val="19"/>
                <w:szCs w:val="19"/>
              </w:rPr>
            </w:pPr>
            <w:r w:rsidRPr="00D613BE">
              <w:rPr>
                <w:sz w:val="19"/>
                <w:szCs w:val="19"/>
              </w:rPr>
              <w:t>N/A</w:t>
            </w:r>
          </w:p>
        </w:tc>
        <w:tc>
          <w:tcPr>
            <w:tcW w:w="1238" w:type="dxa"/>
            <w:shd w:val="clear" w:color="auto" w:fill="FFFFFF"/>
            <w:vAlign w:val="center"/>
          </w:tcPr>
          <w:p w:rsidR="0075500D" w:rsidRPr="00D613BE" w:rsidRDefault="0075500D" w:rsidP="005C1352">
            <w:pPr>
              <w:jc w:val="center"/>
              <w:rPr>
                <w:sz w:val="19"/>
                <w:szCs w:val="19"/>
              </w:rPr>
            </w:pPr>
            <w:r w:rsidRPr="00D613BE">
              <w:rPr>
                <w:sz w:val="19"/>
                <w:szCs w:val="19"/>
              </w:rPr>
              <w:t>N/A</w:t>
            </w:r>
          </w:p>
        </w:tc>
        <w:tc>
          <w:tcPr>
            <w:tcW w:w="1120" w:type="dxa"/>
            <w:shd w:val="clear" w:color="auto" w:fill="FFFFFF"/>
            <w:vAlign w:val="center"/>
          </w:tcPr>
          <w:p w:rsidR="0075500D" w:rsidRPr="00D613BE" w:rsidRDefault="0075500D" w:rsidP="005C1352">
            <w:pPr>
              <w:jc w:val="center"/>
              <w:rPr>
                <w:sz w:val="19"/>
                <w:szCs w:val="19"/>
              </w:rPr>
            </w:pPr>
            <w:r w:rsidRPr="00D613BE">
              <w:rPr>
                <w:sz w:val="19"/>
                <w:szCs w:val="19"/>
              </w:rPr>
              <w:t>1.0</w:t>
            </w:r>
          </w:p>
        </w:tc>
        <w:tc>
          <w:tcPr>
            <w:tcW w:w="1198" w:type="dxa"/>
            <w:shd w:val="clear" w:color="auto" w:fill="FFFFFF"/>
            <w:vAlign w:val="center"/>
          </w:tcPr>
          <w:p w:rsidR="0075500D" w:rsidRPr="00D613BE" w:rsidRDefault="0075500D" w:rsidP="005C1352">
            <w:pPr>
              <w:jc w:val="center"/>
              <w:rPr>
                <w:sz w:val="19"/>
                <w:szCs w:val="19"/>
              </w:rPr>
            </w:pPr>
            <w:r w:rsidRPr="00D613BE">
              <w:rPr>
                <w:sz w:val="19"/>
                <w:szCs w:val="19"/>
              </w:rPr>
              <w:t>N/A</w:t>
            </w:r>
          </w:p>
        </w:tc>
      </w:tr>
      <w:tr w:rsidR="00A874AC" w:rsidRPr="00D613BE" w:rsidTr="0036185D">
        <w:trPr>
          <w:trHeight w:val="489"/>
        </w:trPr>
        <w:tc>
          <w:tcPr>
            <w:tcW w:w="1244" w:type="dxa"/>
            <w:shd w:val="clear" w:color="auto" w:fill="D2EAF1"/>
          </w:tcPr>
          <w:p w:rsidR="0075500D" w:rsidRPr="00D613BE" w:rsidRDefault="0075500D" w:rsidP="005C1352">
            <w:pPr>
              <w:jc w:val="left"/>
              <w:rPr>
                <w:sz w:val="19"/>
                <w:szCs w:val="19"/>
              </w:rPr>
            </w:pPr>
            <w:r w:rsidRPr="00D613BE">
              <w:rPr>
                <w:sz w:val="19"/>
                <w:szCs w:val="19"/>
              </w:rPr>
              <w:t>Referenced from PY6</w:t>
            </w:r>
          </w:p>
        </w:tc>
        <w:tc>
          <w:tcPr>
            <w:tcW w:w="3487" w:type="dxa"/>
            <w:shd w:val="clear" w:color="auto" w:fill="D2EAF1"/>
            <w:vAlign w:val="center"/>
          </w:tcPr>
          <w:p w:rsidR="0075500D" w:rsidRPr="00D613BE" w:rsidRDefault="0075500D" w:rsidP="005C1352">
            <w:pPr>
              <w:jc w:val="left"/>
              <w:rPr>
                <w:sz w:val="19"/>
                <w:szCs w:val="19"/>
              </w:rPr>
            </w:pPr>
            <w:r w:rsidRPr="00D613BE">
              <w:rPr>
                <w:sz w:val="19"/>
                <w:szCs w:val="19"/>
              </w:rPr>
              <w:t>Appliance Recycling Program (ARP)</w:t>
            </w:r>
          </w:p>
        </w:tc>
        <w:tc>
          <w:tcPr>
            <w:tcW w:w="1158" w:type="dxa"/>
            <w:shd w:val="clear" w:color="auto" w:fill="D2EAF1"/>
            <w:vAlign w:val="center"/>
          </w:tcPr>
          <w:p w:rsidR="0075500D" w:rsidRPr="00D613BE" w:rsidRDefault="0075500D" w:rsidP="005C1352">
            <w:pPr>
              <w:jc w:val="center"/>
              <w:rPr>
                <w:sz w:val="19"/>
                <w:szCs w:val="19"/>
              </w:rPr>
            </w:pPr>
            <w:r w:rsidRPr="00D613BE">
              <w:rPr>
                <w:sz w:val="19"/>
                <w:szCs w:val="19"/>
              </w:rPr>
              <w:t>0.40</w:t>
            </w:r>
          </w:p>
        </w:tc>
        <w:tc>
          <w:tcPr>
            <w:tcW w:w="1238" w:type="dxa"/>
            <w:shd w:val="clear" w:color="auto" w:fill="D2EAF1"/>
            <w:vAlign w:val="center"/>
          </w:tcPr>
          <w:p w:rsidR="0075500D" w:rsidRPr="00D613BE" w:rsidRDefault="0075500D" w:rsidP="005C1352">
            <w:pPr>
              <w:jc w:val="center"/>
              <w:rPr>
                <w:sz w:val="19"/>
                <w:szCs w:val="19"/>
              </w:rPr>
            </w:pPr>
            <w:r w:rsidRPr="00D613BE">
              <w:rPr>
                <w:sz w:val="19"/>
                <w:szCs w:val="19"/>
              </w:rPr>
              <w:t>0.00</w:t>
            </w:r>
          </w:p>
        </w:tc>
        <w:tc>
          <w:tcPr>
            <w:tcW w:w="1120" w:type="dxa"/>
            <w:shd w:val="clear" w:color="auto" w:fill="D2EAF1"/>
            <w:vAlign w:val="center"/>
          </w:tcPr>
          <w:p w:rsidR="0075500D" w:rsidRPr="00D613BE" w:rsidRDefault="0075500D" w:rsidP="005C1352">
            <w:pPr>
              <w:jc w:val="center"/>
              <w:rPr>
                <w:sz w:val="19"/>
                <w:szCs w:val="19"/>
              </w:rPr>
            </w:pPr>
            <w:r w:rsidRPr="00D613BE">
              <w:rPr>
                <w:sz w:val="19"/>
                <w:szCs w:val="19"/>
              </w:rPr>
              <w:t>0.60</w:t>
            </w:r>
          </w:p>
        </w:tc>
        <w:tc>
          <w:tcPr>
            <w:tcW w:w="1198" w:type="dxa"/>
            <w:shd w:val="clear" w:color="auto" w:fill="D2EAF1"/>
            <w:vAlign w:val="center"/>
          </w:tcPr>
          <w:p w:rsidR="0075500D" w:rsidRPr="00D613BE" w:rsidRDefault="0075500D" w:rsidP="005C1352">
            <w:pPr>
              <w:jc w:val="center"/>
              <w:rPr>
                <w:sz w:val="19"/>
                <w:szCs w:val="19"/>
              </w:rPr>
            </w:pPr>
            <w:r w:rsidRPr="00D613BE">
              <w:rPr>
                <w:sz w:val="19"/>
                <w:szCs w:val="19"/>
              </w:rPr>
              <w:t>N/A</w:t>
            </w:r>
          </w:p>
        </w:tc>
      </w:tr>
      <w:tr w:rsidR="00E7173E" w:rsidRPr="00B32B81" w:rsidTr="00BC1E78">
        <w:tc>
          <w:tcPr>
            <w:tcW w:w="9445" w:type="dxa"/>
            <w:gridSpan w:val="6"/>
            <w:shd w:val="clear" w:color="auto" w:fill="448A99"/>
          </w:tcPr>
          <w:p w:rsidR="0075500D" w:rsidRPr="00B32B81" w:rsidRDefault="006142E6" w:rsidP="005C1352">
            <w:pPr>
              <w:jc w:val="left"/>
              <w:rPr>
                <w:color w:val="FFFFFF"/>
                <w:sz w:val="18"/>
                <w:szCs w:val="19"/>
              </w:rPr>
            </w:pPr>
            <w:r w:rsidRPr="00B32B81">
              <w:rPr>
                <w:color w:val="FFFFFF"/>
                <w:sz w:val="18"/>
                <w:szCs w:val="19"/>
              </w:rPr>
              <w:t>NOTES:</w:t>
            </w:r>
          </w:p>
          <w:p w:rsidR="0075500D" w:rsidRPr="00B32B81" w:rsidRDefault="0075500D" w:rsidP="005C1352">
            <w:pPr>
              <w:jc w:val="left"/>
              <w:rPr>
                <w:color w:val="FFFFFF"/>
                <w:sz w:val="18"/>
                <w:szCs w:val="19"/>
              </w:rPr>
            </w:pPr>
            <w:r w:rsidRPr="00B32B81">
              <w:rPr>
                <w:color w:val="FFFFFF"/>
                <w:sz w:val="18"/>
                <w:szCs w:val="19"/>
              </w:rPr>
              <w:t>[a]</w:t>
            </w:r>
            <w:r w:rsidRPr="00B32B81">
              <w:rPr>
                <w:bCs/>
                <w:color w:val="FFFFFF"/>
                <w:sz w:val="18"/>
                <w:szCs w:val="19"/>
              </w:rPr>
              <w:t xml:space="preserve"> </w:t>
            </w:r>
            <w:r w:rsidRPr="00B32B81">
              <w:rPr>
                <w:color w:val="FFFFFF"/>
                <w:sz w:val="18"/>
                <w:szCs w:val="19"/>
              </w:rPr>
              <w:t xml:space="preserve">NTGR = 1 – free-ridership + spillover. In some cases, the NTGR shown in the table may not equal exactly 1 – </w:t>
            </w:r>
            <w:r w:rsidRPr="00B32B81">
              <w:rPr>
                <w:rFonts w:eastAsia="Calibri"/>
                <w:color w:val="FFFFFF"/>
                <w:sz w:val="18"/>
                <w:szCs w:val="19"/>
              </w:rPr>
              <w:t>free-ridership + spillover</w:t>
            </w:r>
            <w:r w:rsidRPr="00B32B81">
              <w:rPr>
                <w:color w:val="FFFFFF"/>
                <w:sz w:val="18"/>
                <w:szCs w:val="19"/>
              </w:rPr>
              <w:t xml:space="preserve"> because of rounding.</w:t>
            </w:r>
          </w:p>
          <w:p w:rsidR="0075500D" w:rsidRPr="00B32B81" w:rsidRDefault="0075500D" w:rsidP="005C1352">
            <w:pPr>
              <w:jc w:val="left"/>
              <w:rPr>
                <w:color w:val="FFFFFF"/>
                <w:sz w:val="18"/>
                <w:szCs w:val="19"/>
              </w:rPr>
            </w:pPr>
            <w:r w:rsidRPr="00B32B81">
              <w:rPr>
                <w:color w:val="FFFFFF"/>
                <w:sz w:val="18"/>
                <w:szCs w:val="19"/>
              </w:rPr>
              <w:t>[b] The samples provided at least 85/15 precision/confidence.</w:t>
            </w:r>
          </w:p>
          <w:p w:rsidR="0075500D" w:rsidRPr="00B32B81" w:rsidRDefault="0075500D" w:rsidP="005C1352">
            <w:pPr>
              <w:jc w:val="left"/>
              <w:rPr>
                <w:sz w:val="18"/>
                <w:szCs w:val="19"/>
              </w:rPr>
            </w:pPr>
            <w:r w:rsidRPr="00B32B81">
              <w:rPr>
                <w:color w:val="FFFFFF"/>
                <w:sz w:val="18"/>
                <w:szCs w:val="19"/>
              </w:rPr>
              <w:t>[c] Program-level NTGR combines downstream and upstream NTG values. Downstream NTGR was estimated from surveys with 84 participants. Upstream NTGR was estimated using sales data.</w:t>
            </w:r>
          </w:p>
        </w:tc>
      </w:tr>
    </w:tbl>
    <w:p w:rsidR="0075500D" w:rsidRPr="006C05B5" w:rsidRDefault="0075500D" w:rsidP="0075500D">
      <w:pPr>
        <w:rPr>
          <w:color w:val="000000"/>
        </w:rPr>
      </w:pPr>
    </w:p>
    <w:p w:rsidR="0075500D" w:rsidRPr="006C05B5" w:rsidRDefault="0075500D" w:rsidP="0055598C">
      <w:pPr>
        <w:pStyle w:val="AppendixAHeading4"/>
      </w:pPr>
      <w:r w:rsidRPr="006C05B5">
        <w:t>Low-Income Residential Programs</w:t>
      </w:r>
    </w:p>
    <w:p w:rsidR="00F65D6C" w:rsidRPr="00C706BC" w:rsidRDefault="00F65D6C" w:rsidP="0036185D">
      <w:pPr>
        <w:spacing w:after="120"/>
      </w:pPr>
      <w:r w:rsidRPr="00C706BC">
        <w:t xml:space="preserve">Cadmus did not report NTG values for any of the three PPL low-income programs. The PPL PY7 annual report provided the following reasons for doing so: </w:t>
      </w:r>
    </w:p>
    <w:p w:rsidR="00F65D6C" w:rsidRPr="0036185D" w:rsidRDefault="00F65D6C" w:rsidP="00E646C9">
      <w:pPr>
        <w:pStyle w:val="ListParagraph"/>
        <w:numPr>
          <w:ilvl w:val="0"/>
          <w:numId w:val="96"/>
        </w:numPr>
        <w:ind w:left="360"/>
      </w:pPr>
      <w:r w:rsidRPr="0036185D">
        <w:t>The Low-Income Energy-Efficiency Behavior &amp; Education Program produces net savings through the RCT analysis</w:t>
      </w:r>
    </w:p>
    <w:p w:rsidR="00F65D6C" w:rsidRPr="0036185D" w:rsidRDefault="00F65D6C" w:rsidP="00E646C9">
      <w:pPr>
        <w:pStyle w:val="ListParagraph"/>
        <w:numPr>
          <w:ilvl w:val="0"/>
          <w:numId w:val="96"/>
        </w:numPr>
        <w:ind w:left="360"/>
      </w:pPr>
      <w:r w:rsidRPr="0036185D">
        <w:t>Low-Income WRAP’s program design should not generate free ridership</w:t>
      </w:r>
    </w:p>
    <w:p w:rsidR="0075500D" w:rsidRPr="0036185D" w:rsidRDefault="00F65D6C" w:rsidP="00E646C9">
      <w:pPr>
        <w:pStyle w:val="ListParagraph"/>
        <w:numPr>
          <w:ilvl w:val="0"/>
          <w:numId w:val="96"/>
        </w:numPr>
        <w:ind w:left="360"/>
      </w:pPr>
      <w:r w:rsidRPr="0036185D">
        <w:t>Since PPL does not plan to continue the program in Phase III, no interviews were conducted with decision-makers in PY7’s Master Metered Low-Income Multifamily Housing program</w:t>
      </w:r>
      <w:r w:rsidR="0075500D" w:rsidRPr="0036185D">
        <w:t>.</w:t>
      </w:r>
    </w:p>
    <w:p w:rsidR="0075500D" w:rsidRDefault="0075500D" w:rsidP="0075500D"/>
    <w:p w:rsidR="0075500D" w:rsidRPr="00C706BC" w:rsidRDefault="0075500D" w:rsidP="0055598C">
      <w:pPr>
        <w:pStyle w:val="AppendixAHeading4"/>
      </w:pPr>
      <w:r w:rsidRPr="00C706BC">
        <w:t>Non-Residential Programs</w:t>
      </w:r>
    </w:p>
    <w:p w:rsidR="0075500D" w:rsidRPr="006C05B5" w:rsidRDefault="0075500D" w:rsidP="0075500D">
      <w:r w:rsidRPr="00C706BC">
        <w:t xml:space="preserve">Cadmus estimated NTG for three non-residential programs: </w:t>
      </w:r>
      <w:r w:rsidR="0036185D" w:rsidRPr="00C706BC">
        <w:t>The</w:t>
      </w:r>
      <w:r w:rsidRPr="00C706BC">
        <w:t xml:space="preserve"> Prescriptive Equipment Program (PEP), Custom Incentive</w:t>
      </w:r>
      <w:r w:rsidRPr="006C05B5">
        <w:t xml:space="preserve"> Program (CIP), and Continuous Energy Improvement (CEI) Program. Due to the difficulty in reaching program decision makers, Cadmus did not collect new NTG survey data for the Master-Metered Low-Income Multifamily (MMMF) Program, and instead applied a savings-weighted average of PY5 NTGR and PY6 NTGR to PY7 rebated lighting projects. Cadmus did not report the weighted average MMMF NTGR in the PPL annual report. Cadmus did not estimate NTG for a fifth non-residential program, the School Benchmarking Program, as it does not generate savings.</w:t>
      </w:r>
    </w:p>
    <w:p w:rsidR="0075500D" w:rsidRPr="006C05B5" w:rsidRDefault="0075500D" w:rsidP="0075500D"/>
    <w:p w:rsidR="0075500D" w:rsidRPr="006C05B5" w:rsidRDefault="0075500D" w:rsidP="0075500D">
      <w:r w:rsidRPr="006C05B5">
        <w:t>Cadmus reported using the SWE Team’s common approach for PEP and CIP. Cadmus used survey data for CEI, and asked participants to rate the program’s influence on decisions, including developing tools to implement its strategic energy management plan and to implement operational or behavioral activities.</w:t>
      </w:r>
    </w:p>
    <w:p w:rsidR="0075500D" w:rsidRPr="006C05B5" w:rsidRDefault="0075500D" w:rsidP="0075500D"/>
    <w:p w:rsidR="0075500D" w:rsidRPr="006C05B5" w:rsidRDefault="0075500D" w:rsidP="0075500D">
      <w:r w:rsidRPr="006C05B5">
        <w:t xml:space="preserve">Cadmus described the NTG methodology in the PPL PY7 annual report and showed calculations in corresponding Excel workbooks for each program. For each program that served both the C/I and GNI sectors, Cadmus provided a single NTGR estimate for the two sectors. </w:t>
      </w:r>
    </w:p>
    <w:p w:rsidR="0075500D" w:rsidRPr="006C05B5" w:rsidRDefault="0075500D" w:rsidP="0075500D"/>
    <w:p w:rsidR="0075500D" w:rsidRPr="006C05B5" w:rsidRDefault="0075500D" w:rsidP="0075500D">
      <w:r>
        <w:fldChar w:fldCharType="begin"/>
      </w:r>
      <w:r>
        <w:instrText xml:space="preserve"> REF _Ref472454216 \h </w:instrText>
      </w:r>
      <w:r>
        <w:fldChar w:fldCharType="separate"/>
      </w:r>
      <w:r w:rsidR="00037CB4" w:rsidRPr="0075500D">
        <w:t>Table A-</w:t>
      </w:r>
      <w:r w:rsidR="00037CB4">
        <w:rPr>
          <w:noProof/>
        </w:rPr>
        <w:t>158</w:t>
      </w:r>
      <w:r>
        <w:fldChar w:fldCharType="end"/>
      </w:r>
      <w:r>
        <w:t xml:space="preserve"> </w:t>
      </w:r>
      <w:r w:rsidR="00C706BC" w:rsidRPr="00C706BC">
        <w:t>summarizes the SWE Team’s review of the NTG methodology by program. While the provided Excel workbooks demonstrate proper and error-free use of the common method, and Cadmus provided the survey instruments with the Excel workbook, the SWE Team found description of the NTG methods to be somewhat unclear: while Cadmus did provide a high-level summary of the survey methods, it did not explain the free-ridership calculation algorithm</w:t>
      </w:r>
      <w:r w:rsidRPr="006C05B5">
        <w:t>.</w:t>
      </w:r>
    </w:p>
    <w:p w:rsidR="0075500D" w:rsidRPr="006C05B5" w:rsidRDefault="0075500D" w:rsidP="0075500D"/>
    <w:p w:rsidR="0075500D" w:rsidRPr="0075500D" w:rsidRDefault="0075500D" w:rsidP="004837FA">
      <w:pPr>
        <w:pStyle w:val="Caption"/>
      </w:pPr>
      <w:bookmarkStart w:id="1392" w:name="_Ref472454216"/>
      <w:bookmarkStart w:id="1393" w:name="_Toc409225036"/>
      <w:bookmarkStart w:id="1394" w:name="_Toc409443588"/>
      <w:bookmarkStart w:id="1395" w:name="_Toc444269809"/>
      <w:bookmarkStart w:id="1396" w:name="_Toc472472555"/>
      <w:bookmarkStart w:id="1397" w:name="_Toc488741986"/>
      <w:r w:rsidRPr="0075500D">
        <w:t>Table A-</w:t>
      </w:r>
      <w:r w:rsidR="007973A4">
        <w:fldChar w:fldCharType="begin"/>
      </w:r>
      <w:r w:rsidR="007973A4">
        <w:instrText xml:space="preserve"> SEQ Table_A- \* ARABIC </w:instrText>
      </w:r>
      <w:r w:rsidR="007973A4">
        <w:fldChar w:fldCharType="separate"/>
      </w:r>
      <w:r w:rsidR="00037CB4">
        <w:rPr>
          <w:noProof/>
        </w:rPr>
        <w:t>158</w:t>
      </w:r>
      <w:r w:rsidR="007973A4">
        <w:rPr>
          <w:noProof/>
        </w:rPr>
        <w:fldChar w:fldCharType="end"/>
      </w:r>
      <w:bookmarkEnd w:id="1392"/>
      <w:r w:rsidRPr="0075500D">
        <w:t>: Summary of NTG Audit of PPL’s Non-Residential Programs</w:t>
      </w:r>
      <w:bookmarkEnd w:id="1393"/>
      <w:bookmarkEnd w:id="1394"/>
      <w:bookmarkEnd w:id="1395"/>
      <w:bookmarkEnd w:id="1396"/>
      <w:bookmarkEnd w:id="1397"/>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065"/>
        <w:gridCol w:w="1800"/>
        <w:gridCol w:w="5490"/>
      </w:tblGrid>
      <w:tr w:rsidR="00A874AC" w:rsidRPr="00D613BE" w:rsidTr="0036185D">
        <w:trPr>
          <w:tblHeader/>
        </w:trPr>
        <w:tc>
          <w:tcPr>
            <w:tcW w:w="2065" w:type="dxa"/>
            <w:shd w:val="clear" w:color="auto" w:fill="448A99"/>
          </w:tcPr>
          <w:p w:rsidR="0075500D" w:rsidRPr="00D613BE" w:rsidRDefault="0075500D" w:rsidP="005C1352">
            <w:pPr>
              <w:jc w:val="left"/>
              <w:rPr>
                <w:b/>
                <w:color w:val="FFFFFF"/>
                <w:sz w:val="19"/>
                <w:szCs w:val="19"/>
              </w:rPr>
            </w:pPr>
            <w:r w:rsidRPr="00D613BE">
              <w:rPr>
                <w:b/>
                <w:color w:val="FFFFFF"/>
                <w:sz w:val="19"/>
                <w:szCs w:val="19"/>
              </w:rPr>
              <w:t>Program</w:t>
            </w:r>
          </w:p>
        </w:tc>
        <w:tc>
          <w:tcPr>
            <w:tcW w:w="1800" w:type="dxa"/>
            <w:shd w:val="clear" w:color="auto" w:fill="448A99"/>
          </w:tcPr>
          <w:p w:rsidR="0075500D" w:rsidRPr="00D613BE" w:rsidRDefault="0075500D" w:rsidP="0036185D">
            <w:pPr>
              <w:jc w:val="center"/>
              <w:rPr>
                <w:b/>
                <w:color w:val="FFFFFF"/>
                <w:sz w:val="19"/>
                <w:szCs w:val="19"/>
              </w:rPr>
            </w:pPr>
            <w:r w:rsidRPr="00D613BE">
              <w:rPr>
                <w:b/>
                <w:color w:val="FFFFFF"/>
                <w:sz w:val="19"/>
                <w:szCs w:val="19"/>
              </w:rPr>
              <w:t>NTG Method</w:t>
            </w:r>
          </w:p>
        </w:tc>
        <w:tc>
          <w:tcPr>
            <w:tcW w:w="5490" w:type="dxa"/>
            <w:tcBorders>
              <w:bottom w:val="single" w:sz="4" w:space="0" w:color="448A99"/>
            </w:tcBorders>
            <w:shd w:val="clear" w:color="auto" w:fill="448A99"/>
          </w:tcPr>
          <w:p w:rsidR="0075500D" w:rsidRPr="00D613BE" w:rsidRDefault="0075500D" w:rsidP="005C1352">
            <w:pPr>
              <w:jc w:val="center"/>
              <w:rPr>
                <w:b/>
                <w:color w:val="FFFFFF"/>
                <w:sz w:val="19"/>
                <w:szCs w:val="19"/>
              </w:rPr>
            </w:pPr>
            <w:r w:rsidRPr="00D613BE">
              <w:rPr>
                <w:b/>
                <w:color w:val="FFFFFF"/>
                <w:sz w:val="19"/>
                <w:szCs w:val="19"/>
              </w:rPr>
              <w:t>Review Comments</w:t>
            </w:r>
          </w:p>
        </w:tc>
      </w:tr>
      <w:tr w:rsidR="00E7173E" w:rsidRPr="00D613BE" w:rsidTr="00BC1E78">
        <w:tc>
          <w:tcPr>
            <w:tcW w:w="2065" w:type="dxa"/>
            <w:shd w:val="clear" w:color="auto" w:fill="D2EAF1"/>
          </w:tcPr>
          <w:p w:rsidR="0075500D" w:rsidRPr="00D613BE" w:rsidRDefault="0075500D" w:rsidP="005C1352">
            <w:pPr>
              <w:jc w:val="left"/>
              <w:rPr>
                <w:color w:val="548DD4"/>
                <w:sz w:val="19"/>
                <w:szCs w:val="19"/>
              </w:rPr>
            </w:pPr>
            <w:r w:rsidRPr="00D613BE">
              <w:rPr>
                <w:sz w:val="19"/>
                <w:szCs w:val="19"/>
              </w:rPr>
              <w:t>Prescriptive Equipment Program (PEP)</w:t>
            </w:r>
          </w:p>
        </w:tc>
        <w:tc>
          <w:tcPr>
            <w:tcW w:w="1800" w:type="dxa"/>
            <w:shd w:val="clear" w:color="auto" w:fill="D2EAF1"/>
          </w:tcPr>
          <w:p w:rsidR="0075500D" w:rsidRPr="00D613BE" w:rsidRDefault="0075500D" w:rsidP="0036185D">
            <w:pPr>
              <w:jc w:val="center"/>
              <w:rPr>
                <w:color w:val="548DD4"/>
                <w:sz w:val="19"/>
                <w:szCs w:val="19"/>
              </w:rPr>
            </w:pPr>
            <w:r w:rsidRPr="00D613BE">
              <w:rPr>
                <w:sz w:val="19"/>
                <w:szCs w:val="19"/>
              </w:rPr>
              <w:t>The common method was used.</w:t>
            </w:r>
          </w:p>
        </w:tc>
        <w:tc>
          <w:tcPr>
            <w:tcW w:w="5490" w:type="dxa"/>
            <w:shd w:val="clear" w:color="auto" w:fill="D2EAF1"/>
          </w:tcPr>
          <w:p w:rsidR="0075500D" w:rsidRPr="00D613BE" w:rsidRDefault="0075500D" w:rsidP="005C1352">
            <w:pPr>
              <w:jc w:val="left"/>
              <w:rPr>
                <w:color w:val="548DD4"/>
                <w:sz w:val="19"/>
                <w:szCs w:val="19"/>
              </w:rPr>
            </w:pPr>
            <w:r w:rsidRPr="00D613BE">
              <w:rPr>
                <w:sz w:val="19"/>
                <w:szCs w:val="19"/>
              </w:rPr>
              <w:t xml:space="preserve">Cadmus used the common method, but the description of the methods in the annual report could have been clearer. </w:t>
            </w:r>
          </w:p>
        </w:tc>
      </w:tr>
      <w:tr w:rsidR="00E7173E" w:rsidRPr="00D613BE" w:rsidTr="00BC1E78">
        <w:tc>
          <w:tcPr>
            <w:tcW w:w="2065" w:type="dxa"/>
            <w:shd w:val="clear" w:color="auto" w:fill="auto"/>
          </w:tcPr>
          <w:p w:rsidR="0075500D" w:rsidRPr="00D613BE" w:rsidRDefault="0075500D" w:rsidP="005C1352">
            <w:pPr>
              <w:jc w:val="left"/>
              <w:rPr>
                <w:color w:val="548DD4"/>
                <w:sz w:val="19"/>
                <w:szCs w:val="19"/>
              </w:rPr>
            </w:pPr>
            <w:r w:rsidRPr="00D613BE">
              <w:rPr>
                <w:sz w:val="19"/>
                <w:szCs w:val="19"/>
              </w:rPr>
              <w:t>Custom Incentive Program (CIP)</w:t>
            </w:r>
          </w:p>
        </w:tc>
        <w:tc>
          <w:tcPr>
            <w:tcW w:w="1800" w:type="dxa"/>
            <w:shd w:val="clear" w:color="auto" w:fill="auto"/>
          </w:tcPr>
          <w:p w:rsidR="0075500D" w:rsidRPr="00D613BE" w:rsidRDefault="0075500D" w:rsidP="0036185D">
            <w:pPr>
              <w:jc w:val="center"/>
              <w:rPr>
                <w:color w:val="548DD4"/>
                <w:sz w:val="19"/>
                <w:szCs w:val="19"/>
              </w:rPr>
            </w:pPr>
            <w:r w:rsidRPr="00D613BE">
              <w:rPr>
                <w:sz w:val="19"/>
                <w:szCs w:val="19"/>
              </w:rPr>
              <w:t>The common method was used.</w:t>
            </w:r>
          </w:p>
        </w:tc>
        <w:tc>
          <w:tcPr>
            <w:tcW w:w="5490" w:type="dxa"/>
            <w:shd w:val="clear" w:color="auto" w:fill="auto"/>
          </w:tcPr>
          <w:p w:rsidR="0075500D" w:rsidRPr="00D613BE" w:rsidRDefault="0075500D" w:rsidP="005C1352">
            <w:pPr>
              <w:jc w:val="left"/>
              <w:rPr>
                <w:color w:val="548DD4"/>
                <w:sz w:val="19"/>
                <w:szCs w:val="19"/>
              </w:rPr>
            </w:pPr>
            <w:r w:rsidRPr="00D613BE">
              <w:rPr>
                <w:sz w:val="19"/>
                <w:szCs w:val="19"/>
              </w:rPr>
              <w:t xml:space="preserve">Cadmus used the common method, but the description of the methods in the annual report could have been clearer. Cadmus found evidence of SO but lacked sufficient data to quantify it. </w:t>
            </w:r>
          </w:p>
        </w:tc>
      </w:tr>
      <w:tr w:rsidR="00E7173E" w:rsidRPr="00D613BE" w:rsidTr="00BC1E78">
        <w:tc>
          <w:tcPr>
            <w:tcW w:w="2065" w:type="dxa"/>
            <w:shd w:val="clear" w:color="auto" w:fill="D2EAF1"/>
          </w:tcPr>
          <w:p w:rsidR="0075500D" w:rsidRPr="00D613BE" w:rsidRDefault="0075500D" w:rsidP="005C1352">
            <w:pPr>
              <w:jc w:val="left"/>
              <w:rPr>
                <w:sz w:val="19"/>
                <w:szCs w:val="19"/>
              </w:rPr>
            </w:pPr>
            <w:r w:rsidRPr="00D613BE">
              <w:rPr>
                <w:sz w:val="19"/>
                <w:szCs w:val="19"/>
              </w:rPr>
              <w:t>Master-Metered Low-Income Multifamily (MMMF) Program</w:t>
            </w:r>
          </w:p>
        </w:tc>
        <w:tc>
          <w:tcPr>
            <w:tcW w:w="1800" w:type="dxa"/>
            <w:shd w:val="clear" w:color="auto" w:fill="D2EAF1"/>
          </w:tcPr>
          <w:p w:rsidR="0075500D" w:rsidRPr="00D613BE" w:rsidRDefault="0075500D" w:rsidP="0036185D">
            <w:pPr>
              <w:jc w:val="center"/>
              <w:rPr>
                <w:sz w:val="19"/>
                <w:szCs w:val="19"/>
              </w:rPr>
            </w:pPr>
            <w:r w:rsidRPr="00D613BE">
              <w:rPr>
                <w:sz w:val="19"/>
                <w:szCs w:val="19"/>
              </w:rPr>
              <w:t>Not calculated: applied a savings-weighted average of PY5 and PY6 NTGR to PY7 rebated lighting projects.</w:t>
            </w:r>
          </w:p>
        </w:tc>
        <w:tc>
          <w:tcPr>
            <w:tcW w:w="5490" w:type="dxa"/>
            <w:shd w:val="clear" w:color="auto" w:fill="D2EAF1"/>
          </w:tcPr>
          <w:p w:rsidR="0075500D" w:rsidRPr="00D613BE" w:rsidRDefault="0075500D" w:rsidP="005C1352">
            <w:pPr>
              <w:jc w:val="left"/>
              <w:rPr>
                <w:sz w:val="19"/>
                <w:szCs w:val="19"/>
              </w:rPr>
            </w:pPr>
            <w:r w:rsidRPr="00D613BE">
              <w:rPr>
                <w:sz w:val="19"/>
                <w:szCs w:val="19"/>
              </w:rPr>
              <w:t>Because program decision makers are a hard-to-reach population and Cadmus collected data from them in PY5 and PY6, it applied a savings-weighted NTGR average from PY5 and PY6 to PY7 rebated lighting projects. The SWE Team approves of this method. Cadmus did not report the resulting NTGR used for PY7; the SWE Team suggests that Cadmus report the PY7 NTGR in the PPL report.</w:t>
            </w:r>
          </w:p>
        </w:tc>
      </w:tr>
      <w:tr w:rsidR="00E7173E" w:rsidRPr="00D613BE" w:rsidTr="00BC1E78">
        <w:tc>
          <w:tcPr>
            <w:tcW w:w="2065" w:type="dxa"/>
            <w:shd w:val="clear" w:color="auto" w:fill="auto"/>
          </w:tcPr>
          <w:p w:rsidR="0075500D" w:rsidRPr="00D613BE" w:rsidRDefault="0075500D" w:rsidP="005C1352">
            <w:pPr>
              <w:jc w:val="left"/>
              <w:rPr>
                <w:sz w:val="19"/>
                <w:szCs w:val="19"/>
              </w:rPr>
            </w:pPr>
            <w:r w:rsidRPr="00D613BE">
              <w:rPr>
                <w:sz w:val="19"/>
                <w:szCs w:val="19"/>
              </w:rPr>
              <w:t>Continuous Energy Improvement (CEI) Program</w:t>
            </w:r>
          </w:p>
        </w:tc>
        <w:tc>
          <w:tcPr>
            <w:tcW w:w="1800" w:type="dxa"/>
            <w:shd w:val="clear" w:color="auto" w:fill="auto"/>
          </w:tcPr>
          <w:p w:rsidR="0075500D" w:rsidRPr="00D613BE" w:rsidRDefault="0075500D" w:rsidP="0036185D">
            <w:pPr>
              <w:jc w:val="center"/>
              <w:rPr>
                <w:sz w:val="19"/>
                <w:szCs w:val="19"/>
              </w:rPr>
            </w:pPr>
            <w:r w:rsidRPr="00D613BE">
              <w:rPr>
                <w:sz w:val="19"/>
                <w:szCs w:val="19"/>
              </w:rPr>
              <w:t>Billing analysis, supported by assessment of program influence.</w:t>
            </w:r>
          </w:p>
        </w:tc>
        <w:tc>
          <w:tcPr>
            <w:tcW w:w="5490" w:type="dxa"/>
            <w:shd w:val="clear" w:color="auto" w:fill="auto"/>
          </w:tcPr>
          <w:p w:rsidR="0075500D" w:rsidRPr="00D613BE" w:rsidRDefault="0075500D" w:rsidP="005C1352">
            <w:pPr>
              <w:jc w:val="left"/>
              <w:rPr>
                <w:sz w:val="19"/>
                <w:szCs w:val="19"/>
              </w:rPr>
            </w:pPr>
            <w:r w:rsidRPr="00D613BE">
              <w:rPr>
                <w:sz w:val="19"/>
                <w:szCs w:val="19"/>
              </w:rPr>
              <w:t>Cadmus used survey data, where participants reported very high program influence on savings-related decisions.</w:t>
            </w:r>
          </w:p>
        </w:tc>
      </w:tr>
      <w:tr w:rsidR="00E7173E" w:rsidRPr="00D613BE" w:rsidTr="00BC1E78">
        <w:tc>
          <w:tcPr>
            <w:tcW w:w="2065" w:type="dxa"/>
            <w:shd w:val="clear" w:color="auto" w:fill="D2EAF1"/>
          </w:tcPr>
          <w:p w:rsidR="0075500D" w:rsidRPr="00D613BE" w:rsidRDefault="0075500D" w:rsidP="005C1352">
            <w:pPr>
              <w:jc w:val="left"/>
              <w:rPr>
                <w:sz w:val="19"/>
                <w:szCs w:val="19"/>
              </w:rPr>
            </w:pPr>
            <w:r w:rsidRPr="00D613BE">
              <w:rPr>
                <w:sz w:val="19"/>
                <w:szCs w:val="19"/>
              </w:rPr>
              <w:t>School Benchmarking Program</w:t>
            </w:r>
          </w:p>
        </w:tc>
        <w:tc>
          <w:tcPr>
            <w:tcW w:w="1800" w:type="dxa"/>
            <w:shd w:val="clear" w:color="auto" w:fill="D2EAF1"/>
          </w:tcPr>
          <w:p w:rsidR="0075500D" w:rsidRPr="00D613BE" w:rsidRDefault="0075500D" w:rsidP="0036185D">
            <w:pPr>
              <w:jc w:val="center"/>
              <w:rPr>
                <w:sz w:val="19"/>
                <w:szCs w:val="19"/>
              </w:rPr>
            </w:pPr>
            <w:r w:rsidRPr="00D613BE">
              <w:rPr>
                <w:sz w:val="19"/>
                <w:szCs w:val="19"/>
              </w:rPr>
              <w:t>NTGR was not estimated.</w:t>
            </w:r>
          </w:p>
        </w:tc>
        <w:tc>
          <w:tcPr>
            <w:tcW w:w="5490" w:type="dxa"/>
            <w:shd w:val="clear" w:color="auto" w:fill="D2EAF1"/>
          </w:tcPr>
          <w:p w:rsidR="0075500D" w:rsidRPr="00D613BE" w:rsidRDefault="0075500D" w:rsidP="005C1352">
            <w:pPr>
              <w:jc w:val="left"/>
              <w:rPr>
                <w:sz w:val="19"/>
                <w:szCs w:val="19"/>
              </w:rPr>
            </w:pPr>
            <w:r w:rsidRPr="00D613BE">
              <w:rPr>
                <w:sz w:val="19"/>
                <w:szCs w:val="19"/>
              </w:rPr>
              <w:t>NTG was not estimated, as the program does not generate savings.</w:t>
            </w:r>
          </w:p>
        </w:tc>
      </w:tr>
    </w:tbl>
    <w:p w:rsidR="0075500D" w:rsidRPr="006C05B5" w:rsidRDefault="0075500D" w:rsidP="0075500D">
      <w:pPr>
        <w:rPr>
          <w:highlight w:val="lightGray"/>
        </w:rPr>
      </w:pPr>
    </w:p>
    <w:p w:rsidR="0075500D" w:rsidRPr="006C05B5" w:rsidRDefault="0075500D" w:rsidP="0075500D">
      <w:r>
        <w:fldChar w:fldCharType="begin"/>
      </w:r>
      <w:r>
        <w:instrText xml:space="preserve"> REF _Ref472454246 \h </w:instrText>
      </w:r>
      <w:r>
        <w:fldChar w:fldCharType="separate"/>
      </w:r>
      <w:r w:rsidR="00037CB4" w:rsidRPr="0075500D">
        <w:t>Table A-</w:t>
      </w:r>
      <w:r w:rsidR="00037CB4">
        <w:rPr>
          <w:noProof/>
        </w:rPr>
        <w:t>159</w:t>
      </w:r>
      <w:r>
        <w:fldChar w:fldCharType="end"/>
      </w:r>
      <w:r w:rsidRPr="006C05B5">
        <w:t xml:space="preserve"> summarizes the free-ridership, spillover, and NTGR estimates reported in Cadmus’s annual report for non-residential sector programs.</w:t>
      </w:r>
    </w:p>
    <w:p w:rsidR="0075500D" w:rsidRDefault="0075500D" w:rsidP="0075500D">
      <w:pPr>
        <w:rPr>
          <w:highlight w:val="lightGray"/>
        </w:rPr>
      </w:pPr>
    </w:p>
    <w:p w:rsidR="0075500D" w:rsidRPr="0075500D" w:rsidRDefault="0075500D" w:rsidP="004837FA">
      <w:pPr>
        <w:pStyle w:val="Caption"/>
      </w:pPr>
      <w:bookmarkStart w:id="1398" w:name="_Ref472454246"/>
      <w:bookmarkStart w:id="1399" w:name="_Toc409225037"/>
      <w:bookmarkStart w:id="1400" w:name="_Toc409443589"/>
      <w:bookmarkStart w:id="1401" w:name="_Toc444269810"/>
      <w:bookmarkStart w:id="1402" w:name="_Toc472472556"/>
      <w:bookmarkStart w:id="1403" w:name="_Toc488741987"/>
      <w:r w:rsidRPr="0075500D">
        <w:t>Table A-</w:t>
      </w:r>
      <w:r w:rsidR="007973A4">
        <w:fldChar w:fldCharType="begin"/>
      </w:r>
      <w:r w:rsidR="007973A4">
        <w:instrText xml:space="preserve"> SEQ Table_A- \* ARABIC </w:instrText>
      </w:r>
      <w:r w:rsidR="007973A4">
        <w:fldChar w:fldCharType="separate"/>
      </w:r>
      <w:r w:rsidR="00037CB4">
        <w:rPr>
          <w:noProof/>
        </w:rPr>
        <w:t>159</w:t>
      </w:r>
      <w:r w:rsidR="007973A4">
        <w:rPr>
          <w:noProof/>
        </w:rPr>
        <w:fldChar w:fldCharType="end"/>
      </w:r>
      <w:bookmarkEnd w:id="1398"/>
      <w:r w:rsidRPr="0075500D">
        <w:t>: Summary of NTG Estimates for PPL’s Non-Residential Programs</w:t>
      </w:r>
      <w:bookmarkEnd w:id="1399"/>
      <w:bookmarkEnd w:id="1400"/>
      <w:bookmarkEnd w:id="1401"/>
      <w:bookmarkEnd w:id="1402"/>
      <w:bookmarkEnd w:id="1403"/>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35"/>
        <w:gridCol w:w="3150"/>
        <w:gridCol w:w="1154"/>
        <w:gridCol w:w="1230"/>
        <w:gridCol w:w="1292"/>
        <w:gridCol w:w="1084"/>
        <w:gridCol w:w="15"/>
      </w:tblGrid>
      <w:tr w:rsidR="00A874AC" w:rsidRPr="00D613BE" w:rsidTr="0036185D">
        <w:trPr>
          <w:gridAfter w:val="1"/>
          <w:wAfter w:w="15" w:type="dxa"/>
          <w:tblHeader/>
        </w:trPr>
        <w:tc>
          <w:tcPr>
            <w:tcW w:w="1435" w:type="dxa"/>
            <w:shd w:val="clear" w:color="auto" w:fill="448A99"/>
            <w:vAlign w:val="bottom"/>
          </w:tcPr>
          <w:p w:rsidR="0075500D" w:rsidRPr="00D613BE" w:rsidRDefault="0075500D" w:rsidP="005C1352">
            <w:pPr>
              <w:keepNext/>
              <w:rPr>
                <w:b/>
                <w:color w:val="FFFFFF"/>
                <w:sz w:val="19"/>
                <w:szCs w:val="19"/>
              </w:rPr>
            </w:pPr>
            <w:r w:rsidRPr="00D613BE">
              <w:rPr>
                <w:b/>
                <w:color w:val="FFFFFF"/>
                <w:sz w:val="19"/>
                <w:szCs w:val="19"/>
              </w:rPr>
              <w:t>Approach</w:t>
            </w:r>
          </w:p>
        </w:tc>
        <w:tc>
          <w:tcPr>
            <w:tcW w:w="3150" w:type="dxa"/>
            <w:shd w:val="clear" w:color="auto" w:fill="448A99"/>
            <w:vAlign w:val="bottom"/>
          </w:tcPr>
          <w:p w:rsidR="0075500D" w:rsidRPr="00D613BE" w:rsidRDefault="0075500D" w:rsidP="005C1352">
            <w:pPr>
              <w:keepNext/>
              <w:jc w:val="center"/>
              <w:rPr>
                <w:b/>
                <w:color w:val="FFFFFF"/>
                <w:sz w:val="19"/>
                <w:szCs w:val="19"/>
              </w:rPr>
            </w:pPr>
            <w:r w:rsidRPr="00D613BE">
              <w:rPr>
                <w:b/>
                <w:color w:val="FFFFFF"/>
                <w:sz w:val="19"/>
                <w:szCs w:val="19"/>
              </w:rPr>
              <w:t>Program</w:t>
            </w:r>
          </w:p>
        </w:tc>
        <w:tc>
          <w:tcPr>
            <w:tcW w:w="1154" w:type="dxa"/>
            <w:shd w:val="clear" w:color="auto" w:fill="448A99"/>
            <w:vAlign w:val="bottom"/>
          </w:tcPr>
          <w:p w:rsidR="0075500D" w:rsidRPr="00D613BE" w:rsidRDefault="0075500D" w:rsidP="005C1352">
            <w:pPr>
              <w:keepNext/>
              <w:jc w:val="center"/>
              <w:rPr>
                <w:b/>
                <w:color w:val="FFFFFF"/>
                <w:sz w:val="19"/>
                <w:szCs w:val="19"/>
              </w:rPr>
            </w:pPr>
            <w:r w:rsidRPr="00D613BE">
              <w:rPr>
                <w:b/>
                <w:color w:val="FFFFFF"/>
                <w:sz w:val="19"/>
                <w:szCs w:val="19"/>
              </w:rPr>
              <w:t>Free-Ridership</w:t>
            </w:r>
          </w:p>
        </w:tc>
        <w:tc>
          <w:tcPr>
            <w:tcW w:w="1230" w:type="dxa"/>
            <w:shd w:val="clear" w:color="auto" w:fill="448A99"/>
            <w:vAlign w:val="bottom"/>
          </w:tcPr>
          <w:p w:rsidR="0075500D" w:rsidRPr="00D613BE" w:rsidRDefault="0075500D" w:rsidP="005C1352">
            <w:pPr>
              <w:keepNext/>
              <w:jc w:val="center"/>
              <w:rPr>
                <w:b/>
                <w:color w:val="FFFFFF"/>
                <w:sz w:val="19"/>
                <w:szCs w:val="19"/>
              </w:rPr>
            </w:pPr>
            <w:r w:rsidRPr="00D613BE">
              <w:rPr>
                <w:b/>
                <w:color w:val="FFFFFF"/>
                <w:sz w:val="19"/>
                <w:szCs w:val="19"/>
              </w:rPr>
              <w:t>Spillover</w:t>
            </w:r>
          </w:p>
        </w:tc>
        <w:tc>
          <w:tcPr>
            <w:tcW w:w="1292" w:type="dxa"/>
            <w:shd w:val="clear" w:color="auto" w:fill="448A99"/>
            <w:vAlign w:val="bottom"/>
          </w:tcPr>
          <w:p w:rsidR="0075500D" w:rsidRPr="00D613BE" w:rsidRDefault="0075500D" w:rsidP="005C1352">
            <w:pPr>
              <w:keepNext/>
              <w:jc w:val="center"/>
              <w:rPr>
                <w:b/>
                <w:color w:val="FFFFFF"/>
                <w:sz w:val="19"/>
                <w:szCs w:val="19"/>
              </w:rPr>
            </w:pPr>
            <w:r w:rsidRPr="00D613BE">
              <w:rPr>
                <w:b/>
                <w:color w:val="FFFFFF"/>
                <w:sz w:val="19"/>
                <w:szCs w:val="19"/>
              </w:rPr>
              <w:t>NTGR</w:t>
            </w:r>
          </w:p>
        </w:tc>
        <w:tc>
          <w:tcPr>
            <w:tcW w:w="1084" w:type="dxa"/>
            <w:shd w:val="clear" w:color="auto" w:fill="448A99"/>
            <w:vAlign w:val="bottom"/>
          </w:tcPr>
          <w:p w:rsidR="0075500D" w:rsidRPr="00D613BE" w:rsidRDefault="0075500D" w:rsidP="005C1352">
            <w:pPr>
              <w:keepNext/>
              <w:jc w:val="center"/>
              <w:rPr>
                <w:b/>
                <w:color w:val="FFFFFF"/>
                <w:sz w:val="19"/>
                <w:szCs w:val="19"/>
                <w:vertAlign w:val="superscript"/>
              </w:rPr>
            </w:pPr>
            <w:r w:rsidRPr="00D613BE">
              <w:rPr>
                <w:b/>
                <w:color w:val="FFFFFF"/>
                <w:sz w:val="19"/>
                <w:szCs w:val="19"/>
              </w:rPr>
              <w:t>Sample Size</w:t>
            </w:r>
            <w:r w:rsidRPr="00D613BE">
              <w:rPr>
                <w:b/>
                <w:color w:val="FFFFFF"/>
                <w:sz w:val="19"/>
                <w:szCs w:val="19"/>
                <w:vertAlign w:val="superscript"/>
              </w:rPr>
              <w:t>[a]</w:t>
            </w:r>
          </w:p>
        </w:tc>
      </w:tr>
      <w:tr w:rsidR="00A874AC" w:rsidRPr="00D613BE" w:rsidTr="0036185D">
        <w:trPr>
          <w:gridAfter w:val="1"/>
          <w:wAfter w:w="15" w:type="dxa"/>
          <w:trHeight w:val="488"/>
        </w:trPr>
        <w:tc>
          <w:tcPr>
            <w:tcW w:w="1435" w:type="dxa"/>
            <w:vMerge w:val="restart"/>
            <w:shd w:val="clear" w:color="auto" w:fill="D2EAF1"/>
          </w:tcPr>
          <w:p w:rsidR="0075500D" w:rsidRPr="00D613BE" w:rsidRDefault="0075500D" w:rsidP="005C1352">
            <w:pPr>
              <w:keepNext/>
              <w:rPr>
                <w:sz w:val="19"/>
                <w:szCs w:val="19"/>
              </w:rPr>
            </w:pPr>
            <w:r w:rsidRPr="00D613BE">
              <w:rPr>
                <w:sz w:val="19"/>
                <w:szCs w:val="19"/>
              </w:rPr>
              <w:t>Estimated</w:t>
            </w:r>
          </w:p>
        </w:tc>
        <w:tc>
          <w:tcPr>
            <w:tcW w:w="3150" w:type="dxa"/>
            <w:shd w:val="clear" w:color="auto" w:fill="D2EAF1"/>
          </w:tcPr>
          <w:p w:rsidR="0075500D" w:rsidRPr="00D613BE" w:rsidRDefault="0075500D" w:rsidP="005C1352">
            <w:pPr>
              <w:keepNext/>
              <w:jc w:val="center"/>
              <w:rPr>
                <w:sz w:val="19"/>
                <w:szCs w:val="19"/>
              </w:rPr>
            </w:pPr>
            <w:r w:rsidRPr="00D613BE">
              <w:rPr>
                <w:sz w:val="19"/>
                <w:szCs w:val="19"/>
              </w:rPr>
              <w:t>Prescriptive Equipment Program (PEP)</w:t>
            </w:r>
          </w:p>
        </w:tc>
        <w:tc>
          <w:tcPr>
            <w:tcW w:w="1154" w:type="dxa"/>
            <w:shd w:val="clear" w:color="auto" w:fill="D2EAF1"/>
          </w:tcPr>
          <w:p w:rsidR="0075500D" w:rsidRPr="00D613BE" w:rsidRDefault="0075500D" w:rsidP="005C1352">
            <w:pPr>
              <w:keepNext/>
              <w:jc w:val="center"/>
              <w:rPr>
                <w:color w:val="548DD4"/>
                <w:sz w:val="19"/>
                <w:szCs w:val="19"/>
              </w:rPr>
            </w:pPr>
            <w:r w:rsidRPr="00D613BE">
              <w:rPr>
                <w:sz w:val="19"/>
                <w:szCs w:val="19"/>
              </w:rPr>
              <w:t>0.23</w:t>
            </w:r>
          </w:p>
        </w:tc>
        <w:tc>
          <w:tcPr>
            <w:tcW w:w="1230" w:type="dxa"/>
            <w:shd w:val="clear" w:color="auto" w:fill="D2EAF1"/>
          </w:tcPr>
          <w:p w:rsidR="0075500D" w:rsidRPr="00D613BE" w:rsidRDefault="0075500D" w:rsidP="005C1352">
            <w:pPr>
              <w:keepNext/>
              <w:jc w:val="center"/>
              <w:rPr>
                <w:color w:val="548DD4"/>
                <w:sz w:val="19"/>
                <w:szCs w:val="19"/>
              </w:rPr>
            </w:pPr>
            <w:r w:rsidRPr="00D613BE">
              <w:rPr>
                <w:sz w:val="19"/>
                <w:szCs w:val="19"/>
              </w:rPr>
              <w:t>0.00</w:t>
            </w:r>
          </w:p>
        </w:tc>
        <w:tc>
          <w:tcPr>
            <w:tcW w:w="1292" w:type="dxa"/>
            <w:shd w:val="clear" w:color="auto" w:fill="D2EAF1"/>
          </w:tcPr>
          <w:p w:rsidR="0075500D" w:rsidRPr="00D613BE" w:rsidRDefault="0075500D" w:rsidP="005C1352">
            <w:pPr>
              <w:keepNext/>
              <w:jc w:val="center"/>
              <w:rPr>
                <w:color w:val="548DD4"/>
                <w:sz w:val="19"/>
                <w:szCs w:val="19"/>
              </w:rPr>
            </w:pPr>
            <w:r w:rsidRPr="00D613BE">
              <w:rPr>
                <w:sz w:val="19"/>
                <w:szCs w:val="19"/>
              </w:rPr>
              <w:t>0.77</w:t>
            </w:r>
          </w:p>
        </w:tc>
        <w:tc>
          <w:tcPr>
            <w:tcW w:w="1084" w:type="dxa"/>
            <w:shd w:val="clear" w:color="auto" w:fill="D2EAF1"/>
          </w:tcPr>
          <w:p w:rsidR="0075500D" w:rsidRPr="00D613BE" w:rsidRDefault="0075500D" w:rsidP="005C1352">
            <w:pPr>
              <w:keepNext/>
              <w:jc w:val="center"/>
              <w:rPr>
                <w:color w:val="548DD4"/>
                <w:sz w:val="19"/>
                <w:szCs w:val="19"/>
              </w:rPr>
            </w:pPr>
            <w:r w:rsidRPr="00D613BE">
              <w:rPr>
                <w:sz w:val="19"/>
                <w:szCs w:val="19"/>
              </w:rPr>
              <w:t>77</w:t>
            </w:r>
          </w:p>
        </w:tc>
      </w:tr>
      <w:tr w:rsidR="005E6D04" w:rsidRPr="00D613BE" w:rsidTr="00BC1E78">
        <w:trPr>
          <w:gridAfter w:val="1"/>
          <w:wAfter w:w="15" w:type="dxa"/>
          <w:trHeight w:val="488"/>
        </w:trPr>
        <w:tc>
          <w:tcPr>
            <w:tcW w:w="1435" w:type="dxa"/>
            <w:vMerge/>
          </w:tcPr>
          <w:p w:rsidR="0075500D" w:rsidRPr="00D613BE" w:rsidRDefault="0075500D" w:rsidP="005C1352">
            <w:pPr>
              <w:rPr>
                <w:sz w:val="19"/>
                <w:szCs w:val="19"/>
              </w:rPr>
            </w:pPr>
          </w:p>
        </w:tc>
        <w:tc>
          <w:tcPr>
            <w:tcW w:w="3150" w:type="dxa"/>
          </w:tcPr>
          <w:p w:rsidR="0075500D" w:rsidRPr="00D613BE" w:rsidRDefault="0075500D" w:rsidP="005C1352">
            <w:pPr>
              <w:jc w:val="center"/>
              <w:rPr>
                <w:sz w:val="19"/>
                <w:szCs w:val="19"/>
              </w:rPr>
            </w:pPr>
            <w:r w:rsidRPr="00D613BE">
              <w:rPr>
                <w:sz w:val="19"/>
                <w:szCs w:val="19"/>
              </w:rPr>
              <w:t>Custom Incentive Program (CIP)</w:t>
            </w:r>
          </w:p>
        </w:tc>
        <w:tc>
          <w:tcPr>
            <w:tcW w:w="1154" w:type="dxa"/>
          </w:tcPr>
          <w:p w:rsidR="0075500D" w:rsidRPr="00D613BE" w:rsidRDefault="0075500D" w:rsidP="005C1352">
            <w:pPr>
              <w:jc w:val="center"/>
              <w:rPr>
                <w:color w:val="548DD4"/>
                <w:sz w:val="19"/>
                <w:szCs w:val="19"/>
              </w:rPr>
            </w:pPr>
            <w:r w:rsidRPr="00D613BE">
              <w:rPr>
                <w:sz w:val="19"/>
                <w:szCs w:val="19"/>
              </w:rPr>
              <w:t>0.39</w:t>
            </w:r>
          </w:p>
        </w:tc>
        <w:tc>
          <w:tcPr>
            <w:tcW w:w="1230" w:type="dxa"/>
          </w:tcPr>
          <w:p w:rsidR="0075500D" w:rsidRPr="00D613BE" w:rsidRDefault="0075500D" w:rsidP="005C1352">
            <w:pPr>
              <w:jc w:val="center"/>
              <w:rPr>
                <w:color w:val="548DD4"/>
                <w:sz w:val="19"/>
                <w:szCs w:val="19"/>
              </w:rPr>
            </w:pPr>
            <w:r w:rsidRPr="00D613BE">
              <w:rPr>
                <w:sz w:val="19"/>
                <w:szCs w:val="19"/>
              </w:rPr>
              <w:t>0.00</w:t>
            </w:r>
          </w:p>
        </w:tc>
        <w:tc>
          <w:tcPr>
            <w:tcW w:w="1292" w:type="dxa"/>
          </w:tcPr>
          <w:p w:rsidR="0075500D" w:rsidRPr="00D613BE" w:rsidRDefault="0075500D" w:rsidP="005C1352">
            <w:pPr>
              <w:jc w:val="center"/>
              <w:rPr>
                <w:color w:val="548DD4"/>
                <w:sz w:val="19"/>
                <w:szCs w:val="19"/>
              </w:rPr>
            </w:pPr>
            <w:r w:rsidRPr="00D613BE">
              <w:rPr>
                <w:sz w:val="19"/>
                <w:szCs w:val="19"/>
              </w:rPr>
              <w:t>0.61</w:t>
            </w:r>
          </w:p>
        </w:tc>
        <w:tc>
          <w:tcPr>
            <w:tcW w:w="1084" w:type="dxa"/>
          </w:tcPr>
          <w:p w:rsidR="0075500D" w:rsidRPr="00D613BE" w:rsidRDefault="0075500D" w:rsidP="005C1352">
            <w:pPr>
              <w:jc w:val="center"/>
              <w:rPr>
                <w:color w:val="548DD4"/>
                <w:sz w:val="19"/>
                <w:szCs w:val="19"/>
              </w:rPr>
            </w:pPr>
            <w:r w:rsidRPr="00D613BE">
              <w:rPr>
                <w:sz w:val="19"/>
                <w:szCs w:val="19"/>
              </w:rPr>
              <w:t>21</w:t>
            </w:r>
          </w:p>
        </w:tc>
      </w:tr>
      <w:tr w:rsidR="00A874AC" w:rsidRPr="00D613BE" w:rsidTr="0036185D">
        <w:trPr>
          <w:gridAfter w:val="1"/>
          <w:wAfter w:w="15" w:type="dxa"/>
          <w:trHeight w:val="488"/>
        </w:trPr>
        <w:tc>
          <w:tcPr>
            <w:tcW w:w="1435" w:type="dxa"/>
            <w:vMerge/>
          </w:tcPr>
          <w:p w:rsidR="0075500D" w:rsidRPr="00D613BE" w:rsidRDefault="0075500D" w:rsidP="005C1352">
            <w:pPr>
              <w:rPr>
                <w:sz w:val="19"/>
                <w:szCs w:val="19"/>
              </w:rPr>
            </w:pPr>
          </w:p>
        </w:tc>
        <w:tc>
          <w:tcPr>
            <w:tcW w:w="3150" w:type="dxa"/>
            <w:shd w:val="clear" w:color="auto" w:fill="D2EAF1"/>
          </w:tcPr>
          <w:p w:rsidR="0075500D" w:rsidRPr="00D613BE" w:rsidRDefault="0075500D" w:rsidP="005C1352">
            <w:pPr>
              <w:jc w:val="center"/>
              <w:rPr>
                <w:sz w:val="19"/>
                <w:szCs w:val="19"/>
              </w:rPr>
            </w:pPr>
            <w:r w:rsidRPr="00D613BE">
              <w:rPr>
                <w:sz w:val="19"/>
                <w:szCs w:val="19"/>
              </w:rPr>
              <w:t>Master Metered Low-Income Multifamily (MMMF) Program</w:t>
            </w:r>
          </w:p>
        </w:tc>
        <w:tc>
          <w:tcPr>
            <w:tcW w:w="1154" w:type="dxa"/>
            <w:shd w:val="clear" w:color="auto" w:fill="D2EAF1"/>
          </w:tcPr>
          <w:p w:rsidR="0075500D" w:rsidRPr="00D613BE" w:rsidRDefault="0075500D" w:rsidP="005C1352">
            <w:pPr>
              <w:jc w:val="center"/>
              <w:rPr>
                <w:color w:val="548DD4"/>
                <w:sz w:val="19"/>
                <w:szCs w:val="19"/>
              </w:rPr>
            </w:pPr>
            <w:r w:rsidRPr="00D613BE">
              <w:rPr>
                <w:sz w:val="19"/>
                <w:szCs w:val="19"/>
              </w:rPr>
              <w:t>N/A</w:t>
            </w:r>
          </w:p>
        </w:tc>
        <w:tc>
          <w:tcPr>
            <w:tcW w:w="1230" w:type="dxa"/>
            <w:shd w:val="clear" w:color="auto" w:fill="D2EAF1"/>
          </w:tcPr>
          <w:p w:rsidR="0075500D" w:rsidRPr="00D613BE" w:rsidRDefault="0075500D" w:rsidP="005C1352">
            <w:pPr>
              <w:jc w:val="center"/>
              <w:rPr>
                <w:color w:val="548DD4"/>
                <w:sz w:val="19"/>
                <w:szCs w:val="19"/>
              </w:rPr>
            </w:pPr>
            <w:r w:rsidRPr="00D613BE">
              <w:rPr>
                <w:sz w:val="19"/>
                <w:szCs w:val="19"/>
              </w:rPr>
              <w:t>N/A</w:t>
            </w:r>
          </w:p>
        </w:tc>
        <w:tc>
          <w:tcPr>
            <w:tcW w:w="1292" w:type="dxa"/>
            <w:shd w:val="clear" w:color="auto" w:fill="D2EAF1"/>
          </w:tcPr>
          <w:p w:rsidR="0075500D" w:rsidRPr="00D613BE" w:rsidRDefault="0075500D" w:rsidP="005C1352">
            <w:pPr>
              <w:jc w:val="center"/>
              <w:rPr>
                <w:color w:val="548DD4"/>
                <w:sz w:val="19"/>
                <w:szCs w:val="19"/>
              </w:rPr>
            </w:pPr>
            <w:r w:rsidRPr="00D613BE">
              <w:rPr>
                <w:sz w:val="19"/>
                <w:szCs w:val="19"/>
              </w:rPr>
              <w:t>Not reported</w:t>
            </w:r>
          </w:p>
        </w:tc>
        <w:tc>
          <w:tcPr>
            <w:tcW w:w="1084" w:type="dxa"/>
            <w:shd w:val="clear" w:color="auto" w:fill="D2EAF1"/>
          </w:tcPr>
          <w:p w:rsidR="0075500D" w:rsidRPr="00D613BE" w:rsidRDefault="0075500D" w:rsidP="005C1352">
            <w:pPr>
              <w:jc w:val="center"/>
              <w:rPr>
                <w:color w:val="548DD4"/>
                <w:sz w:val="19"/>
                <w:szCs w:val="19"/>
              </w:rPr>
            </w:pPr>
            <w:r w:rsidRPr="00D613BE">
              <w:rPr>
                <w:sz w:val="19"/>
                <w:szCs w:val="19"/>
              </w:rPr>
              <w:t>N/A</w:t>
            </w:r>
          </w:p>
        </w:tc>
      </w:tr>
      <w:tr w:rsidR="00E7173E" w:rsidRPr="00D613BE" w:rsidTr="00BC1E78">
        <w:trPr>
          <w:gridAfter w:val="1"/>
          <w:wAfter w:w="15" w:type="dxa"/>
          <w:trHeight w:val="488"/>
        </w:trPr>
        <w:tc>
          <w:tcPr>
            <w:tcW w:w="1435" w:type="dxa"/>
            <w:vMerge/>
          </w:tcPr>
          <w:p w:rsidR="0075500D" w:rsidRPr="00D613BE" w:rsidRDefault="0075500D" w:rsidP="005C1352">
            <w:pPr>
              <w:rPr>
                <w:sz w:val="19"/>
                <w:szCs w:val="19"/>
              </w:rPr>
            </w:pPr>
          </w:p>
        </w:tc>
        <w:tc>
          <w:tcPr>
            <w:tcW w:w="3150" w:type="dxa"/>
          </w:tcPr>
          <w:p w:rsidR="0075500D" w:rsidRPr="00D613BE" w:rsidRDefault="0075500D" w:rsidP="005C1352">
            <w:pPr>
              <w:jc w:val="center"/>
              <w:rPr>
                <w:sz w:val="19"/>
                <w:szCs w:val="19"/>
              </w:rPr>
            </w:pPr>
            <w:r w:rsidRPr="00D613BE">
              <w:rPr>
                <w:sz w:val="19"/>
                <w:szCs w:val="19"/>
              </w:rPr>
              <w:t>Continuous Energy Improvement (CEI) Program</w:t>
            </w:r>
          </w:p>
        </w:tc>
        <w:tc>
          <w:tcPr>
            <w:tcW w:w="1154" w:type="dxa"/>
          </w:tcPr>
          <w:p w:rsidR="0075500D" w:rsidRPr="00D613BE" w:rsidRDefault="0075500D" w:rsidP="005C1352">
            <w:pPr>
              <w:jc w:val="center"/>
              <w:rPr>
                <w:color w:val="548DD4"/>
                <w:sz w:val="19"/>
                <w:szCs w:val="19"/>
              </w:rPr>
            </w:pPr>
            <w:r w:rsidRPr="00D613BE">
              <w:rPr>
                <w:sz w:val="19"/>
                <w:szCs w:val="19"/>
              </w:rPr>
              <w:t>0.00</w:t>
            </w:r>
          </w:p>
        </w:tc>
        <w:tc>
          <w:tcPr>
            <w:tcW w:w="1230" w:type="dxa"/>
          </w:tcPr>
          <w:p w:rsidR="0075500D" w:rsidRPr="00D613BE" w:rsidRDefault="00C706BC" w:rsidP="005C1352">
            <w:pPr>
              <w:jc w:val="center"/>
              <w:rPr>
                <w:color w:val="548DD4"/>
                <w:sz w:val="19"/>
                <w:szCs w:val="19"/>
              </w:rPr>
            </w:pPr>
            <w:r w:rsidRPr="00D613BE">
              <w:rPr>
                <w:sz w:val="19"/>
                <w:szCs w:val="19"/>
              </w:rPr>
              <w:t>0.00</w:t>
            </w:r>
          </w:p>
        </w:tc>
        <w:tc>
          <w:tcPr>
            <w:tcW w:w="1292" w:type="dxa"/>
          </w:tcPr>
          <w:p w:rsidR="0075500D" w:rsidRPr="00D613BE" w:rsidRDefault="0075500D" w:rsidP="005C1352">
            <w:pPr>
              <w:jc w:val="center"/>
              <w:rPr>
                <w:color w:val="548DD4"/>
                <w:sz w:val="19"/>
                <w:szCs w:val="19"/>
              </w:rPr>
            </w:pPr>
            <w:r w:rsidRPr="00D613BE">
              <w:rPr>
                <w:sz w:val="19"/>
                <w:szCs w:val="19"/>
              </w:rPr>
              <w:t>1.00</w:t>
            </w:r>
          </w:p>
        </w:tc>
        <w:tc>
          <w:tcPr>
            <w:tcW w:w="1084" w:type="dxa"/>
          </w:tcPr>
          <w:p w:rsidR="0075500D" w:rsidRPr="00D613BE" w:rsidRDefault="0075500D" w:rsidP="005C1352">
            <w:pPr>
              <w:jc w:val="center"/>
              <w:rPr>
                <w:color w:val="548DD4"/>
                <w:sz w:val="19"/>
                <w:szCs w:val="19"/>
              </w:rPr>
            </w:pPr>
            <w:r w:rsidRPr="00D613BE">
              <w:rPr>
                <w:sz w:val="19"/>
                <w:szCs w:val="19"/>
              </w:rPr>
              <w:t>23</w:t>
            </w:r>
          </w:p>
        </w:tc>
      </w:tr>
      <w:tr w:rsidR="00A874AC" w:rsidRPr="00D613BE" w:rsidTr="0036185D">
        <w:trPr>
          <w:gridAfter w:val="1"/>
          <w:wAfter w:w="15" w:type="dxa"/>
          <w:trHeight w:val="489"/>
        </w:trPr>
        <w:tc>
          <w:tcPr>
            <w:tcW w:w="1435" w:type="dxa"/>
          </w:tcPr>
          <w:p w:rsidR="0075500D" w:rsidRPr="00D613BE" w:rsidRDefault="0075500D" w:rsidP="005C1352">
            <w:pPr>
              <w:rPr>
                <w:sz w:val="19"/>
                <w:szCs w:val="19"/>
              </w:rPr>
            </w:pPr>
            <w:r w:rsidRPr="00D613BE">
              <w:rPr>
                <w:sz w:val="19"/>
                <w:szCs w:val="19"/>
              </w:rPr>
              <w:t>Not estimated</w:t>
            </w:r>
          </w:p>
        </w:tc>
        <w:tc>
          <w:tcPr>
            <w:tcW w:w="3150" w:type="dxa"/>
            <w:shd w:val="clear" w:color="auto" w:fill="D2EAF1"/>
          </w:tcPr>
          <w:p w:rsidR="0075500D" w:rsidRPr="00D613BE" w:rsidRDefault="0075500D" w:rsidP="005C1352">
            <w:pPr>
              <w:jc w:val="center"/>
              <w:rPr>
                <w:sz w:val="19"/>
                <w:szCs w:val="19"/>
              </w:rPr>
            </w:pPr>
            <w:r w:rsidRPr="00D613BE">
              <w:rPr>
                <w:sz w:val="19"/>
                <w:szCs w:val="19"/>
              </w:rPr>
              <w:t>School Benchmarking Program</w:t>
            </w:r>
          </w:p>
        </w:tc>
        <w:tc>
          <w:tcPr>
            <w:tcW w:w="1154" w:type="dxa"/>
            <w:shd w:val="clear" w:color="auto" w:fill="D2EAF1"/>
          </w:tcPr>
          <w:p w:rsidR="0075500D" w:rsidRPr="00D613BE" w:rsidRDefault="0075500D" w:rsidP="005C1352">
            <w:pPr>
              <w:jc w:val="center"/>
              <w:rPr>
                <w:color w:val="548DD4"/>
                <w:sz w:val="19"/>
                <w:szCs w:val="19"/>
              </w:rPr>
            </w:pPr>
            <w:r w:rsidRPr="00D613BE">
              <w:rPr>
                <w:sz w:val="19"/>
                <w:szCs w:val="19"/>
              </w:rPr>
              <w:t>N/A</w:t>
            </w:r>
          </w:p>
        </w:tc>
        <w:tc>
          <w:tcPr>
            <w:tcW w:w="1230" w:type="dxa"/>
            <w:shd w:val="clear" w:color="auto" w:fill="D2EAF1"/>
          </w:tcPr>
          <w:p w:rsidR="0075500D" w:rsidRPr="00D613BE" w:rsidRDefault="0075500D" w:rsidP="005C1352">
            <w:pPr>
              <w:jc w:val="center"/>
              <w:rPr>
                <w:color w:val="548DD4"/>
                <w:sz w:val="19"/>
                <w:szCs w:val="19"/>
              </w:rPr>
            </w:pPr>
            <w:r w:rsidRPr="00D613BE">
              <w:rPr>
                <w:sz w:val="19"/>
                <w:szCs w:val="19"/>
              </w:rPr>
              <w:t>N/A</w:t>
            </w:r>
          </w:p>
        </w:tc>
        <w:tc>
          <w:tcPr>
            <w:tcW w:w="1292" w:type="dxa"/>
            <w:shd w:val="clear" w:color="auto" w:fill="D2EAF1"/>
          </w:tcPr>
          <w:p w:rsidR="0075500D" w:rsidRPr="00D613BE" w:rsidRDefault="0075500D" w:rsidP="005C1352">
            <w:pPr>
              <w:jc w:val="center"/>
              <w:rPr>
                <w:color w:val="548DD4"/>
                <w:sz w:val="19"/>
                <w:szCs w:val="19"/>
              </w:rPr>
            </w:pPr>
            <w:r w:rsidRPr="00D613BE">
              <w:rPr>
                <w:sz w:val="19"/>
                <w:szCs w:val="19"/>
              </w:rPr>
              <w:t>N/A</w:t>
            </w:r>
          </w:p>
        </w:tc>
        <w:tc>
          <w:tcPr>
            <w:tcW w:w="1084" w:type="dxa"/>
            <w:shd w:val="clear" w:color="auto" w:fill="D2EAF1"/>
          </w:tcPr>
          <w:p w:rsidR="0075500D" w:rsidRPr="00D613BE" w:rsidRDefault="0075500D" w:rsidP="005C1352">
            <w:pPr>
              <w:jc w:val="center"/>
              <w:rPr>
                <w:color w:val="548DD4"/>
                <w:sz w:val="19"/>
                <w:szCs w:val="19"/>
              </w:rPr>
            </w:pPr>
            <w:r w:rsidRPr="00D613BE">
              <w:rPr>
                <w:sz w:val="19"/>
                <w:szCs w:val="19"/>
              </w:rPr>
              <w:t>N/A</w:t>
            </w:r>
          </w:p>
        </w:tc>
      </w:tr>
      <w:tr w:rsidR="00E7173E" w:rsidRPr="00B32B81" w:rsidTr="00BC1E78">
        <w:tc>
          <w:tcPr>
            <w:tcW w:w="9360" w:type="dxa"/>
            <w:gridSpan w:val="7"/>
            <w:shd w:val="clear" w:color="auto" w:fill="448A99"/>
          </w:tcPr>
          <w:p w:rsidR="0075500D" w:rsidRPr="00B32B81" w:rsidRDefault="0075500D" w:rsidP="005C1352">
            <w:pPr>
              <w:jc w:val="left"/>
              <w:rPr>
                <w:color w:val="FFFFFF"/>
                <w:sz w:val="18"/>
                <w:szCs w:val="19"/>
              </w:rPr>
            </w:pPr>
            <w:r w:rsidRPr="00B32B81">
              <w:rPr>
                <w:color w:val="FFFFFF"/>
                <w:sz w:val="18"/>
                <w:szCs w:val="19"/>
              </w:rPr>
              <w:t>NOTE</w:t>
            </w:r>
            <w:r w:rsidR="001D0677" w:rsidRPr="00B32B81">
              <w:rPr>
                <w:color w:val="FFFFFF"/>
                <w:sz w:val="18"/>
                <w:szCs w:val="19"/>
              </w:rPr>
              <w:t>S:</w:t>
            </w:r>
          </w:p>
          <w:p w:rsidR="0075500D" w:rsidRPr="00B32B81" w:rsidRDefault="0075500D" w:rsidP="005C1352">
            <w:pPr>
              <w:jc w:val="left"/>
              <w:rPr>
                <w:sz w:val="18"/>
                <w:szCs w:val="19"/>
              </w:rPr>
            </w:pPr>
            <w:r w:rsidRPr="00B32B81">
              <w:rPr>
                <w:color w:val="FFFFFF"/>
                <w:sz w:val="18"/>
                <w:szCs w:val="19"/>
              </w:rPr>
              <w:t>[a] The samples provided at least 85/15 precision/confidence.</w:t>
            </w:r>
          </w:p>
        </w:tc>
      </w:tr>
    </w:tbl>
    <w:p w:rsidR="0036185D" w:rsidRPr="0036185D" w:rsidRDefault="0036185D" w:rsidP="0036185D"/>
    <w:p w:rsidR="00950837" w:rsidRDefault="00950837" w:rsidP="000D3563">
      <w:pPr>
        <w:pStyle w:val="AppendixAHeading2"/>
      </w:pPr>
      <w:r>
        <w:t>Statewide Evaluator Final Recommendations</w:t>
      </w:r>
    </w:p>
    <w:p w:rsidR="00950837" w:rsidRDefault="0080329E" w:rsidP="0036185D">
      <w:pPr>
        <w:spacing w:after="120"/>
      </w:pPr>
      <w:r>
        <w:t>The SWE Team has the following seven recommendations for PPL’s consideration.</w:t>
      </w:r>
    </w:p>
    <w:p w:rsidR="0080329E" w:rsidRPr="0036185D" w:rsidRDefault="0080329E" w:rsidP="00E646C9">
      <w:pPr>
        <w:pStyle w:val="ListParagraph"/>
        <w:numPr>
          <w:ilvl w:val="0"/>
          <w:numId w:val="97"/>
        </w:numPr>
        <w:spacing w:after="120"/>
        <w:ind w:left="360"/>
        <w:contextualSpacing w:val="0"/>
      </w:pPr>
      <w:bookmarkStart w:id="1404" w:name="_Toc405557134"/>
      <w:bookmarkStart w:id="1405" w:name="_Ref296084909"/>
      <w:bookmarkStart w:id="1406" w:name="_Ref310273879"/>
      <w:bookmarkEnd w:id="496"/>
      <w:r w:rsidRPr="0036185D">
        <w:t>For residential product programs, the SWE recommends that PPL consider implementing an online model number look-up mechanism for customers, including incentive levels, to minimize confusion when tiered rebates are offered for the same type of appliance.</w:t>
      </w:r>
    </w:p>
    <w:p w:rsidR="0080329E" w:rsidRPr="0036185D" w:rsidRDefault="0080329E" w:rsidP="00E646C9">
      <w:pPr>
        <w:pStyle w:val="ListParagraph"/>
        <w:numPr>
          <w:ilvl w:val="0"/>
          <w:numId w:val="97"/>
        </w:numPr>
        <w:spacing w:after="120"/>
        <w:ind w:left="360"/>
        <w:contextualSpacing w:val="0"/>
      </w:pPr>
      <w:r w:rsidRPr="0036185D">
        <w:t>The SWE recommends that PPL investigate the feasibility of using product placement as a lower-cost mechanism for generating sales lift for residential product programs.</w:t>
      </w:r>
    </w:p>
    <w:p w:rsidR="0080329E" w:rsidRPr="0036185D" w:rsidRDefault="0080329E" w:rsidP="00E646C9">
      <w:pPr>
        <w:pStyle w:val="ListParagraph"/>
        <w:numPr>
          <w:ilvl w:val="0"/>
          <w:numId w:val="97"/>
        </w:numPr>
        <w:spacing w:after="120"/>
        <w:ind w:left="360"/>
        <w:contextualSpacing w:val="0"/>
      </w:pPr>
      <w:r w:rsidRPr="0036185D">
        <w:t>The SWE recommends that consideration be given to expanding the De Facto Heating participant group as much as possible to improve available evaluation data.</w:t>
      </w:r>
    </w:p>
    <w:p w:rsidR="0080329E" w:rsidRPr="0036185D" w:rsidRDefault="0080329E" w:rsidP="00E646C9">
      <w:pPr>
        <w:pStyle w:val="ListParagraph"/>
        <w:numPr>
          <w:ilvl w:val="0"/>
          <w:numId w:val="97"/>
        </w:numPr>
        <w:spacing w:after="120"/>
        <w:ind w:left="360"/>
        <w:contextualSpacing w:val="0"/>
      </w:pPr>
      <w:r w:rsidRPr="0036185D">
        <w:t>The SWE recommends that PPL consider an LED lighting sales survey in the next available program year to update the 2015 survey data used for cross-sector sales analysis.</w:t>
      </w:r>
    </w:p>
    <w:p w:rsidR="0080329E" w:rsidRPr="0036185D" w:rsidRDefault="0080329E" w:rsidP="00E646C9">
      <w:pPr>
        <w:pStyle w:val="ListParagraph"/>
        <w:numPr>
          <w:ilvl w:val="0"/>
          <w:numId w:val="97"/>
        </w:numPr>
        <w:spacing w:after="120"/>
        <w:ind w:left="360"/>
        <w:contextualSpacing w:val="0"/>
      </w:pPr>
      <w:r w:rsidRPr="0036185D">
        <w:t>For non-residential product programs, the SWE recommends that PPL consider incorporating a way for applicants to track the status of their application online.</w:t>
      </w:r>
    </w:p>
    <w:p w:rsidR="0080329E" w:rsidRPr="0036185D" w:rsidRDefault="0080329E" w:rsidP="00E646C9">
      <w:pPr>
        <w:pStyle w:val="ListParagraph"/>
        <w:numPr>
          <w:ilvl w:val="0"/>
          <w:numId w:val="97"/>
        </w:numPr>
        <w:spacing w:after="120"/>
        <w:ind w:left="360"/>
        <w:contextualSpacing w:val="0"/>
      </w:pPr>
      <w:r w:rsidRPr="0036185D">
        <w:t>For certain non-residential programs, alert customers and trade allies at the beginning of the year that a wait list may occur in the future, by posting information on the website explaining why a wait list was implemented and when it is expected to be removed.</w:t>
      </w:r>
    </w:p>
    <w:p w:rsidR="0080329E" w:rsidRPr="0036185D" w:rsidRDefault="0080329E" w:rsidP="00E646C9">
      <w:pPr>
        <w:pStyle w:val="ListParagraph"/>
        <w:numPr>
          <w:ilvl w:val="0"/>
          <w:numId w:val="97"/>
        </w:numPr>
        <w:ind w:left="360"/>
      </w:pPr>
      <w:r w:rsidRPr="0036185D">
        <w:t>For all programs, the SWE recommends that PPL consider improving the application process by providing examples of completed applications on the website and providing a contact to answer questions.</w:t>
      </w:r>
    </w:p>
    <w:p w:rsidR="002170F7" w:rsidRDefault="002170F7" w:rsidP="009F192C"/>
    <w:p w:rsidR="00656920" w:rsidRDefault="00656920" w:rsidP="009F192C"/>
    <w:p w:rsidR="00656920" w:rsidRDefault="00656920" w:rsidP="00656920">
      <w:r>
        <w:br w:type="page"/>
      </w:r>
    </w:p>
    <w:p w:rsidR="00656920" w:rsidRPr="00E45861" w:rsidRDefault="00656920" w:rsidP="00B32B81">
      <w:pPr>
        <w:pStyle w:val="Heading1"/>
        <w:numPr>
          <w:ilvl w:val="0"/>
          <w:numId w:val="0"/>
        </w:numPr>
      </w:pPr>
      <w:bookmarkStart w:id="1407" w:name="_Ref471459754"/>
      <w:bookmarkStart w:id="1408" w:name="_Toc472472147"/>
      <w:bookmarkStart w:id="1409" w:name="_Toc488765840"/>
      <w:r w:rsidRPr="00D613BE">
        <w:rPr>
          <w:rFonts w:ascii="Broadway" w:hAnsi="Broadway"/>
          <w:sz w:val="32"/>
        </w:rPr>
        <w:t>Appendix B</w:t>
      </w:r>
      <w:r w:rsidRPr="00E45861">
        <w:t>| PY7 Process Evaluation Findings by EDC</w:t>
      </w:r>
      <w:bookmarkEnd w:id="1407"/>
      <w:bookmarkEnd w:id="1408"/>
      <w:bookmarkEnd w:id="1409"/>
    </w:p>
    <w:p w:rsidR="002E051C" w:rsidRDefault="002E051C" w:rsidP="002E051C">
      <w:r w:rsidRPr="002E051C">
        <w:t>This appendix provides details on the SWE Team’s audits of the EDCs’ process evaluations. The process evaluation audits examined whether the EDCs’ evaluation contractors completed the tasks in the evaluation plan, used an adequate sampling approach, included required elements per the report template in the annual report (methods, findings, conclusions, and recommendations), and provided actionable recommendations supported by findings or conclusions. The SWE Team’s scope did not include a detailed listing of all possible ways in which the evaluations could have been improved; however, it did identify some places where a more detailed analysis might prove valuable.</w:t>
      </w:r>
    </w:p>
    <w:p w:rsidR="00C57537" w:rsidRDefault="00C57537" w:rsidP="002E051C"/>
    <w:p w:rsidR="002E051C" w:rsidRPr="00D613BE" w:rsidRDefault="002E051C" w:rsidP="00D613BE">
      <w:pPr>
        <w:pStyle w:val="AppendixBHeading1"/>
      </w:pPr>
      <w:bookmarkStart w:id="1410" w:name="_Ref473273308"/>
      <w:r w:rsidRPr="00D613BE">
        <w:t>Duquesne Light Company</w:t>
      </w:r>
      <w:bookmarkEnd w:id="1410"/>
    </w:p>
    <w:p w:rsidR="002E051C" w:rsidRPr="002E051C" w:rsidRDefault="002E051C" w:rsidP="00D613BE">
      <w:pPr>
        <w:pStyle w:val="AppendixBHeading2"/>
      </w:pPr>
      <w:r w:rsidRPr="00D613BE">
        <w:t>Residential</w:t>
      </w:r>
      <w:r w:rsidRPr="002E051C">
        <w:t xml:space="preserve"> Programs</w:t>
      </w:r>
    </w:p>
    <w:p w:rsidR="002E051C" w:rsidRPr="002E051C" w:rsidRDefault="00391C32" w:rsidP="002E051C">
      <w:r w:rsidRPr="002E051C">
        <w:t xml:space="preserve">Navigant provided process evaluations for six residential programs: </w:t>
      </w:r>
      <w:r w:rsidR="00AE6AD9" w:rsidRPr="002E051C">
        <w:t>The</w:t>
      </w:r>
      <w:r w:rsidRPr="002E051C">
        <w:t xml:space="preserve"> Residential Energy Efficiency Program (REEP), Residential Appliance Recycling Program (RARP), School Energy Pledge Program (SEP), Whole House Energy Audit Program (WHEAP), H</w:t>
      </w:r>
      <w:r>
        <w:t>ome Energy Reports (HER) P</w:t>
      </w:r>
      <w:r w:rsidRPr="002E051C">
        <w:t>rogram, and Low-income Energy Efficiency Program (LIEEP).</w:t>
      </w:r>
      <w:r w:rsidR="002E051C" w:rsidRPr="002E051C">
        <w:t xml:space="preserve"> </w:t>
      </w:r>
    </w:p>
    <w:p w:rsidR="002E051C" w:rsidRPr="002E051C" w:rsidRDefault="002E051C" w:rsidP="002E051C"/>
    <w:p w:rsidR="002E051C" w:rsidRPr="002E051C" w:rsidRDefault="002E051C" w:rsidP="002E051C">
      <w:r w:rsidRPr="002E051C">
        <w:t xml:space="preserve">For the PY7 process evaluation of the above programs, Navigant reviewed program documents, including program websites, interviewed the residential program coordinator and HER manager, developed logic models, reviewed the program tracking system, and surveyed program participants. </w:t>
      </w:r>
    </w:p>
    <w:p w:rsidR="002E051C" w:rsidRPr="002E051C" w:rsidRDefault="002E051C" w:rsidP="002E051C"/>
    <w:p w:rsidR="002E051C" w:rsidRPr="002E051C" w:rsidRDefault="002E051C" w:rsidP="00AE6AD9">
      <w:pPr>
        <w:spacing w:after="120"/>
      </w:pPr>
      <w:r w:rsidRPr="002E051C">
        <w:t>For each program, the SWE provides a brief program description, summary of the process evaluation findings, and summary of the SWE’s audit of the findings. The SWE Team notes two general comments about the findings, conclusions, and recommendations for the process evaluations of Duquesne’s programs:</w:t>
      </w:r>
    </w:p>
    <w:p w:rsidR="002E051C" w:rsidRPr="002E051C" w:rsidRDefault="002E051C" w:rsidP="00E646C9">
      <w:pPr>
        <w:numPr>
          <w:ilvl w:val="0"/>
          <w:numId w:val="98"/>
        </w:numPr>
        <w:ind w:left="360"/>
        <w:contextualSpacing/>
        <w:rPr>
          <w:szCs w:val="20"/>
        </w:rPr>
      </w:pPr>
      <w:r w:rsidRPr="002E051C">
        <w:rPr>
          <w:szCs w:val="20"/>
        </w:rPr>
        <w:t xml:space="preserve">When pointing out differences between groups such as a difference between market-rate and low-income respondents, Navigant did not provide statistical significance. Therefore, in several cases it is not clear if the differences seen fall within the bounds of what would be expected. For example, Navigant stated </w:t>
      </w:r>
      <w:r w:rsidR="00391C32">
        <w:rPr>
          <w:szCs w:val="20"/>
        </w:rPr>
        <w:t xml:space="preserve">that </w:t>
      </w:r>
      <w:r w:rsidRPr="002E051C">
        <w:rPr>
          <w:szCs w:val="20"/>
        </w:rPr>
        <w:t>market-rate HER recipients were more likely to recall the number of reports received than</w:t>
      </w:r>
      <w:r w:rsidR="00391C32">
        <w:rPr>
          <w:szCs w:val="20"/>
        </w:rPr>
        <w:t xml:space="preserve"> were</w:t>
      </w:r>
      <w:r w:rsidRPr="002E051C">
        <w:rPr>
          <w:szCs w:val="20"/>
        </w:rPr>
        <w:t xml:space="preserve"> their low-income counterparts. However, statistical significance was not reported, so the reader does not know if the difference should be highlighted or not.</w:t>
      </w:r>
    </w:p>
    <w:p w:rsidR="002E051C" w:rsidRPr="002E051C" w:rsidRDefault="002E051C" w:rsidP="00E646C9">
      <w:pPr>
        <w:numPr>
          <w:ilvl w:val="0"/>
          <w:numId w:val="98"/>
        </w:numPr>
        <w:ind w:left="360"/>
        <w:contextualSpacing/>
        <w:rPr>
          <w:szCs w:val="20"/>
        </w:rPr>
      </w:pPr>
      <w:r w:rsidRPr="002E051C">
        <w:rPr>
          <w:szCs w:val="20"/>
        </w:rPr>
        <w:t xml:space="preserve">Throughout the report, Navigant uses means to report satisfaction and influence responses to scale questions. For example, Table 9 provides mean satisfaction scores, on a 5-point scale, across six program aspects. However, the sample size is small (15) and seemingly applies only to PY7, not PY5 and PY6, which are also displayed. Furthermore, providing means of 5-point scales is not as helpful to the reader as showing the range of responses, as was done in Figure 22. It is particularly helpful to show the ranges when the narrative discusses details about respondents who were dissatisfied. Providing the range of responses allows the reader to see how many respondents were dissatisfied, as opposed to trying to figure out how many were dissatisfied. </w:t>
      </w:r>
    </w:p>
    <w:p w:rsidR="002E051C" w:rsidRPr="002E051C" w:rsidRDefault="002E051C" w:rsidP="002E051C"/>
    <w:p w:rsidR="002E051C" w:rsidRPr="002E051C" w:rsidRDefault="002E051C" w:rsidP="00D613BE">
      <w:pPr>
        <w:pStyle w:val="AppendixBHeading3"/>
      </w:pPr>
      <w:r w:rsidRPr="002E051C">
        <w:t>Residential Energy Efficiency Program (REEP)</w:t>
      </w:r>
    </w:p>
    <w:p w:rsidR="002E051C" w:rsidRPr="004A3606" w:rsidRDefault="002E051C" w:rsidP="00D613BE">
      <w:pPr>
        <w:pStyle w:val="AppendixBHeading4"/>
      </w:pPr>
      <w:r w:rsidRPr="004A3606">
        <w:t>Brief Overview of the Program and Its Success</w:t>
      </w:r>
    </w:p>
    <w:p w:rsidR="002E051C" w:rsidRPr="002E051C" w:rsidRDefault="002E051C" w:rsidP="002E051C">
      <w:r w:rsidRPr="002E051C">
        <w:t xml:space="preserve">The REEP was largely unchanged in PY7 compared with PY6. The program attempts to achieve residential energy savings through rebates on energy efficient equipment, upstream incentives on efficient lighting, and distribution of kits containing free energy efficient equipment (CFL and LED lighting and smart power strips) to customers who complete an online energy audit or attend an event sponsored by one of several cooperating organizations (program outreach partners). As in PY6 and PY5, REEP exceeded savings goals for less than budgeted. In PY7 the program achieved 103% of its energy savings goals and spent 86% of its targeted budget. </w:t>
      </w:r>
    </w:p>
    <w:p w:rsidR="002E051C" w:rsidRPr="002E051C" w:rsidRDefault="002E051C" w:rsidP="002E051C"/>
    <w:p w:rsidR="002E051C" w:rsidRPr="00D613BE" w:rsidRDefault="002E051C" w:rsidP="00D613BE">
      <w:pPr>
        <w:pStyle w:val="AppendixBHeading4"/>
      </w:pPr>
      <w:r w:rsidRPr="00D613BE">
        <w:t>Summary of the Process Evaluation Findings</w:t>
      </w:r>
    </w:p>
    <w:p w:rsidR="002E051C" w:rsidRPr="002E051C" w:rsidRDefault="002E051C" w:rsidP="002E051C">
      <w:r w:rsidRPr="002E051C">
        <w:t xml:space="preserve">Navigant reviewed the June 1, 2015 to May 31, 2016 TRM and program materials and surveyed 59 rebate participants (55 market-rate, 4 low-income) and 15 kits participants, for 74 surveyed participants. These 74 respondents also informed the impact analysis. </w:t>
      </w:r>
    </w:p>
    <w:p w:rsidR="002E051C" w:rsidRPr="002E051C" w:rsidRDefault="002E051C" w:rsidP="002E051C"/>
    <w:p w:rsidR="002E051C" w:rsidRPr="00B32B81" w:rsidRDefault="002E051C" w:rsidP="00B32B81">
      <w:pPr>
        <w:pStyle w:val="AppendixBHeading5"/>
      </w:pPr>
      <w:r w:rsidRPr="00B32B81">
        <w:t>Rebate Participants</w:t>
      </w:r>
    </w:p>
    <w:p w:rsidR="002E051C" w:rsidRPr="002E051C" w:rsidRDefault="002E051C" w:rsidP="002E051C">
      <w:r w:rsidRPr="002E051C">
        <w:t xml:space="preserve">As in PY6, Navigant reported that rebate participants most commonly learned about the rebates online, at retail stores, or from contractors. Events and online information were the two sources of information reported to be the most influential by participants. It was unclear why n=55 in Figure 2, where the source of awareness is provided, and n=59 in Table 6, where the influence of each source is reported. </w:t>
      </w:r>
    </w:p>
    <w:p w:rsidR="002E051C" w:rsidRPr="002E051C" w:rsidRDefault="002E051C" w:rsidP="002E051C"/>
    <w:p w:rsidR="002E051C" w:rsidRPr="002E051C" w:rsidRDefault="002E051C" w:rsidP="002E051C">
      <w:r w:rsidRPr="002E051C">
        <w:t xml:space="preserve">Participants were generally satisfied with the program. Of the seven program aspects that respondents rated on a 1-to-5 satisfaction scale, the mean score increased in PY7 compared with PY6. Two program aspects received slightly lower mean scores in PY7 compared with PY6, and one did not change. </w:t>
      </w:r>
    </w:p>
    <w:p w:rsidR="002E051C" w:rsidRPr="002E051C" w:rsidRDefault="002E051C" w:rsidP="002E051C"/>
    <w:p w:rsidR="002E051C" w:rsidRPr="002E051C" w:rsidRDefault="002E051C" w:rsidP="002E051C">
      <w:r w:rsidRPr="002E051C">
        <w:t xml:space="preserve">For any respondents reporting a 3 or lower satisfaction score, Navigant asked the respondents about their dissatisfaction and provided five statements that captured the reasons for dissatisfaction. However, it was not clear how many respondents were dissatisfied with each of the statements. For example, in one case Navigant reported “Respondents would prefer to make fewer calls than was necessary to </w:t>
      </w:r>
      <w:r w:rsidR="003C4C90" w:rsidRPr="002E051C">
        <w:t>Duquesne to</w:t>
      </w:r>
      <w:r w:rsidRPr="002E051C">
        <w:t xml:space="preserve"> fulfill their rebate or accept their application,” but in another statement, Navigant reported that “one respondent indicated he or she had still not received their rebate.” It would help the reader to know how many respondents expressed dissatisfaction with each element.  </w:t>
      </w:r>
    </w:p>
    <w:p w:rsidR="002E051C" w:rsidRPr="002E051C" w:rsidRDefault="002E051C" w:rsidP="002E051C"/>
    <w:p w:rsidR="002E051C" w:rsidRPr="002E051C" w:rsidRDefault="002E051C" w:rsidP="00B32B81">
      <w:pPr>
        <w:pStyle w:val="AppendixBHeading5"/>
      </w:pPr>
      <w:r w:rsidRPr="002E051C">
        <w:t>Kit Participants</w:t>
      </w:r>
    </w:p>
    <w:p w:rsidR="002E051C" w:rsidRPr="002E051C" w:rsidRDefault="002E051C" w:rsidP="002E051C">
      <w:r w:rsidRPr="002E051C">
        <w:t>PY7 customers who received energy efficiency kits (n=15) most commonly learned about the kits through online sources (8), family and friends (3), or via email (2). This differed from PY6, when online sources were noted by only 15% of respondents. The influences of each source of information were rated similarly by respondents. The mean scores ranged from 3 to 4, and as noted above, using means of rating values is somewhat problematic.</w:t>
      </w:r>
    </w:p>
    <w:p w:rsidR="002E051C" w:rsidRPr="002E051C" w:rsidRDefault="002E051C" w:rsidP="002E051C"/>
    <w:p w:rsidR="002E051C" w:rsidRPr="002E051C" w:rsidRDefault="002E051C" w:rsidP="00AE6AD9">
      <w:pPr>
        <w:spacing w:after="120"/>
      </w:pPr>
      <w:r w:rsidRPr="002E051C">
        <w:t>Satisfaction generally was high; participants rated the products’ energy savings lower than other program aspects. Most participants indicated they likely would recommend the program to others; the average likelihood rating in PY7 was higher than in PY6 (4.2 versus 4.4), with no respondents indicating they would be “very unlikely” or “extremely unlikely” to r</w:t>
      </w:r>
      <w:r w:rsidR="00AE6AD9">
        <w:t xml:space="preserve">ecommend the program to others. </w:t>
      </w:r>
      <w:r w:rsidRPr="002E051C">
        <w:t>Participants’ recommendations on how to improve the program were diverse. Respondents made the following recommendations for the kits:</w:t>
      </w:r>
    </w:p>
    <w:p w:rsidR="002E051C" w:rsidRPr="00AE6AD9" w:rsidRDefault="002E051C" w:rsidP="00E646C9">
      <w:pPr>
        <w:pStyle w:val="ListParagraph"/>
        <w:numPr>
          <w:ilvl w:val="0"/>
          <w:numId w:val="99"/>
        </w:numPr>
        <w:ind w:left="360"/>
        <w:rPr>
          <w:rFonts w:eastAsia="Calibri"/>
        </w:rPr>
      </w:pPr>
      <w:r w:rsidRPr="00AE6AD9">
        <w:rPr>
          <w:rFonts w:eastAsia="Calibri"/>
        </w:rPr>
        <w:t>Market kits through TV and print materials (2)</w:t>
      </w:r>
    </w:p>
    <w:p w:rsidR="002E051C" w:rsidRPr="00AE6AD9" w:rsidRDefault="002E051C" w:rsidP="00E646C9">
      <w:pPr>
        <w:pStyle w:val="ListParagraph"/>
        <w:numPr>
          <w:ilvl w:val="0"/>
          <w:numId w:val="99"/>
        </w:numPr>
        <w:ind w:left="360"/>
        <w:rPr>
          <w:rFonts w:eastAsia="Calibri"/>
        </w:rPr>
      </w:pPr>
      <w:r w:rsidRPr="00AE6AD9">
        <w:rPr>
          <w:rFonts w:eastAsia="Calibri"/>
        </w:rPr>
        <w:t>Provide a brighter nightlight (2)</w:t>
      </w:r>
    </w:p>
    <w:p w:rsidR="002E051C" w:rsidRPr="00AE6AD9" w:rsidRDefault="002E051C" w:rsidP="00E646C9">
      <w:pPr>
        <w:pStyle w:val="ListParagraph"/>
        <w:numPr>
          <w:ilvl w:val="0"/>
          <w:numId w:val="99"/>
        </w:numPr>
        <w:ind w:left="360"/>
        <w:rPr>
          <w:rFonts w:eastAsia="Calibri"/>
        </w:rPr>
      </w:pPr>
      <w:r w:rsidRPr="00AE6AD9">
        <w:rPr>
          <w:rFonts w:eastAsia="Calibri"/>
        </w:rPr>
        <w:t>Provide more energy efficiency tips (2)</w:t>
      </w:r>
    </w:p>
    <w:p w:rsidR="002E051C" w:rsidRPr="00AE6AD9" w:rsidRDefault="002E051C" w:rsidP="00E646C9">
      <w:pPr>
        <w:pStyle w:val="ListParagraph"/>
        <w:numPr>
          <w:ilvl w:val="0"/>
          <w:numId w:val="99"/>
        </w:numPr>
        <w:ind w:left="360"/>
        <w:rPr>
          <w:rFonts w:eastAsia="Calibri"/>
        </w:rPr>
      </w:pPr>
      <w:r w:rsidRPr="00AE6AD9">
        <w:rPr>
          <w:rFonts w:eastAsia="Calibri"/>
        </w:rPr>
        <w:t>Offer more products in kits (2)</w:t>
      </w:r>
    </w:p>
    <w:p w:rsidR="002E051C" w:rsidRDefault="002E051C" w:rsidP="00E646C9">
      <w:pPr>
        <w:pStyle w:val="ListParagraph"/>
        <w:numPr>
          <w:ilvl w:val="0"/>
          <w:numId w:val="99"/>
        </w:numPr>
        <w:ind w:left="360"/>
        <w:rPr>
          <w:rFonts w:eastAsia="Calibri"/>
        </w:rPr>
      </w:pPr>
      <w:r w:rsidRPr="00AE6AD9">
        <w:rPr>
          <w:rFonts w:eastAsia="Calibri"/>
        </w:rPr>
        <w:t>Provide more information about products (2)</w:t>
      </w:r>
    </w:p>
    <w:p w:rsidR="00D613BE" w:rsidRDefault="00D613BE" w:rsidP="00D613BE">
      <w:pPr>
        <w:rPr>
          <w:rFonts w:eastAsia="Calibri"/>
        </w:rPr>
      </w:pPr>
    </w:p>
    <w:p w:rsidR="00B32B81" w:rsidRDefault="00B32B81" w:rsidP="00D613BE">
      <w:pPr>
        <w:rPr>
          <w:rFonts w:eastAsia="Calibri"/>
        </w:rPr>
      </w:pPr>
    </w:p>
    <w:p w:rsidR="00B32B81" w:rsidRPr="00D613BE" w:rsidRDefault="00B32B81" w:rsidP="00D613BE">
      <w:pPr>
        <w:rPr>
          <w:rFonts w:eastAsia="Calibri"/>
        </w:rPr>
      </w:pPr>
    </w:p>
    <w:p w:rsidR="002E051C" w:rsidRPr="002E051C" w:rsidRDefault="002E051C" w:rsidP="00D613BE">
      <w:pPr>
        <w:pStyle w:val="AppendixBHeading4"/>
      </w:pPr>
      <w:r w:rsidRPr="002E051C">
        <w:t>Summary of the Process Evaluation Audit</w:t>
      </w:r>
    </w:p>
    <w:p w:rsidR="002E051C" w:rsidRPr="002E051C" w:rsidRDefault="002E051C" w:rsidP="002E051C">
      <w:r w:rsidRPr="002E051C">
        <w:t xml:space="preserve">Navigant generally summarized findings well and drew well-reasoned findings. In several places, such as Table 9, it provided data from prior evaluations, which was helpful in identifying trends over time. It could have provided this same context in graphs such as Figure 5.  </w:t>
      </w:r>
    </w:p>
    <w:p w:rsidR="002E051C" w:rsidRPr="002E051C" w:rsidRDefault="002E051C" w:rsidP="002E051C"/>
    <w:p w:rsidR="002E051C" w:rsidRPr="002E051C" w:rsidRDefault="002E051C" w:rsidP="002E051C">
      <w:r w:rsidRPr="002E051C">
        <w:t>Navigant reported means for participant satisfaction and influence ratings. Using mean rating scores and trying to draw meaningful conclusions about any observed changes is somewhat problematic due to the relatively small sample sizes. For examp</w:t>
      </w:r>
      <w:r w:rsidR="00371F39">
        <w:t xml:space="preserve">le, </w:t>
      </w:r>
      <w:r w:rsidRPr="002E051C">
        <w:t xml:space="preserve">n ranged from 1 to 17 for the influence that each source of awareness had on rebate recipients. Reporting the mean can be acceptable with large sample sizes, but when sample sizes are small, reporting the distribution of scores can provide a more accurate description of responses. </w:t>
      </w:r>
    </w:p>
    <w:p w:rsidR="002E051C" w:rsidRPr="002E051C" w:rsidRDefault="002E051C" w:rsidP="002E051C"/>
    <w:p w:rsidR="002E051C" w:rsidRPr="002E051C" w:rsidRDefault="002E051C" w:rsidP="002E051C">
      <w:r w:rsidRPr="002E051C">
        <w:t>Additionally, it would be helpful if the evaluation contractor consistently provided the number of respondents that reported specifics regarding their dissatisfaction with the rebate program. Providing numbers would give the reader some insight into the scale of the dissatisfaction.</w:t>
      </w:r>
    </w:p>
    <w:p w:rsidR="002E051C" w:rsidRPr="002E051C" w:rsidRDefault="002E051C" w:rsidP="002E051C"/>
    <w:p w:rsidR="002E051C" w:rsidRPr="002E051C" w:rsidRDefault="002E051C" w:rsidP="00D613BE">
      <w:pPr>
        <w:pStyle w:val="AppendixBHeading3"/>
      </w:pPr>
      <w:r w:rsidRPr="002E051C">
        <w:t xml:space="preserve">Residential Appliance Recycling Program (RARP) </w:t>
      </w:r>
    </w:p>
    <w:p w:rsidR="002E051C" w:rsidRPr="002E051C" w:rsidRDefault="002E051C" w:rsidP="00D613BE">
      <w:pPr>
        <w:pStyle w:val="AppendixBHeading4"/>
      </w:pPr>
      <w:bookmarkStart w:id="1411" w:name="_Ref408233322"/>
      <w:r w:rsidRPr="002E051C">
        <w:t>Brief Overview of the Program and Its Success</w:t>
      </w:r>
      <w:bookmarkEnd w:id="1411"/>
    </w:p>
    <w:p w:rsidR="002E051C" w:rsidRPr="002E051C" w:rsidRDefault="002E051C" w:rsidP="002E051C">
      <w:r w:rsidRPr="002E051C">
        <w:t xml:space="preserve">The RARP seeks to produce residential-sector demand reduction and annual energy savings by removing operable and inefficient primary and secondary refrigerators and freezers from the power grid in an environmentally safe manner. RARP offers a $35 incentive for eligible refrigerators and freezers. The program used the same implementation contractor (JACO) as did the other appliance recycling programs across Pennsylvania in the beginning of PY7. However, JACO went out of business in PY7, resulting in administrative problems for Duquesne. The utility had to contact potentially affected customers and ensure that they received their incentive checks. According to Navigant, customers reported that Duquesne handled the issue well. According to the program website, Duquesne eventually contracted with ARCO to administer the program. </w:t>
      </w:r>
    </w:p>
    <w:p w:rsidR="002E051C" w:rsidRPr="002E051C" w:rsidRDefault="002E051C" w:rsidP="002E051C"/>
    <w:p w:rsidR="002E051C" w:rsidRPr="002E051C" w:rsidRDefault="002E051C" w:rsidP="002E051C">
      <w:r w:rsidRPr="002E051C">
        <w:t>The RARP collaborates with other Duquesne programs such as the LIEEP and the Public Agency Partnership Program (PAPP). The RARP achieved 115% of its PY7 gross savings goals, spending 253% of its planned budget; however, Navigant reported that the planned budget understated RARP implementation costs. These costs will be adjusted in Phase III.</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2E051C">
      <w:r w:rsidRPr="002E051C">
        <w:t>Navigant reviewed the TRM and program materials and surveyed 109 RARP participants in PY7 about their awareness and satisfaction with the program.</w:t>
      </w:r>
    </w:p>
    <w:p w:rsidR="002E051C" w:rsidRPr="002E051C" w:rsidRDefault="002E051C" w:rsidP="002E051C"/>
    <w:p w:rsidR="002E051C" w:rsidRPr="002E051C" w:rsidRDefault="002E051C" w:rsidP="002E051C">
      <w:r w:rsidRPr="002E051C">
        <w:t>The most commonly cited ways that participants first heard about the program was through family or friends (25%), TV (18%), and bill inserts (16%). The remaining 41% of participants first learned about the program through one of seven other methods. Respondents also reported on all sources from which they heard about the program. Family or friends (32%), bill inserts (27%), and TV (23%) were the most commonly cited.</w:t>
      </w:r>
    </w:p>
    <w:p w:rsidR="002E051C" w:rsidRPr="002E051C" w:rsidRDefault="002E051C" w:rsidP="002E051C"/>
    <w:p w:rsidR="002E051C" w:rsidRPr="002E051C" w:rsidRDefault="002E051C" w:rsidP="002E051C">
      <w:r w:rsidRPr="002E051C">
        <w:t>Similar to what was found in PY6, participants noted high program satisfaction with most program aspects. However, in PY7 the “time it took to receive the incentive” received the lowest mean score in Phase II. In PY7 the mean score was 3.6, compared with 4.4 and 4.3 in PY6 and PY5, respectively. Navigant noted that the lower score in PY7 was likely a result of the turmoil caused by JACO’s exit from the program.</w:t>
      </w:r>
    </w:p>
    <w:p w:rsidR="002E051C" w:rsidRPr="002E051C" w:rsidRDefault="002E051C" w:rsidP="002E051C">
      <w:r w:rsidRPr="002E051C">
        <w:t xml:space="preserve">Of the entire sample (n=111), more than half of the respondents (54%) had no suggestions for program improvement. The remaining 46% reported ways the program could be improved. Of the whole sample, and consistent with the problems experienced by JACO’s exit, the most commonly cited problem was slow rebate processing (18%), followed by the low amounts of program advertising (14%) and low incentive amounts (10%). </w:t>
      </w:r>
    </w:p>
    <w:p w:rsidR="002E051C" w:rsidRPr="002E051C" w:rsidRDefault="002E051C" w:rsidP="002E051C"/>
    <w:p w:rsidR="002E051C" w:rsidRPr="002E051C" w:rsidRDefault="002E051C" w:rsidP="002E051C">
      <w:r w:rsidRPr="002E051C">
        <w:t>Respondents chose to participate largely because of the cash incentive (53%) and the convenience of participating (29%). Far fewer respondents elected to participate for other reasons. While the incentive was the reason they chose to participate, participants reported, on average, that the convenience of picking up the old appliance, the free pickup, and the recycling of the old appliance were slightly higher influences than the incentive (mean scores of 4.1, 4.0, and 4.0 compared with 3.6).</w:t>
      </w:r>
    </w:p>
    <w:p w:rsidR="002E051C" w:rsidRPr="002E051C" w:rsidRDefault="002E051C" w:rsidP="002E051C"/>
    <w:p w:rsidR="002E051C" w:rsidRPr="002E051C" w:rsidRDefault="002E051C" w:rsidP="00D613BE">
      <w:pPr>
        <w:pStyle w:val="AppendixBHeading4"/>
      </w:pPr>
      <w:r w:rsidRPr="002E051C">
        <w:t>Summary of the Process Evaluation Audit</w:t>
      </w:r>
    </w:p>
    <w:p w:rsidR="002E051C" w:rsidRPr="002E051C" w:rsidRDefault="00037885" w:rsidP="002E051C">
      <w:r w:rsidRPr="00C52A0B">
        <w:t xml:space="preserve">Navigant generally summarized findings well and drew well-reasoned findings. The reporting of sample sizes was not always clear, as different sample sizes were reported in different graphs and tables in the residential process evaluation report. For example, while the </w:t>
      </w:r>
      <w:r w:rsidR="00553869">
        <w:t xml:space="preserve">Duquesne </w:t>
      </w:r>
      <w:r w:rsidR="003321D4">
        <w:t>a</w:t>
      </w:r>
      <w:r w:rsidRPr="00C52A0B">
        <w:t xml:space="preserve">nnual </w:t>
      </w:r>
      <w:r w:rsidR="003321D4">
        <w:t>r</w:t>
      </w:r>
      <w:r w:rsidRPr="00C52A0B">
        <w:t xml:space="preserve">eport for PY7 reports an achieved process evaluation sample of 109 RARP participants, Figure 10 of the process evaluation report (RARP Participant Reasons for Participating) reports an </w:t>
      </w:r>
      <w:r w:rsidRPr="00C52A0B">
        <w:rPr>
          <w:i/>
        </w:rPr>
        <w:t xml:space="preserve">n </w:t>
      </w:r>
      <w:r w:rsidRPr="00C52A0B">
        <w:t xml:space="preserve">of 135. The reader assumes the </w:t>
      </w:r>
      <w:r w:rsidRPr="00C52A0B">
        <w:rPr>
          <w:i/>
        </w:rPr>
        <w:t xml:space="preserve">n </w:t>
      </w:r>
      <w:r w:rsidRPr="00C52A0B">
        <w:t>for</w:t>
      </w:r>
      <w:r w:rsidRPr="00C52A0B">
        <w:rPr>
          <w:i/>
        </w:rPr>
        <w:t xml:space="preserve"> </w:t>
      </w:r>
      <w:r w:rsidRPr="00C52A0B">
        <w:t>Figure 10 is number of responses rather than number of respondents, but the report does not make that clear.</w:t>
      </w:r>
    </w:p>
    <w:p w:rsidR="002E051C" w:rsidRPr="002E051C" w:rsidRDefault="002E051C" w:rsidP="002E051C"/>
    <w:p w:rsidR="002E051C" w:rsidRPr="002E051C" w:rsidRDefault="002E051C" w:rsidP="002E051C">
      <w:r w:rsidRPr="002E051C">
        <w:t xml:space="preserve">As was discussed above in the REEP section, providing mean values for scale questions seems less appropriate than providing the range of responses. In cases where the sample size is larger, perhaps report the mean and the range to help the reader fully understand the data and provide the reader with a number of respondents who were dissatisfied or not influenced. </w:t>
      </w:r>
    </w:p>
    <w:p w:rsidR="002E051C" w:rsidRPr="002E051C" w:rsidRDefault="002E051C" w:rsidP="002E051C"/>
    <w:p w:rsidR="002E051C" w:rsidRPr="002E051C" w:rsidRDefault="002E051C" w:rsidP="00D613BE">
      <w:pPr>
        <w:pStyle w:val="AppendixBHeading3"/>
      </w:pPr>
      <w:r w:rsidRPr="002E051C">
        <w:t>School Energy Pledge Program (SEP)</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The SEP is designed to teach elementary students about energy efficiency through in-school assemblies and lesson materials and has not changed throughout Phase II. The program helps families save energy at home through distribution of free energy efficiency tool kits (SEP Energy Efficiency Kits), which contain energy efficiency items (four CFL bulbs, one smart strip, and two nightlights) and information about energy savings opportunities. In return for a family’s commitment to install the energy efficiency items (by completing the application and pledge form), the participating school receives an incentive of $25. The program failed to meet goals by achieving 2% of the targeted PY7 energy savings and using 32% of the budget. In PY7, the program conducted SEP at one school. SEP will be replaced in in Phase III with a program that reaches middle- and high-school students.</w:t>
      </w:r>
    </w:p>
    <w:p w:rsidR="002E051C" w:rsidRPr="002E051C" w:rsidRDefault="002E051C" w:rsidP="002E051C"/>
    <w:p w:rsidR="002E051C" w:rsidRPr="002E051C" w:rsidRDefault="002E051C" w:rsidP="00D613BE">
      <w:pPr>
        <w:pStyle w:val="AppendixBHeading4"/>
      </w:pPr>
      <w:bookmarkStart w:id="1412" w:name="_Ref408399610"/>
      <w:r w:rsidRPr="002E051C">
        <w:t>Summary of the Process Evaluation Findings</w:t>
      </w:r>
      <w:bookmarkEnd w:id="1412"/>
    </w:p>
    <w:p w:rsidR="002E051C" w:rsidRPr="002E051C" w:rsidRDefault="002E051C" w:rsidP="002E051C">
      <w:r w:rsidRPr="002E051C">
        <w:t xml:space="preserve">Navigant interviewed the program manager to understand the administration of the program and surveyed 27 program participants (14 market-rate, 13 low-income) to assess program satisfaction and NTG. </w:t>
      </w:r>
    </w:p>
    <w:p w:rsidR="002E051C" w:rsidRPr="002E051C" w:rsidRDefault="002E051C" w:rsidP="002E051C"/>
    <w:p w:rsidR="002E051C" w:rsidRPr="002E051C" w:rsidRDefault="002E051C" w:rsidP="002E051C">
      <w:r w:rsidRPr="002E051C">
        <w:t>The program manager noted that program goals had not been met because the program had reached market saturation. The program, in operation since 2009, has reached all schools and will not be revisiting schools because they do not want to provide kits to households that may have been reached via siblings during earlier presentations.</w:t>
      </w:r>
    </w:p>
    <w:p w:rsidR="002E051C" w:rsidRPr="002E051C" w:rsidRDefault="002E051C" w:rsidP="002E051C"/>
    <w:p w:rsidR="002E051C" w:rsidRPr="002E051C" w:rsidRDefault="002E051C" w:rsidP="002E051C">
      <w:r w:rsidRPr="002E051C">
        <w:t xml:space="preserve">The 27 parent participants reported high satisfaction scores. Mean scores on a 1-to-5 satisfaction scale across six program aspects ranged from 4.4 to 4.9, with the energy savings from the kits receiving the lowest mean score and the items in the kit receiving the highest mean score. Across all six program aspects, only one respondent provided a score of less than 3. That respondent was dissatisfied with Duquesne as their electricity provider did not elaborate. </w:t>
      </w:r>
    </w:p>
    <w:p w:rsidR="002E051C" w:rsidRPr="002E051C" w:rsidRDefault="002E051C" w:rsidP="002E051C"/>
    <w:p w:rsidR="002E051C" w:rsidRPr="002E051C" w:rsidRDefault="002E051C" w:rsidP="002E051C">
      <w:r w:rsidRPr="002E051C">
        <w:t xml:space="preserve">The parent participants reported a range of influences for why they elected to participate. The most commonly cited reason, the information provided by their children (7), was the most commonly cited reason in PY5 and PY6 too. Other reasons to participate in PY7 included the desire to save energy (6), the desire to reduce their bills (4), and the information sent home. </w:t>
      </w:r>
    </w:p>
    <w:p w:rsidR="002E051C" w:rsidRPr="002E051C" w:rsidRDefault="002E051C" w:rsidP="002E051C"/>
    <w:p w:rsidR="002E051C" w:rsidRPr="002E051C" w:rsidRDefault="002E051C" w:rsidP="00976114">
      <w:pPr>
        <w:spacing w:after="120"/>
      </w:pPr>
      <w:r w:rsidRPr="002E051C">
        <w:t xml:space="preserve">Eleven parent participants made the following suggestions for improving the program: </w:t>
      </w:r>
    </w:p>
    <w:p w:rsidR="002E051C" w:rsidRPr="00976114" w:rsidRDefault="002E051C" w:rsidP="00E646C9">
      <w:pPr>
        <w:pStyle w:val="ListParagraph"/>
        <w:numPr>
          <w:ilvl w:val="0"/>
          <w:numId w:val="100"/>
        </w:numPr>
        <w:ind w:left="360"/>
        <w:rPr>
          <w:rFonts w:eastAsia="Calibri"/>
        </w:rPr>
      </w:pPr>
      <w:r w:rsidRPr="00976114">
        <w:rPr>
          <w:rFonts w:eastAsia="Calibri"/>
        </w:rPr>
        <w:t>Offer more products in the kits (3)</w:t>
      </w:r>
    </w:p>
    <w:p w:rsidR="002E051C" w:rsidRPr="00976114" w:rsidRDefault="002E051C" w:rsidP="00E646C9">
      <w:pPr>
        <w:pStyle w:val="ListParagraph"/>
        <w:numPr>
          <w:ilvl w:val="0"/>
          <w:numId w:val="100"/>
        </w:numPr>
        <w:ind w:left="360"/>
        <w:rPr>
          <w:rFonts w:eastAsia="Calibri"/>
        </w:rPr>
      </w:pPr>
      <w:r w:rsidRPr="00976114">
        <w:rPr>
          <w:rFonts w:eastAsia="Calibri"/>
        </w:rPr>
        <w:t>Provide more education for the students (3)</w:t>
      </w:r>
    </w:p>
    <w:p w:rsidR="002E051C" w:rsidRPr="00976114" w:rsidRDefault="002E051C" w:rsidP="00E646C9">
      <w:pPr>
        <w:pStyle w:val="ListParagraph"/>
        <w:numPr>
          <w:ilvl w:val="0"/>
          <w:numId w:val="100"/>
        </w:numPr>
        <w:ind w:left="360"/>
        <w:rPr>
          <w:rFonts w:eastAsia="Calibri"/>
        </w:rPr>
      </w:pPr>
      <w:r w:rsidRPr="00976114">
        <w:rPr>
          <w:rFonts w:eastAsia="Calibri"/>
        </w:rPr>
        <w:t>Increase advertising (3)</w:t>
      </w:r>
    </w:p>
    <w:p w:rsidR="002E051C" w:rsidRPr="00976114" w:rsidRDefault="002E051C" w:rsidP="00E646C9">
      <w:pPr>
        <w:pStyle w:val="ListParagraph"/>
        <w:numPr>
          <w:ilvl w:val="0"/>
          <w:numId w:val="100"/>
        </w:numPr>
        <w:ind w:left="360"/>
        <w:rPr>
          <w:rFonts w:eastAsia="Calibri"/>
        </w:rPr>
      </w:pPr>
      <w:r w:rsidRPr="00976114">
        <w:rPr>
          <w:rFonts w:eastAsia="Calibri"/>
        </w:rPr>
        <w:t>Implement the program earlier in the school year (1)</w:t>
      </w:r>
    </w:p>
    <w:p w:rsidR="002E051C" w:rsidRPr="00976114" w:rsidRDefault="002E051C" w:rsidP="00E646C9">
      <w:pPr>
        <w:pStyle w:val="ListParagraph"/>
        <w:numPr>
          <w:ilvl w:val="0"/>
          <w:numId w:val="100"/>
        </w:numPr>
        <w:ind w:left="360"/>
        <w:rPr>
          <w:rFonts w:eastAsia="Calibri"/>
        </w:rPr>
      </w:pPr>
      <w:r w:rsidRPr="00976114">
        <w:rPr>
          <w:rFonts w:eastAsia="Calibri"/>
        </w:rPr>
        <w:t xml:space="preserve">Provide more energy efficiency tips (1) </w:t>
      </w:r>
    </w:p>
    <w:p w:rsidR="002E051C" w:rsidRPr="002E051C" w:rsidRDefault="002E051C" w:rsidP="002E051C"/>
    <w:p w:rsidR="002E051C" w:rsidRPr="002E051C" w:rsidRDefault="002E051C" w:rsidP="00D613BE">
      <w:pPr>
        <w:pStyle w:val="AppendixBHeading4"/>
      </w:pPr>
      <w:r w:rsidRPr="002E051C">
        <w:t>Summary of the Process Evaluation Audit</w:t>
      </w:r>
    </w:p>
    <w:p w:rsidR="002E051C" w:rsidRPr="002E051C" w:rsidRDefault="002E051C" w:rsidP="002E051C">
      <w:r w:rsidRPr="002E051C">
        <w:t xml:space="preserve">Navigant summarized findings adequately. As was discussed above in the REEP section, using mean scores for relatively small sample sizes is not as informative as knowing the distribution of scores. The dissolution of this program in Phase III makes the results of this evaluation less important. However, perhaps results from this evaluation can inform aspects of the SEP replacement. </w:t>
      </w:r>
    </w:p>
    <w:p w:rsidR="002E051C" w:rsidRPr="002E051C" w:rsidRDefault="002E051C" w:rsidP="002E051C"/>
    <w:p w:rsidR="002E051C" w:rsidRPr="002E051C" w:rsidRDefault="002E051C" w:rsidP="00D613BE">
      <w:pPr>
        <w:pStyle w:val="AppendixBHeading3"/>
      </w:pPr>
      <w:r w:rsidRPr="002E051C">
        <w:t>Whole House Energy Audit Program (WHEAP)</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 xml:space="preserve">The WHEAP, not changed since PY6, provides both comprehensive and walk-through residential home energy audits to market-rate and low-income residential customers. The program provides customers with information on potential energy efficiency upgrades for their home and educates customers on general energy efficiency practices. Auditors speak one-on-one with participating customers and provide customers with tailored findings. Low-income customers receive the audit for free, whereas market-rate customers receive the audit for $149. Where appropriate, all WHEAP participants receive installation of CFLs, energy efficiency nightlights, faucet aerators, low-flow showerheads, smart strips, and pipe wrap. </w:t>
      </w:r>
    </w:p>
    <w:p w:rsidR="002E051C" w:rsidRPr="002E051C" w:rsidRDefault="002E051C" w:rsidP="002E051C"/>
    <w:p w:rsidR="002E051C" w:rsidRPr="002E051C" w:rsidRDefault="002E051C" w:rsidP="002E051C">
      <w:r w:rsidRPr="002E051C">
        <w:t xml:space="preserve">Comprehensive audits for low-income customers are restricted to customers with electric space and water heating. If a low-income customer has gas heating, the program provides a no-cost walk-through audit. </w:t>
      </w:r>
    </w:p>
    <w:p w:rsidR="002E051C" w:rsidRPr="002E051C" w:rsidRDefault="002E051C" w:rsidP="002E051C"/>
    <w:p w:rsidR="002E051C" w:rsidRPr="002E051C" w:rsidRDefault="002E051C" w:rsidP="002E051C">
      <w:r w:rsidRPr="002E051C">
        <w:t>Savings from the program result largely from the installation of lighting measures: 97% of savings in PY7 came from lighting, up from 80% in PY6. Any savings resulting from the auditor making operational or safety improvements while on-site are not captured by the program, and any refrigerator replacements made because of auditor findings are credited to the LIEEP.</w:t>
      </w:r>
    </w:p>
    <w:p w:rsidR="002E051C" w:rsidRPr="002E051C" w:rsidRDefault="002E051C" w:rsidP="002E051C"/>
    <w:p w:rsidR="002E051C" w:rsidRPr="002E051C" w:rsidRDefault="002E051C" w:rsidP="002E051C">
      <w:r w:rsidRPr="002E051C">
        <w:t xml:space="preserve">The WHEAP achieved 11% of its savings target and spent 146% of its budget in PY7, following the same pattern identified in PY6.  </w:t>
      </w:r>
    </w:p>
    <w:p w:rsidR="002E051C" w:rsidRDefault="002E051C" w:rsidP="002E051C"/>
    <w:p w:rsidR="00B32B81" w:rsidRPr="002E051C" w:rsidRDefault="00B32B81" w:rsidP="002E051C"/>
    <w:p w:rsidR="002E051C" w:rsidRPr="002E051C" w:rsidRDefault="002E051C" w:rsidP="00D613BE">
      <w:pPr>
        <w:pStyle w:val="AppendixBHeading4"/>
      </w:pPr>
      <w:r w:rsidRPr="002E051C">
        <w:t xml:space="preserve">Summary of the Process Evaluation Findings </w:t>
      </w:r>
    </w:p>
    <w:p w:rsidR="002E051C" w:rsidRPr="002E051C" w:rsidRDefault="002E051C" w:rsidP="002E051C">
      <w:pPr>
        <w:spacing w:after="120"/>
      </w:pPr>
      <w:r w:rsidRPr="002E051C">
        <w:t>In PY7 Navigant conducted a review of program data and surveyed program participants. Navigant relied on data collected in PY6 from staff, and implementers shed light on some of the findings from their analysis of the participant survey and database. The participant survey revealed the following findings:</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 xml:space="preserve">The 22 surveyed participants (9 market-rate, 13 low-income) heard about the program from at least one of nine sources. The two most commonly cited sources of program awareness were online (5) and family or friends (5). </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Generally, respondents rated sources of program information where they interacted with a person as more influential than sources such as bill inserts and mail. Higher mean scores were noted for program sources such as family or friends, a local community agency, and interactions with program staff compared with sources such as mail and retail store information.</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Participants rated their satisfaction across eight program aspects on a 5-point satisfaction scale, and the mean scores ranged from 4.1 to 4.7, with samples sizes ranging from 17 to 22. The lowest mean scores were for the overall performance of Duquesne as an electricity provider and the energy savings resulting from the installed items. The highest mean score related to the courtesy and professionalism of the auditor. Additionally, almost all respondents indicated they would likely recommend the program to others, providing a score of 4 or 5.</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Several respondents reported dissatisfaction:</w:t>
      </w:r>
    </w:p>
    <w:p w:rsidR="002E051C" w:rsidRPr="002E051C" w:rsidRDefault="002E051C" w:rsidP="00E646C9">
      <w:pPr>
        <w:numPr>
          <w:ilvl w:val="1"/>
          <w:numId w:val="102"/>
        </w:numPr>
        <w:spacing w:after="60"/>
        <w:ind w:left="720"/>
        <w:rPr>
          <w:rFonts w:eastAsia="Calibri"/>
        </w:rPr>
      </w:pPr>
      <w:r w:rsidRPr="002E051C">
        <w:rPr>
          <w:rFonts w:eastAsia="Calibri"/>
        </w:rPr>
        <w:t xml:space="preserve">One respondent provided consistently low satisfaction scores, explaining that his auditor did not provide CFLs and did not seem knowledgeable, his energy consumption did not go down, and he would not recommend the program to others. </w:t>
      </w:r>
    </w:p>
    <w:p w:rsidR="002E051C" w:rsidRPr="002E051C" w:rsidRDefault="002E051C" w:rsidP="00E646C9">
      <w:pPr>
        <w:numPr>
          <w:ilvl w:val="1"/>
          <w:numId w:val="102"/>
        </w:numPr>
        <w:spacing w:after="60"/>
        <w:ind w:left="720"/>
        <w:rPr>
          <w:rFonts w:eastAsia="Calibri"/>
        </w:rPr>
      </w:pPr>
      <w:r w:rsidRPr="002E051C">
        <w:rPr>
          <w:rFonts w:eastAsia="Calibri"/>
        </w:rPr>
        <w:t>Two low-income respondents were dissatisfied with the size of the refrigerator they received through the LIEEP.</w:t>
      </w:r>
    </w:p>
    <w:p w:rsidR="002E051C" w:rsidRPr="002E051C" w:rsidRDefault="002E051C" w:rsidP="00E646C9">
      <w:pPr>
        <w:numPr>
          <w:ilvl w:val="1"/>
          <w:numId w:val="102"/>
        </w:numPr>
        <w:spacing w:after="60"/>
        <w:ind w:left="720"/>
        <w:rPr>
          <w:rFonts w:eastAsia="Calibri"/>
        </w:rPr>
      </w:pPr>
      <w:r w:rsidRPr="002E051C">
        <w:rPr>
          <w:rFonts w:eastAsia="Calibri"/>
        </w:rPr>
        <w:t>Two low-income respondents noted dissatisfaction with the lack of reduction in their energy bills.</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Of the 22 participants, 10 suggested five recommendations to improve the program, including increasing the scope of service (3) and improving advertising (2). One respondent each recommended providing different recommendations, more information about installed items, and replacing equipment with items of equal size and value.</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Two respondents reported installing rebated items post WHEAP participation. One added insulation, and the other purchased appliances. Program data demonstrated a similar trend. Of 138 participants (both low-income and market-rate) in PY7, 10 participated in another Duquesne program. Both of these findings were similar to PY6 findings.</w:t>
      </w:r>
    </w:p>
    <w:p w:rsidR="002E051C" w:rsidRPr="00371F39" w:rsidRDefault="002E051C" w:rsidP="00E646C9">
      <w:pPr>
        <w:pStyle w:val="ListParagraph"/>
        <w:numPr>
          <w:ilvl w:val="0"/>
          <w:numId w:val="101"/>
        </w:numPr>
        <w:ind w:left="360"/>
        <w:contextualSpacing w:val="0"/>
        <w:rPr>
          <w:rFonts w:eastAsia="Calibri"/>
        </w:rPr>
      </w:pPr>
      <w:r w:rsidRPr="00371F39">
        <w:rPr>
          <w:rFonts w:eastAsia="Calibri"/>
        </w:rPr>
        <w:t>Similar to in PY6, most participants could not recall the recommendations from their audit. Three respondents recalled recommendations for appliances.</w:t>
      </w:r>
    </w:p>
    <w:p w:rsidR="002E051C" w:rsidRPr="002E051C" w:rsidRDefault="002E051C" w:rsidP="00976114"/>
    <w:p w:rsidR="002E051C" w:rsidRPr="002E051C" w:rsidRDefault="002E051C" w:rsidP="00D613BE">
      <w:pPr>
        <w:pStyle w:val="AppendixBHeading4"/>
      </w:pPr>
      <w:r w:rsidRPr="002E051C">
        <w:t>Summary of the Process Evaluation Audit</w:t>
      </w:r>
    </w:p>
    <w:p w:rsidR="002E051C" w:rsidRPr="002E051C" w:rsidRDefault="002E051C" w:rsidP="00976114">
      <w:pPr>
        <w:spacing w:after="120"/>
      </w:pPr>
      <w:r w:rsidRPr="002E051C">
        <w:t>Navigant provided a good overview of the PY7 findings. The SWE recommends the following changes:</w:t>
      </w:r>
    </w:p>
    <w:p w:rsidR="002E051C" w:rsidRPr="00976114" w:rsidRDefault="002E051C" w:rsidP="00E646C9">
      <w:pPr>
        <w:pStyle w:val="ListParagraph"/>
        <w:numPr>
          <w:ilvl w:val="0"/>
          <w:numId w:val="103"/>
        </w:numPr>
        <w:ind w:left="360"/>
        <w:rPr>
          <w:rFonts w:eastAsia="Calibri"/>
        </w:rPr>
      </w:pPr>
      <w:r w:rsidRPr="00976114">
        <w:rPr>
          <w:rFonts w:eastAsia="Calibri"/>
        </w:rPr>
        <w:t>With the small samples sizes in Table 44, it may be helpful to provide some broader categories for the sources of information; for example, group sources by those that involved person-to-person interaction versus less direct mechanisms like bill inserts and mail.</w:t>
      </w:r>
    </w:p>
    <w:p w:rsidR="002E051C" w:rsidRPr="00976114" w:rsidRDefault="002E051C" w:rsidP="00E646C9">
      <w:pPr>
        <w:pStyle w:val="ListParagraph"/>
        <w:numPr>
          <w:ilvl w:val="0"/>
          <w:numId w:val="103"/>
        </w:numPr>
        <w:ind w:left="360"/>
        <w:rPr>
          <w:rFonts w:eastAsia="Calibri"/>
        </w:rPr>
      </w:pPr>
      <w:r w:rsidRPr="00976114">
        <w:rPr>
          <w:rFonts w:eastAsia="Calibri"/>
        </w:rPr>
        <w:t>Displaying the range of responses instead of means would make it easier to follow the discussion about dissatisfaction. A chart showing the range would provide the sample sizes for those who were dissatisfied, and the reader could more easily link that chart with the dissatisfaction discussion.</w:t>
      </w:r>
    </w:p>
    <w:p w:rsidR="002E051C" w:rsidRPr="00976114" w:rsidRDefault="00371F39" w:rsidP="00E646C9">
      <w:pPr>
        <w:pStyle w:val="ListParagraph"/>
        <w:numPr>
          <w:ilvl w:val="0"/>
          <w:numId w:val="103"/>
        </w:numPr>
        <w:ind w:left="360"/>
        <w:rPr>
          <w:rFonts w:eastAsia="Calibri"/>
        </w:rPr>
      </w:pPr>
      <w:r w:rsidRPr="00976114">
        <w:rPr>
          <w:rFonts w:eastAsia="Calibri"/>
        </w:rPr>
        <w:t>The sample size in Figure 17</w:t>
      </w:r>
      <w:r w:rsidR="002E051C" w:rsidRPr="00976114">
        <w:rPr>
          <w:rFonts w:eastAsia="Calibri"/>
        </w:rPr>
        <w:t xml:space="preserve"> equals 22, but the sum of responses is less than 22. The SWE assumes the data for this figure allowed for multiple responses, so the sum should at least equal the total sample size. Also, functionally there is no difference between those who reported “don’t know” and those who made no recommendation, so those responses should be combined.</w:t>
      </w:r>
    </w:p>
    <w:p w:rsidR="002E051C" w:rsidRPr="00976114" w:rsidRDefault="002E051C" w:rsidP="00E646C9">
      <w:pPr>
        <w:pStyle w:val="ListParagraph"/>
        <w:numPr>
          <w:ilvl w:val="0"/>
          <w:numId w:val="103"/>
        </w:numPr>
        <w:ind w:left="360"/>
        <w:rPr>
          <w:rFonts w:eastAsia="Calibri"/>
        </w:rPr>
      </w:pPr>
      <w:r w:rsidRPr="00976114">
        <w:rPr>
          <w:rFonts w:eastAsia="Calibri"/>
        </w:rPr>
        <w:t>The second paragraph under Section 7.4.1.2 states that most respondents could not recall their audit recommendations, but later the paragraph describes a fourth respondent who could not recall the recommendation they received. It is unclear what the difference is between the group and the fourth respondent.</w:t>
      </w:r>
    </w:p>
    <w:p w:rsidR="002E051C" w:rsidRPr="002E051C" w:rsidRDefault="002E051C" w:rsidP="002E051C"/>
    <w:p w:rsidR="002E051C" w:rsidRPr="002E051C" w:rsidRDefault="002E051C" w:rsidP="00D613BE">
      <w:pPr>
        <w:pStyle w:val="AppendixBHeading3"/>
      </w:pPr>
      <w:r w:rsidRPr="002E051C">
        <w:t xml:space="preserve">Home Energy Reports (HER) Program </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The HER Program provides residential customers with a regularly scheduled report about their energy usage as it compares with that of neighbors with similar homes. The reports also provide energy savings tips, and studies have shown that this type of information can lower energy usage by 1%–2%. In PY7, 225,000 residential customers (200,000 market-rate, 25,000 low-income) received reports, up from 50,000 when the program started in PY4. The program did not operate in PY5 or PY6. In PY7, the HER Program accounted for about 63% of residential savings, not counting upstream lighting and kit savings.</w:t>
      </w:r>
    </w:p>
    <w:p w:rsidR="002E051C" w:rsidRPr="002E051C" w:rsidRDefault="002E051C" w:rsidP="002E051C"/>
    <w:p w:rsidR="002E051C" w:rsidRPr="002E051C" w:rsidRDefault="002E051C" w:rsidP="002E051C">
      <w:r w:rsidRPr="002E051C">
        <w:t>Duquesne had a Phase II savings target for the HER Program, and despite not operating in the first two years of Phase II (PY5 and PY6), the program achieved 94% of its Phase II target in PY7, or 279% of its PY7 goal. The program spent 44% of its budget to achieve those goals.</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2E051C">
      <w:r w:rsidRPr="002E051C">
        <w:t>Navigant completed 134 (59 market-rate, 75 low-income) phone surveys with HER Program recipients and 30 phone surveys with customers who opted out of receiving a report.</w:t>
      </w:r>
    </w:p>
    <w:p w:rsidR="002E051C" w:rsidRPr="002E051C" w:rsidRDefault="002E051C" w:rsidP="002E051C"/>
    <w:p w:rsidR="002E051C" w:rsidRPr="002E051C" w:rsidRDefault="002E051C" w:rsidP="002E051C">
      <w:r w:rsidRPr="002E051C">
        <w:t>HER Program recipients reported how many reports they recalled receiving, and more than one-quarter could not recall the number of reports they received. Navigant shows that market-rate recipients were slightly more likely (32%) to not recall the number of reports compared with low-income recipients (21%), but it was not clear if this difference was statistically significant. Respondents generally reported reading six or fewer reports in the last year.</w:t>
      </w:r>
    </w:p>
    <w:p w:rsidR="002E051C" w:rsidRPr="002E051C" w:rsidRDefault="002E051C" w:rsidP="002E051C"/>
    <w:p w:rsidR="002E051C" w:rsidRPr="002E051C" w:rsidRDefault="002E051C" w:rsidP="002E051C">
      <w:r w:rsidRPr="002E051C">
        <w:t>Three-quarters of respondents reported that the purpose of the reports was to compare their energy use to that of similar homes (44 of 126), persuade them to use less energy (33 of 126), and show their household energy use (17 of 126). The remaining respondents, all with less than 10 mentions, reported that the purpose was to help them use less energy (4), tell them if their household was using too much energy (2), or they reported some other reason (7). Eight respondents did not know the purpose of the reports.</w:t>
      </w:r>
    </w:p>
    <w:p w:rsidR="002E051C" w:rsidRPr="002E051C" w:rsidRDefault="002E051C" w:rsidP="002E051C"/>
    <w:p w:rsidR="002E051C" w:rsidRPr="002E051C" w:rsidRDefault="002E051C" w:rsidP="002E051C">
      <w:r w:rsidRPr="002E051C">
        <w:t xml:space="preserve">The large majority of respondents (90%) indicated they were satisfied or neutral in their ratings of the reports, and about 10% were dissatisfied with the reports. Navigant reported slight differences between low-income and market-rate recipient scores but did not report the statistical significance. </w:t>
      </w:r>
    </w:p>
    <w:p w:rsidR="002E051C" w:rsidRPr="002E051C" w:rsidRDefault="002E051C" w:rsidP="002E051C"/>
    <w:p w:rsidR="002E051C" w:rsidRPr="002E051C" w:rsidRDefault="002E051C" w:rsidP="002E051C">
      <w:r w:rsidRPr="002E051C">
        <w:t>The large majority of respondents reported that the reports were moderately or extremely accurate in regards to their home’s energy consumption. Fewer than 10% reported that the reports were inaccurate.</w:t>
      </w:r>
    </w:p>
    <w:p w:rsidR="002E051C" w:rsidRPr="002E051C" w:rsidRDefault="002E051C" w:rsidP="002E051C"/>
    <w:p w:rsidR="002E051C" w:rsidRPr="002E051C" w:rsidRDefault="002E051C" w:rsidP="002E051C">
      <w:r w:rsidRPr="002E051C">
        <w:t>The three most commonly cited pieces of information deemed valuable by respondents were the comparison of energy usage to prior years, the comparison of energy usage to that of similar homes, and the energy saving tips. A small percentage of respondents reported that no aspect of the reports was valuable. Navigant noted noticeable differences between low-income and market-rate respondents when examining the most valuable pieces of information in the reports. For example, approximately 38% of market-rate respondents valued the comparison of their home with other homes, whereas 21% of low-income respondents valued this element.</w:t>
      </w:r>
    </w:p>
    <w:p w:rsidR="002E051C" w:rsidRPr="002E051C" w:rsidRDefault="002E051C" w:rsidP="002E051C"/>
    <w:p w:rsidR="002E051C" w:rsidRPr="002E051C" w:rsidRDefault="002E051C" w:rsidP="002E051C">
      <w:r w:rsidRPr="002E051C">
        <w:t>Most respondents, including those who opted out of receiving reports, reported making some energy efficiency upgrade to their home in the last 12 months. A higher percentage of opt-out customers reported purchasing small energy efficiency devices than did their market-rate or low-income HER Program counterparts. Recipients reported installing more energy efficiency measures in the last 12 months than did those who opted out of receiving reports. Low-income recipients appeared more likely than market-rate recipients to say that the program influenced their decision to make energy efficiency upgrades.</w:t>
      </w:r>
    </w:p>
    <w:p w:rsidR="002E051C" w:rsidRPr="002E051C" w:rsidRDefault="002E051C" w:rsidP="002E051C"/>
    <w:p w:rsidR="002E051C" w:rsidRPr="002E051C" w:rsidRDefault="002E051C" w:rsidP="002E051C">
      <w:r w:rsidRPr="002E051C">
        <w:t xml:space="preserve">Those who opted out of receiving reports were asked why. Of the 30 opt-out customers, 2 indicated they never opted out and 10 did not recall receiving the report. Of the remaining 18, 10 elected not to receive the reports because they did not find the reports contained valuable information. The remaining 8 provided seven different responses, including that they felt shamed by the reports (2) and did not have time to read the reports (2). </w:t>
      </w:r>
    </w:p>
    <w:p w:rsidR="002E051C" w:rsidRPr="002E051C" w:rsidRDefault="002E051C" w:rsidP="002E051C"/>
    <w:p w:rsidR="002E051C" w:rsidRPr="002E051C" w:rsidRDefault="002E051C" w:rsidP="00D613BE">
      <w:pPr>
        <w:pStyle w:val="AppendixBHeading4"/>
      </w:pPr>
      <w:r w:rsidRPr="002E051C">
        <w:t>Summary of the Process Evaluation Audit</w:t>
      </w:r>
    </w:p>
    <w:p w:rsidR="002E051C" w:rsidRPr="002E051C" w:rsidRDefault="00037885" w:rsidP="002E051C">
      <w:r w:rsidRPr="00C52A0B">
        <w:t>Navigant presented the data about the HER Program clearly and displayed the distribution of scale data as opposed to relying on means as it did in other sections. However, some additional analysis in this section would have been valuable. For example, it would be helpful to see an analysis of the reported most valuable information in the report by the number of reports read over the last year. Various nonparametric tests would be appropriate for such an analysis, which might suggest whether those who read more reports value more or different aspects of the report. Perhaps Navigant conducted this type of analysis and nothing interesting resulted from it, but it is not clear that this deeper level of analysis, which could yield insights for program managers, took place</w:t>
      </w:r>
      <w:r w:rsidR="002E051C" w:rsidRPr="002E051C">
        <w:t xml:space="preserve">. </w:t>
      </w:r>
    </w:p>
    <w:p w:rsidR="002E051C" w:rsidRPr="002E051C" w:rsidRDefault="002E051C" w:rsidP="002E051C"/>
    <w:p w:rsidR="002E051C" w:rsidRPr="002E051C" w:rsidRDefault="002E051C" w:rsidP="002E051C">
      <w:r w:rsidRPr="002E051C">
        <w:t>There were a few instances in this section where excluding some answers from the analysis could have made things more clear. For example, in Section 8.3.2.1 the reader sees that of the 30 respondents who were surveyed as opt-out customers, 2 reported that they never stopped receiving the HERs. If they claim to still receive the HERs, then they are not opt-outs and should be excluded from the opt-out analysis, making the sample size 28.</w:t>
      </w:r>
    </w:p>
    <w:p w:rsidR="002E051C" w:rsidRPr="002E051C" w:rsidRDefault="002E051C" w:rsidP="002E051C"/>
    <w:p w:rsidR="002E051C" w:rsidRPr="002E051C" w:rsidRDefault="002E051C" w:rsidP="002E051C">
      <w:r w:rsidRPr="002E051C">
        <w:t xml:space="preserve">In Section 8.3.2.1, Navigant stated that seven opt-out recipients did not recall receiving reports and three “did not know.” Functionally, for analysis, what is the difference between not remembering and not knowing? These responses should be combined into one “don’t know” category. </w:t>
      </w:r>
    </w:p>
    <w:p w:rsidR="002E051C" w:rsidRPr="002E051C" w:rsidRDefault="002E051C" w:rsidP="002E051C"/>
    <w:p w:rsidR="002E051C" w:rsidRPr="002E051C" w:rsidRDefault="002E051C" w:rsidP="002E051C">
      <w:r w:rsidRPr="002E051C">
        <w:t>There were several places in the HER section that noted differences between low-income and market-rate recipients, but there was no analysis indicating if the differences were statistically significant. For example, the discussion in Section 8.3.1 showed results by market-rate and low-income respondents, but it is unclear if the differences are significant. The SWE suggests conducting this analysis to highlight differences between the groups where they exist, and not elevate differences where they do not exist.</w:t>
      </w:r>
    </w:p>
    <w:p w:rsidR="002E051C" w:rsidRPr="002E051C" w:rsidRDefault="002E051C" w:rsidP="002E051C"/>
    <w:p w:rsidR="002E051C" w:rsidRPr="002E051C" w:rsidRDefault="002E051C" w:rsidP="00976114">
      <w:pPr>
        <w:pStyle w:val="6spacenormal"/>
      </w:pPr>
      <w:r w:rsidRPr="002E051C">
        <w:t>There are two terminology changes that the SWE suggests for this section:</w:t>
      </w:r>
    </w:p>
    <w:p w:rsidR="002E051C" w:rsidRPr="00976114" w:rsidRDefault="002E051C" w:rsidP="00E646C9">
      <w:pPr>
        <w:pStyle w:val="ListParagraph"/>
        <w:numPr>
          <w:ilvl w:val="0"/>
          <w:numId w:val="104"/>
        </w:numPr>
        <w:ind w:left="360"/>
        <w:rPr>
          <w:rFonts w:eastAsia="Calibri"/>
        </w:rPr>
      </w:pPr>
      <w:r w:rsidRPr="00976114">
        <w:rPr>
          <w:rFonts w:eastAsia="Calibri"/>
        </w:rPr>
        <w:t xml:space="preserve">Navigant used the term “non-low-income” to refer to those recipients who do not meet low-income eligibility guidelines. However, elsewhere in the report, program participants who are not low-income were referred to as “market-rate.” Is there a reason to not use the term “market-rate” for the HER Program? </w:t>
      </w:r>
    </w:p>
    <w:p w:rsidR="002E051C" w:rsidRPr="00976114" w:rsidRDefault="002E051C" w:rsidP="00E646C9">
      <w:pPr>
        <w:pStyle w:val="ListParagraph"/>
        <w:numPr>
          <w:ilvl w:val="0"/>
          <w:numId w:val="104"/>
        </w:numPr>
        <w:ind w:left="360"/>
        <w:rPr>
          <w:rFonts w:eastAsia="Calibri"/>
        </w:rPr>
      </w:pPr>
      <w:r w:rsidRPr="00976114">
        <w:rPr>
          <w:rFonts w:eastAsia="Calibri"/>
        </w:rPr>
        <w:t>Customers who receive a HER are not “participants” in the traditional sense of the word, and customers who opt-out are certainly not “participants.” Customers who receive the HER are “recipients,” and customers who opt out of receiving reports are “opt-out customers.” One cannot be an “opt-out participant.”</w:t>
      </w:r>
    </w:p>
    <w:p w:rsidR="002E051C" w:rsidRPr="002E051C" w:rsidRDefault="002E051C" w:rsidP="002E051C"/>
    <w:p w:rsidR="002E051C" w:rsidRDefault="003A4699" w:rsidP="00D613BE">
      <w:pPr>
        <w:pStyle w:val="AppendixBHeading2"/>
      </w:pPr>
      <w:r>
        <w:t>Low-Income Group</w:t>
      </w:r>
    </w:p>
    <w:p w:rsidR="003A4699" w:rsidRPr="00D613BE" w:rsidRDefault="003A4699" w:rsidP="00D613BE">
      <w:pPr>
        <w:pStyle w:val="AppendixBHeading3"/>
      </w:pPr>
      <w:r w:rsidRPr="00D613BE">
        <w:t>Low-Income Energy Efficiency Program (LIEEP)</w:t>
      </w:r>
    </w:p>
    <w:p w:rsidR="002E051C" w:rsidRPr="002E051C" w:rsidRDefault="002E051C" w:rsidP="00D613BE">
      <w:pPr>
        <w:pStyle w:val="AppendixBHeading4"/>
      </w:pPr>
      <w:r w:rsidRPr="002E051C">
        <w:t>Overview of the Program and Its Success</w:t>
      </w:r>
    </w:p>
    <w:p w:rsidR="002E051C" w:rsidRPr="002E051C" w:rsidRDefault="002E051C" w:rsidP="002E051C">
      <w:r w:rsidRPr="002E051C">
        <w:t xml:space="preserve">Duquesne’s LIEEP consists of services provided through REEP, RARP, SEP, and WHEAP when implemented with low-income customers. Additionally, LIEEP coordinates public entities through PAPP and the low-income smart strip installations done through the Low Income Usage Reduction Program (LIURP). The above activities achieved 80% of the PY7 energy savings target, while spending 25% of the PY7 target budget. </w:t>
      </w:r>
    </w:p>
    <w:p w:rsidR="002E051C" w:rsidRPr="002E051C" w:rsidRDefault="002E051C" w:rsidP="002E051C"/>
    <w:p w:rsidR="002E051C" w:rsidRPr="002E051C" w:rsidRDefault="002E051C" w:rsidP="002E051C">
      <w:r w:rsidRPr="002E051C">
        <w:t xml:space="preserve">Because LIEEP is an amalgam of programs, Navigant provided a review of the projected versus actual savings that came from each component of LIEEP. This review shows that the projected savings for each component did not match the actual savings attributed to each program. The REEP component delivered more savings than projected (35% actual compared with 21.7% projected), RARP delivered less savings (10.4% actual compared with 24.5% projected), SEP and WHEAP delivered less savings (1.4% actual compared with 24.3% projected), and the HER Program delivered more savings (53.2% actual compared with 30.6% projected). </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976114">
      <w:pPr>
        <w:pStyle w:val="6spacenormal"/>
      </w:pPr>
      <w:r w:rsidRPr="002E051C">
        <w:t>In Section 9 of the report about the LIEEP, Navigant provides information about the following components of the program:</w:t>
      </w:r>
    </w:p>
    <w:p w:rsidR="002E051C" w:rsidRPr="00D613BE" w:rsidRDefault="00D613BE" w:rsidP="00B32B81">
      <w:pPr>
        <w:ind w:left="360" w:hanging="360"/>
        <w:rPr>
          <w:rFonts w:ascii="Century Gothic" w:eastAsia="Calibri" w:hAnsi="Century Gothic"/>
          <w:b/>
          <w:color w:val="404040" w:themeColor="text1" w:themeTint="BF"/>
          <w:spacing w:val="-10"/>
        </w:rPr>
      </w:pPr>
      <w:r w:rsidRPr="00D613BE">
        <w:rPr>
          <w:rFonts w:ascii="Century Gothic" w:eastAsia="Calibri" w:hAnsi="Century Gothic"/>
          <w:b/>
          <w:color w:val="404040" w:themeColor="text1" w:themeTint="BF"/>
          <w:spacing w:val="-10"/>
        </w:rPr>
        <w:t>LIEEP REEP KITS</w:t>
      </w:r>
    </w:p>
    <w:p w:rsidR="002E051C" w:rsidRPr="00976114" w:rsidRDefault="002E051C" w:rsidP="00E646C9">
      <w:pPr>
        <w:pStyle w:val="ListParagraph"/>
        <w:numPr>
          <w:ilvl w:val="0"/>
          <w:numId w:val="105"/>
        </w:numPr>
        <w:ind w:left="360"/>
        <w:rPr>
          <w:rFonts w:eastAsia="Calibri"/>
        </w:rPr>
      </w:pPr>
      <w:r w:rsidRPr="00976114">
        <w:rPr>
          <w:rFonts w:eastAsia="Calibri"/>
        </w:rPr>
        <w:t>How kit participants learned about the kits</w:t>
      </w:r>
    </w:p>
    <w:p w:rsidR="002E051C" w:rsidRPr="00976114" w:rsidRDefault="002E051C" w:rsidP="00E646C9">
      <w:pPr>
        <w:pStyle w:val="ListParagraph"/>
        <w:numPr>
          <w:ilvl w:val="0"/>
          <w:numId w:val="105"/>
        </w:numPr>
        <w:ind w:left="360"/>
        <w:rPr>
          <w:rFonts w:eastAsia="Calibri"/>
        </w:rPr>
      </w:pPr>
      <w:r w:rsidRPr="00976114">
        <w:rPr>
          <w:rFonts w:eastAsia="Calibri"/>
        </w:rPr>
        <w:t>How satisfied kit participants were with the kit program</w:t>
      </w:r>
    </w:p>
    <w:p w:rsidR="002E051C" w:rsidRPr="00976114" w:rsidRDefault="002E051C" w:rsidP="00E646C9">
      <w:pPr>
        <w:pStyle w:val="ListParagraph"/>
        <w:numPr>
          <w:ilvl w:val="0"/>
          <w:numId w:val="105"/>
        </w:numPr>
        <w:ind w:left="360"/>
        <w:rPr>
          <w:rFonts w:eastAsia="Calibri"/>
        </w:rPr>
      </w:pPr>
      <w:r w:rsidRPr="00976114">
        <w:rPr>
          <w:rFonts w:eastAsia="Calibri"/>
        </w:rPr>
        <w:t>What recommendations kit participants had for program improvement</w:t>
      </w:r>
    </w:p>
    <w:p w:rsidR="00976114" w:rsidRPr="00976114" w:rsidRDefault="00976114" w:rsidP="00976114">
      <w:pPr>
        <w:rPr>
          <w:rFonts w:eastAsia="Calibri"/>
        </w:rPr>
      </w:pPr>
    </w:p>
    <w:p w:rsidR="002E051C" w:rsidRPr="00D613BE" w:rsidRDefault="00D613BE" w:rsidP="00B32B81">
      <w:pPr>
        <w:ind w:left="360" w:hanging="360"/>
        <w:rPr>
          <w:rFonts w:ascii="Century Gothic" w:eastAsia="Calibri" w:hAnsi="Century Gothic"/>
          <w:b/>
          <w:color w:val="404040" w:themeColor="text1" w:themeTint="BF"/>
          <w:spacing w:val="-10"/>
        </w:rPr>
      </w:pPr>
      <w:r w:rsidRPr="00D613BE">
        <w:rPr>
          <w:rFonts w:ascii="Century Gothic" w:eastAsia="Calibri" w:hAnsi="Century Gothic"/>
          <w:b/>
          <w:color w:val="404040" w:themeColor="text1" w:themeTint="BF"/>
          <w:spacing w:val="-10"/>
        </w:rPr>
        <w:t>LIEEP RARP</w:t>
      </w:r>
    </w:p>
    <w:p w:rsidR="002E051C" w:rsidRPr="00976114" w:rsidRDefault="002E051C" w:rsidP="00E646C9">
      <w:pPr>
        <w:pStyle w:val="ListParagraph"/>
        <w:numPr>
          <w:ilvl w:val="0"/>
          <w:numId w:val="105"/>
        </w:numPr>
        <w:ind w:left="360"/>
        <w:rPr>
          <w:rFonts w:eastAsia="Calibri"/>
        </w:rPr>
      </w:pPr>
      <w:r w:rsidRPr="00976114">
        <w:rPr>
          <w:rFonts w:eastAsia="Calibri"/>
        </w:rPr>
        <w:t>How participants learned about RARP</w:t>
      </w:r>
    </w:p>
    <w:p w:rsidR="002E051C" w:rsidRPr="00976114" w:rsidRDefault="002E051C" w:rsidP="00E646C9">
      <w:pPr>
        <w:pStyle w:val="ListParagraph"/>
        <w:numPr>
          <w:ilvl w:val="0"/>
          <w:numId w:val="105"/>
        </w:numPr>
        <w:ind w:left="360"/>
        <w:rPr>
          <w:rFonts w:eastAsia="Calibri"/>
        </w:rPr>
      </w:pPr>
      <w:r w:rsidRPr="00976114">
        <w:rPr>
          <w:rFonts w:eastAsia="Calibri"/>
        </w:rPr>
        <w:t>How satisfied participants were with the program</w:t>
      </w:r>
    </w:p>
    <w:p w:rsidR="002E051C" w:rsidRPr="00976114" w:rsidRDefault="002E051C" w:rsidP="00E646C9">
      <w:pPr>
        <w:pStyle w:val="ListParagraph"/>
        <w:numPr>
          <w:ilvl w:val="0"/>
          <w:numId w:val="105"/>
        </w:numPr>
        <w:ind w:left="360"/>
        <w:rPr>
          <w:rFonts w:eastAsia="Calibri"/>
        </w:rPr>
      </w:pPr>
      <w:r w:rsidRPr="00976114">
        <w:rPr>
          <w:rFonts w:eastAsia="Calibri"/>
        </w:rPr>
        <w:t>What recommendations participants had for program improvement</w:t>
      </w:r>
    </w:p>
    <w:p w:rsidR="002E051C" w:rsidRPr="00976114" w:rsidRDefault="002E051C" w:rsidP="00E646C9">
      <w:pPr>
        <w:pStyle w:val="ListParagraph"/>
        <w:numPr>
          <w:ilvl w:val="0"/>
          <w:numId w:val="105"/>
        </w:numPr>
        <w:ind w:left="360"/>
        <w:rPr>
          <w:rFonts w:eastAsia="Calibri"/>
        </w:rPr>
      </w:pPr>
      <w:r w:rsidRPr="00976114">
        <w:rPr>
          <w:rFonts w:eastAsia="Calibri"/>
        </w:rPr>
        <w:t>What reasons participants had for participating</w:t>
      </w:r>
    </w:p>
    <w:p w:rsidR="00976114" w:rsidRPr="00976114" w:rsidRDefault="00976114" w:rsidP="00976114">
      <w:pPr>
        <w:rPr>
          <w:rFonts w:eastAsia="Calibri"/>
        </w:rPr>
      </w:pPr>
    </w:p>
    <w:p w:rsidR="002E051C" w:rsidRPr="00D613BE" w:rsidRDefault="00D613BE" w:rsidP="00B32B81">
      <w:pPr>
        <w:ind w:left="360" w:hanging="360"/>
        <w:rPr>
          <w:rFonts w:ascii="Century Gothic" w:eastAsia="Calibri" w:hAnsi="Century Gothic"/>
          <w:b/>
          <w:color w:val="404040" w:themeColor="text1" w:themeTint="BF"/>
          <w:spacing w:val="-10"/>
        </w:rPr>
      </w:pPr>
      <w:r w:rsidRPr="00D613BE">
        <w:rPr>
          <w:rFonts w:ascii="Century Gothic" w:eastAsia="Calibri" w:hAnsi="Century Gothic"/>
          <w:b/>
          <w:color w:val="404040" w:themeColor="text1" w:themeTint="BF"/>
          <w:spacing w:val="-10"/>
        </w:rPr>
        <w:t>LIEEP WHEAP</w:t>
      </w:r>
    </w:p>
    <w:p w:rsidR="002E051C" w:rsidRPr="00976114" w:rsidRDefault="002E051C" w:rsidP="00E646C9">
      <w:pPr>
        <w:pStyle w:val="ListParagraph"/>
        <w:numPr>
          <w:ilvl w:val="0"/>
          <w:numId w:val="105"/>
        </w:numPr>
        <w:ind w:left="360"/>
        <w:rPr>
          <w:rFonts w:eastAsia="Calibri"/>
        </w:rPr>
      </w:pPr>
      <w:r w:rsidRPr="00976114">
        <w:rPr>
          <w:rFonts w:eastAsia="Calibri"/>
        </w:rPr>
        <w:t>A review of program data regarding refrigerator replacements in PY7</w:t>
      </w:r>
    </w:p>
    <w:p w:rsidR="002E051C" w:rsidRPr="00D613BE" w:rsidRDefault="002E051C" w:rsidP="00D613BE">
      <w:pPr>
        <w:rPr>
          <w:rFonts w:eastAsia="Calibri"/>
        </w:rPr>
      </w:pPr>
    </w:p>
    <w:p w:rsidR="002E051C" w:rsidRPr="002E051C" w:rsidRDefault="002E051C" w:rsidP="002E051C">
      <w:r w:rsidRPr="002E051C">
        <w:t xml:space="preserve">Due to small sample sizes and the identical implementation of the SEP and WHEAP for market-rate and low-income participants, Navigant’s analysis of SEP and WHEAP low-income participants is largely included in the SEP and WHEAP sections of the report. </w:t>
      </w:r>
    </w:p>
    <w:p w:rsidR="002E051C" w:rsidRPr="002E051C" w:rsidRDefault="002E051C" w:rsidP="00B32B81">
      <w:pPr>
        <w:pStyle w:val="AppendixBHeading5"/>
      </w:pPr>
      <w:r w:rsidRPr="002E051C">
        <w:t>LIEEP Kits</w:t>
      </w:r>
    </w:p>
    <w:p w:rsidR="002E051C" w:rsidRPr="002E051C" w:rsidRDefault="002E051C" w:rsidP="002E051C">
      <w:r w:rsidRPr="002E051C">
        <w:t xml:space="preserve">The 25 low-income kit recipients reported hearing about the efficiency kits through 10 sources. The most commonly cited source was online (6), followed by a newsletter (4). One or two respondents reported eight other sources, including new media, Duquesne representatives, and friends or family. </w:t>
      </w:r>
    </w:p>
    <w:p w:rsidR="002E051C" w:rsidRPr="002E051C" w:rsidRDefault="002E051C" w:rsidP="002E051C"/>
    <w:p w:rsidR="002E051C" w:rsidRPr="002E051C" w:rsidRDefault="002E051C" w:rsidP="002E051C">
      <w:r w:rsidRPr="002E051C">
        <w:t xml:space="preserve">Kit recipients appeared to be largely satisfied with the kits. Across six program aspects, respondents reported mean scores of 3.8 to 4.4 on a 5-point satisfaction scale in PY7. Across all aspects, mean scores were lower in PY7 than in PY6, but the sample size in PY6 was considerably lower than in PY7 (7 compared with 25). </w:t>
      </w:r>
    </w:p>
    <w:p w:rsidR="002E051C" w:rsidRPr="002E051C" w:rsidRDefault="002E051C" w:rsidP="002E051C"/>
    <w:p w:rsidR="002E051C" w:rsidRPr="002E051C" w:rsidRDefault="002E051C" w:rsidP="002E051C">
      <w:r w:rsidRPr="002E051C">
        <w:t xml:space="preserve">Most participants noted that they would recommend the program to others, but a specific number of participants was not provided. </w:t>
      </w:r>
    </w:p>
    <w:p w:rsidR="002E051C" w:rsidRPr="002E051C" w:rsidRDefault="002E051C" w:rsidP="002E051C"/>
    <w:p w:rsidR="002E051C" w:rsidRPr="002E051C" w:rsidRDefault="002E051C" w:rsidP="002E051C">
      <w:r w:rsidRPr="002E051C">
        <w:t xml:space="preserve">Sixteen participants reported on ways the kit program could be improved. According to Navigant, recommendations included marketing the kits more, providing a better nightlight, providing more products in kits, offering more products, and providing more efficiency tips. </w:t>
      </w:r>
    </w:p>
    <w:p w:rsidR="002E051C" w:rsidRPr="002E051C" w:rsidRDefault="002E051C" w:rsidP="002E051C"/>
    <w:p w:rsidR="002E051C" w:rsidRPr="002E051C" w:rsidRDefault="002E051C" w:rsidP="00B32B81">
      <w:pPr>
        <w:pStyle w:val="AppendixBHeading5"/>
      </w:pPr>
      <w:r w:rsidRPr="002E051C">
        <w:t>LIEEP RARP</w:t>
      </w:r>
    </w:p>
    <w:p w:rsidR="002E051C" w:rsidRPr="002E051C" w:rsidRDefault="002E051C" w:rsidP="002E051C">
      <w:r w:rsidRPr="002E051C">
        <w:t xml:space="preserve">The 40 LIEEP RARP surveyed participants learned about the program largely through friends and family and TV ads. </w:t>
      </w:r>
    </w:p>
    <w:p w:rsidR="002E051C" w:rsidRPr="002E051C" w:rsidRDefault="002E051C" w:rsidP="002E051C"/>
    <w:p w:rsidR="002E051C" w:rsidRPr="002E051C" w:rsidRDefault="002E051C" w:rsidP="002E051C">
      <w:r w:rsidRPr="002E051C">
        <w:t>LIEEP RARP participants reported high levels of satisfaction across seven components of the program. The mean satisfaction scores ranged from 4.2 to 4.8, with participants reporting the lowest satisfaction with the incentive amount and the highest satisfaction with the courtesy of the team that hauled the old appliance away.</w:t>
      </w:r>
    </w:p>
    <w:p w:rsidR="002E051C" w:rsidRPr="002E051C" w:rsidRDefault="002E051C" w:rsidP="002E051C"/>
    <w:p w:rsidR="002E051C" w:rsidRPr="002E051C" w:rsidRDefault="002E051C" w:rsidP="002E051C">
      <w:r w:rsidRPr="002E051C">
        <w:t xml:space="preserve">Of the 40 respondents, 16 made recommendations for program improvements. Recommendations included increasing program advertising, increasing rebate processing time, maintaining pickup schedules, providing larger rebates, and offering more variety in appliances. </w:t>
      </w:r>
    </w:p>
    <w:p w:rsidR="002E051C" w:rsidRPr="002E051C" w:rsidRDefault="002E051C" w:rsidP="002E051C"/>
    <w:p w:rsidR="002E051C" w:rsidRPr="002E051C" w:rsidRDefault="002E051C" w:rsidP="002E051C">
      <w:r w:rsidRPr="002E051C">
        <w:t xml:space="preserve">Close to half of respondents recommended the program to another person in the last 12 months, and the large majority would likely recommend the program to someone in the future. </w:t>
      </w:r>
    </w:p>
    <w:p w:rsidR="002E051C" w:rsidRPr="002E051C" w:rsidRDefault="002E051C" w:rsidP="002E051C"/>
    <w:p w:rsidR="002E051C" w:rsidRPr="002E051C" w:rsidRDefault="002E051C" w:rsidP="002E051C">
      <w:r w:rsidRPr="002E051C">
        <w:t xml:space="preserve">Respondents reported participating in the program because it was convenient to participate (13), the cash incentive was helpful (11), there was no cost to participate (2), and the old appliance was disposed of properly (2). When asked which of these aspects was most influential, participants generally identified proper disposal, convenience, and no cost. The cash incentive was less influential. </w:t>
      </w:r>
    </w:p>
    <w:p w:rsidR="002E051C" w:rsidRPr="002E051C" w:rsidRDefault="002E051C" w:rsidP="002E051C"/>
    <w:p w:rsidR="002E051C" w:rsidRPr="00D613BE" w:rsidRDefault="002E051C" w:rsidP="00B32B81">
      <w:pPr>
        <w:pStyle w:val="AppendixBHeading5"/>
      </w:pPr>
      <w:r w:rsidRPr="00D613BE">
        <w:t>LIEEP WHEAP</w:t>
      </w:r>
    </w:p>
    <w:p w:rsidR="002E051C" w:rsidRPr="002E051C" w:rsidRDefault="002E051C" w:rsidP="002E051C">
      <w:r w:rsidRPr="002E051C">
        <w:t>Navigant noted in PY6 that the refrigerator replacement program experienced “significant” backlogs when Duquesne was operating this program. By hiring a CSP to take over the program in PY7, the program reduced the backlog and reduced the amount of time between receiving an audit and receiving a new refrigerator.</w:t>
      </w:r>
    </w:p>
    <w:p w:rsidR="002E051C" w:rsidRPr="002E051C" w:rsidRDefault="002E051C" w:rsidP="002E051C"/>
    <w:p w:rsidR="002E051C" w:rsidRPr="00D613BE" w:rsidRDefault="002E051C" w:rsidP="00D613BE">
      <w:pPr>
        <w:pStyle w:val="AppendixBHeading4"/>
      </w:pPr>
      <w:r w:rsidRPr="00D613BE">
        <w:t>Summary of the Process Evaluation Audit</w:t>
      </w:r>
    </w:p>
    <w:p w:rsidR="002E051C" w:rsidRPr="00976114" w:rsidRDefault="002E051C" w:rsidP="00976114">
      <w:r w:rsidRPr="00976114">
        <w:t xml:space="preserve">Navigant provided the results of the LIEEP-specific participant surveys. Because LIEEP is an amalgam of other programs and in some instances low-income participant data were combined with market-rate participant data, Navigant had an organizational challenge explaining where each program element would be discussed. A table outlining where each program would be discussed and the topics covered would help the reader find specific sections of the report more easily. </w:t>
      </w:r>
    </w:p>
    <w:p w:rsidR="002E051C" w:rsidRPr="00976114" w:rsidRDefault="002E051C" w:rsidP="00976114"/>
    <w:p w:rsidR="002E051C" w:rsidRPr="00976114" w:rsidRDefault="002E051C" w:rsidP="00976114">
      <w:r w:rsidRPr="00976114">
        <w:t>The LIEEP section of the report would benefit from displaying counts rather than percentages in some of the figures. For instance, Figure 30 provides percentages across 10 categories with a sample size of 25. Additionally, these 10 categories could be grouped into broader categories to help the reader understand broader themes. For example, what is the functional difference between a “customer call” and a “Duquesne rep” as a source of awareness about LIEEP kits?</w:t>
      </w:r>
    </w:p>
    <w:p w:rsidR="002E051C" w:rsidRPr="00976114" w:rsidRDefault="002E051C" w:rsidP="00976114"/>
    <w:p w:rsidR="002E051C" w:rsidRPr="00976114" w:rsidRDefault="002E051C" w:rsidP="00976114">
      <w:r w:rsidRPr="00976114">
        <w:t>In Table 57, the sample sizes are not offered, making it difficult for the reader to assess some of the meaning behind the mean satisfaction scores. Similar to other areas of the report, it would be helpful to see the range of responses to the scale questions rather than the means, particularly when the sample sizes are small.</w:t>
      </w:r>
    </w:p>
    <w:p w:rsidR="002E051C" w:rsidRPr="00976114" w:rsidRDefault="002E051C" w:rsidP="00976114"/>
    <w:p w:rsidR="002E051C" w:rsidRPr="00976114" w:rsidRDefault="00990A84" w:rsidP="00976114">
      <w:r w:rsidRPr="00976114">
        <w:t>Figure</w:t>
      </w:r>
      <w:r w:rsidR="00976114" w:rsidRPr="00976114">
        <w:t xml:space="preserve"> 31 and the narrative before it, </w:t>
      </w:r>
      <w:r w:rsidRPr="00976114">
        <w:t>do not seem to align. While the narrative states “five surveyed participants recommended the LIEEP kit component provide more types of products…,” the figure appears to show that fewer than 15% of the 24 respondents – three respondents – recommended that the program “offer more products in kits.”</w:t>
      </w:r>
    </w:p>
    <w:p w:rsidR="00990A84" w:rsidRPr="00976114" w:rsidRDefault="00990A84" w:rsidP="00976114"/>
    <w:p w:rsidR="002E051C" w:rsidRPr="00976114" w:rsidRDefault="002E051C" w:rsidP="00976114">
      <w:r w:rsidRPr="00976114">
        <w:t xml:space="preserve">The sample sizes in Table 58 do not align with the sample sizes reported elsewhere in the report. The range of samples sizes in Table 58 goes from 72 to 83, yet only 40 low-income RARP participants were surveyed. </w:t>
      </w:r>
    </w:p>
    <w:p w:rsidR="002E051C" w:rsidRPr="00976114" w:rsidRDefault="002E051C" w:rsidP="00976114"/>
    <w:p w:rsidR="002E051C" w:rsidRPr="002E051C" w:rsidRDefault="002E051C" w:rsidP="00B32B81">
      <w:pPr>
        <w:pStyle w:val="AppendixBHeading5"/>
      </w:pPr>
      <w:r w:rsidRPr="002E051C">
        <w:t xml:space="preserve">Market Intelligence </w:t>
      </w:r>
    </w:p>
    <w:p w:rsidR="002E051C" w:rsidRPr="00B32B81" w:rsidRDefault="002E051C" w:rsidP="00B32B81">
      <w:pPr>
        <w:pStyle w:val="AppendixBHeading6"/>
      </w:pPr>
      <w:r w:rsidRPr="00B32B81">
        <w:t>Summary of the Market Intelligence Section</w:t>
      </w:r>
    </w:p>
    <w:p w:rsidR="002E051C" w:rsidRPr="002E051C" w:rsidRDefault="002E051C" w:rsidP="002E051C">
      <w:r w:rsidRPr="002E051C">
        <w:t>As part of the NTG surveys, survey participants of all residential programs were asked about their awareness of other Duquesne programs. The highest level of awareness reported was the REEP rebate participants’ awareness of the RARP</w:t>
      </w:r>
      <w:r w:rsidR="00371F39">
        <w:t>,</w:t>
      </w:r>
      <w:r w:rsidRPr="002E051C">
        <w:t xml:space="preserve"> and the lowest level of awareness was among market-rate REEP kit recipients about the SEP. Sixty-three percent of REEP rebate respondents knew about RARP, and no REEP market-rate kit recipients knew about SEP. </w:t>
      </w:r>
    </w:p>
    <w:p w:rsidR="002E051C" w:rsidRPr="002E051C" w:rsidRDefault="002E051C" w:rsidP="002E051C"/>
    <w:p w:rsidR="002E051C" w:rsidRPr="002E051C" w:rsidRDefault="002E051C" w:rsidP="002E051C">
      <w:r w:rsidRPr="002E051C">
        <w:t xml:space="preserve">SEP and WHEAP had the lowest levels of awareness, with 12% and 16% of other program respondents being aware of these programs. RARP and the HER Program had the highest levels of awareness across respondents of all program types. </w:t>
      </w:r>
    </w:p>
    <w:p w:rsidR="002E051C" w:rsidRPr="002E051C" w:rsidRDefault="002E051C" w:rsidP="002E051C"/>
    <w:p w:rsidR="002E051C" w:rsidRPr="002E051C" w:rsidRDefault="002E051C" w:rsidP="00B32B81">
      <w:pPr>
        <w:pStyle w:val="AppendixBHeading6"/>
      </w:pPr>
      <w:r w:rsidRPr="002E051C">
        <w:t>Summary of the Market Intelligence Audit</w:t>
      </w:r>
    </w:p>
    <w:p w:rsidR="002E051C" w:rsidRPr="002E051C" w:rsidRDefault="002E051C" w:rsidP="002E051C">
      <w:r w:rsidRPr="002E051C">
        <w:t xml:space="preserve">Navigant effectively showed the details about which survey respondent group had the most and least awareness of other program types. However, it did not include an overall awareness value of each program in the graphic, which can clarify awareness of all programs. Furthermore, in the narrative Navigant did calculate an overall awareness of the program, seemingly by averaging the percentages in Figure 34. So the average of 32%, 13%, 8%, 9%, 10%, 7%, 19%, and 21% equals 15%, which is the reported value for awareness of WHEAP by non-WHEAP respondents. However, the actual percentage is 16% when one calculates the total number of respondents (65) who knew about WHEAP and divide that figure by the total number of non-WHEAP respondents (409). While the difference between the two methods is slight when examining WHEAP awareness, the difference is greater in other areas. For example, averaging RARP awareness percentages shows that 44% of non-RARP respondents were aware of RARP, and calculating the actual value shows 48% awareness. This makes RARP the most known program, whereas relying on averages of averages shows the HER Program as the most known program. </w:t>
      </w:r>
    </w:p>
    <w:p w:rsidR="002E051C" w:rsidRPr="00976114" w:rsidRDefault="002E051C" w:rsidP="00976114">
      <w:pPr>
        <w:rPr>
          <w:rFonts w:eastAsia="Calibri"/>
        </w:rPr>
      </w:pPr>
    </w:p>
    <w:p w:rsidR="007B2E72" w:rsidRDefault="002E051C" w:rsidP="00D613BE">
      <w:pPr>
        <w:pStyle w:val="AppendixBHeading2"/>
      </w:pPr>
      <w:r w:rsidRPr="002E051C">
        <w:t>Commercial and Industrial Program Group</w:t>
      </w:r>
    </w:p>
    <w:p w:rsidR="007B2E72" w:rsidRPr="002E051C" w:rsidRDefault="007B2E72" w:rsidP="00D613BE">
      <w:pPr>
        <w:pStyle w:val="AppendixBHeading3"/>
      </w:pPr>
      <w:r>
        <w:t>Commercial and Industrial Program</w:t>
      </w:r>
    </w:p>
    <w:p w:rsidR="002E051C" w:rsidRPr="002E051C" w:rsidRDefault="002E051C" w:rsidP="00D613BE">
      <w:pPr>
        <w:pStyle w:val="AppendixBHeading4"/>
      </w:pPr>
      <w:r w:rsidRPr="002E051C">
        <w:t>Brief Overview of the Program and Its Success</w:t>
      </w:r>
    </w:p>
    <w:p w:rsidR="002E051C" w:rsidRPr="00976114" w:rsidRDefault="002E051C" w:rsidP="00976114">
      <w:r w:rsidRPr="00976114">
        <w:t>Duquesne provides a commercial program to targeted market segments such as offices, public agencies, retail, and healthcare segments. Commercial segments not directly targeted by tailored implementation contractors or specialized Duquesne staff fall under the Commercial Program Group (CPG) umbrella. Whether targeted or not, all commercial programs provide the same measures and incentive levels, to ensure fair and transparent treatment of customers across all segments. All programs falling under the CPG provide auditing of building energy use, targeted financing and incentives, project management and installation of energy efficiency measures, and technical training.</w:t>
      </w:r>
    </w:p>
    <w:p w:rsidR="002E051C" w:rsidRPr="00976114" w:rsidRDefault="002E051C" w:rsidP="00976114"/>
    <w:p w:rsidR="002E051C" w:rsidRPr="00976114" w:rsidRDefault="002E051C" w:rsidP="00976114">
      <w:r w:rsidRPr="00976114">
        <w:t xml:space="preserve">Similar to the commercial program, the industrial program consists of three targeted programs for primary metals, chemical products, and mixed industrial companies. All other industrial customers fall under the </w:t>
      </w:r>
      <w:r w:rsidR="007F429D" w:rsidRPr="00976114">
        <w:t>I</w:t>
      </w:r>
      <w:r w:rsidRPr="00976114">
        <w:t xml:space="preserve">ndustrial </w:t>
      </w:r>
      <w:r w:rsidR="007F429D" w:rsidRPr="00976114">
        <w:t>P</w:t>
      </w:r>
      <w:r w:rsidRPr="00976114">
        <w:t xml:space="preserve">rogram </w:t>
      </w:r>
      <w:r w:rsidR="007F429D" w:rsidRPr="00976114">
        <w:t>Group umbrella</w:t>
      </w:r>
      <w:r w:rsidRPr="00976114">
        <w:t>. As with the targeted commercial program, the</w:t>
      </w:r>
      <w:r w:rsidR="007F429D" w:rsidRPr="00976114">
        <w:t xml:space="preserve"> targeted</w:t>
      </w:r>
      <w:r w:rsidRPr="00976114">
        <w:t xml:space="preserve"> industrial program promotes specific technologies and targets specific market segments. </w:t>
      </w:r>
    </w:p>
    <w:p w:rsidR="002E051C" w:rsidRPr="00976114" w:rsidRDefault="002E051C" w:rsidP="00976114"/>
    <w:p w:rsidR="002E051C" w:rsidRPr="002E051C" w:rsidRDefault="002E051C" w:rsidP="00D613BE">
      <w:pPr>
        <w:pStyle w:val="AppendixBHeading4"/>
      </w:pPr>
      <w:r w:rsidRPr="002E051C">
        <w:t>Summary of the Process Evaluation Findings</w:t>
      </w:r>
    </w:p>
    <w:p w:rsidR="002E051C" w:rsidRPr="00976114" w:rsidRDefault="002E051C" w:rsidP="00976114">
      <w:r w:rsidRPr="00976114">
        <w:t>The survey of commercial and industrial participants largely covered NTG issues that are discussed elsewhere in this report. There was one open-ended process-related question that asked respondents to comment about their experience with the program, and 36 of 59 respondents provided answers. Analysis of this question revealed that the large majority of customers had positive experiences with the results and administration of the program. A few participants expressed some dissatisfaction with the time the application process took, and some reported that it took a long time to receive their rebate checks. One respondent noted dissatisfaction with his communication with program staff regarding the application guidelines and requirements.</w:t>
      </w:r>
    </w:p>
    <w:p w:rsidR="002E051C" w:rsidRDefault="002E051C" w:rsidP="00976114"/>
    <w:p w:rsidR="002E051C" w:rsidRPr="002E051C" w:rsidRDefault="002E051C" w:rsidP="00D613BE">
      <w:pPr>
        <w:pStyle w:val="AppendixBHeading4"/>
      </w:pPr>
      <w:r w:rsidRPr="002E051C">
        <w:t>Summary of the Process Evaluation Audit</w:t>
      </w:r>
    </w:p>
    <w:p w:rsidR="002E051C" w:rsidRPr="00976114" w:rsidRDefault="002E051C" w:rsidP="00976114">
      <w:r w:rsidRPr="00976114">
        <w:t>The SWE Team determined that the reporting followed the SWE guidelines. However, the analysis would benefit from specific numbers of respondents who reported each discussed element. For example, report the number of participants who reported that it took a long time to receive rebate checks rather than saying “multiple” respondents.</w:t>
      </w:r>
    </w:p>
    <w:p w:rsidR="002E051C" w:rsidRPr="00976114" w:rsidRDefault="002E051C" w:rsidP="00976114"/>
    <w:p w:rsidR="002E051C" w:rsidRPr="002E051C" w:rsidRDefault="002E051C" w:rsidP="00D613BE">
      <w:pPr>
        <w:pStyle w:val="AppendixBHeading1"/>
      </w:pPr>
      <w:bookmarkStart w:id="1413" w:name="_Ref469482704"/>
      <w:r w:rsidRPr="002E051C">
        <w:t>Metropolitan Edison Company</w:t>
      </w:r>
      <w:bookmarkEnd w:id="1413"/>
    </w:p>
    <w:p w:rsidR="002E051C" w:rsidRPr="002E051C" w:rsidRDefault="00DF5AD7" w:rsidP="002E051C">
      <w:r w:rsidRPr="00C52A0B">
        <w:t>Four EDCs—Met-Ed, Penn Power, Penelec, and West Penn—operate the identical set of nine energy efficiency programs. Since the evaluation contractor, ADM, together with its process evaluation subcontractor, Tetra Tech, took unified process evaluation approaches to these programs across the four EDCs, the annual reports of the four EDCs report identical information about the process evaluation. Therefore, the SWE Team’s audit summary described in this section pertains to all four FirstEnergy utilities.</w:t>
      </w:r>
      <w:r w:rsidR="002E051C" w:rsidRPr="002E051C">
        <w:t xml:space="preserve"> </w:t>
      </w:r>
    </w:p>
    <w:p w:rsidR="002E051C" w:rsidRPr="002E051C" w:rsidRDefault="002E051C" w:rsidP="002E051C"/>
    <w:p w:rsidR="002E051C" w:rsidRPr="002E051C" w:rsidRDefault="002E051C" w:rsidP="002E051C">
      <w:r w:rsidRPr="002E051C">
        <w:t>For the residential and non-residential programs, all the FirstEnergy utilities conducted large-scale process evaluations during PY6, fulfilling most of the process evaluation requirements for Phase II as planned. The following audit summary of the FirstEnergy utilities covers the small-scale supplemental process evaluati</w:t>
      </w:r>
      <w:r w:rsidR="007F429D">
        <w:t xml:space="preserve">on activities conducted during </w:t>
      </w:r>
      <w:r w:rsidRPr="002E051C">
        <w:t xml:space="preserve">PY7. </w:t>
      </w:r>
    </w:p>
    <w:p w:rsidR="002E051C" w:rsidRPr="002E051C" w:rsidRDefault="002E051C" w:rsidP="002E051C"/>
    <w:p w:rsidR="002E051C" w:rsidRPr="002E051C" w:rsidRDefault="002E051C" w:rsidP="002E051C">
      <w:r w:rsidRPr="002E051C">
        <w:t xml:space="preserve">Most of the process results are reported in the four EDCs’ annual evaluation reports. The one exception is that the evaluation contractor reported results from a general population survey of the EDCs’ customers in a separate memo and did not refer to this survey in the annual reports. In summary, the annual evaluation report succinctly reported useful evaluation findings based on well-documented evidence, with the above-noted exception of not including information from the general population survey, which was a major data source for the upstream lighting program. The separate memo did succinctly report useful findings based on well-documented evidence, but those findings apparently did not inform the conclusions and recommendations provided in the annual evaluation reports. The SWE Team notes a few comments and recommendations related to sampling for the future process evaluations of the FirstEnergy programs. </w:t>
      </w:r>
    </w:p>
    <w:p w:rsidR="002E051C" w:rsidRPr="002E051C" w:rsidRDefault="002E051C" w:rsidP="002E051C"/>
    <w:p w:rsidR="002E051C" w:rsidRPr="002E051C" w:rsidRDefault="002E051C" w:rsidP="00D613BE">
      <w:pPr>
        <w:pStyle w:val="AppendixBHeading2"/>
      </w:pPr>
      <w:r w:rsidRPr="002E051C">
        <w:t>Residential Programs</w:t>
      </w:r>
    </w:p>
    <w:p w:rsidR="002E051C" w:rsidRPr="002E051C" w:rsidRDefault="002E051C" w:rsidP="002E051C">
      <w:r w:rsidRPr="002E051C">
        <w:t>The ADM</w:t>
      </w:r>
      <w:r w:rsidR="0009501A">
        <w:t>/Tetra Tech</w:t>
      </w:r>
      <w:r w:rsidRPr="002E051C">
        <w:t xml:space="preserve"> team reported on process evaluations for four residential programs: </w:t>
      </w:r>
      <w:r w:rsidR="00976114" w:rsidRPr="002E051C">
        <w:t>The</w:t>
      </w:r>
      <w:r w:rsidRPr="002E051C">
        <w:t xml:space="preserve"> Residential Appliance Turn-In, Residential Energy Efficient Products, Residential Home Performance, and Residential Low-Income programs. </w:t>
      </w:r>
    </w:p>
    <w:p w:rsidR="002E051C" w:rsidRPr="002E051C" w:rsidRDefault="002E051C" w:rsidP="002E051C"/>
    <w:p w:rsidR="002E051C" w:rsidRPr="002E051C" w:rsidRDefault="002E051C" w:rsidP="002E051C">
      <w:r w:rsidRPr="002E051C">
        <w:t>A large-scale process evaluation was conducted in PY6 for all the residential programs. Therefore, there were no process evaluation activities in PY7 for the</w:t>
      </w:r>
      <w:r w:rsidR="007F429D">
        <w:t xml:space="preserve"> Residential</w:t>
      </w:r>
      <w:r w:rsidRPr="002E051C">
        <w:t xml:space="preserve"> Appliance Turn-In and</w:t>
      </w:r>
      <w:r w:rsidR="007F429D">
        <w:t xml:space="preserve"> Residential</w:t>
      </w:r>
      <w:r w:rsidRPr="002E051C">
        <w:t xml:space="preserve"> Low-Income programs. For the other two programs, small-scale supplemental process evaluation activities occurred. For the Residential Energy Efficient Products Program, the ADM team conducted in-depth interviews with participating retailers in the upstream lighting and electronics programs and conducted a general population customer survey. For the</w:t>
      </w:r>
      <w:r w:rsidR="007F429D">
        <w:t xml:space="preserve"> Residential</w:t>
      </w:r>
      <w:r w:rsidRPr="002E051C">
        <w:t xml:space="preserve"> Home Performance Program, </w:t>
      </w:r>
      <w:r w:rsidR="0009501A">
        <w:t>Tetra Tech</w:t>
      </w:r>
      <w:r w:rsidRPr="002E051C">
        <w:t xml:space="preserve"> conducted homebuilder and rater interviews for the program’s new construction subcomponent. </w:t>
      </w:r>
    </w:p>
    <w:p w:rsidR="00976114" w:rsidRPr="002E051C" w:rsidRDefault="00976114" w:rsidP="002E051C"/>
    <w:p w:rsidR="002E051C" w:rsidRPr="002E051C" w:rsidRDefault="002E051C" w:rsidP="00D613BE">
      <w:pPr>
        <w:pStyle w:val="AppendixBHeading3"/>
      </w:pPr>
      <w:r w:rsidRPr="002E051C">
        <w:t>Residential Energy Efficient Products Program</w:t>
      </w:r>
    </w:p>
    <w:p w:rsidR="002E051C" w:rsidRPr="002E051C" w:rsidRDefault="002E051C" w:rsidP="00D613BE">
      <w:pPr>
        <w:pStyle w:val="AppendixBHeading4"/>
      </w:pPr>
      <w:r w:rsidRPr="002E051C">
        <w:t>Overview of the Program and Its Success</w:t>
      </w:r>
    </w:p>
    <w:p w:rsidR="002E051C" w:rsidRPr="002E051C" w:rsidRDefault="002E051C" w:rsidP="002E051C">
      <w:r w:rsidRPr="002E051C">
        <w:t xml:space="preserve">The Residential Energy Efficient Products Program provides incentives for installing ENERGY STAR–qualified appliances (e.g., clothes washers, dehumidifiers, refrigerators), energy efficient HVAC equipment (e.g., central air conditioners, </w:t>
      </w:r>
      <w:r w:rsidR="007F429D">
        <w:t>ASHPs</w:t>
      </w:r>
      <w:r w:rsidRPr="002E051C">
        <w:t xml:space="preserve">, ground source heat pumps, mini-split heat pumps), and energy efficient water heaters (including </w:t>
      </w:r>
      <w:r w:rsidR="007F429D">
        <w:t>HPWHs</w:t>
      </w:r>
      <w:r w:rsidRPr="002E051C">
        <w:t xml:space="preserve"> and solar water heaters). The program also provides incentives to customers for the maintenance (tune-ups) of existing HVAC equipment and incentives to retailers for point-of-sale price cuts for customers purchasing energy efficient lightbulbs. In PY7, the Residential Energy Efficient Products Program was under budget for all four EDCs. Two EDCs, </w:t>
      </w:r>
      <w:r w:rsidRPr="002E051C">
        <w:rPr>
          <w:color w:val="000000"/>
        </w:rPr>
        <w:t xml:space="preserve">Met-Ed and Penn Power, fell </w:t>
      </w:r>
      <w:r w:rsidRPr="002E051C">
        <w:t xml:space="preserve">short of their savings </w:t>
      </w:r>
      <w:r w:rsidR="000D7316">
        <w:t>objectives</w:t>
      </w:r>
      <w:r w:rsidR="000D7316" w:rsidRPr="002E051C">
        <w:t xml:space="preserve"> </w:t>
      </w:r>
      <w:r w:rsidRPr="002E051C">
        <w:t xml:space="preserve">as projected in the EE&amp;C plan, respectively achieving 93% and 20% of target energy savings. </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2E051C">
      <w:r w:rsidRPr="002E051C">
        <w:t xml:space="preserve">Based on in-depth interviews with participating retailers in the upstream lighting program (5 stores) and electronics program (2 stores), </w:t>
      </w:r>
      <w:r w:rsidR="0009501A">
        <w:t>Tetra Tech</w:t>
      </w:r>
      <w:r w:rsidRPr="002E051C">
        <w:t xml:space="preserve"> reported retailers’ close working relationships with the program implementers and their high satisfactions with the breadth of eligible measures and the program overall. </w:t>
      </w:r>
    </w:p>
    <w:p w:rsidR="002E051C" w:rsidRPr="002E051C" w:rsidRDefault="002E051C" w:rsidP="002E051C"/>
    <w:p w:rsidR="002E051C" w:rsidRPr="002E051C" w:rsidRDefault="002E051C" w:rsidP="002E051C">
      <w:r w:rsidRPr="002E051C">
        <w:t xml:space="preserve">Though the level of program marketing activities varied by retail and by individual store locations within the same retail, all the participating retails’ corporate-level contacts said at least some of their stores have held program-sponsored in-store events, having program signage and price stickers displayed, and speaking with customers about lighting specs, energy efficiency, and non-energy benefits. </w:t>
      </w:r>
    </w:p>
    <w:p w:rsidR="002E051C" w:rsidRPr="002E051C" w:rsidRDefault="002E051C" w:rsidP="002E051C"/>
    <w:p w:rsidR="002E051C" w:rsidRPr="002E051C" w:rsidRDefault="002E051C" w:rsidP="002E051C">
      <w:r w:rsidRPr="002E051C">
        <w:t xml:space="preserve">Participating stores are preferentially placing LEDs in more prominent locations and have less shelf space devoted to incandescent lamps. Of their lighting shelf spaces, participating stores allocate about 55% to incandescent lamps, 15% to CFLs, and 30% to LEDs. Nonparticipating stores (though they participated in Phase I) allocate 72%, 23%, and 5% respectively.  </w:t>
      </w:r>
    </w:p>
    <w:p w:rsidR="002E051C" w:rsidRPr="002E051C" w:rsidRDefault="002E051C" w:rsidP="002E051C"/>
    <w:p w:rsidR="002E051C" w:rsidRPr="002E051C" w:rsidRDefault="002E051C" w:rsidP="002E051C">
      <w:r w:rsidRPr="002E051C">
        <w:t xml:space="preserve">To adapt to the rapidly changing lighting market, some interviewees suggested that the program should be more flexible to midyear changes in measure eligibility and should leverage market intelligence of participating retailers and manufacturers to adapt program design and customer marketing efforts. </w:t>
      </w:r>
    </w:p>
    <w:p w:rsidR="002E051C" w:rsidRPr="002E051C" w:rsidRDefault="002E051C" w:rsidP="002E051C"/>
    <w:p w:rsidR="002E051C" w:rsidRDefault="002E051C" w:rsidP="007B2E72">
      <w:r w:rsidRPr="002E051C">
        <w:t>The separately reported general population survey found that although customers are still more familiar with LEDs and halogens, about one-third of recent lighting purchasers had used LED screw-ins and about half of those had first done so in the past year. LED users reported high satisfaction with LED bulbs, particularly their long life span, efficiency, brightness, light quality, and lower operating costs. However, some confusion still exists regarding the various lighting technologies and their relative efficiency levels. The survey also produced price-sensitivity data ($3.19 is a “great bargain” for LED bulbs, and $6.11 is “starting to get expensive”) and found that 16% of non-LED users reported they are likely to install LEDs within the next year. Other key findings were that customers generally did not indicate awareness of having purchased program-discounted bulbs and that customers’ preferred methods of communication were bill inserts (56%), direct mailing (51%), and email (24%).</w:t>
      </w:r>
    </w:p>
    <w:p w:rsidR="007B2E72" w:rsidRPr="007B2E72" w:rsidRDefault="007B2E72" w:rsidP="007B2E72"/>
    <w:p w:rsidR="002E051C" w:rsidRPr="002E051C" w:rsidRDefault="002E051C" w:rsidP="00D613BE">
      <w:pPr>
        <w:pStyle w:val="AppendixBHeading4"/>
      </w:pPr>
      <w:r w:rsidRPr="002E051C">
        <w:t>Summary of the Process Evaluation Audit</w:t>
      </w:r>
    </w:p>
    <w:p w:rsidR="002E051C" w:rsidRPr="002E051C" w:rsidRDefault="002E051C" w:rsidP="002E051C">
      <w:pPr>
        <w:rPr>
          <w:highlight w:val="lightGray"/>
        </w:rPr>
      </w:pPr>
      <w:r w:rsidRPr="002E051C">
        <w:t>Although PY7 evaluation activities were limited in scope, the ADM</w:t>
      </w:r>
      <w:r w:rsidR="0009501A">
        <w:t>/Tetra T</w:t>
      </w:r>
      <w:r w:rsidR="007F6A35">
        <w:t>e</w:t>
      </w:r>
      <w:r w:rsidR="0009501A">
        <w:t>ch</w:t>
      </w:r>
      <w:r w:rsidRPr="002E051C">
        <w:t xml:space="preserve"> team used these limited resources to shed light on important research topics, and generally summarized findings well and drew well-reasoned findings. The ADM</w:t>
      </w:r>
      <w:r w:rsidR="0009501A">
        <w:t>/Tetra Tech</w:t>
      </w:r>
      <w:r w:rsidRPr="002E051C">
        <w:t xml:space="preserve"> team successfully completed interviews with the census of participating retail chains as planned. The primary weakness in the reporting was the lack of any information about the general population survey in the annual report.</w:t>
      </w:r>
    </w:p>
    <w:p w:rsidR="002E051C" w:rsidRPr="002E051C" w:rsidRDefault="002E051C" w:rsidP="002E051C">
      <w:pPr>
        <w:rPr>
          <w:highlight w:val="lightGray"/>
        </w:rPr>
      </w:pPr>
    </w:p>
    <w:p w:rsidR="002E051C" w:rsidRPr="002E051C" w:rsidRDefault="002E051C" w:rsidP="00D613BE">
      <w:pPr>
        <w:pStyle w:val="AppendixBHeading3"/>
      </w:pPr>
      <w:r w:rsidRPr="002E051C">
        <w:t>Residential Home Performance Program</w:t>
      </w:r>
    </w:p>
    <w:p w:rsidR="002E051C" w:rsidRPr="002E051C" w:rsidRDefault="002E051C" w:rsidP="00D613BE">
      <w:pPr>
        <w:pStyle w:val="AppendixBHeading4"/>
      </w:pPr>
      <w:r w:rsidRPr="002E051C">
        <w:t>Overview of the Program and Its Success</w:t>
      </w:r>
    </w:p>
    <w:p w:rsidR="002E051C" w:rsidRPr="002E051C" w:rsidRDefault="002E051C" w:rsidP="002E051C">
      <w:r w:rsidRPr="002E051C">
        <w:t>The Residential Home Performance Program comprises several components. The whole-house direct-install component provides diagnostic assessments, followed by the direct installation of low-cost measures or incentivized installation of building shell measures. The energy conservation kits component provides direct delivery of CFLs, LED nightlights, a furnace whistle, and for those with electric water heating, aerators, aerator adapters, and an energy savings showerhead. The program provides these measures to customers who completed an online or phone audit or submitted an online or phone request as well as through a new school education component. The new home component provides incentives to builders who choose to build new homes to higher efficiencies through the installation of efficient building shell measures, HVAC systems, appliances, lighting, or other features. The HERs provide customers with comparative electric energy usage data and offer tips and advice on behavioral and low-cost energy saving measures. In PY7, the Residential Home Performance Program was under budget for all four EDCs, and a</w:t>
      </w:r>
      <w:r w:rsidRPr="002E051C">
        <w:rPr>
          <w:color w:val="000000"/>
        </w:rPr>
        <w:t xml:space="preserve">ll four </w:t>
      </w:r>
      <w:r w:rsidRPr="002E051C">
        <w:t xml:space="preserve">EDCs significantly exceeded savings targets as projected in the EE&amp;C plans. </w:t>
      </w:r>
    </w:p>
    <w:p w:rsidR="002E051C" w:rsidRDefault="002E051C" w:rsidP="002E051C"/>
    <w:p w:rsidR="00D613BE" w:rsidRDefault="00D613BE" w:rsidP="002E051C"/>
    <w:p w:rsidR="00D613BE" w:rsidRPr="002E051C" w:rsidRDefault="00D613BE" w:rsidP="002E051C"/>
    <w:p w:rsidR="002E051C" w:rsidRPr="002E051C" w:rsidRDefault="002E051C" w:rsidP="00D613BE">
      <w:pPr>
        <w:pStyle w:val="AppendixBHeading4"/>
      </w:pPr>
      <w:r w:rsidRPr="002E051C">
        <w:t>Summary of the Process Evaluation Findings</w:t>
      </w:r>
    </w:p>
    <w:p w:rsidR="002E051C" w:rsidRPr="002E051C" w:rsidRDefault="002E051C" w:rsidP="002E051C">
      <w:r w:rsidRPr="002E051C">
        <w:t xml:space="preserve">PY7 process evaluation activity was limited to builder and rater interviews for the program’s new construction subcomponent. </w:t>
      </w:r>
    </w:p>
    <w:p w:rsidR="002E051C" w:rsidRPr="002E051C" w:rsidRDefault="002E051C" w:rsidP="002E051C"/>
    <w:p w:rsidR="002E051C" w:rsidRPr="002E051C" w:rsidRDefault="002E051C" w:rsidP="002E051C">
      <w:r w:rsidRPr="002E051C">
        <w:t>Participating builders’ overall satisfaction with the program is moderate. They view</w:t>
      </w:r>
      <w:r w:rsidR="007F429D">
        <w:t xml:space="preserve"> implementer</w:t>
      </w:r>
      <w:r w:rsidRPr="002E051C">
        <w:rPr>
          <w:rFonts w:cs="Calibri"/>
          <w:color w:val="000000"/>
        </w:rPr>
        <w:t xml:space="preserve"> </w:t>
      </w:r>
      <w:r w:rsidRPr="002E051C">
        <w:t xml:space="preserve">CSP Performance Systems Development’s (PSD) support and relationship favorably. They are commonly dissatisfied with the paperwork and logistical burdens, especially coordination with HERS raters and the time lag between application submittal and rebate arrival. Although still interested in future participation, nonparticipating builders do not participate because of high incremental costs and excessive documentation associated with the program’s incentive application. </w:t>
      </w:r>
    </w:p>
    <w:p w:rsidR="002E051C" w:rsidRPr="002E051C" w:rsidRDefault="002E051C" w:rsidP="002E051C"/>
    <w:p w:rsidR="002E051C" w:rsidRPr="002E051C" w:rsidRDefault="002E051C" w:rsidP="002E051C">
      <w:r w:rsidRPr="002E051C">
        <w:t xml:space="preserve">Builders project the new homes market will remain the same or experience modest growth in the next year, while participating builders—many of whom report creating their own energy efficiency packages—perceive declining value in the ENERGY STAR New Home certification. </w:t>
      </w:r>
    </w:p>
    <w:p w:rsidR="002E051C" w:rsidRPr="002E051C" w:rsidRDefault="002E051C" w:rsidP="002E051C"/>
    <w:p w:rsidR="002E051C" w:rsidRPr="002E051C" w:rsidRDefault="002E051C" w:rsidP="002E051C">
      <w:r w:rsidRPr="002E051C">
        <w:t xml:space="preserve">Raters are satisfied with the program, especially with PSD. They uniformly reported their biggest challenge to be appealing to builders for their service value. All raters project that their rating business will stay constant in the coming year. </w:t>
      </w:r>
    </w:p>
    <w:p w:rsidR="002E051C" w:rsidRPr="002E051C" w:rsidRDefault="002E051C" w:rsidP="002E051C"/>
    <w:p w:rsidR="002E051C" w:rsidRPr="002E051C" w:rsidRDefault="002E051C" w:rsidP="00D613BE">
      <w:pPr>
        <w:pStyle w:val="AppendixBHeading4"/>
      </w:pPr>
      <w:r w:rsidRPr="002E051C">
        <w:t>Summary of the Process Evaluation Audit</w:t>
      </w:r>
    </w:p>
    <w:p w:rsidR="002E051C" w:rsidRPr="002E051C" w:rsidRDefault="002E051C" w:rsidP="002E051C">
      <w:pPr>
        <w:rPr>
          <w:highlight w:val="lightGray"/>
        </w:rPr>
      </w:pPr>
      <w:r w:rsidRPr="002E051C">
        <w:t>The ADM</w:t>
      </w:r>
      <w:r w:rsidR="0009501A">
        <w:t>/Tetra Tech</w:t>
      </w:r>
      <w:r w:rsidRPr="002E051C">
        <w:t xml:space="preserve"> team summarized findings well and drew well-reasoned findings. However, market size data of builders and raters were absent in the report; this would provide more information about the representation of the interviews that were conducted, thus strengthening the methodology. The SWE Team recommends including in the report the population size of participating and nonparticipating builders and raters working in the area as well as sample size. </w:t>
      </w:r>
    </w:p>
    <w:p w:rsidR="002E051C" w:rsidRDefault="002E051C" w:rsidP="002E051C">
      <w:pPr>
        <w:rPr>
          <w:highlight w:val="lightGray"/>
        </w:rPr>
      </w:pPr>
    </w:p>
    <w:p w:rsidR="002E051C" w:rsidRPr="002E051C" w:rsidRDefault="002E051C" w:rsidP="00D613BE">
      <w:pPr>
        <w:pStyle w:val="AppendixBHeading2"/>
      </w:pPr>
      <w:r w:rsidRPr="002E051C">
        <w:t xml:space="preserve">Non-Residential Programs   </w:t>
      </w:r>
    </w:p>
    <w:p w:rsidR="002E051C" w:rsidRPr="002E051C" w:rsidRDefault="002E051C" w:rsidP="002E051C">
      <w:r w:rsidRPr="002E051C">
        <w:t>ADM</w:t>
      </w:r>
      <w:r w:rsidR="0009501A">
        <w:t>/Tetra Tech</w:t>
      </w:r>
      <w:r w:rsidRPr="002E051C">
        <w:t xml:space="preserve"> reported on process evaluations for five non-residential programs: Energy Efficient Equipment – Small, Energy Efficient Buildings – Small, Energy Efficient Equipment – Large, Energy Efficient Buildings – Large, and Government and Institutional Program. </w:t>
      </w:r>
    </w:p>
    <w:p w:rsidR="002E051C" w:rsidRPr="002E051C" w:rsidRDefault="002E051C" w:rsidP="002E051C"/>
    <w:p w:rsidR="002E051C" w:rsidRPr="002E051C" w:rsidRDefault="002E051C" w:rsidP="002E051C">
      <w:r w:rsidRPr="002E051C">
        <w:t>Except for Energy Efficient Buildings – Small and Energy Efficient Buildings – Large, there were no process evaluation activities in PY7 because the ADM</w:t>
      </w:r>
      <w:r w:rsidR="0009501A">
        <w:t>/Tetra Tech</w:t>
      </w:r>
      <w:r w:rsidRPr="002E051C">
        <w:t xml:space="preserve"> team had conducted process evaluations of all the other non-residential programs in PY6. For the respective programs that were evaluated in PY7, the ADM</w:t>
      </w:r>
      <w:r w:rsidR="0009501A">
        <w:t>/Tetra Tech</w:t>
      </w:r>
      <w:r w:rsidRPr="002E051C">
        <w:t xml:space="preserve"> team conducted in-depth interviews with participating contractors and surveyed participants.</w:t>
      </w:r>
    </w:p>
    <w:p w:rsidR="002E051C" w:rsidRPr="002E051C" w:rsidRDefault="002E051C" w:rsidP="002E051C"/>
    <w:p w:rsidR="002E051C" w:rsidRPr="002E051C" w:rsidRDefault="002E051C" w:rsidP="00D613BE">
      <w:pPr>
        <w:pStyle w:val="AppendixBHeading3"/>
      </w:pPr>
      <w:r w:rsidRPr="002E051C">
        <w:t>Energy Efficient Buildings – Small and Large</w:t>
      </w:r>
    </w:p>
    <w:p w:rsidR="002E051C" w:rsidRPr="002E051C" w:rsidRDefault="002E051C" w:rsidP="00D613BE">
      <w:pPr>
        <w:pStyle w:val="AppendixBHeading4"/>
      </w:pPr>
      <w:r w:rsidRPr="002E051C">
        <w:t>Brief Overview of the Program</w:t>
      </w:r>
      <w:r w:rsidR="007F429D">
        <w:t>s</w:t>
      </w:r>
      <w:r w:rsidRPr="002E051C">
        <w:t xml:space="preserve"> and </w:t>
      </w:r>
      <w:r w:rsidR="007F429D">
        <w:t>Their</w:t>
      </w:r>
      <w:r w:rsidRPr="002E051C">
        <w:t xml:space="preserve"> Success</w:t>
      </w:r>
    </w:p>
    <w:p w:rsidR="002E051C" w:rsidRPr="002E051C" w:rsidRDefault="002E051C" w:rsidP="002E051C">
      <w:r w:rsidRPr="002E051C">
        <w:t>Th</w:t>
      </w:r>
      <w:r w:rsidR="007F429D">
        <w:t>ese</w:t>
      </w:r>
      <w:r w:rsidRPr="002E051C">
        <w:t xml:space="preserve"> program</w:t>
      </w:r>
      <w:r w:rsidR="007F429D">
        <w:t>s</w:t>
      </w:r>
      <w:r w:rsidRPr="002E051C">
        <w:t xml:space="preserve"> include energy conservation kits consisting of CFLs, and custom whole-building projects such as new construction, retro-commissioning, and building envelope improvements. In PY7, Energy Efficient Buildings Programs – Small and Energy Efficient Buildings – Large were under budget for all four EDCs. Two EDCs, </w:t>
      </w:r>
      <w:r w:rsidRPr="002E051C">
        <w:rPr>
          <w:color w:val="000000"/>
        </w:rPr>
        <w:t xml:space="preserve">Met-Ed and Penn Power, fell </w:t>
      </w:r>
      <w:r w:rsidRPr="002E051C">
        <w:t xml:space="preserve">short of their </w:t>
      </w:r>
      <w:r w:rsidR="00203167">
        <w:t xml:space="preserve">EE&amp;C Plan </w:t>
      </w:r>
      <w:r w:rsidRPr="002E051C">
        <w:t xml:space="preserve">savings </w:t>
      </w:r>
      <w:r w:rsidR="00203167">
        <w:t>projections for PY7</w:t>
      </w:r>
      <w:r w:rsidRPr="002E051C">
        <w:t xml:space="preserve">, respectively achieving 70%/65% (Small/Large) and 78%/94% (Small/Large) of target energy savings. </w:t>
      </w:r>
    </w:p>
    <w:p w:rsidR="002E051C" w:rsidRPr="002E051C" w:rsidRDefault="002E051C" w:rsidP="002E051C">
      <w:r w:rsidRPr="002E051C">
        <w:t>The ADM</w:t>
      </w:r>
      <w:r w:rsidR="0009501A">
        <w:t>/Tetra Tech</w:t>
      </w:r>
      <w:r w:rsidRPr="002E051C">
        <w:t xml:space="preserve"> team conducted surveys with participants and in-depth interviews with participating contractors. Participants of the programs</w:t>
      </w:r>
      <w:r w:rsidR="007F429D">
        <w:t>’</w:t>
      </w:r>
      <w:r w:rsidRPr="002E051C">
        <w:t xml:space="preserve"> custom component (Small and Large) are highly satisfied, and 69% of participants reported recommending the program to others. Satisfaction with the conservation kit program component (Small) was also very high, but participants suggested upgrading lamps to LEDs. Overall, the ADM</w:t>
      </w:r>
      <w:r w:rsidR="0009501A">
        <w:t>/Tetra Tech</w:t>
      </w:r>
      <w:r w:rsidRPr="002E051C">
        <w:t xml:space="preserve"> team reported that small businesses require the most assistance with the application process.  </w:t>
      </w:r>
    </w:p>
    <w:p w:rsidR="002E051C" w:rsidRPr="002E051C" w:rsidRDefault="002E051C" w:rsidP="002E051C"/>
    <w:p w:rsidR="002E051C" w:rsidRPr="002E051C" w:rsidRDefault="002E051C" w:rsidP="002E051C">
      <w:r w:rsidRPr="002E051C">
        <w:t>The ADM</w:t>
      </w:r>
      <w:r w:rsidR="0009501A">
        <w:t>/Tetra Tech</w:t>
      </w:r>
      <w:r w:rsidRPr="002E051C">
        <w:t xml:space="preserve"> team reported evidence that contractors are actively playing important roles in communicating with potential customers about potential savings, return on investment, and other non-energy benefits. These contractors commonly faced difficulties with documentation and paperwork requirements, pre-approval wait times, eligibility requirements, and frequent QA inspections by the implementation CSP. Contractors generally reported that the implementation CSP was accessible for troubleshooting when needed. </w:t>
      </w:r>
    </w:p>
    <w:p w:rsidR="002E051C" w:rsidRPr="00976114" w:rsidRDefault="002E051C" w:rsidP="00976114"/>
    <w:p w:rsidR="002E051C" w:rsidRPr="002E051C" w:rsidRDefault="002E051C" w:rsidP="00D613BE">
      <w:pPr>
        <w:pStyle w:val="AppendixBHeading4"/>
      </w:pPr>
      <w:r w:rsidRPr="002E051C">
        <w:t>Summary of the Process Evaluation Audit</w:t>
      </w:r>
    </w:p>
    <w:p w:rsidR="002E051C" w:rsidRPr="002E051C" w:rsidRDefault="002E051C" w:rsidP="002E051C">
      <w:pPr>
        <w:spacing w:before="120"/>
      </w:pPr>
      <w:r w:rsidRPr="002E051C">
        <w:t xml:space="preserve">Overall, the process evaluation discussion was succinct and highlighted findings that should be of value to the administrator and implementer. However, the report did not discuss population and sample size of the participating contractors, which would provide more information about the representation of the interviews that were conducted and strengthen the methodology. </w:t>
      </w:r>
    </w:p>
    <w:p w:rsidR="002E051C" w:rsidRPr="002E051C" w:rsidRDefault="002E051C" w:rsidP="002E051C">
      <w:pPr>
        <w:spacing w:before="120"/>
      </w:pPr>
      <w:r w:rsidRPr="002E051C">
        <w:t>In addition, the SWE Team points out that, for all four EDCs, both the target and achieved sample sizes for both the kits and custom components of Energy Efficient Buildings – Small</w:t>
      </w:r>
      <w:r w:rsidR="00BF245F">
        <w:t>,</w:t>
      </w:r>
      <w:r w:rsidRPr="002E051C">
        <w:t xml:space="preserve"> actually well exceeded the required 85/15 confidence/precision level shown in the sampling strategy table. The SWE Team has no objections to this greater-than-required precision and confidence but would recommend that the sampling table show the actual target confidence and precision levels. </w:t>
      </w:r>
    </w:p>
    <w:p w:rsidR="00976114" w:rsidRPr="002E051C" w:rsidRDefault="00976114" w:rsidP="002E051C"/>
    <w:p w:rsidR="002E051C" w:rsidRPr="002E051C" w:rsidRDefault="002E051C" w:rsidP="00D613BE">
      <w:pPr>
        <w:pStyle w:val="AppendixBHeading1"/>
      </w:pPr>
      <w:r w:rsidRPr="002E051C">
        <w:t>Pennsylvania Electric Company</w:t>
      </w:r>
    </w:p>
    <w:p w:rsidR="002E051C" w:rsidRPr="002E051C" w:rsidRDefault="002E051C" w:rsidP="002E051C">
      <w:r w:rsidRPr="002E051C">
        <w:t>FirstEnergy’s evaluation contractor, ADM</w:t>
      </w:r>
      <w:r w:rsidR="0009501A">
        <w:t>/</w:t>
      </w:r>
      <w:r w:rsidR="007F6A35">
        <w:t xml:space="preserve">Tetra </w:t>
      </w:r>
      <w:r w:rsidR="0009501A">
        <w:t>Tech</w:t>
      </w:r>
      <w:r w:rsidRPr="002E051C">
        <w:t xml:space="preserve">, took unified process evaluation approaches to these programs across the four FirstEnergy EDCs, including Penelec, and so the annual evaluation reports of the four FirstEnergy EDCs report identical information about the process evaluation. Therefore, the SWE Team’s audit summary described </w:t>
      </w:r>
      <w:r w:rsidR="00203167">
        <w:t xml:space="preserve">for Met-Ed </w:t>
      </w:r>
      <w:r w:rsidRPr="002E051C">
        <w:t xml:space="preserve">in Section </w:t>
      </w:r>
      <w:r w:rsidRPr="002E051C">
        <w:fldChar w:fldCharType="begin"/>
      </w:r>
      <w:r w:rsidRPr="002E051C">
        <w:instrText xml:space="preserve"> REF _Ref469482704 \r \h </w:instrText>
      </w:r>
      <w:r w:rsidRPr="002E051C">
        <w:fldChar w:fldCharType="separate"/>
      </w:r>
      <w:r w:rsidR="00037CB4">
        <w:t>B.2</w:t>
      </w:r>
      <w:r w:rsidRPr="002E051C">
        <w:fldChar w:fldCharType="end"/>
      </w:r>
      <w:r w:rsidRPr="002E051C">
        <w:t xml:space="preserve"> pertains to all four FirstEnergy utilities, including Penelec. </w:t>
      </w:r>
    </w:p>
    <w:p w:rsidR="002E051C" w:rsidRPr="002E051C" w:rsidRDefault="002E051C" w:rsidP="002E051C"/>
    <w:p w:rsidR="002E051C" w:rsidRPr="002E051C" w:rsidRDefault="002E051C" w:rsidP="00D613BE">
      <w:pPr>
        <w:pStyle w:val="AppendixBHeading1"/>
      </w:pPr>
      <w:r w:rsidRPr="002E051C">
        <w:t>Pennsylvania Power Company</w:t>
      </w:r>
    </w:p>
    <w:p w:rsidR="002E051C" w:rsidRPr="002E051C" w:rsidRDefault="002E051C" w:rsidP="002E051C">
      <w:r w:rsidRPr="002E051C">
        <w:t>FirstEnergy’s evaluation contractor, ADM</w:t>
      </w:r>
      <w:r w:rsidR="0009501A">
        <w:t>/Tetra Tech</w:t>
      </w:r>
      <w:r w:rsidRPr="002E051C">
        <w:t xml:space="preserve">, took unified process evaluation approaches to these programs across the four FirstEnergy EDCs, including Penn Power, and so the annual evaluation reports of the four FirstEnergy EDCs report identical information about the process evaluation. Therefore, the SWE Team’s audit summary described </w:t>
      </w:r>
      <w:r w:rsidR="00203167">
        <w:t xml:space="preserve">for Met-Ed </w:t>
      </w:r>
      <w:r w:rsidRPr="002E051C">
        <w:t xml:space="preserve">in Section </w:t>
      </w:r>
      <w:r w:rsidRPr="002E051C">
        <w:fldChar w:fldCharType="begin"/>
      </w:r>
      <w:r w:rsidRPr="002E051C">
        <w:instrText xml:space="preserve"> REF _Ref469482704 \r \h </w:instrText>
      </w:r>
      <w:r w:rsidRPr="002E051C">
        <w:fldChar w:fldCharType="separate"/>
      </w:r>
      <w:r w:rsidR="00037CB4">
        <w:t>B.2</w:t>
      </w:r>
      <w:r w:rsidRPr="002E051C">
        <w:fldChar w:fldCharType="end"/>
      </w:r>
      <w:r w:rsidRPr="002E051C">
        <w:t xml:space="preserve"> pertains to all four FirstEnergy utilities, including Penn Power. </w:t>
      </w:r>
    </w:p>
    <w:p w:rsidR="002E051C" w:rsidRPr="002E051C" w:rsidRDefault="002E051C" w:rsidP="002E051C"/>
    <w:p w:rsidR="002E051C" w:rsidRPr="002E051C" w:rsidRDefault="002E051C" w:rsidP="00D613BE">
      <w:pPr>
        <w:pStyle w:val="AppendixBHeading1"/>
      </w:pPr>
      <w:r w:rsidRPr="002E051C">
        <w:t xml:space="preserve">West Penn Power </w:t>
      </w:r>
    </w:p>
    <w:p w:rsidR="002E051C" w:rsidRPr="002E051C" w:rsidRDefault="002E051C" w:rsidP="002E051C">
      <w:r w:rsidRPr="002E051C">
        <w:t>FirstEnergy’s evaluation contractor, ADM</w:t>
      </w:r>
      <w:r w:rsidR="0009501A">
        <w:t>/Tetra Tech</w:t>
      </w:r>
      <w:r w:rsidRPr="002E051C">
        <w:t xml:space="preserve">, took unified process evaluation approaches to these programs across the four FirstEnergy EDCs, including West Penn, and so the annual evaluation reports of the four FirstEnergy EDCs report identical information about the process evaluation. Therefore, the SWE Team’s audit summary described </w:t>
      </w:r>
      <w:r w:rsidR="00203167">
        <w:t xml:space="preserve">for Met-Ed </w:t>
      </w:r>
      <w:r w:rsidRPr="002E051C">
        <w:t xml:space="preserve">in Section </w:t>
      </w:r>
      <w:r w:rsidRPr="002E051C">
        <w:fldChar w:fldCharType="begin"/>
      </w:r>
      <w:r w:rsidRPr="002E051C">
        <w:instrText xml:space="preserve"> REF _Ref469482704 \r \h </w:instrText>
      </w:r>
      <w:r w:rsidRPr="002E051C">
        <w:fldChar w:fldCharType="separate"/>
      </w:r>
      <w:r w:rsidR="00037CB4">
        <w:t>B.2</w:t>
      </w:r>
      <w:r w:rsidRPr="002E051C">
        <w:fldChar w:fldCharType="end"/>
      </w:r>
      <w:r w:rsidRPr="002E051C">
        <w:t xml:space="preserve"> pertains to all four FirstEnergy utilities, including West Penn.</w:t>
      </w:r>
    </w:p>
    <w:p w:rsidR="002E051C" w:rsidRDefault="002E051C" w:rsidP="002E051C"/>
    <w:p w:rsidR="00B32B81" w:rsidRDefault="00B32B81" w:rsidP="002E051C"/>
    <w:p w:rsidR="00B32B81" w:rsidRDefault="00B32B81" w:rsidP="002E051C"/>
    <w:p w:rsidR="00B32B81" w:rsidRDefault="00B32B81" w:rsidP="002E051C"/>
    <w:p w:rsidR="002E051C" w:rsidRPr="002E051C" w:rsidRDefault="002E051C" w:rsidP="00D613BE">
      <w:pPr>
        <w:pStyle w:val="AppendixBHeading1"/>
      </w:pPr>
      <w:r w:rsidRPr="002E051C">
        <w:t>PECO Energy Company</w:t>
      </w:r>
    </w:p>
    <w:p w:rsidR="002E051C" w:rsidRPr="002E051C" w:rsidRDefault="002E051C" w:rsidP="00D613BE">
      <w:pPr>
        <w:pStyle w:val="AppendixBHeading2"/>
      </w:pPr>
      <w:r w:rsidRPr="002E051C">
        <w:t>Residential Programs</w:t>
      </w:r>
    </w:p>
    <w:p w:rsidR="002E051C" w:rsidRPr="002E051C" w:rsidRDefault="002E051C" w:rsidP="002E051C">
      <w:r w:rsidRPr="002E051C">
        <w:t xml:space="preserve">Navigant reported on process evaluations for eight residential programs: Smart Home Rebates (SHR), Smart House Call (SHC), Smart Appliance Recycling (SAR), Smart Usage Profile (SUP), Smart Energy Saver (SES), Smart Builder Rebates (SBR), Smart A/C Saver (SACS), and Smart Multifamily (SMF) Solutions.  </w:t>
      </w:r>
    </w:p>
    <w:p w:rsidR="002E051C" w:rsidRPr="002E051C" w:rsidRDefault="002E051C" w:rsidP="002E051C"/>
    <w:p w:rsidR="002E051C" w:rsidRPr="002E051C" w:rsidRDefault="002E051C" w:rsidP="002E051C">
      <w:r w:rsidRPr="002E051C">
        <w:t xml:space="preserve">For the process evaluations of the above programs, Navigant reviewed program documents and data; interviewed utility and implementation staff as well as staff of market actors affiliated with the program (HVAC installers and builders); and surveyed program participants and nonparticipants. The document and program data review informed identification of program goals, activities, and updates, and in some instances, identification of program trends and data-tracking errors. The research issues addressed by the primary data-collection activities (in-depth interviews and surveys) varied among programs but generally included the effectiveness of program administration, implementation, and delivery, and customer program satisfaction, participation, challenges, and recommendations. </w:t>
      </w:r>
    </w:p>
    <w:p w:rsidR="002E051C" w:rsidRPr="002E051C" w:rsidRDefault="002E051C" w:rsidP="002E051C"/>
    <w:p w:rsidR="002E051C" w:rsidRPr="002E051C" w:rsidRDefault="002E051C" w:rsidP="002E051C">
      <w:r w:rsidRPr="002E051C">
        <w:t>The depth of presentation of questions asked and feedback provided by Navigant in PECO’s PY7 annual report highlighted findings that are of value to the administrator and implementer.</w:t>
      </w:r>
    </w:p>
    <w:p w:rsidR="002E051C" w:rsidRPr="002E051C" w:rsidRDefault="002E051C" w:rsidP="002E051C"/>
    <w:p w:rsidR="002E051C" w:rsidRPr="002E051C" w:rsidRDefault="002E051C" w:rsidP="002E051C">
      <w:r w:rsidRPr="002E051C">
        <w:t>For each program, a brief program description, summary of the process evaluation findings, and review (audit) of the annual report follow below. The SWE Team notes one general comment about the findings, conclusions, and recommendations for the process evaluations of PECO programs: many recommendations were drawn from key findings rather than from conclusions. Connecting findings to conclusions and then recommendations would help the reader better judge the quality of the recommendations.</w:t>
      </w:r>
    </w:p>
    <w:p w:rsidR="002E051C" w:rsidRPr="002E051C" w:rsidRDefault="002E051C" w:rsidP="002E051C"/>
    <w:p w:rsidR="002E051C" w:rsidRPr="002E051C" w:rsidRDefault="002E051C" w:rsidP="00D613BE">
      <w:pPr>
        <w:pStyle w:val="AppendixBHeading3"/>
      </w:pPr>
      <w:r w:rsidRPr="002E051C">
        <w:t>Smart Home Rebates (SHR) Program</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The SHR Program attempts to achieve energy savings by providing incentives to PECO customers through retailer and HVAC installer sales channels.</w:t>
      </w:r>
      <w:r w:rsidRPr="002E051C">
        <w:rPr>
          <w:vertAlign w:val="superscript"/>
        </w:rPr>
        <w:footnoteReference w:id="78"/>
      </w:r>
      <w:r w:rsidRPr="002E051C">
        <w:t xml:space="preserve"> The program offers incentives for high-efficiency appliances and HVAC equipment. The program also provides up-stream buy-down incentives to manufacturers of CFL and LED meas</w:t>
      </w:r>
      <w:r w:rsidR="007F429D">
        <w:t xml:space="preserve">ures and/or retailers. In PY7, </w:t>
      </w:r>
      <w:r w:rsidRPr="002E051C">
        <w:t>SHR</w:t>
      </w:r>
      <w:r w:rsidR="007F429D">
        <w:t xml:space="preserve"> reported</w:t>
      </w:r>
      <w:r w:rsidRPr="002E051C">
        <w:t xml:space="preserve"> gross annual energy and demand savings of 142,472 MWh and 20.6 MW, respectively. </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976114">
      <w:pPr>
        <w:spacing w:after="120"/>
      </w:pPr>
      <w:r w:rsidRPr="002E051C">
        <w:t>Navigant employed several data-collection methods to gather information for the process evaluation. For lighting measures, it reviewed program materials, interviewed program manager and implementation staff, and conducted an in-store intercept survey of 530 customers and a shelf survey of 17 stores. For non-lighting measures, Navigant conducted 11 in-depth interviews with HVAC installers and 200 telephone surveys with HVAC and appliance rebate participants. Navigant also reviewed the participation tracking databases. Based on these data, eight key findings emerged:</w:t>
      </w:r>
    </w:p>
    <w:p w:rsidR="002E051C" w:rsidRPr="00976114" w:rsidRDefault="002E051C" w:rsidP="00E646C9">
      <w:pPr>
        <w:pStyle w:val="ListParagraph"/>
        <w:numPr>
          <w:ilvl w:val="0"/>
          <w:numId w:val="106"/>
        </w:numPr>
        <w:ind w:left="360"/>
      </w:pPr>
      <w:r w:rsidRPr="00976114">
        <w:t>There were errors as well as gaps in the PY7 participation tracking data. Gaps in the tracking data for air conditioners resulted in discrepancies between reported and verified savings for central and room air conditioners.</w:t>
      </w:r>
    </w:p>
    <w:p w:rsidR="002E051C" w:rsidRPr="00976114" w:rsidRDefault="002E051C" w:rsidP="00E646C9">
      <w:pPr>
        <w:pStyle w:val="ListParagraph"/>
        <w:numPr>
          <w:ilvl w:val="0"/>
          <w:numId w:val="106"/>
        </w:numPr>
        <w:ind w:left="360"/>
      </w:pPr>
      <w:r w:rsidRPr="00976114">
        <w:t xml:space="preserve">About 71% of surveyed customers reported being aware of PECO’s LED store discounts in PY7. In PY5, a notably higher proportion of surveyed customers (86%) were aware of PECO’s LED store discounts.  </w:t>
      </w:r>
    </w:p>
    <w:p w:rsidR="002E051C" w:rsidRPr="00976114" w:rsidRDefault="002E051C" w:rsidP="00E646C9">
      <w:pPr>
        <w:pStyle w:val="ListParagraph"/>
        <w:numPr>
          <w:ilvl w:val="0"/>
          <w:numId w:val="106"/>
        </w:numPr>
        <w:ind w:left="360"/>
      </w:pPr>
      <w:r w:rsidRPr="00976114">
        <w:t>About 12% of PY7 lighting participants were identified as low-income. Energy and demand savings from these participants were not claimed as low-income savings.</w:t>
      </w:r>
    </w:p>
    <w:p w:rsidR="002E051C" w:rsidRPr="00976114" w:rsidRDefault="002E051C" w:rsidP="00E646C9">
      <w:pPr>
        <w:pStyle w:val="ListParagraph"/>
        <w:numPr>
          <w:ilvl w:val="0"/>
          <w:numId w:val="106"/>
        </w:numPr>
        <w:ind w:left="360"/>
      </w:pPr>
      <w:r w:rsidRPr="00976114">
        <w:t>The shelf surveys revealed that increasing shelf space occupied by LEDs has corresponded with decreasing shelf space occupied by CFLs. The proportion of lighting shelf space dedicated to efficient bulbs has not changed substantially over the past five years.</w:t>
      </w:r>
    </w:p>
    <w:p w:rsidR="002E051C" w:rsidRPr="00976114" w:rsidRDefault="002E051C" w:rsidP="00E646C9">
      <w:pPr>
        <w:pStyle w:val="ListParagraph"/>
        <w:numPr>
          <w:ilvl w:val="0"/>
          <w:numId w:val="106"/>
        </w:numPr>
        <w:ind w:left="360"/>
      </w:pPr>
      <w:r w:rsidRPr="00976114">
        <w:t xml:space="preserve">The most commonly cited reason for not purchasing LEDs was cost (“too expensive”). </w:t>
      </w:r>
    </w:p>
    <w:p w:rsidR="002E051C" w:rsidRPr="00976114" w:rsidRDefault="002E051C" w:rsidP="00E646C9">
      <w:pPr>
        <w:pStyle w:val="ListParagraph"/>
        <w:numPr>
          <w:ilvl w:val="0"/>
          <w:numId w:val="106"/>
        </w:numPr>
        <w:ind w:left="360"/>
      </w:pPr>
      <w:r w:rsidRPr="00976114">
        <w:t xml:space="preserve">Satisfaction with PECO has remained high since PY5. </w:t>
      </w:r>
    </w:p>
    <w:p w:rsidR="002E051C" w:rsidRPr="00976114" w:rsidRDefault="002E051C" w:rsidP="00E646C9">
      <w:pPr>
        <w:pStyle w:val="ListParagraph"/>
        <w:numPr>
          <w:ilvl w:val="0"/>
          <w:numId w:val="106"/>
        </w:numPr>
        <w:ind w:left="360"/>
      </w:pPr>
      <w:r w:rsidRPr="00976114">
        <w:t xml:space="preserve">The majority of HVAC participants (71%) learned of the program primarily from contractors, installers, or builders. </w:t>
      </w:r>
    </w:p>
    <w:p w:rsidR="002E051C" w:rsidRPr="00976114" w:rsidRDefault="002E051C" w:rsidP="00E646C9">
      <w:pPr>
        <w:pStyle w:val="ListParagraph"/>
        <w:numPr>
          <w:ilvl w:val="0"/>
          <w:numId w:val="106"/>
        </w:numPr>
        <w:ind w:left="360"/>
      </w:pPr>
      <w:r w:rsidRPr="00976114">
        <w:t xml:space="preserve">Downturn in the number of installations, either from seasonal shifts or from PECO scaling back the program, affected smaller “mom-and-pop” HVAC installation companies much more than larger companies. </w:t>
      </w:r>
    </w:p>
    <w:p w:rsidR="002E051C" w:rsidRPr="002E051C" w:rsidRDefault="002E051C" w:rsidP="002E051C"/>
    <w:p w:rsidR="002E051C" w:rsidRPr="002E051C" w:rsidRDefault="002E051C" w:rsidP="00D613BE">
      <w:pPr>
        <w:pStyle w:val="AppendixBHeading4"/>
      </w:pPr>
      <w:r w:rsidRPr="002E051C">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Default="002E051C" w:rsidP="002E051C">
      <w:r w:rsidRPr="002E051C">
        <w:t xml:space="preserve">For the data-collection tasks requiring sampling, the SWE Team determined that the sampling approach for those tasks followed the approved sampling plans, and the report incorporated the required tables showing the sampling strategy. Navigant used a random sampling approach for the customer surveys and a stratified random sampling approach for the participant survey, focusing on two strata: lighting and non-lighting (HVAC and appliances) measures. Navigant achieved sample sizes that provided 85/15 confidence/precision per data-collection activity and/or stratum. </w:t>
      </w:r>
    </w:p>
    <w:p w:rsidR="002057C5" w:rsidRPr="002E051C" w:rsidRDefault="002057C5" w:rsidP="002E051C"/>
    <w:p w:rsidR="002E051C" w:rsidRPr="002E051C" w:rsidRDefault="002E051C" w:rsidP="002E051C">
      <w:r w:rsidRPr="002E051C">
        <w:t>The SWE Team also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except in one area: there were no references to the statistical test(s) used to evaluate the strength of differences reported between PY5, PY6, and PY7. It would have been useful to know, for example, whether the proportion of respondents aware that PECO provided LED store discounts was statistically significantly different from PY5 to PY7. Navigant reports the sample sizes and proportions but does not report either the variability or a statistical assessment of the difference. The reporting could have benefitted from this additional level of detail.</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Most recommendations were clear and actionable and were supported by the findings. However, the reporting lacked conclusions, which affected how recommendations were developed. Recommendations were drawn from key findings rather than from conclusions.</w:t>
      </w:r>
    </w:p>
    <w:p w:rsidR="002E051C" w:rsidRPr="002E051C" w:rsidRDefault="002E051C" w:rsidP="002E051C"/>
    <w:p w:rsidR="002E051C" w:rsidRPr="002E051C" w:rsidRDefault="002E051C" w:rsidP="00D613BE">
      <w:pPr>
        <w:pStyle w:val="AppendixBHeading3"/>
      </w:pPr>
      <w:r w:rsidRPr="002E051C">
        <w:t>Smart House Call (SHC) Program</w:t>
      </w:r>
    </w:p>
    <w:p w:rsidR="002E051C" w:rsidRPr="002E051C" w:rsidRDefault="002E051C" w:rsidP="00D613BE">
      <w:pPr>
        <w:pStyle w:val="AppendixBHeading4"/>
      </w:pPr>
      <w:r w:rsidRPr="002E051C">
        <w:t>Brief Overview of the Program and Its Success</w:t>
      </w:r>
    </w:p>
    <w:p w:rsidR="002E051C" w:rsidRPr="00976114" w:rsidRDefault="002E051C" w:rsidP="00976114">
      <w:r w:rsidRPr="00976114">
        <w:t xml:space="preserve">The SHC Program is built around direct-install and contractor-installed measures. Electric-heat customers as well those with central air-conditioning living in single-family or multifamily dwellings with three or fewer units are eligible to participate. Program participants pay $50 for a walk-through assessment or $100 for a more in-depth audit. During the assessment or audit, an energy advisor installs appropriate direct-install measures and provides recommendations for the homeowner to consider. Those who opt for an in-depth audit receive an audit report that includes the full cost, incentive amount, and discounted cost of recommended contractor-installed measures as well as recommendations to consider on an un-incented basis. Reported PY7 SHC gross energy and demand savings were 6,742 MWh and 1 MW, respectively. </w:t>
      </w:r>
    </w:p>
    <w:p w:rsidR="002E051C" w:rsidRPr="002E051C" w:rsidRDefault="002E051C" w:rsidP="002E051C">
      <w:pPr>
        <w:autoSpaceDE w:val="0"/>
        <w:autoSpaceDN w:val="0"/>
        <w:adjustRightInd w:val="0"/>
        <w:jc w:val="left"/>
        <w:rPr>
          <w:rFonts w:cs="Calibri"/>
          <w:color w:val="000000"/>
        </w:rPr>
      </w:pPr>
    </w:p>
    <w:p w:rsidR="002E051C" w:rsidRPr="002E051C" w:rsidRDefault="002E051C" w:rsidP="00D613BE">
      <w:pPr>
        <w:pStyle w:val="AppendixBHeading4"/>
      </w:pPr>
      <w:r w:rsidRPr="002E051C">
        <w:t>Summary of the Process Evaluation Findings</w:t>
      </w:r>
    </w:p>
    <w:p w:rsidR="002E051C" w:rsidRPr="002E051C" w:rsidRDefault="002E051C" w:rsidP="00976114">
      <w:pPr>
        <w:spacing w:after="120"/>
        <w:rPr>
          <w:rFonts w:cs="Calibri"/>
          <w:color w:val="000000"/>
        </w:rPr>
      </w:pPr>
      <w:r w:rsidRPr="002E051C">
        <w:rPr>
          <w:rFonts w:cs="Calibri"/>
          <w:color w:val="000000"/>
        </w:rPr>
        <w:t>Navigant conducted a program database and materials review, a participant survey, and in-depth interviews with program staff. Based on these data, five key findings emerged:</w:t>
      </w:r>
    </w:p>
    <w:p w:rsidR="002E051C" w:rsidRPr="00976114" w:rsidRDefault="002E051C" w:rsidP="00E646C9">
      <w:pPr>
        <w:pStyle w:val="ListParagraph"/>
        <w:numPr>
          <w:ilvl w:val="0"/>
          <w:numId w:val="107"/>
        </w:numPr>
        <w:spacing w:after="60"/>
        <w:ind w:left="360"/>
        <w:contextualSpacing w:val="0"/>
      </w:pPr>
      <w:r w:rsidRPr="00976114">
        <w:t xml:space="preserve">Participant satisfaction was high. Those reporting some dissatisfaction provided the following reasons: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Water pressure declined after low-flow faucet aerators and showerhead were installed.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CFLs and LEDs did not reach full brightness fast enough.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CFL and LED bulbs did not work with dimmers.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TVs and other electronics did not function properly when they were plugged into the same smart strip outlet.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Customers did not see savings on their bills after measures were installed.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Information received did not have enough detail to learn anything new.</w:t>
      </w:r>
    </w:p>
    <w:p w:rsidR="002E051C" w:rsidRPr="002E051C" w:rsidRDefault="002E051C" w:rsidP="00976114">
      <w:pPr>
        <w:numPr>
          <w:ilvl w:val="1"/>
          <w:numId w:val="21"/>
        </w:numPr>
        <w:spacing w:after="60"/>
        <w:ind w:left="720"/>
        <w:rPr>
          <w:rFonts w:cs="Calibri"/>
          <w:color w:val="000000"/>
          <w:szCs w:val="20"/>
        </w:rPr>
      </w:pPr>
      <w:r w:rsidRPr="002E051C">
        <w:rPr>
          <w:rFonts w:cs="Calibri"/>
          <w:color w:val="000000"/>
          <w:szCs w:val="20"/>
        </w:rPr>
        <w:t xml:space="preserve">The energy adviser (in some cases) did not do a thorough job during the audit. </w:t>
      </w:r>
    </w:p>
    <w:p w:rsidR="002E051C" w:rsidRPr="00976114" w:rsidRDefault="002E051C" w:rsidP="00E646C9">
      <w:pPr>
        <w:pStyle w:val="ListParagraph"/>
        <w:numPr>
          <w:ilvl w:val="0"/>
          <w:numId w:val="107"/>
        </w:numPr>
        <w:ind w:left="360"/>
      </w:pPr>
      <w:r w:rsidRPr="00976114">
        <w:t>Although participants recalled receiving additional energy efficient upgrade recommendations, they did not commonly cite having been referred to other Smart Ideas programs for which they may be eligible.</w:t>
      </w:r>
    </w:p>
    <w:p w:rsidR="002E051C" w:rsidRPr="00976114" w:rsidRDefault="002E051C" w:rsidP="00E646C9">
      <w:pPr>
        <w:pStyle w:val="ListParagraph"/>
        <w:numPr>
          <w:ilvl w:val="0"/>
          <w:numId w:val="107"/>
        </w:numPr>
        <w:ind w:left="360"/>
      </w:pPr>
      <w:r w:rsidRPr="00976114">
        <w:t xml:space="preserve">Participants generally scheduled an audit once they learned of the program. </w:t>
      </w:r>
    </w:p>
    <w:p w:rsidR="002E051C" w:rsidRPr="00976114" w:rsidRDefault="002E051C" w:rsidP="00E646C9">
      <w:pPr>
        <w:pStyle w:val="ListParagraph"/>
        <w:numPr>
          <w:ilvl w:val="0"/>
          <w:numId w:val="107"/>
        </w:numPr>
        <w:ind w:left="360"/>
      </w:pPr>
      <w:r w:rsidRPr="00976114">
        <w:t xml:space="preserve">The top three channels through which participants heard about the program were bills inserts, mailers, and word of mouth. </w:t>
      </w:r>
    </w:p>
    <w:p w:rsidR="002E051C" w:rsidRPr="00976114" w:rsidRDefault="002E051C" w:rsidP="00E646C9">
      <w:pPr>
        <w:pStyle w:val="ListParagraph"/>
        <w:numPr>
          <w:ilvl w:val="0"/>
          <w:numId w:val="107"/>
        </w:numPr>
        <w:ind w:left="360"/>
      </w:pPr>
      <w:r w:rsidRPr="00976114">
        <w:t xml:space="preserve">The program manager noted that the limited time discounts, which PECO offered, have been particularly successful in increasing customer interest in assessments and program participation. </w:t>
      </w:r>
    </w:p>
    <w:p w:rsidR="002E051C" w:rsidRPr="00976114" w:rsidRDefault="002E051C" w:rsidP="00976114"/>
    <w:p w:rsidR="002E051C" w:rsidRPr="002E051C" w:rsidRDefault="002E051C" w:rsidP="00D613BE">
      <w:pPr>
        <w:pStyle w:val="AppendixBHeading4"/>
      </w:pPr>
      <w:r w:rsidRPr="002E051C">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Pr="002E051C" w:rsidRDefault="002E051C" w:rsidP="002E051C">
      <w:r w:rsidRPr="002E051C">
        <w:t xml:space="preserve">For the data-collection tasks requiring sampling, the SWE Team determined that the sampling approach for those tasks followed the approved sampling plans, and the report incorporated the required tables showing the sampling strategy. Navigant used a random sampling approach for the participant survey and achieved sample sizes that provided 85/15 confidence/precision. </w:t>
      </w:r>
    </w:p>
    <w:p w:rsidR="002E051C" w:rsidRPr="002E051C" w:rsidRDefault="002E051C" w:rsidP="002E051C"/>
    <w:p w:rsidR="002E051C" w:rsidRPr="002E051C" w:rsidRDefault="002E051C" w:rsidP="002E051C">
      <w:r w:rsidRPr="002E051C">
        <w:t>The SWE Team also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w:t>
      </w:r>
      <w:r w:rsidRPr="002E051C">
        <w:rPr>
          <w:rFonts w:ascii="Century Gothic" w:hAnsi="Century Gothic"/>
          <w:b/>
          <w:i/>
          <w:sz w:val="20"/>
        </w:rPr>
        <w:t xml:space="preserve"> </w:t>
      </w:r>
      <w:r w:rsidRPr="002E051C">
        <w:t>The recommendations were clear and actionable.</w:t>
      </w:r>
    </w:p>
    <w:p w:rsidR="002E051C" w:rsidRPr="002E051C" w:rsidRDefault="002E051C" w:rsidP="00D613BE">
      <w:pPr>
        <w:pStyle w:val="AppendixBHeading3"/>
      </w:pPr>
      <w:r w:rsidRPr="002E051C">
        <w:t>Smart Appliance Recycling (SAR) Program</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The SAR Program provides services and an incentive to customers who elect to have a refrigerator or freezer removed from their home.</w:t>
      </w:r>
      <w:r w:rsidRPr="002E051C">
        <w:rPr>
          <w:vertAlign w:val="superscript"/>
        </w:rPr>
        <w:footnoteReference w:id="79"/>
      </w:r>
      <w:r w:rsidRPr="002E051C">
        <w:t xml:space="preserve"> An independent implementation contractor, ARCA, operates the program and handles the application and pickup processes, collects data about participants and their appliances, and recycles the collected units in its regional facility. There was one notable change to the program in PY7: PECO hired ARCA to operate the program because a prior contractor, JACO, became insolvent in Q2 of PY7. JACO’s bankruptcy curtailed the program’s energy savings impact. Reported PY7 SAR gross annual energy and demand savings were 8,843 MWh and 1.2 MW, respectively. </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976114">
      <w:pPr>
        <w:spacing w:after="120"/>
      </w:pPr>
      <w:r w:rsidRPr="002E051C">
        <w:t>Data sources for the process evaluation included PY7 Q1–Q4 participation data, a telephone survey of 200 program participants, and an in-depth interview with the program manager. Based on these data, two key findings emerged:</w:t>
      </w:r>
    </w:p>
    <w:p w:rsidR="002E051C" w:rsidRPr="00976114" w:rsidRDefault="002E051C" w:rsidP="00E646C9">
      <w:pPr>
        <w:pStyle w:val="ListParagraph"/>
        <w:numPr>
          <w:ilvl w:val="0"/>
          <w:numId w:val="108"/>
        </w:numPr>
        <w:ind w:left="360"/>
      </w:pPr>
      <w:r w:rsidRPr="00976114">
        <w:t>JACO’s bankruptcy was likely responsible for SAR failing to reach its PY7 and Phase II goals. JACO’s closure also interfered with the delivery of participant rebates.</w:t>
      </w:r>
    </w:p>
    <w:p w:rsidR="002E051C" w:rsidRPr="00976114" w:rsidRDefault="002E051C" w:rsidP="00E646C9">
      <w:pPr>
        <w:pStyle w:val="ListParagraph"/>
        <w:numPr>
          <w:ilvl w:val="0"/>
          <w:numId w:val="108"/>
        </w:numPr>
        <w:ind w:left="360"/>
      </w:pPr>
      <w:r w:rsidRPr="00976114">
        <w:t>Program satisfaction dropped after JACO’s closure. For example, among the customers whose units were picked up months after the originally scheduled date, average satisfaction was 10% lower compared with participants whose units were picked up on time.</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Navigant completed all the PY7 activities listed in the evaluation plan except the interview with the implementer. Due to JACO’s closure and the timing of ARCA’s contractual agreement with PECO, Navigant was unable to interview the implementer for the PY7 evaluation.</w:t>
      </w:r>
    </w:p>
    <w:p w:rsidR="002E051C" w:rsidRPr="002E051C" w:rsidRDefault="002E051C" w:rsidP="002E051C"/>
    <w:p w:rsidR="002E051C" w:rsidRPr="002E051C" w:rsidRDefault="002E051C" w:rsidP="002E051C">
      <w:r w:rsidRPr="002E051C">
        <w:t xml:space="preserve">For the data-collection task requiring sampling, the SWE Team determined that the sampling approach yielded an adequate sample and the report incorporated the required table showing the sampling strategy. Navigant used a stratified random sampling approach for the participant survey. Two strata focused on the measures (refrigerators and freezers), and three strata focused on the participant experience—when the rebate check was delayed, when the pickup was delayed, and when the participant withdrew from the program. The sample provided 85/15 confidence/precision per stratum.   </w:t>
      </w:r>
    </w:p>
    <w:p w:rsidR="002E051C" w:rsidRPr="002E051C" w:rsidRDefault="002E051C" w:rsidP="002E051C"/>
    <w:p w:rsidR="002E051C" w:rsidRPr="002E051C" w:rsidRDefault="002E051C" w:rsidP="002E051C">
      <w:r w:rsidRPr="002E051C">
        <w:t xml:space="preserve">The SWE Team also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w:t>
      </w:r>
    </w:p>
    <w:p w:rsidR="002E051C" w:rsidRPr="002E051C" w:rsidRDefault="002E051C" w:rsidP="002E051C"/>
    <w:p w:rsidR="002E051C" w:rsidRDefault="002E051C" w:rsidP="002E051C">
      <w:r w:rsidRPr="002E051C">
        <w:t>Overall, the process evaluation discussion was succinct and highlighted findings that should be of value to the administrator and implementer.</w:t>
      </w:r>
      <w:r w:rsidRPr="002E051C">
        <w:rPr>
          <w:b/>
          <w:i/>
        </w:rPr>
        <w:t xml:space="preserve"> </w:t>
      </w:r>
      <w:r w:rsidRPr="002E051C">
        <w:t>The recommendations were clear and actionable and were supported by the findings. Recommendations were drawn from key findings.</w:t>
      </w:r>
    </w:p>
    <w:p w:rsidR="00D613BE" w:rsidRDefault="00D613BE" w:rsidP="002E051C"/>
    <w:p w:rsidR="00D613BE" w:rsidRPr="002E051C" w:rsidRDefault="00D613BE" w:rsidP="002E051C"/>
    <w:p w:rsidR="002E051C" w:rsidRPr="002E051C" w:rsidRDefault="002E051C" w:rsidP="002E051C"/>
    <w:p w:rsidR="002E051C" w:rsidRPr="002E051C" w:rsidRDefault="002E051C" w:rsidP="00D613BE">
      <w:pPr>
        <w:pStyle w:val="AppendixBHeading3"/>
      </w:pPr>
      <w:r w:rsidRPr="002E051C">
        <w:t>Smart Usage Profile (SUP) Program</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The primary goal of SUP is to achieve cost-effective energy savings by providing residential customers with energy-use feedback (either mailed or emailed HERs) to encourage adoption of energy efficient behaviors. PECO also uses the program as a tool to enhance customer engagement and encourage participation in other PECO energy efficiency programs. SUP is an opt-out program in which the implementer enrolls participants based on a</w:t>
      </w:r>
      <w:r w:rsidR="007F429D">
        <w:t xml:space="preserve">n </w:t>
      </w:r>
      <w:r w:rsidRPr="002E051C">
        <w:t xml:space="preserve">RCT design. Enrolled customers can opt out of the program by calling or emailing the program implementer. All participants also have access to an online web portal where they can track changes in their usage over time, establish energy savings goals, and review tips for saving energy and money. </w:t>
      </w:r>
    </w:p>
    <w:p w:rsidR="002E051C" w:rsidRPr="002E051C" w:rsidRDefault="002E051C" w:rsidP="002E051C"/>
    <w:p w:rsidR="002E051C" w:rsidRPr="002E051C" w:rsidRDefault="002E051C" w:rsidP="002E051C">
      <w:r w:rsidRPr="002E051C">
        <w:t>Only savings from the SUP in PY7 count toward PECO’s compliance goals for Phase II. During PY7 the program significantly exceeded its Phase II savings target of 20,000 MWh of gross energy savings. During PY7, the SUP achieved verified savings of 39,041 MWh.</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conducted analysis of participation data and in-depth interviews with the program manager and implementer. Based on these data, four key findings emerged:</w:t>
      </w:r>
    </w:p>
    <w:p w:rsidR="002E051C" w:rsidRPr="003145F3" w:rsidRDefault="002E051C" w:rsidP="00E646C9">
      <w:pPr>
        <w:pStyle w:val="ListParagraph"/>
        <w:numPr>
          <w:ilvl w:val="0"/>
          <w:numId w:val="109"/>
        </w:numPr>
        <w:ind w:left="360"/>
      </w:pPr>
      <w:r w:rsidRPr="003145F3">
        <w:t xml:space="preserve">Since PECO plans to increase the number of households receiving HERs in Phase III, the behavioral savings from this program will likely represent a significantly greater percentage of the residential portfolio’s savings. </w:t>
      </w:r>
    </w:p>
    <w:p w:rsidR="002E051C" w:rsidRPr="003145F3" w:rsidRDefault="002E051C" w:rsidP="00E646C9">
      <w:pPr>
        <w:pStyle w:val="ListParagraph"/>
        <w:numPr>
          <w:ilvl w:val="0"/>
          <w:numId w:val="109"/>
        </w:numPr>
        <w:ind w:left="360"/>
      </w:pPr>
      <w:r w:rsidRPr="003145F3">
        <w:t xml:space="preserve">The SUP uplift analysis shows that program participants are being successfully channeled into the SHC Program. Participants are not, however, successfully channeled into other PECO programs. </w:t>
      </w:r>
    </w:p>
    <w:p w:rsidR="002E051C" w:rsidRPr="003145F3" w:rsidRDefault="002E051C" w:rsidP="00E646C9">
      <w:pPr>
        <w:pStyle w:val="ListParagraph"/>
        <w:numPr>
          <w:ilvl w:val="0"/>
          <w:numId w:val="109"/>
        </w:numPr>
        <w:ind w:left="360"/>
      </w:pPr>
      <w:r w:rsidRPr="003145F3">
        <w:t xml:space="preserve">Very few household characteristics are used to tailor program messaging in the reports to households.  </w:t>
      </w:r>
    </w:p>
    <w:p w:rsidR="002E051C" w:rsidRPr="003145F3" w:rsidRDefault="002E051C" w:rsidP="00E646C9">
      <w:pPr>
        <w:pStyle w:val="ListParagraph"/>
        <w:numPr>
          <w:ilvl w:val="0"/>
          <w:numId w:val="109"/>
        </w:numPr>
        <w:ind w:left="360"/>
      </w:pPr>
      <w:r w:rsidRPr="003145F3">
        <w:t>A low proportion of SUP participants receive electronic HERs in addition to mailed reports. Yet data tracked by the implementer show a higher rate of customer engagement and a lower rate of customer complaints to the PECO call center from participants who receive reports electronically.</w:t>
      </w:r>
    </w:p>
    <w:p w:rsidR="002E051C" w:rsidRPr="002E051C" w:rsidRDefault="002E051C" w:rsidP="002E051C">
      <w:pPr>
        <w:ind w:left="720"/>
        <w:contextualSpacing/>
        <w:rPr>
          <w:szCs w:val="20"/>
        </w:rPr>
      </w:pPr>
    </w:p>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Navigant completed all the PY7 activities listed in the evaluation plan.</w:t>
      </w:r>
    </w:p>
    <w:p w:rsidR="002E051C" w:rsidRPr="002E051C" w:rsidRDefault="002E051C" w:rsidP="002E051C"/>
    <w:p w:rsidR="002E051C" w:rsidRPr="002E051C" w:rsidRDefault="002E051C" w:rsidP="002E051C">
      <w:r w:rsidRPr="002E051C">
        <w:t>None of the data-collection activities in PY7 required sampling.</w:t>
      </w:r>
    </w:p>
    <w:p w:rsidR="002E051C" w:rsidRPr="002E051C" w:rsidRDefault="002E051C" w:rsidP="002E051C"/>
    <w:p w:rsidR="002E051C" w:rsidRPr="002E051C" w:rsidRDefault="002E051C" w:rsidP="002E051C">
      <w:r w:rsidRPr="002E051C">
        <w:t>The SWE Team also determined that the reporting followed the SWE’s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The recommendations were clear and actionable and supported by findings.</w:t>
      </w:r>
    </w:p>
    <w:p w:rsidR="002E051C" w:rsidRDefault="002E051C" w:rsidP="002E051C"/>
    <w:p w:rsidR="00D613BE" w:rsidRDefault="00D613BE" w:rsidP="002E051C"/>
    <w:p w:rsidR="00D613BE" w:rsidRPr="002E051C" w:rsidRDefault="00D613BE" w:rsidP="002E051C"/>
    <w:p w:rsidR="002E051C" w:rsidRPr="002E051C" w:rsidRDefault="002E051C" w:rsidP="00D613BE">
      <w:pPr>
        <w:pStyle w:val="AppendixBHeading3"/>
      </w:pPr>
      <w:r w:rsidRPr="002E051C">
        <w:t>Smart Energy Saver (SES) Program</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The SES Program seeks to educate students about the benefits of energy efficiency through engaging information and fun activities. By reaching students at a young age, PECO expects that students will adopt energy efficient habits early on and continue to engage in energy efficient behavior throughout their lives. In addition to changing behavior through education, the SES encourages the installation of low-cost, energy efficient measures provided to each student through the PECO Smart Energy Saver Kits at no cost. In PY7 the SES distributed 12,324 full or slimmed-down kits and achieved residential-sector energy and demand savings of 2,413 MWh/yr and 0.3 MW, respectively.</w:t>
      </w:r>
    </w:p>
    <w:p w:rsidR="00A83E08" w:rsidRPr="002E051C" w:rsidRDefault="00A83E08"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did not conduct process evaluation for the SES during PY7 because PECO plans to discontinue the program after PY7. Navigant did, however, develop two process recommendations based on data from the impact evaluation:</w:t>
      </w:r>
    </w:p>
    <w:p w:rsidR="002E051C" w:rsidRPr="003145F3" w:rsidRDefault="002E051C" w:rsidP="00E646C9">
      <w:pPr>
        <w:pStyle w:val="ListParagraph"/>
        <w:numPr>
          <w:ilvl w:val="0"/>
          <w:numId w:val="110"/>
        </w:numPr>
        <w:ind w:left="360"/>
      </w:pPr>
      <w:r w:rsidRPr="003145F3">
        <w:t xml:space="preserve">The nightlight measure in the kit resulted in minimal energy savings because the baseline conditions verified through the student installation surveys indicated that in two-thirds of cases the nightlights were not replacing existing nightlights. In the TRM, it is assumed that kit nightlights are replacing existing nightlights. </w:t>
      </w:r>
    </w:p>
    <w:p w:rsidR="002E051C" w:rsidRPr="003145F3" w:rsidRDefault="002E051C" w:rsidP="00E646C9">
      <w:pPr>
        <w:pStyle w:val="ListParagraph"/>
        <w:numPr>
          <w:ilvl w:val="0"/>
          <w:numId w:val="110"/>
        </w:numPr>
        <w:ind w:left="360"/>
      </w:pPr>
      <w:r w:rsidRPr="003145F3">
        <w:t xml:space="preserve">The teacher survey responses indicated that the program implementation deviates from the program plan, as more than half of student installation surveys are filled out in the classroom rather than at home, and not all unused kits make it back to the program. </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Navigant noted no process evaluation activities in PY7 in its revised plan. It did, however, develop a few process recommendations based on data from the impact evaluation.  </w:t>
      </w:r>
    </w:p>
    <w:p w:rsidR="002E051C" w:rsidRPr="002E051C" w:rsidRDefault="002E051C" w:rsidP="002E051C"/>
    <w:p w:rsidR="002E051C" w:rsidRPr="002E051C" w:rsidRDefault="002E051C" w:rsidP="002E051C">
      <w:r w:rsidRPr="002E051C">
        <w:t xml:space="preserve">The SWE Team determined that the reporting of the findings followed the SWE guidelines. The annual report included descriptions of the methods in the impact section, summary of findings, and a table of recommendations with a description of whether PECO was implementing or considering those recommendations. The report included sufficient detail for the SWE Team (and other readers) to assess the methods, findings, and recommendations. </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The recommendations were clear and actionable and supported by findings.</w:t>
      </w:r>
    </w:p>
    <w:p w:rsidR="002E051C" w:rsidRPr="002E051C" w:rsidRDefault="002E051C" w:rsidP="002E051C"/>
    <w:p w:rsidR="002E051C" w:rsidRPr="002E051C" w:rsidRDefault="002E051C" w:rsidP="00D613BE">
      <w:pPr>
        <w:pStyle w:val="AppendixBHeading3"/>
      </w:pPr>
      <w:r w:rsidRPr="002E051C">
        <w:t>Smart Builder Rebates (SBR) Program</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The SBR Program is intended to accelerate the adoption of energy efficiency in the design, construction, and operation of new single-family homes by leveraging the U.S. EPA’s ENERGY STAR Homes certification. The program provides rebates for new homes that achieve ENERGY STAR certification. A base rebate of $400 is offered per home, plus $0.10 per kWh of savings achieved. In PY5, the program was expanded to allow gas-heated homes in PY6. This was the only significant change to the program from PY5 to PY7. This change represents a divergence from the program offering outlined in the Phase II plan in order to meet Phase II savings targets, which appears likely at the current pace.</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 xml:space="preserve">Navigant conducted a program materials review and in-depth interviews with the program manager, implementer, and participating builders. Based on these data, six key findings emerged: </w:t>
      </w:r>
    </w:p>
    <w:p w:rsidR="002E051C" w:rsidRPr="003145F3" w:rsidRDefault="002E051C" w:rsidP="00E646C9">
      <w:pPr>
        <w:pStyle w:val="ListParagraph"/>
        <w:numPr>
          <w:ilvl w:val="0"/>
          <w:numId w:val="111"/>
        </w:numPr>
        <w:ind w:left="360"/>
      </w:pPr>
      <w:r w:rsidRPr="003145F3">
        <w:t>All surveyed builders (n=7) were very satisfied with their experience working with the rater and the program implementation staff. Builders reported lower satisfaction with marketing and training assistance, as well as the time it takes to receive a rebate. Prompt payment of incentives is a high priority for builders.</w:t>
      </w:r>
    </w:p>
    <w:p w:rsidR="002E051C" w:rsidRPr="003145F3" w:rsidRDefault="002E051C" w:rsidP="00E646C9">
      <w:pPr>
        <w:pStyle w:val="ListParagraph"/>
        <w:numPr>
          <w:ilvl w:val="0"/>
          <w:numId w:val="111"/>
        </w:numPr>
        <w:ind w:left="360"/>
      </w:pPr>
      <w:r w:rsidRPr="003145F3">
        <w:t>It took an average of 131 days for builders to receive incentive payment after the project was completed in PY7. The new Phase III implementer has a different application and incentive payment process, with a goal of 60 days for application approval and incentive payment to the builder.</w:t>
      </w:r>
    </w:p>
    <w:p w:rsidR="002E051C" w:rsidRPr="003145F3" w:rsidRDefault="002E051C" w:rsidP="00E646C9">
      <w:pPr>
        <w:pStyle w:val="ListParagraph"/>
        <w:numPr>
          <w:ilvl w:val="0"/>
          <w:numId w:val="111"/>
        </w:numPr>
        <w:ind w:left="360"/>
      </w:pPr>
      <w:r w:rsidRPr="003145F3">
        <w:t xml:space="preserve">Builders reported that additional cost and lack of educated HVAC contractors were the key challenges their firm faces when building homes to ENERGY STAR standards. </w:t>
      </w:r>
    </w:p>
    <w:p w:rsidR="002E051C" w:rsidRPr="003145F3" w:rsidRDefault="002E051C" w:rsidP="00E646C9">
      <w:pPr>
        <w:pStyle w:val="ListParagraph"/>
        <w:numPr>
          <w:ilvl w:val="0"/>
          <w:numId w:val="111"/>
        </w:numPr>
        <w:ind w:left="360"/>
      </w:pPr>
      <w:r w:rsidRPr="003145F3">
        <w:t xml:space="preserve">About 84% of all homes built by surveyed builders received a rebate through the </w:t>
      </w:r>
      <w:r w:rsidR="00971E73" w:rsidRPr="003145F3">
        <w:t>SBR</w:t>
      </w:r>
      <w:r w:rsidRPr="003145F3">
        <w:t xml:space="preserve">, which indicates there is little room for increasing ENERGY STAR home market penetration among participating builders. Currently, the program’s PY7 market penetration ranges from 1% to 14% across counties in PECO’s territory. </w:t>
      </w:r>
    </w:p>
    <w:p w:rsidR="002E051C" w:rsidRPr="003145F3" w:rsidRDefault="002E051C" w:rsidP="00E646C9">
      <w:pPr>
        <w:pStyle w:val="ListParagraph"/>
        <w:numPr>
          <w:ilvl w:val="0"/>
          <w:numId w:val="111"/>
        </w:numPr>
        <w:ind w:left="360"/>
      </w:pPr>
      <w:r w:rsidRPr="003145F3">
        <w:t>The implementer’s outreach in PY6 and PY7 suggests that incentive amounts for ENERGY STAR homes are not sufficient to overcome cost barriers to participation.</w:t>
      </w:r>
    </w:p>
    <w:p w:rsidR="002E051C" w:rsidRPr="003145F3" w:rsidRDefault="002E051C" w:rsidP="00E646C9">
      <w:pPr>
        <w:pStyle w:val="ListParagraph"/>
        <w:numPr>
          <w:ilvl w:val="0"/>
          <w:numId w:val="111"/>
        </w:numPr>
        <w:ind w:left="360"/>
      </w:pPr>
      <w:r w:rsidRPr="003145F3">
        <w:t>Five of seven builders expected their program activity to increase or remain the same in PY8; two builders expected a decrease in program activity in PY8 due to limited construction activity in PECO’s territory.</w:t>
      </w:r>
    </w:p>
    <w:p w:rsidR="002E051C" w:rsidRPr="002E051C" w:rsidRDefault="002E051C" w:rsidP="002E051C">
      <w:pPr>
        <w:ind w:left="720"/>
        <w:contextualSpacing/>
        <w:rPr>
          <w:rFonts w:cs="Calibri"/>
          <w:color w:val="000000"/>
          <w:szCs w:val="20"/>
        </w:rPr>
      </w:pPr>
    </w:p>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Pr="002E051C" w:rsidRDefault="002E051C" w:rsidP="002E051C">
      <w:r w:rsidRPr="002E051C">
        <w:t>None of the data-collection activities in PY7 required sampling.</w:t>
      </w:r>
    </w:p>
    <w:p w:rsidR="002E051C" w:rsidRPr="002E051C" w:rsidRDefault="002E051C" w:rsidP="002E051C"/>
    <w:p w:rsidR="002E051C" w:rsidRPr="002E051C" w:rsidRDefault="002E051C" w:rsidP="002E051C">
      <w:r w:rsidRPr="002E051C">
        <w:t xml:space="preserve">The SWE Team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The recommendations were clear and actionable. Recommendations were drawn from key findings rather than from conclusions.</w:t>
      </w:r>
    </w:p>
    <w:p w:rsidR="002E051C" w:rsidRPr="002E051C" w:rsidRDefault="002E051C" w:rsidP="002E051C"/>
    <w:p w:rsidR="002E051C" w:rsidRPr="002E051C" w:rsidRDefault="002E051C" w:rsidP="00D613BE">
      <w:pPr>
        <w:pStyle w:val="AppendixBHeading3"/>
      </w:pPr>
      <w:bookmarkStart w:id="1414" w:name="_Ref473629499"/>
      <w:r w:rsidRPr="002E051C">
        <w:t>Smart A/C Saver (SACS) Program – Residential</w:t>
      </w:r>
      <w:bookmarkEnd w:id="1414"/>
    </w:p>
    <w:p w:rsidR="002E051C" w:rsidRPr="002E051C" w:rsidRDefault="002E051C" w:rsidP="00D613BE">
      <w:pPr>
        <w:pStyle w:val="AppendixBHeading4"/>
        <w:rPr>
          <w:rFonts w:eastAsiaTheme="minorHAnsi"/>
        </w:rPr>
      </w:pPr>
      <w:r w:rsidRPr="002E051C">
        <w:rPr>
          <w:rFonts w:eastAsiaTheme="minorHAnsi"/>
        </w:rPr>
        <w:t>Brief Overview of the Program and Its Success</w:t>
      </w:r>
    </w:p>
    <w:p w:rsidR="002E051C" w:rsidRPr="002E051C" w:rsidRDefault="002E051C" w:rsidP="002E051C">
      <w:r w:rsidRPr="002E051C">
        <w:t xml:space="preserve">In the </w:t>
      </w:r>
      <w:r w:rsidRPr="002E051C">
        <w:rPr>
          <w:rFonts w:asciiTheme="minorHAnsi" w:hAnsiTheme="minorHAnsi"/>
        </w:rPr>
        <w:t>residential</w:t>
      </w:r>
      <w:r w:rsidRPr="002E051C">
        <w:t xml:space="preserve"> </w:t>
      </w:r>
      <w:r w:rsidRPr="002E051C">
        <w:rPr>
          <w:rFonts w:asciiTheme="minorHAnsi" w:hAnsiTheme="minorHAnsi"/>
        </w:rPr>
        <w:t xml:space="preserve">SACS </w:t>
      </w:r>
      <w:r w:rsidRPr="002E051C">
        <w:t>Program, PECO remotely shuts down a customer’s central air-conditioning unit on short notice during conservation event days that coincide with the highest peak demand. In return, participants receive financial incentives for allowing PECO to control their equipment. The program experienced a small drop in participation in PY7, amounting to approximately 5.5%. Total verified gross savings were 40.5 MW for the residential SACS Program in PY7. There are no energy savings goals for this program.</w:t>
      </w:r>
    </w:p>
    <w:p w:rsidR="002E051C" w:rsidRDefault="002E051C" w:rsidP="002E051C"/>
    <w:p w:rsidR="00D613BE" w:rsidRPr="002E051C" w:rsidRDefault="00D613BE"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 xml:space="preserve">Navigant conducted an in-depth interview with the program manager, a phone survey with program participants (n=70), and a review of program data and marketing materials. Based on these data, four key findings emerged: </w:t>
      </w:r>
    </w:p>
    <w:p w:rsidR="002E051C" w:rsidRPr="003145F3" w:rsidRDefault="002E051C" w:rsidP="00E646C9">
      <w:pPr>
        <w:pStyle w:val="ListParagraph"/>
        <w:numPr>
          <w:ilvl w:val="0"/>
          <w:numId w:val="112"/>
        </w:numPr>
        <w:ind w:left="360"/>
      </w:pPr>
      <w:r w:rsidRPr="003145F3">
        <w:t>Navigant received insufficient advanced metering infrastructure data for the level of analysis needed in PY8 and beyond.</w:t>
      </w:r>
    </w:p>
    <w:p w:rsidR="002E051C" w:rsidRPr="003145F3" w:rsidRDefault="002E051C" w:rsidP="00E646C9">
      <w:pPr>
        <w:pStyle w:val="ListParagraph"/>
        <w:numPr>
          <w:ilvl w:val="0"/>
          <w:numId w:val="112"/>
        </w:numPr>
        <w:ind w:left="360"/>
      </w:pPr>
      <w:r w:rsidRPr="003145F3">
        <w:t>Over 90% of surveyed participants (n=70) reported high satisfaction with the program (rating of 4 or 5 on a scale of 1–5). High satisfaction may be related to high incentive and low frequency of conservation events in PY7.</w:t>
      </w:r>
    </w:p>
    <w:p w:rsidR="002E051C" w:rsidRPr="003145F3" w:rsidRDefault="002E051C" w:rsidP="00E646C9">
      <w:pPr>
        <w:pStyle w:val="ListParagraph"/>
        <w:numPr>
          <w:ilvl w:val="0"/>
          <w:numId w:val="112"/>
        </w:numPr>
        <w:ind w:left="360"/>
      </w:pPr>
      <w:r w:rsidRPr="003145F3">
        <w:t>Two-thirds of surveyed participants reported “don’t know” when asked how many events they experienced in PY7. Those who reported a number of events provided various estimates, ranging from 1 to 11. PECO called only one event in PY7. Collectively, these findings indicate that participants are not aware of events.</w:t>
      </w:r>
    </w:p>
    <w:p w:rsidR="002E051C" w:rsidRPr="003145F3" w:rsidRDefault="002E051C" w:rsidP="00E646C9">
      <w:pPr>
        <w:pStyle w:val="ListParagraph"/>
        <w:numPr>
          <w:ilvl w:val="0"/>
          <w:numId w:val="112"/>
        </w:numPr>
        <w:ind w:left="360"/>
      </w:pPr>
      <w:r w:rsidRPr="003145F3">
        <w:t>Surveyed participants noted that they are motivated by the incentive to participate, and more than one-third noted they would not participate if the incentives were cut by half.  However, participants have not dropped out to date. A similar pattern was observed in PY4 and PY5; participants reported unwillingness to accept a lower incentive. However, when the incentive dropped from $120 per summer to $80 per summer, very few participants dropped out of the program.</w:t>
      </w:r>
    </w:p>
    <w:p w:rsidR="002E051C" w:rsidRPr="002E051C" w:rsidRDefault="002E051C" w:rsidP="002E051C">
      <w:r w:rsidRPr="002E051C">
        <w:t xml:space="preserve"> </w:t>
      </w:r>
    </w:p>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Pr="002E051C" w:rsidRDefault="002E051C" w:rsidP="002E051C">
      <w:r w:rsidRPr="002E051C">
        <w:t xml:space="preserve">For the data-collection task requiring sampling, the SWE Team determined that the sampling approach yielded an adequate sample and the report incorporated the required table showing the sampling strategy. Navigant used a random sampling approach for the participant survey. The sample provided 85/15 confidence/precision.   </w:t>
      </w:r>
    </w:p>
    <w:p w:rsidR="002E051C" w:rsidRPr="002E051C" w:rsidRDefault="002E051C" w:rsidP="002E051C"/>
    <w:p w:rsidR="002E051C" w:rsidRPr="002E051C" w:rsidRDefault="002E051C" w:rsidP="002E051C">
      <w:r w:rsidRPr="002E051C">
        <w:t xml:space="preserve">The SWE Team determined that the reporting followed the SWE guidelines. The annual report included descriptions of the methods and a summary of key findings and recommendations. The report included sufficient detail for the SWE Team (and other readers) to assess the methods and findings. </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The recommendations were clear and actionable. Recommendations were drawn from key findings rather than from conclusions.</w:t>
      </w:r>
    </w:p>
    <w:p w:rsidR="002E051C" w:rsidRPr="002E051C" w:rsidRDefault="002E051C" w:rsidP="002E051C"/>
    <w:p w:rsidR="002E051C" w:rsidRPr="002E051C" w:rsidRDefault="002E051C" w:rsidP="00D613BE">
      <w:pPr>
        <w:pStyle w:val="AppendixBHeading3"/>
      </w:pPr>
      <w:bookmarkStart w:id="1415" w:name="_Ref473629455"/>
      <w:r w:rsidRPr="002E051C">
        <w:t>Smart Multi</w:t>
      </w:r>
      <w:r w:rsidR="009F1E9A">
        <w:t>f</w:t>
      </w:r>
      <w:r w:rsidRPr="002E051C">
        <w:t>amily (SMF) Solutions Program</w:t>
      </w:r>
      <w:bookmarkEnd w:id="1415"/>
    </w:p>
    <w:p w:rsidR="002E051C" w:rsidRPr="002E051C" w:rsidRDefault="002E051C" w:rsidP="002E051C">
      <w:r w:rsidRPr="002E051C">
        <w:t>Since energy savings from this program come from both residential and non-residential sectors, the SWE Team discusses this program under both the residential and non-residential program sections in this appendix.</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Brief Overview of the Program and Its Success</w:t>
      </w:r>
    </w:p>
    <w:p w:rsidR="002E051C" w:rsidRPr="002E051C" w:rsidRDefault="002E051C" w:rsidP="002E051C">
      <w:r w:rsidRPr="002E051C">
        <w:t>The purpose of the SMF Solutions Program is to increase awareness of energy savings opportunities in multifamily buildings and to assist multifamily residents and building owners and managers in acting on those opportunities. The program is designed for both multifamily property owners and multifamily customers. This program offers two paths to participation. The direct-install path offers cost-free CFLs, low-flow showerheads, and low-flow faucet aerators for apartment units, condos, and common areas. The prescriptive path offers incentives to multifamily landlords who install high-efficiency equipment in common areas. Total verified gross energy and demand savings were 1,867 MWh/yr and 0.3 MW, respectively, for the residential SMF Solutions Program in PY7.</w:t>
      </w:r>
    </w:p>
    <w:p w:rsidR="00A83E08" w:rsidRPr="002E051C" w:rsidRDefault="00A83E08"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conducted in-depth interviews with the program manager and implementer and surveyed 48 program participants. Based on these data, five key findings emerged:</w:t>
      </w:r>
    </w:p>
    <w:p w:rsidR="002E051C" w:rsidRPr="003145F3" w:rsidRDefault="002E051C" w:rsidP="00E646C9">
      <w:pPr>
        <w:pStyle w:val="ListParagraph"/>
        <w:numPr>
          <w:ilvl w:val="0"/>
          <w:numId w:val="113"/>
        </w:numPr>
        <w:ind w:left="360"/>
      </w:pPr>
      <w:r w:rsidRPr="003145F3">
        <w:t xml:space="preserve">Free-ridership levels in PY7 increased significantly over PY6 (from 0.17 to 0.38 in the non-residential sector and from 0.25 to 0.43 in the residential sector). Since the majority of energy savings are from direct-install CFLs (72% of gross reported energy savings in PY7), participants generally stated that they would have installed CFLs, even without the program. </w:t>
      </w:r>
    </w:p>
    <w:p w:rsidR="002E051C" w:rsidRPr="003145F3" w:rsidRDefault="002E051C" w:rsidP="00E646C9">
      <w:pPr>
        <w:pStyle w:val="ListParagraph"/>
        <w:numPr>
          <w:ilvl w:val="0"/>
          <w:numId w:val="113"/>
        </w:numPr>
        <w:ind w:left="360"/>
      </w:pPr>
      <w:r w:rsidRPr="003145F3">
        <w:t>The majority of participants (71%) were contacted directly by the implementer. Among landlords, 19% reported learning about the program by word of mouth. These findings are consistent with the marketing efforts discussed with the program manager and implementer, who reported a large direct-mail and cold-call effort to reach out to potential landlords.</w:t>
      </w:r>
    </w:p>
    <w:p w:rsidR="002E051C" w:rsidRPr="003145F3" w:rsidRDefault="002E051C" w:rsidP="00E646C9">
      <w:pPr>
        <w:pStyle w:val="ListParagraph"/>
        <w:numPr>
          <w:ilvl w:val="0"/>
          <w:numId w:val="113"/>
        </w:numPr>
        <w:ind w:left="360"/>
      </w:pPr>
      <w:r w:rsidRPr="003145F3">
        <w:t xml:space="preserve">Only 46% of landlords recalled receiving a list of incentivized energy efficiency equipment recommended through the program. </w:t>
      </w:r>
    </w:p>
    <w:p w:rsidR="002E051C" w:rsidRPr="003145F3" w:rsidRDefault="002E051C" w:rsidP="00E646C9">
      <w:pPr>
        <w:pStyle w:val="ListParagraph"/>
        <w:numPr>
          <w:ilvl w:val="0"/>
          <w:numId w:val="113"/>
        </w:numPr>
        <w:ind w:left="360"/>
      </w:pPr>
      <w:r w:rsidRPr="003145F3">
        <w:t>The majority of landlords were not aware of or able to recall incentivized offerings through the program’s prescriptive channel. Additionally, only 50% of landlords recalled receiving an audit report as part of the direct-install project, and 25% of those reported that the program representative did not review the report with them.</w:t>
      </w:r>
    </w:p>
    <w:p w:rsidR="002E051C" w:rsidRPr="003145F3" w:rsidRDefault="002E051C" w:rsidP="00E646C9">
      <w:pPr>
        <w:pStyle w:val="ListParagraph"/>
        <w:numPr>
          <w:ilvl w:val="0"/>
          <w:numId w:val="113"/>
        </w:numPr>
        <w:ind w:left="360"/>
      </w:pPr>
      <w:r w:rsidRPr="003145F3">
        <w:t>Participants (both landlords and tenants) generally noted a high degree of satisfaction with the program.</w:t>
      </w:r>
    </w:p>
    <w:p w:rsidR="002E051C" w:rsidRPr="002E051C" w:rsidRDefault="002E051C" w:rsidP="002E051C">
      <w:pPr>
        <w:autoSpaceDE w:val="0"/>
        <w:autoSpaceDN w:val="0"/>
        <w:adjustRightInd w:val="0"/>
        <w:jc w:val="left"/>
        <w:rPr>
          <w:rFonts w:cs="Calibri"/>
          <w:color w:val="000000"/>
        </w:rPr>
      </w:pPr>
    </w:p>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Pr="002E051C" w:rsidRDefault="002E051C" w:rsidP="002E051C">
      <w:r w:rsidRPr="002E051C">
        <w:t>For the data-collection task requiring sampling, the SWE Team determined that the sampling approach followed the approved sampling plan and the report incorporated the required tables showing the sampling strategy. Navigant used a stratified random sampling approach for the participant survey, focusing on strata defined by unit project size. Navigant achieved sample sizes that provided 85/15 confidence/precision per overall program and sector.</w:t>
      </w:r>
    </w:p>
    <w:p w:rsidR="002E051C" w:rsidRPr="002E051C" w:rsidRDefault="002E051C" w:rsidP="002E051C"/>
    <w:p w:rsidR="002E051C" w:rsidRPr="002E051C" w:rsidRDefault="002E051C" w:rsidP="002E051C">
      <w:r w:rsidRPr="002E051C">
        <w:t xml:space="preserve">The SWE Team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 </w:t>
      </w:r>
    </w:p>
    <w:p w:rsidR="002E051C" w:rsidRPr="002E051C" w:rsidRDefault="002E051C" w:rsidP="002E051C"/>
    <w:p w:rsidR="002E051C" w:rsidRPr="002E051C" w:rsidRDefault="002E051C" w:rsidP="002E051C">
      <w:pPr>
        <w:autoSpaceDE w:val="0"/>
        <w:autoSpaceDN w:val="0"/>
        <w:adjustRightInd w:val="0"/>
        <w:jc w:val="left"/>
      </w:pPr>
      <w:r w:rsidRPr="002E051C">
        <w:t>Overall, the process evaluation discussion was succinct and highlighted findings that should be of value to the administrator and implementer. The recommendations were clear and actionable and supported by findings.</w:t>
      </w:r>
    </w:p>
    <w:p w:rsidR="002E051C" w:rsidRDefault="002E051C" w:rsidP="002E051C"/>
    <w:p w:rsidR="00D613BE" w:rsidRDefault="00D613BE" w:rsidP="002E051C"/>
    <w:p w:rsidR="00D613BE" w:rsidRDefault="00D613BE" w:rsidP="002E051C"/>
    <w:p w:rsidR="00D613BE" w:rsidRPr="002E051C" w:rsidRDefault="00D613BE" w:rsidP="002E051C"/>
    <w:p w:rsidR="002E051C" w:rsidRPr="002E051C" w:rsidRDefault="002E051C" w:rsidP="00D613BE">
      <w:pPr>
        <w:pStyle w:val="AppendixBHeading2"/>
      </w:pPr>
      <w:r w:rsidRPr="002E051C">
        <w:t>Low-Income Programs</w:t>
      </w:r>
    </w:p>
    <w:p w:rsidR="002E051C" w:rsidRPr="002E051C" w:rsidRDefault="002E051C" w:rsidP="00D613BE">
      <w:pPr>
        <w:pStyle w:val="AppendixBHeading3"/>
      </w:pPr>
      <w:r w:rsidRPr="002E051C">
        <w:t>Low-Income Energy Efficiency Program (LEEP)</w:t>
      </w:r>
    </w:p>
    <w:p w:rsidR="002E051C" w:rsidRPr="002E051C" w:rsidRDefault="002E051C" w:rsidP="00D613BE">
      <w:pPr>
        <w:pStyle w:val="AppendixBHeading4"/>
      </w:pPr>
      <w:r w:rsidRPr="002E051C">
        <w:t>Brief Overview of the Program and Its Success</w:t>
      </w:r>
    </w:p>
    <w:p w:rsidR="002E051C" w:rsidRPr="002E051C" w:rsidRDefault="002E051C" w:rsidP="003145F3">
      <w:pPr>
        <w:spacing w:after="120"/>
      </w:pPr>
      <w:r w:rsidRPr="002E051C">
        <w:t>LEEP provides income-eligible customers with a variety of measures intended to reduce their electricity bills. There are four LEEP components and associated target markets:</w:t>
      </w:r>
    </w:p>
    <w:p w:rsidR="002E051C" w:rsidRPr="003145F3" w:rsidRDefault="002E051C" w:rsidP="00E646C9">
      <w:pPr>
        <w:pStyle w:val="ListParagraph"/>
        <w:numPr>
          <w:ilvl w:val="0"/>
          <w:numId w:val="114"/>
        </w:numPr>
        <w:ind w:left="360"/>
        <w:rPr>
          <w:rFonts w:eastAsiaTheme="minorHAnsi"/>
        </w:rPr>
      </w:pPr>
      <w:r w:rsidRPr="003145F3">
        <w:rPr>
          <w:rFonts w:eastAsiaTheme="minorHAnsi"/>
        </w:rPr>
        <w:t>Market for component 1: Residential customers with a household income at or below 150% of the Federal Poverty Line (FPL), plus LEEP requirement of household usage levels that exceed a monthly average of 600 kWh for electric baseload for non-electric-heating customers, 500 kWh for CAP customers, and 1</w:t>
      </w:r>
      <w:r w:rsidR="00971E73" w:rsidRPr="003145F3">
        <w:rPr>
          <w:rFonts w:eastAsiaTheme="minorHAnsi"/>
        </w:rPr>
        <w:t>,</w:t>
      </w:r>
      <w:r w:rsidRPr="003145F3">
        <w:rPr>
          <w:rFonts w:eastAsiaTheme="minorHAnsi"/>
        </w:rPr>
        <w:t xml:space="preserve">400 kWh for electric-heating customers </w:t>
      </w:r>
    </w:p>
    <w:p w:rsidR="002E051C" w:rsidRPr="003145F3" w:rsidRDefault="002E051C" w:rsidP="00E646C9">
      <w:pPr>
        <w:pStyle w:val="ListParagraph"/>
        <w:numPr>
          <w:ilvl w:val="0"/>
          <w:numId w:val="114"/>
        </w:numPr>
        <w:ind w:left="360"/>
        <w:rPr>
          <w:rFonts w:eastAsiaTheme="minorHAnsi"/>
        </w:rPr>
      </w:pPr>
      <w:r w:rsidRPr="003145F3">
        <w:rPr>
          <w:rFonts w:eastAsiaTheme="minorHAnsi"/>
        </w:rPr>
        <w:t xml:space="preserve">Market for component 2: Customers who participate in PECO’s LIURP during PY5–PY7 </w:t>
      </w:r>
    </w:p>
    <w:p w:rsidR="002E051C" w:rsidRPr="003145F3" w:rsidRDefault="002E051C" w:rsidP="00E646C9">
      <w:pPr>
        <w:pStyle w:val="ListParagraph"/>
        <w:numPr>
          <w:ilvl w:val="0"/>
          <w:numId w:val="114"/>
        </w:numPr>
        <w:ind w:left="360"/>
        <w:rPr>
          <w:rFonts w:eastAsiaTheme="minorHAnsi"/>
        </w:rPr>
      </w:pPr>
      <w:r w:rsidRPr="003145F3">
        <w:rPr>
          <w:rFonts w:eastAsiaTheme="minorHAnsi"/>
        </w:rPr>
        <w:t>Market for component 3: Residential customers with a household income at or below 150% of the FPL participating in community events for low-income residents</w:t>
      </w:r>
    </w:p>
    <w:p w:rsidR="002E051C" w:rsidRPr="003145F3" w:rsidRDefault="002E051C" w:rsidP="00E646C9">
      <w:pPr>
        <w:pStyle w:val="ListParagraph"/>
        <w:numPr>
          <w:ilvl w:val="0"/>
          <w:numId w:val="114"/>
        </w:numPr>
        <w:ind w:left="360"/>
      </w:pPr>
      <w:r w:rsidRPr="003145F3">
        <w:rPr>
          <w:rFonts w:eastAsiaTheme="minorHAnsi"/>
        </w:rPr>
        <w:t>Market for component 4: Residential customers, homeowners, and/or tenants with a household income at or below 150% of the FPL who do not meet the LEEP usage requirement for weatherization services under components 1 and 2 above</w:t>
      </w:r>
    </w:p>
    <w:p w:rsidR="002E051C" w:rsidRPr="002E051C" w:rsidRDefault="002E051C" w:rsidP="002E051C"/>
    <w:p w:rsidR="002E051C" w:rsidRPr="002E051C" w:rsidRDefault="002E051C" w:rsidP="002E051C">
      <w:r w:rsidRPr="002E051C">
        <w:t xml:space="preserve">In PY7, PECO made two changes to the program: insulation services were expanded to floors, and requirements for refrigerator replacement were increased. </w:t>
      </w:r>
      <w:r w:rsidRPr="002E051C">
        <w:rPr>
          <w:rFonts w:cs="Calibri"/>
        </w:rPr>
        <w:t>The latter reduced eligible participants from 45% of PY6 customers to 15% of PY7 customers.</w:t>
      </w:r>
      <w:r w:rsidRPr="002E051C">
        <w:t xml:space="preserve"> Total verified gross annual energy and demand savings were 18,304 MWh/yr and 2.4 MW, respectively, for the LEEP in PY7. </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conducted 90 surveys with program participants in components 1, 2, and 4 and 19 site visits with participants in component 1. It also reviewed program materials and conducted in-depth interviews with the program manager and implementer. Based on these data, five key findings emerged:</w:t>
      </w:r>
    </w:p>
    <w:p w:rsidR="002E051C" w:rsidRPr="003145F3" w:rsidRDefault="002E051C" w:rsidP="00E646C9">
      <w:pPr>
        <w:pStyle w:val="ListParagraph"/>
        <w:numPr>
          <w:ilvl w:val="0"/>
          <w:numId w:val="115"/>
        </w:numPr>
        <w:ind w:left="360"/>
      </w:pPr>
      <w:r w:rsidRPr="003145F3">
        <w:t>The majority of participants (89%) stated that they were extremely satisfied with the program. A small number expressed dissatisfaction; these cases were due primarily to customer misunderstandings of schedules and project next steps.</w:t>
      </w:r>
    </w:p>
    <w:p w:rsidR="002E051C" w:rsidRPr="003145F3" w:rsidRDefault="002E051C" w:rsidP="00E646C9">
      <w:pPr>
        <w:pStyle w:val="ListParagraph"/>
        <w:numPr>
          <w:ilvl w:val="0"/>
          <w:numId w:val="115"/>
        </w:numPr>
        <w:ind w:left="360"/>
        <w:rPr>
          <w:rFonts w:eastAsiaTheme="minorHAnsi"/>
        </w:rPr>
      </w:pPr>
      <w:r w:rsidRPr="003145F3">
        <w:t xml:space="preserve">CFL socket saturation was increased in the low-income community. Prior participant surveys revealed that the first-year CFL </w:t>
      </w:r>
      <w:r w:rsidR="00971E73" w:rsidRPr="003145F3">
        <w:t>ISR</w:t>
      </w:r>
      <w:r w:rsidRPr="003145F3">
        <w:t xml:space="preserve"> for component 3 participants fell in PY6 compared with PY4 and PY5. The PY7 survey indicates that the </w:t>
      </w:r>
      <w:r w:rsidR="00971E73" w:rsidRPr="003145F3">
        <w:t>ISR</w:t>
      </w:r>
      <w:r w:rsidRPr="003145F3">
        <w:t xml:space="preserve"> increased slightly. Also, 57% of participants no longer had incandescent bulbs in their homes, and 60% of replaced bulbs were incandescent.</w:t>
      </w:r>
    </w:p>
    <w:p w:rsidR="002E051C" w:rsidRPr="003145F3" w:rsidRDefault="002E051C" w:rsidP="00E646C9">
      <w:pPr>
        <w:pStyle w:val="ListParagraph"/>
        <w:numPr>
          <w:ilvl w:val="0"/>
          <w:numId w:val="115"/>
        </w:numPr>
        <w:ind w:left="360"/>
        <w:rPr>
          <w:rFonts w:eastAsiaTheme="minorHAnsi"/>
        </w:rPr>
      </w:pPr>
      <w:r w:rsidRPr="003145F3">
        <w:t xml:space="preserve">While participants who recalled the educational materials rated them as useful, the materials did not provide customers with prioritized next steps or a clear call to action. A majority of component 3 survey respondents reported that they did not receive, or could not remember receiving, the materials. </w:t>
      </w:r>
    </w:p>
    <w:p w:rsidR="002E051C" w:rsidRPr="003145F3" w:rsidRDefault="002E051C" w:rsidP="00E646C9">
      <w:pPr>
        <w:pStyle w:val="ListParagraph"/>
        <w:numPr>
          <w:ilvl w:val="0"/>
          <w:numId w:val="115"/>
        </w:numPr>
        <w:ind w:left="360"/>
        <w:rPr>
          <w:rFonts w:eastAsiaTheme="minorHAnsi"/>
        </w:rPr>
      </w:pPr>
      <w:r w:rsidRPr="003145F3">
        <w:t xml:space="preserve">LEEP comprehensive program (components 1 and 2) outreach is targeted to PECO customers on the CAP rate tariff. While LEEP is reaching some customers with critical needs, defining customers through the CAP rate tariff alone has the potential to miss eligible customers. </w:t>
      </w:r>
    </w:p>
    <w:p w:rsidR="002E051C" w:rsidRPr="003145F3" w:rsidRDefault="002E051C" w:rsidP="00E646C9">
      <w:pPr>
        <w:pStyle w:val="ListParagraph"/>
        <w:numPr>
          <w:ilvl w:val="0"/>
          <w:numId w:val="115"/>
        </w:numPr>
        <w:ind w:left="360"/>
        <w:rPr>
          <w:rFonts w:eastAsiaTheme="minorHAnsi"/>
        </w:rPr>
      </w:pPr>
      <w:r w:rsidRPr="003145F3">
        <w:t>The majority of LEEP customers (55%) are served through component 3 (free CFL giveaways).</w:t>
      </w:r>
    </w:p>
    <w:p w:rsidR="002E051C" w:rsidRPr="002E051C" w:rsidRDefault="002E051C" w:rsidP="002E051C">
      <w:pPr>
        <w:autoSpaceDE w:val="0"/>
        <w:autoSpaceDN w:val="0"/>
        <w:adjustRightInd w:val="0"/>
        <w:ind w:left="720"/>
        <w:contextualSpacing/>
        <w:jc w:val="left"/>
        <w:rPr>
          <w:rFonts w:eastAsiaTheme="minorHAnsi"/>
          <w:szCs w:val="20"/>
        </w:rPr>
      </w:pPr>
    </w:p>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3145F3" w:rsidRDefault="002E051C" w:rsidP="003145F3">
      <w:r w:rsidRPr="003145F3">
        <w:t xml:space="preserve">Navigant completed all the PY7 activities listed in the evaluation plan. </w:t>
      </w:r>
    </w:p>
    <w:p w:rsidR="002E051C" w:rsidRPr="003145F3" w:rsidRDefault="002E051C" w:rsidP="003145F3"/>
    <w:p w:rsidR="002E051C" w:rsidRPr="003145F3" w:rsidRDefault="002E051C" w:rsidP="003145F3">
      <w:r w:rsidRPr="003145F3">
        <w:t xml:space="preserve">For the data-collection task requiring sampling, the SWE Team determined that the sampling approach followed the approved sampling plan and the report incorporated the required tables showing the sampling strategy. Navigant used a stratified random sampling approach for the participant survey, focusing on three strata: program components 1, 2, and 4. Navigant achieved sample sizes that provided 85/15 confidence/precision per stratum. </w:t>
      </w:r>
    </w:p>
    <w:p w:rsidR="002E051C" w:rsidRPr="003145F3" w:rsidRDefault="002E051C" w:rsidP="003145F3"/>
    <w:p w:rsidR="002E051C" w:rsidRPr="003145F3" w:rsidRDefault="002E051C" w:rsidP="003145F3">
      <w:r w:rsidRPr="003145F3">
        <w:t>The SWE Team also determined that the reporting followed the SWE’s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w:t>
      </w:r>
    </w:p>
    <w:p w:rsidR="002E051C" w:rsidRPr="003145F3" w:rsidRDefault="002E051C" w:rsidP="003145F3"/>
    <w:p w:rsidR="002E051C" w:rsidRPr="003145F3" w:rsidRDefault="002E051C" w:rsidP="003145F3">
      <w:r w:rsidRPr="003145F3">
        <w:t>Overall, the process evaluation discussion was succinct and highlighted findings that should be of value to the administrator and implementer. The recommendations were clear and actionable and supported by findings.</w:t>
      </w:r>
    </w:p>
    <w:p w:rsidR="003145F3" w:rsidRPr="002E051C" w:rsidRDefault="003145F3" w:rsidP="002E051C"/>
    <w:p w:rsidR="002E051C" w:rsidRPr="002E051C" w:rsidRDefault="002E051C" w:rsidP="00D613BE">
      <w:pPr>
        <w:pStyle w:val="AppendixBHeading2"/>
      </w:pPr>
      <w:r w:rsidRPr="002E051C">
        <w:t xml:space="preserve">Non-Residential Programs   </w:t>
      </w:r>
    </w:p>
    <w:p w:rsidR="002E051C" w:rsidRPr="003145F3" w:rsidRDefault="002E051C" w:rsidP="003145F3">
      <w:r w:rsidRPr="003145F3">
        <w:t xml:space="preserve">Navigant reported on process evaluations for six non-residential programs: </w:t>
      </w:r>
      <w:r w:rsidR="003145F3" w:rsidRPr="003145F3">
        <w:t>The</w:t>
      </w:r>
      <w:r w:rsidRPr="003145F3">
        <w:t xml:space="preserve"> Smart A/C Saver (SACS), Smart Equipment Incentives (SEI), Smart Construction Incentives (SCI), Smart Multifamily (SMF) Solutions, Smart On-Site (SOS), and Smart Business Solutions (SBS) programs.</w:t>
      </w:r>
    </w:p>
    <w:p w:rsidR="002E051C" w:rsidRPr="003145F3" w:rsidRDefault="002E051C" w:rsidP="003145F3"/>
    <w:p w:rsidR="002E051C" w:rsidRPr="003145F3" w:rsidRDefault="002E051C" w:rsidP="003145F3">
      <w:r w:rsidRPr="003145F3">
        <w:t xml:space="preserve">For the process evaluations of the above programs, Navigant reviewed program documents and databases; interviewed utility and implementation staff and staff of market actors affiliated with the program (contractors, distributors, and building science or design consultants); and surveyed program participants. The document and program data review informed identification of program goals, activities, and updates. The research issues addressed by the primary data-collection activities (in-depth interviews and surveys) varied among programs but generally included the effectiveness of program administration, implementation, and delivery, and customer and market actor program satisfaction, participation, challenges, and recommendations.  </w:t>
      </w:r>
    </w:p>
    <w:p w:rsidR="002E051C" w:rsidRPr="003145F3" w:rsidRDefault="002E051C" w:rsidP="003145F3"/>
    <w:p w:rsidR="002E051C" w:rsidRPr="003145F3" w:rsidRDefault="002E051C" w:rsidP="003145F3">
      <w:r w:rsidRPr="003145F3">
        <w:t>The depth of presentation of questions asked and feedback provided by Navigant in PECO’s PY7 annual report highlighted findings that are of value to the administrator and implementer.</w:t>
      </w:r>
    </w:p>
    <w:p w:rsidR="002E051C" w:rsidRPr="003145F3" w:rsidRDefault="002E051C" w:rsidP="003145F3"/>
    <w:p w:rsidR="002E051C" w:rsidRPr="003145F3" w:rsidRDefault="002E051C" w:rsidP="003145F3">
      <w:r w:rsidRPr="003145F3">
        <w:t>For each program, a brief program description, summary of the process evaluation findings, and review (audit) of the annual report follow below. The SWE Team notes one general comment about the findings, conclusions, and recommendations for the process evaluations of PECO programs: findings, conclusions, and recommendations were clear and actionable and supported by gathered data.</w:t>
      </w:r>
    </w:p>
    <w:p w:rsidR="002E051C" w:rsidRPr="002E051C" w:rsidRDefault="002E051C" w:rsidP="002E051C"/>
    <w:p w:rsidR="002E051C" w:rsidRPr="002E051C" w:rsidRDefault="002E051C" w:rsidP="00D613BE">
      <w:pPr>
        <w:pStyle w:val="AppendixBHeading3"/>
      </w:pPr>
      <w:r w:rsidRPr="002E051C">
        <w:t>Smart A/C Saver (SACS) Program – Commercial</w:t>
      </w:r>
    </w:p>
    <w:p w:rsidR="002E051C" w:rsidRPr="002E051C" w:rsidRDefault="002E051C" w:rsidP="00D613BE">
      <w:pPr>
        <w:pStyle w:val="AppendixBHeading4"/>
        <w:rPr>
          <w:rFonts w:eastAsiaTheme="minorHAnsi"/>
        </w:rPr>
      </w:pPr>
      <w:r w:rsidRPr="002E051C">
        <w:rPr>
          <w:rFonts w:eastAsiaTheme="minorHAnsi"/>
        </w:rPr>
        <w:t>Brief Overview of the Program and Its Success</w:t>
      </w:r>
    </w:p>
    <w:p w:rsidR="002E051C" w:rsidRPr="002E051C" w:rsidRDefault="002E051C" w:rsidP="003145F3">
      <w:pPr>
        <w:rPr>
          <w:rFonts w:cs="Calibri"/>
        </w:rPr>
      </w:pPr>
      <w:r w:rsidRPr="002E051C">
        <w:t xml:space="preserve">In the commercial </w:t>
      </w:r>
      <w:r w:rsidRPr="002E051C">
        <w:rPr>
          <w:rFonts w:asciiTheme="minorHAnsi" w:hAnsiTheme="minorHAnsi"/>
        </w:rPr>
        <w:t>SACS</w:t>
      </w:r>
      <w:r w:rsidRPr="002E051C">
        <w:t xml:space="preserve"> Program, PECO remotely shuts down a customer’s central air-conditioning unit on short notice </w:t>
      </w:r>
      <w:r w:rsidRPr="003145F3">
        <w:t>during</w:t>
      </w:r>
      <w:r w:rsidRPr="002E051C">
        <w:t xml:space="preserve"> conservation event days that coincide with the highest peak demand. In return, participants receive financial incentives for allowing PECO to control their equipment. </w:t>
      </w:r>
      <w:r w:rsidRPr="002E051C">
        <w:rPr>
          <w:rFonts w:cs="Calibri"/>
        </w:rPr>
        <w:t xml:space="preserve">In PY7, PECO had 3,063 active thermostats representing 1,686 participants. </w:t>
      </w:r>
    </w:p>
    <w:p w:rsidR="002E051C" w:rsidRPr="002E051C" w:rsidRDefault="002E051C" w:rsidP="002E051C">
      <w:pPr>
        <w:autoSpaceDE w:val="0"/>
        <w:autoSpaceDN w:val="0"/>
        <w:adjustRightInd w:val="0"/>
        <w:jc w:val="left"/>
      </w:pPr>
    </w:p>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2E051C">
      <w:r w:rsidRPr="002E051C">
        <w:t>The findings are the same as those reported in</w:t>
      </w:r>
      <w:r w:rsidR="009F1E9A">
        <w:t xml:space="preserve"> Appendix </w:t>
      </w:r>
      <w:r w:rsidR="009F1E9A">
        <w:fldChar w:fldCharType="begin"/>
      </w:r>
      <w:r w:rsidR="009F1E9A">
        <w:instrText xml:space="preserve"> REF _Ref473629499 \r \h </w:instrText>
      </w:r>
      <w:r w:rsidR="009F1E9A">
        <w:fldChar w:fldCharType="separate"/>
      </w:r>
      <w:r w:rsidR="00B32B81">
        <w:t>B.6.1.7</w:t>
      </w:r>
      <w:r w:rsidR="009F1E9A">
        <w:fldChar w:fldCharType="end"/>
      </w:r>
      <w:r w:rsidRPr="002E051C">
        <w:t xml:space="preserve">. </w:t>
      </w:r>
    </w:p>
    <w:p w:rsidR="00A83E08" w:rsidRDefault="00A83E08" w:rsidP="002E051C"/>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The findings are the same as those reported in </w:t>
      </w:r>
      <w:r w:rsidR="009F1E9A">
        <w:t xml:space="preserve">Appendix </w:t>
      </w:r>
      <w:r w:rsidR="009F1E9A">
        <w:fldChar w:fldCharType="begin"/>
      </w:r>
      <w:r w:rsidR="009F1E9A">
        <w:instrText xml:space="preserve"> REF _Ref473629499 \r \h </w:instrText>
      </w:r>
      <w:r w:rsidR="009F1E9A">
        <w:fldChar w:fldCharType="separate"/>
      </w:r>
      <w:r w:rsidR="00B32B81">
        <w:t>B.6.1.7</w:t>
      </w:r>
      <w:r w:rsidR="009F1E9A">
        <w:fldChar w:fldCharType="end"/>
      </w:r>
      <w:r w:rsidRPr="002E051C">
        <w:t xml:space="preserve">. </w:t>
      </w:r>
    </w:p>
    <w:p w:rsidR="002E051C" w:rsidRPr="002E051C" w:rsidRDefault="002E051C" w:rsidP="002E051C"/>
    <w:p w:rsidR="002E051C" w:rsidRPr="002E051C" w:rsidRDefault="002E051C" w:rsidP="00D613BE">
      <w:pPr>
        <w:pStyle w:val="AppendixBHeading3"/>
      </w:pPr>
      <w:r w:rsidRPr="002E051C">
        <w:t>Smart Equipment Incentives (SEI) Program</w:t>
      </w:r>
    </w:p>
    <w:p w:rsidR="002E051C" w:rsidRPr="002E051C" w:rsidRDefault="002E051C" w:rsidP="002E051C">
      <w:r w:rsidRPr="002E051C">
        <w:t>This program applies to the C/I and GNI sectors.</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Brief Overview of the Program and Its Success</w:t>
      </w:r>
    </w:p>
    <w:p w:rsidR="002E051C" w:rsidRPr="002E051C" w:rsidRDefault="002E051C" w:rsidP="003145F3">
      <w:r w:rsidRPr="002E051C">
        <w:t xml:space="preserve">The SEI Program offers incentives for projects with prescriptive measures (e.g., lighting and </w:t>
      </w:r>
      <w:r w:rsidR="00971E73">
        <w:t>VFD</w:t>
      </w:r>
      <w:r w:rsidRPr="002E051C">
        <w:t>s) and custom projects. A main goal of the program in Phase II is to encourage the installation of efficient non-lighting equipment.</w:t>
      </w:r>
      <w:r w:rsidRPr="002E051C">
        <w:rPr>
          <w:rFonts w:cs="Calibri"/>
        </w:rPr>
        <w:t xml:space="preserve"> In PY6, the program launched a new trade ally program that financially rewards trade allies for achieving energy savings </w:t>
      </w:r>
      <w:r w:rsidR="000D7316">
        <w:rPr>
          <w:rFonts w:cs="Calibri"/>
        </w:rPr>
        <w:t>objectives</w:t>
      </w:r>
      <w:r w:rsidRPr="002E051C">
        <w:rPr>
          <w:rFonts w:cs="Calibri"/>
        </w:rPr>
        <w:t xml:space="preserve">. Additionally, the implementer initiated a “limited time offer” in which participants were eligible for </w:t>
      </w:r>
      <w:r w:rsidRPr="003145F3">
        <w:t>additional</w:t>
      </w:r>
      <w:r w:rsidRPr="002E051C">
        <w:rPr>
          <w:rFonts w:cs="Calibri"/>
        </w:rPr>
        <w:t xml:space="preserve"> incentive money if they completed the project before January 31, 2016. In PY7, SEI was successful at moving its measure mix toward non-lighting measures. The program incentivized 1,329 C/I and 469 GNI retrofit projects in PY7. Two-thirds (67%) of C/I and less than half (44%) of GNI PY7 energy savings came from lighting measures, including lighting controls.</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3145F3">
      <w:pPr>
        <w:pStyle w:val="6spacenormal"/>
      </w:pPr>
      <w:r w:rsidRPr="002E051C">
        <w:t>Navigant conducted a program marketing materials and database review, 86 online surveys with participating customers (51 C/I, 35 GNI), and in-depth interviews with program managers, implementation staff, and seven trade allies. Based on these data, four key findings emerged:</w:t>
      </w:r>
    </w:p>
    <w:p w:rsidR="002E051C" w:rsidRPr="003145F3" w:rsidRDefault="002E051C" w:rsidP="00E646C9">
      <w:pPr>
        <w:pStyle w:val="ListParagraph"/>
        <w:numPr>
          <w:ilvl w:val="0"/>
          <w:numId w:val="116"/>
        </w:numPr>
        <w:ind w:left="360"/>
      </w:pPr>
      <w:r w:rsidRPr="003145F3">
        <w:t>Trade allies reported that the trade ally incentive, which was implemented in PY6, encouraged them to deliver more projects through the program. Although this incentive was a great tool to engage trade allies in the program, it did not provide control over what types of projects were generated in the program.</w:t>
      </w:r>
    </w:p>
    <w:p w:rsidR="002E051C" w:rsidRPr="003145F3" w:rsidRDefault="002E051C" w:rsidP="00E646C9">
      <w:pPr>
        <w:pStyle w:val="ListParagraph"/>
        <w:numPr>
          <w:ilvl w:val="0"/>
          <w:numId w:val="116"/>
        </w:numPr>
        <w:ind w:left="360"/>
      </w:pPr>
      <w:r w:rsidRPr="003145F3">
        <w:t xml:space="preserve">In Phase II, SEI succeeded at reducing the percentage of lighting projects from PY5 to PY7 by increasing the number of custom projects. </w:t>
      </w:r>
    </w:p>
    <w:p w:rsidR="002E051C" w:rsidRPr="003145F3" w:rsidRDefault="002E051C" w:rsidP="00E646C9">
      <w:pPr>
        <w:pStyle w:val="ListParagraph"/>
        <w:numPr>
          <w:ilvl w:val="0"/>
          <w:numId w:val="116"/>
        </w:numPr>
        <w:ind w:left="360"/>
      </w:pPr>
      <w:r w:rsidRPr="003145F3">
        <w:t>In Phase III, the decreased incentives may decrease the uptake of non-lighting measures. Interviews and survey responses indicate that in some cases PY7 incentives barely covered the cost of the engineering requirements in the rebate application.</w:t>
      </w:r>
    </w:p>
    <w:p w:rsidR="002E051C" w:rsidRPr="003145F3" w:rsidRDefault="002E051C" w:rsidP="00E646C9">
      <w:pPr>
        <w:pStyle w:val="ListParagraph"/>
        <w:numPr>
          <w:ilvl w:val="0"/>
          <w:numId w:val="116"/>
        </w:numPr>
        <w:ind w:left="360"/>
      </w:pPr>
      <w:r w:rsidRPr="003145F3">
        <w:t>The “limited time offer” marketing campaign was successful. It brought in more projects in February and March, rather than later in May and June.</w:t>
      </w:r>
    </w:p>
    <w:p w:rsidR="002E051C" w:rsidRPr="003145F3" w:rsidRDefault="002E051C" w:rsidP="003145F3"/>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3145F3" w:rsidRDefault="002E051C" w:rsidP="003145F3">
      <w:r w:rsidRPr="003145F3">
        <w:t xml:space="preserve">Navigant completed all PY7 activities listed in the evaluation plan except a focus group with participating contractors. Instead, Navigant completed in-depth interviews with participating contractors or trade allies. </w:t>
      </w:r>
    </w:p>
    <w:p w:rsidR="002E051C" w:rsidRPr="003145F3" w:rsidRDefault="002E051C" w:rsidP="003145F3"/>
    <w:p w:rsidR="002E051C" w:rsidRPr="003145F3" w:rsidRDefault="002E051C" w:rsidP="003145F3">
      <w:r w:rsidRPr="003145F3">
        <w:t>For the data-collection task requiring sampling, the SWE Team determined that the sampling approach followed the approved sampling plan and the report incorporated the required tables showing the sampling strategy. Navigant used a stratified random sampling approach for the participant survey, focusing on two strata: C/I and GNI participants. Navigant achieved sample sizes that provided 85/15 confidence/precision per stratum and program.</w:t>
      </w:r>
    </w:p>
    <w:p w:rsidR="002E051C" w:rsidRPr="003145F3" w:rsidRDefault="002E051C" w:rsidP="003145F3"/>
    <w:p w:rsidR="002E051C" w:rsidRPr="003145F3" w:rsidRDefault="002E051C" w:rsidP="003145F3">
      <w:r w:rsidRPr="003145F3">
        <w:t xml:space="preserve">The SWE Team determined that the reporting followed the SWE’s guidelines. The annual report included descriptions of the methods, summary of findings, and a table of recommendations with a description of whether PECO was implementing or considering those recommendations. The report and supporting documentation included sufficient detail for the SWE Team (and other readers) to assess the methods, findings, and recommendations. Conclusions were integrated into sections describing key findings. </w:t>
      </w:r>
    </w:p>
    <w:p w:rsidR="002E051C" w:rsidRPr="003145F3" w:rsidRDefault="002E051C" w:rsidP="003145F3"/>
    <w:p w:rsidR="002E051C" w:rsidRPr="003145F3" w:rsidRDefault="002E051C" w:rsidP="003145F3">
      <w:r w:rsidRPr="003145F3">
        <w:t>Overall, the process evaluation discussion was succinct and highlighted findings that should be of value to the administrator and implementer. The recommendations were clear and actionable and supported by conclusions and/or findings.</w:t>
      </w:r>
    </w:p>
    <w:p w:rsidR="002057C5" w:rsidRPr="002E051C" w:rsidRDefault="002057C5" w:rsidP="002E051C"/>
    <w:p w:rsidR="002E051C" w:rsidRPr="002E051C" w:rsidRDefault="002E051C" w:rsidP="00D613BE">
      <w:pPr>
        <w:pStyle w:val="AppendixBHeading3"/>
      </w:pPr>
      <w:r w:rsidRPr="002E051C">
        <w:t>Smart Construction Incentives (SCI) Program</w:t>
      </w:r>
    </w:p>
    <w:p w:rsidR="002E051C" w:rsidRPr="002E051C" w:rsidRDefault="002E051C" w:rsidP="00D613BE">
      <w:pPr>
        <w:pStyle w:val="AppendixBHeading4"/>
        <w:rPr>
          <w:rFonts w:eastAsiaTheme="minorHAnsi"/>
        </w:rPr>
      </w:pPr>
      <w:r w:rsidRPr="002E051C">
        <w:rPr>
          <w:rFonts w:eastAsiaTheme="minorHAnsi"/>
        </w:rPr>
        <w:t>Brief Overview of the Program and Its Success</w:t>
      </w:r>
    </w:p>
    <w:p w:rsidR="002E051C" w:rsidRPr="003145F3" w:rsidRDefault="002E051C" w:rsidP="003145F3">
      <w:r w:rsidRPr="003145F3">
        <w:t>The SCI Program aims to accelerate adoption of energy efficient design and construction practices so that new C/I facilities in the PECO territory are more energy efficient than the current stock. The program covers both new construction and buildings undergoing major renovation; the latter is defined as construction that involves the complete removal, redesign, and replacement of two or more major building systems. The target markets for the program are decision</w:t>
      </w:r>
      <w:r w:rsidR="00971E73" w:rsidRPr="003145F3">
        <w:t>-</w:t>
      </w:r>
      <w:r w:rsidRPr="003145F3">
        <w:t>makers for the design and/or construction of new facilities, renovation contractors</w:t>
      </w:r>
      <w:r w:rsidR="00971E73" w:rsidRPr="003145F3">
        <w:t>,</w:t>
      </w:r>
      <w:r w:rsidRPr="003145F3">
        <w:t xml:space="preserve"> and developers. The program provides facility designers and builders with training, design assistance, and financial incentives to incorporate energy efficient systems into their building designs. In PY7, the program achieved gross realization rates of 87% for energy and 72% for demand.</w:t>
      </w:r>
    </w:p>
    <w:p w:rsidR="002E051C" w:rsidRPr="002E051C" w:rsidRDefault="002E051C" w:rsidP="002E051C">
      <w:pPr>
        <w:autoSpaceDE w:val="0"/>
        <w:autoSpaceDN w:val="0"/>
        <w:adjustRightInd w:val="0"/>
        <w:jc w:val="left"/>
        <w:rPr>
          <w:rFonts w:cs="Calibri"/>
          <w:color w:val="000000"/>
        </w:rPr>
      </w:pPr>
    </w:p>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3145F3">
      <w:pPr>
        <w:autoSpaceDE w:val="0"/>
        <w:autoSpaceDN w:val="0"/>
        <w:adjustRightInd w:val="0"/>
        <w:spacing w:after="120"/>
        <w:jc w:val="left"/>
        <w:rPr>
          <w:rFonts w:cs="Calibri"/>
          <w:color w:val="000000"/>
          <w:sz w:val="24"/>
          <w:szCs w:val="24"/>
        </w:rPr>
      </w:pPr>
      <w:r w:rsidRPr="002E051C">
        <w:t xml:space="preserve">Navigant conducted an abbreviated process evaluation of the program in PY7, relying on data from in-depth interviews with the program manager and implementation staff and a review of program data and documents. From this research, six key findings emerged: </w:t>
      </w:r>
    </w:p>
    <w:p w:rsidR="002E051C" w:rsidRPr="003145F3" w:rsidRDefault="002E051C" w:rsidP="00E646C9">
      <w:pPr>
        <w:pStyle w:val="ListParagraph"/>
        <w:numPr>
          <w:ilvl w:val="0"/>
          <w:numId w:val="117"/>
        </w:numPr>
        <w:ind w:left="360"/>
      </w:pPr>
      <w:r w:rsidRPr="003145F3">
        <w:t>During the site inspections, the evaluation team found several incomplete projects. Navigant credited the program with verified savings only in the portions of each project that were complete and occupied in accordance with the Pennsylvania TRM requirements for new construction projects. As a result, the energy savings realization rates dropped from over 112% (had the buildings been fully complete and occupied) to 87%.</w:t>
      </w:r>
    </w:p>
    <w:p w:rsidR="002E051C" w:rsidRPr="003145F3" w:rsidRDefault="002E051C" w:rsidP="00E646C9">
      <w:pPr>
        <w:pStyle w:val="ListParagraph"/>
        <w:numPr>
          <w:ilvl w:val="0"/>
          <w:numId w:val="117"/>
        </w:numPr>
        <w:spacing w:after="60"/>
        <w:ind w:left="360"/>
        <w:contextualSpacing w:val="0"/>
      </w:pPr>
      <w:r w:rsidRPr="003145F3">
        <w:t xml:space="preserve">Navigant identified several causes for the incomplete projects: </w:t>
      </w:r>
    </w:p>
    <w:p w:rsidR="002E051C" w:rsidRPr="002E051C" w:rsidRDefault="002E051C" w:rsidP="00D405A7">
      <w:pPr>
        <w:numPr>
          <w:ilvl w:val="1"/>
          <w:numId w:val="22"/>
        </w:numPr>
        <w:autoSpaceDE w:val="0"/>
        <w:autoSpaceDN w:val="0"/>
        <w:adjustRightInd w:val="0"/>
        <w:ind w:left="720"/>
        <w:contextualSpacing/>
        <w:jc w:val="left"/>
        <w:rPr>
          <w:rFonts w:cs="Calibri"/>
          <w:color w:val="000000"/>
          <w:szCs w:val="20"/>
        </w:rPr>
      </w:pPr>
      <w:r w:rsidRPr="002E051C">
        <w:rPr>
          <w:rFonts w:cs="Calibri"/>
          <w:szCs w:val="20"/>
        </w:rPr>
        <w:t>Overzealous pursuit of projects despite tight deadlines by the implementer</w:t>
      </w:r>
    </w:p>
    <w:p w:rsidR="002E051C" w:rsidRPr="002E051C" w:rsidRDefault="002E051C" w:rsidP="00D405A7">
      <w:pPr>
        <w:numPr>
          <w:ilvl w:val="1"/>
          <w:numId w:val="22"/>
        </w:numPr>
        <w:autoSpaceDE w:val="0"/>
        <w:autoSpaceDN w:val="0"/>
        <w:adjustRightInd w:val="0"/>
        <w:ind w:left="720"/>
        <w:contextualSpacing/>
        <w:jc w:val="left"/>
        <w:rPr>
          <w:rFonts w:cs="Calibri"/>
          <w:color w:val="000000"/>
          <w:szCs w:val="20"/>
        </w:rPr>
      </w:pPr>
      <w:r w:rsidRPr="002E051C">
        <w:rPr>
          <w:rFonts w:cs="Calibri"/>
          <w:szCs w:val="20"/>
        </w:rPr>
        <w:t>Empathy for customers rushing to be included in Phase II of the program</w:t>
      </w:r>
    </w:p>
    <w:p w:rsidR="002E051C" w:rsidRPr="002E051C" w:rsidRDefault="002E051C" w:rsidP="00D405A7">
      <w:pPr>
        <w:numPr>
          <w:ilvl w:val="1"/>
          <w:numId w:val="22"/>
        </w:numPr>
        <w:autoSpaceDE w:val="0"/>
        <w:autoSpaceDN w:val="0"/>
        <w:adjustRightInd w:val="0"/>
        <w:ind w:left="720"/>
        <w:contextualSpacing/>
        <w:jc w:val="left"/>
        <w:rPr>
          <w:rFonts w:cs="Calibri"/>
          <w:color w:val="000000"/>
          <w:szCs w:val="20"/>
        </w:rPr>
      </w:pPr>
      <w:r w:rsidRPr="002E051C">
        <w:rPr>
          <w:rFonts w:cs="Calibri"/>
          <w:szCs w:val="20"/>
        </w:rPr>
        <w:t>Implementer confusion about TRM rules for completion and occupancy</w:t>
      </w:r>
    </w:p>
    <w:p w:rsidR="002E051C" w:rsidRPr="002E051C" w:rsidRDefault="002E051C" w:rsidP="00D405A7">
      <w:pPr>
        <w:numPr>
          <w:ilvl w:val="1"/>
          <w:numId w:val="22"/>
        </w:numPr>
        <w:autoSpaceDE w:val="0"/>
        <w:autoSpaceDN w:val="0"/>
        <w:adjustRightInd w:val="0"/>
        <w:spacing w:after="60"/>
        <w:ind w:left="720"/>
        <w:jc w:val="left"/>
        <w:rPr>
          <w:rFonts w:cs="Calibri"/>
          <w:color w:val="000000"/>
          <w:szCs w:val="20"/>
        </w:rPr>
      </w:pPr>
      <w:r w:rsidRPr="002E051C">
        <w:rPr>
          <w:rFonts w:cs="Calibri"/>
          <w:szCs w:val="20"/>
        </w:rPr>
        <w:t>Ambiguous language in the program application about certificates of occupancy</w:t>
      </w:r>
    </w:p>
    <w:p w:rsidR="002E051C" w:rsidRPr="003145F3" w:rsidRDefault="002E051C" w:rsidP="00E646C9">
      <w:pPr>
        <w:pStyle w:val="ListParagraph"/>
        <w:numPr>
          <w:ilvl w:val="0"/>
          <w:numId w:val="117"/>
        </w:numPr>
        <w:ind w:left="360"/>
      </w:pPr>
      <w:r w:rsidRPr="003145F3">
        <w:t xml:space="preserve">The implementer M&amp;V team did select a subset of the project population to receive post-installation inspections (which would have alerted the program manager of a project’s completion status). The post-installation inspection reports were frequently not reviewed in detail by program and implementation staff beyond ensuring their existence. </w:t>
      </w:r>
    </w:p>
    <w:p w:rsidR="002E051C" w:rsidRPr="003145F3" w:rsidRDefault="002E051C" w:rsidP="00E646C9">
      <w:pPr>
        <w:pStyle w:val="ListParagraph"/>
        <w:numPr>
          <w:ilvl w:val="0"/>
          <w:numId w:val="117"/>
        </w:numPr>
        <w:ind w:left="360"/>
      </w:pPr>
      <w:r w:rsidRPr="003145F3">
        <w:t xml:space="preserve">The SCI improved in PY7 compared with PY6 and PY5, in part due to the program’s PY6 efforts to identify and requalify committed trade allies. </w:t>
      </w:r>
    </w:p>
    <w:p w:rsidR="002E051C" w:rsidRPr="003145F3" w:rsidRDefault="002E051C" w:rsidP="00E646C9">
      <w:pPr>
        <w:pStyle w:val="ListParagraph"/>
        <w:numPr>
          <w:ilvl w:val="0"/>
          <w:numId w:val="117"/>
        </w:numPr>
        <w:ind w:left="360"/>
      </w:pPr>
      <w:r w:rsidRPr="003145F3">
        <w:t>The new construction projects in the program have long lead times and require consistent and committed long-term partners to guide them through the program.</w:t>
      </w:r>
    </w:p>
    <w:p w:rsidR="002E051C" w:rsidRPr="003145F3" w:rsidRDefault="002E051C" w:rsidP="00E646C9">
      <w:pPr>
        <w:pStyle w:val="ListParagraph"/>
        <w:numPr>
          <w:ilvl w:val="0"/>
          <w:numId w:val="117"/>
        </w:numPr>
        <w:ind w:left="360"/>
      </w:pPr>
      <w:r w:rsidRPr="003145F3">
        <w:t>Over 75% of the portfolio savings are coming from either lighting or custom projects. The majority of savings from custom projects typically come from lighting measures.</w:t>
      </w:r>
    </w:p>
    <w:p w:rsidR="002E051C" w:rsidRDefault="002E051C" w:rsidP="002E051C">
      <w:pPr>
        <w:autoSpaceDE w:val="0"/>
        <w:autoSpaceDN w:val="0"/>
        <w:adjustRightInd w:val="0"/>
        <w:jc w:val="left"/>
        <w:rPr>
          <w:rFonts w:cs="Calibri"/>
          <w:color w:val="000000"/>
        </w:rPr>
      </w:pPr>
    </w:p>
    <w:p w:rsidR="00B32B81" w:rsidRDefault="00B32B81" w:rsidP="002E051C">
      <w:pPr>
        <w:autoSpaceDE w:val="0"/>
        <w:autoSpaceDN w:val="0"/>
        <w:adjustRightInd w:val="0"/>
        <w:jc w:val="left"/>
        <w:rPr>
          <w:rFonts w:cs="Calibri"/>
          <w:color w:val="000000"/>
        </w:rPr>
      </w:pPr>
    </w:p>
    <w:p w:rsidR="00B32B81" w:rsidRPr="002E051C" w:rsidRDefault="00B32B81" w:rsidP="002E051C">
      <w:pPr>
        <w:autoSpaceDE w:val="0"/>
        <w:autoSpaceDN w:val="0"/>
        <w:adjustRightInd w:val="0"/>
        <w:jc w:val="left"/>
        <w:rPr>
          <w:rFonts w:cs="Calibri"/>
          <w:color w:val="000000"/>
        </w:rPr>
      </w:pPr>
    </w:p>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Navigant completed all PY7 activities listed in the evaluation plan. None of the data-collection activities in PY7 required sampling. The SWE Team determined that the reporting followed the SWE’s guidelines. The annual report included descriptions of the methods, summary of findings, and a table of recommendations with a description of whether PECO was implementing or considering those recommendations. The annual report and supporting documentation included sufficient detail for the SWE Team (and other readers) to assess the methods, findings, and recommendations. Conclusions were integrated into sections describing key findings. Overall, the recommendations were clear and actionable and supported by conclusions and/or findings.</w:t>
      </w:r>
    </w:p>
    <w:p w:rsidR="002E051C" w:rsidRDefault="002E051C" w:rsidP="002E051C"/>
    <w:p w:rsidR="002E051C" w:rsidRPr="002E051C" w:rsidRDefault="002E051C" w:rsidP="00D613BE">
      <w:pPr>
        <w:pStyle w:val="AppendixBHeading3"/>
      </w:pPr>
      <w:r w:rsidRPr="002E051C">
        <w:t>Smart Multi</w:t>
      </w:r>
      <w:r w:rsidR="00971E73">
        <w:t>f</w:t>
      </w:r>
      <w:r w:rsidRPr="002E051C">
        <w:t>amily (SMF) Solutions Program</w:t>
      </w:r>
    </w:p>
    <w:p w:rsidR="002E051C" w:rsidRPr="003145F3" w:rsidRDefault="002E051C" w:rsidP="003145F3">
      <w:r w:rsidRPr="003145F3">
        <w:t>Since energy savings from this program come from residential and non-residential sectors, the SWE Team discusses this program under both the residential and non-residential program sections in this appendix.</w:t>
      </w:r>
    </w:p>
    <w:p w:rsidR="002E051C" w:rsidRPr="003145F3" w:rsidRDefault="002E051C" w:rsidP="003145F3"/>
    <w:p w:rsidR="002E051C" w:rsidRPr="002E051C" w:rsidRDefault="002E051C" w:rsidP="00D613BE">
      <w:pPr>
        <w:pStyle w:val="AppendixBHeading4"/>
        <w:rPr>
          <w:rFonts w:eastAsiaTheme="minorHAnsi"/>
        </w:rPr>
      </w:pPr>
      <w:r w:rsidRPr="002E051C">
        <w:rPr>
          <w:rFonts w:eastAsiaTheme="minorHAnsi"/>
        </w:rPr>
        <w:t>Brief Overview of the Program and Its Success</w:t>
      </w:r>
    </w:p>
    <w:p w:rsidR="002E051C" w:rsidRPr="002E051C" w:rsidRDefault="002E051C" w:rsidP="002E051C">
      <w:r w:rsidRPr="002E051C">
        <w:t>The purpose of the SMF Solutions Program is to increase awareness of energy savings opportunities in multifamily buildings and to assist multifamily residents and building owners and managers in acting on those opportunities. The program is designed for both multifamily property owners and multifamily customers. This program offers two paths to participation. The direct-install path offers cost-free CFLs, low-flow showerheads, and low-flow faucet aerators for apartment units, condos, and common areas. The prescriptive path offers incentives to multifamily landlords who install high-efficiency equipment in common areas. In Phase II, to date the program has not seen any participation in the prescriptive channel, and 100% of verified savings resulted from direct-install measures.</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2E051C">
      <w:r w:rsidRPr="002E051C">
        <w:t>The findings are the same as those reported in</w:t>
      </w:r>
      <w:r w:rsidR="009F1E9A">
        <w:t xml:space="preserve"> Appendix </w:t>
      </w:r>
      <w:r w:rsidR="009F1E9A">
        <w:fldChar w:fldCharType="begin"/>
      </w:r>
      <w:r w:rsidR="009F1E9A">
        <w:instrText xml:space="preserve"> REF _Ref473629455 \r \h </w:instrText>
      </w:r>
      <w:r w:rsidR="009F1E9A">
        <w:fldChar w:fldCharType="separate"/>
      </w:r>
      <w:r w:rsidR="00037CB4">
        <w:t>B.6.1.8</w:t>
      </w:r>
      <w:r w:rsidR="009F1E9A">
        <w:fldChar w:fldCharType="end"/>
      </w:r>
      <w:r w:rsidRPr="002E051C">
        <w:t xml:space="preserve"> above. </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The findings are the same as those reported in </w:t>
      </w:r>
      <w:r w:rsidR="009F1E9A" w:rsidRPr="002E051C">
        <w:t>in</w:t>
      </w:r>
      <w:r w:rsidR="009F1E9A">
        <w:t xml:space="preserve"> Appendix </w:t>
      </w:r>
      <w:r w:rsidR="009F1E9A">
        <w:fldChar w:fldCharType="begin"/>
      </w:r>
      <w:r w:rsidR="009F1E9A">
        <w:instrText xml:space="preserve"> REF _Ref473629455 \r \h </w:instrText>
      </w:r>
      <w:r w:rsidR="009F1E9A">
        <w:fldChar w:fldCharType="separate"/>
      </w:r>
      <w:r w:rsidR="00037CB4">
        <w:t>B.6.1.8</w:t>
      </w:r>
      <w:r w:rsidR="009F1E9A">
        <w:fldChar w:fldCharType="end"/>
      </w:r>
      <w:r w:rsidR="009F1E9A" w:rsidRPr="002E051C">
        <w:t xml:space="preserve"> above</w:t>
      </w:r>
      <w:r w:rsidRPr="002E051C">
        <w:t xml:space="preserve">. </w:t>
      </w:r>
    </w:p>
    <w:p w:rsidR="002E051C" w:rsidRPr="002E051C" w:rsidRDefault="002E051C" w:rsidP="002E051C"/>
    <w:p w:rsidR="002E051C" w:rsidRPr="002E051C" w:rsidRDefault="002E051C" w:rsidP="00D613BE">
      <w:pPr>
        <w:pStyle w:val="AppendixBHeading3"/>
      </w:pPr>
      <w:r w:rsidRPr="002E051C">
        <w:t>Smart On-Site (SOS) Program</w:t>
      </w:r>
    </w:p>
    <w:p w:rsidR="002E051C" w:rsidRPr="002E051C" w:rsidRDefault="002E051C" w:rsidP="00D613BE">
      <w:pPr>
        <w:pStyle w:val="AppendixBHeading4"/>
        <w:rPr>
          <w:rFonts w:eastAsiaTheme="minorHAnsi"/>
        </w:rPr>
      </w:pPr>
      <w:r w:rsidRPr="002E051C">
        <w:rPr>
          <w:rFonts w:eastAsiaTheme="minorHAnsi"/>
        </w:rPr>
        <w:t>Brief Overview of the Program and Its Success</w:t>
      </w:r>
    </w:p>
    <w:p w:rsidR="002E051C" w:rsidRPr="00D405A7" w:rsidRDefault="002E051C" w:rsidP="00D405A7">
      <w:r w:rsidRPr="00D405A7">
        <w:t xml:space="preserve">The SOS Program is designed to incentivize customers to install CHP projects that maximize operational savings and minimize operational and maintenance costs. CHP systems that are sized to match the minimum electric and thermal loads achieve the optimal savings. PECO provides </w:t>
      </w:r>
      <w:r w:rsidR="00971E73" w:rsidRPr="00D405A7">
        <w:t>S</w:t>
      </w:r>
      <w:r w:rsidRPr="00D405A7">
        <w:t>OS Program with incentives based on a declining tiered incentive rate by installed capacity with a separate performance payment. Each tier has a fixed per-MW incentive paid toward the incremental capacity within each tier. Capacity-based incentives are not paid for incremental capacity above 10 MW. No SOS projects were completed in PY6. Six projects were completed in PY7.</w:t>
      </w:r>
    </w:p>
    <w:p w:rsidR="002E051C" w:rsidRPr="002E051C" w:rsidRDefault="002E051C" w:rsidP="002E051C"/>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conducted in-depth interviews with the program manager and implementation staff and interviewed all participating customers and project developers. Based on these interviews, six key findings emerged:</w:t>
      </w:r>
    </w:p>
    <w:p w:rsidR="002E051C" w:rsidRPr="00D405A7" w:rsidRDefault="00971E73" w:rsidP="00E646C9">
      <w:pPr>
        <w:pStyle w:val="ListParagraph"/>
        <w:numPr>
          <w:ilvl w:val="0"/>
          <w:numId w:val="118"/>
        </w:numPr>
        <w:ind w:left="360"/>
      </w:pPr>
      <w:r w:rsidRPr="00D405A7">
        <w:t xml:space="preserve">The </w:t>
      </w:r>
      <w:r w:rsidR="002E051C" w:rsidRPr="00D405A7">
        <w:t xml:space="preserve">SOS creates significant uncertainty and risk for PECO due to the complexity of the projects and the magnitude of the projects’ energy savings. About 17% of the Phase II MWh savings goal was completed in the last two days of the phase, and projects making up 7% of the Phase II MWh goal did not get completed during the phase. Projects that did not finish during the phase took between 15 and 28 months from the time of application to completion, making it difficult for PECO to react to any need to adjust its plan to meet the portfolio savings goals. </w:t>
      </w:r>
    </w:p>
    <w:p w:rsidR="002E051C" w:rsidRPr="00D405A7" w:rsidRDefault="002E051C" w:rsidP="00E646C9">
      <w:pPr>
        <w:pStyle w:val="ListParagraph"/>
        <w:numPr>
          <w:ilvl w:val="0"/>
          <w:numId w:val="118"/>
        </w:numPr>
        <w:ind w:left="360"/>
      </w:pPr>
      <w:r w:rsidRPr="00D405A7">
        <w:t xml:space="preserve">Developers unanimously oppose restrictions on participation based on system size and phase deadline. </w:t>
      </w:r>
    </w:p>
    <w:p w:rsidR="002E051C" w:rsidRPr="00D405A7" w:rsidRDefault="002E051C" w:rsidP="00E646C9">
      <w:pPr>
        <w:pStyle w:val="ListParagraph"/>
        <w:numPr>
          <w:ilvl w:val="0"/>
          <w:numId w:val="118"/>
        </w:numPr>
        <w:ind w:left="360"/>
      </w:pPr>
      <w:r w:rsidRPr="00D405A7">
        <w:t xml:space="preserve">One developer suggested that the move toward containerized systems for systems as large as 1.5 MW can shorten the development cycle. That developer also noted that smaller systems are not typically designed by specialized firms and are prone to more issues. Further investigation of program data revealed that containerized systems did not complete faster than two traditional projects completed in PY5. </w:t>
      </w:r>
    </w:p>
    <w:p w:rsidR="002E051C" w:rsidRPr="00D405A7" w:rsidRDefault="002E051C" w:rsidP="00E646C9">
      <w:pPr>
        <w:pStyle w:val="ListParagraph"/>
        <w:numPr>
          <w:ilvl w:val="0"/>
          <w:numId w:val="118"/>
        </w:numPr>
        <w:ind w:left="360"/>
      </w:pPr>
      <w:r w:rsidRPr="00D405A7">
        <w:t>Obtaining an operating permit from the Pennsylvania DEP can delay projects considerably. All developers pointed to the DEP as the source of considerable delay and uncertainty.</w:t>
      </w:r>
    </w:p>
    <w:p w:rsidR="002E051C" w:rsidRPr="00D405A7" w:rsidRDefault="002E051C" w:rsidP="00E646C9">
      <w:pPr>
        <w:pStyle w:val="ListParagraph"/>
        <w:numPr>
          <w:ilvl w:val="0"/>
          <w:numId w:val="118"/>
        </w:numPr>
        <w:ind w:left="360"/>
      </w:pPr>
      <w:r w:rsidRPr="00D405A7">
        <w:t>Three out of four developers said they had issues with the interconnection agreement.</w:t>
      </w:r>
    </w:p>
    <w:p w:rsidR="002E051C" w:rsidRPr="00D405A7" w:rsidRDefault="002E051C" w:rsidP="00E646C9">
      <w:pPr>
        <w:pStyle w:val="ListParagraph"/>
        <w:numPr>
          <w:ilvl w:val="0"/>
          <w:numId w:val="118"/>
        </w:numPr>
        <w:ind w:left="360"/>
      </w:pPr>
      <w:r w:rsidRPr="00D405A7">
        <w:t xml:space="preserve">Several participants noted issues with customer service, including responsiveness and consistency of messages across staff. </w:t>
      </w:r>
    </w:p>
    <w:p w:rsidR="002E051C" w:rsidRPr="002E051C" w:rsidRDefault="002E051C" w:rsidP="002E051C">
      <w:pPr>
        <w:autoSpaceDE w:val="0"/>
        <w:autoSpaceDN w:val="0"/>
        <w:adjustRightInd w:val="0"/>
        <w:ind w:left="720"/>
        <w:contextualSpacing/>
        <w:jc w:val="left"/>
        <w:rPr>
          <w:rFonts w:cs="Calibri"/>
          <w:color w:val="000000"/>
          <w:szCs w:val="20"/>
        </w:rPr>
      </w:pPr>
    </w:p>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Navigant completed all the PY7 activities listed in the evaluation plan.</w:t>
      </w:r>
    </w:p>
    <w:p w:rsidR="002E051C" w:rsidRPr="002E051C" w:rsidRDefault="002E051C" w:rsidP="002E051C"/>
    <w:p w:rsidR="002E051C" w:rsidRPr="002E051C" w:rsidRDefault="002E051C" w:rsidP="002E051C">
      <w:r w:rsidRPr="002E051C">
        <w:t xml:space="preserve">All participants and developers were interviewed. Thus, there were no data-collection process-evaluation-related tasks that required sampling. </w:t>
      </w:r>
    </w:p>
    <w:p w:rsidR="002E051C" w:rsidRPr="002E051C" w:rsidRDefault="002E051C" w:rsidP="002E051C"/>
    <w:p w:rsidR="002E051C" w:rsidRPr="002E051C" w:rsidRDefault="002E051C" w:rsidP="002E051C">
      <w:r w:rsidRPr="002E051C">
        <w:t xml:space="preserve">The SWE Team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Note that conclusions were integrated into sections describing key findings. </w:t>
      </w:r>
    </w:p>
    <w:p w:rsidR="002E051C" w:rsidRPr="002E051C" w:rsidRDefault="002E051C" w:rsidP="00BC1E78"/>
    <w:p w:rsidR="002E051C" w:rsidRPr="00BC1E78" w:rsidRDefault="002E051C" w:rsidP="00BC1E78">
      <w:pPr>
        <w:autoSpaceDE w:val="0"/>
        <w:autoSpaceDN w:val="0"/>
        <w:adjustRightInd w:val="0"/>
        <w:rPr>
          <w:color w:val="000000"/>
        </w:rPr>
      </w:pPr>
      <w:r w:rsidRPr="002E051C">
        <w:t>Overall, the process evaluation discussion was succinct and highlighted findings that should be of value to the administrator and implementer. The recommendations were clear and actionable and supported by findings.</w:t>
      </w:r>
    </w:p>
    <w:p w:rsidR="00A83E08" w:rsidRDefault="00A83E08" w:rsidP="002E051C">
      <w:pPr>
        <w:autoSpaceDE w:val="0"/>
        <w:autoSpaceDN w:val="0"/>
        <w:adjustRightInd w:val="0"/>
        <w:jc w:val="left"/>
      </w:pPr>
    </w:p>
    <w:p w:rsidR="002E051C" w:rsidRPr="002E051C" w:rsidRDefault="002E051C" w:rsidP="00D613BE">
      <w:pPr>
        <w:pStyle w:val="AppendixBHeading3"/>
      </w:pPr>
      <w:r w:rsidRPr="002E051C">
        <w:t>Smart Business Solutions (SBS) Program</w:t>
      </w:r>
    </w:p>
    <w:p w:rsidR="002E051C" w:rsidRPr="002E051C" w:rsidRDefault="002E051C" w:rsidP="00D613BE">
      <w:pPr>
        <w:pStyle w:val="AppendixBHeading4"/>
        <w:rPr>
          <w:rFonts w:eastAsiaTheme="minorHAnsi"/>
        </w:rPr>
      </w:pPr>
      <w:r w:rsidRPr="002E051C">
        <w:rPr>
          <w:rFonts w:eastAsiaTheme="minorHAnsi"/>
        </w:rPr>
        <w:t>Brief Overview of the Program and Its Success</w:t>
      </w:r>
    </w:p>
    <w:p w:rsidR="002E051C" w:rsidRPr="002E051C" w:rsidRDefault="002E051C" w:rsidP="002E051C">
      <w:pPr>
        <w:autoSpaceDE w:val="0"/>
        <w:autoSpaceDN w:val="0"/>
        <w:adjustRightInd w:val="0"/>
        <w:rPr>
          <w:rFonts w:cs="Calibri"/>
        </w:rPr>
      </w:pPr>
      <w:r w:rsidRPr="002E051C">
        <w:rPr>
          <w:rFonts w:cs="Calibri"/>
        </w:rPr>
        <w:t>The SBS Program is a direct-install program, designed to encourage and assist small business owners to improve the efficiency of their existing facilities through turnkey installation and rapid project completion. The program includes lighting and refrigeration measures that typically are low-cost and deliver reliable, prescriptive energy savings and costs per unit. PECO scaled back program activity considerably in PY7 due to cost overruns in PY6. The gross program savings in PY7 were approximately 4,971 MWh, compared with 13,413 MWh in PY6.</w:t>
      </w:r>
    </w:p>
    <w:p w:rsidR="002E051C" w:rsidRPr="00D405A7" w:rsidRDefault="002E051C" w:rsidP="00D405A7"/>
    <w:p w:rsidR="002E051C" w:rsidRPr="002E051C" w:rsidRDefault="002E051C" w:rsidP="00D613BE">
      <w:pPr>
        <w:pStyle w:val="AppendixBHeading4"/>
        <w:rPr>
          <w:rFonts w:eastAsiaTheme="minorHAnsi"/>
        </w:rPr>
      </w:pPr>
      <w:r w:rsidRPr="002E051C">
        <w:rPr>
          <w:rFonts w:eastAsiaTheme="minorHAnsi"/>
        </w:rPr>
        <w:t>Summary of the Process Evaluation Findings</w:t>
      </w:r>
    </w:p>
    <w:p w:rsidR="002E051C" w:rsidRPr="002E051C" w:rsidRDefault="002E051C" w:rsidP="00D405A7">
      <w:pPr>
        <w:pStyle w:val="6spacenormal"/>
      </w:pPr>
      <w:r w:rsidRPr="002E051C">
        <w:t>For process evaluation, Navigant relied on data from two research activities: in-depth interviews with program managers and review of program data. Four key findings emerged from these efforts:</w:t>
      </w:r>
    </w:p>
    <w:p w:rsidR="002E051C" w:rsidRPr="00D405A7" w:rsidRDefault="002E051C" w:rsidP="00E646C9">
      <w:pPr>
        <w:pStyle w:val="ListParagraph"/>
        <w:numPr>
          <w:ilvl w:val="0"/>
          <w:numId w:val="119"/>
        </w:numPr>
        <w:ind w:left="360"/>
      </w:pPr>
      <w:r w:rsidRPr="00D405A7">
        <w:t xml:space="preserve">The program fell short of the Phase II </w:t>
      </w:r>
      <w:r w:rsidR="000D7316" w:rsidRPr="00D405A7">
        <w:t xml:space="preserve">objectives </w:t>
      </w:r>
      <w:r w:rsidRPr="00D405A7">
        <w:t>by about 15% and overspent the budget by about $1 million.</w:t>
      </w:r>
    </w:p>
    <w:p w:rsidR="002E051C" w:rsidRPr="00D405A7" w:rsidRDefault="002E051C" w:rsidP="00E646C9">
      <w:pPr>
        <w:pStyle w:val="ListParagraph"/>
        <w:numPr>
          <w:ilvl w:val="0"/>
          <w:numId w:val="119"/>
        </w:numPr>
        <w:ind w:left="360"/>
      </w:pPr>
      <w:r w:rsidRPr="00D405A7">
        <w:t>The program was able to ramp up and down easily. The PECO program manager was able to vary the length of time between the on-site audit and the delivery of the efficiency project proposal to increase or decrease the number of projects—and therefore control the amount of savings—coming in each month.</w:t>
      </w:r>
    </w:p>
    <w:p w:rsidR="002E051C" w:rsidRPr="00D405A7" w:rsidRDefault="002E051C" w:rsidP="00E646C9">
      <w:pPr>
        <w:pStyle w:val="ListParagraph"/>
        <w:numPr>
          <w:ilvl w:val="0"/>
          <w:numId w:val="119"/>
        </w:numPr>
        <w:ind w:left="360"/>
      </w:pPr>
      <w:r w:rsidRPr="00D405A7">
        <w:t>PY7 savings still revolved around linear fluorescent upgrades of T12s to T8s and T5s, accounting for 76% of program savings. The TRM in Phase III will shift the baseline for linear fluorescent upgrades from T12s to T8s, drastically reducing the amount of savings PECO can claim for T12 upgrades.</w:t>
      </w:r>
    </w:p>
    <w:p w:rsidR="002E051C" w:rsidRPr="00D405A7" w:rsidRDefault="002E051C" w:rsidP="00E646C9">
      <w:pPr>
        <w:pStyle w:val="ListParagraph"/>
        <w:numPr>
          <w:ilvl w:val="0"/>
          <w:numId w:val="119"/>
        </w:numPr>
        <w:ind w:left="360"/>
      </w:pPr>
      <w:r w:rsidRPr="00D405A7">
        <w:t>There may be a missed opportunity for PECO to offer customers a more comprehensive approach to energy savings. On-site visits offer the sales auditor an opportunity to review and propose more efficiency options than tho</w:t>
      </w:r>
      <w:r w:rsidR="00971E73" w:rsidRPr="00D405A7">
        <w:t>se incentivized through the SBS</w:t>
      </w:r>
      <w:r w:rsidRPr="00D405A7">
        <w:t>.</w:t>
      </w:r>
    </w:p>
    <w:p w:rsidR="002E051C" w:rsidRPr="002E051C" w:rsidRDefault="002E051C" w:rsidP="002E051C">
      <w:pPr>
        <w:autoSpaceDE w:val="0"/>
        <w:autoSpaceDN w:val="0"/>
        <w:adjustRightInd w:val="0"/>
      </w:pPr>
    </w:p>
    <w:p w:rsidR="002E051C" w:rsidRPr="002E051C" w:rsidRDefault="002E051C" w:rsidP="00D613BE">
      <w:pPr>
        <w:pStyle w:val="AppendixBHeading4"/>
        <w:rPr>
          <w:rFonts w:eastAsiaTheme="minorHAnsi"/>
        </w:rPr>
      </w:pPr>
      <w:r w:rsidRPr="002E051C">
        <w:rPr>
          <w:rFonts w:eastAsiaTheme="minorHAnsi"/>
        </w:rPr>
        <w:t>Summary of the Process Evaluation Audit</w:t>
      </w:r>
    </w:p>
    <w:p w:rsidR="002E051C" w:rsidRPr="00D405A7" w:rsidRDefault="002E051C" w:rsidP="00D405A7">
      <w:r w:rsidRPr="00D405A7">
        <w:t xml:space="preserve">Navigant completed all the PY7 activities listed in the evaluation plan. None of the data-collection activities in PY7 required sampling. The SWE Team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 </w:t>
      </w:r>
    </w:p>
    <w:p w:rsidR="002E051C" w:rsidRPr="00D405A7" w:rsidRDefault="002E051C" w:rsidP="00D405A7"/>
    <w:p w:rsidR="002E051C" w:rsidRPr="00D405A7" w:rsidRDefault="002E051C" w:rsidP="00D405A7">
      <w:r w:rsidRPr="00D405A7">
        <w:t>Overall, the process evaluation discussion was succinct and highlighted findings that should be of value to the administrator and implementer. The recommendations were clear and actionable and supported by findings.</w:t>
      </w:r>
    </w:p>
    <w:p w:rsidR="002E051C" w:rsidRPr="002E051C" w:rsidRDefault="002E051C" w:rsidP="002E051C"/>
    <w:p w:rsidR="002E051C" w:rsidRPr="002E051C" w:rsidRDefault="00702765" w:rsidP="00D613BE">
      <w:pPr>
        <w:pStyle w:val="AppendixBHeading1"/>
      </w:pPr>
      <w:bookmarkStart w:id="1416" w:name="_Ref440447489"/>
      <w:r>
        <w:t>PPL</w:t>
      </w:r>
      <w:bookmarkEnd w:id="1416"/>
    </w:p>
    <w:p w:rsidR="002E051C" w:rsidRPr="002E051C" w:rsidRDefault="002E051C" w:rsidP="00D613BE">
      <w:pPr>
        <w:pStyle w:val="AppendixBHeading2"/>
      </w:pPr>
      <w:r w:rsidRPr="002E051C">
        <w:t>Residential Programs</w:t>
      </w:r>
    </w:p>
    <w:p w:rsidR="002E051C" w:rsidRPr="002E051C" w:rsidRDefault="00EE15A5" w:rsidP="002E051C">
      <w:r w:rsidRPr="00C52A0B">
        <w:t xml:space="preserve">Cadmus reported on PY7 process evaluations for three of four residential programs: </w:t>
      </w:r>
      <w:r w:rsidR="00D405A7" w:rsidRPr="00C52A0B">
        <w:t>The</w:t>
      </w:r>
      <w:r w:rsidRPr="00C52A0B">
        <w:t xml:space="preserve"> Residential Energy-Efficiency Behavior &amp; Education Program (Cadmus conducted a full process evaluation in PY6 and a limited evaluation in PY7), Residential Home Comfort Program, Residential Retail Program (Residential Lighting and Efficient Equipment), the Student and Parent Energy Efficiency Education Program. In accordance with the evaluation plan, Cadmus did not perform a PY7 process evaluation for the Appliance Recycling Program since the program was evaluated in prior years and no major changes occurred in PY7 except that it was suspended in Q2 of PY7.</w:t>
      </w:r>
    </w:p>
    <w:p w:rsidR="002E051C" w:rsidRPr="002E051C" w:rsidRDefault="002E051C" w:rsidP="002E051C"/>
    <w:p w:rsidR="002E051C" w:rsidRPr="002E051C" w:rsidRDefault="002E051C" w:rsidP="002E051C">
      <w:r w:rsidRPr="002E051C">
        <w:t xml:space="preserve">For the process evaluations of the above programs, Cadmus reviewed program documents and data; interviewed utility and implementation staff; and surveyed program participants and nonparticipants. The document and program data review informed identification of program goals, activities, and updates, and in some instances, development of program theory and logic models. The research issues addressed by the primary data-collection activities (in-depth interviews and surveys) varied among programs but generally included the effectiveness of program administration, implementation, and delivery, and customer and market actor program satisfaction, participation, challenges, and recommendations. </w:t>
      </w:r>
    </w:p>
    <w:p w:rsidR="002E051C" w:rsidRPr="002E051C" w:rsidRDefault="002E051C" w:rsidP="002E051C"/>
    <w:p w:rsidR="002E051C" w:rsidRPr="002E051C" w:rsidRDefault="00EE15A5" w:rsidP="002E051C">
      <w:r w:rsidRPr="00C52A0B">
        <w:t xml:space="preserve">Cadmus followed the evaluation plan for each program’s process evaluation with three exceptions, which Cadmus explained in the PY7 </w:t>
      </w:r>
      <w:r w:rsidR="00A83E08">
        <w:t>a</w:t>
      </w:r>
      <w:r w:rsidRPr="00C52A0B">
        <w:t xml:space="preserve">nnual </w:t>
      </w:r>
      <w:r w:rsidR="00A83E08">
        <w:t>r</w:t>
      </w:r>
      <w:r w:rsidRPr="00C52A0B">
        <w:t xml:space="preserve">eport: (1) Cadmus did not achieve the planned goal of surveying manufactured home participants in the Residential Home Comfort Program because there was only one participant (see Section 7.4.2 of the </w:t>
      </w:r>
      <w:r w:rsidR="00A83E08">
        <w:t>a</w:t>
      </w:r>
      <w:r w:rsidRPr="00C52A0B">
        <w:t xml:space="preserve">nnual </w:t>
      </w:r>
      <w:r w:rsidR="00A83E08">
        <w:t>r</w:t>
      </w:r>
      <w:r w:rsidRPr="00C52A0B">
        <w:t xml:space="preserve">eport). (2) Cadmus did not obtain the targeted number of Residential Home Comfort Program participant surveys to achieve the planned 90/10 confidence/precision. (3) Cadmus increased the number of planned surveys of heat pump water heater participants and residential customers for the Residential Retail Program, to achieve the targeted number of completes (see Section 7.4.2 of the </w:t>
      </w:r>
      <w:r w:rsidR="00A83E08">
        <w:t>a</w:t>
      </w:r>
      <w:r w:rsidRPr="00C52A0B">
        <w:t xml:space="preserve">nnual </w:t>
      </w:r>
      <w:r w:rsidR="00A83E08">
        <w:t>r</w:t>
      </w:r>
      <w:r w:rsidRPr="00C52A0B">
        <w:t>eport).</w:t>
      </w:r>
    </w:p>
    <w:p w:rsidR="002E051C" w:rsidRPr="002E051C" w:rsidRDefault="002E051C" w:rsidP="002E051C"/>
    <w:p w:rsidR="002E051C" w:rsidRPr="002E051C" w:rsidRDefault="002E051C" w:rsidP="002E051C">
      <w:r w:rsidRPr="002E051C">
        <w:t>The findings were clearly presented, and overall the conclusions were well supported by the findings. The conclusions were mostly concise and informative, but the SWE Team noted two conclusions that did not have, but likely could have had, accompanying recommendations. The recommendations followed from the conclusions, and most of the recommendations were clear and actionable. The SWE Team did note two recommendations that included multiple recommendations that could be separated, and two recommendations that were too vague and not clearly actionable.</w:t>
      </w:r>
    </w:p>
    <w:p w:rsidR="002E051C" w:rsidRPr="002E051C" w:rsidRDefault="002E051C" w:rsidP="002E051C"/>
    <w:p w:rsidR="002E051C" w:rsidRPr="002E051C" w:rsidRDefault="002E051C" w:rsidP="00D405A7">
      <w:pPr>
        <w:pStyle w:val="6spacenormal"/>
      </w:pPr>
      <w:r w:rsidRPr="002E051C">
        <w:t xml:space="preserve">For each program, a brief program description, summary of the process evaluation findings, and review (audit) of the annual report follow below. The SWE Team notes three comments about the methods discussions for the process evaluations of all programs: </w:t>
      </w:r>
    </w:p>
    <w:p w:rsidR="00EE15A5" w:rsidRPr="00D405A7" w:rsidRDefault="00EE15A5" w:rsidP="00E646C9">
      <w:pPr>
        <w:pStyle w:val="ListParagraph"/>
        <w:numPr>
          <w:ilvl w:val="0"/>
          <w:numId w:val="120"/>
        </w:numPr>
        <w:ind w:left="360"/>
      </w:pPr>
      <w:r w:rsidRPr="00D405A7">
        <w:t>The sample and disposition tables for the surveys conducted as part of the process evaluation are missing the survey mode (web, phone, mail) used to conduct each survey. The addition of the survey mode would complete the tables and make it so the reader does not have to refer to the text to find which mode was used. The SWE Team notes that it did not include survey mode in this table’s template provided to the EDCs, but that the mode would be a good addition.</w:t>
      </w:r>
    </w:p>
    <w:p w:rsidR="00EE15A5" w:rsidRPr="00D405A7" w:rsidRDefault="00EE15A5" w:rsidP="00E646C9">
      <w:pPr>
        <w:pStyle w:val="ListParagraph"/>
        <w:numPr>
          <w:ilvl w:val="0"/>
          <w:numId w:val="120"/>
        </w:numPr>
        <w:ind w:left="360"/>
      </w:pPr>
      <w:r w:rsidRPr="00D405A7">
        <w:t xml:space="preserve">Including more information about the methods used to conduct analyses, such as the type of analysis (e.g., means, medians, frequencies, percentages, qualitative coding.) and type of test (e.g., Chi-square, t-test) and values of the statistical tests conducted, would be very informative. </w:t>
      </w:r>
    </w:p>
    <w:p w:rsidR="002E051C" w:rsidRPr="00D405A7" w:rsidRDefault="00EE15A5" w:rsidP="00BC1E78">
      <w:pPr>
        <w:ind w:left="360"/>
      </w:pPr>
      <w:r w:rsidRPr="00D405A7">
        <w:t xml:space="preserve">Including more methodological details about the survey of Low-Income Energy-Efficiency Behavior &amp; Education Program participants would be helpful, since it was used for calculating program savings from the free LED bulb. </w:t>
      </w:r>
    </w:p>
    <w:p w:rsidR="00A83E08" w:rsidRDefault="00A83E08" w:rsidP="00D405A7"/>
    <w:p w:rsidR="002E051C" w:rsidRPr="002E051C" w:rsidRDefault="002E051C" w:rsidP="00D613BE">
      <w:pPr>
        <w:pStyle w:val="AppendixBHeading3"/>
      </w:pPr>
      <w:r w:rsidRPr="002E051C">
        <w:t>Residential Energy-Efficiency Behavior &amp; Education Program</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 xml:space="preserve">The Residential Energy-Efficiency Behavior &amp; Education Program informs customers about their home energy consumption and encourages them to adopt low-cost energy savings home improvements and behaviors through HERs. Customers receive a HER sent by mail every other month, or by email every month if a valid email address is on file. HERs contain the customer’s household energy use data, a neighbor comparison of energy use, and three low-cost energy savings steps. </w:t>
      </w:r>
    </w:p>
    <w:p w:rsidR="002E051C" w:rsidRPr="002E051C" w:rsidRDefault="002E051C" w:rsidP="002E051C"/>
    <w:p w:rsidR="002E051C" w:rsidRPr="002E051C" w:rsidRDefault="002E051C" w:rsidP="002E051C">
      <w:r w:rsidRPr="002E051C">
        <w:t xml:space="preserve">The implementer for this program is </w:t>
      </w:r>
      <w:r w:rsidR="00A92A46">
        <w:t>OPower</w:t>
      </w:r>
      <w:r w:rsidRPr="002E051C">
        <w:t xml:space="preserve">, which selects eligible customers and produces and distributes the HERs. An RCT is used to determine who receives reports, in which customers selected by </w:t>
      </w:r>
      <w:r w:rsidR="00A92A46">
        <w:t>OPower</w:t>
      </w:r>
      <w:r w:rsidRPr="002E051C">
        <w:t xml:space="preserve"> are randomly assigned by Cadmus to either a treatment group (recipients of HERs) or a control group (non-recipients). The control group is unaware of the HERs and is used as a comparison for measuring the treatment group’s energy savings resulting from the program. </w:t>
      </w:r>
    </w:p>
    <w:p w:rsidR="002E051C" w:rsidRPr="002E051C" w:rsidRDefault="002E051C" w:rsidP="002E051C"/>
    <w:p w:rsidR="002E051C" w:rsidRPr="002E051C" w:rsidRDefault="002E051C" w:rsidP="002E051C">
      <w:pPr>
        <w:autoSpaceDE w:val="0"/>
        <w:autoSpaceDN w:val="0"/>
        <w:adjustRightInd w:val="0"/>
        <w:jc w:val="left"/>
        <w:rPr>
          <w:rFonts w:cs="Calibri"/>
          <w:color w:val="000000"/>
        </w:rPr>
      </w:pPr>
      <w:r w:rsidRPr="002E051C">
        <w:rPr>
          <w:rFonts w:cs="Calibri"/>
        </w:rPr>
        <w:t>Because of its strong savings performance in PY6, the program ceased delivery of HERs at the end of Q2 in PY7. As a result, treatment-group customers received about three paper HERs by mail and five emailed HERs in PY7.</w:t>
      </w:r>
    </w:p>
    <w:p w:rsidR="002E051C" w:rsidRPr="002E051C" w:rsidRDefault="002E051C" w:rsidP="002E051C">
      <w:pPr>
        <w:rPr>
          <w:rFonts w:cs="Calibri"/>
          <w:color w:val="000000"/>
        </w:rPr>
      </w:pPr>
    </w:p>
    <w:p w:rsidR="002E051C" w:rsidRPr="002E051C" w:rsidRDefault="002E051C" w:rsidP="002E051C">
      <w:r w:rsidRPr="002E051C">
        <w:t>The Residential Energy-Efficiency Behavior &amp; Education Program exceeded its PY7 and Phase II planned MWh/yr savings and nearly met its planned participation. The program planned 30,749 MWh/yr savings, and at the end of PY7 achieved 39,078 MWh/yr savings, or 127% of planned savings. The program also planned 128,000 participants and achieved 126,290 participants, or 99% of planned participation.</w:t>
      </w:r>
    </w:p>
    <w:p w:rsidR="002E051C" w:rsidRPr="002E051C" w:rsidRDefault="002E051C" w:rsidP="002E051C"/>
    <w:p w:rsidR="002E051C" w:rsidRPr="002E051C" w:rsidRDefault="002E051C" w:rsidP="00D613BE">
      <w:pPr>
        <w:pStyle w:val="AppendixBHeading4"/>
      </w:pPr>
      <w:r w:rsidRPr="002E051C">
        <w:t xml:space="preserve">Summary of the Process Evaluation Findings </w:t>
      </w:r>
    </w:p>
    <w:p w:rsidR="002E051C" w:rsidRPr="002E051C" w:rsidRDefault="002E051C" w:rsidP="002E051C">
      <w:pPr>
        <w:spacing w:after="120"/>
      </w:pPr>
      <w:r w:rsidRPr="002E051C">
        <w:t>In PY7</w:t>
      </w:r>
      <w:r w:rsidR="00DB6C11" w:rsidRPr="00C52A0B">
        <w:t xml:space="preserve">, Cadmus conducted a limited process evaluation of the program. Cadmus interviewed </w:t>
      </w:r>
      <w:r w:rsidRPr="002E051C">
        <w:t>one program staff and one implementer</w:t>
      </w:r>
      <w:r w:rsidR="00FB394F">
        <w:t>,</w:t>
      </w:r>
      <w:r w:rsidRPr="002E051C">
        <w:t xml:space="preserve"> and monitored two key performance indicators on a monthly basis: HERs recipients and the call center. The process evaluation findings from PY7 are summarized below:</w:t>
      </w:r>
    </w:p>
    <w:p w:rsidR="002E051C" w:rsidRPr="00D405A7" w:rsidRDefault="002E051C" w:rsidP="00E646C9">
      <w:pPr>
        <w:pStyle w:val="ListParagraph"/>
        <w:numPr>
          <w:ilvl w:val="0"/>
          <w:numId w:val="121"/>
        </w:numPr>
        <w:ind w:left="360"/>
        <w:rPr>
          <w:rFonts w:eastAsia="Calibri"/>
        </w:rPr>
      </w:pPr>
      <w:r w:rsidRPr="00D405A7">
        <w:rPr>
          <w:rFonts w:eastAsia="Calibri"/>
        </w:rPr>
        <w:t>The program manager and implementer did not report any implementation challenges in PY7.</w:t>
      </w:r>
    </w:p>
    <w:p w:rsidR="002E051C" w:rsidRPr="00D405A7" w:rsidRDefault="002E051C" w:rsidP="00E646C9">
      <w:pPr>
        <w:pStyle w:val="ListParagraph"/>
        <w:numPr>
          <w:ilvl w:val="0"/>
          <w:numId w:val="121"/>
        </w:numPr>
        <w:ind w:left="360"/>
        <w:rPr>
          <w:rFonts w:eastAsia="Calibri"/>
        </w:rPr>
      </w:pPr>
      <w:r w:rsidRPr="00D405A7">
        <w:rPr>
          <w:rFonts w:eastAsia="Calibri"/>
        </w:rPr>
        <w:t>Due to higher than expected savings, the program ceased delivery of HERs at the end of Q2 in PY7; this will help set up participants to make a transition to a new behavior program design for Phase III.</w:t>
      </w:r>
    </w:p>
    <w:p w:rsidR="002E051C" w:rsidRPr="00D405A7" w:rsidRDefault="002E051C" w:rsidP="00E646C9">
      <w:pPr>
        <w:pStyle w:val="ListParagraph"/>
        <w:numPr>
          <w:ilvl w:val="0"/>
          <w:numId w:val="121"/>
        </w:numPr>
        <w:ind w:left="360"/>
        <w:rPr>
          <w:rFonts w:eastAsia="Calibri"/>
        </w:rPr>
      </w:pPr>
      <w:r w:rsidRPr="00D405A7">
        <w:rPr>
          <w:rFonts w:eastAsia="Calibri"/>
        </w:rPr>
        <w:t xml:space="preserve">The program did not meet its </w:t>
      </w:r>
      <w:r w:rsidR="00FB394F" w:rsidRPr="00D405A7">
        <w:rPr>
          <w:rFonts w:eastAsia="Calibri"/>
        </w:rPr>
        <w:t xml:space="preserve">planned </w:t>
      </w:r>
      <w:r w:rsidRPr="00D405A7">
        <w:rPr>
          <w:rFonts w:eastAsia="Calibri"/>
        </w:rPr>
        <w:t xml:space="preserve">participation in PY7 due to attrition during PY6, but still exceeded its </w:t>
      </w:r>
      <w:r w:rsidR="00FB394F" w:rsidRPr="00D405A7">
        <w:rPr>
          <w:rFonts w:eastAsia="Calibri"/>
        </w:rPr>
        <w:t>planned energy savings</w:t>
      </w:r>
      <w:r w:rsidRPr="00D405A7">
        <w:rPr>
          <w:rFonts w:eastAsia="Calibri"/>
        </w:rPr>
        <w:t>.</w:t>
      </w:r>
    </w:p>
    <w:p w:rsidR="002E051C" w:rsidRPr="00D405A7" w:rsidRDefault="002E051C" w:rsidP="00E646C9">
      <w:pPr>
        <w:pStyle w:val="ListParagraph"/>
        <w:numPr>
          <w:ilvl w:val="0"/>
          <w:numId w:val="121"/>
        </w:numPr>
        <w:ind w:left="360"/>
        <w:rPr>
          <w:rFonts w:eastAsia="Calibri"/>
        </w:rPr>
      </w:pPr>
      <w:r w:rsidRPr="00D405A7">
        <w:rPr>
          <w:rFonts w:eastAsia="Calibri"/>
        </w:rPr>
        <w:t>The shortened report delivery period during PY7 resulted in fewer customer calls to the call center.</w:t>
      </w:r>
    </w:p>
    <w:p w:rsidR="002E051C" w:rsidRPr="00D405A7" w:rsidRDefault="002E051C" w:rsidP="00E646C9">
      <w:pPr>
        <w:pStyle w:val="ListParagraph"/>
        <w:numPr>
          <w:ilvl w:val="0"/>
          <w:numId w:val="121"/>
        </w:numPr>
        <w:ind w:left="360"/>
        <w:rPr>
          <w:rFonts w:eastAsia="Calibri"/>
        </w:rPr>
      </w:pPr>
      <w:r w:rsidRPr="00D405A7">
        <w:rPr>
          <w:rFonts w:eastAsia="Calibri"/>
        </w:rPr>
        <w:t>Cadmus created demographic profiles for surveyed participants.</w:t>
      </w:r>
    </w:p>
    <w:p w:rsidR="004057F9" w:rsidRPr="00D405A7" w:rsidRDefault="004057F9" w:rsidP="00E646C9">
      <w:pPr>
        <w:pStyle w:val="ListParagraph"/>
        <w:numPr>
          <w:ilvl w:val="0"/>
          <w:numId w:val="121"/>
        </w:numPr>
        <w:ind w:left="360"/>
        <w:rPr>
          <w:rFonts w:eastAsia="Calibri"/>
        </w:rPr>
      </w:pPr>
      <w:r w:rsidRPr="00D405A7">
        <w:rPr>
          <w:rFonts w:eastAsia="Calibri"/>
        </w:rPr>
        <w:t>The HERs provided an aggregate uplift in participation in (12%) and savings from (5%) other PPL energy efficiency programs.</w:t>
      </w:r>
    </w:p>
    <w:p w:rsidR="002E051C" w:rsidRPr="00D405A7" w:rsidRDefault="002E051C" w:rsidP="00D405A7">
      <w:pPr>
        <w:rPr>
          <w:rFonts w:eastAsia="Calibri"/>
        </w:rPr>
      </w:pPr>
    </w:p>
    <w:p w:rsidR="002E051C" w:rsidRPr="002E051C" w:rsidRDefault="002E051C" w:rsidP="00D613BE">
      <w:pPr>
        <w:pStyle w:val="AppendixBHeading4"/>
      </w:pPr>
      <w:r w:rsidRPr="002E051C">
        <w:t>Summary of the Process Evaluation Audit</w:t>
      </w:r>
    </w:p>
    <w:p w:rsidR="002E051C" w:rsidRPr="002E051C" w:rsidRDefault="002E051C" w:rsidP="002E051C">
      <w:r w:rsidRPr="002E051C">
        <w:t xml:space="preserve">The research activities were consistent with the Phase II evaluation plan, which calls for one process evaluation per program per phase. In PY6, Cadmus performed a full process evaluation that included interviews with staff and participants and a review of databases, program materials, and other documents. In PY7, Cadmus followed the plan for process evaluation activities for that year, which </w:t>
      </w:r>
      <w:r w:rsidR="004057F9">
        <w:t xml:space="preserve">was more limited and </w:t>
      </w:r>
      <w:r w:rsidRPr="002E051C">
        <w:t>included fewer activities than in PY6.</w:t>
      </w:r>
    </w:p>
    <w:p w:rsidR="002E051C" w:rsidRPr="002E051C" w:rsidRDefault="002E051C" w:rsidP="002E051C"/>
    <w:p w:rsidR="002E051C" w:rsidRPr="002E051C" w:rsidRDefault="002E051C" w:rsidP="002E051C">
      <w:r w:rsidRPr="002E051C">
        <w:t xml:space="preserve">In the PY7 report, Cadmus adequately explained the evaluation methods and findings, and included the necessary tables. The recommendations were actionable and follow from the conclusions, and ample evidence was provided to support the conclusions. The report also included a table of recommendations with a description of whether PPL was implementing or considering those recommendations. In addition, Cadmus included some findings from its evaluation of this program, such as readership of the HERs, in the Low-Income Energy-Efficiency Behavior &amp; Education Program chapter and not in this chapter. </w:t>
      </w:r>
    </w:p>
    <w:p w:rsidR="002E051C" w:rsidRPr="002E051C" w:rsidRDefault="002E051C" w:rsidP="002E051C"/>
    <w:p w:rsidR="002E051C" w:rsidRPr="002E051C" w:rsidRDefault="002E051C" w:rsidP="00D613BE">
      <w:pPr>
        <w:pStyle w:val="AppendixBHeading3"/>
      </w:pPr>
      <w:r w:rsidRPr="002E051C">
        <w:t>Residential Home Comfort Program</w:t>
      </w:r>
    </w:p>
    <w:p w:rsidR="002E051C" w:rsidRPr="002E051C" w:rsidRDefault="002E051C" w:rsidP="00D613BE">
      <w:pPr>
        <w:pStyle w:val="AppendixBHeading4"/>
      </w:pPr>
      <w:r w:rsidRPr="002E051C">
        <w:t>Brief Overview of the Program and Its Success</w:t>
      </w:r>
    </w:p>
    <w:p w:rsidR="002E051C" w:rsidRPr="002E051C" w:rsidRDefault="002E051C" w:rsidP="002E051C">
      <w:pPr>
        <w:spacing w:after="120"/>
      </w:pPr>
      <w:r w:rsidRPr="002E051C">
        <w:t xml:space="preserve">The Residential Home Comfort Program achieves residential energy savings by offering energy efficient products, rebates, education, and services for new construction and retrofitting of existing homes. The range of services offered allows customers to customize solutions to decrease their home’s energy usage. CLEAResult is the implementer. The program has five components: </w:t>
      </w:r>
    </w:p>
    <w:p w:rsidR="002E051C" w:rsidRPr="00971E73" w:rsidRDefault="002E051C" w:rsidP="0036185D">
      <w:pPr>
        <w:numPr>
          <w:ilvl w:val="0"/>
          <w:numId w:val="20"/>
        </w:numPr>
        <w:spacing w:after="120"/>
        <w:ind w:left="360"/>
        <w:rPr>
          <w:szCs w:val="20"/>
        </w:rPr>
      </w:pPr>
      <w:r w:rsidRPr="00971E73">
        <w:rPr>
          <w:bCs/>
          <w:szCs w:val="20"/>
        </w:rPr>
        <w:t>New homes</w:t>
      </w:r>
      <w:r w:rsidR="00971E73">
        <w:rPr>
          <w:bCs/>
          <w:szCs w:val="20"/>
        </w:rPr>
        <w:t>, which</w:t>
      </w:r>
      <w:r w:rsidRPr="00971E73">
        <w:rPr>
          <w:bCs/>
          <w:szCs w:val="20"/>
        </w:rPr>
        <w:t xml:space="preserve"> </w:t>
      </w:r>
      <w:r w:rsidRPr="00971E73">
        <w:rPr>
          <w:szCs w:val="20"/>
        </w:rPr>
        <w:t xml:space="preserve">encourages construction of energy efficient new homes through two paths: </w:t>
      </w:r>
    </w:p>
    <w:p w:rsidR="002E051C" w:rsidRPr="00971E73" w:rsidRDefault="002E051C" w:rsidP="0036185D">
      <w:pPr>
        <w:numPr>
          <w:ilvl w:val="1"/>
          <w:numId w:val="19"/>
        </w:numPr>
        <w:spacing w:after="120"/>
        <w:ind w:left="1080"/>
        <w:rPr>
          <w:szCs w:val="20"/>
        </w:rPr>
      </w:pPr>
      <w:r w:rsidRPr="00971E73">
        <w:rPr>
          <w:bCs/>
          <w:szCs w:val="20"/>
        </w:rPr>
        <w:t xml:space="preserve">The prescriptive path </w:t>
      </w:r>
      <w:r w:rsidRPr="00971E73">
        <w:rPr>
          <w:szCs w:val="20"/>
        </w:rPr>
        <w:t xml:space="preserve">offers a $2,000 rebate to builders for installing a specific package of six efficient products: SEER 16+ </w:t>
      </w:r>
      <w:r w:rsidR="00971E73">
        <w:rPr>
          <w:szCs w:val="20"/>
        </w:rPr>
        <w:t>ASHP</w:t>
      </w:r>
      <w:r w:rsidRPr="00971E73">
        <w:rPr>
          <w:szCs w:val="20"/>
        </w:rPr>
        <w:t xml:space="preserve">, EF 2.3+ </w:t>
      </w:r>
      <w:r w:rsidR="00971E73">
        <w:rPr>
          <w:szCs w:val="20"/>
        </w:rPr>
        <w:t>HPWH</w:t>
      </w:r>
      <w:r w:rsidRPr="00971E73">
        <w:rPr>
          <w:szCs w:val="20"/>
        </w:rPr>
        <w:t>, ENERGY STAR refrigerator, ENERGY STAR dishwasher, R20+ wall insulation, and R49+ ceiling insulation.</w:t>
      </w:r>
    </w:p>
    <w:p w:rsidR="002E051C" w:rsidRPr="00971E73" w:rsidRDefault="002E051C" w:rsidP="0036185D">
      <w:pPr>
        <w:numPr>
          <w:ilvl w:val="1"/>
          <w:numId w:val="19"/>
        </w:numPr>
        <w:spacing w:after="120"/>
        <w:ind w:left="1080"/>
        <w:rPr>
          <w:szCs w:val="20"/>
        </w:rPr>
      </w:pPr>
      <w:r w:rsidRPr="00971E73">
        <w:rPr>
          <w:bCs/>
          <w:szCs w:val="20"/>
        </w:rPr>
        <w:t xml:space="preserve">The HERS approach </w:t>
      </w:r>
      <w:r w:rsidRPr="00971E73">
        <w:rPr>
          <w:szCs w:val="20"/>
        </w:rPr>
        <w:t>offers builders a rebate of $0.30 per kWh</w:t>
      </w:r>
      <w:r w:rsidR="001925CA" w:rsidRPr="00971E73">
        <w:rPr>
          <w:szCs w:val="20"/>
        </w:rPr>
        <w:t>/yr</w:t>
      </w:r>
      <w:r w:rsidRPr="00971E73">
        <w:rPr>
          <w:szCs w:val="20"/>
        </w:rPr>
        <w:t xml:space="preserve"> saved (up to $2,000) for homes built with any combination of a specific package of products. </w:t>
      </w:r>
    </w:p>
    <w:p w:rsidR="002E051C" w:rsidRPr="00971E73" w:rsidRDefault="002E051C" w:rsidP="0036185D">
      <w:pPr>
        <w:numPr>
          <w:ilvl w:val="0"/>
          <w:numId w:val="20"/>
        </w:numPr>
        <w:spacing w:after="120"/>
        <w:ind w:left="360"/>
        <w:rPr>
          <w:szCs w:val="20"/>
        </w:rPr>
      </w:pPr>
      <w:r w:rsidRPr="00971E73">
        <w:rPr>
          <w:bCs/>
          <w:szCs w:val="20"/>
        </w:rPr>
        <w:t>Manufactured homes</w:t>
      </w:r>
      <w:r w:rsidR="00971E73">
        <w:rPr>
          <w:bCs/>
          <w:szCs w:val="20"/>
        </w:rPr>
        <w:t>, which</w:t>
      </w:r>
      <w:r w:rsidRPr="00971E73">
        <w:rPr>
          <w:bCs/>
          <w:szCs w:val="20"/>
        </w:rPr>
        <w:t xml:space="preserve"> </w:t>
      </w:r>
      <w:r w:rsidRPr="00971E73">
        <w:rPr>
          <w:szCs w:val="20"/>
        </w:rPr>
        <w:t xml:space="preserve">offers a $1,200 rebate to buyers of an ENERGY STAR–manufactured home and an additional rebate of up to $300 for the installation of efficient heating. </w:t>
      </w:r>
    </w:p>
    <w:p w:rsidR="002E051C" w:rsidRPr="00971E73" w:rsidRDefault="002E051C" w:rsidP="0036185D">
      <w:pPr>
        <w:numPr>
          <w:ilvl w:val="0"/>
          <w:numId w:val="20"/>
        </w:numPr>
        <w:spacing w:after="120"/>
        <w:ind w:left="360"/>
        <w:rPr>
          <w:szCs w:val="20"/>
        </w:rPr>
      </w:pPr>
      <w:r w:rsidRPr="00971E73">
        <w:rPr>
          <w:bCs/>
          <w:szCs w:val="20"/>
        </w:rPr>
        <w:t xml:space="preserve">Audits </w:t>
      </w:r>
      <w:r w:rsidRPr="00971E73">
        <w:rPr>
          <w:szCs w:val="20"/>
        </w:rPr>
        <w:t xml:space="preserve">provide customer rebates for professional comprehensive home energy audits or a less comprehensive home survey. </w:t>
      </w:r>
    </w:p>
    <w:p w:rsidR="002E051C" w:rsidRPr="00971E73" w:rsidRDefault="002E051C" w:rsidP="0036185D">
      <w:pPr>
        <w:numPr>
          <w:ilvl w:val="0"/>
          <w:numId w:val="20"/>
        </w:numPr>
        <w:spacing w:after="120"/>
        <w:ind w:left="360"/>
        <w:rPr>
          <w:szCs w:val="20"/>
        </w:rPr>
      </w:pPr>
      <w:r w:rsidRPr="00971E73">
        <w:rPr>
          <w:bCs/>
          <w:szCs w:val="20"/>
        </w:rPr>
        <w:t>Weatherization</w:t>
      </w:r>
      <w:r w:rsidRPr="00971E73">
        <w:rPr>
          <w:szCs w:val="20"/>
        </w:rPr>
        <w:t xml:space="preserve">, based on recommendations from an audit, provides rebates for ceiling and wall insulation and for air sealing. </w:t>
      </w:r>
    </w:p>
    <w:p w:rsidR="002E051C" w:rsidRPr="00971E73" w:rsidRDefault="002E051C" w:rsidP="0036185D">
      <w:pPr>
        <w:numPr>
          <w:ilvl w:val="0"/>
          <w:numId w:val="20"/>
        </w:numPr>
        <w:ind w:left="360"/>
        <w:contextualSpacing/>
        <w:rPr>
          <w:szCs w:val="20"/>
        </w:rPr>
      </w:pPr>
      <w:r w:rsidRPr="00971E73">
        <w:rPr>
          <w:bCs/>
          <w:szCs w:val="20"/>
        </w:rPr>
        <w:t xml:space="preserve">Energy efficient equipment </w:t>
      </w:r>
      <w:r w:rsidRPr="00971E73">
        <w:rPr>
          <w:szCs w:val="20"/>
        </w:rPr>
        <w:t xml:space="preserve">provides rebates for purchasing high-efficiency </w:t>
      </w:r>
      <w:r w:rsidR="00971E73">
        <w:rPr>
          <w:szCs w:val="20"/>
        </w:rPr>
        <w:t>ASHPs</w:t>
      </w:r>
      <w:r w:rsidRPr="00971E73">
        <w:rPr>
          <w:szCs w:val="20"/>
        </w:rPr>
        <w:t xml:space="preserve">, </w:t>
      </w:r>
      <w:r w:rsidR="00971E73">
        <w:rPr>
          <w:szCs w:val="20"/>
        </w:rPr>
        <w:t>DHPs</w:t>
      </w:r>
      <w:r w:rsidRPr="00971E73">
        <w:rPr>
          <w:szCs w:val="20"/>
        </w:rPr>
        <w:t>, above- or in-ground pool pumps, central air-conditioning, ECM furnace fans, whole house fans, and fuel switching.</w:t>
      </w:r>
    </w:p>
    <w:p w:rsidR="002E051C" w:rsidRPr="002E051C" w:rsidRDefault="002E051C" w:rsidP="002E051C">
      <w:pPr>
        <w:contextualSpacing/>
        <w:rPr>
          <w:bCs/>
          <w:szCs w:val="20"/>
        </w:rPr>
      </w:pPr>
    </w:p>
    <w:p w:rsidR="002E051C" w:rsidRPr="002E051C" w:rsidRDefault="002E051C" w:rsidP="002E051C">
      <w:pPr>
        <w:contextualSpacing/>
        <w:rPr>
          <w:bCs/>
          <w:szCs w:val="20"/>
        </w:rPr>
      </w:pPr>
      <w:r w:rsidRPr="002E051C">
        <w:rPr>
          <w:bCs/>
          <w:szCs w:val="20"/>
        </w:rPr>
        <w:t xml:space="preserve">In PY7, PPL added additional rebates to the program, including $100 for air sealing from </w:t>
      </w:r>
      <w:r w:rsidRPr="002E051C">
        <w:t>Building Performance Institute</w:t>
      </w:r>
      <w:r w:rsidRPr="002E051C">
        <w:rPr>
          <w:b/>
        </w:rPr>
        <w:t>–</w:t>
      </w:r>
      <w:r w:rsidRPr="002E051C">
        <w:rPr>
          <w:bCs/>
          <w:szCs w:val="20"/>
        </w:rPr>
        <w:t xml:space="preserve">certified contractors, $100 for purchasing and installing an ECM furnace fan, $200 for purchasing and installing a whole house fan, $250 for a 16+ SEER central air conditioner, and $150 for installing a variable-speed above-ground pool pump. </w:t>
      </w:r>
    </w:p>
    <w:p w:rsidR="002E051C" w:rsidRPr="002E051C" w:rsidRDefault="002E051C" w:rsidP="002E051C">
      <w:pPr>
        <w:contextualSpacing/>
        <w:rPr>
          <w:bCs/>
          <w:szCs w:val="20"/>
        </w:rPr>
      </w:pPr>
    </w:p>
    <w:p w:rsidR="002E051C" w:rsidRPr="002E051C" w:rsidRDefault="004057F9" w:rsidP="002E051C">
      <w:pPr>
        <w:contextualSpacing/>
        <w:rPr>
          <w:szCs w:val="20"/>
        </w:rPr>
      </w:pPr>
      <w:r w:rsidRPr="00C52A0B">
        <w:rPr>
          <w:bCs/>
          <w:szCs w:val="20"/>
        </w:rPr>
        <w:t>The Residential Home Comfort Program exceeded its planned energy savings and participation for PY7 and Phase II. In PY7, the program achieved 131% of planned MWh/yr energy savings and 109% of planned participation. In all of Phase II, the program achieved 122% of its MWh/yr planned energy savings</w:t>
      </w:r>
      <w:r>
        <w:rPr>
          <w:bCs/>
          <w:szCs w:val="20"/>
        </w:rPr>
        <w:t xml:space="preserve"> </w:t>
      </w:r>
      <w:r w:rsidRPr="00C52A0B">
        <w:rPr>
          <w:bCs/>
          <w:szCs w:val="20"/>
        </w:rPr>
        <w:t>and 103% of planned participation</w:t>
      </w:r>
      <w:r w:rsidR="002E051C" w:rsidRPr="002E051C">
        <w:rPr>
          <w:bCs/>
          <w:szCs w:val="20"/>
        </w:rPr>
        <w:t>.</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2E051C">
      <w:pPr>
        <w:spacing w:after="120"/>
        <w:rPr>
          <w:rFonts w:cs="Calibri"/>
          <w:color w:val="000000"/>
        </w:rPr>
      </w:pPr>
      <w:r w:rsidRPr="002E051C">
        <w:t>In PY7, Cadmus conducted interviews with p</w:t>
      </w:r>
      <w:r w:rsidRPr="002E051C">
        <w:rPr>
          <w:szCs w:val="20"/>
        </w:rPr>
        <w:t>rogram staff and the implementer (n=2), cross-program participant surveys (n=286), and a program database review. Cadmus also measured two key program performance indicators: customer satisfaction and customer complaints.</w:t>
      </w:r>
      <w:r w:rsidRPr="002E051C">
        <w:rPr>
          <w:rFonts w:cs="Calibri"/>
          <w:color w:val="000000"/>
        </w:rPr>
        <w:t xml:space="preserve"> The following findings emerged from the evaluation:</w:t>
      </w:r>
    </w:p>
    <w:p w:rsidR="002E051C" w:rsidRPr="00D405A7" w:rsidRDefault="002E051C" w:rsidP="00E646C9">
      <w:pPr>
        <w:pStyle w:val="ListParagraph"/>
        <w:numPr>
          <w:ilvl w:val="0"/>
          <w:numId w:val="122"/>
        </w:numPr>
        <w:ind w:left="360"/>
        <w:rPr>
          <w:rFonts w:eastAsia="Calibri"/>
        </w:rPr>
      </w:pPr>
      <w:r w:rsidRPr="00D405A7">
        <w:rPr>
          <w:rFonts w:eastAsia="Calibri"/>
        </w:rPr>
        <w:t xml:space="preserve">Overall, the program is meeting </w:t>
      </w:r>
      <w:r w:rsidR="004057F9" w:rsidRPr="00D405A7">
        <w:rPr>
          <w:rFonts w:eastAsia="Calibri"/>
        </w:rPr>
        <w:t>planned</w:t>
      </w:r>
      <w:r w:rsidRPr="00D405A7">
        <w:rPr>
          <w:rFonts w:eastAsia="Calibri"/>
        </w:rPr>
        <w:t xml:space="preserve"> energy savings and </w:t>
      </w:r>
      <w:r w:rsidR="004057F9" w:rsidRPr="00D405A7">
        <w:rPr>
          <w:rFonts w:eastAsia="Calibri"/>
        </w:rPr>
        <w:t>participation</w:t>
      </w:r>
      <w:r w:rsidRPr="00D405A7">
        <w:rPr>
          <w:rFonts w:eastAsia="Calibri"/>
        </w:rPr>
        <w:t>.</w:t>
      </w:r>
    </w:p>
    <w:p w:rsidR="002E051C" w:rsidRPr="00D405A7" w:rsidRDefault="002E051C" w:rsidP="00E646C9">
      <w:pPr>
        <w:pStyle w:val="ListParagraph"/>
        <w:numPr>
          <w:ilvl w:val="0"/>
          <w:numId w:val="122"/>
        </w:numPr>
        <w:ind w:left="360"/>
        <w:rPr>
          <w:rFonts w:eastAsia="Calibri"/>
        </w:rPr>
      </w:pPr>
      <w:r w:rsidRPr="00D405A7">
        <w:rPr>
          <w:rFonts w:eastAsia="Calibri"/>
        </w:rPr>
        <w:t>The conversion rate for those who followed through on installing measures after an energy audit was 38% for PY7.</w:t>
      </w:r>
    </w:p>
    <w:p w:rsidR="002E051C" w:rsidRPr="00D405A7" w:rsidRDefault="002E051C" w:rsidP="00E646C9">
      <w:pPr>
        <w:pStyle w:val="ListParagraph"/>
        <w:numPr>
          <w:ilvl w:val="0"/>
          <w:numId w:val="122"/>
        </w:numPr>
        <w:ind w:left="360"/>
        <w:rPr>
          <w:rFonts w:eastAsia="Calibri"/>
        </w:rPr>
      </w:pPr>
      <w:r w:rsidRPr="00D405A7">
        <w:rPr>
          <w:rFonts w:eastAsia="Calibri"/>
        </w:rPr>
        <w:t>High up-front costs of an audit continued to be a barrier to participation in PY7; the rebate, which covers a high percentage of the cost, was sent after the audit and thus did not reduce up-front costs.</w:t>
      </w:r>
    </w:p>
    <w:p w:rsidR="002E051C" w:rsidRPr="00D405A7" w:rsidRDefault="00971E73" w:rsidP="00E646C9">
      <w:pPr>
        <w:pStyle w:val="ListParagraph"/>
        <w:numPr>
          <w:ilvl w:val="0"/>
          <w:numId w:val="122"/>
        </w:numPr>
        <w:ind w:left="360"/>
        <w:rPr>
          <w:rFonts w:eastAsia="Calibri"/>
        </w:rPr>
      </w:pPr>
      <w:r w:rsidRPr="00D405A7">
        <w:rPr>
          <w:rFonts w:eastAsia="Calibri"/>
        </w:rPr>
        <w:t>DHPs</w:t>
      </w:r>
      <w:r w:rsidR="002E051C" w:rsidRPr="00D405A7">
        <w:rPr>
          <w:rFonts w:eastAsia="Calibri"/>
        </w:rPr>
        <w:t xml:space="preserve"> achieved the most savings in PY7.</w:t>
      </w:r>
    </w:p>
    <w:p w:rsidR="002E051C" w:rsidRPr="00D405A7" w:rsidRDefault="002E051C" w:rsidP="00E646C9">
      <w:pPr>
        <w:pStyle w:val="ListParagraph"/>
        <w:numPr>
          <w:ilvl w:val="0"/>
          <w:numId w:val="122"/>
        </w:numPr>
        <w:ind w:left="360"/>
        <w:rPr>
          <w:rFonts w:eastAsia="Calibri"/>
        </w:rPr>
      </w:pPr>
      <w:r w:rsidRPr="00D405A7">
        <w:rPr>
          <w:rFonts w:eastAsia="Calibri"/>
        </w:rPr>
        <w:t>The new homes prescriptive path (n=2) and manufactured home offerings (n=1) continued to not perform as well as planned. For the manufactured home offerings, the implementer noted difficulties in promotion, an insufficient incentive amount, and a low percentage of manufactured homes that use electric heat.</w:t>
      </w:r>
    </w:p>
    <w:p w:rsidR="002E051C" w:rsidRPr="00D405A7" w:rsidRDefault="002E051C" w:rsidP="00E646C9">
      <w:pPr>
        <w:pStyle w:val="ListParagraph"/>
        <w:numPr>
          <w:ilvl w:val="0"/>
          <w:numId w:val="122"/>
        </w:numPr>
        <w:ind w:left="360"/>
        <w:rPr>
          <w:rFonts w:eastAsia="Calibri"/>
        </w:rPr>
      </w:pPr>
      <w:r w:rsidRPr="00D405A7">
        <w:rPr>
          <w:rFonts w:eastAsia="Calibri"/>
        </w:rPr>
        <w:t>The rigidity of the prescriptive path, in which contractors had to install specific products, led to lower participation; builders believed the product requirements were too strict.</w:t>
      </w:r>
    </w:p>
    <w:p w:rsidR="002E051C" w:rsidRPr="00D405A7" w:rsidRDefault="002E051C" w:rsidP="00E646C9">
      <w:pPr>
        <w:pStyle w:val="ListParagraph"/>
        <w:numPr>
          <w:ilvl w:val="0"/>
          <w:numId w:val="122"/>
        </w:numPr>
        <w:ind w:left="360"/>
        <w:rPr>
          <w:rFonts w:eastAsia="Calibri"/>
        </w:rPr>
      </w:pPr>
      <w:r w:rsidRPr="00D405A7">
        <w:rPr>
          <w:rFonts w:eastAsia="Calibri"/>
        </w:rPr>
        <w:t>The HERS new home approach performed much better than planned in PY7 due to the increased flexibility that builders have in installing measures to qualify a home for incentives.</w:t>
      </w:r>
    </w:p>
    <w:p w:rsidR="002E051C" w:rsidRPr="00D405A7" w:rsidRDefault="002E051C" w:rsidP="00E646C9">
      <w:pPr>
        <w:pStyle w:val="ListParagraph"/>
        <w:numPr>
          <w:ilvl w:val="0"/>
          <w:numId w:val="122"/>
        </w:numPr>
        <w:ind w:left="360"/>
        <w:rPr>
          <w:rFonts w:eastAsia="Calibri"/>
        </w:rPr>
      </w:pPr>
      <w:r w:rsidRPr="00D405A7">
        <w:rPr>
          <w:rFonts w:eastAsia="Calibri"/>
        </w:rPr>
        <w:t>The new products added in PY7, particularly the central air conditioners, were successful at increasing energy savings.</w:t>
      </w:r>
    </w:p>
    <w:p w:rsidR="002E051C" w:rsidRPr="00D405A7" w:rsidRDefault="002E051C" w:rsidP="00E646C9">
      <w:pPr>
        <w:pStyle w:val="ListParagraph"/>
        <w:numPr>
          <w:ilvl w:val="0"/>
          <w:numId w:val="122"/>
        </w:numPr>
        <w:ind w:left="360"/>
        <w:rPr>
          <w:rFonts w:eastAsia="Calibri"/>
        </w:rPr>
      </w:pPr>
      <w:r w:rsidRPr="00D405A7">
        <w:rPr>
          <w:rFonts w:eastAsia="Calibri"/>
        </w:rPr>
        <w:t>Most of the program offerings strata had increased participation year over year in Phase II; only fuel switching, manufactured homes, and the new construction prescriptive offerings saw declines from PY6 to PY7.</w:t>
      </w:r>
    </w:p>
    <w:p w:rsidR="002E051C" w:rsidRPr="00D405A7" w:rsidRDefault="002E051C" w:rsidP="00E646C9">
      <w:pPr>
        <w:pStyle w:val="ListParagraph"/>
        <w:numPr>
          <w:ilvl w:val="0"/>
          <w:numId w:val="122"/>
        </w:numPr>
        <w:ind w:left="360"/>
        <w:rPr>
          <w:rFonts w:eastAsia="Calibri"/>
        </w:rPr>
      </w:pPr>
      <w:r w:rsidRPr="00D405A7">
        <w:rPr>
          <w:rFonts w:eastAsia="Calibri"/>
        </w:rPr>
        <w:t xml:space="preserve">The program met its customer satisfaction goal of 80% satisfied customers (81% reported being very satisfied, 17% somewhat satisfied) but did not meet its customer complaint goal of zero customer complaints. </w:t>
      </w:r>
    </w:p>
    <w:p w:rsidR="002E051C" w:rsidRPr="00D405A7" w:rsidRDefault="002E051C" w:rsidP="00E646C9">
      <w:pPr>
        <w:pStyle w:val="ListParagraph"/>
        <w:numPr>
          <w:ilvl w:val="0"/>
          <w:numId w:val="122"/>
        </w:numPr>
        <w:ind w:left="360"/>
        <w:rPr>
          <w:rFonts w:eastAsia="Calibri"/>
        </w:rPr>
      </w:pPr>
      <w:r w:rsidRPr="00D405A7">
        <w:rPr>
          <w:rFonts w:eastAsia="Calibri"/>
        </w:rPr>
        <w:t>Customers were most satisfied with the equipment and their contractor and least satisfied with the application and the time it took to receive the rebate. Unsatisfied customers recommended providing clearer rebate information, improving the rebate process, and increasing rebate amounts.</w:t>
      </w:r>
    </w:p>
    <w:p w:rsidR="002E051C" w:rsidRPr="00D405A7" w:rsidRDefault="002E051C" w:rsidP="00E646C9">
      <w:pPr>
        <w:pStyle w:val="ListParagraph"/>
        <w:numPr>
          <w:ilvl w:val="0"/>
          <w:numId w:val="122"/>
        </w:numPr>
        <w:ind w:left="360"/>
        <w:rPr>
          <w:rFonts w:eastAsia="Calibri"/>
        </w:rPr>
      </w:pPr>
      <w:r w:rsidRPr="00D405A7">
        <w:rPr>
          <w:rFonts w:eastAsia="Calibri"/>
        </w:rPr>
        <w:t>Nearly one-fourth (24%) of application forms were returned to customers due to missing information, and this varied by program offering type.</w:t>
      </w:r>
    </w:p>
    <w:p w:rsidR="002E051C" w:rsidRPr="00D405A7" w:rsidRDefault="002E051C" w:rsidP="00E646C9">
      <w:pPr>
        <w:pStyle w:val="ListParagraph"/>
        <w:numPr>
          <w:ilvl w:val="0"/>
          <w:numId w:val="122"/>
        </w:numPr>
        <w:ind w:left="360"/>
        <w:rPr>
          <w:rFonts w:eastAsia="Calibri"/>
        </w:rPr>
      </w:pPr>
      <w:r w:rsidRPr="00D405A7">
        <w:rPr>
          <w:rFonts w:eastAsia="Calibri"/>
        </w:rPr>
        <w:t xml:space="preserve">Customer satisfaction with PPL increased throughout Phase II; in PY7 83% reported high satisfaction and </w:t>
      </w:r>
      <w:r w:rsidR="002D57D9" w:rsidRPr="00D405A7">
        <w:rPr>
          <w:rFonts w:eastAsia="Calibri"/>
        </w:rPr>
        <w:t>36</w:t>
      </w:r>
      <w:r w:rsidRPr="00D405A7">
        <w:rPr>
          <w:rFonts w:eastAsia="Calibri"/>
        </w:rPr>
        <w:t>% reported that their opinion of PPL increased after participating.</w:t>
      </w:r>
    </w:p>
    <w:p w:rsidR="002E051C" w:rsidRPr="00D405A7" w:rsidRDefault="002E051C" w:rsidP="00E646C9">
      <w:pPr>
        <w:pStyle w:val="ListParagraph"/>
        <w:numPr>
          <w:ilvl w:val="0"/>
          <w:numId w:val="122"/>
        </w:numPr>
        <w:ind w:left="360"/>
        <w:rPr>
          <w:rFonts w:eastAsia="Calibri"/>
        </w:rPr>
      </w:pPr>
      <w:r w:rsidRPr="00D405A7">
        <w:rPr>
          <w:rFonts w:eastAsia="Calibri"/>
        </w:rPr>
        <w:t>In PY7, 68% of participants learned about the program from a contractor or vendor, and 19% through a retailer. Nearly half of participants (48%) reported recommending the program to someone else.</w:t>
      </w:r>
    </w:p>
    <w:p w:rsidR="002E051C" w:rsidRPr="00D405A7" w:rsidRDefault="002E051C" w:rsidP="00E646C9">
      <w:pPr>
        <w:pStyle w:val="ListParagraph"/>
        <w:numPr>
          <w:ilvl w:val="0"/>
          <w:numId w:val="122"/>
        </w:numPr>
        <w:ind w:left="360"/>
        <w:rPr>
          <w:rFonts w:eastAsia="Calibri"/>
        </w:rPr>
      </w:pPr>
      <w:r w:rsidRPr="00D405A7">
        <w:rPr>
          <w:rFonts w:eastAsia="Calibri"/>
        </w:rPr>
        <w:t>About one-fourth of surveyed participants reported awareness of other PPL programs. This varied by the type of program offerings customers received.</w:t>
      </w:r>
    </w:p>
    <w:p w:rsidR="002E051C" w:rsidRPr="00D405A7" w:rsidRDefault="002E051C" w:rsidP="00E646C9">
      <w:pPr>
        <w:pStyle w:val="ListParagraph"/>
        <w:numPr>
          <w:ilvl w:val="0"/>
          <w:numId w:val="122"/>
        </w:numPr>
        <w:ind w:left="360"/>
        <w:rPr>
          <w:rFonts w:eastAsia="Calibri"/>
        </w:rPr>
      </w:pPr>
      <w:r w:rsidRPr="00D405A7">
        <w:rPr>
          <w:rFonts w:eastAsia="Calibri"/>
        </w:rPr>
        <w:t>Survey participants reported participating to replace old equipment (53%), to get new equipment with specific features (24%), and to reduce energy costs (17%).</w:t>
      </w:r>
    </w:p>
    <w:p w:rsidR="002E051C" w:rsidRPr="00D405A7" w:rsidRDefault="002E051C" w:rsidP="00E646C9">
      <w:pPr>
        <w:pStyle w:val="ListParagraph"/>
        <w:numPr>
          <w:ilvl w:val="0"/>
          <w:numId w:val="122"/>
        </w:numPr>
        <w:ind w:left="360"/>
        <w:rPr>
          <w:rFonts w:eastAsia="Calibri"/>
        </w:rPr>
      </w:pPr>
      <w:r w:rsidRPr="00D405A7">
        <w:rPr>
          <w:rFonts w:eastAsia="Calibri"/>
        </w:rPr>
        <w:t>Cadmus created demographic profiles for surveyed participants.</w:t>
      </w:r>
    </w:p>
    <w:p w:rsidR="002E051C" w:rsidRPr="002E051C" w:rsidRDefault="002E051C" w:rsidP="002E051C">
      <w:pPr>
        <w:autoSpaceDE w:val="0"/>
        <w:autoSpaceDN w:val="0"/>
        <w:adjustRightInd w:val="0"/>
        <w:contextualSpacing/>
      </w:pPr>
      <w:r w:rsidRPr="002E051C">
        <w:t xml:space="preserve">        </w:t>
      </w:r>
    </w:p>
    <w:p w:rsidR="002E051C" w:rsidRPr="002E051C" w:rsidRDefault="002E051C" w:rsidP="00D613BE">
      <w:pPr>
        <w:pStyle w:val="AppendixBHeading4"/>
      </w:pPr>
      <w:r w:rsidRPr="002E051C">
        <w:t>Summary of the Process Evaluation Audit</w:t>
      </w:r>
    </w:p>
    <w:p w:rsidR="002E051C" w:rsidRPr="002E051C" w:rsidRDefault="002E051C" w:rsidP="002E051C">
      <w:r w:rsidRPr="002E051C">
        <w:t>The research activities were consistent with the Phase II evaluation plan, which calls for one process evaluation per program per phase. In PY6, Cadmus performed a full process evaluation that included interviews with the full cast of program actors and a review of program databases, documentation, and forms. Cadmus followed the plan for process evaluation activities for PY7, except it was unable to meet the goal of surveying manufactured home participants since there was only one in PY7.</w:t>
      </w:r>
    </w:p>
    <w:p w:rsidR="002E051C" w:rsidRPr="002E051C" w:rsidRDefault="002E051C" w:rsidP="002E051C">
      <w:pPr>
        <w:rPr>
          <w:b/>
        </w:rPr>
      </w:pPr>
    </w:p>
    <w:p w:rsidR="005C491D" w:rsidRPr="00C52A0B" w:rsidRDefault="005C491D" w:rsidP="005C491D">
      <w:r w:rsidRPr="00C52A0B">
        <w:t xml:space="preserve">The methodology sections adequately explained the evaluation and included the required sampling and disposition information and tables. Including more information about the methods used to conduct analyses, such as the type of analysis used would be very informative. Cadmus met the targeted number of completed interviews for the E-Power Wise Program evaluation. For the Wise Home Pilot evaluation, Cadmus met the targeted number of completed interviews but achieved only 44 of 60 planned participant surveys. While the survey mode was reported in the text, adding the mode used for surveys (web, phone, mail) in Table 12-33 would complete the table and inform the reader without having to refer to the text where the survey mode is reported. This is particularly true for the satisfaction follow-up surveys that used web and phone but were reported in the sampling and disposition table in the aggregate. </w:t>
      </w:r>
    </w:p>
    <w:p w:rsidR="007D1BFA" w:rsidRDefault="007D1BFA" w:rsidP="002E051C"/>
    <w:p w:rsidR="002E051C" w:rsidRPr="002E051C" w:rsidRDefault="007D1BFA" w:rsidP="002E051C">
      <w:r w:rsidRPr="00C52A0B">
        <w:t>For the data-collection task requiring sampling, the participant survey, Cadmus attempted a sample size of 349 that provided 90/10 confidence/precision but achieved fewer survey respondents (n=286) (see Table 7-17 in the Annual Report). While the Framework does not specify any required confidence/precision levels for process evaluation or any requirement to discuss achieved confidence/precision levels, it would be valuable to discuss the impact that the reduced sample size had on the minimum confidence and precision achieved. At a minimum, this would allow the reader to compare the process evaluation as conducted to what was in the evaluation plan. Note that the SWE Team does not suggest the report should include the achieved confidence and precision levels for each assessment performed, but rather the minimum confidence and precision levels that the sample size would afford, assuming a reasonable estimate of the greatest amount of variance likely (e.g., an assumed proportion of 0.50 in nominal or scaled responses).</w:t>
      </w:r>
    </w:p>
    <w:p w:rsidR="002E051C" w:rsidRPr="002E051C" w:rsidRDefault="002E051C" w:rsidP="002E051C"/>
    <w:p w:rsidR="002E051C" w:rsidRPr="002E051C" w:rsidRDefault="002E051C" w:rsidP="002E051C">
      <w:r w:rsidRPr="002E051C">
        <w:t>Program findings were clearly summarized and presented in tables and figures. The recommendations were actionable and followed the conclusions, which were supported by ample evidence. Two recommendations (third and fourth), however, included multiple actions that could be separate recommendations. The report also included a table of recommendations with a description of whether PPL was implementing or considering those recommendations.</w:t>
      </w:r>
    </w:p>
    <w:p w:rsidR="002E051C" w:rsidRPr="002E051C" w:rsidRDefault="002E051C" w:rsidP="002E051C"/>
    <w:p w:rsidR="002E051C" w:rsidRPr="002E051C" w:rsidRDefault="002E051C" w:rsidP="00D613BE">
      <w:pPr>
        <w:pStyle w:val="AppendixBHeading3"/>
      </w:pPr>
      <w:r w:rsidRPr="002E051C">
        <w:t>Residential Retail Program (Residential Lighting and Efficient Equipment)</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 xml:space="preserve">The Residential Retail Program has two components: upstream lighting and downstream rebated equipment. The implementer, Ecova, manages both components. The upstream lighting component offers incentives to manufacturers to discount the price of energy efficient screw-in LED bulbs sold in stores. The implementer also distributes information about energy efficient lighting and recycling, and maintains CFL recycling bins at participating retailers throughout the PPL territory and in municipal and community locations. </w:t>
      </w:r>
    </w:p>
    <w:p w:rsidR="002E051C" w:rsidRPr="002E051C" w:rsidRDefault="002E051C" w:rsidP="002E051C"/>
    <w:p w:rsidR="002E051C" w:rsidRPr="002E051C" w:rsidRDefault="002E051C" w:rsidP="002E051C">
      <w:r w:rsidRPr="002E051C">
        <w:t xml:space="preserve">The rebated equipment component of the program provides a direct rebate to customers for the purchase of energy efficient refrigerators and </w:t>
      </w:r>
      <w:r w:rsidR="00971E73">
        <w:t>HPWHs</w:t>
      </w:r>
      <w:r w:rsidRPr="002E051C">
        <w:t xml:space="preserve">. This component also includes efficient fossil-fuel water heaters eligible for rebates under the fuel switching pilot. The implementer provides educational and promotional materials to participating retailers and maintains a call and rebate-processing center. </w:t>
      </w:r>
    </w:p>
    <w:p w:rsidR="002E051C" w:rsidRPr="002E051C" w:rsidRDefault="002E051C" w:rsidP="002E051C"/>
    <w:p w:rsidR="002E051C" w:rsidRPr="002E051C" w:rsidRDefault="002E051C" w:rsidP="002E051C">
      <w:r w:rsidRPr="002E051C">
        <w:t xml:space="preserve">For PY7, PPL introduced a tiered rebate for </w:t>
      </w:r>
      <w:r w:rsidR="00971E73">
        <w:t>HPWHs</w:t>
      </w:r>
      <w:r w:rsidRPr="002E051C">
        <w:t xml:space="preserve">, in which customers could receive a $300 rebate for models with an energy factor of 2.3 or higher, and an additional $100 for models with an energy factor of 2.75 or higher. The program also mailed 45,000 LEDs to participants in the </w:t>
      </w:r>
      <w:r w:rsidRPr="002E051C">
        <w:rPr>
          <w:szCs w:val="20"/>
        </w:rPr>
        <w:t>Low-Income Energy Efficiency Behavior &amp; Education Program, distributed 3,000 LEDs at a low-income customer holiday dinner event, and ramped down incentives at big box stores while maintaining promotions at independent hardware and grocery stores.</w:t>
      </w:r>
    </w:p>
    <w:p w:rsidR="002E051C" w:rsidRPr="002E051C" w:rsidRDefault="002E051C" w:rsidP="002E051C"/>
    <w:p w:rsidR="002E051C" w:rsidRPr="002E051C" w:rsidRDefault="004F1A57" w:rsidP="002E051C">
      <w:r w:rsidRPr="00C52A0B">
        <w:t>The Residential Retail Program exceeded its planned energy savings for PY7 and Phase II. The program achieved 128% of planned MWh/yr energy savings in PY7 and 107% in all of Phase II. The program did not establish planned participation for PY7 or Phase II but achieved 225,783 participants in PY7 and 624,277 participants in all of Phase II.</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2E051C">
      <w:r w:rsidRPr="002E051C">
        <w:t xml:space="preserve">Cadmus conducted process evaluations separately for the rebated equipment and for the upstream lighting components of the program. For the rebated equipment process evaluation, Cadmus reviewed database records, interviewed one program staff member and one implementer, and conducted cross-program surveys that included 132 participants in the Residential Retail Program’s rebated equipment component, 62 refrigerator participants, and 70 </w:t>
      </w:r>
      <w:r w:rsidR="00971E73">
        <w:t>HPWH</w:t>
      </w:r>
      <w:r w:rsidR="00971E73" w:rsidRPr="002E051C">
        <w:t xml:space="preserve"> </w:t>
      </w:r>
      <w:r w:rsidRPr="002E051C">
        <w:t xml:space="preserve">participants. </w:t>
      </w:r>
    </w:p>
    <w:p w:rsidR="002E051C" w:rsidRPr="002E051C" w:rsidRDefault="002E051C" w:rsidP="002E051C"/>
    <w:p w:rsidR="002E051C" w:rsidRPr="002E051C" w:rsidRDefault="002E051C" w:rsidP="002E051C">
      <w:pPr>
        <w:autoSpaceDE w:val="0"/>
        <w:autoSpaceDN w:val="0"/>
        <w:adjustRightInd w:val="0"/>
        <w:spacing w:after="120"/>
      </w:pPr>
      <w:r w:rsidRPr="002E051C">
        <w:t>The following findings emerged from the evaluation of the rebated equipment component:</w:t>
      </w:r>
    </w:p>
    <w:p w:rsidR="002E051C" w:rsidRPr="00D405A7" w:rsidRDefault="002E051C" w:rsidP="00E646C9">
      <w:pPr>
        <w:pStyle w:val="ListParagraph"/>
        <w:numPr>
          <w:ilvl w:val="0"/>
          <w:numId w:val="123"/>
        </w:numPr>
        <w:ind w:left="360"/>
        <w:rPr>
          <w:rFonts w:eastAsia="Calibri"/>
        </w:rPr>
      </w:pPr>
      <w:r w:rsidRPr="00D405A7">
        <w:rPr>
          <w:rFonts w:eastAsia="Calibri"/>
        </w:rPr>
        <w:t>Overall, this component of the program exceeded its planned energy savings for PY7.</w:t>
      </w:r>
    </w:p>
    <w:p w:rsidR="002E051C" w:rsidRPr="00D405A7" w:rsidRDefault="002E051C" w:rsidP="00E646C9">
      <w:pPr>
        <w:pStyle w:val="ListParagraph"/>
        <w:numPr>
          <w:ilvl w:val="0"/>
          <w:numId w:val="123"/>
        </w:numPr>
        <w:ind w:left="360"/>
        <w:rPr>
          <w:rFonts w:eastAsia="Calibri"/>
        </w:rPr>
      </w:pPr>
      <w:r w:rsidRPr="00D405A7">
        <w:rPr>
          <w:rFonts w:eastAsia="Calibri"/>
        </w:rPr>
        <w:t>The program was delivered efficiently and effectively, particularly after the implementer took over management of the rebate processing after PY6. Rebate processing times averaged three weeks, lower than in PY6.</w:t>
      </w:r>
    </w:p>
    <w:p w:rsidR="002E051C" w:rsidRPr="00D405A7" w:rsidRDefault="002E051C" w:rsidP="00E646C9">
      <w:pPr>
        <w:pStyle w:val="ListParagraph"/>
        <w:numPr>
          <w:ilvl w:val="0"/>
          <w:numId w:val="123"/>
        </w:numPr>
        <w:ind w:left="360"/>
        <w:rPr>
          <w:rFonts w:eastAsia="Calibri"/>
        </w:rPr>
      </w:pPr>
      <w:r w:rsidRPr="00D405A7">
        <w:rPr>
          <w:rFonts w:eastAsia="Calibri"/>
        </w:rPr>
        <w:t>Some participants expressed disappointment with lower refrigerator rebates due to changes in ENERGY STAR qualification criteria for various models.</w:t>
      </w:r>
    </w:p>
    <w:p w:rsidR="002E051C" w:rsidRPr="00D405A7" w:rsidRDefault="002E051C" w:rsidP="00E646C9">
      <w:pPr>
        <w:pStyle w:val="ListParagraph"/>
        <w:numPr>
          <w:ilvl w:val="0"/>
          <w:numId w:val="123"/>
        </w:numPr>
        <w:ind w:left="360"/>
        <w:rPr>
          <w:rFonts w:eastAsia="Calibri"/>
        </w:rPr>
      </w:pPr>
      <w:r w:rsidRPr="00D405A7">
        <w:rPr>
          <w:rFonts w:eastAsia="Calibri"/>
        </w:rPr>
        <w:t xml:space="preserve">A larger percentage of surveyed participants reported satisfaction with the program in PY7 (79%) than in PY6 (69%). Recipients of rebates for </w:t>
      </w:r>
      <w:r w:rsidR="00971E73" w:rsidRPr="00D405A7">
        <w:t>HPWHs</w:t>
      </w:r>
      <w:r w:rsidR="00971E73" w:rsidRPr="00D405A7">
        <w:rPr>
          <w:rFonts w:eastAsia="Calibri"/>
        </w:rPr>
        <w:t xml:space="preserve"> </w:t>
      </w:r>
      <w:r w:rsidRPr="00D405A7">
        <w:rPr>
          <w:rFonts w:eastAsia="Calibri"/>
        </w:rPr>
        <w:t>were more satisfied than recipients of refrigerator rebates. Unsatisfied respondents suggested a simpler rebate structure or process and higher rebates for refrigerators.</w:t>
      </w:r>
    </w:p>
    <w:p w:rsidR="002E051C" w:rsidRPr="00D405A7" w:rsidRDefault="002E051C" w:rsidP="00E646C9">
      <w:pPr>
        <w:pStyle w:val="ListParagraph"/>
        <w:numPr>
          <w:ilvl w:val="0"/>
          <w:numId w:val="123"/>
        </w:numPr>
        <w:ind w:left="360"/>
        <w:rPr>
          <w:rFonts w:eastAsia="Calibri"/>
        </w:rPr>
      </w:pPr>
      <w:r w:rsidRPr="00D405A7">
        <w:rPr>
          <w:rFonts w:eastAsia="Calibri"/>
        </w:rPr>
        <w:t>Over three-fourths (76%) of survey participants reported high satisfaction with PPL in PY7, down from 85% in PY6. Nearly one-third (32%) reported that their opinion of PPL improved after participating in the program.</w:t>
      </w:r>
    </w:p>
    <w:p w:rsidR="002E051C" w:rsidRPr="00D405A7" w:rsidRDefault="002E051C" w:rsidP="00E646C9">
      <w:pPr>
        <w:pStyle w:val="ListParagraph"/>
        <w:numPr>
          <w:ilvl w:val="0"/>
          <w:numId w:val="123"/>
        </w:numPr>
        <w:ind w:left="360"/>
        <w:rPr>
          <w:rFonts w:eastAsia="Calibri"/>
        </w:rPr>
      </w:pPr>
      <w:r w:rsidRPr="00D405A7">
        <w:rPr>
          <w:rFonts w:eastAsia="Calibri"/>
        </w:rPr>
        <w:t>Nearly half of surveyed participants (42%) learned about the program through a retailer; others learned about it through their contractor, the PPL website, and other marketing channels like bill inserts, TV, or the Internet.</w:t>
      </w:r>
    </w:p>
    <w:p w:rsidR="002E051C" w:rsidRPr="00D405A7" w:rsidRDefault="002E051C" w:rsidP="00E646C9">
      <w:pPr>
        <w:pStyle w:val="ListParagraph"/>
        <w:numPr>
          <w:ilvl w:val="0"/>
          <w:numId w:val="123"/>
        </w:numPr>
        <w:ind w:left="360"/>
        <w:rPr>
          <w:rFonts w:eastAsia="Calibri"/>
        </w:rPr>
      </w:pPr>
      <w:r w:rsidRPr="00D405A7">
        <w:rPr>
          <w:rFonts w:eastAsia="Calibri"/>
        </w:rPr>
        <w:t>Cadmus created demographic profiles for surveyed participants.</w:t>
      </w:r>
    </w:p>
    <w:p w:rsidR="002E051C" w:rsidRPr="002E051C" w:rsidRDefault="002E051C" w:rsidP="002E051C">
      <w:pPr>
        <w:spacing w:after="60"/>
        <w:ind w:left="360"/>
        <w:rPr>
          <w:rFonts w:eastAsia="Calibri"/>
          <w:szCs w:val="20"/>
        </w:rPr>
      </w:pPr>
    </w:p>
    <w:p w:rsidR="002E051C" w:rsidRPr="002E051C" w:rsidRDefault="002E051C" w:rsidP="00D405A7">
      <w:pPr>
        <w:pStyle w:val="6spacenormal"/>
      </w:pPr>
      <w:r w:rsidRPr="002E051C">
        <w:t>For the upstream lighting component process evaluation, Cadmus reviewed database records and lighting manufacturing invoices, interviewed one program staff member and one implementer, conducted general residential population surveys with 337 residential customers (70 of whom purchased LEDs from participating retailers), and conducted cross-program surveys with 301 Low-Income Energy Efficiency Behavior &amp; Education Program participants. The following findings emerged:</w:t>
      </w:r>
    </w:p>
    <w:p w:rsidR="002E051C" w:rsidRPr="00D405A7" w:rsidRDefault="002E051C" w:rsidP="00E646C9">
      <w:pPr>
        <w:pStyle w:val="ListParagraph"/>
        <w:numPr>
          <w:ilvl w:val="0"/>
          <w:numId w:val="123"/>
        </w:numPr>
        <w:ind w:left="360"/>
        <w:rPr>
          <w:rFonts w:eastAsia="Calibri"/>
        </w:rPr>
      </w:pPr>
      <w:r w:rsidRPr="00D405A7">
        <w:rPr>
          <w:rFonts w:eastAsia="Calibri"/>
        </w:rPr>
        <w:t>The program was delivered efficiency and effectively, and the quality of the data from the various sources (manufacturing invoices, program database) was very good.</w:t>
      </w:r>
    </w:p>
    <w:p w:rsidR="002E051C" w:rsidRPr="00D405A7" w:rsidRDefault="002E051C" w:rsidP="00E646C9">
      <w:pPr>
        <w:pStyle w:val="ListParagraph"/>
        <w:numPr>
          <w:ilvl w:val="0"/>
          <w:numId w:val="123"/>
        </w:numPr>
        <w:ind w:left="360"/>
        <w:rPr>
          <w:rFonts w:eastAsia="Calibri"/>
        </w:rPr>
      </w:pPr>
      <w:r w:rsidRPr="00D405A7">
        <w:rPr>
          <w:rFonts w:eastAsia="Calibri"/>
        </w:rPr>
        <w:t xml:space="preserve">Home improvement, club, mass market, and independent retail channels sold the most qualifying bulbs. </w:t>
      </w:r>
    </w:p>
    <w:p w:rsidR="002E051C" w:rsidRPr="00D405A7" w:rsidRDefault="002E051C" w:rsidP="00E646C9">
      <w:pPr>
        <w:pStyle w:val="ListParagraph"/>
        <w:numPr>
          <w:ilvl w:val="0"/>
          <w:numId w:val="123"/>
        </w:numPr>
        <w:ind w:left="360"/>
        <w:rPr>
          <w:rFonts w:eastAsia="Calibri"/>
        </w:rPr>
      </w:pPr>
      <w:r w:rsidRPr="00D405A7">
        <w:rPr>
          <w:rFonts w:eastAsia="Calibri"/>
        </w:rPr>
        <w:t xml:space="preserve">LED purchasers were not significantly different demographically than nonpurchasers except in regard to income, in which LED purchasers reported higher income than nonpurchasers. </w:t>
      </w:r>
    </w:p>
    <w:p w:rsidR="002E051C" w:rsidRPr="00D405A7" w:rsidRDefault="002E051C" w:rsidP="00E646C9">
      <w:pPr>
        <w:pStyle w:val="ListParagraph"/>
        <w:numPr>
          <w:ilvl w:val="0"/>
          <w:numId w:val="123"/>
        </w:numPr>
        <w:ind w:left="360"/>
        <w:rPr>
          <w:rFonts w:eastAsia="Calibri"/>
        </w:rPr>
      </w:pPr>
      <w:r w:rsidRPr="00D405A7">
        <w:rPr>
          <w:rFonts w:eastAsia="Calibri"/>
        </w:rPr>
        <w:t xml:space="preserve">Nearly four out of five (79%) surveyed PPL customers reported awareness of LEDs, and 78% had seen them for sale at retailers in PY7, which was unchanged from PY6. However, most surveyed customers (85%) were unaware that PPL discounted LED bulbs. </w:t>
      </w:r>
    </w:p>
    <w:p w:rsidR="004F1A57" w:rsidRPr="00D405A7" w:rsidRDefault="004F1A57" w:rsidP="00E646C9">
      <w:pPr>
        <w:pStyle w:val="ListParagraph"/>
        <w:numPr>
          <w:ilvl w:val="0"/>
          <w:numId w:val="123"/>
        </w:numPr>
        <w:ind w:left="360"/>
        <w:rPr>
          <w:rFonts w:eastAsia="Calibri"/>
        </w:rPr>
      </w:pPr>
      <w:r w:rsidRPr="00D405A7">
        <w:rPr>
          <w:rFonts w:eastAsia="Calibri"/>
        </w:rPr>
        <w:t>About three-fourths (76%) of surveyed customers reported they were very or somewhat likely to install LEDs in the next 12 months. Of those who reported they were not likely to install LEDS, the most common responses cited were high costs (27%), no expectations to replace bulbs (17%), and having bulbs in storage (10%).</w:t>
      </w:r>
    </w:p>
    <w:p w:rsidR="004F1A57" w:rsidRPr="00D405A7" w:rsidRDefault="004F1A57" w:rsidP="00E646C9">
      <w:pPr>
        <w:pStyle w:val="ListParagraph"/>
        <w:numPr>
          <w:ilvl w:val="0"/>
          <w:numId w:val="123"/>
        </w:numPr>
        <w:ind w:left="360"/>
        <w:rPr>
          <w:rFonts w:eastAsia="Calibri"/>
        </w:rPr>
      </w:pPr>
      <w:r w:rsidRPr="00D405A7">
        <w:rPr>
          <w:rFonts w:eastAsia="Calibri"/>
        </w:rPr>
        <w:t xml:space="preserve">The most to least important features of LED bulbs, as measured by surveyed customers who rated each very important, are longevity, brightness, energy use/wattage, cost, and color quality, and variety of types. </w:t>
      </w:r>
    </w:p>
    <w:p w:rsidR="002E051C" w:rsidRPr="00D405A7" w:rsidRDefault="002E051C" w:rsidP="00E646C9">
      <w:pPr>
        <w:pStyle w:val="ListParagraph"/>
        <w:numPr>
          <w:ilvl w:val="0"/>
          <w:numId w:val="123"/>
        </w:numPr>
        <w:ind w:left="360"/>
        <w:rPr>
          <w:rFonts w:eastAsia="Calibri"/>
        </w:rPr>
      </w:pPr>
      <w:r w:rsidRPr="00D405A7">
        <w:rPr>
          <w:rFonts w:eastAsia="Calibri"/>
        </w:rPr>
        <w:t>In PY7, about 70% of surveyed customers reported purchasing any type of screw-in bulbs, and 28% had purchased LEDs in the previous six months, a significant increase from PY6.</w:t>
      </w:r>
    </w:p>
    <w:p w:rsidR="002E051C" w:rsidRPr="00D405A7" w:rsidRDefault="002E051C" w:rsidP="00E646C9">
      <w:pPr>
        <w:pStyle w:val="ListParagraph"/>
        <w:numPr>
          <w:ilvl w:val="0"/>
          <w:numId w:val="123"/>
        </w:numPr>
        <w:ind w:left="360"/>
        <w:rPr>
          <w:rFonts w:eastAsia="Calibri"/>
        </w:rPr>
      </w:pPr>
      <w:r w:rsidRPr="00D405A7">
        <w:rPr>
          <w:rFonts w:eastAsia="Calibri"/>
        </w:rPr>
        <w:t>Respondents who purchased LEDs from participating retailers reported an average price of $7.51 per bulb; respondents who purchased LEDs from any retailer reported an average price of $8.10 per bulb.</w:t>
      </w:r>
    </w:p>
    <w:p w:rsidR="002E051C" w:rsidRPr="00D405A7" w:rsidRDefault="002E051C" w:rsidP="00E646C9">
      <w:pPr>
        <w:pStyle w:val="ListParagraph"/>
        <w:numPr>
          <w:ilvl w:val="0"/>
          <w:numId w:val="123"/>
        </w:numPr>
        <w:ind w:left="360"/>
        <w:rPr>
          <w:rFonts w:eastAsia="Calibri"/>
        </w:rPr>
      </w:pPr>
      <w:r w:rsidRPr="00D405A7">
        <w:rPr>
          <w:rFonts w:eastAsia="Calibri"/>
        </w:rPr>
        <w:t>Nearly half (44%) of respondents reported currently using LEDs in PY7, up from 30% in PY6. More respondents in PY7 (32%) reported replacing CFLs with LEDs than in PY6 (22%).</w:t>
      </w:r>
    </w:p>
    <w:p w:rsidR="002E051C" w:rsidRPr="00D405A7" w:rsidRDefault="002E051C" w:rsidP="00E646C9">
      <w:pPr>
        <w:pStyle w:val="ListParagraph"/>
        <w:numPr>
          <w:ilvl w:val="0"/>
          <w:numId w:val="123"/>
        </w:numPr>
        <w:ind w:left="360"/>
        <w:rPr>
          <w:rFonts w:eastAsia="Calibri"/>
        </w:rPr>
      </w:pPr>
      <w:r w:rsidRPr="00D405A7">
        <w:rPr>
          <w:rFonts w:eastAsia="Calibri"/>
        </w:rPr>
        <w:t>In PY7, nearly three-fourths (73%) of respondents with LEDs were overall very satisfied with them; these respondents reported the highest satisfaction with brightness and longevity and the least satisfaction with cost and the variety of bulb types.</w:t>
      </w:r>
    </w:p>
    <w:p w:rsidR="002E051C" w:rsidRPr="00D405A7" w:rsidRDefault="002E051C" w:rsidP="00E646C9">
      <w:pPr>
        <w:pStyle w:val="ListParagraph"/>
        <w:numPr>
          <w:ilvl w:val="0"/>
          <w:numId w:val="123"/>
        </w:numPr>
        <w:ind w:left="360"/>
        <w:rPr>
          <w:rFonts w:eastAsia="Calibri"/>
        </w:rPr>
      </w:pPr>
      <w:r w:rsidRPr="00D405A7">
        <w:rPr>
          <w:rFonts w:eastAsia="Calibri"/>
        </w:rPr>
        <w:t>Over half of respondents (58%) were not aware that not all LEDs qualify for ENERGY STAR certification.</w:t>
      </w:r>
    </w:p>
    <w:p w:rsidR="002E051C" w:rsidRPr="00D405A7" w:rsidRDefault="002E051C" w:rsidP="00E646C9">
      <w:pPr>
        <w:pStyle w:val="ListParagraph"/>
        <w:numPr>
          <w:ilvl w:val="0"/>
          <w:numId w:val="123"/>
        </w:numPr>
        <w:ind w:left="360"/>
        <w:rPr>
          <w:rFonts w:eastAsia="Calibri"/>
        </w:rPr>
      </w:pPr>
      <w:r w:rsidRPr="00D405A7">
        <w:rPr>
          <w:rFonts w:eastAsia="Calibri"/>
        </w:rPr>
        <w:t>The reported willingness to pay $5 or more for LEDs dropped in PY7 compared with PY6, but 90% of respondents were willing to pay $3 per LED. Non-LED users reported higher sensitivity to price changes than LED users.</w:t>
      </w:r>
    </w:p>
    <w:p w:rsidR="002E051C" w:rsidRPr="00D405A7" w:rsidRDefault="002E051C" w:rsidP="00E646C9">
      <w:pPr>
        <w:pStyle w:val="ListParagraph"/>
        <w:numPr>
          <w:ilvl w:val="0"/>
          <w:numId w:val="123"/>
        </w:numPr>
        <w:ind w:left="360"/>
        <w:rPr>
          <w:rFonts w:eastAsia="Calibri"/>
        </w:rPr>
      </w:pPr>
      <w:r w:rsidRPr="00D405A7">
        <w:rPr>
          <w:rFonts w:eastAsia="Calibri"/>
        </w:rPr>
        <w:t>Most respondents who disposed of CFLs in PY7 (60%) reported throwing the bulbs in the trash. Of those who had not disposed of a CFL, 47% reported that they would throw CFLs in the trash to dispose of them. About one-fourth of each group reported they recycled or would recycle CFL bulbs to dispose of them. Of those who said they did not or would not recycle CFLs, 72% reported that they would be more likely to recycle if PPL recycle bins were available in more locations; only 7% of surveyed respondents reported awareness of PPL’s recycle bins.</w:t>
      </w:r>
    </w:p>
    <w:p w:rsidR="002E051C" w:rsidRPr="00D405A7" w:rsidRDefault="002E051C" w:rsidP="00E646C9">
      <w:pPr>
        <w:pStyle w:val="ListParagraph"/>
        <w:numPr>
          <w:ilvl w:val="0"/>
          <w:numId w:val="123"/>
        </w:numPr>
        <w:ind w:left="360"/>
        <w:rPr>
          <w:rFonts w:eastAsia="Calibri"/>
        </w:rPr>
      </w:pPr>
      <w:r w:rsidRPr="00D405A7">
        <w:rPr>
          <w:rFonts w:eastAsia="Calibri"/>
        </w:rPr>
        <w:t>About three-fourths (74%) of respondents reported high satisfaction with PPL, which was similar to findings from PY6.</w:t>
      </w:r>
    </w:p>
    <w:p w:rsidR="002E051C" w:rsidRPr="00D405A7" w:rsidRDefault="002E051C" w:rsidP="00E646C9">
      <w:pPr>
        <w:pStyle w:val="ListParagraph"/>
        <w:numPr>
          <w:ilvl w:val="0"/>
          <w:numId w:val="123"/>
        </w:numPr>
        <w:ind w:left="360"/>
        <w:rPr>
          <w:rFonts w:eastAsia="Calibri"/>
        </w:rPr>
      </w:pPr>
      <w:r w:rsidRPr="00D405A7">
        <w:rPr>
          <w:rFonts w:eastAsia="Calibri"/>
        </w:rPr>
        <w:t>Cadmus created demographic profiles for surveyed participants.</w:t>
      </w:r>
    </w:p>
    <w:p w:rsidR="002E051C" w:rsidRPr="002E051C" w:rsidRDefault="002E051C" w:rsidP="002E051C">
      <w:pPr>
        <w:autoSpaceDE w:val="0"/>
        <w:autoSpaceDN w:val="0"/>
        <w:adjustRightInd w:val="0"/>
        <w:ind w:left="360"/>
        <w:contextualSpacing/>
      </w:pPr>
      <w:r w:rsidRPr="002E051C">
        <w:t xml:space="preserve"> </w:t>
      </w:r>
    </w:p>
    <w:p w:rsidR="002E051C" w:rsidRPr="002E051C" w:rsidRDefault="002E051C" w:rsidP="00D613BE">
      <w:pPr>
        <w:pStyle w:val="AppendixBHeading4"/>
      </w:pPr>
      <w:r w:rsidRPr="002E051C">
        <w:t>Summary of the Process Evaluation Audit</w:t>
      </w:r>
    </w:p>
    <w:p w:rsidR="002E051C" w:rsidRPr="002E051C" w:rsidRDefault="002E051C" w:rsidP="002E051C">
      <w:r w:rsidRPr="002E051C">
        <w:t xml:space="preserve">The evaluation was consistent with the evaluation plan, except Cadmus interviewed more </w:t>
      </w:r>
      <w:r w:rsidR="00971E73">
        <w:t>HPWH</w:t>
      </w:r>
      <w:r w:rsidR="00971E73" w:rsidRPr="002E051C">
        <w:t xml:space="preserve"> </w:t>
      </w:r>
      <w:r w:rsidRPr="002E051C">
        <w:t xml:space="preserve">participants than initially planned, to update net savings analysis, and interviewed more residential customers than planned, to find a sufficient number of customers who purchased LEDs from participating retailers for statistical confidence/precision. </w:t>
      </w:r>
    </w:p>
    <w:p w:rsidR="002E051C" w:rsidRPr="002E051C" w:rsidRDefault="002E051C" w:rsidP="002E051C"/>
    <w:p w:rsidR="002E051C" w:rsidRPr="002E051C" w:rsidRDefault="004F1A57" w:rsidP="002E051C">
      <w:r w:rsidRPr="00C52A0B">
        <w:t xml:space="preserve">The methodology section mostly explained the evaluation activities and analyses, and included the required sampling and disposition information and tables. Including more information about the methods used to conduct analyses, such as the type of analysis used, and the types and values of any statistical tests conducted, would be very informative. More methodological details about the survey of Low-Income Energy Efficiency </w:t>
      </w:r>
      <w:r w:rsidRPr="00C52A0B">
        <w:rPr>
          <w:szCs w:val="20"/>
        </w:rPr>
        <w:t>Behavior &amp; Education Program participants</w:t>
      </w:r>
      <w:r w:rsidRPr="00C52A0B">
        <w:t xml:space="preserve"> would be helpful, since it was used for calculating program savings from the free LED bulb. For the data-collection tasks requiring sampling, Cadmus achieved planned sample sizes that provided 90/10 confidence/precision per survey sample per program component; for interviews that did not require sampling, Cadmus met the targeted number of completes. Adding the mode used for surveys (web, phone, mail) in Tables 3-10, 3-16, and 3-18 would complete the tables and help inform the reader without having to refer to the text where the survey mode is reported.</w:t>
      </w:r>
    </w:p>
    <w:p w:rsidR="002E051C" w:rsidRPr="002E051C" w:rsidRDefault="002E051C" w:rsidP="002E051C"/>
    <w:p w:rsidR="002E051C" w:rsidRDefault="004F1A57" w:rsidP="002E051C">
      <w:r w:rsidRPr="00C52A0B">
        <w:t>Program findings were clearly summarized, with mostly actionable recommendations following conclusions and sufficient evidence supporting the conclusions. In Section 3.4.7.2, the SWE Team found an error in the first paragraph stating that 76% is higher than 85%; it should be changed to “lower.” Two conclusions (second and fifth) also did not have, but likely could have had, accompanying recommendations, and two recommendations (fifth and sixth) are vague in terms of the specific actions PPL should take. The report also included a table of recommendations with a description of whether PPL was implementing or considering those recommendations.</w:t>
      </w:r>
    </w:p>
    <w:p w:rsidR="00D60D31" w:rsidRDefault="00D60D31" w:rsidP="002E051C"/>
    <w:p w:rsidR="00D60D31" w:rsidRDefault="00D60D31" w:rsidP="00D613BE">
      <w:pPr>
        <w:pStyle w:val="AppendixBHeading3"/>
      </w:pPr>
      <w:r>
        <w:t>Student and Parent Energy-Efficiency Education Program</w:t>
      </w:r>
    </w:p>
    <w:p w:rsidR="004F1A57" w:rsidRDefault="00D60D31" w:rsidP="00D613BE">
      <w:pPr>
        <w:pStyle w:val="AppendixBHeading4"/>
      </w:pPr>
      <w:r>
        <w:t>Brief Overview of the Program and its Success</w:t>
      </w:r>
    </w:p>
    <w:p w:rsidR="00D60D31" w:rsidRPr="00C52A0B" w:rsidRDefault="00D60D31" w:rsidP="00D60D31">
      <w:r w:rsidRPr="00C52A0B">
        <w:t>The Student and Parent Energy-Efficiency Education program provides school-based energy efficiency education through classroom presentations for students, training for teachers, and community workshops for parents.  Some of the schools were in low-income neighborhoods. All participants receive educational materials, a home energy worksheet (HEW) to complete and return to the program, and a take-home energy efficiency kit of low-cost items that can be installed at home. Participating students are in grades 2–12; kits are tailored to each grade level and contain items such as LED lamps, low-flow showerheads, faucet aerators, smart power strips, and electroluminescent nightlights. The classroom workshops meet Pennsylvania academic standards for the appropriate grade levels. National Energy Foundation is the program implementer.</w:t>
      </w:r>
    </w:p>
    <w:p w:rsidR="00D60D31" w:rsidRPr="00C52A0B" w:rsidRDefault="00D60D31" w:rsidP="00D60D31"/>
    <w:p w:rsidR="00D60D31" w:rsidRPr="00C52A0B" w:rsidRDefault="00D60D31" w:rsidP="00D60D31">
      <w:r w:rsidRPr="00C52A0B">
        <w:t xml:space="preserve">For PY7, PPL made three changes to the program. It increased the number of student and parent workshop participants, launched a poster contest to get students and classrooms involved in extracurricular activities related to energy efficiency, and included an online HEW process for older students. </w:t>
      </w:r>
    </w:p>
    <w:p w:rsidR="00D60D31" w:rsidRPr="00C52A0B" w:rsidRDefault="00D60D31" w:rsidP="00D60D31"/>
    <w:p w:rsidR="00D60D31" w:rsidRDefault="00D60D31" w:rsidP="00D60D31">
      <w:r w:rsidRPr="00C52A0B">
        <w:t>In PY7, the Student and Parent Energy-Efficiency Education program exceeded one of its two planned goals. The program achieved 108% of its planned annual participation but only 85% of its planned annual MWh/yr savings. In all of Phase II, the program fell short of meeting its planned goals. It met 86% of its plan</w:t>
      </w:r>
      <w:r w:rsidR="00413BF1">
        <w:t>n</w:t>
      </w:r>
      <w:r w:rsidRPr="00C52A0B">
        <w:t>ed MWh/yr savings and 97% of its planned three-year participation.</w:t>
      </w:r>
    </w:p>
    <w:p w:rsidR="00D60D31" w:rsidRDefault="00D60D31" w:rsidP="00D60D31"/>
    <w:p w:rsidR="00D60D31" w:rsidRDefault="00D60D31" w:rsidP="00D613BE">
      <w:pPr>
        <w:pStyle w:val="AppendixBHeading4"/>
      </w:pPr>
      <w:r>
        <w:t>Summary of the Process Evaluation Findings</w:t>
      </w:r>
    </w:p>
    <w:p w:rsidR="00D60D31" w:rsidRDefault="00D60D31" w:rsidP="00D405A7">
      <w:r w:rsidRPr="00D405A7">
        <w:t>Cadmus conducted database and QA/QC review of records and two interviews with the program manager and the implementer. Cadmus analyzed the census of 19,249 implementer-administered HEWs returned by participating students, 1,015 parent workshop HEWs, 2,229 implementer-administered parent surveys, and open-end responses from 1,918 implementer-administered classroom teacher, teacher workshop, and parent workshop evaluation surveys. Cadmus also measured four key program performance indicators: program enrollment, new school enrollment, teacher workshop participation, and classroom and parent workshop participation.</w:t>
      </w:r>
    </w:p>
    <w:p w:rsidR="00D405A7" w:rsidRPr="00D405A7" w:rsidRDefault="00D405A7" w:rsidP="00D405A7"/>
    <w:p w:rsidR="00D60D31" w:rsidRPr="00D405A7" w:rsidRDefault="00D60D31" w:rsidP="00D405A7">
      <w:pPr>
        <w:pStyle w:val="6spacenormal"/>
      </w:pPr>
      <w:r w:rsidRPr="00D405A7">
        <w:t>The following findings emerged from the evaluation:</w:t>
      </w:r>
    </w:p>
    <w:p w:rsidR="00D60D31" w:rsidRPr="00D405A7" w:rsidRDefault="00D60D31" w:rsidP="00E646C9">
      <w:pPr>
        <w:pStyle w:val="ListParagraph"/>
        <w:numPr>
          <w:ilvl w:val="0"/>
          <w:numId w:val="124"/>
        </w:numPr>
        <w:ind w:left="360"/>
        <w:rPr>
          <w:rFonts w:eastAsia="Calibri"/>
        </w:rPr>
      </w:pPr>
      <w:r w:rsidRPr="00D405A7">
        <w:rPr>
          <w:rFonts w:eastAsia="Calibri"/>
        </w:rPr>
        <w:t>The program met one of its planned PY7 goals (annual participation) but did not meet the planned energy savings; the program also did not meet either of its two planned goals for all of Phase II. This was due in part to a change in how installation rates were measures in PY7 versus PY6 and low installation rates of products in the kit.</w:t>
      </w:r>
    </w:p>
    <w:p w:rsidR="00D60D31" w:rsidRPr="00D405A7" w:rsidRDefault="00D60D31" w:rsidP="00E646C9">
      <w:pPr>
        <w:pStyle w:val="ListParagraph"/>
        <w:numPr>
          <w:ilvl w:val="0"/>
          <w:numId w:val="124"/>
        </w:numPr>
        <w:ind w:left="360"/>
        <w:rPr>
          <w:rFonts w:eastAsia="Calibri"/>
        </w:rPr>
      </w:pPr>
      <w:r w:rsidRPr="00D405A7">
        <w:rPr>
          <w:rFonts w:eastAsia="Calibri"/>
        </w:rPr>
        <w:t>Interviewed staff reported a smooth delivery of the program in PY6 and PY7.</w:t>
      </w:r>
    </w:p>
    <w:p w:rsidR="00D60D31" w:rsidRPr="00D405A7" w:rsidRDefault="00D60D31" w:rsidP="00E646C9">
      <w:pPr>
        <w:pStyle w:val="ListParagraph"/>
        <w:numPr>
          <w:ilvl w:val="0"/>
          <w:numId w:val="124"/>
        </w:numPr>
        <w:ind w:left="360"/>
        <w:rPr>
          <w:rFonts w:eastAsia="Calibri"/>
        </w:rPr>
      </w:pPr>
      <w:r w:rsidRPr="00D405A7">
        <w:rPr>
          <w:rFonts w:eastAsia="Calibri"/>
        </w:rPr>
        <w:t>All four key performance indicator goals were met or exceeded in PY7. Program enrollment was successful, new school enrollment reached 30% of all participants, 150 teachers enrolled, and the number of returned HEWs exceeded 72%.</w:t>
      </w:r>
    </w:p>
    <w:p w:rsidR="00D60D31" w:rsidRPr="00D405A7" w:rsidRDefault="00D60D31" w:rsidP="00E646C9">
      <w:pPr>
        <w:pStyle w:val="ListParagraph"/>
        <w:numPr>
          <w:ilvl w:val="0"/>
          <w:numId w:val="124"/>
        </w:numPr>
        <w:ind w:left="360"/>
        <w:rPr>
          <w:rFonts w:eastAsia="Calibri"/>
        </w:rPr>
      </w:pPr>
      <w:r w:rsidRPr="00D405A7">
        <w:rPr>
          <w:rFonts w:eastAsia="Calibri"/>
        </w:rPr>
        <w:t>The implementer’s targeted marketing and personalized outreach efforts increased program awareness and helped increase participation, particularly for new schools.</w:t>
      </w:r>
    </w:p>
    <w:p w:rsidR="00D60D31" w:rsidRPr="00D405A7" w:rsidRDefault="00D60D31" w:rsidP="00E646C9">
      <w:pPr>
        <w:pStyle w:val="ListParagraph"/>
        <w:numPr>
          <w:ilvl w:val="0"/>
          <w:numId w:val="124"/>
        </w:numPr>
        <w:ind w:left="360"/>
        <w:rPr>
          <w:rFonts w:eastAsia="Calibri"/>
        </w:rPr>
      </w:pPr>
      <w:r w:rsidRPr="00D405A7">
        <w:rPr>
          <w:rFonts w:eastAsia="Calibri"/>
        </w:rPr>
        <w:t>Cadmus created participant profiles of classroom teachers, workshop teachers, classroom parents, and workshop parents.</w:t>
      </w:r>
    </w:p>
    <w:p w:rsidR="00D60D31" w:rsidRPr="00D405A7" w:rsidRDefault="00D60D31" w:rsidP="00E646C9">
      <w:pPr>
        <w:pStyle w:val="ListParagraph"/>
        <w:numPr>
          <w:ilvl w:val="0"/>
          <w:numId w:val="124"/>
        </w:numPr>
        <w:ind w:left="360"/>
        <w:rPr>
          <w:rFonts w:eastAsia="Calibri"/>
        </w:rPr>
      </w:pPr>
      <w:r w:rsidRPr="00D405A7">
        <w:rPr>
          <w:rFonts w:eastAsia="Calibri"/>
        </w:rPr>
        <w:t>Most classroom teachers (81%) and workshop teachers (84%) rated their overall impressions of the program the program as excellent.</w:t>
      </w:r>
    </w:p>
    <w:p w:rsidR="00D60D31" w:rsidRPr="00D405A7" w:rsidRDefault="00D60D31" w:rsidP="00E646C9">
      <w:pPr>
        <w:pStyle w:val="ListParagraph"/>
        <w:numPr>
          <w:ilvl w:val="0"/>
          <w:numId w:val="124"/>
        </w:numPr>
        <w:ind w:left="360"/>
        <w:rPr>
          <w:rFonts w:eastAsia="Calibri"/>
        </w:rPr>
      </w:pPr>
      <w:r w:rsidRPr="00D405A7">
        <w:rPr>
          <w:rFonts w:eastAsia="Calibri"/>
        </w:rPr>
        <w:t>Classroom parents reported that the kit and products were easy to install and use, they would continue using them upon completion of the program, and they would like to see the program continued. Most also reported changing the way they had used energy in their home since participating in the program.</w:t>
      </w:r>
    </w:p>
    <w:p w:rsidR="00D60D31" w:rsidRPr="00D405A7" w:rsidRDefault="00D60D31" w:rsidP="00E646C9">
      <w:pPr>
        <w:pStyle w:val="ListParagraph"/>
        <w:numPr>
          <w:ilvl w:val="0"/>
          <w:numId w:val="124"/>
        </w:numPr>
        <w:ind w:left="360"/>
        <w:rPr>
          <w:rFonts w:eastAsia="Calibri"/>
        </w:rPr>
      </w:pPr>
      <w:r w:rsidRPr="00D405A7">
        <w:rPr>
          <w:rFonts w:eastAsia="Calibri"/>
        </w:rPr>
        <w:t>Most workshop parents (98%) reported that they found the workshop components very or somewhat helpful.</w:t>
      </w:r>
    </w:p>
    <w:p w:rsidR="00D60D31" w:rsidRDefault="00D60D31" w:rsidP="00E646C9">
      <w:pPr>
        <w:pStyle w:val="ListParagraph"/>
        <w:numPr>
          <w:ilvl w:val="0"/>
          <w:numId w:val="124"/>
        </w:numPr>
        <w:ind w:left="360"/>
        <w:rPr>
          <w:rFonts w:eastAsia="Calibri"/>
        </w:rPr>
      </w:pPr>
      <w:r w:rsidRPr="00D405A7">
        <w:rPr>
          <w:rFonts w:eastAsia="Calibri"/>
        </w:rPr>
        <w:t>Teachers and parents recommended areas for improvement, which included providing more student interaction opportunities, reducing the paperwork of the HEW, and improving the presentations.</w:t>
      </w:r>
    </w:p>
    <w:p w:rsidR="00D405A7" w:rsidRPr="00D405A7" w:rsidRDefault="00D405A7" w:rsidP="00D405A7">
      <w:pPr>
        <w:rPr>
          <w:rFonts w:eastAsia="Calibri"/>
        </w:rPr>
      </w:pPr>
    </w:p>
    <w:p w:rsidR="00D60D31" w:rsidRDefault="00D60D31" w:rsidP="00D613BE">
      <w:pPr>
        <w:pStyle w:val="AppendixBHeading4"/>
      </w:pPr>
      <w:r>
        <w:t>Summary of the Process Evaluation Audit</w:t>
      </w:r>
    </w:p>
    <w:p w:rsidR="00D60D31" w:rsidRPr="00D405A7" w:rsidRDefault="00D60D31" w:rsidP="00D405A7">
      <w:r w:rsidRPr="00D405A7">
        <w:t xml:space="preserve">The evaluation was consistent with the evaluation plan. The methodology section adequately explained the evaluation activities and analyses, and included the required sampling and disposition information and tables. Including more information about the methods used to conduct analyses, such as the type of analysis used, would be very informative. None of the interviews or surveys required sampling, and Cadmus met the targeted number of completes. Adding the mode used for the survey (web, phone, mail) in Table 8-15 would complete the table and inform the reader without having to refer to the text where the survey mode is reported. </w:t>
      </w:r>
    </w:p>
    <w:p w:rsidR="00D60D31" w:rsidRPr="00D405A7" w:rsidRDefault="00D60D31" w:rsidP="00D405A7"/>
    <w:p w:rsidR="00D60D31" w:rsidRPr="00D405A7" w:rsidRDefault="00D60D31" w:rsidP="00D405A7">
      <w:r w:rsidRPr="00D405A7">
        <w:t>Program findings were clearly summarized, with actionable recommendations following conclusions and ample evidence supporting the conclusions. The report also included a table of recommendations with a description of whether PPL was implementing or considering those recommendations. In addition, the description of the program is unclear as to whether all or some of the participating schools are in low-income neighborhoods; this should be noted in future reports to clear any confusion about whether or not it is primarily a low-income program.</w:t>
      </w:r>
    </w:p>
    <w:p w:rsidR="00D60D31" w:rsidRPr="00D405A7" w:rsidRDefault="00D60D31" w:rsidP="00D405A7"/>
    <w:p w:rsidR="002E051C" w:rsidRPr="002E051C" w:rsidRDefault="002E051C" w:rsidP="00D613BE">
      <w:pPr>
        <w:pStyle w:val="AppendixBHeading2"/>
      </w:pPr>
      <w:r w:rsidRPr="002E051C">
        <w:t>Low-Income Programs</w:t>
      </w:r>
    </w:p>
    <w:p w:rsidR="002E051C" w:rsidRPr="002E051C" w:rsidRDefault="00D60D31" w:rsidP="002E051C">
      <w:pPr>
        <w:tabs>
          <w:tab w:val="left" w:pos="8805"/>
        </w:tabs>
      </w:pPr>
      <w:r w:rsidRPr="00C52A0B">
        <w:t xml:space="preserve">Cadmus reported on process evaluations for three low-income programs: </w:t>
      </w:r>
      <w:r w:rsidR="00D405A7" w:rsidRPr="00C52A0B">
        <w:t>The</w:t>
      </w:r>
      <w:r w:rsidRPr="00C52A0B">
        <w:t xml:space="preserve"> E-Power Wise Program, the Low-Income Energy-Efficiency Behavior &amp; Education Program, and the Low-Income Winter Relief Assistance Program (WRAP).</w:t>
      </w:r>
    </w:p>
    <w:p w:rsidR="002E051C" w:rsidRPr="002E051C" w:rsidRDefault="002E051C" w:rsidP="002E051C">
      <w:pPr>
        <w:tabs>
          <w:tab w:val="left" w:pos="8805"/>
        </w:tabs>
      </w:pPr>
    </w:p>
    <w:p w:rsidR="002E051C" w:rsidRPr="002E051C" w:rsidRDefault="002E051C" w:rsidP="002E051C">
      <w:pPr>
        <w:tabs>
          <w:tab w:val="left" w:pos="8805"/>
        </w:tabs>
      </w:pPr>
      <w:r w:rsidRPr="002E051C">
        <w:t xml:space="preserve">For the process evaluations of the above programs, Cadmus reviewed program documents and data; interviewed the utility staff, implementer, and staff at community-based organizations; and surveyed program participants. The document and program data review informed identification of program goals, activities, and updates, and in some instances, development of program theory and logic models. The research issues addressed by the primary data-collection activities (in-depth interviews and surveys) varied among programs but generally included the effectiveness of program administration, implementation, and delivery, and customer and market actor program satisfaction, participation, challenges, and recommendations. </w:t>
      </w:r>
    </w:p>
    <w:p w:rsidR="002E051C" w:rsidRPr="002E051C" w:rsidRDefault="002E051C" w:rsidP="002E051C">
      <w:pPr>
        <w:tabs>
          <w:tab w:val="left" w:pos="8805"/>
        </w:tabs>
      </w:pPr>
    </w:p>
    <w:p w:rsidR="002E051C" w:rsidRPr="002E051C" w:rsidRDefault="00D60D31" w:rsidP="002E051C">
      <w:r w:rsidRPr="00C52A0B">
        <w:t xml:space="preserve">Cadmus followed the evaluation plan for each program’s process evaluation with three exceptions, two of which were minor and one of which was a reasonable adjustment to an unexpected situation. Cadmus explained these exceptions in the PY7 </w:t>
      </w:r>
      <w:r w:rsidR="00A83E08">
        <w:t>a</w:t>
      </w:r>
      <w:r w:rsidRPr="00C52A0B">
        <w:t xml:space="preserve">nnual </w:t>
      </w:r>
      <w:r w:rsidR="00A83E08">
        <w:t>r</w:t>
      </w:r>
      <w:r w:rsidRPr="00C52A0B">
        <w:t xml:space="preserve">eport. PPL and Cadmus revised the initial Wise Home Pilot evaluation plan due to complications enrolling customers (see Section 12.7.1.2 in the </w:t>
      </w:r>
      <w:r w:rsidR="00A83E08">
        <w:t>a</w:t>
      </w:r>
      <w:r w:rsidRPr="00C52A0B">
        <w:t xml:space="preserve">nnual </w:t>
      </w:r>
      <w:r w:rsidR="00A83E08">
        <w:t>r</w:t>
      </w:r>
      <w:r w:rsidRPr="00C52A0B">
        <w:t xml:space="preserve">eport). The revised plan included a limited process evaluation, which Cadmus followed except for achieving fewer participant satisfaction surveys than planned (n=44/60). In the other two exceptions, Cadmus achieved larger samples than planned, conducting two additional interviews for the E-Power Wise Program evaluation (see Section 12.4.2 in the </w:t>
      </w:r>
      <w:r w:rsidR="00A83E08">
        <w:t>a</w:t>
      </w:r>
      <w:r w:rsidRPr="00C52A0B">
        <w:t xml:space="preserve">nnual </w:t>
      </w:r>
      <w:r w:rsidR="00A83E08">
        <w:t>r</w:t>
      </w:r>
      <w:r w:rsidRPr="00C52A0B">
        <w:t xml:space="preserve">eport) and increasing the number of planned WRAP participant survey completions to include more low-cost and full-cost job participants (see Section 9.4.2 of the </w:t>
      </w:r>
      <w:r w:rsidR="00A83E08">
        <w:t>a</w:t>
      </w:r>
      <w:r w:rsidRPr="00C52A0B">
        <w:t xml:space="preserve">nnual </w:t>
      </w:r>
      <w:r w:rsidR="00A83E08">
        <w:t>r</w:t>
      </w:r>
      <w:r w:rsidRPr="00C52A0B">
        <w:t xml:space="preserve">eport). In addition, Cadmus attempted a census in surveying the 11 De Facto Pilot participants, achieving completions with 3 of the participants. This is not strictly a deviation from the plan, as the plan was to </w:t>
      </w:r>
      <w:r w:rsidRPr="00C52A0B">
        <w:rPr>
          <w:i/>
        </w:rPr>
        <w:t>attempt</w:t>
      </w:r>
      <w:r w:rsidRPr="00C52A0B">
        <w:t xml:space="preserve"> a census, and Cadmus attempted to survey all 11 participants (see Section 9.7.4 of the </w:t>
      </w:r>
      <w:r w:rsidR="00A83E08">
        <w:t>a</w:t>
      </w:r>
      <w:r w:rsidRPr="00C52A0B">
        <w:t xml:space="preserve">nnual </w:t>
      </w:r>
      <w:r w:rsidR="00A83E08">
        <w:t>r</w:t>
      </w:r>
      <w:r w:rsidRPr="00C52A0B">
        <w:t>eport).</w:t>
      </w:r>
    </w:p>
    <w:p w:rsidR="002E051C" w:rsidRPr="002E051C" w:rsidRDefault="002E051C" w:rsidP="002E051C"/>
    <w:p w:rsidR="002E051C" w:rsidRPr="002E051C" w:rsidRDefault="002E051C" w:rsidP="002E051C">
      <w:r w:rsidRPr="002E051C">
        <w:t>The findings were presented in a clear manner with one exception. Cadmus included some findings from the Residential Energy-Efficiency Behavior &amp; Education Program in the Low-Income chapter but not in the Residential chapter. The conclusions were overall well supported by the findings and were mostly concise and informative. The SWE Team noted five conclusions that did not have, but likely could have had, an accompanying recommendation and one conclusion that contained a repetitive sentence that should be removed. The recommendations followed from the conclusions and were clear and actionable.</w:t>
      </w:r>
    </w:p>
    <w:p w:rsidR="002E051C" w:rsidRPr="002E051C" w:rsidRDefault="002E051C" w:rsidP="002E051C"/>
    <w:p w:rsidR="00D60D31" w:rsidRPr="00C52A0B" w:rsidRDefault="00D60D31" w:rsidP="00D60D31">
      <w:r w:rsidRPr="00C52A0B">
        <w:t xml:space="preserve">For each program, a brief program description, summary of the process evaluation findings, and review (audit) of the annual report follow below. The SWE Team notes two general comments about the methods discussions for the process evaluations of all programs. </w:t>
      </w:r>
    </w:p>
    <w:p w:rsidR="00D60D31" w:rsidRPr="00C52A0B" w:rsidRDefault="00D60D31" w:rsidP="00D60D31"/>
    <w:p w:rsidR="00D60D31" w:rsidRPr="00C52A0B" w:rsidRDefault="00D60D31" w:rsidP="00D60D31">
      <w:pPr>
        <w:rPr>
          <w:rFonts w:cs="GillSans"/>
          <w:szCs w:val="24"/>
        </w:rPr>
      </w:pPr>
      <w:r w:rsidRPr="00C52A0B">
        <w:t xml:space="preserve">First, the sample and disposition tables for the surveys conducted as part of the process evaluation are missing the survey mode (web, phone, mail) used to conduct each survey, however, this was discussed in the text of the report. The addition of the survey mode would complete the tables and make it so the reader does not have to refer to the text to find which mode was used. </w:t>
      </w:r>
      <w:r w:rsidRPr="00C52A0B">
        <w:rPr>
          <w:rFonts w:cs="GillSans"/>
          <w:szCs w:val="24"/>
        </w:rPr>
        <w:t xml:space="preserve">The SWE Team notes that it did not include survey mode in this table’s template provided to the EDCs, but that the mode would be a good addition. </w:t>
      </w:r>
      <w:r w:rsidRPr="00C52A0B">
        <w:t>Second, including more information about the methods used to conduct analyses, such as the type of analysis (e.g., means, medians, frequencies, percentages, qualitative coding) and the types (e.g., Chi-square, t-test) and values of the statistical tests conducted, would be very informative.</w:t>
      </w:r>
    </w:p>
    <w:p w:rsidR="00A83E08" w:rsidRPr="002E051C" w:rsidRDefault="00A83E08" w:rsidP="002E051C"/>
    <w:p w:rsidR="002E051C" w:rsidRPr="002E051C" w:rsidRDefault="002E051C" w:rsidP="00D613BE">
      <w:pPr>
        <w:pStyle w:val="AppendixBHeading3"/>
      </w:pPr>
      <w:r w:rsidRPr="002E051C">
        <w:t>E-Power Wise Program and Wise Home Pilot</w:t>
      </w:r>
    </w:p>
    <w:p w:rsidR="002E051C" w:rsidRPr="002E051C" w:rsidRDefault="002E051C" w:rsidP="00D613BE">
      <w:pPr>
        <w:pStyle w:val="AppendixBHeading4"/>
      </w:pPr>
      <w:r w:rsidRPr="002E051C">
        <w:t>Brief Overview of the Program and Its Success</w:t>
      </w:r>
    </w:p>
    <w:p w:rsidR="002E051C" w:rsidRPr="002E051C" w:rsidRDefault="002E051C" w:rsidP="002E051C">
      <w:pPr>
        <w:rPr>
          <w:rFonts w:cs="Calibri"/>
          <w:color w:val="000000"/>
        </w:rPr>
      </w:pPr>
      <w:r w:rsidRPr="002E051C">
        <w:t>The E-Power Wise is a program that educates low-income customers about energy efficiency. The program targets customers with incomes at or below 150% of the FPL in single-family housing and in multifamily housing where each unit is metered (not master metered). E-Power Wise uses a “train-the-trainer” model, in which the program implementer, Resource Action Program, Inc. (RAP), trains community-based organization staff to provide energy workshops in locations that are accessible to low-income customers. Customers attending the sessions receive free energy efficiency training and a take-home kit. The program also mails a promotional card to eligible customers for them to opt-in to receive a free energy savings kit.</w:t>
      </w:r>
      <w:r w:rsidRPr="002E051C">
        <w:rPr>
          <w:rFonts w:cs="Calibri"/>
          <w:color w:val="000000"/>
        </w:rPr>
        <w:t xml:space="preserve"> </w:t>
      </w:r>
    </w:p>
    <w:p w:rsidR="002E051C" w:rsidRPr="002E051C" w:rsidRDefault="002E051C" w:rsidP="002E051C">
      <w:pPr>
        <w:rPr>
          <w:rFonts w:cs="Calibri"/>
          <w:color w:val="000000"/>
        </w:rPr>
      </w:pPr>
    </w:p>
    <w:p w:rsidR="002E051C" w:rsidRPr="002E051C" w:rsidRDefault="002E051C" w:rsidP="002E051C">
      <w:r w:rsidRPr="002E051C">
        <w:t>In PY7 the program increased the number of kits distributed by 1,500 over PY6 and, as a result, added three new agencies. The program also updated the content of the trainings and take-home DVD to focus more on the installation of the products in the free take-home kits.</w:t>
      </w:r>
    </w:p>
    <w:p w:rsidR="002E051C" w:rsidRPr="002E051C" w:rsidRDefault="002E051C" w:rsidP="002E051C"/>
    <w:p w:rsidR="002E051C" w:rsidRPr="002E051C" w:rsidRDefault="00D60D31" w:rsidP="002E051C">
      <w:r w:rsidRPr="00C52A0B">
        <w:t>E-Power Wise met or exceeded its planned MWh/yr energy savings and planned participation for PY7 and Phase II. In PY7, the program achieved 132% of its planned MWh/yr savings and 100% of its planned participation. In all of Phase II, the program achieved 101% of its plan</w:t>
      </w:r>
      <w:r>
        <w:t>n</w:t>
      </w:r>
      <w:r w:rsidRPr="00C52A0B">
        <w:t>ed MWh/yr energy savings and 100% of its planned participation.</w:t>
      </w:r>
    </w:p>
    <w:p w:rsidR="002E051C" w:rsidRPr="002E051C" w:rsidRDefault="002E051C" w:rsidP="002E051C">
      <w:r w:rsidRPr="002E051C">
        <w:t>In PY7, the program added the Wise Home Pilot, with RAP and Franklin Energy as the implementers. The pilot targeted manufactured homes and provided eligible low-income homes with needed weatherization measures (full weatherization for electric-heated homes, partial weatherization for non-electric-heat homes). The pilot was structured as an RCT, with two large treatment groups of participants and a large control group of nonparticipants, but due to low enrollment, Cadmus and PPL changed the evaluation plan and study design to include two smaller treatment and control groups for measuring energy savings.</w:t>
      </w:r>
    </w:p>
    <w:p w:rsidR="002E051C" w:rsidRPr="002E051C" w:rsidRDefault="002E051C" w:rsidP="002E051C"/>
    <w:p w:rsidR="001123CB" w:rsidRDefault="001123CB" w:rsidP="001123CB">
      <w:r w:rsidRPr="00C52A0B">
        <w:t>The PY7 Wise Home Pilot evaluation plan and report did not specify planned energy savings. The pilot initially planned an enrollment of 600 participants but had achieved about half (333) at the time of the evaluation.</w:t>
      </w:r>
    </w:p>
    <w:p w:rsidR="00827F34" w:rsidRPr="00C52A0B" w:rsidRDefault="00827F34" w:rsidP="001123CB"/>
    <w:p w:rsidR="002E051C" w:rsidRPr="002E051C" w:rsidRDefault="002E051C" w:rsidP="00D613BE">
      <w:pPr>
        <w:pStyle w:val="AppendixBHeading4"/>
      </w:pPr>
      <w:r w:rsidRPr="002E051C">
        <w:t>Summary of the Process Evaluation Findings</w:t>
      </w:r>
    </w:p>
    <w:p w:rsidR="002E051C" w:rsidRPr="00D405A7" w:rsidRDefault="002E051C" w:rsidP="00D405A7">
      <w:r w:rsidRPr="00D405A7">
        <w:t>In PY7, Cadmus reviewed the program database and completed two interviews with the E-Power Wise program manager from PPL and the implementer, and five interviews with the community-based organizations. Cadmus analyzed 776 customer surveys returned from the energy savings kits, which represented 15% of the total participation. Cadmus also tracked a key performance indicator for the program, the number of agencies distributing kits for the program.</w:t>
      </w:r>
    </w:p>
    <w:p w:rsidR="002E051C" w:rsidRPr="002E051C" w:rsidRDefault="002E051C" w:rsidP="002E051C"/>
    <w:p w:rsidR="002E051C" w:rsidRPr="002E051C" w:rsidRDefault="002E051C" w:rsidP="002E051C">
      <w:pPr>
        <w:spacing w:after="120"/>
      </w:pPr>
      <w:r w:rsidRPr="002E051C">
        <w:t>Based on these data, several key findings emerged:</w:t>
      </w:r>
    </w:p>
    <w:p w:rsidR="002E051C" w:rsidRPr="00D405A7" w:rsidRDefault="002E051C" w:rsidP="00E646C9">
      <w:pPr>
        <w:pStyle w:val="ListParagraph"/>
        <w:numPr>
          <w:ilvl w:val="0"/>
          <w:numId w:val="125"/>
        </w:numPr>
        <w:ind w:left="360"/>
        <w:rPr>
          <w:rFonts w:eastAsia="Calibri"/>
        </w:rPr>
      </w:pPr>
      <w:r w:rsidRPr="00D405A7">
        <w:rPr>
          <w:rFonts w:eastAsia="Calibri"/>
        </w:rPr>
        <w:t>The program met or exceeded its planned MWh/yr energy savings and planned participation goals for PY7 and Phase II.</w:t>
      </w:r>
    </w:p>
    <w:p w:rsidR="002E051C" w:rsidRPr="00D405A7" w:rsidRDefault="002E051C" w:rsidP="00E646C9">
      <w:pPr>
        <w:pStyle w:val="ListParagraph"/>
        <w:numPr>
          <w:ilvl w:val="0"/>
          <w:numId w:val="125"/>
        </w:numPr>
        <w:ind w:left="360"/>
        <w:rPr>
          <w:rFonts w:eastAsia="Calibri"/>
        </w:rPr>
      </w:pPr>
      <w:r w:rsidRPr="00D405A7">
        <w:rPr>
          <w:rFonts w:eastAsia="Calibri"/>
        </w:rPr>
        <w:t>The implementer and PPL continue to provide a very well managed program; PPL and implementer program managers speak each week and work together to ensure that kit distribution remains steady throughout the program year.</w:t>
      </w:r>
    </w:p>
    <w:p w:rsidR="002E051C" w:rsidRPr="00D405A7" w:rsidRDefault="002E051C" w:rsidP="00E646C9">
      <w:pPr>
        <w:pStyle w:val="ListParagraph"/>
        <w:numPr>
          <w:ilvl w:val="0"/>
          <w:numId w:val="125"/>
        </w:numPr>
        <w:ind w:left="360"/>
        <w:rPr>
          <w:rFonts w:eastAsia="Calibri"/>
        </w:rPr>
      </w:pPr>
      <w:r w:rsidRPr="00D405A7">
        <w:rPr>
          <w:rFonts w:eastAsia="Calibri"/>
        </w:rPr>
        <w:t>The number of agencies that distribute kits for the program increased by three in PY7, which is aligned with the program’s goal of increasing the number of agencies.</w:t>
      </w:r>
    </w:p>
    <w:p w:rsidR="002E051C" w:rsidRPr="00D405A7" w:rsidRDefault="002E051C" w:rsidP="00E646C9">
      <w:pPr>
        <w:pStyle w:val="ListParagraph"/>
        <w:numPr>
          <w:ilvl w:val="0"/>
          <w:numId w:val="125"/>
        </w:numPr>
        <w:ind w:left="360"/>
        <w:rPr>
          <w:rFonts w:eastAsia="Calibri"/>
        </w:rPr>
      </w:pPr>
      <w:r w:rsidRPr="00D405A7">
        <w:rPr>
          <w:rFonts w:eastAsia="Calibri"/>
        </w:rPr>
        <w:t>Agencies recommended removing the furnace whistle from the kit. They found that many customers frequently ask questions about the furnace whistle because they don’t understand how to use or install it.</w:t>
      </w:r>
    </w:p>
    <w:p w:rsidR="002E051C" w:rsidRPr="00D405A7" w:rsidRDefault="002E051C" w:rsidP="00E646C9">
      <w:pPr>
        <w:pStyle w:val="ListParagraph"/>
        <w:numPr>
          <w:ilvl w:val="0"/>
          <w:numId w:val="125"/>
        </w:numPr>
        <w:ind w:left="360"/>
        <w:rPr>
          <w:rFonts w:eastAsia="Calibri"/>
        </w:rPr>
      </w:pPr>
      <w:r w:rsidRPr="00D405A7">
        <w:rPr>
          <w:rFonts w:eastAsia="Calibri"/>
        </w:rPr>
        <w:t>Interviewed agencies are very satisfied with the program overall. Some agencies are not too satisfied with the training provided by the implementer or communications with PPL.</w:t>
      </w:r>
    </w:p>
    <w:p w:rsidR="002E051C" w:rsidRPr="00D405A7" w:rsidRDefault="002E051C" w:rsidP="00E646C9">
      <w:pPr>
        <w:pStyle w:val="ListParagraph"/>
        <w:numPr>
          <w:ilvl w:val="0"/>
          <w:numId w:val="125"/>
        </w:numPr>
        <w:ind w:left="360"/>
        <w:rPr>
          <w:rFonts w:eastAsia="Calibri"/>
        </w:rPr>
      </w:pPr>
      <w:r w:rsidRPr="00D405A7">
        <w:rPr>
          <w:rFonts w:eastAsia="Calibri"/>
        </w:rPr>
        <w:t>Four of five interviewed agencies reported using their own outreach channels to promote the program, and one agency reported doing very little program promotion.</w:t>
      </w:r>
    </w:p>
    <w:p w:rsidR="002E051C" w:rsidRPr="00D405A7" w:rsidRDefault="002E051C" w:rsidP="00E646C9">
      <w:pPr>
        <w:pStyle w:val="ListParagraph"/>
        <w:numPr>
          <w:ilvl w:val="0"/>
          <w:numId w:val="125"/>
        </w:numPr>
        <w:ind w:left="360"/>
        <w:rPr>
          <w:rFonts w:eastAsia="Calibri"/>
        </w:rPr>
      </w:pPr>
      <w:r w:rsidRPr="00D405A7">
        <w:rPr>
          <w:rFonts w:eastAsia="Calibri"/>
        </w:rPr>
        <w:t xml:space="preserve">Four of five interviewed agencies reported distributing kits in one-on-one meetings with clients because they were getting little participation via workshops; one agency reported continuing the workshops about energy savings kits. </w:t>
      </w:r>
    </w:p>
    <w:p w:rsidR="002E051C" w:rsidRPr="00D405A7" w:rsidRDefault="002E051C" w:rsidP="00E646C9">
      <w:pPr>
        <w:pStyle w:val="ListParagraph"/>
        <w:numPr>
          <w:ilvl w:val="0"/>
          <w:numId w:val="125"/>
        </w:numPr>
        <w:ind w:left="360"/>
        <w:rPr>
          <w:rFonts w:eastAsia="Calibri"/>
        </w:rPr>
      </w:pPr>
      <w:r w:rsidRPr="00D405A7">
        <w:rPr>
          <w:rFonts w:eastAsia="Calibri"/>
        </w:rPr>
        <w:t>Three of the five interviewed agencies reported that program saturation was still a concern because they frequently see the same clients.</w:t>
      </w:r>
    </w:p>
    <w:p w:rsidR="002E051C" w:rsidRPr="00D405A7" w:rsidRDefault="002E051C" w:rsidP="00E646C9">
      <w:pPr>
        <w:pStyle w:val="ListParagraph"/>
        <w:numPr>
          <w:ilvl w:val="0"/>
          <w:numId w:val="125"/>
        </w:numPr>
        <w:ind w:left="360"/>
        <w:rPr>
          <w:rFonts w:eastAsia="Calibri"/>
        </w:rPr>
      </w:pPr>
      <w:r w:rsidRPr="00D405A7">
        <w:rPr>
          <w:rFonts w:eastAsia="Calibri"/>
        </w:rPr>
        <w:t>Interviewed agencies reported that clients are most interested in general ways to save money and reduce energy, specific ways to save on heating and cooling costs, faucet aerator and showerhead installation and use, and plug loads. Clients ask most about how and why their energy bill differs from their neighbor’s, the impact of showers on energy usage, and how to use furnace whistles and smarts strips.</w:t>
      </w:r>
    </w:p>
    <w:p w:rsidR="002E051C" w:rsidRPr="00D405A7" w:rsidRDefault="002E051C" w:rsidP="00E646C9">
      <w:pPr>
        <w:pStyle w:val="ListParagraph"/>
        <w:numPr>
          <w:ilvl w:val="0"/>
          <w:numId w:val="125"/>
        </w:numPr>
        <w:ind w:left="360"/>
        <w:rPr>
          <w:rFonts w:eastAsia="Calibri"/>
        </w:rPr>
      </w:pPr>
      <w:r w:rsidRPr="00D405A7">
        <w:rPr>
          <w:rFonts w:eastAsia="Calibri"/>
        </w:rPr>
        <w:t>Most surveyed participants reported that the Quick Start Guide was very effective in helping them become more energy efficient and that they learned a lot about energy savings through the program.</w:t>
      </w:r>
    </w:p>
    <w:p w:rsidR="002E051C" w:rsidRPr="00D405A7" w:rsidRDefault="002E051C" w:rsidP="00E646C9">
      <w:pPr>
        <w:pStyle w:val="ListParagraph"/>
        <w:numPr>
          <w:ilvl w:val="0"/>
          <w:numId w:val="125"/>
        </w:numPr>
        <w:ind w:left="360"/>
        <w:rPr>
          <w:rFonts w:eastAsia="Calibri"/>
        </w:rPr>
      </w:pPr>
      <w:r w:rsidRPr="00D405A7">
        <w:rPr>
          <w:rFonts w:eastAsia="Calibri"/>
        </w:rPr>
        <w:t>Cadmus created demographic profiles for surveyed participants.</w:t>
      </w:r>
    </w:p>
    <w:p w:rsidR="00827F34" w:rsidRPr="00827F34" w:rsidRDefault="00827F34" w:rsidP="00827F34"/>
    <w:p w:rsidR="002E051C" w:rsidRPr="002E051C" w:rsidRDefault="002E051C" w:rsidP="00D405A7">
      <w:pPr>
        <w:pStyle w:val="6spacenormal"/>
      </w:pPr>
      <w:r w:rsidRPr="002E051C">
        <w:t>In PY7, Cadmus reviewed the E-Power Wise Home Pilot database and conducted three stakeholder interviews with the pilot staff from PPL and the implementers, one interview with the participating technician, and 44 follow-up participant satisfaction surveys via web and phone. Cadmus also analyzed 40 leave-behind postcards and 243 participant enrollment surveys conducted by PPL and the implementers. Cadmus conducted a limited process evaluation focused on the logistics of pilot delivery, delivery challenges, and a key performance indicator, participant satisfaction. The following key findings emerged</w:t>
      </w:r>
      <w:r w:rsidRPr="002E051C">
        <w:rPr>
          <w:szCs w:val="20"/>
        </w:rPr>
        <w:t>:</w:t>
      </w:r>
    </w:p>
    <w:p w:rsidR="002E051C" w:rsidRPr="00D405A7" w:rsidRDefault="002E051C" w:rsidP="00E646C9">
      <w:pPr>
        <w:pStyle w:val="ListParagraph"/>
        <w:numPr>
          <w:ilvl w:val="0"/>
          <w:numId w:val="125"/>
        </w:numPr>
        <w:ind w:left="360"/>
        <w:rPr>
          <w:rFonts w:eastAsia="Calibri"/>
        </w:rPr>
      </w:pPr>
      <w:r w:rsidRPr="00D405A7">
        <w:rPr>
          <w:rFonts w:eastAsia="Calibri"/>
        </w:rPr>
        <w:t>The pilot met its key performance indicator goal of 80% participant satisfaction. Nearly all participants (9</w:t>
      </w:r>
      <w:r w:rsidR="00620472" w:rsidRPr="00D405A7">
        <w:rPr>
          <w:rFonts w:eastAsia="Calibri"/>
        </w:rPr>
        <w:t>6</w:t>
      </w:r>
      <w:r w:rsidRPr="00D405A7">
        <w:rPr>
          <w:rFonts w:eastAsia="Calibri"/>
        </w:rPr>
        <w:t>%) reported being very or somewhat satisfied.</w:t>
      </w:r>
    </w:p>
    <w:p w:rsidR="002E051C" w:rsidRPr="00D405A7" w:rsidRDefault="002E051C" w:rsidP="00E646C9">
      <w:pPr>
        <w:pStyle w:val="ListParagraph"/>
        <w:numPr>
          <w:ilvl w:val="0"/>
          <w:numId w:val="125"/>
        </w:numPr>
        <w:ind w:left="360"/>
        <w:rPr>
          <w:rFonts w:eastAsia="Calibri"/>
        </w:rPr>
      </w:pPr>
      <w:r w:rsidRPr="00D405A7">
        <w:rPr>
          <w:rFonts w:eastAsia="Calibri"/>
        </w:rPr>
        <w:t xml:space="preserve">Most participants (75%) reported being very or somewhat satisfied with their home’s comfort and temperature control after participating, up from 44% before participation. </w:t>
      </w:r>
    </w:p>
    <w:p w:rsidR="002E051C" w:rsidRPr="00D405A7" w:rsidRDefault="002E051C" w:rsidP="00E646C9">
      <w:pPr>
        <w:pStyle w:val="ListParagraph"/>
        <w:numPr>
          <w:ilvl w:val="0"/>
          <w:numId w:val="125"/>
        </w:numPr>
        <w:ind w:left="360"/>
        <w:rPr>
          <w:rFonts w:eastAsia="Calibri"/>
        </w:rPr>
      </w:pPr>
      <w:r w:rsidRPr="00D405A7">
        <w:rPr>
          <w:rFonts w:eastAsia="Calibri"/>
        </w:rPr>
        <w:t>Most participants reported being very or somewhat satisfied with other pilot elements, including information received, time to complete the project, technician’s knowledge, quality of work, and availability. Most participants (90% or more) also rated all these elements as very or somewhat important. However, the three elements rated as most important—technician’s quality of work, knowledge, and availability—received the lowest satisfaction ratings.</w:t>
      </w:r>
    </w:p>
    <w:p w:rsidR="002E051C" w:rsidRPr="00D405A7" w:rsidRDefault="002E051C" w:rsidP="00E646C9">
      <w:pPr>
        <w:pStyle w:val="ListParagraph"/>
        <w:numPr>
          <w:ilvl w:val="0"/>
          <w:numId w:val="125"/>
        </w:numPr>
        <w:ind w:left="360"/>
        <w:rPr>
          <w:rFonts w:eastAsia="Calibri"/>
        </w:rPr>
      </w:pPr>
      <w:r w:rsidRPr="00D405A7">
        <w:rPr>
          <w:rFonts w:eastAsia="Calibri"/>
        </w:rPr>
        <w:t>Cadmus created participant profiles based on demographic and housing characteristics.</w:t>
      </w:r>
    </w:p>
    <w:p w:rsidR="002E051C" w:rsidRPr="00D405A7" w:rsidRDefault="002E051C" w:rsidP="00E646C9">
      <w:pPr>
        <w:pStyle w:val="ListParagraph"/>
        <w:numPr>
          <w:ilvl w:val="0"/>
          <w:numId w:val="125"/>
        </w:numPr>
        <w:ind w:left="360"/>
        <w:rPr>
          <w:rFonts w:eastAsia="Calibri"/>
        </w:rPr>
      </w:pPr>
      <w:r w:rsidRPr="00D405A7">
        <w:rPr>
          <w:rFonts w:eastAsia="Calibri"/>
        </w:rPr>
        <w:t>Surveyed participants most frequently reported LED lightbulbs, insulation, weather stripping, and duct sealing as the most important products they received.</w:t>
      </w:r>
    </w:p>
    <w:p w:rsidR="002E051C" w:rsidRPr="00D405A7" w:rsidRDefault="002E051C" w:rsidP="00E646C9">
      <w:pPr>
        <w:pStyle w:val="ListParagraph"/>
        <w:numPr>
          <w:ilvl w:val="0"/>
          <w:numId w:val="125"/>
        </w:numPr>
        <w:ind w:left="360"/>
        <w:rPr>
          <w:rFonts w:eastAsia="Calibri"/>
        </w:rPr>
      </w:pPr>
      <w:r w:rsidRPr="00D405A7">
        <w:rPr>
          <w:rFonts w:eastAsia="Calibri"/>
        </w:rPr>
        <w:t>Since participating, over one-third of surveyed participants reported never adjusting their thermostat or only adjusting it as needed, and all reported that they had not started manually changing their thermostats more often.</w:t>
      </w:r>
    </w:p>
    <w:p w:rsidR="002E051C" w:rsidRPr="00D405A7" w:rsidRDefault="002E051C" w:rsidP="00E646C9">
      <w:pPr>
        <w:pStyle w:val="ListParagraph"/>
        <w:numPr>
          <w:ilvl w:val="0"/>
          <w:numId w:val="125"/>
        </w:numPr>
        <w:ind w:left="360"/>
        <w:rPr>
          <w:rFonts w:eastAsia="Calibri"/>
        </w:rPr>
      </w:pPr>
      <w:r w:rsidRPr="00D405A7">
        <w:rPr>
          <w:rFonts w:eastAsia="Calibri"/>
        </w:rPr>
        <w:t>Most surveyed participants (84%) reported that their monthly energy bills did not change or had decreased since participating.</w:t>
      </w:r>
    </w:p>
    <w:p w:rsidR="002E051C" w:rsidRPr="00D405A7" w:rsidRDefault="002E051C" w:rsidP="00E646C9">
      <w:pPr>
        <w:pStyle w:val="ListParagraph"/>
        <w:numPr>
          <w:ilvl w:val="0"/>
          <w:numId w:val="125"/>
        </w:numPr>
        <w:ind w:left="360"/>
        <w:rPr>
          <w:rFonts w:eastAsia="Calibri"/>
        </w:rPr>
      </w:pPr>
      <w:r w:rsidRPr="00D405A7">
        <w:rPr>
          <w:rFonts w:eastAsia="Calibri"/>
        </w:rPr>
        <w:t>Over two-thirds of survey respondents reported that they did not know or knew very little about other rebates and energy efficiency programs. The Appliance Recycling Program, Low-Income Home Energy Assistance Program (LIHEAP), and WRAP were the most cited programs. The technician, however, was not instructed to promote other programs and reported not doing it very often.</w:t>
      </w:r>
    </w:p>
    <w:p w:rsidR="002E051C" w:rsidRPr="00D405A7" w:rsidRDefault="002E051C" w:rsidP="00E646C9">
      <w:pPr>
        <w:pStyle w:val="ListParagraph"/>
        <w:numPr>
          <w:ilvl w:val="0"/>
          <w:numId w:val="125"/>
        </w:numPr>
        <w:ind w:left="360"/>
        <w:rPr>
          <w:rFonts w:eastAsia="Calibri"/>
        </w:rPr>
      </w:pPr>
      <w:r w:rsidRPr="00D405A7">
        <w:rPr>
          <w:rFonts w:eastAsia="Calibri"/>
        </w:rPr>
        <w:t xml:space="preserve">There are far fewer manufactured homes in the study region that have electric heating, and </w:t>
      </w:r>
      <w:r w:rsidR="005A17C7" w:rsidRPr="00D405A7">
        <w:rPr>
          <w:rFonts w:eastAsia="Calibri"/>
        </w:rPr>
        <w:t xml:space="preserve">more </w:t>
      </w:r>
      <w:r w:rsidRPr="00D405A7">
        <w:rPr>
          <w:rFonts w:eastAsia="Calibri"/>
        </w:rPr>
        <w:t>homes with non-electric heating that enrolled than initially anticipated, which led to major changes in the pilot and study design, substantial delays in implementation, and customer attrition.</w:t>
      </w:r>
    </w:p>
    <w:p w:rsidR="002E051C" w:rsidRPr="00D405A7" w:rsidRDefault="002E051C" w:rsidP="00E646C9">
      <w:pPr>
        <w:pStyle w:val="ListParagraph"/>
        <w:numPr>
          <w:ilvl w:val="0"/>
          <w:numId w:val="125"/>
        </w:numPr>
        <w:ind w:left="360"/>
        <w:rPr>
          <w:rFonts w:eastAsia="Calibri"/>
        </w:rPr>
      </w:pPr>
      <w:r w:rsidRPr="00D405A7">
        <w:rPr>
          <w:rFonts w:eastAsia="Calibri"/>
        </w:rPr>
        <w:t>PPL used direct mailers, phone calls, and information sessions and flyers at manufactured home parks to inform customers of the program, but used the E-Power Wise branding instead of Wise Home Pilot branding on printed materials.</w:t>
      </w:r>
    </w:p>
    <w:p w:rsidR="002E051C" w:rsidRPr="00D405A7" w:rsidRDefault="002E051C" w:rsidP="00E646C9">
      <w:pPr>
        <w:pStyle w:val="ListParagraph"/>
        <w:numPr>
          <w:ilvl w:val="0"/>
          <w:numId w:val="125"/>
        </w:numPr>
        <w:ind w:left="360"/>
        <w:rPr>
          <w:rFonts w:eastAsia="Calibri"/>
        </w:rPr>
      </w:pPr>
      <w:r w:rsidRPr="00D405A7">
        <w:rPr>
          <w:rFonts w:eastAsia="Calibri"/>
        </w:rPr>
        <w:t>Customer distrust played a large role in low recruitment, particularly the fact that the pilot was free.</w:t>
      </w:r>
    </w:p>
    <w:p w:rsidR="002E051C" w:rsidRPr="00D405A7" w:rsidRDefault="002E051C" w:rsidP="00E646C9">
      <w:pPr>
        <w:pStyle w:val="ListParagraph"/>
        <w:numPr>
          <w:ilvl w:val="0"/>
          <w:numId w:val="125"/>
        </w:numPr>
        <w:ind w:left="360"/>
        <w:rPr>
          <w:rFonts w:eastAsia="Calibri"/>
        </w:rPr>
      </w:pPr>
      <w:r w:rsidRPr="00D405A7">
        <w:rPr>
          <w:rFonts w:eastAsia="Calibri"/>
        </w:rPr>
        <w:t>Delays in implementation pushed the installations and weatherizations into winter instead of being performed in summer as planned. This caused some unanticipated delays due to weather, holidays, and shorter days.</w:t>
      </w:r>
    </w:p>
    <w:p w:rsidR="002E051C" w:rsidRPr="00D405A7" w:rsidRDefault="002E051C" w:rsidP="00E646C9">
      <w:pPr>
        <w:pStyle w:val="ListParagraph"/>
        <w:numPr>
          <w:ilvl w:val="0"/>
          <w:numId w:val="125"/>
        </w:numPr>
        <w:ind w:left="360"/>
        <w:rPr>
          <w:rFonts w:eastAsia="Calibri"/>
        </w:rPr>
      </w:pPr>
      <w:r w:rsidRPr="00D405A7">
        <w:rPr>
          <w:rFonts w:eastAsia="Calibri"/>
        </w:rPr>
        <w:t>The technician and surveyed participants reported challenges with installing advanced power strips due to having to move large or heavy furniture. Some participants also declined the low-flow showerheads.</w:t>
      </w:r>
    </w:p>
    <w:p w:rsidR="002E051C" w:rsidRPr="00D405A7" w:rsidRDefault="002E051C" w:rsidP="00E646C9">
      <w:pPr>
        <w:pStyle w:val="ListParagraph"/>
        <w:numPr>
          <w:ilvl w:val="0"/>
          <w:numId w:val="125"/>
        </w:numPr>
        <w:ind w:left="360"/>
        <w:rPr>
          <w:rFonts w:eastAsia="Calibri"/>
        </w:rPr>
      </w:pPr>
      <w:r w:rsidRPr="00D405A7">
        <w:rPr>
          <w:rFonts w:eastAsia="Calibri"/>
        </w:rPr>
        <w:t>The technician reported that explaining what was involved in the project and why it was free, and collecting data about the home, were the most challenging and time-consuming aspects of the customer interaction.</w:t>
      </w:r>
    </w:p>
    <w:p w:rsidR="002057C5" w:rsidRPr="002E051C" w:rsidRDefault="002057C5" w:rsidP="002E051C">
      <w:pPr>
        <w:autoSpaceDE w:val="0"/>
        <w:autoSpaceDN w:val="0"/>
        <w:adjustRightInd w:val="0"/>
        <w:contextualSpacing/>
      </w:pPr>
    </w:p>
    <w:p w:rsidR="002E051C" w:rsidRPr="002E051C" w:rsidRDefault="002E051C" w:rsidP="00D613BE">
      <w:pPr>
        <w:pStyle w:val="AppendixBHeading4"/>
      </w:pPr>
      <w:r w:rsidRPr="002E051C">
        <w:t>Summary of the Process Evaluation Audit</w:t>
      </w:r>
    </w:p>
    <w:p w:rsidR="002E051C" w:rsidRPr="002E051C" w:rsidRDefault="002E051C" w:rsidP="002E051C">
      <w:r w:rsidRPr="002E051C">
        <w:t>The E-Power Wise Program process evaluation activities were consistent with the evaluation plan, except that Cadmus conducted two additional informal interviews to explore changes in program delivery. The Wise Home Pilot evaluation plan was revised due to complications recruiting enough eligible customers to perform the initially planned RCT, which also led to implementation delays and pilot design changes. The revised plan called for a limited process evaluation, and the process evaluation activities conducted by Cadmus were consistent with the revised evaluation plan.</w:t>
      </w:r>
    </w:p>
    <w:p w:rsidR="002E051C" w:rsidRPr="002E051C" w:rsidRDefault="002E051C" w:rsidP="002E051C"/>
    <w:p w:rsidR="002E051C" w:rsidRPr="002E051C" w:rsidRDefault="002E051C" w:rsidP="002E051C">
      <w:r w:rsidRPr="002E051C">
        <w:t xml:space="preserve">The methodology sections adequately explained the evaluation and included the required sampling and disposition information and tables. Including more information about the methods used to conduct analyses, such as the software and type of analysis used, would be very informative. Cadmus met the targeted number of completed interviews for the E-Power Wise Program evaluation. For the Wise Home Pilot evaluation, Cadmus met the targeted number of completed interviews but achieved only 44 of 60 planned participant surveys. </w:t>
      </w:r>
      <w:r w:rsidR="005A17C7" w:rsidRPr="00186890">
        <w:t>While the survey mode was reported in the text, a</w:t>
      </w:r>
      <w:r w:rsidRPr="00186890">
        <w:t>dding</w:t>
      </w:r>
      <w:r w:rsidRPr="002E051C">
        <w:t xml:space="preserve"> the mode used for surveys (web, phone, mail) in Table 12-33 would complete the table and inform the reader without having to refer to the text. This is particularly true for the satisfaction follow-up surveys that used web and phone but were reported in the sampling and disposition table in the aggregate. </w:t>
      </w:r>
    </w:p>
    <w:p w:rsidR="002E051C" w:rsidRPr="002E051C" w:rsidRDefault="002E051C" w:rsidP="002E051C"/>
    <w:p w:rsidR="002E051C" w:rsidRPr="00827F34" w:rsidRDefault="002E051C" w:rsidP="00827F34">
      <w:r w:rsidRPr="00827F34">
        <w:t>Program and pilot findings were clearly summarized, with actionable recommendations following conclusions and ample evidence supporting the conclusions. The report also included tables of recommendations with a description of whether PPL was implementing or considering those recommendations.</w:t>
      </w:r>
    </w:p>
    <w:p w:rsidR="00155563" w:rsidRPr="002E051C" w:rsidRDefault="00155563" w:rsidP="002E051C"/>
    <w:p w:rsidR="002E051C" w:rsidRPr="002E051C" w:rsidRDefault="002E051C" w:rsidP="00D613BE">
      <w:pPr>
        <w:pStyle w:val="AppendixBHeading3"/>
      </w:pPr>
      <w:r w:rsidRPr="002E051C">
        <w:t>Low-Income Energy-Efficiency Behavior &amp; Education Program</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 xml:space="preserve">The Low-Income Energy-Efficiency Behavior &amp; Education Program is the low-income version of the Residential Energy-Efficiency Behavior &amp; Education Program. The program informs low-income customers (at or below 150% of the FPL) about their home energy consumption and encourages them to adopt no-cost energy savings home improvements and behaviors through HERs. Customers receive a HER sent by mail every other month, or by email every month if a valid email address is on file. HERs contain the customer’s household energy use data, a neighbor comparison of energy use, and three no-cost energy savings steps. </w:t>
      </w:r>
    </w:p>
    <w:p w:rsidR="002E051C" w:rsidRPr="002E051C" w:rsidRDefault="002E051C" w:rsidP="002E051C"/>
    <w:p w:rsidR="002E051C" w:rsidRPr="002E051C" w:rsidRDefault="002E051C" w:rsidP="002E051C">
      <w:r w:rsidRPr="002E051C">
        <w:t xml:space="preserve">The implementer for this program is </w:t>
      </w:r>
      <w:r w:rsidR="00A92A46">
        <w:t>OPower</w:t>
      </w:r>
      <w:r w:rsidRPr="002E051C">
        <w:t xml:space="preserve">, which selects eligible customers and produces and distributes the HERs. An RCT is used to determine who receives reports, in which customers selected by </w:t>
      </w:r>
      <w:r w:rsidR="00A92A46">
        <w:t>OPower</w:t>
      </w:r>
      <w:r w:rsidRPr="002E051C">
        <w:t xml:space="preserve"> are randomly assigned by Cadmus to either a treatment group (recipients of HERs) or a control group (nonrecipients). The control group is unaware of the HERs and is used as a comparison for measuring the treatment group’s energy savings resulting from the program. </w:t>
      </w:r>
    </w:p>
    <w:p w:rsidR="002E051C" w:rsidRPr="002E051C" w:rsidRDefault="002E051C" w:rsidP="002E051C"/>
    <w:p w:rsidR="002E051C" w:rsidRPr="002E051C" w:rsidRDefault="002E051C" w:rsidP="002E051C">
      <w:pPr>
        <w:rPr>
          <w:rFonts w:cs="Calibri"/>
          <w:color w:val="000000"/>
        </w:rPr>
      </w:pPr>
      <w:r w:rsidRPr="002E051C">
        <w:rPr>
          <w:rFonts w:cs="Calibri"/>
          <w:color w:val="000000"/>
        </w:rPr>
        <w:t>The program made three changes in PY7. First, the program added 20,000 customers to the treatment group, for a total of 90,000 customers in the program. Second, it added Winter of 68 and LIHEAP modules to the program during Q3 to increase participation in LIHEAP and elicit customers to reduce their thermostat temperature setting. And third, about 45,000 high-energy-use treatment-group customers were mailed a free LED bulb as part of the Residential Retail Program, which claimed the savings from the bulbs.</w:t>
      </w:r>
    </w:p>
    <w:p w:rsidR="002E051C" w:rsidRPr="002E051C" w:rsidRDefault="002E051C" w:rsidP="002E051C">
      <w:pPr>
        <w:rPr>
          <w:rFonts w:cs="Calibri"/>
          <w:color w:val="000000"/>
        </w:rPr>
      </w:pPr>
      <w:r w:rsidRPr="002E051C">
        <w:rPr>
          <w:rFonts w:cs="Calibri"/>
          <w:color w:val="000000"/>
        </w:rPr>
        <w:t xml:space="preserve"> </w:t>
      </w:r>
    </w:p>
    <w:p w:rsidR="002E051C" w:rsidRPr="002E051C" w:rsidRDefault="005C491D" w:rsidP="002E051C">
      <w:r w:rsidRPr="00C52A0B">
        <w:t>The Low-Income Energy-Efficiency Behavior &amp; Education Program exceeded its PY7 and Phase II planned MWh/yr savings and nearly met its planned participation. The program achieved 128% of its planned MWh/yr energy savings and 97% of its planned participation at the end of PY7 and Phase II.</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2E051C">
      <w:pPr>
        <w:spacing w:after="120"/>
      </w:pPr>
      <w:r w:rsidRPr="002E051C">
        <w:t>Cadmus conducted two interviews with the program manager and the implementer and administered two stratified random sample phone surveys: a treatment-group survey (n=151) and a control-group survey (n=150). Cadmus also measured two key program performance indicators: number of HERs recipients and number of calls received at the implementer call center. The following findings emerged from the evaluation:</w:t>
      </w:r>
    </w:p>
    <w:p w:rsidR="002E051C" w:rsidRPr="00D405A7" w:rsidRDefault="002E051C" w:rsidP="00E646C9">
      <w:pPr>
        <w:pStyle w:val="ListParagraph"/>
        <w:numPr>
          <w:ilvl w:val="0"/>
          <w:numId w:val="126"/>
        </w:numPr>
        <w:ind w:left="360"/>
        <w:rPr>
          <w:rFonts w:eastAsia="Calibri"/>
        </w:rPr>
      </w:pPr>
      <w:r w:rsidRPr="00D405A7">
        <w:rPr>
          <w:rFonts w:eastAsia="Calibri"/>
        </w:rPr>
        <w:t>The program exceeded its PY7 and Phase II planned MWh/yr savings and nearly</w:t>
      </w:r>
      <w:r w:rsidR="005C491D" w:rsidRPr="00D405A7">
        <w:rPr>
          <w:rFonts w:eastAsia="Calibri"/>
        </w:rPr>
        <w:t xml:space="preserve"> met its planned participation</w:t>
      </w:r>
      <w:r w:rsidRPr="00D405A7">
        <w:rPr>
          <w:rFonts w:eastAsia="Calibri"/>
        </w:rPr>
        <w:t>. This happened in part due to very strong savings performance from customers who joined the program at inception (versus those added in PY7) and to the ramp-up in savings expected in PY6 occurring in PY7 because of a delay in program launch.</w:t>
      </w:r>
    </w:p>
    <w:p w:rsidR="002E051C" w:rsidRPr="00D405A7" w:rsidRDefault="002E051C" w:rsidP="00E646C9">
      <w:pPr>
        <w:pStyle w:val="ListParagraph"/>
        <w:numPr>
          <w:ilvl w:val="0"/>
          <w:numId w:val="126"/>
        </w:numPr>
        <w:ind w:left="360"/>
        <w:rPr>
          <w:rFonts w:eastAsia="Calibri"/>
        </w:rPr>
      </w:pPr>
      <w:r w:rsidRPr="00D405A7">
        <w:rPr>
          <w:rFonts w:eastAsia="Calibri"/>
        </w:rPr>
        <w:t>The program manager and implementer reported that the program worked well and that customers received HERs as planned during PY7.</w:t>
      </w:r>
    </w:p>
    <w:p w:rsidR="002E051C" w:rsidRPr="00D405A7" w:rsidRDefault="002E051C" w:rsidP="00E646C9">
      <w:pPr>
        <w:pStyle w:val="ListParagraph"/>
        <w:numPr>
          <w:ilvl w:val="0"/>
          <w:numId w:val="126"/>
        </w:numPr>
        <w:ind w:left="360"/>
        <w:rPr>
          <w:rFonts w:eastAsia="Calibri"/>
        </w:rPr>
      </w:pPr>
      <w:r w:rsidRPr="00D405A7">
        <w:rPr>
          <w:rFonts w:eastAsia="Calibri"/>
        </w:rPr>
        <w:t>Due to attrition in PY6, the program did not meet its key performance indicator goal of increasing participation to 90,000 customers, but it did meet its call center goal for reducing calls compared with PY6.</w:t>
      </w:r>
    </w:p>
    <w:p w:rsidR="002E051C" w:rsidRPr="00D405A7" w:rsidRDefault="002E051C" w:rsidP="00E646C9">
      <w:pPr>
        <w:pStyle w:val="ListParagraph"/>
        <w:numPr>
          <w:ilvl w:val="0"/>
          <w:numId w:val="126"/>
        </w:numPr>
        <w:ind w:left="360"/>
        <w:rPr>
          <w:rFonts w:eastAsia="Calibri"/>
        </w:rPr>
      </w:pPr>
      <w:r w:rsidRPr="00D405A7">
        <w:rPr>
          <w:rFonts w:eastAsia="Calibri"/>
        </w:rPr>
        <w:t>Cadmus created participant demographic profiles of treatment-group customers.</w:t>
      </w:r>
    </w:p>
    <w:p w:rsidR="002E051C" w:rsidRPr="00D405A7" w:rsidRDefault="005C491D" w:rsidP="00E646C9">
      <w:pPr>
        <w:pStyle w:val="ListParagraph"/>
        <w:numPr>
          <w:ilvl w:val="0"/>
          <w:numId w:val="126"/>
        </w:numPr>
        <w:ind w:left="360"/>
        <w:rPr>
          <w:rFonts w:eastAsia="Calibri"/>
        </w:rPr>
      </w:pPr>
      <w:r w:rsidRPr="00D405A7">
        <w:rPr>
          <w:rFonts w:eastAsia="Calibri"/>
        </w:rPr>
        <w:t>Most</w:t>
      </w:r>
      <w:r w:rsidR="002E051C" w:rsidRPr="00D405A7">
        <w:rPr>
          <w:rFonts w:eastAsia="Calibri"/>
        </w:rPr>
        <w:t xml:space="preserve"> of the surveyed customers (89%) reported reading, partially reading, or skimming the last paper HERs they received, compared with 95% in the residential program.</w:t>
      </w:r>
    </w:p>
    <w:p w:rsidR="002E051C" w:rsidRPr="00D405A7" w:rsidRDefault="002E051C" w:rsidP="00E646C9">
      <w:pPr>
        <w:pStyle w:val="ListParagraph"/>
        <w:numPr>
          <w:ilvl w:val="0"/>
          <w:numId w:val="126"/>
        </w:numPr>
        <w:ind w:left="360"/>
        <w:rPr>
          <w:rFonts w:eastAsia="Calibri"/>
        </w:rPr>
      </w:pPr>
      <w:r w:rsidRPr="00D405A7">
        <w:rPr>
          <w:rFonts w:eastAsia="Calibri"/>
        </w:rPr>
        <w:t>Surveyed treatment-group customers mostly agreed that the HERs were easy to understand, the information in them was useful, and the neighbor comparison was accurate, but only slightly agreed that the HERs got others in their household involved in saving energy.</w:t>
      </w:r>
    </w:p>
    <w:p w:rsidR="002E051C" w:rsidRPr="00D405A7" w:rsidRDefault="002E051C" w:rsidP="00E646C9">
      <w:pPr>
        <w:pStyle w:val="ListParagraph"/>
        <w:numPr>
          <w:ilvl w:val="0"/>
          <w:numId w:val="126"/>
        </w:numPr>
        <w:ind w:left="360"/>
        <w:rPr>
          <w:rFonts w:eastAsia="Calibri"/>
        </w:rPr>
      </w:pPr>
      <w:r w:rsidRPr="00D405A7">
        <w:rPr>
          <w:rFonts w:eastAsia="Calibri"/>
        </w:rPr>
        <w:t xml:space="preserve">A significantly higher percentage of treatment-group respondents reported they were very familiar with energy efficiency programs and rebates from PPL compared with control-group respondents, indicating that HERs increased awareness of programs and rebates. However, this was not the case for LIHEAP (no significant difference in awareness between groups), which the HERs explicitly promoted to increase participation. </w:t>
      </w:r>
    </w:p>
    <w:p w:rsidR="002E051C" w:rsidRPr="00D405A7" w:rsidRDefault="005C491D" w:rsidP="00E646C9">
      <w:pPr>
        <w:pStyle w:val="ListParagraph"/>
        <w:numPr>
          <w:ilvl w:val="0"/>
          <w:numId w:val="126"/>
        </w:numPr>
        <w:ind w:left="360"/>
        <w:rPr>
          <w:rFonts w:eastAsia="Calibri"/>
        </w:rPr>
      </w:pPr>
      <w:r w:rsidRPr="00D405A7">
        <w:rPr>
          <w:rFonts w:eastAsia="Calibri"/>
        </w:rPr>
        <w:t>The HERs provided an aggregate uplift in participation in (6%) and savings from (2%) other PPL energy efficiency programs. There was very little difference in the average number of other programs that PPL customers participated in between the treatment and control groups.</w:t>
      </w:r>
    </w:p>
    <w:p w:rsidR="002E051C" w:rsidRPr="00D405A7" w:rsidRDefault="002E051C" w:rsidP="00E646C9">
      <w:pPr>
        <w:pStyle w:val="ListParagraph"/>
        <w:numPr>
          <w:ilvl w:val="0"/>
          <w:numId w:val="126"/>
        </w:numPr>
        <w:ind w:left="360"/>
        <w:rPr>
          <w:rFonts w:eastAsia="Calibri"/>
        </w:rPr>
      </w:pPr>
      <w:r w:rsidRPr="00D405A7">
        <w:rPr>
          <w:rFonts w:eastAsia="Calibri"/>
        </w:rPr>
        <w:t>The HERs did not appear to influence customers to make any of seven energy savings improvements or any of seven energy saving behaviors (no significant difference between treatment and control groups), except that more treatment-group than control-group respondents reported turning down their heating thermostat when leaving the house or sleeping.</w:t>
      </w:r>
    </w:p>
    <w:p w:rsidR="002E051C" w:rsidRPr="00D405A7" w:rsidRDefault="005C491D" w:rsidP="00E646C9">
      <w:pPr>
        <w:pStyle w:val="ListParagraph"/>
        <w:numPr>
          <w:ilvl w:val="0"/>
          <w:numId w:val="126"/>
        </w:numPr>
        <w:ind w:left="360"/>
        <w:rPr>
          <w:rFonts w:eastAsia="Calibri"/>
        </w:rPr>
      </w:pPr>
      <w:r w:rsidRPr="00D405A7">
        <w:rPr>
          <w:rFonts w:eastAsia="Calibri"/>
        </w:rPr>
        <w:t>The HERs did not appear to improve customers’ attitudes toward energy efficiency, reduce customer barriers to saving energy, or influence customers to visit PPL’s website to look for ways to save energy (no significant difference between treatment and control groups).</w:t>
      </w:r>
    </w:p>
    <w:p w:rsidR="002E051C" w:rsidRPr="00D405A7" w:rsidRDefault="002E051C" w:rsidP="00E646C9">
      <w:pPr>
        <w:pStyle w:val="ListParagraph"/>
        <w:numPr>
          <w:ilvl w:val="0"/>
          <w:numId w:val="126"/>
        </w:numPr>
        <w:ind w:left="360"/>
        <w:rPr>
          <w:rFonts w:eastAsia="Calibri"/>
        </w:rPr>
      </w:pPr>
      <w:r w:rsidRPr="00D405A7">
        <w:rPr>
          <w:rFonts w:eastAsia="Calibri"/>
        </w:rPr>
        <w:t xml:space="preserve">Over three-fourths of surveyed customers reported being very or somewhat satisfied with the HERs, which is </w:t>
      </w:r>
      <w:r w:rsidR="00377BB2" w:rsidRPr="00D405A7">
        <w:rPr>
          <w:rFonts w:eastAsia="Calibri"/>
        </w:rPr>
        <w:t>higher than the survey results found for the Residential Program in</w:t>
      </w:r>
      <w:r w:rsidRPr="00D405A7">
        <w:rPr>
          <w:rFonts w:eastAsia="Calibri"/>
        </w:rPr>
        <w:t xml:space="preserve"> PY6. In addition, respondents who received the free LED bulb reported significantly lower satisfaction than customers who did not receive the free LED.</w:t>
      </w:r>
    </w:p>
    <w:p w:rsidR="002E051C" w:rsidRPr="00D405A7" w:rsidRDefault="002E051C" w:rsidP="00E646C9">
      <w:pPr>
        <w:pStyle w:val="ListParagraph"/>
        <w:numPr>
          <w:ilvl w:val="0"/>
          <w:numId w:val="126"/>
        </w:numPr>
        <w:ind w:left="360"/>
        <w:rPr>
          <w:rFonts w:eastAsia="Calibri"/>
        </w:rPr>
      </w:pPr>
      <w:r w:rsidRPr="00D405A7">
        <w:rPr>
          <w:rFonts w:eastAsia="Calibri"/>
        </w:rPr>
        <w:t>Surveyed treatment-group customers gave a significantly higher satisfaction rating for PPL compared with control-group customers in regard to both overall satisfaction and satisfaction with PPL helping to lower monthly energy usage. Customers in the low-income program reported a higher satisfaction rating than customers in the residential, non-low-income program.</w:t>
      </w:r>
    </w:p>
    <w:p w:rsidR="002E051C" w:rsidRPr="002E051C" w:rsidRDefault="002E051C" w:rsidP="002E051C">
      <w:pPr>
        <w:autoSpaceDE w:val="0"/>
        <w:autoSpaceDN w:val="0"/>
        <w:adjustRightInd w:val="0"/>
        <w:ind w:left="360"/>
        <w:contextualSpacing/>
        <w:rPr>
          <w:rFonts w:cs="Calibri"/>
          <w:color w:val="000000"/>
          <w:szCs w:val="20"/>
        </w:rPr>
      </w:pPr>
    </w:p>
    <w:p w:rsidR="002E051C" w:rsidRPr="002E051C" w:rsidRDefault="002E051C" w:rsidP="00D613BE">
      <w:pPr>
        <w:pStyle w:val="AppendixBHeading4"/>
      </w:pPr>
      <w:r w:rsidRPr="002E051C">
        <w:t>Summary of the Process Evaluation Audit</w:t>
      </w:r>
    </w:p>
    <w:p w:rsidR="005C491D" w:rsidRDefault="005C491D" w:rsidP="002E051C">
      <w:r w:rsidRPr="00C52A0B">
        <w:t>The evaluation was consistent with the evaluation plan. The methodology section adequately explained the evaluation activities and analyses, and included the required sampling and disposition information and tables. For the data-collection tasks requiring sampling, Cadmus achieved sample sizes that provided 90/10 confidence/precision for each survey; for interviews that did not require sampling, Cadmus met the targeted number of completes. Adding the mode used for surveys (web, phone, mail) in Table 10-13 would complete the table and inform the reader without having to refer to the text where the survey mode is reported.</w:t>
      </w:r>
    </w:p>
    <w:p w:rsidR="003C4C90" w:rsidRDefault="003C4C90" w:rsidP="002E051C"/>
    <w:p w:rsidR="002E051C" w:rsidRPr="002E051C" w:rsidRDefault="002E051C" w:rsidP="002E051C">
      <w:r w:rsidRPr="002E051C">
        <w:t>Program findings were clearly summarized, with actionable recommendations following conclusions and ample evidence supporting the conclusions. One conclusion, however, did not have, but likely could have had, an accompanying recommendation, and the third conclusion contained a repeating sentence, one of which should be removed. The report also included a table of recommendations with a description of whether PPL was implementing or considering those recommendations.</w:t>
      </w:r>
    </w:p>
    <w:p w:rsidR="002E051C" w:rsidRPr="002E051C" w:rsidRDefault="002E051C" w:rsidP="002E051C"/>
    <w:p w:rsidR="002E051C" w:rsidRPr="002E051C" w:rsidRDefault="005C491D" w:rsidP="002E051C">
      <w:r w:rsidRPr="00C52A0B">
        <w:t>Cadmus included some findings from the PY6 Residential Energy-Efficiency Behavior &amp; Education Program in this chapter, such as readership of the HERs, but did not report these findings in the Residential Energy-Efficiency Behavior &amp; Education Program chapter because the results were reported in the PY6 process evaluation. Cadmus referenced the PY6 Residential results in the PY7 report as a comparison to the Low-Income program’s survey results. Cadmus could improve the report by noting in the Methods section that they are comparing PY6 Residential results to PY7 Low-Income results. Multiple comparisons are made in the chapter, and noting them in the Methods section would clear any confusion a reader might experience. In addition, four of the conclusions did not include accompanying recommendations.</w:t>
      </w:r>
    </w:p>
    <w:p w:rsidR="002E051C" w:rsidRPr="002E051C" w:rsidRDefault="002E051C" w:rsidP="002E051C"/>
    <w:p w:rsidR="002E051C" w:rsidRPr="002E051C" w:rsidRDefault="002E051C" w:rsidP="00D613BE">
      <w:pPr>
        <w:pStyle w:val="AppendixBHeading3"/>
      </w:pPr>
      <w:r w:rsidRPr="002E051C">
        <w:t>Low-Income Winter Relief Assistance Program (WRAP) and De Facto Heating Pilot</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rsidDel="00E46968">
        <w:t>T</w:t>
      </w:r>
      <w:r w:rsidRPr="002E051C">
        <w:t xml:space="preserve">he Act 129 WRAP, the focus of this evaluation, operates in tandem with PPL’s Universal Services WRAP. The former targets customers at or below 150% of the FPL while the latter targets customers at or below 200% of the FPL. Both are available to customers in existing single-family and multifamily housing (three or more dwelling units) where 50% or more of the tenants are income-qualified and are intended to operate seamlessly so that customers are not aware of which program they are receiving services from. </w:t>
      </w:r>
    </w:p>
    <w:p w:rsidR="002E051C" w:rsidRPr="002E051C" w:rsidRDefault="002E051C" w:rsidP="002E051C"/>
    <w:p w:rsidR="002E051C" w:rsidRPr="002E051C" w:rsidRDefault="002E051C" w:rsidP="002E051C">
      <w:r w:rsidRPr="002E051C">
        <w:t xml:space="preserve">PPL works with community-based organizations to implement the program. WRAP provides eligible customers with a free energy audit and a list of pre-approved equipment upgrades and other needed energy-related services. WRAP contractors install the recommended upgrades, perform other energy-related services, and provide energy education to the customer at no cost to the customer. </w:t>
      </w:r>
    </w:p>
    <w:p w:rsidR="002E051C" w:rsidRPr="002E051C" w:rsidRDefault="002E051C" w:rsidP="002E051C"/>
    <w:p w:rsidR="002E051C" w:rsidRPr="002E051C" w:rsidRDefault="002E051C" w:rsidP="002E051C">
      <w:r w:rsidRPr="002E051C">
        <w:t>The types of upgrades and services that customers can receive are divided into three types: baseload (targeting those without electric heat and without electric water heater), low-cost (targeting customers without electric heat but with electric water heater), and full-cost (targeting customers with electric heat and electric water heater). Baseload products include installation of efficient lighting, refrigerator replacement, air conditioner replacement, dehumidifier replacement, changing or cleaning of heating and cooling filters, dryer venting (electric dryer), and power strips and smart plugs. Low-cost products include all baseload products as well as water-heating products, such as water heater replacement, water heater pipe wrap, faucet aerators, and efficient showerheads. Full-cost products and services include all baseload and low-cost products as well as shell products, such as insulation (e.g., attic, floor, wall), infiltration (e.g., caulking, weather stripping, blower door testing), HVAC repair and replacement, duct insulation and repair, and window repair and replacement.</w:t>
      </w:r>
    </w:p>
    <w:p w:rsidR="002E051C" w:rsidRPr="002E051C" w:rsidRDefault="002E051C" w:rsidP="002E051C"/>
    <w:p w:rsidR="002E051C" w:rsidRPr="002E051C" w:rsidRDefault="005C491D" w:rsidP="002E051C">
      <w:pPr>
        <w:autoSpaceDE w:val="0"/>
        <w:autoSpaceDN w:val="0"/>
        <w:adjustRightInd w:val="0"/>
      </w:pPr>
      <w:r w:rsidRPr="00C52A0B">
        <w:t>In PY7, the program introduced the Low-Income Energy Assistance Program (LEAP) tracking system and a new component, the De Facto Heating Pilot. The pilot targets WRAP-eligible customers who have inoperable oil heat and use inefficient or unsafe electric heat sources, such as portable electric heaters or electric stoves, and installs high-efficiency heat pump systems (as well as the other eligible WRAP measures) at no cost to the customer.</w:t>
      </w:r>
    </w:p>
    <w:p w:rsidR="002E051C" w:rsidRPr="002E051C" w:rsidRDefault="002E051C" w:rsidP="002E051C">
      <w:pPr>
        <w:autoSpaceDE w:val="0"/>
        <w:autoSpaceDN w:val="0"/>
        <w:adjustRightInd w:val="0"/>
      </w:pPr>
    </w:p>
    <w:p w:rsidR="002E051C" w:rsidRPr="002E051C" w:rsidRDefault="005C491D" w:rsidP="002E051C">
      <w:pPr>
        <w:autoSpaceDE w:val="0"/>
        <w:autoSpaceDN w:val="0"/>
        <w:adjustRightInd w:val="0"/>
      </w:pPr>
      <w:r w:rsidRPr="00C52A0B">
        <w:t>WRAP met or exceeded all its planned PY7 and Phase II energy savings and participation except for its planned participation in PY7. WRAP achieved 124% of its planned MWh/yr energy savings and 99% of its planned participation in PY7. In all of Phase II, WRAP achieved 113% of its planned energy savings and 100% of its planned participation. The De Facto Heating Pilot, however, fell short of achieving its planned energy savings and participation. The pilot achieved 30% of its planned MWh/yr energy savings and 55% of its planned participation.</w:t>
      </w:r>
    </w:p>
    <w:p w:rsidR="00155563" w:rsidRDefault="00155563" w:rsidP="002E051C">
      <w:pPr>
        <w:autoSpaceDE w:val="0"/>
        <w:autoSpaceDN w:val="0"/>
        <w:adjustRightInd w:val="0"/>
      </w:pPr>
    </w:p>
    <w:p w:rsidR="00B32B81" w:rsidRDefault="00B32B81" w:rsidP="002E051C">
      <w:pPr>
        <w:autoSpaceDE w:val="0"/>
        <w:autoSpaceDN w:val="0"/>
        <w:adjustRightInd w:val="0"/>
      </w:pPr>
    </w:p>
    <w:p w:rsidR="00B32B81" w:rsidRDefault="00B32B81" w:rsidP="002E051C">
      <w:pPr>
        <w:autoSpaceDE w:val="0"/>
        <w:autoSpaceDN w:val="0"/>
        <w:adjustRightInd w:val="0"/>
      </w:pPr>
    </w:p>
    <w:p w:rsidR="00B32B81" w:rsidRDefault="00B32B81" w:rsidP="002E051C">
      <w:pPr>
        <w:autoSpaceDE w:val="0"/>
        <w:autoSpaceDN w:val="0"/>
        <w:adjustRightInd w:val="0"/>
      </w:pPr>
    </w:p>
    <w:p w:rsidR="002E051C" w:rsidRPr="002E051C" w:rsidRDefault="002E051C" w:rsidP="00D613BE">
      <w:pPr>
        <w:pStyle w:val="AppendixBHeading4"/>
      </w:pPr>
      <w:r w:rsidRPr="002E051C">
        <w:t>Summary of the Process Evaluation Findings</w:t>
      </w:r>
    </w:p>
    <w:p w:rsidR="002E051C" w:rsidRPr="002E051C" w:rsidRDefault="002E051C" w:rsidP="002E051C">
      <w:pPr>
        <w:spacing w:after="120"/>
      </w:pPr>
      <w:r w:rsidRPr="002E051C">
        <w:t>For the PY7 WRAP process evaluation, Cadmus conducted an interview with p</w:t>
      </w:r>
      <w:r w:rsidRPr="002E051C">
        <w:rPr>
          <w:szCs w:val="20"/>
        </w:rPr>
        <w:t xml:space="preserve">rogram staff and the implementer (n=1), participant phone surveys (n=141), and a database and QA/QC review (n=203). </w:t>
      </w:r>
      <w:r w:rsidRPr="002E051C">
        <w:t>The following findings emerged from the process evaluation:</w:t>
      </w:r>
    </w:p>
    <w:p w:rsidR="002E051C" w:rsidRPr="004C7FBE" w:rsidRDefault="002E051C" w:rsidP="00E646C9">
      <w:pPr>
        <w:pStyle w:val="ListParagraph"/>
        <w:numPr>
          <w:ilvl w:val="0"/>
          <w:numId w:val="127"/>
        </w:numPr>
        <w:ind w:left="360"/>
        <w:rPr>
          <w:rFonts w:eastAsia="Calibri"/>
        </w:rPr>
      </w:pPr>
      <w:r w:rsidRPr="004C7FBE">
        <w:rPr>
          <w:rFonts w:eastAsia="Calibri"/>
        </w:rPr>
        <w:t>WRAP met or exceeded all its planned PY7 and Phase II energy</w:t>
      </w:r>
      <w:r w:rsidR="005C491D" w:rsidRPr="004C7FBE">
        <w:rPr>
          <w:rFonts w:eastAsia="Calibri"/>
        </w:rPr>
        <w:t xml:space="preserve"> savings</w:t>
      </w:r>
      <w:r w:rsidRPr="004C7FBE">
        <w:rPr>
          <w:rFonts w:eastAsia="Calibri"/>
        </w:rPr>
        <w:t xml:space="preserve"> and participation except for its</w:t>
      </w:r>
      <w:r w:rsidR="005C491D" w:rsidRPr="004C7FBE">
        <w:rPr>
          <w:rFonts w:eastAsia="Calibri"/>
        </w:rPr>
        <w:t xml:space="preserve"> planned</w:t>
      </w:r>
      <w:r w:rsidRPr="004C7FBE">
        <w:rPr>
          <w:rFonts w:eastAsia="Calibri"/>
        </w:rPr>
        <w:t xml:space="preserve"> participation goal in PY7. </w:t>
      </w:r>
    </w:p>
    <w:p w:rsidR="002E051C" w:rsidRPr="004C7FBE" w:rsidRDefault="002E051C" w:rsidP="00E646C9">
      <w:pPr>
        <w:pStyle w:val="ListParagraph"/>
        <w:numPr>
          <w:ilvl w:val="0"/>
          <w:numId w:val="127"/>
        </w:numPr>
        <w:ind w:left="360"/>
        <w:rPr>
          <w:rFonts w:eastAsia="Calibri"/>
        </w:rPr>
      </w:pPr>
      <w:r w:rsidRPr="004C7FBE">
        <w:rPr>
          <w:rFonts w:eastAsia="Calibri"/>
        </w:rPr>
        <w:t xml:space="preserve">Program staff reported being very satisfied with the LEAP tracking system and reported that the program ran smoothly in PY7. </w:t>
      </w:r>
    </w:p>
    <w:p w:rsidR="002E051C" w:rsidRPr="004C7FBE" w:rsidRDefault="002E051C" w:rsidP="00E646C9">
      <w:pPr>
        <w:pStyle w:val="ListParagraph"/>
        <w:numPr>
          <w:ilvl w:val="0"/>
          <w:numId w:val="127"/>
        </w:numPr>
        <w:ind w:left="360"/>
        <w:rPr>
          <w:rFonts w:eastAsia="Calibri"/>
        </w:rPr>
      </w:pPr>
      <w:r w:rsidRPr="004C7FBE">
        <w:rPr>
          <w:rFonts w:eastAsia="Calibri"/>
        </w:rPr>
        <w:t>The program manager reported that CAP enrollment increased 25% in PY7 and that referrals through CAP were a strong contributor to PY7 WRAP participation.</w:t>
      </w:r>
    </w:p>
    <w:p w:rsidR="002E051C" w:rsidRPr="004C7FBE" w:rsidRDefault="002E051C" w:rsidP="00E646C9">
      <w:pPr>
        <w:pStyle w:val="ListParagraph"/>
        <w:numPr>
          <w:ilvl w:val="0"/>
          <w:numId w:val="127"/>
        </w:numPr>
        <w:ind w:left="360"/>
        <w:rPr>
          <w:rFonts w:eastAsia="Calibri"/>
        </w:rPr>
      </w:pPr>
      <w:r w:rsidRPr="004C7FBE">
        <w:rPr>
          <w:rFonts w:eastAsia="Calibri"/>
        </w:rPr>
        <w:t>Most surveyed participants (71%) reported being very satisfied with the program; satisfaction was higher for full-cost and low-cost participants compared with baseload participants. Less satisfied participants recommended improving the contractor experience.</w:t>
      </w:r>
    </w:p>
    <w:p w:rsidR="002E051C" w:rsidRPr="004C7FBE" w:rsidRDefault="002E051C" w:rsidP="00E646C9">
      <w:pPr>
        <w:pStyle w:val="ListParagraph"/>
        <w:numPr>
          <w:ilvl w:val="0"/>
          <w:numId w:val="127"/>
        </w:numPr>
        <w:ind w:left="360"/>
        <w:rPr>
          <w:rFonts w:eastAsia="Calibri"/>
        </w:rPr>
      </w:pPr>
      <w:r w:rsidRPr="004C7FBE">
        <w:rPr>
          <w:rFonts w:eastAsia="Calibri"/>
        </w:rPr>
        <w:t>Most survey participants (80%) reported high satisfaction with PPL. Low-cost participants reported higher satisfaction than full-cost and baseload participants. About half of surveyed participants (53%) reported that their opinion of PPL had improved since participating in WRAP.</w:t>
      </w:r>
    </w:p>
    <w:p w:rsidR="002E051C" w:rsidRPr="004C7FBE" w:rsidRDefault="002E051C" w:rsidP="00E646C9">
      <w:pPr>
        <w:pStyle w:val="ListParagraph"/>
        <w:numPr>
          <w:ilvl w:val="0"/>
          <w:numId w:val="127"/>
        </w:numPr>
        <w:ind w:left="360"/>
        <w:rPr>
          <w:rFonts w:eastAsia="Calibri"/>
        </w:rPr>
      </w:pPr>
      <w:r w:rsidRPr="004C7FBE">
        <w:rPr>
          <w:rFonts w:eastAsia="Calibri"/>
        </w:rPr>
        <w:t>The program used mail-in postcards as its targeted marketing strategy and had less success with the cards in PY7 than in PY6, but the online application and toll-free number launched during PY6 helped increase participation in PY7.</w:t>
      </w:r>
    </w:p>
    <w:p w:rsidR="002E051C" w:rsidRPr="004C7FBE" w:rsidRDefault="002E051C" w:rsidP="00E646C9">
      <w:pPr>
        <w:pStyle w:val="ListParagraph"/>
        <w:numPr>
          <w:ilvl w:val="0"/>
          <w:numId w:val="127"/>
        </w:numPr>
        <w:ind w:left="360"/>
        <w:rPr>
          <w:rFonts w:eastAsia="Calibri"/>
        </w:rPr>
      </w:pPr>
      <w:r w:rsidRPr="004C7FBE">
        <w:rPr>
          <w:rFonts w:eastAsia="Calibri"/>
        </w:rPr>
        <w:t>Most surveyed participants (81%) reported being knowledgeable about ways to save energy in their home prior to participating in WRAP. Surveyed participants indicated that the most important product features that affected their decision to purchase a product were the amount of energy it used (96%) and the purchase price (93%).</w:t>
      </w:r>
    </w:p>
    <w:p w:rsidR="002E051C" w:rsidRPr="004C7FBE" w:rsidRDefault="002E051C" w:rsidP="00E646C9">
      <w:pPr>
        <w:pStyle w:val="ListParagraph"/>
        <w:numPr>
          <w:ilvl w:val="0"/>
          <w:numId w:val="127"/>
        </w:numPr>
        <w:ind w:left="360"/>
        <w:rPr>
          <w:rFonts w:eastAsia="Calibri"/>
        </w:rPr>
      </w:pPr>
      <w:r w:rsidRPr="004C7FBE">
        <w:rPr>
          <w:rFonts w:eastAsia="Calibri"/>
        </w:rPr>
        <w:t>Over half of surveyed participants (56%) agreed that their HVAC systems work fine and don’t need replacing; 46% agreed that making an investment in energy efficiency is risky; 34% agreed that information about energy efficiency is confusing or overwhelming; and 25% agreed that they are not sure what they can do to save energy at home.</w:t>
      </w:r>
    </w:p>
    <w:p w:rsidR="002E051C" w:rsidRPr="004C7FBE" w:rsidRDefault="002E051C" w:rsidP="00E646C9">
      <w:pPr>
        <w:pStyle w:val="ListParagraph"/>
        <w:numPr>
          <w:ilvl w:val="0"/>
          <w:numId w:val="127"/>
        </w:numPr>
        <w:ind w:left="360"/>
        <w:rPr>
          <w:rFonts w:eastAsia="Calibri"/>
        </w:rPr>
      </w:pPr>
      <w:r w:rsidRPr="004C7FBE">
        <w:rPr>
          <w:rFonts w:eastAsia="Calibri"/>
        </w:rPr>
        <w:t>Most surveyed participants (83%) could recall examples of energy savings ideas provided during the in-home energy audit, and nearly all (94%) reported taking at least one of the steps to save energy.</w:t>
      </w:r>
    </w:p>
    <w:p w:rsidR="002E051C" w:rsidRPr="002E051C" w:rsidRDefault="002E051C" w:rsidP="002E051C">
      <w:pPr>
        <w:autoSpaceDE w:val="0"/>
        <w:autoSpaceDN w:val="0"/>
        <w:adjustRightInd w:val="0"/>
      </w:pPr>
    </w:p>
    <w:p w:rsidR="002E051C" w:rsidRDefault="002E051C" w:rsidP="004C7FBE">
      <w:r w:rsidRPr="004C7FBE">
        <w:t>For the De Facto Heating Pilot process evaluation, Cadmus reviewed the pilot database and conducted phone interviews with the program manager, one installation contractor, and three participants. Cadmus attempted a census of the 11 participants who installed heat pumps through the program. Cadmus also tracked four key program performance indicators: project costs, continued use of space heaters and room air conditioners following participation, customer satisfaction, and participant awareness of other PPL programs.</w:t>
      </w:r>
    </w:p>
    <w:p w:rsidR="004C7FBE" w:rsidRPr="004C7FBE" w:rsidRDefault="004C7FBE" w:rsidP="004C7FBE"/>
    <w:p w:rsidR="002E051C" w:rsidRPr="002E051C" w:rsidRDefault="002E051C" w:rsidP="002E051C">
      <w:pPr>
        <w:spacing w:after="120"/>
      </w:pPr>
      <w:r w:rsidRPr="002E051C">
        <w:t>The following findings emerged from the process evaluation:</w:t>
      </w:r>
    </w:p>
    <w:p w:rsidR="002E051C" w:rsidRPr="004C7FBE" w:rsidRDefault="002E051C" w:rsidP="00E646C9">
      <w:pPr>
        <w:pStyle w:val="ListParagraph"/>
        <w:numPr>
          <w:ilvl w:val="0"/>
          <w:numId w:val="128"/>
        </w:numPr>
        <w:ind w:left="360"/>
        <w:rPr>
          <w:rFonts w:eastAsia="Calibri"/>
        </w:rPr>
      </w:pPr>
      <w:r w:rsidRPr="004C7FBE">
        <w:rPr>
          <w:rFonts w:eastAsia="Calibri"/>
        </w:rPr>
        <w:t>The pilot did not meet its planned energy savings, participation, or cost-effectiveness for PY7. This was partly due to a short pilot time line, projects being larger and more expensive than anticipated, overestimation of ex ante savings, and only one contractor working with the program, instead of three.</w:t>
      </w:r>
    </w:p>
    <w:p w:rsidR="002E051C" w:rsidRPr="004C7FBE" w:rsidRDefault="002E051C" w:rsidP="00E646C9">
      <w:pPr>
        <w:pStyle w:val="ListParagraph"/>
        <w:numPr>
          <w:ilvl w:val="0"/>
          <w:numId w:val="128"/>
        </w:numPr>
        <w:ind w:left="360"/>
        <w:rPr>
          <w:rFonts w:eastAsia="Calibri"/>
        </w:rPr>
      </w:pPr>
      <w:r w:rsidRPr="004C7FBE">
        <w:rPr>
          <w:rFonts w:eastAsia="Calibri"/>
        </w:rPr>
        <w:t>The pilot will not continue in Phase III.</w:t>
      </w:r>
    </w:p>
    <w:p w:rsidR="002E051C" w:rsidRPr="004C7FBE" w:rsidRDefault="002E051C" w:rsidP="00E646C9">
      <w:pPr>
        <w:pStyle w:val="ListParagraph"/>
        <w:numPr>
          <w:ilvl w:val="0"/>
          <w:numId w:val="128"/>
        </w:numPr>
        <w:ind w:left="360"/>
        <w:rPr>
          <w:rFonts w:eastAsia="Calibri"/>
        </w:rPr>
      </w:pPr>
      <w:r w:rsidRPr="004C7FBE">
        <w:rPr>
          <w:rFonts w:eastAsia="Calibri"/>
        </w:rPr>
        <w:t xml:space="preserve">The program installed 10 </w:t>
      </w:r>
      <w:r w:rsidR="00236598" w:rsidRPr="004C7FBE">
        <w:rPr>
          <w:rFonts w:eastAsia="Calibri"/>
        </w:rPr>
        <w:t>DHPs</w:t>
      </w:r>
      <w:r w:rsidRPr="004C7FBE">
        <w:rPr>
          <w:rFonts w:eastAsia="Calibri"/>
        </w:rPr>
        <w:t xml:space="preserve">, one </w:t>
      </w:r>
      <w:r w:rsidR="00236598" w:rsidRPr="004C7FBE">
        <w:rPr>
          <w:rFonts w:eastAsia="Calibri"/>
        </w:rPr>
        <w:t>ASHP</w:t>
      </w:r>
      <w:r w:rsidRPr="004C7FBE">
        <w:rPr>
          <w:rFonts w:eastAsia="Calibri"/>
        </w:rPr>
        <w:t xml:space="preserve">, two </w:t>
      </w:r>
      <w:r w:rsidR="00236598" w:rsidRPr="004C7FBE">
        <w:rPr>
          <w:rFonts w:eastAsia="Calibri"/>
        </w:rPr>
        <w:t>HPWHs</w:t>
      </w:r>
      <w:r w:rsidRPr="004C7FBE">
        <w:rPr>
          <w:rFonts w:eastAsia="Calibri"/>
        </w:rPr>
        <w:t>, and 11 WRAP full-cost jobs.</w:t>
      </w:r>
    </w:p>
    <w:p w:rsidR="002E051C" w:rsidRPr="004C7FBE" w:rsidRDefault="002E051C" w:rsidP="00E646C9">
      <w:pPr>
        <w:pStyle w:val="ListParagraph"/>
        <w:numPr>
          <w:ilvl w:val="0"/>
          <w:numId w:val="128"/>
        </w:numPr>
        <w:ind w:left="360"/>
        <w:rPr>
          <w:rFonts w:eastAsia="Calibri"/>
        </w:rPr>
      </w:pPr>
      <w:r w:rsidRPr="004C7FBE">
        <w:rPr>
          <w:rFonts w:eastAsia="Calibri"/>
        </w:rPr>
        <w:t>Selecting qualified participants and homes from the 2,000 income-eligible customers and getting them to participate was very difficult, primarily due to the amount and rigidity of the screening criteria required to identify eligible homes, particularly the number of heating zones in homes.</w:t>
      </w:r>
    </w:p>
    <w:p w:rsidR="002E051C" w:rsidRPr="004C7FBE" w:rsidRDefault="002E051C" w:rsidP="00E646C9">
      <w:pPr>
        <w:pStyle w:val="ListParagraph"/>
        <w:numPr>
          <w:ilvl w:val="0"/>
          <w:numId w:val="128"/>
        </w:numPr>
        <w:ind w:left="360"/>
        <w:rPr>
          <w:rFonts w:eastAsia="Calibri"/>
        </w:rPr>
      </w:pPr>
      <w:r w:rsidRPr="004C7FBE">
        <w:rPr>
          <w:rFonts w:eastAsia="Calibri"/>
        </w:rPr>
        <w:t>The pilot manager reported challenges communicating with the installation contractor because the contractor did not have a standard cost-quotation process that included enough detail to assess eligibility.</w:t>
      </w:r>
    </w:p>
    <w:p w:rsidR="002E051C" w:rsidRPr="004C7FBE" w:rsidRDefault="002E051C" w:rsidP="00E646C9">
      <w:pPr>
        <w:pStyle w:val="ListParagraph"/>
        <w:numPr>
          <w:ilvl w:val="0"/>
          <w:numId w:val="128"/>
        </w:numPr>
        <w:ind w:left="360"/>
        <w:rPr>
          <w:rFonts w:eastAsia="Calibri"/>
        </w:rPr>
      </w:pPr>
      <w:r w:rsidRPr="004C7FBE">
        <w:rPr>
          <w:rFonts w:eastAsia="Calibri"/>
        </w:rPr>
        <w:t xml:space="preserve">Average project costs per home were higher than anticipated, limiting the number of participants to 11 instead of </w:t>
      </w:r>
      <w:r w:rsidR="005C375B" w:rsidRPr="004C7FBE">
        <w:rPr>
          <w:rFonts w:eastAsia="Calibri"/>
        </w:rPr>
        <w:t xml:space="preserve">up to </w:t>
      </w:r>
      <w:r w:rsidRPr="004C7FBE">
        <w:rPr>
          <w:rFonts w:eastAsia="Calibri"/>
        </w:rPr>
        <w:t xml:space="preserve">20 under a fixed program budget. </w:t>
      </w:r>
    </w:p>
    <w:p w:rsidR="002E051C" w:rsidRPr="004C7FBE" w:rsidRDefault="002E051C" w:rsidP="00E646C9">
      <w:pPr>
        <w:pStyle w:val="ListParagraph"/>
        <w:numPr>
          <w:ilvl w:val="0"/>
          <w:numId w:val="128"/>
        </w:numPr>
        <w:ind w:left="360"/>
        <w:rPr>
          <w:rFonts w:eastAsia="Calibri"/>
        </w:rPr>
      </w:pPr>
      <w:r w:rsidRPr="004C7FBE">
        <w:rPr>
          <w:rFonts w:eastAsia="Calibri"/>
        </w:rPr>
        <w:t>Two of the three surveyed participants reported high satisfaction with the contractor, the money they saved with the heat pump, and the money they saved with the WRAP measures; all three were satisfied with their home’s comfort and overall were satisfied with the program.</w:t>
      </w:r>
    </w:p>
    <w:p w:rsidR="002E051C" w:rsidRPr="004C7FBE" w:rsidRDefault="002E051C" w:rsidP="00E646C9">
      <w:pPr>
        <w:pStyle w:val="ListParagraph"/>
        <w:numPr>
          <w:ilvl w:val="0"/>
          <w:numId w:val="128"/>
        </w:numPr>
        <w:ind w:left="360"/>
        <w:rPr>
          <w:rFonts w:eastAsia="Calibri"/>
        </w:rPr>
      </w:pPr>
      <w:r w:rsidRPr="004C7FBE">
        <w:rPr>
          <w:rFonts w:eastAsia="Calibri"/>
        </w:rPr>
        <w:t>Two of the three surveyed participants reported high satisfaction and one reported moderate satisfaction with PPL. One participant’s opinion of PPL improved significantly after participation.</w:t>
      </w:r>
    </w:p>
    <w:p w:rsidR="002E051C" w:rsidRPr="004C7FBE" w:rsidRDefault="002E051C" w:rsidP="00E646C9">
      <w:pPr>
        <w:pStyle w:val="ListParagraph"/>
        <w:numPr>
          <w:ilvl w:val="0"/>
          <w:numId w:val="128"/>
        </w:numPr>
        <w:ind w:left="360"/>
        <w:rPr>
          <w:rFonts w:eastAsia="Calibri"/>
        </w:rPr>
      </w:pPr>
      <w:r w:rsidRPr="004C7FBE">
        <w:rPr>
          <w:rFonts w:eastAsia="Calibri"/>
        </w:rPr>
        <w:t xml:space="preserve">None of the three survey participants reported using portable space heaters or planned to use room air conditioners after participating in the pilot. </w:t>
      </w:r>
    </w:p>
    <w:p w:rsidR="002E051C" w:rsidRPr="004C7FBE" w:rsidRDefault="002E051C" w:rsidP="00E646C9">
      <w:pPr>
        <w:pStyle w:val="ListParagraph"/>
        <w:numPr>
          <w:ilvl w:val="0"/>
          <w:numId w:val="128"/>
        </w:numPr>
        <w:ind w:left="360"/>
        <w:rPr>
          <w:rFonts w:eastAsia="Calibri"/>
        </w:rPr>
      </w:pPr>
      <w:r w:rsidRPr="004C7FBE">
        <w:rPr>
          <w:rFonts w:eastAsia="Calibri"/>
        </w:rPr>
        <w:t>One of the three survey participants reported awareness of other PPL programs.</w:t>
      </w:r>
    </w:p>
    <w:p w:rsidR="002E051C" w:rsidRPr="002E051C" w:rsidRDefault="002E051C" w:rsidP="002E051C">
      <w:pPr>
        <w:autoSpaceDE w:val="0"/>
        <w:autoSpaceDN w:val="0"/>
        <w:adjustRightInd w:val="0"/>
      </w:pPr>
    </w:p>
    <w:p w:rsidR="002E051C" w:rsidRPr="002E051C" w:rsidRDefault="002E051C" w:rsidP="00D613BE">
      <w:pPr>
        <w:pStyle w:val="AppendixBHeading4"/>
      </w:pPr>
      <w:r w:rsidRPr="002E051C">
        <w:t>Summary of the Process Evaluation Audit</w:t>
      </w:r>
    </w:p>
    <w:p w:rsidR="002E051C" w:rsidRPr="002E051C" w:rsidRDefault="005C491D" w:rsidP="002E051C">
      <w:r w:rsidRPr="00C52A0B">
        <w:t xml:space="preserve">The evaluations were consistent with the evaluation plan except that Cadmus increased the number of </w:t>
      </w:r>
      <w:r w:rsidR="007C3653">
        <w:t xml:space="preserve">completed </w:t>
      </w:r>
      <w:r w:rsidRPr="00C52A0B">
        <w:t>WRAP participant survey</w:t>
      </w:r>
      <w:r w:rsidR="001A31C9">
        <w:t>s</w:t>
      </w:r>
      <w:r w:rsidRPr="00C52A0B">
        <w:t>, to include more low-cost and full-cost job participants. The methodology sections adequately explained the evaluation activities and analyses, and included the required sampling and disposition information and tables. Including more information about the methods used to conduct analyses, such as the type of analysis used, would be very informative. For the data-collection tasks requiring sampling, Cadmus achieved sample sizes that provided 90/10 confidence/precision per survey sample. For interviews that did not require sampling, Cadmus met the targeted number of completes except for De Facto Pilot participants (n=3/11). Adding the mode used for surveys (web, phone, mail) in Table 9-31 would help complete the table and inform the reader without having to refer to the text where the survey mode is reported.</w:t>
      </w:r>
      <w:r w:rsidR="002E051C" w:rsidRPr="002E051C">
        <w:t xml:space="preserve"> </w:t>
      </w:r>
    </w:p>
    <w:p w:rsidR="002E051C" w:rsidRPr="002E051C" w:rsidRDefault="002E051C" w:rsidP="002E051C"/>
    <w:p w:rsidR="002E051C" w:rsidRPr="002E051C" w:rsidRDefault="002E051C" w:rsidP="002E051C">
      <w:r w:rsidRPr="002E051C">
        <w:t>Program findings were clearly summarized, with actionable recommendations following conclusions and ample evidence supporting the conclusions. One WRAP conclusion (second) and two pilot conclusions (second and third), however, did not have, but likely could have had, accompanying recommendations. The report also included tables of recommendations with a description of whether PPL was implementing or considering those recommendations.</w:t>
      </w:r>
    </w:p>
    <w:p w:rsidR="00CB685F" w:rsidRPr="002E051C" w:rsidRDefault="00CB685F" w:rsidP="002E051C"/>
    <w:p w:rsidR="002E051C" w:rsidRPr="002E051C" w:rsidRDefault="002E051C" w:rsidP="00D613BE">
      <w:pPr>
        <w:pStyle w:val="AppendixBHeading2"/>
      </w:pPr>
      <w:r w:rsidRPr="002E051C">
        <w:t xml:space="preserve">Non-Residential Programs </w:t>
      </w:r>
    </w:p>
    <w:p w:rsidR="002E051C" w:rsidRPr="002E051C" w:rsidRDefault="00186987" w:rsidP="002E051C">
      <w:r w:rsidRPr="00C52A0B">
        <w:t xml:space="preserve">Cadmus reported on process evaluations for four non-residential programs: </w:t>
      </w:r>
      <w:r w:rsidR="004C7FBE" w:rsidRPr="00C52A0B">
        <w:t>The</w:t>
      </w:r>
      <w:r w:rsidRPr="00C52A0B">
        <w:t xml:space="preserve"> Continuous Energy Improvement Program, Custom Incentive Program, Prescriptive Equipment Program, and Master Metered Low-Income Multifamily Housing Program. In accordance with the evaluation plan, Cadmus did not perform an evaluation of the School Benchmarking Program since a full process evaluation was conducted in PY6; the program was working as planned, and it does not generate energy savings</w:t>
      </w:r>
      <w:r>
        <w:t>.</w:t>
      </w:r>
    </w:p>
    <w:p w:rsidR="002E051C" w:rsidRPr="002E051C" w:rsidRDefault="002E051C" w:rsidP="002E051C">
      <w:r w:rsidRPr="002E051C">
        <w:t xml:space="preserve">For the process evaluations of the above programs, Cadmus reviewed program documents and data, interviewed utility and implementation staff and contractors, and surveyed program participants. The document and program data review informed identification of program goals, activities, and updates, and in some instances, development of program theory and logic models. The research issues addressed by the primary data-collection activities (in-depth interviews and surveys) varied among programs but generally included the effectiveness of program administration, implementation, and delivery, and customer and market actor program satisfaction, participation, challenges, and recommendations. </w:t>
      </w:r>
    </w:p>
    <w:p w:rsidR="002E051C" w:rsidRPr="002E051C" w:rsidRDefault="002E051C" w:rsidP="002E051C"/>
    <w:p w:rsidR="002E051C" w:rsidRPr="002E051C" w:rsidRDefault="00186987" w:rsidP="004C7FBE">
      <w:pPr>
        <w:pStyle w:val="6spacenormal"/>
      </w:pPr>
      <w:r w:rsidRPr="00C52A0B">
        <w:t>Cadmus followed the evaluation plan for each program’s process evaluation with four exceptions, which Cadmus explained in the PY7 Annual Report</w:t>
      </w:r>
      <w:r w:rsidR="002E051C" w:rsidRPr="002E051C">
        <w:t>:</w:t>
      </w:r>
    </w:p>
    <w:p w:rsidR="006424F5" w:rsidRPr="004C7FBE" w:rsidRDefault="006424F5" w:rsidP="00E646C9">
      <w:pPr>
        <w:pStyle w:val="ListParagraph"/>
        <w:numPr>
          <w:ilvl w:val="0"/>
          <w:numId w:val="129"/>
        </w:numPr>
        <w:spacing w:before="160"/>
        <w:ind w:left="360"/>
        <w:rPr>
          <w:rFonts w:asciiTheme="minorHAnsi" w:hAnsiTheme="minorHAnsi"/>
          <w:szCs w:val="24"/>
        </w:rPr>
      </w:pPr>
      <w:r w:rsidRPr="004C7FBE">
        <w:rPr>
          <w:rFonts w:asciiTheme="minorHAnsi" w:hAnsiTheme="minorHAnsi"/>
          <w:szCs w:val="24"/>
        </w:rPr>
        <w:t xml:space="preserve">Cadmus and PPL moved the planned contractor and designer interviews, and additional benchmarking research, to PY8 in Phase III for the Custom Incentive Program (see Section 4.4.2 in </w:t>
      </w:r>
      <w:r w:rsidR="00155563">
        <w:rPr>
          <w:rFonts w:asciiTheme="minorHAnsi" w:hAnsiTheme="minorHAnsi"/>
          <w:szCs w:val="24"/>
        </w:rPr>
        <w:t>a</w:t>
      </w:r>
      <w:r w:rsidRPr="004C7FBE">
        <w:rPr>
          <w:rFonts w:asciiTheme="minorHAnsi" w:hAnsiTheme="minorHAnsi"/>
          <w:szCs w:val="24"/>
        </w:rPr>
        <w:t xml:space="preserve">nnual </w:t>
      </w:r>
      <w:r w:rsidR="00155563">
        <w:rPr>
          <w:rFonts w:asciiTheme="minorHAnsi" w:hAnsiTheme="minorHAnsi"/>
          <w:szCs w:val="24"/>
        </w:rPr>
        <w:t>r</w:t>
      </w:r>
      <w:r w:rsidRPr="004C7FBE">
        <w:rPr>
          <w:rFonts w:asciiTheme="minorHAnsi" w:hAnsiTheme="minorHAnsi"/>
          <w:szCs w:val="24"/>
        </w:rPr>
        <w:t xml:space="preserve">eport). </w:t>
      </w:r>
    </w:p>
    <w:p w:rsidR="006424F5" w:rsidRPr="004C7FBE" w:rsidRDefault="006424F5" w:rsidP="00E646C9">
      <w:pPr>
        <w:pStyle w:val="ListParagraph"/>
        <w:numPr>
          <w:ilvl w:val="0"/>
          <w:numId w:val="129"/>
        </w:numPr>
        <w:spacing w:before="160"/>
        <w:ind w:left="360"/>
        <w:rPr>
          <w:rFonts w:asciiTheme="minorHAnsi" w:hAnsiTheme="minorHAnsi"/>
          <w:szCs w:val="24"/>
        </w:rPr>
      </w:pPr>
      <w:r w:rsidRPr="004C7FBE">
        <w:rPr>
          <w:rFonts w:asciiTheme="minorHAnsi" w:hAnsiTheme="minorHAnsi"/>
          <w:szCs w:val="24"/>
        </w:rPr>
        <w:t xml:space="preserve">Cadmus conducted a web-plus-phone survey instead of a web survey of Prescriptive Rebate Program participants, to achieve the targeted number of completes (see Section 2.3.2 in the </w:t>
      </w:r>
      <w:r w:rsidR="00155563">
        <w:rPr>
          <w:rFonts w:asciiTheme="minorHAnsi" w:hAnsiTheme="minorHAnsi"/>
          <w:szCs w:val="24"/>
        </w:rPr>
        <w:t>a</w:t>
      </w:r>
      <w:r w:rsidRPr="004C7FBE">
        <w:rPr>
          <w:rFonts w:asciiTheme="minorHAnsi" w:hAnsiTheme="minorHAnsi"/>
          <w:szCs w:val="24"/>
        </w:rPr>
        <w:t xml:space="preserve">nnual </w:t>
      </w:r>
      <w:r w:rsidR="00155563">
        <w:rPr>
          <w:rFonts w:asciiTheme="minorHAnsi" w:hAnsiTheme="minorHAnsi"/>
          <w:szCs w:val="24"/>
        </w:rPr>
        <w:t>r</w:t>
      </w:r>
      <w:r w:rsidRPr="004C7FBE">
        <w:rPr>
          <w:rFonts w:asciiTheme="minorHAnsi" w:hAnsiTheme="minorHAnsi"/>
          <w:szCs w:val="24"/>
        </w:rPr>
        <w:t xml:space="preserve">eport). </w:t>
      </w:r>
    </w:p>
    <w:p w:rsidR="006424F5" w:rsidRPr="004C7FBE" w:rsidRDefault="006424F5" w:rsidP="00E646C9">
      <w:pPr>
        <w:pStyle w:val="ListParagraph"/>
        <w:numPr>
          <w:ilvl w:val="0"/>
          <w:numId w:val="129"/>
        </w:numPr>
        <w:spacing w:before="160"/>
        <w:ind w:left="360"/>
        <w:rPr>
          <w:rFonts w:asciiTheme="minorHAnsi" w:hAnsiTheme="minorHAnsi"/>
          <w:szCs w:val="24"/>
        </w:rPr>
      </w:pPr>
      <w:r w:rsidRPr="004C7FBE">
        <w:rPr>
          <w:rFonts w:asciiTheme="minorHAnsi" w:hAnsiTheme="minorHAnsi"/>
          <w:szCs w:val="24"/>
        </w:rPr>
        <w:t xml:space="preserve">Cadmus and PPL decided not to conduct interviews with agricultural trade allies in the Prescriptive Rebate Program, due to several complications (see Section 2.4.2 in the </w:t>
      </w:r>
      <w:r w:rsidR="00155563">
        <w:rPr>
          <w:rFonts w:asciiTheme="minorHAnsi" w:hAnsiTheme="minorHAnsi"/>
          <w:szCs w:val="24"/>
        </w:rPr>
        <w:t>a</w:t>
      </w:r>
      <w:r w:rsidRPr="004C7FBE">
        <w:rPr>
          <w:rFonts w:asciiTheme="minorHAnsi" w:hAnsiTheme="minorHAnsi"/>
          <w:szCs w:val="24"/>
        </w:rPr>
        <w:t xml:space="preserve">nnual </w:t>
      </w:r>
      <w:r w:rsidR="00155563">
        <w:rPr>
          <w:rFonts w:asciiTheme="minorHAnsi" w:hAnsiTheme="minorHAnsi"/>
          <w:szCs w:val="24"/>
        </w:rPr>
        <w:t>r</w:t>
      </w:r>
      <w:r w:rsidRPr="004C7FBE">
        <w:rPr>
          <w:rFonts w:asciiTheme="minorHAnsi" w:hAnsiTheme="minorHAnsi"/>
          <w:szCs w:val="24"/>
        </w:rPr>
        <w:t xml:space="preserve">eport). </w:t>
      </w:r>
    </w:p>
    <w:p w:rsidR="002E051C" w:rsidRPr="004C7FBE" w:rsidRDefault="006424F5" w:rsidP="00E646C9">
      <w:pPr>
        <w:pStyle w:val="ListParagraph"/>
        <w:numPr>
          <w:ilvl w:val="0"/>
          <w:numId w:val="129"/>
        </w:numPr>
        <w:spacing w:before="160"/>
        <w:ind w:left="360"/>
        <w:rPr>
          <w:rFonts w:asciiTheme="minorHAnsi" w:hAnsiTheme="minorHAnsi"/>
          <w:szCs w:val="24"/>
        </w:rPr>
      </w:pPr>
      <w:r w:rsidRPr="004C7FBE">
        <w:rPr>
          <w:rFonts w:asciiTheme="minorHAnsi" w:hAnsiTheme="minorHAnsi"/>
          <w:szCs w:val="24"/>
        </w:rPr>
        <w:t xml:space="preserve">Cadmus did not complete the targeted number of completed interviews with energy champions in the Continuous Energy Improvement Program (see Section 13.4.3.2 in the </w:t>
      </w:r>
      <w:r w:rsidR="00155563">
        <w:rPr>
          <w:rFonts w:asciiTheme="minorHAnsi" w:hAnsiTheme="minorHAnsi"/>
          <w:szCs w:val="24"/>
        </w:rPr>
        <w:t>a</w:t>
      </w:r>
      <w:r w:rsidRPr="004C7FBE">
        <w:rPr>
          <w:rFonts w:asciiTheme="minorHAnsi" w:hAnsiTheme="minorHAnsi"/>
          <w:szCs w:val="24"/>
        </w:rPr>
        <w:t xml:space="preserve">nnual </w:t>
      </w:r>
      <w:r w:rsidR="00155563">
        <w:rPr>
          <w:rFonts w:asciiTheme="minorHAnsi" w:hAnsiTheme="minorHAnsi"/>
          <w:szCs w:val="24"/>
        </w:rPr>
        <w:t>r</w:t>
      </w:r>
      <w:r w:rsidRPr="004C7FBE">
        <w:rPr>
          <w:rFonts w:asciiTheme="minorHAnsi" w:hAnsiTheme="minorHAnsi"/>
          <w:szCs w:val="24"/>
        </w:rPr>
        <w:t>eport).</w:t>
      </w:r>
    </w:p>
    <w:p w:rsidR="002E051C" w:rsidRPr="002E051C" w:rsidRDefault="002E051C" w:rsidP="002E051C">
      <w:pPr>
        <w:rPr>
          <w:rFonts w:asciiTheme="minorHAnsi" w:hAnsiTheme="minorHAnsi"/>
        </w:rPr>
      </w:pPr>
    </w:p>
    <w:p w:rsidR="002E051C" w:rsidRPr="004C7FBE" w:rsidRDefault="002E051C" w:rsidP="004C7FBE">
      <w:r w:rsidRPr="004C7FBE">
        <w:t>The findings were presented in a clear manner with one exception: results in Sections 4.4.9, 4.4.10, and 4.4.11 would be easier to process if provided in a table instead of bullets or short paragraphs. The conclusions overall were well supported by the findings, and were mostly concise and informative. The recommendations followed from the conclusions, and most of the recommendations were clear and actionable. The SWE Team did note two Custom Incentive Program recommendations that included multiple recommendations that could be separated.</w:t>
      </w:r>
    </w:p>
    <w:p w:rsidR="002E051C" w:rsidRPr="004C7FBE" w:rsidRDefault="002E051C" w:rsidP="004C7FBE"/>
    <w:p w:rsidR="006424F5" w:rsidRPr="004C7FBE" w:rsidRDefault="002E051C" w:rsidP="004C7FBE">
      <w:r w:rsidRPr="004C7FBE">
        <w:t xml:space="preserve">For each program, a brief program description, summary of the process evaluation findings, and review (audit) of the annual report follow below. The SWE Team notes two general comments about the methods discussions for the process evaluations of all programs. </w:t>
      </w:r>
    </w:p>
    <w:p w:rsidR="006424F5" w:rsidRPr="004C7FBE" w:rsidRDefault="006424F5" w:rsidP="004C7FBE"/>
    <w:p w:rsidR="002E051C" w:rsidRPr="004C7FBE" w:rsidRDefault="006424F5" w:rsidP="004C7FBE">
      <w:r w:rsidRPr="004C7FBE">
        <w:t>First, the sample and disposition tables for the surveys conducted as part of the process evaluation are missing the survey mode (web, phone, mail) used; however, this was provided in the text. The addition of the survey mode would complete the tables and make it so the reader does not have to refer to the text to find which mode was used. The SWE Team notes that it did not include survey mode in this table’s template provided to the EDCs, but that the mode would be a good addition. Second, including more information about the methods used to conduct analyses, such as the type of analysis (e.g., means, medians, frequencies, percentages, qualitative coding) and the types (e.g., Chi-square, t-test) and values of any statistical tests conducted, would be very informative.</w:t>
      </w:r>
    </w:p>
    <w:p w:rsidR="002E051C" w:rsidRPr="002E051C" w:rsidRDefault="002E051C" w:rsidP="002E051C"/>
    <w:p w:rsidR="002E051C" w:rsidRPr="002E051C" w:rsidRDefault="002E051C" w:rsidP="00D613BE">
      <w:pPr>
        <w:pStyle w:val="AppendixBHeading3"/>
      </w:pPr>
      <w:r w:rsidRPr="002E051C">
        <w:t>Continuous Energy Improvement Program</w:t>
      </w:r>
    </w:p>
    <w:p w:rsidR="002E051C" w:rsidRPr="002E051C" w:rsidRDefault="002E051C" w:rsidP="00D613BE">
      <w:pPr>
        <w:pStyle w:val="AppendixBHeading4"/>
      </w:pPr>
      <w:r w:rsidRPr="002E051C">
        <w:t>Brief Overview of the Program and Its Success</w:t>
      </w:r>
    </w:p>
    <w:p w:rsidR="002E051C" w:rsidRPr="004C7FBE" w:rsidRDefault="006424F5" w:rsidP="004C7FBE">
      <w:r w:rsidRPr="004C7FBE">
        <w:t>The Continuous Energy Improvement Program provides technical support for schools to develop and implement a Strategic Energy Management Plan (SEMP). The implementer, Strategic Energy Group, assists all schools within each of the 8 participating districts with development of a SEMP to implement.</w:t>
      </w:r>
      <w:r w:rsidR="002E051C" w:rsidRPr="004C7FBE">
        <w:t xml:space="preserve"> </w:t>
      </w:r>
    </w:p>
    <w:p w:rsidR="002E051C" w:rsidRPr="004C7FBE" w:rsidRDefault="002E051C" w:rsidP="004C7FBE"/>
    <w:p w:rsidR="002E051C" w:rsidRPr="002E051C" w:rsidRDefault="006424F5" w:rsidP="002E051C">
      <w:r w:rsidRPr="00C52A0B">
        <w:t>Each district identifies an energy manager to develop an energy reduction goal, a methodology for measuring energy savings, and a plan to continually improve its energy performance. Best practices are shared during monthly meetings, workshops, and conference calls led by the implementer. Forty-four schools cont</w:t>
      </w:r>
      <w:r>
        <w:t>inued participation through PY7</w:t>
      </w:r>
      <w:r w:rsidR="002E051C" w:rsidRPr="002E051C">
        <w:t>.</w:t>
      </w:r>
    </w:p>
    <w:p w:rsidR="002E051C" w:rsidRPr="002E051C" w:rsidRDefault="002E051C" w:rsidP="002E051C"/>
    <w:p w:rsidR="002E051C" w:rsidRPr="002E051C" w:rsidRDefault="006424F5" w:rsidP="002E051C">
      <w:r w:rsidRPr="00C52A0B">
        <w:t>The program met or exceeded its PY7 and Phase II planned MWh/yr energy savings and participation. In PY7, the program achieved 183% of its planned energy savings and 100% of its planned participation. For all of Phase II, the program achieved 149% of its planned energy savings and 100% of its planned participation.</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2E051C">
      <w:pPr>
        <w:spacing w:after="120"/>
      </w:pPr>
      <w:r w:rsidRPr="002E051C">
        <w:t xml:space="preserve">In PY7, Cadmus conducted two interviews with program staff and the implementer, 23 participant surveys with school district energy managers and school energy champions, and a database review and QA/QC review of records. Cadmus also measured a key performance indicator for the program, customer satisfaction. </w:t>
      </w:r>
    </w:p>
    <w:p w:rsidR="002E051C" w:rsidRPr="002E051C" w:rsidRDefault="002E051C" w:rsidP="002E051C">
      <w:pPr>
        <w:spacing w:after="120"/>
      </w:pPr>
      <w:r w:rsidRPr="002E051C">
        <w:t>Findings from the process evaluation included the following:</w:t>
      </w:r>
    </w:p>
    <w:p w:rsidR="002E051C" w:rsidRPr="004C7FBE" w:rsidRDefault="002E051C" w:rsidP="00E646C9">
      <w:pPr>
        <w:pStyle w:val="ListParagraph"/>
        <w:numPr>
          <w:ilvl w:val="0"/>
          <w:numId w:val="130"/>
        </w:numPr>
        <w:ind w:left="360"/>
        <w:rPr>
          <w:rFonts w:eastAsia="Calibri"/>
        </w:rPr>
      </w:pPr>
      <w:r w:rsidRPr="004C7FBE">
        <w:rPr>
          <w:rFonts w:eastAsia="Calibri"/>
        </w:rPr>
        <w:t>The program met or exceeded its PY7 and Phase II planned energy savings, and participation. This was due in part to school districts having higher consumption than initially assumed during program design, resulting in many more opportunities to save energy, and some schools had non-incented capital improvement projects ongoing during the baseline and performance periods.</w:t>
      </w:r>
    </w:p>
    <w:p w:rsidR="002E051C" w:rsidRPr="004C7FBE" w:rsidRDefault="002E051C" w:rsidP="00E646C9">
      <w:pPr>
        <w:pStyle w:val="ListParagraph"/>
        <w:numPr>
          <w:ilvl w:val="0"/>
          <w:numId w:val="130"/>
        </w:numPr>
        <w:ind w:left="360"/>
        <w:rPr>
          <w:rFonts w:eastAsia="Calibri"/>
        </w:rPr>
      </w:pPr>
      <w:r w:rsidRPr="004C7FBE">
        <w:rPr>
          <w:rFonts w:eastAsia="Calibri"/>
        </w:rPr>
        <w:t>Interviewed staff reported that the program is working well, with schools taking ownership of the program and doing SEMP plans on their own.</w:t>
      </w:r>
    </w:p>
    <w:p w:rsidR="002E051C" w:rsidRPr="004C7FBE" w:rsidRDefault="002E051C" w:rsidP="00E646C9">
      <w:pPr>
        <w:pStyle w:val="ListParagraph"/>
        <w:numPr>
          <w:ilvl w:val="0"/>
          <w:numId w:val="130"/>
        </w:numPr>
        <w:ind w:left="360"/>
        <w:rPr>
          <w:rFonts w:eastAsia="Calibri"/>
        </w:rPr>
      </w:pPr>
      <w:r w:rsidRPr="004C7FBE">
        <w:rPr>
          <w:rFonts w:eastAsia="Calibri"/>
        </w:rPr>
        <w:t>The implementer mentioned two challenges: expanding the pilot to the rest of the schools in the districts was more time consuming due to insufficient communication between the schools and the program, and schools did not regularly or consistently report their energy usage in the EPA Portfolio Manager software used for tracking energy usage.</w:t>
      </w:r>
    </w:p>
    <w:p w:rsidR="002E051C" w:rsidRPr="004C7FBE" w:rsidRDefault="002E051C" w:rsidP="00E646C9">
      <w:pPr>
        <w:pStyle w:val="ListParagraph"/>
        <w:numPr>
          <w:ilvl w:val="0"/>
          <w:numId w:val="130"/>
        </w:numPr>
        <w:ind w:left="360"/>
        <w:rPr>
          <w:rFonts w:eastAsia="Calibri"/>
        </w:rPr>
      </w:pPr>
      <w:r w:rsidRPr="004C7FBE">
        <w:rPr>
          <w:rFonts w:eastAsia="Calibri"/>
        </w:rPr>
        <w:t xml:space="preserve">Cadmus created a participant profile of the schools and districts. </w:t>
      </w:r>
    </w:p>
    <w:p w:rsidR="002E051C" w:rsidRPr="004C7FBE" w:rsidRDefault="002E051C" w:rsidP="00E646C9">
      <w:pPr>
        <w:pStyle w:val="ListParagraph"/>
        <w:numPr>
          <w:ilvl w:val="0"/>
          <w:numId w:val="130"/>
        </w:numPr>
        <w:ind w:left="360"/>
        <w:rPr>
          <w:rFonts w:eastAsia="Calibri"/>
        </w:rPr>
      </w:pPr>
      <w:r w:rsidRPr="004C7FBE">
        <w:rPr>
          <w:rFonts w:eastAsia="Calibri"/>
        </w:rPr>
        <w:t>Customer satisfaction exceeded the planned target of 80% reported satisfaction; 87% of surveyed participants reported being very satisfied, and 13% reported being somewhat satisfied with the program. Participants were especially satisfied with the monthly</w:t>
      </w:r>
      <w:r w:rsidR="001B5734" w:rsidRPr="004C7FBE">
        <w:rPr>
          <w:rFonts w:eastAsia="Calibri"/>
        </w:rPr>
        <w:t xml:space="preserve"> monitoring, targeting and reporting (</w:t>
      </w:r>
      <w:r w:rsidRPr="004C7FBE">
        <w:rPr>
          <w:rFonts w:eastAsia="Calibri"/>
        </w:rPr>
        <w:t>MT&amp;R</w:t>
      </w:r>
      <w:r w:rsidR="001B5734" w:rsidRPr="004C7FBE">
        <w:rPr>
          <w:rFonts w:eastAsia="Calibri"/>
        </w:rPr>
        <w:t>)</w:t>
      </w:r>
      <w:r w:rsidRPr="004C7FBE">
        <w:rPr>
          <w:rFonts w:eastAsia="Calibri"/>
        </w:rPr>
        <w:t xml:space="preserve"> meetings and receiving information about their energy use. </w:t>
      </w:r>
    </w:p>
    <w:p w:rsidR="002E051C" w:rsidRPr="004C7FBE" w:rsidRDefault="002E051C" w:rsidP="00E646C9">
      <w:pPr>
        <w:pStyle w:val="ListParagraph"/>
        <w:numPr>
          <w:ilvl w:val="0"/>
          <w:numId w:val="130"/>
        </w:numPr>
        <w:ind w:left="360"/>
        <w:rPr>
          <w:rFonts w:eastAsia="Calibri"/>
        </w:rPr>
      </w:pPr>
      <w:r w:rsidRPr="004C7FBE">
        <w:rPr>
          <w:rFonts w:eastAsia="Calibri"/>
        </w:rPr>
        <w:t>Surveyed school district energy managers and school champions reported that the greatest challenges involved organizing and gaining commitment from others involved in the schools and not having enough time to dedicate to the program. Some school energy champions also reported not having enough information to make plans and take action, and having difficulty maintaining momentum with the program.</w:t>
      </w:r>
    </w:p>
    <w:p w:rsidR="002E051C" w:rsidRPr="004C7FBE" w:rsidRDefault="002E051C" w:rsidP="00E646C9">
      <w:pPr>
        <w:pStyle w:val="ListParagraph"/>
        <w:numPr>
          <w:ilvl w:val="0"/>
          <w:numId w:val="130"/>
        </w:numPr>
        <w:ind w:left="360"/>
        <w:rPr>
          <w:rFonts w:eastAsia="Calibri"/>
        </w:rPr>
      </w:pPr>
      <w:r w:rsidRPr="004C7FBE">
        <w:rPr>
          <w:rFonts w:eastAsia="Calibri"/>
        </w:rPr>
        <w:t>Most surveyed participants indicated that their district or school would not have enrolled in the program without the incentive.</w:t>
      </w:r>
    </w:p>
    <w:p w:rsidR="002E051C" w:rsidRPr="004C7FBE" w:rsidRDefault="002E051C" w:rsidP="00E646C9">
      <w:pPr>
        <w:pStyle w:val="ListParagraph"/>
        <w:numPr>
          <w:ilvl w:val="0"/>
          <w:numId w:val="130"/>
        </w:numPr>
        <w:ind w:left="360"/>
        <w:rPr>
          <w:rFonts w:eastAsia="Calibri"/>
        </w:rPr>
      </w:pPr>
      <w:r w:rsidRPr="004C7FBE">
        <w:rPr>
          <w:rFonts w:eastAsia="Calibri"/>
        </w:rPr>
        <w:t xml:space="preserve">All surveyed participants reported high overall satisfaction with PPL. Over half of participants said their opinion of PPL improved after participating in the program. </w:t>
      </w:r>
    </w:p>
    <w:p w:rsidR="002E051C" w:rsidRPr="004C7FBE" w:rsidRDefault="002E051C" w:rsidP="00E646C9">
      <w:pPr>
        <w:pStyle w:val="ListParagraph"/>
        <w:numPr>
          <w:ilvl w:val="0"/>
          <w:numId w:val="130"/>
        </w:numPr>
        <w:ind w:left="360"/>
        <w:rPr>
          <w:rFonts w:eastAsia="Calibri"/>
        </w:rPr>
      </w:pPr>
      <w:r w:rsidRPr="004C7FBE">
        <w:rPr>
          <w:rFonts w:eastAsia="Calibri"/>
        </w:rPr>
        <w:t>Overall, SEMP adoption was high across all program participants, with all of the school districts having some or full adoption of practices involving customer commitment, planning and implementation, and measuring and reporting energy performance. However, the number of schools with full adoption declined from PY6, due to infrequent updates of program planning materials.</w:t>
      </w:r>
    </w:p>
    <w:p w:rsidR="00236598" w:rsidRPr="004C7FBE" w:rsidRDefault="002E051C" w:rsidP="00E646C9">
      <w:pPr>
        <w:pStyle w:val="ListParagraph"/>
        <w:numPr>
          <w:ilvl w:val="0"/>
          <w:numId w:val="130"/>
        </w:numPr>
        <w:ind w:left="360"/>
        <w:rPr>
          <w:rFonts w:eastAsia="Calibri"/>
        </w:rPr>
      </w:pPr>
      <w:r w:rsidRPr="004C7FBE">
        <w:rPr>
          <w:rFonts w:eastAsia="Calibri"/>
        </w:rPr>
        <w:t>Most survey participants reported that the program was extremely or somewhat influential in their decision to implement energy efficiency projects.</w:t>
      </w:r>
    </w:p>
    <w:p w:rsidR="002057C5" w:rsidRPr="002057C5" w:rsidRDefault="002057C5" w:rsidP="002057C5"/>
    <w:p w:rsidR="002E051C" w:rsidRPr="002E051C" w:rsidRDefault="002E051C" w:rsidP="003E7847">
      <w:pPr>
        <w:pStyle w:val="AppendixBHeading4"/>
      </w:pPr>
      <w:r w:rsidRPr="002E051C">
        <w:t>Summary of the Process Evaluation Audit</w:t>
      </w:r>
    </w:p>
    <w:p w:rsidR="002E051C" w:rsidRPr="002E051C" w:rsidRDefault="003E0A5C" w:rsidP="002E051C">
      <w:r w:rsidRPr="00C52A0B">
        <w:t>The evaluation was consistent with the evaluation plan. The methodology section adequately explained the evaluation activities and analyses, and included the required sampling and disposition information and tables. Including more information about the methods used to conduct analyses, such as the type of analysis used, would be very informative. None of the interviews required sampling, and Cadmus achieved the targeted number of completed interviews with all groups except energy champions (n=15/18). While the survey mode is discussed in the text, adding the mode used for surveys (web, phone, mail) in Table 13-12 would complete the table and inform the reader witho</w:t>
      </w:r>
      <w:r>
        <w:t>ut having to refer to the text.</w:t>
      </w:r>
      <w:r w:rsidR="002E051C" w:rsidRPr="002E051C">
        <w:t xml:space="preserve"> </w:t>
      </w:r>
    </w:p>
    <w:p w:rsidR="002E051C" w:rsidRPr="002E051C" w:rsidRDefault="002E051C" w:rsidP="002E051C"/>
    <w:p w:rsidR="002E051C" w:rsidRPr="002E051C" w:rsidRDefault="002E051C" w:rsidP="002E051C">
      <w:r w:rsidRPr="002E051C">
        <w:t>Program findings were clearly summarized, with actionable recommendations following from conclusions supported by ample evidence. The report also included a table of recommendations with a description of whether PPL was implementing or considering those recommendations.</w:t>
      </w:r>
    </w:p>
    <w:p w:rsidR="002E051C" w:rsidRPr="002E051C" w:rsidRDefault="002E051C" w:rsidP="002E051C"/>
    <w:p w:rsidR="002E051C" w:rsidRPr="002E051C" w:rsidRDefault="002E051C" w:rsidP="00D613BE">
      <w:pPr>
        <w:pStyle w:val="AppendixBHeading3"/>
      </w:pPr>
      <w:r w:rsidRPr="002E051C">
        <w:t xml:space="preserve">Custom Incentive Program </w:t>
      </w:r>
    </w:p>
    <w:p w:rsidR="002E051C" w:rsidRPr="002E051C" w:rsidRDefault="002E051C" w:rsidP="00D613BE">
      <w:pPr>
        <w:pStyle w:val="AppendixBHeading4"/>
      </w:pPr>
      <w:r w:rsidRPr="002E051C">
        <w:t>Brief Overview of the Program and Its Success</w:t>
      </w:r>
    </w:p>
    <w:p w:rsidR="002E051C" w:rsidRPr="002E051C" w:rsidRDefault="002E051C" w:rsidP="002E051C">
      <w:r w:rsidRPr="002E051C">
        <w:t>The C/I Custom Incentive Program offers financial incentives to customers for installing extensive energy efficiency projects, retro-commissioning existing equipment, making repairs, optimizing equipment, making operational and process improvements that result in cost-effective energy savings, and installing equipment measures or systems that are not covered by the Prescriptive Equipment Program or the Pennsylvania TRM. The program offers performance-based incentives for the avoided or reduced energy consumption resulting from the project, and there is an annual cap for the incentive amount for each project and customer. Proposed upgrades must be pass the program’s cost-effectiveness criteria, and projects must be approved by the implementer, DNV GL Energy Services USA, before equipment can be installed. Eligible customers are reimbursed up to 50% of a project’s costs (not including labor) upon completion of a successful, cost-effective project. The program ended in PY7.</w:t>
      </w:r>
    </w:p>
    <w:p w:rsidR="002E051C" w:rsidRPr="002E051C" w:rsidRDefault="002E051C" w:rsidP="002E051C"/>
    <w:p w:rsidR="002E051C" w:rsidRPr="002E051C" w:rsidRDefault="003E0A5C" w:rsidP="002E051C">
      <w:r w:rsidRPr="00C52A0B">
        <w:t>The program exceeded it planned PY7 goals but did not meet its planned goals for all of Phase II. In PY7, the program achieved 125% of its planned MWh/yr energy savings but the program did not have planned participation for PY7. For all of Phase II, the program achieved 91% of its planned MWh/yr energy savings goal and 89% of its planned participation.</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2E051C">
      <w:pPr>
        <w:autoSpaceDE w:val="0"/>
        <w:autoSpaceDN w:val="0"/>
        <w:adjustRightInd w:val="0"/>
        <w:spacing w:after="120"/>
        <w:jc w:val="left"/>
      </w:pPr>
      <w:r w:rsidRPr="002E051C">
        <w:t xml:space="preserve">In PY7, Cadmus conducted two interviews with program and implementer staff and 24 phone and web participant surveys representing 26 properties. Cadmus also measured a key performance indicator for the program, customer satisfaction.          </w:t>
      </w:r>
    </w:p>
    <w:p w:rsidR="002E051C" w:rsidRPr="002E051C" w:rsidRDefault="002E051C" w:rsidP="002E051C">
      <w:pPr>
        <w:autoSpaceDE w:val="0"/>
        <w:autoSpaceDN w:val="0"/>
        <w:adjustRightInd w:val="0"/>
        <w:spacing w:after="120"/>
      </w:pPr>
      <w:r w:rsidRPr="002E051C">
        <w:t>The following findings emerged from the process evaluation:</w:t>
      </w:r>
    </w:p>
    <w:p w:rsidR="002E051C" w:rsidRPr="004C7FBE" w:rsidRDefault="002E051C" w:rsidP="00E646C9">
      <w:pPr>
        <w:pStyle w:val="ListParagraph"/>
        <w:numPr>
          <w:ilvl w:val="0"/>
          <w:numId w:val="131"/>
        </w:numPr>
        <w:ind w:left="360"/>
        <w:rPr>
          <w:rFonts w:eastAsia="Calibri"/>
        </w:rPr>
      </w:pPr>
      <w:r w:rsidRPr="004C7FBE">
        <w:rPr>
          <w:rFonts w:eastAsia="Calibri"/>
        </w:rPr>
        <w:t>The program exceeded its PY7</w:t>
      </w:r>
      <w:r w:rsidR="003E0A5C" w:rsidRPr="004C7FBE">
        <w:rPr>
          <w:rFonts w:eastAsia="Calibri"/>
        </w:rPr>
        <w:t xml:space="preserve"> planned</w:t>
      </w:r>
      <w:r w:rsidRPr="004C7FBE">
        <w:rPr>
          <w:rFonts w:eastAsia="Calibri"/>
        </w:rPr>
        <w:t xml:space="preserve"> energy savings but did not meet its</w:t>
      </w:r>
      <w:r w:rsidR="003E0A5C" w:rsidRPr="004C7FBE">
        <w:rPr>
          <w:rFonts w:eastAsia="Calibri"/>
        </w:rPr>
        <w:t xml:space="preserve"> planned</w:t>
      </w:r>
      <w:r w:rsidRPr="004C7FBE">
        <w:rPr>
          <w:rFonts w:eastAsia="Calibri"/>
        </w:rPr>
        <w:t xml:space="preserve"> Phase II energy savings, </w:t>
      </w:r>
      <w:r w:rsidR="003E0A5C" w:rsidRPr="004C7FBE">
        <w:rPr>
          <w:rFonts w:eastAsia="Calibri"/>
        </w:rPr>
        <w:t>or participation</w:t>
      </w:r>
      <w:r w:rsidRPr="004C7FBE">
        <w:rPr>
          <w:rFonts w:eastAsia="Calibri"/>
        </w:rPr>
        <w:t>.</w:t>
      </w:r>
    </w:p>
    <w:p w:rsidR="002E051C" w:rsidRPr="004C7FBE" w:rsidRDefault="002E051C" w:rsidP="00E646C9">
      <w:pPr>
        <w:pStyle w:val="ListParagraph"/>
        <w:numPr>
          <w:ilvl w:val="0"/>
          <w:numId w:val="131"/>
        </w:numPr>
        <w:ind w:left="360"/>
        <w:rPr>
          <w:rFonts w:eastAsia="Calibri"/>
        </w:rPr>
      </w:pPr>
      <w:r w:rsidRPr="004C7FBE">
        <w:rPr>
          <w:rFonts w:eastAsia="Calibri"/>
        </w:rPr>
        <w:t>Cadmus created participant profiles of participating customers.</w:t>
      </w:r>
    </w:p>
    <w:p w:rsidR="002E051C" w:rsidRPr="004C7FBE" w:rsidRDefault="002E051C" w:rsidP="00E646C9">
      <w:pPr>
        <w:pStyle w:val="ListParagraph"/>
        <w:numPr>
          <w:ilvl w:val="0"/>
          <w:numId w:val="131"/>
        </w:numPr>
        <w:ind w:left="360"/>
        <w:rPr>
          <w:rFonts w:eastAsia="Calibri"/>
        </w:rPr>
      </w:pPr>
      <w:r w:rsidRPr="004C7FBE">
        <w:rPr>
          <w:rFonts w:eastAsia="Calibri"/>
        </w:rPr>
        <w:t>Customer satisfaction exceeded the planned target of 80% reported satisfaction; 87% of surveyed participants reported high satisfaction. Most participants were also very or somewhat satisfied with the application process, the program’s terms and conditions, eligibility requirements, availability of qualified equipment, performance of installed equipment, time to complete paperwork, convenience of inspections, and simplicity of the overall process. For the majority of these program elements, customer satisfaction increased from PY6.</w:t>
      </w:r>
    </w:p>
    <w:p w:rsidR="002E051C" w:rsidRPr="004C7FBE" w:rsidRDefault="002E051C" w:rsidP="00E646C9">
      <w:pPr>
        <w:pStyle w:val="ListParagraph"/>
        <w:numPr>
          <w:ilvl w:val="0"/>
          <w:numId w:val="131"/>
        </w:numPr>
        <w:ind w:left="360"/>
        <w:rPr>
          <w:rFonts w:eastAsia="Calibri"/>
        </w:rPr>
      </w:pPr>
      <w:r w:rsidRPr="004C7FBE">
        <w:rPr>
          <w:rFonts w:eastAsia="Calibri"/>
        </w:rPr>
        <w:t>Most surveyed customers reported high satisfaction with PPL, and satisfaction increased from PY6. About one-</w:t>
      </w:r>
      <w:r w:rsidR="00D85A9E" w:rsidRPr="004C7FBE">
        <w:rPr>
          <w:rFonts w:eastAsia="Calibri"/>
        </w:rPr>
        <w:t>third</w:t>
      </w:r>
      <w:r w:rsidRPr="004C7FBE">
        <w:rPr>
          <w:rFonts w:eastAsia="Calibri"/>
        </w:rPr>
        <w:t xml:space="preserve"> of surveyed customers </w:t>
      </w:r>
      <w:r w:rsidR="00D85A9E" w:rsidRPr="004C7FBE">
        <w:rPr>
          <w:rFonts w:eastAsia="Calibri"/>
        </w:rPr>
        <w:t xml:space="preserve">(7 out of 24) </w:t>
      </w:r>
      <w:r w:rsidRPr="004C7FBE">
        <w:rPr>
          <w:rFonts w:eastAsia="Calibri"/>
        </w:rPr>
        <w:t xml:space="preserve">reported that their opinion improved after participating, but </w:t>
      </w:r>
      <w:r w:rsidR="003E0A5C" w:rsidRPr="004C7FBE">
        <w:rPr>
          <w:rFonts w:eastAsia="Calibri"/>
        </w:rPr>
        <w:t>a majority</w:t>
      </w:r>
      <w:r w:rsidRPr="004C7FBE">
        <w:rPr>
          <w:rFonts w:eastAsia="Calibri"/>
        </w:rPr>
        <w:t xml:space="preserve"> </w:t>
      </w:r>
      <w:r w:rsidR="00D85A9E" w:rsidRPr="004C7FBE">
        <w:rPr>
          <w:rFonts w:eastAsia="Calibri"/>
        </w:rPr>
        <w:t>(58%)</w:t>
      </w:r>
      <w:r w:rsidRPr="004C7FBE">
        <w:rPr>
          <w:rFonts w:eastAsia="Calibri"/>
        </w:rPr>
        <w:t xml:space="preserve"> reported that their opinion did not change.</w:t>
      </w:r>
    </w:p>
    <w:p w:rsidR="002E051C" w:rsidRPr="004C7FBE" w:rsidRDefault="002E051C" w:rsidP="00E646C9">
      <w:pPr>
        <w:pStyle w:val="ListParagraph"/>
        <w:numPr>
          <w:ilvl w:val="0"/>
          <w:numId w:val="131"/>
        </w:numPr>
        <w:ind w:left="360"/>
        <w:rPr>
          <w:rFonts w:eastAsia="Calibri"/>
        </w:rPr>
      </w:pPr>
      <w:r w:rsidRPr="004C7FBE">
        <w:rPr>
          <w:rFonts w:eastAsia="Calibri"/>
        </w:rPr>
        <w:t xml:space="preserve">Surveyed participants commented that program </w:t>
      </w:r>
      <w:r w:rsidR="00155563" w:rsidRPr="004C7FBE">
        <w:rPr>
          <w:rFonts w:eastAsia="Calibri"/>
        </w:rPr>
        <w:t>staff was</w:t>
      </w:r>
      <w:r w:rsidRPr="004C7FBE">
        <w:rPr>
          <w:rFonts w:eastAsia="Calibri"/>
        </w:rPr>
        <w:t xml:space="preserve"> very helpful and that projects moved fairly quickly and seamlessly once they got started.</w:t>
      </w:r>
    </w:p>
    <w:p w:rsidR="002E051C" w:rsidRPr="004C7FBE" w:rsidRDefault="002E051C" w:rsidP="00E646C9">
      <w:pPr>
        <w:pStyle w:val="ListParagraph"/>
        <w:numPr>
          <w:ilvl w:val="0"/>
          <w:numId w:val="131"/>
        </w:numPr>
        <w:ind w:left="360"/>
        <w:rPr>
          <w:rFonts w:eastAsia="Calibri"/>
        </w:rPr>
      </w:pPr>
      <w:r w:rsidRPr="004C7FBE">
        <w:rPr>
          <w:rFonts w:eastAsia="Calibri"/>
        </w:rPr>
        <w:t>Surveyed customers suggested improvements to the program, including providing better communication about timing, completing the review of materials and application steps more quickly, providing more options for rebated equipment, and improving the wait list.</w:t>
      </w:r>
    </w:p>
    <w:p w:rsidR="002E051C" w:rsidRPr="004C7FBE" w:rsidRDefault="002E051C" w:rsidP="00E646C9">
      <w:pPr>
        <w:pStyle w:val="ListParagraph"/>
        <w:numPr>
          <w:ilvl w:val="0"/>
          <w:numId w:val="131"/>
        </w:numPr>
        <w:ind w:left="360"/>
        <w:rPr>
          <w:rFonts w:eastAsia="Calibri"/>
        </w:rPr>
      </w:pPr>
      <w:r w:rsidRPr="004C7FBE">
        <w:rPr>
          <w:rFonts w:eastAsia="Calibri"/>
        </w:rPr>
        <w:t>Surveyed customers chose to upgrade equipment to replace old or broken equipment, save money/energy, or make improvements to existing systems.</w:t>
      </w:r>
    </w:p>
    <w:p w:rsidR="002E051C" w:rsidRPr="004C7FBE" w:rsidRDefault="002E051C" w:rsidP="00E646C9">
      <w:pPr>
        <w:pStyle w:val="ListParagraph"/>
        <w:numPr>
          <w:ilvl w:val="0"/>
          <w:numId w:val="131"/>
        </w:numPr>
        <w:ind w:left="360"/>
        <w:rPr>
          <w:rFonts w:eastAsia="Calibri"/>
        </w:rPr>
      </w:pPr>
      <w:r w:rsidRPr="004C7FBE">
        <w:rPr>
          <w:rFonts w:eastAsia="Calibri"/>
        </w:rPr>
        <w:t>Most respondents began thinking about their projects because of staff recommendations, internal observations, or recommendations from a contractor or auditor.</w:t>
      </w:r>
    </w:p>
    <w:p w:rsidR="002E051C" w:rsidRPr="004C7FBE" w:rsidRDefault="002E051C" w:rsidP="00E646C9">
      <w:pPr>
        <w:pStyle w:val="ListParagraph"/>
        <w:numPr>
          <w:ilvl w:val="0"/>
          <w:numId w:val="131"/>
        </w:numPr>
        <w:ind w:left="360"/>
        <w:rPr>
          <w:rFonts w:eastAsia="Calibri"/>
        </w:rPr>
      </w:pPr>
      <w:r w:rsidRPr="004C7FBE">
        <w:rPr>
          <w:rFonts w:eastAsia="Calibri"/>
        </w:rPr>
        <w:t>Most respondents reported that their contractor, vendor, or distributor provided the most assistance in designing their project.</w:t>
      </w:r>
    </w:p>
    <w:p w:rsidR="002E051C" w:rsidRPr="004C7FBE" w:rsidRDefault="002E051C" w:rsidP="00E646C9">
      <w:pPr>
        <w:pStyle w:val="ListParagraph"/>
        <w:numPr>
          <w:ilvl w:val="0"/>
          <w:numId w:val="131"/>
        </w:numPr>
        <w:ind w:left="360"/>
        <w:rPr>
          <w:rFonts w:eastAsia="Calibri"/>
        </w:rPr>
      </w:pPr>
      <w:r w:rsidRPr="004C7FBE">
        <w:rPr>
          <w:rFonts w:eastAsia="Calibri"/>
        </w:rPr>
        <w:t>The most important reported criteria for determining whether to go forward with a project were the return on investment, energy and operating costs, and initial costs.</w:t>
      </w:r>
    </w:p>
    <w:p w:rsidR="002E051C" w:rsidRPr="002E051C" w:rsidRDefault="002E051C" w:rsidP="002E051C"/>
    <w:p w:rsidR="002E051C" w:rsidRPr="002E051C" w:rsidRDefault="002E051C" w:rsidP="00D613BE">
      <w:pPr>
        <w:pStyle w:val="AppendixBHeading4"/>
      </w:pPr>
      <w:r w:rsidRPr="002E051C">
        <w:t>Summary of the Process Evaluation Audit</w:t>
      </w:r>
    </w:p>
    <w:p w:rsidR="002E051C" w:rsidRPr="004C7FBE" w:rsidRDefault="002E051C" w:rsidP="004C7FBE">
      <w:r w:rsidRPr="004C7FBE">
        <w:t>The research activities were consistent with the PY7 evaluation plan. Plans from the last annual report to interview contractors and other project designers, and to conduct additional benchmarking research to investigate eligibility requirements of other custom programs, will be conducted in Phase III. An explanation for why this change was made was not provided.</w:t>
      </w:r>
    </w:p>
    <w:p w:rsidR="002E051C" w:rsidRPr="004C7FBE" w:rsidRDefault="002E051C" w:rsidP="004C7FBE"/>
    <w:p w:rsidR="002E051C" w:rsidRDefault="002E051C" w:rsidP="004C7FBE">
      <w:r w:rsidRPr="004C7FBE">
        <w:t xml:space="preserve">The methodology section adequately explained the evaluation activities and analyses, and included the required sampling and disposition information and tables. Including more information about the methods used to conduct analyses, such as the type of analysis used, and the types of the statistical tests conducted, would be very informative. For the participant surveys, Cadmus achieved sample sizes that provided 85/15 confidence/precision; Cadmus also achieved the targeted number of completed interviews that did not require sampling. </w:t>
      </w:r>
    </w:p>
    <w:p w:rsidR="003E7847" w:rsidRPr="004C7FBE" w:rsidRDefault="003E7847" w:rsidP="004C7FBE"/>
    <w:p w:rsidR="002E051C" w:rsidRPr="004C7FBE" w:rsidRDefault="002E051C" w:rsidP="004C7FBE">
      <w:r w:rsidRPr="004C7FBE">
        <w:t>Program findings were clearly summarized, with actionable recommendations following from conclusions supported by ample evidence. Results in Sections 4.4.9, 4.4.10, and 4.4.11 would be easier to process if provided in a table instead of bullets or short paragraphs. The two recommendations consisted of multiple recommendations that could be separated. The report also included a table of recommendations with a description of whether PPL was implementing or considering those recommendations.</w:t>
      </w:r>
    </w:p>
    <w:p w:rsidR="002E051C" w:rsidRPr="002E051C" w:rsidRDefault="002E051C" w:rsidP="002E051C"/>
    <w:p w:rsidR="002E051C" w:rsidRPr="002E051C" w:rsidRDefault="002E051C" w:rsidP="00D613BE">
      <w:pPr>
        <w:pStyle w:val="AppendixBHeading3"/>
      </w:pPr>
      <w:r w:rsidRPr="002E051C">
        <w:t>Prescriptive Equipment Program</w:t>
      </w:r>
    </w:p>
    <w:p w:rsidR="002E051C" w:rsidRPr="002E051C" w:rsidRDefault="002E051C" w:rsidP="00D613BE">
      <w:pPr>
        <w:pStyle w:val="AppendixBHeading4"/>
      </w:pPr>
      <w:r w:rsidRPr="002E051C">
        <w:t>Brief Overview of the Program and Its Success</w:t>
      </w:r>
    </w:p>
    <w:p w:rsidR="002E051C" w:rsidRPr="002E051C" w:rsidRDefault="002E051C" w:rsidP="004C7FBE">
      <w:r w:rsidRPr="002E051C">
        <w:t xml:space="preserve">The C/I Prescriptive Equipment Program offers incentives to offset the costs of energy efficient lighting, non-lighting, and agriculture equipment. Incentives are provided through two channels by PPL. The standard channel requires the customer to obtain pre-approval before ordering or purchasing the equipment. For the direct discount delivery channel, a contractor evaluates possible upgrades and makes recommendations, the </w:t>
      </w:r>
      <w:r w:rsidRPr="004C7FBE">
        <w:t>customer</w:t>
      </w:r>
      <w:r w:rsidRPr="002E051C">
        <w:t xml:space="preserve"> chooses which upgrades to purchase, and the contractor obtains pre-approval, installs the upgrades, and submits the paperwork. The program targets small C/I customers, large C/I customers, the GNI sector, institutional and educational customers, and agricultural customers. </w:t>
      </w:r>
    </w:p>
    <w:p w:rsidR="002E051C" w:rsidRPr="002E051C" w:rsidRDefault="002E051C" w:rsidP="002E051C"/>
    <w:p w:rsidR="002E051C" w:rsidRPr="002E051C" w:rsidRDefault="002E051C" w:rsidP="002E051C">
      <w:r w:rsidRPr="002E051C">
        <w:t xml:space="preserve">In PY7, the program canceled the direct discount channel due to a shortage of funding and a growing wait list. The program also offered a limited time (three months) offer for increased incentive amounts for HVAC and </w:t>
      </w:r>
      <w:r w:rsidR="00236598">
        <w:t>HPWHs</w:t>
      </w:r>
      <w:r w:rsidRPr="002E051C">
        <w:t>.</w:t>
      </w:r>
    </w:p>
    <w:p w:rsidR="002E051C" w:rsidRPr="002E051C" w:rsidRDefault="002E051C" w:rsidP="002E051C"/>
    <w:p w:rsidR="002E051C" w:rsidRPr="002E051C" w:rsidRDefault="00BC644C" w:rsidP="002E051C">
      <w:r w:rsidRPr="00C52A0B">
        <w:t xml:space="preserve">The program exceeded its planned PY7 and Phase II MWh/yr energy savings but did not meet its planned Phase II participation. In PY7, the program achieved 158% of its planned </w:t>
      </w:r>
      <w:r>
        <w:t>energy savings</w:t>
      </w:r>
      <w:r w:rsidRPr="00C52A0B">
        <w:t>; there was not planned participation for PY7. For all of Phase II, the program achieved 120% of its planned energy savings and 42% of its planned participation.</w:t>
      </w:r>
    </w:p>
    <w:p w:rsidR="002E051C" w:rsidRPr="002E051C" w:rsidRDefault="002E051C" w:rsidP="002E051C"/>
    <w:p w:rsidR="002E051C" w:rsidRPr="002E051C" w:rsidRDefault="002E051C" w:rsidP="00D613BE">
      <w:pPr>
        <w:pStyle w:val="AppendixBHeading4"/>
      </w:pPr>
      <w:r w:rsidRPr="002E051C">
        <w:t>Summary of the Process Evaluation Findings</w:t>
      </w:r>
    </w:p>
    <w:p w:rsidR="002E051C" w:rsidRPr="002E051C" w:rsidRDefault="002E051C" w:rsidP="002E051C">
      <w:pPr>
        <w:spacing w:after="120"/>
      </w:pPr>
      <w:r w:rsidRPr="002E051C">
        <w:t>In PY7, Cadmus conducted two interviews with program staff and the implementer, 80 web and phone lighting and equipment participant surveys, and a database review and QA/QC review of records. Cadmus also measured two key performance indicators: customer satisfaction and incentive processing time.</w:t>
      </w:r>
    </w:p>
    <w:p w:rsidR="002E051C" w:rsidRPr="002E051C" w:rsidRDefault="002E051C" w:rsidP="002E051C">
      <w:pPr>
        <w:autoSpaceDE w:val="0"/>
        <w:autoSpaceDN w:val="0"/>
        <w:adjustRightInd w:val="0"/>
        <w:spacing w:after="120"/>
        <w:jc w:val="left"/>
        <w:rPr>
          <w:rFonts w:cs="Calibri"/>
          <w:color w:val="000000"/>
        </w:rPr>
      </w:pPr>
      <w:r w:rsidRPr="002E051C">
        <w:rPr>
          <w:rFonts w:cs="Calibri"/>
          <w:bCs/>
          <w:color w:val="000000"/>
        </w:rPr>
        <w:t>The evaluation found the following:</w:t>
      </w:r>
    </w:p>
    <w:p w:rsidR="002E051C" w:rsidRPr="004C7FBE" w:rsidRDefault="002E051C" w:rsidP="00E646C9">
      <w:pPr>
        <w:pStyle w:val="ListParagraph"/>
        <w:numPr>
          <w:ilvl w:val="0"/>
          <w:numId w:val="132"/>
        </w:numPr>
        <w:ind w:left="360"/>
        <w:rPr>
          <w:rFonts w:eastAsia="Calibri"/>
        </w:rPr>
      </w:pPr>
      <w:r w:rsidRPr="004C7FBE">
        <w:rPr>
          <w:rFonts w:eastAsia="Calibri"/>
        </w:rPr>
        <w:t xml:space="preserve">The program exceeded it planned PY7 and Phase II MWh/yr energy savings but did not meet its </w:t>
      </w:r>
      <w:r w:rsidR="00B140A0" w:rsidRPr="004C7FBE">
        <w:rPr>
          <w:rFonts w:eastAsia="Calibri"/>
        </w:rPr>
        <w:t xml:space="preserve">planned </w:t>
      </w:r>
      <w:r w:rsidRPr="004C7FBE">
        <w:rPr>
          <w:rFonts w:eastAsia="Calibri"/>
        </w:rPr>
        <w:t>Phase II participation.</w:t>
      </w:r>
    </w:p>
    <w:p w:rsidR="002E051C" w:rsidRPr="004C7FBE" w:rsidRDefault="002E051C" w:rsidP="00E646C9">
      <w:pPr>
        <w:pStyle w:val="ListParagraph"/>
        <w:numPr>
          <w:ilvl w:val="0"/>
          <w:numId w:val="132"/>
        </w:numPr>
        <w:ind w:left="360"/>
        <w:rPr>
          <w:rFonts w:eastAsia="Calibri"/>
        </w:rPr>
      </w:pPr>
      <w:r w:rsidRPr="004C7FBE">
        <w:rPr>
          <w:rFonts w:eastAsia="Calibri"/>
        </w:rPr>
        <w:t>The program did not meet its goal for 80% customer satisfaction; 77% of surveyed participants reported high satisfaction.</w:t>
      </w:r>
      <w:r w:rsidR="00B140A0" w:rsidRPr="004C7FBE">
        <w:rPr>
          <w:rFonts w:eastAsia="Calibri"/>
        </w:rPr>
        <w:t xml:space="preserve"> The program goal for processing all rebates within six weeks was not applicable during PY7 because the program implemented a wait list.</w:t>
      </w:r>
    </w:p>
    <w:p w:rsidR="002E051C" w:rsidRPr="004C7FBE" w:rsidRDefault="002E051C" w:rsidP="00E646C9">
      <w:pPr>
        <w:pStyle w:val="ListParagraph"/>
        <w:numPr>
          <w:ilvl w:val="0"/>
          <w:numId w:val="132"/>
        </w:numPr>
        <w:ind w:left="360"/>
        <w:rPr>
          <w:rFonts w:eastAsia="Calibri"/>
        </w:rPr>
      </w:pPr>
      <w:r w:rsidRPr="004C7FBE">
        <w:rPr>
          <w:rFonts w:eastAsia="Calibri"/>
        </w:rPr>
        <w:t>The program has been operating for seven years and has built a robust network of contractors to support it and drive participation.</w:t>
      </w:r>
    </w:p>
    <w:p w:rsidR="002E051C" w:rsidRPr="004C7FBE" w:rsidRDefault="002E051C" w:rsidP="00E646C9">
      <w:pPr>
        <w:pStyle w:val="ListParagraph"/>
        <w:numPr>
          <w:ilvl w:val="0"/>
          <w:numId w:val="132"/>
        </w:numPr>
        <w:ind w:left="360"/>
        <w:rPr>
          <w:rFonts w:eastAsia="Calibri"/>
        </w:rPr>
      </w:pPr>
      <w:r w:rsidRPr="004C7FBE">
        <w:rPr>
          <w:rFonts w:eastAsia="Calibri"/>
        </w:rPr>
        <w:t>With improved tracking in PY7, the program managed participation rates and avoided program oversubscription.</w:t>
      </w:r>
    </w:p>
    <w:p w:rsidR="002E051C" w:rsidRPr="004C7FBE" w:rsidRDefault="002E051C" w:rsidP="00E646C9">
      <w:pPr>
        <w:pStyle w:val="ListParagraph"/>
        <w:numPr>
          <w:ilvl w:val="0"/>
          <w:numId w:val="132"/>
        </w:numPr>
        <w:ind w:left="360"/>
        <w:rPr>
          <w:rFonts w:eastAsia="Calibri"/>
        </w:rPr>
      </w:pPr>
      <w:r w:rsidRPr="004C7FBE">
        <w:rPr>
          <w:rFonts w:eastAsia="Calibri"/>
        </w:rPr>
        <w:t xml:space="preserve">The limited-time higher incentives for HVAC equipment and </w:t>
      </w:r>
      <w:r w:rsidR="00236598" w:rsidRPr="004C7FBE">
        <w:rPr>
          <w:rFonts w:eastAsia="Calibri"/>
        </w:rPr>
        <w:t>HPWHs</w:t>
      </w:r>
      <w:r w:rsidRPr="004C7FBE">
        <w:rPr>
          <w:rFonts w:eastAsia="Calibri"/>
        </w:rPr>
        <w:t xml:space="preserve"> had a minimal effect on participation.</w:t>
      </w:r>
    </w:p>
    <w:p w:rsidR="002E051C" w:rsidRPr="004C7FBE" w:rsidRDefault="002E051C" w:rsidP="00E646C9">
      <w:pPr>
        <w:pStyle w:val="ListParagraph"/>
        <w:numPr>
          <w:ilvl w:val="0"/>
          <w:numId w:val="132"/>
        </w:numPr>
        <w:ind w:left="360"/>
        <w:rPr>
          <w:rFonts w:eastAsia="Calibri"/>
        </w:rPr>
      </w:pPr>
      <w:r w:rsidRPr="004C7FBE">
        <w:rPr>
          <w:rFonts w:eastAsia="Calibri"/>
        </w:rPr>
        <w:t>The pre-approval process added in PY6 resulted in more effort needed to review and approve applications than anticipated.</w:t>
      </w:r>
    </w:p>
    <w:p w:rsidR="002E051C" w:rsidRPr="004C7FBE" w:rsidRDefault="002E051C" w:rsidP="00E646C9">
      <w:pPr>
        <w:pStyle w:val="ListParagraph"/>
        <w:numPr>
          <w:ilvl w:val="0"/>
          <w:numId w:val="132"/>
        </w:numPr>
        <w:ind w:left="360"/>
        <w:rPr>
          <w:rFonts w:eastAsia="Calibri"/>
        </w:rPr>
      </w:pPr>
      <w:r w:rsidRPr="004C7FBE">
        <w:rPr>
          <w:rFonts w:eastAsia="Calibri"/>
        </w:rPr>
        <w:t>There is very limited uptake in rebates for agriculture equipment, but the program received applications for six different agricultural measures in PY7 for the first time.</w:t>
      </w:r>
    </w:p>
    <w:p w:rsidR="002E051C" w:rsidRPr="004C7FBE" w:rsidRDefault="002E051C" w:rsidP="00E646C9">
      <w:pPr>
        <w:pStyle w:val="ListParagraph"/>
        <w:numPr>
          <w:ilvl w:val="0"/>
          <w:numId w:val="132"/>
        </w:numPr>
        <w:ind w:left="360"/>
        <w:rPr>
          <w:rFonts w:eastAsia="Calibri"/>
        </w:rPr>
      </w:pPr>
      <w:r w:rsidRPr="004C7FBE">
        <w:rPr>
          <w:rFonts w:eastAsia="Calibri"/>
        </w:rPr>
        <w:t>Cadmus created a profile of participants who used the prescriptive equipment and prescriptive equipment lighting rebates.</w:t>
      </w:r>
    </w:p>
    <w:p w:rsidR="002E051C" w:rsidRPr="004C7FBE" w:rsidRDefault="002E051C" w:rsidP="00E646C9">
      <w:pPr>
        <w:pStyle w:val="ListParagraph"/>
        <w:numPr>
          <w:ilvl w:val="0"/>
          <w:numId w:val="132"/>
        </w:numPr>
        <w:ind w:left="360"/>
        <w:rPr>
          <w:rFonts w:eastAsia="Calibri"/>
        </w:rPr>
      </w:pPr>
      <w:r w:rsidRPr="004C7FBE">
        <w:rPr>
          <w:rFonts w:eastAsia="Calibri"/>
        </w:rPr>
        <w:t>Most surveyed participants were satisfied with their contractor, eligibility requirements, the program’s terms and conditions, availability of qualifying equipment, time to complete paperwork, convenience of inspections, and simplicity of the overall process. However, satisfaction with the time it took to receive the rebate has been on the decline since PY5, likely due to the pre-approval process in PY6 and wait list in PY7.</w:t>
      </w:r>
    </w:p>
    <w:p w:rsidR="002E051C" w:rsidRPr="004C7FBE" w:rsidRDefault="002E051C" w:rsidP="00E646C9">
      <w:pPr>
        <w:pStyle w:val="ListParagraph"/>
        <w:numPr>
          <w:ilvl w:val="0"/>
          <w:numId w:val="132"/>
        </w:numPr>
        <w:ind w:left="360"/>
        <w:rPr>
          <w:rFonts w:eastAsia="Calibri"/>
        </w:rPr>
      </w:pPr>
      <w:r w:rsidRPr="004C7FBE">
        <w:rPr>
          <w:rFonts w:eastAsia="Calibri"/>
        </w:rPr>
        <w:t>Surveyed participants suggested improvements to the application communications, wait list, and application and rebate processing times so they can better manage their projects.</w:t>
      </w:r>
    </w:p>
    <w:p w:rsidR="002E051C" w:rsidRPr="004C7FBE" w:rsidRDefault="002E051C" w:rsidP="00E646C9">
      <w:pPr>
        <w:pStyle w:val="ListParagraph"/>
        <w:numPr>
          <w:ilvl w:val="0"/>
          <w:numId w:val="132"/>
        </w:numPr>
        <w:ind w:left="360"/>
        <w:rPr>
          <w:rFonts w:eastAsia="Calibri"/>
        </w:rPr>
      </w:pPr>
      <w:r w:rsidRPr="004C7FBE">
        <w:rPr>
          <w:rFonts w:eastAsia="Calibri"/>
        </w:rPr>
        <w:t>Most of the program participants (80%) learned about the program through their contractor.</w:t>
      </w:r>
    </w:p>
    <w:p w:rsidR="002E051C" w:rsidRPr="004C7FBE" w:rsidRDefault="002E051C" w:rsidP="00E646C9">
      <w:pPr>
        <w:pStyle w:val="ListParagraph"/>
        <w:numPr>
          <w:ilvl w:val="0"/>
          <w:numId w:val="132"/>
        </w:numPr>
        <w:ind w:left="360"/>
        <w:rPr>
          <w:rFonts w:eastAsia="Calibri"/>
        </w:rPr>
      </w:pPr>
      <w:r w:rsidRPr="004C7FBE">
        <w:rPr>
          <w:rFonts w:eastAsia="Calibri"/>
        </w:rPr>
        <w:t>About half of lighting participants (55%) and 41% of equipment participants reported that their opinion of PPL has improved since participating in the program.</w:t>
      </w:r>
    </w:p>
    <w:p w:rsidR="002E051C" w:rsidRPr="004C7FBE" w:rsidRDefault="002E051C" w:rsidP="00E646C9">
      <w:pPr>
        <w:pStyle w:val="ListParagraph"/>
        <w:numPr>
          <w:ilvl w:val="0"/>
          <w:numId w:val="132"/>
        </w:numPr>
        <w:ind w:left="360"/>
        <w:rPr>
          <w:rFonts w:eastAsia="Calibri"/>
        </w:rPr>
      </w:pPr>
      <w:r w:rsidRPr="004C7FBE">
        <w:rPr>
          <w:rFonts w:eastAsia="Calibri"/>
        </w:rPr>
        <w:t>The evaluation survey occurred up to two years after some participants completed projects, and survey results could be affected by recall bias.</w:t>
      </w:r>
    </w:p>
    <w:p w:rsidR="002E051C" w:rsidRDefault="002E051C" w:rsidP="004C7FBE"/>
    <w:p w:rsidR="002E051C" w:rsidRPr="002E051C" w:rsidRDefault="002E051C" w:rsidP="00D613BE">
      <w:pPr>
        <w:pStyle w:val="AppendixBHeading4"/>
      </w:pPr>
      <w:r w:rsidRPr="002E051C">
        <w:t>Summary of the Process Evaluation Audit</w:t>
      </w:r>
    </w:p>
    <w:p w:rsidR="002E051C" w:rsidRPr="002E051C" w:rsidRDefault="002E051C" w:rsidP="002E051C">
      <w:r w:rsidRPr="002E051C">
        <w:t>The evaluation was consistent with the evaluation plan, with two exceptions. First, Cadmus conducted a phone survey of participants to increase the number of completes after achieving a lower than expected response rate for the web survey. Second, Cadmus and PPL decided not to conduct interviews with agricultural trade allies because participation was low, projects occurred late in the evaluation period, and it is uncertain if agricultural equipment will remain in the program in Phase III.</w:t>
      </w:r>
    </w:p>
    <w:p w:rsidR="002E051C" w:rsidRPr="002E051C" w:rsidRDefault="002E051C" w:rsidP="002E051C"/>
    <w:p w:rsidR="002E051C" w:rsidRPr="002E051C" w:rsidRDefault="00B140A0" w:rsidP="002E051C">
      <w:r w:rsidRPr="00C52A0B">
        <w:t>The methodology section adequately explained the evaluation activities and analyses, and included the required sampling and disposition information and tables. Including more information about the methods used to conduct analyses, such as the type of analysis used, would be very informative. For the data-collection tasks requiring sampling, Cadmus attempted a census; Cadmus also achieved the targeted number of completed interviews that did not require sampling. Adding the mode used for surveys (web, phone, mail) in Tables 2-23 and 2-25 would complete the tables and inform the reader without having to refer to the text where the survey mode is reported</w:t>
      </w:r>
      <w:r>
        <w:t>.</w:t>
      </w:r>
      <w:r w:rsidR="002E051C" w:rsidRPr="002E051C">
        <w:t xml:space="preserve"> </w:t>
      </w:r>
    </w:p>
    <w:p w:rsidR="002E051C" w:rsidRPr="002E051C" w:rsidRDefault="002E051C" w:rsidP="002E051C"/>
    <w:p w:rsidR="002E051C" w:rsidRDefault="002E051C" w:rsidP="002E051C">
      <w:r w:rsidRPr="002E051C">
        <w:t>Program findings were clearly summarized, with actionable recommendations following conclusions and ample evidence supporting the conclusions. The report also included a table of recommendations with a description of whether PPL was implementing or considering those recommendations.</w:t>
      </w:r>
    </w:p>
    <w:p w:rsidR="00186987" w:rsidRPr="002E051C" w:rsidRDefault="00186987" w:rsidP="00D613BE">
      <w:pPr>
        <w:pStyle w:val="AppendixBHeading3"/>
      </w:pPr>
      <w:r w:rsidRPr="002E051C">
        <w:t xml:space="preserve">Master Metered Low-Income Multifamily Housing Program </w:t>
      </w:r>
    </w:p>
    <w:p w:rsidR="00186987" w:rsidRPr="002E051C" w:rsidRDefault="00186987" w:rsidP="00D613BE">
      <w:pPr>
        <w:pStyle w:val="AppendixBHeading4"/>
      </w:pPr>
      <w:r w:rsidRPr="002E051C">
        <w:t>Brief Overview of the Program and Its Success</w:t>
      </w:r>
    </w:p>
    <w:p w:rsidR="00186987" w:rsidRPr="002E051C" w:rsidRDefault="00B140A0" w:rsidP="00186987">
      <w:r w:rsidRPr="00C52A0B">
        <w:t>The Master Metered Low-Income Multifamily Housing Program targets owners or managers of master metered multifamily low-income housing buildings (at or below 150% of the FPL) with five or more units in PPL’s service territory. The program provides a free walk-through audit of the building followed with analysis and a report that shows the potential energy savings for installing recommended energy efficient measures. These may include direct installation and prescriptive efficiency measures. Eligible customers may also receive rebates through other PPL programs to offset the incremental costs of upgrades. The implementer is SmartWatt Energy, and it offers</w:t>
      </w:r>
      <w:r>
        <w:t xml:space="preserve"> </w:t>
      </w:r>
      <w:r w:rsidRPr="00C52A0B">
        <w:t>interest-free financing to participating buildings, if the participant is interested.</w:t>
      </w:r>
    </w:p>
    <w:p w:rsidR="00186987" w:rsidRPr="002E051C" w:rsidRDefault="00186987" w:rsidP="00186987"/>
    <w:p w:rsidR="00186987" w:rsidRPr="002E051C" w:rsidRDefault="00B140A0" w:rsidP="00186987">
      <w:r w:rsidRPr="00C52A0B">
        <w:t>For PY7, the program added nursing homes as an eligible building type, which resulted in several large projects. The program exceeded its planned MWh/yr energy savings for PY7 but did not meet the planned savings for all of Phase II. In PY7, the program achieved 119% of its planned MWh/yr savings and in Phase II, the program achieved 94% of its planned MWh/yr savings.</w:t>
      </w:r>
    </w:p>
    <w:p w:rsidR="00186987" w:rsidRPr="002E051C" w:rsidRDefault="00186987" w:rsidP="00186987"/>
    <w:p w:rsidR="00186987" w:rsidRPr="002E051C" w:rsidRDefault="00186987" w:rsidP="00D613BE">
      <w:pPr>
        <w:pStyle w:val="AppendixBHeading4"/>
      </w:pPr>
      <w:r w:rsidRPr="002E051C">
        <w:t>Summary of the Process Evaluation Findings</w:t>
      </w:r>
    </w:p>
    <w:p w:rsidR="00186987" w:rsidRDefault="00186987" w:rsidP="004C7FBE">
      <w:r w:rsidRPr="004C7FBE">
        <w:t>For the PY7 process evaluation, Cadmus conducted phone interviews with program staff and the implementer (n=2), analyzed results from 44 leave-behind tenant postcard surveys, analyzed the results of 156 implementer-administered tenant education workshop satisfaction surveys at 10 buildings, and reviewed building characteristics data for 50 Phase II participating buildings. Building characteristics included year built, area, number of stories and occupants, vacancy rate, and primary HVAC system, water heating system, and fuel source for units and common areas. Cadmus also measured three key performance indicators: customer complaints, safety violations, and tenant energy education workshop satisfaction.</w:t>
      </w:r>
    </w:p>
    <w:p w:rsidR="004C7FBE" w:rsidRPr="004C7FBE" w:rsidRDefault="004C7FBE" w:rsidP="004C7FBE"/>
    <w:p w:rsidR="00186987" w:rsidRPr="002E051C" w:rsidRDefault="00186987" w:rsidP="004C7FBE">
      <w:pPr>
        <w:pStyle w:val="6spacenormal"/>
      </w:pPr>
      <w:r w:rsidRPr="002E051C">
        <w:t>The following findings emerged from the process evaluation:</w:t>
      </w:r>
    </w:p>
    <w:p w:rsidR="00186987" w:rsidRPr="004C7FBE" w:rsidRDefault="00186987" w:rsidP="00E646C9">
      <w:pPr>
        <w:pStyle w:val="ListParagraph"/>
        <w:numPr>
          <w:ilvl w:val="0"/>
          <w:numId w:val="133"/>
        </w:numPr>
        <w:ind w:left="360"/>
        <w:rPr>
          <w:rFonts w:eastAsia="Calibri"/>
        </w:rPr>
      </w:pPr>
      <w:r w:rsidRPr="004C7FBE">
        <w:rPr>
          <w:rFonts w:eastAsia="Calibri"/>
        </w:rPr>
        <w:t xml:space="preserve">The program </w:t>
      </w:r>
      <w:r w:rsidR="00B140A0" w:rsidRPr="004C7FBE">
        <w:rPr>
          <w:rFonts w:eastAsia="Calibri"/>
        </w:rPr>
        <w:t>exceeded its planned MWh/yr energy savings for PY7 but did not for all of Phase II, primarily due to limited multifamily opportunities remaining at the end of PY6 (which led to the program eligibility expansion to nursing homes), a ramp-down of program activities, and a focus on lighting upgrades instead of other qualified upgrades</w:t>
      </w:r>
      <w:r w:rsidRPr="004C7FBE">
        <w:rPr>
          <w:rFonts w:eastAsia="Calibri"/>
        </w:rPr>
        <w:t>.</w:t>
      </w:r>
    </w:p>
    <w:p w:rsidR="00186987" w:rsidRPr="004C7FBE" w:rsidRDefault="00186987" w:rsidP="00E646C9">
      <w:pPr>
        <w:pStyle w:val="ListParagraph"/>
        <w:numPr>
          <w:ilvl w:val="0"/>
          <w:numId w:val="133"/>
        </w:numPr>
        <w:ind w:left="360"/>
        <w:rPr>
          <w:rFonts w:eastAsia="Calibri"/>
        </w:rPr>
      </w:pPr>
      <w:r w:rsidRPr="004C7FBE">
        <w:rPr>
          <w:rFonts w:eastAsia="Calibri"/>
        </w:rPr>
        <w:t>Program staff reported that up-front costs, tight operating budgets, and a reluctance to take on additional debt were the most important reasons that some building owners or operators did not participate after receiving an audit or did not do comprehensive upgrades. Only one participating building took advantage of the interest-free financing offered by the implementer.</w:t>
      </w:r>
    </w:p>
    <w:p w:rsidR="00186987" w:rsidRPr="004C7FBE" w:rsidRDefault="00186987" w:rsidP="00E646C9">
      <w:pPr>
        <w:pStyle w:val="ListParagraph"/>
        <w:numPr>
          <w:ilvl w:val="0"/>
          <w:numId w:val="133"/>
        </w:numPr>
        <w:ind w:left="360"/>
        <w:rPr>
          <w:rFonts w:eastAsia="Calibri"/>
        </w:rPr>
      </w:pPr>
      <w:r w:rsidRPr="004C7FBE">
        <w:rPr>
          <w:rFonts w:eastAsia="Calibri"/>
        </w:rPr>
        <w:t>The program will not be offered in Phase III, but eligible participants can participate in WRAP and the Prescriptive Equipment Program in Phase III.</w:t>
      </w:r>
    </w:p>
    <w:p w:rsidR="00186987" w:rsidRPr="004C7FBE" w:rsidRDefault="00186987" w:rsidP="00E646C9">
      <w:pPr>
        <w:pStyle w:val="ListParagraph"/>
        <w:numPr>
          <w:ilvl w:val="0"/>
          <w:numId w:val="133"/>
        </w:numPr>
        <w:ind w:left="360"/>
        <w:rPr>
          <w:rFonts w:eastAsia="Calibri"/>
        </w:rPr>
      </w:pPr>
      <w:r w:rsidRPr="004C7FBE">
        <w:rPr>
          <w:rFonts w:eastAsia="Calibri"/>
        </w:rPr>
        <w:t>Interviewed staff reported that they were pleased with the addition of nursing home buildings to the program in PY7, as it helped them meet program goals without increasing marketing and outreach.</w:t>
      </w:r>
    </w:p>
    <w:p w:rsidR="00186987" w:rsidRPr="004C7FBE" w:rsidRDefault="00186987" w:rsidP="00E646C9">
      <w:pPr>
        <w:pStyle w:val="ListParagraph"/>
        <w:numPr>
          <w:ilvl w:val="0"/>
          <w:numId w:val="133"/>
        </w:numPr>
        <w:ind w:left="360"/>
        <w:rPr>
          <w:rFonts w:eastAsia="Calibri"/>
        </w:rPr>
      </w:pPr>
      <w:r w:rsidRPr="004C7FBE">
        <w:rPr>
          <w:rFonts w:eastAsia="Calibri"/>
        </w:rPr>
        <w:t>Cadmus did not find any customer complaints or safety violations for PY7.</w:t>
      </w:r>
    </w:p>
    <w:p w:rsidR="00186987" w:rsidRPr="004C7FBE" w:rsidRDefault="00186987" w:rsidP="00E646C9">
      <w:pPr>
        <w:pStyle w:val="ListParagraph"/>
        <w:numPr>
          <w:ilvl w:val="0"/>
          <w:numId w:val="133"/>
        </w:numPr>
        <w:ind w:left="360"/>
        <w:rPr>
          <w:rFonts w:eastAsia="Calibri"/>
        </w:rPr>
      </w:pPr>
      <w:r w:rsidRPr="004C7FBE">
        <w:rPr>
          <w:rFonts w:eastAsia="Calibri"/>
        </w:rPr>
        <w:t>Cadmus created participating building profiles based on building characteristics. The participating buildings were primarily midsized (less than 100,000 sq. ft.); built in the 1970s, 1980s, or 1990s; and had 50 or fewer tenant units.</w:t>
      </w:r>
    </w:p>
    <w:p w:rsidR="00186987" w:rsidRPr="004C7FBE" w:rsidRDefault="00186987" w:rsidP="00E646C9">
      <w:pPr>
        <w:pStyle w:val="ListParagraph"/>
        <w:numPr>
          <w:ilvl w:val="0"/>
          <w:numId w:val="133"/>
        </w:numPr>
        <w:ind w:left="360"/>
        <w:rPr>
          <w:rFonts w:eastAsia="Calibri"/>
        </w:rPr>
      </w:pPr>
      <w:r w:rsidRPr="004C7FBE">
        <w:rPr>
          <w:rFonts w:eastAsia="Calibri"/>
        </w:rPr>
        <w:t>Most surveyed tenants (78%) reported high satisfaction with the installation contractors, but this was significantly lower than in PY6 (95%).</w:t>
      </w:r>
    </w:p>
    <w:p w:rsidR="00186987" w:rsidRPr="004C7FBE" w:rsidRDefault="00186987" w:rsidP="00E646C9">
      <w:pPr>
        <w:pStyle w:val="ListParagraph"/>
        <w:numPr>
          <w:ilvl w:val="0"/>
          <w:numId w:val="133"/>
        </w:numPr>
        <w:ind w:left="360"/>
        <w:rPr>
          <w:rFonts w:eastAsia="Calibri"/>
        </w:rPr>
      </w:pPr>
      <w:r w:rsidRPr="004C7FBE">
        <w:rPr>
          <w:rFonts w:eastAsia="Calibri"/>
        </w:rPr>
        <w:t>Nearly all respondents (94%) who completed the tenant postcard survey reported high satisfaction with the tenant education workshops; 71% of those who responded to the energy education workshop survey reported the workshop was very beneficial; 82% reported the professionals conducting the workshops were excellent; and 84% rated the auditors as excellent.</w:t>
      </w:r>
    </w:p>
    <w:p w:rsidR="00186987" w:rsidRPr="004C7FBE" w:rsidRDefault="00186987" w:rsidP="00E646C9">
      <w:pPr>
        <w:pStyle w:val="ListParagraph"/>
        <w:numPr>
          <w:ilvl w:val="0"/>
          <w:numId w:val="133"/>
        </w:numPr>
        <w:ind w:left="360"/>
        <w:rPr>
          <w:rFonts w:eastAsia="Calibri"/>
        </w:rPr>
      </w:pPr>
      <w:r w:rsidRPr="004C7FBE">
        <w:rPr>
          <w:rFonts w:eastAsia="Calibri"/>
        </w:rPr>
        <w:t>LEDs constituted 94% of products installed in tenant units, and 77% of respondents to the tenant postcard survey reported high satisfaction with the LEDs. Other potential upgrades—faucet aerators, showerheads, and thermostatic shower restriction valves—each constituted 1% of installed products. Respondents were least satisfied with the showerhead.</w:t>
      </w:r>
    </w:p>
    <w:p w:rsidR="00186987" w:rsidRPr="004C7FBE" w:rsidRDefault="00186987" w:rsidP="00E646C9">
      <w:pPr>
        <w:pStyle w:val="ListParagraph"/>
        <w:numPr>
          <w:ilvl w:val="0"/>
          <w:numId w:val="133"/>
        </w:numPr>
        <w:ind w:left="360"/>
        <w:rPr>
          <w:rFonts w:eastAsia="Calibri"/>
        </w:rPr>
      </w:pPr>
      <w:r w:rsidRPr="004C7FBE">
        <w:rPr>
          <w:rFonts w:eastAsia="Calibri"/>
        </w:rPr>
        <w:t>The most common energy saving actions reported by surveyed tenants were turning off appliances when not in use (63%), unplugging appliances when not in use (41%), decreasing the thermostat in winter (39%), using fans more than air-conditioning (33%), and installing LEDs (33%).</w:t>
      </w:r>
    </w:p>
    <w:p w:rsidR="00186987" w:rsidRPr="002E051C" w:rsidRDefault="00186987" w:rsidP="00186987">
      <w:pPr>
        <w:autoSpaceDE w:val="0"/>
        <w:autoSpaceDN w:val="0"/>
        <w:adjustRightInd w:val="0"/>
        <w:jc w:val="left"/>
      </w:pPr>
    </w:p>
    <w:p w:rsidR="00186987" w:rsidRPr="002E051C" w:rsidRDefault="00186987" w:rsidP="00D613BE">
      <w:pPr>
        <w:pStyle w:val="AppendixBHeading4"/>
      </w:pPr>
      <w:r w:rsidRPr="002E051C">
        <w:t>Summary of the Process Evaluation Audit</w:t>
      </w:r>
    </w:p>
    <w:p w:rsidR="00186987" w:rsidRPr="002E051C" w:rsidRDefault="00B140A0" w:rsidP="00186987">
      <w:r w:rsidRPr="00C52A0B">
        <w:t>The evaluation was consistent with the evaluation plan. The methodology section adequately explained the evaluation activities and analyses, and included the required sampling and disposition information and tables. Including more information about the methods used to conduct analyses, such as the type of analysis used, and the types and values of the statistical tests conducted, would be very informative. None of the interviews required sampling, and Cadmus achieved the targeted number of completes. Adding the mode used for surveys (web, phone, mail) in Table 11-12 would complete the table and inform the reader without having to refer to the text where the survey mode is reported.</w:t>
      </w:r>
    </w:p>
    <w:p w:rsidR="00186987" w:rsidRPr="002E051C" w:rsidRDefault="00186987" w:rsidP="00186987"/>
    <w:p w:rsidR="00186987" w:rsidRPr="002E051C" w:rsidRDefault="00186987" w:rsidP="00186987">
      <w:r w:rsidRPr="002E051C">
        <w:t>Program findings were clearly summarized, with recommendations following conclusions and ample evidence supporting the conclusions. One conclusion (third), however, did not have, but likely could have had, an accompanying recommendation (e.g., the last sentence of the conclusion). The report also included a table of recommendations with a description of whether PPL was implementing or considering those recommendations.</w:t>
      </w:r>
    </w:p>
    <w:p w:rsidR="00CA4CB7" w:rsidRDefault="00CA4CB7" w:rsidP="00000FEE"/>
    <w:p w:rsidR="00656920" w:rsidRDefault="00656920" w:rsidP="00656920">
      <w:r>
        <w:br w:type="page"/>
      </w:r>
    </w:p>
    <w:p w:rsidR="00656920" w:rsidRPr="00E45861" w:rsidRDefault="00656920" w:rsidP="00B32B81">
      <w:pPr>
        <w:pStyle w:val="Heading1"/>
        <w:numPr>
          <w:ilvl w:val="0"/>
          <w:numId w:val="0"/>
        </w:numPr>
      </w:pPr>
      <w:bookmarkStart w:id="1417" w:name="_Toc472472148"/>
      <w:bookmarkStart w:id="1418" w:name="_Toc488765841"/>
      <w:r w:rsidRPr="003E7847">
        <w:rPr>
          <w:rFonts w:ascii="Broadway" w:hAnsi="Broadway"/>
          <w:sz w:val="32"/>
        </w:rPr>
        <w:t>Appendix C</w:t>
      </w:r>
      <w:r w:rsidRPr="00E45861">
        <w:t xml:space="preserve">| </w:t>
      </w:r>
      <w:r w:rsidR="00D97BE6" w:rsidRPr="00E45861">
        <w:t>EDC EE&amp;C Program Plan Revisions During Phase II</w:t>
      </w:r>
      <w:bookmarkEnd w:id="1417"/>
      <w:bookmarkEnd w:id="1418"/>
    </w:p>
    <w:p w:rsidR="00A26C95" w:rsidRDefault="00A26C95" w:rsidP="006C05B5">
      <w:r w:rsidRPr="003E444A">
        <w:t xml:space="preserve">This appendix provides detail on </w:t>
      </w:r>
      <w:r>
        <w:t xml:space="preserve">any revisions made by the EDCs to their original EE&amp;C </w:t>
      </w:r>
      <w:r w:rsidR="00070AE5">
        <w:t>p</w:t>
      </w:r>
      <w:r>
        <w:t xml:space="preserve">rogram </w:t>
      </w:r>
      <w:r w:rsidR="00070AE5">
        <w:t>p</w:t>
      </w:r>
      <w:r>
        <w:t>lans for Phase II. These updates may have occurred prior to or during the course of Phase II, but were identif</w:t>
      </w:r>
      <w:r w:rsidR="00070AE5">
        <w:t>ied in officially revised EE&amp;C p</w:t>
      </w:r>
      <w:r>
        <w:t>lans by each EDC and approved by the PUC. Below is a description of the changes for each EDC’s Phase II plan.</w:t>
      </w:r>
    </w:p>
    <w:p w:rsidR="00A26C95" w:rsidRDefault="00A26C95" w:rsidP="006C05B5"/>
    <w:p w:rsidR="00A26C95" w:rsidRPr="003B6A8A" w:rsidRDefault="00A26C95" w:rsidP="003B6A8A">
      <w:pPr>
        <w:pStyle w:val="AppendixCHeading1"/>
        <w:spacing w:after="60"/>
        <w:rPr>
          <w:color w:val="404040" w:themeColor="text1" w:themeTint="BF"/>
          <w:spacing w:val="-12"/>
        </w:rPr>
      </w:pPr>
      <w:r w:rsidRPr="003B6A8A">
        <w:rPr>
          <w:color w:val="404040" w:themeColor="text1" w:themeTint="BF"/>
          <w:spacing w:val="-12"/>
        </w:rPr>
        <w:t>Duquesne</w:t>
      </w:r>
      <w:r w:rsidR="00070AE5" w:rsidRPr="003B6A8A">
        <w:rPr>
          <w:color w:val="404040" w:themeColor="text1" w:themeTint="BF"/>
          <w:spacing w:val="-12"/>
        </w:rPr>
        <w:t xml:space="preserve"> Light</w:t>
      </w:r>
    </w:p>
    <w:p w:rsidR="00A26C95" w:rsidRDefault="00A26C95" w:rsidP="006C05B5">
      <w:r w:rsidRPr="00316CD9">
        <w:t>No ch</w:t>
      </w:r>
      <w:r>
        <w:t xml:space="preserve">anges were made to the original Duquesne Phase II EE&amp;C plan filed on November 15, 2012 and approved on </w:t>
      </w:r>
      <w:r w:rsidRPr="00057111">
        <w:t>March 14, 2013</w:t>
      </w:r>
      <w:r w:rsidRPr="00A56DB3">
        <w:t>.</w:t>
      </w:r>
    </w:p>
    <w:p w:rsidR="00A26C95" w:rsidRDefault="00A26C95" w:rsidP="006C05B5"/>
    <w:p w:rsidR="00A26C95" w:rsidRPr="003B6A8A" w:rsidRDefault="00A26C95" w:rsidP="003B6A8A">
      <w:pPr>
        <w:pStyle w:val="AppendixCHeading1"/>
        <w:spacing w:after="60"/>
        <w:rPr>
          <w:color w:val="404040" w:themeColor="text1" w:themeTint="BF"/>
          <w:spacing w:val="-12"/>
        </w:rPr>
      </w:pPr>
      <w:r w:rsidRPr="003B6A8A">
        <w:rPr>
          <w:color w:val="404040" w:themeColor="text1" w:themeTint="BF"/>
          <w:spacing w:val="-12"/>
        </w:rPr>
        <w:t xml:space="preserve">FirstEnergy – </w:t>
      </w:r>
      <w:r w:rsidR="00070AE5" w:rsidRPr="003B6A8A">
        <w:rPr>
          <w:color w:val="404040" w:themeColor="text1" w:themeTint="BF"/>
          <w:spacing w:val="-12"/>
        </w:rPr>
        <w:t>Metropolitan Edison, Pennsylvania Electric Company, Pennsylvania Power Company, West Penn Power</w:t>
      </w:r>
    </w:p>
    <w:p w:rsidR="00A26C95" w:rsidRDefault="00A26C95" w:rsidP="006C05B5">
      <w:r w:rsidRPr="00661368">
        <w:t xml:space="preserve">No changes were made to the original </w:t>
      </w:r>
      <w:r>
        <w:t>FirstEnergy</w:t>
      </w:r>
      <w:r w:rsidRPr="00661368">
        <w:t xml:space="preserve"> </w:t>
      </w:r>
      <w:r>
        <w:t xml:space="preserve">Utilities </w:t>
      </w:r>
      <w:r w:rsidRPr="00661368">
        <w:t>Phase II EE&amp;C plan</w:t>
      </w:r>
      <w:r>
        <w:t>s</w:t>
      </w:r>
      <w:r w:rsidRPr="00661368">
        <w:t xml:space="preserve"> </w:t>
      </w:r>
      <w:r>
        <w:t xml:space="preserve">filed on November 13, 2012 and approved on </w:t>
      </w:r>
      <w:r w:rsidRPr="00A56DB3">
        <w:t>March 14, 2013.</w:t>
      </w:r>
    </w:p>
    <w:p w:rsidR="00A26C95" w:rsidRDefault="00A26C95" w:rsidP="006C05B5"/>
    <w:p w:rsidR="00A26C95" w:rsidRPr="003B6A8A" w:rsidRDefault="00A26C95" w:rsidP="003B6A8A">
      <w:pPr>
        <w:pStyle w:val="AppendixCHeading1"/>
        <w:spacing w:after="60"/>
        <w:rPr>
          <w:color w:val="404040" w:themeColor="text1" w:themeTint="BF"/>
          <w:spacing w:val="-12"/>
        </w:rPr>
      </w:pPr>
      <w:r w:rsidRPr="003B6A8A">
        <w:rPr>
          <w:color w:val="404040" w:themeColor="text1" w:themeTint="BF"/>
          <w:spacing w:val="-12"/>
        </w:rPr>
        <w:t>PECO</w:t>
      </w:r>
      <w:r w:rsidR="00070AE5" w:rsidRPr="003B6A8A">
        <w:rPr>
          <w:color w:val="404040" w:themeColor="text1" w:themeTint="BF"/>
          <w:spacing w:val="-12"/>
        </w:rPr>
        <w:t xml:space="preserve"> Energy</w:t>
      </w:r>
    </w:p>
    <w:p w:rsidR="00A26C95" w:rsidRPr="000C15AF" w:rsidRDefault="00070AE5" w:rsidP="00A26C95">
      <w:pPr>
        <w:pStyle w:val="AppendixDHeading1"/>
        <w:numPr>
          <w:ilvl w:val="0"/>
          <w:numId w:val="0"/>
        </w:numPr>
        <w:rPr>
          <w:rFonts w:asciiTheme="minorHAnsi" w:hAnsiTheme="minorHAnsi"/>
          <w:b w:val="0"/>
          <w:smallCaps w:val="0"/>
          <w:sz w:val="22"/>
        </w:rPr>
      </w:pPr>
      <w:r w:rsidRPr="00070AE5">
        <w:rPr>
          <w:rFonts w:asciiTheme="minorHAnsi" w:hAnsiTheme="minorHAnsi"/>
          <w:b w:val="0"/>
          <w:smallCaps w:val="0"/>
          <w:sz w:val="22"/>
        </w:rPr>
        <w:t>PECO changed several items in its Phase II EE&amp;C plan after publication of the original plan dated November 1, 2012 and approved on February 28, 2013. It was subsequently revised on March 13, 2013 and February 28, 2014 to incorporate program changes as detailed below. PECO noted several regulatory and operational developments that led to Phase II program changes. Specifically, the following issues guided PECO Phase II planning</w:t>
      </w:r>
      <w:r>
        <w:rPr>
          <w:rFonts w:asciiTheme="minorHAnsi" w:hAnsiTheme="minorHAnsi"/>
          <w:b w:val="0"/>
          <w:smallCaps w:val="0"/>
          <w:sz w:val="22"/>
        </w:rPr>
        <w:t>:</w:t>
      </w:r>
    </w:p>
    <w:p w:rsidR="003C2064" w:rsidRPr="00170843" w:rsidRDefault="003C2064" w:rsidP="00E646C9">
      <w:pPr>
        <w:pStyle w:val="ListParagraph"/>
        <w:numPr>
          <w:ilvl w:val="0"/>
          <w:numId w:val="134"/>
        </w:numPr>
        <w:ind w:left="360"/>
      </w:pPr>
      <w:r w:rsidRPr="00170843">
        <w:t>TRM adjustments from the Commission’s with revised measure level savings and incremental costs, as well as updated NTG estimates for a variety of measures</w:t>
      </w:r>
    </w:p>
    <w:p w:rsidR="003C2064" w:rsidRPr="00170843" w:rsidRDefault="003C2064" w:rsidP="00E646C9">
      <w:pPr>
        <w:pStyle w:val="ListParagraph"/>
        <w:numPr>
          <w:ilvl w:val="0"/>
          <w:numId w:val="134"/>
        </w:numPr>
        <w:ind w:left="360"/>
      </w:pPr>
      <w:r w:rsidRPr="00170843">
        <w:t>New projections for mix of measures from CSPs and a decrease in total CSPs resulting from a lower contract cost</w:t>
      </w:r>
    </w:p>
    <w:p w:rsidR="003C2064" w:rsidRPr="00170843" w:rsidRDefault="003C2064" w:rsidP="00E646C9">
      <w:pPr>
        <w:pStyle w:val="ListParagraph"/>
        <w:numPr>
          <w:ilvl w:val="0"/>
          <w:numId w:val="134"/>
        </w:numPr>
        <w:ind w:left="360"/>
      </w:pPr>
      <w:r w:rsidRPr="00170843">
        <w:t>Phase I EE&amp;C plan performance that was significantly higher than original targets;</w:t>
      </w:r>
    </w:p>
    <w:p w:rsidR="003C2064" w:rsidRPr="00170843" w:rsidRDefault="003C2064" w:rsidP="00E646C9">
      <w:pPr>
        <w:pStyle w:val="ListParagraph"/>
        <w:numPr>
          <w:ilvl w:val="0"/>
          <w:numId w:val="134"/>
        </w:numPr>
        <w:ind w:left="360"/>
      </w:pPr>
      <w:r w:rsidRPr="00170843">
        <w:t>Successful deployment of the Smart AC Saver programs in PY 2013, with a TRC ratio of 3.2</w:t>
      </w:r>
    </w:p>
    <w:p w:rsidR="003C2064" w:rsidRPr="00170843" w:rsidRDefault="003C2064" w:rsidP="00E646C9">
      <w:pPr>
        <w:pStyle w:val="ListParagraph"/>
        <w:numPr>
          <w:ilvl w:val="0"/>
          <w:numId w:val="134"/>
        </w:numPr>
        <w:ind w:left="360"/>
      </w:pPr>
      <w:r w:rsidRPr="00170843">
        <w:t>Adjustments to the Smart Home Rebates Program for the anticipated portion of CFL measures purchased and installed in small commercial buildings</w:t>
      </w:r>
    </w:p>
    <w:p w:rsidR="003C2064" w:rsidRPr="00170843" w:rsidRDefault="003C2064" w:rsidP="00E646C9">
      <w:pPr>
        <w:pStyle w:val="ListParagraph"/>
        <w:numPr>
          <w:ilvl w:val="0"/>
          <w:numId w:val="134"/>
        </w:numPr>
        <w:ind w:left="360"/>
      </w:pPr>
      <w:r w:rsidRPr="00170843">
        <w:t>Adjustments to the Smart Usage Profile Program to reflect savings accruing only in PY 2015 due to savings decay of a one-year measure life.</w:t>
      </w:r>
    </w:p>
    <w:p w:rsidR="00A26C95" w:rsidRPr="00E45861" w:rsidRDefault="00A26C95" w:rsidP="00E45861"/>
    <w:p w:rsidR="00A26C95" w:rsidRPr="000C15AF" w:rsidRDefault="00A26C95" w:rsidP="00A26C95">
      <w:pPr>
        <w:pStyle w:val="AppendixDHeading1"/>
        <w:numPr>
          <w:ilvl w:val="0"/>
          <w:numId w:val="0"/>
        </w:numPr>
        <w:rPr>
          <w:rFonts w:asciiTheme="minorHAnsi" w:hAnsiTheme="minorHAnsi"/>
          <w:b w:val="0"/>
          <w:smallCaps w:val="0"/>
          <w:sz w:val="22"/>
        </w:rPr>
      </w:pPr>
      <w:r w:rsidRPr="000C15AF">
        <w:rPr>
          <w:rFonts w:asciiTheme="minorHAnsi" w:hAnsiTheme="minorHAnsi"/>
          <w:b w:val="0"/>
          <w:smallCaps w:val="0"/>
          <w:sz w:val="22"/>
        </w:rPr>
        <w:t>As a result of these developments, PECO made the following program changes for Phase II:</w:t>
      </w:r>
    </w:p>
    <w:p w:rsidR="003C2064" w:rsidRPr="00170843" w:rsidRDefault="003C2064" w:rsidP="00E646C9">
      <w:pPr>
        <w:pStyle w:val="ListParagraph"/>
        <w:numPr>
          <w:ilvl w:val="0"/>
          <w:numId w:val="134"/>
        </w:numPr>
        <w:ind w:left="360"/>
      </w:pPr>
      <w:r w:rsidRPr="00170843">
        <w:t>Changes to the Low-Income Energy Efficiency Program to increase customer participation in both refrigerator recycling and replacement programs and increase CFL use through additional community events</w:t>
      </w:r>
    </w:p>
    <w:p w:rsidR="003C2064" w:rsidRPr="00170843" w:rsidRDefault="003C2064" w:rsidP="00E646C9">
      <w:pPr>
        <w:pStyle w:val="ListParagraph"/>
        <w:numPr>
          <w:ilvl w:val="0"/>
          <w:numId w:val="134"/>
        </w:numPr>
        <w:ind w:left="360"/>
      </w:pPr>
      <w:r w:rsidRPr="00170843">
        <w:t>Changes to Smart Equipment and Smart Construction Incentives programs for GNI and C/I customers due to increased participation associated with more aggressive outreach and marketing plans</w:t>
      </w:r>
    </w:p>
    <w:p w:rsidR="003C2064" w:rsidRPr="00170843" w:rsidRDefault="003C2064" w:rsidP="00E646C9">
      <w:pPr>
        <w:pStyle w:val="ListParagraph"/>
        <w:numPr>
          <w:ilvl w:val="0"/>
          <w:numId w:val="134"/>
        </w:numPr>
        <w:ind w:left="360"/>
      </w:pPr>
      <w:r w:rsidRPr="00170843">
        <w:t>Expansion of the Smart Energy Saver Program due to an increased interest in participation from schools</w:t>
      </w:r>
    </w:p>
    <w:p w:rsidR="003C2064" w:rsidRPr="00170843" w:rsidRDefault="003C2064" w:rsidP="00E646C9">
      <w:pPr>
        <w:pStyle w:val="ListParagraph"/>
        <w:numPr>
          <w:ilvl w:val="0"/>
          <w:numId w:val="134"/>
        </w:numPr>
        <w:ind w:left="360"/>
      </w:pPr>
      <w:r w:rsidRPr="00170843">
        <w:t>Allocation of an additional $20.3 million in the Smart AC Saver programs so that this program may continue through the entire Phase II plan period (PY6 and PY7)</w:t>
      </w:r>
    </w:p>
    <w:p w:rsidR="00A26C95" w:rsidRDefault="003C2064" w:rsidP="00E646C9">
      <w:pPr>
        <w:pStyle w:val="ListParagraph"/>
        <w:numPr>
          <w:ilvl w:val="0"/>
          <w:numId w:val="134"/>
        </w:numPr>
        <w:ind w:left="360"/>
      </w:pPr>
      <w:r w:rsidRPr="00170843">
        <w:t>Consolidation of similar type measures (e.g., multiple wattages of CFLs consolidated into “CFL screw-in bulbs”) for more flexibility in light of changing markets and available products.</w:t>
      </w:r>
    </w:p>
    <w:p w:rsidR="003B6A8A" w:rsidRDefault="003B6A8A" w:rsidP="003B6A8A"/>
    <w:p w:rsidR="00B32B81" w:rsidRPr="003B6A8A" w:rsidRDefault="00B32B81" w:rsidP="003B6A8A"/>
    <w:p w:rsidR="00A26C95" w:rsidRPr="003B6A8A" w:rsidRDefault="00A26C95" w:rsidP="003B6A8A">
      <w:pPr>
        <w:pStyle w:val="AppendixCHeading1"/>
        <w:spacing w:after="60"/>
        <w:rPr>
          <w:color w:val="404040" w:themeColor="text1" w:themeTint="BF"/>
          <w:spacing w:val="-12"/>
        </w:rPr>
      </w:pPr>
      <w:r w:rsidRPr="003B6A8A">
        <w:rPr>
          <w:color w:val="404040" w:themeColor="text1" w:themeTint="BF"/>
          <w:spacing w:val="-12"/>
        </w:rPr>
        <w:t>PPL</w:t>
      </w:r>
    </w:p>
    <w:p w:rsidR="00A26C95" w:rsidRPr="00170843" w:rsidRDefault="0036777C" w:rsidP="00170843">
      <w:r w:rsidRPr="00170843">
        <w:t>PPL made minor changes to their Phase II EE&amp;C plan originally filed on November 15, 2012 and approved on March 14, 2013. The final and current revised version of the EE&amp;C plan was approved on June 5, 2015. The maximum allowable funding specified in the Implementation Order for PPL Electric was $184.5 million. The final revised Plan totals $184.5 million</w:t>
      </w:r>
      <w:r w:rsidR="00A26C95" w:rsidRPr="00170843">
        <w:t>.</w:t>
      </w:r>
    </w:p>
    <w:p w:rsidR="00656920" w:rsidRDefault="00656920" w:rsidP="00656920">
      <w:bookmarkStart w:id="1419" w:name="_Baseline_Study_Updates"/>
      <w:bookmarkStart w:id="1420" w:name="_Energy_Efficiency_and"/>
      <w:bookmarkEnd w:id="1419"/>
      <w:bookmarkEnd w:id="1420"/>
      <w:r>
        <w:br w:type="page"/>
      </w:r>
    </w:p>
    <w:p w:rsidR="00656920" w:rsidRPr="00E45861" w:rsidRDefault="00656920" w:rsidP="00B32B81">
      <w:pPr>
        <w:pStyle w:val="Heading1"/>
        <w:numPr>
          <w:ilvl w:val="0"/>
          <w:numId w:val="0"/>
        </w:numPr>
      </w:pPr>
      <w:bookmarkStart w:id="1421" w:name="_Toc472472149"/>
      <w:bookmarkStart w:id="1422" w:name="_Toc488765842"/>
      <w:r w:rsidRPr="003B6A8A">
        <w:rPr>
          <w:rFonts w:ascii="Broadway" w:hAnsi="Broadway"/>
          <w:sz w:val="32"/>
        </w:rPr>
        <w:t>Appendix D</w:t>
      </w:r>
      <w:r w:rsidRPr="00E45861">
        <w:t xml:space="preserve">| </w:t>
      </w:r>
      <w:r w:rsidR="009702CB" w:rsidRPr="00E45861">
        <w:t>ACEEE Scorecard Format</w:t>
      </w:r>
      <w:bookmarkEnd w:id="1421"/>
      <w:bookmarkEnd w:id="1422"/>
    </w:p>
    <w:p w:rsidR="003C4C90" w:rsidRDefault="003C4C90" w:rsidP="003C4C90">
      <w:r>
        <w:t>The data provided in the following tables is required for completion of the 2015 ACEEE Scorecard. Included are the Pennsylvania statewide EE budgets and expenditures, verified gross annual and lifetime savings, and verified net annual and lifetime savings.</w:t>
      </w:r>
    </w:p>
    <w:p w:rsidR="003C4C90" w:rsidRPr="002852AF" w:rsidRDefault="003C4C90" w:rsidP="002852AF"/>
    <w:p w:rsidR="003C4C90" w:rsidRDefault="003C4C90" w:rsidP="004837FA">
      <w:pPr>
        <w:pStyle w:val="Caption"/>
      </w:pPr>
      <w:r>
        <w:t xml:space="preserve">Table D- </w:t>
      </w:r>
      <w:r w:rsidR="007973A4">
        <w:fldChar w:fldCharType="begin"/>
      </w:r>
      <w:r w:rsidR="007973A4">
        <w:instrText xml:space="preserve"> SEQ Table_D- \* ARABIC </w:instrText>
      </w:r>
      <w:r w:rsidR="007973A4">
        <w:fldChar w:fldCharType="separate"/>
      </w:r>
      <w:r w:rsidR="00037CB4">
        <w:rPr>
          <w:noProof/>
        </w:rPr>
        <w:t>1</w:t>
      </w:r>
      <w:r w:rsidR="007973A4">
        <w:rPr>
          <w:noProof/>
        </w:rPr>
        <w:fldChar w:fldCharType="end"/>
      </w:r>
      <w:r>
        <w:t>: Pennsylvania Statewide EE Budget and Expenditures</w:t>
      </w:r>
    </w:p>
    <w:tbl>
      <w:tblPr>
        <w:tblW w:w="9350" w:type="dxa"/>
        <w:tblInd w:w="108" w:type="dxa"/>
        <w:tblLook w:val="04A0" w:firstRow="1" w:lastRow="0" w:firstColumn="1" w:lastColumn="0" w:noHBand="0" w:noVBand="1"/>
      </w:tblPr>
      <w:tblGrid>
        <w:gridCol w:w="2520"/>
        <w:gridCol w:w="3415"/>
        <w:gridCol w:w="3415"/>
      </w:tblGrid>
      <w:tr w:rsidR="003C4C90" w:rsidRPr="003B6A8A" w:rsidTr="00552581">
        <w:trPr>
          <w:trHeight w:val="205"/>
        </w:trPr>
        <w:tc>
          <w:tcPr>
            <w:tcW w:w="252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3C4C90" w:rsidRPr="003B6A8A" w:rsidRDefault="003C4C90" w:rsidP="003C4C90">
            <w:pPr>
              <w:rPr>
                <w:b/>
                <w:bCs/>
                <w:color w:val="FFFFFF"/>
                <w:sz w:val="19"/>
                <w:szCs w:val="19"/>
              </w:rPr>
            </w:pPr>
            <w:r w:rsidRPr="003B6A8A">
              <w:rPr>
                <w:b/>
                <w:bCs/>
                <w:color w:val="FFFFFF"/>
                <w:sz w:val="19"/>
                <w:szCs w:val="19"/>
              </w:rPr>
              <w:t>EDC</w:t>
            </w:r>
          </w:p>
        </w:tc>
        <w:tc>
          <w:tcPr>
            <w:tcW w:w="3415"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3B6A8A" w:rsidRDefault="003C4C90" w:rsidP="003C4C90">
            <w:pPr>
              <w:jc w:val="center"/>
              <w:rPr>
                <w:b/>
                <w:bCs/>
                <w:color w:val="FFFFFF"/>
                <w:sz w:val="19"/>
                <w:szCs w:val="19"/>
              </w:rPr>
            </w:pPr>
            <w:r w:rsidRPr="003B6A8A">
              <w:rPr>
                <w:b/>
                <w:bCs/>
                <w:color w:val="FFFFFF"/>
                <w:sz w:val="19"/>
                <w:szCs w:val="19"/>
              </w:rPr>
              <w:t>Actual PY7 EE Expenditures ($)</w:t>
            </w:r>
          </w:p>
        </w:tc>
        <w:tc>
          <w:tcPr>
            <w:tcW w:w="3415"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3B6A8A" w:rsidRDefault="003C4C90" w:rsidP="003C4C90">
            <w:pPr>
              <w:jc w:val="center"/>
              <w:rPr>
                <w:b/>
                <w:bCs/>
                <w:color w:val="FFFFFF"/>
                <w:sz w:val="19"/>
                <w:szCs w:val="19"/>
              </w:rPr>
            </w:pPr>
            <w:r w:rsidRPr="003B6A8A">
              <w:rPr>
                <w:b/>
                <w:bCs/>
                <w:color w:val="FFFFFF"/>
                <w:sz w:val="19"/>
                <w:szCs w:val="19"/>
              </w:rPr>
              <w:t>Approved Budget for PY7 ($)</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Duquesne</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$16,033,000</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$19,497,797</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color w:val="000000"/>
                <w:sz w:val="19"/>
                <w:szCs w:val="19"/>
              </w:rPr>
            </w:pPr>
            <w:r w:rsidRPr="003B6A8A">
              <w:rPr>
                <w:color w:val="000000"/>
                <w:sz w:val="19"/>
                <w:szCs w:val="19"/>
              </w:rPr>
              <w:t>FE:  Met-Ed</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color w:val="000000"/>
                <w:sz w:val="19"/>
                <w:szCs w:val="19"/>
              </w:rPr>
            </w:pPr>
            <w:r w:rsidRPr="003B6A8A">
              <w:rPr>
                <w:color w:val="000000"/>
                <w:sz w:val="19"/>
                <w:szCs w:val="19"/>
              </w:rPr>
              <w:t>$18,906,855</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sz w:val="19"/>
                <w:szCs w:val="19"/>
              </w:rPr>
            </w:pPr>
            <w:r w:rsidRPr="003B6A8A">
              <w:rPr>
                <w:sz w:val="19"/>
                <w:szCs w:val="19"/>
              </w:rPr>
              <w:t>$25,519,550</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FE:  Penelec</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$16,422,862</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$24,096,572</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color w:val="000000"/>
                <w:sz w:val="19"/>
                <w:szCs w:val="19"/>
              </w:rPr>
            </w:pPr>
            <w:r w:rsidRPr="003B6A8A">
              <w:rPr>
                <w:color w:val="000000"/>
                <w:sz w:val="19"/>
                <w:szCs w:val="19"/>
              </w:rPr>
              <w:t>FE:  Penn Power</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color w:val="000000"/>
                <w:sz w:val="19"/>
                <w:szCs w:val="19"/>
              </w:rPr>
            </w:pPr>
            <w:r w:rsidRPr="003B6A8A">
              <w:rPr>
                <w:color w:val="000000"/>
                <w:sz w:val="19"/>
                <w:szCs w:val="19"/>
              </w:rPr>
              <w:t>$3,901,655</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sz w:val="19"/>
                <w:szCs w:val="19"/>
              </w:rPr>
            </w:pPr>
            <w:r w:rsidRPr="003B6A8A">
              <w:rPr>
                <w:sz w:val="19"/>
                <w:szCs w:val="19"/>
              </w:rPr>
              <w:t>$6,821,749</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FE:  West Penn</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$17,054,581</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$24,207,741</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color w:val="000000"/>
                <w:sz w:val="19"/>
                <w:szCs w:val="19"/>
              </w:rPr>
            </w:pPr>
            <w:r w:rsidRPr="003B6A8A">
              <w:rPr>
                <w:color w:val="000000"/>
                <w:sz w:val="19"/>
                <w:szCs w:val="19"/>
              </w:rPr>
              <w:t>PECO</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color w:val="000000"/>
                <w:sz w:val="19"/>
                <w:szCs w:val="19"/>
              </w:rPr>
            </w:pPr>
            <w:r w:rsidRPr="003B6A8A">
              <w:rPr>
                <w:color w:val="000000"/>
                <w:sz w:val="19"/>
                <w:szCs w:val="19"/>
              </w:rPr>
              <w:t>$91,147,823</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sz w:val="19"/>
                <w:szCs w:val="19"/>
              </w:rPr>
            </w:pPr>
            <w:r w:rsidRPr="003B6A8A">
              <w:rPr>
                <w:sz w:val="19"/>
                <w:szCs w:val="19"/>
              </w:rPr>
              <w:t>$91,081,490</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PPL</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$64,716,000</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$75,824,000</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b/>
                <w:bCs/>
                <w:color w:val="000000"/>
                <w:sz w:val="19"/>
                <w:szCs w:val="19"/>
              </w:rPr>
            </w:pPr>
            <w:r w:rsidRPr="003B6A8A">
              <w:rPr>
                <w:b/>
                <w:bCs/>
                <w:color w:val="000000"/>
                <w:sz w:val="19"/>
                <w:szCs w:val="19"/>
              </w:rPr>
              <w:t>Total</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b/>
                <w:bCs/>
                <w:color w:val="000000"/>
                <w:sz w:val="19"/>
                <w:szCs w:val="19"/>
              </w:rPr>
            </w:pPr>
            <w:r w:rsidRPr="003B6A8A">
              <w:rPr>
                <w:b/>
                <w:bCs/>
                <w:color w:val="000000"/>
                <w:sz w:val="19"/>
                <w:szCs w:val="19"/>
              </w:rPr>
              <w:t>$228,182,776</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b/>
                <w:bCs/>
                <w:sz w:val="19"/>
                <w:szCs w:val="19"/>
              </w:rPr>
            </w:pPr>
            <w:r w:rsidRPr="003B6A8A">
              <w:rPr>
                <w:b/>
                <w:bCs/>
                <w:sz w:val="19"/>
                <w:szCs w:val="19"/>
              </w:rPr>
              <w:t>$267,048,899</w:t>
            </w:r>
          </w:p>
        </w:tc>
      </w:tr>
    </w:tbl>
    <w:p w:rsidR="003C4C90" w:rsidRPr="002852AF" w:rsidRDefault="003C4C90" w:rsidP="002852AF"/>
    <w:p w:rsidR="003C4C90" w:rsidRDefault="003C4C90" w:rsidP="004837FA">
      <w:pPr>
        <w:pStyle w:val="Caption"/>
      </w:pPr>
      <w:r>
        <w:t xml:space="preserve">Table D- </w:t>
      </w:r>
      <w:r w:rsidR="007973A4">
        <w:fldChar w:fldCharType="begin"/>
      </w:r>
      <w:r w:rsidR="007973A4">
        <w:instrText xml:space="preserve"> SEQ Table_D- \* ARABIC </w:instrText>
      </w:r>
      <w:r w:rsidR="007973A4">
        <w:fldChar w:fldCharType="separate"/>
      </w:r>
      <w:r w:rsidR="00037CB4">
        <w:rPr>
          <w:noProof/>
        </w:rPr>
        <w:t>2</w:t>
      </w:r>
      <w:r w:rsidR="007973A4">
        <w:rPr>
          <w:noProof/>
        </w:rPr>
        <w:fldChar w:fldCharType="end"/>
      </w:r>
      <w:r>
        <w:t>: Pennsylvania Statewide Gross Verified Annual and Gross Verified Lifetime MWh Savings</w:t>
      </w:r>
    </w:p>
    <w:tbl>
      <w:tblPr>
        <w:tblW w:w="9360" w:type="dxa"/>
        <w:tblInd w:w="108" w:type="dxa"/>
        <w:tblLook w:val="04A0" w:firstRow="1" w:lastRow="0" w:firstColumn="1" w:lastColumn="0" w:noHBand="0" w:noVBand="1"/>
      </w:tblPr>
      <w:tblGrid>
        <w:gridCol w:w="2520"/>
        <w:gridCol w:w="3420"/>
        <w:gridCol w:w="3420"/>
      </w:tblGrid>
      <w:tr w:rsidR="003C4C90" w:rsidRPr="003B6A8A" w:rsidTr="00552581">
        <w:trPr>
          <w:trHeight w:val="196"/>
        </w:trPr>
        <w:tc>
          <w:tcPr>
            <w:tcW w:w="252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3C4C90" w:rsidRPr="003B6A8A" w:rsidRDefault="003C4C90" w:rsidP="003C4C90">
            <w:pPr>
              <w:rPr>
                <w:b/>
                <w:bCs/>
                <w:color w:val="FFFFFF"/>
                <w:sz w:val="19"/>
                <w:szCs w:val="19"/>
              </w:rPr>
            </w:pPr>
            <w:r w:rsidRPr="003B6A8A">
              <w:rPr>
                <w:b/>
                <w:bCs/>
                <w:color w:val="FFFFFF"/>
                <w:sz w:val="19"/>
                <w:szCs w:val="19"/>
              </w:rPr>
              <w:t>EDC</w:t>
            </w:r>
          </w:p>
        </w:tc>
        <w:tc>
          <w:tcPr>
            <w:tcW w:w="3420"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3B6A8A" w:rsidRDefault="003C4C90" w:rsidP="003C4C90">
            <w:pPr>
              <w:jc w:val="center"/>
              <w:rPr>
                <w:b/>
                <w:bCs/>
                <w:color w:val="FFFFFF"/>
                <w:sz w:val="19"/>
                <w:szCs w:val="19"/>
              </w:rPr>
            </w:pPr>
            <w:r w:rsidRPr="003B6A8A">
              <w:rPr>
                <w:b/>
                <w:bCs/>
                <w:color w:val="FFFFFF"/>
                <w:sz w:val="19"/>
                <w:szCs w:val="19"/>
              </w:rPr>
              <w:t>Gross Verified Annual Savings (MWh)</w:t>
            </w:r>
          </w:p>
        </w:tc>
        <w:tc>
          <w:tcPr>
            <w:tcW w:w="3420"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3B6A8A" w:rsidRDefault="003C4C90" w:rsidP="003C4C90">
            <w:pPr>
              <w:jc w:val="center"/>
              <w:rPr>
                <w:b/>
                <w:bCs/>
                <w:color w:val="FFFFFF"/>
                <w:sz w:val="19"/>
                <w:szCs w:val="19"/>
              </w:rPr>
            </w:pPr>
            <w:r w:rsidRPr="003B6A8A">
              <w:rPr>
                <w:b/>
                <w:bCs/>
                <w:color w:val="FFFFFF"/>
                <w:sz w:val="19"/>
                <w:szCs w:val="19"/>
              </w:rPr>
              <w:t>Gross Verified Lifetime Savings (MWh)</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Duquesne</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142,187</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1,562,136</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color w:val="000000"/>
                <w:sz w:val="19"/>
                <w:szCs w:val="19"/>
              </w:rPr>
            </w:pPr>
            <w:r w:rsidRPr="003B6A8A">
              <w:rPr>
                <w:color w:val="000000"/>
                <w:sz w:val="19"/>
                <w:szCs w:val="19"/>
              </w:rPr>
              <w:t>FE:  Met-Ed</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color w:val="000000"/>
                <w:sz w:val="19"/>
                <w:szCs w:val="19"/>
              </w:rPr>
            </w:pPr>
            <w:r w:rsidRPr="003B6A8A">
              <w:rPr>
                <w:color w:val="000000"/>
                <w:sz w:val="19"/>
                <w:szCs w:val="19"/>
              </w:rPr>
              <w:t>171,420</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sz w:val="19"/>
                <w:szCs w:val="19"/>
              </w:rPr>
            </w:pPr>
            <w:r w:rsidRPr="003B6A8A">
              <w:rPr>
                <w:sz w:val="19"/>
                <w:szCs w:val="19"/>
              </w:rPr>
              <w:t>1,412,232</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FE:  Penelec</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164,398</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1,449,520</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color w:val="000000"/>
                <w:sz w:val="19"/>
                <w:szCs w:val="19"/>
              </w:rPr>
            </w:pPr>
            <w:r w:rsidRPr="003B6A8A">
              <w:rPr>
                <w:color w:val="000000"/>
                <w:sz w:val="19"/>
                <w:szCs w:val="19"/>
              </w:rPr>
              <w:t>FE:  Penn Power</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color w:val="000000"/>
                <w:sz w:val="19"/>
                <w:szCs w:val="19"/>
              </w:rPr>
            </w:pPr>
            <w:r w:rsidRPr="003B6A8A">
              <w:rPr>
                <w:color w:val="000000"/>
                <w:sz w:val="19"/>
                <w:szCs w:val="19"/>
              </w:rPr>
              <w:t>27,280</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sz w:val="19"/>
                <w:szCs w:val="19"/>
              </w:rPr>
            </w:pPr>
            <w:r w:rsidRPr="003B6A8A">
              <w:rPr>
                <w:sz w:val="19"/>
                <w:szCs w:val="19"/>
              </w:rPr>
              <w:t>239,330</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FE:  West Penn</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158,760</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1,360,706</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color w:val="000000"/>
                <w:sz w:val="19"/>
                <w:szCs w:val="19"/>
              </w:rPr>
            </w:pPr>
            <w:r w:rsidRPr="003B6A8A">
              <w:rPr>
                <w:color w:val="000000"/>
                <w:sz w:val="19"/>
                <w:szCs w:val="19"/>
              </w:rPr>
              <w:t>PECO</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color w:val="000000"/>
                <w:sz w:val="19"/>
                <w:szCs w:val="19"/>
              </w:rPr>
            </w:pPr>
            <w:r w:rsidRPr="003B6A8A">
              <w:rPr>
                <w:color w:val="000000"/>
                <w:sz w:val="19"/>
                <w:szCs w:val="19"/>
              </w:rPr>
              <w:t>528,301</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sz w:val="19"/>
                <w:szCs w:val="19"/>
              </w:rPr>
            </w:pPr>
            <w:r w:rsidRPr="003B6A8A">
              <w:rPr>
                <w:sz w:val="19"/>
                <w:szCs w:val="19"/>
              </w:rPr>
              <w:t>6,025,303</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PPL</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313,976</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3,406,665</w:t>
            </w:r>
          </w:p>
        </w:tc>
      </w:tr>
      <w:tr w:rsidR="003C4C90" w:rsidRPr="003B6A8A" w:rsidTr="00B32B81">
        <w:trPr>
          <w:trHeight w:val="288"/>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b/>
                <w:bCs/>
                <w:color w:val="000000"/>
                <w:sz w:val="19"/>
                <w:szCs w:val="19"/>
              </w:rPr>
            </w:pPr>
            <w:r w:rsidRPr="003B6A8A">
              <w:rPr>
                <w:b/>
                <w:bCs/>
                <w:color w:val="000000"/>
                <w:sz w:val="19"/>
                <w:szCs w:val="19"/>
              </w:rPr>
              <w:t>Total</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b/>
                <w:bCs/>
                <w:color w:val="000000"/>
                <w:sz w:val="19"/>
                <w:szCs w:val="19"/>
              </w:rPr>
            </w:pPr>
            <w:r w:rsidRPr="003B6A8A">
              <w:rPr>
                <w:b/>
                <w:bCs/>
                <w:color w:val="000000"/>
                <w:sz w:val="19"/>
                <w:szCs w:val="19"/>
              </w:rPr>
              <w:t>1,509,707</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b/>
                <w:bCs/>
                <w:sz w:val="19"/>
                <w:szCs w:val="19"/>
              </w:rPr>
            </w:pPr>
            <w:r w:rsidRPr="003B6A8A">
              <w:rPr>
                <w:b/>
                <w:bCs/>
                <w:sz w:val="19"/>
                <w:szCs w:val="19"/>
              </w:rPr>
              <w:t>15,455,892</w:t>
            </w:r>
          </w:p>
        </w:tc>
      </w:tr>
    </w:tbl>
    <w:p w:rsidR="003C4C90" w:rsidRPr="002852AF" w:rsidRDefault="003C4C90" w:rsidP="002852AF"/>
    <w:p w:rsidR="003C4C90" w:rsidRDefault="003C4C90" w:rsidP="004837FA">
      <w:pPr>
        <w:pStyle w:val="Caption"/>
      </w:pPr>
      <w:r>
        <w:t xml:space="preserve">Table D- </w:t>
      </w:r>
      <w:r w:rsidR="007973A4">
        <w:fldChar w:fldCharType="begin"/>
      </w:r>
      <w:r w:rsidR="007973A4">
        <w:instrText xml:space="preserve"> SEQ Table_D- \* ARABIC </w:instrText>
      </w:r>
      <w:r w:rsidR="007973A4">
        <w:fldChar w:fldCharType="separate"/>
      </w:r>
      <w:r w:rsidR="00037CB4">
        <w:rPr>
          <w:noProof/>
        </w:rPr>
        <w:t>3</w:t>
      </w:r>
      <w:r w:rsidR="007973A4">
        <w:rPr>
          <w:noProof/>
        </w:rPr>
        <w:fldChar w:fldCharType="end"/>
      </w:r>
      <w:r>
        <w:t>: Pennsylvania Statewide Net Verified Annual and Net Verified Lifetime MWh Savings</w:t>
      </w:r>
    </w:p>
    <w:tbl>
      <w:tblPr>
        <w:tblW w:w="9360" w:type="dxa"/>
        <w:tblInd w:w="108" w:type="dxa"/>
        <w:tblLook w:val="04A0" w:firstRow="1" w:lastRow="0" w:firstColumn="1" w:lastColumn="0" w:noHBand="0" w:noVBand="1"/>
      </w:tblPr>
      <w:tblGrid>
        <w:gridCol w:w="2628"/>
        <w:gridCol w:w="3366"/>
        <w:gridCol w:w="3366"/>
      </w:tblGrid>
      <w:tr w:rsidR="003C4C90" w:rsidRPr="003B6A8A" w:rsidTr="00552581">
        <w:trPr>
          <w:trHeight w:val="196"/>
        </w:trPr>
        <w:tc>
          <w:tcPr>
            <w:tcW w:w="2628"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3C4C90" w:rsidRPr="003B6A8A" w:rsidRDefault="003C4C90" w:rsidP="003C4C90">
            <w:pPr>
              <w:rPr>
                <w:b/>
                <w:bCs/>
                <w:color w:val="FFFFFF"/>
                <w:sz w:val="19"/>
                <w:szCs w:val="19"/>
              </w:rPr>
            </w:pPr>
            <w:r w:rsidRPr="003B6A8A">
              <w:rPr>
                <w:b/>
                <w:bCs/>
                <w:color w:val="FFFFFF"/>
                <w:sz w:val="19"/>
                <w:szCs w:val="19"/>
              </w:rPr>
              <w:t>EDC</w:t>
            </w:r>
          </w:p>
        </w:tc>
        <w:tc>
          <w:tcPr>
            <w:tcW w:w="3366"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3B6A8A" w:rsidRDefault="003C4C90" w:rsidP="003C4C90">
            <w:pPr>
              <w:jc w:val="center"/>
              <w:rPr>
                <w:b/>
                <w:bCs/>
                <w:color w:val="FFFFFF"/>
                <w:sz w:val="19"/>
                <w:szCs w:val="19"/>
              </w:rPr>
            </w:pPr>
            <w:r w:rsidRPr="003B6A8A">
              <w:rPr>
                <w:b/>
                <w:bCs/>
                <w:color w:val="FFFFFF"/>
                <w:sz w:val="19"/>
                <w:szCs w:val="19"/>
              </w:rPr>
              <w:t>Net Verified Annual Savings (MWh)</w:t>
            </w:r>
          </w:p>
        </w:tc>
        <w:tc>
          <w:tcPr>
            <w:tcW w:w="3366"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3B6A8A" w:rsidRDefault="003C4C90" w:rsidP="003C4C90">
            <w:pPr>
              <w:jc w:val="center"/>
              <w:rPr>
                <w:b/>
                <w:bCs/>
                <w:color w:val="FFFFFF"/>
                <w:sz w:val="19"/>
                <w:szCs w:val="19"/>
              </w:rPr>
            </w:pPr>
            <w:r w:rsidRPr="003B6A8A">
              <w:rPr>
                <w:b/>
                <w:bCs/>
                <w:color w:val="FFFFFF"/>
                <w:sz w:val="19"/>
                <w:szCs w:val="19"/>
              </w:rPr>
              <w:t>Net Verified Lifetime Savings (MWh)</w:t>
            </w:r>
          </w:p>
        </w:tc>
      </w:tr>
      <w:tr w:rsidR="003C4C90" w:rsidRPr="003B6A8A" w:rsidTr="00B32B81">
        <w:trPr>
          <w:trHeight w:val="288"/>
        </w:trPr>
        <w:tc>
          <w:tcPr>
            <w:tcW w:w="2628"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Duquesne</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104,999</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1,404,839</w:t>
            </w:r>
          </w:p>
        </w:tc>
      </w:tr>
      <w:tr w:rsidR="003C4C90" w:rsidRPr="003B6A8A" w:rsidTr="00B32B81">
        <w:trPr>
          <w:trHeight w:val="288"/>
        </w:trPr>
        <w:tc>
          <w:tcPr>
            <w:tcW w:w="2628"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color w:val="000000"/>
                <w:sz w:val="19"/>
                <w:szCs w:val="19"/>
              </w:rPr>
            </w:pPr>
            <w:r w:rsidRPr="003B6A8A">
              <w:rPr>
                <w:color w:val="000000"/>
                <w:sz w:val="19"/>
                <w:szCs w:val="19"/>
              </w:rPr>
              <w:t>FE:  Met-Ed</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color w:val="000000"/>
                <w:sz w:val="19"/>
                <w:szCs w:val="19"/>
              </w:rPr>
            </w:pPr>
            <w:r w:rsidRPr="003B6A8A">
              <w:rPr>
                <w:color w:val="000000"/>
                <w:sz w:val="19"/>
                <w:szCs w:val="19"/>
              </w:rPr>
              <w:t>124,981</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sz w:val="19"/>
                <w:szCs w:val="19"/>
              </w:rPr>
            </w:pPr>
            <w:r w:rsidRPr="003B6A8A">
              <w:rPr>
                <w:sz w:val="19"/>
                <w:szCs w:val="19"/>
              </w:rPr>
              <w:t>1,412,232</w:t>
            </w:r>
          </w:p>
        </w:tc>
      </w:tr>
      <w:tr w:rsidR="003C4C90" w:rsidRPr="003B6A8A" w:rsidTr="00B32B81">
        <w:trPr>
          <w:trHeight w:val="288"/>
        </w:trPr>
        <w:tc>
          <w:tcPr>
            <w:tcW w:w="2628"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FE:  Penelec</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126,682</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1,449,520</w:t>
            </w:r>
          </w:p>
        </w:tc>
      </w:tr>
      <w:tr w:rsidR="003C4C90" w:rsidRPr="003B6A8A" w:rsidTr="00B32B81">
        <w:trPr>
          <w:trHeight w:val="288"/>
        </w:trPr>
        <w:tc>
          <w:tcPr>
            <w:tcW w:w="2628"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color w:val="000000"/>
                <w:sz w:val="19"/>
                <w:szCs w:val="19"/>
              </w:rPr>
            </w:pPr>
            <w:r w:rsidRPr="003B6A8A">
              <w:rPr>
                <w:color w:val="000000"/>
                <w:sz w:val="19"/>
                <w:szCs w:val="19"/>
              </w:rPr>
              <w:t>FE:  Penn Power</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color w:val="000000"/>
                <w:sz w:val="19"/>
                <w:szCs w:val="19"/>
              </w:rPr>
            </w:pPr>
            <w:r w:rsidRPr="003B6A8A">
              <w:rPr>
                <w:color w:val="000000"/>
                <w:sz w:val="19"/>
                <w:szCs w:val="19"/>
              </w:rPr>
              <w:t>19,187</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sz w:val="19"/>
                <w:szCs w:val="19"/>
              </w:rPr>
            </w:pPr>
            <w:r w:rsidRPr="003B6A8A">
              <w:rPr>
                <w:sz w:val="19"/>
                <w:szCs w:val="19"/>
              </w:rPr>
              <w:t>239,330</w:t>
            </w:r>
          </w:p>
        </w:tc>
      </w:tr>
      <w:tr w:rsidR="003C4C90" w:rsidRPr="003B6A8A" w:rsidTr="00B32B81">
        <w:trPr>
          <w:trHeight w:val="288"/>
        </w:trPr>
        <w:tc>
          <w:tcPr>
            <w:tcW w:w="2628"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FE:  West Penn</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120,335</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1,360,706</w:t>
            </w:r>
          </w:p>
        </w:tc>
      </w:tr>
      <w:tr w:rsidR="003C4C90" w:rsidRPr="003B6A8A" w:rsidTr="00B32B81">
        <w:trPr>
          <w:trHeight w:val="288"/>
        </w:trPr>
        <w:tc>
          <w:tcPr>
            <w:tcW w:w="2628"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color w:val="000000"/>
                <w:sz w:val="19"/>
                <w:szCs w:val="19"/>
              </w:rPr>
            </w:pPr>
            <w:r w:rsidRPr="003B6A8A">
              <w:rPr>
                <w:color w:val="000000"/>
                <w:sz w:val="19"/>
                <w:szCs w:val="19"/>
              </w:rPr>
              <w:t>PECO</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color w:val="000000"/>
                <w:sz w:val="19"/>
                <w:szCs w:val="19"/>
              </w:rPr>
            </w:pPr>
            <w:r w:rsidRPr="003B6A8A">
              <w:rPr>
                <w:color w:val="000000"/>
                <w:sz w:val="19"/>
                <w:szCs w:val="19"/>
              </w:rPr>
              <w:t>324,572</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sz w:val="19"/>
                <w:szCs w:val="19"/>
              </w:rPr>
            </w:pPr>
            <w:r w:rsidRPr="003B6A8A">
              <w:rPr>
                <w:sz w:val="19"/>
                <w:szCs w:val="19"/>
              </w:rPr>
              <w:t>3,531,577</w:t>
            </w:r>
          </w:p>
        </w:tc>
      </w:tr>
      <w:tr w:rsidR="003C4C90" w:rsidRPr="003B6A8A" w:rsidTr="00B32B81">
        <w:trPr>
          <w:trHeight w:val="288"/>
        </w:trPr>
        <w:tc>
          <w:tcPr>
            <w:tcW w:w="2628" w:type="dxa"/>
            <w:tcBorders>
              <w:top w:val="nil"/>
              <w:left w:val="single" w:sz="8" w:space="0" w:color="448A99"/>
              <w:bottom w:val="single" w:sz="8" w:space="0" w:color="448A99"/>
              <w:right w:val="single" w:sz="8" w:space="0" w:color="448A99"/>
            </w:tcBorders>
            <w:shd w:val="clear" w:color="auto" w:fill="auto"/>
            <w:vAlign w:val="center"/>
            <w:hideMark/>
          </w:tcPr>
          <w:p w:rsidR="003C4C90" w:rsidRPr="003B6A8A" w:rsidRDefault="003C4C90" w:rsidP="00C94D5A">
            <w:pPr>
              <w:rPr>
                <w:color w:val="000000"/>
                <w:sz w:val="19"/>
                <w:szCs w:val="19"/>
              </w:rPr>
            </w:pPr>
            <w:r w:rsidRPr="003B6A8A">
              <w:rPr>
                <w:color w:val="000000"/>
                <w:sz w:val="19"/>
                <w:szCs w:val="19"/>
              </w:rPr>
              <w:t>PPL</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color w:val="000000"/>
                <w:sz w:val="19"/>
                <w:szCs w:val="19"/>
              </w:rPr>
            </w:pPr>
            <w:r w:rsidRPr="003B6A8A">
              <w:rPr>
                <w:color w:val="000000"/>
                <w:sz w:val="19"/>
                <w:szCs w:val="19"/>
              </w:rPr>
              <w:t>238,012</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3B6A8A" w:rsidRDefault="003C4C90" w:rsidP="00C94D5A">
            <w:pPr>
              <w:jc w:val="center"/>
              <w:rPr>
                <w:sz w:val="19"/>
                <w:szCs w:val="19"/>
              </w:rPr>
            </w:pPr>
            <w:r w:rsidRPr="003B6A8A">
              <w:rPr>
                <w:sz w:val="19"/>
                <w:szCs w:val="19"/>
              </w:rPr>
              <w:t>2,591,240</w:t>
            </w:r>
          </w:p>
        </w:tc>
      </w:tr>
      <w:tr w:rsidR="003C4C90" w:rsidRPr="003B6A8A" w:rsidTr="00B32B81">
        <w:trPr>
          <w:trHeight w:val="288"/>
        </w:trPr>
        <w:tc>
          <w:tcPr>
            <w:tcW w:w="2628"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3B6A8A" w:rsidRDefault="003C4C90" w:rsidP="00C94D5A">
            <w:pPr>
              <w:rPr>
                <w:b/>
                <w:bCs/>
                <w:color w:val="000000"/>
                <w:sz w:val="19"/>
                <w:szCs w:val="19"/>
              </w:rPr>
            </w:pPr>
            <w:r w:rsidRPr="003B6A8A">
              <w:rPr>
                <w:b/>
                <w:bCs/>
                <w:color w:val="000000"/>
                <w:sz w:val="19"/>
                <w:szCs w:val="19"/>
              </w:rPr>
              <w:t>Total</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b/>
                <w:bCs/>
                <w:sz w:val="19"/>
                <w:szCs w:val="19"/>
              </w:rPr>
            </w:pPr>
            <w:r w:rsidRPr="003B6A8A">
              <w:rPr>
                <w:b/>
                <w:bCs/>
                <w:sz w:val="19"/>
                <w:szCs w:val="19"/>
              </w:rPr>
              <w:t>1,058,768</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3B6A8A" w:rsidRDefault="003C4C90" w:rsidP="00C94D5A">
            <w:pPr>
              <w:jc w:val="center"/>
              <w:rPr>
                <w:b/>
                <w:bCs/>
                <w:sz w:val="19"/>
                <w:szCs w:val="19"/>
              </w:rPr>
            </w:pPr>
            <w:r w:rsidRPr="003B6A8A">
              <w:rPr>
                <w:b/>
                <w:bCs/>
                <w:sz w:val="19"/>
                <w:szCs w:val="19"/>
              </w:rPr>
              <w:t>11,989,444</w:t>
            </w:r>
          </w:p>
        </w:tc>
      </w:tr>
    </w:tbl>
    <w:p w:rsidR="00552581" w:rsidRPr="00552581" w:rsidRDefault="00552581" w:rsidP="00552581">
      <w:bookmarkStart w:id="1423" w:name="_Toc472472150"/>
    </w:p>
    <w:p w:rsidR="00552581" w:rsidRDefault="00552581">
      <w:pPr>
        <w:jc w:val="left"/>
        <w:rPr>
          <w:rFonts w:ascii="Century Gothic" w:eastAsiaTheme="minorHAnsi" w:hAnsi="Century Gothic" w:cstheme="minorBidi"/>
          <w:smallCaps/>
          <w:color w:val="FFFFFF" w:themeColor="background1"/>
          <w:sz w:val="32"/>
        </w:rPr>
      </w:pPr>
      <w:r>
        <w:br w:type="page"/>
      </w:r>
    </w:p>
    <w:p w:rsidR="00656920" w:rsidRPr="00E45861" w:rsidRDefault="00656920" w:rsidP="00B32B81">
      <w:pPr>
        <w:pStyle w:val="Heading1"/>
        <w:numPr>
          <w:ilvl w:val="0"/>
          <w:numId w:val="0"/>
        </w:numPr>
      </w:pPr>
      <w:bookmarkStart w:id="1424" w:name="_Toc488765843"/>
      <w:r w:rsidRPr="003B6A8A">
        <w:rPr>
          <w:rFonts w:ascii="Broadway" w:hAnsi="Broadway"/>
          <w:sz w:val="32"/>
        </w:rPr>
        <w:t>Appendix E</w:t>
      </w:r>
      <w:r w:rsidRPr="00E45861">
        <w:t>| Compendium of SWE Phase II Reports and Memos</w:t>
      </w:r>
      <w:bookmarkEnd w:id="1423"/>
      <w:bookmarkEnd w:id="1424"/>
    </w:p>
    <w:p w:rsidR="00656920" w:rsidRPr="003B6A8A" w:rsidRDefault="00B72B14" w:rsidP="003B6A8A">
      <w:pPr>
        <w:pStyle w:val="AppendixEHeading1"/>
      </w:pPr>
      <w:r w:rsidRPr="003B6A8A">
        <w:t>Evaluation Framework</w:t>
      </w:r>
    </w:p>
    <w:p w:rsidR="00B72B14" w:rsidRPr="003B6A8A" w:rsidRDefault="00B72B14" w:rsidP="003B6A8A">
      <w:pPr>
        <w:pStyle w:val="AppendixEHeading2"/>
      </w:pPr>
      <w:r w:rsidRPr="003B6A8A">
        <w:t>Evaluation Framework for Pennsylvania Act 129 Energy Efficiency and Conservation Programs, June 2013</w:t>
      </w:r>
    </w:p>
    <w:p w:rsidR="00B72B14" w:rsidRDefault="00070AE5" w:rsidP="00B72B14">
      <w:r w:rsidRPr="00B72B14">
        <w:t xml:space="preserve">As required in Act 129 and the EE&amp;C Implementation Order, the </w:t>
      </w:r>
      <w:r>
        <w:t>E</w:t>
      </w:r>
      <w:r w:rsidRPr="00B72B14">
        <w:t xml:space="preserve">valuation </w:t>
      </w:r>
      <w:r>
        <w:t>F</w:t>
      </w:r>
      <w:r w:rsidRPr="00B72B14">
        <w:t xml:space="preserve">ramework outlines the procedures of the SWE </w:t>
      </w:r>
      <w:r>
        <w:t>T</w:t>
      </w:r>
      <w:r w:rsidRPr="00B72B14">
        <w:t xml:space="preserve">eam and the expectations of the EDCs in order to comply with the audit of the information submitted in the program. The document further explains the process for updating the TRM, guidelines for tracking and reporting data for the EDC, the M&amp;V expectations of the program, and applicable deadlines. This audit plan and </w:t>
      </w:r>
      <w:r>
        <w:t>E</w:t>
      </w:r>
      <w:r w:rsidRPr="00B72B14">
        <w:t xml:space="preserve">valuation </w:t>
      </w:r>
      <w:r>
        <w:t>F</w:t>
      </w:r>
      <w:r w:rsidRPr="00B72B14">
        <w:t>ramework was originally released in December 2009 as a Phase I audit plan and was updated in November of 2011. For Phase II, the Evaluation Framework was approved as a separate document in June 2013 and subsequently updated in June 2014 and July 2015</w:t>
      </w:r>
      <w:r>
        <w:t>.</w:t>
      </w:r>
      <w:r w:rsidR="00B72B14" w:rsidRPr="00805221">
        <w:rPr>
          <w:rStyle w:val="FootnoteReference"/>
          <w:rFonts w:asciiTheme="minorHAnsi" w:hAnsiTheme="minorHAnsi"/>
        </w:rPr>
        <w:footnoteReference w:id="80"/>
      </w:r>
    </w:p>
    <w:p w:rsidR="00B72B14" w:rsidRDefault="00B72B14" w:rsidP="00B72B14"/>
    <w:p w:rsidR="00B72B14" w:rsidRDefault="00B72B14" w:rsidP="003B6A8A">
      <w:pPr>
        <w:pStyle w:val="AppendixEHeading1"/>
      </w:pPr>
      <w:r>
        <w:t>Baseline Studies</w:t>
      </w:r>
    </w:p>
    <w:p w:rsidR="006C0F17" w:rsidRPr="00805221" w:rsidRDefault="006C0F17" w:rsidP="003B6A8A">
      <w:pPr>
        <w:pStyle w:val="AppendixEHeading2"/>
      </w:pPr>
      <w:r w:rsidRPr="00805221">
        <w:t xml:space="preserve">Pennsylvania Statewide Residential </w:t>
      </w:r>
      <w:r>
        <w:t>Baseline Study, April 2014</w:t>
      </w:r>
      <w:r w:rsidRPr="00805221">
        <w:rPr>
          <w:rStyle w:val="FootnoteReference"/>
          <w:rFonts w:asciiTheme="minorHAnsi" w:hAnsiTheme="minorHAnsi"/>
        </w:rPr>
        <w:footnoteReference w:id="81"/>
      </w:r>
    </w:p>
    <w:p w:rsidR="006C0F17" w:rsidRDefault="00070AE5" w:rsidP="006C0F17">
      <w:r>
        <w:t xml:space="preserve">The residential baseline study evaluated </w:t>
      </w:r>
      <w:r w:rsidRPr="007051F6">
        <w:t>the characteristics of the energy</w:t>
      </w:r>
      <w:r>
        <w:t>-</w:t>
      </w:r>
      <w:r w:rsidRPr="007051F6">
        <w:t>using equipment, the efficient electric equipment stock</w:t>
      </w:r>
      <w:r>
        <w:t>,</w:t>
      </w:r>
      <w:r w:rsidRPr="007051F6">
        <w:t xml:space="preserve"> and building characteristics present in the residential sector of Pennsylvania for the seven EDC service territories. </w:t>
      </w:r>
      <w:r>
        <w:t xml:space="preserve">The study identified </w:t>
      </w:r>
      <w:r w:rsidRPr="007051F6">
        <w:t>the critical data</w:t>
      </w:r>
      <w:r>
        <w:t>-</w:t>
      </w:r>
      <w:r w:rsidRPr="007051F6">
        <w:t>collection needs from the on-site surveys that will be integral to future resource planning and energy efficiency activities in Pennsylvania.</w:t>
      </w:r>
      <w:r>
        <w:t xml:space="preserve"> A total of 490 site surveys stratified by EDC, housing segment, and annual kWh consumption were conducted. The desired level of precision for EDC-specific results, ±10% precision with 90% confidence, necessitated a total of 70 on-site visits per EDC. The data for all EDCs were then aggregated to the statewide level, and these estimates carry precision of ±5% precision with 95% confidence</w:t>
      </w:r>
      <w:r w:rsidR="006C0F17">
        <w:t>.</w:t>
      </w:r>
    </w:p>
    <w:p w:rsidR="006C0F17" w:rsidRDefault="006C0F17" w:rsidP="006C0F17"/>
    <w:p w:rsidR="006C0F17" w:rsidRPr="00805221" w:rsidRDefault="006C0F17" w:rsidP="003B6A8A">
      <w:pPr>
        <w:pStyle w:val="AppendixEHeading2"/>
      </w:pPr>
      <w:r w:rsidRPr="00DD3B23">
        <w:t>Pennsylvania Non-Residential End Use and Saturation Study, April 2014</w:t>
      </w:r>
      <w:r w:rsidRPr="00805221">
        <w:rPr>
          <w:rStyle w:val="FootnoteReference"/>
          <w:rFonts w:asciiTheme="minorHAnsi" w:hAnsiTheme="minorHAnsi"/>
        </w:rPr>
        <w:footnoteReference w:id="82"/>
      </w:r>
    </w:p>
    <w:p w:rsidR="006C0F17" w:rsidRPr="00F60639" w:rsidRDefault="00070AE5" w:rsidP="006C0F17">
      <w:r w:rsidRPr="00C6251D">
        <w:rPr>
          <w:lang w:eastAsia="x-none"/>
        </w:rPr>
        <w:t xml:space="preserve">The </w:t>
      </w:r>
      <w:r>
        <w:rPr>
          <w:lang w:eastAsia="x-none"/>
        </w:rPr>
        <w:t>C/I</w:t>
      </w:r>
      <w:r w:rsidRPr="00C6251D">
        <w:rPr>
          <w:lang w:eastAsia="x-none"/>
        </w:rPr>
        <w:t xml:space="preserve"> baseline study </w:t>
      </w:r>
      <w:r w:rsidRPr="00C6251D">
        <w:t>evaluates the characteristics of the energy</w:t>
      </w:r>
      <w:r>
        <w:t>-</w:t>
      </w:r>
      <w:r w:rsidRPr="00C6251D">
        <w:t xml:space="preserve">using equipment and building stock present in Pennsylvania for the seven EDC service territories. Nexant used its experience working with the Pennsylvania EDCs as a part of the SWE Team evaluating their current </w:t>
      </w:r>
      <w:r>
        <w:t>energy efficiency</w:t>
      </w:r>
      <w:r w:rsidRPr="00C6251D">
        <w:t xml:space="preserve"> programs and performing previous </w:t>
      </w:r>
      <w:r>
        <w:t>energy efficiency</w:t>
      </w:r>
      <w:r w:rsidRPr="00C6251D">
        <w:t xml:space="preserve"> potential studies to identify output parameters that will be integral to future resource planning and </w:t>
      </w:r>
      <w:r>
        <w:t>energy efficiency</w:t>
      </w:r>
      <w:r w:rsidRPr="00C6251D">
        <w:t xml:space="preserve"> activities in Pennsylvania. The study began by analyzing the EDC customer billing data to provide a framework in which to gather additional primary and secondary data. This study evaluated the characteristics of Pennsylvania’s building stock by performing 491 </w:t>
      </w:r>
      <w:r>
        <w:t>C/I</w:t>
      </w:r>
      <w:r w:rsidRPr="00C6251D">
        <w:t xml:space="preserve"> on‐site customer surveys in seven EDC territories. These surveys were designed to inventory the current energy</w:t>
      </w:r>
      <w:r>
        <w:t>-</w:t>
      </w:r>
      <w:r w:rsidRPr="00C6251D">
        <w:t>using equipment with regards to type, fuel, efficiency, saturations, and operating conditions, as well as document the characteristics of the buildings themselves</w:t>
      </w:r>
      <w:r w:rsidR="006C0F17" w:rsidRPr="00C6251D">
        <w:t>.</w:t>
      </w:r>
    </w:p>
    <w:p w:rsidR="00552581" w:rsidRPr="00E45861" w:rsidRDefault="00552581" w:rsidP="00E45861"/>
    <w:p w:rsidR="00B72B14" w:rsidRDefault="00B72B14" w:rsidP="003B6A8A">
      <w:pPr>
        <w:pStyle w:val="AppendixEHeading1"/>
      </w:pPr>
      <w:r>
        <w:t>Metering Studies</w:t>
      </w:r>
    </w:p>
    <w:p w:rsidR="006C0F17" w:rsidRDefault="006C0F17" w:rsidP="003B6A8A">
      <w:pPr>
        <w:pStyle w:val="AppendixEHeading2"/>
      </w:pPr>
      <w:r w:rsidRPr="003544B9">
        <w:t>Statewide Commercial and Residential Light Metering Study</w:t>
      </w:r>
      <w:r w:rsidR="006D2D1D">
        <w:t>, January 2014</w:t>
      </w:r>
      <w:r>
        <w:rPr>
          <w:rStyle w:val="FootnoteReference"/>
        </w:rPr>
        <w:footnoteReference w:id="83"/>
      </w:r>
    </w:p>
    <w:p w:rsidR="006C0F17" w:rsidRPr="005F519D" w:rsidRDefault="006D2D1D" w:rsidP="006C0F17">
      <w:r>
        <w:t xml:space="preserve">The SWE was </w:t>
      </w:r>
      <w:r w:rsidRPr="00F60639">
        <w:t xml:space="preserve">contracted by the </w:t>
      </w:r>
      <w:r>
        <w:t>PUC</w:t>
      </w:r>
      <w:r w:rsidRPr="00F60639">
        <w:t xml:space="preserve"> to</w:t>
      </w:r>
      <w:r>
        <w:t xml:space="preserve"> perform a light metering study </w:t>
      </w:r>
      <w:r w:rsidRPr="00F60639">
        <w:t xml:space="preserve">for the State of Pennsylvania and its seven largest </w:t>
      </w:r>
      <w:r>
        <w:t>EDCs. T</w:t>
      </w:r>
      <w:r w:rsidRPr="00F60639">
        <w:t>he purpose of this study was to provide updated lighting load profile information to the PUC to assist in</w:t>
      </w:r>
      <w:r>
        <w:t xml:space="preserve"> </w:t>
      </w:r>
      <w:r w:rsidRPr="00F60639">
        <w:t>the calculations of electric peak demand and energy savings for lighting energy efficiency programs</w:t>
      </w:r>
      <w:r>
        <w:t xml:space="preserve"> </w:t>
      </w:r>
      <w:r w:rsidRPr="00F60639">
        <w:t>in Pennsylvania. Specifically, this report presents lighting l</w:t>
      </w:r>
      <w:r>
        <w:t>oad shapes, CFs, HOU, and HVAC interactive factors</w:t>
      </w:r>
      <w:r w:rsidR="006C0F17">
        <w:t>.</w:t>
      </w:r>
    </w:p>
    <w:p w:rsidR="00B72B14" w:rsidRPr="00E45861" w:rsidRDefault="00B72B14" w:rsidP="00E45861"/>
    <w:p w:rsidR="00B72B14" w:rsidRDefault="00B72B14" w:rsidP="003B6A8A">
      <w:pPr>
        <w:pStyle w:val="AppendixEHeading1"/>
      </w:pPr>
      <w:r>
        <w:t>Market Potential Studies</w:t>
      </w:r>
    </w:p>
    <w:p w:rsidR="005C1352" w:rsidRPr="00805221" w:rsidRDefault="005C1352" w:rsidP="003B6A8A">
      <w:pPr>
        <w:pStyle w:val="AppendixEHeading2"/>
      </w:pPr>
      <w:r w:rsidRPr="00805221">
        <w:t xml:space="preserve">Residential Energy Efficiency Potential </w:t>
      </w:r>
      <w:r w:rsidR="006D2D1D">
        <w:t xml:space="preserve">Study </w:t>
      </w:r>
      <w:r w:rsidRPr="00805221">
        <w:t xml:space="preserve">for Pennsylvania, </w:t>
      </w:r>
      <w:r>
        <w:t>February 2015</w:t>
      </w:r>
      <w:r>
        <w:rPr>
          <w:rStyle w:val="FootnoteReference"/>
          <w:rFonts w:asciiTheme="minorHAnsi" w:hAnsiTheme="minorHAnsi"/>
        </w:rPr>
        <w:footnoteReference w:id="84"/>
      </w:r>
    </w:p>
    <w:p w:rsidR="005C1352" w:rsidRDefault="006D2D1D" w:rsidP="005C1352">
      <w:r>
        <w:rPr>
          <w:lang w:eastAsia="x-none"/>
        </w:rPr>
        <w:t xml:space="preserve">The Energy Efficiency Potential Study </w:t>
      </w:r>
      <w:r>
        <w:t>examines the potential to reduce electric consumption and peak demand through the implementation of energy efficiency technologies and practices in residential, commercial, and industrial facilities, as well as associated activities in Pennsylvania.</w:t>
      </w:r>
      <w:r>
        <w:rPr>
          <w:sz w:val="14"/>
          <w:szCs w:val="14"/>
        </w:rPr>
        <w:t xml:space="preserve"> </w:t>
      </w:r>
      <w:r>
        <w:t>This study assesses electric energy efficiency potential throughout the seven Pennsylvania investor‐owned EDC service areas over 10 years, from June 1, 2016 through May 31, 2025</w:t>
      </w:r>
      <w:r w:rsidR="005C1352">
        <w:t>.</w:t>
      </w:r>
    </w:p>
    <w:p w:rsidR="00A412AF" w:rsidRDefault="00A412AF" w:rsidP="005C1352"/>
    <w:p w:rsidR="00A412AF" w:rsidRPr="00FB5E5A" w:rsidRDefault="00A412AF" w:rsidP="003B6A8A">
      <w:pPr>
        <w:pStyle w:val="AppendixEHeading2"/>
      </w:pPr>
      <w:r w:rsidRPr="00FB5E5A">
        <w:t>Demand Response Potential for Pennsylvania, February 2015</w:t>
      </w:r>
      <w:r w:rsidRPr="00FB5E5A">
        <w:rPr>
          <w:rStyle w:val="FootnoteReference"/>
        </w:rPr>
        <w:footnoteReference w:id="85"/>
      </w:r>
    </w:p>
    <w:p w:rsidR="00A412AF" w:rsidRDefault="00A412AF" w:rsidP="00A412AF">
      <w:r w:rsidRPr="00FB5E5A">
        <w:t xml:space="preserve">In its February 2014 Demand Response Implementation Order, the Commission directed the SWE to conduct a </w:t>
      </w:r>
      <w:r>
        <w:t>demand response</w:t>
      </w:r>
      <w:r w:rsidRPr="00FB5E5A">
        <w:t xml:space="preserve"> potential study during Phase II of Act 129 to examine the costs and benefits of pursuing statewide policies that may encourage the development and deployment of </w:t>
      </w:r>
      <w:r>
        <w:t>demand response</w:t>
      </w:r>
      <w:r w:rsidRPr="00FB5E5A">
        <w:t xml:space="preserve"> resourc</w:t>
      </w:r>
      <w:r>
        <w:t>es during Phase III of Act 129, or</w:t>
      </w:r>
      <w:r w:rsidRPr="00FB5E5A">
        <w:t xml:space="preserve"> June 1, 2016, through May 31, 2021.</w:t>
      </w:r>
      <w:r>
        <w:t xml:space="preserve"> </w:t>
      </w:r>
      <w:r w:rsidRPr="00AE0F97">
        <w:t xml:space="preserve">The SWE Team communicated its approach for this study to the </w:t>
      </w:r>
      <w:r>
        <w:t xml:space="preserve">PUC, TUS </w:t>
      </w:r>
      <w:r w:rsidRPr="00AE0F97">
        <w:t>staff</w:t>
      </w:r>
      <w:r>
        <w:t>,</w:t>
      </w:r>
      <w:r w:rsidRPr="00AE0F97">
        <w:t xml:space="preserve"> and the Act 129 Stakeholders and has sought continuous feedback and comment from those groups. As a result of this collaboration, the SWE Team prepared a thorough analysis to estimate the </w:t>
      </w:r>
      <w:r>
        <w:t>demand response</w:t>
      </w:r>
      <w:r w:rsidRPr="00AE0F97">
        <w:t xml:space="preserve"> potential</w:t>
      </w:r>
      <w:r>
        <w:t xml:space="preserve"> and presented the results by EDC.</w:t>
      </w:r>
    </w:p>
    <w:p w:rsidR="005C1352" w:rsidRPr="003544B9" w:rsidRDefault="005C1352" w:rsidP="005C1352"/>
    <w:p w:rsidR="005C1352" w:rsidRDefault="005C1352" w:rsidP="003B6A8A">
      <w:pPr>
        <w:pStyle w:val="AppendixEHeading2"/>
      </w:pPr>
      <w:r w:rsidRPr="006C254A">
        <w:t>Distributed Generation Potential Study</w:t>
      </w:r>
      <w:r w:rsidR="00EB1159">
        <w:t xml:space="preserve"> for Pennsylvania</w:t>
      </w:r>
      <w:r>
        <w:t xml:space="preserve">, </w:t>
      </w:r>
      <w:r w:rsidR="00EB1159">
        <w:t>March</w:t>
      </w:r>
      <w:r>
        <w:t xml:space="preserve"> 2015</w:t>
      </w:r>
      <w:r>
        <w:rPr>
          <w:rStyle w:val="FootnoteReference"/>
          <w:rFonts w:asciiTheme="minorHAnsi" w:hAnsiTheme="minorHAnsi"/>
        </w:rPr>
        <w:footnoteReference w:id="86"/>
      </w:r>
    </w:p>
    <w:p w:rsidR="005C1352" w:rsidRDefault="005C1352" w:rsidP="005C1352">
      <w:r>
        <w:t>The Distributed Generation Potential Study examines</w:t>
      </w:r>
      <w:r w:rsidRPr="00303383">
        <w:t xml:space="preserve"> the distributed generation (DG) market potential analysis performed by the </w:t>
      </w:r>
      <w:r>
        <w:t>SWE</w:t>
      </w:r>
      <w:r w:rsidRPr="00303383">
        <w:t xml:space="preserve"> for the State of Pennsylvania through a 10-year period of June 1, 2016 through May 31, 2025. The State of Pennsylvania commissioned the study as a companion report to the </w:t>
      </w:r>
      <w:r>
        <w:t>Energy Efficiency Potential Study described above.</w:t>
      </w:r>
      <w:r w:rsidRPr="00303383">
        <w:t xml:space="preserve"> The SWE conducted this study noting that </w:t>
      </w:r>
      <w:r>
        <w:t xml:space="preserve">EE&amp;C measures </w:t>
      </w:r>
      <w:r w:rsidR="00EB1159">
        <w:t>that count toward</w:t>
      </w:r>
      <w:r w:rsidRPr="00303383">
        <w:t xml:space="preserve"> a possible Phase III energy reduction target can include commission-approved DG technologies such as solar photovoltaic and </w:t>
      </w:r>
      <w:r w:rsidR="00EB1159">
        <w:t>CHP</w:t>
      </w:r>
      <w:r w:rsidRPr="00303383">
        <w:t>.</w:t>
      </w:r>
    </w:p>
    <w:p w:rsidR="00C902AC" w:rsidRPr="006C254A" w:rsidRDefault="00C902AC" w:rsidP="005C1352"/>
    <w:p w:rsidR="00B72B14" w:rsidRDefault="00B72B14" w:rsidP="003B6A8A">
      <w:pPr>
        <w:pStyle w:val="AppendixEHeading1"/>
      </w:pPr>
      <w:r>
        <w:t>Program Studies</w:t>
      </w:r>
    </w:p>
    <w:p w:rsidR="005C1352" w:rsidRDefault="005C1352" w:rsidP="003B6A8A">
      <w:pPr>
        <w:pStyle w:val="AppendixEHeading2"/>
      </w:pPr>
      <w:r w:rsidRPr="00757A0C">
        <w:t>Residential Behavioral Program Persistence Study</w:t>
      </w:r>
      <w:r w:rsidR="00A412AF">
        <w:t>, December 2015</w:t>
      </w:r>
      <w:r>
        <w:rPr>
          <w:rStyle w:val="FootnoteReference"/>
          <w:rFonts w:asciiTheme="minorHAnsi" w:hAnsiTheme="minorHAnsi"/>
        </w:rPr>
        <w:footnoteReference w:id="87"/>
      </w:r>
    </w:p>
    <w:p w:rsidR="00B72B14" w:rsidRDefault="005C1352" w:rsidP="005C1352">
      <w:r w:rsidRPr="005C1352">
        <w:t xml:space="preserve">The SWE was contracted by the PUC in the 2016 TRM Update Final Order to conduct an analysis of the </w:t>
      </w:r>
      <w:r w:rsidR="00A412AF">
        <w:t>HER</w:t>
      </w:r>
      <w:r w:rsidRPr="005C1352">
        <w:t xml:space="preserve"> persistence of savings in advance of Phase III of Act 129. This report presents the analysis completed by the SWE in response to the order to evaluate the persistence in energy savings achieved by the </w:t>
      </w:r>
      <w:r w:rsidR="00A92A46">
        <w:t>OPower</w:t>
      </w:r>
      <w:r w:rsidRPr="005C1352">
        <w:t xml:space="preserve"> HER programs run by PPL and Duquesne.</w:t>
      </w:r>
    </w:p>
    <w:p w:rsidR="00170843" w:rsidRPr="005C1352" w:rsidRDefault="00170843" w:rsidP="005C1352"/>
    <w:p w:rsidR="00B72B14" w:rsidRDefault="00B72B14" w:rsidP="003B6A8A">
      <w:pPr>
        <w:pStyle w:val="AppendixEHeading1"/>
      </w:pPr>
      <w:r>
        <w:t>Guidance Memos</w:t>
      </w:r>
    </w:p>
    <w:p w:rsidR="00B72B14" w:rsidRPr="00B14798" w:rsidRDefault="00B72B14" w:rsidP="003B6A8A">
      <w:pPr>
        <w:pStyle w:val="AppendixEHeading2"/>
      </w:pPr>
      <w:r w:rsidRPr="00B14798">
        <w:t>GM-022</w:t>
      </w:r>
      <w:r w:rsidR="00552581">
        <w:t xml:space="preserve">: </w:t>
      </w:r>
      <w:r w:rsidRPr="00B14798">
        <w:t>Peak Demand Reduction Definition for Program Year 5</w:t>
      </w:r>
    </w:p>
    <w:p w:rsidR="00B72B14" w:rsidRDefault="00B72B14" w:rsidP="00B72B14">
      <w:pPr>
        <w:rPr>
          <w:lang w:eastAsia="x-none"/>
        </w:rPr>
      </w:pPr>
      <w:r w:rsidRPr="00B14798">
        <w:rPr>
          <w:lang w:eastAsia="x-none"/>
        </w:rPr>
        <w:t>This guidance memo</w:t>
      </w:r>
      <w:r>
        <w:rPr>
          <w:lang w:eastAsia="x-none"/>
        </w:rPr>
        <w:t xml:space="preserve"> addresses </w:t>
      </w:r>
      <w:r w:rsidRPr="007755F4">
        <w:rPr>
          <w:lang w:eastAsia="x-none"/>
        </w:rPr>
        <w:t xml:space="preserve">the misalignment between the 2013 TRM and the Phase II Evaluation Framework and </w:t>
      </w:r>
      <w:r w:rsidR="00A412AF">
        <w:rPr>
          <w:lang w:eastAsia="x-none"/>
        </w:rPr>
        <w:t>provides</w:t>
      </w:r>
      <w:r w:rsidRPr="007755F4">
        <w:rPr>
          <w:lang w:eastAsia="x-none"/>
        </w:rPr>
        <w:t xml:space="preserve"> the EDCs and their evaluation contractors with guidance for calculating peak demand savings from their EE&amp;C plans in </w:t>
      </w:r>
      <w:r w:rsidR="00A412AF">
        <w:rPr>
          <w:lang w:eastAsia="x-none"/>
        </w:rPr>
        <w:t>PY</w:t>
      </w:r>
      <w:r w:rsidRPr="007755F4">
        <w:rPr>
          <w:lang w:eastAsia="x-none"/>
        </w:rPr>
        <w:t>5.</w:t>
      </w:r>
    </w:p>
    <w:p w:rsidR="00B72B14" w:rsidRDefault="00B72B14" w:rsidP="00B72B14">
      <w:pPr>
        <w:rPr>
          <w:lang w:eastAsia="x-none"/>
        </w:rPr>
      </w:pPr>
    </w:p>
    <w:p w:rsidR="00B72B14" w:rsidRDefault="00B72B14" w:rsidP="003B6A8A">
      <w:pPr>
        <w:pStyle w:val="AppendixEHeading2"/>
      </w:pPr>
      <w:r>
        <w:t>GM-023</w:t>
      </w:r>
      <w:r w:rsidR="00552581">
        <w:t xml:space="preserve">: </w:t>
      </w:r>
      <w:r w:rsidRPr="001F1C17">
        <w:t>CFL Bulbs with Lumen Range Outside of EISA</w:t>
      </w:r>
    </w:p>
    <w:p w:rsidR="00B72B14" w:rsidRDefault="00B72B14" w:rsidP="00B72B14">
      <w:r>
        <w:t>This memo clarifies</w:t>
      </w:r>
      <w:r w:rsidRPr="005029A7">
        <w:t xml:space="preserve"> an issue that was identified in the 2013 TRM Residential Lighting section. Some implementers are offering standard (i.e., general service lamp) CFLs with lumen ranges outside of EISA requirements (e.g., &gt;2600 lumens) and are unsure how to determine the appropriate baseline for these bulbs.</w:t>
      </w:r>
      <w:r>
        <w:t xml:space="preserve"> Guidance is provided to address this issue.</w:t>
      </w:r>
    </w:p>
    <w:p w:rsidR="00B72B14" w:rsidRPr="001F1C17" w:rsidRDefault="00B72B14" w:rsidP="00B72B14"/>
    <w:p w:rsidR="00B72B14" w:rsidRPr="001A6A4D" w:rsidRDefault="00B72B14" w:rsidP="003B6A8A">
      <w:pPr>
        <w:pStyle w:val="AppendixEHeading2"/>
      </w:pPr>
      <w:r w:rsidRPr="001A6A4D">
        <w:t>GM-024</w:t>
      </w:r>
      <w:r w:rsidR="00552581">
        <w:t xml:space="preserve">: </w:t>
      </w:r>
      <w:r w:rsidRPr="001A6A4D">
        <w:t>Consistent N</w:t>
      </w:r>
      <w:r>
        <w:t>et-to-</w:t>
      </w:r>
      <w:r w:rsidRPr="001A6A4D">
        <w:t>G</w:t>
      </w:r>
      <w:r>
        <w:t>ross</w:t>
      </w:r>
      <w:r w:rsidRPr="001A6A4D">
        <w:t xml:space="preserve"> Method for EDCs</w:t>
      </w:r>
    </w:p>
    <w:p w:rsidR="00B72B14" w:rsidRDefault="00B72B14" w:rsidP="00B72B14">
      <w:pPr>
        <w:rPr>
          <w:lang w:eastAsia="x-none"/>
        </w:rPr>
      </w:pPr>
      <w:r w:rsidRPr="001A6A4D">
        <w:rPr>
          <w:lang w:eastAsia="x-none"/>
        </w:rPr>
        <w:t>This memo provides an approach for EDCs to calculate NTG.</w:t>
      </w:r>
    </w:p>
    <w:p w:rsidR="00B72B14" w:rsidRDefault="00B72B14" w:rsidP="00B72B14">
      <w:pPr>
        <w:rPr>
          <w:lang w:eastAsia="x-none"/>
        </w:rPr>
      </w:pPr>
    </w:p>
    <w:p w:rsidR="00B72B14" w:rsidRPr="001A6A4D" w:rsidRDefault="00B72B14" w:rsidP="003B6A8A">
      <w:pPr>
        <w:pStyle w:val="AppendixEHeading2"/>
      </w:pPr>
      <w:r>
        <w:t>GM-025</w:t>
      </w:r>
      <w:r w:rsidR="00552581">
        <w:t xml:space="preserve">: </w:t>
      </w:r>
      <w:r w:rsidRPr="001A6A4D">
        <w:t xml:space="preserve">Consistent </w:t>
      </w:r>
      <w:r>
        <w:t>Spillover</w:t>
      </w:r>
      <w:r w:rsidRPr="001A6A4D">
        <w:t xml:space="preserve"> Method for EDCs</w:t>
      </w:r>
    </w:p>
    <w:p w:rsidR="00B72B14" w:rsidRDefault="00B72B14" w:rsidP="00B72B14">
      <w:pPr>
        <w:rPr>
          <w:lang w:eastAsia="x-none"/>
        </w:rPr>
      </w:pPr>
      <w:r w:rsidRPr="001A6A4D">
        <w:rPr>
          <w:lang w:eastAsia="x-none"/>
        </w:rPr>
        <w:t xml:space="preserve">This memo provides an approach for EDCs to calculate </w:t>
      </w:r>
      <w:r w:rsidR="00A412AF">
        <w:rPr>
          <w:lang w:eastAsia="x-none"/>
        </w:rPr>
        <w:t>spillover</w:t>
      </w:r>
      <w:r>
        <w:rPr>
          <w:lang w:eastAsia="x-none"/>
        </w:rPr>
        <w:t>.</w:t>
      </w:r>
    </w:p>
    <w:p w:rsidR="00B72B14" w:rsidRDefault="00B72B14" w:rsidP="00B72B14">
      <w:pPr>
        <w:rPr>
          <w:lang w:eastAsia="x-none"/>
        </w:rPr>
      </w:pPr>
    </w:p>
    <w:p w:rsidR="00B72B14" w:rsidRPr="00B84A5C" w:rsidRDefault="00B72B14" w:rsidP="003B6A8A">
      <w:pPr>
        <w:pStyle w:val="AppendixEHeading2"/>
      </w:pPr>
      <w:r w:rsidRPr="00B84A5C">
        <w:t>GM-026</w:t>
      </w:r>
      <w:r w:rsidR="00552581">
        <w:t xml:space="preserve">: </w:t>
      </w:r>
      <w:r w:rsidRPr="00B84A5C">
        <w:t xml:space="preserve">Appliance Retirement Programs (ARP) NTG Method </w:t>
      </w:r>
    </w:p>
    <w:p w:rsidR="00B72B14" w:rsidRDefault="00B72B14" w:rsidP="00B72B14">
      <w:pPr>
        <w:rPr>
          <w:lang w:eastAsia="x-none"/>
        </w:rPr>
      </w:pPr>
      <w:r w:rsidRPr="001A6A4D">
        <w:rPr>
          <w:lang w:eastAsia="x-none"/>
        </w:rPr>
        <w:t xml:space="preserve">This memo provides an approach for EDCs to calculate </w:t>
      </w:r>
      <w:r>
        <w:rPr>
          <w:lang w:eastAsia="x-none"/>
        </w:rPr>
        <w:t>NTG for appliance recycling programs.</w:t>
      </w:r>
    </w:p>
    <w:p w:rsidR="00B72B14" w:rsidRDefault="00B72B14" w:rsidP="00B72B14">
      <w:pPr>
        <w:rPr>
          <w:lang w:eastAsia="x-none"/>
        </w:rPr>
      </w:pPr>
    </w:p>
    <w:p w:rsidR="00B72B14" w:rsidRPr="00B84A5C" w:rsidRDefault="00B72B14" w:rsidP="003B6A8A">
      <w:pPr>
        <w:pStyle w:val="AppendixEHeading2"/>
      </w:pPr>
      <w:r w:rsidRPr="00B84A5C">
        <w:t>GM-027</w:t>
      </w:r>
      <w:r w:rsidR="00552581">
        <w:t xml:space="preserve">: </w:t>
      </w:r>
      <w:r w:rsidRPr="00B84A5C">
        <w:t>Data Source Consistency in Non-Residential Lighting Savings Calculations</w:t>
      </w:r>
    </w:p>
    <w:p w:rsidR="00B72B14" w:rsidRDefault="00B72B14" w:rsidP="00B72B14">
      <w:r w:rsidRPr="001A6A4D">
        <w:t xml:space="preserve">This memo provides </w:t>
      </w:r>
      <w:r>
        <w:t xml:space="preserve">guidance on how to calculate </w:t>
      </w:r>
      <w:r w:rsidR="00A412AF">
        <w:t xml:space="preserve">site-specific CFs </w:t>
      </w:r>
      <w:r>
        <w:t>based on HOU and in the instance where that information is not available, provides guidance on using the TRM.</w:t>
      </w:r>
    </w:p>
    <w:p w:rsidR="00B72B14" w:rsidRDefault="00B72B14" w:rsidP="00B72B14"/>
    <w:p w:rsidR="00B72B14" w:rsidRPr="00400B9F" w:rsidRDefault="00B72B14" w:rsidP="003B6A8A">
      <w:pPr>
        <w:pStyle w:val="AppendixEHeading2"/>
      </w:pPr>
      <w:r w:rsidRPr="00400B9F">
        <w:t>GM-028</w:t>
      </w:r>
      <w:r w:rsidR="00552581">
        <w:t xml:space="preserve">: </w:t>
      </w:r>
      <w:r w:rsidRPr="00400B9F">
        <w:t>ARP TRM 2015 Clarification</w:t>
      </w:r>
    </w:p>
    <w:p w:rsidR="00B72B14" w:rsidRDefault="00B72B14" w:rsidP="00B72B14">
      <w:r w:rsidRPr="001A6A4D">
        <w:t xml:space="preserve">This memo </w:t>
      </w:r>
      <w:r>
        <w:t xml:space="preserve">provides clarity </w:t>
      </w:r>
      <w:r w:rsidR="00A412AF">
        <w:t>on</w:t>
      </w:r>
      <w:r>
        <w:t xml:space="preserve"> </w:t>
      </w:r>
      <w:r w:rsidRPr="00400B9F">
        <w:t>an issue that was identified in the 2015 TRM Residential Refrigerator/Freezer Recycling with and without Replacement section (2.4.3 of the 2015 TRM). Because the program theory and logic for appliance retirement differs significantly from standard “downstream” incentive programs (which typically offer rebates for the purchase of efficient products)</w:t>
      </w:r>
      <w:r w:rsidR="00A412AF">
        <w:t>,</w:t>
      </w:r>
      <w:r w:rsidRPr="00400B9F">
        <w:t xml:space="preserve"> the approach to estimating gross and net impacts (including free-ridership and induced replacement) is also significantly different. The 2015 Pennsylvania TRM provides both gross and net (free</w:t>
      </w:r>
      <w:r w:rsidR="00A412AF">
        <w:t>-</w:t>
      </w:r>
      <w:r w:rsidRPr="00400B9F">
        <w:t xml:space="preserve">ridership and secondary market impacts) savings for these measures. These sections closely follow the recommended methodology from U.S. </w:t>
      </w:r>
      <w:r w:rsidR="00A412AF">
        <w:t>DOE UMP</w:t>
      </w:r>
      <w:r w:rsidRPr="00400B9F">
        <w:t xml:space="preserve"> Protocol for Refrigerator Retirement.</w:t>
      </w:r>
    </w:p>
    <w:p w:rsidR="00B72B14" w:rsidRDefault="00B72B14" w:rsidP="00B72B14">
      <w:r w:rsidRPr="00400B9F">
        <w:t xml:space="preserve">  </w:t>
      </w:r>
    </w:p>
    <w:p w:rsidR="00B72B14" w:rsidRPr="00DB540B" w:rsidRDefault="00B72B14" w:rsidP="003B6A8A">
      <w:pPr>
        <w:pStyle w:val="AppendixEHeading2"/>
      </w:pPr>
      <w:r>
        <w:t>GM-029</w:t>
      </w:r>
      <w:r w:rsidR="00552581">
        <w:t xml:space="preserve">: </w:t>
      </w:r>
      <w:r w:rsidRPr="00080F66">
        <w:t>TRM Guideline for De</w:t>
      </w:r>
      <w:r>
        <w:t xml:space="preserve"> </w:t>
      </w:r>
      <w:r w:rsidRPr="00080F66">
        <w:t xml:space="preserve">Facto Heating Measure – </w:t>
      </w:r>
      <w:r>
        <w:t>NTG Guidance</w:t>
      </w:r>
    </w:p>
    <w:p w:rsidR="00B72B14" w:rsidRDefault="00B72B14" w:rsidP="00B72B14">
      <w:r w:rsidRPr="00DB540B">
        <w:t xml:space="preserve">During the process of creating the Draft 2016 TRM, PPL submitted an IMP modifying two existing residential TRM measures: Electric HVAC (2.2.1) and Ductless Mini-split Heat Pumps (2.2.3). The modifications introduced a new baseline to both measures where a customer without natural gas service has a broken-beyond-repair oil heating system and is heating their home with portable electric space heaters (referred to as de facto heating). Such a situation provides opportunity for substantial electricity savings by replacing the </w:t>
      </w:r>
      <w:r w:rsidR="00233FD8">
        <w:t xml:space="preserve">broken-beyond-repair oil heating system and portable electric space heaters </w:t>
      </w:r>
      <w:r w:rsidRPr="00DB540B">
        <w:t xml:space="preserve">with either a </w:t>
      </w:r>
      <w:r w:rsidR="003B7840">
        <w:t>DHP</w:t>
      </w:r>
      <w:r w:rsidRPr="00DB540B">
        <w:t xml:space="preserve"> or central ASHP. However, there may be cases where a customer does not currently have air conditioning and the installation of an ASHP </w:t>
      </w:r>
      <w:r w:rsidR="00233FD8">
        <w:t>or a DHP</w:t>
      </w:r>
      <w:r w:rsidRPr="00DB540B">
        <w:t xml:space="preserve"> introduces an additional summer cooling load that was not present before. In these cases</w:t>
      </w:r>
      <w:r>
        <w:t>,</w:t>
      </w:r>
      <w:r w:rsidRPr="00DB540B">
        <w:t xml:space="preserve"> the additional cooling load and peak demand have been induced by the </w:t>
      </w:r>
      <w:r w:rsidR="002317CF">
        <w:t xml:space="preserve">energy efficiency </w:t>
      </w:r>
      <w:r w:rsidR="00A412AF">
        <w:t>program and, therefore, the n</w:t>
      </w:r>
      <w:r w:rsidRPr="00DB540B">
        <w:t xml:space="preserve">et savings from the implementation of this measure needs to reflect this. As the </w:t>
      </w:r>
      <w:r w:rsidR="00A412AF">
        <w:t>Pennsylvania TRM only presents g</w:t>
      </w:r>
      <w:r w:rsidRPr="00DB540B">
        <w:t xml:space="preserve">ross savings calculations and values, the purpose of this memo is to supplement the two affected measures in the TRM and provide guidance on calculating </w:t>
      </w:r>
      <w:r w:rsidR="00A412AF">
        <w:t>n</w:t>
      </w:r>
      <w:r w:rsidRPr="00DB540B">
        <w:t>et savings when de facto heating is the baseline</w:t>
      </w:r>
      <w:r>
        <w:t>.</w:t>
      </w:r>
    </w:p>
    <w:p w:rsidR="00B72B14" w:rsidRDefault="00B72B14" w:rsidP="00B72B14"/>
    <w:p w:rsidR="003B6A8A" w:rsidRDefault="003B6A8A" w:rsidP="00B72B14"/>
    <w:p w:rsidR="003B6A8A" w:rsidRPr="00B72B14" w:rsidRDefault="003B6A8A" w:rsidP="00B72B14"/>
    <w:p w:rsidR="00B72B14" w:rsidRDefault="00B72B14" w:rsidP="003B6A8A">
      <w:pPr>
        <w:pStyle w:val="AppendixEHeading1"/>
      </w:pPr>
      <w:r>
        <w:t>Technical Reference Manuals</w:t>
      </w:r>
    </w:p>
    <w:p w:rsidR="00B72B14" w:rsidRPr="00B72B14" w:rsidRDefault="00B72B14" w:rsidP="00170843">
      <w:pPr>
        <w:spacing w:after="120"/>
      </w:pPr>
      <w:r w:rsidRPr="00B72B14">
        <w:t xml:space="preserve">The </w:t>
      </w:r>
      <w:r w:rsidR="00A412AF">
        <w:t>TRMs</w:t>
      </w:r>
      <w:r w:rsidRPr="00B72B14">
        <w:t xml:space="preserve"> are the basis of energy saving</w:t>
      </w:r>
      <w:r w:rsidR="00A412AF">
        <w:t>s</w:t>
      </w:r>
      <w:r w:rsidRPr="00B72B14">
        <w:t xml:space="preserve"> measure details and guide</w:t>
      </w:r>
      <w:r w:rsidR="00A412AF">
        <w:t>lines required for the SWE, EDC</w:t>
      </w:r>
      <w:r w:rsidRPr="00B72B14">
        <w:t>s, TUS, and other involved parties in order to successfully administer Act 129. Included below are the relevant TRMs for Phase II:</w:t>
      </w:r>
    </w:p>
    <w:p w:rsidR="00B72B14" w:rsidRDefault="00B72B14" w:rsidP="003B6A8A">
      <w:pPr>
        <w:pStyle w:val="AppendixEHeading2"/>
      </w:pPr>
      <w:r>
        <w:t>2014 Technical Reference Manual</w:t>
      </w:r>
      <w:r>
        <w:rPr>
          <w:rStyle w:val="FootnoteReference"/>
        </w:rPr>
        <w:footnoteReference w:id="88"/>
      </w:r>
    </w:p>
    <w:p w:rsidR="00B72B14" w:rsidRPr="00500D10" w:rsidRDefault="00B72B14" w:rsidP="003B6A8A">
      <w:pPr>
        <w:pStyle w:val="AppendixEHeading2"/>
      </w:pPr>
      <w:r>
        <w:t>2015 Technical Reference Manual</w:t>
      </w:r>
      <w:r>
        <w:rPr>
          <w:rStyle w:val="FootnoteReference"/>
        </w:rPr>
        <w:footnoteReference w:id="89"/>
      </w:r>
    </w:p>
    <w:p w:rsidR="00B72B14" w:rsidRDefault="00B72B14" w:rsidP="003B6A8A">
      <w:pPr>
        <w:pStyle w:val="AppendixEHeading2"/>
      </w:pPr>
      <w:r>
        <w:t>2016 Technical Reference Manual</w:t>
      </w:r>
      <w:r>
        <w:rPr>
          <w:rStyle w:val="FootnoteReference"/>
        </w:rPr>
        <w:footnoteReference w:id="90"/>
      </w:r>
    </w:p>
    <w:p w:rsidR="00B72B14" w:rsidRPr="00B72B14" w:rsidRDefault="00B72B14" w:rsidP="00B72B14"/>
    <w:p w:rsidR="00B72B14" w:rsidRDefault="00B72B14" w:rsidP="003B6A8A">
      <w:pPr>
        <w:pStyle w:val="AppendixEHeading1"/>
      </w:pPr>
      <w:r>
        <w:t>SWE Annual Reports</w:t>
      </w:r>
    </w:p>
    <w:p w:rsidR="00B72B14" w:rsidRDefault="00B72B14" w:rsidP="00170843">
      <w:pPr>
        <w:spacing w:after="120"/>
      </w:pPr>
      <w:r>
        <w:t xml:space="preserve">The </w:t>
      </w:r>
      <w:r w:rsidR="00A412AF">
        <w:t>SWE</w:t>
      </w:r>
      <w:r>
        <w:t xml:space="preserve"> annual reports are the summation of the SWE </w:t>
      </w:r>
      <w:r w:rsidR="00A412AF">
        <w:t>T</w:t>
      </w:r>
      <w:r>
        <w:t>eam’s findings for the given program year, with a focus on the cost</w:t>
      </w:r>
      <w:r w:rsidR="00A412AF">
        <w:t>-</w:t>
      </w:r>
      <w:r>
        <w:t>effectiveness and viability of the current program standards.  The report</w:t>
      </w:r>
      <w:r w:rsidR="00A412AF">
        <w:t>s</w:t>
      </w:r>
      <w:r>
        <w:t xml:space="preserve"> address the TRM standards and implementation success, as well as feedback from the seven EDCs involved in the program year.  The SWE </w:t>
      </w:r>
      <w:r w:rsidR="00A412AF">
        <w:t>a</w:t>
      </w:r>
      <w:r>
        <w:t xml:space="preserve">nnual </w:t>
      </w:r>
      <w:r w:rsidR="00A412AF">
        <w:t>r</w:t>
      </w:r>
      <w:r>
        <w:t>eports applicable to Phase II are listed here:</w:t>
      </w:r>
    </w:p>
    <w:p w:rsidR="00B72B14" w:rsidRDefault="00B72B14" w:rsidP="003B6A8A">
      <w:pPr>
        <w:pStyle w:val="AppendixEHeading2"/>
      </w:pPr>
      <w:r>
        <w:t>SWE Annual Report for Program Year 5: June 1, 2013 – May 31, 2014</w:t>
      </w:r>
      <w:r>
        <w:rPr>
          <w:rStyle w:val="FootnoteReference"/>
        </w:rPr>
        <w:footnoteReference w:id="91"/>
      </w:r>
    </w:p>
    <w:p w:rsidR="00B72B14" w:rsidRDefault="00B72B14" w:rsidP="003B6A8A">
      <w:pPr>
        <w:pStyle w:val="AppendixEHeading2"/>
      </w:pPr>
      <w:r>
        <w:t>SWE Annual Report for Program Year 6: June 1, 2014 – May 31, 2015</w:t>
      </w:r>
      <w:r>
        <w:rPr>
          <w:rStyle w:val="FootnoteReference"/>
        </w:rPr>
        <w:footnoteReference w:id="92"/>
      </w:r>
    </w:p>
    <w:p w:rsidR="00B72B14" w:rsidRDefault="00B72B14" w:rsidP="003B6A8A">
      <w:pPr>
        <w:pStyle w:val="AppendixEHeading2"/>
      </w:pPr>
      <w:r>
        <w:t>SWE Annual Report for Program Year 7: June 1, 2015 – May 31, 2016</w:t>
      </w:r>
    </w:p>
    <w:p w:rsidR="00B72B14" w:rsidRPr="00B72B14" w:rsidRDefault="00B72B14" w:rsidP="00B72B14"/>
    <w:p w:rsidR="00B72B14" w:rsidRPr="00B72B14" w:rsidRDefault="00B72B14" w:rsidP="003B6A8A">
      <w:pPr>
        <w:pStyle w:val="AppendixEHeading1"/>
      </w:pPr>
      <w:r>
        <w:t>Monthly Progress Reports</w:t>
      </w:r>
    </w:p>
    <w:p w:rsidR="00656920" w:rsidRDefault="00B72B14" w:rsidP="00170843">
      <w:pPr>
        <w:spacing w:after="120"/>
      </w:pPr>
      <w:r w:rsidRPr="00B72B14">
        <w:t>The monthly progress re</w:t>
      </w:r>
      <w:r w:rsidR="00A412AF">
        <w:t>ports are developed by the SWE T</w:t>
      </w:r>
      <w:r w:rsidRPr="00B72B14">
        <w:t>eam and submitted to the PA PUC following the month to which they are applicable. Items typically covered in these reports are major protocol discussions with regard to the TRM, important audit activity for the program year, and communication of the schedule for reporting as required.  Monthly progress reports are grouped by program years</w:t>
      </w:r>
      <w:r>
        <w:t>:</w:t>
      </w:r>
    </w:p>
    <w:p w:rsidR="00B72B14" w:rsidRDefault="00B72B14" w:rsidP="003B6A8A">
      <w:pPr>
        <w:pStyle w:val="AppendixEHeading2"/>
      </w:pPr>
      <w:r>
        <w:t>SWE Monthly Progress Reports, Program Year 5: June 1, 2013 – May 31, 2014</w:t>
      </w:r>
    </w:p>
    <w:p w:rsidR="00B72B14" w:rsidRDefault="00B72B14" w:rsidP="003B6A8A">
      <w:pPr>
        <w:pStyle w:val="AppendixEHeading2"/>
      </w:pPr>
      <w:r w:rsidRPr="00B72B14">
        <w:t>SWE Monthly Progress Reports, Program Year 6: June 1, 2014 – May 31, 2015</w:t>
      </w:r>
    </w:p>
    <w:p w:rsidR="00B72B14" w:rsidRDefault="00B72B14" w:rsidP="003B6A8A">
      <w:pPr>
        <w:pStyle w:val="AppendixEHeading2"/>
      </w:pPr>
      <w:r w:rsidRPr="00B72B14">
        <w:t>SWE Monthly Progress Reports, Program Year 7: June 1, 2015 – May 31, 2016</w:t>
      </w:r>
    </w:p>
    <w:p w:rsidR="003B6A8A" w:rsidRDefault="003B6A8A">
      <w:pPr>
        <w:jc w:val="left"/>
      </w:pPr>
      <w:bookmarkStart w:id="1425" w:name="_Ref318788049"/>
      <w:bookmarkStart w:id="1426" w:name="_Toc330455722"/>
      <w:bookmarkStart w:id="1427" w:name="_Toc405557307"/>
      <w:bookmarkEnd w:id="1404"/>
      <w:bookmarkEnd w:id="1405"/>
      <w:bookmarkEnd w:id="1406"/>
      <w:r>
        <w:br w:type="page"/>
      </w:r>
    </w:p>
    <w:p w:rsidR="00496B5C" w:rsidRPr="0022503E" w:rsidRDefault="00496B5C" w:rsidP="00B32B81">
      <w:pPr>
        <w:pStyle w:val="Heading1"/>
        <w:numPr>
          <w:ilvl w:val="0"/>
          <w:numId w:val="0"/>
        </w:numPr>
      </w:pPr>
      <w:bookmarkStart w:id="1428" w:name="_Toc409224941"/>
      <w:bookmarkStart w:id="1429" w:name="_Toc409443526"/>
      <w:bookmarkStart w:id="1430" w:name="_Toc412719891"/>
      <w:bookmarkStart w:id="1431" w:name="_Toc472472151"/>
      <w:bookmarkStart w:id="1432" w:name="_Ref488670880"/>
      <w:bookmarkStart w:id="1433" w:name="_Toc488765844"/>
      <w:r w:rsidRPr="003B6A8A">
        <w:rPr>
          <w:rFonts w:ascii="Broadway" w:hAnsi="Broadway"/>
          <w:sz w:val="32"/>
        </w:rPr>
        <w:t xml:space="preserve">Appendix </w:t>
      </w:r>
      <w:r w:rsidR="001F3727" w:rsidRPr="003B6A8A">
        <w:rPr>
          <w:rFonts w:ascii="Broadway" w:hAnsi="Broadway"/>
          <w:sz w:val="32"/>
        </w:rPr>
        <w:t>F</w:t>
      </w:r>
      <w:r w:rsidR="005F5705">
        <w:t>|</w:t>
      </w:r>
      <w:r w:rsidRPr="0022503E">
        <w:t xml:space="preserve"> Glossary of Terms</w:t>
      </w:r>
      <w:bookmarkEnd w:id="1425"/>
      <w:bookmarkEnd w:id="1426"/>
      <w:bookmarkEnd w:id="1427"/>
      <w:bookmarkEnd w:id="1428"/>
      <w:bookmarkEnd w:id="1429"/>
      <w:bookmarkEnd w:id="1430"/>
      <w:bookmarkEnd w:id="1431"/>
      <w:bookmarkEnd w:id="1432"/>
      <w:bookmarkEnd w:id="1433"/>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-A-</w:t>
      </w:r>
    </w:p>
    <w:p w:rsidR="00FF409E" w:rsidRDefault="006F1BB6" w:rsidP="00000FEE">
      <w:pPr>
        <w:widowControl w:val="0"/>
        <w:rPr>
          <w:lang w:bidi="en-US"/>
        </w:rPr>
      </w:pPr>
      <w:r>
        <w:rPr>
          <w:rFonts w:ascii="Century Gothic" w:hAnsi="Century Gothic"/>
          <w:b/>
          <w:bCs/>
          <w:sz w:val="24"/>
          <w:lang w:bidi="en-US"/>
        </w:rPr>
        <w:t>Accuracy</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An indication of how close a value is to the true value of the quantity in question. The term can also be used in reference to a model or a set of measured data, or to describe a measuring instrument’s capability.</w:t>
      </w:r>
    </w:p>
    <w:p w:rsidR="00FF409E" w:rsidRPr="00FF409E" w:rsidRDefault="00FF409E" w:rsidP="00000FEE">
      <w:pPr>
        <w:widowControl w:val="0"/>
        <w:rPr>
          <w:lang w:bidi="en-US"/>
        </w:rPr>
      </w:pPr>
    </w:p>
    <w:p w:rsidR="009C3614" w:rsidRDefault="006F1BB6" w:rsidP="00000FEE">
      <w:pPr>
        <w:widowControl w:val="0"/>
        <w:rPr>
          <w:rFonts w:ascii="Calibri-Bold" w:eastAsiaTheme="minorEastAsia" w:hAnsi="Calibri-Bold" w:cs="Calibri-Bold"/>
          <w:b/>
          <w:bCs/>
          <w:lang w:bidi="en-US"/>
        </w:rPr>
      </w:pPr>
      <w:r>
        <w:rPr>
          <w:rFonts w:ascii="Century Gothic" w:hAnsi="Century Gothic"/>
          <w:b/>
          <w:bCs/>
          <w:sz w:val="24"/>
          <w:lang w:bidi="en-US"/>
        </w:rPr>
        <w:t>Achievable Potential</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The amount of energy use that efficiency can realistically be expected to displace, assuming the most aggressive program scenario possible (e.g., providing end</w:t>
      </w:r>
      <w:r w:rsidR="00973929">
        <w:rPr>
          <w:lang w:bidi="en-US"/>
        </w:rPr>
        <w:t xml:space="preserve"> </w:t>
      </w:r>
      <w:r w:rsidR="00FF409E" w:rsidRPr="00FF409E">
        <w:rPr>
          <w:lang w:bidi="en-US"/>
        </w:rPr>
        <w:t>users with payments for the entire incremental cost of more</w:t>
      </w:r>
      <w:r w:rsidR="00A412AF">
        <w:rPr>
          <w:lang w:bidi="en-US"/>
        </w:rPr>
        <w:t xml:space="preserve"> </w:t>
      </w:r>
      <w:r w:rsidR="00FF409E" w:rsidRPr="00FF409E">
        <w:rPr>
          <w:lang w:bidi="en-US"/>
        </w:rPr>
        <w:t>efficient equipment). This is often referred to as maximum achievable potential. Achievable potential takes into account real-world barriers to convincing end</w:t>
      </w:r>
      <w:r w:rsidR="00973929">
        <w:rPr>
          <w:lang w:bidi="en-US"/>
        </w:rPr>
        <w:t xml:space="preserve"> </w:t>
      </w:r>
      <w:r w:rsidR="00FF409E" w:rsidRPr="00FF409E">
        <w:rPr>
          <w:lang w:bidi="en-US"/>
        </w:rPr>
        <w:t>users to adopt efficiency measures, the non-measure costs of delivering programs (for administration, marketing, tracking systems, monitoring and evaluation, etc.), and the capability of programs and administrators to ramp up program activity over time.</w:t>
      </w:r>
      <w:r w:rsidR="00FF409E" w:rsidRPr="00FF409E">
        <w:rPr>
          <w:rFonts w:ascii="Calibri-Bold" w:eastAsiaTheme="minorEastAsia" w:hAnsi="Calibri-Bold" w:cs="Calibri-Bold"/>
          <w:b/>
          <w:bCs/>
          <w:lang w:bidi="en-US"/>
        </w:rPr>
        <w:t xml:space="preserve"> </w:t>
      </w:r>
    </w:p>
    <w:p w:rsidR="009C3614" w:rsidRDefault="009C3614" w:rsidP="00000FEE">
      <w:pPr>
        <w:widowControl w:val="0"/>
        <w:rPr>
          <w:rFonts w:ascii="Calibri-Bold" w:eastAsiaTheme="minorEastAsia" w:hAnsi="Calibri-Bold" w:cs="Calibri-Bold"/>
          <w:b/>
          <w:bCs/>
          <w:lang w:bidi="en-US"/>
        </w:rPr>
      </w:pPr>
    </w:p>
    <w:p w:rsidR="00FF409E" w:rsidRDefault="006F1BB6" w:rsidP="00000FEE">
      <w:pPr>
        <w:widowControl w:val="0"/>
        <w:rPr>
          <w:lang w:bidi="en-US"/>
        </w:rPr>
      </w:pPr>
      <w:r>
        <w:rPr>
          <w:rFonts w:ascii="Century Gothic" w:hAnsi="Century Gothic"/>
          <w:b/>
          <w:bCs/>
          <w:sz w:val="24"/>
          <w:lang w:bidi="en-US"/>
        </w:rPr>
        <w:t>Adjustments</w:t>
      </w:r>
      <w:r w:rsidR="00FF409E" w:rsidRPr="006F1BB6">
        <w:rPr>
          <w:rFonts w:ascii="Century Gothic" w:hAnsi="Century Gothic"/>
          <w:sz w:val="24"/>
          <w:lang w:bidi="en-US"/>
        </w:rPr>
        <w:t>:</w:t>
      </w:r>
      <w:r w:rsidR="00FF409E" w:rsidRPr="00FF409E">
        <w:rPr>
          <w:lang w:bidi="en-US"/>
        </w:rPr>
        <w:t xml:space="preserve"> For M&amp;V analyses, factors that modify baseline energy or demand values to account for independent variable values (conditions) in the reporting period.</w:t>
      </w:r>
    </w:p>
    <w:p w:rsidR="00FF409E" w:rsidRPr="00FF409E" w:rsidRDefault="00FF409E" w:rsidP="00000FEE">
      <w:pPr>
        <w:widowControl w:val="0"/>
        <w:rPr>
          <w:lang w:bidi="en-US"/>
        </w:rPr>
      </w:pPr>
    </w:p>
    <w:p w:rsidR="00FF409E" w:rsidRDefault="006F1BB6" w:rsidP="00000FEE">
      <w:pPr>
        <w:widowControl w:val="0"/>
        <w:rPr>
          <w:lang w:bidi="en-US"/>
        </w:rPr>
      </w:pPr>
      <w:r>
        <w:rPr>
          <w:rFonts w:ascii="Century Gothic" w:hAnsi="Century Gothic"/>
          <w:b/>
          <w:bCs/>
          <w:sz w:val="24"/>
          <w:lang w:bidi="en-US"/>
        </w:rPr>
        <w:t>Administrator</w:t>
      </w:r>
      <w:r w:rsidR="00FF409E" w:rsidRPr="006F1BB6">
        <w:rPr>
          <w:rFonts w:ascii="Century Gothic" w:hAnsi="Century Gothic"/>
          <w:sz w:val="24"/>
          <w:lang w:bidi="en-US"/>
        </w:rPr>
        <w:t>:</w:t>
      </w:r>
      <w:r w:rsidR="00FF409E" w:rsidRPr="00FF409E">
        <w:rPr>
          <w:lang w:bidi="en-US"/>
        </w:rPr>
        <w:t xml:space="preserve"> </w:t>
      </w:r>
      <w:r w:rsidR="00A412AF" w:rsidRPr="00A412AF">
        <w:rPr>
          <w:lang w:bidi="en-US"/>
        </w:rPr>
        <w:t>A person, company, partnership, corporation, association, or other entity selected by the EDC, and any subcontractor who is retained by an aforesaid entity to contract for and administer energy efficiency programs under Act 129</w:t>
      </w:r>
      <w:r w:rsidR="00FF409E" w:rsidRPr="00FF409E">
        <w:rPr>
          <w:lang w:bidi="en-US"/>
        </w:rPr>
        <w:t>.</w:t>
      </w:r>
    </w:p>
    <w:p w:rsidR="00FF409E" w:rsidRDefault="00FF409E" w:rsidP="00000FEE">
      <w:pPr>
        <w:widowControl w:val="0"/>
        <w:rPr>
          <w:lang w:bidi="en-US"/>
        </w:rPr>
      </w:pPr>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w:t>
      </w:r>
      <w:r>
        <w:rPr>
          <w:rFonts w:ascii="Century Gothic" w:hAnsi="Century Gothic"/>
          <w:b/>
          <w:bCs/>
          <w:color w:val="448A99"/>
          <w:sz w:val="28"/>
          <w:lang w:bidi="en-US"/>
        </w:rPr>
        <w:t>B</w:t>
      </w:r>
      <w:r w:rsidRPr="005361D4">
        <w:rPr>
          <w:rFonts w:ascii="Century Gothic" w:hAnsi="Century Gothic"/>
          <w:b/>
          <w:bCs/>
          <w:color w:val="448A99"/>
          <w:sz w:val="28"/>
          <w:lang w:bidi="en-US"/>
        </w:rPr>
        <w:t>-</w:t>
      </w:r>
    </w:p>
    <w:p w:rsidR="00FF409E" w:rsidRDefault="006F1BB6" w:rsidP="00000FEE">
      <w:pPr>
        <w:widowControl w:val="0"/>
        <w:rPr>
          <w:lang w:bidi="en-US"/>
        </w:rPr>
      </w:pPr>
      <w:r>
        <w:rPr>
          <w:rFonts w:ascii="Century Gothic" w:hAnsi="Century Gothic"/>
          <w:b/>
          <w:bCs/>
          <w:sz w:val="24"/>
          <w:lang w:bidi="en-US"/>
        </w:rPr>
        <w:t>Baseline Data</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The measurements and facts describing facility operations and design during the baseline period. This includes energy use or demand and parameters of facility operation that govern energy use or demand.</w:t>
      </w:r>
    </w:p>
    <w:p w:rsidR="00FF409E" w:rsidRPr="00FF409E" w:rsidRDefault="00FF409E" w:rsidP="00000FEE">
      <w:pPr>
        <w:widowControl w:val="0"/>
        <w:rPr>
          <w:lang w:bidi="en-US"/>
        </w:rPr>
      </w:pPr>
    </w:p>
    <w:p w:rsidR="00FF409E" w:rsidRDefault="006F1BB6" w:rsidP="00000FEE">
      <w:pPr>
        <w:widowControl w:val="0"/>
        <w:rPr>
          <w:lang w:bidi="en-US"/>
        </w:rPr>
      </w:pPr>
      <w:r>
        <w:rPr>
          <w:rFonts w:ascii="Century Gothic" w:hAnsi="Century Gothic"/>
          <w:b/>
          <w:bCs/>
          <w:sz w:val="24"/>
          <w:lang w:bidi="en-US"/>
        </w:rPr>
        <w:t>Baseline Forecast</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A prediction of future energy needs that does not take into account the likely effects of new efficiency programs that have not yet been started.</w:t>
      </w:r>
    </w:p>
    <w:p w:rsidR="00FF409E" w:rsidRPr="00FF409E" w:rsidRDefault="00FF409E" w:rsidP="00000FEE">
      <w:pPr>
        <w:widowControl w:val="0"/>
        <w:rPr>
          <w:lang w:bidi="en-US"/>
        </w:rPr>
      </w:pPr>
    </w:p>
    <w:p w:rsidR="00FF409E" w:rsidRDefault="006F1BB6" w:rsidP="00000FEE">
      <w:pPr>
        <w:widowControl w:val="0"/>
        <w:rPr>
          <w:lang w:bidi="en-US"/>
        </w:rPr>
      </w:pPr>
      <w:r>
        <w:rPr>
          <w:rFonts w:ascii="Century Gothic" w:hAnsi="Century Gothic"/>
          <w:b/>
          <w:bCs/>
          <w:sz w:val="24"/>
          <w:lang w:bidi="en-US"/>
        </w:rPr>
        <w:t>Baseline Model</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The set of arithmetic factors, equations, or data used to describe the relationship between energy use or demand and other baseline data. A baseline model may also be a simulation process involving a specified simulation engine and set of input data.</w:t>
      </w:r>
    </w:p>
    <w:p w:rsidR="00FF409E" w:rsidRPr="00FF409E" w:rsidRDefault="00FF409E" w:rsidP="00000FEE">
      <w:pPr>
        <w:widowControl w:val="0"/>
        <w:rPr>
          <w:lang w:bidi="en-US"/>
        </w:rPr>
      </w:pPr>
    </w:p>
    <w:p w:rsidR="00FF409E" w:rsidRPr="00BD557A" w:rsidRDefault="006F1BB6" w:rsidP="00BD557A">
      <w:r w:rsidRPr="00BD557A">
        <w:rPr>
          <w:rFonts w:ascii="Century Gothic" w:hAnsi="Century Gothic"/>
          <w:b/>
          <w:sz w:val="24"/>
        </w:rPr>
        <w:t>Baseline Period</w:t>
      </w:r>
      <w:r w:rsidR="00FF409E" w:rsidRPr="00BD557A">
        <w:rPr>
          <w:rFonts w:ascii="Century Gothic" w:hAnsi="Century Gothic"/>
          <w:b/>
          <w:sz w:val="24"/>
        </w:rPr>
        <w:t>:</w:t>
      </w:r>
      <w:r w:rsidR="00FF409E" w:rsidRPr="00BD557A">
        <w:rPr>
          <w:sz w:val="24"/>
        </w:rPr>
        <w:t xml:space="preserve"> </w:t>
      </w:r>
      <w:r w:rsidR="00FF409E" w:rsidRPr="00BD557A">
        <w:t>The period of time selected as representative of facility operations before retrofit.</w:t>
      </w:r>
    </w:p>
    <w:p w:rsidR="006F1BB6" w:rsidRDefault="006F1BB6" w:rsidP="00000FEE">
      <w:pPr>
        <w:widowControl w:val="0"/>
        <w:rPr>
          <w:rFonts w:ascii="Century Gothic" w:hAnsi="Century Gothic"/>
          <w:b/>
          <w:bCs/>
          <w:sz w:val="24"/>
          <w:lang w:bidi="en-US"/>
        </w:rPr>
      </w:pPr>
    </w:p>
    <w:p w:rsidR="00FF409E" w:rsidRDefault="006F1BB6" w:rsidP="00000FEE">
      <w:pPr>
        <w:widowControl w:val="0"/>
        <w:rPr>
          <w:lang w:bidi="en-US"/>
        </w:rPr>
      </w:pPr>
      <w:r>
        <w:rPr>
          <w:rFonts w:ascii="Century Gothic" w:hAnsi="Century Gothic"/>
          <w:b/>
          <w:bCs/>
          <w:sz w:val="24"/>
          <w:lang w:bidi="en-US"/>
        </w:rPr>
        <w:t>Bias</w:t>
      </w:r>
      <w:r w:rsidR="00FF409E" w:rsidRPr="006F1BB6">
        <w:rPr>
          <w:rFonts w:ascii="Century Gothic" w:hAnsi="Century Gothic"/>
          <w:b/>
          <w:bCs/>
          <w:sz w:val="24"/>
          <w:lang w:bidi="en-US"/>
        </w:rPr>
        <w:t>:</w:t>
      </w:r>
      <w:r w:rsidR="00FF409E" w:rsidRPr="006F1BB6">
        <w:rPr>
          <w:b/>
          <w:bCs/>
          <w:sz w:val="24"/>
          <w:lang w:bidi="en-US"/>
        </w:rPr>
        <w:t xml:space="preserve"> </w:t>
      </w:r>
      <w:r w:rsidR="00FF409E" w:rsidRPr="00FF409E">
        <w:rPr>
          <w:lang w:bidi="en-US"/>
        </w:rPr>
        <w:t>The extent to which a measurement or a sampling or analytic method systematically underestimates or overestimates a value.</w:t>
      </w:r>
    </w:p>
    <w:p w:rsidR="00FF409E" w:rsidRPr="00FF409E" w:rsidRDefault="00FF409E" w:rsidP="00000FEE">
      <w:pPr>
        <w:widowControl w:val="0"/>
        <w:rPr>
          <w:lang w:bidi="en-US"/>
        </w:rPr>
      </w:pPr>
    </w:p>
    <w:p w:rsidR="00FF409E" w:rsidRDefault="006F1BB6" w:rsidP="00000FEE">
      <w:pPr>
        <w:widowControl w:val="0"/>
        <w:rPr>
          <w:lang w:bidi="en-US"/>
        </w:rPr>
      </w:pPr>
      <w:r>
        <w:rPr>
          <w:rFonts w:ascii="Century Gothic" w:hAnsi="Century Gothic"/>
          <w:b/>
          <w:bCs/>
          <w:sz w:val="24"/>
          <w:lang w:bidi="en-US"/>
        </w:rPr>
        <w:t>Billing Data</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Has multiple meanings. Metered data obtained from the electric or gas meter used to bill the customer for energy used in a particular billing period. Meters used for this purpose typically conform to regulatory standards established for each customer class. Also used to describe the data representing the bills customers receive from the energy provider and the customer billing and payment streams associated with customer accounts. This term is used to describe both consumption and demand, and account billing and payment information.</w:t>
      </w:r>
    </w:p>
    <w:p w:rsidR="00FF409E" w:rsidRDefault="005361D4" w:rsidP="00000FEE">
      <w:pPr>
        <w:widowControl w:val="0"/>
        <w:rPr>
          <w:lang w:bidi="en-US"/>
        </w:rPr>
      </w:pPr>
      <w:r>
        <w:rPr>
          <w:rFonts w:ascii="Century Gothic" w:hAnsi="Century Gothic"/>
          <w:b/>
          <w:bCs/>
          <w:sz w:val="24"/>
          <w:lang w:bidi="en-US"/>
        </w:rPr>
        <w:t>Billing Demand</w:t>
      </w:r>
      <w:r w:rsidR="00FF409E" w:rsidRPr="00FF409E">
        <w:rPr>
          <w:lang w:bidi="en-US"/>
        </w:rPr>
        <w:t>: The demand used to calculate the demand charge cost. This is often the monthly peak demand of the customer, but it may have a floor of some percentage of the highest monthly peak of the previous several months (a demand “ratchet”). May have other meanings associated with customer account billing practices.</w:t>
      </w:r>
    </w:p>
    <w:p w:rsidR="00FF409E" w:rsidRPr="00FF409E" w:rsidRDefault="00FF409E" w:rsidP="00000FEE">
      <w:pPr>
        <w:widowControl w:val="0"/>
        <w:rPr>
          <w:lang w:bidi="en-US"/>
        </w:rPr>
      </w:pPr>
    </w:p>
    <w:p w:rsidR="00FF409E" w:rsidRDefault="005361D4" w:rsidP="00000FEE">
      <w:pPr>
        <w:widowControl w:val="0"/>
        <w:rPr>
          <w:lang w:bidi="en-US"/>
        </w:rPr>
      </w:pPr>
      <w:r>
        <w:rPr>
          <w:rFonts w:ascii="Century Gothic" w:hAnsi="Century Gothic"/>
          <w:b/>
          <w:bCs/>
          <w:sz w:val="24"/>
          <w:lang w:bidi="en-US"/>
        </w:rPr>
        <w:t>Building Energy Simulation Models:</w:t>
      </w:r>
      <w:r w:rsidR="00FF409E" w:rsidRPr="00FF409E">
        <w:rPr>
          <w:lang w:bidi="en-US"/>
        </w:rPr>
        <w:t xml:space="preserve"> Computer models based on physical engineering princip</w:t>
      </w:r>
      <w:r w:rsidR="00973929">
        <w:rPr>
          <w:lang w:bidi="en-US"/>
        </w:rPr>
        <w:t>le</w:t>
      </w:r>
      <w:r w:rsidR="00FF409E" w:rsidRPr="00FF409E">
        <w:rPr>
          <w:lang w:bidi="en-US"/>
        </w:rPr>
        <w:t>s or standards used to estimate energy usage or savings. These models do use billing or metered data, but usually incorporate site-specific data on customers and physical systems. The models usually require such site-specific data as square footage, weather, surface orientations, elevations, space volumes, construction materials, equipment use, lighting, and building occupancy. These models can usually account for interactive effects between end</w:t>
      </w:r>
      <w:r w:rsidR="00973929">
        <w:rPr>
          <w:lang w:bidi="en-US"/>
        </w:rPr>
        <w:t xml:space="preserve"> </w:t>
      </w:r>
      <w:r w:rsidR="00FF409E" w:rsidRPr="00FF409E">
        <w:rPr>
          <w:lang w:bidi="en-US"/>
        </w:rPr>
        <w:t>uses (e.g., lighting and HVAC), part-load efficiencies, and changes in external and internal heat gains or losses. Examples of building energy simulation models include ADM2, BLAST, and DOE-2.</w:t>
      </w:r>
    </w:p>
    <w:p w:rsidR="00FF409E" w:rsidRDefault="00FF409E" w:rsidP="00000FEE">
      <w:pPr>
        <w:widowControl w:val="0"/>
        <w:rPr>
          <w:lang w:bidi="en-US"/>
        </w:rPr>
      </w:pPr>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w:t>
      </w:r>
      <w:r>
        <w:rPr>
          <w:rFonts w:ascii="Century Gothic" w:hAnsi="Century Gothic"/>
          <w:b/>
          <w:bCs/>
          <w:color w:val="448A99"/>
          <w:sz w:val="28"/>
          <w:lang w:bidi="en-US"/>
        </w:rPr>
        <w:t>C</w:t>
      </w:r>
      <w:r w:rsidRPr="005361D4">
        <w:rPr>
          <w:rFonts w:ascii="Century Gothic" w:hAnsi="Century Gothic"/>
          <w:b/>
          <w:bCs/>
          <w:color w:val="448A99"/>
          <w:sz w:val="28"/>
          <w:lang w:bidi="en-US"/>
        </w:rPr>
        <w:t>-</w:t>
      </w:r>
    </w:p>
    <w:p w:rsidR="00FF409E" w:rsidRDefault="005361D4" w:rsidP="00000FEE">
      <w:pPr>
        <w:widowControl w:val="0"/>
        <w:rPr>
          <w:lang w:bidi="en-US"/>
        </w:rPr>
      </w:pPr>
      <w:r>
        <w:rPr>
          <w:rFonts w:ascii="Century Gothic" w:hAnsi="Century Gothic"/>
          <w:b/>
          <w:bCs/>
          <w:sz w:val="24"/>
          <w:lang w:bidi="en-US"/>
        </w:rPr>
        <w:t>Capacity</w:t>
      </w:r>
      <w:r w:rsidR="00FF409E" w:rsidRPr="00FF409E">
        <w:rPr>
          <w:lang w:bidi="en-US"/>
        </w:rPr>
        <w:t xml:space="preserve">: The amount of electric power for which a generating unit, generating station, or other electrical apparatus is rated by the user or manufacturer. The term is also used for the total volume of natural gas that can flow through a pipeline over a given amount of time, considering factors </w:t>
      </w:r>
      <w:r w:rsidR="00973929" w:rsidRPr="00FF409E">
        <w:rPr>
          <w:lang w:bidi="en-US"/>
        </w:rPr>
        <w:t xml:space="preserve">such </w:t>
      </w:r>
      <w:r w:rsidR="00FF409E" w:rsidRPr="00FF409E">
        <w:rPr>
          <w:lang w:bidi="en-US"/>
        </w:rPr>
        <w:t>as compression and pipeline size.</w:t>
      </w:r>
    </w:p>
    <w:p w:rsidR="00FF409E" w:rsidRPr="00FF409E" w:rsidRDefault="00FF409E" w:rsidP="00000FEE">
      <w:pPr>
        <w:widowControl w:val="0"/>
        <w:rPr>
          <w:lang w:bidi="en-US"/>
        </w:rPr>
      </w:pPr>
    </w:p>
    <w:p w:rsidR="00FF409E" w:rsidRPr="00BD557A" w:rsidRDefault="005361D4" w:rsidP="00BD557A">
      <w:r w:rsidRPr="00BD557A">
        <w:rPr>
          <w:rFonts w:ascii="Century Gothic" w:hAnsi="Century Gothic"/>
          <w:b/>
          <w:sz w:val="24"/>
        </w:rPr>
        <w:t>Coefficient of Variation:</w:t>
      </w:r>
      <w:r w:rsidR="00FF409E" w:rsidRPr="00BD557A">
        <w:rPr>
          <w:rFonts w:ascii="Century Gothic" w:hAnsi="Century Gothic"/>
          <w:b/>
          <w:sz w:val="24"/>
        </w:rPr>
        <w:t xml:space="preserve"> </w:t>
      </w:r>
      <w:r w:rsidR="00FF409E" w:rsidRPr="00BD557A">
        <w:t>The sample standard deviation divided by the sample mean (Cv = sd/y).</w:t>
      </w:r>
    </w:p>
    <w:p w:rsidR="00FF409E" w:rsidRPr="00FF409E" w:rsidRDefault="00FF409E" w:rsidP="00000FEE">
      <w:pPr>
        <w:widowControl w:val="0"/>
        <w:rPr>
          <w:lang w:bidi="en-US"/>
        </w:rPr>
      </w:pPr>
    </w:p>
    <w:p w:rsidR="00FF409E" w:rsidRDefault="005361D4" w:rsidP="00000FEE">
      <w:pPr>
        <w:widowControl w:val="0"/>
        <w:rPr>
          <w:lang w:bidi="en-US"/>
        </w:rPr>
      </w:pPr>
      <w:r>
        <w:rPr>
          <w:rFonts w:ascii="Century Gothic" w:hAnsi="Century Gothic"/>
          <w:b/>
          <w:bCs/>
          <w:sz w:val="24"/>
          <w:lang w:bidi="en-US"/>
        </w:rPr>
        <w:t>Coincident Demand</w:t>
      </w:r>
      <w:r w:rsidR="00FF409E" w:rsidRPr="00FF409E">
        <w:rPr>
          <w:lang w:bidi="en-US"/>
        </w:rPr>
        <w:t>: The metered demand of a device, circuit, or building that occurs at the same time as the peak demand of the building or facility or at the same time as some other peak of interest, such as a utility’s highest load during peak load hours. This should properly be expressed to indicate the peak of interest, e.g., “demand coincident with the building peak.”</w:t>
      </w:r>
    </w:p>
    <w:p w:rsidR="00FF409E" w:rsidRPr="00FF409E" w:rsidRDefault="00FF409E" w:rsidP="00000FEE">
      <w:pPr>
        <w:widowControl w:val="0"/>
        <w:rPr>
          <w:lang w:bidi="en-US"/>
        </w:rPr>
      </w:pPr>
    </w:p>
    <w:p w:rsidR="00FF409E" w:rsidRDefault="005361D4" w:rsidP="00000FEE">
      <w:pPr>
        <w:widowControl w:val="0"/>
        <w:rPr>
          <w:lang w:bidi="en-US"/>
        </w:rPr>
      </w:pPr>
      <w:r>
        <w:rPr>
          <w:rFonts w:ascii="Century Gothic" w:hAnsi="Century Gothic"/>
          <w:b/>
          <w:bCs/>
          <w:sz w:val="24"/>
          <w:lang w:bidi="en-US"/>
        </w:rPr>
        <w:t>Confidence</w:t>
      </w:r>
      <w:r w:rsidR="00FF409E" w:rsidRPr="00FF409E">
        <w:rPr>
          <w:lang w:bidi="en-US"/>
        </w:rPr>
        <w:t>: An indication of how close a value is to the true value of the quantity in question. Confidence is the likelihood that the evaluation has captured the true impacts of a program within a certain range of values (i.e., precision).</w:t>
      </w:r>
    </w:p>
    <w:p w:rsidR="00FF409E" w:rsidRPr="00FF409E" w:rsidRDefault="00FF409E" w:rsidP="00000FEE">
      <w:pPr>
        <w:widowControl w:val="0"/>
        <w:rPr>
          <w:lang w:bidi="en-US"/>
        </w:rPr>
      </w:pPr>
    </w:p>
    <w:p w:rsidR="00FF409E" w:rsidRDefault="005361D4" w:rsidP="00000FEE">
      <w:pPr>
        <w:widowControl w:val="0"/>
        <w:rPr>
          <w:lang w:bidi="en-US"/>
        </w:rPr>
      </w:pPr>
      <w:r>
        <w:rPr>
          <w:rFonts w:ascii="Century Gothic" w:hAnsi="Century Gothic"/>
          <w:b/>
          <w:bCs/>
          <w:sz w:val="24"/>
          <w:lang w:bidi="en-US"/>
        </w:rPr>
        <w:t>Conservation</w:t>
      </w:r>
      <w:r w:rsidR="00FF409E" w:rsidRPr="00FF409E">
        <w:rPr>
          <w:lang w:bidi="en-US"/>
        </w:rPr>
        <w:t>: Steps taken to cause less energy to be used than would otherwise be the case. Examples include improved efficiency, avoidance of waste, and reduced consumption. Related activities include installing equipment (e.g., a computer to ensure efficient energy use), modifying equipment (e.g., making a boiler more efficient), adding insulation, and changing behavior patterns.</w:t>
      </w:r>
    </w:p>
    <w:p w:rsidR="00C3387F" w:rsidRDefault="00C3387F" w:rsidP="00000FEE">
      <w:pPr>
        <w:widowControl w:val="0"/>
        <w:rPr>
          <w:lang w:bidi="en-US"/>
        </w:rPr>
      </w:pPr>
    </w:p>
    <w:p w:rsidR="00792ADE" w:rsidRDefault="00B43D6F" w:rsidP="00792ADE">
      <w:pPr>
        <w:widowControl w:val="0"/>
        <w:rPr>
          <w:lang w:bidi="en-US"/>
        </w:rPr>
      </w:pPr>
      <w:r>
        <w:rPr>
          <w:rFonts w:ascii="Century Gothic" w:hAnsi="Century Gothic"/>
          <w:b/>
          <w:bCs/>
          <w:sz w:val="24"/>
          <w:lang w:bidi="en-US"/>
        </w:rPr>
        <w:t>Cost-Effectiveness</w:t>
      </w:r>
      <w:r w:rsidR="00FF409E" w:rsidRPr="00FF409E">
        <w:rPr>
          <w:lang w:bidi="en-US"/>
        </w:rPr>
        <w:t xml:space="preserve">: </w:t>
      </w:r>
      <w:r w:rsidR="00A412AF" w:rsidRPr="00A412AF">
        <w:rPr>
          <w:lang w:bidi="en-US"/>
        </w:rPr>
        <w:t>An indicator of the relative performance or economic attractiveness of any energy efficiency EE investment or practice when compared with the costs of energy produced and delivered in the absence of such an investment. In the energy efficiency EE field, the term refers to the present value of the estimated benefits produced by an energy efficiency EE program as compared with the estimated total program costs, from the perspective of either society as a whole or of individual customers, to determine if the proposed investment or measure is desirable from a variety of perspectives, e.g., whether the estimated benefits exceed the estimated costs. See also TOTAL RESOURCE COST (TRC) TEST. The 2008 Act 129 enacted by the Pennsylvania Legislature mandates use of the TRC Test for determining cost-effectiveness</w:t>
      </w:r>
      <w:r w:rsidR="00FF409E" w:rsidRPr="00FF409E">
        <w:rPr>
          <w:lang w:bidi="en-US"/>
        </w:rPr>
        <w:t>.</w:t>
      </w:r>
      <w:r w:rsidR="00792ADE" w:rsidRPr="00792ADE">
        <w:rPr>
          <w:lang w:bidi="en-US"/>
        </w:rPr>
        <w:t xml:space="preserve"> </w:t>
      </w:r>
    </w:p>
    <w:p w:rsidR="00170843" w:rsidRDefault="00170843" w:rsidP="00792ADE">
      <w:pPr>
        <w:widowControl w:val="0"/>
        <w:rPr>
          <w:lang w:bidi="en-US"/>
        </w:rPr>
      </w:pPr>
    </w:p>
    <w:p w:rsidR="00FF409E" w:rsidRDefault="00E710A9" w:rsidP="00792ADE">
      <w:pPr>
        <w:widowControl w:val="0"/>
        <w:rPr>
          <w:lang w:bidi="en-US"/>
        </w:rPr>
      </w:pPr>
      <w:r>
        <w:rPr>
          <w:rFonts w:ascii="Century Gothic" w:hAnsi="Century Gothic"/>
          <w:b/>
          <w:bCs/>
          <w:sz w:val="24"/>
          <w:lang w:bidi="en-US"/>
        </w:rPr>
        <w:t>Cross-S</w:t>
      </w:r>
      <w:r w:rsidR="00792ADE">
        <w:rPr>
          <w:rFonts w:ascii="Century Gothic" w:hAnsi="Century Gothic"/>
          <w:b/>
          <w:bCs/>
          <w:sz w:val="24"/>
          <w:lang w:bidi="en-US"/>
        </w:rPr>
        <w:t xml:space="preserve">ector </w:t>
      </w:r>
      <w:r>
        <w:rPr>
          <w:rFonts w:ascii="Century Gothic" w:hAnsi="Century Gothic"/>
          <w:b/>
          <w:bCs/>
          <w:sz w:val="24"/>
          <w:lang w:bidi="en-US"/>
        </w:rPr>
        <w:t>S</w:t>
      </w:r>
      <w:r w:rsidR="00792ADE">
        <w:rPr>
          <w:rFonts w:ascii="Century Gothic" w:hAnsi="Century Gothic"/>
          <w:b/>
          <w:bCs/>
          <w:sz w:val="24"/>
          <w:lang w:bidi="en-US"/>
        </w:rPr>
        <w:t>ales</w:t>
      </w:r>
      <w:r w:rsidR="00792ADE">
        <w:rPr>
          <w:lang w:bidi="en-US"/>
        </w:rPr>
        <w:t xml:space="preserve">: </w:t>
      </w:r>
      <w:r w:rsidRPr="00E710A9">
        <w:rPr>
          <w:lang w:bidi="en-US"/>
        </w:rPr>
        <w:t>These are sales of energy -efficiency measures as part of sector-specific programs which that are installed across multiple sectors. This occurs most notably when energy -efficient lighting measures are purchased from a retailer through a residential upstream lighting program but are installed in commercial facilities</w:t>
      </w:r>
      <w:r w:rsidR="00792ADE" w:rsidRPr="00FF409E">
        <w:rPr>
          <w:lang w:bidi="en-US"/>
        </w:rPr>
        <w:t>.</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Customer</w:t>
      </w:r>
      <w:r w:rsidR="00FF409E" w:rsidRPr="005635FF">
        <w:rPr>
          <w:rFonts w:ascii="Century Gothic" w:hAnsi="Century Gothic"/>
          <w:sz w:val="24"/>
          <w:lang w:bidi="en-US"/>
        </w:rPr>
        <w:t>:</w:t>
      </w:r>
      <w:r w:rsidR="00FF409E" w:rsidRPr="00FF409E">
        <w:rPr>
          <w:lang w:bidi="en-US"/>
        </w:rPr>
        <w:t xml:space="preserve"> Any person or entity responsible for payment of an electric or gas bill and with an active meter serviced by a utility company.</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Customer Information</w:t>
      </w:r>
      <w:r w:rsidR="00FF409E" w:rsidRPr="00FF409E">
        <w:rPr>
          <w:lang w:bidi="en-US"/>
        </w:rPr>
        <w:t>: Non-public information and data specific to a utility customer that the utility acquired or developed in the course of providing utility services.</w:t>
      </w:r>
    </w:p>
    <w:p w:rsidR="00B43D6F" w:rsidRPr="00FF409E" w:rsidRDefault="00B43D6F" w:rsidP="00000FEE">
      <w:pPr>
        <w:widowControl w:val="0"/>
        <w:rPr>
          <w:lang w:bidi="en-US"/>
        </w:rPr>
      </w:pPr>
    </w:p>
    <w:p w:rsidR="00FF409E" w:rsidRPr="00BD557A" w:rsidRDefault="00B43D6F" w:rsidP="00BD557A">
      <w:r w:rsidRPr="00BD557A">
        <w:rPr>
          <w:rFonts w:ascii="Century Gothic" w:hAnsi="Century Gothic"/>
          <w:b/>
          <w:sz w:val="24"/>
        </w:rPr>
        <w:t>Cv</w:t>
      </w:r>
      <w:r w:rsidR="00FF409E" w:rsidRPr="00BD557A">
        <w:rPr>
          <w:rFonts w:ascii="Century Gothic" w:hAnsi="Century Gothic"/>
          <w:b/>
          <w:sz w:val="24"/>
        </w:rPr>
        <w:t xml:space="preserve">: </w:t>
      </w:r>
      <w:r w:rsidR="00FF409E" w:rsidRPr="00BD557A">
        <w:t>See COEFFICIENT OF VARIATION.</w:t>
      </w:r>
    </w:p>
    <w:p w:rsidR="00FF409E" w:rsidRDefault="00FF409E" w:rsidP="00000FEE">
      <w:pPr>
        <w:widowControl w:val="0"/>
        <w:rPr>
          <w:lang w:bidi="en-US"/>
        </w:rPr>
      </w:pPr>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w:t>
      </w:r>
      <w:r>
        <w:rPr>
          <w:rFonts w:ascii="Century Gothic" w:hAnsi="Century Gothic"/>
          <w:b/>
          <w:bCs/>
          <w:color w:val="448A99"/>
          <w:sz w:val="28"/>
          <w:lang w:bidi="en-US"/>
        </w:rPr>
        <w:t>D</w:t>
      </w:r>
      <w:r w:rsidRPr="005361D4">
        <w:rPr>
          <w:rFonts w:ascii="Century Gothic" w:hAnsi="Century Gothic"/>
          <w:b/>
          <w:bCs/>
          <w:color w:val="448A99"/>
          <w:sz w:val="28"/>
          <w:lang w:bidi="en-US"/>
        </w:rPr>
        <w:t>-</w:t>
      </w:r>
    </w:p>
    <w:p w:rsidR="00FF409E" w:rsidRDefault="00B43D6F" w:rsidP="00000FEE">
      <w:pPr>
        <w:widowControl w:val="0"/>
        <w:rPr>
          <w:lang w:bidi="en-US"/>
        </w:rPr>
      </w:pPr>
      <w:r w:rsidRPr="005635FF">
        <w:rPr>
          <w:rFonts w:ascii="Century Gothic" w:hAnsi="Century Gothic"/>
          <w:b/>
          <w:bCs/>
          <w:sz w:val="24"/>
          <w:lang w:bidi="en-US"/>
        </w:rPr>
        <w:t>Deemed Savings</w:t>
      </w:r>
      <w:r w:rsidR="00FF409E" w:rsidRPr="00FF409E">
        <w:rPr>
          <w:lang w:bidi="en-US"/>
        </w:rPr>
        <w:t xml:space="preserve">: </w:t>
      </w:r>
      <w:r w:rsidR="00E710A9" w:rsidRPr="00FF409E">
        <w:rPr>
          <w:lang w:bidi="en-US"/>
        </w:rPr>
        <w:t xml:space="preserve">An estimate of the reported energy savings or energy demand savings outcome for a single unit of an installed </w:t>
      </w:r>
      <w:r w:rsidR="00E710A9">
        <w:rPr>
          <w:lang w:bidi="en-US"/>
        </w:rPr>
        <w:t>energy efficiency</w:t>
      </w:r>
      <w:r w:rsidR="00E710A9" w:rsidRPr="00FF409E">
        <w:rPr>
          <w:lang w:bidi="en-US"/>
        </w:rPr>
        <w:t xml:space="preserve"> measure that (a) has been developed from data sources and analytical methods that are widely accepted for the measure and purpose</w:t>
      </w:r>
      <w:r w:rsidR="00E710A9">
        <w:rPr>
          <w:lang w:bidi="en-US"/>
        </w:rPr>
        <w:t>,</w:t>
      </w:r>
      <w:r w:rsidR="00E710A9" w:rsidRPr="00FF409E">
        <w:rPr>
          <w:lang w:bidi="en-US"/>
        </w:rPr>
        <w:t xml:space="preserve"> and (b) is applicable to the situation being evaluated</w:t>
      </w:r>
      <w:r w:rsidR="00FF409E" w:rsidRPr="00FF409E">
        <w:rPr>
          <w:lang w:bidi="en-US"/>
        </w:rPr>
        <w:t>.</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Demand</w:t>
      </w:r>
      <w:r w:rsidR="00FF409E" w:rsidRPr="00FF409E">
        <w:rPr>
          <w:lang w:bidi="en-US"/>
        </w:rPr>
        <w:t>: The time rate of energy flow. Demand usually refers to electric power and is measured in kilowatts (kW; equals kWh/hr) but can also refer to natural gas, usually as Btus/hr, kBtus/hr, therms/day, or ccf/day. Example: Ten 100-watt lamps consume electricity at the rate of 1,000 watts, or 1 kilowatt (kW).</w:t>
      </w:r>
    </w:p>
    <w:p w:rsidR="0087559E" w:rsidRDefault="0087559E" w:rsidP="00000FEE">
      <w:pPr>
        <w:widowControl w:val="0"/>
        <w:rPr>
          <w:lang w:bidi="en-US"/>
        </w:rPr>
      </w:pPr>
    </w:p>
    <w:p w:rsidR="0087559E" w:rsidRDefault="00B43D6F" w:rsidP="00000FEE">
      <w:pPr>
        <w:widowControl w:val="0"/>
        <w:rPr>
          <w:lang w:bidi="en-US"/>
        </w:rPr>
      </w:pPr>
      <w:r w:rsidRPr="005635FF">
        <w:rPr>
          <w:rFonts w:ascii="Century Gothic" w:hAnsi="Century Gothic"/>
          <w:b/>
          <w:bCs/>
          <w:sz w:val="24"/>
          <w:lang w:bidi="en-US"/>
        </w:rPr>
        <w:t>Demand</w:t>
      </w:r>
      <w:r w:rsidR="0087559E" w:rsidRPr="005635FF">
        <w:rPr>
          <w:rFonts w:ascii="Century Gothic" w:hAnsi="Century Gothic"/>
          <w:b/>
          <w:bCs/>
          <w:sz w:val="24"/>
          <w:lang w:bidi="en-US"/>
        </w:rPr>
        <w:t xml:space="preserve"> (</w:t>
      </w:r>
      <w:r w:rsidRPr="005635FF">
        <w:rPr>
          <w:rFonts w:ascii="Century Gothic" w:hAnsi="Century Gothic"/>
          <w:b/>
          <w:bCs/>
          <w:sz w:val="24"/>
          <w:lang w:bidi="en-US"/>
        </w:rPr>
        <w:t>Utility</w:t>
      </w:r>
      <w:r w:rsidR="0087559E" w:rsidRPr="005635FF">
        <w:rPr>
          <w:rFonts w:ascii="Century Gothic" w:hAnsi="Century Gothic"/>
          <w:b/>
          <w:bCs/>
          <w:sz w:val="24"/>
          <w:lang w:bidi="en-US"/>
        </w:rPr>
        <w:t>)</w:t>
      </w:r>
      <w:r w:rsidR="0087559E" w:rsidRPr="005635FF">
        <w:rPr>
          <w:rFonts w:ascii="Century Gothic" w:hAnsi="Century Gothic"/>
          <w:sz w:val="24"/>
          <w:lang w:bidi="en-US"/>
        </w:rPr>
        <w:t>:</w:t>
      </w:r>
      <w:r w:rsidR="0087559E" w:rsidRPr="005635FF">
        <w:rPr>
          <w:sz w:val="24"/>
          <w:lang w:bidi="en-US"/>
        </w:rPr>
        <w:t xml:space="preserve"> </w:t>
      </w:r>
      <w:r w:rsidR="0087559E" w:rsidRPr="00FF409E">
        <w:rPr>
          <w:lang w:bidi="en-US"/>
        </w:rPr>
        <w:t>The</w:t>
      </w:r>
      <w:r w:rsidR="0087559E">
        <w:rPr>
          <w:lang w:bidi="en-US"/>
        </w:rPr>
        <w:t xml:space="preserve"> </w:t>
      </w:r>
      <w:r w:rsidR="0087559E" w:rsidRPr="0087559E">
        <w:rPr>
          <w:lang w:bidi="en-US"/>
        </w:rPr>
        <w:t>rate or level at which electricity or natural gas is delivered to users at a given point in time. Electric demand is expressed in kilowatts (kW). Demand should not be confused with load, which is the amount of power delivered or required at any specified point</w:t>
      </w:r>
      <w:r w:rsidR="00E710A9">
        <w:rPr>
          <w:lang w:bidi="en-US"/>
        </w:rPr>
        <w:t>(s)</w:t>
      </w:r>
      <w:r w:rsidR="0087559E" w:rsidRPr="0087559E">
        <w:rPr>
          <w:lang w:bidi="en-US"/>
        </w:rPr>
        <w:t xml:space="preserve"> on a system</w:t>
      </w:r>
      <w:r w:rsidR="0087559E">
        <w:rPr>
          <w:lang w:bidi="en-US"/>
        </w:rPr>
        <w:t>.</w:t>
      </w:r>
    </w:p>
    <w:p w:rsidR="00FF409E" w:rsidRPr="00FF409E" w:rsidRDefault="00FF409E" w:rsidP="00000FEE">
      <w:pPr>
        <w:widowControl w:val="0"/>
        <w:rPr>
          <w:lang w:bidi="en-US"/>
        </w:rPr>
      </w:pPr>
    </w:p>
    <w:p w:rsidR="00FF409E" w:rsidRPr="00BD557A" w:rsidRDefault="00B43D6F" w:rsidP="00BD557A">
      <w:r w:rsidRPr="00BD557A">
        <w:rPr>
          <w:rFonts w:ascii="Century Gothic" w:hAnsi="Century Gothic"/>
          <w:b/>
          <w:sz w:val="24"/>
        </w:rPr>
        <w:t>Demand Charge</w:t>
      </w:r>
      <w:r w:rsidR="00FF409E" w:rsidRPr="00BD557A">
        <w:rPr>
          <w:rFonts w:ascii="Century Gothic" w:hAnsi="Century Gothic"/>
          <w:b/>
          <w:sz w:val="24"/>
        </w:rPr>
        <w:t>:</w:t>
      </w:r>
      <w:r w:rsidR="00FF409E" w:rsidRPr="00BD557A">
        <w:rPr>
          <w:sz w:val="24"/>
        </w:rPr>
        <w:t xml:space="preserve"> </w:t>
      </w:r>
      <w:r w:rsidR="00FF409E" w:rsidRPr="00BD557A">
        <w:t>The sum to be paid by a large electricity consumer for its peak usage level.</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Demand Responsiveness</w:t>
      </w:r>
      <w:r w:rsidR="00FF409E" w:rsidRPr="006F1BB6">
        <w:rPr>
          <w:rFonts w:ascii="Century Gothic" w:hAnsi="Century Gothic"/>
          <w:lang w:bidi="en-US"/>
        </w:rPr>
        <w:t>:</w:t>
      </w:r>
      <w:r w:rsidR="00FF409E" w:rsidRPr="00FF409E">
        <w:rPr>
          <w:lang w:bidi="en-US"/>
        </w:rPr>
        <w:t xml:space="preserve"> Activities or equipment that induce consumers to use energy at different (lower-cost) times of day or to interrupt energy use for certain equipment temporarily, usually in direct response to a price signal. Examples include interruptible rates, doing laundry after 7</w:t>
      </w:r>
      <w:r w:rsidR="00E710A9">
        <w:rPr>
          <w:lang w:bidi="en-US"/>
        </w:rPr>
        <w:t>:00</w:t>
      </w:r>
      <w:r w:rsidR="00FF409E" w:rsidRPr="00FF409E">
        <w:rPr>
          <w:lang w:bidi="en-US"/>
        </w:rPr>
        <w:t xml:space="preserve"> p.m., and air conditioner recycling programs.</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Demand Savings or Demand Reduction</w:t>
      </w:r>
      <w:r w:rsidR="00FF409E" w:rsidRPr="006F1BB6">
        <w:rPr>
          <w:rFonts w:ascii="Century Gothic" w:hAnsi="Century Gothic"/>
          <w:lang w:bidi="en-US"/>
        </w:rPr>
        <w:t>:</w:t>
      </w:r>
      <w:r w:rsidR="00FF409E" w:rsidRPr="00FF409E">
        <w:rPr>
          <w:lang w:bidi="en-US"/>
        </w:rPr>
        <w:t xml:space="preserve"> The reduction in the demand from the pre-retrofit baseline to the post-retrofit demand, once independent variables (e.g., weather, occupancy) have been adjusted for. This term is usually applied to billing demand (to calculate cost savings) or to peak demand (for equipment sizing purposes).</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Demand</w:t>
      </w:r>
      <w:r w:rsidR="00E710A9">
        <w:rPr>
          <w:rFonts w:ascii="Century Gothic" w:hAnsi="Century Gothic"/>
          <w:b/>
          <w:bCs/>
          <w:sz w:val="24"/>
          <w:lang w:bidi="en-US"/>
        </w:rPr>
        <w:t xml:space="preserve"> </w:t>
      </w:r>
      <w:r w:rsidRPr="005635FF">
        <w:rPr>
          <w:rFonts w:ascii="Century Gothic" w:hAnsi="Century Gothic"/>
          <w:b/>
          <w:bCs/>
          <w:sz w:val="24"/>
          <w:lang w:bidi="en-US"/>
        </w:rPr>
        <w:t>Side Management</w:t>
      </w:r>
      <w:r w:rsidR="00FF409E" w:rsidRPr="005635FF">
        <w:rPr>
          <w:rFonts w:ascii="Century Gothic" w:hAnsi="Century Gothic"/>
          <w:b/>
          <w:bCs/>
          <w:sz w:val="24"/>
          <w:lang w:bidi="en-US"/>
        </w:rPr>
        <w:t xml:space="preserve"> (DSM)</w:t>
      </w:r>
      <w:r w:rsidR="00FF409E" w:rsidRPr="00FF409E">
        <w:rPr>
          <w:lang w:bidi="en-US"/>
        </w:rPr>
        <w:t xml:space="preserve">: The methods used to manage energy demand, including </w:t>
      </w:r>
      <w:r w:rsidR="00E710A9">
        <w:rPr>
          <w:lang w:bidi="en-US"/>
        </w:rPr>
        <w:t>energy efficiency</w:t>
      </w:r>
      <w:r w:rsidR="00FF409E" w:rsidRPr="00FF409E">
        <w:rPr>
          <w:lang w:bidi="en-US"/>
        </w:rPr>
        <w:t xml:space="preserve">, load management, fuel substitution, and load building. Also </w:t>
      </w:r>
      <w:r w:rsidR="00973929">
        <w:rPr>
          <w:lang w:bidi="en-US"/>
        </w:rPr>
        <w:t>s</w:t>
      </w:r>
      <w:r w:rsidR="00FF409E" w:rsidRPr="00FF409E">
        <w:rPr>
          <w:lang w:bidi="en-US"/>
        </w:rPr>
        <w:t>ee LOAD MANAGEMENT.</w:t>
      </w:r>
    </w:p>
    <w:p w:rsidR="00FF409E" w:rsidRPr="00FF409E" w:rsidRDefault="00FF409E" w:rsidP="00000FEE">
      <w:pPr>
        <w:widowControl w:val="0"/>
        <w:rPr>
          <w:lang w:bidi="en-US"/>
        </w:rPr>
      </w:pPr>
      <w:r w:rsidRPr="00FF409E">
        <w:rPr>
          <w:lang w:bidi="en-US"/>
        </w:rPr>
        <w:t xml:space="preserve"> </w:t>
      </w:r>
    </w:p>
    <w:p w:rsidR="00FF409E" w:rsidRDefault="00B43D6F" w:rsidP="00000FEE">
      <w:pPr>
        <w:widowControl w:val="0"/>
        <w:rPr>
          <w:lang w:bidi="en-US"/>
        </w:rPr>
      </w:pPr>
      <w:r>
        <w:rPr>
          <w:rFonts w:ascii="Century Gothic" w:hAnsi="Century Gothic"/>
          <w:b/>
          <w:bCs/>
          <w:sz w:val="24"/>
          <w:lang w:bidi="en-US"/>
        </w:rPr>
        <w:t>Direct Energy Savings (Direct Program Energy Savings)</w:t>
      </w:r>
      <w:r w:rsidR="00FF409E" w:rsidRPr="006F1BB6">
        <w:rPr>
          <w:rFonts w:ascii="Century Gothic" w:hAnsi="Century Gothic"/>
          <w:sz w:val="24"/>
          <w:lang w:bidi="en-US"/>
        </w:rPr>
        <w:t>:</w:t>
      </w:r>
      <w:r w:rsidR="00FF409E" w:rsidRPr="00FF409E">
        <w:rPr>
          <w:lang w:bidi="en-US"/>
        </w:rPr>
        <w:t xml:space="preserve"> </w:t>
      </w:r>
      <w:r w:rsidR="00E710A9" w:rsidRPr="00E710A9">
        <w:rPr>
          <w:lang w:bidi="en-US"/>
        </w:rPr>
        <w:t>The savings from programs responsible for achieving specific energy efficiency EE goals. Typically, these are resource acquisition programs or programs that install or expedite the installation of energy -efficient equipment and that directly cause or help cause energy efficiency EE to be achieved. Rebate, incentive, and direct-install programs provide direct energy savings</w:t>
      </w:r>
      <w:r w:rsidR="00E710A9">
        <w:rPr>
          <w:lang w:bidi="en-US"/>
        </w:rPr>
        <w:t>.</w:t>
      </w:r>
    </w:p>
    <w:p w:rsidR="00FF409E" w:rsidRPr="00FF409E" w:rsidRDefault="00FF409E" w:rsidP="00000FEE">
      <w:pPr>
        <w:widowControl w:val="0"/>
        <w:rPr>
          <w:lang w:bidi="en-US"/>
        </w:rPr>
      </w:pPr>
    </w:p>
    <w:p w:rsidR="00FF409E" w:rsidRDefault="00636D6D" w:rsidP="00000FEE">
      <w:pPr>
        <w:widowControl w:val="0"/>
        <w:rPr>
          <w:lang w:bidi="en-US"/>
        </w:rPr>
      </w:pPr>
      <w:r>
        <w:rPr>
          <w:rFonts w:ascii="Century Gothic" w:hAnsi="Century Gothic"/>
          <w:b/>
          <w:bCs/>
          <w:sz w:val="24"/>
          <w:lang w:bidi="en-US"/>
        </w:rPr>
        <w:t>Direct</w:t>
      </w:r>
      <w:r w:rsidR="00973929">
        <w:rPr>
          <w:rFonts w:ascii="Century Gothic" w:hAnsi="Century Gothic"/>
          <w:b/>
          <w:bCs/>
          <w:sz w:val="24"/>
          <w:lang w:bidi="en-US"/>
        </w:rPr>
        <w:t>-</w:t>
      </w:r>
      <w:r>
        <w:rPr>
          <w:rFonts w:ascii="Century Gothic" w:hAnsi="Century Gothic"/>
          <w:b/>
          <w:bCs/>
          <w:sz w:val="24"/>
          <w:lang w:bidi="en-US"/>
        </w:rPr>
        <w:t>Install or Direct</w:t>
      </w:r>
      <w:r w:rsidR="00973929">
        <w:rPr>
          <w:rFonts w:ascii="Century Gothic" w:hAnsi="Century Gothic"/>
          <w:b/>
          <w:bCs/>
          <w:sz w:val="24"/>
          <w:lang w:bidi="en-US"/>
        </w:rPr>
        <w:t>-</w:t>
      </w:r>
      <w:r>
        <w:rPr>
          <w:rFonts w:ascii="Century Gothic" w:hAnsi="Century Gothic"/>
          <w:b/>
          <w:bCs/>
          <w:sz w:val="24"/>
          <w:lang w:bidi="en-US"/>
        </w:rPr>
        <w:t>Installation Programs</w:t>
      </w:r>
      <w:r w:rsidR="00FF409E" w:rsidRPr="00FF409E">
        <w:rPr>
          <w:lang w:bidi="en-US"/>
        </w:rPr>
        <w:t xml:space="preserve">: </w:t>
      </w:r>
      <w:r w:rsidR="00E710A9" w:rsidRPr="00E710A9">
        <w:rPr>
          <w:lang w:bidi="en-US"/>
        </w:rPr>
        <w:t>Programs that provide free energy efficiency EE measures and their installation for qualified customers. Typical measures distributed by these programs include low-flow showerheads and compact fluorescent bulbs</w:t>
      </w:r>
      <w:r w:rsidR="00E710A9">
        <w:rPr>
          <w:lang w:bidi="en-US"/>
        </w:rPr>
        <w:t xml:space="preserve"> </w:t>
      </w:r>
      <w:r w:rsidR="00E710A9" w:rsidRPr="00E710A9">
        <w:rPr>
          <w:lang w:bidi="en-US"/>
        </w:rPr>
        <w:t>CFLs</w:t>
      </w:r>
      <w:r w:rsidR="00FF409E" w:rsidRPr="00FF409E">
        <w:rPr>
          <w:lang w:bidi="en-US"/>
        </w:rPr>
        <w:t>.</w:t>
      </w:r>
    </w:p>
    <w:p w:rsidR="00FF409E" w:rsidRPr="00FF409E" w:rsidRDefault="00FF409E" w:rsidP="00000FEE">
      <w:pPr>
        <w:widowControl w:val="0"/>
        <w:rPr>
          <w:lang w:bidi="en-US"/>
        </w:rPr>
      </w:pPr>
    </w:p>
    <w:p w:rsidR="00FF409E" w:rsidRDefault="00636D6D" w:rsidP="00000FEE">
      <w:pPr>
        <w:widowControl w:val="0"/>
        <w:rPr>
          <w:lang w:bidi="en-US"/>
        </w:rPr>
      </w:pPr>
      <w:r>
        <w:rPr>
          <w:rFonts w:ascii="Century Gothic" w:hAnsi="Century Gothic"/>
          <w:b/>
          <w:bCs/>
          <w:sz w:val="24"/>
          <w:lang w:bidi="en-US"/>
        </w:rPr>
        <w:t>Distributed Generation</w:t>
      </w:r>
      <w:r w:rsidR="00FF409E" w:rsidRPr="00FF409E">
        <w:rPr>
          <w:lang w:bidi="en-US"/>
        </w:rPr>
        <w:t xml:space="preserve">: </w:t>
      </w:r>
      <w:r w:rsidR="00973929">
        <w:rPr>
          <w:lang w:bidi="en-US"/>
        </w:rPr>
        <w:t>I</w:t>
      </w:r>
      <w:r w:rsidR="00FF409E" w:rsidRPr="00FF409E">
        <w:rPr>
          <w:lang w:bidi="en-US"/>
        </w:rPr>
        <w:t>nvolves small amounts of generation located on a utility’s distribution system for the purpose of meeting local (substation</w:t>
      </w:r>
      <w:r w:rsidR="00E710A9">
        <w:rPr>
          <w:lang w:bidi="en-US"/>
        </w:rPr>
        <w:t>-</w:t>
      </w:r>
      <w:r w:rsidR="00FF409E" w:rsidRPr="00FF409E">
        <w:rPr>
          <w:lang w:bidi="en-US"/>
        </w:rPr>
        <w:t>level) peak loads or displacing the need to build additional (or upgrade) local distribution lines.</w:t>
      </w:r>
    </w:p>
    <w:p w:rsidR="00FF409E" w:rsidRDefault="00FF409E" w:rsidP="00000FEE">
      <w:pPr>
        <w:widowControl w:val="0"/>
        <w:rPr>
          <w:lang w:bidi="en-US"/>
        </w:rPr>
      </w:pPr>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w:t>
      </w:r>
      <w:r>
        <w:rPr>
          <w:rFonts w:ascii="Century Gothic" w:hAnsi="Century Gothic"/>
          <w:b/>
          <w:bCs/>
          <w:color w:val="448A99"/>
          <w:sz w:val="28"/>
          <w:lang w:bidi="en-US"/>
        </w:rPr>
        <w:t>E</w:t>
      </w:r>
      <w:r w:rsidRPr="005361D4">
        <w:rPr>
          <w:rFonts w:ascii="Century Gothic" w:hAnsi="Century Gothic"/>
          <w:b/>
          <w:bCs/>
          <w:color w:val="448A99"/>
          <w:sz w:val="28"/>
          <w:lang w:bidi="en-US"/>
        </w:rPr>
        <w:t>-</w:t>
      </w:r>
    </w:p>
    <w:p w:rsidR="00E710A9" w:rsidRPr="00E710A9" w:rsidRDefault="00E710A9" w:rsidP="00E710A9">
      <w:pPr>
        <w:widowControl w:val="0"/>
        <w:rPr>
          <w:lang w:bidi="en-US"/>
        </w:rPr>
      </w:pPr>
      <w:r w:rsidRPr="00E710A9">
        <w:rPr>
          <w:rFonts w:ascii="Century Gothic" w:hAnsi="Century Gothic"/>
          <w:b/>
          <w:bCs/>
          <w:sz w:val="24"/>
          <w:lang w:bidi="en-US"/>
        </w:rPr>
        <w:t>EDC Proposed Savings</w:t>
      </w:r>
      <w:r w:rsidRPr="00E710A9">
        <w:rPr>
          <w:rFonts w:ascii="Century Gothic" w:hAnsi="Century Gothic"/>
          <w:sz w:val="24"/>
          <w:lang w:bidi="en-US"/>
        </w:rPr>
        <w:t>:</w:t>
      </w:r>
      <w:r w:rsidRPr="00E710A9">
        <w:rPr>
          <w:sz w:val="24"/>
          <w:lang w:bidi="en-US"/>
        </w:rPr>
        <w:t xml:space="preserve"> </w:t>
      </w:r>
      <w:r w:rsidRPr="00E710A9">
        <w:rPr>
          <w:lang w:bidi="en-US"/>
        </w:rPr>
        <w:t>Energy savings and demand reductions proposed by EDCs and developed using alternative values or savings protocols to those in the TRM. EDC proposed savings can include savings based on research conducted by EDCs or their evaluation contractors or from other data sources.</w:t>
      </w:r>
    </w:p>
    <w:p w:rsidR="00E710A9" w:rsidRPr="00E710A9" w:rsidRDefault="00E710A9" w:rsidP="00E710A9">
      <w:pPr>
        <w:widowControl w:val="0"/>
        <w:rPr>
          <w:lang w:bidi="en-US"/>
        </w:rPr>
      </w:pPr>
      <w:r w:rsidRPr="00E710A9">
        <w:rPr>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Efficiency</w:t>
      </w:r>
      <w:r w:rsidRPr="00E710A9">
        <w:rPr>
          <w:rFonts w:ascii="Century Gothic" w:hAnsi="Century Gothic"/>
          <w:sz w:val="24"/>
          <w:lang w:bidi="en-US"/>
        </w:rPr>
        <w:t>:</w:t>
      </w:r>
      <w:r w:rsidRPr="00E710A9">
        <w:rPr>
          <w:sz w:val="24"/>
          <w:lang w:bidi="en-US"/>
        </w:rPr>
        <w:t xml:space="preserve"> </w:t>
      </w:r>
      <w:r w:rsidRPr="00E710A9">
        <w:rPr>
          <w:lang w:bidi="en-US"/>
        </w:rPr>
        <w:t>The ratio of the useful energy delivered by a dynamic system (e.g., a machine, engine, or motor) to the energy supplied to it over the same period or cycle of operation. The ratio is usually determined under specific test conditions.</w:t>
      </w:r>
    </w:p>
    <w:p w:rsidR="00E710A9" w:rsidRPr="00E710A9" w:rsidRDefault="00E710A9" w:rsidP="00E710A9">
      <w:pPr>
        <w:widowControl w:val="0"/>
        <w:rPr>
          <w:lang w:bidi="en-US"/>
        </w:rPr>
      </w:pPr>
    </w:p>
    <w:p w:rsidR="00E710A9" w:rsidRPr="00E710A9" w:rsidRDefault="00E710A9" w:rsidP="00E710A9">
      <w:pPr>
        <w:widowControl w:val="0"/>
        <w:rPr>
          <w:rFonts w:ascii="Century Gothic" w:hAnsi="Century Gothic"/>
          <w:b/>
          <w:sz w:val="24"/>
          <w:lang w:bidi="en-US"/>
        </w:rPr>
      </w:pPr>
      <w:r w:rsidRPr="00E710A9">
        <w:rPr>
          <w:rFonts w:ascii="Century Gothic" w:hAnsi="Century Gothic"/>
          <w:b/>
          <w:sz w:val="24"/>
          <w:lang w:bidi="en-US"/>
        </w:rPr>
        <w:t xml:space="preserve">Electric Distribution Company: </w:t>
      </w:r>
      <w:r w:rsidRPr="00E710A9">
        <w:rPr>
          <w:rFonts w:asciiTheme="minorHAnsi" w:hAnsiTheme="minorHAnsi"/>
          <w:lang w:bidi="en-US"/>
        </w:rPr>
        <w:t>A publically owned electric service provider.</w:t>
      </w:r>
    </w:p>
    <w:p w:rsidR="00E710A9" w:rsidRPr="00E710A9" w:rsidRDefault="00E710A9" w:rsidP="00E710A9">
      <w:pPr>
        <w:widowControl w:val="0"/>
        <w:rPr>
          <w:rFonts w:ascii="Century Gothic" w:hAnsi="Century Gothic"/>
          <w:b/>
          <w:sz w:val="24"/>
          <w:lang w:bidi="en-US"/>
        </w:rPr>
      </w:pPr>
    </w:p>
    <w:p w:rsidR="00E710A9" w:rsidRPr="00E710A9" w:rsidRDefault="00E710A9" w:rsidP="00E710A9">
      <w:pPr>
        <w:widowControl w:val="0"/>
        <w:rPr>
          <w:lang w:bidi="en-US"/>
        </w:rPr>
      </w:pPr>
      <w:r w:rsidRPr="00E710A9">
        <w:rPr>
          <w:rFonts w:ascii="Century Gothic" w:hAnsi="Century Gothic"/>
          <w:b/>
          <w:bCs/>
          <w:sz w:val="24"/>
          <w:lang w:bidi="en-US"/>
        </w:rPr>
        <w:t>End Use (Measures or Groups)</w:t>
      </w:r>
      <w:r w:rsidRPr="00E710A9">
        <w:rPr>
          <w:rFonts w:ascii="Century Gothic" w:hAnsi="Century Gothic"/>
          <w:sz w:val="24"/>
          <w:lang w:bidi="en-US"/>
        </w:rPr>
        <w:t>:</w:t>
      </w:r>
      <w:r w:rsidRPr="00E710A9">
        <w:rPr>
          <w:sz w:val="24"/>
          <w:lang w:bidi="en-US"/>
        </w:rPr>
        <w:t xml:space="preserve"> </w:t>
      </w:r>
      <w:r w:rsidRPr="00E710A9">
        <w:rPr>
          <w:lang w:bidi="en-US"/>
        </w:rPr>
        <w:t>Refers to a broad or sometimes narrow category on which a program is concentrating efforts. Examples include refrigeration, food service, HVAC, appliances, building envelope, and lighting.</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Consumption</w:t>
      </w:r>
      <w:r w:rsidRPr="00E710A9">
        <w:rPr>
          <w:rFonts w:ascii="Century Gothic" w:hAnsi="Century Gothic"/>
          <w:sz w:val="24"/>
          <w:lang w:bidi="en-US"/>
        </w:rPr>
        <w:t>:</w:t>
      </w:r>
      <w:r w:rsidRPr="00E710A9">
        <w:rPr>
          <w:sz w:val="24"/>
          <w:lang w:bidi="en-US"/>
        </w:rPr>
        <w:t xml:space="preserve"> </w:t>
      </w:r>
      <w:r w:rsidRPr="00E710A9">
        <w:rPr>
          <w:lang w:bidi="en-US"/>
        </w:rPr>
        <w:t>The amount of energy consumed in the form in which it is acquired by the user. The term excludes electrical generation and distribution losses.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Cost</w:t>
      </w:r>
      <w:r w:rsidRPr="00E710A9">
        <w:rPr>
          <w:rFonts w:ascii="Century Gothic" w:hAnsi="Century Gothic"/>
          <w:sz w:val="24"/>
          <w:lang w:bidi="en-US"/>
        </w:rPr>
        <w:t>:</w:t>
      </w:r>
      <w:r w:rsidRPr="00E710A9">
        <w:rPr>
          <w:sz w:val="24"/>
          <w:lang w:bidi="en-US"/>
        </w:rPr>
        <w:t xml:space="preserve"> </w:t>
      </w:r>
      <w:r w:rsidRPr="00E710A9">
        <w:rPr>
          <w:lang w:bidi="en-US"/>
        </w:rPr>
        <w:t>The total cost for energy, including such charges as base charges, demand charges, customer charges, power factor charges, and miscellaneous charges.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w:t>
      </w:r>
      <w:r w:rsidRPr="00E710A9">
        <w:rPr>
          <w:rFonts w:ascii="Century Gothic" w:hAnsi="Century Gothic"/>
          <w:sz w:val="24"/>
          <w:lang w:bidi="en-US"/>
        </w:rPr>
        <w:t>:</w:t>
      </w:r>
      <w:r w:rsidRPr="00E710A9">
        <w:rPr>
          <w:sz w:val="24"/>
          <w:lang w:bidi="en-US"/>
        </w:rPr>
        <w:t xml:space="preserve"> </w:t>
      </w:r>
      <w:r w:rsidRPr="00E710A9">
        <w:rPr>
          <w:lang w:bidi="en-US"/>
        </w:rPr>
        <w:t>The use of less energy to perform the same function. Describes programs designed to use energy more efficiently—doing the same with less. For the purposes of this report, energy efficiency programs are distinguished from DSM programs, which are utility-sponsored and -financed, whereas the term “energy efficiency” is not limited to a particular sponsor or funding source. The term “energy conservation” has also been used, but it has the connotation of doing without in order to save energy rather than using less energy to perform the same function, and so is not used as much today. Many people use the two terms interchangeably.</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Improvement</w:t>
      </w:r>
      <w:r w:rsidRPr="00E710A9">
        <w:rPr>
          <w:rFonts w:ascii="Century Gothic" w:hAnsi="Century Gothic"/>
          <w:sz w:val="24"/>
          <w:lang w:bidi="en-US"/>
        </w:rPr>
        <w:t>:</w:t>
      </w:r>
      <w:r w:rsidRPr="00E710A9">
        <w:rPr>
          <w:lang w:bidi="en-US"/>
        </w:rPr>
        <w:t xml:space="preserve"> Reduced energy use for a comparable level of service, resulting from installation of an energy efficiency measure or adoption of an energy efficiency practice. Level of service may be expressed as the volume of a refrigerator, temperature levels, production output of a manufacturing facility, or lighting level per square foot.</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Measure</w:t>
      </w:r>
      <w:r w:rsidRPr="00E710A9">
        <w:rPr>
          <w:lang w:bidi="en-US"/>
        </w:rPr>
        <w:t>: Equipment, subsystems, or systems, or modification of equipment, subsystems, systems, or operations, on the customer side of the meter, for the purpose of reducing energy or demand (and hence energy or demand costs) at a comparable level of service.</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of Equipment</w:t>
      </w:r>
      <w:r w:rsidRPr="00E710A9">
        <w:rPr>
          <w:rFonts w:ascii="Century Gothic" w:hAnsi="Century Gothic"/>
          <w:sz w:val="24"/>
          <w:lang w:bidi="en-US"/>
        </w:rPr>
        <w:t>:</w:t>
      </w:r>
      <w:r w:rsidRPr="00E710A9">
        <w:rPr>
          <w:sz w:val="24"/>
          <w:lang w:bidi="en-US"/>
        </w:rPr>
        <w:t xml:space="preserve"> </w:t>
      </w:r>
      <w:r w:rsidRPr="00E710A9">
        <w:rPr>
          <w:lang w:bidi="en-US"/>
        </w:rPr>
        <w:t>The percentage of gross energy input that is realized as useful energy output of a piece of equipment.</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of a Measure</w:t>
      </w:r>
      <w:r w:rsidRPr="00E710A9">
        <w:rPr>
          <w:lang w:bidi="en-US"/>
        </w:rPr>
        <w:t>: A measure of the energy used to provide a specific service or to accomplish a specific amount of work (e.g., kWh/cubic foot of a refrigerator, therms/gallon of hot water).</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Practice</w:t>
      </w:r>
      <w:r w:rsidRPr="00E710A9">
        <w:rPr>
          <w:rFonts w:ascii="Century Gothic" w:hAnsi="Century Gothic"/>
          <w:sz w:val="24"/>
          <w:lang w:bidi="en-US"/>
        </w:rPr>
        <w:t>:</w:t>
      </w:r>
      <w:r w:rsidRPr="00E710A9">
        <w:rPr>
          <w:sz w:val="24"/>
          <w:lang w:bidi="en-US"/>
        </w:rPr>
        <w:t xml:space="preserve"> </w:t>
      </w:r>
      <w:r w:rsidRPr="00E710A9">
        <w:rPr>
          <w:lang w:bidi="en-US"/>
        </w:rPr>
        <w:t>The use of high-efficiency products, services, and practices, or an energy-using appliance or piece of equipment, to reduce energy use while maintaining a comparable level of service when installed or applied on the customer side of the meter. Energy efficiency activities typically require permanent replacement of energy-using equipment with more efficient models. Examples include refrigerator replacement, light fixture replacement, and cooling equipment upgrades.</w:t>
      </w:r>
    </w:p>
    <w:p w:rsidR="00E710A9" w:rsidRPr="00E710A9" w:rsidRDefault="00E710A9" w:rsidP="00E710A9">
      <w:pPr>
        <w:widowControl w:val="0"/>
        <w:rPr>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Energy Efficiency Ratio (EER)</w:t>
      </w:r>
      <w:r w:rsidRPr="00E710A9">
        <w:rPr>
          <w:rFonts w:ascii="Century Gothic" w:hAnsi="Century Gothic"/>
          <w:bCs/>
          <w:sz w:val="24"/>
          <w:lang w:bidi="en-US"/>
        </w:rPr>
        <w:t>:</w:t>
      </w:r>
      <w:r w:rsidRPr="00E710A9">
        <w:rPr>
          <w:bCs/>
          <w:sz w:val="24"/>
          <w:lang w:bidi="en-US"/>
        </w:rPr>
        <w:t xml:space="preserve"> </w:t>
      </w:r>
      <w:r w:rsidRPr="00E710A9">
        <w:rPr>
          <w:bCs/>
          <w:lang w:bidi="en-US"/>
        </w:rPr>
        <w:t>The ratio of output cooling in BTUs per hour to input electrical power in watts at a given operating point. EER is generally calculated using a 95°F outside temperature and an inside temperature of 80°F at 50% relative humidity. The higher a unit’s EER rating, the more energy efficient it is.</w:t>
      </w:r>
    </w:p>
    <w:p w:rsidR="00E710A9" w:rsidRPr="00E710A9" w:rsidRDefault="00E710A9" w:rsidP="00E710A9">
      <w:pPr>
        <w:widowControl w:val="0"/>
        <w:rPr>
          <w:bCs/>
          <w:lang w:bidi="en-US"/>
        </w:rPr>
      </w:pPr>
      <w:r w:rsidRPr="00E710A9">
        <w:rPr>
          <w:bCs/>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Energy Management System</w:t>
      </w:r>
      <w:r w:rsidRPr="00E710A9">
        <w:rPr>
          <w:rFonts w:ascii="Century Gothic" w:hAnsi="Century Gothic"/>
          <w:sz w:val="24"/>
          <w:lang w:bidi="en-US"/>
        </w:rPr>
        <w:t>:</w:t>
      </w:r>
      <w:r w:rsidRPr="00E710A9">
        <w:rPr>
          <w:sz w:val="24"/>
          <w:lang w:bidi="en-US"/>
        </w:rPr>
        <w:t xml:space="preserve"> </w:t>
      </w:r>
      <w:r w:rsidRPr="00E710A9">
        <w:rPr>
          <w:lang w:bidi="en-US"/>
        </w:rPr>
        <w:t>A control system (often computerized) designed to regulate the energy consumption of a building by controlling the operation of energy-consuming systems (e.g., HVAC, lighting, and water-heating systems).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Savings or Energy Reduction</w:t>
      </w:r>
      <w:r w:rsidRPr="00E710A9">
        <w:rPr>
          <w:rFonts w:ascii="Century Gothic" w:hAnsi="Century Gothic"/>
          <w:sz w:val="24"/>
          <w:lang w:bidi="en-US"/>
        </w:rPr>
        <w:t>:</w:t>
      </w:r>
      <w:r w:rsidRPr="00E710A9">
        <w:rPr>
          <w:lang w:bidi="en-US"/>
        </w:rPr>
        <w:t xml:space="preserve"> The reduction in energy use from the pre-retrofit baseline to the post-retrofit energy use, once independent variables (e.g., weather, occupancy) have been adjusted for.</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Engineering Models</w:t>
      </w:r>
      <w:r w:rsidRPr="00E710A9">
        <w:rPr>
          <w:rFonts w:ascii="Century Gothic" w:hAnsi="Century Gothic"/>
          <w:sz w:val="24"/>
          <w:lang w:bidi="en-US"/>
        </w:rPr>
        <w:t>:</w:t>
      </w:r>
      <w:r w:rsidRPr="00E710A9">
        <w:rPr>
          <w:sz w:val="24"/>
          <w:lang w:bidi="en-US"/>
        </w:rPr>
        <w:t xml:space="preserve"> </w:t>
      </w:r>
      <w:r w:rsidRPr="00E710A9">
        <w:rPr>
          <w:lang w:bidi="en-US"/>
        </w:rPr>
        <w:t>Engineering equations used to calculate energy usage and savings. These models are usually based on a quantitative description of physical processes that transform delivered energy into useful work such as heat, lighting, or motor drive. In practice, these models may be reduced to simple equations in spreadsheets that calculate energy usage or savings as a function of measurable attributes of customers, facilities, or equipment (e.g., lighting use = watts × hours of use).</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Evaluation</w:t>
      </w:r>
      <w:r w:rsidRPr="00E710A9">
        <w:rPr>
          <w:rFonts w:ascii="Century Gothic" w:hAnsi="Century Gothic"/>
          <w:sz w:val="24"/>
          <w:lang w:bidi="en-US"/>
        </w:rPr>
        <w:t>:</w:t>
      </w:r>
      <w:r w:rsidRPr="00E710A9">
        <w:rPr>
          <w:lang w:bidi="en-US"/>
        </w:rPr>
        <w:t xml:space="preserve"> The performance of studies and activities aimed at determining the effects of a program; any of a wide range of assessment activities associated with understanding or documenting program performance or potential performance, or with assessing program or program-related markets and market operations; any of a wide range of evaluative efforts, including assessing program-induced changes in energy efficiency markets, levels of demand or energy savings, and program cost-effectiveness.</w:t>
      </w:r>
    </w:p>
    <w:p w:rsidR="00E710A9" w:rsidRPr="00E710A9" w:rsidRDefault="00E710A9" w:rsidP="00E710A9">
      <w:pPr>
        <w:widowControl w:val="0"/>
        <w:rPr>
          <w:rFonts w:ascii="Century Gothic" w:hAnsi="Century Gothic"/>
          <w:b/>
          <w:bCs/>
          <w:sz w:val="24"/>
          <w:lang w:bidi="en-US"/>
        </w:rPr>
      </w:pPr>
    </w:p>
    <w:p w:rsidR="00E710A9" w:rsidRPr="00E710A9" w:rsidRDefault="00E710A9" w:rsidP="00E710A9">
      <w:pPr>
        <w:widowControl w:val="0"/>
        <w:rPr>
          <w:lang w:bidi="en-US"/>
        </w:rPr>
      </w:pPr>
      <w:r w:rsidRPr="00E710A9">
        <w:rPr>
          <w:rFonts w:ascii="Century Gothic" w:hAnsi="Century Gothic"/>
          <w:b/>
          <w:sz w:val="24"/>
          <w:lang w:bidi="en-US"/>
        </w:rPr>
        <w:t>Evaluation, Measurement, and Verification</w:t>
      </w:r>
      <w:r w:rsidRPr="00E710A9">
        <w:rPr>
          <w:rFonts w:ascii="Century Gothic" w:hAnsi="Century Gothic"/>
          <w:sz w:val="24"/>
          <w:lang w:bidi="en-US"/>
        </w:rPr>
        <w:t xml:space="preserve"> </w:t>
      </w:r>
      <w:r w:rsidRPr="00E710A9">
        <w:rPr>
          <w:rFonts w:ascii="Century Gothic" w:hAnsi="Century Gothic"/>
          <w:b/>
          <w:sz w:val="24"/>
          <w:lang w:bidi="en-US"/>
        </w:rPr>
        <w:t>(</w:t>
      </w:r>
      <w:r w:rsidRPr="00E710A9">
        <w:rPr>
          <w:rFonts w:ascii="Century Gothic" w:hAnsi="Century Gothic"/>
          <w:b/>
          <w:bCs/>
          <w:sz w:val="24"/>
          <w:lang w:bidi="en-US"/>
        </w:rPr>
        <w:t>EM&amp;V</w:t>
      </w:r>
      <w:r w:rsidRPr="00E710A9">
        <w:rPr>
          <w:rFonts w:ascii="Century Gothic" w:hAnsi="Century Gothic"/>
          <w:b/>
          <w:sz w:val="24"/>
          <w:lang w:bidi="en-US"/>
        </w:rPr>
        <w:t>)</w:t>
      </w:r>
      <w:r w:rsidRPr="00E710A9">
        <w:rPr>
          <w:rFonts w:ascii="Century Gothic" w:hAnsi="Century Gothic"/>
          <w:sz w:val="24"/>
          <w:lang w:bidi="en-US"/>
        </w:rPr>
        <w:t>:</w:t>
      </w:r>
      <w:r w:rsidRPr="00E710A9">
        <w:rPr>
          <w:sz w:val="24"/>
          <w:lang w:bidi="en-US"/>
        </w:rPr>
        <w:t xml:space="preserve"> </w:t>
      </w:r>
      <w:r w:rsidRPr="00E710A9">
        <w:rPr>
          <w:lang w:bidi="en-US"/>
        </w:rPr>
        <w:t xml:space="preserve">Evaluation involves retrospectively assessing the performance and implementation of an energy efficiency or demand response program. M&amp;V refers to data collection, monitoring, and analysis used to calculate gross energy and demand savings from </w:t>
      </w:r>
      <w:r w:rsidRPr="00E710A9">
        <w:rPr>
          <w:i/>
          <w:iCs/>
          <w:lang w:bidi="en-US"/>
        </w:rPr>
        <w:t>individual sites or projects</w:t>
      </w:r>
      <w:r w:rsidRPr="00E710A9">
        <w:rPr>
          <w:lang w:bidi="en-US"/>
        </w:rPr>
        <w:t>. M&amp;V can be a subset of program impact evaluation. Generally speaking, the differentiation between evaluation and project M&amp;V is that evaluation is associated with programs and M&amp;V with projects.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Ex Ante Savings Estimate</w:t>
      </w:r>
      <w:r w:rsidRPr="00E710A9">
        <w:rPr>
          <w:rFonts w:ascii="Century Gothic" w:hAnsi="Century Gothic"/>
          <w:sz w:val="24"/>
          <w:lang w:bidi="en-US"/>
        </w:rPr>
        <w:t>:</w:t>
      </w:r>
      <w:r w:rsidRPr="00E710A9">
        <w:rPr>
          <w:sz w:val="24"/>
          <w:lang w:bidi="en-US"/>
        </w:rPr>
        <w:t xml:space="preserve"> </w:t>
      </w:r>
      <w:r w:rsidRPr="00E710A9">
        <w:rPr>
          <w:lang w:bidi="en-US"/>
        </w:rPr>
        <w:t>Also known as reported savings. Savings estimated by the program implementer (EDC or CSP). (From the Latin for “beforehand.”)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Ex Post Evaluation Estimated Savings</w:t>
      </w:r>
      <w:r w:rsidRPr="00E710A9">
        <w:rPr>
          <w:rFonts w:ascii="Century Gothic" w:hAnsi="Century Gothic"/>
          <w:sz w:val="24"/>
          <w:lang w:bidi="en-US"/>
        </w:rPr>
        <w:t>:</w:t>
      </w:r>
      <w:r w:rsidRPr="00E710A9">
        <w:rPr>
          <w:sz w:val="24"/>
          <w:lang w:bidi="en-US"/>
        </w:rPr>
        <w:t xml:space="preserve"> </w:t>
      </w:r>
      <w:r w:rsidRPr="00E710A9">
        <w:rPr>
          <w:lang w:bidi="en-US"/>
        </w:rPr>
        <w:t>Also known as verified savings. Savings estimates reported by an independent evaluator after the energy impact evaluation and the associated M&amp;V efforts have been completed. If only the term “ex post savings” is used, it is assumed that it refers to the ex post evaluation estimate, the most common usage. (From the Latin for “from something done afterward.”)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Ex Post (Program) Administrator-Estimated Savings</w:t>
      </w:r>
      <w:r w:rsidRPr="00E710A9">
        <w:rPr>
          <w:rFonts w:ascii="Century Gothic" w:hAnsi="Century Gothic"/>
          <w:sz w:val="24"/>
          <w:lang w:bidi="en-US"/>
        </w:rPr>
        <w:t>:</w:t>
      </w:r>
      <w:r w:rsidRPr="00E710A9">
        <w:rPr>
          <w:sz w:val="24"/>
          <w:lang w:bidi="en-US"/>
        </w:rPr>
        <w:t xml:space="preserve"> </w:t>
      </w:r>
      <w:r w:rsidRPr="00E710A9">
        <w:rPr>
          <w:lang w:bidi="en-US"/>
        </w:rPr>
        <w:t>Savings estimates reported by the administrator after program implementation has begun (administrator-reported ex post). (From the Latin for “from something done afterward.”)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Ex-Post (Program) Administrator-Forecasted Savings</w:t>
      </w:r>
      <w:r w:rsidRPr="00E710A9">
        <w:rPr>
          <w:rFonts w:ascii="Century Gothic" w:hAnsi="Century Gothic"/>
          <w:sz w:val="24"/>
          <w:lang w:bidi="en-US"/>
        </w:rPr>
        <w:t>:</w:t>
      </w:r>
      <w:r w:rsidRPr="00E710A9">
        <w:rPr>
          <w:sz w:val="24"/>
          <w:lang w:bidi="en-US"/>
        </w:rPr>
        <w:t xml:space="preserve"> </w:t>
      </w:r>
      <w:r w:rsidRPr="00E710A9">
        <w:rPr>
          <w:lang w:bidi="en-US"/>
        </w:rPr>
        <w:t>Savings estimates forecasted by the administrator during the program and portfolio planning process. (From the Latin for “from something done afterward.”)</w:t>
      </w:r>
    </w:p>
    <w:p w:rsidR="00E710A9" w:rsidRPr="00E710A9" w:rsidRDefault="00E710A9" w:rsidP="00E710A9">
      <w:pPr>
        <w:widowControl w:val="0"/>
        <w:rPr>
          <w:lang w:bidi="en-US"/>
        </w:rPr>
      </w:pPr>
    </w:p>
    <w:p w:rsidR="00E710A9" w:rsidRPr="00E710A9" w:rsidRDefault="00E710A9" w:rsidP="00E710A9">
      <w:pPr>
        <w:widowControl w:val="0"/>
      </w:pPr>
      <w:r w:rsidRPr="00E710A9">
        <w:rPr>
          <w:rFonts w:ascii="Century Gothic" w:hAnsi="Century Gothic"/>
          <w:b/>
          <w:sz w:val="24"/>
        </w:rPr>
        <w:t xml:space="preserve">Expected Useful Life: </w:t>
      </w:r>
      <w:r w:rsidRPr="00E710A9">
        <w:t xml:space="preserve">The assumed life expectancy, in years, of an </w:t>
      </w:r>
      <w:r w:rsidRPr="00E710A9">
        <w:rPr>
          <w:lang w:bidi="en-US"/>
        </w:rPr>
        <w:t xml:space="preserve">energy efficiency </w:t>
      </w:r>
      <w:r w:rsidRPr="00E710A9">
        <w:t>measure.</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-F-</w:t>
      </w:r>
    </w:p>
    <w:p w:rsidR="00E710A9" w:rsidRPr="00E710A9" w:rsidRDefault="00E710A9" w:rsidP="00E710A9">
      <w:pPr>
        <w:widowControl w:val="0"/>
        <w:rPr>
          <w:lang w:bidi="en-US"/>
        </w:rPr>
      </w:pPr>
      <w:r w:rsidRPr="00E710A9">
        <w:rPr>
          <w:rFonts w:ascii="Century Gothic" w:hAnsi="Century Gothic"/>
          <w:b/>
          <w:bCs/>
          <w:sz w:val="24"/>
          <w:lang w:bidi="en-US"/>
        </w:rPr>
        <w:t>Free-Driver</w:t>
      </w:r>
      <w:r w:rsidRPr="00E710A9">
        <w:rPr>
          <w:rFonts w:ascii="Century Gothic" w:hAnsi="Century Gothic"/>
          <w:sz w:val="24"/>
          <w:lang w:bidi="en-US"/>
        </w:rPr>
        <w:t>:</w:t>
      </w:r>
      <w:r w:rsidRPr="00E710A9">
        <w:rPr>
          <w:sz w:val="24"/>
          <w:lang w:bidi="en-US"/>
        </w:rPr>
        <w:t xml:space="preserve"> </w:t>
      </w:r>
      <w:r w:rsidRPr="00E710A9">
        <w:rPr>
          <w:lang w:bidi="en-US"/>
        </w:rPr>
        <w:t>A nonparticipant who adopts a particular efficiency measure or practice as a result of a utility program. See SPILLOVER for aggregate impacts.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Free-Rider</w:t>
      </w:r>
      <w:r w:rsidRPr="00E710A9">
        <w:rPr>
          <w:rFonts w:ascii="Century Gothic" w:hAnsi="Century Gothic"/>
          <w:sz w:val="24"/>
          <w:lang w:bidi="en-US"/>
        </w:rPr>
        <w:t>:</w:t>
      </w:r>
      <w:r w:rsidRPr="00E710A9">
        <w:rPr>
          <w:lang w:bidi="en-US"/>
        </w:rPr>
        <w:t xml:space="preserve"> A program participant who would have implemented a program measure or practice in the absence of the program within the same time frame.</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-G, H-</w:t>
      </w:r>
    </w:p>
    <w:p w:rsidR="00E710A9" w:rsidRPr="00E710A9" w:rsidRDefault="00E710A9" w:rsidP="00E710A9">
      <w:pPr>
        <w:widowControl w:val="0"/>
        <w:rPr>
          <w:lang w:bidi="en-US"/>
        </w:rPr>
      </w:pPr>
      <w:r w:rsidRPr="00E710A9">
        <w:rPr>
          <w:rFonts w:ascii="Century Gothic" w:hAnsi="Century Gothic"/>
          <w:b/>
          <w:bCs/>
          <w:sz w:val="24"/>
          <w:lang w:bidi="en-US"/>
        </w:rPr>
        <w:t>Gross Reduction or Gross Savings</w:t>
      </w:r>
      <w:r w:rsidRPr="00E710A9">
        <w:rPr>
          <w:rFonts w:ascii="Century Gothic" w:hAnsi="Century Gothic"/>
          <w:sz w:val="24"/>
          <w:lang w:bidi="en-US"/>
        </w:rPr>
        <w:t>:</w:t>
      </w:r>
      <w:r w:rsidRPr="00E710A9">
        <w:rPr>
          <w:sz w:val="24"/>
          <w:lang w:bidi="en-US"/>
        </w:rPr>
        <w:t xml:space="preserve"> </w:t>
      </w:r>
      <w:r w:rsidRPr="00E710A9">
        <w:rPr>
          <w:lang w:bidi="en-US"/>
        </w:rPr>
        <w:t>The change in energy consumption or demand that results directly from program-related actions taken by participants in an efficiency program, regardless of why they participated. Unless otherwise stated in this report, “gross reduction” and “gross savings” are used interchangeably.</w:t>
      </w:r>
    </w:p>
    <w:p w:rsidR="00E710A9" w:rsidRPr="00E710A9" w:rsidRDefault="00E710A9" w:rsidP="00E710A9">
      <w:pPr>
        <w:widowControl w:val="0"/>
        <w:rPr>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Heating Seasonal Performance Factor</w:t>
      </w:r>
      <w:r w:rsidRPr="00E710A9">
        <w:rPr>
          <w:rFonts w:ascii="Century Gothic" w:hAnsi="Century Gothic"/>
          <w:bCs/>
          <w:sz w:val="24"/>
          <w:lang w:bidi="en-US"/>
        </w:rPr>
        <w:t>:</w:t>
      </w:r>
      <w:r w:rsidRPr="00E710A9">
        <w:rPr>
          <w:bCs/>
          <w:sz w:val="24"/>
          <w:lang w:bidi="en-US"/>
        </w:rPr>
        <w:t xml:space="preserve"> </w:t>
      </w:r>
      <w:r w:rsidRPr="00E710A9">
        <w:rPr>
          <w:bCs/>
          <w:lang w:bidi="en-US"/>
        </w:rPr>
        <w:t>Used to describe the heating efficiency of heat pumps. It is a measure of the estimated seasonal heating output in BTUs divided by the amount of energy consumed in watt-hours.</w:t>
      </w:r>
    </w:p>
    <w:p w:rsidR="00E710A9" w:rsidRPr="00E710A9" w:rsidRDefault="00E710A9" w:rsidP="00E710A9">
      <w:pPr>
        <w:widowControl w:val="0"/>
        <w:rPr>
          <w:bCs/>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-I, J, K-</w:t>
      </w:r>
    </w:p>
    <w:p w:rsidR="00E710A9" w:rsidRPr="00E710A9" w:rsidRDefault="00E710A9" w:rsidP="00E710A9">
      <w:pPr>
        <w:widowControl w:val="0"/>
        <w:rPr>
          <w:lang w:bidi="en-US"/>
        </w:rPr>
      </w:pPr>
      <w:r w:rsidRPr="00E710A9">
        <w:rPr>
          <w:rFonts w:ascii="Century Gothic" w:hAnsi="Century Gothic"/>
          <w:b/>
          <w:bCs/>
          <w:sz w:val="24"/>
          <w:lang w:bidi="en-US"/>
        </w:rPr>
        <w:t>Impact Evaluation</w:t>
      </w:r>
      <w:r w:rsidRPr="00E710A9">
        <w:rPr>
          <w:rFonts w:ascii="Century Gothic" w:hAnsi="Century Gothic"/>
          <w:sz w:val="24"/>
          <w:lang w:bidi="en-US"/>
        </w:rPr>
        <w:t>:</w:t>
      </w:r>
      <w:r w:rsidRPr="00E710A9">
        <w:rPr>
          <w:sz w:val="24"/>
          <w:lang w:bidi="en-US"/>
        </w:rPr>
        <w:t xml:space="preserve"> </w:t>
      </w:r>
      <w:r w:rsidRPr="00E710A9">
        <w:rPr>
          <w:lang w:bidi="en-US"/>
        </w:rPr>
        <w:t>An approach used to measure program-specific induced changes in energy usage or demand (e.g., kWh, kW, or therms) or behavior attributed to energy efficiency and demand response programs.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Impact Year</w:t>
      </w:r>
      <w:r w:rsidRPr="00E710A9">
        <w:rPr>
          <w:rFonts w:ascii="Century Gothic" w:hAnsi="Century Gothic"/>
          <w:sz w:val="24"/>
          <w:lang w:bidi="en-US"/>
        </w:rPr>
        <w:t>:</w:t>
      </w:r>
      <w:r w:rsidRPr="00E710A9">
        <w:rPr>
          <w:sz w:val="24"/>
          <w:lang w:bidi="en-US"/>
        </w:rPr>
        <w:t xml:space="preserve"> </w:t>
      </w:r>
      <w:r w:rsidRPr="00E710A9">
        <w:rPr>
          <w:lang w:bidi="en-US"/>
        </w:rPr>
        <w:t>Depending on the context, either (a) the 12 months subsequent to program participation used to represent program costs or load impacts occurring in that year, or (b) any calendar year after the program year in which impacts may occur.</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Incentives</w:t>
      </w:r>
      <w:r w:rsidRPr="00E710A9">
        <w:rPr>
          <w:rFonts w:ascii="Century Gothic" w:hAnsi="Century Gothic"/>
          <w:sz w:val="24"/>
          <w:lang w:bidi="en-US"/>
        </w:rPr>
        <w:t>:</w:t>
      </w:r>
      <w:r w:rsidRPr="00E710A9">
        <w:rPr>
          <w:lang w:bidi="en-US"/>
        </w:rPr>
        <w:t xml:space="preserve"> Financial support (e.g., rebates, low-interest loans) to install energy efficiency measures. The incentives are solicited by the customer and based on the customer’s billing history or customer-specific information.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Independent Variables</w:t>
      </w:r>
      <w:r w:rsidRPr="00E710A9">
        <w:rPr>
          <w:rFonts w:ascii="Century Gothic" w:hAnsi="Century Gothic"/>
          <w:sz w:val="24"/>
          <w:lang w:bidi="en-US"/>
        </w:rPr>
        <w:t>:</w:t>
      </w:r>
      <w:r w:rsidRPr="00E710A9">
        <w:rPr>
          <w:sz w:val="24"/>
          <w:lang w:bidi="en-US"/>
        </w:rPr>
        <w:t xml:space="preserve"> </w:t>
      </w:r>
      <w:r w:rsidRPr="00E710A9">
        <w:rPr>
          <w:lang w:bidi="en-US"/>
        </w:rPr>
        <w:t>Factors that affect energy use and demand in a building but that cannot be controlled (e.g., weather, occupancy).</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Indirect Energy Savings (Indirect Program Energy Savings)</w:t>
      </w:r>
      <w:r w:rsidRPr="00E710A9">
        <w:rPr>
          <w:rFonts w:ascii="Century Gothic" w:hAnsi="Century Gothic"/>
          <w:sz w:val="24"/>
          <w:lang w:bidi="en-US"/>
        </w:rPr>
        <w:t>:</w:t>
      </w:r>
      <w:r w:rsidRPr="00E710A9">
        <w:rPr>
          <w:sz w:val="24"/>
          <w:lang w:bidi="en-US"/>
        </w:rPr>
        <w:t xml:space="preserve"> </w:t>
      </w:r>
      <w:r w:rsidRPr="00E710A9">
        <w:rPr>
          <w:lang w:bidi="en-US"/>
        </w:rPr>
        <w:t>Typically result from information, education, marketing, or outreach programs that are expected to result in energy savings achieved through the actions of the customers exposed to the program’s efforts, without direct enrollment in a program that has energy savings goals.</w:t>
      </w:r>
    </w:p>
    <w:p w:rsidR="00E710A9" w:rsidRPr="00E710A9" w:rsidRDefault="00E710A9" w:rsidP="00E710A9">
      <w:pPr>
        <w:widowControl w:val="0"/>
        <w:rPr>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IPMVP Option A – Partially Measured Retrofit Isolation:</w:t>
      </w:r>
      <w:r w:rsidRPr="00E710A9">
        <w:rPr>
          <w:bCs/>
          <w:lang w:bidi="en-US"/>
        </w:rPr>
        <w:t xml:space="preserve"> Savings are determined by partial field measurement of the energy use of the system to which the measure was applied; separate from the energy use of the rest of the facility. Measures are likely to be partially deemed, meaning that some, but not all, parameter(s) are stipulated in the TRM.</w:t>
      </w:r>
    </w:p>
    <w:p w:rsidR="00E710A9" w:rsidRPr="00E710A9" w:rsidRDefault="00E710A9" w:rsidP="00E710A9">
      <w:pPr>
        <w:widowControl w:val="0"/>
        <w:rPr>
          <w:bCs/>
          <w:u w:val="single"/>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IPMVP Option B – Retrofit Isolation</w:t>
      </w:r>
      <w:r w:rsidRPr="00E710A9">
        <w:rPr>
          <w:b/>
          <w:bCs/>
          <w:lang w:bidi="en-US"/>
        </w:rPr>
        <w:t>:</w:t>
      </w:r>
      <w:r w:rsidRPr="00E710A9">
        <w:rPr>
          <w:bCs/>
          <w:lang w:bidi="en-US"/>
        </w:rPr>
        <w:t xml:space="preserve"> Savings are determined by field measurement of the energy use of the system to which the measure was applied; separate from the energy use of the rest of the facility. All key parameters are measured and not deemed.</w:t>
      </w:r>
    </w:p>
    <w:p w:rsidR="00E710A9" w:rsidRPr="00E710A9" w:rsidRDefault="00E710A9" w:rsidP="00E710A9">
      <w:pPr>
        <w:widowControl w:val="0"/>
        <w:rPr>
          <w:bCs/>
          <w:u w:val="single"/>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IPMVP Option C – Whole Building</w:t>
      </w:r>
      <w:r w:rsidRPr="00E710A9">
        <w:rPr>
          <w:rFonts w:ascii="Century Gothic" w:hAnsi="Century Gothic"/>
          <w:b/>
          <w:bCs/>
          <w:lang w:bidi="en-US"/>
        </w:rPr>
        <w:t>:</w:t>
      </w:r>
      <w:r w:rsidRPr="00E710A9">
        <w:rPr>
          <w:bCs/>
          <w:lang w:bidi="en-US"/>
        </w:rPr>
        <w:t xml:space="preserve"> Savings are determined by measuring energy use at the facility level. Values obtained either with short-term or continuous on-site measurement can be used in conjunction with billing analysis regression models to calibrate the savings estimated from program participation.</w:t>
      </w:r>
    </w:p>
    <w:p w:rsidR="00E710A9" w:rsidRPr="00E710A9" w:rsidRDefault="00E710A9" w:rsidP="00E710A9">
      <w:pPr>
        <w:widowControl w:val="0"/>
        <w:rPr>
          <w:bCs/>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IPMVP Option D – Calibrated Simulation</w:t>
      </w:r>
      <w:r w:rsidRPr="00E710A9">
        <w:rPr>
          <w:rFonts w:ascii="Century Gothic" w:hAnsi="Century Gothic"/>
          <w:b/>
          <w:bCs/>
          <w:lang w:bidi="en-US"/>
        </w:rPr>
        <w:t>:</w:t>
      </w:r>
      <w:r w:rsidRPr="00E710A9">
        <w:rPr>
          <w:bCs/>
          <w:lang w:bidi="en-US"/>
        </w:rPr>
        <w:t xml:space="preserve"> Savings are determined through simulation of energy use of components or a whole facility. Simulation routines must be demonstrated to adequately model actual energy performance of the facility through calibration with utility billing data or end-use metering.</w:t>
      </w:r>
    </w:p>
    <w:p w:rsidR="00E710A9" w:rsidRPr="00E710A9" w:rsidRDefault="00E710A9" w:rsidP="00E710A9">
      <w:pPr>
        <w:widowControl w:val="0"/>
        <w:rPr>
          <w:bCs/>
          <w:u w:val="single"/>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-L-</w:t>
      </w:r>
    </w:p>
    <w:p w:rsidR="00E710A9" w:rsidRPr="00E710A9" w:rsidRDefault="00E710A9" w:rsidP="00E710A9">
      <w:pPr>
        <w:widowControl w:val="0"/>
        <w:rPr>
          <w:bCs/>
          <w:lang w:bidi="en-US"/>
        </w:rPr>
      </w:pPr>
      <w:r w:rsidRPr="00E710A9">
        <w:rPr>
          <w:rFonts w:ascii="Century Gothic" w:hAnsi="Century Gothic"/>
          <w:b/>
          <w:bCs/>
          <w:sz w:val="24"/>
          <w:lang w:bidi="en-US"/>
        </w:rPr>
        <w:t>Line Loss Factor</w:t>
      </w:r>
      <w:r w:rsidRPr="00E710A9">
        <w:rPr>
          <w:rFonts w:ascii="Century Gothic" w:hAnsi="Century Gothic"/>
          <w:bCs/>
          <w:lang w:bidi="en-US"/>
        </w:rPr>
        <w:t>:</w:t>
      </w:r>
      <w:r w:rsidRPr="00E710A9">
        <w:rPr>
          <w:bCs/>
          <w:lang w:bidi="en-US"/>
        </w:rPr>
        <w:t xml:space="preserve"> Energy loss due to heating of conductors caused by electrical resistance along the transmission and distribution lines of the electric grid.</w:t>
      </w:r>
    </w:p>
    <w:p w:rsidR="00E710A9" w:rsidRPr="00E710A9" w:rsidRDefault="00E710A9" w:rsidP="00E710A9">
      <w:pPr>
        <w:widowControl w:val="0"/>
        <w:rPr>
          <w:bCs/>
          <w:lang w:bidi="en-US"/>
        </w:rPr>
      </w:pPr>
      <w:r w:rsidRPr="00E710A9">
        <w:rPr>
          <w:bCs/>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Load Management</w:t>
      </w:r>
      <w:r w:rsidRPr="00E710A9">
        <w:rPr>
          <w:rFonts w:ascii="Century Gothic" w:hAnsi="Century Gothic"/>
          <w:bCs/>
          <w:lang w:bidi="en-US"/>
        </w:rPr>
        <w:t>:</w:t>
      </w:r>
      <w:r w:rsidRPr="00E710A9">
        <w:rPr>
          <w:bCs/>
          <w:lang w:bidi="en-US"/>
        </w:rPr>
        <w:t xml:space="preserve"> </w:t>
      </w:r>
      <w:r w:rsidRPr="00E710A9">
        <w:rPr>
          <w:lang w:bidi="en-US"/>
        </w:rPr>
        <w:t>Utility demand management practices directed at reducing the maximum kilowatt demand on an electric system and/or modifying the coincident peak demand of one or more classes of service to better meet the utility system’s capability for a given hour, day, week, season, or year.</w:t>
      </w:r>
    </w:p>
    <w:p w:rsidR="00E710A9" w:rsidRPr="00E710A9" w:rsidRDefault="00E710A9" w:rsidP="00E710A9">
      <w:pPr>
        <w:widowControl w:val="0"/>
        <w:rPr>
          <w:b/>
          <w:bCs/>
          <w:lang w:bidi="en-US"/>
        </w:rPr>
      </w:pPr>
    </w:p>
    <w:p w:rsidR="00E710A9" w:rsidRPr="00E710A9" w:rsidRDefault="00E710A9" w:rsidP="00E710A9">
      <w:pPr>
        <w:widowControl w:val="0"/>
        <w:rPr>
          <w:lang w:bidi="en-US"/>
        </w:rPr>
      </w:pPr>
      <w:r w:rsidRPr="00E710A9">
        <w:rPr>
          <w:rFonts w:ascii="Century Gothic" w:hAnsi="Century Gothic"/>
          <w:b/>
          <w:bCs/>
          <w:sz w:val="24"/>
          <w:lang w:bidi="en-US"/>
        </w:rPr>
        <w:t>Load Shapes</w:t>
      </w:r>
      <w:r w:rsidRPr="00E710A9">
        <w:rPr>
          <w:rFonts w:ascii="Century Gothic" w:hAnsi="Century Gothic"/>
          <w:lang w:bidi="en-US"/>
        </w:rPr>
        <w:t>:</w:t>
      </w:r>
      <w:r w:rsidRPr="00E710A9">
        <w:rPr>
          <w:lang w:bidi="en-US"/>
        </w:rPr>
        <w:t xml:space="preserve"> Representations such as graphs, tables, and databases that describe energy consumption rates as a function of another variable, such as time or outdoor air temperature.</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Load Shifting</w:t>
      </w:r>
      <w:r w:rsidRPr="00E710A9">
        <w:rPr>
          <w:rFonts w:ascii="Century Gothic" w:hAnsi="Century Gothic"/>
          <w:b/>
          <w:lang w:bidi="en-US"/>
        </w:rPr>
        <w:t>:</w:t>
      </w:r>
      <w:r w:rsidRPr="00E710A9">
        <w:rPr>
          <w:lang w:bidi="en-US"/>
        </w:rPr>
        <w:t xml:space="preserve"> Mov</w:t>
      </w:r>
      <w:r w:rsidR="00170843">
        <w:rPr>
          <w:lang w:bidi="en-US"/>
        </w:rPr>
        <w:t>ing electric load from one time</w:t>
      </w:r>
      <w:r w:rsidR="00170843" w:rsidRPr="00E710A9">
        <w:rPr>
          <w:lang w:bidi="en-US"/>
        </w:rPr>
        <w:t xml:space="preserve"> period</w:t>
      </w:r>
      <w:r w:rsidRPr="00E710A9">
        <w:rPr>
          <w:lang w:bidi="en-US"/>
        </w:rPr>
        <w:t xml:space="preserve"> in a day to another time period. An example would be moving electric water heating load from peak hours to off-peak hours.</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-M-</w:t>
      </w:r>
    </w:p>
    <w:p w:rsidR="00E710A9" w:rsidRPr="00E710A9" w:rsidRDefault="00E710A9" w:rsidP="00E710A9">
      <w:pPr>
        <w:widowControl w:val="0"/>
        <w:rPr>
          <w:lang w:bidi="en-US"/>
        </w:rPr>
      </w:pPr>
      <w:r w:rsidRPr="00E710A9">
        <w:rPr>
          <w:rFonts w:ascii="Century Gothic" w:hAnsi="Century Gothic"/>
          <w:b/>
          <w:bCs/>
          <w:sz w:val="24"/>
          <w:lang w:bidi="en-US"/>
        </w:rPr>
        <w:t>Market Effects Evaluation</w:t>
      </w:r>
      <w:r w:rsidRPr="00E710A9">
        <w:rPr>
          <w:rFonts w:ascii="Century Gothic" w:hAnsi="Century Gothic"/>
          <w:lang w:bidi="en-US"/>
        </w:rPr>
        <w:t>:</w:t>
      </w:r>
      <w:r w:rsidRPr="00E710A9">
        <w:rPr>
          <w:lang w:bidi="en-US"/>
        </w:rPr>
        <w:t xml:space="preserve"> The evaluation of the change in the structure or functioning of a market or the behavior of participants in a market that results from one or more program efforts. Typically, the resultant market or behavior change leads to increased adoption of energy efficient products, services, or practices.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Market Transformation</w:t>
      </w:r>
      <w:r w:rsidRPr="00E710A9">
        <w:rPr>
          <w:rFonts w:ascii="Century Gothic" w:hAnsi="Century Gothic"/>
          <w:sz w:val="24"/>
          <w:lang w:bidi="en-US"/>
        </w:rPr>
        <w:t>:</w:t>
      </w:r>
      <w:r w:rsidRPr="00E710A9">
        <w:rPr>
          <w:sz w:val="24"/>
          <w:lang w:bidi="en-US"/>
        </w:rPr>
        <w:t xml:space="preserve"> </w:t>
      </w:r>
      <w:r w:rsidRPr="00E710A9">
        <w:rPr>
          <w:lang w:bidi="en-US"/>
        </w:rPr>
        <w:t>A reduction in market barriers resulting from a market intervention, as evidenced by a set of market effects, that lasts after the intervention has been withdrawn, reduced, or changed.</w:t>
      </w:r>
    </w:p>
    <w:p w:rsidR="00E710A9" w:rsidRPr="00E710A9" w:rsidRDefault="00E710A9" w:rsidP="00E710A9">
      <w:pPr>
        <w:widowControl w:val="0"/>
        <w:rPr>
          <w:rFonts w:ascii="Century Gothic" w:hAnsi="Century Gothic"/>
          <w:sz w:val="24"/>
          <w:lang w:bidi="en-US"/>
        </w:rPr>
      </w:pPr>
    </w:p>
    <w:p w:rsidR="00E710A9" w:rsidRPr="00E710A9" w:rsidRDefault="00E710A9" w:rsidP="00E710A9">
      <w:r w:rsidRPr="00E710A9">
        <w:rPr>
          <w:rFonts w:ascii="Century Gothic" w:hAnsi="Century Gothic"/>
          <w:b/>
          <w:sz w:val="24"/>
        </w:rPr>
        <w:t>Measurement:</w:t>
      </w:r>
      <w:r w:rsidRPr="00E710A9">
        <w:t xml:space="preserve"> A procedure for assigning a number to an observed object or event.</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Measurement and Verification (M&amp;V)</w:t>
      </w:r>
      <w:r w:rsidRPr="00E710A9">
        <w:rPr>
          <w:rFonts w:ascii="Century Gothic" w:hAnsi="Century Gothic"/>
          <w:sz w:val="24"/>
          <w:lang w:bidi="en-US"/>
        </w:rPr>
        <w:t>:</w:t>
      </w:r>
      <w:r w:rsidRPr="00E710A9">
        <w:rPr>
          <w:sz w:val="24"/>
          <w:lang w:bidi="en-US"/>
        </w:rPr>
        <w:t xml:space="preserve"> </w:t>
      </w:r>
      <w:r w:rsidRPr="00E710A9">
        <w:rPr>
          <w:lang w:bidi="en-US"/>
        </w:rPr>
        <w:t>Data collection, monitoring, and analysis associated with the calculation of gross energy and demand savings from individual sites or projects. M&amp;V can be a subset of program impact evaluation.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Metering</w:t>
      </w:r>
      <w:r w:rsidRPr="00E710A9">
        <w:rPr>
          <w:rFonts w:ascii="Century Gothic" w:hAnsi="Century Gothic"/>
          <w:sz w:val="24"/>
          <w:lang w:bidi="en-US"/>
        </w:rPr>
        <w:t>:</w:t>
      </w:r>
      <w:r w:rsidRPr="00E710A9">
        <w:rPr>
          <w:sz w:val="24"/>
          <w:lang w:bidi="en-US"/>
        </w:rPr>
        <w:t xml:space="preserve"> </w:t>
      </w:r>
      <w:r w:rsidRPr="00E710A9">
        <w:rPr>
          <w:lang w:bidi="en-US"/>
        </w:rPr>
        <w:t>The collection of energy consumption data, over time, through the use of meters. These meters may collect information with respect to an end use, a circuit, a piece of equipment, or a whole building (or facility). Short-term metering generally refers to data collection for no more than a few weeks. End-use metering refers to separate data collection for one or more end uses in a facility, such as lighting, air conditioning, or refrigeration. Spot metering is an instantaneous measurement (rather than over time) to determine an energy consumption rate.</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Monitoring</w:t>
      </w:r>
      <w:r w:rsidRPr="00E710A9">
        <w:rPr>
          <w:rFonts w:ascii="Century Gothic" w:hAnsi="Century Gothic"/>
          <w:sz w:val="24"/>
          <w:lang w:bidi="en-US"/>
        </w:rPr>
        <w:t>:</w:t>
      </w:r>
      <w:r w:rsidRPr="00E710A9">
        <w:rPr>
          <w:sz w:val="24"/>
          <w:lang w:bidi="en-US"/>
        </w:rPr>
        <w:t xml:space="preserve"> </w:t>
      </w:r>
      <w:r w:rsidRPr="00E710A9">
        <w:rPr>
          <w:lang w:bidi="en-US"/>
        </w:rPr>
        <w:t>Gathering of relevant measurement data, including but not limited to, energy consumption data, over time to evaluate equipment or system performance. Examples include chiller electric demand, inlet evaporator temperature and flow, outlet evaporator temperature, condenser inlet temperature, and ambient dry-bulb temperature and relative humidity or wet-bulb temperature, for use in developing a chiller performance map (e.g., kW/ton vs. cooling load and vs. condenser inlet temperature).</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-N-</w:t>
      </w:r>
    </w:p>
    <w:p w:rsidR="00E710A9" w:rsidRPr="00E710A9" w:rsidRDefault="00E710A9" w:rsidP="00E710A9">
      <w:pPr>
        <w:widowControl w:val="0"/>
        <w:rPr>
          <w:lang w:bidi="en-US"/>
        </w:rPr>
      </w:pPr>
      <w:r w:rsidRPr="00E710A9">
        <w:rPr>
          <w:rFonts w:ascii="Century Gothic" w:hAnsi="Century Gothic"/>
          <w:b/>
          <w:bCs/>
          <w:sz w:val="24"/>
          <w:lang w:bidi="en-US"/>
        </w:rPr>
        <w:t>Net Savings</w:t>
      </w:r>
      <w:r w:rsidRPr="00E710A9">
        <w:rPr>
          <w:rFonts w:ascii="Century Gothic" w:hAnsi="Century Gothic"/>
          <w:sz w:val="24"/>
          <w:lang w:bidi="en-US"/>
        </w:rPr>
        <w:t>:</w:t>
      </w:r>
      <w:r w:rsidRPr="00E710A9">
        <w:rPr>
          <w:sz w:val="24"/>
          <w:lang w:bidi="en-US"/>
        </w:rPr>
        <w:t xml:space="preserve"> </w:t>
      </w:r>
      <w:r w:rsidRPr="00E710A9">
        <w:rPr>
          <w:lang w:bidi="en-US"/>
        </w:rPr>
        <w:t>The total change in load that is attributable to an energy efficiency program. Net savings may include, implicitly or explicitly, the effects of free-drivers, free-riders, energy efficiency standards, changes in the level of energy service, participant and nonparticipant spillover, and other causes of changes in energy consumption or demand.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Net-to-Gross Ratio (NTGR)</w:t>
      </w:r>
      <w:r w:rsidRPr="00E710A9">
        <w:rPr>
          <w:rFonts w:ascii="Century Gothic" w:hAnsi="Century Gothic"/>
          <w:sz w:val="24"/>
          <w:lang w:bidi="en-US"/>
        </w:rPr>
        <w:t>:</w:t>
      </w:r>
      <w:r w:rsidRPr="00E710A9">
        <w:rPr>
          <w:sz w:val="24"/>
          <w:lang w:bidi="en-US"/>
        </w:rPr>
        <w:t xml:space="preserve"> </w:t>
      </w:r>
      <w:r w:rsidRPr="00E710A9">
        <w:rPr>
          <w:lang w:bidi="en-US"/>
        </w:rPr>
        <w:t>A factor representing net program savings divided by gross program savings that is applied to gross program impacts to convert them into net program load impacts.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Nonparticipant</w:t>
      </w:r>
      <w:r w:rsidRPr="00E710A9">
        <w:rPr>
          <w:rFonts w:ascii="Century Gothic" w:hAnsi="Century Gothic"/>
          <w:sz w:val="24"/>
          <w:lang w:bidi="en-US"/>
        </w:rPr>
        <w:t>:</w:t>
      </w:r>
      <w:r w:rsidRPr="00E710A9">
        <w:rPr>
          <w:sz w:val="24"/>
          <w:lang w:bidi="en-US"/>
        </w:rPr>
        <w:t xml:space="preserve"> </w:t>
      </w:r>
      <w:r w:rsidRPr="00E710A9">
        <w:rPr>
          <w:lang w:bidi="en-US"/>
        </w:rPr>
        <w:t>Any consumer who was eligible for but did not participate in the subject efficiency program in a given program year. Each evaluation plan should provide a definition of a nonparticipant as it applies to a specific evaluation.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Non-Response Bias</w:t>
      </w:r>
      <w:r w:rsidRPr="00E710A9">
        <w:rPr>
          <w:rFonts w:ascii="Century Gothic" w:hAnsi="Century Gothic"/>
          <w:sz w:val="24"/>
          <w:lang w:bidi="en-US"/>
        </w:rPr>
        <w:t>:</w:t>
      </w:r>
      <w:r w:rsidRPr="00E710A9">
        <w:rPr>
          <w:sz w:val="24"/>
          <w:lang w:bidi="en-US"/>
        </w:rPr>
        <w:t xml:space="preserve"> </w:t>
      </w:r>
      <w:r w:rsidRPr="00E710A9">
        <w:rPr>
          <w:lang w:bidi="en-US"/>
        </w:rPr>
        <w:t>The effect of a set of respondents refusing or choosing not to participate in research; typically, larger for self-administered or mail-out surveys.</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-P-</w:t>
      </w:r>
    </w:p>
    <w:p w:rsidR="00E710A9" w:rsidRPr="00E710A9" w:rsidRDefault="00E710A9" w:rsidP="00E710A9">
      <w:pPr>
        <w:widowControl w:val="0"/>
        <w:rPr>
          <w:lang w:bidi="en-US"/>
        </w:rPr>
      </w:pPr>
      <w:r w:rsidRPr="00E710A9">
        <w:rPr>
          <w:rFonts w:ascii="Century Gothic" w:hAnsi="Century Gothic"/>
          <w:b/>
          <w:bCs/>
          <w:sz w:val="24"/>
          <w:lang w:bidi="en-US"/>
        </w:rPr>
        <w:t>Partial Free-Rider</w:t>
      </w:r>
      <w:r w:rsidRPr="00E710A9">
        <w:rPr>
          <w:rFonts w:ascii="Century Gothic" w:hAnsi="Century Gothic"/>
          <w:sz w:val="24"/>
          <w:lang w:bidi="en-US"/>
        </w:rPr>
        <w:t>:</w:t>
      </w:r>
      <w:r w:rsidRPr="00E710A9">
        <w:rPr>
          <w:sz w:val="24"/>
          <w:lang w:bidi="en-US"/>
        </w:rPr>
        <w:t xml:space="preserve"> </w:t>
      </w:r>
      <w:r w:rsidRPr="00E710A9">
        <w:rPr>
          <w:lang w:bidi="en-US"/>
        </w:rPr>
        <w:t>A program participant who would have implemented, to some degree, a program measure or practice in the absence of the program. Examples include participants who bought an ENERGY STAR appliance in the absence of the program, but due to the program, purchased a more efficient appliance or bought the appliance sooner than planned.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Participant</w:t>
      </w:r>
      <w:r w:rsidRPr="00E710A9">
        <w:rPr>
          <w:rFonts w:ascii="Century Gothic" w:hAnsi="Century Gothic"/>
          <w:sz w:val="24"/>
          <w:lang w:bidi="en-US"/>
        </w:rPr>
        <w:t>:</w:t>
      </w:r>
      <w:r w:rsidRPr="00E710A9">
        <w:rPr>
          <w:sz w:val="24"/>
          <w:lang w:bidi="en-US"/>
        </w:rPr>
        <w:t xml:space="preserve"> </w:t>
      </w:r>
      <w:r w:rsidRPr="00E710A9">
        <w:rPr>
          <w:lang w:bidi="en-US"/>
        </w:rPr>
        <w:t>A consumer who received a service offered through an efficiency program in a given program year. In this definition, “service” can refer to a wide variety of services, including financial rebates, technical assistance, product installations, training, energy efficiency information, and other services, items, or conditions. Each evaluation plan should define “participant” as it applies to the specific evaluation.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Peak Demand</w:t>
      </w:r>
      <w:r w:rsidRPr="00E710A9">
        <w:rPr>
          <w:rFonts w:ascii="Century Gothic" w:hAnsi="Century Gothic"/>
          <w:sz w:val="24"/>
          <w:lang w:bidi="en-US"/>
        </w:rPr>
        <w:t>:</w:t>
      </w:r>
      <w:r w:rsidRPr="00E710A9">
        <w:rPr>
          <w:sz w:val="24"/>
          <w:lang w:bidi="en-US"/>
        </w:rPr>
        <w:t xml:space="preserve"> </w:t>
      </w:r>
      <w:r w:rsidRPr="00E710A9">
        <w:rPr>
          <w:lang w:bidi="en-US"/>
        </w:rPr>
        <w:t>The maximum level of metered demand during a specified period, such as a billing month or a peak demand period.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Persistence Study</w:t>
      </w:r>
      <w:r w:rsidRPr="00E710A9">
        <w:rPr>
          <w:rFonts w:ascii="Century Gothic" w:hAnsi="Century Gothic"/>
          <w:sz w:val="24"/>
          <w:lang w:bidi="en-US"/>
        </w:rPr>
        <w:t>:</w:t>
      </w:r>
      <w:r w:rsidRPr="00E710A9">
        <w:rPr>
          <w:sz w:val="24"/>
          <w:lang w:bidi="en-US"/>
        </w:rPr>
        <w:t xml:space="preserve"> </w:t>
      </w:r>
      <w:r w:rsidRPr="00E710A9">
        <w:rPr>
          <w:lang w:bidi="en-US"/>
        </w:rPr>
        <w:t>A study to assess changes in program impacts over time (including retention and degradation).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Portfolio</w:t>
      </w:r>
      <w:r w:rsidRPr="00E710A9">
        <w:rPr>
          <w:rFonts w:ascii="Century Gothic" w:hAnsi="Century Gothic"/>
          <w:sz w:val="24"/>
          <w:lang w:bidi="en-US"/>
        </w:rPr>
        <w:t>:</w:t>
      </w:r>
      <w:r w:rsidRPr="00E710A9">
        <w:rPr>
          <w:sz w:val="24"/>
          <w:lang w:bidi="en-US"/>
        </w:rPr>
        <w:t xml:space="preserve"> </w:t>
      </w:r>
      <w:r w:rsidRPr="00E710A9">
        <w:rPr>
          <w:lang w:bidi="en-US"/>
        </w:rPr>
        <w:t>Either (a) a collection of similar programs addressing the same market (e.g., a portfolio of residential programs), technology (e.g., motor efficiency programs), or mechanisms (e.g., loan programs) or (b) the set of all programs conducted by one organization, such as a utility (and which could include programs that cover multiple markets, technologies, etc.).</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Precision</w:t>
      </w:r>
      <w:r w:rsidRPr="00E710A9">
        <w:rPr>
          <w:rFonts w:ascii="Century Gothic" w:hAnsi="Century Gothic"/>
          <w:sz w:val="24"/>
          <w:lang w:bidi="en-US"/>
        </w:rPr>
        <w:t>:</w:t>
      </w:r>
      <w:r w:rsidRPr="00E710A9">
        <w:rPr>
          <w:sz w:val="24"/>
          <w:lang w:bidi="en-US"/>
        </w:rPr>
        <w:t xml:space="preserve"> </w:t>
      </w:r>
      <w:r w:rsidRPr="00E710A9">
        <w:rPr>
          <w:lang w:bidi="en-US"/>
        </w:rPr>
        <w:t>The indication of the closeness of agreement among repeated measurements of the same physical quantity.</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Process Evaluation</w:t>
      </w:r>
      <w:r w:rsidRPr="00E710A9">
        <w:rPr>
          <w:rFonts w:ascii="Century Gothic" w:hAnsi="Century Gothic"/>
          <w:sz w:val="24"/>
          <w:lang w:bidi="en-US"/>
        </w:rPr>
        <w:t>:</w:t>
      </w:r>
      <w:r w:rsidRPr="00E710A9">
        <w:rPr>
          <w:sz w:val="24"/>
          <w:lang w:bidi="en-US"/>
        </w:rPr>
        <w:t xml:space="preserve"> </w:t>
      </w:r>
      <w:r w:rsidRPr="00E710A9">
        <w:rPr>
          <w:lang w:bidi="en-US"/>
        </w:rPr>
        <w:t>A systematic assessment of an energy efficiency program for the purposes of documenting program operations at the time of the examination, and identifying and recommending improvements to increase the program’s efficiency or effectiveness for acquiring energy resources while maintaining high levels of participant satisfaction.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Program:</w:t>
      </w:r>
      <w:r w:rsidRPr="00E710A9">
        <w:rPr>
          <w:sz w:val="24"/>
          <w:lang w:bidi="en-US"/>
        </w:rPr>
        <w:t xml:space="preserve"> </w:t>
      </w:r>
      <w:r w:rsidRPr="00E710A9">
        <w:rPr>
          <w:lang w:bidi="en-US"/>
        </w:rPr>
        <w:t>A group of projects, with similar characteristics and installed in similar applications. Examples include a utility program to install energy efficient lighting in commercial buildings, a developer’s program to build a subdivision of homes that have photovoltaic systems, and a state residential energy efficiency code program.</w:t>
      </w:r>
    </w:p>
    <w:p w:rsidR="00E710A9" w:rsidRPr="00E710A9" w:rsidRDefault="00E710A9" w:rsidP="00E710A9">
      <w:pPr>
        <w:widowControl w:val="0"/>
        <w:rPr>
          <w:lang w:bidi="en-US"/>
        </w:rPr>
      </w:pPr>
    </w:p>
    <w:p w:rsidR="00E710A9" w:rsidRPr="00E710A9" w:rsidRDefault="00E710A9" w:rsidP="00E710A9">
      <w:r w:rsidRPr="00E710A9">
        <w:rPr>
          <w:rFonts w:ascii="Century Gothic" w:hAnsi="Century Gothic"/>
          <w:b/>
          <w:sz w:val="24"/>
        </w:rPr>
        <w:t>Program Year:</w:t>
      </w:r>
      <w:r w:rsidRPr="00E710A9">
        <w:t xml:space="preserve"> The 12-month period starting on June 1 and ending on May 31 of the next year.</w:t>
      </w:r>
    </w:p>
    <w:p w:rsidR="00E710A9" w:rsidRPr="00E710A9" w:rsidRDefault="00E710A9" w:rsidP="00E710A9">
      <w:pPr>
        <w:widowControl w:val="0"/>
        <w:rPr>
          <w:bCs/>
          <w:lang w:bidi="en-US"/>
        </w:rPr>
      </w:pPr>
    </w:p>
    <w:p w:rsidR="00E710A9" w:rsidRPr="00E710A9" w:rsidRDefault="00E710A9" w:rsidP="00E710A9">
      <w:r w:rsidRPr="00E710A9">
        <w:rPr>
          <w:rFonts w:ascii="Century Gothic" w:hAnsi="Century Gothic"/>
          <w:b/>
          <w:sz w:val="24"/>
        </w:rPr>
        <w:t xml:space="preserve">Program Year 3 (PY3): </w:t>
      </w:r>
      <w:r w:rsidRPr="00E710A9">
        <w:t>The period between June 1, 2011 and May 31, 2012.</w:t>
      </w:r>
    </w:p>
    <w:p w:rsidR="00E710A9" w:rsidRPr="00E710A9" w:rsidRDefault="00E710A9" w:rsidP="00E710A9"/>
    <w:p w:rsidR="00E710A9" w:rsidRPr="00E710A9" w:rsidRDefault="00E710A9" w:rsidP="00E710A9">
      <w:r w:rsidRPr="00E710A9">
        <w:rPr>
          <w:rFonts w:ascii="Century Gothic" w:hAnsi="Century Gothic"/>
          <w:b/>
          <w:sz w:val="24"/>
        </w:rPr>
        <w:t xml:space="preserve">Program Year 4 (PY4): </w:t>
      </w:r>
      <w:r w:rsidRPr="00E710A9">
        <w:t>The period between June 1, 2012 and May 31, 2013.</w:t>
      </w:r>
    </w:p>
    <w:p w:rsidR="00E710A9" w:rsidRPr="00E710A9" w:rsidRDefault="00E710A9" w:rsidP="00E710A9"/>
    <w:p w:rsidR="00E710A9" w:rsidRPr="00E710A9" w:rsidRDefault="00E710A9" w:rsidP="00E710A9">
      <w:r w:rsidRPr="00E710A9">
        <w:rPr>
          <w:rFonts w:ascii="Century Gothic" w:hAnsi="Century Gothic"/>
          <w:b/>
          <w:sz w:val="24"/>
        </w:rPr>
        <w:t xml:space="preserve">Program Year 5 (PY5): </w:t>
      </w:r>
      <w:r w:rsidRPr="00E710A9">
        <w:t>The period between June 1, 2013 and May 31, 2014.</w:t>
      </w:r>
    </w:p>
    <w:p w:rsidR="00E710A9" w:rsidRPr="00E710A9" w:rsidRDefault="00E710A9" w:rsidP="00E710A9"/>
    <w:p w:rsidR="00E710A9" w:rsidRPr="00E710A9" w:rsidRDefault="00E710A9" w:rsidP="00E710A9">
      <w:r w:rsidRPr="00E710A9">
        <w:rPr>
          <w:rFonts w:ascii="Century Gothic" w:hAnsi="Century Gothic"/>
          <w:b/>
          <w:sz w:val="24"/>
        </w:rPr>
        <w:t xml:space="preserve">Program Year 6 (PY6): </w:t>
      </w:r>
      <w:r w:rsidRPr="00E710A9">
        <w:t>The period between June 1, 2014 and May 31, 2015.</w:t>
      </w:r>
    </w:p>
    <w:p w:rsidR="00E710A9" w:rsidRPr="00E710A9" w:rsidRDefault="00E710A9" w:rsidP="00E710A9"/>
    <w:p w:rsidR="00E710A9" w:rsidRPr="00E710A9" w:rsidRDefault="00E710A9" w:rsidP="00E710A9">
      <w:r w:rsidRPr="00E710A9">
        <w:rPr>
          <w:rFonts w:ascii="Century Gothic" w:hAnsi="Century Gothic"/>
          <w:b/>
          <w:sz w:val="24"/>
        </w:rPr>
        <w:t xml:space="preserve">Program Year 7 (PY7): </w:t>
      </w:r>
      <w:r w:rsidRPr="00E710A9">
        <w:t xml:space="preserve">The period between June 1, 2015 and May 31, 2016. </w:t>
      </w:r>
    </w:p>
    <w:p w:rsidR="00E710A9" w:rsidRPr="00E710A9" w:rsidRDefault="00E710A9" w:rsidP="00E710A9">
      <w:pPr>
        <w:widowControl w:val="0"/>
        <w:rPr>
          <w:bCs/>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Program Year to Date</w:t>
      </w:r>
      <w:r w:rsidRPr="00E710A9">
        <w:rPr>
          <w:bCs/>
          <w:lang w:bidi="en-US"/>
        </w:rPr>
        <w:t>:  The period starting on June 1 of a program year and extending through the end of the current quarterly reporting period in the program year.</w:t>
      </w:r>
    </w:p>
    <w:p w:rsidR="00E710A9" w:rsidRPr="00E710A9" w:rsidRDefault="00E710A9" w:rsidP="00E710A9">
      <w:pPr>
        <w:widowControl w:val="0"/>
        <w:rPr>
          <w:bCs/>
          <w:lang w:bidi="en-US"/>
        </w:rPr>
      </w:pPr>
    </w:p>
    <w:p w:rsidR="00E710A9" w:rsidRPr="00E710A9" w:rsidRDefault="00E710A9" w:rsidP="00E710A9">
      <w:r w:rsidRPr="00E710A9">
        <w:rPr>
          <w:rFonts w:ascii="Century Gothic" w:hAnsi="Century Gothic"/>
          <w:b/>
          <w:sz w:val="24"/>
        </w:rPr>
        <w:t xml:space="preserve">Project: </w:t>
      </w:r>
      <w:r w:rsidRPr="00E710A9">
        <w:t xml:space="preserve">An activity or course of action involving one or more </w:t>
      </w:r>
      <w:r w:rsidRPr="00E710A9">
        <w:rPr>
          <w:lang w:bidi="en-US"/>
        </w:rPr>
        <w:t xml:space="preserve">energy efficiency </w:t>
      </w:r>
      <w:r w:rsidRPr="00E710A9">
        <w:t>measures at a single facility or site.</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-R-</w:t>
      </w:r>
    </w:p>
    <w:p w:rsidR="00E710A9" w:rsidRPr="00E710A9" w:rsidRDefault="00E710A9" w:rsidP="00E710A9">
      <w:pPr>
        <w:widowControl w:val="0"/>
        <w:rPr>
          <w:lang w:bidi="en-US"/>
        </w:rPr>
      </w:pPr>
      <w:r w:rsidRPr="00E710A9">
        <w:rPr>
          <w:rFonts w:ascii="Century Gothic" w:hAnsi="Century Gothic"/>
          <w:b/>
          <w:bCs/>
          <w:sz w:val="24"/>
          <w:lang w:bidi="en-US"/>
        </w:rPr>
        <w:t>Realization Rate</w:t>
      </w:r>
      <w:r w:rsidRPr="00E710A9">
        <w:rPr>
          <w:rFonts w:ascii="Century Gothic" w:hAnsi="Century Gothic"/>
          <w:sz w:val="24"/>
          <w:lang w:bidi="en-US"/>
        </w:rPr>
        <w:t xml:space="preserve">: </w:t>
      </w:r>
      <w:r w:rsidRPr="00E710A9">
        <w:rPr>
          <w:lang w:bidi="en-US"/>
        </w:rPr>
        <w:t>A factor representing ex post savings estimates divided by ex ante savings estimates that is applied to gross savings to determine verified savings estimates.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Regression Analysis</w:t>
      </w:r>
      <w:r w:rsidRPr="00E710A9">
        <w:rPr>
          <w:rFonts w:ascii="Century Gothic" w:hAnsi="Century Gothic"/>
          <w:sz w:val="24"/>
          <w:lang w:bidi="en-US"/>
        </w:rPr>
        <w:t xml:space="preserve">: </w:t>
      </w:r>
      <w:r w:rsidRPr="00E710A9">
        <w:rPr>
          <w:lang w:bidi="en-US"/>
        </w:rPr>
        <w:t>Analysis of the relationship between a dependent variable (response variable) and specified independent variables (explanatory variables). The mathematical model of their relationship is known as regression equation.</w:t>
      </w:r>
    </w:p>
    <w:p w:rsidR="00E710A9" w:rsidRPr="00E710A9" w:rsidRDefault="00E710A9" w:rsidP="00E710A9">
      <w:pPr>
        <w:widowControl w:val="0"/>
        <w:rPr>
          <w:lang w:bidi="en-US"/>
        </w:rPr>
      </w:pPr>
    </w:p>
    <w:p w:rsidR="00E710A9" w:rsidRPr="00E710A9" w:rsidRDefault="00E710A9" w:rsidP="00E710A9">
      <w:r w:rsidRPr="00E710A9">
        <w:rPr>
          <w:rFonts w:ascii="Century Gothic" w:hAnsi="Century Gothic"/>
          <w:b/>
          <w:sz w:val="24"/>
        </w:rPr>
        <w:t>Reliability:</w:t>
      </w:r>
      <w:r w:rsidRPr="00E710A9">
        <w:rPr>
          <w:sz w:val="24"/>
        </w:rPr>
        <w:t xml:space="preserve"> </w:t>
      </w:r>
      <w:r w:rsidRPr="00E710A9">
        <w:t>Refers to the likelihood that observations can be replicated.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Reporting Period</w:t>
      </w:r>
      <w:r w:rsidRPr="00E710A9">
        <w:rPr>
          <w:rFonts w:ascii="Century Gothic" w:hAnsi="Century Gothic"/>
          <w:sz w:val="24"/>
          <w:lang w:bidi="en-US"/>
        </w:rPr>
        <w:t>:</w:t>
      </w:r>
      <w:r w:rsidRPr="00E710A9">
        <w:rPr>
          <w:lang w:bidi="en-US"/>
        </w:rPr>
        <w:t xml:space="preserve"> The time following implementation of an energy efficiency activity during which savings are to be determined.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Retrofit Isolation</w:t>
      </w:r>
      <w:r w:rsidRPr="00E710A9">
        <w:rPr>
          <w:rFonts w:ascii="Century Gothic" w:hAnsi="Century Gothic"/>
          <w:sz w:val="24"/>
          <w:lang w:bidi="en-US"/>
        </w:rPr>
        <w:t xml:space="preserve">: </w:t>
      </w:r>
      <w:r w:rsidRPr="00E710A9">
        <w:rPr>
          <w:lang w:bidi="en-US"/>
        </w:rPr>
        <w:t>The savings measurement approach defined in IPMVP Options A and B, and ASHRAE Guideline 14, that determines energy or demand savings through the use of meters to isolate the energy flows for the system(s) under consideration. ASHRAE Guideline 14 provides guidelines for reliably measuring energy and demand savings of commercial equipment.</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Rigor</w:t>
      </w:r>
      <w:r w:rsidRPr="00E710A9">
        <w:rPr>
          <w:rFonts w:ascii="Century Gothic" w:hAnsi="Century Gothic"/>
          <w:sz w:val="24"/>
          <w:lang w:bidi="en-US"/>
        </w:rPr>
        <w:t>:</w:t>
      </w:r>
      <w:r w:rsidRPr="00E710A9">
        <w:rPr>
          <w:lang w:bidi="en-US"/>
        </w:rPr>
        <w:t xml:space="preserve"> The higher the level of rigor, the greater the confidence in the accuracy and precision of the results.</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-S-</w:t>
      </w:r>
    </w:p>
    <w:p w:rsidR="00E710A9" w:rsidRPr="00E710A9" w:rsidRDefault="00E710A9" w:rsidP="00E710A9">
      <w:pPr>
        <w:widowControl w:val="0"/>
        <w:rPr>
          <w:bCs/>
          <w:lang w:bidi="en-US"/>
        </w:rPr>
      </w:pPr>
      <w:r w:rsidRPr="00E710A9">
        <w:rPr>
          <w:rFonts w:ascii="Century Gothic" w:hAnsi="Century Gothic"/>
          <w:b/>
          <w:bCs/>
          <w:sz w:val="24"/>
          <w:lang w:bidi="en-US"/>
        </w:rPr>
        <w:t>Seasonal Energy Efficiency Ratio (SEER)</w:t>
      </w:r>
      <w:r w:rsidRPr="00E710A9">
        <w:rPr>
          <w:rFonts w:ascii="Century Gothic" w:hAnsi="Century Gothic"/>
          <w:bCs/>
          <w:sz w:val="24"/>
          <w:lang w:bidi="en-US"/>
        </w:rPr>
        <w:t>:</w:t>
      </w:r>
      <w:r w:rsidRPr="00E710A9">
        <w:rPr>
          <w:bCs/>
          <w:lang w:bidi="en-US"/>
        </w:rPr>
        <w:t xml:space="preserve"> The rating of a unit representing the cooling output in B</w:t>
      </w:r>
      <w:r>
        <w:rPr>
          <w:bCs/>
          <w:lang w:bidi="en-US"/>
        </w:rPr>
        <w:t>tu</w:t>
      </w:r>
      <w:r w:rsidRPr="00E710A9">
        <w:rPr>
          <w:bCs/>
          <w:lang w:bidi="en-US"/>
        </w:rPr>
        <w:t>s during a typical cooling season divided by the total electric energy input in watt-hours during the same period. The higher a unit’s SEER, the more energy efficient it is.</w:t>
      </w:r>
    </w:p>
    <w:p w:rsidR="00E710A9" w:rsidRPr="00E710A9" w:rsidRDefault="00E710A9" w:rsidP="00E710A9">
      <w:pPr>
        <w:widowControl w:val="0"/>
        <w:rPr>
          <w:bCs/>
          <w:lang w:bidi="en-US"/>
        </w:rPr>
      </w:pPr>
      <w:r w:rsidRPr="00E710A9">
        <w:rPr>
          <w:bCs/>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Spillover</w:t>
      </w:r>
      <w:r w:rsidRPr="00E710A9">
        <w:rPr>
          <w:rFonts w:ascii="Century Gothic" w:hAnsi="Century Gothic"/>
          <w:sz w:val="24"/>
          <w:lang w:bidi="en-US"/>
        </w:rPr>
        <w:t>:</w:t>
      </w:r>
      <w:r w:rsidRPr="00E710A9">
        <w:rPr>
          <w:lang w:bidi="en-US"/>
        </w:rPr>
        <w:t xml:space="preserve"> Reductions in energy consumption or demand resulting from an energy efficiency program, beyond the program-related gross savings of the participants. There can be participant and nonparticipant spillover.</w:t>
      </w:r>
    </w:p>
    <w:p w:rsidR="00E710A9" w:rsidRPr="00E710A9" w:rsidRDefault="00E710A9" w:rsidP="00E710A9">
      <w:pPr>
        <w:widowControl w:val="0"/>
        <w:rPr>
          <w:lang w:bidi="en-US"/>
        </w:rPr>
      </w:pPr>
    </w:p>
    <w:p w:rsidR="00E710A9" w:rsidRPr="00E710A9" w:rsidRDefault="00E710A9" w:rsidP="00E710A9">
      <w:pPr>
        <w:widowControl w:val="0"/>
        <w:rPr>
          <w:rFonts w:asciiTheme="minorHAnsi" w:hAnsiTheme="minorHAnsi"/>
          <w:bCs/>
          <w:lang w:bidi="en-US"/>
        </w:rPr>
      </w:pPr>
      <w:r w:rsidRPr="00E710A9">
        <w:rPr>
          <w:rFonts w:ascii="Century Gothic" w:hAnsi="Century Gothic"/>
          <w:b/>
          <w:bCs/>
          <w:sz w:val="24"/>
          <w:lang w:bidi="en-US"/>
        </w:rPr>
        <w:t xml:space="preserve">Stakeholder: </w:t>
      </w:r>
      <w:r w:rsidRPr="00E710A9">
        <w:rPr>
          <w:rFonts w:asciiTheme="minorHAnsi" w:hAnsiTheme="minorHAnsi"/>
          <w:bCs/>
          <w:lang w:bidi="en-US"/>
        </w:rPr>
        <w:t>An organization with interest in or concern with Act 129 activities.</w:t>
      </w:r>
    </w:p>
    <w:p w:rsidR="00E710A9" w:rsidRPr="00E710A9" w:rsidRDefault="00E710A9" w:rsidP="00E710A9">
      <w:pPr>
        <w:widowControl w:val="0"/>
        <w:rPr>
          <w:rFonts w:ascii="Century Gothic" w:hAnsi="Century Gothic"/>
          <w:b/>
          <w:bCs/>
          <w:sz w:val="24"/>
          <w:lang w:bidi="en-US"/>
        </w:rPr>
      </w:pPr>
    </w:p>
    <w:p w:rsidR="00E710A9" w:rsidRPr="00E710A9" w:rsidRDefault="00E710A9" w:rsidP="00E710A9">
      <w:pPr>
        <w:widowControl w:val="0"/>
        <w:rPr>
          <w:lang w:bidi="en-US"/>
        </w:rPr>
      </w:pPr>
      <w:r w:rsidRPr="00E710A9">
        <w:rPr>
          <w:rFonts w:ascii="Century Gothic" w:hAnsi="Century Gothic"/>
          <w:b/>
          <w:bCs/>
          <w:sz w:val="24"/>
          <w:lang w:bidi="en-US"/>
        </w:rPr>
        <w:t>Statistically Adjusted Engineering (SAE) Models</w:t>
      </w:r>
      <w:r w:rsidRPr="00E710A9">
        <w:rPr>
          <w:rFonts w:ascii="Century Gothic" w:hAnsi="Century Gothic"/>
          <w:sz w:val="24"/>
          <w:lang w:bidi="en-US"/>
        </w:rPr>
        <w:t xml:space="preserve">: </w:t>
      </w:r>
      <w:r w:rsidRPr="00E710A9">
        <w:rPr>
          <w:lang w:bidi="en-US"/>
        </w:rPr>
        <w:t>Statistical analysis models that incorporate the engineering estimate of savings as a dependent variable.</w:t>
      </w:r>
    </w:p>
    <w:p w:rsidR="00E710A9" w:rsidRPr="00E710A9" w:rsidRDefault="00E710A9" w:rsidP="00E710A9">
      <w:pPr>
        <w:widowControl w:val="0"/>
        <w:rPr>
          <w:lang w:bidi="en-US"/>
        </w:rPr>
      </w:pPr>
    </w:p>
    <w:p w:rsidR="00E710A9" w:rsidRPr="00E710A9" w:rsidRDefault="00E710A9" w:rsidP="00E710A9">
      <w:r w:rsidRPr="00E710A9">
        <w:rPr>
          <w:rFonts w:ascii="Century Gothic" w:hAnsi="Century Gothic"/>
          <w:b/>
          <w:sz w:val="24"/>
        </w:rPr>
        <w:t>Stipulated Values:</w:t>
      </w:r>
      <w:r w:rsidRPr="00E710A9">
        <w:rPr>
          <w:sz w:val="24"/>
        </w:rPr>
        <w:t xml:space="preserve"> </w:t>
      </w:r>
      <w:r w:rsidRPr="00E710A9">
        <w:t>See DEEMED SAVINGS.</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-T, U, V-</w:t>
      </w:r>
    </w:p>
    <w:p w:rsidR="00E710A9" w:rsidRPr="00E710A9" w:rsidRDefault="00E710A9" w:rsidP="00E710A9">
      <w:pPr>
        <w:widowControl w:val="0"/>
        <w:rPr>
          <w:lang w:bidi="en-US"/>
        </w:rPr>
      </w:pPr>
      <w:r w:rsidRPr="00E710A9">
        <w:rPr>
          <w:rFonts w:ascii="Century Gothic" w:hAnsi="Century Gothic"/>
          <w:b/>
          <w:bCs/>
          <w:sz w:val="24"/>
          <w:lang w:bidi="en-US"/>
        </w:rPr>
        <w:t>Technical Reference Manual (TRM)</w:t>
      </w:r>
      <w:r w:rsidRPr="00E710A9">
        <w:rPr>
          <w:lang w:bidi="en-US"/>
        </w:rPr>
        <w:t>: Standards for measuring and verifying applicable demand-side management or energy efficiency measures used by EDCs to meet the Act 129 consumption and peak demand reduction targets.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Total Resource Cost (TRC) Test</w:t>
      </w:r>
      <w:r w:rsidRPr="00E710A9">
        <w:rPr>
          <w:rFonts w:ascii="Century Gothic" w:hAnsi="Century Gothic"/>
          <w:sz w:val="24"/>
          <w:lang w:bidi="en-US"/>
        </w:rPr>
        <w:t xml:space="preserve">: </w:t>
      </w:r>
      <w:r w:rsidRPr="00E710A9">
        <w:rPr>
          <w:lang w:bidi="en-US"/>
        </w:rPr>
        <w:t>Analyzes the costs and benefits of energy efficiency and conservation plans.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 xml:space="preserve">TRM Verified Savings: </w:t>
      </w:r>
      <w:r w:rsidRPr="00E710A9">
        <w:rPr>
          <w:lang w:bidi="en-US"/>
        </w:rPr>
        <w:t>Savings estimated based on the Commission-approved TRM.</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Uncertainty</w:t>
      </w:r>
      <w:r w:rsidRPr="00E710A9">
        <w:rPr>
          <w:rFonts w:ascii="Century Gothic" w:hAnsi="Century Gothic"/>
          <w:sz w:val="24"/>
          <w:lang w:bidi="en-US"/>
        </w:rPr>
        <w:t xml:space="preserve">: </w:t>
      </w:r>
      <w:r w:rsidRPr="00E710A9">
        <w:rPr>
          <w:lang w:bidi="en-US"/>
        </w:rPr>
        <w:t>The range or interval of doubt surrounding a measured or calculated value within which the true value is expected to fall within some degree of confidence.</w:t>
      </w:r>
    </w:p>
    <w:p w:rsidR="00E710A9" w:rsidRPr="00E710A9" w:rsidRDefault="00E710A9" w:rsidP="00E710A9">
      <w:pPr>
        <w:widowControl w:val="0"/>
        <w:rPr>
          <w:lang w:bidi="en-US"/>
        </w:rPr>
      </w:pPr>
    </w:p>
    <w:p w:rsidR="00E710A9" w:rsidRPr="00E710A9" w:rsidRDefault="00E710A9" w:rsidP="00E710A9">
      <w:pPr>
        <w:widowControl w:val="0"/>
        <w:rPr>
          <w:rFonts w:ascii="Century Gothic" w:hAnsi="Century Gothic"/>
          <w:b/>
          <w:bCs/>
          <w:sz w:val="24"/>
          <w:lang w:bidi="en-US"/>
        </w:rPr>
      </w:pPr>
      <w:r w:rsidRPr="00E710A9">
        <w:rPr>
          <w:rFonts w:ascii="Century Gothic" w:hAnsi="Century Gothic"/>
          <w:b/>
          <w:bCs/>
          <w:sz w:val="24"/>
          <w:lang w:bidi="en-US"/>
        </w:rPr>
        <w:t>Unit Energy Consumption:</w:t>
      </w:r>
      <w:r w:rsidRPr="00E710A9">
        <w:t xml:space="preserve"> </w:t>
      </w:r>
      <w:r w:rsidRPr="00E710A9">
        <w:rPr>
          <w:rFonts w:asciiTheme="minorHAnsi" w:hAnsiTheme="minorHAnsi"/>
          <w:bCs/>
          <w:lang w:bidi="en-US"/>
        </w:rPr>
        <w:t>Average annual unit energy consumption of equipment.</w:t>
      </w:r>
    </w:p>
    <w:p w:rsidR="00E710A9" w:rsidRPr="00E710A9" w:rsidRDefault="00E710A9" w:rsidP="00E710A9">
      <w:pPr>
        <w:widowControl w:val="0"/>
        <w:rPr>
          <w:rFonts w:ascii="Century Gothic" w:hAnsi="Century Gothic"/>
          <w:b/>
          <w:bCs/>
          <w:sz w:val="24"/>
          <w:lang w:bidi="en-US"/>
        </w:rPr>
      </w:pPr>
      <w:r w:rsidRPr="00E710A9">
        <w:rPr>
          <w:rFonts w:ascii="Century Gothic" w:hAnsi="Century Gothic"/>
          <w:b/>
          <w:bCs/>
          <w:sz w:val="24"/>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Value of Information</w:t>
      </w:r>
      <w:r w:rsidRPr="00E710A9">
        <w:rPr>
          <w:rFonts w:ascii="Century Gothic" w:hAnsi="Century Gothic"/>
          <w:sz w:val="24"/>
          <w:lang w:bidi="en-US"/>
        </w:rPr>
        <w:t xml:space="preserve">: </w:t>
      </w:r>
      <w:r w:rsidRPr="00E710A9">
        <w:rPr>
          <w:lang w:bidi="en-US"/>
        </w:rPr>
        <w:t>A balance between the level of detail (rigor) and the level of effort required (cost) in an impact evaluation.</w:t>
      </w:r>
    </w:p>
    <w:p w:rsidR="00E710A9" w:rsidRPr="00E710A9" w:rsidRDefault="00E710A9" w:rsidP="00E710A9">
      <w:pPr>
        <w:widowControl w:val="0"/>
        <w:rPr>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Variable Frequency Drive (VFD)</w:t>
      </w:r>
      <w:r w:rsidRPr="00E710A9">
        <w:rPr>
          <w:rFonts w:ascii="Century Gothic" w:hAnsi="Century Gothic"/>
          <w:bCs/>
          <w:sz w:val="24"/>
          <w:lang w:bidi="en-US"/>
        </w:rPr>
        <w:t xml:space="preserve">: </w:t>
      </w:r>
      <w:r w:rsidRPr="00E710A9">
        <w:rPr>
          <w:bCs/>
          <w:lang w:bidi="en-US"/>
        </w:rPr>
        <w:t xml:space="preserve">A system for controlling the rotational speed of an alternating current electric motor by controlling the frequency of the electrical power supplied to the motor. </w:t>
      </w:r>
    </w:p>
    <w:p w:rsidR="00E710A9" w:rsidRPr="00E710A9" w:rsidRDefault="00E710A9" w:rsidP="00E710A9">
      <w:pPr>
        <w:widowControl w:val="0"/>
        <w:rPr>
          <w:bCs/>
          <w:lang w:bidi="en-US"/>
        </w:rPr>
      </w:pPr>
    </w:p>
    <w:p w:rsidR="00FF409E" w:rsidRPr="00FF409E" w:rsidRDefault="00E710A9" w:rsidP="00E710A9">
      <w:pPr>
        <w:widowControl w:val="0"/>
        <w:rPr>
          <w:lang w:bidi="en-US"/>
        </w:rPr>
      </w:pPr>
      <w:r w:rsidRPr="00E710A9">
        <w:rPr>
          <w:rFonts w:ascii="Century Gothic" w:hAnsi="Century Gothic"/>
          <w:b/>
          <w:bCs/>
          <w:sz w:val="24"/>
          <w:lang w:bidi="en-US"/>
        </w:rPr>
        <w:t>Verified Reduction or Verified Savings</w:t>
      </w:r>
      <w:r w:rsidRPr="00E710A9">
        <w:rPr>
          <w:rFonts w:ascii="Century Gothic" w:hAnsi="Century Gothic"/>
          <w:sz w:val="24"/>
          <w:lang w:bidi="en-US"/>
        </w:rPr>
        <w:t>:</w:t>
      </w:r>
      <w:r w:rsidRPr="00E710A9">
        <w:rPr>
          <w:lang w:bidi="en-US"/>
        </w:rPr>
        <w:t xml:space="preserve"> A change in energy consumption or demand that has undergone rigorous evaluation, measurement, and verification to ensure its accuracy within a prescribed level of confidence and precision</w:t>
      </w:r>
      <w:r>
        <w:rPr>
          <w:lang w:bidi="en-US"/>
        </w:rPr>
        <w:t>.</w:t>
      </w:r>
    </w:p>
    <w:p w:rsidR="00A853AA" w:rsidRDefault="00A853AA" w:rsidP="00BC330C">
      <w:pPr>
        <w:widowControl w:val="0"/>
        <w:rPr>
          <w:lang w:bidi="en-US"/>
        </w:rPr>
        <w:sectPr w:rsidR="00A853AA" w:rsidSect="008B741E">
          <w:headerReference w:type="default" r:id="rId183"/>
          <w:footerReference w:type="default" r:id="rId184"/>
          <w:headerReference w:type="first" r:id="rId185"/>
          <w:footerReference w:type="first" r:id="rId186"/>
          <w:pgSz w:w="12240" w:h="15840"/>
          <w:pgMar w:top="1440" w:right="1440" w:bottom="1440" w:left="1440" w:header="720" w:footer="288" w:gutter="0"/>
          <w:cols w:space="720"/>
          <w:titlePg/>
          <w:docGrid w:linePitch="360"/>
        </w:sectPr>
      </w:pPr>
    </w:p>
    <w:p w:rsidR="00A853AA" w:rsidRPr="0022503E" w:rsidRDefault="00A853AA" w:rsidP="00B32B81">
      <w:pPr>
        <w:pStyle w:val="Heading1"/>
        <w:numPr>
          <w:ilvl w:val="0"/>
          <w:numId w:val="0"/>
        </w:numPr>
      </w:pPr>
      <w:bookmarkStart w:id="1434" w:name="_Toc472472152"/>
      <w:bookmarkStart w:id="1435" w:name="_Toc488765845"/>
      <w:r w:rsidRPr="00702AB3">
        <w:rPr>
          <w:rFonts w:ascii="Broadway" w:hAnsi="Broadway"/>
          <w:sz w:val="32"/>
        </w:rPr>
        <w:t>Appendix G</w:t>
      </w:r>
      <w:r>
        <w:t>|</w:t>
      </w:r>
      <w:r w:rsidRPr="0022503E">
        <w:t xml:space="preserve"> </w:t>
      </w:r>
      <w:bookmarkEnd w:id="1434"/>
      <w:r w:rsidR="00F35CAC">
        <w:t>Process and Impact Evaluation Recommendations and Actions – Updates from EDCs</w:t>
      </w:r>
      <w:bookmarkEnd w:id="1435"/>
    </w:p>
    <w:p w:rsidR="00E646C9" w:rsidRDefault="00E646C9" w:rsidP="00E646C9">
      <w:r w:rsidRPr="003E444A">
        <w:t xml:space="preserve">This appendix provides </w:t>
      </w:r>
      <w:r>
        <w:t xml:space="preserve">updates </w:t>
      </w:r>
      <w:r w:rsidRPr="003E444A">
        <w:t xml:space="preserve">on the </w:t>
      </w:r>
      <w:r>
        <w:t xml:space="preserve">actions taken by the EDCs to respond to evaluation consultants’ recommendations that EDCs were still considering as of the time of the Phase II SWE Annual Report. The recommendation statuses are provided by EDC and program type. </w:t>
      </w:r>
    </w:p>
    <w:p w:rsidR="00E646C9" w:rsidRPr="00E646C9" w:rsidRDefault="00E646C9" w:rsidP="00E646C9"/>
    <w:p w:rsidR="00E646C9" w:rsidRPr="00702AB3" w:rsidRDefault="00E646C9" w:rsidP="00702AB3">
      <w:pPr>
        <w:pStyle w:val="AppendixGHeading1"/>
      </w:pPr>
      <w:r w:rsidRPr="00702AB3">
        <w:t>Duquesne</w:t>
      </w:r>
    </w:p>
    <w:p w:rsidR="00E646C9" w:rsidRDefault="00E646C9" w:rsidP="00E646C9">
      <w:r w:rsidRPr="00427C34">
        <w:t>Section</w:t>
      </w:r>
      <w:r>
        <w:t>s</w:t>
      </w:r>
      <w:r w:rsidRPr="00427C34">
        <w:t xml:space="preserve"> </w:t>
      </w:r>
      <w:r w:rsidRPr="00427C34">
        <w:fldChar w:fldCharType="begin"/>
      </w:r>
      <w:r w:rsidRPr="00427C34">
        <w:instrText xml:space="preserve"> REF _Ref440619548 \r \h  \* MERGEFORMAT </w:instrText>
      </w:r>
      <w:r w:rsidRPr="00427C34">
        <w:fldChar w:fldCharType="separate"/>
      </w:r>
      <w:r w:rsidR="00037CB4">
        <w:t>G.1.1</w:t>
      </w:r>
      <w:r w:rsidRPr="00427C34">
        <w:fldChar w:fldCharType="end"/>
      </w:r>
      <w:r w:rsidRPr="00427C34">
        <w:t xml:space="preserve"> through </w:t>
      </w:r>
      <w:r w:rsidRPr="00427C34">
        <w:fldChar w:fldCharType="begin"/>
      </w:r>
      <w:r w:rsidRPr="00427C34">
        <w:instrText xml:space="preserve"> REF _Ref440619606 \r \h  \* MERGEFORMAT </w:instrText>
      </w:r>
      <w:r w:rsidRPr="00427C34">
        <w:fldChar w:fldCharType="separate"/>
      </w:r>
      <w:r w:rsidR="00037CB4">
        <w:t>G.1.8</w:t>
      </w:r>
      <w:r w:rsidRPr="00427C34">
        <w:fldChar w:fldCharType="end"/>
      </w:r>
      <w:r w:rsidRPr="00427C34">
        <w:t xml:space="preserve"> provide the process </w:t>
      </w:r>
      <w:r>
        <w:t xml:space="preserve">and impact </w:t>
      </w:r>
      <w:r w:rsidRPr="00427C34">
        <w:t xml:space="preserve">evaluation recommendations for Duquesne programs which were still being considered by Duquesne at the time the </w:t>
      </w:r>
      <w:r>
        <w:t>Phase II</w:t>
      </w:r>
      <w:r w:rsidRPr="00427C34">
        <w:t xml:space="preserve"> SWE Annual Report was finalized. The</w:t>
      </w:r>
      <w:r>
        <w:t xml:space="preserve"> updated</w:t>
      </w:r>
      <w:r w:rsidRPr="000F064D">
        <w:t xml:space="preserve"> status of Duquesne’s responses are provided in each table.</w:t>
      </w:r>
    </w:p>
    <w:p w:rsidR="00E646C9" w:rsidRDefault="00E646C9" w:rsidP="00E646C9"/>
    <w:p w:rsidR="00E646C9" w:rsidRPr="00E646C9" w:rsidRDefault="00E646C9" w:rsidP="00E646C9">
      <w:pPr>
        <w:pStyle w:val="AppendixGHeading2"/>
      </w:pPr>
      <w:bookmarkStart w:id="1436" w:name="_Ref440619548"/>
      <w:r w:rsidRPr="00E646C9">
        <w:t>Residential Energy Efficiency Program</w:t>
      </w:r>
      <w:bookmarkEnd w:id="1436"/>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49"/>
          <w:tblHeader/>
        </w:trPr>
        <w:tc>
          <w:tcPr>
            <w:tcW w:w="4680" w:type="dxa"/>
            <w:shd w:val="clear" w:color="auto" w:fill="438A99"/>
          </w:tcPr>
          <w:p w:rsidR="00E646C9" w:rsidRDefault="00E646C9" w:rsidP="00B40F47">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3096"/>
        </w:trPr>
        <w:tc>
          <w:tcPr>
            <w:tcW w:w="4680" w:type="dxa"/>
            <w:shd w:val="clear" w:color="auto" w:fill="D2EAF1"/>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ind w:left="97" w:right="128"/>
              <w:rPr>
                <w:rFonts w:ascii="Calibri" w:eastAsia="Calibri" w:hAnsi="Calibri" w:cs="Calibri"/>
                <w:sz w:val="18"/>
                <w:szCs w:val="18"/>
              </w:rPr>
            </w:pPr>
            <w:r>
              <w:rPr>
                <w:rFonts w:ascii="Calibri" w:eastAsia="Calibri" w:hAnsi="Calibri" w:cs="Calibri"/>
                <w:spacing w:val="-1"/>
                <w:sz w:val="18"/>
                <w:szCs w:val="18"/>
              </w:rPr>
              <w:t>Monitor</w:t>
            </w:r>
            <w:r>
              <w:rPr>
                <w:rFonts w:ascii="Calibri" w:eastAsia="Calibri" w:hAnsi="Calibri" w:cs="Calibri"/>
                <w:spacing w:val="-7"/>
                <w:sz w:val="18"/>
                <w:szCs w:val="18"/>
              </w:rPr>
              <w:t xml:space="preserve"> </w:t>
            </w:r>
            <w:r>
              <w:rPr>
                <w:rFonts w:ascii="Calibri" w:eastAsia="Calibri" w:hAnsi="Calibri" w:cs="Calibri"/>
                <w:sz w:val="18"/>
                <w:szCs w:val="18"/>
              </w:rPr>
              <w:t>ENERGY</w:t>
            </w:r>
            <w:r>
              <w:rPr>
                <w:rFonts w:ascii="Calibri" w:eastAsia="Calibri" w:hAnsi="Calibri" w:cs="Calibri"/>
                <w:spacing w:val="-4"/>
                <w:sz w:val="18"/>
                <w:szCs w:val="18"/>
              </w:rPr>
              <w:t xml:space="preserve"> </w:t>
            </w:r>
            <w:r>
              <w:rPr>
                <w:rFonts w:ascii="Calibri" w:eastAsia="Calibri" w:hAnsi="Calibri" w:cs="Calibri"/>
                <w:spacing w:val="-1"/>
                <w:sz w:val="18"/>
                <w:szCs w:val="18"/>
              </w:rPr>
              <w:t>STAR®</w:t>
            </w:r>
            <w:r>
              <w:rPr>
                <w:rFonts w:ascii="Calibri" w:eastAsia="Calibri" w:hAnsi="Calibri" w:cs="Calibri"/>
                <w:spacing w:val="-6"/>
                <w:sz w:val="18"/>
                <w:szCs w:val="18"/>
              </w:rPr>
              <w:t xml:space="preserve"> </w:t>
            </w:r>
            <w:r>
              <w:rPr>
                <w:rFonts w:ascii="Calibri" w:eastAsia="Calibri" w:hAnsi="Calibri" w:cs="Calibri"/>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criteria</w:t>
            </w:r>
            <w:r>
              <w:rPr>
                <w:rFonts w:ascii="Calibri" w:eastAsia="Calibri" w:hAnsi="Calibri" w:cs="Calibri"/>
                <w:spacing w:val="-6"/>
                <w:sz w:val="18"/>
                <w:szCs w:val="18"/>
              </w:rPr>
              <w:t xml:space="preserve"> </w:t>
            </w:r>
            <w:r>
              <w:rPr>
                <w:rFonts w:ascii="Calibri" w:eastAsia="Calibri" w:hAnsi="Calibri" w:cs="Calibri"/>
                <w:spacing w:val="-1"/>
                <w:sz w:val="18"/>
                <w:szCs w:val="18"/>
              </w:rPr>
              <w:t>changes</w:t>
            </w:r>
            <w:r>
              <w:rPr>
                <w:rFonts w:ascii="Calibri" w:eastAsia="Calibri" w:hAnsi="Calibri" w:cs="Calibri"/>
                <w:spacing w:val="-6"/>
                <w:sz w:val="18"/>
                <w:szCs w:val="18"/>
              </w:rPr>
              <w:t xml:space="preserve"> </w:t>
            </w:r>
            <w:r>
              <w:rPr>
                <w:rFonts w:ascii="Calibri" w:eastAsia="Calibri" w:hAnsi="Calibri" w:cs="Calibri"/>
                <w:spacing w:val="-1"/>
                <w:sz w:val="18"/>
                <w:szCs w:val="18"/>
              </w:rPr>
              <w:t>and</w:t>
            </w:r>
            <w:r>
              <w:rPr>
                <w:rFonts w:ascii="Calibri" w:eastAsia="Calibri" w:hAnsi="Calibri" w:cs="Calibri"/>
                <w:spacing w:val="-7"/>
                <w:sz w:val="18"/>
                <w:szCs w:val="18"/>
              </w:rPr>
              <w:t xml:space="preserve"> </w:t>
            </w:r>
            <w:r>
              <w:rPr>
                <w:rFonts w:ascii="Calibri" w:eastAsia="Calibri" w:hAnsi="Calibri" w:cs="Calibri"/>
                <w:spacing w:val="-1"/>
                <w:sz w:val="18"/>
                <w:szCs w:val="18"/>
              </w:rPr>
              <w:t>estimates</w:t>
            </w:r>
            <w:r>
              <w:rPr>
                <w:rFonts w:ascii="Calibri" w:eastAsia="Calibri" w:hAnsi="Calibri" w:cs="Calibri"/>
                <w:spacing w:val="53"/>
                <w:w w:val="99"/>
                <w:sz w:val="18"/>
                <w:szCs w:val="18"/>
              </w:rPr>
              <w:t xml:space="preserve"> </w:t>
            </w:r>
            <w:r>
              <w:rPr>
                <w:rFonts w:ascii="Calibri" w:eastAsia="Calibri" w:hAnsi="Calibri" w:cs="Calibri"/>
                <w:sz w:val="18"/>
                <w:szCs w:val="18"/>
              </w:rPr>
              <w:t>on</w:t>
            </w:r>
            <w:r>
              <w:rPr>
                <w:rFonts w:ascii="Calibri" w:eastAsia="Calibri" w:hAnsi="Calibri" w:cs="Calibri"/>
                <w:spacing w:val="-6"/>
                <w:sz w:val="18"/>
                <w:szCs w:val="18"/>
              </w:rPr>
              <w:t xml:space="preserve"> </w:t>
            </w:r>
            <w:r>
              <w:rPr>
                <w:rFonts w:ascii="Calibri" w:eastAsia="Calibri" w:hAnsi="Calibri" w:cs="Calibri"/>
                <w:spacing w:val="-1"/>
                <w:sz w:val="18"/>
                <w:szCs w:val="18"/>
              </w:rPr>
              <w:t>market</w:t>
            </w:r>
            <w:r>
              <w:rPr>
                <w:rFonts w:ascii="Calibri" w:eastAsia="Calibri" w:hAnsi="Calibri" w:cs="Calibri"/>
                <w:spacing w:val="-6"/>
                <w:sz w:val="18"/>
                <w:szCs w:val="18"/>
              </w:rPr>
              <w:t xml:space="preserve"> </w:t>
            </w:r>
            <w:r>
              <w:rPr>
                <w:rFonts w:ascii="Calibri" w:eastAsia="Calibri" w:hAnsi="Calibri" w:cs="Calibri"/>
                <w:spacing w:val="-1"/>
                <w:sz w:val="18"/>
                <w:szCs w:val="18"/>
              </w:rPr>
              <w:t>penetration</w:t>
            </w:r>
            <w:r>
              <w:rPr>
                <w:rFonts w:ascii="Calibri" w:eastAsia="Calibri" w:hAnsi="Calibri" w:cs="Calibri"/>
                <w:spacing w:val="-6"/>
                <w:sz w:val="18"/>
                <w:szCs w:val="18"/>
              </w:rPr>
              <w:t xml:space="preserve"> </w:t>
            </w:r>
            <w:r>
              <w:rPr>
                <w:rFonts w:ascii="Calibri" w:eastAsia="Calibri" w:hAnsi="Calibri" w:cs="Calibri"/>
                <w:spacing w:val="-1"/>
                <w:sz w:val="18"/>
                <w:szCs w:val="18"/>
              </w:rPr>
              <w:t>rates.</w:t>
            </w:r>
            <w:r>
              <w:rPr>
                <w:rFonts w:ascii="Calibri" w:eastAsia="Calibri" w:hAnsi="Calibri" w:cs="Calibri"/>
                <w:spacing w:val="-3"/>
                <w:sz w:val="18"/>
                <w:szCs w:val="18"/>
              </w:rPr>
              <w:t xml:space="preserve"> </w:t>
            </w:r>
            <w:r>
              <w:rPr>
                <w:rFonts w:ascii="Calibri" w:eastAsia="Calibri" w:hAnsi="Calibri" w:cs="Calibri"/>
                <w:spacing w:val="-1"/>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Phase</w:t>
            </w:r>
            <w:r>
              <w:rPr>
                <w:rFonts w:ascii="Calibri" w:eastAsia="Calibri" w:hAnsi="Calibri" w:cs="Calibri"/>
                <w:spacing w:val="-6"/>
                <w:sz w:val="18"/>
                <w:szCs w:val="18"/>
              </w:rPr>
              <w:t xml:space="preserve"> </w:t>
            </w:r>
            <w:r>
              <w:rPr>
                <w:rFonts w:ascii="Calibri" w:eastAsia="Calibri" w:hAnsi="Calibri" w:cs="Calibri"/>
                <w:sz w:val="18"/>
                <w:szCs w:val="18"/>
              </w:rPr>
              <w:t>III,</w:t>
            </w:r>
            <w:r>
              <w:rPr>
                <w:rFonts w:ascii="Calibri" w:eastAsia="Calibri" w:hAnsi="Calibri" w:cs="Calibri"/>
                <w:spacing w:val="-4"/>
                <w:sz w:val="18"/>
                <w:szCs w:val="18"/>
              </w:rPr>
              <w:t xml:space="preserve"> </w:t>
            </w:r>
            <w:r>
              <w:rPr>
                <w:rFonts w:ascii="Calibri" w:eastAsia="Calibri" w:hAnsi="Calibri" w:cs="Calibri"/>
                <w:spacing w:val="-1"/>
                <w:sz w:val="18"/>
                <w:szCs w:val="18"/>
              </w:rPr>
              <w:t>additional</w:t>
            </w:r>
            <w:r>
              <w:rPr>
                <w:rFonts w:ascii="Calibri" w:eastAsia="Calibri" w:hAnsi="Calibri" w:cs="Calibri"/>
                <w:spacing w:val="-4"/>
                <w:sz w:val="18"/>
                <w:szCs w:val="18"/>
              </w:rPr>
              <w:t xml:space="preserve"> </w:t>
            </w:r>
            <w:r>
              <w:rPr>
                <w:rFonts w:ascii="Calibri" w:eastAsia="Calibri" w:hAnsi="Calibri" w:cs="Calibri"/>
                <w:spacing w:val="-1"/>
                <w:sz w:val="18"/>
                <w:szCs w:val="18"/>
              </w:rPr>
              <w:t>rebate</w:t>
            </w:r>
            <w:r>
              <w:rPr>
                <w:rFonts w:ascii="Calibri" w:eastAsia="Calibri" w:hAnsi="Calibri" w:cs="Calibri"/>
                <w:spacing w:val="61"/>
                <w:w w:val="99"/>
                <w:sz w:val="18"/>
                <w:szCs w:val="18"/>
              </w:rPr>
              <w:t xml:space="preserve"> </w:t>
            </w:r>
            <w:r>
              <w:rPr>
                <w:rFonts w:ascii="Calibri" w:eastAsia="Calibri" w:hAnsi="Calibri" w:cs="Calibri"/>
                <w:spacing w:val="-1"/>
                <w:sz w:val="18"/>
                <w:szCs w:val="18"/>
              </w:rPr>
              <w:t>criteria</w:t>
            </w:r>
            <w:r>
              <w:rPr>
                <w:rFonts w:ascii="Calibri" w:eastAsia="Calibri" w:hAnsi="Calibri" w:cs="Calibri"/>
                <w:spacing w:val="-6"/>
                <w:sz w:val="18"/>
                <w:szCs w:val="18"/>
              </w:rPr>
              <w:t xml:space="preserve"> </w:t>
            </w:r>
            <w:r>
              <w:rPr>
                <w:rFonts w:ascii="Calibri" w:eastAsia="Calibri" w:hAnsi="Calibri" w:cs="Calibri"/>
                <w:sz w:val="18"/>
                <w:szCs w:val="18"/>
              </w:rPr>
              <w:t>or</w:t>
            </w:r>
            <w:r>
              <w:rPr>
                <w:rFonts w:ascii="Calibri" w:eastAsia="Calibri" w:hAnsi="Calibri" w:cs="Calibri"/>
                <w:spacing w:val="-6"/>
                <w:sz w:val="18"/>
                <w:szCs w:val="18"/>
              </w:rPr>
              <w:t xml:space="preserve"> </w:t>
            </w:r>
            <w:r>
              <w:rPr>
                <w:rFonts w:ascii="Calibri" w:eastAsia="Calibri" w:hAnsi="Calibri" w:cs="Calibri"/>
                <w:spacing w:val="-1"/>
                <w:sz w:val="18"/>
                <w:szCs w:val="18"/>
              </w:rPr>
              <w:t>tiered</w:t>
            </w:r>
            <w:r>
              <w:rPr>
                <w:rFonts w:ascii="Calibri" w:eastAsia="Calibri" w:hAnsi="Calibri" w:cs="Calibri"/>
                <w:spacing w:val="-6"/>
                <w:sz w:val="18"/>
                <w:szCs w:val="18"/>
              </w:rPr>
              <w:t xml:space="preserve"> </w:t>
            </w:r>
            <w:r>
              <w:rPr>
                <w:rFonts w:ascii="Calibri" w:eastAsia="Calibri" w:hAnsi="Calibri" w:cs="Calibri"/>
                <w:spacing w:val="-1"/>
                <w:sz w:val="18"/>
                <w:szCs w:val="18"/>
              </w:rPr>
              <w:t>incentives</w:t>
            </w:r>
            <w:r>
              <w:rPr>
                <w:rFonts w:ascii="Calibri" w:eastAsia="Calibri" w:hAnsi="Calibri" w:cs="Calibri"/>
                <w:spacing w:val="-6"/>
                <w:sz w:val="18"/>
                <w:szCs w:val="18"/>
              </w:rPr>
              <w:t xml:space="preserve"> </w:t>
            </w:r>
            <w:r>
              <w:rPr>
                <w:rFonts w:ascii="Calibri" w:eastAsia="Calibri" w:hAnsi="Calibri" w:cs="Calibri"/>
                <w:spacing w:val="-1"/>
                <w:sz w:val="18"/>
                <w:szCs w:val="18"/>
              </w:rPr>
              <w:t>could</w:t>
            </w:r>
            <w:r>
              <w:rPr>
                <w:rFonts w:ascii="Calibri" w:eastAsia="Calibri" w:hAnsi="Calibri" w:cs="Calibri"/>
                <w:spacing w:val="-4"/>
                <w:sz w:val="18"/>
                <w:szCs w:val="18"/>
              </w:rPr>
              <w:t xml:space="preserve"> </w:t>
            </w:r>
            <w:r>
              <w:rPr>
                <w:rFonts w:ascii="Calibri" w:eastAsia="Calibri" w:hAnsi="Calibri" w:cs="Calibri"/>
                <w:spacing w:val="-1"/>
                <w:sz w:val="18"/>
                <w:szCs w:val="18"/>
              </w:rPr>
              <w:t>help</w:t>
            </w:r>
            <w:r>
              <w:rPr>
                <w:rFonts w:ascii="Calibri" w:eastAsia="Calibri" w:hAnsi="Calibri" w:cs="Calibri"/>
                <w:spacing w:val="-4"/>
                <w:sz w:val="18"/>
                <w:szCs w:val="18"/>
              </w:rPr>
              <w:t xml:space="preserve"> </w:t>
            </w:r>
            <w:r>
              <w:rPr>
                <w:rFonts w:ascii="Calibri" w:eastAsia="Calibri" w:hAnsi="Calibri" w:cs="Calibri"/>
                <w:spacing w:val="-1"/>
                <w:sz w:val="18"/>
                <w:szCs w:val="18"/>
              </w:rPr>
              <w:t>promote</w:t>
            </w:r>
            <w:r>
              <w:rPr>
                <w:rFonts w:ascii="Calibri" w:eastAsia="Calibri" w:hAnsi="Calibri" w:cs="Calibri"/>
                <w:spacing w:val="-6"/>
                <w:sz w:val="18"/>
                <w:szCs w:val="18"/>
              </w:rPr>
              <w:t xml:space="preserve"> </w:t>
            </w:r>
            <w:r>
              <w:rPr>
                <w:rFonts w:ascii="Calibri" w:eastAsia="Calibri" w:hAnsi="Calibri" w:cs="Calibri"/>
                <w:spacing w:val="-1"/>
                <w:sz w:val="18"/>
                <w:szCs w:val="18"/>
              </w:rPr>
              <w:t>increased</w:t>
            </w:r>
            <w:r>
              <w:rPr>
                <w:rFonts w:ascii="Calibri" w:eastAsia="Calibri" w:hAnsi="Calibri" w:cs="Calibri"/>
                <w:spacing w:val="61"/>
                <w:w w:val="99"/>
                <w:sz w:val="18"/>
                <w:szCs w:val="18"/>
              </w:rPr>
              <w:t xml:space="preserve"> </w:t>
            </w:r>
            <w:r>
              <w:rPr>
                <w:rFonts w:ascii="Calibri" w:eastAsia="Calibri" w:hAnsi="Calibri" w:cs="Calibri"/>
                <w:spacing w:val="-1"/>
                <w:sz w:val="18"/>
                <w:szCs w:val="18"/>
              </w:rPr>
              <w:t>savings</w:t>
            </w:r>
            <w:r>
              <w:rPr>
                <w:rFonts w:ascii="Calibri" w:eastAsia="Calibri" w:hAnsi="Calibri" w:cs="Calibri"/>
                <w:spacing w:val="-6"/>
                <w:sz w:val="18"/>
                <w:szCs w:val="18"/>
              </w:rPr>
              <w:t xml:space="preserve"> </w:t>
            </w:r>
            <w:r>
              <w:rPr>
                <w:rFonts w:ascii="Calibri" w:eastAsia="Calibri" w:hAnsi="Calibri" w:cs="Calibri"/>
                <w:sz w:val="18"/>
                <w:szCs w:val="18"/>
              </w:rPr>
              <w:t>and</w:t>
            </w:r>
            <w:r>
              <w:rPr>
                <w:rFonts w:ascii="Calibri" w:eastAsia="Calibri" w:hAnsi="Calibri" w:cs="Calibri"/>
                <w:spacing w:val="-6"/>
                <w:sz w:val="18"/>
                <w:szCs w:val="18"/>
              </w:rPr>
              <w:t xml:space="preserve"> </w:t>
            </w:r>
            <w:r>
              <w:rPr>
                <w:rFonts w:ascii="Calibri" w:eastAsia="Calibri" w:hAnsi="Calibri" w:cs="Calibri"/>
                <w:spacing w:val="-1"/>
                <w:sz w:val="18"/>
                <w:szCs w:val="18"/>
              </w:rPr>
              <w:t>reduce</w:t>
            </w:r>
            <w:r>
              <w:rPr>
                <w:rFonts w:ascii="Calibri" w:eastAsia="Calibri" w:hAnsi="Calibri" w:cs="Calibri"/>
                <w:spacing w:val="-5"/>
                <w:sz w:val="18"/>
                <w:szCs w:val="18"/>
              </w:rPr>
              <w:t xml:space="preserve"> </w:t>
            </w:r>
            <w:r>
              <w:rPr>
                <w:rFonts w:ascii="Calibri" w:eastAsia="Calibri" w:hAnsi="Calibri" w:cs="Calibri"/>
                <w:sz w:val="18"/>
                <w:szCs w:val="18"/>
              </w:rPr>
              <w:t>free</w:t>
            </w:r>
            <w:r>
              <w:rPr>
                <w:rFonts w:ascii="Calibri" w:eastAsia="Calibri" w:hAnsi="Calibri" w:cs="Calibri"/>
                <w:spacing w:val="-6"/>
                <w:sz w:val="18"/>
                <w:szCs w:val="18"/>
              </w:rPr>
              <w:t xml:space="preserve"> </w:t>
            </w:r>
            <w:r>
              <w:rPr>
                <w:rFonts w:ascii="Calibri" w:eastAsia="Calibri" w:hAnsi="Calibri" w:cs="Calibri"/>
                <w:sz w:val="18"/>
                <w:szCs w:val="18"/>
              </w:rPr>
              <w:t>ridership.</w:t>
            </w:r>
            <w:r>
              <w:rPr>
                <w:rFonts w:ascii="Calibri" w:eastAsia="Calibri" w:hAnsi="Calibri" w:cs="Calibri"/>
                <w:spacing w:val="-5"/>
                <w:sz w:val="18"/>
                <w:szCs w:val="18"/>
              </w:rPr>
              <w:t xml:space="preserve"> </w:t>
            </w:r>
            <w:r>
              <w:rPr>
                <w:rFonts w:ascii="Calibri" w:eastAsia="Calibri" w:hAnsi="Calibri" w:cs="Calibri"/>
                <w:spacing w:val="-1"/>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example,</w:t>
            </w:r>
            <w:r>
              <w:rPr>
                <w:rFonts w:ascii="Calibri" w:eastAsia="Calibri" w:hAnsi="Calibri" w:cs="Calibri"/>
                <w:spacing w:val="-4"/>
                <w:sz w:val="18"/>
                <w:szCs w:val="18"/>
              </w:rPr>
              <w:t xml:space="preserve"> </w:t>
            </w:r>
            <w:r>
              <w:rPr>
                <w:rFonts w:ascii="Calibri" w:eastAsia="Calibri" w:hAnsi="Calibri" w:cs="Calibri"/>
                <w:spacing w:val="-1"/>
                <w:sz w:val="18"/>
                <w:szCs w:val="18"/>
              </w:rPr>
              <w:t>the</w:t>
            </w:r>
            <w:r>
              <w:rPr>
                <w:rFonts w:ascii="Calibri" w:eastAsia="Calibri" w:hAnsi="Calibri" w:cs="Calibri"/>
                <w:spacing w:val="35"/>
                <w:w w:val="99"/>
                <w:sz w:val="18"/>
                <w:szCs w:val="18"/>
              </w:rPr>
              <w:t xml:space="preserve"> </w:t>
            </w:r>
            <w:r>
              <w:rPr>
                <w:rFonts w:ascii="Calibri" w:eastAsia="Calibri" w:hAnsi="Calibri" w:cs="Calibri"/>
                <w:spacing w:val="-1"/>
                <w:sz w:val="18"/>
                <w:szCs w:val="18"/>
              </w:rPr>
              <w:t>Consortium</w:t>
            </w:r>
            <w:r>
              <w:rPr>
                <w:rFonts w:ascii="Calibri" w:eastAsia="Calibri" w:hAnsi="Calibri" w:cs="Calibri"/>
                <w:spacing w:val="-7"/>
                <w:sz w:val="18"/>
                <w:szCs w:val="18"/>
              </w:rPr>
              <w:t xml:space="preserve"> </w:t>
            </w:r>
            <w:r>
              <w:rPr>
                <w:rFonts w:ascii="Calibri" w:eastAsia="Calibri" w:hAnsi="Calibri" w:cs="Calibri"/>
                <w:sz w:val="18"/>
                <w:szCs w:val="18"/>
              </w:rPr>
              <w:t>for</w:t>
            </w:r>
            <w:r>
              <w:rPr>
                <w:rFonts w:ascii="Calibri" w:eastAsia="Calibri" w:hAnsi="Calibri" w:cs="Calibri"/>
                <w:spacing w:val="-7"/>
                <w:sz w:val="18"/>
                <w:szCs w:val="18"/>
              </w:rPr>
              <w:t xml:space="preserve"> </w:t>
            </w:r>
            <w:r>
              <w:rPr>
                <w:rFonts w:ascii="Calibri" w:eastAsia="Calibri" w:hAnsi="Calibri" w:cs="Calibri"/>
                <w:spacing w:val="-1"/>
                <w:sz w:val="18"/>
                <w:szCs w:val="18"/>
              </w:rPr>
              <w:t>Energy</w:t>
            </w:r>
            <w:r>
              <w:rPr>
                <w:rFonts w:ascii="Calibri" w:eastAsia="Calibri" w:hAnsi="Calibri" w:cs="Calibri"/>
                <w:spacing w:val="-6"/>
                <w:sz w:val="18"/>
                <w:szCs w:val="18"/>
              </w:rPr>
              <w:t xml:space="preserve"> </w:t>
            </w:r>
            <w:r>
              <w:rPr>
                <w:rFonts w:ascii="Calibri" w:eastAsia="Calibri" w:hAnsi="Calibri" w:cs="Calibri"/>
                <w:spacing w:val="-1"/>
                <w:sz w:val="18"/>
                <w:szCs w:val="18"/>
              </w:rPr>
              <w:t>Efficiency</w:t>
            </w:r>
            <w:r>
              <w:rPr>
                <w:rFonts w:ascii="Calibri" w:eastAsia="Calibri" w:hAnsi="Calibri" w:cs="Calibri"/>
                <w:spacing w:val="-4"/>
                <w:sz w:val="18"/>
                <w:szCs w:val="18"/>
              </w:rPr>
              <w:t xml:space="preserve"> </w:t>
            </w:r>
            <w:r>
              <w:rPr>
                <w:rFonts w:ascii="Calibri" w:eastAsia="Calibri" w:hAnsi="Calibri" w:cs="Calibri"/>
                <w:sz w:val="18"/>
                <w:szCs w:val="18"/>
              </w:rPr>
              <w:t>(CEE)</w:t>
            </w:r>
            <w:r>
              <w:rPr>
                <w:rFonts w:ascii="Calibri" w:eastAsia="Calibri" w:hAnsi="Calibri" w:cs="Calibri"/>
                <w:position w:val="5"/>
                <w:sz w:val="12"/>
                <w:szCs w:val="12"/>
              </w:rPr>
              <w:t>[1]</w:t>
            </w:r>
            <w:r>
              <w:rPr>
                <w:rFonts w:ascii="Calibri" w:eastAsia="Calibri" w:hAnsi="Calibri" w:cs="Calibri"/>
                <w:spacing w:val="6"/>
                <w:position w:val="5"/>
                <w:sz w:val="12"/>
                <w:szCs w:val="12"/>
              </w:rPr>
              <w:t xml:space="preserve"> </w:t>
            </w:r>
            <w:r>
              <w:rPr>
                <w:rFonts w:ascii="Calibri" w:eastAsia="Calibri" w:hAnsi="Calibri" w:cs="Calibri"/>
                <w:spacing w:val="-1"/>
                <w:sz w:val="18"/>
                <w:szCs w:val="18"/>
              </w:rPr>
              <w:t>publishes</w:t>
            </w:r>
            <w:r>
              <w:rPr>
                <w:rFonts w:ascii="Calibri" w:eastAsia="Calibri" w:hAnsi="Calibri" w:cs="Calibri"/>
                <w:spacing w:val="-8"/>
                <w:sz w:val="18"/>
                <w:szCs w:val="18"/>
              </w:rPr>
              <w:t xml:space="preserve"> </w:t>
            </w:r>
            <w:r>
              <w:rPr>
                <w:rFonts w:ascii="Calibri" w:eastAsia="Calibri" w:hAnsi="Calibri" w:cs="Calibri"/>
                <w:spacing w:val="-1"/>
                <w:sz w:val="18"/>
                <w:szCs w:val="18"/>
              </w:rPr>
              <w:t>criteria</w:t>
            </w:r>
            <w:r>
              <w:rPr>
                <w:rFonts w:ascii="Calibri" w:eastAsia="Calibri" w:hAnsi="Calibri" w:cs="Calibri"/>
                <w:spacing w:val="57"/>
                <w:w w:val="99"/>
                <w:sz w:val="18"/>
                <w:szCs w:val="18"/>
              </w:rPr>
              <w:t xml:space="preserve"> </w:t>
            </w:r>
            <w:r>
              <w:rPr>
                <w:rFonts w:ascii="Calibri" w:eastAsia="Calibri" w:hAnsi="Calibri" w:cs="Calibri"/>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efficiency</w:t>
            </w:r>
            <w:r>
              <w:rPr>
                <w:rFonts w:ascii="Calibri" w:eastAsia="Calibri" w:hAnsi="Calibri" w:cs="Calibri"/>
                <w:spacing w:val="-5"/>
                <w:sz w:val="18"/>
                <w:szCs w:val="18"/>
              </w:rPr>
              <w:t xml:space="preserve"> </w:t>
            </w:r>
            <w:r>
              <w:rPr>
                <w:rFonts w:ascii="Calibri" w:eastAsia="Calibri" w:hAnsi="Calibri" w:cs="Calibri"/>
                <w:spacing w:val="-1"/>
                <w:sz w:val="18"/>
                <w:szCs w:val="18"/>
              </w:rPr>
              <w:t>tiers</w:t>
            </w:r>
            <w:r>
              <w:rPr>
                <w:rFonts w:ascii="Calibri" w:eastAsia="Calibri" w:hAnsi="Calibri" w:cs="Calibri"/>
                <w:spacing w:val="-4"/>
                <w:sz w:val="18"/>
                <w:szCs w:val="18"/>
              </w:rPr>
              <w:t xml:space="preserve"> </w:t>
            </w:r>
            <w:r>
              <w:rPr>
                <w:rFonts w:ascii="Calibri" w:eastAsia="Calibri" w:hAnsi="Calibri" w:cs="Calibri"/>
                <w:spacing w:val="-1"/>
                <w:sz w:val="18"/>
                <w:szCs w:val="18"/>
              </w:rPr>
              <w:t>beyond</w:t>
            </w:r>
            <w:r>
              <w:rPr>
                <w:rFonts w:ascii="Calibri" w:eastAsia="Calibri" w:hAnsi="Calibri" w:cs="Calibri"/>
                <w:spacing w:val="-6"/>
                <w:sz w:val="18"/>
                <w:szCs w:val="18"/>
              </w:rPr>
              <w:t xml:space="preserve"> </w:t>
            </w:r>
            <w:r>
              <w:rPr>
                <w:rFonts w:ascii="Calibri" w:eastAsia="Calibri" w:hAnsi="Calibri" w:cs="Calibri"/>
                <w:sz w:val="18"/>
                <w:szCs w:val="18"/>
              </w:rPr>
              <w:t>ENERGY</w:t>
            </w:r>
            <w:r>
              <w:rPr>
                <w:rFonts w:ascii="Calibri" w:eastAsia="Calibri" w:hAnsi="Calibri" w:cs="Calibri"/>
                <w:spacing w:val="-4"/>
                <w:sz w:val="18"/>
                <w:szCs w:val="18"/>
              </w:rPr>
              <w:t xml:space="preserve"> </w:t>
            </w:r>
            <w:r>
              <w:rPr>
                <w:rFonts w:ascii="Calibri" w:eastAsia="Calibri" w:hAnsi="Calibri" w:cs="Calibri"/>
                <w:spacing w:val="-1"/>
                <w:sz w:val="18"/>
                <w:szCs w:val="18"/>
              </w:rPr>
              <w:t>STAR®</w:t>
            </w:r>
            <w:r>
              <w:rPr>
                <w:rFonts w:ascii="Calibri" w:eastAsia="Calibri" w:hAnsi="Calibri" w:cs="Calibri"/>
                <w:spacing w:val="-5"/>
                <w:sz w:val="18"/>
                <w:szCs w:val="18"/>
              </w:rPr>
              <w:t xml:space="preserve"> </w:t>
            </w:r>
            <w:r>
              <w:rPr>
                <w:rFonts w:ascii="Calibri" w:eastAsia="Calibri" w:hAnsi="Calibri" w:cs="Calibri"/>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several</w:t>
            </w:r>
            <w:r>
              <w:rPr>
                <w:rFonts w:ascii="Calibri" w:eastAsia="Calibri" w:hAnsi="Calibri" w:cs="Calibri"/>
                <w:spacing w:val="41"/>
                <w:sz w:val="18"/>
                <w:szCs w:val="18"/>
              </w:rPr>
              <w:t xml:space="preserve"> </w:t>
            </w:r>
            <w:r>
              <w:rPr>
                <w:rFonts w:ascii="Calibri" w:eastAsia="Calibri" w:hAnsi="Calibri" w:cs="Calibri"/>
                <w:spacing w:val="-1"/>
                <w:sz w:val="18"/>
                <w:szCs w:val="18"/>
              </w:rPr>
              <w:t>residential</w:t>
            </w:r>
            <w:r>
              <w:rPr>
                <w:rFonts w:ascii="Calibri" w:eastAsia="Calibri" w:hAnsi="Calibri" w:cs="Calibri"/>
                <w:spacing w:val="-7"/>
                <w:sz w:val="18"/>
                <w:szCs w:val="18"/>
              </w:rPr>
              <w:t xml:space="preserve"> </w:t>
            </w:r>
            <w:r>
              <w:rPr>
                <w:rFonts w:ascii="Calibri" w:eastAsia="Calibri" w:hAnsi="Calibri" w:cs="Calibri"/>
                <w:spacing w:val="-1"/>
                <w:sz w:val="18"/>
                <w:szCs w:val="18"/>
              </w:rPr>
              <w:t>appliances</w:t>
            </w:r>
            <w:r>
              <w:rPr>
                <w:rFonts w:ascii="Calibri" w:eastAsia="Calibri" w:hAnsi="Calibri" w:cs="Calibri"/>
                <w:spacing w:val="-6"/>
                <w:sz w:val="18"/>
                <w:szCs w:val="18"/>
              </w:rPr>
              <w:t xml:space="preserve"> </w:t>
            </w:r>
            <w:r>
              <w:rPr>
                <w:rFonts w:ascii="Calibri" w:eastAsia="Calibri" w:hAnsi="Calibri" w:cs="Calibri"/>
                <w:sz w:val="18"/>
                <w:szCs w:val="18"/>
              </w:rPr>
              <w:t>and</w:t>
            </w:r>
            <w:r>
              <w:rPr>
                <w:rFonts w:ascii="Calibri" w:eastAsia="Calibri" w:hAnsi="Calibri" w:cs="Calibri"/>
                <w:spacing w:val="-7"/>
                <w:sz w:val="18"/>
                <w:szCs w:val="18"/>
              </w:rPr>
              <w:t xml:space="preserve"> </w:t>
            </w:r>
            <w:r>
              <w:rPr>
                <w:rFonts w:ascii="Calibri" w:eastAsia="Calibri" w:hAnsi="Calibri" w:cs="Calibri"/>
                <w:spacing w:val="-1"/>
                <w:sz w:val="18"/>
                <w:szCs w:val="18"/>
              </w:rPr>
              <w:t>equipment.</w:t>
            </w:r>
            <w:r>
              <w:rPr>
                <w:rFonts w:ascii="Calibri" w:eastAsia="Calibri" w:hAnsi="Calibri" w:cs="Calibri"/>
                <w:spacing w:val="-5"/>
                <w:sz w:val="18"/>
                <w:szCs w:val="18"/>
              </w:rPr>
              <w:t xml:space="preserve"> </w:t>
            </w:r>
            <w:r>
              <w:rPr>
                <w:rFonts w:ascii="Calibri" w:eastAsia="Calibri" w:hAnsi="Calibri" w:cs="Calibri"/>
                <w:sz w:val="18"/>
                <w:szCs w:val="18"/>
              </w:rPr>
              <w:t>Also,</w:t>
            </w:r>
            <w:r>
              <w:rPr>
                <w:rFonts w:ascii="Calibri" w:eastAsia="Calibri" w:hAnsi="Calibri" w:cs="Calibri"/>
                <w:spacing w:val="-6"/>
                <w:sz w:val="18"/>
                <w:szCs w:val="18"/>
              </w:rPr>
              <w:t xml:space="preserve"> </w:t>
            </w:r>
            <w:r>
              <w:rPr>
                <w:rFonts w:ascii="Calibri" w:eastAsia="Calibri" w:hAnsi="Calibri" w:cs="Calibri"/>
                <w:sz w:val="18"/>
                <w:szCs w:val="18"/>
              </w:rPr>
              <w:t>one</w:t>
            </w:r>
            <w:r>
              <w:rPr>
                <w:rFonts w:ascii="Calibri" w:eastAsia="Calibri" w:hAnsi="Calibri" w:cs="Calibri"/>
                <w:spacing w:val="-6"/>
                <w:sz w:val="18"/>
                <w:szCs w:val="18"/>
              </w:rPr>
              <w:t xml:space="preserve"> </w:t>
            </w:r>
            <w:r>
              <w:rPr>
                <w:rFonts w:ascii="Calibri" w:eastAsia="Calibri" w:hAnsi="Calibri" w:cs="Calibri"/>
                <w:sz w:val="18"/>
                <w:szCs w:val="18"/>
              </w:rPr>
              <w:t>CEE</w:t>
            </w:r>
            <w:r>
              <w:rPr>
                <w:rFonts w:ascii="Calibri" w:eastAsia="Calibri" w:hAnsi="Calibri" w:cs="Calibri"/>
                <w:spacing w:val="45"/>
                <w:w w:val="99"/>
                <w:sz w:val="18"/>
                <w:szCs w:val="18"/>
              </w:rPr>
              <w:t xml:space="preserve"> </w:t>
            </w:r>
            <w:r>
              <w:rPr>
                <w:rFonts w:ascii="Calibri" w:eastAsia="Calibri" w:hAnsi="Calibri" w:cs="Calibri"/>
                <w:spacing w:val="-1"/>
                <w:sz w:val="18"/>
                <w:szCs w:val="18"/>
              </w:rPr>
              <w:t>initiative</w:t>
            </w:r>
            <w:r>
              <w:rPr>
                <w:rFonts w:ascii="Calibri" w:eastAsia="Calibri" w:hAnsi="Calibri" w:cs="Calibri"/>
                <w:spacing w:val="-7"/>
                <w:sz w:val="18"/>
                <w:szCs w:val="18"/>
              </w:rPr>
              <w:t xml:space="preserve"> </w:t>
            </w:r>
            <w:r>
              <w:rPr>
                <w:rFonts w:ascii="Calibri" w:eastAsia="Calibri" w:hAnsi="Calibri" w:cs="Calibri"/>
                <w:spacing w:val="-1"/>
                <w:sz w:val="18"/>
                <w:szCs w:val="18"/>
              </w:rPr>
              <w:t>defines</w:t>
            </w:r>
            <w:r>
              <w:rPr>
                <w:rFonts w:ascii="Calibri" w:eastAsia="Calibri" w:hAnsi="Calibri" w:cs="Calibri"/>
                <w:spacing w:val="-4"/>
                <w:sz w:val="18"/>
                <w:szCs w:val="18"/>
              </w:rPr>
              <w:t xml:space="preserve"> </w:t>
            </w:r>
            <w:r>
              <w:rPr>
                <w:rFonts w:ascii="Calibri" w:eastAsia="Calibri" w:hAnsi="Calibri" w:cs="Calibri"/>
                <w:sz w:val="18"/>
                <w:szCs w:val="18"/>
              </w:rPr>
              <w:t>two</w:t>
            </w:r>
            <w:r>
              <w:rPr>
                <w:rFonts w:ascii="Calibri" w:eastAsia="Calibri" w:hAnsi="Calibri" w:cs="Calibri"/>
                <w:spacing w:val="-4"/>
                <w:sz w:val="18"/>
                <w:szCs w:val="18"/>
              </w:rPr>
              <w:t xml:space="preserve"> </w:t>
            </w:r>
            <w:r>
              <w:rPr>
                <w:rFonts w:ascii="Calibri" w:eastAsia="Calibri" w:hAnsi="Calibri" w:cs="Calibri"/>
                <w:spacing w:val="-1"/>
                <w:sz w:val="18"/>
                <w:szCs w:val="18"/>
              </w:rPr>
              <w:t>efficiency</w:t>
            </w:r>
            <w:r>
              <w:rPr>
                <w:rFonts w:ascii="Calibri" w:eastAsia="Calibri" w:hAnsi="Calibri" w:cs="Calibri"/>
                <w:spacing w:val="-5"/>
                <w:sz w:val="18"/>
                <w:szCs w:val="18"/>
              </w:rPr>
              <w:t xml:space="preserve"> </w:t>
            </w:r>
            <w:r>
              <w:rPr>
                <w:rFonts w:ascii="Calibri" w:eastAsia="Calibri" w:hAnsi="Calibri" w:cs="Calibri"/>
                <w:spacing w:val="-1"/>
                <w:sz w:val="18"/>
                <w:szCs w:val="18"/>
              </w:rPr>
              <w:t>tiers</w:t>
            </w:r>
            <w:r>
              <w:rPr>
                <w:rFonts w:ascii="Calibri" w:eastAsia="Calibri" w:hAnsi="Calibri" w:cs="Calibri"/>
                <w:spacing w:val="-7"/>
                <w:sz w:val="18"/>
                <w:szCs w:val="18"/>
              </w:rPr>
              <w:t xml:space="preserve"> </w:t>
            </w:r>
            <w:r>
              <w:rPr>
                <w:rFonts w:ascii="Calibri" w:eastAsia="Calibri" w:hAnsi="Calibri" w:cs="Calibri"/>
                <w:sz w:val="18"/>
                <w:szCs w:val="18"/>
              </w:rPr>
              <w:t>above</w:t>
            </w:r>
            <w:r>
              <w:rPr>
                <w:rFonts w:ascii="Calibri" w:eastAsia="Calibri" w:hAnsi="Calibri" w:cs="Calibri"/>
                <w:spacing w:val="-6"/>
                <w:sz w:val="18"/>
                <w:szCs w:val="18"/>
              </w:rPr>
              <w:t xml:space="preserve"> </w:t>
            </w:r>
            <w:r>
              <w:rPr>
                <w:rFonts w:ascii="Calibri" w:eastAsia="Calibri" w:hAnsi="Calibri" w:cs="Calibri"/>
                <w:sz w:val="18"/>
                <w:szCs w:val="18"/>
              </w:rPr>
              <w:t>ENERGY</w:t>
            </w:r>
            <w:r>
              <w:rPr>
                <w:rFonts w:ascii="Calibri" w:eastAsia="Calibri" w:hAnsi="Calibri" w:cs="Calibri"/>
                <w:spacing w:val="-4"/>
                <w:sz w:val="18"/>
                <w:szCs w:val="18"/>
              </w:rPr>
              <w:t xml:space="preserve"> </w:t>
            </w:r>
            <w:r>
              <w:rPr>
                <w:rFonts w:ascii="Calibri" w:eastAsia="Calibri" w:hAnsi="Calibri" w:cs="Calibri"/>
                <w:spacing w:val="-1"/>
                <w:sz w:val="18"/>
                <w:szCs w:val="18"/>
              </w:rPr>
              <w:t>STAR®</w:t>
            </w:r>
            <w:r>
              <w:rPr>
                <w:rFonts w:ascii="Calibri" w:eastAsia="Calibri" w:hAnsi="Calibri" w:cs="Calibri"/>
                <w:spacing w:val="41"/>
                <w:w w:val="99"/>
                <w:sz w:val="18"/>
                <w:szCs w:val="18"/>
              </w:rPr>
              <w:t xml:space="preserve"> </w:t>
            </w:r>
            <w:r>
              <w:rPr>
                <w:rFonts w:ascii="Calibri" w:eastAsia="Calibri" w:hAnsi="Calibri" w:cs="Calibri"/>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residential</w:t>
            </w:r>
            <w:r>
              <w:rPr>
                <w:rFonts w:ascii="Calibri" w:eastAsia="Calibri" w:hAnsi="Calibri" w:cs="Calibri"/>
                <w:spacing w:val="-6"/>
                <w:sz w:val="18"/>
                <w:szCs w:val="18"/>
              </w:rPr>
              <w:t xml:space="preserve"> </w:t>
            </w:r>
            <w:r>
              <w:rPr>
                <w:rFonts w:ascii="Calibri" w:eastAsia="Calibri" w:hAnsi="Calibri" w:cs="Calibri"/>
                <w:spacing w:val="-1"/>
                <w:sz w:val="18"/>
                <w:szCs w:val="18"/>
              </w:rPr>
              <w:t>clothes</w:t>
            </w:r>
            <w:r>
              <w:rPr>
                <w:rFonts w:ascii="Calibri" w:eastAsia="Calibri" w:hAnsi="Calibri" w:cs="Calibri"/>
                <w:spacing w:val="-6"/>
                <w:sz w:val="18"/>
                <w:szCs w:val="18"/>
              </w:rPr>
              <w:t xml:space="preserve"> </w:t>
            </w:r>
            <w:r>
              <w:rPr>
                <w:rFonts w:ascii="Calibri" w:eastAsia="Calibri" w:hAnsi="Calibri" w:cs="Calibri"/>
                <w:spacing w:val="-1"/>
                <w:sz w:val="18"/>
                <w:szCs w:val="18"/>
              </w:rPr>
              <w:t>washers.</w:t>
            </w:r>
            <w:r>
              <w:rPr>
                <w:rFonts w:ascii="Calibri" w:eastAsia="Calibri" w:hAnsi="Calibri" w:cs="Calibri"/>
                <w:spacing w:val="-1"/>
                <w:position w:val="5"/>
                <w:sz w:val="12"/>
                <w:szCs w:val="12"/>
              </w:rPr>
              <w:t>[2]</w:t>
            </w:r>
            <w:r>
              <w:rPr>
                <w:rFonts w:ascii="Calibri" w:eastAsia="Calibri" w:hAnsi="Calibri" w:cs="Calibri"/>
                <w:spacing w:val="10"/>
                <w:position w:val="5"/>
                <w:sz w:val="12"/>
                <w:szCs w:val="12"/>
              </w:rPr>
              <w:t xml:space="preserve"> </w:t>
            </w:r>
            <w:r>
              <w:rPr>
                <w:rFonts w:ascii="Calibri" w:eastAsia="Calibri" w:hAnsi="Calibri" w:cs="Calibri"/>
                <w:spacing w:val="-1"/>
                <w:sz w:val="18"/>
                <w:szCs w:val="18"/>
              </w:rPr>
              <w:t>However,</w:t>
            </w:r>
            <w:r>
              <w:rPr>
                <w:rFonts w:ascii="Calibri" w:eastAsia="Calibri" w:hAnsi="Calibri" w:cs="Calibri"/>
                <w:spacing w:val="-5"/>
                <w:sz w:val="18"/>
                <w:szCs w:val="18"/>
              </w:rPr>
              <w:t xml:space="preserve"> </w:t>
            </w:r>
            <w:r>
              <w:rPr>
                <w:rFonts w:ascii="Calibri" w:eastAsia="Calibri" w:hAnsi="Calibri" w:cs="Calibri"/>
                <w:spacing w:val="-1"/>
                <w:sz w:val="18"/>
                <w:szCs w:val="18"/>
              </w:rPr>
              <w:t>this</w:t>
            </w:r>
            <w:r>
              <w:rPr>
                <w:rFonts w:ascii="Calibri" w:eastAsia="Calibri" w:hAnsi="Calibri" w:cs="Calibri"/>
                <w:spacing w:val="-6"/>
                <w:sz w:val="18"/>
                <w:szCs w:val="18"/>
              </w:rPr>
              <w:t xml:space="preserve"> </w:t>
            </w:r>
            <w:r>
              <w:rPr>
                <w:rFonts w:ascii="Calibri" w:eastAsia="Calibri" w:hAnsi="Calibri" w:cs="Calibri"/>
                <w:sz w:val="18"/>
                <w:szCs w:val="18"/>
              </w:rPr>
              <w:t>was</w:t>
            </w:r>
            <w:r>
              <w:rPr>
                <w:rFonts w:ascii="Calibri" w:eastAsia="Calibri" w:hAnsi="Calibri" w:cs="Calibri"/>
                <w:spacing w:val="-6"/>
                <w:sz w:val="18"/>
                <w:szCs w:val="18"/>
              </w:rPr>
              <w:t xml:space="preserve"> </w:t>
            </w:r>
            <w:r>
              <w:rPr>
                <w:rFonts w:ascii="Calibri" w:eastAsia="Calibri" w:hAnsi="Calibri" w:cs="Calibri"/>
                <w:sz w:val="18"/>
                <w:szCs w:val="18"/>
              </w:rPr>
              <w:t>not</w:t>
            </w:r>
            <w:r>
              <w:rPr>
                <w:rFonts w:ascii="Calibri" w:eastAsia="Calibri" w:hAnsi="Calibri" w:cs="Calibri"/>
                <w:spacing w:val="-5"/>
                <w:sz w:val="18"/>
                <w:szCs w:val="18"/>
              </w:rPr>
              <w:t xml:space="preserve"> </w:t>
            </w:r>
            <w:r>
              <w:rPr>
                <w:rFonts w:ascii="Calibri" w:eastAsia="Calibri" w:hAnsi="Calibri" w:cs="Calibri"/>
                <w:spacing w:val="-1"/>
                <w:sz w:val="18"/>
                <w:szCs w:val="18"/>
              </w:rPr>
              <w:t>part</w:t>
            </w:r>
            <w:r>
              <w:rPr>
                <w:rFonts w:ascii="Calibri" w:eastAsia="Calibri" w:hAnsi="Calibri" w:cs="Calibri"/>
                <w:spacing w:val="63"/>
                <w:w w:val="99"/>
                <w:sz w:val="18"/>
                <w:szCs w:val="18"/>
              </w:rPr>
              <w:t xml:space="preserve"> </w:t>
            </w:r>
            <w:r>
              <w:rPr>
                <w:rFonts w:ascii="Calibri" w:eastAsia="Calibri" w:hAnsi="Calibri" w:cs="Calibri"/>
                <w:sz w:val="18"/>
                <w:szCs w:val="18"/>
              </w:rPr>
              <w:t>of</w:t>
            </w:r>
            <w:r>
              <w:rPr>
                <w:rFonts w:ascii="Calibri" w:eastAsia="Calibri" w:hAnsi="Calibri" w:cs="Calibri"/>
                <w:spacing w:val="-4"/>
                <w:sz w:val="18"/>
                <w:szCs w:val="18"/>
              </w:rPr>
              <w:t xml:space="preserve"> </w:t>
            </w:r>
            <w:r>
              <w:rPr>
                <w:rFonts w:ascii="Calibri" w:eastAsia="Calibri" w:hAnsi="Calibri" w:cs="Calibri"/>
                <w:spacing w:val="-1"/>
                <w:sz w:val="18"/>
                <w:szCs w:val="18"/>
              </w:rPr>
              <w:t>the</w:t>
            </w:r>
            <w:r>
              <w:rPr>
                <w:rFonts w:ascii="Calibri" w:eastAsia="Calibri" w:hAnsi="Calibri" w:cs="Calibri"/>
                <w:spacing w:val="-4"/>
                <w:sz w:val="18"/>
                <w:szCs w:val="18"/>
              </w:rPr>
              <w:t xml:space="preserve"> </w:t>
            </w:r>
            <w:r>
              <w:rPr>
                <w:rFonts w:ascii="Calibri" w:eastAsia="Calibri" w:hAnsi="Calibri" w:cs="Calibri"/>
                <w:spacing w:val="-1"/>
                <w:sz w:val="18"/>
                <w:szCs w:val="18"/>
              </w:rPr>
              <w:t>utility’s</w:t>
            </w:r>
            <w:r>
              <w:rPr>
                <w:rFonts w:ascii="Calibri" w:eastAsia="Calibri" w:hAnsi="Calibri" w:cs="Calibri"/>
                <w:spacing w:val="-4"/>
                <w:sz w:val="18"/>
                <w:szCs w:val="18"/>
              </w:rPr>
              <w:t xml:space="preserve"> </w:t>
            </w:r>
            <w:r>
              <w:rPr>
                <w:rFonts w:ascii="Calibri" w:eastAsia="Calibri" w:hAnsi="Calibri" w:cs="Calibri"/>
                <w:spacing w:val="-1"/>
                <w:sz w:val="18"/>
                <w:szCs w:val="18"/>
              </w:rPr>
              <w:t>Phase</w:t>
            </w:r>
            <w:r>
              <w:rPr>
                <w:rFonts w:ascii="Calibri" w:eastAsia="Calibri" w:hAnsi="Calibri" w:cs="Calibri"/>
                <w:spacing w:val="-4"/>
                <w:sz w:val="18"/>
                <w:szCs w:val="18"/>
              </w:rPr>
              <w:t xml:space="preserve"> </w:t>
            </w:r>
            <w:r>
              <w:rPr>
                <w:rFonts w:ascii="Calibri" w:eastAsia="Calibri" w:hAnsi="Calibri" w:cs="Calibri"/>
                <w:sz w:val="18"/>
                <w:szCs w:val="18"/>
              </w:rPr>
              <w:t>III</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Calibri" w:eastAsia="Calibri" w:hAnsi="Calibri" w:cs="Calibri"/>
                <w:spacing w:val="-4"/>
                <w:sz w:val="18"/>
                <w:szCs w:val="18"/>
              </w:rPr>
              <w:t xml:space="preserve"> </w:t>
            </w:r>
            <w:r>
              <w:rPr>
                <w:rFonts w:ascii="Calibri" w:eastAsia="Calibri" w:hAnsi="Calibri" w:cs="Calibri"/>
                <w:sz w:val="18"/>
                <w:szCs w:val="18"/>
              </w:rPr>
              <w:t>would</w:t>
            </w:r>
            <w:r>
              <w:rPr>
                <w:rFonts w:ascii="Calibri" w:eastAsia="Calibri" w:hAnsi="Calibri" w:cs="Calibri"/>
                <w:spacing w:val="-4"/>
                <w:sz w:val="18"/>
                <w:szCs w:val="18"/>
              </w:rPr>
              <w:t xml:space="preserve"> </w:t>
            </w:r>
            <w:r>
              <w:rPr>
                <w:rFonts w:ascii="Calibri" w:eastAsia="Calibri" w:hAnsi="Calibri" w:cs="Calibri"/>
                <w:spacing w:val="-1"/>
                <w:sz w:val="18"/>
                <w:szCs w:val="18"/>
              </w:rPr>
              <w:t>likely</w:t>
            </w:r>
            <w:r>
              <w:rPr>
                <w:rFonts w:ascii="Calibri" w:eastAsia="Calibri" w:hAnsi="Calibri" w:cs="Calibri"/>
                <w:spacing w:val="-3"/>
                <w:sz w:val="18"/>
                <w:szCs w:val="18"/>
              </w:rPr>
              <w:t xml:space="preserve"> </w:t>
            </w:r>
            <w:r>
              <w:rPr>
                <w:rFonts w:ascii="Calibri" w:eastAsia="Calibri" w:hAnsi="Calibri" w:cs="Calibri"/>
                <w:spacing w:val="-1"/>
                <w:sz w:val="18"/>
                <w:szCs w:val="18"/>
              </w:rPr>
              <w:t>require</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3"/>
                <w:sz w:val="18"/>
                <w:szCs w:val="18"/>
              </w:rPr>
              <w:t xml:space="preserve"> </w:t>
            </w:r>
            <w:r>
              <w:rPr>
                <w:rFonts w:ascii="Calibri" w:eastAsia="Calibri" w:hAnsi="Calibri" w:cs="Calibri"/>
                <w:spacing w:val="-1"/>
                <w:sz w:val="18"/>
                <w:szCs w:val="18"/>
              </w:rPr>
              <w:t>refiling</w:t>
            </w:r>
            <w:r>
              <w:rPr>
                <w:rFonts w:ascii="Calibri" w:eastAsia="Calibri" w:hAnsi="Calibri" w:cs="Calibri"/>
                <w:spacing w:val="-4"/>
                <w:sz w:val="18"/>
                <w:szCs w:val="18"/>
              </w:rPr>
              <w:t xml:space="preserve"> </w:t>
            </w:r>
            <w:r>
              <w:rPr>
                <w:rFonts w:ascii="Calibri" w:eastAsia="Calibri" w:hAnsi="Calibri" w:cs="Calibri"/>
                <w:spacing w:val="-1"/>
                <w:sz w:val="18"/>
                <w:szCs w:val="18"/>
              </w:rPr>
              <w:t>to</w:t>
            </w:r>
            <w:r>
              <w:rPr>
                <w:rFonts w:ascii="Calibri" w:eastAsia="Calibri" w:hAnsi="Calibri" w:cs="Calibri"/>
                <w:spacing w:val="55"/>
                <w:w w:val="99"/>
                <w:sz w:val="18"/>
                <w:szCs w:val="18"/>
              </w:rPr>
              <w:t xml:space="preserve"> </w:t>
            </w:r>
            <w:r>
              <w:rPr>
                <w:rFonts w:ascii="Calibri" w:eastAsia="Calibri" w:hAnsi="Calibri" w:cs="Calibri"/>
                <w:spacing w:val="-1"/>
                <w:sz w:val="18"/>
                <w:szCs w:val="18"/>
              </w:rPr>
              <w:t>implement.</w:t>
            </w:r>
            <w:r>
              <w:rPr>
                <w:rFonts w:ascii="Calibri" w:eastAsia="Calibri" w:hAnsi="Calibri" w:cs="Calibri"/>
                <w:spacing w:val="33"/>
                <w:sz w:val="18"/>
                <w:szCs w:val="18"/>
              </w:rPr>
              <w:t xml:space="preserve"> </w:t>
            </w:r>
            <w:r>
              <w:rPr>
                <w:rFonts w:ascii="Calibri" w:eastAsia="Calibri" w:hAnsi="Calibri" w:cs="Calibri"/>
                <w:sz w:val="18"/>
                <w:szCs w:val="18"/>
              </w:rPr>
              <w:t>It</w:t>
            </w:r>
            <w:r>
              <w:rPr>
                <w:rFonts w:ascii="Calibri" w:eastAsia="Calibri" w:hAnsi="Calibri" w:cs="Calibri"/>
                <w:spacing w:val="-5"/>
                <w:sz w:val="18"/>
                <w:szCs w:val="18"/>
              </w:rPr>
              <w:t xml:space="preserve"> </w:t>
            </w:r>
            <w:r>
              <w:rPr>
                <w:rFonts w:ascii="Calibri" w:eastAsia="Calibri" w:hAnsi="Calibri" w:cs="Calibri"/>
                <w:spacing w:val="-1"/>
                <w:sz w:val="18"/>
                <w:szCs w:val="18"/>
              </w:rPr>
              <w:t>also</w:t>
            </w:r>
            <w:r>
              <w:rPr>
                <w:rFonts w:ascii="Calibri" w:eastAsia="Calibri" w:hAnsi="Calibri" w:cs="Calibri"/>
                <w:spacing w:val="-2"/>
                <w:sz w:val="18"/>
                <w:szCs w:val="18"/>
              </w:rPr>
              <w:t xml:space="preserve"> </w:t>
            </w:r>
            <w:r>
              <w:rPr>
                <w:rFonts w:ascii="Calibri" w:eastAsia="Calibri" w:hAnsi="Calibri" w:cs="Calibri"/>
                <w:sz w:val="18"/>
                <w:szCs w:val="18"/>
              </w:rPr>
              <w:t>may</w:t>
            </w:r>
            <w:r>
              <w:rPr>
                <w:rFonts w:ascii="Calibri" w:eastAsia="Calibri" w:hAnsi="Calibri" w:cs="Calibri"/>
                <w:spacing w:val="-4"/>
                <w:sz w:val="18"/>
                <w:szCs w:val="18"/>
              </w:rPr>
              <w:t xml:space="preserve"> </w:t>
            </w:r>
            <w:r>
              <w:rPr>
                <w:rFonts w:ascii="Calibri" w:eastAsia="Calibri" w:hAnsi="Calibri" w:cs="Calibri"/>
                <w:sz w:val="18"/>
                <w:szCs w:val="18"/>
              </w:rPr>
              <w:t>or</w:t>
            </w:r>
            <w:r>
              <w:rPr>
                <w:rFonts w:ascii="Calibri" w:eastAsia="Calibri" w:hAnsi="Calibri" w:cs="Calibri"/>
                <w:spacing w:val="-5"/>
                <w:sz w:val="18"/>
                <w:szCs w:val="18"/>
              </w:rPr>
              <w:t xml:space="preserve"> </w:t>
            </w:r>
            <w:r>
              <w:rPr>
                <w:rFonts w:ascii="Calibri" w:eastAsia="Calibri" w:hAnsi="Calibri" w:cs="Calibri"/>
                <w:sz w:val="18"/>
                <w:szCs w:val="18"/>
              </w:rPr>
              <w:t>may</w:t>
            </w:r>
            <w:r>
              <w:rPr>
                <w:rFonts w:ascii="Calibri" w:eastAsia="Calibri" w:hAnsi="Calibri" w:cs="Calibri"/>
                <w:spacing w:val="-3"/>
                <w:sz w:val="18"/>
                <w:szCs w:val="18"/>
              </w:rPr>
              <w:t xml:space="preserve"> </w:t>
            </w:r>
            <w:r>
              <w:rPr>
                <w:rFonts w:ascii="Calibri" w:eastAsia="Calibri" w:hAnsi="Calibri" w:cs="Calibri"/>
                <w:sz w:val="18"/>
                <w:szCs w:val="18"/>
              </w:rPr>
              <w:t>not</w:t>
            </w:r>
            <w:r>
              <w:rPr>
                <w:rFonts w:ascii="Calibri" w:eastAsia="Calibri" w:hAnsi="Calibri" w:cs="Calibri"/>
                <w:spacing w:val="-5"/>
                <w:sz w:val="18"/>
                <w:szCs w:val="18"/>
              </w:rPr>
              <w:t xml:space="preserve"> </w:t>
            </w:r>
            <w:r>
              <w:rPr>
                <w:rFonts w:ascii="Calibri" w:eastAsia="Calibri" w:hAnsi="Calibri" w:cs="Calibri"/>
                <w:spacing w:val="-1"/>
                <w:sz w:val="18"/>
                <w:szCs w:val="18"/>
              </w:rPr>
              <w:t>be</w:t>
            </w:r>
            <w:r>
              <w:rPr>
                <w:rFonts w:ascii="Calibri" w:eastAsia="Calibri" w:hAnsi="Calibri" w:cs="Calibri"/>
                <w:spacing w:val="-4"/>
                <w:sz w:val="18"/>
                <w:szCs w:val="18"/>
              </w:rPr>
              <w:t xml:space="preserve"> </w:t>
            </w:r>
            <w:r>
              <w:rPr>
                <w:rFonts w:ascii="Calibri" w:eastAsia="Calibri" w:hAnsi="Calibri" w:cs="Calibri"/>
                <w:spacing w:val="-1"/>
                <w:sz w:val="18"/>
                <w:szCs w:val="18"/>
              </w:rPr>
              <w:t>worthwhile</w:t>
            </w:r>
            <w:r>
              <w:rPr>
                <w:rFonts w:ascii="Calibri" w:eastAsia="Calibri" w:hAnsi="Calibri" w:cs="Calibri"/>
                <w:spacing w:val="-5"/>
                <w:sz w:val="18"/>
                <w:szCs w:val="18"/>
              </w:rPr>
              <w:t xml:space="preserve"> </w:t>
            </w:r>
            <w:r>
              <w:rPr>
                <w:rFonts w:ascii="Calibri" w:eastAsia="Calibri" w:hAnsi="Calibri" w:cs="Calibri"/>
                <w:sz w:val="18"/>
                <w:szCs w:val="18"/>
              </w:rPr>
              <w:t>offering</w:t>
            </w:r>
            <w:r>
              <w:rPr>
                <w:rFonts w:ascii="Calibri" w:eastAsia="Calibri" w:hAnsi="Calibri" w:cs="Calibri"/>
                <w:spacing w:val="33"/>
                <w:w w:val="99"/>
                <w:sz w:val="18"/>
                <w:szCs w:val="18"/>
              </w:rPr>
              <w:t xml:space="preserve"> </w:t>
            </w:r>
            <w:r>
              <w:rPr>
                <w:rFonts w:ascii="Calibri" w:eastAsia="Calibri" w:hAnsi="Calibri" w:cs="Calibri"/>
                <w:spacing w:val="-1"/>
                <w:sz w:val="18"/>
                <w:szCs w:val="18"/>
              </w:rPr>
              <w:t>tiered</w:t>
            </w:r>
            <w:r>
              <w:rPr>
                <w:rFonts w:ascii="Calibri" w:eastAsia="Calibri" w:hAnsi="Calibri" w:cs="Calibri"/>
                <w:spacing w:val="-6"/>
                <w:sz w:val="18"/>
                <w:szCs w:val="18"/>
              </w:rPr>
              <w:t xml:space="preserve"> </w:t>
            </w:r>
            <w:r>
              <w:rPr>
                <w:rFonts w:ascii="Calibri" w:eastAsia="Calibri" w:hAnsi="Calibri" w:cs="Calibri"/>
                <w:spacing w:val="-1"/>
                <w:sz w:val="18"/>
                <w:szCs w:val="18"/>
              </w:rPr>
              <w:t>incentives,</w:t>
            </w:r>
            <w:r>
              <w:rPr>
                <w:rFonts w:ascii="Calibri" w:eastAsia="Calibri" w:hAnsi="Calibri" w:cs="Calibri"/>
                <w:spacing w:val="-5"/>
                <w:sz w:val="18"/>
                <w:szCs w:val="18"/>
              </w:rPr>
              <w:t xml:space="preserve"> </w:t>
            </w:r>
            <w:r>
              <w:rPr>
                <w:rFonts w:ascii="Calibri" w:eastAsia="Calibri" w:hAnsi="Calibri" w:cs="Calibri"/>
                <w:spacing w:val="-1"/>
                <w:sz w:val="18"/>
                <w:szCs w:val="18"/>
              </w:rPr>
              <w:t>given</w:t>
            </w:r>
            <w:r>
              <w:rPr>
                <w:rFonts w:ascii="Calibri" w:eastAsia="Calibri" w:hAnsi="Calibri" w:cs="Calibri"/>
                <w:spacing w:val="-6"/>
                <w:sz w:val="18"/>
                <w:szCs w:val="18"/>
              </w:rPr>
              <w:t xml:space="preserve"> </w:t>
            </w:r>
            <w:r>
              <w:rPr>
                <w:rFonts w:ascii="Calibri" w:eastAsia="Calibri" w:hAnsi="Calibri" w:cs="Calibri"/>
                <w:sz w:val="18"/>
                <w:szCs w:val="18"/>
              </w:rPr>
              <w:t>the</w:t>
            </w:r>
            <w:r>
              <w:rPr>
                <w:rFonts w:ascii="Calibri" w:eastAsia="Calibri" w:hAnsi="Calibri" w:cs="Calibri"/>
                <w:spacing w:val="-5"/>
                <w:sz w:val="18"/>
                <w:szCs w:val="18"/>
              </w:rPr>
              <w:t xml:space="preserve"> </w:t>
            </w:r>
            <w:r>
              <w:rPr>
                <w:rFonts w:ascii="Calibri" w:eastAsia="Calibri" w:hAnsi="Calibri" w:cs="Calibri"/>
                <w:sz w:val="18"/>
                <w:szCs w:val="18"/>
              </w:rPr>
              <w:t>low</w:t>
            </w:r>
            <w:r>
              <w:rPr>
                <w:rFonts w:ascii="Calibri" w:eastAsia="Calibri" w:hAnsi="Calibri" w:cs="Calibri"/>
                <w:spacing w:val="-4"/>
                <w:sz w:val="18"/>
                <w:szCs w:val="18"/>
              </w:rPr>
              <w:t xml:space="preserve"> </w:t>
            </w:r>
            <w:r>
              <w:rPr>
                <w:rFonts w:ascii="Calibri" w:eastAsia="Calibri" w:hAnsi="Calibri" w:cs="Calibri"/>
                <w:spacing w:val="-1"/>
                <w:sz w:val="18"/>
                <w:szCs w:val="18"/>
              </w:rPr>
              <w:t>penetration</w:t>
            </w:r>
            <w:r>
              <w:rPr>
                <w:rFonts w:ascii="Calibri" w:eastAsia="Calibri" w:hAnsi="Calibri" w:cs="Calibri"/>
                <w:spacing w:val="-6"/>
                <w:sz w:val="18"/>
                <w:szCs w:val="18"/>
              </w:rPr>
              <w:t xml:space="preserve"> </w:t>
            </w:r>
            <w:r>
              <w:rPr>
                <w:rFonts w:ascii="Calibri" w:eastAsia="Calibri" w:hAnsi="Calibri" w:cs="Calibri"/>
                <w:sz w:val="18"/>
                <w:szCs w:val="18"/>
              </w:rPr>
              <w:t>of</w:t>
            </w:r>
            <w:r>
              <w:rPr>
                <w:rFonts w:ascii="Calibri" w:eastAsia="Calibri" w:hAnsi="Calibri" w:cs="Calibri"/>
                <w:spacing w:val="-4"/>
                <w:sz w:val="18"/>
                <w:szCs w:val="18"/>
              </w:rPr>
              <w:t xml:space="preserve"> </w:t>
            </w:r>
            <w:r>
              <w:rPr>
                <w:rFonts w:ascii="Calibri" w:eastAsia="Calibri" w:hAnsi="Calibri" w:cs="Calibri"/>
                <w:spacing w:val="-1"/>
                <w:sz w:val="18"/>
                <w:szCs w:val="18"/>
              </w:rPr>
              <w:t>electric</w:t>
            </w:r>
            <w:r>
              <w:rPr>
                <w:rFonts w:ascii="Calibri" w:eastAsia="Calibri" w:hAnsi="Calibri" w:cs="Calibri"/>
                <w:spacing w:val="-5"/>
                <w:sz w:val="18"/>
                <w:szCs w:val="18"/>
              </w:rPr>
              <w:t xml:space="preserve"> </w:t>
            </w:r>
            <w:r>
              <w:rPr>
                <w:rFonts w:ascii="Calibri" w:eastAsia="Calibri" w:hAnsi="Calibri" w:cs="Calibri"/>
                <w:spacing w:val="-1"/>
                <w:sz w:val="18"/>
                <w:szCs w:val="18"/>
              </w:rPr>
              <w:t>water</w:t>
            </w:r>
            <w:r>
              <w:rPr>
                <w:rFonts w:ascii="Calibri" w:eastAsia="Calibri" w:hAnsi="Calibri" w:cs="Calibri"/>
                <w:spacing w:val="59"/>
                <w:w w:val="99"/>
                <w:sz w:val="18"/>
                <w:szCs w:val="18"/>
              </w:rPr>
              <w:t xml:space="preserve"> </w:t>
            </w:r>
            <w:r>
              <w:rPr>
                <w:rFonts w:ascii="Calibri" w:eastAsia="Calibri" w:hAnsi="Calibri" w:cs="Calibri"/>
                <w:spacing w:val="-1"/>
                <w:sz w:val="18"/>
                <w:szCs w:val="18"/>
              </w:rPr>
              <w:t>heating</w:t>
            </w:r>
            <w:r>
              <w:rPr>
                <w:rFonts w:ascii="Calibri" w:eastAsia="Calibri" w:hAnsi="Calibri" w:cs="Calibri"/>
                <w:spacing w:val="-6"/>
                <w:sz w:val="18"/>
                <w:szCs w:val="18"/>
              </w:rPr>
              <w:t xml:space="preserve"> </w:t>
            </w:r>
            <w:r>
              <w:rPr>
                <w:rFonts w:ascii="Calibri" w:eastAsia="Calibri" w:hAnsi="Calibri" w:cs="Calibri"/>
                <w:spacing w:val="-1"/>
                <w:sz w:val="18"/>
                <w:szCs w:val="18"/>
              </w:rPr>
              <w:t>in</w:t>
            </w:r>
            <w:r>
              <w:rPr>
                <w:rFonts w:ascii="Calibri" w:eastAsia="Calibri" w:hAnsi="Calibri" w:cs="Calibri"/>
                <w:spacing w:val="-6"/>
                <w:sz w:val="18"/>
                <w:szCs w:val="18"/>
              </w:rPr>
              <w:t xml:space="preserve"> </w:t>
            </w:r>
            <w:r>
              <w:rPr>
                <w:rFonts w:ascii="Calibri" w:eastAsia="Calibri" w:hAnsi="Calibri" w:cs="Calibri"/>
                <w:sz w:val="18"/>
                <w:szCs w:val="18"/>
              </w:rPr>
              <w:t>the</w:t>
            </w:r>
            <w:r>
              <w:rPr>
                <w:rFonts w:ascii="Calibri" w:eastAsia="Calibri" w:hAnsi="Calibri" w:cs="Calibri"/>
                <w:spacing w:val="-6"/>
                <w:sz w:val="18"/>
                <w:szCs w:val="18"/>
              </w:rPr>
              <w:t xml:space="preserve"> </w:t>
            </w:r>
            <w:r>
              <w:rPr>
                <w:rFonts w:ascii="Calibri" w:eastAsia="Calibri" w:hAnsi="Calibri" w:cs="Calibri"/>
                <w:spacing w:val="-1"/>
                <w:sz w:val="18"/>
                <w:szCs w:val="18"/>
              </w:rPr>
              <w:t>utility’s</w:t>
            </w:r>
            <w:r>
              <w:rPr>
                <w:rFonts w:ascii="Calibri" w:eastAsia="Calibri" w:hAnsi="Calibri" w:cs="Calibri"/>
                <w:spacing w:val="-5"/>
                <w:sz w:val="18"/>
                <w:szCs w:val="18"/>
              </w:rPr>
              <w:t xml:space="preserve"> </w:t>
            </w:r>
            <w:r>
              <w:rPr>
                <w:rFonts w:ascii="Calibri" w:eastAsia="Calibri" w:hAnsi="Calibri" w:cs="Calibri"/>
                <w:spacing w:val="-1"/>
                <w:sz w:val="18"/>
                <w:szCs w:val="18"/>
              </w:rPr>
              <w:t>territory.</w:t>
            </w:r>
          </w:p>
        </w:tc>
        <w:tc>
          <w:tcPr>
            <w:tcW w:w="4680" w:type="dxa"/>
            <w:shd w:val="clear" w:color="auto" w:fill="D2EAF1"/>
          </w:tcPr>
          <w:p w:rsidR="00E646C9" w:rsidRDefault="00E646C9" w:rsidP="00C94D5A">
            <w:pPr>
              <w:pStyle w:val="TableParagraph"/>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1339"/>
        </w:trPr>
        <w:tc>
          <w:tcPr>
            <w:tcW w:w="4680" w:type="dxa"/>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2</w:t>
            </w:r>
          </w:p>
          <w:p w:rsidR="00E646C9" w:rsidRDefault="00E646C9" w:rsidP="00C94D5A">
            <w:pPr>
              <w:pStyle w:val="TableParagraph"/>
              <w:ind w:left="97" w:right="126"/>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pacing w:val="-1"/>
                <w:sz w:val="18"/>
              </w:rPr>
              <w:t>leveraging</w:t>
            </w:r>
            <w:r>
              <w:rPr>
                <w:rFonts w:ascii="Calibri"/>
                <w:spacing w:val="-5"/>
                <w:sz w:val="18"/>
              </w:rPr>
              <w:t xml:space="preserve"> </w:t>
            </w:r>
            <w:r>
              <w:rPr>
                <w:rFonts w:ascii="Calibri"/>
                <w:sz w:val="18"/>
              </w:rPr>
              <w:t>the</w:t>
            </w:r>
            <w:r>
              <w:rPr>
                <w:rFonts w:ascii="Calibri"/>
                <w:spacing w:val="-5"/>
                <w:sz w:val="18"/>
              </w:rPr>
              <w:t xml:space="preserve"> </w:t>
            </w:r>
            <w:r>
              <w:rPr>
                <w:rFonts w:ascii="Calibri"/>
                <w:sz w:val="18"/>
              </w:rPr>
              <w:t>REEP,</w:t>
            </w:r>
            <w:r>
              <w:rPr>
                <w:rFonts w:ascii="Calibri"/>
                <w:spacing w:val="-4"/>
                <w:sz w:val="18"/>
              </w:rPr>
              <w:t xml:space="preserve"> </w:t>
            </w:r>
            <w:r>
              <w:rPr>
                <w:rFonts w:ascii="Calibri"/>
                <w:sz w:val="18"/>
              </w:rPr>
              <w:t>LIEEP,</w:t>
            </w:r>
            <w:r>
              <w:rPr>
                <w:rFonts w:ascii="Calibri"/>
                <w:spacing w:val="-4"/>
                <w:sz w:val="18"/>
              </w:rPr>
              <w:t xml:space="preserve"> </w:t>
            </w:r>
            <w:r>
              <w:rPr>
                <w:rFonts w:ascii="Calibri"/>
                <w:spacing w:val="-1"/>
                <w:sz w:val="18"/>
              </w:rPr>
              <w:t>and</w:t>
            </w:r>
            <w:r>
              <w:rPr>
                <w:rFonts w:ascii="Calibri"/>
                <w:spacing w:val="-5"/>
                <w:sz w:val="18"/>
              </w:rPr>
              <w:t xml:space="preserve"> </w:t>
            </w:r>
            <w:r>
              <w:rPr>
                <w:rFonts w:ascii="Calibri"/>
                <w:spacing w:val="-1"/>
                <w:sz w:val="18"/>
              </w:rPr>
              <w:t>SEP</w:t>
            </w:r>
            <w:r>
              <w:rPr>
                <w:rFonts w:ascii="Calibri"/>
                <w:spacing w:val="-4"/>
                <w:sz w:val="18"/>
              </w:rPr>
              <w:t xml:space="preserve"> </w:t>
            </w:r>
            <w:r>
              <w:rPr>
                <w:rFonts w:ascii="Calibri"/>
                <w:spacing w:val="-1"/>
                <w:sz w:val="18"/>
              </w:rPr>
              <w:t>kits</w:t>
            </w:r>
            <w:r>
              <w:rPr>
                <w:rFonts w:ascii="Calibri"/>
                <w:spacing w:val="-5"/>
                <w:sz w:val="18"/>
              </w:rPr>
              <w:t xml:space="preserve"> </w:t>
            </w:r>
            <w:r>
              <w:rPr>
                <w:rFonts w:ascii="Calibri"/>
                <w:sz w:val="18"/>
              </w:rPr>
              <w:t>to</w:t>
            </w:r>
            <w:r>
              <w:rPr>
                <w:rFonts w:ascii="Calibri"/>
                <w:spacing w:val="37"/>
                <w:w w:val="99"/>
                <w:sz w:val="18"/>
              </w:rPr>
              <w:t xml:space="preserve"> </w:t>
            </w:r>
            <w:r>
              <w:rPr>
                <w:rFonts w:ascii="Calibri"/>
                <w:spacing w:val="-1"/>
                <w:sz w:val="18"/>
              </w:rPr>
              <w:t>introduce</w:t>
            </w:r>
            <w:r>
              <w:rPr>
                <w:rFonts w:ascii="Calibri"/>
                <w:spacing w:val="-5"/>
                <w:sz w:val="18"/>
              </w:rPr>
              <w:t xml:space="preserve"> </w:t>
            </w:r>
            <w:r>
              <w:rPr>
                <w:rFonts w:ascii="Calibri"/>
                <w:sz w:val="18"/>
              </w:rPr>
              <w:t>LEDs</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pacing w:val="-1"/>
                <w:sz w:val="18"/>
              </w:rPr>
              <w:t>participants</w:t>
            </w:r>
            <w:r>
              <w:rPr>
                <w:rFonts w:ascii="Calibri"/>
                <w:spacing w:val="-3"/>
                <w:sz w:val="18"/>
              </w:rPr>
              <w:t xml:space="preserve"> </w:t>
            </w:r>
            <w:r>
              <w:rPr>
                <w:rFonts w:ascii="Calibri"/>
                <w:spacing w:val="-1"/>
                <w:sz w:val="18"/>
              </w:rPr>
              <w:t>in</w:t>
            </w:r>
            <w:r>
              <w:rPr>
                <w:rFonts w:ascii="Calibri"/>
                <w:spacing w:val="-3"/>
                <w:sz w:val="18"/>
              </w:rPr>
              <w:t xml:space="preserve"> </w:t>
            </w:r>
            <w:r>
              <w:rPr>
                <w:rFonts w:ascii="Calibri"/>
                <w:spacing w:val="-1"/>
                <w:sz w:val="18"/>
              </w:rPr>
              <w:t>Phase</w:t>
            </w:r>
            <w:r>
              <w:rPr>
                <w:rFonts w:ascii="Calibri"/>
                <w:spacing w:val="-5"/>
                <w:sz w:val="18"/>
              </w:rPr>
              <w:t xml:space="preserve"> </w:t>
            </w:r>
            <w:r>
              <w:rPr>
                <w:rFonts w:ascii="Calibri"/>
                <w:sz w:val="18"/>
              </w:rPr>
              <w:t>III.</w:t>
            </w:r>
            <w:r>
              <w:rPr>
                <w:rFonts w:ascii="Calibri"/>
                <w:spacing w:val="-4"/>
                <w:sz w:val="18"/>
              </w:rPr>
              <w:t xml:space="preserve"> </w:t>
            </w:r>
            <w:r>
              <w:rPr>
                <w:rFonts w:ascii="Calibri"/>
                <w:sz w:val="18"/>
              </w:rPr>
              <w:t>LEDs</w:t>
            </w:r>
            <w:r>
              <w:rPr>
                <w:rFonts w:ascii="Calibri"/>
                <w:spacing w:val="-5"/>
                <w:sz w:val="18"/>
              </w:rPr>
              <w:t xml:space="preserve"> </w:t>
            </w:r>
            <w:r>
              <w:rPr>
                <w:rFonts w:ascii="Calibri"/>
                <w:sz w:val="18"/>
              </w:rPr>
              <w:t>could</w:t>
            </w:r>
            <w:r>
              <w:rPr>
                <w:rFonts w:ascii="Calibri"/>
                <w:spacing w:val="-5"/>
                <w:sz w:val="18"/>
              </w:rPr>
              <w:t xml:space="preserve"> </w:t>
            </w:r>
            <w:r>
              <w:rPr>
                <w:rFonts w:ascii="Calibri"/>
                <w:spacing w:val="-1"/>
                <w:sz w:val="18"/>
              </w:rPr>
              <w:t>be</w:t>
            </w:r>
            <w:r>
              <w:rPr>
                <w:rFonts w:ascii="Calibri"/>
                <w:spacing w:val="39"/>
                <w:w w:val="99"/>
                <w:sz w:val="18"/>
              </w:rPr>
              <w:t xml:space="preserve"> </w:t>
            </w:r>
            <w:r>
              <w:rPr>
                <w:rFonts w:ascii="Calibri"/>
                <w:spacing w:val="-1"/>
                <w:sz w:val="18"/>
              </w:rPr>
              <w:t>provided</w:t>
            </w:r>
            <w:r>
              <w:rPr>
                <w:rFonts w:ascii="Calibri"/>
                <w:spacing w:val="-3"/>
                <w:sz w:val="18"/>
              </w:rPr>
              <w:t xml:space="preserve"> </w:t>
            </w:r>
            <w:r>
              <w:rPr>
                <w:rFonts w:ascii="Calibri"/>
                <w:spacing w:val="-1"/>
                <w:sz w:val="18"/>
              </w:rPr>
              <w:t>in</w:t>
            </w:r>
            <w:r>
              <w:rPr>
                <w:rFonts w:ascii="Calibri"/>
                <w:spacing w:val="-4"/>
                <w:sz w:val="18"/>
              </w:rPr>
              <w:t xml:space="preserve"> </w:t>
            </w:r>
            <w:r>
              <w:rPr>
                <w:rFonts w:ascii="Calibri"/>
                <w:spacing w:val="-1"/>
                <w:sz w:val="18"/>
              </w:rPr>
              <w:t>addition</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z w:val="18"/>
              </w:rPr>
              <w:t>one</w:t>
            </w:r>
            <w:r>
              <w:rPr>
                <w:rFonts w:ascii="Calibri"/>
                <w:spacing w:val="-4"/>
                <w:sz w:val="18"/>
              </w:rPr>
              <w:t xml:space="preserve"> </w:t>
            </w:r>
            <w:r>
              <w:rPr>
                <w:rFonts w:ascii="Calibri"/>
                <w:sz w:val="18"/>
              </w:rPr>
              <w:t>or</w:t>
            </w:r>
            <w:r>
              <w:rPr>
                <w:rFonts w:ascii="Calibri"/>
                <w:spacing w:val="-4"/>
                <w:sz w:val="18"/>
              </w:rPr>
              <w:t xml:space="preserve"> </w:t>
            </w:r>
            <w:r>
              <w:rPr>
                <w:rFonts w:ascii="Calibri"/>
                <w:sz w:val="18"/>
              </w:rPr>
              <w:t>more</w:t>
            </w:r>
            <w:r>
              <w:rPr>
                <w:rFonts w:ascii="Calibri"/>
                <w:spacing w:val="-4"/>
                <w:sz w:val="18"/>
              </w:rPr>
              <w:t xml:space="preserve"> </w:t>
            </w:r>
            <w:r>
              <w:rPr>
                <w:rFonts w:ascii="Calibri"/>
                <w:spacing w:val="-1"/>
                <w:sz w:val="18"/>
              </w:rPr>
              <w:t>CFLs</w:t>
            </w:r>
            <w:r>
              <w:rPr>
                <w:rFonts w:ascii="Calibri"/>
                <w:spacing w:val="-5"/>
                <w:sz w:val="18"/>
              </w:rPr>
              <w:t xml:space="preserve"> </w:t>
            </w:r>
            <w:r>
              <w:rPr>
                <w:rFonts w:ascii="Calibri"/>
                <w:spacing w:val="-1"/>
                <w:sz w:val="18"/>
              </w:rPr>
              <w:t>and</w:t>
            </w:r>
            <w:r>
              <w:rPr>
                <w:rFonts w:ascii="Calibri"/>
                <w:spacing w:val="-4"/>
                <w:sz w:val="18"/>
              </w:rPr>
              <w:t xml:space="preserve"> </w:t>
            </w:r>
            <w:r>
              <w:rPr>
                <w:rFonts w:ascii="Calibri"/>
                <w:sz w:val="18"/>
              </w:rPr>
              <w:t>may</w:t>
            </w:r>
            <w:r>
              <w:rPr>
                <w:rFonts w:ascii="Calibri"/>
                <w:spacing w:val="-3"/>
                <w:sz w:val="18"/>
              </w:rPr>
              <w:t xml:space="preserve"> </w:t>
            </w:r>
            <w:r>
              <w:rPr>
                <w:rFonts w:ascii="Calibri"/>
                <w:spacing w:val="-1"/>
                <w:sz w:val="18"/>
              </w:rPr>
              <w:t>result</w:t>
            </w:r>
            <w:r>
              <w:rPr>
                <w:rFonts w:ascii="Calibri"/>
                <w:spacing w:val="-4"/>
                <w:sz w:val="18"/>
              </w:rPr>
              <w:t xml:space="preserve"> </w:t>
            </w:r>
            <w:r>
              <w:rPr>
                <w:rFonts w:ascii="Calibri"/>
                <w:sz w:val="18"/>
              </w:rPr>
              <w:t>in</w:t>
            </w:r>
            <w:r>
              <w:rPr>
                <w:rFonts w:ascii="Calibri"/>
                <w:spacing w:val="51"/>
                <w:w w:val="99"/>
                <w:sz w:val="18"/>
              </w:rPr>
              <w:t xml:space="preserve"> </w:t>
            </w:r>
            <w:r>
              <w:rPr>
                <w:rFonts w:ascii="Calibri"/>
                <w:sz w:val="18"/>
              </w:rPr>
              <w:t>lower</w:t>
            </w:r>
            <w:r>
              <w:rPr>
                <w:rFonts w:ascii="Calibri"/>
                <w:spacing w:val="-6"/>
                <w:sz w:val="18"/>
              </w:rPr>
              <w:t xml:space="preserve"> </w:t>
            </w:r>
            <w:r>
              <w:rPr>
                <w:rFonts w:ascii="Calibri"/>
                <w:spacing w:val="-1"/>
                <w:sz w:val="18"/>
              </w:rPr>
              <w:t>free</w:t>
            </w:r>
            <w:r>
              <w:rPr>
                <w:rFonts w:ascii="Calibri"/>
                <w:spacing w:val="-6"/>
                <w:sz w:val="18"/>
              </w:rPr>
              <w:t xml:space="preserve"> </w:t>
            </w:r>
            <w:r>
              <w:rPr>
                <w:rFonts w:ascii="Calibri"/>
                <w:spacing w:val="-1"/>
                <w:sz w:val="18"/>
              </w:rPr>
              <w:t>ridership.</w:t>
            </w:r>
            <w:r>
              <w:rPr>
                <w:rFonts w:ascii="Calibri"/>
                <w:spacing w:val="-5"/>
                <w:sz w:val="18"/>
              </w:rPr>
              <w:t xml:space="preserve"> </w:t>
            </w:r>
            <w:r>
              <w:rPr>
                <w:rFonts w:ascii="Calibri"/>
                <w:spacing w:val="-1"/>
                <w:sz w:val="18"/>
              </w:rPr>
              <w:t>However,</w:t>
            </w:r>
            <w:r>
              <w:rPr>
                <w:rFonts w:ascii="Calibri"/>
                <w:spacing w:val="-5"/>
                <w:sz w:val="18"/>
              </w:rPr>
              <w:t xml:space="preserve"> </w:t>
            </w:r>
            <w:r>
              <w:rPr>
                <w:rFonts w:ascii="Calibri"/>
                <w:sz w:val="18"/>
              </w:rPr>
              <w:t>the</w:t>
            </w:r>
            <w:r>
              <w:rPr>
                <w:rFonts w:ascii="Calibri"/>
                <w:spacing w:val="-6"/>
                <w:sz w:val="18"/>
              </w:rPr>
              <w:t xml:space="preserve"> </w:t>
            </w:r>
            <w:r>
              <w:rPr>
                <w:rFonts w:ascii="Calibri"/>
                <w:sz w:val="18"/>
              </w:rPr>
              <w:t>cost</w:t>
            </w:r>
            <w:r>
              <w:rPr>
                <w:rFonts w:ascii="Calibri"/>
                <w:spacing w:val="-6"/>
                <w:sz w:val="18"/>
              </w:rPr>
              <w:t xml:space="preserve"> </w:t>
            </w:r>
            <w:r>
              <w:rPr>
                <w:rFonts w:ascii="Calibri"/>
                <w:spacing w:val="-1"/>
                <w:sz w:val="18"/>
              </w:rPr>
              <w:t>effectiveness</w:t>
            </w:r>
            <w:r>
              <w:rPr>
                <w:rFonts w:ascii="Calibri"/>
                <w:spacing w:val="-6"/>
                <w:sz w:val="18"/>
              </w:rPr>
              <w:t xml:space="preserve"> </w:t>
            </w:r>
            <w:r>
              <w:rPr>
                <w:rFonts w:ascii="Calibri"/>
                <w:sz w:val="18"/>
              </w:rPr>
              <w:t>of</w:t>
            </w:r>
            <w:r>
              <w:rPr>
                <w:rFonts w:ascii="Calibri"/>
                <w:spacing w:val="-5"/>
                <w:sz w:val="18"/>
              </w:rPr>
              <w:t xml:space="preserve"> </w:t>
            </w:r>
            <w:r>
              <w:rPr>
                <w:rFonts w:ascii="Calibri"/>
                <w:spacing w:val="-1"/>
                <w:sz w:val="18"/>
              </w:rPr>
              <w:t>such</w:t>
            </w:r>
            <w:r>
              <w:rPr>
                <w:rFonts w:ascii="Calibri"/>
                <w:spacing w:val="49"/>
                <w:w w:val="99"/>
                <w:sz w:val="18"/>
              </w:rPr>
              <w:t xml:space="preserve"> </w:t>
            </w:r>
            <w:r>
              <w:rPr>
                <w:rFonts w:ascii="Calibri"/>
                <w:sz w:val="18"/>
              </w:rPr>
              <w:t>an</w:t>
            </w:r>
            <w:r>
              <w:rPr>
                <w:rFonts w:ascii="Calibri"/>
                <w:spacing w:val="-6"/>
                <w:sz w:val="18"/>
              </w:rPr>
              <w:t xml:space="preserve"> </w:t>
            </w:r>
            <w:r>
              <w:rPr>
                <w:rFonts w:ascii="Calibri"/>
                <w:spacing w:val="-1"/>
                <w:sz w:val="18"/>
              </w:rPr>
              <w:t>addition</w:t>
            </w:r>
            <w:r>
              <w:rPr>
                <w:rFonts w:ascii="Calibri"/>
                <w:spacing w:val="-6"/>
                <w:sz w:val="18"/>
              </w:rPr>
              <w:t xml:space="preserve"> </w:t>
            </w:r>
            <w:r>
              <w:rPr>
                <w:rFonts w:ascii="Calibri"/>
                <w:spacing w:val="-1"/>
                <w:sz w:val="18"/>
              </w:rPr>
              <w:t>should</w:t>
            </w:r>
            <w:r>
              <w:rPr>
                <w:rFonts w:ascii="Calibri"/>
                <w:spacing w:val="-5"/>
                <w:sz w:val="18"/>
              </w:rPr>
              <w:t xml:space="preserve"> </w:t>
            </w:r>
            <w:r>
              <w:rPr>
                <w:rFonts w:ascii="Calibri"/>
                <w:sz w:val="18"/>
              </w:rPr>
              <w:t>be</w:t>
            </w:r>
            <w:r>
              <w:rPr>
                <w:rFonts w:ascii="Calibri"/>
                <w:spacing w:val="-6"/>
                <w:sz w:val="18"/>
              </w:rPr>
              <w:t xml:space="preserve"> </w:t>
            </w:r>
            <w:r>
              <w:rPr>
                <w:rFonts w:ascii="Calibri"/>
                <w:spacing w:val="-1"/>
                <w:sz w:val="18"/>
              </w:rPr>
              <w:t>reviewed</w:t>
            </w:r>
            <w:r>
              <w:rPr>
                <w:rFonts w:ascii="Calibri"/>
                <w:spacing w:val="-5"/>
                <w:sz w:val="18"/>
              </w:rPr>
              <w:t xml:space="preserve"> </w:t>
            </w:r>
            <w:r>
              <w:rPr>
                <w:rFonts w:ascii="Calibri"/>
                <w:spacing w:val="-1"/>
                <w:sz w:val="18"/>
              </w:rPr>
              <w:t>first.</w:t>
            </w:r>
          </w:p>
        </w:tc>
        <w:tc>
          <w:tcPr>
            <w:tcW w:w="4680" w:type="dxa"/>
          </w:tcPr>
          <w:p w:rsidR="00E646C9" w:rsidRDefault="00E646C9" w:rsidP="00C94D5A">
            <w:pPr>
              <w:pStyle w:val="TableParagraph"/>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2878"/>
        </w:trPr>
        <w:tc>
          <w:tcPr>
            <w:tcW w:w="4680" w:type="dxa"/>
            <w:shd w:val="clear" w:color="auto" w:fill="D2EAF1"/>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3</w:t>
            </w:r>
          </w:p>
          <w:p w:rsidR="00E646C9" w:rsidRDefault="00E646C9" w:rsidP="00C94D5A">
            <w:pPr>
              <w:pStyle w:val="TableParagraph"/>
              <w:spacing w:before="1"/>
              <w:ind w:left="97" w:right="150"/>
              <w:rPr>
                <w:rFonts w:ascii="Calibri" w:eastAsia="Calibri" w:hAnsi="Calibri" w:cs="Calibri"/>
                <w:sz w:val="18"/>
                <w:szCs w:val="18"/>
              </w:rPr>
            </w:pPr>
            <w:r>
              <w:rPr>
                <w:rFonts w:ascii="Calibri"/>
                <w:spacing w:val="-1"/>
                <w:sz w:val="18"/>
              </w:rPr>
              <w:t>Duquesne</w:t>
            </w:r>
            <w:r>
              <w:rPr>
                <w:rFonts w:ascii="Calibri"/>
                <w:spacing w:val="-7"/>
                <w:sz w:val="18"/>
              </w:rPr>
              <w:t xml:space="preserve"> </w:t>
            </w:r>
            <w:r>
              <w:rPr>
                <w:rFonts w:ascii="Calibri"/>
                <w:spacing w:val="-1"/>
                <w:sz w:val="18"/>
              </w:rPr>
              <w:t>Light</w:t>
            </w:r>
            <w:r>
              <w:rPr>
                <w:rFonts w:ascii="Calibri"/>
                <w:spacing w:val="-4"/>
                <w:sz w:val="18"/>
              </w:rPr>
              <w:t xml:space="preserve"> </w:t>
            </w:r>
            <w:r>
              <w:rPr>
                <w:rFonts w:ascii="Calibri"/>
                <w:spacing w:val="-1"/>
                <w:sz w:val="18"/>
              </w:rPr>
              <w:t>should</w:t>
            </w:r>
            <w:r>
              <w:rPr>
                <w:rFonts w:ascii="Calibri"/>
                <w:spacing w:val="-6"/>
                <w:sz w:val="18"/>
              </w:rPr>
              <w:t xml:space="preserve"> </w:t>
            </w:r>
            <w:r>
              <w:rPr>
                <w:rFonts w:ascii="Calibri"/>
                <w:spacing w:val="-1"/>
                <w:sz w:val="18"/>
              </w:rPr>
              <w:t>consider</w:t>
            </w:r>
            <w:r>
              <w:rPr>
                <w:rFonts w:ascii="Calibri"/>
                <w:spacing w:val="-4"/>
                <w:sz w:val="18"/>
              </w:rPr>
              <w:t xml:space="preserve"> </w:t>
            </w:r>
            <w:r>
              <w:rPr>
                <w:rFonts w:ascii="Calibri"/>
                <w:spacing w:val="-1"/>
                <w:sz w:val="18"/>
              </w:rPr>
              <w:t>updating</w:t>
            </w:r>
            <w:r>
              <w:rPr>
                <w:rFonts w:ascii="Calibri"/>
                <w:spacing w:val="-7"/>
                <w:sz w:val="18"/>
              </w:rPr>
              <w:t xml:space="preserve"> </w:t>
            </w:r>
            <w:r>
              <w:rPr>
                <w:rFonts w:ascii="Calibri"/>
                <w:spacing w:val="-1"/>
                <w:sz w:val="18"/>
              </w:rPr>
              <w:t>Wattley</w:t>
            </w:r>
            <w:r>
              <w:rPr>
                <w:rFonts w:ascii="Calibri"/>
                <w:spacing w:val="-5"/>
                <w:sz w:val="18"/>
              </w:rPr>
              <w:t xml:space="preserve"> </w:t>
            </w:r>
            <w:r>
              <w:rPr>
                <w:rFonts w:ascii="Calibri"/>
                <w:sz w:val="18"/>
              </w:rPr>
              <w:t>or</w:t>
            </w:r>
            <w:r>
              <w:rPr>
                <w:rFonts w:ascii="Calibri"/>
                <w:spacing w:val="61"/>
                <w:w w:val="99"/>
                <w:sz w:val="18"/>
              </w:rPr>
              <w:t xml:space="preserve"> </w:t>
            </w:r>
            <w:r>
              <w:rPr>
                <w:rFonts w:ascii="Calibri"/>
                <w:spacing w:val="-1"/>
                <w:sz w:val="18"/>
              </w:rPr>
              <w:t>changing</w:t>
            </w:r>
            <w:r>
              <w:rPr>
                <w:rFonts w:ascii="Calibri"/>
                <w:spacing w:val="-6"/>
                <w:sz w:val="18"/>
              </w:rPr>
              <w:t xml:space="preserve"> </w:t>
            </w:r>
            <w:r>
              <w:rPr>
                <w:rFonts w:ascii="Calibri"/>
                <w:spacing w:val="-1"/>
                <w:sz w:val="18"/>
              </w:rPr>
              <w:t>this</w:t>
            </w:r>
            <w:r>
              <w:rPr>
                <w:rFonts w:ascii="Calibri"/>
                <w:spacing w:val="-5"/>
                <w:sz w:val="18"/>
              </w:rPr>
              <w:t xml:space="preserve"> </w:t>
            </w:r>
            <w:r>
              <w:rPr>
                <w:rFonts w:ascii="Calibri"/>
                <w:sz w:val="18"/>
              </w:rPr>
              <w:t>well-known</w:t>
            </w:r>
            <w:r>
              <w:rPr>
                <w:rFonts w:ascii="Calibri"/>
                <w:spacing w:val="-6"/>
                <w:sz w:val="18"/>
              </w:rPr>
              <w:t xml:space="preserve"> </w:t>
            </w:r>
            <w:r>
              <w:rPr>
                <w:rFonts w:ascii="Calibri"/>
                <w:sz w:val="18"/>
              </w:rPr>
              <w:t>Watt</w:t>
            </w:r>
            <w:r>
              <w:rPr>
                <w:rFonts w:ascii="Calibri"/>
                <w:spacing w:val="-5"/>
                <w:sz w:val="18"/>
              </w:rPr>
              <w:t xml:space="preserve"> </w:t>
            </w:r>
            <w:r>
              <w:rPr>
                <w:rFonts w:ascii="Calibri"/>
                <w:spacing w:val="-1"/>
                <w:sz w:val="18"/>
              </w:rPr>
              <w:t>Choices</w:t>
            </w:r>
            <w:r>
              <w:rPr>
                <w:rFonts w:ascii="Calibri"/>
                <w:spacing w:val="-6"/>
                <w:sz w:val="18"/>
              </w:rPr>
              <w:t xml:space="preserve"> </w:t>
            </w:r>
            <w:r>
              <w:rPr>
                <w:rFonts w:ascii="Calibri"/>
                <w:spacing w:val="-1"/>
                <w:sz w:val="18"/>
              </w:rPr>
              <w:t>image,</w:t>
            </w:r>
            <w:r>
              <w:rPr>
                <w:rFonts w:ascii="Calibri"/>
                <w:spacing w:val="-4"/>
                <w:sz w:val="18"/>
              </w:rPr>
              <w:t xml:space="preserve"> </w:t>
            </w:r>
            <w:r>
              <w:rPr>
                <w:rFonts w:ascii="Calibri"/>
                <w:spacing w:val="-1"/>
                <w:sz w:val="18"/>
              </w:rPr>
              <w:t>if</w:t>
            </w:r>
            <w:r>
              <w:rPr>
                <w:rFonts w:ascii="Calibri"/>
                <w:spacing w:val="-5"/>
                <w:sz w:val="18"/>
              </w:rPr>
              <w:t xml:space="preserve"> </w:t>
            </w:r>
            <w:r>
              <w:rPr>
                <w:rFonts w:ascii="Calibri"/>
                <w:sz w:val="18"/>
              </w:rPr>
              <w:t>Phase</w:t>
            </w:r>
            <w:r>
              <w:rPr>
                <w:rFonts w:ascii="Calibri"/>
                <w:spacing w:val="-5"/>
                <w:sz w:val="18"/>
              </w:rPr>
              <w:t xml:space="preserve"> </w:t>
            </w:r>
            <w:r>
              <w:rPr>
                <w:rFonts w:ascii="Calibri"/>
                <w:sz w:val="18"/>
              </w:rPr>
              <w:t>III</w:t>
            </w:r>
            <w:r>
              <w:rPr>
                <w:rFonts w:ascii="Calibri"/>
                <w:spacing w:val="39"/>
                <w:w w:val="99"/>
                <w:sz w:val="18"/>
              </w:rPr>
              <w:t xml:space="preserve"> </w:t>
            </w:r>
            <w:r>
              <w:rPr>
                <w:rFonts w:ascii="Calibri"/>
                <w:spacing w:val="-1"/>
                <w:sz w:val="18"/>
              </w:rPr>
              <w:t>activities</w:t>
            </w:r>
            <w:r>
              <w:rPr>
                <w:rFonts w:ascii="Calibri"/>
                <w:spacing w:val="-6"/>
                <w:sz w:val="18"/>
              </w:rPr>
              <w:t xml:space="preserve"> </w:t>
            </w:r>
            <w:r>
              <w:rPr>
                <w:rFonts w:ascii="Calibri"/>
                <w:spacing w:val="-1"/>
                <w:sz w:val="18"/>
              </w:rPr>
              <w:t>shift</w:t>
            </w:r>
            <w:r>
              <w:rPr>
                <w:rFonts w:ascii="Calibri"/>
                <w:spacing w:val="-5"/>
                <w:sz w:val="18"/>
              </w:rPr>
              <w:t xml:space="preserve"> </w:t>
            </w:r>
            <w:r>
              <w:rPr>
                <w:rFonts w:ascii="Calibri"/>
                <w:sz w:val="18"/>
              </w:rPr>
              <w:t>away</w:t>
            </w:r>
            <w:r>
              <w:rPr>
                <w:rFonts w:ascii="Calibri"/>
                <w:spacing w:val="-4"/>
                <w:sz w:val="18"/>
              </w:rPr>
              <w:t xml:space="preserve"> </w:t>
            </w:r>
            <w:r>
              <w:rPr>
                <w:rFonts w:ascii="Calibri"/>
                <w:sz w:val="18"/>
              </w:rPr>
              <w:t>from</w:t>
            </w:r>
            <w:r>
              <w:rPr>
                <w:rFonts w:ascii="Calibri"/>
                <w:spacing w:val="-5"/>
                <w:sz w:val="18"/>
              </w:rPr>
              <w:t xml:space="preserve"> </w:t>
            </w:r>
            <w:r>
              <w:rPr>
                <w:rFonts w:ascii="Calibri"/>
                <w:spacing w:val="-1"/>
                <w:sz w:val="18"/>
              </w:rPr>
              <w:t>primary</w:t>
            </w:r>
            <w:r>
              <w:rPr>
                <w:rFonts w:ascii="Calibri"/>
                <w:spacing w:val="-2"/>
                <w:sz w:val="18"/>
              </w:rPr>
              <w:t xml:space="preserve"> </w:t>
            </w:r>
            <w:r>
              <w:rPr>
                <w:rFonts w:ascii="Calibri"/>
                <w:spacing w:val="-1"/>
                <w:sz w:val="18"/>
              </w:rPr>
              <w:t>promotion</w:t>
            </w:r>
            <w:r>
              <w:rPr>
                <w:rFonts w:ascii="Calibri"/>
                <w:spacing w:val="-5"/>
                <w:sz w:val="18"/>
              </w:rPr>
              <w:t xml:space="preserve"> </w:t>
            </w:r>
            <w:r>
              <w:rPr>
                <w:rFonts w:ascii="Calibri"/>
                <w:sz w:val="18"/>
              </w:rPr>
              <w:t>of</w:t>
            </w:r>
            <w:r>
              <w:rPr>
                <w:rFonts w:ascii="Calibri"/>
                <w:spacing w:val="-5"/>
                <w:sz w:val="18"/>
              </w:rPr>
              <w:t xml:space="preserve"> </w:t>
            </w:r>
            <w:r>
              <w:rPr>
                <w:rFonts w:ascii="Calibri"/>
                <w:sz w:val="18"/>
              </w:rPr>
              <w:t>CFLs</w:t>
            </w:r>
            <w:r>
              <w:rPr>
                <w:rFonts w:ascii="Calibri"/>
                <w:spacing w:val="-5"/>
                <w:sz w:val="18"/>
              </w:rPr>
              <w:t xml:space="preserve"> </w:t>
            </w:r>
            <w:r>
              <w:rPr>
                <w:rFonts w:ascii="Calibri"/>
                <w:spacing w:val="-1"/>
                <w:sz w:val="18"/>
              </w:rPr>
              <w:t>to</w:t>
            </w:r>
            <w:r>
              <w:rPr>
                <w:rFonts w:ascii="Calibri"/>
                <w:spacing w:val="45"/>
                <w:w w:val="99"/>
                <w:sz w:val="18"/>
              </w:rPr>
              <w:t xml:space="preserve"> </w:t>
            </w:r>
            <w:r>
              <w:rPr>
                <w:rFonts w:ascii="Calibri"/>
                <w:spacing w:val="-1"/>
                <w:sz w:val="18"/>
              </w:rPr>
              <w:t>primary</w:t>
            </w:r>
            <w:r>
              <w:rPr>
                <w:rFonts w:ascii="Calibri"/>
                <w:spacing w:val="-5"/>
                <w:sz w:val="18"/>
              </w:rPr>
              <w:t xml:space="preserve"> </w:t>
            </w:r>
            <w:r>
              <w:rPr>
                <w:rFonts w:ascii="Calibri"/>
                <w:spacing w:val="-1"/>
                <w:sz w:val="18"/>
              </w:rPr>
              <w:t>promotion</w:t>
            </w:r>
            <w:r>
              <w:rPr>
                <w:rFonts w:ascii="Calibri"/>
                <w:spacing w:val="-5"/>
                <w:sz w:val="18"/>
              </w:rPr>
              <w:t xml:space="preserve"> </w:t>
            </w:r>
            <w:r>
              <w:rPr>
                <w:rFonts w:ascii="Calibri"/>
                <w:sz w:val="18"/>
              </w:rPr>
              <w:t>of</w:t>
            </w:r>
            <w:r>
              <w:rPr>
                <w:rFonts w:ascii="Calibri"/>
                <w:spacing w:val="-4"/>
                <w:sz w:val="18"/>
              </w:rPr>
              <w:t xml:space="preserve"> </w:t>
            </w:r>
            <w:r>
              <w:rPr>
                <w:rFonts w:ascii="Calibri"/>
                <w:sz w:val="18"/>
              </w:rPr>
              <w:t>LEDs.</w:t>
            </w:r>
            <w:r>
              <w:rPr>
                <w:rFonts w:ascii="Calibri"/>
                <w:spacing w:val="-4"/>
                <w:sz w:val="18"/>
              </w:rPr>
              <w:t xml:space="preserve"> </w:t>
            </w:r>
            <w:r>
              <w:rPr>
                <w:rFonts w:ascii="Calibri"/>
                <w:spacing w:val="-1"/>
                <w:sz w:val="18"/>
              </w:rPr>
              <w:t>Without</w:t>
            </w:r>
            <w:r>
              <w:rPr>
                <w:rFonts w:ascii="Calibri"/>
                <w:spacing w:val="-5"/>
                <w:sz w:val="18"/>
              </w:rPr>
              <w:t xml:space="preserve"> </w:t>
            </w:r>
            <w:r>
              <w:rPr>
                <w:rFonts w:ascii="Calibri"/>
                <w:spacing w:val="-1"/>
                <w:sz w:val="18"/>
              </w:rPr>
              <w:t>such</w:t>
            </w:r>
            <w:r>
              <w:rPr>
                <w:rFonts w:ascii="Calibri"/>
                <w:spacing w:val="-5"/>
                <w:sz w:val="18"/>
              </w:rPr>
              <w:t xml:space="preserve"> </w:t>
            </w:r>
            <w:r>
              <w:rPr>
                <w:rFonts w:ascii="Calibri"/>
                <w:sz w:val="18"/>
              </w:rPr>
              <w:t>a</w:t>
            </w:r>
            <w:r>
              <w:rPr>
                <w:rFonts w:ascii="Calibri"/>
                <w:spacing w:val="-4"/>
                <w:sz w:val="18"/>
              </w:rPr>
              <w:t xml:space="preserve"> </w:t>
            </w:r>
            <w:r>
              <w:rPr>
                <w:rFonts w:ascii="Calibri"/>
                <w:spacing w:val="-1"/>
                <w:sz w:val="18"/>
              </w:rPr>
              <w:t>shift,</w:t>
            </w:r>
            <w:r>
              <w:rPr>
                <w:rFonts w:ascii="Calibri"/>
                <w:spacing w:val="-4"/>
                <w:sz w:val="18"/>
              </w:rPr>
              <w:t xml:space="preserve"> </w:t>
            </w:r>
            <w:r>
              <w:rPr>
                <w:rFonts w:ascii="Calibri"/>
                <w:sz w:val="18"/>
              </w:rPr>
              <w:t>at</w:t>
            </w:r>
            <w:r>
              <w:rPr>
                <w:rFonts w:ascii="Calibri"/>
                <w:spacing w:val="-3"/>
                <w:sz w:val="18"/>
              </w:rPr>
              <w:t xml:space="preserve"> </w:t>
            </w:r>
            <w:r>
              <w:rPr>
                <w:rFonts w:ascii="Calibri"/>
                <w:sz w:val="18"/>
              </w:rPr>
              <w:t>some</w:t>
            </w:r>
            <w:r>
              <w:rPr>
                <w:rFonts w:ascii="Calibri"/>
                <w:spacing w:val="47"/>
                <w:w w:val="99"/>
                <w:sz w:val="18"/>
              </w:rPr>
              <w:t xml:space="preserve"> </w:t>
            </w:r>
            <w:r>
              <w:rPr>
                <w:rFonts w:ascii="Calibri"/>
                <w:spacing w:val="-1"/>
                <w:sz w:val="18"/>
              </w:rPr>
              <w:t>point</w:t>
            </w:r>
            <w:r>
              <w:rPr>
                <w:rFonts w:ascii="Calibri"/>
                <w:spacing w:val="-5"/>
                <w:sz w:val="18"/>
              </w:rPr>
              <w:t xml:space="preserve"> </w:t>
            </w:r>
            <w:r>
              <w:rPr>
                <w:rFonts w:ascii="Calibri"/>
                <w:spacing w:val="-1"/>
                <w:sz w:val="18"/>
              </w:rPr>
              <w:t>in</w:t>
            </w:r>
            <w:r>
              <w:rPr>
                <w:rFonts w:ascii="Calibri"/>
                <w:spacing w:val="-4"/>
                <w:sz w:val="18"/>
              </w:rPr>
              <w:t xml:space="preserve"> </w:t>
            </w:r>
            <w:r>
              <w:rPr>
                <w:rFonts w:ascii="Calibri"/>
                <w:sz w:val="18"/>
              </w:rPr>
              <w:t>Phase</w:t>
            </w:r>
            <w:r>
              <w:rPr>
                <w:rFonts w:ascii="Calibri"/>
                <w:spacing w:val="-5"/>
                <w:sz w:val="18"/>
              </w:rPr>
              <w:t xml:space="preserve"> </w:t>
            </w:r>
            <w:r>
              <w:rPr>
                <w:rFonts w:ascii="Calibri"/>
                <w:sz w:val="18"/>
              </w:rPr>
              <w:t>III</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pacing w:val="-1"/>
                <w:sz w:val="18"/>
              </w:rPr>
              <w:t>utility</w:t>
            </w:r>
            <w:r>
              <w:rPr>
                <w:rFonts w:ascii="Calibri"/>
                <w:spacing w:val="-4"/>
                <w:sz w:val="18"/>
              </w:rPr>
              <w:t xml:space="preserve"> </w:t>
            </w:r>
            <w:r>
              <w:rPr>
                <w:rFonts w:ascii="Calibri"/>
                <w:sz w:val="18"/>
              </w:rPr>
              <w:t>may</w:t>
            </w:r>
            <w:r>
              <w:rPr>
                <w:rFonts w:ascii="Calibri"/>
                <w:spacing w:val="-3"/>
                <w:sz w:val="18"/>
              </w:rPr>
              <w:t xml:space="preserve"> </w:t>
            </w:r>
            <w:r>
              <w:rPr>
                <w:rFonts w:ascii="Calibri"/>
                <w:sz w:val="18"/>
              </w:rPr>
              <w:t>be</w:t>
            </w:r>
            <w:r>
              <w:rPr>
                <w:rFonts w:ascii="Calibri"/>
                <w:spacing w:val="-5"/>
                <w:sz w:val="18"/>
              </w:rPr>
              <w:t xml:space="preserve"> </w:t>
            </w:r>
            <w:r>
              <w:rPr>
                <w:rFonts w:ascii="Calibri"/>
                <w:spacing w:val="-1"/>
                <w:sz w:val="18"/>
              </w:rPr>
              <w:t>heavily</w:t>
            </w:r>
            <w:r>
              <w:rPr>
                <w:rFonts w:ascii="Calibri"/>
                <w:spacing w:val="-2"/>
                <w:sz w:val="18"/>
              </w:rPr>
              <w:t xml:space="preserve"> </w:t>
            </w:r>
            <w:r>
              <w:rPr>
                <w:rFonts w:ascii="Calibri"/>
                <w:spacing w:val="-1"/>
                <w:sz w:val="18"/>
              </w:rPr>
              <w:t>promoting</w:t>
            </w:r>
            <w:r>
              <w:rPr>
                <w:rFonts w:ascii="Calibri"/>
                <w:spacing w:val="-4"/>
                <w:sz w:val="18"/>
              </w:rPr>
              <w:t xml:space="preserve"> </w:t>
            </w:r>
            <w:r>
              <w:rPr>
                <w:rFonts w:ascii="Calibri"/>
                <w:sz w:val="18"/>
              </w:rPr>
              <w:t>LEDs</w:t>
            </w:r>
            <w:r>
              <w:rPr>
                <w:rFonts w:ascii="Calibri"/>
                <w:spacing w:val="39"/>
                <w:w w:val="99"/>
                <w:sz w:val="18"/>
              </w:rPr>
              <w:t xml:space="preserve"> </w:t>
            </w:r>
            <w:r>
              <w:rPr>
                <w:rFonts w:ascii="Calibri"/>
                <w:spacing w:val="-1"/>
                <w:sz w:val="18"/>
              </w:rPr>
              <w:t>while</w:t>
            </w:r>
            <w:r>
              <w:rPr>
                <w:rFonts w:ascii="Calibri"/>
                <w:spacing w:val="-6"/>
                <w:sz w:val="18"/>
              </w:rPr>
              <w:t xml:space="preserve"> </w:t>
            </w:r>
            <w:r>
              <w:rPr>
                <w:rFonts w:ascii="Calibri"/>
                <w:spacing w:val="-1"/>
                <w:sz w:val="18"/>
              </w:rPr>
              <w:t>its</w:t>
            </w:r>
            <w:r>
              <w:rPr>
                <w:rFonts w:ascii="Calibri"/>
                <w:spacing w:val="-5"/>
                <w:sz w:val="18"/>
              </w:rPr>
              <w:t xml:space="preserve"> </w:t>
            </w:r>
            <w:r>
              <w:rPr>
                <w:rFonts w:ascii="Calibri"/>
                <w:spacing w:val="-1"/>
                <w:sz w:val="18"/>
              </w:rPr>
              <w:t>primary</w:t>
            </w:r>
            <w:r>
              <w:rPr>
                <w:rFonts w:ascii="Calibri"/>
                <w:spacing w:val="-5"/>
                <w:sz w:val="18"/>
              </w:rPr>
              <w:t xml:space="preserve"> </w:t>
            </w:r>
            <w:r>
              <w:rPr>
                <w:rFonts w:ascii="Calibri"/>
                <w:spacing w:val="-1"/>
                <w:sz w:val="18"/>
              </w:rPr>
              <w:t>marketing</w:t>
            </w:r>
            <w:r>
              <w:rPr>
                <w:rFonts w:ascii="Calibri"/>
                <w:spacing w:val="-3"/>
                <w:sz w:val="18"/>
              </w:rPr>
              <w:t xml:space="preserve"> </w:t>
            </w:r>
            <w:r>
              <w:rPr>
                <w:rFonts w:ascii="Calibri"/>
                <w:sz w:val="18"/>
              </w:rPr>
              <w:t>icon</w:t>
            </w:r>
            <w:r>
              <w:rPr>
                <w:rFonts w:ascii="Calibri"/>
                <w:spacing w:val="-6"/>
                <w:sz w:val="18"/>
              </w:rPr>
              <w:t xml:space="preserve"> </w:t>
            </w:r>
            <w:r>
              <w:rPr>
                <w:rFonts w:ascii="Calibri"/>
                <w:spacing w:val="-1"/>
                <w:sz w:val="18"/>
              </w:rPr>
              <w:t>visually</w:t>
            </w:r>
            <w:r>
              <w:rPr>
                <w:rFonts w:ascii="Calibri"/>
                <w:spacing w:val="-3"/>
                <w:sz w:val="18"/>
              </w:rPr>
              <w:t xml:space="preserve"> </w:t>
            </w:r>
            <w:r>
              <w:rPr>
                <w:rFonts w:ascii="Calibri"/>
                <w:spacing w:val="-1"/>
                <w:sz w:val="18"/>
              </w:rPr>
              <w:t>promotes</w:t>
            </w:r>
            <w:r>
              <w:rPr>
                <w:rFonts w:ascii="Calibri"/>
                <w:spacing w:val="45"/>
                <w:w w:val="99"/>
                <w:sz w:val="18"/>
              </w:rPr>
              <w:t xml:space="preserve"> </w:t>
            </w:r>
            <w:r>
              <w:rPr>
                <w:rFonts w:ascii="Calibri"/>
                <w:spacing w:val="-1"/>
                <w:sz w:val="18"/>
              </w:rPr>
              <w:t>alternatives</w:t>
            </w:r>
            <w:r>
              <w:rPr>
                <w:rFonts w:ascii="Calibri"/>
                <w:spacing w:val="-4"/>
                <w:sz w:val="18"/>
              </w:rPr>
              <w:t xml:space="preserve"> </w:t>
            </w:r>
            <w:r>
              <w:rPr>
                <w:rFonts w:ascii="Calibri"/>
                <w:spacing w:val="-1"/>
                <w:sz w:val="18"/>
              </w:rPr>
              <w:t>to</w:t>
            </w:r>
            <w:r>
              <w:rPr>
                <w:rFonts w:ascii="Calibri"/>
                <w:spacing w:val="-2"/>
                <w:sz w:val="18"/>
              </w:rPr>
              <w:t xml:space="preserve"> </w:t>
            </w:r>
            <w:r>
              <w:rPr>
                <w:rFonts w:ascii="Calibri"/>
                <w:sz w:val="18"/>
              </w:rPr>
              <w:t>LEDs</w:t>
            </w:r>
            <w:r>
              <w:rPr>
                <w:rFonts w:ascii="Calibri"/>
                <w:spacing w:val="-4"/>
                <w:sz w:val="18"/>
              </w:rPr>
              <w:t xml:space="preserve"> </w:t>
            </w:r>
            <w:r>
              <w:rPr>
                <w:rFonts w:ascii="Calibri"/>
                <w:spacing w:val="-1"/>
                <w:sz w:val="18"/>
              </w:rPr>
              <w:t>(i.e.,</w:t>
            </w:r>
            <w:r>
              <w:rPr>
                <w:rFonts w:ascii="Calibri"/>
                <w:spacing w:val="-3"/>
                <w:sz w:val="18"/>
              </w:rPr>
              <w:t xml:space="preserve"> </w:t>
            </w:r>
            <w:r>
              <w:rPr>
                <w:rFonts w:ascii="Calibri"/>
                <w:spacing w:val="-1"/>
                <w:sz w:val="18"/>
              </w:rPr>
              <w:t>CFLs).</w:t>
            </w:r>
            <w:r>
              <w:rPr>
                <w:rFonts w:ascii="Calibri"/>
                <w:spacing w:val="-3"/>
                <w:sz w:val="18"/>
              </w:rPr>
              <w:t xml:space="preserve"> </w:t>
            </w:r>
            <w:r>
              <w:rPr>
                <w:rFonts w:ascii="Calibri"/>
                <w:spacing w:val="-1"/>
                <w:sz w:val="18"/>
              </w:rPr>
              <w:t>This</w:t>
            </w:r>
            <w:r>
              <w:rPr>
                <w:rFonts w:ascii="Calibri"/>
                <w:spacing w:val="-4"/>
                <w:sz w:val="18"/>
              </w:rPr>
              <w:t xml:space="preserve"> </w:t>
            </w:r>
            <w:r>
              <w:rPr>
                <w:rFonts w:ascii="Calibri"/>
                <w:spacing w:val="-1"/>
                <w:sz w:val="18"/>
              </w:rPr>
              <w:t>is</w:t>
            </w:r>
            <w:r>
              <w:rPr>
                <w:rFonts w:ascii="Calibri"/>
                <w:spacing w:val="-4"/>
                <w:sz w:val="18"/>
              </w:rPr>
              <w:t xml:space="preserve"> </w:t>
            </w:r>
            <w:r>
              <w:rPr>
                <w:rFonts w:ascii="Calibri"/>
                <w:sz w:val="18"/>
              </w:rPr>
              <w:t>a</w:t>
            </w:r>
            <w:r>
              <w:rPr>
                <w:rFonts w:ascii="Calibri"/>
                <w:spacing w:val="-3"/>
                <w:sz w:val="18"/>
              </w:rPr>
              <w:t xml:space="preserve"> </w:t>
            </w:r>
            <w:r>
              <w:rPr>
                <w:rFonts w:ascii="Calibri"/>
                <w:spacing w:val="-1"/>
                <w:sz w:val="18"/>
              </w:rPr>
              <w:t>timing</w:t>
            </w:r>
            <w:r>
              <w:rPr>
                <w:rFonts w:ascii="Calibri"/>
                <w:sz w:val="18"/>
              </w:rPr>
              <w:t xml:space="preserve"> </w:t>
            </w:r>
            <w:r>
              <w:rPr>
                <w:rFonts w:ascii="Calibri"/>
                <w:spacing w:val="-1"/>
                <w:sz w:val="18"/>
              </w:rPr>
              <w:t>issue</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it</w:t>
            </w:r>
            <w:r>
              <w:rPr>
                <w:rFonts w:ascii="Calibri"/>
                <w:spacing w:val="-4"/>
                <w:sz w:val="18"/>
              </w:rPr>
              <w:t xml:space="preserve"> </w:t>
            </w:r>
            <w:r>
              <w:rPr>
                <w:rFonts w:ascii="Calibri"/>
                <w:sz w:val="18"/>
              </w:rPr>
              <w:t>is</w:t>
            </w:r>
            <w:r>
              <w:rPr>
                <w:rFonts w:ascii="Calibri"/>
                <w:spacing w:val="57"/>
                <w:w w:val="99"/>
                <w:sz w:val="18"/>
              </w:rPr>
              <w:t xml:space="preserve"> </w:t>
            </w:r>
            <w:r>
              <w:rPr>
                <w:rFonts w:ascii="Calibri"/>
                <w:spacing w:val="-1"/>
                <w:sz w:val="18"/>
              </w:rPr>
              <w:t>also</w:t>
            </w:r>
            <w:r>
              <w:rPr>
                <w:rFonts w:ascii="Calibri"/>
                <w:spacing w:val="-3"/>
                <w:sz w:val="18"/>
              </w:rPr>
              <w:t xml:space="preserve"> </w:t>
            </w:r>
            <w:r>
              <w:rPr>
                <w:rFonts w:ascii="Calibri"/>
                <w:sz w:val="18"/>
              </w:rPr>
              <w:t>a</w:t>
            </w:r>
            <w:r>
              <w:rPr>
                <w:rFonts w:ascii="Calibri"/>
                <w:spacing w:val="-4"/>
                <w:sz w:val="18"/>
              </w:rPr>
              <w:t xml:space="preserve"> </w:t>
            </w:r>
            <w:r>
              <w:rPr>
                <w:rFonts w:ascii="Calibri"/>
                <w:spacing w:val="-1"/>
                <w:sz w:val="18"/>
              </w:rPr>
              <w:t>delicate</w:t>
            </w:r>
            <w:r>
              <w:rPr>
                <w:rFonts w:ascii="Calibri"/>
                <w:spacing w:val="-4"/>
                <w:sz w:val="18"/>
              </w:rPr>
              <w:t xml:space="preserve"> </w:t>
            </w:r>
            <w:r>
              <w:rPr>
                <w:rFonts w:ascii="Calibri"/>
                <w:sz w:val="18"/>
              </w:rPr>
              <w:t>market</w:t>
            </w:r>
            <w:r>
              <w:rPr>
                <w:rFonts w:ascii="Calibri"/>
                <w:spacing w:val="-5"/>
                <w:sz w:val="18"/>
              </w:rPr>
              <w:t xml:space="preserve"> </w:t>
            </w:r>
            <w:r>
              <w:rPr>
                <w:rFonts w:ascii="Calibri"/>
                <w:spacing w:val="-1"/>
                <w:sz w:val="18"/>
              </w:rPr>
              <w:t>one.</w:t>
            </w:r>
            <w:r>
              <w:rPr>
                <w:rFonts w:ascii="Calibri"/>
                <w:spacing w:val="-3"/>
                <w:sz w:val="18"/>
              </w:rPr>
              <w:t xml:space="preserve"> </w:t>
            </w:r>
            <w:r>
              <w:rPr>
                <w:rFonts w:ascii="Calibri"/>
                <w:spacing w:val="-1"/>
                <w:sz w:val="18"/>
              </w:rPr>
              <w:t>Wattley</w:t>
            </w:r>
            <w:r>
              <w:rPr>
                <w:rFonts w:ascii="Calibri"/>
                <w:spacing w:val="-4"/>
                <w:sz w:val="18"/>
              </w:rPr>
              <w:t xml:space="preserve"> </w:t>
            </w:r>
            <w:r>
              <w:rPr>
                <w:rFonts w:ascii="Calibri"/>
                <w:spacing w:val="-1"/>
                <w:sz w:val="18"/>
              </w:rPr>
              <w:t>is</w:t>
            </w:r>
            <w:r>
              <w:rPr>
                <w:rFonts w:ascii="Calibri"/>
                <w:spacing w:val="-4"/>
                <w:sz w:val="18"/>
              </w:rPr>
              <w:t xml:space="preserve"> </w:t>
            </w:r>
            <w:r>
              <w:rPr>
                <w:rFonts w:ascii="Calibri"/>
                <w:spacing w:val="-1"/>
                <w:sz w:val="18"/>
              </w:rPr>
              <w:t>widely</w:t>
            </w:r>
            <w:r>
              <w:rPr>
                <w:rFonts w:ascii="Calibri"/>
                <w:spacing w:val="-4"/>
                <w:sz w:val="18"/>
              </w:rPr>
              <w:t xml:space="preserve"> </w:t>
            </w:r>
            <w:r>
              <w:rPr>
                <w:rFonts w:ascii="Calibri"/>
                <w:sz w:val="18"/>
              </w:rPr>
              <w:t>known</w:t>
            </w:r>
            <w:r>
              <w:rPr>
                <w:rFonts w:ascii="Calibri"/>
                <w:spacing w:val="-4"/>
                <w:sz w:val="18"/>
              </w:rPr>
              <w:t xml:space="preserve"> </w:t>
            </w:r>
            <w:r>
              <w:rPr>
                <w:rFonts w:ascii="Calibri"/>
                <w:spacing w:val="-1"/>
                <w:sz w:val="18"/>
              </w:rPr>
              <w:t>in</w:t>
            </w:r>
            <w:r>
              <w:rPr>
                <w:rFonts w:ascii="Calibri"/>
                <w:spacing w:val="-5"/>
                <w:sz w:val="18"/>
              </w:rPr>
              <w:t xml:space="preserve"> </w:t>
            </w:r>
            <w:r>
              <w:rPr>
                <w:rFonts w:ascii="Calibri"/>
                <w:sz w:val="18"/>
              </w:rPr>
              <w:t>the</w:t>
            </w:r>
            <w:r>
              <w:rPr>
                <w:rFonts w:ascii="Calibri"/>
                <w:spacing w:val="47"/>
                <w:w w:val="99"/>
                <w:sz w:val="18"/>
              </w:rPr>
              <w:t xml:space="preserve"> </w:t>
            </w:r>
            <w:r>
              <w:rPr>
                <w:rFonts w:ascii="Calibri"/>
                <w:spacing w:val="-1"/>
                <w:sz w:val="18"/>
              </w:rPr>
              <w:t>territory</w:t>
            </w:r>
            <w:r>
              <w:rPr>
                <w:rFonts w:ascii="Calibri"/>
                <w:spacing w:val="-5"/>
                <w:sz w:val="18"/>
              </w:rPr>
              <w:t xml:space="preserve"> </w:t>
            </w:r>
            <w:r>
              <w:rPr>
                <w:rFonts w:ascii="Calibri"/>
                <w:spacing w:val="-1"/>
                <w:sz w:val="18"/>
              </w:rPr>
              <w:t>and</w:t>
            </w:r>
            <w:r>
              <w:rPr>
                <w:rFonts w:ascii="Calibri"/>
                <w:spacing w:val="-3"/>
                <w:sz w:val="18"/>
              </w:rPr>
              <w:t xml:space="preserve"> </w:t>
            </w:r>
            <w:r>
              <w:rPr>
                <w:rFonts w:ascii="Calibri"/>
                <w:spacing w:val="-1"/>
                <w:sz w:val="18"/>
              </w:rPr>
              <w:t>is</w:t>
            </w:r>
            <w:r>
              <w:rPr>
                <w:rFonts w:ascii="Calibri"/>
                <w:spacing w:val="-5"/>
                <w:sz w:val="18"/>
              </w:rPr>
              <w:t xml:space="preserve"> </w:t>
            </w:r>
            <w:r>
              <w:rPr>
                <w:rFonts w:ascii="Calibri"/>
                <w:sz w:val="18"/>
              </w:rPr>
              <w:t>as</w:t>
            </w:r>
            <w:r>
              <w:rPr>
                <w:rFonts w:ascii="Calibri"/>
                <w:spacing w:val="-5"/>
                <w:sz w:val="18"/>
              </w:rPr>
              <w:t xml:space="preserve"> </w:t>
            </w:r>
            <w:r>
              <w:rPr>
                <w:rFonts w:ascii="Calibri"/>
                <w:spacing w:val="-1"/>
                <w:sz w:val="18"/>
              </w:rPr>
              <w:t>very</w:t>
            </w:r>
            <w:r>
              <w:rPr>
                <w:rFonts w:ascii="Calibri"/>
                <w:spacing w:val="-2"/>
                <w:sz w:val="18"/>
              </w:rPr>
              <w:t xml:space="preserve"> </w:t>
            </w:r>
            <w:r>
              <w:rPr>
                <w:rFonts w:ascii="Calibri"/>
                <w:spacing w:val="-1"/>
                <w:sz w:val="18"/>
              </w:rPr>
              <w:t>positive</w:t>
            </w:r>
            <w:r>
              <w:rPr>
                <w:rFonts w:ascii="Calibri"/>
                <w:spacing w:val="-3"/>
                <w:sz w:val="18"/>
              </w:rPr>
              <w:t xml:space="preserve"> </w:t>
            </w:r>
            <w:r>
              <w:rPr>
                <w:rFonts w:ascii="Calibri"/>
                <w:sz w:val="18"/>
              </w:rPr>
              <w:t>program</w:t>
            </w:r>
            <w:r>
              <w:rPr>
                <w:rFonts w:ascii="Calibri"/>
                <w:spacing w:val="-4"/>
                <w:sz w:val="18"/>
              </w:rPr>
              <w:t xml:space="preserve"> </w:t>
            </w:r>
            <w:r>
              <w:rPr>
                <w:rFonts w:ascii="Calibri"/>
                <w:spacing w:val="-1"/>
                <w:sz w:val="18"/>
              </w:rPr>
              <w:t>image.</w:t>
            </w:r>
            <w:r>
              <w:rPr>
                <w:rFonts w:ascii="Calibri"/>
                <w:spacing w:val="-4"/>
                <w:sz w:val="18"/>
              </w:rPr>
              <w:t xml:space="preserve"> </w:t>
            </w:r>
            <w:r>
              <w:rPr>
                <w:rFonts w:ascii="Calibri"/>
                <w:spacing w:val="-1"/>
                <w:sz w:val="18"/>
              </w:rPr>
              <w:t>Changing</w:t>
            </w:r>
            <w:r>
              <w:rPr>
                <w:rFonts w:ascii="Calibri"/>
                <w:spacing w:val="-5"/>
                <w:sz w:val="18"/>
              </w:rPr>
              <w:t xml:space="preserve"> </w:t>
            </w:r>
            <w:r>
              <w:rPr>
                <w:rFonts w:ascii="Calibri"/>
                <w:sz w:val="18"/>
              </w:rPr>
              <w:t>or</w:t>
            </w:r>
            <w:r>
              <w:rPr>
                <w:rFonts w:ascii="Calibri"/>
                <w:spacing w:val="43"/>
                <w:w w:val="99"/>
                <w:sz w:val="18"/>
              </w:rPr>
              <w:t xml:space="preserve"> </w:t>
            </w:r>
            <w:r>
              <w:rPr>
                <w:rFonts w:ascii="Calibri"/>
                <w:spacing w:val="-1"/>
                <w:sz w:val="18"/>
              </w:rPr>
              <w:t>removing</w:t>
            </w:r>
            <w:r>
              <w:rPr>
                <w:rFonts w:ascii="Calibri"/>
                <w:spacing w:val="-5"/>
                <w:sz w:val="18"/>
              </w:rPr>
              <w:t xml:space="preserve"> </w:t>
            </w:r>
            <w:r>
              <w:rPr>
                <w:rFonts w:ascii="Calibri"/>
                <w:sz w:val="18"/>
              </w:rPr>
              <w:t>such</w:t>
            </w:r>
            <w:r>
              <w:rPr>
                <w:rFonts w:ascii="Calibri"/>
                <w:spacing w:val="-5"/>
                <w:sz w:val="18"/>
              </w:rPr>
              <w:t xml:space="preserve"> </w:t>
            </w:r>
            <w:r>
              <w:rPr>
                <w:rFonts w:ascii="Calibri"/>
                <w:sz w:val="18"/>
              </w:rPr>
              <w:t>an</w:t>
            </w:r>
            <w:r>
              <w:rPr>
                <w:rFonts w:ascii="Calibri"/>
                <w:spacing w:val="-5"/>
                <w:sz w:val="18"/>
              </w:rPr>
              <w:t xml:space="preserve"> </w:t>
            </w:r>
            <w:r>
              <w:rPr>
                <w:rFonts w:ascii="Calibri"/>
                <w:spacing w:val="-1"/>
                <w:sz w:val="18"/>
              </w:rPr>
              <w:t>image</w:t>
            </w:r>
            <w:r>
              <w:rPr>
                <w:rFonts w:ascii="Calibri"/>
                <w:spacing w:val="-2"/>
                <w:sz w:val="18"/>
              </w:rPr>
              <w:t xml:space="preserve"> </w:t>
            </w:r>
            <w:r>
              <w:rPr>
                <w:rFonts w:ascii="Calibri"/>
                <w:spacing w:val="-1"/>
                <w:sz w:val="18"/>
              </w:rPr>
              <w:t>should</w:t>
            </w:r>
            <w:r>
              <w:rPr>
                <w:rFonts w:ascii="Calibri"/>
                <w:spacing w:val="-5"/>
                <w:sz w:val="18"/>
              </w:rPr>
              <w:t xml:space="preserve"> </w:t>
            </w:r>
            <w:r>
              <w:rPr>
                <w:rFonts w:ascii="Calibri"/>
                <w:spacing w:val="-1"/>
                <w:sz w:val="18"/>
              </w:rPr>
              <w:t>only</w:t>
            </w:r>
            <w:r>
              <w:rPr>
                <w:rFonts w:ascii="Calibri"/>
                <w:spacing w:val="-4"/>
                <w:sz w:val="18"/>
              </w:rPr>
              <w:t xml:space="preserve"> </w:t>
            </w:r>
            <w:r>
              <w:rPr>
                <w:rFonts w:ascii="Calibri"/>
                <w:spacing w:val="-1"/>
                <w:sz w:val="18"/>
              </w:rPr>
              <w:t>be</w:t>
            </w:r>
            <w:r>
              <w:rPr>
                <w:rFonts w:ascii="Calibri"/>
                <w:spacing w:val="-3"/>
                <w:sz w:val="18"/>
              </w:rPr>
              <w:t xml:space="preserve"> </w:t>
            </w:r>
            <w:r>
              <w:rPr>
                <w:rFonts w:ascii="Calibri"/>
                <w:spacing w:val="-1"/>
                <w:sz w:val="18"/>
              </w:rPr>
              <w:t>done</w:t>
            </w:r>
            <w:r>
              <w:rPr>
                <w:rFonts w:ascii="Calibri"/>
                <w:spacing w:val="-5"/>
                <w:sz w:val="18"/>
              </w:rPr>
              <w:t xml:space="preserve"> </w:t>
            </w:r>
            <w:r>
              <w:rPr>
                <w:rFonts w:ascii="Calibri"/>
                <w:spacing w:val="-1"/>
                <w:sz w:val="18"/>
              </w:rPr>
              <w:t>after</w:t>
            </w:r>
            <w:r>
              <w:rPr>
                <w:rFonts w:ascii="Calibri"/>
                <w:spacing w:val="49"/>
                <w:w w:val="99"/>
                <w:sz w:val="18"/>
              </w:rPr>
              <w:t xml:space="preserve"> </w:t>
            </w:r>
            <w:r>
              <w:rPr>
                <w:rFonts w:ascii="Calibri"/>
                <w:spacing w:val="-1"/>
                <w:sz w:val="18"/>
              </w:rPr>
              <w:t>considerable</w:t>
            </w:r>
            <w:r>
              <w:rPr>
                <w:rFonts w:ascii="Calibri"/>
                <w:spacing w:val="-7"/>
                <w:sz w:val="18"/>
              </w:rPr>
              <w:t xml:space="preserve"> </w:t>
            </w:r>
            <w:r>
              <w:rPr>
                <w:rFonts w:ascii="Calibri"/>
                <w:spacing w:val="-1"/>
                <w:sz w:val="18"/>
              </w:rPr>
              <w:t>thought</w:t>
            </w:r>
            <w:r>
              <w:rPr>
                <w:rFonts w:ascii="Calibri"/>
                <w:spacing w:val="-7"/>
                <w:sz w:val="18"/>
              </w:rPr>
              <w:t xml:space="preserve"> </w:t>
            </w:r>
            <w:r>
              <w:rPr>
                <w:rFonts w:ascii="Calibri"/>
                <w:sz w:val="18"/>
              </w:rPr>
              <w:t>and</w:t>
            </w:r>
            <w:r>
              <w:rPr>
                <w:rFonts w:ascii="Calibri"/>
                <w:spacing w:val="-7"/>
                <w:sz w:val="18"/>
              </w:rPr>
              <w:t xml:space="preserve"> </w:t>
            </w:r>
            <w:r>
              <w:rPr>
                <w:rFonts w:ascii="Calibri"/>
                <w:spacing w:val="-1"/>
                <w:sz w:val="18"/>
              </w:rPr>
              <w:t>possibly</w:t>
            </w:r>
            <w:r>
              <w:rPr>
                <w:rFonts w:ascii="Calibri"/>
                <w:spacing w:val="-6"/>
                <w:sz w:val="18"/>
              </w:rPr>
              <w:t xml:space="preserve"> </w:t>
            </w:r>
            <w:r>
              <w:rPr>
                <w:rFonts w:ascii="Calibri"/>
                <w:spacing w:val="-1"/>
                <w:sz w:val="18"/>
              </w:rPr>
              <w:t>testing</w:t>
            </w:r>
            <w:r>
              <w:rPr>
                <w:rFonts w:ascii="Calibri"/>
                <w:spacing w:val="-7"/>
                <w:sz w:val="18"/>
              </w:rPr>
              <w:t xml:space="preserve"> </w:t>
            </w:r>
            <w:r>
              <w:rPr>
                <w:rFonts w:ascii="Calibri"/>
                <w:spacing w:val="-1"/>
                <w:sz w:val="18"/>
              </w:rPr>
              <w:t>regarding</w:t>
            </w:r>
            <w:r>
              <w:rPr>
                <w:rFonts w:ascii="Calibri"/>
                <w:spacing w:val="-6"/>
                <w:sz w:val="18"/>
              </w:rPr>
              <w:t xml:space="preserve"> </w:t>
            </w:r>
            <w:r>
              <w:rPr>
                <w:rFonts w:ascii="Calibri"/>
                <w:sz w:val="18"/>
              </w:rPr>
              <w:t>the</w:t>
            </w:r>
            <w:r>
              <w:rPr>
                <w:rFonts w:ascii="Calibri"/>
                <w:spacing w:val="59"/>
                <w:w w:val="99"/>
                <w:sz w:val="18"/>
              </w:rPr>
              <w:t xml:space="preserve"> </w:t>
            </w:r>
            <w:r>
              <w:rPr>
                <w:rFonts w:ascii="Calibri"/>
                <w:spacing w:val="-1"/>
                <w:sz w:val="18"/>
              </w:rPr>
              <w:t>consequences.</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802"/>
        </w:trPr>
        <w:tc>
          <w:tcPr>
            <w:tcW w:w="9360" w:type="dxa"/>
            <w:gridSpan w:val="2"/>
          </w:tcPr>
          <w:p w:rsidR="00E646C9" w:rsidRDefault="00E646C9" w:rsidP="00C94D5A">
            <w:pPr>
              <w:pStyle w:val="TableParagraph"/>
              <w:spacing w:line="193" w:lineRule="exact"/>
              <w:ind w:left="97"/>
              <w:rPr>
                <w:rFonts w:ascii="Calibri" w:eastAsia="Calibri" w:hAnsi="Calibri" w:cs="Calibri"/>
                <w:sz w:val="16"/>
                <w:szCs w:val="16"/>
              </w:rPr>
            </w:pPr>
            <w:r>
              <w:rPr>
                <w:rFonts w:ascii="Calibri"/>
                <w:sz w:val="16"/>
              </w:rPr>
              <w:t>[1]</w:t>
            </w:r>
            <w:r>
              <w:rPr>
                <w:rFonts w:ascii="Calibri"/>
                <w:spacing w:val="-2"/>
                <w:sz w:val="16"/>
              </w:rPr>
              <w:t xml:space="preserve"> </w:t>
            </w:r>
            <w:r>
              <w:rPr>
                <w:rFonts w:ascii="Calibri"/>
                <w:spacing w:val="-1"/>
                <w:sz w:val="16"/>
              </w:rPr>
              <w:t>Consortium</w:t>
            </w:r>
            <w:r>
              <w:rPr>
                <w:rFonts w:ascii="Calibri"/>
                <w:spacing w:val="1"/>
                <w:sz w:val="16"/>
              </w:rPr>
              <w:t xml:space="preserve"> </w:t>
            </w:r>
            <w:r>
              <w:rPr>
                <w:rFonts w:ascii="Calibri"/>
                <w:spacing w:val="-1"/>
                <w:sz w:val="16"/>
              </w:rPr>
              <w:t>for Energy Efficiency.</w:t>
            </w:r>
            <w:r>
              <w:rPr>
                <w:rFonts w:ascii="Calibri"/>
                <w:spacing w:val="2"/>
                <w:sz w:val="16"/>
              </w:rPr>
              <w:t xml:space="preserve"> </w:t>
            </w:r>
            <w:r>
              <w:rPr>
                <w:rFonts w:ascii="Calibri"/>
                <w:spacing w:val="-1"/>
                <w:sz w:val="16"/>
              </w:rPr>
              <w:t>CEE</w:t>
            </w:r>
            <w:hyperlink r:id="rId187">
              <w:r>
                <w:rPr>
                  <w:rFonts w:ascii="Calibri"/>
                  <w:spacing w:val="-1"/>
                  <w:sz w:val="16"/>
                </w:rPr>
                <w:t>.</w:t>
              </w:r>
              <w:r>
                <w:rPr>
                  <w:rFonts w:ascii="Calibri"/>
                  <w:sz w:val="16"/>
                </w:rPr>
                <w:t xml:space="preserve"> </w:t>
              </w:r>
              <w:r>
                <w:rPr>
                  <w:rFonts w:ascii="Calibri"/>
                  <w:spacing w:val="-1"/>
                  <w:sz w:val="16"/>
                </w:rPr>
                <w:t>http://www.cee1.org/</w:t>
              </w:r>
            </w:hyperlink>
          </w:p>
          <w:p w:rsidR="00E646C9" w:rsidRDefault="00E646C9" w:rsidP="00C94D5A">
            <w:pPr>
              <w:pStyle w:val="TableParagraph"/>
              <w:ind w:left="97" w:right="316"/>
              <w:rPr>
                <w:rFonts w:ascii="Calibri" w:eastAsia="Calibri" w:hAnsi="Calibri" w:cs="Calibri"/>
                <w:sz w:val="16"/>
                <w:szCs w:val="16"/>
              </w:rPr>
            </w:pPr>
            <w:r>
              <w:rPr>
                <w:rFonts w:ascii="Calibri"/>
                <w:sz w:val="16"/>
              </w:rPr>
              <w:t>[2]</w:t>
            </w:r>
            <w:r>
              <w:rPr>
                <w:rFonts w:ascii="Calibri"/>
                <w:spacing w:val="-2"/>
                <w:sz w:val="16"/>
              </w:rPr>
              <w:t xml:space="preserve"> </w:t>
            </w:r>
            <w:r>
              <w:rPr>
                <w:rFonts w:ascii="Calibri"/>
                <w:spacing w:val="-1"/>
                <w:sz w:val="16"/>
              </w:rPr>
              <w:t>CEE</w:t>
            </w:r>
            <w:r>
              <w:rPr>
                <w:rFonts w:ascii="Calibri"/>
                <w:sz w:val="16"/>
              </w:rPr>
              <w:t xml:space="preserve"> </w:t>
            </w:r>
            <w:r>
              <w:rPr>
                <w:rFonts w:ascii="Calibri"/>
                <w:spacing w:val="-1"/>
                <w:sz w:val="16"/>
              </w:rPr>
              <w:t>Super Efficient</w:t>
            </w:r>
            <w:r>
              <w:rPr>
                <w:rFonts w:ascii="Calibri"/>
                <w:spacing w:val="-2"/>
                <w:sz w:val="16"/>
              </w:rPr>
              <w:t xml:space="preserve"> </w:t>
            </w:r>
            <w:r>
              <w:rPr>
                <w:rFonts w:ascii="Calibri"/>
                <w:sz w:val="16"/>
              </w:rPr>
              <w:t>Home</w:t>
            </w:r>
            <w:r>
              <w:rPr>
                <w:rFonts w:ascii="Calibri"/>
                <w:spacing w:val="-1"/>
                <w:sz w:val="16"/>
              </w:rPr>
              <w:t xml:space="preserve"> Appliances Initiative.</w:t>
            </w:r>
            <w:r>
              <w:rPr>
                <w:rFonts w:ascii="Calibri"/>
                <w:sz w:val="16"/>
              </w:rPr>
              <w:t xml:space="preserve"> High</w:t>
            </w:r>
            <w:r>
              <w:rPr>
                <w:rFonts w:ascii="Calibri"/>
                <w:spacing w:val="-1"/>
                <w:sz w:val="16"/>
              </w:rPr>
              <w:t xml:space="preserve"> efficiency specifications </w:t>
            </w:r>
            <w:r>
              <w:rPr>
                <w:rFonts w:ascii="Calibri"/>
                <w:sz w:val="16"/>
              </w:rPr>
              <w:t>for</w:t>
            </w:r>
            <w:r>
              <w:rPr>
                <w:rFonts w:ascii="Calibri"/>
                <w:spacing w:val="-1"/>
                <w:sz w:val="16"/>
              </w:rPr>
              <w:t xml:space="preserve"> Residential</w:t>
            </w:r>
            <w:r>
              <w:rPr>
                <w:rFonts w:ascii="Calibri"/>
                <w:spacing w:val="-2"/>
                <w:sz w:val="16"/>
              </w:rPr>
              <w:t xml:space="preserve"> </w:t>
            </w:r>
            <w:r>
              <w:rPr>
                <w:rFonts w:ascii="Calibri"/>
                <w:spacing w:val="-1"/>
                <w:sz w:val="16"/>
              </w:rPr>
              <w:t>Clothes Washers.</w:t>
            </w:r>
            <w:r>
              <w:rPr>
                <w:rFonts w:ascii="Calibri"/>
                <w:sz w:val="16"/>
              </w:rPr>
              <w:t xml:space="preserve"> </w:t>
            </w:r>
            <w:r>
              <w:rPr>
                <w:rFonts w:ascii="Calibri"/>
                <w:spacing w:val="-1"/>
                <w:sz w:val="16"/>
              </w:rPr>
              <w:t>Effective</w:t>
            </w:r>
            <w:r>
              <w:rPr>
                <w:rFonts w:ascii="Calibri"/>
                <w:spacing w:val="1"/>
                <w:sz w:val="16"/>
              </w:rPr>
              <w:t xml:space="preserve"> </w:t>
            </w:r>
            <w:r>
              <w:rPr>
                <w:rFonts w:ascii="Calibri"/>
                <w:spacing w:val="-1"/>
                <w:sz w:val="16"/>
              </w:rPr>
              <w:t xml:space="preserve">March </w:t>
            </w:r>
            <w:r>
              <w:rPr>
                <w:rFonts w:ascii="Calibri"/>
                <w:sz w:val="16"/>
              </w:rPr>
              <w:t xml:space="preserve">7, 2015. </w:t>
            </w:r>
            <w:r>
              <w:rPr>
                <w:rFonts w:ascii="Calibri"/>
                <w:color w:val="0000FF"/>
                <w:sz w:val="16"/>
              </w:rPr>
              <w:t xml:space="preserve">  </w:t>
            </w:r>
            <w:hyperlink r:id="rId188">
              <w:r>
                <w:rPr>
                  <w:rFonts w:ascii="Calibri"/>
                  <w:color w:val="0000FF"/>
                  <w:spacing w:val="-1"/>
                  <w:sz w:val="16"/>
                  <w:u w:val="single" w:color="0000FF"/>
                </w:rPr>
                <w:t>http://library.cee1.org/sites/default/files/library/12282/CEE_ResidentialClothesWasherSpec_07Mar2015.pdf</w:t>
              </w:r>
            </w:hyperlink>
          </w:p>
        </w:tc>
      </w:tr>
    </w:tbl>
    <w:p w:rsidR="00E646C9" w:rsidRPr="00E646C9" w:rsidRDefault="00E646C9" w:rsidP="00E646C9">
      <w:pPr>
        <w:pStyle w:val="AppendixGHeading2"/>
      </w:pPr>
      <w:r w:rsidRPr="00E646C9">
        <w:t>Residential Appliance Recycling Program</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04"/>
        </w:trPr>
        <w:tc>
          <w:tcPr>
            <w:tcW w:w="4680" w:type="dxa"/>
            <w:shd w:val="clear" w:color="auto" w:fill="438A99"/>
          </w:tcPr>
          <w:p w:rsidR="00E646C9" w:rsidRDefault="00E646C9" w:rsidP="00B40F47">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1778"/>
        </w:trPr>
        <w:tc>
          <w:tcPr>
            <w:tcW w:w="4680" w:type="dxa"/>
            <w:shd w:val="clear" w:color="auto" w:fill="D2EAF1"/>
          </w:tcPr>
          <w:p w:rsidR="00E646C9" w:rsidRDefault="00E646C9" w:rsidP="00C94D5A">
            <w:pPr>
              <w:pStyle w:val="TableParagraph"/>
              <w:spacing w:line="218" w:lineRule="exact"/>
              <w:ind w:left="97"/>
              <w:jc w:val="both"/>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spacing w:before="1"/>
              <w:ind w:left="97" w:right="94"/>
              <w:jc w:val="both"/>
              <w:rPr>
                <w:rFonts w:ascii="Calibri" w:eastAsia="Calibri" w:hAnsi="Calibri" w:cs="Calibri"/>
                <w:sz w:val="18"/>
                <w:szCs w:val="18"/>
              </w:rPr>
            </w:pPr>
            <w:r>
              <w:rPr>
                <w:rFonts w:ascii="Calibri"/>
                <w:spacing w:val="-1"/>
                <w:sz w:val="18"/>
              </w:rPr>
              <w:t>Consider</w:t>
            </w:r>
            <w:r>
              <w:rPr>
                <w:rFonts w:ascii="Calibri"/>
                <w:spacing w:val="33"/>
                <w:sz w:val="18"/>
              </w:rPr>
              <w:t xml:space="preserve"> </w:t>
            </w:r>
            <w:r>
              <w:rPr>
                <w:rFonts w:ascii="Calibri"/>
                <w:spacing w:val="-1"/>
                <w:sz w:val="18"/>
              </w:rPr>
              <w:t>boosting</w:t>
            </w:r>
            <w:r>
              <w:rPr>
                <w:rFonts w:ascii="Calibri"/>
                <w:spacing w:val="32"/>
                <w:sz w:val="18"/>
              </w:rPr>
              <w:t xml:space="preserve"> </w:t>
            </w:r>
            <w:r>
              <w:rPr>
                <w:rFonts w:ascii="Calibri"/>
                <w:spacing w:val="-1"/>
                <w:sz w:val="18"/>
              </w:rPr>
              <w:t>survey</w:t>
            </w:r>
            <w:r>
              <w:rPr>
                <w:rFonts w:ascii="Calibri"/>
                <w:spacing w:val="35"/>
                <w:sz w:val="18"/>
              </w:rPr>
              <w:t xml:space="preserve"> </w:t>
            </w:r>
            <w:r>
              <w:rPr>
                <w:rFonts w:ascii="Calibri"/>
                <w:spacing w:val="-1"/>
                <w:sz w:val="18"/>
              </w:rPr>
              <w:t>sample</w:t>
            </w:r>
            <w:r>
              <w:rPr>
                <w:rFonts w:ascii="Calibri"/>
                <w:spacing w:val="34"/>
                <w:sz w:val="18"/>
              </w:rPr>
              <w:t xml:space="preserve"> </w:t>
            </w:r>
            <w:r>
              <w:rPr>
                <w:rFonts w:ascii="Calibri"/>
                <w:spacing w:val="-1"/>
                <w:sz w:val="18"/>
              </w:rPr>
              <w:t>sizes</w:t>
            </w:r>
            <w:r>
              <w:rPr>
                <w:rFonts w:ascii="Calibri"/>
                <w:spacing w:val="34"/>
                <w:sz w:val="18"/>
              </w:rPr>
              <w:t xml:space="preserve"> </w:t>
            </w:r>
            <w:r>
              <w:rPr>
                <w:rFonts w:ascii="Calibri"/>
                <w:spacing w:val="-1"/>
                <w:sz w:val="18"/>
              </w:rPr>
              <w:t>in</w:t>
            </w:r>
            <w:r>
              <w:rPr>
                <w:rFonts w:ascii="Calibri"/>
                <w:spacing w:val="34"/>
                <w:sz w:val="18"/>
              </w:rPr>
              <w:t xml:space="preserve"> </w:t>
            </w:r>
            <w:r>
              <w:rPr>
                <w:rFonts w:ascii="Calibri"/>
                <w:sz w:val="18"/>
              </w:rPr>
              <w:t>PY8</w:t>
            </w:r>
            <w:r>
              <w:rPr>
                <w:rFonts w:ascii="Calibri"/>
                <w:spacing w:val="32"/>
                <w:sz w:val="18"/>
              </w:rPr>
              <w:t xml:space="preserve"> </w:t>
            </w:r>
            <w:r>
              <w:rPr>
                <w:rFonts w:ascii="Calibri"/>
                <w:sz w:val="18"/>
              </w:rPr>
              <w:t>for</w:t>
            </w:r>
            <w:r>
              <w:rPr>
                <w:rFonts w:ascii="Calibri"/>
                <w:spacing w:val="32"/>
                <w:sz w:val="18"/>
              </w:rPr>
              <w:t xml:space="preserve"> </w:t>
            </w:r>
            <w:r>
              <w:rPr>
                <w:rFonts w:ascii="Calibri"/>
                <w:spacing w:val="-1"/>
                <w:sz w:val="18"/>
              </w:rPr>
              <w:t>this</w:t>
            </w:r>
            <w:r>
              <w:rPr>
                <w:rFonts w:ascii="Calibri"/>
                <w:spacing w:val="55"/>
                <w:w w:val="99"/>
                <w:sz w:val="18"/>
              </w:rPr>
              <w:t xml:space="preserve"> </w:t>
            </w:r>
            <w:r>
              <w:rPr>
                <w:rFonts w:ascii="Calibri"/>
                <w:spacing w:val="-1"/>
                <w:sz w:val="18"/>
              </w:rPr>
              <w:t>program,</w:t>
            </w:r>
            <w:r>
              <w:rPr>
                <w:rFonts w:ascii="Calibri"/>
                <w:spacing w:val="28"/>
                <w:sz w:val="18"/>
              </w:rPr>
              <w:t xml:space="preserve"> </w:t>
            </w:r>
            <w:r>
              <w:rPr>
                <w:rFonts w:ascii="Calibri"/>
                <w:spacing w:val="-1"/>
                <w:sz w:val="18"/>
              </w:rPr>
              <w:t>to</w:t>
            </w:r>
            <w:r>
              <w:rPr>
                <w:rFonts w:ascii="Calibri"/>
                <w:spacing w:val="30"/>
                <w:sz w:val="18"/>
              </w:rPr>
              <w:t xml:space="preserve"> </w:t>
            </w:r>
            <w:r>
              <w:rPr>
                <w:rFonts w:ascii="Calibri"/>
                <w:spacing w:val="-1"/>
                <w:sz w:val="18"/>
              </w:rPr>
              <w:t>determine</w:t>
            </w:r>
            <w:r>
              <w:rPr>
                <w:rFonts w:ascii="Calibri"/>
                <w:spacing w:val="28"/>
                <w:sz w:val="18"/>
              </w:rPr>
              <w:t xml:space="preserve"> </w:t>
            </w:r>
            <w:r>
              <w:rPr>
                <w:rFonts w:ascii="Calibri"/>
                <w:spacing w:val="-1"/>
                <w:sz w:val="18"/>
              </w:rPr>
              <w:t>whether</w:t>
            </w:r>
            <w:r>
              <w:rPr>
                <w:rFonts w:ascii="Calibri"/>
                <w:spacing w:val="31"/>
                <w:sz w:val="18"/>
              </w:rPr>
              <w:t xml:space="preserve"> </w:t>
            </w:r>
            <w:r>
              <w:rPr>
                <w:rFonts w:ascii="Calibri"/>
                <w:spacing w:val="-1"/>
                <w:sz w:val="18"/>
              </w:rPr>
              <w:t>free</w:t>
            </w:r>
            <w:r>
              <w:rPr>
                <w:rFonts w:ascii="Calibri"/>
                <w:spacing w:val="28"/>
                <w:sz w:val="18"/>
              </w:rPr>
              <w:t xml:space="preserve"> </w:t>
            </w:r>
            <w:r>
              <w:rPr>
                <w:rFonts w:ascii="Calibri"/>
                <w:spacing w:val="-1"/>
                <w:sz w:val="18"/>
              </w:rPr>
              <w:t>ridership</w:t>
            </w:r>
            <w:r>
              <w:rPr>
                <w:rFonts w:ascii="Calibri"/>
                <w:spacing w:val="28"/>
                <w:sz w:val="18"/>
              </w:rPr>
              <w:t xml:space="preserve"> </w:t>
            </w:r>
            <w:r>
              <w:rPr>
                <w:rFonts w:ascii="Calibri"/>
                <w:spacing w:val="-1"/>
                <w:sz w:val="18"/>
              </w:rPr>
              <w:t>and</w:t>
            </w:r>
            <w:r>
              <w:rPr>
                <w:rFonts w:ascii="Calibri"/>
                <w:spacing w:val="28"/>
                <w:sz w:val="18"/>
              </w:rPr>
              <w:t xml:space="preserve"> </w:t>
            </w:r>
            <w:r>
              <w:rPr>
                <w:rFonts w:ascii="Calibri"/>
                <w:spacing w:val="-1"/>
                <w:sz w:val="18"/>
              </w:rPr>
              <w:t>net-to-</w:t>
            </w:r>
            <w:r>
              <w:rPr>
                <w:rFonts w:ascii="Calibri"/>
                <w:spacing w:val="55"/>
                <w:w w:val="99"/>
                <w:sz w:val="18"/>
              </w:rPr>
              <w:t xml:space="preserve"> </w:t>
            </w:r>
            <w:r>
              <w:rPr>
                <w:rFonts w:ascii="Calibri"/>
                <w:spacing w:val="-1"/>
                <w:sz w:val="18"/>
              </w:rPr>
              <w:t>gross</w:t>
            </w:r>
            <w:r>
              <w:rPr>
                <w:rFonts w:ascii="Calibri"/>
                <w:spacing w:val="28"/>
                <w:sz w:val="18"/>
              </w:rPr>
              <w:t xml:space="preserve"> </w:t>
            </w:r>
            <w:r>
              <w:rPr>
                <w:rFonts w:ascii="Calibri"/>
                <w:spacing w:val="-1"/>
                <w:sz w:val="18"/>
              </w:rPr>
              <w:t>factors</w:t>
            </w:r>
            <w:r>
              <w:rPr>
                <w:rFonts w:ascii="Calibri"/>
                <w:spacing w:val="28"/>
                <w:sz w:val="18"/>
              </w:rPr>
              <w:t xml:space="preserve"> </w:t>
            </w:r>
            <w:r>
              <w:rPr>
                <w:rFonts w:ascii="Calibri"/>
                <w:spacing w:val="-1"/>
                <w:sz w:val="18"/>
              </w:rPr>
              <w:t>are</w:t>
            </w:r>
            <w:r>
              <w:rPr>
                <w:rFonts w:ascii="Calibri"/>
                <w:spacing w:val="28"/>
                <w:sz w:val="18"/>
              </w:rPr>
              <w:t xml:space="preserve"> </w:t>
            </w:r>
            <w:r>
              <w:rPr>
                <w:rFonts w:ascii="Calibri"/>
                <w:spacing w:val="-1"/>
                <w:sz w:val="18"/>
              </w:rPr>
              <w:t>indeed</w:t>
            </w:r>
            <w:r>
              <w:rPr>
                <w:rFonts w:ascii="Calibri"/>
                <w:spacing w:val="28"/>
                <w:sz w:val="18"/>
              </w:rPr>
              <w:t xml:space="preserve"> </w:t>
            </w:r>
            <w:r>
              <w:rPr>
                <w:rFonts w:ascii="Calibri"/>
                <w:spacing w:val="-1"/>
                <w:sz w:val="18"/>
              </w:rPr>
              <w:t>increasing.</w:t>
            </w:r>
            <w:r>
              <w:rPr>
                <w:rFonts w:ascii="Calibri"/>
                <w:spacing w:val="29"/>
                <w:sz w:val="18"/>
              </w:rPr>
              <w:t xml:space="preserve"> </w:t>
            </w:r>
            <w:r>
              <w:rPr>
                <w:rFonts w:ascii="Calibri"/>
                <w:spacing w:val="-1"/>
                <w:sz w:val="18"/>
              </w:rPr>
              <w:t>Modify</w:t>
            </w:r>
            <w:r>
              <w:rPr>
                <w:rFonts w:ascii="Calibri"/>
                <w:spacing w:val="29"/>
                <w:sz w:val="18"/>
              </w:rPr>
              <w:t xml:space="preserve"> </w:t>
            </w:r>
            <w:r>
              <w:rPr>
                <w:rFonts w:ascii="Calibri"/>
                <w:spacing w:val="-1"/>
                <w:sz w:val="18"/>
              </w:rPr>
              <w:t>the</w:t>
            </w:r>
            <w:r>
              <w:rPr>
                <w:rFonts w:ascii="Calibri"/>
                <w:spacing w:val="29"/>
                <w:sz w:val="18"/>
              </w:rPr>
              <w:t xml:space="preserve"> </w:t>
            </w:r>
            <w:r>
              <w:rPr>
                <w:rFonts w:ascii="Calibri"/>
                <w:spacing w:val="-1"/>
                <w:sz w:val="18"/>
              </w:rPr>
              <w:t>survey</w:t>
            </w:r>
            <w:r>
              <w:rPr>
                <w:rFonts w:ascii="Calibri"/>
                <w:spacing w:val="59"/>
                <w:w w:val="99"/>
                <w:sz w:val="18"/>
              </w:rPr>
              <w:t xml:space="preserve"> </w:t>
            </w:r>
            <w:r>
              <w:rPr>
                <w:rFonts w:ascii="Calibri"/>
                <w:spacing w:val="-1"/>
                <w:sz w:val="18"/>
              </w:rPr>
              <w:t>questionnaire</w:t>
            </w:r>
            <w:r>
              <w:rPr>
                <w:rFonts w:ascii="Calibri"/>
                <w:spacing w:val="-12"/>
                <w:sz w:val="18"/>
              </w:rPr>
              <w:t xml:space="preserve"> </w:t>
            </w:r>
            <w:r>
              <w:rPr>
                <w:rFonts w:ascii="Calibri"/>
                <w:spacing w:val="-1"/>
                <w:sz w:val="18"/>
              </w:rPr>
              <w:t>to</w:t>
            </w:r>
            <w:r>
              <w:rPr>
                <w:rFonts w:ascii="Calibri"/>
                <w:spacing w:val="-9"/>
                <w:sz w:val="18"/>
              </w:rPr>
              <w:t xml:space="preserve"> </w:t>
            </w:r>
            <w:r>
              <w:rPr>
                <w:rFonts w:ascii="Calibri"/>
                <w:spacing w:val="-1"/>
                <w:sz w:val="18"/>
              </w:rPr>
              <w:t>try</w:t>
            </w:r>
            <w:r>
              <w:rPr>
                <w:rFonts w:ascii="Calibri"/>
                <w:spacing w:val="-10"/>
                <w:sz w:val="18"/>
              </w:rPr>
              <w:t xml:space="preserve"> </w:t>
            </w:r>
            <w:r>
              <w:rPr>
                <w:rFonts w:ascii="Calibri"/>
                <w:spacing w:val="-1"/>
                <w:sz w:val="18"/>
              </w:rPr>
              <w:t>to</w:t>
            </w:r>
            <w:r>
              <w:rPr>
                <w:rFonts w:ascii="Calibri"/>
                <w:spacing w:val="-9"/>
                <w:sz w:val="18"/>
              </w:rPr>
              <w:t xml:space="preserve"> </w:t>
            </w:r>
            <w:r>
              <w:rPr>
                <w:rFonts w:ascii="Calibri"/>
                <w:spacing w:val="-1"/>
                <w:sz w:val="18"/>
              </w:rPr>
              <w:t>probe</w:t>
            </w:r>
            <w:r>
              <w:rPr>
                <w:rFonts w:ascii="Calibri"/>
                <w:spacing w:val="-12"/>
                <w:sz w:val="18"/>
              </w:rPr>
              <w:t xml:space="preserve"> </w:t>
            </w:r>
            <w:r>
              <w:rPr>
                <w:rFonts w:ascii="Calibri"/>
                <w:spacing w:val="-1"/>
                <w:sz w:val="18"/>
              </w:rPr>
              <w:t>more</w:t>
            </w:r>
            <w:r>
              <w:rPr>
                <w:rFonts w:ascii="Calibri"/>
                <w:spacing w:val="-11"/>
                <w:sz w:val="18"/>
              </w:rPr>
              <w:t xml:space="preserve"> </w:t>
            </w:r>
            <w:r>
              <w:rPr>
                <w:rFonts w:ascii="Calibri"/>
                <w:spacing w:val="-1"/>
                <w:sz w:val="18"/>
              </w:rPr>
              <w:t>deeply</w:t>
            </w:r>
            <w:r>
              <w:rPr>
                <w:rFonts w:ascii="Calibri"/>
                <w:spacing w:val="-10"/>
                <w:sz w:val="18"/>
              </w:rPr>
              <w:t xml:space="preserve"> </w:t>
            </w:r>
            <w:r>
              <w:rPr>
                <w:rFonts w:ascii="Calibri"/>
                <w:spacing w:val="-1"/>
                <w:sz w:val="18"/>
              </w:rPr>
              <w:t>the</w:t>
            </w:r>
            <w:r>
              <w:rPr>
                <w:rFonts w:ascii="Calibri"/>
                <w:spacing w:val="-11"/>
                <w:sz w:val="18"/>
              </w:rPr>
              <w:t xml:space="preserve"> </w:t>
            </w:r>
            <w:r>
              <w:rPr>
                <w:rFonts w:ascii="Calibri"/>
                <w:spacing w:val="-1"/>
                <w:sz w:val="18"/>
              </w:rPr>
              <w:t>reasons</w:t>
            </w:r>
            <w:r>
              <w:rPr>
                <w:rFonts w:ascii="Calibri"/>
                <w:spacing w:val="-11"/>
                <w:sz w:val="18"/>
              </w:rPr>
              <w:t xml:space="preserve"> </w:t>
            </w:r>
            <w:r>
              <w:rPr>
                <w:rFonts w:ascii="Calibri"/>
                <w:sz w:val="18"/>
              </w:rPr>
              <w:t>for</w:t>
            </w:r>
            <w:r>
              <w:rPr>
                <w:rFonts w:ascii="Calibri"/>
                <w:spacing w:val="-11"/>
                <w:sz w:val="18"/>
              </w:rPr>
              <w:t xml:space="preserve"> </w:t>
            </w:r>
            <w:r>
              <w:rPr>
                <w:rFonts w:ascii="Calibri"/>
                <w:spacing w:val="-1"/>
                <w:sz w:val="18"/>
              </w:rPr>
              <w:t>any</w:t>
            </w:r>
            <w:r>
              <w:rPr>
                <w:rFonts w:ascii="Calibri"/>
                <w:spacing w:val="61"/>
                <w:w w:val="99"/>
                <w:sz w:val="18"/>
              </w:rPr>
              <w:t xml:space="preserve"> </w:t>
            </w:r>
            <w:r>
              <w:rPr>
                <w:rFonts w:ascii="Calibri"/>
                <w:spacing w:val="-1"/>
                <w:sz w:val="18"/>
              </w:rPr>
              <w:t>free</w:t>
            </w:r>
            <w:r>
              <w:rPr>
                <w:rFonts w:ascii="Calibri"/>
                <w:spacing w:val="22"/>
                <w:sz w:val="18"/>
              </w:rPr>
              <w:t xml:space="preserve"> </w:t>
            </w:r>
            <w:r>
              <w:rPr>
                <w:rFonts w:ascii="Calibri"/>
                <w:spacing w:val="-1"/>
                <w:sz w:val="18"/>
              </w:rPr>
              <w:t>ridership</w:t>
            </w:r>
            <w:r>
              <w:rPr>
                <w:rFonts w:ascii="Calibri"/>
                <w:spacing w:val="23"/>
                <w:sz w:val="18"/>
              </w:rPr>
              <w:t xml:space="preserve"> </w:t>
            </w:r>
            <w:r>
              <w:rPr>
                <w:rFonts w:ascii="Calibri"/>
                <w:spacing w:val="-1"/>
                <w:sz w:val="18"/>
              </w:rPr>
              <w:t>identified,</w:t>
            </w:r>
            <w:r>
              <w:rPr>
                <w:rFonts w:ascii="Calibri"/>
                <w:spacing w:val="24"/>
                <w:sz w:val="18"/>
              </w:rPr>
              <w:t xml:space="preserve"> </w:t>
            </w:r>
            <w:r>
              <w:rPr>
                <w:rFonts w:ascii="Calibri"/>
                <w:sz w:val="18"/>
              </w:rPr>
              <w:t>and</w:t>
            </w:r>
            <w:r>
              <w:rPr>
                <w:rFonts w:ascii="Calibri"/>
                <w:spacing w:val="25"/>
                <w:sz w:val="18"/>
              </w:rPr>
              <w:t xml:space="preserve"> </w:t>
            </w:r>
            <w:r>
              <w:rPr>
                <w:rFonts w:ascii="Calibri"/>
                <w:spacing w:val="-1"/>
                <w:sz w:val="18"/>
              </w:rPr>
              <w:t>consider</w:t>
            </w:r>
            <w:r>
              <w:rPr>
                <w:rFonts w:ascii="Calibri"/>
                <w:spacing w:val="23"/>
                <w:sz w:val="18"/>
              </w:rPr>
              <w:t xml:space="preserve"> </w:t>
            </w:r>
            <w:r>
              <w:rPr>
                <w:rFonts w:ascii="Calibri"/>
                <w:spacing w:val="-1"/>
                <w:sz w:val="18"/>
              </w:rPr>
              <w:t>conducting</w:t>
            </w:r>
            <w:r>
              <w:rPr>
                <w:rFonts w:ascii="Calibri"/>
                <w:spacing w:val="24"/>
                <w:sz w:val="18"/>
              </w:rPr>
              <w:t xml:space="preserve"> </w:t>
            </w:r>
            <w:r>
              <w:rPr>
                <w:rFonts w:ascii="Calibri"/>
                <w:sz w:val="18"/>
              </w:rPr>
              <w:t>focus</w:t>
            </w:r>
            <w:r>
              <w:rPr>
                <w:rFonts w:ascii="Calibri"/>
                <w:spacing w:val="63"/>
                <w:w w:val="99"/>
                <w:sz w:val="18"/>
              </w:rPr>
              <w:t xml:space="preserve"> </w:t>
            </w:r>
            <w:r>
              <w:rPr>
                <w:rFonts w:ascii="Calibri"/>
                <w:spacing w:val="-1"/>
                <w:sz w:val="18"/>
              </w:rPr>
              <w:t>groups</w:t>
            </w:r>
            <w:r>
              <w:rPr>
                <w:rFonts w:ascii="Calibri"/>
                <w:spacing w:val="14"/>
                <w:sz w:val="18"/>
              </w:rPr>
              <w:t xml:space="preserve"> </w:t>
            </w:r>
            <w:r>
              <w:rPr>
                <w:rFonts w:ascii="Calibri"/>
                <w:spacing w:val="-1"/>
                <w:sz w:val="18"/>
              </w:rPr>
              <w:t>if</w:t>
            </w:r>
            <w:r>
              <w:rPr>
                <w:rFonts w:ascii="Calibri"/>
                <w:spacing w:val="14"/>
                <w:sz w:val="18"/>
              </w:rPr>
              <w:t xml:space="preserve"> </w:t>
            </w:r>
            <w:r>
              <w:rPr>
                <w:rFonts w:ascii="Calibri"/>
                <w:spacing w:val="-1"/>
                <w:sz w:val="18"/>
              </w:rPr>
              <w:t>needed</w:t>
            </w:r>
            <w:r>
              <w:rPr>
                <w:rFonts w:ascii="Calibri"/>
                <w:spacing w:val="14"/>
                <w:sz w:val="18"/>
              </w:rPr>
              <w:t xml:space="preserve"> </w:t>
            </w:r>
            <w:r>
              <w:rPr>
                <w:rFonts w:ascii="Calibri"/>
                <w:spacing w:val="-1"/>
                <w:sz w:val="18"/>
              </w:rPr>
              <w:t>(i.e.,</w:t>
            </w:r>
            <w:r>
              <w:rPr>
                <w:rFonts w:ascii="Calibri"/>
                <w:spacing w:val="14"/>
                <w:sz w:val="18"/>
              </w:rPr>
              <w:t xml:space="preserve"> </w:t>
            </w:r>
            <w:r>
              <w:rPr>
                <w:rFonts w:ascii="Calibri"/>
                <w:spacing w:val="-1"/>
                <w:sz w:val="18"/>
              </w:rPr>
              <w:t>if</w:t>
            </w:r>
            <w:r>
              <w:rPr>
                <w:rFonts w:ascii="Calibri"/>
                <w:spacing w:val="14"/>
                <w:sz w:val="18"/>
              </w:rPr>
              <w:t xml:space="preserve"> </w:t>
            </w:r>
            <w:r>
              <w:rPr>
                <w:rFonts w:ascii="Calibri"/>
                <w:sz w:val="18"/>
              </w:rPr>
              <w:t>the</w:t>
            </w:r>
            <w:r>
              <w:rPr>
                <w:rFonts w:ascii="Calibri"/>
                <w:spacing w:val="13"/>
                <w:sz w:val="18"/>
              </w:rPr>
              <w:t xml:space="preserve"> </w:t>
            </w:r>
            <w:r>
              <w:rPr>
                <w:rFonts w:ascii="Calibri"/>
                <w:sz w:val="18"/>
              </w:rPr>
              <w:t>reasons</w:t>
            </w:r>
            <w:r>
              <w:rPr>
                <w:rFonts w:ascii="Calibri"/>
                <w:spacing w:val="13"/>
                <w:sz w:val="18"/>
              </w:rPr>
              <w:t xml:space="preserve"> </w:t>
            </w:r>
            <w:r>
              <w:rPr>
                <w:rFonts w:ascii="Calibri"/>
                <w:spacing w:val="-1"/>
                <w:sz w:val="18"/>
              </w:rPr>
              <w:t>are</w:t>
            </w:r>
            <w:r>
              <w:rPr>
                <w:rFonts w:ascii="Calibri"/>
                <w:spacing w:val="15"/>
                <w:sz w:val="18"/>
              </w:rPr>
              <w:t xml:space="preserve"> </w:t>
            </w:r>
            <w:r>
              <w:rPr>
                <w:rFonts w:ascii="Calibri"/>
                <w:sz w:val="18"/>
              </w:rPr>
              <w:t>not</w:t>
            </w:r>
            <w:r>
              <w:rPr>
                <w:rFonts w:ascii="Calibri"/>
                <w:spacing w:val="13"/>
                <w:sz w:val="18"/>
              </w:rPr>
              <w:t xml:space="preserve"> </w:t>
            </w:r>
            <w:r>
              <w:rPr>
                <w:rFonts w:ascii="Calibri"/>
                <w:spacing w:val="-1"/>
                <w:sz w:val="18"/>
              </w:rPr>
              <w:t>clear</w:t>
            </w:r>
            <w:r>
              <w:rPr>
                <w:rFonts w:ascii="Calibri"/>
                <w:spacing w:val="13"/>
                <w:sz w:val="18"/>
              </w:rPr>
              <w:t xml:space="preserve"> </w:t>
            </w:r>
            <w:r>
              <w:rPr>
                <w:rFonts w:ascii="Calibri"/>
                <w:sz w:val="18"/>
              </w:rPr>
              <w:t>from</w:t>
            </w:r>
            <w:r>
              <w:rPr>
                <w:rFonts w:ascii="Calibri"/>
                <w:spacing w:val="14"/>
                <w:sz w:val="18"/>
              </w:rPr>
              <w:t xml:space="preserve"> </w:t>
            </w:r>
            <w:r>
              <w:rPr>
                <w:rFonts w:ascii="Calibri"/>
                <w:sz w:val="18"/>
              </w:rPr>
              <w:t>the</w:t>
            </w:r>
            <w:r>
              <w:rPr>
                <w:rFonts w:ascii="Calibri"/>
                <w:spacing w:val="45"/>
                <w:w w:val="99"/>
                <w:sz w:val="18"/>
              </w:rPr>
              <w:t xml:space="preserve"> </w:t>
            </w:r>
            <w:r>
              <w:rPr>
                <w:rFonts w:ascii="Calibri"/>
                <w:spacing w:val="-1"/>
                <w:sz w:val="18"/>
              </w:rPr>
              <w:t>surveys).</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E646C9" w:rsidRPr="00B04FB4" w:rsidRDefault="00E646C9" w:rsidP="00E646C9"/>
    <w:p w:rsidR="00E646C9" w:rsidRPr="00E646C9" w:rsidRDefault="00E646C9" w:rsidP="00E646C9">
      <w:pPr>
        <w:pStyle w:val="AppendixGHeading2"/>
      </w:pPr>
      <w:r w:rsidRPr="00E646C9">
        <w:t xml:space="preserve">School Energy Pledge Program </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04"/>
        </w:trPr>
        <w:tc>
          <w:tcPr>
            <w:tcW w:w="4680" w:type="dxa"/>
            <w:shd w:val="clear" w:color="auto" w:fill="438A99"/>
          </w:tcPr>
          <w:p w:rsidR="00E646C9" w:rsidRDefault="00E646C9" w:rsidP="00B40F47">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4D470A">
              <w:rPr>
                <w:rFonts w:ascii="Calibri"/>
                <w:color w:val="FFFFFF"/>
                <w:spacing w:val="-1"/>
                <w:sz w:val="18"/>
              </w:rPr>
              <w:t>(Implemented,</w:t>
            </w:r>
            <w:r w:rsidRPr="004D470A">
              <w:rPr>
                <w:rFonts w:ascii="Calibri"/>
                <w:color w:val="FFFFFF"/>
                <w:spacing w:val="-8"/>
                <w:sz w:val="18"/>
              </w:rPr>
              <w:t xml:space="preserve"> </w:t>
            </w:r>
            <w:r w:rsidRPr="004D470A">
              <w:rPr>
                <w:rFonts w:ascii="Calibri"/>
                <w:color w:val="FFFFFF"/>
                <w:sz w:val="18"/>
              </w:rPr>
              <w:t>Being</w:t>
            </w:r>
            <w:r w:rsidRPr="004D470A">
              <w:rPr>
                <w:rFonts w:ascii="Calibri"/>
                <w:color w:val="FFFFFF"/>
                <w:spacing w:val="45"/>
                <w:w w:val="99"/>
                <w:sz w:val="18"/>
              </w:rPr>
              <w:t xml:space="preserve"> </w:t>
            </w:r>
            <w:r w:rsidRPr="004D470A">
              <w:rPr>
                <w:rFonts w:ascii="Calibri"/>
                <w:color w:val="FFFFFF"/>
                <w:spacing w:val="-1"/>
                <w:sz w:val="18"/>
              </w:rPr>
              <w:t>Considered,</w:t>
            </w:r>
            <w:r w:rsidRPr="004D470A">
              <w:rPr>
                <w:rFonts w:ascii="Calibri"/>
                <w:color w:val="FFFFFF"/>
                <w:spacing w:val="-7"/>
                <w:sz w:val="18"/>
              </w:rPr>
              <w:t xml:space="preserve"> </w:t>
            </w:r>
            <w:r w:rsidRPr="004D470A">
              <w:rPr>
                <w:rFonts w:ascii="Calibri"/>
                <w:color w:val="FFFFFF"/>
                <w:spacing w:val="-1"/>
                <w:sz w:val="18"/>
              </w:rPr>
              <w:t>Rejected</w:t>
            </w:r>
            <w:r w:rsidRPr="004D470A">
              <w:rPr>
                <w:rFonts w:ascii="Calibri"/>
                <w:color w:val="FFFFFF"/>
                <w:spacing w:val="-7"/>
                <w:sz w:val="18"/>
              </w:rPr>
              <w:t xml:space="preserve"> </w:t>
            </w:r>
            <w:r w:rsidRPr="004D470A">
              <w:rPr>
                <w:rFonts w:ascii="Calibri"/>
                <w:color w:val="FFFFFF"/>
                <w:sz w:val="18"/>
              </w:rPr>
              <w:t>AND</w:t>
            </w:r>
            <w:r w:rsidRPr="004D470A">
              <w:rPr>
                <w:rFonts w:ascii="Calibri"/>
                <w:color w:val="FFFFFF"/>
                <w:spacing w:val="-7"/>
                <w:sz w:val="18"/>
              </w:rPr>
              <w:t xml:space="preserve"> </w:t>
            </w:r>
            <w:r w:rsidRPr="004D470A">
              <w:rPr>
                <w:rFonts w:ascii="Calibri"/>
                <w:color w:val="FFFFFF"/>
                <w:spacing w:val="-1"/>
                <w:sz w:val="18"/>
              </w:rPr>
              <w:t>Explanation</w:t>
            </w:r>
            <w:r w:rsidRPr="004D470A">
              <w:rPr>
                <w:rFonts w:ascii="Calibri"/>
                <w:color w:val="FFFFFF"/>
                <w:spacing w:val="-4"/>
                <w:sz w:val="18"/>
              </w:rPr>
              <w:t xml:space="preserve"> </w:t>
            </w:r>
            <w:r w:rsidRPr="004D470A">
              <w:rPr>
                <w:rFonts w:ascii="Calibri"/>
                <w:color w:val="FFFFFF"/>
                <w:spacing w:val="-1"/>
                <w:sz w:val="18"/>
              </w:rPr>
              <w:t>of</w:t>
            </w:r>
            <w:r w:rsidRPr="004D470A">
              <w:rPr>
                <w:rFonts w:ascii="Calibri"/>
                <w:color w:val="FFFFFF"/>
                <w:spacing w:val="-6"/>
                <w:sz w:val="18"/>
              </w:rPr>
              <w:t xml:space="preserve"> </w:t>
            </w:r>
            <w:r w:rsidRPr="004D470A">
              <w:rPr>
                <w:rFonts w:ascii="Calibri"/>
                <w:color w:val="FFFFFF"/>
                <w:spacing w:val="-1"/>
                <w:sz w:val="18"/>
              </w:rPr>
              <w:t>Action</w:t>
            </w:r>
            <w:r w:rsidRPr="004D470A">
              <w:rPr>
                <w:rFonts w:ascii="Calibri"/>
                <w:color w:val="FFFFFF"/>
                <w:spacing w:val="-6"/>
                <w:sz w:val="18"/>
              </w:rPr>
              <w:t xml:space="preserve"> </w:t>
            </w:r>
            <w:r w:rsidRPr="004D470A">
              <w:rPr>
                <w:rFonts w:ascii="Calibri"/>
                <w:color w:val="FFFFFF"/>
                <w:spacing w:val="-1"/>
                <w:sz w:val="18"/>
              </w:rPr>
              <w:t>Taken</w:t>
            </w:r>
            <w:r w:rsidRPr="004D470A">
              <w:rPr>
                <w:rFonts w:ascii="Calibri"/>
                <w:color w:val="FFFFFF"/>
                <w:spacing w:val="-7"/>
                <w:sz w:val="18"/>
              </w:rPr>
              <w:t xml:space="preserve"> </w:t>
            </w:r>
            <w:r w:rsidRPr="004D470A">
              <w:rPr>
                <w:rFonts w:ascii="Calibri"/>
                <w:color w:val="FFFFFF"/>
                <w:spacing w:val="-1"/>
                <w:sz w:val="18"/>
              </w:rPr>
              <w:t>by</w:t>
            </w:r>
            <w:r w:rsidRPr="004D470A">
              <w:rPr>
                <w:rFonts w:ascii="Calibri"/>
                <w:color w:val="FFFFFF"/>
                <w:spacing w:val="63"/>
                <w:w w:val="99"/>
                <w:sz w:val="18"/>
              </w:rPr>
              <w:t xml:space="preserve"> </w:t>
            </w:r>
            <w:r w:rsidRPr="004D470A">
              <w:rPr>
                <w:rFonts w:ascii="Calibri"/>
                <w:color w:val="FFFFFF"/>
                <w:sz w:val="18"/>
              </w:rPr>
              <w:t>EDC)</w:t>
            </w:r>
          </w:p>
        </w:tc>
      </w:tr>
      <w:tr w:rsidR="00E646C9" w:rsidTr="00E646C9">
        <w:trPr>
          <w:trHeight w:hRule="exact" w:val="898"/>
        </w:trPr>
        <w:tc>
          <w:tcPr>
            <w:tcW w:w="4680" w:type="dxa"/>
            <w:shd w:val="clear" w:color="auto" w:fill="D2EAF1"/>
          </w:tcPr>
          <w:p w:rsidR="00E646C9" w:rsidRDefault="00E646C9" w:rsidP="00C94D5A">
            <w:pPr>
              <w:pStyle w:val="TableParagraph"/>
              <w:spacing w:line="217" w:lineRule="exact"/>
              <w:ind w:left="97"/>
              <w:jc w:val="both"/>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ind w:left="97" w:right="96"/>
              <w:jc w:val="both"/>
              <w:rPr>
                <w:rFonts w:ascii="Calibri" w:eastAsia="Calibri" w:hAnsi="Calibri" w:cs="Calibri"/>
                <w:sz w:val="18"/>
                <w:szCs w:val="18"/>
              </w:rPr>
            </w:pPr>
            <w:r>
              <w:rPr>
                <w:rFonts w:ascii="Calibri"/>
                <w:spacing w:val="-1"/>
                <w:sz w:val="18"/>
              </w:rPr>
              <w:t>Duquesne</w:t>
            </w:r>
            <w:r>
              <w:rPr>
                <w:rFonts w:ascii="Calibri"/>
                <w:spacing w:val="5"/>
                <w:sz w:val="18"/>
              </w:rPr>
              <w:t xml:space="preserve"> </w:t>
            </w:r>
            <w:r>
              <w:rPr>
                <w:rFonts w:ascii="Calibri"/>
                <w:spacing w:val="-1"/>
                <w:sz w:val="18"/>
              </w:rPr>
              <w:t>Light</w:t>
            </w:r>
            <w:r>
              <w:rPr>
                <w:rFonts w:ascii="Calibri"/>
                <w:spacing w:val="7"/>
                <w:sz w:val="18"/>
              </w:rPr>
              <w:t xml:space="preserve"> </w:t>
            </w:r>
            <w:r>
              <w:rPr>
                <w:rFonts w:ascii="Calibri"/>
                <w:spacing w:val="-1"/>
                <w:sz w:val="18"/>
              </w:rPr>
              <w:t>plans</w:t>
            </w:r>
            <w:r>
              <w:rPr>
                <w:rFonts w:ascii="Calibri"/>
                <w:spacing w:val="6"/>
                <w:sz w:val="18"/>
              </w:rPr>
              <w:t xml:space="preserve"> </w:t>
            </w:r>
            <w:r>
              <w:rPr>
                <w:rFonts w:ascii="Calibri"/>
                <w:sz w:val="18"/>
              </w:rPr>
              <w:t>for</w:t>
            </w:r>
            <w:r>
              <w:rPr>
                <w:rFonts w:ascii="Calibri"/>
                <w:spacing w:val="5"/>
                <w:sz w:val="18"/>
              </w:rPr>
              <w:t xml:space="preserve"> </w:t>
            </w:r>
            <w:r>
              <w:rPr>
                <w:rFonts w:ascii="Calibri"/>
                <w:sz w:val="18"/>
              </w:rPr>
              <w:t>a</w:t>
            </w:r>
            <w:r>
              <w:rPr>
                <w:rFonts w:ascii="Calibri"/>
                <w:spacing w:val="7"/>
                <w:sz w:val="18"/>
              </w:rPr>
              <w:t xml:space="preserve"> </w:t>
            </w:r>
            <w:r>
              <w:rPr>
                <w:rFonts w:ascii="Calibri"/>
                <w:spacing w:val="-1"/>
                <w:sz w:val="18"/>
              </w:rPr>
              <w:t>different</w:t>
            </w:r>
            <w:r>
              <w:rPr>
                <w:rFonts w:ascii="Calibri"/>
                <w:spacing w:val="5"/>
                <w:sz w:val="18"/>
              </w:rPr>
              <w:t xml:space="preserve"> </w:t>
            </w:r>
            <w:r>
              <w:rPr>
                <w:rFonts w:ascii="Calibri"/>
                <w:spacing w:val="-1"/>
                <w:sz w:val="18"/>
              </w:rPr>
              <w:t>program</w:t>
            </w:r>
            <w:r>
              <w:rPr>
                <w:rFonts w:ascii="Calibri"/>
                <w:spacing w:val="6"/>
                <w:sz w:val="18"/>
              </w:rPr>
              <w:t xml:space="preserve"> </w:t>
            </w:r>
            <w:r>
              <w:rPr>
                <w:rFonts w:ascii="Calibri"/>
                <w:spacing w:val="-1"/>
                <w:sz w:val="18"/>
              </w:rPr>
              <w:t>to</w:t>
            </w:r>
            <w:r>
              <w:rPr>
                <w:rFonts w:ascii="Calibri"/>
                <w:spacing w:val="7"/>
                <w:sz w:val="18"/>
              </w:rPr>
              <w:t xml:space="preserve"> </w:t>
            </w:r>
            <w:r>
              <w:rPr>
                <w:rFonts w:ascii="Calibri"/>
                <w:spacing w:val="-1"/>
                <w:sz w:val="18"/>
              </w:rPr>
              <w:t>replace</w:t>
            </w:r>
            <w:r>
              <w:rPr>
                <w:rFonts w:ascii="Calibri"/>
                <w:spacing w:val="5"/>
                <w:sz w:val="18"/>
              </w:rPr>
              <w:t xml:space="preserve"> </w:t>
            </w:r>
            <w:r>
              <w:rPr>
                <w:rFonts w:ascii="Calibri"/>
                <w:spacing w:val="-1"/>
                <w:sz w:val="18"/>
              </w:rPr>
              <w:t>SEP</w:t>
            </w:r>
            <w:r>
              <w:rPr>
                <w:rFonts w:ascii="Calibri"/>
                <w:spacing w:val="63"/>
                <w:w w:val="99"/>
                <w:sz w:val="18"/>
              </w:rPr>
              <w:t xml:space="preserve"> </w:t>
            </w:r>
            <w:r>
              <w:rPr>
                <w:rFonts w:ascii="Calibri"/>
                <w:spacing w:val="-1"/>
                <w:sz w:val="18"/>
              </w:rPr>
              <w:t>during</w:t>
            </w:r>
            <w:r>
              <w:rPr>
                <w:rFonts w:ascii="Calibri"/>
                <w:spacing w:val="-3"/>
                <w:sz w:val="18"/>
              </w:rPr>
              <w:t xml:space="preserve"> </w:t>
            </w:r>
            <w:r>
              <w:rPr>
                <w:rFonts w:ascii="Calibri"/>
                <w:spacing w:val="-1"/>
                <w:sz w:val="18"/>
              </w:rPr>
              <w:t>Phase</w:t>
            </w:r>
            <w:r>
              <w:rPr>
                <w:rFonts w:ascii="Calibri"/>
                <w:spacing w:val="-2"/>
                <w:sz w:val="18"/>
              </w:rPr>
              <w:t xml:space="preserve"> </w:t>
            </w:r>
            <w:r>
              <w:rPr>
                <w:rFonts w:ascii="Calibri"/>
                <w:sz w:val="18"/>
              </w:rPr>
              <w:t>III.</w:t>
            </w:r>
            <w:r>
              <w:rPr>
                <w:rFonts w:ascii="Calibri"/>
                <w:spacing w:val="-3"/>
                <w:sz w:val="18"/>
              </w:rPr>
              <w:t xml:space="preserve"> </w:t>
            </w:r>
            <w:r>
              <w:rPr>
                <w:rFonts w:ascii="Calibri"/>
                <w:spacing w:val="-1"/>
                <w:sz w:val="18"/>
              </w:rPr>
              <w:t>Therefore,</w:t>
            </w:r>
            <w:r>
              <w:rPr>
                <w:rFonts w:ascii="Calibri"/>
                <w:spacing w:val="-2"/>
                <w:sz w:val="18"/>
              </w:rPr>
              <w:t xml:space="preserve"> </w:t>
            </w:r>
            <w:r>
              <w:rPr>
                <w:rFonts w:ascii="Calibri"/>
                <w:spacing w:val="-1"/>
                <w:sz w:val="18"/>
              </w:rPr>
              <w:t>no recommendations</w:t>
            </w:r>
            <w:r>
              <w:rPr>
                <w:rFonts w:ascii="Calibri"/>
                <w:spacing w:val="-4"/>
                <w:sz w:val="18"/>
              </w:rPr>
              <w:t xml:space="preserve"> </w:t>
            </w:r>
            <w:r>
              <w:rPr>
                <w:rFonts w:ascii="Calibri"/>
                <w:spacing w:val="-1"/>
                <w:sz w:val="18"/>
              </w:rPr>
              <w:t>are</w:t>
            </w:r>
            <w:r>
              <w:rPr>
                <w:rFonts w:ascii="Calibri"/>
                <w:spacing w:val="-2"/>
                <w:sz w:val="18"/>
              </w:rPr>
              <w:t xml:space="preserve"> </w:t>
            </w:r>
            <w:r>
              <w:rPr>
                <w:rFonts w:ascii="Calibri"/>
                <w:spacing w:val="-1"/>
                <w:sz w:val="18"/>
              </w:rPr>
              <w:t>offered</w:t>
            </w:r>
            <w:r>
              <w:rPr>
                <w:rFonts w:ascii="Calibri"/>
                <w:spacing w:val="63"/>
                <w:w w:val="99"/>
                <w:sz w:val="18"/>
              </w:rPr>
              <w:t xml:space="preserve"> </w:t>
            </w:r>
            <w:r>
              <w:rPr>
                <w:rFonts w:ascii="Calibri"/>
                <w:sz w:val="18"/>
              </w:rPr>
              <w:t>at</w:t>
            </w:r>
            <w:r>
              <w:rPr>
                <w:rFonts w:ascii="Calibri"/>
                <w:spacing w:val="-5"/>
                <w:sz w:val="18"/>
              </w:rPr>
              <w:t xml:space="preserve"> </w:t>
            </w:r>
            <w:r>
              <w:rPr>
                <w:rFonts w:ascii="Calibri"/>
                <w:spacing w:val="-1"/>
                <w:sz w:val="18"/>
              </w:rPr>
              <w:t>this</w:t>
            </w:r>
            <w:r>
              <w:rPr>
                <w:rFonts w:ascii="Calibri"/>
                <w:spacing w:val="-5"/>
                <w:sz w:val="18"/>
              </w:rPr>
              <w:t xml:space="preserve"> </w:t>
            </w:r>
            <w:r>
              <w:rPr>
                <w:rFonts w:ascii="Calibri"/>
                <w:spacing w:val="-1"/>
                <w:sz w:val="18"/>
              </w:rPr>
              <w:t>time.</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N/A</w:t>
            </w:r>
          </w:p>
        </w:tc>
      </w:tr>
    </w:tbl>
    <w:p w:rsidR="00E646C9" w:rsidRPr="00B04FB4" w:rsidRDefault="00E646C9" w:rsidP="00E646C9"/>
    <w:p w:rsidR="00E646C9" w:rsidRPr="00E646C9" w:rsidRDefault="00E646C9" w:rsidP="00E646C9">
      <w:pPr>
        <w:pStyle w:val="AppendixGHeading2"/>
      </w:pPr>
      <w:r w:rsidRPr="00E646C9">
        <w:t>Whole House Energy Audit Program (WHEAP)</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848"/>
          <w:tblHeader/>
        </w:trPr>
        <w:tc>
          <w:tcPr>
            <w:tcW w:w="4680" w:type="dxa"/>
            <w:shd w:val="clear" w:color="auto" w:fill="438A99"/>
          </w:tcPr>
          <w:p w:rsidR="00E646C9" w:rsidRDefault="00E646C9" w:rsidP="00B40F47">
            <w:pPr>
              <w:pStyle w:val="TableParagraph"/>
              <w:spacing w:before="156"/>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spacing w:before="159"/>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1778"/>
        </w:trPr>
        <w:tc>
          <w:tcPr>
            <w:tcW w:w="4680" w:type="dxa"/>
            <w:shd w:val="clear" w:color="auto" w:fill="D2EAF1"/>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spacing w:before="1"/>
              <w:ind w:left="97" w:right="165"/>
              <w:rPr>
                <w:rFonts w:ascii="Calibri" w:eastAsia="Calibri" w:hAnsi="Calibri" w:cs="Calibri"/>
                <w:sz w:val="18"/>
                <w:szCs w:val="18"/>
              </w:rPr>
            </w:pPr>
            <w:r>
              <w:rPr>
                <w:rFonts w:ascii="Calibri"/>
                <w:spacing w:val="-1"/>
                <w:sz w:val="18"/>
              </w:rPr>
              <w:t>As</w:t>
            </w:r>
            <w:r>
              <w:rPr>
                <w:rFonts w:ascii="Calibri"/>
                <w:spacing w:val="-5"/>
                <w:sz w:val="18"/>
              </w:rPr>
              <w:t xml:space="preserve"> </w:t>
            </w:r>
            <w:r>
              <w:rPr>
                <w:rFonts w:ascii="Calibri"/>
                <w:sz w:val="18"/>
              </w:rPr>
              <w:t>the</w:t>
            </w:r>
            <w:r>
              <w:rPr>
                <w:rFonts w:ascii="Calibri"/>
                <w:spacing w:val="-4"/>
                <w:sz w:val="18"/>
              </w:rPr>
              <w:t xml:space="preserve"> </w:t>
            </w:r>
            <w:r>
              <w:rPr>
                <w:rFonts w:ascii="Calibri"/>
                <w:spacing w:val="-1"/>
                <w:sz w:val="18"/>
              </w:rPr>
              <w:t>utility</w:t>
            </w:r>
            <w:r>
              <w:rPr>
                <w:rFonts w:ascii="Calibri"/>
                <w:spacing w:val="-4"/>
                <w:sz w:val="18"/>
              </w:rPr>
              <w:t xml:space="preserve"> </w:t>
            </w:r>
            <w:r>
              <w:rPr>
                <w:rFonts w:ascii="Calibri"/>
                <w:spacing w:val="-1"/>
                <w:sz w:val="18"/>
              </w:rPr>
              <w:t>initiates</w:t>
            </w:r>
            <w:r>
              <w:rPr>
                <w:rFonts w:ascii="Calibri"/>
                <w:spacing w:val="-5"/>
                <w:sz w:val="18"/>
              </w:rPr>
              <w:t xml:space="preserve"> </w:t>
            </w:r>
            <w:r>
              <w:rPr>
                <w:rFonts w:ascii="Calibri"/>
                <w:spacing w:val="-1"/>
                <w:sz w:val="18"/>
              </w:rPr>
              <w:t>its</w:t>
            </w:r>
            <w:r>
              <w:rPr>
                <w:rFonts w:ascii="Calibri"/>
                <w:spacing w:val="-4"/>
                <w:sz w:val="18"/>
              </w:rPr>
              <w:t xml:space="preserve"> </w:t>
            </w:r>
            <w:r>
              <w:rPr>
                <w:rFonts w:ascii="Calibri"/>
                <w:sz w:val="18"/>
              </w:rPr>
              <w:t>Phase</w:t>
            </w:r>
            <w:r>
              <w:rPr>
                <w:rFonts w:ascii="Calibri"/>
                <w:spacing w:val="-5"/>
                <w:sz w:val="18"/>
              </w:rPr>
              <w:t xml:space="preserve"> </w:t>
            </w:r>
            <w:r>
              <w:rPr>
                <w:rFonts w:ascii="Calibri"/>
                <w:sz w:val="18"/>
              </w:rPr>
              <w:t>III</w:t>
            </w:r>
            <w:r>
              <w:rPr>
                <w:rFonts w:ascii="Calibri"/>
                <w:spacing w:val="-1"/>
                <w:sz w:val="18"/>
              </w:rPr>
              <w:t xml:space="preserve"> </w:t>
            </w:r>
            <w:r>
              <w:rPr>
                <w:rFonts w:ascii="Calibri"/>
                <w:sz w:val="18"/>
              </w:rPr>
              <w:t>WHEAP,</w:t>
            </w:r>
            <w:r>
              <w:rPr>
                <w:rFonts w:ascii="Calibri"/>
                <w:spacing w:val="-4"/>
                <w:sz w:val="18"/>
              </w:rPr>
              <w:t xml:space="preserve"> </w:t>
            </w:r>
            <w:r>
              <w:rPr>
                <w:rFonts w:ascii="Calibri"/>
                <w:spacing w:val="-1"/>
                <w:sz w:val="18"/>
              </w:rPr>
              <w:t>it</w:t>
            </w:r>
            <w:r>
              <w:rPr>
                <w:rFonts w:ascii="Calibri"/>
                <w:spacing w:val="-4"/>
                <w:sz w:val="18"/>
              </w:rPr>
              <w:t xml:space="preserve"> </w:t>
            </w:r>
            <w:r>
              <w:rPr>
                <w:rFonts w:ascii="Calibri"/>
                <w:spacing w:val="-1"/>
                <w:sz w:val="18"/>
              </w:rPr>
              <w:t>should</w:t>
            </w:r>
            <w:r>
              <w:rPr>
                <w:rFonts w:ascii="Calibri"/>
                <w:spacing w:val="-5"/>
                <w:sz w:val="18"/>
              </w:rPr>
              <w:t xml:space="preserve"> </w:t>
            </w:r>
            <w:r>
              <w:rPr>
                <w:rFonts w:ascii="Calibri"/>
                <w:spacing w:val="-1"/>
                <w:sz w:val="18"/>
              </w:rPr>
              <w:t>carefully</w:t>
            </w:r>
            <w:r>
              <w:rPr>
                <w:rFonts w:ascii="Calibri"/>
                <w:spacing w:val="41"/>
                <w:w w:val="99"/>
                <w:sz w:val="18"/>
              </w:rPr>
              <w:t xml:space="preserve"> </w:t>
            </w:r>
            <w:r>
              <w:rPr>
                <w:rFonts w:ascii="Calibri"/>
                <w:spacing w:val="-1"/>
                <w:sz w:val="18"/>
              </w:rPr>
              <w:t>monitor</w:t>
            </w:r>
            <w:r>
              <w:rPr>
                <w:rFonts w:ascii="Calibri"/>
                <w:spacing w:val="-5"/>
                <w:sz w:val="18"/>
              </w:rPr>
              <w:t xml:space="preserve"> </w:t>
            </w:r>
            <w:r>
              <w:rPr>
                <w:rFonts w:ascii="Calibri"/>
                <w:spacing w:val="-1"/>
                <w:sz w:val="18"/>
              </w:rPr>
              <w:t>costs</w:t>
            </w:r>
            <w:r>
              <w:rPr>
                <w:rFonts w:ascii="Calibri"/>
                <w:spacing w:val="-6"/>
                <w:sz w:val="18"/>
              </w:rPr>
              <w:t xml:space="preserve"> </w:t>
            </w:r>
            <w:r>
              <w:rPr>
                <w:rFonts w:ascii="Calibri"/>
                <w:spacing w:val="-1"/>
                <w:sz w:val="18"/>
              </w:rPr>
              <w:t>relative</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pacing w:val="-1"/>
                <w:sz w:val="18"/>
              </w:rPr>
              <w:t>savings</w:t>
            </w:r>
            <w:r>
              <w:rPr>
                <w:rFonts w:ascii="Calibri"/>
                <w:spacing w:val="-3"/>
                <w:sz w:val="18"/>
              </w:rPr>
              <w:t xml:space="preserve"> </w:t>
            </w:r>
            <w:r>
              <w:rPr>
                <w:rFonts w:ascii="Calibri"/>
                <w:spacing w:val="-1"/>
                <w:sz w:val="18"/>
              </w:rPr>
              <w:t>and</w:t>
            </w:r>
            <w:r>
              <w:rPr>
                <w:rFonts w:ascii="Calibri"/>
                <w:spacing w:val="-5"/>
                <w:sz w:val="18"/>
              </w:rPr>
              <w:t xml:space="preserve"> </w:t>
            </w:r>
            <w:r>
              <w:rPr>
                <w:rFonts w:ascii="Calibri"/>
                <w:sz w:val="18"/>
              </w:rPr>
              <w:t>ensure</w:t>
            </w:r>
            <w:r>
              <w:rPr>
                <w:rFonts w:ascii="Calibri"/>
                <w:spacing w:val="-5"/>
                <w:sz w:val="18"/>
              </w:rPr>
              <w:t xml:space="preserve"> </w:t>
            </w:r>
            <w:r>
              <w:rPr>
                <w:rFonts w:ascii="Calibri"/>
                <w:spacing w:val="-1"/>
                <w:sz w:val="18"/>
              </w:rPr>
              <w:t>that</w:t>
            </w:r>
            <w:r>
              <w:rPr>
                <w:rFonts w:ascii="Calibri"/>
                <w:spacing w:val="-5"/>
                <w:sz w:val="18"/>
              </w:rPr>
              <w:t xml:space="preserve"> </w:t>
            </w:r>
            <w:r>
              <w:rPr>
                <w:rFonts w:ascii="Calibri"/>
                <w:spacing w:val="-1"/>
                <w:sz w:val="18"/>
              </w:rPr>
              <w:t>all</w:t>
            </w:r>
            <w:r>
              <w:rPr>
                <w:rFonts w:ascii="Calibri"/>
                <w:spacing w:val="-2"/>
                <w:sz w:val="18"/>
              </w:rPr>
              <w:t xml:space="preserve"> </w:t>
            </w:r>
            <w:r>
              <w:rPr>
                <w:rFonts w:ascii="Calibri"/>
                <w:spacing w:val="-1"/>
                <w:sz w:val="18"/>
              </w:rPr>
              <w:t>savings</w:t>
            </w:r>
            <w:r>
              <w:rPr>
                <w:rFonts w:ascii="Calibri"/>
                <w:spacing w:val="61"/>
                <w:w w:val="99"/>
                <w:sz w:val="18"/>
              </w:rPr>
              <w:t xml:space="preserve"> </w:t>
            </w:r>
            <w:r>
              <w:rPr>
                <w:rFonts w:ascii="Calibri"/>
                <w:spacing w:val="-1"/>
                <w:sz w:val="18"/>
              </w:rPr>
              <w:t>opportunities</w:t>
            </w:r>
            <w:r>
              <w:rPr>
                <w:rFonts w:ascii="Calibri"/>
                <w:spacing w:val="-6"/>
                <w:sz w:val="18"/>
              </w:rPr>
              <w:t xml:space="preserve"> </w:t>
            </w:r>
            <w:r>
              <w:rPr>
                <w:rFonts w:ascii="Calibri"/>
                <w:sz w:val="18"/>
              </w:rPr>
              <w:t>are</w:t>
            </w:r>
            <w:r>
              <w:rPr>
                <w:rFonts w:ascii="Calibri"/>
                <w:spacing w:val="-5"/>
                <w:sz w:val="18"/>
              </w:rPr>
              <w:t xml:space="preserve"> </w:t>
            </w:r>
            <w:r>
              <w:rPr>
                <w:rFonts w:ascii="Calibri"/>
                <w:spacing w:val="-1"/>
                <w:sz w:val="18"/>
              </w:rPr>
              <w:t>being</w:t>
            </w:r>
            <w:r>
              <w:rPr>
                <w:rFonts w:ascii="Calibri"/>
                <w:spacing w:val="-6"/>
                <w:sz w:val="18"/>
              </w:rPr>
              <w:t xml:space="preserve"> </w:t>
            </w:r>
            <w:r>
              <w:rPr>
                <w:rFonts w:ascii="Calibri"/>
                <w:sz w:val="18"/>
              </w:rPr>
              <w:t>taken</w:t>
            </w:r>
            <w:r>
              <w:rPr>
                <w:rFonts w:ascii="Calibri"/>
                <w:spacing w:val="-5"/>
                <w:sz w:val="18"/>
              </w:rPr>
              <w:t xml:space="preserve"> </w:t>
            </w:r>
            <w:r>
              <w:rPr>
                <w:rFonts w:ascii="Calibri"/>
                <w:spacing w:val="-1"/>
                <w:sz w:val="18"/>
              </w:rPr>
              <w:t>advantage</w:t>
            </w:r>
            <w:r>
              <w:rPr>
                <w:rFonts w:ascii="Calibri"/>
                <w:spacing w:val="-6"/>
                <w:sz w:val="18"/>
              </w:rPr>
              <w:t xml:space="preserve"> </w:t>
            </w:r>
            <w:r>
              <w:rPr>
                <w:rFonts w:ascii="Calibri"/>
                <w:sz w:val="18"/>
              </w:rPr>
              <w:t>of</w:t>
            </w:r>
            <w:r>
              <w:rPr>
                <w:rFonts w:ascii="Calibri"/>
                <w:spacing w:val="-4"/>
                <w:sz w:val="18"/>
              </w:rPr>
              <w:t xml:space="preserve"> </w:t>
            </w:r>
            <w:r>
              <w:rPr>
                <w:rFonts w:ascii="Calibri"/>
                <w:sz w:val="18"/>
              </w:rPr>
              <w:t>once</w:t>
            </w:r>
            <w:r>
              <w:rPr>
                <w:rFonts w:ascii="Calibri"/>
                <w:spacing w:val="-6"/>
                <w:sz w:val="18"/>
              </w:rPr>
              <w:t xml:space="preserve"> </w:t>
            </w:r>
            <w:r>
              <w:rPr>
                <w:rFonts w:ascii="Calibri"/>
                <w:sz w:val="18"/>
              </w:rPr>
              <w:t>a</w:t>
            </w:r>
            <w:r>
              <w:rPr>
                <w:rFonts w:ascii="Calibri"/>
                <w:spacing w:val="-4"/>
                <w:sz w:val="18"/>
              </w:rPr>
              <w:t xml:space="preserve"> </w:t>
            </w:r>
            <w:r>
              <w:rPr>
                <w:rFonts w:ascii="Calibri"/>
                <w:spacing w:val="-1"/>
                <w:sz w:val="18"/>
              </w:rPr>
              <w:t>utility</w:t>
            </w:r>
            <w:r>
              <w:rPr>
                <w:rFonts w:ascii="Calibri"/>
                <w:spacing w:val="45"/>
                <w:w w:val="99"/>
                <w:sz w:val="18"/>
              </w:rPr>
              <w:t xml:space="preserve"> </w:t>
            </w:r>
            <w:r>
              <w:rPr>
                <w:rFonts w:ascii="Calibri"/>
                <w:spacing w:val="-1"/>
                <w:sz w:val="18"/>
              </w:rPr>
              <w:t>representative</w:t>
            </w:r>
            <w:r>
              <w:rPr>
                <w:rFonts w:ascii="Calibri"/>
                <w:spacing w:val="-6"/>
                <w:sz w:val="18"/>
              </w:rPr>
              <w:t xml:space="preserve"> </w:t>
            </w:r>
            <w:r>
              <w:rPr>
                <w:rFonts w:ascii="Calibri"/>
                <w:sz w:val="18"/>
              </w:rPr>
              <w:t>is</w:t>
            </w:r>
            <w:r>
              <w:rPr>
                <w:rFonts w:ascii="Calibri"/>
                <w:spacing w:val="-5"/>
                <w:sz w:val="18"/>
              </w:rPr>
              <w:t xml:space="preserve"> </w:t>
            </w:r>
            <w:r>
              <w:rPr>
                <w:rFonts w:ascii="Calibri"/>
                <w:spacing w:val="-1"/>
                <w:sz w:val="18"/>
              </w:rPr>
              <w:t>in</w:t>
            </w:r>
            <w:r>
              <w:rPr>
                <w:rFonts w:ascii="Calibri"/>
                <w:spacing w:val="-5"/>
                <w:sz w:val="18"/>
              </w:rPr>
              <w:t xml:space="preserve"> </w:t>
            </w:r>
            <w:r>
              <w:rPr>
                <w:rFonts w:ascii="Calibri"/>
                <w:sz w:val="18"/>
              </w:rPr>
              <w:t>the</w:t>
            </w:r>
            <w:r>
              <w:rPr>
                <w:rFonts w:ascii="Calibri"/>
                <w:spacing w:val="-5"/>
                <w:sz w:val="18"/>
              </w:rPr>
              <w:t xml:space="preserve"> </w:t>
            </w:r>
            <w:r>
              <w:rPr>
                <w:rFonts w:ascii="Calibri"/>
                <w:spacing w:val="-1"/>
                <w:sz w:val="18"/>
              </w:rPr>
              <w:t>customer</w:t>
            </w:r>
            <w:r>
              <w:rPr>
                <w:rFonts w:ascii="Calibri"/>
                <w:spacing w:val="-3"/>
                <w:sz w:val="18"/>
              </w:rPr>
              <w:t xml:space="preserve"> </w:t>
            </w:r>
            <w:r>
              <w:rPr>
                <w:rFonts w:ascii="Calibri"/>
                <w:spacing w:val="-1"/>
                <w:sz w:val="18"/>
              </w:rPr>
              <w:t>home.</w:t>
            </w:r>
            <w:r>
              <w:rPr>
                <w:rFonts w:ascii="Calibri"/>
                <w:spacing w:val="-4"/>
                <w:sz w:val="18"/>
              </w:rPr>
              <w:t xml:space="preserve"> </w:t>
            </w:r>
            <w:r>
              <w:rPr>
                <w:rFonts w:ascii="Calibri"/>
                <w:spacing w:val="-1"/>
                <w:sz w:val="18"/>
              </w:rPr>
              <w:t>Visit</w:t>
            </w:r>
            <w:r>
              <w:rPr>
                <w:rFonts w:ascii="Calibri"/>
                <w:spacing w:val="-6"/>
                <w:sz w:val="18"/>
              </w:rPr>
              <w:t xml:space="preserve"> </w:t>
            </w:r>
            <w:r>
              <w:rPr>
                <w:rFonts w:ascii="Calibri"/>
                <w:spacing w:val="-1"/>
                <w:sz w:val="18"/>
              </w:rPr>
              <w:t>costs</w:t>
            </w:r>
            <w:r>
              <w:rPr>
                <w:rFonts w:ascii="Calibri"/>
                <w:spacing w:val="-5"/>
                <w:sz w:val="18"/>
              </w:rPr>
              <w:t xml:space="preserve"> </w:t>
            </w:r>
            <w:r>
              <w:rPr>
                <w:rFonts w:ascii="Calibri"/>
                <w:spacing w:val="-1"/>
                <w:sz w:val="18"/>
              </w:rPr>
              <w:t>are</w:t>
            </w:r>
            <w:r>
              <w:rPr>
                <w:rFonts w:ascii="Calibri"/>
                <w:spacing w:val="57"/>
                <w:w w:val="99"/>
                <w:sz w:val="18"/>
              </w:rPr>
              <w:t xml:space="preserve"> </w:t>
            </w:r>
            <w:r>
              <w:rPr>
                <w:rFonts w:ascii="Calibri"/>
                <w:spacing w:val="-1"/>
                <w:sz w:val="18"/>
              </w:rPr>
              <w:t>incurred</w:t>
            </w:r>
            <w:r>
              <w:rPr>
                <w:rFonts w:ascii="Calibri"/>
                <w:spacing w:val="-5"/>
                <w:sz w:val="18"/>
              </w:rPr>
              <w:t xml:space="preserve"> </w:t>
            </w:r>
            <w:r>
              <w:rPr>
                <w:rFonts w:ascii="Calibri"/>
                <w:sz w:val="18"/>
              </w:rPr>
              <w:t>once</w:t>
            </w:r>
            <w:r>
              <w:rPr>
                <w:rFonts w:ascii="Calibri"/>
                <w:spacing w:val="-5"/>
                <w:sz w:val="18"/>
              </w:rPr>
              <w:t xml:space="preserve"> </w:t>
            </w:r>
            <w:r>
              <w:rPr>
                <w:rFonts w:ascii="Calibri"/>
                <w:sz w:val="18"/>
              </w:rPr>
              <w:t>the</w:t>
            </w:r>
            <w:r>
              <w:rPr>
                <w:rFonts w:ascii="Calibri"/>
                <w:spacing w:val="-5"/>
                <w:sz w:val="18"/>
              </w:rPr>
              <w:t xml:space="preserve"> </w:t>
            </w:r>
            <w:r>
              <w:rPr>
                <w:rFonts w:ascii="Calibri"/>
                <w:spacing w:val="-1"/>
                <w:sz w:val="18"/>
              </w:rPr>
              <w:t>program</w:t>
            </w:r>
            <w:r>
              <w:rPr>
                <w:rFonts w:ascii="Calibri"/>
                <w:spacing w:val="-4"/>
                <w:sz w:val="18"/>
              </w:rPr>
              <w:t xml:space="preserve"> </w:t>
            </w:r>
            <w:r>
              <w:rPr>
                <w:rFonts w:ascii="Calibri"/>
                <w:sz w:val="18"/>
              </w:rPr>
              <w:t>auditor</w:t>
            </w:r>
            <w:r>
              <w:rPr>
                <w:rFonts w:ascii="Calibri"/>
                <w:spacing w:val="-5"/>
                <w:sz w:val="18"/>
              </w:rPr>
              <w:t xml:space="preserve"> </w:t>
            </w:r>
            <w:r>
              <w:rPr>
                <w:rFonts w:ascii="Calibri"/>
                <w:spacing w:val="-1"/>
                <w:sz w:val="18"/>
              </w:rPr>
              <w:t>is</w:t>
            </w:r>
            <w:r>
              <w:rPr>
                <w:rFonts w:ascii="Calibri"/>
                <w:spacing w:val="-5"/>
                <w:sz w:val="18"/>
              </w:rPr>
              <w:t xml:space="preserve"> </w:t>
            </w:r>
            <w:r>
              <w:rPr>
                <w:rFonts w:ascii="Calibri"/>
                <w:sz w:val="18"/>
              </w:rPr>
              <w:t>on</w:t>
            </w:r>
            <w:r>
              <w:rPr>
                <w:rFonts w:ascii="Calibri"/>
                <w:spacing w:val="-4"/>
                <w:sz w:val="18"/>
              </w:rPr>
              <w:t xml:space="preserve"> </w:t>
            </w:r>
            <w:r>
              <w:rPr>
                <w:rFonts w:ascii="Calibri"/>
                <w:spacing w:val="-1"/>
                <w:sz w:val="18"/>
              </w:rPr>
              <w:t>site;</w:t>
            </w:r>
            <w:r>
              <w:rPr>
                <w:rFonts w:ascii="Calibri"/>
                <w:spacing w:val="-4"/>
                <w:sz w:val="18"/>
              </w:rPr>
              <w:t xml:space="preserve"> </w:t>
            </w:r>
            <w:r>
              <w:rPr>
                <w:rFonts w:ascii="Calibri"/>
                <w:spacing w:val="-1"/>
                <w:sz w:val="18"/>
              </w:rPr>
              <w:t>any</w:t>
            </w:r>
            <w:r>
              <w:rPr>
                <w:rFonts w:ascii="Calibri"/>
                <w:spacing w:val="31"/>
                <w:w w:val="99"/>
                <w:sz w:val="18"/>
              </w:rPr>
              <w:t xml:space="preserve"> </w:t>
            </w:r>
            <w:r>
              <w:rPr>
                <w:rFonts w:ascii="Calibri"/>
                <w:spacing w:val="-1"/>
                <w:sz w:val="18"/>
              </w:rPr>
              <w:t>incremental</w:t>
            </w:r>
            <w:r>
              <w:rPr>
                <w:rFonts w:ascii="Calibri"/>
                <w:spacing w:val="-5"/>
                <w:sz w:val="18"/>
              </w:rPr>
              <w:t xml:space="preserve"> </w:t>
            </w:r>
            <w:r>
              <w:rPr>
                <w:rFonts w:ascii="Calibri"/>
                <w:spacing w:val="-1"/>
                <w:sz w:val="18"/>
              </w:rPr>
              <w:t>savings</w:t>
            </w:r>
            <w:r>
              <w:rPr>
                <w:rFonts w:ascii="Calibri"/>
                <w:spacing w:val="-5"/>
                <w:sz w:val="18"/>
              </w:rPr>
              <w:t xml:space="preserve"> </w:t>
            </w:r>
            <w:r>
              <w:rPr>
                <w:rFonts w:ascii="Calibri"/>
                <w:sz w:val="18"/>
              </w:rPr>
              <w:t>that</w:t>
            </w:r>
            <w:r>
              <w:rPr>
                <w:rFonts w:ascii="Calibri"/>
                <w:spacing w:val="-4"/>
                <w:sz w:val="18"/>
              </w:rPr>
              <w:t xml:space="preserve"> </w:t>
            </w:r>
            <w:r>
              <w:rPr>
                <w:rFonts w:ascii="Calibri"/>
                <w:sz w:val="18"/>
              </w:rPr>
              <w:t>can</w:t>
            </w:r>
            <w:r>
              <w:rPr>
                <w:rFonts w:ascii="Calibri"/>
                <w:spacing w:val="-5"/>
                <w:sz w:val="18"/>
              </w:rPr>
              <w:t xml:space="preserve"> </w:t>
            </w:r>
            <w:r>
              <w:rPr>
                <w:rFonts w:ascii="Calibri"/>
                <w:spacing w:val="-1"/>
                <w:sz w:val="18"/>
              </w:rPr>
              <w:t>be</w:t>
            </w:r>
            <w:r>
              <w:rPr>
                <w:rFonts w:ascii="Calibri"/>
                <w:spacing w:val="-5"/>
                <w:sz w:val="18"/>
              </w:rPr>
              <w:t xml:space="preserve"> </w:t>
            </w:r>
            <w:r>
              <w:rPr>
                <w:rFonts w:ascii="Calibri"/>
                <w:sz w:val="18"/>
              </w:rPr>
              <w:t>obtained</w:t>
            </w:r>
            <w:r>
              <w:rPr>
                <w:rFonts w:ascii="Calibri"/>
                <w:spacing w:val="-4"/>
                <w:sz w:val="18"/>
              </w:rPr>
              <w:t xml:space="preserve"> </w:t>
            </w:r>
            <w:r>
              <w:rPr>
                <w:rFonts w:ascii="Calibri"/>
                <w:sz w:val="18"/>
              </w:rPr>
              <w:t>as</w:t>
            </w:r>
            <w:r>
              <w:rPr>
                <w:rFonts w:ascii="Calibri"/>
                <w:spacing w:val="-5"/>
                <w:sz w:val="18"/>
              </w:rPr>
              <w:t xml:space="preserve"> </w:t>
            </w:r>
            <w:r>
              <w:rPr>
                <w:rFonts w:ascii="Calibri"/>
                <w:sz w:val="18"/>
              </w:rPr>
              <w:t>a</w:t>
            </w:r>
            <w:r>
              <w:rPr>
                <w:rFonts w:ascii="Calibri"/>
                <w:spacing w:val="-4"/>
                <w:sz w:val="18"/>
              </w:rPr>
              <w:t xml:space="preserve"> </w:t>
            </w:r>
            <w:r>
              <w:rPr>
                <w:rFonts w:ascii="Calibri"/>
                <w:spacing w:val="-1"/>
                <w:sz w:val="18"/>
              </w:rPr>
              <w:t>result</w:t>
            </w:r>
            <w:r>
              <w:rPr>
                <w:rFonts w:ascii="Calibri"/>
                <w:spacing w:val="-4"/>
                <w:sz w:val="18"/>
              </w:rPr>
              <w:t xml:space="preserve"> </w:t>
            </w:r>
            <w:r>
              <w:rPr>
                <w:rFonts w:ascii="Calibri"/>
                <w:sz w:val="18"/>
              </w:rPr>
              <w:t>of</w:t>
            </w:r>
            <w:r>
              <w:rPr>
                <w:rFonts w:ascii="Calibri"/>
                <w:spacing w:val="-4"/>
                <w:sz w:val="18"/>
              </w:rPr>
              <w:t xml:space="preserve"> </w:t>
            </w:r>
            <w:r>
              <w:rPr>
                <w:rFonts w:ascii="Calibri"/>
                <w:sz w:val="18"/>
              </w:rPr>
              <w:t>the</w:t>
            </w:r>
            <w:r>
              <w:rPr>
                <w:rFonts w:ascii="Calibri"/>
                <w:spacing w:val="37"/>
                <w:w w:val="99"/>
                <w:sz w:val="18"/>
              </w:rPr>
              <w:t xml:space="preserve"> </w:t>
            </w:r>
            <w:r>
              <w:rPr>
                <w:rFonts w:ascii="Calibri"/>
                <w:spacing w:val="-1"/>
                <w:sz w:val="18"/>
              </w:rPr>
              <w:t>visit</w:t>
            </w:r>
            <w:r>
              <w:rPr>
                <w:rFonts w:ascii="Calibri"/>
                <w:spacing w:val="-6"/>
                <w:sz w:val="18"/>
              </w:rPr>
              <w:t xml:space="preserve"> </w:t>
            </w:r>
            <w:r>
              <w:rPr>
                <w:rFonts w:ascii="Calibri"/>
                <w:spacing w:val="-1"/>
                <w:sz w:val="18"/>
              </w:rPr>
              <w:t>are</w:t>
            </w:r>
            <w:r>
              <w:rPr>
                <w:rFonts w:ascii="Calibri"/>
                <w:spacing w:val="-5"/>
                <w:sz w:val="18"/>
              </w:rPr>
              <w:t xml:space="preserve"> </w:t>
            </w:r>
            <w:r>
              <w:rPr>
                <w:rFonts w:ascii="Calibri"/>
                <w:spacing w:val="-1"/>
                <w:sz w:val="18"/>
              </w:rPr>
              <w:t>likely</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only</w:t>
            </w:r>
            <w:r>
              <w:rPr>
                <w:rFonts w:ascii="Calibri"/>
                <w:spacing w:val="-5"/>
                <w:sz w:val="18"/>
              </w:rPr>
              <w:t xml:space="preserve"> </w:t>
            </w:r>
            <w:r>
              <w:rPr>
                <w:rFonts w:ascii="Calibri"/>
                <w:spacing w:val="-1"/>
                <w:sz w:val="18"/>
              </w:rPr>
              <w:t>improve</w:t>
            </w:r>
            <w:r>
              <w:rPr>
                <w:rFonts w:ascii="Calibri"/>
                <w:spacing w:val="-5"/>
                <w:sz w:val="18"/>
              </w:rPr>
              <w:t xml:space="preserve"> </w:t>
            </w:r>
            <w:r>
              <w:rPr>
                <w:rFonts w:ascii="Calibri"/>
                <w:sz w:val="18"/>
              </w:rPr>
              <w:t>cost</w:t>
            </w:r>
            <w:r>
              <w:rPr>
                <w:rFonts w:ascii="Calibri"/>
                <w:spacing w:val="-5"/>
                <w:sz w:val="18"/>
              </w:rPr>
              <w:t xml:space="preserve"> </w:t>
            </w:r>
            <w:r>
              <w:rPr>
                <w:rFonts w:ascii="Calibri"/>
                <w:spacing w:val="-1"/>
                <w:sz w:val="18"/>
              </w:rPr>
              <w:t>effectiveness.</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1776"/>
        </w:trPr>
        <w:tc>
          <w:tcPr>
            <w:tcW w:w="4680" w:type="dxa"/>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2</w:t>
            </w:r>
          </w:p>
          <w:p w:rsidR="00E646C9" w:rsidRDefault="00E646C9" w:rsidP="00C94D5A">
            <w:pPr>
              <w:pStyle w:val="TableParagraph"/>
              <w:spacing w:before="1"/>
              <w:ind w:left="97" w:right="135"/>
              <w:rPr>
                <w:rFonts w:ascii="Calibri" w:eastAsia="Calibri" w:hAnsi="Calibri" w:cs="Calibri"/>
                <w:sz w:val="18"/>
                <w:szCs w:val="18"/>
              </w:rPr>
            </w:pPr>
            <w:r>
              <w:rPr>
                <w:rFonts w:ascii="Calibri"/>
                <w:sz w:val="18"/>
              </w:rPr>
              <w:t>Track</w:t>
            </w:r>
            <w:r>
              <w:rPr>
                <w:rFonts w:ascii="Calibri"/>
                <w:spacing w:val="-5"/>
                <w:sz w:val="18"/>
              </w:rPr>
              <w:t xml:space="preserve"> </w:t>
            </w:r>
            <w:r>
              <w:rPr>
                <w:rFonts w:ascii="Calibri"/>
                <w:spacing w:val="-1"/>
                <w:sz w:val="18"/>
              </w:rPr>
              <w:t>the</w:t>
            </w:r>
            <w:r>
              <w:rPr>
                <w:rFonts w:ascii="Calibri"/>
                <w:spacing w:val="-6"/>
                <w:sz w:val="18"/>
              </w:rPr>
              <w:t xml:space="preserve"> </w:t>
            </w:r>
            <w:r>
              <w:rPr>
                <w:rFonts w:ascii="Calibri"/>
                <w:spacing w:val="-1"/>
                <w:sz w:val="18"/>
              </w:rPr>
              <w:t>implementation</w:t>
            </w:r>
            <w:r>
              <w:rPr>
                <w:rFonts w:ascii="Calibri"/>
                <w:spacing w:val="-5"/>
                <w:sz w:val="18"/>
              </w:rPr>
              <w:t xml:space="preserve"> </w:t>
            </w:r>
            <w:r>
              <w:rPr>
                <w:rFonts w:ascii="Calibri"/>
                <w:sz w:val="18"/>
              </w:rPr>
              <w:t>rate</w:t>
            </w:r>
            <w:r>
              <w:rPr>
                <w:rFonts w:ascii="Calibri"/>
                <w:spacing w:val="-6"/>
                <w:sz w:val="18"/>
              </w:rPr>
              <w:t xml:space="preserve"> </w:t>
            </w:r>
            <w:r>
              <w:rPr>
                <w:rFonts w:ascii="Calibri"/>
                <w:sz w:val="18"/>
              </w:rPr>
              <w:t>for</w:t>
            </w:r>
            <w:r>
              <w:rPr>
                <w:rFonts w:ascii="Calibri"/>
                <w:spacing w:val="-5"/>
                <w:sz w:val="18"/>
              </w:rPr>
              <w:t xml:space="preserve"> </w:t>
            </w:r>
            <w:r>
              <w:rPr>
                <w:rFonts w:ascii="Calibri"/>
                <w:sz w:val="18"/>
              </w:rPr>
              <w:t>REEP</w:t>
            </w:r>
            <w:r>
              <w:rPr>
                <w:rFonts w:ascii="Calibri"/>
                <w:spacing w:val="-5"/>
                <w:sz w:val="18"/>
              </w:rPr>
              <w:t xml:space="preserve"> </w:t>
            </w:r>
            <w:r>
              <w:rPr>
                <w:rFonts w:ascii="Calibri"/>
                <w:spacing w:val="-1"/>
                <w:sz w:val="18"/>
              </w:rPr>
              <w:t>Rebates</w:t>
            </w:r>
            <w:r>
              <w:rPr>
                <w:rFonts w:ascii="Calibri"/>
                <w:spacing w:val="-6"/>
                <w:sz w:val="18"/>
              </w:rPr>
              <w:t xml:space="preserve"> </w:t>
            </w:r>
            <w:r>
              <w:rPr>
                <w:rFonts w:ascii="Calibri"/>
                <w:spacing w:val="-1"/>
                <w:sz w:val="18"/>
              </w:rPr>
              <w:t>that</w:t>
            </w:r>
            <w:r>
              <w:rPr>
                <w:rFonts w:ascii="Calibri"/>
                <w:spacing w:val="-4"/>
                <w:sz w:val="18"/>
              </w:rPr>
              <w:t xml:space="preserve"> </w:t>
            </w:r>
            <w:r>
              <w:rPr>
                <w:rFonts w:ascii="Calibri"/>
                <w:spacing w:val="-1"/>
                <w:sz w:val="18"/>
              </w:rPr>
              <w:t>are</w:t>
            </w:r>
            <w:r>
              <w:rPr>
                <w:rFonts w:ascii="Calibri"/>
                <w:spacing w:val="41"/>
                <w:w w:val="99"/>
                <w:sz w:val="18"/>
              </w:rPr>
              <w:t xml:space="preserve"> </w:t>
            </w:r>
            <w:r>
              <w:rPr>
                <w:rFonts w:ascii="Calibri"/>
                <w:spacing w:val="-1"/>
                <w:sz w:val="18"/>
              </w:rPr>
              <w:t>recommended</w:t>
            </w:r>
            <w:r>
              <w:rPr>
                <w:rFonts w:ascii="Calibri"/>
                <w:spacing w:val="-6"/>
                <w:sz w:val="18"/>
              </w:rPr>
              <w:t xml:space="preserve"> </w:t>
            </w:r>
            <w:r>
              <w:rPr>
                <w:rFonts w:ascii="Calibri"/>
                <w:spacing w:val="-1"/>
                <w:sz w:val="18"/>
              </w:rPr>
              <w:t>through</w:t>
            </w:r>
            <w:r>
              <w:rPr>
                <w:rFonts w:ascii="Calibri"/>
                <w:spacing w:val="-7"/>
                <w:sz w:val="18"/>
              </w:rPr>
              <w:t xml:space="preserve"> </w:t>
            </w:r>
            <w:r>
              <w:rPr>
                <w:rFonts w:ascii="Calibri"/>
                <w:sz w:val="18"/>
              </w:rPr>
              <w:t>the</w:t>
            </w:r>
            <w:r>
              <w:rPr>
                <w:rFonts w:ascii="Calibri"/>
                <w:spacing w:val="-7"/>
                <w:sz w:val="18"/>
              </w:rPr>
              <w:t xml:space="preserve"> </w:t>
            </w:r>
            <w:r>
              <w:rPr>
                <w:rFonts w:ascii="Calibri"/>
                <w:spacing w:val="-1"/>
                <w:sz w:val="18"/>
              </w:rPr>
              <w:t>new</w:t>
            </w:r>
            <w:r>
              <w:rPr>
                <w:rFonts w:ascii="Calibri"/>
                <w:spacing w:val="-4"/>
                <w:sz w:val="18"/>
              </w:rPr>
              <w:t xml:space="preserve"> </w:t>
            </w:r>
            <w:r>
              <w:rPr>
                <w:rFonts w:ascii="Calibri"/>
                <w:spacing w:val="-1"/>
                <w:sz w:val="18"/>
              </w:rPr>
              <w:t>and</w:t>
            </w:r>
            <w:r>
              <w:rPr>
                <w:rFonts w:ascii="Calibri"/>
                <w:spacing w:val="-7"/>
                <w:sz w:val="18"/>
              </w:rPr>
              <w:t xml:space="preserve"> </w:t>
            </w:r>
            <w:r>
              <w:rPr>
                <w:rFonts w:ascii="Calibri"/>
                <w:spacing w:val="-1"/>
                <w:sz w:val="18"/>
              </w:rPr>
              <w:t>differently</w:t>
            </w:r>
            <w:r>
              <w:rPr>
                <w:rFonts w:ascii="Calibri"/>
                <w:spacing w:val="45"/>
                <w:w w:val="99"/>
                <w:sz w:val="18"/>
              </w:rPr>
              <w:t xml:space="preserve"> </w:t>
            </w:r>
            <w:r>
              <w:rPr>
                <w:rFonts w:ascii="Calibri"/>
                <w:spacing w:val="-1"/>
                <w:sz w:val="18"/>
              </w:rPr>
              <w:t>implemented</w:t>
            </w:r>
            <w:r>
              <w:rPr>
                <w:rFonts w:ascii="Calibri"/>
                <w:spacing w:val="-7"/>
                <w:sz w:val="18"/>
              </w:rPr>
              <w:t xml:space="preserve"> </w:t>
            </w:r>
            <w:r>
              <w:rPr>
                <w:rFonts w:ascii="Calibri"/>
                <w:sz w:val="18"/>
              </w:rPr>
              <w:t>WHEAP</w:t>
            </w:r>
            <w:r>
              <w:rPr>
                <w:rFonts w:ascii="Calibri"/>
                <w:spacing w:val="-5"/>
                <w:sz w:val="18"/>
              </w:rPr>
              <w:t xml:space="preserve"> </w:t>
            </w:r>
            <w:r>
              <w:rPr>
                <w:rFonts w:ascii="Calibri"/>
                <w:spacing w:val="-1"/>
                <w:sz w:val="18"/>
              </w:rPr>
              <w:t>in</w:t>
            </w:r>
            <w:r>
              <w:rPr>
                <w:rFonts w:ascii="Calibri"/>
                <w:spacing w:val="-7"/>
                <w:sz w:val="18"/>
              </w:rPr>
              <w:t xml:space="preserve"> </w:t>
            </w:r>
            <w:r>
              <w:rPr>
                <w:rFonts w:ascii="Calibri"/>
                <w:sz w:val="18"/>
              </w:rPr>
              <w:t>PY8,</w:t>
            </w:r>
            <w:r>
              <w:rPr>
                <w:rFonts w:ascii="Calibri"/>
                <w:spacing w:val="-5"/>
                <w:sz w:val="18"/>
              </w:rPr>
              <w:t xml:space="preserve"> </w:t>
            </w:r>
            <w:r>
              <w:rPr>
                <w:rFonts w:ascii="Calibri"/>
                <w:spacing w:val="-1"/>
                <w:sz w:val="18"/>
              </w:rPr>
              <w:t>to</w:t>
            </w:r>
            <w:r>
              <w:rPr>
                <w:rFonts w:ascii="Calibri"/>
                <w:spacing w:val="-5"/>
                <w:sz w:val="18"/>
              </w:rPr>
              <w:t xml:space="preserve"> </w:t>
            </w:r>
            <w:r>
              <w:rPr>
                <w:rFonts w:ascii="Calibri"/>
                <w:spacing w:val="-1"/>
                <w:sz w:val="18"/>
              </w:rPr>
              <w:t>determine</w:t>
            </w:r>
            <w:r>
              <w:rPr>
                <w:rFonts w:ascii="Calibri"/>
                <w:spacing w:val="-6"/>
                <w:sz w:val="18"/>
              </w:rPr>
              <w:t xml:space="preserve"> </w:t>
            </w:r>
            <w:r>
              <w:rPr>
                <w:rFonts w:ascii="Calibri"/>
                <w:spacing w:val="-1"/>
                <w:sz w:val="18"/>
              </w:rPr>
              <w:t>whether</w:t>
            </w:r>
            <w:r>
              <w:rPr>
                <w:rFonts w:ascii="Calibri"/>
                <w:spacing w:val="-7"/>
                <w:sz w:val="18"/>
              </w:rPr>
              <w:t xml:space="preserve"> </w:t>
            </w:r>
            <w:r>
              <w:rPr>
                <w:rFonts w:ascii="Calibri"/>
                <w:spacing w:val="-1"/>
                <w:sz w:val="18"/>
              </w:rPr>
              <w:t>specific</w:t>
            </w:r>
            <w:r>
              <w:rPr>
                <w:rFonts w:ascii="Calibri"/>
                <w:spacing w:val="47"/>
                <w:w w:val="99"/>
                <w:sz w:val="18"/>
              </w:rPr>
              <w:t xml:space="preserve"> </w:t>
            </w:r>
            <w:r>
              <w:rPr>
                <w:rFonts w:ascii="Calibri"/>
                <w:spacing w:val="-1"/>
                <w:sz w:val="18"/>
              </w:rPr>
              <w:t>actions</w:t>
            </w:r>
            <w:r>
              <w:rPr>
                <w:rFonts w:ascii="Calibri"/>
                <w:spacing w:val="-5"/>
                <w:sz w:val="18"/>
              </w:rPr>
              <w:t xml:space="preserve"> </w:t>
            </w:r>
            <w:r>
              <w:rPr>
                <w:rFonts w:ascii="Calibri"/>
                <w:spacing w:val="-1"/>
                <w:sz w:val="18"/>
              </w:rPr>
              <w:t>are</w:t>
            </w:r>
            <w:r>
              <w:rPr>
                <w:rFonts w:ascii="Calibri"/>
                <w:spacing w:val="-5"/>
                <w:sz w:val="18"/>
              </w:rPr>
              <w:t xml:space="preserve"> </w:t>
            </w:r>
            <w:r>
              <w:rPr>
                <w:rFonts w:ascii="Calibri"/>
                <w:spacing w:val="-1"/>
                <w:sz w:val="18"/>
              </w:rPr>
              <w:t>needed</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pacing w:val="-1"/>
                <w:sz w:val="18"/>
              </w:rPr>
              <w:t>ensure</w:t>
            </w:r>
            <w:r>
              <w:rPr>
                <w:rFonts w:ascii="Calibri"/>
                <w:spacing w:val="-5"/>
                <w:sz w:val="18"/>
              </w:rPr>
              <w:t xml:space="preserve"> </w:t>
            </w:r>
            <w:r>
              <w:rPr>
                <w:rFonts w:ascii="Calibri"/>
                <w:sz w:val="18"/>
              </w:rPr>
              <w:t>that</w:t>
            </w:r>
            <w:r>
              <w:rPr>
                <w:rFonts w:ascii="Calibri"/>
                <w:spacing w:val="-4"/>
                <w:sz w:val="18"/>
              </w:rPr>
              <w:t xml:space="preserve"> </w:t>
            </w:r>
            <w:r>
              <w:rPr>
                <w:rFonts w:ascii="Calibri"/>
                <w:spacing w:val="-1"/>
                <w:sz w:val="18"/>
              </w:rPr>
              <w:t>the</w:t>
            </w:r>
            <w:r>
              <w:rPr>
                <w:rFonts w:ascii="Calibri"/>
                <w:spacing w:val="-5"/>
                <w:sz w:val="18"/>
              </w:rPr>
              <w:t xml:space="preserve"> </w:t>
            </w:r>
            <w:r>
              <w:rPr>
                <w:rFonts w:ascii="Calibri"/>
                <w:spacing w:val="-1"/>
                <w:sz w:val="18"/>
              </w:rPr>
              <w:t>link</w:t>
            </w:r>
            <w:r>
              <w:rPr>
                <w:rFonts w:ascii="Calibri"/>
                <w:spacing w:val="-4"/>
                <w:sz w:val="18"/>
              </w:rPr>
              <w:t xml:space="preserve"> </w:t>
            </w:r>
            <w:r>
              <w:rPr>
                <w:rFonts w:ascii="Calibri"/>
                <w:spacing w:val="-1"/>
                <w:sz w:val="18"/>
              </w:rPr>
              <w:t>between</w:t>
            </w:r>
            <w:r>
              <w:rPr>
                <w:rFonts w:ascii="Calibri"/>
                <w:spacing w:val="-5"/>
                <w:sz w:val="18"/>
              </w:rPr>
              <w:t xml:space="preserve"> </w:t>
            </w:r>
            <w:r>
              <w:rPr>
                <w:rFonts w:ascii="Calibri"/>
                <w:sz w:val="18"/>
              </w:rPr>
              <w:t>the</w:t>
            </w:r>
            <w:r>
              <w:rPr>
                <w:rFonts w:ascii="Calibri"/>
                <w:spacing w:val="-5"/>
                <w:sz w:val="18"/>
              </w:rPr>
              <w:t xml:space="preserve"> </w:t>
            </w:r>
            <w:r>
              <w:rPr>
                <w:rFonts w:ascii="Calibri"/>
                <w:sz w:val="18"/>
              </w:rPr>
              <w:t>two</w:t>
            </w:r>
            <w:r>
              <w:rPr>
                <w:rFonts w:ascii="Calibri"/>
                <w:spacing w:val="59"/>
                <w:w w:val="99"/>
                <w:sz w:val="18"/>
              </w:rPr>
              <w:t xml:space="preserve"> </w:t>
            </w:r>
            <w:r>
              <w:rPr>
                <w:rFonts w:ascii="Calibri"/>
                <w:spacing w:val="-1"/>
                <w:sz w:val="18"/>
              </w:rPr>
              <w:t>programs</w:t>
            </w:r>
            <w:r>
              <w:rPr>
                <w:rFonts w:ascii="Calibri"/>
                <w:spacing w:val="-6"/>
                <w:sz w:val="18"/>
              </w:rPr>
              <w:t xml:space="preserve"> </w:t>
            </w:r>
            <w:r>
              <w:rPr>
                <w:rFonts w:ascii="Calibri"/>
                <w:spacing w:val="-1"/>
                <w:sz w:val="18"/>
              </w:rPr>
              <w:t>is</w:t>
            </w:r>
            <w:r>
              <w:rPr>
                <w:rFonts w:ascii="Calibri"/>
                <w:spacing w:val="-4"/>
                <w:sz w:val="18"/>
              </w:rPr>
              <w:t xml:space="preserve"> </w:t>
            </w:r>
            <w:r>
              <w:rPr>
                <w:rFonts w:ascii="Calibri"/>
                <w:spacing w:val="-1"/>
                <w:sz w:val="18"/>
              </w:rPr>
              <w:t>being</w:t>
            </w:r>
            <w:r>
              <w:rPr>
                <w:rFonts w:ascii="Calibri"/>
                <w:spacing w:val="-6"/>
                <w:sz w:val="18"/>
              </w:rPr>
              <w:t xml:space="preserve"> </w:t>
            </w:r>
            <w:r>
              <w:rPr>
                <w:rFonts w:ascii="Calibri"/>
                <w:spacing w:val="-1"/>
                <w:sz w:val="18"/>
              </w:rPr>
              <w:t>made</w:t>
            </w:r>
            <w:r>
              <w:rPr>
                <w:rFonts w:ascii="Calibri"/>
                <w:spacing w:val="-3"/>
                <w:sz w:val="18"/>
              </w:rPr>
              <w:t xml:space="preserve"> </w:t>
            </w:r>
            <w:r>
              <w:rPr>
                <w:rFonts w:ascii="Calibri"/>
                <w:spacing w:val="-1"/>
                <w:sz w:val="18"/>
              </w:rPr>
              <w:t>effectively</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pacing w:val="-1"/>
                <w:sz w:val="18"/>
              </w:rPr>
              <w:t>participants.</w:t>
            </w:r>
            <w:r>
              <w:rPr>
                <w:rFonts w:ascii="Calibri"/>
                <w:spacing w:val="-5"/>
                <w:sz w:val="18"/>
              </w:rPr>
              <w:t xml:space="preserve"> </w:t>
            </w:r>
            <w:r>
              <w:rPr>
                <w:rFonts w:ascii="Calibri"/>
                <w:sz w:val="18"/>
              </w:rPr>
              <w:t>Track</w:t>
            </w:r>
            <w:r>
              <w:rPr>
                <w:rFonts w:ascii="Calibri"/>
                <w:spacing w:val="-5"/>
                <w:sz w:val="18"/>
              </w:rPr>
              <w:t xml:space="preserve"> </w:t>
            </w:r>
            <w:r>
              <w:rPr>
                <w:rFonts w:ascii="Calibri"/>
                <w:spacing w:val="-1"/>
                <w:sz w:val="18"/>
              </w:rPr>
              <w:t>the</w:t>
            </w:r>
            <w:r>
              <w:rPr>
                <w:rFonts w:ascii="Calibri"/>
                <w:spacing w:val="57"/>
                <w:w w:val="99"/>
                <w:sz w:val="18"/>
              </w:rPr>
              <w:t xml:space="preserve"> </w:t>
            </w:r>
            <w:r>
              <w:rPr>
                <w:rFonts w:ascii="Calibri"/>
                <w:spacing w:val="-1"/>
                <w:sz w:val="18"/>
              </w:rPr>
              <w:t>awareness</w:t>
            </w:r>
            <w:r>
              <w:rPr>
                <w:rFonts w:ascii="Calibri"/>
                <w:spacing w:val="-7"/>
                <w:sz w:val="18"/>
              </w:rPr>
              <w:t xml:space="preserve"> </w:t>
            </w:r>
            <w:r>
              <w:rPr>
                <w:rFonts w:ascii="Calibri"/>
                <w:sz w:val="18"/>
              </w:rPr>
              <w:t>of</w:t>
            </w:r>
            <w:r>
              <w:rPr>
                <w:rFonts w:ascii="Calibri"/>
                <w:spacing w:val="-5"/>
                <w:sz w:val="18"/>
              </w:rPr>
              <w:t xml:space="preserve"> </w:t>
            </w:r>
            <w:r>
              <w:rPr>
                <w:rFonts w:ascii="Calibri"/>
                <w:sz w:val="18"/>
              </w:rPr>
              <w:t>REEP</w:t>
            </w:r>
            <w:r>
              <w:rPr>
                <w:rFonts w:ascii="Calibri"/>
                <w:spacing w:val="-6"/>
                <w:sz w:val="18"/>
              </w:rPr>
              <w:t xml:space="preserve"> </w:t>
            </w:r>
            <w:r>
              <w:rPr>
                <w:rFonts w:ascii="Calibri"/>
                <w:spacing w:val="-1"/>
                <w:sz w:val="18"/>
              </w:rPr>
              <w:t>rebates</w:t>
            </w:r>
            <w:r>
              <w:rPr>
                <w:rFonts w:ascii="Calibri"/>
                <w:spacing w:val="-6"/>
                <w:sz w:val="18"/>
              </w:rPr>
              <w:t xml:space="preserve"> </w:t>
            </w:r>
            <w:r>
              <w:rPr>
                <w:rFonts w:ascii="Calibri"/>
                <w:sz w:val="18"/>
              </w:rPr>
              <w:t>through</w:t>
            </w:r>
            <w:r>
              <w:rPr>
                <w:rFonts w:ascii="Calibri"/>
                <w:spacing w:val="-6"/>
                <w:sz w:val="18"/>
              </w:rPr>
              <w:t xml:space="preserve"> </w:t>
            </w:r>
            <w:r>
              <w:rPr>
                <w:rFonts w:ascii="Calibri"/>
                <w:spacing w:val="-1"/>
                <w:sz w:val="18"/>
              </w:rPr>
              <w:t>participant</w:t>
            </w:r>
            <w:r>
              <w:rPr>
                <w:rFonts w:ascii="Calibri"/>
                <w:spacing w:val="-4"/>
                <w:sz w:val="18"/>
              </w:rPr>
              <w:t xml:space="preserve"> </w:t>
            </w:r>
            <w:r>
              <w:rPr>
                <w:rFonts w:ascii="Calibri"/>
                <w:spacing w:val="-1"/>
                <w:sz w:val="18"/>
              </w:rPr>
              <w:t>surveys</w:t>
            </w:r>
            <w:r>
              <w:rPr>
                <w:rFonts w:ascii="Calibri"/>
                <w:spacing w:val="-6"/>
                <w:sz w:val="18"/>
              </w:rPr>
              <w:t xml:space="preserve"> </w:t>
            </w:r>
            <w:r>
              <w:rPr>
                <w:rFonts w:ascii="Calibri"/>
                <w:spacing w:val="-1"/>
                <w:sz w:val="18"/>
              </w:rPr>
              <w:t>in</w:t>
            </w:r>
            <w:r>
              <w:rPr>
                <w:rFonts w:ascii="Calibri"/>
                <w:spacing w:val="45"/>
                <w:w w:val="99"/>
                <w:sz w:val="18"/>
              </w:rPr>
              <w:t xml:space="preserve"> </w:t>
            </w:r>
            <w:r>
              <w:rPr>
                <w:rFonts w:ascii="Calibri"/>
                <w:sz w:val="18"/>
              </w:rPr>
              <w:t>PY8</w:t>
            </w:r>
            <w:r>
              <w:rPr>
                <w:rFonts w:ascii="Calibri"/>
                <w:spacing w:val="-5"/>
                <w:sz w:val="18"/>
              </w:rPr>
              <w:t xml:space="preserve"> </w:t>
            </w:r>
            <w:r>
              <w:rPr>
                <w:rFonts w:ascii="Calibri"/>
                <w:sz w:val="18"/>
              </w:rPr>
              <w:t>for</w:t>
            </w:r>
            <w:r>
              <w:rPr>
                <w:rFonts w:ascii="Calibri"/>
                <w:spacing w:val="-5"/>
                <w:sz w:val="18"/>
              </w:rPr>
              <w:t xml:space="preserve"> </w:t>
            </w:r>
            <w:r>
              <w:rPr>
                <w:rFonts w:ascii="Calibri"/>
                <w:spacing w:val="-1"/>
                <w:sz w:val="18"/>
              </w:rPr>
              <w:t>the</w:t>
            </w:r>
            <w:r>
              <w:rPr>
                <w:rFonts w:ascii="Calibri"/>
                <w:spacing w:val="-5"/>
                <w:sz w:val="18"/>
              </w:rPr>
              <w:t xml:space="preserve"> </w:t>
            </w:r>
            <w:r>
              <w:rPr>
                <w:rFonts w:ascii="Calibri"/>
                <w:spacing w:val="-1"/>
                <w:sz w:val="18"/>
              </w:rPr>
              <w:t>same</w:t>
            </w:r>
            <w:r>
              <w:rPr>
                <w:rFonts w:ascii="Calibri"/>
                <w:spacing w:val="-5"/>
                <w:sz w:val="18"/>
              </w:rPr>
              <w:t xml:space="preserve"> </w:t>
            </w:r>
            <w:r>
              <w:rPr>
                <w:rFonts w:ascii="Calibri"/>
                <w:spacing w:val="-1"/>
                <w:sz w:val="18"/>
              </w:rPr>
              <w:t>reason.</w:t>
            </w:r>
          </w:p>
        </w:tc>
        <w:tc>
          <w:tcPr>
            <w:tcW w:w="4680" w:type="dxa"/>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2220"/>
        </w:trPr>
        <w:tc>
          <w:tcPr>
            <w:tcW w:w="4680" w:type="dxa"/>
            <w:shd w:val="clear" w:color="auto" w:fill="D2EAF1"/>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3</w:t>
            </w:r>
          </w:p>
          <w:p w:rsidR="00E646C9" w:rsidRDefault="00E646C9" w:rsidP="00C94D5A">
            <w:pPr>
              <w:pStyle w:val="TableParagraph"/>
              <w:ind w:left="97" w:right="170"/>
              <w:rPr>
                <w:rFonts w:ascii="Calibri" w:eastAsia="Calibri" w:hAnsi="Calibri" w:cs="Calibri"/>
                <w:sz w:val="18"/>
                <w:szCs w:val="18"/>
              </w:rPr>
            </w:pPr>
            <w:r>
              <w:rPr>
                <w:rFonts w:ascii="Calibri"/>
                <w:spacing w:val="-1"/>
                <w:sz w:val="18"/>
              </w:rPr>
              <w:t>Consider</w:t>
            </w:r>
            <w:r>
              <w:rPr>
                <w:rFonts w:ascii="Calibri"/>
                <w:spacing w:val="-5"/>
                <w:sz w:val="18"/>
              </w:rPr>
              <w:t xml:space="preserve"> </w:t>
            </w:r>
            <w:r>
              <w:rPr>
                <w:rFonts w:ascii="Calibri"/>
                <w:spacing w:val="-1"/>
                <w:sz w:val="18"/>
              </w:rPr>
              <w:t>sending</w:t>
            </w:r>
            <w:r>
              <w:rPr>
                <w:rFonts w:ascii="Calibri"/>
                <w:spacing w:val="-6"/>
                <w:sz w:val="18"/>
              </w:rPr>
              <w:t xml:space="preserve"> </w:t>
            </w:r>
            <w:r>
              <w:rPr>
                <w:rFonts w:ascii="Calibri"/>
                <w:sz w:val="18"/>
              </w:rPr>
              <w:t>follow-up</w:t>
            </w:r>
            <w:r>
              <w:rPr>
                <w:rFonts w:ascii="Calibri"/>
                <w:spacing w:val="-7"/>
                <w:sz w:val="18"/>
              </w:rPr>
              <w:t xml:space="preserve"> </w:t>
            </w:r>
            <w:r>
              <w:rPr>
                <w:rFonts w:ascii="Calibri"/>
                <w:spacing w:val="-1"/>
                <w:sz w:val="18"/>
              </w:rPr>
              <w:t>email</w:t>
            </w:r>
            <w:r>
              <w:rPr>
                <w:rFonts w:ascii="Calibri"/>
                <w:spacing w:val="-4"/>
                <w:sz w:val="18"/>
              </w:rPr>
              <w:t xml:space="preserve"> </w:t>
            </w:r>
            <w:r>
              <w:rPr>
                <w:rFonts w:ascii="Calibri"/>
                <w:spacing w:val="-1"/>
                <w:sz w:val="18"/>
              </w:rPr>
              <w:t>notices</w:t>
            </w:r>
            <w:r>
              <w:rPr>
                <w:rFonts w:ascii="Calibri"/>
                <w:spacing w:val="-7"/>
                <w:sz w:val="18"/>
              </w:rPr>
              <w:t xml:space="preserve"> </w:t>
            </w:r>
            <w:r>
              <w:rPr>
                <w:rFonts w:ascii="Calibri"/>
                <w:spacing w:val="-1"/>
                <w:sz w:val="18"/>
              </w:rPr>
              <w:t>to</w:t>
            </w:r>
            <w:r>
              <w:rPr>
                <w:rFonts w:ascii="Calibri"/>
                <w:spacing w:val="-4"/>
                <w:sz w:val="18"/>
              </w:rPr>
              <w:t xml:space="preserve"> </w:t>
            </w:r>
            <w:r>
              <w:rPr>
                <w:rFonts w:ascii="Calibri"/>
                <w:spacing w:val="-1"/>
                <w:sz w:val="18"/>
              </w:rPr>
              <w:t>participants</w:t>
            </w:r>
            <w:r>
              <w:rPr>
                <w:rFonts w:ascii="Calibri"/>
                <w:spacing w:val="49"/>
                <w:w w:val="99"/>
                <w:sz w:val="18"/>
              </w:rPr>
              <w:t xml:space="preserve"> </w:t>
            </w:r>
            <w:r>
              <w:rPr>
                <w:rFonts w:ascii="Calibri"/>
                <w:spacing w:val="-1"/>
                <w:sz w:val="18"/>
              </w:rPr>
              <w:t>after</w:t>
            </w:r>
            <w:r>
              <w:rPr>
                <w:rFonts w:ascii="Calibri"/>
                <w:spacing w:val="-5"/>
                <w:sz w:val="18"/>
              </w:rPr>
              <w:t xml:space="preserve"> </w:t>
            </w:r>
            <w:r>
              <w:rPr>
                <w:rFonts w:ascii="Calibri"/>
                <w:spacing w:val="-1"/>
                <w:sz w:val="18"/>
              </w:rPr>
              <w:t>they</w:t>
            </w:r>
            <w:r>
              <w:rPr>
                <w:rFonts w:ascii="Calibri"/>
                <w:spacing w:val="-3"/>
                <w:sz w:val="18"/>
              </w:rPr>
              <w:t xml:space="preserve"> </w:t>
            </w:r>
            <w:r>
              <w:rPr>
                <w:rFonts w:ascii="Calibri"/>
                <w:spacing w:val="-1"/>
                <w:sz w:val="18"/>
              </w:rPr>
              <w:t>have</w:t>
            </w:r>
            <w:r>
              <w:rPr>
                <w:rFonts w:ascii="Calibri"/>
                <w:spacing w:val="-5"/>
                <w:sz w:val="18"/>
              </w:rPr>
              <w:t xml:space="preserve"> </w:t>
            </w:r>
            <w:r>
              <w:rPr>
                <w:rFonts w:ascii="Calibri"/>
                <w:spacing w:val="-1"/>
                <w:sz w:val="18"/>
              </w:rPr>
              <w:t>participated</w:t>
            </w:r>
            <w:r>
              <w:rPr>
                <w:rFonts w:ascii="Calibri"/>
                <w:spacing w:val="-5"/>
                <w:sz w:val="18"/>
              </w:rPr>
              <w:t xml:space="preserve"> </w:t>
            </w:r>
            <w:r>
              <w:rPr>
                <w:rFonts w:ascii="Calibri"/>
                <w:spacing w:val="-1"/>
                <w:sz w:val="18"/>
              </w:rPr>
              <w:t>in</w:t>
            </w:r>
            <w:r>
              <w:rPr>
                <w:rFonts w:ascii="Calibri"/>
                <w:spacing w:val="-5"/>
                <w:sz w:val="18"/>
              </w:rPr>
              <w:t xml:space="preserve"> </w:t>
            </w:r>
            <w:r>
              <w:rPr>
                <w:rFonts w:ascii="Calibri"/>
                <w:spacing w:val="1"/>
                <w:sz w:val="18"/>
              </w:rPr>
              <w:t>the</w:t>
            </w:r>
            <w:r>
              <w:rPr>
                <w:rFonts w:ascii="Calibri"/>
                <w:spacing w:val="-5"/>
                <w:sz w:val="18"/>
              </w:rPr>
              <w:t xml:space="preserve"> </w:t>
            </w:r>
            <w:r>
              <w:rPr>
                <w:rFonts w:ascii="Calibri"/>
                <w:spacing w:val="-1"/>
                <w:sz w:val="18"/>
              </w:rPr>
              <w:t>program</w:t>
            </w:r>
            <w:r>
              <w:rPr>
                <w:rFonts w:ascii="Calibri"/>
                <w:spacing w:val="-4"/>
                <w:sz w:val="18"/>
              </w:rPr>
              <w:t xml:space="preserve"> </w:t>
            </w:r>
            <w:r>
              <w:rPr>
                <w:rFonts w:ascii="Calibri"/>
                <w:spacing w:val="-1"/>
                <w:sz w:val="18"/>
              </w:rPr>
              <w:t>(e.g.,</w:t>
            </w:r>
            <w:r>
              <w:rPr>
                <w:rFonts w:ascii="Calibri"/>
                <w:spacing w:val="-3"/>
                <w:sz w:val="18"/>
              </w:rPr>
              <w:t xml:space="preserve"> </w:t>
            </w:r>
            <w:r>
              <w:rPr>
                <w:rFonts w:ascii="Calibri"/>
                <w:sz w:val="18"/>
              </w:rPr>
              <w:t>at</w:t>
            </w:r>
            <w:r>
              <w:rPr>
                <w:rFonts w:ascii="Calibri"/>
                <w:spacing w:val="-5"/>
                <w:sz w:val="18"/>
              </w:rPr>
              <w:t xml:space="preserve"> </w:t>
            </w:r>
            <w:r>
              <w:rPr>
                <w:rFonts w:ascii="Calibri"/>
                <w:spacing w:val="-1"/>
                <w:sz w:val="18"/>
              </w:rPr>
              <w:t>least</w:t>
            </w:r>
            <w:r>
              <w:rPr>
                <w:rFonts w:ascii="Calibri"/>
                <w:spacing w:val="53"/>
                <w:w w:val="99"/>
                <w:sz w:val="18"/>
              </w:rPr>
              <w:t xml:space="preserve"> </w:t>
            </w:r>
            <w:r>
              <w:rPr>
                <w:rFonts w:ascii="Calibri"/>
                <w:sz w:val="18"/>
              </w:rPr>
              <w:t>one</w:t>
            </w:r>
            <w:r>
              <w:rPr>
                <w:rFonts w:ascii="Calibri"/>
                <w:spacing w:val="-6"/>
                <w:sz w:val="18"/>
              </w:rPr>
              <w:t xml:space="preserve"> </w:t>
            </w:r>
            <w:r>
              <w:rPr>
                <w:rFonts w:ascii="Calibri"/>
                <w:spacing w:val="-1"/>
                <w:sz w:val="18"/>
              </w:rPr>
              <w:t>quarter</w:t>
            </w:r>
            <w:r>
              <w:rPr>
                <w:rFonts w:ascii="Calibri"/>
                <w:spacing w:val="-5"/>
                <w:sz w:val="18"/>
              </w:rPr>
              <w:t xml:space="preserve"> </w:t>
            </w:r>
            <w:r>
              <w:rPr>
                <w:rFonts w:ascii="Calibri"/>
                <w:sz w:val="18"/>
              </w:rPr>
              <w:t>or</w:t>
            </w:r>
            <w:r>
              <w:rPr>
                <w:rFonts w:ascii="Calibri"/>
                <w:spacing w:val="-5"/>
                <w:sz w:val="18"/>
              </w:rPr>
              <w:t xml:space="preserve"> </w:t>
            </w:r>
            <w:r>
              <w:rPr>
                <w:rFonts w:ascii="Calibri"/>
                <w:sz w:val="18"/>
              </w:rPr>
              <w:t>more</w:t>
            </w:r>
            <w:r>
              <w:rPr>
                <w:rFonts w:ascii="Calibri"/>
                <w:spacing w:val="-5"/>
                <w:sz w:val="18"/>
              </w:rPr>
              <w:t xml:space="preserve"> </w:t>
            </w:r>
            <w:r>
              <w:rPr>
                <w:rFonts w:ascii="Calibri"/>
                <w:spacing w:val="-1"/>
                <w:sz w:val="18"/>
              </w:rPr>
              <w:t>later),</w:t>
            </w:r>
            <w:r>
              <w:rPr>
                <w:rFonts w:ascii="Calibri"/>
                <w:spacing w:val="-5"/>
                <w:sz w:val="18"/>
              </w:rPr>
              <w:t xml:space="preserve"> </w:t>
            </w:r>
            <w:r>
              <w:rPr>
                <w:rFonts w:ascii="Calibri"/>
                <w:spacing w:val="-1"/>
                <w:sz w:val="18"/>
              </w:rPr>
              <w:t>reminding</w:t>
            </w:r>
            <w:r>
              <w:rPr>
                <w:rFonts w:ascii="Calibri"/>
                <w:spacing w:val="-5"/>
                <w:sz w:val="18"/>
              </w:rPr>
              <w:t xml:space="preserve"> </w:t>
            </w:r>
            <w:r>
              <w:rPr>
                <w:rFonts w:ascii="Calibri"/>
                <w:sz w:val="18"/>
              </w:rPr>
              <w:t>them</w:t>
            </w:r>
            <w:r>
              <w:rPr>
                <w:rFonts w:ascii="Calibri"/>
                <w:spacing w:val="-4"/>
                <w:sz w:val="18"/>
              </w:rPr>
              <w:t xml:space="preserve"> </w:t>
            </w:r>
            <w:r>
              <w:rPr>
                <w:rFonts w:ascii="Calibri"/>
                <w:sz w:val="18"/>
              </w:rPr>
              <w:t>of</w:t>
            </w:r>
            <w:r>
              <w:rPr>
                <w:rFonts w:ascii="Calibri"/>
                <w:spacing w:val="29"/>
                <w:w w:val="99"/>
                <w:sz w:val="18"/>
              </w:rPr>
              <w:t xml:space="preserve"> </w:t>
            </w:r>
            <w:r>
              <w:rPr>
                <w:rFonts w:ascii="Calibri"/>
                <w:spacing w:val="-1"/>
                <w:sz w:val="18"/>
              </w:rPr>
              <w:t>recommendations</w:t>
            </w:r>
            <w:r>
              <w:rPr>
                <w:rFonts w:ascii="Calibri"/>
                <w:spacing w:val="-9"/>
                <w:sz w:val="18"/>
              </w:rPr>
              <w:t xml:space="preserve"> </w:t>
            </w:r>
            <w:r>
              <w:rPr>
                <w:rFonts w:ascii="Calibri"/>
                <w:sz w:val="18"/>
              </w:rPr>
              <w:t>made</w:t>
            </w:r>
            <w:r>
              <w:rPr>
                <w:rFonts w:ascii="Calibri"/>
                <w:spacing w:val="-9"/>
                <w:sz w:val="18"/>
              </w:rPr>
              <w:t xml:space="preserve"> </w:t>
            </w:r>
            <w:r>
              <w:rPr>
                <w:rFonts w:ascii="Calibri"/>
                <w:spacing w:val="-1"/>
                <w:sz w:val="18"/>
              </w:rPr>
              <w:t>and</w:t>
            </w:r>
            <w:r>
              <w:rPr>
                <w:rFonts w:ascii="Calibri"/>
                <w:spacing w:val="-7"/>
                <w:sz w:val="18"/>
              </w:rPr>
              <w:t xml:space="preserve"> </w:t>
            </w:r>
            <w:r>
              <w:rPr>
                <w:rFonts w:ascii="Calibri"/>
                <w:spacing w:val="-1"/>
                <w:sz w:val="18"/>
              </w:rPr>
              <w:t>rebate</w:t>
            </w:r>
            <w:r>
              <w:rPr>
                <w:rFonts w:ascii="Calibri"/>
                <w:spacing w:val="-9"/>
                <w:sz w:val="18"/>
              </w:rPr>
              <w:t xml:space="preserve"> </w:t>
            </w:r>
            <w:r>
              <w:rPr>
                <w:rFonts w:ascii="Calibri"/>
                <w:spacing w:val="-1"/>
                <w:sz w:val="18"/>
              </w:rPr>
              <w:t>opportunities</w:t>
            </w:r>
            <w:r>
              <w:rPr>
                <w:rFonts w:ascii="Calibri"/>
                <w:spacing w:val="-9"/>
                <w:sz w:val="18"/>
              </w:rPr>
              <w:t xml:space="preserve"> </w:t>
            </w:r>
            <w:r>
              <w:rPr>
                <w:rFonts w:ascii="Calibri"/>
                <w:spacing w:val="-1"/>
                <w:sz w:val="18"/>
              </w:rPr>
              <w:t>available</w:t>
            </w:r>
            <w:r>
              <w:rPr>
                <w:rFonts w:ascii="Calibri"/>
                <w:spacing w:val="67"/>
                <w:w w:val="99"/>
                <w:sz w:val="18"/>
              </w:rPr>
              <w:t xml:space="preserve"> </w:t>
            </w:r>
            <w:r>
              <w:rPr>
                <w:rFonts w:ascii="Calibri"/>
                <w:spacing w:val="-1"/>
                <w:sz w:val="18"/>
              </w:rPr>
              <w:t>through</w:t>
            </w:r>
            <w:r>
              <w:rPr>
                <w:rFonts w:ascii="Calibri"/>
                <w:spacing w:val="-6"/>
                <w:sz w:val="18"/>
              </w:rPr>
              <w:t xml:space="preserve"> </w:t>
            </w:r>
            <w:r>
              <w:rPr>
                <w:rFonts w:ascii="Calibri"/>
                <w:sz w:val="18"/>
              </w:rPr>
              <w:t>REEP</w:t>
            </w:r>
            <w:r>
              <w:rPr>
                <w:rFonts w:ascii="Calibri"/>
                <w:spacing w:val="-4"/>
                <w:sz w:val="18"/>
              </w:rPr>
              <w:t xml:space="preserve"> </w:t>
            </w:r>
            <w:r>
              <w:rPr>
                <w:rFonts w:ascii="Calibri"/>
                <w:spacing w:val="-1"/>
                <w:sz w:val="18"/>
              </w:rPr>
              <w:t>if</w:t>
            </w:r>
            <w:r>
              <w:rPr>
                <w:rFonts w:ascii="Calibri"/>
                <w:spacing w:val="-4"/>
                <w:sz w:val="18"/>
              </w:rPr>
              <w:t xml:space="preserve"> </w:t>
            </w:r>
            <w:r>
              <w:rPr>
                <w:rFonts w:ascii="Calibri"/>
                <w:spacing w:val="-1"/>
                <w:sz w:val="18"/>
              </w:rPr>
              <w:t>they</w:t>
            </w:r>
            <w:r>
              <w:rPr>
                <w:rFonts w:ascii="Calibri"/>
                <w:spacing w:val="-4"/>
                <w:sz w:val="18"/>
              </w:rPr>
              <w:t xml:space="preserve"> </w:t>
            </w:r>
            <w:r>
              <w:rPr>
                <w:rFonts w:ascii="Calibri"/>
                <w:spacing w:val="-1"/>
                <w:sz w:val="18"/>
              </w:rPr>
              <w:t>have</w:t>
            </w:r>
            <w:r>
              <w:rPr>
                <w:rFonts w:ascii="Calibri"/>
                <w:spacing w:val="-2"/>
                <w:sz w:val="18"/>
              </w:rPr>
              <w:t xml:space="preserve"> </w:t>
            </w:r>
            <w:r>
              <w:rPr>
                <w:rFonts w:ascii="Calibri"/>
                <w:sz w:val="18"/>
              </w:rPr>
              <w:t>not</w:t>
            </w:r>
            <w:r>
              <w:rPr>
                <w:rFonts w:ascii="Calibri"/>
                <w:spacing w:val="-5"/>
                <w:sz w:val="18"/>
              </w:rPr>
              <w:t xml:space="preserve"> </w:t>
            </w:r>
            <w:r>
              <w:rPr>
                <w:rFonts w:ascii="Calibri"/>
                <w:spacing w:val="-1"/>
                <w:sz w:val="18"/>
              </w:rPr>
              <w:t>participated</w:t>
            </w:r>
            <w:r>
              <w:rPr>
                <w:rFonts w:ascii="Calibri"/>
                <w:spacing w:val="-5"/>
                <w:sz w:val="18"/>
              </w:rPr>
              <w:t xml:space="preserve"> </w:t>
            </w:r>
            <w:r>
              <w:rPr>
                <w:rFonts w:ascii="Calibri"/>
                <w:sz w:val="18"/>
              </w:rPr>
              <w:t>as</w:t>
            </w:r>
            <w:r>
              <w:rPr>
                <w:rFonts w:ascii="Calibri"/>
                <w:spacing w:val="37"/>
                <w:w w:val="99"/>
                <w:sz w:val="18"/>
              </w:rPr>
              <w:t xml:space="preserve"> </w:t>
            </w:r>
            <w:r>
              <w:rPr>
                <w:rFonts w:ascii="Calibri"/>
                <w:spacing w:val="-1"/>
                <w:sz w:val="18"/>
              </w:rPr>
              <w:t>recommended.</w:t>
            </w:r>
            <w:r>
              <w:rPr>
                <w:rFonts w:ascii="Calibri"/>
                <w:spacing w:val="-5"/>
                <w:sz w:val="18"/>
              </w:rPr>
              <w:t xml:space="preserve"> </w:t>
            </w:r>
            <w:r>
              <w:rPr>
                <w:rFonts w:ascii="Calibri"/>
                <w:spacing w:val="-1"/>
                <w:sz w:val="18"/>
              </w:rPr>
              <w:t>Also,</w:t>
            </w:r>
            <w:r>
              <w:rPr>
                <w:rFonts w:ascii="Calibri"/>
                <w:spacing w:val="-7"/>
                <w:sz w:val="18"/>
              </w:rPr>
              <w:t xml:space="preserve"> </w:t>
            </w:r>
            <w:r>
              <w:rPr>
                <w:rFonts w:ascii="Calibri"/>
                <w:spacing w:val="-1"/>
                <w:sz w:val="18"/>
              </w:rPr>
              <w:t>consider</w:t>
            </w:r>
            <w:r>
              <w:rPr>
                <w:rFonts w:ascii="Calibri"/>
                <w:spacing w:val="-7"/>
                <w:sz w:val="18"/>
              </w:rPr>
              <w:t xml:space="preserve"> </w:t>
            </w:r>
            <w:r>
              <w:rPr>
                <w:rFonts w:ascii="Calibri"/>
                <w:spacing w:val="-1"/>
                <w:sz w:val="18"/>
              </w:rPr>
              <w:t>conducting</w:t>
            </w:r>
            <w:r>
              <w:rPr>
                <w:rFonts w:ascii="Calibri"/>
                <w:spacing w:val="-8"/>
                <w:sz w:val="18"/>
              </w:rPr>
              <w:t xml:space="preserve"> </w:t>
            </w:r>
            <w:r>
              <w:rPr>
                <w:rFonts w:ascii="Calibri"/>
                <w:spacing w:val="-1"/>
                <w:sz w:val="18"/>
              </w:rPr>
              <w:t>regular</w:t>
            </w:r>
            <w:r>
              <w:rPr>
                <w:rFonts w:ascii="Calibri"/>
                <w:spacing w:val="-4"/>
                <w:sz w:val="18"/>
              </w:rPr>
              <w:t xml:space="preserve"> </w:t>
            </w:r>
            <w:r>
              <w:rPr>
                <w:rFonts w:ascii="Calibri"/>
                <w:spacing w:val="-1"/>
                <w:sz w:val="18"/>
              </w:rPr>
              <w:t>reviews</w:t>
            </w:r>
            <w:r>
              <w:rPr>
                <w:rFonts w:ascii="Calibri"/>
                <w:spacing w:val="-8"/>
                <w:sz w:val="18"/>
              </w:rPr>
              <w:t xml:space="preserve"> </w:t>
            </w:r>
            <w:r>
              <w:rPr>
                <w:rFonts w:ascii="Calibri"/>
                <w:sz w:val="18"/>
              </w:rPr>
              <w:t>of</w:t>
            </w:r>
            <w:r>
              <w:rPr>
                <w:rFonts w:ascii="Calibri"/>
                <w:spacing w:val="63"/>
                <w:w w:val="99"/>
                <w:sz w:val="18"/>
              </w:rPr>
              <w:t xml:space="preserve"> </w:t>
            </w:r>
            <w:r>
              <w:rPr>
                <w:rFonts w:ascii="Calibri"/>
                <w:spacing w:val="-1"/>
                <w:sz w:val="18"/>
              </w:rPr>
              <w:t>program</w:t>
            </w:r>
            <w:r>
              <w:rPr>
                <w:rFonts w:ascii="Calibri"/>
                <w:spacing w:val="-6"/>
                <w:sz w:val="18"/>
              </w:rPr>
              <w:t xml:space="preserve"> </w:t>
            </w:r>
            <w:r>
              <w:rPr>
                <w:rFonts w:ascii="Calibri"/>
                <w:spacing w:val="-1"/>
                <w:sz w:val="18"/>
              </w:rPr>
              <w:t>tracking</w:t>
            </w:r>
            <w:r>
              <w:rPr>
                <w:rFonts w:ascii="Calibri"/>
                <w:spacing w:val="-4"/>
                <w:sz w:val="18"/>
              </w:rPr>
              <w:t xml:space="preserve"> </w:t>
            </w:r>
            <w:r>
              <w:rPr>
                <w:rFonts w:ascii="Calibri"/>
                <w:spacing w:val="-1"/>
                <w:sz w:val="18"/>
              </w:rPr>
              <w:t>data</w:t>
            </w:r>
            <w:r>
              <w:rPr>
                <w:rFonts w:ascii="Calibri"/>
                <w:spacing w:val="-6"/>
                <w:sz w:val="18"/>
              </w:rPr>
              <w:t xml:space="preserve"> </w:t>
            </w:r>
            <w:r>
              <w:rPr>
                <w:rFonts w:ascii="Calibri"/>
                <w:spacing w:val="-1"/>
                <w:sz w:val="18"/>
              </w:rPr>
              <w:t>to</w:t>
            </w:r>
            <w:r>
              <w:rPr>
                <w:rFonts w:ascii="Calibri"/>
                <w:spacing w:val="-5"/>
                <w:sz w:val="18"/>
              </w:rPr>
              <w:t xml:space="preserve"> </w:t>
            </w:r>
            <w:r>
              <w:rPr>
                <w:rFonts w:ascii="Calibri"/>
                <w:spacing w:val="-1"/>
                <w:sz w:val="18"/>
              </w:rPr>
              <w:t>understand</w:t>
            </w:r>
            <w:r>
              <w:rPr>
                <w:rFonts w:ascii="Calibri"/>
                <w:spacing w:val="-6"/>
                <w:sz w:val="18"/>
              </w:rPr>
              <w:t xml:space="preserve"> </w:t>
            </w:r>
            <w:r>
              <w:rPr>
                <w:rFonts w:ascii="Calibri"/>
                <w:sz w:val="18"/>
              </w:rPr>
              <w:t>REEP</w:t>
            </w:r>
            <w:r>
              <w:rPr>
                <w:rFonts w:ascii="Calibri"/>
                <w:spacing w:val="-6"/>
                <w:sz w:val="18"/>
              </w:rPr>
              <w:t xml:space="preserve"> </w:t>
            </w:r>
            <w:r>
              <w:rPr>
                <w:rFonts w:ascii="Calibri"/>
                <w:spacing w:val="-1"/>
                <w:sz w:val="18"/>
              </w:rPr>
              <w:t>Rebate</w:t>
            </w:r>
            <w:r>
              <w:rPr>
                <w:rFonts w:ascii="Calibri"/>
                <w:spacing w:val="-7"/>
                <w:sz w:val="18"/>
              </w:rPr>
              <w:t xml:space="preserve"> </w:t>
            </w:r>
            <w:r>
              <w:rPr>
                <w:rFonts w:ascii="Calibri"/>
                <w:spacing w:val="-1"/>
                <w:sz w:val="18"/>
              </w:rPr>
              <w:t>adoption</w:t>
            </w:r>
            <w:r>
              <w:rPr>
                <w:rFonts w:ascii="Calibri"/>
                <w:spacing w:val="59"/>
                <w:w w:val="99"/>
                <w:sz w:val="18"/>
              </w:rPr>
              <w:t xml:space="preserve"> </w:t>
            </w:r>
            <w:r>
              <w:rPr>
                <w:rFonts w:ascii="Calibri"/>
                <w:spacing w:val="-1"/>
                <w:sz w:val="18"/>
              </w:rPr>
              <w:t>rates</w:t>
            </w:r>
            <w:r>
              <w:rPr>
                <w:rFonts w:ascii="Calibri"/>
                <w:spacing w:val="-7"/>
                <w:sz w:val="18"/>
              </w:rPr>
              <w:t xml:space="preserve"> </w:t>
            </w:r>
            <w:r>
              <w:rPr>
                <w:rFonts w:ascii="Calibri"/>
                <w:sz w:val="18"/>
              </w:rPr>
              <w:t>among</w:t>
            </w:r>
            <w:r>
              <w:rPr>
                <w:rFonts w:ascii="Calibri"/>
                <w:spacing w:val="-6"/>
                <w:sz w:val="18"/>
              </w:rPr>
              <w:t xml:space="preserve"> </w:t>
            </w:r>
            <w:r>
              <w:rPr>
                <w:rFonts w:ascii="Calibri"/>
                <w:sz w:val="18"/>
              </w:rPr>
              <w:t>WHEAP</w:t>
            </w:r>
            <w:r>
              <w:rPr>
                <w:rFonts w:ascii="Calibri"/>
                <w:spacing w:val="-6"/>
                <w:sz w:val="18"/>
              </w:rPr>
              <w:t xml:space="preserve"> </w:t>
            </w:r>
            <w:r>
              <w:rPr>
                <w:rFonts w:ascii="Calibri"/>
                <w:spacing w:val="-1"/>
                <w:sz w:val="18"/>
              </w:rPr>
              <w:t>participants</w:t>
            </w:r>
            <w:r>
              <w:rPr>
                <w:rFonts w:ascii="Calibri"/>
                <w:spacing w:val="-4"/>
                <w:sz w:val="18"/>
              </w:rPr>
              <w:t xml:space="preserve"> </w:t>
            </w:r>
            <w:r>
              <w:rPr>
                <w:rFonts w:ascii="Calibri"/>
                <w:spacing w:val="-1"/>
                <w:sz w:val="18"/>
              </w:rPr>
              <w:t>after</w:t>
            </w:r>
            <w:r>
              <w:rPr>
                <w:rFonts w:ascii="Calibri"/>
                <w:spacing w:val="-7"/>
                <w:sz w:val="18"/>
              </w:rPr>
              <w:t xml:space="preserve"> </w:t>
            </w:r>
            <w:r>
              <w:rPr>
                <w:rFonts w:ascii="Calibri"/>
                <w:spacing w:val="-1"/>
                <w:sz w:val="18"/>
              </w:rPr>
              <w:t>they</w:t>
            </w:r>
            <w:r>
              <w:rPr>
                <w:rFonts w:ascii="Calibri"/>
                <w:spacing w:val="-5"/>
                <w:sz w:val="18"/>
              </w:rPr>
              <w:t xml:space="preserve"> </w:t>
            </w:r>
            <w:r>
              <w:rPr>
                <w:rFonts w:ascii="Calibri"/>
                <w:sz w:val="18"/>
              </w:rPr>
              <w:t>have</w:t>
            </w:r>
            <w:r>
              <w:rPr>
                <w:rFonts w:ascii="Calibri"/>
                <w:spacing w:val="29"/>
                <w:w w:val="99"/>
                <w:sz w:val="18"/>
              </w:rPr>
              <w:t xml:space="preserve"> </w:t>
            </w:r>
            <w:r>
              <w:rPr>
                <w:rFonts w:ascii="Calibri"/>
                <w:spacing w:val="-1"/>
                <w:sz w:val="18"/>
              </w:rPr>
              <w:t>participated</w:t>
            </w:r>
            <w:r>
              <w:rPr>
                <w:rFonts w:ascii="Calibri"/>
                <w:spacing w:val="-9"/>
                <w:sz w:val="18"/>
              </w:rPr>
              <w:t xml:space="preserve"> </w:t>
            </w:r>
            <w:r>
              <w:rPr>
                <w:rFonts w:ascii="Calibri"/>
                <w:sz w:val="18"/>
              </w:rPr>
              <w:t>in</w:t>
            </w:r>
            <w:r>
              <w:rPr>
                <w:rFonts w:ascii="Calibri"/>
                <w:spacing w:val="-9"/>
                <w:sz w:val="18"/>
              </w:rPr>
              <w:t xml:space="preserve"> </w:t>
            </w:r>
            <w:r>
              <w:rPr>
                <w:rFonts w:ascii="Calibri"/>
                <w:sz w:val="18"/>
              </w:rPr>
              <w:t>WHEAP.</w:t>
            </w:r>
          </w:p>
        </w:tc>
        <w:tc>
          <w:tcPr>
            <w:tcW w:w="4680" w:type="dxa"/>
            <w:shd w:val="clear" w:color="auto" w:fill="D2EAF1"/>
          </w:tcPr>
          <w:p w:rsidR="00E646C9" w:rsidRDefault="00E646C9" w:rsidP="00C94D5A">
            <w:pPr>
              <w:pStyle w:val="TableParagraph"/>
              <w:ind w:left="97"/>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E646C9" w:rsidRDefault="00E646C9" w:rsidP="00E646C9"/>
    <w:p w:rsidR="00B32B81" w:rsidRDefault="00B32B81" w:rsidP="00E646C9"/>
    <w:p w:rsidR="00B32B81" w:rsidRPr="00E646C9" w:rsidRDefault="00B32B81" w:rsidP="00E646C9"/>
    <w:p w:rsidR="00E646C9" w:rsidRPr="00E646C9" w:rsidRDefault="00E646C9" w:rsidP="00E646C9">
      <w:pPr>
        <w:pStyle w:val="AppendixGHeading2"/>
      </w:pPr>
      <w:r w:rsidRPr="00E646C9">
        <w:t>Home Energy Reports (HER)</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04"/>
        </w:trPr>
        <w:tc>
          <w:tcPr>
            <w:tcW w:w="4680" w:type="dxa"/>
            <w:shd w:val="clear" w:color="auto" w:fill="438A99"/>
          </w:tcPr>
          <w:p w:rsidR="00E646C9" w:rsidRDefault="00E646C9" w:rsidP="004D470A">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679"/>
        </w:trPr>
        <w:tc>
          <w:tcPr>
            <w:tcW w:w="4680" w:type="dxa"/>
            <w:shd w:val="clear" w:color="auto" w:fill="D2EAF1"/>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spacing w:before="1"/>
              <w:ind w:left="97" w:right="376"/>
              <w:rPr>
                <w:rFonts w:ascii="Calibri" w:eastAsia="Calibri" w:hAnsi="Calibri" w:cs="Calibri"/>
                <w:sz w:val="18"/>
                <w:szCs w:val="18"/>
              </w:rPr>
            </w:pPr>
            <w:r>
              <w:rPr>
                <w:rFonts w:ascii="Calibri"/>
                <w:spacing w:val="-1"/>
                <w:sz w:val="18"/>
              </w:rPr>
              <w:t>No</w:t>
            </w:r>
            <w:r>
              <w:rPr>
                <w:rFonts w:ascii="Calibri"/>
                <w:spacing w:val="-4"/>
                <w:sz w:val="18"/>
              </w:rPr>
              <w:t xml:space="preserve"> </w:t>
            </w:r>
            <w:r>
              <w:rPr>
                <w:rFonts w:ascii="Calibri"/>
                <w:spacing w:val="-1"/>
                <w:sz w:val="18"/>
              </w:rPr>
              <w:t>recommendations</w:t>
            </w:r>
            <w:r>
              <w:rPr>
                <w:rFonts w:ascii="Calibri"/>
                <w:spacing w:val="-6"/>
                <w:sz w:val="18"/>
              </w:rPr>
              <w:t xml:space="preserve"> </w:t>
            </w:r>
            <w:r>
              <w:rPr>
                <w:rFonts w:ascii="Calibri"/>
                <w:sz w:val="18"/>
              </w:rPr>
              <w:t>for</w:t>
            </w:r>
            <w:r>
              <w:rPr>
                <w:rFonts w:ascii="Calibri"/>
                <w:spacing w:val="-6"/>
                <w:sz w:val="18"/>
              </w:rPr>
              <w:t xml:space="preserve"> </w:t>
            </w:r>
            <w:r>
              <w:rPr>
                <w:rFonts w:ascii="Calibri"/>
                <w:sz w:val="18"/>
              </w:rPr>
              <w:t>the</w:t>
            </w:r>
            <w:r>
              <w:rPr>
                <w:rFonts w:ascii="Calibri"/>
                <w:spacing w:val="-6"/>
                <w:sz w:val="18"/>
              </w:rPr>
              <w:t xml:space="preserve"> </w:t>
            </w:r>
            <w:r>
              <w:rPr>
                <w:rFonts w:ascii="Calibri"/>
                <w:sz w:val="18"/>
              </w:rPr>
              <w:t>HER</w:t>
            </w:r>
            <w:r>
              <w:rPr>
                <w:rFonts w:ascii="Calibri"/>
                <w:spacing w:val="-4"/>
                <w:sz w:val="18"/>
              </w:rPr>
              <w:t xml:space="preserve"> </w:t>
            </w:r>
            <w:r>
              <w:rPr>
                <w:rFonts w:ascii="Calibri"/>
                <w:spacing w:val="-1"/>
                <w:sz w:val="18"/>
              </w:rPr>
              <w:t>program</w:t>
            </w:r>
            <w:r>
              <w:rPr>
                <w:rFonts w:ascii="Calibri"/>
                <w:spacing w:val="-5"/>
                <w:sz w:val="18"/>
              </w:rPr>
              <w:t xml:space="preserve"> </w:t>
            </w:r>
            <w:r>
              <w:rPr>
                <w:rFonts w:ascii="Calibri"/>
                <w:spacing w:val="-1"/>
                <w:sz w:val="18"/>
              </w:rPr>
              <w:t>are</w:t>
            </w:r>
            <w:r>
              <w:rPr>
                <w:rFonts w:ascii="Calibri"/>
                <w:spacing w:val="-6"/>
                <w:sz w:val="18"/>
              </w:rPr>
              <w:t xml:space="preserve"> </w:t>
            </w:r>
            <w:r>
              <w:rPr>
                <w:rFonts w:ascii="Calibri"/>
                <w:spacing w:val="-1"/>
                <w:sz w:val="18"/>
              </w:rPr>
              <w:t>offered</w:t>
            </w:r>
            <w:r>
              <w:rPr>
                <w:rFonts w:ascii="Calibri"/>
                <w:spacing w:val="-6"/>
                <w:sz w:val="18"/>
              </w:rPr>
              <w:t xml:space="preserve"> </w:t>
            </w:r>
            <w:r>
              <w:rPr>
                <w:rFonts w:ascii="Calibri"/>
                <w:sz w:val="18"/>
              </w:rPr>
              <w:t>at</w:t>
            </w:r>
            <w:r>
              <w:rPr>
                <w:rFonts w:ascii="Calibri"/>
                <w:spacing w:val="47"/>
                <w:w w:val="99"/>
                <w:sz w:val="18"/>
              </w:rPr>
              <w:t xml:space="preserve"> </w:t>
            </w:r>
            <w:r>
              <w:rPr>
                <w:rFonts w:ascii="Calibri"/>
                <w:spacing w:val="-1"/>
                <w:sz w:val="18"/>
              </w:rPr>
              <w:t>this</w:t>
            </w:r>
            <w:r>
              <w:rPr>
                <w:rFonts w:ascii="Calibri"/>
                <w:spacing w:val="-7"/>
                <w:sz w:val="18"/>
              </w:rPr>
              <w:t xml:space="preserve"> </w:t>
            </w:r>
            <w:r>
              <w:rPr>
                <w:rFonts w:ascii="Calibri"/>
                <w:spacing w:val="-1"/>
                <w:sz w:val="18"/>
              </w:rPr>
              <w:t>time.</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N/A</w:t>
            </w:r>
          </w:p>
        </w:tc>
      </w:tr>
    </w:tbl>
    <w:p w:rsidR="00E646C9" w:rsidRPr="00E646C9" w:rsidRDefault="00E646C9" w:rsidP="00E646C9"/>
    <w:p w:rsidR="00E646C9" w:rsidRPr="00E646C9" w:rsidRDefault="00E646C9" w:rsidP="00E646C9">
      <w:pPr>
        <w:pStyle w:val="AppendixGHeading2"/>
      </w:pPr>
      <w:r w:rsidRPr="00E646C9">
        <w:t xml:space="preserve">Low-Income Energy Efficiency Program </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13"/>
        </w:trPr>
        <w:tc>
          <w:tcPr>
            <w:tcW w:w="4680" w:type="dxa"/>
            <w:shd w:val="clear" w:color="auto" w:fill="438A99"/>
          </w:tcPr>
          <w:p w:rsidR="00E646C9" w:rsidRDefault="00E646C9" w:rsidP="004D470A">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2657"/>
        </w:trPr>
        <w:tc>
          <w:tcPr>
            <w:tcW w:w="4680" w:type="dxa"/>
            <w:shd w:val="clear" w:color="auto" w:fill="D2EAF1"/>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ind w:left="97" w:right="123"/>
              <w:rPr>
                <w:rFonts w:ascii="Calibri" w:eastAsia="Calibri" w:hAnsi="Calibri" w:cs="Calibri"/>
                <w:sz w:val="18"/>
                <w:szCs w:val="18"/>
              </w:rPr>
            </w:pPr>
            <w:r>
              <w:rPr>
                <w:rFonts w:ascii="Calibri"/>
                <w:spacing w:val="-1"/>
                <w:sz w:val="18"/>
              </w:rPr>
              <w:t>For</w:t>
            </w:r>
            <w:r>
              <w:rPr>
                <w:rFonts w:ascii="Calibri"/>
                <w:spacing w:val="-6"/>
                <w:sz w:val="18"/>
              </w:rPr>
              <w:t xml:space="preserve"> </w:t>
            </w:r>
            <w:r>
              <w:rPr>
                <w:rFonts w:ascii="Calibri"/>
                <w:spacing w:val="-1"/>
                <w:sz w:val="18"/>
              </w:rPr>
              <w:t>fulfillments</w:t>
            </w:r>
            <w:r>
              <w:rPr>
                <w:rFonts w:ascii="Calibri"/>
                <w:spacing w:val="-6"/>
                <w:sz w:val="18"/>
              </w:rPr>
              <w:t xml:space="preserve"> </w:t>
            </w:r>
            <w:r>
              <w:rPr>
                <w:rFonts w:ascii="Calibri"/>
                <w:sz w:val="18"/>
              </w:rPr>
              <w:t>through</w:t>
            </w:r>
            <w:r>
              <w:rPr>
                <w:rFonts w:ascii="Calibri"/>
                <w:spacing w:val="-6"/>
                <w:sz w:val="18"/>
              </w:rPr>
              <w:t xml:space="preserve"> </w:t>
            </w:r>
            <w:r>
              <w:rPr>
                <w:rFonts w:ascii="Calibri"/>
                <w:sz w:val="18"/>
              </w:rPr>
              <w:t>WHEAP,</w:t>
            </w:r>
            <w:r>
              <w:rPr>
                <w:rFonts w:ascii="Calibri"/>
                <w:spacing w:val="-7"/>
                <w:sz w:val="18"/>
              </w:rPr>
              <w:t xml:space="preserve"> </w:t>
            </w:r>
            <w:r>
              <w:rPr>
                <w:rFonts w:ascii="Calibri"/>
                <w:spacing w:val="-1"/>
                <w:sz w:val="18"/>
              </w:rPr>
              <w:t>Duquesne</w:t>
            </w:r>
            <w:r>
              <w:rPr>
                <w:rFonts w:ascii="Calibri"/>
                <w:spacing w:val="-5"/>
                <w:sz w:val="18"/>
              </w:rPr>
              <w:t xml:space="preserve"> </w:t>
            </w:r>
            <w:r>
              <w:rPr>
                <w:rFonts w:ascii="Calibri"/>
                <w:spacing w:val="-1"/>
                <w:sz w:val="18"/>
              </w:rPr>
              <w:t>Light</w:t>
            </w:r>
            <w:r>
              <w:rPr>
                <w:rFonts w:ascii="Calibri"/>
                <w:spacing w:val="-6"/>
                <w:sz w:val="18"/>
              </w:rPr>
              <w:t xml:space="preserve"> </w:t>
            </w:r>
            <w:r>
              <w:rPr>
                <w:rFonts w:ascii="Calibri"/>
                <w:sz w:val="18"/>
              </w:rPr>
              <w:t>was</w:t>
            </w:r>
            <w:r>
              <w:rPr>
                <w:rFonts w:ascii="Calibri"/>
                <w:spacing w:val="-5"/>
                <w:sz w:val="18"/>
              </w:rPr>
              <w:t xml:space="preserve"> </w:t>
            </w:r>
            <w:r>
              <w:rPr>
                <w:rFonts w:ascii="Calibri"/>
                <w:sz w:val="18"/>
              </w:rPr>
              <w:t>able</w:t>
            </w:r>
            <w:r>
              <w:rPr>
                <w:rFonts w:ascii="Calibri"/>
                <w:spacing w:val="-6"/>
                <w:sz w:val="18"/>
              </w:rPr>
              <w:t xml:space="preserve"> </w:t>
            </w:r>
            <w:r>
              <w:rPr>
                <w:rFonts w:ascii="Calibri"/>
                <w:spacing w:val="-1"/>
                <w:sz w:val="18"/>
              </w:rPr>
              <w:t>to</w:t>
            </w:r>
            <w:r>
              <w:rPr>
                <w:rFonts w:ascii="Calibri"/>
                <w:spacing w:val="41"/>
                <w:w w:val="99"/>
                <w:sz w:val="18"/>
              </w:rPr>
              <w:t xml:space="preserve"> </w:t>
            </w:r>
            <w:r>
              <w:rPr>
                <w:rFonts w:ascii="Calibri"/>
                <w:spacing w:val="-1"/>
                <w:sz w:val="18"/>
              </w:rPr>
              <w:t>maintain</w:t>
            </w:r>
            <w:r>
              <w:rPr>
                <w:rFonts w:ascii="Calibri"/>
                <w:spacing w:val="-8"/>
                <w:sz w:val="18"/>
              </w:rPr>
              <w:t xml:space="preserve"> </w:t>
            </w:r>
            <w:r>
              <w:rPr>
                <w:rFonts w:ascii="Calibri"/>
                <w:spacing w:val="-1"/>
                <w:sz w:val="18"/>
              </w:rPr>
              <w:t>refrigerator</w:t>
            </w:r>
            <w:r>
              <w:rPr>
                <w:rFonts w:ascii="Calibri"/>
                <w:spacing w:val="-7"/>
                <w:sz w:val="18"/>
              </w:rPr>
              <w:t xml:space="preserve"> </w:t>
            </w:r>
            <w:r>
              <w:rPr>
                <w:rFonts w:ascii="Calibri"/>
                <w:spacing w:val="-1"/>
                <w:sz w:val="18"/>
              </w:rPr>
              <w:t>replacement</w:t>
            </w:r>
            <w:r>
              <w:rPr>
                <w:rFonts w:ascii="Calibri"/>
                <w:spacing w:val="-7"/>
                <w:sz w:val="18"/>
              </w:rPr>
              <w:t xml:space="preserve"> </w:t>
            </w:r>
            <w:r>
              <w:rPr>
                <w:rFonts w:ascii="Calibri"/>
                <w:spacing w:val="-1"/>
                <w:sz w:val="18"/>
              </w:rPr>
              <w:t>lead</w:t>
            </w:r>
            <w:r>
              <w:rPr>
                <w:rFonts w:ascii="Calibri"/>
                <w:spacing w:val="-7"/>
                <w:sz w:val="18"/>
              </w:rPr>
              <w:t xml:space="preserve"> </w:t>
            </w:r>
            <w:r>
              <w:rPr>
                <w:rFonts w:ascii="Calibri"/>
                <w:spacing w:val="-1"/>
                <w:sz w:val="18"/>
              </w:rPr>
              <w:t>times,</w:t>
            </w:r>
            <w:r>
              <w:rPr>
                <w:rFonts w:ascii="Calibri"/>
                <w:spacing w:val="-7"/>
                <w:sz w:val="18"/>
              </w:rPr>
              <w:t xml:space="preserve"> </w:t>
            </w:r>
            <w:r>
              <w:rPr>
                <w:rFonts w:ascii="Calibri"/>
                <w:spacing w:val="-1"/>
                <w:sz w:val="18"/>
              </w:rPr>
              <w:t>but</w:t>
            </w:r>
            <w:r>
              <w:rPr>
                <w:rFonts w:ascii="Calibri"/>
                <w:spacing w:val="-5"/>
                <w:sz w:val="18"/>
              </w:rPr>
              <w:t xml:space="preserve"> </w:t>
            </w:r>
            <w:r>
              <w:rPr>
                <w:rFonts w:ascii="Calibri"/>
                <w:spacing w:val="-1"/>
                <w:sz w:val="18"/>
              </w:rPr>
              <w:t>Navigant</w:t>
            </w:r>
            <w:r>
              <w:rPr>
                <w:rFonts w:ascii="Calibri"/>
                <w:spacing w:val="71"/>
                <w:w w:val="99"/>
                <w:sz w:val="18"/>
              </w:rPr>
              <w:t xml:space="preserve"> </w:t>
            </w:r>
            <w:r>
              <w:rPr>
                <w:rFonts w:ascii="Calibri"/>
                <w:spacing w:val="-1"/>
                <w:sz w:val="18"/>
              </w:rPr>
              <w:t>notes</w:t>
            </w:r>
            <w:r>
              <w:rPr>
                <w:rFonts w:ascii="Calibri"/>
                <w:spacing w:val="-6"/>
                <w:sz w:val="18"/>
              </w:rPr>
              <w:t xml:space="preserve"> </w:t>
            </w:r>
            <w:r>
              <w:rPr>
                <w:rFonts w:ascii="Calibri"/>
                <w:spacing w:val="-1"/>
                <w:sz w:val="18"/>
              </w:rPr>
              <w:t>that</w:t>
            </w:r>
            <w:r>
              <w:rPr>
                <w:rFonts w:ascii="Calibri"/>
                <w:spacing w:val="-6"/>
                <w:sz w:val="18"/>
              </w:rPr>
              <w:t xml:space="preserve"> </w:t>
            </w:r>
            <w:r>
              <w:rPr>
                <w:rFonts w:ascii="Calibri"/>
                <w:sz w:val="18"/>
              </w:rPr>
              <w:t>the</w:t>
            </w:r>
            <w:r>
              <w:rPr>
                <w:rFonts w:ascii="Calibri"/>
                <w:spacing w:val="-6"/>
                <w:sz w:val="18"/>
              </w:rPr>
              <w:t xml:space="preserve"> </w:t>
            </w:r>
            <w:r>
              <w:rPr>
                <w:rFonts w:ascii="Calibri"/>
                <w:spacing w:val="-1"/>
                <w:sz w:val="18"/>
              </w:rPr>
              <w:t>program</w:t>
            </w:r>
            <w:r>
              <w:rPr>
                <w:rFonts w:ascii="Calibri"/>
                <w:spacing w:val="-5"/>
                <w:sz w:val="18"/>
              </w:rPr>
              <w:t xml:space="preserve"> </w:t>
            </w:r>
            <w:r>
              <w:rPr>
                <w:rFonts w:ascii="Calibri"/>
                <w:spacing w:val="-1"/>
                <w:sz w:val="18"/>
              </w:rPr>
              <w:t>activities</w:t>
            </w:r>
            <w:r>
              <w:rPr>
                <w:rFonts w:ascii="Calibri"/>
                <w:spacing w:val="-4"/>
                <w:sz w:val="18"/>
              </w:rPr>
              <w:t xml:space="preserve"> </w:t>
            </w:r>
            <w:r>
              <w:rPr>
                <w:rFonts w:ascii="Calibri"/>
                <w:spacing w:val="-1"/>
                <w:sz w:val="18"/>
              </w:rPr>
              <w:t>were</w:t>
            </w:r>
            <w:r>
              <w:rPr>
                <w:rFonts w:ascii="Calibri"/>
                <w:spacing w:val="-6"/>
                <w:sz w:val="18"/>
              </w:rPr>
              <w:t xml:space="preserve"> </w:t>
            </w:r>
            <w:r>
              <w:rPr>
                <w:rFonts w:ascii="Calibri"/>
                <w:spacing w:val="-1"/>
                <w:sz w:val="18"/>
              </w:rPr>
              <w:t>limited,</w:t>
            </w:r>
            <w:r>
              <w:rPr>
                <w:rFonts w:ascii="Calibri"/>
                <w:spacing w:val="-5"/>
                <w:sz w:val="18"/>
              </w:rPr>
              <w:t xml:space="preserve"> </w:t>
            </w:r>
            <w:r>
              <w:rPr>
                <w:rFonts w:ascii="Calibri"/>
                <w:spacing w:val="-1"/>
                <w:sz w:val="18"/>
              </w:rPr>
              <w:t>thereby</w:t>
            </w:r>
            <w:r>
              <w:rPr>
                <w:rFonts w:ascii="Calibri"/>
                <w:spacing w:val="55"/>
                <w:w w:val="99"/>
                <w:sz w:val="18"/>
              </w:rPr>
              <w:t xml:space="preserve"> </w:t>
            </w:r>
            <w:r>
              <w:rPr>
                <w:rFonts w:ascii="Calibri"/>
                <w:spacing w:val="-1"/>
                <w:sz w:val="18"/>
              </w:rPr>
              <w:t>reducing</w:t>
            </w:r>
            <w:r>
              <w:rPr>
                <w:rFonts w:ascii="Calibri"/>
                <w:spacing w:val="-6"/>
                <w:sz w:val="18"/>
              </w:rPr>
              <w:t xml:space="preserve"> </w:t>
            </w:r>
            <w:r>
              <w:rPr>
                <w:rFonts w:ascii="Calibri"/>
                <w:sz w:val="18"/>
              </w:rPr>
              <w:t>the</w:t>
            </w:r>
            <w:r>
              <w:rPr>
                <w:rFonts w:ascii="Calibri"/>
                <w:spacing w:val="-6"/>
                <w:sz w:val="18"/>
              </w:rPr>
              <w:t xml:space="preserve"> </w:t>
            </w:r>
            <w:r>
              <w:rPr>
                <w:rFonts w:ascii="Calibri"/>
                <w:spacing w:val="-1"/>
                <w:sz w:val="18"/>
              </w:rPr>
              <w:t>potential</w:t>
            </w:r>
            <w:r>
              <w:rPr>
                <w:rFonts w:ascii="Calibri"/>
                <w:spacing w:val="-5"/>
                <w:sz w:val="18"/>
              </w:rPr>
              <w:t xml:space="preserve"> </w:t>
            </w:r>
            <w:r>
              <w:rPr>
                <w:rFonts w:ascii="Calibri"/>
                <w:sz w:val="18"/>
              </w:rPr>
              <w:t>for</w:t>
            </w:r>
            <w:r>
              <w:rPr>
                <w:rFonts w:ascii="Calibri"/>
                <w:spacing w:val="-6"/>
                <w:sz w:val="18"/>
              </w:rPr>
              <w:t xml:space="preserve"> </w:t>
            </w:r>
            <w:r>
              <w:rPr>
                <w:rFonts w:ascii="Calibri"/>
                <w:spacing w:val="-1"/>
                <w:sz w:val="18"/>
              </w:rPr>
              <w:t>backlog</w:t>
            </w:r>
            <w:r>
              <w:rPr>
                <w:rFonts w:ascii="Calibri"/>
                <w:spacing w:val="-5"/>
                <w:sz w:val="18"/>
              </w:rPr>
              <w:t xml:space="preserve"> </w:t>
            </w:r>
            <w:r>
              <w:rPr>
                <w:rFonts w:ascii="Calibri"/>
                <w:spacing w:val="-1"/>
                <w:sz w:val="18"/>
              </w:rPr>
              <w:t>issues.</w:t>
            </w:r>
            <w:r>
              <w:rPr>
                <w:rFonts w:ascii="Calibri"/>
                <w:spacing w:val="-5"/>
                <w:sz w:val="18"/>
              </w:rPr>
              <w:t xml:space="preserve"> </w:t>
            </w:r>
            <w:r>
              <w:rPr>
                <w:rFonts w:ascii="Calibri"/>
                <w:sz w:val="18"/>
              </w:rPr>
              <w:t>During</w:t>
            </w:r>
            <w:r>
              <w:rPr>
                <w:rFonts w:ascii="Calibri"/>
                <w:spacing w:val="-5"/>
                <w:sz w:val="18"/>
              </w:rPr>
              <w:t xml:space="preserve"> </w:t>
            </w:r>
            <w:r>
              <w:rPr>
                <w:rFonts w:ascii="Calibri"/>
                <w:spacing w:val="-1"/>
                <w:sz w:val="18"/>
              </w:rPr>
              <w:t>Phase</w:t>
            </w:r>
            <w:r>
              <w:rPr>
                <w:rFonts w:ascii="Calibri"/>
                <w:spacing w:val="-6"/>
                <w:sz w:val="18"/>
              </w:rPr>
              <w:t xml:space="preserve"> </w:t>
            </w:r>
            <w:r>
              <w:rPr>
                <w:rFonts w:ascii="Calibri"/>
                <w:sz w:val="18"/>
              </w:rPr>
              <w:t>III,</w:t>
            </w:r>
            <w:r>
              <w:rPr>
                <w:rFonts w:ascii="Calibri"/>
                <w:spacing w:val="49"/>
                <w:w w:val="99"/>
                <w:sz w:val="18"/>
              </w:rPr>
              <w:t xml:space="preserve"> </w:t>
            </w:r>
            <w:r>
              <w:rPr>
                <w:rFonts w:ascii="Calibri"/>
                <w:spacing w:val="-1"/>
                <w:sz w:val="18"/>
              </w:rPr>
              <w:t>Duquesne</w:t>
            </w:r>
            <w:r>
              <w:rPr>
                <w:rFonts w:ascii="Calibri"/>
                <w:spacing w:val="-7"/>
                <w:sz w:val="18"/>
              </w:rPr>
              <w:t xml:space="preserve"> </w:t>
            </w:r>
            <w:r>
              <w:rPr>
                <w:rFonts w:ascii="Calibri"/>
                <w:spacing w:val="-1"/>
                <w:sz w:val="18"/>
              </w:rPr>
              <w:t>Light</w:t>
            </w:r>
            <w:r>
              <w:rPr>
                <w:rFonts w:ascii="Calibri"/>
                <w:spacing w:val="-5"/>
                <w:sz w:val="18"/>
              </w:rPr>
              <w:t xml:space="preserve"> </w:t>
            </w:r>
            <w:r>
              <w:rPr>
                <w:rFonts w:ascii="Calibri"/>
                <w:spacing w:val="-1"/>
                <w:sz w:val="18"/>
              </w:rPr>
              <w:t>should</w:t>
            </w:r>
            <w:r>
              <w:rPr>
                <w:rFonts w:ascii="Calibri"/>
                <w:spacing w:val="-7"/>
                <w:sz w:val="18"/>
              </w:rPr>
              <w:t xml:space="preserve"> </w:t>
            </w:r>
            <w:r>
              <w:rPr>
                <w:rFonts w:ascii="Calibri"/>
                <w:spacing w:val="-1"/>
                <w:sz w:val="18"/>
              </w:rPr>
              <w:t>monitor</w:t>
            </w:r>
            <w:r>
              <w:rPr>
                <w:rFonts w:ascii="Calibri"/>
                <w:spacing w:val="-7"/>
                <w:sz w:val="18"/>
              </w:rPr>
              <w:t xml:space="preserve"> </w:t>
            </w:r>
            <w:r>
              <w:rPr>
                <w:rFonts w:ascii="Calibri"/>
                <w:spacing w:val="-1"/>
                <w:sz w:val="18"/>
              </w:rPr>
              <w:t>replacement</w:t>
            </w:r>
            <w:r>
              <w:rPr>
                <w:rFonts w:ascii="Calibri"/>
                <w:spacing w:val="-6"/>
                <w:sz w:val="18"/>
              </w:rPr>
              <w:t xml:space="preserve"> </w:t>
            </w:r>
            <w:r>
              <w:rPr>
                <w:rFonts w:ascii="Calibri"/>
                <w:spacing w:val="-1"/>
                <w:sz w:val="18"/>
              </w:rPr>
              <w:t>lead</w:t>
            </w:r>
            <w:r>
              <w:rPr>
                <w:rFonts w:ascii="Calibri"/>
                <w:spacing w:val="-6"/>
                <w:sz w:val="18"/>
              </w:rPr>
              <w:t xml:space="preserve"> </w:t>
            </w:r>
            <w:r>
              <w:rPr>
                <w:rFonts w:ascii="Calibri"/>
                <w:spacing w:val="-1"/>
                <w:sz w:val="18"/>
              </w:rPr>
              <w:t>times,</w:t>
            </w:r>
            <w:r>
              <w:rPr>
                <w:rFonts w:ascii="Calibri"/>
                <w:spacing w:val="67"/>
                <w:w w:val="99"/>
                <w:sz w:val="18"/>
              </w:rPr>
              <w:t xml:space="preserve"> </w:t>
            </w:r>
            <w:r>
              <w:rPr>
                <w:rFonts w:ascii="Calibri"/>
                <w:spacing w:val="-1"/>
                <w:sz w:val="18"/>
              </w:rPr>
              <w:t>particularly</w:t>
            </w:r>
            <w:r>
              <w:rPr>
                <w:rFonts w:ascii="Calibri"/>
                <w:spacing w:val="-5"/>
                <w:sz w:val="18"/>
              </w:rPr>
              <w:t xml:space="preserve"> </w:t>
            </w:r>
            <w:r>
              <w:rPr>
                <w:rFonts w:ascii="Calibri"/>
                <w:spacing w:val="1"/>
                <w:sz w:val="18"/>
              </w:rPr>
              <w:t>as</w:t>
            </w:r>
            <w:r>
              <w:rPr>
                <w:rFonts w:ascii="Calibri"/>
                <w:spacing w:val="-5"/>
                <w:sz w:val="18"/>
              </w:rPr>
              <w:t xml:space="preserve"> </w:t>
            </w:r>
            <w:r>
              <w:rPr>
                <w:rFonts w:ascii="Calibri"/>
                <w:spacing w:val="-1"/>
                <w:sz w:val="18"/>
              </w:rPr>
              <w:t>activities</w:t>
            </w:r>
            <w:r>
              <w:rPr>
                <w:rFonts w:ascii="Calibri"/>
                <w:spacing w:val="-5"/>
                <w:sz w:val="18"/>
              </w:rPr>
              <w:t xml:space="preserve"> </w:t>
            </w:r>
            <w:r>
              <w:rPr>
                <w:rFonts w:ascii="Calibri"/>
                <w:spacing w:val="-1"/>
                <w:sz w:val="18"/>
              </w:rPr>
              <w:t>ramp</w:t>
            </w:r>
            <w:r>
              <w:rPr>
                <w:rFonts w:ascii="Calibri"/>
                <w:spacing w:val="-5"/>
                <w:sz w:val="18"/>
              </w:rPr>
              <w:t xml:space="preserve"> </w:t>
            </w:r>
            <w:r>
              <w:rPr>
                <w:rFonts w:ascii="Calibri"/>
                <w:sz w:val="18"/>
              </w:rPr>
              <w:t>up.</w:t>
            </w:r>
            <w:r>
              <w:rPr>
                <w:rFonts w:ascii="Calibri"/>
                <w:spacing w:val="-3"/>
                <w:sz w:val="18"/>
              </w:rPr>
              <w:t xml:space="preserve"> </w:t>
            </w:r>
            <w:r>
              <w:rPr>
                <w:rFonts w:ascii="Calibri"/>
                <w:sz w:val="18"/>
              </w:rPr>
              <w:t>If</w:t>
            </w:r>
            <w:r>
              <w:rPr>
                <w:rFonts w:ascii="Calibri"/>
                <w:spacing w:val="-4"/>
                <w:sz w:val="18"/>
              </w:rPr>
              <w:t xml:space="preserve"> </w:t>
            </w:r>
            <w:r>
              <w:rPr>
                <w:rFonts w:ascii="Calibri"/>
                <w:spacing w:val="-1"/>
                <w:sz w:val="18"/>
              </w:rPr>
              <w:t>issues</w:t>
            </w:r>
            <w:r>
              <w:rPr>
                <w:rFonts w:ascii="Calibri"/>
                <w:spacing w:val="-5"/>
                <w:sz w:val="18"/>
              </w:rPr>
              <w:t xml:space="preserve"> </w:t>
            </w:r>
            <w:r>
              <w:rPr>
                <w:rFonts w:ascii="Calibri"/>
                <w:spacing w:val="-1"/>
                <w:sz w:val="18"/>
              </w:rPr>
              <w:t>are</w:t>
            </w:r>
            <w:r>
              <w:rPr>
                <w:rFonts w:ascii="Calibri"/>
                <w:spacing w:val="-5"/>
                <w:sz w:val="18"/>
              </w:rPr>
              <w:t xml:space="preserve"> </w:t>
            </w:r>
            <w:r>
              <w:rPr>
                <w:rFonts w:ascii="Calibri"/>
                <w:spacing w:val="-1"/>
                <w:sz w:val="18"/>
              </w:rPr>
              <w:t>detected,</w:t>
            </w:r>
            <w:r>
              <w:rPr>
                <w:rFonts w:ascii="Calibri"/>
                <w:spacing w:val="-4"/>
                <w:sz w:val="18"/>
              </w:rPr>
              <w:t xml:space="preserve"> </w:t>
            </w:r>
            <w:r>
              <w:rPr>
                <w:rFonts w:ascii="Calibri"/>
                <w:spacing w:val="-1"/>
                <w:sz w:val="18"/>
              </w:rPr>
              <w:t>then</w:t>
            </w:r>
            <w:r>
              <w:rPr>
                <w:rFonts w:ascii="Calibri"/>
                <w:spacing w:val="57"/>
                <w:w w:val="99"/>
                <w:sz w:val="18"/>
              </w:rPr>
              <w:t xml:space="preserve"> </w:t>
            </w:r>
            <w:r>
              <w:rPr>
                <w:rFonts w:ascii="Calibri"/>
                <w:spacing w:val="-1"/>
                <w:sz w:val="18"/>
              </w:rPr>
              <w:t>the</w:t>
            </w:r>
            <w:r>
              <w:rPr>
                <w:rFonts w:ascii="Calibri"/>
                <w:spacing w:val="-6"/>
                <w:sz w:val="18"/>
              </w:rPr>
              <w:t xml:space="preserve"> </w:t>
            </w:r>
            <w:r>
              <w:rPr>
                <w:rFonts w:ascii="Calibri"/>
                <w:spacing w:val="-1"/>
                <w:sz w:val="18"/>
              </w:rPr>
              <w:t>program</w:t>
            </w:r>
            <w:r>
              <w:rPr>
                <w:rFonts w:ascii="Calibri"/>
                <w:spacing w:val="-5"/>
                <w:sz w:val="18"/>
              </w:rPr>
              <w:t xml:space="preserve"> </w:t>
            </w:r>
            <w:r>
              <w:rPr>
                <w:rFonts w:ascii="Calibri"/>
                <w:spacing w:val="-1"/>
                <w:sz w:val="18"/>
              </w:rPr>
              <w:t>manager</w:t>
            </w:r>
            <w:r>
              <w:rPr>
                <w:rFonts w:ascii="Calibri"/>
                <w:spacing w:val="-6"/>
                <w:sz w:val="18"/>
              </w:rPr>
              <w:t xml:space="preserve"> </w:t>
            </w:r>
            <w:r>
              <w:rPr>
                <w:rFonts w:ascii="Calibri"/>
                <w:sz w:val="18"/>
              </w:rPr>
              <w:t>work</w:t>
            </w:r>
            <w:r>
              <w:rPr>
                <w:rFonts w:ascii="Calibri"/>
                <w:spacing w:val="-5"/>
                <w:sz w:val="18"/>
              </w:rPr>
              <w:t xml:space="preserve"> </w:t>
            </w:r>
            <w:r>
              <w:rPr>
                <w:rFonts w:ascii="Calibri"/>
                <w:spacing w:val="-1"/>
                <w:sz w:val="18"/>
              </w:rPr>
              <w:t>to</w:t>
            </w:r>
            <w:r>
              <w:rPr>
                <w:rFonts w:ascii="Calibri"/>
                <w:spacing w:val="-4"/>
                <w:sz w:val="18"/>
              </w:rPr>
              <w:t xml:space="preserve"> </w:t>
            </w:r>
            <w:r>
              <w:rPr>
                <w:rFonts w:ascii="Calibri"/>
                <w:spacing w:val="-1"/>
                <w:sz w:val="18"/>
              </w:rPr>
              <w:t>address</w:t>
            </w:r>
            <w:r>
              <w:rPr>
                <w:rFonts w:ascii="Calibri"/>
                <w:spacing w:val="-6"/>
                <w:sz w:val="18"/>
              </w:rPr>
              <w:t xml:space="preserve"> </w:t>
            </w:r>
            <w:r>
              <w:rPr>
                <w:rFonts w:ascii="Calibri"/>
                <w:spacing w:val="-1"/>
                <w:sz w:val="18"/>
              </w:rPr>
              <w:t>the</w:t>
            </w:r>
            <w:r>
              <w:rPr>
                <w:rFonts w:ascii="Calibri"/>
                <w:spacing w:val="-3"/>
                <w:sz w:val="18"/>
              </w:rPr>
              <w:t xml:space="preserve"> </w:t>
            </w:r>
            <w:r>
              <w:rPr>
                <w:rFonts w:ascii="Calibri"/>
                <w:spacing w:val="-1"/>
                <w:sz w:val="18"/>
              </w:rPr>
              <w:t>situation,</w:t>
            </w:r>
            <w:r>
              <w:rPr>
                <w:rFonts w:ascii="Calibri"/>
                <w:spacing w:val="-4"/>
                <w:sz w:val="18"/>
              </w:rPr>
              <w:t xml:space="preserve"> </w:t>
            </w:r>
            <w:r>
              <w:rPr>
                <w:rFonts w:ascii="Calibri"/>
                <w:spacing w:val="-1"/>
                <w:sz w:val="18"/>
              </w:rPr>
              <w:t>making</w:t>
            </w:r>
            <w:r>
              <w:rPr>
                <w:rFonts w:ascii="Calibri"/>
                <w:spacing w:val="59"/>
                <w:w w:val="99"/>
                <w:sz w:val="18"/>
              </w:rPr>
              <w:t xml:space="preserve"> </w:t>
            </w:r>
            <w:r>
              <w:rPr>
                <w:rFonts w:ascii="Calibri"/>
                <w:spacing w:val="-1"/>
                <w:sz w:val="18"/>
              </w:rPr>
              <w:t>sure</w:t>
            </w:r>
            <w:r>
              <w:rPr>
                <w:rFonts w:ascii="Calibri"/>
                <w:spacing w:val="-6"/>
                <w:sz w:val="18"/>
              </w:rPr>
              <w:t xml:space="preserve"> </w:t>
            </w:r>
            <w:r>
              <w:rPr>
                <w:rFonts w:ascii="Calibri"/>
                <w:spacing w:val="-1"/>
                <w:sz w:val="18"/>
              </w:rPr>
              <w:t>to</w:t>
            </w:r>
            <w:r>
              <w:rPr>
                <w:rFonts w:ascii="Calibri"/>
                <w:spacing w:val="-4"/>
                <w:sz w:val="18"/>
              </w:rPr>
              <w:t xml:space="preserve"> </w:t>
            </w:r>
            <w:r>
              <w:rPr>
                <w:rFonts w:ascii="Calibri"/>
                <w:spacing w:val="-1"/>
                <w:sz w:val="18"/>
              </w:rPr>
              <w:t>communicate</w:t>
            </w:r>
            <w:r>
              <w:rPr>
                <w:rFonts w:ascii="Calibri"/>
                <w:spacing w:val="-6"/>
                <w:sz w:val="18"/>
              </w:rPr>
              <w:t xml:space="preserve"> </w:t>
            </w:r>
            <w:r>
              <w:rPr>
                <w:rFonts w:ascii="Calibri"/>
                <w:spacing w:val="-1"/>
                <w:sz w:val="18"/>
              </w:rPr>
              <w:t>with</w:t>
            </w:r>
            <w:r>
              <w:rPr>
                <w:rFonts w:ascii="Calibri"/>
                <w:spacing w:val="-4"/>
                <w:sz w:val="18"/>
              </w:rPr>
              <w:t xml:space="preserve"> </w:t>
            </w:r>
            <w:r>
              <w:rPr>
                <w:rFonts w:ascii="Calibri"/>
                <w:spacing w:val="-1"/>
                <w:sz w:val="18"/>
              </w:rPr>
              <w:t>participants,</w:t>
            </w:r>
            <w:r>
              <w:rPr>
                <w:rFonts w:ascii="Calibri"/>
                <w:spacing w:val="-5"/>
                <w:sz w:val="18"/>
              </w:rPr>
              <w:t xml:space="preserve"> </w:t>
            </w:r>
            <w:r>
              <w:rPr>
                <w:rFonts w:ascii="Calibri"/>
                <w:spacing w:val="-1"/>
                <w:sz w:val="18"/>
              </w:rPr>
              <w:t>so</w:t>
            </w:r>
            <w:r>
              <w:rPr>
                <w:rFonts w:ascii="Calibri"/>
                <w:spacing w:val="-3"/>
                <w:sz w:val="18"/>
              </w:rPr>
              <w:t xml:space="preserve"> </w:t>
            </w:r>
            <w:r>
              <w:rPr>
                <w:rFonts w:ascii="Calibri"/>
                <w:spacing w:val="-1"/>
                <w:sz w:val="18"/>
              </w:rPr>
              <w:t>that</w:t>
            </w:r>
            <w:r>
              <w:rPr>
                <w:rFonts w:ascii="Calibri"/>
                <w:spacing w:val="-6"/>
                <w:sz w:val="18"/>
              </w:rPr>
              <w:t xml:space="preserve"> </w:t>
            </w:r>
            <w:r>
              <w:rPr>
                <w:rFonts w:ascii="Calibri"/>
                <w:sz w:val="18"/>
              </w:rPr>
              <w:t>any</w:t>
            </w:r>
            <w:r>
              <w:rPr>
                <w:rFonts w:ascii="Calibri"/>
                <w:spacing w:val="-4"/>
                <w:sz w:val="18"/>
              </w:rPr>
              <w:t xml:space="preserve"> </w:t>
            </w:r>
            <w:r>
              <w:rPr>
                <w:rFonts w:ascii="Calibri"/>
                <w:spacing w:val="-1"/>
                <w:sz w:val="18"/>
              </w:rPr>
              <w:t>negative</w:t>
            </w:r>
            <w:r>
              <w:rPr>
                <w:rFonts w:ascii="Calibri"/>
                <w:spacing w:val="57"/>
                <w:w w:val="99"/>
                <w:sz w:val="18"/>
              </w:rPr>
              <w:t xml:space="preserve"> </w:t>
            </w:r>
            <w:r>
              <w:rPr>
                <w:rFonts w:ascii="Calibri"/>
                <w:spacing w:val="-1"/>
                <w:sz w:val="18"/>
              </w:rPr>
              <w:t>impacts</w:t>
            </w:r>
            <w:r>
              <w:rPr>
                <w:rFonts w:ascii="Calibri"/>
                <w:spacing w:val="-6"/>
                <w:sz w:val="18"/>
              </w:rPr>
              <w:t xml:space="preserve"> </w:t>
            </w:r>
            <w:r>
              <w:rPr>
                <w:rFonts w:ascii="Calibri"/>
                <w:sz w:val="18"/>
              </w:rPr>
              <w:t>on</w:t>
            </w:r>
            <w:r>
              <w:rPr>
                <w:rFonts w:ascii="Calibri"/>
                <w:spacing w:val="-6"/>
                <w:sz w:val="18"/>
              </w:rPr>
              <w:t xml:space="preserve"> </w:t>
            </w:r>
            <w:r>
              <w:rPr>
                <w:rFonts w:ascii="Calibri"/>
                <w:spacing w:val="-1"/>
                <w:sz w:val="18"/>
              </w:rPr>
              <w:t>satisfaction</w:t>
            </w:r>
            <w:r>
              <w:rPr>
                <w:rFonts w:ascii="Calibri"/>
                <w:spacing w:val="-6"/>
                <w:sz w:val="18"/>
              </w:rPr>
              <w:t xml:space="preserve"> </w:t>
            </w:r>
            <w:r>
              <w:rPr>
                <w:rFonts w:ascii="Calibri"/>
                <w:sz w:val="18"/>
              </w:rPr>
              <w:t>from</w:t>
            </w:r>
            <w:r>
              <w:rPr>
                <w:rFonts w:ascii="Calibri"/>
                <w:spacing w:val="-5"/>
                <w:sz w:val="18"/>
              </w:rPr>
              <w:t xml:space="preserve"> </w:t>
            </w:r>
            <w:r>
              <w:rPr>
                <w:rFonts w:ascii="Calibri"/>
                <w:sz w:val="18"/>
              </w:rPr>
              <w:t>the</w:t>
            </w:r>
            <w:r>
              <w:rPr>
                <w:rFonts w:ascii="Calibri"/>
                <w:spacing w:val="-3"/>
                <w:sz w:val="18"/>
              </w:rPr>
              <w:t xml:space="preserve"> </w:t>
            </w:r>
            <w:r>
              <w:rPr>
                <w:rFonts w:ascii="Calibri"/>
                <w:spacing w:val="-1"/>
                <w:sz w:val="18"/>
              </w:rPr>
              <w:t>delays</w:t>
            </w:r>
            <w:r>
              <w:rPr>
                <w:rFonts w:ascii="Calibri"/>
                <w:spacing w:val="-6"/>
                <w:sz w:val="18"/>
              </w:rPr>
              <w:t xml:space="preserve"> </w:t>
            </w:r>
            <w:r>
              <w:rPr>
                <w:rFonts w:ascii="Calibri"/>
                <w:sz w:val="18"/>
              </w:rPr>
              <w:t>are</w:t>
            </w:r>
            <w:r>
              <w:rPr>
                <w:rFonts w:ascii="Calibri"/>
                <w:spacing w:val="-6"/>
                <w:sz w:val="18"/>
              </w:rPr>
              <w:t xml:space="preserve"> </w:t>
            </w:r>
            <w:r>
              <w:rPr>
                <w:rFonts w:ascii="Calibri"/>
                <w:spacing w:val="-1"/>
                <w:sz w:val="18"/>
              </w:rPr>
              <w:t>minimized.</w:t>
            </w:r>
          </w:p>
          <w:p w:rsidR="00E646C9" w:rsidRDefault="00E646C9" w:rsidP="00C94D5A">
            <w:pPr>
              <w:pStyle w:val="TableParagraph"/>
              <w:ind w:left="97" w:right="244"/>
              <w:rPr>
                <w:rFonts w:ascii="Calibri" w:eastAsia="Calibri" w:hAnsi="Calibri" w:cs="Calibri"/>
                <w:sz w:val="18"/>
                <w:szCs w:val="18"/>
              </w:rPr>
            </w:pPr>
            <w:r>
              <w:rPr>
                <w:rFonts w:ascii="Calibri"/>
                <w:spacing w:val="-1"/>
                <w:sz w:val="18"/>
              </w:rPr>
              <w:t>Navigant</w:t>
            </w:r>
            <w:r>
              <w:rPr>
                <w:rFonts w:ascii="Calibri"/>
                <w:spacing w:val="-5"/>
                <w:sz w:val="18"/>
              </w:rPr>
              <w:t xml:space="preserve"> </w:t>
            </w:r>
            <w:r>
              <w:rPr>
                <w:rFonts w:ascii="Calibri"/>
                <w:sz w:val="18"/>
              </w:rPr>
              <w:t>found</w:t>
            </w:r>
            <w:r>
              <w:rPr>
                <w:rFonts w:ascii="Calibri"/>
                <w:spacing w:val="-5"/>
                <w:sz w:val="18"/>
              </w:rPr>
              <w:t xml:space="preserve"> </w:t>
            </w:r>
            <w:r>
              <w:rPr>
                <w:rFonts w:ascii="Calibri"/>
                <w:spacing w:val="-1"/>
                <w:sz w:val="18"/>
              </w:rPr>
              <w:t>in</w:t>
            </w:r>
            <w:r>
              <w:rPr>
                <w:rFonts w:ascii="Calibri"/>
                <w:spacing w:val="-5"/>
                <w:sz w:val="18"/>
              </w:rPr>
              <w:t xml:space="preserve"> </w:t>
            </w:r>
            <w:r>
              <w:rPr>
                <w:rFonts w:ascii="Calibri"/>
                <w:sz w:val="18"/>
              </w:rPr>
              <w:t>PY6</w:t>
            </w:r>
            <w:r>
              <w:rPr>
                <w:rFonts w:ascii="Calibri"/>
                <w:spacing w:val="-3"/>
                <w:sz w:val="18"/>
              </w:rPr>
              <w:t xml:space="preserve"> </w:t>
            </w:r>
            <w:r>
              <w:rPr>
                <w:rFonts w:ascii="Calibri"/>
                <w:spacing w:val="-1"/>
                <w:sz w:val="18"/>
              </w:rPr>
              <w:t>that</w:t>
            </w:r>
            <w:r>
              <w:rPr>
                <w:rFonts w:ascii="Calibri"/>
                <w:spacing w:val="-5"/>
                <w:sz w:val="18"/>
              </w:rPr>
              <w:t xml:space="preserve"> </w:t>
            </w:r>
            <w:r>
              <w:rPr>
                <w:rFonts w:ascii="Calibri"/>
                <w:sz w:val="18"/>
              </w:rPr>
              <w:t>these</w:t>
            </w:r>
            <w:r>
              <w:rPr>
                <w:rFonts w:ascii="Calibri"/>
                <w:spacing w:val="-2"/>
                <w:sz w:val="18"/>
              </w:rPr>
              <w:t xml:space="preserve"> </w:t>
            </w:r>
            <w:r>
              <w:rPr>
                <w:rFonts w:ascii="Calibri"/>
                <w:spacing w:val="-1"/>
                <w:sz w:val="18"/>
              </w:rPr>
              <w:t>backlogs</w:t>
            </w:r>
            <w:r>
              <w:rPr>
                <w:rFonts w:ascii="Calibri"/>
                <w:spacing w:val="-5"/>
                <w:sz w:val="18"/>
              </w:rPr>
              <w:t xml:space="preserve"> </w:t>
            </w:r>
            <w:r>
              <w:rPr>
                <w:rFonts w:ascii="Calibri"/>
                <w:spacing w:val="-1"/>
                <w:sz w:val="18"/>
              </w:rPr>
              <w:t>and</w:t>
            </w:r>
            <w:r>
              <w:rPr>
                <w:rFonts w:ascii="Calibri"/>
                <w:spacing w:val="-4"/>
                <w:sz w:val="18"/>
              </w:rPr>
              <w:t xml:space="preserve"> </w:t>
            </w:r>
            <w:r>
              <w:rPr>
                <w:rFonts w:ascii="Calibri"/>
                <w:spacing w:val="-1"/>
                <w:sz w:val="18"/>
              </w:rPr>
              <w:t>lack</w:t>
            </w:r>
            <w:r>
              <w:rPr>
                <w:rFonts w:ascii="Calibri"/>
                <w:spacing w:val="-4"/>
                <w:sz w:val="18"/>
              </w:rPr>
              <w:t xml:space="preserve"> </w:t>
            </w:r>
            <w:r>
              <w:rPr>
                <w:rFonts w:ascii="Calibri"/>
                <w:sz w:val="18"/>
              </w:rPr>
              <w:t>of</w:t>
            </w:r>
            <w:r>
              <w:rPr>
                <w:rFonts w:ascii="Calibri"/>
                <w:spacing w:val="45"/>
                <w:w w:val="99"/>
                <w:sz w:val="18"/>
              </w:rPr>
              <w:t xml:space="preserve"> </w:t>
            </w:r>
            <w:r>
              <w:rPr>
                <w:rFonts w:ascii="Calibri"/>
                <w:spacing w:val="-1"/>
                <w:sz w:val="18"/>
              </w:rPr>
              <w:t>communication</w:t>
            </w:r>
            <w:r>
              <w:rPr>
                <w:rFonts w:ascii="Calibri"/>
                <w:spacing w:val="-8"/>
                <w:sz w:val="18"/>
              </w:rPr>
              <w:t xml:space="preserve"> </w:t>
            </w:r>
            <w:r>
              <w:rPr>
                <w:rFonts w:ascii="Calibri"/>
                <w:spacing w:val="-1"/>
                <w:sz w:val="18"/>
              </w:rPr>
              <w:t>were</w:t>
            </w:r>
            <w:r>
              <w:rPr>
                <w:rFonts w:ascii="Calibri"/>
                <w:spacing w:val="-7"/>
                <w:sz w:val="18"/>
              </w:rPr>
              <w:t xml:space="preserve"> </w:t>
            </w:r>
            <w:r>
              <w:rPr>
                <w:rFonts w:ascii="Calibri"/>
                <w:sz w:val="18"/>
              </w:rPr>
              <w:t>a</w:t>
            </w:r>
            <w:r>
              <w:rPr>
                <w:rFonts w:ascii="Calibri"/>
                <w:spacing w:val="-6"/>
                <w:sz w:val="18"/>
              </w:rPr>
              <w:t xml:space="preserve"> </w:t>
            </w:r>
            <w:r>
              <w:rPr>
                <w:rFonts w:ascii="Calibri"/>
                <w:spacing w:val="-1"/>
                <w:sz w:val="18"/>
              </w:rPr>
              <w:t>significant</w:t>
            </w:r>
            <w:r>
              <w:rPr>
                <w:rFonts w:ascii="Calibri"/>
                <w:spacing w:val="-7"/>
                <w:sz w:val="18"/>
              </w:rPr>
              <w:t xml:space="preserve"> </w:t>
            </w:r>
            <w:r>
              <w:rPr>
                <w:rFonts w:ascii="Calibri"/>
                <w:spacing w:val="-1"/>
                <w:sz w:val="18"/>
              </w:rPr>
              <w:t>source</w:t>
            </w:r>
            <w:r>
              <w:rPr>
                <w:rFonts w:ascii="Calibri"/>
                <w:spacing w:val="-8"/>
                <w:sz w:val="18"/>
              </w:rPr>
              <w:t xml:space="preserve"> </w:t>
            </w:r>
            <w:r>
              <w:rPr>
                <w:rFonts w:ascii="Calibri"/>
                <w:sz w:val="18"/>
              </w:rPr>
              <w:t>of</w:t>
            </w:r>
            <w:r>
              <w:rPr>
                <w:rFonts w:ascii="Calibri"/>
                <w:spacing w:val="-6"/>
                <w:sz w:val="18"/>
              </w:rPr>
              <w:t xml:space="preserve"> </w:t>
            </w:r>
            <w:r>
              <w:rPr>
                <w:rFonts w:ascii="Calibri"/>
                <w:spacing w:val="-1"/>
                <w:sz w:val="18"/>
              </w:rPr>
              <w:t>dissatisfaction.</w:t>
            </w:r>
          </w:p>
        </w:tc>
        <w:tc>
          <w:tcPr>
            <w:tcW w:w="4680" w:type="dxa"/>
            <w:shd w:val="clear" w:color="auto" w:fill="D2EAF1"/>
          </w:tcPr>
          <w:p w:rsidR="00E646C9" w:rsidRDefault="00E646C9" w:rsidP="00C94D5A">
            <w:pPr>
              <w:pStyle w:val="TableParagraph"/>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3B56E9" w:rsidRDefault="003B56E9" w:rsidP="00E646C9"/>
    <w:p w:rsidR="00E646C9" w:rsidRPr="00B04FB4" w:rsidRDefault="00E646C9" w:rsidP="00C94D5A">
      <w:pPr>
        <w:pStyle w:val="AppendixGHeading2"/>
      </w:pPr>
      <w:r w:rsidRPr="00B04FB4">
        <w:t>Commercial</w:t>
      </w:r>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812"/>
          <w:tblHeader/>
        </w:trPr>
        <w:tc>
          <w:tcPr>
            <w:tcW w:w="4680" w:type="dxa"/>
            <w:shd w:val="clear" w:color="auto" w:fill="438A99"/>
          </w:tcPr>
          <w:p w:rsidR="00E646C9" w:rsidRDefault="00E646C9" w:rsidP="00B40F47">
            <w:pPr>
              <w:pStyle w:val="TableParagraph"/>
              <w:spacing w:before="120"/>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spacing w:before="123"/>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C94D5A">
        <w:trPr>
          <w:trHeight w:hRule="exact" w:val="4025"/>
        </w:trPr>
        <w:tc>
          <w:tcPr>
            <w:tcW w:w="4680" w:type="dxa"/>
            <w:shd w:val="clear" w:color="auto" w:fill="D2EAF1"/>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spacing w:before="1"/>
              <w:ind w:left="97" w:right="500"/>
              <w:rPr>
                <w:rFonts w:ascii="Calibri" w:eastAsia="Calibri" w:hAnsi="Calibri" w:cs="Calibri"/>
                <w:sz w:val="18"/>
                <w:szCs w:val="18"/>
              </w:rPr>
            </w:pPr>
            <w:r>
              <w:rPr>
                <w:rFonts w:ascii="Calibri"/>
                <w:spacing w:val="-1"/>
                <w:sz w:val="18"/>
              </w:rPr>
              <w:t>Monitor</w:t>
            </w:r>
            <w:r>
              <w:rPr>
                <w:rFonts w:ascii="Calibri"/>
                <w:spacing w:val="-7"/>
                <w:sz w:val="18"/>
              </w:rPr>
              <w:t xml:space="preserve"> </w:t>
            </w:r>
            <w:r>
              <w:rPr>
                <w:rFonts w:ascii="Calibri"/>
                <w:spacing w:val="-1"/>
                <w:sz w:val="18"/>
              </w:rPr>
              <w:t>participant</w:t>
            </w:r>
            <w:r>
              <w:rPr>
                <w:rFonts w:ascii="Calibri"/>
                <w:spacing w:val="-6"/>
                <w:sz w:val="18"/>
              </w:rPr>
              <w:t xml:space="preserve"> </w:t>
            </w:r>
            <w:r>
              <w:rPr>
                <w:rFonts w:ascii="Calibri"/>
                <w:spacing w:val="-1"/>
                <w:sz w:val="18"/>
              </w:rPr>
              <w:t>satisfaction</w:t>
            </w:r>
            <w:r>
              <w:rPr>
                <w:rFonts w:ascii="Calibri"/>
                <w:spacing w:val="-7"/>
                <w:sz w:val="18"/>
              </w:rPr>
              <w:t xml:space="preserve"> </w:t>
            </w:r>
            <w:r>
              <w:rPr>
                <w:rFonts w:ascii="Calibri"/>
                <w:spacing w:val="-1"/>
                <w:sz w:val="18"/>
              </w:rPr>
              <w:t>with</w:t>
            </w:r>
            <w:r>
              <w:rPr>
                <w:rFonts w:ascii="Calibri"/>
                <w:spacing w:val="-6"/>
                <w:sz w:val="18"/>
              </w:rPr>
              <w:t xml:space="preserve"> </w:t>
            </w:r>
            <w:r>
              <w:rPr>
                <w:rFonts w:ascii="Calibri"/>
                <w:spacing w:val="-1"/>
                <w:sz w:val="18"/>
              </w:rPr>
              <w:t>the</w:t>
            </w:r>
            <w:r>
              <w:rPr>
                <w:rFonts w:ascii="Calibri"/>
                <w:spacing w:val="-7"/>
                <w:sz w:val="18"/>
              </w:rPr>
              <w:t xml:space="preserve"> </w:t>
            </w:r>
            <w:r>
              <w:rPr>
                <w:rFonts w:ascii="Calibri"/>
                <w:sz w:val="18"/>
              </w:rPr>
              <w:t>time</w:t>
            </w:r>
            <w:r>
              <w:rPr>
                <w:rFonts w:ascii="Calibri"/>
                <w:spacing w:val="-6"/>
                <w:sz w:val="18"/>
              </w:rPr>
              <w:t xml:space="preserve"> </w:t>
            </w:r>
            <w:r>
              <w:rPr>
                <w:rFonts w:ascii="Calibri"/>
                <w:spacing w:val="-1"/>
                <w:sz w:val="18"/>
              </w:rPr>
              <w:t>frame</w:t>
            </w:r>
            <w:r>
              <w:rPr>
                <w:rFonts w:ascii="Calibri"/>
                <w:spacing w:val="59"/>
                <w:w w:val="99"/>
                <w:sz w:val="18"/>
              </w:rPr>
              <w:t xml:space="preserve"> </w:t>
            </w:r>
            <w:r>
              <w:rPr>
                <w:rFonts w:ascii="Calibri"/>
                <w:spacing w:val="-1"/>
                <w:sz w:val="18"/>
              </w:rPr>
              <w:t>required</w:t>
            </w:r>
            <w:r>
              <w:rPr>
                <w:rFonts w:ascii="Calibri"/>
                <w:spacing w:val="-6"/>
                <w:sz w:val="18"/>
              </w:rPr>
              <w:t xml:space="preserve"> </w:t>
            </w:r>
            <w:r>
              <w:rPr>
                <w:rFonts w:ascii="Calibri"/>
                <w:sz w:val="18"/>
              </w:rPr>
              <w:t>for</w:t>
            </w:r>
            <w:r>
              <w:rPr>
                <w:rFonts w:ascii="Calibri"/>
                <w:spacing w:val="-5"/>
                <w:sz w:val="18"/>
              </w:rPr>
              <w:t xml:space="preserve"> </w:t>
            </w:r>
            <w:r>
              <w:rPr>
                <w:rFonts w:ascii="Calibri"/>
                <w:spacing w:val="-1"/>
                <w:sz w:val="18"/>
              </w:rPr>
              <w:t>them</w:t>
            </w:r>
            <w:r>
              <w:rPr>
                <w:rFonts w:ascii="Calibri"/>
                <w:spacing w:val="-4"/>
                <w:sz w:val="18"/>
              </w:rPr>
              <w:t xml:space="preserve"> </w:t>
            </w:r>
            <w:r>
              <w:rPr>
                <w:rFonts w:ascii="Calibri"/>
                <w:spacing w:val="-1"/>
                <w:sz w:val="18"/>
              </w:rPr>
              <w:t>to</w:t>
            </w:r>
            <w:r>
              <w:rPr>
                <w:rFonts w:ascii="Calibri"/>
                <w:spacing w:val="-4"/>
                <w:sz w:val="18"/>
              </w:rPr>
              <w:t xml:space="preserve"> </w:t>
            </w:r>
            <w:r>
              <w:rPr>
                <w:rFonts w:ascii="Calibri"/>
                <w:spacing w:val="-1"/>
                <w:sz w:val="18"/>
              </w:rPr>
              <w:t>receive</w:t>
            </w:r>
            <w:r>
              <w:rPr>
                <w:rFonts w:ascii="Calibri"/>
                <w:spacing w:val="-5"/>
                <w:sz w:val="18"/>
              </w:rPr>
              <w:t xml:space="preserve"> </w:t>
            </w:r>
            <w:r>
              <w:rPr>
                <w:rFonts w:ascii="Calibri"/>
                <w:sz w:val="18"/>
              </w:rPr>
              <w:t>their</w:t>
            </w:r>
            <w:r>
              <w:rPr>
                <w:rFonts w:ascii="Calibri"/>
                <w:spacing w:val="-5"/>
                <w:sz w:val="18"/>
              </w:rPr>
              <w:t xml:space="preserve"> </w:t>
            </w:r>
            <w:r>
              <w:rPr>
                <w:rFonts w:ascii="Calibri"/>
                <w:spacing w:val="-1"/>
                <w:sz w:val="18"/>
              </w:rPr>
              <w:t>rebate</w:t>
            </w:r>
            <w:r>
              <w:rPr>
                <w:rFonts w:ascii="Calibri"/>
                <w:spacing w:val="-5"/>
                <w:sz w:val="18"/>
              </w:rPr>
              <w:t xml:space="preserve"> </w:t>
            </w:r>
            <w:r>
              <w:rPr>
                <w:rFonts w:ascii="Calibri"/>
                <w:spacing w:val="-1"/>
                <w:sz w:val="18"/>
              </w:rPr>
              <w:t>checks,</w:t>
            </w:r>
            <w:r>
              <w:rPr>
                <w:rFonts w:ascii="Calibri"/>
                <w:spacing w:val="-5"/>
                <w:sz w:val="18"/>
              </w:rPr>
              <w:t xml:space="preserve"> </w:t>
            </w:r>
            <w:r>
              <w:rPr>
                <w:rFonts w:ascii="Calibri"/>
                <w:spacing w:val="-1"/>
                <w:sz w:val="18"/>
              </w:rPr>
              <w:t>and</w:t>
            </w:r>
            <w:r>
              <w:rPr>
                <w:rFonts w:ascii="Calibri"/>
                <w:spacing w:val="43"/>
                <w:w w:val="99"/>
                <w:sz w:val="18"/>
              </w:rPr>
              <w:t xml:space="preserve"> </w:t>
            </w:r>
            <w:r>
              <w:rPr>
                <w:rFonts w:ascii="Calibri"/>
                <w:spacing w:val="-1"/>
                <w:sz w:val="18"/>
              </w:rPr>
              <w:t>determine</w:t>
            </w:r>
            <w:r>
              <w:rPr>
                <w:rFonts w:ascii="Calibri"/>
                <w:spacing w:val="-9"/>
                <w:sz w:val="18"/>
              </w:rPr>
              <w:t xml:space="preserve"> </w:t>
            </w:r>
            <w:r>
              <w:rPr>
                <w:rFonts w:ascii="Calibri"/>
                <w:spacing w:val="-1"/>
                <w:sz w:val="18"/>
              </w:rPr>
              <w:t>whether</w:t>
            </w:r>
            <w:r>
              <w:rPr>
                <w:rFonts w:ascii="Calibri"/>
                <w:spacing w:val="-6"/>
                <w:sz w:val="18"/>
              </w:rPr>
              <w:t xml:space="preserve"> </w:t>
            </w:r>
            <w:r>
              <w:rPr>
                <w:rFonts w:ascii="Calibri"/>
                <w:spacing w:val="-1"/>
                <w:sz w:val="18"/>
              </w:rPr>
              <w:t>participants</w:t>
            </w:r>
            <w:r>
              <w:rPr>
                <w:rFonts w:ascii="Calibri"/>
                <w:spacing w:val="-7"/>
                <w:sz w:val="18"/>
              </w:rPr>
              <w:t xml:space="preserve"> </w:t>
            </w:r>
            <w:r>
              <w:rPr>
                <w:rFonts w:ascii="Calibri"/>
                <w:spacing w:val="-1"/>
                <w:sz w:val="18"/>
              </w:rPr>
              <w:t>have</w:t>
            </w:r>
            <w:r>
              <w:rPr>
                <w:rFonts w:ascii="Calibri"/>
                <w:spacing w:val="-9"/>
                <w:sz w:val="18"/>
              </w:rPr>
              <w:t xml:space="preserve"> </w:t>
            </w:r>
            <w:r>
              <w:rPr>
                <w:rFonts w:ascii="Calibri"/>
                <w:spacing w:val="-1"/>
                <w:sz w:val="18"/>
              </w:rPr>
              <w:t>unrealistic</w:t>
            </w:r>
            <w:r>
              <w:rPr>
                <w:rFonts w:ascii="Calibri"/>
                <w:spacing w:val="51"/>
                <w:w w:val="99"/>
                <w:sz w:val="18"/>
              </w:rPr>
              <w:t xml:space="preserve"> </w:t>
            </w:r>
            <w:r>
              <w:rPr>
                <w:rFonts w:ascii="Calibri"/>
                <w:spacing w:val="-1"/>
                <w:sz w:val="18"/>
              </w:rPr>
              <w:t>expectations</w:t>
            </w:r>
            <w:r>
              <w:rPr>
                <w:rFonts w:ascii="Calibri"/>
                <w:spacing w:val="-7"/>
                <w:sz w:val="18"/>
              </w:rPr>
              <w:t xml:space="preserve"> </w:t>
            </w:r>
            <w:r>
              <w:rPr>
                <w:rFonts w:ascii="Calibri"/>
                <w:spacing w:val="-1"/>
                <w:sz w:val="18"/>
              </w:rPr>
              <w:t>regarding</w:t>
            </w:r>
            <w:r>
              <w:rPr>
                <w:rFonts w:ascii="Calibri"/>
                <w:spacing w:val="-7"/>
                <w:sz w:val="18"/>
              </w:rPr>
              <w:t xml:space="preserve"> </w:t>
            </w:r>
            <w:r>
              <w:rPr>
                <w:rFonts w:ascii="Calibri"/>
                <w:sz w:val="18"/>
              </w:rPr>
              <w:t>the</w:t>
            </w:r>
            <w:r>
              <w:rPr>
                <w:rFonts w:ascii="Calibri"/>
                <w:spacing w:val="-7"/>
                <w:sz w:val="18"/>
              </w:rPr>
              <w:t xml:space="preserve"> </w:t>
            </w:r>
            <w:r>
              <w:rPr>
                <w:rFonts w:ascii="Calibri"/>
                <w:spacing w:val="-1"/>
                <w:sz w:val="18"/>
              </w:rPr>
              <w:t>probable</w:t>
            </w:r>
            <w:r>
              <w:rPr>
                <w:rFonts w:ascii="Calibri"/>
                <w:spacing w:val="-7"/>
                <w:sz w:val="18"/>
              </w:rPr>
              <w:t xml:space="preserve"> </w:t>
            </w:r>
            <w:r>
              <w:rPr>
                <w:rFonts w:ascii="Calibri"/>
                <w:spacing w:val="-1"/>
                <w:sz w:val="18"/>
              </w:rPr>
              <w:t>timing</w:t>
            </w:r>
            <w:r>
              <w:rPr>
                <w:rFonts w:ascii="Calibri"/>
                <w:spacing w:val="-7"/>
                <w:sz w:val="18"/>
              </w:rPr>
              <w:t xml:space="preserve"> </w:t>
            </w:r>
            <w:r>
              <w:rPr>
                <w:rFonts w:ascii="Calibri"/>
                <w:sz w:val="18"/>
              </w:rPr>
              <w:t>of</w:t>
            </w:r>
            <w:r>
              <w:rPr>
                <w:rFonts w:ascii="Calibri"/>
                <w:spacing w:val="-6"/>
                <w:sz w:val="18"/>
              </w:rPr>
              <w:t xml:space="preserve"> </w:t>
            </w:r>
            <w:r>
              <w:rPr>
                <w:rFonts w:ascii="Calibri"/>
                <w:spacing w:val="-1"/>
                <w:sz w:val="18"/>
              </w:rPr>
              <w:t>receiving these</w:t>
            </w:r>
            <w:r>
              <w:rPr>
                <w:rFonts w:ascii="Calibri"/>
                <w:spacing w:val="-7"/>
                <w:sz w:val="18"/>
              </w:rPr>
              <w:t xml:space="preserve"> </w:t>
            </w:r>
            <w:r>
              <w:rPr>
                <w:rFonts w:ascii="Calibri"/>
                <w:spacing w:val="-1"/>
                <w:sz w:val="18"/>
              </w:rPr>
              <w:t>payments.</w:t>
            </w:r>
            <w:r>
              <w:rPr>
                <w:rFonts w:ascii="Calibri"/>
                <w:spacing w:val="-5"/>
                <w:sz w:val="18"/>
              </w:rPr>
              <w:t xml:space="preserve"> </w:t>
            </w:r>
            <w:r>
              <w:rPr>
                <w:rFonts w:ascii="Calibri"/>
                <w:sz w:val="18"/>
              </w:rPr>
              <w:t>If</w:t>
            </w:r>
            <w:r>
              <w:rPr>
                <w:rFonts w:ascii="Calibri"/>
                <w:spacing w:val="-5"/>
                <w:sz w:val="18"/>
              </w:rPr>
              <w:t xml:space="preserve"> </w:t>
            </w:r>
            <w:r>
              <w:rPr>
                <w:rFonts w:ascii="Calibri"/>
                <w:sz w:val="18"/>
              </w:rPr>
              <w:t>a</w:t>
            </w:r>
            <w:r>
              <w:rPr>
                <w:rFonts w:ascii="Calibri"/>
                <w:spacing w:val="-5"/>
                <w:sz w:val="18"/>
              </w:rPr>
              <w:t xml:space="preserve"> </w:t>
            </w:r>
            <w:r>
              <w:rPr>
                <w:rFonts w:ascii="Calibri"/>
                <w:spacing w:val="-1"/>
                <w:sz w:val="18"/>
              </w:rPr>
              <w:t>substantial</w:t>
            </w:r>
            <w:r>
              <w:rPr>
                <w:rFonts w:ascii="Calibri"/>
                <w:spacing w:val="-6"/>
                <w:sz w:val="18"/>
              </w:rPr>
              <w:t xml:space="preserve"> </w:t>
            </w:r>
            <w:r>
              <w:rPr>
                <w:rFonts w:ascii="Calibri"/>
                <w:spacing w:val="-1"/>
                <w:sz w:val="18"/>
              </w:rPr>
              <w:t>number</w:t>
            </w:r>
            <w:r>
              <w:rPr>
                <w:rFonts w:ascii="Calibri"/>
                <w:spacing w:val="-6"/>
                <w:sz w:val="18"/>
              </w:rPr>
              <w:t xml:space="preserve"> </w:t>
            </w:r>
            <w:r>
              <w:rPr>
                <w:rFonts w:ascii="Calibri"/>
                <w:sz w:val="18"/>
              </w:rPr>
              <w:t>of</w:t>
            </w:r>
            <w:r>
              <w:rPr>
                <w:rFonts w:ascii="Calibri"/>
                <w:spacing w:val="-5"/>
                <w:sz w:val="18"/>
              </w:rPr>
              <w:t xml:space="preserve"> </w:t>
            </w:r>
            <w:r>
              <w:rPr>
                <w:rFonts w:ascii="Calibri"/>
                <w:spacing w:val="-1"/>
                <w:sz w:val="18"/>
              </w:rPr>
              <w:t>participants</w:t>
            </w:r>
            <w:r>
              <w:rPr>
                <w:rFonts w:ascii="Calibri"/>
                <w:spacing w:val="65"/>
                <w:w w:val="99"/>
                <w:sz w:val="18"/>
              </w:rPr>
              <w:t xml:space="preserve"> </w:t>
            </w:r>
            <w:r>
              <w:rPr>
                <w:rFonts w:ascii="Calibri"/>
                <w:spacing w:val="-1"/>
                <w:sz w:val="18"/>
              </w:rPr>
              <w:t>identify</w:t>
            </w:r>
            <w:r>
              <w:rPr>
                <w:rFonts w:ascii="Calibri"/>
                <w:spacing w:val="-4"/>
                <w:sz w:val="18"/>
              </w:rPr>
              <w:t xml:space="preserve"> </w:t>
            </w:r>
            <w:r>
              <w:rPr>
                <w:rFonts w:ascii="Calibri"/>
                <w:spacing w:val="-1"/>
                <w:sz w:val="18"/>
              </w:rPr>
              <w:t>this</w:t>
            </w:r>
            <w:r>
              <w:rPr>
                <w:rFonts w:ascii="Calibri"/>
                <w:spacing w:val="-5"/>
                <w:sz w:val="18"/>
              </w:rPr>
              <w:t xml:space="preserve"> </w:t>
            </w:r>
            <w:r>
              <w:rPr>
                <w:rFonts w:ascii="Calibri"/>
                <w:sz w:val="18"/>
              </w:rPr>
              <w:t>as</w:t>
            </w:r>
            <w:r>
              <w:rPr>
                <w:rFonts w:ascii="Calibri"/>
                <w:spacing w:val="-4"/>
                <w:sz w:val="18"/>
              </w:rPr>
              <w:t xml:space="preserve"> </w:t>
            </w:r>
            <w:r>
              <w:rPr>
                <w:rFonts w:ascii="Calibri"/>
                <w:sz w:val="18"/>
              </w:rPr>
              <w:t>an</w:t>
            </w:r>
            <w:r>
              <w:rPr>
                <w:rFonts w:ascii="Calibri"/>
                <w:spacing w:val="-5"/>
                <w:sz w:val="18"/>
              </w:rPr>
              <w:t xml:space="preserve"> </w:t>
            </w:r>
            <w:r>
              <w:rPr>
                <w:rFonts w:ascii="Calibri"/>
                <w:sz w:val="18"/>
              </w:rPr>
              <w:t>issue</w:t>
            </w:r>
            <w:r>
              <w:rPr>
                <w:rFonts w:ascii="Calibri"/>
                <w:spacing w:val="-4"/>
                <w:sz w:val="18"/>
              </w:rPr>
              <w:t xml:space="preserve"> </w:t>
            </w:r>
            <w:r>
              <w:rPr>
                <w:rFonts w:ascii="Calibri"/>
                <w:spacing w:val="-1"/>
                <w:sz w:val="18"/>
              </w:rPr>
              <w:t>in</w:t>
            </w:r>
            <w:r>
              <w:rPr>
                <w:rFonts w:ascii="Calibri"/>
                <w:spacing w:val="-5"/>
                <w:sz w:val="18"/>
              </w:rPr>
              <w:t xml:space="preserve"> </w:t>
            </w:r>
            <w:r>
              <w:rPr>
                <w:rFonts w:ascii="Calibri"/>
                <w:sz w:val="18"/>
              </w:rPr>
              <w:t>PY8</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cause</w:t>
            </w:r>
            <w:r>
              <w:rPr>
                <w:rFonts w:ascii="Calibri"/>
                <w:spacing w:val="-5"/>
                <w:sz w:val="18"/>
              </w:rPr>
              <w:t xml:space="preserve"> </w:t>
            </w:r>
            <w:r>
              <w:rPr>
                <w:rFonts w:ascii="Calibri"/>
                <w:sz w:val="18"/>
              </w:rPr>
              <w:t>for</w:t>
            </w:r>
            <w:r>
              <w:rPr>
                <w:rFonts w:ascii="Calibri"/>
                <w:spacing w:val="-4"/>
                <w:sz w:val="18"/>
              </w:rPr>
              <w:t xml:space="preserve"> </w:t>
            </w:r>
            <w:r>
              <w:rPr>
                <w:rFonts w:ascii="Calibri"/>
                <w:spacing w:val="-1"/>
                <w:sz w:val="18"/>
              </w:rPr>
              <w:t>dissatisfaction,</w:t>
            </w:r>
            <w:r>
              <w:rPr>
                <w:rFonts w:ascii="Calibri"/>
                <w:spacing w:val="51"/>
                <w:w w:val="99"/>
                <w:sz w:val="18"/>
              </w:rPr>
              <w:t xml:space="preserve"> </w:t>
            </w:r>
            <w:r>
              <w:rPr>
                <w:rFonts w:ascii="Calibri"/>
                <w:spacing w:val="-1"/>
                <w:sz w:val="18"/>
              </w:rPr>
              <w:t>consider</w:t>
            </w:r>
            <w:r>
              <w:rPr>
                <w:rFonts w:ascii="Calibri"/>
                <w:spacing w:val="-7"/>
                <w:sz w:val="18"/>
              </w:rPr>
              <w:t xml:space="preserve"> </w:t>
            </w:r>
            <w:r>
              <w:rPr>
                <w:rFonts w:ascii="Calibri"/>
                <w:spacing w:val="-1"/>
                <w:sz w:val="18"/>
              </w:rPr>
              <w:t>conducting</w:t>
            </w:r>
            <w:r>
              <w:rPr>
                <w:rFonts w:ascii="Calibri"/>
                <w:spacing w:val="-6"/>
                <w:sz w:val="18"/>
              </w:rPr>
              <w:t xml:space="preserve"> </w:t>
            </w:r>
            <w:r>
              <w:rPr>
                <w:rFonts w:ascii="Calibri"/>
                <w:sz w:val="18"/>
              </w:rPr>
              <w:t>more</w:t>
            </w:r>
            <w:r>
              <w:rPr>
                <w:rFonts w:ascii="Calibri"/>
                <w:spacing w:val="-7"/>
                <w:sz w:val="18"/>
              </w:rPr>
              <w:t xml:space="preserve"> </w:t>
            </w:r>
            <w:r>
              <w:rPr>
                <w:rFonts w:ascii="Calibri"/>
                <w:spacing w:val="-1"/>
                <w:sz w:val="18"/>
              </w:rPr>
              <w:t>extensive</w:t>
            </w:r>
            <w:r>
              <w:rPr>
                <w:rFonts w:ascii="Calibri"/>
                <w:spacing w:val="-6"/>
                <w:sz w:val="18"/>
              </w:rPr>
              <w:t xml:space="preserve"> </w:t>
            </w:r>
            <w:r>
              <w:rPr>
                <w:rFonts w:ascii="Calibri"/>
                <w:spacing w:val="-1"/>
                <w:sz w:val="18"/>
              </w:rPr>
              <w:t>analysis</w:t>
            </w:r>
            <w:r>
              <w:rPr>
                <w:rFonts w:ascii="Calibri"/>
                <w:spacing w:val="-7"/>
                <w:sz w:val="18"/>
              </w:rPr>
              <w:t xml:space="preserve"> </w:t>
            </w:r>
            <w:r>
              <w:rPr>
                <w:rFonts w:ascii="Calibri"/>
                <w:sz w:val="18"/>
              </w:rPr>
              <w:t>of</w:t>
            </w:r>
            <w:r>
              <w:rPr>
                <w:rFonts w:ascii="Calibri"/>
                <w:spacing w:val="-5"/>
                <w:sz w:val="18"/>
              </w:rPr>
              <w:t xml:space="preserve"> </w:t>
            </w:r>
            <w:r>
              <w:rPr>
                <w:rFonts w:ascii="Calibri"/>
                <w:spacing w:val="-1"/>
                <w:sz w:val="18"/>
              </w:rPr>
              <w:t>time</w:t>
            </w:r>
            <w:r>
              <w:rPr>
                <w:rFonts w:ascii="Calibri"/>
                <w:spacing w:val="-6"/>
                <w:sz w:val="18"/>
              </w:rPr>
              <w:t xml:space="preserve"> </w:t>
            </w:r>
            <w:r>
              <w:rPr>
                <w:rFonts w:ascii="Calibri"/>
                <w:spacing w:val="-1"/>
                <w:sz w:val="18"/>
              </w:rPr>
              <w:t>frames</w:t>
            </w:r>
            <w:r>
              <w:rPr>
                <w:rFonts w:ascii="Calibri"/>
                <w:spacing w:val="63"/>
                <w:w w:val="99"/>
                <w:sz w:val="18"/>
              </w:rPr>
              <w:t xml:space="preserve"> </w:t>
            </w:r>
            <w:r>
              <w:rPr>
                <w:rFonts w:ascii="Calibri"/>
                <w:sz w:val="18"/>
              </w:rPr>
              <w:t>for</w:t>
            </w:r>
            <w:r>
              <w:rPr>
                <w:rFonts w:ascii="Calibri"/>
                <w:spacing w:val="-5"/>
                <w:sz w:val="18"/>
              </w:rPr>
              <w:t xml:space="preserve"> </w:t>
            </w:r>
            <w:r>
              <w:rPr>
                <w:rFonts w:ascii="Calibri"/>
                <w:spacing w:val="-1"/>
                <w:sz w:val="18"/>
              </w:rPr>
              <w:t>receiving</w:t>
            </w:r>
            <w:r>
              <w:rPr>
                <w:rFonts w:ascii="Calibri"/>
                <w:spacing w:val="-5"/>
                <w:sz w:val="18"/>
              </w:rPr>
              <w:t xml:space="preserve"> </w:t>
            </w:r>
            <w:r>
              <w:rPr>
                <w:rFonts w:ascii="Calibri"/>
                <w:spacing w:val="-1"/>
                <w:sz w:val="18"/>
              </w:rPr>
              <w:t>rebate</w:t>
            </w:r>
            <w:r>
              <w:rPr>
                <w:rFonts w:ascii="Calibri"/>
                <w:spacing w:val="-4"/>
                <w:sz w:val="18"/>
              </w:rPr>
              <w:t xml:space="preserve"> </w:t>
            </w:r>
            <w:r>
              <w:rPr>
                <w:rFonts w:ascii="Calibri"/>
                <w:spacing w:val="-1"/>
                <w:sz w:val="18"/>
              </w:rPr>
              <w:t>checks,</w:t>
            </w:r>
            <w:r>
              <w:rPr>
                <w:rFonts w:ascii="Calibri"/>
                <w:spacing w:val="-4"/>
                <w:sz w:val="18"/>
              </w:rPr>
              <w:t xml:space="preserve"> </w:t>
            </w:r>
            <w:r>
              <w:rPr>
                <w:rFonts w:ascii="Calibri"/>
                <w:sz w:val="18"/>
              </w:rPr>
              <w:t>as</w:t>
            </w:r>
            <w:r>
              <w:rPr>
                <w:rFonts w:ascii="Calibri"/>
                <w:spacing w:val="-5"/>
                <w:sz w:val="18"/>
              </w:rPr>
              <w:t xml:space="preserve"> </w:t>
            </w:r>
            <w:r>
              <w:rPr>
                <w:rFonts w:ascii="Calibri"/>
                <w:spacing w:val="-1"/>
                <w:sz w:val="18"/>
              </w:rPr>
              <w:t>well</w:t>
            </w:r>
            <w:r>
              <w:rPr>
                <w:rFonts w:ascii="Calibri"/>
                <w:spacing w:val="-4"/>
                <w:sz w:val="18"/>
              </w:rPr>
              <w:t xml:space="preserve"> </w:t>
            </w:r>
            <w:r>
              <w:rPr>
                <w:rFonts w:ascii="Calibri"/>
                <w:sz w:val="18"/>
              </w:rPr>
              <w:t>as</w:t>
            </w:r>
            <w:r>
              <w:rPr>
                <w:rFonts w:ascii="Calibri"/>
                <w:spacing w:val="-5"/>
                <w:sz w:val="18"/>
              </w:rPr>
              <w:t xml:space="preserve"> </w:t>
            </w:r>
            <w:r>
              <w:rPr>
                <w:rFonts w:ascii="Calibri"/>
                <w:sz w:val="18"/>
              </w:rPr>
              <w:t>the</w:t>
            </w:r>
            <w:r>
              <w:rPr>
                <w:rFonts w:ascii="Calibri"/>
                <w:spacing w:val="-4"/>
                <w:sz w:val="18"/>
              </w:rPr>
              <w:t xml:space="preserve"> </w:t>
            </w:r>
            <w:r>
              <w:rPr>
                <w:rFonts w:ascii="Calibri"/>
                <w:spacing w:val="-1"/>
                <w:sz w:val="18"/>
              </w:rPr>
              <w:t>feasibility</w:t>
            </w:r>
            <w:r>
              <w:rPr>
                <w:rFonts w:ascii="Calibri"/>
                <w:spacing w:val="-4"/>
                <w:sz w:val="18"/>
              </w:rPr>
              <w:t xml:space="preserve"> </w:t>
            </w:r>
            <w:r>
              <w:rPr>
                <w:rFonts w:ascii="Calibri"/>
                <w:sz w:val="18"/>
              </w:rPr>
              <w:t>of</w:t>
            </w:r>
            <w:r>
              <w:rPr>
                <w:rFonts w:ascii="Calibri"/>
                <w:spacing w:val="51"/>
                <w:w w:val="99"/>
                <w:sz w:val="18"/>
              </w:rPr>
              <w:t xml:space="preserve"> </w:t>
            </w:r>
            <w:r>
              <w:rPr>
                <w:rFonts w:ascii="Calibri"/>
                <w:spacing w:val="-1"/>
                <w:sz w:val="18"/>
              </w:rPr>
              <w:t>instituting</w:t>
            </w:r>
            <w:r>
              <w:rPr>
                <w:rFonts w:ascii="Calibri"/>
                <w:spacing w:val="-8"/>
                <w:sz w:val="18"/>
              </w:rPr>
              <w:t xml:space="preserve"> </w:t>
            </w:r>
            <w:r>
              <w:rPr>
                <w:rFonts w:ascii="Calibri"/>
                <w:sz w:val="18"/>
              </w:rPr>
              <w:t>a</w:t>
            </w:r>
            <w:r>
              <w:rPr>
                <w:rFonts w:ascii="Calibri"/>
                <w:spacing w:val="-6"/>
                <w:sz w:val="18"/>
              </w:rPr>
              <w:t xml:space="preserve"> </w:t>
            </w:r>
            <w:r>
              <w:rPr>
                <w:rFonts w:ascii="Calibri"/>
                <w:spacing w:val="-1"/>
                <w:sz w:val="18"/>
              </w:rPr>
              <w:t>procedure</w:t>
            </w:r>
            <w:r>
              <w:rPr>
                <w:rFonts w:ascii="Calibri"/>
                <w:spacing w:val="-7"/>
                <w:sz w:val="18"/>
              </w:rPr>
              <w:t xml:space="preserve"> </w:t>
            </w:r>
            <w:r>
              <w:rPr>
                <w:rFonts w:ascii="Calibri"/>
                <w:spacing w:val="-1"/>
                <w:sz w:val="18"/>
              </w:rPr>
              <w:t>whereby</w:t>
            </w:r>
            <w:r>
              <w:rPr>
                <w:rFonts w:ascii="Calibri"/>
                <w:spacing w:val="-5"/>
                <w:sz w:val="18"/>
              </w:rPr>
              <w:t xml:space="preserve"> </w:t>
            </w:r>
            <w:r>
              <w:rPr>
                <w:rFonts w:ascii="Calibri"/>
                <w:spacing w:val="-1"/>
                <w:sz w:val="18"/>
              </w:rPr>
              <w:t>program</w:t>
            </w:r>
            <w:r>
              <w:rPr>
                <w:rFonts w:ascii="Calibri"/>
                <w:spacing w:val="-6"/>
                <w:sz w:val="18"/>
              </w:rPr>
              <w:t xml:space="preserve"> </w:t>
            </w:r>
            <w:r>
              <w:rPr>
                <w:rFonts w:ascii="Calibri"/>
                <w:spacing w:val="-1"/>
                <w:sz w:val="18"/>
              </w:rPr>
              <w:t>management</w:t>
            </w:r>
            <w:r>
              <w:rPr>
                <w:rFonts w:ascii="Calibri"/>
                <w:spacing w:val="-6"/>
                <w:sz w:val="18"/>
              </w:rPr>
              <w:t xml:space="preserve"> </w:t>
            </w:r>
            <w:r>
              <w:rPr>
                <w:rFonts w:ascii="Calibri"/>
                <w:spacing w:val="-1"/>
                <w:sz w:val="18"/>
              </w:rPr>
              <w:t>is</w:t>
            </w:r>
            <w:r>
              <w:rPr>
                <w:rFonts w:ascii="Calibri"/>
                <w:spacing w:val="59"/>
                <w:w w:val="99"/>
                <w:sz w:val="18"/>
              </w:rPr>
              <w:t xml:space="preserve"> </w:t>
            </w:r>
            <w:r>
              <w:rPr>
                <w:rFonts w:ascii="Calibri"/>
                <w:spacing w:val="-1"/>
                <w:sz w:val="18"/>
              </w:rPr>
              <w:t>automatically</w:t>
            </w:r>
            <w:r>
              <w:rPr>
                <w:rFonts w:ascii="Calibri"/>
                <w:spacing w:val="-6"/>
                <w:sz w:val="18"/>
              </w:rPr>
              <w:t xml:space="preserve"> </w:t>
            </w:r>
            <w:r>
              <w:rPr>
                <w:rFonts w:ascii="Calibri"/>
                <w:spacing w:val="-1"/>
                <w:sz w:val="18"/>
              </w:rPr>
              <w:t>notified</w:t>
            </w:r>
            <w:r>
              <w:rPr>
                <w:rFonts w:ascii="Calibri"/>
                <w:spacing w:val="-6"/>
                <w:sz w:val="18"/>
              </w:rPr>
              <w:t xml:space="preserve"> </w:t>
            </w:r>
            <w:r>
              <w:rPr>
                <w:rFonts w:ascii="Calibri"/>
                <w:sz w:val="18"/>
              </w:rPr>
              <w:t>when</w:t>
            </w:r>
            <w:r>
              <w:rPr>
                <w:rFonts w:ascii="Calibri"/>
                <w:spacing w:val="-6"/>
                <w:sz w:val="18"/>
              </w:rPr>
              <w:t xml:space="preserve"> </w:t>
            </w:r>
            <w:r>
              <w:rPr>
                <w:rFonts w:ascii="Calibri"/>
                <w:sz w:val="18"/>
              </w:rPr>
              <w:t>a</w:t>
            </w:r>
            <w:r>
              <w:rPr>
                <w:rFonts w:ascii="Calibri"/>
                <w:spacing w:val="-5"/>
                <w:sz w:val="18"/>
              </w:rPr>
              <w:t xml:space="preserve"> </w:t>
            </w:r>
            <w:r>
              <w:rPr>
                <w:rFonts w:ascii="Calibri"/>
                <w:spacing w:val="-1"/>
                <w:sz w:val="18"/>
              </w:rPr>
              <w:t>participant</w:t>
            </w:r>
            <w:r>
              <w:rPr>
                <w:rFonts w:ascii="Calibri"/>
                <w:spacing w:val="-4"/>
                <w:sz w:val="18"/>
              </w:rPr>
              <w:t xml:space="preserve"> </w:t>
            </w:r>
            <w:r>
              <w:rPr>
                <w:rFonts w:ascii="Calibri"/>
                <w:spacing w:val="-1"/>
                <w:sz w:val="18"/>
              </w:rPr>
              <w:t>has</w:t>
            </w:r>
            <w:r>
              <w:rPr>
                <w:rFonts w:ascii="Calibri"/>
                <w:spacing w:val="-6"/>
                <w:sz w:val="18"/>
              </w:rPr>
              <w:t xml:space="preserve"> </w:t>
            </w:r>
            <w:r>
              <w:rPr>
                <w:rFonts w:ascii="Calibri"/>
                <w:spacing w:val="-1"/>
                <w:sz w:val="18"/>
              </w:rPr>
              <w:t>waited</w:t>
            </w:r>
            <w:r>
              <w:rPr>
                <w:rFonts w:ascii="Calibri"/>
                <w:spacing w:val="-5"/>
                <w:sz w:val="18"/>
              </w:rPr>
              <w:t xml:space="preserve"> </w:t>
            </w:r>
            <w:r>
              <w:rPr>
                <w:rFonts w:ascii="Calibri"/>
                <w:spacing w:val="-1"/>
                <w:sz w:val="18"/>
              </w:rPr>
              <w:t>longer</w:t>
            </w:r>
            <w:r>
              <w:rPr>
                <w:rFonts w:ascii="Calibri"/>
                <w:spacing w:val="59"/>
                <w:w w:val="99"/>
                <w:sz w:val="18"/>
              </w:rPr>
              <w:t xml:space="preserve"> </w:t>
            </w:r>
            <w:r>
              <w:rPr>
                <w:rFonts w:ascii="Calibri"/>
                <w:spacing w:val="-1"/>
                <w:sz w:val="18"/>
              </w:rPr>
              <w:t>than</w:t>
            </w:r>
            <w:r>
              <w:rPr>
                <w:rFonts w:ascii="Calibri"/>
                <w:spacing w:val="-6"/>
                <w:sz w:val="18"/>
              </w:rPr>
              <w:t xml:space="preserve"> </w:t>
            </w:r>
            <w:r>
              <w:rPr>
                <w:rFonts w:ascii="Calibri"/>
                <w:sz w:val="18"/>
              </w:rPr>
              <w:t>a</w:t>
            </w:r>
            <w:r>
              <w:rPr>
                <w:rFonts w:ascii="Calibri"/>
                <w:spacing w:val="-5"/>
                <w:sz w:val="18"/>
              </w:rPr>
              <w:t xml:space="preserve"> </w:t>
            </w:r>
            <w:r>
              <w:rPr>
                <w:rFonts w:ascii="Calibri"/>
                <w:spacing w:val="-1"/>
                <w:sz w:val="18"/>
              </w:rPr>
              <w:t>pre-specified</w:t>
            </w:r>
            <w:r>
              <w:rPr>
                <w:rFonts w:ascii="Calibri"/>
                <w:spacing w:val="-4"/>
                <w:sz w:val="18"/>
              </w:rPr>
              <w:t xml:space="preserve"> </w:t>
            </w:r>
            <w:r>
              <w:rPr>
                <w:rFonts w:ascii="Calibri"/>
                <w:spacing w:val="-1"/>
                <w:sz w:val="18"/>
              </w:rPr>
              <w:t>period</w:t>
            </w:r>
            <w:r>
              <w:rPr>
                <w:rFonts w:ascii="Calibri"/>
                <w:spacing w:val="-4"/>
                <w:sz w:val="18"/>
              </w:rPr>
              <w:t xml:space="preserve"> </w:t>
            </w:r>
            <w:r>
              <w:rPr>
                <w:rFonts w:ascii="Calibri"/>
                <w:sz w:val="18"/>
              </w:rPr>
              <w:t>before</w:t>
            </w:r>
            <w:r>
              <w:rPr>
                <w:rFonts w:ascii="Calibri"/>
                <w:spacing w:val="-6"/>
                <w:sz w:val="18"/>
              </w:rPr>
              <w:t xml:space="preserve"> </w:t>
            </w:r>
            <w:r>
              <w:rPr>
                <w:rFonts w:ascii="Calibri"/>
                <w:spacing w:val="-1"/>
                <w:sz w:val="18"/>
              </w:rPr>
              <w:t>they</w:t>
            </w:r>
            <w:r>
              <w:rPr>
                <w:rFonts w:ascii="Calibri"/>
                <w:spacing w:val="-4"/>
                <w:sz w:val="18"/>
              </w:rPr>
              <w:t xml:space="preserve"> </w:t>
            </w:r>
            <w:r>
              <w:rPr>
                <w:rFonts w:ascii="Calibri"/>
                <w:spacing w:val="-1"/>
                <w:sz w:val="18"/>
              </w:rPr>
              <w:t>receive</w:t>
            </w:r>
            <w:r>
              <w:rPr>
                <w:rFonts w:ascii="Calibri"/>
                <w:spacing w:val="-6"/>
                <w:sz w:val="18"/>
              </w:rPr>
              <w:t xml:space="preserve"> </w:t>
            </w:r>
            <w:r>
              <w:rPr>
                <w:rFonts w:ascii="Calibri"/>
                <w:spacing w:val="-1"/>
                <w:sz w:val="18"/>
              </w:rPr>
              <w:t>their</w:t>
            </w:r>
            <w:r>
              <w:rPr>
                <w:rFonts w:ascii="Calibri"/>
                <w:spacing w:val="-6"/>
                <w:sz w:val="18"/>
              </w:rPr>
              <w:t xml:space="preserve"> </w:t>
            </w:r>
            <w:r>
              <w:rPr>
                <w:rFonts w:ascii="Calibri"/>
                <w:spacing w:val="-1"/>
                <w:sz w:val="18"/>
              </w:rPr>
              <w:t>rebate</w:t>
            </w:r>
            <w:r>
              <w:rPr>
                <w:rFonts w:ascii="Calibri"/>
                <w:spacing w:val="61"/>
                <w:w w:val="99"/>
                <w:sz w:val="18"/>
              </w:rPr>
              <w:t xml:space="preserve"> </w:t>
            </w:r>
            <w:r>
              <w:rPr>
                <w:rFonts w:ascii="Calibri"/>
                <w:spacing w:val="-1"/>
                <w:sz w:val="18"/>
              </w:rPr>
              <w:t>check,</w:t>
            </w:r>
            <w:r>
              <w:rPr>
                <w:rFonts w:ascii="Calibri"/>
                <w:spacing w:val="-6"/>
                <w:sz w:val="18"/>
              </w:rPr>
              <w:t xml:space="preserve"> </w:t>
            </w:r>
            <w:r>
              <w:rPr>
                <w:rFonts w:ascii="Calibri"/>
                <w:spacing w:val="-1"/>
                <w:sz w:val="18"/>
              </w:rPr>
              <w:t>so</w:t>
            </w:r>
            <w:r>
              <w:rPr>
                <w:rFonts w:ascii="Calibri"/>
                <w:spacing w:val="-4"/>
                <w:sz w:val="18"/>
              </w:rPr>
              <w:t xml:space="preserve"> </w:t>
            </w:r>
            <w:r>
              <w:rPr>
                <w:rFonts w:ascii="Calibri"/>
                <w:spacing w:val="-1"/>
                <w:sz w:val="18"/>
              </w:rPr>
              <w:t>that</w:t>
            </w:r>
            <w:r>
              <w:rPr>
                <w:rFonts w:ascii="Calibri"/>
                <w:spacing w:val="-6"/>
                <w:sz w:val="18"/>
              </w:rPr>
              <w:t xml:space="preserve"> </w:t>
            </w:r>
            <w:r>
              <w:rPr>
                <w:rFonts w:ascii="Calibri"/>
                <w:spacing w:val="-1"/>
                <w:sz w:val="18"/>
              </w:rPr>
              <w:t>management</w:t>
            </w:r>
            <w:r>
              <w:rPr>
                <w:rFonts w:ascii="Calibri"/>
                <w:spacing w:val="-6"/>
                <w:sz w:val="18"/>
              </w:rPr>
              <w:t xml:space="preserve"> </w:t>
            </w:r>
            <w:r>
              <w:rPr>
                <w:rFonts w:ascii="Calibri"/>
                <w:sz w:val="18"/>
              </w:rPr>
              <w:t>can</w:t>
            </w:r>
            <w:r>
              <w:rPr>
                <w:rFonts w:ascii="Calibri"/>
                <w:spacing w:val="-6"/>
                <w:sz w:val="18"/>
              </w:rPr>
              <w:t xml:space="preserve"> </w:t>
            </w:r>
            <w:r>
              <w:rPr>
                <w:rFonts w:ascii="Calibri"/>
                <w:sz w:val="18"/>
              </w:rPr>
              <w:t>then</w:t>
            </w:r>
            <w:r>
              <w:rPr>
                <w:rFonts w:ascii="Calibri"/>
                <w:spacing w:val="-5"/>
                <w:sz w:val="18"/>
              </w:rPr>
              <w:t xml:space="preserve"> </w:t>
            </w:r>
            <w:r>
              <w:rPr>
                <w:rFonts w:ascii="Calibri"/>
                <w:spacing w:val="-1"/>
                <w:sz w:val="18"/>
              </w:rPr>
              <w:t>contact</w:t>
            </w:r>
            <w:r>
              <w:rPr>
                <w:rFonts w:ascii="Calibri"/>
                <w:spacing w:val="-6"/>
                <w:sz w:val="18"/>
              </w:rPr>
              <w:t xml:space="preserve"> </w:t>
            </w:r>
            <w:r>
              <w:rPr>
                <w:rFonts w:ascii="Calibri"/>
                <w:spacing w:val="-1"/>
                <w:sz w:val="18"/>
              </w:rPr>
              <w:t>the</w:t>
            </w:r>
            <w:r>
              <w:rPr>
                <w:rFonts w:ascii="Calibri"/>
                <w:spacing w:val="-6"/>
                <w:sz w:val="18"/>
              </w:rPr>
              <w:t xml:space="preserve"> </w:t>
            </w:r>
            <w:r>
              <w:rPr>
                <w:rFonts w:ascii="Calibri"/>
                <w:sz w:val="18"/>
              </w:rPr>
              <w:t>customer</w:t>
            </w:r>
            <w:r>
              <w:rPr>
                <w:rFonts w:ascii="Calibri"/>
                <w:spacing w:val="43"/>
                <w:w w:val="99"/>
                <w:sz w:val="18"/>
              </w:rPr>
              <w:t xml:space="preserve"> </w:t>
            </w:r>
            <w:r>
              <w:rPr>
                <w:rFonts w:ascii="Calibri"/>
                <w:spacing w:val="-1"/>
                <w:sz w:val="18"/>
              </w:rPr>
              <w:t>to</w:t>
            </w:r>
            <w:r>
              <w:rPr>
                <w:rFonts w:ascii="Calibri"/>
                <w:spacing w:val="-3"/>
                <w:sz w:val="18"/>
              </w:rPr>
              <w:t xml:space="preserve"> </w:t>
            </w:r>
            <w:r>
              <w:rPr>
                <w:rFonts w:ascii="Calibri"/>
                <w:spacing w:val="-1"/>
                <w:sz w:val="18"/>
              </w:rPr>
              <w:t>provide</w:t>
            </w:r>
            <w:r>
              <w:rPr>
                <w:rFonts w:ascii="Calibri"/>
                <w:spacing w:val="-4"/>
                <w:sz w:val="18"/>
              </w:rPr>
              <w:t xml:space="preserve"> </w:t>
            </w:r>
            <w:r>
              <w:rPr>
                <w:rFonts w:ascii="Calibri"/>
                <w:sz w:val="18"/>
              </w:rPr>
              <w:t>an</w:t>
            </w:r>
            <w:r>
              <w:rPr>
                <w:rFonts w:ascii="Calibri"/>
                <w:spacing w:val="-4"/>
                <w:sz w:val="18"/>
              </w:rPr>
              <w:t xml:space="preserve"> </w:t>
            </w:r>
            <w:r>
              <w:rPr>
                <w:rFonts w:ascii="Calibri"/>
                <w:spacing w:val="-1"/>
                <w:sz w:val="18"/>
              </w:rPr>
              <w:t>update</w:t>
            </w:r>
            <w:r>
              <w:rPr>
                <w:rFonts w:ascii="Calibri"/>
                <w:spacing w:val="-3"/>
                <w:sz w:val="18"/>
              </w:rPr>
              <w:t xml:space="preserve"> </w:t>
            </w:r>
            <w:r>
              <w:rPr>
                <w:rFonts w:ascii="Calibri"/>
                <w:spacing w:val="1"/>
                <w:sz w:val="18"/>
              </w:rPr>
              <w:t>as</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when</w:t>
            </w:r>
            <w:r>
              <w:rPr>
                <w:rFonts w:ascii="Calibri"/>
                <w:spacing w:val="-2"/>
                <w:sz w:val="18"/>
              </w:rPr>
              <w:t xml:space="preserve"> </w:t>
            </w:r>
            <w:r>
              <w:rPr>
                <w:rFonts w:ascii="Calibri"/>
                <w:spacing w:val="-1"/>
                <w:sz w:val="18"/>
              </w:rPr>
              <w:t>the</w:t>
            </w:r>
            <w:r>
              <w:rPr>
                <w:rFonts w:ascii="Calibri"/>
                <w:spacing w:val="-4"/>
                <w:sz w:val="18"/>
              </w:rPr>
              <w:t xml:space="preserve"> </w:t>
            </w:r>
            <w:r>
              <w:rPr>
                <w:rFonts w:ascii="Calibri"/>
                <w:spacing w:val="-1"/>
                <w:sz w:val="18"/>
              </w:rPr>
              <w:t>check</w:t>
            </w:r>
            <w:r>
              <w:rPr>
                <w:rFonts w:ascii="Calibri"/>
                <w:spacing w:val="-3"/>
                <w:sz w:val="18"/>
              </w:rPr>
              <w:t xml:space="preserve"> </w:t>
            </w:r>
            <w:r>
              <w:rPr>
                <w:rFonts w:ascii="Calibri"/>
                <w:spacing w:val="-1"/>
                <w:sz w:val="18"/>
              </w:rPr>
              <w:t>will be</w:t>
            </w:r>
            <w:r>
              <w:rPr>
                <w:rFonts w:ascii="Calibri"/>
                <w:spacing w:val="-4"/>
                <w:sz w:val="18"/>
              </w:rPr>
              <w:t xml:space="preserve"> </w:t>
            </w:r>
            <w:r>
              <w:rPr>
                <w:rFonts w:ascii="Calibri"/>
                <w:spacing w:val="-1"/>
                <w:sz w:val="18"/>
              </w:rPr>
              <w:t>issued.</w:t>
            </w:r>
            <w:r>
              <w:rPr>
                <w:rFonts w:ascii="Calibri"/>
                <w:spacing w:val="-3"/>
                <w:sz w:val="18"/>
              </w:rPr>
              <w:t xml:space="preserve"> </w:t>
            </w:r>
            <w:r>
              <w:rPr>
                <w:rFonts w:ascii="Calibri"/>
                <w:sz w:val="18"/>
              </w:rPr>
              <w:t>It</w:t>
            </w:r>
            <w:r>
              <w:rPr>
                <w:rFonts w:ascii="Calibri"/>
                <w:spacing w:val="55"/>
                <w:w w:val="99"/>
                <w:sz w:val="18"/>
              </w:rPr>
              <w:t xml:space="preserve"> </w:t>
            </w:r>
            <w:r>
              <w:rPr>
                <w:rFonts w:ascii="Calibri"/>
                <w:sz w:val="18"/>
              </w:rPr>
              <w:t>may</w:t>
            </w:r>
            <w:r>
              <w:rPr>
                <w:rFonts w:ascii="Calibri"/>
                <w:spacing w:val="-5"/>
                <w:sz w:val="18"/>
              </w:rPr>
              <w:t xml:space="preserve"> </w:t>
            </w:r>
            <w:r>
              <w:rPr>
                <w:rFonts w:ascii="Calibri"/>
                <w:spacing w:val="-1"/>
                <w:sz w:val="18"/>
              </w:rPr>
              <w:t>also</w:t>
            </w:r>
            <w:r>
              <w:rPr>
                <w:rFonts w:ascii="Calibri"/>
                <w:spacing w:val="-4"/>
                <w:sz w:val="18"/>
              </w:rPr>
              <w:t xml:space="preserve"> </w:t>
            </w:r>
            <w:r>
              <w:rPr>
                <w:rFonts w:ascii="Calibri"/>
                <w:spacing w:val="-1"/>
                <w:sz w:val="18"/>
              </w:rPr>
              <w:t>be</w:t>
            </w:r>
            <w:r>
              <w:rPr>
                <w:rFonts w:ascii="Calibri"/>
                <w:spacing w:val="-6"/>
                <w:sz w:val="18"/>
              </w:rPr>
              <w:t xml:space="preserve"> </w:t>
            </w:r>
            <w:r>
              <w:rPr>
                <w:rFonts w:ascii="Calibri"/>
                <w:spacing w:val="-1"/>
                <w:sz w:val="18"/>
              </w:rPr>
              <w:t>important</w:t>
            </w:r>
            <w:r>
              <w:rPr>
                <w:rFonts w:ascii="Calibri"/>
                <w:spacing w:val="-6"/>
                <w:sz w:val="18"/>
              </w:rPr>
              <w:t xml:space="preserve"> </w:t>
            </w:r>
            <w:r>
              <w:rPr>
                <w:rFonts w:ascii="Calibri"/>
                <w:spacing w:val="-1"/>
                <w:sz w:val="18"/>
              </w:rPr>
              <w:t>to</w:t>
            </w:r>
            <w:r>
              <w:rPr>
                <w:rFonts w:ascii="Calibri"/>
                <w:spacing w:val="-4"/>
                <w:sz w:val="18"/>
              </w:rPr>
              <w:t xml:space="preserve"> </w:t>
            </w:r>
            <w:r>
              <w:rPr>
                <w:rFonts w:ascii="Calibri"/>
                <w:sz w:val="18"/>
              </w:rPr>
              <w:t>more</w:t>
            </w:r>
            <w:r>
              <w:rPr>
                <w:rFonts w:ascii="Calibri"/>
                <w:spacing w:val="-6"/>
                <w:sz w:val="18"/>
              </w:rPr>
              <w:t xml:space="preserve"> </w:t>
            </w:r>
            <w:r>
              <w:rPr>
                <w:rFonts w:ascii="Calibri"/>
                <w:spacing w:val="-1"/>
                <w:sz w:val="18"/>
              </w:rPr>
              <w:t>effectively</w:t>
            </w:r>
            <w:r>
              <w:rPr>
                <w:rFonts w:ascii="Calibri"/>
                <w:spacing w:val="-4"/>
                <w:sz w:val="18"/>
              </w:rPr>
              <w:t xml:space="preserve"> </w:t>
            </w:r>
            <w:r>
              <w:rPr>
                <w:rFonts w:ascii="Calibri"/>
                <w:spacing w:val="-1"/>
                <w:sz w:val="18"/>
              </w:rPr>
              <w:t>communicate</w:t>
            </w:r>
            <w:r>
              <w:rPr>
                <w:rFonts w:ascii="Calibri"/>
                <w:spacing w:val="-6"/>
                <w:sz w:val="18"/>
              </w:rPr>
              <w:t xml:space="preserve"> </w:t>
            </w:r>
            <w:r>
              <w:rPr>
                <w:rFonts w:ascii="Calibri"/>
                <w:spacing w:val="-1"/>
                <w:sz w:val="18"/>
              </w:rPr>
              <w:t>the</w:t>
            </w:r>
            <w:r>
              <w:rPr>
                <w:rFonts w:ascii="Calibri"/>
                <w:spacing w:val="51"/>
                <w:w w:val="99"/>
                <w:sz w:val="18"/>
              </w:rPr>
              <w:t xml:space="preserve"> </w:t>
            </w:r>
            <w:r>
              <w:rPr>
                <w:rFonts w:ascii="Calibri"/>
                <w:spacing w:val="-1"/>
                <w:sz w:val="18"/>
              </w:rPr>
              <w:t>likely</w:t>
            </w:r>
            <w:r>
              <w:rPr>
                <w:rFonts w:ascii="Calibri"/>
                <w:spacing w:val="-4"/>
                <w:sz w:val="18"/>
              </w:rPr>
              <w:t xml:space="preserve"> </w:t>
            </w:r>
            <w:r>
              <w:rPr>
                <w:rFonts w:ascii="Calibri"/>
                <w:sz w:val="18"/>
              </w:rPr>
              <w:t>time</w:t>
            </w:r>
            <w:r>
              <w:rPr>
                <w:rFonts w:ascii="Calibri"/>
                <w:spacing w:val="-5"/>
                <w:sz w:val="18"/>
              </w:rPr>
              <w:t xml:space="preserve"> </w:t>
            </w:r>
            <w:r>
              <w:rPr>
                <w:rFonts w:ascii="Calibri"/>
                <w:spacing w:val="-1"/>
                <w:sz w:val="18"/>
              </w:rPr>
              <w:t>frame</w:t>
            </w:r>
            <w:r>
              <w:rPr>
                <w:rFonts w:ascii="Calibri"/>
                <w:spacing w:val="-5"/>
                <w:sz w:val="18"/>
              </w:rPr>
              <w:t xml:space="preserve"> </w:t>
            </w:r>
            <w:r>
              <w:rPr>
                <w:rFonts w:ascii="Calibri"/>
                <w:sz w:val="18"/>
              </w:rPr>
              <w:t>for</w:t>
            </w:r>
            <w:r>
              <w:rPr>
                <w:rFonts w:ascii="Calibri"/>
                <w:spacing w:val="-5"/>
                <w:sz w:val="18"/>
              </w:rPr>
              <w:t xml:space="preserve"> </w:t>
            </w:r>
            <w:r>
              <w:rPr>
                <w:rFonts w:ascii="Calibri"/>
                <w:spacing w:val="-1"/>
                <w:sz w:val="18"/>
              </w:rPr>
              <w:t>receiving</w:t>
            </w:r>
            <w:r>
              <w:rPr>
                <w:rFonts w:ascii="Calibri"/>
                <w:spacing w:val="-5"/>
                <w:sz w:val="18"/>
              </w:rPr>
              <w:t xml:space="preserve"> </w:t>
            </w:r>
            <w:r>
              <w:rPr>
                <w:rFonts w:ascii="Calibri"/>
                <w:spacing w:val="-1"/>
                <w:sz w:val="18"/>
              </w:rPr>
              <w:t>rebate</w:t>
            </w:r>
            <w:r>
              <w:rPr>
                <w:rFonts w:ascii="Calibri"/>
                <w:spacing w:val="-5"/>
                <w:sz w:val="18"/>
              </w:rPr>
              <w:t xml:space="preserve"> </w:t>
            </w:r>
            <w:r>
              <w:rPr>
                <w:rFonts w:ascii="Calibri"/>
                <w:spacing w:val="-1"/>
                <w:sz w:val="18"/>
              </w:rPr>
              <w:t>checks</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z w:val="18"/>
              </w:rPr>
              <w:t>the</w:t>
            </w:r>
            <w:r>
              <w:rPr>
                <w:rFonts w:ascii="Calibri"/>
                <w:spacing w:val="43"/>
                <w:w w:val="99"/>
                <w:sz w:val="18"/>
              </w:rPr>
              <w:t xml:space="preserve"> </w:t>
            </w:r>
            <w:r>
              <w:rPr>
                <w:rFonts w:ascii="Calibri"/>
                <w:spacing w:val="-1"/>
                <w:sz w:val="18"/>
              </w:rPr>
              <w:t>customers.</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C94D5A">
        <w:trPr>
          <w:trHeight w:hRule="exact" w:val="1478"/>
        </w:trPr>
        <w:tc>
          <w:tcPr>
            <w:tcW w:w="4680" w:type="dxa"/>
            <w:shd w:val="clear" w:color="auto" w:fill="auto"/>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2</w:t>
            </w:r>
          </w:p>
          <w:p w:rsidR="00E646C9" w:rsidRDefault="00E646C9" w:rsidP="00C94D5A">
            <w:pPr>
              <w:pStyle w:val="TableParagraph"/>
              <w:spacing w:line="218" w:lineRule="exact"/>
              <w:ind w:left="97"/>
              <w:rPr>
                <w:rFonts w:ascii="Calibri"/>
                <w:b/>
                <w:spacing w:val="-1"/>
                <w:sz w:val="18"/>
              </w:rPr>
            </w:pPr>
            <w:r>
              <w:rPr>
                <w:rFonts w:ascii="Calibri"/>
                <w:spacing w:val="-1"/>
                <w:sz w:val="18"/>
              </w:rPr>
              <w:t>Monitor</w:t>
            </w:r>
            <w:r>
              <w:rPr>
                <w:rFonts w:ascii="Calibri"/>
                <w:spacing w:val="-7"/>
                <w:sz w:val="18"/>
              </w:rPr>
              <w:t xml:space="preserve"> </w:t>
            </w:r>
            <w:r>
              <w:rPr>
                <w:rFonts w:ascii="Calibri"/>
                <w:spacing w:val="-1"/>
                <w:sz w:val="18"/>
              </w:rPr>
              <w:t>closely</w:t>
            </w:r>
            <w:r>
              <w:rPr>
                <w:rFonts w:ascii="Calibri"/>
                <w:spacing w:val="-5"/>
                <w:sz w:val="18"/>
              </w:rPr>
              <w:t xml:space="preserve"> </w:t>
            </w:r>
            <w:r>
              <w:rPr>
                <w:rFonts w:ascii="Calibri"/>
                <w:spacing w:val="-1"/>
                <w:sz w:val="18"/>
              </w:rPr>
              <w:t>program</w:t>
            </w:r>
            <w:r>
              <w:rPr>
                <w:rFonts w:ascii="Calibri"/>
                <w:spacing w:val="-5"/>
                <w:sz w:val="18"/>
              </w:rPr>
              <w:t xml:space="preserve"> </w:t>
            </w:r>
            <w:r>
              <w:rPr>
                <w:rFonts w:ascii="Calibri"/>
                <w:spacing w:val="-1"/>
                <w:sz w:val="18"/>
              </w:rPr>
              <w:t>participation</w:t>
            </w:r>
            <w:r>
              <w:rPr>
                <w:rFonts w:ascii="Calibri"/>
                <w:spacing w:val="-7"/>
                <w:sz w:val="18"/>
              </w:rPr>
              <w:t xml:space="preserve"> </w:t>
            </w:r>
            <w:r>
              <w:rPr>
                <w:rFonts w:ascii="Calibri"/>
                <w:sz w:val="18"/>
              </w:rPr>
              <w:t>as</w:t>
            </w:r>
            <w:r>
              <w:rPr>
                <w:rFonts w:ascii="Calibri"/>
                <w:spacing w:val="-6"/>
                <w:sz w:val="18"/>
              </w:rPr>
              <w:t xml:space="preserve"> </w:t>
            </w:r>
            <w:r>
              <w:rPr>
                <w:rFonts w:ascii="Calibri"/>
                <w:spacing w:val="-1"/>
                <w:sz w:val="18"/>
              </w:rPr>
              <w:t>identified</w:t>
            </w:r>
            <w:r>
              <w:rPr>
                <w:rFonts w:ascii="Calibri"/>
                <w:spacing w:val="-5"/>
                <w:sz w:val="18"/>
              </w:rPr>
              <w:t xml:space="preserve"> </w:t>
            </w:r>
            <w:r>
              <w:rPr>
                <w:rFonts w:ascii="Calibri"/>
                <w:spacing w:val="-1"/>
                <w:sz w:val="18"/>
              </w:rPr>
              <w:t>in</w:t>
            </w:r>
            <w:r>
              <w:rPr>
                <w:rFonts w:ascii="Calibri"/>
                <w:spacing w:val="-7"/>
                <w:sz w:val="18"/>
              </w:rPr>
              <w:t xml:space="preserve"> </w:t>
            </w:r>
            <w:r>
              <w:rPr>
                <w:rFonts w:ascii="Calibri"/>
                <w:sz w:val="18"/>
              </w:rPr>
              <w:t>PMRS,</w:t>
            </w:r>
            <w:r>
              <w:rPr>
                <w:rFonts w:ascii="Calibri"/>
                <w:spacing w:val="67"/>
                <w:w w:val="99"/>
                <w:sz w:val="18"/>
              </w:rPr>
              <w:t xml:space="preserve"> </w:t>
            </w:r>
            <w:r>
              <w:rPr>
                <w:rFonts w:ascii="Calibri"/>
                <w:spacing w:val="-1"/>
                <w:sz w:val="18"/>
              </w:rPr>
              <w:t>the</w:t>
            </w:r>
            <w:r>
              <w:rPr>
                <w:rFonts w:ascii="Calibri"/>
                <w:spacing w:val="-5"/>
                <w:sz w:val="18"/>
              </w:rPr>
              <w:t xml:space="preserve"> </w:t>
            </w:r>
            <w:r>
              <w:rPr>
                <w:rFonts w:ascii="Calibri"/>
                <w:spacing w:val="-1"/>
                <w:sz w:val="18"/>
              </w:rPr>
              <w:t>Act</w:t>
            </w:r>
            <w:r>
              <w:rPr>
                <w:rFonts w:ascii="Calibri"/>
                <w:spacing w:val="-6"/>
                <w:sz w:val="18"/>
              </w:rPr>
              <w:t xml:space="preserve"> </w:t>
            </w:r>
            <w:r>
              <w:rPr>
                <w:rFonts w:ascii="Calibri"/>
                <w:sz w:val="18"/>
              </w:rPr>
              <w:t>129</w:t>
            </w:r>
            <w:r>
              <w:rPr>
                <w:rFonts w:ascii="Calibri"/>
                <w:spacing w:val="-4"/>
                <w:sz w:val="18"/>
              </w:rPr>
              <w:t xml:space="preserve"> </w:t>
            </w:r>
            <w:r>
              <w:rPr>
                <w:rFonts w:ascii="Calibri"/>
                <w:spacing w:val="-1"/>
                <w:sz w:val="18"/>
              </w:rPr>
              <w:t>program</w:t>
            </w:r>
            <w:r>
              <w:rPr>
                <w:rFonts w:ascii="Calibri"/>
                <w:spacing w:val="-4"/>
                <w:sz w:val="18"/>
              </w:rPr>
              <w:t xml:space="preserve"> </w:t>
            </w:r>
            <w:r>
              <w:rPr>
                <w:rFonts w:ascii="Calibri"/>
                <w:spacing w:val="-1"/>
                <w:sz w:val="18"/>
              </w:rPr>
              <w:t>tracking</w:t>
            </w:r>
            <w:r>
              <w:rPr>
                <w:rFonts w:ascii="Calibri"/>
                <w:spacing w:val="-2"/>
                <w:sz w:val="18"/>
              </w:rPr>
              <w:t xml:space="preserve"> </w:t>
            </w:r>
            <w:r>
              <w:rPr>
                <w:rFonts w:ascii="Calibri"/>
                <w:spacing w:val="-1"/>
                <w:sz w:val="18"/>
              </w:rPr>
              <w:t>system,</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ensure</w:t>
            </w:r>
            <w:r>
              <w:rPr>
                <w:rFonts w:ascii="Calibri"/>
                <w:spacing w:val="-5"/>
                <w:sz w:val="18"/>
              </w:rPr>
              <w:t xml:space="preserve"> </w:t>
            </w:r>
            <w:r>
              <w:rPr>
                <w:rFonts w:ascii="Calibri"/>
                <w:spacing w:val="-1"/>
                <w:sz w:val="18"/>
              </w:rPr>
              <w:t>that</w:t>
            </w:r>
            <w:r>
              <w:rPr>
                <w:rFonts w:ascii="Calibri"/>
                <w:spacing w:val="-5"/>
                <w:sz w:val="18"/>
              </w:rPr>
              <w:t xml:space="preserve"> </w:t>
            </w:r>
            <w:r>
              <w:rPr>
                <w:rFonts w:ascii="Calibri"/>
                <w:sz w:val="18"/>
              </w:rPr>
              <w:t>the</w:t>
            </w:r>
            <w:r>
              <w:rPr>
                <w:rFonts w:ascii="Calibri"/>
                <w:spacing w:val="53"/>
                <w:w w:val="99"/>
                <w:sz w:val="18"/>
              </w:rPr>
              <w:t xml:space="preserve"> </w:t>
            </w:r>
            <w:r>
              <w:rPr>
                <w:rFonts w:ascii="Calibri"/>
                <w:spacing w:val="-1"/>
                <w:sz w:val="18"/>
              </w:rPr>
              <w:t>issue</w:t>
            </w:r>
            <w:r>
              <w:rPr>
                <w:rFonts w:ascii="Calibri"/>
                <w:spacing w:val="-7"/>
                <w:sz w:val="18"/>
              </w:rPr>
              <w:t xml:space="preserve"> </w:t>
            </w:r>
            <w:r>
              <w:rPr>
                <w:rFonts w:ascii="Calibri"/>
                <w:sz w:val="18"/>
              </w:rPr>
              <w:t>of</w:t>
            </w:r>
            <w:r>
              <w:rPr>
                <w:rFonts w:ascii="Calibri"/>
                <w:spacing w:val="-6"/>
                <w:sz w:val="18"/>
              </w:rPr>
              <w:t xml:space="preserve"> </w:t>
            </w:r>
            <w:r>
              <w:rPr>
                <w:rFonts w:ascii="Calibri"/>
                <w:spacing w:val="-1"/>
                <w:sz w:val="18"/>
              </w:rPr>
              <w:t>program</w:t>
            </w:r>
            <w:r>
              <w:rPr>
                <w:rFonts w:ascii="Calibri"/>
                <w:spacing w:val="-5"/>
                <w:sz w:val="18"/>
              </w:rPr>
              <w:t xml:space="preserve"> </w:t>
            </w:r>
            <w:r>
              <w:rPr>
                <w:rFonts w:ascii="Calibri"/>
                <w:spacing w:val="-1"/>
                <w:sz w:val="18"/>
              </w:rPr>
              <w:t>participants</w:t>
            </w:r>
            <w:r>
              <w:rPr>
                <w:rFonts w:ascii="Calibri"/>
                <w:spacing w:val="-5"/>
                <w:sz w:val="18"/>
              </w:rPr>
              <w:t xml:space="preserve"> </w:t>
            </w:r>
            <w:r>
              <w:rPr>
                <w:rFonts w:ascii="Calibri"/>
                <w:spacing w:val="-1"/>
                <w:sz w:val="18"/>
              </w:rPr>
              <w:t>being</w:t>
            </w:r>
            <w:r>
              <w:rPr>
                <w:rFonts w:ascii="Calibri"/>
                <w:spacing w:val="-7"/>
                <w:sz w:val="18"/>
              </w:rPr>
              <w:t xml:space="preserve"> </w:t>
            </w:r>
            <w:r>
              <w:rPr>
                <w:rFonts w:ascii="Calibri"/>
                <w:spacing w:val="-1"/>
                <w:sz w:val="18"/>
              </w:rPr>
              <w:t>discovered</w:t>
            </w:r>
            <w:r>
              <w:rPr>
                <w:rFonts w:ascii="Calibri"/>
                <w:spacing w:val="-6"/>
                <w:sz w:val="18"/>
              </w:rPr>
              <w:t xml:space="preserve"> </w:t>
            </w:r>
            <w:r>
              <w:rPr>
                <w:rFonts w:ascii="Calibri"/>
                <w:spacing w:val="-1"/>
                <w:sz w:val="18"/>
              </w:rPr>
              <w:t>after</w:t>
            </w:r>
            <w:r>
              <w:rPr>
                <w:rFonts w:ascii="Calibri"/>
                <w:spacing w:val="57"/>
                <w:w w:val="99"/>
                <w:sz w:val="18"/>
              </w:rPr>
              <w:t xml:space="preserve"> </w:t>
            </w:r>
            <w:r>
              <w:rPr>
                <w:rFonts w:ascii="Calibri"/>
                <w:spacing w:val="-1"/>
                <w:sz w:val="18"/>
              </w:rPr>
              <w:t>evaluation</w:t>
            </w:r>
            <w:r>
              <w:rPr>
                <w:rFonts w:ascii="Calibri"/>
                <w:spacing w:val="-7"/>
                <w:sz w:val="18"/>
              </w:rPr>
              <w:t xml:space="preserve"> </w:t>
            </w:r>
            <w:r>
              <w:rPr>
                <w:rFonts w:ascii="Calibri"/>
                <w:spacing w:val="-1"/>
                <w:sz w:val="18"/>
              </w:rPr>
              <w:t>research</w:t>
            </w:r>
            <w:r>
              <w:rPr>
                <w:rFonts w:ascii="Calibri"/>
                <w:spacing w:val="-5"/>
                <w:sz w:val="18"/>
              </w:rPr>
              <w:t xml:space="preserve"> </w:t>
            </w:r>
            <w:r>
              <w:rPr>
                <w:rFonts w:ascii="Calibri"/>
                <w:spacing w:val="-1"/>
                <w:sz w:val="18"/>
              </w:rPr>
              <w:t>has</w:t>
            </w:r>
            <w:r>
              <w:rPr>
                <w:rFonts w:ascii="Calibri"/>
                <w:spacing w:val="-6"/>
                <w:sz w:val="18"/>
              </w:rPr>
              <w:t xml:space="preserve"> </w:t>
            </w:r>
            <w:r>
              <w:rPr>
                <w:rFonts w:ascii="Calibri"/>
                <w:spacing w:val="-1"/>
                <w:sz w:val="18"/>
              </w:rPr>
              <w:t>already</w:t>
            </w:r>
            <w:r>
              <w:rPr>
                <w:rFonts w:ascii="Calibri"/>
                <w:spacing w:val="-5"/>
                <w:sz w:val="18"/>
              </w:rPr>
              <w:t xml:space="preserve"> </w:t>
            </w:r>
            <w:r>
              <w:rPr>
                <w:rFonts w:ascii="Calibri"/>
                <w:spacing w:val="-1"/>
                <w:sz w:val="18"/>
              </w:rPr>
              <w:t>been</w:t>
            </w:r>
            <w:r>
              <w:rPr>
                <w:rFonts w:ascii="Calibri"/>
                <w:spacing w:val="-7"/>
                <w:sz w:val="18"/>
              </w:rPr>
              <w:t xml:space="preserve"> </w:t>
            </w:r>
            <w:r>
              <w:rPr>
                <w:rFonts w:ascii="Calibri"/>
                <w:spacing w:val="-1"/>
                <w:sz w:val="18"/>
              </w:rPr>
              <w:t>conducted</w:t>
            </w:r>
            <w:r>
              <w:rPr>
                <w:rFonts w:ascii="Calibri"/>
                <w:spacing w:val="-6"/>
                <w:sz w:val="18"/>
              </w:rPr>
              <w:t xml:space="preserve"> </w:t>
            </w:r>
            <w:r>
              <w:rPr>
                <w:rFonts w:ascii="Calibri"/>
                <w:sz w:val="18"/>
              </w:rPr>
              <w:t>does</w:t>
            </w:r>
            <w:r>
              <w:rPr>
                <w:rFonts w:ascii="Calibri"/>
                <w:spacing w:val="-7"/>
                <w:sz w:val="18"/>
              </w:rPr>
              <w:t xml:space="preserve"> </w:t>
            </w:r>
            <w:r>
              <w:rPr>
                <w:rFonts w:ascii="Calibri"/>
                <w:sz w:val="18"/>
              </w:rPr>
              <w:t>not</w:t>
            </w:r>
            <w:r>
              <w:rPr>
                <w:rFonts w:ascii="Calibri"/>
                <w:spacing w:val="61"/>
                <w:w w:val="99"/>
                <w:sz w:val="18"/>
              </w:rPr>
              <w:t xml:space="preserve"> </w:t>
            </w:r>
            <w:r>
              <w:rPr>
                <w:rFonts w:ascii="Calibri"/>
                <w:spacing w:val="-1"/>
                <w:sz w:val="18"/>
              </w:rPr>
              <w:t>recur</w:t>
            </w:r>
            <w:r>
              <w:rPr>
                <w:rFonts w:ascii="Calibri"/>
                <w:spacing w:val="-5"/>
                <w:sz w:val="18"/>
              </w:rPr>
              <w:t xml:space="preserve"> </w:t>
            </w:r>
            <w:r>
              <w:rPr>
                <w:rFonts w:ascii="Calibri"/>
                <w:spacing w:val="-1"/>
                <w:sz w:val="18"/>
              </w:rPr>
              <w:t>in</w:t>
            </w:r>
            <w:r>
              <w:rPr>
                <w:rFonts w:ascii="Calibri"/>
                <w:spacing w:val="-4"/>
                <w:sz w:val="18"/>
              </w:rPr>
              <w:t xml:space="preserve"> </w:t>
            </w:r>
            <w:r>
              <w:rPr>
                <w:rFonts w:ascii="Calibri"/>
                <w:sz w:val="18"/>
              </w:rPr>
              <w:t>PY8</w:t>
            </w:r>
            <w:r>
              <w:rPr>
                <w:rFonts w:ascii="Calibri"/>
                <w:spacing w:val="-3"/>
                <w:sz w:val="18"/>
              </w:rPr>
              <w:t xml:space="preserve"> </w:t>
            </w:r>
            <w:r>
              <w:rPr>
                <w:rFonts w:ascii="Calibri"/>
                <w:sz w:val="18"/>
              </w:rPr>
              <w:t>or</w:t>
            </w:r>
            <w:r>
              <w:rPr>
                <w:rFonts w:ascii="Calibri"/>
                <w:spacing w:val="-5"/>
                <w:sz w:val="18"/>
              </w:rPr>
              <w:t xml:space="preserve"> </w:t>
            </w:r>
            <w:r>
              <w:rPr>
                <w:rFonts w:ascii="Calibri"/>
                <w:spacing w:val="-1"/>
                <w:sz w:val="18"/>
              </w:rPr>
              <w:t>later</w:t>
            </w:r>
            <w:r>
              <w:rPr>
                <w:rFonts w:ascii="Calibri"/>
                <w:spacing w:val="-4"/>
                <w:sz w:val="18"/>
              </w:rPr>
              <w:t xml:space="preserve"> </w:t>
            </w:r>
            <w:r>
              <w:rPr>
                <w:rFonts w:ascii="Calibri"/>
                <w:sz w:val="18"/>
              </w:rPr>
              <w:t>years.</w:t>
            </w:r>
          </w:p>
        </w:tc>
        <w:tc>
          <w:tcPr>
            <w:tcW w:w="4680" w:type="dxa"/>
            <w:shd w:val="clear" w:color="auto" w:fill="auto"/>
          </w:tcPr>
          <w:p w:rsidR="00E646C9" w:rsidRDefault="00E646C9" w:rsidP="00C94D5A">
            <w:pPr>
              <w:pStyle w:val="TableParagraph"/>
              <w:spacing w:line="218" w:lineRule="exact"/>
              <w:ind w:left="138"/>
              <w:rPr>
                <w:rFonts w:ascii="Calibri"/>
                <w:spacing w:val="-1"/>
                <w:sz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E646C9" w:rsidRPr="00B04FB4" w:rsidRDefault="00E646C9" w:rsidP="003B56E9">
      <w:pPr>
        <w:pStyle w:val="AppendixGHeading2"/>
      </w:pPr>
      <w:bookmarkStart w:id="1437" w:name="_Ref440619606"/>
      <w:r w:rsidRPr="00B04FB4">
        <w:t>Industrial</w:t>
      </w:r>
      <w:bookmarkEnd w:id="1437"/>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B40F47">
        <w:trPr>
          <w:trHeight w:hRule="exact" w:val="848"/>
          <w:tblHeader/>
        </w:trPr>
        <w:tc>
          <w:tcPr>
            <w:tcW w:w="4680" w:type="dxa"/>
            <w:shd w:val="clear" w:color="auto" w:fill="438A99"/>
          </w:tcPr>
          <w:p w:rsidR="00E646C9" w:rsidRDefault="00E646C9" w:rsidP="00B40F47">
            <w:pPr>
              <w:pStyle w:val="TableParagraph"/>
              <w:spacing w:before="154"/>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spacing w:before="156"/>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5A786B">
        <w:trPr>
          <w:trHeight w:hRule="exact" w:val="3756"/>
        </w:trPr>
        <w:tc>
          <w:tcPr>
            <w:tcW w:w="4680" w:type="dxa"/>
            <w:shd w:val="clear" w:color="auto" w:fill="D2EAF1"/>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ind w:left="97" w:right="157"/>
              <w:rPr>
                <w:rFonts w:ascii="Calibri" w:eastAsia="Calibri" w:hAnsi="Calibri" w:cs="Calibri"/>
                <w:sz w:val="18"/>
                <w:szCs w:val="18"/>
              </w:rPr>
            </w:pPr>
            <w:r>
              <w:rPr>
                <w:rFonts w:ascii="Calibri"/>
                <w:spacing w:val="-1"/>
                <w:sz w:val="18"/>
              </w:rPr>
              <w:t>Monitor</w:t>
            </w:r>
            <w:r>
              <w:rPr>
                <w:rFonts w:ascii="Calibri"/>
                <w:spacing w:val="-7"/>
                <w:sz w:val="18"/>
              </w:rPr>
              <w:t xml:space="preserve"> </w:t>
            </w:r>
            <w:r>
              <w:rPr>
                <w:rFonts w:ascii="Calibri"/>
                <w:spacing w:val="-1"/>
                <w:sz w:val="18"/>
              </w:rPr>
              <w:t>participant</w:t>
            </w:r>
            <w:r>
              <w:rPr>
                <w:rFonts w:ascii="Calibri"/>
                <w:spacing w:val="-6"/>
                <w:sz w:val="18"/>
              </w:rPr>
              <w:t xml:space="preserve"> </w:t>
            </w:r>
            <w:r>
              <w:rPr>
                <w:rFonts w:ascii="Calibri"/>
                <w:spacing w:val="-1"/>
                <w:sz w:val="18"/>
              </w:rPr>
              <w:t>satisfaction</w:t>
            </w:r>
            <w:r>
              <w:rPr>
                <w:rFonts w:ascii="Calibri"/>
                <w:spacing w:val="-7"/>
                <w:sz w:val="18"/>
              </w:rPr>
              <w:t xml:space="preserve"> </w:t>
            </w:r>
            <w:r>
              <w:rPr>
                <w:rFonts w:ascii="Calibri"/>
                <w:spacing w:val="-1"/>
                <w:sz w:val="18"/>
              </w:rPr>
              <w:t>with</w:t>
            </w:r>
            <w:r>
              <w:rPr>
                <w:rFonts w:ascii="Calibri"/>
                <w:spacing w:val="-6"/>
                <w:sz w:val="18"/>
              </w:rPr>
              <w:t xml:space="preserve"> </w:t>
            </w:r>
            <w:r>
              <w:rPr>
                <w:rFonts w:ascii="Calibri"/>
                <w:spacing w:val="-1"/>
                <w:sz w:val="18"/>
              </w:rPr>
              <w:t>the</w:t>
            </w:r>
            <w:r>
              <w:rPr>
                <w:rFonts w:ascii="Calibri"/>
                <w:spacing w:val="-7"/>
                <w:sz w:val="18"/>
              </w:rPr>
              <w:t xml:space="preserve"> </w:t>
            </w:r>
            <w:r>
              <w:rPr>
                <w:rFonts w:ascii="Calibri"/>
                <w:sz w:val="18"/>
              </w:rPr>
              <w:t>time</w:t>
            </w:r>
            <w:r>
              <w:rPr>
                <w:rFonts w:ascii="Calibri"/>
                <w:spacing w:val="-6"/>
                <w:sz w:val="18"/>
              </w:rPr>
              <w:t xml:space="preserve"> </w:t>
            </w:r>
            <w:r>
              <w:rPr>
                <w:rFonts w:ascii="Calibri"/>
                <w:spacing w:val="-1"/>
                <w:sz w:val="18"/>
              </w:rPr>
              <w:t>frame</w:t>
            </w:r>
            <w:r>
              <w:rPr>
                <w:rFonts w:ascii="Calibri"/>
                <w:spacing w:val="59"/>
                <w:w w:val="99"/>
                <w:sz w:val="18"/>
              </w:rPr>
              <w:t xml:space="preserve"> </w:t>
            </w:r>
            <w:r>
              <w:rPr>
                <w:rFonts w:ascii="Calibri"/>
                <w:spacing w:val="-1"/>
                <w:sz w:val="18"/>
              </w:rPr>
              <w:t>required</w:t>
            </w:r>
            <w:r>
              <w:rPr>
                <w:rFonts w:ascii="Calibri"/>
                <w:spacing w:val="-6"/>
                <w:sz w:val="18"/>
              </w:rPr>
              <w:t xml:space="preserve"> </w:t>
            </w:r>
            <w:r>
              <w:rPr>
                <w:rFonts w:ascii="Calibri"/>
                <w:sz w:val="18"/>
              </w:rPr>
              <w:t>for</w:t>
            </w:r>
            <w:r>
              <w:rPr>
                <w:rFonts w:ascii="Calibri"/>
                <w:spacing w:val="-5"/>
                <w:sz w:val="18"/>
              </w:rPr>
              <w:t xml:space="preserve"> </w:t>
            </w:r>
            <w:r>
              <w:rPr>
                <w:rFonts w:ascii="Calibri"/>
                <w:spacing w:val="-1"/>
                <w:sz w:val="18"/>
              </w:rPr>
              <w:t>them</w:t>
            </w:r>
            <w:r>
              <w:rPr>
                <w:rFonts w:ascii="Calibri"/>
                <w:spacing w:val="-4"/>
                <w:sz w:val="18"/>
              </w:rPr>
              <w:t xml:space="preserve"> </w:t>
            </w:r>
            <w:r>
              <w:rPr>
                <w:rFonts w:ascii="Calibri"/>
                <w:spacing w:val="-1"/>
                <w:sz w:val="18"/>
              </w:rPr>
              <w:t>to</w:t>
            </w:r>
            <w:r>
              <w:rPr>
                <w:rFonts w:ascii="Calibri"/>
                <w:spacing w:val="-4"/>
                <w:sz w:val="18"/>
              </w:rPr>
              <w:t xml:space="preserve"> </w:t>
            </w:r>
            <w:r>
              <w:rPr>
                <w:rFonts w:ascii="Calibri"/>
                <w:spacing w:val="-1"/>
                <w:sz w:val="18"/>
              </w:rPr>
              <w:t>receive</w:t>
            </w:r>
            <w:r>
              <w:rPr>
                <w:rFonts w:ascii="Calibri"/>
                <w:spacing w:val="-5"/>
                <w:sz w:val="18"/>
              </w:rPr>
              <w:t xml:space="preserve"> </w:t>
            </w:r>
            <w:r>
              <w:rPr>
                <w:rFonts w:ascii="Calibri"/>
                <w:sz w:val="18"/>
              </w:rPr>
              <w:t>their</w:t>
            </w:r>
            <w:r>
              <w:rPr>
                <w:rFonts w:ascii="Calibri"/>
                <w:spacing w:val="-5"/>
                <w:sz w:val="18"/>
              </w:rPr>
              <w:t xml:space="preserve"> </w:t>
            </w:r>
            <w:r>
              <w:rPr>
                <w:rFonts w:ascii="Calibri"/>
                <w:spacing w:val="-1"/>
                <w:sz w:val="18"/>
              </w:rPr>
              <w:t>rebate</w:t>
            </w:r>
            <w:r>
              <w:rPr>
                <w:rFonts w:ascii="Calibri"/>
                <w:spacing w:val="-5"/>
                <w:sz w:val="18"/>
              </w:rPr>
              <w:t xml:space="preserve"> </w:t>
            </w:r>
            <w:r>
              <w:rPr>
                <w:rFonts w:ascii="Calibri"/>
                <w:spacing w:val="-1"/>
                <w:sz w:val="18"/>
              </w:rPr>
              <w:t>checks,</w:t>
            </w:r>
            <w:r>
              <w:rPr>
                <w:rFonts w:ascii="Calibri"/>
                <w:spacing w:val="-5"/>
                <w:sz w:val="18"/>
              </w:rPr>
              <w:t xml:space="preserve"> </w:t>
            </w:r>
            <w:r>
              <w:rPr>
                <w:rFonts w:ascii="Calibri"/>
                <w:spacing w:val="-1"/>
                <w:sz w:val="18"/>
              </w:rPr>
              <w:t>and</w:t>
            </w:r>
            <w:r>
              <w:rPr>
                <w:rFonts w:ascii="Calibri"/>
                <w:spacing w:val="43"/>
                <w:w w:val="99"/>
                <w:sz w:val="18"/>
              </w:rPr>
              <w:t xml:space="preserve"> </w:t>
            </w:r>
            <w:r>
              <w:rPr>
                <w:rFonts w:ascii="Calibri"/>
                <w:spacing w:val="-1"/>
                <w:sz w:val="18"/>
              </w:rPr>
              <w:t>determine</w:t>
            </w:r>
            <w:r>
              <w:rPr>
                <w:rFonts w:ascii="Calibri"/>
                <w:spacing w:val="-9"/>
                <w:sz w:val="18"/>
              </w:rPr>
              <w:t xml:space="preserve"> </w:t>
            </w:r>
            <w:r>
              <w:rPr>
                <w:rFonts w:ascii="Calibri"/>
                <w:spacing w:val="-1"/>
                <w:sz w:val="18"/>
              </w:rPr>
              <w:t>whether</w:t>
            </w:r>
            <w:r>
              <w:rPr>
                <w:rFonts w:ascii="Calibri"/>
                <w:spacing w:val="-6"/>
                <w:sz w:val="18"/>
              </w:rPr>
              <w:t xml:space="preserve"> </w:t>
            </w:r>
            <w:r>
              <w:rPr>
                <w:rFonts w:ascii="Calibri"/>
                <w:spacing w:val="-1"/>
                <w:sz w:val="18"/>
              </w:rPr>
              <w:t>participants</w:t>
            </w:r>
            <w:r>
              <w:rPr>
                <w:rFonts w:ascii="Calibri"/>
                <w:spacing w:val="-7"/>
                <w:sz w:val="18"/>
              </w:rPr>
              <w:t xml:space="preserve"> </w:t>
            </w:r>
            <w:r>
              <w:rPr>
                <w:rFonts w:ascii="Calibri"/>
                <w:spacing w:val="-1"/>
                <w:sz w:val="18"/>
              </w:rPr>
              <w:t>have</w:t>
            </w:r>
            <w:r>
              <w:rPr>
                <w:rFonts w:ascii="Calibri"/>
                <w:spacing w:val="-9"/>
                <w:sz w:val="18"/>
              </w:rPr>
              <w:t xml:space="preserve"> </w:t>
            </w:r>
            <w:r>
              <w:rPr>
                <w:rFonts w:ascii="Calibri"/>
                <w:spacing w:val="-1"/>
                <w:sz w:val="18"/>
              </w:rPr>
              <w:t>unrealistic</w:t>
            </w:r>
            <w:r>
              <w:rPr>
                <w:rFonts w:ascii="Calibri"/>
                <w:spacing w:val="51"/>
                <w:w w:val="99"/>
                <w:sz w:val="18"/>
              </w:rPr>
              <w:t xml:space="preserve"> </w:t>
            </w:r>
            <w:r>
              <w:rPr>
                <w:rFonts w:ascii="Calibri"/>
                <w:spacing w:val="-1"/>
                <w:sz w:val="18"/>
              </w:rPr>
              <w:t>expectations</w:t>
            </w:r>
            <w:r>
              <w:rPr>
                <w:rFonts w:ascii="Calibri"/>
                <w:spacing w:val="-7"/>
                <w:sz w:val="18"/>
              </w:rPr>
              <w:t xml:space="preserve"> </w:t>
            </w:r>
            <w:r>
              <w:rPr>
                <w:rFonts w:ascii="Calibri"/>
                <w:spacing w:val="-1"/>
                <w:sz w:val="18"/>
              </w:rPr>
              <w:t>regarding</w:t>
            </w:r>
            <w:r>
              <w:rPr>
                <w:rFonts w:ascii="Calibri"/>
                <w:spacing w:val="-7"/>
                <w:sz w:val="18"/>
              </w:rPr>
              <w:t xml:space="preserve"> </w:t>
            </w:r>
            <w:r>
              <w:rPr>
                <w:rFonts w:ascii="Calibri"/>
                <w:sz w:val="18"/>
              </w:rPr>
              <w:t>the</w:t>
            </w:r>
            <w:r>
              <w:rPr>
                <w:rFonts w:ascii="Calibri"/>
                <w:spacing w:val="-7"/>
                <w:sz w:val="18"/>
              </w:rPr>
              <w:t xml:space="preserve"> </w:t>
            </w:r>
            <w:r>
              <w:rPr>
                <w:rFonts w:ascii="Calibri"/>
                <w:spacing w:val="-1"/>
                <w:sz w:val="18"/>
              </w:rPr>
              <w:t>probable</w:t>
            </w:r>
            <w:r>
              <w:rPr>
                <w:rFonts w:ascii="Calibri"/>
                <w:spacing w:val="-7"/>
                <w:sz w:val="18"/>
              </w:rPr>
              <w:t xml:space="preserve"> </w:t>
            </w:r>
            <w:r>
              <w:rPr>
                <w:rFonts w:ascii="Calibri"/>
                <w:spacing w:val="-1"/>
                <w:sz w:val="18"/>
              </w:rPr>
              <w:t>timing</w:t>
            </w:r>
            <w:r>
              <w:rPr>
                <w:rFonts w:ascii="Calibri"/>
                <w:spacing w:val="-7"/>
                <w:sz w:val="18"/>
              </w:rPr>
              <w:t xml:space="preserve"> </w:t>
            </w:r>
            <w:r>
              <w:rPr>
                <w:rFonts w:ascii="Calibri"/>
                <w:sz w:val="18"/>
              </w:rPr>
              <w:t>of</w:t>
            </w:r>
            <w:r>
              <w:rPr>
                <w:rFonts w:ascii="Calibri"/>
                <w:spacing w:val="-6"/>
                <w:sz w:val="18"/>
              </w:rPr>
              <w:t xml:space="preserve"> </w:t>
            </w:r>
            <w:r>
              <w:rPr>
                <w:rFonts w:ascii="Calibri"/>
                <w:spacing w:val="-1"/>
                <w:sz w:val="18"/>
              </w:rPr>
              <w:t>receiving</w:t>
            </w:r>
            <w:r>
              <w:rPr>
                <w:rFonts w:ascii="Calibri"/>
                <w:spacing w:val="59"/>
                <w:w w:val="99"/>
                <w:sz w:val="18"/>
              </w:rPr>
              <w:t xml:space="preserve"> </w:t>
            </w:r>
            <w:r>
              <w:rPr>
                <w:rFonts w:ascii="Calibri"/>
                <w:spacing w:val="-1"/>
                <w:sz w:val="18"/>
              </w:rPr>
              <w:t>these</w:t>
            </w:r>
            <w:r>
              <w:rPr>
                <w:rFonts w:ascii="Calibri"/>
                <w:spacing w:val="-7"/>
                <w:sz w:val="18"/>
              </w:rPr>
              <w:t xml:space="preserve"> </w:t>
            </w:r>
            <w:r>
              <w:rPr>
                <w:rFonts w:ascii="Calibri"/>
                <w:spacing w:val="-1"/>
                <w:sz w:val="18"/>
              </w:rPr>
              <w:t>payments.</w:t>
            </w:r>
            <w:r>
              <w:rPr>
                <w:rFonts w:ascii="Calibri"/>
                <w:spacing w:val="-5"/>
                <w:sz w:val="18"/>
              </w:rPr>
              <w:t xml:space="preserve"> </w:t>
            </w:r>
            <w:r>
              <w:rPr>
                <w:rFonts w:ascii="Calibri"/>
                <w:sz w:val="18"/>
              </w:rPr>
              <w:t>If</w:t>
            </w:r>
            <w:r>
              <w:rPr>
                <w:rFonts w:ascii="Calibri"/>
                <w:spacing w:val="-5"/>
                <w:sz w:val="18"/>
              </w:rPr>
              <w:t xml:space="preserve"> </w:t>
            </w:r>
            <w:r>
              <w:rPr>
                <w:rFonts w:ascii="Calibri"/>
                <w:sz w:val="18"/>
              </w:rPr>
              <w:t>a</w:t>
            </w:r>
            <w:r>
              <w:rPr>
                <w:rFonts w:ascii="Calibri"/>
                <w:spacing w:val="-5"/>
                <w:sz w:val="18"/>
              </w:rPr>
              <w:t xml:space="preserve"> </w:t>
            </w:r>
            <w:r>
              <w:rPr>
                <w:rFonts w:ascii="Calibri"/>
                <w:spacing w:val="-1"/>
                <w:sz w:val="18"/>
              </w:rPr>
              <w:t>substantial</w:t>
            </w:r>
            <w:r>
              <w:rPr>
                <w:rFonts w:ascii="Calibri"/>
                <w:spacing w:val="-6"/>
                <w:sz w:val="18"/>
              </w:rPr>
              <w:t xml:space="preserve"> </w:t>
            </w:r>
            <w:r>
              <w:rPr>
                <w:rFonts w:ascii="Calibri"/>
                <w:spacing w:val="-1"/>
                <w:sz w:val="18"/>
              </w:rPr>
              <w:t>number</w:t>
            </w:r>
            <w:r>
              <w:rPr>
                <w:rFonts w:ascii="Calibri"/>
                <w:spacing w:val="-6"/>
                <w:sz w:val="18"/>
              </w:rPr>
              <w:t xml:space="preserve"> </w:t>
            </w:r>
            <w:r>
              <w:rPr>
                <w:rFonts w:ascii="Calibri"/>
                <w:sz w:val="18"/>
              </w:rPr>
              <w:t>of</w:t>
            </w:r>
            <w:r>
              <w:rPr>
                <w:rFonts w:ascii="Calibri"/>
                <w:spacing w:val="-5"/>
                <w:sz w:val="18"/>
              </w:rPr>
              <w:t xml:space="preserve"> </w:t>
            </w:r>
            <w:r>
              <w:rPr>
                <w:rFonts w:ascii="Calibri"/>
                <w:spacing w:val="-1"/>
                <w:sz w:val="18"/>
              </w:rPr>
              <w:t>participants</w:t>
            </w:r>
            <w:r>
              <w:rPr>
                <w:rFonts w:ascii="Calibri"/>
                <w:spacing w:val="65"/>
                <w:w w:val="99"/>
                <w:sz w:val="18"/>
              </w:rPr>
              <w:t xml:space="preserve"> </w:t>
            </w:r>
            <w:r>
              <w:rPr>
                <w:rFonts w:ascii="Calibri"/>
                <w:spacing w:val="-1"/>
                <w:sz w:val="18"/>
              </w:rPr>
              <w:t>identify</w:t>
            </w:r>
            <w:r>
              <w:rPr>
                <w:rFonts w:ascii="Calibri"/>
                <w:spacing w:val="-4"/>
                <w:sz w:val="18"/>
              </w:rPr>
              <w:t xml:space="preserve"> </w:t>
            </w:r>
            <w:r>
              <w:rPr>
                <w:rFonts w:ascii="Calibri"/>
                <w:spacing w:val="-1"/>
                <w:sz w:val="18"/>
              </w:rPr>
              <w:t>this</w:t>
            </w:r>
            <w:r>
              <w:rPr>
                <w:rFonts w:ascii="Calibri"/>
                <w:spacing w:val="-5"/>
                <w:sz w:val="18"/>
              </w:rPr>
              <w:t xml:space="preserve"> </w:t>
            </w:r>
            <w:r>
              <w:rPr>
                <w:rFonts w:ascii="Calibri"/>
                <w:sz w:val="18"/>
              </w:rPr>
              <w:t>as</w:t>
            </w:r>
            <w:r>
              <w:rPr>
                <w:rFonts w:ascii="Calibri"/>
                <w:spacing w:val="-4"/>
                <w:sz w:val="18"/>
              </w:rPr>
              <w:t xml:space="preserve"> </w:t>
            </w:r>
            <w:r>
              <w:rPr>
                <w:rFonts w:ascii="Calibri"/>
                <w:sz w:val="18"/>
              </w:rPr>
              <w:t>an</w:t>
            </w:r>
            <w:r>
              <w:rPr>
                <w:rFonts w:ascii="Calibri"/>
                <w:spacing w:val="-5"/>
                <w:sz w:val="18"/>
              </w:rPr>
              <w:t xml:space="preserve"> </w:t>
            </w:r>
            <w:r>
              <w:rPr>
                <w:rFonts w:ascii="Calibri"/>
                <w:sz w:val="18"/>
              </w:rPr>
              <w:t>issue</w:t>
            </w:r>
            <w:r>
              <w:rPr>
                <w:rFonts w:ascii="Calibri"/>
                <w:spacing w:val="-4"/>
                <w:sz w:val="18"/>
              </w:rPr>
              <w:t xml:space="preserve"> </w:t>
            </w:r>
            <w:r>
              <w:rPr>
                <w:rFonts w:ascii="Calibri"/>
                <w:spacing w:val="-1"/>
                <w:sz w:val="18"/>
              </w:rPr>
              <w:t>in</w:t>
            </w:r>
            <w:r>
              <w:rPr>
                <w:rFonts w:ascii="Calibri"/>
                <w:spacing w:val="-5"/>
                <w:sz w:val="18"/>
              </w:rPr>
              <w:t xml:space="preserve"> </w:t>
            </w:r>
            <w:r>
              <w:rPr>
                <w:rFonts w:ascii="Calibri"/>
                <w:sz w:val="18"/>
              </w:rPr>
              <w:t>PY8</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cause</w:t>
            </w:r>
            <w:r>
              <w:rPr>
                <w:rFonts w:ascii="Calibri"/>
                <w:spacing w:val="-5"/>
                <w:sz w:val="18"/>
              </w:rPr>
              <w:t xml:space="preserve"> </w:t>
            </w:r>
            <w:r>
              <w:rPr>
                <w:rFonts w:ascii="Calibri"/>
                <w:sz w:val="18"/>
              </w:rPr>
              <w:t>for</w:t>
            </w:r>
            <w:r>
              <w:rPr>
                <w:rFonts w:ascii="Calibri"/>
                <w:spacing w:val="-4"/>
                <w:sz w:val="18"/>
              </w:rPr>
              <w:t xml:space="preserve"> </w:t>
            </w:r>
            <w:r>
              <w:rPr>
                <w:rFonts w:ascii="Calibri"/>
                <w:spacing w:val="-1"/>
                <w:sz w:val="18"/>
              </w:rPr>
              <w:t>dissatisfaction,</w:t>
            </w:r>
            <w:r>
              <w:rPr>
                <w:rFonts w:ascii="Calibri"/>
                <w:spacing w:val="51"/>
                <w:w w:val="99"/>
                <w:sz w:val="18"/>
              </w:rPr>
              <w:t xml:space="preserve"> </w:t>
            </w:r>
            <w:r>
              <w:rPr>
                <w:rFonts w:ascii="Calibri"/>
                <w:spacing w:val="-1"/>
                <w:sz w:val="18"/>
              </w:rPr>
              <w:t>consider</w:t>
            </w:r>
            <w:r>
              <w:rPr>
                <w:rFonts w:ascii="Calibri"/>
                <w:spacing w:val="-7"/>
                <w:sz w:val="18"/>
              </w:rPr>
              <w:t xml:space="preserve"> </w:t>
            </w:r>
            <w:r>
              <w:rPr>
                <w:rFonts w:ascii="Calibri"/>
                <w:spacing w:val="-1"/>
                <w:sz w:val="18"/>
              </w:rPr>
              <w:t>conducting</w:t>
            </w:r>
            <w:r>
              <w:rPr>
                <w:rFonts w:ascii="Calibri"/>
                <w:spacing w:val="-6"/>
                <w:sz w:val="18"/>
              </w:rPr>
              <w:t xml:space="preserve"> </w:t>
            </w:r>
            <w:r>
              <w:rPr>
                <w:rFonts w:ascii="Calibri"/>
                <w:sz w:val="18"/>
              </w:rPr>
              <w:t>more</w:t>
            </w:r>
            <w:r>
              <w:rPr>
                <w:rFonts w:ascii="Calibri"/>
                <w:spacing w:val="-7"/>
                <w:sz w:val="18"/>
              </w:rPr>
              <w:t xml:space="preserve"> </w:t>
            </w:r>
            <w:r>
              <w:rPr>
                <w:rFonts w:ascii="Calibri"/>
                <w:spacing w:val="-1"/>
                <w:sz w:val="18"/>
              </w:rPr>
              <w:t>extensive</w:t>
            </w:r>
            <w:r>
              <w:rPr>
                <w:rFonts w:ascii="Calibri"/>
                <w:spacing w:val="-6"/>
                <w:sz w:val="18"/>
              </w:rPr>
              <w:t xml:space="preserve"> </w:t>
            </w:r>
            <w:r>
              <w:rPr>
                <w:rFonts w:ascii="Calibri"/>
                <w:spacing w:val="-1"/>
                <w:sz w:val="18"/>
              </w:rPr>
              <w:t>analysis</w:t>
            </w:r>
            <w:r>
              <w:rPr>
                <w:rFonts w:ascii="Calibri"/>
                <w:spacing w:val="-7"/>
                <w:sz w:val="18"/>
              </w:rPr>
              <w:t xml:space="preserve"> </w:t>
            </w:r>
            <w:r>
              <w:rPr>
                <w:rFonts w:ascii="Calibri"/>
                <w:sz w:val="18"/>
              </w:rPr>
              <w:t>of</w:t>
            </w:r>
            <w:r>
              <w:rPr>
                <w:rFonts w:ascii="Calibri"/>
                <w:spacing w:val="-5"/>
                <w:sz w:val="18"/>
              </w:rPr>
              <w:t xml:space="preserve"> </w:t>
            </w:r>
            <w:r>
              <w:rPr>
                <w:rFonts w:ascii="Calibri"/>
                <w:spacing w:val="-1"/>
                <w:sz w:val="18"/>
              </w:rPr>
              <w:t>time</w:t>
            </w:r>
            <w:r>
              <w:rPr>
                <w:rFonts w:ascii="Calibri"/>
                <w:spacing w:val="-6"/>
                <w:sz w:val="18"/>
              </w:rPr>
              <w:t xml:space="preserve"> </w:t>
            </w:r>
            <w:r>
              <w:rPr>
                <w:rFonts w:ascii="Calibri"/>
                <w:spacing w:val="-1"/>
                <w:sz w:val="18"/>
              </w:rPr>
              <w:t>frames</w:t>
            </w:r>
            <w:r>
              <w:rPr>
                <w:rFonts w:ascii="Calibri"/>
                <w:spacing w:val="63"/>
                <w:w w:val="99"/>
                <w:sz w:val="18"/>
              </w:rPr>
              <w:t xml:space="preserve"> </w:t>
            </w:r>
            <w:r>
              <w:rPr>
                <w:rFonts w:ascii="Calibri"/>
                <w:sz w:val="18"/>
              </w:rPr>
              <w:t>for</w:t>
            </w:r>
            <w:r>
              <w:rPr>
                <w:rFonts w:ascii="Calibri"/>
                <w:spacing w:val="-5"/>
                <w:sz w:val="18"/>
              </w:rPr>
              <w:t xml:space="preserve"> </w:t>
            </w:r>
            <w:r>
              <w:rPr>
                <w:rFonts w:ascii="Calibri"/>
                <w:spacing w:val="-1"/>
                <w:sz w:val="18"/>
              </w:rPr>
              <w:t>receiving</w:t>
            </w:r>
            <w:r>
              <w:rPr>
                <w:rFonts w:ascii="Calibri"/>
                <w:spacing w:val="-5"/>
                <w:sz w:val="18"/>
              </w:rPr>
              <w:t xml:space="preserve"> </w:t>
            </w:r>
            <w:r>
              <w:rPr>
                <w:rFonts w:ascii="Calibri"/>
                <w:spacing w:val="-1"/>
                <w:sz w:val="18"/>
              </w:rPr>
              <w:t>rebate</w:t>
            </w:r>
            <w:r>
              <w:rPr>
                <w:rFonts w:ascii="Calibri"/>
                <w:spacing w:val="-4"/>
                <w:sz w:val="18"/>
              </w:rPr>
              <w:t xml:space="preserve"> </w:t>
            </w:r>
            <w:r>
              <w:rPr>
                <w:rFonts w:ascii="Calibri"/>
                <w:spacing w:val="-1"/>
                <w:sz w:val="18"/>
              </w:rPr>
              <w:t>checks,</w:t>
            </w:r>
            <w:r>
              <w:rPr>
                <w:rFonts w:ascii="Calibri"/>
                <w:spacing w:val="-4"/>
                <w:sz w:val="18"/>
              </w:rPr>
              <w:t xml:space="preserve"> </w:t>
            </w:r>
            <w:r>
              <w:rPr>
                <w:rFonts w:ascii="Calibri"/>
                <w:sz w:val="18"/>
              </w:rPr>
              <w:t>as</w:t>
            </w:r>
            <w:r>
              <w:rPr>
                <w:rFonts w:ascii="Calibri"/>
                <w:spacing w:val="-5"/>
                <w:sz w:val="18"/>
              </w:rPr>
              <w:t xml:space="preserve"> </w:t>
            </w:r>
            <w:r>
              <w:rPr>
                <w:rFonts w:ascii="Calibri"/>
                <w:spacing w:val="-1"/>
                <w:sz w:val="18"/>
              </w:rPr>
              <w:t>well</w:t>
            </w:r>
            <w:r>
              <w:rPr>
                <w:rFonts w:ascii="Calibri"/>
                <w:spacing w:val="-4"/>
                <w:sz w:val="18"/>
              </w:rPr>
              <w:t xml:space="preserve"> </w:t>
            </w:r>
            <w:r>
              <w:rPr>
                <w:rFonts w:ascii="Calibri"/>
                <w:sz w:val="18"/>
              </w:rPr>
              <w:t>as</w:t>
            </w:r>
            <w:r>
              <w:rPr>
                <w:rFonts w:ascii="Calibri"/>
                <w:spacing w:val="-5"/>
                <w:sz w:val="18"/>
              </w:rPr>
              <w:t xml:space="preserve"> </w:t>
            </w:r>
            <w:r>
              <w:rPr>
                <w:rFonts w:ascii="Calibri"/>
                <w:sz w:val="18"/>
              </w:rPr>
              <w:t>the</w:t>
            </w:r>
            <w:r>
              <w:rPr>
                <w:rFonts w:ascii="Calibri"/>
                <w:spacing w:val="-4"/>
                <w:sz w:val="18"/>
              </w:rPr>
              <w:t xml:space="preserve"> </w:t>
            </w:r>
            <w:r>
              <w:rPr>
                <w:rFonts w:ascii="Calibri"/>
                <w:spacing w:val="-1"/>
                <w:sz w:val="18"/>
              </w:rPr>
              <w:t>feasibility</w:t>
            </w:r>
            <w:r>
              <w:rPr>
                <w:rFonts w:ascii="Calibri"/>
                <w:spacing w:val="-4"/>
                <w:sz w:val="18"/>
              </w:rPr>
              <w:t xml:space="preserve"> </w:t>
            </w:r>
            <w:r>
              <w:rPr>
                <w:rFonts w:ascii="Calibri"/>
                <w:sz w:val="18"/>
              </w:rPr>
              <w:t>of</w:t>
            </w:r>
            <w:r>
              <w:rPr>
                <w:rFonts w:ascii="Calibri"/>
                <w:spacing w:val="51"/>
                <w:w w:val="99"/>
                <w:sz w:val="18"/>
              </w:rPr>
              <w:t xml:space="preserve"> </w:t>
            </w:r>
            <w:r>
              <w:rPr>
                <w:rFonts w:ascii="Calibri"/>
                <w:spacing w:val="-1"/>
                <w:sz w:val="18"/>
              </w:rPr>
              <w:t>instituting</w:t>
            </w:r>
            <w:r>
              <w:rPr>
                <w:rFonts w:ascii="Calibri"/>
                <w:spacing w:val="-8"/>
                <w:sz w:val="18"/>
              </w:rPr>
              <w:t xml:space="preserve"> </w:t>
            </w:r>
            <w:r>
              <w:rPr>
                <w:rFonts w:ascii="Calibri"/>
                <w:sz w:val="18"/>
              </w:rPr>
              <w:t>a</w:t>
            </w:r>
            <w:r>
              <w:rPr>
                <w:rFonts w:ascii="Calibri"/>
                <w:spacing w:val="-6"/>
                <w:sz w:val="18"/>
              </w:rPr>
              <w:t xml:space="preserve"> </w:t>
            </w:r>
            <w:r>
              <w:rPr>
                <w:rFonts w:ascii="Calibri"/>
                <w:spacing w:val="-1"/>
                <w:sz w:val="18"/>
              </w:rPr>
              <w:t>procedure</w:t>
            </w:r>
            <w:r>
              <w:rPr>
                <w:rFonts w:ascii="Calibri"/>
                <w:spacing w:val="-7"/>
                <w:sz w:val="18"/>
              </w:rPr>
              <w:t xml:space="preserve"> </w:t>
            </w:r>
            <w:r>
              <w:rPr>
                <w:rFonts w:ascii="Calibri"/>
                <w:spacing w:val="-1"/>
                <w:sz w:val="18"/>
              </w:rPr>
              <w:t>whereby</w:t>
            </w:r>
            <w:r>
              <w:rPr>
                <w:rFonts w:ascii="Calibri"/>
                <w:spacing w:val="-5"/>
                <w:sz w:val="18"/>
              </w:rPr>
              <w:t xml:space="preserve"> </w:t>
            </w:r>
            <w:r>
              <w:rPr>
                <w:rFonts w:ascii="Calibri"/>
                <w:spacing w:val="-1"/>
                <w:sz w:val="18"/>
              </w:rPr>
              <w:t>program</w:t>
            </w:r>
            <w:r>
              <w:rPr>
                <w:rFonts w:ascii="Calibri"/>
                <w:spacing w:val="-6"/>
                <w:sz w:val="18"/>
              </w:rPr>
              <w:t xml:space="preserve"> </w:t>
            </w:r>
            <w:r>
              <w:rPr>
                <w:rFonts w:ascii="Calibri"/>
                <w:spacing w:val="-1"/>
                <w:sz w:val="18"/>
              </w:rPr>
              <w:t>management</w:t>
            </w:r>
            <w:r>
              <w:rPr>
                <w:rFonts w:ascii="Calibri"/>
                <w:spacing w:val="-6"/>
                <w:sz w:val="18"/>
              </w:rPr>
              <w:t xml:space="preserve"> </w:t>
            </w:r>
            <w:r>
              <w:rPr>
                <w:rFonts w:ascii="Calibri"/>
                <w:spacing w:val="-1"/>
                <w:sz w:val="18"/>
              </w:rPr>
              <w:t>is</w:t>
            </w:r>
            <w:r>
              <w:rPr>
                <w:rFonts w:ascii="Calibri"/>
                <w:spacing w:val="59"/>
                <w:w w:val="99"/>
                <w:sz w:val="18"/>
              </w:rPr>
              <w:t xml:space="preserve"> </w:t>
            </w:r>
            <w:r>
              <w:rPr>
                <w:rFonts w:ascii="Calibri"/>
                <w:spacing w:val="-1"/>
                <w:sz w:val="18"/>
              </w:rPr>
              <w:t>automatically</w:t>
            </w:r>
            <w:r>
              <w:rPr>
                <w:rFonts w:ascii="Calibri"/>
                <w:spacing w:val="-6"/>
                <w:sz w:val="18"/>
              </w:rPr>
              <w:t xml:space="preserve"> </w:t>
            </w:r>
            <w:r>
              <w:rPr>
                <w:rFonts w:ascii="Calibri"/>
                <w:spacing w:val="-1"/>
                <w:sz w:val="18"/>
              </w:rPr>
              <w:t>notified</w:t>
            </w:r>
            <w:r>
              <w:rPr>
                <w:rFonts w:ascii="Calibri"/>
                <w:spacing w:val="-6"/>
                <w:sz w:val="18"/>
              </w:rPr>
              <w:t xml:space="preserve"> </w:t>
            </w:r>
            <w:r>
              <w:rPr>
                <w:rFonts w:ascii="Calibri"/>
                <w:sz w:val="18"/>
              </w:rPr>
              <w:t>when</w:t>
            </w:r>
            <w:r>
              <w:rPr>
                <w:rFonts w:ascii="Calibri"/>
                <w:spacing w:val="-6"/>
                <w:sz w:val="18"/>
              </w:rPr>
              <w:t xml:space="preserve"> </w:t>
            </w:r>
            <w:r>
              <w:rPr>
                <w:rFonts w:ascii="Calibri"/>
                <w:sz w:val="18"/>
              </w:rPr>
              <w:t>a</w:t>
            </w:r>
            <w:r>
              <w:rPr>
                <w:rFonts w:ascii="Calibri"/>
                <w:spacing w:val="-5"/>
                <w:sz w:val="18"/>
              </w:rPr>
              <w:t xml:space="preserve"> </w:t>
            </w:r>
            <w:r>
              <w:rPr>
                <w:rFonts w:ascii="Calibri"/>
                <w:spacing w:val="-1"/>
                <w:sz w:val="18"/>
              </w:rPr>
              <w:t>participant</w:t>
            </w:r>
            <w:r>
              <w:rPr>
                <w:rFonts w:ascii="Calibri"/>
                <w:spacing w:val="-4"/>
                <w:sz w:val="18"/>
              </w:rPr>
              <w:t xml:space="preserve"> </w:t>
            </w:r>
            <w:r>
              <w:rPr>
                <w:rFonts w:ascii="Calibri"/>
                <w:spacing w:val="-1"/>
                <w:sz w:val="18"/>
              </w:rPr>
              <w:t>has</w:t>
            </w:r>
            <w:r>
              <w:rPr>
                <w:rFonts w:ascii="Calibri"/>
                <w:spacing w:val="-6"/>
                <w:sz w:val="18"/>
              </w:rPr>
              <w:t xml:space="preserve"> </w:t>
            </w:r>
            <w:r>
              <w:rPr>
                <w:rFonts w:ascii="Calibri"/>
                <w:spacing w:val="-1"/>
                <w:sz w:val="18"/>
              </w:rPr>
              <w:t>waited</w:t>
            </w:r>
            <w:r>
              <w:rPr>
                <w:rFonts w:ascii="Calibri"/>
                <w:spacing w:val="-5"/>
                <w:sz w:val="18"/>
              </w:rPr>
              <w:t xml:space="preserve"> </w:t>
            </w:r>
            <w:r>
              <w:rPr>
                <w:rFonts w:ascii="Calibri"/>
                <w:spacing w:val="-1"/>
                <w:sz w:val="18"/>
              </w:rPr>
              <w:t>longer</w:t>
            </w:r>
            <w:r>
              <w:rPr>
                <w:rFonts w:ascii="Calibri"/>
                <w:spacing w:val="59"/>
                <w:w w:val="99"/>
                <w:sz w:val="18"/>
              </w:rPr>
              <w:t xml:space="preserve"> </w:t>
            </w:r>
            <w:r>
              <w:rPr>
                <w:rFonts w:ascii="Calibri"/>
                <w:spacing w:val="-1"/>
                <w:sz w:val="18"/>
              </w:rPr>
              <w:t>than</w:t>
            </w:r>
            <w:r>
              <w:rPr>
                <w:rFonts w:ascii="Calibri"/>
                <w:spacing w:val="-6"/>
                <w:sz w:val="18"/>
              </w:rPr>
              <w:t xml:space="preserve"> </w:t>
            </w:r>
            <w:r>
              <w:rPr>
                <w:rFonts w:ascii="Calibri"/>
                <w:sz w:val="18"/>
              </w:rPr>
              <w:t>a</w:t>
            </w:r>
            <w:r>
              <w:rPr>
                <w:rFonts w:ascii="Calibri"/>
                <w:spacing w:val="-5"/>
                <w:sz w:val="18"/>
              </w:rPr>
              <w:t xml:space="preserve"> </w:t>
            </w:r>
            <w:r>
              <w:rPr>
                <w:rFonts w:ascii="Calibri"/>
                <w:spacing w:val="-1"/>
                <w:sz w:val="18"/>
              </w:rPr>
              <w:t>pre-specified</w:t>
            </w:r>
            <w:r>
              <w:rPr>
                <w:rFonts w:ascii="Calibri"/>
                <w:spacing w:val="-4"/>
                <w:sz w:val="18"/>
              </w:rPr>
              <w:t xml:space="preserve"> </w:t>
            </w:r>
            <w:r>
              <w:rPr>
                <w:rFonts w:ascii="Calibri"/>
                <w:spacing w:val="-1"/>
                <w:sz w:val="18"/>
              </w:rPr>
              <w:t>period</w:t>
            </w:r>
            <w:r>
              <w:rPr>
                <w:rFonts w:ascii="Calibri"/>
                <w:spacing w:val="-4"/>
                <w:sz w:val="18"/>
              </w:rPr>
              <w:t xml:space="preserve"> </w:t>
            </w:r>
            <w:r>
              <w:rPr>
                <w:rFonts w:ascii="Calibri"/>
                <w:sz w:val="18"/>
              </w:rPr>
              <w:t>before</w:t>
            </w:r>
            <w:r>
              <w:rPr>
                <w:rFonts w:ascii="Calibri"/>
                <w:spacing w:val="-6"/>
                <w:sz w:val="18"/>
              </w:rPr>
              <w:t xml:space="preserve"> </w:t>
            </w:r>
            <w:r>
              <w:rPr>
                <w:rFonts w:ascii="Calibri"/>
                <w:spacing w:val="-1"/>
                <w:sz w:val="18"/>
              </w:rPr>
              <w:t>they</w:t>
            </w:r>
            <w:r>
              <w:rPr>
                <w:rFonts w:ascii="Calibri"/>
                <w:spacing w:val="-4"/>
                <w:sz w:val="18"/>
              </w:rPr>
              <w:t xml:space="preserve"> </w:t>
            </w:r>
            <w:r>
              <w:rPr>
                <w:rFonts w:ascii="Calibri"/>
                <w:spacing w:val="-1"/>
                <w:sz w:val="18"/>
              </w:rPr>
              <w:t>receive</w:t>
            </w:r>
            <w:r>
              <w:rPr>
                <w:rFonts w:ascii="Calibri"/>
                <w:spacing w:val="-6"/>
                <w:sz w:val="18"/>
              </w:rPr>
              <w:t xml:space="preserve"> </w:t>
            </w:r>
            <w:r>
              <w:rPr>
                <w:rFonts w:ascii="Calibri"/>
                <w:spacing w:val="-1"/>
                <w:sz w:val="18"/>
              </w:rPr>
              <w:t>their</w:t>
            </w:r>
            <w:r>
              <w:rPr>
                <w:rFonts w:ascii="Calibri"/>
                <w:spacing w:val="-6"/>
                <w:sz w:val="18"/>
              </w:rPr>
              <w:t xml:space="preserve"> </w:t>
            </w:r>
            <w:r>
              <w:rPr>
                <w:rFonts w:ascii="Calibri"/>
                <w:spacing w:val="-1"/>
                <w:sz w:val="18"/>
              </w:rPr>
              <w:t>rebate</w:t>
            </w:r>
            <w:r>
              <w:rPr>
                <w:rFonts w:ascii="Calibri"/>
                <w:spacing w:val="61"/>
                <w:w w:val="99"/>
                <w:sz w:val="18"/>
              </w:rPr>
              <w:t xml:space="preserve"> </w:t>
            </w:r>
            <w:r>
              <w:rPr>
                <w:rFonts w:ascii="Calibri"/>
                <w:spacing w:val="-1"/>
                <w:sz w:val="18"/>
              </w:rPr>
              <w:t>check,</w:t>
            </w:r>
            <w:r>
              <w:rPr>
                <w:rFonts w:ascii="Calibri"/>
                <w:spacing w:val="-6"/>
                <w:sz w:val="18"/>
              </w:rPr>
              <w:t xml:space="preserve"> </w:t>
            </w:r>
            <w:r>
              <w:rPr>
                <w:rFonts w:ascii="Calibri"/>
                <w:spacing w:val="-1"/>
                <w:sz w:val="18"/>
              </w:rPr>
              <w:t>so</w:t>
            </w:r>
            <w:r>
              <w:rPr>
                <w:rFonts w:ascii="Calibri"/>
                <w:spacing w:val="-4"/>
                <w:sz w:val="18"/>
              </w:rPr>
              <w:t xml:space="preserve"> </w:t>
            </w:r>
            <w:r>
              <w:rPr>
                <w:rFonts w:ascii="Calibri"/>
                <w:spacing w:val="-1"/>
                <w:sz w:val="18"/>
              </w:rPr>
              <w:t>that</w:t>
            </w:r>
            <w:r>
              <w:rPr>
                <w:rFonts w:ascii="Calibri"/>
                <w:spacing w:val="-6"/>
                <w:sz w:val="18"/>
              </w:rPr>
              <w:t xml:space="preserve"> </w:t>
            </w:r>
            <w:r>
              <w:rPr>
                <w:rFonts w:ascii="Calibri"/>
                <w:spacing w:val="-1"/>
                <w:sz w:val="18"/>
              </w:rPr>
              <w:t>management</w:t>
            </w:r>
            <w:r>
              <w:rPr>
                <w:rFonts w:ascii="Calibri"/>
                <w:spacing w:val="-6"/>
                <w:sz w:val="18"/>
              </w:rPr>
              <w:t xml:space="preserve"> </w:t>
            </w:r>
            <w:r>
              <w:rPr>
                <w:rFonts w:ascii="Calibri"/>
                <w:sz w:val="18"/>
              </w:rPr>
              <w:t>can</w:t>
            </w:r>
            <w:r>
              <w:rPr>
                <w:rFonts w:ascii="Calibri"/>
                <w:spacing w:val="-6"/>
                <w:sz w:val="18"/>
              </w:rPr>
              <w:t xml:space="preserve"> </w:t>
            </w:r>
            <w:r>
              <w:rPr>
                <w:rFonts w:ascii="Calibri"/>
                <w:sz w:val="18"/>
              </w:rPr>
              <w:t>then</w:t>
            </w:r>
            <w:r>
              <w:rPr>
                <w:rFonts w:ascii="Calibri"/>
                <w:spacing w:val="-5"/>
                <w:sz w:val="18"/>
              </w:rPr>
              <w:t xml:space="preserve"> </w:t>
            </w:r>
            <w:r>
              <w:rPr>
                <w:rFonts w:ascii="Calibri"/>
                <w:spacing w:val="-1"/>
                <w:sz w:val="18"/>
              </w:rPr>
              <w:t>contact</w:t>
            </w:r>
            <w:r>
              <w:rPr>
                <w:rFonts w:ascii="Calibri"/>
                <w:spacing w:val="-6"/>
                <w:sz w:val="18"/>
              </w:rPr>
              <w:t xml:space="preserve"> </w:t>
            </w:r>
            <w:r>
              <w:rPr>
                <w:rFonts w:ascii="Calibri"/>
                <w:spacing w:val="-1"/>
                <w:sz w:val="18"/>
              </w:rPr>
              <w:t>the</w:t>
            </w:r>
            <w:r>
              <w:rPr>
                <w:rFonts w:ascii="Calibri"/>
                <w:spacing w:val="-6"/>
                <w:sz w:val="18"/>
              </w:rPr>
              <w:t xml:space="preserve"> </w:t>
            </w:r>
            <w:r>
              <w:rPr>
                <w:rFonts w:ascii="Calibri"/>
                <w:sz w:val="18"/>
              </w:rPr>
              <w:t>customer</w:t>
            </w:r>
            <w:r>
              <w:rPr>
                <w:rFonts w:ascii="Calibri"/>
                <w:spacing w:val="43"/>
                <w:w w:val="99"/>
                <w:sz w:val="18"/>
              </w:rPr>
              <w:t xml:space="preserve"> </w:t>
            </w:r>
            <w:r>
              <w:rPr>
                <w:rFonts w:ascii="Calibri"/>
                <w:spacing w:val="-1"/>
                <w:sz w:val="18"/>
              </w:rPr>
              <w:t>to</w:t>
            </w:r>
            <w:r>
              <w:rPr>
                <w:rFonts w:ascii="Calibri"/>
                <w:spacing w:val="-3"/>
                <w:sz w:val="18"/>
              </w:rPr>
              <w:t xml:space="preserve"> </w:t>
            </w:r>
            <w:r>
              <w:rPr>
                <w:rFonts w:ascii="Calibri"/>
                <w:spacing w:val="-1"/>
                <w:sz w:val="18"/>
              </w:rPr>
              <w:t>provide</w:t>
            </w:r>
            <w:r>
              <w:rPr>
                <w:rFonts w:ascii="Calibri"/>
                <w:spacing w:val="-4"/>
                <w:sz w:val="18"/>
              </w:rPr>
              <w:t xml:space="preserve"> </w:t>
            </w:r>
            <w:r>
              <w:rPr>
                <w:rFonts w:ascii="Calibri"/>
                <w:sz w:val="18"/>
              </w:rPr>
              <w:t>an</w:t>
            </w:r>
            <w:r>
              <w:rPr>
                <w:rFonts w:ascii="Calibri"/>
                <w:spacing w:val="-4"/>
                <w:sz w:val="18"/>
              </w:rPr>
              <w:t xml:space="preserve"> </w:t>
            </w:r>
            <w:r>
              <w:rPr>
                <w:rFonts w:ascii="Calibri"/>
                <w:spacing w:val="-1"/>
                <w:sz w:val="18"/>
              </w:rPr>
              <w:t>update</w:t>
            </w:r>
            <w:r>
              <w:rPr>
                <w:rFonts w:ascii="Calibri"/>
                <w:spacing w:val="-3"/>
                <w:sz w:val="18"/>
              </w:rPr>
              <w:t xml:space="preserve"> </w:t>
            </w:r>
            <w:r>
              <w:rPr>
                <w:rFonts w:ascii="Calibri"/>
                <w:spacing w:val="1"/>
                <w:sz w:val="18"/>
              </w:rPr>
              <w:t>as</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when</w:t>
            </w:r>
            <w:r>
              <w:rPr>
                <w:rFonts w:ascii="Calibri"/>
                <w:spacing w:val="-2"/>
                <w:sz w:val="18"/>
              </w:rPr>
              <w:t xml:space="preserve"> </w:t>
            </w:r>
            <w:r>
              <w:rPr>
                <w:rFonts w:ascii="Calibri"/>
                <w:spacing w:val="-1"/>
                <w:sz w:val="18"/>
              </w:rPr>
              <w:t>the</w:t>
            </w:r>
            <w:r>
              <w:rPr>
                <w:rFonts w:ascii="Calibri"/>
                <w:spacing w:val="-4"/>
                <w:sz w:val="18"/>
              </w:rPr>
              <w:t xml:space="preserve"> </w:t>
            </w:r>
            <w:r>
              <w:rPr>
                <w:rFonts w:ascii="Calibri"/>
                <w:spacing w:val="-1"/>
                <w:sz w:val="18"/>
              </w:rPr>
              <w:t>check</w:t>
            </w:r>
            <w:r>
              <w:rPr>
                <w:rFonts w:ascii="Calibri"/>
                <w:spacing w:val="-3"/>
                <w:sz w:val="18"/>
              </w:rPr>
              <w:t xml:space="preserve"> </w:t>
            </w:r>
            <w:r>
              <w:rPr>
                <w:rFonts w:ascii="Calibri"/>
                <w:spacing w:val="-1"/>
                <w:sz w:val="18"/>
              </w:rPr>
              <w:t>will be</w:t>
            </w:r>
            <w:r>
              <w:rPr>
                <w:rFonts w:ascii="Calibri"/>
                <w:spacing w:val="-4"/>
                <w:sz w:val="18"/>
              </w:rPr>
              <w:t xml:space="preserve"> </w:t>
            </w:r>
            <w:r>
              <w:rPr>
                <w:rFonts w:ascii="Calibri"/>
                <w:spacing w:val="-1"/>
                <w:sz w:val="18"/>
              </w:rPr>
              <w:t>issued.</w:t>
            </w:r>
            <w:r>
              <w:rPr>
                <w:rFonts w:ascii="Calibri"/>
                <w:spacing w:val="-3"/>
                <w:sz w:val="18"/>
              </w:rPr>
              <w:t xml:space="preserve"> </w:t>
            </w:r>
            <w:r>
              <w:rPr>
                <w:rFonts w:ascii="Calibri"/>
                <w:sz w:val="18"/>
              </w:rPr>
              <w:t>It</w:t>
            </w:r>
            <w:r>
              <w:rPr>
                <w:rFonts w:ascii="Calibri"/>
                <w:spacing w:val="55"/>
                <w:w w:val="99"/>
                <w:sz w:val="18"/>
              </w:rPr>
              <w:t xml:space="preserve"> </w:t>
            </w:r>
            <w:r>
              <w:rPr>
                <w:rFonts w:ascii="Calibri"/>
                <w:sz w:val="18"/>
              </w:rPr>
              <w:t>may</w:t>
            </w:r>
            <w:r>
              <w:rPr>
                <w:rFonts w:ascii="Calibri"/>
                <w:spacing w:val="-5"/>
                <w:sz w:val="18"/>
              </w:rPr>
              <w:t xml:space="preserve"> </w:t>
            </w:r>
            <w:r>
              <w:rPr>
                <w:rFonts w:ascii="Calibri"/>
                <w:spacing w:val="-1"/>
                <w:sz w:val="18"/>
              </w:rPr>
              <w:t>also</w:t>
            </w:r>
            <w:r>
              <w:rPr>
                <w:rFonts w:ascii="Calibri"/>
                <w:spacing w:val="-4"/>
                <w:sz w:val="18"/>
              </w:rPr>
              <w:t xml:space="preserve"> </w:t>
            </w:r>
            <w:r>
              <w:rPr>
                <w:rFonts w:ascii="Calibri"/>
                <w:spacing w:val="-1"/>
                <w:sz w:val="18"/>
              </w:rPr>
              <w:t>be</w:t>
            </w:r>
            <w:r>
              <w:rPr>
                <w:rFonts w:ascii="Calibri"/>
                <w:spacing w:val="-6"/>
                <w:sz w:val="18"/>
              </w:rPr>
              <w:t xml:space="preserve"> </w:t>
            </w:r>
            <w:r>
              <w:rPr>
                <w:rFonts w:ascii="Calibri"/>
                <w:spacing w:val="-1"/>
                <w:sz w:val="18"/>
              </w:rPr>
              <w:t>important</w:t>
            </w:r>
            <w:r>
              <w:rPr>
                <w:rFonts w:ascii="Calibri"/>
                <w:spacing w:val="-6"/>
                <w:sz w:val="18"/>
              </w:rPr>
              <w:t xml:space="preserve"> </w:t>
            </w:r>
            <w:r>
              <w:rPr>
                <w:rFonts w:ascii="Calibri"/>
                <w:spacing w:val="-1"/>
                <w:sz w:val="18"/>
              </w:rPr>
              <w:t>to</w:t>
            </w:r>
            <w:r>
              <w:rPr>
                <w:rFonts w:ascii="Calibri"/>
                <w:spacing w:val="-4"/>
                <w:sz w:val="18"/>
              </w:rPr>
              <w:t xml:space="preserve"> </w:t>
            </w:r>
            <w:r>
              <w:rPr>
                <w:rFonts w:ascii="Calibri"/>
                <w:sz w:val="18"/>
              </w:rPr>
              <w:t>more</w:t>
            </w:r>
            <w:r>
              <w:rPr>
                <w:rFonts w:ascii="Calibri"/>
                <w:spacing w:val="-6"/>
                <w:sz w:val="18"/>
              </w:rPr>
              <w:t xml:space="preserve"> </w:t>
            </w:r>
            <w:r>
              <w:rPr>
                <w:rFonts w:ascii="Calibri"/>
                <w:spacing w:val="-1"/>
                <w:sz w:val="18"/>
              </w:rPr>
              <w:t>effectively</w:t>
            </w:r>
            <w:r>
              <w:rPr>
                <w:rFonts w:ascii="Calibri"/>
                <w:spacing w:val="-4"/>
                <w:sz w:val="18"/>
              </w:rPr>
              <w:t xml:space="preserve"> </w:t>
            </w:r>
            <w:r>
              <w:rPr>
                <w:rFonts w:ascii="Calibri"/>
                <w:spacing w:val="-1"/>
                <w:sz w:val="18"/>
              </w:rPr>
              <w:t>communicate</w:t>
            </w:r>
            <w:r>
              <w:rPr>
                <w:rFonts w:ascii="Calibri"/>
                <w:spacing w:val="-6"/>
                <w:sz w:val="18"/>
              </w:rPr>
              <w:t xml:space="preserve"> </w:t>
            </w:r>
            <w:r>
              <w:rPr>
                <w:rFonts w:ascii="Calibri"/>
                <w:spacing w:val="-1"/>
                <w:sz w:val="18"/>
              </w:rPr>
              <w:t>the</w:t>
            </w:r>
            <w:r>
              <w:rPr>
                <w:rFonts w:ascii="Calibri"/>
                <w:spacing w:val="51"/>
                <w:w w:val="99"/>
                <w:sz w:val="18"/>
              </w:rPr>
              <w:t xml:space="preserve"> </w:t>
            </w:r>
            <w:r>
              <w:rPr>
                <w:rFonts w:ascii="Calibri"/>
                <w:spacing w:val="-1"/>
                <w:sz w:val="18"/>
              </w:rPr>
              <w:t>likely</w:t>
            </w:r>
            <w:r>
              <w:rPr>
                <w:rFonts w:ascii="Calibri"/>
                <w:spacing w:val="-4"/>
                <w:sz w:val="18"/>
              </w:rPr>
              <w:t xml:space="preserve"> </w:t>
            </w:r>
            <w:r>
              <w:rPr>
                <w:rFonts w:ascii="Calibri"/>
                <w:sz w:val="18"/>
              </w:rPr>
              <w:t>time</w:t>
            </w:r>
            <w:r>
              <w:rPr>
                <w:rFonts w:ascii="Calibri"/>
                <w:spacing w:val="-5"/>
                <w:sz w:val="18"/>
              </w:rPr>
              <w:t xml:space="preserve"> </w:t>
            </w:r>
            <w:r>
              <w:rPr>
                <w:rFonts w:ascii="Calibri"/>
                <w:spacing w:val="-1"/>
                <w:sz w:val="18"/>
              </w:rPr>
              <w:t>frame</w:t>
            </w:r>
            <w:r>
              <w:rPr>
                <w:rFonts w:ascii="Calibri"/>
                <w:spacing w:val="-5"/>
                <w:sz w:val="18"/>
              </w:rPr>
              <w:t xml:space="preserve"> </w:t>
            </w:r>
            <w:r>
              <w:rPr>
                <w:rFonts w:ascii="Calibri"/>
                <w:sz w:val="18"/>
              </w:rPr>
              <w:t>for</w:t>
            </w:r>
            <w:r>
              <w:rPr>
                <w:rFonts w:ascii="Calibri"/>
                <w:spacing w:val="-5"/>
                <w:sz w:val="18"/>
              </w:rPr>
              <w:t xml:space="preserve"> </w:t>
            </w:r>
            <w:r>
              <w:rPr>
                <w:rFonts w:ascii="Calibri"/>
                <w:spacing w:val="-1"/>
                <w:sz w:val="18"/>
              </w:rPr>
              <w:t>receiving</w:t>
            </w:r>
            <w:r>
              <w:rPr>
                <w:rFonts w:ascii="Calibri"/>
                <w:spacing w:val="-5"/>
                <w:sz w:val="18"/>
              </w:rPr>
              <w:t xml:space="preserve"> </w:t>
            </w:r>
            <w:r>
              <w:rPr>
                <w:rFonts w:ascii="Calibri"/>
                <w:spacing w:val="-1"/>
                <w:sz w:val="18"/>
              </w:rPr>
              <w:t>rebate</w:t>
            </w:r>
            <w:r>
              <w:rPr>
                <w:rFonts w:ascii="Calibri"/>
                <w:spacing w:val="-5"/>
                <w:sz w:val="18"/>
              </w:rPr>
              <w:t xml:space="preserve"> </w:t>
            </w:r>
            <w:r>
              <w:rPr>
                <w:rFonts w:ascii="Calibri"/>
                <w:spacing w:val="-1"/>
                <w:sz w:val="18"/>
              </w:rPr>
              <w:t>checks</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z w:val="18"/>
              </w:rPr>
              <w:t>the</w:t>
            </w:r>
            <w:r>
              <w:rPr>
                <w:rFonts w:ascii="Calibri"/>
                <w:spacing w:val="43"/>
                <w:w w:val="99"/>
                <w:sz w:val="18"/>
              </w:rPr>
              <w:t xml:space="preserve"> </w:t>
            </w:r>
            <w:r>
              <w:rPr>
                <w:rFonts w:ascii="Calibri"/>
                <w:spacing w:val="-1"/>
                <w:sz w:val="18"/>
              </w:rPr>
              <w:t>customers.</w:t>
            </w:r>
          </w:p>
        </w:tc>
        <w:tc>
          <w:tcPr>
            <w:tcW w:w="4680" w:type="dxa"/>
            <w:shd w:val="clear" w:color="auto" w:fill="D2EAF1"/>
          </w:tcPr>
          <w:p w:rsidR="00E646C9" w:rsidRDefault="00E646C9" w:rsidP="00C94D5A">
            <w:pPr>
              <w:pStyle w:val="TableParagraph"/>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5A786B">
        <w:trPr>
          <w:trHeight w:hRule="exact" w:val="1339"/>
        </w:trPr>
        <w:tc>
          <w:tcPr>
            <w:tcW w:w="4680" w:type="dxa"/>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2</w:t>
            </w:r>
          </w:p>
          <w:p w:rsidR="00E646C9" w:rsidRDefault="00E646C9" w:rsidP="00C94D5A">
            <w:pPr>
              <w:pStyle w:val="TableParagraph"/>
              <w:spacing w:before="1"/>
              <w:ind w:left="97" w:right="151"/>
              <w:rPr>
                <w:rFonts w:ascii="Calibri" w:eastAsia="Calibri" w:hAnsi="Calibri" w:cs="Calibri"/>
                <w:sz w:val="18"/>
                <w:szCs w:val="18"/>
              </w:rPr>
            </w:pPr>
            <w:r>
              <w:rPr>
                <w:rFonts w:ascii="Calibri"/>
                <w:spacing w:val="-1"/>
                <w:sz w:val="18"/>
              </w:rPr>
              <w:t>Monitor</w:t>
            </w:r>
            <w:r>
              <w:rPr>
                <w:rFonts w:ascii="Calibri"/>
                <w:spacing w:val="-7"/>
                <w:sz w:val="18"/>
              </w:rPr>
              <w:t xml:space="preserve"> </w:t>
            </w:r>
            <w:r>
              <w:rPr>
                <w:rFonts w:ascii="Calibri"/>
                <w:spacing w:val="-1"/>
                <w:sz w:val="18"/>
              </w:rPr>
              <w:t>closely</w:t>
            </w:r>
            <w:r>
              <w:rPr>
                <w:rFonts w:ascii="Calibri"/>
                <w:spacing w:val="-5"/>
                <w:sz w:val="18"/>
              </w:rPr>
              <w:t xml:space="preserve"> </w:t>
            </w:r>
            <w:r>
              <w:rPr>
                <w:rFonts w:ascii="Calibri"/>
                <w:spacing w:val="-1"/>
                <w:sz w:val="18"/>
              </w:rPr>
              <w:t>program</w:t>
            </w:r>
            <w:r>
              <w:rPr>
                <w:rFonts w:ascii="Calibri"/>
                <w:spacing w:val="-5"/>
                <w:sz w:val="18"/>
              </w:rPr>
              <w:t xml:space="preserve"> </w:t>
            </w:r>
            <w:r>
              <w:rPr>
                <w:rFonts w:ascii="Calibri"/>
                <w:spacing w:val="-1"/>
                <w:sz w:val="18"/>
              </w:rPr>
              <w:t>participation</w:t>
            </w:r>
            <w:r>
              <w:rPr>
                <w:rFonts w:ascii="Calibri"/>
                <w:spacing w:val="-7"/>
                <w:sz w:val="18"/>
              </w:rPr>
              <w:t xml:space="preserve"> </w:t>
            </w:r>
            <w:r>
              <w:rPr>
                <w:rFonts w:ascii="Calibri"/>
                <w:sz w:val="18"/>
              </w:rPr>
              <w:t>as</w:t>
            </w:r>
            <w:r>
              <w:rPr>
                <w:rFonts w:ascii="Calibri"/>
                <w:spacing w:val="-6"/>
                <w:sz w:val="18"/>
              </w:rPr>
              <w:t xml:space="preserve"> </w:t>
            </w:r>
            <w:r>
              <w:rPr>
                <w:rFonts w:ascii="Calibri"/>
                <w:spacing w:val="-1"/>
                <w:sz w:val="18"/>
              </w:rPr>
              <w:t>identified</w:t>
            </w:r>
            <w:r>
              <w:rPr>
                <w:rFonts w:ascii="Calibri"/>
                <w:spacing w:val="-5"/>
                <w:sz w:val="18"/>
              </w:rPr>
              <w:t xml:space="preserve"> </w:t>
            </w:r>
            <w:r>
              <w:rPr>
                <w:rFonts w:ascii="Calibri"/>
                <w:spacing w:val="-1"/>
                <w:sz w:val="18"/>
              </w:rPr>
              <w:t>in</w:t>
            </w:r>
            <w:r>
              <w:rPr>
                <w:rFonts w:ascii="Calibri"/>
                <w:spacing w:val="-7"/>
                <w:sz w:val="18"/>
              </w:rPr>
              <w:t xml:space="preserve"> </w:t>
            </w:r>
            <w:r>
              <w:rPr>
                <w:rFonts w:ascii="Calibri"/>
                <w:sz w:val="18"/>
              </w:rPr>
              <w:t>PMRS,</w:t>
            </w:r>
            <w:r>
              <w:rPr>
                <w:rFonts w:ascii="Calibri"/>
                <w:spacing w:val="67"/>
                <w:w w:val="99"/>
                <w:sz w:val="18"/>
              </w:rPr>
              <w:t xml:space="preserve"> </w:t>
            </w:r>
            <w:r>
              <w:rPr>
                <w:rFonts w:ascii="Calibri"/>
                <w:spacing w:val="-1"/>
                <w:sz w:val="18"/>
              </w:rPr>
              <w:t>the</w:t>
            </w:r>
            <w:r>
              <w:rPr>
                <w:rFonts w:ascii="Calibri"/>
                <w:spacing w:val="-5"/>
                <w:sz w:val="18"/>
              </w:rPr>
              <w:t xml:space="preserve"> </w:t>
            </w:r>
            <w:r>
              <w:rPr>
                <w:rFonts w:ascii="Calibri"/>
                <w:spacing w:val="-1"/>
                <w:sz w:val="18"/>
              </w:rPr>
              <w:t>Act</w:t>
            </w:r>
            <w:r>
              <w:rPr>
                <w:rFonts w:ascii="Calibri"/>
                <w:spacing w:val="-6"/>
                <w:sz w:val="18"/>
              </w:rPr>
              <w:t xml:space="preserve"> </w:t>
            </w:r>
            <w:r>
              <w:rPr>
                <w:rFonts w:ascii="Calibri"/>
                <w:sz w:val="18"/>
              </w:rPr>
              <w:t>129</w:t>
            </w:r>
            <w:r>
              <w:rPr>
                <w:rFonts w:ascii="Calibri"/>
                <w:spacing w:val="-4"/>
                <w:sz w:val="18"/>
              </w:rPr>
              <w:t xml:space="preserve"> </w:t>
            </w:r>
            <w:r>
              <w:rPr>
                <w:rFonts w:ascii="Calibri"/>
                <w:spacing w:val="-1"/>
                <w:sz w:val="18"/>
              </w:rPr>
              <w:t>program</w:t>
            </w:r>
            <w:r>
              <w:rPr>
                <w:rFonts w:ascii="Calibri"/>
                <w:spacing w:val="-4"/>
                <w:sz w:val="18"/>
              </w:rPr>
              <w:t xml:space="preserve"> </w:t>
            </w:r>
            <w:r>
              <w:rPr>
                <w:rFonts w:ascii="Calibri"/>
                <w:spacing w:val="-1"/>
                <w:sz w:val="18"/>
              </w:rPr>
              <w:t>tracking</w:t>
            </w:r>
            <w:r>
              <w:rPr>
                <w:rFonts w:ascii="Calibri"/>
                <w:spacing w:val="-2"/>
                <w:sz w:val="18"/>
              </w:rPr>
              <w:t xml:space="preserve"> </w:t>
            </w:r>
            <w:r>
              <w:rPr>
                <w:rFonts w:ascii="Calibri"/>
                <w:spacing w:val="-1"/>
                <w:sz w:val="18"/>
              </w:rPr>
              <w:t>system,</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ensure</w:t>
            </w:r>
            <w:r>
              <w:rPr>
                <w:rFonts w:ascii="Calibri"/>
                <w:spacing w:val="-5"/>
                <w:sz w:val="18"/>
              </w:rPr>
              <w:t xml:space="preserve"> </w:t>
            </w:r>
            <w:r>
              <w:rPr>
                <w:rFonts w:ascii="Calibri"/>
                <w:spacing w:val="-1"/>
                <w:sz w:val="18"/>
              </w:rPr>
              <w:t>that</w:t>
            </w:r>
            <w:r>
              <w:rPr>
                <w:rFonts w:ascii="Calibri"/>
                <w:spacing w:val="-5"/>
                <w:sz w:val="18"/>
              </w:rPr>
              <w:t xml:space="preserve"> </w:t>
            </w:r>
            <w:r>
              <w:rPr>
                <w:rFonts w:ascii="Calibri"/>
                <w:sz w:val="18"/>
              </w:rPr>
              <w:t>the</w:t>
            </w:r>
            <w:r>
              <w:rPr>
                <w:rFonts w:ascii="Calibri"/>
                <w:spacing w:val="53"/>
                <w:w w:val="99"/>
                <w:sz w:val="18"/>
              </w:rPr>
              <w:t xml:space="preserve"> </w:t>
            </w:r>
            <w:r>
              <w:rPr>
                <w:rFonts w:ascii="Calibri"/>
                <w:spacing w:val="-1"/>
                <w:sz w:val="18"/>
              </w:rPr>
              <w:t>issue</w:t>
            </w:r>
            <w:r>
              <w:rPr>
                <w:rFonts w:ascii="Calibri"/>
                <w:spacing w:val="-7"/>
                <w:sz w:val="18"/>
              </w:rPr>
              <w:t xml:space="preserve"> </w:t>
            </w:r>
            <w:r>
              <w:rPr>
                <w:rFonts w:ascii="Calibri"/>
                <w:sz w:val="18"/>
              </w:rPr>
              <w:t>of</w:t>
            </w:r>
            <w:r>
              <w:rPr>
                <w:rFonts w:ascii="Calibri"/>
                <w:spacing w:val="-6"/>
                <w:sz w:val="18"/>
              </w:rPr>
              <w:t xml:space="preserve"> </w:t>
            </w:r>
            <w:r>
              <w:rPr>
                <w:rFonts w:ascii="Calibri"/>
                <w:spacing w:val="-1"/>
                <w:sz w:val="18"/>
              </w:rPr>
              <w:t>program</w:t>
            </w:r>
            <w:r>
              <w:rPr>
                <w:rFonts w:ascii="Calibri"/>
                <w:spacing w:val="-5"/>
                <w:sz w:val="18"/>
              </w:rPr>
              <w:t xml:space="preserve"> </w:t>
            </w:r>
            <w:r>
              <w:rPr>
                <w:rFonts w:ascii="Calibri"/>
                <w:spacing w:val="-1"/>
                <w:sz w:val="18"/>
              </w:rPr>
              <w:t>participants</w:t>
            </w:r>
            <w:r>
              <w:rPr>
                <w:rFonts w:ascii="Calibri"/>
                <w:spacing w:val="-5"/>
                <w:sz w:val="18"/>
              </w:rPr>
              <w:t xml:space="preserve"> </w:t>
            </w:r>
            <w:r>
              <w:rPr>
                <w:rFonts w:ascii="Calibri"/>
                <w:spacing w:val="-1"/>
                <w:sz w:val="18"/>
              </w:rPr>
              <w:t>being</w:t>
            </w:r>
            <w:r>
              <w:rPr>
                <w:rFonts w:ascii="Calibri"/>
                <w:spacing w:val="-7"/>
                <w:sz w:val="18"/>
              </w:rPr>
              <w:t xml:space="preserve"> </w:t>
            </w:r>
            <w:r>
              <w:rPr>
                <w:rFonts w:ascii="Calibri"/>
                <w:spacing w:val="-1"/>
                <w:sz w:val="18"/>
              </w:rPr>
              <w:t>discovered</w:t>
            </w:r>
            <w:r>
              <w:rPr>
                <w:rFonts w:ascii="Calibri"/>
                <w:spacing w:val="-6"/>
                <w:sz w:val="18"/>
              </w:rPr>
              <w:t xml:space="preserve"> </w:t>
            </w:r>
            <w:r>
              <w:rPr>
                <w:rFonts w:ascii="Calibri"/>
                <w:spacing w:val="-1"/>
                <w:sz w:val="18"/>
              </w:rPr>
              <w:t>after</w:t>
            </w:r>
            <w:r>
              <w:rPr>
                <w:rFonts w:ascii="Calibri"/>
                <w:spacing w:val="57"/>
                <w:w w:val="99"/>
                <w:sz w:val="18"/>
              </w:rPr>
              <w:t xml:space="preserve"> </w:t>
            </w:r>
            <w:r>
              <w:rPr>
                <w:rFonts w:ascii="Calibri"/>
                <w:spacing w:val="-1"/>
                <w:sz w:val="18"/>
              </w:rPr>
              <w:t>evaluation</w:t>
            </w:r>
            <w:r>
              <w:rPr>
                <w:rFonts w:ascii="Calibri"/>
                <w:spacing w:val="-7"/>
                <w:sz w:val="18"/>
              </w:rPr>
              <w:t xml:space="preserve"> </w:t>
            </w:r>
            <w:r>
              <w:rPr>
                <w:rFonts w:ascii="Calibri"/>
                <w:spacing w:val="-1"/>
                <w:sz w:val="18"/>
              </w:rPr>
              <w:t>research</w:t>
            </w:r>
            <w:r>
              <w:rPr>
                <w:rFonts w:ascii="Calibri"/>
                <w:spacing w:val="-5"/>
                <w:sz w:val="18"/>
              </w:rPr>
              <w:t xml:space="preserve"> </w:t>
            </w:r>
            <w:r>
              <w:rPr>
                <w:rFonts w:ascii="Calibri"/>
                <w:spacing w:val="-1"/>
                <w:sz w:val="18"/>
              </w:rPr>
              <w:t>has</w:t>
            </w:r>
            <w:r>
              <w:rPr>
                <w:rFonts w:ascii="Calibri"/>
                <w:spacing w:val="-6"/>
                <w:sz w:val="18"/>
              </w:rPr>
              <w:t xml:space="preserve"> </w:t>
            </w:r>
            <w:r>
              <w:rPr>
                <w:rFonts w:ascii="Calibri"/>
                <w:spacing w:val="-1"/>
                <w:sz w:val="18"/>
              </w:rPr>
              <w:t>already</w:t>
            </w:r>
            <w:r>
              <w:rPr>
                <w:rFonts w:ascii="Calibri"/>
                <w:spacing w:val="-5"/>
                <w:sz w:val="18"/>
              </w:rPr>
              <w:t xml:space="preserve"> </w:t>
            </w:r>
            <w:r>
              <w:rPr>
                <w:rFonts w:ascii="Calibri"/>
                <w:spacing w:val="-1"/>
                <w:sz w:val="18"/>
              </w:rPr>
              <w:t>been</w:t>
            </w:r>
            <w:r>
              <w:rPr>
                <w:rFonts w:ascii="Calibri"/>
                <w:spacing w:val="-7"/>
                <w:sz w:val="18"/>
              </w:rPr>
              <w:t xml:space="preserve"> </w:t>
            </w:r>
            <w:r>
              <w:rPr>
                <w:rFonts w:ascii="Calibri"/>
                <w:spacing w:val="-1"/>
                <w:sz w:val="18"/>
              </w:rPr>
              <w:t>conducted</w:t>
            </w:r>
            <w:r>
              <w:rPr>
                <w:rFonts w:ascii="Calibri"/>
                <w:spacing w:val="-6"/>
                <w:sz w:val="18"/>
              </w:rPr>
              <w:t xml:space="preserve"> </w:t>
            </w:r>
            <w:r>
              <w:rPr>
                <w:rFonts w:ascii="Calibri"/>
                <w:sz w:val="18"/>
              </w:rPr>
              <w:t>does</w:t>
            </w:r>
            <w:r>
              <w:rPr>
                <w:rFonts w:ascii="Calibri"/>
                <w:spacing w:val="-7"/>
                <w:sz w:val="18"/>
              </w:rPr>
              <w:t xml:space="preserve"> </w:t>
            </w:r>
            <w:r>
              <w:rPr>
                <w:rFonts w:ascii="Calibri"/>
                <w:sz w:val="18"/>
              </w:rPr>
              <w:t>not</w:t>
            </w:r>
            <w:r>
              <w:rPr>
                <w:rFonts w:ascii="Calibri"/>
                <w:spacing w:val="61"/>
                <w:w w:val="99"/>
                <w:sz w:val="18"/>
              </w:rPr>
              <w:t xml:space="preserve"> </w:t>
            </w:r>
            <w:r>
              <w:rPr>
                <w:rFonts w:ascii="Calibri"/>
                <w:spacing w:val="-1"/>
                <w:sz w:val="18"/>
              </w:rPr>
              <w:t>recur</w:t>
            </w:r>
            <w:r>
              <w:rPr>
                <w:rFonts w:ascii="Calibri"/>
                <w:spacing w:val="-5"/>
                <w:sz w:val="18"/>
              </w:rPr>
              <w:t xml:space="preserve"> </w:t>
            </w:r>
            <w:r>
              <w:rPr>
                <w:rFonts w:ascii="Calibri"/>
                <w:spacing w:val="-1"/>
                <w:sz w:val="18"/>
              </w:rPr>
              <w:t>in</w:t>
            </w:r>
            <w:r>
              <w:rPr>
                <w:rFonts w:ascii="Calibri"/>
                <w:spacing w:val="-4"/>
                <w:sz w:val="18"/>
              </w:rPr>
              <w:t xml:space="preserve"> </w:t>
            </w:r>
            <w:r>
              <w:rPr>
                <w:rFonts w:ascii="Calibri"/>
                <w:sz w:val="18"/>
              </w:rPr>
              <w:t>PY8</w:t>
            </w:r>
            <w:r>
              <w:rPr>
                <w:rFonts w:ascii="Calibri"/>
                <w:spacing w:val="-3"/>
                <w:sz w:val="18"/>
              </w:rPr>
              <w:t xml:space="preserve"> </w:t>
            </w:r>
            <w:r>
              <w:rPr>
                <w:rFonts w:ascii="Calibri"/>
                <w:sz w:val="18"/>
              </w:rPr>
              <w:t>or</w:t>
            </w:r>
            <w:r>
              <w:rPr>
                <w:rFonts w:ascii="Calibri"/>
                <w:spacing w:val="-5"/>
                <w:sz w:val="18"/>
              </w:rPr>
              <w:t xml:space="preserve"> </w:t>
            </w:r>
            <w:r>
              <w:rPr>
                <w:rFonts w:ascii="Calibri"/>
                <w:spacing w:val="-1"/>
                <w:sz w:val="18"/>
              </w:rPr>
              <w:t>later</w:t>
            </w:r>
            <w:r>
              <w:rPr>
                <w:rFonts w:ascii="Calibri"/>
                <w:spacing w:val="-4"/>
                <w:sz w:val="18"/>
              </w:rPr>
              <w:t xml:space="preserve"> </w:t>
            </w:r>
            <w:r>
              <w:rPr>
                <w:rFonts w:ascii="Calibri"/>
                <w:sz w:val="18"/>
              </w:rPr>
              <w:t>years.</w:t>
            </w:r>
          </w:p>
        </w:tc>
        <w:tc>
          <w:tcPr>
            <w:tcW w:w="4680"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3B56E9" w:rsidRPr="003B56E9" w:rsidRDefault="003B56E9" w:rsidP="003B56E9"/>
    <w:p w:rsidR="00E646C9" w:rsidRDefault="00E646C9" w:rsidP="00702AB3">
      <w:pPr>
        <w:pStyle w:val="AppendixGHeading1"/>
      </w:pPr>
      <w:r w:rsidRPr="00A86066">
        <w:t xml:space="preserve">FIRSTENERGY </w:t>
      </w:r>
      <w:r>
        <w:t>EDCs</w:t>
      </w:r>
      <w:r w:rsidRPr="00A86066">
        <w:t xml:space="preserve"> (MET-ED, PENELEC, PENN POWER, WEST PENN)</w:t>
      </w:r>
    </w:p>
    <w:p w:rsidR="00E646C9" w:rsidRPr="006548A7" w:rsidRDefault="00E646C9" w:rsidP="003B56E9">
      <w:pPr>
        <w:pStyle w:val="AppendixGHeading2"/>
      </w:pPr>
      <w:r w:rsidRPr="006548A7">
        <w:t>Residential Appliance Turn-In</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11636D">
        <w:trPr>
          <w:trHeight w:hRule="exact" w:val="737"/>
        </w:trPr>
        <w:tc>
          <w:tcPr>
            <w:tcW w:w="4680" w:type="dxa"/>
            <w:shd w:val="clear" w:color="auto" w:fill="448A99"/>
          </w:tcPr>
          <w:p w:rsidR="00E646C9" w:rsidRDefault="00E646C9" w:rsidP="004D470A">
            <w:pPr>
              <w:pStyle w:val="TableParagraph"/>
              <w:spacing w:line="218" w:lineRule="exact"/>
              <w:rPr>
                <w:rFonts w:ascii="Calibri" w:eastAsia="Calibri" w:hAnsi="Calibri" w:cs="Calibri"/>
                <w:sz w:val="18"/>
                <w:szCs w:val="18"/>
              </w:rPr>
            </w:pPr>
            <w:r>
              <w:rPr>
                <w:rFonts w:ascii="Calibri"/>
                <w:b/>
                <w:color w:val="FFFFFF"/>
                <w:spacing w:val="-1"/>
                <w:sz w:val="18"/>
              </w:rPr>
              <w:t>Recommendations</w:t>
            </w:r>
          </w:p>
        </w:tc>
        <w:tc>
          <w:tcPr>
            <w:tcW w:w="4680" w:type="dxa"/>
            <w:shd w:val="clear" w:color="auto" w:fill="448A99"/>
          </w:tcPr>
          <w:p w:rsidR="00E646C9" w:rsidRDefault="00E646C9" w:rsidP="00C94D5A">
            <w:pPr>
              <w:pStyle w:val="TableParagraph"/>
              <w:ind w:left="167" w:right="166"/>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3"/>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5"/>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451"/>
        </w:trPr>
        <w:tc>
          <w:tcPr>
            <w:tcW w:w="4680" w:type="dxa"/>
            <w:shd w:val="clear" w:color="auto" w:fill="D2EAF1"/>
          </w:tcPr>
          <w:p w:rsidR="00E646C9" w:rsidRDefault="00E646C9" w:rsidP="00C94D5A">
            <w:pPr>
              <w:pStyle w:val="TableParagraph"/>
              <w:spacing w:before="106"/>
              <w:ind w:left="97"/>
              <w:rPr>
                <w:rFonts w:ascii="Calibri" w:eastAsia="Calibri" w:hAnsi="Calibri" w:cs="Calibri"/>
                <w:sz w:val="18"/>
                <w:szCs w:val="18"/>
              </w:rPr>
            </w:pPr>
            <w:r>
              <w:rPr>
                <w:rFonts w:ascii="Calibri"/>
                <w:spacing w:val="-1"/>
                <w:sz w:val="18"/>
              </w:rPr>
              <w:t>Reduce</w:t>
            </w:r>
            <w:r>
              <w:rPr>
                <w:rFonts w:ascii="Calibri"/>
                <w:spacing w:val="-4"/>
                <w:sz w:val="18"/>
              </w:rPr>
              <w:t xml:space="preserve"> </w:t>
            </w:r>
            <w:r>
              <w:rPr>
                <w:rFonts w:ascii="Calibri"/>
                <w:spacing w:val="-1"/>
                <w:sz w:val="18"/>
              </w:rPr>
              <w:t>reported savings</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RACs</w:t>
            </w:r>
            <w:r>
              <w:rPr>
                <w:rFonts w:ascii="Calibri"/>
                <w:spacing w:val="-3"/>
                <w:sz w:val="18"/>
              </w:rPr>
              <w:t xml:space="preserve"> </w:t>
            </w:r>
            <w:r>
              <w:rPr>
                <w:rFonts w:ascii="Calibri"/>
                <w:spacing w:val="-1"/>
                <w:sz w:val="18"/>
              </w:rPr>
              <w:t>to 150</w:t>
            </w:r>
            <w:r>
              <w:rPr>
                <w:rFonts w:ascii="Calibri"/>
                <w:spacing w:val="-2"/>
                <w:sz w:val="18"/>
              </w:rPr>
              <w:t xml:space="preserve"> </w:t>
            </w:r>
            <w:r>
              <w:rPr>
                <w:rFonts w:ascii="Calibri"/>
                <w:spacing w:val="-1"/>
                <w:sz w:val="18"/>
              </w:rPr>
              <w:t>kWh</w:t>
            </w:r>
            <w:r>
              <w:rPr>
                <w:rFonts w:ascii="Calibri"/>
                <w:spacing w:val="-3"/>
                <w:sz w:val="18"/>
              </w:rPr>
              <w:t xml:space="preserve"> </w:t>
            </w:r>
            <w:r>
              <w:rPr>
                <w:rFonts w:ascii="Calibri"/>
                <w:spacing w:val="-1"/>
                <w:sz w:val="18"/>
              </w:rPr>
              <w:t>per</w:t>
            </w:r>
            <w:r>
              <w:rPr>
                <w:rFonts w:ascii="Calibri"/>
                <w:spacing w:val="-3"/>
                <w:sz w:val="18"/>
              </w:rPr>
              <w:t xml:space="preserve"> </w:t>
            </w:r>
            <w:r>
              <w:rPr>
                <w:rFonts w:ascii="Calibri"/>
                <w:spacing w:val="-1"/>
                <w:sz w:val="18"/>
              </w:rPr>
              <w:t>unit.</w:t>
            </w:r>
          </w:p>
        </w:tc>
        <w:tc>
          <w:tcPr>
            <w:tcW w:w="4680" w:type="dxa"/>
            <w:shd w:val="clear" w:color="auto" w:fill="D2EAF1"/>
          </w:tcPr>
          <w:p w:rsidR="00E646C9" w:rsidRDefault="00E646C9" w:rsidP="0011636D">
            <w:pPr>
              <w:pStyle w:val="TableParagraph"/>
              <w:spacing w:before="106"/>
              <w:ind w:left="83" w:right="96"/>
              <w:rPr>
                <w:rFonts w:ascii="Calibri" w:eastAsia="Calibri" w:hAnsi="Calibri" w:cs="Calibri"/>
                <w:sz w:val="18"/>
                <w:szCs w:val="18"/>
              </w:rPr>
            </w:pPr>
            <w:r>
              <w:rPr>
                <w:rFonts w:ascii="Calibri"/>
                <w:spacing w:val="-1"/>
                <w:w w:val="95"/>
                <w:sz w:val="18"/>
              </w:rPr>
              <w:t>Implemented</w:t>
            </w:r>
          </w:p>
        </w:tc>
      </w:tr>
      <w:tr w:rsidR="00E646C9" w:rsidTr="0011636D">
        <w:trPr>
          <w:trHeight w:hRule="exact" w:val="461"/>
        </w:trPr>
        <w:tc>
          <w:tcPr>
            <w:tcW w:w="4680" w:type="dxa"/>
          </w:tcPr>
          <w:p w:rsidR="00E646C9" w:rsidRDefault="00E646C9" w:rsidP="00C94D5A">
            <w:pPr>
              <w:pStyle w:val="TableParagraph"/>
              <w:ind w:left="97" w:right="506"/>
              <w:rPr>
                <w:rFonts w:ascii="Calibri" w:eastAsia="Calibri" w:hAnsi="Calibri" w:cs="Calibri"/>
                <w:sz w:val="18"/>
                <w:szCs w:val="18"/>
              </w:rPr>
            </w:pPr>
            <w:r>
              <w:rPr>
                <w:rFonts w:ascii="Calibri"/>
                <w:spacing w:val="-1"/>
                <w:sz w:val="18"/>
              </w:rPr>
              <w:t>Consider using</w:t>
            </w:r>
            <w:r>
              <w:rPr>
                <w:rFonts w:ascii="Calibri"/>
                <w:spacing w:val="-3"/>
                <w:sz w:val="18"/>
              </w:rPr>
              <w:t xml:space="preserve"> </w:t>
            </w:r>
            <w:r>
              <w:rPr>
                <w:rFonts w:ascii="Calibri"/>
                <w:spacing w:val="-1"/>
                <w:sz w:val="18"/>
              </w:rPr>
              <w:t>bill</w:t>
            </w:r>
            <w:r>
              <w:rPr>
                <w:rFonts w:ascii="Calibri"/>
                <w:spacing w:val="-3"/>
                <w:sz w:val="18"/>
              </w:rPr>
              <w:t xml:space="preserve"> </w:t>
            </w:r>
            <w:r>
              <w:rPr>
                <w:rFonts w:ascii="Calibri"/>
                <w:spacing w:val="-1"/>
                <w:sz w:val="18"/>
              </w:rPr>
              <w:t>inserts</w:t>
            </w:r>
            <w:r>
              <w:rPr>
                <w:rFonts w:ascii="Calibri"/>
                <w:spacing w:val="-3"/>
                <w:sz w:val="18"/>
              </w:rPr>
              <w:t xml:space="preserve"> </w:t>
            </w:r>
            <w:r>
              <w:rPr>
                <w:rFonts w:ascii="Calibri"/>
                <w:spacing w:val="-1"/>
                <w:sz w:val="18"/>
              </w:rPr>
              <w:t>to address</w:t>
            </w:r>
            <w:r>
              <w:rPr>
                <w:rFonts w:ascii="Calibri"/>
                <w:spacing w:val="-3"/>
                <w:sz w:val="18"/>
              </w:rPr>
              <w:t xml:space="preserve"> </w:t>
            </w:r>
            <w:r>
              <w:rPr>
                <w:rFonts w:ascii="Calibri"/>
                <w:spacing w:val="-1"/>
                <w:sz w:val="18"/>
              </w:rPr>
              <w:t>recycling</w:t>
            </w:r>
            <w:r>
              <w:rPr>
                <w:rFonts w:ascii="Calibri"/>
                <w:spacing w:val="-4"/>
                <w:sz w:val="18"/>
              </w:rPr>
              <w:t xml:space="preserve"> </w:t>
            </w:r>
            <w:r>
              <w:rPr>
                <w:rFonts w:ascii="Calibri"/>
                <w:spacing w:val="-1"/>
                <w:sz w:val="18"/>
              </w:rPr>
              <w:t>concerns</w:t>
            </w:r>
            <w:r>
              <w:rPr>
                <w:rFonts w:ascii="Calibri"/>
                <w:spacing w:val="71"/>
                <w:sz w:val="18"/>
              </w:rPr>
              <w:t xml:space="preserve"> </w:t>
            </w:r>
            <w:r>
              <w:rPr>
                <w:rFonts w:ascii="Calibri"/>
                <w:spacing w:val="-1"/>
                <w:sz w:val="18"/>
              </w:rPr>
              <w:t>outside</w:t>
            </w:r>
            <w:r>
              <w:rPr>
                <w:rFonts w:ascii="Calibri"/>
                <w:spacing w:val="-4"/>
                <w:sz w:val="18"/>
              </w:rPr>
              <w:t xml:space="preserve"> </w:t>
            </w:r>
            <w:r>
              <w:rPr>
                <w:rFonts w:ascii="Calibri"/>
                <w:sz w:val="18"/>
              </w:rPr>
              <w:t>of</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program.</w:t>
            </w:r>
          </w:p>
        </w:tc>
        <w:tc>
          <w:tcPr>
            <w:tcW w:w="4680" w:type="dxa"/>
          </w:tcPr>
          <w:p w:rsidR="00E646C9" w:rsidRDefault="00E646C9" w:rsidP="0011636D">
            <w:pPr>
              <w:pStyle w:val="TableParagraph"/>
              <w:spacing w:before="111"/>
              <w:ind w:left="83"/>
              <w:rPr>
                <w:rFonts w:ascii="Calibri" w:eastAsia="Calibri" w:hAnsi="Calibri" w:cs="Calibri"/>
                <w:sz w:val="18"/>
                <w:szCs w:val="18"/>
              </w:rPr>
            </w:pPr>
            <w:r>
              <w:rPr>
                <w:rFonts w:ascii="Calibri" w:eastAsia="Calibri" w:hAnsi="Calibri" w:cs="Calibri"/>
                <w:spacing w:val="-1"/>
                <w:sz w:val="18"/>
                <w:szCs w:val="18"/>
              </w:rPr>
              <w:t>Rejected</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z w:val="18"/>
                <w:szCs w:val="18"/>
              </w:rPr>
              <w:t>goes</w:t>
            </w:r>
            <w:r>
              <w:rPr>
                <w:rFonts w:ascii="Calibri" w:eastAsia="Calibri" w:hAnsi="Calibri" w:cs="Calibri"/>
                <w:spacing w:val="-3"/>
                <w:sz w:val="18"/>
                <w:szCs w:val="18"/>
              </w:rPr>
              <w:t xml:space="preserve"> </w:t>
            </w:r>
            <w:r>
              <w:rPr>
                <w:rFonts w:ascii="Calibri" w:eastAsia="Calibri" w:hAnsi="Calibri" w:cs="Calibri"/>
                <w:sz w:val="18"/>
                <w:szCs w:val="18"/>
              </w:rPr>
              <w:t>beyond</w:t>
            </w:r>
            <w:r>
              <w:rPr>
                <w:rFonts w:ascii="Calibri" w:eastAsia="Calibri" w:hAnsi="Calibri" w:cs="Calibri"/>
                <w:spacing w:val="-3"/>
                <w:sz w:val="18"/>
                <w:szCs w:val="18"/>
              </w:rPr>
              <w:t xml:space="preserve"> </w:t>
            </w:r>
            <w:r>
              <w:rPr>
                <w:rFonts w:ascii="Calibri" w:eastAsia="Calibri" w:hAnsi="Calibri" w:cs="Calibri"/>
                <w:spacing w:val="-1"/>
                <w:sz w:val="18"/>
                <w:szCs w:val="18"/>
              </w:rPr>
              <w:t>scope</w:t>
            </w:r>
            <w:r>
              <w:rPr>
                <w:rFonts w:ascii="Calibri" w:eastAsia="Calibri" w:hAnsi="Calibri" w:cs="Calibri"/>
                <w:spacing w:val="-4"/>
                <w:sz w:val="18"/>
                <w:szCs w:val="18"/>
              </w:rPr>
              <w:t xml:space="preserve"> </w:t>
            </w:r>
            <w:r>
              <w:rPr>
                <w:rFonts w:ascii="Calibri" w:eastAsia="Calibri" w:hAnsi="Calibri" w:cs="Calibri"/>
                <w:sz w:val="18"/>
                <w:szCs w:val="18"/>
              </w:rPr>
              <w:t>of</w:t>
            </w:r>
            <w:r>
              <w:rPr>
                <w:rFonts w:ascii="Calibri" w:eastAsia="Calibri" w:hAnsi="Calibri" w:cs="Calibri"/>
                <w:spacing w:val="-2"/>
                <w:sz w:val="18"/>
                <w:szCs w:val="18"/>
              </w:rPr>
              <w:t xml:space="preserve"> </w:t>
            </w:r>
            <w:r>
              <w:rPr>
                <w:rFonts w:ascii="Calibri" w:eastAsia="Calibri" w:hAnsi="Calibri" w:cs="Calibri"/>
                <w:spacing w:val="-1"/>
                <w:sz w:val="18"/>
                <w:szCs w:val="18"/>
              </w:rPr>
              <w:t>program</w:t>
            </w:r>
          </w:p>
        </w:tc>
      </w:tr>
      <w:tr w:rsidR="00E646C9" w:rsidTr="0011636D">
        <w:trPr>
          <w:trHeight w:hRule="exact" w:val="458"/>
        </w:trPr>
        <w:tc>
          <w:tcPr>
            <w:tcW w:w="4680" w:type="dxa"/>
            <w:shd w:val="clear" w:color="auto" w:fill="D2EAF1"/>
          </w:tcPr>
          <w:p w:rsidR="00E646C9" w:rsidRDefault="00E646C9" w:rsidP="00C94D5A">
            <w:pPr>
              <w:pStyle w:val="TableParagraph"/>
              <w:ind w:left="97" w:right="101"/>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z w:val="18"/>
              </w:rPr>
              <w:t>adding</w:t>
            </w:r>
            <w:r>
              <w:rPr>
                <w:rFonts w:ascii="Calibri"/>
                <w:spacing w:val="-3"/>
                <w:sz w:val="18"/>
              </w:rPr>
              <w:t xml:space="preserve"> </w:t>
            </w:r>
            <w:r>
              <w:rPr>
                <w:rFonts w:ascii="Calibri"/>
                <w:sz w:val="18"/>
              </w:rPr>
              <w:t>a</w:t>
            </w:r>
            <w:r>
              <w:rPr>
                <w:rFonts w:ascii="Calibri"/>
                <w:spacing w:val="-3"/>
                <w:sz w:val="18"/>
              </w:rPr>
              <w:t xml:space="preserve"> </w:t>
            </w:r>
            <w:r>
              <w:rPr>
                <w:rFonts w:ascii="Calibri"/>
                <w:spacing w:val="-1"/>
                <w:sz w:val="18"/>
              </w:rPr>
              <w:t>message</w:t>
            </w:r>
            <w:r>
              <w:rPr>
                <w:rFonts w:ascii="Calibri"/>
                <w:spacing w:val="-3"/>
                <w:sz w:val="18"/>
              </w:rPr>
              <w:t xml:space="preserve"> </w:t>
            </w:r>
            <w:r>
              <w:rPr>
                <w:rFonts w:ascii="Calibri"/>
                <w:spacing w:val="-1"/>
                <w:sz w:val="18"/>
              </w:rPr>
              <w:t xml:space="preserve">to </w:t>
            </w:r>
            <w:r>
              <w:rPr>
                <w:rFonts w:ascii="Calibri"/>
                <w:sz w:val="18"/>
              </w:rPr>
              <w:t>the</w:t>
            </w:r>
            <w:r>
              <w:rPr>
                <w:rFonts w:ascii="Calibri"/>
                <w:spacing w:val="-3"/>
                <w:sz w:val="18"/>
              </w:rPr>
              <w:t xml:space="preserve"> </w:t>
            </w:r>
            <w:r>
              <w:rPr>
                <w:rFonts w:ascii="Calibri"/>
                <w:spacing w:val="-1"/>
                <w:sz w:val="18"/>
              </w:rPr>
              <w:t>rebate</w:t>
            </w:r>
            <w:r>
              <w:rPr>
                <w:rFonts w:ascii="Calibri"/>
                <w:spacing w:val="-3"/>
                <w:sz w:val="18"/>
              </w:rPr>
              <w:t xml:space="preserve"> </w:t>
            </w:r>
            <w:r>
              <w:rPr>
                <w:rFonts w:ascii="Calibri"/>
                <w:spacing w:val="-1"/>
                <w:sz w:val="18"/>
              </w:rPr>
              <w:t>check</w:t>
            </w:r>
            <w:r>
              <w:rPr>
                <w:rFonts w:ascii="Calibri"/>
                <w:spacing w:val="-3"/>
                <w:sz w:val="18"/>
              </w:rPr>
              <w:t xml:space="preserve"> </w:t>
            </w:r>
            <w:r>
              <w:rPr>
                <w:rFonts w:ascii="Calibri"/>
                <w:spacing w:val="-1"/>
                <w:sz w:val="18"/>
              </w:rPr>
              <w:t>that</w:t>
            </w:r>
            <w:r>
              <w:rPr>
                <w:rFonts w:ascii="Calibri"/>
                <w:sz w:val="18"/>
              </w:rPr>
              <w:t xml:space="preserve"> </w:t>
            </w:r>
            <w:r>
              <w:rPr>
                <w:rFonts w:ascii="Calibri"/>
                <w:spacing w:val="-1"/>
                <w:sz w:val="18"/>
              </w:rPr>
              <w:t>provides</w:t>
            </w:r>
            <w:r>
              <w:rPr>
                <w:rFonts w:ascii="Calibri"/>
                <w:spacing w:val="53"/>
                <w:sz w:val="18"/>
              </w:rPr>
              <w:t xml:space="preserve"> </w:t>
            </w:r>
            <w:r>
              <w:rPr>
                <w:rFonts w:ascii="Calibri"/>
                <w:spacing w:val="-1"/>
                <w:sz w:val="18"/>
              </w:rPr>
              <w:t>information</w:t>
            </w:r>
            <w:r>
              <w:rPr>
                <w:rFonts w:ascii="Calibri"/>
                <w:spacing w:val="-5"/>
                <w:sz w:val="18"/>
              </w:rPr>
              <w:t xml:space="preserve"> </w:t>
            </w:r>
            <w:r>
              <w:rPr>
                <w:rFonts w:ascii="Calibri"/>
                <w:spacing w:val="-1"/>
                <w:sz w:val="18"/>
              </w:rPr>
              <w:t>about</w:t>
            </w:r>
            <w:r>
              <w:rPr>
                <w:rFonts w:ascii="Calibri"/>
                <w:spacing w:val="-4"/>
                <w:sz w:val="18"/>
              </w:rPr>
              <w:t xml:space="preserve"> </w:t>
            </w:r>
            <w:r>
              <w:rPr>
                <w:rFonts w:ascii="Calibri"/>
                <w:spacing w:val="-1"/>
                <w:sz w:val="18"/>
              </w:rPr>
              <w:t>other FirstEnergy</w:t>
            </w:r>
            <w:r>
              <w:rPr>
                <w:rFonts w:ascii="Calibri"/>
                <w:spacing w:val="-3"/>
                <w:sz w:val="18"/>
              </w:rPr>
              <w:t xml:space="preserve"> </w:t>
            </w:r>
            <w:r>
              <w:rPr>
                <w:rFonts w:ascii="Calibri"/>
                <w:spacing w:val="-1"/>
                <w:sz w:val="18"/>
              </w:rPr>
              <w:t>programs.</w:t>
            </w:r>
          </w:p>
        </w:tc>
        <w:tc>
          <w:tcPr>
            <w:tcW w:w="4680" w:type="dxa"/>
            <w:shd w:val="clear" w:color="auto" w:fill="D2EAF1"/>
          </w:tcPr>
          <w:p w:rsidR="00E646C9" w:rsidRDefault="00E646C9" w:rsidP="0011636D">
            <w:pPr>
              <w:pStyle w:val="TableParagraph"/>
              <w:spacing w:before="108"/>
              <w:ind w:left="83" w:right="97"/>
              <w:rPr>
                <w:rFonts w:ascii="Calibri" w:eastAsia="Calibri" w:hAnsi="Calibri" w:cs="Calibri"/>
                <w:sz w:val="18"/>
                <w:szCs w:val="18"/>
              </w:rPr>
            </w:pPr>
            <w:r>
              <w:rPr>
                <w:rFonts w:ascii="Calibri"/>
                <w:spacing w:val="-1"/>
                <w:w w:val="95"/>
                <w:sz w:val="18"/>
              </w:rPr>
              <w:t>Accepted</w:t>
            </w:r>
          </w:p>
        </w:tc>
      </w:tr>
      <w:tr w:rsidR="00E646C9" w:rsidTr="0011636D">
        <w:trPr>
          <w:trHeight w:hRule="exact" w:val="682"/>
        </w:trPr>
        <w:tc>
          <w:tcPr>
            <w:tcW w:w="4680" w:type="dxa"/>
          </w:tcPr>
          <w:p w:rsidR="00E646C9" w:rsidRDefault="00E646C9" w:rsidP="00C94D5A">
            <w:pPr>
              <w:pStyle w:val="TableParagraph"/>
              <w:ind w:left="97" w:right="102"/>
              <w:rPr>
                <w:rFonts w:ascii="Calibri" w:eastAsia="Calibri" w:hAnsi="Calibri" w:cs="Calibri"/>
                <w:sz w:val="18"/>
                <w:szCs w:val="18"/>
              </w:rPr>
            </w:pPr>
            <w:r>
              <w:rPr>
                <w:rFonts w:ascii="Calibri"/>
                <w:spacing w:val="-1"/>
                <w:sz w:val="18"/>
              </w:rPr>
              <w:t>Monitor</w:t>
            </w:r>
            <w:r>
              <w:rPr>
                <w:rFonts w:ascii="Calibri"/>
                <w:spacing w:val="-4"/>
                <w:sz w:val="18"/>
              </w:rPr>
              <w:t xml:space="preserve"> </w:t>
            </w:r>
            <w:r>
              <w:rPr>
                <w:rFonts w:ascii="Calibri"/>
                <w:spacing w:val="-1"/>
                <w:sz w:val="18"/>
              </w:rPr>
              <w:t>free-ridership</w:t>
            </w:r>
            <w:r>
              <w:rPr>
                <w:rFonts w:ascii="Calibri"/>
                <w:spacing w:val="-3"/>
                <w:sz w:val="18"/>
              </w:rPr>
              <w:t xml:space="preserve"> </w:t>
            </w:r>
            <w:r>
              <w:rPr>
                <w:rFonts w:ascii="Calibri"/>
                <w:spacing w:val="-1"/>
                <w:sz w:val="18"/>
              </w:rPr>
              <w:t>closely</w:t>
            </w:r>
            <w:r>
              <w:rPr>
                <w:rFonts w:ascii="Calibri"/>
                <w:spacing w:val="-2"/>
                <w:sz w:val="18"/>
              </w:rPr>
              <w:t xml:space="preserve"> </w:t>
            </w:r>
            <w:r>
              <w:rPr>
                <w:rFonts w:ascii="Calibri"/>
                <w:spacing w:val="-1"/>
                <w:sz w:val="18"/>
              </w:rPr>
              <w:t xml:space="preserve">in </w:t>
            </w:r>
            <w:r>
              <w:rPr>
                <w:rFonts w:ascii="Calibri"/>
                <w:sz w:val="18"/>
              </w:rPr>
              <w:t>PY8,</w:t>
            </w:r>
            <w:r>
              <w:rPr>
                <w:rFonts w:ascii="Calibri"/>
                <w:spacing w:val="-2"/>
                <w:sz w:val="18"/>
              </w:rPr>
              <w:t xml:space="preserve"> </w:t>
            </w:r>
            <w:r>
              <w:rPr>
                <w:rFonts w:ascii="Calibri"/>
                <w:spacing w:val="-1"/>
                <w:sz w:val="18"/>
              </w:rPr>
              <w:t>with</w:t>
            </w:r>
            <w:r>
              <w:rPr>
                <w:rFonts w:ascii="Calibri"/>
                <w:spacing w:val="-3"/>
                <w:sz w:val="18"/>
              </w:rPr>
              <w:t xml:space="preserve"> </w:t>
            </w:r>
            <w:r>
              <w:rPr>
                <w:rFonts w:ascii="Calibri"/>
                <w:spacing w:val="-1"/>
                <w:sz w:val="18"/>
              </w:rPr>
              <w:t>frequent surveys</w:t>
            </w:r>
            <w:r>
              <w:rPr>
                <w:rFonts w:ascii="Calibri"/>
                <w:spacing w:val="57"/>
                <w:sz w:val="18"/>
              </w:rPr>
              <w:t xml:space="preserve"> </w:t>
            </w:r>
            <w:r>
              <w:rPr>
                <w:rFonts w:ascii="Calibri"/>
                <w:spacing w:val="-1"/>
                <w:sz w:val="18"/>
              </w:rPr>
              <w:t>and</w:t>
            </w:r>
            <w:r>
              <w:rPr>
                <w:rFonts w:ascii="Calibri"/>
                <w:spacing w:val="-3"/>
                <w:sz w:val="18"/>
              </w:rPr>
              <w:t xml:space="preserve"> </w:t>
            </w:r>
            <w:r>
              <w:rPr>
                <w:rFonts w:ascii="Calibri"/>
                <w:spacing w:val="-1"/>
                <w:sz w:val="18"/>
              </w:rPr>
              <w:t>additional</w:t>
            </w:r>
            <w:r>
              <w:rPr>
                <w:rFonts w:ascii="Calibri"/>
                <w:spacing w:val="-2"/>
                <w:sz w:val="18"/>
              </w:rPr>
              <w:t xml:space="preserve"> </w:t>
            </w:r>
            <w:r>
              <w:rPr>
                <w:rFonts w:ascii="Calibri"/>
                <w:spacing w:val="-1"/>
                <w:sz w:val="18"/>
              </w:rPr>
              <w:t>questions</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add details</w:t>
            </w:r>
            <w:r>
              <w:rPr>
                <w:rFonts w:ascii="Calibri"/>
                <w:spacing w:val="-2"/>
                <w:sz w:val="18"/>
              </w:rPr>
              <w:t xml:space="preserve"> </w:t>
            </w:r>
            <w:r>
              <w:rPr>
                <w:rFonts w:ascii="Calibri"/>
                <w:spacing w:val="-1"/>
                <w:sz w:val="18"/>
              </w:rPr>
              <w:t>surrounding</w:t>
            </w:r>
            <w:r>
              <w:rPr>
                <w:rFonts w:ascii="Calibri"/>
                <w:spacing w:val="-3"/>
                <w:sz w:val="18"/>
              </w:rPr>
              <w:t xml:space="preserve"> </w:t>
            </w:r>
            <w:r>
              <w:rPr>
                <w:rFonts w:ascii="Calibri"/>
                <w:spacing w:val="-1"/>
                <w:sz w:val="18"/>
              </w:rPr>
              <w:t>reported</w:t>
            </w:r>
            <w:r>
              <w:rPr>
                <w:rFonts w:ascii="Calibri"/>
                <w:spacing w:val="68"/>
                <w:w w:val="99"/>
                <w:sz w:val="18"/>
              </w:rPr>
              <w:t xml:space="preserve"> </w:t>
            </w:r>
            <w:r>
              <w:rPr>
                <w:rFonts w:ascii="Calibri"/>
                <w:spacing w:val="-1"/>
                <w:sz w:val="18"/>
              </w:rPr>
              <w:t>appliance</w:t>
            </w:r>
            <w:r>
              <w:rPr>
                <w:rFonts w:ascii="Calibri"/>
                <w:spacing w:val="-3"/>
                <w:sz w:val="18"/>
              </w:rPr>
              <w:t xml:space="preserve"> </w:t>
            </w:r>
            <w:r>
              <w:rPr>
                <w:rFonts w:ascii="Calibri"/>
                <w:spacing w:val="-1"/>
                <w:sz w:val="18"/>
              </w:rPr>
              <w:t>discard</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appliance</w:t>
            </w:r>
            <w:r>
              <w:rPr>
                <w:rFonts w:ascii="Calibri"/>
                <w:spacing w:val="-4"/>
                <w:sz w:val="18"/>
              </w:rPr>
              <w:t xml:space="preserve"> </w:t>
            </w:r>
            <w:r>
              <w:rPr>
                <w:rFonts w:ascii="Calibri"/>
                <w:spacing w:val="-1"/>
                <w:sz w:val="18"/>
              </w:rPr>
              <w:t>transfer</w:t>
            </w:r>
            <w:r>
              <w:rPr>
                <w:rFonts w:ascii="Calibri"/>
                <w:spacing w:val="-3"/>
                <w:sz w:val="18"/>
              </w:rPr>
              <w:t xml:space="preserve"> </w:t>
            </w:r>
            <w:r>
              <w:rPr>
                <w:rFonts w:ascii="Calibri"/>
                <w:spacing w:val="-1"/>
                <w:sz w:val="18"/>
              </w:rPr>
              <w:t>scenarios.</w:t>
            </w:r>
          </w:p>
        </w:tc>
        <w:tc>
          <w:tcPr>
            <w:tcW w:w="4680" w:type="dxa"/>
          </w:tcPr>
          <w:p w:rsidR="00E646C9" w:rsidRDefault="00E646C9" w:rsidP="0011636D">
            <w:pPr>
              <w:pStyle w:val="TableParagraph"/>
              <w:spacing w:before="10"/>
              <w:ind w:left="83"/>
              <w:rPr>
                <w:rFonts w:ascii="Century Gothic" w:eastAsia="Century Gothic" w:hAnsi="Century Gothic" w:cs="Century Gothic"/>
                <w:b/>
                <w:bCs/>
                <w:sz w:val="17"/>
                <w:szCs w:val="17"/>
              </w:rPr>
            </w:pPr>
          </w:p>
          <w:p w:rsidR="00E646C9" w:rsidRDefault="00E646C9" w:rsidP="0011636D">
            <w:pPr>
              <w:pStyle w:val="TableParagraph"/>
              <w:ind w:left="83" w:right="97"/>
              <w:rPr>
                <w:rFonts w:ascii="Calibri" w:eastAsia="Calibri" w:hAnsi="Calibri" w:cs="Calibri"/>
                <w:sz w:val="18"/>
                <w:szCs w:val="18"/>
              </w:rPr>
            </w:pPr>
            <w:r>
              <w:rPr>
                <w:rFonts w:ascii="Calibri"/>
                <w:spacing w:val="-1"/>
                <w:w w:val="95"/>
                <w:sz w:val="18"/>
              </w:rPr>
              <w:t>Accepted</w:t>
            </w:r>
          </w:p>
        </w:tc>
      </w:tr>
    </w:tbl>
    <w:p w:rsidR="00E646C9" w:rsidRPr="003B56E9" w:rsidRDefault="00E646C9" w:rsidP="003B56E9"/>
    <w:p w:rsidR="00E646C9" w:rsidRDefault="00E646C9" w:rsidP="003B56E9">
      <w:pPr>
        <w:pStyle w:val="AppendixGHeading2"/>
      </w:pPr>
      <w:r>
        <w:t>Energy Efficient Products</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11636D">
        <w:trPr>
          <w:trHeight w:hRule="exact" w:val="713"/>
          <w:tblHeader/>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680" w:type="dxa"/>
            <w:shd w:val="clear" w:color="auto" w:fill="448A99"/>
          </w:tcPr>
          <w:p w:rsidR="004D470A" w:rsidRDefault="00E646C9" w:rsidP="00C94D5A">
            <w:pPr>
              <w:pStyle w:val="TableParagraph"/>
              <w:ind w:left="171" w:right="170" w:hanging="1"/>
              <w:jc w:val="center"/>
              <w:rPr>
                <w:rFonts w:ascii="Calibri"/>
                <w:b/>
                <w:color w:val="FFFFFF"/>
                <w:spacing w:val="-4"/>
                <w:sz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p>
          <w:p w:rsidR="00E646C9" w:rsidRDefault="00E646C9" w:rsidP="00C94D5A">
            <w:pPr>
              <w:pStyle w:val="TableParagraph"/>
              <w:ind w:left="171" w:right="170" w:hanging="1"/>
              <w:jc w:val="center"/>
              <w:rPr>
                <w:rFonts w:ascii="Calibri" w:eastAsia="Calibri" w:hAnsi="Calibri" w:cs="Calibri"/>
                <w:sz w:val="18"/>
                <w:szCs w:val="18"/>
              </w:rPr>
            </w:pP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888"/>
        </w:trPr>
        <w:tc>
          <w:tcPr>
            <w:tcW w:w="4680" w:type="dxa"/>
            <w:shd w:val="clear" w:color="auto" w:fill="D2EAF1"/>
          </w:tcPr>
          <w:p w:rsidR="00E646C9" w:rsidRDefault="00E646C9" w:rsidP="00C94D5A">
            <w:pPr>
              <w:pStyle w:val="TableParagraph"/>
              <w:ind w:left="102" w:right="353"/>
              <w:rPr>
                <w:rFonts w:ascii="Calibri" w:eastAsia="Calibri" w:hAnsi="Calibri" w:cs="Calibri"/>
                <w:sz w:val="18"/>
                <w:szCs w:val="18"/>
              </w:rPr>
            </w:pPr>
            <w:r>
              <w:rPr>
                <w:rFonts w:ascii="Calibri"/>
                <w:spacing w:val="-1"/>
                <w:sz w:val="18"/>
              </w:rPr>
              <w:t>Review</w:t>
            </w:r>
            <w:r>
              <w:rPr>
                <w:rFonts w:ascii="Calibri"/>
                <w:spacing w:val="-3"/>
                <w:sz w:val="18"/>
              </w:rPr>
              <w:t xml:space="preserve"> </w:t>
            </w:r>
            <w:r>
              <w:rPr>
                <w:rFonts w:ascii="Calibri"/>
                <w:spacing w:val="-1"/>
                <w:sz w:val="18"/>
              </w:rPr>
              <w:t>rebate</w:t>
            </w:r>
            <w:r>
              <w:rPr>
                <w:rFonts w:ascii="Calibri"/>
                <w:spacing w:val="-3"/>
                <w:sz w:val="18"/>
              </w:rPr>
              <w:t xml:space="preserve"> </w:t>
            </w:r>
            <w:r>
              <w:rPr>
                <w:rFonts w:ascii="Calibri"/>
                <w:spacing w:val="-1"/>
                <w:sz w:val="18"/>
              </w:rPr>
              <w:t>paperwork</w:t>
            </w:r>
            <w:r>
              <w:rPr>
                <w:rFonts w:ascii="Calibri"/>
                <w:spacing w:val="-5"/>
                <w:sz w:val="18"/>
              </w:rPr>
              <w:t xml:space="preserve"> </w:t>
            </w:r>
            <w:r>
              <w:rPr>
                <w:rFonts w:ascii="Calibri"/>
                <w:spacing w:val="-1"/>
                <w:sz w:val="18"/>
              </w:rPr>
              <w:t>processes</w:t>
            </w:r>
            <w:r>
              <w:rPr>
                <w:rFonts w:ascii="Calibri"/>
                <w:spacing w:val="-5"/>
                <w:sz w:val="18"/>
              </w:rPr>
              <w:t xml:space="preserve"> </w:t>
            </w:r>
            <w:r>
              <w:rPr>
                <w:rFonts w:ascii="Calibri"/>
                <w:spacing w:val="-1"/>
                <w:sz w:val="18"/>
              </w:rPr>
              <w:t>to</w:t>
            </w:r>
            <w:r>
              <w:rPr>
                <w:rFonts w:ascii="Calibri"/>
                <w:spacing w:val="-2"/>
                <w:sz w:val="18"/>
              </w:rPr>
              <w:t xml:space="preserve"> </w:t>
            </w:r>
            <w:r>
              <w:rPr>
                <w:rFonts w:ascii="Calibri"/>
                <w:spacing w:val="-1"/>
                <w:sz w:val="18"/>
              </w:rPr>
              <w:t>identify</w:t>
            </w:r>
            <w:r>
              <w:rPr>
                <w:rFonts w:ascii="Calibri"/>
                <w:spacing w:val="43"/>
                <w:w w:val="99"/>
                <w:sz w:val="18"/>
              </w:rPr>
              <w:t xml:space="preserve"> </w:t>
            </w:r>
            <w:r>
              <w:rPr>
                <w:rFonts w:ascii="Calibri"/>
                <w:spacing w:val="-1"/>
                <w:sz w:val="18"/>
              </w:rPr>
              <w:t>opportunities</w:t>
            </w:r>
            <w:r>
              <w:rPr>
                <w:rFonts w:ascii="Calibri"/>
                <w:spacing w:val="-6"/>
                <w:sz w:val="18"/>
              </w:rPr>
              <w:t xml:space="preserve"> </w:t>
            </w:r>
            <w:r>
              <w:rPr>
                <w:rFonts w:ascii="Calibri"/>
                <w:spacing w:val="-1"/>
                <w:sz w:val="18"/>
              </w:rPr>
              <w:t>to</w:t>
            </w:r>
            <w:r>
              <w:rPr>
                <w:rFonts w:ascii="Calibri"/>
                <w:spacing w:val="-5"/>
                <w:sz w:val="18"/>
              </w:rPr>
              <w:t xml:space="preserve"> </w:t>
            </w:r>
            <w:r>
              <w:rPr>
                <w:rFonts w:ascii="Calibri"/>
                <w:spacing w:val="-1"/>
                <w:sz w:val="18"/>
              </w:rPr>
              <w:t>streamline</w:t>
            </w:r>
            <w:r>
              <w:rPr>
                <w:rFonts w:ascii="Calibri"/>
                <w:spacing w:val="-6"/>
                <w:sz w:val="18"/>
              </w:rPr>
              <w:t xml:space="preserve"> </w:t>
            </w:r>
            <w:r>
              <w:rPr>
                <w:rFonts w:ascii="Calibri"/>
                <w:spacing w:val="-1"/>
                <w:sz w:val="18"/>
              </w:rPr>
              <w:t>documentation</w:t>
            </w:r>
            <w:r>
              <w:rPr>
                <w:rFonts w:ascii="Calibri"/>
                <w:spacing w:val="-5"/>
                <w:sz w:val="18"/>
              </w:rPr>
              <w:t xml:space="preserve"> </w:t>
            </w:r>
            <w:r>
              <w:rPr>
                <w:rFonts w:ascii="Calibri"/>
                <w:spacing w:val="-1"/>
                <w:sz w:val="18"/>
              </w:rPr>
              <w:t>requirements</w:t>
            </w:r>
            <w:r>
              <w:rPr>
                <w:rFonts w:ascii="Calibri"/>
                <w:spacing w:val="71"/>
                <w:sz w:val="18"/>
              </w:rPr>
              <w:t xml:space="preserve"> </w:t>
            </w:r>
            <w:r>
              <w:rPr>
                <w:rFonts w:ascii="Calibri"/>
                <w:spacing w:val="-1"/>
                <w:sz w:val="18"/>
              </w:rPr>
              <w:t>and</w:t>
            </w:r>
            <w:r>
              <w:rPr>
                <w:rFonts w:ascii="Calibri"/>
                <w:spacing w:val="-4"/>
                <w:sz w:val="18"/>
              </w:rPr>
              <w:t xml:space="preserve"> </w:t>
            </w:r>
            <w:r>
              <w:rPr>
                <w:rFonts w:ascii="Calibri"/>
                <w:spacing w:val="-1"/>
                <w:sz w:val="18"/>
              </w:rPr>
              <w:t>notify</w:t>
            </w:r>
            <w:r>
              <w:rPr>
                <w:rFonts w:ascii="Calibri"/>
                <w:spacing w:val="-2"/>
                <w:sz w:val="18"/>
              </w:rPr>
              <w:t xml:space="preserve"> </w:t>
            </w:r>
            <w:r>
              <w:rPr>
                <w:rFonts w:ascii="Calibri"/>
                <w:spacing w:val="-1"/>
                <w:sz w:val="18"/>
              </w:rPr>
              <w:t>contractors</w:t>
            </w:r>
            <w:r>
              <w:rPr>
                <w:rFonts w:ascii="Calibri"/>
                <w:spacing w:val="-3"/>
                <w:sz w:val="18"/>
              </w:rPr>
              <w:t xml:space="preserve"> </w:t>
            </w:r>
            <w:r>
              <w:rPr>
                <w:rFonts w:ascii="Calibri"/>
                <w:spacing w:val="-1"/>
                <w:sz w:val="18"/>
              </w:rPr>
              <w:t>and/or</w:t>
            </w:r>
            <w:r>
              <w:rPr>
                <w:rFonts w:ascii="Calibri"/>
                <w:spacing w:val="-3"/>
                <w:sz w:val="18"/>
              </w:rPr>
              <w:t xml:space="preserve"> </w:t>
            </w:r>
            <w:r>
              <w:rPr>
                <w:rFonts w:ascii="Calibri"/>
                <w:spacing w:val="-1"/>
                <w:sz w:val="18"/>
              </w:rPr>
              <w:t>customers</w:t>
            </w:r>
            <w:r>
              <w:rPr>
                <w:rFonts w:ascii="Calibri"/>
                <w:spacing w:val="-3"/>
                <w:sz w:val="18"/>
              </w:rPr>
              <w:t xml:space="preserve"> </w:t>
            </w:r>
            <w:r>
              <w:rPr>
                <w:rFonts w:ascii="Calibri"/>
                <w:sz w:val="18"/>
              </w:rPr>
              <w:t>more</w:t>
            </w:r>
            <w:r>
              <w:rPr>
                <w:rFonts w:ascii="Calibri"/>
                <w:spacing w:val="-3"/>
                <w:sz w:val="18"/>
              </w:rPr>
              <w:t xml:space="preserve"> </w:t>
            </w:r>
            <w:r>
              <w:rPr>
                <w:rFonts w:ascii="Calibri"/>
                <w:spacing w:val="-1"/>
                <w:sz w:val="18"/>
              </w:rPr>
              <w:t>quickly</w:t>
            </w:r>
            <w:r>
              <w:rPr>
                <w:rFonts w:ascii="Calibri"/>
                <w:spacing w:val="-3"/>
                <w:sz w:val="18"/>
              </w:rPr>
              <w:t xml:space="preserve"> </w:t>
            </w:r>
            <w:r>
              <w:rPr>
                <w:rFonts w:ascii="Calibri"/>
                <w:spacing w:val="-1"/>
                <w:sz w:val="18"/>
              </w:rPr>
              <w:t>if</w:t>
            </w:r>
            <w:r>
              <w:rPr>
                <w:rFonts w:ascii="Calibri"/>
                <w:spacing w:val="57"/>
                <w:sz w:val="18"/>
              </w:rPr>
              <w:t xml:space="preserve"> </w:t>
            </w:r>
            <w:r>
              <w:rPr>
                <w:rFonts w:ascii="Calibri"/>
                <w:spacing w:val="-1"/>
                <w:sz w:val="18"/>
              </w:rPr>
              <w:t>project</w:t>
            </w:r>
            <w:r>
              <w:rPr>
                <w:rFonts w:ascii="Calibri"/>
                <w:spacing w:val="-4"/>
                <w:sz w:val="18"/>
              </w:rPr>
              <w:t xml:space="preserve"> </w:t>
            </w:r>
            <w:r>
              <w:rPr>
                <w:rFonts w:ascii="Calibri"/>
                <w:spacing w:val="-1"/>
                <w:sz w:val="18"/>
              </w:rPr>
              <w:t>documentation</w:t>
            </w:r>
            <w:r>
              <w:rPr>
                <w:rFonts w:ascii="Calibri"/>
                <w:spacing w:val="-4"/>
                <w:sz w:val="18"/>
              </w:rPr>
              <w:t xml:space="preserve"> </w:t>
            </w:r>
            <w:r>
              <w:rPr>
                <w:rFonts w:ascii="Calibri"/>
                <w:sz w:val="18"/>
              </w:rPr>
              <w:t>is</w:t>
            </w:r>
            <w:r>
              <w:rPr>
                <w:rFonts w:ascii="Calibri"/>
                <w:spacing w:val="-4"/>
                <w:sz w:val="18"/>
              </w:rPr>
              <w:t xml:space="preserve"> </w:t>
            </w:r>
            <w:r>
              <w:rPr>
                <w:rFonts w:ascii="Calibri"/>
                <w:spacing w:val="-1"/>
                <w:sz w:val="18"/>
              </w:rPr>
              <w:t>incomplete.</w:t>
            </w:r>
          </w:p>
        </w:tc>
        <w:tc>
          <w:tcPr>
            <w:tcW w:w="468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70"/>
        </w:trPr>
        <w:tc>
          <w:tcPr>
            <w:tcW w:w="4680" w:type="dxa"/>
          </w:tcPr>
          <w:p w:rsidR="00E646C9" w:rsidRDefault="00E646C9" w:rsidP="00C94D5A">
            <w:pPr>
              <w:pStyle w:val="TableParagraph"/>
              <w:ind w:left="102" w:right="197"/>
              <w:rPr>
                <w:rFonts w:ascii="Calibri" w:eastAsia="Calibri" w:hAnsi="Calibri" w:cs="Calibri"/>
                <w:sz w:val="18"/>
                <w:szCs w:val="18"/>
              </w:rPr>
            </w:pPr>
            <w:r>
              <w:rPr>
                <w:rFonts w:ascii="Calibri"/>
                <w:spacing w:val="-1"/>
                <w:sz w:val="18"/>
              </w:rPr>
              <w:t>Increase</w:t>
            </w:r>
            <w:r>
              <w:rPr>
                <w:rFonts w:ascii="Calibri"/>
                <w:spacing w:val="-5"/>
                <w:sz w:val="18"/>
              </w:rPr>
              <w:t xml:space="preserve"> </w:t>
            </w:r>
            <w:r>
              <w:rPr>
                <w:rFonts w:ascii="Calibri"/>
                <w:spacing w:val="-1"/>
                <w:sz w:val="18"/>
              </w:rPr>
              <w:t>one-on-one</w:t>
            </w:r>
            <w:r>
              <w:rPr>
                <w:rFonts w:ascii="Calibri"/>
                <w:spacing w:val="-5"/>
                <w:sz w:val="18"/>
              </w:rPr>
              <w:t xml:space="preserve"> </w:t>
            </w:r>
            <w:r>
              <w:rPr>
                <w:rFonts w:ascii="Calibri"/>
                <w:spacing w:val="-1"/>
                <w:sz w:val="18"/>
              </w:rPr>
              <w:t>communication</w:t>
            </w:r>
            <w:r>
              <w:rPr>
                <w:rFonts w:ascii="Calibri"/>
                <w:spacing w:val="-5"/>
                <w:sz w:val="18"/>
              </w:rPr>
              <w:t xml:space="preserve"> </w:t>
            </w:r>
            <w:r>
              <w:rPr>
                <w:rFonts w:ascii="Calibri"/>
                <w:spacing w:val="-1"/>
                <w:sz w:val="18"/>
              </w:rPr>
              <w:t>and</w:t>
            </w:r>
            <w:r>
              <w:rPr>
                <w:rFonts w:ascii="Calibri"/>
                <w:spacing w:val="-5"/>
                <w:sz w:val="18"/>
              </w:rPr>
              <w:t xml:space="preserve"> </w:t>
            </w:r>
            <w:r>
              <w:rPr>
                <w:rFonts w:ascii="Calibri"/>
                <w:sz w:val="18"/>
              </w:rPr>
              <w:t>improve</w:t>
            </w:r>
            <w:r>
              <w:rPr>
                <w:rFonts w:ascii="Calibri"/>
                <w:spacing w:val="-4"/>
                <w:sz w:val="18"/>
              </w:rPr>
              <w:t xml:space="preserve"> </w:t>
            </w:r>
            <w:r>
              <w:rPr>
                <w:rFonts w:ascii="Calibri"/>
                <w:spacing w:val="-1"/>
                <w:sz w:val="18"/>
              </w:rPr>
              <w:t>response</w:t>
            </w:r>
            <w:r>
              <w:rPr>
                <w:rFonts w:ascii="Calibri"/>
                <w:spacing w:val="61"/>
                <w:w w:val="99"/>
                <w:sz w:val="18"/>
              </w:rPr>
              <w:t xml:space="preserve"> </w:t>
            </w:r>
            <w:r>
              <w:rPr>
                <w:rFonts w:ascii="Calibri"/>
                <w:spacing w:val="-1"/>
                <w:sz w:val="18"/>
              </w:rPr>
              <w:t>time</w:t>
            </w:r>
            <w:r>
              <w:rPr>
                <w:rFonts w:ascii="Calibri"/>
                <w:spacing w:val="-4"/>
                <w:sz w:val="18"/>
              </w:rPr>
              <w:t xml:space="preserve"> </w:t>
            </w:r>
            <w:r>
              <w:rPr>
                <w:rFonts w:ascii="Calibri"/>
                <w:spacing w:val="-1"/>
                <w:sz w:val="18"/>
              </w:rPr>
              <w:t>between</w:t>
            </w:r>
            <w:r>
              <w:rPr>
                <w:rFonts w:ascii="Calibri"/>
                <w:spacing w:val="-4"/>
                <w:sz w:val="18"/>
              </w:rPr>
              <w:t xml:space="preserve"> </w:t>
            </w:r>
            <w:r>
              <w:rPr>
                <w:rFonts w:ascii="Calibri"/>
                <w:spacing w:val="-1"/>
                <w:sz w:val="18"/>
              </w:rPr>
              <w:t>participating</w:t>
            </w:r>
            <w:r>
              <w:rPr>
                <w:rFonts w:ascii="Calibri"/>
                <w:spacing w:val="-2"/>
                <w:sz w:val="18"/>
              </w:rPr>
              <w:t xml:space="preserve"> </w:t>
            </w:r>
            <w:r>
              <w:rPr>
                <w:rFonts w:ascii="Calibri"/>
                <w:sz w:val="18"/>
              </w:rPr>
              <w:t>program</w:t>
            </w:r>
            <w:r>
              <w:rPr>
                <w:rFonts w:ascii="Calibri"/>
                <w:spacing w:val="-3"/>
                <w:sz w:val="18"/>
              </w:rPr>
              <w:t xml:space="preserve"> </w:t>
            </w:r>
            <w:r>
              <w:rPr>
                <w:rFonts w:ascii="Calibri"/>
                <w:spacing w:val="-1"/>
                <w:sz w:val="18"/>
              </w:rPr>
              <w:t>contractors</w:t>
            </w:r>
            <w:r>
              <w:rPr>
                <w:rFonts w:ascii="Calibri"/>
                <w:spacing w:val="-4"/>
                <w:sz w:val="18"/>
              </w:rPr>
              <w:t xml:space="preserve"> </w:t>
            </w:r>
            <w:r>
              <w:rPr>
                <w:rFonts w:ascii="Calibri"/>
                <w:spacing w:val="-1"/>
                <w:sz w:val="18"/>
              </w:rPr>
              <w:t>and</w:t>
            </w:r>
            <w:r>
              <w:rPr>
                <w:rFonts w:ascii="Calibri"/>
                <w:spacing w:val="-4"/>
                <w:sz w:val="18"/>
              </w:rPr>
              <w:t xml:space="preserve"> </w:t>
            </w:r>
            <w:r>
              <w:rPr>
                <w:rFonts w:ascii="Calibri"/>
                <w:spacing w:val="-1"/>
                <w:sz w:val="18"/>
              </w:rPr>
              <w:t>their</w:t>
            </w:r>
            <w:r>
              <w:rPr>
                <w:rFonts w:ascii="Calibri"/>
                <w:spacing w:val="50"/>
                <w:sz w:val="18"/>
              </w:rPr>
              <w:t xml:space="preserve"> </w:t>
            </w:r>
            <w:r>
              <w:rPr>
                <w:rFonts w:ascii="Calibri"/>
                <w:spacing w:val="-1"/>
                <w:sz w:val="18"/>
              </w:rPr>
              <w:t>ICSP</w:t>
            </w:r>
            <w:r>
              <w:rPr>
                <w:rFonts w:ascii="Calibri"/>
                <w:spacing w:val="-9"/>
                <w:sz w:val="18"/>
              </w:rPr>
              <w:t xml:space="preserve"> </w:t>
            </w:r>
            <w:r>
              <w:rPr>
                <w:rFonts w:ascii="Calibri"/>
                <w:spacing w:val="-1"/>
                <w:sz w:val="18"/>
              </w:rPr>
              <w:t>representative.</w:t>
            </w:r>
          </w:p>
        </w:tc>
        <w:tc>
          <w:tcPr>
            <w:tcW w:w="4680" w:type="dxa"/>
          </w:tcPr>
          <w:p w:rsidR="00E646C9" w:rsidRDefault="00E646C9" w:rsidP="00C94D5A">
            <w:pPr>
              <w:pStyle w:val="TableParagraph"/>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70"/>
        </w:trPr>
        <w:tc>
          <w:tcPr>
            <w:tcW w:w="4680" w:type="dxa"/>
            <w:shd w:val="clear" w:color="auto" w:fill="D2EAF1"/>
          </w:tcPr>
          <w:p w:rsidR="00E646C9" w:rsidRDefault="00E646C9" w:rsidP="00C94D5A">
            <w:pPr>
              <w:pStyle w:val="TableParagraph"/>
              <w:ind w:left="102" w:right="352"/>
              <w:rPr>
                <w:rFonts w:ascii="Calibri" w:eastAsia="Calibri" w:hAnsi="Calibri" w:cs="Calibri"/>
                <w:sz w:val="18"/>
                <w:szCs w:val="18"/>
              </w:rPr>
            </w:pPr>
            <w:r>
              <w:rPr>
                <w:rFonts w:ascii="Calibri" w:eastAsia="Calibri" w:hAnsi="Calibri" w:cs="Calibri"/>
                <w:spacing w:val="-1"/>
                <w:sz w:val="18"/>
                <w:szCs w:val="18"/>
              </w:rPr>
              <w:t>Use</w:t>
            </w:r>
            <w:r>
              <w:rPr>
                <w:rFonts w:ascii="Calibri" w:eastAsia="Calibri" w:hAnsi="Calibri" w:cs="Calibri"/>
                <w:spacing w:val="-5"/>
                <w:sz w:val="18"/>
                <w:szCs w:val="18"/>
              </w:rPr>
              <w:t xml:space="preserve"> </w:t>
            </w:r>
            <w:r>
              <w:rPr>
                <w:rFonts w:ascii="Calibri" w:eastAsia="Calibri" w:hAnsi="Calibri" w:cs="Calibri"/>
                <w:spacing w:val="-1"/>
                <w:sz w:val="18"/>
                <w:szCs w:val="18"/>
              </w:rPr>
              <w:t>one-on-one</w:t>
            </w:r>
            <w:r>
              <w:rPr>
                <w:rFonts w:ascii="Calibri" w:eastAsia="Calibri" w:hAnsi="Calibri" w:cs="Calibri"/>
                <w:spacing w:val="-4"/>
                <w:sz w:val="18"/>
                <w:szCs w:val="18"/>
              </w:rPr>
              <w:t xml:space="preserve"> </w:t>
            </w:r>
            <w:r>
              <w:rPr>
                <w:rFonts w:ascii="Calibri" w:eastAsia="Calibri" w:hAnsi="Calibri" w:cs="Calibri"/>
                <w:spacing w:val="-1"/>
                <w:sz w:val="18"/>
                <w:szCs w:val="18"/>
              </w:rPr>
              <w:t>communication</w:t>
            </w:r>
            <w:r>
              <w:rPr>
                <w:rFonts w:ascii="Calibri" w:eastAsia="Calibri" w:hAnsi="Calibri" w:cs="Calibri"/>
                <w:spacing w:val="-2"/>
                <w:sz w:val="18"/>
                <w:szCs w:val="18"/>
              </w:rPr>
              <w:t xml:space="preserve"> </w:t>
            </w:r>
            <w:r>
              <w:rPr>
                <w:rFonts w:ascii="Calibri" w:eastAsia="Calibri" w:hAnsi="Calibri" w:cs="Calibri"/>
                <w:spacing w:val="-1"/>
                <w:sz w:val="18"/>
                <w:szCs w:val="18"/>
              </w:rPr>
              <w:t>to</w:t>
            </w:r>
            <w:r>
              <w:rPr>
                <w:rFonts w:ascii="Calibri" w:eastAsia="Calibri" w:hAnsi="Calibri" w:cs="Calibri"/>
                <w:spacing w:val="-3"/>
                <w:sz w:val="18"/>
                <w:szCs w:val="18"/>
              </w:rPr>
              <w:t xml:space="preserve"> </w:t>
            </w:r>
            <w:r>
              <w:rPr>
                <w:rFonts w:ascii="Calibri" w:eastAsia="Calibri" w:hAnsi="Calibri" w:cs="Calibri"/>
                <w:spacing w:val="-1"/>
                <w:sz w:val="18"/>
                <w:szCs w:val="18"/>
              </w:rPr>
              <w:t>increase</w:t>
            </w:r>
            <w:r>
              <w:rPr>
                <w:rFonts w:ascii="Calibri" w:eastAsia="Calibri" w:hAnsi="Calibri" w:cs="Calibri"/>
                <w:spacing w:val="-4"/>
                <w:sz w:val="18"/>
                <w:szCs w:val="18"/>
              </w:rPr>
              <w:t xml:space="preserve"> </w:t>
            </w:r>
            <w:r>
              <w:rPr>
                <w:rFonts w:ascii="Calibri" w:eastAsia="Calibri" w:hAnsi="Calibri" w:cs="Calibri"/>
                <w:spacing w:val="-1"/>
                <w:sz w:val="18"/>
                <w:szCs w:val="18"/>
              </w:rPr>
              <w:t>contractor</w:t>
            </w:r>
            <w:r>
              <w:rPr>
                <w:rFonts w:ascii="Calibri" w:eastAsia="Calibri" w:hAnsi="Calibri" w:cs="Calibri"/>
                <w:spacing w:val="65"/>
                <w:w w:val="99"/>
                <w:sz w:val="18"/>
                <w:szCs w:val="18"/>
              </w:rPr>
              <w:t xml:space="preserve"> </w:t>
            </w:r>
            <w:r>
              <w:rPr>
                <w:rFonts w:ascii="Calibri" w:eastAsia="Calibri" w:hAnsi="Calibri" w:cs="Calibri"/>
                <w:spacing w:val="-1"/>
                <w:sz w:val="18"/>
                <w:szCs w:val="18"/>
              </w:rPr>
              <w:t>awareness</w:t>
            </w:r>
            <w:r>
              <w:rPr>
                <w:rFonts w:ascii="Calibri" w:eastAsia="Calibri" w:hAnsi="Calibri" w:cs="Calibri"/>
                <w:spacing w:val="-3"/>
                <w:sz w:val="18"/>
                <w:szCs w:val="18"/>
              </w:rPr>
              <w:t xml:space="preserve"> </w:t>
            </w:r>
            <w:r>
              <w:rPr>
                <w:rFonts w:ascii="Calibri" w:eastAsia="Calibri" w:hAnsi="Calibri" w:cs="Calibri"/>
                <w:sz w:val="18"/>
                <w:szCs w:val="18"/>
              </w:rPr>
              <w:t>of</w:t>
            </w:r>
            <w:r>
              <w:rPr>
                <w:rFonts w:ascii="Calibri" w:eastAsia="Calibri" w:hAnsi="Calibri" w:cs="Calibri"/>
                <w:spacing w:val="-2"/>
                <w:sz w:val="18"/>
                <w:szCs w:val="18"/>
              </w:rPr>
              <w:t xml:space="preserve"> </w:t>
            </w:r>
            <w:r>
              <w:rPr>
                <w:rFonts w:ascii="Calibri" w:eastAsia="Calibri" w:hAnsi="Calibri" w:cs="Calibri"/>
                <w:spacing w:val="-1"/>
                <w:sz w:val="18"/>
                <w:szCs w:val="18"/>
              </w:rPr>
              <w:t>program</w:t>
            </w:r>
            <w:r>
              <w:rPr>
                <w:rFonts w:ascii="Calibri" w:eastAsia="Calibri" w:hAnsi="Calibri" w:cs="Calibri"/>
                <w:spacing w:val="-2"/>
                <w:sz w:val="18"/>
                <w:szCs w:val="18"/>
              </w:rPr>
              <w:t xml:space="preserve"> </w:t>
            </w:r>
            <w:r>
              <w:rPr>
                <w:rFonts w:ascii="Calibri" w:eastAsia="Calibri" w:hAnsi="Calibri" w:cs="Calibri"/>
                <w:sz w:val="18"/>
                <w:szCs w:val="18"/>
              </w:rPr>
              <w:t>communication</w:t>
            </w:r>
            <w:r>
              <w:rPr>
                <w:rFonts w:ascii="Calibri" w:eastAsia="Calibri" w:hAnsi="Calibri" w:cs="Calibri"/>
                <w:spacing w:val="-3"/>
                <w:sz w:val="18"/>
                <w:szCs w:val="18"/>
              </w:rPr>
              <w:t xml:space="preserve"> </w:t>
            </w:r>
            <w:r>
              <w:rPr>
                <w:rFonts w:ascii="Calibri" w:eastAsia="Calibri" w:hAnsi="Calibri" w:cs="Calibri"/>
                <w:sz w:val="18"/>
                <w:szCs w:val="18"/>
              </w:rPr>
              <w:t>tools</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such</w:t>
            </w:r>
            <w:r>
              <w:rPr>
                <w:rFonts w:ascii="Calibri" w:eastAsia="Calibri" w:hAnsi="Calibri" w:cs="Calibri"/>
                <w:spacing w:val="-3"/>
                <w:sz w:val="18"/>
                <w:szCs w:val="18"/>
              </w:rPr>
              <w:t xml:space="preserve"> </w:t>
            </w:r>
            <w:r>
              <w:rPr>
                <w:rFonts w:ascii="Calibri" w:eastAsia="Calibri" w:hAnsi="Calibri" w:cs="Calibri"/>
                <w:sz w:val="18"/>
                <w:szCs w:val="18"/>
              </w:rPr>
              <w:t>as</w:t>
            </w:r>
            <w:r>
              <w:rPr>
                <w:rFonts w:ascii="Calibri" w:eastAsia="Calibri" w:hAnsi="Calibri" w:cs="Calibri"/>
                <w:spacing w:val="-3"/>
                <w:sz w:val="18"/>
                <w:szCs w:val="18"/>
              </w:rPr>
              <w:t xml:space="preserve"> </w:t>
            </w:r>
            <w:r>
              <w:rPr>
                <w:rFonts w:ascii="Calibri" w:eastAsia="Calibri" w:hAnsi="Calibri" w:cs="Calibri"/>
                <w:spacing w:val="-1"/>
                <w:sz w:val="18"/>
                <w:szCs w:val="18"/>
              </w:rPr>
              <w:t>the</w:t>
            </w:r>
            <w:r>
              <w:rPr>
                <w:rFonts w:ascii="Calibri" w:eastAsia="Calibri" w:hAnsi="Calibri" w:cs="Calibri"/>
                <w:spacing w:val="23"/>
                <w:w w:val="99"/>
                <w:sz w:val="18"/>
                <w:szCs w:val="18"/>
              </w:rPr>
              <w:t xml:space="preserve"> </w:t>
            </w:r>
            <w:r>
              <w:rPr>
                <w:rFonts w:ascii="Calibri" w:eastAsia="Calibri" w:hAnsi="Calibri" w:cs="Calibri"/>
                <w:spacing w:val="-1"/>
                <w:sz w:val="18"/>
                <w:szCs w:val="18"/>
              </w:rPr>
              <w:t>newsletter</w:t>
            </w:r>
            <w:r>
              <w:rPr>
                <w:rFonts w:ascii="Calibri" w:eastAsia="Calibri" w:hAnsi="Calibri" w:cs="Calibri"/>
                <w:spacing w:val="-3"/>
                <w:sz w:val="18"/>
                <w:szCs w:val="18"/>
              </w:rPr>
              <w:t xml:space="preserve"> </w:t>
            </w:r>
            <w:r>
              <w:rPr>
                <w:rFonts w:ascii="Calibri" w:eastAsia="Calibri" w:hAnsi="Calibri" w:cs="Calibri"/>
                <w:sz w:val="18"/>
                <w:szCs w:val="18"/>
              </w:rPr>
              <w:t>and/or</w:t>
            </w:r>
            <w:r>
              <w:rPr>
                <w:rFonts w:ascii="Calibri" w:eastAsia="Calibri" w:hAnsi="Calibri" w:cs="Calibri"/>
                <w:spacing w:val="-3"/>
                <w:sz w:val="18"/>
                <w:szCs w:val="18"/>
              </w:rPr>
              <w:t xml:space="preserve"> </w:t>
            </w:r>
            <w:r>
              <w:rPr>
                <w:rFonts w:ascii="Calibri" w:eastAsia="Calibri" w:hAnsi="Calibri" w:cs="Calibri"/>
                <w:spacing w:val="-1"/>
                <w:sz w:val="18"/>
                <w:szCs w:val="18"/>
              </w:rPr>
              <w:t>portal</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that</w:t>
            </w:r>
            <w:r>
              <w:rPr>
                <w:rFonts w:ascii="Calibri" w:eastAsia="Calibri" w:hAnsi="Calibri" w:cs="Calibri"/>
                <w:spacing w:val="-3"/>
                <w:sz w:val="18"/>
                <w:szCs w:val="18"/>
              </w:rPr>
              <w:t xml:space="preserve"> </w:t>
            </w:r>
            <w:r>
              <w:rPr>
                <w:rFonts w:ascii="Calibri" w:eastAsia="Calibri" w:hAnsi="Calibri" w:cs="Calibri"/>
                <w:sz w:val="18"/>
                <w:szCs w:val="18"/>
              </w:rPr>
              <w:t>already</w:t>
            </w:r>
            <w:r>
              <w:rPr>
                <w:rFonts w:ascii="Calibri" w:eastAsia="Calibri" w:hAnsi="Calibri" w:cs="Calibri"/>
                <w:spacing w:val="-2"/>
                <w:sz w:val="18"/>
                <w:szCs w:val="18"/>
              </w:rPr>
              <w:t xml:space="preserve"> </w:t>
            </w:r>
            <w:r>
              <w:rPr>
                <w:rFonts w:ascii="Calibri" w:eastAsia="Calibri" w:hAnsi="Calibri" w:cs="Calibri"/>
                <w:spacing w:val="-1"/>
                <w:sz w:val="18"/>
                <w:szCs w:val="18"/>
              </w:rPr>
              <w:t>exist.</w:t>
            </w:r>
          </w:p>
        </w:tc>
        <w:tc>
          <w:tcPr>
            <w:tcW w:w="468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1109"/>
        </w:trPr>
        <w:tc>
          <w:tcPr>
            <w:tcW w:w="4680" w:type="dxa"/>
          </w:tcPr>
          <w:p w:rsidR="00E646C9" w:rsidRDefault="00E646C9" w:rsidP="00C94D5A">
            <w:pPr>
              <w:pStyle w:val="TableParagraph"/>
              <w:ind w:left="102" w:right="484"/>
              <w:rPr>
                <w:rFonts w:ascii="Calibri" w:eastAsia="Calibri" w:hAnsi="Calibri" w:cs="Calibri"/>
                <w:sz w:val="18"/>
                <w:szCs w:val="18"/>
              </w:rPr>
            </w:pPr>
            <w:r>
              <w:rPr>
                <w:rFonts w:ascii="Calibri" w:eastAsia="Calibri" w:hAnsi="Calibri" w:cs="Calibri"/>
                <w:spacing w:val="-1"/>
                <w:sz w:val="18"/>
                <w:szCs w:val="18"/>
              </w:rPr>
              <w:t>Consider</w:t>
            </w:r>
            <w:r>
              <w:rPr>
                <w:rFonts w:ascii="Calibri" w:eastAsia="Calibri" w:hAnsi="Calibri" w:cs="Calibri"/>
                <w:spacing w:val="-3"/>
                <w:sz w:val="18"/>
                <w:szCs w:val="18"/>
              </w:rPr>
              <w:t xml:space="preserve"> </w:t>
            </w:r>
            <w:r>
              <w:rPr>
                <w:rFonts w:ascii="Calibri" w:eastAsia="Calibri" w:hAnsi="Calibri" w:cs="Calibri"/>
                <w:sz w:val="18"/>
                <w:szCs w:val="18"/>
              </w:rPr>
              <w:t>annual</w:t>
            </w:r>
            <w:r>
              <w:rPr>
                <w:rFonts w:ascii="Calibri" w:eastAsia="Calibri" w:hAnsi="Calibri" w:cs="Calibri"/>
                <w:spacing w:val="-3"/>
                <w:sz w:val="18"/>
                <w:szCs w:val="18"/>
              </w:rPr>
              <w:t xml:space="preserve"> </w:t>
            </w:r>
            <w:r>
              <w:rPr>
                <w:rFonts w:ascii="Calibri" w:eastAsia="Calibri" w:hAnsi="Calibri" w:cs="Calibri"/>
                <w:sz w:val="18"/>
                <w:szCs w:val="18"/>
              </w:rPr>
              <w:t>or</w:t>
            </w:r>
            <w:r>
              <w:rPr>
                <w:rFonts w:ascii="Calibri" w:eastAsia="Calibri" w:hAnsi="Calibri" w:cs="Calibri"/>
                <w:spacing w:val="-3"/>
                <w:sz w:val="18"/>
                <w:szCs w:val="18"/>
              </w:rPr>
              <w:t xml:space="preserve"> </w:t>
            </w:r>
            <w:r>
              <w:rPr>
                <w:rFonts w:ascii="Calibri" w:eastAsia="Calibri" w:hAnsi="Calibri" w:cs="Calibri"/>
                <w:spacing w:val="-1"/>
                <w:sz w:val="18"/>
                <w:szCs w:val="18"/>
              </w:rPr>
              <w:t>bi-annual</w:t>
            </w:r>
            <w:r>
              <w:rPr>
                <w:rFonts w:ascii="Calibri" w:eastAsia="Calibri" w:hAnsi="Calibri" w:cs="Calibri"/>
                <w:spacing w:val="-2"/>
                <w:sz w:val="18"/>
                <w:szCs w:val="18"/>
              </w:rPr>
              <w:t xml:space="preserve"> </w:t>
            </w:r>
            <w:r>
              <w:rPr>
                <w:rFonts w:ascii="Calibri" w:eastAsia="Calibri" w:hAnsi="Calibri" w:cs="Calibri"/>
                <w:sz w:val="18"/>
                <w:szCs w:val="18"/>
              </w:rPr>
              <w:t>calls</w:t>
            </w:r>
            <w:r>
              <w:rPr>
                <w:rFonts w:ascii="Calibri" w:eastAsia="Calibri" w:hAnsi="Calibri" w:cs="Calibri"/>
                <w:spacing w:val="-3"/>
                <w:sz w:val="18"/>
                <w:szCs w:val="18"/>
              </w:rPr>
              <w:t xml:space="preserve"> </w:t>
            </w:r>
            <w:r>
              <w:rPr>
                <w:rFonts w:ascii="Calibri" w:eastAsia="Calibri" w:hAnsi="Calibri" w:cs="Calibri"/>
                <w:sz w:val="18"/>
                <w:szCs w:val="18"/>
              </w:rPr>
              <w:t>or</w:t>
            </w:r>
            <w:r>
              <w:rPr>
                <w:rFonts w:ascii="Calibri" w:eastAsia="Calibri" w:hAnsi="Calibri" w:cs="Calibri"/>
                <w:spacing w:val="-3"/>
                <w:sz w:val="18"/>
                <w:szCs w:val="18"/>
              </w:rPr>
              <w:t xml:space="preserve"> </w:t>
            </w:r>
            <w:r>
              <w:rPr>
                <w:rFonts w:ascii="Calibri" w:eastAsia="Calibri" w:hAnsi="Calibri" w:cs="Calibri"/>
                <w:spacing w:val="-1"/>
                <w:sz w:val="18"/>
                <w:szCs w:val="18"/>
              </w:rPr>
              <w:t>meetings</w:t>
            </w:r>
            <w:r>
              <w:rPr>
                <w:rFonts w:ascii="Calibri" w:eastAsia="Calibri" w:hAnsi="Calibri" w:cs="Calibri"/>
                <w:spacing w:val="-2"/>
                <w:sz w:val="18"/>
                <w:szCs w:val="18"/>
              </w:rPr>
              <w:t xml:space="preserve"> </w:t>
            </w:r>
            <w:r>
              <w:rPr>
                <w:rFonts w:ascii="Calibri" w:eastAsia="Calibri" w:hAnsi="Calibri" w:cs="Calibri"/>
                <w:spacing w:val="-1"/>
                <w:sz w:val="18"/>
                <w:szCs w:val="18"/>
              </w:rPr>
              <w:t>with</w:t>
            </w:r>
            <w:r>
              <w:rPr>
                <w:rFonts w:ascii="Calibri" w:eastAsia="Calibri" w:hAnsi="Calibri" w:cs="Calibri"/>
                <w:spacing w:val="39"/>
                <w:sz w:val="18"/>
                <w:szCs w:val="18"/>
              </w:rPr>
              <w:t xml:space="preserve"> </w:t>
            </w:r>
            <w:r>
              <w:rPr>
                <w:rFonts w:ascii="Calibri" w:eastAsia="Calibri" w:hAnsi="Calibri" w:cs="Calibri"/>
                <w:spacing w:val="-1"/>
                <w:sz w:val="18"/>
                <w:szCs w:val="18"/>
              </w:rPr>
              <w:t>participating</w:t>
            </w:r>
            <w:r>
              <w:rPr>
                <w:rFonts w:ascii="Calibri" w:eastAsia="Calibri" w:hAnsi="Calibri" w:cs="Calibri"/>
                <w:spacing w:val="-3"/>
                <w:sz w:val="18"/>
                <w:szCs w:val="18"/>
              </w:rPr>
              <w:t xml:space="preserve"> </w:t>
            </w:r>
            <w:r>
              <w:rPr>
                <w:rFonts w:ascii="Calibri" w:eastAsia="Calibri" w:hAnsi="Calibri" w:cs="Calibri"/>
                <w:spacing w:val="-1"/>
                <w:sz w:val="18"/>
                <w:szCs w:val="18"/>
              </w:rPr>
              <w:t>contractors</w:t>
            </w:r>
            <w:r>
              <w:rPr>
                <w:rFonts w:ascii="Calibri" w:eastAsia="Calibri" w:hAnsi="Calibri" w:cs="Calibri"/>
                <w:spacing w:val="-2"/>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in</w:t>
            </w:r>
            <w:r>
              <w:rPr>
                <w:rFonts w:ascii="Calibri" w:eastAsia="Calibri" w:hAnsi="Calibri" w:cs="Calibri"/>
                <w:spacing w:val="-2"/>
                <w:sz w:val="18"/>
                <w:szCs w:val="18"/>
              </w:rPr>
              <w:t xml:space="preserve"> </w:t>
            </w:r>
            <w:r>
              <w:rPr>
                <w:rFonts w:ascii="Calibri" w:eastAsia="Calibri" w:hAnsi="Calibri" w:cs="Calibri"/>
                <w:spacing w:val="-1"/>
                <w:sz w:val="18"/>
                <w:szCs w:val="18"/>
              </w:rPr>
              <w:t xml:space="preserve">lieu </w:t>
            </w:r>
            <w:r>
              <w:rPr>
                <w:rFonts w:ascii="Calibri" w:eastAsia="Calibri" w:hAnsi="Calibri" w:cs="Calibri"/>
                <w:sz w:val="18"/>
                <w:szCs w:val="18"/>
              </w:rPr>
              <w:t>of</w:t>
            </w:r>
            <w:r>
              <w:rPr>
                <w:rFonts w:ascii="Calibri" w:eastAsia="Calibri" w:hAnsi="Calibri" w:cs="Calibri"/>
                <w:spacing w:val="-1"/>
                <w:sz w:val="18"/>
                <w:szCs w:val="18"/>
              </w:rPr>
              <w:t xml:space="preserve"> </w:t>
            </w:r>
            <w:r>
              <w:rPr>
                <w:rFonts w:ascii="Calibri" w:eastAsia="Calibri" w:hAnsi="Calibri" w:cs="Calibri"/>
                <w:sz w:val="18"/>
                <w:szCs w:val="18"/>
              </w:rPr>
              <w:t>or</w:t>
            </w:r>
            <w:r>
              <w:rPr>
                <w:rFonts w:ascii="Calibri" w:eastAsia="Calibri" w:hAnsi="Calibri" w:cs="Calibri"/>
                <w:spacing w:val="-2"/>
                <w:sz w:val="18"/>
                <w:szCs w:val="18"/>
              </w:rPr>
              <w:t xml:space="preserve"> </w:t>
            </w:r>
            <w:r>
              <w:rPr>
                <w:rFonts w:ascii="Calibri" w:eastAsia="Calibri" w:hAnsi="Calibri" w:cs="Calibri"/>
                <w:spacing w:val="-1"/>
                <w:sz w:val="18"/>
                <w:szCs w:val="18"/>
              </w:rPr>
              <w:t>in</w:t>
            </w:r>
            <w:r>
              <w:rPr>
                <w:rFonts w:ascii="Calibri" w:eastAsia="Calibri" w:hAnsi="Calibri" w:cs="Calibri"/>
                <w:spacing w:val="-2"/>
                <w:sz w:val="18"/>
                <w:szCs w:val="18"/>
              </w:rPr>
              <w:t xml:space="preserve"> </w:t>
            </w:r>
            <w:r>
              <w:rPr>
                <w:rFonts w:ascii="Calibri" w:eastAsia="Calibri" w:hAnsi="Calibri" w:cs="Calibri"/>
                <w:spacing w:val="-1"/>
                <w:sz w:val="18"/>
                <w:szCs w:val="18"/>
              </w:rPr>
              <w:t>addition</w:t>
            </w:r>
            <w:r>
              <w:rPr>
                <w:rFonts w:ascii="Calibri" w:eastAsia="Calibri" w:hAnsi="Calibri" w:cs="Calibri"/>
                <w:spacing w:val="-2"/>
                <w:sz w:val="18"/>
                <w:szCs w:val="18"/>
              </w:rPr>
              <w:t xml:space="preserve"> </w:t>
            </w:r>
            <w:r>
              <w:rPr>
                <w:rFonts w:ascii="Calibri" w:eastAsia="Calibri" w:hAnsi="Calibri" w:cs="Calibri"/>
                <w:spacing w:val="-1"/>
                <w:sz w:val="18"/>
                <w:szCs w:val="18"/>
              </w:rPr>
              <w:t>to</w:t>
            </w:r>
            <w:r>
              <w:rPr>
                <w:rFonts w:ascii="Calibri" w:eastAsia="Calibri" w:hAnsi="Calibri" w:cs="Calibri"/>
                <w:spacing w:val="53"/>
                <w:sz w:val="18"/>
                <w:szCs w:val="18"/>
              </w:rPr>
              <w:t xml:space="preserve"> </w:t>
            </w:r>
            <w:r>
              <w:rPr>
                <w:rFonts w:ascii="Calibri" w:eastAsia="Calibri" w:hAnsi="Calibri" w:cs="Calibri"/>
                <w:spacing w:val="-1"/>
                <w:sz w:val="18"/>
                <w:szCs w:val="18"/>
              </w:rPr>
              <w:t>webinars</w:t>
            </w:r>
            <w:r>
              <w:rPr>
                <w:rFonts w:ascii="Calibri" w:eastAsia="Calibri" w:hAnsi="Calibri" w:cs="Calibri"/>
                <w:spacing w:val="-2"/>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to provide specific</w:t>
            </w:r>
            <w:r>
              <w:rPr>
                <w:rFonts w:ascii="Calibri" w:eastAsia="Calibri" w:hAnsi="Calibri" w:cs="Calibri"/>
                <w:spacing w:val="-2"/>
                <w:sz w:val="18"/>
                <w:szCs w:val="18"/>
              </w:rPr>
              <w:t xml:space="preserve"> </w:t>
            </w:r>
            <w:r>
              <w:rPr>
                <w:rFonts w:ascii="Calibri" w:eastAsia="Calibri" w:hAnsi="Calibri" w:cs="Calibri"/>
                <w:spacing w:val="-1"/>
                <w:sz w:val="18"/>
                <w:szCs w:val="18"/>
              </w:rPr>
              <w:t>information</w:t>
            </w:r>
            <w:r>
              <w:rPr>
                <w:rFonts w:ascii="Calibri" w:eastAsia="Calibri" w:hAnsi="Calibri" w:cs="Calibri"/>
                <w:spacing w:val="-3"/>
                <w:sz w:val="18"/>
                <w:szCs w:val="18"/>
              </w:rPr>
              <w:t xml:space="preserve"> </w:t>
            </w:r>
            <w:r>
              <w:rPr>
                <w:rFonts w:ascii="Calibri" w:eastAsia="Calibri" w:hAnsi="Calibri" w:cs="Calibri"/>
                <w:sz w:val="18"/>
                <w:szCs w:val="18"/>
              </w:rPr>
              <w:t>on</w:t>
            </w:r>
            <w:r>
              <w:rPr>
                <w:rFonts w:ascii="Calibri" w:eastAsia="Calibri" w:hAnsi="Calibri" w:cs="Calibri"/>
                <w:spacing w:val="-3"/>
                <w:sz w:val="18"/>
                <w:szCs w:val="18"/>
              </w:rPr>
              <w:t xml:space="preserve"> </w:t>
            </w:r>
            <w:r>
              <w:rPr>
                <w:rFonts w:ascii="Calibri" w:eastAsia="Calibri" w:hAnsi="Calibri" w:cs="Calibri"/>
                <w:spacing w:val="-1"/>
                <w:sz w:val="18"/>
                <w:szCs w:val="18"/>
              </w:rPr>
              <w:t>program</w:t>
            </w:r>
            <w:r>
              <w:rPr>
                <w:rFonts w:ascii="Calibri" w:eastAsia="Calibri" w:hAnsi="Calibri" w:cs="Calibri"/>
                <w:spacing w:val="51"/>
                <w:w w:val="99"/>
                <w:sz w:val="18"/>
                <w:szCs w:val="18"/>
              </w:rPr>
              <w:t xml:space="preserve"> </w:t>
            </w:r>
            <w:r>
              <w:rPr>
                <w:rFonts w:ascii="Calibri" w:eastAsia="Calibri" w:hAnsi="Calibri" w:cs="Calibri"/>
                <w:spacing w:val="-1"/>
                <w:sz w:val="18"/>
                <w:szCs w:val="18"/>
              </w:rPr>
              <w:t>offerings</w:t>
            </w:r>
            <w:r>
              <w:rPr>
                <w:rFonts w:ascii="Calibri" w:eastAsia="Calibri" w:hAnsi="Calibri" w:cs="Calibri"/>
                <w:spacing w:val="-3"/>
                <w:sz w:val="18"/>
                <w:szCs w:val="18"/>
              </w:rPr>
              <w:t xml:space="preserve"> </w:t>
            </w:r>
            <w:r>
              <w:rPr>
                <w:rFonts w:ascii="Calibri" w:eastAsia="Calibri" w:hAnsi="Calibri" w:cs="Calibri"/>
                <w:sz w:val="18"/>
                <w:szCs w:val="18"/>
              </w:rPr>
              <w:t>and/or</w:t>
            </w:r>
            <w:r>
              <w:rPr>
                <w:rFonts w:ascii="Calibri" w:eastAsia="Calibri" w:hAnsi="Calibri" w:cs="Calibri"/>
                <w:spacing w:val="-3"/>
                <w:sz w:val="18"/>
                <w:szCs w:val="18"/>
              </w:rPr>
              <w:t xml:space="preserve"> </w:t>
            </w:r>
            <w:r>
              <w:rPr>
                <w:rFonts w:ascii="Calibri" w:eastAsia="Calibri" w:hAnsi="Calibri" w:cs="Calibri"/>
                <w:spacing w:val="-1"/>
                <w:sz w:val="18"/>
                <w:szCs w:val="18"/>
              </w:rPr>
              <w:t>changes</w:t>
            </w:r>
            <w:r>
              <w:rPr>
                <w:rFonts w:ascii="Calibri" w:eastAsia="Calibri" w:hAnsi="Calibri" w:cs="Calibri"/>
                <w:spacing w:val="-2"/>
                <w:sz w:val="18"/>
                <w:szCs w:val="18"/>
              </w:rPr>
              <w:t xml:space="preserve"> </w:t>
            </w:r>
            <w:r>
              <w:rPr>
                <w:rFonts w:ascii="Calibri" w:eastAsia="Calibri" w:hAnsi="Calibri" w:cs="Calibri"/>
                <w:spacing w:val="-1"/>
                <w:sz w:val="18"/>
                <w:szCs w:val="18"/>
              </w:rPr>
              <w:t>that</w:t>
            </w:r>
            <w:r>
              <w:rPr>
                <w:rFonts w:ascii="Calibri" w:eastAsia="Calibri" w:hAnsi="Calibri" w:cs="Calibri"/>
                <w:spacing w:val="-3"/>
                <w:sz w:val="18"/>
                <w:szCs w:val="18"/>
              </w:rPr>
              <w:t xml:space="preserve"> </w:t>
            </w:r>
            <w:r>
              <w:rPr>
                <w:rFonts w:ascii="Calibri" w:eastAsia="Calibri" w:hAnsi="Calibri" w:cs="Calibri"/>
                <w:sz w:val="18"/>
                <w:szCs w:val="18"/>
              </w:rPr>
              <w:t xml:space="preserve">are </w:t>
            </w:r>
            <w:r>
              <w:rPr>
                <w:rFonts w:ascii="Calibri" w:eastAsia="Calibri" w:hAnsi="Calibri" w:cs="Calibri"/>
                <w:spacing w:val="-1"/>
                <w:sz w:val="18"/>
                <w:szCs w:val="18"/>
              </w:rPr>
              <w:t>relevant</w:t>
            </w:r>
            <w:r>
              <w:rPr>
                <w:rFonts w:ascii="Calibri" w:eastAsia="Calibri" w:hAnsi="Calibri" w:cs="Calibri"/>
                <w:spacing w:val="-3"/>
                <w:sz w:val="18"/>
                <w:szCs w:val="18"/>
              </w:rPr>
              <w:t xml:space="preserve"> </w:t>
            </w:r>
            <w:r>
              <w:rPr>
                <w:rFonts w:ascii="Calibri" w:eastAsia="Calibri" w:hAnsi="Calibri" w:cs="Calibri"/>
                <w:spacing w:val="-1"/>
                <w:sz w:val="18"/>
                <w:szCs w:val="18"/>
              </w:rPr>
              <w:t xml:space="preserve">to them, </w:t>
            </w:r>
            <w:r>
              <w:rPr>
                <w:rFonts w:ascii="Calibri" w:eastAsia="Calibri" w:hAnsi="Calibri" w:cs="Calibri"/>
                <w:spacing w:val="-2"/>
                <w:sz w:val="18"/>
                <w:szCs w:val="18"/>
              </w:rPr>
              <w:t>and</w:t>
            </w:r>
            <w:r>
              <w:rPr>
                <w:rFonts w:ascii="Calibri" w:eastAsia="Calibri" w:hAnsi="Calibri" w:cs="Calibri"/>
                <w:spacing w:val="49"/>
                <w:sz w:val="18"/>
                <w:szCs w:val="18"/>
              </w:rPr>
              <w:t xml:space="preserve"> </w:t>
            </w:r>
            <w:r>
              <w:rPr>
                <w:rFonts w:ascii="Calibri" w:eastAsia="Calibri" w:hAnsi="Calibri" w:cs="Calibri"/>
                <w:spacing w:val="-1"/>
                <w:sz w:val="18"/>
                <w:szCs w:val="18"/>
              </w:rPr>
              <w:t>provide</w:t>
            </w:r>
            <w:r>
              <w:rPr>
                <w:rFonts w:ascii="Calibri" w:eastAsia="Calibri" w:hAnsi="Calibri" w:cs="Calibri"/>
                <w:spacing w:val="-4"/>
                <w:sz w:val="18"/>
                <w:szCs w:val="18"/>
              </w:rPr>
              <w:t xml:space="preserve"> </w:t>
            </w:r>
            <w:r>
              <w:rPr>
                <w:rFonts w:ascii="Calibri" w:eastAsia="Calibri" w:hAnsi="Calibri" w:cs="Calibri"/>
                <w:sz w:val="18"/>
                <w:szCs w:val="18"/>
              </w:rPr>
              <w:t>the</w:t>
            </w:r>
            <w:r>
              <w:rPr>
                <w:rFonts w:ascii="Calibri" w:eastAsia="Calibri" w:hAnsi="Calibri" w:cs="Calibri"/>
                <w:spacing w:val="-4"/>
                <w:sz w:val="18"/>
                <w:szCs w:val="18"/>
              </w:rPr>
              <w:t xml:space="preserve"> </w:t>
            </w:r>
            <w:r>
              <w:rPr>
                <w:rFonts w:ascii="Calibri" w:eastAsia="Calibri" w:hAnsi="Calibri" w:cs="Calibri"/>
                <w:spacing w:val="-1"/>
                <w:sz w:val="18"/>
                <w:szCs w:val="18"/>
              </w:rPr>
              <w:t>opportunity</w:t>
            </w:r>
            <w:r>
              <w:rPr>
                <w:rFonts w:ascii="Calibri" w:eastAsia="Calibri" w:hAnsi="Calibri" w:cs="Calibri"/>
                <w:spacing w:val="-3"/>
                <w:sz w:val="18"/>
                <w:szCs w:val="18"/>
              </w:rPr>
              <w:t xml:space="preserve"> </w:t>
            </w:r>
            <w:r>
              <w:rPr>
                <w:rFonts w:ascii="Calibri" w:eastAsia="Calibri" w:hAnsi="Calibri" w:cs="Calibri"/>
                <w:sz w:val="18"/>
                <w:szCs w:val="18"/>
              </w:rPr>
              <w:t>for</w:t>
            </w:r>
            <w:r>
              <w:rPr>
                <w:rFonts w:ascii="Calibri" w:eastAsia="Calibri" w:hAnsi="Calibri" w:cs="Calibri"/>
                <w:spacing w:val="-4"/>
                <w:sz w:val="18"/>
                <w:szCs w:val="18"/>
              </w:rPr>
              <w:t xml:space="preserve"> </w:t>
            </w:r>
            <w:r>
              <w:rPr>
                <w:rFonts w:ascii="Calibri" w:eastAsia="Calibri" w:hAnsi="Calibri" w:cs="Calibri"/>
                <w:spacing w:val="-1"/>
                <w:sz w:val="18"/>
                <w:szCs w:val="18"/>
              </w:rPr>
              <w:t>contractor</w:t>
            </w:r>
            <w:r>
              <w:rPr>
                <w:rFonts w:ascii="Calibri" w:eastAsia="Calibri" w:hAnsi="Calibri" w:cs="Calibri"/>
                <w:spacing w:val="-3"/>
                <w:sz w:val="18"/>
                <w:szCs w:val="18"/>
              </w:rPr>
              <w:t xml:space="preserve"> </w:t>
            </w:r>
            <w:r>
              <w:rPr>
                <w:rFonts w:ascii="Calibri" w:eastAsia="Calibri" w:hAnsi="Calibri" w:cs="Calibri"/>
                <w:spacing w:val="-1"/>
                <w:sz w:val="18"/>
                <w:szCs w:val="18"/>
              </w:rPr>
              <w:t>feedback.</w:t>
            </w:r>
          </w:p>
        </w:tc>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70"/>
        </w:trPr>
        <w:tc>
          <w:tcPr>
            <w:tcW w:w="4680" w:type="dxa"/>
            <w:shd w:val="clear" w:color="auto" w:fill="D2EAF1"/>
          </w:tcPr>
          <w:p w:rsidR="00E646C9" w:rsidRDefault="00E646C9" w:rsidP="00C94D5A">
            <w:pPr>
              <w:pStyle w:val="TableParagraph"/>
              <w:ind w:left="102" w:right="193"/>
              <w:jc w:val="both"/>
              <w:rPr>
                <w:rFonts w:ascii="Calibri" w:eastAsia="Calibri" w:hAnsi="Calibri" w:cs="Calibri"/>
                <w:sz w:val="18"/>
                <w:szCs w:val="18"/>
              </w:rPr>
            </w:pPr>
            <w:r>
              <w:rPr>
                <w:rFonts w:ascii="Calibri"/>
                <w:spacing w:val="-1"/>
                <w:sz w:val="18"/>
              </w:rPr>
              <w:t>Continue</w:t>
            </w:r>
            <w:r>
              <w:rPr>
                <w:rFonts w:ascii="Calibri"/>
                <w:sz w:val="18"/>
              </w:rPr>
              <w:t xml:space="preserve"> </w:t>
            </w:r>
            <w:r>
              <w:rPr>
                <w:rFonts w:ascii="Calibri"/>
                <w:spacing w:val="-1"/>
                <w:sz w:val="18"/>
              </w:rPr>
              <w:t>to use individual</w:t>
            </w:r>
            <w:r>
              <w:rPr>
                <w:rFonts w:ascii="Calibri"/>
                <w:spacing w:val="1"/>
                <w:sz w:val="18"/>
              </w:rPr>
              <w:t xml:space="preserve"> </w:t>
            </w:r>
            <w:r>
              <w:rPr>
                <w:rFonts w:ascii="Calibri"/>
                <w:spacing w:val="-1"/>
                <w:sz w:val="18"/>
              </w:rPr>
              <w:t>Appliance</w:t>
            </w:r>
            <w:r>
              <w:rPr>
                <w:rFonts w:ascii="Calibri"/>
                <w:spacing w:val="-2"/>
                <w:sz w:val="18"/>
              </w:rPr>
              <w:t xml:space="preserve"> </w:t>
            </w:r>
            <w:r>
              <w:rPr>
                <w:rFonts w:ascii="Calibri"/>
                <w:spacing w:val="-1"/>
                <w:sz w:val="18"/>
              </w:rPr>
              <w:t>and</w:t>
            </w:r>
            <w:r>
              <w:rPr>
                <w:rFonts w:ascii="Calibri"/>
                <w:spacing w:val="-2"/>
                <w:sz w:val="18"/>
              </w:rPr>
              <w:t xml:space="preserve"> </w:t>
            </w:r>
            <w:r>
              <w:rPr>
                <w:rFonts w:ascii="Calibri"/>
                <w:sz w:val="18"/>
              </w:rPr>
              <w:t>HVAC</w:t>
            </w:r>
            <w:r>
              <w:rPr>
                <w:rFonts w:ascii="Calibri"/>
                <w:spacing w:val="-1"/>
                <w:sz w:val="18"/>
              </w:rPr>
              <w:t xml:space="preserve"> subprogram</w:t>
            </w:r>
            <w:r>
              <w:rPr>
                <w:rFonts w:ascii="Calibri"/>
                <w:spacing w:val="53"/>
                <w:w w:val="99"/>
                <w:sz w:val="18"/>
              </w:rPr>
              <w:t xml:space="preserve"> </w:t>
            </w:r>
            <w:r>
              <w:rPr>
                <w:rFonts w:ascii="Calibri"/>
                <w:sz w:val="18"/>
              </w:rPr>
              <w:t>NTG</w:t>
            </w:r>
            <w:r>
              <w:rPr>
                <w:rFonts w:ascii="Calibri"/>
                <w:spacing w:val="-3"/>
                <w:sz w:val="18"/>
              </w:rPr>
              <w:t xml:space="preserve"> </w:t>
            </w:r>
            <w:r>
              <w:rPr>
                <w:rFonts w:ascii="Calibri"/>
                <w:spacing w:val="-1"/>
                <w:sz w:val="18"/>
              </w:rPr>
              <w:t>ratios</w:t>
            </w:r>
            <w:r>
              <w:rPr>
                <w:rFonts w:ascii="Calibri"/>
                <w:spacing w:val="-3"/>
                <w:sz w:val="18"/>
              </w:rPr>
              <w:t xml:space="preserve"> </w:t>
            </w:r>
            <w:r>
              <w:rPr>
                <w:rFonts w:ascii="Calibri"/>
                <w:spacing w:val="-1"/>
                <w:sz w:val="18"/>
              </w:rPr>
              <w:t>during planning,</w:t>
            </w:r>
            <w:r>
              <w:rPr>
                <w:rFonts w:ascii="Calibri"/>
                <w:spacing w:val="-2"/>
                <w:sz w:val="18"/>
              </w:rPr>
              <w:t xml:space="preserve"> </w:t>
            </w:r>
            <w:r>
              <w:rPr>
                <w:rFonts w:ascii="Calibri"/>
                <w:spacing w:val="-1"/>
                <w:sz w:val="18"/>
              </w:rPr>
              <w:t>rather</w:t>
            </w:r>
            <w:r>
              <w:rPr>
                <w:rFonts w:ascii="Calibri"/>
                <w:spacing w:val="-3"/>
                <w:sz w:val="18"/>
              </w:rPr>
              <w:t xml:space="preserve"> </w:t>
            </w:r>
            <w:r>
              <w:rPr>
                <w:rFonts w:ascii="Calibri"/>
                <w:spacing w:val="-1"/>
                <w:sz w:val="18"/>
              </w:rPr>
              <w:t>than</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overall</w:t>
            </w:r>
            <w:r>
              <w:rPr>
                <w:rFonts w:ascii="Calibri"/>
                <w:spacing w:val="-3"/>
                <w:sz w:val="18"/>
              </w:rPr>
              <w:t xml:space="preserve"> </w:t>
            </w:r>
            <w:r>
              <w:rPr>
                <w:rFonts w:ascii="Calibri"/>
                <w:spacing w:val="-1"/>
                <w:sz w:val="18"/>
              </w:rPr>
              <w:t>program</w:t>
            </w:r>
            <w:r>
              <w:rPr>
                <w:rFonts w:ascii="Calibri"/>
                <w:spacing w:val="63"/>
                <w:w w:val="99"/>
                <w:sz w:val="18"/>
              </w:rPr>
              <w:t xml:space="preserve"> </w:t>
            </w:r>
            <w:r>
              <w:rPr>
                <w:rFonts w:ascii="Calibri"/>
                <w:sz w:val="18"/>
              </w:rPr>
              <w:t>NTG</w:t>
            </w:r>
            <w:r>
              <w:rPr>
                <w:rFonts w:ascii="Calibri"/>
                <w:spacing w:val="-5"/>
                <w:sz w:val="18"/>
              </w:rPr>
              <w:t xml:space="preserve"> </w:t>
            </w:r>
            <w:r>
              <w:rPr>
                <w:rFonts w:ascii="Calibri"/>
                <w:spacing w:val="-1"/>
                <w:sz w:val="18"/>
              </w:rPr>
              <w:t>ratio.</w:t>
            </w:r>
          </w:p>
        </w:tc>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449"/>
        </w:trPr>
        <w:tc>
          <w:tcPr>
            <w:tcW w:w="4680" w:type="dxa"/>
          </w:tcPr>
          <w:p w:rsidR="00E646C9" w:rsidRDefault="00E646C9" w:rsidP="00C94D5A">
            <w:pPr>
              <w:pStyle w:val="TableParagraph"/>
              <w:ind w:left="102" w:right="282"/>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upstream</w:t>
            </w:r>
            <w:r>
              <w:rPr>
                <w:rFonts w:ascii="Calibri"/>
                <w:spacing w:val="-2"/>
                <w:sz w:val="18"/>
              </w:rPr>
              <w:t xml:space="preserve"> </w:t>
            </w:r>
            <w:r>
              <w:rPr>
                <w:rFonts w:ascii="Calibri"/>
                <w:spacing w:val="-1"/>
                <w:sz w:val="18"/>
              </w:rPr>
              <w:t>lighting,</w:t>
            </w:r>
            <w:r>
              <w:rPr>
                <w:rFonts w:ascii="Calibri"/>
                <w:spacing w:val="-3"/>
                <w:sz w:val="18"/>
              </w:rPr>
              <w:t xml:space="preserve"> </w:t>
            </w:r>
            <w:r>
              <w:rPr>
                <w:rFonts w:ascii="Calibri"/>
                <w:spacing w:val="-1"/>
                <w:sz w:val="18"/>
              </w:rPr>
              <w:t>report</w:t>
            </w:r>
            <w:r>
              <w:rPr>
                <w:rFonts w:ascii="Calibri"/>
                <w:spacing w:val="-3"/>
                <w:sz w:val="18"/>
              </w:rPr>
              <w:t xml:space="preserve"> </w:t>
            </w:r>
            <w:r>
              <w:rPr>
                <w:rFonts w:ascii="Calibri"/>
                <w:sz w:val="18"/>
              </w:rPr>
              <w:t>lamp</w:t>
            </w:r>
            <w:r>
              <w:rPr>
                <w:rFonts w:ascii="Calibri"/>
                <w:spacing w:val="-3"/>
                <w:sz w:val="18"/>
              </w:rPr>
              <w:t xml:space="preserve"> </w:t>
            </w:r>
            <w:r>
              <w:rPr>
                <w:rFonts w:ascii="Calibri"/>
                <w:spacing w:val="-1"/>
                <w:sz w:val="18"/>
              </w:rPr>
              <w:t>source</w:t>
            </w:r>
            <w:r>
              <w:rPr>
                <w:rFonts w:ascii="Calibri"/>
                <w:spacing w:val="-4"/>
                <w:sz w:val="18"/>
              </w:rPr>
              <w:t xml:space="preserve"> </w:t>
            </w:r>
            <w:r>
              <w:rPr>
                <w:rFonts w:ascii="Calibri"/>
                <w:spacing w:val="-1"/>
                <w:sz w:val="18"/>
              </w:rPr>
              <w:t>type,</w:t>
            </w:r>
            <w:r>
              <w:rPr>
                <w:rFonts w:ascii="Calibri"/>
                <w:spacing w:val="-2"/>
                <w:sz w:val="18"/>
              </w:rPr>
              <w:t xml:space="preserve"> </w:t>
            </w:r>
            <w:r>
              <w:rPr>
                <w:rFonts w:ascii="Calibri"/>
                <w:spacing w:val="-1"/>
                <w:sz w:val="18"/>
              </w:rPr>
              <w:t>lamp</w:t>
            </w:r>
            <w:r>
              <w:rPr>
                <w:rFonts w:ascii="Calibri"/>
                <w:spacing w:val="-3"/>
                <w:sz w:val="18"/>
              </w:rPr>
              <w:t xml:space="preserve"> </w:t>
            </w:r>
            <w:r>
              <w:rPr>
                <w:rFonts w:ascii="Calibri"/>
                <w:spacing w:val="-1"/>
                <w:sz w:val="18"/>
              </w:rPr>
              <w:t>type,</w:t>
            </w:r>
            <w:r>
              <w:rPr>
                <w:rFonts w:ascii="Calibri"/>
                <w:spacing w:val="63"/>
                <w:w w:val="99"/>
                <w:sz w:val="18"/>
              </w:rPr>
              <w:t xml:space="preserve"> </w:t>
            </w:r>
            <w:r>
              <w:rPr>
                <w:rFonts w:ascii="Calibri"/>
                <w:spacing w:val="-1"/>
                <w:sz w:val="18"/>
              </w:rPr>
              <w:t>wattage,</w:t>
            </w:r>
            <w:r>
              <w:rPr>
                <w:rFonts w:ascii="Calibri"/>
                <w:spacing w:val="-3"/>
                <w:sz w:val="18"/>
              </w:rPr>
              <w:t xml:space="preserve"> </w:t>
            </w:r>
            <w:r>
              <w:rPr>
                <w:rFonts w:ascii="Calibri"/>
                <w:spacing w:val="-1"/>
                <w:sz w:val="18"/>
              </w:rPr>
              <w:t>lumens</w:t>
            </w:r>
            <w:r>
              <w:rPr>
                <w:rFonts w:ascii="Calibri"/>
                <w:spacing w:val="-4"/>
                <w:sz w:val="18"/>
              </w:rPr>
              <w:t xml:space="preserve"> </w:t>
            </w:r>
            <w:r>
              <w:rPr>
                <w:rFonts w:ascii="Calibri"/>
                <w:spacing w:val="-1"/>
                <w:sz w:val="18"/>
              </w:rPr>
              <w:t>in</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T&amp;R</w:t>
            </w:r>
            <w:r>
              <w:rPr>
                <w:rFonts w:ascii="Calibri"/>
                <w:spacing w:val="-3"/>
                <w:sz w:val="18"/>
              </w:rPr>
              <w:t xml:space="preserve"> </w:t>
            </w:r>
            <w:r>
              <w:rPr>
                <w:rFonts w:ascii="Calibri"/>
                <w:spacing w:val="-1"/>
                <w:sz w:val="18"/>
              </w:rPr>
              <w:t>system.</w:t>
            </w:r>
          </w:p>
        </w:tc>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2"/>
        </w:trPr>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z w:val="18"/>
              </w:rPr>
              <w:t>Remove</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pacing w:val="-1"/>
                <w:sz w:val="18"/>
              </w:rPr>
              <w:t>EDC</w:t>
            </w:r>
            <w:r>
              <w:rPr>
                <w:rFonts w:ascii="Calibri"/>
                <w:spacing w:val="-3"/>
                <w:sz w:val="18"/>
              </w:rPr>
              <w:t xml:space="preserve"> </w:t>
            </w:r>
            <w:r>
              <w:rPr>
                <w:rFonts w:ascii="Calibri"/>
                <w:spacing w:val="-1"/>
                <w:sz w:val="18"/>
              </w:rPr>
              <w:t>name</w:t>
            </w:r>
            <w:r>
              <w:rPr>
                <w:rFonts w:ascii="Calibri"/>
                <w:spacing w:val="-3"/>
                <w:sz w:val="18"/>
              </w:rPr>
              <w:t xml:space="preserve"> </w:t>
            </w:r>
            <w:r>
              <w:rPr>
                <w:rFonts w:ascii="Calibri"/>
                <w:sz w:val="18"/>
              </w:rPr>
              <w:t>from</w:t>
            </w:r>
            <w:r>
              <w:rPr>
                <w:rFonts w:ascii="Calibri"/>
                <w:spacing w:val="-3"/>
                <w:sz w:val="18"/>
              </w:rPr>
              <w:t xml:space="preserve"> </w:t>
            </w:r>
            <w:r>
              <w:rPr>
                <w:rFonts w:ascii="Calibri"/>
                <w:spacing w:val="-1"/>
                <w:sz w:val="18"/>
              </w:rPr>
              <w:t>equipment</w:t>
            </w:r>
            <w:r>
              <w:rPr>
                <w:rFonts w:ascii="Calibri"/>
                <w:sz w:val="18"/>
              </w:rPr>
              <w:t xml:space="preserve"> </w:t>
            </w:r>
            <w:r>
              <w:rPr>
                <w:rFonts w:ascii="Calibri"/>
                <w:spacing w:val="-1"/>
                <w:sz w:val="18"/>
              </w:rPr>
              <w:t>descriptions</w:t>
            </w:r>
          </w:p>
        </w:tc>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51"/>
        </w:trPr>
        <w:tc>
          <w:tcPr>
            <w:tcW w:w="4680" w:type="dxa"/>
          </w:tcPr>
          <w:p w:rsidR="00E646C9" w:rsidRDefault="00E646C9" w:rsidP="00C94D5A">
            <w:pPr>
              <w:pStyle w:val="TableParagraph"/>
              <w:ind w:left="102" w:right="116"/>
              <w:rPr>
                <w:rFonts w:ascii="Calibri" w:eastAsia="Calibri" w:hAnsi="Calibri" w:cs="Calibri"/>
                <w:sz w:val="18"/>
                <w:szCs w:val="18"/>
              </w:rPr>
            </w:pPr>
            <w:r>
              <w:rPr>
                <w:rFonts w:ascii="Calibri"/>
                <w:spacing w:val="-1"/>
                <w:sz w:val="18"/>
              </w:rPr>
              <w:t>Continue</w:t>
            </w:r>
            <w:r>
              <w:rPr>
                <w:rFonts w:ascii="Calibri"/>
                <w:spacing w:val="-2"/>
                <w:sz w:val="18"/>
              </w:rPr>
              <w:t xml:space="preserve"> </w:t>
            </w:r>
            <w:r>
              <w:rPr>
                <w:rFonts w:ascii="Calibri"/>
                <w:spacing w:val="-1"/>
                <w:sz w:val="18"/>
              </w:rPr>
              <w:t>to</w:t>
            </w:r>
            <w:r>
              <w:rPr>
                <w:rFonts w:ascii="Calibri"/>
                <w:spacing w:val="-2"/>
                <w:sz w:val="18"/>
              </w:rPr>
              <w:t xml:space="preserve"> </w:t>
            </w:r>
            <w:r>
              <w:rPr>
                <w:rFonts w:ascii="Calibri"/>
                <w:spacing w:val="-1"/>
                <w:sz w:val="18"/>
              </w:rPr>
              <w:t>engage</w:t>
            </w:r>
            <w:r>
              <w:rPr>
                <w:rFonts w:ascii="Calibri"/>
                <w:spacing w:val="-4"/>
                <w:sz w:val="18"/>
              </w:rPr>
              <w:t xml:space="preserve"> </w:t>
            </w:r>
            <w:r>
              <w:rPr>
                <w:rFonts w:ascii="Calibri"/>
                <w:spacing w:val="-1"/>
                <w:sz w:val="18"/>
              </w:rPr>
              <w:t>participating retailers</w:t>
            </w:r>
            <w:r>
              <w:rPr>
                <w:rFonts w:ascii="Calibri"/>
                <w:spacing w:val="-4"/>
                <w:sz w:val="18"/>
              </w:rPr>
              <w:t xml:space="preserve"> </w:t>
            </w:r>
            <w:r>
              <w:rPr>
                <w:rFonts w:ascii="Calibri"/>
                <w:spacing w:val="-1"/>
                <w:sz w:val="18"/>
              </w:rPr>
              <w:t>in</w:t>
            </w:r>
            <w:r>
              <w:rPr>
                <w:rFonts w:ascii="Calibri"/>
                <w:spacing w:val="-2"/>
                <w:sz w:val="18"/>
              </w:rPr>
              <w:t xml:space="preserve"> </w:t>
            </w:r>
            <w:r>
              <w:rPr>
                <w:rFonts w:ascii="Calibri"/>
                <w:spacing w:val="-1"/>
                <w:sz w:val="18"/>
              </w:rPr>
              <w:t>program</w:t>
            </w:r>
            <w:r>
              <w:rPr>
                <w:rFonts w:ascii="Calibri"/>
                <w:spacing w:val="-3"/>
                <w:sz w:val="18"/>
              </w:rPr>
              <w:t xml:space="preserve"> </w:t>
            </w:r>
            <w:r>
              <w:rPr>
                <w:rFonts w:ascii="Calibri"/>
                <w:spacing w:val="-1"/>
                <w:sz w:val="18"/>
              </w:rPr>
              <w:t>design,</w:t>
            </w:r>
            <w:r>
              <w:rPr>
                <w:rFonts w:ascii="Calibri"/>
                <w:spacing w:val="58"/>
                <w:w w:val="99"/>
                <w:sz w:val="18"/>
              </w:rPr>
              <w:t xml:space="preserve"> </w:t>
            </w:r>
            <w:r>
              <w:rPr>
                <w:rFonts w:ascii="Calibri"/>
                <w:spacing w:val="-1"/>
                <w:sz w:val="18"/>
              </w:rPr>
              <w:t>implementation,</w:t>
            </w:r>
            <w:r>
              <w:rPr>
                <w:rFonts w:ascii="Calibri"/>
                <w:spacing w:val="-5"/>
                <w:sz w:val="18"/>
              </w:rPr>
              <w:t xml:space="preserve"> </w:t>
            </w:r>
            <w:r>
              <w:rPr>
                <w:rFonts w:ascii="Calibri"/>
                <w:spacing w:val="-1"/>
                <w:sz w:val="18"/>
              </w:rPr>
              <w:t>and</w:t>
            </w:r>
            <w:r>
              <w:rPr>
                <w:rFonts w:ascii="Calibri"/>
                <w:spacing w:val="-5"/>
                <w:sz w:val="18"/>
              </w:rPr>
              <w:t xml:space="preserve"> </w:t>
            </w:r>
            <w:r>
              <w:rPr>
                <w:rFonts w:ascii="Calibri"/>
                <w:spacing w:val="-1"/>
                <w:sz w:val="18"/>
              </w:rPr>
              <w:t>marketing</w:t>
            </w:r>
            <w:r>
              <w:rPr>
                <w:rFonts w:ascii="Calibri"/>
                <w:spacing w:val="-6"/>
                <w:sz w:val="18"/>
              </w:rPr>
              <w:t xml:space="preserve"> </w:t>
            </w:r>
            <w:r>
              <w:rPr>
                <w:rFonts w:ascii="Calibri"/>
                <w:spacing w:val="-1"/>
                <w:sz w:val="18"/>
              </w:rPr>
              <w:t>efforts.</w:t>
            </w:r>
          </w:p>
        </w:tc>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667"/>
        </w:trPr>
        <w:tc>
          <w:tcPr>
            <w:tcW w:w="4680" w:type="dxa"/>
            <w:shd w:val="clear" w:color="auto" w:fill="D2EAF1"/>
          </w:tcPr>
          <w:p w:rsidR="00E646C9" w:rsidRDefault="00E646C9" w:rsidP="00C94D5A">
            <w:pPr>
              <w:pStyle w:val="TableParagraph"/>
              <w:ind w:left="102" w:right="98"/>
              <w:jc w:val="both"/>
              <w:rPr>
                <w:rFonts w:ascii="Calibri" w:eastAsia="Calibri" w:hAnsi="Calibri" w:cs="Calibri"/>
                <w:sz w:val="18"/>
                <w:szCs w:val="18"/>
              </w:rPr>
            </w:pPr>
            <w:r>
              <w:rPr>
                <w:rFonts w:ascii="Calibri"/>
                <w:spacing w:val="-1"/>
                <w:sz w:val="18"/>
              </w:rPr>
              <w:t>Continue</w:t>
            </w:r>
            <w:r>
              <w:rPr>
                <w:rFonts w:ascii="Calibri"/>
                <w:spacing w:val="-9"/>
                <w:sz w:val="18"/>
              </w:rPr>
              <w:t xml:space="preserve"> </w:t>
            </w:r>
            <w:r>
              <w:rPr>
                <w:rFonts w:ascii="Calibri"/>
                <w:spacing w:val="-1"/>
                <w:sz w:val="18"/>
              </w:rPr>
              <w:t>direct</w:t>
            </w:r>
            <w:r>
              <w:rPr>
                <w:rFonts w:ascii="Calibri"/>
                <w:spacing w:val="-8"/>
                <w:sz w:val="18"/>
              </w:rPr>
              <w:t xml:space="preserve"> </w:t>
            </w:r>
            <w:r>
              <w:rPr>
                <w:rFonts w:ascii="Calibri"/>
                <w:spacing w:val="-1"/>
                <w:sz w:val="18"/>
              </w:rPr>
              <w:t>marketing</w:t>
            </w:r>
            <w:r>
              <w:rPr>
                <w:rFonts w:ascii="Calibri"/>
                <w:spacing w:val="-8"/>
                <w:sz w:val="18"/>
              </w:rPr>
              <w:t xml:space="preserve"> </w:t>
            </w:r>
            <w:r>
              <w:rPr>
                <w:rFonts w:ascii="Calibri"/>
                <w:spacing w:val="-1"/>
                <w:sz w:val="18"/>
              </w:rPr>
              <w:t>and</w:t>
            </w:r>
            <w:r>
              <w:rPr>
                <w:rFonts w:ascii="Calibri"/>
                <w:spacing w:val="-8"/>
                <w:sz w:val="18"/>
              </w:rPr>
              <w:t xml:space="preserve"> </w:t>
            </w:r>
            <w:r>
              <w:rPr>
                <w:rFonts w:ascii="Calibri"/>
                <w:spacing w:val="-1"/>
                <w:sz w:val="18"/>
              </w:rPr>
              <w:t>outreach</w:t>
            </w:r>
            <w:r>
              <w:rPr>
                <w:rFonts w:ascii="Calibri"/>
                <w:spacing w:val="-8"/>
                <w:sz w:val="18"/>
              </w:rPr>
              <w:t xml:space="preserve"> </w:t>
            </w:r>
            <w:r>
              <w:rPr>
                <w:rFonts w:ascii="Calibri"/>
                <w:spacing w:val="-1"/>
                <w:sz w:val="18"/>
              </w:rPr>
              <w:t>efforts</w:t>
            </w:r>
            <w:r>
              <w:rPr>
                <w:rFonts w:ascii="Calibri"/>
                <w:spacing w:val="-8"/>
                <w:sz w:val="18"/>
              </w:rPr>
              <w:t xml:space="preserve"> </w:t>
            </w:r>
            <w:r>
              <w:rPr>
                <w:rFonts w:ascii="Calibri"/>
                <w:spacing w:val="-1"/>
                <w:sz w:val="18"/>
              </w:rPr>
              <w:t>to</w:t>
            </w:r>
            <w:r>
              <w:rPr>
                <w:rFonts w:ascii="Calibri"/>
                <w:spacing w:val="-6"/>
                <w:sz w:val="18"/>
              </w:rPr>
              <w:t xml:space="preserve"> </w:t>
            </w:r>
            <w:r>
              <w:rPr>
                <w:rFonts w:ascii="Calibri"/>
                <w:spacing w:val="-1"/>
                <w:sz w:val="18"/>
              </w:rPr>
              <w:t>customers,</w:t>
            </w:r>
            <w:r>
              <w:rPr>
                <w:rFonts w:ascii="Calibri"/>
                <w:spacing w:val="65"/>
                <w:w w:val="99"/>
                <w:sz w:val="18"/>
              </w:rPr>
              <w:t xml:space="preserve"> </w:t>
            </w:r>
            <w:r>
              <w:rPr>
                <w:rFonts w:ascii="Calibri"/>
                <w:sz w:val="18"/>
              </w:rPr>
              <w:t>as</w:t>
            </w:r>
            <w:r>
              <w:rPr>
                <w:rFonts w:ascii="Calibri"/>
                <w:spacing w:val="14"/>
                <w:sz w:val="18"/>
              </w:rPr>
              <w:t xml:space="preserve"> </w:t>
            </w:r>
            <w:r>
              <w:rPr>
                <w:rFonts w:ascii="Calibri"/>
                <w:spacing w:val="-1"/>
                <w:sz w:val="18"/>
              </w:rPr>
              <w:t>well</w:t>
            </w:r>
            <w:r>
              <w:rPr>
                <w:rFonts w:ascii="Calibri"/>
                <w:spacing w:val="15"/>
                <w:sz w:val="18"/>
              </w:rPr>
              <w:t xml:space="preserve"> </w:t>
            </w:r>
            <w:r>
              <w:rPr>
                <w:rFonts w:ascii="Calibri"/>
                <w:spacing w:val="1"/>
                <w:sz w:val="18"/>
              </w:rPr>
              <w:t>as</w:t>
            </w:r>
            <w:r>
              <w:rPr>
                <w:rFonts w:ascii="Calibri"/>
                <w:spacing w:val="14"/>
                <w:sz w:val="18"/>
              </w:rPr>
              <w:t xml:space="preserve"> </w:t>
            </w:r>
            <w:r>
              <w:rPr>
                <w:rFonts w:ascii="Calibri"/>
                <w:spacing w:val="-1"/>
                <w:sz w:val="18"/>
              </w:rPr>
              <w:t>cross-marketing</w:t>
            </w:r>
            <w:r>
              <w:rPr>
                <w:rFonts w:ascii="Calibri"/>
                <w:spacing w:val="17"/>
                <w:sz w:val="18"/>
              </w:rPr>
              <w:t xml:space="preserve"> </w:t>
            </w:r>
            <w:r>
              <w:rPr>
                <w:rFonts w:ascii="Calibri"/>
                <w:sz w:val="18"/>
              </w:rPr>
              <w:t>such</w:t>
            </w:r>
            <w:r>
              <w:rPr>
                <w:rFonts w:ascii="Calibri"/>
                <w:spacing w:val="14"/>
                <w:sz w:val="18"/>
              </w:rPr>
              <w:t xml:space="preserve"> </w:t>
            </w:r>
            <w:r>
              <w:rPr>
                <w:rFonts w:ascii="Calibri"/>
                <w:sz w:val="18"/>
              </w:rPr>
              <w:t>as</w:t>
            </w:r>
            <w:r>
              <w:rPr>
                <w:rFonts w:ascii="Calibri"/>
                <w:spacing w:val="15"/>
                <w:sz w:val="18"/>
              </w:rPr>
              <w:t xml:space="preserve"> </w:t>
            </w:r>
            <w:r>
              <w:rPr>
                <w:rFonts w:ascii="Calibri"/>
                <w:spacing w:val="-1"/>
                <w:sz w:val="18"/>
              </w:rPr>
              <w:t>retailer</w:t>
            </w:r>
            <w:r>
              <w:rPr>
                <w:rFonts w:ascii="Calibri"/>
                <w:spacing w:val="14"/>
                <w:sz w:val="18"/>
              </w:rPr>
              <w:t xml:space="preserve"> </w:t>
            </w:r>
            <w:r>
              <w:rPr>
                <w:rFonts w:ascii="Calibri"/>
                <w:spacing w:val="-1"/>
                <w:sz w:val="18"/>
              </w:rPr>
              <w:t>displays</w:t>
            </w:r>
            <w:r>
              <w:rPr>
                <w:rFonts w:ascii="Calibri"/>
                <w:spacing w:val="15"/>
                <w:sz w:val="18"/>
              </w:rPr>
              <w:t xml:space="preserve"> </w:t>
            </w:r>
            <w:r>
              <w:rPr>
                <w:rFonts w:ascii="Calibri"/>
                <w:sz w:val="18"/>
              </w:rPr>
              <w:t>and</w:t>
            </w:r>
            <w:r>
              <w:rPr>
                <w:rFonts w:ascii="Calibri"/>
                <w:spacing w:val="55"/>
                <w:sz w:val="18"/>
              </w:rPr>
              <w:t xml:space="preserve"> </w:t>
            </w:r>
            <w:r>
              <w:rPr>
                <w:rFonts w:ascii="Calibri"/>
                <w:spacing w:val="-1"/>
                <w:sz w:val="18"/>
              </w:rPr>
              <w:t>signage,</w:t>
            </w:r>
            <w:r>
              <w:rPr>
                <w:rFonts w:ascii="Calibri"/>
                <w:spacing w:val="-3"/>
                <w:sz w:val="18"/>
              </w:rPr>
              <w:t xml:space="preserve"> </w:t>
            </w:r>
            <w:r>
              <w:rPr>
                <w:rFonts w:ascii="Calibri"/>
                <w:spacing w:val="-1"/>
                <w:sz w:val="18"/>
              </w:rPr>
              <w:t>to further</w:t>
            </w:r>
            <w:r>
              <w:rPr>
                <w:rFonts w:ascii="Calibri"/>
                <w:spacing w:val="-4"/>
                <w:sz w:val="18"/>
              </w:rPr>
              <w:t xml:space="preserve"> </w:t>
            </w:r>
            <w:r>
              <w:rPr>
                <w:rFonts w:ascii="Calibri"/>
                <w:spacing w:val="-1"/>
                <w:sz w:val="18"/>
              </w:rPr>
              <w:t>increase</w:t>
            </w:r>
            <w:r>
              <w:rPr>
                <w:rFonts w:ascii="Calibri"/>
                <w:spacing w:val="-3"/>
                <w:sz w:val="18"/>
              </w:rPr>
              <w:t xml:space="preserve"> </w:t>
            </w:r>
            <w:r>
              <w:rPr>
                <w:rFonts w:ascii="Calibri"/>
                <w:spacing w:val="-1"/>
                <w:sz w:val="18"/>
              </w:rPr>
              <w:t>awareness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FE programs</w:t>
            </w:r>
          </w:p>
        </w:tc>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670"/>
        </w:trPr>
        <w:tc>
          <w:tcPr>
            <w:tcW w:w="4680" w:type="dxa"/>
          </w:tcPr>
          <w:p w:rsidR="00E646C9" w:rsidRDefault="00E646C9" w:rsidP="00C94D5A">
            <w:pPr>
              <w:pStyle w:val="TableParagraph"/>
              <w:ind w:left="102" w:right="97"/>
              <w:jc w:val="both"/>
              <w:rPr>
                <w:rFonts w:ascii="Calibri" w:eastAsia="Calibri" w:hAnsi="Calibri" w:cs="Calibri"/>
                <w:sz w:val="18"/>
                <w:szCs w:val="18"/>
              </w:rPr>
            </w:pPr>
            <w:r>
              <w:rPr>
                <w:rFonts w:ascii="Calibri"/>
                <w:spacing w:val="-1"/>
                <w:sz w:val="18"/>
              </w:rPr>
              <w:t>Consider</w:t>
            </w:r>
            <w:r>
              <w:rPr>
                <w:rFonts w:ascii="Calibri"/>
                <w:spacing w:val="12"/>
                <w:sz w:val="18"/>
              </w:rPr>
              <w:t xml:space="preserve"> </w:t>
            </w:r>
            <w:r>
              <w:rPr>
                <w:rFonts w:ascii="Calibri"/>
                <w:spacing w:val="-1"/>
                <w:sz w:val="18"/>
              </w:rPr>
              <w:t>additional</w:t>
            </w:r>
            <w:r>
              <w:rPr>
                <w:rFonts w:ascii="Calibri"/>
                <w:spacing w:val="12"/>
                <w:sz w:val="18"/>
              </w:rPr>
              <w:t xml:space="preserve"> </w:t>
            </w:r>
            <w:r>
              <w:rPr>
                <w:rFonts w:ascii="Calibri"/>
                <w:spacing w:val="-1"/>
                <w:sz w:val="18"/>
              </w:rPr>
              <w:t>outreach</w:t>
            </w:r>
            <w:r>
              <w:rPr>
                <w:rFonts w:ascii="Calibri"/>
                <w:spacing w:val="11"/>
                <w:sz w:val="18"/>
              </w:rPr>
              <w:t xml:space="preserve"> </w:t>
            </w:r>
            <w:r>
              <w:rPr>
                <w:rFonts w:ascii="Calibri"/>
                <w:sz w:val="18"/>
              </w:rPr>
              <w:t>efforts</w:t>
            </w:r>
            <w:r>
              <w:rPr>
                <w:rFonts w:ascii="Calibri"/>
                <w:spacing w:val="12"/>
                <w:sz w:val="18"/>
              </w:rPr>
              <w:t xml:space="preserve"> </w:t>
            </w:r>
            <w:r>
              <w:rPr>
                <w:rFonts w:ascii="Calibri"/>
                <w:spacing w:val="-1"/>
                <w:sz w:val="18"/>
              </w:rPr>
              <w:t>to</w:t>
            </w:r>
            <w:r>
              <w:rPr>
                <w:rFonts w:ascii="Calibri"/>
                <w:spacing w:val="13"/>
                <w:sz w:val="18"/>
              </w:rPr>
              <w:t xml:space="preserve"> </w:t>
            </w:r>
            <w:r>
              <w:rPr>
                <w:rFonts w:ascii="Calibri"/>
                <w:spacing w:val="-1"/>
                <w:sz w:val="18"/>
              </w:rPr>
              <w:t>inform</w:t>
            </w:r>
            <w:r>
              <w:rPr>
                <w:rFonts w:ascii="Calibri"/>
                <w:spacing w:val="10"/>
                <w:sz w:val="18"/>
              </w:rPr>
              <w:t xml:space="preserve"> </w:t>
            </w:r>
            <w:r>
              <w:rPr>
                <w:rFonts w:ascii="Calibri"/>
                <w:spacing w:val="-1"/>
                <w:sz w:val="18"/>
              </w:rPr>
              <w:t>customers</w:t>
            </w:r>
            <w:r>
              <w:rPr>
                <w:rFonts w:ascii="Calibri"/>
                <w:spacing w:val="12"/>
                <w:sz w:val="18"/>
              </w:rPr>
              <w:t xml:space="preserve"> </w:t>
            </w:r>
            <w:r>
              <w:rPr>
                <w:rFonts w:ascii="Calibri"/>
                <w:sz w:val="18"/>
              </w:rPr>
              <w:t>of</w:t>
            </w:r>
            <w:r>
              <w:rPr>
                <w:rFonts w:ascii="Calibri"/>
                <w:spacing w:val="55"/>
                <w:sz w:val="18"/>
              </w:rPr>
              <w:t xml:space="preserve"> </w:t>
            </w:r>
            <w:r>
              <w:rPr>
                <w:rFonts w:ascii="Calibri"/>
                <w:spacing w:val="-1"/>
                <w:sz w:val="18"/>
              </w:rPr>
              <w:t>the</w:t>
            </w:r>
            <w:r>
              <w:rPr>
                <w:rFonts w:ascii="Calibri"/>
                <w:spacing w:val="8"/>
                <w:sz w:val="18"/>
              </w:rPr>
              <w:t xml:space="preserve"> </w:t>
            </w:r>
            <w:r>
              <w:rPr>
                <w:rFonts w:ascii="Calibri"/>
                <w:spacing w:val="-1"/>
                <w:sz w:val="18"/>
              </w:rPr>
              <w:t>energy</w:t>
            </w:r>
            <w:r>
              <w:rPr>
                <w:rFonts w:ascii="Calibri"/>
                <w:spacing w:val="6"/>
                <w:sz w:val="18"/>
              </w:rPr>
              <w:t xml:space="preserve"> </w:t>
            </w:r>
            <w:r>
              <w:rPr>
                <w:rFonts w:ascii="Calibri"/>
                <w:sz w:val="18"/>
              </w:rPr>
              <w:t>and</w:t>
            </w:r>
            <w:r>
              <w:rPr>
                <w:rFonts w:ascii="Calibri"/>
                <w:spacing w:val="9"/>
                <w:sz w:val="18"/>
              </w:rPr>
              <w:t xml:space="preserve"> </w:t>
            </w:r>
            <w:r>
              <w:rPr>
                <w:rFonts w:ascii="Calibri"/>
                <w:spacing w:val="-1"/>
                <w:sz w:val="18"/>
              </w:rPr>
              <w:t>non-energy</w:t>
            </w:r>
            <w:r>
              <w:rPr>
                <w:rFonts w:ascii="Calibri"/>
                <w:spacing w:val="9"/>
                <w:sz w:val="18"/>
              </w:rPr>
              <w:t xml:space="preserve"> </w:t>
            </w:r>
            <w:r>
              <w:rPr>
                <w:rFonts w:ascii="Calibri"/>
                <w:spacing w:val="-1"/>
                <w:sz w:val="18"/>
              </w:rPr>
              <w:t>related</w:t>
            </w:r>
            <w:r>
              <w:rPr>
                <w:rFonts w:ascii="Calibri"/>
                <w:spacing w:val="8"/>
                <w:sz w:val="18"/>
              </w:rPr>
              <w:t xml:space="preserve"> </w:t>
            </w:r>
            <w:r>
              <w:rPr>
                <w:rFonts w:ascii="Calibri"/>
                <w:spacing w:val="-1"/>
                <w:sz w:val="18"/>
              </w:rPr>
              <w:t>benefits</w:t>
            </w:r>
            <w:r>
              <w:rPr>
                <w:rFonts w:ascii="Calibri"/>
                <w:spacing w:val="9"/>
                <w:sz w:val="18"/>
              </w:rPr>
              <w:t xml:space="preserve"> </w:t>
            </w:r>
            <w:r>
              <w:rPr>
                <w:rFonts w:ascii="Calibri"/>
                <w:sz w:val="18"/>
              </w:rPr>
              <w:t>of</w:t>
            </w:r>
            <w:r>
              <w:rPr>
                <w:rFonts w:ascii="Calibri"/>
                <w:spacing w:val="7"/>
                <w:sz w:val="18"/>
              </w:rPr>
              <w:t xml:space="preserve"> </w:t>
            </w:r>
            <w:r>
              <w:rPr>
                <w:rFonts w:ascii="Calibri"/>
                <w:spacing w:val="-1"/>
                <w:sz w:val="18"/>
              </w:rPr>
              <w:t>program-</w:t>
            </w:r>
            <w:r>
              <w:rPr>
                <w:rFonts w:ascii="Calibri"/>
                <w:spacing w:val="45"/>
                <w:sz w:val="18"/>
              </w:rPr>
              <w:t xml:space="preserve"> </w:t>
            </w:r>
            <w:r>
              <w:rPr>
                <w:rFonts w:ascii="Calibri"/>
                <w:spacing w:val="-1"/>
                <w:sz w:val="18"/>
              </w:rPr>
              <w:t>qualifying</w:t>
            </w:r>
            <w:r>
              <w:rPr>
                <w:rFonts w:ascii="Calibri"/>
                <w:spacing w:val="-2"/>
                <w:sz w:val="18"/>
              </w:rPr>
              <w:t xml:space="preserve"> </w:t>
            </w:r>
            <w:r>
              <w:rPr>
                <w:rFonts w:ascii="Calibri"/>
                <w:sz w:val="18"/>
              </w:rPr>
              <w:t>LED</w:t>
            </w:r>
            <w:r>
              <w:rPr>
                <w:rFonts w:ascii="Calibri"/>
                <w:spacing w:val="-1"/>
                <w:sz w:val="18"/>
              </w:rPr>
              <w:t xml:space="preserve"> bulbs.</w:t>
            </w:r>
          </w:p>
        </w:tc>
        <w:tc>
          <w:tcPr>
            <w:tcW w:w="4680" w:type="dxa"/>
          </w:tcPr>
          <w:p w:rsidR="00E646C9" w:rsidRDefault="00E646C9" w:rsidP="00C94D5A">
            <w:pPr>
              <w:pStyle w:val="TableParagraph"/>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890"/>
        </w:trPr>
        <w:tc>
          <w:tcPr>
            <w:tcW w:w="4680" w:type="dxa"/>
            <w:shd w:val="clear" w:color="auto" w:fill="D2EAF1"/>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Review</w:t>
            </w:r>
            <w:r>
              <w:rPr>
                <w:rFonts w:ascii="Calibri"/>
                <w:spacing w:val="-5"/>
                <w:sz w:val="18"/>
              </w:rPr>
              <w:t xml:space="preserve"> </w:t>
            </w:r>
            <w:r>
              <w:rPr>
                <w:rFonts w:ascii="Calibri"/>
                <w:spacing w:val="-1"/>
                <w:sz w:val="18"/>
              </w:rPr>
              <w:t>rebate</w:t>
            </w:r>
            <w:r>
              <w:rPr>
                <w:rFonts w:ascii="Calibri"/>
                <w:spacing w:val="-4"/>
                <w:sz w:val="18"/>
              </w:rPr>
              <w:t xml:space="preserve"> </w:t>
            </w:r>
            <w:r>
              <w:rPr>
                <w:rFonts w:ascii="Calibri"/>
                <w:spacing w:val="-1"/>
                <w:sz w:val="18"/>
              </w:rPr>
              <w:t>paperwork</w:t>
            </w:r>
            <w:r>
              <w:rPr>
                <w:rFonts w:ascii="Calibri"/>
                <w:spacing w:val="-6"/>
                <w:sz w:val="18"/>
              </w:rPr>
              <w:t xml:space="preserve"> </w:t>
            </w:r>
            <w:r>
              <w:rPr>
                <w:rFonts w:ascii="Calibri"/>
                <w:spacing w:val="-1"/>
                <w:sz w:val="18"/>
              </w:rPr>
              <w:t>processes</w:t>
            </w:r>
            <w:r>
              <w:rPr>
                <w:rFonts w:ascii="Calibri"/>
                <w:spacing w:val="-6"/>
                <w:sz w:val="18"/>
              </w:rPr>
              <w:t xml:space="preserve"> </w:t>
            </w:r>
            <w:r>
              <w:rPr>
                <w:rFonts w:ascii="Calibri"/>
                <w:spacing w:val="-1"/>
                <w:sz w:val="18"/>
              </w:rPr>
              <w:t>to</w:t>
            </w:r>
            <w:r>
              <w:rPr>
                <w:rFonts w:ascii="Calibri"/>
                <w:spacing w:val="-5"/>
                <w:sz w:val="18"/>
              </w:rPr>
              <w:t xml:space="preserve"> </w:t>
            </w:r>
            <w:r>
              <w:rPr>
                <w:rFonts w:ascii="Calibri"/>
                <w:spacing w:val="-1"/>
                <w:sz w:val="18"/>
              </w:rPr>
              <w:t>identify</w:t>
            </w:r>
            <w:r>
              <w:rPr>
                <w:rFonts w:ascii="Calibri"/>
                <w:spacing w:val="-6"/>
                <w:sz w:val="18"/>
              </w:rPr>
              <w:t xml:space="preserve"> </w:t>
            </w:r>
            <w:r>
              <w:rPr>
                <w:rFonts w:ascii="Calibri"/>
                <w:spacing w:val="-1"/>
                <w:sz w:val="18"/>
              </w:rPr>
              <w:t>opportunities</w:t>
            </w:r>
            <w:r>
              <w:rPr>
                <w:rFonts w:ascii="Calibri"/>
                <w:spacing w:val="69"/>
                <w:sz w:val="18"/>
              </w:rPr>
              <w:t xml:space="preserve"> </w:t>
            </w:r>
            <w:r>
              <w:rPr>
                <w:rFonts w:ascii="Calibri"/>
                <w:spacing w:val="-1"/>
                <w:sz w:val="18"/>
              </w:rPr>
              <w:t>to</w:t>
            </w:r>
            <w:r>
              <w:rPr>
                <w:rFonts w:ascii="Calibri"/>
                <w:spacing w:val="17"/>
                <w:sz w:val="18"/>
              </w:rPr>
              <w:t xml:space="preserve"> </w:t>
            </w:r>
            <w:r>
              <w:rPr>
                <w:rFonts w:ascii="Calibri"/>
                <w:spacing w:val="-1"/>
                <w:sz w:val="18"/>
              </w:rPr>
              <w:t>streamline</w:t>
            </w:r>
            <w:r>
              <w:rPr>
                <w:rFonts w:ascii="Calibri"/>
                <w:spacing w:val="15"/>
                <w:sz w:val="18"/>
              </w:rPr>
              <w:t xml:space="preserve"> </w:t>
            </w:r>
            <w:r>
              <w:rPr>
                <w:rFonts w:ascii="Calibri"/>
                <w:spacing w:val="-1"/>
                <w:sz w:val="18"/>
              </w:rPr>
              <w:t>documentation</w:t>
            </w:r>
            <w:r>
              <w:rPr>
                <w:rFonts w:ascii="Calibri"/>
                <w:spacing w:val="16"/>
                <w:sz w:val="18"/>
              </w:rPr>
              <w:t xml:space="preserve"> </w:t>
            </w:r>
            <w:r>
              <w:rPr>
                <w:rFonts w:ascii="Calibri"/>
                <w:spacing w:val="-1"/>
                <w:sz w:val="18"/>
              </w:rPr>
              <w:t>requirements</w:t>
            </w:r>
            <w:r>
              <w:rPr>
                <w:rFonts w:ascii="Calibri"/>
                <w:spacing w:val="15"/>
                <w:sz w:val="18"/>
              </w:rPr>
              <w:t xml:space="preserve"> </w:t>
            </w:r>
            <w:r>
              <w:rPr>
                <w:rFonts w:ascii="Calibri"/>
                <w:sz w:val="18"/>
              </w:rPr>
              <w:t>and</w:t>
            </w:r>
            <w:r>
              <w:rPr>
                <w:rFonts w:ascii="Calibri"/>
                <w:spacing w:val="15"/>
                <w:sz w:val="18"/>
              </w:rPr>
              <w:t xml:space="preserve"> </w:t>
            </w:r>
            <w:r>
              <w:rPr>
                <w:rFonts w:ascii="Calibri"/>
                <w:spacing w:val="-1"/>
                <w:sz w:val="18"/>
              </w:rPr>
              <w:t>notify</w:t>
            </w:r>
            <w:r>
              <w:rPr>
                <w:rFonts w:ascii="Calibri"/>
                <w:spacing w:val="57"/>
                <w:w w:val="99"/>
                <w:sz w:val="18"/>
              </w:rPr>
              <w:t xml:space="preserve"> </w:t>
            </w:r>
            <w:r>
              <w:rPr>
                <w:rFonts w:ascii="Calibri"/>
                <w:spacing w:val="-1"/>
                <w:sz w:val="18"/>
              </w:rPr>
              <w:t>contractors</w:t>
            </w:r>
            <w:r>
              <w:rPr>
                <w:rFonts w:ascii="Calibri"/>
                <w:spacing w:val="13"/>
                <w:sz w:val="18"/>
              </w:rPr>
              <w:t xml:space="preserve"> </w:t>
            </w:r>
            <w:r>
              <w:rPr>
                <w:rFonts w:ascii="Calibri"/>
                <w:spacing w:val="-1"/>
                <w:sz w:val="18"/>
              </w:rPr>
              <w:t>and/or</w:t>
            </w:r>
            <w:r>
              <w:rPr>
                <w:rFonts w:ascii="Calibri"/>
                <w:spacing w:val="13"/>
                <w:sz w:val="18"/>
              </w:rPr>
              <w:t xml:space="preserve"> </w:t>
            </w:r>
            <w:r>
              <w:rPr>
                <w:rFonts w:ascii="Calibri"/>
                <w:spacing w:val="-1"/>
                <w:sz w:val="18"/>
              </w:rPr>
              <w:t>customers</w:t>
            </w:r>
            <w:r>
              <w:rPr>
                <w:rFonts w:ascii="Calibri"/>
                <w:spacing w:val="15"/>
                <w:sz w:val="18"/>
              </w:rPr>
              <w:t xml:space="preserve"> </w:t>
            </w:r>
            <w:r>
              <w:rPr>
                <w:rFonts w:ascii="Calibri"/>
                <w:sz w:val="18"/>
              </w:rPr>
              <w:t>more</w:t>
            </w:r>
            <w:r>
              <w:rPr>
                <w:rFonts w:ascii="Calibri"/>
                <w:spacing w:val="13"/>
                <w:sz w:val="18"/>
              </w:rPr>
              <w:t xml:space="preserve"> </w:t>
            </w:r>
            <w:r>
              <w:rPr>
                <w:rFonts w:ascii="Calibri"/>
                <w:spacing w:val="-1"/>
                <w:sz w:val="18"/>
              </w:rPr>
              <w:t>quickly</w:t>
            </w:r>
            <w:r>
              <w:rPr>
                <w:rFonts w:ascii="Calibri"/>
                <w:spacing w:val="15"/>
                <w:sz w:val="18"/>
              </w:rPr>
              <w:t xml:space="preserve"> </w:t>
            </w:r>
            <w:r>
              <w:rPr>
                <w:rFonts w:ascii="Calibri"/>
                <w:spacing w:val="-1"/>
                <w:sz w:val="18"/>
              </w:rPr>
              <w:t>if</w:t>
            </w:r>
            <w:r>
              <w:rPr>
                <w:rFonts w:ascii="Calibri"/>
                <w:spacing w:val="16"/>
                <w:sz w:val="18"/>
              </w:rPr>
              <w:t xml:space="preserve"> </w:t>
            </w:r>
            <w:r>
              <w:rPr>
                <w:rFonts w:ascii="Calibri"/>
                <w:spacing w:val="-1"/>
                <w:sz w:val="18"/>
              </w:rPr>
              <w:t>project</w:t>
            </w:r>
            <w:r>
              <w:rPr>
                <w:rFonts w:ascii="Calibri"/>
                <w:spacing w:val="63"/>
                <w:w w:val="99"/>
                <w:sz w:val="18"/>
              </w:rPr>
              <w:t xml:space="preserve"> </w:t>
            </w:r>
            <w:r>
              <w:rPr>
                <w:rFonts w:ascii="Calibri"/>
                <w:spacing w:val="-1"/>
                <w:sz w:val="18"/>
              </w:rPr>
              <w:t>documentation</w:t>
            </w:r>
            <w:r>
              <w:rPr>
                <w:rFonts w:ascii="Calibri"/>
                <w:spacing w:val="-5"/>
                <w:sz w:val="18"/>
              </w:rPr>
              <w:t xml:space="preserve"> </w:t>
            </w:r>
            <w:r>
              <w:rPr>
                <w:rFonts w:ascii="Calibri"/>
                <w:sz w:val="18"/>
              </w:rPr>
              <w:t>is</w:t>
            </w:r>
            <w:r>
              <w:rPr>
                <w:rFonts w:ascii="Calibri"/>
                <w:spacing w:val="-4"/>
                <w:sz w:val="18"/>
              </w:rPr>
              <w:t xml:space="preserve"> </w:t>
            </w:r>
            <w:r>
              <w:rPr>
                <w:rFonts w:ascii="Calibri"/>
                <w:spacing w:val="-1"/>
                <w:sz w:val="18"/>
              </w:rPr>
              <w:t>incomplete.</w:t>
            </w:r>
          </w:p>
        </w:tc>
        <w:tc>
          <w:tcPr>
            <w:tcW w:w="468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70"/>
        </w:trPr>
        <w:tc>
          <w:tcPr>
            <w:tcW w:w="4680" w:type="dxa"/>
          </w:tcPr>
          <w:p w:rsidR="00E646C9" w:rsidRDefault="00E646C9" w:rsidP="00C94D5A">
            <w:pPr>
              <w:pStyle w:val="TableParagraph"/>
              <w:ind w:left="102" w:right="102"/>
              <w:jc w:val="both"/>
              <w:rPr>
                <w:rFonts w:ascii="Calibri" w:eastAsia="Calibri" w:hAnsi="Calibri" w:cs="Calibri"/>
                <w:sz w:val="18"/>
                <w:szCs w:val="18"/>
              </w:rPr>
            </w:pPr>
            <w:r>
              <w:rPr>
                <w:rFonts w:ascii="Calibri"/>
                <w:spacing w:val="-1"/>
                <w:sz w:val="18"/>
              </w:rPr>
              <w:t>Increase</w:t>
            </w:r>
            <w:r>
              <w:rPr>
                <w:rFonts w:ascii="Calibri"/>
                <w:spacing w:val="14"/>
                <w:sz w:val="18"/>
              </w:rPr>
              <w:t xml:space="preserve"> </w:t>
            </w:r>
            <w:r>
              <w:rPr>
                <w:rFonts w:ascii="Calibri"/>
                <w:spacing w:val="-1"/>
                <w:sz w:val="18"/>
              </w:rPr>
              <w:t>one-on-one</w:t>
            </w:r>
            <w:r>
              <w:rPr>
                <w:rFonts w:ascii="Calibri"/>
                <w:spacing w:val="15"/>
                <w:sz w:val="18"/>
              </w:rPr>
              <w:t xml:space="preserve"> </w:t>
            </w:r>
            <w:r>
              <w:rPr>
                <w:rFonts w:ascii="Calibri"/>
                <w:spacing w:val="-1"/>
                <w:sz w:val="18"/>
              </w:rPr>
              <w:t>communication</w:t>
            </w:r>
            <w:r>
              <w:rPr>
                <w:rFonts w:ascii="Calibri"/>
                <w:spacing w:val="15"/>
                <w:sz w:val="18"/>
              </w:rPr>
              <w:t xml:space="preserve"> </w:t>
            </w:r>
            <w:r>
              <w:rPr>
                <w:rFonts w:ascii="Calibri"/>
                <w:spacing w:val="-1"/>
                <w:sz w:val="18"/>
              </w:rPr>
              <w:t>and</w:t>
            </w:r>
            <w:r>
              <w:rPr>
                <w:rFonts w:ascii="Calibri"/>
                <w:spacing w:val="15"/>
                <w:sz w:val="18"/>
              </w:rPr>
              <w:t xml:space="preserve"> </w:t>
            </w:r>
            <w:r>
              <w:rPr>
                <w:rFonts w:ascii="Calibri"/>
                <w:sz w:val="18"/>
              </w:rPr>
              <w:t>improve</w:t>
            </w:r>
            <w:r>
              <w:rPr>
                <w:rFonts w:ascii="Calibri"/>
                <w:spacing w:val="15"/>
                <w:sz w:val="18"/>
              </w:rPr>
              <w:t xml:space="preserve"> </w:t>
            </w:r>
            <w:r>
              <w:rPr>
                <w:rFonts w:ascii="Calibri"/>
                <w:spacing w:val="-1"/>
                <w:sz w:val="18"/>
              </w:rPr>
              <w:t>response</w:t>
            </w:r>
            <w:r>
              <w:rPr>
                <w:rFonts w:ascii="Calibri"/>
                <w:spacing w:val="60"/>
                <w:w w:val="99"/>
                <w:sz w:val="18"/>
              </w:rPr>
              <w:t xml:space="preserve"> </w:t>
            </w:r>
            <w:r>
              <w:rPr>
                <w:rFonts w:ascii="Calibri"/>
                <w:spacing w:val="-1"/>
                <w:sz w:val="18"/>
              </w:rPr>
              <w:t>time</w:t>
            </w:r>
            <w:r>
              <w:rPr>
                <w:rFonts w:ascii="Calibri"/>
                <w:spacing w:val="32"/>
                <w:sz w:val="18"/>
              </w:rPr>
              <w:t xml:space="preserve"> </w:t>
            </w:r>
            <w:r>
              <w:rPr>
                <w:rFonts w:ascii="Calibri"/>
                <w:spacing w:val="-1"/>
                <w:sz w:val="18"/>
              </w:rPr>
              <w:t>between</w:t>
            </w:r>
            <w:r>
              <w:rPr>
                <w:rFonts w:ascii="Calibri"/>
                <w:spacing w:val="34"/>
                <w:sz w:val="18"/>
              </w:rPr>
              <w:t xml:space="preserve"> </w:t>
            </w:r>
            <w:r>
              <w:rPr>
                <w:rFonts w:ascii="Calibri"/>
                <w:spacing w:val="-1"/>
                <w:sz w:val="18"/>
              </w:rPr>
              <w:t>participating</w:t>
            </w:r>
            <w:r>
              <w:rPr>
                <w:rFonts w:ascii="Calibri"/>
                <w:spacing w:val="34"/>
                <w:sz w:val="18"/>
              </w:rPr>
              <w:t xml:space="preserve"> </w:t>
            </w:r>
            <w:r>
              <w:rPr>
                <w:rFonts w:ascii="Calibri"/>
                <w:spacing w:val="-1"/>
                <w:sz w:val="18"/>
              </w:rPr>
              <w:t>program</w:t>
            </w:r>
            <w:r>
              <w:rPr>
                <w:rFonts w:ascii="Calibri"/>
                <w:spacing w:val="33"/>
                <w:sz w:val="18"/>
              </w:rPr>
              <w:t xml:space="preserve"> </w:t>
            </w:r>
            <w:r>
              <w:rPr>
                <w:rFonts w:ascii="Calibri"/>
                <w:spacing w:val="-1"/>
                <w:sz w:val="18"/>
              </w:rPr>
              <w:t>contractors</w:t>
            </w:r>
            <w:r>
              <w:rPr>
                <w:rFonts w:ascii="Calibri"/>
                <w:spacing w:val="32"/>
                <w:sz w:val="18"/>
              </w:rPr>
              <w:t xml:space="preserve"> </w:t>
            </w:r>
            <w:r>
              <w:rPr>
                <w:rFonts w:ascii="Calibri"/>
                <w:spacing w:val="-1"/>
                <w:sz w:val="18"/>
              </w:rPr>
              <w:t>and</w:t>
            </w:r>
            <w:r>
              <w:rPr>
                <w:rFonts w:ascii="Calibri"/>
                <w:spacing w:val="34"/>
                <w:sz w:val="18"/>
              </w:rPr>
              <w:t xml:space="preserve"> </w:t>
            </w:r>
            <w:r>
              <w:rPr>
                <w:rFonts w:ascii="Calibri"/>
                <w:spacing w:val="-1"/>
                <w:sz w:val="18"/>
              </w:rPr>
              <w:t>their</w:t>
            </w:r>
            <w:r>
              <w:rPr>
                <w:rFonts w:ascii="Calibri"/>
                <w:spacing w:val="62"/>
                <w:sz w:val="18"/>
              </w:rPr>
              <w:t xml:space="preserve"> </w:t>
            </w:r>
            <w:r>
              <w:rPr>
                <w:rFonts w:ascii="Calibri"/>
                <w:spacing w:val="-1"/>
                <w:sz w:val="18"/>
              </w:rPr>
              <w:t>ICSP</w:t>
            </w:r>
            <w:r>
              <w:rPr>
                <w:rFonts w:ascii="Calibri"/>
                <w:spacing w:val="-9"/>
                <w:sz w:val="18"/>
              </w:rPr>
              <w:t xml:space="preserve"> </w:t>
            </w:r>
            <w:r>
              <w:rPr>
                <w:rFonts w:ascii="Calibri"/>
                <w:spacing w:val="-1"/>
                <w:sz w:val="18"/>
              </w:rPr>
              <w:t>representative.</w:t>
            </w:r>
          </w:p>
        </w:tc>
        <w:tc>
          <w:tcPr>
            <w:tcW w:w="4680"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bl>
    <w:p w:rsidR="00E646C9" w:rsidRPr="003B56E9" w:rsidRDefault="00E646C9" w:rsidP="003B56E9"/>
    <w:p w:rsidR="00E646C9" w:rsidRDefault="00E646C9" w:rsidP="003B56E9">
      <w:pPr>
        <w:pStyle w:val="AppendixGHeading2"/>
      </w:pPr>
      <w:r>
        <w:t>Residential Home Performance</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26"/>
        <w:gridCol w:w="4734"/>
      </w:tblGrid>
      <w:tr w:rsidR="00E646C9" w:rsidTr="0011636D">
        <w:trPr>
          <w:trHeight w:hRule="exact" w:val="713"/>
          <w:tblHeader/>
        </w:trPr>
        <w:tc>
          <w:tcPr>
            <w:tcW w:w="4626" w:type="dxa"/>
            <w:shd w:val="clear" w:color="auto" w:fill="448A99"/>
          </w:tcPr>
          <w:p w:rsidR="00E646C9" w:rsidRDefault="00E646C9" w:rsidP="004D470A">
            <w:pPr>
              <w:pStyle w:val="TableParagraph"/>
              <w:spacing w:line="219" w:lineRule="exact"/>
              <w:ind w:left="129" w:right="3"/>
              <w:rPr>
                <w:rFonts w:ascii="Calibri" w:eastAsia="Calibri" w:hAnsi="Calibri" w:cs="Calibri"/>
                <w:sz w:val="18"/>
                <w:szCs w:val="18"/>
              </w:rPr>
            </w:pPr>
            <w:r>
              <w:rPr>
                <w:rFonts w:ascii="Calibri"/>
                <w:b/>
                <w:color w:val="FFFFFF"/>
                <w:spacing w:val="-1"/>
                <w:sz w:val="18"/>
              </w:rPr>
              <w:t>Recommendations</w:t>
            </w:r>
          </w:p>
        </w:tc>
        <w:tc>
          <w:tcPr>
            <w:tcW w:w="4734" w:type="dxa"/>
            <w:shd w:val="clear" w:color="auto" w:fill="448A99"/>
          </w:tcPr>
          <w:p w:rsidR="00E646C9" w:rsidRDefault="00E646C9" w:rsidP="00C94D5A">
            <w:pPr>
              <w:pStyle w:val="TableParagraph"/>
              <w:ind w:left="164" w:right="164"/>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5"/>
                <w:sz w:val="18"/>
              </w:rPr>
              <w:t xml:space="preserve"> </w:t>
            </w:r>
            <w:r>
              <w:rPr>
                <w:rFonts w:ascii="Calibri"/>
                <w:b/>
                <w:color w:val="FFFFFF"/>
                <w:spacing w:val="-1"/>
                <w:sz w:val="18"/>
              </w:rPr>
              <w:t>Recommendation</w:t>
            </w:r>
            <w:r>
              <w:rPr>
                <w:rFonts w:ascii="Calibri"/>
                <w:b/>
                <w:color w:val="FFFFFF"/>
                <w:spacing w:val="30"/>
                <w:w w:val="99"/>
                <w:sz w:val="18"/>
              </w:rPr>
              <w:t xml:space="preserve"> </w:t>
            </w:r>
            <w:r w:rsidRPr="005A786B">
              <w:rPr>
                <w:rFonts w:ascii="Calibri"/>
                <w:color w:val="FFFFFF"/>
                <w:spacing w:val="-1"/>
                <w:sz w:val="18"/>
              </w:rPr>
              <w:t>(Implemented,</w:t>
            </w:r>
            <w:r w:rsidRPr="005A786B">
              <w:rPr>
                <w:rFonts w:ascii="Calibri"/>
                <w:color w:val="FFFFFF"/>
                <w:spacing w:val="-10"/>
                <w:sz w:val="18"/>
              </w:rPr>
              <w:t xml:space="preserve"> </w:t>
            </w:r>
            <w:r w:rsidRPr="005A786B">
              <w:rPr>
                <w:rFonts w:ascii="Calibri"/>
                <w:color w:val="FFFFFF"/>
                <w:spacing w:val="-1"/>
                <w:sz w:val="18"/>
              </w:rPr>
              <w:t>Being</w:t>
            </w:r>
            <w:r w:rsidRPr="005A786B">
              <w:rPr>
                <w:rFonts w:ascii="Calibri"/>
                <w:color w:val="FFFFFF"/>
                <w:spacing w:val="23"/>
                <w:sz w:val="18"/>
              </w:rPr>
              <w:t xml:space="preserve"> </w:t>
            </w:r>
            <w:r w:rsidRPr="005A786B">
              <w:rPr>
                <w:rFonts w:ascii="Calibri"/>
                <w:color w:val="FFFFFF"/>
                <w:spacing w:val="-1"/>
                <w:sz w:val="18"/>
              </w:rPr>
              <w:t>Considered,</w:t>
            </w:r>
            <w:r w:rsidRPr="005A786B">
              <w:rPr>
                <w:rFonts w:ascii="Calibri"/>
                <w:color w:val="FFFFFF"/>
                <w:spacing w:val="-6"/>
                <w:sz w:val="18"/>
              </w:rPr>
              <w:t xml:space="preserve"> </w:t>
            </w:r>
            <w:r w:rsidRPr="005A786B">
              <w:rPr>
                <w:rFonts w:ascii="Calibri"/>
                <w:color w:val="FFFFFF"/>
                <w:spacing w:val="-1"/>
                <w:sz w:val="18"/>
              </w:rPr>
              <w:t>Rejected</w:t>
            </w:r>
            <w:r w:rsidRPr="005A786B">
              <w:rPr>
                <w:rFonts w:ascii="Calibri"/>
                <w:color w:val="FFFFFF"/>
                <w:spacing w:val="-6"/>
                <w:sz w:val="18"/>
              </w:rPr>
              <w:t xml:space="preserve"> </w:t>
            </w:r>
            <w:r w:rsidRPr="005A786B">
              <w:rPr>
                <w:rFonts w:ascii="Calibri"/>
                <w:color w:val="FFFFFF"/>
                <w:sz w:val="18"/>
              </w:rPr>
              <w:t>AND</w:t>
            </w:r>
            <w:r w:rsidRPr="005A786B">
              <w:rPr>
                <w:rFonts w:ascii="Calibri"/>
                <w:color w:val="FFFFFF"/>
                <w:spacing w:val="23"/>
                <w:sz w:val="18"/>
              </w:rPr>
              <w:t xml:space="preserve"> </w:t>
            </w:r>
            <w:r w:rsidRPr="005A786B">
              <w:rPr>
                <w:rFonts w:ascii="Calibri"/>
                <w:color w:val="FFFFFF"/>
                <w:spacing w:val="-1"/>
                <w:sz w:val="18"/>
              </w:rPr>
              <w:t>Explanation</w:t>
            </w:r>
            <w:r w:rsidRPr="005A786B">
              <w:rPr>
                <w:rFonts w:ascii="Calibri"/>
                <w:color w:val="FFFFFF"/>
                <w:spacing w:val="-6"/>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z w:val="18"/>
              </w:rPr>
              <w:t>Action</w:t>
            </w:r>
            <w:r w:rsidRPr="005A786B">
              <w:rPr>
                <w:rFonts w:ascii="Calibri"/>
                <w:color w:val="FFFFFF"/>
                <w:spacing w:val="-6"/>
                <w:sz w:val="18"/>
              </w:rPr>
              <w:t xml:space="preserve"> </w:t>
            </w:r>
            <w:r w:rsidRPr="005A786B">
              <w:rPr>
                <w:rFonts w:ascii="Calibri"/>
                <w:color w:val="FFFFFF"/>
                <w:spacing w:val="-1"/>
                <w:sz w:val="18"/>
              </w:rPr>
              <w:t>Taken</w:t>
            </w:r>
            <w:r w:rsidRPr="005A786B">
              <w:rPr>
                <w:rFonts w:ascii="Calibri"/>
                <w:color w:val="FFFFFF"/>
                <w:spacing w:val="-5"/>
                <w:sz w:val="18"/>
              </w:rPr>
              <w:t xml:space="preserve"> </w:t>
            </w:r>
            <w:r w:rsidRPr="005A786B">
              <w:rPr>
                <w:rFonts w:ascii="Calibri"/>
                <w:color w:val="FFFFFF"/>
                <w:spacing w:val="-1"/>
                <w:sz w:val="18"/>
              </w:rPr>
              <w:t>by</w:t>
            </w:r>
            <w:r w:rsidRPr="005A786B">
              <w:rPr>
                <w:rFonts w:ascii="Calibri"/>
                <w:color w:val="FFFFFF"/>
                <w:spacing w:val="21"/>
                <w:w w:val="99"/>
                <w:sz w:val="18"/>
              </w:rPr>
              <w:t xml:space="preserve"> </w:t>
            </w:r>
            <w:r w:rsidRPr="005A786B">
              <w:rPr>
                <w:rFonts w:ascii="Calibri"/>
                <w:color w:val="FFFFFF"/>
                <w:sz w:val="18"/>
              </w:rPr>
              <w:t>EDC)</w:t>
            </w:r>
          </w:p>
        </w:tc>
      </w:tr>
      <w:tr w:rsidR="00E646C9" w:rsidTr="0011636D">
        <w:trPr>
          <w:trHeight w:hRule="exact" w:val="451"/>
        </w:trPr>
        <w:tc>
          <w:tcPr>
            <w:tcW w:w="4626" w:type="dxa"/>
            <w:shd w:val="clear" w:color="auto" w:fill="D2EAF1"/>
          </w:tcPr>
          <w:p w:rsidR="00E646C9" w:rsidRDefault="00E646C9" w:rsidP="00C94D5A">
            <w:pPr>
              <w:pStyle w:val="TableParagraph"/>
              <w:ind w:left="102" w:right="692"/>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z w:val="18"/>
              </w:rPr>
              <w:t>New</w:t>
            </w:r>
            <w:r>
              <w:rPr>
                <w:rFonts w:ascii="Calibri"/>
                <w:spacing w:val="-1"/>
                <w:sz w:val="18"/>
              </w:rPr>
              <w:t xml:space="preserve"> </w:t>
            </w:r>
            <w:r>
              <w:rPr>
                <w:rFonts w:ascii="Calibri"/>
                <w:sz w:val="18"/>
              </w:rPr>
              <w:t>Homes</w:t>
            </w:r>
            <w:r>
              <w:rPr>
                <w:rFonts w:ascii="Calibri"/>
                <w:spacing w:val="-4"/>
                <w:sz w:val="18"/>
              </w:rPr>
              <w:t xml:space="preserve"> </w:t>
            </w:r>
            <w:r>
              <w:rPr>
                <w:rFonts w:ascii="Calibri"/>
                <w:spacing w:val="-1"/>
                <w:sz w:val="18"/>
              </w:rPr>
              <w:t>component,</w:t>
            </w:r>
            <w:r>
              <w:rPr>
                <w:rFonts w:ascii="Calibri"/>
                <w:spacing w:val="-2"/>
                <w:sz w:val="18"/>
              </w:rPr>
              <w:t xml:space="preserve"> </w:t>
            </w:r>
            <w:r>
              <w:rPr>
                <w:rFonts w:ascii="Calibri"/>
                <w:spacing w:val="-1"/>
                <w:sz w:val="18"/>
              </w:rPr>
              <w:t>flag</w:t>
            </w:r>
            <w:r>
              <w:rPr>
                <w:rFonts w:ascii="Calibri"/>
                <w:spacing w:val="-3"/>
                <w:sz w:val="18"/>
              </w:rPr>
              <w:t xml:space="preserve"> </w:t>
            </w:r>
            <w:r>
              <w:rPr>
                <w:rFonts w:ascii="Calibri"/>
                <w:spacing w:val="-1"/>
                <w:sz w:val="18"/>
              </w:rPr>
              <w:t>homes</w:t>
            </w:r>
            <w:r>
              <w:rPr>
                <w:rFonts w:ascii="Calibri"/>
                <w:spacing w:val="-4"/>
                <w:sz w:val="18"/>
              </w:rPr>
              <w:t xml:space="preserve"> </w:t>
            </w:r>
            <w:r>
              <w:rPr>
                <w:rFonts w:ascii="Calibri"/>
                <w:spacing w:val="-1"/>
                <w:sz w:val="18"/>
              </w:rPr>
              <w:t>with</w:t>
            </w:r>
            <w:r>
              <w:rPr>
                <w:rFonts w:ascii="Calibri"/>
                <w:spacing w:val="-4"/>
                <w:sz w:val="18"/>
              </w:rPr>
              <w:t xml:space="preserve"> </w:t>
            </w:r>
            <w:r>
              <w:rPr>
                <w:rFonts w:ascii="Calibri"/>
                <w:spacing w:val="-1"/>
                <w:sz w:val="18"/>
              </w:rPr>
              <w:t>greater</w:t>
            </w:r>
            <w:r>
              <w:rPr>
                <w:rFonts w:ascii="Calibri"/>
                <w:spacing w:val="-3"/>
                <w:sz w:val="18"/>
              </w:rPr>
              <w:t xml:space="preserve"> </w:t>
            </w:r>
            <w:r>
              <w:rPr>
                <w:rFonts w:ascii="Calibri"/>
                <w:sz w:val="18"/>
              </w:rPr>
              <w:t>than</w:t>
            </w:r>
            <w:r>
              <w:rPr>
                <w:rFonts w:ascii="Calibri"/>
                <w:spacing w:val="-3"/>
                <w:sz w:val="18"/>
              </w:rPr>
              <w:t xml:space="preserve"> </w:t>
            </w:r>
            <w:r>
              <w:rPr>
                <w:rFonts w:ascii="Calibri"/>
                <w:spacing w:val="-1"/>
                <w:sz w:val="18"/>
              </w:rPr>
              <w:t>20,000</w:t>
            </w:r>
            <w:r>
              <w:rPr>
                <w:rFonts w:ascii="Calibri"/>
                <w:spacing w:val="-3"/>
                <w:sz w:val="18"/>
              </w:rPr>
              <w:t xml:space="preserve"> </w:t>
            </w:r>
            <w:r>
              <w:rPr>
                <w:rFonts w:ascii="Calibri"/>
                <w:spacing w:val="-1"/>
                <w:sz w:val="18"/>
              </w:rPr>
              <w:t>kWh</w:t>
            </w:r>
            <w:r>
              <w:rPr>
                <w:rFonts w:ascii="Calibri"/>
                <w:spacing w:val="-3"/>
                <w:sz w:val="18"/>
              </w:rPr>
              <w:t xml:space="preserve"> </w:t>
            </w:r>
            <w:r>
              <w:rPr>
                <w:rFonts w:ascii="Calibri"/>
                <w:sz w:val="18"/>
              </w:rPr>
              <w:t>for</w:t>
            </w:r>
            <w:r>
              <w:rPr>
                <w:rFonts w:ascii="Calibri"/>
                <w:spacing w:val="-3"/>
                <w:sz w:val="18"/>
              </w:rPr>
              <w:t xml:space="preserve"> </w:t>
            </w:r>
            <w:r>
              <w:rPr>
                <w:rFonts w:ascii="Calibri"/>
                <w:sz w:val="18"/>
              </w:rPr>
              <w:t>a</w:t>
            </w:r>
            <w:r>
              <w:rPr>
                <w:rFonts w:ascii="Calibri"/>
                <w:spacing w:val="65"/>
                <w:sz w:val="18"/>
              </w:rPr>
              <w:t xml:space="preserve"> </w:t>
            </w:r>
            <w:r>
              <w:rPr>
                <w:rFonts w:ascii="Calibri"/>
                <w:spacing w:val="-1"/>
                <w:sz w:val="18"/>
              </w:rPr>
              <w:t>REM/Rate</w:t>
            </w:r>
            <w:r>
              <w:rPr>
                <w:rFonts w:ascii="Calibri"/>
                <w:spacing w:val="-4"/>
                <w:sz w:val="18"/>
              </w:rPr>
              <w:t xml:space="preserve"> </w:t>
            </w:r>
            <w:r>
              <w:rPr>
                <w:rFonts w:ascii="Calibri"/>
                <w:spacing w:val="-1"/>
                <w:sz w:val="18"/>
              </w:rPr>
              <w:t>baseline</w:t>
            </w:r>
            <w:r>
              <w:rPr>
                <w:rFonts w:ascii="Calibri"/>
                <w:spacing w:val="-4"/>
                <w:sz w:val="18"/>
              </w:rPr>
              <w:t xml:space="preserve"> </w:t>
            </w:r>
            <w:r>
              <w:rPr>
                <w:rFonts w:ascii="Calibri"/>
                <w:spacing w:val="-1"/>
                <w:sz w:val="18"/>
              </w:rPr>
              <w:t>heating</w:t>
            </w:r>
            <w:r>
              <w:rPr>
                <w:rFonts w:ascii="Calibri"/>
                <w:spacing w:val="-4"/>
                <w:sz w:val="18"/>
              </w:rPr>
              <w:t xml:space="preserve"> </w:t>
            </w:r>
            <w:r>
              <w:rPr>
                <w:rFonts w:ascii="Calibri"/>
                <w:sz w:val="18"/>
              </w:rPr>
              <w:t>loads</w:t>
            </w:r>
            <w:r>
              <w:rPr>
                <w:rFonts w:ascii="Calibri"/>
                <w:spacing w:val="-2"/>
                <w:sz w:val="18"/>
              </w:rPr>
              <w:t xml:space="preserve"> </w:t>
            </w:r>
            <w:r>
              <w:rPr>
                <w:rFonts w:ascii="Calibri"/>
                <w:spacing w:val="-1"/>
                <w:sz w:val="18"/>
              </w:rPr>
              <w:t>vs.</w:t>
            </w:r>
            <w:r>
              <w:rPr>
                <w:rFonts w:ascii="Calibri"/>
                <w:spacing w:val="-2"/>
                <w:sz w:val="18"/>
              </w:rPr>
              <w:t xml:space="preserve"> </w:t>
            </w:r>
            <w:r>
              <w:rPr>
                <w:rFonts w:ascii="Calibri"/>
                <w:spacing w:val="-1"/>
                <w:sz w:val="18"/>
              </w:rPr>
              <w:t>heating</w:t>
            </w:r>
            <w:r>
              <w:rPr>
                <w:rFonts w:ascii="Calibri"/>
                <w:spacing w:val="-4"/>
                <w:sz w:val="18"/>
              </w:rPr>
              <w:t xml:space="preserve"> </w:t>
            </w:r>
            <w:r>
              <w:rPr>
                <w:rFonts w:ascii="Calibri"/>
                <w:spacing w:val="-1"/>
                <w:sz w:val="18"/>
              </w:rPr>
              <w:t>energy usage</w:t>
            </w:r>
            <w:r>
              <w:rPr>
                <w:rFonts w:ascii="Calibri"/>
                <w:spacing w:val="-2"/>
                <w:sz w:val="18"/>
              </w:rPr>
              <w:t xml:space="preserve"> </w:t>
            </w:r>
            <w:r>
              <w:rPr>
                <w:rFonts w:ascii="Calibri"/>
                <w:spacing w:val="-1"/>
                <w:sz w:val="18"/>
              </w:rPr>
              <w:t>review.</w:t>
            </w:r>
          </w:p>
        </w:tc>
        <w:tc>
          <w:tcPr>
            <w:tcW w:w="4734"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9"/>
        </w:trPr>
        <w:tc>
          <w:tcPr>
            <w:tcW w:w="4626" w:type="dxa"/>
          </w:tcPr>
          <w:p w:rsidR="00E646C9" w:rsidRDefault="00E646C9" w:rsidP="00C94D5A">
            <w:pPr>
              <w:pStyle w:val="TableParagraph"/>
              <w:ind w:left="102" w:right="126"/>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pacing w:val="-1"/>
                <w:sz w:val="18"/>
              </w:rPr>
              <w:t>conservation</w:t>
            </w:r>
            <w:r>
              <w:rPr>
                <w:rFonts w:ascii="Calibri"/>
                <w:spacing w:val="-3"/>
                <w:sz w:val="18"/>
              </w:rPr>
              <w:t xml:space="preserve"> </w:t>
            </w:r>
            <w:r>
              <w:rPr>
                <w:rFonts w:ascii="Calibri"/>
                <w:spacing w:val="-1"/>
                <w:sz w:val="18"/>
              </w:rPr>
              <w:t>kits,</w:t>
            </w:r>
            <w:r>
              <w:rPr>
                <w:rFonts w:ascii="Calibri"/>
                <w:spacing w:val="-2"/>
                <w:sz w:val="18"/>
              </w:rPr>
              <w:t xml:space="preserve"> </w:t>
            </w:r>
            <w:r>
              <w:rPr>
                <w:rFonts w:ascii="Calibri"/>
                <w:sz w:val="18"/>
              </w:rPr>
              <w:t>consider</w:t>
            </w:r>
            <w:r>
              <w:rPr>
                <w:rFonts w:ascii="Calibri"/>
                <w:spacing w:val="-3"/>
                <w:sz w:val="18"/>
              </w:rPr>
              <w:t xml:space="preserve"> </w:t>
            </w:r>
            <w:r>
              <w:rPr>
                <w:rFonts w:ascii="Calibri"/>
                <w:spacing w:val="-1"/>
                <w:sz w:val="18"/>
              </w:rPr>
              <w:t>including</w:t>
            </w:r>
            <w:r>
              <w:rPr>
                <w:rFonts w:ascii="Calibri"/>
                <w:spacing w:val="-4"/>
                <w:sz w:val="18"/>
              </w:rPr>
              <w:t xml:space="preserve"> </w:t>
            </w:r>
            <w:r>
              <w:rPr>
                <w:rFonts w:ascii="Calibri"/>
                <w:sz w:val="18"/>
              </w:rPr>
              <w:t>fewer</w:t>
            </w:r>
            <w:r>
              <w:rPr>
                <w:rFonts w:ascii="Calibri"/>
                <w:spacing w:val="-3"/>
                <w:sz w:val="18"/>
              </w:rPr>
              <w:t xml:space="preserve"> </w:t>
            </w:r>
            <w:r>
              <w:rPr>
                <w:rFonts w:ascii="Calibri"/>
                <w:spacing w:val="-1"/>
                <w:sz w:val="18"/>
              </w:rPr>
              <w:t>9W</w:t>
            </w:r>
            <w:r>
              <w:rPr>
                <w:rFonts w:ascii="Calibri"/>
                <w:spacing w:val="-2"/>
                <w:sz w:val="18"/>
              </w:rPr>
              <w:t xml:space="preserve"> </w:t>
            </w:r>
            <w:r>
              <w:rPr>
                <w:rFonts w:ascii="Calibri"/>
                <w:spacing w:val="-1"/>
                <w:sz w:val="18"/>
              </w:rPr>
              <w:t>globes.</w:t>
            </w:r>
            <w:r>
              <w:rPr>
                <w:rFonts w:ascii="Calibri"/>
                <w:spacing w:val="36"/>
                <w:sz w:val="18"/>
              </w:rPr>
              <w:t xml:space="preserve"> </w:t>
            </w:r>
            <w:r>
              <w:rPr>
                <w:rFonts w:ascii="Calibri"/>
                <w:sz w:val="18"/>
              </w:rPr>
              <w:t>Customers</w:t>
            </w:r>
            <w:r>
              <w:rPr>
                <w:rFonts w:ascii="Calibri"/>
                <w:spacing w:val="-3"/>
                <w:sz w:val="18"/>
              </w:rPr>
              <w:t xml:space="preserve"> </w:t>
            </w:r>
            <w:r>
              <w:rPr>
                <w:rFonts w:ascii="Calibri"/>
                <w:spacing w:val="-1"/>
                <w:sz w:val="18"/>
              </w:rPr>
              <w:t>are</w:t>
            </w:r>
            <w:r>
              <w:rPr>
                <w:rFonts w:ascii="Calibri"/>
                <w:spacing w:val="-3"/>
                <w:sz w:val="18"/>
              </w:rPr>
              <w:t xml:space="preserve"> </w:t>
            </w:r>
            <w:r>
              <w:rPr>
                <w:rFonts w:ascii="Calibri"/>
                <w:spacing w:val="-1"/>
                <w:sz w:val="18"/>
              </w:rPr>
              <w:t>slower</w:t>
            </w:r>
            <w:r>
              <w:rPr>
                <w:rFonts w:ascii="Calibri"/>
                <w:spacing w:val="-3"/>
                <w:sz w:val="18"/>
              </w:rPr>
              <w:t xml:space="preserve"> </w:t>
            </w:r>
            <w:r>
              <w:rPr>
                <w:rFonts w:ascii="Calibri"/>
                <w:spacing w:val="-1"/>
                <w:sz w:val="18"/>
              </w:rPr>
              <w:t>to</w:t>
            </w:r>
            <w:r>
              <w:rPr>
                <w:rFonts w:ascii="Calibri"/>
                <w:spacing w:val="61"/>
                <w:sz w:val="18"/>
              </w:rPr>
              <w:t xml:space="preserve"> </w:t>
            </w:r>
            <w:r>
              <w:rPr>
                <w:rFonts w:ascii="Calibri"/>
                <w:spacing w:val="-1"/>
                <w:sz w:val="18"/>
              </w:rPr>
              <w:t>install</w:t>
            </w:r>
            <w:r>
              <w:rPr>
                <w:rFonts w:ascii="Calibri"/>
                <w:spacing w:val="1"/>
                <w:sz w:val="18"/>
              </w:rPr>
              <w:t xml:space="preserve"> </w:t>
            </w:r>
            <w:r>
              <w:rPr>
                <w:rFonts w:ascii="Calibri"/>
                <w:spacing w:val="-1"/>
                <w:sz w:val="18"/>
              </w:rPr>
              <w:t>those</w:t>
            </w:r>
            <w:r>
              <w:rPr>
                <w:rFonts w:ascii="Calibri"/>
                <w:spacing w:val="-2"/>
                <w:sz w:val="18"/>
              </w:rPr>
              <w:t xml:space="preserve"> </w:t>
            </w:r>
            <w:r>
              <w:rPr>
                <w:rFonts w:ascii="Calibri"/>
                <w:sz w:val="18"/>
              </w:rPr>
              <w:t>than</w:t>
            </w:r>
            <w:r>
              <w:rPr>
                <w:rFonts w:ascii="Calibri"/>
                <w:spacing w:val="-2"/>
                <w:sz w:val="18"/>
              </w:rPr>
              <w:t xml:space="preserve"> </w:t>
            </w:r>
            <w:r>
              <w:rPr>
                <w:rFonts w:ascii="Calibri"/>
                <w:spacing w:val="-1"/>
                <w:sz w:val="18"/>
              </w:rPr>
              <w:t xml:space="preserve">any </w:t>
            </w:r>
            <w:r>
              <w:rPr>
                <w:rFonts w:ascii="Calibri"/>
                <w:sz w:val="18"/>
              </w:rPr>
              <w:t>other</w:t>
            </w:r>
            <w:r>
              <w:rPr>
                <w:rFonts w:ascii="Calibri"/>
                <w:spacing w:val="-2"/>
                <w:sz w:val="18"/>
              </w:rPr>
              <w:t xml:space="preserve"> </w:t>
            </w:r>
            <w:r>
              <w:rPr>
                <w:rFonts w:ascii="Calibri"/>
                <w:sz w:val="18"/>
              </w:rPr>
              <w:t>lamps</w:t>
            </w:r>
            <w:r>
              <w:rPr>
                <w:rFonts w:ascii="Calibri"/>
                <w:spacing w:val="-2"/>
                <w:sz w:val="18"/>
              </w:rPr>
              <w:t xml:space="preserve"> </w:t>
            </w:r>
            <w:r>
              <w:rPr>
                <w:rFonts w:ascii="Calibri"/>
                <w:spacing w:val="-1"/>
                <w:sz w:val="18"/>
              </w:rPr>
              <w:t>included</w:t>
            </w:r>
            <w:r>
              <w:rPr>
                <w:rFonts w:ascii="Calibri"/>
                <w:sz w:val="18"/>
              </w:rPr>
              <w:t xml:space="preserve"> </w:t>
            </w:r>
            <w:r>
              <w:rPr>
                <w:rFonts w:ascii="Calibri"/>
                <w:spacing w:val="-1"/>
                <w:sz w:val="18"/>
              </w:rPr>
              <w:t>in</w:t>
            </w:r>
            <w:r>
              <w:rPr>
                <w:rFonts w:ascii="Calibri"/>
                <w:spacing w:val="-2"/>
                <w:sz w:val="18"/>
              </w:rPr>
              <w:t xml:space="preserve"> </w:t>
            </w:r>
            <w:r>
              <w:rPr>
                <w:rFonts w:ascii="Calibri"/>
                <w:sz w:val="18"/>
              </w:rPr>
              <w:t>the</w:t>
            </w:r>
            <w:r>
              <w:rPr>
                <w:rFonts w:ascii="Calibri"/>
                <w:spacing w:val="-2"/>
                <w:sz w:val="18"/>
              </w:rPr>
              <w:t xml:space="preserve"> </w:t>
            </w:r>
            <w:r>
              <w:rPr>
                <w:rFonts w:ascii="Calibri"/>
                <w:spacing w:val="-1"/>
                <w:sz w:val="18"/>
              </w:rPr>
              <w:t>kits.</w:t>
            </w:r>
          </w:p>
        </w:tc>
        <w:tc>
          <w:tcPr>
            <w:tcW w:w="4734"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1109"/>
        </w:trPr>
        <w:tc>
          <w:tcPr>
            <w:tcW w:w="4626" w:type="dxa"/>
            <w:shd w:val="clear" w:color="auto" w:fill="D2EAF1"/>
          </w:tcPr>
          <w:p w:rsidR="00E646C9" w:rsidRDefault="00E646C9" w:rsidP="00C94D5A">
            <w:pPr>
              <w:pStyle w:val="TableParagraph"/>
              <w:ind w:left="102" w:right="227"/>
              <w:rPr>
                <w:rFonts w:ascii="Calibri" w:eastAsia="Calibri" w:hAnsi="Calibri" w:cs="Calibri"/>
                <w:sz w:val="18"/>
                <w:szCs w:val="18"/>
              </w:rPr>
            </w:pPr>
            <w:r>
              <w:rPr>
                <w:rFonts w:ascii="Calibri" w:eastAsia="Calibri" w:hAnsi="Calibri" w:cs="Calibri"/>
                <w:spacing w:val="-1"/>
                <w:sz w:val="18"/>
                <w:szCs w:val="18"/>
              </w:rPr>
              <w:t>Collect</w:t>
            </w:r>
            <w:r>
              <w:rPr>
                <w:rFonts w:ascii="Calibri" w:eastAsia="Calibri" w:hAnsi="Calibri" w:cs="Calibri"/>
                <w:spacing w:val="-4"/>
                <w:sz w:val="18"/>
                <w:szCs w:val="18"/>
              </w:rPr>
              <w:t xml:space="preserve"> </w:t>
            </w:r>
            <w:r>
              <w:rPr>
                <w:rFonts w:ascii="Calibri" w:eastAsia="Calibri" w:hAnsi="Calibri" w:cs="Calibri"/>
                <w:spacing w:val="-1"/>
                <w:sz w:val="18"/>
                <w:szCs w:val="18"/>
              </w:rPr>
              <w:t>customer</w:t>
            </w:r>
            <w:r>
              <w:rPr>
                <w:rFonts w:ascii="Calibri" w:eastAsia="Calibri" w:hAnsi="Calibri" w:cs="Calibri"/>
                <w:spacing w:val="-3"/>
                <w:sz w:val="18"/>
                <w:szCs w:val="18"/>
              </w:rPr>
              <w:t xml:space="preserve"> </w:t>
            </w:r>
            <w:r>
              <w:rPr>
                <w:rFonts w:ascii="Calibri" w:eastAsia="Calibri" w:hAnsi="Calibri" w:cs="Calibri"/>
                <w:spacing w:val="-1"/>
                <w:sz w:val="18"/>
                <w:szCs w:val="18"/>
              </w:rPr>
              <w:t>e-mail</w:t>
            </w:r>
            <w:r>
              <w:rPr>
                <w:rFonts w:ascii="Calibri" w:eastAsia="Calibri" w:hAnsi="Calibri" w:cs="Calibri"/>
                <w:spacing w:val="-3"/>
                <w:sz w:val="18"/>
                <w:szCs w:val="18"/>
              </w:rPr>
              <w:t xml:space="preserve"> </w:t>
            </w:r>
            <w:r>
              <w:rPr>
                <w:rFonts w:ascii="Calibri" w:eastAsia="Calibri" w:hAnsi="Calibri" w:cs="Calibri"/>
                <w:spacing w:val="-1"/>
                <w:sz w:val="18"/>
                <w:szCs w:val="18"/>
              </w:rPr>
              <w:t>addresses</w:t>
            </w:r>
            <w:r>
              <w:rPr>
                <w:rFonts w:ascii="Calibri" w:eastAsia="Calibri" w:hAnsi="Calibri" w:cs="Calibri"/>
                <w:spacing w:val="-3"/>
                <w:sz w:val="18"/>
                <w:szCs w:val="18"/>
              </w:rPr>
              <w:t xml:space="preserve"> </w:t>
            </w:r>
            <w:r>
              <w:rPr>
                <w:rFonts w:ascii="Calibri" w:eastAsia="Calibri" w:hAnsi="Calibri" w:cs="Calibri"/>
                <w:spacing w:val="-1"/>
                <w:sz w:val="18"/>
                <w:szCs w:val="18"/>
              </w:rPr>
              <w:t>during</w:t>
            </w:r>
            <w:r>
              <w:rPr>
                <w:rFonts w:ascii="Calibri" w:eastAsia="Calibri" w:hAnsi="Calibri" w:cs="Calibri"/>
                <w:spacing w:val="-4"/>
                <w:sz w:val="18"/>
                <w:szCs w:val="18"/>
              </w:rPr>
              <w:t xml:space="preserve"> </w:t>
            </w:r>
            <w:r>
              <w:rPr>
                <w:rFonts w:ascii="Calibri" w:eastAsia="Calibri" w:hAnsi="Calibri" w:cs="Calibri"/>
                <w:spacing w:val="-1"/>
                <w:sz w:val="18"/>
                <w:szCs w:val="18"/>
              </w:rPr>
              <w:t>customer</w:t>
            </w:r>
            <w:r>
              <w:rPr>
                <w:rFonts w:ascii="Calibri" w:eastAsia="Calibri" w:hAnsi="Calibri" w:cs="Calibri"/>
                <w:spacing w:val="-3"/>
                <w:sz w:val="18"/>
                <w:szCs w:val="18"/>
              </w:rPr>
              <w:t xml:space="preserve"> </w:t>
            </w:r>
            <w:r>
              <w:rPr>
                <w:rFonts w:ascii="Calibri" w:eastAsia="Calibri" w:hAnsi="Calibri" w:cs="Calibri"/>
                <w:spacing w:val="-1"/>
                <w:sz w:val="18"/>
                <w:szCs w:val="18"/>
              </w:rPr>
              <w:t>contact</w:t>
            </w:r>
            <w:r>
              <w:rPr>
                <w:rFonts w:ascii="Calibri" w:eastAsia="Calibri" w:hAnsi="Calibri" w:cs="Calibri"/>
                <w:spacing w:val="-3"/>
                <w:sz w:val="18"/>
                <w:szCs w:val="18"/>
              </w:rPr>
              <w:t xml:space="preserve"> </w:t>
            </w:r>
            <w:r>
              <w:rPr>
                <w:rFonts w:ascii="Calibri" w:eastAsia="Calibri" w:hAnsi="Calibri" w:cs="Calibri"/>
                <w:spacing w:val="-1"/>
                <w:sz w:val="18"/>
                <w:szCs w:val="18"/>
              </w:rPr>
              <w:t>opportunities</w:t>
            </w:r>
            <w:r>
              <w:rPr>
                <w:rFonts w:ascii="Calibri" w:eastAsia="Calibri" w:hAnsi="Calibri" w:cs="Calibri"/>
                <w:spacing w:val="-3"/>
                <w:sz w:val="18"/>
                <w:szCs w:val="18"/>
              </w:rPr>
              <w:t xml:space="preserve"> </w:t>
            </w:r>
            <w:r>
              <w:rPr>
                <w:rFonts w:ascii="Calibri" w:eastAsia="Calibri" w:hAnsi="Calibri" w:cs="Calibri"/>
                <w:sz w:val="18"/>
                <w:szCs w:val="18"/>
              </w:rPr>
              <w:t>such</w:t>
            </w:r>
            <w:r>
              <w:rPr>
                <w:rFonts w:ascii="Calibri" w:eastAsia="Calibri" w:hAnsi="Calibri" w:cs="Calibri"/>
                <w:spacing w:val="-3"/>
                <w:sz w:val="18"/>
                <w:szCs w:val="18"/>
              </w:rPr>
              <w:t xml:space="preserve"> </w:t>
            </w:r>
            <w:r>
              <w:rPr>
                <w:rFonts w:ascii="Calibri" w:eastAsia="Calibri" w:hAnsi="Calibri" w:cs="Calibri"/>
                <w:sz w:val="18"/>
                <w:szCs w:val="18"/>
              </w:rPr>
              <w:t>as</w:t>
            </w:r>
            <w:r>
              <w:rPr>
                <w:rFonts w:ascii="Calibri" w:eastAsia="Calibri" w:hAnsi="Calibri" w:cs="Calibri"/>
                <w:spacing w:val="91"/>
                <w:sz w:val="18"/>
                <w:szCs w:val="18"/>
              </w:rPr>
              <w:t xml:space="preserve"> </w:t>
            </w:r>
            <w:r>
              <w:rPr>
                <w:rFonts w:ascii="Calibri" w:eastAsia="Calibri" w:hAnsi="Calibri" w:cs="Calibri"/>
                <w:spacing w:val="-1"/>
                <w:sz w:val="18"/>
                <w:szCs w:val="18"/>
              </w:rPr>
              <w:t>program</w:t>
            </w:r>
            <w:r>
              <w:rPr>
                <w:rFonts w:ascii="Calibri" w:eastAsia="Calibri" w:hAnsi="Calibri" w:cs="Calibri"/>
                <w:spacing w:val="-3"/>
                <w:sz w:val="18"/>
                <w:szCs w:val="18"/>
              </w:rPr>
              <w:t xml:space="preserve"> </w:t>
            </w:r>
            <w:r>
              <w:rPr>
                <w:rFonts w:ascii="Calibri" w:eastAsia="Calibri" w:hAnsi="Calibri" w:cs="Calibri"/>
                <w:spacing w:val="-1"/>
                <w:sz w:val="18"/>
                <w:szCs w:val="18"/>
              </w:rPr>
              <w:t>feedback,</w:t>
            </w:r>
            <w:r>
              <w:rPr>
                <w:rFonts w:ascii="Calibri" w:eastAsia="Calibri" w:hAnsi="Calibri" w:cs="Calibri"/>
                <w:spacing w:val="-2"/>
                <w:sz w:val="18"/>
                <w:szCs w:val="18"/>
              </w:rPr>
              <w:t xml:space="preserve"> </w:t>
            </w:r>
            <w:r>
              <w:rPr>
                <w:rFonts w:ascii="Calibri" w:eastAsia="Calibri" w:hAnsi="Calibri" w:cs="Calibri"/>
                <w:spacing w:val="-1"/>
                <w:sz w:val="18"/>
                <w:szCs w:val="18"/>
              </w:rPr>
              <w:t>rebate</w:t>
            </w:r>
            <w:r>
              <w:rPr>
                <w:rFonts w:ascii="Calibri" w:eastAsia="Calibri" w:hAnsi="Calibri" w:cs="Calibri"/>
                <w:spacing w:val="-4"/>
                <w:sz w:val="18"/>
                <w:szCs w:val="18"/>
              </w:rPr>
              <w:t xml:space="preserve"> </w:t>
            </w:r>
            <w:r>
              <w:rPr>
                <w:rFonts w:ascii="Calibri" w:eastAsia="Calibri" w:hAnsi="Calibri" w:cs="Calibri"/>
                <w:spacing w:val="-1"/>
                <w:sz w:val="18"/>
                <w:szCs w:val="18"/>
              </w:rPr>
              <w:t>forms,</w:t>
            </w:r>
            <w:r>
              <w:rPr>
                <w:rFonts w:ascii="Calibri" w:eastAsia="Calibri" w:hAnsi="Calibri" w:cs="Calibri"/>
                <w:spacing w:val="1"/>
                <w:sz w:val="18"/>
                <w:szCs w:val="18"/>
              </w:rPr>
              <w:t xml:space="preserve"> </w:t>
            </w:r>
            <w:r>
              <w:rPr>
                <w:rFonts w:ascii="Calibri" w:eastAsia="Calibri" w:hAnsi="Calibri" w:cs="Calibri"/>
                <w:spacing w:val="-1"/>
                <w:sz w:val="18"/>
                <w:szCs w:val="18"/>
              </w:rPr>
              <w:t>and</w:t>
            </w:r>
            <w:r>
              <w:rPr>
                <w:rFonts w:ascii="Calibri" w:eastAsia="Calibri" w:hAnsi="Calibri" w:cs="Calibri"/>
                <w:spacing w:val="-3"/>
                <w:sz w:val="18"/>
                <w:szCs w:val="18"/>
              </w:rPr>
              <w:t xml:space="preserve"> </w:t>
            </w:r>
            <w:r>
              <w:rPr>
                <w:rFonts w:ascii="Calibri" w:eastAsia="Calibri" w:hAnsi="Calibri" w:cs="Calibri"/>
                <w:spacing w:val="-1"/>
                <w:sz w:val="18"/>
                <w:szCs w:val="18"/>
              </w:rPr>
              <w:t>calls</w:t>
            </w:r>
            <w:r>
              <w:rPr>
                <w:rFonts w:ascii="Calibri" w:eastAsia="Calibri" w:hAnsi="Calibri" w:cs="Calibri"/>
                <w:spacing w:val="-4"/>
                <w:sz w:val="18"/>
                <w:szCs w:val="18"/>
              </w:rPr>
              <w:t xml:space="preserve"> </w:t>
            </w:r>
            <w:r>
              <w:rPr>
                <w:rFonts w:ascii="Calibri" w:eastAsia="Calibri" w:hAnsi="Calibri" w:cs="Calibri"/>
                <w:spacing w:val="-1"/>
                <w:sz w:val="18"/>
                <w:szCs w:val="18"/>
              </w:rPr>
              <w:t xml:space="preserve">to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Customer</w:t>
            </w:r>
            <w:r>
              <w:rPr>
                <w:rFonts w:ascii="Calibri" w:eastAsia="Calibri" w:hAnsi="Calibri" w:cs="Calibri"/>
                <w:spacing w:val="-4"/>
                <w:sz w:val="18"/>
                <w:szCs w:val="18"/>
              </w:rPr>
              <w:t xml:space="preserve"> </w:t>
            </w:r>
            <w:r>
              <w:rPr>
                <w:rFonts w:ascii="Calibri" w:eastAsia="Calibri" w:hAnsi="Calibri" w:cs="Calibri"/>
                <w:sz w:val="18"/>
                <w:szCs w:val="18"/>
              </w:rPr>
              <w:t>Contact</w:t>
            </w:r>
            <w:r>
              <w:rPr>
                <w:rFonts w:ascii="Calibri" w:eastAsia="Calibri" w:hAnsi="Calibri" w:cs="Calibri"/>
                <w:spacing w:val="-3"/>
                <w:sz w:val="18"/>
                <w:szCs w:val="18"/>
              </w:rPr>
              <w:t xml:space="preserve"> </w:t>
            </w:r>
            <w:r>
              <w:rPr>
                <w:rFonts w:ascii="Calibri" w:eastAsia="Calibri" w:hAnsi="Calibri" w:cs="Calibri"/>
                <w:spacing w:val="-1"/>
                <w:sz w:val="18"/>
                <w:szCs w:val="18"/>
              </w:rPr>
              <w:t>Center</w:t>
            </w:r>
            <w:r>
              <w:rPr>
                <w:rFonts w:ascii="Calibri" w:eastAsia="Calibri" w:hAnsi="Calibri" w:cs="Calibri"/>
                <w:spacing w:val="-3"/>
                <w:sz w:val="18"/>
                <w:szCs w:val="18"/>
              </w:rPr>
              <w:t xml:space="preserve"> </w:t>
            </w:r>
            <w:r>
              <w:rPr>
                <w:rFonts w:ascii="Calibri" w:eastAsia="Calibri" w:hAnsi="Calibri" w:cs="Calibri"/>
                <w:sz w:val="18"/>
                <w:szCs w:val="18"/>
              </w:rPr>
              <w:t>(CCC),</w:t>
            </w:r>
            <w:r>
              <w:rPr>
                <w:rFonts w:ascii="Calibri" w:eastAsia="Calibri" w:hAnsi="Calibri" w:cs="Calibri"/>
                <w:spacing w:val="-3"/>
                <w:sz w:val="18"/>
                <w:szCs w:val="18"/>
              </w:rPr>
              <w:t xml:space="preserve"> </w:t>
            </w:r>
            <w:r>
              <w:rPr>
                <w:rFonts w:ascii="Calibri" w:eastAsia="Calibri" w:hAnsi="Calibri" w:cs="Calibri"/>
                <w:spacing w:val="-1"/>
                <w:sz w:val="18"/>
                <w:szCs w:val="18"/>
              </w:rPr>
              <w:t>etc.,</w:t>
            </w:r>
            <w:r>
              <w:rPr>
                <w:rFonts w:ascii="Calibri" w:eastAsia="Calibri" w:hAnsi="Calibri" w:cs="Calibri"/>
                <w:spacing w:val="71"/>
                <w:w w:val="99"/>
                <w:sz w:val="18"/>
                <w:szCs w:val="18"/>
              </w:rPr>
              <w:t xml:space="preserve"> </w:t>
            </w:r>
            <w:r>
              <w:rPr>
                <w:rFonts w:ascii="Calibri" w:eastAsia="Calibri" w:hAnsi="Calibri" w:cs="Calibri"/>
                <w:spacing w:val="-1"/>
                <w:sz w:val="18"/>
                <w:szCs w:val="18"/>
              </w:rPr>
              <w:t>to use</w:t>
            </w:r>
            <w:r>
              <w:rPr>
                <w:rFonts w:ascii="Calibri" w:eastAsia="Calibri" w:hAnsi="Calibri" w:cs="Calibri"/>
                <w:spacing w:val="-3"/>
                <w:sz w:val="18"/>
                <w:szCs w:val="18"/>
              </w:rPr>
              <w:t xml:space="preserve"> </w:t>
            </w:r>
            <w:r>
              <w:rPr>
                <w:rFonts w:ascii="Calibri" w:eastAsia="Calibri" w:hAnsi="Calibri" w:cs="Calibri"/>
                <w:spacing w:val="-1"/>
                <w:sz w:val="18"/>
                <w:szCs w:val="18"/>
              </w:rPr>
              <w:t>in</w:t>
            </w:r>
            <w:r>
              <w:rPr>
                <w:rFonts w:ascii="Calibri" w:eastAsia="Calibri" w:hAnsi="Calibri" w:cs="Calibri"/>
                <w:spacing w:val="-3"/>
                <w:sz w:val="18"/>
                <w:szCs w:val="18"/>
              </w:rPr>
              <w:t xml:space="preserve"> </w:t>
            </w:r>
            <w:r>
              <w:rPr>
                <w:rFonts w:ascii="Calibri" w:eastAsia="Calibri" w:hAnsi="Calibri" w:cs="Calibri"/>
                <w:sz w:val="18"/>
                <w:szCs w:val="18"/>
              </w:rPr>
              <w:t>future</w:t>
            </w:r>
            <w:r>
              <w:rPr>
                <w:rFonts w:ascii="Calibri" w:eastAsia="Calibri" w:hAnsi="Calibri" w:cs="Calibri"/>
                <w:spacing w:val="-3"/>
                <w:sz w:val="18"/>
                <w:szCs w:val="18"/>
              </w:rPr>
              <w:t xml:space="preserve"> </w:t>
            </w:r>
            <w:r>
              <w:rPr>
                <w:rFonts w:ascii="Calibri" w:eastAsia="Calibri" w:hAnsi="Calibri" w:cs="Calibri"/>
                <w:spacing w:val="-1"/>
                <w:sz w:val="18"/>
                <w:szCs w:val="18"/>
              </w:rPr>
              <w:t>marketing</w:t>
            </w:r>
            <w:r>
              <w:rPr>
                <w:rFonts w:ascii="Calibri" w:eastAsia="Calibri" w:hAnsi="Calibri" w:cs="Calibri"/>
                <w:spacing w:val="-3"/>
                <w:sz w:val="18"/>
                <w:szCs w:val="18"/>
              </w:rPr>
              <w:t xml:space="preserve"> </w:t>
            </w:r>
            <w:r>
              <w:rPr>
                <w:rFonts w:ascii="Calibri" w:eastAsia="Calibri" w:hAnsi="Calibri" w:cs="Calibri"/>
                <w:spacing w:val="-1"/>
                <w:sz w:val="18"/>
                <w:szCs w:val="18"/>
              </w:rPr>
              <w:t>campaigns.</w:t>
            </w:r>
            <w:r>
              <w:rPr>
                <w:rFonts w:ascii="Calibri" w:eastAsia="Calibri" w:hAnsi="Calibri" w:cs="Calibri"/>
                <w:spacing w:val="37"/>
                <w:sz w:val="18"/>
                <w:szCs w:val="18"/>
              </w:rPr>
              <w:t xml:space="preserve"> </w:t>
            </w:r>
            <w:r>
              <w:rPr>
                <w:rFonts w:ascii="Calibri" w:eastAsia="Calibri" w:hAnsi="Calibri" w:cs="Calibri"/>
                <w:sz w:val="18"/>
                <w:szCs w:val="18"/>
              </w:rPr>
              <w:t>Be</w:t>
            </w:r>
            <w:r>
              <w:rPr>
                <w:rFonts w:ascii="Calibri" w:eastAsia="Calibri" w:hAnsi="Calibri" w:cs="Calibri"/>
                <w:spacing w:val="-1"/>
                <w:sz w:val="18"/>
                <w:szCs w:val="18"/>
              </w:rPr>
              <w:t xml:space="preserve"> sure</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language</w:t>
            </w:r>
            <w:r>
              <w:rPr>
                <w:rFonts w:ascii="Calibri" w:eastAsia="Calibri" w:hAnsi="Calibri" w:cs="Calibri"/>
                <w:spacing w:val="-3"/>
                <w:sz w:val="18"/>
                <w:szCs w:val="18"/>
              </w:rPr>
              <w:t xml:space="preserve"> </w:t>
            </w:r>
            <w:r>
              <w:rPr>
                <w:rFonts w:ascii="Calibri" w:eastAsia="Calibri" w:hAnsi="Calibri" w:cs="Calibri"/>
                <w:spacing w:val="-1"/>
                <w:sz w:val="18"/>
                <w:szCs w:val="18"/>
              </w:rPr>
              <w:t>included</w:t>
            </w:r>
            <w:r>
              <w:rPr>
                <w:rFonts w:ascii="Calibri" w:eastAsia="Calibri" w:hAnsi="Calibri" w:cs="Calibri"/>
                <w:spacing w:val="-3"/>
                <w:sz w:val="18"/>
                <w:szCs w:val="18"/>
              </w:rPr>
              <w:t xml:space="preserve"> </w:t>
            </w:r>
            <w:r>
              <w:rPr>
                <w:rFonts w:ascii="Calibri" w:eastAsia="Calibri" w:hAnsi="Calibri" w:cs="Calibri"/>
                <w:spacing w:val="-1"/>
                <w:sz w:val="18"/>
                <w:szCs w:val="18"/>
              </w:rPr>
              <w:t>permits</w:t>
            </w:r>
            <w:r>
              <w:rPr>
                <w:rFonts w:ascii="Calibri" w:eastAsia="Calibri" w:hAnsi="Calibri" w:cs="Calibri"/>
                <w:spacing w:val="-3"/>
                <w:sz w:val="18"/>
                <w:szCs w:val="18"/>
              </w:rPr>
              <w:t xml:space="preserve"> </w:t>
            </w:r>
            <w:r>
              <w:rPr>
                <w:rFonts w:ascii="Calibri" w:eastAsia="Calibri" w:hAnsi="Calibri" w:cs="Calibri"/>
                <w:spacing w:val="-1"/>
                <w:sz w:val="18"/>
                <w:szCs w:val="18"/>
              </w:rPr>
              <w:t>future</w:t>
            </w:r>
            <w:r>
              <w:rPr>
                <w:rFonts w:ascii="Calibri" w:eastAsia="Calibri" w:hAnsi="Calibri" w:cs="Calibri"/>
                <w:spacing w:val="79"/>
                <w:w w:val="99"/>
                <w:sz w:val="18"/>
                <w:szCs w:val="18"/>
              </w:rPr>
              <w:t xml:space="preserve"> </w:t>
            </w:r>
            <w:r>
              <w:rPr>
                <w:rFonts w:ascii="Calibri" w:eastAsia="Calibri" w:hAnsi="Calibri" w:cs="Calibri"/>
                <w:spacing w:val="-1"/>
                <w:sz w:val="18"/>
                <w:szCs w:val="18"/>
              </w:rPr>
              <w:t>solicitation.</w:t>
            </w:r>
            <w:r>
              <w:rPr>
                <w:rFonts w:ascii="Calibri" w:eastAsia="Calibri" w:hAnsi="Calibri" w:cs="Calibri"/>
                <w:spacing w:val="-3"/>
                <w:sz w:val="18"/>
                <w:szCs w:val="18"/>
              </w:rPr>
              <w:t xml:space="preserve"> </w:t>
            </w:r>
            <w:r>
              <w:rPr>
                <w:rFonts w:ascii="Calibri" w:eastAsia="Calibri" w:hAnsi="Calibri" w:cs="Calibri"/>
                <w:spacing w:val="-1"/>
                <w:sz w:val="18"/>
                <w:szCs w:val="18"/>
              </w:rPr>
              <w:t>Provide</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3"/>
                <w:sz w:val="18"/>
                <w:szCs w:val="18"/>
              </w:rPr>
              <w:t xml:space="preserve"> </w:t>
            </w:r>
            <w:r>
              <w:rPr>
                <w:rFonts w:ascii="Calibri" w:eastAsia="Calibri" w:hAnsi="Calibri" w:cs="Calibri"/>
                <w:spacing w:val="-1"/>
                <w:sz w:val="18"/>
                <w:szCs w:val="18"/>
              </w:rPr>
              <w:t xml:space="preserve">“subscribe to </w:t>
            </w:r>
            <w:r>
              <w:rPr>
                <w:rFonts w:ascii="Calibri" w:eastAsia="Calibri" w:hAnsi="Calibri" w:cs="Calibri"/>
                <w:sz w:val="18"/>
                <w:szCs w:val="18"/>
              </w:rPr>
              <w:t>EE</w:t>
            </w:r>
            <w:r>
              <w:rPr>
                <w:rFonts w:ascii="Calibri" w:eastAsia="Calibri" w:hAnsi="Calibri" w:cs="Calibri"/>
                <w:spacing w:val="-1"/>
                <w:sz w:val="18"/>
                <w:szCs w:val="18"/>
              </w:rPr>
              <w:t xml:space="preserve"> program</w:t>
            </w:r>
            <w:r>
              <w:rPr>
                <w:rFonts w:ascii="Calibri" w:eastAsia="Calibri" w:hAnsi="Calibri" w:cs="Calibri"/>
                <w:spacing w:val="-2"/>
                <w:sz w:val="18"/>
                <w:szCs w:val="18"/>
              </w:rPr>
              <w:t xml:space="preserve"> </w:t>
            </w:r>
            <w:r>
              <w:rPr>
                <w:rFonts w:ascii="Calibri" w:eastAsia="Calibri" w:hAnsi="Calibri" w:cs="Calibri"/>
                <w:spacing w:val="-1"/>
                <w:sz w:val="18"/>
                <w:szCs w:val="18"/>
              </w:rPr>
              <w:t>updates”</w:t>
            </w:r>
            <w:r>
              <w:rPr>
                <w:rFonts w:ascii="Calibri" w:eastAsia="Calibri" w:hAnsi="Calibri" w:cs="Calibri"/>
                <w:spacing w:val="-3"/>
                <w:sz w:val="18"/>
                <w:szCs w:val="18"/>
              </w:rPr>
              <w:t xml:space="preserve"> </w:t>
            </w:r>
            <w:r>
              <w:rPr>
                <w:rFonts w:ascii="Calibri" w:eastAsia="Calibri" w:hAnsi="Calibri" w:cs="Calibri"/>
                <w:sz w:val="18"/>
                <w:szCs w:val="18"/>
              </w:rPr>
              <w:t>on</w:t>
            </w:r>
            <w:r>
              <w:rPr>
                <w:rFonts w:ascii="Calibri" w:eastAsia="Calibri" w:hAnsi="Calibri" w:cs="Calibri"/>
                <w:spacing w:val="-3"/>
                <w:sz w:val="18"/>
                <w:szCs w:val="18"/>
              </w:rPr>
              <w:t xml:space="preserve"> </w:t>
            </w:r>
            <w:r>
              <w:rPr>
                <w:rFonts w:ascii="Calibri" w:eastAsia="Calibri" w:hAnsi="Calibri" w:cs="Calibri"/>
                <w:spacing w:val="-1"/>
                <w:sz w:val="18"/>
                <w:szCs w:val="18"/>
              </w:rPr>
              <w:t>the FirstEnergy</w:t>
            </w:r>
            <w:r>
              <w:rPr>
                <w:rFonts w:ascii="Calibri" w:eastAsia="Calibri" w:hAnsi="Calibri" w:cs="Calibri"/>
                <w:spacing w:val="-2"/>
                <w:sz w:val="18"/>
                <w:szCs w:val="18"/>
              </w:rPr>
              <w:t xml:space="preserve"> </w:t>
            </w:r>
            <w:r>
              <w:rPr>
                <w:rFonts w:ascii="Calibri" w:eastAsia="Calibri" w:hAnsi="Calibri" w:cs="Calibri"/>
                <w:sz w:val="18"/>
                <w:szCs w:val="18"/>
              </w:rPr>
              <w:t>and</w:t>
            </w:r>
            <w:r>
              <w:rPr>
                <w:rFonts w:ascii="Calibri" w:eastAsia="Calibri" w:hAnsi="Calibri" w:cs="Calibri"/>
                <w:spacing w:val="-3"/>
                <w:sz w:val="18"/>
                <w:szCs w:val="18"/>
              </w:rPr>
              <w:t xml:space="preserve"> </w:t>
            </w:r>
            <w:r>
              <w:rPr>
                <w:rFonts w:ascii="Calibri" w:eastAsia="Calibri" w:hAnsi="Calibri" w:cs="Calibri"/>
                <w:spacing w:val="-1"/>
                <w:sz w:val="18"/>
                <w:szCs w:val="18"/>
              </w:rPr>
              <w:t>ICSP</w:t>
            </w:r>
            <w:r>
              <w:rPr>
                <w:rFonts w:ascii="Calibri" w:eastAsia="Calibri" w:hAnsi="Calibri" w:cs="Calibri"/>
                <w:spacing w:val="65"/>
                <w:w w:val="99"/>
                <w:sz w:val="18"/>
                <w:szCs w:val="18"/>
              </w:rPr>
              <w:t xml:space="preserve"> </w:t>
            </w:r>
            <w:r>
              <w:rPr>
                <w:rFonts w:ascii="Calibri" w:eastAsia="Calibri" w:hAnsi="Calibri" w:cs="Calibri"/>
                <w:spacing w:val="-1"/>
                <w:sz w:val="18"/>
                <w:szCs w:val="18"/>
              </w:rPr>
              <w:t>websites.</w:t>
            </w:r>
          </w:p>
        </w:tc>
        <w:tc>
          <w:tcPr>
            <w:tcW w:w="4734" w:type="dxa"/>
            <w:shd w:val="clear" w:color="auto" w:fill="D2EAF1"/>
          </w:tcPr>
          <w:p w:rsidR="00E646C9" w:rsidRDefault="00E646C9" w:rsidP="00C94D5A">
            <w:pPr>
              <w:pStyle w:val="TableParagraph"/>
              <w:ind w:left="102" w:right="414"/>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31"/>
                <w:w w:val="99"/>
                <w:sz w:val="18"/>
              </w:rPr>
              <w:t xml:space="preserve"> </w:t>
            </w:r>
            <w:r>
              <w:rPr>
                <w:rFonts w:ascii="Calibri"/>
                <w:spacing w:val="-1"/>
                <w:sz w:val="18"/>
              </w:rPr>
              <w:t>based</w:t>
            </w:r>
            <w:r>
              <w:rPr>
                <w:rFonts w:ascii="Calibri"/>
                <w:spacing w:val="-3"/>
                <w:sz w:val="18"/>
              </w:rPr>
              <w:t xml:space="preserve"> </w:t>
            </w:r>
            <w:r>
              <w:rPr>
                <w:rFonts w:ascii="Calibri"/>
                <w:sz w:val="18"/>
              </w:rPr>
              <w:t>on</w:t>
            </w:r>
            <w:r>
              <w:rPr>
                <w:rFonts w:ascii="Calibri"/>
                <w:spacing w:val="-3"/>
                <w:sz w:val="18"/>
              </w:rPr>
              <w:t xml:space="preserve"> </w:t>
            </w:r>
            <w:r>
              <w:rPr>
                <w:rFonts w:ascii="Calibri"/>
                <w:spacing w:val="-1"/>
                <w:sz w:val="18"/>
              </w:rPr>
              <w:t>capabilities</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ICSP</w:t>
            </w:r>
          </w:p>
        </w:tc>
      </w:tr>
      <w:tr w:rsidR="00E646C9" w:rsidTr="0011636D">
        <w:trPr>
          <w:trHeight w:hRule="exact" w:val="670"/>
        </w:trPr>
        <w:tc>
          <w:tcPr>
            <w:tcW w:w="4626" w:type="dxa"/>
          </w:tcPr>
          <w:p w:rsidR="00E646C9" w:rsidRDefault="00E646C9" w:rsidP="00C94D5A">
            <w:pPr>
              <w:pStyle w:val="TableParagraph"/>
              <w:ind w:left="102" w:right="377"/>
              <w:rPr>
                <w:rFonts w:ascii="Calibri" w:eastAsia="Calibri" w:hAnsi="Calibri" w:cs="Calibri"/>
                <w:sz w:val="18"/>
                <w:szCs w:val="18"/>
              </w:rPr>
            </w:pPr>
            <w:r>
              <w:rPr>
                <w:rFonts w:ascii="Calibri"/>
                <w:spacing w:val="-1"/>
                <w:sz w:val="18"/>
              </w:rPr>
              <w:t>Consider</w:t>
            </w:r>
            <w:r>
              <w:rPr>
                <w:rFonts w:ascii="Calibri"/>
                <w:spacing w:val="-5"/>
                <w:sz w:val="18"/>
              </w:rPr>
              <w:t xml:space="preserve"> </w:t>
            </w:r>
            <w:r>
              <w:rPr>
                <w:rFonts w:ascii="Calibri"/>
                <w:spacing w:val="-1"/>
                <w:sz w:val="18"/>
              </w:rPr>
              <w:t>revising</w:t>
            </w:r>
            <w:r>
              <w:rPr>
                <w:rFonts w:ascii="Calibri"/>
                <w:spacing w:val="-4"/>
                <w:sz w:val="18"/>
              </w:rPr>
              <w:t xml:space="preserve"> </w:t>
            </w:r>
            <w:r>
              <w:rPr>
                <w:rFonts w:ascii="Calibri"/>
                <w:sz w:val="18"/>
              </w:rPr>
              <w:t>the</w:t>
            </w:r>
            <w:r>
              <w:rPr>
                <w:rFonts w:ascii="Calibri"/>
                <w:spacing w:val="-5"/>
                <w:sz w:val="18"/>
              </w:rPr>
              <w:t xml:space="preserve"> </w:t>
            </w:r>
            <w:r>
              <w:rPr>
                <w:rFonts w:ascii="Calibri"/>
                <w:spacing w:val="-1"/>
                <w:sz w:val="18"/>
              </w:rPr>
              <w:t>rebate</w:t>
            </w:r>
            <w:r>
              <w:rPr>
                <w:rFonts w:ascii="Calibri"/>
                <w:spacing w:val="-4"/>
                <w:sz w:val="18"/>
              </w:rPr>
              <w:t xml:space="preserve"> </w:t>
            </w:r>
            <w:r>
              <w:rPr>
                <w:rFonts w:ascii="Calibri"/>
                <w:spacing w:val="-1"/>
                <w:sz w:val="18"/>
              </w:rPr>
              <w:t>structure</w:t>
            </w:r>
            <w:r>
              <w:rPr>
                <w:rFonts w:ascii="Calibri"/>
                <w:spacing w:val="-4"/>
                <w:sz w:val="18"/>
              </w:rPr>
              <w:t xml:space="preserve"> </w:t>
            </w:r>
            <w:r>
              <w:rPr>
                <w:rFonts w:ascii="Calibri"/>
                <w:sz w:val="18"/>
              </w:rPr>
              <w:t>for</w:t>
            </w:r>
            <w:r>
              <w:rPr>
                <w:rFonts w:ascii="Calibri"/>
                <w:spacing w:val="-5"/>
                <w:sz w:val="18"/>
              </w:rPr>
              <w:t xml:space="preserve"> </w:t>
            </w:r>
            <w:r>
              <w:rPr>
                <w:rFonts w:ascii="Calibri"/>
                <w:spacing w:val="-1"/>
                <w:sz w:val="18"/>
              </w:rPr>
              <w:t>the</w:t>
            </w:r>
            <w:r>
              <w:rPr>
                <w:rFonts w:ascii="Calibri"/>
                <w:spacing w:val="-4"/>
                <w:sz w:val="18"/>
              </w:rPr>
              <w:t xml:space="preserve"> </w:t>
            </w:r>
            <w:r>
              <w:rPr>
                <w:rFonts w:ascii="Calibri"/>
                <w:spacing w:val="-1"/>
                <w:sz w:val="18"/>
              </w:rPr>
              <w:t>audit-recommended</w:t>
            </w:r>
            <w:r>
              <w:rPr>
                <w:rFonts w:ascii="Calibri"/>
                <w:spacing w:val="-4"/>
                <w:sz w:val="18"/>
              </w:rPr>
              <w:t xml:space="preserve"> </w:t>
            </w:r>
            <w:r>
              <w:rPr>
                <w:rFonts w:ascii="Calibri"/>
                <w:spacing w:val="-1"/>
                <w:sz w:val="18"/>
              </w:rPr>
              <w:t>improvements</w:t>
            </w:r>
            <w:r>
              <w:rPr>
                <w:rFonts w:ascii="Calibri"/>
                <w:spacing w:val="-5"/>
                <w:sz w:val="18"/>
              </w:rPr>
              <w:t xml:space="preserve"> </w:t>
            </w:r>
            <w:r>
              <w:rPr>
                <w:rFonts w:ascii="Calibri"/>
                <w:spacing w:val="-1"/>
                <w:sz w:val="18"/>
              </w:rPr>
              <w:t>to</w:t>
            </w:r>
            <w:r>
              <w:rPr>
                <w:rFonts w:ascii="Calibri"/>
                <w:spacing w:val="97"/>
                <w:sz w:val="18"/>
              </w:rPr>
              <w:t xml:space="preserve"> </w:t>
            </w:r>
            <w:r>
              <w:rPr>
                <w:rFonts w:ascii="Calibri"/>
                <w:spacing w:val="-1"/>
                <w:sz w:val="18"/>
              </w:rPr>
              <w:t>adjust</w:t>
            </w:r>
            <w:r>
              <w:rPr>
                <w:rFonts w:ascii="Calibri"/>
                <w:spacing w:val="-4"/>
                <w:sz w:val="18"/>
              </w:rPr>
              <w:t xml:space="preserve"> </w:t>
            </w:r>
            <w:r>
              <w:rPr>
                <w:rFonts w:ascii="Calibri"/>
                <w:sz w:val="18"/>
              </w:rPr>
              <w:t>the</w:t>
            </w:r>
            <w:r>
              <w:rPr>
                <w:rFonts w:ascii="Calibri"/>
                <w:spacing w:val="-4"/>
                <w:sz w:val="18"/>
              </w:rPr>
              <w:t xml:space="preserve"> </w:t>
            </w:r>
            <w:r>
              <w:rPr>
                <w:rFonts w:ascii="Calibri"/>
                <w:sz w:val="18"/>
              </w:rPr>
              <w:t>focus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4"/>
                <w:sz w:val="18"/>
              </w:rPr>
              <w:t xml:space="preserve"> </w:t>
            </w:r>
            <w:r>
              <w:rPr>
                <w:rFonts w:ascii="Calibri"/>
                <w:spacing w:val="-1"/>
                <w:sz w:val="18"/>
              </w:rPr>
              <w:t>program</w:t>
            </w:r>
            <w:r>
              <w:rPr>
                <w:rFonts w:ascii="Calibri"/>
                <w:spacing w:val="-2"/>
                <w:sz w:val="18"/>
              </w:rPr>
              <w:t xml:space="preserve"> </w:t>
            </w:r>
            <w:r>
              <w:rPr>
                <w:rFonts w:ascii="Calibri"/>
                <w:sz w:val="18"/>
              </w:rPr>
              <w:t>more</w:t>
            </w:r>
            <w:r>
              <w:rPr>
                <w:rFonts w:ascii="Calibri"/>
                <w:spacing w:val="-4"/>
                <w:sz w:val="18"/>
              </w:rPr>
              <w:t xml:space="preserve"> </w:t>
            </w:r>
            <w:r>
              <w:rPr>
                <w:rFonts w:ascii="Calibri"/>
                <w:spacing w:val="-1"/>
                <w:sz w:val="18"/>
              </w:rPr>
              <w:t>towards</w:t>
            </w:r>
            <w:r>
              <w:rPr>
                <w:rFonts w:ascii="Calibri"/>
                <w:spacing w:val="-4"/>
                <w:sz w:val="18"/>
              </w:rPr>
              <w:t xml:space="preserve"> </w:t>
            </w:r>
            <w:r>
              <w:rPr>
                <w:rFonts w:ascii="Calibri"/>
                <w:spacing w:val="-1"/>
                <w:sz w:val="18"/>
              </w:rPr>
              <w:t>encouraging</w:t>
            </w:r>
            <w:r>
              <w:rPr>
                <w:rFonts w:ascii="Calibri"/>
                <w:spacing w:val="-3"/>
                <w:sz w:val="18"/>
              </w:rPr>
              <w:t xml:space="preserve"> </w:t>
            </w:r>
            <w:r>
              <w:rPr>
                <w:rFonts w:ascii="Calibri"/>
                <w:spacing w:val="-1"/>
                <w:sz w:val="18"/>
              </w:rPr>
              <w:t>implementation</w:t>
            </w:r>
            <w:r>
              <w:rPr>
                <w:rFonts w:ascii="Calibri"/>
                <w:spacing w:val="-4"/>
                <w:sz w:val="18"/>
              </w:rPr>
              <w:t xml:space="preserve"> </w:t>
            </w:r>
            <w:r>
              <w:rPr>
                <w:rFonts w:ascii="Calibri"/>
                <w:sz w:val="18"/>
              </w:rPr>
              <w:t>of</w:t>
            </w:r>
            <w:r>
              <w:rPr>
                <w:rFonts w:ascii="Calibri"/>
                <w:spacing w:val="67"/>
                <w:sz w:val="18"/>
              </w:rPr>
              <w:t xml:space="preserve"> </w:t>
            </w:r>
            <w:r>
              <w:rPr>
                <w:rFonts w:ascii="Calibri"/>
                <w:spacing w:val="-1"/>
                <w:sz w:val="18"/>
              </w:rPr>
              <w:t>efficiency</w:t>
            </w:r>
            <w:r>
              <w:rPr>
                <w:rFonts w:ascii="Calibri"/>
                <w:spacing w:val="-7"/>
                <w:sz w:val="18"/>
              </w:rPr>
              <w:t xml:space="preserve"> </w:t>
            </w:r>
            <w:r>
              <w:rPr>
                <w:rFonts w:ascii="Calibri"/>
                <w:spacing w:val="-1"/>
                <w:sz w:val="18"/>
              </w:rPr>
              <w:t>upgrades.</w:t>
            </w:r>
          </w:p>
        </w:tc>
        <w:tc>
          <w:tcPr>
            <w:tcW w:w="4734"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67"/>
        </w:trPr>
        <w:tc>
          <w:tcPr>
            <w:tcW w:w="4626" w:type="dxa"/>
            <w:shd w:val="clear" w:color="auto" w:fill="D2EAF1"/>
          </w:tcPr>
          <w:p w:rsidR="00E646C9" w:rsidRDefault="00E646C9" w:rsidP="00C94D5A">
            <w:pPr>
              <w:pStyle w:val="TableParagraph"/>
              <w:ind w:left="102" w:right="140"/>
              <w:rPr>
                <w:rFonts w:ascii="Calibri" w:eastAsia="Calibri" w:hAnsi="Calibri" w:cs="Calibri"/>
                <w:sz w:val="18"/>
                <w:szCs w:val="18"/>
              </w:rPr>
            </w:pPr>
            <w:r>
              <w:rPr>
                <w:rFonts w:ascii="Calibri"/>
                <w:spacing w:val="-1"/>
                <w:sz w:val="18"/>
              </w:rPr>
              <w:t>Consider</w:t>
            </w:r>
            <w:r>
              <w:rPr>
                <w:rFonts w:ascii="Calibri"/>
                <w:spacing w:val="-4"/>
                <w:sz w:val="18"/>
              </w:rPr>
              <w:t xml:space="preserve"> </w:t>
            </w:r>
            <w:r>
              <w:rPr>
                <w:rFonts w:ascii="Calibri"/>
                <w:sz w:val="18"/>
              </w:rPr>
              <w:t>other</w:t>
            </w:r>
            <w:r>
              <w:rPr>
                <w:rFonts w:ascii="Calibri"/>
                <w:spacing w:val="-3"/>
                <w:sz w:val="18"/>
              </w:rPr>
              <w:t xml:space="preserve"> </w:t>
            </w:r>
            <w:r>
              <w:rPr>
                <w:rFonts w:ascii="Calibri"/>
                <w:spacing w:val="-1"/>
                <w:sz w:val="18"/>
              </w:rPr>
              <w:t>energy savings</w:t>
            </w:r>
            <w:r>
              <w:rPr>
                <w:rFonts w:ascii="Calibri"/>
                <w:spacing w:val="-4"/>
                <w:sz w:val="18"/>
              </w:rPr>
              <w:t xml:space="preserve"> </w:t>
            </w:r>
            <w:r>
              <w:rPr>
                <w:rFonts w:ascii="Calibri"/>
                <w:spacing w:val="-1"/>
                <w:sz w:val="18"/>
              </w:rPr>
              <w:t xml:space="preserve">modeling </w:t>
            </w:r>
            <w:r>
              <w:rPr>
                <w:rFonts w:ascii="Calibri"/>
                <w:sz w:val="18"/>
              </w:rPr>
              <w:t>tools</w:t>
            </w:r>
            <w:r>
              <w:rPr>
                <w:rFonts w:ascii="Calibri"/>
                <w:spacing w:val="-4"/>
                <w:sz w:val="18"/>
              </w:rPr>
              <w:t xml:space="preserve"> </w:t>
            </w:r>
            <w:r>
              <w:rPr>
                <w:rFonts w:ascii="Calibri"/>
                <w:spacing w:val="-1"/>
                <w:sz w:val="18"/>
              </w:rPr>
              <w:t>that</w:t>
            </w:r>
            <w:r>
              <w:rPr>
                <w:rFonts w:ascii="Calibri"/>
                <w:spacing w:val="-3"/>
                <w:sz w:val="18"/>
              </w:rPr>
              <w:t xml:space="preserve"> </w:t>
            </w:r>
            <w:r>
              <w:rPr>
                <w:rFonts w:ascii="Calibri"/>
                <w:sz w:val="18"/>
              </w:rPr>
              <w:t>may</w:t>
            </w:r>
            <w:r>
              <w:rPr>
                <w:rFonts w:ascii="Calibri"/>
                <w:spacing w:val="-3"/>
                <w:sz w:val="18"/>
              </w:rPr>
              <w:t xml:space="preserve"> </w:t>
            </w:r>
            <w:r>
              <w:rPr>
                <w:rFonts w:ascii="Calibri"/>
                <w:spacing w:val="-1"/>
                <w:sz w:val="18"/>
              </w:rPr>
              <w:t>have</w:t>
            </w:r>
            <w:r>
              <w:rPr>
                <w:rFonts w:ascii="Calibri"/>
                <w:spacing w:val="-3"/>
                <w:sz w:val="18"/>
              </w:rPr>
              <w:t xml:space="preserve"> </w:t>
            </w:r>
            <w:r>
              <w:rPr>
                <w:rFonts w:ascii="Calibri"/>
                <w:spacing w:val="-1"/>
                <w:sz w:val="18"/>
              </w:rPr>
              <w:t>advantages</w:t>
            </w:r>
            <w:r>
              <w:rPr>
                <w:rFonts w:ascii="Calibri"/>
                <w:spacing w:val="-3"/>
                <w:sz w:val="18"/>
              </w:rPr>
              <w:t xml:space="preserve"> </w:t>
            </w:r>
            <w:r>
              <w:rPr>
                <w:rFonts w:ascii="Calibri"/>
                <w:sz w:val="18"/>
              </w:rPr>
              <w:t>over</w:t>
            </w:r>
            <w:r>
              <w:rPr>
                <w:rFonts w:ascii="Calibri"/>
                <w:spacing w:val="-1"/>
                <w:sz w:val="18"/>
              </w:rPr>
              <w:t xml:space="preserve"> Surveyor.</w:t>
            </w:r>
            <w:r>
              <w:rPr>
                <w:rFonts w:ascii="Calibri"/>
                <w:spacing w:val="69"/>
                <w:sz w:val="18"/>
              </w:rPr>
              <w:t xml:space="preserve"> </w:t>
            </w:r>
            <w:r>
              <w:rPr>
                <w:rFonts w:ascii="Calibri"/>
                <w:spacing w:val="-1"/>
                <w:sz w:val="18"/>
              </w:rPr>
              <w:t>Holding</w:t>
            </w:r>
            <w:r>
              <w:rPr>
                <w:rFonts w:ascii="Calibri"/>
                <w:spacing w:val="-3"/>
                <w:sz w:val="18"/>
              </w:rPr>
              <w:t xml:space="preserve"> </w:t>
            </w:r>
            <w:r>
              <w:rPr>
                <w:rFonts w:ascii="Calibri"/>
                <w:sz w:val="18"/>
              </w:rPr>
              <w:t>an</w:t>
            </w:r>
            <w:r>
              <w:rPr>
                <w:rFonts w:ascii="Calibri"/>
                <w:spacing w:val="-3"/>
                <w:sz w:val="18"/>
              </w:rPr>
              <w:t xml:space="preserve"> </w:t>
            </w:r>
            <w:r>
              <w:rPr>
                <w:rFonts w:ascii="Calibri"/>
                <w:spacing w:val="-1"/>
                <w:sz w:val="18"/>
              </w:rPr>
              <w:t>informational</w:t>
            </w:r>
            <w:r>
              <w:rPr>
                <w:rFonts w:ascii="Calibri"/>
                <w:spacing w:val="-2"/>
                <w:sz w:val="18"/>
              </w:rPr>
              <w:t xml:space="preserve"> </w:t>
            </w:r>
            <w:r>
              <w:rPr>
                <w:rFonts w:ascii="Calibri"/>
                <w:spacing w:val="-1"/>
                <w:sz w:val="18"/>
              </w:rPr>
              <w:t>seminar</w:t>
            </w:r>
            <w:r>
              <w:rPr>
                <w:rFonts w:ascii="Calibri"/>
                <w:sz w:val="18"/>
              </w:rPr>
              <w:t xml:space="preserve"> on</w:t>
            </w:r>
            <w:r>
              <w:rPr>
                <w:rFonts w:ascii="Calibri"/>
                <w:spacing w:val="-2"/>
                <w:sz w:val="18"/>
              </w:rPr>
              <w:t xml:space="preserve"> </w:t>
            </w:r>
            <w:r>
              <w:rPr>
                <w:rFonts w:ascii="Calibri"/>
                <w:sz w:val="18"/>
              </w:rPr>
              <w:t>how</w:t>
            </w:r>
            <w:r>
              <w:rPr>
                <w:rFonts w:ascii="Calibri"/>
                <w:spacing w:val="-1"/>
                <w:sz w:val="18"/>
              </w:rPr>
              <w:t xml:space="preserve"> the</w:t>
            </w:r>
            <w:r>
              <w:rPr>
                <w:rFonts w:ascii="Calibri"/>
                <w:spacing w:val="-3"/>
                <w:sz w:val="18"/>
              </w:rPr>
              <w:t xml:space="preserve"> </w:t>
            </w:r>
            <w:r>
              <w:rPr>
                <w:rFonts w:ascii="Calibri"/>
                <w:spacing w:val="-1"/>
                <w:sz w:val="18"/>
              </w:rPr>
              <w:t>savings</w:t>
            </w:r>
            <w:r>
              <w:rPr>
                <w:rFonts w:ascii="Calibri"/>
                <w:spacing w:val="-2"/>
                <w:sz w:val="18"/>
              </w:rPr>
              <w:t xml:space="preserve"> </w:t>
            </w:r>
            <w:r>
              <w:rPr>
                <w:rFonts w:ascii="Calibri"/>
                <w:spacing w:val="-1"/>
                <w:sz w:val="18"/>
              </w:rPr>
              <w:t>values</w:t>
            </w:r>
            <w:r>
              <w:rPr>
                <w:rFonts w:ascii="Calibri"/>
                <w:spacing w:val="-3"/>
                <w:sz w:val="18"/>
              </w:rPr>
              <w:t xml:space="preserve"> </w:t>
            </w:r>
            <w:r>
              <w:rPr>
                <w:rFonts w:ascii="Calibri"/>
                <w:spacing w:val="-1"/>
                <w:sz w:val="18"/>
              </w:rPr>
              <w:t>are</w:t>
            </w:r>
            <w:r>
              <w:rPr>
                <w:rFonts w:ascii="Calibri"/>
                <w:spacing w:val="-2"/>
                <w:sz w:val="18"/>
              </w:rPr>
              <w:t xml:space="preserve"> </w:t>
            </w:r>
            <w:r>
              <w:rPr>
                <w:rFonts w:ascii="Calibri"/>
                <w:spacing w:val="-1"/>
                <w:sz w:val="18"/>
              </w:rPr>
              <w:t>determined</w:t>
            </w:r>
            <w:r>
              <w:rPr>
                <w:rFonts w:ascii="Calibri"/>
                <w:spacing w:val="-3"/>
                <w:sz w:val="18"/>
              </w:rPr>
              <w:t xml:space="preserve"> </w:t>
            </w:r>
            <w:r>
              <w:rPr>
                <w:rFonts w:ascii="Calibri"/>
                <w:sz w:val="18"/>
              </w:rPr>
              <w:t>may</w:t>
            </w:r>
            <w:r>
              <w:rPr>
                <w:rFonts w:ascii="Calibri"/>
                <w:spacing w:val="-1"/>
                <w:sz w:val="18"/>
              </w:rPr>
              <w:t xml:space="preserve"> also</w:t>
            </w:r>
            <w:r>
              <w:rPr>
                <w:rFonts w:ascii="Calibri"/>
                <w:spacing w:val="89"/>
                <w:sz w:val="18"/>
              </w:rPr>
              <w:t xml:space="preserve"> </w:t>
            </w:r>
            <w:r>
              <w:rPr>
                <w:rFonts w:ascii="Calibri"/>
                <w:spacing w:val="-1"/>
                <w:sz w:val="18"/>
              </w:rPr>
              <w:t>be</w:t>
            </w:r>
            <w:r>
              <w:rPr>
                <w:rFonts w:ascii="Calibri"/>
                <w:spacing w:val="-4"/>
                <w:sz w:val="18"/>
              </w:rPr>
              <w:t xml:space="preserve"> </w:t>
            </w:r>
            <w:r>
              <w:rPr>
                <w:rFonts w:ascii="Calibri"/>
                <w:spacing w:val="-1"/>
                <w:sz w:val="18"/>
              </w:rPr>
              <w:t>beneficial</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auditors.</w:t>
            </w:r>
          </w:p>
        </w:tc>
        <w:tc>
          <w:tcPr>
            <w:tcW w:w="4734"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890"/>
        </w:trPr>
        <w:tc>
          <w:tcPr>
            <w:tcW w:w="4626" w:type="dxa"/>
          </w:tcPr>
          <w:p w:rsidR="00E646C9" w:rsidRDefault="00E646C9" w:rsidP="00C94D5A">
            <w:pPr>
              <w:pStyle w:val="TableParagraph"/>
              <w:ind w:left="102" w:right="237"/>
              <w:rPr>
                <w:rFonts w:ascii="Calibri" w:eastAsia="Calibri" w:hAnsi="Calibri" w:cs="Calibri"/>
                <w:sz w:val="18"/>
                <w:szCs w:val="18"/>
              </w:rPr>
            </w:pPr>
            <w:r>
              <w:rPr>
                <w:rFonts w:ascii="Calibri"/>
                <w:spacing w:val="-1"/>
                <w:sz w:val="18"/>
              </w:rPr>
              <w:t>Continue</w:t>
            </w:r>
            <w:r>
              <w:rPr>
                <w:rFonts w:ascii="Calibri"/>
                <w:spacing w:val="-2"/>
                <w:sz w:val="18"/>
              </w:rPr>
              <w:t xml:space="preserve"> </w:t>
            </w:r>
            <w:r>
              <w:rPr>
                <w:rFonts w:ascii="Calibri"/>
                <w:spacing w:val="-1"/>
                <w:sz w:val="18"/>
              </w:rPr>
              <w:t>to market</w:t>
            </w:r>
            <w:r>
              <w:rPr>
                <w:rFonts w:ascii="Calibri"/>
                <w:spacing w:val="-3"/>
                <w:sz w:val="18"/>
              </w:rPr>
              <w:t xml:space="preserve"> </w:t>
            </w:r>
            <w:r>
              <w:rPr>
                <w:rFonts w:ascii="Calibri"/>
                <w:spacing w:val="-1"/>
                <w:sz w:val="18"/>
              </w:rPr>
              <w:t>the program</w:t>
            </w:r>
            <w:r>
              <w:rPr>
                <w:rFonts w:ascii="Calibri"/>
                <w:sz w:val="18"/>
              </w:rPr>
              <w:t xml:space="preserve"> </w:t>
            </w:r>
            <w:r>
              <w:rPr>
                <w:rFonts w:ascii="Calibri"/>
                <w:spacing w:val="-1"/>
                <w:sz w:val="18"/>
              </w:rPr>
              <w:t>through</w:t>
            </w:r>
            <w:r>
              <w:rPr>
                <w:rFonts w:ascii="Calibri"/>
                <w:spacing w:val="-2"/>
                <w:sz w:val="18"/>
              </w:rPr>
              <w:t xml:space="preserve"> </w:t>
            </w:r>
            <w:r>
              <w:rPr>
                <w:rFonts w:ascii="Calibri"/>
                <w:spacing w:val="-1"/>
                <w:sz w:val="18"/>
              </w:rPr>
              <w:t>bill</w:t>
            </w:r>
            <w:r>
              <w:rPr>
                <w:rFonts w:ascii="Calibri"/>
                <w:sz w:val="18"/>
              </w:rPr>
              <w:t xml:space="preserve"> </w:t>
            </w:r>
            <w:r>
              <w:rPr>
                <w:rFonts w:ascii="Calibri"/>
                <w:spacing w:val="-1"/>
                <w:sz w:val="18"/>
              </w:rPr>
              <w:t>inserts</w:t>
            </w:r>
            <w:r>
              <w:rPr>
                <w:rFonts w:ascii="Calibri"/>
                <w:spacing w:val="-3"/>
                <w:sz w:val="18"/>
              </w:rPr>
              <w:t xml:space="preserve"> </w:t>
            </w:r>
            <w:r>
              <w:rPr>
                <w:rFonts w:ascii="Calibri"/>
                <w:sz w:val="18"/>
              </w:rPr>
              <w:t>and</w:t>
            </w:r>
            <w:r>
              <w:rPr>
                <w:rFonts w:ascii="Calibri"/>
                <w:spacing w:val="-3"/>
                <w:sz w:val="18"/>
              </w:rPr>
              <w:t xml:space="preserve"> </w:t>
            </w:r>
            <w:r>
              <w:rPr>
                <w:rFonts w:ascii="Calibri"/>
                <w:spacing w:val="-1"/>
                <w:sz w:val="18"/>
              </w:rPr>
              <w:t>steer</w:t>
            </w:r>
            <w:r>
              <w:rPr>
                <w:rFonts w:ascii="Calibri"/>
                <w:spacing w:val="-3"/>
                <w:sz w:val="18"/>
              </w:rPr>
              <w:t xml:space="preserve"> </w:t>
            </w:r>
            <w:r>
              <w:rPr>
                <w:rFonts w:ascii="Calibri"/>
                <w:sz w:val="18"/>
              </w:rPr>
              <w:t>customers</w:t>
            </w:r>
            <w:r>
              <w:rPr>
                <w:rFonts w:ascii="Calibri"/>
                <w:spacing w:val="-3"/>
                <w:sz w:val="18"/>
              </w:rPr>
              <w:t xml:space="preserve"> </w:t>
            </w:r>
            <w:r>
              <w:rPr>
                <w:rFonts w:ascii="Calibri"/>
                <w:spacing w:val="-1"/>
                <w:sz w:val="18"/>
              </w:rPr>
              <w:t>to the</w:t>
            </w:r>
            <w:r>
              <w:rPr>
                <w:rFonts w:ascii="Calibri"/>
                <w:spacing w:val="55"/>
                <w:w w:val="99"/>
                <w:sz w:val="18"/>
              </w:rPr>
              <w:t xml:space="preserve"> </w:t>
            </w:r>
            <w:r>
              <w:rPr>
                <w:rFonts w:ascii="Calibri"/>
                <w:spacing w:val="-1"/>
                <w:sz w:val="18"/>
              </w:rPr>
              <w:t>program</w:t>
            </w:r>
            <w:r>
              <w:rPr>
                <w:rFonts w:ascii="Calibri"/>
                <w:spacing w:val="-4"/>
                <w:sz w:val="18"/>
              </w:rPr>
              <w:t xml:space="preserve"> </w:t>
            </w:r>
            <w:r>
              <w:rPr>
                <w:rFonts w:ascii="Calibri"/>
                <w:spacing w:val="-1"/>
                <w:sz w:val="18"/>
              </w:rPr>
              <w:t>via</w:t>
            </w:r>
            <w:r>
              <w:rPr>
                <w:rFonts w:ascii="Calibri"/>
                <w:spacing w:val="-3"/>
                <w:sz w:val="18"/>
              </w:rPr>
              <w:t xml:space="preserve"> </w:t>
            </w:r>
            <w:r>
              <w:rPr>
                <w:rFonts w:ascii="Calibri"/>
                <w:spacing w:val="-1"/>
                <w:sz w:val="18"/>
              </w:rPr>
              <w:t>the</w:t>
            </w:r>
            <w:r>
              <w:rPr>
                <w:rFonts w:ascii="Calibri"/>
                <w:spacing w:val="-4"/>
                <w:sz w:val="18"/>
              </w:rPr>
              <w:t xml:space="preserve"> </w:t>
            </w:r>
            <w:r>
              <w:rPr>
                <w:rFonts w:ascii="Calibri"/>
                <w:sz w:val="18"/>
              </w:rPr>
              <w:t>Behavior</w:t>
            </w:r>
            <w:r>
              <w:rPr>
                <w:rFonts w:ascii="Calibri"/>
                <w:spacing w:val="-3"/>
                <w:sz w:val="18"/>
              </w:rPr>
              <w:t xml:space="preserve"> </w:t>
            </w:r>
            <w:r>
              <w:rPr>
                <w:rFonts w:ascii="Calibri"/>
                <w:spacing w:val="-1"/>
                <w:sz w:val="18"/>
              </w:rPr>
              <w:t>subprogram</w:t>
            </w:r>
            <w:r>
              <w:rPr>
                <w:rFonts w:ascii="Calibri"/>
                <w:spacing w:val="-4"/>
                <w:sz w:val="18"/>
              </w:rPr>
              <w:t xml:space="preserve"> </w:t>
            </w:r>
            <w:r>
              <w:rPr>
                <w:rFonts w:ascii="Calibri"/>
                <w:sz w:val="18"/>
              </w:rPr>
              <w:t>Home</w:t>
            </w:r>
            <w:r>
              <w:rPr>
                <w:rFonts w:ascii="Calibri"/>
                <w:spacing w:val="-3"/>
                <w:sz w:val="18"/>
              </w:rPr>
              <w:t xml:space="preserve"> </w:t>
            </w:r>
            <w:r>
              <w:rPr>
                <w:rFonts w:ascii="Calibri"/>
                <w:spacing w:val="-1"/>
                <w:sz w:val="18"/>
              </w:rPr>
              <w:t>Energy</w:t>
            </w:r>
            <w:r>
              <w:rPr>
                <w:rFonts w:ascii="Calibri"/>
                <w:spacing w:val="-4"/>
                <w:sz w:val="18"/>
              </w:rPr>
              <w:t xml:space="preserve"> </w:t>
            </w:r>
            <w:r>
              <w:rPr>
                <w:rFonts w:ascii="Calibri"/>
                <w:spacing w:val="-1"/>
                <w:sz w:val="18"/>
              </w:rPr>
              <w:t>Reports.</w:t>
            </w:r>
            <w:r>
              <w:rPr>
                <w:rFonts w:ascii="Calibri"/>
                <w:spacing w:val="-3"/>
                <w:sz w:val="18"/>
              </w:rPr>
              <w:t xml:space="preserve"> </w:t>
            </w:r>
            <w:r>
              <w:rPr>
                <w:rFonts w:ascii="Calibri"/>
                <w:spacing w:val="-1"/>
                <w:sz w:val="18"/>
              </w:rPr>
              <w:t>Communicating</w:t>
            </w:r>
            <w:r>
              <w:rPr>
                <w:rFonts w:ascii="Calibri"/>
                <w:spacing w:val="-4"/>
                <w:sz w:val="18"/>
              </w:rPr>
              <w:t xml:space="preserve"> </w:t>
            </w:r>
            <w:r>
              <w:rPr>
                <w:rFonts w:ascii="Calibri"/>
                <w:sz w:val="18"/>
              </w:rPr>
              <w:t>how</w:t>
            </w:r>
            <w:r>
              <w:rPr>
                <w:rFonts w:ascii="Calibri"/>
                <w:spacing w:val="-2"/>
                <w:sz w:val="18"/>
              </w:rPr>
              <w:t xml:space="preserve"> the</w:t>
            </w:r>
            <w:r>
              <w:rPr>
                <w:rFonts w:ascii="Calibri"/>
                <w:spacing w:val="63"/>
                <w:w w:val="99"/>
                <w:sz w:val="18"/>
              </w:rPr>
              <w:t xml:space="preserve"> </w:t>
            </w:r>
            <w:r>
              <w:rPr>
                <w:rFonts w:ascii="Calibri"/>
                <w:spacing w:val="-1"/>
                <w:sz w:val="18"/>
              </w:rPr>
              <w:t>program</w:t>
            </w:r>
            <w:r>
              <w:rPr>
                <w:rFonts w:ascii="Calibri"/>
                <w:spacing w:val="-3"/>
                <w:sz w:val="18"/>
              </w:rPr>
              <w:t xml:space="preserve"> </w:t>
            </w:r>
            <w:r>
              <w:rPr>
                <w:rFonts w:ascii="Calibri"/>
                <w:sz w:val="18"/>
              </w:rPr>
              <w:t>can</w:t>
            </w:r>
            <w:r>
              <w:rPr>
                <w:rFonts w:ascii="Calibri"/>
                <w:spacing w:val="-4"/>
                <w:sz w:val="18"/>
              </w:rPr>
              <w:t xml:space="preserve"> </w:t>
            </w:r>
            <w:r>
              <w:rPr>
                <w:rFonts w:ascii="Calibri"/>
                <w:spacing w:val="-1"/>
                <w:sz w:val="18"/>
              </w:rPr>
              <w:t>solve</w:t>
            </w:r>
            <w:r>
              <w:rPr>
                <w:rFonts w:ascii="Calibri"/>
                <w:spacing w:val="-4"/>
                <w:sz w:val="18"/>
              </w:rPr>
              <w:t xml:space="preserve"> </w:t>
            </w:r>
            <w:r>
              <w:rPr>
                <w:rFonts w:ascii="Calibri"/>
                <w:spacing w:val="-1"/>
                <w:sz w:val="18"/>
              </w:rPr>
              <w:t>energy-related</w:t>
            </w:r>
            <w:r>
              <w:rPr>
                <w:rFonts w:ascii="Calibri"/>
                <w:spacing w:val="-4"/>
                <w:sz w:val="18"/>
              </w:rPr>
              <w:t xml:space="preserve"> </w:t>
            </w:r>
            <w:r>
              <w:rPr>
                <w:rFonts w:ascii="Calibri"/>
                <w:spacing w:val="-1"/>
                <w:sz w:val="18"/>
              </w:rPr>
              <w:t>problems</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pacing w:val="-1"/>
                <w:sz w:val="18"/>
              </w:rPr>
              <w:t>customer</w:t>
            </w:r>
            <w:r>
              <w:rPr>
                <w:rFonts w:ascii="Calibri"/>
                <w:spacing w:val="-4"/>
                <w:sz w:val="18"/>
              </w:rPr>
              <w:t xml:space="preserve"> </w:t>
            </w:r>
            <w:r>
              <w:rPr>
                <w:rFonts w:ascii="Calibri"/>
                <w:sz w:val="18"/>
              </w:rPr>
              <w:t>may</w:t>
            </w:r>
            <w:r>
              <w:rPr>
                <w:rFonts w:ascii="Calibri"/>
                <w:spacing w:val="-3"/>
                <w:sz w:val="18"/>
              </w:rPr>
              <w:t xml:space="preserve"> </w:t>
            </w:r>
            <w:r>
              <w:rPr>
                <w:rFonts w:ascii="Calibri"/>
                <w:spacing w:val="-1"/>
                <w:sz w:val="18"/>
              </w:rPr>
              <w:t>drive</w:t>
            </w:r>
            <w:r>
              <w:rPr>
                <w:rFonts w:ascii="Calibri"/>
                <w:spacing w:val="-4"/>
                <w:sz w:val="18"/>
              </w:rPr>
              <w:t xml:space="preserve"> </w:t>
            </w:r>
            <w:r>
              <w:rPr>
                <w:rFonts w:ascii="Calibri"/>
                <w:spacing w:val="-1"/>
                <w:sz w:val="18"/>
              </w:rPr>
              <w:t>more</w:t>
            </w:r>
            <w:r>
              <w:rPr>
                <w:rFonts w:ascii="Calibri"/>
                <w:spacing w:val="76"/>
                <w:w w:val="99"/>
                <w:sz w:val="18"/>
              </w:rPr>
              <w:t xml:space="preserve"> </w:t>
            </w:r>
            <w:r>
              <w:rPr>
                <w:rFonts w:ascii="Calibri"/>
                <w:spacing w:val="-1"/>
                <w:sz w:val="18"/>
              </w:rPr>
              <w:t>participation,</w:t>
            </w:r>
            <w:r>
              <w:rPr>
                <w:rFonts w:ascii="Calibri"/>
                <w:spacing w:val="-3"/>
                <w:sz w:val="18"/>
              </w:rPr>
              <w:t xml:space="preserve"> </w:t>
            </w:r>
            <w:r>
              <w:rPr>
                <w:rFonts w:ascii="Calibri"/>
                <w:spacing w:val="-1"/>
                <w:sz w:val="18"/>
              </w:rPr>
              <w:t>according</w:t>
            </w:r>
            <w:r>
              <w:rPr>
                <w:rFonts w:ascii="Calibri"/>
                <w:spacing w:val="-2"/>
                <w:sz w:val="18"/>
              </w:rPr>
              <w:t xml:space="preserve"> </w:t>
            </w:r>
            <w:r>
              <w:rPr>
                <w:rFonts w:ascii="Calibri"/>
                <w:spacing w:val="-1"/>
                <w:sz w:val="18"/>
              </w:rPr>
              <w:t>to auditors.</w:t>
            </w:r>
          </w:p>
        </w:tc>
        <w:tc>
          <w:tcPr>
            <w:tcW w:w="4734" w:type="dxa"/>
          </w:tcPr>
          <w:p w:rsidR="00E646C9" w:rsidRDefault="00E646C9" w:rsidP="00C94D5A">
            <w:pPr>
              <w:pStyle w:val="TableParagraph"/>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9"/>
        </w:trPr>
        <w:tc>
          <w:tcPr>
            <w:tcW w:w="4626" w:type="dxa"/>
            <w:shd w:val="clear" w:color="auto" w:fill="D2EAF1"/>
          </w:tcPr>
          <w:p w:rsidR="00E646C9" w:rsidRDefault="00E646C9" w:rsidP="00C94D5A">
            <w:pPr>
              <w:pStyle w:val="TableParagraph"/>
              <w:ind w:left="102" w:right="183"/>
              <w:rPr>
                <w:rFonts w:ascii="Calibri" w:eastAsia="Calibri" w:hAnsi="Calibri" w:cs="Calibri"/>
                <w:sz w:val="18"/>
                <w:szCs w:val="18"/>
              </w:rPr>
            </w:pPr>
            <w:r>
              <w:rPr>
                <w:rFonts w:ascii="Calibri"/>
                <w:spacing w:val="-1"/>
                <w:sz w:val="18"/>
              </w:rPr>
              <w:t>Discount</w:t>
            </w:r>
            <w:r>
              <w:rPr>
                <w:rFonts w:ascii="Calibri"/>
                <w:spacing w:val="-3"/>
                <w:sz w:val="18"/>
              </w:rPr>
              <w:t xml:space="preserve"> </w:t>
            </w:r>
            <w:r>
              <w:rPr>
                <w:rFonts w:ascii="Calibri"/>
                <w:sz w:val="18"/>
              </w:rPr>
              <w:t>OPower</w:t>
            </w:r>
            <w:r>
              <w:rPr>
                <w:rFonts w:ascii="Calibri"/>
                <w:spacing w:val="-3"/>
                <w:sz w:val="18"/>
              </w:rPr>
              <w:t xml:space="preserve"> </w:t>
            </w:r>
            <w:r>
              <w:rPr>
                <w:rFonts w:ascii="Calibri"/>
                <w:spacing w:val="-1"/>
                <w:sz w:val="18"/>
              </w:rPr>
              <w:t>reported</w:t>
            </w:r>
            <w:r>
              <w:rPr>
                <w:rFonts w:ascii="Calibri"/>
                <w:spacing w:val="-3"/>
                <w:sz w:val="18"/>
              </w:rPr>
              <w:t xml:space="preserve"> </w:t>
            </w:r>
            <w:r>
              <w:rPr>
                <w:rFonts w:ascii="Calibri"/>
                <w:spacing w:val="-1"/>
                <w:sz w:val="18"/>
              </w:rPr>
              <w:t>impacts</w:t>
            </w:r>
            <w:r>
              <w:rPr>
                <w:rFonts w:ascii="Calibri"/>
                <w:spacing w:val="-3"/>
                <w:sz w:val="18"/>
              </w:rPr>
              <w:t xml:space="preserve"> </w:t>
            </w:r>
            <w:r>
              <w:rPr>
                <w:rFonts w:ascii="Calibri"/>
                <w:spacing w:val="-1"/>
                <w:sz w:val="18"/>
              </w:rPr>
              <w:t>by</w:t>
            </w:r>
            <w:r>
              <w:rPr>
                <w:rFonts w:ascii="Calibri"/>
                <w:spacing w:val="-2"/>
                <w:sz w:val="18"/>
              </w:rPr>
              <w:t xml:space="preserve"> </w:t>
            </w:r>
            <w:r>
              <w:rPr>
                <w:rFonts w:ascii="Calibri"/>
                <w:spacing w:val="-1"/>
                <w:sz w:val="18"/>
              </w:rPr>
              <w:t>approximately</w:t>
            </w:r>
            <w:r>
              <w:rPr>
                <w:rFonts w:ascii="Calibri"/>
                <w:spacing w:val="-2"/>
                <w:sz w:val="18"/>
              </w:rPr>
              <w:t xml:space="preserve"> </w:t>
            </w:r>
            <w:r>
              <w:rPr>
                <w:rFonts w:ascii="Calibri"/>
                <w:spacing w:val="-1"/>
                <w:sz w:val="18"/>
              </w:rPr>
              <w:t>10% to account</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dual-</w:t>
            </w:r>
            <w:r>
              <w:rPr>
                <w:rFonts w:ascii="Calibri"/>
                <w:spacing w:val="57"/>
                <w:sz w:val="18"/>
              </w:rPr>
              <w:t xml:space="preserve"> </w:t>
            </w:r>
            <w:r>
              <w:rPr>
                <w:rFonts w:ascii="Calibri"/>
                <w:spacing w:val="-1"/>
                <w:sz w:val="18"/>
              </w:rPr>
              <w:t>participation</w:t>
            </w:r>
            <w:r>
              <w:rPr>
                <w:rFonts w:ascii="Calibri"/>
                <w:spacing w:val="-3"/>
                <w:sz w:val="18"/>
              </w:rPr>
              <w:t xml:space="preserve"> </w:t>
            </w:r>
            <w:r>
              <w:rPr>
                <w:rFonts w:ascii="Calibri"/>
                <w:spacing w:val="-1"/>
                <w:sz w:val="18"/>
              </w:rPr>
              <w:t>adjustments</w:t>
            </w:r>
            <w:r>
              <w:rPr>
                <w:rFonts w:ascii="Calibri"/>
                <w:spacing w:val="-3"/>
                <w:sz w:val="18"/>
              </w:rPr>
              <w:t xml:space="preserve"> </w:t>
            </w:r>
            <w:r>
              <w:rPr>
                <w:rFonts w:ascii="Calibri"/>
                <w:spacing w:val="-1"/>
                <w:sz w:val="18"/>
              </w:rPr>
              <w:t>that</w:t>
            </w:r>
            <w:r>
              <w:rPr>
                <w:rFonts w:ascii="Calibri"/>
                <w:spacing w:val="-3"/>
                <w:sz w:val="18"/>
              </w:rPr>
              <w:t xml:space="preserve"> </w:t>
            </w:r>
            <w:r>
              <w:rPr>
                <w:rFonts w:ascii="Calibri"/>
                <w:sz w:val="18"/>
              </w:rPr>
              <w:t>occur</w:t>
            </w:r>
            <w:r>
              <w:rPr>
                <w:rFonts w:ascii="Calibri"/>
                <w:spacing w:val="-3"/>
                <w:sz w:val="18"/>
              </w:rPr>
              <w:t xml:space="preserve"> </w:t>
            </w:r>
            <w:r>
              <w:rPr>
                <w:rFonts w:ascii="Calibri"/>
                <w:spacing w:val="-1"/>
                <w:sz w:val="18"/>
              </w:rPr>
              <w:t>only</w:t>
            </w:r>
            <w:r>
              <w:rPr>
                <w:rFonts w:ascii="Calibri"/>
                <w:spacing w:val="-2"/>
                <w:sz w:val="18"/>
              </w:rPr>
              <w:t xml:space="preserve"> </w:t>
            </w:r>
            <w:r>
              <w:rPr>
                <w:rFonts w:ascii="Calibri"/>
                <w:spacing w:val="-1"/>
                <w:sz w:val="18"/>
              </w:rPr>
              <w:t>in</w:t>
            </w:r>
            <w:r>
              <w:rPr>
                <w:rFonts w:ascii="Calibri"/>
                <w:spacing w:val="-3"/>
                <w:sz w:val="18"/>
              </w:rPr>
              <w:t xml:space="preserve"> </w:t>
            </w:r>
            <w:r>
              <w:rPr>
                <w:rFonts w:ascii="Calibri"/>
                <w:spacing w:val="-1"/>
                <w:sz w:val="18"/>
              </w:rPr>
              <w:t>evaluation,</w:t>
            </w:r>
            <w:r>
              <w:rPr>
                <w:rFonts w:ascii="Calibri"/>
                <w:spacing w:val="-2"/>
                <w:sz w:val="18"/>
              </w:rPr>
              <w:t xml:space="preserve"> </w:t>
            </w:r>
            <w:r>
              <w:rPr>
                <w:rFonts w:ascii="Calibri"/>
                <w:sz w:val="18"/>
              </w:rPr>
              <w:t>at</w:t>
            </w:r>
            <w:r>
              <w:rPr>
                <w:rFonts w:ascii="Calibri"/>
                <w:spacing w:val="-3"/>
                <w:sz w:val="18"/>
              </w:rPr>
              <w:t xml:space="preserve"> </w:t>
            </w:r>
            <w:r>
              <w:rPr>
                <w:rFonts w:ascii="Calibri"/>
                <w:spacing w:val="-1"/>
                <w:sz w:val="18"/>
              </w:rPr>
              <w:t xml:space="preserve">the end </w:t>
            </w:r>
            <w:r>
              <w:rPr>
                <w:rFonts w:ascii="Calibri"/>
                <w:sz w:val="18"/>
              </w:rPr>
              <w:t>of</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program</w:t>
            </w:r>
            <w:r>
              <w:rPr>
                <w:rFonts w:ascii="Calibri"/>
                <w:spacing w:val="-2"/>
                <w:sz w:val="18"/>
              </w:rPr>
              <w:t xml:space="preserve"> </w:t>
            </w:r>
            <w:r>
              <w:rPr>
                <w:rFonts w:ascii="Calibri"/>
                <w:spacing w:val="-1"/>
                <w:sz w:val="18"/>
              </w:rPr>
              <w:t>year</w:t>
            </w:r>
          </w:p>
        </w:tc>
        <w:tc>
          <w:tcPr>
            <w:tcW w:w="4734" w:type="dxa"/>
            <w:shd w:val="clear" w:color="auto" w:fill="D2EAF1"/>
          </w:tcPr>
          <w:p w:rsidR="00E646C9" w:rsidRDefault="00E646C9" w:rsidP="00C94D5A">
            <w:pPr>
              <w:pStyle w:val="TableParagraph"/>
              <w:ind w:left="102" w:right="573"/>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w:t>
            </w:r>
            <w:r>
              <w:rPr>
                <w:rFonts w:ascii="Calibri"/>
                <w:spacing w:val="-3"/>
                <w:sz w:val="18"/>
              </w:rPr>
              <w:t xml:space="preserve"> </w:t>
            </w:r>
            <w:r>
              <w:rPr>
                <w:rFonts w:ascii="Calibri"/>
                <w:spacing w:val="-1"/>
                <w:sz w:val="18"/>
              </w:rPr>
              <w:t>Partially</w:t>
            </w:r>
            <w:r>
              <w:rPr>
                <w:rFonts w:ascii="Calibri"/>
                <w:spacing w:val="35"/>
                <w:w w:val="99"/>
                <w:sz w:val="18"/>
              </w:rPr>
              <w:t xml:space="preserve"> </w:t>
            </w:r>
            <w:r>
              <w:rPr>
                <w:rFonts w:ascii="Calibri"/>
                <w:spacing w:val="-1"/>
                <w:sz w:val="18"/>
              </w:rPr>
              <w:t>Implemented</w:t>
            </w:r>
          </w:p>
        </w:tc>
      </w:tr>
      <w:tr w:rsidR="00E646C9" w:rsidTr="0011636D">
        <w:trPr>
          <w:trHeight w:hRule="exact" w:val="889"/>
        </w:trPr>
        <w:tc>
          <w:tcPr>
            <w:tcW w:w="4626" w:type="dxa"/>
          </w:tcPr>
          <w:p w:rsidR="00E646C9" w:rsidRDefault="00E646C9" w:rsidP="00C94D5A">
            <w:pPr>
              <w:pStyle w:val="TableParagraph"/>
              <w:ind w:left="102" w:right="252"/>
              <w:rPr>
                <w:rFonts w:ascii="Calibri" w:eastAsia="Calibri" w:hAnsi="Calibri" w:cs="Calibri"/>
                <w:sz w:val="18"/>
                <w:szCs w:val="18"/>
              </w:rPr>
            </w:pPr>
            <w:r>
              <w:rPr>
                <w:rFonts w:ascii="Calibri"/>
                <w:sz w:val="18"/>
              </w:rPr>
              <w:t>The</w:t>
            </w:r>
            <w:r>
              <w:rPr>
                <w:rFonts w:ascii="Calibri"/>
                <w:spacing w:val="-4"/>
                <w:sz w:val="18"/>
              </w:rPr>
              <w:t xml:space="preserve"> </w:t>
            </w:r>
            <w:r>
              <w:rPr>
                <w:rFonts w:ascii="Calibri"/>
                <w:spacing w:val="-1"/>
                <w:sz w:val="18"/>
              </w:rPr>
              <w:t>default</w:t>
            </w:r>
            <w:r>
              <w:rPr>
                <w:rFonts w:ascii="Calibri"/>
                <w:spacing w:val="-3"/>
                <w:sz w:val="18"/>
              </w:rPr>
              <w:t xml:space="preserve"> </w:t>
            </w:r>
            <w:r>
              <w:rPr>
                <w:rFonts w:ascii="Calibri"/>
                <w:spacing w:val="-1"/>
                <w:sz w:val="18"/>
              </w:rPr>
              <w:t>interior</w:t>
            </w:r>
            <w:r>
              <w:rPr>
                <w:rFonts w:ascii="Calibri"/>
                <w:spacing w:val="-4"/>
                <w:sz w:val="18"/>
              </w:rPr>
              <w:t xml:space="preserve"> </w:t>
            </w:r>
            <w:r>
              <w:rPr>
                <w:rFonts w:ascii="Calibri"/>
                <w:spacing w:val="-1"/>
                <w:sz w:val="18"/>
              </w:rPr>
              <w:t>lighting</w:t>
            </w:r>
            <w:r>
              <w:rPr>
                <w:rFonts w:ascii="Calibri"/>
                <w:spacing w:val="-3"/>
                <w:sz w:val="18"/>
              </w:rPr>
              <w:t xml:space="preserve"> </w:t>
            </w:r>
            <w:r>
              <w:rPr>
                <w:rFonts w:ascii="Calibri"/>
                <w:sz w:val="18"/>
              </w:rPr>
              <w:t>energy</w:t>
            </w:r>
            <w:r>
              <w:rPr>
                <w:rFonts w:ascii="Calibri"/>
                <w:spacing w:val="-3"/>
                <w:sz w:val="18"/>
              </w:rPr>
              <w:t xml:space="preserve"> </w:t>
            </w:r>
            <w:r>
              <w:rPr>
                <w:rFonts w:ascii="Calibri"/>
                <w:spacing w:val="-1"/>
                <w:sz w:val="18"/>
              </w:rPr>
              <w:t>usage</w:t>
            </w:r>
            <w:r>
              <w:rPr>
                <w:rFonts w:ascii="Calibri"/>
                <w:spacing w:val="-3"/>
                <w:sz w:val="18"/>
              </w:rPr>
              <w:t xml:space="preserve"> </w:t>
            </w:r>
            <w:r>
              <w:rPr>
                <w:rFonts w:ascii="Calibri"/>
                <w:spacing w:val="-1"/>
                <w:sz w:val="18"/>
              </w:rPr>
              <w:t>in</w:t>
            </w:r>
            <w:r>
              <w:rPr>
                <w:rFonts w:ascii="Calibri"/>
                <w:spacing w:val="-4"/>
                <w:sz w:val="18"/>
              </w:rPr>
              <w:t xml:space="preserve"> </w:t>
            </w:r>
            <w:r>
              <w:rPr>
                <w:rFonts w:ascii="Calibri"/>
                <w:spacing w:val="-1"/>
                <w:sz w:val="18"/>
              </w:rPr>
              <w:t>REM/Rate</w:t>
            </w:r>
            <w:r>
              <w:rPr>
                <w:rFonts w:ascii="Calibri"/>
                <w:spacing w:val="-3"/>
                <w:sz w:val="18"/>
              </w:rPr>
              <w:t xml:space="preserve"> </w:t>
            </w:r>
            <w:r>
              <w:rPr>
                <w:rFonts w:ascii="Calibri"/>
                <w:spacing w:val="-1"/>
                <w:sz w:val="18"/>
              </w:rPr>
              <w:t>appears</w:t>
            </w:r>
            <w:r>
              <w:rPr>
                <w:rFonts w:ascii="Calibri"/>
                <w:spacing w:val="-4"/>
                <w:sz w:val="18"/>
              </w:rPr>
              <w:t xml:space="preserve"> </w:t>
            </w:r>
            <w:r>
              <w:rPr>
                <w:rFonts w:ascii="Calibri"/>
                <w:spacing w:val="-1"/>
                <w:sz w:val="18"/>
              </w:rPr>
              <w:t>to</w:t>
            </w:r>
            <w:r>
              <w:rPr>
                <w:rFonts w:ascii="Calibri"/>
                <w:spacing w:val="1"/>
                <w:sz w:val="18"/>
              </w:rPr>
              <w:t xml:space="preserve"> </w:t>
            </w:r>
            <w:r>
              <w:rPr>
                <w:rFonts w:ascii="Calibri"/>
                <w:spacing w:val="-1"/>
                <w:sz w:val="18"/>
              </w:rPr>
              <w:t>be</w:t>
            </w:r>
            <w:r>
              <w:rPr>
                <w:rFonts w:ascii="Calibri"/>
                <w:spacing w:val="-4"/>
                <w:sz w:val="18"/>
              </w:rPr>
              <w:t xml:space="preserve"> </w:t>
            </w:r>
            <w:r>
              <w:rPr>
                <w:rFonts w:ascii="Calibri"/>
                <w:spacing w:val="-1"/>
                <w:sz w:val="18"/>
              </w:rPr>
              <w:t>systematically</w:t>
            </w:r>
            <w:r>
              <w:rPr>
                <w:rFonts w:ascii="Calibri"/>
                <w:spacing w:val="87"/>
                <w:w w:val="99"/>
                <w:sz w:val="18"/>
              </w:rPr>
              <w:t xml:space="preserve"> </w:t>
            </w:r>
            <w:r>
              <w:rPr>
                <w:rFonts w:ascii="Calibri"/>
                <w:spacing w:val="-1"/>
                <w:sz w:val="18"/>
              </w:rPr>
              <w:t>higher</w:t>
            </w:r>
            <w:r>
              <w:rPr>
                <w:rFonts w:ascii="Calibri"/>
                <w:spacing w:val="-4"/>
                <w:sz w:val="18"/>
              </w:rPr>
              <w:t xml:space="preserve"> </w:t>
            </w:r>
            <w:r>
              <w:rPr>
                <w:rFonts w:ascii="Calibri"/>
                <w:sz w:val="18"/>
              </w:rPr>
              <w:t>than</w:t>
            </w:r>
            <w:r>
              <w:rPr>
                <w:rFonts w:ascii="Calibri"/>
                <w:spacing w:val="-3"/>
                <w:sz w:val="18"/>
              </w:rPr>
              <w:t xml:space="preserve"> </w:t>
            </w:r>
            <w:r>
              <w:rPr>
                <w:rFonts w:ascii="Calibri"/>
                <w:spacing w:val="-1"/>
                <w:sz w:val="18"/>
              </w:rPr>
              <w:t>verified</w:t>
            </w:r>
            <w:r>
              <w:rPr>
                <w:rFonts w:ascii="Calibri"/>
                <w:spacing w:val="-3"/>
                <w:sz w:val="18"/>
              </w:rPr>
              <w:t xml:space="preserve"> </w:t>
            </w:r>
            <w:r>
              <w:rPr>
                <w:rFonts w:ascii="Calibri"/>
                <w:spacing w:val="-1"/>
                <w:sz w:val="18"/>
              </w:rPr>
              <w:t>through</w:t>
            </w:r>
            <w:r>
              <w:rPr>
                <w:rFonts w:ascii="Calibri"/>
                <w:spacing w:val="-3"/>
                <w:sz w:val="18"/>
              </w:rPr>
              <w:t xml:space="preserve"> </w:t>
            </w:r>
            <w:r>
              <w:rPr>
                <w:rFonts w:ascii="Calibri"/>
                <w:sz w:val="18"/>
              </w:rPr>
              <w:t>on-site</w:t>
            </w:r>
            <w:r>
              <w:rPr>
                <w:rFonts w:ascii="Calibri"/>
                <w:spacing w:val="-4"/>
                <w:sz w:val="18"/>
              </w:rPr>
              <w:t xml:space="preserve"> </w:t>
            </w:r>
            <w:r>
              <w:rPr>
                <w:rFonts w:ascii="Calibri"/>
                <w:spacing w:val="-1"/>
                <w:sz w:val="18"/>
              </w:rPr>
              <w:t>inspections.</w:t>
            </w:r>
            <w:r>
              <w:rPr>
                <w:rFonts w:ascii="Calibri"/>
                <w:spacing w:val="37"/>
                <w:sz w:val="18"/>
              </w:rPr>
              <w:t xml:space="preserve"> </w:t>
            </w:r>
            <w:r>
              <w:rPr>
                <w:rFonts w:ascii="Calibri"/>
                <w:spacing w:val="-1"/>
                <w:sz w:val="18"/>
              </w:rPr>
              <w:t>Consider</w:t>
            </w:r>
            <w:r>
              <w:rPr>
                <w:rFonts w:ascii="Calibri"/>
                <w:spacing w:val="-4"/>
                <w:sz w:val="18"/>
              </w:rPr>
              <w:t xml:space="preserve"> </w:t>
            </w:r>
            <w:r>
              <w:rPr>
                <w:rFonts w:ascii="Calibri"/>
                <w:spacing w:val="-1"/>
                <w:sz w:val="18"/>
              </w:rPr>
              <w:t>asking REM/Rate</w:t>
            </w:r>
            <w:r>
              <w:rPr>
                <w:rFonts w:ascii="Calibri"/>
                <w:spacing w:val="-3"/>
                <w:sz w:val="18"/>
              </w:rPr>
              <w:t xml:space="preserve"> </w:t>
            </w:r>
            <w:r>
              <w:rPr>
                <w:rFonts w:ascii="Calibri"/>
                <w:spacing w:val="-1"/>
                <w:sz w:val="18"/>
              </w:rPr>
              <w:t>to</w:t>
            </w:r>
            <w:r>
              <w:rPr>
                <w:rFonts w:ascii="Calibri"/>
                <w:spacing w:val="-2"/>
                <w:sz w:val="18"/>
              </w:rPr>
              <w:t xml:space="preserve"> </w:t>
            </w:r>
            <w:r>
              <w:rPr>
                <w:rFonts w:ascii="Calibri"/>
                <w:spacing w:val="-1"/>
                <w:sz w:val="18"/>
              </w:rPr>
              <w:t>reduce</w:t>
            </w:r>
            <w:r>
              <w:rPr>
                <w:rFonts w:ascii="Calibri"/>
                <w:spacing w:val="83"/>
                <w:w w:val="99"/>
                <w:sz w:val="18"/>
              </w:rPr>
              <w:t xml:space="preserve"> </w:t>
            </w:r>
            <w:r>
              <w:rPr>
                <w:rFonts w:ascii="Calibri"/>
                <w:spacing w:val="-1"/>
                <w:sz w:val="18"/>
              </w:rPr>
              <w:t>lighting</w:t>
            </w:r>
            <w:r>
              <w:rPr>
                <w:rFonts w:ascii="Calibri"/>
                <w:spacing w:val="-2"/>
                <w:sz w:val="18"/>
              </w:rPr>
              <w:t xml:space="preserve"> </w:t>
            </w:r>
            <w:r>
              <w:rPr>
                <w:rFonts w:ascii="Calibri"/>
                <w:spacing w:val="-1"/>
                <w:sz w:val="18"/>
              </w:rPr>
              <w:t>power</w:t>
            </w:r>
            <w:r>
              <w:rPr>
                <w:rFonts w:ascii="Calibri"/>
                <w:spacing w:val="-3"/>
                <w:sz w:val="18"/>
              </w:rPr>
              <w:t xml:space="preserve"> </w:t>
            </w:r>
            <w:r>
              <w:rPr>
                <w:rFonts w:ascii="Calibri"/>
                <w:spacing w:val="-1"/>
                <w:sz w:val="18"/>
              </w:rPr>
              <w:t>density</w:t>
            </w:r>
            <w:r>
              <w:rPr>
                <w:rFonts w:ascii="Calibri"/>
                <w:spacing w:val="-2"/>
                <w:sz w:val="18"/>
              </w:rPr>
              <w:t xml:space="preserve"> </w:t>
            </w:r>
            <w:r>
              <w:rPr>
                <w:rFonts w:ascii="Calibri"/>
                <w:spacing w:val="-1"/>
                <w:sz w:val="18"/>
              </w:rPr>
              <w:t>by</w:t>
            </w:r>
            <w:r>
              <w:rPr>
                <w:rFonts w:ascii="Calibri"/>
                <w:spacing w:val="-2"/>
                <w:sz w:val="18"/>
              </w:rPr>
              <w:t xml:space="preserve"> </w:t>
            </w:r>
            <w:r>
              <w:rPr>
                <w:rFonts w:ascii="Calibri"/>
                <w:spacing w:val="-1"/>
                <w:sz w:val="18"/>
              </w:rPr>
              <w:t xml:space="preserve">20% </w:t>
            </w:r>
            <w:r>
              <w:rPr>
                <w:rFonts w:ascii="Calibri"/>
                <w:sz w:val="18"/>
              </w:rPr>
              <w:t>or</w:t>
            </w:r>
            <w:r>
              <w:rPr>
                <w:rFonts w:ascii="Calibri"/>
                <w:spacing w:val="-3"/>
                <w:sz w:val="18"/>
              </w:rPr>
              <w:t xml:space="preserve"> </w:t>
            </w:r>
            <w:r>
              <w:rPr>
                <w:rFonts w:ascii="Calibri"/>
                <w:spacing w:val="-1"/>
                <w:sz w:val="18"/>
              </w:rPr>
              <w:t>to increase</w:t>
            </w:r>
            <w:r>
              <w:rPr>
                <w:rFonts w:ascii="Calibri"/>
                <w:spacing w:val="-3"/>
                <w:sz w:val="18"/>
              </w:rPr>
              <w:t xml:space="preserve"> </w:t>
            </w:r>
            <w:r>
              <w:rPr>
                <w:rFonts w:ascii="Calibri"/>
                <w:spacing w:val="-1"/>
                <w:sz w:val="18"/>
              </w:rPr>
              <w:t>baseline</w:t>
            </w:r>
            <w:r>
              <w:rPr>
                <w:rFonts w:ascii="Calibri"/>
                <w:spacing w:val="-3"/>
                <w:sz w:val="18"/>
              </w:rPr>
              <w:t xml:space="preserve"> </w:t>
            </w:r>
            <w:r>
              <w:rPr>
                <w:rFonts w:ascii="Calibri"/>
                <w:sz w:val="18"/>
              </w:rPr>
              <w:t>CFL</w:t>
            </w:r>
            <w:r>
              <w:rPr>
                <w:rFonts w:ascii="Calibri"/>
                <w:spacing w:val="-1"/>
                <w:sz w:val="18"/>
              </w:rPr>
              <w:t xml:space="preserve"> saturation</w:t>
            </w:r>
            <w:r>
              <w:rPr>
                <w:rFonts w:ascii="Calibri"/>
                <w:spacing w:val="-3"/>
                <w:sz w:val="18"/>
              </w:rPr>
              <w:t xml:space="preserve"> </w:t>
            </w:r>
            <w:r>
              <w:rPr>
                <w:rFonts w:ascii="Calibri"/>
                <w:spacing w:val="-1"/>
                <w:sz w:val="18"/>
              </w:rPr>
              <w:t xml:space="preserve">to 60% </w:t>
            </w:r>
            <w:r>
              <w:rPr>
                <w:rFonts w:ascii="Calibri"/>
                <w:sz w:val="18"/>
              </w:rPr>
              <w:t>from</w:t>
            </w:r>
            <w:r>
              <w:rPr>
                <w:rFonts w:ascii="Calibri"/>
                <w:spacing w:val="-2"/>
                <w:sz w:val="18"/>
              </w:rPr>
              <w:t xml:space="preserve"> </w:t>
            </w:r>
            <w:r>
              <w:rPr>
                <w:rFonts w:ascii="Calibri"/>
                <w:spacing w:val="-1"/>
                <w:sz w:val="18"/>
              </w:rPr>
              <w:t>50%</w:t>
            </w:r>
            <w:r>
              <w:rPr>
                <w:rFonts w:ascii="Calibri"/>
                <w:spacing w:val="67"/>
                <w:w w:val="99"/>
                <w:sz w:val="18"/>
              </w:rPr>
              <w:t xml:space="preserve"> </w:t>
            </w:r>
            <w:r>
              <w:rPr>
                <w:rFonts w:ascii="Calibri"/>
                <w:spacing w:val="-1"/>
                <w:sz w:val="18"/>
              </w:rPr>
              <w:t>to</w:t>
            </w:r>
            <w:r>
              <w:rPr>
                <w:rFonts w:ascii="Calibri"/>
                <w:spacing w:val="-2"/>
                <w:sz w:val="18"/>
              </w:rPr>
              <w:t xml:space="preserve"> </w:t>
            </w:r>
            <w:r>
              <w:rPr>
                <w:rFonts w:ascii="Calibri"/>
                <w:spacing w:val="-1"/>
                <w:sz w:val="18"/>
              </w:rPr>
              <w:t>compensate</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pacing w:val="-1"/>
                <w:sz w:val="18"/>
              </w:rPr>
              <w:t>difference.</w:t>
            </w:r>
          </w:p>
        </w:tc>
        <w:tc>
          <w:tcPr>
            <w:tcW w:w="4734" w:type="dxa"/>
          </w:tcPr>
          <w:p w:rsidR="00E646C9" w:rsidRDefault="00E646C9" w:rsidP="00C94D5A">
            <w:pPr>
              <w:pStyle w:val="TableParagraph"/>
              <w:ind w:left="102" w:right="112"/>
              <w:rPr>
                <w:rFonts w:ascii="Calibri" w:eastAsia="Calibri" w:hAnsi="Calibri" w:cs="Calibri"/>
                <w:sz w:val="18"/>
                <w:szCs w:val="18"/>
              </w:rPr>
            </w:pPr>
            <w:r>
              <w:rPr>
                <w:rFonts w:ascii="Calibri"/>
                <w:spacing w:val="-1"/>
                <w:sz w:val="18"/>
              </w:rPr>
              <w:t>Being</w:t>
            </w:r>
            <w:r>
              <w:rPr>
                <w:rFonts w:ascii="Calibri"/>
                <w:spacing w:val="-3"/>
                <w:sz w:val="18"/>
              </w:rPr>
              <w:t xml:space="preserve"> </w:t>
            </w:r>
            <w:r>
              <w:rPr>
                <w:rFonts w:ascii="Calibri"/>
                <w:spacing w:val="-1"/>
                <w:sz w:val="18"/>
              </w:rPr>
              <w:t>Considered.</w:t>
            </w:r>
            <w:r>
              <w:rPr>
                <w:rFonts w:ascii="Calibri"/>
                <w:spacing w:val="37"/>
                <w:sz w:val="18"/>
              </w:rPr>
              <w:t xml:space="preserve"> </w:t>
            </w:r>
            <w:r>
              <w:rPr>
                <w:rFonts w:ascii="Calibri"/>
                <w:spacing w:val="-1"/>
                <w:sz w:val="18"/>
              </w:rPr>
              <w:t>The</w:t>
            </w:r>
            <w:r>
              <w:rPr>
                <w:rFonts w:ascii="Calibri"/>
                <w:spacing w:val="21"/>
                <w:w w:val="99"/>
                <w:sz w:val="18"/>
              </w:rPr>
              <w:t xml:space="preserve"> </w:t>
            </w:r>
            <w:r>
              <w:rPr>
                <w:rFonts w:ascii="Calibri"/>
                <w:spacing w:val="-1"/>
                <w:sz w:val="18"/>
              </w:rPr>
              <w:t>implementer,</w:t>
            </w:r>
            <w:r>
              <w:rPr>
                <w:rFonts w:ascii="Calibri"/>
                <w:spacing w:val="-6"/>
                <w:sz w:val="18"/>
              </w:rPr>
              <w:t xml:space="preserve"> </w:t>
            </w:r>
            <w:r>
              <w:rPr>
                <w:rFonts w:ascii="Calibri"/>
                <w:spacing w:val="-1"/>
                <w:sz w:val="18"/>
              </w:rPr>
              <w:t>PSD,</w:t>
            </w:r>
            <w:r>
              <w:rPr>
                <w:rFonts w:ascii="Calibri"/>
                <w:spacing w:val="-5"/>
                <w:sz w:val="18"/>
              </w:rPr>
              <w:t xml:space="preserve"> </w:t>
            </w:r>
            <w:r>
              <w:rPr>
                <w:rFonts w:ascii="Calibri"/>
                <w:spacing w:val="-1"/>
                <w:sz w:val="18"/>
              </w:rPr>
              <w:t>updates</w:t>
            </w:r>
            <w:r>
              <w:rPr>
                <w:rFonts w:ascii="Calibri"/>
                <w:spacing w:val="24"/>
                <w:w w:val="99"/>
                <w:sz w:val="18"/>
              </w:rPr>
              <w:t xml:space="preserve"> </w:t>
            </w:r>
            <w:r>
              <w:rPr>
                <w:rFonts w:ascii="Calibri"/>
                <w:spacing w:val="-1"/>
                <w:sz w:val="18"/>
              </w:rPr>
              <w:t>REM/Rate</w:t>
            </w:r>
            <w:r>
              <w:rPr>
                <w:rFonts w:ascii="Calibri"/>
                <w:spacing w:val="-6"/>
                <w:sz w:val="18"/>
              </w:rPr>
              <w:t xml:space="preserve"> </w:t>
            </w:r>
            <w:r>
              <w:rPr>
                <w:rFonts w:ascii="Calibri"/>
                <w:spacing w:val="-1"/>
                <w:sz w:val="18"/>
              </w:rPr>
              <w:t>specifications</w:t>
            </w:r>
            <w:r>
              <w:rPr>
                <w:rFonts w:ascii="Calibri"/>
                <w:spacing w:val="-5"/>
                <w:sz w:val="18"/>
              </w:rPr>
              <w:t xml:space="preserve"> </w:t>
            </w:r>
            <w:r>
              <w:rPr>
                <w:rFonts w:ascii="Calibri"/>
                <w:spacing w:val="-1"/>
                <w:sz w:val="18"/>
              </w:rPr>
              <w:t>annually.</w:t>
            </w:r>
            <w:r>
              <w:rPr>
                <w:rFonts w:ascii="Calibri"/>
                <w:spacing w:val="43"/>
                <w:sz w:val="18"/>
              </w:rPr>
              <w:t xml:space="preserve"> </w:t>
            </w:r>
            <w:r>
              <w:rPr>
                <w:rFonts w:ascii="Calibri"/>
                <w:spacing w:val="-1"/>
                <w:sz w:val="18"/>
              </w:rPr>
              <w:t>The</w:t>
            </w:r>
            <w:r>
              <w:rPr>
                <w:rFonts w:ascii="Calibri"/>
                <w:spacing w:val="-3"/>
                <w:sz w:val="18"/>
              </w:rPr>
              <w:t xml:space="preserve"> </w:t>
            </w:r>
            <w:r>
              <w:rPr>
                <w:rFonts w:ascii="Calibri"/>
                <w:spacing w:val="-1"/>
                <w:sz w:val="18"/>
              </w:rPr>
              <w:t>next</w:t>
            </w:r>
            <w:r>
              <w:rPr>
                <w:rFonts w:ascii="Calibri"/>
                <w:spacing w:val="-2"/>
                <w:sz w:val="18"/>
              </w:rPr>
              <w:t xml:space="preserve"> </w:t>
            </w:r>
            <w:r>
              <w:rPr>
                <w:rFonts w:ascii="Calibri"/>
                <w:spacing w:val="-1"/>
                <w:sz w:val="18"/>
              </w:rPr>
              <w:t>opportunity</w:t>
            </w:r>
            <w:r>
              <w:rPr>
                <w:rFonts w:ascii="Calibri"/>
                <w:spacing w:val="-2"/>
                <w:sz w:val="18"/>
              </w:rPr>
              <w:t xml:space="preserve"> </w:t>
            </w:r>
            <w:r>
              <w:rPr>
                <w:rFonts w:ascii="Calibri"/>
                <w:spacing w:val="-1"/>
                <w:sz w:val="18"/>
              </w:rPr>
              <w:t>is</w:t>
            </w:r>
            <w:r>
              <w:rPr>
                <w:rFonts w:ascii="Calibri"/>
                <w:spacing w:val="-3"/>
                <w:sz w:val="18"/>
              </w:rPr>
              <w:t xml:space="preserve"> </w:t>
            </w:r>
            <w:r>
              <w:rPr>
                <w:rFonts w:ascii="Calibri"/>
                <w:sz w:val="18"/>
              </w:rPr>
              <w:t>for</w:t>
            </w:r>
            <w:r>
              <w:rPr>
                <w:rFonts w:ascii="Calibri"/>
                <w:spacing w:val="-2"/>
                <w:sz w:val="18"/>
              </w:rPr>
              <w:t xml:space="preserve"> </w:t>
            </w:r>
            <w:r>
              <w:rPr>
                <w:rFonts w:ascii="Calibri"/>
                <w:sz w:val="18"/>
              </w:rPr>
              <w:t>PY9.</w:t>
            </w:r>
          </w:p>
        </w:tc>
      </w:tr>
      <w:tr w:rsidR="00E646C9" w:rsidTr="0011636D">
        <w:trPr>
          <w:trHeight w:hRule="exact" w:val="450"/>
        </w:trPr>
        <w:tc>
          <w:tcPr>
            <w:tcW w:w="4626" w:type="dxa"/>
            <w:shd w:val="clear" w:color="auto" w:fill="D2EAF1"/>
          </w:tcPr>
          <w:p w:rsidR="00E646C9" w:rsidRDefault="00E646C9" w:rsidP="00C94D5A">
            <w:pPr>
              <w:pStyle w:val="TableParagraph"/>
              <w:ind w:left="102" w:right="751"/>
              <w:rPr>
                <w:rFonts w:ascii="Calibri" w:eastAsia="Calibri" w:hAnsi="Calibri" w:cs="Calibri"/>
                <w:sz w:val="18"/>
                <w:szCs w:val="18"/>
              </w:rPr>
            </w:pPr>
            <w:r>
              <w:rPr>
                <w:rFonts w:ascii="Calibri"/>
                <w:spacing w:val="-1"/>
                <w:sz w:val="18"/>
              </w:rPr>
              <w:t>Review</w:t>
            </w:r>
            <w:r>
              <w:rPr>
                <w:rFonts w:ascii="Calibri"/>
                <w:spacing w:val="-2"/>
                <w:sz w:val="18"/>
              </w:rPr>
              <w:t xml:space="preserve"> </w:t>
            </w:r>
            <w:r>
              <w:rPr>
                <w:rFonts w:ascii="Calibri"/>
                <w:spacing w:val="-1"/>
                <w:sz w:val="18"/>
              </w:rPr>
              <w:t>and</w:t>
            </w:r>
            <w:r>
              <w:rPr>
                <w:rFonts w:ascii="Calibri"/>
                <w:spacing w:val="-3"/>
                <w:sz w:val="18"/>
              </w:rPr>
              <w:t xml:space="preserve"> </w:t>
            </w:r>
            <w:r>
              <w:rPr>
                <w:rFonts w:ascii="Calibri"/>
                <w:sz w:val="18"/>
              </w:rPr>
              <w:t>ensure</w:t>
            </w:r>
            <w:r>
              <w:rPr>
                <w:rFonts w:ascii="Calibri"/>
                <w:spacing w:val="-3"/>
                <w:sz w:val="18"/>
              </w:rPr>
              <w:t xml:space="preserve"> </w:t>
            </w:r>
            <w:r>
              <w:rPr>
                <w:rFonts w:ascii="Calibri"/>
                <w:spacing w:val="-1"/>
                <w:sz w:val="18"/>
              </w:rPr>
              <w:t xml:space="preserve">the New </w:t>
            </w:r>
            <w:r>
              <w:rPr>
                <w:rFonts w:ascii="Calibri"/>
                <w:sz w:val="18"/>
              </w:rPr>
              <w:t>Homes</w:t>
            </w:r>
            <w:r>
              <w:rPr>
                <w:rFonts w:ascii="Calibri"/>
                <w:spacing w:val="-3"/>
                <w:sz w:val="18"/>
              </w:rPr>
              <w:t xml:space="preserve"> </w:t>
            </w:r>
            <w:r>
              <w:rPr>
                <w:rFonts w:ascii="Calibri"/>
                <w:spacing w:val="-1"/>
                <w:sz w:val="18"/>
              </w:rPr>
              <w:t>rebate</w:t>
            </w:r>
            <w:r>
              <w:rPr>
                <w:rFonts w:ascii="Calibri"/>
                <w:spacing w:val="-3"/>
                <w:sz w:val="18"/>
              </w:rPr>
              <w:t xml:space="preserve"> </w:t>
            </w:r>
            <w:r>
              <w:rPr>
                <w:rFonts w:ascii="Calibri"/>
                <w:spacing w:val="-1"/>
                <w:sz w:val="18"/>
              </w:rPr>
              <w:t>submission</w:t>
            </w:r>
            <w:r>
              <w:rPr>
                <w:rFonts w:ascii="Calibri"/>
                <w:spacing w:val="-3"/>
                <w:sz w:val="18"/>
              </w:rPr>
              <w:t xml:space="preserve"> </w:t>
            </w:r>
            <w:r>
              <w:rPr>
                <w:rFonts w:ascii="Calibri"/>
                <w:sz w:val="18"/>
              </w:rPr>
              <w:t>&amp;</w:t>
            </w:r>
            <w:r>
              <w:rPr>
                <w:rFonts w:ascii="Calibri"/>
                <w:spacing w:val="-3"/>
                <w:sz w:val="18"/>
              </w:rPr>
              <w:t xml:space="preserve"> </w:t>
            </w:r>
            <w:r>
              <w:rPr>
                <w:rFonts w:ascii="Calibri"/>
                <w:spacing w:val="-1"/>
                <w:sz w:val="18"/>
              </w:rPr>
              <w:t>payment</w:t>
            </w:r>
            <w:r>
              <w:rPr>
                <w:rFonts w:ascii="Calibri"/>
                <w:sz w:val="18"/>
              </w:rPr>
              <w:t xml:space="preserve"> </w:t>
            </w:r>
            <w:r>
              <w:rPr>
                <w:rFonts w:ascii="Calibri"/>
                <w:spacing w:val="-1"/>
                <w:sz w:val="18"/>
              </w:rPr>
              <w:t>process</w:t>
            </w:r>
            <w:r>
              <w:rPr>
                <w:rFonts w:ascii="Calibri"/>
                <w:spacing w:val="-3"/>
                <w:sz w:val="18"/>
              </w:rPr>
              <w:t xml:space="preserve"> </w:t>
            </w:r>
            <w:r>
              <w:rPr>
                <w:rFonts w:ascii="Calibri"/>
                <w:spacing w:val="-1"/>
                <w:sz w:val="18"/>
              </w:rPr>
              <w:t>is</w:t>
            </w:r>
            <w:r>
              <w:rPr>
                <w:rFonts w:ascii="Calibri"/>
                <w:spacing w:val="-3"/>
                <w:sz w:val="18"/>
              </w:rPr>
              <w:t xml:space="preserve"> </w:t>
            </w:r>
            <w:r>
              <w:rPr>
                <w:rFonts w:ascii="Calibri"/>
                <w:spacing w:val="1"/>
                <w:sz w:val="18"/>
              </w:rPr>
              <w:t>as</w:t>
            </w:r>
            <w:r>
              <w:rPr>
                <w:rFonts w:ascii="Calibri"/>
                <w:spacing w:val="61"/>
                <w:sz w:val="18"/>
              </w:rPr>
              <w:t xml:space="preserve"> </w:t>
            </w:r>
            <w:r>
              <w:rPr>
                <w:rFonts w:ascii="Calibri"/>
                <w:spacing w:val="-1"/>
                <w:sz w:val="18"/>
              </w:rPr>
              <w:t>streamlined</w:t>
            </w:r>
            <w:r>
              <w:rPr>
                <w:rFonts w:ascii="Calibri"/>
                <w:spacing w:val="-4"/>
                <w:sz w:val="18"/>
              </w:rPr>
              <w:t xml:space="preserve"> </w:t>
            </w:r>
            <w:r>
              <w:rPr>
                <w:rFonts w:ascii="Calibri"/>
                <w:spacing w:val="1"/>
                <w:sz w:val="18"/>
              </w:rPr>
              <w:t>as</w:t>
            </w:r>
            <w:r>
              <w:rPr>
                <w:rFonts w:ascii="Calibri"/>
                <w:spacing w:val="-3"/>
                <w:sz w:val="18"/>
              </w:rPr>
              <w:t xml:space="preserve"> </w:t>
            </w:r>
            <w:r>
              <w:rPr>
                <w:rFonts w:ascii="Calibri"/>
                <w:spacing w:val="-1"/>
                <w:sz w:val="18"/>
              </w:rPr>
              <w:t>possible</w:t>
            </w:r>
            <w:r>
              <w:rPr>
                <w:rFonts w:ascii="Calibri"/>
                <w:spacing w:val="-3"/>
                <w:sz w:val="18"/>
              </w:rPr>
              <w:t xml:space="preserve"> </w:t>
            </w:r>
            <w:r>
              <w:rPr>
                <w:rFonts w:ascii="Calibri"/>
                <w:spacing w:val="-1"/>
                <w:sz w:val="18"/>
              </w:rPr>
              <w:t>to</w:t>
            </w:r>
            <w:r>
              <w:rPr>
                <w:rFonts w:ascii="Calibri"/>
                <w:spacing w:val="-2"/>
                <w:sz w:val="18"/>
              </w:rPr>
              <w:t xml:space="preserve"> </w:t>
            </w:r>
            <w:r>
              <w:rPr>
                <w:rFonts w:ascii="Calibri"/>
                <w:sz w:val="18"/>
              </w:rPr>
              <w:t>improve</w:t>
            </w:r>
            <w:r>
              <w:rPr>
                <w:rFonts w:ascii="Calibri"/>
                <w:spacing w:val="-3"/>
                <w:sz w:val="18"/>
              </w:rPr>
              <w:t xml:space="preserve"> </w:t>
            </w:r>
            <w:r>
              <w:rPr>
                <w:rFonts w:ascii="Calibri"/>
                <w:spacing w:val="-1"/>
                <w:sz w:val="18"/>
              </w:rPr>
              <w:t>participant</w:t>
            </w:r>
            <w:r>
              <w:rPr>
                <w:rFonts w:ascii="Calibri"/>
                <w:spacing w:val="-3"/>
                <w:sz w:val="18"/>
              </w:rPr>
              <w:t xml:space="preserve"> </w:t>
            </w:r>
            <w:r>
              <w:rPr>
                <w:rFonts w:ascii="Calibri"/>
                <w:spacing w:val="-1"/>
                <w:sz w:val="18"/>
              </w:rPr>
              <w:t>satisfaction</w:t>
            </w:r>
          </w:p>
        </w:tc>
        <w:tc>
          <w:tcPr>
            <w:tcW w:w="4734" w:type="dxa"/>
            <w:shd w:val="clear" w:color="auto" w:fill="D2EAF1"/>
          </w:tcPr>
          <w:p w:rsidR="00E646C9" w:rsidRDefault="00E646C9" w:rsidP="00C94D5A">
            <w:pPr>
              <w:pStyle w:val="TableParagraph"/>
              <w:spacing w:line="219"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670"/>
        </w:trPr>
        <w:tc>
          <w:tcPr>
            <w:tcW w:w="4626" w:type="dxa"/>
          </w:tcPr>
          <w:p w:rsidR="00E646C9" w:rsidRDefault="00E646C9" w:rsidP="00C94D5A">
            <w:pPr>
              <w:pStyle w:val="TableParagraph"/>
              <w:ind w:left="102" w:right="264"/>
              <w:jc w:val="both"/>
              <w:rPr>
                <w:rFonts w:ascii="Calibri" w:eastAsia="Calibri" w:hAnsi="Calibri" w:cs="Calibri"/>
                <w:sz w:val="18"/>
                <w:szCs w:val="18"/>
              </w:rPr>
            </w:pPr>
            <w:r>
              <w:rPr>
                <w:rFonts w:ascii="Calibri"/>
                <w:spacing w:val="-1"/>
                <w:sz w:val="18"/>
              </w:rPr>
              <w:t>Deliver New</w:t>
            </w:r>
            <w:r>
              <w:rPr>
                <w:rFonts w:ascii="Calibri"/>
                <w:spacing w:val="-2"/>
                <w:sz w:val="18"/>
              </w:rPr>
              <w:t xml:space="preserve"> </w:t>
            </w:r>
            <w:r>
              <w:rPr>
                <w:rFonts w:ascii="Calibri"/>
                <w:sz w:val="18"/>
              </w:rPr>
              <w:t>Homes</w:t>
            </w:r>
            <w:r>
              <w:rPr>
                <w:rFonts w:ascii="Calibri"/>
                <w:spacing w:val="-3"/>
                <w:sz w:val="18"/>
              </w:rPr>
              <w:t xml:space="preserve"> </w:t>
            </w:r>
            <w:r>
              <w:rPr>
                <w:rFonts w:ascii="Calibri"/>
                <w:spacing w:val="-1"/>
                <w:sz w:val="18"/>
              </w:rPr>
              <w:t>program</w:t>
            </w:r>
            <w:r>
              <w:rPr>
                <w:rFonts w:ascii="Calibri"/>
                <w:spacing w:val="-3"/>
                <w:sz w:val="18"/>
              </w:rPr>
              <w:t xml:space="preserve"> </w:t>
            </w:r>
            <w:r>
              <w:rPr>
                <w:rFonts w:ascii="Calibri"/>
                <w:sz w:val="18"/>
              </w:rPr>
              <w:t>value</w:t>
            </w:r>
            <w:r>
              <w:rPr>
                <w:rFonts w:ascii="Calibri"/>
                <w:spacing w:val="-3"/>
                <w:sz w:val="18"/>
              </w:rPr>
              <w:t xml:space="preserve"> </w:t>
            </w:r>
            <w:r>
              <w:rPr>
                <w:rFonts w:ascii="Calibri"/>
                <w:sz w:val="18"/>
              </w:rPr>
              <w:t>beyond</w:t>
            </w:r>
            <w:r>
              <w:rPr>
                <w:rFonts w:ascii="Calibri"/>
                <w:spacing w:val="-3"/>
                <w:sz w:val="18"/>
              </w:rPr>
              <w:t xml:space="preserve"> </w:t>
            </w:r>
            <w:r>
              <w:rPr>
                <w:rFonts w:ascii="Calibri"/>
                <w:spacing w:val="-1"/>
                <w:sz w:val="18"/>
              </w:rPr>
              <w:t>incentives</w:t>
            </w:r>
            <w:r>
              <w:rPr>
                <w:rFonts w:ascii="Calibri"/>
                <w:spacing w:val="-4"/>
                <w:sz w:val="18"/>
              </w:rPr>
              <w:t xml:space="preserve"> </w:t>
            </w:r>
            <w:r>
              <w:rPr>
                <w:rFonts w:ascii="Calibri"/>
                <w:spacing w:val="-1"/>
                <w:sz w:val="18"/>
              </w:rPr>
              <w:t>via</w:t>
            </w:r>
            <w:r>
              <w:rPr>
                <w:rFonts w:ascii="Calibri"/>
                <w:spacing w:val="-2"/>
                <w:sz w:val="18"/>
              </w:rPr>
              <w:t xml:space="preserve"> </w:t>
            </w:r>
            <w:r>
              <w:rPr>
                <w:rFonts w:ascii="Calibri"/>
                <w:spacing w:val="-1"/>
                <w:sz w:val="18"/>
              </w:rPr>
              <w:t>Webinar,</w:t>
            </w:r>
            <w:r>
              <w:rPr>
                <w:rFonts w:ascii="Calibri"/>
                <w:spacing w:val="-3"/>
                <w:sz w:val="18"/>
              </w:rPr>
              <w:t xml:space="preserve"> </w:t>
            </w:r>
            <w:r>
              <w:rPr>
                <w:rFonts w:ascii="Calibri"/>
                <w:spacing w:val="-1"/>
                <w:sz w:val="18"/>
              </w:rPr>
              <w:t>effective</w:t>
            </w:r>
            <w:r>
              <w:rPr>
                <w:rFonts w:ascii="Calibri"/>
                <w:spacing w:val="-3"/>
                <w:sz w:val="18"/>
              </w:rPr>
              <w:t xml:space="preserve"> </w:t>
            </w:r>
            <w:r>
              <w:rPr>
                <w:rFonts w:ascii="Calibri"/>
                <w:spacing w:val="-1"/>
                <w:sz w:val="18"/>
              </w:rPr>
              <w:t>program</w:t>
            </w:r>
            <w:r>
              <w:rPr>
                <w:rFonts w:ascii="Calibri"/>
                <w:spacing w:val="65"/>
                <w:w w:val="99"/>
                <w:sz w:val="18"/>
              </w:rPr>
              <w:t xml:space="preserve"> </w:t>
            </w:r>
            <w:r>
              <w:rPr>
                <w:rFonts w:ascii="Calibri"/>
                <w:spacing w:val="-1"/>
                <w:sz w:val="18"/>
              </w:rPr>
              <w:t>tools,</w:t>
            </w:r>
            <w:r>
              <w:rPr>
                <w:rFonts w:ascii="Calibri"/>
                <w:spacing w:val="-2"/>
                <w:sz w:val="18"/>
              </w:rPr>
              <w:t xml:space="preserve"> </w:t>
            </w:r>
            <w:r>
              <w:rPr>
                <w:rFonts w:ascii="Calibri"/>
                <w:spacing w:val="-1"/>
                <w:sz w:val="18"/>
              </w:rPr>
              <w:t>etc.</w:t>
            </w:r>
            <w:r>
              <w:rPr>
                <w:rFonts w:ascii="Calibri"/>
                <w:spacing w:val="-2"/>
                <w:sz w:val="18"/>
              </w:rPr>
              <w:t xml:space="preserve"> </w:t>
            </w:r>
            <w:r>
              <w:rPr>
                <w:rFonts w:ascii="Calibri"/>
                <w:spacing w:val="-1"/>
                <w:sz w:val="18"/>
              </w:rPr>
              <w:t>Two</w:t>
            </w:r>
            <w:r>
              <w:rPr>
                <w:rFonts w:ascii="Calibri"/>
                <w:sz w:val="18"/>
              </w:rPr>
              <w:t xml:space="preserve"> of</w:t>
            </w:r>
            <w:r>
              <w:rPr>
                <w:rFonts w:ascii="Calibri"/>
                <w:spacing w:val="-2"/>
                <w:sz w:val="18"/>
              </w:rPr>
              <w:t xml:space="preserve"> </w:t>
            </w:r>
            <w:r>
              <w:rPr>
                <w:rFonts w:ascii="Calibri"/>
                <w:spacing w:val="-1"/>
                <w:sz w:val="18"/>
              </w:rPr>
              <w:t>six</w:t>
            </w:r>
            <w:r>
              <w:rPr>
                <w:rFonts w:ascii="Calibri"/>
                <w:spacing w:val="-2"/>
                <w:sz w:val="18"/>
              </w:rPr>
              <w:t xml:space="preserve"> </w:t>
            </w:r>
            <w:r>
              <w:rPr>
                <w:rFonts w:ascii="Calibri"/>
                <w:spacing w:val="-1"/>
                <w:sz w:val="18"/>
              </w:rPr>
              <w:t>builders</w:t>
            </w:r>
            <w:r>
              <w:rPr>
                <w:rFonts w:ascii="Calibri"/>
                <w:spacing w:val="-3"/>
                <w:sz w:val="18"/>
              </w:rPr>
              <w:t xml:space="preserve"> </w:t>
            </w:r>
            <w:r>
              <w:rPr>
                <w:rFonts w:ascii="Calibri"/>
                <w:spacing w:val="-1"/>
                <w:sz w:val="18"/>
              </w:rPr>
              <w:t>specifically indicated</w:t>
            </w:r>
            <w:r>
              <w:rPr>
                <w:rFonts w:ascii="Calibri"/>
                <w:spacing w:val="-3"/>
                <w:sz w:val="18"/>
              </w:rPr>
              <w:t xml:space="preserve"> </w:t>
            </w:r>
            <w:r>
              <w:rPr>
                <w:rFonts w:ascii="Calibri"/>
                <w:spacing w:val="-1"/>
                <w:sz w:val="18"/>
              </w:rPr>
              <w:t>they</w:t>
            </w:r>
            <w:r>
              <w:rPr>
                <w:rFonts w:ascii="Calibri"/>
                <w:spacing w:val="-2"/>
                <w:sz w:val="18"/>
              </w:rPr>
              <w:t xml:space="preserve"> </w:t>
            </w:r>
            <w:r>
              <w:rPr>
                <w:rFonts w:ascii="Calibri"/>
                <w:spacing w:val="-1"/>
                <w:sz w:val="18"/>
              </w:rPr>
              <w:t>would</w:t>
            </w:r>
            <w:r>
              <w:rPr>
                <w:rFonts w:ascii="Calibri"/>
                <w:spacing w:val="-2"/>
                <w:sz w:val="18"/>
              </w:rPr>
              <w:t xml:space="preserve"> </w:t>
            </w:r>
            <w:r>
              <w:rPr>
                <w:rFonts w:ascii="Calibri"/>
                <w:spacing w:val="-1"/>
                <w:sz w:val="18"/>
              </w:rPr>
              <w:t>attend</w:t>
            </w:r>
            <w:r>
              <w:rPr>
                <w:rFonts w:ascii="Calibri"/>
                <w:spacing w:val="-4"/>
                <w:sz w:val="18"/>
              </w:rPr>
              <w:t xml:space="preserve"> </w:t>
            </w:r>
            <w:r>
              <w:rPr>
                <w:rFonts w:ascii="Calibri"/>
                <w:spacing w:val="-1"/>
                <w:sz w:val="18"/>
              </w:rPr>
              <w:t>future</w:t>
            </w:r>
            <w:r>
              <w:rPr>
                <w:rFonts w:ascii="Calibri"/>
                <w:spacing w:val="-2"/>
                <w:sz w:val="18"/>
              </w:rPr>
              <w:t xml:space="preserve"> </w:t>
            </w:r>
            <w:r>
              <w:rPr>
                <w:rFonts w:ascii="Calibri"/>
                <w:sz w:val="18"/>
              </w:rPr>
              <w:t>webinars</w:t>
            </w:r>
            <w:r>
              <w:rPr>
                <w:rFonts w:ascii="Calibri"/>
                <w:spacing w:val="89"/>
                <w:sz w:val="18"/>
              </w:rPr>
              <w:t xml:space="preserve"> </w:t>
            </w:r>
            <w:r>
              <w:rPr>
                <w:rFonts w:ascii="Calibri"/>
                <w:spacing w:val="-1"/>
                <w:sz w:val="18"/>
              </w:rPr>
              <w:t>explaining</w:t>
            </w:r>
            <w:r>
              <w:rPr>
                <w:rFonts w:ascii="Calibri"/>
                <w:spacing w:val="-4"/>
                <w:sz w:val="18"/>
              </w:rPr>
              <w:t xml:space="preserve"> </w:t>
            </w:r>
            <w:r>
              <w:rPr>
                <w:rFonts w:ascii="Calibri"/>
                <w:spacing w:val="-1"/>
                <w:sz w:val="18"/>
              </w:rPr>
              <w:t>program</w:t>
            </w:r>
            <w:r>
              <w:rPr>
                <w:rFonts w:ascii="Calibri"/>
                <w:sz w:val="18"/>
              </w:rPr>
              <w:t xml:space="preserve"> </w:t>
            </w:r>
            <w:r>
              <w:rPr>
                <w:rFonts w:ascii="Calibri"/>
                <w:spacing w:val="-1"/>
                <w:sz w:val="18"/>
              </w:rPr>
              <w:t>updates</w:t>
            </w:r>
            <w:r>
              <w:rPr>
                <w:rFonts w:ascii="Calibri"/>
                <w:spacing w:val="-3"/>
                <w:sz w:val="18"/>
              </w:rPr>
              <w:t xml:space="preserve"> </w:t>
            </w:r>
            <w:r>
              <w:rPr>
                <w:rFonts w:ascii="Calibri"/>
                <w:sz w:val="18"/>
              </w:rPr>
              <w:t>or</w:t>
            </w:r>
            <w:r>
              <w:rPr>
                <w:rFonts w:ascii="Calibri"/>
                <w:spacing w:val="-4"/>
                <w:sz w:val="18"/>
              </w:rPr>
              <w:t xml:space="preserve"> </w:t>
            </w:r>
            <w:r>
              <w:rPr>
                <w:rFonts w:ascii="Calibri"/>
                <w:sz w:val="18"/>
              </w:rPr>
              <w:t>process</w:t>
            </w:r>
            <w:r>
              <w:rPr>
                <w:rFonts w:ascii="Calibri"/>
                <w:spacing w:val="-3"/>
                <w:sz w:val="18"/>
              </w:rPr>
              <w:t xml:space="preserve"> </w:t>
            </w:r>
            <w:r>
              <w:rPr>
                <w:rFonts w:ascii="Calibri"/>
                <w:spacing w:val="-1"/>
                <w:sz w:val="18"/>
              </w:rPr>
              <w:t>changes.</w:t>
            </w:r>
          </w:p>
        </w:tc>
        <w:tc>
          <w:tcPr>
            <w:tcW w:w="4734"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667"/>
        </w:trPr>
        <w:tc>
          <w:tcPr>
            <w:tcW w:w="4626" w:type="dxa"/>
            <w:shd w:val="clear" w:color="auto" w:fill="D2EAF1"/>
          </w:tcPr>
          <w:p w:rsidR="00E646C9" w:rsidRDefault="00E646C9" w:rsidP="00C94D5A">
            <w:pPr>
              <w:pStyle w:val="TableParagraph"/>
              <w:ind w:left="102" w:right="256"/>
              <w:jc w:val="both"/>
              <w:rPr>
                <w:rFonts w:ascii="Calibri" w:eastAsia="Calibri" w:hAnsi="Calibri" w:cs="Calibri"/>
                <w:sz w:val="18"/>
                <w:szCs w:val="18"/>
              </w:rPr>
            </w:pPr>
            <w:r>
              <w:rPr>
                <w:rFonts w:ascii="Calibri" w:eastAsia="Calibri" w:hAnsi="Calibri" w:cs="Calibri"/>
                <w:spacing w:val="-1"/>
                <w:sz w:val="18"/>
                <w:szCs w:val="18"/>
              </w:rPr>
              <w:t>Market</w:t>
            </w:r>
            <w:r>
              <w:rPr>
                <w:rFonts w:ascii="Calibri" w:eastAsia="Calibri" w:hAnsi="Calibri" w:cs="Calibri"/>
                <w:spacing w:val="-4"/>
                <w:sz w:val="18"/>
                <w:szCs w:val="18"/>
              </w:rPr>
              <w:t xml:space="preserve"> </w:t>
            </w:r>
            <w:r>
              <w:rPr>
                <w:rFonts w:ascii="Calibri" w:eastAsia="Calibri" w:hAnsi="Calibri" w:cs="Calibri"/>
                <w:spacing w:val="-1"/>
                <w:sz w:val="18"/>
                <w:szCs w:val="18"/>
              </w:rPr>
              <w:t xml:space="preserve">New </w:t>
            </w:r>
            <w:r>
              <w:rPr>
                <w:rFonts w:ascii="Calibri" w:eastAsia="Calibri" w:hAnsi="Calibri" w:cs="Calibri"/>
                <w:sz w:val="18"/>
                <w:szCs w:val="18"/>
              </w:rPr>
              <w:t>Homes</w:t>
            </w:r>
            <w:r>
              <w:rPr>
                <w:rFonts w:ascii="Calibri" w:eastAsia="Calibri" w:hAnsi="Calibri" w:cs="Calibri"/>
                <w:spacing w:val="-3"/>
                <w:sz w:val="18"/>
                <w:szCs w:val="18"/>
              </w:rPr>
              <w:t xml:space="preserve"> </w:t>
            </w:r>
            <w:r>
              <w:rPr>
                <w:rFonts w:ascii="Calibri" w:eastAsia="Calibri" w:hAnsi="Calibri" w:cs="Calibri"/>
                <w:spacing w:val="-1"/>
                <w:sz w:val="18"/>
                <w:szCs w:val="18"/>
              </w:rPr>
              <w:t>program specifically</w:t>
            </w:r>
            <w:r>
              <w:rPr>
                <w:rFonts w:ascii="Calibri" w:eastAsia="Calibri" w:hAnsi="Calibri" w:cs="Calibri"/>
                <w:spacing w:val="-2"/>
                <w:sz w:val="18"/>
                <w:szCs w:val="18"/>
              </w:rPr>
              <w:t xml:space="preserve"> </w:t>
            </w:r>
            <w:r>
              <w:rPr>
                <w:rFonts w:ascii="Calibri" w:eastAsia="Calibri" w:hAnsi="Calibri" w:cs="Calibri"/>
                <w:spacing w:val="-1"/>
                <w:sz w:val="18"/>
                <w:szCs w:val="18"/>
              </w:rPr>
              <w:t>to builders</w:t>
            </w:r>
            <w:r>
              <w:rPr>
                <w:rFonts w:ascii="Calibri" w:eastAsia="Calibri" w:hAnsi="Calibri" w:cs="Calibri"/>
                <w:spacing w:val="-3"/>
                <w:sz w:val="18"/>
                <w:szCs w:val="18"/>
              </w:rPr>
              <w:t xml:space="preserve"> </w:t>
            </w:r>
            <w:r>
              <w:rPr>
                <w:rFonts w:ascii="Calibri" w:eastAsia="Calibri" w:hAnsi="Calibri" w:cs="Calibri"/>
                <w:sz w:val="18"/>
                <w:szCs w:val="18"/>
              </w:rPr>
              <w:t>that</w:t>
            </w:r>
            <w:r>
              <w:rPr>
                <w:rFonts w:ascii="Calibri" w:eastAsia="Calibri" w:hAnsi="Calibri" w:cs="Calibri"/>
                <w:spacing w:val="-3"/>
                <w:sz w:val="18"/>
                <w:szCs w:val="18"/>
              </w:rPr>
              <w:t xml:space="preserve"> </w:t>
            </w:r>
            <w:r>
              <w:rPr>
                <w:rFonts w:ascii="Calibri" w:eastAsia="Calibri" w:hAnsi="Calibri" w:cs="Calibri"/>
                <w:spacing w:val="-1"/>
                <w:sz w:val="18"/>
                <w:szCs w:val="18"/>
              </w:rPr>
              <w:t>began</w:t>
            </w:r>
            <w:r>
              <w:rPr>
                <w:rFonts w:ascii="Calibri" w:eastAsia="Calibri" w:hAnsi="Calibri" w:cs="Calibri"/>
                <w:spacing w:val="-4"/>
                <w:sz w:val="18"/>
                <w:szCs w:val="18"/>
              </w:rPr>
              <w:t xml:space="preserve"> </w:t>
            </w:r>
            <w:r>
              <w:rPr>
                <w:rFonts w:ascii="Calibri" w:eastAsia="Calibri" w:hAnsi="Calibri" w:cs="Calibri"/>
                <w:sz w:val="18"/>
                <w:szCs w:val="18"/>
              </w:rPr>
              <w:t>with</w:t>
            </w:r>
            <w:r>
              <w:rPr>
                <w:rFonts w:ascii="Calibri" w:eastAsia="Calibri" w:hAnsi="Calibri" w:cs="Calibri"/>
                <w:spacing w:val="-3"/>
                <w:sz w:val="18"/>
                <w:szCs w:val="18"/>
              </w:rPr>
              <w:t xml:space="preserve"> </w:t>
            </w:r>
            <w:r>
              <w:rPr>
                <w:rFonts w:ascii="Calibri" w:eastAsia="Calibri" w:hAnsi="Calibri" w:cs="Calibri"/>
                <w:spacing w:val="-1"/>
                <w:sz w:val="18"/>
                <w:szCs w:val="18"/>
              </w:rPr>
              <w:t>the program,</w:t>
            </w:r>
            <w:r>
              <w:rPr>
                <w:rFonts w:ascii="Calibri" w:eastAsia="Calibri" w:hAnsi="Calibri" w:cs="Calibri"/>
                <w:spacing w:val="-2"/>
                <w:sz w:val="18"/>
                <w:szCs w:val="18"/>
              </w:rPr>
              <w:t xml:space="preserve"> </w:t>
            </w:r>
            <w:r>
              <w:rPr>
                <w:rFonts w:ascii="Calibri" w:eastAsia="Calibri" w:hAnsi="Calibri" w:cs="Calibri"/>
                <w:spacing w:val="-1"/>
                <w:sz w:val="18"/>
                <w:szCs w:val="18"/>
              </w:rPr>
              <w:t>but</w:t>
            </w:r>
            <w:r>
              <w:rPr>
                <w:rFonts w:ascii="Calibri" w:eastAsia="Calibri" w:hAnsi="Calibri" w:cs="Calibri"/>
                <w:spacing w:val="56"/>
                <w:sz w:val="18"/>
                <w:szCs w:val="18"/>
              </w:rPr>
              <w:t xml:space="preserve"> </w:t>
            </w:r>
            <w:r>
              <w:rPr>
                <w:rFonts w:ascii="Calibri" w:eastAsia="Calibri" w:hAnsi="Calibri" w:cs="Calibri"/>
                <w:spacing w:val="-1"/>
                <w:sz w:val="18"/>
                <w:szCs w:val="18"/>
              </w:rPr>
              <w:t>dropped</w:t>
            </w:r>
            <w:r>
              <w:rPr>
                <w:rFonts w:ascii="Calibri" w:eastAsia="Calibri" w:hAnsi="Calibri" w:cs="Calibri"/>
                <w:spacing w:val="-3"/>
                <w:sz w:val="18"/>
                <w:szCs w:val="18"/>
              </w:rPr>
              <w:t xml:space="preserve"> </w:t>
            </w:r>
            <w:r>
              <w:rPr>
                <w:rFonts w:ascii="Calibri" w:eastAsia="Calibri" w:hAnsi="Calibri" w:cs="Calibri"/>
                <w:sz w:val="18"/>
                <w:szCs w:val="18"/>
              </w:rPr>
              <w:t>out</w:t>
            </w:r>
            <w:r>
              <w:rPr>
                <w:rFonts w:ascii="Calibri" w:eastAsia="Calibri" w:hAnsi="Calibri" w:cs="Calibri"/>
                <w:spacing w:val="-3"/>
                <w:sz w:val="18"/>
                <w:szCs w:val="18"/>
              </w:rPr>
              <w:t xml:space="preserve"> </w:t>
            </w:r>
            <w:r>
              <w:rPr>
                <w:rFonts w:ascii="Calibri" w:eastAsia="Calibri" w:hAnsi="Calibri" w:cs="Calibri"/>
                <w:spacing w:val="-1"/>
                <w:sz w:val="18"/>
                <w:szCs w:val="18"/>
              </w:rPr>
              <w:t>along</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z w:val="18"/>
                <w:szCs w:val="18"/>
              </w:rPr>
              <w:t>way</w:t>
            </w:r>
            <w:r>
              <w:rPr>
                <w:rFonts w:ascii="Calibri" w:eastAsia="Calibri" w:hAnsi="Calibri" w:cs="Calibri"/>
                <w:spacing w:val="-1"/>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especially</w:t>
            </w:r>
            <w:r>
              <w:rPr>
                <w:rFonts w:ascii="Calibri" w:eastAsia="Calibri" w:hAnsi="Calibri" w:cs="Calibri"/>
                <w:spacing w:val="-2"/>
                <w:sz w:val="18"/>
                <w:szCs w:val="18"/>
              </w:rPr>
              <w:t xml:space="preserve"> </w:t>
            </w:r>
            <w:r>
              <w:rPr>
                <w:rFonts w:ascii="Calibri" w:eastAsia="Calibri" w:hAnsi="Calibri" w:cs="Calibri"/>
                <w:sz w:val="18"/>
                <w:szCs w:val="18"/>
              </w:rPr>
              <w:t>as</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 xml:space="preserve">program </w:t>
            </w:r>
            <w:r>
              <w:rPr>
                <w:rFonts w:ascii="Calibri" w:eastAsia="Calibri" w:hAnsi="Calibri" w:cs="Calibri"/>
                <w:sz w:val="18"/>
                <w:szCs w:val="18"/>
              </w:rPr>
              <w:t>becomes</w:t>
            </w:r>
            <w:r>
              <w:rPr>
                <w:rFonts w:ascii="Calibri" w:eastAsia="Calibri" w:hAnsi="Calibri" w:cs="Calibri"/>
                <w:spacing w:val="-3"/>
                <w:sz w:val="18"/>
                <w:szCs w:val="18"/>
              </w:rPr>
              <w:t xml:space="preserve"> </w:t>
            </w:r>
            <w:r>
              <w:rPr>
                <w:rFonts w:ascii="Calibri" w:eastAsia="Calibri" w:hAnsi="Calibri" w:cs="Calibri"/>
                <w:sz w:val="18"/>
                <w:szCs w:val="18"/>
              </w:rPr>
              <w:t>more</w:t>
            </w:r>
            <w:r>
              <w:rPr>
                <w:rFonts w:ascii="Calibri" w:eastAsia="Calibri" w:hAnsi="Calibri" w:cs="Calibri"/>
                <w:spacing w:val="-3"/>
                <w:sz w:val="18"/>
                <w:szCs w:val="18"/>
              </w:rPr>
              <w:t xml:space="preserve"> </w:t>
            </w:r>
            <w:r>
              <w:rPr>
                <w:rFonts w:ascii="Calibri" w:eastAsia="Calibri" w:hAnsi="Calibri" w:cs="Calibri"/>
                <w:spacing w:val="-1"/>
                <w:sz w:val="18"/>
                <w:szCs w:val="18"/>
              </w:rPr>
              <w:t>streamlined</w:t>
            </w:r>
            <w:r>
              <w:rPr>
                <w:rFonts w:ascii="Calibri" w:eastAsia="Calibri" w:hAnsi="Calibri" w:cs="Calibri"/>
                <w:spacing w:val="-2"/>
                <w:sz w:val="18"/>
                <w:szCs w:val="18"/>
              </w:rPr>
              <w:t xml:space="preserve"> </w:t>
            </w:r>
            <w:r>
              <w:rPr>
                <w:rFonts w:ascii="Calibri" w:eastAsia="Calibri" w:hAnsi="Calibri" w:cs="Calibri"/>
                <w:sz w:val="18"/>
                <w:szCs w:val="18"/>
              </w:rPr>
              <w:t>or</w:t>
            </w:r>
            <w:r>
              <w:rPr>
                <w:rFonts w:ascii="Calibri" w:eastAsia="Calibri" w:hAnsi="Calibri" w:cs="Calibri"/>
                <w:spacing w:val="53"/>
                <w:w w:val="99"/>
                <w:sz w:val="18"/>
                <w:szCs w:val="18"/>
              </w:rPr>
              <w:t xml:space="preserve"> </w:t>
            </w:r>
            <w:r>
              <w:rPr>
                <w:rFonts w:ascii="Calibri" w:eastAsia="Calibri" w:hAnsi="Calibri" w:cs="Calibri"/>
                <w:spacing w:val="-1"/>
                <w:sz w:val="18"/>
                <w:szCs w:val="18"/>
              </w:rPr>
              <w:t>incentives</w:t>
            </w:r>
            <w:r>
              <w:rPr>
                <w:rFonts w:ascii="Calibri" w:eastAsia="Calibri" w:hAnsi="Calibri" w:cs="Calibri"/>
                <w:spacing w:val="-8"/>
                <w:sz w:val="18"/>
                <w:szCs w:val="18"/>
              </w:rPr>
              <w:t xml:space="preserve"> </w:t>
            </w:r>
            <w:r>
              <w:rPr>
                <w:rFonts w:ascii="Calibri" w:eastAsia="Calibri" w:hAnsi="Calibri" w:cs="Calibri"/>
                <w:spacing w:val="-1"/>
                <w:sz w:val="18"/>
                <w:szCs w:val="18"/>
              </w:rPr>
              <w:t>change.</w:t>
            </w:r>
          </w:p>
        </w:tc>
        <w:tc>
          <w:tcPr>
            <w:tcW w:w="4734"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1550"/>
        </w:trPr>
        <w:tc>
          <w:tcPr>
            <w:tcW w:w="4626" w:type="dxa"/>
          </w:tcPr>
          <w:p w:rsidR="00E646C9" w:rsidRDefault="00E646C9" w:rsidP="00C94D5A">
            <w:pPr>
              <w:pStyle w:val="TableParagraph"/>
              <w:ind w:left="102" w:right="122"/>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z w:val="18"/>
              </w:rPr>
              <w:t>New</w:t>
            </w:r>
            <w:r>
              <w:rPr>
                <w:rFonts w:ascii="Calibri"/>
                <w:spacing w:val="-1"/>
                <w:sz w:val="18"/>
              </w:rPr>
              <w:t xml:space="preserve"> </w:t>
            </w:r>
            <w:r>
              <w:rPr>
                <w:rFonts w:ascii="Calibri"/>
                <w:sz w:val="18"/>
              </w:rPr>
              <w:t>Homes</w:t>
            </w:r>
            <w:r>
              <w:rPr>
                <w:rFonts w:ascii="Calibri"/>
                <w:spacing w:val="-4"/>
                <w:sz w:val="18"/>
              </w:rPr>
              <w:t xml:space="preserve"> </w:t>
            </w:r>
            <w:r>
              <w:rPr>
                <w:rFonts w:ascii="Calibri"/>
                <w:spacing w:val="-1"/>
                <w:sz w:val="18"/>
              </w:rPr>
              <w:t>program,</w:t>
            </w:r>
            <w:r>
              <w:rPr>
                <w:rFonts w:ascii="Calibri"/>
                <w:spacing w:val="-2"/>
                <w:sz w:val="18"/>
              </w:rPr>
              <w:t xml:space="preserve"> </w:t>
            </w:r>
            <w:r>
              <w:rPr>
                <w:rFonts w:ascii="Calibri"/>
                <w:spacing w:val="-1"/>
                <w:sz w:val="18"/>
              </w:rPr>
              <w:t>consider</w:t>
            </w:r>
            <w:r>
              <w:rPr>
                <w:rFonts w:ascii="Calibri"/>
                <w:spacing w:val="-4"/>
                <w:sz w:val="18"/>
              </w:rPr>
              <w:t xml:space="preserve"> </w:t>
            </w:r>
            <w:r>
              <w:rPr>
                <w:rFonts w:ascii="Calibri"/>
                <w:spacing w:val="-1"/>
                <w:sz w:val="18"/>
              </w:rPr>
              <w:t>requiring</w:t>
            </w:r>
            <w:r>
              <w:rPr>
                <w:rFonts w:ascii="Calibri"/>
                <w:spacing w:val="-3"/>
                <w:sz w:val="18"/>
              </w:rPr>
              <w:t xml:space="preserve"> </w:t>
            </w:r>
            <w:r>
              <w:rPr>
                <w:rFonts w:ascii="Calibri"/>
                <w:sz w:val="18"/>
              </w:rPr>
              <w:t>HERS</w:t>
            </w:r>
            <w:r>
              <w:rPr>
                <w:rFonts w:ascii="Calibri"/>
                <w:spacing w:val="-4"/>
                <w:sz w:val="18"/>
              </w:rPr>
              <w:t xml:space="preserve"> </w:t>
            </w:r>
            <w:r>
              <w:rPr>
                <w:rFonts w:ascii="Calibri"/>
                <w:spacing w:val="-1"/>
                <w:sz w:val="18"/>
              </w:rPr>
              <w:t>ratings</w:t>
            </w:r>
            <w:r>
              <w:rPr>
                <w:rFonts w:ascii="Calibri"/>
                <w:spacing w:val="-3"/>
                <w:sz w:val="18"/>
              </w:rPr>
              <w:t xml:space="preserve"> </w:t>
            </w:r>
            <w:r>
              <w:rPr>
                <w:rFonts w:ascii="Calibri"/>
                <w:sz w:val="18"/>
              </w:rPr>
              <w:t>and</w:t>
            </w:r>
            <w:r>
              <w:rPr>
                <w:rFonts w:ascii="Calibri"/>
                <w:spacing w:val="-2"/>
                <w:sz w:val="18"/>
              </w:rPr>
              <w:t xml:space="preserve"> </w:t>
            </w:r>
            <w:r>
              <w:rPr>
                <w:rFonts w:ascii="Calibri"/>
                <w:spacing w:val="-1"/>
                <w:sz w:val="18"/>
              </w:rPr>
              <w:t>associated</w:t>
            </w:r>
            <w:r>
              <w:rPr>
                <w:rFonts w:ascii="Calibri"/>
                <w:spacing w:val="-4"/>
                <w:sz w:val="18"/>
              </w:rPr>
              <w:t xml:space="preserve"> </w:t>
            </w:r>
            <w:r>
              <w:rPr>
                <w:rFonts w:ascii="Calibri"/>
                <w:spacing w:val="-1"/>
                <w:sz w:val="18"/>
              </w:rPr>
              <w:t>REM/Rate</w:t>
            </w:r>
            <w:r>
              <w:rPr>
                <w:rFonts w:ascii="Calibri"/>
                <w:spacing w:val="69"/>
                <w:w w:val="99"/>
                <w:sz w:val="18"/>
              </w:rPr>
              <w:t xml:space="preserve"> </w:t>
            </w:r>
            <w:r>
              <w:rPr>
                <w:rFonts w:ascii="Calibri"/>
                <w:spacing w:val="-1"/>
                <w:sz w:val="18"/>
              </w:rPr>
              <w:t>models</w:t>
            </w:r>
            <w:r>
              <w:rPr>
                <w:rFonts w:ascii="Calibri"/>
                <w:spacing w:val="-3"/>
                <w:sz w:val="18"/>
              </w:rPr>
              <w:t xml:space="preserve"> </w:t>
            </w:r>
            <w:r>
              <w:rPr>
                <w:rFonts w:ascii="Calibri"/>
                <w:sz w:val="18"/>
              </w:rPr>
              <w:t>on</w:t>
            </w:r>
            <w:r>
              <w:rPr>
                <w:rFonts w:ascii="Calibri"/>
                <w:spacing w:val="-3"/>
                <w:sz w:val="18"/>
              </w:rPr>
              <w:t xml:space="preserve"> </w:t>
            </w:r>
            <w:r>
              <w:rPr>
                <w:rFonts w:ascii="Calibri"/>
                <w:sz w:val="18"/>
              </w:rPr>
              <w:t>a</w:t>
            </w:r>
            <w:r>
              <w:rPr>
                <w:rFonts w:ascii="Calibri"/>
                <w:spacing w:val="-2"/>
                <w:sz w:val="18"/>
              </w:rPr>
              <w:t xml:space="preserve"> </w:t>
            </w:r>
            <w:r>
              <w:rPr>
                <w:rFonts w:ascii="Calibri"/>
                <w:spacing w:val="-1"/>
                <w:sz w:val="18"/>
              </w:rPr>
              <w:t>sampled</w:t>
            </w:r>
            <w:r>
              <w:rPr>
                <w:rFonts w:ascii="Calibri"/>
                <w:spacing w:val="-2"/>
                <w:sz w:val="18"/>
              </w:rPr>
              <w:t xml:space="preserve"> </w:t>
            </w:r>
            <w:r>
              <w:rPr>
                <w:rFonts w:ascii="Calibri"/>
                <w:spacing w:val="-1"/>
                <w:sz w:val="18"/>
              </w:rPr>
              <w:t>basis</w:t>
            </w:r>
            <w:r>
              <w:rPr>
                <w:rFonts w:ascii="Calibri"/>
                <w:spacing w:val="-3"/>
                <w:sz w:val="18"/>
              </w:rPr>
              <w:t xml:space="preserve"> </w:t>
            </w:r>
            <w:r>
              <w:rPr>
                <w:rFonts w:ascii="Calibri"/>
                <w:spacing w:val="-1"/>
                <w:sz w:val="18"/>
              </w:rPr>
              <w:t>rather</w:t>
            </w:r>
            <w:r>
              <w:rPr>
                <w:rFonts w:ascii="Calibri"/>
                <w:sz w:val="18"/>
              </w:rPr>
              <w:t xml:space="preserve"> </w:t>
            </w:r>
            <w:r>
              <w:rPr>
                <w:rFonts w:ascii="Calibri"/>
                <w:spacing w:val="-1"/>
                <w:sz w:val="18"/>
              </w:rPr>
              <w:t>than</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z w:val="18"/>
              </w:rPr>
              <w:t>census</w:t>
            </w:r>
            <w:r>
              <w:rPr>
                <w:rFonts w:ascii="Calibri"/>
                <w:spacing w:val="-3"/>
                <w:sz w:val="18"/>
              </w:rPr>
              <w:t xml:space="preserve"> </w:t>
            </w:r>
            <w:r>
              <w:rPr>
                <w:rFonts w:ascii="Calibri"/>
                <w:sz w:val="18"/>
              </w:rPr>
              <w:t>of</w:t>
            </w:r>
            <w:r>
              <w:rPr>
                <w:rFonts w:ascii="Calibri"/>
                <w:spacing w:val="-2"/>
                <w:sz w:val="18"/>
              </w:rPr>
              <w:t xml:space="preserve"> </w:t>
            </w:r>
            <w:r>
              <w:rPr>
                <w:rFonts w:ascii="Calibri"/>
                <w:spacing w:val="-1"/>
                <w:sz w:val="18"/>
              </w:rPr>
              <w:t>homes,</w:t>
            </w:r>
            <w:r>
              <w:rPr>
                <w:rFonts w:ascii="Calibri"/>
                <w:spacing w:val="-2"/>
                <w:sz w:val="18"/>
              </w:rPr>
              <w:t xml:space="preserve"> </w:t>
            </w:r>
            <w:r>
              <w:rPr>
                <w:rFonts w:ascii="Calibri"/>
                <w:sz w:val="18"/>
              </w:rPr>
              <w:t>from</w:t>
            </w:r>
            <w:r>
              <w:rPr>
                <w:rFonts w:ascii="Calibri"/>
                <w:spacing w:val="-1"/>
                <w:sz w:val="18"/>
              </w:rPr>
              <w:t xml:space="preserve"> high-volume</w:t>
            </w:r>
            <w:r>
              <w:rPr>
                <w:rFonts w:ascii="Calibri"/>
                <w:spacing w:val="65"/>
                <w:w w:val="99"/>
                <w:sz w:val="18"/>
              </w:rPr>
              <w:t xml:space="preserve"> </w:t>
            </w:r>
            <w:r>
              <w:rPr>
                <w:rFonts w:ascii="Calibri"/>
                <w:spacing w:val="-1"/>
                <w:sz w:val="18"/>
              </w:rPr>
              <w:t>builders.</w:t>
            </w:r>
          </w:p>
        </w:tc>
        <w:tc>
          <w:tcPr>
            <w:tcW w:w="4734" w:type="dxa"/>
          </w:tcPr>
          <w:p w:rsidR="00E646C9" w:rsidRDefault="00E646C9" w:rsidP="00C94D5A">
            <w:pPr>
              <w:pStyle w:val="TableParagraph"/>
              <w:ind w:left="102" w:right="130"/>
              <w:rPr>
                <w:rFonts w:ascii="Calibri" w:eastAsia="Calibri" w:hAnsi="Calibri" w:cs="Calibri"/>
                <w:sz w:val="18"/>
                <w:szCs w:val="18"/>
              </w:rPr>
            </w:pPr>
            <w:r>
              <w:rPr>
                <w:rFonts w:ascii="Calibri"/>
                <w:spacing w:val="-1"/>
                <w:sz w:val="18"/>
              </w:rPr>
              <w:t>The</w:t>
            </w:r>
            <w:r>
              <w:rPr>
                <w:rFonts w:ascii="Calibri"/>
                <w:spacing w:val="-4"/>
                <w:sz w:val="18"/>
              </w:rPr>
              <w:t xml:space="preserve"> </w:t>
            </w:r>
            <w:r>
              <w:rPr>
                <w:rFonts w:ascii="Calibri"/>
                <w:spacing w:val="-1"/>
                <w:sz w:val="18"/>
              </w:rPr>
              <w:t>Company</w:t>
            </w:r>
            <w:r>
              <w:rPr>
                <w:rFonts w:ascii="Calibri"/>
                <w:spacing w:val="-2"/>
                <w:sz w:val="18"/>
              </w:rPr>
              <w:t xml:space="preserve"> </w:t>
            </w:r>
            <w:r>
              <w:rPr>
                <w:rFonts w:ascii="Calibri"/>
                <w:spacing w:val="-1"/>
                <w:sz w:val="18"/>
              </w:rPr>
              <w:t>prefers</w:t>
            </w:r>
            <w:r>
              <w:rPr>
                <w:rFonts w:ascii="Calibri"/>
                <w:spacing w:val="-3"/>
                <w:sz w:val="18"/>
              </w:rPr>
              <w:t xml:space="preserve"> </w:t>
            </w:r>
            <w:r>
              <w:rPr>
                <w:rFonts w:ascii="Calibri"/>
                <w:spacing w:val="-1"/>
                <w:sz w:val="18"/>
              </w:rPr>
              <w:t>to</w:t>
            </w:r>
            <w:r>
              <w:rPr>
                <w:rFonts w:ascii="Calibri"/>
                <w:spacing w:val="27"/>
                <w:sz w:val="18"/>
              </w:rPr>
              <w:t xml:space="preserve"> </w:t>
            </w:r>
            <w:r>
              <w:rPr>
                <w:rFonts w:ascii="Calibri"/>
                <w:spacing w:val="-1"/>
                <w:sz w:val="18"/>
              </w:rPr>
              <w:t>represent</w:t>
            </w:r>
            <w:r>
              <w:rPr>
                <w:rFonts w:ascii="Calibri"/>
                <w:spacing w:val="-5"/>
                <w:sz w:val="18"/>
              </w:rPr>
              <w:t xml:space="preserve"> </w:t>
            </w:r>
            <w:r>
              <w:rPr>
                <w:rFonts w:ascii="Calibri"/>
                <w:spacing w:val="-1"/>
                <w:sz w:val="18"/>
              </w:rPr>
              <w:t>the</w:t>
            </w:r>
            <w:r>
              <w:rPr>
                <w:rFonts w:ascii="Calibri"/>
                <w:spacing w:val="-4"/>
                <w:sz w:val="18"/>
              </w:rPr>
              <w:t xml:space="preserve"> </w:t>
            </w:r>
            <w:r>
              <w:rPr>
                <w:rFonts w:ascii="Calibri"/>
                <w:sz w:val="18"/>
              </w:rPr>
              <w:t>actual</w:t>
            </w:r>
            <w:r>
              <w:rPr>
                <w:rFonts w:ascii="Calibri"/>
                <w:spacing w:val="-5"/>
                <w:sz w:val="18"/>
              </w:rPr>
              <w:t xml:space="preserve"> </w:t>
            </w:r>
            <w:r>
              <w:rPr>
                <w:rFonts w:ascii="Calibri"/>
                <w:spacing w:val="-1"/>
                <w:sz w:val="18"/>
              </w:rPr>
              <w:t>savings</w:t>
            </w:r>
            <w:r>
              <w:rPr>
                <w:rFonts w:ascii="Calibri"/>
                <w:spacing w:val="20"/>
                <w:w w:val="99"/>
                <w:sz w:val="18"/>
              </w:rPr>
              <w:t xml:space="preserve"> </w:t>
            </w:r>
            <w:r>
              <w:rPr>
                <w:rFonts w:ascii="Calibri"/>
                <w:sz w:val="18"/>
              </w:rPr>
              <w:t>above</w:t>
            </w:r>
            <w:r>
              <w:rPr>
                <w:rFonts w:ascii="Calibri"/>
                <w:spacing w:val="-5"/>
                <w:sz w:val="18"/>
              </w:rPr>
              <w:t xml:space="preserve"> </w:t>
            </w:r>
            <w:r>
              <w:rPr>
                <w:rFonts w:ascii="Calibri"/>
                <w:spacing w:val="-1"/>
                <w:sz w:val="18"/>
              </w:rPr>
              <w:t>code</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each</w:t>
            </w:r>
            <w:r>
              <w:rPr>
                <w:rFonts w:ascii="Calibri"/>
                <w:spacing w:val="-4"/>
                <w:sz w:val="18"/>
              </w:rPr>
              <w:t xml:space="preserve"> </w:t>
            </w:r>
            <w:r>
              <w:rPr>
                <w:rFonts w:ascii="Calibri"/>
                <w:spacing w:val="-1"/>
                <w:sz w:val="18"/>
              </w:rPr>
              <w:t>rebated</w:t>
            </w:r>
            <w:r>
              <w:rPr>
                <w:rFonts w:ascii="Calibri"/>
                <w:spacing w:val="-4"/>
                <w:sz w:val="18"/>
              </w:rPr>
              <w:t xml:space="preserve"> </w:t>
            </w:r>
            <w:r>
              <w:rPr>
                <w:rFonts w:ascii="Calibri"/>
                <w:spacing w:val="-1"/>
                <w:sz w:val="18"/>
              </w:rPr>
              <w:t>new</w:t>
            </w:r>
            <w:r>
              <w:rPr>
                <w:rFonts w:ascii="Calibri"/>
                <w:spacing w:val="22"/>
                <w:w w:val="99"/>
                <w:sz w:val="18"/>
              </w:rPr>
              <w:t xml:space="preserve"> </w:t>
            </w:r>
            <w:r>
              <w:rPr>
                <w:rFonts w:ascii="Calibri"/>
                <w:spacing w:val="-1"/>
                <w:sz w:val="18"/>
              </w:rPr>
              <w:t>home,</w:t>
            </w:r>
            <w:r>
              <w:rPr>
                <w:rFonts w:ascii="Calibri"/>
                <w:spacing w:val="-2"/>
                <w:sz w:val="18"/>
              </w:rPr>
              <w:t xml:space="preserve"> </w:t>
            </w:r>
            <w:r>
              <w:rPr>
                <w:rFonts w:ascii="Calibri"/>
                <w:spacing w:val="-1"/>
                <w:sz w:val="18"/>
              </w:rPr>
              <w:t>rather</w:t>
            </w:r>
            <w:r>
              <w:rPr>
                <w:rFonts w:ascii="Calibri"/>
                <w:spacing w:val="-2"/>
                <w:sz w:val="18"/>
              </w:rPr>
              <w:t xml:space="preserve"> </w:t>
            </w:r>
            <w:r>
              <w:rPr>
                <w:rFonts w:ascii="Calibri"/>
                <w:sz w:val="18"/>
              </w:rPr>
              <w:t>than</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rely</w:t>
            </w:r>
            <w:r>
              <w:rPr>
                <w:rFonts w:ascii="Calibri"/>
                <w:spacing w:val="-2"/>
                <w:sz w:val="18"/>
              </w:rPr>
              <w:t xml:space="preserve"> </w:t>
            </w:r>
            <w:r>
              <w:rPr>
                <w:rFonts w:ascii="Calibri"/>
                <w:sz w:val="18"/>
              </w:rPr>
              <w:t>on</w:t>
            </w:r>
            <w:r>
              <w:rPr>
                <w:rFonts w:ascii="Calibri"/>
                <w:spacing w:val="30"/>
                <w:sz w:val="18"/>
              </w:rPr>
              <w:t xml:space="preserve"> </w:t>
            </w:r>
            <w:r>
              <w:rPr>
                <w:rFonts w:ascii="Calibri"/>
                <w:spacing w:val="-1"/>
                <w:sz w:val="18"/>
              </w:rPr>
              <w:t>sampling.</w:t>
            </w:r>
            <w:r>
              <w:rPr>
                <w:rFonts w:ascii="Calibri"/>
                <w:spacing w:val="38"/>
                <w:sz w:val="18"/>
              </w:rPr>
              <w:t xml:space="preserve"> </w:t>
            </w:r>
            <w:r>
              <w:rPr>
                <w:rFonts w:ascii="Calibri"/>
                <w:spacing w:val="-1"/>
                <w:sz w:val="18"/>
              </w:rPr>
              <w:t>Sampling</w:t>
            </w:r>
            <w:r>
              <w:rPr>
                <w:rFonts w:ascii="Calibri"/>
                <w:spacing w:val="-3"/>
                <w:sz w:val="18"/>
              </w:rPr>
              <w:t xml:space="preserve"> </w:t>
            </w:r>
            <w:r>
              <w:rPr>
                <w:rFonts w:ascii="Calibri"/>
                <w:sz w:val="18"/>
              </w:rPr>
              <w:t>would</w:t>
            </w:r>
            <w:r>
              <w:rPr>
                <w:rFonts w:ascii="Calibri"/>
                <w:spacing w:val="-2"/>
                <w:sz w:val="18"/>
              </w:rPr>
              <w:t xml:space="preserve"> </w:t>
            </w:r>
            <w:r>
              <w:rPr>
                <w:rFonts w:ascii="Calibri"/>
                <w:sz w:val="18"/>
              </w:rPr>
              <w:t>not</w:t>
            </w:r>
            <w:r>
              <w:rPr>
                <w:rFonts w:ascii="Calibri"/>
                <w:spacing w:val="-2"/>
                <w:sz w:val="18"/>
              </w:rPr>
              <w:t xml:space="preserve"> </w:t>
            </w:r>
            <w:r>
              <w:rPr>
                <w:rFonts w:ascii="Calibri"/>
                <w:sz w:val="18"/>
              </w:rPr>
              <w:t>be</w:t>
            </w:r>
            <w:r>
              <w:rPr>
                <w:rFonts w:ascii="Calibri"/>
                <w:spacing w:val="23"/>
                <w:w w:val="99"/>
                <w:sz w:val="18"/>
              </w:rPr>
              <w:t xml:space="preserve"> </w:t>
            </w:r>
            <w:r>
              <w:rPr>
                <w:rFonts w:ascii="Calibri"/>
                <w:spacing w:val="-1"/>
                <w:sz w:val="18"/>
              </w:rPr>
              <w:t>beneficial</w:t>
            </w:r>
            <w:r>
              <w:rPr>
                <w:rFonts w:ascii="Calibri"/>
                <w:spacing w:val="-3"/>
                <w:sz w:val="18"/>
              </w:rPr>
              <w:t xml:space="preserve"> </w:t>
            </w:r>
            <w:r>
              <w:rPr>
                <w:rFonts w:ascii="Calibri"/>
                <w:sz w:val="18"/>
              </w:rPr>
              <w:t>for</w:t>
            </w:r>
            <w:r>
              <w:rPr>
                <w:rFonts w:ascii="Calibri"/>
                <w:spacing w:val="-2"/>
                <w:sz w:val="18"/>
              </w:rPr>
              <w:t xml:space="preserve"> </w:t>
            </w:r>
            <w:r>
              <w:rPr>
                <w:rFonts w:ascii="Calibri"/>
                <w:sz w:val="18"/>
              </w:rPr>
              <w:t>most</w:t>
            </w:r>
            <w:r>
              <w:rPr>
                <w:rFonts w:ascii="Calibri"/>
                <w:spacing w:val="-3"/>
                <w:sz w:val="18"/>
              </w:rPr>
              <w:t xml:space="preserve"> </w:t>
            </w:r>
            <w:r>
              <w:rPr>
                <w:rFonts w:ascii="Calibri"/>
                <w:spacing w:val="-1"/>
                <w:sz w:val="18"/>
              </w:rPr>
              <w:t>builders</w:t>
            </w:r>
            <w:r>
              <w:rPr>
                <w:rFonts w:ascii="Calibri"/>
                <w:spacing w:val="-2"/>
                <w:sz w:val="18"/>
              </w:rPr>
              <w:t xml:space="preserve"> </w:t>
            </w:r>
            <w:r>
              <w:rPr>
                <w:rFonts w:ascii="Calibri"/>
                <w:spacing w:val="-1"/>
                <w:sz w:val="18"/>
              </w:rPr>
              <w:t>and</w:t>
            </w:r>
            <w:r>
              <w:rPr>
                <w:rFonts w:ascii="Calibri"/>
                <w:spacing w:val="21"/>
                <w:sz w:val="18"/>
              </w:rPr>
              <w:t xml:space="preserve"> </w:t>
            </w:r>
            <w:r>
              <w:rPr>
                <w:rFonts w:ascii="Calibri"/>
                <w:spacing w:val="-1"/>
                <w:sz w:val="18"/>
              </w:rPr>
              <w:t>raters.</w:t>
            </w:r>
          </w:p>
        </w:tc>
      </w:tr>
    </w:tbl>
    <w:p w:rsidR="00E646C9" w:rsidRPr="003B56E9" w:rsidRDefault="00E646C9" w:rsidP="003B56E9"/>
    <w:p w:rsidR="00E646C9" w:rsidRDefault="00E646C9" w:rsidP="003B56E9">
      <w:pPr>
        <w:pStyle w:val="AppendixGHeading2"/>
      </w:pPr>
      <w:r>
        <w:t>Residential Low-Income</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11636D">
        <w:trPr>
          <w:trHeight w:hRule="exact" w:val="740"/>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68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670"/>
        </w:trPr>
        <w:tc>
          <w:tcPr>
            <w:tcW w:w="4680" w:type="dxa"/>
            <w:shd w:val="clear" w:color="auto" w:fill="D2EAF1"/>
          </w:tcPr>
          <w:p w:rsidR="00E646C9" w:rsidRDefault="00E646C9" w:rsidP="00C94D5A">
            <w:pPr>
              <w:pStyle w:val="TableParagraph"/>
              <w:ind w:left="102" w:right="125"/>
              <w:jc w:val="both"/>
              <w:rPr>
                <w:rFonts w:ascii="Calibri" w:eastAsia="Calibri" w:hAnsi="Calibri" w:cs="Calibri"/>
                <w:sz w:val="18"/>
                <w:szCs w:val="18"/>
              </w:rPr>
            </w:pPr>
            <w:r>
              <w:rPr>
                <w:rFonts w:ascii="Calibri" w:eastAsia="Calibri" w:hAnsi="Calibri" w:cs="Calibri"/>
                <w:spacing w:val="-1"/>
                <w:sz w:val="18"/>
                <w:szCs w:val="18"/>
              </w:rPr>
              <w:t>Enhance</w:t>
            </w:r>
            <w:r>
              <w:rPr>
                <w:rFonts w:ascii="Calibri" w:eastAsia="Calibri" w:hAnsi="Calibri" w:cs="Calibri"/>
                <w:spacing w:val="-3"/>
                <w:sz w:val="18"/>
                <w:szCs w:val="18"/>
              </w:rPr>
              <w:t xml:space="preserve"> </w:t>
            </w:r>
            <w:r>
              <w:rPr>
                <w:rFonts w:ascii="Calibri" w:eastAsia="Calibri" w:hAnsi="Calibri" w:cs="Calibri"/>
                <w:spacing w:val="-1"/>
                <w:sz w:val="18"/>
                <w:szCs w:val="18"/>
              </w:rPr>
              <w:t>quality assurance reviews</w:t>
            </w:r>
            <w:r>
              <w:rPr>
                <w:rFonts w:ascii="Calibri" w:eastAsia="Calibri" w:hAnsi="Calibri" w:cs="Calibri"/>
                <w:spacing w:val="-2"/>
                <w:sz w:val="18"/>
                <w:szCs w:val="18"/>
              </w:rPr>
              <w:t xml:space="preserve"> </w:t>
            </w:r>
            <w:r>
              <w:rPr>
                <w:rFonts w:ascii="Calibri" w:eastAsia="Calibri" w:hAnsi="Calibri" w:cs="Calibri"/>
                <w:spacing w:val="-1"/>
                <w:sz w:val="18"/>
                <w:szCs w:val="18"/>
              </w:rPr>
              <w:t>and</w:t>
            </w:r>
            <w:r>
              <w:rPr>
                <w:rFonts w:ascii="Calibri" w:eastAsia="Calibri" w:hAnsi="Calibri" w:cs="Calibri"/>
                <w:spacing w:val="-2"/>
                <w:sz w:val="18"/>
                <w:szCs w:val="18"/>
              </w:rPr>
              <w:t xml:space="preserve"> </w:t>
            </w:r>
            <w:r>
              <w:rPr>
                <w:rFonts w:ascii="Calibri" w:eastAsia="Calibri" w:hAnsi="Calibri" w:cs="Calibri"/>
                <w:spacing w:val="-1"/>
                <w:sz w:val="18"/>
                <w:szCs w:val="18"/>
              </w:rPr>
              <w:t>follow-up</w:t>
            </w:r>
            <w:r>
              <w:rPr>
                <w:rFonts w:ascii="Calibri" w:eastAsia="Calibri" w:hAnsi="Calibri" w:cs="Calibri"/>
                <w:spacing w:val="-2"/>
                <w:sz w:val="18"/>
                <w:szCs w:val="18"/>
              </w:rPr>
              <w:t xml:space="preserve"> </w:t>
            </w:r>
            <w:r>
              <w:rPr>
                <w:rFonts w:ascii="Calibri" w:eastAsia="Calibri" w:hAnsi="Calibri" w:cs="Calibri"/>
                <w:spacing w:val="-1"/>
                <w:sz w:val="18"/>
                <w:szCs w:val="18"/>
              </w:rPr>
              <w:t>with</w:t>
            </w:r>
            <w:r>
              <w:rPr>
                <w:rFonts w:ascii="Calibri" w:eastAsia="Calibri" w:hAnsi="Calibri" w:cs="Calibri"/>
                <w:spacing w:val="-3"/>
                <w:sz w:val="18"/>
                <w:szCs w:val="18"/>
              </w:rPr>
              <w:t xml:space="preserve"> </w:t>
            </w:r>
            <w:r>
              <w:rPr>
                <w:rFonts w:ascii="Calibri" w:eastAsia="Calibri" w:hAnsi="Calibri" w:cs="Calibri"/>
                <w:spacing w:val="-1"/>
                <w:sz w:val="18"/>
                <w:szCs w:val="18"/>
              </w:rPr>
              <w:t>those</w:t>
            </w:r>
            <w:r>
              <w:rPr>
                <w:rFonts w:ascii="Calibri" w:eastAsia="Calibri" w:hAnsi="Calibri" w:cs="Calibri"/>
                <w:spacing w:val="65"/>
                <w:w w:val="99"/>
                <w:sz w:val="18"/>
                <w:szCs w:val="18"/>
              </w:rPr>
              <w:t xml:space="preserve"> </w:t>
            </w:r>
            <w:r>
              <w:rPr>
                <w:rFonts w:ascii="Calibri" w:eastAsia="Calibri" w:hAnsi="Calibri" w:cs="Calibri"/>
                <w:spacing w:val="-1"/>
                <w:sz w:val="18"/>
                <w:szCs w:val="18"/>
              </w:rPr>
              <w:t>contractors</w:t>
            </w:r>
            <w:r>
              <w:rPr>
                <w:rFonts w:ascii="Calibri" w:eastAsia="Calibri" w:hAnsi="Calibri" w:cs="Calibri"/>
                <w:spacing w:val="-4"/>
                <w:sz w:val="18"/>
                <w:szCs w:val="18"/>
              </w:rPr>
              <w:t xml:space="preserve"> </w:t>
            </w:r>
            <w:r>
              <w:rPr>
                <w:rFonts w:ascii="Calibri" w:eastAsia="Calibri" w:hAnsi="Calibri" w:cs="Calibri"/>
                <w:sz w:val="18"/>
                <w:szCs w:val="18"/>
              </w:rPr>
              <w:t>for</w:t>
            </w:r>
            <w:r>
              <w:rPr>
                <w:rFonts w:ascii="Calibri" w:eastAsia="Calibri" w:hAnsi="Calibri" w:cs="Calibri"/>
                <w:spacing w:val="-3"/>
                <w:sz w:val="18"/>
                <w:szCs w:val="18"/>
              </w:rPr>
              <w:t xml:space="preserve"> </w:t>
            </w:r>
            <w:r>
              <w:rPr>
                <w:rFonts w:ascii="Calibri" w:eastAsia="Calibri" w:hAnsi="Calibri" w:cs="Calibri"/>
                <w:sz w:val="18"/>
                <w:szCs w:val="18"/>
              </w:rPr>
              <w:t>whom</w:t>
            </w:r>
            <w:r>
              <w:rPr>
                <w:rFonts w:ascii="Calibri" w:eastAsia="Calibri" w:hAnsi="Calibri" w:cs="Calibri"/>
                <w:spacing w:val="-3"/>
                <w:sz w:val="18"/>
                <w:szCs w:val="18"/>
              </w:rPr>
              <w:t xml:space="preserve"> </w:t>
            </w:r>
            <w:r>
              <w:rPr>
                <w:rFonts w:ascii="Calibri" w:eastAsia="Calibri" w:hAnsi="Calibri" w:cs="Calibri"/>
                <w:spacing w:val="-1"/>
                <w:sz w:val="18"/>
                <w:szCs w:val="18"/>
              </w:rPr>
              <w:t>households</w:t>
            </w:r>
            <w:r>
              <w:rPr>
                <w:rFonts w:ascii="Calibri" w:eastAsia="Calibri" w:hAnsi="Calibri" w:cs="Calibri"/>
                <w:spacing w:val="-3"/>
                <w:sz w:val="18"/>
                <w:szCs w:val="18"/>
              </w:rPr>
              <w:t xml:space="preserve"> </w:t>
            </w:r>
            <w:r>
              <w:rPr>
                <w:rFonts w:ascii="Calibri" w:eastAsia="Calibri" w:hAnsi="Calibri" w:cs="Calibri"/>
                <w:spacing w:val="-1"/>
                <w:sz w:val="18"/>
                <w:szCs w:val="18"/>
              </w:rPr>
              <w:t>report</w:t>
            </w:r>
            <w:r>
              <w:rPr>
                <w:rFonts w:ascii="Calibri" w:eastAsia="Calibri" w:hAnsi="Calibri" w:cs="Calibri"/>
                <w:spacing w:val="-3"/>
                <w:sz w:val="18"/>
                <w:szCs w:val="18"/>
              </w:rPr>
              <w:t xml:space="preserve"> </w:t>
            </w:r>
            <w:r>
              <w:rPr>
                <w:rFonts w:ascii="Calibri" w:eastAsia="Calibri" w:hAnsi="Calibri" w:cs="Calibri"/>
                <w:spacing w:val="-1"/>
                <w:sz w:val="18"/>
                <w:szCs w:val="18"/>
              </w:rPr>
              <w:t>measures</w:t>
            </w:r>
            <w:r>
              <w:rPr>
                <w:rFonts w:ascii="Calibri" w:eastAsia="Calibri" w:hAnsi="Calibri" w:cs="Calibri"/>
                <w:spacing w:val="-4"/>
                <w:sz w:val="18"/>
                <w:szCs w:val="18"/>
              </w:rPr>
              <w:t xml:space="preserve"> </w:t>
            </w:r>
            <w:r>
              <w:rPr>
                <w:rFonts w:ascii="Calibri" w:eastAsia="Calibri" w:hAnsi="Calibri" w:cs="Calibri"/>
                <w:spacing w:val="-1"/>
                <w:sz w:val="18"/>
                <w:szCs w:val="18"/>
              </w:rPr>
              <w:t>are</w:t>
            </w:r>
            <w:r>
              <w:rPr>
                <w:rFonts w:ascii="Calibri" w:eastAsia="Calibri" w:hAnsi="Calibri" w:cs="Calibri"/>
                <w:spacing w:val="-3"/>
                <w:sz w:val="18"/>
                <w:szCs w:val="18"/>
              </w:rPr>
              <w:t xml:space="preserve"> </w:t>
            </w:r>
            <w:r>
              <w:rPr>
                <w:rFonts w:ascii="Calibri" w:eastAsia="Calibri" w:hAnsi="Calibri" w:cs="Calibri"/>
                <w:spacing w:val="-1"/>
                <w:sz w:val="18"/>
                <w:szCs w:val="18"/>
              </w:rPr>
              <w:t>more</w:t>
            </w:r>
            <w:r>
              <w:rPr>
                <w:rFonts w:ascii="Calibri" w:eastAsia="Calibri" w:hAnsi="Calibri" w:cs="Calibri"/>
                <w:spacing w:val="58"/>
                <w:w w:val="99"/>
                <w:sz w:val="18"/>
                <w:szCs w:val="18"/>
              </w:rPr>
              <w:t xml:space="preserve"> </w:t>
            </w:r>
            <w:r>
              <w:rPr>
                <w:rFonts w:ascii="Calibri" w:eastAsia="Calibri" w:hAnsi="Calibri" w:cs="Calibri"/>
                <w:spacing w:val="-1"/>
                <w:sz w:val="18"/>
                <w:szCs w:val="18"/>
              </w:rPr>
              <w:t>frequently “left</w:t>
            </w:r>
            <w:r>
              <w:rPr>
                <w:rFonts w:ascii="Calibri" w:eastAsia="Calibri" w:hAnsi="Calibri" w:cs="Calibri"/>
                <w:spacing w:val="-3"/>
                <w:sz w:val="18"/>
                <w:szCs w:val="18"/>
              </w:rPr>
              <w:t xml:space="preserve"> </w:t>
            </w:r>
            <w:r>
              <w:rPr>
                <w:rFonts w:ascii="Calibri" w:eastAsia="Calibri" w:hAnsi="Calibri" w:cs="Calibri"/>
                <w:sz w:val="18"/>
                <w:szCs w:val="18"/>
              </w:rPr>
              <w:t>behind”</w:t>
            </w:r>
            <w:r>
              <w:rPr>
                <w:rFonts w:ascii="Calibri" w:eastAsia="Calibri" w:hAnsi="Calibri" w:cs="Calibri"/>
                <w:spacing w:val="-2"/>
                <w:sz w:val="18"/>
                <w:szCs w:val="18"/>
              </w:rPr>
              <w:t xml:space="preserve"> </w:t>
            </w:r>
            <w:r>
              <w:rPr>
                <w:rFonts w:ascii="Calibri" w:eastAsia="Calibri" w:hAnsi="Calibri" w:cs="Calibri"/>
                <w:sz w:val="18"/>
                <w:szCs w:val="18"/>
              </w:rPr>
              <w:t>for</w:t>
            </w:r>
            <w:r>
              <w:rPr>
                <w:rFonts w:ascii="Calibri" w:eastAsia="Calibri" w:hAnsi="Calibri" w:cs="Calibri"/>
                <w:spacing w:val="-3"/>
                <w:sz w:val="18"/>
                <w:szCs w:val="18"/>
              </w:rPr>
              <w:t xml:space="preserve"> </w:t>
            </w:r>
            <w:r>
              <w:rPr>
                <w:rFonts w:ascii="Calibri" w:eastAsia="Calibri" w:hAnsi="Calibri" w:cs="Calibri"/>
                <w:spacing w:val="-1"/>
                <w:sz w:val="18"/>
                <w:szCs w:val="18"/>
              </w:rPr>
              <w:t>future</w:t>
            </w:r>
            <w:r>
              <w:rPr>
                <w:rFonts w:ascii="Calibri" w:eastAsia="Calibri" w:hAnsi="Calibri" w:cs="Calibri"/>
                <w:spacing w:val="-3"/>
                <w:sz w:val="18"/>
                <w:szCs w:val="18"/>
              </w:rPr>
              <w:t xml:space="preserve"> </w:t>
            </w:r>
            <w:r>
              <w:rPr>
                <w:rFonts w:ascii="Calibri" w:eastAsia="Calibri" w:hAnsi="Calibri" w:cs="Calibri"/>
                <w:spacing w:val="-1"/>
                <w:sz w:val="18"/>
                <w:szCs w:val="18"/>
              </w:rPr>
              <w:t>installation.</w:t>
            </w:r>
          </w:p>
        </w:tc>
        <w:tc>
          <w:tcPr>
            <w:tcW w:w="468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670"/>
        </w:trPr>
        <w:tc>
          <w:tcPr>
            <w:tcW w:w="4680" w:type="dxa"/>
          </w:tcPr>
          <w:p w:rsidR="00E646C9" w:rsidRDefault="00E646C9" w:rsidP="00C94D5A">
            <w:pPr>
              <w:pStyle w:val="TableParagraph"/>
              <w:ind w:left="102" w:right="129"/>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pacing w:val="-1"/>
                <w:sz w:val="18"/>
              </w:rPr>
              <w:t>conservation</w:t>
            </w:r>
            <w:r>
              <w:rPr>
                <w:rFonts w:ascii="Calibri"/>
                <w:spacing w:val="-3"/>
                <w:sz w:val="18"/>
              </w:rPr>
              <w:t xml:space="preserve"> </w:t>
            </w:r>
            <w:r>
              <w:rPr>
                <w:rFonts w:ascii="Calibri"/>
                <w:spacing w:val="-1"/>
                <w:sz w:val="18"/>
              </w:rPr>
              <w:t>kits,</w:t>
            </w:r>
            <w:r>
              <w:rPr>
                <w:rFonts w:ascii="Calibri"/>
                <w:spacing w:val="-3"/>
                <w:sz w:val="18"/>
              </w:rPr>
              <w:t xml:space="preserve"> </w:t>
            </w:r>
            <w:r>
              <w:rPr>
                <w:rFonts w:ascii="Calibri"/>
                <w:sz w:val="18"/>
              </w:rPr>
              <w:t>consider</w:t>
            </w:r>
            <w:r>
              <w:rPr>
                <w:rFonts w:ascii="Calibri"/>
                <w:spacing w:val="-3"/>
                <w:sz w:val="18"/>
              </w:rPr>
              <w:t xml:space="preserve"> </w:t>
            </w:r>
            <w:r>
              <w:rPr>
                <w:rFonts w:ascii="Calibri"/>
                <w:spacing w:val="-1"/>
                <w:sz w:val="18"/>
              </w:rPr>
              <w:t>including</w:t>
            </w:r>
            <w:r>
              <w:rPr>
                <w:rFonts w:ascii="Calibri"/>
                <w:spacing w:val="-4"/>
                <w:sz w:val="18"/>
              </w:rPr>
              <w:t xml:space="preserve"> </w:t>
            </w:r>
            <w:r>
              <w:rPr>
                <w:rFonts w:ascii="Calibri"/>
                <w:sz w:val="18"/>
              </w:rPr>
              <w:t>fewer</w:t>
            </w:r>
            <w:r>
              <w:rPr>
                <w:rFonts w:ascii="Calibri"/>
                <w:spacing w:val="-4"/>
                <w:sz w:val="18"/>
              </w:rPr>
              <w:t xml:space="preserve"> </w:t>
            </w:r>
            <w:r>
              <w:rPr>
                <w:rFonts w:ascii="Calibri"/>
                <w:spacing w:val="-1"/>
                <w:sz w:val="18"/>
              </w:rPr>
              <w:t>9W</w:t>
            </w:r>
            <w:r>
              <w:rPr>
                <w:rFonts w:ascii="Calibri"/>
                <w:spacing w:val="39"/>
                <w:w w:val="99"/>
                <w:sz w:val="18"/>
              </w:rPr>
              <w:t xml:space="preserve"> </w:t>
            </w:r>
            <w:r>
              <w:rPr>
                <w:rFonts w:ascii="Calibri"/>
                <w:spacing w:val="-1"/>
                <w:sz w:val="18"/>
              </w:rPr>
              <w:t>globes.</w:t>
            </w:r>
            <w:r>
              <w:rPr>
                <w:rFonts w:ascii="Calibri"/>
                <w:spacing w:val="37"/>
                <w:sz w:val="18"/>
              </w:rPr>
              <w:t xml:space="preserve"> </w:t>
            </w:r>
            <w:r>
              <w:rPr>
                <w:rFonts w:ascii="Calibri"/>
                <w:spacing w:val="-1"/>
                <w:sz w:val="18"/>
              </w:rPr>
              <w:t>Customers</w:t>
            </w:r>
            <w:r>
              <w:rPr>
                <w:rFonts w:ascii="Calibri"/>
                <w:spacing w:val="-2"/>
                <w:sz w:val="18"/>
              </w:rPr>
              <w:t xml:space="preserve"> </w:t>
            </w:r>
            <w:r>
              <w:rPr>
                <w:rFonts w:ascii="Calibri"/>
                <w:spacing w:val="-1"/>
                <w:sz w:val="18"/>
              </w:rPr>
              <w:t>are</w:t>
            </w:r>
            <w:r>
              <w:rPr>
                <w:rFonts w:ascii="Calibri"/>
                <w:sz w:val="18"/>
              </w:rPr>
              <w:t xml:space="preserve"> </w:t>
            </w:r>
            <w:r>
              <w:rPr>
                <w:rFonts w:ascii="Calibri"/>
                <w:spacing w:val="-1"/>
                <w:sz w:val="18"/>
              </w:rPr>
              <w:t>slower</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install</w:t>
            </w:r>
            <w:r>
              <w:rPr>
                <w:rFonts w:ascii="Calibri"/>
                <w:spacing w:val="1"/>
                <w:sz w:val="18"/>
              </w:rPr>
              <w:t xml:space="preserve"> </w:t>
            </w:r>
            <w:r>
              <w:rPr>
                <w:rFonts w:ascii="Calibri"/>
                <w:spacing w:val="-1"/>
                <w:sz w:val="18"/>
              </w:rPr>
              <w:t>those</w:t>
            </w:r>
            <w:r>
              <w:rPr>
                <w:rFonts w:ascii="Calibri"/>
                <w:spacing w:val="-3"/>
                <w:sz w:val="18"/>
              </w:rPr>
              <w:t xml:space="preserve"> </w:t>
            </w:r>
            <w:r>
              <w:rPr>
                <w:rFonts w:ascii="Calibri"/>
                <w:sz w:val="18"/>
              </w:rPr>
              <w:t>than</w:t>
            </w:r>
            <w:r>
              <w:rPr>
                <w:rFonts w:ascii="Calibri"/>
                <w:spacing w:val="-2"/>
                <w:sz w:val="18"/>
              </w:rPr>
              <w:t xml:space="preserve"> </w:t>
            </w:r>
            <w:r>
              <w:rPr>
                <w:rFonts w:ascii="Calibri"/>
                <w:spacing w:val="-1"/>
                <w:sz w:val="18"/>
              </w:rPr>
              <w:t>any other</w:t>
            </w:r>
            <w:r>
              <w:rPr>
                <w:rFonts w:ascii="Calibri"/>
                <w:spacing w:val="58"/>
                <w:w w:val="99"/>
                <w:sz w:val="18"/>
              </w:rPr>
              <w:t xml:space="preserve"> </w:t>
            </w:r>
            <w:r>
              <w:rPr>
                <w:rFonts w:ascii="Calibri"/>
                <w:spacing w:val="-1"/>
                <w:sz w:val="18"/>
              </w:rPr>
              <w:t>lamps</w:t>
            </w:r>
            <w:r>
              <w:rPr>
                <w:rFonts w:ascii="Calibri"/>
                <w:spacing w:val="-3"/>
                <w:sz w:val="18"/>
              </w:rPr>
              <w:t xml:space="preserve"> </w:t>
            </w:r>
            <w:r>
              <w:rPr>
                <w:rFonts w:ascii="Calibri"/>
                <w:spacing w:val="-1"/>
                <w:sz w:val="18"/>
              </w:rPr>
              <w:t>included</w:t>
            </w:r>
            <w:r>
              <w:rPr>
                <w:rFonts w:ascii="Calibri"/>
                <w:spacing w:val="-2"/>
                <w:sz w:val="18"/>
              </w:rPr>
              <w:t xml:space="preserve"> </w:t>
            </w:r>
            <w:r>
              <w:rPr>
                <w:rFonts w:ascii="Calibri"/>
                <w:spacing w:val="-1"/>
                <w:sz w:val="18"/>
              </w:rPr>
              <w:t>in</w:t>
            </w:r>
            <w:r>
              <w:rPr>
                <w:rFonts w:ascii="Calibri"/>
                <w:sz w:val="18"/>
              </w:rPr>
              <w:t xml:space="preserve"> </w:t>
            </w:r>
            <w:r>
              <w:rPr>
                <w:rFonts w:ascii="Calibri"/>
                <w:spacing w:val="-1"/>
                <w:sz w:val="18"/>
              </w:rPr>
              <w:t>the</w:t>
            </w:r>
            <w:r>
              <w:rPr>
                <w:rFonts w:ascii="Calibri"/>
                <w:spacing w:val="-3"/>
                <w:sz w:val="18"/>
              </w:rPr>
              <w:t xml:space="preserve"> </w:t>
            </w:r>
            <w:r>
              <w:rPr>
                <w:rFonts w:ascii="Calibri"/>
                <w:spacing w:val="-1"/>
                <w:sz w:val="18"/>
              </w:rPr>
              <w:t>kits.</w:t>
            </w:r>
          </w:p>
        </w:tc>
        <w:tc>
          <w:tcPr>
            <w:tcW w:w="4680"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bl>
    <w:p w:rsidR="00E646C9" w:rsidRPr="003B56E9" w:rsidRDefault="00E646C9" w:rsidP="003B56E9"/>
    <w:p w:rsidR="00E646C9" w:rsidRDefault="00E646C9" w:rsidP="003B56E9">
      <w:pPr>
        <w:pStyle w:val="AppendixGHeading2"/>
      </w:pPr>
      <w:r>
        <w:t>Commercial and Industrial Energy Efficient Equipment Program - Small</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11636D">
        <w:trPr>
          <w:trHeight w:hRule="exact" w:val="668"/>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68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449"/>
        </w:trPr>
        <w:tc>
          <w:tcPr>
            <w:tcW w:w="4680" w:type="dxa"/>
            <w:shd w:val="clear" w:color="auto" w:fill="D2EAF1"/>
          </w:tcPr>
          <w:p w:rsidR="00E646C9" w:rsidRDefault="00E646C9" w:rsidP="00C94D5A">
            <w:pPr>
              <w:pStyle w:val="TableParagraph"/>
              <w:ind w:left="102" w:right="137"/>
              <w:rPr>
                <w:rFonts w:ascii="Calibri" w:eastAsia="Calibri" w:hAnsi="Calibri" w:cs="Calibri"/>
                <w:sz w:val="18"/>
                <w:szCs w:val="18"/>
              </w:rPr>
            </w:pPr>
            <w:r>
              <w:rPr>
                <w:rFonts w:ascii="Calibri"/>
                <w:spacing w:val="-1"/>
                <w:sz w:val="18"/>
              </w:rPr>
              <w:t>Ensure</w:t>
            </w:r>
            <w:r>
              <w:rPr>
                <w:rFonts w:ascii="Calibri"/>
                <w:spacing w:val="-4"/>
                <w:sz w:val="18"/>
              </w:rPr>
              <w:t xml:space="preserve"> </w:t>
            </w:r>
            <w:r>
              <w:rPr>
                <w:rFonts w:ascii="Calibri"/>
                <w:spacing w:val="-1"/>
                <w:sz w:val="18"/>
              </w:rPr>
              <w:t>continued</w:t>
            </w:r>
            <w:r>
              <w:rPr>
                <w:rFonts w:ascii="Calibri"/>
                <w:spacing w:val="-3"/>
                <w:sz w:val="18"/>
              </w:rPr>
              <w:t xml:space="preserve"> </w:t>
            </w:r>
            <w:r>
              <w:rPr>
                <w:rFonts w:ascii="Calibri"/>
                <w:spacing w:val="-1"/>
                <w:sz w:val="18"/>
              </w:rPr>
              <w:t>engagement</w:t>
            </w:r>
            <w:r>
              <w:rPr>
                <w:rFonts w:ascii="Calibri"/>
                <w:spacing w:val="-4"/>
                <w:sz w:val="18"/>
              </w:rPr>
              <w:t xml:space="preserve"> </w:t>
            </w:r>
            <w:r>
              <w:rPr>
                <w:rFonts w:ascii="Calibri"/>
                <w:sz w:val="18"/>
              </w:rPr>
              <w:t>with</w:t>
            </w:r>
            <w:r>
              <w:rPr>
                <w:rFonts w:ascii="Calibri"/>
                <w:spacing w:val="-3"/>
                <w:sz w:val="18"/>
              </w:rPr>
              <w:t xml:space="preserve"> </w:t>
            </w:r>
            <w:r>
              <w:rPr>
                <w:rFonts w:ascii="Calibri"/>
                <w:spacing w:val="-1"/>
                <w:sz w:val="18"/>
              </w:rPr>
              <w:t>past participants</w:t>
            </w:r>
            <w:r>
              <w:rPr>
                <w:rFonts w:ascii="Calibri"/>
                <w:spacing w:val="-4"/>
                <w:sz w:val="18"/>
              </w:rPr>
              <w:t xml:space="preserve"> </w:t>
            </w:r>
            <w:r>
              <w:rPr>
                <w:rFonts w:ascii="Calibri"/>
                <w:sz w:val="18"/>
              </w:rPr>
              <w:t>as</w:t>
            </w:r>
            <w:r>
              <w:rPr>
                <w:rFonts w:ascii="Calibri"/>
                <w:spacing w:val="-3"/>
                <w:sz w:val="18"/>
              </w:rPr>
              <w:t xml:space="preserve"> </w:t>
            </w:r>
            <w:r>
              <w:rPr>
                <w:rFonts w:ascii="Calibri"/>
                <w:spacing w:val="-1"/>
                <w:sz w:val="18"/>
              </w:rPr>
              <w:t>they</w:t>
            </w:r>
            <w:r>
              <w:rPr>
                <w:rFonts w:ascii="Calibri"/>
                <w:spacing w:val="56"/>
                <w:w w:val="99"/>
                <w:sz w:val="18"/>
              </w:rPr>
              <w:t xml:space="preserve"> </w:t>
            </w:r>
            <w:r>
              <w:rPr>
                <w:rFonts w:ascii="Calibri"/>
                <w:spacing w:val="-1"/>
                <w:sz w:val="18"/>
              </w:rPr>
              <w:t>are</w:t>
            </w:r>
            <w:r>
              <w:rPr>
                <w:rFonts w:ascii="Calibri"/>
                <w:spacing w:val="-3"/>
                <w:sz w:val="18"/>
              </w:rPr>
              <w:t xml:space="preserve"> </w:t>
            </w:r>
            <w:r>
              <w:rPr>
                <w:rFonts w:ascii="Calibri"/>
                <w:spacing w:val="-1"/>
                <w:sz w:val="18"/>
              </w:rPr>
              <w:t>likely</w:t>
            </w:r>
            <w:r>
              <w:rPr>
                <w:rFonts w:ascii="Calibri"/>
                <w:spacing w:val="-2"/>
                <w:sz w:val="18"/>
              </w:rPr>
              <w:t xml:space="preserve"> </w:t>
            </w:r>
            <w:r>
              <w:rPr>
                <w:rFonts w:ascii="Calibri"/>
                <w:spacing w:val="-1"/>
                <w:sz w:val="18"/>
              </w:rPr>
              <w:t>to</w:t>
            </w:r>
            <w:r>
              <w:rPr>
                <w:rFonts w:ascii="Calibri"/>
                <w:sz w:val="18"/>
              </w:rPr>
              <w:t xml:space="preserve"> </w:t>
            </w:r>
            <w:r>
              <w:rPr>
                <w:rFonts w:ascii="Calibri"/>
                <w:spacing w:val="-1"/>
                <w:sz w:val="18"/>
              </w:rPr>
              <w:t>participate in</w:t>
            </w:r>
            <w:r>
              <w:rPr>
                <w:rFonts w:ascii="Calibri"/>
                <w:spacing w:val="-3"/>
                <w:sz w:val="18"/>
              </w:rPr>
              <w:t xml:space="preserve"> </w:t>
            </w:r>
            <w:r>
              <w:rPr>
                <w:rFonts w:ascii="Calibri"/>
                <w:sz w:val="18"/>
              </w:rPr>
              <w:t>the</w:t>
            </w:r>
            <w:r>
              <w:rPr>
                <w:rFonts w:ascii="Calibri"/>
                <w:spacing w:val="-2"/>
                <w:sz w:val="18"/>
              </w:rPr>
              <w:t xml:space="preserve"> </w:t>
            </w:r>
            <w:r>
              <w:rPr>
                <w:rFonts w:ascii="Calibri"/>
                <w:spacing w:val="-1"/>
                <w:sz w:val="18"/>
              </w:rPr>
              <w:t>future.</w:t>
            </w:r>
          </w:p>
        </w:tc>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451"/>
        </w:trPr>
        <w:tc>
          <w:tcPr>
            <w:tcW w:w="4680" w:type="dxa"/>
          </w:tcPr>
          <w:p w:rsidR="00E646C9" w:rsidRDefault="00E646C9" w:rsidP="00C94D5A">
            <w:pPr>
              <w:pStyle w:val="TableParagraph"/>
              <w:ind w:left="102" w:right="198"/>
              <w:rPr>
                <w:rFonts w:ascii="Calibri" w:eastAsia="Calibri" w:hAnsi="Calibri" w:cs="Calibri"/>
                <w:sz w:val="18"/>
                <w:szCs w:val="18"/>
              </w:rPr>
            </w:pPr>
            <w:r>
              <w:rPr>
                <w:rFonts w:ascii="Calibri"/>
                <w:sz w:val="18"/>
              </w:rPr>
              <w:t>If</w:t>
            </w:r>
            <w:r>
              <w:rPr>
                <w:rFonts w:ascii="Calibri"/>
                <w:spacing w:val="-2"/>
                <w:sz w:val="18"/>
              </w:rPr>
              <w:t xml:space="preserve"> </w:t>
            </w:r>
            <w:r>
              <w:rPr>
                <w:rFonts w:ascii="Calibri"/>
                <w:spacing w:val="-1"/>
                <w:sz w:val="18"/>
              </w:rPr>
              <w:t>participation</w:t>
            </w:r>
            <w:r>
              <w:rPr>
                <w:rFonts w:ascii="Calibri"/>
                <w:spacing w:val="-2"/>
                <w:sz w:val="18"/>
              </w:rPr>
              <w:t xml:space="preserve"> </w:t>
            </w:r>
            <w:r>
              <w:rPr>
                <w:rFonts w:ascii="Calibri"/>
                <w:sz w:val="18"/>
              </w:rPr>
              <w:t>is</w:t>
            </w:r>
            <w:r>
              <w:rPr>
                <w:rFonts w:ascii="Calibri"/>
                <w:spacing w:val="-3"/>
                <w:sz w:val="18"/>
              </w:rPr>
              <w:t xml:space="preserve"> </w:t>
            </w:r>
            <w:r>
              <w:rPr>
                <w:rFonts w:ascii="Calibri"/>
                <w:spacing w:val="-1"/>
                <w:sz w:val="18"/>
              </w:rPr>
              <w:t>lacking</w:t>
            </w:r>
            <w:r>
              <w:rPr>
                <w:rFonts w:ascii="Calibri"/>
                <w:sz w:val="18"/>
              </w:rPr>
              <w:t xml:space="preserve"> </w:t>
            </w:r>
            <w:r>
              <w:rPr>
                <w:rFonts w:ascii="Calibri"/>
                <w:spacing w:val="-1"/>
                <w:sz w:val="18"/>
              </w:rPr>
              <w:t>in</w:t>
            </w:r>
            <w:r>
              <w:rPr>
                <w:rFonts w:ascii="Calibri"/>
                <w:spacing w:val="-3"/>
                <w:sz w:val="18"/>
              </w:rPr>
              <w:t xml:space="preserve"> </w:t>
            </w:r>
            <w:r>
              <w:rPr>
                <w:rFonts w:ascii="Calibri"/>
                <w:sz w:val="18"/>
              </w:rPr>
              <w:t>the</w:t>
            </w:r>
            <w:r>
              <w:rPr>
                <w:rFonts w:ascii="Calibri"/>
                <w:spacing w:val="-2"/>
                <w:sz w:val="18"/>
              </w:rPr>
              <w:t xml:space="preserve"> </w:t>
            </w:r>
            <w:r>
              <w:rPr>
                <w:rFonts w:ascii="Calibri"/>
                <w:spacing w:val="-1"/>
                <w:sz w:val="18"/>
              </w:rPr>
              <w:t>future,</w:t>
            </w:r>
            <w:r>
              <w:rPr>
                <w:rFonts w:ascii="Calibri"/>
                <w:spacing w:val="-2"/>
                <w:sz w:val="18"/>
              </w:rPr>
              <w:t xml:space="preserve"> </w:t>
            </w:r>
            <w:r>
              <w:rPr>
                <w:rFonts w:ascii="Calibri"/>
                <w:spacing w:val="-1"/>
                <w:sz w:val="18"/>
              </w:rPr>
              <w:t>consider</w:t>
            </w:r>
            <w:r>
              <w:rPr>
                <w:rFonts w:ascii="Calibri"/>
                <w:spacing w:val="-2"/>
                <w:sz w:val="18"/>
              </w:rPr>
              <w:t xml:space="preserve"> </w:t>
            </w:r>
            <w:r>
              <w:rPr>
                <w:rFonts w:ascii="Calibri"/>
                <w:sz w:val="18"/>
              </w:rPr>
              <w:t>a</w:t>
            </w:r>
            <w:r>
              <w:rPr>
                <w:rFonts w:ascii="Calibri"/>
                <w:spacing w:val="43"/>
                <w:sz w:val="18"/>
              </w:rPr>
              <w:t xml:space="preserve"> </w:t>
            </w:r>
            <w:r>
              <w:rPr>
                <w:rFonts w:ascii="Calibri"/>
                <w:spacing w:val="-1"/>
                <w:sz w:val="18"/>
              </w:rPr>
              <w:t>referral/recruitment</w:t>
            </w:r>
            <w:r>
              <w:rPr>
                <w:rFonts w:ascii="Calibri"/>
                <w:spacing w:val="-5"/>
                <w:sz w:val="18"/>
              </w:rPr>
              <w:t xml:space="preserve"> </w:t>
            </w:r>
            <w:r>
              <w:rPr>
                <w:rFonts w:ascii="Calibri"/>
                <w:spacing w:val="-1"/>
                <w:sz w:val="18"/>
              </w:rPr>
              <w:t>award</w:t>
            </w:r>
            <w:r>
              <w:rPr>
                <w:rFonts w:ascii="Calibri"/>
                <w:spacing w:val="-5"/>
                <w:sz w:val="18"/>
              </w:rPr>
              <w:t xml:space="preserve"> </w:t>
            </w:r>
            <w:r>
              <w:rPr>
                <w:rFonts w:ascii="Calibri"/>
                <w:sz w:val="18"/>
              </w:rPr>
              <w:t>program</w:t>
            </w:r>
            <w:r>
              <w:rPr>
                <w:rFonts w:ascii="Calibri"/>
                <w:spacing w:val="-5"/>
                <w:sz w:val="18"/>
              </w:rPr>
              <w:t xml:space="preserve"> </w:t>
            </w:r>
            <w:r>
              <w:rPr>
                <w:rFonts w:ascii="Calibri"/>
                <w:sz w:val="18"/>
              </w:rPr>
              <w:t>from</w:t>
            </w:r>
            <w:r>
              <w:rPr>
                <w:rFonts w:ascii="Calibri"/>
                <w:spacing w:val="-4"/>
                <w:sz w:val="18"/>
              </w:rPr>
              <w:t xml:space="preserve"> </w:t>
            </w:r>
            <w:r>
              <w:rPr>
                <w:rFonts w:ascii="Calibri"/>
                <w:spacing w:val="-1"/>
                <w:sz w:val="18"/>
              </w:rPr>
              <w:t>past</w:t>
            </w:r>
            <w:r>
              <w:rPr>
                <w:rFonts w:ascii="Calibri"/>
                <w:spacing w:val="-5"/>
                <w:sz w:val="18"/>
              </w:rPr>
              <w:t xml:space="preserve"> </w:t>
            </w:r>
            <w:r>
              <w:rPr>
                <w:rFonts w:ascii="Calibri"/>
                <w:spacing w:val="-1"/>
                <w:sz w:val="18"/>
              </w:rPr>
              <w:t>participants.</w:t>
            </w:r>
          </w:p>
        </w:tc>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3"/>
                <w:sz w:val="18"/>
              </w:rPr>
              <w:t xml:space="preserve"> </w:t>
            </w:r>
            <w:r>
              <w:rPr>
                <w:rFonts w:ascii="Calibri"/>
                <w:sz w:val="18"/>
              </w:rPr>
              <w:t>as</w:t>
            </w:r>
            <w:r>
              <w:rPr>
                <w:rFonts w:ascii="Calibri"/>
                <w:spacing w:val="-3"/>
                <w:sz w:val="18"/>
              </w:rPr>
              <w:t xml:space="preserve"> </w:t>
            </w:r>
            <w:r>
              <w:rPr>
                <w:rFonts w:ascii="Calibri"/>
                <w:spacing w:val="-1"/>
                <w:sz w:val="18"/>
              </w:rPr>
              <w:t>appropriate</w:t>
            </w:r>
          </w:p>
        </w:tc>
      </w:tr>
      <w:tr w:rsidR="00E646C9" w:rsidTr="0011636D">
        <w:trPr>
          <w:trHeight w:hRule="exact" w:val="1327"/>
        </w:trPr>
        <w:tc>
          <w:tcPr>
            <w:tcW w:w="4680" w:type="dxa"/>
            <w:shd w:val="clear" w:color="auto" w:fill="D2EAF1"/>
          </w:tcPr>
          <w:p w:rsidR="00E646C9" w:rsidRDefault="00E646C9" w:rsidP="00C94D5A">
            <w:pPr>
              <w:pStyle w:val="TableParagraph"/>
              <w:ind w:left="102" w:right="291"/>
              <w:rPr>
                <w:rFonts w:ascii="Calibri" w:eastAsia="Calibri" w:hAnsi="Calibri" w:cs="Calibri"/>
                <w:sz w:val="18"/>
                <w:szCs w:val="18"/>
              </w:rPr>
            </w:pPr>
            <w:r>
              <w:rPr>
                <w:rFonts w:ascii="Calibri" w:eastAsia="Calibri" w:hAnsi="Calibri" w:cs="Calibri"/>
                <w:sz w:val="18"/>
                <w:szCs w:val="18"/>
              </w:rPr>
              <w:t>Lower</w:t>
            </w:r>
            <w:r>
              <w:rPr>
                <w:rFonts w:ascii="Calibri" w:eastAsia="Calibri" w:hAnsi="Calibri" w:cs="Calibri"/>
                <w:spacing w:val="-4"/>
                <w:sz w:val="18"/>
                <w:szCs w:val="18"/>
              </w:rPr>
              <w:t xml:space="preserve"> </w:t>
            </w:r>
            <w:r>
              <w:rPr>
                <w:rFonts w:ascii="Calibri" w:eastAsia="Calibri" w:hAnsi="Calibri" w:cs="Calibri"/>
                <w:spacing w:val="-1"/>
                <w:sz w:val="18"/>
                <w:szCs w:val="18"/>
              </w:rPr>
              <w:t>ex</w:t>
            </w:r>
            <w:r>
              <w:rPr>
                <w:rFonts w:ascii="Calibri" w:eastAsia="Calibri" w:hAnsi="Calibri" w:cs="Calibri"/>
                <w:spacing w:val="-3"/>
                <w:sz w:val="18"/>
                <w:szCs w:val="18"/>
              </w:rPr>
              <w:t xml:space="preserve"> </w:t>
            </w:r>
            <w:r>
              <w:rPr>
                <w:rFonts w:ascii="Calibri" w:eastAsia="Calibri" w:hAnsi="Calibri" w:cs="Calibri"/>
                <w:spacing w:val="-1"/>
                <w:sz w:val="18"/>
                <w:szCs w:val="18"/>
              </w:rPr>
              <w:t>ante</w:t>
            </w:r>
            <w:r>
              <w:rPr>
                <w:rFonts w:ascii="Calibri" w:eastAsia="Calibri" w:hAnsi="Calibri" w:cs="Calibri"/>
                <w:spacing w:val="-4"/>
                <w:sz w:val="18"/>
                <w:szCs w:val="18"/>
              </w:rPr>
              <w:t xml:space="preserve"> </w:t>
            </w:r>
            <w:r>
              <w:rPr>
                <w:rFonts w:ascii="Calibri" w:eastAsia="Calibri" w:hAnsi="Calibri" w:cs="Calibri"/>
                <w:spacing w:val="-1"/>
                <w:sz w:val="18"/>
                <w:szCs w:val="18"/>
              </w:rPr>
              <w:t>energy</w:t>
            </w:r>
            <w:r>
              <w:rPr>
                <w:rFonts w:ascii="Calibri" w:eastAsia="Calibri" w:hAnsi="Calibri" w:cs="Calibri"/>
                <w:spacing w:val="-2"/>
                <w:sz w:val="18"/>
                <w:szCs w:val="18"/>
              </w:rPr>
              <w:t xml:space="preserve"> </w:t>
            </w:r>
            <w:r>
              <w:rPr>
                <w:rFonts w:ascii="Calibri" w:eastAsia="Calibri" w:hAnsi="Calibri" w:cs="Calibri"/>
                <w:spacing w:val="-1"/>
                <w:sz w:val="18"/>
                <w:szCs w:val="18"/>
              </w:rPr>
              <w:t>savings</w:t>
            </w:r>
            <w:r>
              <w:rPr>
                <w:rFonts w:ascii="Calibri" w:eastAsia="Calibri" w:hAnsi="Calibri" w:cs="Calibri"/>
                <w:spacing w:val="-3"/>
                <w:sz w:val="18"/>
                <w:szCs w:val="18"/>
              </w:rPr>
              <w:t xml:space="preserve"> </w:t>
            </w:r>
            <w:r>
              <w:rPr>
                <w:rFonts w:ascii="Calibri" w:eastAsia="Calibri" w:hAnsi="Calibri" w:cs="Calibri"/>
                <w:sz w:val="18"/>
                <w:szCs w:val="18"/>
              </w:rPr>
              <w:t>Threshold</w:t>
            </w:r>
            <w:r>
              <w:rPr>
                <w:rFonts w:ascii="Calibri" w:eastAsia="Calibri" w:hAnsi="Calibri" w:cs="Calibri"/>
                <w:spacing w:val="-4"/>
                <w:sz w:val="18"/>
                <w:szCs w:val="18"/>
              </w:rPr>
              <w:t xml:space="preserve"> </w:t>
            </w:r>
            <w:r>
              <w:rPr>
                <w:rFonts w:ascii="Calibri" w:eastAsia="Calibri" w:hAnsi="Calibri" w:cs="Calibri"/>
                <w:spacing w:val="-1"/>
                <w:sz w:val="18"/>
                <w:szCs w:val="18"/>
              </w:rPr>
              <w:t>to 750</w:t>
            </w:r>
            <w:r>
              <w:rPr>
                <w:rFonts w:ascii="Calibri" w:eastAsia="Calibri" w:hAnsi="Calibri" w:cs="Calibri"/>
                <w:spacing w:val="-3"/>
                <w:sz w:val="18"/>
                <w:szCs w:val="18"/>
              </w:rPr>
              <w:t xml:space="preserve"> </w:t>
            </w:r>
            <w:r>
              <w:rPr>
                <w:rFonts w:ascii="Calibri" w:eastAsia="Calibri" w:hAnsi="Calibri" w:cs="Calibri"/>
                <w:spacing w:val="-1"/>
                <w:sz w:val="18"/>
                <w:szCs w:val="18"/>
              </w:rPr>
              <w:t>MWh</w:t>
            </w:r>
            <w:r>
              <w:rPr>
                <w:rFonts w:ascii="Calibri" w:eastAsia="Calibri" w:hAnsi="Calibri" w:cs="Calibri"/>
                <w:spacing w:val="-3"/>
                <w:sz w:val="18"/>
                <w:szCs w:val="18"/>
              </w:rPr>
              <w:t xml:space="preserve"> </w:t>
            </w:r>
            <w:r>
              <w:rPr>
                <w:rFonts w:ascii="Calibri" w:eastAsia="Calibri" w:hAnsi="Calibri" w:cs="Calibri"/>
                <w:sz w:val="18"/>
                <w:szCs w:val="18"/>
              </w:rPr>
              <w:t>from</w:t>
            </w:r>
            <w:r>
              <w:rPr>
                <w:rFonts w:ascii="Calibri" w:eastAsia="Calibri" w:hAnsi="Calibri" w:cs="Calibri"/>
                <w:spacing w:val="35"/>
                <w:w w:val="99"/>
                <w:sz w:val="18"/>
                <w:szCs w:val="18"/>
              </w:rPr>
              <w:t xml:space="preserve"> </w:t>
            </w:r>
            <w:r>
              <w:rPr>
                <w:rFonts w:ascii="Calibri" w:eastAsia="Calibri" w:hAnsi="Calibri" w:cs="Calibri"/>
                <w:spacing w:val="-1"/>
                <w:sz w:val="18"/>
                <w:szCs w:val="18"/>
              </w:rPr>
              <w:t>800</w:t>
            </w:r>
            <w:r>
              <w:rPr>
                <w:rFonts w:ascii="Calibri" w:eastAsia="Calibri" w:hAnsi="Calibri" w:cs="Calibri"/>
                <w:spacing w:val="-2"/>
                <w:sz w:val="18"/>
                <w:szCs w:val="18"/>
              </w:rPr>
              <w:t xml:space="preserve"> </w:t>
            </w:r>
            <w:r>
              <w:rPr>
                <w:rFonts w:ascii="Calibri" w:eastAsia="Calibri" w:hAnsi="Calibri" w:cs="Calibri"/>
                <w:spacing w:val="-1"/>
                <w:sz w:val="18"/>
                <w:szCs w:val="18"/>
              </w:rPr>
              <w:t>to trigger</w:t>
            </w:r>
            <w:r>
              <w:rPr>
                <w:rFonts w:ascii="Calibri" w:eastAsia="Calibri" w:hAnsi="Calibri" w:cs="Calibri"/>
                <w:sz w:val="18"/>
                <w:szCs w:val="18"/>
              </w:rPr>
              <w:t xml:space="preserve"> </w:t>
            </w:r>
            <w:r>
              <w:rPr>
                <w:rFonts w:ascii="Calibri" w:eastAsia="Calibri" w:hAnsi="Calibri" w:cs="Calibri"/>
                <w:spacing w:val="-1"/>
                <w:sz w:val="18"/>
                <w:szCs w:val="18"/>
              </w:rPr>
              <w:t>up-front</w:t>
            </w:r>
            <w:r>
              <w:rPr>
                <w:rFonts w:ascii="Calibri" w:eastAsia="Calibri" w:hAnsi="Calibri" w:cs="Calibri"/>
                <w:spacing w:val="-3"/>
                <w:sz w:val="18"/>
                <w:szCs w:val="18"/>
              </w:rPr>
              <w:t xml:space="preserve"> </w:t>
            </w:r>
            <w:r>
              <w:rPr>
                <w:rFonts w:ascii="Calibri" w:eastAsia="Calibri" w:hAnsi="Calibri" w:cs="Calibri"/>
                <w:sz w:val="18"/>
                <w:szCs w:val="18"/>
              </w:rPr>
              <w:t>evaluation</w:t>
            </w:r>
            <w:r>
              <w:rPr>
                <w:rFonts w:ascii="Calibri" w:eastAsia="Calibri" w:hAnsi="Calibri" w:cs="Calibri"/>
                <w:spacing w:val="-3"/>
                <w:sz w:val="18"/>
                <w:szCs w:val="18"/>
              </w:rPr>
              <w:t xml:space="preserve"> </w:t>
            </w:r>
            <w:r>
              <w:rPr>
                <w:rFonts w:ascii="Calibri" w:eastAsia="Calibri" w:hAnsi="Calibri" w:cs="Calibri"/>
                <w:sz w:val="18"/>
                <w:szCs w:val="18"/>
              </w:rPr>
              <w:t>of</w:t>
            </w:r>
            <w:r>
              <w:rPr>
                <w:rFonts w:ascii="Calibri" w:eastAsia="Calibri" w:hAnsi="Calibri" w:cs="Calibri"/>
                <w:spacing w:val="-2"/>
                <w:sz w:val="18"/>
                <w:szCs w:val="18"/>
              </w:rPr>
              <w:t xml:space="preserve"> </w:t>
            </w:r>
            <w:r>
              <w:rPr>
                <w:rFonts w:ascii="Calibri" w:eastAsia="Calibri" w:hAnsi="Calibri" w:cs="Calibri"/>
                <w:spacing w:val="-1"/>
                <w:sz w:val="18"/>
                <w:szCs w:val="18"/>
              </w:rPr>
              <w:t>lighting</w:t>
            </w:r>
            <w:r>
              <w:rPr>
                <w:rFonts w:ascii="Calibri" w:eastAsia="Calibri" w:hAnsi="Calibri" w:cs="Calibri"/>
                <w:spacing w:val="-3"/>
                <w:sz w:val="18"/>
                <w:szCs w:val="18"/>
              </w:rPr>
              <w:t xml:space="preserve"> </w:t>
            </w:r>
            <w:r>
              <w:rPr>
                <w:rFonts w:ascii="Calibri" w:eastAsia="Calibri" w:hAnsi="Calibri" w:cs="Calibri"/>
                <w:spacing w:val="-1"/>
                <w:sz w:val="18"/>
                <w:szCs w:val="18"/>
              </w:rPr>
              <w:t>projects to</w:t>
            </w:r>
            <w:r>
              <w:rPr>
                <w:rFonts w:ascii="Calibri" w:eastAsia="Calibri" w:hAnsi="Calibri" w:cs="Calibri"/>
                <w:spacing w:val="32"/>
                <w:sz w:val="18"/>
                <w:szCs w:val="18"/>
              </w:rPr>
              <w:t xml:space="preserve"> </w:t>
            </w:r>
            <w:r>
              <w:rPr>
                <w:rFonts w:ascii="Calibri" w:eastAsia="Calibri" w:hAnsi="Calibri" w:cs="Calibri"/>
                <w:spacing w:val="-1"/>
                <w:sz w:val="18"/>
                <w:szCs w:val="18"/>
              </w:rPr>
              <w:t>better</w:t>
            </w:r>
            <w:r>
              <w:rPr>
                <w:rFonts w:ascii="Calibri" w:eastAsia="Calibri" w:hAnsi="Calibri" w:cs="Calibri"/>
                <w:spacing w:val="-4"/>
                <w:sz w:val="18"/>
                <w:szCs w:val="18"/>
              </w:rPr>
              <w:t xml:space="preserve"> </w:t>
            </w:r>
            <w:r>
              <w:rPr>
                <w:rFonts w:ascii="Calibri" w:eastAsia="Calibri" w:hAnsi="Calibri" w:cs="Calibri"/>
                <w:spacing w:val="-1"/>
                <w:sz w:val="18"/>
                <w:szCs w:val="18"/>
              </w:rPr>
              <w:t>align</w:t>
            </w:r>
            <w:r>
              <w:rPr>
                <w:rFonts w:ascii="Calibri" w:eastAsia="Calibri" w:hAnsi="Calibri" w:cs="Calibri"/>
                <w:spacing w:val="-4"/>
                <w:sz w:val="18"/>
                <w:szCs w:val="18"/>
              </w:rPr>
              <w:t xml:space="preserve"> </w:t>
            </w:r>
            <w:r>
              <w:rPr>
                <w:rFonts w:ascii="Calibri" w:eastAsia="Calibri" w:hAnsi="Calibri" w:cs="Calibri"/>
                <w:sz w:val="18"/>
                <w:szCs w:val="18"/>
              </w:rPr>
              <w:t>with</w:t>
            </w:r>
            <w:r>
              <w:rPr>
                <w:rFonts w:ascii="Calibri" w:eastAsia="Calibri" w:hAnsi="Calibri" w:cs="Calibri"/>
                <w:spacing w:val="-3"/>
                <w:sz w:val="18"/>
                <w:szCs w:val="18"/>
              </w:rPr>
              <w:t xml:space="preserve"> </w:t>
            </w:r>
            <w:r>
              <w:rPr>
                <w:rFonts w:ascii="Calibri" w:eastAsia="Calibri" w:hAnsi="Calibri" w:cs="Calibri"/>
                <w:spacing w:val="-1"/>
                <w:sz w:val="18"/>
                <w:szCs w:val="18"/>
              </w:rPr>
              <w:t>2016</w:t>
            </w:r>
            <w:r>
              <w:rPr>
                <w:rFonts w:ascii="Calibri" w:eastAsia="Calibri" w:hAnsi="Calibri" w:cs="Calibri"/>
                <w:spacing w:val="-3"/>
                <w:sz w:val="18"/>
                <w:szCs w:val="18"/>
              </w:rPr>
              <w:t xml:space="preserve"> </w:t>
            </w:r>
            <w:r>
              <w:rPr>
                <w:rFonts w:ascii="Calibri" w:eastAsia="Calibri" w:hAnsi="Calibri" w:cs="Calibri"/>
                <w:sz w:val="18"/>
                <w:szCs w:val="18"/>
              </w:rPr>
              <w:t>TRM.</w:t>
            </w:r>
            <w:r>
              <w:rPr>
                <w:rFonts w:ascii="Calibri" w:eastAsia="Calibri" w:hAnsi="Calibri" w:cs="Calibri"/>
                <w:spacing w:val="36"/>
                <w:sz w:val="18"/>
                <w:szCs w:val="18"/>
              </w:rPr>
              <w:t xml:space="preserve"> </w:t>
            </w:r>
            <w:r>
              <w:rPr>
                <w:rFonts w:ascii="Calibri" w:eastAsia="Calibri" w:hAnsi="Calibri" w:cs="Calibri"/>
                <w:spacing w:val="-1"/>
                <w:sz w:val="18"/>
                <w:szCs w:val="18"/>
              </w:rPr>
              <w:t>At</w:t>
            </w:r>
            <w:r>
              <w:rPr>
                <w:rFonts w:ascii="Calibri" w:eastAsia="Calibri" w:hAnsi="Calibri" w:cs="Calibri"/>
                <w:spacing w:val="-4"/>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same</w:t>
            </w:r>
            <w:r>
              <w:rPr>
                <w:rFonts w:ascii="Calibri" w:eastAsia="Calibri" w:hAnsi="Calibri" w:cs="Calibri"/>
                <w:spacing w:val="-4"/>
                <w:sz w:val="18"/>
                <w:szCs w:val="18"/>
              </w:rPr>
              <w:t xml:space="preserve"> </w:t>
            </w:r>
            <w:r>
              <w:rPr>
                <w:rFonts w:ascii="Calibri" w:eastAsia="Calibri" w:hAnsi="Calibri" w:cs="Calibri"/>
                <w:spacing w:val="-1"/>
                <w:sz w:val="18"/>
                <w:szCs w:val="18"/>
              </w:rPr>
              <w:t>time,</w:t>
            </w:r>
            <w:r>
              <w:rPr>
                <w:rFonts w:ascii="Calibri" w:eastAsia="Calibri" w:hAnsi="Calibri" w:cs="Calibri"/>
                <w:spacing w:val="-2"/>
                <w:sz w:val="18"/>
                <w:szCs w:val="18"/>
              </w:rPr>
              <w:t xml:space="preserve"> </w:t>
            </w:r>
            <w:r>
              <w:rPr>
                <w:rFonts w:ascii="Calibri" w:eastAsia="Calibri" w:hAnsi="Calibri" w:cs="Calibri"/>
                <w:spacing w:val="-1"/>
                <w:sz w:val="18"/>
                <w:szCs w:val="18"/>
              </w:rPr>
              <w:t>increase</w:t>
            </w:r>
            <w:r>
              <w:rPr>
                <w:rFonts w:ascii="Calibri" w:eastAsia="Calibri" w:hAnsi="Calibri" w:cs="Calibri"/>
                <w:spacing w:val="43"/>
                <w:w w:val="99"/>
                <w:sz w:val="18"/>
                <w:szCs w:val="18"/>
              </w:rPr>
              <w:t xml:space="preserve"> </w:t>
            </w:r>
            <w:r>
              <w:rPr>
                <w:rFonts w:ascii="Calibri" w:eastAsia="Calibri" w:hAnsi="Calibri" w:cs="Calibri"/>
                <w:spacing w:val="-1"/>
                <w:sz w:val="18"/>
                <w:szCs w:val="18"/>
              </w:rPr>
              <w:t>threshold</w:t>
            </w:r>
            <w:r>
              <w:rPr>
                <w:rFonts w:ascii="Calibri" w:eastAsia="Calibri" w:hAnsi="Calibri" w:cs="Calibri"/>
                <w:spacing w:val="-4"/>
                <w:sz w:val="18"/>
                <w:szCs w:val="18"/>
              </w:rPr>
              <w:t xml:space="preserve"> </w:t>
            </w:r>
            <w:r>
              <w:rPr>
                <w:rFonts w:ascii="Calibri" w:eastAsia="Calibri" w:hAnsi="Calibri" w:cs="Calibri"/>
                <w:sz w:val="18"/>
                <w:szCs w:val="18"/>
              </w:rPr>
              <w:t>from</w:t>
            </w:r>
            <w:r>
              <w:rPr>
                <w:rFonts w:ascii="Calibri" w:eastAsia="Calibri" w:hAnsi="Calibri" w:cs="Calibri"/>
                <w:spacing w:val="-2"/>
                <w:sz w:val="18"/>
                <w:szCs w:val="18"/>
              </w:rPr>
              <w:t xml:space="preserve"> </w:t>
            </w:r>
            <w:r>
              <w:rPr>
                <w:rFonts w:ascii="Calibri" w:eastAsia="Calibri" w:hAnsi="Calibri" w:cs="Calibri"/>
                <w:spacing w:val="-1"/>
                <w:sz w:val="18"/>
                <w:szCs w:val="18"/>
              </w:rPr>
              <w:t>400</w:t>
            </w:r>
            <w:r>
              <w:rPr>
                <w:rFonts w:ascii="Calibri" w:eastAsia="Calibri" w:hAnsi="Calibri" w:cs="Calibri"/>
                <w:spacing w:val="-3"/>
                <w:sz w:val="18"/>
                <w:szCs w:val="18"/>
              </w:rPr>
              <w:t xml:space="preserve"> </w:t>
            </w:r>
            <w:r>
              <w:rPr>
                <w:rFonts w:ascii="Calibri" w:eastAsia="Calibri" w:hAnsi="Calibri" w:cs="Calibri"/>
                <w:spacing w:val="-1"/>
                <w:sz w:val="18"/>
                <w:szCs w:val="18"/>
              </w:rPr>
              <w:t>MWh</w:t>
            </w:r>
            <w:r>
              <w:rPr>
                <w:rFonts w:ascii="Calibri" w:eastAsia="Calibri" w:hAnsi="Calibri" w:cs="Calibri"/>
                <w:spacing w:val="-3"/>
                <w:sz w:val="18"/>
                <w:szCs w:val="18"/>
              </w:rPr>
              <w:t xml:space="preserve"> </w:t>
            </w:r>
            <w:r>
              <w:rPr>
                <w:rFonts w:ascii="Calibri" w:eastAsia="Calibri" w:hAnsi="Calibri" w:cs="Calibri"/>
                <w:spacing w:val="-1"/>
                <w:sz w:val="18"/>
                <w:szCs w:val="18"/>
              </w:rPr>
              <w:t>to</w:t>
            </w:r>
            <w:r>
              <w:rPr>
                <w:rFonts w:ascii="Calibri" w:eastAsia="Calibri" w:hAnsi="Calibri" w:cs="Calibri"/>
                <w:spacing w:val="-2"/>
                <w:sz w:val="18"/>
                <w:szCs w:val="18"/>
              </w:rPr>
              <w:t xml:space="preserve"> </w:t>
            </w:r>
            <w:r>
              <w:rPr>
                <w:rFonts w:ascii="Calibri" w:eastAsia="Calibri" w:hAnsi="Calibri" w:cs="Calibri"/>
                <w:spacing w:val="-1"/>
                <w:sz w:val="18"/>
                <w:szCs w:val="18"/>
              </w:rPr>
              <w:t>500</w:t>
            </w:r>
            <w:r>
              <w:rPr>
                <w:rFonts w:ascii="Calibri" w:eastAsia="Calibri" w:hAnsi="Calibri" w:cs="Calibri"/>
                <w:spacing w:val="-2"/>
                <w:sz w:val="18"/>
                <w:szCs w:val="18"/>
              </w:rPr>
              <w:t xml:space="preserve"> </w:t>
            </w:r>
            <w:r>
              <w:rPr>
                <w:rFonts w:ascii="Calibri" w:eastAsia="Calibri" w:hAnsi="Calibri" w:cs="Calibri"/>
                <w:spacing w:val="-1"/>
                <w:sz w:val="18"/>
                <w:szCs w:val="18"/>
              </w:rPr>
              <w:t>MWh</w:t>
            </w:r>
            <w:r>
              <w:rPr>
                <w:rFonts w:ascii="Calibri" w:eastAsia="Calibri" w:hAnsi="Calibri" w:cs="Calibri"/>
                <w:spacing w:val="-3"/>
                <w:sz w:val="18"/>
                <w:szCs w:val="18"/>
              </w:rPr>
              <w:t xml:space="preserve"> </w:t>
            </w:r>
            <w:r>
              <w:rPr>
                <w:rFonts w:ascii="Calibri" w:eastAsia="Calibri" w:hAnsi="Calibri" w:cs="Calibri"/>
                <w:sz w:val="18"/>
                <w:szCs w:val="18"/>
              </w:rPr>
              <w:t>for</w:t>
            </w:r>
            <w:r>
              <w:rPr>
                <w:rFonts w:ascii="Calibri" w:eastAsia="Calibri" w:hAnsi="Calibri" w:cs="Calibri"/>
                <w:spacing w:val="-4"/>
                <w:sz w:val="18"/>
                <w:szCs w:val="18"/>
              </w:rPr>
              <w:t xml:space="preserve"> </w:t>
            </w:r>
            <w:r>
              <w:rPr>
                <w:rFonts w:ascii="Calibri" w:eastAsia="Calibri" w:hAnsi="Calibri" w:cs="Calibri"/>
                <w:spacing w:val="-1"/>
                <w:sz w:val="18"/>
                <w:szCs w:val="18"/>
              </w:rPr>
              <w:t>non-lighting</w:t>
            </w:r>
            <w:r>
              <w:rPr>
                <w:rFonts w:ascii="Calibri" w:eastAsia="Calibri" w:hAnsi="Calibri" w:cs="Calibri"/>
                <w:spacing w:val="39"/>
                <w:w w:val="99"/>
                <w:sz w:val="18"/>
                <w:szCs w:val="18"/>
              </w:rPr>
              <w:t xml:space="preserve"> </w:t>
            </w:r>
            <w:r>
              <w:rPr>
                <w:rFonts w:ascii="Calibri" w:eastAsia="Calibri" w:hAnsi="Calibri" w:cs="Calibri"/>
                <w:spacing w:val="-1"/>
                <w:sz w:val="18"/>
                <w:szCs w:val="18"/>
              </w:rPr>
              <w:t>projects</w:t>
            </w:r>
            <w:r>
              <w:rPr>
                <w:rFonts w:ascii="Calibri" w:eastAsia="Calibri" w:hAnsi="Calibri" w:cs="Calibri"/>
                <w:spacing w:val="-4"/>
                <w:sz w:val="18"/>
                <w:szCs w:val="18"/>
              </w:rPr>
              <w:t xml:space="preserve"> </w:t>
            </w:r>
            <w:r>
              <w:rPr>
                <w:rFonts w:ascii="Calibri" w:eastAsia="Calibri" w:hAnsi="Calibri" w:cs="Calibri"/>
                <w:spacing w:val="-1"/>
                <w:sz w:val="18"/>
                <w:szCs w:val="18"/>
              </w:rPr>
              <w:t>to maintain</w:t>
            </w:r>
            <w:r>
              <w:rPr>
                <w:rFonts w:ascii="Calibri" w:eastAsia="Calibri" w:hAnsi="Calibri" w:cs="Calibri"/>
                <w:spacing w:val="-2"/>
                <w:sz w:val="18"/>
                <w:szCs w:val="18"/>
              </w:rPr>
              <w:t xml:space="preserve"> </w:t>
            </w:r>
            <w:r>
              <w:rPr>
                <w:rFonts w:ascii="Calibri" w:eastAsia="Calibri" w:hAnsi="Calibri" w:cs="Calibri"/>
                <w:spacing w:val="-1"/>
                <w:sz w:val="18"/>
                <w:szCs w:val="18"/>
              </w:rPr>
              <w:t>expected</w:t>
            </w:r>
            <w:r>
              <w:rPr>
                <w:rFonts w:ascii="Calibri" w:eastAsia="Calibri" w:hAnsi="Calibri" w:cs="Calibri"/>
                <w:spacing w:val="-3"/>
                <w:sz w:val="18"/>
                <w:szCs w:val="18"/>
              </w:rPr>
              <w:t xml:space="preserve"> </w:t>
            </w:r>
            <w:r>
              <w:rPr>
                <w:rFonts w:ascii="Calibri" w:eastAsia="Calibri" w:hAnsi="Calibri" w:cs="Calibri"/>
                <w:sz w:val="18"/>
                <w:szCs w:val="18"/>
              </w:rPr>
              <w:t>50/50</w:t>
            </w:r>
            <w:r>
              <w:rPr>
                <w:rFonts w:ascii="Calibri" w:eastAsia="Calibri" w:hAnsi="Calibri" w:cs="Calibri"/>
                <w:spacing w:val="-3"/>
                <w:sz w:val="18"/>
                <w:szCs w:val="18"/>
              </w:rPr>
              <w:t xml:space="preserve"> </w:t>
            </w:r>
            <w:r>
              <w:rPr>
                <w:rFonts w:ascii="Calibri" w:eastAsia="Calibri" w:hAnsi="Calibri" w:cs="Calibri"/>
                <w:spacing w:val="-1"/>
                <w:sz w:val="18"/>
                <w:szCs w:val="18"/>
              </w:rPr>
              <w:t>balance</w:t>
            </w:r>
            <w:r>
              <w:rPr>
                <w:rFonts w:ascii="Calibri" w:eastAsia="Calibri" w:hAnsi="Calibri" w:cs="Calibri"/>
                <w:spacing w:val="-3"/>
                <w:sz w:val="18"/>
                <w:szCs w:val="18"/>
              </w:rPr>
              <w:t xml:space="preserve"> </w:t>
            </w:r>
            <w:r>
              <w:rPr>
                <w:rFonts w:ascii="Calibri" w:eastAsia="Calibri" w:hAnsi="Calibri" w:cs="Calibri"/>
                <w:spacing w:val="-1"/>
                <w:sz w:val="18"/>
                <w:szCs w:val="18"/>
              </w:rPr>
              <w:t>in</w:t>
            </w:r>
            <w:r>
              <w:rPr>
                <w:rFonts w:ascii="Calibri" w:eastAsia="Calibri" w:hAnsi="Calibri" w:cs="Calibri"/>
                <w:spacing w:val="-2"/>
                <w:sz w:val="18"/>
                <w:szCs w:val="18"/>
              </w:rPr>
              <w:t xml:space="preserve"> </w:t>
            </w:r>
            <w:r>
              <w:rPr>
                <w:rFonts w:ascii="Calibri" w:eastAsia="Calibri" w:hAnsi="Calibri" w:cs="Calibri"/>
                <w:spacing w:val="-1"/>
                <w:sz w:val="18"/>
                <w:szCs w:val="18"/>
              </w:rPr>
              <w:t>reported</w:t>
            </w:r>
            <w:r>
              <w:rPr>
                <w:rFonts w:ascii="Calibri" w:eastAsia="Calibri" w:hAnsi="Calibri" w:cs="Calibri"/>
                <w:spacing w:val="45"/>
                <w:sz w:val="18"/>
                <w:szCs w:val="18"/>
              </w:rPr>
              <w:t xml:space="preserve"> </w:t>
            </w:r>
            <w:r>
              <w:rPr>
                <w:rFonts w:ascii="Calibri" w:eastAsia="Calibri" w:hAnsi="Calibri" w:cs="Calibri"/>
                <w:spacing w:val="-1"/>
                <w:sz w:val="18"/>
                <w:szCs w:val="18"/>
              </w:rPr>
              <w:t>MWh</w:t>
            </w:r>
            <w:r>
              <w:rPr>
                <w:rFonts w:ascii="Calibri" w:eastAsia="Calibri" w:hAnsi="Calibri" w:cs="Calibri"/>
                <w:spacing w:val="-5"/>
                <w:sz w:val="18"/>
                <w:szCs w:val="18"/>
              </w:rPr>
              <w:t xml:space="preserve"> </w:t>
            </w:r>
            <w:r>
              <w:rPr>
                <w:rFonts w:ascii="Calibri" w:eastAsia="Calibri" w:hAnsi="Calibri" w:cs="Calibri"/>
                <w:spacing w:val="-1"/>
                <w:sz w:val="18"/>
                <w:szCs w:val="18"/>
              </w:rPr>
              <w:t>between</w:t>
            </w:r>
            <w:r>
              <w:rPr>
                <w:rFonts w:ascii="Calibri" w:eastAsia="Calibri" w:hAnsi="Calibri" w:cs="Calibri"/>
                <w:spacing w:val="-5"/>
                <w:sz w:val="18"/>
                <w:szCs w:val="18"/>
              </w:rPr>
              <w:t xml:space="preserve"> </w:t>
            </w:r>
            <w:r>
              <w:rPr>
                <w:rFonts w:ascii="Calibri" w:eastAsia="Calibri" w:hAnsi="Calibri" w:cs="Calibri"/>
                <w:spacing w:val="-1"/>
                <w:sz w:val="18"/>
                <w:szCs w:val="18"/>
              </w:rPr>
              <w:t>sampled</w:t>
            </w:r>
            <w:r>
              <w:rPr>
                <w:rFonts w:ascii="Calibri" w:eastAsia="Calibri" w:hAnsi="Calibri" w:cs="Calibri"/>
                <w:spacing w:val="-4"/>
                <w:sz w:val="18"/>
                <w:szCs w:val="18"/>
              </w:rPr>
              <w:t xml:space="preserve"> </w:t>
            </w:r>
            <w:r>
              <w:rPr>
                <w:rFonts w:ascii="Calibri" w:eastAsia="Calibri" w:hAnsi="Calibri" w:cs="Calibri"/>
                <w:sz w:val="18"/>
                <w:szCs w:val="18"/>
              </w:rPr>
              <w:t>and</w:t>
            </w:r>
            <w:r>
              <w:rPr>
                <w:rFonts w:ascii="Calibri" w:eastAsia="Calibri" w:hAnsi="Calibri" w:cs="Calibri"/>
                <w:spacing w:val="-5"/>
                <w:sz w:val="18"/>
                <w:szCs w:val="18"/>
              </w:rPr>
              <w:t xml:space="preserve"> </w:t>
            </w:r>
            <w:r>
              <w:rPr>
                <w:rFonts w:ascii="Calibri" w:eastAsia="Calibri" w:hAnsi="Calibri" w:cs="Calibri"/>
                <w:spacing w:val="-1"/>
                <w:sz w:val="18"/>
                <w:szCs w:val="18"/>
              </w:rPr>
              <w:t>“certainty”</w:t>
            </w:r>
            <w:r>
              <w:rPr>
                <w:rFonts w:ascii="Calibri" w:eastAsia="Calibri" w:hAnsi="Calibri" w:cs="Calibri"/>
                <w:spacing w:val="-4"/>
                <w:sz w:val="18"/>
                <w:szCs w:val="18"/>
              </w:rPr>
              <w:t xml:space="preserve"> </w:t>
            </w:r>
            <w:r>
              <w:rPr>
                <w:rFonts w:ascii="Calibri" w:eastAsia="Calibri" w:hAnsi="Calibri" w:cs="Calibri"/>
                <w:spacing w:val="-1"/>
                <w:sz w:val="18"/>
                <w:szCs w:val="18"/>
              </w:rPr>
              <w:t>projects.</w:t>
            </w:r>
          </w:p>
        </w:tc>
        <w:tc>
          <w:tcPr>
            <w:tcW w:w="4680" w:type="dxa"/>
            <w:shd w:val="clear" w:color="auto" w:fill="D2EAF1"/>
          </w:tcPr>
          <w:p w:rsidR="00E646C9" w:rsidRDefault="00E646C9" w:rsidP="00C94D5A">
            <w:pPr>
              <w:pStyle w:val="TableParagraph"/>
              <w:spacing w:line="218" w:lineRule="exact"/>
              <w:ind w:left="102"/>
              <w:rPr>
                <w:rFonts w:ascii="Calibri"/>
                <w:spacing w:val="-1"/>
                <w:sz w:val="18"/>
              </w:rPr>
            </w:pPr>
            <w:r>
              <w:rPr>
                <w:rFonts w:ascii="Calibri"/>
                <w:spacing w:val="-1"/>
                <w:sz w:val="18"/>
              </w:rPr>
              <w:t>Implemented</w:t>
            </w:r>
          </w:p>
          <w:p w:rsidR="00E646C9" w:rsidRDefault="00E646C9" w:rsidP="00C94D5A">
            <w:pPr>
              <w:pStyle w:val="TableParagraph"/>
              <w:spacing w:line="218" w:lineRule="exact"/>
              <w:ind w:left="102"/>
              <w:rPr>
                <w:rFonts w:ascii="Calibri" w:eastAsia="Calibri" w:hAnsi="Calibri" w:cs="Calibri"/>
                <w:sz w:val="18"/>
                <w:szCs w:val="18"/>
              </w:rPr>
            </w:pPr>
          </w:p>
        </w:tc>
      </w:tr>
    </w:tbl>
    <w:p w:rsidR="00E646C9" w:rsidRPr="003B56E9" w:rsidRDefault="00E646C9" w:rsidP="003B56E9"/>
    <w:p w:rsidR="00E646C9" w:rsidRDefault="00E646C9" w:rsidP="003B56E9">
      <w:pPr>
        <w:pStyle w:val="AppendixGHeading2"/>
      </w:pPr>
      <w:r>
        <w:t>Commercial and Industrial Energy Efficient Buildings – Small Program</w:t>
      </w:r>
    </w:p>
    <w:tbl>
      <w:tblPr>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770"/>
      </w:tblGrid>
      <w:tr w:rsidR="00E646C9" w:rsidTr="0011636D">
        <w:trPr>
          <w:trHeight w:hRule="exact" w:val="740"/>
          <w:tblHeader/>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77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890"/>
        </w:trPr>
        <w:tc>
          <w:tcPr>
            <w:tcW w:w="4680" w:type="dxa"/>
            <w:shd w:val="clear" w:color="auto" w:fill="D2EAF1"/>
          </w:tcPr>
          <w:p w:rsidR="00E646C9" w:rsidRDefault="00E646C9" w:rsidP="00C94D5A">
            <w:pPr>
              <w:pStyle w:val="TableParagraph"/>
              <w:ind w:left="102" w:right="342"/>
              <w:rPr>
                <w:rFonts w:ascii="Calibri" w:eastAsia="Calibri" w:hAnsi="Calibri" w:cs="Calibri"/>
                <w:sz w:val="18"/>
                <w:szCs w:val="18"/>
              </w:rPr>
            </w:pPr>
            <w:r>
              <w:rPr>
                <w:rFonts w:ascii="Calibri"/>
                <w:sz w:val="18"/>
              </w:rPr>
              <w:t>In</w:t>
            </w:r>
            <w:r>
              <w:rPr>
                <w:rFonts w:ascii="Calibri"/>
                <w:spacing w:val="-3"/>
                <w:sz w:val="18"/>
              </w:rPr>
              <w:t xml:space="preserve"> </w:t>
            </w:r>
            <w:r>
              <w:rPr>
                <w:rFonts w:ascii="Calibri"/>
                <w:spacing w:val="-1"/>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consider</w:t>
            </w:r>
            <w:r>
              <w:rPr>
                <w:rFonts w:ascii="Calibri"/>
                <w:sz w:val="18"/>
              </w:rPr>
              <w:t xml:space="preserve"> </w:t>
            </w:r>
            <w:r>
              <w:rPr>
                <w:rFonts w:ascii="Calibri"/>
                <w:spacing w:val="-1"/>
                <w:sz w:val="18"/>
              </w:rPr>
              <w:t>subsuming</w:t>
            </w:r>
            <w:r>
              <w:rPr>
                <w:rFonts w:ascii="Calibri"/>
                <w:spacing w:val="-2"/>
                <w:sz w:val="18"/>
              </w:rPr>
              <w:t xml:space="preserve"> </w:t>
            </w:r>
            <w:r>
              <w:rPr>
                <w:rFonts w:ascii="Calibri"/>
                <w:sz w:val="18"/>
              </w:rPr>
              <w:t>this</w:t>
            </w:r>
            <w:r>
              <w:rPr>
                <w:rFonts w:ascii="Calibri"/>
                <w:spacing w:val="-3"/>
                <w:sz w:val="18"/>
              </w:rPr>
              <w:t xml:space="preserve"> </w:t>
            </w:r>
            <w:r>
              <w:rPr>
                <w:rFonts w:ascii="Calibri"/>
                <w:spacing w:val="-1"/>
                <w:sz w:val="18"/>
              </w:rPr>
              <w:t>program into the</w:t>
            </w:r>
            <w:r>
              <w:rPr>
                <w:rFonts w:ascii="Calibri"/>
                <w:spacing w:val="-2"/>
                <w:sz w:val="18"/>
              </w:rPr>
              <w:t xml:space="preserve"> </w:t>
            </w:r>
            <w:r>
              <w:rPr>
                <w:rFonts w:ascii="Calibri"/>
                <w:spacing w:val="-1"/>
                <w:sz w:val="18"/>
              </w:rPr>
              <w:t>C/I</w:t>
            </w:r>
            <w:r>
              <w:rPr>
                <w:rFonts w:ascii="Calibri"/>
                <w:spacing w:val="45"/>
                <w:w w:val="99"/>
                <w:sz w:val="18"/>
              </w:rPr>
              <w:t xml:space="preserve"> </w:t>
            </w:r>
            <w:r>
              <w:rPr>
                <w:rFonts w:ascii="Calibri"/>
                <w:spacing w:val="-1"/>
                <w:sz w:val="18"/>
              </w:rPr>
              <w:t>Energy</w:t>
            </w:r>
            <w:r>
              <w:rPr>
                <w:rFonts w:ascii="Calibri"/>
                <w:spacing w:val="-3"/>
                <w:sz w:val="18"/>
              </w:rPr>
              <w:t xml:space="preserve"> </w:t>
            </w:r>
            <w:r>
              <w:rPr>
                <w:rFonts w:ascii="Calibri"/>
                <w:spacing w:val="-1"/>
                <w:sz w:val="18"/>
              </w:rPr>
              <w:t>Efficient</w:t>
            </w:r>
            <w:r>
              <w:rPr>
                <w:rFonts w:ascii="Calibri"/>
                <w:spacing w:val="-3"/>
                <w:sz w:val="18"/>
              </w:rPr>
              <w:t xml:space="preserve"> </w:t>
            </w:r>
            <w:r>
              <w:rPr>
                <w:rFonts w:ascii="Calibri"/>
                <w:spacing w:val="-1"/>
                <w:sz w:val="18"/>
              </w:rPr>
              <w:t>Equipment</w:t>
            </w:r>
            <w:r>
              <w:rPr>
                <w:rFonts w:ascii="Calibri"/>
                <w:spacing w:val="-3"/>
                <w:sz w:val="18"/>
              </w:rPr>
              <w:t xml:space="preserve"> </w:t>
            </w:r>
            <w:r>
              <w:rPr>
                <w:rFonts w:ascii="Calibri"/>
                <w:sz w:val="18"/>
              </w:rPr>
              <w:t>Program</w:t>
            </w:r>
            <w:r>
              <w:rPr>
                <w:rFonts w:ascii="Calibri"/>
                <w:spacing w:val="-2"/>
                <w:sz w:val="18"/>
              </w:rPr>
              <w:t xml:space="preserve"> </w:t>
            </w:r>
            <w:r>
              <w:rPr>
                <w:rFonts w:ascii="Calibri"/>
                <w:sz w:val="18"/>
              </w:rPr>
              <w:t>-</w:t>
            </w:r>
            <w:r>
              <w:rPr>
                <w:rFonts w:ascii="Calibri"/>
                <w:spacing w:val="-2"/>
                <w:sz w:val="18"/>
              </w:rPr>
              <w:t xml:space="preserve"> </w:t>
            </w:r>
            <w:r>
              <w:rPr>
                <w:rFonts w:ascii="Calibri"/>
                <w:spacing w:val="-1"/>
                <w:sz w:val="18"/>
              </w:rPr>
              <w:t>Small</w:t>
            </w:r>
            <w:r>
              <w:rPr>
                <w:rFonts w:ascii="Calibri"/>
                <w:spacing w:val="-3"/>
                <w:sz w:val="18"/>
              </w:rPr>
              <w:t xml:space="preserve"> </w:t>
            </w:r>
            <w:r>
              <w:rPr>
                <w:rFonts w:ascii="Calibri"/>
                <w:spacing w:val="-1"/>
                <w:sz w:val="18"/>
              </w:rPr>
              <w:t>to reduce</w:t>
            </w:r>
            <w:r>
              <w:rPr>
                <w:rFonts w:ascii="Calibri"/>
                <w:spacing w:val="41"/>
                <w:w w:val="99"/>
                <w:sz w:val="18"/>
              </w:rPr>
              <w:t xml:space="preserve"> </w:t>
            </w:r>
            <w:r>
              <w:rPr>
                <w:rFonts w:ascii="Calibri"/>
                <w:spacing w:val="-1"/>
                <w:sz w:val="18"/>
              </w:rPr>
              <w:t>administrative</w:t>
            </w:r>
            <w:r>
              <w:rPr>
                <w:rFonts w:ascii="Calibri"/>
                <w:spacing w:val="-3"/>
                <w:sz w:val="18"/>
              </w:rPr>
              <w:t xml:space="preserve"> </w:t>
            </w:r>
            <w:r>
              <w:rPr>
                <w:rFonts w:ascii="Calibri"/>
                <w:spacing w:val="-1"/>
                <w:sz w:val="18"/>
              </w:rPr>
              <w:t>costs</w:t>
            </w:r>
            <w:r>
              <w:rPr>
                <w:rFonts w:ascii="Calibri"/>
                <w:spacing w:val="-3"/>
                <w:sz w:val="18"/>
              </w:rPr>
              <w:t xml:space="preserve"> </w:t>
            </w:r>
            <w:r>
              <w:rPr>
                <w:rFonts w:ascii="Calibri"/>
                <w:sz w:val="18"/>
              </w:rPr>
              <w:t>and</w:t>
            </w:r>
            <w:r>
              <w:rPr>
                <w:rFonts w:ascii="Calibri"/>
                <w:spacing w:val="-3"/>
                <w:sz w:val="18"/>
              </w:rPr>
              <w:t xml:space="preserve"> </w:t>
            </w:r>
            <w:r>
              <w:rPr>
                <w:rFonts w:ascii="Calibri"/>
                <w:spacing w:val="-1"/>
                <w:sz w:val="18"/>
              </w:rPr>
              <w:t xml:space="preserve">to </w:t>
            </w:r>
            <w:r>
              <w:rPr>
                <w:rFonts w:ascii="Calibri"/>
                <w:sz w:val="18"/>
              </w:rPr>
              <w:t>ensure</w:t>
            </w:r>
            <w:r>
              <w:rPr>
                <w:rFonts w:ascii="Calibri"/>
                <w:spacing w:val="-3"/>
                <w:sz w:val="18"/>
              </w:rPr>
              <w:t xml:space="preserve"> </w:t>
            </w:r>
            <w:r>
              <w:rPr>
                <w:rFonts w:ascii="Calibri"/>
                <w:spacing w:val="-1"/>
                <w:sz w:val="18"/>
              </w:rPr>
              <w:t>adequate</w:t>
            </w:r>
            <w:r>
              <w:rPr>
                <w:rFonts w:ascii="Calibri"/>
                <w:spacing w:val="-3"/>
                <w:sz w:val="18"/>
              </w:rPr>
              <w:t xml:space="preserve"> </w:t>
            </w:r>
            <w:r>
              <w:rPr>
                <w:rFonts w:ascii="Calibri"/>
                <w:spacing w:val="-1"/>
                <w:sz w:val="18"/>
              </w:rPr>
              <w:t>budget</w:t>
            </w:r>
            <w:r>
              <w:rPr>
                <w:rFonts w:ascii="Calibri"/>
                <w:spacing w:val="-3"/>
                <w:sz w:val="18"/>
              </w:rPr>
              <w:t xml:space="preserve"> </w:t>
            </w:r>
            <w:r>
              <w:rPr>
                <w:rFonts w:ascii="Calibri"/>
                <w:sz w:val="18"/>
              </w:rPr>
              <w:t>is</w:t>
            </w:r>
            <w:r>
              <w:rPr>
                <w:rFonts w:ascii="Calibri"/>
                <w:spacing w:val="49"/>
                <w:sz w:val="18"/>
              </w:rPr>
              <w:t xml:space="preserve"> </w:t>
            </w:r>
            <w:r>
              <w:rPr>
                <w:rFonts w:ascii="Calibri"/>
                <w:spacing w:val="-1"/>
                <w:sz w:val="18"/>
              </w:rPr>
              <w:t>available</w:t>
            </w:r>
            <w:r>
              <w:rPr>
                <w:rFonts w:ascii="Calibri"/>
                <w:spacing w:val="-4"/>
                <w:sz w:val="18"/>
              </w:rPr>
              <w:t xml:space="preserve"> </w:t>
            </w:r>
            <w:r>
              <w:rPr>
                <w:rFonts w:ascii="Calibri"/>
                <w:sz w:val="18"/>
              </w:rPr>
              <w:t>in</w:t>
            </w:r>
            <w:r>
              <w:rPr>
                <w:rFonts w:ascii="Calibri"/>
                <w:spacing w:val="-3"/>
                <w:sz w:val="18"/>
              </w:rPr>
              <w:t xml:space="preserve"> </w:t>
            </w:r>
            <w:r>
              <w:rPr>
                <w:rFonts w:ascii="Calibri"/>
                <w:spacing w:val="-1"/>
                <w:sz w:val="18"/>
              </w:rPr>
              <w:t>case</w:t>
            </w:r>
            <w:r>
              <w:rPr>
                <w:rFonts w:ascii="Calibri"/>
                <w:spacing w:val="-4"/>
                <w:sz w:val="18"/>
              </w:rPr>
              <w:t xml:space="preserve"> </w:t>
            </w:r>
            <w:r>
              <w:rPr>
                <w:rFonts w:ascii="Calibri"/>
                <w:spacing w:val="-1"/>
                <w:sz w:val="18"/>
              </w:rPr>
              <w:t>participation</w:t>
            </w:r>
            <w:r>
              <w:rPr>
                <w:rFonts w:ascii="Calibri"/>
                <w:spacing w:val="-3"/>
                <w:sz w:val="18"/>
              </w:rPr>
              <w:t xml:space="preserve"> </w:t>
            </w:r>
            <w:r>
              <w:rPr>
                <w:rFonts w:ascii="Calibri"/>
                <w:sz w:val="18"/>
              </w:rPr>
              <w:t>levels</w:t>
            </w:r>
            <w:r>
              <w:rPr>
                <w:rFonts w:ascii="Calibri"/>
                <w:spacing w:val="-4"/>
                <w:sz w:val="18"/>
              </w:rPr>
              <w:t xml:space="preserve"> </w:t>
            </w:r>
            <w:r>
              <w:rPr>
                <w:rFonts w:ascii="Calibri"/>
                <w:spacing w:val="-1"/>
                <w:sz w:val="18"/>
              </w:rPr>
              <w:t>increase significantly.</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442"/>
        </w:trPr>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Review</w:t>
            </w:r>
            <w:r>
              <w:rPr>
                <w:rFonts w:ascii="Calibri"/>
                <w:spacing w:val="-4"/>
                <w:sz w:val="18"/>
              </w:rPr>
              <w:t xml:space="preserve"> </w:t>
            </w:r>
            <w:r>
              <w:rPr>
                <w:rFonts w:ascii="Calibri"/>
                <w:spacing w:val="-1"/>
                <w:sz w:val="18"/>
              </w:rPr>
              <w:t>and</w:t>
            </w:r>
            <w:r>
              <w:rPr>
                <w:rFonts w:ascii="Calibri"/>
                <w:spacing w:val="-5"/>
                <w:sz w:val="18"/>
              </w:rPr>
              <w:t xml:space="preserve"> </w:t>
            </w:r>
            <w:r>
              <w:rPr>
                <w:rFonts w:ascii="Calibri"/>
                <w:spacing w:val="-1"/>
                <w:sz w:val="18"/>
              </w:rPr>
              <w:t>improve</w:t>
            </w:r>
            <w:r>
              <w:rPr>
                <w:rFonts w:ascii="Calibri"/>
                <w:spacing w:val="-5"/>
                <w:sz w:val="18"/>
              </w:rPr>
              <w:t xml:space="preserve"> </w:t>
            </w:r>
            <w:r>
              <w:rPr>
                <w:rFonts w:ascii="Calibri"/>
                <w:spacing w:val="-1"/>
                <w:sz w:val="18"/>
              </w:rPr>
              <w:t>contractor</w:t>
            </w:r>
            <w:r>
              <w:rPr>
                <w:rFonts w:ascii="Calibri"/>
                <w:spacing w:val="-4"/>
                <w:sz w:val="18"/>
              </w:rPr>
              <w:t xml:space="preserve"> </w:t>
            </w:r>
            <w:r>
              <w:rPr>
                <w:rFonts w:ascii="Calibri"/>
                <w:spacing w:val="-1"/>
                <w:sz w:val="18"/>
              </w:rPr>
              <w:t>tracking</w:t>
            </w:r>
            <w:r>
              <w:rPr>
                <w:rFonts w:ascii="Calibri"/>
                <w:spacing w:val="-5"/>
                <w:sz w:val="18"/>
              </w:rPr>
              <w:t xml:space="preserve"> </w:t>
            </w:r>
            <w:r>
              <w:rPr>
                <w:rFonts w:ascii="Calibri"/>
                <w:spacing w:val="-1"/>
                <w:sz w:val="18"/>
              </w:rPr>
              <w:t>procedures.</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5"/>
                <w:sz w:val="18"/>
              </w:rPr>
              <w:t xml:space="preserve"> </w:t>
            </w:r>
            <w:r>
              <w:rPr>
                <w:rFonts w:ascii="Calibri"/>
                <w:sz w:val="18"/>
              </w:rPr>
              <w:t>for</w:t>
            </w:r>
            <w:r>
              <w:rPr>
                <w:rFonts w:ascii="Calibri"/>
                <w:spacing w:val="-5"/>
                <w:sz w:val="18"/>
              </w:rPr>
              <w:t xml:space="preserve"> </w:t>
            </w:r>
            <w:r>
              <w:rPr>
                <w:rFonts w:ascii="Calibri"/>
                <w:spacing w:val="-1"/>
                <w:sz w:val="18"/>
              </w:rPr>
              <w:t>Phase</w:t>
            </w:r>
            <w:r>
              <w:rPr>
                <w:rFonts w:ascii="Calibri"/>
                <w:spacing w:val="-5"/>
                <w:sz w:val="18"/>
              </w:rPr>
              <w:t xml:space="preserve"> </w:t>
            </w:r>
            <w:r>
              <w:rPr>
                <w:rFonts w:ascii="Calibri"/>
                <w:sz w:val="18"/>
              </w:rPr>
              <w:t>III</w:t>
            </w:r>
          </w:p>
        </w:tc>
      </w:tr>
      <w:tr w:rsidR="00E646C9" w:rsidTr="0011636D">
        <w:trPr>
          <w:trHeight w:hRule="exact" w:val="442"/>
        </w:trPr>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Review</w:t>
            </w:r>
            <w:r>
              <w:rPr>
                <w:rFonts w:ascii="Calibri"/>
                <w:spacing w:val="-2"/>
                <w:sz w:val="18"/>
              </w:rPr>
              <w:t xml:space="preserve"> </w:t>
            </w:r>
            <w:r>
              <w:rPr>
                <w:rFonts w:ascii="Calibri"/>
                <w:spacing w:val="-1"/>
                <w:sz w:val="18"/>
              </w:rPr>
              <w:t>the</w:t>
            </w:r>
            <w:r>
              <w:rPr>
                <w:rFonts w:ascii="Calibri"/>
                <w:spacing w:val="-4"/>
                <w:sz w:val="18"/>
              </w:rPr>
              <w:t xml:space="preserve"> </w:t>
            </w:r>
            <w:r>
              <w:rPr>
                <w:rFonts w:ascii="Calibri"/>
                <w:spacing w:val="-1"/>
                <w:sz w:val="18"/>
              </w:rPr>
              <w:t>application</w:t>
            </w:r>
            <w:r>
              <w:rPr>
                <w:rFonts w:ascii="Calibri"/>
                <w:spacing w:val="-3"/>
                <w:sz w:val="18"/>
              </w:rPr>
              <w:t xml:space="preserve"> </w:t>
            </w:r>
            <w:r>
              <w:rPr>
                <w:rFonts w:ascii="Calibri"/>
                <w:spacing w:val="-1"/>
                <w:sz w:val="18"/>
              </w:rPr>
              <w:t>process</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possible</w:t>
            </w:r>
            <w:r>
              <w:rPr>
                <w:rFonts w:ascii="Calibri"/>
                <w:spacing w:val="-3"/>
                <w:sz w:val="18"/>
              </w:rPr>
              <w:t xml:space="preserve"> </w:t>
            </w:r>
            <w:r>
              <w:rPr>
                <w:rFonts w:ascii="Calibri"/>
                <w:spacing w:val="-1"/>
                <w:sz w:val="18"/>
              </w:rPr>
              <w:t>efficiencies.</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9"/>
        </w:trPr>
        <w:tc>
          <w:tcPr>
            <w:tcW w:w="4680" w:type="dxa"/>
          </w:tcPr>
          <w:p w:rsidR="00E646C9" w:rsidRDefault="00E646C9" w:rsidP="00C94D5A">
            <w:pPr>
              <w:pStyle w:val="TableParagraph"/>
              <w:ind w:left="102" w:right="311"/>
              <w:rPr>
                <w:rFonts w:ascii="Calibri" w:eastAsia="Calibri" w:hAnsi="Calibri" w:cs="Calibri"/>
                <w:sz w:val="18"/>
                <w:szCs w:val="18"/>
              </w:rPr>
            </w:pPr>
            <w:r>
              <w:rPr>
                <w:rFonts w:ascii="Calibri"/>
                <w:spacing w:val="-1"/>
                <w:sz w:val="18"/>
              </w:rPr>
              <w:t>Continue support</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contractors,</w:t>
            </w:r>
            <w:r>
              <w:rPr>
                <w:rFonts w:ascii="Calibri"/>
                <w:spacing w:val="-2"/>
                <w:sz w:val="18"/>
              </w:rPr>
              <w:t xml:space="preserve"> </w:t>
            </w:r>
            <w:r>
              <w:rPr>
                <w:rFonts w:ascii="Calibri"/>
                <w:spacing w:val="-1"/>
                <w:sz w:val="18"/>
              </w:rPr>
              <w:t>including</w:t>
            </w:r>
            <w:r>
              <w:rPr>
                <w:rFonts w:ascii="Calibri"/>
                <w:spacing w:val="-2"/>
                <w:sz w:val="18"/>
              </w:rPr>
              <w:t xml:space="preserve"> </w:t>
            </w:r>
            <w:r>
              <w:rPr>
                <w:rFonts w:ascii="Calibri"/>
                <w:spacing w:val="-1"/>
                <w:sz w:val="18"/>
              </w:rPr>
              <w:t>consistent</w:t>
            </w:r>
            <w:r>
              <w:rPr>
                <w:rFonts w:ascii="Calibri"/>
                <w:spacing w:val="-3"/>
                <w:sz w:val="18"/>
              </w:rPr>
              <w:t xml:space="preserve"> </w:t>
            </w:r>
            <w:r>
              <w:rPr>
                <w:rFonts w:ascii="Calibri"/>
                <w:spacing w:val="-1"/>
                <w:sz w:val="18"/>
              </w:rPr>
              <w:t>ICSP</w:t>
            </w:r>
            <w:r>
              <w:rPr>
                <w:rFonts w:ascii="Calibri"/>
                <w:spacing w:val="61"/>
                <w:w w:val="99"/>
                <w:sz w:val="18"/>
              </w:rPr>
              <w:t xml:space="preserve"> </w:t>
            </w:r>
            <w:r>
              <w:rPr>
                <w:rFonts w:ascii="Calibri"/>
                <w:spacing w:val="-1"/>
                <w:sz w:val="18"/>
              </w:rPr>
              <w:t>contact</w:t>
            </w:r>
            <w:r>
              <w:rPr>
                <w:rFonts w:ascii="Calibri"/>
                <w:spacing w:val="-6"/>
                <w:sz w:val="18"/>
              </w:rPr>
              <w:t xml:space="preserve"> </w:t>
            </w:r>
            <w:r>
              <w:rPr>
                <w:rFonts w:ascii="Calibri"/>
                <w:spacing w:val="-1"/>
                <w:sz w:val="18"/>
              </w:rPr>
              <w:t>and</w:t>
            </w:r>
            <w:r>
              <w:rPr>
                <w:rFonts w:ascii="Calibri"/>
                <w:spacing w:val="-6"/>
                <w:sz w:val="18"/>
              </w:rPr>
              <w:t xml:space="preserve"> </w:t>
            </w:r>
            <w:r>
              <w:rPr>
                <w:rFonts w:ascii="Calibri"/>
                <w:spacing w:val="-1"/>
                <w:sz w:val="18"/>
              </w:rPr>
              <w:t>marketing</w:t>
            </w:r>
            <w:r>
              <w:rPr>
                <w:rFonts w:ascii="Calibri"/>
                <w:spacing w:val="-6"/>
                <w:sz w:val="18"/>
              </w:rPr>
              <w:t xml:space="preserve"> </w:t>
            </w:r>
            <w:r>
              <w:rPr>
                <w:rFonts w:ascii="Calibri"/>
                <w:spacing w:val="-1"/>
                <w:sz w:val="18"/>
              </w:rPr>
              <w:t>materials.</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51"/>
        </w:trPr>
        <w:tc>
          <w:tcPr>
            <w:tcW w:w="4680" w:type="dxa"/>
            <w:shd w:val="clear" w:color="auto" w:fill="D2EAF1"/>
          </w:tcPr>
          <w:p w:rsidR="00E646C9" w:rsidRDefault="00E646C9" w:rsidP="00C94D5A">
            <w:pPr>
              <w:pStyle w:val="TableParagraph"/>
              <w:ind w:left="102" w:right="734"/>
              <w:rPr>
                <w:rFonts w:ascii="Calibri" w:eastAsia="Calibri" w:hAnsi="Calibri" w:cs="Calibri"/>
                <w:sz w:val="18"/>
                <w:szCs w:val="18"/>
              </w:rPr>
            </w:pPr>
            <w:r>
              <w:rPr>
                <w:rFonts w:ascii="Calibri"/>
                <w:spacing w:val="-1"/>
                <w:sz w:val="18"/>
              </w:rPr>
              <w:t>Continue to</w:t>
            </w:r>
            <w:r>
              <w:rPr>
                <w:rFonts w:ascii="Calibri"/>
                <w:sz w:val="18"/>
              </w:rPr>
              <w:t xml:space="preserve"> </w:t>
            </w:r>
            <w:r>
              <w:rPr>
                <w:rFonts w:ascii="Calibri"/>
                <w:spacing w:val="-1"/>
                <w:sz w:val="18"/>
              </w:rPr>
              <w:t>market</w:t>
            </w:r>
            <w:r>
              <w:rPr>
                <w:rFonts w:ascii="Calibri"/>
                <w:spacing w:val="-2"/>
                <w:sz w:val="18"/>
              </w:rPr>
              <w:t xml:space="preserve"> </w:t>
            </w:r>
            <w:r>
              <w:rPr>
                <w:rFonts w:ascii="Calibri"/>
                <w:spacing w:val="-1"/>
                <w:sz w:val="18"/>
              </w:rPr>
              <w:t>to</w:t>
            </w:r>
            <w:r>
              <w:rPr>
                <w:rFonts w:ascii="Calibri"/>
                <w:sz w:val="18"/>
              </w:rPr>
              <w:t xml:space="preserve"> </w:t>
            </w:r>
            <w:r>
              <w:rPr>
                <w:rFonts w:ascii="Calibri"/>
                <w:spacing w:val="-1"/>
                <w:sz w:val="18"/>
              </w:rPr>
              <w:t>past</w:t>
            </w:r>
            <w:r>
              <w:rPr>
                <w:rFonts w:ascii="Calibri"/>
                <w:spacing w:val="-2"/>
                <w:sz w:val="18"/>
              </w:rPr>
              <w:t xml:space="preserve"> </w:t>
            </w:r>
            <w:r>
              <w:rPr>
                <w:rFonts w:ascii="Calibri"/>
                <w:spacing w:val="-1"/>
                <w:sz w:val="18"/>
              </w:rPr>
              <w:t>participants</w:t>
            </w:r>
            <w:r>
              <w:rPr>
                <w:rFonts w:ascii="Calibri"/>
                <w:spacing w:val="-2"/>
                <w:sz w:val="18"/>
              </w:rPr>
              <w:t xml:space="preserve"> </w:t>
            </w:r>
            <w:r>
              <w:rPr>
                <w:rFonts w:ascii="Calibri"/>
                <w:spacing w:val="1"/>
                <w:sz w:val="18"/>
              </w:rPr>
              <w:t>as</w:t>
            </w:r>
            <w:r>
              <w:rPr>
                <w:rFonts w:ascii="Calibri"/>
                <w:spacing w:val="-2"/>
                <w:sz w:val="18"/>
              </w:rPr>
              <w:t xml:space="preserve"> </w:t>
            </w:r>
            <w:r>
              <w:rPr>
                <w:rFonts w:ascii="Calibri"/>
                <w:spacing w:val="-1"/>
                <w:sz w:val="18"/>
              </w:rPr>
              <w:t>well</w:t>
            </w:r>
            <w:r>
              <w:rPr>
                <w:rFonts w:ascii="Calibri"/>
                <w:spacing w:val="-2"/>
                <w:sz w:val="18"/>
              </w:rPr>
              <w:t xml:space="preserve"> </w:t>
            </w:r>
            <w:r>
              <w:rPr>
                <w:rFonts w:ascii="Calibri"/>
                <w:sz w:val="18"/>
              </w:rPr>
              <w:t>as</w:t>
            </w:r>
            <w:r>
              <w:rPr>
                <w:rFonts w:ascii="Calibri"/>
                <w:spacing w:val="39"/>
                <w:sz w:val="18"/>
              </w:rPr>
              <w:t xml:space="preserve"> </w:t>
            </w:r>
            <w:r>
              <w:rPr>
                <w:rFonts w:ascii="Calibri"/>
                <w:spacing w:val="-1"/>
                <w:sz w:val="18"/>
              </w:rPr>
              <w:t>nonparticipants</w:t>
            </w:r>
            <w:r>
              <w:rPr>
                <w:rFonts w:ascii="Calibri"/>
                <w:spacing w:val="-3"/>
                <w:sz w:val="18"/>
              </w:rPr>
              <w:t xml:space="preserve"> </w:t>
            </w:r>
            <w:r>
              <w:rPr>
                <w:rFonts w:ascii="Calibri"/>
                <w:spacing w:val="-1"/>
                <w:sz w:val="18"/>
              </w:rPr>
              <w:t>if</w:t>
            </w:r>
            <w:r>
              <w:rPr>
                <w:rFonts w:ascii="Calibri"/>
                <w:spacing w:val="-2"/>
                <w:sz w:val="18"/>
              </w:rPr>
              <w:t xml:space="preserve"> </w:t>
            </w:r>
            <w:r>
              <w:rPr>
                <w:rFonts w:ascii="Calibri"/>
                <w:sz w:val="18"/>
              </w:rPr>
              <w:t>additional</w:t>
            </w:r>
            <w:r>
              <w:rPr>
                <w:rFonts w:ascii="Calibri"/>
                <w:spacing w:val="-2"/>
                <w:sz w:val="18"/>
              </w:rPr>
              <w:t xml:space="preserve"> </w:t>
            </w:r>
            <w:r>
              <w:rPr>
                <w:rFonts w:ascii="Calibri"/>
                <w:spacing w:val="-1"/>
                <w:sz w:val="18"/>
              </w:rPr>
              <w:t>participation</w:t>
            </w:r>
            <w:r>
              <w:rPr>
                <w:rFonts w:ascii="Calibri"/>
                <w:spacing w:val="-3"/>
                <w:sz w:val="18"/>
              </w:rPr>
              <w:t xml:space="preserve"> </w:t>
            </w:r>
            <w:r>
              <w:rPr>
                <w:rFonts w:ascii="Calibri"/>
                <w:spacing w:val="-1"/>
                <w:sz w:val="18"/>
              </w:rPr>
              <w:t>is</w:t>
            </w:r>
            <w:r>
              <w:rPr>
                <w:rFonts w:ascii="Calibri"/>
                <w:spacing w:val="-2"/>
                <w:sz w:val="18"/>
              </w:rPr>
              <w:t xml:space="preserve"> </w:t>
            </w:r>
            <w:r>
              <w:rPr>
                <w:rFonts w:ascii="Calibri"/>
                <w:spacing w:val="-1"/>
                <w:sz w:val="18"/>
              </w:rPr>
              <w:t>needed.</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bl>
    <w:p w:rsidR="005A786B" w:rsidRPr="005A786B" w:rsidRDefault="005A786B" w:rsidP="005A786B"/>
    <w:p w:rsidR="00E646C9" w:rsidRDefault="00E646C9" w:rsidP="003B56E9">
      <w:pPr>
        <w:pStyle w:val="AppendixGHeading2"/>
      </w:pPr>
      <w:r>
        <w:t>Commercial and Industrial Energy Efficiency Equipment– Large Program</w:t>
      </w:r>
    </w:p>
    <w:tbl>
      <w:tblPr>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770"/>
      </w:tblGrid>
      <w:tr w:rsidR="00E646C9" w:rsidTr="0011636D">
        <w:trPr>
          <w:trHeight w:hRule="exact" w:val="677"/>
          <w:tblHeader/>
        </w:trPr>
        <w:tc>
          <w:tcPr>
            <w:tcW w:w="4680" w:type="dxa"/>
            <w:shd w:val="clear" w:color="auto" w:fill="448A99"/>
          </w:tcPr>
          <w:p w:rsidR="00E646C9" w:rsidRDefault="00E646C9" w:rsidP="004D470A">
            <w:pPr>
              <w:pStyle w:val="TableParagraph"/>
              <w:spacing w:line="218" w:lineRule="exact"/>
              <w:ind w:left="39"/>
              <w:rPr>
                <w:rFonts w:ascii="Calibri" w:eastAsia="Calibri" w:hAnsi="Calibri" w:cs="Calibri"/>
                <w:sz w:val="18"/>
                <w:szCs w:val="18"/>
              </w:rPr>
            </w:pPr>
            <w:r>
              <w:rPr>
                <w:rFonts w:ascii="Calibri"/>
                <w:b/>
                <w:color w:val="FFFFFF"/>
                <w:spacing w:val="-1"/>
                <w:sz w:val="18"/>
              </w:rPr>
              <w:t>Recommendations</w:t>
            </w:r>
          </w:p>
        </w:tc>
        <w:tc>
          <w:tcPr>
            <w:tcW w:w="477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1109"/>
        </w:trPr>
        <w:tc>
          <w:tcPr>
            <w:tcW w:w="4680" w:type="dxa"/>
            <w:shd w:val="clear" w:color="auto" w:fill="D2EAF1"/>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Continue</w:t>
            </w:r>
            <w:r>
              <w:rPr>
                <w:rFonts w:ascii="Calibri"/>
                <w:spacing w:val="36"/>
                <w:sz w:val="18"/>
              </w:rPr>
              <w:t xml:space="preserve"> </w:t>
            </w:r>
            <w:r>
              <w:rPr>
                <w:rFonts w:ascii="Calibri"/>
                <w:spacing w:val="-1"/>
                <w:sz w:val="18"/>
              </w:rPr>
              <w:t>conducting</w:t>
            </w:r>
            <w:r>
              <w:rPr>
                <w:rFonts w:ascii="Calibri"/>
                <w:spacing w:val="36"/>
                <w:sz w:val="18"/>
              </w:rPr>
              <w:t xml:space="preserve"> </w:t>
            </w:r>
            <w:r>
              <w:rPr>
                <w:rFonts w:ascii="Calibri"/>
                <w:sz w:val="18"/>
              </w:rPr>
              <w:t>outreach</w:t>
            </w:r>
            <w:r>
              <w:rPr>
                <w:rFonts w:ascii="Calibri"/>
                <w:spacing w:val="36"/>
                <w:sz w:val="18"/>
              </w:rPr>
              <w:t xml:space="preserve"> </w:t>
            </w:r>
            <w:r>
              <w:rPr>
                <w:rFonts w:ascii="Calibri"/>
                <w:spacing w:val="-1"/>
                <w:sz w:val="18"/>
              </w:rPr>
              <w:t>with</w:t>
            </w:r>
            <w:r>
              <w:rPr>
                <w:rFonts w:ascii="Calibri"/>
                <w:spacing w:val="36"/>
                <w:sz w:val="18"/>
              </w:rPr>
              <w:t xml:space="preserve"> </w:t>
            </w:r>
            <w:r>
              <w:rPr>
                <w:rFonts w:ascii="Calibri"/>
                <w:spacing w:val="-1"/>
                <w:sz w:val="18"/>
              </w:rPr>
              <w:t>trade</w:t>
            </w:r>
            <w:r>
              <w:rPr>
                <w:rFonts w:ascii="Calibri"/>
                <w:spacing w:val="36"/>
                <w:sz w:val="18"/>
              </w:rPr>
              <w:t xml:space="preserve"> </w:t>
            </w:r>
            <w:r>
              <w:rPr>
                <w:rFonts w:ascii="Calibri"/>
                <w:spacing w:val="-1"/>
                <w:sz w:val="18"/>
              </w:rPr>
              <w:t>allies</w:t>
            </w:r>
            <w:r>
              <w:rPr>
                <w:rFonts w:ascii="Calibri"/>
                <w:spacing w:val="36"/>
                <w:sz w:val="18"/>
              </w:rPr>
              <w:t xml:space="preserve"> </w:t>
            </w:r>
            <w:r>
              <w:rPr>
                <w:rFonts w:ascii="Calibri"/>
                <w:spacing w:val="-1"/>
                <w:sz w:val="18"/>
              </w:rPr>
              <w:t>and</w:t>
            </w:r>
            <w:r>
              <w:rPr>
                <w:rFonts w:ascii="Calibri"/>
                <w:spacing w:val="44"/>
                <w:sz w:val="18"/>
              </w:rPr>
              <w:t xml:space="preserve"> </w:t>
            </w:r>
            <w:r>
              <w:rPr>
                <w:rFonts w:ascii="Calibri"/>
                <w:spacing w:val="-1"/>
                <w:sz w:val="18"/>
              </w:rPr>
              <w:t>contractors</w:t>
            </w:r>
            <w:r>
              <w:rPr>
                <w:rFonts w:ascii="Calibri"/>
                <w:spacing w:val="6"/>
                <w:sz w:val="18"/>
              </w:rPr>
              <w:t xml:space="preserve"> </w:t>
            </w:r>
            <w:r>
              <w:rPr>
                <w:rFonts w:ascii="Calibri"/>
                <w:spacing w:val="-1"/>
                <w:sz w:val="18"/>
              </w:rPr>
              <w:t>to</w:t>
            </w:r>
            <w:r>
              <w:rPr>
                <w:rFonts w:ascii="Calibri"/>
                <w:spacing w:val="7"/>
                <w:sz w:val="18"/>
              </w:rPr>
              <w:t xml:space="preserve"> </w:t>
            </w:r>
            <w:r>
              <w:rPr>
                <w:rFonts w:ascii="Calibri"/>
                <w:spacing w:val="-1"/>
                <w:sz w:val="18"/>
              </w:rPr>
              <w:t>promote</w:t>
            </w:r>
            <w:r>
              <w:rPr>
                <w:rFonts w:ascii="Calibri"/>
                <w:spacing w:val="7"/>
                <w:sz w:val="18"/>
              </w:rPr>
              <w:t xml:space="preserve"> </w:t>
            </w:r>
            <w:r>
              <w:rPr>
                <w:rFonts w:ascii="Calibri"/>
                <w:spacing w:val="-1"/>
                <w:sz w:val="18"/>
              </w:rPr>
              <w:t>the</w:t>
            </w:r>
            <w:r>
              <w:rPr>
                <w:rFonts w:ascii="Calibri"/>
                <w:spacing w:val="6"/>
                <w:sz w:val="18"/>
              </w:rPr>
              <w:t xml:space="preserve"> </w:t>
            </w:r>
            <w:r>
              <w:rPr>
                <w:rFonts w:ascii="Calibri"/>
                <w:sz w:val="18"/>
              </w:rPr>
              <w:t>program</w:t>
            </w:r>
            <w:r>
              <w:rPr>
                <w:rFonts w:ascii="Calibri"/>
                <w:spacing w:val="7"/>
                <w:sz w:val="18"/>
              </w:rPr>
              <w:t xml:space="preserve"> </w:t>
            </w:r>
            <w:r>
              <w:rPr>
                <w:rFonts w:ascii="Calibri"/>
                <w:spacing w:val="-1"/>
                <w:sz w:val="18"/>
              </w:rPr>
              <w:t>when</w:t>
            </w:r>
            <w:r>
              <w:rPr>
                <w:rFonts w:ascii="Calibri"/>
                <w:spacing w:val="6"/>
                <w:sz w:val="18"/>
              </w:rPr>
              <w:t xml:space="preserve"> </w:t>
            </w:r>
            <w:r>
              <w:rPr>
                <w:rFonts w:ascii="Calibri"/>
                <w:spacing w:val="-1"/>
                <w:sz w:val="18"/>
              </w:rPr>
              <w:t>working</w:t>
            </w:r>
            <w:r>
              <w:rPr>
                <w:rFonts w:ascii="Calibri"/>
                <w:spacing w:val="6"/>
                <w:sz w:val="18"/>
              </w:rPr>
              <w:t xml:space="preserve"> </w:t>
            </w:r>
            <w:r>
              <w:rPr>
                <w:rFonts w:ascii="Calibri"/>
                <w:spacing w:val="-1"/>
                <w:sz w:val="18"/>
              </w:rPr>
              <w:t>with</w:t>
            </w:r>
            <w:r>
              <w:rPr>
                <w:rFonts w:ascii="Calibri"/>
                <w:spacing w:val="38"/>
                <w:sz w:val="18"/>
              </w:rPr>
              <w:t xml:space="preserve"> </w:t>
            </w:r>
            <w:r>
              <w:rPr>
                <w:rFonts w:ascii="Calibri"/>
                <w:spacing w:val="-1"/>
                <w:sz w:val="18"/>
              </w:rPr>
              <w:t>commercial</w:t>
            </w:r>
            <w:r>
              <w:rPr>
                <w:rFonts w:ascii="Calibri"/>
                <w:spacing w:val="27"/>
                <w:sz w:val="18"/>
              </w:rPr>
              <w:t xml:space="preserve"> </w:t>
            </w:r>
            <w:r>
              <w:rPr>
                <w:rFonts w:ascii="Calibri"/>
                <w:spacing w:val="-1"/>
                <w:sz w:val="18"/>
              </w:rPr>
              <w:t>customers,</w:t>
            </w:r>
            <w:r>
              <w:rPr>
                <w:rFonts w:ascii="Calibri"/>
                <w:spacing w:val="29"/>
                <w:sz w:val="18"/>
              </w:rPr>
              <w:t xml:space="preserve"> </w:t>
            </w:r>
            <w:r>
              <w:rPr>
                <w:rFonts w:ascii="Calibri"/>
                <w:sz w:val="18"/>
              </w:rPr>
              <w:t>and</w:t>
            </w:r>
            <w:r>
              <w:rPr>
                <w:rFonts w:ascii="Calibri"/>
                <w:spacing w:val="26"/>
                <w:sz w:val="18"/>
              </w:rPr>
              <w:t xml:space="preserve"> </w:t>
            </w:r>
            <w:r>
              <w:rPr>
                <w:rFonts w:ascii="Calibri"/>
                <w:spacing w:val="-1"/>
                <w:sz w:val="18"/>
              </w:rPr>
              <w:t>continue</w:t>
            </w:r>
            <w:r>
              <w:rPr>
                <w:rFonts w:ascii="Calibri"/>
                <w:spacing w:val="28"/>
                <w:sz w:val="18"/>
              </w:rPr>
              <w:t xml:space="preserve"> </w:t>
            </w:r>
            <w:r>
              <w:rPr>
                <w:rFonts w:ascii="Calibri"/>
                <w:spacing w:val="-1"/>
                <w:sz w:val="18"/>
              </w:rPr>
              <w:t>incorporating</w:t>
            </w:r>
            <w:r>
              <w:rPr>
                <w:rFonts w:ascii="Calibri"/>
                <w:spacing w:val="29"/>
                <w:sz w:val="18"/>
              </w:rPr>
              <w:t xml:space="preserve"> </w:t>
            </w:r>
            <w:r>
              <w:rPr>
                <w:rFonts w:ascii="Calibri"/>
                <w:spacing w:val="-1"/>
                <w:sz w:val="18"/>
              </w:rPr>
              <w:t>case</w:t>
            </w:r>
            <w:r>
              <w:rPr>
                <w:rFonts w:ascii="Calibri"/>
                <w:spacing w:val="63"/>
                <w:w w:val="99"/>
                <w:sz w:val="18"/>
              </w:rPr>
              <w:t xml:space="preserve"> </w:t>
            </w:r>
            <w:r>
              <w:rPr>
                <w:rFonts w:ascii="Calibri"/>
                <w:spacing w:val="-1"/>
                <w:sz w:val="18"/>
              </w:rPr>
              <w:t>studies</w:t>
            </w:r>
            <w:r>
              <w:rPr>
                <w:rFonts w:ascii="Calibri"/>
                <w:spacing w:val="-8"/>
                <w:sz w:val="18"/>
              </w:rPr>
              <w:t xml:space="preserve"> </w:t>
            </w:r>
            <w:r>
              <w:rPr>
                <w:rFonts w:ascii="Calibri"/>
                <w:sz w:val="18"/>
              </w:rPr>
              <w:t>and</w:t>
            </w:r>
            <w:r>
              <w:rPr>
                <w:rFonts w:ascii="Calibri"/>
                <w:spacing w:val="-8"/>
                <w:sz w:val="18"/>
              </w:rPr>
              <w:t xml:space="preserve"> </w:t>
            </w:r>
            <w:r>
              <w:rPr>
                <w:rFonts w:ascii="Calibri"/>
                <w:spacing w:val="-1"/>
                <w:sz w:val="18"/>
              </w:rPr>
              <w:t>testimonials</w:t>
            </w:r>
            <w:r>
              <w:rPr>
                <w:rFonts w:ascii="Calibri"/>
                <w:spacing w:val="-8"/>
                <w:sz w:val="18"/>
              </w:rPr>
              <w:t xml:space="preserve"> </w:t>
            </w:r>
            <w:r>
              <w:rPr>
                <w:rFonts w:ascii="Calibri"/>
                <w:spacing w:val="-1"/>
                <w:sz w:val="18"/>
              </w:rPr>
              <w:t>into</w:t>
            </w:r>
            <w:r>
              <w:rPr>
                <w:rFonts w:ascii="Calibri"/>
                <w:spacing w:val="-6"/>
                <w:sz w:val="18"/>
              </w:rPr>
              <w:t xml:space="preserve"> </w:t>
            </w:r>
            <w:r>
              <w:rPr>
                <w:rFonts w:ascii="Calibri"/>
                <w:spacing w:val="-1"/>
                <w:sz w:val="18"/>
              </w:rPr>
              <w:t>marketing</w:t>
            </w:r>
            <w:r>
              <w:rPr>
                <w:rFonts w:ascii="Calibri"/>
                <w:spacing w:val="-7"/>
                <w:sz w:val="18"/>
              </w:rPr>
              <w:t xml:space="preserve"> </w:t>
            </w:r>
            <w:r>
              <w:rPr>
                <w:rFonts w:ascii="Calibri"/>
                <w:spacing w:val="-1"/>
                <w:sz w:val="18"/>
              </w:rPr>
              <w:t>materials</w:t>
            </w:r>
            <w:r>
              <w:rPr>
                <w:rFonts w:ascii="Calibri"/>
                <w:spacing w:val="-8"/>
                <w:sz w:val="18"/>
              </w:rPr>
              <w:t xml:space="preserve"> </w:t>
            </w:r>
            <w:r>
              <w:rPr>
                <w:rFonts w:ascii="Calibri"/>
                <w:spacing w:val="-1"/>
                <w:sz w:val="18"/>
              </w:rPr>
              <w:t>provided</w:t>
            </w:r>
            <w:r>
              <w:rPr>
                <w:rFonts w:ascii="Calibri"/>
                <w:spacing w:val="-8"/>
                <w:sz w:val="18"/>
              </w:rPr>
              <w:t xml:space="preserve"> </w:t>
            </w:r>
            <w:r>
              <w:rPr>
                <w:rFonts w:ascii="Calibri"/>
                <w:spacing w:val="-1"/>
                <w:sz w:val="18"/>
              </w:rPr>
              <w:t>to</w:t>
            </w:r>
            <w:r>
              <w:rPr>
                <w:rFonts w:ascii="Calibri"/>
                <w:spacing w:val="63"/>
                <w:sz w:val="18"/>
              </w:rPr>
              <w:t xml:space="preserve"> </w:t>
            </w:r>
            <w:r>
              <w:rPr>
                <w:rFonts w:ascii="Calibri"/>
                <w:spacing w:val="-1"/>
                <w:sz w:val="18"/>
              </w:rPr>
              <w:t>customers</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trade</w:t>
            </w:r>
            <w:r>
              <w:rPr>
                <w:rFonts w:ascii="Calibri"/>
                <w:spacing w:val="-3"/>
                <w:sz w:val="18"/>
              </w:rPr>
              <w:t xml:space="preserve"> </w:t>
            </w:r>
            <w:r>
              <w:rPr>
                <w:rFonts w:ascii="Calibri"/>
                <w:spacing w:val="-1"/>
                <w:sz w:val="18"/>
              </w:rPr>
              <w:t>allies.</w:t>
            </w:r>
          </w:p>
        </w:tc>
        <w:tc>
          <w:tcPr>
            <w:tcW w:w="477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890"/>
        </w:trPr>
        <w:tc>
          <w:tcPr>
            <w:tcW w:w="4680" w:type="dxa"/>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Seek</w:t>
            </w:r>
            <w:r>
              <w:rPr>
                <w:rFonts w:ascii="Calibri"/>
                <w:spacing w:val="27"/>
                <w:sz w:val="18"/>
              </w:rPr>
              <w:t xml:space="preserve"> </w:t>
            </w:r>
            <w:r>
              <w:rPr>
                <w:rFonts w:ascii="Calibri"/>
                <w:spacing w:val="-1"/>
                <w:sz w:val="18"/>
              </w:rPr>
              <w:t>opportunities</w:t>
            </w:r>
            <w:r>
              <w:rPr>
                <w:rFonts w:ascii="Calibri"/>
                <w:spacing w:val="28"/>
                <w:sz w:val="18"/>
              </w:rPr>
              <w:t xml:space="preserve"> </w:t>
            </w:r>
            <w:r>
              <w:rPr>
                <w:rFonts w:ascii="Calibri"/>
                <w:spacing w:val="-1"/>
                <w:sz w:val="18"/>
              </w:rPr>
              <w:t>to</w:t>
            </w:r>
            <w:r>
              <w:rPr>
                <w:rFonts w:ascii="Calibri"/>
                <w:spacing w:val="29"/>
                <w:sz w:val="18"/>
              </w:rPr>
              <w:t xml:space="preserve"> </w:t>
            </w:r>
            <w:r>
              <w:rPr>
                <w:rFonts w:ascii="Calibri"/>
                <w:spacing w:val="-1"/>
                <w:sz w:val="18"/>
              </w:rPr>
              <w:t>provide</w:t>
            </w:r>
            <w:r>
              <w:rPr>
                <w:rFonts w:ascii="Calibri"/>
                <w:spacing w:val="28"/>
                <w:sz w:val="18"/>
              </w:rPr>
              <w:t xml:space="preserve"> </w:t>
            </w:r>
            <w:r>
              <w:rPr>
                <w:rFonts w:ascii="Calibri"/>
                <w:spacing w:val="-1"/>
                <w:sz w:val="18"/>
              </w:rPr>
              <w:t>contractors</w:t>
            </w:r>
            <w:r>
              <w:rPr>
                <w:rFonts w:ascii="Calibri"/>
                <w:spacing w:val="27"/>
                <w:sz w:val="18"/>
              </w:rPr>
              <w:t xml:space="preserve"> </w:t>
            </w:r>
            <w:r>
              <w:rPr>
                <w:rFonts w:ascii="Calibri"/>
                <w:spacing w:val="-1"/>
                <w:sz w:val="18"/>
              </w:rPr>
              <w:t>and</w:t>
            </w:r>
            <w:r>
              <w:rPr>
                <w:rFonts w:ascii="Calibri"/>
                <w:spacing w:val="27"/>
                <w:sz w:val="18"/>
              </w:rPr>
              <w:t xml:space="preserve"> </w:t>
            </w:r>
            <w:r>
              <w:rPr>
                <w:rFonts w:ascii="Calibri"/>
                <w:spacing w:val="-1"/>
                <w:sz w:val="18"/>
              </w:rPr>
              <w:t>targeted</w:t>
            </w:r>
            <w:r>
              <w:rPr>
                <w:rFonts w:ascii="Calibri"/>
                <w:spacing w:val="55"/>
                <w:sz w:val="18"/>
              </w:rPr>
              <w:t xml:space="preserve"> </w:t>
            </w:r>
            <w:r>
              <w:rPr>
                <w:rFonts w:ascii="Calibri"/>
                <w:spacing w:val="-1"/>
                <w:sz w:val="18"/>
              </w:rPr>
              <w:t>customers</w:t>
            </w:r>
            <w:r>
              <w:rPr>
                <w:rFonts w:ascii="Calibri"/>
                <w:spacing w:val="-4"/>
                <w:sz w:val="18"/>
              </w:rPr>
              <w:t xml:space="preserve"> </w:t>
            </w:r>
            <w:r>
              <w:rPr>
                <w:rFonts w:ascii="Calibri"/>
                <w:sz w:val="18"/>
              </w:rPr>
              <w:t>with</w:t>
            </w:r>
            <w:r>
              <w:rPr>
                <w:rFonts w:ascii="Calibri"/>
                <w:spacing w:val="-3"/>
                <w:sz w:val="18"/>
              </w:rPr>
              <w:t xml:space="preserve"> </w:t>
            </w:r>
            <w:r>
              <w:rPr>
                <w:rFonts w:ascii="Calibri"/>
                <w:spacing w:val="-1"/>
                <w:sz w:val="18"/>
              </w:rPr>
              <w:t>additional</w:t>
            </w:r>
            <w:r>
              <w:rPr>
                <w:rFonts w:ascii="Calibri"/>
                <w:sz w:val="18"/>
              </w:rPr>
              <w:t xml:space="preserve"> </w:t>
            </w:r>
            <w:r>
              <w:rPr>
                <w:rFonts w:ascii="Calibri"/>
                <w:spacing w:val="-1"/>
                <w:sz w:val="18"/>
              </w:rPr>
              <w:t>literature</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marketing</w:t>
            </w:r>
            <w:r>
              <w:rPr>
                <w:rFonts w:ascii="Calibri"/>
                <w:spacing w:val="-3"/>
                <w:sz w:val="18"/>
              </w:rPr>
              <w:t xml:space="preserve"> </w:t>
            </w:r>
            <w:r>
              <w:rPr>
                <w:rFonts w:ascii="Calibri"/>
                <w:spacing w:val="-1"/>
                <w:sz w:val="18"/>
              </w:rPr>
              <w:t>materials</w:t>
            </w:r>
            <w:r>
              <w:rPr>
                <w:rFonts w:ascii="Calibri"/>
                <w:spacing w:val="70"/>
                <w:sz w:val="18"/>
              </w:rPr>
              <w:t xml:space="preserve"> </w:t>
            </w:r>
            <w:r>
              <w:rPr>
                <w:rFonts w:ascii="Calibri"/>
                <w:spacing w:val="-1"/>
                <w:sz w:val="18"/>
              </w:rPr>
              <w:t>they</w:t>
            </w:r>
            <w:r>
              <w:rPr>
                <w:rFonts w:ascii="Calibri"/>
                <w:spacing w:val="8"/>
                <w:sz w:val="18"/>
              </w:rPr>
              <w:t xml:space="preserve"> </w:t>
            </w:r>
            <w:r>
              <w:rPr>
                <w:rFonts w:ascii="Calibri"/>
                <w:sz w:val="18"/>
              </w:rPr>
              <w:t>can</w:t>
            </w:r>
            <w:r>
              <w:rPr>
                <w:rFonts w:ascii="Calibri"/>
                <w:spacing w:val="6"/>
                <w:sz w:val="18"/>
              </w:rPr>
              <w:t xml:space="preserve"> </w:t>
            </w:r>
            <w:r>
              <w:rPr>
                <w:rFonts w:ascii="Calibri"/>
                <w:spacing w:val="-1"/>
                <w:sz w:val="18"/>
              </w:rPr>
              <w:t>use</w:t>
            </w:r>
            <w:r>
              <w:rPr>
                <w:rFonts w:ascii="Calibri"/>
                <w:spacing w:val="8"/>
                <w:sz w:val="18"/>
              </w:rPr>
              <w:t xml:space="preserve"> </w:t>
            </w:r>
            <w:r>
              <w:rPr>
                <w:rFonts w:ascii="Calibri"/>
                <w:spacing w:val="-1"/>
                <w:sz w:val="18"/>
              </w:rPr>
              <w:t>to</w:t>
            </w:r>
            <w:r>
              <w:rPr>
                <w:rFonts w:ascii="Calibri"/>
                <w:spacing w:val="8"/>
                <w:sz w:val="18"/>
              </w:rPr>
              <w:t xml:space="preserve"> </w:t>
            </w:r>
            <w:r>
              <w:rPr>
                <w:rFonts w:ascii="Calibri"/>
                <w:spacing w:val="-1"/>
                <w:sz w:val="18"/>
              </w:rPr>
              <w:t>convey</w:t>
            </w:r>
            <w:r>
              <w:rPr>
                <w:rFonts w:ascii="Calibri"/>
                <w:spacing w:val="8"/>
                <w:sz w:val="18"/>
              </w:rPr>
              <w:t xml:space="preserve"> </w:t>
            </w:r>
            <w:r>
              <w:rPr>
                <w:rFonts w:ascii="Calibri"/>
                <w:spacing w:val="-1"/>
                <w:sz w:val="18"/>
              </w:rPr>
              <w:t>benefits</w:t>
            </w:r>
            <w:r>
              <w:rPr>
                <w:rFonts w:ascii="Calibri"/>
                <w:spacing w:val="8"/>
                <w:sz w:val="18"/>
              </w:rPr>
              <w:t xml:space="preserve"> </w:t>
            </w:r>
            <w:r>
              <w:rPr>
                <w:rFonts w:ascii="Calibri"/>
                <w:sz w:val="18"/>
              </w:rPr>
              <w:t>of</w:t>
            </w:r>
            <w:r>
              <w:rPr>
                <w:rFonts w:ascii="Calibri"/>
                <w:spacing w:val="8"/>
                <w:sz w:val="18"/>
              </w:rPr>
              <w:t xml:space="preserve"> </w:t>
            </w:r>
            <w:r>
              <w:rPr>
                <w:rFonts w:ascii="Calibri"/>
                <w:spacing w:val="-1"/>
                <w:sz w:val="18"/>
              </w:rPr>
              <w:t>the</w:t>
            </w:r>
            <w:r>
              <w:rPr>
                <w:rFonts w:ascii="Calibri"/>
                <w:spacing w:val="8"/>
                <w:sz w:val="18"/>
              </w:rPr>
              <w:t xml:space="preserve"> </w:t>
            </w:r>
            <w:r>
              <w:rPr>
                <w:rFonts w:ascii="Calibri"/>
                <w:spacing w:val="-1"/>
                <w:sz w:val="18"/>
              </w:rPr>
              <w:t>program</w:t>
            </w:r>
            <w:r>
              <w:rPr>
                <w:rFonts w:ascii="Calibri"/>
                <w:spacing w:val="8"/>
                <w:sz w:val="18"/>
              </w:rPr>
              <w:t xml:space="preserve"> </w:t>
            </w:r>
            <w:r>
              <w:rPr>
                <w:rFonts w:ascii="Calibri"/>
                <w:spacing w:val="-1"/>
                <w:sz w:val="18"/>
              </w:rPr>
              <w:t>to</w:t>
            </w:r>
            <w:r>
              <w:rPr>
                <w:rFonts w:ascii="Calibri"/>
                <w:spacing w:val="36"/>
                <w:sz w:val="18"/>
              </w:rPr>
              <w:t xml:space="preserve"> </w:t>
            </w:r>
            <w:r>
              <w:rPr>
                <w:rFonts w:ascii="Calibri"/>
                <w:spacing w:val="-1"/>
                <w:sz w:val="18"/>
              </w:rPr>
              <w:t>management</w:t>
            </w:r>
            <w:r>
              <w:rPr>
                <w:rFonts w:ascii="Calibri"/>
                <w:spacing w:val="-8"/>
                <w:sz w:val="18"/>
              </w:rPr>
              <w:t xml:space="preserve"> </w:t>
            </w:r>
            <w:r>
              <w:rPr>
                <w:rFonts w:ascii="Calibri"/>
                <w:spacing w:val="-1"/>
                <w:sz w:val="18"/>
              </w:rPr>
              <w:t>staff.</w:t>
            </w:r>
          </w:p>
        </w:tc>
        <w:tc>
          <w:tcPr>
            <w:tcW w:w="4770"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Being</w:t>
            </w:r>
            <w:r>
              <w:rPr>
                <w:rFonts w:ascii="Calibri"/>
                <w:spacing w:val="-3"/>
                <w:sz w:val="18"/>
              </w:rPr>
              <w:t xml:space="preserve"> </w:t>
            </w:r>
            <w:r>
              <w:rPr>
                <w:rFonts w:ascii="Calibri"/>
                <w:spacing w:val="-1"/>
                <w:sz w:val="18"/>
              </w:rPr>
              <w:t>Considered</w:t>
            </w:r>
            <w:r>
              <w:rPr>
                <w:rFonts w:ascii="Calibri"/>
                <w:spacing w:val="-4"/>
                <w:sz w:val="18"/>
              </w:rPr>
              <w:t xml:space="preserve"> </w:t>
            </w:r>
            <w:r>
              <w:rPr>
                <w:rFonts w:ascii="Calibri"/>
                <w:sz w:val="18"/>
              </w:rPr>
              <w:t>for</w:t>
            </w:r>
            <w:r>
              <w:rPr>
                <w:rFonts w:ascii="Calibri"/>
                <w:spacing w:val="-3"/>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2"/>
                <w:sz w:val="18"/>
              </w:rPr>
              <w:t xml:space="preserve"> </w:t>
            </w:r>
            <w:r>
              <w:rPr>
                <w:rFonts w:ascii="Calibri"/>
                <w:sz w:val="18"/>
              </w:rPr>
              <w:t>with</w:t>
            </w:r>
            <w:r>
              <w:rPr>
                <w:rFonts w:ascii="Calibri"/>
                <w:spacing w:val="-3"/>
                <w:sz w:val="18"/>
              </w:rPr>
              <w:t xml:space="preserve"> </w:t>
            </w:r>
            <w:r>
              <w:rPr>
                <w:rFonts w:ascii="Calibri"/>
                <w:spacing w:val="-1"/>
                <w:sz w:val="18"/>
              </w:rPr>
              <w:t>ICSP</w:t>
            </w:r>
          </w:p>
        </w:tc>
      </w:tr>
      <w:tr w:rsidR="00E646C9" w:rsidTr="0011636D">
        <w:trPr>
          <w:trHeight w:hRule="exact" w:val="667"/>
        </w:trPr>
        <w:tc>
          <w:tcPr>
            <w:tcW w:w="4680" w:type="dxa"/>
            <w:shd w:val="clear" w:color="auto" w:fill="D2EAF1"/>
          </w:tcPr>
          <w:p w:rsidR="00E646C9" w:rsidRDefault="00E646C9" w:rsidP="00C94D5A">
            <w:pPr>
              <w:pStyle w:val="TableParagraph"/>
              <w:ind w:left="102" w:right="101"/>
              <w:jc w:val="both"/>
              <w:rPr>
                <w:rFonts w:ascii="Calibri" w:eastAsia="Calibri" w:hAnsi="Calibri" w:cs="Calibri"/>
                <w:sz w:val="18"/>
                <w:szCs w:val="18"/>
              </w:rPr>
            </w:pPr>
            <w:r>
              <w:rPr>
                <w:rFonts w:ascii="Calibri"/>
                <w:spacing w:val="-1"/>
                <w:sz w:val="18"/>
              </w:rPr>
              <w:t>Continue</w:t>
            </w:r>
            <w:r>
              <w:rPr>
                <w:rFonts w:ascii="Calibri"/>
                <w:spacing w:val="25"/>
                <w:sz w:val="18"/>
              </w:rPr>
              <w:t xml:space="preserve"> </w:t>
            </w:r>
            <w:r>
              <w:rPr>
                <w:rFonts w:ascii="Calibri"/>
                <w:spacing w:val="-1"/>
                <w:sz w:val="18"/>
              </w:rPr>
              <w:t>working</w:t>
            </w:r>
            <w:r>
              <w:rPr>
                <w:rFonts w:ascii="Calibri"/>
                <w:spacing w:val="24"/>
                <w:sz w:val="18"/>
              </w:rPr>
              <w:t xml:space="preserve"> </w:t>
            </w:r>
            <w:r>
              <w:rPr>
                <w:rFonts w:ascii="Calibri"/>
                <w:spacing w:val="-1"/>
                <w:sz w:val="18"/>
              </w:rPr>
              <w:t>closely</w:t>
            </w:r>
            <w:r>
              <w:rPr>
                <w:rFonts w:ascii="Calibri"/>
                <w:spacing w:val="25"/>
                <w:sz w:val="18"/>
              </w:rPr>
              <w:t xml:space="preserve"> </w:t>
            </w:r>
            <w:r>
              <w:rPr>
                <w:rFonts w:ascii="Calibri"/>
                <w:sz w:val="18"/>
              </w:rPr>
              <w:t>with</w:t>
            </w:r>
            <w:r>
              <w:rPr>
                <w:rFonts w:ascii="Calibri"/>
                <w:spacing w:val="26"/>
                <w:sz w:val="18"/>
              </w:rPr>
              <w:t xml:space="preserve"> </w:t>
            </w:r>
            <w:r>
              <w:rPr>
                <w:rFonts w:ascii="Calibri"/>
                <w:spacing w:val="-1"/>
                <w:sz w:val="18"/>
              </w:rPr>
              <w:t>contractors</w:t>
            </w:r>
            <w:r>
              <w:rPr>
                <w:rFonts w:ascii="Calibri"/>
                <w:spacing w:val="24"/>
                <w:sz w:val="18"/>
              </w:rPr>
              <w:t xml:space="preserve"> </w:t>
            </w:r>
            <w:r>
              <w:rPr>
                <w:rFonts w:ascii="Calibri"/>
                <w:spacing w:val="-1"/>
                <w:sz w:val="18"/>
              </w:rPr>
              <w:t>and</w:t>
            </w:r>
            <w:r>
              <w:rPr>
                <w:rFonts w:ascii="Calibri"/>
                <w:spacing w:val="24"/>
                <w:sz w:val="18"/>
              </w:rPr>
              <w:t xml:space="preserve"> </w:t>
            </w:r>
            <w:r>
              <w:rPr>
                <w:rFonts w:ascii="Calibri"/>
                <w:spacing w:val="-1"/>
                <w:sz w:val="18"/>
              </w:rPr>
              <w:t>business</w:t>
            </w:r>
            <w:r>
              <w:rPr>
                <w:rFonts w:ascii="Calibri"/>
                <w:spacing w:val="55"/>
                <w:sz w:val="18"/>
              </w:rPr>
              <w:t xml:space="preserve"> </w:t>
            </w:r>
            <w:r>
              <w:rPr>
                <w:rFonts w:ascii="Calibri"/>
                <w:spacing w:val="-1"/>
                <w:sz w:val="18"/>
              </w:rPr>
              <w:t>owners</w:t>
            </w:r>
            <w:r>
              <w:rPr>
                <w:rFonts w:ascii="Calibri"/>
                <w:spacing w:val="30"/>
                <w:sz w:val="18"/>
              </w:rPr>
              <w:t xml:space="preserve"> </w:t>
            </w:r>
            <w:r>
              <w:rPr>
                <w:rFonts w:ascii="Calibri"/>
                <w:spacing w:val="-1"/>
                <w:sz w:val="18"/>
              </w:rPr>
              <w:t>to</w:t>
            </w:r>
            <w:r>
              <w:rPr>
                <w:rFonts w:ascii="Calibri"/>
                <w:spacing w:val="33"/>
                <w:sz w:val="18"/>
              </w:rPr>
              <w:t xml:space="preserve"> </w:t>
            </w:r>
            <w:r>
              <w:rPr>
                <w:rFonts w:ascii="Calibri"/>
                <w:spacing w:val="-1"/>
                <w:sz w:val="18"/>
              </w:rPr>
              <w:t>establish</w:t>
            </w:r>
            <w:r>
              <w:rPr>
                <w:rFonts w:ascii="Calibri"/>
                <w:spacing w:val="32"/>
                <w:sz w:val="18"/>
              </w:rPr>
              <w:t xml:space="preserve"> </w:t>
            </w:r>
            <w:r>
              <w:rPr>
                <w:rFonts w:ascii="Calibri"/>
                <w:spacing w:val="-1"/>
                <w:sz w:val="18"/>
              </w:rPr>
              <w:t>time</w:t>
            </w:r>
            <w:r>
              <w:rPr>
                <w:rFonts w:ascii="Calibri"/>
                <w:spacing w:val="33"/>
                <w:sz w:val="18"/>
              </w:rPr>
              <w:t xml:space="preserve"> </w:t>
            </w:r>
            <w:r>
              <w:rPr>
                <w:rFonts w:ascii="Calibri"/>
                <w:spacing w:val="-1"/>
                <w:sz w:val="18"/>
              </w:rPr>
              <w:t>periods</w:t>
            </w:r>
            <w:r>
              <w:rPr>
                <w:rFonts w:ascii="Calibri"/>
                <w:spacing w:val="31"/>
                <w:sz w:val="18"/>
              </w:rPr>
              <w:t xml:space="preserve"> </w:t>
            </w:r>
            <w:r>
              <w:rPr>
                <w:rFonts w:ascii="Calibri"/>
                <w:spacing w:val="-1"/>
                <w:sz w:val="18"/>
              </w:rPr>
              <w:t>during</w:t>
            </w:r>
            <w:r>
              <w:rPr>
                <w:rFonts w:ascii="Calibri"/>
                <w:spacing w:val="30"/>
                <w:sz w:val="18"/>
              </w:rPr>
              <w:t xml:space="preserve"> </w:t>
            </w:r>
            <w:r>
              <w:rPr>
                <w:rFonts w:ascii="Calibri"/>
                <w:sz w:val="18"/>
              </w:rPr>
              <w:t>which</w:t>
            </w:r>
            <w:r>
              <w:rPr>
                <w:rFonts w:ascii="Calibri"/>
                <w:spacing w:val="31"/>
                <w:sz w:val="18"/>
              </w:rPr>
              <w:t xml:space="preserve"> </w:t>
            </w:r>
            <w:r>
              <w:rPr>
                <w:rFonts w:ascii="Calibri"/>
                <w:spacing w:val="-1"/>
                <w:sz w:val="18"/>
              </w:rPr>
              <w:t>project</w:t>
            </w:r>
            <w:r>
              <w:rPr>
                <w:rFonts w:ascii="Calibri"/>
                <w:spacing w:val="51"/>
                <w:w w:val="99"/>
                <w:sz w:val="18"/>
              </w:rPr>
              <w:t xml:space="preserve"> </w:t>
            </w:r>
            <w:r>
              <w:rPr>
                <w:rFonts w:ascii="Calibri"/>
                <w:spacing w:val="-1"/>
                <w:sz w:val="18"/>
              </w:rPr>
              <w:t>installations</w:t>
            </w:r>
            <w:r>
              <w:rPr>
                <w:rFonts w:ascii="Calibri"/>
                <w:spacing w:val="-5"/>
                <w:sz w:val="18"/>
              </w:rPr>
              <w:t xml:space="preserve"> </w:t>
            </w:r>
            <w:r>
              <w:rPr>
                <w:rFonts w:ascii="Calibri"/>
                <w:spacing w:val="-1"/>
                <w:sz w:val="18"/>
              </w:rPr>
              <w:t>occur.</w:t>
            </w:r>
          </w:p>
        </w:tc>
        <w:tc>
          <w:tcPr>
            <w:tcW w:w="477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1330"/>
        </w:trPr>
        <w:tc>
          <w:tcPr>
            <w:tcW w:w="4680" w:type="dxa"/>
          </w:tcPr>
          <w:p w:rsidR="00E646C9" w:rsidRDefault="00E646C9" w:rsidP="00C94D5A">
            <w:pPr>
              <w:pStyle w:val="TableParagraph"/>
              <w:ind w:left="102" w:right="100"/>
              <w:jc w:val="both"/>
              <w:rPr>
                <w:rFonts w:ascii="Calibri" w:eastAsia="Calibri" w:hAnsi="Calibri" w:cs="Calibri"/>
                <w:sz w:val="18"/>
                <w:szCs w:val="18"/>
              </w:rPr>
            </w:pPr>
            <w:r>
              <w:rPr>
                <w:rFonts w:ascii="Calibri" w:eastAsia="Calibri" w:hAnsi="Calibri" w:cs="Calibri"/>
                <w:sz w:val="18"/>
                <w:szCs w:val="18"/>
              </w:rPr>
              <w:t>Lower</w:t>
            </w:r>
            <w:r>
              <w:rPr>
                <w:rFonts w:ascii="Calibri" w:eastAsia="Calibri" w:hAnsi="Calibri" w:cs="Calibri"/>
                <w:spacing w:val="18"/>
                <w:sz w:val="18"/>
                <w:szCs w:val="18"/>
              </w:rPr>
              <w:t xml:space="preserve"> </w:t>
            </w:r>
            <w:r>
              <w:rPr>
                <w:rFonts w:ascii="Calibri" w:eastAsia="Calibri" w:hAnsi="Calibri" w:cs="Calibri"/>
                <w:spacing w:val="-1"/>
                <w:sz w:val="18"/>
                <w:szCs w:val="18"/>
              </w:rPr>
              <w:t>ex</w:t>
            </w:r>
            <w:r>
              <w:rPr>
                <w:rFonts w:ascii="Calibri" w:eastAsia="Calibri" w:hAnsi="Calibri" w:cs="Calibri"/>
                <w:spacing w:val="18"/>
                <w:sz w:val="18"/>
                <w:szCs w:val="18"/>
              </w:rPr>
              <w:t xml:space="preserve"> </w:t>
            </w:r>
            <w:r>
              <w:rPr>
                <w:rFonts w:ascii="Calibri" w:eastAsia="Calibri" w:hAnsi="Calibri" w:cs="Calibri"/>
                <w:spacing w:val="-1"/>
                <w:sz w:val="18"/>
                <w:szCs w:val="18"/>
              </w:rPr>
              <w:t>ante</w:t>
            </w:r>
            <w:r>
              <w:rPr>
                <w:rFonts w:ascii="Calibri" w:eastAsia="Calibri" w:hAnsi="Calibri" w:cs="Calibri"/>
                <w:spacing w:val="18"/>
                <w:sz w:val="18"/>
                <w:szCs w:val="18"/>
              </w:rPr>
              <w:t xml:space="preserve"> </w:t>
            </w:r>
            <w:r>
              <w:rPr>
                <w:rFonts w:ascii="Calibri" w:eastAsia="Calibri" w:hAnsi="Calibri" w:cs="Calibri"/>
                <w:spacing w:val="-1"/>
                <w:sz w:val="18"/>
                <w:szCs w:val="18"/>
              </w:rPr>
              <w:t>energy</w:t>
            </w:r>
            <w:r>
              <w:rPr>
                <w:rFonts w:ascii="Calibri" w:eastAsia="Calibri" w:hAnsi="Calibri" w:cs="Calibri"/>
                <w:spacing w:val="20"/>
                <w:sz w:val="18"/>
                <w:szCs w:val="18"/>
              </w:rPr>
              <w:t xml:space="preserve"> </w:t>
            </w:r>
            <w:r>
              <w:rPr>
                <w:rFonts w:ascii="Calibri" w:eastAsia="Calibri" w:hAnsi="Calibri" w:cs="Calibri"/>
                <w:spacing w:val="-1"/>
                <w:sz w:val="18"/>
                <w:szCs w:val="18"/>
              </w:rPr>
              <w:t>savings</w:t>
            </w:r>
            <w:r>
              <w:rPr>
                <w:rFonts w:ascii="Calibri" w:eastAsia="Calibri" w:hAnsi="Calibri" w:cs="Calibri"/>
                <w:spacing w:val="17"/>
                <w:sz w:val="18"/>
                <w:szCs w:val="18"/>
              </w:rPr>
              <w:t xml:space="preserve"> </w:t>
            </w:r>
            <w:r>
              <w:rPr>
                <w:rFonts w:ascii="Calibri" w:eastAsia="Calibri" w:hAnsi="Calibri" w:cs="Calibri"/>
                <w:spacing w:val="-1"/>
                <w:sz w:val="18"/>
                <w:szCs w:val="18"/>
              </w:rPr>
              <w:t>Threshold</w:t>
            </w:r>
            <w:r>
              <w:rPr>
                <w:rFonts w:ascii="Calibri" w:eastAsia="Calibri" w:hAnsi="Calibri" w:cs="Calibri"/>
                <w:spacing w:val="19"/>
                <w:sz w:val="18"/>
                <w:szCs w:val="18"/>
              </w:rPr>
              <w:t xml:space="preserve"> </w:t>
            </w:r>
            <w:r>
              <w:rPr>
                <w:rFonts w:ascii="Calibri" w:eastAsia="Calibri" w:hAnsi="Calibri" w:cs="Calibri"/>
                <w:spacing w:val="-1"/>
                <w:sz w:val="18"/>
                <w:szCs w:val="18"/>
              </w:rPr>
              <w:t>to</w:t>
            </w:r>
            <w:r>
              <w:rPr>
                <w:rFonts w:ascii="Calibri" w:eastAsia="Calibri" w:hAnsi="Calibri" w:cs="Calibri"/>
                <w:spacing w:val="20"/>
                <w:sz w:val="18"/>
                <w:szCs w:val="18"/>
              </w:rPr>
              <w:t xml:space="preserve"> </w:t>
            </w:r>
            <w:r>
              <w:rPr>
                <w:rFonts w:ascii="Calibri" w:eastAsia="Calibri" w:hAnsi="Calibri" w:cs="Calibri"/>
                <w:spacing w:val="-1"/>
                <w:sz w:val="18"/>
                <w:szCs w:val="18"/>
              </w:rPr>
              <w:t>750</w:t>
            </w:r>
            <w:r>
              <w:rPr>
                <w:rFonts w:ascii="Calibri" w:eastAsia="Calibri" w:hAnsi="Calibri" w:cs="Calibri"/>
                <w:spacing w:val="20"/>
                <w:sz w:val="18"/>
                <w:szCs w:val="18"/>
              </w:rPr>
              <w:t xml:space="preserve"> </w:t>
            </w:r>
            <w:r>
              <w:rPr>
                <w:rFonts w:ascii="Calibri" w:eastAsia="Calibri" w:hAnsi="Calibri" w:cs="Calibri"/>
                <w:spacing w:val="-1"/>
                <w:sz w:val="18"/>
                <w:szCs w:val="18"/>
              </w:rPr>
              <w:t>MWh</w:t>
            </w:r>
            <w:r>
              <w:rPr>
                <w:rFonts w:ascii="Calibri" w:eastAsia="Calibri" w:hAnsi="Calibri" w:cs="Calibri"/>
                <w:spacing w:val="18"/>
                <w:sz w:val="18"/>
                <w:szCs w:val="18"/>
              </w:rPr>
              <w:t xml:space="preserve"> </w:t>
            </w:r>
            <w:r>
              <w:rPr>
                <w:rFonts w:ascii="Calibri" w:eastAsia="Calibri" w:hAnsi="Calibri" w:cs="Calibri"/>
                <w:sz w:val="18"/>
                <w:szCs w:val="18"/>
              </w:rPr>
              <w:t>from</w:t>
            </w:r>
            <w:r>
              <w:rPr>
                <w:rFonts w:ascii="Calibri" w:eastAsia="Calibri" w:hAnsi="Calibri" w:cs="Calibri"/>
                <w:spacing w:val="47"/>
                <w:w w:val="99"/>
                <w:sz w:val="18"/>
                <w:szCs w:val="18"/>
              </w:rPr>
              <w:t xml:space="preserve"> </w:t>
            </w:r>
            <w:r>
              <w:rPr>
                <w:rFonts w:ascii="Calibri" w:eastAsia="Calibri" w:hAnsi="Calibri" w:cs="Calibri"/>
                <w:spacing w:val="-1"/>
                <w:sz w:val="18"/>
                <w:szCs w:val="18"/>
              </w:rPr>
              <w:t>800</w:t>
            </w:r>
            <w:r>
              <w:rPr>
                <w:rFonts w:ascii="Calibri" w:eastAsia="Calibri" w:hAnsi="Calibri" w:cs="Calibri"/>
                <w:spacing w:val="7"/>
                <w:sz w:val="18"/>
                <w:szCs w:val="18"/>
              </w:rPr>
              <w:t xml:space="preserve"> </w:t>
            </w:r>
            <w:r>
              <w:rPr>
                <w:rFonts w:ascii="Calibri" w:eastAsia="Calibri" w:hAnsi="Calibri" w:cs="Calibri"/>
                <w:spacing w:val="-1"/>
                <w:sz w:val="18"/>
                <w:szCs w:val="18"/>
              </w:rPr>
              <w:t>to</w:t>
            </w:r>
            <w:r>
              <w:rPr>
                <w:rFonts w:ascii="Calibri" w:eastAsia="Calibri" w:hAnsi="Calibri" w:cs="Calibri"/>
                <w:spacing w:val="8"/>
                <w:sz w:val="18"/>
                <w:szCs w:val="18"/>
              </w:rPr>
              <w:t xml:space="preserve"> </w:t>
            </w:r>
            <w:r>
              <w:rPr>
                <w:rFonts w:ascii="Calibri" w:eastAsia="Calibri" w:hAnsi="Calibri" w:cs="Calibri"/>
                <w:spacing w:val="-1"/>
                <w:sz w:val="18"/>
                <w:szCs w:val="18"/>
              </w:rPr>
              <w:t>trigger</w:t>
            </w:r>
            <w:r>
              <w:rPr>
                <w:rFonts w:ascii="Calibri" w:eastAsia="Calibri" w:hAnsi="Calibri" w:cs="Calibri"/>
                <w:spacing w:val="7"/>
                <w:sz w:val="18"/>
                <w:szCs w:val="18"/>
              </w:rPr>
              <w:t xml:space="preserve"> </w:t>
            </w:r>
            <w:r>
              <w:rPr>
                <w:rFonts w:ascii="Calibri" w:eastAsia="Calibri" w:hAnsi="Calibri" w:cs="Calibri"/>
                <w:spacing w:val="-1"/>
                <w:sz w:val="18"/>
                <w:szCs w:val="18"/>
              </w:rPr>
              <w:t>up-front</w:t>
            </w:r>
            <w:r>
              <w:rPr>
                <w:rFonts w:ascii="Calibri" w:eastAsia="Calibri" w:hAnsi="Calibri" w:cs="Calibri"/>
                <w:spacing w:val="7"/>
                <w:sz w:val="18"/>
                <w:szCs w:val="18"/>
              </w:rPr>
              <w:t xml:space="preserve"> </w:t>
            </w:r>
            <w:r>
              <w:rPr>
                <w:rFonts w:ascii="Calibri" w:eastAsia="Calibri" w:hAnsi="Calibri" w:cs="Calibri"/>
                <w:sz w:val="18"/>
                <w:szCs w:val="18"/>
              </w:rPr>
              <w:t>evaluation</w:t>
            </w:r>
            <w:r>
              <w:rPr>
                <w:rFonts w:ascii="Calibri" w:eastAsia="Calibri" w:hAnsi="Calibri" w:cs="Calibri"/>
                <w:spacing w:val="6"/>
                <w:sz w:val="18"/>
                <w:szCs w:val="18"/>
              </w:rPr>
              <w:t xml:space="preserve"> </w:t>
            </w:r>
            <w:r>
              <w:rPr>
                <w:rFonts w:ascii="Calibri" w:eastAsia="Calibri" w:hAnsi="Calibri" w:cs="Calibri"/>
                <w:sz w:val="18"/>
                <w:szCs w:val="18"/>
              </w:rPr>
              <w:t>of</w:t>
            </w:r>
            <w:r>
              <w:rPr>
                <w:rFonts w:ascii="Calibri" w:eastAsia="Calibri" w:hAnsi="Calibri" w:cs="Calibri"/>
                <w:spacing w:val="8"/>
                <w:sz w:val="18"/>
                <w:szCs w:val="18"/>
              </w:rPr>
              <w:t xml:space="preserve"> </w:t>
            </w:r>
            <w:r>
              <w:rPr>
                <w:rFonts w:ascii="Calibri" w:eastAsia="Calibri" w:hAnsi="Calibri" w:cs="Calibri"/>
                <w:spacing w:val="-1"/>
                <w:sz w:val="18"/>
                <w:szCs w:val="18"/>
              </w:rPr>
              <w:t>lighting</w:t>
            </w:r>
            <w:r>
              <w:rPr>
                <w:rFonts w:ascii="Calibri" w:eastAsia="Calibri" w:hAnsi="Calibri" w:cs="Calibri"/>
                <w:spacing w:val="7"/>
                <w:sz w:val="18"/>
                <w:szCs w:val="18"/>
              </w:rPr>
              <w:t xml:space="preserve"> </w:t>
            </w:r>
            <w:r>
              <w:rPr>
                <w:rFonts w:ascii="Calibri" w:eastAsia="Calibri" w:hAnsi="Calibri" w:cs="Calibri"/>
                <w:spacing w:val="-1"/>
                <w:sz w:val="18"/>
                <w:szCs w:val="18"/>
              </w:rPr>
              <w:t>projects</w:t>
            </w:r>
            <w:r>
              <w:rPr>
                <w:rFonts w:ascii="Calibri" w:eastAsia="Calibri" w:hAnsi="Calibri" w:cs="Calibri"/>
                <w:spacing w:val="8"/>
                <w:sz w:val="18"/>
                <w:szCs w:val="18"/>
              </w:rPr>
              <w:t xml:space="preserve"> </w:t>
            </w:r>
            <w:r>
              <w:rPr>
                <w:rFonts w:ascii="Calibri" w:eastAsia="Calibri" w:hAnsi="Calibri" w:cs="Calibri"/>
                <w:spacing w:val="-1"/>
                <w:sz w:val="18"/>
                <w:szCs w:val="18"/>
              </w:rPr>
              <w:t>to</w:t>
            </w:r>
            <w:r>
              <w:rPr>
                <w:rFonts w:ascii="Calibri" w:eastAsia="Calibri" w:hAnsi="Calibri" w:cs="Calibri"/>
                <w:spacing w:val="38"/>
                <w:sz w:val="18"/>
                <w:szCs w:val="18"/>
              </w:rPr>
              <w:t xml:space="preserve"> </w:t>
            </w:r>
            <w:r>
              <w:rPr>
                <w:rFonts w:ascii="Calibri" w:eastAsia="Calibri" w:hAnsi="Calibri" w:cs="Calibri"/>
                <w:spacing w:val="-1"/>
                <w:sz w:val="18"/>
                <w:szCs w:val="18"/>
              </w:rPr>
              <w:t>better</w:t>
            </w:r>
            <w:r>
              <w:rPr>
                <w:rFonts w:ascii="Calibri" w:eastAsia="Calibri" w:hAnsi="Calibri" w:cs="Calibri"/>
                <w:spacing w:val="37"/>
                <w:sz w:val="18"/>
                <w:szCs w:val="18"/>
              </w:rPr>
              <w:t xml:space="preserve"> </w:t>
            </w:r>
            <w:r>
              <w:rPr>
                <w:rFonts w:ascii="Calibri" w:eastAsia="Calibri" w:hAnsi="Calibri" w:cs="Calibri"/>
                <w:spacing w:val="-1"/>
                <w:sz w:val="18"/>
                <w:szCs w:val="18"/>
              </w:rPr>
              <w:t>align</w:t>
            </w:r>
            <w:r>
              <w:rPr>
                <w:rFonts w:ascii="Calibri" w:eastAsia="Calibri" w:hAnsi="Calibri" w:cs="Calibri"/>
                <w:spacing w:val="34"/>
                <w:sz w:val="18"/>
                <w:szCs w:val="18"/>
              </w:rPr>
              <w:t xml:space="preserve"> </w:t>
            </w:r>
            <w:r>
              <w:rPr>
                <w:rFonts w:ascii="Calibri" w:eastAsia="Calibri" w:hAnsi="Calibri" w:cs="Calibri"/>
                <w:spacing w:val="-1"/>
                <w:sz w:val="18"/>
                <w:szCs w:val="18"/>
              </w:rPr>
              <w:t>with</w:t>
            </w:r>
            <w:r>
              <w:rPr>
                <w:rFonts w:ascii="Calibri" w:eastAsia="Calibri" w:hAnsi="Calibri" w:cs="Calibri"/>
                <w:spacing w:val="35"/>
                <w:sz w:val="18"/>
                <w:szCs w:val="18"/>
              </w:rPr>
              <w:t xml:space="preserve"> </w:t>
            </w:r>
            <w:r>
              <w:rPr>
                <w:rFonts w:ascii="Calibri" w:eastAsia="Calibri" w:hAnsi="Calibri" w:cs="Calibri"/>
                <w:spacing w:val="-1"/>
                <w:sz w:val="18"/>
                <w:szCs w:val="18"/>
              </w:rPr>
              <w:t>2016</w:t>
            </w:r>
            <w:r>
              <w:rPr>
                <w:rFonts w:ascii="Calibri" w:eastAsia="Calibri" w:hAnsi="Calibri" w:cs="Calibri"/>
                <w:spacing w:val="35"/>
                <w:sz w:val="18"/>
                <w:szCs w:val="18"/>
              </w:rPr>
              <w:t xml:space="preserve"> </w:t>
            </w:r>
            <w:r>
              <w:rPr>
                <w:rFonts w:ascii="Calibri" w:eastAsia="Calibri" w:hAnsi="Calibri" w:cs="Calibri"/>
                <w:sz w:val="18"/>
                <w:szCs w:val="18"/>
              </w:rPr>
              <w:t>TRM.</w:t>
            </w:r>
            <w:r>
              <w:rPr>
                <w:rFonts w:ascii="Calibri" w:eastAsia="Calibri" w:hAnsi="Calibri" w:cs="Calibri"/>
                <w:spacing w:val="34"/>
                <w:sz w:val="18"/>
                <w:szCs w:val="18"/>
              </w:rPr>
              <w:t xml:space="preserve"> </w:t>
            </w:r>
            <w:r>
              <w:rPr>
                <w:rFonts w:ascii="Calibri" w:eastAsia="Calibri" w:hAnsi="Calibri" w:cs="Calibri"/>
                <w:spacing w:val="-1"/>
                <w:sz w:val="18"/>
                <w:szCs w:val="18"/>
              </w:rPr>
              <w:t>At</w:t>
            </w:r>
            <w:r>
              <w:rPr>
                <w:rFonts w:ascii="Calibri" w:eastAsia="Calibri" w:hAnsi="Calibri" w:cs="Calibri"/>
                <w:spacing w:val="35"/>
                <w:sz w:val="18"/>
                <w:szCs w:val="18"/>
              </w:rPr>
              <w:t xml:space="preserve"> </w:t>
            </w:r>
            <w:r>
              <w:rPr>
                <w:rFonts w:ascii="Calibri" w:eastAsia="Calibri" w:hAnsi="Calibri" w:cs="Calibri"/>
                <w:sz w:val="18"/>
                <w:szCs w:val="18"/>
              </w:rPr>
              <w:t>the</w:t>
            </w:r>
            <w:r>
              <w:rPr>
                <w:rFonts w:ascii="Calibri" w:eastAsia="Calibri" w:hAnsi="Calibri" w:cs="Calibri"/>
                <w:spacing w:val="36"/>
                <w:sz w:val="18"/>
                <w:szCs w:val="18"/>
              </w:rPr>
              <w:t xml:space="preserve"> </w:t>
            </w:r>
            <w:r>
              <w:rPr>
                <w:rFonts w:ascii="Calibri" w:eastAsia="Calibri" w:hAnsi="Calibri" w:cs="Calibri"/>
                <w:spacing w:val="-1"/>
                <w:sz w:val="18"/>
                <w:szCs w:val="18"/>
              </w:rPr>
              <w:t>same</w:t>
            </w:r>
            <w:r>
              <w:rPr>
                <w:rFonts w:ascii="Calibri" w:eastAsia="Calibri" w:hAnsi="Calibri" w:cs="Calibri"/>
                <w:spacing w:val="35"/>
                <w:sz w:val="18"/>
                <w:szCs w:val="18"/>
              </w:rPr>
              <w:t xml:space="preserve"> </w:t>
            </w:r>
            <w:r>
              <w:rPr>
                <w:rFonts w:ascii="Calibri" w:eastAsia="Calibri" w:hAnsi="Calibri" w:cs="Calibri"/>
                <w:sz w:val="18"/>
                <w:szCs w:val="18"/>
              </w:rPr>
              <w:t>time,</w:t>
            </w:r>
            <w:r>
              <w:rPr>
                <w:rFonts w:ascii="Calibri" w:eastAsia="Calibri" w:hAnsi="Calibri" w:cs="Calibri"/>
                <w:spacing w:val="36"/>
                <w:sz w:val="18"/>
                <w:szCs w:val="18"/>
              </w:rPr>
              <w:t xml:space="preserve"> </w:t>
            </w:r>
            <w:r>
              <w:rPr>
                <w:rFonts w:ascii="Calibri" w:eastAsia="Calibri" w:hAnsi="Calibri" w:cs="Calibri"/>
                <w:spacing w:val="-1"/>
                <w:sz w:val="18"/>
                <w:szCs w:val="18"/>
              </w:rPr>
              <w:t>increase</w:t>
            </w:r>
            <w:r>
              <w:rPr>
                <w:rFonts w:ascii="Calibri" w:eastAsia="Calibri" w:hAnsi="Calibri" w:cs="Calibri"/>
                <w:spacing w:val="32"/>
                <w:w w:val="99"/>
                <w:sz w:val="18"/>
                <w:szCs w:val="18"/>
              </w:rPr>
              <w:t xml:space="preserve"> </w:t>
            </w:r>
            <w:r>
              <w:rPr>
                <w:rFonts w:ascii="Calibri" w:eastAsia="Calibri" w:hAnsi="Calibri" w:cs="Calibri"/>
                <w:spacing w:val="-1"/>
                <w:sz w:val="18"/>
                <w:szCs w:val="18"/>
              </w:rPr>
              <w:t>threshold</w:t>
            </w:r>
            <w:r>
              <w:rPr>
                <w:rFonts w:ascii="Calibri" w:eastAsia="Calibri" w:hAnsi="Calibri" w:cs="Calibri"/>
                <w:spacing w:val="13"/>
                <w:sz w:val="18"/>
                <w:szCs w:val="18"/>
              </w:rPr>
              <w:t xml:space="preserve"> </w:t>
            </w:r>
            <w:r>
              <w:rPr>
                <w:rFonts w:ascii="Calibri" w:eastAsia="Calibri" w:hAnsi="Calibri" w:cs="Calibri"/>
                <w:sz w:val="18"/>
                <w:szCs w:val="18"/>
              </w:rPr>
              <w:t>from</w:t>
            </w:r>
            <w:r>
              <w:rPr>
                <w:rFonts w:ascii="Calibri" w:eastAsia="Calibri" w:hAnsi="Calibri" w:cs="Calibri"/>
                <w:spacing w:val="15"/>
                <w:sz w:val="18"/>
                <w:szCs w:val="18"/>
              </w:rPr>
              <w:t xml:space="preserve"> </w:t>
            </w:r>
            <w:r>
              <w:rPr>
                <w:rFonts w:ascii="Calibri" w:eastAsia="Calibri" w:hAnsi="Calibri" w:cs="Calibri"/>
                <w:spacing w:val="-1"/>
                <w:sz w:val="18"/>
                <w:szCs w:val="18"/>
              </w:rPr>
              <w:t>400</w:t>
            </w:r>
            <w:r>
              <w:rPr>
                <w:rFonts w:ascii="Calibri" w:eastAsia="Calibri" w:hAnsi="Calibri" w:cs="Calibri"/>
                <w:spacing w:val="15"/>
                <w:sz w:val="18"/>
                <w:szCs w:val="18"/>
              </w:rPr>
              <w:t xml:space="preserve"> </w:t>
            </w:r>
            <w:r>
              <w:rPr>
                <w:rFonts w:ascii="Calibri" w:eastAsia="Calibri" w:hAnsi="Calibri" w:cs="Calibri"/>
                <w:spacing w:val="-1"/>
                <w:sz w:val="18"/>
                <w:szCs w:val="18"/>
              </w:rPr>
              <w:t>MWh</w:t>
            </w:r>
            <w:r>
              <w:rPr>
                <w:rFonts w:ascii="Calibri" w:eastAsia="Calibri" w:hAnsi="Calibri" w:cs="Calibri"/>
                <w:spacing w:val="16"/>
                <w:sz w:val="18"/>
                <w:szCs w:val="18"/>
              </w:rPr>
              <w:t xml:space="preserve"> </w:t>
            </w:r>
            <w:r>
              <w:rPr>
                <w:rFonts w:ascii="Calibri" w:eastAsia="Calibri" w:hAnsi="Calibri" w:cs="Calibri"/>
                <w:spacing w:val="-1"/>
                <w:sz w:val="18"/>
                <w:szCs w:val="18"/>
              </w:rPr>
              <w:t>to</w:t>
            </w:r>
            <w:r>
              <w:rPr>
                <w:rFonts w:ascii="Calibri" w:eastAsia="Calibri" w:hAnsi="Calibri" w:cs="Calibri"/>
                <w:spacing w:val="16"/>
                <w:sz w:val="18"/>
                <w:szCs w:val="18"/>
              </w:rPr>
              <w:t xml:space="preserve"> </w:t>
            </w:r>
            <w:r>
              <w:rPr>
                <w:rFonts w:ascii="Calibri" w:eastAsia="Calibri" w:hAnsi="Calibri" w:cs="Calibri"/>
                <w:spacing w:val="-1"/>
                <w:sz w:val="18"/>
                <w:szCs w:val="18"/>
              </w:rPr>
              <w:t>500</w:t>
            </w:r>
            <w:r>
              <w:rPr>
                <w:rFonts w:ascii="Calibri" w:eastAsia="Calibri" w:hAnsi="Calibri" w:cs="Calibri"/>
                <w:spacing w:val="15"/>
                <w:sz w:val="18"/>
                <w:szCs w:val="18"/>
              </w:rPr>
              <w:t xml:space="preserve"> </w:t>
            </w:r>
            <w:r>
              <w:rPr>
                <w:rFonts w:ascii="Calibri" w:eastAsia="Calibri" w:hAnsi="Calibri" w:cs="Calibri"/>
                <w:spacing w:val="-1"/>
                <w:sz w:val="18"/>
                <w:szCs w:val="18"/>
              </w:rPr>
              <w:t>MWh</w:t>
            </w:r>
            <w:r>
              <w:rPr>
                <w:rFonts w:ascii="Calibri" w:eastAsia="Calibri" w:hAnsi="Calibri" w:cs="Calibri"/>
                <w:spacing w:val="14"/>
                <w:sz w:val="18"/>
                <w:szCs w:val="18"/>
              </w:rPr>
              <w:t xml:space="preserve"> </w:t>
            </w:r>
            <w:r>
              <w:rPr>
                <w:rFonts w:ascii="Calibri" w:eastAsia="Calibri" w:hAnsi="Calibri" w:cs="Calibri"/>
                <w:sz w:val="18"/>
                <w:szCs w:val="18"/>
              </w:rPr>
              <w:t>for</w:t>
            </w:r>
            <w:r>
              <w:rPr>
                <w:rFonts w:ascii="Calibri" w:eastAsia="Calibri" w:hAnsi="Calibri" w:cs="Calibri"/>
                <w:spacing w:val="14"/>
                <w:sz w:val="18"/>
                <w:szCs w:val="18"/>
              </w:rPr>
              <w:t xml:space="preserve"> </w:t>
            </w:r>
            <w:r>
              <w:rPr>
                <w:rFonts w:ascii="Calibri" w:eastAsia="Calibri" w:hAnsi="Calibri" w:cs="Calibri"/>
                <w:spacing w:val="-1"/>
                <w:sz w:val="18"/>
                <w:szCs w:val="18"/>
              </w:rPr>
              <w:t>non-lighting</w:t>
            </w:r>
            <w:r>
              <w:rPr>
                <w:rFonts w:ascii="Calibri" w:eastAsia="Calibri" w:hAnsi="Calibri" w:cs="Calibri"/>
                <w:spacing w:val="38"/>
                <w:sz w:val="18"/>
                <w:szCs w:val="18"/>
              </w:rPr>
              <w:t xml:space="preserve"> </w:t>
            </w:r>
            <w:r>
              <w:rPr>
                <w:rFonts w:ascii="Calibri" w:eastAsia="Calibri" w:hAnsi="Calibri" w:cs="Calibri"/>
                <w:spacing w:val="-1"/>
                <w:sz w:val="18"/>
                <w:szCs w:val="18"/>
              </w:rPr>
              <w:t>projects</w:t>
            </w:r>
            <w:r>
              <w:rPr>
                <w:rFonts w:ascii="Calibri" w:eastAsia="Calibri" w:hAnsi="Calibri" w:cs="Calibri"/>
                <w:spacing w:val="1"/>
                <w:sz w:val="18"/>
                <w:szCs w:val="18"/>
              </w:rPr>
              <w:t xml:space="preserve"> </w:t>
            </w:r>
            <w:r>
              <w:rPr>
                <w:rFonts w:ascii="Calibri" w:eastAsia="Calibri" w:hAnsi="Calibri" w:cs="Calibri"/>
                <w:spacing w:val="-1"/>
                <w:sz w:val="18"/>
                <w:szCs w:val="18"/>
              </w:rPr>
              <w:t>to</w:t>
            </w:r>
            <w:r>
              <w:rPr>
                <w:rFonts w:ascii="Calibri" w:eastAsia="Calibri" w:hAnsi="Calibri" w:cs="Calibri"/>
                <w:spacing w:val="4"/>
                <w:sz w:val="18"/>
                <w:szCs w:val="18"/>
              </w:rPr>
              <w:t xml:space="preserve"> </w:t>
            </w:r>
            <w:r>
              <w:rPr>
                <w:rFonts w:ascii="Calibri" w:eastAsia="Calibri" w:hAnsi="Calibri" w:cs="Calibri"/>
                <w:spacing w:val="-1"/>
                <w:sz w:val="18"/>
                <w:szCs w:val="18"/>
              </w:rPr>
              <w:t>maintain</w:t>
            </w:r>
            <w:r>
              <w:rPr>
                <w:rFonts w:ascii="Calibri" w:eastAsia="Calibri" w:hAnsi="Calibri" w:cs="Calibri"/>
                <w:spacing w:val="2"/>
                <w:sz w:val="18"/>
                <w:szCs w:val="18"/>
              </w:rPr>
              <w:t xml:space="preserve"> </w:t>
            </w:r>
            <w:r>
              <w:rPr>
                <w:rFonts w:ascii="Calibri" w:eastAsia="Calibri" w:hAnsi="Calibri" w:cs="Calibri"/>
                <w:spacing w:val="-1"/>
                <w:sz w:val="18"/>
                <w:szCs w:val="18"/>
              </w:rPr>
              <w:t>expected</w:t>
            </w:r>
            <w:r>
              <w:rPr>
                <w:rFonts w:ascii="Calibri" w:eastAsia="Calibri" w:hAnsi="Calibri" w:cs="Calibri"/>
                <w:spacing w:val="4"/>
                <w:sz w:val="18"/>
                <w:szCs w:val="18"/>
              </w:rPr>
              <w:t xml:space="preserve"> </w:t>
            </w:r>
            <w:r>
              <w:rPr>
                <w:rFonts w:ascii="Calibri" w:eastAsia="Calibri" w:hAnsi="Calibri" w:cs="Calibri"/>
                <w:spacing w:val="-1"/>
                <w:sz w:val="18"/>
                <w:szCs w:val="18"/>
              </w:rPr>
              <w:t>50/50</w:t>
            </w:r>
            <w:r>
              <w:rPr>
                <w:rFonts w:ascii="Calibri" w:eastAsia="Calibri" w:hAnsi="Calibri" w:cs="Calibri"/>
                <w:spacing w:val="3"/>
                <w:sz w:val="18"/>
                <w:szCs w:val="18"/>
              </w:rPr>
              <w:t xml:space="preserve"> </w:t>
            </w:r>
            <w:r>
              <w:rPr>
                <w:rFonts w:ascii="Calibri" w:eastAsia="Calibri" w:hAnsi="Calibri" w:cs="Calibri"/>
                <w:spacing w:val="-1"/>
                <w:sz w:val="18"/>
                <w:szCs w:val="18"/>
              </w:rPr>
              <w:t>balance</w:t>
            </w:r>
            <w:r>
              <w:rPr>
                <w:rFonts w:ascii="Calibri" w:eastAsia="Calibri" w:hAnsi="Calibri" w:cs="Calibri"/>
                <w:spacing w:val="4"/>
                <w:sz w:val="18"/>
                <w:szCs w:val="18"/>
              </w:rPr>
              <w:t xml:space="preserve"> </w:t>
            </w:r>
            <w:r>
              <w:rPr>
                <w:rFonts w:ascii="Calibri" w:eastAsia="Calibri" w:hAnsi="Calibri" w:cs="Calibri"/>
                <w:spacing w:val="-1"/>
                <w:sz w:val="18"/>
                <w:szCs w:val="18"/>
              </w:rPr>
              <w:t>in</w:t>
            </w:r>
            <w:r>
              <w:rPr>
                <w:rFonts w:ascii="Calibri" w:eastAsia="Calibri" w:hAnsi="Calibri" w:cs="Calibri"/>
                <w:spacing w:val="2"/>
                <w:sz w:val="18"/>
                <w:szCs w:val="18"/>
              </w:rPr>
              <w:t xml:space="preserve"> </w:t>
            </w:r>
            <w:r>
              <w:rPr>
                <w:rFonts w:ascii="Calibri" w:eastAsia="Calibri" w:hAnsi="Calibri" w:cs="Calibri"/>
                <w:spacing w:val="-1"/>
                <w:sz w:val="18"/>
                <w:szCs w:val="18"/>
              </w:rPr>
              <w:t>reported</w:t>
            </w:r>
            <w:r>
              <w:rPr>
                <w:rFonts w:ascii="Calibri" w:eastAsia="Calibri" w:hAnsi="Calibri" w:cs="Calibri"/>
                <w:spacing w:val="63"/>
                <w:sz w:val="18"/>
                <w:szCs w:val="18"/>
              </w:rPr>
              <w:t xml:space="preserve"> </w:t>
            </w:r>
            <w:r>
              <w:rPr>
                <w:rFonts w:ascii="Calibri" w:eastAsia="Calibri" w:hAnsi="Calibri" w:cs="Calibri"/>
                <w:spacing w:val="-1"/>
                <w:sz w:val="18"/>
                <w:szCs w:val="18"/>
              </w:rPr>
              <w:t>MWh</w:t>
            </w:r>
            <w:r>
              <w:rPr>
                <w:rFonts w:ascii="Calibri" w:eastAsia="Calibri" w:hAnsi="Calibri" w:cs="Calibri"/>
                <w:spacing w:val="-5"/>
                <w:sz w:val="18"/>
                <w:szCs w:val="18"/>
              </w:rPr>
              <w:t xml:space="preserve"> </w:t>
            </w:r>
            <w:r>
              <w:rPr>
                <w:rFonts w:ascii="Calibri" w:eastAsia="Calibri" w:hAnsi="Calibri" w:cs="Calibri"/>
                <w:spacing w:val="-1"/>
                <w:sz w:val="18"/>
                <w:szCs w:val="18"/>
              </w:rPr>
              <w:t>between</w:t>
            </w:r>
            <w:r>
              <w:rPr>
                <w:rFonts w:ascii="Calibri" w:eastAsia="Calibri" w:hAnsi="Calibri" w:cs="Calibri"/>
                <w:spacing w:val="-5"/>
                <w:sz w:val="18"/>
                <w:szCs w:val="18"/>
              </w:rPr>
              <w:t xml:space="preserve"> </w:t>
            </w:r>
            <w:r>
              <w:rPr>
                <w:rFonts w:ascii="Calibri" w:eastAsia="Calibri" w:hAnsi="Calibri" w:cs="Calibri"/>
                <w:spacing w:val="-1"/>
                <w:sz w:val="18"/>
                <w:szCs w:val="18"/>
              </w:rPr>
              <w:t>sampled</w:t>
            </w:r>
            <w:r>
              <w:rPr>
                <w:rFonts w:ascii="Calibri" w:eastAsia="Calibri" w:hAnsi="Calibri" w:cs="Calibri"/>
                <w:spacing w:val="-4"/>
                <w:sz w:val="18"/>
                <w:szCs w:val="18"/>
              </w:rPr>
              <w:t xml:space="preserve"> </w:t>
            </w:r>
            <w:r>
              <w:rPr>
                <w:rFonts w:ascii="Calibri" w:eastAsia="Calibri" w:hAnsi="Calibri" w:cs="Calibri"/>
                <w:sz w:val="18"/>
                <w:szCs w:val="18"/>
              </w:rPr>
              <w:t>and</w:t>
            </w:r>
            <w:r>
              <w:rPr>
                <w:rFonts w:ascii="Calibri" w:eastAsia="Calibri" w:hAnsi="Calibri" w:cs="Calibri"/>
                <w:spacing w:val="-5"/>
                <w:sz w:val="18"/>
                <w:szCs w:val="18"/>
              </w:rPr>
              <w:t xml:space="preserve"> </w:t>
            </w:r>
            <w:r>
              <w:rPr>
                <w:rFonts w:ascii="Calibri" w:eastAsia="Calibri" w:hAnsi="Calibri" w:cs="Calibri"/>
                <w:spacing w:val="-1"/>
                <w:sz w:val="18"/>
                <w:szCs w:val="18"/>
              </w:rPr>
              <w:t>“certainty”</w:t>
            </w:r>
            <w:r>
              <w:rPr>
                <w:rFonts w:ascii="Calibri" w:eastAsia="Calibri" w:hAnsi="Calibri" w:cs="Calibri"/>
                <w:spacing w:val="-4"/>
                <w:sz w:val="18"/>
                <w:szCs w:val="18"/>
              </w:rPr>
              <w:t xml:space="preserve"> </w:t>
            </w:r>
            <w:r>
              <w:rPr>
                <w:rFonts w:ascii="Calibri" w:eastAsia="Calibri" w:hAnsi="Calibri" w:cs="Calibri"/>
                <w:spacing w:val="-1"/>
                <w:sz w:val="18"/>
                <w:szCs w:val="18"/>
              </w:rPr>
              <w:t>projects.</w:t>
            </w:r>
          </w:p>
        </w:tc>
        <w:tc>
          <w:tcPr>
            <w:tcW w:w="4770" w:type="dxa"/>
          </w:tcPr>
          <w:p w:rsidR="00E646C9" w:rsidRDefault="00E646C9" w:rsidP="00C94D5A">
            <w:pPr>
              <w:pStyle w:val="TableParagraph"/>
              <w:ind w:left="102"/>
              <w:rPr>
                <w:rFonts w:ascii="Calibri" w:eastAsia="Calibri" w:hAnsi="Calibri" w:cs="Calibri"/>
                <w:sz w:val="18"/>
                <w:szCs w:val="18"/>
              </w:rPr>
            </w:pPr>
            <w:r>
              <w:rPr>
                <w:rFonts w:ascii="Calibri"/>
                <w:spacing w:val="-1"/>
                <w:sz w:val="18"/>
              </w:rPr>
              <w:t>Implemented</w:t>
            </w:r>
          </w:p>
        </w:tc>
      </w:tr>
    </w:tbl>
    <w:p w:rsidR="00E646C9" w:rsidRPr="003B56E9" w:rsidRDefault="00E646C9" w:rsidP="003B56E9"/>
    <w:p w:rsidR="00E646C9" w:rsidRDefault="00E646C9" w:rsidP="003B56E9">
      <w:pPr>
        <w:pStyle w:val="AppendixGHeading2"/>
      </w:pPr>
      <w:r>
        <w:t>Commercial and Industrial Energy Efficient Buildings – Large Program</w:t>
      </w:r>
    </w:p>
    <w:tbl>
      <w:tblPr>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770"/>
      </w:tblGrid>
      <w:tr w:rsidR="00E646C9" w:rsidTr="0011636D">
        <w:trPr>
          <w:trHeight w:hRule="exact" w:val="722"/>
          <w:tblHeader/>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77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888"/>
        </w:trPr>
        <w:tc>
          <w:tcPr>
            <w:tcW w:w="4680" w:type="dxa"/>
            <w:shd w:val="clear" w:color="auto" w:fill="D2EAF1"/>
          </w:tcPr>
          <w:p w:rsidR="00E646C9" w:rsidRDefault="00E646C9" w:rsidP="00C94D5A">
            <w:pPr>
              <w:pStyle w:val="TableParagraph"/>
              <w:ind w:left="102" w:right="342"/>
              <w:rPr>
                <w:rFonts w:ascii="Calibri" w:eastAsia="Calibri" w:hAnsi="Calibri" w:cs="Calibri"/>
                <w:sz w:val="18"/>
                <w:szCs w:val="18"/>
              </w:rPr>
            </w:pPr>
            <w:r>
              <w:rPr>
                <w:rFonts w:ascii="Calibri"/>
                <w:sz w:val="18"/>
              </w:rPr>
              <w:t>In</w:t>
            </w:r>
            <w:r>
              <w:rPr>
                <w:rFonts w:ascii="Calibri"/>
                <w:spacing w:val="-3"/>
                <w:sz w:val="18"/>
              </w:rPr>
              <w:t xml:space="preserve"> </w:t>
            </w:r>
            <w:r>
              <w:rPr>
                <w:rFonts w:ascii="Calibri"/>
                <w:spacing w:val="-1"/>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consider</w:t>
            </w:r>
            <w:r>
              <w:rPr>
                <w:rFonts w:ascii="Calibri"/>
                <w:sz w:val="18"/>
              </w:rPr>
              <w:t xml:space="preserve"> </w:t>
            </w:r>
            <w:r>
              <w:rPr>
                <w:rFonts w:ascii="Calibri"/>
                <w:spacing w:val="-1"/>
                <w:sz w:val="18"/>
              </w:rPr>
              <w:t>subsuming</w:t>
            </w:r>
            <w:r>
              <w:rPr>
                <w:rFonts w:ascii="Calibri"/>
                <w:spacing w:val="-2"/>
                <w:sz w:val="18"/>
              </w:rPr>
              <w:t xml:space="preserve"> </w:t>
            </w:r>
            <w:r>
              <w:rPr>
                <w:rFonts w:ascii="Calibri"/>
                <w:sz w:val="18"/>
              </w:rPr>
              <w:t>this</w:t>
            </w:r>
            <w:r>
              <w:rPr>
                <w:rFonts w:ascii="Calibri"/>
                <w:spacing w:val="-3"/>
                <w:sz w:val="18"/>
              </w:rPr>
              <w:t xml:space="preserve"> </w:t>
            </w:r>
            <w:r>
              <w:rPr>
                <w:rFonts w:ascii="Calibri"/>
                <w:spacing w:val="-1"/>
                <w:sz w:val="18"/>
              </w:rPr>
              <w:t>program into the</w:t>
            </w:r>
            <w:r>
              <w:rPr>
                <w:rFonts w:ascii="Calibri"/>
                <w:spacing w:val="-2"/>
                <w:sz w:val="18"/>
              </w:rPr>
              <w:t xml:space="preserve"> </w:t>
            </w:r>
            <w:r>
              <w:rPr>
                <w:rFonts w:ascii="Calibri"/>
                <w:spacing w:val="-1"/>
                <w:sz w:val="18"/>
              </w:rPr>
              <w:t>C/I</w:t>
            </w:r>
            <w:r>
              <w:rPr>
                <w:rFonts w:ascii="Calibri"/>
                <w:spacing w:val="45"/>
                <w:w w:val="99"/>
                <w:sz w:val="18"/>
              </w:rPr>
              <w:t xml:space="preserve"> </w:t>
            </w:r>
            <w:r>
              <w:rPr>
                <w:rFonts w:ascii="Calibri"/>
                <w:spacing w:val="-1"/>
                <w:sz w:val="18"/>
              </w:rPr>
              <w:t>Energy</w:t>
            </w:r>
            <w:r>
              <w:rPr>
                <w:rFonts w:ascii="Calibri"/>
                <w:spacing w:val="-3"/>
                <w:sz w:val="18"/>
              </w:rPr>
              <w:t xml:space="preserve"> </w:t>
            </w:r>
            <w:r>
              <w:rPr>
                <w:rFonts w:ascii="Calibri"/>
                <w:spacing w:val="-1"/>
                <w:sz w:val="18"/>
              </w:rPr>
              <w:t>Efficient</w:t>
            </w:r>
            <w:r>
              <w:rPr>
                <w:rFonts w:ascii="Calibri"/>
                <w:spacing w:val="-3"/>
                <w:sz w:val="18"/>
              </w:rPr>
              <w:t xml:space="preserve"> </w:t>
            </w:r>
            <w:r>
              <w:rPr>
                <w:rFonts w:ascii="Calibri"/>
                <w:spacing w:val="-1"/>
                <w:sz w:val="18"/>
              </w:rPr>
              <w:t>Equipment</w:t>
            </w:r>
            <w:r>
              <w:rPr>
                <w:rFonts w:ascii="Calibri"/>
                <w:spacing w:val="-4"/>
                <w:sz w:val="18"/>
              </w:rPr>
              <w:t xml:space="preserve"> </w:t>
            </w:r>
            <w:r>
              <w:rPr>
                <w:rFonts w:ascii="Calibri"/>
                <w:sz w:val="18"/>
              </w:rPr>
              <w:t>Program</w:t>
            </w:r>
            <w:r>
              <w:rPr>
                <w:rFonts w:ascii="Calibri"/>
                <w:spacing w:val="-2"/>
                <w:sz w:val="18"/>
              </w:rPr>
              <w:t xml:space="preserve"> </w:t>
            </w:r>
            <w:r>
              <w:rPr>
                <w:rFonts w:ascii="Calibri"/>
                <w:sz w:val="18"/>
              </w:rPr>
              <w:t>-</w:t>
            </w:r>
            <w:r>
              <w:rPr>
                <w:rFonts w:ascii="Calibri"/>
                <w:spacing w:val="-3"/>
                <w:sz w:val="18"/>
              </w:rPr>
              <w:t xml:space="preserve"> </w:t>
            </w:r>
            <w:r>
              <w:rPr>
                <w:rFonts w:ascii="Calibri"/>
                <w:spacing w:val="-1"/>
                <w:sz w:val="18"/>
              </w:rPr>
              <w:t>Large</w:t>
            </w:r>
            <w:r>
              <w:rPr>
                <w:rFonts w:ascii="Calibri"/>
                <w:spacing w:val="-3"/>
                <w:sz w:val="18"/>
              </w:rPr>
              <w:t xml:space="preserve"> </w:t>
            </w:r>
            <w:r>
              <w:rPr>
                <w:rFonts w:ascii="Calibri"/>
                <w:spacing w:val="-1"/>
                <w:sz w:val="18"/>
              </w:rPr>
              <w:t>to</w:t>
            </w:r>
            <w:r>
              <w:rPr>
                <w:rFonts w:ascii="Calibri"/>
                <w:spacing w:val="-2"/>
                <w:sz w:val="18"/>
              </w:rPr>
              <w:t xml:space="preserve"> </w:t>
            </w:r>
            <w:r>
              <w:rPr>
                <w:rFonts w:ascii="Calibri"/>
                <w:spacing w:val="-1"/>
                <w:sz w:val="18"/>
              </w:rPr>
              <w:t>reduce</w:t>
            </w:r>
            <w:r>
              <w:rPr>
                <w:rFonts w:ascii="Calibri"/>
                <w:spacing w:val="45"/>
                <w:w w:val="99"/>
                <w:sz w:val="18"/>
              </w:rPr>
              <w:t xml:space="preserve"> </w:t>
            </w:r>
            <w:r>
              <w:rPr>
                <w:rFonts w:ascii="Calibri"/>
                <w:spacing w:val="-1"/>
                <w:sz w:val="18"/>
              </w:rPr>
              <w:t>administrative</w:t>
            </w:r>
            <w:r>
              <w:rPr>
                <w:rFonts w:ascii="Calibri"/>
                <w:spacing w:val="-3"/>
                <w:sz w:val="18"/>
              </w:rPr>
              <w:t xml:space="preserve"> </w:t>
            </w:r>
            <w:r>
              <w:rPr>
                <w:rFonts w:ascii="Calibri"/>
                <w:spacing w:val="-1"/>
                <w:sz w:val="18"/>
              </w:rPr>
              <w:t>costs</w:t>
            </w:r>
            <w:r>
              <w:rPr>
                <w:rFonts w:ascii="Calibri"/>
                <w:spacing w:val="-3"/>
                <w:sz w:val="18"/>
              </w:rPr>
              <w:t xml:space="preserve"> </w:t>
            </w:r>
            <w:r>
              <w:rPr>
                <w:rFonts w:ascii="Calibri"/>
                <w:sz w:val="18"/>
              </w:rPr>
              <w:t>and</w:t>
            </w:r>
            <w:r>
              <w:rPr>
                <w:rFonts w:ascii="Calibri"/>
                <w:spacing w:val="-3"/>
                <w:sz w:val="18"/>
              </w:rPr>
              <w:t xml:space="preserve"> </w:t>
            </w:r>
            <w:r>
              <w:rPr>
                <w:rFonts w:ascii="Calibri"/>
                <w:spacing w:val="-1"/>
                <w:sz w:val="18"/>
              </w:rPr>
              <w:t xml:space="preserve">to </w:t>
            </w:r>
            <w:r>
              <w:rPr>
                <w:rFonts w:ascii="Calibri"/>
                <w:sz w:val="18"/>
              </w:rPr>
              <w:t>ensure</w:t>
            </w:r>
            <w:r>
              <w:rPr>
                <w:rFonts w:ascii="Calibri"/>
                <w:spacing w:val="-3"/>
                <w:sz w:val="18"/>
              </w:rPr>
              <w:t xml:space="preserve"> </w:t>
            </w:r>
            <w:r>
              <w:rPr>
                <w:rFonts w:ascii="Calibri"/>
                <w:spacing w:val="-1"/>
                <w:sz w:val="18"/>
              </w:rPr>
              <w:t>adequate</w:t>
            </w:r>
            <w:r>
              <w:rPr>
                <w:rFonts w:ascii="Calibri"/>
                <w:spacing w:val="-3"/>
                <w:sz w:val="18"/>
              </w:rPr>
              <w:t xml:space="preserve"> </w:t>
            </w:r>
            <w:r>
              <w:rPr>
                <w:rFonts w:ascii="Calibri"/>
                <w:spacing w:val="-1"/>
                <w:sz w:val="18"/>
              </w:rPr>
              <w:t>budget</w:t>
            </w:r>
            <w:r>
              <w:rPr>
                <w:rFonts w:ascii="Calibri"/>
                <w:spacing w:val="-3"/>
                <w:sz w:val="18"/>
              </w:rPr>
              <w:t xml:space="preserve"> </w:t>
            </w:r>
            <w:r>
              <w:rPr>
                <w:rFonts w:ascii="Calibri"/>
                <w:sz w:val="18"/>
              </w:rPr>
              <w:t>is</w:t>
            </w:r>
            <w:r>
              <w:rPr>
                <w:rFonts w:ascii="Calibri"/>
                <w:spacing w:val="49"/>
                <w:sz w:val="18"/>
              </w:rPr>
              <w:t xml:space="preserve"> </w:t>
            </w:r>
            <w:r>
              <w:rPr>
                <w:rFonts w:ascii="Calibri"/>
                <w:spacing w:val="-1"/>
                <w:sz w:val="18"/>
              </w:rPr>
              <w:t>available</w:t>
            </w:r>
            <w:r>
              <w:rPr>
                <w:rFonts w:ascii="Calibri"/>
                <w:spacing w:val="-4"/>
                <w:sz w:val="18"/>
              </w:rPr>
              <w:t xml:space="preserve"> </w:t>
            </w:r>
            <w:r>
              <w:rPr>
                <w:rFonts w:ascii="Calibri"/>
                <w:sz w:val="18"/>
              </w:rPr>
              <w:t>in</w:t>
            </w:r>
            <w:r>
              <w:rPr>
                <w:rFonts w:ascii="Calibri"/>
                <w:spacing w:val="-3"/>
                <w:sz w:val="18"/>
              </w:rPr>
              <w:t xml:space="preserve"> </w:t>
            </w:r>
            <w:r>
              <w:rPr>
                <w:rFonts w:ascii="Calibri"/>
                <w:spacing w:val="-1"/>
                <w:sz w:val="18"/>
              </w:rPr>
              <w:t>case</w:t>
            </w:r>
            <w:r>
              <w:rPr>
                <w:rFonts w:ascii="Calibri"/>
                <w:spacing w:val="-4"/>
                <w:sz w:val="18"/>
              </w:rPr>
              <w:t xml:space="preserve"> </w:t>
            </w:r>
            <w:r>
              <w:rPr>
                <w:rFonts w:ascii="Calibri"/>
                <w:spacing w:val="-1"/>
                <w:sz w:val="18"/>
              </w:rPr>
              <w:t>participation</w:t>
            </w:r>
            <w:r>
              <w:rPr>
                <w:rFonts w:ascii="Calibri"/>
                <w:spacing w:val="-3"/>
                <w:sz w:val="18"/>
              </w:rPr>
              <w:t xml:space="preserve"> </w:t>
            </w:r>
            <w:r>
              <w:rPr>
                <w:rFonts w:ascii="Calibri"/>
                <w:sz w:val="18"/>
              </w:rPr>
              <w:t>levels</w:t>
            </w:r>
            <w:r>
              <w:rPr>
                <w:rFonts w:ascii="Calibri"/>
                <w:spacing w:val="-4"/>
                <w:sz w:val="18"/>
              </w:rPr>
              <w:t xml:space="preserve"> </w:t>
            </w:r>
            <w:r>
              <w:rPr>
                <w:rFonts w:ascii="Calibri"/>
                <w:spacing w:val="-1"/>
                <w:sz w:val="18"/>
              </w:rPr>
              <w:t>increase significantly.</w:t>
            </w:r>
          </w:p>
        </w:tc>
        <w:tc>
          <w:tcPr>
            <w:tcW w:w="477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444"/>
        </w:trPr>
        <w:tc>
          <w:tcPr>
            <w:tcW w:w="4680" w:type="dxa"/>
          </w:tcPr>
          <w:p w:rsidR="00E646C9" w:rsidRDefault="00E646C9" w:rsidP="00C94D5A">
            <w:pPr>
              <w:pStyle w:val="TableParagraph"/>
              <w:ind w:left="102"/>
              <w:rPr>
                <w:rFonts w:ascii="Calibri" w:eastAsia="Calibri" w:hAnsi="Calibri" w:cs="Calibri"/>
                <w:sz w:val="18"/>
                <w:szCs w:val="18"/>
              </w:rPr>
            </w:pPr>
            <w:r>
              <w:rPr>
                <w:rFonts w:ascii="Calibri"/>
                <w:spacing w:val="-1"/>
                <w:sz w:val="18"/>
              </w:rPr>
              <w:t>Review</w:t>
            </w:r>
            <w:r>
              <w:rPr>
                <w:rFonts w:ascii="Calibri"/>
                <w:spacing w:val="-4"/>
                <w:sz w:val="18"/>
              </w:rPr>
              <w:t xml:space="preserve"> </w:t>
            </w:r>
            <w:r>
              <w:rPr>
                <w:rFonts w:ascii="Calibri"/>
                <w:spacing w:val="-1"/>
                <w:sz w:val="18"/>
              </w:rPr>
              <w:t>and</w:t>
            </w:r>
            <w:r>
              <w:rPr>
                <w:rFonts w:ascii="Calibri"/>
                <w:spacing w:val="-5"/>
                <w:sz w:val="18"/>
              </w:rPr>
              <w:t xml:space="preserve"> </w:t>
            </w:r>
            <w:r>
              <w:rPr>
                <w:rFonts w:ascii="Calibri"/>
                <w:spacing w:val="-1"/>
                <w:sz w:val="18"/>
              </w:rPr>
              <w:t>improve</w:t>
            </w:r>
            <w:r>
              <w:rPr>
                <w:rFonts w:ascii="Calibri"/>
                <w:spacing w:val="-5"/>
                <w:sz w:val="18"/>
              </w:rPr>
              <w:t xml:space="preserve"> </w:t>
            </w:r>
            <w:r>
              <w:rPr>
                <w:rFonts w:ascii="Calibri"/>
                <w:spacing w:val="-1"/>
                <w:sz w:val="18"/>
              </w:rPr>
              <w:t>contractor</w:t>
            </w:r>
            <w:r>
              <w:rPr>
                <w:rFonts w:ascii="Calibri"/>
                <w:spacing w:val="-4"/>
                <w:sz w:val="18"/>
              </w:rPr>
              <w:t xml:space="preserve"> </w:t>
            </w:r>
            <w:r>
              <w:rPr>
                <w:rFonts w:ascii="Calibri"/>
                <w:spacing w:val="-1"/>
                <w:sz w:val="18"/>
              </w:rPr>
              <w:t>tracking</w:t>
            </w:r>
            <w:r>
              <w:rPr>
                <w:rFonts w:ascii="Calibri"/>
                <w:spacing w:val="-5"/>
                <w:sz w:val="18"/>
              </w:rPr>
              <w:t xml:space="preserve"> </w:t>
            </w:r>
            <w:r>
              <w:rPr>
                <w:rFonts w:ascii="Calibri"/>
                <w:spacing w:val="-1"/>
                <w:sz w:val="18"/>
              </w:rPr>
              <w:t>procedures.</w:t>
            </w:r>
          </w:p>
        </w:tc>
        <w:tc>
          <w:tcPr>
            <w:tcW w:w="4770" w:type="dxa"/>
          </w:tcPr>
          <w:p w:rsidR="00E646C9" w:rsidRDefault="00E646C9" w:rsidP="00C94D5A">
            <w:pPr>
              <w:pStyle w:val="TableParagraph"/>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2"/>
        </w:trPr>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Review</w:t>
            </w:r>
            <w:r>
              <w:rPr>
                <w:rFonts w:ascii="Calibri"/>
                <w:spacing w:val="-2"/>
                <w:sz w:val="18"/>
              </w:rPr>
              <w:t xml:space="preserve"> </w:t>
            </w:r>
            <w:r>
              <w:rPr>
                <w:rFonts w:ascii="Calibri"/>
                <w:spacing w:val="-1"/>
                <w:sz w:val="18"/>
              </w:rPr>
              <w:t>the</w:t>
            </w:r>
            <w:r>
              <w:rPr>
                <w:rFonts w:ascii="Calibri"/>
                <w:spacing w:val="-4"/>
                <w:sz w:val="18"/>
              </w:rPr>
              <w:t xml:space="preserve"> </w:t>
            </w:r>
            <w:r>
              <w:rPr>
                <w:rFonts w:ascii="Calibri"/>
                <w:spacing w:val="-1"/>
                <w:sz w:val="18"/>
              </w:rPr>
              <w:t>application</w:t>
            </w:r>
            <w:r>
              <w:rPr>
                <w:rFonts w:ascii="Calibri"/>
                <w:spacing w:val="-3"/>
                <w:sz w:val="18"/>
              </w:rPr>
              <w:t xml:space="preserve"> </w:t>
            </w:r>
            <w:r>
              <w:rPr>
                <w:rFonts w:ascii="Calibri"/>
                <w:spacing w:val="-1"/>
                <w:sz w:val="18"/>
              </w:rPr>
              <w:t>process</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possible</w:t>
            </w:r>
            <w:r>
              <w:rPr>
                <w:rFonts w:ascii="Calibri"/>
                <w:spacing w:val="-3"/>
                <w:sz w:val="18"/>
              </w:rPr>
              <w:t xml:space="preserve"> </w:t>
            </w:r>
            <w:r>
              <w:rPr>
                <w:rFonts w:ascii="Calibri"/>
                <w:spacing w:val="-1"/>
                <w:sz w:val="18"/>
              </w:rPr>
              <w:t>efficiencies.</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9"/>
        </w:trPr>
        <w:tc>
          <w:tcPr>
            <w:tcW w:w="4680" w:type="dxa"/>
          </w:tcPr>
          <w:p w:rsidR="00E646C9" w:rsidRDefault="00E646C9" w:rsidP="00C94D5A">
            <w:pPr>
              <w:pStyle w:val="TableParagraph"/>
              <w:ind w:left="102" w:right="311"/>
              <w:rPr>
                <w:rFonts w:ascii="Calibri" w:eastAsia="Calibri" w:hAnsi="Calibri" w:cs="Calibri"/>
                <w:sz w:val="18"/>
                <w:szCs w:val="18"/>
              </w:rPr>
            </w:pPr>
            <w:r>
              <w:rPr>
                <w:rFonts w:ascii="Calibri"/>
                <w:spacing w:val="-1"/>
                <w:sz w:val="18"/>
              </w:rPr>
              <w:t>Continue support</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contractors,</w:t>
            </w:r>
            <w:r>
              <w:rPr>
                <w:rFonts w:ascii="Calibri"/>
                <w:spacing w:val="-2"/>
                <w:sz w:val="18"/>
              </w:rPr>
              <w:t xml:space="preserve"> </w:t>
            </w:r>
            <w:r>
              <w:rPr>
                <w:rFonts w:ascii="Calibri"/>
                <w:spacing w:val="-1"/>
                <w:sz w:val="18"/>
              </w:rPr>
              <w:t>including</w:t>
            </w:r>
            <w:r>
              <w:rPr>
                <w:rFonts w:ascii="Calibri"/>
                <w:spacing w:val="-2"/>
                <w:sz w:val="18"/>
              </w:rPr>
              <w:t xml:space="preserve"> </w:t>
            </w:r>
            <w:r>
              <w:rPr>
                <w:rFonts w:ascii="Calibri"/>
                <w:spacing w:val="-1"/>
                <w:sz w:val="18"/>
              </w:rPr>
              <w:t>consistent</w:t>
            </w:r>
            <w:r>
              <w:rPr>
                <w:rFonts w:ascii="Calibri"/>
                <w:spacing w:val="-3"/>
                <w:sz w:val="18"/>
              </w:rPr>
              <w:t xml:space="preserve"> </w:t>
            </w:r>
            <w:r>
              <w:rPr>
                <w:rFonts w:ascii="Calibri"/>
                <w:spacing w:val="-1"/>
                <w:sz w:val="18"/>
              </w:rPr>
              <w:t>ICSP</w:t>
            </w:r>
            <w:r>
              <w:rPr>
                <w:rFonts w:ascii="Calibri"/>
                <w:spacing w:val="61"/>
                <w:w w:val="99"/>
                <w:sz w:val="18"/>
              </w:rPr>
              <w:t xml:space="preserve"> </w:t>
            </w:r>
            <w:r>
              <w:rPr>
                <w:rFonts w:ascii="Calibri"/>
                <w:spacing w:val="-1"/>
                <w:sz w:val="18"/>
              </w:rPr>
              <w:t>contact</w:t>
            </w:r>
            <w:r>
              <w:rPr>
                <w:rFonts w:ascii="Calibri"/>
                <w:spacing w:val="-6"/>
                <w:sz w:val="18"/>
              </w:rPr>
              <w:t xml:space="preserve"> </w:t>
            </w:r>
            <w:r>
              <w:rPr>
                <w:rFonts w:ascii="Calibri"/>
                <w:spacing w:val="-1"/>
                <w:sz w:val="18"/>
              </w:rPr>
              <w:t>and</w:t>
            </w:r>
            <w:r>
              <w:rPr>
                <w:rFonts w:ascii="Calibri"/>
                <w:spacing w:val="-6"/>
                <w:sz w:val="18"/>
              </w:rPr>
              <w:t xml:space="preserve"> </w:t>
            </w:r>
            <w:r>
              <w:rPr>
                <w:rFonts w:ascii="Calibri"/>
                <w:spacing w:val="-1"/>
                <w:sz w:val="18"/>
              </w:rPr>
              <w:t>marketing</w:t>
            </w:r>
            <w:r>
              <w:rPr>
                <w:rFonts w:ascii="Calibri"/>
                <w:spacing w:val="-6"/>
                <w:sz w:val="18"/>
              </w:rPr>
              <w:t xml:space="preserve"> </w:t>
            </w:r>
            <w:r>
              <w:rPr>
                <w:rFonts w:ascii="Calibri"/>
                <w:spacing w:val="-1"/>
                <w:sz w:val="18"/>
              </w:rPr>
              <w:t>materials.</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99"/>
        </w:trPr>
        <w:tc>
          <w:tcPr>
            <w:tcW w:w="4680" w:type="dxa"/>
            <w:shd w:val="clear" w:color="auto" w:fill="D2EAF1"/>
          </w:tcPr>
          <w:p w:rsidR="00E646C9" w:rsidRDefault="00E646C9" w:rsidP="00C94D5A">
            <w:pPr>
              <w:pStyle w:val="TableParagraph"/>
              <w:ind w:left="102" w:right="308"/>
              <w:rPr>
                <w:rFonts w:ascii="Calibri" w:eastAsia="Calibri" w:hAnsi="Calibri" w:cs="Calibri"/>
                <w:sz w:val="20"/>
                <w:szCs w:val="20"/>
              </w:rPr>
            </w:pPr>
            <w:r>
              <w:rPr>
                <w:rFonts w:ascii="Calibri"/>
                <w:spacing w:val="-1"/>
                <w:sz w:val="20"/>
              </w:rPr>
              <w:t>Continue</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market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past</w:t>
            </w:r>
            <w:r>
              <w:rPr>
                <w:rFonts w:ascii="Calibri"/>
                <w:spacing w:val="-4"/>
                <w:sz w:val="20"/>
              </w:rPr>
              <w:t xml:space="preserve"> </w:t>
            </w:r>
            <w:r>
              <w:rPr>
                <w:rFonts w:ascii="Calibri"/>
                <w:spacing w:val="-1"/>
                <w:sz w:val="20"/>
              </w:rPr>
              <w:t>participants</w:t>
            </w:r>
            <w:r>
              <w:rPr>
                <w:rFonts w:ascii="Calibri"/>
                <w:spacing w:val="-6"/>
                <w:sz w:val="20"/>
              </w:rPr>
              <w:t xml:space="preserve"> </w:t>
            </w:r>
            <w:r>
              <w:rPr>
                <w:rFonts w:ascii="Calibri"/>
                <w:sz w:val="20"/>
              </w:rPr>
              <w:t>as</w:t>
            </w:r>
            <w:r>
              <w:rPr>
                <w:rFonts w:ascii="Calibri"/>
                <w:spacing w:val="-5"/>
                <w:sz w:val="20"/>
              </w:rPr>
              <w:t xml:space="preserve"> </w:t>
            </w:r>
            <w:r>
              <w:rPr>
                <w:rFonts w:ascii="Calibri"/>
                <w:spacing w:val="-1"/>
                <w:sz w:val="20"/>
              </w:rPr>
              <w:t>well</w:t>
            </w:r>
            <w:r>
              <w:rPr>
                <w:rFonts w:ascii="Calibri"/>
                <w:spacing w:val="-5"/>
                <w:sz w:val="20"/>
              </w:rPr>
              <w:t xml:space="preserve"> </w:t>
            </w:r>
            <w:r>
              <w:rPr>
                <w:rFonts w:ascii="Calibri"/>
                <w:sz w:val="20"/>
              </w:rPr>
              <w:t>as</w:t>
            </w:r>
            <w:r>
              <w:rPr>
                <w:rFonts w:ascii="Calibri"/>
                <w:spacing w:val="49"/>
                <w:w w:val="99"/>
                <w:sz w:val="20"/>
              </w:rPr>
              <w:t xml:space="preserve"> </w:t>
            </w:r>
            <w:r>
              <w:rPr>
                <w:rFonts w:ascii="Calibri"/>
                <w:spacing w:val="-1"/>
                <w:sz w:val="20"/>
              </w:rPr>
              <w:t>nonparticipants</w:t>
            </w:r>
            <w:r>
              <w:rPr>
                <w:rFonts w:ascii="Calibri"/>
                <w:spacing w:val="-9"/>
                <w:sz w:val="20"/>
              </w:rPr>
              <w:t xml:space="preserve"> </w:t>
            </w:r>
            <w:r>
              <w:rPr>
                <w:rFonts w:ascii="Calibri"/>
                <w:spacing w:val="-1"/>
                <w:sz w:val="20"/>
              </w:rPr>
              <w:t>if</w:t>
            </w:r>
            <w:r>
              <w:rPr>
                <w:rFonts w:ascii="Calibri"/>
                <w:spacing w:val="-9"/>
                <w:sz w:val="20"/>
              </w:rPr>
              <w:t xml:space="preserve"> </w:t>
            </w:r>
            <w:r>
              <w:rPr>
                <w:rFonts w:ascii="Calibri"/>
                <w:spacing w:val="-1"/>
                <w:sz w:val="20"/>
              </w:rPr>
              <w:t>additional</w:t>
            </w:r>
            <w:r>
              <w:rPr>
                <w:rFonts w:ascii="Calibri"/>
                <w:spacing w:val="-9"/>
                <w:sz w:val="20"/>
              </w:rPr>
              <w:t xml:space="preserve"> </w:t>
            </w:r>
            <w:r>
              <w:rPr>
                <w:rFonts w:ascii="Calibri"/>
                <w:spacing w:val="-1"/>
                <w:sz w:val="20"/>
              </w:rPr>
              <w:t>participation</w:t>
            </w:r>
            <w:r>
              <w:rPr>
                <w:rFonts w:ascii="Calibri"/>
                <w:spacing w:val="-7"/>
                <w:sz w:val="20"/>
              </w:rPr>
              <w:t xml:space="preserve"> </w:t>
            </w:r>
            <w:r>
              <w:rPr>
                <w:rFonts w:ascii="Calibri"/>
                <w:spacing w:val="-1"/>
                <w:sz w:val="20"/>
              </w:rPr>
              <w:t>is</w:t>
            </w:r>
            <w:r>
              <w:rPr>
                <w:rFonts w:ascii="Calibri"/>
                <w:spacing w:val="-9"/>
                <w:sz w:val="20"/>
              </w:rPr>
              <w:t xml:space="preserve"> </w:t>
            </w:r>
            <w:r>
              <w:rPr>
                <w:rFonts w:ascii="Calibri"/>
                <w:spacing w:val="-1"/>
                <w:sz w:val="20"/>
              </w:rPr>
              <w:t>needed.</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2"/>
        </w:trPr>
        <w:tc>
          <w:tcPr>
            <w:tcW w:w="4680" w:type="dxa"/>
          </w:tcPr>
          <w:p w:rsidR="00E646C9" w:rsidRDefault="00E646C9" w:rsidP="00C94D5A">
            <w:pPr>
              <w:pStyle w:val="TableParagraph"/>
              <w:spacing w:line="242" w:lineRule="exact"/>
              <w:ind w:left="102"/>
              <w:rPr>
                <w:rFonts w:ascii="Calibri" w:eastAsia="Calibri" w:hAnsi="Calibri" w:cs="Calibri"/>
                <w:sz w:val="20"/>
                <w:szCs w:val="20"/>
              </w:rPr>
            </w:pPr>
            <w:r>
              <w:rPr>
                <w:rFonts w:ascii="Calibri"/>
                <w:spacing w:val="-1"/>
                <w:sz w:val="20"/>
              </w:rPr>
              <w:t>Consider</w:t>
            </w:r>
            <w:r>
              <w:rPr>
                <w:rFonts w:ascii="Calibri"/>
                <w:spacing w:val="-8"/>
                <w:sz w:val="20"/>
              </w:rPr>
              <w:t xml:space="preserve"> </w:t>
            </w:r>
            <w:r>
              <w:rPr>
                <w:rFonts w:ascii="Calibri"/>
                <w:spacing w:val="-1"/>
                <w:sz w:val="20"/>
              </w:rPr>
              <w:t>engaging</w:t>
            </w:r>
            <w:r>
              <w:rPr>
                <w:rFonts w:ascii="Calibri"/>
                <w:spacing w:val="-9"/>
                <w:sz w:val="20"/>
              </w:rPr>
              <w:t xml:space="preserve"> </w:t>
            </w:r>
            <w:r>
              <w:rPr>
                <w:rFonts w:ascii="Calibri"/>
                <w:spacing w:val="-1"/>
                <w:sz w:val="20"/>
              </w:rPr>
              <w:t>new</w:t>
            </w:r>
            <w:r>
              <w:rPr>
                <w:rFonts w:ascii="Calibri"/>
                <w:spacing w:val="-7"/>
                <w:sz w:val="20"/>
              </w:rPr>
              <w:t xml:space="preserve"> </w:t>
            </w:r>
            <w:r>
              <w:rPr>
                <w:rFonts w:ascii="Calibri"/>
                <w:spacing w:val="-1"/>
                <w:sz w:val="20"/>
              </w:rPr>
              <w:t>contractors.</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bl>
    <w:p w:rsidR="005A786B" w:rsidRDefault="005A786B" w:rsidP="003B56E9"/>
    <w:p w:rsidR="00E646C9" w:rsidRDefault="00E646C9" w:rsidP="003B56E9">
      <w:pPr>
        <w:pStyle w:val="AppendixGHeading2"/>
      </w:pPr>
      <w:r>
        <w:t>Government and Institutional Program</w:t>
      </w:r>
    </w:p>
    <w:tbl>
      <w:tblPr>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770"/>
      </w:tblGrid>
      <w:tr w:rsidR="00E646C9" w:rsidTr="0011636D">
        <w:trPr>
          <w:trHeight w:hRule="exact" w:val="704"/>
          <w:tblHeader/>
        </w:trPr>
        <w:tc>
          <w:tcPr>
            <w:tcW w:w="4680" w:type="dxa"/>
            <w:shd w:val="clear" w:color="auto" w:fill="448A99"/>
          </w:tcPr>
          <w:p w:rsidR="00E646C9" w:rsidRDefault="00E646C9" w:rsidP="004D470A">
            <w:pPr>
              <w:pStyle w:val="TableParagraph"/>
              <w:spacing w:line="218" w:lineRule="exact"/>
              <w:rPr>
                <w:rFonts w:ascii="Calibri" w:eastAsia="Calibri" w:hAnsi="Calibri" w:cs="Calibri"/>
                <w:sz w:val="18"/>
                <w:szCs w:val="18"/>
              </w:rPr>
            </w:pPr>
            <w:r>
              <w:rPr>
                <w:rFonts w:ascii="Calibri"/>
                <w:b/>
                <w:color w:val="FFFFFF"/>
                <w:spacing w:val="-1"/>
                <w:sz w:val="18"/>
              </w:rPr>
              <w:t>Recommendations</w:t>
            </w:r>
          </w:p>
        </w:tc>
        <w:tc>
          <w:tcPr>
            <w:tcW w:w="477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1109"/>
        </w:trPr>
        <w:tc>
          <w:tcPr>
            <w:tcW w:w="4680" w:type="dxa"/>
            <w:shd w:val="clear" w:color="auto" w:fill="D2EAF1"/>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Continue</w:t>
            </w:r>
            <w:r>
              <w:rPr>
                <w:rFonts w:ascii="Calibri"/>
                <w:spacing w:val="36"/>
                <w:sz w:val="18"/>
              </w:rPr>
              <w:t xml:space="preserve"> </w:t>
            </w:r>
            <w:r>
              <w:rPr>
                <w:rFonts w:ascii="Calibri"/>
                <w:spacing w:val="-1"/>
                <w:sz w:val="18"/>
              </w:rPr>
              <w:t>conducting</w:t>
            </w:r>
            <w:r>
              <w:rPr>
                <w:rFonts w:ascii="Calibri"/>
                <w:spacing w:val="36"/>
                <w:sz w:val="18"/>
              </w:rPr>
              <w:t xml:space="preserve"> </w:t>
            </w:r>
            <w:r>
              <w:rPr>
                <w:rFonts w:ascii="Calibri"/>
                <w:sz w:val="18"/>
              </w:rPr>
              <w:t>outreach</w:t>
            </w:r>
            <w:r>
              <w:rPr>
                <w:rFonts w:ascii="Calibri"/>
                <w:spacing w:val="36"/>
                <w:sz w:val="18"/>
              </w:rPr>
              <w:t xml:space="preserve"> </w:t>
            </w:r>
            <w:r>
              <w:rPr>
                <w:rFonts w:ascii="Calibri"/>
                <w:spacing w:val="-1"/>
                <w:sz w:val="18"/>
              </w:rPr>
              <w:t>with</w:t>
            </w:r>
            <w:r>
              <w:rPr>
                <w:rFonts w:ascii="Calibri"/>
                <w:spacing w:val="36"/>
                <w:sz w:val="18"/>
              </w:rPr>
              <w:t xml:space="preserve"> </w:t>
            </w:r>
            <w:r>
              <w:rPr>
                <w:rFonts w:ascii="Calibri"/>
                <w:spacing w:val="-1"/>
                <w:sz w:val="18"/>
              </w:rPr>
              <w:t>trade</w:t>
            </w:r>
            <w:r>
              <w:rPr>
                <w:rFonts w:ascii="Calibri"/>
                <w:spacing w:val="36"/>
                <w:sz w:val="18"/>
              </w:rPr>
              <w:t xml:space="preserve"> </w:t>
            </w:r>
            <w:r>
              <w:rPr>
                <w:rFonts w:ascii="Calibri"/>
                <w:spacing w:val="-1"/>
                <w:sz w:val="18"/>
              </w:rPr>
              <w:t>allies</w:t>
            </w:r>
            <w:r>
              <w:rPr>
                <w:rFonts w:ascii="Calibri"/>
                <w:spacing w:val="36"/>
                <w:sz w:val="18"/>
              </w:rPr>
              <w:t xml:space="preserve"> </w:t>
            </w:r>
            <w:r>
              <w:rPr>
                <w:rFonts w:ascii="Calibri"/>
                <w:spacing w:val="-1"/>
                <w:sz w:val="18"/>
              </w:rPr>
              <w:t>and</w:t>
            </w:r>
            <w:r>
              <w:rPr>
                <w:rFonts w:ascii="Calibri"/>
                <w:spacing w:val="44"/>
                <w:sz w:val="18"/>
              </w:rPr>
              <w:t xml:space="preserve"> </w:t>
            </w:r>
            <w:r>
              <w:rPr>
                <w:rFonts w:ascii="Calibri"/>
                <w:spacing w:val="-1"/>
                <w:sz w:val="18"/>
              </w:rPr>
              <w:t>contractors</w:t>
            </w:r>
            <w:r>
              <w:rPr>
                <w:rFonts w:ascii="Calibri"/>
                <w:spacing w:val="6"/>
                <w:sz w:val="18"/>
              </w:rPr>
              <w:t xml:space="preserve"> </w:t>
            </w:r>
            <w:r>
              <w:rPr>
                <w:rFonts w:ascii="Calibri"/>
                <w:spacing w:val="-1"/>
                <w:sz w:val="18"/>
              </w:rPr>
              <w:t>to</w:t>
            </w:r>
            <w:r>
              <w:rPr>
                <w:rFonts w:ascii="Calibri"/>
                <w:spacing w:val="7"/>
                <w:sz w:val="18"/>
              </w:rPr>
              <w:t xml:space="preserve"> </w:t>
            </w:r>
            <w:r>
              <w:rPr>
                <w:rFonts w:ascii="Calibri"/>
                <w:spacing w:val="-1"/>
                <w:sz w:val="18"/>
              </w:rPr>
              <w:t>promote</w:t>
            </w:r>
            <w:r>
              <w:rPr>
                <w:rFonts w:ascii="Calibri"/>
                <w:spacing w:val="7"/>
                <w:sz w:val="18"/>
              </w:rPr>
              <w:t xml:space="preserve"> </w:t>
            </w:r>
            <w:r>
              <w:rPr>
                <w:rFonts w:ascii="Calibri"/>
                <w:spacing w:val="-1"/>
                <w:sz w:val="18"/>
              </w:rPr>
              <w:t>the</w:t>
            </w:r>
            <w:r>
              <w:rPr>
                <w:rFonts w:ascii="Calibri"/>
                <w:spacing w:val="6"/>
                <w:sz w:val="18"/>
              </w:rPr>
              <w:t xml:space="preserve"> </w:t>
            </w:r>
            <w:r>
              <w:rPr>
                <w:rFonts w:ascii="Calibri"/>
                <w:sz w:val="18"/>
              </w:rPr>
              <w:t>program</w:t>
            </w:r>
            <w:r>
              <w:rPr>
                <w:rFonts w:ascii="Calibri"/>
                <w:spacing w:val="7"/>
                <w:sz w:val="18"/>
              </w:rPr>
              <w:t xml:space="preserve"> </w:t>
            </w:r>
            <w:r>
              <w:rPr>
                <w:rFonts w:ascii="Calibri"/>
                <w:spacing w:val="-1"/>
                <w:sz w:val="18"/>
              </w:rPr>
              <w:t>when</w:t>
            </w:r>
            <w:r>
              <w:rPr>
                <w:rFonts w:ascii="Calibri"/>
                <w:spacing w:val="6"/>
                <w:sz w:val="18"/>
              </w:rPr>
              <w:t xml:space="preserve"> </w:t>
            </w:r>
            <w:r>
              <w:rPr>
                <w:rFonts w:ascii="Calibri"/>
                <w:spacing w:val="-1"/>
                <w:sz w:val="18"/>
              </w:rPr>
              <w:t>working</w:t>
            </w:r>
            <w:r>
              <w:rPr>
                <w:rFonts w:ascii="Calibri"/>
                <w:spacing w:val="6"/>
                <w:sz w:val="18"/>
              </w:rPr>
              <w:t xml:space="preserve"> </w:t>
            </w:r>
            <w:r>
              <w:rPr>
                <w:rFonts w:ascii="Calibri"/>
                <w:spacing w:val="-1"/>
                <w:sz w:val="18"/>
              </w:rPr>
              <w:t>with</w:t>
            </w:r>
            <w:r>
              <w:rPr>
                <w:rFonts w:ascii="Calibri"/>
                <w:spacing w:val="38"/>
                <w:sz w:val="18"/>
              </w:rPr>
              <w:t xml:space="preserve"> </w:t>
            </w:r>
            <w:r>
              <w:rPr>
                <w:rFonts w:ascii="Calibri"/>
                <w:spacing w:val="-1"/>
                <w:sz w:val="18"/>
              </w:rPr>
              <w:t>commercial</w:t>
            </w:r>
            <w:r>
              <w:rPr>
                <w:rFonts w:ascii="Calibri"/>
                <w:spacing w:val="28"/>
                <w:sz w:val="18"/>
              </w:rPr>
              <w:t xml:space="preserve"> </w:t>
            </w:r>
            <w:r>
              <w:rPr>
                <w:rFonts w:ascii="Calibri"/>
                <w:spacing w:val="-1"/>
                <w:sz w:val="18"/>
              </w:rPr>
              <w:t>customers,</w:t>
            </w:r>
            <w:r>
              <w:rPr>
                <w:rFonts w:ascii="Calibri"/>
                <w:spacing w:val="29"/>
                <w:sz w:val="18"/>
              </w:rPr>
              <w:t xml:space="preserve"> </w:t>
            </w:r>
            <w:r>
              <w:rPr>
                <w:rFonts w:ascii="Calibri"/>
                <w:sz w:val="18"/>
              </w:rPr>
              <w:t>and</w:t>
            </w:r>
            <w:r>
              <w:rPr>
                <w:rFonts w:ascii="Calibri"/>
                <w:spacing w:val="27"/>
                <w:sz w:val="18"/>
              </w:rPr>
              <w:t xml:space="preserve"> </w:t>
            </w:r>
            <w:r>
              <w:rPr>
                <w:rFonts w:ascii="Calibri"/>
                <w:spacing w:val="-1"/>
                <w:sz w:val="18"/>
              </w:rPr>
              <w:t>continue</w:t>
            </w:r>
            <w:r>
              <w:rPr>
                <w:rFonts w:ascii="Calibri"/>
                <w:spacing w:val="29"/>
                <w:sz w:val="18"/>
              </w:rPr>
              <w:t xml:space="preserve"> </w:t>
            </w:r>
            <w:r>
              <w:rPr>
                <w:rFonts w:ascii="Calibri"/>
                <w:spacing w:val="-1"/>
                <w:sz w:val="18"/>
              </w:rPr>
              <w:t>incorporating</w:t>
            </w:r>
            <w:r>
              <w:rPr>
                <w:rFonts w:ascii="Calibri"/>
                <w:spacing w:val="30"/>
                <w:sz w:val="18"/>
              </w:rPr>
              <w:t xml:space="preserve"> </w:t>
            </w:r>
            <w:r>
              <w:rPr>
                <w:rFonts w:ascii="Calibri"/>
                <w:spacing w:val="-1"/>
                <w:sz w:val="18"/>
              </w:rPr>
              <w:t>case</w:t>
            </w:r>
            <w:r>
              <w:rPr>
                <w:rFonts w:ascii="Calibri"/>
                <w:spacing w:val="65"/>
                <w:w w:val="99"/>
                <w:sz w:val="18"/>
              </w:rPr>
              <w:t xml:space="preserve"> </w:t>
            </w:r>
            <w:r>
              <w:rPr>
                <w:rFonts w:ascii="Calibri"/>
                <w:spacing w:val="-1"/>
                <w:sz w:val="18"/>
              </w:rPr>
              <w:t>studies</w:t>
            </w:r>
            <w:r>
              <w:rPr>
                <w:rFonts w:ascii="Calibri"/>
                <w:spacing w:val="-8"/>
                <w:sz w:val="18"/>
              </w:rPr>
              <w:t xml:space="preserve"> </w:t>
            </w:r>
            <w:r>
              <w:rPr>
                <w:rFonts w:ascii="Calibri"/>
                <w:sz w:val="18"/>
              </w:rPr>
              <w:t>and</w:t>
            </w:r>
            <w:r>
              <w:rPr>
                <w:rFonts w:ascii="Calibri"/>
                <w:spacing w:val="-8"/>
                <w:sz w:val="18"/>
              </w:rPr>
              <w:t xml:space="preserve"> </w:t>
            </w:r>
            <w:r>
              <w:rPr>
                <w:rFonts w:ascii="Calibri"/>
                <w:spacing w:val="-1"/>
                <w:sz w:val="18"/>
              </w:rPr>
              <w:t>testimonials</w:t>
            </w:r>
            <w:r>
              <w:rPr>
                <w:rFonts w:ascii="Calibri"/>
                <w:spacing w:val="-8"/>
                <w:sz w:val="18"/>
              </w:rPr>
              <w:t xml:space="preserve"> </w:t>
            </w:r>
            <w:r>
              <w:rPr>
                <w:rFonts w:ascii="Calibri"/>
                <w:spacing w:val="-1"/>
                <w:sz w:val="18"/>
              </w:rPr>
              <w:t>into</w:t>
            </w:r>
            <w:r>
              <w:rPr>
                <w:rFonts w:ascii="Calibri"/>
                <w:spacing w:val="-6"/>
                <w:sz w:val="18"/>
              </w:rPr>
              <w:t xml:space="preserve"> </w:t>
            </w:r>
            <w:r>
              <w:rPr>
                <w:rFonts w:ascii="Calibri"/>
                <w:spacing w:val="-1"/>
                <w:sz w:val="18"/>
              </w:rPr>
              <w:t>marketing</w:t>
            </w:r>
            <w:r>
              <w:rPr>
                <w:rFonts w:ascii="Calibri"/>
                <w:spacing w:val="-7"/>
                <w:sz w:val="18"/>
              </w:rPr>
              <w:t xml:space="preserve"> </w:t>
            </w:r>
            <w:r>
              <w:rPr>
                <w:rFonts w:ascii="Calibri"/>
                <w:spacing w:val="-1"/>
                <w:sz w:val="18"/>
              </w:rPr>
              <w:t>materials</w:t>
            </w:r>
            <w:r>
              <w:rPr>
                <w:rFonts w:ascii="Calibri"/>
                <w:spacing w:val="-8"/>
                <w:sz w:val="18"/>
              </w:rPr>
              <w:t xml:space="preserve"> </w:t>
            </w:r>
            <w:r>
              <w:rPr>
                <w:rFonts w:ascii="Calibri"/>
                <w:spacing w:val="-1"/>
                <w:sz w:val="18"/>
              </w:rPr>
              <w:t>provided</w:t>
            </w:r>
            <w:r>
              <w:rPr>
                <w:rFonts w:ascii="Calibri"/>
                <w:spacing w:val="-8"/>
                <w:sz w:val="18"/>
              </w:rPr>
              <w:t xml:space="preserve"> </w:t>
            </w:r>
            <w:r>
              <w:rPr>
                <w:rFonts w:ascii="Calibri"/>
                <w:spacing w:val="-1"/>
                <w:sz w:val="18"/>
              </w:rPr>
              <w:t>to</w:t>
            </w:r>
            <w:r>
              <w:rPr>
                <w:rFonts w:ascii="Calibri"/>
                <w:spacing w:val="63"/>
                <w:sz w:val="18"/>
              </w:rPr>
              <w:t xml:space="preserve"> </w:t>
            </w:r>
            <w:r>
              <w:rPr>
                <w:rFonts w:ascii="Calibri"/>
                <w:spacing w:val="-1"/>
                <w:sz w:val="18"/>
              </w:rPr>
              <w:t>customers</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trade</w:t>
            </w:r>
            <w:r>
              <w:rPr>
                <w:rFonts w:ascii="Calibri"/>
                <w:spacing w:val="-3"/>
                <w:sz w:val="18"/>
              </w:rPr>
              <w:t xml:space="preserve"> </w:t>
            </w:r>
            <w:r>
              <w:rPr>
                <w:rFonts w:ascii="Calibri"/>
                <w:spacing w:val="-1"/>
                <w:sz w:val="18"/>
              </w:rPr>
              <w:t>allies.</w:t>
            </w:r>
          </w:p>
        </w:tc>
        <w:tc>
          <w:tcPr>
            <w:tcW w:w="477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889"/>
        </w:trPr>
        <w:tc>
          <w:tcPr>
            <w:tcW w:w="4680" w:type="dxa"/>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Seek</w:t>
            </w:r>
            <w:r>
              <w:rPr>
                <w:rFonts w:ascii="Calibri"/>
                <w:spacing w:val="27"/>
                <w:sz w:val="18"/>
              </w:rPr>
              <w:t xml:space="preserve"> </w:t>
            </w:r>
            <w:r>
              <w:rPr>
                <w:rFonts w:ascii="Calibri"/>
                <w:spacing w:val="-1"/>
                <w:sz w:val="18"/>
              </w:rPr>
              <w:t>opportunities</w:t>
            </w:r>
            <w:r>
              <w:rPr>
                <w:rFonts w:ascii="Calibri"/>
                <w:spacing w:val="28"/>
                <w:sz w:val="18"/>
              </w:rPr>
              <w:t xml:space="preserve"> </w:t>
            </w:r>
            <w:r>
              <w:rPr>
                <w:rFonts w:ascii="Calibri"/>
                <w:spacing w:val="-1"/>
                <w:sz w:val="18"/>
              </w:rPr>
              <w:t>to</w:t>
            </w:r>
            <w:r>
              <w:rPr>
                <w:rFonts w:ascii="Calibri"/>
                <w:spacing w:val="29"/>
                <w:sz w:val="18"/>
              </w:rPr>
              <w:t xml:space="preserve"> </w:t>
            </w:r>
            <w:r>
              <w:rPr>
                <w:rFonts w:ascii="Calibri"/>
                <w:spacing w:val="-1"/>
                <w:sz w:val="18"/>
              </w:rPr>
              <w:t>provide</w:t>
            </w:r>
            <w:r>
              <w:rPr>
                <w:rFonts w:ascii="Calibri"/>
                <w:spacing w:val="28"/>
                <w:sz w:val="18"/>
              </w:rPr>
              <w:t xml:space="preserve"> </w:t>
            </w:r>
            <w:r>
              <w:rPr>
                <w:rFonts w:ascii="Calibri"/>
                <w:spacing w:val="-1"/>
                <w:sz w:val="18"/>
              </w:rPr>
              <w:t>contractors</w:t>
            </w:r>
            <w:r>
              <w:rPr>
                <w:rFonts w:ascii="Calibri"/>
                <w:spacing w:val="27"/>
                <w:sz w:val="18"/>
              </w:rPr>
              <w:t xml:space="preserve"> </w:t>
            </w:r>
            <w:r>
              <w:rPr>
                <w:rFonts w:ascii="Calibri"/>
                <w:spacing w:val="-1"/>
                <w:sz w:val="18"/>
              </w:rPr>
              <w:t>and</w:t>
            </w:r>
            <w:r>
              <w:rPr>
                <w:rFonts w:ascii="Calibri"/>
                <w:spacing w:val="27"/>
                <w:sz w:val="18"/>
              </w:rPr>
              <w:t xml:space="preserve"> </w:t>
            </w:r>
            <w:r>
              <w:rPr>
                <w:rFonts w:ascii="Calibri"/>
                <w:spacing w:val="-1"/>
                <w:sz w:val="18"/>
              </w:rPr>
              <w:t>targeted</w:t>
            </w:r>
            <w:r>
              <w:rPr>
                <w:rFonts w:ascii="Calibri"/>
                <w:spacing w:val="55"/>
                <w:sz w:val="18"/>
              </w:rPr>
              <w:t xml:space="preserve"> </w:t>
            </w:r>
            <w:r>
              <w:rPr>
                <w:rFonts w:ascii="Calibri"/>
                <w:spacing w:val="-1"/>
                <w:sz w:val="18"/>
              </w:rPr>
              <w:t>customers</w:t>
            </w:r>
            <w:r>
              <w:rPr>
                <w:rFonts w:ascii="Calibri"/>
                <w:spacing w:val="-4"/>
                <w:sz w:val="18"/>
              </w:rPr>
              <w:t xml:space="preserve"> </w:t>
            </w:r>
            <w:r>
              <w:rPr>
                <w:rFonts w:ascii="Calibri"/>
                <w:sz w:val="18"/>
              </w:rPr>
              <w:t>with</w:t>
            </w:r>
            <w:r>
              <w:rPr>
                <w:rFonts w:ascii="Calibri"/>
                <w:spacing w:val="-3"/>
                <w:sz w:val="18"/>
              </w:rPr>
              <w:t xml:space="preserve"> </w:t>
            </w:r>
            <w:r>
              <w:rPr>
                <w:rFonts w:ascii="Calibri"/>
                <w:spacing w:val="-1"/>
                <w:sz w:val="18"/>
              </w:rPr>
              <w:t>additional</w:t>
            </w:r>
            <w:r>
              <w:rPr>
                <w:rFonts w:ascii="Calibri"/>
                <w:sz w:val="18"/>
              </w:rPr>
              <w:t xml:space="preserve"> </w:t>
            </w:r>
            <w:r>
              <w:rPr>
                <w:rFonts w:ascii="Calibri"/>
                <w:spacing w:val="-1"/>
                <w:sz w:val="18"/>
              </w:rPr>
              <w:t>literature</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marketing</w:t>
            </w:r>
            <w:r>
              <w:rPr>
                <w:rFonts w:ascii="Calibri"/>
                <w:spacing w:val="-3"/>
                <w:sz w:val="18"/>
              </w:rPr>
              <w:t xml:space="preserve"> </w:t>
            </w:r>
            <w:r>
              <w:rPr>
                <w:rFonts w:ascii="Calibri"/>
                <w:spacing w:val="-1"/>
                <w:sz w:val="18"/>
              </w:rPr>
              <w:t>materials</w:t>
            </w:r>
            <w:r>
              <w:rPr>
                <w:rFonts w:ascii="Calibri"/>
                <w:spacing w:val="70"/>
                <w:sz w:val="18"/>
              </w:rPr>
              <w:t xml:space="preserve"> </w:t>
            </w:r>
            <w:r>
              <w:rPr>
                <w:rFonts w:ascii="Calibri"/>
                <w:spacing w:val="-1"/>
                <w:sz w:val="18"/>
              </w:rPr>
              <w:t>they</w:t>
            </w:r>
            <w:r>
              <w:rPr>
                <w:rFonts w:ascii="Calibri"/>
                <w:spacing w:val="8"/>
                <w:sz w:val="18"/>
              </w:rPr>
              <w:t xml:space="preserve"> </w:t>
            </w:r>
            <w:r>
              <w:rPr>
                <w:rFonts w:ascii="Calibri"/>
                <w:sz w:val="18"/>
              </w:rPr>
              <w:t>can</w:t>
            </w:r>
            <w:r>
              <w:rPr>
                <w:rFonts w:ascii="Calibri"/>
                <w:spacing w:val="6"/>
                <w:sz w:val="18"/>
              </w:rPr>
              <w:t xml:space="preserve"> </w:t>
            </w:r>
            <w:r>
              <w:rPr>
                <w:rFonts w:ascii="Calibri"/>
                <w:spacing w:val="-1"/>
                <w:sz w:val="18"/>
              </w:rPr>
              <w:t>use</w:t>
            </w:r>
            <w:r>
              <w:rPr>
                <w:rFonts w:ascii="Calibri"/>
                <w:spacing w:val="7"/>
                <w:sz w:val="18"/>
              </w:rPr>
              <w:t xml:space="preserve"> </w:t>
            </w:r>
            <w:r>
              <w:rPr>
                <w:rFonts w:ascii="Calibri"/>
                <w:spacing w:val="-1"/>
                <w:sz w:val="18"/>
              </w:rPr>
              <w:t>to</w:t>
            </w:r>
            <w:r>
              <w:rPr>
                <w:rFonts w:ascii="Calibri"/>
                <w:spacing w:val="9"/>
                <w:sz w:val="18"/>
              </w:rPr>
              <w:t xml:space="preserve"> </w:t>
            </w:r>
            <w:r>
              <w:rPr>
                <w:rFonts w:ascii="Calibri"/>
                <w:spacing w:val="-1"/>
                <w:sz w:val="18"/>
              </w:rPr>
              <w:t>convey</w:t>
            </w:r>
            <w:r>
              <w:rPr>
                <w:rFonts w:ascii="Calibri"/>
                <w:spacing w:val="8"/>
                <w:sz w:val="18"/>
              </w:rPr>
              <w:t xml:space="preserve"> </w:t>
            </w:r>
            <w:r>
              <w:rPr>
                <w:rFonts w:ascii="Calibri"/>
                <w:spacing w:val="-1"/>
                <w:sz w:val="18"/>
              </w:rPr>
              <w:t>benefits</w:t>
            </w:r>
            <w:r>
              <w:rPr>
                <w:rFonts w:ascii="Calibri"/>
                <w:spacing w:val="7"/>
                <w:sz w:val="18"/>
              </w:rPr>
              <w:t xml:space="preserve"> </w:t>
            </w:r>
            <w:r>
              <w:rPr>
                <w:rFonts w:ascii="Calibri"/>
                <w:sz w:val="18"/>
              </w:rPr>
              <w:t>of</w:t>
            </w:r>
            <w:r>
              <w:rPr>
                <w:rFonts w:ascii="Calibri"/>
                <w:spacing w:val="9"/>
                <w:sz w:val="18"/>
              </w:rPr>
              <w:t xml:space="preserve"> </w:t>
            </w:r>
            <w:r>
              <w:rPr>
                <w:rFonts w:ascii="Calibri"/>
                <w:spacing w:val="-1"/>
                <w:sz w:val="18"/>
              </w:rPr>
              <w:t>the</w:t>
            </w:r>
            <w:r>
              <w:rPr>
                <w:rFonts w:ascii="Calibri"/>
                <w:spacing w:val="7"/>
                <w:sz w:val="18"/>
              </w:rPr>
              <w:t xml:space="preserve"> </w:t>
            </w:r>
            <w:r>
              <w:rPr>
                <w:rFonts w:ascii="Calibri"/>
                <w:spacing w:val="-1"/>
                <w:sz w:val="18"/>
              </w:rPr>
              <w:t>program</w:t>
            </w:r>
            <w:r>
              <w:rPr>
                <w:rFonts w:ascii="Calibri"/>
                <w:spacing w:val="8"/>
                <w:sz w:val="18"/>
              </w:rPr>
              <w:t xml:space="preserve"> </w:t>
            </w:r>
            <w:r>
              <w:rPr>
                <w:rFonts w:ascii="Calibri"/>
                <w:spacing w:val="-1"/>
                <w:sz w:val="18"/>
              </w:rPr>
              <w:t>to</w:t>
            </w:r>
            <w:r>
              <w:rPr>
                <w:rFonts w:ascii="Calibri"/>
                <w:spacing w:val="39"/>
                <w:sz w:val="18"/>
              </w:rPr>
              <w:t xml:space="preserve"> </w:t>
            </w:r>
            <w:r>
              <w:rPr>
                <w:rFonts w:ascii="Calibri"/>
                <w:spacing w:val="-1"/>
                <w:sz w:val="18"/>
              </w:rPr>
              <w:t>management</w:t>
            </w:r>
            <w:r>
              <w:rPr>
                <w:rFonts w:ascii="Calibri"/>
                <w:spacing w:val="-8"/>
                <w:sz w:val="18"/>
              </w:rPr>
              <w:t xml:space="preserve"> </w:t>
            </w:r>
            <w:r>
              <w:rPr>
                <w:rFonts w:ascii="Calibri"/>
                <w:spacing w:val="-1"/>
                <w:sz w:val="18"/>
              </w:rPr>
              <w:t>staff.</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7"/>
                <w:sz w:val="18"/>
              </w:rPr>
              <w:t xml:space="preserve"> </w:t>
            </w:r>
            <w:r>
              <w:rPr>
                <w:rFonts w:ascii="Calibri"/>
                <w:spacing w:val="-1"/>
                <w:sz w:val="18"/>
              </w:rPr>
              <w:t>Considered</w:t>
            </w:r>
          </w:p>
        </w:tc>
      </w:tr>
      <w:tr w:rsidR="00E646C9" w:rsidTr="0011636D">
        <w:trPr>
          <w:trHeight w:hRule="exact" w:val="668"/>
        </w:trPr>
        <w:tc>
          <w:tcPr>
            <w:tcW w:w="4680" w:type="dxa"/>
            <w:shd w:val="clear" w:color="auto" w:fill="D2EAF1"/>
          </w:tcPr>
          <w:p w:rsidR="00E646C9" w:rsidRDefault="00E646C9" w:rsidP="00C94D5A">
            <w:pPr>
              <w:pStyle w:val="TableParagraph"/>
              <w:ind w:left="102" w:right="101"/>
              <w:jc w:val="both"/>
              <w:rPr>
                <w:rFonts w:ascii="Calibri" w:eastAsia="Calibri" w:hAnsi="Calibri" w:cs="Calibri"/>
                <w:sz w:val="18"/>
                <w:szCs w:val="18"/>
              </w:rPr>
            </w:pPr>
            <w:r>
              <w:rPr>
                <w:rFonts w:ascii="Calibri"/>
                <w:spacing w:val="-1"/>
                <w:sz w:val="18"/>
              </w:rPr>
              <w:t>Continue</w:t>
            </w:r>
            <w:r>
              <w:rPr>
                <w:rFonts w:ascii="Calibri"/>
                <w:spacing w:val="25"/>
                <w:sz w:val="18"/>
              </w:rPr>
              <w:t xml:space="preserve"> </w:t>
            </w:r>
            <w:r>
              <w:rPr>
                <w:rFonts w:ascii="Calibri"/>
                <w:spacing w:val="-1"/>
                <w:sz w:val="18"/>
              </w:rPr>
              <w:t>working</w:t>
            </w:r>
            <w:r>
              <w:rPr>
                <w:rFonts w:ascii="Calibri"/>
                <w:spacing w:val="24"/>
                <w:sz w:val="18"/>
              </w:rPr>
              <w:t xml:space="preserve"> </w:t>
            </w:r>
            <w:r>
              <w:rPr>
                <w:rFonts w:ascii="Calibri"/>
                <w:spacing w:val="-1"/>
                <w:sz w:val="18"/>
              </w:rPr>
              <w:t>closely</w:t>
            </w:r>
            <w:r>
              <w:rPr>
                <w:rFonts w:ascii="Calibri"/>
                <w:spacing w:val="25"/>
                <w:sz w:val="18"/>
              </w:rPr>
              <w:t xml:space="preserve"> </w:t>
            </w:r>
            <w:r>
              <w:rPr>
                <w:rFonts w:ascii="Calibri"/>
                <w:sz w:val="18"/>
              </w:rPr>
              <w:t>with</w:t>
            </w:r>
            <w:r>
              <w:rPr>
                <w:rFonts w:ascii="Calibri"/>
                <w:spacing w:val="26"/>
                <w:sz w:val="18"/>
              </w:rPr>
              <w:t xml:space="preserve"> </w:t>
            </w:r>
            <w:r>
              <w:rPr>
                <w:rFonts w:ascii="Calibri"/>
                <w:spacing w:val="-1"/>
                <w:sz w:val="18"/>
              </w:rPr>
              <w:t>contractors</w:t>
            </w:r>
            <w:r>
              <w:rPr>
                <w:rFonts w:ascii="Calibri"/>
                <w:spacing w:val="24"/>
                <w:sz w:val="18"/>
              </w:rPr>
              <w:t xml:space="preserve"> </w:t>
            </w:r>
            <w:r>
              <w:rPr>
                <w:rFonts w:ascii="Calibri"/>
                <w:spacing w:val="-1"/>
                <w:sz w:val="18"/>
              </w:rPr>
              <w:t>and</w:t>
            </w:r>
            <w:r>
              <w:rPr>
                <w:rFonts w:ascii="Calibri"/>
                <w:spacing w:val="24"/>
                <w:sz w:val="18"/>
              </w:rPr>
              <w:t xml:space="preserve"> </w:t>
            </w:r>
            <w:r>
              <w:rPr>
                <w:rFonts w:ascii="Calibri"/>
                <w:spacing w:val="-1"/>
                <w:sz w:val="18"/>
              </w:rPr>
              <w:t>business</w:t>
            </w:r>
            <w:r>
              <w:rPr>
                <w:rFonts w:ascii="Calibri"/>
                <w:spacing w:val="55"/>
                <w:sz w:val="18"/>
              </w:rPr>
              <w:t xml:space="preserve"> </w:t>
            </w:r>
            <w:r>
              <w:rPr>
                <w:rFonts w:ascii="Calibri"/>
                <w:spacing w:val="-1"/>
                <w:sz w:val="18"/>
              </w:rPr>
              <w:t>owners</w:t>
            </w:r>
            <w:r>
              <w:rPr>
                <w:rFonts w:ascii="Calibri"/>
                <w:spacing w:val="30"/>
                <w:sz w:val="18"/>
              </w:rPr>
              <w:t xml:space="preserve"> </w:t>
            </w:r>
            <w:r>
              <w:rPr>
                <w:rFonts w:ascii="Calibri"/>
                <w:spacing w:val="-1"/>
                <w:sz w:val="18"/>
              </w:rPr>
              <w:t>to</w:t>
            </w:r>
            <w:r>
              <w:rPr>
                <w:rFonts w:ascii="Calibri"/>
                <w:spacing w:val="33"/>
                <w:sz w:val="18"/>
              </w:rPr>
              <w:t xml:space="preserve"> </w:t>
            </w:r>
            <w:r>
              <w:rPr>
                <w:rFonts w:ascii="Calibri"/>
                <w:spacing w:val="-1"/>
                <w:sz w:val="18"/>
              </w:rPr>
              <w:t>establish</w:t>
            </w:r>
            <w:r>
              <w:rPr>
                <w:rFonts w:ascii="Calibri"/>
                <w:spacing w:val="32"/>
                <w:sz w:val="18"/>
              </w:rPr>
              <w:t xml:space="preserve"> </w:t>
            </w:r>
            <w:r>
              <w:rPr>
                <w:rFonts w:ascii="Calibri"/>
                <w:spacing w:val="-1"/>
                <w:sz w:val="18"/>
              </w:rPr>
              <w:t>time</w:t>
            </w:r>
            <w:r>
              <w:rPr>
                <w:rFonts w:ascii="Calibri"/>
                <w:spacing w:val="33"/>
                <w:sz w:val="18"/>
              </w:rPr>
              <w:t xml:space="preserve"> </w:t>
            </w:r>
            <w:r>
              <w:rPr>
                <w:rFonts w:ascii="Calibri"/>
                <w:spacing w:val="-1"/>
                <w:sz w:val="18"/>
              </w:rPr>
              <w:t>periods</w:t>
            </w:r>
            <w:r>
              <w:rPr>
                <w:rFonts w:ascii="Calibri"/>
                <w:spacing w:val="31"/>
                <w:sz w:val="18"/>
              </w:rPr>
              <w:t xml:space="preserve"> </w:t>
            </w:r>
            <w:r>
              <w:rPr>
                <w:rFonts w:ascii="Calibri"/>
                <w:spacing w:val="-1"/>
                <w:sz w:val="18"/>
              </w:rPr>
              <w:t>during</w:t>
            </w:r>
            <w:r>
              <w:rPr>
                <w:rFonts w:ascii="Calibri"/>
                <w:spacing w:val="30"/>
                <w:sz w:val="18"/>
              </w:rPr>
              <w:t xml:space="preserve"> </w:t>
            </w:r>
            <w:r>
              <w:rPr>
                <w:rFonts w:ascii="Calibri"/>
                <w:sz w:val="18"/>
              </w:rPr>
              <w:t>which</w:t>
            </w:r>
            <w:r>
              <w:rPr>
                <w:rFonts w:ascii="Calibri"/>
                <w:spacing w:val="31"/>
                <w:sz w:val="18"/>
              </w:rPr>
              <w:t xml:space="preserve"> </w:t>
            </w:r>
            <w:r>
              <w:rPr>
                <w:rFonts w:ascii="Calibri"/>
                <w:spacing w:val="-1"/>
                <w:sz w:val="18"/>
              </w:rPr>
              <w:t>project</w:t>
            </w:r>
            <w:r>
              <w:rPr>
                <w:rFonts w:ascii="Calibri"/>
                <w:spacing w:val="51"/>
                <w:w w:val="99"/>
                <w:sz w:val="18"/>
              </w:rPr>
              <w:t xml:space="preserve"> </w:t>
            </w:r>
            <w:r>
              <w:rPr>
                <w:rFonts w:ascii="Calibri"/>
                <w:spacing w:val="-1"/>
                <w:sz w:val="18"/>
              </w:rPr>
              <w:t>installations</w:t>
            </w:r>
            <w:r>
              <w:rPr>
                <w:rFonts w:ascii="Calibri"/>
                <w:spacing w:val="-5"/>
                <w:sz w:val="18"/>
              </w:rPr>
              <w:t xml:space="preserve"> </w:t>
            </w:r>
            <w:r>
              <w:rPr>
                <w:rFonts w:ascii="Calibri"/>
                <w:spacing w:val="-1"/>
                <w:sz w:val="18"/>
              </w:rPr>
              <w:t>occur.</w:t>
            </w:r>
          </w:p>
        </w:tc>
        <w:tc>
          <w:tcPr>
            <w:tcW w:w="4770" w:type="dxa"/>
            <w:shd w:val="clear" w:color="auto" w:fill="D2EAF1"/>
          </w:tcPr>
          <w:p w:rsidR="00E646C9" w:rsidRDefault="00E646C9" w:rsidP="00C94D5A">
            <w:pPr>
              <w:pStyle w:val="TableParagraph"/>
              <w:spacing w:line="219"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569"/>
        </w:trPr>
        <w:tc>
          <w:tcPr>
            <w:tcW w:w="4680" w:type="dxa"/>
          </w:tcPr>
          <w:p w:rsidR="00E646C9" w:rsidRDefault="00E646C9" w:rsidP="00C94D5A">
            <w:pPr>
              <w:pStyle w:val="TableParagraph"/>
              <w:ind w:left="102" w:right="100"/>
              <w:rPr>
                <w:rFonts w:ascii="Calibri" w:eastAsia="Calibri" w:hAnsi="Calibri" w:cs="Calibri"/>
                <w:sz w:val="18"/>
                <w:szCs w:val="18"/>
              </w:rPr>
            </w:pPr>
            <w:r>
              <w:rPr>
                <w:rFonts w:ascii="Calibri"/>
                <w:spacing w:val="-1"/>
                <w:sz w:val="18"/>
              </w:rPr>
              <w:t>Consider</w:t>
            </w:r>
            <w:r>
              <w:rPr>
                <w:rFonts w:ascii="Calibri"/>
                <w:spacing w:val="1"/>
                <w:sz w:val="18"/>
              </w:rPr>
              <w:t xml:space="preserve"> </w:t>
            </w:r>
            <w:r>
              <w:rPr>
                <w:rFonts w:ascii="Calibri"/>
                <w:spacing w:val="-1"/>
                <w:sz w:val="18"/>
              </w:rPr>
              <w:t>stipulating</w:t>
            </w:r>
            <w:r>
              <w:rPr>
                <w:rFonts w:ascii="Calibri"/>
                <w:sz w:val="18"/>
              </w:rPr>
              <w:t xml:space="preserve"> an</w:t>
            </w:r>
            <w:r>
              <w:rPr>
                <w:rFonts w:ascii="Calibri"/>
                <w:spacing w:val="-2"/>
                <w:sz w:val="18"/>
              </w:rPr>
              <w:t xml:space="preserve"> </w:t>
            </w:r>
            <w:r>
              <w:rPr>
                <w:rFonts w:ascii="Calibri"/>
                <w:sz w:val="18"/>
              </w:rPr>
              <w:t>annual</w:t>
            </w:r>
            <w:r>
              <w:rPr>
                <w:rFonts w:ascii="Calibri"/>
                <w:spacing w:val="-1"/>
                <w:sz w:val="18"/>
              </w:rPr>
              <w:t xml:space="preserve"> </w:t>
            </w:r>
            <w:r>
              <w:rPr>
                <w:rFonts w:ascii="Calibri"/>
                <w:sz w:val="18"/>
              </w:rPr>
              <w:t>indoor</w:t>
            </w:r>
            <w:r>
              <w:rPr>
                <w:rFonts w:ascii="Calibri"/>
                <w:spacing w:val="-2"/>
                <w:sz w:val="18"/>
              </w:rPr>
              <w:t xml:space="preserve"> </w:t>
            </w:r>
            <w:r>
              <w:rPr>
                <w:rFonts w:ascii="Calibri"/>
                <w:spacing w:val="-1"/>
                <w:sz w:val="18"/>
              </w:rPr>
              <w:t>lighting</w:t>
            </w:r>
            <w:r>
              <w:rPr>
                <w:rFonts w:ascii="Calibri"/>
                <w:sz w:val="18"/>
              </w:rPr>
              <w:t xml:space="preserve"> </w:t>
            </w:r>
            <w:r>
              <w:rPr>
                <w:rFonts w:ascii="Calibri"/>
                <w:spacing w:val="-1"/>
                <w:sz w:val="18"/>
              </w:rPr>
              <w:t>hours</w:t>
            </w:r>
            <w:r>
              <w:rPr>
                <w:rFonts w:ascii="Calibri"/>
                <w:spacing w:val="1"/>
                <w:sz w:val="18"/>
              </w:rPr>
              <w:t xml:space="preserve"> </w:t>
            </w:r>
            <w:r>
              <w:rPr>
                <w:rFonts w:ascii="Calibri"/>
                <w:sz w:val="18"/>
              </w:rPr>
              <w:t>of</w:t>
            </w:r>
            <w:r>
              <w:rPr>
                <w:rFonts w:ascii="Calibri"/>
                <w:spacing w:val="-1"/>
                <w:sz w:val="18"/>
              </w:rPr>
              <w:t xml:space="preserve"> </w:t>
            </w:r>
            <w:r>
              <w:rPr>
                <w:rFonts w:ascii="Calibri"/>
                <w:sz w:val="18"/>
              </w:rPr>
              <w:t>use</w:t>
            </w:r>
            <w:r>
              <w:rPr>
                <w:rFonts w:ascii="Calibri"/>
                <w:spacing w:val="-2"/>
                <w:sz w:val="18"/>
              </w:rPr>
              <w:t xml:space="preserve"> </w:t>
            </w:r>
            <w:r>
              <w:rPr>
                <w:rFonts w:ascii="Calibri"/>
                <w:sz w:val="18"/>
              </w:rPr>
              <w:t>of</w:t>
            </w:r>
            <w:r>
              <w:rPr>
                <w:rFonts w:ascii="Calibri"/>
                <w:spacing w:val="45"/>
                <w:sz w:val="18"/>
              </w:rPr>
              <w:t xml:space="preserve"> </w:t>
            </w:r>
            <w:r>
              <w:rPr>
                <w:rFonts w:ascii="Calibri"/>
                <w:spacing w:val="-1"/>
                <w:sz w:val="18"/>
              </w:rPr>
              <w:t>1,000</w:t>
            </w:r>
            <w:r>
              <w:rPr>
                <w:rFonts w:ascii="Calibri"/>
                <w:spacing w:val="-2"/>
                <w:sz w:val="18"/>
              </w:rPr>
              <w:t xml:space="preserve"> </w:t>
            </w:r>
            <w:r>
              <w:rPr>
                <w:rFonts w:ascii="Calibri"/>
                <w:spacing w:val="-1"/>
                <w:sz w:val="18"/>
              </w:rPr>
              <w:t>hours</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all</w:t>
            </w:r>
            <w:r>
              <w:rPr>
                <w:rFonts w:ascii="Calibri"/>
                <w:spacing w:val="-3"/>
                <w:sz w:val="18"/>
              </w:rPr>
              <w:t xml:space="preserve"> </w:t>
            </w:r>
            <w:r>
              <w:rPr>
                <w:rFonts w:ascii="Calibri"/>
                <w:spacing w:val="-1"/>
                <w:sz w:val="18"/>
              </w:rPr>
              <w:t>program</w:t>
            </w:r>
            <w:r>
              <w:rPr>
                <w:rFonts w:ascii="Calibri"/>
                <w:spacing w:val="-2"/>
                <w:sz w:val="18"/>
              </w:rPr>
              <w:t xml:space="preserve"> </w:t>
            </w:r>
            <w:r>
              <w:rPr>
                <w:rFonts w:ascii="Calibri"/>
                <w:spacing w:val="-1"/>
                <w:sz w:val="18"/>
              </w:rPr>
              <w:t>participants</w:t>
            </w:r>
          </w:p>
        </w:tc>
        <w:tc>
          <w:tcPr>
            <w:tcW w:w="4770" w:type="dxa"/>
          </w:tcPr>
          <w:p w:rsidR="00E646C9" w:rsidRDefault="00E646C9" w:rsidP="00C94D5A">
            <w:pPr>
              <w:pStyle w:val="TableParagraph"/>
              <w:ind w:left="102" w:right="171"/>
              <w:rPr>
                <w:rFonts w:ascii="Calibri" w:eastAsia="Calibri" w:hAnsi="Calibri" w:cs="Calibri"/>
                <w:sz w:val="18"/>
                <w:szCs w:val="18"/>
              </w:rPr>
            </w:pPr>
            <w:r>
              <w:rPr>
                <w:rFonts w:ascii="Calibri"/>
                <w:spacing w:val="-1"/>
                <w:sz w:val="18"/>
              </w:rPr>
              <w:t>Implemented</w:t>
            </w:r>
            <w:r>
              <w:rPr>
                <w:rFonts w:ascii="Calibri"/>
                <w:spacing w:val="-3"/>
                <w:sz w:val="18"/>
              </w:rPr>
              <w:t xml:space="preserve"> </w:t>
            </w:r>
            <w:r>
              <w:rPr>
                <w:rFonts w:ascii="Calibri"/>
                <w:sz w:val="18"/>
              </w:rPr>
              <w:t>in</w:t>
            </w:r>
            <w:r>
              <w:rPr>
                <w:rFonts w:ascii="Calibri"/>
                <w:spacing w:val="-3"/>
                <w:sz w:val="18"/>
              </w:rPr>
              <w:t xml:space="preserve"> </w:t>
            </w:r>
            <w:r>
              <w:rPr>
                <w:rFonts w:ascii="Calibri"/>
                <w:spacing w:val="-1"/>
                <w:sz w:val="18"/>
              </w:rPr>
              <w:t>latter</w:t>
            </w:r>
            <w:r>
              <w:rPr>
                <w:rFonts w:ascii="Calibri"/>
                <w:spacing w:val="-2"/>
                <w:sz w:val="18"/>
              </w:rPr>
              <w:t xml:space="preserve"> </w:t>
            </w:r>
            <w:r>
              <w:rPr>
                <w:rFonts w:ascii="Calibri"/>
                <w:spacing w:val="-1"/>
                <w:sz w:val="18"/>
              </w:rPr>
              <w:t>part</w:t>
            </w:r>
            <w:r>
              <w:rPr>
                <w:rFonts w:ascii="Calibri"/>
                <w:spacing w:val="-3"/>
                <w:sz w:val="18"/>
              </w:rPr>
              <w:t xml:space="preserve"> </w:t>
            </w:r>
            <w:r>
              <w:rPr>
                <w:rFonts w:ascii="Calibri"/>
                <w:sz w:val="18"/>
              </w:rPr>
              <w:t>of</w:t>
            </w:r>
            <w:r>
              <w:rPr>
                <w:rFonts w:ascii="Calibri"/>
                <w:spacing w:val="-1"/>
                <w:sz w:val="18"/>
              </w:rPr>
              <w:t xml:space="preserve"> </w:t>
            </w:r>
            <w:r>
              <w:rPr>
                <w:rFonts w:ascii="Calibri"/>
                <w:sz w:val="18"/>
              </w:rPr>
              <w:t>PY7.</w:t>
            </w:r>
            <w:r>
              <w:rPr>
                <w:rFonts w:ascii="Calibri"/>
                <w:spacing w:val="37"/>
                <w:sz w:val="18"/>
              </w:rPr>
              <w:t xml:space="preserve"> </w:t>
            </w:r>
            <w:r>
              <w:rPr>
                <w:rFonts w:ascii="Calibri"/>
                <w:spacing w:val="-1"/>
                <w:sz w:val="18"/>
              </w:rPr>
              <w:t>ADM</w:t>
            </w:r>
            <w:r>
              <w:rPr>
                <w:rFonts w:ascii="Calibri"/>
                <w:spacing w:val="-3"/>
                <w:sz w:val="18"/>
              </w:rPr>
              <w:t xml:space="preserve"> </w:t>
            </w:r>
            <w:r>
              <w:rPr>
                <w:rFonts w:ascii="Calibri"/>
                <w:spacing w:val="-1"/>
                <w:sz w:val="18"/>
              </w:rPr>
              <w:t>has</w:t>
            </w:r>
            <w:r>
              <w:rPr>
                <w:rFonts w:ascii="Calibri"/>
                <w:spacing w:val="-2"/>
                <w:sz w:val="18"/>
              </w:rPr>
              <w:t xml:space="preserve"> </w:t>
            </w:r>
            <w:r>
              <w:rPr>
                <w:rFonts w:ascii="Calibri"/>
                <w:sz w:val="18"/>
              </w:rPr>
              <w:t>also</w:t>
            </w:r>
            <w:r>
              <w:rPr>
                <w:rFonts w:ascii="Calibri"/>
                <w:spacing w:val="-1"/>
                <w:sz w:val="18"/>
              </w:rPr>
              <w:t xml:space="preserve"> provided</w:t>
            </w:r>
            <w:r>
              <w:rPr>
                <w:rFonts w:ascii="Calibri"/>
                <w:spacing w:val="-3"/>
                <w:sz w:val="18"/>
              </w:rPr>
              <w:t xml:space="preserve"> </w:t>
            </w:r>
            <w:r>
              <w:rPr>
                <w:rFonts w:ascii="Calibri"/>
                <w:sz w:val="18"/>
              </w:rPr>
              <w:t>a</w:t>
            </w:r>
            <w:r>
              <w:rPr>
                <w:rFonts w:ascii="Calibri"/>
                <w:spacing w:val="39"/>
                <w:sz w:val="18"/>
              </w:rPr>
              <w:t xml:space="preserve"> </w:t>
            </w:r>
            <w:r>
              <w:rPr>
                <w:rFonts w:ascii="Calibri"/>
                <w:spacing w:val="-1"/>
                <w:sz w:val="18"/>
              </w:rPr>
              <w:t>memo</w:t>
            </w:r>
            <w:r>
              <w:rPr>
                <w:rFonts w:ascii="Calibri"/>
                <w:spacing w:val="-2"/>
                <w:sz w:val="18"/>
              </w:rPr>
              <w:t xml:space="preserve"> </w:t>
            </w:r>
            <w:r>
              <w:rPr>
                <w:rFonts w:ascii="Calibri"/>
                <w:spacing w:val="-1"/>
                <w:sz w:val="18"/>
              </w:rPr>
              <w:t>with</w:t>
            </w:r>
            <w:r>
              <w:rPr>
                <w:rFonts w:ascii="Calibri"/>
                <w:spacing w:val="-4"/>
                <w:sz w:val="18"/>
              </w:rPr>
              <w:t xml:space="preserve"> </w:t>
            </w:r>
            <w:r>
              <w:rPr>
                <w:rFonts w:ascii="Calibri"/>
                <w:spacing w:val="-1"/>
                <w:sz w:val="18"/>
              </w:rPr>
              <w:t>this</w:t>
            </w:r>
            <w:r>
              <w:rPr>
                <w:rFonts w:ascii="Calibri"/>
                <w:spacing w:val="-3"/>
                <w:sz w:val="18"/>
              </w:rPr>
              <w:t xml:space="preserve"> </w:t>
            </w:r>
            <w:r>
              <w:rPr>
                <w:rFonts w:ascii="Calibri"/>
                <w:spacing w:val="-1"/>
                <w:sz w:val="18"/>
              </w:rPr>
              <w:t>recommendation</w:t>
            </w:r>
            <w:r>
              <w:rPr>
                <w:rFonts w:ascii="Calibri"/>
                <w:spacing w:val="-2"/>
                <w:sz w:val="18"/>
              </w:rPr>
              <w:t xml:space="preserve"> </w:t>
            </w:r>
            <w:r>
              <w:rPr>
                <w:rFonts w:ascii="Calibri"/>
                <w:spacing w:val="-1"/>
                <w:sz w:val="18"/>
              </w:rPr>
              <w:t>to the</w:t>
            </w:r>
            <w:r>
              <w:rPr>
                <w:rFonts w:ascii="Calibri"/>
                <w:spacing w:val="-4"/>
                <w:sz w:val="18"/>
              </w:rPr>
              <w:t xml:space="preserve"> </w:t>
            </w:r>
            <w:r>
              <w:rPr>
                <w:rFonts w:ascii="Calibri"/>
                <w:spacing w:val="-1"/>
                <w:sz w:val="18"/>
              </w:rPr>
              <w:t>new</w:t>
            </w:r>
            <w:r>
              <w:rPr>
                <w:rFonts w:ascii="Calibri"/>
                <w:spacing w:val="-2"/>
                <w:sz w:val="18"/>
              </w:rPr>
              <w:t xml:space="preserve"> </w:t>
            </w:r>
            <w:r>
              <w:rPr>
                <w:rFonts w:ascii="Calibri"/>
                <w:spacing w:val="-1"/>
                <w:sz w:val="18"/>
              </w:rPr>
              <w:t>ICSP</w:t>
            </w:r>
            <w:r>
              <w:rPr>
                <w:rFonts w:ascii="Calibri"/>
                <w:spacing w:val="-2"/>
                <w:sz w:val="18"/>
              </w:rPr>
              <w:t xml:space="preserve"> </w:t>
            </w:r>
            <w:r>
              <w:rPr>
                <w:rFonts w:ascii="Calibri"/>
                <w:spacing w:val="-1"/>
                <w:sz w:val="18"/>
              </w:rPr>
              <w:t>in</w:t>
            </w:r>
            <w:r>
              <w:rPr>
                <w:rFonts w:ascii="Calibri"/>
                <w:spacing w:val="-4"/>
                <w:sz w:val="18"/>
              </w:rPr>
              <w:t xml:space="preserve"> </w:t>
            </w:r>
            <w:r>
              <w:rPr>
                <w:rFonts w:ascii="Calibri"/>
                <w:sz w:val="18"/>
              </w:rPr>
              <w:t>PY8.</w:t>
            </w:r>
          </w:p>
        </w:tc>
      </w:tr>
    </w:tbl>
    <w:p w:rsidR="00E646C9" w:rsidRDefault="00E646C9" w:rsidP="00E646C9"/>
    <w:p w:rsidR="00E646C9" w:rsidRPr="00C61F80" w:rsidRDefault="00E646C9" w:rsidP="00702AB3">
      <w:pPr>
        <w:pStyle w:val="AppendixGHeading1"/>
      </w:pPr>
      <w:r w:rsidRPr="00C61F80">
        <w:t>PECO</w:t>
      </w:r>
    </w:p>
    <w:p w:rsidR="00E646C9" w:rsidRPr="008606B4" w:rsidRDefault="00E646C9" w:rsidP="003B56E9">
      <w:pPr>
        <w:pStyle w:val="AppendixGHeading2"/>
      </w:pPr>
      <w:r w:rsidRPr="008606B4">
        <w:t xml:space="preserve">Smart Home Rebates </w:t>
      </w:r>
    </w:p>
    <w:tbl>
      <w:tblPr>
        <w:tblStyle w:val="MediumShading1-Accent5"/>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770"/>
      </w:tblGrid>
      <w:tr w:rsidR="00E646C9" w:rsidRPr="00B75B77" w:rsidTr="0011636D">
        <w:trPr>
          <w:cnfStyle w:val="100000000000" w:firstRow="1" w:lastRow="0" w:firstColumn="0" w:lastColumn="0" w:oddVBand="0" w:evenVBand="0" w:oddHBand="0" w:evenHBand="0" w:firstRowFirstColumn="0" w:firstRowLastColumn="0" w:lastRowFirstColumn="0" w:lastRowLastColumn="0"/>
          <w:trHeight w:val="619"/>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4D470A">
            <w:pPr>
              <w:jc w:val="left"/>
              <w:rPr>
                <w:bCs w:val="0"/>
                <w:sz w:val="18"/>
              </w:rPr>
            </w:pPr>
            <w:r w:rsidRPr="00B75B77">
              <w:rPr>
                <w:bCs w:val="0"/>
                <w:sz w:val="18"/>
              </w:rPr>
              <w:t>Recommendations</w:t>
            </w:r>
          </w:p>
        </w:tc>
        <w:tc>
          <w:tcPr>
            <w:tcW w:w="4770" w:type="dxa"/>
            <w:shd w:val="clear" w:color="auto" w:fill="448A99"/>
            <w:vAlign w:val="bottom"/>
            <w:hideMark/>
          </w:tcPr>
          <w:p w:rsidR="005A786B" w:rsidRDefault="00E646C9" w:rsidP="005A786B">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5A786B" w:rsidRDefault="00E646C9" w:rsidP="005A786B">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5A786B">
              <w:rPr>
                <w:b w:val="0"/>
                <w:bCs w:val="0"/>
                <w:sz w:val="18"/>
              </w:rPr>
              <w:t>(Implemented, Being Considered, Rejected AND Explanation of Action Taken by EDC)</w:t>
            </w:r>
          </w:p>
        </w:tc>
      </w:tr>
      <w:tr w:rsidR="00E646C9" w:rsidRPr="00B75B77" w:rsidTr="001163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1:</w:t>
            </w:r>
            <w:r w:rsidRPr="00B75B77">
              <w:rPr>
                <w:b w:val="0"/>
                <w:color w:val="000000"/>
                <w:sz w:val="18"/>
              </w:rPr>
              <w:t xml:space="preserve"> PECO program managers and the CSP should continue to monitor the SHR lighting data and conduct regular QC checks to minimize errors.</w:t>
            </w:r>
          </w:p>
        </w:tc>
        <w:tc>
          <w:tcPr>
            <w:tcW w:w="4770" w:type="dxa"/>
            <w:noWrap/>
            <w:vAlign w:val="center"/>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working with implementation CSP and tracking system CSP to ensure errors are caught before placed into the tracking system.</w:t>
            </w:r>
          </w:p>
        </w:tc>
      </w:tr>
      <w:tr w:rsidR="00E646C9" w:rsidRPr="00B75B77" w:rsidTr="0011636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2:</w:t>
            </w:r>
            <w:r w:rsidRPr="00B75B77">
              <w:rPr>
                <w:b w:val="0"/>
                <w:color w:val="000000"/>
                <w:sz w:val="18"/>
              </w:rPr>
              <w:t xml:space="preserve"> PECO and the CSP must capture all unit-specific data relating to energy savings estimates in the tracking data for all projects.</w:t>
            </w:r>
          </w:p>
        </w:tc>
        <w:tc>
          <w:tcPr>
            <w:tcW w:w="4770" w:type="dxa"/>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In Phase III, we have done a complete review of data inputs and will ensure that all relevant data points are captured in the tracking system.</w:t>
            </w:r>
          </w:p>
        </w:tc>
      </w:tr>
      <w:tr w:rsidR="00E646C9" w:rsidRPr="00B75B77" w:rsidTr="0011636D">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3:</w:t>
            </w:r>
            <w:r w:rsidRPr="00B75B77">
              <w:rPr>
                <w:b w:val="0"/>
                <w:color w:val="000000"/>
                <w:sz w:val="18"/>
              </w:rPr>
              <w:t xml:space="preserve"> If additional low-income savings are needed by PECO, provide low-income customers with mail-in rebate incentives on LEDs. Mail-in rebates in the form of coupons can educate and motivate participation.</w:t>
            </w:r>
          </w:p>
        </w:tc>
        <w:tc>
          <w:tcPr>
            <w:tcW w:w="4770" w:type="dxa"/>
            <w:noWrap/>
            <w:vAlign w:val="center"/>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already offering a targeted retail lighting program that is bringing LED bulbs in retail stores that may be non-traditional lighting in heavy low-income areas.  These LEDs have greater discounts applied.</w:t>
            </w:r>
          </w:p>
        </w:tc>
      </w:tr>
      <w:tr w:rsidR="00E646C9" w:rsidRPr="00B75B77" w:rsidTr="0011636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color w:val="000000"/>
                <w:sz w:val="18"/>
              </w:rPr>
              <w:t xml:space="preserve">Recommendation 4: </w:t>
            </w:r>
          </w:p>
          <w:p w:rsidR="00E646C9" w:rsidRPr="00B75B77" w:rsidRDefault="00E646C9" w:rsidP="00E646C9">
            <w:pPr>
              <w:pStyle w:val="ListParagraph"/>
              <w:numPr>
                <w:ilvl w:val="1"/>
                <w:numId w:val="136"/>
              </w:numPr>
              <w:ind w:left="517" w:hanging="270"/>
              <w:jc w:val="left"/>
              <w:rPr>
                <w:b w:val="0"/>
                <w:color w:val="000000"/>
                <w:sz w:val="18"/>
              </w:rPr>
            </w:pPr>
            <w:r w:rsidRPr="00B75B77">
              <w:rPr>
                <w:b w:val="0"/>
                <w:color w:val="000000"/>
                <w:sz w:val="18"/>
              </w:rPr>
              <w:t>Use focused marketing efforts to improve the perceptions of LEDs and overcome confusion hindering LED adoption. Focused marketing can highlight the benefits of efficient lighting, educate customers on LED capabilities, and help customers understand how to navigate the range of options. Marketing outside of the store (web-based, emails, etc.) may help overcome confusion.</w:t>
            </w:r>
          </w:p>
          <w:p w:rsidR="00E646C9" w:rsidRPr="00B75B77" w:rsidRDefault="00E646C9" w:rsidP="00E646C9">
            <w:pPr>
              <w:pStyle w:val="ListParagraph"/>
              <w:numPr>
                <w:ilvl w:val="1"/>
                <w:numId w:val="136"/>
              </w:numPr>
              <w:ind w:left="517" w:hanging="270"/>
              <w:jc w:val="left"/>
              <w:rPr>
                <w:color w:val="000000"/>
                <w:sz w:val="18"/>
              </w:rPr>
            </w:pPr>
            <w:r w:rsidRPr="00B75B77">
              <w:rPr>
                <w:b w:val="0"/>
                <w:color w:val="000000"/>
                <w:sz w:val="18"/>
              </w:rPr>
              <w:t>Continue to engage customers at store locations. Use direct, in-person interactions to educate and motivate customer adoption of energy efficient products. This can also help overcome confusion that may arise from the wide variety of products in the market.</w:t>
            </w:r>
          </w:p>
          <w:p w:rsidR="00E646C9" w:rsidRPr="00B75B77" w:rsidRDefault="00E646C9" w:rsidP="00E646C9">
            <w:pPr>
              <w:pStyle w:val="ListParagraph"/>
              <w:numPr>
                <w:ilvl w:val="1"/>
                <w:numId w:val="136"/>
              </w:numPr>
              <w:ind w:left="517" w:hanging="270"/>
              <w:jc w:val="left"/>
              <w:rPr>
                <w:color w:val="000000"/>
                <w:sz w:val="18"/>
              </w:rPr>
            </w:pPr>
            <w:r w:rsidRPr="00B75B77">
              <w:rPr>
                <w:b w:val="0"/>
                <w:color w:val="000000"/>
                <w:sz w:val="18"/>
              </w:rPr>
              <w:t>Monitor LED acquisition costs on a quarterly basis to identify when to fully transition incentive dollars from CFLs to LEDs to make them competitive with halogen and other non-energy efficient bulbs.</w:t>
            </w:r>
          </w:p>
        </w:tc>
        <w:tc>
          <w:tcPr>
            <w:tcW w:w="4770" w:type="dxa"/>
            <w:noWrap/>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color w:val="000000"/>
                <w:sz w:val="18"/>
              </w:rPr>
              <w:t>Being Considered/Implemented:</w:t>
            </w:r>
          </w:p>
          <w:p w:rsidR="00E646C9" w:rsidRPr="00B75B77" w:rsidRDefault="00E646C9" w:rsidP="00E646C9">
            <w:pPr>
              <w:pStyle w:val="ListParagraph"/>
              <w:numPr>
                <w:ilvl w:val="0"/>
                <w:numId w:val="137"/>
              </w:num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color w:val="000000"/>
                <w:sz w:val="18"/>
              </w:rPr>
              <w:t>Will work with ICF to develop more education and focused marketing around LED benefits and technologies.</w:t>
            </w:r>
          </w:p>
          <w:p w:rsidR="00E646C9" w:rsidRPr="00B75B77" w:rsidRDefault="00E646C9" w:rsidP="00E646C9">
            <w:pPr>
              <w:pStyle w:val="ListParagraph"/>
              <w:numPr>
                <w:ilvl w:val="0"/>
                <w:numId w:val="137"/>
              </w:num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color w:val="000000"/>
                <w:sz w:val="18"/>
              </w:rPr>
              <w:t>We continue to have our retail field team for outreach and customer engagement. We are looking to supplement the staffing with additional resources.</w:t>
            </w:r>
          </w:p>
          <w:p w:rsidR="00E646C9" w:rsidRPr="00B75B77" w:rsidRDefault="00E646C9" w:rsidP="00E646C9">
            <w:pPr>
              <w:pStyle w:val="ListParagraph"/>
              <w:numPr>
                <w:ilvl w:val="0"/>
                <w:numId w:val="137"/>
              </w:num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color w:val="000000"/>
                <w:sz w:val="18"/>
              </w:rPr>
              <w:t>By the end of 2016, we will phase CFLs out of this program and are carefully monitoring the acquisition cost of the LEDs.</w:t>
            </w:r>
          </w:p>
        </w:tc>
      </w:tr>
      <w:tr w:rsidR="00E646C9" w:rsidRPr="00B75B77" w:rsidTr="001163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5:</w:t>
            </w:r>
            <w:r w:rsidRPr="00B75B77">
              <w:rPr>
                <w:b w:val="0"/>
                <w:color w:val="000000"/>
                <w:sz w:val="18"/>
              </w:rPr>
              <w:t xml:space="preserve"> Leverage strong working relationships with HVAC contractors and installers to increase participation in the non-lighting aspect of SHR.</w:t>
            </w:r>
          </w:p>
        </w:tc>
        <w:tc>
          <w:tcPr>
            <w:tcW w:w="4770" w:type="dxa"/>
            <w:noWrap/>
            <w:vAlign w:val="center"/>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We are working with distributors and manufacturers to help communicate program offers and education to contractors in addition to continuing the relationships with contractors.</w:t>
            </w:r>
          </w:p>
        </w:tc>
      </w:tr>
      <w:tr w:rsidR="00E646C9" w:rsidRPr="00B75B77" w:rsidTr="0011636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6:</w:t>
            </w:r>
            <w:r w:rsidRPr="00B75B77">
              <w:rPr>
                <w:b w:val="0"/>
                <w:color w:val="000000"/>
                <w:sz w:val="18"/>
              </w:rPr>
              <w:t xml:space="preserve"> Focus education and marketing efforts on HVAC installers for the non-lighting aspect of SHR in Phase III as the program ramps back up and invites new installation companies to the program.</w:t>
            </w:r>
          </w:p>
        </w:tc>
        <w:tc>
          <w:tcPr>
            <w:tcW w:w="4770" w:type="dxa"/>
            <w:noWrap/>
            <w:vAlign w:val="center"/>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 xml:space="preserve"> We are working closer with contractors to help them increase efficient products in the market place. We expect challenges due to the lower rebate levels in Phase III, however are leveraging our relationships to promote non-lighting products.</w:t>
            </w:r>
          </w:p>
        </w:tc>
      </w:tr>
    </w:tbl>
    <w:p w:rsidR="00E646C9" w:rsidRPr="00821A84" w:rsidRDefault="00E646C9" w:rsidP="00821A84"/>
    <w:p w:rsidR="00E646C9" w:rsidRDefault="00E646C9" w:rsidP="003B56E9">
      <w:pPr>
        <w:pStyle w:val="AppendixGHeading2"/>
      </w:pPr>
      <w:r w:rsidRPr="008606B4">
        <w:t xml:space="preserve">Smart House Call </w:t>
      </w:r>
    </w:p>
    <w:tbl>
      <w:tblPr>
        <w:tblStyle w:val="AnnualReportTableStyle"/>
        <w:tblW w:w="9355" w:type="dxa"/>
        <w:tblLook w:val="04A0" w:firstRow="1" w:lastRow="0" w:firstColumn="1" w:lastColumn="0" w:noHBand="0" w:noVBand="1"/>
      </w:tblPr>
      <w:tblGrid>
        <w:gridCol w:w="5755"/>
        <w:gridCol w:w="3600"/>
      </w:tblGrid>
      <w:tr w:rsidR="003B56E9" w:rsidRPr="003B56E9" w:rsidTr="00821A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55" w:type="dxa"/>
            <w:vAlign w:val="top"/>
          </w:tcPr>
          <w:p w:rsidR="003B56E9" w:rsidRPr="003B56E9" w:rsidRDefault="003B56E9" w:rsidP="00821A84">
            <w:pPr>
              <w:jc w:val="left"/>
            </w:pPr>
            <w:r w:rsidRPr="00B75B77">
              <w:rPr>
                <w:bCs/>
                <w:sz w:val="18"/>
              </w:rPr>
              <w:t>Recommendations</w:t>
            </w:r>
          </w:p>
        </w:tc>
        <w:tc>
          <w:tcPr>
            <w:tcW w:w="3600" w:type="dxa"/>
            <w:vAlign w:val="bottom"/>
          </w:tcPr>
          <w:p w:rsidR="003B56E9" w:rsidRDefault="003B56E9" w:rsidP="00821A84">
            <w:pPr>
              <w:jc w:val="center"/>
              <w:cnfStyle w:val="100000000000" w:firstRow="1" w:lastRow="0" w:firstColumn="0" w:lastColumn="0" w:oddVBand="0" w:evenVBand="0" w:oddHBand="0" w:evenHBand="0" w:firstRowFirstColumn="0" w:firstRowLastColumn="0" w:lastRowFirstColumn="0" w:lastRowLastColumn="0"/>
              <w:rPr>
                <w:bCs/>
                <w:sz w:val="18"/>
              </w:rPr>
            </w:pPr>
            <w:r w:rsidRPr="00B75B77">
              <w:rPr>
                <w:bCs/>
                <w:sz w:val="18"/>
              </w:rPr>
              <w:t>EDC Status of Recommendation</w:t>
            </w:r>
          </w:p>
          <w:p w:rsidR="003B56E9" w:rsidRPr="003B56E9" w:rsidRDefault="003B56E9" w:rsidP="00821A84">
            <w:pPr>
              <w:jc w:val="center"/>
              <w:cnfStyle w:val="100000000000" w:firstRow="1" w:lastRow="0" w:firstColumn="0" w:lastColumn="0" w:oddVBand="0" w:evenVBand="0" w:oddHBand="0" w:evenHBand="0" w:firstRowFirstColumn="0" w:firstRowLastColumn="0" w:lastRowFirstColumn="0" w:lastRowLastColumn="0"/>
            </w:pPr>
            <w:r w:rsidRPr="003B56E9">
              <w:rPr>
                <w:b w:val="0"/>
                <w:bCs/>
                <w:sz w:val="18"/>
              </w:rPr>
              <w:t>(Implemented, Being Considered, Rejected AND Explanation of Action Taken by EDC)</w:t>
            </w:r>
          </w:p>
        </w:tc>
      </w:tr>
      <w:tr w:rsidR="003B56E9" w:rsidRPr="003B56E9" w:rsidTr="00821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rsidR="003B56E9" w:rsidRPr="00B75B77" w:rsidRDefault="003B56E9" w:rsidP="00821A84">
            <w:pPr>
              <w:jc w:val="left"/>
              <w:rPr>
                <w:b w:val="0"/>
                <w:color w:val="000000"/>
                <w:sz w:val="18"/>
              </w:rPr>
            </w:pPr>
            <w:r w:rsidRPr="00B75B77">
              <w:rPr>
                <w:color w:val="000000"/>
                <w:sz w:val="18"/>
              </w:rPr>
              <w:t xml:space="preserve">Recommendation 1: </w:t>
            </w:r>
            <w:r w:rsidRPr="00B75B77">
              <w:rPr>
                <w:b w:val="0"/>
                <w:color w:val="000000"/>
                <w:sz w:val="18"/>
              </w:rPr>
              <w:t>Continue to maintain the high rates of customer satisfaction and rapport that energy advisors have built with customers, through the following:</w:t>
            </w:r>
          </w:p>
          <w:p w:rsidR="003B56E9" w:rsidRDefault="003B56E9" w:rsidP="00821A84">
            <w:pPr>
              <w:pStyle w:val="ListParagraph"/>
              <w:numPr>
                <w:ilvl w:val="0"/>
                <w:numId w:val="138"/>
              </w:numPr>
              <w:ind w:left="422" w:hanging="270"/>
              <w:jc w:val="left"/>
              <w:rPr>
                <w:b w:val="0"/>
                <w:color w:val="000000"/>
                <w:sz w:val="18"/>
              </w:rPr>
            </w:pPr>
            <w:r w:rsidRPr="00B75B77">
              <w:rPr>
                <w:b w:val="0"/>
                <w:color w:val="000000"/>
                <w:sz w:val="18"/>
              </w:rPr>
              <w:t xml:space="preserve">Maintaining the personalized feel of the program </w:t>
            </w:r>
          </w:p>
          <w:p w:rsidR="003B56E9" w:rsidRPr="003B56E9" w:rsidRDefault="003B56E9" w:rsidP="00821A84">
            <w:pPr>
              <w:pStyle w:val="ListParagraph"/>
              <w:numPr>
                <w:ilvl w:val="0"/>
                <w:numId w:val="138"/>
              </w:numPr>
              <w:ind w:left="422" w:hanging="270"/>
              <w:jc w:val="left"/>
              <w:rPr>
                <w:b w:val="0"/>
                <w:color w:val="000000"/>
                <w:sz w:val="18"/>
              </w:rPr>
            </w:pPr>
            <w:r w:rsidRPr="003B56E9">
              <w:rPr>
                <w:b w:val="0"/>
                <w:color w:val="000000"/>
                <w:sz w:val="18"/>
              </w:rPr>
              <w:t>Providing a learning experience to customers with varying degrees of knowledge about energy efficiency</w:t>
            </w:r>
          </w:p>
        </w:tc>
        <w:tc>
          <w:tcPr>
            <w:tcW w:w="3600" w:type="dxa"/>
            <w:vAlign w:val="top"/>
          </w:tcPr>
          <w:p w:rsidR="003B56E9" w:rsidRDefault="003B56E9" w:rsidP="00821A84">
            <w:pPr>
              <w:pStyle w:val="ListParagraph"/>
              <w:numPr>
                <w:ilvl w:val="0"/>
                <w:numId w:val="142"/>
              </w:numPr>
              <w:ind w:left="249" w:hanging="180"/>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color w:val="000000"/>
                <w:sz w:val="18"/>
              </w:rPr>
              <w:t>Implemented</w:t>
            </w:r>
          </w:p>
          <w:p w:rsidR="003B56E9" w:rsidRPr="003B56E9" w:rsidRDefault="003B56E9" w:rsidP="00821A84">
            <w:pPr>
              <w:pStyle w:val="ListParagraph"/>
              <w:numPr>
                <w:ilvl w:val="0"/>
                <w:numId w:val="142"/>
              </w:numPr>
              <w:ind w:left="249" w:hanging="180"/>
              <w:cnfStyle w:val="000000100000" w:firstRow="0" w:lastRow="0" w:firstColumn="0" w:lastColumn="0" w:oddVBand="0" w:evenVBand="0" w:oddHBand="1" w:evenHBand="0" w:firstRowFirstColumn="0" w:firstRowLastColumn="0" w:lastRowFirstColumn="0" w:lastRowLastColumn="0"/>
              <w:rPr>
                <w:b/>
                <w:color w:val="000000"/>
                <w:sz w:val="18"/>
              </w:rPr>
            </w:pPr>
            <w:r w:rsidRPr="003B56E9">
              <w:rPr>
                <w:b/>
                <w:color w:val="000000"/>
                <w:sz w:val="18"/>
              </w:rPr>
              <w:t>Implemented</w:t>
            </w:r>
          </w:p>
        </w:tc>
      </w:tr>
      <w:tr w:rsidR="003B56E9" w:rsidRPr="003B56E9" w:rsidTr="00821A84">
        <w:tc>
          <w:tcPr>
            <w:cnfStyle w:val="001000000000" w:firstRow="0" w:lastRow="0" w:firstColumn="1" w:lastColumn="0" w:oddVBand="0" w:evenVBand="0" w:oddHBand="0" w:evenHBand="0" w:firstRowFirstColumn="0" w:firstRowLastColumn="0" w:lastRowFirstColumn="0" w:lastRowLastColumn="0"/>
            <w:tcW w:w="5755" w:type="dxa"/>
          </w:tcPr>
          <w:p w:rsidR="003B56E9" w:rsidRPr="00B75B77" w:rsidRDefault="003B56E9" w:rsidP="00821A84">
            <w:pPr>
              <w:jc w:val="left"/>
              <w:rPr>
                <w:color w:val="000000"/>
                <w:sz w:val="18"/>
              </w:rPr>
            </w:pPr>
            <w:r w:rsidRPr="00B75B77">
              <w:rPr>
                <w:color w:val="000000"/>
                <w:sz w:val="18"/>
              </w:rPr>
              <w:t>Recommendation 2:</w:t>
            </w:r>
          </w:p>
          <w:p w:rsidR="003B56E9" w:rsidRPr="00B75B77" w:rsidRDefault="003B56E9" w:rsidP="00821A84">
            <w:pPr>
              <w:pStyle w:val="ListParagraph"/>
              <w:numPr>
                <w:ilvl w:val="1"/>
                <w:numId w:val="142"/>
              </w:numPr>
              <w:ind w:left="422" w:hanging="270"/>
              <w:jc w:val="left"/>
              <w:rPr>
                <w:b w:val="0"/>
                <w:color w:val="000000"/>
                <w:sz w:val="18"/>
              </w:rPr>
            </w:pPr>
            <w:r w:rsidRPr="00B75B77">
              <w:rPr>
                <w:b w:val="0"/>
                <w:color w:val="000000"/>
                <w:sz w:val="18"/>
              </w:rPr>
              <w:t xml:space="preserve">Maintain relationships with customers and keep them open by marketing PECO and other program opportunities. </w:t>
            </w:r>
          </w:p>
          <w:p w:rsidR="003B56E9" w:rsidRPr="00B75B77" w:rsidRDefault="003B56E9" w:rsidP="00821A84">
            <w:pPr>
              <w:pStyle w:val="ListParagraph"/>
              <w:numPr>
                <w:ilvl w:val="1"/>
                <w:numId w:val="142"/>
              </w:numPr>
              <w:ind w:left="422" w:hanging="270"/>
              <w:jc w:val="left"/>
              <w:rPr>
                <w:b w:val="0"/>
                <w:color w:val="000000"/>
                <w:sz w:val="18"/>
              </w:rPr>
            </w:pPr>
            <w:r w:rsidRPr="00B75B77">
              <w:rPr>
                <w:b w:val="0"/>
                <w:color w:val="000000"/>
                <w:sz w:val="18"/>
              </w:rPr>
              <w:t>Develop and implement an energy advisor checklist that includes each of the actions an energy advisor must take to complete a successful site visit; items that may be included:</w:t>
            </w:r>
          </w:p>
          <w:p w:rsidR="003B56E9" w:rsidRPr="00B75B77" w:rsidRDefault="003B56E9" w:rsidP="00821A84">
            <w:pPr>
              <w:pStyle w:val="ListParagraph"/>
              <w:numPr>
                <w:ilvl w:val="0"/>
                <w:numId w:val="141"/>
              </w:numPr>
              <w:ind w:left="697" w:hanging="270"/>
              <w:jc w:val="left"/>
              <w:rPr>
                <w:b w:val="0"/>
                <w:color w:val="000000"/>
                <w:sz w:val="18"/>
              </w:rPr>
            </w:pPr>
            <w:r w:rsidRPr="00B75B77">
              <w:rPr>
                <w:b w:val="0"/>
                <w:color w:val="000000"/>
                <w:sz w:val="18"/>
              </w:rPr>
              <w:t>Provide thorough home visits with insightful information offered to participants</w:t>
            </w:r>
          </w:p>
          <w:p w:rsidR="003B56E9" w:rsidRPr="00B75B77" w:rsidRDefault="003B56E9" w:rsidP="00821A84">
            <w:pPr>
              <w:pStyle w:val="ListParagraph"/>
              <w:numPr>
                <w:ilvl w:val="0"/>
                <w:numId w:val="141"/>
              </w:numPr>
              <w:ind w:left="697" w:hanging="270"/>
              <w:jc w:val="left"/>
              <w:rPr>
                <w:b w:val="0"/>
                <w:color w:val="000000"/>
                <w:sz w:val="18"/>
              </w:rPr>
            </w:pPr>
            <w:r w:rsidRPr="00B75B77">
              <w:rPr>
                <w:b w:val="0"/>
                <w:color w:val="000000"/>
                <w:sz w:val="18"/>
              </w:rPr>
              <w:t>Install measures that are compatible with customers’ homes; test installations</w:t>
            </w:r>
          </w:p>
          <w:p w:rsidR="003B56E9" w:rsidRDefault="003B56E9" w:rsidP="00821A84">
            <w:pPr>
              <w:pStyle w:val="ListParagraph"/>
              <w:numPr>
                <w:ilvl w:val="0"/>
                <w:numId w:val="141"/>
              </w:numPr>
              <w:ind w:left="697" w:hanging="270"/>
              <w:jc w:val="left"/>
              <w:rPr>
                <w:b w:val="0"/>
                <w:color w:val="000000"/>
                <w:sz w:val="18"/>
              </w:rPr>
            </w:pPr>
            <w:r w:rsidRPr="00B75B77">
              <w:rPr>
                <w:b w:val="0"/>
                <w:color w:val="000000"/>
                <w:sz w:val="18"/>
              </w:rPr>
              <w:t>Send audit report to all audit participants</w:t>
            </w:r>
          </w:p>
          <w:p w:rsidR="003B56E9" w:rsidRPr="003B56E9" w:rsidRDefault="003B56E9" w:rsidP="00821A84">
            <w:pPr>
              <w:pStyle w:val="ListParagraph"/>
              <w:numPr>
                <w:ilvl w:val="0"/>
                <w:numId w:val="141"/>
              </w:numPr>
              <w:ind w:left="697" w:hanging="270"/>
              <w:jc w:val="left"/>
              <w:rPr>
                <w:b w:val="0"/>
                <w:color w:val="000000"/>
                <w:sz w:val="18"/>
              </w:rPr>
            </w:pPr>
            <w:r w:rsidRPr="003B56E9">
              <w:rPr>
                <w:b w:val="0"/>
                <w:color w:val="000000"/>
                <w:sz w:val="18"/>
              </w:rPr>
              <w:t>Follow up with customers to check on installed measures and encourage additional action</w:t>
            </w:r>
          </w:p>
        </w:tc>
        <w:tc>
          <w:tcPr>
            <w:tcW w:w="3600" w:type="dxa"/>
            <w:vAlign w:val="top"/>
          </w:tcPr>
          <w:p w:rsidR="003B56E9" w:rsidRDefault="003B56E9" w:rsidP="00821A84">
            <w:pPr>
              <w:pStyle w:val="ListParagraph"/>
              <w:numPr>
                <w:ilvl w:val="0"/>
                <w:numId w:val="143"/>
              </w:numPr>
              <w:ind w:left="249" w:hanging="180"/>
              <w:cnfStyle w:val="000000000000" w:firstRow="0" w:lastRow="0" w:firstColumn="0" w:lastColumn="0" w:oddVBand="0" w:evenVBand="0" w:oddHBand="0" w:evenHBand="0" w:firstRowFirstColumn="0" w:firstRowLastColumn="0" w:lastRowFirstColumn="0" w:lastRowLastColumn="0"/>
              <w:rPr>
                <w:b/>
                <w:color w:val="000000"/>
                <w:sz w:val="18"/>
              </w:rPr>
            </w:pPr>
            <w:r w:rsidRPr="00B75B77">
              <w:rPr>
                <w:b/>
                <w:color w:val="000000"/>
                <w:sz w:val="18"/>
              </w:rPr>
              <w:t>Implemented</w:t>
            </w:r>
          </w:p>
          <w:p w:rsidR="003B56E9" w:rsidRPr="003B56E9" w:rsidRDefault="003B56E9" w:rsidP="00821A84">
            <w:pPr>
              <w:pStyle w:val="ListParagraph"/>
              <w:numPr>
                <w:ilvl w:val="0"/>
                <w:numId w:val="143"/>
              </w:numPr>
              <w:ind w:left="249" w:hanging="180"/>
              <w:cnfStyle w:val="000000000000" w:firstRow="0" w:lastRow="0" w:firstColumn="0" w:lastColumn="0" w:oddVBand="0" w:evenVBand="0" w:oddHBand="0" w:evenHBand="0" w:firstRowFirstColumn="0" w:firstRowLastColumn="0" w:lastRowFirstColumn="0" w:lastRowLastColumn="0"/>
              <w:rPr>
                <w:b/>
                <w:color w:val="000000"/>
                <w:sz w:val="18"/>
              </w:rPr>
            </w:pPr>
            <w:r w:rsidRPr="003B56E9">
              <w:rPr>
                <w:b/>
                <w:color w:val="000000"/>
                <w:sz w:val="18"/>
              </w:rPr>
              <w:t>Implemented</w:t>
            </w:r>
          </w:p>
        </w:tc>
      </w:tr>
      <w:tr w:rsidR="003B56E9" w:rsidRPr="003B56E9" w:rsidTr="00821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rsidR="003B56E9" w:rsidRPr="00B75B77" w:rsidRDefault="003B56E9" w:rsidP="00821A84">
            <w:pPr>
              <w:jc w:val="left"/>
              <w:rPr>
                <w:b w:val="0"/>
                <w:color w:val="000000"/>
                <w:sz w:val="18"/>
              </w:rPr>
            </w:pPr>
            <w:r w:rsidRPr="00B75B77">
              <w:rPr>
                <w:color w:val="000000"/>
                <w:sz w:val="18"/>
              </w:rPr>
              <w:t xml:space="preserve">Recommendation 3: </w:t>
            </w:r>
            <w:r w:rsidRPr="00B75B77">
              <w:rPr>
                <w:b w:val="0"/>
                <w:color w:val="000000"/>
                <w:sz w:val="18"/>
              </w:rPr>
              <w:t xml:space="preserve">Do not let goals for improving TRC compromise positive customer experience and satisfaction. </w:t>
            </w:r>
          </w:p>
          <w:p w:rsidR="003B56E9" w:rsidRDefault="003B56E9" w:rsidP="00821A84">
            <w:pPr>
              <w:pStyle w:val="ListParagraph"/>
              <w:numPr>
                <w:ilvl w:val="0"/>
                <w:numId w:val="139"/>
              </w:numPr>
              <w:ind w:left="422" w:hanging="270"/>
              <w:jc w:val="left"/>
              <w:rPr>
                <w:b w:val="0"/>
                <w:color w:val="000000"/>
                <w:sz w:val="18"/>
              </w:rPr>
            </w:pPr>
            <w:r w:rsidRPr="00B75B77">
              <w:rPr>
                <w:b w:val="0"/>
                <w:color w:val="000000"/>
                <w:sz w:val="18"/>
              </w:rPr>
              <w:t>Discontinue CFL installations and install 100% LEDs</w:t>
            </w:r>
          </w:p>
          <w:p w:rsidR="003B56E9" w:rsidRPr="003B56E9" w:rsidRDefault="003B56E9" w:rsidP="00821A84">
            <w:pPr>
              <w:pStyle w:val="ListParagraph"/>
              <w:numPr>
                <w:ilvl w:val="0"/>
                <w:numId w:val="139"/>
              </w:numPr>
              <w:ind w:left="422" w:hanging="270"/>
              <w:jc w:val="left"/>
              <w:rPr>
                <w:b w:val="0"/>
                <w:color w:val="000000"/>
                <w:sz w:val="18"/>
              </w:rPr>
            </w:pPr>
            <w:r w:rsidRPr="003B56E9">
              <w:rPr>
                <w:b w:val="0"/>
                <w:color w:val="000000"/>
                <w:sz w:val="18"/>
              </w:rPr>
              <w:t>Continue to market the program using past strategies that have proven effective and test new targeted marketing tactics</w:t>
            </w:r>
          </w:p>
        </w:tc>
        <w:tc>
          <w:tcPr>
            <w:tcW w:w="3600" w:type="dxa"/>
          </w:tcPr>
          <w:p w:rsidR="003B56E9" w:rsidRDefault="003B56E9" w:rsidP="00821A84">
            <w:pPr>
              <w:pStyle w:val="ListParagraph"/>
              <w:numPr>
                <w:ilvl w:val="0"/>
                <w:numId w:val="144"/>
              </w:numPr>
              <w:ind w:left="249" w:hanging="180"/>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Being Considered:</w:t>
            </w:r>
            <w:r w:rsidRPr="00B75B77">
              <w:rPr>
                <w:color w:val="000000"/>
                <w:sz w:val="18"/>
              </w:rPr>
              <w:t xml:space="preserve"> Working with CSP to find alternative solutions in the lighting market to provide LED solutions that fall within the designed budget for Phase III.</w:t>
            </w:r>
          </w:p>
          <w:p w:rsidR="003B56E9" w:rsidRPr="003B56E9" w:rsidRDefault="003B56E9" w:rsidP="00821A84">
            <w:pPr>
              <w:pStyle w:val="ListParagraph"/>
              <w:numPr>
                <w:ilvl w:val="0"/>
                <w:numId w:val="144"/>
              </w:numPr>
              <w:ind w:left="249" w:hanging="180"/>
              <w:jc w:val="left"/>
              <w:cnfStyle w:val="000000100000" w:firstRow="0" w:lastRow="0" w:firstColumn="0" w:lastColumn="0" w:oddVBand="0" w:evenVBand="0" w:oddHBand="1" w:evenHBand="0" w:firstRowFirstColumn="0" w:firstRowLastColumn="0" w:lastRowFirstColumn="0" w:lastRowLastColumn="0"/>
              <w:rPr>
                <w:color w:val="000000"/>
                <w:sz w:val="18"/>
              </w:rPr>
            </w:pPr>
            <w:r w:rsidRPr="003B56E9">
              <w:rPr>
                <w:b/>
                <w:color w:val="000000"/>
                <w:sz w:val="18"/>
              </w:rPr>
              <w:t>Implemented</w:t>
            </w:r>
          </w:p>
        </w:tc>
      </w:tr>
      <w:tr w:rsidR="003B56E9" w:rsidRPr="003B56E9" w:rsidTr="00821A84">
        <w:tc>
          <w:tcPr>
            <w:cnfStyle w:val="001000000000" w:firstRow="0" w:lastRow="0" w:firstColumn="1" w:lastColumn="0" w:oddVBand="0" w:evenVBand="0" w:oddHBand="0" w:evenHBand="0" w:firstRowFirstColumn="0" w:firstRowLastColumn="0" w:lastRowFirstColumn="0" w:lastRowLastColumn="0"/>
            <w:tcW w:w="5755" w:type="dxa"/>
          </w:tcPr>
          <w:p w:rsidR="003B56E9" w:rsidRPr="00B75B77" w:rsidRDefault="003B56E9" w:rsidP="00821A84">
            <w:pPr>
              <w:jc w:val="left"/>
              <w:rPr>
                <w:color w:val="000000"/>
                <w:sz w:val="18"/>
              </w:rPr>
            </w:pPr>
            <w:r w:rsidRPr="00B75B77">
              <w:rPr>
                <w:color w:val="000000"/>
                <w:sz w:val="18"/>
              </w:rPr>
              <w:t xml:space="preserve">Recommendation 4: </w:t>
            </w:r>
          </w:p>
          <w:p w:rsidR="003B56E9" w:rsidRPr="00B75B77" w:rsidRDefault="003B56E9" w:rsidP="00821A84">
            <w:pPr>
              <w:pStyle w:val="ListParagraph"/>
              <w:numPr>
                <w:ilvl w:val="1"/>
                <w:numId w:val="143"/>
              </w:numPr>
              <w:ind w:left="422" w:hanging="270"/>
              <w:jc w:val="left"/>
              <w:rPr>
                <w:b w:val="0"/>
                <w:color w:val="000000"/>
                <w:sz w:val="18"/>
              </w:rPr>
            </w:pPr>
            <w:r w:rsidRPr="00B75B77">
              <w:rPr>
                <w:b w:val="0"/>
                <w:color w:val="000000"/>
                <w:sz w:val="18"/>
              </w:rPr>
              <w:t>Build on PY7’s successful marketing tactics to maintain impacts among core demographics.</w:t>
            </w:r>
          </w:p>
          <w:p w:rsidR="003B56E9" w:rsidRPr="00B75B77" w:rsidRDefault="003B56E9" w:rsidP="00821A84">
            <w:pPr>
              <w:pStyle w:val="ListParagraph"/>
              <w:numPr>
                <w:ilvl w:val="0"/>
                <w:numId w:val="140"/>
              </w:numPr>
              <w:ind w:left="697" w:hanging="270"/>
              <w:jc w:val="left"/>
              <w:rPr>
                <w:b w:val="0"/>
                <w:color w:val="000000"/>
                <w:sz w:val="18"/>
              </w:rPr>
            </w:pPr>
            <w:r w:rsidRPr="00B75B77">
              <w:rPr>
                <w:b w:val="0"/>
                <w:color w:val="000000"/>
                <w:sz w:val="18"/>
              </w:rPr>
              <w:t>Smaller, more frequent direct mail events yielded a steady flow of participants</w:t>
            </w:r>
          </w:p>
          <w:p w:rsidR="003B56E9" w:rsidRPr="003B56E9" w:rsidRDefault="003B56E9" w:rsidP="00821A84">
            <w:pPr>
              <w:pStyle w:val="ListParagraph"/>
              <w:numPr>
                <w:ilvl w:val="0"/>
                <w:numId w:val="140"/>
              </w:numPr>
              <w:ind w:left="697" w:hanging="270"/>
              <w:jc w:val="left"/>
              <w:rPr>
                <w:color w:val="000000"/>
                <w:sz w:val="18"/>
              </w:rPr>
            </w:pPr>
            <w:r w:rsidRPr="00B75B77">
              <w:rPr>
                <w:b w:val="0"/>
                <w:color w:val="000000"/>
                <w:sz w:val="18"/>
              </w:rPr>
              <w:t>Word of mouth is strong and growing</w:t>
            </w:r>
          </w:p>
          <w:p w:rsidR="003B56E9" w:rsidRPr="003B56E9" w:rsidRDefault="003B56E9" w:rsidP="00821A84">
            <w:pPr>
              <w:pStyle w:val="ListParagraph"/>
              <w:numPr>
                <w:ilvl w:val="0"/>
                <w:numId w:val="140"/>
              </w:numPr>
              <w:ind w:left="697" w:hanging="270"/>
              <w:jc w:val="left"/>
              <w:rPr>
                <w:b w:val="0"/>
                <w:color w:val="000000"/>
                <w:sz w:val="18"/>
              </w:rPr>
            </w:pPr>
            <w:r w:rsidRPr="003B56E9">
              <w:rPr>
                <w:b w:val="0"/>
                <w:color w:val="000000"/>
                <w:sz w:val="18"/>
              </w:rPr>
              <w:t>Implement targeted marketing to engage new demographic groups at higher rates.</w:t>
            </w:r>
          </w:p>
        </w:tc>
        <w:tc>
          <w:tcPr>
            <w:tcW w:w="3600" w:type="dxa"/>
          </w:tcPr>
          <w:p w:rsidR="003B56E9" w:rsidRDefault="003B56E9" w:rsidP="00821A84">
            <w:pPr>
              <w:pStyle w:val="ListParagraph"/>
              <w:numPr>
                <w:ilvl w:val="0"/>
                <w:numId w:val="145"/>
              </w:numPr>
              <w:ind w:left="249" w:hanging="180"/>
              <w:jc w:val="left"/>
              <w:cnfStyle w:val="000000000000" w:firstRow="0" w:lastRow="0" w:firstColumn="0" w:lastColumn="0" w:oddVBand="0" w:evenVBand="0" w:oddHBand="0" w:evenHBand="0" w:firstRowFirstColumn="0" w:firstRowLastColumn="0" w:lastRowFirstColumn="0" w:lastRowLastColumn="0"/>
              <w:rPr>
                <w:color w:val="000000"/>
                <w:sz w:val="18"/>
              </w:rPr>
            </w:pPr>
            <w:r w:rsidRPr="00B75B77">
              <w:rPr>
                <w:b/>
                <w:color w:val="000000"/>
                <w:sz w:val="18"/>
              </w:rPr>
              <w:t>Being Considered:</w:t>
            </w:r>
            <w:r w:rsidRPr="00B75B77">
              <w:rPr>
                <w:color w:val="000000"/>
                <w:sz w:val="18"/>
              </w:rPr>
              <w:t xml:space="preserve"> We are working with the EEMF to try additional marketing tactics that yield same results at a lower cost. However, the core marketing tactics deemed valuable are still part of the overall marketing plan.</w:t>
            </w:r>
          </w:p>
          <w:p w:rsidR="003B56E9" w:rsidRPr="003B56E9" w:rsidRDefault="003B56E9" w:rsidP="00821A84">
            <w:pPr>
              <w:pStyle w:val="ListParagraph"/>
              <w:numPr>
                <w:ilvl w:val="0"/>
                <w:numId w:val="145"/>
              </w:numPr>
              <w:ind w:left="249" w:hanging="180"/>
              <w:jc w:val="left"/>
              <w:cnfStyle w:val="000000000000" w:firstRow="0" w:lastRow="0" w:firstColumn="0" w:lastColumn="0" w:oddVBand="0" w:evenVBand="0" w:oddHBand="0" w:evenHBand="0" w:firstRowFirstColumn="0" w:firstRowLastColumn="0" w:lastRowFirstColumn="0" w:lastRowLastColumn="0"/>
              <w:rPr>
                <w:color w:val="000000"/>
                <w:sz w:val="18"/>
              </w:rPr>
            </w:pPr>
            <w:r w:rsidRPr="003B56E9">
              <w:rPr>
                <w:b/>
                <w:color w:val="000000"/>
                <w:sz w:val="18"/>
              </w:rPr>
              <w:t>Implemented</w:t>
            </w:r>
          </w:p>
        </w:tc>
      </w:tr>
      <w:tr w:rsidR="003B56E9" w:rsidRPr="003B56E9" w:rsidTr="00821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rsidR="003B56E9" w:rsidRPr="003B56E9" w:rsidRDefault="003B56E9" w:rsidP="00821A84">
            <w:pPr>
              <w:jc w:val="left"/>
            </w:pPr>
            <w:r w:rsidRPr="00B75B77">
              <w:rPr>
                <w:color w:val="000000"/>
                <w:sz w:val="18"/>
                <w:szCs w:val="18"/>
              </w:rPr>
              <w:t xml:space="preserve">Recommendation 5: </w:t>
            </w:r>
            <w:r w:rsidRPr="00B75B77">
              <w:rPr>
                <w:b w:val="0"/>
                <w:color w:val="000000"/>
                <w:sz w:val="18"/>
                <w:szCs w:val="18"/>
              </w:rPr>
              <w:t>Shape the SHC program as a gateway to the Smart Ideas portfolio of programs. Engage more effectively in cross-program promotion by improving the ability of energy advisors to educate customers.</w:t>
            </w:r>
          </w:p>
        </w:tc>
        <w:tc>
          <w:tcPr>
            <w:tcW w:w="3600" w:type="dxa"/>
            <w:vAlign w:val="top"/>
          </w:tcPr>
          <w:p w:rsidR="003B56E9" w:rsidRPr="003B56E9" w:rsidRDefault="003B56E9" w:rsidP="00821A84">
            <w:pPr>
              <w:cnfStyle w:val="000000100000" w:firstRow="0" w:lastRow="0" w:firstColumn="0" w:lastColumn="0" w:oddVBand="0" w:evenVBand="0" w:oddHBand="1" w:evenHBand="0" w:firstRowFirstColumn="0" w:firstRowLastColumn="0" w:lastRowFirstColumn="0" w:lastRowLastColumn="0"/>
            </w:pPr>
            <w:r w:rsidRPr="00B75B77">
              <w:rPr>
                <w:b/>
                <w:color w:val="000000"/>
                <w:sz w:val="18"/>
              </w:rPr>
              <w:t xml:space="preserve">Implemented  </w:t>
            </w:r>
          </w:p>
        </w:tc>
      </w:tr>
    </w:tbl>
    <w:p w:rsidR="003B56E9" w:rsidRPr="003B56E9" w:rsidRDefault="003B56E9" w:rsidP="003B56E9"/>
    <w:p w:rsidR="00E646C9" w:rsidRPr="003A1D95" w:rsidRDefault="00E646C9" w:rsidP="003B56E9">
      <w:pPr>
        <w:pStyle w:val="AppendixGHeading2"/>
      </w:pPr>
      <w:r w:rsidRPr="003A1D95">
        <w:t xml:space="preserve">Smart Appliance Recycling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keepNext/>
              <w:jc w:val="left"/>
              <w:rPr>
                <w:bCs w:val="0"/>
                <w:sz w:val="18"/>
              </w:rPr>
            </w:pPr>
            <w:r w:rsidRPr="00B75B77">
              <w:rPr>
                <w:bCs w:val="0"/>
                <w:sz w:val="18"/>
              </w:rPr>
              <w:t>Recommendations</w:t>
            </w:r>
          </w:p>
        </w:tc>
        <w:tc>
          <w:tcPr>
            <w:tcW w:w="4680" w:type="dxa"/>
            <w:shd w:val="clear" w:color="auto" w:fill="448A99"/>
            <w:vAlign w:val="bottom"/>
            <w:hideMark/>
          </w:tcPr>
          <w:p w:rsidR="003B56E9" w:rsidRDefault="00E646C9" w:rsidP="003B56E9">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3B56E9" w:rsidRDefault="00E646C9" w:rsidP="003B56E9">
            <w:pPr>
              <w:keepNext/>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3B56E9">
              <w:rPr>
                <w:b w:val="0"/>
                <w:bCs w:val="0"/>
                <w:sz w:val="18"/>
              </w:rPr>
              <w:t>(Implemented, Being Considered, Rejected AND Explanation of Action Taken by EDC)</w:t>
            </w:r>
          </w:p>
        </w:tc>
      </w:tr>
      <w:tr w:rsidR="00E646C9" w:rsidRPr="00B75B77" w:rsidTr="003B56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Recommendation 1:</w:t>
            </w:r>
            <w:r w:rsidRPr="00B75B77">
              <w:rPr>
                <w:b w:val="0"/>
                <w:color w:val="000000"/>
                <w:sz w:val="18"/>
              </w:rPr>
              <w:t xml:space="preserve"> </w:t>
            </w:r>
          </w:p>
          <w:p w:rsidR="00E646C9" w:rsidRPr="00B75B77" w:rsidRDefault="00E646C9" w:rsidP="00E646C9">
            <w:pPr>
              <w:pStyle w:val="ListParagraph"/>
              <w:keepNext/>
              <w:numPr>
                <w:ilvl w:val="1"/>
                <w:numId w:val="146"/>
              </w:numPr>
              <w:ind w:left="424" w:hanging="270"/>
              <w:jc w:val="left"/>
              <w:rPr>
                <w:b w:val="0"/>
                <w:color w:val="000000"/>
                <w:sz w:val="18"/>
              </w:rPr>
            </w:pPr>
            <w:r w:rsidRPr="00B75B77">
              <w:rPr>
                <w:b w:val="0"/>
                <w:color w:val="000000"/>
                <w:sz w:val="18"/>
              </w:rPr>
              <w:t>PECO should monitor the financial health of their CSP to avoid program interruptions in Phase III.</w:t>
            </w:r>
          </w:p>
          <w:p w:rsidR="00E646C9" w:rsidRPr="00B75B77" w:rsidRDefault="00E646C9" w:rsidP="00E646C9">
            <w:pPr>
              <w:pStyle w:val="ListParagraph"/>
              <w:keepNext/>
              <w:numPr>
                <w:ilvl w:val="1"/>
                <w:numId w:val="146"/>
              </w:numPr>
              <w:ind w:left="424" w:hanging="270"/>
              <w:jc w:val="left"/>
              <w:rPr>
                <w:color w:val="000000"/>
                <w:sz w:val="18"/>
              </w:rPr>
            </w:pPr>
            <w:r w:rsidRPr="00B75B77">
              <w:rPr>
                <w:b w:val="0"/>
                <w:color w:val="000000"/>
                <w:sz w:val="18"/>
              </w:rPr>
              <w:t>PECO should develop response plans for programs relying on a single CSP. These plans should define the protocol for data transfers between a departing CSP and PECO.</w:t>
            </w:r>
          </w:p>
        </w:tc>
        <w:tc>
          <w:tcPr>
            <w:tcW w:w="4680" w:type="dxa"/>
            <w:noWrap/>
            <w:hideMark/>
          </w:tcPr>
          <w:p w:rsidR="00E646C9" w:rsidRPr="00B75B77" w:rsidRDefault="00E646C9" w:rsidP="00E646C9">
            <w:pPr>
              <w:pStyle w:val="ListParagraph"/>
              <w:keepNext/>
              <w:numPr>
                <w:ilvl w:val="0"/>
                <w:numId w:val="147"/>
              </w:num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PECO is monitoring the financial health of the CSP to avoid program interruptions in Phase III.</w:t>
            </w:r>
          </w:p>
          <w:p w:rsidR="00E646C9" w:rsidRPr="00B75B77" w:rsidRDefault="00E646C9" w:rsidP="00E646C9">
            <w:pPr>
              <w:pStyle w:val="ListParagraph"/>
              <w:keepNext/>
              <w:numPr>
                <w:ilvl w:val="0"/>
                <w:numId w:val="147"/>
              </w:numPr>
              <w:jc w:val="left"/>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color w:val="000000"/>
                <w:sz w:val="18"/>
              </w:rPr>
              <w:t>Being Considered</w:t>
            </w:r>
          </w:p>
        </w:tc>
      </w:tr>
      <w:tr w:rsidR="00E646C9" w:rsidRPr="00B75B77" w:rsidTr="00C94D5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 xml:space="preserve">Recommendation 2: </w:t>
            </w:r>
            <w:r w:rsidRPr="00B75B77">
              <w:rPr>
                <w:b w:val="0"/>
                <w:color w:val="000000"/>
                <w:sz w:val="18"/>
              </w:rPr>
              <w:t>PECO’s response to JACO’s closure can inform the response plans of other programs reliant on a turnkey CSP.</w:t>
            </w:r>
          </w:p>
        </w:tc>
        <w:tc>
          <w:tcPr>
            <w:tcW w:w="4680" w:type="dxa"/>
            <w:noWrap/>
            <w:hideMark/>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color w:val="000000"/>
                <w:sz w:val="18"/>
              </w:rPr>
              <w:t> </w:t>
            </w:r>
            <w:r w:rsidRPr="00B75B77">
              <w:rPr>
                <w:b/>
                <w:color w:val="000000"/>
                <w:sz w:val="18"/>
              </w:rPr>
              <w:t>Being Considered</w:t>
            </w:r>
          </w:p>
        </w:tc>
      </w:tr>
      <w:tr w:rsidR="00E646C9" w:rsidRPr="00B75B77" w:rsidTr="00C94D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Recommendation 3:</w:t>
            </w:r>
            <w:r w:rsidRPr="00B75B77">
              <w:rPr>
                <w:b w:val="0"/>
                <w:color w:val="000000"/>
                <w:sz w:val="18"/>
              </w:rPr>
              <w:t xml:space="preserve"> PECO should engage in statewide discussions to develop a more robust method for estimating net savings.</w:t>
            </w:r>
          </w:p>
        </w:tc>
        <w:tc>
          <w:tcPr>
            <w:tcW w:w="4680" w:type="dxa"/>
            <w:noWrap/>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color w:val="000000"/>
                <w:sz w:val="18"/>
              </w:rPr>
              <w:t> </w:t>
            </w:r>
            <w:r w:rsidRPr="00B75B77">
              <w:rPr>
                <w:b/>
                <w:color w:val="000000"/>
                <w:sz w:val="18"/>
              </w:rPr>
              <w:t>Being Considered</w:t>
            </w:r>
          </w:p>
        </w:tc>
      </w:tr>
    </w:tbl>
    <w:p w:rsidR="00E646C9" w:rsidRDefault="00E646C9" w:rsidP="00E646C9"/>
    <w:p w:rsidR="00E646C9" w:rsidRPr="008606B4" w:rsidRDefault="00E646C9" w:rsidP="003B56E9">
      <w:pPr>
        <w:pStyle w:val="AppendixGHeading2"/>
      </w:pPr>
      <w:r w:rsidRPr="008606B4">
        <w:t>Smart Usage Profile</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jc w:val="left"/>
              <w:rPr>
                <w:bCs w:val="0"/>
                <w:sz w:val="18"/>
              </w:rPr>
            </w:pPr>
            <w:r w:rsidRPr="00B75B77">
              <w:rPr>
                <w:bCs w:val="0"/>
                <w:sz w:val="18"/>
              </w:rPr>
              <w:t>Recommendations</w:t>
            </w:r>
          </w:p>
        </w:tc>
        <w:tc>
          <w:tcPr>
            <w:tcW w:w="4680" w:type="dxa"/>
            <w:shd w:val="clear" w:color="auto" w:fill="448A99"/>
            <w:vAlign w:val="bottom"/>
            <w:hideMark/>
          </w:tcPr>
          <w:p w:rsidR="003B56E9" w:rsidRDefault="003B56E9" w:rsidP="003B56E9">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EDC Status of Recommendation</w:t>
            </w:r>
          </w:p>
          <w:p w:rsidR="00E646C9" w:rsidRPr="00B75B77" w:rsidRDefault="003B56E9" w:rsidP="003B56E9">
            <w:pPr>
              <w:jc w:val="center"/>
              <w:cnfStyle w:val="100000000000" w:firstRow="1" w:lastRow="0" w:firstColumn="0" w:lastColumn="0" w:oddVBand="0" w:evenVBand="0" w:oddHBand="0" w:evenHBand="0" w:firstRowFirstColumn="0" w:firstRowLastColumn="0" w:lastRowFirstColumn="0" w:lastRowLastColumn="0"/>
              <w:rPr>
                <w:bCs w:val="0"/>
                <w:sz w:val="18"/>
              </w:rPr>
            </w:pPr>
            <w:r w:rsidRPr="003B56E9">
              <w:rPr>
                <w:b w:val="0"/>
                <w:bCs w:val="0"/>
                <w:sz w:val="18"/>
              </w:rPr>
              <w:t>(Implemented, Being Considered, Rejected AND Explanation of Action Taken by EDC)</w:t>
            </w:r>
          </w:p>
        </w:tc>
      </w:tr>
      <w:tr w:rsidR="00E646C9" w:rsidRPr="00B75B77" w:rsidTr="003B56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b w:val="0"/>
                <w:color w:val="000000"/>
                <w:sz w:val="18"/>
              </w:rPr>
            </w:pPr>
            <w:r w:rsidRPr="00B75B77">
              <w:rPr>
                <w:color w:val="000000"/>
                <w:sz w:val="18"/>
              </w:rPr>
              <w:t xml:space="preserve">Recommendation 1: </w:t>
            </w:r>
            <w:r w:rsidRPr="00B75B77">
              <w:rPr>
                <w:b w:val="0"/>
                <w:color w:val="000000"/>
                <w:sz w:val="18"/>
              </w:rPr>
              <w:t>Monitor the month-by-month progression of percentage savings from waves to optimize savings projections and program size in Phase III.</w:t>
            </w:r>
          </w:p>
        </w:tc>
        <w:tc>
          <w:tcPr>
            <w:tcW w:w="4680" w:type="dxa"/>
            <w:noWrap/>
            <w:vAlign w:val="center"/>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In Phase III, PECO plans to incorporate data analytics into program monitoring to help identify areas of opportunity and develop target channeling.</w:t>
            </w:r>
          </w:p>
        </w:tc>
      </w:tr>
      <w:tr w:rsidR="00E646C9" w:rsidRPr="00B75B77" w:rsidTr="003B56E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b w:val="0"/>
                <w:color w:val="000000"/>
                <w:sz w:val="18"/>
              </w:rPr>
            </w:pPr>
            <w:r w:rsidRPr="00B75B77">
              <w:rPr>
                <w:color w:val="000000"/>
                <w:sz w:val="18"/>
              </w:rPr>
              <w:t xml:space="preserve">Recommendation 2: </w:t>
            </w:r>
            <w:r w:rsidRPr="00B75B77">
              <w:rPr>
                <w:b w:val="0"/>
                <w:color w:val="000000"/>
                <w:sz w:val="18"/>
              </w:rPr>
              <w:t>Acquire and apply more data on household characteristics, lifestyles, and propensities to increase engagement and program channeling.</w:t>
            </w:r>
          </w:p>
        </w:tc>
        <w:tc>
          <w:tcPr>
            <w:tcW w:w="4680" w:type="dxa"/>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color w:val="000000"/>
                <w:sz w:val="18"/>
              </w:rPr>
              <w:t>Implemented:</w:t>
            </w:r>
            <w:r w:rsidRPr="00B75B77">
              <w:rPr>
                <w:color w:val="000000"/>
                <w:sz w:val="18"/>
              </w:rPr>
              <w:t xml:space="preserve"> In Phase III, PECO plans to incorporate data analytics into program monitoring to help identify areas of opportunity in the area of customer personalization.</w:t>
            </w:r>
          </w:p>
        </w:tc>
      </w:tr>
      <w:tr w:rsidR="00E646C9" w:rsidRPr="00B75B77" w:rsidTr="003B56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3: </w:t>
            </w:r>
          </w:p>
          <w:p w:rsidR="00E646C9" w:rsidRPr="00B75B77" w:rsidRDefault="00E646C9" w:rsidP="00E646C9">
            <w:pPr>
              <w:pStyle w:val="ListParagraph"/>
              <w:numPr>
                <w:ilvl w:val="0"/>
                <w:numId w:val="148"/>
              </w:numPr>
              <w:ind w:left="424" w:hanging="270"/>
              <w:jc w:val="left"/>
              <w:rPr>
                <w:b w:val="0"/>
                <w:color w:val="000000"/>
                <w:sz w:val="18"/>
              </w:rPr>
            </w:pPr>
            <w:r w:rsidRPr="00B75B77">
              <w:rPr>
                <w:b w:val="0"/>
                <w:color w:val="000000"/>
                <w:sz w:val="18"/>
              </w:rPr>
              <w:t>Utilize other PECO customer points of contact to gather participant email addresses for the purposes of electronic report delivery.</w:t>
            </w:r>
          </w:p>
          <w:p w:rsidR="00E646C9" w:rsidRPr="00B75B77" w:rsidRDefault="00E646C9" w:rsidP="00E646C9">
            <w:pPr>
              <w:pStyle w:val="ListParagraph"/>
              <w:numPr>
                <w:ilvl w:val="0"/>
                <w:numId w:val="148"/>
              </w:numPr>
              <w:ind w:left="424" w:hanging="270"/>
              <w:jc w:val="left"/>
              <w:rPr>
                <w:color w:val="000000"/>
                <w:sz w:val="18"/>
              </w:rPr>
            </w:pPr>
            <w:r w:rsidRPr="00B75B77">
              <w:rPr>
                <w:b w:val="0"/>
                <w:color w:val="000000"/>
                <w:sz w:val="18"/>
              </w:rPr>
              <w:t>PECO should document clear intentions and metrics for the email and web portal components of the program, especially for Phase III, and set and track goals accordingly.</w:t>
            </w:r>
          </w:p>
        </w:tc>
        <w:tc>
          <w:tcPr>
            <w:tcW w:w="468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working on developing a business intelligence and customer data analytics component of the program to advance its channeling and outreach pathways.</w:t>
            </w:r>
          </w:p>
        </w:tc>
      </w:tr>
    </w:tbl>
    <w:p w:rsidR="00E646C9" w:rsidRDefault="00E646C9" w:rsidP="00E646C9"/>
    <w:p w:rsidR="008945CF" w:rsidRDefault="008945CF" w:rsidP="00E646C9"/>
    <w:p w:rsidR="008945CF" w:rsidRDefault="008945CF" w:rsidP="00E646C9"/>
    <w:p w:rsidR="008945CF" w:rsidRDefault="008945CF" w:rsidP="00E646C9"/>
    <w:p w:rsidR="008945CF" w:rsidRDefault="008945CF" w:rsidP="00E646C9"/>
    <w:p w:rsidR="008945CF" w:rsidRDefault="008945CF" w:rsidP="00E646C9"/>
    <w:p w:rsidR="008945CF" w:rsidRDefault="008945CF" w:rsidP="00E646C9"/>
    <w:p w:rsidR="008945CF" w:rsidRDefault="008945CF" w:rsidP="00E646C9"/>
    <w:p w:rsidR="0011636D" w:rsidRDefault="0011636D" w:rsidP="00E646C9"/>
    <w:p w:rsidR="00E646C9" w:rsidRPr="008606B4" w:rsidRDefault="00E646C9" w:rsidP="003B56E9">
      <w:pPr>
        <w:pStyle w:val="AppendixGHeading2"/>
      </w:pPr>
      <w:r w:rsidRPr="008606B4">
        <w:t>Smart Energy Saver</w:t>
      </w:r>
    </w:p>
    <w:tbl>
      <w:tblPr>
        <w:tblW w:w="9355"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4400"/>
        <w:gridCol w:w="4955"/>
      </w:tblGrid>
      <w:tr w:rsidR="00E646C9" w:rsidRPr="00B75B77" w:rsidTr="0011636D">
        <w:trPr>
          <w:trHeight w:val="612"/>
        </w:trPr>
        <w:tc>
          <w:tcPr>
            <w:tcW w:w="4400" w:type="dxa"/>
            <w:shd w:val="clear" w:color="000000" w:fill="448A99"/>
            <w:hideMark/>
          </w:tcPr>
          <w:p w:rsidR="00E646C9" w:rsidRPr="00B75B77" w:rsidRDefault="00E646C9" w:rsidP="00821A84">
            <w:pPr>
              <w:keepNext/>
              <w:jc w:val="left"/>
              <w:rPr>
                <w:b/>
                <w:bCs/>
                <w:color w:val="FFFFFF"/>
                <w:sz w:val="18"/>
                <w:szCs w:val="18"/>
              </w:rPr>
            </w:pPr>
            <w:r w:rsidRPr="00B75B77">
              <w:rPr>
                <w:b/>
                <w:bCs/>
                <w:color w:val="FFFFFF"/>
                <w:sz w:val="18"/>
                <w:szCs w:val="18"/>
              </w:rPr>
              <w:t>Recommendations</w:t>
            </w:r>
          </w:p>
        </w:tc>
        <w:tc>
          <w:tcPr>
            <w:tcW w:w="4955" w:type="dxa"/>
            <w:shd w:val="clear" w:color="000000" w:fill="448A99"/>
            <w:vAlign w:val="bottom"/>
            <w:hideMark/>
          </w:tcPr>
          <w:p w:rsidR="008945CF" w:rsidRPr="008945CF" w:rsidRDefault="008945CF" w:rsidP="008945CF">
            <w:pPr>
              <w:keepNext/>
              <w:jc w:val="center"/>
              <w:rPr>
                <w:b/>
                <w:bCs/>
                <w:color w:val="FFFFFF" w:themeColor="background1"/>
                <w:sz w:val="18"/>
              </w:rPr>
            </w:pPr>
            <w:r w:rsidRPr="008945CF">
              <w:rPr>
                <w:b/>
                <w:bCs/>
                <w:color w:val="FFFFFF" w:themeColor="background1"/>
                <w:sz w:val="18"/>
              </w:rPr>
              <w:t>EDC Status of Recommendation</w:t>
            </w:r>
          </w:p>
          <w:p w:rsidR="00E646C9" w:rsidRPr="008945CF" w:rsidRDefault="008945CF" w:rsidP="008945CF">
            <w:pPr>
              <w:keepNext/>
              <w:jc w:val="center"/>
              <w:rPr>
                <w:b/>
                <w:bCs/>
                <w:color w:val="FFFFFF" w:themeColor="background1"/>
                <w:sz w:val="18"/>
                <w:szCs w:val="18"/>
              </w:rPr>
            </w:pPr>
            <w:r w:rsidRPr="008945CF">
              <w:rPr>
                <w:bCs/>
                <w:color w:val="FFFFFF" w:themeColor="background1"/>
                <w:sz w:val="18"/>
              </w:rPr>
              <w:t>(Implemented, Being Considered, Rejected AND Explanation of Action Taken by EDC)</w:t>
            </w:r>
          </w:p>
        </w:tc>
      </w:tr>
      <w:tr w:rsidR="00E646C9" w:rsidRPr="00B75B77" w:rsidTr="0011636D">
        <w:trPr>
          <w:trHeight w:val="917"/>
        </w:trPr>
        <w:tc>
          <w:tcPr>
            <w:tcW w:w="4400" w:type="dxa"/>
            <w:shd w:val="clear" w:color="000000" w:fill="D2EAF1"/>
            <w:hideMark/>
          </w:tcPr>
          <w:p w:rsidR="00E646C9" w:rsidRPr="00B75B77" w:rsidRDefault="00E646C9" w:rsidP="00C94D5A">
            <w:pPr>
              <w:keepNext/>
              <w:jc w:val="left"/>
              <w:rPr>
                <w:bCs/>
                <w:color w:val="000000"/>
                <w:sz w:val="18"/>
                <w:szCs w:val="18"/>
              </w:rPr>
            </w:pPr>
            <w:r w:rsidRPr="00B75B77">
              <w:rPr>
                <w:b/>
                <w:bCs/>
                <w:color w:val="000000"/>
                <w:sz w:val="18"/>
                <w:szCs w:val="18"/>
              </w:rPr>
              <w:t xml:space="preserve">Recommendation 1: </w:t>
            </w:r>
            <w:r w:rsidRPr="00B75B77">
              <w:rPr>
                <w:bCs/>
                <w:color w:val="000000"/>
                <w:sz w:val="18"/>
                <w:szCs w:val="18"/>
              </w:rPr>
              <w:t>PECO should consider whether or not offering nightlights as an energy-saving device for non-DI programs is appropriate for the portfolio.</w:t>
            </w:r>
          </w:p>
        </w:tc>
        <w:tc>
          <w:tcPr>
            <w:tcW w:w="4955" w:type="dxa"/>
            <w:shd w:val="clear" w:color="000000" w:fill="D2EAF1"/>
            <w:hideMark/>
          </w:tcPr>
          <w:p w:rsidR="00E646C9" w:rsidRPr="00B75B77" w:rsidRDefault="00E646C9" w:rsidP="00C94D5A">
            <w:pPr>
              <w:keepNext/>
              <w:jc w:val="left"/>
              <w:rPr>
                <w:color w:val="000000"/>
                <w:sz w:val="18"/>
                <w:szCs w:val="18"/>
              </w:rPr>
            </w:pPr>
            <w:r w:rsidRPr="00B75B77">
              <w:rPr>
                <w:b/>
                <w:color w:val="000000"/>
                <w:sz w:val="18"/>
                <w:szCs w:val="18"/>
              </w:rPr>
              <w:t>Being Considered:</w:t>
            </w:r>
            <w:r w:rsidRPr="00B75B77">
              <w:rPr>
                <w:color w:val="000000"/>
                <w:sz w:val="18"/>
                <w:szCs w:val="18"/>
              </w:rPr>
              <w:t xml:space="preserve"> PECO is considering if offering nightlights in non-DI programs/solutions makes sense in the next Phase.  </w:t>
            </w:r>
          </w:p>
        </w:tc>
      </w:tr>
      <w:tr w:rsidR="00E646C9" w:rsidRPr="00B75B77" w:rsidTr="0011636D">
        <w:trPr>
          <w:trHeight w:val="1691"/>
        </w:trPr>
        <w:tc>
          <w:tcPr>
            <w:tcW w:w="4400" w:type="dxa"/>
            <w:shd w:val="clear" w:color="auto" w:fill="auto"/>
            <w:hideMark/>
          </w:tcPr>
          <w:p w:rsidR="00E646C9" w:rsidRPr="00B75B77" w:rsidRDefault="00E646C9" w:rsidP="00C94D5A">
            <w:pPr>
              <w:keepNext/>
              <w:jc w:val="left"/>
              <w:rPr>
                <w:bCs/>
                <w:color w:val="000000"/>
                <w:sz w:val="18"/>
                <w:szCs w:val="18"/>
              </w:rPr>
            </w:pPr>
            <w:r w:rsidRPr="00B75B77">
              <w:rPr>
                <w:b/>
                <w:bCs/>
                <w:color w:val="000000"/>
                <w:sz w:val="18"/>
                <w:szCs w:val="18"/>
              </w:rPr>
              <w:t xml:space="preserve">Recommendation 2: </w:t>
            </w:r>
            <w:r w:rsidRPr="00B75B77">
              <w:rPr>
                <w:bCs/>
                <w:color w:val="000000"/>
                <w:sz w:val="18"/>
                <w:szCs w:val="18"/>
              </w:rPr>
              <w:t>If program implementation deviates from program design, PECO should review the design assumptions to ensure that the program plan and corresponding program expectations are achievable. PECO may decide to update either the design assumptions or program implementation to meet expectations or align the program with the original design intent.</w:t>
            </w:r>
          </w:p>
        </w:tc>
        <w:tc>
          <w:tcPr>
            <w:tcW w:w="4955" w:type="dxa"/>
            <w:shd w:val="clear" w:color="auto" w:fill="auto"/>
            <w:hideMark/>
          </w:tcPr>
          <w:p w:rsidR="00E646C9" w:rsidRPr="00B75B77" w:rsidRDefault="00E646C9" w:rsidP="00C94D5A">
            <w:pPr>
              <w:keepNext/>
              <w:jc w:val="left"/>
              <w:rPr>
                <w:color w:val="000000"/>
                <w:sz w:val="18"/>
                <w:szCs w:val="18"/>
              </w:rPr>
            </w:pPr>
            <w:r w:rsidRPr="00B75B77">
              <w:rPr>
                <w:b/>
                <w:color w:val="000000"/>
                <w:sz w:val="18"/>
                <w:szCs w:val="18"/>
              </w:rPr>
              <w:t xml:space="preserve">Not Applicable: </w:t>
            </w:r>
            <w:r w:rsidRPr="00B75B77">
              <w:rPr>
                <w:color w:val="000000"/>
                <w:sz w:val="18"/>
                <w:szCs w:val="18"/>
              </w:rPr>
              <w:t>This program was morphed into another solution for the low-income and multifamily customer segments, and will be tracked according to the design assumptions to meet desired outcome.</w:t>
            </w:r>
          </w:p>
        </w:tc>
      </w:tr>
    </w:tbl>
    <w:p w:rsidR="00E646C9" w:rsidRPr="008606B4" w:rsidRDefault="00E646C9" w:rsidP="00E646C9"/>
    <w:p w:rsidR="00E646C9" w:rsidRPr="008606B4" w:rsidRDefault="00E646C9" w:rsidP="008945CF">
      <w:pPr>
        <w:pStyle w:val="AppendixGHeading2"/>
      </w:pPr>
      <w:r w:rsidRPr="008606B4">
        <w:t>Smart Energy Saver</w:t>
      </w:r>
      <w:r>
        <w:t xml:space="preserve"> </w:t>
      </w:r>
    </w:p>
    <w:tbl>
      <w:tblPr>
        <w:tblW w:w="9355"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4400"/>
        <w:gridCol w:w="4955"/>
      </w:tblGrid>
      <w:tr w:rsidR="00E646C9" w:rsidRPr="00B75B77" w:rsidTr="00821A84">
        <w:trPr>
          <w:trHeight w:val="612"/>
        </w:trPr>
        <w:tc>
          <w:tcPr>
            <w:tcW w:w="4400" w:type="dxa"/>
            <w:shd w:val="clear" w:color="000000" w:fill="448A99"/>
            <w:hideMark/>
          </w:tcPr>
          <w:p w:rsidR="00E646C9" w:rsidRPr="00B75B77" w:rsidRDefault="00E646C9" w:rsidP="00821A84">
            <w:pPr>
              <w:keepNext/>
              <w:jc w:val="left"/>
              <w:rPr>
                <w:b/>
                <w:bCs/>
                <w:color w:val="FFFFFF"/>
                <w:sz w:val="18"/>
                <w:szCs w:val="18"/>
              </w:rPr>
            </w:pPr>
            <w:r w:rsidRPr="00B75B77">
              <w:rPr>
                <w:b/>
                <w:bCs/>
                <w:color w:val="FFFFFF"/>
                <w:sz w:val="18"/>
                <w:szCs w:val="18"/>
              </w:rPr>
              <w:t>Recommendations</w:t>
            </w:r>
          </w:p>
        </w:tc>
        <w:tc>
          <w:tcPr>
            <w:tcW w:w="4955" w:type="dxa"/>
            <w:shd w:val="clear" w:color="000000" w:fill="448A99"/>
            <w:vAlign w:val="center"/>
            <w:hideMark/>
          </w:tcPr>
          <w:p w:rsidR="008945CF" w:rsidRDefault="00E646C9" w:rsidP="008945CF">
            <w:pPr>
              <w:keepNext/>
              <w:jc w:val="center"/>
              <w:rPr>
                <w:b/>
                <w:bCs/>
                <w:color w:val="FFFFFF"/>
                <w:sz w:val="18"/>
                <w:szCs w:val="18"/>
              </w:rPr>
            </w:pPr>
            <w:r w:rsidRPr="00B75B77">
              <w:rPr>
                <w:b/>
                <w:bCs/>
                <w:color w:val="FFFFFF"/>
                <w:sz w:val="18"/>
                <w:szCs w:val="18"/>
              </w:rPr>
              <w:t xml:space="preserve">EDC Status of Recommendations </w:t>
            </w:r>
          </w:p>
          <w:p w:rsidR="00E646C9" w:rsidRPr="008945CF" w:rsidRDefault="00E646C9" w:rsidP="008945CF">
            <w:pPr>
              <w:keepNext/>
              <w:jc w:val="center"/>
              <w:rPr>
                <w:bCs/>
                <w:color w:val="FFFFFF"/>
                <w:sz w:val="18"/>
                <w:szCs w:val="18"/>
              </w:rPr>
            </w:pPr>
            <w:r w:rsidRPr="008945CF">
              <w:rPr>
                <w:bCs/>
                <w:color w:val="FFFFFF"/>
                <w:sz w:val="18"/>
                <w:szCs w:val="18"/>
              </w:rPr>
              <w:t>(Implemented, Being Considered, Rejected AND Explanation of Action Taken by EDC)</w:t>
            </w:r>
          </w:p>
        </w:tc>
      </w:tr>
      <w:tr w:rsidR="00E646C9" w:rsidRPr="00B75B77" w:rsidTr="008945CF">
        <w:trPr>
          <w:trHeight w:val="917"/>
        </w:trPr>
        <w:tc>
          <w:tcPr>
            <w:tcW w:w="4400" w:type="dxa"/>
            <w:shd w:val="clear" w:color="000000" w:fill="D2EAF1"/>
            <w:hideMark/>
          </w:tcPr>
          <w:p w:rsidR="00E646C9" w:rsidRPr="00B75B77" w:rsidRDefault="00E646C9" w:rsidP="00C94D5A">
            <w:pPr>
              <w:keepNext/>
              <w:jc w:val="left"/>
              <w:rPr>
                <w:bCs/>
                <w:color w:val="000000"/>
                <w:sz w:val="18"/>
                <w:szCs w:val="18"/>
              </w:rPr>
            </w:pPr>
            <w:r w:rsidRPr="00B75B77">
              <w:rPr>
                <w:b/>
                <w:bCs/>
                <w:color w:val="000000"/>
                <w:sz w:val="18"/>
                <w:szCs w:val="18"/>
              </w:rPr>
              <w:t xml:space="preserve">Recommendation 1: </w:t>
            </w:r>
            <w:r w:rsidRPr="00B75B77">
              <w:rPr>
                <w:bCs/>
                <w:color w:val="000000"/>
                <w:sz w:val="18"/>
                <w:szCs w:val="18"/>
              </w:rPr>
              <w:t>PECO should consider whether or not offering nightlights as an energy-saving device for non-DI programs is appropriate for the portfolio.</w:t>
            </w:r>
          </w:p>
        </w:tc>
        <w:tc>
          <w:tcPr>
            <w:tcW w:w="4955" w:type="dxa"/>
            <w:shd w:val="clear" w:color="000000" w:fill="D2EAF1"/>
            <w:hideMark/>
          </w:tcPr>
          <w:p w:rsidR="00E646C9" w:rsidRPr="00B75B77" w:rsidRDefault="00E646C9" w:rsidP="00C94D5A">
            <w:pPr>
              <w:keepNext/>
              <w:jc w:val="left"/>
              <w:rPr>
                <w:color w:val="000000"/>
                <w:sz w:val="18"/>
                <w:szCs w:val="18"/>
              </w:rPr>
            </w:pPr>
            <w:r w:rsidRPr="00B75B77">
              <w:rPr>
                <w:b/>
                <w:color w:val="000000"/>
                <w:sz w:val="18"/>
                <w:szCs w:val="18"/>
              </w:rPr>
              <w:t>Being Considered:</w:t>
            </w:r>
            <w:r w:rsidRPr="00B75B77">
              <w:rPr>
                <w:color w:val="000000"/>
                <w:sz w:val="18"/>
                <w:szCs w:val="18"/>
              </w:rPr>
              <w:t xml:space="preserve"> PECO is considering if offering nightlights in non-DI programs/solutions makes sense in the next Phase.  </w:t>
            </w:r>
          </w:p>
        </w:tc>
      </w:tr>
      <w:tr w:rsidR="00E646C9" w:rsidRPr="00B75B77" w:rsidTr="008945CF">
        <w:trPr>
          <w:trHeight w:val="1691"/>
        </w:trPr>
        <w:tc>
          <w:tcPr>
            <w:tcW w:w="4400" w:type="dxa"/>
            <w:shd w:val="clear" w:color="auto" w:fill="auto"/>
            <w:hideMark/>
          </w:tcPr>
          <w:p w:rsidR="00E646C9" w:rsidRPr="00B75B77" w:rsidRDefault="00E646C9" w:rsidP="00C94D5A">
            <w:pPr>
              <w:keepNext/>
              <w:jc w:val="left"/>
              <w:rPr>
                <w:bCs/>
                <w:color w:val="000000"/>
                <w:sz w:val="18"/>
                <w:szCs w:val="18"/>
              </w:rPr>
            </w:pPr>
            <w:r w:rsidRPr="00B75B77">
              <w:rPr>
                <w:b/>
                <w:bCs/>
                <w:color w:val="000000"/>
                <w:sz w:val="18"/>
                <w:szCs w:val="18"/>
              </w:rPr>
              <w:t xml:space="preserve">Recommendation 2: </w:t>
            </w:r>
            <w:r w:rsidRPr="00B75B77">
              <w:rPr>
                <w:bCs/>
                <w:color w:val="000000"/>
                <w:sz w:val="18"/>
                <w:szCs w:val="18"/>
              </w:rPr>
              <w:t>If program implementation deviates from program design, PECO should review the design assumptions to ensure that the program plan and corresponding program expectations are achievable. PECO may decide to update either the design assumptions or program implementation to meet expectations or align the program with the original design intent.</w:t>
            </w:r>
          </w:p>
        </w:tc>
        <w:tc>
          <w:tcPr>
            <w:tcW w:w="4955" w:type="dxa"/>
            <w:shd w:val="clear" w:color="auto" w:fill="auto"/>
            <w:hideMark/>
          </w:tcPr>
          <w:p w:rsidR="00E646C9" w:rsidRPr="00B75B77" w:rsidRDefault="00E646C9" w:rsidP="00C94D5A">
            <w:pPr>
              <w:keepNext/>
              <w:jc w:val="left"/>
              <w:rPr>
                <w:color w:val="000000"/>
                <w:sz w:val="18"/>
                <w:szCs w:val="18"/>
              </w:rPr>
            </w:pPr>
            <w:r w:rsidRPr="00B75B77">
              <w:rPr>
                <w:b/>
                <w:color w:val="000000"/>
                <w:sz w:val="18"/>
                <w:szCs w:val="18"/>
              </w:rPr>
              <w:t xml:space="preserve">Not Applicable: </w:t>
            </w:r>
            <w:r w:rsidRPr="00B75B77">
              <w:rPr>
                <w:color w:val="000000"/>
                <w:sz w:val="18"/>
                <w:szCs w:val="18"/>
              </w:rPr>
              <w:t>This program was morphed into another solution for the low-income and multifamily customer segments, and will be tracked according to the design assumptions to meet desired outcome.</w:t>
            </w:r>
          </w:p>
        </w:tc>
      </w:tr>
    </w:tbl>
    <w:p w:rsidR="00E646C9" w:rsidRPr="008606B4" w:rsidRDefault="00E646C9" w:rsidP="00E646C9"/>
    <w:p w:rsidR="00E646C9" w:rsidRPr="008606B4" w:rsidRDefault="00E646C9" w:rsidP="008945CF">
      <w:pPr>
        <w:pStyle w:val="AppendixGHeading2"/>
      </w:pPr>
      <w:r w:rsidRPr="008606B4">
        <w:t>Smart Builder Rebates</w:t>
      </w:r>
      <w:r>
        <w:t xml:space="preserve"> - FIX</w:t>
      </w:r>
    </w:p>
    <w:tbl>
      <w:tblPr>
        <w:tblStyle w:val="PECOTeal"/>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400"/>
        <w:gridCol w:w="4950"/>
      </w:tblGrid>
      <w:tr w:rsidR="00E646C9" w:rsidRPr="00876BD8" w:rsidTr="00821A84">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00" w:type="dxa"/>
            <w:vAlign w:val="top"/>
            <w:hideMark/>
          </w:tcPr>
          <w:p w:rsidR="00E646C9" w:rsidRPr="00876BD8" w:rsidRDefault="00E646C9" w:rsidP="00821A84">
            <w:pPr>
              <w:keepNext/>
              <w:keepLines/>
              <w:jc w:val="left"/>
              <w:rPr>
                <w:rFonts w:ascii="Calibri" w:eastAsia="Times New Roman" w:hAnsi="Calibri"/>
                <w:bCs w:val="0"/>
                <w:sz w:val="18"/>
                <w:szCs w:val="18"/>
              </w:rPr>
            </w:pPr>
            <w:r w:rsidRPr="00876BD8">
              <w:rPr>
                <w:rFonts w:ascii="Calibri" w:eastAsia="Times New Roman" w:hAnsi="Calibri"/>
                <w:bCs w:val="0"/>
                <w:sz w:val="18"/>
                <w:szCs w:val="18"/>
              </w:rPr>
              <w:t>Recommendations</w:t>
            </w:r>
          </w:p>
        </w:tc>
        <w:tc>
          <w:tcPr>
            <w:tcW w:w="4950" w:type="dxa"/>
            <w:vAlign w:val="bottom"/>
            <w:hideMark/>
          </w:tcPr>
          <w:p w:rsidR="008945CF" w:rsidRDefault="00E646C9" w:rsidP="008945CF">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876BD8">
              <w:rPr>
                <w:rFonts w:ascii="Calibri" w:eastAsia="Times New Roman" w:hAnsi="Calibri"/>
                <w:bCs w:val="0"/>
                <w:sz w:val="18"/>
                <w:szCs w:val="18"/>
              </w:rPr>
              <w:t xml:space="preserve">EDC Status of Recommendation </w:t>
            </w:r>
          </w:p>
          <w:p w:rsidR="00E646C9" w:rsidRPr="008945CF" w:rsidRDefault="00E646C9" w:rsidP="008945CF">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18"/>
                <w:szCs w:val="18"/>
              </w:rPr>
            </w:pPr>
            <w:r w:rsidRPr="008945CF">
              <w:rPr>
                <w:rFonts w:ascii="Calibri" w:eastAsia="Times New Roman" w:hAnsi="Calibri"/>
                <w:b w:val="0"/>
                <w:bCs w:val="0"/>
                <w:sz w:val="18"/>
                <w:szCs w:val="18"/>
              </w:rPr>
              <w:t>(Implemented, Being Considered, Rejected AND Explanation of Action Taken by EDC)</w:t>
            </w:r>
          </w:p>
        </w:tc>
      </w:tr>
      <w:tr w:rsidR="00E646C9" w:rsidRPr="00876BD8" w:rsidTr="008945CF">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4400" w:type="dxa"/>
            <w:noWrap/>
            <w:vAlign w:val="top"/>
            <w:hideMark/>
          </w:tcPr>
          <w:p w:rsidR="00E646C9" w:rsidRPr="00876BD8" w:rsidRDefault="00E646C9" w:rsidP="00C94D5A">
            <w:pPr>
              <w:keepNext/>
              <w:keepLines/>
              <w:jc w:val="left"/>
              <w:rPr>
                <w:rFonts w:eastAsia="Times New Roman"/>
                <w:color w:val="000000"/>
                <w:sz w:val="18"/>
                <w:szCs w:val="18"/>
              </w:rPr>
            </w:pPr>
            <w:r w:rsidRPr="00876BD8">
              <w:rPr>
                <w:rFonts w:eastAsia="Times New Roman"/>
                <w:color w:val="000000"/>
                <w:sz w:val="18"/>
                <w:szCs w:val="18"/>
              </w:rPr>
              <w:t xml:space="preserve">Recommendation 1: </w:t>
            </w:r>
            <w:r w:rsidRPr="00876BD8">
              <w:rPr>
                <w:rFonts w:eastAsia="Times New Roman"/>
                <w:b w:val="0"/>
                <w:color w:val="000000"/>
                <w:sz w:val="18"/>
                <w:szCs w:val="18"/>
              </w:rPr>
              <w:t>Monitor rebate processing time on a monthly basis to ensure the CSP is meeting the incentive payment timing goals in Phase III.</w:t>
            </w:r>
          </w:p>
        </w:tc>
        <w:tc>
          <w:tcPr>
            <w:tcW w:w="4950" w:type="dxa"/>
            <w:noWrap/>
          </w:tcPr>
          <w:p w:rsidR="00E646C9" w:rsidRPr="00876BD8" w:rsidRDefault="00E646C9" w:rsidP="00C94D5A">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876BD8">
              <w:rPr>
                <w:rFonts w:eastAsia="Times New Roman"/>
                <w:b/>
                <w:color w:val="000000"/>
                <w:sz w:val="18"/>
                <w:szCs w:val="18"/>
              </w:rPr>
              <w:t xml:space="preserve">Implemented: </w:t>
            </w:r>
            <w:r w:rsidRPr="00876BD8">
              <w:rPr>
                <w:rFonts w:eastAsia="Times New Roman"/>
                <w:color w:val="000000"/>
                <w:sz w:val="18"/>
                <w:szCs w:val="18"/>
              </w:rPr>
              <w:t>PECO is now monitoring rebate-processing time on a monthly basis to ensure the CSP is meeting the incentive payment timing goals.</w:t>
            </w:r>
          </w:p>
        </w:tc>
      </w:tr>
      <w:tr w:rsidR="00E646C9" w:rsidRPr="00876BD8" w:rsidTr="008945CF">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4400" w:type="dxa"/>
            <w:noWrap/>
          </w:tcPr>
          <w:p w:rsidR="00E646C9" w:rsidRPr="00876BD8" w:rsidRDefault="00E646C9" w:rsidP="00C94D5A">
            <w:pPr>
              <w:keepNext/>
              <w:keepLines/>
              <w:jc w:val="left"/>
              <w:rPr>
                <w:rFonts w:eastAsia="Times New Roman"/>
                <w:b w:val="0"/>
                <w:bCs w:val="0"/>
                <w:color w:val="000000"/>
                <w:sz w:val="18"/>
                <w:szCs w:val="18"/>
              </w:rPr>
            </w:pPr>
            <w:r w:rsidRPr="00876BD8">
              <w:rPr>
                <w:rFonts w:eastAsia="Times New Roman"/>
                <w:bCs w:val="0"/>
                <w:color w:val="000000"/>
                <w:sz w:val="18"/>
                <w:szCs w:val="18"/>
              </w:rPr>
              <w:t xml:space="preserve">Recommendation 2: </w:t>
            </w:r>
            <w:r w:rsidRPr="00876BD8">
              <w:rPr>
                <w:rFonts w:eastAsia="Times New Roman"/>
                <w:b w:val="0"/>
                <w:bCs w:val="0"/>
                <w:color w:val="000000"/>
                <w:sz w:val="18"/>
                <w:szCs w:val="18"/>
              </w:rPr>
              <w:t>Conduct broader outreach among nonparticipating builders in Phase III using the Code-Plus participation option to recruit code-level builders.</w:t>
            </w:r>
          </w:p>
        </w:tc>
        <w:tc>
          <w:tcPr>
            <w:tcW w:w="4950" w:type="dxa"/>
            <w:noWrap/>
          </w:tcPr>
          <w:p w:rsidR="00E646C9" w:rsidRPr="00876BD8" w:rsidRDefault="00E646C9" w:rsidP="00C94D5A">
            <w:pPr>
              <w:keepNext/>
              <w:keepLines/>
              <w:jc w:val="lef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876BD8">
              <w:rPr>
                <w:rFonts w:eastAsia="Times New Roman"/>
                <w:b/>
                <w:color w:val="000000"/>
                <w:sz w:val="18"/>
                <w:szCs w:val="18"/>
              </w:rPr>
              <w:t xml:space="preserve">Implemented: </w:t>
            </w:r>
            <w:r w:rsidRPr="00876BD8">
              <w:rPr>
                <w:rFonts w:eastAsia="Times New Roman"/>
                <w:color w:val="000000"/>
                <w:sz w:val="18"/>
                <w:szCs w:val="18"/>
              </w:rPr>
              <w:t>PECO is conducting a broader outreach among nonparticipating builders.</w:t>
            </w:r>
          </w:p>
        </w:tc>
      </w:tr>
      <w:tr w:rsidR="00E646C9" w:rsidRPr="00876BD8" w:rsidTr="008945CF">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4400" w:type="dxa"/>
            <w:noWrap/>
            <w:vAlign w:val="top"/>
          </w:tcPr>
          <w:p w:rsidR="00E646C9" w:rsidRPr="00876BD8" w:rsidRDefault="00E646C9" w:rsidP="00C94D5A">
            <w:pPr>
              <w:keepNext/>
              <w:keepLines/>
              <w:jc w:val="left"/>
              <w:rPr>
                <w:rFonts w:eastAsia="Times New Roman"/>
                <w:b w:val="0"/>
                <w:bCs w:val="0"/>
                <w:color w:val="000000"/>
                <w:sz w:val="18"/>
                <w:szCs w:val="18"/>
              </w:rPr>
            </w:pPr>
            <w:r w:rsidRPr="00876BD8">
              <w:rPr>
                <w:rFonts w:eastAsia="Times New Roman"/>
                <w:bCs w:val="0"/>
                <w:color w:val="000000"/>
                <w:sz w:val="18"/>
                <w:szCs w:val="18"/>
              </w:rPr>
              <w:t xml:space="preserve">Recommendation 3: </w:t>
            </w:r>
            <w:r w:rsidRPr="00876BD8">
              <w:rPr>
                <w:rFonts w:eastAsia="Times New Roman"/>
                <w:b w:val="0"/>
                <w:bCs w:val="0"/>
                <w:color w:val="000000"/>
                <w:sz w:val="18"/>
                <w:szCs w:val="18"/>
              </w:rPr>
              <w:tab/>
              <w:t>Provide builders support with recruiting and educating contractors in Phase III through program-sponsored training and outreach.</w:t>
            </w:r>
          </w:p>
        </w:tc>
        <w:tc>
          <w:tcPr>
            <w:tcW w:w="4950" w:type="dxa"/>
            <w:noWrap/>
          </w:tcPr>
          <w:p w:rsidR="00E646C9" w:rsidRPr="00876BD8" w:rsidRDefault="00E646C9" w:rsidP="00C94D5A">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876BD8">
              <w:rPr>
                <w:rFonts w:eastAsia="Times New Roman"/>
                <w:b/>
                <w:color w:val="000000"/>
                <w:sz w:val="18"/>
                <w:szCs w:val="18"/>
              </w:rPr>
              <w:t>Being Considered:</w:t>
            </w:r>
            <w:r w:rsidRPr="00876BD8">
              <w:rPr>
                <w:rFonts w:eastAsia="Times New Roman"/>
                <w:color w:val="000000"/>
                <w:sz w:val="18"/>
                <w:szCs w:val="18"/>
              </w:rPr>
              <w:t xml:space="preserve"> Working with outside resources to develop and implement a plan to educate raters and builders alike to the benefits of building to energy-efficient standards, but also on how to effectively communicate it with customers/consumers.</w:t>
            </w:r>
          </w:p>
        </w:tc>
      </w:tr>
    </w:tbl>
    <w:p w:rsidR="00E646C9" w:rsidRDefault="00E646C9" w:rsidP="00E646C9"/>
    <w:p w:rsidR="00821A84" w:rsidRDefault="00821A84" w:rsidP="00E646C9"/>
    <w:p w:rsidR="00821A84" w:rsidRDefault="00821A84" w:rsidP="00E646C9"/>
    <w:p w:rsidR="00821A84" w:rsidRDefault="00821A84" w:rsidP="00E646C9"/>
    <w:p w:rsidR="00821A84" w:rsidRDefault="00821A84" w:rsidP="00E646C9"/>
    <w:p w:rsidR="00E646C9" w:rsidRDefault="00E646C9" w:rsidP="008945CF">
      <w:pPr>
        <w:pStyle w:val="AppendixGHeading2"/>
      </w:pPr>
      <w:r w:rsidRPr="008606B4">
        <w:t>Low-Income Energy Efficiency</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keepNext/>
              <w:jc w:val="left"/>
              <w:rPr>
                <w:bCs w:val="0"/>
                <w:sz w:val="18"/>
              </w:rPr>
            </w:pPr>
            <w:r w:rsidRPr="00B75B77">
              <w:rPr>
                <w:bCs w:val="0"/>
                <w:sz w:val="18"/>
              </w:rPr>
              <w:t>Recommendations</w:t>
            </w:r>
          </w:p>
        </w:tc>
        <w:tc>
          <w:tcPr>
            <w:tcW w:w="4680" w:type="dxa"/>
            <w:shd w:val="clear" w:color="auto" w:fill="448A99"/>
            <w:vAlign w:val="bottom"/>
            <w:hideMark/>
          </w:tcPr>
          <w:p w:rsidR="008945CF" w:rsidRDefault="00E646C9" w:rsidP="008945CF">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8945CF" w:rsidRDefault="00E646C9" w:rsidP="008945CF">
            <w:pPr>
              <w:keepNext/>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8945CF">
              <w:rPr>
                <w:b w:val="0"/>
                <w:bCs w:val="0"/>
                <w:sz w:val="18"/>
              </w:rPr>
              <w:t>(Implemented, Being Considered, Rejected, AND Explanation of Action Taken by EDC)</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Recommendation 1:</w:t>
            </w:r>
            <w:r w:rsidRPr="00B75B77">
              <w:rPr>
                <w:b w:val="0"/>
                <w:bCs w:val="0"/>
              </w:rPr>
              <w:t xml:space="preserve"> </w:t>
            </w:r>
            <w:r w:rsidRPr="00B75B77">
              <w:rPr>
                <w:b w:val="0"/>
                <w:color w:val="000000"/>
                <w:sz w:val="18"/>
              </w:rPr>
              <w:t>Collect existing refrigerator data from participants and use the PY8 IMP to estimate ex ante refrigerator savings.</w:t>
            </w:r>
          </w:p>
        </w:tc>
        <w:tc>
          <w:tcPr>
            <w:tcW w:w="4680" w:type="dxa"/>
            <w:noWrap/>
            <w:vAlign w:val="center"/>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PECO’s CSP is collecting existing refrigerator data and using the PY8 IMP to estimate ex ante refrigerator savings.</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 xml:space="preserve">Recommendation 2: </w:t>
            </w:r>
            <w:r w:rsidRPr="00B75B77">
              <w:rPr>
                <w:b w:val="0"/>
                <w:color w:val="000000"/>
                <w:sz w:val="18"/>
              </w:rPr>
              <w:t>Ensure schedule expectations are clear and applied consistently across customers; consider follow-up with customers to encourage further action.</w:t>
            </w:r>
          </w:p>
        </w:tc>
        <w:tc>
          <w:tcPr>
            <w:tcW w:w="4680" w:type="dxa"/>
            <w:noWrap/>
            <w:vAlign w:val="center"/>
            <w:hideMark/>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PECO is working with the CSP to ensure schedule expectations are clear and encouraging further actions by following up with customers.</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Recommendation 3:</w:t>
            </w:r>
            <w:r w:rsidRPr="00B75B77">
              <w:rPr>
                <w:b w:val="0"/>
                <w:color w:val="000000"/>
                <w:sz w:val="18"/>
              </w:rPr>
              <w:t xml:space="preserve"> Shift to LEDs only; target distribution of free bulbs to households with incandescent bulbs.</w:t>
            </w:r>
          </w:p>
        </w:tc>
        <w:tc>
          <w:tcPr>
            <w:tcW w:w="4680" w:type="dxa"/>
            <w:noWrap/>
            <w:vAlign w:val="center"/>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color w:val="000000"/>
                <w:sz w:val="18"/>
              </w:rPr>
              <w:t>Being Considered</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color w:val="000000"/>
                <w:sz w:val="18"/>
              </w:rPr>
            </w:pPr>
            <w:r w:rsidRPr="00B75B77">
              <w:rPr>
                <w:color w:val="000000"/>
                <w:sz w:val="18"/>
              </w:rPr>
              <w:t xml:space="preserve">Recommendation 4: </w:t>
            </w:r>
            <w:r w:rsidRPr="00B75B77">
              <w:rPr>
                <w:b w:val="0"/>
                <w:color w:val="000000"/>
                <w:sz w:val="18"/>
              </w:rPr>
              <w:t>Develop targeted program materials that prioritize next steps and guide customers to the most appropriate program component.</w:t>
            </w:r>
          </w:p>
        </w:tc>
        <w:tc>
          <w:tcPr>
            <w:tcW w:w="4680" w:type="dxa"/>
            <w:noWrap/>
            <w:vAlign w:val="center"/>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PECO is working with a Marketing firm to enhance current program materials, which would include next steps and guide customers to other programs.</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color w:val="000000"/>
                <w:sz w:val="18"/>
              </w:rPr>
            </w:pPr>
            <w:r w:rsidRPr="00B75B77">
              <w:rPr>
                <w:color w:val="000000"/>
                <w:sz w:val="18"/>
              </w:rPr>
              <w:t xml:space="preserve">Recommendation 5: </w:t>
            </w:r>
            <w:r w:rsidRPr="00B75B77">
              <w:rPr>
                <w:b w:val="0"/>
                <w:color w:val="000000"/>
                <w:sz w:val="18"/>
              </w:rPr>
              <w:t>Increase number of customers benefiting from comprehensive program measures.</w:t>
            </w:r>
          </w:p>
        </w:tc>
        <w:tc>
          <w:tcPr>
            <w:tcW w:w="4680" w:type="dxa"/>
            <w:noWrap/>
            <w:vAlign w:val="center"/>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color w:val="000000"/>
                <w:sz w:val="18"/>
              </w:rPr>
              <w:t>Being Considered</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color w:val="000000"/>
                <w:sz w:val="18"/>
              </w:rPr>
            </w:pPr>
            <w:r w:rsidRPr="00B75B77">
              <w:rPr>
                <w:color w:val="000000"/>
                <w:sz w:val="18"/>
              </w:rPr>
              <w:t>Recommendation 6:</w:t>
            </w:r>
            <w:r w:rsidRPr="00B75B77">
              <w:rPr>
                <w:b w:val="0"/>
                <w:color w:val="000000"/>
                <w:sz w:val="18"/>
              </w:rPr>
              <w:t xml:space="preserve"> Acquire and apply data on low-income household characteristics; tailor future program implementation strategies to meet the needs of eligible customers.</w:t>
            </w:r>
          </w:p>
        </w:tc>
        <w:tc>
          <w:tcPr>
            <w:tcW w:w="4680" w:type="dxa"/>
            <w:noWrap/>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color w:val="000000"/>
                <w:sz w:val="18"/>
              </w:rPr>
              <w:t>Being Considered</w:t>
            </w:r>
          </w:p>
        </w:tc>
      </w:tr>
    </w:tbl>
    <w:p w:rsidR="00E646C9" w:rsidRDefault="00E646C9" w:rsidP="00E646C9"/>
    <w:p w:rsidR="00E646C9" w:rsidRPr="008606B4" w:rsidRDefault="00E646C9" w:rsidP="008945CF">
      <w:pPr>
        <w:pStyle w:val="AppendixGHeading2"/>
      </w:pPr>
      <w:r w:rsidRPr="008606B4">
        <w:t xml:space="preserve">Smart </w:t>
      </w:r>
      <w:r>
        <w:t>A/C</w:t>
      </w:r>
      <w:r w:rsidRPr="008606B4">
        <w:t xml:space="preserve"> Saver</w:t>
      </w:r>
      <w:r>
        <w:t xml:space="preserve"> - Residential</w:t>
      </w:r>
    </w:p>
    <w:tbl>
      <w:tblPr>
        <w:tblStyle w:val="MediumShading1-Accent5"/>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7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670" w:type="dxa"/>
            <w:shd w:val="clear" w:color="auto" w:fill="448A99"/>
            <w:hideMark/>
          </w:tcPr>
          <w:p w:rsidR="00E646C9" w:rsidRPr="00B75B77" w:rsidRDefault="00E646C9" w:rsidP="00821A84">
            <w:pPr>
              <w:keepNext/>
              <w:jc w:val="left"/>
              <w:rPr>
                <w:bCs w:val="0"/>
                <w:sz w:val="18"/>
                <w:szCs w:val="18"/>
              </w:rPr>
            </w:pPr>
            <w:r w:rsidRPr="00B75B77">
              <w:rPr>
                <w:bCs w:val="0"/>
                <w:sz w:val="18"/>
                <w:szCs w:val="18"/>
              </w:rPr>
              <w:t>Recommendations</w:t>
            </w:r>
          </w:p>
        </w:tc>
        <w:tc>
          <w:tcPr>
            <w:tcW w:w="4680" w:type="dxa"/>
            <w:shd w:val="clear" w:color="auto" w:fill="448A99"/>
            <w:vAlign w:val="center"/>
            <w:hideMark/>
          </w:tcPr>
          <w:p w:rsidR="008945CF" w:rsidRPr="008945CF" w:rsidRDefault="008945CF" w:rsidP="008945CF">
            <w:pPr>
              <w:keepNext/>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8"/>
              </w:rPr>
            </w:pPr>
            <w:r w:rsidRPr="008945CF">
              <w:rPr>
                <w:bCs w:val="0"/>
                <w:color w:val="FFFFFF" w:themeColor="background1"/>
                <w:sz w:val="18"/>
              </w:rPr>
              <w:t>EDC Status of Recommendation</w:t>
            </w:r>
          </w:p>
          <w:p w:rsidR="00E646C9" w:rsidRPr="00B75B77" w:rsidRDefault="008945CF" w:rsidP="008945CF">
            <w:pPr>
              <w:keepNex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8945CF">
              <w:rPr>
                <w:b w:val="0"/>
                <w:bCs w:val="0"/>
                <w:color w:val="FFFFFF" w:themeColor="background1"/>
                <w:sz w:val="18"/>
              </w:rPr>
              <w:t>(Implemented, Being Considered, Rejected, AND Explanation of Action Taken by EDC)</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noWrap/>
            <w:vAlign w:val="center"/>
            <w:hideMark/>
          </w:tcPr>
          <w:p w:rsidR="00E646C9" w:rsidRPr="00B75B77" w:rsidRDefault="00E646C9" w:rsidP="00C94D5A">
            <w:pPr>
              <w:keepNext/>
              <w:jc w:val="left"/>
              <w:rPr>
                <w:rFonts w:eastAsiaTheme="minorEastAsia" w:cstheme="minorBidi"/>
                <w:bCs w:val="0"/>
                <w:color w:val="000000" w:themeColor="text1"/>
                <w:kern w:val="24"/>
                <w:sz w:val="18"/>
                <w:szCs w:val="18"/>
              </w:rPr>
            </w:pPr>
            <w:r w:rsidRPr="00B75B77">
              <w:rPr>
                <w:rFonts w:eastAsiaTheme="minorEastAsia" w:cstheme="minorBidi"/>
                <w:bCs w:val="0"/>
                <w:color w:val="000000" w:themeColor="text1"/>
                <w:kern w:val="24"/>
                <w:sz w:val="18"/>
                <w:szCs w:val="18"/>
              </w:rPr>
              <w:t xml:space="preserve">Recommendation 1: </w:t>
            </w:r>
          </w:p>
          <w:p w:rsidR="00E646C9" w:rsidRPr="00B75B77" w:rsidRDefault="00E646C9" w:rsidP="00E646C9">
            <w:pPr>
              <w:pStyle w:val="ListParagraph"/>
              <w:keepNext/>
              <w:numPr>
                <w:ilvl w:val="1"/>
                <w:numId w:val="149"/>
              </w:numPr>
              <w:ind w:left="517" w:hanging="270"/>
              <w:jc w:val="left"/>
              <w:rPr>
                <w:rFonts w:eastAsiaTheme="minorEastAsia" w:cstheme="minorBidi"/>
                <w:b w:val="0"/>
                <w:color w:val="000000" w:themeColor="text1"/>
                <w:kern w:val="24"/>
                <w:sz w:val="18"/>
                <w:szCs w:val="18"/>
              </w:rPr>
            </w:pPr>
            <w:r w:rsidRPr="00B75B77">
              <w:rPr>
                <w:rFonts w:eastAsiaTheme="minorEastAsia" w:cstheme="minorBidi"/>
                <w:b w:val="0"/>
                <w:color w:val="000000" w:themeColor="text1"/>
                <w:kern w:val="24"/>
                <w:sz w:val="18"/>
                <w:szCs w:val="18"/>
              </w:rPr>
              <w:t>PECO should ensure the program database contains necessary data to allow Navigant to calculate verified savings via comparison group analysis in Phase III.</w:t>
            </w:r>
          </w:p>
          <w:p w:rsidR="00E646C9" w:rsidRPr="00B75B77" w:rsidRDefault="00E646C9" w:rsidP="00E646C9">
            <w:pPr>
              <w:pStyle w:val="ListParagraph"/>
              <w:keepNext/>
              <w:numPr>
                <w:ilvl w:val="1"/>
                <w:numId w:val="149"/>
              </w:numPr>
              <w:ind w:left="517" w:hanging="270"/>
              <w:jc w:val="left"/>
              <w:rPr>
                <w:rFonts w:eastAsiaTheme="minorEastAsia" w:cstheme="minorBidi"/>
                <w:color w:val="000000" w:themeColor="text1"/>
                <w:kern w:val="24"/>
                <w:sz w:val="18"/>
                <w:szCs w:val="18"/>
              </w:rPr>
            </w:pPr>
            <w:r w:rsidRPr="00B75B77">
              <w:rPr>
                <w:rFonts w:eastAsiaTheme="minorEastAsia" w:cstheme="minorBidi"/>
                <w:b w:val="0"/>
                <w:color w:val="000000" w:themeColor="text1"/>
                <w:kern w:val="24"/>
                <w:sz w:val="18"/>
                <w:szCs w:val="18"/>
              </w:rPr>
              <w:t>PECO should be prepared to quickly and securely transfer program database information to Navigant for verified savings analysis in Phase III.</w:t>
            </w:r>
          </w:p>
        </w:tc>
        <w:tc>
          <w:tcPr>
            <w:tcW w:w="4680" w:type="dxa"/>
            <w:noWrap/>
            <w:vAlign w:val="center"/>
            <w:hideMark/>
          </w:tcPr>
          <w:p w:rsidR="00E646C9" w:rsidRPr="00B75B77" w:rsidRDefault="00E646C9" w:rsidP="00E646C9">
            <w:pPr>
              <w:pStyle w:val="ListParagraph"/>
              <w:keepNext/>
              <w:numPr>
                <w:ilvl w:val="0"/>
                <w:numId w:val="150"/>
              </w:num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B75B77">
              <w:rPr>
                <w:b/>
                <w:color w:val="000000"/>
                <w:sz w:val="18"/>
                <w:szCs w:val="18"/>
              </w:rPr>
              <w:t xml:space="preserve">Implemented: </w:t>
            </w:r>
            <w:r w:rsidRPr="00B75B77">
              <w:rPr>
                <w:color w:val="000000"/>
                <w:sz w:val="18"/>
                <w:szCs w:val="18"/>
              </w:rPr>
              <w:t>Interval data will be available; will have to collaborate with Navigant to define the format.</w:t>
            </w:r>
          </w:p>
          <w:p w:rsidR="00E646C9" w:rsidRPr="00B75B77" w:rsidRDefault="00E646C9" w:rsidP="00E646C9">
            <w:pPr>
              <w:pStyle w:val="ListParagraph"/>
              <w:keepNext/>
              <w:numPr>
                <w:ilvl w:val="0"/>
                <w:numId w:val="150"/>
              </w:num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B75B77">
              <w:rPr>
                <w:b/>
                <w:color w:val="000000"/>
                <w:sz w:val="18"/>
                <w:szCs w:val="18"/>
              </w:rPr>
              <w:t>Being Considered:</w:t>
            </w:r>
            <w:r w:rsidRPr="00B75B77">
              <w:rPr>
                <w:color w:val="000000"/>
                <w:sz w:val="18"/>
                <w:szCs w:val="18"/>
              </w:rPr>
              <w:t xml:space="preserve"> PECO will work with Navigant to extract AMI data as soon as it is available, which is at the earliest around 4 weeks after the event takes place.</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shd w:val="clear" w:color="auto" w:fill="auto"/>
            <w:noWrap/>
            <w:vAlign w:val="center"/>
            <w:hideMark/>
          </w:tcPr>
          <w:p w:rsidR="00E646C9" w:rsidRPr="00B75B77" w:rsidRDefault="00E646C9" w:rsidP="00C94D5A">
            <w:pPr>
              <w:keepNext/>
              <w:jc w:val="left"/>
              <w:rPr>
                <w:b w:val="0"/>
                <w:color w:val="000000"/>
                <w:sz w:val="18"/>
                <w:szCs w:val="18"/>
              </w:rPr>
            </w:pPr>
            <w:r w:rsidRPr="00B75B77">
              <w:rPr>
                <w:rFonts w:eastAsiaTheme="minorEastAsia" w:cstheme="minorBidi"/>
                <w:bCs w:val="0"/>
                <w:color w:val="000000" w:themeColor="text1"/>
                <w:kern w:val="24"/>
                <w:sz w:val="18"/>
                <w:szCs w:val="18"/>
              </w:rPr>
              <w:t xml:space="preserve">Recommendation 2: </w:t>
            </w:r>
            <w:r w:rsidRPr="00B75B77">
              <w:rPr>
                <w:rFonts w:eastAsiaTheme="minorEastAsia" w:cstheme="minorBidi"/>
                <w:b w:val="0"/>
                <w:color w:val="000000" w:themeColor="text1"/>
                <w:kern w:val="24"/>
                <w:sz w:val="18"/>
                <w:szCs w:val="18"/>
              </w:rPr>
              <w:t>Prepare for a possible drop in satisfaction.</w:t>
            </w:r>
          </w:p>
        </w:tc>
        <w:tc>
          <w:tcPr>
            <w:tcW w:w="4680" w:type="dxa"/>
            <w:shd w:val="clear" w:color="auto" w:fill="auto"/>
            <w:noWrap/>
            <w:vAlign w:val="center"/>
            <w:hideMark/>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B75B77">
              <w:rPr>
                <w:b/>
                <w:color w:val="000000"/>
                <w:sz w:val="18"/>
                <w:szCs w:val="18"/>
              </w:rPr>
              <w:t>Implemented</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noWrap/>
            <w:vAlign w:val="center"/>
          </w:tcPr>
          <w:p w:rsidR="00E646C9" w:rsidRPr="00B75B77" w:rsidRDefault="00E646C9" w:rsidP="00C94D5A">
            <w:pPr>
              <w:keepNext/>
              <w:jc w:val="left"/>
              <w:rPr>
                <w:rFonts w:eastAsiaTheme="minorEastAsia" w:cstheme="minorBidi"/>
                <w:b w:val="0"/>
                <w:color w:val="000000" w:themeColor="text1"/>
                <w:kern w:val="24"/>
                <w:sz w:val="18"/>
                <w:szCs w:val="18"/>
              </w:rPr>
            </w:pPr>
            <w:r w:rsidRPr="00B75B77">
              <w:rPr>
                <w:rFonts w:eastAsiaTheme="minorEastAsia" w:cstheme="minorBidi"/>
                <w:bCs w:val="0"/>
                <w:color w:val="000000" w:themeColor="text1"/>
                <w:kern w:val="24"/>
                <w:sz w:val="18"/>
                <w:szCs w:val="18"/>
              </w:rPr>
              <w:t xml:space="preserve">Recommendation 3: </w:t>
            </w:r>
            <w:r w:rsidRPr="00B75B77">
              <w:rPr>
                <w:rFonts w:eastAsiaTheme="minorEastAsia" w:cstheme="minorBidi"/>
                <w:b w:val="0"/>
                <w:color w:val="000000" w:themeColor="text1"/>
                <w:kern w:val="24"/>
                <w:sz w:val="18"/>
                <w:szCs w:val="18"/>
              </w:rPr>
              <w:t>Consider notifying customers after events.</w:t>
            </w:r>
          </w:p>
        </w:tc>
        <w:tc>
          <w:tcPr>
            <w:tcW w:w="4680" w:type="dxa"/>
            <w:noWrap/>
            <w:vAlign w:val="center"/>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B75B77">
              <w:rPr>
                <w:b/>
                <w:color w:val="000000"/>
                <w:sz w:val="18"/>
                <w:szCs w:val="18"/>
              </w:rPr>
              <w:t>Being Considered</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shd w:val="clear" w:color="auto" w:fill="auto"/>
            <w:noWrap/>
            <w:vAlign w:val="center"/>
          </w:tcPr>
          <w:p w:rsidR="00E646C9" w:rsidRPr="00B75B77" w:rsidRDefault="00E646C9" w:rsidP="00C94D5A">
            <w:pPr>
              <w:keepNext/>
              <w:jc w:val="left"/>
              <w:rPr>
                <w:b w:val="0"/>
                <w:color w:val="000000"/>
                <w:sz w:val="18"/>
                <w:szCs w:val="18"/>
              </w:rPr>
            </w:pPr>
            <w:r w:rsidRPr="00B75B77">
              <w:rPr>
                <w:rFonts w:eastAsiaTheme="minorEastAsia" w:cstheme="minorBidi"/>
                <w:bCs w:val="0"/>
                <w:color w:val="000000" w:themeColor="text1"/>
                <w:kern w:val="24"/>
                <w:sz w:val="18"/>
                <w:szCs w:val="18"/>
              </w:rPr>
              <w:t xml:space="preserve">Recommendation 4: </w:t>
            </w:r>
            <w:r w:rsidRPr="00B75B77">
              <w:rPr>
                <w:rFonts w:eastAsiaTheme="minorEastAsia" w:cstheme="minorBidi"/>
                <w:b w:val="0"/>
                <w:color w:val="000000" w:themeColor="text1"/>
                <w:kern w:val="24"/>
                <w:sz w:val="18"/>
                <w:szCs w:val="18"/>
              </w:rPr>
              <w:t>Consider running a pilot to test satisfaction impacts of notifying customers after conservation events.</w:t>
            </w:r>
          </w:p>
        </w:tc>
        <w:tc>
          <w:tcPr>
            <w:tcW w:w="4680" w:type="dxa"/>
            <w:shd w:val="clear" w:color="auto" w:fill="auto"/>
            <w:noWrap/>
            <w:vAlign w:val="center"/>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szCs w:val="18"/>
              </w:rPr>
            </w:pPr>
            <w:r w:rsidRPr="00B75B77">
              <w:rPr>
                <w:b/>
                <w:color w:val="000000"/>
                <w:sz w:val="18"/>
                <w:szCs w:val="18"/>
              </w:rPr>
              <w:t xml:space="preserve">Rejected: </w:t>
            </w:r>
            <w:r w:rsidRPr="00B75B77">
              <w:rPr>
                <w:color w:val="000000"/>
                <w:sz w:val="18"/>
                <w:szCs w:val="18"/>
              </w:rPr>
              <w:t>PECO will find a way to work around maintaining customer satisfaction.</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noWrap/>
            <w:vAlign w:val="center"/>
          </w:tcPr>
          <w:p w:rsidR="00E646C9" w:rsidRPr="00B75B77" w:rsidRDefault="00E646C9" w:rsidP="00C94D5A">
            <w:pPr>
              <w:keepNext/>
              <w:jc w:val="left"/>
              <w:rPr>
                <w:b w:val="0"/>
                <w:color w:val="000000"/>
                <w:sz w:val="18"/>
                <w:szCs w:val="18"/>
              </w:rPr>
            </w:pPr>
            <w:r w:rsidRPr="00B75B77">
              <w:rPr>
                <w:rFonts w:eastAsiaTheme="minorEastAsia" w:cstheme="minorBidi"/>
                <w:bCs w:val="0"/>
                <w:color w:val="000000" w:themeColor="text1"/>
                <w:kern w:val="24"/>
                <w:sz w:val="18"/>
                <w:szCs w:val="18"/>
              </w:rPr>
              <w:t xml:space="preserve">Recommendation 5: </w:t>
            </w:r>
            <w:r w:rsidRPr="00B75B77">
              <w:rPr>
                <w:rFonts w:eastAsiaTheme="minorEastAsia" w:cstheme="minorBidi"/>
                <w:b w:val="0"/>
                <w:color w:val="000000" w:themeColor="text1"/>
                <w:kern w:val="24"/>
                <w:sz w:val="18"/>
                <w:szCs w:val="18"/>
              </w:rPr>
              <w:t>Evaluate energy efficiency program participation rates within AC Saver as compared to general population.</w:t>
            </w:r>
          </w:p>
        </w:tc>
        <w:tc>
          <w:tcPr>
            <w:tcW w:w="4680" w:type="dxa"/>
            <w:noWrap/>
            <w:vAlign w:val="center"/>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Being Considered:</w:t>
            </w:r>
            <w:r w:rsidRPr="00B75B77">
              <w:rPr>
                <w:color w:val="000000"/>
                <w:sz w:val="18"/>
              </w:rPr>
              <w:t xml:space="preserve"> PECO needs to assess how the AC program can leverage its participant interest to extend beyond DR.</w:t>
            </w:r>
          </w:p>
        </w:tc>
      </w:tr>
    </w:tbl>
    <w:p w:rsidR="00E646C9" w:rsidRPr="008606B4" w:rsidRDefault="00E646C9" w:rsidP="00E646C9"/>
    <w:p w:rsidR="00E646C9" w:rsidRDefault="00E646C9" w:rsidP="008945CF">
      <w:pPr>
        <w:pStyle w:val="AppendixGHeading2"/>
      </w:pPr>
      <w:r w:rsidRPr="008606B4">
        <w:t xml:space="preserve">Smart </w:t>
      </w:r>
      <w:r>
        <w:t>A/C</w:t>
      </w:r>
      <w:r w:rsidRPr="008606B4">
        <w:t xml:space="preserve"> Saver</w:t>
      </w:r>
      <w:r>
        <w:t xml:space="preserve"> – Commercial</w:t>
      </w:r>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4670"/>
        <w:gridCol w:w="4680"/>
      </w:tblGrid>
      <w:tr w:rsidR="00E646C9" w:rsidRPr="00B75B77" w:rsidTr="00B32B81">
        <w:trPr>
          <w:trHeight w:val="288"/>
          <w:tblHeader/>
        </w:trPr>
        <w:tc>
          <w:tcPr>
            <w:tcW w:w="4670" w:type="dxa"/>
            <w:shd w:val="clear" w:color="000000" w:fill="448A99"/>
            <w:hideMark/>
          </w:tcPr>
          <w:p w:rsidR="00E646C9" w:rsidRPr="00B75B77" w:rsidRDefault="00E646C9" w:rsidP="00821A84">
            <w:pPr>
              <w:jc w:val="left"/>
              <w:rPr>
                <w:b/>
                <w:bCs/>
                <w:color w:val="FFFFFF"/>
                <w:sz w:val="18"/>
                <w:szCs w:val="18"/>
              </w:rPr>
            </w:pPr>
            <w:r w:rsidRPr="00B75B77">
              <w:rPr>
                <w:b/>
                <w:bCs/>
                <w:color w:val="FFFFFF"/>
                <w:sz w:val="18"/>
                <w:szCs w:val="18"/>
              </w:rPr>
              <w:t>Recommendations</w:t>
            </w:r>
          </w:p>
        </w:tc>
        <w:tc>
          <w:tcPr>
            <w:tcW w:w="4680" w:type="dxa"/>
            <w:shd w:val="clear" w:color="000000" w:fill="448A99"/>
            <w:vAlign w:val="center"/>
            <w:hideMark/>
          </w:tcPr>
          <w:p w:rsidR="008945CF" w:rsidRPr="008945CF" w:rsidRDefault="008945CF" w:rsidP="008945CF">
            <w:pPr>
              <w:keepNext/>
              <w:jc w:val="center"/>
              <w:rPr>
                <w:b/>
                <w:bCs/>
                <w:color w:val="FFFFFF" w:themeColor="background1"/>
                <w:sz w:val="18"/>
              </w:rPr>
            </w:pPr>
            <w:r w:rsidRPr="008945CF">
              <w:rPr>
                <w:b/>
                <w:bCs/>
                <w:color w:val="FFFFFF" w:themeColor="background1"/>
                <w:sz w:val="18"/>
              </w:rPr>
              <w:t>EDC Status of Recommendation</w:t>
            </w:r>
          </w:p>
          <w:p w:rsidR="00E646C9" w:rsidRPr="008945CF" w:rsidRDefault="008945CF" w:rsidP="008945CF">
            <w:pPr>
              <w:jc w:val="center"/>
              <w:rPr>
                <w:bCs/>
                <w:color w:val="FFFFFF"/>
                <w:sz w:val="18"/>
                <w:szCs w:val="18"/>
              </w:rPr>
            </w:pPr>
            <w:r w:rsidRPr="008945CF">
              <w:rPr>
                <w:bCs/>
                <w:color w:val="FFFFFF" w:themeColor="background1"/>
                <w:sz w:val="18"/>
              </w:rPr>
              <w:t>(Implemented, Being Considered, Rejected, AND Explanation of Action Taken by EDC)</w:t>
            </w:r>
          </w:p>
        </w:tc>
      </w:tr>
      <w:tr w:rsidR="00E646C9" w:rsidRPr="00B75B77" w:rsidTr="00B32B81">
        <w:trPr>
          <w:trHeight w:val="288"/>
        </w:trPr>
        <w:tc>
          <w:tcPr>
            <w:tcW w:w="4670" w:type="dxa"/>
            <w:shd w:val="clear" w:color="000000" w:fill="D2EAF1"/>
            <w:vAlign w:val="center"/>
            <w:hideMark/>
          </w:tcPr>
          <w:p w:rsidR="00E646C9" w:rsidRPr="00B75B77" w:rsidRDefault="00E646C9" w:rsidP="00C94D5A">
            <w:pPr>
              <w:jc w:val="left"/>
              <w:rPr>
                <w:b/>
                <w:sz w:val="18"/>
                <w:szCs w:val="18"/>
              </w:rPr>
            </w:pPr>
            <w:r w:rsidRPr="00B75B77">
              <w:rPr>
                <w:b/>
                <w:sz w:val="18"/>
                <w:szCs w:val="18"/>
              </w:rPr>
              <w:t xml:space="preserve">Recommendation 1: </w:t>
            </w:r>
          </w:p>
          <w:p w:rsidR="00E646C9" w:rsidRPr="00B75B77" w:rsidRDefault="00E646C9" w:rsidP="00E646C9">
            <w:pPr>
              <w:pStyle w:val="ListParagraph"/>
              <w:numPr>
                <w:ilvl w:val="1"/>
                <w:numId w:val="149"/>
              </w:numPr>
              <w:ind w:left="517" w:hanging="270"/>
              <w:jc w:val="left"/>
              <w:rPr>
                <w:sz w:val="18"/>
                <w:szCs w:val="18"/>
              </w:rPr>
            </w:pPr>
            <w:r w:rsidRPr="00B75B77">
              <w:rPr>
                <w:rFonts w:eastAsiaTheme="minorEastAsia" w:cstheme="minorBidi"/>
                <w:color w:val="000000" w:themeColor="text1"/>
                <w:kern w:val="24"/>
                <w:sz w:val="18"/>
                <w:szCs w:val="18"/>
              </w:rPr>
              <w:t>PECO should ensure the program database contains necessary data to allow Navigant to calculate verified savings via comparison group analysis in Phase III</w:t>
            </w:r>
            <w:r w:rsidRPr="00B75B77">
              <w:rPr>
                <w:sz w:val="18"/>
                <w:szCs w:val="18"/>
              </w:rPr>
              <w:t>.</w:t>
            </w:r>
          </w:p>
          <w:p w:rsidR="00E646C9" w:rsidRPr="00B75B77" w:rsidRDefault="00E646C9" w:rsidP="00E646C9">
            <w:pPr>
              <w:pStyle w:val="ListParagraph"/>
              <w:numPr>
                <w:ilvl w:val="1"/>
                <w:numId w:val="149"/>
              </w:numPr>
              <w:ind w:left="517" w:hanging="270"/>
              <w:jc w:val="left"/>
              <w:rPr>
                <w:sz w:val="18"/>
                <w:szCs w:val="18"/>
              </w:rPr>
            </w:pPr>
            <w:r w:rsidRPr="00B75B77">
              <w:rPr>
                <w:sz w:val="18"/>
                <w:szCs w:val="18"/>
              </w:rPr>
              <w:t xml:space="preserve">PECO should be </w:t>
            </w:r>
            <w:r w:rsidRPr="00B75B77">
              <w:rPr>
                <w:rFonts w:eastAsiaTheme="minorEastAsia" w:cstheme="minorBidi"/>
                <w:color w:val="000000" w:themeColor="text1"/>
                <w:kern w:val="24"/>
                <w:sz w:val="18"/>
                <w:szCs w:val="18"/>
              </w:rPr>
              <w:t>prepared to quickly and securely transfer program database information to Navigant for verified savings analysis in Phase III.</w:t>
            </w:r>
          </w:p>
        </w:tc>
        <w:tc>
          <w:tcPr>
            <w:tcW w:w="4680" w:type="dxa"/>
            <w:shd w:val="clear" w:color="000000" w:fill="D2EAF1"/>
            <w:vAlign w:val="center"/>
            <w:hideMark/>
          </w:tcPr>
          <w:p w:rsidR="00E646C9" w:rsidRPr="00B75B77" w:rsidRDefault="00E646C9" w:rsidP="00E646C9">
            <w:pPr>
              <w:pStyle w:val="ListParagraph"/>
              <w:numPr>
                <w:ilvl w:val="0"/>
                <w:numId w:val="151"/>
              </w:numPr>
              <w:ind w:left="702" w:hanging="468"/>
              <w:jc w:val="left"/>
              <w:rPr>
                <w:color w:val="000000"/>
                <w:sz w:val="18"/>
                <w:szCs w:val="18"/>
              </w:rPr>
            </w:pPr>
            <w:r w:rsidRPr="00B75B77">
              <w:rPr>
                <w:b/>
                <w:color w:val="000000"/>
                <w:sz w:val="18"/>
                <w:szCs w:val="18"/>
              </w:rPr>
              <w:t>Implemented:</w:t>
            </w:r>
            <w:r w:rsidRPr="00B75B77">
              <w:rPr>
                <w:color w:val="000000"/>
                <w:sz w:val="18"/>
                <w:szCs w:val="18"/>
              </w:rPr>
              <w:t xml:space="preserve"> Interval data will be available; will have to collaborate with Navigant to define the format.</w:t>
            </w:r>
          </w:p>
          <w:p w:rsidR="00E646C9" w:rsidRPr="00B75B77" w:rsidRDefault="00E646C9" w:rsidP="00E646C9">
            <w:pPr>
              <w:pStyle w:val="ListParagraph"/>
              <w:numPr>
                <w:ilvl w:val="0"/>
                <w:numId w:val="151"/>
              </w:numPr>
              <w:ind w:left="702" w:hanging="468"/>
              <w:jc w:val="left"/>
              <w:rPr>
                <w:color w:val="000000"/>
                <w:sz w:val="18"/>
                <w:szCs w:val="18"/>
              </w:rPr>
            </w:pPr>
            <w:r w:rsidRPr="00B75B77">
              <w:rPr>
                <w:b/>
                <w:color w:val="000000"/>
                <w:sz w:val="18"/>
                <w:szCs w:val="18"/>
              </w:rPr>
              <w:t>Being Considered:</w:t>
            </w:r>
            <w:r w:rsidRPr="00B75B77">
              <w:rPr>
                <w:color w:val="000000"/>
                <w:sz w:val="18"/>
                <w:szCs w:val="18"/>
              </w:rPr>
              <w:t xml:space="preserve"> PECO will work with Navigant to extract AMI data as soon as it is available, which is at the earliest around 4 weeks after the event takes place. </w:t>
            </w:r>
          </w:p>
        </w:tc>
      </w:tr>
      <w:tr w:rsidR="00E646C9" w:rsidRPr="00B75B77" w:rsidTr="00B32B81">
        <w:trPr>
          <w:trHeight w:val="288"/>
        </w:trPr>
        <w:tc>
          <w:tcPr>
            <w:tcW w:w="4670" w:type="dxa"/>
            <w:shd w:val="clear" w:color="auto" w:fill="auto"/>
            <w:vAlign w:val="center"/>
            <w:hideMark/>
          </w:tcPr>
          <w:p w:rsidR="00E646C9" w:rsidRPr="00B75B77" w:rsidRDefault="00E646C9" w:rsidP="00C94D5A">
            <w:pPr>
              <w:jc w:val="left"/>
              <w:rPr>
                <w:color w:val="000000"/>
                <w:sz w:val="18"/>
                <w:szCs w:val="18"/>
              </w:rPr>
            </w:pPr>
            <w:r w:rsidRPr="00B75B77">
              <w:rPr>
                <w:b/>
                <w:sz w:val="18"/>
                <w:szCs w:val="18"/>
              </w:rPr>
              <w:t>Recommendation 2:</w:t>
            </w:r>
            <w:r w:rsidRPr="00B75B77">
              <w:rPr>
                <w:sz w:val="18"/>
                <w:szCs w:val="18"/>
              </w:rPr>
              <w:t xml:space="preserve"> PECO should prepare for a possible drop in program satisfaction.</w:t>
            </w:r>
          </w:p>
        </w:tc>
        <w:tc>
          <w:tcPr>
            <w:tcW w:w="4680" w:type="dxa"/>
            <w:shd w:val="clear" w:color="auto" w:fill="auto"/>
            <w:vAlign w:val="center"/>
            <w:hideMark/>
          </w:tcPr>
          <w:p w:rsidR="00E646C9" w:rsidRPr="00B75B77" w:rsidRDefault="00E646C9" w:rsidP="00C94D5A">
            <w:pPr>
              <w:jc w:val="left"/>
              <w:rPr>
                <w:b/>
                <w:color w:val="000000"/>
                <w:sz w:val="18"/>
                <w:szCs w:val="18"/>
              </w:rPr>
            </w:pPr>
            <w:r w:rsidRPr="00B75B77">
              <w:rPr>
                <w:b/>
                <w:color w:val="000000"/>
                <w:sz w:val="18"/>
                <w:szCs w:val="18"/>
              </w:rPr>
              <w:t>Implemented </w:t>
            </w:r>
          </w:p>
        </w:tc>
      </w:tr>
      <w:tr w:rsidR="00E646C9" w:rsidRPr="00B75B77" w:rsidTr="00B32B81">
        <w:trPr>
          <w:trHeight w:val="288"/>
        </w:trPr>
        <w:tc>
          <w:tcPr>
            <w:tcW w:w="4670" w:type="dxa"/>
            <w:shd w:val="clear" w:color="auto" w:fill="D2EAF1"/>
            <w:vAlign w:val="center"/>
            <w:hideMark/>
          </w:tcPr>
          <w:p w:rsidR="00E646C9" w:rsidRPr="00B75B77" w:rsidRDefault="00E646C9" w:rsidP="00C94D5A">
            <w:pPr>
              <w:jc w:val="left"/>
              <w:rPr>
                <w:color w:val="000000"/>
                <w:sz w:val="18"/>
                <w:szCs w:val="18"/>
              </w:rPr>
            </w:pPr>
            <w:r w:rsidRPr="00B75B77">
              <w:rPr>
                <w:b/>
                <w:sz w:val="18"/>
                <w:szCs w:val="18"/>
              </w:rPr>
              <w:t>Recommendation 3:</w:t>
            </w:r>
            <w:r w:rsidRPr="00B75B77">
              <w:rPr>
                <w:sz w:val="18"/>
                <w:szCs w:val="18"/>
              </w:rPr>
              <w:t xml:space="preserve"> Consider running a pilot to test satisfaction impacts of notifying customers after conservation events.</w:t>
            </w:r>
          </w:p>
        </w:tc>
        <w:tc>
          <w:tcPr>
            <w:tcW w:w="4680" w:type="dxa"/>
            <w:shd w:val="clear" w:color="auto" w:fill="D2EAF1"/>
            <w:vAlign w:val="center"/>
            <w:hideMark/>
          </w:tcPr>
          <w:p w:rsidR="00E646C9" w:rsidRPr="00B75B77" w:rsidRDefault="00E646C9" w:rsidP="00C94D5A">
            <w:pPr>
              <w:jc w:val="left"/>
              <w:rPr>
                <w:color w:val="000000"/>
                <w:sz w:val="18"/>
                <w:szCs w:val="18"/>
              </w:rPr>
            </w:pPr>
            <w:r w:rsidRPr="00B75B77">
              <w:rPr>
                <w:b/>
                <w:color w:val="000000"/>
                <w:sz w:val="18"/>
                <w:szCs w:val="18"/>
              </w:rPr>
              <w:t xml:space="preserve">Rejected: </w:t>
            </w:r>
            <w:r w:rsidRPr="00B75B77">
              <w:rPr>
                <w:color w:val="000000"/>
                <w:sz w:val="18"/>
                <w:szCs w:val="18"/>
              </w:rPr>
              <w:t>PECO will find way to work around maintaining customer satisfaction. </w:t>
            </w:r>
          </w:p>
        </w:tc>
      </w:tr>
      <w:tr w:rsidR="00E646C9" w:rsidRPr="00B75B77" w:rsidTr="00B32B81">
        <w:trPr>
          <w:trHeight w:val="288"/>
        </w:trPr>
        <w:tc>
          <w:tcPr>
            <w:tcW w:w="4670" w:type="dxa"/>
            <w:shd w:val="clear" w:color="auto" w:fill="auto"/>
            <w:vAlign w:val="center"/>
            <w:hideMark/>
          </w:tcPr>
          <w:p w:rsidR="00E646C9" w:rsidRPr="00B75B77" w:rsidRDefault="00E646C9" w:rsidP="00C94D5A">
            <w:pPr>
              <w:jc w:val="left"/>
              <w:rPr>
                <w:color w:val="000000"/>
                <w:sz w:val="18"/>
                <w:szCs w:val="18"/>
              </w:rPr>
            </w:pPr>
            <w:r w:rsidRPr="00B75B77">
              <w:rPr>
                <w:b/>
                <w:sz w:val="18"/>
                <w:szCs w:val="18"/>
              </w:rPr>
              <w:t>Recommendation 4:</w:t>
            </w:r>
            <w:r w:rsidRPr="00B75B77">
              <w:rPr>
                <w:sz w:val="18"/>
                <w:szCs w:val="18"/>
              </w:rPr>
              <w:t xml:space="preserve"> If PECO is concerned that program participation is too high, consider </w:t>
            </w:r>
            <w:r w:rsidRPr="00B75B77">
              <w:rPr>
                <w:rFonts w:eastAsiaTheme="minorEastAsia" w:cstheme="minorBidi"/>
                <w:color w:val="000000" w:themeColor="text1"/>
                <w:kern w:val="24"/>
                <w:sz w:val="18"/>
                <w:szCs w:val="18"/>
              </w:rPr>
              <w:t>paying low-performing customers to not participate in the program.</w:t>
            </w:r>
          </w:p>
        </w:tc>
        <w:tc>
          <w:tcPr>
            <w:tcW w:w="4680" w:type="dxa"/>
            <w:shd w:val="clear" w:color="auto" w:fill="auto"/>
            <w:vAlign w:val="center"/>
            <w:hideMark/>
          </w:tcPr>
          <w:p w:rsidR="00E646C9" w:rsidRPr="00B75B77" w:rsidRDefault="00E646C9" w:rsidP="00C94D5A">
            <w:pPr>
              <w:jc w:val="left"/>
              <w:rPr>
                <w:color w:val="000000"/>
                <w:sz w:val="18"/>
                <w:szCs w:val="18"/>
              </w:rPr>
            </w:pPr>
            <w:r w:rsidRPr="00B75B77">
              <w:rPr>
                <w:b/>
                <w:color w:val="000000"/>
                <w:sz w:val="18"/>
                <w:szCs w:val="18"/>
              </w:rPr>
              <w:t xml:space="preserve">Being Considered: </w:t>
            </w:r>
            <w:r w:rsidRPr="00B75B77">
              <w:rPr>
                <w:color w:val="000000"/>
                <w:sz w:val="18"/>
                <w:szCs w:val="18"/>
              </w:rPr>
              <w:t>PECO needs to assess how the AC program can leverage its participant interest to extend beyond DR.</w:t>
            </w:r>
          </w:p>
        </w:tc>
      </w:tr>
    </w:tbl>
    <w:p w:rsidR="00E646C9" w:rsidRPr="008945CF" w:rsidRDefault="00E646C9" w:rsidP="008945CF"/>
    <w:p w:rsidR="00E646C9" w:rsidRDefault="00E646C9" w:rsidP="008945CF">
      <w:pPr>
        <w:pStyle w:val="AppendixGHeading2"/>
      </w:pPr>
      <w:r w:rsidRPr="008606B4">
        <w:t xml:space="preserve">Smart </w:t>
      </w:r>
      <w:r>
        <w:t>Equipment Incentives – Commercial &amp; Industrial</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keepNext/>
              <w:jc w:val="left"/>
              <w:rPr>
                <w:bCs w:val="0"/>
                <w:sz w:val="18"/>
              </w:rPr>
            </w:pPr>
            <w:r w:rsidRPr="00B75B77">
              <w:rPr>
                <w:bCs w:val="0"/>
                <w:sz w:val="18"/>
              </w:rPr>
              <w:t>Recommendations</w:t>
            </w:r>
          </w:p>
        </w:tc>
        <w:tc>
          <w:tcPr>
            <w:tcW w:w="4680" w:type="dxa"/>
            <w:shd w:val="clear" w:color="auto" w:fill="448A99"/>
            <w:vAlign w:val="center"/>
            <w:hideMark/>
          </w:tcPr>
          <w:p w:rsidR="00C3558F" w:rsidRDefault="00E646C9" w:rsidP="00C3558F">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B75B77" w:rsidRDefault="00E646C9" w:rsidP="00C3558F">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C3558F">
              <w:rPr>
                <w:b w:val="0"/>
                <w:bCs w:val="0"/>
                <w:sz w:val="18"/>
              </w:rPr>
              <w:t>(Implemented, Being Considered, Rejected, AND Explanation of Action Taken by EDC)</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 xml:space="preserve">Recommendation 1: </w:t>
            </w:r>
            <w:r w:rsidRPr="00B75B77">
              <w:rPr>
                <w:rFonts w:cs="Arial"/>
                <w:b w:val="0"/>
                <w:color w:val="000000"/>
                <w:sz w:val="18"/>
              </w:rPr>
              <w:t>Segment population further to explore the value of the SEI program and identify marketing or outreach approaches to reach the harder to reach segments. Develop marketing approaches for specific business types to cater to the needs of that segment.</w:t>
            </w:r>
          </w:p>
        </w:tc>
        <w:tc>
          <w:tcPr>
            <w:tcW w:w="4680" w:type="dxa"/>
            <w:noWrap/>
            <w:vAlign w:val="center"/>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PECO has been working on a robust marketing plan with EEMF to target the industrial and commercial sector areas that are hard to reach. This will be done through direct marketing with trade allies, as well as enlisting the help of LCS.</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hideMark/>
          </w:tcPr>
          <w:p w:rsidR="00E646C9" w:rsidRPr="00B75B77" w:rsidRDefault="00E646C9" w:rsidP="00C94D5A">
            <w:pPr>
              <w:keepNext/>
              <w:jc w:val="left"/>
              <w:rPr>
                <w:color w:val="000000"/>
                <w:sz w:val="18"/>
              </w:rPr>
            </w:pPr>
            <w:r w:rsidRPr="00B75B77">
              <w:rPr>
                <w:color w:val="000000"/>
                <w:sz w:val="18"/>
              </w:rPr>
              <w:t xml:space="preserve">Recommendation 2: </w:t>
            </w:r>
          </w:p>
          <w:p w:rsidR="00E646C9" w:rsidRPr="00B75B77" w:rsidRDefault="00E646C9" w:rsidP="00E646C9">
            <w:pPr>
              <w:pStyle w:val="ListParagraph"/>
              <w:keepNext/>
              <w:numPr>
                <w:ilvl w:val="4"/>
                <w:numId w:val="152"/>
              </w:numPr>
              <w:ind w:left="427" w:hanging="270"/>
              <w:jc w:val="left"/>
              <w:rPr>
                <w:rFonts w:cs="Arial"/>
                <w:b w:val="0"/>
                <w:color w:val="000000"/>
                <w:sz w:val="18"/>
              </w:rPr>
            </w:pPr>
            <w:r w:rsidRPr="00B75B77">
              <w:rPr>
                <w:rFonts w:cs="Arial"/>
                <w:b w:val="0"/>
                <w:color w:val="000000"/>
                <w:sz w:val="18"/>
              </w:rPr>
              <w:t xml:space="preserve">Change the trade ally incentives program to incent targeted project types or customer segments. </w:t>
            </w:r>
          </w:p>
          <w:p w:rsidR="00E646C9" w:rsidRPr="00B75B77" w:rsidRDefault="00E646C9" w:rsidP="00E646C9">
            <w:pPr>
              <w:pStyle w:val="ListParagraph"/>
              <w:keepNext/>
              <w:numPr>
                <w:ilvl w:val="4"/>
                <w:numId w:val="152"/>
              </w:numPr>
              <w:ind w:left="427" w:hanging="270"/>
              <w:jc w:val="left"/>
              <w:rPr>
                <w:rFonts w:cs="Arial"/>
                <w:color w:val="000000"/>
                <w:sz w:val="18"/>
              </w:rPr>
            </w:pPr>
            <w:r w:rsidRPr="00B75B77">
              <w:rPr>
                <w:rFonts w:cs="Arial"/>
                <w:b w:val="0"/>
                <w:color w:val="000000"/>
                <w:sz w:val="18"/>
              </w:rPr>
              <w:t>Outreach to engage new trade allies in the program (especially local contractors, who are less likely to pursue projects in other states where incentives are richer).</w:t>
            </w:r>
          </w:p>
        </w:tc>
        <w:tc>
          <w:tcPr>
            <w:tcW w:w="4680" w:type="dxa"/>
            <w:noWrap/>
            <w:vAlign w:val="center"/>
            <w:hideMark/>
          </w:tcPr>
          <w:p w:rsidR="00E646C9" w:rsidRPr="00B75B77" w:rsidRDefault="00E646C9" w:rsidP="00E646C9">
            <w:pPr>
              <w:pStyle w:val="ListParagraph"/>
              <w:keepNext/>
              <w:numPr>
                <w:ilvl w:val="0"/>
                <w:numId w:val="153"/>
              </w:num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In Phase III, PECO revised the program design to incent the trade ally’s on a project or customer basis, to offer a comprehensive solution as oppose to measure based approach and alter the trade ally incentives program to incent targeted project types or customer segments.</w:t>
            </w:r>
          </w:p>
          <w:p w:rsidR="00E646C9" w:rsidRPr="00B75B77" w:rsidRDefault="00E646C9" w:rsidP="00E646C9">
            <w:pPr>
              <w:pStyle w:val="ListParagraph"/>
              <w:keepNext/>
              <w:numPr>
                <w:ilvl w:val="0"/>
                <w:numId w:val="153"/>
              </w:num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Currently hosting many webinars inviting existing and new potential trade allies.</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hideMark/>
          </w:tcPr>
          <w:p w:rsidR="00E646C9" w:rsidRPr="00B75B77" w:rsidRDefault="00E646C9" w:rsidP="00C94D5A">
            <w:pPr>
              <w:keepNext/>
              <w:jc w:val="left"/>
              <w:rPr>
                <w:b w:val="0"/>
                <w:color w:val="000000"/>
                <w:sz w:val="18"/>
              </w:rPr>
            </w:pPr>
            <w:r w:rsidRPr="00B75B77">
              <w:rPr>
                <w:color w:val="000000"/>
                <w:sz w:val="18"/>
              </w:rPr>
              <w:t xml:space="preserve">Recommendation 3: </w:t>
            </w:r>
            <w:r w:rsidRPr="00B75B77">
              <w:rPr>
                <w:rFonts w:cs="Arial"/>
                <w:b w:val="0"/>
                <w:sz w:val="18"/>
              </w:rPr>
              <w:t>Increase assistance with completing required documentation and TRM worksheets for custom projects.</w:t>
            </w:r>
          </w:p>
        </w:tc>
        <w:tc>
          <w:tcPr>
            <w:tcW w:w="4680" w:type="dxa"/>
            <w:noWrap/>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sz w:val="18"/>
                <w:szCs w:val="18"/>
              </w:rPr>
              <w:t xml:space="preserve">Implemented: </w:t>
            </w:r>
            <w:r w:rsidRPr="00B75B77">
              <w:rPr>
                <w:sz w:val="18"/>
                <w:szCs w:val="18"/>
              </w:rPr>
              <w:t>PECO is offering “hand-held” assistance with translating the TRM specifications for custom projects.</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tcPr>
          <w:p w:rsidR="00E646C9" w:rsidRPr="00B75B77" w:rsidRDefault="00E646C9" w:rsidP="00C94D5A">
            <w:pPr>
              <w:keepNext/>
              <w:jc w:val="left"/>
              <w:rPr>
                <w:b w:val="0"/>
                <w:color w:val="000000"/>
                <w:sz w:val="18"/>
              </w:rPr>
            </w:pPr>
            <w:r w:rsidRPr="00B75B77">
              <w:rPr>
                <w:color w:val="000000"/>
                <w:sz w:val="18"/>
              </w:rPr>
              <w:t xml:space="preserve">Recommendation 4: </w:t>
            </w:r>
            <w:r w:rsidRPr="00B75B77">
              <w:rPr>
                <w:rFonts w:cs="Arial"/>
                <w:b w:val="0"/>
                <w:sz w:val="18"/>
              </w:rPr>
              <w:t>Use the “limited time offer” as a lever in future years if participation is low.</w:t>
            </w:r>
          </w:p>
        </w:tc>
        <w:tc>
          <w:tcPr>
            <w:tcW w:w="4680" w:type="dxa"/>
            <w:shd w:val="clear" w:color="auto" w:fill="auto"/>
            <w:noWrap/>
            <w:vAlign w:val="center"/>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szCs w:val="18"/>
              </w:rPr>
              <w:t xml:space="preserve">Implemented: </w:t>
            </w:r>
            <w:r w:rsidRPr="00B75B77">
              <w:rPr>
                <w:color w:val="000000"/>
                <w:sz w:val="18"/>
                <w:szCs w:val="18"/>
              </w:rPr>
              <w:t>PECO is working with EEMF to establish a lever to have better controls around program participation.</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rFonts w:cs="Arial"/>
                <w:b w:val="0"/>
                <w:i/>
              </w:rPr>
            </w:pPr>
            <w:r w:rsidRPr="00B75B77">
              <w:rPr>
                <w:color w:val="000000"/>
                <w:sz w:val="18"/>
              </w:rPr>
              <w:t xml:space="preserve">Recommendation 5a: </w:t>
            </w:r>
            <w:r w:rsidRPr="00B75B77">
              <w:rPr>
                <w:rFonts w:cs="Arial"/>
                <w:b w:val="0"/>
                <w:sz w:val="18"/>
              </w:rPr>
              <w:t>PECO should require the implementer to build in a "flag" in their project database that identifies if a site is threshold metering. The implementer should then make sure to send over the project files to evaluator as soon as they are entered into the system.</w:t>
            </w:r>
          </w:p>
        </w:tc>
        <w:tc>
          <w:tcPr>
            <w:tcW w:w="4680" w:type="dxa"/>
            <w:noWrap/>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szCs w:val="18"/>
              </w:rPr>
              <w:t xml:space="preserve">Implemented: </w:t>
            </w:r>
            <w:r w:rsidRPr="00B75B77">
              <w:rPr>
                <w:color w:val="000000"/>
                <w:sz w:val="18"/>
                <w:szCs w:val="18"/>
              </w:rPr>
              <w:t>PECO and Navigant made formal recommendation to ICF to continuously monitor for threshold metering projects. Once a project has been flagged, ICF will contact Navigant as per PECO’s instructions.</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tcPr>
          <w:p w:rsidR="00E646C9" w:rsidRPr="00B75B77" w:rsidRDefault="00E646C9" w:rsidP="00C94D5A">
            <w:pPr>
              <w:keepNext/>
              <w:jc w:val="left"/>
              <w:rPr>
                <w:rFonts w:cs="Arial"/>
                <w:b w:val="0"/>
                <w:i/>
              </w:rPr>
            </w:pPr>
            <w:r w:rsidRPr="00B75B77">
              <w:rPr>
                <w:color w:val="000000"/>
                <w:sz w:val="18"/>
              </w:rPr>
              <w:t xml:space="preserve">Recommendation 5b: </w:t>
            </w:r>
            <w:r w:rsidRPr="00B75B77">
              <w:rPr>
                <w:rFonts w:cs="Arial"/>
                <w:b w:val="0"/>
                <w:sz w:val="18"/>
              </w:rPr>
              <w:t>Streamline database by limiting number of dates and removing unnecessary fields. Assess data requirements of all relevant parties (PECO, SWE, and Navigant) and only include required fields.</w:t>
            </w:r>
          </w:p>
        </w:tc>
        <w:tc>
          <w:tcPr>
            <w:tcW w:w="4680" w:type="dxa"/>
            <w:shd w:val="clear" w:color="auto" w:fill="auto"/>
            <w:noWrap/>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sz w:val="18"/>
                <w:szCs w:val="18"/>
              </w:rPr>
              <w:t>Being Considered</w:t>
            </w:r>
          </w:p>
        </w:tc>
      </w:tr>
    </w:tbl>
    <w:p w:rsidR="00E646C9" w:rsidRPr="00C3558F" w:rsidRDefault="00E646C9" w:rsidP="00C3558F"/>
    <w:p w:rsidR="00E646C9" w:rsidRDefault="00E646C9" w:rsidP="00C3558F">
      <w:pPr>
        <w:pStyle w:val="AppendixGHeading2"/>
      </w:pPr>
      <w:r w:rsidRPr="008606B4">
        <w:t xml:space="preserve">Smart </w:t>
      </w:r>
      <w:r>
        <w:t>Equipment Incentives– Government and Institutional</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jc w:val="left"/>
              <w:rPr>
                <w:bCs w:val="0"/>
                <w:sz w:val="18"/>
              </w:rPr>
            </w:pPr>
            <w:r w:rsidRPr="00B75B77">
              <w:rPr>
                <w:bCs w:val="0"/>
                <w:sz w:val="18"/>
              </w:rPr>
              <w:t>Recommendations</w:t>
            </w:r>
          </w:p>
        </w:tc>
        <w:tc>
          <w:tcPr>
            <w:tcW w:w="4680" w:type="dxa"/>
            <w:shd w:val="clear" w:color="auto" w:fill="448A99"/>
            <w:vAlign w:val="center"/>
            <w:hideMark/>
          </w:tcPr>
          <w:p w:rsidR="00C3558F" w:rsidRDefault="00E646C9" w:rsidP="00C3558F">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C3558F" w:rsidRDefault="00E646C9" w:rsidP="00C3558F">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b w:val="0"/>
                <w:color w:val="000000"/>
                <w:sz w:val="18"/>
              </w:rPr>
            </w:pPr>
            <w:r w:rsidRPr="00B75B77">
              <w:rPr>
                <w:color w:val="000000"/>
                <w:sz w:val="18"/>
              </w:rPr>
              <w:t xml:space="preserve">Recommendation 1: </w:t>
            </w:r>
            <w:r w:rsidRPr="00B75B77">
              <w:rPr>
                <w:rFonts w:cs="Arial"/>
                <w:b w:val="0"/>
                <w:color w:val="000000"/>
                <w:sz w:val="18"/>
              </w:rPr>
              <w:t>Segment population further to explore the value of the SEI program and identify marketing or outreach approaches to reach the harder to reach segments. Develop marketing approaches for specific business types to cater to the needs of that segment.</w:t>
            </w:r>
          </w:p>
        </w:tc>
        <w:tc>
          <w:tcPr>
            <w:tcW w:w="468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PECO has been working on a robust marketing plan to target the industrial and commercial sector areas that are hard to reach.</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hideMark/>
          </w:tcPr>
          <w:p w:rsidR="00E646C9" w:rsidRPr="00B75B77" w:rsidRDefault="00E646C9" w:rsidP="00C94D5A">
            <w:pPr>
              <w:jc w:val="left"/>
              <w:rPr>
                <w:color w:val="000000"/>
                <w:sz w:val="18"/>
              </w:rPr>
            </w:pPr>
            <w:r w:rsidRPr="00B75B77">
              <w:rPr>
                <w:color w:val="000000"/>
                <w:sz w:val="18"/>
              </w:rPr>
              <w:t xml:space="preserve">Recommendation 2: </w:t>
            </w:r>
          </w:p>
          <w:p w:rsidR="00E646C9" w:rsidRPr="00B75B77" w:rsidRDefault="00E646C9" w:rsidP="00C94D5A">
            <w:pPr>
              <w:ind w:left="247" w:hanging="247"/>
              <w:jc w:val="left"/>
              <w:rPr>
                <w:rFonts w:cs="Arial"/>
                <w:b w:val="0"/>
                <w:color w:val="000000"/>
                <w:sz w:val="18"/>
              </w:rPr>
            </w:pPr>
            <w:r w:rsidRPr="00B75B77">
              <w:rPr>
                <w:rFonts w:cs="Arial"/>
                <w:b w:val="0"/>
                <w:color w:val="000000"/>
                <w:sz w:val="18"/>
              </w:rPr>
              <w:t xml:space="preserve">a.   Change the trade ally incentives program to incent targeted project types or customer segments. </w:t>
            </w:r>
          </w:p>
          <w:p w:rsidR="00E646C9" w:rsidRPr="00B75B77" w:rsidRDefault="00E646C9" w:rsidP="00C94D5A">
            <w:pPr>
              <w:ind w:left="247" w:hanging="247"/>
              <w:jc w:val="left"/>
              <w:rPr>
                <w:rFonts w:cs="Arial"/>
                <w:b w:val="0"/>
                <w:color w:val="000000"/>
                <w:sz w:val="18"/>
              </w:rPr>
            </w:pPr>
            <w:r w:rsidRPr="00B75B77">
              <w:rPr>
                <w:rFonts w:cs="Arial"/>
                <w:b w:val="0"/>
                <w:color w:val="000000"/>
                <w:sz w:val="18"/>
              </w:rPr>
              <w:t>b.  Outreach to engage new trade allies in the program (especially local contractors, who are less likely to pursue projects in other states where incentives are richer).</w:t>
            </w:r>
          </w:p>
        </w:tc>
        <w:tc>
          <w:tcPr>
            <w:tcW w:w="4680" w:type="dxa"/>
            <w:shd w:val="clear" w:color="auto" w:fill="auto"/>
            <w:noWrap/>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In Phase III, PECO revised the program design to incent the trade ally’s on a project or customer basis, to offer a comprehensive solution as oppose to measure based approach.</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b w:val="0"/>
                <w:color w:val="000000"/>
                <w:sz w:val="18"/>
              </w:rPr>
            </w:pPr>
            <w:r w:rsidRPr="00B75B77">
              <w:rPr>
                <w:color w:val="000000"/>
                <w:sz w:val="18"/>
              </w:rPr>
              <w:t xml:space="preserve">Recommendation 3: </w:t>
            </w:r>
            <w:r w:rsidRPr="00B75B77">
              <w:rPr>
                <w:rFonts w:cs="Arial"/>
                <w:b w:val="0"/>
                <w:sz w:val="18"/>
              </w:rPr>
              <w:t>Increase assistance with completing required documentation and TRM worksheets for custom projects.</w:t>
            </w:r>
          </w:p>
        </w:tc>
        <w:tc>
          <w:tcPr>
            <w:tcW w:w="468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sz w:val="18"/>
                <w:szCs w:val="18"/>
              </w:rPr>
              <w:t>Implemented:</w:t>
            </w:r>
            <w:r w:rsidRPr="00B75B77">
              <w:rPr>
                <w:sz w:val="18"/>
                <w:szCs w:val="18"/>
              </w:rPr>
              <w:t xml:space="preserve"> PECO is offering “hand-held” assistance with translating the TRM specifications for custom projects.</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tcPr>
          <w:p w:rsidR="00E646C9" w:rsidRPr="00B75B77" w:rsidRDefault="00E646C9" w:rsidP="00C94D5A">
            <w:pPr>
              <w:jc w:val="left"/>
              <w:rPr>
                <w:b w:val="0"/>
                <w:color w:val="000000"/>
                <w:sz w:val="18"/>
              </w:rPr>
            </w:pPr>
            <w:r w:rsidRPr="00B75B77">
              <w:rPr>
                <w:color w:val="000000"/>
                <w:sz w:val="18"/>
              </w:rPr>
              <w:t xml:space="preserve">Recommendation 4: </w:t>
            </w:r>
            <w:r w:rsidRPr="00B75B77">
              <w:rPr>
                <w:rFonts w:cs="Arial"/>
                <w:b w:val="0"/>
                <w:sz w:val="18"/>
              </w:rPr>
              <w:t>Use the “limited time offer” as a lever in future years if participation is low.</w:t>
            </w:r>
          </w:p>
        </w:tc>
        <w:tc>
          <w:tcPr>
            <w:tcW w:w="4680" w:type="dxa"/>
            <w:shd w:val="clear" w:color="auto" w:fill="auto"/>
            <w:noWrap/>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szCs w:val="18"/>
              </w:rPr>
              <w:t>Implemented:</w:t>
            </w:r>
            <w:r w:rsidRPr="00B75B77">
              <w:rPr>
                <w:color w:val="000000"/>
                <w:sz w:val="18"/>
                <w:szCs w:val="18"/>
              </w:rPr>
              <w:t xml:space="preserve"> PECO is working with EEMF to establish a lever to have better controls around program participation.</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color w:val="000000"/>
                <w:sz w:val="18"/>
              </w:rPr>
              <w:t xml:space="preserve">Recommendation 5: </w:t>
            </w:r>
          </w:p>
          <w:p w:rsidR="00E646C9" w:rsidRPr="00B75B77" w:rsidRDefault="00E646C9" w:rsidP="00C94D5A">
            <w:pPr>
              <w:ind w:left="247" w:hanging="247"/>
              <w:jc w:val="left"/>
              <w:rPr>
                <w:rFonts w:cs="Arial"/>
                <w:b w:val="0"/>
                <w:sz w:val="18"/>
              </w:rPr>
            </w:pPr>
            <w:r w:rsidRPr="00B75B77">
              <w:rPr>
                <w:b w:val="0"/>
                <w:color w:val="000000"/>
                <w:sz w:val="18"/>
              </w:rPr>
              <w:t xml:space="preserve">a.  </w:t>
            </w:r>
            <w:r w:rsidRPr="00B75B77">
              <w:rPr>
                <w:rFonts w:cs="Arial"/>
                <w:b w:val="0"/>
                <w:sz w:val="18"/>
              </w:rPr>
              <w:t>PECO should require the implementer to build in a "flag" in its project database that identifies if a site is threshold metering. The implementer should then make sure to send over the project files to evaluator as soon as they are entered into the system.</w:t>
            </w:r>
          </w:p>
          <w:p w:rsidR="00E646C9" w:rsidRPr="00B75B77" w:rsidRDefault="00E646C9" w:rsidP="00C94D5A">
            <w:pPr>
              <w:ind w:left="247" w:hanging="247"/>
              <w:jc w:val="left"/>
              <w:rPr>
                <w:rFonts w:cs="Arial"/>
                <w:b w:val="0"/>
                <w:sz w:val="18"/>
              </w:rPr>
            </w:pPr>
            <w:r w:rsidRPr="00B75B77">
              <w:rPr>
                <w:rFonts w:cs="Arial"/>
                <w:b w:val="0"/>
                <w:sz w:val="18"/>
              </w:rPr>
              <w:t>b.  Streamline database by limiting number of dates and removing unnecessary fields. Assess data requirements of all relevant parties (PECO, SWE, and Navigant) and only include required fields.</w:t>
            </w:r>
          </w:p>
        </w:tc>
        <w:tc>
          <w:tcPr>
            <w:tcW w:w="4680" w:type="dxa"/>
            <w:noWrap/>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sz w:val="18"/>
                <w:szCs w:val="18"/>
              </w:rPr>
              <w:t>Being Considered:</w:t>
            </w:r>
            <w:r w:rsidRPr="00B75B77">
              <w:rPr>
                <w:sz w:val="18"/>
                <w:szCs w:val="18"/>
              </w:rPr>
              <w:t xml:space="preserve"> Working with tracking system vendor to capture these features in the next Phase.</w:t>
            </w:r>
          </w:p>
        </w:tc>
      </w:tr>
    </w:tbl>
    <w:p w:rsidR="00E646C9" w:rsidRPr="00C3558F" w:rsidRDefault="00E646C9" w:rsidP="00C3558F"/>
    <w:p w:rsidR="00E646C9" w:rsidRDefault="00E646C9" w:rsidP="00C3558F">
      <w:pPr>
        <w:pStyle w:val="AppendixGHeading2"/>
      </w:pPr>
      <w:r w:rsidRPr="008606B4">
        <w:t xml:space="preserve">Smart </w:t>
      </w:r>
      <w:r>
        <w:t>Construction Incentives</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keepNext/>
              <w:jc w:val="left"/>
              <w:rPr>
                <w:bCs w:val="0"/>
                <w:sz w:val="18"/>
              </w:rPr>
            </w:pPr>
            <w:r w:rsidRPr="00B75B77">
              <w:rPr>
                <w:bCs w:val="0"/>
                <w:sz w:val="18"/>
              </w:rPr>
              <w:t>Recommendations</w:t>
            </w:r>
          </w:p>
        </w:tc>
        <w:tc>
          <w:tcPr>
            <w:tcW w:w="4680" w:type="dxa"/>
            <w:shd w:val="clear" w:color="auto" w:fill="448A99"/>
            <w:vAlign w:val="bottom"/>
            <w:hideMark/>
          </w:tcPr>
          <w:p w:rsidR="00C3558F" w:rsidRDefault="00E646C9" w:rsidP="00C3558F">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C3558F" w:rsidRDefault="00E646C9" w:rsidP="00C3558F">
            <w:pPr>
              <w:keepNext/>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 xml:space="preserve">Recommendation 1: </w:t>
            </w:r>
            <w:r w:rsidRPr="00B75B77">
              <w:rPr>
                <w:b w:val="0"/>
                <w:color w:val="000000"/>
                <w:sz w:val="18"/>
              </w:rPr>
              <w:t>Ensure that all projects are complete before the close of the incentive process:</w:t>
            </w:r>
          </w:p>
          <w:p w:rsidR="00E646C9" w:rsidRPr="00B75B77" w:rsidRDefault="00E646C9" w:rsidP="00E646C9">
            <w:pPr>
              <w:pStyle w:val="ListParagraph"/>
              <w:keepNext/>
              <w:numPr>
                <w:ilvl w:val="0"/>
                <w:numId w:val="154"/>
              </w:numPr>
              <w:ind w:left="512" w:hanging="270"/>
              <w:jc w:val="left"/>
              <w:rPr>
                <w:b w:val="0"/>
                <w:color w:val="000000"/>
                <w:sz w:val="18"/>
              </w:rPr>
            </w:pPr>
            <w:r w:rsidRPr="00B75B77">
              <w:rPr>
                <w:b w:val="0"/>
                <w:color w:val="000000"/>
                <w:sz w:val="18"/>
              </w:rPr>
              <w:t>Set clear occupancy expectations when qualifying projects</w:t>
            </w:r>
          </w:p>
          <w:p w:rsidR="00E646C9" w:rsidRPr="00B75B77" w:rsidRDefault="00E646C9" w:rsidP="00E646C9">
            <w:pPr>
              <w:pStyle w:val="ListParagraph"/>
              <w:keepNext/>
              <w:numPr>
                <w:ilvl w:val="0"/>
                <w:numId w:val="154"/>
              </w:numPr>
              <w:ind w:left="512" w:hanging="270"/>
              <w:jc w:val="left"/>
              <w:rPr>
                <w:b w:val="0"/>
                <w:color w:val="000000"/>
                <w:sz w:val="18"/>
              </w:rPr>
            </w:pPr>
            <w:r w:rsidRPr="00B75B77">
              <w:rPr>
                <w:b w:val="0"/>
                <w:color w:val="000000"/>
                <w:sz w:val="18"/>
              </w:rPr>
              <w:t>Re-emphasize TRM rules to the entire team</w:t>
            </w:r>
          </w:p>
          <w:p w:rsidR="00E646C9" w:rsidRPr="00B75B77" w:rsidRDefault="00E646C9" w:rsidP="00E646C9">
            <w:pPr>
              <w:pStyle w:val="ListParagraph"/>
              <w:keepNext/>
              <w:numPr>
                <w:ilvl w:val="0"/>
                <w:numId w:val="154"/>
              </w:numPr>
              <w:ind w:left="512" w:hanging="270"/>
              <w:jc w:val="left"/>
              <w:rPr>
                <w:b w:val="0"/>
                <w:color w:val="000000"/>
                <w:sz w:val="18"/>
              </w:rPr>
            </w:pPr>
            <w:r w:rsidRPr="00B75B77">
              <w:rPr>
                <w:b w:val="0"/>
                <w:color w:val="000000"/>
                <w:sz w:val="18"/>
              </w:rPr>
              <w:t>Strengthen post-install inspection protocol</w:t>
            </w:r>
          </w:p>
          <w:p w:rsidR="00E646C9" w:rsidRPr="00B75B77" w:rsidRDefault="00E646C9" w:rsidP="00E646C9">
            <w:pPr>
              <w:pStyle w:val="ListParagraph"/>
              <w:keepNext/>
              <w:numPr>
                <w:ilvl w:val="0"/>
                <w:numId w:val="154"/>
              </w:numPr>
              <w:ind w:left="512" w:hanging="270"/>
              <w:jc w:val="left"/>
              <w:rPr>
                <w:color w:val="000000"/>
                <w:sz w:val="18"/>
              </w:rPr>
            </w:pPr>
            <w:r w:rsidRPr="00B75B77">
              <w:rPr>
                <w:b w:val="0"/>
                <w:color w:val="000000"/>
                <w:sz w:val="18"/>
              </w:rPr>
              <w:t>Strengthen post-install documentation review</w:t>
            </w:r>
          </w:p>
        </w:tc>
        <w:tc>
          <w:tcPr>
            <w:tcW w:w="4680" w:type="dxa"/>
            <w:noWrap/>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will ensure that these point are refined and implemented going into Phase III. CSP and program managers will be held accountable to institute protocols.</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Recommendation 2:</w:t>
            </w:r>
            <w:r w:rsidRPr="00B75B77">
              <w:rPr>
                <w:b w:val="0"/>
                <w:color w:val="000000"/>
                <w:sz w:val="18"/>
              </w:rPr>
              <w:t xml:space="preserve"> Leverage strong relationships with committed trade allies to achieve greater program participation. Continue trade ally training and recruitment as a tool to sustain current program performance.</w:t>
            </w:r>
          </w:p>
        </w:tc>
        <w:tc>
          <w:tcPr>
            <w:tcW w:w="4680" w:type="dxa"/>
            <w:noWrap/>
            <w:hideMark/>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Strengthening the trade ally training and recruitment to maintain existing and form new relationships.</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 xml:space="preserve">Recommendation 3: </w:t>
            </w:r>
            <w:r w:rsidRPr="00B75B77">
              <w:rPr>
                <w:b w:val="0"/>
                <w:color w:val="000000"/>
                <w:sz w:val="18"/>
              </w:rPr>
              <w:t>Provide early and continuous outreach efforts, especially for new construction projects. Avoid using new construction as a lever for portfolio-level savings.</w:t>
            </w:r>
          </w:p>
        </w:tc>
        <w:tc>
          <w:tcPr>
            <w:tcW w:w="4680" w:type="dxa"/>
            <w:noWrap/>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This recommendation was implemented in late stages of the Phase II plan. However, the wait list in Phase II pushed the program behind schedule and it became difficult to capture early stage projects.</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color w:val="000000"/>
                <w:sz w:val="18"/>
              </w:rPr>
            </w:pPr>
            <w:r w:rsidRPr="00B75B77">
              <w:rPr>
                <w:color w:val="000000"/>
                <w:sz w:val="18"/>
              </w:rPr>
              <w:t>Recommendation 4:</w:t>
            </w:r>
            <w:r w:rsidRPr="00B75B77">
              <w:rPr>
                <w:b w:val="0"/>
                <w:color w:val="000000"/>
                <w:sz w:val="18"/>
              </w:rPr>
              <w:t xml:space="preserve"> Strive for greater measure end-use diversification in Phase III (with special emphasis away from lighting projects).</w:t>
            </w:r>
          </w:p>
        </w:tc>
        <w:tc>
          <w:tcPr>
            <w:tcW w:w="4680" w:type="dxa"/>
            <w:noWrap/>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color w:val="000000"/>
                <w:sz w:val="18"/>
              </w:rPr>
              <w:t xml:space="preserve">Implemented: </w:t>
            </w:r>
            <w:r w:rsidRPr="00B75B77">
              <w:rPr>
                <w:color w:val="000000"/>
                <w:sz w:val="18"/>
              </w:rPr>
              <w:t>The whole building model approach was designed to create projects that are more comprehensive.</w:t>
            </w:r>
          </w:p>
        </w:tc>
      </w:tr>
    </w:tbl>
    <w:p w:rsidR="00E646C9" w:rsidRDefault="00E646C9" w:rsidP="00C3558F"/>
    <w:p w:rsidR="00C3558F" w:rsidRDefault="00C3558F" w:rsidP="00C3558F"/>
    <w:p w:rsidR="0058256F" w:rsidRDefault="0058256F" w:rsidP="00C3558F"/>
    <w:p w:rsidR="0058256F" w:rsidRDefault="0058256F" w:rsidP="00C3558F"/>
    <w:p w:rsidR="00C3558F" w:rsidRDefault="00C3558F" w:rsidP="00C3558F"/>
    <w:p w:rsidR="00E646C9" w:rsidRDefault="00E646C9" w:rsidP="00C3558F">
      <w:pPr>
        <w:pStyle w:val="AppendixGHeading2"/>
      </w:pPr>
      <w:r w:rsidRPr="008606B4">
        <w:t xml:space="preserve">Smart </w:t>
      </w:r>
      <w:r>
        <w:t>Multi-Family Solutions Program</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C3558F" w:rsidRPr="00B75B77" w:rsidTr="00821A84">
        <w:trPr>
          <w:cnfStyle w:val="100000000000" w:firstRow="1" w:lastRow="0" w:firstColumn="0" w:lastColumn="0" w:oddVBand="0" w:evenVBand="0" w:oddHBand="0" w:evenHBand="0" w:firstRowFirstColumn="0" w:firstRowLastColumn="0" w:lastRowFirstColumn="0" w:lastRowLastColumn="0"/>
          <w:trHeight w:val="664"/>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C3558F" w:rsidRPr="00B75B77" w:rsidRDefault="00C3558F" w:rsidP="00821A84">
            <w:pPr>
              <w:jc w:val="left"/>
              <w:rPr>
                <w:bCs w:val="0"/>
                <w:sz w:val="18"/>
              </w:rPr>
            </w:pPr>
            <w:r w:rsidRPr="00B75B77">
              <w:rPr>
                <w:bCs w:val="0"/>
                <w:sz w:val="18"/>
              </w:rPr>
              <w:t>Recommendations</w:t>
            </w:r>
          </w:p>
        </w:tc>
        <w:tc>
          <w:tcPr>
            <w:tcW w:w="4680" w:type="dxa"/>
            <w:shd w:val="clear" w:color="auto" w:fill="448A99"/>
            <w:vAlign w:val="bottom"/>
            <w:hideMark/>
          </w:tcPr>
          <w:p w:rsidR="00C3558F" w:rsidRDefault="00C3558F" w:rsidP="00821A84">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EDC Status of Recommendation</w:t>
            </w:r>
          </w:p>
          <w:p w:rsidR="00C3558F" w:rsidRPr="00B75B77" w:rsidRDefault="00C3558F" w:rsidP="00821A84">
            <w:pPr>
              <w:jc w:val="center"/>
              <w:cnfStyle w:val="100000000000" w:firstRow="1" w:lastRow="0" w:firstColumn="0" w:lastColumn="0" w:oddVBand="0" w:evenVBand="0" w:oddHBand="0" w:evenHBand="0" w:firstRowFirstColumn="0" w:firstRowLastColumn="0" w:lastRowFirstColumn="0" w:lastRowLastColumn="0"/>
              <w:rPr>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1: </w:t>
            </w:r>
            <w:r w:rsidRPr="00B75B77">
              <w:rPr>
                <w:b w:val="0"/>
                <w:color w:val="000000"/>
                <w:sz w:val="18"/>
              </w:rPr>
              <w:t>Monitor expansion of DI offerings in Phase III, focusing on LED penetration in each project to reduce free ridership.</w:t>
            </w:r>
          </w:p>
        </w:tc>
        <w:tc>
          <w:tcPr>
            <w:tcW w:w="468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szCs w:val="18"/>
              </w:rPr>
              <w:t>Implemented:</w:t>
            </w:r>
            <w:r w:rsidRPr="00B75B77">
              <w:rPr>
                <w:color w:val="000000"/>
                <w:sz w:val="18"/>
                <w:szCs w:val="18"/>
              </w:rPr>
              <w:t xml:space="preserve"> Going into Phase III, coordinated with CSP to track LED measures in the PECO database.</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hideMark/>
          </w:tcPr>
          <w:p w:rsidR="00E646C9" w:rsidRPr="00B75B77" w:rsidRDefault="00E646C9" w:rsidP="00C94D5A">
            <w:pPr>
              <w:jc w:val="left"/>
              <w:rPr>
                <w:color w:val="000000"/>
                <w:sz w:val="18"/>
              </w:rPr>
            </w:pPr>
            <w:r w:rsidRPr="00B75B77">
              <w:rPr>
                <w:color w:val="000000"/>
                <w:sz w:val="18"/>
              </w:rPr>
              <w:t xml:space="preserve">Recommendation 2: </w:t>
            </w:r>
            <w:r w:rsidRPr="00B75B77">
              <w:rPr>
                <w:b w:val="0"/>
                <w:color w:val="000000"/>
                <w:sz w:val="18"/>
              </w:rPr>
              <w:t>Advertise the long-term energy cost savings associated with the new Phase III prescriptive offerings.</w:t>
            </w:r>
          </w:p>
        </w:tc>
        <w:tc>
          <w:tcPr>
            <w:tcW w:w="4680" w:type="dxa"/>
            <w:shd w:val="clear" w:color="auto" w:fill="auto"/>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szCs w:val="18"/>
              </w:rPr>
              <w:t>Implemented:</w:t>
            </w:r>
            <w:r w:rsidRPr="00B75B77">
              <w:rPr>
                <w:color w:val="000000"/>
                <w:sz w:val="18"/>
                <w:szCs w:val="18"/>
              </w:rPr>
              <w:t xml:space="preserve"> </w:t>
            </w:r>
            <w:r w:rsidRPr="00B75B77">
              <w:rPr>
                <w:color w:val="000000"/>
                <w:sz w:val="18"/>
              </w:rPr>
              <w:t>Phase III prescriptive offerings will include marketing efforts which will focus on enhancing the trade ally network and promotion materials.</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tcPr>
          <w:p w:rsidR="00E646C9" w:rsidRPr="00B75B77" w:rsidRDefault="00E646C9" w:rsidP="00C94D5A">
            <w:pPr>
              <w:jc w:val="left"/>
              <w:rPr>
                <w:color w:val="000000"/>
                <w:sz w:val="18"/>
              </w:rPr>
            </w:pPr>
            <w:r w:rsidRPr="00B75B77">
              <w:rPr>
                <w:color w:val="000000"/>
                <w:sz w:val="18"/>
              </w:rPr>
              <w:t xml:space="preserve">Recommendation 3: </w:t>
            </w:r>
            <w:r w:rsidRPr="00B75B77">
              <w:rPr>
                <w:b w:val="0"/>
                <w:color w:val="000000"/>
                <w:sz w:val="18"/>
              </w:rPr>
              <w:t>Develop and implement a program representative checklist to encourage prescriptive and cross-program participation.</w:t>
            </w:r>
          </w:p>
        </w:tc>
        <w:tc>
          <w:tcPr>
            <w:tcW w:w="4680" w:type="dxa"/>
            <w:noWrap/>
            <w:vAlign w:val="center"/>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szCs w:val="18"/>
              </w:rPr>
              <w:t>Implemented/ Being Considered:</w:t>
            </w:r>
            <w:r w:rsidRPr="00B75B77">
              <w:rPr>
                <w:color w:val="000000"/>
                <w:sz w:val="18"/>
                <w:szCs w:val="18"/>
              </w:rPr>
              <w:t xml:space="preserve"> For Phase II, we had a quick reference guide for all of the prescriptive offerings for Multifamily Solutions. This quick reference guide is currently being updated for Phase III. A brochure is currently being developed to cross promote residential Smart Ideas programs.</w:t>
            </w:r>
          </w:p>
        </w:tc>
      </w:tr>
    </w:tbl>
    <w:p w:rsidR="00E646C9" w:rsidRPr="00C3558F" w:rsidRDefault="00E646C9" w:rsidP="00C3558F"/>
    <w:p w:rsidR="00E646C9" w:rsidRDefault="00E646C9" w:rsidP="00C3558F">
      <w:pPr>
        <w:pStyle w:val="AppendixGHeading2"/>
      </w:pPr>
      <w:r w:rsidRPr="008606B4">
        <w:t xml:space="preserve">Smart </w:t>
      </w:r>
      <w:r>
        <w:t>On-Site</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jc w:val="left"/>
              <w:rPr>
                <w:bCs w:val="0"/>
                <w:sz w:val="18"/>
              </w:rPr>
            </w:pPr>
            <w:r w:rsidRPr="00B75B77">
              <w:rPr>
                <w:bCs w:val="0"/>
                <w:sz w:val="18"/>
              </w:rPr>
              <w:t>Recommendations</w:t>
            </w:r>
          </w:p>
        </w:tc>
        <w:tc>
          <w:tcPr>
            <w:tcW w:w="4680" w:type="dxa"/>
            <w:shd w:val="clear" w:color="auto" w:fill="448A99"/>
            <w:vAlign w:val="bottom"/>
            <w:hideMark/>
          </w:tcPr>
          <w:p w:rsidR="00C3558F" w:rsidRDefault="00E646C9" w:rsidP="00C3558F">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C3558F" w:rsidRDefault="00E646C9" w:rsidP="00C3558F">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1: </w:t>
            </w:r>
          </w:p>
          <w:p w:rsidR="00E646C9" w:rsidRPr="00B75B77" w:rsidRDefault="00E646C9" w:rsidP="00E646C9">
            <w:pPr>
              <w:pStyle w:val="ListParagraph"/>
              <w:numPr>
                <w:ilvl w:val="4"/>
                <w:numId w:val="155"/>
              </w:numPr>
              <w:ind w:left="512" w:hanging="270"/>
              <w:jc w:val="left"/>
              <w:rPr>
                <w:color w:val="000000"/>
                <w:sz w:val="18"/>
              </w:rPr>
            </w:pPr>
            <w:r w:rsidRPr="00B75B77">
              <w:rPr>
                <w:b w:val="0"/>
                <w:color w:val="000000"/>
                <w:sz w:val="18"/>
              </w:rPr>
              <w:t>PECO should leverage completed SOS projects to promote the technology. CHP system owners expressed pride for their projects and may welcome the opportunity to publicize their success. If PECO wishes to foster the market for CHP in its service territory, it could invite CHP owners to speak about their experiences with the technology and PECO’s program at relevant industry events. Some CHP owners might be willing to host such events at their facility and provide tours of the system.</w:t>
            </w:r>
          </w:p>
          <w:p w:rsidR="00E646C9" w:rsidRPr="00B75B77" w:rsidRDefault="00E646C9" w:rsidP="00E646C9">
            <w:pPr>
              <w:pStyle w:val="ListParagraph"/>
              <w:numPr>
                <w:ilvl w:val="4"/>
                <w:numId w:val="155"/>
              </w:numPr>
              <w:ind w:left="512" w:hanging="270"/>
              <w:jc w:val="left"/>
              <w:rPr>
                <w:color w:val="000000"/>
                <w:sz w:val="18"/>
              </w:rPr>
            </w:pPr>
            <w:r w:rsidRPr="00B75B77">
              <w:rPr>
                <w:b w:val="0"/>
                <w:color w:val="000000"/>
                <w:sz w:val="18"/>
              </w:rPr>
              <w:t xml:space="preserve">Provide design support to customers. </w:t>
            </w:r>
          </w:p>
        </w:tc>
        <w:tc>
          <w:tcPr>
            <w:tcW w:w="4680" w:type="dxa"/>
            <w:noWrap/>
            <w:hideMark/>
          </w:tcPr>
          <w:p w:rsidR="00E646C9" w:rsidRPr="00B75B77" w:rsidRDefault="00E646C9" w:rsidP="00E646C9">
            <w:pPr>
              <w:pStyle w:val="ListParagraph"/>
              <w:numPr>
                <w:ilvl w:val="0"/>
                <w:numId w:val="156"/>
              </w:num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using marketing awareness campaigns as well as direct marketing outreach segmentation tactics to drive participation in this program.</w:t>
            </w:r>
          </w:p>
          <w:p w:rsidR="00E646C9" w:rsidRPr="00B75B77" w:rsidRDefault="00E646C9" w:rsidP="00E646C9">
            <w:pPr>
              <w:pStyle w:val="ListParagraph"/>
              <w:numPr>
                <w:ilvl w:val="0"/>
                <w:numId w:val="156"/>
              </w:num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PECO did incorporate the design support incentive as part of the Phase III program offering.</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hideMark/>
          </w:tcPr>
          <w:p w:rsidR="00E646C9" w:rsidRPr="00B75B77" w:rsidRDefault="00E646C9" w:rsidP="00C94D5A">
            <w:pPr>
              <w:jc w:val="left"/>
              <w:rPr>
                <w:color w:val="000000"/>
                <w:sz w:val="18"/>
              </w:rPr>
            </w:pPr>
            <w:r w:rsidRPr="00B75B77">
              <w:rPr>
                <w:color w:val="000000"/>
                <w:sz w:val="18"/>
              </w:rPr>
              <w:t>Recommendation 2:</w:t>
            </w:r>
            <w:r w:rsidRPr="00B75B77">
              <w:t xml:space="preserve"> </w:t>
            </w:r>
            <w:r w:rsidRPr="00B75B77">
              <w:rPr>
                <w:b w:val="0"/>
                <w:color w:val="000000"/>
                <w:sz w:val="18"/>
              </w:rPr>
              <w:t xml:space="preserve">Set final Phase III project enrollment deadlines of January 1, 2019 for projects over 1 MW and January 1, 2020 for projects less than 1 MW to mitigate completion risks that lead to portfolio-level uncertainty. </w:t>
            </w:r>
          </w:p>
        </w:tc>
        <w:tc>
          <w:tcPr>
            <w:tcW w:w="4680" w:type="dxa"/>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actively reshaping the enrollment strategies for Phase III by placing specific eligibility criteria and guidelines for project participation and enrollment to mitigate compliance risk. Project eligibility information will be communicated upfront as part of the application process.</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color w:val="000000"/>
                <w:sz w:val="18"/>
              </w:rPr>
              <w:t xml:space="preserve">Recommendation 3: </w:t>
            </w:r>
            <w:r w:rsidRPr="00B75B77">
              <w:rPr>
                <w:b w:val="0"/>
                <w:color w:val="000000"/>
                <w:sz w:val="18"/>
              </w:rPr>
              <w:t>PECO should host an open house for participants and developers to meet PECO and CSP staff to discuss any substantive changes to the program in Phase III.</w:t>
            </w:r>
          </w:p>
        </w:tc>
        <w:tc>
          <w:tcPr>
            <w:tcW w:w="4680" w:type="dxa"/>
            <w:noWrap/>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sz w:val="18"/>
              </w:rPr>
              <w:t xml:space="preserve">Recommendation 4: </w:t>
            </w:r>
            <w:r w:rsidRPr="00B75B77">
              <w:rPr>
                <w:b w:val="0"/>
                <w:sz w:val="18"/>
              </w:rPr>
              <w:t>Create a liaison with the DEP.</w:t>
            </w:r>
          </w:p>
        </w:tc>
        <w:tc>
          <w:tcPr>
            <w:tcW w:w="4680" w:type="dxa"/>
            <w:noWrap/>
            <w:vAlign w:val="center"/>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Rejected</w:t>
            </w:r>
          </w:p>
        </w:tc>
      </w:tr>
      <w:tr w:rsidR="00E646C9" w:rsidRPr="00B75B77" w:rsidTr="00C94D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color w:val="000000"/>
                <w:sz w:val="18"/>
              </w:rPr>
              <w:t>Recommendation 5:</w:t>
            </w:r>
            <w:r w:rsidRPr="00B75B77">
              <w:t xml:space="preserve"> </w:t>
            </w:r>
            <w:r w:rsidRPr="00B75B77">
              <w:rPr>
                <w:b w:val="0"/>
                <w:color w:val="000000"/>
                <w:sz w:val="18"/>
              </w:rPr>
              <w:t>Develop a program manual for developers and participants. The program manual should provide a standardized feasibility template, a process chart describing key milestones, and more details regarding enrollment, interconnection, and incentive payout.</w:t>
            </w:r>
          </w:p>
        </w:tc>
        <w:tc>
          <w:tcPr>
            <w:tcW w:w="4680" w:type="dxa"/>
            <w:noWrap/>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p>
        </w:tc>
      </w:tr>
    </w:tbl>
    <w:p w:rsidR="00E646C9" w:rsidRDefault="00E646C9" w:rsidP="00C3558F"/>
    <w:p w:rsidR="00C3558F" w:rsidRDefault="00C3558F" w:rsidP="00C3558F"/>
    <w:p w:rsidR="00C3558F" w:rsidRDefault="00C3558F" w:rsidP="00C3558F"/>
    <w:p w:rsidR="00C3558F" w:rsidRDefault="00C3558F" w:rsidP="00C3558F"/>
    <w:p w:rsidR="00C3558F" w:rsidRDefault="00C3558F" w:rsidP="00C3558F"/>
    <w:p w:rsidR="00C3558F" w:rsidRPr="00C3558F" w:rsidRDefault="00C3558F" w:rsidP="00C3558F"/>
    <w:p w:rsidR="00E646C9" w:rsidRDefault="00E646C9" w:rsidP="00C3558F">
      <w:pPr>
        <w:pStyle w:val="AppendixGHeading2"/>
      </w:pPr>
      <w:r>
        <w:t>Smart Business Solutions</w:t>
      </w:r>
    </w:p>
    <w:tbl>
      <w:tblPr>
        <w:tblStyle w:val="MediumShading1-Accent5"/>
        <w:tblW w:w="934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940"/>
        <w:gridCol w:w="440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14"/>
          <w:tblHeader/>
        </w:trPr>
        <w:tc>
          <w:tcPr>
            <w:cnfStyle w:val="001000000000" w:firstRow="0" w:lastRow="0" w:firstColumn="1" w:lastColumn="0" w:oddVBand="0" w:evenVBand="0" w:oddHBand="0" w:evenHBand="0" w:firstRowFirstColumn="0" w:firstRowLastColumn="0" w:lastRowFirstColumn="0" w:lastRowLastColumn="0"/>
            <w:tcW w:w="4940" w:type="dxa"/>
            <w:shd w:val="clear" w:color="auto" w:fill="448A99"/>
            <w:hideMark/>
          </w:tcPr>
          <w:p w:rsidR="00E646C9" w:rsidRPr="00B75B77" w:rsidRDefault="00E646C9" w:rsidP="00821A84">
            <w:pPr>
              <w:jc w:val="left"/>
              <w:rPr>
                <w:bCs w:val="0"/>
                <w:sz w:val="18"/>
              </w:rPr>
            </w:pPr>
            <w:r w:rsidRPr="00B75B77">
              <w:rPr>
                <w:bCs w:val="0"/>
                <w:sz w:val="18"/>
              </w:rPr>
              <w:t>Recommendations</w:t>
            </w:r>
          </w:p>
        </w:tc>
        <w:tc>
          <w:tcPr>
            <w:tcW w:w="4400" w:type="dxa"/>
            <w:shd w:val="clear" w:color="auto" w:fill="448A99"/>
            <w:vAlign w:val="bottom"/>
            <w:hideMark/>
          </w:tcPr>
          <w:p w:rsidR="00C3558F" w:rsidRDefault="00E646C9" w:rsidP="00C3558F">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EDC Status of Recommendation</w:t>
            </w:r>
          </w:p>
          <w:p w:rsidR="00E646C9" w:rsidRPr="00C3558F" w:rsidRDefault="00E646C9" w:rsidP="00C3558F">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494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1: </w:t>
            </w:r>
            <w:r w:rsidRPr="00B75B77">
              <w:rPr>
                <w:b w:val="0"/>
                <w:sz w:val="18"/>
              </w:rPr>
              <w:t>The CSP sales auditor should further refine the process for gathering and documenting accurate lighting schedules for use in the savings estimates presented to customers and in the calculation of ex ante savings. The CSP should also review the TRM HOU values for new measures—such as night covers—and other measures added to the program in Phase III.</w:t>
            </w:r>
          </w:p>
        </w:tc>
        <w:tc>
          <w:tcPr>
            <w:tcW w:w="440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Being Considered:</w:t>
            </w:r>
            <w:r w:rsidRPr="00B75B77">
              <w:rPr>
                <w:color w:val="000000"/>
                <w:sz w:val="18"/>
              </w:rPr>
              <w:t xml:space="preserve"> A separate tab will be added to the Schedule C for the sales auditor to document discrepancies between the posted HOU and the true HOU.</w:t>
            </w:r>
          </w:p>
        </w:tc>
      </w:tr>
      <w:tr w:rsidR="00E646C9" w:rsidRPr="00B75B77" w:rsidTr="00C94D5A">
        <w:trPr>
          <w:cnfStyle w:val="000000010000" w:firstRow="0" w:lastRow="0" w:firstColumn="0" w:lastColumn="0" w:oddVBand="0" w:evenVBand="0" w:oddHBand="0" w:evenHBand="1"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4940" w:type="dxa"/>
            <w:noWrap/>
            <w:vAlign w:val="center"/>
            <w:hideMark/>
          </w:tcPr>
          <w:p w:rsidR="00E646C9" w:rsidRPr="00B75B77" w:rsidRDefault="00E646C9" w:rsidP="00C94D5A">
            <w:pPr>
              <w:jc w:val="left"/>
              <w:rPr>
                <w:color w:val="000000"/>
                <w:sz w:val="18"/>
              </w:rPr>
            </w:pPr>
            <w:r w:rsidRPr="00B75B77">
              <w:rPr>
                <w:color w:val="000000"/>
                <w:sz w:val="18"/>
              </w:rPr>
              <w:t>Recommendation 2</w:t>
            </w:r>
            <w:r w:rsidRPr="00B75B77">
              <w:rPr>
                <w:sz w:val="18"/>
              </w:rPr>
              <w:t>:</w:t>
            </w:r>
            <w:r w:rsidRPr="00B75B77">
              <w:rPr>
                <w:b w:val="0"/>
                <w:sz w:val="18"/>
              </w:rPr>
              <w:t xml:space="preserve"> Going forward into Phase III, PECO should use the program—renamed Whole-Building—as a lever for fine-tuning portfolio-level goals and targets, depending on budget.</w:t>
            </w:r>
          </w:p>
        </w:tc>
        <w:tc>
          <w:tcPr>
            <w:tcW w:w="4400" w:type="dxa"/>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In the new plan for Phase III, the program is renamed to reflect the treatments and offerings it presents.</w:t>
            </w:r>
          </w:p>
        </w:tc>
      </w:tr>
      <w:tr w:rsidR="00E646C9" w:rsidRPr="00B75B77" w:rsidTr="00C94D5A">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94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3: </w:t>
            </w:r>
            <w:r w:rsidRPr="00B75B77">
              <w:rPr>
                <w:b w:val="0"/>
                <w:color w:val="000000"/>
                <w:sz w:val="18"/>
              </w:rPr>
              <w:t xml:space="preserve">PECO should have the CSP more proactively propose the installation of TLED lamps and fixtures as the primary replacement for T12s. </w:t>
            </w:r>
          </w:p>
        </w:tc>
        <w:tc>
          <w:tcPr>
            <w:tcW w:w="4400" w:type="dxa"/>
            <w:noWrap/>
            <w:vAlign w:val="center"/>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T12s have been proactively replaced with other more efficient measures.</w:t>
            </w:r>
          </w:p>
        </w:tc>
      </w:tr>
      <w:tr w:rsidR="00E646C9" w:rsidRPr="00B75B77" w:rsidTr="00C94D5A">
        <w:trPr>
          <w:cnfStyle w:val="000000010000" w:firstRow="0" w:lastRow="0" w:firstColumn="0" w:lastColumn="0" w:oddVBand="0" w:evenVBand="0" w:oddHBand="0" w:evenHBand="1"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4940" w:type="dxa"/>
            <w:noWrap/>
            <w:vAlign w:val="center"/>
          </w:tcPr>
          <w:p w:rsidR="00E646C9" w:rsidRPr="00B75B77" w:rsidRDefault="00E646C9" w:rsidP="00C94D5A">
            <w:pPr>
              <w:jc w:val="left"/>
              <w:rPr>
                <w:color w:val="000000"/>
                <w:sz w:val="18"/>
              </w:rPr>
            </w:pPr>
            <w:r w:rsidRPr="00B75B77">
              <w:rPr>
                <w:color w:val="000000"/>
                <w:sz w:val="18"/>
              </w:rPr>
              <w:t xml:space="preserve">Recommendation 4: </w:t>
            </w:r>
            <w:r w:rsidRPr="00B75B77">
              <w:rPr>
                <w:b w:val="0"/>
                <w:color w:val="000000"/>
                <w:sz w:val="18"/>
              </w:rPr>
              <w:t>PECO should take full advantage of the face time with customers during a Whole-Building audit in Phase III by connecting them with other aspects of the small C&amp;I program such as behavioral and equipment systems solutions. The CSP should collect primary data while onsite to provide accurate energy savings estimates for these other prescriptive technologies and begin the rebate paperwork for the customer.</w:t>
            </w:r>
          </w:p>
        </w:tc>
        <w:tc>
          <w:tcPr>
            <w:tcW w:w="4400" w:type="dxa"/>
            <w:noWrap/>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Currently in process.</w:t>
            </w:r>
          </w:p>
        </w:tc>
      </w:tr>
    </w:tbl>
    <w:p w:rsidR="00E646C9" w:rsidRPr="008606B4" w:rsidRDefault="00E646C9" w:rsidP="00E646C9"/>
    <w:p w:rsidR="00E646C9" w:rsidRPr="00C61F80" w:rsidRDefault="00E646C9" w:rsidP="00702AB3">
      <w:pPr>
        <w:pStyle w:val="AppendixGHeading1"/>
      </w:pPr>
      <w:r w:rsidRPr="00C61F80">
        <w:t>PPL</w:t>
      </w:r>
    </w:p>
    <w:p w:rsidR="00E646C9" w:rsidRPr="00130312" w:rsidRDefault="00E646C9" w:rsidP="00C3558F">
      <w:pPr>
        <w:pStyle w:val="AppendixGHeading2"/>
      </w:pPr>
      <w:r w:rsidRPr="00130312">
        <w:t>P</w:t>
      </w:r>
      <w:r>
        <w:t>rescriptive Equipment Program</w:t>
      </w:r>
    </w:p>
    <w:tbl>
      <w:tblPr>
        <w:tblW w:w="936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1"/>
        <w:gridCol w:w="4681"/>
      </w:tblGrid>
      <w:tr w:rsidR="00E646C9" w:rsidTr="00C3558F">
        <w:trPr>
          <w:trHeight w:hRule="exact" w:val="679"/>
        </w:trPr>
        <w:tc>
          <w:tcPr>
            <w:tcW w:w="9362" w:type="dxa"/>
            <w:gridSpan w:val="2"/>
            <w:shd w:val="clear" w:color="auto" w:fill="448999"/>
            <w:vAlign w:val="bottom"/>
          </w:tcPr>
          <w:p w:rsidR="00E646C9" w:rsidRPr="00C3558F" w:rsidRDefault="00E646C9" w:rsidP="00821A84">
            <w:pPr>
              <w:pStyle w:val="TableParagraph"/>
              <w:tabs>
                <w:tab w:val="left" w:pos="5251"/>
              </w:tabs>
              <w:ind w:left="5798" w:right="570" w:hanging="5632"/>
              <w:rPr>
                <w:rFonts w:ascii="Calibri" w:eastAsia="Calibri" w:hAnsi="Calibri" w:cs="Calibri"/>
                <w:sz w:val="18"/>
                <w:szCs w:val="18"/>
              </w:rPr>
            </w:pPr>
            <w:r w:rsidRPr="00C3558F">
              <w:rPr>
                <w:rFonts w:ascii="Calibri"/>
                <w:b/>
                <w:color w:val="FFFFFF"/>
                <w:spacing w:val="-1"/>
                <w:w w:val="95"/>
                <w:sz w:val="20"/>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3558F">
            <w:pPr>
              <w:pStyle w:val="TableParagraph"/>
              <w:spacing w:line="218" w:lineRule="exact"/>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893"/>
        </w:trPr>
        <w:tc>
          <w:tcPr>
            <w:tcW w:w="4681" w:type="dxa"/>
            <w:shd w:val="clear" w:color="auto" w:fill="D2EAF0"/>
          </w:tcPr>
          <w:p w:rsidR="00E646C9" w:rsidRDefault="00E646C9" w:rsidP="00C94D5A">
            <w:pPr>
              <w:pStyle w:val="TableParagraph"/>
              <w:ind w:left="97" w:right="132"/>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providing</w:t>
            </w:r>
            <w:r>
              <w:rPr>
                <w:rFonts w:ascii="Calibri"/>
                <w:spacing w:val="-2"/>
                <w:sz w:val="18"/>
              </w:rPr>
              <w:t xml:space="preserve"> </w:t>
            </w:r>
            <w:r>
              <w:rPr>
                <w:rFonts w:ascii="Calibri"/>
                <w:sz w:val="18"/>
              </w:rPr>
              <w:t>more</w:t>
            </w:r>
            <w:r>
              <w:rPr>
                <w:rFonts w:ascii="Calibri"/>
                <w:spacing w:val="-4"/>
                <w:sz w:val="18"/>
              </w:rPr>
              <w:t xml:space="preserve"> </w:t>
            </w:r>
            <w:r>
              <w:rPr>
                <w:rFonts w:ascii="Calibri"/>
                <w:spacing w:val="-1"/>
                <w:sz w:val="18"/>
              </w:rPr>
              <w:t>support</w:t>
            </w:r>
            <w:r>
              <w:rPr>
                <w:rFonts w:ascii="Calibri"/>
                <w:sz w:val="18"/>
              </w:rPr>
              <w:t xml:space="preserve"> in</w:t>
            </w:r>
            <w:r>
              <w:rPr>
                <w:rFonts w:ascii="Calibri"/>
                <w:spacing w:val="-3"/>
                <w:sz w:val="18"/>
              </w:rPr>
              <w:t xml:space="preserve"> </w:t>
            </w:r>
            <w:r>
              <w:rPr>
                <w:rFonts w:ascii="Calibri"/>
                <w:spacing w:val="-1"/>
                <w:sz w:val="18"/>
              </w:rPr>
              <w:t>filling</w:t>
            </w:r>
            <w:r>
              <w:rPr>
                <w:rFonts w:ascii="Calibri"/>
                <w:spacing w:val="-3"/>
                <w:sz w:val="18"/>
              </w:rPr>
              <w:t xml:space="preserve"> </w:t>
            </w:r>
            <w:r>
              <w:rPr>
                <w:rFonts w:ascii="Calibri"/>
                <w:sz w:val="18"/>
              </w:rPr>
              <w:t>out</w:t>
            </w:r>
            <w:r>
              <w:rPr>
                <w:rFonts w:ascii="Calibri"/>
                <w:spacing w:val="-1"/>
                <w:sz w:val="18"/>
              </w:rPr>
              <w:t xml:space="preserve"> </w:t>
            </w:r>
            <w:r>
              <w:rPr>
                <w:rFonts w:ascii="Calibri"/>
                <w:sz w:val="18"/>
              </w:rPr>
              <w:t>the</w:t>
            </w:r>
            <w:r>
              <w:rPr>
                <w:rFonts w:ascii="Calibri"/>
                <w:spacing w:val="37"/>
                <w:w w:val="99"/>
                <w:sz w:val="18"/>
              </w:rPr>
              <w:t xml:space="preserve"> </w:t>
            </w:r>
            <w:r>
              <w:rPr>
                <w:rFonts w:ascii="Calibri"/>
                <w:spacing w:val="-1"/>
                <w:sz w:val="18"/>
              </w:rPr>
              <w:t>applications</w:t>
            </w:r>
            <w:r>
              <w:rPr>
                <w:rFonts w:ascii="Calibri"/>
                <w:spacing w:val="-3"/>
                <w:sz w:val="18"/>
              </w:rPr>
              <w:t xml:space="preserve"> </w:t>
            </w:r>
            <w:r>
              <w:rPr>
                <w:rFonts w:ascii="Calibri"/>
                <w:sz w:val="18"/>
              </w:rPr>
              <w:t>with</w:t>
            </w:r>
            <w:r>
              <w:rPr>
                <w:rFonts w:ascii="Calibri"/>
                <w:spacing w:val="-2"/>
                <w:sz w:val="18"/>
              </w:rPr>
              <w:t xml:space="preserve"> </w:t>
            </w:r>
            <w:r>
              <w:rPr>
                <w:rFonts w:ascii="Calibri"/>
                <w:spacing w:val="-1"/>
                <w:sz w:val="18"/>
              </w:rPr>
              <w:t>examples</w:t>
            </w:r>
            <w:r>
              <w:rPr>
                <w:rFonts w:ascii="Calibri"/>
                <w:spacing w:val="-3"/>
                <w:sz w:val="18"/>
              </w:rPr>
              <w:t xml:space="preserve"> </w:t>
            </w:r>
            <w:r>
              <w:rPr>
                <w:rFonts w:ascii="Calibri"/>
                <w:sz w:val="18"/>
              </w:rPr>
              <w:t>of</w:t>
            </w:r>
            <w:r>
              <w:rPr>
                <w:rFonts w:ascii="Calibri"/>
                <w:spacing w:val="-2"/>
                <w:sz w:val="18"/>
              </w:rPr>
              <w:t xml:space="preserve"> </w:t>
            </w:r>
            <w:r>
              <w:rPr>
                <w:rFonts w:ascii="Calibri"/>
                <w:spacing w:val="-1"/>
                <w:sz w:val="18"/>
              </w:rPr>
              <w:t>completed</w:t>
            </w:r>
            <w:r>
              <w:rPr>
                <w:rFonts w:ascii="Calibri"/>
                <w:spacing w:val="-3"/>
                <w:sz w:val="18"/>
              </w:rPr>
              <w:t xml:space="preserve"> </w:t>
            </w:r>
            <w:r>
              <w:rPr>
                <w:rFonts w:ascii="Calibri"/>
                <w:spacing w:val="-1"/>
                <w:sz w:val="18"/>
              </w:rPr>
              <w:t>applications</w:t>
            </w:r>
            <w:r>
              <w:rPr>
                <w:rFonts w:ascii="Calibri"/>
                <w:spacing w:val="-2"/>
                <w:sz w:val="18"/>
              </w:rPr>
              <w:t xml:space="preserve"> </w:t>
            </w:r>
            <w:r>
              <w:rPr>
                <w:rFonts w:ascii="Calibri"/>
                <w:sz w:val="18"/>
              </w:rPr>
              <w:t>on</w:t>
            </w:r>
            <w:r>
              <w:rPr>
                <w:rFonts w:ascii="Calibri"/>
                <w:spacing w:val="-2"/>
                <w:sz w:val="18"/>
              </w:rPr>
              <w:t xml:space="preserve"> </w:t>
            </w:r>
            <w:r>
              <w:rPr>
                <w:rFonts w:ascii="Calibri"/>
                <w:sz w:val="18"/>
              </w:rPr>
              <w:t>the</w:t>
            </w:r>
            <w:r>
              <w:rPr>
                <w:rFonts w:ascii="Calibri"/>
                <w:spacing w:val="59"/>
                <w:w w:val="99"/>
                <w:sz w:val="18"/>
              </w:rPr>
              <w:t xml:space="preserve"> </w:t>
            </w:r>
            <w:r>
              <w:rPr>
                <w:rFonts w:ascii="Calibri"/>
                <w:spacing w:val="-1"/>
                <w:sz w:val="18"/>
              </w:rPr>
              <w:t>website</w:t>
            </w:r>
            <w:r>
              <w:rPr>
                <w:rFonts w:ascii="Calibri"/>
                <w:spacing w:val="-3"/>
                <w:sz w:val="18"/>
              </w:rPr>
              <w:t xml:space="preserve"> </w:t>
            </w:r>
            <w:r>
              <w:rPr>
                <w:rFonts w:ascii="Calibri"/>
                <w:sz w:val="18"/>
              </w:rPr>
              <w:t>and</w:t>
            </w:r>
            <w:r>
              <w:rPr>
                <w:rFonts w:ascii="Calibri"/>
                <w:spacing w:val="-3"/>
                <w:sz w:val="18"/>
              </w:rPr>
              <w:t xml:space="preserve"> </w:t>
            </w:r>
            <w:r>
              <w:rPr>
                <w:rFonts w:ascii="Calibri"/>
                <w:sz w:val="18"/>
              </w:rPr>
              <w:t>a</w:t>
            </w:r>
            <w:r>
              <w:rPr>
                <w:rFonts w:ascii="Calibri"/>
                <w:spacing w:val="-1"/>
                <w:sz w:val="18"/>
              </w:rPr>
              <w:t xml:space="preserve"> point</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contact</w:t>
            </w:r>
            <w:r>
              <w:rPr>
                <w:rFonts w:ascii="Calibri"/>
                <w:spacing w:val="-2"/>
                <w:sz w:val="18"/>
              </w:rPr>
              <w:t xml:space="preserve"> </w:t>
            </w:r>
            <w:r>
              <w:rPr>
                <w:rFonts w:ascii="Calibri"/>
                <w:spacing w:val="-1"/>
                <w:sz w:val="18"/>
              </w:rPr>
              <w:t>available</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answer</w:t>
            </w:r>
            <w:r>
              <w:rPr>
                <w:rFonts w:ascii="Calibri"/>
                <w:spacing w:val="-2"/>
                <w:sz w:val="18"/>
              </w:rPr>
              <w:t xml:space="preserve"> </w:t>
            </w:r>
            <w:r>
              <w:rPr>
                <w:rFonts w:ascii="Calibri"/>
                <w:spacing w:val="-1"/>
                <w:sz w:val="18"/>
              </w:rPr>
              <w:t>questions</w:t>
            </w:r>
            <w:r>
              <w:rPr>
                <w:rFonts w:ascii="Calibri"/>
                <w:spacing w:val="57"/>
                <w:sz w:val="18"/>
              </w:rPr>
              <w:t xml:space="preserve"> </w:t>
            </w:r>
            <w:r>
              <w:rPr>
                <w:rFonts w:ascii="Calibri"/>
                <w:spacing w:val="-1"/>
                <w:sz w:val="18"/>
              </w:rPr>
              <w:t>about</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application</w:t>
            </w:r>
            <w:r>
              <w:rPr>
                <w:rFonts w:ascii="Calibri"/>
                <w:spacing w:val="-3"/>
                <w:sz w:val="18"/>
              </w:rPr>
              <w:t xml:space="preserve"> </w:t>
            </w:r>
            <w:r>
              <w:rPr>
                <w:rFonts w:ascii="Calibri"/>
                <w:sz w:val="18"/>
              </w:rPr>
              <w:t>forms</w:t>
            </w:r>
          </w:p>
        </w:tc>
        <w:tc>
          <w:tcPr>
            <w:tcW w:w="4681" w:type="dxa"/>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C3558F">
        <w:trPr>
          <w:trHeight w:hRule="exact" w:val="449"/>
        </w:trPr>
        <w:tc>
          <w:tcPr>
            <w:tcW w:w="4681" w:type="dxa"/>
          </w:tcPr>
          <w:p w:rsidR="00E646C9" w:rsidRDefault="00E646C9" w:rsidP="00C94D5A">
            <w:pPr>
              <w:pStyle w:val="TableParagraph"/>
              <w:ind w:left="97" w:right="502"/>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incorporating</w:t>
            </w:r>
            <w:r>
              <w:rPr>
                <w:rFonts w:ascii="Calibri"/>
                <w:spacing w:val="-3"/>
                <w:sz w:val="18"/>
              </w:rPr>
              <w:t xml:space="preserve"> </w:t>
            </w:r>
            <w:r>
              <w:rPr>
                <w:rFonts w:ascii="Calibri"/>
                <w:sz w:val="18"/>
              </w:rPr>
              <w:t>a</w:t>
            </w:r>
            <w:r>
              <w:rPr>
                <w:rFonts w:ascii="Calibri"/>
                <w:spacing w:val="-2"/>
                <w:sz w:val="18"/>
              </w:rPr>
              <w:t xml:space="preserve"> </w:t>
            </w:r>
            <w:r>
              <w:rPr>
                <w:rFonts w:ascii="Calibri"/>
                <w:sz w:val="18"/>
              </w:rPr>
              <w:t>way</w:t>
            </w:r>
            <w:r>
              <w:rPr>
                <w:rFonts w:ascii="Calibri"/>
                <w:spacing w:val="-2"/>
                <w:sz w:val="18"/>
              </w:rPr>
              <w:t xml:space="preserve"> </w:t>
            </w:r>
            <w:r>
              <w:rPr>
                <w:rFonts w:ascii="Calibri"/>
                <w:sz w:val="18"/>
              </w:rPr>
              <w:t>for</w:t>
            </w:r>
            <w:r>
              <w:rPr>
                <w:rFonts w:ascii="Calibri"/>
                <w:spacing w:val="-2"/>
                <w:sz w:val="18"/>
              </w:rPr>
              <w:t xml:space="preserve"> </w:t>
            </w:r>
            <w:r>
              <w:rPr>
                <w:rFonts w:ascii="Calibri"/>
                <w:spacing w:val="-1"/>
                <w:sz w:val="18"/>
              </w:rPr>
              <w:t>applicants</w:t>
            </w:r>
            <w:r>
              <w:rPr>
                <w:rFonts w:ascii="Calibri"/>
                <w:spacing w:val="-3"/>
                <w:sz w:val="18"/>
              </w:rPr>
              <w:t xml:space="preserve"> </w:t>
            </w:r>
            <w:r>
              <w:rPr>
                <w:rFonts w:ascii="Calibri"/>
                <w:sz w:val="18"/>
              </w:rPr>
              <w:t>to</w:t>
            </w:r>
            <w:r>
              <w:rPr>
                <w:rFonts w:ascii="Calibri"/>
                <w:spacing w:val="-1"/>
                <w:sz w:val="18"/>
              </w:rPr>
              <w:t xml:space="preserve"> track</w:t>
            </w:r>
            <w:r>
              <w:rPr>
                <w:rFonts w:ascii="Calibri"/>
                <w:spacing w:val="-2"/>
                <w:sz w:val="18"/>
              </w:rPr>
              <w:t xml:space="preserve"> </w:t>
            </w:r>
            <w:r>
              <w:rPr>
                <w:rFonts w:ascii="Calibri"/>
                <w:spacing w:val="-1"/>
                <w:sz w:val="18"/>
              </w:rPr>
              <w:t>the</w:t>
            </w:r>
            <w:r>
              <w:rPr>
                <w:rFonts w:ascii="Calibri"/>
                <w:spacing w:val="43"/>
                <w:w w:val="99"/>
                <w:sz w:val="18"/>
              </w:rPr>
              <w:t xml:space="preserve"> </w:t>
            </w:r>
            <w:r>
              <w:rPr>
                <w:rFonts w:ascii="Calibri"/>
                <w:spacing w:val="-1"/>
                <w:sz w:val="18"/>
              </w:rPr>
              <w:t>status</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their application</w:t>
            </w:r>
            <w:r>
              <w:rPr>
                <w:rFonts w:ascii="Calibri"/>
                <w:spacing w:val="-2"/>
                <w:sz w:val="18"/>
              </w:rPr>
              <w:t xml:space="preserve"> </w:t>
            </w:r>
            <w:r>
              <w:rPr>
                <w:rFonts w:ascii="Calibri"/>
                <w:spacing w:val="-1"/>
                <w:sz w:val="18"/>
              </w:rPr>
              <w:t>online.</w:t>
            </w:r>
          </w:p>
        </w:tc>
        <w:tc>
          <w:tcPr>
            <w:tcW w:w="4681"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C3558F">
        <w:trPr>
          <w:trHeight w:hRule="exact" w:val="670"/>
        </w:trPr>
        <w:tc>
          <w:tcPr>
            <w:tcW w:w="4681" w:type="dxa"/>
            <w:shd w:val="clear" w:color="auto" w:fill="D2EAF0"/>
          </w:tcPr>
          <w:p w:rsidR="00E646C9" w:rsidRDefault="00E646C9" w:rsidP="00C94D5A">
            <w:pPr>
              <w:pStyle w:val="TableParagraph"/>
              <w:ind w:left="97" w:right="161"/>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pacing w:val="-1"/>
                <w:sz w:val="18"/>
              </w:rPr>
              <w:t>reaching</w:t>
            </w:r>
            <w:r>
              <w:rPr>
                <w:rFonts w:ascii="Calibri"/>
                <w:spacing w:val="-3"/>
                <w:sz w:val="18"/>
              </w:rPr>
              <w:t xml:space="preserve"> </w:t>
            </w:r>
            <w:r>
              <w:rPr>
                <w:rFonts w:ascii="Calibri"/>
                <w:sz w:val="18"/>
              </w:rPr>
              <w:t>out</w:t>
            </w:r>
            <w:r>
              <w:rPr>
                <w:rFonts w:ascii="Calibri"/>
                <w:spacing w:val="-2"/>
                <w:sz w:val="18"/>
              </w:rPr>
              <w:t xml:space="preserve"> </w:t>
            </w:r>
            <w:r>
              <w:rPr>
                <w:rFonts w:ascii="Calibri"/>
                <w:sz w:val="18"/>
              </w:rPr>
              <w:t>to</w:t>
            </w:r>
            <w:r>
              <w:rPr>
                <w:rFonts w:ascii="Calibri"/>
                <w:spacing w:val="-1"/>
                <w:sz w:val="18"/>
              </w:rPr>
              <w:t xml:space="preserve"> trade</w:t>
            </w:r>
            <w:r>
              <w:rPr>
                <w:rFonts w:ascii="Calibri"/>
                <w:spacing w:val="-3"/>
                <w:sz w:val="18"/>
              </w:rPr>
              <w:t xml:space="preserve"> </w:t>
            </w:r>
            <w:r>
              <w:rPr>
                <w:rFonts w:ascii="Calibri"/>
                <w:sz w:val="18"/>
              </w:rPr>
              <w:t>allies</w:t>
            </w:r>
            <w:r>
              <w:rPr>
                <w:rFonts w:ascii="Calibri"/>
                <w:spacing w:val="-3"/>
                <w:sz w:val="18"/>
              </w:rPr>
              <w:t xml:space="preserve"> </w:t>
            </w:r>
            <w:r>
              <w:rPr>
                <w:rFonts w:ascii="Calibri"/>
                <w:spacing w:val="-1"/>
                <w:sz w:val="18"/>
              </w:rPr>
              <w:t xml:space="preserve">who </w:t>
            </w:r>
            <w:r>
              <w:rPr>
                <w:rFonts w:ascii="Calibri"/>
                <w:sz w:val="18"/>
              </w:rPr>
              <w:t>are</w:t>
            </w:r>
            <w:r>
              <w:rPr>
                <w:rFonts w:ascii="Calibri"/>
                <w:spacing w:val="-3"/>
                <w:sz w:val="18"/>
              </w:rPr>
              <w:t xml:space="preserve"> </w:t>
            </w:r>
            <w:r>
              <w:rPr>
                <w:rFonts w:ascii="Calibri"/>
                <w:spacing w:val="-1"/>
                <w:sz w:val="18"/>
              </w:rPr>
              <w:t>active</w:t>
            </w:r>
            <w:r>
              <w:rPr>
                <w:rFonts w:ascii="Calibri"/>
                <w:spacing w:val="-3"/>
                <w:sz w:val="18"/>
              </w:rPr>
              <w:t xml:space="preserve"> </w:t>
            </w:r>
            <w:r>
              <w:rPr>
                <w:rFonts w:ascii="Calibri"/>
                <w:sz w:val="18"/>
              </w:rPr>
              <w:t>in</w:t>
            </w:r>
            <w:r>
              <w:rPr>
                <w:rFonts w:ascii="Calibri"/>
                <w:spacing w:val="-2"/>
                <w:sz w:val="18"/>
              </w:rPr>
              <w:t xml:space="preserve"> </w:t>
            </w:r>
            <w:r>
              <w:rPr>
                <w:rFonts w:ascii="Calibri"/>
                <w:spacing w:val="-1"/>
                <w:sz w:val="18"/>
              </w:rPr>
              <w:t>the</w:t>
            </w:r>
            <w:r>
              <w:rPr>
                <w:rFonts w:ascii="Calibri"/>
                <w:spacing w:val="45"/>
                <w:w w:val="99"/>
                <w:sz w:val="18"/>
              </w:rPr>
              <w:t xml:space="preserve"> </w:t>
            </w:r>
            <w:r>
              <w:rPr>
                <w:rFonts w:ascii="Calibri"/>
                <w:spacing w:val="-1"/>
                <w:sz w:val="18"/>
              </w:rPr>
              <w:t>program</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explain</w:t>
            </w:r>
            <w:r>
              <w:rPr>
                <w:rFonts w:ascii="Calibri"/>
                <w:spacing w:val="-3"/>
                <w:sz w:val="18"/>
              </w:rPr>
              <w:t xml:space="preserve"> </w:t>
            </w:r>
            <w:r>
              <w:rPr>
                <w:rFonts w:ascii="Calibri"/>
                <w:sz w:val="18"/>
              </w:rPr>
              <w:t>at</w:t>
            </w:r>
            <w:r>
              <w:rPr>
                <w:rFonts w:ascii="Calibri"/>
                <w:spacing w:val="-1"/>
                <w:sz w:val="18"/>
              </w:rPr>
              <w:t xml:space="preserve"> </w:t>
            </w:r>
            <w:r>
              <w:rPr>
                <w:rFonts w:ascii="Calibri"/>
                <w:sz w:val="18"/>
              </w:rPr>
              <w:t>the</w:t>
            </w:r>
            <w:r>
              <w:rPr>
                <w:rFonts w:ascii="Calibri"/>
                <w:spacing w:val="-3"/>
                <w:sz w:val="18"/>
              </w:rPr>
              <w:t xml:space="preserve"> </w:t>
            </w:r>
            <w:r>
              <w:rPr>
                <w:rFonts w:ascii="Calibri"/>
                <w:spacing w:val="-1"/>
                <w:sz w:val="18"/>
              </w:rPr>
              <w:t>beginning</w:t>
            </w:r>
            <w:r>
              <w:rPr>
                <w:rFonts w:ascii="Calibri"/>
                <w:spacing w:val="-3"/>
                <w:sz w:val="18"/>
              </w:rPr>
              <w:t xml:space="preserve"> </w:t>
            </w:r>
            <w:r>
              <w:rPr>
                <w:rFonts w:ascii="Calibri"/>
                <w:sz w:val="18"/>
              </w:rPr>
              <w:t>of</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year</w:t>
            </w:r>
            <w:r>
              <w:rPr>
                <w:rFonts w:ascii="Calibri"/>
                <w:spacing w:val="-2"/>
                <w:sz w:val="18"/>
              </w:rPr>
              <w:t xml:space="preserve"> </w:t>
            </w:r>
            <w:r>
              <w:rPr>
                <w:rFonts w:ascii="Calibri"/>
                <w:spacing w:val="-1"/>
                <w:sz w:val="18"/>
              </w:rPr>
              <w:t xml:space="preserve">that </w:t>
            </w:r>
            <w:r>
              <w:rPr>
                <w:rFonts w:ascii="Calibri"/>
                <w:sz w:val="18"/>
              </w:rPr>
              <w:t>a</w:t>
            </w:r>
            <w:r>
              <w:rPr>
                <w:rFonts w:ascii="Calibri"/>
                <w:spacing w:val="-2"/>
                <w:sz w:val="18"/>
              </w:rPr>
              <w:t xml:space="preserve"> </w:t>
            </w:r>
            <w:r>
              <w:rPr>
                <w:rFonts w:ascii="Calibri"/>
                <w:sz w:val="18"/>
              </w:rPr>
              <w:t>wait</w:t>
            </w:r>
            <w:r>
              <w:rPr>
                <w:rFonts w:ascii="Calibri"/>
                <w:spacing w:val="53"/>
                <w:sz w:val="18"/>
              </w:rPr>
              <w:t xml:space="preserve"> </w:t>
            </w:r>
            <w:r>
              <w:rPr>
                <w:rFonts w:ascii="Calibri"/>
                <w:spacing w:val="-1"/>
                <w:sz w:val="18"/>
              </w:rPr>
              <w:t>list</w:t>
            </w:r>
            <w:r>
              <w:rPr>
                <w:rFonts w:ascii="Calibri"/>
                <w:spacing w:val="-2"/>
                <w:sz w:val="18"/>
              </w:rPr>
              <w:t xml:space="preserve"> </w:t>
            </w:r>
            <w:r>
              <w:rPr>
                <w:rFonts w:ascii="Calibri"/>
                <w:spacing w:val="-1"/>
                <w:sz w:val="18"/>
              </w:rPr>
              <w:t>could</w:t>
            </w:r>
            <w:r>
              <w:rPr>
                <w:rFonts w:ascii="Calibri"/>
                <w:spacing w:val="-2"/>
                <w:sz w:val="18"/>
              </w:rPr>
              <w:t xml:space="preserve"> </w:t>
            </w:r>
            <w:r>
              <w:rPr>
                <w:rFonts w:ascii="Calibri"/>
                <w:sz w:val="18"/>
              </w:rPr>
              <w:t>occur</w:t>
            </w:r>
            <w:r>
              <w:rPr>
                <w:rFonts w:ascii="Calibri"/>
                <w:spacing w:val="-1"/>
                <w:sz w:val="18"/>
              </w:rPr>
              <w:t xml:space="preserve"> in</w:t>
            </w:r>
            <w:r>
              <w:rPr>
                <w:rFonts w:ascii="Calibri"/>
                <w:spacing w:val="-2"/>
                <w:sz w:val="18"/>
              </w:rPr>
              <w:t xml:space="preserve"> </w:t>
            </w:r>
            <w:r>
              <w:rPr>
                <w:rFonts w:ascii="Calibri"/>
                <w:sz w:val="18"/>
              </w:rPr>
              <w:t>the</w:t>
            </w:r>
            <w:r>
              <w:rPr>
                <w:rFonts w:ascii="Calibri"/>
                <w:spacing w:val="-2"/>
                <w:sz w:val="18"/>
              </w:rPr>
              <w:t xml:space="preserve"> </w:t>
            </w:r>
            <w:r>
              <w:rPr>
                <w:rFonts w:ascii="Calibri"/>
                <w:spacing w:val="-1"/>
                <w:sz w:val="18"/>
              </w:rPr>
              <w:t>future.</w:t>
            </w:r>
          </w:p>
        </w:tc>
        <w:tc>
          <w:tcPr>
            <w:tcW w:w="4681" w:type="dxa"/>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C3558F">
        <w:trPr>
          <w:trHeight w:hRule="exact" w:val="670"/>
        </w:trPr>
        <w:tc>
          <w:tcPr>
            <w:tcW w:w="4681" w:type="dxa"/>
          </w:tcPr>
          <w:p w:rsidR="00E646C9" w:rsidRDefault="00E646C9" w:rsidP="00C94D5A">
            <w:pPr>
              <w:pStyle w:val="TableParagraph"/>
              <w:ind w:left="97" w:right="103"/>
              <w:jc w:val="both"/>
              <w:rPr>
                <w:rFonts w:ascii="Calibri" w:eastAsia="Calibri" w:hAnsi="Calibri" w:cs="Calibri"/>
                <w:sz w:val="18"/>
                <w:szCs w:val="18"/>
              </w:rPr>
            </w:pPr>
            <w:r>
              <w:rPr>
                <w:rFonts w:ascii="Calibri"/>
                <w:spacing w:val="-1"/>
                <w:sz w:val="18"/>
              </w:rPr>
              <w:t>Consider</w:t>
            </w:r>
            <w:r>
              <w:rPr>
                <w:rFonts w:ascii="Calibri"/>
                <w:spacing w:val="7"/>
                <w:sz w:val="18"/>
              </w:rPr>
              <w:t xml:space="preserve"> </w:t>
            </w:r>
            <w:r>
              <w:rPr>
                <w:rFonts w:ascii="Calibri"/>
                <w:spacing w:val="-1"/>
                <w:sz w:val="18"/>
              </w:rPr>
              <w:t>posting</w:t>
            </w:r>
            <w:r>
              <w:rPr>
                <w:rFonts w:ascii="Calibri"/>
                <w:spacing w:val="5"/>
                <w:sz w:val="18"/>
              </w:rPr>
              <w:t xml:space="preserve"> </w:t>
            </w:r>
            <w:r>
              <w:rPr>
                <w:rFonts w:ascii="Calibri"/>
                <w:sz w:val="18"/>
              </w:rPr>
              <w:t>an</w:t>
            </w:r>
            <w:r>
              <w:rPr>
                <w:rFonts w:ascii="Calibri"/>
                <w:spacing w:val="7"/>
                <w:sz w:val="18"/>
              </w:rPr>
              <w:t xml:space="preserve"> </w:t>
            </w:r>
            <w:r>
              <w:rPr>
                <w:rFonts w:ascii="Calibri"/>
                <w:spacing w:val="-1"/>
                <w:sz w:val="18"/>
              </w:rPr>
              <w:t>update</w:t>
            </w:r>
            <w:r>
              <w:rPr>
                <w:rFonts w:ascii="Calibri"/>
                <w:spacing w:val="4"/>
                <w:sz w:val="18"/>
              </w:rPr>
              <w:t xml:space="preserve"> </w:t>
            </w:r>
            <w:r>
              <w:rPr>
                <w:rFonts w:ascii="Calibri"/>
                <w:sz w:val="18"/>
              </w:rPr>
              <w:t>on</w:t>
            </w:r>
            <w:r>
              <w:rPr>
                <w:rFonts w:ascii="Calibri"/>
                <w:spacing w:val="5"/>
                <w:sz w:val="18"/>
              </w:rPr>
              <w:t xml:space="preserve"> </w:t>
            </w:r>
            <w:r>
              <w:rPr>
                <w:rFonts w:ascii="Calibri"/>
                <w:sz w:val="18"/>
              </w:rPr>
              <w:t>the</w:t>
            </w:r>
            <w:r>
              <w:rPr>
                <w:rFonts w:ascii="Calibri"/>
                <w:spacing w:val="5"/>
                <w:sz w:val="18"/>
              </w:rPr>
              <w:t xml:space="preserve"> </w:t>
            </w:r>
            <w:r>
              <w:rPr>
                <w:rFonts w:ascii="Calibri"/>
                <w:sz w:val="18"/>
              </w:rPr>
              <w:t>website</w:t>
            </w:r>
            <w:r>
              <w:rPr>
                <w:rFonts w:ascii="Calibri"/>
                <w:spacing w:val="7"/>
                <w:sz w:val="18"/>
              </w:rPr>
              <w:t xml:space="preserve"> </w:t>
            </w:r>
            <w:r>
              <w:rPr>
                <w:rFonts w:ascii="Calibri"/>
                <w:spacing w:val="-1"/>
                <w:sz w:val="18"/>
              </w:rPr>
              <w:t>explaining</w:t>
            </w:r>
            <w:r>
              <w:rPr>
                <w:rFonts w:ascii="Calibri"/>
                <w:spacing w:val="4"/>
                <w:sz w:val="18"/>
              </w:rPr>
              <w:t xml:space="preserve"> </w:t>
            </w:r>
            <w:r>
              <w:rPr>
                <w:rFonts w:ascii="Calibri"/>
                <w:spacing w:val="-1"/>
                <w:sz w:val="18"/>
              </w:rPr>
              <w:t>why</w:t>
            </w:r>
            <w:r>
              <w:rPr>
                <w:rFonts w:ascii="Calibri"/>
                <w:spacing w:val="6"/>
                <w:sz w:val="18"/>
              </w:rPr>
              <w:t xml:space="preserve"> </w:t>
            </w:r>
            <w:r>
              <w:rPr>
                <w:rFonts w:ascii="Calibri"/>
                <w:sz w:val="18"/>
              </w:rPr>
              <w:t>a</w:t>
            </w:r>
            <w:r>
              <w:rPr>
                <w:rFonts w:ascii="Calibri"/>
                <w:spacing w:val="45"/>
                <w:sz w:val="18"/>
              </w:rPr>
              <w:t xml:space="preserve"> </w:t>
            </w:r>
            <w:r>
              <w:rPr>
                <w:rFonts w:ascii="Calibri"/>
                <w:sz w:val="18"/>
              </w:rPr>
              <w:t>wait</w:t>
            </w:r>
            <w:r>
              <w:rPr>
                <w:rFonts w:ascii="Calibri"/>
                <w:spacing w:val="-1"/>
                <w:sz w:val="18"/>
              </w:rPr>
              <w:t xml:space="preserve"> list</w:t>
            </w:r>
            <w:r>
              <w:rPr>
                <w:rFonts w:ascii="Calibri"/>
                <w:spacing w:val="1"/>
                <w:sz w:val="18"/>
              </w:rPr>
              <w:t xml:space="preserve"> </w:t>
            </w:r>
            <w:r>
              <w:rPr>
                <w:rFonts w:ascii="Calibri"/>
                <w:sz w:val="18"/>
              </w:rPr>
              <w:t>was</w:t>
            </w:r>
            <w:r>
              <w:rPr>
                <w:rFonts w:ascii="Calibri"/>
                <w:spacing w:val="-1"/>
                <w:sz w:val="18"/>
              </w:rPr>
              <w:t xml:space="preserve"> implemented</w:t>
            </w:r>
            <w:r>
              <w:rPr>
                <w:rFonts w:ascii="Calibri"/>
                <w:sz w:val="18"/>
              </w:rPr>
              <w:t xml:space="preserve"> and</w:t>
            </w:r>
            <w:r>
              <w:rPr>
                <w:rFonts w:ascii="Calibri"/>
                <w:spacing w:val="-1"/>
                <w:sz w:val="18"/>
              </w:rPr>
              <w:t xml:space="preserve"> when</w:t>
            </w:r>
            <w:r>
              <w:rPr>
                <w:rFonts w:ascii="Calibri"/>
                <w:sz w:val="18"/>
              </w:rPr>
              <w:t xml:space="preserve"> the</w:t>
            </w:r>
            <w:r>
              <w:rPr>
                <w:rFonts w:ascii="Calibri"/>
                <w:spacing w:val="-1"/>
                <w:sz w:val="18"/>
              </w:rPr>
              <w:t xml:space="preserve"> </w:t>
            </w:r>
            <w:r>
              <w:rPr>
                <w:rFonts w:ascii="Calibri"/>
                <w:sz w:val="18"/>
              </w:rPr>
              <w:t xml:space="preserve">wait </w:t>
            </w:r>
            <w:r>
              <w:rPr>
                <w:rFonts w:ascii="Calibri"/>
                <w:spacing w:val="-1"/>
                <w:sz w:val="18"/>
              </w:rPr>
              <w:t>list</w:t>
            </w:r>
            <w:r>
              <w:rPr>
                <w:rFonts w:ascii="Calibri"/>
                <w:sz w:val="18"/>
              </w:rPr>
              <w:t xml:space="preserve"> </w:t>
            </w:r>
            <w:r>
              <w:rPr>
                <w:rFonts w:ascii="Calibri"/>
                <w:spacing w:val="-1"/>
                <w:sz w:val="18"/>
              </w:rPr>
              <w:t>is</w:t>
            </w:r>
            <w:r>
              <w:rPr>
                <w:rFonts w:ascii="Calibri"/>
                <w:sz w:val="18"/>
              </w:rPr>
              <w:t xml:space="preserve"> </w:t>
            </w:r>
            <w:r>
              <w:rPr>
                <w:rFonts w:ascii="Calibri"/>
                <w:spacing w:val="-1"/>
                <w:sz w:val="18"/>
              </w:rPr>
              <w:t>expected</w:t>
            </w:r>
            <w:r>
              <w:rPr>
                <w:rFonts w:ascii="Calibri"/>
                <w:spacing w:val="39"/>
                <w:sz w:val="18"/>
              </w:rPr>
              <w:t xml:space="preserve"> </w:t>
            </w:r>
            <w:r>
              <w:rPr>
                <w:rFonts w:ascii="Calibri"/>
                <w:sz w:val="18"/>
              </w:rPr>
              <w:t>to</w:t>
            </w:r>
            <w:r>
              <w:rPr>
                <w:rFonts w:ascii="Calibri"/>
                <w:spacing w:val="-3"/>
                <w:sz w:val="18"/>
              </w:rPr>
              <w:t xml:space="preserve"> </w:t>
            </w:r>
            <w:r>
              <w:rPr>
                <w:rFonts w:ascii="Calibri"/>
                <w:spacing w:val="-1"/>
                <w:sz w:val="18"/>
              </w:rPr>
              <w:t>be</w:t>
            </w:r>
            <w:r>
              <w:rPr>
                <w:rFonts w:ascii="Calibri"/>
                <w:spacing w:val="-3"/>
                <w:sz w:val="18"/>
              </w:rPr>
              <w:t xml:space="preserve"> </w:t>
            </w:r>
            <w:r>
              <w:rPr>
                <w:rFonts w:ascii="Calibri"/>
                <w:spacing w:val="-1"/>
                <w:sz w:val="18"/>
              </w:rPr>
              <w:t>removed.</w:t>
            </w:r>
          </w:p>
        </w:tc>
        <w:tc>
          <w:tcPr>
            <w:tcW w:w="4681"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Will</w:t>
            </w:r>
            <w:r>
              <w:rPr>
                <w:rFonts w:ascii="Calibri"/>
                <w:spacing w:val="-3"/>
                <w:sz w:val="18"/>
              </w:rPr>
              <w:t xml:space="preserve"> </w:t>
            </w:r>
            <w:r>
              <w:rPr>
                <w:rFonts w:ascii="Calibri"/>
                <w:spacing w:val="-1"/>
                <w:sz w:val="18"/>
              </w:rPr>
              <w:t>be</w:t>
            </w:r>
            <w:r>
              <w:rPr>
                <w:rFonts w:ascii="Calibri"/>
                <w:spacing w:val="-2"/>
                <w:sz w:val="18"/>
              </w:rPr>
              <w:t xml:space="preserve"> </w:t>
            </w:r>
            <w:r>
              <w:rPr>
                <w:rFonts w:ascii="Calibri"/>
                <w:sz w:val="18"/>
              </w:rPr>
              <w:t>implemented</w:t>
            </w:r>
            <w:r>
              <w:rPr>
                <w:rFonts w:ascii="Calibri"/>
                <w:spacing w:val="-3"/>
                <w:sz w:val="18"/>
              </w:rPr>
              <w:t xml:space="preserve"> </w:t>
            </w:r>
            <w:r>
              <w:rPr>
                <w:rFonts w:ascii="Calibri"/>
                <w:sz w:val="18"/>
              </w:rPr>
              <w:t>if</w:t>
            </w:r>
            <w:r>
              <w:rPr>
                <w:rFonts w:ascii="Calibri"/>
                <w:spacing w:val="-2"/>
                <w:sz w:val="18"/>
              </w:rPr>
              <w:t xml:space="preserve"> </w:t>
            </w:r>
            <w:r>
              <w:rPr>
                <w:rFonts w:ascii="Calibri"/>
                <w:spacing w:val="-1"/>
                <w:sz w:val="18"/>
              </w:rPr>
              <w:t>there</w:t>
            </w:r>
            <w:r>
              <w:rPr>
                <w:rFonts w:ascii="Calibri"/>
                <w:spacing w:val="-4"/>
                <w:sz w:val="18"/>
              </w:rPr>
              <w:t xml:space="preserve"> </w:t>
            </w:r>
            <w:r>
              <w:rPr>
                <w:rFonts w:ascii="Calibri"/>
                <w:sz w:val="18"/>
              </w:rPr>
              <w:t>is</w:t>
            </w:r>
            <w:r>
              <w:rPr>
                <w:rFonts w:ascii="Calibri"/>
                <w:spacing w:val="-3"/>
                <w:sz w:val="18"/>
              </w:rPr>
              <w:t xml:space="preserve"> </w:t>
            </w:r>
            <w:r>
              <w:rPr>
                <w:rFonts w:ascii="Calibri"/>
                <w:sz w:val="18"/>
              </w:rPr>
              <w:t xml:space="preserve">a </w:t>
            </w:r>
            <w:r>
              <w:rPr>
                <w:rFonts w:ascii="Calibri"/>
                <w:spacing w:val="-1"/>
                <w:sz w:val="18"/>
              </w:rPr>
              <w:t>waitlist in</w:t>
            </w:r>
            <w:r>
              <w:rPr>
                <w:rFonts w:ascii="Calibri"/>
                <w:spacing w:val="-3"/>
                <w:sz w:val="18"/>
              </w:rPr>
              <w:t xml:space="preserve"> </w:t>
            </w:r>
            <w:r>
              <w:rPr>
                <w:rFonts w:ascii="Calibri"/>
                <w:sz w:val="18"/>
              </w:rPr>
              <w:t>Phase III.</w:t>
            </w:r>
          </w:p>
        </w:tc>
      </w:tr>
      <w:tr w:rsidR="00E646C9" w:rsidTr="00C3558F">
        <w:trPr>
          <w:trHeight w:hRule="exact" w:val="667"/>
        </w:trPr>
        <w:tc>
          <w:tcPr>
            <w:tcW w:w="4681" w:type="dxa"/>
            <w:shd w:val="clear" w:color="auto" w:fill="D2EAF0"/>
          </w:tcPr>
          <w:p w:rsidR="00E646C9" w:rsidRDefault="00E646C9" w:rsidP="00C94D5A">
            <w:pPr>
              <w:pStyle w:val="TableParagraph"/>
              <w:ind w:left="97" w:right="101"/>
              <w:jc w:val="both"/>
              <w:rPr>
                <w:rFonts w:ascii="Calibri" w:eastAsia="Calibri" w:hAnsi="Calibri" w:cs="Calibri"/>
                <w:sz w:val="18"/>
                <w:szCs w:val="18"/>
              </w:rPr>
            </w:pPr>
            <w:r>
              <w:rPr>
                <w:rFonts w:ascii="Calibri"/>
                <w:spacing w:val="-1"/>
                <w:sz w:val="18"/>
              </w:rPr>
              <w:t>Consider</w:t>
            </w:r>
            <w:r>
              <w:rPr>
                <w:rFonts w:ascii="Calibri"/>
                <w:spacing w:val="38"/>
                <w:sz w:val="18"/>
              </w:rPr>
              <w:t xml:space="preserve"> </w:t>
            </w:r>
            <w:r>
              <w:rPr>
                <w:rFonts w:ascii="Calibri"/>
                <w:spacing w:val="-1"/>
                <w:sz w:val="18"/>
              </w:rPr>
              <w:t>requiring</w:t>
            </w:r>
            <w:r>
              <w:rPr>
                <w:rFonts w:ascii="Calibri"/>
                <w:spacing w:val="38"/>
                <w:sz w:val="18"/>
              </w:rPr>
              <w:t xml:space="preserve"> </w:t>
            </w:r>
            <w:r>
              <w:rPr>
                <w:rFonts w:ascii="Calibri"/>
                <w:sz w:val="18"/>
              </w:rPr>
              <w:t>the</w:t>
            </w:r>
            <w:r>
              <w:rPr>
                <w:rFonts w:ascii="Calibri"/>
                <w:spacing w:val="39"/>
                <w:sz w:val="18"/>
              </w:rPr>
              <w:t xml:space="preserve"> </w:t>
            </w:r>
            <w:r>
              <w:rPr>
                <w:rFonts w:ascii="Calibri"/>
                <w:spacing w:val="-1"/>
                <w:sz w:val="18"/>
              </w:rPr>
              <w:t>ICSP</w:t>
            </w:r>
            <w:r>
              <w:rPr>
                <w:rFonts w:ascii="Calibri"/>
                <w:spacing w:val="39"/>
                <w:sz w:val="18"/>
              </w:rPr>
              <w:t xml:space="preserve"> </w:t>
            </w:r>
            <w:r>
              <w:rPr>
                <w:rFonts w:ascii="Calibri"/>
                <w:sz w:val="18"/>
              </w:rPr>
              <w:t>to</w:t>
            </w:r>
            <w:r>
              <w:rPr>
                <w:rFonts w:ascii="Calibri"/>
                <w:spacing w:val="40"/>
                <w:sz w:val="18"/>
              </w:rPr>
              <w:t xml:space="preserve"> </w:t>
            </w:r>
            <w:r>
              <w:rPr>
                <w:rFonts w:ascii="Calibri"/>
                <w:spacing w:val="-1"/>
                <w:sz w:val="18"/>
              </w:rPr>
              <w:t>add</w:t>
            </w:r>
            <w:r>
              <w:rPr>
                <w:rFonts w:ascii="Calibri"/>
                <w:spacing w:val="38"/>
                <w:sz w:val="18"/>
              </w:rPr>
              <w:t xml:space="preserve"> </w:t>
            </w:r>
            <w:r>
              <w:rPr>
                <w:rFonts w:ascii="Calibri"/>
                <w:sz w:val="18"/>
              </w:rPr>
              <w:t>a</w:t>
            </w:r>
            <w:r>
              <w:rPr>
                <w:rFonts w:ascii="Calibri"/>
                <w:spacing w:val="39"/>
                <w:sz w:val="18"/>
              </w:rPr>
              <w:t xml:space="preserve"> </w:t>
            </w:r>
            <w:r>
              <w:rPr>
                <w:rFonts w:ascii="Calibri"/>
                <w:spacing w:val="-1"/>
                <w:sz w:val="18"/>
              </w:rPr>
              <w:t>QA/QC</w:t>
            </w:r>
            <w:r>
              <w:rPr>
                <w:rFonts w:ascii="Calibri"/>
                <w:spacing w:val="40"/>
                <w:sz w:val="18"/>
              </w:rPr>
              <w:t xml:space="preserve"> </w:t>
            </w:r>
            <w:r>
              <w:rPr>
                <w:rFonts w:ascii="Calibri"/>
                <w:spacing w:val="-1"/>
                <w:sz w:val="18"/>
              </w:rPr>
              <w:t>protocol</w:t>
            </w:r>
            <w:r>
              <w:rPr>
                <w:rFonts w:ascii="Calibri"/>
                <w:spacing w:val="38"/>
                <w:sz w:val="18"/>
              </w:rPr>
              <w:t xml:space="preserve"> </w:t>
            </w:r>
            <w:r>
              <w:rPr>
                <w:rFonts w:ascii="Calibri"/>
                <w:sz w:val="18"/>
              </w:rPr>
              <w:t>for</w:t>
            </w:r>
            <w:r>
              <w:rPr>
                <w:rFonts w:ascii="Calibri"/>
                <w:spacing w:val="53"/>
                <w:w w:val="99"/>
                <w:sz w:val="18"/>
              </w:rPr>
              <w:t xml:space="preserve"> </w:t>
            </w:r>
            <w:r>
              <w:rPr>
                <w:rFonts w:ascii="Calibri"/>
                <w:spacing w:val="-1"/>
                <w:sz w:val="18"/>
              </w:rPr>
              <w:t>lighting</w:t>
            </w:r>
            <w:r>
              <w:rPr>
                <w:rFonts w:ascii="Calibri"/>
                <w:spacing w:val="40"/>
                <w:sz w:val="18"/>
              </w:rPr>
              <w:t xml:space="preserve"> </w:t>
            </w:r>
            <w:r w:rsidR="00C3558F">
              <w:rPr>
                <w:rFonts w:ascii="Calibri"/>
                <w:spacing w:val="-1"/>
                <w:sz w:val="18"/>
              </w:rPr>
              <w:t>projects</w:t>
            </w:r>
            <w:r w:rsidR="00C3558F">
              <w:rPr>
                <w:rFonts w:ascii="Calibri"/>
                <w:sz w:val="18"/>
              </w:rPr>
              <w:t xml:space="preserve"> to</w:t>
            </w:r>
            <w:r>
              <w:rPr>
                <w:rFonts w:ascii="Calibri"/>
                <w:spacing w:val="1"/>
                <w:sz w:val="18"/>
              </w:rPr>
              <w:t xml:space="preserve"> </w:t>
            </w:r>
            <w:r w:rsidR="00C3558F">
              <w:rPr>
                <w:rFonts w:ascii="Calibri"/>
                <w:spacing w:val="-1"/>
                <w:sz w:val="18"/>
              </w:rPr>
              <w:t>ensure</w:t>
            </w:r>
            <w:r w:rsidR="00C3558F">
              <w:rPr>
                <w:rFonts w:ascii="Calibri"/>
                <w:sz w:val="18"/>
              </w:rPr>
              <w:t xml:space="preserve"> Appendix C</w:t>
            </w:r>
            <w:r>
              <w:rPr>
                <w:rFonts w:ascii="Calibri"/>
                <w:sz w:val="18"/>
              </w:rPr>
              <w:t xml:space="preserve"> </w:t>
            </w:r>
            <w:r>
              <w:rPr>
                <w:rFonts w:ascii="Calibri"/>
                <w:spacing w:val="-1"/>
                <w:sz w:val="18"/>
              </w:rPr>
              <w:t>inputs</w:t>
            </w:r>
            <w:r>
              <w:rPr>
                <w:rFonts w:ascii="Calibri"/>
                <w:spacing w:val="3"/>
                <w:sz w:val="18"/>
              </w:rPr>
              <w:t xml:space="preserve"> </w:t>
            </w:r>
            <w:r w:rsidR="00C3558F">
              <w:rPr>
                <w:rFonts w:ascii="Calibri"/>
                <w:spacing w:val="-1"/>
                <w:sz w:val="18"/>
              </w:rPr>
              <w:t>and</w:t>
            </w:r>
            <w:r w:rsidR="00C3558F">
              <w:rPr>
                <w:rFonts w:ascii="Calibri"/>
                <w:sz w:val="18"/>
              </w:rPr>
              <w:t xml:space="preserve"> results</w:t>
            </w:r>
            <w:r>
              <w:rPr>
                <w:rFonts w:ascii="Calibri"/>
                <w:spacing w:val="65"/>
                <w:sz w:val="18"/>
              </w:rPr>
              <w:t xml:space="preserve"> </w:t>
            </w:r>
            <w:r>
              <w:rPr>
                <w:rFonts w:ascii="Calibri"/>
                <w:sz w:val="18"/>
              </w:rPr>
              <w:t>match</w:t>
            </w:r>
            <w:r>
              <w:rPr>
                <w:rFonts w:ascii="Calibri"/>
                <w:spacing w:val="-5"/>
                <w:sz w:val="18"/>
              </w:rPr>
              <w:t xml:space="preserve"> </w:t>
            </w:r>
            <w:r>
              <w:rPr>
                <w:rFonts w:ascii="Calibri"/>
                <w:spacing w:val="-1"/>
                <w:sz w:val="18"/>
              </w:rPr>
              <w:t>EEMIS.</w:t>
            </w:r>
          </w:p>
        </w:tc>
        <w:tc>
          <w:tcPr>
            <w:tcW w:w="4681" w:type="dxa"/>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C3558F">
        <w:trPr>
          <w:trHeight w:hRule="exact" w:val="890"/>
        </w:trPr>
        <w:tc>
          <w:tcPr>
            <w:tcW w:w="4681" w:type="dxa"/>
          </w:tcPr>
          <w:p w:rsidR="00E646C9" w:rsidRDefault="00E646C9" w:rsidP="00C94D5A">
            <w:pPr>
              <w:pStyle w:val="TableParagraph"/>
              <w:ind w:left="97" w:right="265"/>
              <w:rPr>
                <w:rFonts w:ascii="Calibri" w:eastAsia="Calibri" w:hAnsi="Calibri" w:cs="Calibri"/>
                <w:sz w:val="18"/>
                <w:szCs w:val="18"/>
              </w:rPr>
            </w:pPr>
            <w:r>
              <w:rPr>
                <w:rFonts w:ascii="Calibri"/>
                <w:spacing w:val="-1"/>
                <w:sz w:val="18"/>
              </w:rPr>
              <w:t>Consider enhancing QC</w:t>
            </w:r>
            <w:r>
              <w:rPr>
                <w:rFonts w:ascii="Calibri"/>
                <w:spacing w:val="-3"/>
                <w:sz w:val="18"/>
              </w:rPr>
              <w:t xml:space="preserve"> </w:t>
            </w:r>
            <w:r>
              <w:rPr>
                <w:rFonts w:ascii="Calibri"/>
                <w:spacing w:val="-1"/>
                <w:sz w:val="18"/>
              </w:rPr>
              <w:t>processes</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identify</w:t>
            </w:r>
            <w:r>
              <w:rPr>
                <w:rFonts w:ascii="Calibri"/>
                <w:spacing w:val="-2"/>
                <w:sz w:val="18"/>
              </w:rPr>
              <w:t xml:space="preserve"> </w:t>
            </w:r>
            <w:r>
              <w:rPr>
                <w:rFonts w:ascii="Calibri"/>
                <w:spacing w:val="-1"/>
                <w:sz w:val="18"/>
              </w:rPr>
              <w:t>record</w:t>
            </w:r>
            <w:r>
              <w:rPr>
                <w:rFonts w:ascii="Calibri"/>
                <w:spacing w:val="51"/>
                <w:sz w:val="18"/>
              </w:rPr>
              <w:t xml:space="preserve"> </w:t>
            </w:r>
            <w:r>
              <w:rPr>
                <w:rFonts w:ascii="Calibri"/>
                <w:spacing w:val="-1"/>
                <w:sz w:val="18"/>
              </w:rPr>
              <w:t>duplicates,</w:t>
            </w:r>
            <w:r>
              <w:rPr>
                <w:rFonts w:ascii="Calibri"/>
                <w:spacing w:val="-3"/>
                <w:sz w:val="18"/>
              </w:rPr>
              <w:t xml:space="preserve"> </w:t>
            </w:r>
            <w:r>
              <w:rPr>
                <w:rFonts w:ascii="Calibri"/>
                <w:spacing w:val="-1"/>
                <w:sz w:val="18"/>
              </w:rPr>
              <w:t>out-of-range</w:t>
            </w:r>
            <w:r>
              <w:rPr>
                <w:rFonts w:ascii="Calibri"/>
                <w:spacing w:val="-3"/>
                <w:sz w:val="18"/>
              </w:rPr>
              <w:t xml:space="preserve"> </w:t>
            </w:r>
            <w:r>
              <w:rPr>
                <w:rFonts w:ascii="Calibri"/>
                <w:spacing w:val="-1"/>
                <w:sz w:val="18"/>
              </w:rPr>
              <w:t>values,</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flag</w:t>
            </w:r>
            <w:r>
              <w:rPr>
                <w:rFonts w:ascii="Calibri"/>
                <w:spacing w:val="-3"/>
                <w:sz w:val="18"/>
              </w:rPr>
              <w:t xml:space="preserve"> </w:t>
            </w:r>
            <w:r>
              <w:rPr>
                <w:rFonts w:ascii="Calibri"/>
                <w:spacing w:val="-1"/>
                <w:sz w:val="18"/>
              </w:rPr>
              <w:t>entries</w:t>
            </w:r>
            <w:r>
              <w:rPr>
                <w:rFonts w:ascii="Calibri"/>
                <w:spacing w:val="-3"/>
                <w:sz w:val="18"/>
              </w:rPr>
              <w:t xml:space="preserve"> </w:t>
            </w:r>
            <w:r>
              <w:rPr>
                <w:rFonts w:ascii="Calibri"/>
                <w:sz w:val="18"/>
              </w:rPr>
              <w:t>when</w:t>
            </w:r>
            <w:r>
              <w:rPr>
                <w:rFonts w:ascii="Calibri"/>
                <w:spacing w:val="-2"/>
                <w:sz w:val="18"/>
              </w:rPr>
              <w:t xml:space="preserve"> </w:t>
            </w:r>
            <w:r>
              <w:rPr>
                <w:rFonts w:ascii="Calibri"/>
                <w:spacing w:val="-1"/>
                <w:sz w:val="18"/>
              </w:rPr>
              <w:t>data</w:t>
            </w:r>
            <w:r>
              <w:rPr>
                <w:rFonts w:ascii="Calibri"/>
                <w:spacing w:val="67"/>
                <w:w w:val="99"/>
                <w:sz w:val="18"/>
              </w:rPr>
              <w:t xml:space="preserve"> </w:t>
            </w:r>
            <w:r>
              <w:rPr>
                <w:rFonts w:ascii="Calibri"/>
                <w:spacing w:val="-1"/>
                <w:sz w:val="18"/>
              </w:rPr>
              <w:t>fields</w:t>
            </w:r>
            <w:r>
              <w:rPr>
                <w:rFonts w:ascii="Calibri"/>
                <w:spacing w:val="-3"/>
                <w:sz w:val="18"/>
              </w:rPr>
              <w:t xml:space="preserve"> </w:t>
            </w:r>
            <w:r>
              <w:rPr>
                <w:rFonts w:ascii="Calibri"/>
                <w:sz w:val="18"/>
              </w:rPr>
              <w:t>are</w:t>
            </w:r>
            <w:r>
              <w:rPr>
                <w:rFonts w:ascii="Calibri"/>
                <w:spacing w:val="-3"/>
                <w:sz w:val="18"/>
              </w:rPr>
              <w:t xml:space="preserve"> </w:t>
            </w:r>
            <w:r>
              <w:rPr>
                <w:rFonts w:ascii="Calibri"/>
                <w:spacing w:val="-1"/>
                <w:sz w:val="18"/>
              </w:rPr>
              <w:t xml:space="preserve">populated that </w:t>
            </w:r>
            <w:r>
              <w:rPr>
                <w:rFonts w:ascii="Calibri"/>
                <w:sz w:val="18"/>
              </w:rPr>
              <w:t>are</w:t>
            </w:r>
            <w:r>
              <w:rPr>
                <w:rFonts w:ascii="Calibri"/>
                <w:spacing w:val="-1"/>
                <w:sz w:val="18"/>
              </w:rPr>
              <w:t xml:space="preserve"> not</w:t>
            </w:r>
            <w:r>
              <w:rPr>
                <w:rFonts w:ascii="Calibri"/>
                <w:spacing w:val="-2"/>
                <w:sz w:val="18"/>
              </w:rPr>
              <w:t xml:space="preserve"> </w:t>
            </w:r>
            <w:r>
              <w:rPr>
                <w:rFonts w:ascii="Calibri"/>
                <w:spacing w:val="-1"/>
                <w:sz w:val="18"/>
              </w:rPr>
              <w:t xml:space="preserve">applicable </w:t>
            </w:r>
            <w:r>
              <w:rPr>
                <w:rFonts w:ascii="Calibri"/>
                <w:sz w:val="18"/>
              </w:rPr>
              <w:t>to</w:t>
            </w:r>
            <w:r>
              <w:rPr>
                <w:rFonts w:ascii="Calibri"/>
                <w:spacing w:val="-1"/>
                <w:sz w:val="18"/>
              </w:rPr>
              <w:t xml:space="preserve"> the</w:t>
            </w:r>
            <w:r>
              <w:rPr>
                <w:rFonts w:ascii="Calibri"/>
                <w:spacing w:val="-3"/>
                <w:sz w:val="18"/>
              </w:rPr>
              <w:t xml:space="preserve"> </w:t>
            </w:r>
            <w:r>
              <w:rPr>
                <w:rFonts w:ascii="Calibri"/>
                <w:sz w:val="18"/>
              </w:rPr>
              <w:t>rebated</w:t>
            </w:r>
            <w:r>
              <w:rPr>
                <w:rFonts w:ascii="Calibri"/>
                <w:spacing w:val="43"/>
                <w:sz w:val="18"/>
              </w:rPr>
              <w:t xml:space="preserve"> </w:t>
            </w:r>
            <w:r>
              <w:rPr>
                <w:rFonts w:ascii="Calibri"/>
                <w:spacing w:val="-1"/>
                <w:sz w:val="18"/>
              </w:rPr>
              <w:t>equipment</w:t>
            </w:r>
            <w:r>
              <w:rPr>
                <w:rFonts w:ascii="Calibri"/>
                <w:spacing w:val="-3"/>
                <w:sz w:val="18"/>
              </w:rPr>
              <w:t xml:space="preserve"> </w:t>
            </w:r>
            <w:r>
              <w:rPr>
                <w:rFonts w:ascii="Calibri"/>
                <w:spacing w:val="-1"/>
                <w:sz w:val="18"/>
              </w:rPr>
              <w:t>(e.g.,</w:t>
            </w:r>
            <w:r>
              <w:rPr>
                <w:rFonts w:ascii="Calibri"/>
                <w:spacing w:val="-2"/>
                <w:sz w:val="18"/>
              </w:rPr>
              <w:t xml:space="preserve"> </w:t>
            </w:r>
            <w:r>
              <w:rPr>
                <w:rFonts w:ascii="Calibri"/>
                <w:spacing w:val="-1"/>
                <w:sz w:val="18"/>
              </w:rPr>
              <w:t>heating</w:t>
            </w:r>
            <w:r>
              <w:rPr>
                <w:rFonts w:ascii="Calibri"/>
                <w:spacing w:val="-3"/>
                <w:sz w:val="18"/>
              </w:rPr>
              <w:t xml:space="preserve"> </w:t>
            </w:r>
            <w:r>
              <w:rPr>
                <w:rFonts w:ascii="Calibri"/>
                <w:spacing w:val="-1"/>
                <w:sz w:val="18"/>
              </w:rPr>
              <w:t>capacities</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air</w:t>
            </w:r>
            <w:r>
              <w:rPr>
                <w:rFonts w:ascii="Calibri"/>
                <w:spacing w:val="-2"/>
                <w:sz w:val="18"/>
              </w:rPr>
              <w:t xml:space="preserve"> </w:t>
            </w:r>
            <w:r>
              <w:rPr>
                <w:rFonts w:ascii="Calibri"/>
                <w:spacing w:val="-1"/>
                <w:sz w:val="18"/>
              </w:rPr>
              <w:t>conditioners).</w:t>
            </w:r>
          </w:p>
        </w:tc>
        <w:tc>
          <w:tcPr>
            <w:tcW w:w="4681" w:type="dxa"/>
          </w:tcPr>
          <w:p w:rsidR="00E646C9" w:rsidRDefault="00E646C9" w:rsidP="00C94D5A">
            <w:pPr>
              <w:pStyle w:val="TableParagraph"/>
              <w:ind w:left="102" w:right="107"/>
              <w:rPr>
                <w:rFonts w:ascii="Calibri" w:eastAsia="Calibri" w:hAnsi="Calibri" w:cs="Calibri"/>
                <w:sz w:val="18"/>
                <w:szCs w:val="18"/>
              </w:rPr>
            </w:pPr>
            <w:r>
              <w:rPr>
                <w:rFonts w:ascii="Calibri"/>
                <w:spacing w:val="-1"/>
                <w:sz w:val="18"/>
              </w:rPr>
              <w:t>Implemented.</w:t>
            </w:r>
            <w:r>
              <w:rPr>
                <w:rFonts w:ascii="Calibri"/>
                <w:spacing w:val="-2"/>
                <w:sz w:val="18"/>
              </w:rPr>
              <w:t xml:space="preserve"> </w:t>
            </w:r>
            <w:r>
              <w:rPr>
                <w:rFonts w:ascii="Calibri"/>
                <w:spacing w:val="-1"/>
                <w:sz w:val="18"/>
              </w:rPr>
              <w:t>Additional</w:t>
            </w:r>
            <w:r>
              <w:rPr>
                <w:rFonts w:ascii="Calibri"/>
                <w:spacing w:val="-2"/>
                <w:sz w:val="18"/>
              </w:rPr>
              <w:t xml:space="preserve"> </w:t>
            </w:r>
            <w:r>
              <w:rPr>
                <w:rFonts w:ascii="Calibri"/>
                <w:spacing w:val="-1"/>
                <w:sz w:val="18"/>
              </w:rPr>
              <w:t xml:space="preserve">QA/QC </w:t>
            </w:r>
            <w:r>
              <w:rPr>
                <w:rFonts w:ascii="Calibri"/>
                <w:sz w:val="18"/>
              </w:rPr>
              <w:t>was</w:t>
            </w:r>
            <w:r>
              <w:rPr>
                <w:rFonts w:ascii="Calibri"/>
                <w:spacing w:val="-4"/>
                <w:sz w:val="18"/>
              </w:rPr>
              <w:t xml:space="preserve"> </w:t>
            </w:r>
            <w:r>
              <w:rPr>
                <w:rFonts w:ascii="Calibri"/>
                <w:spacing w:val="-1"/>
                <w:sz w:val="18"/>
              </w:rPr>
              <w:t>implemented</w:t>
            </w:r>
            <w:r>
              <w:rPr>
                <w:rFonts w:ascii="Calibri"/>
                <w:spacing w:val="-4"/>
                <w:sz w:val="18"/>
              </w:rPr>
              <w:t xml:space="preserve"> </w:t>
            </w:r>
            <w:r>
              <w:rPr>
                <w:rFonts w:ascii="Calibri"/>
                <w:sz w:val="18"/>
              </w:rPr>
              <w:t>for</w:t>
            </w:r>
            <w:r>
              <w:rPr>
                <w:rFonts w:ascii="Calibri"/>
                <w:spacing w:val="-3"/>
                <w:sz w:val="18"/>
              </w:rPr>
              <w:t xml:space="preserve"> </w:t>
            </w:r>
            <w:r>
              <w:rPr>
                <w:rFonts w:ascii="Calibri"/>
                <w:sz w:val="18"/>
              </w:rPr>
              <w:t>Phase</w:t>
            </w:r>
            <w:r>
              <w:rPr>
                <w:rFonts w:ascii="Calibri"/>
                <w:spacing w:val="41"/>
                <w:w w:val="99"/>
                <w:sz w:val="18"/>
              </w:rPr>
              <w:t xml:space="preserve"> </w:t>
            </w:r>
            <w:r>
              <w:rPr>
                <w:rFonts w:ascii="Calibri"/>
                <w:sz w:val="18"/>
              </w:rPr>
              <w:t>III</w:t>
            </w:r>
            <w:r>
              <w:rPr>
                <w:rFonts w:ascii="Calibri"/>
                <w:spacing w:val="-2"/>
                <w:sz w:val="18"/>
              </w:rPr>
              <w:t xml:space="preserve"> </w:t>
            </w:r>
            <w:r>
              <w:rPr>
                <w:rFonts w:ascii="Calibri"/>
                <w:spacing w:val="-1"/>
                <w:sz w:val="18"/>
              </w:rPr>
              <w:t>and</w:t>
            </w:r>
            <w:r>
              <w:rPr>
                <w:rFonts w:ascii="Calibri"/>
                <w:spacing w:val="-3"/>
                <w:sz w:val="18"/>
              </w:rPr>
              <w:t xml:space="preserve"> </w:t>
            </w:r>
            <w:r>
              <w:rPr>
                <w:rFonts w:ascii="Calibri"/>
                <w:spacing w:val="-1"/>
                <w:sz w:val="18"/>
              </w:rPr>
              <w:t>will</w:t>
            </w:r>
            <w:r>
              <w:rPr>
                <w:rFonts w:ascii="Calibri"/>
                <w:spacing w:val="-2"/>
                <w:sz w:val="18"/>
              </w:rPr>
              <w:t xml:space="preserve"> </w:t>
            </w:r>
            <w:r>
              <w:rPr>
                <w:rFonts w:ascii="Calibri"/>
                <w:spacing w:val="-1"/>
                <w:sz w:val="18"/>
              </w:rPr>
              <w:t>be</w:t>
            </w:r>
            <w:r>
              <w:rPr>
                <w:rFonts w:ascii="Calibri"/>
                <w:spacing w:val="-3"/>
                <w:sz w:val="18"/>
              </w:rPr>
              <w:t xml:space="preserve"> </w:t>
            </w:r>
            <w:r>
              <w:rPr>
                <w:rFonts w:ascii="Calibri"/>
                <w:spacing w:val="-1"/>
                <w:sz w:val="18"/>
              </w:rPr>
              <w:t>continually</w:t>
            </w:r>
            <w:r>
              <w:rPr>
                <w:rFonts w:ascii="Calibri"/>
                <w:sz w:val="18"/>
              </w:rPr>
              <w:t xml:space="preserve"> </w:t>
            </w:r>
            <w:r>
              <w:rPr>
                <w:rFonts w:ascii="Calibri"/>
                <w:spacing w:val="-1"/>
                <w:sz w:val="18"/>
              </w:rPr>
              <w:t>improved.</w:t>
            </w:r>
          </w:p>
        </w:tc>
      </w:tr>
    </w:tbl>
    <w:p w:rsidR="00E646C9" w:rsidRDefault="00E646C9" w:rsidP="00E646C9"/>
    <w:p w:rsidR="00C3558F" w:rsidRDefault="00C3558F" w:rsidP="00E646C9"/>
    <w:p w:rsidR="00C3558F" w:rsidRDefault="00C3558F" w:rsidP="00E646C9"/>
    <w:p w:rsidR="00E646C9" w:rsidRPr="00130312" w:rsidRDefault="00E646C9" w:rsidP="00C3558F">
      <w:pPr>
        <w:pStyle w:val="AppendixGHeading2"/>
      </w:pPr>
      <w:r w:rsidRPr="00130312">
        <w:t>Residential Retail Program</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821A84">
        <w:trPr>
          <w:trHeight w:hRule="exact" w:val="689"/>
          <w:tblHeader/>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821A84">
            <w:pPr>
              <w:pStyle w:val="TableParagraph"/>
              <w:spacing w:line="218" w:lineRule="exact"/>
              <w:ind w:left="166" w:right="11"/>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vAlign w:val="bottom"/>
          </w:tcPr>
          <w:p w:rsidR="00C3558F" w:rsidRDefault="00E646C9" w:rsidP="00C3558F">
            <w:pPr>
              <w:pStyle w:val="TableParagraph"/>
              <w:ind w:left="581" w:right="569"/>
              <w:jc w:val="center"/>
              <w:rPr>
                <w:rFonts w:ascii="Calibri"/>
                <w:b/>
                <w:color w:val="FFFFFF"/>
                <w:spacing w:val="-3"/>
                <w:sz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p>
          <w:p w:rsidR="00E646C9" w:rsidRPr="00C3558F" w:rsidRDefault="00E646C9" w:rsidP="00C3558F">
            <w:pPr>
              <w:pStyle w:val="TableParagraph"/>
              <w:ind w:left="581" w:right="569"/>
              <w:jc w:val="center"/>
              <w:rPr>
                <w:rFonts w:ascii="Calibri" w:eastAsia="Calibri" w:hAnsi="Calibri" w:cs="Calibri"/>
                <w:sz w:val="18"/>
                <w:szCs w:val="18"/>
              </w:rPr>
            </w:pP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Pr="00C3558F" w:rsidRDefault="00E646C9" w:rsidP="00C3558F">
            <w:pPr>
              <w:pStyle w:val="TableParagraph"/>
              <w:spacing w:line="218" w:lineRule="exact"/>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1030"/>
        </w:trPr>
        <w:tc>
          <w:tcPr>
            <w:tcW w:w="4680" w:type="dxa"/>
            <w:tcBorders>
              <w:top w:val="single" w:sz="8"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line="275" w:lineRule="auto"/>
              <w:ind w:left="97" w:right="215"/>
              <w:rPr>
                <w:rFonts w:ascii="Calibri" w:eastAsia="Calibri" w:hAnsi="Calibri" w:cs="Calibri"/>
                <w:sz w:val="18"/>
                <w:szCs w:val="18"/>
              </w:rPr>
            </w:pPr>
            <w:r>
              <w:rPr>
                <w:rFonts w:ascii="Calibri"/>
                <w:spacing w:val="-1"/>
                <w:sz w:val="18"/>
              </w:rPr>
              <w:t>Equipment--Consider</w:t>
            </w:r>
            <w:r>
              <w:rPr>
                <w:rFonts w:ascii="Calibri"/>
                <w:spacing w:val="-3"/>
                <w:sz w:val="18"/>
              </w:rPr>
              <w:t xml:space="preserve"> </w:t>
            </w:r>
            <w:r>
              <w:rPr>
                <w:rFonts w:ascii="Calibri"/>
                <w:spacing w:val="-1"/>
                <w:sz w:val="18"/>
              </w:rPr>
              <w:t>implementing</w:t>
            </w:r>
            <w:r>
              <w:rPr>
                <w:rFonts w:ascii="Calibri"/>
                <w:spacing w:val="-4"/>
                <w:sz w:val="18"/>
              </w:rPr>
              <w:t xml:space="preserve"> </w:t>
            </w:r>
            <w:r>
              <w:rPr>
                <w:rFonts w:ascii="Calibri"/>
                <w:sz w:val="18"/>
              </w:rPr>
              <w:t>an</w:t>
            </w:r>
            <w:r>
              <w:rPr>
                <w:rFonts w:ascii="Calibri"/>
                <w:spacing w:val="-4"/>
                <w:sz w:val="18"/>
              </w:rPr>
              <w:t xml:space="preserve"> </w:t>
            </w:r>
            <w:r>
              <w:rPr>
                <w:rFonts w:ascii="Calibri"/>
                <w:spacing w:val="-1"/>
                <w:sz w:val="18"/>
              </w:rPr>
              <w:t>online</w:t>
            </w:r>
            <w:r>
              <w:rPr>
                <w:rFonts w:ascii="Calibri"/>
                <w:spacing w:val="-4"/>
                <w:sz w:val="18"/>
              </w:rPr>
              <w:t xml:space="preserve"> </w:t>
            </w:r>
            <w:r>
              <w:rPr>
                <w:rFonts w:ascii="Calibri"/>
                <w:sz w:val="18"/>
              </w:rPr>
              <w:t>model-</w:t>
            </w:r>
            <w:r>
              <w:rPr>
                <w:rFonts w:ascii="Calibri"/>
                <w:spacing w:val="53"/>
                <w:sz w:val="18"/>
              </w:rPr>
              <w:t xml:space="preserve"> </w:t>
            </w:r>
            <w:r>
              <w:rPr>
                <w:rFonts w:ascii="Calibri"/>
                <w:spacing w:val="-1"/>
                <w:sz w:val="18"/>
              </w:rPr>
              <w:t>number</w:t>
            </w:r>
            <w:r>
              <w:rPr>
                <w:rFonts w:ascii="Calibri"/>
                <w:spacing w:val="-3"/>
                <w:sz w:val="18"/>
              </w:rPr>
              <w:t xml:space="preserve"> </w:t>
            </w:r>
            <w:r>
              <w:rPr>
                <w:rFonts w:ascii="Calibri"/>
                <w:spacing w:val="-1"/>
                <w:sz w:val="18"/>
              </w:rPr>
              <w:t>lookup</w:t>
            </w:r>
            <w:r>
              <w:rPr>
                <w:rFonts w:ascii="Calibri"/>
                <w:spacing w:val="-4"/>
                <w:sz w:val="18"/>
              </w:rPr>
              <w:t xml:space="preserve"> </w:t>
            </w:r>
            <w:r>
              <w:rPr>
                <w:rFonts w:ascii="Calibri"/>
                <w:spacing w:val="-1"/>
                <w:sz w:val="18"/>
              </w:rPr>
              <w:t>mechanism</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customers,</w:t>
            </w:r>
            <w:r>
              <w:rPr>
                <w:rFonts w:ascii="Calibri"/>
                <w:spacing w:val="-3"/>
                <w:sz w:val="18"/>
              </w:rPr>
              <w:t xml:space="preserve"> </w:t>
            </w:r>
            <w:r>
              <w:rPr>
                <w:rFonts w:ascii="Calibri"/>
                <w:spacing w:val="-1"/>
                <w:sz w:val="18"/>
              </w:rPr>
              <w:t>including</w:t>
            </w:r>
            <w:r>
              <w:rPr>
                <w:rFonts w:ascii="Calibri"/>
                <w:spacing w:val="49"/>
                <w:w w:val="99"/>
                <w:sz w:val="18"/>
              </w:rPr>
              <w:t xml:space="preserve"> </w:t>
            </w:r>
            <w:r>
              <w:rPr>
                <w:rFonts w:ascii="Calibri"/>
                <w:spacing w:val="-1"/>
                <w:sz w:val="18"/>
              </w:rPr>
              <w:t>incentive</w:t>
            </w:r>
            <w:r>
              <w:rPr>
                <w:rFonts w:ascii="Calibri"/>
                <w:spacing w:val="-4"/>
                <w:sz w:val="18"/>
              </w:rPr>
              <w:t xml:space="preserve"> </w:t>
            </w:r>
            <w:r>
              <w:rPr>
                <w:rFonts w:ascii="Calibri"/>
                <w:spacing w:val="-1"/>
                <w:sz w:val="18"/>
              </w:rPr>
              <w:t>levels,</w:t>
            </w:r>
            <w:r>
              <w:rPr>
                <w:rFonts w:ascii="Calibri"/>
                <w:spacing w:val="-2"/>
                <w:sz w:val="18"/>
              </w:rPr>
              <w:t xml:space="preserve"> </w:t>
            </w:r>
            <w:r>
              <w:rPr>
                <w:rFonts w:ascii="Calibri"/>
                <w:sz w:val="18"/>
              </w:rPr>
              <w:t>to</w:t>
            </w:r>
            <w:r>
              <w:rPr>
                <w:rFonts w:ascii="Calibri"/>
                <w:spacing w:val="-3"/>
                <w:sz w:val="18"/>
              </w:rPr>
              <w:t xml:space="preserve"> </w:t>
            </w:r>
            <w:r>
              <w:rPr>
                <w:rFonts w:ascii="Calibri"/>
                <w:spacing w:val="-1"/>
                <w:sz w:val="18"/>
              </w:rPr>
              <w:t>minimize</w:t>
            </w:r>
            <w:r>
              <w:rPr>
                <w:rFonts w:ascii="Calibri"/>
                <w:spacing w:val="-3"/>
                <w:sz w:val="18"/>
              </w:rPr>
              <w:t xml:space="preserve"> </w:t>
            </w:r>
            <w:r>
              <w:rPr>
                <w:rFonts w:ascii="Calibri"/>
                <w:spacing w:val="-1"/>
                <w:sz w:val="18"/>
              </w:rPr>
              <w:t>confusion</w:t>
            </w:r>
            <w:r>
              <w:rPr>
                <w:rFonts w:ascii="Calibri"/>
                <w:spacing w:val="-2"/>
                <w:sz w:val="18"/>
              </w:rPr>
              <w:t xml:space="preserve"> </w:t>
            </w:r>
            <w:r>
              <w:rPr>
                <w:rFonts w:ascii="Calibri"/>
                <w:sz w:val="18"/>
              </w:rPr>
              <w:t>when</w:t>
            </w:r>
            <w:r>
              <w:rPr>
                <w:rFonts w:ascii="Calibri"/>
                <w:spacing w:val="-3"/>
                <w:sz w:val="18"/>
              </w:rPr>
              <w:t xml:space="preserve"> </w:t>
            </w:r>
            <w:r>
              <w:rPr>
                <w:rFonts w:ascii="Calibri"/>
                <w:spacing w:val="-1"/>
                <w:sz w:val="18"/>
              </w:rPr>
              <w:t>tiered</w:t>
            </w:r>
            <w:r>
              <w:rPr>
                <w:rFonts w:ascii="Calibri"/>
                <w:spacing w:val="-4"/>
                <w:sz w:val="18"/>
              </w:rPr>
              <w:t xml:space="preserve"> </w:t>
            </w:r>
            <w:r>
              <w:rPr>
                <w:rFonts w:ascii="Calibri"/>
                <w:sz w:val="18"/>
              </w:rPr>
              <w:t>rebates</w:t>
            </w:r>
            <w:r>
              <w:rPr>
                <w:rFonts w:ascii="Calibri"/>
                <w:spacing w:val="51"/>
                <w:sz w:val="18"/>
              </w:rPr>
              <w:t xml:space="preserve"> </w:t>
            </w:r>
            <w:r>
              <w:rPr>
                <w:rFonts w:ascii="Calibri"/>
                <w:sz w:val="18"/>
              </w:rPr>
              <w:t>are</w:t>
            </w:r>
            <w:r>
              <w:rPr>
                <w:rFonts w:ascii="Calibri"/>
                <w:spacing w:val="-3"/>
                <w:sz w:val="18"/>
              </w:rPr>
              <w:t xml:space="preserve"> </w:t>
            </w:r>
            <w:r>
              <w:rPr>
                <w:rFonts w:ascii="Calibri"/>
                <w:spacing w:val="-1"/>
                <w:sz w:val="18"/>
              </w:rPr>
              <w:t>offered</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the same</w:t>
            </w:r>
            <w:r>
              <w:rPr>
                <w:rFonts w:ascii="Calibri"/>
                <w:spacing w:val="-2"/>
                <w:sz w:val="18"/>
              </w:rPr>
              <w:t xml:space="preserve"> </w:t>
            </w:r>
            <w:r>
              <w:rPr>
                <w:rFonts w:ascii="Calibri"/>
                <w:spacing w:val="-1"/>
                <w:sz w:val="18"/>
              </w:rPr>
              <w:t>type</w:t>
            </w:r>
            <w:r>
              <w:rPr>
                <w:rFonts w:ascii="Calibri"/>
                <w:spacing w:val="-3"/>
                <w:sz w:val="18"/>
              </w:rPr>
              <w:t xml:space="preserve"> </w:t>
            </w:r>
            <w:r>
              <w:rPr>
                <w:rFonts w:ascii="Calibri"/>
                <w:sz w:val="18"/>
              </w:rPr>
              <w:t xml:space="preserve">of </w:t>
            </w:r>
            <w:r>
              <w:rPr>
                <w:rFonts w:ascii="Calibri"/>
                <w:spacing w:val="-1"/>
                <w:sz w:val="18"/>
              </w:rPr>
              <w:t>appliance.</w:t>
            </w:r>
          </w:p>
        </w:tc>
        <w:tc>
          <w:tcPr>
            <w:tcW w:w="4681" w:type="dxa"/>
            <w:tcBorders>
              <w:top w:val="single" w:sz="8"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3558F">
        <w:trPr>
          <w:trHeight w:hRule="exact" w:val="153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spacing w:line="276" w:lineRule="auto"/>
              <w:ind w:left="97" w:right="195"/>
              <w:rPr>
                <w:rFonts w:ascii="Calibri" w:eastAsia="Calibri" w:hAnsi="Calibri" w:cs="Calibri"/>
                <w:sz w:val="18"/>
                <w:szCs w:val="18"/>
              </w:rPr>
            </w:pPr>
            <w:r>
              <w:rPr>
                <w:rFonts w:ascii="Calibri"/>
                <w:spacing w:val="-1"/>
                <w:sz w:val="18"/>
              </w:rPr>
              <w:t>Equipment--Consider</w:t>
            </w:r>
            <w:r>
              <w:rPr>
                <w:rFonts w:ascii="Calibri"/>
                <w:spacing w:val="-5"/>
                <w:sz w:val="18"/>
              </w:rPr>
              <w:t xml:space="preserve"> </w:t>
            </w:r>
            <w:r>
              <w:rPr>
                <w:rFonts w:ascii="Calibri"/>
                <w:spacing w:val="-1"/>
                <w:sz w:val="18"/>
              </w:rPr>
              <w:t>replacing</w:t>
            </w:r>
            <w:r>
              <w:rPr>
                <w:rFonts w:ascii="Calibri"/>
                <w:spacing w:val="-6"/>
                <w:sz w:val="18"/>
              </w:rPr>
              <w:t xml:space="preserve"> </w:t>
            </w:r>
            <w:r>
              <w:rPr>
                <w:rFonts w:ascii="Calibri"/>
                <w:spacing w:val="-1"/>
                <w:sz w:val="18"/>
              </w:rPr>
              <w:t>refrigerators</w:t>
            </w:r>
            <w:r>
              <w:rPr>
                <w:rFonts w:ascii="Calibri"/>
                <w:spacing w:val="-4"/>
                <w:sz w:val="18"/>
              </w:rPr>
              <w:t xml:space="preserve"> </w:t>
            </w:r>
            <w:r>
              <w:rPr>
                <w:rFonts w:ascii="Calibri"/>
                <w:sz w:val="18"/>
              </w:rPr>
              <w:t>with</w:t>
            </w:r>
            <w:r>
              <w:rPr>
                <w:rFonts w:ascii="Calibri"/>
                <w:spacing w:val="-6"/>
                <w:sz w:val="18"/>
              </w:rPr>
              <w:t xml:space="preserve"> </w:t>
            </w:r>
            <w:r>
              <w:rPr>
                <w:rFonts w:ascii="Calibri"/>
                <w:spacing w:val="-1"/>
                <w:sz w:val="18"/>
              </w:rPr>
              <w:t>another</w:t>
            </w:r>
            <w:r>
              <w:rPr>
                <w:rFonts w:ascii="Calibri"/>
                <w:spacing w:val="65"/>
                <w:w w:val="99"/>
                <w:sz w:val="18"/>
              </w:rPr>
              <w:t xml:space="preserve"> </w:t>
            </w:r>
            <w:r>
              <w:rPr>
                <w:rFonts w:ascii="Calibri"/>
                <w:sz w:val="18"/>
              </w:rPr>
              <w:t>common</w:t>
            </w:r>
            <w:r>
              <w:rPr>
                <w:rFonts w:ascii="Calibri"/>
                <w:spacing w:val="-3"/>
                <w:sz w:val="18"/>
              </w:rPr>
              <w:t xml:space="preserve"> </w:t>
            </w:r>
            <w:r>
              <w:rPr>
                <w:rFonts w:ascii="Calibri"/>
                <w:spacing w:val="-1"/>
                <w:sz w:val="18"/>
              </w:rPr>
              <w:t>household</w:t>
            </w:r>
            <w:r>
              <w:rPr>
                <w:rFonts w:ascii="Calibri"/>
                <w:spacing w:val="-3"/>
                <w:sz w:val="18"/>
              </w:rPr>
              <w:t xml:space="preserve"> </w:t>
            </w:r>
            <w:r>
              <w:rPr>
                <w:rFonts w:ascii="Calibri"/>
                <w:spacing w:val="-1"/>
                <w:sz w:val="18"/>
              </w:rPr>
              <w:t>appliance</w:t>
            </w:r>
            <w:r>
              <w:rPr>
                <w:rFonts w:ascii="Calibri"/>
                <w:spacing w:val="-3"/>
                <w:sz w:val="18"/>
              </w:rPr>
              <w:t xml:space="preserve"> </w:t>
            </w:r>
            <w:r>
              <w:rPr>
                <w:rFonts w:ascii="Calibri"/>
                <w:sz w:val="18"/>
              </w:rPr>
              <w:t>that</w:t>
            </w:r>
            <w:r>
              <w:rPr>
                <w:rFonts w:ascii="Calibri"/>
                <w:spacing w:val="-2"/>
                <w:sz w:val="18"/>
              </w:rPr>
              <w:t xml:space="preserve"> </w:t>
            </w:r>
            <w:r>
              <w:rPr>
                <w:rFonts w:ascii="Calibri"/>
                <w:spacing w:val="-1"/>
                <w:sz w:val="18"/>
              </w:rPr>
              <w:t>will</w:t>
            </w:r>
            <w:r>
              <w:rPr>
                <w:rFonts w:ascii="Calibri"/>
                <w:spacing w:val="-3"/>
                <w:sz w:val="18"/>
              </w:rPr>
              <w:t xml:space="preserve"> </w:t>
            </w:r>
            <w:r>
              <w:rPr>
                <w:rFonts w:ascii="Calibri"/>
                <w:spacing w:val="-1"/>
                <w:sz w:val="18"/>
              </w:rPr>
              <w:t>have</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larger</w:t>
            </w:r>
            <w:r>
              <w:rPr>
                <w:rFonts w:ascii="Calibri"/>
                <w:spacing w:val="-2"/>
                <w:sz w:val="18"/>
              </w:rPr>
              <w:t xml:space="preserve"> </w:t>
            </w:r>
            <w:r>
              <w:rPr>
                <w:rFonts w:ascii="Calibri"/>
                <w:spacing w:val="-1"/>
                <w:sz w:val="18"/>
              </w:rPr>
              <w:t>impact</w:t>
            </w:r>
            <w:r>
              <w:rPr>
                <w:rFonts w:ascii="Calibri"/>
                <w:spacing w:val="55"/>
                <w:w w:val="99"/>
                <w:sz w:val="18"/>
              </w:rPr>
              <w:t xml:space="preserve"> </w:t>
            </w:r>
            <w:r>
              <w:rPr>
                <w:rFonts w:ascii="Calibri"/>
                <w:spacing w:val="-1"/>
                <w:sz w:val="18"/>
              </w:rPr>
              <w:t>in</w:t>
            </w:r>
            <w:r>
              <w:rPr>
                <w:rFonts w:ascii="Calibri"/>
                <w:spacing w:val="-3"/>
                <w:sz w:val="18"/>
              </w:rPr>
              <w:t xml:space="preserve"> </w:t>
            </w:r>
            <w:r>
              <w:rPr>
                <w:rFonts w:ascii="Calibri"/>
                <w:spacing w:val="-1"/>
                <w:sz w:val="18"/>
              </w:rPr>
              <w:t>terms</w:t>
            </w:r>
            <w:r>
              <w:rPr>
                <w:rFonts w:ascii="Calibri"/>
                <w:spacing w:val="-3"/>
                <w:sz w:val="18"/>
              </w:rPr>
              <w:t xml:space="preserve"> </w:t>
            </w:r>
            <w:r>
              <w:rPr>
                <w:rFonts w:ascii="Calibri"/>
                <w:sz w:val="18"/>
              </w:rPr>
              <w:t>of</w:t>
            </w:r>
            <w:r>
              <w:rPr>
                <w:rFonts w:ascii="Calibri"/>
                <w:spacing w:val="-2"/>
                <w:sz w:val="18"/>
              </w:rPr>
              <w:t xml:space="preserve"> </w:t>
            </w:r>
            <w:r>
              <w:rPr>
                <w:rFonts w:ascii="Calibri"/>
                <w:spacing w:val="-1"/>
                <w:sz w:val="18"/>
              </w:rPr>
              <w:t>both savings</w:t>
            </w:r>
            <w:r>
              <w:rPr>
                <w:rFonts w:ascii="Calibri"/>
                <w:spacing w:val="-2"/>
                <w:sz w:val="18"/>
              </w:rPr>
              <w:t xml:space="preserve"> </w:t>
            </w:r>
            <w:r>
              <w:rPr>
                <w:rFonts w:ascii="Calibri"/>
                <w:spacing w:val="-1"/>
                <w:sz w:val="18"/>
              </w:rPr>
              <w:t>and</w:t>
            </w:r>
            <w:r>
              <w:rPr>
                <w:rFonts w:ascii="Calibri"/>
                <w:spacing w:val="-2"/>
                <w:sz w:val="18"/>
              </w:rPr>
              <w:t xml:space="preserve"> </w:t>
            </w:r>
            <w:r>
              <w:rPr>
                <w:rFonts w:ascii="Calibri"/>
                <w:sz w:val="18"/>
              </w:rPr>
              <w:t>customer</w:t>
            </w:r>
            <w:r>
              <w:rPr>
                <w:rFonts w:ascii="Calibri"/>
                <w:spacing w:val="-2"/>
                <w:sz w:val="18"/>
              </w:rPr>
              <w:t xml:space="preserve"> </w:t>
            </w:r>
            <w:r>
              <w:rPr>
                <w:rFonts w:ascii="Calibri"/>
                <w:spacing w:val="-1"/>
                <w:sz w:val="18"/>
              </w:rPr>
              <w:t>satisfaction</w:t>
            </w:r>
            <w:r>
              <w:rPr>
                <w:rFonts w:ascii="Calibri"/>
                <w:spacing w:val="-2"/>
                <w:sz w:val="18"/>
              </w:rPr>
              <w:t xml:space="preserve"> </w:t>
            </w:r>
            <w:r>
              <w:rPr>
                <w:rFonts w:ascii="Calibri"/>
                <w:spacing w:val="-1"/>
                <w:sz w:val="18"/>
              </w:rPr>
              <w:t>with</w:t>
            </w:r>
            <w:r>
              <w:rPr>
                <w:rFonts w:ascii="Calibri"/>
                <w:spacing w:val="-3"/>
                <w:sz w:val="18"/>
              </w:rPr>
              <w:t xml:space="preserve"> </w:t>
            </w:r>
            <w:r>
              <w:rPr>
                <w:rFonts w:ascii="Calibri"/>
                <w:sz w:val="18"/>
              </w:rPr>
              <w:t>the</w:t>
            </w:r>
            <w:r>
              <w:rPr>
                <w:rFonts w:ascii="Calibri"/>
                <w:spacing w:val="55"/>
                <w:w w:val="99"/>
                <w:sz w:val="18"/>
              </w:rPr>
              <w:t xml:space="preserve"> </w:t>
            </w:r>
            <w:r>
              <w:rPr>
                <w:rFonts w:ascii="Calibri"/>
                <w:spacing w:val="-1"/>
                <w:sz w:val="18"/>
              </w:rPr>
              <w:t>program</w:t>
            </w:r>
            <w:r>
              <w:rPr>
                <w:rFonts w:ascii="Calibri"/>
                <w:spacing w:val="-4"/>
                <w:sz w:val="18"/>
              </w:rPr>
              <w:t xml:space="preserve"> </w:t>
            </w:r>
            <w:r>
              <w:rPr>
                <w:rFonts w:ascii="Calibri"/>
                <w:spacing w:val="-1"/>
                <w:sz w:val="18"/>
              </w:rPr>
              <w:t>and</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z w:val="18"/>
              </w:rPr>
              <w:t>PPL</w:t>
            </w:r>
            <w:r>
              <w:rPr>
                <w:rFonts w:ascii="Calibri"/>
                <w:spacing w:val="-1"/>
                <w:sz w:val="18"/>
              </w:rPr>
              <w:t xml:space="preserve"> Electric</w:t>
            </w:r>
            <w:r>
              <w:rPr>
                <w:rFonts w:ascii="Calibri"/>
                <w:spacing w:val="-2"/>
                <w:sz w:val="18"/>
              </w:rPr>
              <w:t xml:space="preserve"> </w:t>
            </w:r>
            <w:r>
              <w:rPr>
                <w:rFonts w:ascii="Calibri"/>
                <w:spacing w:val="-1"/>
                <w:sz w:val="18"/>
              </w:rPr>
              <w:t>Utilities.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124"/>
              <w:rPr>
                <w:rFonts w:ascii="Calibri" w:eastAsia="Calibri" w:hAnsi="Calibri" w:cs="Calibri"/>
                <w:sz w:val="18"/>
                <w:szCs w:val="18"/>
              </w:rPr>
            </w:pPr>
            <w:r>
              <w:rPr>
                <w:rFonts w:ascii="Calibri"/>
                <w:spacing w:val="-1"/>
                <w:sz w:val="18"/>
              </w:rPr>
              <w:t>Rejected</w:t>
            </w:r>
            <w:r>
              <w:rPr>
                <w:rFonts w:ascii="Calibri"/>
                <w:spacing w:val="-4"/>
                <w:sz w:val="18"/>
              </w:rPr>
              <w:t xml:space="preserve"> </w:t>
            </w:r>
            <w:r>
              <w:rPr>
                <w:rFonts w:ascii="Calibri"/>
                <w:sz w:val="18"/>
              </w:rPr>
              <w:t>but</w:t>
            </w:r>
            <w:r>
              <w:rPr>
                <w:rFonts w:ascii="Calibri"/>
                <w:spacing w:val="-3"/>
                <w:sz w:val="18"/>
              </w:rPr>
              <w:t xml:space="preserve"> </w:t>
            </w:r>
            <w:r>
              <w:rPr>
                <w:rFonts w:ascii="Calibri"/>
                <w:sz w:val="18"/>
              </w:rPr>
              <w:t>may</w:t>
            </w:r>
            <w:r>
              <w:rPr>
                <w:rFonts w:ascii="Calibri"/>
                <w:spacing w:val="-3"/>
                <w:sz w:val="18"/>
              </w:rPr>
              <w:t xml:space="preserve"> </w:t>
            </w:r>
            <w:r>
              <w:rPr>
                <w:rFonts w:ascii="Calibri"/>
                <w:spacing w:val="-1"/>
                <w:sz w:val="18"/>
              </w:rPr>
              <w:t>be</w:t>
            </w:r>
            <w:r>
              <w:rPr>
                <w:rFonts w:ascii="Calibri"/>
                <w:spacing w:val="-4"/>
                <w:sz w:val="18"/>
              </w:rPr>
              <w:t xml:space="preserve"> </w:t>
            </w:r>
            <w:r>
              <w:rPr>
                <w:rFonts w:ascii="Calibri"/>
                <w:spacing w:val="-1"/>
                <w:sz w:val="18"/>
              </w:rPr>
              <w:t>reconsidered</w:t>
            </w:r>
            <w:r>
              <w:rPr>
                <w:rFonts w:ascii="Calibri"/>
                <w:spacing w:val="-3"/>
                <w:sz w:val="18"/>
              </w:rPr>
              <w:t xml:space="preserve"> </w:t>
            </w:r>
            <w:r>
              <w:rPr>
                <w:rFonts w:ascii="Calibri"/>
                <w:sz w:val="18"/>
              </w:rPr>
              <w:t>over</w:t>
            </w:r>
            <w:r>
              <w:rPr>
                <w:rFonts w:ascii="Calibri"/>
                <w:spacing w:val="-3"/>
                <w:sz w:val="18"/>
              </w:rPr>
              <w:t xml:space="preserve"> </w:t>
            </w:r>
            <w:r>
              <w:rPr>
                <w:rFonts w:ascii="Calibri"/>
                <w:spacing w:val="-1"/>
                <w:sz w:val="18"/>
              </w:rPr>
              <w:t>time.</w:t>
            </w:r>
            <w:r>
              <w:rPr>
                <w:rFonts w:ascii="Calibri"/>
                <w:spacing w:val="35"/>
                <w:sz w:val="18"/>
              </w:rPr>
              <w:t xml:space="preserve"> </w:t>
            </w:r>
            <w:r>
              <w:rPr>
                <w:rFonts w:ascii="Calibri"/>
                <w:spacing w:val="-1"/>
                <w:sz w:val="18"/>
              </w:rPr>
              <w:t>During</w:t>
            </w:r>
            <w:r>
              <w:rPr>
                <w:rFonts w:ascii="Calibri"/>
                <w:spacing w:val="-4"/>
                <w:sz w:val="18"/>
              </w:rPr>
              <w:t xml:space="preserve"> </w:t>
            </w:r>
            <w:r>
              <w:rPr>
                <w:rFonts w:ascii="Calibri"/>
                <w:sz w:val="18"/>
              </w:rPr>
              <w:t>the</w:t>
            </w:r>
            <w:r>
              <w:rPr>
                <w:rFonts w:ascii="Calibri"/>
                <w:spacing w:val="43"/>
                <w:w w:val="99"/>
                <w:sz w:val="18"/>
              </w:rPr>
              <w:t xml:space="preserve"> </w:t>
            </w:r>
            <w:r>
              <w:rPr>
                <w:rFonts w:ascii="Calibri"/>
                <w:spacing w:val="-1"/>
                <w:sz w:val="18"/>
              </w:rPr>
              <w:t>Phase</w:t>
            </w:r>
            <w:r>
              <w:rPr>
                <w:rFonts w:ascii="Calibri"/>
                <w:spacing w:val="-4"/>
                <w:sz w:val="18"/>
              </w:rPr>
              <w:t xml:space="preserve"> </w:t>
            </w:r>
            <w:r>
              <w:rPr>
                <w:rFonts w:ascii="Calibri"/>
                <w:sz w:val="18"/>
              </w:rPr>
              <w:t>III</w:t>
            </w:r>
            <w:r>
              <w:rPr>
                <w:rFonts w:ascii="Calibri"/>
                <w:spacing w:val="-3"/>
                <w:sz w:val="18"/>
              </w:rPr>
              <w:t xml:space="preserve"> </w:t>
            </w:r>
            <w:r>
              <w:rPr>
                <w:rFonts w:ascii="Calibri"/>
                <w:spacing w:val="-1"/>
                <w:sz w:val="18"/>
              </w:rPr>
              <w:t>EE&amp;C</w:t>
            </w:r>
            <w:r>
              <w:rPr>
                <w:rFonts w:ascii="Calibri"/>
                <w:spacing w:val="-2"/>
                <w:sz w:val="18"/>
              </w:rPr>
              <w:t xml:space="preserve"> </w:t>
            </w:r>
            <w:r>
              <w:rPr>
                <w:rFonts w:ascii="Calibri"/>
                <w:spacing w:val="-1"/>
                <w:sz w:val="18"/>
              </w:rPr>
              <w:t>Plan,</w:t>
            </w:r>
            <w:r>
              <w:rPr>
                <w:rFonts w:ascii="Calibri"/>
                <w:spacing w:val="-3"/>
                <w:sz w:val="18"/>
              </w:rPr>
              <w:t xml:space="preserve"> </w:t>
            </w:r>
            <w:r>
              <w:rPr>
                <w:rFonts w:ascii="Calibri"/>
                <w:sz w:val="18"/>
              </w:rPr>
              <w:t>PPL</w:t>
            </w:r>
            <w:r>
              <w:rPr>
                <w:rFonts w:ascii="Calibri"/>
                <w:spacing w:val="-2"/>
                <w:sz w:val="18"/>
              </w:rPr>
              <w:t xml:space="preserve"> </w:t>
            </w:r>
            <w:r>
              <w:rPr>
                <w:rFonts w:ascii="Calibri"/>
                <w:spacing w:val="-1"/>
                <w:sz w:val="18"/>
              </w:rPr>
              <w:t>rejected</w:t>
            </w:r>
            <w:r>
              <w:rPr>
                <w:rFonts w:ascii="Calibri"/>
                <w:spacing w:val="-3"/>
                <w:sz w:val="18"/>
              </w:rPr>
              <w:t xml:space="preserve"> </w:t>
            </w:r>
            <w:r>
              <w:rPr>
                <w:rFonts w:ascii="Calibri"/>
                <w:spacing w:val="-1"/>
                <w:sz w:val="18"/>
              </w:rPr>
              <w:t>replacing</w:t>
            </w:r>
            <w:r>
              <w:rPr>
                <w:rFonts w:ascii="Calibri"/>
                <w:spacing w:val="-4"/>
                <w:sz w:val="18"/>
              </w:rPr>
              <w:t xml:space="preserve"> </w:t>
            </w:r>
            <w:r>
              <w:rPr>
                <w:rFonts w:ascii="Calibri"/>
                <w:spacing w:val="-1"/>
                <w:sz w:val="18"/>
              </w:rPr>
              <w:t>refrigerators</w:t>
            </w:r>
            <w:r>
              <w:rPr>
                <w:rFonts w:ascii="Calibri"/>
                <w:spacing w:val="-4"/>
                <w:sz w:val="18"/>
              </w:rPr>
              <w:t xml:space="preserve"> </w:t>
            </w:r>
            <w:r>
              <w:rPr>
                <w:rFonts w:ascii="Calibri"/>
                <w:sz w:val="18"/>
              </w:rPr>
              <w:t>with</w:t>
            </w:r>
            <w:r>
              <w:rPr>
                <w:rFonts w:ascii="Calibri"/>
                <w:spacing w:val="61"/>
                <w:sz w:val="18"/>
              </w:rPr>
              <w:t xml:space="preserve"> </w:t>
            </w:r>
            <w:r>
              <w:rPr>
                <w:rFonts w:ascii="Calibri"/>
                <w:spacing w:val="-1"/>
                <w:sz w:val="18"/>
              </w:rPr>
              <w:t>another</w:t>
            </w:r>
            <w:r>
              <w:rPr>
                <w:rFonts w:ascii="Calibri"/>
                <w:spacing w:val="-2"/>
                <w:sz w:val="18"/>
              </w:rPr>
              <w:t xml:space="preserve"> </w:t>
            </w:r>
            <w:r>
              <w:rPr>
                <w:rFonts w:ascii="Calibri"/>
                <w:spacing w:val="-1"/>
                <w:sz w:val="18"/>
              </w:rPr>
              <w:t>household</w:t>
            </w:r>
            <w:r>
              <w:rPr>
                <w:rFonts w:ascii="Calibri"/>
                <w:spacing w:val="-2"/>
                <w:sz w:val="18"/>
              </w:rPr>
              <w:t xml:space="preserve"> </w:t>
            </w:r>
            <w:r>
              <w:rPr>
                <w:rFonts w:ascii="Calibri"/>
                <w:spacing w:val="-1"/>
                <w:sz w:val="18"/>
              </w:rPr>
              <w:t>appliance.</w:t>
            </w:r>
            <w:r>
              <w:rPr>
                <w:rFonts w:ascii="Calibri"/>
                <w:spacing w:val="36"/>
                <w:sz w:val="18"/>
              </w:rPr>
              <w:t xml:space="preserve"> </w:t>
            </w:r>
            <w:r>
              <w:rPr>
                <w:rFonts w:ascii="Calibri"/>
                <w:sz w:val="18"/>
              </w:rPr>
              <w:t>No</w:t>
            </w:r>
            <w:r>
              <w:rPr>
                <w:rFonts w:ascii="Calibri"/>
                <w:spacing w:val="-1"/>
                <w:sz w:val="18"/>
              </w:rPr>
              <w:t xml:space="preserve"> other</w:t>
            </w:r>
            <w:r>
              <w:rPr>
                <w:rFonts w:ascii="Calibri"/>
                <w:spacing w:val="-2"/>
                <w:sz w:val="18"/>
              </w:rPr>
              <w:t xml:space="preserve"> </w:t>
            </w:r>
            <w:r>
              <w:rPr>
                <w:rFonts w:ascii="Calibri"/>
                <w:spacing w:val="-1"/>
                <w:sz w:val="18"/>
              </w:rPr>
              <w:t>appliances</w:t>
            </w:r>
            <w:r>
              <w:rPr>
                <w:rFonts w:ascii="Calibri"/>
                <w:spacing w:val="-2"/>
                <w:sz w:val="18"/>
              </w:rPr>
              <w:t xml:space="preserve"> </w:t>
            </w:r>
            <w:r>
              <w:rPr>
                <w:rFonts w:ascii="Calibri"/>
                <w:spacing w:val="-1"/>
                <w:sz w:val="18"/>
              </w:rPr>
              <w:t>(washing</w:t>
            </w:r>
            <w:r>
              <w:rPr>
                <w:rFonts w:ascii="Calibri"/>
                <w:spacing w:val="61"/>
                <w:w w:val="99"/>
                <w:sz w:val="18"/>
              </w:rPr>
              <w:t xml:space="preserve"> </w:t>
            </w:r>
            <w:r>
              <w:rPr>
                <w:rFonts w:ascii="Calibri"/>
                <w:spacing w:val="-1"/>
                <w:sz w:val="18"/>
              </w:rPr>
              <w:t>machines,</w:t>
            </w:r>
            <w:r>
              <w:rPr>
                <w:rFonts w:ascii="Calibri"/>
                <w:spacing w:val="-4"/>
                <w:sz w:val="18"/>
              </w:rPr>
              <w:t xml:space="preserve"> </w:t>
            </w:r>
            <w:r>
              <w:rPr>
                <w:rFonts w:ascii="Calibri"/>
                <w:spacing w:val="-1"/>
                <w:sz w:val="18"/>
              </w:rPr>
              <w:t>dishwashers,</w:t>
            </w:r>
            <w:r>
              <w:rPr>
                <w:rFonts w:ascii="Calibri"/>
                <w:spacing w:val="-3"/>
                <w:sz w:val="18"/>
              </w:rPr>
              <w:t xml:space="preserve"> </w:t>
            </w:r>
            <w:r>
              <w:rPr>
                <w:rFonts w:ascii="Calibri"/>
                <w:spacing w:val="-1"/>
                <w:sz w:val="18"/>
              </w:rPr>
              <w:t>etc.)</w:t>
            </w:r>
            <w:r>
              <w:rPr>
                <w:rFonts w:ascii="Calibri"/>
                <w:spacing w:val="-3"/>
                <w:sz w:val="18"/>
              </w:rPr>
              <w:t xml:space="preserve"> </w:t>
            </w:r>
            <w:r>
              <w:rPr>
                <w:rFonts w:ascii="Calibri"/>
                <w:sz w:val="18"/>
              </w:rPr>
              <w:t>have</w:t>
            </w:r>
            <w:r>
              <w:rPr>
                <w:rFonts w:ascii="Calibri"/>
                <w:spacing w:val="-4"/>
                <w:sz w:val="18"/>
              </w:rPr>
              <w:t xml:space="preserve"> </w:t>
            </w:r>
            <w:r>
              <w:rPr>
                <w:rFonts w:ascii="Calibri"/>
                <w:spacing w:val="-1"/>
                <w:sz w:val="18"/>
              </w:rPr>
              <w:t>materially</w:t>
            </w:r>
            <w:r>
              <w:rPr>
                <w:rFonts w:ascii="Calibri"/>
                <w:spacing w:val="-2"/>
                <w:sz w:val="18"/>
              </w:rPr>
              <w:t xml:space="preserve"> </w:t>
            </w:r>
            <w:r>
              <w:rPr>
                <w:rFonts w:ascii="Calibri"/>
                <w:spacing w:val="-1"/>
                <w:sz w:val="18"/>
              </w:rPr>
              <w:t>higher</w:t>
            </w:r>
            <w:r>
              <w:rPr>
                <w:rFonts w:ascii="Calibri"/>
                <w:spacing w:val="-3"/>
                <w:sz w:val="18"/>
              </w:rPr>
              <w:t xml:space="preserve"> </w:t>
            </w:r>
            <w:r>
              <w:rPr>
                <w:rFonts w:ascii="Calibri"/>
                <w:spacing w:val="-1"/>
                <w:sz w:val="18"/>
              </w:rPr>
              <w:t>savings</w:t>
            </w:r>
            <w:r>
              <w:rPr>
                <w:rFonts w:ascii="Calibri"/>
                <w:spacing w:val="63"/>
                <w:sz w:val="18"/>
              </w:rPr>
              <w:t xml:space="preserve"> </w:t>
            </w:r>
            <w:r>
              <w:rPr>
                <w:rFonts w:ascii="Calibri"/>
                <w:sz w:val="18"/>
              </w:rPr>
              <w:t>or</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lower program</w:t>
            </w:r>
            <w:r>
              <w:rPr>
                <w:rFonts w:ascii="Calibri"/>
                <w:spacing w:val="-3"/>
                <w:sz w:val="18"/>
              </w:rPr>
              <w:t xml:space="preserve"> </w:t>
            </w:r>
            <w:r>
              <w:rPr>
                <w:rFonts w:ascii="Calibri"/>
                <w:spacing w:val="-1"/>
                <w:sz w:val="18"/>
              </w:rPr>
              <w:t>acquisition</w:t>
            </w:r>
            <w:r>
              <w:rPr>
                <w:rFonts w:ascii="Calibri"/>
                <w:spacing w:val="-2"/>
                <w:sz w:val="18"/>
              </w:rPr>
              <w:t xml:space="preserve"> </w:t>
            </w:r>
            <w:r>
              <w:rPr>
                <w:rFonts w:ascii="Calibri"/>
                <w:sz w:val="18"/>
              </w:rPr>
              <w:t>cost.</w:t>
            </w:r>
            <w:r>
              <w:rPr>
                <w:rFonts w:ascii="Calibri"/>
                <w:spacing w:val="36"/>
                <w:sz w:val="18"/>
              </w:rPr>
              <w:t xml:space="preserve"> </w:t>
            </w:r>
            <w:r>
              <w:rPr>
                <w:rFonts w:ascii="Calibri"/>
                <w:spacing w:val="-1"/>
                <w:sz w:val="18"/>
              </w:rPr>
              <w:t>Also, the</w:t>
            </w:r>
            <w:r>
              <w:rPr>
                <w:rFonts w:ascii="Calibri"/>
                <w:spacing w:val="-3"/>
                <w:sz w:val="18"/>
              </w:rPr>
              <w:t xml:space="preserve"> </w:t>
            </w:r>
            <w:r>
              <w:rPr>
                <w:rFonts w:ascii="Calibri"/>
                <w:sz w:val="18"/>
              </w:rPr>
              <w:t>purchase</w:t>
            </w:r>
            <w:r>
              <w:rPr>
                <w:rFonts w:ascii="Calibri"/>
                <w:spacing w:val="-2"/>
                <w:sz w:val="18"/>
              </w:rPr>
              <w:t xml:space="preserve"> </w:t>
            </w:r>
            <w:r>
              <w:rPr>
                <w:rFonts w:ascii="Calibri"/>
                <w:sz w:val="18"/>
              </w:rPr>
              <w:t>of</w:t>
            </w:r>
            <w:r>
              <w:rPr>
                <w:rFonts w:ascii="Calibri"/>
                <w:spacing w:val="-3"/>
                <w:sz w:val="18"/>
              </w:rPr>
              <w:t xml:space="preserve"> </w:t>
            </w:r>
            <w:r>
              <w:rPr>
                <w:rFonts w:ascii="Calibri"/>
                <w:sz w:val="18"/>
              </w:rPr>
              <w:t>a</w:t>
            </w:r>
            <w:r>
              <w:rPr>
                <w:rFonts w:ascii="Calibri"/>
                <w:spacing w:val="37"/>
                <w:sz w:val="18"/>
              </w:rPr>
              <w:t xml:space="preserve"> </w:t>
            </w:r>
            <w:r>
              <w:rPr>
                <w:rFonts w:ascii="Calibri"/>
                <w:spacing w:val="-1"/>
                <w:sz w:val="18"/>
              </w:rPr>
              <w:t>new</w:t>
            </w:r>
            <w:r>
              <w:rPr>
                <w:rFonts w:ascii="Calibri"/>
                <w:spacing w:val="-2"/>
                <w:sz w:val="18"/>
              </w:rPr>
              <w:t xml:space="preserve"> </w:t>
            </w:r>
            <w:r>
              <w:rPr>
                <w:rFonts w:ascii="Calibri"/>
                <w:spacing w:val="-1"/>
                <w:sz w:val="18"/>
              </w:rPr>
              <w:t>refrigerator</w:t>
            </w:r>
            <w:r>
              <w:rPr>
                <w:rFonts w:ascii="Calibri"/>
                <w:spacing w:val="-2"/>
                <w:sz w:val="18"/>
              </w:rPr>
              <w:t xml:space="preserve"> </w:t>
            </w:r>
            <w:r>
              <w:rPr>
                <w:rFonts w:ascii="Calibri"/>
                <w:spacing w:val="-1"/>
                <w:sz w:val="18"/>
              </w:rPr>
              <w:t>often</w:t>
            </w:r>
            <w:r>
              <w:rPr>
                <w:rFonts w:ascii="Calibri"/>
                <w:spacing w:val="-3"/>
                <w:sz w:val="18"/>
              </w:rPr>
              <w:t xml:space="preserve"> </w:t>
            </w:r>
            <w:r>
              <w:rPr>
                <w:rFonts w:ascii="Calibri"/>
                <w:spacing w:val="-1"/>
                <w:sz w:val="18"/>
              </w:rPr>
              <w:t>leads</w:t>
            </w:r>
            <w:r>
              <w:rPr>
                <w:rFonts w:ascii="Calibri"/>
                <w:spacing w:val="-2"/>
                <w:sz w:val="18"/>
              </w:rPr>
              <w:t xml:space="preserve"> </w:t>
            </w:r>
            <w:r>
              <w:rPr>
                <w:rFonts w:ascii="Calibri"/>
                <w:sz w:val="18"/>
              </w:rPr>
              <w:t>to</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recycling</w:t>
            </w:r>
            <w:r>
              <w:rPr>
                <w:rFonts w:ascii="Calibri"/>
                <w:spacing w:val="-2"/>
                <w:sz w:val="18"/>
              </w:rPr>
              <w:t xml:space="preserve"> </w:t>
            </w:r>
            <w:r>
              <w:rPr>
                <w:rFonts w:ascii="Calibri"/>
                <w:sz w:val="18"/>
              </w:rPr>
              <w:t>of</w:t>
            </w:r>
            <w:r>
              <w:rPr>
                <w:rFonts w:ascii="Calibri"/>
                <w:spacing w:val="-3"/>
                <w:sz w:val="18"/>
              </w:rPr>
              <w:t xml:space="preserve"> </w:t>
            </w:r>
            <w:r>
              <w:rPr>
                <w:rFonts w:ascii="Calibri"/>
                <w:sz w:val="18"/>
              </w:rPr>
              <w:t>an</w:t>
            </w:r>
            <w:r>
              <w:rPr>
                <w:rFonts w:ascii="Calibri"/>
                <w:spacing w:val="-3"/>
                <w:sz w:val="18"/>
              </w:rPr>
              <w:t xml:space="preserve"> </w:t>
            </w:r>
            <w:r>
              <w:rPr>
                <w:rFonts w:ascii="Calibri"/>
                <w:sz w:val="18"/>
              </w:rPr>
              <w:t>old</w:t>
            </w:r>
            <w:r>
              <w:rPr>
                <w:rFonts w:ascii="Calibri"/>
                <w:spacing w:val="-2"/>
                <w:sz w:val="18"/>
              </w:rPr>
              <w:t xml:space="preserve"> </w:t>
            </w:r>
            <w:r>
              <w:rPr>
                <w:rFonts w:ascii="Calibri"/>
                <w:spacing w:val="-1"/>
                <w:sz w:val="18"/>
              </w:rPr>
              <w:t>one.</w:t>
            </w:r>
          </w:p>
        </w:tc>
      </w:tr>
      <w:tr w:rsidR="00E646C9" w:rsidTr="00C3558F">
        <w:trPr>
          <w:trHeight w:hRule="exact" w:val="1783"/>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line="276" w:lineRule="auto"/>
              <w:ind w:left="97" w:right="217"/>
              <w:rPr>
                <w:rFonts w:ascii="Calibri" w:eastAsia="Calibri" w:hAnsi="Calibri" w:cs="Calibri"/>
                <w:sz w:val="18"/>
                <w:szCs w:val="18"/>
              </w:rPr>
            </w:pPr>
            <w:r>
              <w:rPr>
                <w:rFonts w:ascii="Calibri"/>
                <w:spacing w:val="-1"/>
                <w:sz w:val="18"/>
              </w:rPr>
              <w:t>Upstream</w:t>
            </w:r>
            <w:r>
              <w:rPr>
                <w:rFonts w:ascii="Calibri"/>
                <w:spacing w:val="-4"/>
                <w:sz w:val="18"/>
              </w:rPr>
              <w:t xml:space="preserve"> </w:t>
            </w:r>
            <w:r>
              <w:rPr>
                <w:rFonts w:ascii="Calibri"/>
                <w:spacing w:val="-1"/>
                <w:sz w:val="18"/>
              </w:rPr>
              <w:t>Lighting--Work</w:t>
            </w:r>
            <w:r>
              <w:rPr>
                <w:rFonts w:ascii="Calibri"/>
                <w:spacing w:val="-4"/>
                <w:sz w:val="18"/>
              </w:rPr>
              <w:t xml:space="preserve"> </w:t>
            </w:r>
            <w:r>
              <w:rPr>
                <w:rFonts w:ascii="Calibri"/>
                <w:spacing w:val="-1"/>
                <w:sz w:val="18"/>
              </w:rPr>
              <w:t>with</w:t>
            </w:r>
            <w:r>
              <w:rPr>
                <w:rFonts w:ascii="Calibri"/>
                <w:spacing w:val="-6"/>
                <w:sz w:val="18"/>
              </w:rPr>
              <w:t xml:space="preserve"> </w:t>
            </w:r>
            <w:r>
              <w:rPr>
                <w:rFonts w:ascii="Calibri"/>
                <w:spacing w:val="-1"/>
                <w:sz w:val="18"/>
              </w:rPr>
              <w:t>retailers</w:t>
            </w:r>
            <w:r>
              <w:rPr>
                <w:rFonts w:ascii="Calibri"/>
                <w:spacing w:val="-5"/>
                <w:sz w:val="18"/>
              </w:rPr>
              <w:t xml:space="preserve"> </w:t>
            </w:r>
            <w:r>
              <w:rPr>
                <w:rFonts w:ascii="Calibri"/>
                <w:sz w:val="18"/>
              </w:rPr>
              <w:t>to</w:t>
            </w:r>
            <w:r>
              <w:rPr>
                <w:rFonts w:ascii="Calibri"/>
                <w:spacing w:val="-3"/>
                <w:sz w:val="18"/>
              </w:rPr>
              <w:t xml:space="preserve"> </w:t>
            </w:r>
            <w:r>
              <w:rPr>
                <w:rFonts w:ascii="Calibri"/>
                <w:sz w:val="18"/>
              </w:rPr>
              <w:t>use</w:t>
            </w:r>
            <w:r>
              <w:rPr>
                <w:rFonts w:ascii="Calibri"/>
                <w:spacing w:val="-5"/>
                <w:sz w:val="18"/>
              </w:rPr>
              <w:t xml:space="preserve"> </w:t>
            </w:r>
            <w:r>
              <w:rPr>
                <w:rFonts w:ascii="Calibri"/>
                <w:spacing w:val="-1"/>
                <w:sz w:val="18"/>
              </w:rPr>
              <w:t>product</w:t>
            </w:r>
            <w:r>
              <w:rPr>
                <w:rFonts w:ascii="Calibri"/>
                <w:spacing w:val="65"/>
                <w:w w:val="99"/>
                <w:sz w:val="18"/>
              </w:rPr>
              <w:t xml:space="preserve"> </w:t>
            </w:r>
            <w:r>
              <w:rPr>
                <w:rFonts w:ascii="Calibri"/>
                <w:spacing w:val="-1"/>
                <w:sz w:val="18"/>
              </w:rPr>
              <w:t>placement</w:t>
            </w:r>
            <w:r>
              <w:rPr>
                <w:rFonts w:ascii="Calibri"/>
                <w:spacing w:val="-4"/>
                <w:sz w:val="18"/>
              </w:rPr>
              <w:t xml:space="preserve"> </w:t>
            </w:r>
            <w:r>
              <w:rPr>
                <w:rFonts w:ascii="Calibri"/>
                <w:spacing w:val="1"/>
                <w:sz w:val="18"/>
              </w:rPr>
              <w:t>as</w:t>
            </w:r>
            <w:r>
              <w:rPr>
                <w:rFonts w:ascii="Calibri"/>
                <w:spacing w:val="-4"/>
                <w:sz w:val="18"/>
              </w:rPr>
              <w:t xml:space="preserve"> </w:t>
            </w:r>
            <w:r>
              <w:rPr>
                <w:rFonts w:ascii="Calibri"/>
                <w:sz w:val="18"/>
              </w:rPr>
              <w:t>a</w:t>
            </w:r>
            <w:r>
              <w:rPr>
                <w:rFonts w:ascii="Calibri"/>
                <w:spacing w:val="-3"/>
                <w:sz w:val="18"/>
              </w:rPr>
              <w:t xml:space="preserve"> </w:t>
            </w:r>
            <w:r>
              <w:rPr>
                <w:rFonts w:ascii="Calibri"/>
                <w:spacing w:val="-1"/>
                <w:sz w:val="18"/>
              </w:rPr>
              <w:t>lower-cost</w:t>
            </w:r>
            <w:r>
              <w:rPr>
                <w:rFonts w:ascii="Calibri"/>
                <w:spacing w:val="-3"/>
                <w:sz w:val="18"/>
              </w:rPr>
              <w:t xml:space="preserve"> </w:t>
            </w:r>
            <w:r>
              <w:rPr>
                <w:rFonts w:ascii="Calibri"/>
                <w:spacing w:val="-1"/>
                <w:sz w:val="18"/>
              </w:rPr>
              <w:t>mechanism</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generating</w:t>
            </w:r>
            <w:r>
              <w:rPr>
                <w:rFonts w:ascii="Calibri"/>
                <w:spacing w:val="-4"/>
                <w:sz w:val="18"/>
              </w:rPr>
              <w:t xml:space="preserve"> </w:t>
            </w:r>
            <w:r>
              <w:rPr>
                <w:rFonts w:ascii="Calibri"/>
                <w:spacing w:val="-1"/>
                <w:sz w:val="18"/>
              </w:rPr>
              <w:t>sales</w:t>
            </w:r>
            <w:r>
              <w:rPr>
                <w:rFonts w:ascii="Calibri"/>
                <w:spacing w:val="53"/>
                <w:sz w:val="18"/>
              </w:rPr>
              <w:t xml:space="preserve"> </w:t>
            </w:r>
            <w:r>
              <w:rPr>
                <w:rFonts w:ascii="Calibri"/>
                <w:spacing w:val="-1"/>
                <w:sz w:val="18"/>
              </w:rPr>
              <w:t>lift</w:t>
            </w:r>
            <w:r>
              <w:rPr>
                <w:rFonts w:ascii="Calibri"/>
                <w:spacing w:val="-3"/>
                <w:sz w:val="18"/>
              </w:rPr>
              <w:t xml:space="preserve"> </w:t>
            </w:r>
            <w:r>
              <w:rPr>
                <w:rFonts w:ascii="Calibri"/>
                <w:spacing w:val="-1"/>
                <w:sz w:val="18"/>
              </w:rPr>
              <w:t>rather than</w:t>
            </w:r>
            <w:r>
              <w:rPr>
                <w:rFonts w:ascii="Calibri"/>
                <w:spacing w:val="-4"/>
                <w:sz w:val="18"/>
              </w:rPr>
              <w:t xml:space="preserve"> </w:t>
            </w:r>
            <w:r>
              <w:rPr>
                <w:rFonts w:ascii="Calibri"/>
                <w:sz w:val="18"/>
              </w:rPr>
              <w:t>more</w:t>
            </w:r>
            <w:r>
              <w:rPr>
                <w:rFonts w:ascii="Calibri"/>
                <w:spacing w:val="-5"/>
                <w:sz w:val="18"/>
              </w:rPr>
              <w:t xml:space="preserve"> </w:t>
            </w:r>
            <w:r>
              <w:rPr>
                <w:rFonts w:ascii="Calibri"/>
                <w:spacing w:val="-1"/>
                <w:sz w:val="18"/>
              </w:rPr>
              <w:t>aggressive</w:t>
            </w:r>
            <w:r>
              <w:rPr>
                <w:rFonts w:ascii="Calibri"/>
                <w:spacing w:val="-4"/>
                <w:sz w:val="18"/>
              </w:rPr>
              <w:t xml:space="preserve"> </w:t>
            </w:r>
            <w:r>
              <w:rPr>
                <w:rFonts w:ascii="Calibri"/>
                <w:spacing w:val="-1"/>
                <w:sz w:val="18"/>
              </w:rPr>
              <w:t>incentives</w:t>
            </w:r>
            <w:r>
              <w:rPr>
                <w:rFonts w:ascii="Calibri"/>
                <w:spacing w:val="-3"/>
                <w:sz w:val="18"/>
              </w:rPr>
              <w:t xml:space="preserve"> </w:t>
            </w:r>
            <w:r>
              <w:rPr>
                <w:rFonts w:ascii="Calibri"/>
                <w:spacing w:val="-1"/>
                <w:sz w:val="18"/>
              </w:rPr>
              <w:t>throughout</w:t>
            </w:r>
            <w:r>
              <w:rPr>
                <w:rFonts w:ascii="Calibri"/>
                <w:spacing w:val="-3"/>
                <w:sz w:val="18"/>
              </w:rPr>
              <w:t xml:space="preserve"> </w:t>
            </w:r>
            <w:r>
              <w:rPr>
                <w:rFonts w:ascii="Calibri"/>
                <w:sz w:val="18"/>
              </w:rPr>
              <w:t>the</w:t>
            </w:r>
            <w:r>
              <w:rPr>
                <w:rFonts w:ascii="Calibri"/>
                <w:spacing w:val="57"/>
                <w:w w:val="99"/>
                <w:sz w:val="18"/>
              </w:rPr>
              <w:t xml:space="preserve"> </w:t>
            </w:r>
            <w:r>
              <w:rPr>
                <w:rFonts w:ascii="Calibri"/>
                <w:spacing w:val="-1"/>
                <w:sz w:val="18"/>
              </w:rPr>
              <w:t>year.</w:t>
            </w:r>
            <w:r>
              <w:rPr>
                <w:rFonts w:ascii="Calibri"/>
                <w:spacing w:val="-3"/>
                <w:sz w:val="18"/>
              </w:rPr>
              <w:t xml:space="preserve"> </w:t>
            </w:r>
            <w:r>
              <w:rPr>
                <w:rFonts w:ascii="Calibri"/>
                <w:spacing w:val="-1"/>
                <w:sz w:val="18"/>
              </w:rPr>
              <w:t>Additionally,</w:t>
            </w:r>
            <w:r>
              <w:rPr>
                <w:rFonts w:ascii="Calibri"/>
                <w:spacing w:val="-2"/>
                <w:sz w:val="18"/>
              </w:rPr>
              <w:t xml:space="preserve"> </w:t>
            </w:r>
            <w:r>
              <w:rPr>
                <w:rFonts w:ascii="Calibri"/>
                <w:sz w:val="18"/>
              </w:rPr>
              <w:t>PPL</w:t>
            </w:r>
            <w:r>
              <w:rPr>
                <w:rFonts w:ascii="Calibri"/>
                <w:spacing w:val="-2"/>
                <w:sz w:val="18"/>
              </w:rPr>
              <w:t xml:space="preserve"> </w:t>
            </w:r>
            <w:r>
              <w:rPr>
                <w:rFonts w:ascii="Calibri"/>
                <w:spacing w:val="-1"/>
                <w:sz w:val="18"/>
              </w:rPr>
              <w:t>Electric</w:t>
            </w:r>
            <w:r>
              <w:rPr>
                <w:rFonts w:ascii="Calibri"/>
                <w:spacing w:val="-2"/>
                <w:sz w:val="18"/>
              </w:rPr>
              <w:t xml:space="preserve"> </w:t>
            </w:r>
            <w:r>
              <w:rPr>
                <w:rFonts w:ascii="Calibri"/>
                <w:spacing w:val="-1"/>
                <w:sz w:val="18"/>
              </w:rPr>
              <w:t>Utilities</w:t>
            </w:r>
            <w:r>
              <w:rPr>
                <w:rFonts w:ascii="Calibri"/>
                <w:spacing w:val="-3"/>
                <w:sz w:val="18"/>
              </w:rPr>
              <w:t xml:space="preserve"> </w:t>
            </w:r>
            <w:r>
              <w:rPr>
                <w:rFonts w:ascii="Calibri"/>
                <w:spacing w:val="-1"/>
                <w:sz w:val="18"/>
              </w:rPr>
              <w:t>could</w:t>
            </w:r>
            <w:r>
              <w:rPr>
                <w:rFonts w:ascii="Calibri"/>
                <w:spacing w:val="-4"/>
                <w:sz w:val="18"/>
              </w:rPr>
              <w:t xml:space="preserve"> </w:t>
            </w:r>
            <w:r>
              <w:rPr>
                <w:rFonts w:ascii="Calibri"/>
                <w:spacing w:val="-1"/>
                <w:sz w:val="18"/>
              </w:rPr>
              <w:t>consider</w:t>
            </w:r>
            <w:r>
              <w:rPr>
                <w:rFonts w:ascii="Calibri"/>
                <w:spacing w:val="59"/>
                <w:w w:val="99"/>
                <w:sz w:val="18"/>
              </w:rPr>
              <w:t xml:space="preserve"> </w:t>
            </w:r>
            <w:r>
              <w:rPr>
                <w:rFonts w:ascii="Calibri"/>
                <w:spacing w:val="-1"/>
                <w:sz w:val="18"/>
              </w:rPr>
              <w:t>working</w:t>
            </w:r>
            <w:r>
              <w:rPr>
                <w:rFonts w:ascii="Calibri"/>
                <w:spacing w:val="-4"/>
                <w:sz w:val="18"/>
              </w:rPr>
              <w:t xml:space="preserve"> </w:t>
            </w:r>
            <w:r>
              <w:rPr>
                <w:rFonts w:ascii="Calibri"/>
                <w:spacing w:val="-1"/>
                <w:sz w:val="18"/>
              </w:rPr>
              <w:t>with</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z w:val="18"/>
              </w:rPr>
              <w:t>ICSP</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track</w:t>
            </w:r>
            <w:r>
              <w:rPr>
                <w:rFonts w:ascii="Calibri"/>
                <w:spacing w:val="-2"/>
                <w:sz w:val="18"/>
              </w:rPr>
              <w:t xml:space="preserve"> </w:t>
            </w:r>
            <w:r>
              <w:rPr>
                <w:rFonts w:ascii="Calibri"/>
                <w:spacing w:val="-1"/>
                <w:sz w:val="18"/>
              </w:rPr>
              <w:t>product</w:t>
            </w:r>
            <w:r>
              <w:rPr>
                <w:rFonts w:ascii="Calibri"/>
                <w:spacing w:val="-3"/>
                <w:sz w:val="18"/>
              </w:rPr>
              <w:t xml:space="preserve"> </w:t>
            </w:r>
            <w:r>
              <w:rPr>
                <w:rFonts w:ascii="Calibri"/>
                <w:spacing w:val="-1"/>
                <w:sz w:val="18"/>
              </w:rPr>
              <w:t>placement</w:t>
            </w:r>
            <w:r>
              <w:rPr>
                <w:rFonts w:ascii="Calibri"/>
                <w:spacing w:val="-2"/>
                <w:sz w:val="18"/>
              </w:rPr>
              <w:t xml:space="preserve"> </w:t>
            </w:r>
            <w:r>
              <w:rPr>
                <w:rFonts w:ascii="Calibri"/>
                <w:spacing w:val="-1"/>
                <w:sz w:val="18"/>
              </w:rPr>
              <w:t>across</w:t>
            </w:r>
            <w:r>
              <w:rPr>
                <w:rFonts w:ascii="Calibri"/>
                <w:spacing w:val="-4"/>
                <w:sz w:val="18"/>
              </w:rPr>
              <w:t xml:space="preserve"> </w:t>
            </w:r>
            <w:r>
              <w:rPr>
                <w:rFonts w:ascii="Calibri"/>
                <w:sz w:val="18"/>
              </w:rPr>
              <w:t>all</w:t>
            </w:r>
            <w:r>
              <w:rPr>
                <w:rFonts w:ascii="Calibri"/>
                <w:spacing w:val="53"/>
                <w:sz w:val="18"/>
              </w:rPr>
              <w:t xml:space="preserve"> </w:t>
            </w:r>
            <w:r>
              <w:rPr>
                <w:rFonts w:ascii="Calibri"/>
                <w:spacing w:val="-1"/>
                <w:sz w:val="18"/>
              </w:rPr>
              <w:t>retailers,</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the</w:t>
            </w:r>
            <w:r>
              <w:rPr>
                <w:rFonts w:ascii="Calibri"/>
                <w:spacing w:val="-4"/>
                <w:sz w:val="18"/>
              </w:rPr>
              <w:t xml:space="preserve"> </w:t>
            </w:r>
            <w:r>
              <w:rPr>
                <w:rFonts w:ascii="Calibri"/>
                <w:spacing w:val="-1"/>
                <w:sz w:val="18"/>
              </w:rPr>
              <w:t>greatest degree practical,</w:t>
            </w:r>
            <w:r>
              <w:rPr>
                <w:rFonts w:ascii="Calibri"/>
                <w:spacing w:val="-4"/>
                <w:sz w:val="18"/>
              </w:rPr>
              <w:t xml:space="preserve"> </w:t>
            </w:r>
            <w:r>
              <w:rPr>
                <w:rFonts w:ascii="Calibri"/>
                <w:spacing w:val="-1"/>
                <w:sz w:val="18"/>
              </w:rPr>
              <w:t>so</w:t>
            </w:r>
            <w:r>
              <w:rPr>
                <w:rFonts w:ascii="Calibri"/>
                <w:spacing w:val="-3"/>
                <w:sz w:val="18"/>
              </w:rPr>
              <w:t xml:space="preserve"> </w:t>
            </w:r>
            <w:r>
              <w:rPr>
                <w:rFonts w:ascii="Calibri"/>
                <w:spacing w:val="-1"/>
                <w:sz w:val="18"/>
              </w:rPr>
              <w:t>that</w:t>
            </w:r>
            <w:r>
              <w:rPr>
                <w:rFonts w:ascii="Calibri"/>
                <w:spacing w:val="-2"/>
                <w:sz w:val="18"/>
              </w:rPr>
              <w:t xml:space="preserve"> </w:t>
            </w:r>
            <w:r>
              <w:rPr>
                <w:rFonts w:ascii="Calibri"/>
                <w:spacing w:val="-1"/>
                <w:sz w:val="18"/>
              </w:rPr>
              <w:t>the</w:t>
            </w:r>
            <w:r>
              <w:rPr>
                <w:rFonts w:ascii="Calibri"/>
                <w:spacing w:val="55"/>
                <w:w w:val="99"/>
                <w:sz w:val="18"/>
              </w:rPr>
              <w:t xml:space="preserve"> </w:t>
            </w:r>
            <w:r>
              <w:rPr>
                <w:rFonts w:ascii="Calibri"/>
                <w:spacing w:val="-1"/>
                <w:sz w:val="18"/>
              </w:rPr>
              <w:t>program</w:t>
            </w:r>
            <w:r>
              <w:rPr>
                <w:rFonts w:ascii="Calibri"/>
                <w:spacing w:val="-4"/>
                <w:sz w:val="18"/>
              </w:rPr>
              <w:t xml:space="preserve"> </w:t>
            </w:r>
            <w:r>
              <w:rPr>
                <w:rFonts w:ascii="Calibri"/>
                <w:spacing w:val="-1"/>
                <w:sz w:val="18"/>
              </w:rPr>
              <w:t>is</w:t>
            </w:r>
            <w:r>
              <w:rPr>
                <w:rFonts w:ascii="Calibri"/>
                <w:spacing w:val="-3"/>
                <w:sz w:val="18"/>
              </w:rPr>
              <w:t xml:space="preserve"> </w:t>
            </w:r>
            <w:r>
              <w:rPr>
                <w:rFonts w:ascii="Calibri"/>
                <w:spacing w:val="-1"/>
                <w:sz w:val="18"/>
              </w:rPr>
              <w:t>credited</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all</w:t>
            </w:r>
            <w:r>
              <w:rPr>
                <w:rFonts w:ascii="Calibri"/>
                <w:spacing w:val="-3"/>
                <w:sz w:val="18"/>
              </w:rPr>
              <w:t xml:space="preserve"> </w:t>
            </w:r>
            <w:r>
              <w:rPr>
                <w:rFonts w:ascii="Calibri"/>
                <w:spacing w:val="-1"/>
                <w:sz w:val="18"/>
              </w:rPr>
              <w:t>activities</w:t>
            </w:r>
            <w:r>
              <w:rPr>
                <w:rFonts w:ascii="Calibri"/>
                <w:spacing w:val="-3"/>
                <w:sz w:val="18"/>
              </w:rPr>
              <w:t xml:space="preserve"> </w:t>
            </w:r>
            <w:r>
              <w:rPr>
                <w:rFonts w:ascii="Calibri"/>
                <w:spacing w:val="-1"/>
                <w:sz w:val="18"/>
              </w:rPr>
              <w:t>that</w:t>
            </w:r>
            <w:r>
              <w:rPr>
                <w:rFonts w:ascii="Calibri"/>
                <w:spacing w:val="-2"/>
                <w:sz w:val="18"/>
              </w:rPr>
              <w:t xml:space="preserve"> </w:t>
            </w:r>
            <w:r>
              <w:rPr>
                <w:rFonts w:ascii="Calibri"/>
                <w:spacing w:val="-1"/>
                <w:sz w:val="18"/>
              </w:rPr>
              <w:t>increase</w:t>
            </w:r>
            <w:r>
              <w:rPr>
                <w:rFonts w:ascii="Calibri"/>
                <w:spacing w:val="-3"/>
                <w:sz w:val="18"/>
              </w:rPr>
              <w:t xml:space="preserve"> </w:t>
            </w:r>
            <w:r>
              <w:rPr>
                <w:rFonts w:ascii="Calibri"/>
                <w:sz w:val="18"/>
              </w:rPr>
              <w:t>sales.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131"/>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where</w:t>
            </w:r>
            <w:r>
              <w:rPr>
                <w:rFonts w:ascii="Calibri"/>
                <w:spacing w:val="-5"/>
                <w:sz w:val="18"/>
              </w:rPr>
              <w:t xml:space="preserve"> </w:t>
            </w:r>
            <w:r>
              <w:rPr>
                <w:rFonts w:ascii="Calibri"/>
                <w:spacing w:val="-1"/>
                <w:sz w:val="18"/>
              </w:rPr>
              <w:t>possible.</w:t>
            </w:r>
            <w:r>
              <w:rPr>
                <w:rFonts w:ascii="Calibri"/>
                <w:spacing w:val="-3"/>
                <w:sz w:val="18"/>
              </w:rPr>
              <w:t xml:space="preserve"> </w:t>
            </w:r>
            <w:r>
              <w:rPr>
                <w:rFonts w:ascii="Calibri"/>
                <w:sz w:val="18"/>
              </w:rPr>
              <w:t>Some</w:t>
            </w:r>
            <w:r>
              <w:rPr>
                <w:rFonts w:ascii="Calibri"/>
                <w:spacing w:val="-4"/>
                <w:sz w:val="18"/>
              </w:rPr>
              <w:t xml:space="preserve"> </w:t>
            </w:r>
            <w:r>
              <w:rPr>
                <w:rFonts w:ascii="Calibri"/>
                <w:spacing w:val="-1"/>
                <w:sz w:val="18"/>
              </w:rPr>
              <w:t>retailers</w:t>
            </w:r>
            <w:r>
              <w:rPr>
                <w:rFonts w:ascii="Calibri"/>
                <w:spacing w:val="-5"/>
                <w:sz w:val="18"/>
              </w:rPr>
              <w:t xml:space="preserve"> </w:t>
            </w:r>
            <w:r>
              <w:rPr>
                <w:rFonts w:ascii="Calibri"/>
                <w:spacing w:val="-1"/>
                <w:sz w:val="18"/>
              </w:rPr>
              <w:t>will not</w:t>
            </w:r>
            <w:r>
              <w:rPr>
                <w:rFonts w:ascii="Calibri"/>
                <w:spacing w:val="-3"/>
                <w:sz w:val="18"/>
              </w:rPr>
              <w:t xml:space="preserve"> </w:t>
            </w:r>
            <w:r>
              <w:rPr>
                <w:rFonts w:ascii="Calibri"/>
                <w:spacing w:val="-1"/>
                <w:sz w:val="18"/>
              </w:rPr>
              <w:t>allow</w:t>
            </w:r>
            <w:r>
              <w:rPr>
                <w:rFonts w:ascii="Calibri"/>
                <w:spacing w:val="59"/>
                <w:w w:val="99"/>
                <w:sz w:val="18"/>
              </w:rPr>
              <w:t xml:space="preserve"> </w:t>
            </w:r>
            <w:r>
              <w:rPr>
                <w:rFonts w:ascii="Calibri"/>
                <w:sz w:val="18"/>
              </w:rPr>
              <w:t>PPL</w:t>
            </w:r>
            <w:r>
              <w:rPr>
                <w:rFonts w:ascii="Calibri"/>
                <w:spacing w:val="-2"/>
                <w:sz w:val="18"/>
              </w:rPr>
              <w:t xml:space="preserve"> </w:t>
            </w:r>
            <w:r>
              <w:rPr>
                <w:rFonts w:ascii="Calibri"/>
                <w:spacing w:val="-1"/>
                <w:sz w:val="18"/>
              </w:rPr>
              <w:t>much</w:t>
            </w:r>
            <w:r>
              <w:rPr>
                <w:rFonts w:ascii="Calibri"/>
                <w:spacing w:val="-3"/>
                <w:sz w:val="18"/>
              </w:rPr>
              <w:t xml:space="preserve"> </w:t>
            </w:r>
            <w:r>
              <w:rPr>
                <w:rFonts w:ascii="Calibri"/>
                <w:spacing w:val="-1"/>
                <w:sz w:val="18"/>
              </w:rPr>
              <w:t>control</w:t>
            </w:r>
            <w:r>
              <w:rPr>
                <w:rFonts w:ascii="Calibri"/>
                <w:spacing w:val="-3"/>
                <w:sz w:val="18"/>
              </w:rPr>
              <w:t xml:space="preserve"> </w:t>
            </w:r>
            <w:r>
              <w:rPr>
                <w:rFonts w:ascii="Calibri"/>
                <w:spacing w:val="-1"/>
                <w:sz w:val="18"/>
              </w:rPr>
              <w:t>over merchandising</w:t>
            </w:r>
            <w:r>
              <w:rPr>
                <w:rFonts w:ascii="Calibri"/>
                <w:spacing w:val="-4"/>
                <w:sz w:val="18"/>
              </w:rPr>
              <w:t xml:space="preserve"> </w:t>
            </w:r>
            <w:r>
              <w:rPr>
                <w:rFonts w:ascii="Calibri"/>
                <w:sz w:val="18"/>
              </w:rPr>
              <w:t>or</w:t>
            </w:r>
            <w:r>
              <w:rPr>
                <w:rFonts w:ascii="Calibri"/>
                <w:spacing w:val="-2"/>
                <w:sz w:val="18"/>
              </w:rPr>
              <w:t xml:space="preserve"> </w:t>
            </w:r>
            <w:r>
              <w:rPr>
                <w:rFonts w:ascii="Calibri"/>
                <w:spacing w:val="-1"/>
                <w:sz w:val="18"/>
              </w:rPr>
              <w:t>provide</w:t>
            </w:r>
            <w:r>
              <w:rPr>
                <w:rFonts w:ascii="Calibri"/>
                <w:spacing w:val="-3"/>
                <w:sz w:val="18"/>
              </w:rPr>
              <w:t xml:space="preserve"> </w:t>
            </w:r>
            <w:r>
              <w:rPr>
                <w:rFonts w:ascii="Calibri"/>
                <w:sz w:val="18"/>
              </w:rPr>
              <w:t>PPL</w:t>
            </w:r>
            <w:r>
              <w:rPr>
                <w:rFonts w:ascii="Calibri"/>
                <w:spacing w:val="-1"/>
                <w:sz w:val="18"/>
              </w:rPr>
              <w:t xml:space="preserve"> with</w:t>
            </w:r>
            <w:r>
              <w:rPr>
                <w:rFonts w:ascii="Calibri"/>
                <w:spacing w:val="53"/>
                <w:sz w:val="18"/>
              </w:rPr>
              <w:t xml:space="preserve"> </w:t>
            </w:r>
            <w:r>
              <w:rPr>
                <w:rFonts w:ascii="Calibri"/>
                <w:spacing w:val="-1"/>
                <w:sz w:val="18"/>
              </w:rPr>
              <w:t>product</w:t>
            </w:r>
            <w:r>
              <w:rPr>
                <w:rFonts w:ascii="Calibri"/>
                <w:spacing w:val="-5"/>
                <w:sz w:val="18"/>
              </w:rPr>
              <w:t xml:space="preserve"> </w:t>
            </w:r>
            <w:r>
              <w:rPr>
                <w:rFonts w:ascii="Calibri"/>
                <w:spacing w:val="-1"/>
                <w:sz w:val="18"/>
              </w:rPr>
              <w:t>placement</w:t>
            </w:r>
            <w:r>
              <w:rPr>
                <w:rFonts w:ascii="Calibri"/>
                <w:spacing w:val="-5"/>
                <w:sz w:val="18"/>
              </w:rPr>
              <w:t xml:space="preserve"> </w:t>
            </w:r>
            <w:r>
              <w:rPr>
                <w:rFonts w:ascii="Calibri"/>
                <w:spacing w:val="-1"/>
                <w:sz w:val="18"/>
              </w:rPr>
              <w:t>information/documentation.</w:t>
            </w:r>
            <w:r>
              <w:rPr>
                <w:rFonts w:ascii="Calibri"/>
                <w:spacing w:val="-5"/>
                <w:sz w:val="18"/>
              </w:rPr>
              <w:t xml:space="preserve"> </w:t>
            </w:r>
            <w:r>
              <w:rPr>
                <w:rFonts w:ascii="Calibri"/>
                <w:sz w:val="18"/>
              </w:rPr>
              <w:t>Through</w:t>
            </w:r>
            <w:r>
              <w:rPr>
                <w:rFonts w:ascii="Calibri"/>
                <w:spacing w:val="-5"/>
                <w:sz w:val="18"/>
              </w:rPr>
              <w:t xml:space="preserve"> </w:t>
            </w:r>
            <w:r>
              <w:rPr>
                <w:rFonts w:ascii="Calibri"/>
                <w:sz w:val="18"/>
              </w:rPr>
              <w:t>in-</w:t>
            </w:r>
            <w:r>
              <w:rPr>
                <w:rFonts w:ascii="Calibri"/>
                <w:spacing w:val="57"/>
                <w:sz w:val="18"/>
              </w:rPr>
              <w:t xml:space="preserve"> </w:t>
            </w:r>
            <w:r>
              <w:rPr>
                <w:rFonts w:ascii="Calibri"/>
                <w:spacing w:val="-1"/>
                <w:sz w:val="18"/>
              </w:rPr>
              <w:t>store</w:t>
            </w:r>
            <w:r>
              <w:rPr>
                <w:rFonts w:ascii="Calibri"/>
                <w:spacing w:val="-4"/>
                <w:sz w:val="18"/>
              </w:rPr>
              <w:t xml:space="preserve"> </w:t>
            </w:r>
            <w:r>
              <w:rPr>
                <w:rFonts w:ascii="Calibri"/>
                <w:spacing w:val="-1"/>
                <w:sz w:val="18"/>
              </w:rPr>
              <w:t xml:space="preserve">inspections, </w:t>
            </w:r>
            <w:r>
              <w:rPr>
                <w:rFonts w:ascii="Calibri"/>
                <w:sz w:val="18"/>
              </w:rPr>
              <w:t>the</w:t>
            </w:r>
            <w:r>
              <w:rPr>
                <w:rFonts w:ascii="Calibri"/>
                <w:spacing w:val="-3"/>
                <w:sz w:val="18"/>
              </w:rPr>
              <w:t xml:space="preserve"> </w:t>
            </w:r>
            <w:r>
              <w:rPr>
                <w:rFonts w:ascii="Calibri"/>
                <w:spacing w:val="-1"/>
                <w:sz w:val="18"/>
              </w:rPr>
              <w:t>ICSP will</w:t>
            </w:r>
            <w:r>
              <w:rPr>
                <w:rFonts w:ascii="Calibri"/>
                <w:spacing w:val="-3"/>
                <w:sz w:val="18"/>
              </w:rPr>
              <w:t xml:space="preserve"> </w:t>
            </w:r>
            <w:r>
              <w:rPr>
                <w:rFonts w:ascii="Calibri"/>
                <w:spacing w:val="1"/>
                <w:sz w:val="18"/>
              </w:rPr>
              <w:t>try</w:t>
            </w:r>
            <w:r>
              <w:rPr>
                <w:rFonts w:ascii="Calibri"/>
                <w:spacing w:val="-1"/>
                <w:sz w:val="18"/>
              </w:rPr>
              <w:t xml:space="preserve"> </w:t>
            </w:r>
            <w:r>
              <w:rPr>
                <w:rFonts w:ascii="Calibri"/>
                <w:sz w:val="18"/>
              </w:rPr>
              <w:t>to</w:t>
            </w:r>
            <w:r>
              <w:rPr>
                <w:rFonts w:ascii="Calibri"/>
                <w:spacing w:val="-2"/>
                <w:sz w:val="18"/>
              </w:rPr>
              <w:t xml:space="preserve"> </w:t>
            </w:r>
            <w:r>
              <w:rPr>
                <w:rFonts w:ascii="Calibri"/>
                <w:spacing w:val="-1"/>
                <w:sz w:val="18"/>
              </w:rPr>
              <w:t>influence</w:t>
            </w:r>
            <w:r>
              <w:rPr>
                <w:rFonts w:ascii="Calibri"/>
                <w:spacing w:val="-2"/>
                <w:sz w:val="18"/>
              </w:rPr>
              <w:t xml:space="preserve"> </w:t>
            </w:r>
            <w:r>
              <w:rPr>
                <w:rFonts w:ascii="Calibri"/>
                <w:sz w:val="18"/>
              </w:rPr>
              <w:t>and</w:t>
            </w:r>
            <w:r>
              <w:rPr>
                <w:rFonts w:ascii="Calibri"/>
                <w:spacing w:val="37"/>
                <w:sz w:val="18"/>
              </w:rPr>
              <w:t xml:space="preserve"> </w:t>
            </w:r>
            <w:r>
              <w:rPr>
                <w:rFonts w:ascii="Calibri"/>
                <w:spacing w:val="-1"/>
                <w:sz w:val="18"/>
              </w:rPr>
              <w:t>document</w:t>
            </w:r>
            <w:r>
              <w:rPr>
                <w:rFonts w:ascii="Calibri"/>
                <w:spacing w:val="-6"/>
                <w:sz w:val="18"/>
              </w:rPr>
              <w:t xml:space="preserve"> </w:t>
            </w:r>
            <w:r>
              <w:rPr>
                <w:rFonts w:ascii="Calibri"/>
                <w:spacing w:val="-1"/>
                <w:sz w:val="18"/>
              </w:rPr>
              <w:t>product</w:t>
            </w:r>
            <w:r>
              <w:rPr>
                <w:rFonts w:ascii="Calibri"/>
                <w:spacing w:val="-6"/>
                <w:sz w:val="18"/>
              </w:rPr>
              <w:t xml:space="preserve"> </w:t>
            </w:r>
            <w:r>
              <w:rPr>
                <w:rFonts w:ascii="Calibri"/>
                <w:spacing w:val="-1"/>
                <w:sz w:val="18"/>
              </w:rPr>
              <w:t>placement.</w:t>
            </w:r>
          </w:p>
        </w:tc>
      </w:tr>
      <w:tr w:rsidR="00E646C9" w:rsidTr="00C3558F">
        <w:trPr>
          <w:trHeight w:hRule="exact" w:val="1313"/>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spacing w:line="276" w:lineRule="auto"/>
              <w:ind w:left="97" w:right="241"/>
              <w:rPr>
                <w:rFonts w:ascii="Calibri" w:eastAsia="Calibri" w:hAnsi="Calibri" w:cs="Calibri"/>
                <w:sz w:val="18"/>
                <w:szCs w:val="18"/>
              </w:rPr>
            </w:pPr>
            <w:r>
              <w:rPr>
                <w:rFonts w:ascii="Calibri"/>
                <w:spacing w:val="-1"/>
                <w:sz w:val="18"/>
              </w:rPr>
              <w:t>Upstream</w:t>
            </w:r>
            <w:r>
              <w:rPr>
                <w:rFonts w:ascii="Calibri"/>
                <w:spacing w:val="-4"/>
                <w:sz w:val="18"/>
              </w:rPr>
              <w:t xml:space="preserve"> </w:t>
            </w:r>
            <w:r>
              <w:rPr>
                <w:rFonts w:ascii="Calibri"/>
                <w:spacing w:val="-1"/>
                <w:sz w:val="18"/>
              </w:rPr>
              <w:t>Lighting--Consider</w:t>
            </w:r>
            <w:r>
              <w:rPr>
                <w:rFonts w:ascii="Calibri"/>
                <w:spacing w:val="-4"/>
                <w:sz w:val="18"/>
              </w:rPr>
              <w:t xml:space="preserve"> </w:t>
            </w:r>
            <w:r>
              <w:rPr>
                <w:rFonts w:ascii="Calibri"/>
                <w:sz w:val="18"/>
              </w:rPr>
              <w:t>ways</w:t>
            </w:r>
            <w:r>
              <w:rPr>
                <w:rFonts w:ascii="Calibri"/>
                <w:spacing w:val="-4"/>
                <w:sz w:val="18"/>
              </w:rPr>
              <w:t xml:space="preserve"> </w:t>
            </w:r>
            <w:r>
              <w:rPr>
                <w:rFonts w:ascii="Calibri"/>
                <w:sz w:val="18"/>
              </w:rPr>
              <w:t>to</w:t>
            </w:r>
            <w:r>
              <w:rPr>
                <w:rFonts w:ascii="Calibri"/>
                <w:spacing w:val="-4"/>
                <w:sz w:val="18"/>
              </w:rPr>
              <w:t xml:space="preserve"> </w:t>
            </w:r>
            <w:r>
              <w:rPr>
                <w:rFonts w:ascii="Calibri"/>
                <w:spacing w:val="-1"/>
                <w:sz w:val="18"/>
              </w:rPr>
              <w:t>organize</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program</w:t>
            </w:r>
            <w:r>
              <w:rPr>
                <w:rFonts w:ascii="Calibri"/>
                <w:spacing w:val="61"/>
                <w:w w:val="99"/>
                <w:sz w:val="18"/>
              </w:rPr>
              <w:t xml:space="preserve"> </w:t>
            </w:r>
            <w:r>
              <w:rPr>
                <w:rFonts w:ascii="Calibri"/>
                <w:sz w:val="18"/>
              </w:rPr>
              <w:t>to</w:t>
            </w:r>
            <w:r>
              <w:rPr>
                <w:rFonts w:ascii="Calibri"/>
                <w:spacing w:val="-3"/>
                <w:sz w:val="18"/>
              </w:rPr>
              <w:t xml:space="preserve"> </w:t>
            </w:r>
            <w:r>
              <w:rPr>
                <w:rFonts w:ascii="Calibri"/>
                <w:spacing w:val="-1"/>
                <w:sz w:val="18"/>
              </w:rPr>
              <w:t>decrease</w:t>
            </w:r>
            <w:r>
              <w:rPr>
                <w:rFonts w:ascii="Calibri"/>
                <w:spacing w:val="-3"/>
                <w:sz w:val="18"/>
              </w:rPr>
              <w:t xml:space="preserve"> </w:t>
            </w:r>
            <w:r>
              <w:rPr>
                <w:rFonts w:ascii="Calibri"/>
                <w:spacing w:val="-1"/>
                <w:sz w:val="18"/>
              </w:rPr>
              <w:t>freeridership by</w:t>
            </w:r>
            <w:r>
              <w:rPr>
                <w:rFonts w:ascii="Calibri"/>
                <w:spacing w:val="-2"/>
                <w:sz w:val="18"/>
              </w:rPr>
              <w:t xml:space="preserve"> </w:t>
            </w:r>
            <w:r>
              <w:rPr>
                <w:rFonts w:ascii="Calibri"/>
                <w:spacing w:val="-1"/>
                <w:sz w:val="18"/>
              </w:rPr>
              <w:t>focusing</w:t>
            </w:r>
            <w:r>
              <w:rPr>
                <w:rFonts w:ascii="Calibri"/>
                <w:spacing w:val="-3"/>
                <w:sz w:val="18"/>
              </w:rPr>
              <w:t xml:space="preserve"> </w:t>
            </w:r>
            <w:r>
              <w:rPr>
                <w:rFonts w:ascii="Calibri"/>
                <w:sz w:val="18"/>
              </w:rPr>
              <w:t>on</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products</w:t>
            </w:r>
            <w:r>
              <w:rPr>
                <w:rFonts w:ascii="Calibri"/>
                <w:spacing w:val="-4"/>
                <w:sz w:val="18"/>
              </w:rPr>
              <w:t xml:space="preserve"> </w:t>
            </w:r>
            <w:r>
              <w:rPr>
                <w:rFonts w:ascii="Calibri"/>
                <w:sz w:val="18"/>
              </w:rPr>
              <w:t>or</w:t>
            </w:r>
            <w:r>
              <w:rPr>
                <w:rFonts w:ascii="Calibri"/>
                <w:spacing w:val="55"/>
                <w:w w:val="99"/>
                <w:sz w:val="18"/>
              </w:rPr>
              <w:t xml:space="preserve"> </w:t>
            </w:r>
            <w:r>
              <w:rPr>
                <w:rFonts w:ascii="Calibri"/>
                <w:spacing w:val="-1"/>
                <w:sz w:val="18"/>
              </w:rPr>
              <w:t>retailers</w:t>
            </w:r>
            <w:r>
              <w:rPr>
                <w:rFonts w:ascii="Calibri"/>
                <w:spacing w:val="-5"/>
                <w:sz w:val="18"/>
              </w:rPr>
              <w:t xml:space="preserve"> </w:t>
            </w:r>
            <w:r>
              <w:rPr>
                <w:rFonts w:ascii="Calibri"/>
                <w:spacing w:val="-1"/>
                <w:sz w:val="18"/>
              </w:rPr>
              <w:t>with</w:t>
            </w:r>
            <w:r>
              <w:rPr>
                <w:rFonts w:ascii="Calibri"/>
                <w:spacing w:val="-5"/>
                <w:sz w:val="18"/>
              </w:rPr>
              <w:t xml:space="preserve"> </w:t>
            </w:r>
            <w:r>
              <w:rPr>
                <w:rFonts w:ascii="Calibri"/>
                <w:spacing w:val="-1"/>
                <w:sz w:val="18"/>
              </w:rPr>
              <w:t>less</w:t>
            </w:r>
            <w:r>
              <w:rPr>
                <w:rFonts w:ascii="Calibri"/>
                <w:spacing w:val="-5"/>
                <w:sz w:val="18"/>
              </w:rPr>
              <w:t xml:space="preserve"> </w:t>
            </w:r>
            <w:r>
              <w:rPr>
                <w:rFonts w:ascii="Calibri"/>
                <w:spacing w:val="-1"/>
                <w:sz w:val="18"/>
              </w:rPr>
              <w:t>competition</w:t>
            </w:r>
            <w:r>
              <w:rPr>
                <w:rFonts w:ascii="Calibri"/>
                <w:spacing w:val="-4"/>
                <w:sz w:val="18"/>
              </w:rPr>
              <w:t xml:space="preserve"> </w:t>
            </w:r>
            <w:r>
              <w:rPr>
                <w:rFonts w:ascii="Calibri"/>
                <w:sz w:val="18"/>
              </w:rPr>
              <w:t>from</w:t>
            </w:r>
            <w:r>
              <w:rPr>
                <w:rFonts w:ascii="Calibri"/>
                <w:spacing w:val="-4"/>
                <w:sz w:val="18"/>
              </w:rPr>
              <w:t xml:space="preserve"> </w:t>
            </w:r>
            <w:r>
              <w:rPr>
                <w:rFonts w:ascii="Calibri"/>
                <w:spacing w:val="-1"/>
                <w:sz w:val="18"/>
              </w:rPr>
              <w:t>non-program-eligible</w:t>
            </w:r>
            <w:r>
              <w:rPr>
                <w:rFonts w:ascii="Calibri"/>
                <w:spacing w:val="69"/>
                <w:w w:val="99"/>
                <w:sz w:val="18"/>
              </w:rPr>
              <w:t xml:space="preserve"> </w:t>
            </w:r>
            <w:r>
              <w:rPr>
                <w:rFonts w:ascii="Calibri"/>
                <w:sz w:val="18"/>
              </w:rPr>
              <w:t>LEDs</w:t>
            </w:r>
            <w:r>
              <w:rPr>
                <w:rFonts w:ascii="Calibri"/>
                <w:spacing w:val="-4"/>
                <w:sz w:val="18"/>
              </w:rPr>
              <w:t xml:space="preserve"> </w:t>
            </w:r>
            <w:r>
              <w:rPr>
                <w:rFonts w:ascii="Calibri"/>
                <w:spacing w:val="-1"/>
                <w:sz w:val="18"/>
              </w:rPr>
              <w:t>and</w:t>
            </w:r>
            <w:r>
              <w:rPr>
                <w:rFonts w:ascii="Calibri"/>
                <w:spacing w:val="-2"/>
                <w:sz w:val="18"/>
              </w:rPr>
              <w:t xml:space="preserve"> </w:t>
            </w:r>
            <w:r>
              <w:rPr>
                <w:rFonts w:ascii="Calibri"/>
                <w:spacing w:val="-1"/>
                <w:sz w:val="18"/>
              </w:rPr>
              <w:t>products</w:t>
            </w:r>
            <w:r>
              <w:rPr>
                <w:rFonts w:ascii="Calibri"/>
                <w:spacing w:val="-3"/>
                <w:sz w:val="18"/>
              </w:rPr>
              <w:t xml:space="preserve"> </w:t>
            </w:r>
            <w:r>
              <w:rPr>
                <w:rFonts w:ascii="Calibri"/>
                <w:sz w:val="18"/>
              </w:rPr>
              <w:t>where</w:t>
            </w:r>
            <w:r>
              <w:rPr>
                <w:rFonts w:ascii="Calibri"/>
                <w:spacing w:val="-1"/>
                <w:sz w:val="18"/>
              </w:rPr>
              <w:t xml:space="preserve"> demand</w:t>
            </w:r>
            <w:r>
              <w:rPr>
                <w:rFonts w:ascii="Calibri"/>
                <w:spacing w:val="-2"/>
                <w:sz w:val="18"/>
              </w:rPr>
              <w:t xml:space="preserve"> </w:t>
            </w:r>
            <w:r>
              <w:rPr>
                <w:rFonts w:ascii="Calibri"/>
                <w:sz w:val="18"/>
              </w:rPr>
              <w:t>is</w:t>
            </w:r>
            <w:r>
              <w:rPr>
                <w:rFonts w:ascii="Calibri"/>
                <w:spacing w:val="-3"/>
                <w:sz w:val="18"/>
              </w:rPr>
              <w:t xml:space="preserve"> </w:t>
            </w:r>
            <w:r>
              <w:rPr>
                <w:rFonts w:ascii="Calibri"/>
                <w:sz w:val="18"/>
              </w:rPr>
              <w:t>more</w:t>
            </w:r>
            <w:r>
              <w:rPr>
                <w:rFonts w:ascii="Calibri"/>
                <w:spacing w:val="-3"/>
                <w:sz w:val="18"/>
              </w:rPr>
              <w:t xml:space="preserve"> </w:t>
            </w:r>
            <w:r>
              <w:rPr>
                <w:rFonts w:ascii="Calibri"/>
                <w:spacing w:val="-1"/>
                <w:sz w:val="18"/>
              </w:rPr>
              <w:t>elastic</w:t>
            </w:r>
            <w:r>
              <w:rPr>
                <w:rFonts w:ascii="Calibri"/>
                <w:spacing w:val="-2"/>
                <w:sz w:val="18"/>
              </w:rPr>
              <w:t xml:space="preserve"> </w:t>
            </w:r>
            <w:r>
              <w:rPr>
                <w:rFonts w:ascii="Calibri"/>
                <w:sz w:val="18"/>
              </w:rPr>
              <w:t>in</w:t>
            </w:r>
            <w:r>
              <w:rPr>
                <w:rFonts w:ascii="Calibri"/>
                <w:spacing w:val="37"/>
                <w:sz w:val="18"/>
              </w:rPr>
              <w:t xml:space="preserve"> </w:t>
            </w:r>
            <w:r>
              <w:rPr>
                <w:rFonts w:ascii="Calibri"/>
                <w:spacing w:val="-1"/>
                <w:sz w:val="18"/>
              </w:rPr>
              <w:t>response</w:t>
            </w:r>
            <w:r>
              <w:rPr>
                <w:rFonts w:ascii="Calibri"/>
                <w:spacing w:val="-4"/>
                <w:sz w:val="18"/>
              </w:rPr>
              <w:t xml:space="preserve"> </w:t>
            </w:r>
            <w:r>
              <w:rPr>
                <w:rFonts w:ascii="Calibri"/>
                <w:sz w:val="18"/>
              </w:rPr>
              <w:t>to</w:t>
            </w:r>
            <w:r>
              <w:rPr>
                <w:rFonts w:ascii="Calibri"/>
                <w:spacing w:val="-2"/>
                <w:sz w:val="18"/>
              </w:rPr>
              <w:t xml:space="preserve"> </w:t>
            </w:r>
            <w:r>
              <w:rPr>
                <w:rFonts w:ascii="Calibri"/>
                <w:spacing w:val="-1"/>
                <w:sz w:val="18"/>
              </w:rPr>
              <w:t>price</w:t>
            </w:r>
            <w:r>
              <w:rPr>
                <w:rFonts w:ascii="Calibri"/>
                <w:spacing w:val="-3"/>
                <w:sz w:val="18"/>
              </w:rPr>
              <w:t xml:space="preserve"> </w:t>
            </w:r>
            <w:r>
              <w:rPr>
                <w:rFonts w:ascii="Calibri"/>
                <w:spacing w:val="-1"/>
                <w:sz w:val="18"/>
              </w:rPr>
              <w:t>changes.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172"/>
              <w:rPr>
                <w:rFonts w:ascii="Calibri" w:eastAsia="Calibri" w:hAnsi="Calibri" w:cs="Calibri"/>
                <w:sz w:val="18"/>
                <w:szCs w:val="18"/>
              </w:rPr>
            </w:pPr>
            <w:r>
              <w:rPr>
                <w:rFonts w:ascii="Calibri" w:eastAsia="Calibri" w:hAnsi="Calibri" w:cs="Calibri"/>
                <w:spacing w:val="-1"/>
                <w:sz w:val="18"/>
                <w:szCs w:val="18"/>
              </w:rPr>
              <w:t>Will</w:t>
            </w:r>
            <w:r>
              <w:rPr>
                <w:rFonts w:ascii="Calibri" w:eastAsia="Calibri" w:hAnsi="Calibri" w:cs="Calibri"/>
                <w:spacing w:val="-3"/>
                <w:sz w:val="18"/>
                <w:szCs w:val="18"/>
              </w:rPr>
              <w:t xml:space="preserve"> </w:t>
            </w:r>
            <w:r>
              <w:rPr>
                <w:rFonts w:ascii="Calibri" w:eastAsia="Calibri" w:hAnsi="Calibri" w:cs="Calibri"/>
                <w:spacing w:val="-1"/>
                <w:sz w:val="18"/>
                <w:szCs w:val="18"/>
              </w:rPr>
              <w:t>be</w:t>
            </w:r>
            <w:r>
              <w:rPr>
                <w:rFonts w:ascii="Calibri" w:eastAsia="Calibri" w:hAnsi="Calibri" w:cs="Calibri"/>
                <w:spacing w:val="-2"/>
                <w:sz w:val="18"/>
                <w:szCs w:val="18"/>
              </w:rPr>
              <w:t xml:space="preserve"> </w:t>
            </w:r>
            <w:r>
              <w:rPr>
                <w:rFonts w:ascii="Calibri" w:eastAsia="Calibri" w:hAnsi="Calibri" w:cs="Calibri"/>
                <w:spacing w:val="-1"/>
                <w:sz w:val="18"/>
                <w:szCs w:val="18"/>
              </w:rPr>
              <w:t>considered</w:t>
            </w:r>
            <w:r>
              <w:rPr>
                <w:rFonts w:ascii="Calibri" w:eastAsia="Calibri" w:hAnsi="Calibri" w:cs="Calibri"/>
                <w:spacing w:val="-3"/>
                <w:sz w:val="18"/>
                <w:szCs w:val="18"/>
              </w:rPr>
              <w:t xml:space="preserve"> </w:t>
            </w:r>
            <w:r>
              <w:rPr>
                <w:rFonts w:ascii="Calibri" w:eastAsia="Calibri" w:hAnsi="Calibri" w:cs="Calibri"/>
                <w:sz w:val="18"/>
                <w:szCs w:val="18"/>
              </w:rPr>
              <w:t>if</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2"/>
                <w:sz w:val="18"/>
                <w:szCs w:val="18"/>
              </w:rPr>
              <w:t xml:space="preserve"> </w:t>
            </w:r>
            <w:r>
              <w:rPr>
                <w:rFonts w:ascii="Calibri" w:eastAsia="Calibri" w:hAnsi="Calibri" w:cs="Calibri"/>
                <w:spacing w:val="-1"/>
                <w:sz w:val="18"/>
                <w:szCs w:val="18"/>
              </w:rPr>
              <w:t>NTGR</w:t>
            </w:r>
            <w:r>
              <w:rPr>
                <w:rFonts w:ascii="Calibri" w:eastAsia="Calibri" w:hAnsi="Calibri" w:cs="Calibri"/>
                <w:spacing w:val="-2"/>
                <w:sz w:val="18"/>
                <w:szCs w:val="18"/>
              </w:rPr>
              <w:t xml:space="preserve"> </w:t>
            </w:r>
            <w:r>
              <w:rPr>
                <w:rFonts w:ascii="Calibri" w:eastAsia="Calibri" w:hAnsi="Calibri" w:cs="Calibri"/>
                <w:sz w:val="18"/>
                <w:szCs w:val="18"/>
              </w:rPr>
              <w:t>is too</w:t>
            </w:r>
            <w:r>
              <w:rPr>
                <w:rFonts w:ascii="Calibri" w:eastAsia="Calibri" w:hAnsi="Calibri" w:cs="Calibri"/>
                <w:spacing w:val="-2"/>
                <w:sz w:val="18"/>
                <w:szCs w:val="18"/>
              </w:rPr>
              <w:t xml:space="preserve"> </w:t>
            </w:r>
            <w:r>
              <w:rPr>
                <w:rFonts w:ascii="Calibri" w:eastAsia="Calibri" w:hAnsi="Calibri" w:cs="Calibri"/>
                <w:sz w:val="18"/>
                <w:szCs w:val="18"/>
              </w:rPr>
              <w:t>low.</w:t>
            </w:r>
            <w:r>
              <w:rPr>
                <w:rFonts w:ascii="Calibri" w:eastAsia="Calibri" w:hAnsi="Calibri" w:cs="Calibri"/>
                <w:spacing w:val="-4"/>
                <w:sz w:val="18"/>
                <w:szCs w:val="18"/>
              </w:rPr>
              <w:t xml:space="preserve"> </w:t>
            </w:r>
            <w:r>
              <w:rPr>
                <w:rFonts w:ascii="Calibri" w:eastAsia="Calibri" w:hAnsi="Calibri" w:cs="Calibri"/>
                <w:spacing w:val="-1"/>
                <w:sz w:val="18"/>
                <w:szCs w:val="18"/>
              </w:rPr>
              <w:t>Based</w:t>
            </w:r>
            <w:r>
              <w:rPr>
                <w:rFonts w:ascii="Calibri" w:eastAsia="Calibri" w:hAnsi="Calibri" w:cs="Calibri"/>
                <w:spacing w:val="-2"/>
                <w:sz w:val="18"/>
                <w:szCs w:val="18"/>
              </w:rPr>
              <w:t xml:space="preserve"> </w:t>
            </w:r>
            <w:r>
              <w:rPr>
                <w:rFonts w:ascii="Calibri" w:eastAsia="Calibri" w:hAnsi="Calibri" w:cs="Calibri"/>
                <w:sz w:val="18"/>
                <w:szCs w:val="18"/>
              </w:rPr>
              <w:t>on</w:t>
            </w:r>
            <w:r>
              <w:rPr>
                <w:rFonts w:ascii="Calibri" w:eastAsia="Calibri" w:hAnsi="Calibri" w:cs="Calibri"/>
                <w:spacing w:val="-3"/>
                <w:sz w:val="18"/>
                <w:szCs w:val="18"/>
              </w:rPr>
              <w:t xml:space="preserve"> </w:t>
            </w:r>
            <w:r>
              <w:rPr>
                <w:rFonts w:ascii="Calibri" w:eastAsia="Calibri" w:hAnsi="Calibri" w:cs="Calibri"/>
                <w:spacing w:val="-1"/>
                <w:sz w:val="18"/>
                <w:szCs w:val="18"/>
              </w:rPr>
              <w:t>the</w:t>
            </w:r>
            <w:r>
              <w:rPr>
                <w:rFonts w:ascii="Calibri" w:eastAsia="Calibri" w:hAnsi="Calibri" w:cs="Calibri"/>
                <w:spacing w:val="2"/>
                <w:sz w:val="18"/>
                <w:szCs w:val="18"/>
              </w:rPr>
              <w:t xml:space="preserve"> </w:t>
            </w:r>
            <w:r>
              <w:rPr>
                <w:rFonts w:ascii="Calibri" w:eastAsia="Calibri" w:hAnsi="Calibri" w:cs="Calibri"/>
                <w:sz w:val="18"/>
                <w:szCs w:val="18"/>
              </w:rPr>
              <w:t>PY7</w:t>
            </w:r>
            <w:r>
              <w:rPr>
                <w:rFonts w:ascii="Calibri" w:eastAsia="Calibri" w:hAnsi="Calibri" w:cs="Calibri"/>
                <w:spacing w:val="37"/>
                <w:w w:val="99"/>
                <w:sz w:val="18"/>
                <w:szCs w:val="18"/>
              </w:rPr>
              <w:t xml:space="preserve"> </w:t>
            </w:r>
            <w:r>
              <w:rPr>
                <w:rFonts w:ascii="Calibri" w:eastAsia="Calibri" w:hAnsi="Calibri" w:cs="Calibri"/>
                <w:spacing w:val="-1"/>
                <w:sz w:val="18"/>
                <w:szCs w:val="18"/>
              </w:rPr>
              <w:t>evaluation,</w:t>
            </w:r>
            <w:r>
              <w:rPr>
                <w:rFonts w:ascii="Calibri" w:eastAsia="Calibri" w:hAnsi="Calibri" w:cs="Calibri"/>
                <w:spacing w:val="-3"/>
                <w:sz w:val="18"/>
                <w:szCs w:val="18"/>
              </w:rPr>
              <w:t xml:space="preserve"> </w:t>
            </w:r>
            <w:r>
              <w:rPr>
                <w:rFonts w:ascii="Calibri" w:eastAsia="Calibri" w:hAnsi="Calibri" w:cs="Calibri"/>
                <w:spacing w:val="-1"/>
                <w:sz w:val="18"/>
                <w:szCs w:val="18"/>
              </w:rPr>
              <w:t>the NTGR</w:t>
            </w:r>
            <w:r>
              <w:rPr>
                <w:rFonts w:ascii="Calibri" w:eastAsia="Calibri" w:hAnsi="Calibri" w:cs="Calibri"/>
                <w:spacing w:val="-2"/>
                <w:sz w:val="18"/>
                <w:szCs w:val="18"/>
              </w:rPr>
              <w:t xml:space="preserve"> </w:t>
            </w:r>
            <w:r>
              <w:rPr>
                <w:rFonts w:ascii="Calibri" w:eastAsia="Calibri" w:hAnsi="Calibri" w:cs="Calibri"/>
                <w:sz w:val="18"/>
                <w:szCs w:val="18"/>
              </w:rPr>
              <w:t>is</w:t>
            </w:r>
            <w:r>
              <w:rPr>
                <w:rFonts w:ascii="Calibri" w:eastAsia="Calibri" w:hAnsi="Calibri" w:cs="Calibri"/>
                <w:spacing w:val="-4"/>
                <w:sz w:val="18"/>
                <w:szCs w:val="18"/>
              </w:rPr>
              <w:t xml:space="preserve"> </w:t>
            </w:r>
            <w:r>
              <w:rPr>
                <w:rFonts w:ascii="Calibri" w:eastAsia="Calibri" w:hAnsi="Calibri" w:cs="Calibri"/>
                <w:spacing w:val="-1"/>
                <w:sz w:val="18"/>
                <w:szCs w:val="18"/>
              </w:rPr>
              <w:t>currently</w:t>
            </w:r>
            <w:r>
              <w:rPr>
                <w:rFonts w:ascii="Calibri" w:eastAsia="Calibri" w:hAnsi="Calibri" w:cs="Calibri"/>
                <w:sz w:val="18"/>
                <w:szCs w:val="18"/>
              </w:rPr>
              <w:t xml:space="preserve"> </w:t>
            </w:r>
            <w:r>
              <w:rPr>
                <w:rFonts w:ascii="Calibri" w:eastAsia="Calibri" w:hAnsi="Calibri" w:cs="Calibri"/>
                <w:spacing w:val="-1"/>
                <w:sz w:val="18"/>
                <w:szCs w:val="18"/>
              </w:rPr>
              <w:t>acceptable</w:t>
            </w:r>
            <w:r>
              <w:rPr>
                <w:rFonts w:ascii="Calibri" w:eastAsia="Calibri" w:hAnsi="Calibri" w:cs="Calibri"/>
                <w:spacing w:val="-3"/>
                <w:sz w:val="18"/>
                <w:szCs w:val="18"/>
              </w:rPr>
              <w:t xml:space="preserve"> </w:t>
            </w:r>
            <w:r>
              <w:rPr>
                <w:rFonts w:ascii="Calibri" w:eastAsia="Calibri" w:hAnsi="Calibri" w:cs="Calibri"/>
                <w:sz w:val="18"/>
                <w:szCs w:val="18"/>
              </w:rPr>
              <w:t>but</w:t>
            </w:r>
            <w:r>
              <w:rPr>
                <w:rFonts w:ascii="Calibri" w:eastAsia="Calibri" w:hAnsi="Calibri" w:cs="Calibri"/>
                <w:spacing w:val="-2"/>
                <w:sz w:val="18"/>
                <w:szCs w:val="18"/>
              </w:rPr>
              <w:t xml:space="preserve"> </w:t>
            </w:r>
            <w:r>
              <w:rPr>
                <w:rFonts w:ascii="Calibri" w:eastAsia="Calibri" w:hAnsi="Calibri" w:cs="Calibri"/>
                <w:sz w:val="18"/>
                <w:szCs w:val="18"/>
              </w:rPr>
              <w:t>PPL</w:t>
            </w:r>
            <w:r>
              <w:rPr>
                <w:rFonts w:ascii="Calibri" w:eastAsia="Calibri" w:hAnsi="Calibri" w:cs="Calibri"/>
                <w:spacing w:val="-2"/>
                <w:sz w:val="18"/>
                <w:szCs w:val="18"/>
              </w:rPr>
              <w:t xml:space="preserve"> </w:t>
            </w:r>
            <w:r>
              <w:rPr>
                <w:rFonts w:ascii="Calibri" w:eastAsia="Calibri" w:hAnsi="Calibri" w:cs="Calibri"/>
                <w:spacing w:val="-1"/>
                <w:sz w:val="18"/>
                <w:szCs w:val="18"/>
              </w:rPr>
              <w:t>will</w:t>
            </w:r>
            <w:r>
              <w:rPr>
                <w:rFonts w:ascii="Calibri" w:eastAsia="Calibri" w:hAnsi="Calibri" w:cs="Calibri"/>
                <w:spacing w:val="45"/>
                <w:sz w:val="18"/>
                <w:szCs w:val="18"/>
              </w:rPr>
              <w:t xml:space="preserve"> </w:t>
            </w:r>
            <w:r>
              <w:rPr>
                <w:rFonts w:ascii="Calibri" w:eastAsia="Calibri" w:hAnsi="Calibri" w:cs="Calibri"/>
                <w:spacing w:val="-1"/>
                <w:sz w:val="18"/>
                <w:szCs w:val="18"/>
              </w:rPr>
              <w:t>continually</w:t>
            </w:r>
            <w:r>
              <w:rPr>
                <w:rFonts w:ascii="Calibri" w:eastAsia="Calibri" w:hAnsi="Calibri" w:cs="Calibri"/>
                <w:spacing w:val="-2"/>
                <w:sz w:val="18"/>
                <w:szCs w:val="18"/>
              </w:rPr>
              <w:t xml:space="preserve"> </w:t>
            </w:r>
            <w:r>
              <w:rPr>
                <w:rFonts w:ascii="Calibri" w:eastAsia="Calibri" w:hAnsi="Calibri" w:cs="Calibri"/>
                <w:sz w:val="18"/>
                <w:szCs w:val="18"/>
              </w:rPr>
              <w:t>look</w:t>
            </w:r>
            <w:r>
              <w:rPr>
                <w:rFonts w:ascii="Calibri" w:eastAsia="Calibri" w:hAnsi="Calibri" w:cs="Calibri"/>
                <w:spacing w:val="-2"/>
                <w:sz w:val="18"/>
                <w:szCs w:val="18"/>
              </w:rPr>
              <w:t xml:space="preserve"> </w:t>
            </w:r>
            <w:r>
              <w:rPr>
                <w:rFonts w:ascii="Calibri" w:eastAsia="Calibri" w:hAnsi="Calibri" w:cs="Calibri"/>
                <w:sz w:val="18"/>
                <w:szCs w:val="18"/>
              </w:rPr>
              <w:t>to</w:t>
            </w:r>
            <w:r>
              <w:rPr>
                <w:rFonts w:ascii="Calibri" w:eastAsia="Calibri" w:hAnsi="Calibri" w:cs="Calibri"/>
                <w:spacing w:val="-2"/>
                <w:sz w:val="18"/>
                <w:szCs w:val="18"/>
              </w:rPr>
              <w:t xml:space="preserve"> </w:t>
            </w:r>
            <w:r>
              <w:rPr>
                <w:rFonts w:ascii="Calibri" w:eastAsia="Calibri" w:hAnsi="Calibri" w:cs="Calibri"/>
                <w:spacing w:val="-1"/>
                <w:sz w:val="18"/>
                <w:szCs w:val="18"/>
              </w:rPr>
              <w:t>improve</w:t>
            </w:r>
            <w:r>
              <w:rPr>
                <w:rFonts w:ascii="Calibri" w:eastAsia="Calibri" w:hAnsi="Calibri" w:cs="Calibri"/>
                <w:spacing w:val="-3"/>
                <w:sz w:val="18"/>
                <w:szCs w:val="18"/>
              </w:rPr>
              <w:t xml:space="preserve"> </w:t>
            </w:r>
            <w:r>
              <w:rPr>
                <w:rFonts w:ascii="Calibri" w:eastAsia="Calibri" w:hAnsi="Calibri" w:cs="Calibri"/>
                <w:spacing w:val="-1"/>
                <w:sz w:val="18"/>
                <w:szCs w:val="18"/>
              </w:rPr>
              <w:t xml:space="preserve">the </w:t>
            </w:r>
            <w:r>
              <w:rPr>
                <w:rFonts w:ascii="Calibri" w:eastAsia="Calibri" w:hAnsi="Calibri" w:cs="Calibri"/>
                <w:sz w:val="18"/>
                <w:szCs w:val="18"/>
              </w:rPr>
              <w:t>NTGR</w:t>
            </w:r>
            <w:r>
              <w:rPr>
                <w:rFonts w:ascii="Calibri" w:eastAsia="Calibri" w:hAnsi="Calibri" w:cs="Calibri"/>
                <w:spacing w:val="-2"/>
                <w:sz w:val="18"/>
                <w:szCs w:val="18"/>
              </w:rPr>
              <w:t xml:space="preserve"> </w:t>
            </w:r>
            <w:r>
              <w:rPr>
                <w:rFonts w:ascii="Calibri" w:eastAsia="Calibri" w:hAnsi="Calibri" w:cs="Calibri"/>
                <w:spacing w:val="-1"/>
                <w:sz w:val="18"/>
                <w:szCs w:val="18"/>
              </w:rPr>
              <w:t>where</w:t>
            </w:r>
            <w:r>
              <w:rPr>
                <w:rFonts w:ascii="Calibri" w:eastAsia="Calibri" w:hAnsi="Calibri" w:cs="Calibri"/>
                <w:spacing w:val="-4"/>
                <w:sz w:val="18"/>
                <w:szCs w:val="18"/>
              </w:rPr>
              <w:t xml:space="preserve"> </w:t>
            </w:r>
            <w:r>
              <w:rPr>
                <w:rFonts w:ascii="Calibri" w:eastAsia="Calibri" w:hAnsi="Calibri" w:cs="Calibri"/>
                <w:spacing w:val="-1"/>
                <w:sz w:val="18"/>
                <w:szCs w:val="18"/>
              </w:rPr>
              <w:t>possible</w:t>
            </w:r>
            <w:r>
              <w:rPr>
                <w:rFonts w:ascii="Calibri" w:eastAsia="Calibri" w:hAnsi="Calibri" w:cs="Calibri"/>
                <w:spacing w:val="-3"/>
                <w:sz w:val="18"/>
                <w:szCs w:val="18"/>
              </w:rPr>
              <w:t xml:space="preserve"> </w:t>
            </w:r>
            <w:r>
              <w:rPr>
                <w:rFonts w:ascii="Calibri" w:eastAsia="Calibri" w:hAnsi="Calibri" w:cs="Calibri"/>
                <w:spacing w:val="-1"/>
                <w:sz w:val="18"/>
                <w:szCs w:val="18"/>
              </w:rPr>
              <w:t>within</w:t>
            </w:r>
            <w:r>
              <w:rPr>
                <w:rFonts w:ascii="Calibri" w:eastAsia="Calibri" w:hAnsi="Calibri" w:cs="Calibri"/>
                <w:spacing w:val="49"/>
                <w:sz w:val="18"/>
                <w:szCs w:val="18"/>
              </w:rPr>
              <w:t xml:space="preserve"> </w:t>
            </w:r>
            <w:r>
              <w:rPr>
                <w:rFonts w:ascii="Calibri" w:eastAsia="Calibri" w:hAnsi="Calibri" w:cs="Calibri"/>
                <w:spacing w:val="-1"/>
                <w:sz w:val="18"/>
                <w:szCs w:val="18"/>
              </w:rPr>
              <w:t>program</w:t>
            </w:r>
            <w:r>
              <w:rPr>
                <w:rFonts w:ascii="Calibri" w:eastAsia="Calibri" w:hAnsi="Calibri" w:cs="Calibri"/>
                <w:spacing w:val="-3"/>
                <w:sz w:val="18"/>
                <w:szCs w:val="18"/>
              </w:rPr>
              <w:t xml:space="preserve"> </w:t>
            </w:r>
            <w:r>
              <w:rPr>
                <w:rFonts w:ascii="Calibri" w:eastAsia="Calibri" w:hAnsi="Calibri" w:cs="Calibri"/>
                <w:spacing w:val="-1"/>
                <w:sz w:val="18"/>
                <w:szCs w:val="18"/>
              </w:rPr>
              <w:t>budget</w:t>
            </w:r>
            <w:r>
              <w:rPr>
                <w:rFonts w:ascii="Calibri" w:eastAsia="Calibri" w:hAnsi="Calibri" w:cs="Calibri"/>
                <w:spacing w:val="-2"/>
                <w:sz w:val="18"/>
                <w:szCs w:val="18"/>
              </w:rPr>
              <w:t xml:space="preserve"> </w:t>
            </w:r>
            <w:r>
              <w:rPr>
                <w:rFonts w:ascii="Calibri" w:eastAsia="Calibri" w:hAnsi="Calibri" w:cs="Calibri"/>
                <w:sz w:val="18"/>
                <w:szCs w:val="18"/>
              </w:rPr>
              <w:t>constraints</w:t>
            </w:r>
            <w:r>
              <w:rPr>
                <w:rFonts w:ascii="Calibri" w:eastAsia="Calibri" w:hAnsi="Calibri" w:cs="Calibri"/>
                <w:spacing w:val="-2"/>
                <w:sz w:val="18"/>
                <w:szCs w:val="18"/>
              </w:rPr>
              <w:t xml:space="preserve"> </w:t>
            </w:r>
            <w:r>
              <w:rPr>
                <w:rFonts w:ascii="Calibri" w:eastAsia="Calibri" w:hAnsi="Calibri" w:cs="Calibri"/>
                <w:spacing w:val="-1"/>
                <w:sz w:val="18"/>
                <w:szCs w:val="18"/>
              </w:rPr>
              <w:t>(i.e.</w:t>
            </w:r>
            <w:r>
              <w:rPr>
                <w:rFonts w:ascii="Calibri" w:eastAsia="Calibri" w:hAnsi="Calibri" w:cs="Calibri"/>
                <w:sz w:val="18"/>
                <w:szCs w:val="18"/>
              </w:rPr>
              <w:t xml:space="preserve"> </w:t>
            </w:r>
            <w:r>
              <w:rPr>
                <w:rFonts w:ascii="Calibri" w:eastAsia="Calibri" w:hAnsi="Calibri" w:cs="Calibri"/>
                <w:spacing w:val="-1"/>
                <w:sz w:val="18"/>
                <w:szCs w:val="18"/>
              </w:rPr>
              <w:t>ensure</w:t>
            </w:r>
            <w:r>
              <w:rPr>
                <w:rFonts w:ascii="Calibri" w:eastAsia="Calibri" w:hAnsi="Calibri" w:cs="Calibri"/>
                <w:spacing w:val="-4"/>
                <w:sz w:val="18"/>
                <w:szCs w:val="18"/>
              </w:rPr>
              <w:t xml:space="preserve"> </w:t>
            </w:r>
            <w:r>
              <w:rPr>
                <w:rFonts w:ascii="Calibri" w:eastAsia="Calibri" w:hAnsi="Calibri" w:cs="Calibri"/>
                <w:sz w:val="18"/>
                <w:szCs w:val="18"/>
              </w:rPr>
              <w:t xml:space="preserve">PPL </w:t>
            </w:r>
            <w:r>
              <w:rPr>
                <w:rFonts w:ascii="Calibri" w:eastAsia="Calibri" w:hAnsi="Calibri" w:cs="Calibri"/>
                <w:spacing w:val="-1"/>
                <w:sz w:val="18"/>
                <w:szCs w:val="18"/>
              </w:rPr>
              <w:t>hits</w:t>
            </w:r>
            <w:r>
              <w:rPr>
                <w:rFonts w:ascii="Calibri" w:eastAsia="Calibri" w:hAnsi="Calibri" w:cs="Calibri"/>
                <w:spacing w:val="-4"/>
                <w:sz w:val="18"/>
                <w:szCs w:val="18"/>
              </w:rPr>
              <w:t xml:space="preserve"> </w:t>
            </w:r>
            <w:r>
              <w:rPr>
                <w:rFonts w:ascii="Calibri" w:eastAsia="Calibri" w:hAnsi="Calibri" w:cs="Calibri"/>
                <w:sz w:val="18"/>
                <w:szCs w:val="18"/>
              </w:rPr>
              <w:t>its</w:t>
            </w:r>
            <w:r>
              <w:rPr>
                <w:rFonts w:ascii="Calibri" w:eastAsia="Calibri" w:hAnsi="Calibri" w:cs="Calibri"/>
                <w:spacing w:val="-3"/>
                <w:sz w:val="18"/>
                <w:szCs w:val="18"/>
              </w:rPr>
              <w:t xml:space="preserve"> </w:t>
            </w:r>
            <w:r>
              <w:rPr>
                <w:rFonts w:ascii="Calibri" w:eastAsia="Calibri" w:hAnsi="Calibri" w:cs="Calibri"/>
                <w:spacing w:val="-1"/>
                <w:sz w:val="18"/>
                <w:szCs w:val="18"/>
              </w:rPr>
              <w:t>savings</w:t>
            </w:r>
            <w:r>
              <w:rPr>
                <w:rFonts w:ascii="Calibri" w:eastAsia="Calibri" w:hAnsi="Calibri" w:cs="Calibri"/>
                <w:spacing w:val="49"/>
                <w:sz w:val="18"/>
                <w:szCs w:val="18"/>
              </w:rPr>
              <w:t xml:space="preserve"> </w:t>
            </w:r>
            <w:r>
              <w:rPr>
                <w:rFonts w:ascii="Calibri" w:eastAsia="Calibri" w:hAnsi="Calibri" w:cs="Calibri"/>
                <w:spacing w:val="-1"/>
                <w:sz w:val="18"/>
                <w:szCs w:val="18"/>
              </w:rPr>
              <w:t>targets</w:t>
            </w:r>
            <w:r>
              <w:rPr>
                <w:rFonts w:ascii="Calibri" w:eastAsia="Calibri" w:hAnsi="Calibri" w:cs="Calibri"/>
                <w:spacing w:val="-2"/>
                <w:sz w:val="18"/>
                <w:szCs w:val="18"/>
              </w:rPr>
              <w:t xml:space="preserve"> </w:t>
            </w:r>
            <w:r>
              <w:rPr>
                <w:rFonts w:ascii="Calibri" w:eastAsia="Calibri" w:hAnsi="Calibri" w:cs="Calibri"/>
                <w:spacing w:val="-1"/>
                <w:sz w:val="18"/>
                <w:szCs w:val="18"/>
              </w:rPr>
              <w:t xml:space="preserve">within </w:t>
            </w:r>
            <w:r>
              <w:rPr>
                <w:rFonts w:ascii="Calibri" w:eastAsia="Calibri" w:hAnsi="Calibri" w:cs="Calibri"/>
                <w:sz w:val="18"/>
                <w:szCs w:val="18"/>
              </w:rPr>
              <w:t>the</w:t>
            </w:r>
            <w:r>
              <w:rPr>
                <w:rFonts w:ascii="Calibri" w:eastAsia="Calibri" w:hAnsi="Calibri" w:cs="Calibri"/>
                <w:spacing w:val="-1"/>
                <w:sz w:val="18"/>
                <w:szCs w:val="18"/>
              </w:rPr>
              <w:t xml:space="preserve"> </w:t>
            </w:r>
            <w:r>
              <w:rPr>
                <w:rFonts w:ascii="Calibri" w:eastAsia="Calibri" w:hAnsi="Calibri" w:cs="Calibri"/>
                <w:sz w:val="18"/>
                <w:szCs w:val="18"/>
              </w:rPr>
              <w:t xml:space="preserve">program’s cost </w:t>
            </w:r>
            <w:r>
              <w:rPr>
                <w:rFonts w:ascii="Calibri" w:eastAsia="Calibri" w:hAnsi="Calibri" w:cs="Calibri"/>
                <w:spacing w:val="-1"/>
                <w:sz w:val="18"/>
                <w:szCs w:val="18"/>
              </w:rPr>
              <w:t>budget).</w:t>
            </w:r>
          </w:p>
        </w:tc>
      </w:tr>
      <w:tr w:rsidR="00E646C9" w:rsidTr="00C3558F">
        <w:trPr>
          <w:trHeight w:hRule="exact" w:val="1279"/>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line="276" w:lineRule="auto"/>
              <w:ind w:left="97" w:right="115"/>
              <w:rPr>
                <w:rFonts w:ascii="Calibri" w:eastAsia="Calibri" w:hAnsi="Calibri" w:cs="Calibri"/>
                <w:sz w:val="18"/>
                <w:szCs w:val="18"/>
              </w:rPr>
            </w:pPr>
            <w:r>
              <w:rPr>
                <w:rFonts w:ascii="Calibri"/>
                <w:spacing w:val="-1"/>
                <w:sz w:val="18"/>
              </w:rPr>
              <w:t>Upstream</w:t>
            </w:r>
            <w:r>
              <w:rPr>
                <w:rFonts w:ascii="Calibri"/>
                <w:spacing w:val="-3"/>
                <w:sz w:val="18"/>
              </w:rPr>
              <w:t xml:space="preserve"> </w:t>
            </w:r>
            <w:r>
              <w:rPr>
                <w:rFonts w:ascii="Calibri"/>
                <w:spacing w:val="-1"/>
                <w:sz w:val="18"/>
              </w:rPr>
              <w:t>Lighting--Work</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z w:val="18"/>
              </w:rPr>
              <w:t>the</w:t>
            </w:r>
            <w:r>
              <w:rPr>
                <w:rFonts w:ascii="Calibri"/>
                <w:spacing w:val="-4"/>
                <w:sz w:val="18"/>
              </w:rPr>
              <w:t xml:space="preserve"> </w:t>
            </w:r>
            <w:r>
              <w:rPr>
                <w:rFonts w:ascii="Calibri"/>
                <w:spacing w:val="-1"/>
                <w:sz w:val="18"/>
              </w:rPr>
              <w:t>ICSP</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identify</w:t>
            </w:r>
            <w:r>
              <w:rPr>
                <w:rFonts w:ascii="Calibri"/>
                <w:spacing w:val="52"/>
                <w:w w:val="99"/>
                <w:sz w:val="18"/>
              </w:rPr>
              <w:t xml:space="preserve"> </w:t>
            </w:r>
            <w:r>
              <w:rPr>
                <w:rFonts w:ascii="Calibri"/>
                <w:spacing w:val="-1"/>
                <w:sz w:val="18"/>
              </w:rPr>
              <w:t>opportunities</w:t>
            </w:r>
            <w:r>
              <w:rPr>
                <w:rFonts w:ascii="Calibri"/>
                <w:spacing w:val="-4"/>
                <w:sz w:val="18"/>
              </w:rPr>
              <w:t xml:space="preserve"> </w:t>
            </w:r>
            <w:r>
              <w:rPr>
                <w:rFonts w:ascii="Calibri"/>
                <w:sz w:val="18"/>
              </w:rPr>
              <w:t>to</w:t>
            </w:r>
            <w:r>
              <w:rPr>
                <w:rFonts w:ascii="Calibri"/>
                <w:spacing w:val="-4"/>
                <w:sz w:val="18"/>
              </w:rPr>
              <w:t xml:space="preserve"> </w:t>
            </w:r>
            <w:r>
              <w:rPr>
                <w:rFonts w:ascii="Calibri"/>
                <w:spacing w:val="-1"/>
                <w:sz w:val="18"/>
              </w:rPr>
              <w:t>increase</w:t>
            </w:r>
            <w:r>
              <w:rPr>
                <w:rFonts w:ascii="Calibri"/>
                <w:spacing w:val="-3"/>
                <w:sz w:val="18"/>
              </w:rPr>
              <w:t xml:space="preserve"> </w:t>
            </w:r>
            <w:r>
              <w:rPr>
                <w:rFonts w:ascii="Calibri"/>
                <w:sz w:val="18"/>
              </w:rPr>
              <w:t>variation</w:t>
            </w:r>
            <w:r>
              <w:rPr>
                <w:rFonts w:ascii="Calibri"/>
                <w:spacing w:val="-4"/>
                <w:sz w:val="18"/>
              </w:rPr>
              <w:t xml:space="preserve"> </w:t>
            </w:r>
            <w:r>
              <w:rPr>
                <w:rFonts w:ascii="Calibri"/>
                <w:sz w:val="18"/>
              </w:rPr>
              <w:t>in</w:t>
            </w:r>
            <w:r>
              <w:rPr>
                <w:rFonts w:ascii="Calibri"/>
                <w:spacing w:val="-5"/>
                <w:sz w:val="18"/>
              </w:rPr>
              <w:t xml:space="preserve"> </w:t>
            </w:r>
            <w:r>
              <w:rPr>
                <w:rFonts w:ascii="Calibri"/>
                <w:sz w:val="18"/>
              </w:rPr>
              <w:t>program</w:t>
            </w:r>
            <w:r>
              <w:rPr>
                <w:rFonts w:ascii="Calibri"/>
                <w:spacing w:val="-4"/>
                <w:sz w:val="18"/>
              </w:rPr>
              <w:t xml:space="preserve"> </w:t>
            </w:r>
            <w:r>
              <w:rPr>
                <w:rFonts w:ascii="Calibri"/>
                <w:spacing w:val="-1"/>
                <w:sz w:val="18"/>
              </w:rPr>
              <w:t>activity</w:t>
            </w:r>
            <w:r>
              <w:rPr>
                <w:rFonts w:ascii="Calibri"/>
                <w:spacing w:val="37"/>
                <w:w w:val="99"/>
                <w:sz w:val="18"/>
              </w:rPr>
              <w:t xml:space="preserve"> </w:t>
            </w:r>
            <w:r>
              <w:rPr>
                <w:rFonts w:ascii="Calibri"/>
                <w:spacing w:val="-1"/>
                <w:sz w:val="18"/>
              </w:rPr>
              <w:t>specifically</w:t>
            </w:r>
            <w:r>
              <w:rPr>
                <w:rFonts w:ascii="Calibri"/>
                <w:spacing w:val="-4"/>
                <w:sz w:val="18"/>
              </w:rPr>
              <w:t xml:space="preserve"> </w:t>
            </w:r>
            <w:r>
              <w:rPr>
                <w:rFonts w:ascii="Calibri"/>
                <w:spacing w:val="-1"/>
                <w:sz w:val="18"/>
              </w:rPr>
              <w:t>within</w:t>
            </w:r>
            <w:r>
              <w:rPr>
                <w:rFonts w:ascii="Calibri"/>
                <w:spacing w:val="-4"/>
                <w:sz w:val="18"/>
              </w:rPr>
              <w:t xml:space="preserve"> </w:t>
            </w:r>
            <w:r>
              <w:rPr>
                <w:rFonts w:ascii="Calibri"/>
                <w:spacing w:val="-1"/>
                <w:sz w:val="18"/>
              </w:rPr>
              <w:t>hard-to-reach</w:t>
            </w:r>
            <w:r>
              <w:rPr>
                <w:rFonts w:ascii="Calibri"/>
                <w:spacing w:val="-4"/>
                <w:sz w:val="18"/>
              </w:rPr>
              <w:t xml:space="preserve"> </w:t>
            </w:r>
            <w:r>
              <w:rPr>
                <w:rFonts w:ascii="Calibri"/>
                <w:spacing w:val="-1"/>
                <w:sz w:val="18"/>
              </w:rPr>
              <w:t>retailers,</w:t>
            </w:r>
            <w:r>
              <w:rPr>
                <w:rFonts w:ascii="Calibri"/>
                <w:spacing w:val="-3"/>
                <w:sz w:val="18"/>
              </w:rPr>
              <w:t xml:space="preserve"> </w:t>
            </w:r>
            <w:r>
              <w:rPr>
                <w:rFonts w:ascii="Calibri"/>
                <w:spacing w:val="-1"/>
                <w:sz w:val="18"/>
              </w:rPr>
              <w:t>by</w:t>
            </w:r>
            <w:r>
              <w:rPr>
                <w:rFonts w:ascii="Calibri"/>
                <w:spacing w:val="-3"/>
                <w:sz w:val="18"/>
              </w:rPr>
              <w:t xml:space="preserve"> </w:t>
            </w:r>
            <w:r w:rsidR="0011636D">
              <w:rPr>
                <w:rFonts w:ascii="Calibri"/>
                <w:spacing w:val="-1"/>
                <w:sz w:val="18"/>
              </w:rPr>
              <w:t>introducing</w:t>
            </w:r>
            <w:r w:rsidR="0011636D">
              <w:rPr>
                <w:rFonts w:ascii="Calibri"/>
                <w:w w:val="99"/>
                <w:sz w:val="18"/>
              </w:rPr>
              <w:t xml:space="preserve"> </w:t>
            </w:r>
            <w:r w:rsidR="0011636D">
              <w:rPr>
                <w:rFonts w:ascii="Calibri"/>
                <w:spacing w:val="65"/>
                <w:w w:val="99"/>
                <w:sz w:val="18"/>
              </w:rPr>
              <w:t>new</w:t>
            </w:r>
            <w:r>
              <w:rPr>
                <w:rFonts w:ascii="Calibri"/>
                <w:spacing w:val="-2"/>
                <w:sz w:val="18"/>
              </w:rPr>
              <w:t xml:space="preserve"> </w:t>
            </w:r>
            <w:r>
              <w:rPr>
                <w:rFonts w:ascii="Calibri"/>
                <w:spacing w:val="-1"/>
                <w:sz w:val="18"/>
              </w:rPr>
              <w:t>products</w:t>
            </w:r>
            <w:r>
              <w:rPr>
                <w:rFonts w:ascii="Calibri"/>
                <w:spacing w:val="-4"/>
                <w:sz w:val="18"/>
              </w:rPr>
              <w:t xml:space="preserve"> </w:t>
            </w:r>
            <w:r>
              <w:rPr>
                <w:rFonts w:ascii="Calibri"/>
                <w:sz w:val="18"/>
              </w:rPr>
              <w:t>with</w:t>
            </w:r>
            <w:r>
              <w:rPr>
                <w:rFonts w:ascii="Calibri"/>
                <w:spacing w:val="-3"/>
                <w:sz w:val="18"/>
              </w:rPr>
              <w:t xml:space="preserve"> </w:t>
            </w:r>
            <w:r>
              <w:rPr>
                <w:rFonts w:ascii="Calibri"/>
                <w:spacing w:val="-1"/>
                <w:sz w:val="18"/>
              </w:rPr>
              <w:t>lower</w:t>
            </w:r>
            <w:r>
              <w:rPr>
                <w:rFonts w:ascii="Calibri"/>
                <w:spacing w:val="-2"/>
                <w:sz w:val="18"/>
              </w:rPr>
              <w:t xml:space="preserve"> </w:t>
            </w:r>
            <w:r>
              <w:rPr>
                <w:rFonts w:ascii="Calibri"/>
                <w:spacing w:val="-1"/>
                <w:sz w:val="18"/>
              </w:rPr>
              <w:t>price points,</w:t>
            </w:r>
            <w:r>
              <w:rPr>
                <w:rFonts w:ascii="Calibri"/>
                <w:spacing w:val="-2"/>
                <w:sz w:val="18"/>
              </w:rPr>
              <w:t xml:space="preserve"> </w:t>
            </w:r>
            <w:r>
              <w:rPr>
                <w:rFonts w:ascii="Calibri"/>
                <w:spacing w:val="-1"/>
                <w:sz w:val="18"/>
              </w:rPr>
              <w:t>special</w:t>
            </w:r>
            <w:r>
              <w:rPr>
                <w:rFonts w:ascii="Calibri"/>
                <w:sz w:val="18"/>
              </w:rPr>
              <w:t xml:space="preserve"> </w:t>
            </w:r>
            <w:r>
              <w:rPr>
                <w:rFonts w:ascii="Calibri"/>
                <w:spacing w:val="-1"/>
                <w:sz w:val="18"/>
              </w:rPr>
              <w:t>promotions,</w:t>
            </w:r>
            <w:r>
              <w:rPr>
                <w:rFonts w:ascii="Calibri"/>
                <w:spacing w:val="-2"/>
                <w:sz w:val="18"/>
              </w:rPr>
              <w:t xml:space="preserve"> </w:t>
            </w:r>
            <w:r>
              <w:rPr>
                <w:rFonts w:ascii="Calibri"/>
                <w:sz w:val="18"/>
              </w:rPr>
              <w:t>or</w:t>
            </w:r>
            <w:r>
              <w:rPr>
                <w:rFonts w:ascii="Calibri"/>
                <w:spacing w:val="59"/>
                <w:w w:val="99"/>
                <w:sz w:val="18"/>
              </w:rPr>
              <w:t xml:space="preserve"> </w:t>
            </w:r>
            <w:r>
              <w:rPr>
                <w:rFonts w:ascii="Calibri"/>
                <w:spacing w:val="-1"/>
                <w:sz w:val="18"/>
              </w:rPr>
              <w:t>pricing</w:t>
            </w:r>
            <w:r>
              <w:rPr>
                <w:rFonts w:ascii="Calibri"/>
                <w:spacing w:val="-2"/>
                <w:sz w:val="18"/>
              </w:rPr>
              <w:t xml:space="preserve"> </w:t>
            </w:r>
            <w:r>
              <w:rPr>
                <w:rFonts w:ascii="Calibri"/>
                <w:spacing w:val="-1"/>
                <w:sz w:val="18"/>
              </w:rPr>
              <w:t>experiments,</w:t>
            </w:r>
            <w:r>
              <w:rPr>
                <w:rFonts w:ascii="Calibri"/>
                <w:spacing w:val="-2"/>
                <w:sz w:val="18"/>
              </w:rPr>
              <w:t xml:space="preserve"> </w:t>
            </w:r>
            <w:r>
              <w:rPr>
                <w:rFonts w:ascii="Calibri"/>
                <w:spacing w:val="-1"/>
                <w:sz w:val="18"/>
              </w:rPr>
              <w:t>if possible.</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1279"/>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spacing w:line="276" w:lineRule="auto"/>
              <w:ind w:left="97" w:right="284"/>
              <w:rPr>
                <w:rFonts w:ascii="Calibri" w:eastAsia="Calibri" w:hAnsi="Calibri" w:cs="Calibri"/>
                <w:sz w:val="18"/>
                <w:szCs w:val="18"/>
              </w:rPr>
            </w:pPr>
            <w:r>
              <w:rPr>
                <w:rFonts w:ascii="Calibri"/>
                <w:spacing w:val="-1"/>
                <w:sz w:val="18"/>
              </w:rPr>
              <w:t>Upstream</w:t>
            </w:r>
            <w:r>
              <w:rPr>
                <w:rFonts w:ascii="Calibri"/>
                <w:spacing w:val="-5"/>
                <w:sz w:val="18"/>
              </w:rPr>
              <w:t xml:space="preserve"> </w:t>
            </w:r>
            <w:r>
              <w:rPr>
                <w:rFonts w:ascii="Calibri"/>
                <w:spacing w:val="-1"/>
                <w:sz w:val="18"/>
              </w:rPr>
              <w:t>Lighting--Watch</w:t>
            </w:r>
            <w:r>
              <w:rPr>
                <w:rFonts w:ascii="Calibri"/>
                <w:spacing w:val="-5"/>
                <w:sz w:val="18"/>
              </w:rPr>
              <w:t xml:space="preserve"> </w:t>
            </w:r>
            <w:r>
              <w:rPr>
                <w:rFonts w:ascii="Calibri"/>
                <w:sz w:val="18"/>
              </w:rPr>
              <w:t>market</w:t>
            </w:r>
            <w:r>
              <w:rPr>
                <w:rFonts w:ascii="Calibri"/>
                <w:spacing w:val="-5"/>
                <w:sz w:val="18"/>
              </w:rPr>
              <w:t xml:space="preserve"> </w:t>
            </w:r>
            <w:r>
              <w:rPr>
                <w:rFonts w:ascii="Calibri"/>
                <w:spacing w:val="-1"/>
                <w:sz w:val="18"/>
              </w:rPr>
              <w:t>trends</w:t>
            </w:r>
            <w:r>
              <w:rPr>
                <w:rFonts w:ascii="Calibri"/>
                <w:spacing w:val="-5"/>
                <w:sz w:val="18"/>
              </w:rPr>
              <w:t xml:space="preserve"> </w:t>
            </w:r>
            <w:r>
              <w:rPr>
                <w:rFonts w:ascii="Calibri"/>
                <w:sz w:val="18"/>
              </w:rPr>
              <w:t>and</w:t>
            </w:r>
            <w:r>
              <w:rPr>
                <w:rFonts w:ascii="Calibri"/>
                <w:spacing w:val="-5"/>
                <w:sz w:val="18"/>
              </w:rPr>
              <w:t xml:space="preserve"> </w:t>
            </w:r>
            <w:r>
              <w:rPr>
                <w:rFonts w:ascii="Calibri"/>
                <w:spacing w:val="-1"/>
                <w:sz w:val="18"/>
              </w:rPr>
              <w:t>purchasing</w:t>
            </w:r>
            <w:r>
              <w:rPr>
                <w:rFonts w:ascii="Calibri"/>
                <w:spacing w:val="63"/>
                <w:w w:val="99"/>
                <w:sz w:val="18"/>
              </w:rPr>
              <w:t xml:space="preserve"> </w:t>
            </w:r>
            <w:r>
              <w:rPr>
                <w:rFonts w:ascii="Calibri"/>
                <w:spacing w:val="-1"/>
                <w:sz w:val="18"/>
              </w:rPr>
              <w:t>patterns</w:t>
            </w:r>
            <w:r>
              <w:rPr>
                <w:rFonts w:ascii="Calibri"/>
                <w:spacing w:val="-3"/>
                <w:sz w:val="18"/>
              </w:rPr>
              <w:t xml:space="preserve"> </w:t>
            </w:r>
            <w:r>
              <w:rPr>
                <w:rFonts w:ascii="Calibri"/>
                <w:sz w:val="18"/>
              </w:rPr>
              <w:t>during</w:t>
            </w:r>
            <w:r>
              <w:rPr>
                <w:rFonts w:ascii="Calibri"/>
                <w:spacing w:val="-2"/>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1"/>
                <w:sz w:val="18"/>
              </w:rPr>
              <w:t xml:space="preserve"> This includes</w:t>
            </w:r>
            <w:r>
              <w:rPr>
                <w:rFonts w:ascii="Calibri"/>
                <w:spacing w:val="-2"/>
                <w:sz w:val="18"/>
              </w:rPr>
              <w:t xml:space="preserve"> </w:t>
            </w:r>
            <w:r>
              <w:rPr>
                <w:rFonts w:ascii="Calibri"/>
                <w:spacing w:val="-1"/>
                <w:sz w:val="18"/>
              </w:rPr>
              <w:t>monitoring</w:t>
            </w:r>
            <w:r>
              <w:rPr>
                <w:rFonts w:ascii="Calibri"/>
                <w:sz w:val="18"/>
              </w:rPr>
              <w:t xml:space="preserve"> </w:t>
            </w:r>
            <w:r>
              <w:rPr>
                <w:rFonts w:ascii="Calibri"/>
                <w:spacing w:val="-1"/>
                <w:sz w:val="18"/>
              </w:rPr>
              <w:t>the</w:t>
            </w:r>
            <w:r>
              <w:rPr>
                <w:rFonts w:ascii="Calibri"/>
                <w:spacing w:val="49"/>
                <w:w w:val="99"/>
                <w:sz w:val="18"/>
              </w:rPr>
              <w:t xml:space="preserve"> </w:t>
            </w:r>
            <w:r>
              <w:rPr>
                <w:rFonts w:ascii="Calibri"/>
                <w:spacing w:val="-1"/>
                <w:sz w:val="18"/>
              </w:rPr>
              <w:t>pricing</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program</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non-program</w:t>
            </w:r>
            <w:r>
              <w:rPr>
                <w:rFonts w:ascii="Calibri"/>
                <w:spacing w:val="-2"/>
                <w:sz w:val="18"/>
              </w:rPr>
              <w:t xml:space="preserve"> </w:t>
            </w:r>
            <w:r>
              <w:rPr>
                <w:rFonts w:ascii="Calibri"/>
                <w:spacing w:val="-1"/>
                <w:sz w:val="18"/>
              </w:rPr>
              <w:t xml:space="preserve">bulbs, </w:t>
            </w:r>
            <w:r>
              <w:rPr>
                <w:rFonts w:ascii="Calibri"/>
                <w:sz w:val="18"/>
              </w:rPr>
              <w:t>as</w:t>
            </w:r>
            <w:r>
              <w:rPr>
                <w:rFonts w:ascii="Calibri"/>
                <w:spacing w:val="-2"/>
                <w:sz w:val="18"/>
              </w:rPr>
              <w:t xml:space="preserve"> </w:t>
            </w:r>
            <w:r>
              <w:rPr>
                <w:rFonts w:ascii="Calibri"/>
                <w:spacing w:val="-1"/>
                <w:sz w:val="18"/>
              </w:rPr>
              <w:t>well</w:t>
            </w:r>
            <w:r>
              <w:rPr>
                <w:rFonts w:ascii="Calibri"/>
                <w:spacing w:val="-3"/>
                <w:sz w:val="18"/>
              </w:rPr>
              <w:t xml:space="preserve"> </w:t>
            </w:r>
            <w:r>
              <w:rPr>
                <w:rFonts w:ascii="Calibri"/>
                <w:sz w:val="18"/>
              </w:rPr>
              <w:t>as</w:t>
            </w:r>
            <w:r>
              <w:rPr>
                <w:rFonts w:ascii="Calibri"/>
                <w:spacing w:val="49"/>
                <w:sz w:val="18"/>
              </w:rPr>
              <w:t xml:space="preserve"> </w:t>
            </w:r>
            <w:r>
              <w:rPr>
                <w:rFonts w:ascii="Calibri"/>
                <w:spacing w:val="-1"/>
                <w:sz w:val="18"/>
              </w:rPr>
              <w:t>consumer</w:t>
            </w:r>
            <w:r>
              <w:rPr>
                <w:rFonts w:ascii="Calibri"/>
                <w:spacing w:val="-2"/>
                <w:sz w:val="18"/>
              </w:rPr>
              <w:t xml:space="preserve"> </w:t>
            </w:r>
            <w:r>
              <w:rPr>
                <w:rFonts w:ascii="Calibri"/>
                <w:spacing w:val="-1"/>
                <w:sz w:val="18"/>
              </w:rPr>
              <w:t>attitudes</w:t>
            </w:r>
            <w:r>
              <w:rPr>
                <w:rFonts w:ascii="Calibri"/>
                <w:spacing w:val="-3"/>
                <w:sz w:val="18"/>
              </w:rPr>
              <w:t xml:space="preserve"> </w:t>
            </w:r>
            <w:r>
              <w:rPr>
                <w:rFonts w:ascii="Calibri"/>
                <w:spacing w:val="-1"/>
                <w:sz w:val="18"/>
              </w:rPr>
              <w:t>about</w:t>
            </w:r>
            <w:r>
              <w:rPr>
                <w:rFonts w:ascii="Calibri"/>
                <w:spacing w:val="-2"/>
                <w:sz w:val="18"/>
              </w:rPr>
              <w:t xml:space="preserve"> </w:t>
            </w:r>
            <w:r>
              <w:rPr>
                <w:rFonts w:ascii="Calibri"/>
                <w:spacing w:val="-1"/>
                <w:sz w:val="18"/>
              </w:rPr>
              <w:t>quality</w:t>
            </w:r>
            <w:r>
              <w:rPr>
                <w:rFonts w:ascii="Calibri"/>
                <w:sz w:val="18"/>
              </w:rPr>
              <w:t xml:space="preserve"> </w:t>
            </w:r>
            <w:r>
              <w:rPr>
                <w:rFonts w:ascii="Calibri"/>
                <w:spacing w:val="-1"/>
                <w:sz w:val="18"/>
              </w:rPr>
              <w:t>versus price,</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maintain</w:t>
            </w:r>
            <w:r>
              <w:rPr>
                <w:rFonts w:ascii="Calibri"/>
                <w:spacing w:val="69"/>
                <w:sz w:val="18"/>
              </w:rPr>
              <w:t xml:space="preserve"> </w:t>
            </w:r>
            <w:r>
              <w:rPr>
                <w:rFonts w:ascii="Calibri"/>
                <w:spacing w:val="-1"/>
                <w:sz w:val="18"/>
              </w:rPr>
              <w:t>the</w:t>
            </w:r>
            <w:r>
              <w:rPr>
                <w:rFonts w:ascii="Calibri"/>
                <w:spacing w:val="-4"/>
                <w:sz w:val="18"/>
              </w:rPr>
              <w:t xml:space="preserve"> </w:t>
            </w:r>
            <w:r>
              <w:rPr>
                <w:rFonts w:ascii="Calibri"/>
                <w:spacing w:val="-1"/>
                <w:sz w:val="18"/>
              </w:rPr>
              <w:t>impact</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program</w:t>
            </w:r>
            <w:r>
              <w:rPr>
                <w:rFonts w:ascii="Calibri"/>
                <w:spacing w:val="-4"/>
                <w:sz w:val="18"/>
              </w:rPr>
              <w:t xml:space="preserve"> </w:t>
            </w:r>
            <w:r>
              <w:rPr>
                <w:rFonts w:ascii="Calibri"/>
                <w:sz w:val="18"/>
              </w:rPr>
              <w:t>incentives.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293"/>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Market</w:t>
            </w:r>
            <w:r>
              <w:rPr>
                <w:rFonts w:ascii="Calibri"/>
                <w:spacing w:val="-3"/>
                <w:sz w:val="18"/>
              </w:rPr>
              <w:t xml:space="preserve"> </w:t>
            </w:r>
            <w:r>
              <w:rPr>
                <w:rFonts w:ascii="Calibri"/>
                <w:spacing w:val="-1"/>
                <w:sz w:val="18"/>
              </w:rPr>
              <w:t>effects</w:t>
            </w:r>
            <w:r>
              <w:rPr>
                <w:rFonts w:ascii="Calibri"/>
                <w:spacing w:val="-4"/>
                <w:sz w:val="18"/>
              </w:rPr>
              <w:t xml:space="preserve"> </w:t>
            </w:r>
            <w:r>
              <w:rPr>
                <w:rFonts w:ascii="Calibri"/>
                <w:spacing w:val="1"/>
                <w:sz w:val="18"/>
              </w:rPr>
              <w:t>and</w:t>
            </w:r>
            <w:r>
              <w:rPr>
                <w:rFonts w:ascii="Calibri"/>
                <w:spacing w:val="-4"/>
                <w:sz w:val="18"/>
              </w:rPr>
              <w:t xml:space="preserve"> </w:t>
            </w:r>
            <w:r>
              <w:rPr>
                <w:rFonts w:ascii="Calibri"/>
                <w:spacing w:val="-1"/>
                <w:sz w:val="18"/>
              </w:rPr>
              <w:t>saturation</w:t>
            </w:r>
            <w:r>
              <w:rPr>
                <w:rFonts w:ascii="Calibri"/>
                <w:spacing w:val="-3"/>
                <w:sz w:val="18"/>
              </w:rPr>
              <w:t xml:space="preserve"> </w:t>
            </w:r>
            <w:r>
              <w:rPr>
                <w:rFonts w:ascii="Calibri"/>
                <w:spacing w:val="-1"/>
                <w:sz w:val="18"/>
              </w:rPr>
              <w:t>studies</w:t>
            </w:r>
            <w:r>
              <w:rPr>
                <w:rFonts w:ascii="Calibri"/>
                <w:spacing w:val="-4"/>
                <w:sz w:val="18"/>
              </w:rPr>
              <w:t xml:space="preserve"> </w:t>
            </w:r>
            <w:r>
              <w:rPr>
                <w:rFonts w:ascii="Calibri"/>
                <w:sz w:val="18"/>
              </w:rPr>
              <w:t>are</w:t>
            </w:r>
            <w:r>
              <w:rPr>
                <w:rFonts w:ascii="Calibri"/>
                <w:spacing w:val="-3"/>
                <w:sz w:val="18"/>
              </w:rPr>
              <w:t xml:space="preserve"> </w:t>
            </w:r>
            <w:r>
              <w:rPr>
                <w:rFonts w:ascii="Calibri"/>
                <w:sz w:val="18"/>
              </w:rPr>
              <w:t>in</w:t>
            </w:r>
            <w:r>
              <w:rPr>
                <w:rFonts w:ascii="Calibri"/>
                <w:spacing w:val="51"/>
                <w:sz w:val="18"/>
              </w:rPr>
              <w:t xml:space="preserve"> </w:t>
            </w:r>
            <w:r>
              <w:rPr>
                <w:rFonts w:ascii="Calibri"/>
                <w:spacing w:val="-1"/>
                <w:sz w:val="18"/>
              </w:rPr>
              <w:t>progress</w:t>
            </w:r>
            <w:r>
              <w:rPr>
                <w:rFonts w:ascii="Calibri"/>
                <w:spacing w:val="-4"/>
                <w:sz w:val="18"/>
              </w:rPr>
              <w:t xml:space="preserve"> </w:t>
            </w:r>
            <w:r>
              <w:rPr>
                <w:rFonts w:ascii="Calibri"/>
                <w:sz w:val="18"/>
              </w:rPr>
              <w:t>as</w:t>
            </w:r>
            <w:r>
              <w:rPr>
                <w:rFonts w:ascii="Calibri"/>
                <w:spacing w:val="-2"/>
                <w:sz w:val="18"/>
              </w:rPr>
              <w:t xml:space="preserve"> </w:t>
            </w:r>
            <w:r>
              <w:rPr>
                <w:rFonts w:ascii="Calibri"/>
                <w:sz w:val="18"/>
              </w:rPr>
              <w:t>of</w:t>
            </w:r>
            <w:r>
              <w:rPr>
                <w:rFonts w:ascii="Calibri"/>
                <w:spacing w:val="-4"/>
                <w:sz w:val="18"/>
              </w:rPr>
              <w:t xml:space="preserve"> </w:t>
            </w:r>
            <w:r>
              <w:rPr>
                <w:rFonts w:ascii="Calibri"/>
                <w:spacing w:val="-1"/>
                <w:sz w:val="18"/>
              </w:rPr>
              <w:t>October</w:t>
            </w:r>
            <w:r>
              <w:rPr>
                <w:rFonts w:ascii="Calibri"/>
                <w:spacing w:val="-2"/>
                <w:sz w:val="18"/>
              </w:rPr>
              <w:t xml:space="preserve"> </w:t>
            </w:r>
            <w:r>
              <w:rPr>
                <w:rFonts w:ascii="Calibri"/>
                <w:spacing w:val="-1"/>
                <w:sz w:val="18"/>
              </w:rPr>
              <w:t>2016.</w:t>
            </w:r>
          </w:p>
        </w:tc>
      </w:tr>
      <w:tr w:rsidR="00E646C9" w:rsidTr="00C3558F">
        <w:trPr>
          <w:trHeight w:hRule="exact" w:val="773"/>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line="275" w:lineRule="auto"/>
              <w:ind w:left="97" w:right="140"/>
              <w:rPr>
                <w:rFonts w:ascii="Calibri" w:eastAsia="Calibri" w:hAnsi="Calibri" w:cs="Calibri"/>
                <w:sz w:val="18"/>
                <w:szCs w:val="18"/>
              </w:rPr>
            </w:pPr>
            <w:r>
              <w:rPr>
                <w:rFonts w:ascii="Calibri"/>
                <w:spacing w:val="-1"/>
                <w:sz w:val="18"/>
              </w:rPr>
              <w:t>Upstream</w:t>
            </w:r>
            <w:r>
              <w:rPr>
                <w:rFonts w:ascii="Calibri"/>
                <w:spacing w:val="-3"/>
                <w:sz w:val="18"/>
              </w:rPr>
              <w:t xml:space="preserve"> </w:t>
            </w:r>
            <w:r>
              <w:rPr>
                <w:rFonts w:ascii="Calibri"/>
                <w:spacing w:val="-1"/>
                <w:sz w:val="18"/>
              </w:rPr>
              <w:t>Lighting--Consider</w:t>
            </w:r>
            <w:r>
              <w:rPr>
                <w:rFonts w:ascii="Calibri"/>
                <w:spacing w:val="-3"/>
                <w:sz w:val="18"/>
              </w:rPr>
              <w:t xml:space="preserve"> </w:t>
            </w:r>
            <w:r>
              <w:rPr>
                <w:rFonts w:ascii="Calibri"/>
                <w:spacing w:val="-1"/>
                <w:sz w:val="18"/>
              </w:rPr>
              <w:t>bundling</w:t>
            </w:r>
            <w:r>
              <w:rPr>
                <w:rFonts w:ascii="Calibri"/>
                <w:spacing w:val="-4"/>
                <w:sz w:val="18"/>
              </w:rPr>
              <w:t xml:space="preserve"> </w:t>
            </w:r>
            <w:r>
              <w:rPr>
                <w:rFonts w:ascii="Calibri"/>
                <w:spacing w:val="-1"/>
                <w:sz w:val="18"/>
              </w:rPr>
              <w:t>advertising</w:t>
            </w:r>
            <w:r>
              <w:rPr>
                <w:rFonts w:ascii="Calibri"/>
                <w:spacing w:val="-4"/>
                <w:sz w:val="18"/>
              </w:rPr>
              <w:t xml:space="preserve"> </w:t>
            </w:r>
            <w:r>
              <w:rPr>
                <w:rFonts w:ascii="Calibri"/>
                <w:sz w:val="18"/>
              </w:rPr>
              <w:t>of</w:t>
            </w:r>
            <w:r>
              <w:rPr>
                <w:rFonts w:ascii="Calibri"/>
                <w:spacing w:val="-1"/>
                <w:sz w:val="18"/>
              </w:rPr>
              <w:t xml:space="preserve"> CFL</w:t>
            </w:r>
            <w:r>
              <w:rPr>
                <w:rFonts w:ascii="Calibri"/>
                <w:spacing w:val="69"/>
                <w:sz w:val="18"/>
              </w:rPr>
              <w:t xml:space="preserve"> </w:t>
            </w:r>
            <w:r>
              <w:rPr>
                <w:rFonts w:ascii="Calibri"/>
                <w:spacing w:val="-1"/>
                <w:sz w:val="18"/>
              </w:rPr>
              <w:t>recycling</w:t>
            </w:r>
            <w:r>
              <w:rPr>
                <w:rFonts w:ascii="Calibri"/>
                <w:spacing w:val="-3"/>
                <w:sz w:val="18"/>
              </w:rPr>
              <w:t xml:space="preserve"> </w:t>
            </w:r>
            <w:r>
              <w:rPr>
                <w:rFonts w:ascii="Calibri"/>
                <w:sz w:val="18"/>
              </w:rPr>
              <w:t>bin</w:t>
            </w:r>
            <w:r>
              <w:rPr>
                <w:rFonts w:ascii="Calibri"/>
                <w:spacing w:val="-3"/>
                <w:sz w:val="18"/>
              </w:rPr>
              <w:t xml:space="preserve"> </w:t>
            </w:r>
            <w:r>
              <w:rPr>
                <w:rFonts w:ascii="Calibri"/>
                <w:spacing w:val="-1"/>
                <w:sz w:val="18"/>
              </w:rPr>
              <w:t>locations</w:t>
            </w:r>
            <w:r>
              <w:rPr>
                <w:rFonts w:ascii="Calibri"/>
                <w:spacing w:val="-3"/>
                <w:sz w:val="18"/>
              </w:rPr>
              <w:t xml:space="preserve"> </w:t>
            </w:r>
            <w:r>
              <w:rPr>
                <w:rFonts w:ascii="Calibri"/>
                <w:spacing w:val="-1"/>
                <w:sz w:val="18"/>
              </w:rPr>
              <w:t>with</w:t>
            </w:r>
            <w:r>
              <w:rPr>
                <w:rFonts w:ascii="Calibri"/>
                <w:spacing w:val="-3"/>
                <w:sz w:val="18"/>
              </w:rPr>
              <w:t xml:space="preserve"> </w:t>
            </w:r>
            <w:r>
              <w:rPr>
                <w:rFonts w:ascii="Calibri"/>
                <w:sz w:val="18"/>
              </w:rPr>
              <w:t>other</w:t>
            </w:r>
            <w:r>
              <w:rPr>
                <w:rFonts w:ascii="Calibri"/>
                <w:spacing w:val="-1"/>
                <w:sz w:val="18"/>
              </w:rPr>
              <w:t xml:space="preserve"> promotional</w:t>
            </w:r>
            <w:r>
              <w:rPr>
                <w:rFonts w:ascii="Calibri"/>
                <w:spacing w:val="-2"/>
                <w:sz w:val="18"/>
              </w:rPr>
              <w:t xml:space="preserve"> </w:t>
            </w:r>
            <w:r>
              <w:rPr>
                <w:rFonts w:ascii="Calibri"/>
                <w:spacing w:val="-1"/>
                <w:sz w:val="18"/>
              </w:rPr>
              <w:t>materials</w:t>
            </w:r>
            <w:r>
              <w:rPr>
                <w:rFonts w:ascii="Calibri"/>
                <w:spacing w:val="-3"/>
                <w:sz w:val="18"/>
              </w:rPr>
              <w:t xml:space="preserve"> </w:t>
            </w:r>
            <w:r>
              <w:rPr>
                <w:rFonts w:ascii="Calibri"/>
                <w:sz w:val="18"/>
              </w:rPr>
              <w:t>as</w:t>
            </w:r>
            <w:r>
              <w:rPr>
                <w:rFonts w:ascii="Calibri"/>
                <w:spacing w:val="-2"/>
                <w:sz w:val="18"/>
              </w:rPr>
              <w:t xml:space="preserve"> </w:t>
            </w:r>
            <w:r>
              <w:rPr>
                <w:rFonts w:ascii="Calibri"/>
                <w:sz w:val="18"/>
              </w:rPr>
              <w:t>a</w:t>
            </w:r>
            <w:r>
              <w:rPr>
                <w:rFonts w:ascii="Calibri"/>
                <w:spacing w:val="61"/>
                <w:sz w:val="18"/>
              </w:rPr>
              <w:t xml:space="preserve"> </w:t>
            </w:r>
            <w:r>
              <w:rPr>
                <w:rFonts w:ascii="Calibri"/>
                <w:spacing w:val="-1"/>
                <w:sz w:val="18"/>
              </w:rPr>
              <w:t>cost-effective</w:t>
            </w:r>
            <w:r>
              <w:rPr>
                <w:rFonts w:ascii="Calibri"/>
                <w:spacing w:val="-6"/>
                <w:sz w:val="18"/>
              </w:rPr>
              <w:t xml:space="preserve"> </w:t>
            </w:r>
            <w:r>
              <w:rPr>
                <w:rFonts w:ascii="Calibri"/>
                <w:spacing w:val="-1"/>
                <w:sz w:val="18"/>
              </w:rPr>
              <w:t>method</w:t>
            </w:r>
            <w:r>
              <w:rPr>
                <w:rFonts w:ascii="Calibri"/>
                <w:spacing w:val="-5"/>
                <w:sz w:val="18"/>
              </w:rPr>
              <w:t xml:space="preserve"> </w:t>
            </w:r>
            <w:r>
              <w:rPr>
                <w:rFonts w:ascii="Calibri"/>
                <w:sz w:val="18"/>
              </w:rPr>
              <w:t>to</w:t>
            </w:r>
            <w:r>
              <w:rPr>
                <w:rFonts w:ascii="Calibri"/>
                <w:spacing w:val="-4"/>
                <w:sz w:val="18"/>
              </w:rPr>
              <w:t xml:space="preserve"> </w:t>
            </w:r>
            <w:r>
              <w:rPr>
                <w:rFonts w:ascii="Calibri"/>
                <w:spacing w:val="-1"/>
                <w:sz w:val="18"/>
              </w:rPr>
              <w:t>increase</w:t>
            </w:r>
            <w:r>
              <w:rPr>
                <w:rFonts w:ascii="Calibri"/>
                <w:spacing w:val="-5"/>
                <w:sz w:val="18"/>
              </w:rPr>
              <w:t xml:space="preserve"> </w:t>
            </w:r>
            <w:r>
              <w:rPr>
                <w:rFonts w:ascii="Calibri"/>
                <w:sz w:val="18"/>
              </w:rPr>
              <w:t>awareness.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bl>
    <w:p w:rsidR="00E646C9" w:rsidRPr="00130312" w:rsidRDefault="00E646C9" w:rsidP="00E646C9"/>
    <w:p w:rsidR="00E646C9" w:rsidRPr="00130312" w:rsidRDefault="00E646C9" w:rsidP="00C3558F">
      <w:pPr>
        <w:pStyle w:val="AppendixGHeading2"/>
      </w:pPr>
      <w:r>
        <w:t xml:space="preserve">Custom Incentive </w:t>
      </w:r>
      <w:r w:rsidRPr="00130312">
        <w:t>Program</w:t>
      </w:r>
    </w:p>
    <w:tbl>
      <w:tblPr>
        <w:tblW w:w="9362" w:type="dxa"/>
        <w:tblLayout w:type="fixed"/>
        <w:tblCellMar>
          <w:left w:w="0" w:type="dxa"/>
          <w:right w:w="0" w:type="dxa"/>
        </w:tblCellMar>
        <w:tblLook w:val="01E0" w:firstRow="1" w:lastRow="1" w:firstColumn="1" w:lastColumn="1" w:noHBand="0" w:noVBand="0"/>
      </w:tblPr>
      <w:tblGrid>
        <w:gridCol w:w="4681"/>
        <w:gridCol w:w="4681"/>
      </w:tblGrid>
      <w:tr w:rsidR="00E646C9" w:rsidTr="00C3558F">
        <w:trPr>
          <w:trHeight w:hRule="exact" w:val="680"/>
          <w:tblHeader/>
        </w:trPr>
        <w:tc>
          <w:tcPr>
            <w:tcW w:w="9362"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821A84">
            <w:pPr>
              <w:pStyle w:val="TableParagraph"/>
              <w:tabs>
                <w:tab w:val="left" w:pos="5251"/>
              </w:tabs>
              <w:ind w:left="5798" w:right="570" w:hanging="5632"/>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9" w:lineRule="exact"/>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675"/>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260"/>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providing</w:t>
            </w:r>
            <w:r>
              <w:rPr>
                <w:rFonts w:ascii="Calibri"/>
                <w:spacing w:val="-3"/>
                <w:sz w:val="18"/>
              </w:rPr>
              <w:t xml:space="preserve"> </w:t>
            </w:r>
            <w:r>
              <w:rPr>
                <w:rFonts w:ascii="Calibri"/>
                <w:spacing w:val="-1"/>
                <w:sz w:val="18"/>
              </w:rPr>
              <w:t>customers</w:t>
            </w:r>
            <w:r>
              <w:rPr>
                <w:rFonts w:ascii="Calibri"/>
                <w:spacing w:val="-3"/>
                <w:sz w:val="18"/>
              </w:rPr>
              <w:t xml:space="preserve"> </w:t>
            </w:r>
            <w:r>
              <w:rPr>
                <w:rFonts w:ascii="Calibri"/>
                <w:sz w:val="18"/>
              </w:rPr>
              <w:t>with</w:t>
            </w:r>
            <w:r>
              <w:rPr>
                <w:rFonts w:ascii="Calibri"/>
                <w:spacing w:val="-2"/>
                <w:sz w:val="18"/>
              </w:rPr>
              <w:t xml:space="preserve"> </w:t>
            </w:r>
            <w:r>
              <w:rPr>
                <w:rFonts w:ascii="Calibri"/>
                <w:sz w:val="18"/>
              </w:rPr>
              <w:t>a</w:t>
            </w:r>
            <w:r>
              <w:rPr>
                <w:rFonts w:ascii="Calibri"/>
                <w:spacing w:val="-2"/>
                <w:sz w:val="18"/>
              </w:rPr>
              <w:t xml:space="preserve"> </w:t>
            </w:r>
            <w:r>
              <w:rPr>
                <w:rFonts w:ascii="Calibri"/>
                <w:sz w:val="18"/>
              </w:rPr>
              <w:t>tool</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track the</w:t>
            </w:r>
            <w:r>
              <w:rPr>
                <w:rFonts w:ascii="Calibri"/>
                <w:spacing w:val="-3"/>
                <w:sz w:val="18"/>
              </w:rPr>
              <w:t xml:space="preserve"> </w:t>
            </w:r>
            <w:r>
              <w:rPr>
                <w:rFonts w:ascii="Calibri"/>
                <w:spacing w:val="-1"/>
                <w:sz w:val="18"/>
              </w:rPr>
              <w:t>real</w:t>
            </w:r>
            <w:r>
              <w:rPr>
                <w:rFonts w:ascii="Calibri"/>
                <w:spacing w:val="53"/>
                <w:sz w:val="18"/>
              </w:rPr>
              <w:t xml:space="preserve"> </w:t>
            </w:r>
            <w:r>
              <w:rPr>
                <w:rFonts w:ascii="Calibri"/>
                <w:spacing w:val="-1"/>
                <w:sz w:val="18"/>
              </w:rPr>
              <w:t>time</w:t>
            </w:r>
            <w:r>
              <w:rPr>
                <w:rFonts w:ascii="Calibri"/>
                <w:spacing w:val="-3"/>
                <w:sz w:val="18"/>
              </w:rPr>
              <w:t xml:space="preserve"> </w:t>
            </w:r>
            <w:r>
              <w:rPr>
                <w:rFonts w:ascii="Calibri"/>
                <w:spacing w:val="-1"/>
                <w:sz w:val="18"/>
              </w:rPr>
              <w:t>progress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their</w:t>
            </w:r>
            <w:r>
              <w:rPr>
                <w:rFonts w:ascii="Calibri"/>
                <w:spacing w:val="-3"/>
                <w:sz w:val="18"/>
              </w:rPr>
              <w:t xml:space="preserve"> </w:t>
            </w:r>
            <w:r>
              <w:rPr>
                <w:rFonts w:ascii="Calibri"/>
                <w:spacing w:val="-1"/>
                <w:sz w:val="18"/>
              </w:rPr>
              <w:t>application through each</w:t>
            </w:r>
            <w:r>
              <w:rPr>
                <w:rFonts w:ascii="Calibri"/>
                <w:spacing w:val="-3"/>
                <w:sz w:val="18"/>
              </w:rPr>
              <w:t xml:space="preserve"> </w:t>
            </w:r>
            <w:r>
              <w:rPr>
                <w:rFonts w:ascii="Calibri"/>
                <w:spacing w:val="-1"/>
                <w:sz w:val="18"/>
              </w:rPr>
              <w:t>application</w:t>
            </w:r>
            <w:r>
              <w:rPr>
                <w:rFonts w:ascii="Calibri"/>
                <w:spacing w:val="69"/>
                <w:sz w:val="18"/>
              </w:rPr>
              <w:t xml:space="preserve"> </w:t>
            </w:r>
            <w:r>
              <w:rPr>
                <w:rFonts w:ascii="Calibri"/>
                <w:spacing w:val="-1"/>
                <w:sz w:val="18"/>
              </w:rPr>
              <w:t>milestone</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Pr>
                <w:rFonts w:ascii="Calibri" w:eastAsia="Calibri" w:hAnsi="Calibri" w:cs="Calibri"/>
                <w:sz w:val="18"/>
                <w:szCs w:val="18"/>
              </w:rPr>
            </w:pPr>
            <w:r>
              <w:rPr>
                <w:rFonts w:ascii="Calibri"/>
                <w:spacing w:val="-1"/>
                <w:sz w:val="18"/>
              </w:rPr>
              <w:t>Implemented.</w:t>
            </w:r>
          </w:p>
        </w:tc>
      </w:tr>
      <w:tr w:rsidR="00E646C9" w:rsidTr="00C3558F">
        <w:trPr>
          <w:trHeight w:hRule="exact" w:val="455"/>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363"/>
              <w:rPr>
                <w:rFonts w:ascii="Calibri" w:eastAsia="Calibri" w:hAnsi="Calibri" w:cs="Calibri"/>
                <w:sz w:val="18"/>
                <w:szCs w:val="18"/>
              </w:rPr>
            </w:pPr>
            <w:r>
              <w:rPr>
                <w:rFonts w:ascii="Calibri"/>
                <w:spacing w:val="-1"/>
                <w:sz w:val="18"/>
              </w:rPr>
              <w:t>Consider providing</w:t>
            </w:r>
            <w:r>
              <w:rPr>
                <w:rFonts w:ascii="Calibri"/>
                <w:spacing w:val="-3"/>
                <w:sz w:val="18"/>
              </w:rPr>
              <w:t xml:space="preserve"> </w:t>
            </w:r>
            <w:r>
              <w:rPr>
                <w:rFonts w:ascii="Calibri"/>
                <w:spacing w:val="-1"/>
                <w:sz w:val="18"/>
              </w:rPr>
              <w:t>additional</w:t>
            </w:r>
            <w:r>
              <w:rPr>
                <w:rFonts w:ascii="Calibri"/>
                <w:sz w:val="18"/>
              </w:rPr>
              <w:t xml:space="preserve"> detail</w:t>
            </w:r>
            <w:r>
              <w:rPr>
                <w:rFonts w:ascii="Calibri"/>
                <w:spacing w:val="-3"/>
                <w:sz w:val="18"/>
              </w:rPr>
              <w:t xml:space="preserve"> </w:t>
            </w:r>
            <w:r>
              <w:rPr>
                <w:rFonts w:ascii="Calibri"/>
                <w:spacing w:val="-1"/>
                <w:sz w:val="18"/>
              </w:rPr>
              <w:t>regarding the</w:t>
            </w:r>
            <w:r>
              <w:rPr>
                <w:rFonts w:ascii="Calibri"/>
                <w:spacing w:val="-3"/>
                <w:sz w:val="18"/>
              </w:rPr>
              <w:t xml:space="preserve"> </w:t>
            </w:r>
            <w:r>
              <w:rPr>
                <w:rFonts w:ascii="Calibri"/>
                <w:spacing w:val="-1"/>
                <w:sz w:val="18"/>
              </w:rPr>
              <w:t>waitlist</w:t>
            </w:r>
            <w:r>
              <w:rPr>
                <w:rFonts w:ascii="Calibri"/>
                <w:spacing w:val="59"/>
                <w:w w:val="99"/>
                <w:sz w:val="18"/>
              </w:rPr>
              <w:t xml:space="preserve"> </w:t>
            </w:r>
            <w:r>
              <w:rPr>
                <w:rFonts w:ascii="Calibri"/>
                <w:spacing w:val="-1"/>
                <w:sz w:val="18"/>
              </w:rPr>
              <w:t>and</w:t>
            </w:r>
            <w:r>
              <w:rPr>
                <w:rFonts w:ascii="Calibri"/>
                <w:spacing w:val="-3"/>
                <w:sz w:val="18"/>
              </w:rPr>
              <w:t xml:space="preserve"> </w:t>
            </w:r>
            <w:r>
              <w:rPr>
                <w:rFonts w:ascii="Calibri"/>
                <w:spacing w:val="-1"/>
                <w:sz w:val="18"/>
              </w:rPr>
              <w:t>what</w:t>
            </w:r>
            <w:r>
              <w:rPr>
                <w:rFonts w:ascii="Calibri"/>
                <w:spacing w:val="-2"/>
                <w:sz w:val="18"/>
              </w:rPr>
              <w:t xml:space="preserve"> </w:t>
            </w:r>
            <w:r>
              <w:rPr>
                <w:rFonts w:ascii="Calibri"/>
                <w:spacing w:val="-1"/>
                <w:sz w:val="18"/>
              </w:rPr>
              <w:t>customers</w:t>
            </w:r>
            <w:r>
              <w:rPr>
                <w:rFonts w:ascii="Calibri"/>
                <w:spacing w:val="-2"/>
                <w:sz w:val="18"/>
              </w:rPr>
              <w:t xml:space="preserve"> </w:t>
            </w:r>
            <w:r>
              <w:rPr>
                <w:rFonts w:ascii="Calibri"/>
                <w:spacing w:val="-1"/>
                <w:sz w:val="18"/>
              </w:rPr>
              <w:t>should</w:t>
            </w:r>
            <w:r>
              <w:rPr>
                <w:rFonts w:ascii="Calibri"/>
                <w:spacing w:val="-3"/>
                <w:sz w:val="18"/>
              </w:rPr>
              <w:t xml:space="preserve"> </w:t>
            </w:r>
            <w:r>
              <w:rPr>
                <w:rFonts w:ascii="Calibri"/>
                <w:spacing w:val="-1"/>
                <w:sz w:val="18"/>
              </w:rPr>
              <w:t>expect</w:t>
            </w:r>
            <w:r>
              <w:rPr>
                <w:rFonts w:ascii="Calibri"/>
                <w:spacing w:val="-2"/>
                <w:sz w:val="18"/>
              </w:rPr>
              <w:t xml:space="preserve"> </w:t>
            </w:r>
            <w:r>
              <w:rPr>
                <w:rFonts w:ascii="Calibri"/>
                <w:spacing w:val="-1"/>
                <w:sz w:val="18"/>
              </w:rPr>
              <w:t>during</w:t>
            </w:r>
            <w:r>
              <w:rPr>
                <w:rFonts w:ascii="Calibri"/>
                <w:spacing w:val="-2"/>
                <w:sz w:val="18"/>
              </w:rPr>
              <w:t xml:space="preserve"> </w:t>
            </w:r>
            <w:r>
              <w:rPr>
                <w:rFonts w:ascii="Calibri"/>
                <w:spacing w:val="-1"/>
                <w:sz w:val="18"/>
              </w:rPr>
              <w:t>this</w:t>
            </w:r>
            <w:r>
              <w:rPr>
                <w:rFonts w:ascii="Calibri"/>
                <w:spacing w:val="-3"/>
                <w:sz w:val="18"/>
              </w:rPr>
              <w:t xml:space="preserve"> </w:t>
            </w:r>
            <w:r>
              <w:rPr>
                <w:rFonts w:ascii="Calibri"/>
                <w:spacing w:val="-1"/>
                <w:sz w:val="18"/>
              </w:rPr>
              <w:t>period</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116"/>
              <w:rPr>
                <w:rFonts w:ascii="Calibri" w:eastAsia="Calibri" w:hAnsi="Calibri" w:cs="Calibri"/>
                <w:sz w:val="18"/>
                <w:szCs w:val="18"/>
              </w:rPr>
            </w:pPr>
            <w:r>
              <w:rPr>
                <w:rFonts w:ascii="Calibri" w:eastAsia="Calibri" w:hAnsi="Calibri" w:cs="Calibri"/>
                <w:spacing w:val="-1"/>
                <w:sz w:val="18"/>
                <w:szCs w:val="18"/>
              </w:rPr>
              <w:t>Being</w:t>
            </w:r>
            <w:r>
              <w:rPr>
                <w:rFonts w:ascii="Calibri" w:eastAsia="Calibri" w:hAnsi="Calibri" w:cs="Calibri"/>
                <w:spacing w:val="-3"/>
                <w:sz w:val="18"/>
                <w:szCs w:val="18"/>
              </w:rPr>
              <w:t xml:space="preserve"> </w:t>
            </w:r>
            <w:r>
              <w:rPr>
                <w:rFonts w:ascii="Calibri" w:eastAsia="Calibri" w:hAnsi="Calibri" w:cs="Calibri"/>
                <w:spacing w:val="-1"/>
                <w:sz w:val="18"/>
                <w:szCs w:val="18"/>
              </w:rPr>
              <w:t>considered</w:t>
            </w:r>
            <w:r>
              <w:rPr>
                <w:rFonts w:ascii="Calibri" w:eastAsia="Calibri" w:hAnsi="Calibri" w:cs="Calibri"/>
                <w:spacing w:val="-2"/>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Currently</w:t>
            </w:r>
            <w:r>
              <w:rPr>
                <w:rFonts w:ascii="Calibri" w:eastAsia="Calibri" w:hAnsi="Calibri" w:cs="Calibri"/>
                <w:spacing w:val="-2"/>
                <w:sz w:val="18"/>
                <w:szCs w:val="18"/>
              </w:rPr>
              <w:t xml:space="preserve"> </w:t>
            </w:r>
            <w:r>
              <w:rPr>
                <w:rFonts w:ascii="Calibri" w:eastAsia="Calibri" w:hAnsi="Calibri" w:cs="Calibri"/>
                <w:spacing w:val="-1"/>
                <w:sz w:val="18"/>
                <w:szCs w:val="18"/>
              </w:rPr>
              <w:t>no</w:t>
            </w:r>
            <w:r>
              <w:rPr>
                <w:rFonts w:ascii="Calibri" w:eastAsia="Calibri" w:hAnsi="Calibri" w:cs="Calibri"/>
                <w:spacing w:val="1"/>
                <w:sz w:val="18"/>
                <w:szCs w:val="18"/>
              </w:rPr>
              <w:t xml:space="preserve"> </w:t>
            </w:r>
            <w:r>
              <w:rPr>
                <w:rFonts w:ascii="Calibri" w:eastAsia="Calibri" w:hAnsi="Calibri" w:cs="Calibri"/>
                <w:spacing w:val="-1"/>
                <w:sz w:val="18"/>
                <w:szCs w:val="18"/>
              </w:rPr>
              <w:t xml:space="preserve">waitlist </w:t>
            </w:r>
            <w:r>
              <w:rPr>
                <w:rFonts w:ascii="Calibri" w:eastAsia="Calibri" w:hAnsi="Calibri" w:cs="Calibri"/>
                <w:sz w:val="18"/>
                <w:szCs w:val="18"/>
              </w:rPr>
              <w:t>for</w:t>
            </w:r>
            <w:r>
              <w:rPr>
                <w:rFonts w:ascii="Calibri" w:eastAsia="Calibri" w:hAnsi="Calibri" w:cs="Calibri"/>
                <w:spacing w:val="-2"/>
                <w:sz w:val="18"/>
                <w:szCs w:val="18"/>
              </w:rPr>
              <w:t xml:space="preserve"> </w:t>
            </w:r>
            <w:r>
              <w:rPr>
                <w:rFonts w:ascii="Calibri" w:eastAsia="Calibri" w:hAnsi="Calibri" w:cs="Calibri"/>
                <w:spacing w:val="-1"/>
                <w:sz w:val="18"/>
                <w:szCs w:val="18"/>
              </w:rPr>
              <w:t>Phase</w:t>
            </w:r>
            <w:r>
              <w:rPr>
                <w:rFonts w:ascii="Calibri" w:eastAsia="Calibri" w:hAnsi="Calibri" w:cs="Calibri"/>
                <w:spacing w:val="-2"/>
                <w:sz w:val="18"/>
                <w:szCs w:val="18"/>
              </w:rPr>
              <w:t xml:space="preserve"> </w:t>
            </w:r>
            <w:r>
              <w:rPr>
                <w:rFonts w:ascii="Calibri" w:eastAsia="Calibri" w:hAnsi="Calibri" w:cs="Calibri"/>
                <w:sz w:val="18"/>
                <w:szCs w:val="18"/>
              </w:rPr>
              <w:t>III,</w:t>
            </w:r>
            <w:r>
              <w:rPr>
                <w:rFonts w:ascii="Calibri" w:eastAsia="Calibri" w:hAnsi="Calibri" w:cs="Calibri"/>
                <w:spacing w:val="-2"/>
                <w:sz w:val="18"/>
                <w:szCs w:val="18"/>
              </w:rPr>
              <w:t xml:space="preserve"> </w:t>
            </w:r>
            <w:r>
              <w:rPr>
                <w:rFonts w:ascii="Calibri" w:eastAsia="Calibri" w:hAnsi="Calibri" w:cs="Calibri"/>
                <w:spacing w:val="-1"/>
                <w:sz w:val="18"/>
                <w:szCs w:val="18"/>
              </w:rPr>
              <w:t>but</w:t>
            </w:r>
            <w:r>
              <w:rPr>
                <w:rFonts w:ascii="Calibri" w:eastAsia="Calibri" w:hAnsi="Calibri" w:cs="Calibri"/>
                <w:spacing w:val="-2"/>
                <w:sz w:val="18"/>
                <w:szCs w:val="18"/>
              </w:rPr>
              <w:t xml:space="preserve"> </w:t>
            </w:r>
            <w:r>
              <w:rPr>
                <w:rFonts w:ascii="Calibri" w:eastAsia="Calibri" w:hAnsi="Calibri" w:cs="Calibri"/>
                <w:spacing w:val="-1"/>
                <w:sz w:val="18"/>
                <w:szCs w:val="18"/>
              </w:rPr>
              <w:t>will</w:t>
            </w:r>
            <w:r>
              <w:rPr>
                <w:rFonts w:ascii="Calibri" w:eastAsia="Calibri" w:hAnsi="Calibri" w:cs="Calibri"/>
                <w:spacing w:val="59"/>
                <w:sz w:val="18"/>
                <w:szCs w:val="18"/>
              </w:rPr>
              <w:t xml:space="preserve"> </w:t>
            </w:r>
            <w:r>
              <w:rPr>
                <w:rFonts w:ascii="Calibri" w:eastAsia="Calibri" w:hAnsi="Calibri" w:cs="Calibri"/>
                <w:spacing w:val="-1"/>
                <w:sz w:val="18"/>
                <w:szCs w:val="18"/>
              </w:rPr>
              <w:t>consider</w:t>
            </w:r>
            <w:r>
              <w:rPr>
                <w:rFonts w:ascii="Calibri" w:eastAsia="Calibri" w:hAnsi="Calibri" w:cs="Calibri"/>
                <w:spacing w:val="-2"/>
                <w:sz w:val="18"/>
                <w:szCs w:val="18"/>
              </w:rPr>
              <w:t xml:space="preserve"> </w:t>
            </w:r>
            <w:r>
              <w:rPr>
                <w:rFonts w:ascii="Calibri" w:eastAsia="Calibri" w:hAnsi="Calibri" w:cs="Calibri"/>
                <w:spacing w:val="-1"/>
                <w:sz w:val="18"/>
                <w:szCs w:val="18"/>
              </w:rPr>
              <w:t>this</w:t>
            </w:r>
            <w:r>
              <w:rPr>
                <w:rFonts w:ascii="Calibri" w:eastAsia="Calibri" w:hAnsi="Calibri" w:cs="Calibri"/>
                <w:spacing w:val="-3"/>
                <w:sz w:val="18"/>
                <w:szCs w:val="18"/>
              </w:rPr>
              <w:t xml:space="preserve"> </w:t>
            </w:r>
            <w:r>
              <w:rPr>
                <w:rFonts w:ascii="Calibri" w:eastAsia="Calibri" w:hAnsi="Calibri" w:cs="Calibri"/>
                <w:sz w:val="18"/>
                <w:szCs w:val="18"/>
              </w:rPr>
              <w:t>if</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 xml:space="preserve"> </w:t>
            </w:r>
            <w:r>
              <w:rPr>
                <w:rFonts w:ascii="Calibri" w:eastAsia="Calibri" w:hAnsi="Calibri" w:cs="Calibri"/>
                <w:spacing w:val="-1"/>
                <w:sz w:val="18"/>
                <w:szCs w:val="18"/>
              </w:rPr>
              <w:t>waitlist is</w:t>
            </w:r>
            <w:r>
              <w:rPr>
                <w:rFonts w:ascii="Calibri" w:eastAsia="Calibri" w:hAnsi="Calibri" w:cs="Calibri"/>
                <w:spacing w:val="-3"/>
                <w:sz w:val="18"/>
                <w:szCs w:val="18"/>
              </w:rPr>
              <w:t xml:space="preserve"> </w:t>
            </w:r>
            <w:r>
              <w:rPr>
                <w:rFonts w:ascii="Calibri" w:eastAsia="Calibri" w:hAnsi="Calibri" w:cs="Calibri"/>
                <w:spacing w:val="-1"/>
                <w:sz w:val="18"/>
                <w:szCs w:val="18"/>
              </w:rPr>
              <w:t>implemented.</w:t>
            </w:r>
          </w:p>
        </w:tc>
      </w:tr>
      <w:tr w:rsidR="00E646C9" w:rsidTr="00C3558F">
        <w:trPr>
          <w:trHeight w:hRule="exact" w:val="454"/>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435"/>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pacing w:val="-1"/>
                <w:sz w:val="18"/>
              </w:rPr>
              <w:t>allowing</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evaluator</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review</w:t>
            </w:r>
            <w:r>
              <w:rPr>
                <w:rFonts w:ascii="Calibri"/>
                <w:spacing w:val="-3"/>
                <w:sz w:val="18"/>
              </w:rPr>
              <w:t xml:space="preserve"> </w:t>
            </w:r>
            <w:r>
              <w:rPr>
                <w:rFonts w:ascii="Calibri"/>
                <w:spacing w:val="-1"/>
                <w:sz w:val="18"/>
              </w:rPr>
              <w:t>standard</w:t>
            </w:r>
            <w:r>
              <w:rPr>
                <w:rFonts w:ascii="Calibri"/>
                <w:spacing w:val="53"/>
                <w:sz w:val="18"/>
              </w:rPr>
              <w:t xml:space="preserve"> </w:t>
            </w:r>
            <w:r>
              <w:rPr>
                <w:rFonts w:ascii="Calibri"/>
                <w:spacing w:val="-1"/>
                <w:sz w:val="18"/>
              </w:rPr>
              <w:t>calculators</w:t>
            </w:r>
            <w:r>
              <w:rPr>
                <w:rFonts w:ascii="Calibri"/>
                <w:spacing w:val="-4"/>
                <w:sz w:val="18"/>
              </w:rPr>
              <w:t xml:space="preserve"> </w:t>
            </w:r>
            <w:r>
              <w:rPr>
                <w:rFonts w:ascii="Calibri"/>
                <w:sz w:val="18"/>
              </w:rPr>
              <w:t>to</w:t>
            </w:r>
            <w:r>
              <w:rPr>
                <w:rFonts w:ascii="Calibri"/>
                <w:spacing w:val="-3"/>
                <w:sz w:val="18"/>
              </w:rPr>
              <w:t xml:space="preserve"> </w:t>
            </w:r>
            <w:r>
              <w:rPr>
                <w:rFonts w:ascii="Calibri"/>
                <w:spacing w:val="-1"/>
                <w:sz w:val="18"/>
              </w:rPr>
              <w:t>determine</w:t>
            </w:r>
            <w:r>
              <w:rPr>
                <w:rFonts w:ascii="Calibri"/>
                <w:spacing w:val="-3"/>
                <w:sz w:val="18"/>
              </w:rPr>
              <w:t xml:space="preserve"> </w:t>
            </w:r>
            <w:r>
              <w:rPr>
                <w:rFonts w:ascii="Calibri"/>
                <w:sz w:val="18"/>
              </w:rPr>
              <w:t>if</w:t>
            </w:r>
            <w:r>
              <w:rPr>
                <w:rFonts w:ascii="Calibri"/>
                <w:spacing w:val="-3"/>
                <w:sz w:val="18"/>
              </w:rPr>
              <w:t xml:space="preserve"> </w:t>
            </w:r>
            <w:r>
              <w:rPr>
                <w:rFonts w:ascii="Calibri"/>
                <w:sz w:val="18"/>
              </w:rPr>
              <w:t>correct</w:t>
            </w:r>
            <w:r>
              <w:rPr>
                <w:rFonts w:ascii="Calibri"/>
                <w:spacing w:val="-2"/>
                <w:sz w:val="18"/>
              </w:rPr>
              <w:t xml:space="preserve"> </w:t>
            </w:r>
            <w:r>
              <w:rPr>
                <w:rFonts w:ascii="Calibri"/>
                <w:spacing w:val="-1"/>
                <w:sz w:val="18"/>
              </w:rPr>
              <w:t>baseline</w:t>
            </w:r>
            <w:r>
              <w:rPr>
                <w:rFonts w:ascii="Calibri"/>
                <w:spacing w:val="-3"/>
                <w:sz w:val="18"/>
              </w:rPr>
              <w:t xml:space="preserve"> </w:t>
            </w:r>
            <w:r>
              <w:rPr>
                <w:rFonts w:ascii="Calibri"/>
                <w:sz w:val="18"/>
              </w:rPr>
              <w:t>is</w:t>
            </w:r>
            <w:r>
              <w:rPr>
                <w:rFonts w:ascii="Calibri"/>
                <w:spacing w:val="-3"/>
                <w:sz w:val="18"/>
              </w:rPr>
              <w:t xml:space="preserve"> </w:t>
            </w:r>
            <w:r>
              <w:rPr>
                <w:rFonts w:ascii="Calibri"/>
                <w:spacing w:val="-1"/>
                <w:sz w:val="18"/>
              </w:rPr>
              <w:t>being used</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133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478"/>
              <w:rPr>
                <w:rFonts w:ascii="Calibri" w:eastAsia="Calibri" w:hAnsi="Calibri" w:cs="Calibri"/>
                <w:sz w:val="18"/>
                <w:szCs w:val="18"/>
              </w:rPr>
            </w:pPr>
            <w:r>
              <w:rPr>
                <w:rFonts w:ascii="Calibri"/>
                <w:spacing w:val="-1"/>
                <w:sz w:val="18"/>
              </w:rPr>
              <w:t xml:space="preserve">Continue </w:t>
            </w:r>
            <w:r>
              <w:rPr>
                <w:rFonts w:ascii="Calibri"/>
                <w:sz w:val="18"/>
              </w:rPr>
              <w:t>to</w:t>
            </w:r>
            <w:r>
              <w:rPr>
                <w:rFonts w:ascii="Calibri"/>
                <w:spacing w:val="-2"/>
                <w:sz w:val="18"/>
              </w:rPr>
              <w:t xml:space="preserve"> </w:t>
            </w:r>
            <w:r>
              <w:rPr>
                <w:rFonts w:ascii="Calibri"/>
                <w:spacing w:val="-1"/>
                <w:sz w:val="18"/>
              </w:rPr>
              <w:t>request</w:t>
            </w:r>
            <w:r>
              <w:rPr>
                <w:rFonts w:ascii="Calibri"/>
                <w:spacing w:val="-2"/>
                <w:sz w:val="18"/>
              </w:rPr>
              <w:t xml:space="preserve"> </w:t>
            </w:r>
            <w:r>
              <w:rPr>
                <w:rFonts w:ascii="Calibri"/>
                <w:sz w:val="18"/>
              </w:rPr>
              <w:t>evaluator</w:t>
            </w:r>
            <w:r>
              <w:rPr>
                <w:rFonts w:ascii="Calibri"/>
                <w:spacing w:val="-2"/>
                <w:sz w:val="18"/>
              </w:rPr>
              <w:t xml:space="preserve"> </w:t>
            </w:r>
            <w:r>
              <w:rPr>
                <w:rFonts w:ascii="Calibri"/>
                <w:spacing w:val="-1"/>
                <w:sz w:val="18"/>
              </w:rPr>
              <w:t>support</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determine</w:t>
            </w:r>
            <w:r>
              <w:rPr>
                <w:rFonts w:ascii="Calibri"/>
                <w:spacing w:val="2"/>
                <w:sz w:val="18"/>
              </w:rPr>
              <w:t xml:space="preserve"> </w:t>
            </w:r>
            <w:r>
              <w:rPr>
                <w:rFonts w:ascii="Calibri"/>
                <w:spacing w:val="-1"/>
                <w:sz w:val="18"/>
              </w:rPr>
              <w:t>if</w:t>
            </w:r>
            <w:r>
              <w:rPr>
                <w:rFonts w:ascii="Calibri"/>
                <w:spacing w:val="39"/>
                <w:sz w:val="18"/>
              </w:rPr>
              <w:t xml:space="preserve"> </w:t>
            </w:r>
            <w:r>
              <w:rPr>
                <w:rFonts w:ascii="Calibri"/>
                <w:spacing w:val="-1"/>
                <w:sz w:val="18"/>
              </w:rPr>
              <w:t>certain</w:t>
            </w:r>
            <w:r>
              <w:rPr>
                <w:rFonts w:ascii="Calibri"/>
                <w:spacing w:val="-5"/>
                <w:sz w:val="18"/>
              </w:rPr>
              <w:t xml:space="preserve"> </w:t>
            </w:r>
            <w:r>
              <w:rPr>
                <w:rFonts w:ascii="Calibri"/>
                <w:spacing w:val="-1"/>
                <w:sz w:val="18"/>
              </w:rPr>
              <w:t>projects</w:t>
            </w:r>
            <w:r>
              <w:rPr>
                <w:rFonts w:ascii="Calibri"/>
                <w:spacing w:val="-5"/>
                <w:sz w:val="18"/>
              </w:rPr>
              <w:t xml:space="preserve"> </w:t>
            </w:r>
            <w:r>
              <w:rPr>
                <w:rFonts w:ascii="Calibri"/>
                <w:sz w:val="18"/>
              </w:rPr>
              <w:t>that</w:t>
            </w:r>
            <w:r>
              <w:rPr>
                <w:rFonts w:ascii="Calibri"/>
                <w:spacing w:val="-4"/>
                <w:sz w:val="18"/>
              </w:rPr>
              <w:t xml:space="preserve"> </w:t>
            </w:r>
            <w:r>
              <w:rPr>
                <w:rFonts w:ascii="Calibri"/>
                <w:spacing w:val="-1"/>
                <w:sz w:val="18"/>
              </w:rPr>
              <w:t>fall</w:t>
            </w:r>
            <w:r>
              <w:rPr>
                <w:rFonts w:ascii="Calibri"/>
                <w:spacing w:val="-4"/>
                <w:sz w:val="18"/>
              </w:rPr>
              <w:t xml:space="preserve"> </w:t>
            </w:r>
            <w:r>
              <w:rPr>
                <w:rFonts w:ascii="Calibri"/>
                <w:spacing w:val="-1"/>
                <w:sz w:val="18"/>
              </w:rPr>
              <w:t xml:space="preserve">below </w:t>
            </w:r>
            <w:r>
              <w:rPr>
                <w:rFonts w:ascii="Calibri"/>
                <w:sz w:val="18"/>
              </w:rPr>
              <w:t>the</w:t>
            </w:r>
            <w:r>
              <w:rPr>
                <w:rFonts w:ascii="Calibri"/>
                <w:spacing w:val="-4"/>
                <w:sz w:val="18"/>
              </w:rPr>
              <w:t xml:space="preserve"> </w:t>
            </w:r>
            <w:r>
              <w:rPr>
                <w:rFonts w:ascii="Calibri"/>
                <w:sz w:val="18"/>
              </w:rPr>
              <w:t>500,000</w:t>
            </w:r>
            <w:r>
              <w:rPr>
                <w:rFonts w:ascii="Calibri"/>
                <w:spacing w:val="-4"/>
                <w:sz w:val="18"/>
              </w:rPr>
              <w:t xml:space="preserve"> </w:t>
            </w:r>
            <w:r>
              <w:rPr>
                <w:rFonts w:ascii="Calibri"/>
                <w:spacing w:val="-1"/>
                <w:sz w:val="18"/>
              </w:rPr>
              <w:t>kWh/hr</w:t>
            </w:r>
            <w:r>
              <w:rPr>
                <w:rFonts w:ascii="Calibri"/>
                <w:spacing w:val="41"/>
                <w:w w:val="99"/>
                <w:sz w:val="18"/>
              </w:rPr>
              <w:t xml:space="preserve"> </w:t>
            </w:r>
            <w:r>
              <w:rPr>
                <w:rFonts w:ascii="Calibri"/>
                <w:spacing w:val="-1"/>
                <w:sz w:val="18"/>
              </w:rPr>
              <w:t>threshold</w:t>
            </w:r>
            <w:r>
              <w:rPr>
                <w:rFonts w:ascii="Calibri"/>
                <w:spacing w:val="-4"/>
                <w:sz w:val="18"/>
              </w:rPr>
              <w:t xml:space="preserve"> </w:t>
            </w:r>
            <w:r>
              <w:rPr>
                <w:rFonts w:ascii="Calibri"/>
                <w:spacing w:val="-1"/>
                <w:sz w:val="18"/>
              </w:rPr>
              <w:t>should be</w:t>
            </w:r>
            <w:r>
              <w:rPr>
                <w:rFonts w:ascii="Calibri"/>
                <w:spacing w:val="-3"/>
                <w:sz w:val="18"/>
              </w:rPr>
              <w:t xml:space="preserve"> </w:t>
            </w:r>
            <w:r>
              <w:rPr>
                <w:rFonts w:ascii="Calibri"/>
                <w:spacing w:val="-1"/>
                <w:sz w:val="18"/>
              </w:rPr>
              <w:t>elevated</w:t>
            </w:r>
            <w:r>
              <w:rPr>
                <w:rFonts w:ascii="Calibri"/>
                <w:spacing w:val="-3"/>
                <w:sz w:val="18"/>
              </w:rPr>
              <w:t xml:space="preserve"> </w:t>
            </w:r>
            <w:r>
              <w:rPr>
                <w:rFonts w:ascii="Calibri"/>
                <w:sz w:val="18"/>
              </w:rPr>
              <w:t>to</w:t>
            </w:r>
            <w:r>
              <w:rPr>
                <w:rFonts w:ascii="Calibri"/>
                <w:spacing w:val="-2"/>
                <w:sz w:val="18"/>
              </w:rPr>
              <w:t xml:space="preserve"> </w:t>
            </w:r>
            <w:r>
              <w:rPr>
                <w:rFonts w:ascii="Calibri"/>
                <w:sz w:val="18"/>
              </w:rPr>
              <w:t>the</w:t>
            </w:r>
            <w:r>
              <w:rPr>
                <w:rFonts w:ascii="Calibri"/>
                <w:spacing w:val="-3"/>
                <w:sz w:val="18"/>
              </w:rPr>
              <w:t xml:space="preserve"> </w:t>
            </w:r>
            <w:r>
              <w:rPr>
                <w:rFonts w:ascii="Calibri"/>
                <w:sz w:val="18"/>
              </w:rPr>
              <w:t>large</w:t>
            </w:r>
            <w:r>
              <w:rPr>
                <w:rFonts w:ascii="Calibri"/>
                <w:spacing w:val="-3"/>
                <w:sz w:val="18"/>
              </w:rPr>
              <w:t xml:space="preserve"> </w:t>
            </w:r>
            <w:r>
              <w:rPr>
                <w:rFonts w:ascii="Calibri"/>
                <w:spacing w:val="-1"/>
                <w:sz w:val="18"/>
              </w:rPr>
              <w:t>stratum</w:t>
            </w:r>
            <w:r>
              <w:rPr>
                <w:rFonts w:ascii="Calibri"/>
                <w:spacing w:val="1"/>
                <w:sz w:val="18"/>
              </w:rPr>
              <w:t xml:space="preserve"> </w:t>
            </w:r>
            <w:r>
              <w:rPr>
                <w:rFonts w:ascii="Calibri"/>
                <w:spacing w:val="-1"/>
                <w:sz w:val="18"/>
              </w:rPr>
              <w:t>when</w:t>
            </w:r>
            <w:r>
              <w:rPr>
                <w:rFonts w:ascii="Calibri"/>
                <w:spacing w:val="49"/>
                <w:sz w:val="18"/>
              </w:rPr>
              <w:t xml:space="preserve"> </w:t>
            </w:r>
            <w:r>
              <w:rPr>
                <w:rFonts w:ascii="Calibri"/>
                <w:spacing w:val="-1"/>
                <w:sz w:val="18"/>
              </w:rPr>
              <w:t>there</w:t>
            </w:r>
            <w:r>
              <w:rPr>
                <w:rFonts w:ascii="Calibri"/>
                <w:spacing w:val="-4"/>
                <w:sz w:val="18"/>
              </w:rPr>
              <w:t xml:space="preserve"> </w:t>
            </w:r>
            <w:r>
              <w:rPr>
                <w:rFonts w:ascii="Calibri"/>
                <w:sz w:val="18"/>
              </w:rPr>
              <w:t>is</w:t>
            </w:r>
            <w:r>
              <w:rPr>
                <w:rFonts w:ascii="Calibri"/>
                <w:spacing w:val="-3"/>
                <w:sz w:val="18"/>
              </w:rPr>
              <w:t xml:space="preserve"> </w:t>
            </w:r>
            <w:r>
              <w:rPr>
                <w:rFonts w:ascii="Calibri"/>
                <w:spacing w:val="-1"/>
                <w:sz w:val="18"/>
              </w:rPr>
              <w:t>high</w:t>
            </w:r>
            <w:r>
              <w:rPr>
                <w:rFonts w:ascii="Calibri"/>
                <w:spacing w:val="-3"/>
                <w:sz w:val="18"/>
              </w:rPr>
              <w:t xml:space="preserve"> </w:t>
            </w:r>
            <w:r>
              <w:rPr>
                <w:rFonts w:ascii="Calibri"/>
                <w:spacing w:val="-1"/>
                <w:sz w:val="18"/>
              </w:rPr>
              <w:t>uncertainty</w:t>
            </w:r>
            <w:r>
              <w:rPr>
                <w:rFonts w:ascii="Calibri"/>
                <w:spacing w:val="-3"/>
                <w:sz w:val="18"/>
              </w:rPr>
              <w:t xml:space="preserve"> </w:t>
            </w:r>
            <w:r>
              <w:rPr>
                <w:rFonts w:ascii="Calibri"/>
                <w:spacing w:val="-1"/>
                <w:sz w:val="18"/>
              </w:rPr>
              <w:t>in</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measure,</w:t>
            </w:r>
            <w:r>
              <w:rPr>
                <w:rFonts w:ascii="Calibri"/>
                <w:sz w:val="18"/>
              </w:rPr>
              <w:t xml:space="preserve"> </w:t>
            </w:r>
            <w:r>
              <w:rPr>
                <w:rFonts w:ascii="Calibri"/>
                <w:spacing w:val="-1"/>
                <w:sz w:val="18"/>
              </w:rPr>
              <w:t>baseline,</w:t>
            </w:r>
            <w:r>
              <w:rPr>
                <w:rFonts w:ascii="Calibri"/>
                <w:spacing w:val="-2"/>
                <w:sz w:val="18"/>
              </w:rPr>
              <w:t xml:space="preserve"> </w:t>
            </w:r>
            <w:r>
              <w:rPr>
                <w:rFonts w:ascii="Calibri"/>
                <w:sz w:val="18"/>
              </w:rPr>
              <w:t>or</w:t>
            </w:r>
            <w:r>
              <w:rPr>
                <w:rFonts w:ascii="Calibri"/>
                <w:spacing w:val="55"/>
                <w:w w:val="99"/>
                <w:sz w:val="18"/>
              </w:rPr>
              <w:t xml:space="preserve"> </w:t>
            </w:r>
            <w:r>
              <w:rPr>
                <w:rFonts w:ascii="Calibri"/>
                <w:spacing w:val="-1"/>
                <w:sz w:val="18"/>
              </w:rPr>
              <w:t>calculation</w:t>
            </w:r>
            <w:r>
              <w:rPr>
                <w:rFonts w:ascii="Calibri"/>
                <w:spacing w:val="-4"/>
                <w:sz w:val="18"/>
              </w:rPr>
              <w:t xml:space="preserve"> </w:t>
            </w:r>
            <w:r>
              <w:rPr>
                <w:rFonts w:ascii="Calibri"/>
                <w:spacing w:val="-1"/>
                <w:sz w:val="18"/>
              </w:rPr>
              <w:t>approach</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new</w:t>
            </w:r>
            <w:r>
              <w:rPr>
                <w:rFonts w:ascii="Calibri"/>
                <w:spacing w:val="-3"/>
                <w:sz w:val="18"/>
              </w:rPr>
              <w:t xml:space="preserve"> </w:t>
            </w:r>
            <w:r>
              <w:rPr>
                <w:rFonts w:ascii="Calibri"/>
                <w:sz w:val="18"/>
              </w:rPr>
              <w:t>or</w:t>
            </w:r>
            <w:r>
              <w:rPr>
                <w:rFonts w:ascii="Calibri"/>
                <w:spacing w:val="-2"/>
                <w:sz w:val="18"/>
              </w:rPr>
              <w:t xml:space="preserve"> </w:t>
            </w:r>
            <w:r>
              <w:rPr>
                <w:rFonts w:ascii="Calibri"/>
                <w:spacing w:val="-1"/>
                <w:sz w:val="18"/>
              </w:rPr>
              <w:t>overly</w:t>
            </w:r>
            <w:r>
              <w:rPr>
                <w:rFonts w:ascii="Calibri"/>
                <w:spacing w:val="-2"/>
                <w:sz w:val="18"/>
              </w:rPr>
              <w:t xml:space="preserve"> </w:t>
            </w:r>
            <w:r>
              <w:rPr>
                <w:rFonts w:ascii="Calibri"/>
                <w:spacing w:val="-1"/>
                <w:sz w:val="18"/>
              </w:rPr>
              <w:t>complicated</w:t>
            </w:r>
            <w:r>
              <w:rPr>
                <w:rFonts w:ascii="Calibri"/>
                <w:spacing w:val="53"/>
                <w:sz w:val="18"/>
              </w:rPr>
              <w:t xml:space="preserve"> </w:t>
            </w:r>
            <w:r>
              <w:rPr>
                <w:rFonts w:ascii="Calibri"/>
                <w:spacing w:val="-1"/>
                <w:sz w:val="18"/>
              </w:rPr>
              <w:t>measures.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456"/>
        </w:trPr>
        <w:tc>
          <w:tcPr>
            <w:tcW w:w="4681"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220"/>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pacing w:val="-1"/>
                <w:sz w:val="18"/>
              </w:rPr>
              <w:t>allowing</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 xml:space="preserve">ICSP </w:t>
            </w:r>
            <w:r>
              <w:rPr>
                <w:rFonts w:ascii="Calibri"/>
                <w:sz w:val="18"/>
              </w:rPr>
              <w:t>and</w:t>
            </w:r>
            <w:r>
              <w:rPr>
                <w:rFonts w:ascii="Calibri"/>
                <w:spacing w:val="-3"/>
                <w:sz w:val="18"/>
              </w:rPr>
              <w:t xml:space="preserve"> </w:t>
            </w:r>
            <w:r>
              <w:rPr>
                <w:rFonts w:ascii="Calibri"/>
                <w:spacing w:val="-1"/>
                <w:sz w:val="18"/>
              </w:rPr>
              <w:t>evaluator</w:t>
            </w:r>
            <w:r>
              <w:rPr>
                <w:rFonts w:ascii="Calibri"/>
                <w:spacing w:val="-2"/>
                <w:sz w:val="18"/>
              </w:rPr>
              <w:t xml:space="preserve"> </w:t>
            </w:r>
            <w:r>
              <w:rPr>
                <w:rFonts w:ascii="Calibri"/>
                <w:spacing w:val="-1"/>
                <w:sz w:val="18"/>
              </w:rPr>
              <w:t>to</w:t>
            </w:r>
            <w:r>
              <w:rPr>
                <w:rFonts w:ascii="Calibri"/>
                <w:sz w:val="18"/>
              </w:rPr>
              <w:t xml:space="preserve"> </w:t>
            </w:r>
            <w:r>
              <w:rPr>
                <w:rFonts w:ascii="Calibri"/>
                <w:spacing w:val="-1"/>
                <w:sz w:val="18"/>
              </w:rPr>
              <w:t>review</w:t>
            </w:r>
            <w:r>
              <w:rPr>
                <w:rFonts w:ascii="Calibri"/>
                <w:spacing w:val="-2"/>
                <w:sz w:val="18"/>
              </w:rPr>
              <w:t xml:space="preserve"> </w:t>
            </w:r>
            <w:r>
              <w:rPr>
                <w:rFonts w:ascii="Calibri"/>
                <w:spacing w:val="-1"/>
                <w:sz w:val="18"/>
              </w:rPr>
              <w:t>data</w:t>
            </w:r>
            <w:r>
              <w:rPr>
                <w:rFonts w:ascii="Calibri"/>
                <w:spacing w:val="53"/>
                <w:w w:val="99"/>
                <w:sz w:val="18"/>
              </w:rPr>
              <w:t xml:space="preserve"> </w:t>
            </w:r>
            <w:r>
              <w:rPr>
                <w:rFonts w:ascii="Calibri"/>
                <w:spacing w:val="-1"/>
                <w:sz w:val="18"/>
              </w:rPr>
              <w:t>collection</w:t>
            </w:r>
            <w:r>
              <w:rPr>
                <w:rFonts w:ascii="Calibri"/>
                <w:spacing w:val="-7"/>
                <w:sz w:val="18"/>
              </w:rPr>
              <w:t xml:space="preserve"> </w:t>
            </w:r>
            <w:r>
              <w:rPr>
                <w:rFonts w:ascii="Calibri"/>
                <w:spacing w:val="-1"/>
                <w:sz w:val="18"/>
              </w:rPr>
              <w:t>protocols</w:t>
            </w:r>
            <w:r>
              <w:rPr>
                <w:rFonts w:ascii="Calibri"/>
                <w:spacing w:val="-6"/>
                <w:sz w:val="18"/>
              </w:rPr>
              <w:t xml:space="preserve"> </w:t>
            </w:r>
            <w:r>
              <w:rPr>
                <w:rFonts w:ascii="Calibri"/>
                <w:spacing w:val="-1"/>
                <w:sz w:val="18"/>
              </w:rPr>
              <w:t>collaboratively</w:t>
            </w:r>
          </w:p>
        </w:tc>
        <w:tc>
          <w:tcPr>
            <w:tcW w:w="4681"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bl>
    <w:p w:rsidR="00E646C9" w:rsidRDefault="00E646C9" w:rsidP="00E646C9"/>
    <w:p w:rsidR="00E646C9" w:rsidRDefault="00E646C9" w:rsidP="00C3558F">
      <w:pPr>
        <w:pStyle w:val="AppendixGHeading2"/>
      </w:pPr>
      <w:r w:rsidRPr="00872E9B">
        <w:t>Residential Energy-Efficiency Behavior &amp; Education Program</w:t>
      </w:r>
    </w:p>
    <w:tbl>
      <w:tblPr>
        <w:tblW w:w="0" w:type="auto"/>
        <w:tblLayout w:type="fixed"/>
        <w:tblCellMar>
          <w:left w:w="0" w:type="dxa"/>
          <w:right w:w="0" w:type="dxa"/>
        </w:tblCellMar>
        <w:tblLook w:val="01E0" w:firstRow="1" w:lastRow="1" w:firstColumn="1" w:lastColumn="1" w:noHBand="0" w:noVBand="0"/>
      </w:tblPr>
      <w:tblGrid>
        <w:gridCol w:w="4681"/>
        <w:gridCol w:w="4681"/>
      </w:tblGrid>
      <w:tr w:rsidR="00E646C9" w:rsidTr="00C3558F">
        <w:trPr>
          <w:trHeight w:hRule="exact" w:val="680"/>
        </w:trPr>
        <w:tc>
          <w:tcPr>
            <w:tcW w:w="9362"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821A84">
            <w:pPr>
              <w:pStyle w:val="TableParagraph"/>
              <w:tabs>
                <w:tab w:val="left" w:pos="5251"/>
              </w:tabs>
              <w:ind w:left="5798" w:right="570" w:hanging="5722"/>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before="1"/>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821A84">
        <w:trPr>
          <w:trHeight w:hRule="exact" w:val="306"/>
        </w:trPr>
        <w:tc>
          <w:tcPr>
            <w:tcW w:w="9362" w:type="dxa"/>
            <w:gridSpan w:val="2"/>
            <w:tcBorders>
              <w:top w:val="nil"/>
              <w:left w:val="single" w:sz="8" w:space="0" w:color="448999"/>
              <w:bottom w:val="single" w:sz="7" w:space="0" w:color="448999"/>
              <w:right w:val="single" w:sz="8" w:space="0" w:color="448999"/>
            </w:tcBorders>
            <w:shd w:val="clear" w:color="auto" w:fill="9C9393"/>
          </w:tcPr>
          <w:p w:rsidR="00E646C9" w:rsidRDefault="00E646C9" w:rsidP="00C94D5A">
            <w:pPr>
              <w:pStyle w:val="TableParagraph"/>
              <w:spacing w:before="10"/>
              <w:ind w:left="2421"/>
              <w:rPr>
                <w:rFonts w:ascii="Calibri" w:eastAsia="Calibri" w:hAnsi="Calibri" w:cs="Calibri"/>
                <w:sz w:val="18"/>
                <w:szCs w:val="18"/>
              </w:rPr>
            </w:pPr>
            <w:r>
              <w:rPr>
                <w:rFonts w:ascii="Calibri"/>
                <w:b/>
                <w:color w:val="FFFFFF"/>
                <w:spacing w:val="-1"/>
                <w:sz w:val="18"/>
              </w:rPr>
              <w:t>Residential</w:t>
            </w:r>
            <w:r>
              <w:rPr>
                <w:rFonts w:ascii="Calibri"/>
                <w:b/>
                <w:color w:val="FFFFFF"/>
                <w:spacing w:val="-8"/>
                <w:sz w:val="18"/>
              </w:rPr>
              <w:t xml:space="preserve"> </w:t>
            </w:r>
            <w:r>
              <w:rPr>
                <w:rFonts w:ascii="Calibri"/>
                <w:b/>
                <w:color w:val="FFFFFF"/>
                <w:spacing w:val="-1"/>
                <w:sz w:val="18"/>
              </w:rPr>
              <w:t>Energy-Efficiency</w:t>
            </w:r>
            <w:r>
              <w:rPr>
                <w:rFonts w:ascii="Calibri"/>
                <w:b/>
                <w:color w:val="FFFFFF"/>
                <w:spacing w:val="-4"/>
                <w:sz w:val="18"/>
              </w:rPr>
              <w:t xml:space="preserve"> </w:t>
            </w:r>
            <w:r>
              <w:rPr>
                <w:rFonts w:ascii="Calibri"/>
                <w:b/>
                <w:color w:val="FFFFFF"/>
                <w:spacing w:val="-1"/>
                <w:sz w:val="18"/>
              </w:rPr>
              <w:t>Behavior</w:t>
            </w:r>
            <w:r>
              <w:rPr>
                <w:rFonts w:ascii="Calibri"/>
                <w:b/>
                <w:color w:val="FFFFFF"/>
                <w:spacing w:val="-5"/>
                <w:sz w:val="18"/>
              </w:rPr>
              <w:t xml:space="preserve"> </w:t>
            </w:r>
            <w:r>
              <w:rPr>
                <w:rFonts w:ascii="Calibri"/>
                <w:b/>
                <w:color w:val="FFFFFF"/>
                <w:sz w:val="18"/>
              </w:rPr>
              <w:t>&amp;</w:t>
            </w:r>
            <w:r>
              <w:rPr>
                <w:rFonts w:ascii="Calibri"/>
                <w:b/>
                <w:color w:val="FFFFFF"/>
                <w:spacing w:val="-6"/>
                <w:sz w:val="18"/>
              </w:rPr>
              <w:t xml:space="preserve"> </w:t>
            </w:r>
            <w:r>
              <w:rPr>
                <w:rFonts w:ascii="Calibri"/>
                <w:b/>
                <w:color w:val="FFFFFF"/>
                <w:spacing w:val="-1"/>
                <w:sz w:val="18"/>
              </w:rPr>
              <w:t>Education</w:t>
            </w:r>
            <w:r>
              <w:rPr>
                <w:rFonts w:ascii="Calibri"/>
                <w:b/>
                <w:color w:val="FFFFFF"/>
                <w:spacing w:val="-4"/>
                <w:sz w:val="18"/>
              </w:rPr>
              <w:t xml:space="preserve"> </w:t>
            </w:r>
            <w:r>
              <w:rPr>
                <w:rFonts w:ascii="Calibri"/>
                <w:b/>
                <w:color w:val="FFFFFF"/>
                <w:spacing w:val="-1"/>
                <w:sz w:val="18"/>
              </w:rPr>
              <w:t>Program</w:t>
            </w:r>
          </w:p>
        </w:tc>
      </w:tr>
      <w:tr w:rsidR="00E646C9" w:rsidTr="00C3558F">
        <w:trPr>
          <w:trHeight w:hRule="exact" w:val="893"/>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138"/>
              <w:rPr>
                <w:rFonts w:ascii="Calibri" w:eastAsia="Calibri" w:hAnsi="Calibri" w:cs="Calibri"/>
                <w:sz w:val="18"/>
                <w:szCs w:val="18"/>
              </w:rPr>
            </w:pPr>
            <w:r>
              <w:rPr>
                <w:rFonts w:ascii="Calibri"/>
                <w:spacing w:val="-1"/>
                <w:sz w:val="18"/>
              </w:rPr>
              <w:t>Closely</w:t>
            </w:r>
            <w:r>
              <w:rPr>
                <w:rFonts w:ascii="Calibri"/>
                <w:spacing w:val="-2"/>
                <w:sz w:val="18"/>
              </w:rPr>
              <w:t xml:space="preserve"> </w:t>
            </w:r>
            <w:r>
              <w:rPr>
                <w:rFonts w:ascii="Calibri"/>
                <w:spacing w:val="-1"/>
                <w:sz w:val="18"/>
              </w:rPr>
              <w:t>monitor</w:t>
            </w:r>
            <w:r>
              <w:rPr>
                <w:rFonts w:ascii="Calibri"/>
                <w:spacing w:val="-2"/>
                <w:sz w:val="18"/>
              </w:rPr>
              <w:t xml:space="preserve"> </w:t>
            </w:r>
            <w:r>
              <w:rPr>
                <w:rFonts w:ascii="Calibri"/>
                <w:spacing w:val="-1"/>
                <w:sz w:val="18"/>
              </w:rPr>
              <w:t>the</w:t>
            </w:r>
            <w:r>
              <w:rPr>
                <w:rFonts w:ascii="Calibri"/>
                <w:spacing w:val="-2"/>
                <w:sz w:val="18"/>
              </w:rPr>
              <w:t xml:space="preserve"> </w:t>
            </w:r>
            <w:r>
              <w:rPr>
                <w:rFonts w:ascii="Calibri"/>
                <w:sz w:val="18"/>
              </w:rPr>
              <w:t>monthly</w:t>
            </w:r>
            <w:r>
              <w:rPr>
                <w:rFonts w:ascii="Calibri"/>
                <w:spacing w:val="-2"/>
                <w:sz w:val="18"/>
              </w:rPr>
              <w:t xml:space="preserve"> </w:t>
            </w:r>
            <w:r>
              <w:rPr>
                <w:rFonts w:ascii="Calibri"/>
                <w:spacing w:val="-1"/>
                <w:sz w:val="18"/>
              </w:rPr>
              <w:t>savings</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customer</w:t>
            </w:r>
            <w:r>
              <w:rPr>
                <w:rFonts w:ascii="Calibri"/>
                <w:sz w:val="18"/>
              </w:rPr>
              <w:t xml:space="preserve"> </w:t>
            </w:r>
            <w:r>
              <w:rPr>
                <w:rFonts w:ascii="Calibri"/>
                <w:spacing w:val="-1"/>
                <w:sz w:val="18"/>
              </w:rPr>
              <w:t>support</w:t>
            </w:r>
            <w:r>
              <w:rPr>
                <w:rFonts w:ascii="Calibri"/>
                <w:spacing w:val="53"/>
                <w:w w:val="99"/>
                <w:sz w:val="18"/>
              </w:rPr>
              <w:t xml:space="preserve"> </w:t>
            </w:r>
            <w:r>
              <w:rPr>
                <w:rFonts w:ascii="Calibri"/>
                <w:spacing w:val="-1"/>
                <w:sz w:val="18"/>
              </w:rPr>
              <w:t>calls</w:t>
            </w:r>
            <w:r>
              <w:rPr>
                <w:rFonts w:ascii="Calibri"/>
                <w:spacing w:val="-3"/>
                <w:sz w:val="18"/>
              </w:rPr>
              <w:t xml:space="preserve"> </w:t>
            </w:r>
            <w:r>
              <w:rPr>
                <w:rFonts w:ascii="Calibri"/>
                <w:spacing w:val="-1"/>
                <w:sz w:val="18"/>
              </w:rPr>
              <w:t>and</w:t>
            </w:r>
            <w:r>
              <w:rPr>
                <w:rFonts w:ascii="Calibri"/>
                <w:spacing w:val="-2"/>
                <w:sz w:val="18"/>
              </w:rPr>
              <w:t xml:space="preserve"> </w:t>
            </w:r>
            <w:r>
              <w:rPr>
                <w:rFonts w:ascii="Calibri"/>
                <w:sz w:val="18"/>
              </w:rPr>
              <w:t>e-mails</w:t>
            </w:r>
            <w:r>
              <w:rPr>
                <w:rFonts w:ascii="Calibri"/>
                <w:spacing w:val="-3"/>
                <w:sz w:val="18"/>
              </w:rPr>
              <w:t xml:space="preserve"> </w:t>
            </w:r>
            <w:r>
              <w:rPr>
                <w:rFonts w:ascii="Calibri"/>
                <w:sz w:val="18"/>
              </w:rPr>
              <w:t>of</w:t>
            </w:r>
            <w:r>
              <w:rPr>
                <w:rFonts w:ascii="Calibri"/>
                <w:spacing w:val="-2"/>
                <w:sz w:val="18"/>
              </w:rPr>
              <w:t xml:space="preserve"> </w:t>
            </w:r>
            <w:r>
              <w:rPr>
                <w:rFonts w:ascii="Calibri"/>
                <w:spacing w:val="-1"/>
                <w:sz w:val="18"/>
              </w:rPr>
              <w:t>the new behavior program</w:t>
            </w:r>
            <w:r>
              <w:rPr>
                <w:rFonts w:ascii="Calibri"/>
                <w:spacing w:val="-3"/>
                <w:sz w:val="18"/>
              </w:rPr>
              <w:t xml:space="preserve"> </w:t>
            </w:r>
            <w:r>
              <w:rPr>
                <w:rFonts w:ascii="Calibri"/>
                <w:spacing w:val="-1"/>
                <w:sz w:val="18"/>
              </w:rPr>
              <w:t>in</w:t>
            </w:r>
            <w:r>
              <w:rPr>
                <w:rFonts w:ascii="Calibri"/>
                <w:spacing w:val="-2"/>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1"/>
                <w:sz w:val="18"/>
              </w:rPr>
              <w:t xml:space="preserve"> by</w:t>
            </w:r>
            <w:r>
              <w:rPr>
                <w:rFonts w:ascii="Calibri"/>
                <w:spacing w:val="53"/>
                <w:w w:val="99"/>
                <w:sz w:val="18"/>
              </w:rPr>
              <w:t xml:space="preserve"> </w:t>
            </w:r>
            <w:r>
              <w:rPr>
                <w:rFonts w:ascii="Calibri"/>
                <w:spacing w:val="-1"/>
                <w:sz w:val="18"/>
              </w:rPr>
              <w:t>setting</w:t>
            </w:r>
            <w:r>
              <w:rPr>
                <w:rFonts w:ascii="Calibri"/>
                <w:spacing w:val="-4"/>
                <w:sz w:val="18"/>
              </w:rPr>
              <w:t xml:space="preserve"> </w:t>
            </w:r>
            <w:r>
              <w:rPr>
                <w:rFonts w:ascii="Calibri"/>
                <w:sz w:val="18"/>
              </w:rPr>
              <w:t>up</w:t>
            </w:r>
            <w:r>
              <w:rPr>
                <w:rFonts w:ascii="Calibri"/>
                <w:spacing w:val="-4"/>
                <w:sz w:val="18"/>
              </w:rPr>
              <w:t xml:space="preserve"> </w:t>
            </w:r>
            <w:r>
              <w:rPr>
                <w:rFonts w:ascii="Calibri"/>
                <w:spacing w:val="-1"/>
                <w:sz w:val="18"/>
              </w:rPr>
              <w:t>some</w:t>
            </w:r>
            <w:r>
              <w:rPr>
                <w:rFonts w:ascii="Calibri"/>
                <w:spacing w:val="-4"/>
                <w:sz w:val="18"/>
              </w:rPr>
              <w:t xml:space="preserve"> </w:t>
            </w:r>
            <w:r>
              <w:rPr>
                <w:rFonts w:ascii="Calibri"/>
                <w:spacing w:val="-1"/>
                <w:sz w:val="18"/>
              </w:rPr>
              <w:t>key</w:t>
            </w:r>
            <w:r>
              <w:rPr>
                <w:rFonts w:ascii="Calibri"/>
                <w:spacing w:val="-3"/>
                <w:sz w:val="18"/>
              </w:rPr>
              <w:t xml:space="preserve"> </w:t>
            </w:r>
            <w:r>
              <w:rPr>
                <w:rFonts w:ascii="Calibri"/>
                <w:spacing w:val="-1"/>
                <w:sz w:val="18"/>
              </w:rPr>
              <w:t>performance</w:t>
            </w:r>
            <w:r>
              <w:rPr>
                <w:rFonts w:ascii="Calibri"/>
                <w:spacing w:val="-2"/>
                <w:sz w:val="18"/>
              </w:rPr>
              <w:t xml:space="preserve"> </w:t>
            </w:r>
            <w:r>
              <w:rPr>
                <w:rFonts w:ascii="Calibri"/>
                <w:spacing w:val="-1"/>
                <w:sz w:val="18"/>
              </w:rPr>
              <w:t>indicators</w:t>
            </w:r>
            <w:r>
              <w:rPr>
                <w:rFonts w:ascii="Calibri"/>
                <w:spacing w:val="-5"/>
                <w:sz w:val="18"/>
              </w:rPr>
              <w:t xml:space="preserve"> </w:t>
            </w:r>
            <w:r>
              <w:rPr>
                <w:rFonts w:ascii="Calibri"/>
                <w:sz w:val="18"/>
              </w:rPr>
              <w:t>derived</w:t>
            </w:r>
            <w:r>
              <w:rPr>
                <w:rFonts w:ascii="Calibri"/>
                <w:spacing w:val="-4"/>
                <w:sz w:val="18"/>
              </w:rPr>
              <w:t xml:space="preserve"> </w:t>
            </w:r>
            <w:r>
              <w:rPr>
                <w:rFonts w:ascii="Calibri"/>
                <w:spacing w:val="-1"/>
                <w:sz w:val="18"/>
              </w:rPr>
              <w:t>from</w:t>
            </w:r>
            <w:r>
              <w:rPr>
                <w:rFonts w:ascii="Calibri"/>
                <w:spacing w:val="55"/>
                <w:w w:val="99"/>
                <w:sz w:val="18"/>
              </w:rPr>
              <w:t xml:space="preserve"> </w:t>
            </w:r>
            <w:r>
              <w:rPr>
                <w:rFonts w:ascii="Calibri"/>
                <w:spacing w:val="-1"/>
                <w:sz w:val="18"/>
              </w:rPr>
              <w:t>observations</w:t>
            </w:r>
            <w:r>
              <w:rPr>
                <w:rFonts w:ascii="Calibri"/>
                <w:spacing w:val="-4"/>
                <w:sz w:val="18"/>
              </w:rPr>
              <w:t xml:space="preserve"> </w:t>
            </w:r>
            <w:r>
              <w:rPr>
                <w:rFonts w:ascii="Calibri"/>
                <w:sz w:val="18"/>
              </w:rPr>
              <w:t>of</w:t>
            </w:r>
            <w:r>
              <w:rPr>
                <w:rFonts w:ascii="Calibri"/>
                <w:spacing w:val="-3"/>
                <w:sz w:val="18"/>
              </w:rPr>
              <w:t xml:space="preserve"> </w:t>
            </w:r>
            <w:r>
              <w:rPr>
                <w:rFonts w:ascii="Calibri"/>
                <w:spacing w:val="-1"/>
                <w:sz w:val="18"/>
              </w:rPr>
              <w:t>Phase</w:t>
            </w:r>
            <w:r>
              <w:rPr>
                <w:rFonts w:ascii="Calibri"/>
                <w:spacing w:val="-3"/>
                <w:sz w:val="18"/>
              </w:rPr>
              <w:t xml:space="preserve"> </w:t>
            </w:r>
            <w:r>
              <w:rPr>
                <w:rFonts w:ascii="Calibri"/>
                <w:sz w:val="18"/>
              </w:rPr>
              <w:t>II.</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898"/>
        </w:trPr>
        <w:tc>
          <w:tcPr>
            <w:tcW w:w="4681"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100"/>
              <w:jc w:val="both"/>
              <w:rPr>
                <w:rFonts w:ascii="Calibri" w:eastAsia="Calibri" w:hAnsi="Calibri" w:cs="Calibri"/>
                <w:sz w:val="18"/>
                <w:szCs w:val="18"/>
              </w:rPr>
            </w:pPr>
            <w:r>
              <w:rPr>
                <w:rFonts w:ascii="Calibri"/>
                <w:spacing w:val="-1"/>
                <w:sz w:val="18"/>
              </w:rPr>
              <w:t>Compare</w:t>
            </w:r>
            <w:r>
              <w:rPr>
                <w:rFonts w:ascii="Calibri"/>
                <w:spacing w:val="11"/>
                <w:sz w:val="18"/>
              </w:rPr>
              <w:t xml:space="preserve"> </w:t>
            </w:r>
            <w:r>
              <w:rPr>
                <w:rFonts w:ascii="Calibri"/>
                <w:spacing w:val="-1"/>
                <w:sz w:val="18"/>
              </w:rPr>
              <w:t>the</w:t>
            </w:r>
            <w:r>
              <w:rPr>
                <w:rFonts w:ascii="Calibri"/>
                <w:spacing w:val="12"/>
                <w:sz w:val="18"/>
              </w:rPr>
              <w:t xml:space="preserve"> </w:t>
            </w:r>
            <w:r>
              <w:rPr>
                <w:rFonts w:ascii="Calibri"/>
                <w:spacing w:val="-1"/>
                <w:sz w:val="18"/>
              </w:rPr>
              <w:t>energy-savings</w:t>
            </w:r>
            <w:r>
              <w:rPr>
                <w:rFonts w:ascii="Calibri"/>
                <w:spacing w:val="12"/>
                <w:sz w:val="18"/>
              </w:rPr>
              <w:t xml:space="preserve"> </w:t>
            </w:r>
            <w:r>
              <w:rPr>
                <w:rFonts w:ascii="Calibri"/>
                <w:spacing w:val="-1"/>
                <w:sz w:val="18"/>
              </w:rPr>
              <w:t>performance</w:t>
            </w:r>
            <w:r>
              <w:rPr>
                <w:rFonts w:ascii="Calibri"/>
                <w:spacing w:val="12"/>
                <w:sz w:val="18"/>
              </w:rPr>
              <w:t xml:space="preserve"> </w:t>
            </w:r>
            <w:r>
              <w:rPr>
                <w:rFonts w:ascii="Calibri"/>
                <w:spacing w:val="-1"/>
                <w:sz w:val="18"/>
              </w:rPr>
              <w:t>between</w:t>
            </w:r>
            <w:r>
              <w:rPr>
                <w:rFonts w:ascii="Calibri"/>
                <w:spacing w:val="12"/>
                <w:sz w:val="18"/>
              </w:rPr>
              <w:t xml:space="preserve"> </w:t>
            </w:r>
            <w:r>
              <w:rPr>
                <w:rFonts w:ascii="Calibri"/>
                <w:sz w:val="18"/>
              </w:rPr>
              <w:t>Phase</w:t>
            </w:r>
            <w:r>
              <w:rPr>
                <w:rFonts w:ascii="Calibri"/>
                <w:spacing w:val="11"/>
                <w:sz w:val="18"/>
              </w:rPr>
              <w:t xml:space="preserve"> </w:t>
            </w:r>
            <w:r>
              <w:rPr>
                <w:rFonts w:ascii="Calibri"/>
                <w:sz w:val="18"/>
              </w:rPr>
              <w:t>II</w:t>
            </w:r>
            <w:r>
              <w:rPr>
                <w:rFonts w:ascii="Calibri"/>
                <w:spacing w:val="65"/>
                <w:w w:val="99"/>
                <w:sz w:val="18"/>
              </w:rPr>
              <w:t xml:space="preserve"> </w:t>
            </w:r>
            <w:r>
              <w:rPr>
                <w:rFonts w:ascii="Calibri"/>
                <w:spacing w:val="-1"/>
                <w:sz w:val="18"/>
              </w:rPr>
              <w:t>and</w:t>
            </w:r>
            <w:r>
              <w:rPr>
                <w:rFonts w:ascii="Calibri"/>
                <w:spacing w:val="16"/>
                <w:sz w:val="18"/>
              </w:rPr>
              <w:t xml:space="preserve"> </w:t>
            </w:r>
            <w:r>
              <w:rPr>
                <w:rFonts w:ascii="Calibri"/>
                <w:sz w:val="18"/>
              </w:rPr>
              <w:t>Phase</w:t>
            </w:r>
            <w:r>
              <w:rPr>
                <w:rFonts w:ascii="Calibri"/>
                <w:spacing w:val="16"/>
                <w:sz w:val="18"/>
              </w:rPr>
              <w:t xml:space="preserve"> </w:t>
            </w:r>
            <w:r>
              <w:rPr>
                <w:rFonts w:ascii="Calibri"/>
                <w:sz w:val="18"/>
              </w:rPr>
              <w:t>III</w:t>
            </w:r>
            <w:r>
              <w:rPr>
                <w:rFonts w:ascii="Calibri"/>
                <w:spacing w:val="20"/>
                <w:sz w:val="18"/>
              </w:rPr>
              <w:t xml:space="preserve"> </w:t>
            </w:r>
            <w:r>
              <w:rPr>
                <w:rFonts w:ascii="Calibri"/>
                <w:sz w:val="18"/>
              </w:rPr>
              <w:t>to</w:t>
            </w:r>
            <w:r>
              <w:rPr>
                <w:rFonts w:ascii="Calibri"/>
                <w:spacing w:val="17"/>
                <w:sz w:val="18"/>
              </w:rPr>
              <w:t xml:space="preserve"> </w:t>
            </w:r>
            <w:r>
              <w:rPr>
                <w:rFonts w:ascii="Calibri"/>
                <w:spacing w:val="-1"/>
                <w:sz w:val="18"/>
              </w:rPr>
              <w:t>note</w:t>
            </w:r>
            <w:r>
              <w:rPr>
                <w:rFonts w:ascii="Calibri"/>
                <w:spacing w:val="16"/>
                <w:sz w:val="18"/>
              </w:rPr>
              <w:t xml:space="preserve"> </w:t>
            </w:r>
            <w:r>
              <w:rPr>
                <w:rFonts w:ascii="Calibri"/>
                <w:spacing w:val="-1"/>
                <w:sz w:val="18"/>
              </w:rPr>
              <w:t>program</w:t>
            </w:r>
            <w:r>
              <w:rPr>
                <w:rFonts w:ascii="Calibri"/>
                <w:spacing w:val="18"/>
                <w:sz w:val="18"/>
              </w:rPr>
              <w:t xml:space="preserve"> </w:t>
            </w:r>
            <w:r>
              <w:rPr>
                <w:rFonts w:ascii="Calibri"/>
                <w:spacing w:val="-1"/>
                <w:sz w:val="18"/>
              </w:rPr>
              <w:t>design</w:t>
            </w:r>
            <w:r>
              <w:rPr>
                <w:rFonts w:ascii="Calibri"/>
                <w:spacing w:val="16"/>
                <w:sz w:val="18"/>
              </w:rPr>
              <w:t xml:space="preserve"> </w:t>
            </w:r>
            <w:r>
              <w:rPr>
                <w:rFonts w:ascii="Calibri"/>
                <w:sz w:val="18"/>
              </w:rPr>
              <w:t>impacts</w:t>
            </w:r>
            <w:r>
              <w:rPr>
                <w:rFonts w:ascii="Calibri"/>
                <w:spacing w:val="17"/>
                <w:sz w:val="18"/>
              </w:rPr>
              <w:t xml:space="preserve"> </w:t>
            </w:r>
            <w:r>
              <w:rPr>
                <w:rFonts w:ascii="Calibri"/>
                <w:sz w:val="18"/>
              </w:rPr>
              <w:t>and</w:t>
            </w:r>
            <w:r>
              <w:rPr>
                <w:rFonts w:ascii="Calibri"/>
                <w:spacing w:val="16"/>
                <w:sz w:val="18"/>
              </w:rPr>
              <w:t xml:space="preserve"> </w:t>
            </w:r>
            <w:r>
              <w:rPr>
                <w:rFonts w:ascii="Calibri"/>
                <w:spacing w:val="-1"/>
                <w:sz w:val="18"/>
              </w:rPr>
              <w:t>any</w:t>
            </w:r>
            <w:r>
              <w:rPr>
                <w:rFonts w:ascii="Calibri"/>
                <w:spacing w:val="37"/>
                <w:w w:val="99"/>
                <w:sz w:val="18"/>
              </w:rPr>
              <w:t xml:space="preserve"> </w:t>
            </w:r>
            <w:r>
              <w:rPr>
                <w:rFonts w:ascii="Calibri"/>
                <w:spacing w:val="-1"/>
                <w:sz w:val="18"/>
              </w:rPr>
              <w:t>transition</w:t>
            </w:r>
            <w:r>
              <w:rPr>
                <w:rFonts w:ascii="Calibri"/>
                <w:spacing w:val="5"/>
                <w:sz w:val="18"/>
              </w:rPr>
              <w:t xml:space="preserve"> </w:t>
            </w:r>
            <w:r>
              <w:rPr>
                <w:rFonts w:ascii="Calibri"/>
                <w:spacing w:val="-1"/>
                <w:sz w:val="18"/>
              </w:rPr>
              <w:t>challenges,</w:t>
            </w:r>
            <w:r>
              <w:rPr>
                <w:rFonts w:ascii="Calibri"/>
                <w:spacing w:val="8"/>
                <w:sz w:val="18"/>
              </w:rPr>
              <w:t xml:space="preserve"> </w:t>
            </w:r>
            <w:r>
              <w:rPr>
                <w:rFonts w:ascii="Calibri"/>
                <w:spacing w:val="-1"/>
                <w:sz w:val="18"/>
              </w:rPr>
              <w:t>especially</w:t>
            </w:r>
            <w:r>
              <w:rPr>
                <w:rFonts w:ascii="Calibri"/>
                <w:spacing w:val="5"/>
                <w:sz w:val="18"/>
              </w:rPr>
              <w:t xml:space="preserve"> </w:t>
            </w:r>
            <w:r>
              <w:rPr>
                <w:rFonts w:ascii="Calibri"/>
                <w:spacing w:val="-1"/>
                <w:sz w:val="18"/>
              </w:rPr>
              <w:t>through</w:t>
            </w:r>
            <w:r>
              <w:rPr>
                <w:rFonts w:ascii="Calibri"/>
                <w:spacing w:val="6"/>
                <w:sz w:val="18"/>
              </w:rPr>
              <w:t xml:space="preserve"> </w:t>
            </w:r>
            <w:r>
              <w:rPr>
                <w:rFonts w:ascii="Calibri"/>
                <w:spacing w:val="-1"/>
                <w:sz w:val="18"/>
              </w:rPr>
              <w:t>comparisons</w:t>
            </w:r>
            <w:r>
              <w:rPr>
                <w:rFonts w:ascii="Calibri"/>
                <w:spacing w:val="6"/>
                <w:sz w:val="18"/>
              </w:rPr>
              <w:t xml:space="preserve"> </w:t>
            </w:r>
            <w:r>
              <w:rPr>
                <w:rFonts w:ascii="Calibri"/>
                <w:sz w:val="18"/>
              </w:rPr>
              <w:t>of</w:t>
            </w:r>
            <w:r>
              <w:rPr>
                <w:rFonts w:ascii="Calibri"/>
                <w:spacing w:val="5"/>
                <w:sz w:val="18"/>
              </w:rPr>
              <w:t xml:space="preserve"> </w:t>
            </w:r>
            <w:r>
              <w:rPr>
                <w:rFonts w:ascii="Calibri"/>
                <w:sz w:val="18"/>
              </w:rPr>
              <w:t>PY7</w:t>
            </w:r>
            <w:r>
              <w:rPr>
                <w:rFonts w:ascii="Calibri"/>
                <w:spacing w:val="67"/>
                <w:w w:val="99"/>
                <w:sz w:val="18"/>
              </w:rPr>
              <w:t xml:space="preserve"> </w:t>
            </w:r>
            <w:r>
              <w:rPr>
                <w:rFonts w:ascii="Calibri"/>
                <w:spacing w:val="-1"/>
                <w:sz w:val="18"/>
              </w:rPr>
              <w:t>and</w:t>
            </w:r>
            <w:r>
              <w:rPr>
                <w:rFonts w:ascii="Calibri"/>
                <w:spacing w:val="-2"/>
                <w:sz w:val="18"/>
              </w:rPr>
              <w:t xml:space="preserve"> </w:t>
            </w:r>
            <w:r>
              <w:rPr>
                <w:rFonts w:ascii="Calibri"/>
                <w:sz w:val="18"/>
              </w:rPr>
              <w:t>PY8.</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ind w:left="99" w:right="333"/>
              <w:rPr>
                <w:rFonts w:ascii="Calibri" w:eastAsia="Calibri" w:hAnsi="Calibri" w:cs="Calibri"/>
                <w:sz w:val="18"/>
                <w:szCs w:val="18"/>
              </w:rPr>
            </w:pPr>
            <w:r>
              <w:rPr>
                <w:rFonts w:ascii="Calibri"/>
                <w:spacing w:val="-1"/>
                <w:sz w:val="18"/>
              </w:rPr>
              <w:t>Will</w:t>
            </w:r>
            <w:r>
              <w:rPr>
                <w:rFonts w:ascii="Calibri"/>
                <w:spacing w:val="-4"/>
                <w:sz w:val="18"/>
              </w:rPr>
              <w:t xml:space="preserve"> </w:t>
            </w:r>
            <w:r>
              <w:rPr>
                <w:rFonts w:ascii="Calibri"/>
                <w:spacing w:val="-1"/>
                <w:sz w:val="18"/>
              </w:rPr>
              <w:t>be</w:t>
            </w:r>
            <w:r>
              <w:rPr>
                <w:rFonts w:ascii="Calibri"/>
                <w:spacing w:val="-3"/>
                <w:sz w:val="18"/>
              </w:rPr>
              <w:t xml:space="preserve"> </w:t>
            </w:r>
            <w:r>
              <w:rPr>
                <w:rFonts w:ascii="Calibri"/>
                <w:sz w:val="18"/>
              </w:rPr>
              <w:t>implemented</w:t>
            </w:r>
            <w:r>
              <w:rPr>
                <w:rFonts w:ascii="Calibri"/>
                <w:spacing w:val="-3"/>
                <w:sz w:val="18"/>
              </w:rPr>
              <w:t xml:space="preserve"> </w:t>
            </w:r>
            <w:r>
              <w:rPr>
                <w:rFonts w:ascii="Calibri"/>
                <w:spacing w:val="-1"/>
                <w:sz w:val="18"/>
              </w:rPr>
              <w:t>(Phase</w:t>
            </w:r>
            <w:r>
              <w:rPr>
                <w:rFonts w:ascii="Calibri"/>
                <w:spacing w:val="-4"/>
                <w:sz w:val="18"/>
              </w:rPr>
              <w:t xml:space="preserve"> </w:t>
            </w:r>
            <w:r>
              <w:rPr>
                <w:rFonts w:ascii="Calibri"/>
                <w:sz w:val="18"/>
              </w:rPr>
              <w:t>III</w:t>
            </w:r>
            <w:r>
              <w:rPr>
                <w:rFonts w:ascii="Calibri"/>
                <w:spacing w:val="-2"/>
                <w:sz w:val="18"/>
              </w:rPr>
              <w:t xml:space="preserve"> </w:t>
            </w:r>
            <w:r>
              <w:rPr>
                <w:rFonts w:ascii="Calibri"/>
                <w:spacing w:val="-1"/>
                <w:sz w:val="18"/>
              </w:rPr>
              <w:t>savings</w:t>
            </w:r>
            <w:r>
              <w:rPr>
                <w:rFonts w:ascii="Calibri"/>
                <w:spacing w:val="-3"/>
                <w:sz w:val="18"/>
              </w:rPr>
              <w:t xml:space="preserve"> </w:t>
            </w:r>
            <w:r>
              <w:rPr>
                <w:rFonts w:ascii="Calibri"/>
                <w:spacing w:val="-1"/>
                <w:sz w:val="18"/>
              </w:rPr>
              <w:t>will</w:t>
            </w:r>
            <w:r>
              <w:rPr>
                <w:rFonts w:ascii="Calibri"/>
                <w:spacing w:val="-2"/>
                <w:sz w:val="18"/>
              </w:rPr>
              <w:t xml:space="preserve"> </w:t>
            </w:r>
            <w:r>
              <w:rPr>
                <w:rFonts w:ascii="Calibri"/>
                <w:spacing w:val="-1"/>
                <w:sz w:val="18"/>
              </w:rPr>
              <w:t>be</w:t>
            </w:r>
            <w:r>
              <w:rPr>
                <w:rFonts w:ascii="Calibri"/>
                <w:spacing w:val="-3"/>
                <w:sz w:val="18"/>
              </w:rPr>
              <w:t xml:space="preserve"> </w:t>
            </w:r>
            <w:r>
              <w:rPr>
                <w:rFonts w:ascii="Calibri"/>
                <w:sz w:val="18"/>
              </w:rPr>
              <w:t>determined</w:t>
            </w:r>
            <w:r>
              <w:rPr>
                <w:rFonts w:ascii="Calibri"/>
                <w:spacing w:val="29"/>
                <w:sz w:val="18"/>
              </w:rPr>
              <w:t xml:space="preserve"> </w:t>
            </w:r>
            <w:r>
              <w:rPr>
                <w:rFonts w:ascii="Calibri"/>
                <w:spacing w:val="-1"/>
                <w:sz w:val="18"/>
              </w:rPr>
              <w:t>late</w:t>
            </w:r>
            <w:r>
              <w:rPr>
                <w:rFonts w:ascii="Calibri"/>
                <w:spacing w:val="-3"/>
                <w:sz w:val="18"/>
              </w:rPr>
              <w:t xml:space="preserve"> </w:t>
            </w:r>
            <w:r>
              <w:rPr>
                <w:rFonts w:ascii="Calibri"/>
                <w:sz w:val="18"/>
              </w:rPr>
              <w:t>in</w:t>
            </w:r>
            <w:r>
              <w:rPr>
                <w:rFonts w:ascii="Calibri"/>
                <w:spacing w:val="-3"/>
                <w:sz w:val="18"/>
              </w:rPr>
              <w:t xml:space="preserve"> </w:t>
            </w:r>
            <w:r>
              <w:rPr>
                <w:rFonts w:ascii="Calibri"/>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Will</w:t>
            </w:r>
            <w:r>
              <w:rPr>
                <w:rFonts w:ascii="Calibri"/>
                <w:spacing w:val="-2"/>
                <w:sz w:val="18"/>
              </w:rPr>
              <w:t xml:space="preserve"> </w:t>
            </w:r>
            <w:r>
              <w:rPr>
                <w:rFonts w:ascii="Calibri"/>
                <w:spacing w:val="-1"/>
                <w:sz w:val="18"/>
              </w:rPr>
              <w:t>also be</w:t>
            </w:r>
            <w:r>
              <w:rPr>
                <w:rFonts w:ascii="Calibri"/>
                <w:spacing w:val="-2"/>
                <w:sz w:val="18"/>
              </w:rPr>
              <w:t xml:space="preserve"> </w:t>
            </w:r>
            <w:r>
              <w:rPr>
                <w:rFonts w:ascii="Calibri"/>
                <w:spacing w:val="-1"/>
                <w:sz w:val="18"/>
              </w:rPr>
              <w:t>evaluated by Cadmus</w:t>
            </w:r>
            <w:r>
              <w:rPr>
                <w:rFonts w:ascii="Calibri"/>
                <w:sz w:val="18"/>
              </w:rPr>
              <w:t xml:space="preserve"> </w:t>
            </w:r>
            <w:r>
              <w:rPr>
                <w:rFonts w:ascii="Calibri"/>
                <w:spacing w:val="-1"/>
                <w:sz w:val="18"/>
              </w:rPr>
              <w:t>in</w:t>
            </w:r>
            <w:r>
              <w:rPr>
                <w:rFonts w:ascii="Calibri"/>
                <w:spacing w:val="-2"/>
                <w:sz w:val="18"/>
              </w:rPr>
              <w:t xml:space="preserve"> </w:t>
            </w:r>
            <w:r>
              <w:rPr>
                <w:rFonts w:ascii="Calibri"/>
                <w:sz w:val="18"/>
              </w:rPr>
              <w:t>PY8.</w:t>
            </w:r>
          </w:p>
        </w:tc>
      </w:tr>
    </w:tbl>
    <w:p w:rsidR="00E646C9" w:rsidRPr="00C3558F" w:rsidRDefault="00E646C9" w:rsidP="00C3558F"/>
    <w:p w:rsidR="00E646C9" w:rsidRPr="00130312" w:rsidRDefault="00E646C9" w:rsidP="00C3558F">
      <w:pPr>
        <w:pStyle w:val="AppendixGHeading2"/>
      </w:pPr>
      <w:r w:rsidRPr="00A96D5B">
        <w:t xml:space="preserve">Residential </w:t>
      </w:r>
      <w:r>
        <w:t>Home Comfort</w:t>
      </w:r>
      <w:r w:rsidRPr="00A96D5B">
        <w:t xml:space="preserve"> Program</w:t>
      </w:r>
    </w:p>
    <w:tbl>
      <w:tblPr>
        <w:tblW w:w="9350" w:type="dxa"/>
        <w:tblLayout w:type="fixed"/>
        <w:tblCellMar>
          <w:left w:w="0" w:type="dxa"/>
          <w:right w:w="0" w:type="dxa"/>
        </w:tblCellMar>
        <w:tblLook w:val="01E0" w:firstRow="1" w:lastRow="1" w:firstColumn="1" w:lastColumn="1" w:noHBand="0" w:noVBand="0"/>
      </w:tblPr>
      <w:tblGrid>
        <w:gridCol w:w="4681"/>
        <w:gridCol w:w="4669"/>
      </w:tblGrid>
      <w:tr w:rsidR="00E646C9" w:rsidTr="0011636D">
        <w:trPr>
          <w:trHeight w:hRule="exact" w:val="679"/>
        </w:trPr>
        <w:tc>
          <w:tcPr>
            <w:tcW w:w="9350"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FB3B18">
            <w:pPr>
              <w:pStyle w:val="TableParagraph"/>
              <w:tabs>
                <w:tab w:val="left" w:pos="5224"/>
              </w:tabs>
              <w:ind w:left="5001" w:right="321" w:hanging="4925"/>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pacing w:val="-1"/>
                <w:sz w:val="18"/>
              </w:rPr>
              <w:t>Report</w:t>
            </w:r>
            <w:r>
              <w:rPr>
                <w:rFonts w:ascii="Calibri"/>
                <w:b/>
                <w:color w:val="FFFFFF"/>
                <w:spacing w:val="-4"/>
                <w:sz w:val="18"/>
              </w:rPr>
              <w:t xml:space="preserve"> </w:t>
            </w:r>
            <w:r>
              <w:rPr>
                <w:rFonts w:ascii="Calibri"/>
                <w:b/>
                <w:color w:val="FFFFFF"/>
                <w:spacing w:val="-1"/>
                <w:sz w:val="18"/>
              </w:rPr>
              <w:t>for</w:t>
            </w:r>
            <w:r>
              <w:rPr>
                <w:rFonts w:ascii="Calibri"/>
                <w:b/>
                <w:color w:val="FFFFFF"/>
                <w:spacing w:val="-3"/>
                <w:sz w:val="18"/>
              </w:rPr>
              <w:t xml:space="preserve"> </w:t>
            </w:r>
            <w:r>
              <w:rPr>
                <w:rFonts w:ascii="Calibri"/>
                <w:b/>
                <w:color w:val="FFFFFF"/>
                <w:spacing w:val="-1"/>
                <w:sz w:val="18"/>
              </w:rPr>
              <w:t>Process</w:t>
            </w:r>
            <w:r>
              <w:rPr>
                <w:rFonts w:ascii="Calibri"/>
                <w:b/>
                <w:color w:val="FFFFFF"/>
                <w:spacing w:val="-5"/>
                <w:sz w:val="18"/>
              </w:rPr>
              <w:t xml:space="preserve"> </w:t>
            </w:r>
            <w:r>
              <w:rPr>
                <w:rFonts w:ascii="Calibri"/>
                <w:b/>
                <w:color w:val="FFFFFF"/>
                <w:spacing w:val="-1"/>
                <w:sz w:val="18"/>
              </w:rPr>
              <w:t>Evaluations</w:t>
            </w:r>
            <w:r>
              <w:rPr>
                <w:rFonts w:ascii="Calibri"/>
                <w:b/>
                <w:color w:val="FFFFFF"/>
                <w:spacing w:val="57"/>
                <w:w w:val="99"/>
                <w:sz w:val="18"/>
              </w:rPr>
              <w:t xml:space="preserve"> </w:t>
            </w:r>
            <w:r w:rsidRPr="00C3558F">
              <w:rPr>
                <w:rFonts w:ascii="Calibri"/>
                <w:color w:val="FFFFFF"/>
                <w:spacing w:val="-1"/>
                <w:sz w:val="18"/>
              </w:rPr>
              <w:t>(Implemented,</w:t>
            </w:r>
            <w:r w:rsidRPr="00C3558F">
              <w:rPr>
                <w:rFonts w:ascii="Calibri"/>
                <w:color w:val="FFFFFF"/>
                <w:spacing w:val="-6"/>
                <w:sz w:val="18"/>
              </w:rPr>
              <w:t xml:space="preserve"> </w:t>
            </w:r>
            <w:r w:rsidRPr="00C3558F">
              <w:rPr>
                <w:rFonts w:ascii="Calibri"/>
                <w:color w:val="FFFFFF"/>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6"/>
                <w:sz w:val="18"/>
              </w:rPr>
              <w:t xml:space="preserve"> </w:t>
            </w:r>
            <w:r w:rsidRPr="00C3558F">
              <w:rPr>
                <w:rFonts w:ascii="Calibri"/>
                <w:color w:val="FFFFFF"/>
                <w:sz w:val="18"/>
              </w:rPr>
              <w:t>AND</w:t>
            </w:r>
          </w:p>
          <w:p w:rsidR="00E646C9" w:rsidRDefault="00E646C9" w:rsidP="00C94D5A">
            <w:pPr>
              <w:pStyle w:val="TableParagraph"/>
              <w:spacing w:before="1"/>
              <w:ind w:left="5459"/>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5"/>
                <w:sz w:val="18"/>
              </w:rPr>
              <w:t xml:space="preserve"> </w:t>
            </w:r>
            <w:r w:rsidRPr="00C3558F">
              <w:rPr>
                <w:rFonts w:ascii="Calibri"/>
                <w:color w:val="FFFFFF"/>
                <w:spacing w:val="-1"/>
                <w:sz w:val="18"/>
              </w:rPr>
              <w:t>of</w:t>
            </w:r>
            <w:r w:rsidRPr="00C3558F">
              <w:rPr>
                <w:rFonts w:ascii="Calibri"/>
                <w:color w:val="FFFFFF"/>
                <w:spacing w:val="-5"/>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r w:rsidR="00C3558F">
              <w:rPr>
                <w:rFonts w:ascii="Calibri"/>
                <w:color w:val="FFFFFF"/>
                <w:spacing w:val="-1"/>
                <w:sz w:val="18"/>
              </w:rPr>
              <w:t>)</w:t>
            </w:r>
          </w:p>
        </w:tc>
      </w:tr>
      <w:tr w:rsidR="00E646C9" w:rsidTr="0011636D">
        <w:trPr>
          <w:trHeight w:hRule="exact" w:val="67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31"/>
              <w:rPr>
                <w:rFonts w:ascii="Calibri" w:eastAsia="Calibri" w:hAnsi="Calibri" w:cs="Calibri"/>
                <w:sz w:val="18"/>
                <w:szCs w:val="18"/>
              </w:rPr>
            </w:pPr>
            <w:r>
              <w:rPr>
                <w:rFonts w:ascii="Calibri"/>
                <w:spacing w:val="-1"/>
                <w:sz w:val="18"/>
              </w:rPr>
              <w:t>Require</w:t>
            </w:r>
            <w:r>
              <w:rPr>
                <w:rFonts w:ascii="Calibri"/>
                <w:spacing w:val="-4"/>
                <w:sz w:val="18"/>
              </w:rPr>
              <w:t xml:space="preserve"> </w:t>
            </w:r>
            <w:r>
              <w:rPr>
                <w:rFonts w:ascii="Calibri"/>
                <w:spacing w:val="-1"/>
                <w:sz w:val="18"/>
              </w:rPr>
              <w:t>the AHRI</w:t>
            </w:r>
            <w:r>
              <w:rPr>
                <w:rFonts w:ascii="Calibri"/>
                <w:spacing w:val="-2"/>
                <w:sz w:val="18"/>
              </w:rPr>
              <w:t xml:space="preserve"> </w:t>
            </w:r>
            <w:r>
              <w:rPr>
                <w:rFonts w:ascii="Calibri"/>
                <w:spacing w:val="-1"/>
                <w:sz w:val="18"/>
              </w:rPr>
              <w:t>certificate</w:t>
            </w:r>
            <w:r>
              <w:rPr>
                <w:rFonts w:ascii="Calibri"/>
                <w:spacing w:val="-4"/>
                <w:sz w:val="18"/>
              </w:rPr>
              <w:t xml:space="preserve"> </w:t>
            </w:r>
            <w:r>
              <w:rPr>
                <w:rFonts w:ascii="Calibri"/>
                <w:spacing w:val="-1"/>
                <w:sz w:val="18"/>
              </w:rPr>
              <w:t xml:space="preserve">and </w:t>
            </w:r>
            <w:r>
              <w:rPr>
                <w:rFonts w:ascii="Calibri"/>
                <w:sz w:val="18"/>
              </w:rPr>
              <w:t>the</w:t>
            </w:r>
            <w:r>
              <w:rPr>
                <w:rFonts w:ascii="Calibri"/>
                <w:spacing w:val="-3"/>
                <w:sz w:val="18"/>
              </w:rPr>
              <w:t xml:space="preserve"> </w:t>
            </w:r>
            <w:r>
              <w:rPr>
                <w:rFonts w:ascii="Calibri"/>
                <w:sz w:val="18"/>
              </w:rPr>
              <w:t>two</w:t>
            </w:r>
            <w:r>
              <w:rPr>
                <w:rFonts w:ascii="Calibri"/>
                <w:spacing w:val="-3"/>
                <w:sz w:val="18"/>
              </w:rPr>
              <w:t xml:space="preserve"> </w:t>
            </w:r>
            <w:r>
              <w:rPr>
                <w:rFonts w:ascii="Calibri"/>
                <w:spacing w:val="-1"/>
                <w:sz w:val="18"/>
              </w:rPr>
              <w:t>heating</w:t>
            </w:r>
            <w:r>
              <w:rPr>
                <w:rFonts w:ascii="Calibri"/>
                <w:spacing w:val="-3"/>
                <w:sz w:val="18"/>
              </w:rPr>
              <w:t xml:space="preserve"> </w:t>
            </w:r>
            <w:r>
              <w:rPr>
                <w:rFonts w:ascii="Calibri"/>
                <w:spacing w:val="-1"/>
                <w:sz w:val="18"/>
              </w:rPr>
              <w:t>capacity</w:t>
            </w:r>
            <w:r>
              <w:rPr>
                <w:rFonts w:ascii="Calibri"/>
                <w:spacing w:val="51"/>
                <w:w w:val="99"/>
                <w:sz w:val="18"/>
              </w:rPr>
              <w:t xml:space="preserve"> </w:t>
            </w:r>
            <w:r>
              <w:rPr>
                <w:rFonts w:ascii="Calibri"/>
                <w:spacing w:val="-1"/>
                <w:sz w:val="18"/>
              </w:rPr>
              <w:t>values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z w:val="18"/>
              </w:rPr>
              <w:t xml:space="preserve"> </w:t>
            </w:r>
            <w:r>
              <w:rPr>
                <w:rFonts w:ascii="Calibri"/>
                <w:spacing w:val="-1"/>
                <w:sz w:val="18"/>
              </w:rPr>
              <w:t>existing</w:t>
            </w:r>
            <w:r>
              <w:rPr>
                <w:rFonts w:ascii="Calibri"/>
                <w:spacing w:val="-3"/>
                <w:sz w:val="18"/>
              </w:rPr>
              <w:t xml:space="preserve"> </w:t>
            </w:r>
            <w:r>
              <w:rPr>
                <w:rFonts w:ascii="Calibri"/>
                <w:spacing w:val="-1"/>
                <w:sz w:val="18"/>
              </w:rPr>
              <w:t>equipment</w:t>
            </w:r>
            <w:r>
              <w:rPr>
                <w:rFonts w:ascii="Calibri"/>
                <w:sz w:val="18"/>
              </w:rPr>
              <w:t xml:space="preserve"> </w:t>
            </w:r>
            <w:r>
              <w:rPr>
                <w:rFonts w:ascii="Calibri"/>
                <w:spacing w:val="-1"/>
                <w:sz w:val="18"/>
              </w:rPr>
              <w:t>and</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new</w:t>
            </w:r>
            <w:r>
              <w:rPr>
                <w:rFonts w:ascii="Calibri"/>
                <w:spacing w:val="-2"/>
                <w:sz w:val="18"/>
              </w:rPr>
              <w:t xml:space="preserve"> </w:t>
            </w:r>
            <w:r>
              <w:rPr>
                <w:rFonts w:ascii="Calibri"/>
                <w:spacing w:val="-1"/>
                <w:sz w:val="18"/>
              </w:rPr>
              <w:t xml:space="preserve">equipment </w:t>
            </w:r>
            <w:r>
              <w:rPr>
                <w:rFonts w:ascii="Calibri"/>
                <w:sz w:val="18"/>
              </w:rPr>
              <w:t>for</w:t>
            </w:r>
            <w:r>
              <w:rPr>
                <w:rFonts w:ascii="Calibri"/>
                <w:spacing w:val="55"/>
                <w:w w:val="99"/>
                <w:sz w:val="18"/>
              </w:rPr>
              <w:t xml:space="preserve"> </w:t>
            </w:r>
            <w:r>
              <w:rPr>
                <w:rFonts w:ascii="Calibri"/>
                <w:spacing w:val="-1"/>
                <w:sz w:val="18"/>
              </w:rPr>
              <w:t>fuel-switching</w:t>
            </w:r>
            <w:r>
              <w:rPr>
                <w:rFonts w:ascii="Calibri"/>
                <w:spacing w:val="-6"/>
                <w:sz w:val="18"/>
              </w:rPr>
              <w:t xml:space="preserve"> </w:t>
            </w:r>
            <w:r>
              <w:rPr>
                <w:rFonts w:ascii="Calibri"/>
                <w:sz w:val="18"/>
              </w:rPr>
              <w:t>rebate</w:t>
            </w:r>
            <w:r>
              <w:rPr>
                <w:rFonts w:ascii="Calibri"/>
                <w:spacing w:val="-6"/>
                <w:sz w:val="18"/>
              </w:rPr>
              <w:t xml:space="preserve"> </w:t>
            </w:r>
            <w:r>
              <w:rPr>
                <w:rFonts w:ascii="Calibri"/>
                <w:spacing w:val="-1"/>
                <w:sz w:val="18"/>
              </w:rPr>
              <w:t>forms.</w:t>
            </w:r>
          </w:p>
        </w:tc>
        <w:tc>
          <w:tcPr>
            <w:tcW w:w="4669"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9" w:lineRule="exact"/>
              <w:ind w:left="102"/>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w:t>
            </w:r>
            <w:r>
              <w:rPr>
                <w:rFonts w:ascii="Calibri"/>
                <w:spacing w:val="-4"/>
                <w:sz w:val="18"/>
              </w:rPr>
              <w:t xml:space="preserve"> </w:t>
            </w:r>
            <w:r>
              <w:rPr>
                <w:rFonts w:ascii="Calibri"/>
                <w:spacing w:val="-1"/>
                <w:sz w:val="18"/>
              </w:rPr>
              <w:t>likely</w:t>
            </w:r>
            <w:r>
              <w:rPr>
                <w:rFonts w:ascii="Calibri"/>
                <w:spacing w:val="-3"/>
                <w:sz w:val="18"/>
              </w:rPr>
              <w:t xml:space="preserve"> </w:t>
            </w:r>
            <w:r>
              <w:rPr>
                <w:rFonts w:ascii="Calibri"/>
                <w:sz w:val="18"/>
              </w:rPr>
              <w:t>be</w:t>
            </w:r>
            <w:r>
              <w:rPr>
                <w:rFonts w:ascii="Calibri"/>
                <w:spacing w:val="-3"/>
                <w:sz w:val="18"/>
              </w:rPr>
              <w:t xml:space="preserve"> </w:t>
            </w:r>
            <w:r>
              <w:rPr>
                <w:rFonts w:ascii="Calibri"/>
                <w:spacing w:val="-1"/>
                <w:sz w:val="18"/>
              </w:rPr>
              <w:t>implemented.</w:t>
            </w:r>
          </w:p>
        </w:tc>
      </w:tr>
      <w:tr w:rsidR="00E646C9" w:rsidTr="0011636D">
        <w:trPr>
          <w:trHeight w:hRule="exact" w:val="896"/>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208"/>
              <w:rPr>
                <w:rFonts w:ascii="Calibri" w:eastAsia="Calibri" w:hAnsi="Calibri" w:cs="Calibri"/>
                <w:sz w:val="18"/>
                <w:szCs w:val="18"/>
              </w:rPr>
            </w:pPr>
            <w:r>
              <w:rPr>
                <w:rFonts w:ascii="Calibri" w:eastAsia="Calibri" w:hAnsi="Calibri" w:cs="Calibri"/>
                <w:spacing w:val="-1"/>
                <w:sz w:val="18"/>
                <w:szCs w:val="18"/>
              </w:rPr>
              <w:t>Strengthen</w:t>
            </w:r>
            <w:r>
              <w:rPr>
                <w:rFonts w:ascii="Calibri" w:eastAsia="Calibri" w:hAnsi="Calibri" w:cs="Calibri"/>
                <w:spacing w:val="-5"/>
                <w:sz w:val="18"/>
                <w:szCs w:val="18"/>
              </w:rPr>
              <w:t xml:space="preserve"> </w:t>
            </w:r>
            <w:r>
              <w:rPr>
                <w:rFonts w:ascii="Calibri" w:eastAsia="Calibri" w:hAnsi="Calibri" w:cs="Calibri"/>
                <w:spacing w:val="-1"/>
                <w:sz w:val="18"/>
                <w:szCs w:val="18"/>
              </w:rPr>
              <w:t>cross-program</w:t>
            </w:r>
            <w:r>
              <w:rPr>
                <w:rFonts w:ascii="Calibri" w:eastAsia="Calibri" w:hAnsi="Calibri" w:cs="Calibri"/>
                <w:spacing w:val="-5"/>
                <w:sz w:val="18"/>
                <w:szCs w:val="18"/>
              </w:rPr>
              <w:t xml:space="preserve"> </w:t>
            </w:r>
            <w:r>
              <w:rPr>
                <w:rFonts w:ascii="Calibri" w:eastAsia="Calibri" w:hAnsi="Calibri" w:cs="Calibri"/>
                <w:spacing w:val="-1"/>
                <w:sz w:val="18"/>
                <w:szCs w:val="18"/>
              </w:rPr>
              <w:t>awareness</w:t>
            </w:r>
            <w:r>
              <w:rPr>
                <w:rFonts w:ascii="Calibri" w:eastAsia="Calibri" w:hAnsi="Calibri" w:cs="Calibri"/>
                <w:spacing w:val="-3"/>
                <w:sz w:val="18"/>
                <w:szCs w:val="18"/>
              </w:rPr>
              <w:t xml:space="preserve"> </w:t>
            </w:r>
            <w:r>
              <w:rPr>
                <w:rFonts w:ascii="Calibri" w:eastAsia="Calibri" w:hAnsi="Calibri" w:cs="Calibri"/>
                <w:spacing w:val="-1"/>
                <w:sz w:val="18"/>
                <w:szCs w:val="18"/>
              </w:rPr>
              <w:t>initiatives</w:t>
            </w:r>
            <w:r>
              <w:rPr>
                <w:rFonts w:ascii="Calibri" w:eastAsia="Calibri" w:hAnsi="Calibri" w:cs="Calibri"/>
                <w:spacing w:val="-5"/>
                <w:sz w:val="18"/>
                <w:szCs w:val="18"/>
              </w:rPr>
              <w:t xml:space="preserve"> </w:t>
            </w:r>
            <w:r>
              <w:rPr>
                <w:rFonts w:ascii="Calibri" w:eastAsia="Calibri" w:hAnsi="Calibri" w:cs="Calibri"/>
                <w:sz w:val="18"/>
                <w:szCs w:val="18"/>
              </w:rPr>
              <w:t>in</w:t>
            </w:r>
            <w:r>
              <w:rPr>
                <w:rFonts w:ascii="Calibri" w:eastAsia="Calibri" w:hAnsi="Calibri" w:cs="Calibri"/>
                <w:spacing w:val="-5"/>
                <w:sz w:val="18"/>
                <w:szCs w:val="18"/>
              </w:rPr>
              <w:t xml:space="preserve"> </w:t>
            </w:r>
            <w:r>
              <w:rPr>
                <w:rFonts w:ascii="Calibri" w:eastAsia="Calibri" w:hAnsi="Calibri" w:cs="Calibri"/>
                <w:sz w:val="18"/>
                <w:szCs w:val="18"/>
              </w:rPr>
              <w:t>Phase</w:t>
            </w:r>
            <w:r>
              <w:rPr>
                <w:rFonts w:ascii="Calibri" w:eastAsia="Calibri" w:hAnsi="Calibri" w:cs="Calibri"/>
                <w:spacing w:val="-4"/>
                <w:sz w:val="18"/>
                <w:szCs w:val="18"/>
              </w:rPr>
              <w:t xml:space="preserve"> </w:t>
            </w:r>
            <w:r>
              <w:rPr>
                <w:rFonts w:ascii="Calibri" w:eastAsia="Calibri" w:hAnsi="Calibri" w:cs="Calibri"/>
                <w:sz w:val="18"/>
                <w:szCs w:val="18"/>
              </w:rPr>
              <w:t>III,</w:t>
            </w:r>
            <w:r>
              <w:rPr>
                <w:rFonts w:ascii="Calibri" w:eastAsia="Calibri" w:hAnsi="Calibri" w:cs="Calibri"/>
                <w:spacing w:val="65"/>
                <w:w w:val="99"/>
                <w:sz w:val="18"/>
                <w:szCs w:val="18"/>
              </w:rPr>
              <w:t xml:space="preserve"> </w:t>
            </w:r>
            <w:r>
              <w:rPr>
                <w:rFonts w:ascii="Calibri" w:eastAsia="Calibri" w:hAnsi="Calibri" w:cs="Calibri"/>
                <w:spacing w:val="-1"/>
                <w:sz w:val="18"/>
                <w:szCs w:val="18"/>
              </w:rPr>
              <w:t>such</w:t>
            </w:r>
            <w:r>
              <w:rPr>
                <w:rFonts w:ascii="Calibri" w:eastAsia="Calibri" w:hAnsi="Calibri" w:cs="Calibri"/>
                <w:spacing w:val="-3"/>
                <w:sz w:val="18"/>
                <w:szCs w:val="18"/>
              </w:rPr>
              <w:t xml:space="preserve"> </w:t>
            </w:r>
            <w:r>
              <w:rPr>
                <w:rFonts w:ascii="Calibri" w:eastAsia="Calibri" w:hAnsi="Calibri" w:cs="Calibri"/>
                <w:sz w:val="18"/>
                <w:szCs w:val="18"/>
              </w:rPr>
              <w:t>as</w:t>
            </w:r>
            <w:r>
              <w:rPr>
                <w:rFonts w:ascii="Calibri" w:eastAsia="Calibri" w:hAnsi="Calibri" w:cs="Calibri"/>
                <w:spacing w:val="-2"/>
                <w:sz w:val="18"/>
                <w:szCs w:val="18"/>
              </w:rPr>
              <w:t xml:space="preserve"> </w:t>
            </w:r>
            <w:r>
              <w:rPr>
                <w:rFonts w:ascii="Calibri" w:eastAsia="Calibri" w:hAnsi="Calibri" w:cs="Calibri"/>
                <w:sz w:val="18"/>
                <w:szCs w:val="18"/>
              </w:rPr>
              <w:t>adding</w:t>
            </w:r>
            <w:r>
              <w:rPr>
                <w:rFonts w:ascii="Calibri" w:eastAsia="Calibri" w:hAnsi="Calibri" w:cs="Calibri"/>
                <w:spacing w:val="-3"/>
                <w:sz w:val="18"/>
                <w:szCs w:val="18"/>
              </w:rPr>
              <w:t xml:space="preserve"> </w:t>
            </w:r>
            <w:r>
              <w:rPr>
                <w:rFonts w:ascii="Calibri" w:eastAsia="Calibri" w:hAnsi="Calibri" w:cs="Calibri"/>
                <w:spacing w:val="-1"/>
                <w:sz w:val="18"/>
                <w:szCs w:val="18"/>
              </w:rPr>
              <w:t>banners</w:t>
            </w:r>
            <w:r>
              <w:rPr>
                <w:rFonts w:ascii="Calibri" w:eastAsia="Calibri" w:hAnsi="Calibri" w:cs="Calibri"/>
                <w:spacing w:val="-3"/>
                <w:sz w:val="18"/>
                <w:szCs w:val="18"/>
              </w:rPr>
              <w:t xml:space="preserve"> </w:t>
            </w:r>
            <w:r>
              <w:rPr>
                <w:rFonts w:ascii="Calibri" w:eastAsia="Calibri" w:hAnsi="Calibri" w:cs="Calibri"/>
                <w:sz w:val="18"/>
                <w:szCs w:val="18"/>
              </w:rPr>
              <w:t>to</w:t>
            </w:r>
            <w:r>
              <w:rPr>
                <w:rFonts w:ascii="Calibri" w:eastAsia="Calibri" w:hAnsi="Calibri" w:cs="Calibri"/>
                <w:spacing w:val="-2"/>
                <w:sz w:val="18"/>
                <w:szCs w:val="18"/>
              </w:rPr>
              <w:t xml:space="preserve"> </w:t>
            </w:r>
            <w:r>
              <w:rPr>
                <w:rFonts w:ascii="Calibri" w:eastAsia="Calibri" w:hAnsi="Calibri" w:cs="Calibri"/>
                <w:spacing w:val="-1"/>
                <w:sz w:val="18"/>
                <w:szCs w:val="18"/>
              </w:rPr>
              <w:t>rebate forms,</w:t>
            </w:r>
            <w:r>
              <w:rPr>
                <w:rFonts w:ascii="Calibri" w:eastAsia="Calibri" w:hAnsi="Calibri" w:cs="Calibri"/>
                <w:spacing w:val="-2"/>
                <w:sz w:val="18"/>
                <w:szCs w:val="18"/>
              </w:rPr>
              <w:t xml:space="preserve"> </w:t>
            </w:r>
            <w:r>
              <w:rPr>
                <w:rFonts w:ascii="Calibri" w:eastAsia="Calibri" w:hAnsi="Calibri" w:cs="Calibri"/>
                <w:spacing w:val="-1"/>
                <w:sz w:val="18"/>
                <w:szCs w:val="18"/>
              </w:rPr>
              <w:t>clear infographics</w:t>
            </w:r>
            <w:r>
              <w:rPr>
                <w:rFonts w:ascii="Calibri" w:eastAsia="Calibri" w:hAnsi="Calibri" w:cs="Calibri"/>
                <w:spacing w:val="49"/>
                <w:sz w:val="18"/>
                <w:szCs w:val="18"/>
              </w:rPr>
              <w:t xml:space="preserve"> </w:t>
            </w:r>
            <w:r>
              <w:rPr>
                <w:rFonts w:ascii="Calibri" w:eastAsia="Calibri" w:hAnsi="Calibri" w:cs="Calibri"/>
                <w:sz w:val="18"/>
                <w:szCs w:val="18"/>
              </w:rPr>
              <w:t xml:space="preserve">to </w:t>
            </w:r>
            <w:r>
              <w:rPr>
                <w:rFonts w:ascii="Calibri" w:eastAsia="Calibri" w:hAnsi="Calibri" w:cs="Calibri"/>
                <w:spacing w:val="-1"/>
                <w:sz w:val="18"/>
                <w:szCs w:val="18"/>
              </w:rPr>
              <w:t>program</w:t>
            </w:r>
            <w:r>
              <w:rPr>
                <w:rFonts w:ascii="Calibri" w:eastAsia="Calibri" w:hAnsi="Calibri" w:cs="Calibri"/>
                <w:sz w:val="18"/>
                <w:szCs w:val="18"/>
              </w:rPr>
              <w:t xml:space="preserve"> </w:t>
            </w:r>
            <w:r>
              <w:rPr>
                <w:rFonts w:ascii="Calibri" w:eastAsia="Calibri" w:hAnsi="Calibri" w:cs="Calibri"/>
                <w:spacing w:val="-1"/>
                <w:sz w:val="18"/>
                <w:szCs w:val="18"/>
              </w:rPr>
              <w:t>materials,</w:t>
            </w:r>
            <w:r>
              <w:rPr>
                <w:rFonts w:ascii="Calibri" w:eastAsia="Calibri" w:hAnsi="Calibri" w:cs="Calibri"/>
                <w:sz w:val="18"/>
                <w:szCs w:val="18"/>
              </w:rPr>
              <w:t xml:space="preserve"> and</w:t>
            </w:r>
            <w:r>
              <w:rPr>
                <w:rFonts w:ascii="Calibri" w:eastAsia="Calibri" w:hAnsi="Calibri" w:cs="Calibri"/>
                <w:spacing w:val="-1"/>
                <w:sz w:val="18"/>
                <w:szCs w:val="18"/>
              </w:rPr>
              <w:t xml:space="preserve"> </w:t>
            </w:r>
            <w:r>
              <w:rPr>
                <w:rFonts w:ascii="Calibri" w:eastAsia="Calibri" w:hAnsi="Calibri" w:cs="Calibri"/>
                <w:sz w:val="18"/>
                <w:szCs w:val="18"/>
              </w:rPr>
              <w:t>PPL</w:t>
            </w:r>
            <w:r>
              <w:rPr>
                <w:rFonts w:ascii="Calibri" w:eastAsia="Calibri" w:hAnsi="Calibri" w:cs="Calibri"/>
                <w:spacing w:val="1"/>
                <w:sz w:val="18"/>
                <w:szCs w:val="18"/>
              </w:rPr>
              <w:t xml:space="preserve"> </w:t>
            </w:r>
            <w:r>
              <w:rPr>
                <w:rFonts w:ascii="Calibri" w:eastAsia="Calibri" w:hAnsi="Calibri" w:cs="Calibri"/>
                <w:spacing w:val="-1"/>
                <w:sz w:val="18"/>
                <w:szCs w:val="18"/>
              </w:rPr>
              <w:t>Electric</w:t>
            </w:r>
            <w:r>
              <w:rPr>
                <w:rFonts w:ascii="Calibri" w:eastAsia="Calibri" w:hAnsi="Calibri" w:cs="Calibri"/>
                <w:sz w:val="18"/>
                <w:szCs w:val="18"/>
              </w:rPr>
              <w:t xml:space="preserve"> </w:t>
            </w:r>
            <w:r>
              <w:rPr>
                <w:rFonts w:ascii="Calibri" w:eastAsia="Calibri" w:hAnsi="Calibri" w:cs="Calibri"/>
                <w:spacing w:val="-1"/>
                <w:sz w:val="18"/>
                <w:szCs w:val="18"/>
              </w:rPr>
              <w:t>Utilities’</w:t>
            </w:r>
            <w:r>
              <w:rPr>
                <w:rFonts w:ascii="Calibri" w:eastAsia="Calibri" w:hAnsi="Calibri" w:cs="Calibri"/>
                <w:sz w:val="18"/>
                <w:szCs w:val="18"/>
              </w:rPr>
              <w:t xml:space="preserve"> </w:t>
            </w:r>
            <w:r>
              <w:rPr>
                <w:rFonts w:ascii="Calibri" w:eastAsia="Calibri" w:hAnsi="Calibri" w:cs="Calibri"/>
                <w:spacing w:val="-1"/>
                <w:sz w:val="18"/>
                <w:szCs w:val="18"/>
              </w:rPr>
              <w:t>contact</w:t>
            </w:r>
            <w:r>
              <w:rPr>
                <w:rFonts w:ascii="Calibri" w:eastAsia="Calibri" w:hAnsi="Calibri" w:cs="Calibri"/>
                <w:spacing w:val="47"/>
                <w:sz w:val="18"/>
                <w:szCs w:val="18"/>
              </w:rPr>
              <w:t xml:space="preserve"> </w:t>
            </w:r>
            <w:r>
              <w:rPr>
                <w:rFonts w:ascii="Calibri" w:eastAsia="Calibri" w:hAnsi="Calibri" w:cs="Calibri"/>
                <w:spacing w:val="-1"/>
                <w:sz w:val="18"/>
                <w:szCs w:val="18"/>
              </w:rPr>
              <w:t>information</w:t>
            </w:r>
            <w:r>
              <w:rPr>
                <w:rFonts w:ascii="Calibri" w:eastAsia="Calibri" w:hAnsi="Calibri" w:cs="Calibri"/>
                <w:spacing w:val="-6"/>
                <w:sz w:val="18"/>
                <w:szCs w:val="18"/>
              </w:rPr>
              <w:t xml:space="preserve"> </w:t>
            </w:r>
            <w:r>
              <w:rPr>
                <w:rFonts w:ascii="Calibri" w:eastAsia="Calibri" w:hAnsi="Calibri" w:cs="Calibri"/>
                <w:sz w:val="18"/>
                <w:szCs w:val="18"/>
              </w:rPr>
              <w:t>to</w:t>
            </w:r>
            <w:r>
              <w:rPr>
                <w:rFonts w:ascii="Calibri" w:eastAsia="Calibri" w:hAnsi="Calibri" w:cs="Calibri"/>
                <w:spacing w:val="-4"/>
                <w:sz w:val="18"/>
                <w:szCs w:val="18"/>
              </w:rPr>
              <w:t xml:space="preserve"> </w:t>
            </w:r>
            <w:r>
              <w:rPr>
                <w:rFonts w:ascii="Calibri" w:eastAsia="Calibri" w:hAnsi="Calibri" w:cs="Calibri"/>
                <w:spacing w:val="-1"/>
                <w:sz w:val="18"/>
                <w:szCs w:val="18"/>
              </w:rPr>
              <w:t>program</w:t>
            </w:r>
            <w:r>
              <w:rPr>
                <w:rFonts w:ascii="Calibri" w:eastAsia="Calibri" w:hAnsi="Calibri" w:cs="Calibri"/>
                <w:spacing w:val="-6"/>
                <w:sz w:val="18"/>
                <w:szCs w:val="18"/>
              </w:rPr>
              <w:t xml:space="preserve"> </w:t>
            </w:r>
            <w:r>
              <w:rPr>
                <w:rFonts w:ascii="Calibri" w:eastAsia="Calibri" w:hAnsi="Calibri" w:cs="Calibri"/>
                <w:spacing w:val="-1"/>
                <w:sz w:val="18"/>
                <w:szCs w:val="18"/>
              </w:rPr>
              <w:t>materials.</w:t>
            </w:r>
          </w:p>
        </w:tc>
        <w:tc>
          <w:tcPr>
            <w:tcW w:w="4669"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102"/>
              <w:rPr>
                <w:rFonts w:ascii="Calibri" w:eastAsia="Calibri" w:hAnsi="Calibri" w:cs="Calibri"/>
                <w:sz w:val="18"/>
                <w:szCs w:val="18"/>
              </w:rPr>
            </w:pPr>
            <w:r>
              <w:rPr>
                <w:rFonts w:ascii="Calibri"/>
                <w:spacing w:val="-1"/>
                <w:sz w:val="18"/>
              </w:rPr>
              <w:t>Implemented.</w:t>
            </w:r>
          </w:p>
        </w:tc>
      </w:tr>
      <w:tr w:rsidR="00E646C9" w:rsidTr="0011636D">
        <w:trPr>
          <w:trHeight w:hRule="exact" w:val="45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75"/>
              <w:rPr>
                <w:rFonts w:ascii="Calibri" w:eastAsia="Calibri" w:hAnsi="Calibri" w:cs="Calibri"/>
                <w:sz w:val="18"/>
                <w:szCs w:val="18"/>
              </w:rPr>
            </w:pPr>
            <w:r>
              <w:rPr>
                <w:rFonts w:ascii="Calibri"/>
                <w:spacing w:val="-1"/>
                <w:sz w:val="18"/>
              </w:rPr>
              <w:t>Add</w:t>
            </w:r>
            <w:r>
              <w:rPr>
                <w:rFonts w:ascii="Calibri"/>
                <w:spacing w:val="-3"/>
                <w:sz w:val="18"/>
              </w:rPr>
              <w:t xml:space="preserve"> </w:t>
            </w:r>
            <w:r>
              <w:rPr>
                <w:rFonts w:ascii="Calibri"/>
                <w:spacing w:val="-1"/>
                <w:sz w:val="18"/>
              </w:rPr>
              <w:t>instructions</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helpful</w:t>
            </w:r>
            <w:r>
              <w:rPr>
                <w:rFonts w:ascii="Calibri"/>
                <w:spacing w:val="-2"/>
                <w:sz w:val="18"/>
              </w:rPr>
              <w:t xml:space="preserve"> </w:t>
            </w:r>
            <w:r>
              <w:rPr>
                <w:rFonts w:ascii="Calibri"/>
                <w:spacing w:val="-1"/>
                <w:sz w:val="18"/>
              </w:rPr>
              <w:t>information</w:t>
            </w:r>
            <w:r>
              <w:rPr>
                <w:rFonts w:ascii="Calibri"/>
                <w:spacing w:val="-3"/>
                <w:sz w:val="18"/>
              </w:rPr>
              <w:t xml:space="preserve"> </w:t>
            </w:r>
            <w:r>
              <w:rPr>
                <w:rFonts w:ascii="Calibri"/>
                <w:sz w:val="18"/>
              </w:rPr>
              <w:t>on</w:t>
            </w:r>
            <w:r>
              <w:rPr>
                <w:rFonts w:ascii="Calibri"/>
                <w:spacing w:val="-2"/>
                <w:sz w:val="18"/>
              </w:rPr>
              <w:t xml:space="preserve"> </w:t>
            </w:r>
            <w:r>
              <w:rPr>
                <w:rFonts w:ascii="Calibri"/>
                <w:spacing w:val="-1"/>
                <w:sz w:val="18"/>
              </w:rPr>
              <w:t>rebate</w:t>
            </w:r>
            <w:r>
              <w:rPr>
                <w:rFonts w:ascii="Calibri"/>
                <w:spacing w:val="-2"/>
                <w:sz w:val="18"/>
              </w:rPr>
              <w:t xml:space="preserve"> </w:t>
            </w:r>
            <w:r>
              <w:rPr>
                <w:rFonts w:ascii="Calibri"/>
                <w:sz w:val="18"/>
              </w:rPr>
              <w:t>forms</w:t>
            </w:r>
            <w:r>
              <w:rPr>
                <w:rFonts w:ascii="Calibri"/>
                <w:spacing w:val="-4"/>
                <w:sz w:val="18"/>
              </w:rPr>
              <w:t xml:space="preserve"> </w:t>
            </w:r>
            <w:r>
              <w:rPr>
                <w:rFonts w:ascii="Calibri"/>
                <w:sz w:val="18"/>
              </w:rPr>
              <w:t>to</w:t>
            </w:r>
            <w:r>
              <w:rPr>
                <w:rFonts w:ascii="Calibri"/>
                <w:spacing w:val="61"/>
                <w:sz w:val="18"/>
              </w:rPr>
              <w:t xml:space="preserve"> </w:t>
            </w:r>
            <w:r>
              <w:rPr>
                <w:rFonts w:ascii="Calibri"/>
                <w:spacing w:val="-1"/>
                <w:sz w:val="18"/>
              </w:rPr>
              <w:t>assist</w:t>
            </w:r>
            <w:r>
              <w:rPr>
                <w:rFonts w:ascii="Calibri"/>
                <w:sz w:val="18"/>
              </w:rPr>
              <w:t xml:space="preserve"> </w:t>
            </w:r>
            <w:r>
              <w:rPr>
                <w:rFonts w:ascii="Calibri"/>
                <w:spacing w:val="-1"/>
                <w:sz w:val="18"/>
              </w:rPr>
              <w:t>participants</w:t>
            </w:r>
            <w:r>
              <w:rPr>
                <w:rFonts w:ascii="Calibri"/>
                <w:spacing w:val="-3"/>
                <w:sz w:val="18"/>
              </w:rPr>
              <w:t xml:space="preserve"> </w:t>
            </w:r>
            <w:r>
              <w:rPr>
                <w:rFonts w:ascii="Calibri"/>
                <w:sz w:val="18"/>
              </w:rPr>
              <w:t>in</w:t>
            </w:r>
            <w:r>
              <w:rPr>
                <w:rFonts w:ascii="Calibri"/>
                <w:spacing w:val="-3"/>
                <w:sz w:val="18"/>
              </w:rPr>
              <w:t xml:space="preserve"> </w:t>
            </w:r>
            <w:r>
              <w:rPr>
                <w:rFonts w:ascii="Calibri"/>
                <w:spacing w:val="-1"/>
                <w:sz w:val="18"/>
              </w:rPr>
              <w:t>filling</w:t>
            </w:r>
            <w:r>
              <w:rPr>
                <w:rFonts w:ascii="Calibri"/>
                <w:spacing w:val="-2"/>
                <w:sz w:val="18"/>
              </w:rPr>
              <w:t xml:space="preserve"> </w:t>
            </w:r>
            <w:r>
              <w:rPr>
                <w:rFonts w:ascii="Calibri"/>
                <w:sz w:val="18"/>
              </w:rPr>
              <w:t xml:space="preserve">them </w:t>
            </w:r>
            <w:r>
              <w:rPr>
                <w:rFonts w:ascii="Calibri"/>
                <w:spacing w:val="-1"/>
                <w:sz w:val="18"/>
              </w:rPr>
              <w:t>out.</w:t>
            </w:r>
          </w:p>
        </w:tc>
        <w:tc>
          <w:tcPr>
            <w:tcW w:w="4669"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 be</w:t>
            </w:r>
            <w:r>
              <w:rPr>
                <w:rFonts w:ascii="Calibri"/>
                <w:spacing w:val="-4"/>
                <w:sz w:val="18"/>
              </w:rPr>
              <w:t xml:space="preserve"> </w:t>
            </w:r>
            <w:r>
              <w:rPr>
                <w:rFonts w:ascii="Calibri"/>
                <w:spacing w:val="-1"/>
                <w:sz w:val="18"/>
              </w:rPr>
              <w:t>continually</w:t>
            </w:r>
            <w:r>
              <w:rPr>
                <w:rFonts w:ascii="Calibri"/>
                <w:spacing w:val="-2"/>
                <w:sz w:val="18"/>
              </w:rPr>
              <w:t xml:space="preserve"> </w:t>
            </w:r>
            <w:r>
              <w:rPr>
                <w:rFonts w:ascii="Calibri"/>
                <w:spacing w:val="-1"/>
                <w:sz w:val="18"/>
              </w:rPr>
              <w:t>improved</w:t>
            </w:r>
            <w:r>
              <w:rPr>
                <w:rFonts w:ascii="Calibri"/>
                <w:spacing w:val="-3"/>
                <w:sz w:val="18"/>
              </w:rPr>
              <w:t xml:space="preserve"> </w:t>
            </w:r>
            <w:r>
              <w:rPr>
                <w:rFonts w:ascii="Calibri"/>
                <w:spacing w:val="-1"/>
                <w:sz w:val="18"/>
              </w:rPr>
              <w:t>further.</w:t>
            </w:r>
          </w:p>
        </w:tc>
      </w:tr>
      <w:tr w:rsidR="00E646C9" w:rsidTr="0011636D">
        <w:trPr>
          <w:trHeight w:hRule="exact" w:val="674"/>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238"/>
              <w:rPr>
                <w:rFonts w:ascii="Calibri" w:eastAsia="Calibri" w:hAnsi="Calibri" w:cs="Calibri"/>
                <w:sz w:val="18"/>
                <w:szCs w:val="18"/>
              </w:rPr>
            </w:pPr>
            <w:r>
              <w:rPr>
                <w:rFonts w:ascii="Calibri"/>
                <w:spacing w:val="-1"/>
                <w:sz w:val="18"/>
              </w:rPr>
              <w:t>Explore</w:t>
            </w:r>
            <w:r>
              <w:rPr>
                <w:rFonts w:ascii="Calibri"/>
                <w:spacing w:val="-4"/>
                <w:sz w:val="18"/>
              </w:rPr>
              <w:t xml:space="preserve"> </w:t>
            </w:r>
            <w:r>
              <w:rPr>
                <w:rFonts w:ascii="Calibri"/>
                <w:spacing w:val="-1"/>
                <w:sz w:val="18"/>
              </w:rPr>
              <w:t>opportunities</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involve manufactured</w:t>
            </w:r>
            <w:r>
              <w:rPr>
                <w:rFonts w:ascii="Calibri"/>
                <w:spacing w:val="-3"/>
                <w:sz w:val="18"/>
              </w:rPr>
              <w:t xml:space="preserve"> </w:t>
            </w:r>
            <w:r>
              <w:rPr>
                <w:rFonts w:ascii="Calibri"/>
                <w:spacing w:val="-1"/>
                <w:sz w:val="18"/>
              </w:rPr>
              <w:t>homes</w:t>
            </w:r>
            <w:r>
              <w:rPr>
                <w:rFonts w:ascii="Calibri"/>
                <w:spacing w:val="55"/>
                <w:sz w:val="18"/>
              </w:rPr>
              <w:t xml:space="preserve"> </w:t>
            </w:r>
            <w:r>
              <w:rPr>
                <w:rFonts w:ascii="Calibri"/>
                <w:spacing w:val="-1"/>
                <w:sz w:val="18"/>
              </w:rPr>
              <w:t>dealers</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the</w:t>
            </w:r>
            <w:r>
              <w:rPr>
                <w:rFonts w:ascii="Calibri"/>
                <w:spacing w:val="-3"/>
                <w:sz w:val="18"/>
              </w:rPr>
              <w:t xml:space="preserve"> </w:t>
            </w:r>
            <w:r>
              <w:rPr>
                <w:rFonts w:ascii="Calibri"/>
                <w:sz w:val="18"/>
              </w:rPr>
              <w:t>program,</w:t>
            </w:r>
            <w:r>
              <w:rPr>
                <w:rFonts w:ascii="Calibri"/>
                <w:spacing w:val="-2"/>
                <w:sz w:val="18"/>
              </w:rPr>
              <w:t xml:space="preserve"> </w:t>
            </w:r>
            <w:r>
              <w:rPr>
                <w:rFonts w:ascii="Calibri"/>
                <w:spacing w:val="-1"/>
                <w:sz w:val="18"/>
              </w:rPr>
              <w:t>such</w:t>
            </w:r>
            <w:r>
              <w:rPr>
                <w:rFonts w:ascii="Calibri"/>
                <w:spacing w:val="-3"/>
                <w:sz w:val="18"/>
              </w:rPr>
              <w:t xml:space="preserve"> </w:t>
            </w:r>
            <w:r>
              <w:rPr>
                <w:rFonts w:ascii="Calibri"/>
                <w:sz w:val="18"/>
              </w:rPr>
              <w:t>as</w:t>
            </w:r>
            <w:r>
              <w:rPr>
                <w:rFonts w:ascii="Calibri"/>
                <w:spacing w:val="-2"/>
                <w:sz w:val="18"/>
              </w:rPr>
              <w:t xml:space="preserve"> </w:t>
            </w:r>
            <w:r>
              <w:rPr>
                <w:rFonts w:ascii="Calibri"/>
                <w:spacing w:val="-1"/>
                <w:sz w:val="18"/>
              </w:rPr>
              <w:t>offering</w:t>
            </w:r>
            <w:r>
              <w:rPr>
                <w:rFonts w:ascii="Calibri"/>
                <w:spacing w:val="-3"/>
                <w:sz w:val="18"/>
              </w:rPr>
              <w:t xml:space="preserve"> </w:t>
            </w:r>
            <w:r>
              <w:rPr>
                <w:rFonts w:ascii="Calibri"/>
                <w:sz w:val="18"/>
              </w:rPr>
              <w:t>incentives</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each</w:t>
            </w:r>
            <w:r>
              <w:rPr>
                <w:rFonts w:ascii="Calibri"/>
                <w:spacing w:val="35"/>
                <w:sz w:val="18"/>
              </w:rPr>
              <w:t xml:space="preserve"> </w:t>
            </w:r>
            <w:r>
              <w:rPr>
                <w:rFonts w:ascii="Calibri"/>
                <w:spacing w:val="-1"/>
                <w:sz w:val="18"/>
              </w:rPr>
              <w:t>qualifying</w:t>
            </w:r>
            <w:r>
              <w:rPr>
                <w:rFonts w:ascii="Calibri"/>
                <w:spacing w:val="-3"/>
                <w:sz w:val="18"/>
              </w:rPr>
              <w:t xml:space="preserve"> </w:t>
            </w:r>
            <w:r>
              <w:rPr>
                <w:rFonts w:ascii="Calibri"/>
                <w:spacing w:val="-1"/>
                <w:sz w:val="18"/>
              </w:rPr>
              <w:t>manufactured home</w:t>
            </w:r>
            <w:r>
              <w:rPr>
                <w:rFonts w:ascii="Calibri"/>
                <w:spacing w:val="-2"/>
                <w:sz w:val="18"/>
              </w:rPr>
              <w:t xml:space="preserve"> </w:t>
            </w:r>
            <w:r>
              <w:rPr>
                <w:rFonts w:ascii="Calibri"/>
                <w:spacing w:val="-1"/>
                <w:sz w:val="18"/>
              </w:rPr>
              <w:t>sold.</w:t>
            </w:r>
          </w:p>
        </w:tc>
        <w:tc>
          <w:tcPr>
            <w:tcW w:w="4669"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11636D">
        <w:trPr>
          <w:trHeight w:hRule="exact" w:val="67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206"/>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z w:val="18"/>
              </w:rPr>
              <w:t>further</w:t>
            </w:r>
            <w:r>
              <w:rPr>
                <w:rFonts w:ascii="Calibri"/>
                <w:spacing w:val="-2"/>
                <w:sz w:val="18"/>
              </w:rPr>
              <w:t xml:space="preserve"> </w:t>
            </w:r>
            <w:r>
              <w:rPr>
                <w:rFonts w:ascii="Calibri"/>
                <w:spacing w:val="-1"/>
                <w:sz w:val="18"/>
              </w:rPr>
              <w:t>study</w:t>
            </w:r>
            <w:r>
              <w:rPr>
                <w:rFonts w:ascii="Calibri"/>
                <w:spacing w:val="-2"/>
                <w:sz w:val="18"/>
              </w:rPr>
              <w:t xml:space="preserve"> </w:t>
            </w:r>
            <w:r>
              <w:rPr>
                <w:rFonts w:ascii="Calibri"/>
                <w:sz w:val="18"/>
              </w:rPr>
              <w:t>of</w:t>
            </w:r>
            <w:r>
              <w:rPr>
                <w:rFonts w:ascii="Calibri"/>
                <w:spacing w:val="-3"/>
                <w:sz w:val="18"/>
              </w:rPr>
              <w:t xml:space="preserve"> </w:t>
            </w:r>
            <w:r>
              <w:rPr>
                <w:rFonts w:ascii="Calibri"/>
                <w:spacing w:val="-1"/>
                <w:sz w:val="18"/>
              </w:rPr>
              <w:t>other</w:t>
            </w:r>
            <w:r>
              <w:rPr>
                <w:rFonts w:ascii="Calibri"/>
                <w:sz w:val="18"/>
              </w:rPr>
              <w:t xml:space="preserve"> </w:t>
            </w:r>
            <w:r>
              <w:rPr>
                <w:rFonts w:ascii="Calibri"/>
                <w:spacing w:val="-1"/>
                <w:sz w:val="18"/>
              </w:rPr>
              <w:t>manufactured</w:t>
            </w:r>
            <w:r>
              <w:rPr>
                <w:rFonts w:ascii="Calibri"/>
                <w:spacing w:val="-3"/>
                <w:sz w:val="18"/>
              </w:rPr>
              <w:t xml:space="preserve"> </w:t>
            </w:r>
            <w:r>
              <w:rPr>
                <w:rFonts w:ascii="Calibri"/>
                <w:spacing w:val="-1"/>
                <w:sz w:val="18"/>
              </w:rPr>
              <w:t>homes</w:t>
            </w:r>
            <w:r>
              <w:rPr>
                <w:rFonts w:ascii="Calibri"/>
                <w:spacing w:val="39"/>
                <w:sz w:val="18"/>
              </w:rPr>
              <w:t xml:space="preserve"> </w:t>
            </w:r>
            <w:r>
              <w:rPr>
                <w:rFonts w:ascii="Calibri"/>
                <w:spacing w:val="-1"/>
                <w:sz w:val="18"/>
              </w:rPr>
              <w:t>programs</w:t>
            </w:r>
            <w:r>
              <w:rPr>
                <w:rFonts w:ascii="Calibri"/>
                <w:spacing w:val="-6"/>
                <w:sz w:val="18"/>
              </w:rPr>
              <w:t xml:space="preserve"> </w:t>
            </w:r>
            <w:r>
              <w:rPr>
                <w:rFonts w:ascii="Calibri"/>
                <w:sz w:val="18"/>
              </w:rPr>
              <w:t>to</w:t>
            </w:r>
            <w:r>
              <w:rPr>
                <w:rFonts w:ascii="Calibri"/>
                <w:spacing w:val="-3"/>
                <w:sz w:val="18"/>
              </w:rPr>
              <w:t xml:space="preserve"> </w:t>
            </w:r>
            <w:r>
              <w:rPr>
                <w:rFonts w:ascii="Calibri"/>
                <w:spacing w:val="-1"/>
                <w:sz w:val="18"/>
              </w:rPr>
              <w:t>determine</w:t>
            </w:r>
            <w:r>
              <w:rPr>
                <w:rFonts w:ascii="Calibri"/>
                <w:spacing w:val="-4"/>
                <w:sz w:val="18"/>
              </w:rPr>
              <w:t xml:space="preserve"> </w:t>
            </w:r>
            <w:r>
              <w:rPr>
                <w:rFonts w:ascii="Calibri"/>
                <w:sz w:val="18"/>
              </w:rPr>
              <w:t>if</w:t>
            </w:r>
            <w:r>
              <w:rPr>
                <w:rFonts w:ascii="Calibri"/>
                <w:spacing w:val="-4"/>
                <w:sz w:val="18"/>
              </w:rPr>
              <w:t xml:space="preserve"> </w:t>
            </w:r>
            <w:r>
              <w:rPr>
                <w:rFonts w:ascii="Calibri"/>
                <w:spacing w:val="-1"/>
                <w:sz w:val="18"/>
              </w:rPr>
              <w:t>other</w:t>
            </w:r>
            <w:r>
              <w:rPr>
                <w:rFonts w:ascii="Calibri"/>
                <w:spacing w:val="-4"/>
                <w:sz w:val="18"/>
              </w:rPr>
              <w:t xml:space="preserve"> </w:t>
            </w:r>
            <w:r>
              <w:rPr>
                <w:rFonts w:ascii="Calibri"/>
                <w:sz w:val="18"/>
              </w:rPr>
              <w:t>program</w:t>
            </w:r>
            <w:r>
              <w:rPr>
                <w:rFonts w:ascii="Calibri"/>
                <w:spacing w:val="-4"/>
                <w:sz w:val="18"/>
              </w:rPr>
              <w:t xml:space="preserve"> </w:t>
            </w:r>
            <w:r>
              <w:rPr>
                <w:rFonts w:ascii="Calibri"/>
                <w:spacing w:val="-1"/>
                <w:sz w:val="18"/>
              </w:rPr>
              <w:t>delivery</w:t>
            </w:r>
            <w:r>
              <w:rPr>
                <w:rFonts w:ascii="Calibri"/>
                <w:spacing w:val="-3"/>
                <w:sz w:val="18"/>
              </w:rPr>
              <w:t xml:space="preserve"> </w:t>
            </w:r>
            <w:r>
              <w:rPr>
                <w:rFonts w:ascii="Calibri"/>
                <w:sz w:val="18"/>
              </w:rPr>
              <w:t>and</w:t>
            </w:r>
            <w:r>
              <w:rPr>
                <w:rFonts w:ascii="Calibri"/>
                <w:spacing w:val="41"/>
                <w:sz w:val="18"/>
              </w:rPr>
              <w:t xml:space="preserve"> </w:t>
            </w:r>
            <w:r>
              <w:rPr>
                <w:rFonts w:ascii="Calibri"/>
                <w:spacing w:val="-1"/>
                <w:sz w:val="18"/>
              </w:rPr>
              <w:t>incentive</w:t>
            </w:r>
            <w:r>
              <w:rPr>
                <w:rFonts w:ascii="Calibri"/>
                <w:spacing w:val="-4"/>
                <w:sz w:val="18"/>
              </w:rPr>
              <w:t xml:space="preserve"> </w:t>
            </w:r>
            <w:r>
              <w:rPr>
                <w:rFonts w:ascii="Calibri"/>
                <w:spacing w:val="-1"/>
                <w:sz w:val="18"/>
              </w:rPr>
              <w:t>structures</w:t>
            </w:r>
            <w:r>
              <w:rPr>
                <w:rFonts w:ascii="Calibri"/>
                <w:spacing w:val="-4"/>
                <w:sz w:val="18"/>
              </w:rPr>
              <w:t xml:space="preserve"> </w:t>
            </w:r>
            <w:r>
              <w:rPr>
                <w:rFonts w:ascii="Calibri"/>
                <w:sz w:val="18"/>
              </w:rPr>
              <w:t>are</w:t>
            </w:r>
            <w:r>
              <w:rPr>
                <w:rFonts w:ascii="Calibri"/>
                <w:spacing w:val="-4"/>
                <w:sz w:val="18"/>
              </w:rPr>
              <w:t xml:space="preserve"> </w:t>
            </w:r>
            <w:r>
              <w:rPr>
                <w:rFonts w:ascii="Calibri"/>
                <w:spacing w:val="-1"/>
                <w:sz w:val="18"/>
              </w:rPr>
              <w:t>successful</w:t>
            </w:r>
            <w:r>
              <w:rPr>
                <w:rFonts w:ascii="Calibri"/>
                <w:spacing w:val="-4"/>
                <w:sz w:val="18"/>
              </w:rPr>
              <w:t xml:space="preserve"> </w:t>
            </w:r>
            <w:r>
              <w:rPr>
                <w:rFonts w:ascii="Calibri"/>
                <w:sz w:val="18"/>
              </w:rPr>
              <w:t>in</w:t>
            </w:r>
            <w:r>
              <w:rPr>
                <w:rFonts w:ascii="Calibri"/>
                <w:spacing w:val="-5"/>
                <w:sz w:val="18"/>
              </w:rPr>
              <w:t xml:space="preserve"> </w:t>
            </w:r>
            <w:r>
              <w:rPr>
                <w:rFonts w:ascii="Calibri"/>
                <w:sz w:val="18"/>
              </w:rPr>
              <w:t>realizing</w:t>
            </w:r>
            <w:r>
              <w:rPr>
                <w:rFonts w:ascii="Calibri"/>
                <w:spacing w:val="-3"/>
                <w:sz w:val="18"/>
              </w:rPr>
              <w:t xml:space="preserve"> </w:t>
            </w:r>
            <w:r>
              <w:rPr>
                <w:rFonts w:ascii="Calibri"/>
                <w:spacing w:val="-1"/>
                <w:sz w:val="18"/>
              </w:rPr>
              <w:t>participation.</w:t>
            </w:r>
          </w:p>
        </w:tc>
        <w:tc>
          <w:tcPr>
            <w:tcW w:w="4669"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11636D">
        <w:trPr>
          <w:trHeight w:hRule="exact" w:val="458"/>
        </w:trPr>
        <w:tc>
          <w:tcPr>
            <w:tcW w:w="4681"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419"/>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z w:val="18"/>
              </w:rPr>
              <w:t>further</w:t>
            </w:r>
            <w:r>
              <w:rPr>
                <w:rFonts w:ascii="Calibri"/>
                <w:spacing w:val="-2"/>
                <w:sz w:val="18"/>
              </w:rPr>
              <w:t xml:space="preserve"> </w:t>
            </w:r>
            <w:r>
              <w:rPr>
                <w:rFonts w:ascii="Calibri"/>
                <w:spacing w:val="-1"/>
                <w:sz w:val="18"/>
              </w:rPr>
              <w:t>study</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assess</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potential</w:t>
            </w:r>
            <w:r>
              <w:rPr>
                <w:rFonts w:ascii="Calibri"/>
                <w:spacing w:val="-2"/>
                <w:sz w:val="18"/>
              </w:rPr>
              <w:t xml:space="preserve"> </w:t>
            </w:r>
            <w:r>
              <w:rPr>
                <w:rFonts w:ascii="Calibri"/>
                <w:spacing w:val="-1"/>
                <w:sz w:val="18"/>
              </w:rPr>
              <w:t>market</w:t>
            </w:r>
            <w:r>
              <w:rPr>
                <w:rFonts w:ascii="Calibri"/>
                <w:spacing w:val="-2"/>
                <w:sz w:val="18"/>
              </w:rPr>
              <w:t xml:space="preserve"> </w:t>
            </w:r>
            <w:r>
              <w:rPr>
                <w:rFonts w:ascii="Calibri"/>
                <w:sz w:val="18"/>
              </w:rPr>
              <w:t>for</w:t>
            </w:r>
            <w:r>
              <w:rPr>
                <w:rFonts w:ascii="Calibri"/>
                <w:spacing w:val="45"/>
                <w:w w:val="99"/>
                <w:sz w:val="18"/>
              </w:rPr>
              <w:t xml:space="preserve"> </w:t>
            </w:r>
            <w:r>
              <w:rPr>
                <w:rFonts w:ascii="Calibri"/>
                <w:spacing w:val="-1"/>
                <w:sz w:val="18"/>
              </w:rPr>
              <w:t>electrically</w:t>
            </w:r>
            <w:r>
              <w:rPr>
                <w:rFonts w:ascii="Calibri"/>
                <w:spacing w:val="-5"/>
                <w:sz w:val="18"/>
              </w:rPr>
              <w:t xml:space="preserve"> </w:t>
            </w:r>
            <w:r>
              <w:rPr>
                <w:rFonts w:ascii="Calibri"/>
                <w:sz w:val="18"/>
              </w:rPr>
              <w:t>heated</w:t>
            </w:r>
            <w:r>
              <w:rPr>
                <w:rFonts w:ascii="Calibri"/>
                <w:spacing w:val="-5"/>
                <w:sz w:val="18"/>
              </w:rPr>
              <w:t xml:space="preserve"> </w:t>
            </w:r>
            <w:r>
              <w:rPr>
                <w:rFonts w:ascii="Calibri"/>
                <w:spacing w:val="-1"/>
                <w:sz w:val="18"/>
              </w:rPr>
              <w:t>manufactured</w:t>
            </w:r>
            <w:r>
              <w:rPr>
                <w:rFonts w:ascii="Calibri"/>
                <w:spacing w:val="-3"/>
                <w:sz w:val="18"/>
              </w:rPr>
              <w:t xml:space="preserve"> </w:t>
            </w:r>
            <w:r>
              <w:rPr>
                <w:rFonts w:ascii="Calibri"/>
                <w:spacing w:val="-1"/>
                <w:sz w:val="18"/>
              </w:rPr>
              <w:t>homes.</w:t>
            </w:r>
          </w:p>
        </w:tc>
        <w:tc>
          <w:tcPr>
            <w:tcW w:w="4669"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bl>
    <w:p w:rsidR="00E646C9" w:rsidRDefault="00E646C9" w:rsidP="00E646C9"/>
    <w:p w:rsidR="00C3558F" w:rsidRDefault="00C3558F" w:rsidP="00E646C9"/>
    <w:p w:rsidR="00C3558F" w:rsidRDefault="00C3558F" w:rsidP="00E646C9"/>
    <w:p w:rsidR="00C3558F" w:rsidRDefault="00C3558F" w:rsidP="00E646C9"/>
    <w:p w:rsidR="00C3558F" w:rsidRDefault="00C3558F" w:rsidP="00E646C9"/>
    <w:p w:rsidR="00E646C9" w:rsidRPr="00130312" w:rsidRDefault="00E646C9" w:rsidP="00C3558F">
      <w:pPr>
        <w:pStyle w:val="AppendixGHeading2"/>
      </w:pPr>
      <w:r w:rsidRPr="00130312">
        <w:t>Student and Parent Energy</w:t>
      </w:r>
      <w:r>
        <w:t xml:space="preserve"> </w:t>
      </w:r>
      <w:r w:rsidRPr="00130312">
        <w:t>Efficiency Education Program</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89"/>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spacing w:line="218" w:lineRule="exact"/>
              <w:ind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before="1"/>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895"/>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396"/>
              <w:rPr>
                <w:rFonts w:ascii="Calibri" w:eastAsia="Calibri" w:hAnsi="Calibri" w:cs="Calibri"/>
                <w:sz w:val="18"/>
                <w:szCs w:val="18"/>
              </w:rPr>
            </w:pPr>
            <w:r>
              <w:rPr>
                <w:rFonts w:ascii="Calibri"/>
                <w:spacing w:val="-1"/>
                <w:sz w:val="18"/>
              </w:rPr>
              <w:t xml:space="preserve">Monitor </w:t>
            </w:r>
            <w:r>
              <w:rPr>
                <w:rFonts w:ascii="Calibri"/>
                <w:sz w:val="18"/>
              </w:rPr>
              <w:t>LED</w:t>
            </w:r>
            <w:r>
              <w:rPr>
                <w:rFonts w:ascii="Calibri"/>
                <w:spacing w:val="-2"/>
                <w:sz w:val="18"/>
              </w:rPr>
              <w:t xml:space="preserve"> </w:t>
            </w:r>
            <w:r>
              <w:rPr>
                <w:rFonts w:ascii="Calibri"/>
                <w:spacing w:val="-1"/>
                <w:sz w:val="18"/>
              </w:rPr>
              <w:t>bulb</w:t>
            </w:r>
            <w:r>
              <w:rPr>
                <w:rFonts w:ascii="Calibri"/>
                <w:spacing w:val="-2"/>
                <w:sz w:val="18"/>
              </w:rPr>
              <w:t xml:space="preserve"> </w:t>
            </w:r>
            <w:r>
              <w:rPr>
                <w:rFonts w:ascii="Calibri"/>
                <w:spacing w:val="-1"/>
                <w:sz w:val="18"/>
              </w:rPr>
              <w:t>installation</w:t>
            </w:r>
            <w:r>
              <w:rPr>
                <w:rFonts w:ascii="Calibri"/>
                <w:sz w:val="18"/>
              </w:rPr>
              <w:t xml:space="preserve"> rates</w:t>
            </w:r>
            <w:r>
              <w:rPr>
                <w:rFonts w:ascii="Calibri"/>
                <w:spacing w:val="-2"/>
                <w:sz w:val="18"/>
              </w:rPr>
              <w:t xml:space="preserve"> </w:t>
            </w:r>
            <w:r>
              <w:rPr>
                <w:rFonts w:ascii="Calibri"/>
                <w:sz w:val="18"/>
              </w:rPr>
              <w:t>in</w:t>
            </w:r>
            <w:r>
              <w:rPr>
                <w:rFonts w:ascii="Calibri"/>
                <w:spacing w:val="-3"/>
                <w:sz w:val="18"/>
              </w:rPr>
              <w:t xml:space="preserve"> </w:t>
            </w:r>
            <w:r>
              <w:rPr>
                <w:rFonts w:ascii="Calibri"/>
                <w:sz w:val="18"/>
              </w:rPr>
              <w:t>PY8</w:t>
            </w:r>
            <w:r>
              <w:rPr>
                <w:rFonts w:ascii="Calibri"/>
                <w:spacing w:val="-1"/>
                <w:sz w:val="18"/>
              </w:rPr>
              <w:t xml:space="preserve"> and</w:t>
            </w:r>
            <w:r>
              <w:rPr>
                <w:rFonts w:ascii="Calibri"/>
                <w:spacing w:val="-2"/>
                <w:sz w:val="18"/>
              </w:rPr>
              <w:t xml:space="preserve"> </w:t>
            </w:r>
            <w:r>
              <w:rPr>
                <w:rFonts w:ascii="Calibri"/>
                <w:spacing w:val="-1"/>
                <w:sz w:val="18"/>
              </w:rPr>
              <w:t>consider</w:t>
            </w:r>
            <w:r>
              <w:rPr>
                <w:rFonts w:ascii="Calibri"/>
                <w:spacing w:val="41"/>
                <w:w w:val="99"/>
                <w:sz w:val="18"/>
              </w:rPr>
              <w:t xml:space="preserve"> </w:t>
            </w:r>
            <w:r>
              <w:rPr>
                <w:rFonts w:ascii="Calibri"/>
                <w:spacing w:val="-1"/>
                <w:sz w:val="18"/>
              </w:rPr>
              <w:t>reducing</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 xml:space="preserve">number </w:t>
            </w:r>
            <w:r>
              <w:rPr>
                <w:rFonts w:ascii="Calibri"/>
                <w:sz w:val="18"/>
              </w:rPr>
              <w:t>of</w:t>
            </w:r>
            <w:r>
              <w:rPr>
                <w:rFonts w:ascii="Calibri"/>
                <w:spacing w:val="-2"/>
                <w:sz w:val="18"/>
              </w:rPr>
              <w:t xml:space="preserve"> </w:t>
            </w:r>
            <w:r>
              <w:rPr>
                <w:rFonts w:ascii="Calibri"/>
                <w:sz w:val="18"/>
              </w:rPr>
              <w:t>LEDs</w:t>
            </w:r>
            <w:r>
              <w:rPr>
                <w:rFonts w:ascii="Calibri"/>
                <w:spacing w:val="-3"/>
                <w:sz w:val="18"/>
              </w:rPr>
              <w:t xml:space="preserve"> </w:t>
            </w:r>
            <w:r>
              <w:rPr>
                <w:rFonts w:ascii="Calibri"/>
                <w:spacing w:val="-1"/>
                <w:sz w:val="18"/>
              </w:rPr>
              <w:t>included</w:t>
            </w:r>
            <w:r>
              <w:rPr>
                <w:rFonts w:ascii="Calibri"/>
                <w:spacing w:val="-2"/>
                <w:sz w:val="18"/>
              </w:rPr>
              <w:t xml:space="preserve"> </w:t>
            </w:r>
            <w:r>
              <w:rPr>
                <w:rFonts w:ascii="Calibri"/>
                <w:sz w:val="18"/>
              </w:rPr>
              <w:t>in</w:t>
            </w:r>
            <w:r>
              <w:rPr>
                <w:rFonts w:ascii="Calibri"/>
                <w:spacing w:val="-3"/>
                <w:sz w:val="18"/>
              </w:rPr>
              <w:t xml:space="preserve"> </w:t>
            </w:r>
            <w:r>
              <w:rPr>
                <w:rFonts w:ascii="Calibri"/>
                <w:sz w:val="18"/>
              </w:rPr>
              <w:t>the</w:t>
            </w:r>
            <w:r>
              <w:rPr>
                <w:rFonts w:ascii="Calibri"/>
                <w:spacing w:val="-2"/>
                <w:sz w:val="18"/>
              </w:rPr>
              <w:t xml:space="preserve"> </w:t>
            </w:r>
            <w:r>
              <w:rPr>
                <w:rFonts w:ascii="Calibri"/>
                <w:sz w:val="18"/>
              </w:rPr>
              <w:t>kits</w:t>
            </w:r>
            <w:r>
              <w:rPr>
                <w:rFonts w:ascii="Calibri"/>
                <w:spacing w:val="-2"/>
                <w:sz w:val="18"/>
              </w:rPr>
              <w:t xml:space="preserve"> </w:t>
            </w:r>
            <w:r>
              <w:rPr>
                <w:rFonts w:ascii="Calibri"/>
                <w:sz w:val="18"/>
              </w:rPr>
              <w:t>in</w:t>
            </w:r>
            <w:r>
              <w:rPr>
                <w:rFonts w:ascii="Calibri"/>
                <w:spacing w:val="-3"/>
                <w:sz w:val="18"/>
              </w:rPr>
              <w:t xml:space="preserve"> </w:t>
            </w:r>
            <w:r>
              <w:rPr>
                <w:rFonts w:ascii="Calibri"/>
                <w:sz w:val="18"/>
              </w:rPr>
              <w:t>PY9</w:t>
            </w:r>
            <w:r>
              <w:rPr>
                <w:rFonts w:ascii="Calibri"/>
                <w:spacing w:val="-1"/>
                <w:sz w:val="18"/>
              </w:rPr>
              <w:t xml:space="preserve"> if</w:t>
            </w:r>
            <w:r>
              <w:rPr>
                <w:rFonts w:ascii="Calibri"/>
                <w:spacing w:val="37"/>
                <w:sz w:val="18"/>
              </w:rPr>
              <w:t xml:space="preserve"> </w:t>
            </w:r>
            <w:r>
              <w:rPr>
                <w:rFonts w:ascii="Calibri"/>
                <w:spacing w:val="-1"/>
                <w:sz w:val="18"/>
              </w:rPr>
              <w:t>ISRs</w:t>
            </w:r>
            <w:r>
              <w:rPr>
                <w:rFonts w:ascii="Calibri"/>
                <w:spacing w:val="-4"/>
                <w:sz w:val="18"/>
              </w:rPr>
              <w:t xml:space="preserve"> </w:t>
            </w:r>
            <w:r>
              <w:rPr>
                <w:rFonts w:ascii="Calibri"/>
                <w:spacing w:val="-1"/>
                <w:sz w:val="18"/>
              </w:rPr>
              <w:t>continue</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decrease.</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146"/>
              <w:rPr>
                <w:rFonts w:ascii="Calibri" w:eastAsia="Calibri" w:hAnsi="Calibri" w:cs="Calibri"/>
                <w:sz w:val="18"/>
                <w:szCs w:val="18"/>
              </w:rPr>
            </w:pPr>
            <w:r>
              <w:rPr>
                <w:rFonts w:ascii="Calibri"/>
                <w:spacing w:val="-1"/>
                <w:sz w:val="18"/>
              </w:rPr>
              <w:t>Being</w:t>
            </w:r>
            <w:r>
              <w:rPr>
                <w:rFonts w:ascii="Calibri"/>
                <w:spacing w:val="-3"/>
                <w:sz w:val="18"/>
              </w:rPr>
              <w:t xml:space="preserve"> </w:t>
            </w:r>
            <w:r>
              <w:rPr>
                <w:rFonts w:ascii="Calibri"/>
                <w:spacing w:val="-1"/>
                <w:sz w:val="18"/>
              </w:rPr>
              <w:t>considered.</w:t>
            </w:r>
            <w:r>
              <w:rPr>
                <w:rFonts w:ascii="Calibri"/>
                <w:spacing w:val="36"/>
                <w:sz w:val="18"/>
              </w:rPr>
              <w:t xml:space="preserve"> </w:t>
            </w:r>
            <w:r>
              <w:rPr>
                <w:rFonts w:ascii="Calibri"/>
                <w:sz w:val="18"/>
              </w:rPr>
              <w:t>PPL</w:t>
            </w:r>
            <w:r>
              <w:rPr>
                <w:rFonts w:ascii="Calibri"/>
                <w:spacing w:val="-1"/>
                <w:sz w:val="18"/>
              </w:rPr>
              <w:t xml:space="preserve"> will</w:t>
            </w:r>
            <w:r>
              <w:rPr>
                <w:rFonts w:ascii="Calibri"/>
                <w:spacing w:val="-3"/>
                <w:sz w:val="18"/>
              </w:rPr>
              <w:t xml:space="preserve"> </w:t>
            </w:r>
            <w:r>
              <w:rPr>
                <w:rFonts w:ascii="Calibri"/>
                <w:spacing w:val="-1"/>
                <w:sz w:val="18"/>
              </w:rPr>
              <w:t>certainly</w:t>
            </w:r>
            <w:r>
              <w:rPr>
                <w:rFonts w:ascii="Calibri"/>
                <w:spacing w:val="-2"/>
                <w:sz w:val="18"/>
              </w:rPr>
              <w:t xml:space="preserve"> </w:t>
            </w:r>
            <w:r>
              <w:rPr>
                <w:rFonts w:ascii="Calibri"/>
                <w:spacing w:val="-1"/>
                <w:sz w:val="18"/>
              </w:rPr>
              <w:t>monitor the</w:t>
            </w:r>
            <w:r>
              <w:rPr>
                <w:rFonts w:ascii="Calibri"/>
                <w:spacing w:val="-3"/>
                <w:sz w:val="18"/>
              </w:rPr>
              <w:t xml:space="preserve"> </w:t>
            </w:r>
            <w:r>
              <w:rPr>
                <w:rFonts w:ascii="Calibri"/>
                <w:sz w:val="18"/>
              </w:rPr>
              <w:t>PY8</w:t>
            </w:r>
            <w:r>
              <w:rPr>
                <w:rFonts w:ascii="Calibri"/>
                <w:spacing w:val="-2"/>
                <w:sz w:val="18"/>
              </w:rPr>
              <w:t xml:space="preserve"> </w:t>
            </w:r>
            <w:r>
              <w:rPr>
                <w:rFonts w:ascii="Calibri"/>
                <w:sz w:val="18"/>
              </w:rPr>
              <w:t>LED</w:t>
            </w:r>
            <w:r>
              <w:rPr>
                <w:rFonts w:ascii="Calibri"/>
                <w:spacing w:val="49"/>
                <w:sz w:val="18"/>
              </w:rPr>
              <w:t xml:space="preserve"> </w:t>
            </w:r>
            <w:r>
              <w:rPr>
                <w:rFonts w:ascii="Calibri"/>
                <w:spacing w:val="-1"/>
                <w:sz w:val="18"/>
              </w:rPr>
              <w:t>bulb</w:t>
            </w:r>
            <w:r>
              <w:rPr>
                <w:rFonts w:ascii="Calibri"/>
                <w:spacing w:val="-2"/>
                <w:sz w:val="18"/>
              </w:rPr>
              <w:t xml:space="preserve"> </w:t>
            </w:r>
            <w:r>
              <w:rPr>
                <w:rFonts w:ascii="Calibri"/>
                <w:spacing w:val="-1"/>
                <w:sz w:val="18"/>
              </w:rPr>
              <w:t>installation</w:t>
            </w:r>
            <w:r>
              <w:rPr>
                <w:rFonts w:ascii="Calibri"/>
                <w:spacing w:val="-4"/>
                <w:sz w:val="18"/>
              </w:rPr>
              <w:t xml:space="preserve"> </w:t>
            </w:r>
            <w:r>
              <w:rPr>
                <w:rFonts w:ascii="Calibri"/>
                <w:sz w:val="18"/>
              </w:rPr>
              <w:t>rate</w:t>
            </w:r>
            <w:r>
              <w:rPr>
                <w:rFonts w:ascii="Calibri"/>
                <w:spacing w:val="-3"/>
                <w:sz w:val="18"/>
              </w:rPr>
              <w:t xml:space="preserve"> </w:t>
            </w:r>
            <w:r>
              <w:rPr>
                <w:rFonts w:ascii="Calibri"/>
                <w:spacing w:val="-1"/>
                <w:sz w:val="18"/>
              </w:rPr>
              <w:t>and</w:t>
            </w:r>
            <w:r>
              <w:rPr>
                <w:rFonts w:ascii="Calibri"/>
                <w:spacing w:val="-2"/>
                <w:sz w:val="18"/>
              </w:rPr>
              <w:t xml:space="preserve"> </w:t>
            </w:r>
            <w:r>
              <w:rPr>
                <w:rFonts w:ascii="Calibri"/>
                <w:spacing w:val="-1"/>
                <w:sz w:val="18"/>
              </w:rPr>
              <w:t>determine</w:t>
            </w:r>
            <w:r>
              <w:rPr>
                <w:rFonts w:ascii="Calibri"/>
                <w:spacing w:val="-3"/>
                <w:sz w:val="18"/>
              </w:rPr>
              <w:t xml:space="preserve"> </w:t>
            </w:r>
            <w:r>
              <w:rPr>
                <w:rFonts w:ascii="Calibri"/>
                <w:sz w:val="18"/>
              </w:rPr>
              <w:t>if</w:t>
            </w:r>
            <w:r>
              <w:rPr>
                <w:rFonts w:ascii="Calibri"/>
                <w:spacing w:val="-4"/>
                <w:sz w:val="18"/>
              </w:rPr>
              <w:t xml:space="preserve"> </w:t>
            </w:r>
            <w:r>
              <w:rPr>
                <w:rFonts w:ascii="Calibri"/>
                <w:sz w:val="18"/>
              </w:rPr>
              <w:t xml:space="preserve">program </w:t>
            </w:r>
            <w:r>
              <w:rPr>
                <w:rFonts w:ascii="Calibri"/>
                <w:spacing w:val="-1"/>
                <w:sz w:val="18"/>
              </w:rPr>
              <w:t>changes</w:t>
            </w:r>
            <w:r>
              <w:rPr>
                <w:rFonts w:ascii="Calibri"/>
                <w:spacing w:val="-4"/>
                <w:sz w:val="18"/>
              </w:rPr>
              <w:t xml:space="preserve"> </w:t>
            </w:r>
            <w:r>
              <w:rPr>
                <w:rFonts w:ascii="Calibri"/>
                <w:sz w:val="18"/>
              </w:rPr>
              <w:t>are</w:t>
            </w:r>
            <w:r>
              <w:rPr>
                <w:rFonts w:ascii="Calibri"/>
                <w:spacing w:val="47"/>
                <w:w w:val="99"/>
                <w:sz w:val="18"/>
              </w:rPr>
              <w:t xml:space="preserve"> </w:t>
            </w:r>
            <w:r>
              <w:rPr>
                <w:rFonts w:ascii="Calibri"/>
                <w:spacing w:val="-1"/>
                <w:sz w:val="18"/>
              </w:rPr>
              <w:t>required</w:t>
            </w:r>
            <w:r>
              <w:rPr>
                <w:rFonts w:ascii="Calibri"/>
                <w:spacing w:val="-4"/>
                <w:sz w:val="18"/>
              </w:rPr>
              <w:t xml:space="preserve"> </w:t>
            </w:r>
            <w:r>
              <w:rPr>
                <w:rFonts w:ascii="Calibri"/>
                <w:spacing w:val="-1"/>
                <w:sz w:val="18"/>
              </w:rPr>
              <w:t>(reduce</w:t>
            </w:r>
            <w:r>
              <w:rPr>
                <w:rFonts w:ascii="Calibri"/>
                <w:spacing w:val="-3"/>
                <w:sz w:val="18"/>
              </w:rPr>
              <w:t xml:space="preserve"> </w:t>
            </w:r>
            <w:r>
              <w:rPr>
                <w:rFonts w:ascii="Calibri"/>
                <w:sz w:val="18"/>
              </w:rPr>
              <w:t>the</w:t>
            </w:r>
            <w:r>
              <w:rPr>
                <w:rFonts w:ascii="Calibri"/>
                <w:spacing w:val="-1"/>
                <w:sz w:val="18"/>
              </w:rPr>
              <w:t xml:space="preserve"> number</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bulbs</w:t>
            </w:r>
            <w:r>
              <w:rPr>
                <w:rFonts w:ascii="Calibri"/>
                <w:spacing w:val="-3"/>
                <w:sz w:val="18"/>
              </w:rPr>
              <w:t xml:space="preserve"> </w:t>
            </w:r>
            <w:r>
              <w:rPr>
                <w:rFonts w:ascii="Calibri"/>
                <w:sz w:val="18"/>
              </w:rPr>
              <w:t>or</w:t>
            </w:r>
            <w:r>
              <w:rPr>
                <w:rFonts w:ascii="Calibri"/>
                <w:spacing w:val="-2"/>
                <w:sz w:val="18"/>
              </w:rPr>
              <w:t xml:space="preserve"> </w:t>
            </w:r>
            <w:r>
              <w:rPr>
                <w:rFonts w:ascii="Calibri"/>
                <w:spacing w:val="-1"/>
                <w:sz w:val="18"/>
              </w:rPr>
              <w:t>improve</w:t>
            </w:r>
            <w:r>
              <w:rPr>
                <w:rFonts w:ascii="Calibri"/>
                <w:spacing w:val="-4"/>
                <w:sz w:val="18"/>
              </w:rPr>
              <w:t xml:space="preserve"> </w:t>
            </w:r>
            <w:r>
              <w:rPr>
                <w:rFonts w:ascii="Calibri"/>
                <w:spacing w:val="-1"/>
                <w:sz w:val="18"/>
              </w:rPr>
              <w:t>messaging</w:t>
            </w:r>
            <w:r>
              <w:rPr>
                <w:rFonts w:ascii="Calibri"/>
                <w:spacing w:val="57"/>
                <w:w w:val="99"/>
                <w:sz w:val="18"/>
              </w:rPr>
              <w:t xml:space="preserve"> </w:t>
            </w:r>
            <w:r>
              <w:rPr>
                <w:rFonts w:ascii="Calibri"/>
                <w:sz w:val="18"/>
              </w:rPr>
              <w:t>to</w:t>
            </w:r>
            <w:r>
              <w:rPr>
                <w:rFonts w:ascii="Calibri"/>
                <w:spacing w:val="-3"/>
                <w:sz w:val="18"/>
              </w:rPr>
              <w:t xml:space="preserve"> </w:t>
            </w:r>
            <w:r>
              <w:rPr>
                <w:rFonts w:ascii="Calibri"/>
                <w:spacing w:val="-1"/>
                <w:sz w:val="18"/>
              </w:rPr>
              <w:t>encourage</w:t>
            </w:r>
            <w:r>
              <w:rPr>
                <w:rFonts w:ascii="Calibri"/>
                <w:spacing w:val="-3"/>
                <w:sz w:val="18"/>
              </w:rPr>
              <w:t xml:space="preserve"> </w:t>
            </w:r>
            <w:r>
              <w:rPr>
                <w:rFonts w:ascii="Calibri"/>
                <w:sz w:val="18"/>
              </w:rPr>
              <w:t>a</w:t>
            </w:r>
            <w:r>
              <w:rPr>
                <w:rFonts w:ascii="Calibri"/>
                <w:spacing w:val="-2"/>
                <w:sz w:val="18"/>
              </w:rPr>
              <w:t xml:space="preserve"> </w:t>
            </w:r>
            <w:r>
              <w:rPr>
                <w:rFonts w:ascii="Calibri"/>
                <w:spacing w:val="-1"/>
                <w:sz w:val="18"/>
              </w:rPr>
              <w:t>higher installation</w:t>
            </w:r>
            <w:r>
              <w:rPr>
                <w:rFonts w:ascii="Calibri"/>
                <w:spacing w:val="-3"/>
                <w:sz w:val="18"/>
              </w:rPr>
              <w:t xml:space="preserve"> </w:t>
            </w:r>
            <w:r>
              <w:rPr>
                <w:rFonts w:ascii="Calibri"/>
                <w:spacing w:val="-1"/>
                <w:sz w:val="18"/>
              </w:rPr>
              <w:t>rate.)</w:t>
            </w:r>
          </w:p>
        </w:tc>
      </w:tr>
      <w:tr w:rsidR="00E646C9" w:rsidTr="00C3558F">
        <w:trPr>
          <w:trHeight w:hRule="exact" w:val="89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405"/>
              <w:rPr>
                <w:rFonts w:ascii="Calibri" w:eastAsia="Calibri" w:hAnsi="Calibri" w:cs="Calibri"/>
                <w:sz w:val="18"/>
                <w:szCs w:val="18"/>
              </w:rPr>
            </w:pPr>
            <w:r>
              <w:rPr>
                <w:rFonts w:ascii="Calibri"/>
                <w:spacing w:val="-1"/>
                <w:sz w:val="18"/>
              </w:rPr>
              <w:t>Review</w:t>
            </w:r>
            <w:r>
              <w:rPr>
                <w:rFonts w:ascii="Calibri"/>
                <w:spacing w:val="-2"/>
                <w:sz w:val="18"/>
              </w:rPr>
              <w:t xml:space="preserve"> </w:t>
            </w:r>
            <w:r>
              <w:rPr>
                <w:rFonts w:ascii="Calibri"/>
                <w:spacing w:val="-1"/>
                <w:sz w:val="18"/>
              </w:rPr>
              <w:t>student</w:t>
            </w:r>
            <w:r>
              <w:rPr>
                <w:rFonts w:ascii="Calibri"/>
                <w:spacing w:val="-2"/>
                <w:sz w:val="18"/>
              </w:rPr>
              <w:t xml:space="preserve"> </w:t>
            </w:r>
            <w:r>
              <w:rPr>
                <w:rFonts w:ascii="Calibri"/>
                <w:spacing w:val="-1"/>
                <w:sz w:val="18"/>
              </w:rPr>
              <w:t>guides</w:t>
            </w:r>
            <w:r>
              <w:rPr>
                <w:rFonts w:ascii="Calibri"/>
                <w:spacing w:val="-3"/>
                <w:sz w:val="18"/>
              </w:rPr>
              <w:t xml:space="preserve"> </w:t>
            </w:r>
            <w:r>
              <w:rPr>
                <w:rFonts w:ascii="Calibri"/>
                <w:sz w:val="18"/>
              </w:rPr>
              <w:t>and</w:t>
            </w:r>
            <w:r>
              <w:rPr>
                <w:rFonts w:ascii="Calibri"/>
                <w:spacing w:val="-3"/>
                <w:sz w:val="18"/>
              </w:rPr>
              <w:t xml:space="preserve"> </w:t>
            </w:r>
            <w:r>
              <w:rPr>
                <w:rFonts w:ascii="Calibri"/>
                <w:sz w:val="18"/>
              </w:rPr>
              <w:t>education</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installation</w:t>
            </w:r>
            <w:r>
              <w:rPr>
                <w:rFonts w:ascii="Calibri"/>
                <w:spacing w:val="49"/>
                <w:sz w:val="18"/>
              </w:rPr>
              <w:t xml:space="preserve"> </w:t>
            </w:r>
            <w:r>
              <w:rPr>
                <w:rFonts w:ascii="Calibri"/>
                <w:spacing w:val="-1"/>
                <w:sz w:val="18"/>
              </w:rPr>
              <w:t>materials</w:t>
            </w:r>
            <w:r>
              <w:rPr>
                <w:rFonts w:ascii="Calibri"/>
                <w:spacing w:val="-4"/>
                <w:sz w:val="18"/>
              </w:rPr>
              <w:t xml:space="preserve"> </w:t>
            </w:r>
            <w:r>
              <w:rPr>
                <w:rFonts w:ascii="Calibri"/>
                <w:sz w:val="18"/>
              </w:rPr>
              <w:t>to</w:t>
            </w:r>
            <w:r>
              <w:rPr>
                <w:rFonts w:ascii="Calibri"/>
                <w:spacing w:val="-1"/>
                <w:sz w:val="18"/>
              </w:rPr>
              <w:t xml:space="preserve"> assess</w:t>
            </w:r>
            <w:r>
              <w:rPr>
                <w:rFonts w:ascii="Calibri"/>
                <w:spacing w:val="-3"/>
                <w:sz w:val="18"/>
              </w:rPr>
              <w:t xml:space="preserve"> </w:t>
            </w:r>
            <w:r>
              <w:rPr>
                <w:rFonts w:ascii="Calibri"/>
                <w:spacing w:val="-1"/>
                <w:sz w:val="18"/>
              </w:rPr>
              <w:t xml:space="preserve">opportunities </w:t>
            </w:r>
            <w:r>
              <w:rPr>
                <w:rFonts w:ascii="Calibri"/>
                <w:sz w:val="18"/>
              </w:rPr>
              <w:t>to</w:t>
            </w:r>
            <w:r>
              <w:rPr>
                <w:rFonts w:ascii="Calibri"/>
                <w:spacing w:val="-1"/>
                <w:sz w:val="18"/>
              </w:rPr>
              <w:t xml:space="preserve"> further</w:t>
            </w:r>
            <w:r>
              <w:rPr>
                <w:rFonts w:ascii="Calibri"/>
                <w:spacing w:val="-2"/>
                <w:sz w:val="18"/>
              </w:rPr>
              <w:t xml:space="preserve"> </w:t>
            </w:r>
            <w:r>
              <w:rPr>
                <w:rFonts w:ascii="Calibri"/>
                <w:spacing w:val="-1"/>
                <w:sz w:val="18"/>
              </w:rPr>
              <w:t xml:space="preserve">highlight </w:t>
            </w:r>
            <w:r>
              <w:rPr>
                <w:rFonts w:ascii="Calibri"/>
                <w:sz w:val="18"/>
              </w:rPr>
              <w:t>LED</w:t>
            </w:r>
            <w:r>
              <w:rPr>
                <w:rFonts w:ascii="Calibri"/>
                <w:spacing w:val="59"/>
                <w:sz w:val="18"/>
              </w:rPr>
              <w:t xml:space="preserve"> </w:t>
            </w:r>
            <w:r>
              <w:rPr>
                <w:rFonts w:ascii="Calibri"/>
                <w:spacing w:val="-1"/>
                <w:sz w:val="18"/>
              </w:rPr>
              <w:t>benefits</w:t>
            </w:r>
            <w:r>
              <w:rPr>
                <w:rFonts w:ascii="Calibri"/>
                <w:spacing w:val="-4"/>
                <w:sz w:val="18"/>
              </w:rPr>
              <w:t xml:space="preserve"> </w:t>
            </w:r>
            <w:r>
              <w:rPr>
                <w:rFonts w:ascii="Calibri"/>
                <w:spacing w:val="-1"/>
                <w:sz w:val="18"/>
              </w:rPr>
              <w:t>(compared</w:t>
            </w:r>
            <w:r>
              <w:rPr>
                <w:rFonts w:ascii="Calibri"/>
                <w:spacing w:val="-2"/>
                <w:sz w:val="18"/>
              </w:rPr>
              <w:t xml:space="preserve"> </w:t>
            </w:r>
            <w:r>
              <w:rPr>
                <w:rFonts w:ascii="Calibri"/>
                <w:sz w:val="18"/>
              </w:rPr>
              <w:t>to</w:t>
            </w:r>
            <w:r>
              <w:rPr>
                <w:rFonts w:ascii="Calibri"/>
                <w:spacing w:val="-1"/>
                <w:sz w:val="18"/>
              </w:rPr>
              <w:t xml:space="preserve"> both</w:t>
            </w:r>
            <w:r>
              <w:rPr>
                <w:rFonts w:ascii="Calibri"/>
                <w:spacing w:val="-2"/>
                <w:sz w:val="18"/>
              </w:rPr>
              <w:t xml:space="preserve"> </w:t>
            </w:r>
            <w:r>
              <w:rPr>
                <w:rFonts w:ascii="Calibri"/>
                <w:spacing w:val="-1"/>
                <w:sz w:val="18"/>
              </w:rPr>
              <w:t>incandescent and</w:t>
            </w:r>
            <w:r>
              <w:rPr>
                <w:rFonts w:ascii="Calibri"/>
                <w:spacing w:val="-2"/>
                <w:sz w:val="18"/>
              </w:rPr>
              <w:t xml:space="preserve"> </w:t>
            </w:r>
            <w:r>
              <w:rPr>
                <w:rFonts w:ascii="Calibri"/>
                <w:sz w:val="18"/>
              </w:rPr>
              <w:t>CFLs)</w:t>
            </w:r>
            <w:r>
              <w:rPr>
                <w:rFonts w:ascii="Calibri"/>
                <w:spacing w:val="-1"/>
                <w:sz w:val="18"/>
              </w:rPr>
              <w:t xml:space="preserve"> and</w:t>
            </w:r>
            <w:r>
              <w:rPr>
                <w:rFonts w:ascii="Calibri"/>
                <w:spacing w:val="59"/>
                <w:sz w:val="18"/>
              </w:rPr>
              <w:t xml:space="preserve"> </w:t>
            </w:r>
            <w:r>
              <w:rPr>
                <w:rFonts w:ascii="Calibri"/>
                <w:spacing w:val="-1"/>
                <w:sz w:val="18"/>
              </w:rPr>
              <w:t>encourage</w:t>
            </w:r>
            <w:r>
              <w:rPr>
                <w:rFonts w:ascii="Calibri"/>
                <w:spacing w:val="-6"/>
                <w:sz w:val="18"/>
              </w:rPr>
              <w:t xml:space="preserve"> </w:t>
            </w:r>
            <w:r>
              <w:rPr>
                <w:rFonts w:ascii="Calibri"/>
                <w:spacing w:val="-1"/>
                <w:sz w:val="18"/>
              </w:rPr>
              <w:t>installation.</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146"/>
              <w:rPr>
                <w:rFonts w:ascii="Calibri" w:eastAsia="Calibri" w:hAnsi="Calibri" w:cs="Calibri"/>
                <w:sz w:val="18"/>
                <w:szCs w:val="18"/>
              </w:rPr>
            </w:pPr>
            <w:r>
              <w:rPr>
                <w:rFonts w:ascii="Calibri"/>
                <w:spacing w:val="-1"/>
                <w:sz w:val="18"/>
              </w:rPr>
              <w:t>Being</w:t>
            </w:r>
            <w:r>
              <w:rPr>
                <w:rFonts w:ascii="Calibri"/>
                <w:spacing w:val="-3"/>
                <w:sz w:val="18"/>
              </w:rPr>
              <w:t xml:space="preserve"> </w:t>
            </w:r>
            <w:r>
              <w:rPr>
                <w:rFonts w:ascii="Calibri"/>
                <w:spacing w:val="-1"/>
                <w:sz w:val="18"/>
              </w:rPr>
              <w:t>considered.</w:t>
            </w:r>
            <w:r>
              <w:rPr>
                <w:rFonts w:ascii="Calibri"/>
                <w:spacing w:val="36"/>
                <w:sz w:val="18"/>
              </w:rPr>
              <w:t xml:space="preserve"> </w:t>
            </w:r>
            <w:r>
              <w:rPr>
                <w:rFonts w:ascii="Calibri"/>
                <w:sz w:val="18"/>
              </w:rPr>
              <w:t>PPL</w:t>
            </w:r>
            <w:r>
              <w:rPr>
                <w:rFonts w:ascii="Calibri"/>
                <w:spacing w:val="-1"/>
                <w:sz w:val="18"/>
              </w:rPr>
              <w:t xml:space="preserve"> will</w:t>
            </w:r>
            <w:r>
              <w:rPr>
                <w:rFonts w:ascii="Calibri"/>
                <w:spacing w:val="-3"/>
                <w:sz w:val="18"/>
              </w:rPr>
              <w:t xml:space="preserve"> </w:t>
            </w:r>
            <w:r>
              <w:rPr>
                <w:rFonts w:ascii="Calibri"/>
                <w:spacing w:val="-1"/>
                <w:sz w:val="18"/>
              </w:rPr>
              <w:t>certainly</w:t>
            </w:r>
            <w:r>
              <w:rPr>
                <w:rFonts w:ascii="Calibri"/>
                <w:spacing w:val="-2"/>
                <w:sz w:val="18"/>
              </w:rPr>
              <w:t xml:space="preserve"> </w:t>
            </w:r>
            <w:r>
              <w:rPr>
                <w:rFonts w:ascii="Calibri"/>
                <w:spacing w:val="-1"/>
                <w:sz w:val="18"/>
              </w:rPr>
              <w:t>monitor the</w:t>
            </w:r>
            <w:r>
              <w:rPr>
                <w:rFonts w:ascii="Calibri"/>
                <w:spacing w:val="-3"/>
                <w:sz w:val="18"/>
              </w:rPr>
              <w:t xml:space="preserve"> </w:t>
            </w:r>
            <w:r>
              <w:rPr>
                <w:rFonts w:ascii="Calibri"/>
                <w:sz w:val="18"/>
              </w:rPr>
              <w:t>PY8</w:t>
            </w:r>
            <w:r>
              <w:rPr>
                <w:rFonts w:ascii="Calibri"/>
                <w:spacing w:val="-2"/>
                <w:sz w:val="18"/>
              </w:rPr>
              <w:t xml:space="preserve"> </w:t>
            </w:r>
            <w:r>
              <w:rPr>
                <w:rFonts w:ascii="Calibri"/>
                <w:sz w:val="18"/>
              </w:rPr>
              <w:t>LED</w:t>
            </w:r>
            <w:r>
              <w:rPr>
                <w:rFonts w:ascii="Calibri"/>
                <w:spacing w:val="49"/>
                <w:sz w:val="18"/>
              </w:rPr>
              <w:t xml:space="preserve"> </w:t>
            </w:r>
            <w:r>
              <w:rPr>
                <w:rFonts w:ascii="Calibri"/>
                <w:spacing w:val="-1"/>
                <w:sz w:val="18"/>
              </w:rPr>
              <w:t>bulb</w:t>
            </w:r>
            <w:r>
              <w:rPr>
                <w:rFonts w:ascii="Calibri"/>
                <w:spacing w:val="-2"/>
                <w:sz w:val="18"/>
              </w:rPr>
              <w:t xml:space="preserve"> </w:t>
            </w:r>
            <w:r>
              <w:rPr>
                <w:rFonts w:ascii="Calibri"/>
                <w:spacing w:val="-1"/>
                <w:sz w:val="18"/>
              </w:rPr>
              <w:t>installation</w:t>
            </w:r>
            <w:r>
              <w:rPr>
                <w:rFonts w:ascii="Calibri"/>
                <w:spacing w:val="-4"/>
                <w:sz w:val="18"/>
              </w:rPr>
              <w:t xml:space="preserve"> </w:t>
            </w:r>
            <w:r>
              <w:rPr>
                <w:rFonts w:ascii="Calibri"/>
                <w:sz w:val="18"/>
              </w:rPr>
              <w:t>rate</w:t>
            </w:r>
            <w:r>
              <w:rPr>
                <w:rFonts w:ascii="Calibri"/>
                <w:spacing w:val="-3"/>
                <w:sz w:val="18"/>
              </w:rPr>
              <w:t xml:space="preserve"> </w:t>
            </w:r>
            <w:r>
              <w:rPr>
                <w:rFonts w:ascii="Calibri"/>
                <w:spacing w:val="-1"/>
                <w:sz w:val="18"/>
              </w:rPr>
              <w:t>and</w:t>
            </w:r>
            <w:r>
              <w:rPr>
                <w:rFonts w:ascii="Calibri"/>
                <w:spacing w:val="-2"/>
                <w:sz w:val="18"/>
              </w:rPr>
              <w:t xml:space="preserve"> </w:t>
            </w:r>
            <w:r>
              <w:rPr>
                <w:rFonts w:ascii="Calibri"/>
                <w:spacing w:val="-1"/>
                <w:sz w:val="18"/>
              </w:rPr>
              <w:t>determine</w:t>
            </w:r>
            <w:r>
              <w:rPr>
                <w:rFonts w:ascii="Calibri"/>
                <w:spacing w:val="-3"/>
                <w:sz w:val="18"/>
              </w:rPr>
              <w:t xml:space="preserve"> </w:t>
            </w:r>
            <w:r>
              <w:rPr>
                <w:rFonts w:ascii="Calibri"/>
                <w:sz w:val="18"/>
              </w:rPr>
              <w:t>if</w:t>
            </w:r>
            <w:r>
              <w:rPr>
                <w:rFonts w:ascii="Calibri"/>
                <w:spacing w:val="-4"/>
                <w:sz w:val="18"/>
              </w:rPr>
              <w:t xml:space="preserve"> </w:t>
            </w:r>
            <w:r>
              <w:rPr>
                <w:rFonts w:ascii="Calibri"/>
                <w:sz w:val="18"/>
              </w:rPr>
              <w:t>program</w:t>
            </w:r>
            <w:r>
              <w:rPr>
                <w:rFonts w:ascii="Calibri"/>
                <w:spacing w:val="-3"/>
                <w:sz w:val="18"/>
              </w:rPr>
              <w:t xml:space="preserve"> </w:t>
            </w:r>
            <w:r>
              <w:rPr>
                <w:rFonts w:ascii="Calibri"/>
                <w:spacing w:val="-1"/>
                <w:sz w:val="18"/>
              </w:rPr>
              <w:t>changes</w:t>
            </w:r>
            <w:r>
              <w:rPr>
                <w:rFonts w:ascii="Calibri"/>
                <w:spacing w:val="-4"/>
                <w:sz w:val="18"/>
              </w:rPr>
              <w:t xml:space="preserve"> </w:t>
            </w:r>
            <w:r>
              <w:rPr>
                <w:rFonts w:ascii="Calibri"/>
                <w:sz w:val="18"/>
              </w:rPr>
              <w:t>are</w:t>
            </w:r>
            <w:r>
              <w:rPr>
                <w:rFonts w:ascii="Calibri"/>
                <w:spacing w:val="47"/>
                <w:w w:val="99"/>
                <w:sz w:val="18"/>
              </w:rPr>
              <w:t xml:space="preserve"> </w:t>
            </w:r>
            <w:r>
              <w:rPr>
                <w:rFonts w:ascii="Calibri"/>
                <w:spacing w:val="-1"/>
                <w:sz w:val="18"/>
              </w:rPr>
              <w:t>required</w:t>
            </w:r>
            <w:r>
              <w:rPr>
                <w:rFonts w:ascii="Calibri"/>
                <w:spacing w:val="-4"/>
                <w:sz w:val="18"/>
              </w:rPr>
              <w:t xml:space="preserve"> </w:t>
            </w:r>
            <w:r>
              <w:rPr>
                <w:rFonts w:ascii="Calibri"/>
                <w:spacing w:val="-1"/>
                <w:sz w:val="18"/>
              </w:rPr>
              <w:t>(reduce</w:t>
            </w:r>
            <w:r>
              <w:rPr>
                <w:rFonts w:ascii="Calibri"/>
                <w:spacing w:val="-3"/>
                <w:sz w:val="18"/>
              </w:rPr>
              <w:t xml:space="preserve"> </w:t>
            </w:r>
            <w:r>
              <w:rPr>
                <w:rFonts w:ascii="Calibri"/>
                <w:sz w:val="18"/>
              </w:rPr>
              <w:t>the</w:t>
            </w:r>
            <w:r>
              <w:rPr>
                <w:rFonts w:ascii="Calibri"/>
                <w:spacing w:val="-1"/>
                <w:sz w:val="18"/>
              </w:rPr>
              <w:t xml:space="preserve"> number</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bulbs</w:t>
            </w:r>
            <w:r>
              <w:rPr>
                <w:rFonts w:ascii="Calibri"/>
                <w:spacing w:val="-3"/>
                <w:sz w:val="18"/>
              </w:rPr>
              <w:t xml:space="preserve"> </w:t>
            </w:r>
            <w:r>
              <w:rPr>
                <w:rFonts w:ascii="Calibri"/>
                <w:sz w:val="18"/>
              </w:rPr>
              <w:t>or</w:t>
            </w:r>
            <w:r>
              <w:rPr>
                <w:rFonts w:ascii="Calibri"/>
                <w:spacing w:val="-2"/>
                <w:sz w:val="18"/>
              </w:rPr>
              <w:t xml:space="preserve"> </w:t>
            </w:r>
            <w:r>
              <w:rPr>
                <w:rFonts w:ascii="Calibri"/>
                <w:spacing w:val="-1"/>
                <w:sz w:val="18"/>
              </w:rPr>
              <w:t>improve</w:t>
            </w:r>
            <w:r>
              <w:rPr>
                <w:rFonts w:ascii="Calibri"/>
                <w:spacing w:val="-4"/>
                <w:sz w:val="18"/>
              </w:rPr>
              <w:t xml:space="preserve"> </w:t>
            </w:r>
            <w:r>
              <w:rPr>
                <w:rFonts w:ascii="Calibri"/>
                <w:spacing w:val="-1"/>
                <w:sz w:val="18"/>
              </w:rPr>
              <w:t>messaging</w:t>
            </w:r>
            <w:r>
              <w:rPr>
                <w:rFonts w:ascii="Calibri"/>
                <w:spacing w:val="57"/>
                <w:w w:val="99"/>
                <w:sz w:val="18"/>
              </w:rPr>
              <w:t xml:space="preserve"> </w:t>
            </w:r>
            <w:r>
              <w:rPr>
                <w:rFonts w:ascii="Calibri"/>
                <w:sz w:val="18"/>
              </w:rPr>
              <w:t>to</w:t>
            </w:r>
            <w:r>
              <w:rPr>
                <w:rFonts w:ascii="Calibri"/>
                <w:spacing w:val="-3"/>
                <w:sz w:val="18"/>
              </w:rPr>
              <w:t xml:space="preserve"> </w:t>
            </w:r>
            <w:r>
              <w:rPr>
                <w:rFonts w:ascii="Calibri"/>
                <w:spacing w:val="-1"/>
                <w:sz w:val="18"/>
              </w:rPr>
              <w:t>encourage</w:t>
            </w:r>
            <w:r>
              <w:rPr>
                <w:rFonts w:ascii="Calibri"/>
                <w:spacing w:val="-3"/>
                <w:sz w:val="18"/>
              </w:rPr>
              <w:t xml:space="preserve"> </w:t>
            </w:r>
            <w:r>
              <w:rPr>
                <w:rFonts w:ascii="Calibri"/>
                <w:sz w:val="18"/>
              </w:rPr>
              <w:t>a</w:t>
            </w:r>
            <w:r>
              <w:rPr>
                <w:rFonts w:ascii="Calibri"/>
                <w:spacing w:val="-2"/>
                <w:sz w:val="18"/>
              </w:rPr>
              <w:t xml:space="preserve"> </w:t>
            </w:r>
            <w:r>
              <w:rPr>
                <w:rFonts w:ascii="Calibri"/>
                <w:spacing w:val="-1"/>
                <w:sz w:val="18"/>
              </w:rPr>
              <w:t xml:space="preserve">higher </w:t>
            </w:r>
            <w:r>
              <w:rPr>
                <w:rFonts w:ascii="Calibri"/>
                <w:sz w:val="18"/>
              </w:rPr>
              <w:t>installation</w:t>
            </w:r>
            <w:r>
              <w:rPr>
                <w:rFonts w:ascii="Calibri"/>
                <w:spacing w:val="-3"/>
                <w:sz w:val="18"/>
              </w:rPr>
              <w:t xml:space="preserve"> </w:t>
            </w:r>
            <w:r>
              <w:rPr>
                <w:rFonts w:ascii="Calibri"/>
                <w:spacing w:val="-1"/>
                <w:sz w:val="18"/>
              </w:rPr>
              <w:t>rate.)</w:t>
            </w:r>
          </w:p>
        </w:tc>
      </w:tr>
      <w:tr w:rsidR="00E646C9" w:rsidTr="00C3558F">
        <w:trPr>
          <w:trHeight w:hRule="exact" w:val="1334"/>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75"/>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pacing w:val="-1"/>
                <w:sz w:val="18"/>
              </w:rPr>
              <w:t>increasing</w:t>
            </w:r>
            <w:r>
              <w:rPr>
                <w:rFonts w:ascii="Calibri"/>
                <w:spacing w:val="-4"/>
                <w:sz w:val="18"/>
              </w:rPr>
              <w:t xml:space="preserve"> </w:t>
            </w:r>
            <w:r>
              <w:rPr>
                <w:rFonts w:ascii="Calibri"/>
                <w:sz w:val="18"/>
              </w:rPr>
              <w:t>the</w:t>
            </w:r>
            <w:r>
              <w:rPr>
                <w:rFonts w:ascii="Calibri"/>
                <w:spacing w:val="-5"/>
                <w:sz w:val="18"/>
              </w:rPr>
              <w:t xml:space="preserve"> </w:t>
            </w:r>
            <w:r>
              <w:rPr>
                <w:rFonts w:ascii="Calibri"/>
                <w:spacing w:val="-1"/>
                <w:sz w:val="18"/>
              </w:rPr>
              <w:t>grade-appropriate</w:t>
            </w:r>
            <w:r>
              <w:rPr>
                <w:rFonts w:ascii="Calibri"/>
                <w:spacing w:val="-5"/>
                <w:sz w:val="18"/>
              </w:rPr>
              <w:t xml:space="preserve"> </w:t>
            </w:r>
            <w:r>
              <w:rPr>
                <w:rFonts w:ascii="Calibri"/>
                <w:spacing w:val="-1"/>
                <w:sz w:val="18"/>
              </w:rPr>
              <w:t>classroom</w:t>
            </w:r>
            <w:r>
              <w:rPr>
                <w:rFonts w:ascii="Calibri"/>
                <w:spacing w:val="65"/>
                <w:w w:val="99"/>
                <w:sz w:val="18"/>
              </w:rPr>
              <w:t xml:space="preserve"> </w:t>
            </w:r>
            <w:r>
              <w:rPr>
                <w:rFonts w:ascii="Calibri"/>
                <w:spacing w:val="-1"/>
                <w:sz w:val="18"/>
              </w:rPr>
              <w:t>instructions</w:t>
            </w:r>
            <w:r>
              <w:rPr>
                <w:rFonts w:ascii="Calibri"/>
                <w:spacing w:val="-3"/>
                <w:sz w:val="18"/>
              </w:rPr>
              <w:t xml:space="preserve"> </w:t>
            </w:r>
            <w:r>
              <w:rPr>
                <w:rFonts w:ascii="Calibri"/>
                <w:sz w:val="18"/>
              </w:rPr>
              <w:t>and</w:t>
            </w:r>
            <w:r>
              <w:rPr>
                <w:rFonts w:ascii="Calibri"/>
                <w:spacing w:val="-3"/>
                <w:sz w:val="18"/>
              </w:rPr>
              <w:t xml:space="preserve"> </w:t>
            </w:r>
            <w:r>
              <w:rPr>
                <w:rFonts w:ascii="Calibri"/>
                <w:spacing w:val="-1"/>
                <w:sz w:val="18"/>
              </w:rPr>
              <w:t>discussion</w:t>
            </w:r>
            <w:r>
              <w:rPr>
                <w:rFonts w:ascii="Calibri"/>
                <w:spacing w:val="-2"/>
                <w:sz w:val="18"/>
              </w:rPr>
              <w:t xml:space="preserve"> </w:t>
            </w:r>
            <w:r>
              <w:rPr>
                <w:rFonts w:ascii="Calibri"/>
                <w:spacing w:val="-1"/>
                <w:sz w:val="18"/>
              </w:rPr>
              <w:t>about</w:t>
            </w:r>
            <w:r>
              <w:rPr>
                <w:rFonts w:ascii="Calibri"/>
                <w:sz w:val="18"/>
              </w:rPr>
              <w:t xml:space="preserve"> </w:t>
            </w:r>
            <w:r>
              <w:rPr>
                <w:rFonts w:ascii="Calibri"/>
                <w:spacing w:val="-1"/>
                <w:sz w:val="18"/>
              </w:rPr>
              <w:t>the</w:t>
            </w:r>
            <w:r>
              <w:rPr>
                <w:rFonts w:ascii="Calibri"/>
                <w:spacing w:val="-2"/>
                <w:sz w:val="18"/>
              </w:rPr>
              <w:t xml:space="preserve"> </w:t>
            </w:r>
            <w:r>
              <w:rPr>
                <w:rFonts w:ascii="Calibri"/>
                <w:spacing w:val="-1"/>
                <w:sz w:val="18"/>
              </w:rPr>
              <w:t>furnace</w:t>
            </w:r>
            <w:r>
              <w:rPr>
                <w:rFonts w:ascii="Calibri"/>
                <w:spacing w:val="-3"/>
                <w:sz w:val="18"/>
              </w:rPr>
              <w:t xml:space="preserve"> </w:t>
            </w:r>
            <w:r>
              <w:rPr>
                <w:rFonts w:ascii="Calibri"/>
                <w:spacing w:val="-1"/>
                <w:sz w:val="18"/>
              </w:rPr>
              <w:t>whistle,</w:t>
            </w:r>
            <w:r>
              <w:rPr>
                <w:rFonts w:ascii="Calibri"/>
                <w:spacing w:val="59"/>
                <w:w w:val="99"/>
                <w:sz w:val="18"/>
              </w:rPr>
              <w:t xml:space="preserve"> </w:t>
            </w:r>
            <w:r>
              <w:rPr>
                <w:rFonts w:ascii="Calibri"/>
                <w:spacing w:val="-1"/>
                <w:sz w:val="18"/>
              </w:rPr>
              <w:t>showerhead,</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faucet</w:t>
            </w:r>
            <w:r>
              <w:rPr>
                <w:rFonts w:ascii="Calibri"/>
                <w:spacing w:val="-3"/>
                <w:sz w:val="18"/>
              </w:rPr>
              <w:t xml:space="preserve"> </w:t>
            </w:r>
            <w:r>
              <w:rPr>
                <w:rFonts w:ascii="Calibri"/>
                <w:sz w:val="18"/>
              </w:rPr>
              <w:t>aerator</w:t>
            </w:r>
            <w:r>
              <w:rPr>
                <w:rFonts w:ascii="Calibri"/>
                <w:spacing w:val="-3"/>
                <w:sz w:val="18"/>
              </w:rPr>
              <w:t xml:space="preserve"> </w:t>
            </w:r>
            <w:r>
              <w:rPr>
                <w:rFonts w:ascii="Calibri"/>
                <w:spacing w:val="-1"/>
                <w:sz w:val="18"/>
              </w:rPr>
              <w:t>items</w:t>
            </w:r>
            <w:r>
              <w:rPr>
                <w:rFonts w:ascii="Calibri"/>
                <w:spacing w:val="-4"/>
                <w:sz w:val="18"/>
              </w:rPr>
              <w:t xml:space="preserve"> </w:t>
            </w:r>
            <w:r>
              <w:rPr>
                <w:rFonts w:ascii="Calibri"/>
                <w:sz w:val="18"/>
              </w:rPr>
              <w:t>to</w:t>
            </w:r>
            <w:r>
              <w:rPr>
                <w:rFonts w:ascii="Calibri"/>
                <w:spacing w:val="-3"/>
                <w:sz w:val="18"/>
              </w:rPr>
              <w:t xml:space="preserve"> </w:t>
            </w:r>
            <w:r>
              <w:rPr>
                <w:rFonts w:ascii="Calibri"/>
                <w:spacing w:val="-1"/>
                <w:sz w:val="18"/>
              </w:rPr>
              <w:t>encourage</w:t>
            </w:r>
            <w:r>
              <w:rPr>
                <w:rFonts w:ascii="Calibri"/>
                <w:spacing w:val="31"/>
                <w:w w:val="99"/>
                <w:sz w:val="18"/>
              </w:rPr>
              <w:t xml:space="preserve"> </w:t>
            </w:r>
            <w:r>
              <w:rPr>
                <w:rFonts w:ascii="Calibri"/>
                <w:spacing w:val="-1"/>
                <w:sz w:val="18"/>
              </w:rPr>
              <w:t>installation.</w:t>
            </w:r>
            <w:r>
              <w:rPr>
                <w:rFonts w:ascii="Calibri"/>
                <w:spacing w:val="-2"/>
                <w:sz w:val="18"/>
              </w:rPr>
              <w:t xml:space="preserve"> </w:t>
            </w:r>
            <w:r>
              <w:rPr>
                <w:rFonts w:ascii="Calibri"/>
                <w:spacing w:val="-1"/>
                <w:sz w:val="18"/>
              </w:rPr>
              <w:t>Consider</w:t>
            </w:r>
            <w:r>
              <w:rPr>
                <w:rFonts w:ascii="Calibri"/>
                <w:spacing w:val="-2"/>
                <w:sz w:val="18"/>
              </w:rPr>
              <w:t xml:space="preserve"> </w:t>
            </w:r>
            <w:r>
              <w:rPr>
                <w:rFonts w:ascii="Calibri"/>
                <w:spacing w:val="-1"/>
                <w:sz w:val="18"/>
              </w:rPr>
              <w:t>other</w:t>
            </w:r>
            <w:r>
              <w:rPr>
                <w:rFonts w:ascii="Calibri"/>
                <w:sz w:val="18"/>
              </w:rPr>
              <w:t xml:space="preserve"> </w:t>
            </w:r>
            <w:r>
              <w:rPr>
                <w:rFonts w:ascii="Calibri"/>
                <w:spacing w:val="-1"/>
                <w:sz w:val="18"/>
              </w:rPr>
              <w:t>ideas</w:t>
            </w:r>
            <w:r>
              <w:rPr>
                <w:rFonts w:ascii="Calibri"/>
                <w:sz w:val="18"/>
              </w:rPr>
              <w:t xml:space="preserve"> to</w:t>
            </w:r>
            <w:r>
              <w:rPr>
                <w:rFonts w:ascii="Calibri"/>
                <w:spacing w:val="-2"/>
                <w:sz w:val="18"/>
              </w:rPr>
              <w:t xml:space="preserve"> </w:t>
            </w:r>
            <w:r>
              <w:rPr>
                <w:rFonts w:ascii="Calibri"/>
                <w:spacing w:val="-1"/>
                <w:sz w:val="18"/>
              </w:rPr>
              <w:t>increase</w:t>
            </w:r>
            <w:r>
              <w:rPr>
                <w:rFonts w:ascii="Calibri"/>
                <w:spacing w:val="-3"/>
                <w:sz w:val="18"/>
              </w:rPr>
              <w:t xml:space="preserve"> </w:t>
            </w:r>
            <w:r>
              <w:rPr>
                <w:rFonts w:ascii="Calibri"/>
                <w:spacing w:val="-1"/>
                <w:sz w:val="18"/>
              </w:rPr>
              <w:t>installation</w:t>
            </w:r>
            <w:r>
              <w:rPr>
                <w:rFonts w:ascii="Calibri"/>
                <w:spacing w:val="65"/>
                <w:sz w:val="18"/>
              </w:rPr>
              <w:t xml:space="preserve"> </w:t>
            </w:r>
            <w:r>
              <w:rPr>
                <w:rFonts w:ascii="Calibri"/>
                <w:spacing w:val="-1"/>
                <w:sz w:val="18"/>
              </w:rPr>
              <w:t>rates,</w:t>
            </w:r>
            <w:r>
              <w:rPr>
                <w:rFonts w:ascii="Calibri"/>
                <w:spacing w:val="-2"/>
                <w:sz w:val="18"/>
              </w:rPr>
              <w:t xml:space="preserve"> </w:t>
            </w:r>
            <w:r>
              <w:rPr>
                <w:rFonts w:ascii="Calibri"/>
                <w:spacing w:val="-1"/>
                <w:sz w:val="18"/>
              </w:rPr>
              <w:t>other than,</w:t>
            </w:r>
            <w:r>
              <w:rPr>
                <w:rFonts w:ascii="Calibri"/>
                <w:spacing w:val="-2"/>
                <w:sz w:val="18"/>
              </w:rPr>
              <w:t xml:space="preserve"> </w:t>
            </w:r>
            <w:r>
              <w:rPr>
                <w:rFonts w:ascii="Calibri"/>
                <w:sz w:val="18"/>
              </w:rPr>
              <w:t>or</w:t>
            </w:r>
            <w:r>
              <w:rPr>
                <w:rFonts w:ascii="Calibri"/>
                <w:spacing w:val="-1"/>
                <w:sz w:val="18"/>
              </w:rPr>
              <w:t xml:space="preserve"> in addition</w:t>
            </w:r>
            <w:r>
              <w:rPr>
                <w:rFonts w:ascii="Calibri"/>
                <w:spacing w:val="-3"/>
                <w:sz w:val="18"/>
              </w:rPr>
              <w:t xml:space="preserve"> </w:t>
            </w:r>
            <w:r>
              <w:rPr>
                <w:rFonts w:ascii="Calibri"/>
                <w:sz w:val="18"/>
              </w:rPr>
              <w:t>to,</w:t>
            </w:r>
            <w:r>
              <w:rPr>
                <w:rFonts w:ascii="Calibri"/>
                <w:spacing w:val="-1"/>
                <w:sz w:val="18"/>
              </w:rPr>
              <w:t xml:space="preserve"> changing</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products</w:t>
            </w:r>
            <w:r>
              <w:rPr>
                <w:rFonts w:ascii="Calibri"/>
                <w:spacing w:val="-3"/>
                <w:sz w:val="18"/>
              </w:rPr>
              <w:t xml:space="preserve"> </w:t>
            </w:r>
            <w:r>
              <w:rPr>
                <w:rFonts w:ascii="Calibri"/>
                <w:sz w:val="18"/>
              </w:rPr>
              <w:t>in</w:t>
            </w:r>
            <w:r>
              <w:rPr>
                <w:rFonts w:ascii="Calibri"/>
                <w:spacing w:val="63"/>
                <w:sz w:val="18"/>
              </w:rPr>
              <w:t xml:space="preserve"> </w:t>
            </w:r>
            <w:r>
              <w:rPr>
                <w:rFonts w:ascii="Calibri"/>
                <w:spacing w:val="-1"/>
                <w:sz w:val="18"/>
              </w:rPr>
              <w:t>the</w:t>
            </w:r>
            <w:r>
              <w:rPr>
                <w:rFonts w:ascii="Calibri"/>
                <w:spacing w:val="-2"/>
                <w:sz w:val="18"/>
              </w:rPr>
              <w:t xml:space="preserve"> </w:t>
            </w:r>
            <w:r>
              <w:rPr>
                <w:rFonts w:ascii="Calibri"/>
                <w:spacing w:val="-1"/>
                <w:sz w:val="18"/>
              </w:rPr>
              <w:t>kit.</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338"/>
              <w:rPr>
                <w:rFonts w:ascii="Calibri" w:eastAsia="Calibri" w:hAnsi="Calibri" w:cs="Calibri"/>
                <w:sz w:val="18"/>
                <w:szCs w:val="18"/>
              </w:rPr>
            </w:pPr>
            <w:r>
              <w:rPr>
                <w:rFonts w:ascii="Calibri"/>
                <w:spacing w:val="-1"/>
                <w:sz w:val="18"/>
              </w:rPr>
              <w:t>Will</w:t>
            </w:r>
            <w:r>
              <w:rPr>
                <w:rFonts w:ascii="Calibri"/>
                <w:spacing w:val="-4"/>
                <w:sz w:val="18"/>
              </w:rPr>
              <w:t xml:space="preserve"> </w:t>
            </w:r>
            <w:r>
              <w:rPr>
                <w:rFonts w:ascii="Calibri"/>
                <w:spacing w:val="-1"/>
                <w:sz w:val="18"/>
              </w:rPr>
              <w:t>be</w:t>
            </w:r>
            <w:r>
              <w:rPr>
                <w:rFonts w:ascii="Calibri"/>
                <w:spacing w:val="-4"/>
                <w:sz w:val="18"/>
              </w:rPr>
              <w:t xml:space="preserve"> </w:t>
            </w:r>
            <w:r>
              <w:rPr>
                <w:rFonts w:ascii="Calibri"/>
                <w:spacing w:val="-1"/>
                <w:sz w:val="18"/>
              </w:rPr>
              <w:t>implemented.</w:t>
            </w:r>
            <w:r>
              <w:rPr>
                <w:rFonts w:ascii="Calibri"/>
                <w:spacing w:val="-4"/>
                <w:sz w:val="18"/>
              </w:rPr>
              <w:t xml:space="preserve"> </w:t>
            </w:r>
            <w:r>
              <w:rPr>
                <w:rFonts w:ascii="Calibri"/>
                <w:spacing w:val="-1"/>
                <w:sz w:val="18"/>
              </w:rPr>
              <w:t>Since</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z w:val="18"/>
              </w:rPr>
              <w:t>program</w:t>
            </w:r>
            <w:r>
              <w:rPr>
                <w:rFonts w:ascii="Calibri"/>
                <w:spacing w:val="-4"/>
                <w:sz w:val="18"/>
              </w:rPr>
              <w:t xml:space="preserve"> </w:t>
            </w:r>
            <w:r>
              <w:rPr>
                <w:rFonts w:ascii="Calibri"/>
                <w:spacing w:val="-1"/>
                <w:sz w:val="18"/>
              </w:rPr>
              <w:t>is</w:t>
            </w:r>
            <w:r>
              <w:rPr>
                <w:rFonts w:ascii="Calibri"/>
                <w:spacing w:val="-4"/>
                <w:sz w:val="18"/>
              </w:rPr>
              <w:t xml:space="preserve"> </w:t>
            </w:r>
            <w:r>
              <w:rPr>
                <w:rFonts w:ascii="Calibri"/>
                <w:spacing w:val="-1"/>
                <w:sz w:val="18"/>
              </w:rPr>
              <w:t>well</w:t>
            </w:r>
            <w:r>
              <w:rPr>
                <w:rFonts w:ascii="Calibri"/>
                <w:spacing w:val="-3"/>
                <w:sz w:val="18"/>
              </w:rPr>
              <w:t xml:space="preserve"> </w:t>
            </w:r>
            <w:r>
              <w:rPr>
                <w:rFonts w:ascii="Calibri"/>
                <w:spacing w:val="-1"/>
                <w:sz w:val="18"/>
              </w:rPr>
              <w:t>underway</w:t>
            </w:r>
            <w:r>
              <w:rPr>
                <w:rFonts w:ascii="Calibri"/>
                <w:spacing w:val="57"/>
                <w:w w:val="99"/>
                <w:sz w:val="18"/>
              </w:rPr>
              <w:t xml:space="preserve"> </w:t>
            </w:r>
            <w:r>
              <w:rPr>
                <w:rFonts w:ascii="Calibri"/>
                <w:sz w:val="18"/>
              </w:rPr>
              <w:t>for</w:t>
            </w:r>
            <w:r>
              <w:rPr>
                <w:rFonts w:ascii="Calibri"/>
                <w:spacing w:val="-2"/>
                <w:sz w:val="18"/>
              </w:rPr>
              <w:t xml:space="preserve"> </w:t>
            </w:r>
            <w:r>
              <w:rPr>
                <w:rFonts w:ascii="Calibri"/>
                <w:sz w:val="18"/>
              </w:rPr>
              <w:t>PY8,</w:t>
            </w:r>
            <w:r>
              <w:rPr>
                <w:rFonts w:ascii="Calibri"/>
                <w:spacing w:val="-4"/>
                <w:sz w:val="18"/>
              </w:rPr>
              <w:t xml:space="preserve"> </w:t>
            </w:r>
            <w:r>
              <w:rPr>
                <w:rFonts w:ascii="Calibri"/>
                <w:spacing w:val="-1"/>
                <w:sz w:val="18"/>
              </w:rPr>
              <w:t>any</w:t>
            </w:r>
            <w:r>
              <w:rPr>
                <w:rFonts w:ascii="Calibri"/>
                <w:spacing w:val="-2"/>
                <w:sz w:val="18"/>
              </w:rPr>
              <w:t xml:space="preserve"> </w:t>
            </w:r>
            <w:r>
              <w:rPr>
                <w:rFonts w:ascii="Calibri"/>
                <w:spacing w:val="-1"/>
                <w:sz w:val="18"/>
              </w:rPr>
              <w:t>changes</w:t>
            </w:r>
            <w:r>
              <w:rPr>
                <w:rFonts w:ascii="Calibri"/>
                <w:spacing w:val="-2"/>
                <w:sz w:val="18"/>
              </w:rPr>
              <w:t xml:space="preserve"> </w:t>
            </w:r>
            <w:r>
              <w:rPr>
                <w:rFonts w:ascii="Calibri"/>
                <w:spacing w:val="-1"/>
                <w:sz w:val="18"/>
              </w:rPr>
              <w:t>will likely</w:t>
            </w:r>
            <w:r>
              <w:rPr>
                <w:rFonts w:ascii="Calibri"/>
                <w:sz w:val="18"/>
              </w:rPr>
              <w:t xml:space="preserve"> </w:t>
            </w:r>
            <w:r>
              <w:rPr>
                <w:rFonts w:ascii="Calibri"/>
                <w:spacing w:val="-1"/>
                <w:sz w:val="18"/>
              </w:rPr>
              <w:t xml:space="preserve">be </w:t>
            </w:r>
            <w:r>
              <w:rPr>
                <w:rFonts w:ascii="Calibri"/>
                <w:sz w:val="18"/>
              </w:rPr>
              <w:t>for</w:t>
            </w:r>
            <w:r>
              <w:rPr>
                <w:rFonts w:ascii="Calibri"/>
                <w:spacing w:val="-2"/>
                <w:sz w:val="18"/>
              </w:rPr>
              <w:t xml:space="preserve"> </w:t>
            </w:r>
            <w:r>
              <w:rPr>
                <w:rFonts w:ascii="Calibri"/>
                <w:sz w:val="18"/>
              </w:rPr>
              <w:t>PY9.</w:t>
            </w:r>
          </w:p>
        </w:tc>
      </w:tr>
      <w:tr w:rsidR="00E646C9" w:rsidTr="00C3558F">
        <w:trPr>
          <w:trHeight w:hRule="exact" w:val="677"/>
        </w:trPr>
        <w:tc>
          <w:tcPr>
            <w:tcW w:w="4680"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113"/>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z w:val="18"/>
              </w:rPr>
              <w:t>a</w:t>
            </w:r>
            <w:r>
              <w:rPr>
                <w:rFonts w:ascii="Calibri"/>
                <w:spacing w:val="-1"/>
                <w:sz w:val="18"/>
              </w:rPr>
              <w:t xml:space="preserve"> streamlined</w:t>
            </w:r>
            <w:r>
              <w:rPr>
                <w:rFonts w:ascii="Calibri"/>
                <w:spacing w:val="-3"/>
                <w:sz w:val="18"/>
              </w:rPr>
              <w:t xml:space="preserve"> </w:t>
            </w:r>
            <w:r>
              <w:rPr>
                <w:rFonts w:ascii="Calibri"/>
                <w:sz w:val="18"/>
              </w:rPr>
              <w:t>HEW</w:t>
            </w:r>
            <w:r>
              <w:rPr>
                <w:rFonts w:ascii="Calibri"/>
                <w:spacing w:val="-3"/>
                <w:sz w:val="18"/>
              </w:rPr>
              <w:t xml:space="preserve"> </w:t>
            </w:r>
            <w:r>
              <w:rPr>
                <w:rFonts w:ascii="Calibri"/>
                <w:spacing w:val="-1"/>
                <w:sz w:val="18"/>
              </w:rPr>
              <w:t>data</w:t>
            </w:r>
            <w:r>
              <w:rPr>
                <w:rFonts w:ascii="Calibri"/>
                <w:spacing w:val="-2"/>
                <w:sz w:val="18"/>
              </w:rPr>
              <w:t xml:space="preserve"> </w:t>
            </w:r>
            <w:r>
              <w:rPr>
                <w:rFonts w:ascii="Calibri"/>
                <w:spacing w:val="-1"/>
                <w:sz w:val="18"/>
              </w:rPr>
              <w:t>collection</w:t>
            </w:r>
            <w:r>
              <w:rPr>
                <w:rFonts w:ascii="Calibri"/>
                <w:spacing w:val="-4"/>
                <w:sz w:val="18"/>
              </w:rPr>
              <w:t xml:space="preserve"> </w:t>
            </w:r>
            <w:r>
              <w:rPr>
                <w:rFonts w:ascii="Calibri"/>
                <w:spacing w:val="-1"/>
                <w:sz w:val="18"/>
              </w:rPr>
              <w:t>process</w:t>
            </w:r>
            <w:r>
              <w:rPr>
                <w:rFonts w:ascii="Calibri"/>
                <w:spacing w:val="-3"/>
                <w:sz w:val="18"/>
              </w:rPr>
              <w:t xml:space="preserve"> </w:t>
            </w:r>
            <w:r>
              <w:rPr>
                <w:rFonts w:ascii="Calibri"/>
                <w:spacing w:val="-1"/>
                <w:sz w:val="18"/>
              </w:rPr>
              <w:t>where</w:t>
            </w:r>
            <w:r>
              <w:rPr>
                <w:rFonts w:ascii="Calibri"/>
                <w:spacing w:val="59"/>
                <w:w w:val="99"/>
                <w:sz w:val="18"/>
              </w:rPr>
              <w:t xml:space="preserve"> </w:t>
            </w:r>
            <w:r>
              <w:rPr>
                <w:rFonts w:ascii="Calibri"/>
                <w:sz w:val="18"/>
              </w:rPr>
              <w:t>all</w:t>
            </w:r>
            <w:r>
              <w:rPr>
                <w:rFonts w:ascii="Calibri"/>
                <w:spacing w:val="-3"/>
                <w:sz w:val="18"/>
              </w:rPr>
              <w:t xml:space="preserve"> </w:t>
            </w:r>
            <w:r>
              <w:rPr>
                <w:rFonts w:ascii="Calibri"/>
                <w:spacing w:val="-1"/>
                <w:sz w:val="18"/>
              </w:rPr>
              <w:t>student</w:t>
            </w:r>
            <w:r>
              <w:rPr>
                <w:rFonts w:ascii="Calibri"/>
                <w:spacing w:val="-2"/>
                <w:sz w:val="18"/>
              </w:rPr>
              <w:t xml:space="preserve"> </w:t>
            </w:r>
            <w:r>
              <w:rPr>
                <w:rFonts w:ascii="Calibri"/>
                <w:spacing w:val="-1"/>
                <w:sz w:val="18"/>
              </w:rPr>
              <w:t>cohorts</w:t>
            </w:r>
            <w:r>
              <w:rPr>
                <w:rFonts w:ascii="Calibri"/>
                <w:spacing w:val="-2"/>
                <w:sz w:val="18"/>
              </w:rPr>
              <w:t xml:space="preserve"> </w:t>
            </w:r>
            <w:r>
              <w:rPr>
                <w:rFonts w:ascii="Calibri"/>
                <w:sz w:val="18"/>
              </w:rPr>
              <w:t>can</w:t>
            </w:r>
            <w:r>
              <w:rPr>
                <w:rFonts w:ascii="Calibri"/>
                <w:spacing w:val="-2"/>
                <w:sz w:val="18"/>
              </w:rPr>
              <w:t xml:space="preserve"> </w:t>
            </w:r>
            <w:r>
              <w:rPr>
                <w:rFonts w:ascii="Calibri"/>
                <w:sz w:val="18"/>
              </w:rPr>
              <w:t>input</w:t>
            </w:r>
            <w:r>
              <w:rPr>
                <w:rFonts w:ascii="Calibri"/>
                <w:spacing w:val="-1"/>
                <w:sz w:val="18"/>
              </w:rPr>
              <w:t xml:space="preserve"> </w:t>
            </w:r>
            <w:r>
              <w:rPr>
                <w:rFonts w:ascii="Calibri"/>
                <w:sz w:val="18"/>
              </w:rPr>
              <w:t xml:space="preserve">the </w:t>
            </w:r>
            <w:r>
              <w:rPr>
                <w:rFonts w:ascii="Calibri"/>
                <w:spacing w:val="-1"/>
                <w:sz w:val="18"/>
              </w:rPr>
              <w:t>data online instead</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filling</w:t>
            </w:r>
            <w:r>
              <w:rPr>
                <w:rFonts w:ascii="Calibri"/>
                <w:spacing w:val="51"/>
                <w:w w:val="99"/>
                <w:sz w:val="18"/>
              </w:rPr>
              <w:t xml:space="preserve"> </w:t>
            </w:r>
            <w:r>
              <w:rPr>
                <w:rFonts w:ascii="Calibri"/>
                <w:spacing w:val="-1"/>
                <w:sz w:val="18"/>
              </w:rPr>
              <w:t>out</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Scantron</w:t>
            </w:r>
            <w:r>
              <w:rPr>
                <w:rFonts w:ascii="Calibri"/>
                <w:spacing w:val="-3"/>
                <w:sz w:val="18"/>
              </w:rPr>
              <w:t xml:space="preserve"> </w:t>
            </w:r>
            <w:r>
              <w:rPr>
                <w:rFonts w:ascii="Calibri"/>
                <w:sz w:val="18"/>
              </w:rPr>
              <w:t>form.</w:t>
            </w:r>
          </w:p>
        </w:tc>
        <w:tc>
          <w:tcPr>
            <w:tcW w:w="4681"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ind w:left="99" w:right="361"/>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pacing w:val="-1"/>
                <w:sz w:val="18"/>
              </w:rPr>
              <w:t>Since</w:t>
            </w:r>
            <w:r>
              <w:rPr>
                <w:rFonts w:ascii="Calibri"/>
                <w:spacing w:val="-4"/>
                <w:sz w:val="18"/>
              </w:rPr>
              <w:t xml:space="preserve"> </w:t>
            </w:r>
            <w:r>
              <w:rPr>
                <w:rFonts w:ascii="Calibri"/>
                <w:sz w:val="18"/>
              </w:rPr>
              <w:t>the</w:t>
            </w:r>
            <w:r>
              <w:rPr>
                <w:rFonts w:ascii="Calibri"/>
                <w:spacing w:val="-3"/>
                <w:sz w:val="18"/>
              </w:rPr>
              <w:t xml:space="preserve"> </w:t>
            </w:r>
            <w:r>
              <w:rPr>
                <w:rFonts w:ascii="Calibri"/>
                <w:spacing w:val="-1"/>
                <w:sz w:val="18"/>
              </w:rPr>
              <w:t>program</w:t>
            </w:r>
            <w:r>
              <w:rPr>
                <w:rFonts w:ascii="Calibri"/>
                <w:spacing w:val="-3"/>
                <w:sz w:val="18"/>
              </w:rPr>
              <w:t xml:space="preserve"> </w:t>
            </w:r>
            <w:r>
              <w:rPr>
                <w:rFonts w:ascii="Calibri"/>
                <w:sz w:val="18"/>
              </w:rPr>
              <w:t>is</w:t>
            </w:r>
            <w:r>
              <w:rPr>
                <w:rFonts w:ascii="Calibri"/>
                <w:spacing w:val="-4"/>
                <w:sz w:val="18"/>
              </w:rPr>
              <w:t xml:space="preserve"> </w:t>
            </w:r>
            <w:r>
              <w:rPr>
                <w:rFonts w:ascii="Calibri"/>
                <w:spacing w:val="-1"/>
                <w:sz w:val="18"/>
              </w:rPr>
              <w:t>well</w:t>
            </w:r>
            <w:r>
              <w:rPr>
                <w:rFonts w:ascii="Calibri"/>
                <w:spacing w:val="-3"/>
                <w:sz w:val="18"/>
              </w:rPr>
              <w:t xml:space="preserve"> </w:t>
            </w:r>
            <w:r>
              <w:rPr>
                <w:rFonts w:ascii="Calibri"/>
                <w:spacing w:val="-1"/>
                <w:sz w:val="18"/>
              </w:rPr>
              <w:t>underway</w:t>
            </w:r>
            <w:r>
              <w:rPr>
                <w:rFonts w:ascii="Calibri"/>
                <w:spacing w:val="-3"/>
                <w:sz w:val="18"/>
              </w:rPr>
              <w:t xml:space="preserve"> </w:t>
            </w:r>
            <w:r>
              <w:rPr>
                <w:rFonts w:ascii="Calibri"/>
                <w:sz w:val="18"/>
              </w:rPr>
              <w:t>for</w:t>
            </w:r>
            <w:r>
              <w:rPr>
                <w:rFonts w:ascii="Calibri"/>
                <w:spacing w:val="59"/>
                <w:w w:val="99"/>
                <w:sz w:val="18"/>
              </w:rPr>
              <w:t xml:space="preserve"> </w:t>
            </w:r>
            <w:r>
              <w:rPr>
                <w:rFonts w:ascii="Calibri"/>
                <w:sz w:val="18"/>
              </w:rPr>
              <w:t>PY8,</w:t>
            </w:r>
            <w:r>
              <w:rPr>
                <w:rFonts w:ascii="Calibri"/>
                <w:spacing w:val="-2"/>
                <w:sz w:val="18"/>
              </w:rPr>
              <w:t xml:space="preserve"> </w:t>
            </w:r>
            <w:r>
              <w:rPr>
                <w:rFonts w:ascii="Calibri"/>
                <w:spacing w:val="-1"/>
                <w:sz w:val="18"/>
              </w:rPr>
              <w:t>any</w:t>
            </w:r>
            <w:r>
              <w:rPr>
                <w:rFonts w:ascii="Calibri"/>
                <w:spacing w:val="-2"/>
                <w:sz w:val="18"/>
              </w:rPr>
              <w:t xml:space="preserve"> </w:t>
            </w:r>
            <w:r>
              <w:rPr>
                <w:rFonts w:ascii="Calibri"/>
                <w:spacing w:val="-1"/>
                <w:sz w:val="18"/>
              </w:rPr>
              <w:t>changes</w:t>
            </w:r>
            <w:r>
              <w:rPr>
                <w:rFonts w:ascii="Calibri"/>
                <w:spacing w:val="-3"/>
                <w:sz w:val="18"/>
              </w:rPr>
              <w:t xml:space="preserve"> </w:t>
            </w:r>
            <w:r>
              <w:rPr>
                <w:rFonts w:ascii="Calibri"/>
                <w:spacing w:val="-1"/>
                <w:sz w:val="18"/>
              </w:rPr>
              <w:t>will</w:t>
            </w:r>
            <w:r>
              <w:rPr>
                <w:rFonts w:ascii="Calibri"/>
                <w:spacing w:val="-3"/>
                <w:sz w:val="18"/>
              </w:rPr>
              <w:t xml:space="preserve"> </w:t>
            </w:r>
            <w:r>
              <w:rPr>
                <w:rFonts w:ascii="Calibri"/>
                <w:spacing w:val="-1"/>
                <w:sz w:val="18"/>
              </w:rPr>
              <w:t>likely</w:t>
            </w:r>
            <w:r>
              <w:rPr>
                <w:rFonts w:ascii="Calibri"/>
                <w:spacing w:val="-2"/>
                <w:sz w:val="18"/>
              </w:rPr>
              <w:t xml:space="preserve"> </w:t>
            </w:r>
            <w:r>
              <w:rPr>
                <w:rFonts w:ascii="Calibri"/>
                <w:sz w:val="18"/>
              </w:rPr>
              <w:t>be</w:t>
            </w:r>
            <w:r>
              <w:rPr>
                <w:rFonts w:ascii="Calibri"/>
                <w:spacing w:val="-3"/>
                <w:sz w:val="18"/>
              </w:rPr>
              <w:t xml:space="preserve"> </w:t>
            </w:r>
            <w:r>
              <w:rPr>
                <w:rFonts w:ascii="Calibri"/>
                <w:sz w:val="18"/>
              </w:rPr>
              <w:t>for</w:t>
            </w:r>
            <w:r>
              <w:rPr>
                <w:rFonts w:ascii="Calibri"/>
                <w:spacing w:val="-2"/>
                <w:sz w:val="18"/>
              </w:rPr>
              <w:t xml:space="preserve"> </w:t>
            </w:r>
            <w:r>
              <w:rPr>
                <w:rFonts w:ascii="Calibri"/>
                <w:sz w:val="18"/>
              </w:rPr>
              <w:t>PY9.</w:t>
            </w:r>
          </w:p>
        </w:tc>
      </w:tr>
    </w:tbl>
    <w:p w:rsidR="00E646C9" w:rsidRPr="004A67D2" w:rsidRDefault="00E646C9" w:rsidP="00E646C9"/>
    <w:p w:rsidR="00E646C9" w:rsidRPr="00130312" w:rsidRDefault="00E646C9" w:rsidP="00C3558F">
      <w:pPr>
        <w:pStyle w:val="AppendixGHeading2"/>
      </w:pPr>
      <w:r w:rsidRPr="0061477B">
        <w:t>Low-Income WRAP Status Report</w:t>
      </w:r>
      <w:r>
        <w:t xml:space="preserve"> Program</w:t>
      </w:r>
      <w:r w:rsidRPr="0061477B">
        <w:t xml:space="preserve"> </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91"/>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ind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before="1"/>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893"/>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142"/>
              <w:rPr>
                <w:rFonts w:ascii="Calibri" w:eastAsia="Calibri" w:hAnsi="Calibri" w:cs="Calibri"/>
                <w:sz w:val="18"/>
                <w:szCs w:val="18"/>
              </w:rPr>
            </w:pPr>
            <w:r>
              <w:rPr>
                <w:rFonts w:ascii="Calibri"/>
                <w:spacing w:val="-1"/>
                <w:sz w:val="18"/>
              </w:rPr>
              <w:t>Consider emphasizing</w:t>
            </w:r>
            <w:r>
              <w:rPr>
                <w:rFonts w:ascii="Calibri"/>
                <w:sz w:val="18"/>
              </w:rPr>
              <w:t xml:space="preserve"> to</w:t>
            </w:r>
            <w:r>
              <w:rPr>
                <w:rFonts w:ascii="Calibri"/>
                <w:spacing w:val="-2"/>
                <w:sz w:val="18"/>
              </w:rPr>
              <w:t xml:space="preserve"> </w:t>
            </w:r>
            <w:r>
              <w:rPr>
                <w:rFonts w:ascii="Calibri"/>
                <w:spacing w:val="-1"/>
                <w:sz w:val="18"/>
              </w:rPr>
              <w:t>contractors</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pacing w:val="-1"/>
                <w:sz w:val="18"/>
              </w:rPr>
              <w:t>importance</w:t>
            </w:r>
            <w:r>
              <w:rPr>
                <w:rFonts w:ascii="Calibri"/>
                <w:spacing w:val="-2"/>
                <w:sz w:val="18"/>
              </w:rPr>
              <w:t xml:space="preserve"> </w:t>
            </w:r>
            <w:r>
              <w:rPr>
                <w:rFonts w:ascii="Calibri"/>
                <w:sz w:val="18"/>
              </w:rPr>
              <w:t>of</w:t>
            </w:r>
            <w:r>
              <w:rPr>
                <w:rFonts w:ascii="Calibri"/>
                <w:spacing w:val="57"/>
                <w:sz w:val="18"/>
              </w:rPr>
              <w:t xml:space="preserve"> </w:t>
            </w:r>
            <w:r>
              <w:rPr>
                <w:rFonts w:ascii="Calibri"/>
                <w:spacing w:val="-1"/>
                <w:sz w:val="18"/>
              </w:rPr>
              <w:t>clearly</w:t>
            </w:r>
            <w:r>
              <w:rPr>
                <w:rFonts w:ascii="Calibri"/>
                <w:spacing w:val="-3"/>
                <w:sz w:val="18"/>
              </w:rPr>
              <w:t xml:space="preserve"> </w:t>
            </w:r>
            <w:r>
              <w:rPr>
                <w:rFonts w:ascii="Calibri"/>
                <w:spacing w:val="-1"/>
                <w:sz w:val="18"/>
              </w:rPr>
              <w:t>explaining</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customers</w:t>
            </w:r>
            <w:r>
              <w:rPr>
                <w:rFonts w:ascii="Calibri"/>
                <w:spacing w:val="-3"/>
                <w:sz w:val="18"/>
              </w:rPr>
              <w:t xml:space="preserve"> </w:t>
            </w:r>
            <w:r>
              <w:rPr>
                <w:rFonts w:ascii="Calibri"/>
                <w:spacing w:val="-1"/>
                <w:sz w:val="18"/>
              </w:rPr>
              <w:t>which</w:t>
            </w:r>
            <w:r>
              <w:rPr>
                <w:rFonts w:ascii="Calibri"/>
                <w:spacing w:val="-2"/>
                <w:sz w:val="18"/>
              </w:rPr>
              <w:t xml:space="preserve"> </w:t>
            </w:r>
            <w:r>
              <w:rPr>
                <w:rFonts w:ascii="Calibri"/>
                <w:spacing w:val="-1"/>
                <w:sz w:val="18"/>
              </w:rPr>
              <w:t>products</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services</w:t>
            </w:r>
            <w:r>
              <w:rPr>
                <w:rFonts w:ascii="Calibri"/>
                <w:spacing w:val="71"/>
                <w:sz w:val="18"/>
              </w:rPr>
              <w:t xml:space="preserve"> </w:t>
            </w:r>
            <w:r>
              <w:rPr>
                <w:rFonts w:ascii="Calibri"/>
                <w:spacing w:val="-1"/>
                <w:sz w:val="18"/>
              </w:rPr>
              <w:t>will</w:t>
            </w:r>
            <w:r>
              <w:rPr>
                <w:rFonts w:ascii="Calibri"/>
                <w:spacing w:val="-3"/>
                <w:sz w:val="18"/>
              </w:rPr>
              <w:t xml:space="preserve"> </w:t>
            </w:r>
            <w:r>
              <w:rPr>
                <w:rFonts w:ascii="Calibri"/>
                <w:spacing w:val="-1"/>
                <w:sz w:val="18"/>
              </w:rPr>
              <w:t>be</w:t>
            </w:r>
            <w:r>
              <w:rPr>
                <w:rFonts w:ascii="Calibri"/>
                <w:spacing w:val="-3"/>
                <w:sz w:val="18"/>
              </w:rPr>
              <w:t xml:space="preserve"> </w:t>
            </w:r>
            <w:r>
              <w:rPr>
                <w:rFonts w:ascii="Calibri"/>
                <w:spacing w:val="-1"/>
                <w:sz w:val="18"/>
              </w:rPr>
              <w:t>installed</w:t>
            </w:r>
            <w:r>
              <w:rPr>
                <w:rFonts w:ascii="Calibri"/>
                <w:spacing w:val="-2"/>
                <w:sz w:val="18"/>
              </w:rPr>
              <w:t xml:space="preserve"> </w:t>
            </w:r>
            <w:r>
              <w:rPr>
                <w:rFonts w:ascii="Calibri"/>
                <w:sz w:val="18"/>
              </w:rPr>
              <w:t>or</w:t>
            </w:r>
            <w:r>
              <w:rPr>
                <w:rFonts w:ascii="Calibri"/>
                <w:spacing w:val="-2"/>
                <w:sz w:val="18"/>
              </w:rPr>
              <w:t xml:space="preserve"> </w:t>
            </w:r>
            <w:r>
              <w:rPr>
                <w:rFonts w:ascii="Calibri"/>
                <w:spacing w:val="-1"/>
                <w:sz w:val="18"/>
              </w:rPr>
              <w:t>conducted</w:t>
            </w:r>
            <w:r>
              <w:rPr>
                <w:rFonts w:ascii="Calibri"/>
                <w:spacing w:val="-2"/>
                <w:sz w:val="18"/>
              </w:rPr>
              <w:t xml:space="preserve"> </w:t>
            </w:r>
            <w:r>
              <w:rPr>
                <w:rFonts w:ascii="Calibri"/>
                <w:sz w:val="18"/>
              </w:rPr>
              <w:t>after</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 xml:space="preserve">audit </w:t>
            </w:r>
            <w:r>
              <w:rPr>
                <w:rFonts w:ascii="Calibri"/>
                <w:sz w:val="18"/>
              </w:rPr>
              <w:t>takes</w:t>
            </w:r>
            <w:r>
              <w:rPr>
                <w:rFonts w:ascii="Calibri"/>
                <w:spacing w:val="-3"/>
                <w:sz w:val="18"/>
              </w:rPr>
              <w:t xml:space="preserve"> </w:t>
            </w:r>
            <w:r>
              <w:rPr>
                <w:rFonts w:ascii="Calibri"/>
                <w:sz w:val="18"/>
              </w:rPr>
              <w:t>place</w:t>
            </w:r>
            <w:r>
              <w:rPr>
                <w:rFonts w:ascii="Calibri"/>
                <w:spacing w:val="-2"/>
                <w:sz w:val="18"/>
              </w:rPr>
              <w:t xml:space="preserve"> </w:t>
            </w:r>
            <w:r>
              <w:rPr>
                <w:rFonts w:ascii="Calibri"/>
                <w:spacing w:val="-1"/>
                <w:sz w:val="18"/>
              </w:rPr>
              <w:t>and</w:t>
            </w:r>
            <w:r>
              <w:rPr>
                <w:rFonts w:ascii="Calibri"/>
                <w:spacing w:val="55"/>
                <w:sz w:val="18"/>
              </w:rPr>
              <w:t xml:space="preserve"> </w:t>
            </w:r>
            <w:r>
              <w:rPr>
                <w:rFonts w:ascii="Calibri"/>
                <w:spacing w:val="-1"/>
                <w:sz w:val="18"/>
              </w:rPr>
              <w:t>when</w:t>
            </w:r>
            <w:r>
              <w:rPr>
                <w:rFonts w:ascii="Calibri"/>
                <w:spacing w:val="-3"/>
                <w:sz w:val="18"/>
              </w:rPr>
              <w:t xml:space="preserve"> </w:t>
            </w:r>
            <w:r>
              <w:rPr>
                <w:rFonts w:ascii="Calibri"/>
                <w:spacing w:val="-1"/>
                <w:sz w:val="18"/>
              </w:rPr>
              <w:t>installations</w:t>
            </w:r>
            <w:r>
              <w:rPr>
                <w:rFonts w:ascii="Calibri"/>
                <w:spacing w:val="-3"/>
                <w:sz w:val="18"/>
              </w:rPr>
              <w:t xml:space="preserve"> </w:t>
            </w:r>
            <w:r>
              <w:rPr>
                <w:rFonts w:ascii="Calibri"/>
                <w:spacing w:val="-1"/>
                <w:sz w:val="18"/>
              </w:rPr>
              <w:t>will</w:t>
            </w:r>
            <w:r>
              <w:rPr>
                <w:rFonts w:ascii="Calibri"/>
                <w:spacing w:val="-3"/>
                <w:sz w:val="18"/>
              </w:rPr>
              <w:t xml:space="preserve"> </w:t>
            </w:r>
            <w:r>
              <w:rPr>
                <w:rFonts w:ascii="Calibri"/>
                <w:sz w:val="18"/>
              </w:rPr>
              <w:t>occur</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458"/>
        </w:trPr>
        <w:tc>
          <w:tcPr>
            <w:tcW w:w="4680"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304"/>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emphasizing the energy</w:t>
            </w:r>
            <w:r>
              <w:rPr>
                <w:rFonts w:ascii="Calibri"/>
                <w:spacing w:val="2"/>
                <w:sz w:val="18"/>
              </w:rPr>
              <w:t xml:space="preserve"> </w:t>
            </w:r>
            <w:r>
              <w:rPr>
                <w:rFonts w:ascii="Calibri"/>
                <w:spacing w:val="-1"/>
                <w:sz w:val="18"/>
              </w:rPr>
              <w:t>education</w:t>
            </w:r>
            <w:r>
              <w:rPr>
                <w:rFonts w:ascii="Calibri"/>
                <w:spacing w:val="-2"/>
                <w:sz w:val="18"/>
              </w:rPr>
              <w:t xml:space="preserve"> </w:t>
            </w:r>
            <w:r>
              <w:rPr>
                <w:rFonts w:ascii="Calibri"/>
                <w:spacing w:val="-1"/>
                <w:sz w:val="18"/>
              </w:rPr>
              <w:t>portion</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the</w:t>
            </w:r>
            <w:r>
              <w:rPr>
                <w:rFonts w:ascii="Calibri"/>
                <w:spacing w:val="49"/>
                <w:w w:val="99"/>
                <w:sz w:val="18"/>
              </w:rPr>
              <w:t xml:space="preserve"> </w:t>
            </w:r>
            <w:r>
              <w:rPr>
                <w:rFonts w:ascii="Calibri"/>
                <w:spacing w:val="-1"/>
                <w:sz w:val="18"/>
              </w:rPr>
              <w:t>audit,</w:t>
            </w:r>
            <w:r>
              <w:rPr>
                <w:rFonts w:ascii="Calibri"/>
                <w:spacing w:val="-2"/>
                <w:sz w:val="18"/>
              </w:rPr>
              <w:t xml:space="preserve"> </w:t>
            </w:r>
            <w:r>
              <w:rPr>
                <w:rFonts w:ascii="Calibri"/>
                <w:spacing w:val="-1"/>
                <w:sz w:val="18"/>
              </w:rPr>
              <w:t>and</w:t>
            </w:r>
            <w:r>
              <w:rPr>
                <w:rFonts w:ascii="Calibri"/>
                <w:spacing w:val="-2"/>
                <w:sz w:val="18"/>
              </w:rPr>
              <w:t xml:space="preserve"> </w:t>
            </w:r>
            <w:r>
              <w:rPr>
                <w:rFonts w:ascii="Calibri"/>
                <w:sz w:val="18"/>
              </w:rPr>
              <w:t>take</w:t>
            </w:r>
            <w:r>
              <w:rPr>
                <w:rFonts w:ascii="Calibri"/>
                <w:spacing w:val="-3"/>
                <w:sz w:val="18"/>
              </w:rPr>
              <w:t xml:space="preserve"> </w:t>
            </w:r>
            <w:r>
              <w:rPr>
                <w:rFonts w:ascii="Calibri"/>
                <w:spacing w:val="-1"/>
                <w:sz w:val="18"/>
              </w:rPr>
              <w:t xml:space="preserve">time </w:t>
            </w:r>
            <w:r>
              <w:rPr>
                <w:rFonts w:ascii="Calibri"/>
                <w:sz w:val="18"/>
              </w:rPr>
              <w:t>to</w:t>
            </w:r>
            <w:r>
              <w:rPr>
                <w:rFonts w:ascii="Calibri"/>
                <w:spacing w:val="-2"/>
                <w:sz w:val="18"/>
              </w:rPr>
              <w:t xml:space="preserve"> </w:t>
            </w:r>
            <w:r>
              <w:rPr>
                <w:rFonts w:ascii="Calibri"/>
                <w:spacing w:val="-1"/>
                <w:sz w:val="18"/>
              </w:rPr>
              <w:t>explain</w:t>
            </w:r>
            <w:r>
              <w:rPr>
                <w:rFonts w:ascii="Calibri"/>
                <w:spacing w:val="-3"/>
                <w:sz w:val="18"/>
              </w:rPr>
              <w:t xml:space="preserve"> </w:t>
            </w:r>
            <w:r>
              <w:rPr>
                <w:rFonts w:ascii="Calibri"/>
                <w:sz w:val="18"/>
              </w:rPr>
              <w:t>ways</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save</w:t>
            </w:r>
            <w:r>
              <w:rPr>
                <w:rFonts w:ascii="Calibri"/>
                <w:spacing w:val="-2"/>
                <w:sz w:val="18"/>
              </w:rPr>
              <w:t xml:space="preserve"> </w:t>
            </w:r>
            <w:r>
              <w:rPr>
                <w:rFonts w:ascii="Calibri"/>
                <w:spacing w:val="-1"/>
                <w:sz w:val="18"/>
              </w:rPr>
              <w:t>energy</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bl>
    <w:p w:rsidR="00E646C9" w:rsidRDefault="00E646C9" w:rsidP="00E646C9"/>
    <w:p w:rsidR="00E646C9" w:rsidRPr="00130312" w:rsidRDefault="00E646C9" w:rsidP="00C3558F">
      <w:pPr>
        <w:pStyle w:val="AppendixGHeading2"/>
      </w:pPr>
      <w:r w:rsidRPr="0061477B">
        <w:t xml:space="preserve">De Facto Heating Pilot </w:t>
      </w:r>
      <w:r w:rsidRPr="00130312">
        <w:t>Program</w:t>
      </w:r>
      <w:r>
        <w:t xml:space="preserve"> </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89"/>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spacing w:line="218" w:lineRule="exact"/>
              <w:ind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675"/>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602"/>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z w:val="18"/>
              </w:rPr>
              <w:t>conducting</w:t>
            </w:r>
            <w:r>
              <w:rPr>
                <w:rFonts w:ascii="Calibri"/>
                <w:spacing w:val="-3"/>
                <w:sz w:val="18"/>
              </w:rPr>
              <w:t xml:space="preserve"> </w:t>
            </w:r>
            <w:r>
              <w:rPr>
                <w:rFonts w:ascii="Calibri"/>
                <w:sz w:val="18"/>
              </w:rPr>
              <w:t>an</w:t>
            </w:r>
            <w:r>
              <w:rPr>
                <w:rFonts w:ascii="Calibri"/>
                <w:spacing w:val="-2"/>
                <w:sz w:val="18"/>
              </w:rPr>
              <w:t xml:space="preserve"> </w:t>
            </w:r>
            <w:r>
              <w:rPr>
                <w:rFonts w:ascii="Calibri"/>
                <w:spacing w:val="-1"/>
                <w:sz w:val="18"/>
              </w:rPr>
              <w:t>assessment</w:t>
            </w:r>
            <w:r>
              <w:rPr>
                <w:rFonts w:ascii="Calibri"/>
                <w:spacing w:val="-2"/>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3"/>
                <w:sz w:val="18"/>
              </w:rPr>
              <w:t xml:space="preserve"> </w:t>
            </w:r>
            <w:r>
              <w:rPr>
                <w:rFonts w:ascii="Calibri"/>
                <w:spacing w:val="-1"/>
                <w:sz w:val="18"/>
              </w:rPr>
              <w:t>market</w:t>
            </w:r>
            <w:r>
              <w:rPr>
                <w:rFonts w:ascii="Calibri"/>
                <w:spacing w:val="-2"/>
                <w:sz w:val="18"/>
              </w:rPr>
              <w:t xml:space="preserve"> </w:t>
            </w:r>
            <w:r>
              <w:rPr>
                <w:rFonts w:ascii="Calibri"/>
                <w:sz w:val="18"/>
              </w:rPr>
              <w:t>and</w:t>
            </w:r>
            <w:r>
              <w:rPr>
                <w:rFonts w:ascii="Calibri"/>
                <w:spacing w:val="41"/>
                <w:sz w:val="18"/>
              </w:rPr>
              <w:t xml:space="preserve"> </w:t>
            </w:r>
            <w:r>
              <w:rPr>
                <w:rFonts w:ascii="Calibri"/>
                <w:spacing w:val="-1"/>
                <w:sz w:val="18"/>
              </w:rPr>
              <w:t>technology</w:t>
            </w:r>
            <w:r>
              <w:rPr>
                <w:rFonts w:ascii="Calibri"/>
                <w:spacing w:val="-3"/>
                <w:sz w:val="18"/>
              </w:rPr>
              <w:t xml:space="preserve"> </w:t>
            </w:r>
            <w:r>
              <w:rPr>
                <w:rFonts w:ascii="Calibri"/>
                <w:sz w:val="18"/>
              </w:rPr>
              <w:t>in</w:t>
            </w:r>
            <w:r>
              <w:rPr>
                <w:rFonts w:ascii="Calibri"/>
                <w:spacing w:val="-3"/>
                <w:sz w:val="18"/>
              </w:rPr>
              <w:t xml:space="preserve"> </w:t>
            </w:r>
            <w:r>
              <w:rPr>
                <w:rFonts w:ascii="Calibri"/>
                <w:spacing w:val="-1"/>
                <w:sz w:val="18"/>
              </w:rPr>
              <w:t>future</w:t>
            </w:r>
            <w:r>
              <w:rPr>
                <w:rFonts w:ascii="Calibri"/>
                <w:spacing w:val="-2"/>
                <w:sz w:val="18"/>
              </w:rPr>
              <w:t xml:space="preserve"> </w:t>
            </w:r>
            <w:r>
              <w:rPr>
                <w:rFonts w:ascii="Calibri"/>
                <w:spacing w:val="-1"/>
                <w:sz w:val="18"/>
              </w:rPr>
              <w:t>pilot</w:t>
            </w:r>
            <w:r>
              <w:rPr>
                <w:rFonts w:ascii="Calibri"/>
                <w:spacing w:val="-2"/>
                <w:sz w:val="18"/>
              </w:rPr>
              <w:t xml:space="preserve"> </w:t>
            </w:r>
            <w:r>
              <w:rPr>
                <w:rFonts w:ascii="Calibri"/>
                <w:spacing w:val="-1"/>
                <w:sz w:val="18"/>
              </w:rPr>
              <w:t>programs</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adjust</w:t>
            </w:r>
            <w:r>
              <w:rPr>
                <w:rFonts w:ascii="Calibri"/>
                <w:spacing w:val="-2"/>
                <w:sz w:val="18"/>
              </w:rPr>
              <w:t xml:space="preserve"> </w:t>
            </w:r>
            <w:r>
              <w:rPr>
                <w:rFonts w:ascii="Calibri"/>
                <w:sz w:val="18"/>
              </w:rPr>
              <w:t>the</w:t>
            </w:r>
            <w:r>
              <w:rPr>
                <w:rFonts w:ascii="Calibri"/>
                <w:spacing w:val="49"/>
                <w:w w:val="99"/>
                <w:sz w:val="18"/>
              </w:rPr>
              <w:t xml:space="preserve"> </w:t>
            </w:r>
            <w:r>
              <w:rPr>
                <w:rFonts w:ascii="Calibri"/>
                <w:spacing w:val="-1"/>
                <w:sz w:val="18"/>
              </w:rPr>
              <w:t>evaluation</w:t>
            </w:r>
            <w:r>
              <w:rPr>
                <w:rFonts w:ascii="Calibri"/>
                <w:spacing w:val="-4"/>
                <w:sz w:val="18"/>
              </w:rPr>
              <w:t xml:space="preserve"> </w:t>
            </w:r>
            <w:r>
              <w:rPr>
                <w:rFonts w:ascii="Calibri"/>
                <w:sz w:val="18"/>
              </w:rPr>
              <w:t>plan</w:t>
            </w:r>
            <w:r>
              <w:rPr>
                <w:rFonts w:ascii="Calibri"/>
                <w:spacing w:val="-3"/>
                <w:sz w:val="18"/>
              </w:rPr>
              <w:t xml:space="preserve"> </w:t>
            </w:r>
            <w:r>
              <w:rPr>
                <w:rFonts w:ascii="Calibri"/>
                <w:spacing w:val="-1"/>
                <w:sz w:val="18"/>
              </w:rPr>
              <w:t>accordingly.</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Will</w:t>
            </w:r>
            <w:r>
              <w:rPr>
                <w:rFonts w:ascii="Calibri"/>
                <w:spacing w:val="-3"/>
                <w:sz w:val="18"/>
              </w:rPr>
              <w:t xml:space="preserve"> </w:t>
            </w:r>
            <w:r>
              <w:rPr>
                <w:rFonts w:ascii="Calibri"/>
                <w:spacing w:val="-1"/>
                <w:sz w:val="18"/>
              </w:rPr>
              <w:t>be</w:t>
            </w:r>
            <w:r>
              <w:rPr>
                <w:rFonts w:ascii="Calibri"/>
                <w:spacing w:val="-3"/>
                <w:sz w:val="18"/>
              </w:rPr>
              <w:t xml:space="preserve"> </w:t>
            </w:r>
            <w:r>
              <w:rPr>
                <w:rFonts w:ascii="Calibri"/>
                <w:sz w:val="18"/>
              </w:rPr>
              <w:t>implemented</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future pilots.</w:t>
            </w:r>
          </w:p>
        </w:tc>
      </w:tr>
      <w:tr w:rsidR="00E646C9" w:rsidTr="00C3558F">
        <w:trPr>
          <w:trHeight w:hRule="exact" w:val="67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380"/>
              <w:rPr>
                <w:rFonts w:ascii="Calibri" w:eastAsia="Calibri" w:hAnsi="Calibri" w:cs="Calibri"/>
                <w:sz w:val="18"/>
                <w:szCs w:val="18"/>
              </w:rPr>
            </w:pPr>
            <w:r>
              <w:rPr>
                <w:rFonts w:ascii="Calibri"/>
                <w:spacing w:val="-1"/>
                <w:sz w:val="18"/>
              </w:rPr>
              <w:t>Consider establishing</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z w:val="18"/>
              </w:rPr>
              <w:t>contractor</w:t>
            </w:r>
            <w:r>
              <w:rPr>
                <w:rFonts w:ascii="Calibri"/>
                <w:spacing w:val="-3"/>
                <w:sz w:val="18"/>
              </w:rPr>
              <w:t xml:space="preserve"> </w:t>
            </w:r>
            <w:r>
              <w:rPr>
                <w:rFonts w:ascii="Calibri"/>
                <w:spacing w:val="-1"/>
                <w:sz w:val="18"/>
              </w:rPr>
              <w:t>scheduling</w:t>
            </w:r>
            <w:r>
              <w:rPr>
                <w:rFonts w:ascii="Calibri"/>
                <w:spacing w:val="-4"/>
                <w:sz w:val="18"/>
              </w:rPr>
              <w:t xml:space="preserve"> </w:t>
            </w:r>
            <w:r>
              <w:rPr>
                <w:rFonts w:ascii="Calibri"/>
                <w:spacing w:val="-1"/>
                <w:sz w:val="18"/>
              </w:rPr>
              <w:t>process</w:t>
            </w:r>
            <w:r>
              <w:rPr>
                <w:rFonts w:ascii="Calibri"/>
                <w:spacing w:val="47"/>
                <w:sz w:val="18"/>
              </w:rPr>
              <w:t xml:space="preserve"> </w:t>
            </w:r>
            <w:r>
              <w:rPr>
                <w:rFonts w:ascii="Calibri"/>
                <w:spacing w:val="-1"/>
                <w:sz w:val="18"/>
              </w:rPr>
              <w:t>earlier</w:t>
            </w:r>
            <w:r>
              <w:rPr>
                <w:rFonts w:ascii="Calibri"/>
                <w:spacing w:val="-3"/>
                <w:sz w:val="18"/>
              </w:rPr>
              <w:t xml:space="preserve"> </w:t>
            </w:r>
            <w:r>
              <w:rPr>
                <w:rFonts w:ascii="Calibri"/>
                <w:spacing w:val="-1"/>
                <w:sz w:val="18"/>
              </w:rPr>
              <w:t>to</w:t>
            </w:r>
            <w:r>
              <w:rPr>
                <w:rFonts w:ascii="Calibri"/>
                <w:spacing w:val="-3"/>
                <w:sz w:val="18"/>
              </w:rPr>
              <w:t xml:space="preserve"> </w:t>
            </w:r>
            <w:r>
              <w:rPr>
                <w:rFonts w:ascii="Calibri"/>
                <w:spacing w:val="-1"/>
                <w:sz w:val="18"/>
              </w:rPr>
              <w:t>reduce</w:t>
            </w:r>
            <w:r>
              <w:rPr>
                <w:rFonts w:ascii="Calibri"/>
                <w:spacing w:val="-3"/>
                <w:sz w:val="18"/>
              </w:rPr>
              <w:t xml:space="preserve"> </w:t>
            </w:r>
            <w:r>
              <w:rPr>
                <w:rFonts w:ascii="Calibri"/>
                <w:sz w:val="18"/>
              </w:rPr>
              <w:t>(or</w:t>
            </w:r>
            <w:r>
              <w:rPr>
                <w:rFonts w:ascii="Calibri"/>
                <w:spacing w:val="-3"/>
                <w:sz w:val="18"/>
              </w:rPr>
              <w:t xml:space="preserve"> </w:t>
            </w:r>
            <w:r>
              <w:rPr>
                <w:rFonts w:ascii="Calibri"/>
                <w:spacing w:val="-1"/>
                <w:sz w:val="18"/>
              </w:rPr>
              <w:t>eliminate)</w:t>
            </w:r>
            <w:r>
              <w:rPr>
                <w:rFonts w:ascii="Calibri"/>
                <w:spacing w:val="-3"/>
                <w:sz w:val="18"/>
              </w:rPr>
              <w:t xml:space="preserve"> </w:t>
            </w:r>
            <w:r>
              <w:rPr>
                <w:rFonts w:ascii="Calibri"/>
                <w:spacing w:val="-1"/>
                <w:sz w:val="18"/>
              </w:rPr>
              <w:t>effects</w:t>
            </w:r>
            <w:r>
              <w:rPr>
                <w:rFonts w:ascii="Calibri"/>
                <w:spacing w:val="-3"/>
                <w:sz w:val="18"/>
              </w:rPr>
              <w:t xml:space="preserve"> </w:t>
            </w:r>
            <w:r>
              <w:rPr>
                <w:rFonts w:ascii="Calibri"/>
                <w:sz w:val="18"/>
              </w:rPr>
              <w:t>of</w:t>
            </w:r>
            <w:r>
              <w:rPr>
                <w:rFonts w:ascii="Calibri"/>
                <w:spacing w:val="-1"/>
                <w:sz w:val="18"/>
              </w:rPr>
              <w:t xml:space="preserve"> non-performing</w:t>
            </w:r>
            <w:r>
              <w:rPr>
                <w:rFonts w:ascii="Calibri"/>
                <w:spacing w:val="57"/>
                <w:w w:val="99"/>
                <w:sz w:val="18"/>
              </w:rPr>
              <w:t xml:space="preserve"> </w:t>
            </w:r>
            <w:r>
              <w:rPr>
                <w:rFonts w:ascii="Calibri"/>
                <w:spacing w:val="-1"/>
                <w:sz w:val="18"/>
              </w:rPr>
              <w:t>contractors.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399"/>
              <w:rPr>
                <w:rFonts w:ascii="Calibri" w:eastAsia="Calibri" w:hAnsi="Calibri" w:cs="Calibri"/>
                <w:sz w:val="18"/>
                <w:szCs w:val="18"/>
              </w:rPr>
            </w:pPr>
            <w:r>
              <w:rPr>
                <w:rFonts w:ascii="Calibri"/>
                <w:spacing w:val="-1"/>
                <w:sz w:val="18"/>
              </w:rPr>
              <w:t>Implemented.</w:t>
            </w:r>
            <w:r>
              <w:rPr>
                <w:rFonts w:ascii="Calibri"/>
                <w:spacing w:val="34"/>
                <w:sz w:val="18"/>
              </w:rPr>
              <w:t xml:space="preserve"> </w:t>
            </w:r>
            <w:r>
              <w:rPr>
                <w:rFonts w:ascii="Calibri"/>
                <w:sz w:val="18"/>
              </w:rPr>
              <w:t>The</w:t>
            </w:r>
            <w:r>
              <w:rPr>
                <w:rFonts w:ascii="Calibri"/>
                <w:spacing w:val="-1"/>
                <w:sz w:val="18"/>
              </w:rPr>
              <w:t xml:space="preserve"> scheduling</w:t>
            </w:r>
            <w:r>
              <w:rPr>
                <w:rFonts w:ascii="Calibri"/>
                <w:spacing w:val="-3"/>
                <w:sz w:val="18"/>
              </w:rPr>
              <w:t xml:space="preserve"> </w:t>
            </w:r>
            <w:r>
              <w:rPr>
                <w:rFonts w:ascii="Calibri"/>
                <w:sz w:val="18"/>
              </w:rPr>
              <w:t>process</w:t>
            </w:r>
            <w:r>
              <w:rPr>
                <w:rFonts w:ascii="Calibri"/>
                <w:spacing w:val="-4"/>
                <w:sz w:val="18"/>
              </w:rPr>
              <w:t xml:space="preserve"> </w:t>
            </w:r>
            <w:r>
              <w:rPr>
                <w:rFonts w:ascii="Calibri"/>
                <w:sz w:val="18"/>
              </w:rPr>
              <w:t>for</w:t>
            </w:r>
            <w:r>
              <w:rPr>
                <w:rFonts w:ascii="Calibri"/>
                <w:spacing w:val="-2"/>
                <w:sz w:val="18"/>
              </w:rPr>
              <w:t xml:space="preserve"> </w:t>
            </w:r>
            <w:r>
              <w:rPr>
                <w:rFonts w:ascii="Calibri"/>
                <w:spacing w:val="-1"/>
                <w:sz w:val="18"/>
              </w:rPr>
              <w:t>Phase</w:t>
            </w:r>
            <w:r>
              <w:rPr>
                <w:rFonts w:ascii="Calibri"/>
                <w:spacing w:val="-4"/>
                <w:sz w:val="18"/>
              </w:rPr>
              <w:t xml:space="preserve"> </w:t>
            </w:r>
            <w:r>
              <w:rPr>
                <w:rFonts w:ascii="Calibri"/>
                <w:sz w:val="18"/>
              </w:rPr>
              <w:t>3</w:t>
            </w:r>
            <w:r>
              <w:rPr>
                <w:rFonts w:ascii="Calibri"/>
                <w:spacing w:val="-2"/>
                <w:sz w:val="18"/>
              </w:rPr>
              <w:t xml:space="preserve"> </w:t>
            </w:r>
            <w:r>
              <w:rPr>
                <w:rFonts w:ascii="Calibri"/>
                <w:spacing w:val="-1"/>
                <w:sz w:val="18"/>
              </w:rPr>
              <w:t>WRAP</w:t>
            </w:r>
            <w:r>
              <w:rPr>
                <w:rFonts w:ascii="Calibri"/>
                <w:spacing w:val="39"/>
                <w:w w:val="99"/>
                <w:sz w:val="18"/>
              </w:rPr>
              <w:t xml:space="preserve"> </w:t>
            </w:r>
            <w:r>
              <w:rPr>
                <w:rFonts w:ascii="Calibri"/>
                <w:sz w:val="18"/>
              </w:rPr>
              <w:t>work</w:t>
            </w:r>
            <w:r>
              <w:rPr>
                <w:rFonts w:ascii="Calibri"/>
                <w:spacing w:val="-4"/>
                <w:sz w:val="18"/>
              </w:rPr>
              <w:t xml:space="preserve"> </w:t>
            </w:r>
            <w:r>
              <w:rPr>
                <w:rFonts w:ascii="Calibri"/>
                <w:sz w:val="18"/>
              </w:rPr>
              <w:t>was</w:t>
            </w:r>
            <w:r>
              <w:rPr>
                <w:rFonts w:ascii="Calibri"/>
                <w:spacing w:val="-4"/>
                <w:sz w:val="18"/>
              </w:rPr>
              <w:t xml:space="preserve"> </w:t>
            </w:r>
            <w:r>
              <w:rPr>
                <w:rFonts w:ascii="Calibri"/>
                <w:spacing w:val="-1"/>
                <w:sz w:val="18"/>
              </w:rPr>
              <w:t>significantly</w:t>
            </w:r>
            <w:r>
              <w:rPr>
                <w:rFonts w:ascii="Calibri"/>
                <w:spacing w:val="-3"/>
                <w:sz w:val="18"/>
              </w:rPr>
              <w:t xml:space="preserve"> </w:t>
            </w:r>
            <w:r>
              <w:rPr>
                <w:rFonts w:ascii="Calibri"/>
                <w:spacing w:val="-1"/>
                <w:sz w:val="18"/>
              </w:rPr>
              <w:t>improved.</w:t>
            </w:r>
          </w:p>
        </w:tc>
      </w:tr>
      <w:tr w:rsidR="00E646C9" w:rsidTr="00C3558F">
        <w:trPr>
          <w:trHeight w:hRule="exact" w:val="677"/>
        </w:trPr>
        <w:tc>
          <w:tcPr>
            <w:tcW w:w="4680"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320"/>
              <w:rPr>
                <w:rFonts w:ascii="Calibri" w:eastAsia="Calibri" w:hAnsi="Calibri" w:cs="Calibri"/>
                <w:sz w:val="18"/>
                <w:szCs w:val="18"/>
              </w:rPr>
            </w:pPr>
            <w:r>
              <w:rPr>
                <w:rFonts w:ascii="Calibri"/>
                <w:spacing w:val="-1"/>
                <w:sz w:val="18"/>
              </w:rPr>
              <w:t>Encourage</w:t>
            </w:r>
            <w:r>
              <w:rPr>
                <w:rFonts w:ascii="Calibri"/>
                <w:spacing w:val="-6"/>
                <w:sz w:val="18"/>
              </w:rPr>
              <w:t xml:space="preserve"> </w:t>
            </w:r>
            <w:r>
              <w:rPr>
                <w:rFonts w:ascii="Calibri"/>
                <w:spacing w:val="-1"/>
                <w:sz w:val="18"/>
              </w:rPr>
              <w:t>future</w:t>
            </w:r>
            <w:r>
              <w:rPr>
                <w:rFonts w:ascii="Calibri"/>
                <w:spacing w:val="-5"/>
                <w:sz w:val="18"/>
              </w:rPr>
              <w:t xml:space="preserve"> </w:t>
            </w:r>
            <w:r>
              <w:rPr>
                <w:rFonts w:ascii="Calibri"/>
                <w:spacing w:val="-1"/>
                <w:sz w:val="18"/>
              </w:rPr>
              <w:t>implementers</w:t>
            </w:r>
            <w:r>
              <w:rPr>
                <w:rFonts w:ascii="Calibri"/>
                <w:spacing w:val="-4"/>
                <w:sz w:val="18"/>
              </w:rPr>
              <w:t xml:space="preserve"> </w:t>
            </w:r>
            <w:r>
              <w:rPr>
                <w:rFonts w:ascii="Calibri"/>
                <w:spacing w:val="-1"/>
                <w:sz w:val="18"/>
              </w:rPr>
              <w:t>provide</w:t>
            </w:r>
            <w:r>
              <w:rPr>
                <w:rFonts w:ascii="Calibri"/>
                <w:spacing w:val="-5"/>
                <w:sz w:val="18"/>
              </w:rPr>
              <w:t xml:space="preserve"> </w:t>
            </w:r>
            <w:r>
              <w:rPr>
                <w:rFonts w:ascii="Calibri"/>
                <w:sz w:val="18"/>
              </w:rPr>
              <w:t>leave-behind</w:t>
            </w:r>
            <w:r>
              <w:rPr>
                <w:rFonts w:ascii="Calibri"/>
                <w:spacing w:val="43"/>
                <w:sz w:val="18"/>
              </w:rPr>
              <w:t xml:space="preserve"> </w:t>
            </w:r>
            <w:r>
              <w:rPr>
                <w:rFonts w:ascii="Calibri"/>
                <w:spacing w:val="-1"/>
                <w:sz w:val="18"/>
              </w:rPr>
              <w:t>materials</w:t>
            </w:r>
            <w:r>
              <w:rPr>
                <w:rFonts w:ascii="Calibri"/>
                <w:spacing w:val="-5"/>
                <w:sz w:val="18"/>
              </w:rPr>
              <w:t xml:space="preserve"> </w:t>
            </w:r>
            <w:r>
              <w:rPr>
                <w:rFonts w:ascii="Calibri"/>
                <w:spacing w:val="-1"/>
                <w:sz w:val="18"/>
              </w:rPr>
              <w:t>describing</w:t>
            </w:r>
            <w:r>
              <w:rPr>
                <w:rFonts w:ascii="Calibri"/>
                <w:spacing w:val="-3"/>
                <w:sz w:val="18"/>
              </w:rPr>
              <w:t xml:space="preserve"> </w:t>
            </w:r>
            <w:r>
              <w:rPr>
                <w:rFonts w:ascii="Calibri"/>
                <w:spacing w:val="-1"/>
                <w:sz w:val="18"/>
              </w:rPr>
              <w:t xml:space="preserve">the </w:t>
            </w:r>
            <w:r>
              <w:rPr>
                <w:rFonts w:ascii="Calibri"/>
                <w:sz w:val="18"/>
              </w:rPr>
              <w:t>programs</w:t>
            </w:r>
            <w:r>
              <w:rPr>
                <w:rFonts w:ascii="Calibri"/>
                <w:spacing w:val="-4"/>
                <w:sz w:val="18"/>
              </w:rPr>
              <w:t xml:space="preserve"> </w:t>
            </w:r>
            <w:r>
              <w:rPr>
                <w:rFonts w:ascii="Calibri"/>
                <w:spacing w:val="-1"/>
                <w:sz w:val="18"/>
              </w:rPr>
              <w:t>and</w:t>
            </w:r>
            <w:r>
              <w:rPr>
                <w:rFonts w:ascii="Calibri"/>
                <w:spacing w:val="-3"/>
                <w:sz w:val="18"/>
              </w:rPr>
              <w:t xml:space="preserve"> </w:t>
            </w:r>
            <w:r>
              <w:rPr>
                <w:rFonts w:ascii="Calibri"/>
                <w:spacing w:val="-1"/>
                <w:sz w:val="18"/>
              </w:rPr>
              <w:t>how</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contact</w:t>
            </w:r>
            <w:r>
              <w:rPr>
                <w:rFonts w:ascii="Calibri"/>
                <w:spacing w:val="-3"/>
                <w:sz w:val="18"/>
              </w:rPr>
              <w:t xml:space="preserve"> </w:t>
            </w:r>
            <w:r>
              <w:rPr>
                <w:rFonts w:ascii="Calibri"/>
                <w:spacing w:val="-1"/>
                <w:sz w:val="18"/>
              </w:rPr>
              <w:t>the</w:t>
            </w:r>
            <w:r>
              <w:rPr>
                <w:rFonts w:ascii="Calibri"/>
                <w:spacing w:val="57"/>
                <w:w w:val="99"/>
                <w:sz w:val="18"/>
              </w:rPr>
              <w:t xml:space="preserve"> </w:t>
            </w:r>
            <w:r>
              <w:rPr>
                <w:rFonts w:ascii="Calibri"/>
                <w:spacing w:val="-1"/>
                <w:sz w:val="18"/>
              </w:rPr>
              <w:t>utility.</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3"/>
                <w:sz w:val="18"/>
              </w:rPr>
              <w:t xml:space="preserve"> </w:t>
            </w:r>
            <w:r>
              <w:rPr>
                <w:rFonts w:ascii="Calibri"/>
                <w:sz w:val="18"/>
              </w:rPr>
              <w:t>for</w:t>
            </w:r>
            <w:r>
              <w:rPr>
                <w:rFonts w:ascii="Calibri"/>
                <w:spacing w:val="-1"/>
                <w:sz w:val="18"/>
              </w:rPr>
              <w:t xml:space="preserve"> future</w:t>
            </w:r>
            <w:r>
              <w:rPr>
                <w:rFonts w:ascii="Calibri"/>
                <w:spacing w:val="-3"/>
                <w:sz w:val="18"/>
              </w:rPr>
              <w:t xml:space="preserve"> </w:t>
            </w:r>
            <w:r>
              <w:rPr>
                <w:rFonts w:ascii="Calibri"/>
                <w:spacing w:val="-1"/>
                <w:sz w:val="18"/>
              </w:rPr>
              <w:t>pilots.</w:t>
            </w:r>
          </w:p>
        </w:tc>
      </w:tr>
    </w:tbl>
    <w:p w:rsidR="00E646C9" w:rsidRDefault="00E646C9" w:rsidP="00E646C9"/>
    <w:p w:rsidR="00C3558F" w:rsidRDefault="00C3558F" w:rsidP="00E646C9"/>
    <w:p w:rsidR="00C3558F" w:rsidRDefault="00C3558F" w:rsidP="00E646C9"/>
    <w:p w:rsidR="00C3558F" w:rsidRDefault="00C3558F" w:rsidP="00E646C9"/>
    <w:p w:rsidR="00C3558F" w:rsidRDefault="00C3558F" w:rsidP="00E646C9"/>
    <w:p w:rsidR="00C3558F" w:rsidRDefault="00C3558F" w:rsidP="00E646C9"/>
    <w:p w:rsidR="00C3558F" w:rsidRDefault="00C3558F" w:rsidP="00E646C9"/>
    <w:p w:rsidR="00E646C9" w:rsidRPr="00130312" w:rsidRDefault="00E646C9" w:rsidP="00C3558F">
      <w:pPr>
        <w:pStyle w:val="AppendixGHeading2"/>
      </w:pPr>
      <w:r w:rsidRPr="00E45771">
        <w:t xml:space="preserve">Low-Income Energy-Efficiency Behavior &amp; Education Program </w:t>
      </w:r>
    </w:p>
    <w:tbl>
      <w:tblPr>
        <w:tblW w:w="936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1"/>
        <w:gridCol w:w="4681"/>
      </w:tblGrid>
      <w:tr w:rsidR="00E646C9" w:rsidTr="0011636D">
        <w:trPr>
          <w:trHeight w:hRule="exact" w:val="680"/>
        </w:trPr>
        <w:tc>
          <w:tcPr>
            <w:tcW w:w="9362" w:type="dxa"/>
            <w:gridSpan w:val="2"/>
            <w:shd w:val="clear" w:color="auto" w:fill="448999"/>
          </w:tcPr>
          <w:p w:rsidR="00E646C9" w:rsidRPr="00C3558F" w:rsidRDefault="00E646C9" w:rsidP="00FB3B18">
            <w:pPr>
              <w:pStyle w:val="TableParagraph"/>
              <w:tabs>
                <w:tab w:val="left" w:pos="5251"/>
              </w:tabs>
              <w:ind w:left="5798" w:right="570" w:hanging="5632"/>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before="1"/>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11636D">
        <w:trPr>
          <w:trHeight w:hRule="exact" w:val="876"/>
        </w:trPr>
        <w:tc>
          <w:tcPr>
            <w:tcW w:w="4681" w:type="dxa"/>
          </w:tcPr>
          <w:p w:rsidR="00E646C9" w:rsidRDefault="00E646C9" w:rsidP="00C94D5A">
            <w:pPr>
              <w:pStyle w:val="TableParagraph"/>
              <w:spacing w:before="48" w:line="276" w:lineRule="auto"/>
              <w:ind w:left="97" w:right="483"/>
              <w:rPr>
                <w:rFonts w:ascii="Calibri" w:eastAsia="Calibri" w:hAnsi="Calibri" w:cs="Calibri"/>
                <w:sz w:val="18"/>
                <w:szCs w:val="18"/>
              </w:rPr>
            </w:pPr>
            <w:r>
              <w:rPr>
                <w:rFonts w:ascii="Calibri"/>
                <w:spacing w:val="-1"/>
                <w:sz w:val="18"/>
              </w:rPr>
              <w:t>Consider sending</w:t>
            </w:r>
            <w:r>
              <w:rPr>
                <w:rFonts w:ascii="Calibri"/>
                <w:spacing w:val="-3"/>
                <w:sz w:val="18"/>
              </w:rPr>
              <w:t xml:space="preserve"> </w:t>
            </w:r>
            <w:r>
              <w:rPr>
                <w:rFonts w:ascii="Calibri"/>
                <w:spacing w:val="-1"/>
                <w:sz w:val="18"/>
              </w:rPr>
              <w:t>additional</w:t>
            </w:r>
            <w:r>
              <w:rPr>
                <w:rFonts w:ascii="Calibri"/>
                <w:spacing w:val="-3"/>
                <w:sz w:val="18"/>
              </w:rPr>
              <w:t xml:space="preserve"> </w:t>
            </w:r>
            <w:r>
              <w:rPr>
                <w:rFonts w:ascii="Calibri"/>
                <w:sz w:val="18"/>
              </w:rPr>
              <w:t>paper</w:t>
            </w:r>
            <w:r>
              <w:rPr>
                <w:rFonts w:ascii="Calibri"/>
                <w:spacing w:val="-2"/>
                <w:sz w:val="18"/>
              </w:rPr>
              <w:t xml:space="preserve"> </w:t>
            </w:r>
            <w:r>
              <w:rPr>
                <w:rFonts w:ascii="Calibri"/>
                <w:spacing w:val="-1"/>
                <w:sz w:val="18"/>
              </w:rPr>
              <w:t>home</w:t>
            </w:r>
            <w:r>
              <w:rPr>
                <w:rFonts w:ascii="Calibri"/>
                <w:spacing w:val="-3"/>
                <w:sz w:val="18"/>
              </w:rPr>
              <w:t xml:space="preserve"> </w:t>
            </w:r>
            <w:r>
              <w:rPr>
                <w:rFonts w:ascii="Calibri"/>
                <w:spacing w:val="-1"/>
                <w:sz w:val="18"/>
              </w:rPr>
              <w:t>energy</w:t>
            </w:r>
            <w:r>
              <w:rPr>
                <w:rFonts w:ascii="Calibri"/>
                <w:spacing w:val="-2"/>
                <w:sz w:val="18"/>
              </w:rPr>
              <w:t xml:space="preserve"> </w:t>
            </w:r>
            <w:r>
              <w:rPr>
                <w:rFonts w:ascii="Calibri"/>
                <w:spacing w:val="-1"/>
                <w:sz w:val="18"/>
              </w:rPr>
              <w:t>reports</w:t>
            </w:r>
            <w:r>
              <w:rPr>
                <w:rFonts w:ascii="Calibri"/>
                <w:spacing w:val="53"/>
                <w:sz w:val="18"/>
              </w:rPr>
              <w:t xml:space="preserve"> </w:t>
            </w:r>
            <w:r>
              <w:rPr>
                <w:rFonts w:ascii="Calibri"/>
                <w:spacing w:val="-1"/>
                <w:sz w:val="18"/>
              </w:rPr>
              <w:t>and/or</w:t>
            </w:r>
            <w:r>
              <w:rPr>
                <w:rFonts w:ascii="Calibri"/>
                <w:spacing w:val="-2"/>
                <w:sz w:val="18"/>
              </w:rPr>
              <w:t xml:space="preserve"> </w:t>
            </w:r>
            <w:r>
              <w:rPr>
                <w:rFonts w:ascii="Calibri"/>
                <w:spacing w:val="-1"/>
                <w:sz w:val="18"/>
              </w:rPr>
              <w:t>developing</w:t>
            </w:r>
            <w:r>
              <w:rPr>
                <w:rFonts w:ascii="Calibri"/>
                <w:sz w:val="18"/>
              </w:rPr>
              <w:t xml:space="preserve"> </w:t>
            </w:r>
            <w:r>
              <w:rPr>
                <w:rFonts w:ascii="Calibri"/>
                <w:spacing w:val="-1"/>
                <w:sz w:val="18"/>
              </w:rPr>
              <w:t>print</w:t>
            </w:r>
            <w:r>
              <w:rPr>
                <w:rFonts w:ascii="Calibri"/>
                <w:spacing w:val="-2"/>
                <w:sz w:val="18"/>
              </w:rPr>
              <w:t xml:space="preserve"> </w:t>
            </w:r>
            <w:r>
              <w:rPr>
                <w:rFonts w:ascii="Calibri"/>
                <w:spacing w:val="-1"/>
                <w:sz w:val="18"/>
              </w:rPr>
              <w:t>versions</w:t>
            </w:r>
            <w:r>
              <w:rPr>
                <w:rFonts w:ascii="Calibri"/>
                <w:sz w:val="18"/>
              </w:rPr>
              <w:t xml:space="preserve"> of</w:t>
            </w:r>
            <w:r>
              <w:rPr>
                <w:rFonts w:ascii="Calibri"/>
                <w:spacing w:val="-3"/>
                <w:sz w:val="18"/>
              </w:rPr>
              <w:t xml:space="preserve"> </w:t>
            </w:r>
            <w:r>
              <w:rPr>
                <w:rFonts w:ascii="Calibri"/>
                <w:spacing w:val="-1"/>
                <w:sz w:val="18"/>
              </w:rPr>
              <w:t>some</w:t>
            </w:r>
            <w:r>
              <w:rPr>
                <w:rFonts w:ascii="Calibri"/>
                <w:spacing w:val="-2"/>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pacing w:val="-1"/>
                <w:sz w:val="18"/>
              </w:rPr>
              <w:t>digital</w:t>
            </w:r>
            <w:r>
              <w:rPr>
                <w:rFonts w:ascii="Calibri"/>
                <w:spacing w:val="55"/>
                <w:sz w:val="18"/>
              </w:rPr>
              <w:t xml:space="preserve"> </w:t>
            </w:r>
            <w:r>
              <w:rPr>
                <w:rFonts w:ascii="Calibri"/>
                <w:spacing w:val="-1"/>
                <w:sz w:val="18"/>
              </w:rPr>
              <w:t>content</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send</w:t>
            </w:r>
            <w:r>
              <w:rPr>
                <w:rFonts w:ascii="Calibri"/>
                <w:spacing w:val="-3"/>
                <w:sz w:val="18"/>
              </w:rPr>
              <w:t xml:space="preserve"> </w:t>
            </w:r>
            <w:r>
              <w:rPr>
                <w:rFonts w:ascii="Calibri"/>
                <w:sz w:val="18"/>
              </w:rPr>
              <w:t>to</w:t>
            </w:r>
            <w:r>
              <w:rPr>
                <w:rFonts w:ascii="Calibri"/>
                <w:spacing w:val="-3"/>
                <w:sz w:val="18"/>
              </w:rPr>
              <w:t xml:space="preserve"> </w:t>
            </w:r>
            <w:r>
              <w:rPr>
                <w:rFonts w:ascii="Calibri"/>
                <w:sz w:val="18"/>
              </w:rPr>
              <w:t>low-income</w:t>
            </w:r>
            <w:r>
              <w:rPr>
                <w:rFonts w:ascii="Calibri"/>
                <w:spacing w:val="-3"/>
                <w:sz w:val="18"/>
              </w:rPr>
              <w:t xml:space="preserve"> </w:t>
            </w:r>
            <w:r>
              <w:rPr>
                <w:rFonts w:ascii="Calibri"/>
                <w:spacing w:val="-1"/>
                <w:sz w:val="18"/>
              </w:rPr>
              <w:t>customers.</w:t>
            </w:r>
          </w:p>
        </w:tc>
        <w:tc>
          <w:tcPr>
            <w:tcW w:w="4681" w:type="dxa"/>
          </w:tcPr>
          <w:p w:rsidR="00E646C9" w:rsidRDefault="00E646C9" w:rsidP="00C94D5A">
            <w:pPr>
              <w:pStyle w:val="TableParagraph"/>
              <w:ind w:left="99" w:right="437"/>
              <w:jc w:val="both"/>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as</w:t>
            </w:r>
            <w:r>
              <w:rPr>
                <w:rFonts w:ascii="Calibri"/>
                <w:spacing w:val="-1"/>
                <w:sz w:val="18"/>
              </w:rPr>
              <w:t xml:space="preserve"> part</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3"/>
                <w:sz w:val="18"/>
              </w:rPr>
              <w:t xml:space="preserve"> </w:t>
            </w:r>
            <w:r>
              <w:rPr>
                <w:rFonts w:ascii="Calibri"/>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marketing strategy.</w:t>
            </w:r>
            <w:r>
              <w:rPr>
                <w:rFonts w:ascii="Calibri"/>
                <w:spacing w:val="55"/>
                <w:sz w:val="18"/>
              </w:rPr>
              <w:t xml:space="preserve"> </w:t>
            </w:r>
            <w:r>
              <w:rPr>
                <w:rFonts w:ascii="Calibri"/>
                <w:spacing w:val="-1"/>
                <w:sz w:val="18"/>
              </w:rPr>
              <w:t>Information</w:t>
            </w:r>
            <w:r>
              <w:rPr>
                <w:rFonts w:ascii="Calibri"/>
                <w:spacing w:val="-4"/>
                <w:sz w:val="18"/>
              </w:rPr>
              <w:t xml:space="preserve"> </w:t>
            </w:r>
            <w:r>
              <w:rPr>
                <w:rFonts w:ascii="Calibri"/>
                <w:spacing w:val="-1"/>
                <w:sz w:val="18"/>
              </w:rPr>
              <w:t>targeted</w:t>
            </w:r>
            <w:r>
              <w:rPr>
                <w:rFonts w:ascii="Calibri"/>
                <w:spacing w:val="-4"/>
                <w:sz w:val="18"/>
              </w:rPr>
              <w:t xml:space="preserve"> </w:t>
            </w:r>
            <w:r>
              <w:rPr>
                <w:rFonts w:ascii="Calibri"/>
                <w:sz w:val="18"/>
              </w:rPr>
              <w:t>for</w:t>
            </w:r>
            <w:r>
              <w:rPr>
                <w:rFonts w:ascii="Calibri"/>
                <w:spacing w:val="-3"/>
                <w:sz w:val="18"/>
              </w:rPr>
              <w:t xml:space="preserve"> </w:t>
            </w:r>
            <w:r>
              <w:rPr>
                <w:rFonts w:ascii="Calibri"/>
                <w:spacing w:val="-1"/>
                <w:sz w:val="18"/>
              </w:rPr>
              <w:t>low-income</w:t>
            </w:r>
            <w:r>
              <w:rPr>
                <w:rFonts w:ascii="Calibri"/>
                <w:spacing w:val="-4"/>
                <w:sz w:val="18"/>
              </w:rPr>
              <w:t xml:space="preserve"> </w:t>
            </w:r>
            <w:r>
              <w:rPr>
                <w:rFonts w:ascii="Calibri"/>
                <w:spacing w:val="-1"/>
                <w:sz w:val="18"/>
              </w:rPr>
              <w:t>customers</w:t>
            </w:r>
            <w:r>
              <w:rPr>
                <w:rFonts w:ascii="Calibri"/>
                <w:spacing w:val="-5"/>
                <w:sz w:val="18"/>
              </w:rPr>
              <w:t xml:space="preserve"> </w:t>
            </w:r>
            <w:r>
              <w:rPr>
                <w:rFonts w:ascii="Calibri"/>
                <w:sz w:val="18"/>
              </w:rPr>
              <w:t>is</w:t>
            </w:r>
            <w:r>
              <w:rPr>
                <w:rFonts w:ascii="Calibri"/>
                <w:spacing w:val="-4"/>
                <w:sz w:val="18"/>
              </w:rPr>
              <w:t xml:space="preserve"> </w:t>
            </w:r>
            <w:r>
              <w:rPr>
                <w:rFonts w:ascii="Calibri"/>
                <w:spacing w:val="-1"/>
                <w:sz w:val="18"/>
              </w:rPr>
              <w:t>rarely</w:t>
            </w:r>
            <w:r>
              <w:rPr>
                <w:rFonts w:ascii="Calibri"/>
                <w:spacing w:val="71"/>
                <w:w w:val="99"/>
                <w:sz w:val="18"/>
              </w:rPr>
              <w:t xml:space="preserve"> </w:t>
            </w:r>
            <w:r>
              <w:rPr>
                <w:rFonts w:ascii="Calibri"/>
                <w:spacing w:val="-1"/>
                <w:sz w:val="18"/>
              </w:rPr>
              <w:t>limited</w:t>
            </w:r>
            <w:r>
              <w:rPr>
                <w:rFonts w:ascii="Calibri"/>
                <w:spacing w:val="-2"/>
                <w:sz w:val="18"/>
              </w:rPr>
              <w:t xml:space="preserve"> </w:t>
            </w:r>
            <w:r>
              <w:rPr>
                <w:rFonts w:ascii="Calibri"/>
                <w:sz w:val="18"/>
              </w:rPr>
              <w:t>to</w:t>
            </w:r>
            <w:r>
              <w:rPr>
                <w:rFonts w:ascii="Calibri"/>
                <w:spacing w:val="-1"/>
                <w:sz w:val="18"/>
              </w:rPr>
              <w:t xml:space="preserve"> </w:t>
            </w:r>
            <w:r>
              <w:rPr>
                <w:rFonts w:ascii="Calibri"/>
                <w:sz w:val="18"/>
              </w:rPr>
              <w:t>a</w:t>
            </w:r>
            <w:r>
              <w:rPr>
                <w:rFonts w:ascii="Calibri"/>
                <w:spacing w:val="-1"/>
                <w:sz w:val="18"/>
              </w:rPr>
              <w:t xml:space="preserve"> digital</w:t>
            </w:r>
            <w:r>
              <w:rPr>
                <w:rFonts w:ascii="Calibri"/>
                <w:spacing w:val="-2"/>
                <w:sz w:val="18"/>
              </w:rPr>
              <w:t xml:space="preserve"> </w:t>
            </w:r>
            <w:r>
              <w:rPr>
                <w:rFonts w:ascii="Calibri"/>
                <w:spacing w:val="-1"/>
                <w:sz w:val="18"/>
              </w:rPr>
              <w:t>channel.</w:t>
            </w:r>
          </w:p>
        </w:tc>
      </w:tr>
      <w:tr w:rsidR="00E646C9" w:rsidTr="0011636D">
        <w:trPr>
          <w:trHeight w:hRule="exact" w:val="898"/>
        </w:trPr>
        <w:tc>
          <w:tcPr>
            <w:tcW w:w="4681" w:type="dxa"/>
            <w:shd w:val="clear" w:color="auto" w:fill="D2EAF0"/>
          </w:tcPr>
          <w:p w:rsidR="00E646C9" w:rsidRDefault="00E646C9" w:rsidP="00C94D5A">
            <w:pPr>
              <w:pStyle w:val="TableParagraph"/>
              <w:ind w:left="97" w:right="97"/>
              <w:jc w:val="both"/>
              <w:rPr>
                <w:rFonts w:ascii="Calibri" w:eastAsia="Calibri" w:hAnsi="Calibri" w:cs="Calibri"/>
                <w:sz w:val="18"/>
                <w:szCs w:val="18"/>
              </w:rPr>
            </w:pPr>
            <w:r>
              <w:rPr>
                <w:rFonts w:ascii="Calibri" w:eastAsia="Calibri" w:hAnsi="Calibri" w:cs="Calibri"/>
                <w:spacing w:val="-1"/>
                <w:sz w:val="18"/>
                <w:szCs w:val="18"/>
              </w:rPr>
              <w:t>Consider</w:t>
            </w:r>
            <w:r>
              <w:rPr>
                <w:rFonts w:ascii="Calibri" w:eastAsia="Calibri" w:hAnsi="Calibri" w:cs="Calibri"/>
                <w:spacing w:val="-7"/>
                <w:sz w:val="18"/>
                <w:szCs w:val="18"/>
              </w:rPr>
              <w:t xml:space="preserve"> </w:t>
            </w:r>
            <w:r>
              <w:rPr>
                <w:rFonts w:ascii="Calibri" w:eastAsia="Calibri" w:hAnsi="Calibri" w:cs="Calibri"/>
                <w:sz w:val="18"/>
                <w:szCs w:val="18"/>
              </w:rPr>
              <w:t>using</w:t>
            </w:r>
            <w:r>
              <w:rPr>
                <w:rFonts w:ascii="Calibri" w:eastAsia="Calibri" w:hAnsi="Calibri" w:cs="Calibri"/>
                <w:spacing w:val="-8"/>
                <w:sz w:val="18"/>
                <w:szCs w:val="18"/>
              </w:rPr>
              <w:t xml:space="preserve"> </w:t>
            </w:r>
            <w:r>
              <w:rPr>
                <w:rFonts w:ascii="Calibri" w:eastAsia="Calibri" w:hAnsi="Calibri" w:cs="Calibri"/>
                <w:spacing w:val="-1"/>
                <w:sz w:val="18"/>
                <w:szCs w:val="18"/>
              </w:rPr>
              <w:t>other</w:t>
            </w:r>
            <w:r>
              <w:rPr>
                <w:rFonts w:ascii="Calibri" w:eastAsia="Calibri" w:hAnsi="Calibri" w:cs="Calibri"/>
                <w:spacing w:val="-6"/>
                <w:sz w:val="18"/>
                <w:szCs w:val="18"/>
              </w:rPr>
              <w:t xml:space="preserve"> </w:t>
            </w:r>
            <w:r>
              <w:rPr>
                <w:rFonts w:ascii="Calibri" w:eastAsia="Calibri" w:hAnsi="Calibri" w:cs="Calibri"/>
                <w:spacing w:val="-1"/>
                <w:sz w:val="18"/>
                <w:szCs w:val="18"/>
              </w:rPr>
              <w:t>channels</w:t>
            </w:r>
            <w:r>
              <w:rPr>
                <w:rFonts w:ascii="Calibri" w:eastAsia="Calibri" w:hAnsi="Calibri" w:cs="Calibri"/>
                <w:spacing w:val="-7"/>
                <w:sz w:val="18"/>
                <w:szCs w:val="18"/>
              </w:rPr>
              <w:t xml:space="preserve"> </w:t>
            </w:r>
            <w:r>
              <w:rPr>
                <w:rFonts w:ascii="Calibri" w:eastAsia="Calibri" w:hAnsi="Calibri" w:cs="Calibri"/>
                <w:spacing w:val="-1"/>
                <w:sz w:val="18"/>
                <w:szCs w:val="18"/>
              </w:rPr>
              <w:t>(e-mail,</w:t>
            </w:r>
            <w:r>
              <w:rPr>
                <w:rFonts w:ascii="Calibri" w:eastAsia="Calibri" w:hAnsi="Calibri" w:cs="Calibri"/>
                <w:spacing w:val="-7"/>
                <w:sz w:val="18"/>
                <w:szCs w:val="18"/>
              </w:rPr>
              <w:t xml:space="preserve"> </w:t>
            </w:r>
            <w:r>
              <w:rPr>
                <w:rFonts w:ascii="Calibri" w:eastAsia="Calibri" w:hAnsi="Calibri" w:cs="Calibri"/>
                <w:spacing w:val="-1"/>
                <w:sz w:val="18"/>
                <w:szCs w:val="18"/>
              </w:rPr>
              <w:t>billing</w:t>
            </w:r>
            <w:r>
              <w:rPr>
                <w:rFonts w:ascii="Calibri" w:eastAsia="Calibri" w:hAnsi="Calibri" w:cs="Calibri"/>
                <w:spacing w:val="-7"/>
                <w:sz w:val="18"/>
                <w:szCs w:val="18"/>
              </w:rPr>
              <w:t xml:space="preserve"> </w:t>
            </w:r>
            <w:r>
              <w:rPr>
                <w:rFonts w:ascii="Calibri" w:eastAsia="Calibri" w:hAnsi="Calibri" w:cs="Calibri"/>
                <w:spacing w:val="-1"/>
                <w:sz w:val="18"/>
                <w:szCs w:val="18"/>
              </w:rPr>
              <w:t>statements,</w:t>
            </w:r>
            <w:r>
              <w:rPr>
                <w:rFonts w:ascii="Calibri" w:eastAsia="Calibri" w:hAnsi="Calibri" w:cs="Calibri"/>
                <w:spacing w:val="-7"/>
                <w:sz w:val="18"/>
                <w:szCs w:val="18"/>
              </w:rPr>
              <w:t xml:space="preserve"> </w:t>
            </w:r>
            <w:r>
              <w:rPr>
                <w:rFonts w:ascii="Calibri" w:eastAsia="Calibri" w:hAnsi="Calibri" w:cs="Calibri"/>
                <w:spacing w:val="-1"/>
                <w:sz w:val="18"/>
                <w:szCs w:val="18"/>
              </w:rPr>
              <w:t>and</w:t>
            </w:r>
            <w:r>
              <w:rPr>
                <w:rFonts w:ascii="Calibri" w:eastAsia="Calibri" w:hAnsi="Calibri" w:cs="Calibri"/>
                <w:spacing w:val="55"/>
                <w:sz w:val="18"/>
                <w:szCs w:val="18"/>
              </w:rPr>
              <w:t xml:space="preserve"> </w:t>
            </w:r>
            <w:r>
              <w:rPr>
                <w:rFonts w:ascii="Calibri" w:eastAsia="Calibri" w:hAnsi="Calibri" w:cs="Calibri"/>
                <w:spacing w:val="-1"/>
                <w:sz w:val="18"/>
                <w:szCs w:val="18"/>
              </w:rPr>
              <w:t>programs)</w:t>
            </w:r>
            <w:r>
              <w:rPr>
                <w:rFonts w:ascii="Calibri" w:eastAsia="Calibri" w:hAnsi="Calibri" w:cs="Calibri"/>
                <w:spacing w:val="-13"/>
                <w:sz w:val="18"/>
                <w:szCs w:val="18"/>
              </w:rPr>
              <w:t xml:space="preserve"> </w:t>
            </w:r>
            <w:r>
              <w:rPr>
                <w:rFonts w:ascii="Calibri" w:eastAsia="Calibri" w:hAnsi="Calibri" w:cs="Calibri"/>
                <w:sz w:val="18"/>
                <w:szCs w:val="18"/>
              </w:rPr>
              <w:t>to</w:t>
            </w:r>
            <w:r>
              <w:rPr>
                <w:rFonts w:ascii="Calibri" w:eastAsia="Calibri" w:hAnsi="Calibri" w:cs="Calibri"/>
                <w:spacing w:val="-12"/>
                <w:sz w:val="18"/>
                <w:szCs w:val="18"/>
              </w:rPr>
              <w:t xml:space="preserve"> </w:t>
            </w:r>
            <w:r>
              <w:rPr>
                <w:rFonts w:ascii="Calibri" w:eastAsia="Calibri" w:hAnsi="Calibri" w:cs="Calibri"/>
                <w:spacing w:val="-1"/>
                <w:sz w:val="18"/>
                <w:szCs w:val="18"/>
              </w:rPr>
              <w:t>encourage</w:t>
            </w:r>
            <w:r>
              <w:rPr>
                <w:rFonts w:ascii="Calibri" w:eastAsia="Calibri" w:hAnsi="Calibri" w:cs="Calibri"/>
                <w:spacing w:val="-14"/>
                <w:sz w:val="18"/>
                <w:szCs w:val="18"/>
              </w:rPr>
              <w:t xml:space="preserve"> </w:t>
            </w:r>
            <w:r>
              <w:rPr>
                <w:rFonts w:ascii="Calibri" w:eastAsia="Calibri" w:hAnsi="Calibri" w:cs="Calibri"/>
                <w:sz w:val="18"/>
                <w:szCs w:val="18"/>
              </w:rPr>
              <w:t>all</w:t>
            </w:r>
            <w:r>
              <w:rPr>
                <w:rFonts w:ascii="Calibri" w:eastAsia="Calibri" w:hAnsi="Calibri" w:cs="Calibri"/>
                <w:spacing w:val="-13"/>
                <w:sz w:val="18"/>
                <w:szCs w:val="18"/>
              </w:rPr>
              <w:t xml:space="preserve"> </w:t>
            </w:r>
            <w:r>
              <w:rPr>
                <w:rFonts w:ascii="Calibri" w:eastAsia="Calibri" w:hAnsi="Calibri" w:cs="Calibri"/>
                <w:spacing w:val="-1"/>
                <w:sz w:val="18"/>
                <w:szCs w:val="18"/>
              </w:rPr>
              <w:t>treatment</w:t>
            </w:r>
            <w:r>
              <w:rPr>
                <w:rFonts w:ascii="Calibri" w:eastAsia="Calibri" w:hAnsi="Calibri" w:cs="Calibri"/>
                <w:spacing w:val="-13"/>
                <w:sz w:val="18"/>
                <w:szCs w:val="18"/>
              </w:rPr>
              <w:t xml:space="preserve"> </w:t>
            </w:r>
            <w:r>
              <w:rPr>
                <w:rFonts w:ascii="Calibri" w:eastAsia="Calibri" w:hAnsi="Calibri" w:cs="Calibri"/>
                <w:spacing w:val="-1"/>
                <w:sz w:val="18"/>
                <w:szCs w:val="18"/>
              </w:rPr>
              <w:t>customers</w:t>
            </w:r>
            <w:r>
              <w:rPr>
                <w:rFonts w:ascii="Calibri" w:eastAsia="Calibri" w:hAnsi="Calibri" w:cs="Calibri"/>
                <w:spacing w:val="-13"/>
                <w:sz w:val="18"/>
                <w:szCs w:val="18"/>
              </w:rPr>
              <w:t xml:space="preserve"> </w:t>
            </w:r>
            <w:r>
              <w:rPr>
                <w:rFonts w:ascii="Calibri" w:eastAsia="Calibri" w:hAnsi="Calibri" w:cs="Calibri"/>
                <w:sz w:val="18"/>
                <w:szCs w:val="18"/>
              </w:rPr>
              <w:t>(low-income</w:t>
            </w:r>
            <w:r>
              <w:rPr>
                <w:rFonts w:ascii="Calibri" w:eastAsia="Calibri" w:hAnsi="Calibri" w:cs="Calibri"/>
                <w:spacing w:val="49"/>
                <w:w w:val="99"/>
                <w:sz w:val="18"/>
                <w:szCs w:val="18"/>
              </w:rPr>
              <w:t xml:space="preserve"> </w:t>
            </w:r>
            <w:r>
              <w:rPr>
                <w:rFonts w:ascii="Calibri" w:eastAsia="Calibri" w:hAnsi="Calibri" w:cs="Calibri"/>
                <w:spacing w:val="-1"/>
                <w:sz w:val="18"/>
                <w:szCs w:val="18"/>
              </w:rPr>
              <w:t>and</w:t>
            </w:r>
            <w:r>
              <w:rPr>
                <w:rFonts w:ascii="Calibri" w:eastAsia="Calibri" w:hAnsi="Calibri" w:cs="Calibri"/>
                <w:spacing w:val="-9"/>
                <w:sz w:val="18"/>
                <w:szCs w:val="18"/>
              </w:rPr>
              <w:t xml:space="preserve"> </w:t>
            </w:r>
            <w:r>
              <w:rPr>
                <w:rFonts w:ascii="Calibri" w:eastAsia="Calibri" w:hAnsi="Calibri" w:cs="Calibri"/>
                <w:spacing w:val="-1"/>
                <w:sz w:val="18"/>
                <w:szCs w:val="18"/>
              </w:rPr>
              <w:t>non-low-income)</w:t>
            </w:r>
            <w:r>
              <w:rPr>
                <w:rFonts w:ascii="Calibri" w:eastAsia="Calibri" w:hAnsi="Calibri" w:cs="Calibri"/>
                <w:spacing w:val="-7"/>
                <w:sz w:val="18"/>
                <w:szCs w:val="18"/>
              </w:rPr>
              <w:t xml:space="preserve"> </w:t>
            </w:r>
            <w:r>
              <w:rPr>
                <w:rFonts w:ascii="Calibri" w:eastAsia="Calibri" w:hAnsi="Calibri" w:cs="Calibri"/>
                <w:sz w:val="18"/>
                <w:szCs w:val="18"/>
              </w:rPr>
              <w:t>to</w:t>
            </w:r>
            <w:r>
              <w:rPr>
                <w:rFonts w:ascii="Calibri" w:eastAsia="Calibri" w:hAnsi="Calibri" w:cs="Calibri"/>
                <w:spacing w:val="-7"/>
                <w:sz w:val="18"/>
                <w:szCs w:val="18"/>
              </w:rPr>
              <w:t xml:space="preserve"> </w:t>
            </w:r>
            <w:r>
              <w:rPr>
                <w:rFonts w:ascii="Calibri" w:eastAsia="Calibri" w:hAnsi="Calibri" w:cs="Calibri"/>
                <w:spacing w:val="-1"/>
                <w:sz w:val="18"/>
                <w:szCs w:val="18"/>
              </w:rPr>
              <w:t>visit</w:t>
            </w:r>
            <w:r>
              <w:rPr>
                <w:rFonts w:ascii="Calibri" w:eastAsia="Calibri" w:hAnsi="Calibri" w:cs="Calibri"/>
                <w:spacing w:val="-8"/>
                <w:sz w:val="18"/>
                <w:szCs w:val="18"/>
              </w:rPr>
              <w:t xml:space="preserve"> </w:t>
            </w:r>
            <w:r>
              <w:rPr>
                <w:rFonts w:ascii="Calibri" w:eastAsia="Calibri" w:hAnsi="Calibri" w:cs="Calibri"/>
                <w:spacing w:val="-1"/>
                <w:sz w:val="18"/>
                <w:szCs w:val="18"/>
              </w:rPr>
              <w:t>the</w:t>
            </w:r>
            <w:r>
              <w:rPr>
                <w:rFonts w:ascii="Calibri" w:eastAsia="Calibri" w:hAnsi="Calibri" w:cs="Calibri"/>
                <w:spacing w:val="-6"/>
                <w:sz w:val="18"/>
                <w:szCs w:val="18"/>
              </w:rPr>
              <w:t xml:space="preserve"> </w:t>
            </w:r>
            <w:r>
              <w:rPr>
                <w:rFonts w:ascii="Calibri" w:eastAsia="Calibri" w:hAnsi="Calibri" w:cs="Calibri"/>
                <w:spacing w:val="-1"/>
                <w:sz w:val="18"/>
                <w:szCs w:val="18"/>
              </w:rPr>
              <w:t>new</w:t>
            </w:r>
            <w:r>
              <w:rPr>
                <w:rFonts w:ascii="Calibri" w:eastAsia="Calibri" w:hAnsi="Calibri" w:cs="Calibri"/>
                <w:spacing w:val="-7"/>
                <w:sz w:val="18"/>
                <w:szCs w:val="18"/>
              </w:rPr>
              <w:t xml:space="preserve"> </w:t>
            </w:r>
            <w:r>
              <w:rPr>
                <w:rFonts w:ascii="Calibri" w:eastAsia="Calibri" w:hAnsi="Calibri" w:cs="Calibri"/>
                <w:spacing w:val="-1"/>
                <w:sz w:val="18"/>
                <w:szCs w:val="18"/>
              </w:rPr>
              <w:t>Phase</w:t>
            </w:r>
            <w:r>
              <w:rPr>
                <w:rFonts w:ascii="Calibri" w:eastAsia="Calibri" w:hAnsi="Calibri" w:cs="Calibri"/>
                <w:spacing w:val="-8"/>
                <w:sz w:val="18"/>
                <w:szCs w:val="18"/>
              </w:rPr>
              <w:t xml:space="preserve"> </w:t>
            </w:r>
            <w:r>
              <w:rPr>
                <w:rFonts w:ascii="Calibri" w:eastAsia="Calibri" w:hAnsi="Calibri" w:cs="Calibri"/>
                <w:sz w:val="18"/>
                <w:szCs w:val="18"/>
              </w:rPr>
              <w:t>III</w:t>
            </w:r>
            <w:r>
              <w:rPr>
                <w:rFonts w:ascii="Calibri" w:eastAsia="Calibri" w:hAnsi="Calibri" w:cs="Calibri"/>
                <w:spacing w:val="-7"/>
                <w:sz w:val="18"/>
                <w:szCs w:val="18"/>
              </w:rPr>
              <w:t xml:space="preserve"> </w:t>
            </w:r>
            <w:r>
              <w:rPr>
                <w:rFonts w:ascii="Calibri" w:eastAsia="Calibri" w:hAnsi="Calibri" w:cs="Calibri"/>
                <w:spacing w:val="-1"/>
                <w:sz w:val="18"/>
                <w:szCs w:val="18"/>
              </w:rPr>
              <w:t>program’s</w:t>
            </w:r>
            <w:r>
              <w:rPr>
                <w:rFonts w:ascii="Calibri" w:eastAsia="Calibri" w:hAnsi="Calibri" w:cs="Calibri"/>
                <w:spacing w:val="-9"/>
                <w:sz w:val="18"/>
                <w:szCs w:val="18"/>
              </w:rPr>
              <w:t xml:space="preserve"> </w:t>
            </w:r>
            <w:r>
              <w:rPr>
                <w:rFonts w:ascii="Calibri" w:eastAsia="Calibri" w:hAnsi="Calibri" w:cs="Calibri"/>
                <w:spacing w:val="-1"/>
                <w:sz w:val="18"/>
                <w:szCs w:val="18"/>
              </w:rPr>
              <w:t>web</w:t>
            </w:r>
            <w:r>
              <w:rPr>
                <w:rFonts w:ascii="Calibri" w:eastAsia="Calibri" w:hAnsi="Calibri" w:cs="Calibri"/>
                <w:spacing w:val="59"/>
                <w:sz w:val="18"/>
                <w:szCs w:val="18"/>
              </w:rPr>
              <w:t xml:space="preserve"> </w:t>
            </w:r>
            <w:r>
              <w:rPr>
                <w:rFonts w:ascii="Calibri" w:eastAsia="Calibri" w:hAnsi="Calibri" w:cs="Calibri"/>
                <w:spacing w:val="-1"/>
                <w:sz w:val="18"/>
                <w:szCs w:val="18"/>
              </w:rPr>
              <w:t>portal.</w:t>
            </w:r>
          </w:p>
        </w:tc>
        <w:tc>
          <w:tcPr>
            <w:tcW w:w="4681" w:type="dxa"/>
            <w:shd w:val="clear" w:color="auto" w:fill="D2EAF0"/>
          </w:tcPr>
          <w:p w:rsidR="00E646C9" w:rsidRDefault="00E646C9" w:rsidP="00C94D5A">
            <w:pPr>
              <w:pStyle w:val="TableParagraph"/>
              <w:ind w:left="99" w:right="812"/>
              <w:rPr>
                <w:rFonts w:ascii="Calibri" w:eastAsia="Calibri" w:hAnsi="Calibri" w:cs="Calibri"/>
                <w:sz w:val="18"/>
                <w:szCs w:val="18"/>
              </w:rPr>
            </w:pPr>
            <w:r>
              <w:rPr>
                <w:rFonts w:ascii="Calibri" w:eastAsia="Calibri" w:hAnsi="Calibri" w:cs="Calibri"/>
                <w:spacing w:val="-1"/>
                <w:sz w:val="18"/>
                <w:szCs w:val="18"/>
              </w:rPr>
              <w:t>Will</w:t>
            </w:r>
            <w:r>
              <w:rPr>
                <w:rFonts w:ascii="Calibri" w:eastAsia="Calibri" w:hAnsi="Calibri" w:cs="Calibri"/>
                <w:spacing w:val="-4"/>
                <w:sz w:val="18"/>
                <w:szCs w:val="18"/>
              </w:rPr>
              <w:t xml:space="preserve"> </w:t>
            </w:r>
            <w:r>
              <w:rPr>
                <w:rFonts w:ascii="Calibri" w:eastAsia="Calibri" w:hAnsi="Calibri" w:cs="Calibri"/>
                <w:spacing w:val="-1"/>
                <w:sz w:val="18"/>
                <w:szCs w:val="18"/>
              </w:rPr>
              <w:t>be</w:t>
            </w:r>
            <w:r>
              <w:rPr>
                <w:rFonts w:ascii="Calibri" w:eastAsia="Calibri" w:hAnsi="Calibri" w:cs="Calibri"/>
                <w:spacing w:val="-4"/>
                <w:sz w:val="18"/>
                <w:szCs w:val="18"/>
              </w:rPr>
              <w:t xml:space="preserve"> </w:t>
            </w:r>
            <w:r>
              <w:rPr>
                <w:rFonts w:ascii="Calibri" w:eastAsia="Calibri" w:hAnsi="Calibri" w:cs="Calibri"/>
                <w:sz w:val="18"/>
                <w:szCs w:val="18"/>
              </w:rPr>
              <w:t>implemented</w:t>
            </w:r>
            <w:r>
              <w:rPr>
                <w:rFonts w:ascii="Calibri" w:eastAsia="Calibri" w:hAnsi="Calibri" w:cs="Calibri"/>
                <w:spacing w:val="-3"/>
                <w:sz w:val="18"/>
                <w:szCs w:val="18"/>
              </w:rPr>
              <w:t xml:space="preserve"> </w:t>
            </w:r>
            <w:r>
              <w:rPr>
                <w:rFonts w:ascii="Calibri" w:eastAsia="Calibri" w:hAnsi="Calibri" w:cs="Calibri"/>
                <w:spacing w:val="-1"/>
                <w:sz w:val="18"/>
                <w:szCs w:val="18"/>
              </w:rPr>
              <w:t>shortly</w:t>
            </w:r>
            <w:r>
              <w:rPr>
                <w:rFonts w:ascii="Calibri" w:eastAsia="Calibri" w:hAnsi="Calibri" w:cs="Calibri"/>
                <w:spacing w:val="-3"/>
                <w:sz w:val="18"/>
                <w:szCs w:val="18"/>
              </w:rPr>
              <w:t xml:space="preserve"> </w:t>
            </w:r>
            <w:r>
              <w:rPr>
                <w:rFonts w:ascii="Calibri" w:eastAsia="Calibri" w:hAnsi="Calibri" w:cs="Calibri"/>
                <w:sz w:val="18"/>
                <w:szCs w:val="18"/>
              </w:rPr>
              <w:t>when</w:t>
            </w:r>
            <w:r>
              <w:rPr>
                <w:rFonts w:ascii="Calibri" w:eastAsia="Calibri" w:hAnsi="Calibri" w:cs="Calibri"/>
                <w:spacing w:val="-3"/>
                <w:sz w:val="18"/>
                <w:szCs w:val="18"/>
              </w:rPr>
              <w:t xml:space="preserve"> </w:t>
            </w:r>
            <w:r>
              <w:rPr>
                <w:rFonts w:ascii="Calibri" w:eastAsia="Calibri" w:hAnsi="Calibri" w:cs="Calibri"/>
                <w:sz w:val="18"/>
                <w:szCs w:val="18"/>
              </w:rPr>
              <w:t>PPL</w:t>
            </w:r>
            <w:r>
              <w:rPr>
                <w:rFonts w:ascii="Calibri" w:eastAsia="Calibri" w:hAnsi="Calibri" w:cs="Calibri"/>
                <w:spacing w:val="-2"/>
                <w:sz w:val="18"/>
                <w:szCs w:val="18"/>
              </w:rPr>
              <w:t xml:space="preserve"> </w:t>
            </w:r>
            <w:r>
              <w:rPr>
                <w:rFonts w:ascii="Calibri" w:eastAsia="Calibri" w:hAnsi="Calibri" w:cs="Calibri"/>
                <w:spacing w:val="-1"/>
                <w:sz w:val="18"/>
                <w:szCs w:val="18"/>
              </w:rPr>
              <w:t>markets</w:t>
            </w:r>
            <w:r>
              <w:rPr>
                <w:rFonts w:ascii="Calibri" w:eastAsia="Calibri" w:hAnsi="Calibri" w:cs="Calibri"/>
                <w:spacing w:val="-4"/>
                <w:sz w:val="18"/>
                <w:szCs w:val="18"/>
              </w:rPr>
              <w:t xml:space="preserve"> </w:t>
            </w:r>
            <w:r>
              <w:rPr>
                <w:rFonts w:ascii="Calibri" w:eastAsia="Calibri" w:hAnsi="Calibri" w:cs="Calibri"/>
                <w:spacing w:val="-1"/>
                <w:sz w:val="18"/>
                <w:szCs w:val="18"/>
              </w:rPr>
              <w:t>the</w:t>
            </w:r>
            <w:r>
              <w:rPr>
                <w:rFonts w:ascii="Calibri" w:eastAsia="Calibri" w:hAnsi="Calibri" w:cs="Calibri"/>
                <w:spacing w:val="31"/>
                <w:w w:val="99"/>
                <w:sz w:val="18"/>
                <w:szCs w:val="18"/>
              </w:rPr>
              <w:t xml:space="preserve"> </w:t>
            </w:r>
            <w:r>
              <w:rPr>
                <w:rFonts w:ascii="Calibri" w:eastAsia="Calibri" w:hAnsi="Calibri" w:cs="Calibri"/>
                <w:spacing w:val="-1"/>
                <w:sz w:val="18"/>
                <w:szCs w:val="18"/>
              </w:rPr>
              <w:t>portal/hub (“soft</w:t>
            </w:r>
            <w:r>
              <w:rPr>
                <w:rFonts w:ascii="Calibri" w:eastAsia="Calibri" w:hAnsi="Calibri" w:cs="Calibri"/>
                <w:sz w:val="18"/>
                <w:szCs w:val="18"/>
              </w:rPr>
              <w:t xml:space="preserve"> </w:t>
            </w:r>
            <w:r>
              <w:rPr>
                <w:rFonts w:ascii="Calibri" w:eastAsia="Calibri" w:hAnsi="Calibri" w:cs="Calibri"/>
                <w:spacing w:val="-1"/>
                <w:sz w:val="18"/>
                <w:szCs w:val="18"/>
              </w:rPr>
              <w:t xml:space="preserve">launch” </w:t>
            </w:r>
            <w:r>
              <w:rPr>
                <w:rFonts w:ascii="Calibri" w:eastAsia="Calibri" w:hAnsi="Calibri" w:cs="Calibri"/>
                <w:sz w:val="18"/>
                <w:szCs w:val="18"/>
              </w:rPr>
              <w:t>was</w:t>
            </w:r>
            <w:r>
              <w:rPr>
                <w:rFonts w:ascii="Calibri" w:eastAsia="Calibri" w:hAnsi="Calibri" w:cs="Calibri"/>
                <w:spacing w:val="-1"/>
                <w:sz w:val="18"/>
                <w:szCs w:val="18"/>
              </w:rPr>
              <w:t xml:space="preserve"> October</w:t>
            </w:r>
            <w:r>
              <w:rPr>
                <w:rFonts w:ascii="Calibri" w:eastAsia="Calibri" w:hAnsi="Calibri" w:cs="Calibri"/>
                <w:sz w:val="18"/>
                <w:szCs w:val="18"/>
              </w:rPr>
              <w:t xml:space="preserve"> 2016).</w:t>
            </w:r>
          </w:p>
        </w:tc>
      </w:tr>
      <w:tr w:rsidR="00E646C9" w:rsidTr="0011636D">
        <w:trPr>
          <w:trHeight w:hRule="exact" w:val="1284"/>
        </w:trPr>
        <w:tc>
          <w:tcPr>
            <w:tcW w:w="4681" w:type="dxa"/>
          </w:tcPr>
          <w:p w:rsidR="00E646C9" w:rsidRDefault="00E646C9" w:rsidP="00C94D5A">
            <w:pPr>
              <w:pStyle w:val="TableParagraph"/>
              <w:spacing w:line="276" w:lineRule="auto"/>
              <w:ind w:left="97" w:right="247"/>
              <w:rPr>
                <w:rFonts w:ascii="Calibri" w:eastAsia="Calibri" w:hAnsi="Calibri" w:cs="Calibri"/>
                <w:sz w:val="18"/>
                <w:szCs w:val="18"/>
              </w:rPr>
            </w:pPr>
            <w:r>
              <w:rPr>
                <w:rFonts w:ascii="Calibri" w:eastAsia="Calibri" w:hAnsi="Calibri" w:cs="Calibri"/>
                <w:spacing w:val="-1"/>
                <w:sz w:val="18"/>
                <w:szCs w:val="18"/>
              </w:rPr>
              <w:t>Investigate</w:t>
            </w:r>
            <w:r>
              <w:rPr>
                <w:rFonts w:ascii="Calibri" w:eastAsia="Calibri" w:hAnsi="Calibri" w:cs="Calibri"/>
                <w:spacing w:val="-5"/>
                <w:sz w:val="18"/>
                <w:szCs w:val="18"/>
              </w:rPr>
              <w:t xml:space="preserve"> </w:t>
            </w:r>
            <w:r>
              <w:rPr>
                <w:rFonts w:ascii="Calibri" w:eastAsia="Calibri" w:hAnsi="Calibri" w:cs="Calibri"/>
                <w:spacing w:val="-1"/>
                <w:sz w:val="18"/>
                <w:szCs w:val="18"/>
              </w:rPr>
              <w:t>whether</w:t>
            </w:r>
            <w:r>
              <w:rPr>
                <w:rFonts w:ascii="Calibri" w:eastAsia="Calibri" w:hAnsi="Calibri" w:cs="Calibri"/>
                <w:spacing w:val="-4"/>
                <w:sz w:val="18"/>
                <w:szCs w:val="18"/>
              </w:rPr>
              <w:t xml:space="preserve"> </w:t>
            </w:r>
            <w:r>
              <w:rPr>
                <w:rFonts w:ascii="Calibri" w:eastAsia="Calibri" w:hAnsi="Calibri" w:cs="Calibri"/>
                <w:sz w:val="18"/>
                <w:szCs w:val="18"/>
              </w:rPr>
              <w:t>the</w:t>
            </w:r>
            <w:r>
              <w:rPr>
                <w:rFonts w:ascii="Calibri" w:eastAsia="Calibri" w:hAnsi="Calibri" w:cs="Calibri"/>
                <w:spacing w:val="-4"/>
                <w:sz w:val="18"/>
                <w:szCs w:val="18"/>
              </w:rPr>
              <w:t xml:space="preserve"> </w:t>
            </w:r>
            <w:r>
              <w:rPr>
                <w:rFonts w:ascii="Calibri" w:eastAsia="Calibri" w:hAnsi="Calibri" w:cs="Calibri"/>
                <w:spacing w:val="-1"/>
                <w:sz w:val="18"/>
                <w:szCs w:val="18"/>
              </w:rPr>
              <w:t>home</w:t>
            </w:r>
            <w:r>
              <w:rPr>
                <w:rFonts w:ascii="Calibri" w:eastAsia="Calibri" w:hAnsi="Calibri" w:cs="Calibri"/>
                <w:spacing w:val="-5"/>
                <w:sz w:val="18"/>
                <w:szCs w:val="18"/>
              </w:rPr>
              <w:t xml:space="preserve"> </w:t>
            </w:r>
            <w:r>
              <w:rPr>
                <w:rFonts w:ascii="Calibri" w:eastAsia="Calibri" w:hAnsi="Calibri" w:cs="Calibri"/>
                <w:spacing w:val="-1"/>
                <w:sz w:val="18"/>
                <w:szCs w:val="18"/>
              </w:rPr>
              <w:t>energy</w:t>
            </w:r>
            <w:r>
              <w:rPr>
                <w:rFonts w:ascii="Calibri" w:eastAsia="Calibri" w:hAnsi="Calibri" w:cs="Calibri"/>
                <w:spacing w:val="-3"/>
                <w:sz w:val="18"/>
                <w:szCs w:val="18"/>
              </w:rPr>
              <w:t xml:space="preserve"> </w:t>
            </w:r>
            <w:r>
              <w:rPr>
                <w:rFonts w:ascii="Calibri" w:eastAsia="Calibri" w:hAnsi="Calibri" w:cs="Calibri"/>
                <w:spacing w:val="-1"/>
                <w:sz w:val="18"/>
                <w:szCs w:val="18"/>
              </w:rPr>
              <w:t>reports</w:t>
            </w:r>
            <w:r>
              <w:rPr>
                <w:rFonts w:ascii="Calibri" w:eastAsia="Calibri" w:hAnsi="Calibri" w:cs="Calibri"/>
                <w:spacing w:val="-5"/>
                <w:sz w:val="18"/>
                <w:szCs w:val="18"/>
              </w:rPr>
              <w:t xml:space="preserve"> </w:t>
            </w:r>
            <w:r>
              <w:rPr>
                <w:rFonts w:ascii="Calibri" w:eastAsia="Calibri" w:hAnsi="Calibri" w:cs="Calibri"/>
                <w:spacing w:val="-1"/>
                <w:sz w:val="18"/>
                <w:szCs w:val="18"/>
              </w:rPr>
              <w:t>convinces</w:t>
            </w:r>
            <w:r>
              <w:rPr>
                <w:rFonts w:ascii="Calibri" w:eastAsia="Calibri" w:hAnsi="Calibri" w:cs="Calibri"/>
                <w:spacing w:val="65"/>
                <w:sz w:val="18"/>
                <w:szCs w:val="18"/>
              </w:rPr>
              <w:t xml:space="preserve"> </w:t>
            </w:r>
            <w:r>
              <w:rPr>
                <w:rFonts w:ascii="Calibri" w:eastAsia="Calibri" w:hAnsi="Calibri" w:cs="Calibri"/>
                <w:spacing w:val="-1"/>
                <w:sz w:val="18"/>
                <w:szCs w:val="18"/>
              </w:rPr>
              <w:t>treatment</w:t>
            </w:r>
            <w:r>
              <w:rPr>
                <w:rFonts w:ascii="Calibri" w:eastAsia="Calibri" w:hAnsi="Calibri" w:cs="Calibri"/>
                <w:spacing w:val="-4"/>
                <w:sz w:val="18"/>
                <w:szCs w:val="18"/>
              </w:rPr>
              <w:t xml:space="preserve"> </w:t>
            </w:r>
            <w:r>
              <w:rPr>
                <w:rFonts w:ascii="Calibri" w:eastAsia="Calibri" w:hAnsi="Calibri" w:cs="Calibri"/>
                <w:spacing w:val="-1"/>
                <w:sz w:val="18"/>
                <w:szCs w:val="18"/>
              </w:rPr>
              <w:t>customers</w:t>
            </w:r>
            <w:r>
              <w:rPr>
                <w:rFonts w:ascii="Calibri" w:eastAsia="Calibri" w:hAnsi="Calibri" w:cs="Calibri"/>
                <w:spacing w:val="-6"/>
                <w:sz w:val="18"/>
                <w:szCs w:val="18"/>
              </w:rPr>
              <w:t xml:space="preserve"> </w:t>
            </w:r>
            <w:r>
              <w:rPr>
                <w:rFonts w:ascii="Calibri" w:eastAsia="Calibri" w:hAnsi="Calibri" w:cs="Calibri"/>
                <w:spacing w:val="-1"/>
                <w:sz w:val="18"/>
                <w:szCs w:val="18"/>
              </w:rPr>
              <w:t>(low-income</w:t>
            </w:r>
            <w:r>
              <w:rPr>
                <w:rFonts w:ascii="Calibri" w:eastAsia="Calibri" w:hAnsi="Calibri" w:cs="Calibri"/>
                <w:spacing w:val="-5"/>
                <w:sz w:val="18"/>
                <w:szCs w:val="18"/>
              </w:rPr>
              <w:t xml:space="preserve"> </w:t>
            </w:r>
            <w:r>
              <w:rPr>
                <w:rFonts w:ascii="Calibri" w:eastAsia="Calibri" w:hAnsi="Calibri" w:cs="Calibri"/>
                <w:spacing w:val="-1"/>
                <w:sz w:val="18"/>
                <w:szCs w:val="18"/>
              </w:rPr>
              <w:t>and</w:t>
            </w:r>
            <w:r>
              <w:rPr>
                <w:rFonts w:ascii="Calibri" w:eastAsia="Calibri" w:hAnsi="Calibri" w:cs="Calibri"/>
                <w:spacing w:val="-5"/>
                <w:sz w:val="18"/>
                <w:szCs w:val="18"/>
              </w:rPr>
              <w:t xml:space="preserve"> </w:t>
            </w:r>
            <w:r>
              <w:rPr>
                <w:rFonts w:ascii="Calibri" w:eastAsia="Calibri" w:hAnsi="Calibri" w:cs="Calibri"/>
                <w:spacing w:val="-1"/>
                <w:sz w:val="18"/>
                <w:szCs w:val="18"/>
              </w:rPr>
              <w:t>non-low-income)</w:t>
            </w:r>
            <w:r>
              <w:rPr>
                <w:rFonts w:ascii="Calibri" w:eastAsia="Calibri" w:hAnsi="Calibri" w:cs="Calibri"/>
                <w:spacing w:val="-3"/>
                <w:sz w:val="18"/>
                <w:szCs w:val="18"/>
              </w:rPr>
              <w:t xml:space="preserve"> </w:t>
            </w:r>
            <w:r>
              <w:rPr>
                <w:rFonts w:ascii="Calibri" w:eastAsia="Calibri" w:hAnsi="Calibri" w:cs="Calibri"/>
                <w:sz w:val="18"/>
                <w:szCs w:val="18"/>
              </w:rPr>
              <w:t>to</w:t>
            </w:r>
            <w:r>
              <w:rPr>
                <w:rFonts w:ascii="Calibri" w:eastAsia="Calibri" w:hAnsi="Calibri" w:cs="Calibri"/>
                <w:spacing w:val="75"/>
                <w:sz w:val="18"/>
                <w:szCs w:val="18"/>
              </w:rPr>
              <w:t xml:space="preserve"> </w:t>
            </w:r>
            <w:r>
              <w:rPr>
                <w:rFonts w:ascii="Calibri" w:eastAsia="Calibri" w:hAnsi="Calibri" w:cs="Calibri"/>
                <w:spacing w:val="-1"/>
                <w:sz w:val="18"/>
                <w:szCs w:val="18"/>
              </w:rPr>
              <w:t>visit</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Phase</w:t>
            </w:r>
            <w:r>
              <w:rPr>
                <w:rFonts w:ascii="Calibri" w:eastAsia="Calibri" w:hAnsi="Calibri" w:cs="Calibri"/>
                <w:spacing w:val="-2"/>
                <w:sz w:val="18"/>
                <w:szCs w:val="18"/>
              </w:rPr>
              <w:t xml:space="preserve"> </w:t>
            </w:r>
            <w:r>
              <w:rPr>
                <w:rFonts w:ascii="Calibri" w:eastAsia="Calibri" w:hAnsi="Calibri" w:cs="Calibri"/>
                <w:sz w:val="18"/>
                <w:szCs w:val="18"/>
              </w:rPr>
              <w:t>III</w:t>
            </w:r>
            <w:r>
              <w:rPr>
                <w:rFonts w:ascii="Calibri" w:eastAsia="Calibri" w:hAnsi="Calibri" w:cs="Calibri"/>
                <w:spacing w:val="-2"/>
                <w:sz w:val="18"/>
                <w:szCs w:val="18"/>
              </w:rPr>
              <w:t xml:space="preserve"> </w:t>
            </w:r>
            <w:r>
              <w:rPr>
                <w:rFonts w:ascii="Calibri" w:eastAsia="Calibri" w:hAnsi="Calibri" w:cs="Calibri"/>
                <w:spacing w:val="-1"/>
                <w:sz w:val="18"/>
                <w:szCs w:val="18"/>
              </w:rPr>
              <w:t>Customer</w:t>
            </w:r>
            <w:r>
              <w:rPr>
                <w:rFonts w:ascii="Calibri" w:eastAsia="Calibri" w:hAnsi="Calibri" w:cs="Calibri"/>
                <w:spacing w:val="-2"/>
                <w:sz w:val="18"/>
                <w:szCs w:val="18"/>
              </w:rPr>
              <w:t xml:space="preserve"> </w:t>
            </w:r>
            <w:r>
              <w:rPr>
                <w:rFonts w:ascii="Calibri" w:eastAsia="Calibri" w:hAnsi="Calibri" w:cs="Calibri"/>
                <w:spacing w:val="-1"/>
                <w:sz w:val="18"/>
                <w:szCs w:val="18"/>
              </w:rPr>
              <w:t xml:space="preserve">Engagement </w:t>
            </w:r>
            <w:r>
              <w:rPr>
                <w:rFonts w:ascii="Calibri" w:eastAsia="Calibri" w:hAnsi="Calibri" w:cs="Calibri"/>
                <w:sz w:val="18"/>
                <w:szCs w:val="18"/>
              </w:rPr>
              <w:t>Hub</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Calibri" w:eastAsia="Calibri" w:hAnsi="Calibri" w:cs="Calibri"/>
                <w:spacing w:val="-3"/>
                <w:sz w:val="18"/>
                <w:szCs w:val="18"/>
              </w:rPr>
              <w:t xml:space="preserve"> </w:t>
            </w:r>
            <w:r>
              <w:rPr>
                <w:rFonts w:ascii="Calibri" w:eastAsia="Calibri" w:hAnsi="Calibri" w:cs="Calibri"/>
                <w:spacing w:val="-1"/>
                <w:sz w:val="18"/>
                <w:szCs w:val="18"/>
              </w:rPr>
              <w:t>the</w:t>
            </w:r>
            <w:r>
              <w:rPr>
                <w:rFonts w:ascii="Calibri" w:eastAsia="Calibri" w:hAnsi="Calibri" w:cs="Calibri"/>
                <w:spacing w:val="41"/>
                <w:w w:val="99"/>
                <w:sz w:val="18"/>
                <w:szCs w:val="18"/>
              </w:rPr>
              <w:t xml:space="preserve"> </w:t>
            </w:r>
            <w:r>
              <w:rPr>
                <w:rFonts w:ascii="Calibri" w:eastAsia="Calibri" w:hAnsi="Calibri" w:cs="Calibri"/>
                <w:spacing w:val="-1"/>
                <w:sz w:val="18"/>
                <w:szCs w:val="18"/>
              </w:rPr>
              <w:t xml:space="preserve">program’s web portal </w:t>
            </w:r>
            <w:r>
              <w:rPr>
                <w:rFonts w:ascii="Calibri" w:eastAsia="Calibri" w:hAnsi="Calibri" w:cs="Calibri"/>
                <w:sz w:val="18"/>
                <w:szCs w:val="18"/>
              </w:rPr>
              <w:t>and</w:t>
            </w:r>
            <w:r>
              <w:rPr>
                <w:rFonts w:ascii="Calibri" w:eastAsia="Calibri" w:hAnsi="Calibri" w:cs="Calibri"/>
                <w:spacing w:val="-1"/>
                <w:sz w:val="18"/>
                <w:szCs w:val="18"/>
              </w:rPr>
              <w:t xml:space="preserve"> </w:t>
            </w:r>
            <w:r>
              <w:rPr>
                <w:rFonts w:ascii="Calibri" w:eastAsia="Calibri" w:hAnsi="Calibri" w:cs="Calibri"/>
                <w:sz w:val="18"/>
                <w:szCs w:val="18"/>
              </w:rPr>
              <w:t xml:space="preserve">to </w:t>
            </w:r>
            <w:r>
              <w:rPr>
                <w:rFonts w:ascii="Calibri" w:eastAsia="Calibri" w:hAnsi="Calibri" w:cs="Calibri"/>
                <w:spacing w:val="-1"/>
                <w:sz w:val="18"/>
                <w:szCs w:val="18"/>
              </w:rPr>
              <w:t>complete</w:t>
            </w:r>
            <w:r>
              <w:rPr>
                <w:rFonts w:ascii="Calibri" w:eastAsia="Calibri" w:hAnsi="Calibri" w:cs="Calibri"/>
                <w:spacing w:val="-3"/>
                <w:sz w:val="18"/>
                <w:szCs w:val="18"/>
              </w:rPr>
              <w:t xml:space="preserve"> </w:t>
            </w:r>
            <w:r>
              <w:rPr>
                <w:rFonts w:ascii="Calibri" w:eastAsia="Calibri" w:hAnsi="Calibri" w:cs="Calibri"/>
                <w:sz w:val="18"/>
                <w:szCs w:val="18"/>
              </w:rPr>
              <w:t>the</w:t>
            </w:r>
            <w:r>
              <w:rPr>
                <w:rFonts w:ascii="Calibri" w:eastAsia="Calibri" w:hAnsi="Calibri" w:cs="Calibri"/>
                <w:spacing w:val="1"/>
                <w:sz w:val="18"/>
                <w:szCs w:val="18"/>
              </w:rPr>
              <w:t xml:space="preserve"> </w:t>
            </w:r>
            <w:r>
              <w:rPr>
                <w:rFonts w:ascii="Calibri" w:eastAsia="Calibri" w:hAnsi="Calibri" w:cs="Calibri"/>
                <w:spacing w:val="-1"/>
                <w:sz w:val="18"/>
                <w:szCs w:val="18"/>
              </w:rPr>
              <w:t>online</w:t>
            </w:r>
            <w:r>
              <w:rPr>
                <w:rFonts w:ascii="Calibri" w:eastAsia="Calibri" w:hAnsi="Calibri" w:cs="Calibri"/>
                <w:spacing w:val="1"/>
                <w:sz w:val="18"/>
                <w:szCs w:val="18"/>
              </w:rPr>
              <w:t xml:space="preserve"> </w:t>
            </w:r>
            <w:r>
              <w:rPr>
                <w:rFonts w:ascii="Calibri" w:eastAsia="Calibri" w:hAnsi="Calibri" w:cs="Calibri"/>
                <w:spacing w:val="-1"/>
                <w:sz w:val="18"/>
                <w:szCs w:val="18"/>
              </w:rPr>
              <w:t>home</w:t>
            </w:r>
            <w:r>
              <w:rPr>
                <w:rFonts w:ascii="Calibri" w:eastAsia="Calibri" w:hAnsi="Calibri" w:cs="Calibri"/>
                <w:spacing w:val="53"/>
                <w:w w:val="99"/>
                <w:sz w:val="18"/>
                <w:szCs w:val="18"/>
              </w:rPr>
              <w:t xml:space="preserve"> </w:t>
            </w:r>
            <w:r>
              <w:rPr>
                <w:rFonts w:ascii="Calibri" w:eastAsia="Calibri" w:hAnsi="Calibri" w:cs="Calibri"/>
                <w:spacing w:val="-1"/>
                <w:sz w:val="18"/>
                <w:szCs w:val="18"/>
              </w:rPr>
              <w:t>energy</w:t>
            </w:r>
            <w:r>
              <w:rPr>
                <w:rFonts w:ascii="Calibri" w:eastAsia="Calibri" w:hAnsi="Calibri" w:cs="Calibri"/>
                <w:spacing w:val="-8"/>
                <w:sz w:val="18"/>
                <w:szCs w:val="18"/>
              </w:rPr>
              <w:t xml:space="preserve"> </w:t>
            </w:r>
            <w:r>
              <w:rPr>
                <w:rFonts w:ascii="Calibri" w:eastAsia="Calibri" w:hAnsi="Calibri" w:cs="Calibri"/>
                <w:spacing w:val="-1"/>
                <w:sz w:val="18"/>
                <w:szCs w:val="18"/>
              </w:rPr>
              <w:t>assessment.</w:t>
            </w:r>
          </w:p>
        </w:tc>
        <w:tc>
          <w:tcPr>
            <w:tcW w:w="4681" w:type="dxa"/>
          </w:tcPr>
          <w:p w:rsidR="00E646C9" w:rsidRDefault="00E646C9" w:rsidP="00C94D5A">
            <w:pPr>
              <w:pStyle w:val="TableParagraph"/>
              <w:ind w:left="99"/>
              <w:rPr>
                <w:rFonts w:ascii="Calibri" w:eastAsia="Calibri" w:hAnsi="Calibri" w:cs="Calibri"/>
                <w:sz w:val="18"/>
                <w:szCs w:val="18"/>
              </w:rPr>
            </w:pPr>
            <w:r>
              <w:rPr>
                <w:rFonts w:ascii="Calibri"/>
                <w:spacing w:val="-1"/>
                <w:sz w:val="18"/>
              </w:rPr>
              <w:t>Will</w:t>
            </w:r>
            <w:r>
              <w:rPr>
                <w:rFonts w:ascii="Calibri"/>
                <w:spacing w:val="-5"/>
                <w:sz w:val="18"/>
              </w:rPr>
              <w:t xml:space="preserve"> </w:t>
            </w:r>
            <w:r>
              <w:rPr>
                <w:rFonts w:ascii="Calibri"/>
                <w:spacing w:val="-1"/>
                <w:sz w:val="18"/>
              </w:rPr>
              <w:t>be</w:t>
            </w:r>
            <w:r>
              <w:rPr>
                <w:rFonts w:ascii="Calibri"/>
                <w:spacing w:val="-5"/>
                <w:sz w:val="18"/>
              </w:rPr>
              <w:t xml:space="preserve"> </w:t>
            </w:r>
            <w:r>
              <w:rPr>
                <w:rFonts w:ascii="Calibri"/>
                <w:spacing w:val="-1"/>
                <w:sz w:val="18"/>
              </w:rPr>
              <w:t>implemented.</w:t>
            </w:r>
          </w:p>
        </w:tc>
      </w:tr>
    </w:tbl>
    <w:p w:rsidR="00E646C9" w:rsidRPr="00C3558F" w:rsidRDefault="00E646C9" w:rsidP="00C3558F"/>
    <w:p w:rsidR="00E646C9" w:rsidRPr="00130312" w:rsidRDefault="00E646C9" w:rsidP="00C3558F">
      <w:pPr>
        <w:pStyle w:val="AppendixGHeading2"/>
      </w:pPr>
      <w:r w:rsidRPr="00E45771">
        <w:t>Master Metered Low-Income Multifamily Housing Program</w:t>
      </w:r>
    </w:p>
    <w:tbl>
      <w:tblPr>
        <w:tblW w:w="9362" w:type="dxa"/>
        <w:tblLayout w:type="fixed"/>
        <w:tblCellMar>
          <w:left w:w="0" w:type="dxa"/>
          <w:right w:w="0" w:type="dxa"/>
        </w:tblCellMar>
        <w:tblLook w:val="01E0" w:firstRow="1" w:lastRow="1" w:firstColumn="1" w:lastColumn="1" w:noHBand="0" w:noVBand="0"/>
      </w:tblPr>
      <w:tblGrid>
        <w:gridCol w:w="4681"/>
        <w:gridCol w:w="4681"/>
      </w:tblGrid>
      <w:tr w:rsidR="00E646C9" w:rsidTr="00C3558F">
        <w:trPr>
          <w:trHeight w:hRule="exact" w:val="679"/>
        </w:trPr>
        <w:tc>
          <w:tcPr>
            <w:tcW w:w="9362"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FB3B18">
            <w:pPr>
              <w:pStyle w:val="TableParagraph"/>
              <w:tabs>
                <w:tab w:val="left" w:pos="5251"/>
              </w:tabs>
              <w:ind w:left="5798" w:right="570" w:hanging="5722"/>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111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21"/>
              <w:rPr>
                <w:rFonts w:ascii="Calibri" w:eastAsia="Calibri" w:hAnsi="Calibri" w:cs="Calibri"/>
                <w:sz w:val="18"/>
                <w:szCs w:val="18"/>
              </w:rPr>
            </w:pPr>
            <w:r>
              <w:rPr>
                <w:rFonts w:ascii="Calibri"/>
                <w:sz w:val="18"/>
              </w:rPr>
              <w:t>In</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r>
              <w:rPr>
                <w:rFonts w:ascii="Calibri"/>
                <w:spacing w:val="-2"/>
                <w:sz w:val="18"/>
              </w:rPr>
              <w:t xml:space="preserve"> </w:t>
            </w:r>
            <w:r>
              <w:rPr>
                <w:rFonts w:ascii="Calibri"/>
                <w:spacing w:val="-1"/>
                <w:sz w:val="18"/>
              </w:rPr>
              <w:t>consider recruiting</w:t>
            </w:r>
            <w:r>
              <w:rPr>
                <w:rFonts w:ascii="Calibri"/>
                <w:spacing w:val="-2"/>
                <w:sz w:val="18"/>
              </w:rPr>
              <w:t xml:space="preserve"> </w:t>
            </w:r>
            <w:r>
              <w:rPr>
                <w:rFonts w:ascii="Calibri"/>
                <w:spacing w:val="-1"/>
                <w:sz w:val="18"/>
              </w:rPr>
              <w:t>low-income</w:t>
            </w:r>
            <w:r>
              <w:rPr>
                <w:rFonts w:ascii="Calibri"/>
                <w:spacing w:val="-3"/>
                <w:sz w:val="18"/>
              </w:rPr>
              <w:t xml:space="preserve"> </w:t>
            </w:r>
            <w:r>
              <w:rPr>
                <w:rFonts w:ascii="Calibri"/>
                <w:spacing w:val="-1"/>
                <w:sz w:val="18"/>
              </w:rPr>
              <w:t>nursing</w:t>
            </w:r>
            <w:r>
              <w:rPr>
                <w:rFonts w:ascii="Calibri"/>
                <w:spacing w:val="-4"/>
                <w:sz w:val="18"/>
              </w:rPr>
              <w:t xml:space="preserve"> </w:t>
            </w:r>
            <w:r>
              <w:rPr>
                <w:rFonts w:ascii="Calibri"/>
                <w:spacing w:val="-1"/>
                <w:sz w:val="18"/>
              </w:rPr>
              <w:t>home</w:t>
            </w:r>
            <w:r>
              <w:rPr>
                <w:rFonts w:ascii="Calibri"/>
                <w:spacing w:val="53"/>
                <w:w w:val="99"/>
                <w:sz w:val="18"/>
              </w:rPr>
              <w:t xml:space="preserve"> </w:t>
            </w:r>
            <w:r>
              <w:rPr>
                <w:rFonts w:ascii="Calibri"/>
                <w:spacing w:val="-1"/>
                <w:sz w:val="18"/>
              </w:rPr>
              <w:t>buildings</w:t>
            </w:r>
            <w:r>
              <w:rPr>
                <w:rFonts w:ascii="Calibri"/>
                <w:spacing w:val="-4"/>
                <w:sz w:val="18"/>
              </w:rPr>
              <w:t xml:space="preserve"> </w:t>
            </w:r>
            <w:r>
              <w:rPr>
                <w:rFonts w:ascii="Calibri"/>
                <w:sz w:val="18"/>
              </w:rPr>
              <w:t>to</w:t>
            </w:r>
            <w:r>
              <w:rPr>
                <w:rFonts w:ascii="Calibri"/>
                <w:spacing w:val="-2"/>
                <w:sz w:val="18"/>
              </w:rPr>
              <w:t xml:space="preserve"> </w:t>
            </w:r>
            <w:r>
              <w:rPr>
                <w:rFonts w:ascii="Calibri"/>
                <w:spacing w:val="-1"/>
                <w:sz w:val="18"/>
              </w:rPr>
              <w:t>reach</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low-income</w:t>
            </w:r>
            <w:r>
              <w:rPr>
                <w:rFonts w:ascii="Calibri"/>
                <w:spacing w:val="-3"/>
                <w:sz w:val="18"/>
              </w:rPr>
              <w:t xml:space="preserve"> </w:t>
            </w:r>
            <w:r>
              <w:rPr>
                <w:rFonts w:ascii="Calibri"/>
                <w:spacing w:val="-1"/>
                <w:sz w:val="18"/>
              </w:rPr>
              <w:t>WRAP</w:t>
            </w:r>
            <w:r>
              <w:rPr>
                <w:rFonts w:ascii="Calibri"/>
                <w:spacing w:val="-2"/>
                <w:sz w:val="18"/>
              </w:rPr>
              <w:t xml:space="preserve"> </w:t>
            </w:r>
            <w:r>
              <w:rPr>
                <w:rFonts w:ascii="Calibri"/>
                <w:spacing w:val="-1"/>
                <w:sz w:val="18"/>
              </w:rPr>
              <w:t>planned</w:t>
            </w:r>
            <w:r>
              <w:rPr>
                <w:rFonts w:ascii="Calibri"/>
                <w:spacing w:val="-3"/>
                <w:sz w:val="18"/>
              </w:rPr>
              <w:t xml:space="preserve"> </w:t>
            </w:r>
            <w:r>
              <w:rPr>
                <w:rFonts w:ascii="Calibri"/>
                <w:spacing w:val="-1"/>
                <w:sz w:val="18"/>
              </w:rPr>
              <w:t>savings</w:t>
            </w:r>
            <w:r>
              <w:rPr>
                <w:rFonts w:ascii="Calibri"/>
                <w:spacing w:val="-3"/>
                <w:sz w:val="18"/>
              </w:rPr>
              <w:t xml:space="preserve"> </w:t>
            </w:r>
            <w:r>
              <w:rPr>
                <w:rFonts w:ascii="Calibri"/>
                <w:sz w:val="18"/>
              </w:rPr>
              <w:t>for</w:t>
            </w:r>
            <w:r>
              <w:rPr>
                <w:rFonts w:ascii="Calibri"/>
                <w:spacing w:val="65"/>
                <w:w w:val="99"/>
                <w:sz w:val="18"/>
              </w:rPr>
              <w:t xml:space="preserve"> </w:t>
            </w:r>
            <w:r>
              <w:rPr>
                <w:rFonts w:ascii="Calibri"/>
                <w:spacing w:val="-1"/>
                <w:sz w:val="18"/>
              </w:rPr>
              <w:t>master</w:t>
            </w:r>
            <w:r>
              <w:rPr>
                <w:rFonts w:ascii="Calibri"/>
                <w:spacing w:val="-5"/>
                <w:sz w:val="18"/>
              </w:rPr>
              <w:t xml:space="preserve"> </w:t>
            </w:r>
            <w:r>
              <w:rPr>
                <w:rFonts w:ascii="Calibri"/>
                <w:spacing w:val="-1"/>
                <w:sz w:val="18"/>
              </w:rPr>
              <w:t>metered</w:t>
            </w:r>
            <w:r>
              <w:rPr>
                <w:rFonts w:ascii="Calibri"/>
                <w:spacing w:val="-4"/>
                <w:sz w:val="18"/>
              </w:rPr>
              <w:t xml:space="preserve"> </w:t>
            </w:r>
            <w:r>
              <w:rPr>
                <w:rFonts w:ascii="Calibri"/>
                <w:spacing w:val="-1"/>
                <w:sz w:val="18"/>
              </w:rPr>
              <w:t>multifamily</w:t>
            </w:r>
            <w:r>
              <w:rPr>
                <w:rFonts w:ascii="Calibri"/>
                <w:spacing w:val="-3"/>
                <w:sz w:val="18"/>
              </w:rPr>
              <w:t xml:space="preserve"> </w:t>
            </w:r>
            <w:r>
              <w:rPr>
                <w:rFonts w:ascii="Calibri"/>
                <w:spacing w:val="-1"/>
                <w:sz w:val="18"/>
              </w:rPr>
              <w:t>buildings.</w:t>
            </w:r>
            <w:r>
              <w:rPr>
                <w:rFonts w:ascii="Calibri"/>
                <w:spacing w:val="-5"/>
                <w:sz w:val="18"/>
              </w:rPr>
              <w:t xml:space="preserve"> </w:t>
            </w:r>
            <w:r>
              <w:rPr>
                <w:rFonts w:ascii="Calibri"/>
                <w:spacing w:val="-1"/>
                <w:sz w:val="18"/>
              </w:rPr>
              <w:t>Likewise,</w:t>
            </w:r>
            <w:r>
              <w:rPr>
                <w:rFonts w:ascii="Calibri"/>
                <w:spacing w:val="-4"/>
                <w:sz w:val="18"/>
              </w:rPr>
              <w:t xml:space="preserve"> </w:t>
            </w:r>
            <w:r>
              <w:rPr>
                <w:rFonts w:ascii="Calibri"/>
                <w:spacing w:val="-1"/>
                <w:sz w:val="18"/>
              </w:rPr>
              <w:t>consider</w:t>
            </w:r>
            <w:r>
              <w:rPr>
                <w:rFonts w:ascii="Calibri"/>
                <w:spacing w:val="61"/>
                <w:w w:val="99"/>
                <w:sz w:val="18"/>
              </w:rPr>
              <w:t xml:space="preserve"> </w:t>
            </w:r>
            <w:r>
              <w:rPr>
                <w:rFonts w:ascii="Calibri"/>
                <w:spacing w:val="-1"/>
                <w:sz w:val="18"/>
              </w:rPr>
              <w:t>recruiting</w:t>
            </w:r>
            <w:r>
              <w:rPr>
                <w:rFonts w:ascii="Calibri"/>
                <w:spacing w:val="-4"/>
                <w:sz w:val="18"/>
              </w:rPr>
              <w:t xml:space="preserve"> </w:t>
            </w:r>
            <w:r>
              <w:rPr>
                <w:rFonts w:ascii="Calibri"/>
                <w:spacing w:val="-1"/>
                <w:sz w:val="18"/>
              </w:rPr>
              <w:t>nursing</w:t>
            </w:r>
            <w:r>
              <w:rPr>
                <w:rFonts w:ascii="Calibri"/>
                <w:spacing w:val="-2"/>
                <w:sz w:val="18"/>
              </w:rPr>
              <w:t xml:space="preserve"> </w:t>
            </w:r>
            <w:r>
              <w:rPr>
                <w:rFonts w:ascii="Calibri"/>
                <w:spacing w:val="-1"/>
                <w:sz w:val="18"/>
              </w:rPr>
              <w:t>homes</w:t>
            </w:r>
            <w:r>
              <w:rPr>
                <w:rFonts w:ascii="Calibri"/>
                <w:spacing w:val="-3"/>
                <w:sz w:val="18"/>
              </w:rPr>
              <w:t xml:space="preserve"> </w:t>
            </w:r>
            <w:r>
              <w:rPr>
                <w:rFonts w:ascii="Calibri"/>
                <w:spacing w:val="-1"/>
                <w:sz w:val="18"/>
              </w:rPr>
              <w:t>that</w:t>
            </w:r>
            <w:r>
              <w:rPr>
                <w:rFonts w:ascii="Calibri"/>
                <w:spacing w:val="-3"/>
                <w:sz w:val="18"/>
              </w:rPr>
              <w:t xml:space="preserve"> </w:t>
            </w:r>
            <w:r>
              <w:rPr>
                <w:rFonts w:ascii="Calibri"/>
                <w:sz w:val="18"/>
              </w:rPr>
              <w:t>are</w:t>
            </w:r>
            <w:r>
              <w:rPr>
                <w:rFonts w:ascii="Calibri"/>
                <w:spacing w:val="-1"/>
                <w:sz w:val="18"/>
              </w:rPr>
              <w:t xml:space="preserve"> not</w:t>
            </w:r>
            <w:r>
              <w:rPr>
                <w:rFonts w:ascii="Calibri"/>
                <w:spacing w:val="-3"/>
                <w:sz w:val="18"/>
              </w:rPr>
              <w:t xml:space="preserve"> </w:t>
            </w:r>
            <w:r>
              <w:rPr>
                <w:rFonts w:ascii="Calibri"/>
                <w:spacing w:val="-1"/>
                <w:sz w:val="18"/>
              </w:rPr>
              <w:t>income-eligible</w:t>
            </w:r>
            <w:r>
              <w:rPr>
                <w:rFonts w:ascii="Calibri"/>
                <w:spacing w:val="-3"/>
                <w:sz w:val="18"/>
              </w:rPr>
              <w:t xml:space="preserve"> </w:t>
            </w:r>
            <w:r>
              <w:rPr>
                <w:rFonts w:ascii="Calibri"/>
                <w:sz w:val="18"/>
              </w:rPr>
              <w:t>into</w:t>
            </w:r>
            <w:r>
              <w:rPr>
                <w:rFonts w:ascii="Calibri"/>
                <w:spacing w:val="57"/>
                <w:sz w:val="18"/>
              </w:rPr>
              <w:t xml:space="preserve"> </w:t>
            </w:r>
            <w:r>
              <w:rPr>
                <w:rFonts w:ascii="Calibri"/>
                <w:spacing w:val="-1"/>
                <w:sz w:val="18"/>
              </w:rPr>
              <w:t>the</w:t>
            </w:r>
            <w:r>
              <w:rPr>
                <w:rFonts w:ascii="Calibri"/>
                <w:spacing w:val="-5"/>
                <w:sz w:val="18"/>
              </w:rPr>
              <w:t xml:space="preserve"> </w:t>
            </w:r>
            <w:r>
              <w:rPr>
                <w:rFonts w:ascii="Calibri"/>
                <w:sz w:val="18"/>
              </w:rPr>
              <w:t>Phase</w:t>
            </w:r>
            <w:r>
              <w:rPr>
                <w:rFonts w:ascii="Calibri"/>
                <w:spacing w:val="-5"/>
                <w:sz w:val="18"/>
              </w:rPr>
              <w:t xml:space="preserve"> </w:t>
            </w:r>
            <w:r>
              <w:rPr>
                <w:rFonts w:ascii="Calibri"/>
                <w:sz w:val="18"/>
              </w:rPr>
              <w:t>III</w:t>
            </w:r>
            <w:r>
              <w:rPr>
                <w:rFonts w:ascii="Calibri"/>
                <w:spacing w:val="-3"/>
                <w:sz w:val="18"/>
              </w:rPr>
              <w:t xml:space="preserve"> </w:t>
            </w:r>
            <w:r>
              <w:rPr>
                <w:rFonts w:ascii="Calibri"/>
                <w:spacing w:val="-1"/>
                <w:sz w:val="18"/>
              </w:rPr>
              <w:t>Prescriptive</w:t>
            </w:r>
            <w:r>
              <w:rPr>
                <w:rFonts w:ascii="Calibri"/>
                <w:spacing w:val="-5"/>
                <w:sz w:val="18"/>
              </w:rPr>
              <w:t xml:space="preserve"> </w:t>
            </w:r>
            <w:r>
              <w:rPr>
                <w:rFonts w:ascii="Calibri"/>
                <w:sz w:val="18"/>
              </w:rPr>
              <w:t>Equipment</w:t>
            </w:r>
            <w:r>
              <w:rPr>
                <w:rFonts w:ascii="Calibri"/>
                <w:spacing w:val="-4"/>
                <w:sz w:val="18"/>
              </w:rPr>
              <w:t xml:space="preserve"> </w:t>
            </w:r>
            <w:r>
              <w:rPr>
                <w:rFonts w:ascii="Calibri"/>
                <w:spacing w:val="-1"/>
                <w:sz w:val="18"/>
              </w:rPr>
              <w:t>program.</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380"/>
              <w:rPr>
                <w:rFonts w:ascii="Calibri" w:eastAsia="Calibri" w:hAnsi="Calibri" w:cs="Calibri"/>
                <w:sz w:val="18"/>
                <w:szCs w:val="18"/>
              </w:rPr>
            </w:pPr>
            <w:r>
              <w:rPr>
                <w:rFonts w:ascii="Calibri"/>
                <w:spacing w:val="-1"/>
                <w:sz w:val="18"/>
              </w:rPr>
              <w:t>Implemented.</w:t>
            </w:r>
            <w:r>
              <w:rPr>
                <w:rFonts w:ascii="Calibri"/>
                <w:spacing w:val="-5"/>
                <w:sz w:val="18"/>
              </w:rPr>
              <w:t xml:space="preserve"> </w:t>
            </w:r>
            <w:r>
              <w:rPr>
                <w:rFonts w:ascii="Calibri"/>
                <w:sz w:val="18"/>
              </w:rPr>
              <w:t>Low-income</w:t>
            </w:r>
            <w:r>
              <w:rPr>
                <w:rFonts w:ascii="Calibri"/>
                <w:spacing w:val="-4"/>
                <w:sz w:val="18"/>
              </w:rPr>
              <w:t xml:space="preserve"> </w:t>
            </w:r>
            <w:r>
              <w:rPr>
                <w:rFonts w:ascii="Calibri"/>
                <w:spacing w:val="-1"/>
                <w:sz w:val="18"/>
              </w:rPr>
              <w:t>nursing</w:t>
            </w:r>
            <w:r>
              <w:rPr>
                <w:rFonts w:ascii="Calibri"/>
                <w:spacing w:val="-4"/>
                <w:sz w:val="18"/>
              </w:rPr>
              <w:t xml:space="preserve"> </w:t>
            </w:r>
            <w:r>
              <w:rPr>
                <w:rFonts w:ascii="Calibri"/>
                <w:spacing w:val="-1"/>
                <w:sz w:val="18"/>
              </w:rPr>
              <w:t>homes</w:t>
            </w:r>
            <w:r>
              <w:rPr>
                <w:rFonts w:ascii="Calibri"/>
                <w:spacing w:val="-4"/>
                <w:sz w:val="18"/>
              </w:rPr>
              <w:t xml:space="preserve"> </w:t>
            </w:r>
            <w:r>
              <w:rPr>
                <w:rFonts w:ascii="Calibri"/>
                <w:sz w:val="18"/>
              </w:rPr>
              <w:t>are</w:t>
            </w:r>
            <w:r>
              <w:rPr>
                <w:rFonts w:ascii="Calibri"/>
                <w:spacing w:val="-5"/>
                <w:sz w:val="18"/>
              </w:rPr>
              <w:t xml:space="preserve"> </w:t>
            </w:r>
            <w:r>
              <w:rPr>
                <w:rFonts w:ascii="Calibri"/>
                <w:spacing w:val="-1"/>
                <w:sz w:val="18"/>
              </w:rPr>
              <w:t>eligible</w:t>
            </w:r>
            <w:r>
              <w:rPr>
                <w:rFonts w:ascii="Calibri"/>
                <w:spacing w:val="-4"/>
                <w:sz w:val="18"/>
              </w:rPr>
              <w:t xml:space="preserve"> </w:t>
            </w:r>
            <w:r>
              <w:rPr>
                <w:rFonts w:ascii="Calibri"/>
                <w:sz w:val="18"/>
              </w:rPr>
              <w:t>for</w:t>
            </w:r>
            <w:r>
              <w:rPr>
                <w:rFonts w:ascii="Calibri"/>
                <w:spacing w:val="43"/>
                <w:w w:val="99"/>
                <w:sz w:val="18"/>
              </w:rPr>
              <w:t xml:space="preserve"> </w:t>
            </w:r>
            <w:r>
              <w:rPr>
                <w:rFonts w:ascii="Calibri"/>
                <w:spacing w:val="-1"/>
                <w:sz w:val="18"/>
              </w:rPr>
              <w:t>WRAP</w:t>
            </w:r>
            <w:r>
              <w:rPr>
                <w:rFonts w:ascii="Calibri"/>
                <w:spacing w:val="-3"/>
                <w:sz w:val="18"/>
              </w:rPr>
              <w:t xml:space="preserve"> </w:t>
            </w:r>
            <w:r>
              <w:rPr>
                <w:rFonts w:ascii="Calibri"/>
                <w:spacing w:val="-1"/>
                <w:sz w:val="18"/>
              </w:rPr>
              <w:t>(there</w:t>
            </w:r>
            <w:r>
              <w:rPr>
                <w:rFonts w:ascii="Calibri"/>
                <w:spacing w:val="-4"/>
                <w:sz w:val="18"/>
              </w:rPr>
              <w:t xml:space="preserve"> </w:t>
            </w:r>
            <w:r>
              <w:rPr>
                <w:rFonts w:ascii="Calibri"/>
                <w:sz w:val="18"/>
              </w:rPr>
              <w:t>is</w:t>
            </w:r>
            <w:r>
              <w:rPr>
                <w:rFonts w:ascii="Calibri"/>
                <w:spacing w:val="-4"/>
                <w:sz w:val="18"/>
              </w:rPr>
              <w:t xml:space="preserve"> </w:t>
            </w:r>
            <w:r>
              <w:rPr>
                <w:rFonts w:ascii="Calibri"/>
                <w:spacing w:val="-1"/>
                <w:sz w:val="18"/>
              </w:rPr>
              <w:t>not</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separate</w:t>
            </w:r>
            <w:r>
              <w:rPr>
                <w:rFonts w:ascii="Calibri"/>
                <w:spacing w:val="-3"/>
                <w:sz w:val="18"/>
              </w:rPr>
              <w:t xml:space="preserve"> </w:t>
            </w:r>
            <w:r>
              <w:rPr>
                <w:rFonts w:ascii="Calibri"/>
                <w:spacing w:val="1"/>
                <w:sz w:val="18"/>
              </w:rPr>
              <w:t>MF</w:t>
            </w:r>
            <w:r>
              <w:rPr>
                <w:rFonts w:ascii="Calibri"/>
                <w:spacing w:val="-4"/>
                <w:sz w:val="18"/>
              </w:rPr>
              <w:t xml:space="preserve"> </w:t>
            </w:r>
            <w:r>
              <w:rPr>
                <w:rFonts w:ascii="Calibri"/>
                <w:spacing w:val="-1"/>
                <w:sz w:val="18"/>
              </w:rPr>
              <w:t>program</w:t>
            </w:r>
            <w:r>
              <w:rPr>
                <w:rFonts w:ascii="Calibri"/>
                <w:spacing w:val="-3"/>
                <w:sz w:val="18"/>
              </w:rPr>
              <w:t xml:space="preserve"> </w:t>
            </w:r>
            <w:r>
              <w:rPr>
                <w:rFonts w:ascii="Calibri"/>
                <w:spacing w:val="-1"/>
                <w:sz w:val="18"/>
              </w:rPr>
              <w:t>in</w:t>
            </w:r>
            <w:r>
              <w:rPr>
                <w:rFonts w:ascii="Calibri"/>
                <w:spacing w:val="-3"/>
                <w:sz w:val="18"/>
              </w:rPr>
              <w:t xml:space="preserve"> </w:t>
            </w:r>
            <w:r>
              <w:rPr>
                <w:rFonts w:ascii="Calibri"/>
                <w:sz w:val="18"/>
              </w:rPr>
              <w:t>Phase</w:t>
            </w:r>
            <w:r>
              <w:rPr>
                <w:rFonts w:ascii="Calibri"/>
                <w:spacing w:val="-1"/>
                <w:sz w:val="18"/>
              </w:rPr>
              <w:t xml:space="preserve"> </w:t>
            </w:r>
            <w:r>
              <w:rPr>
                <w:rFonts w:ascii="Calibri"/>
                <w:sz w:val="18"/>
              </w:rPr>
              <w:t>III).</w:t>
            </w:r>
          </w:p>
        </w:tc>
      </w:tr>
      <w:tr w:rsidR="00E646C9" w:rsidTr="00C3558F">
        <w:trPr>
          <w:trHeight w:hRule="exact" w:val="1114"/>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197"/>
              <w:rPr>
                <w:rFonts w:ascii="Calibri" w:eastAsia="Calibri" w:hAnsi="Calibri" w:cs="Calibri"/>
                <w:sz w:val="18"/>
                <w:szCs w:val="18"/>
              </w:rPr>
            </w:pPr>
            <w:r>
              <w:rPr>
                <w:rFonts w:ascii="Calibri"/>
                <w:sz w:val="18"/>
              </w:rPr>
              <w:t>In</w:t>
            </w:r>
            <w:r>
              <w:rPr>
                <w:rFonts w:ascii="Calibri"/>
                <w:spacing w:val="-3"/>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1"/>
                <w:sz w:val="18"/>
              </w:rPr>
              <w:t xml:space="preserve"> explore</w:t>
            </w:r>
            <w:r>
              <w:rPr>
                <w:rFonts w:ascii="Calibri"/>
                <w:spacing w:val="-4"/>
                <w:sz w:val="18"/>
              </w:rPr>
              <w:t xml:space="preserve"> </w:t>
            </w:r>
            <w:r>
              <w:rPr>
                <w:rFonts w:ascii="Calibri"/>
                <w:spacing w:val="-1"/>
                <w:sz w:val="18"/>
              </w:rPr>
              <w:t>options</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increase</w:t>
            </w:r>
            <w:r>
              <w:rPr>
                <w:rFonts w:ascii="Calibri"/>
                <w:spacing w:val="-3"/>
                <w:sz w:val="18"/>
              </w:rPr>
              <w:t xml:space="preserve"> </w:t>
            </w:r>
            <w:r>
              <w:rPr>
                <w:rFonts w:ascii="Calibri"/>
                <w:spacing w:val="-1"/>
                <w:sz w:val="18"/>
              </w:rPr>
              <w:t>incentives</w:t>
            </w:r>
            <w:r>
              <w:rPr>
                <w:rFonts w:ascii="Calibri"/>
                <w:spacing w:val="-2"/>
                <w:sz w:val="18"/>
              </w:rPr>
              <w:t xml:space="preserve"> </w:t>
            </w:r>
            <w:r>
              <w:rPr>
                <w:rFonts w:ascii="Calibri"/>
                <w:sz w:val="18"/>
              </w:rPr>
              <w:t>for</w:t>
            </w:r>
            <w:r>
              <w:rPr>
                <w:rFonts w:ascii="Calibri"/>
                <w:spacing w:val="-2"/>
                <w:sz w:val="18"/>
              </w:rPr>
              <w:t xml:space="preserve"> </w:t>
            </w:r>
            <w:r>
              <w:rPr>
                <w:rFonts w:ascii="Calibri"/>
                <w:sz w:val="18"/>
              </w:rPr>
              <w:t>HVAC</w:t>
            </w:r>
            <w:r>
              <w:rPr>
                <w:rFonts w:ascii="Calibri"/>
                <w:spacing w:val="57"/>
                <w:sz w:val="18"/>
              </w:rPr>
              <w:t xml:space="preserve"> </w:t>
            </w:r>
            <w:r>
              <w:rPr>
                <w:rFonts w:ascii="Calibri"/>
                <w:spacing w:val="-1"/>
                <w:sz w:val="18"/>
              </w:rPr>
              <w:t>equipment</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comprehensive</w:t>
            </w:r>
            <w:r>
              <w:rPr>
                <w:rFonts w:ascii="Calibri"/>
                <w:spacing w:val="-3"/>
                <w:sz w:val="18"/>
              </w:rPr>
              <w:t xml:space="preserve"> </w:t>
            </w:r>
            <w:r>
              <w:rPr>
                <w:rFonts w:ascii="Calibri"/>
                <w:spacing w:val="-1"/>
                <w:sz w:val="18"/>
              </w:rPr>
              <w:t>building</w:t>
            </w:r>
            <w:r>
              <w:rPr>
                <w:rFonts w:ascii="Calibri"/>
                <w:spacing w:val="-3"/>
                <w:sz w:val="18"/>
              </w:rPr>
              <w:t xml:space="preserve"> </w:t>
            </w:r>
            <w:r>
              <w:rPr>
                <w:rFonts w:ascii="Calibri"/>
                <w:spacing w:val="-1"/>
                <w:sz w:val="18"/>
              </w:rPr>
              <w:t>retrofits</w:t>
            </w:r>
            <w:r>
              <w:rPr>
                <w:rFonts w:ascii="Calibri"/>
                <w:spacing w:val="-3"/>
                <w:sz w:val="18"/>
              </w:rPr>
              <w:t xml:space="preserve"> </w:t>
            </w:r>
            <w:r>
              <w:rPr>
                <w:rFonts w:ascii="Calibri"/>
                <w:sz w:val="18"/>
              </w:rPr>
              <w:t>in</w:t>
            </w:r>
            <w:r>
              <w:rPr>
                <w:rFonts w:ascii="Calibri"/>
                <w:spacing w:val="-2"/>
                <w:sz w:val="18"/>
              </w:rPr>
              <w:t xml:space="preserve"> </w:t>
            </w:r>
            <w:r>
              <w:rPr>
                <w:rFonts w:ascii="Calibri"/>
                <w:spacing w:val="-1"/>
                <w:sz w:val="18"/>
              </w:rPr>
              <w:t>the</w:t>
            </w:r>
            <w:r>
              <w:rPr>
                <w:rFonts w:ascii="Calibri"/>
                <w:spacing w:val="61"/>
                <w:w w:val="99"/>
                <w:sz w:val="18"/>
              </w:rPr>
              <w:t xml:space="preserve"> </w:t>
            </w:r>
            <w:r>
              <w:rPr>
                <w:rFonts w:ascii="Calibri"/>
                <w:spacing w:val="-1"/>
                <w:sz w:val="18"/>
              </w:rPr>
              <w:t>master</w:t>
            </w:r>
            <w:r>
              <w:rPr>
                <w:rFonts w:ascii="Calibri"/>
                <w:spacing w:val="-4"/>
                <w:sz w:val="18"/>
              </w:rPr>
              <w:t xml:space="preserve"> </w:t>
            </w:r>
            <w:r>
              <w:rPr>
                <w:rFonts w:ascii="Calibri"/>
                <w:spacing w:val="-1"/>
                <w:sz w:val="18"/>
              </w:rPr>
              <w:t>metered</w:t>
            </w:r>
            <w:r>
              <w:rPr>
                <w:rFonts w:ascii="Calibri"/>
                <w:spacing w:val="-5"/>
                <w:sz w:val="18"/>
              </w:rPr>
              <w:t xml:space="preserve"> </w:t>
            </w:r>
            <w:r>
              <w:rPr>
                <w:rFonts w:ascii="Calibri"/>
                <w:spacing w:val="-1"/>
                <w:sz w:val="18"/>
              </w:rPr>
              <w:t>multifamily</w:t>
            </w:r>
            <w:r>
              <w:rPr>
                <w:rFonts w:ascii="Calibri"/>
                <w:spacing w:val="-4"/>
                <w:sz w:val="18"/>
              </w:rPr>
              <w:t xml:space="preserve"> </w:t>
            </w:r>
            <w:r>
              <w:rPr>
                <w:rFonts w:ascii="Calibri"/>
                <w:sz w:val="18"/>
              </w:rPr>
              <w:t>market</w:t>
            </w:r>
            <w:r>
              <w:rPr>
                <w:rFonts w:ascii="Calibri"/>
                <w:spacing w:val="-4"/>
                <w:sz w:val="18"/>
              </w:rPr>
              <w:t xml:space="preserve"> </w:t>
            </w:r>
            <w:r>
              <w:rPr>
                <w:rFonts w:ascii="Calibri"/>
                <w:spacing w:val="-1"/>
                <w:sz w:val="18"/>
              </w:rPr>
              <w:t>segment,</w:t>
            </w:r>
            <w:r>
              <w:rPr>
                <w:rFonts w:ascii="Calibri"/>
                <w:spacing w:val="-4"/>
                <w:sz w:val="18"/>
              </w:rPr>
              <w:t xml:space="preserve"> </w:t>
            </w:r>
            <w:r>
              <w:rPr>
                <w:rFonts w:ascii="Calibri"/>
                <w:sz w:val="18"/>
              </w:rPr>
              <w:t>to</w:t>
            </w:r>
            <w:r>
              <w:rPr>
                <w:rFonts w:ascii="Calibri"/>
                <w:spacing w:val="-3"/>
                <w:sz w:val="18"/>
              </w:rPr>
              <w:t xml:space="preserve"> </w:t>
            </w:r>
            <w:r>
              <w:rPr>
                <w:rFonts w:ascii="Calibri"/>
                <w:spacing w:val="-1"/>
                <w:sz w:val="18"/>
              </w:rPr>
              <w:t>reduce</w:t>
            </w:r>
            <w:r>
              <w:rPr>
                <w:rFonts w:ascii="Calibri"/>
                <w:spacing w:val="-5"/>
                <w:sz w:val="18"/>
              </w:rPr>
              <w:t xml:space="preserve"> </w:t>
            </w:r>
            <w:r>
              <w:rPr>
                <w:rFonts w:ascii="Calibri"/>
                <w:sz w:val="18"/>
              </w:rPr>
              <w:t>the</w:t>
            </w:r>
            <w:r>
              <w:rPr>
                <w:rFonts w:ascii="Calibri"/>
                <w:spacing w:val="55"/>
                <w:w w:val="99"/>
                <w:sz w:val="18"/>
              </w:rPr>
              <w:t xml:space="preserve"> </w:t>
            </w:r>
            <w:r>
              <w:rPr>
                <w:rFonts w:ascii="Calibri"/>
                <w:spacing w:val="-1"/>
                <w:sz w:val="18"/>
              </w:rPr>
              <w:t>gap</w:t>
            </w:r>
            <w:r>
              <w:rPr>
                <w:rFonts w:ascii="Calibri"/>
                <w:spacing w:val="-3"/>
                <w:sz w:val="18"/>
              </w:rPr>
              <w:t xml:space="preserve"> </w:t>
            </w:r>
            <w:r>
              <w:rPr>
                <w:rFonts w:ascii="Calibri"/>
                <w:spacing w:val="-1"/>
                <w:sz w:val="18"/>
              </w:rPr>
              <w:t>between</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incentives</w:t>
            </w:r>
            <w:r>
              <w:rPr>
                <w:rFonts w:ascii="Calibri"/>
                <w:spacing w:val="-2"/>
                <w:sz w:val="18"/>
              </w:rPr>
              <w:t xml:space="preserve"> </w:t>
            </w:r>
            <w:r>
              <w:rPr>
                <w:rFonts w:ascii="Calibri"/>
                <w:sz w:val="18"/>
              </w:rPr>
              <w:t>and</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actual</w:t>
            </w:r>
            <w:r>
              <w:rPr>
                <w:rFonts w:ascii="Calibri"/>
                <w:spacing w:val="-2"/>
                <w:sz w:val="18"/>
              </w:rPr>
              <w:t xml:space="preserve"> </w:t>
            </w:r>
            <w:r>
              <w:rPr>
                <w:rFonts w:ascii="Calibri"/>
                <w:sz w:val="18"/>
              </w:rPr>
              <w:t>cost</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these</w:t>
            </w:r>
            <w:r>
              <w:rPr>
                <w:rFonts w:ascii="Calibri"/>
                <w:spacing w:val="53"/>
                <w:w w:val="99"/>
                <w:sz w:val="18"/>
              </w:rPr>
              <w:t xml:space="preserve"> </w:t>
            </w:r>
            <w:r>
              <w:rPr>
                <w:rFonts w:ascii="Calibri"/>
                <w:spacing w:val="-1"/>
                <w:sz w:val="18"/>
              </w:rPr>
              <w:t>retrofits</w:t>
            </w:r>
            <w:r>
              <w:rPr>
                <w:rFonts w:ascii="Calibri"/>
                <w:spacing w:val="-5"/>
                <w:sz w:val="18"/>
              </w:rPr>
              <w:t xml:space="preserve"> </w:t>
            </w:r>
            <w:r>
              <w:rPr>
                <w:rFonts w:ascii="Calibri"/>
                <w:sz w:val="18"/>
              </w:rPr>
              <w:t>to</w:t>
            </w:r>
            <w:r>
              <w:rPr>
                <w:rFonts w:ascii="Calibri"/>
                <w:spacing w:val="-4"/>
                <w:sz w:val="18"/>
              </w:rPr>
              <w:t xml:space="preserve"> </w:t>
            </w:r>
            <w:r>
              <w:rPr>
                <w:rFonts w:ascii="Calibri"/>
                <w:spacing w:val="-1"/>
                <w:sz w:val="18"/>
              </w:rPr>
              <w:t>program</w:t>
            </w:r>
            <w:r>
              <w:rPr>
                <w:rFonts w:ascii="Calibri"/>
                <w:spacing w:val="-5"/>
                <w:sz w:val="18"/>
              </w:rPr>
              <w:t xml:space="preserve"> </w:t>
            </w:r>
            <w:r>
              <w:rPr>
                <w:rFonts w:ascii="Calibri"/>
                <w:spacing w:val="-1"/>
                <w:sz w:val="18"/>
              </w:rPr>
              <w:t>participants.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148"/>
              <w:rPr>
                <w:rFonts w:ascii="Calibri" w:eastAsia="Calibri" w:hAnsi="Calibri" w:cs="Calibri"/>
                <w:sz w:val="18"/>
                <w:szCs w:val="18"/>
              </w:rPr>
            </w:pPr>
            <w:r>
              <w:rPr>
                <w:rFonts w:ascii="Calibri"/>
                <w:spacing w:val="-1"/>
                <w:sz w:val="18"/>
              </w:rPr>
              <w:t>Rejected.</w:t>
            </w:r>
            <w:r>
              <w:rPr>
                <w:rFonts w:ascii="Calibri"/>
                <w:spacing w:val="-4"/>
                <w:sz w:val="18"/>
              </w:rPr>
              <w:t xml:space="preserve"> </w:t>
            </w:r>
            <w:r>
              <w:rPr>
                <w:rFonts w:ascii="Calibri"/>
                <w:sz w:val="18"/>
              </w:rPr>
              <w:t>As</w:t>
            </w:r>
            <w:r>
              <w:rPr>
                <w:rFonts w:ascii="Calibri"/>
                <w:spacing w:val="-3"/>
                <w:sz w:val="18"/>
              </w:rPr>
              <w:t xml:space="preserve"> </w:t>
            </w:r>
            <w:r>
              <w:rPr>
                <w:rFonts w:ascii="Calibri"/>
                <w:spacing w:val="-1"/>
                <w:sz w:val="18"/>
              </w:rPr>
              <w:t>part</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3"/>
                <w:sz w:val="18"/>
              </w:rPr>
              <w:t xml:space="preserve"> </w:t>
            </w:r>
            <w:r>
              <w:rPr>
                <w:rFonts w:ascii="Calibri"/>
                <w:sz w:val="18"/>
              </w:rPr>
              <w:t>Phase</w:t>
            </w:r>
            <w:r>
              <w:rPr>
                <w:rFonts w:ascii="Calibri"/>
                <w:spacing w:val="-3"/>
                <w:sz w:val="18"/>
              </w:rPr>
              <w:t xml:space="preserve"> </w:t>
            </w:r>
            <w:r>
              <w:rPr>
                <w:rFonts w:ascii="Calibri"/>
                <w:sz w:val="18"/>
              </w:rPr>
              <w:t>III</w:t>
            </w:r>
            <w:r>
              <w:rPr>
                <w:rFonts w:ascii="Calibri"/>
                <w:spacing w:val="2"/>
                <w:sz w:val="18"/>
              </w:rPr>
              <w:t xml:space="preserve"> </w:t>
            </w:r>
            <w:r>
              <w:rPr>
                <w:rFonts w:ascii="Calibri"/>
                <w:spacing w:val="-1"/>
                <w:sz w:val="18"/>
              </w:rPr>
              <w:t>EE&amp;C</w:t>
            </w:r>
            <w:r>
              <w:rPr>
                <w:rFonts w:ascii="Calibri"/>
                <w:spacing w:val="-2"/>
                <w:sz w:val="18"/>
              </w:rPr>
              <w:t xml:space="preserve"> </w:t>
            </w:r>
            <w:r>
              <w:rPr>
                <w:rFonts w:ascii="Calibri"/>
                <w:spacing w:val="-1"/>
                <w:sz w:val="18"/>
              </w:rPr>
              <w:t>Plan,</w:t>
            </w:r>
            <w:r>
              <w:rPr>
                <w:rFonts w:ascii="Calibri"/>
                <w:spacing w:val="-2"/>
                <w:sz w:val="18"/>
              </w:rPr>
              <w:t xml:space="preserve"> </w:t>
            </w:r>
            <w:r>
              <w:rPr>
                <w:rFonts w:ascii="Calibri"/>
                <w:spacing w:val="-1"/>
                <w:sz w:val="18"/>
              </w:rPr>
              <w:t>PPL determined</w:t>
            </w:r>
            <w:r>
              <w:rPr>
                <w:rFonts w:ascii="Calibri"/>
                <w:spacing w:val="49"/>
                <w:sz w:val="18"/>
              </w:rPr>
              <w:t xml:space="preserve"> </w:t>
            </w:r>
            <w:r>
              <w:rPr>
                <w:rFonts w:ascii="Calibri"/>
                <w:spacing w:val="-1"/>
                <w:sz w:val="18"/>
              </w:rPr>
              <w:t>that</w:t>
            </w:r>
            <w:r>
              <w:rPr>
                <w:rFonts w:ascii="Calibri"/>
                <w:spacing w:val="-2"/>
                <w:sz w:val="18"/>
              </w:rPr>
              <w:t xml:space="preserve"> </w:t>
            </w:r>
            <w:r>
              <w:rPr>
                <w:rFonts w:ascii="Calibri"/>
                <w:spacing w:val="-1"/>
                <w:sz w:val="18"/>
              </w:rPr>
              <w:t>it</w:t>
            </w:r>
            <w:r>
              <w:rPr>
                <w:rFonts w:ascii="Calibri"/>
                <w:spacing w:val="-2"/>
                <w:sz w:val="18"/>
              </w:rPr>
              <w:t xml:space="preserve"> </w:t>
            </w:r>
            <w:r>
              <w:rPr>
                <w:rFonts w:ascii="Calibri"/>
                <w:spacing w:val="-1"/>
                <w:sz w:val="18"/>
              </w:rPr>
              <w:t>could</w:t>
            </w:r>
            <w:r>
              <w:rPr>
                <w:rFonts w:ascii="Calibri"/>
                <w:spacing w:val="-3"/>
                <w:sz w:val="18"/>
              </w:rPr>
              <w:t xml:space="preserve"> </w:t>
            </w:r>
            <w:r>
              <w:rPr>
                <w:rFonts w:ascii="Calibri"/>
                <w:spacing w:val="-1"/>
                <w:sz w:val="18"/>
              </w:rPr>
              <w:t>not offer</w:t>
            </w:r>
            <w:r>
              <w:rPr>
                <w:rFonts w:ascii="Calibri"/>
                <w:spacing w:val="-2"/>
                <w:sz w:val="18"/>
              </w:rPr>
              <w:t xml:space="preserve"> </w:t>
            </w:r>
            <w:r>
              <w:rPr>
                <w:rFonts w:ascii="Calibri"/>
                <w:spacing w:val="-1"/>
                <w:sz w:val="18"/>
              </w:rPr>
              <w:t>higher</w:t>
            </w:r>
            <w:r>
              <w:rPr>
                <w:rFonts w:ascii="Calibri"/>
                <w:spacing w:val="-2"/>
                <w:sz w:val="18"/>
              </w:rPr>
              <w:t xml:space="preserve"> </w:t>
            </w:r>
            <w:r>
              <w:rPr>
                <w:rFonts w:ascii="Calibri"/>
                <w:spacing w:val="-1"/>
                <w:sz w:val="18"/>
              </w:rPr>
              <w:t>incentives</w:t>
            </w:r>
            <w:r>
              <w:rPr>
                <w:rFonts w:ascii="Calibri"/>
                <w:spacing w:val="-2"/>
                <w:sz w:val="18"/>
              </w:rPr>
              <w:t xml:space="preserve"> </w:t>
            </w:r>
            <w:r>
              <w:rPr>
                <w:rFonts w:ascii="Calibri"/>
                <w:sz w:val="18"/>
              </w:rPr>
              <w:t>for</w:t>
            </w:r>
            <w:r>
              <w:rPr>
                <w:rFonts w:ascii="Calibri"/>
                <w:spacing w:val="-2"/>
                <w:sz w:val="18"/>
              </w:rPr>
              <w:t xml:space="preserve"> </w:t>
            </w:r>
            <w:r>
              <w:rPr>
                <w:rFonts w:ascii="Calibri"/>
                <w:sz w:val="18"/>
              </w:rPr>
              <w:t>HVAC</w:t>
            </w:r>
            <w:r>
              <w:rPr>
                <w:rFonts w:ascii="Calibri"/>
                <w:spacing w:val="-3"/>
                <w:sz w:val="18"/>
              </w:rPr>
              <w:t xml:space="preserve"> </w:t>
            </w:r>
            <w:r>
              <w:rPr>
                <w:rFonts w:ascii="Calibri"/>
                <w:sz w:val="18"/>
              </w:rPr>
              <w:t>in</w:t>
            </w:r>
            <w:r>
              <w:rPr>
                <w:rFonts w:ascii="Calibri"/>
                <w:spacing w:val="-3"/>
                <w:sz w:val="18"/>
              </w:rPr>
              <w:t xml:space="preserve"> </w:t>
            </w:r>
            <w:r>
              <w:rPr>
                <w:rFonts w:ascii="Calibri"/>
                <w:sz w:val="18"/>
              </w:rPr>
              <w:t>master</w:t>
            </w:r>
            <w:r>
              <w:rPr>
                <w:rFonts w:ascii="Calibri"/>
                <w:spacing w:val="51"/>
                <w:w w:val="99"/>
                <w:sz w:val="18"/>
              </w:rPr>
              <w:t xml:space="preserve"> </w:t>
            </w:r>
            <w:r>
              <w:rPr>
                <w:rFonts w:ascii="Calibri"/>
                <w:spacing w:val="-1"/>
                <w:sz w:val="18"/>
              </w:rPr>
              <w:t>metered</w:t>
            </w:r>
            <w:r>
              <w:rPr>
                <w:rFonts w:ascii="Calibri"/>
                <w:spacing w:val="-3"/>
                <w:sz w:val="18"/>
              </w:rPr>
              <w:t xml:space="preserve"> </w:t>
            </w:r>
            <w:r>
              <w:rPr>
                <w:rFonts w:ascii="Calibri"/>
                <w:spacing w:val="-1"/>
                <w:sz w:val="18"/>
              </w:rPr>
              <w:t>multifamily</w:t>
            </w:r>
            <w:r>
              <w:rPr>
                <w:rFonts w:ascii="Calibri"/>
                <w:spacing w:val="-2"/>
                <w:sz w:val="18"/>
              </w:rPr>
              <w:t xml:space="preserve"> </w:t>
            </w:r>
            <w:r>
              <w:rPr>
                <w:rFonts w:ascii="Calibri"/>
                <w:spacing w:val="-1"/>
                <w:sz w:val="18"/>
              </w:rPr>
              <w:t>buildings.</w:t>
            </w:r>
            <w:r>
              <w:rPr>
                <w:rFonts w:ascii="Calibri"/>
                <w:spacing w:val="-3"/>
                <w:sz w:val="18"/>
              </w:rPr>
              <w:t xml:space="preserve"> </w:t>
            </w:r>
            <w:r>
              <w:rPr>
                <w:rFonts w:ascii="Calibri"/>
                <w:spacing w:val="1"/>
                <w:sz w:val="18"/>
              </w:rPr>
              <w:t>PPL</w:t>
            </w:r>
            <w:r>
              <w:rPr>
                <w:rFonts w:ascii="Calibri"/>
                <w:spacing w:val="-1"/>
                <w:sz w:val="18"/>
              </w:rPr>
              <w:t xml:space="preserve"> will</w:t>
            </w:r>
            <w:r>
              <w:rPr>
                <w:rFonts w:ascii="Calibri"/>
                <w:spacing w:val="-3"/>
                <w:sz w:val="18"/>
              </w:rPr>
              <w:t xml:space="preserve"> </w:t>
            </w:r>
            <w:r>
              <w:rPr>
                <w:rFonts w:ascii="Calibri"/>
                <w:spacing w:val="-1"/>
                <w:sz w:val="18"/>
              </w:rPr>
              <w:t>continually</w:t>
            </w:r>
            <w:r>
              <w:rPr>
                <w:rFonts w:ascii="Calibri"/>
                <w:spacing w:val="-2"/>
                <w:sz w:val="18"/>
              </w:rPr>
              <w:t xml:space="preserve"> </w:t>
            </w:r>
            <w:r>
              <w:rPr>
                <w:rFonts w:ascii="Calibri"/>
                <w:spacing w:val="-1"/>
                <w:sz w:val="18"/>
              </w:rPr>
              <w:t>monitor</w:t>
            </w:r>
            <w:r>
              <w:rPr>
                <w:rFonts w:ascii="Calibri"/>
                <w:spacing w:val="61"/>
                <w:w w:val="99"/>
                <w:sz w:val="18"/>
              </w:rPr>
              <w:t xml:space="preserve"> </w:t>
            </w:r>
            <w:r>
              <w:rPr>
                <w:rFonts w:ascii="Calibri"/>
                <w:spacing w:val="-1"/>
                <w:sz w:val="18"/>
              </w:rPr>
              <w:t>Phase</w:t>
            </w:r>
            <w:r>
              <w:rPr>
                <w:rFonts w:ascii="Calibri"/>
                <w:spacing w:val="-3"/>
                <w:sz w:val="18"/>
              </w:rPr>
              <w:t xml:space="preserve"> </w:t>
            </w:r>
            <w:r>
              <w:rPr>
                <w:rFonts w:ascii="Calibri"/>
                <w:sz w:val="18"/>
              </w:rPr>
              <w:t>3</w:t>
            </w:r>
            <w:r>
              <w:rPr>
                <w:rFonts w:ascii="Calibri"/>
                <w:spacing w:val="-1"/>
                <w:sz w:val="18"/>
              </w:rPr>
              <w:t xml:space="preserve"> savings</w:t>
            </w:r>
            <w:r>
              <w:rPr>
                <w:rFonts w:ascii="Calibri"/>
                <w:spacing w:val="-2"/>
                <w:sz w:val="18"/>
              </w:rPr>
              <w:t xml:space="preserve"> </w:t>
            </w:r>
            <w:r>
              <w:rPr>
                <w:rFonts w:ascii="Calibri"/>
                <w:sz w:val="18"/>
              </w:rPr>
              <w:t>and</w:t>
            </w:r>
            <w:r>
              <w:rPr>
                <w:rFonts w:ascii="Calibri"/>
                <w:spacing w:val="-2"/>
                <w:sz w:val="18"/>
              </w:rPr>
              <w:t xml:space="preserve"> </w:t>
            </w:r>
            <w:r>
              <w:rPr>
                <w:rFonts w:ascii="Calibri"/>
                <w:spacing w:val="-1"/>
                <w:sz w:val="18"/>
              </w:rPr>
              <w:t>budgets</w:t>
            </w:r>
            <w:r>
              <w:rPr>
                <w:rFonts w:ascii="Calibri"/>
                <w:spacing w:val="-3"/>
                <w:sz w:val="18"/>
              </w:rPr>
              <w:t xml:space="preserve"> </w:t>
            </w:r>
            <w:r>
              <w:rPr>
                <w:rFonts w:ascii="Calibri"/>
                <w:sz w:val="18"/>
              </w:rPr>
              <w:t>and</w:t>
            </w:r>
            <w:r>
              <w:rPr>
                <w:rFonts w:ascii="Calibri"/>
                <w:spacing w:val="-1"/>
                <w:sz w:val="18"/>
              </w:rPr>
              <w:t xml:space="preserve"> adjust incentives</w:t>
            </w:r>
            <w:r>
              <w:rPr>
                <w:rFonts w:ascii="Calibri"/>
                <w:spacing w:val="-2"/>
                <w:sz w:val="18"/>
              </w:rPr>
              <w:t xml:space="preserve"> </w:t>
            </w:r>
            <w:r>
              <w:rPr>
                <w:rFonts w:ascii="Calibri"/>
                <w:sz w:val="18"/>
              </w:rPr>
              <w:t>or</w:t>
            </w:r>
            <w:r>
              <w:rPr>
                <w:rFonts w:ascii="Calibri"/>
                <w:spacing w:val="57"/>
                <w:w w:val="99"/>
                <w:sz w:val="18"/>
              </w:rPr>
              <w:t xml:space="preserve"> </w:t>
            </w:r>
            <w:r>
              <w:rPr>
                <w:rFonts w:ascii="Calibri"/>
                <w:spacing w:val="-1"/>
                <w:sz w:val="18"/>
              </w:rPr>
              <w:t>programs</w:t>
            </w:r>
            <w:r>
              <w:rPr>
                <w:rFonts w:ascii="Calibri"/>
                <w:spacing w:val="-8"/>
                <w:sz w:val="18"/>
              </w:rPr>
              <w:t xml:space="preserve"> </w:t>
            </w:r>
            <w:r>
              <w:rPr>
                <w:rFonts w:ascii="Calibri"/>
                <w:sz w:val="18"/>
              </w:rPr>
              <w:t>if</w:t>
            </w:r>
            <w:r>
              <w:rPr>
                <w:rFonts w:ascii="Calibri"/>
                <w:spacing w:val="-7"/>
                <w:sz w:val="18"/>
              </w:rPr>
              <w:t xml:space="preserve"> </w:t>
            </w:r>
            <w:r>
              <w:rPr>
                <w:rFonts w:ascii="Calibri"/>
                <w:spacing w:val="-1"/>
                <w:sz w:val="18"/>
              </w:rPr>
              <w:t>necessary.</w:t>
            </w:r>
          </w:p>
        </w:tc>
      </w:tr>
      <w:tr w:rsidR="00E646C9" w:rsidTr="00C3558F">
        <w:trPr>
          <w:trHeight w:hRule="exact" w:val="895"/>
        </w:trPr>
        <w:tc>
          <w:tcPr>
            <w:tcW w:w="4681"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217"/>
              <w:rPr>
                <w:rFonts w:ascii="Calibri" w:eastAsia="Calibri" w:hAnsi="Calibri" w:cs="Calibri"/>
                <w:sz w:val="18"/>
                <w:szCs w:val="18"/>
              </w:rPr>
            </w:pPr>
            <w:r>
              <w:rPr>
                <w:rFonts w:ascii="Calibri"/>
                <w:sz w:val="18"/>
              </w:rPr>
              <w:t>In</w:t>
            </w:r>
            <w:r>
              <w:rPr>
                <w:rFonts w:ascii="Calibri"/>
                <w:spacing w:val="-3"/>
                <w:sz w:val="18"/>
              </w:rPr>
              <w:t xml:space="preserve"> </w:t>
            </w:r>
            <w:r>
              <w:rPr>
                <w:rFonts w:ascii="Calibri"/>
                <w:spacing w:val="-1"/>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 xml:space="preserve">continue </w:t>
            </w:r>
            <w:r>
              <w:rPr>
                <w:rFonts w:ascii="Calibri"/>
                <w:sz w:val="18"/>
              </w:rPr>
              <w:t>to</w:t>
            </w:r>
            <w:r>
              <w:rPr>
                <w:rFonts w:ascii="Calibri"/>
                <w:spacing w:val="-1"/>
                <w:sz w:val="18"/>
              </w:rPr>
              <w:t xml:space="preserve"> offer</w:t>
            </w:r>
            <w:r>
              <w:rPr>
                <w:rFonts w:ascii="Calibri"/>
                <w:spacing w:val="-2"/>
                <w:sz w:val="18"/>
              </w:rPr>
              <w:t xml:space="preserve"> </w:t>
            </w:r>
            <w:r>
              <w:rPr>
                <w:rFonts w:ascii="Calibri"/>
                <w:spacing w:val="-1"/>
                <w:sz w:val="18"/>
              </w:rPr>
              <w:t>tenant education</w:t>
            </w:r>
            <w:r>
              <w:rPr>
                <w:rFonts w:ascii="Calibri"/>
                <w:spacing w:val="-3"/>
                <w:sz w:val="18"/>
              </w:rPr>
              <w:t xml:space="preserve"> </w:t>
            </w:r>
            <w:r>
              <w:rPr>
                <w:rFonts w:ascii="Calibri"/>
                <w:spacing w:val="-1"/>
                <w:sz w:val="18"/>
              </w:rPr>
              <w:t xml:space="preserve">under </w:t>
            </w:r>
            <w:r>
              <w:rPr>
                <w:rFonts w:ascii="Calibri"/>
                <w:sz w:val="18"/>
              </w:rPr>
              <w:t>the</w:t>
            </w:r>
            <w:r>
              <w:rPr>
                <w:rFonts w:ascii="Calibri"/>
                <w:spacing w:val="51"/>
                <w:w w:val="99"/>
                <w:sz w:val="18"/>
              </w:rPr>
              <w:t xml:space="preserve"> </w:t>
            </w:r>
            <w:r>
              <w:rPr>
                <w:rFonts w:ascii="Calibri"/>
                <w:spacing w:val="-1"/>
                <w:sz w:val="18"/>
              </w:rPr>
              <w:t>low-income</w:t>
            </w:r>
            <w:r>
              <w:rPr>
                <w:rFonts w:ascii="Calibri"/>
                <w:spacing w:val="-7"/>
                <w:sz w:val="18"/>
              </w:rPr>
              <w:t xml:space="preserve"> </w:t>
            </w:r>
            <w:r>
              <w:rPr>
                <w:rFonts w:ascii="Calibri"/>
                <w:spacing w:val="-1"/>
                <w:sz w:val="18"/>
              </w:rPr>
              <w:t>WRAP</w:t>
            </w:r>
            <w:r>
              <w:rPr>
                <w:rFonts w:ascii="Calibri"/>
                <w:spacing w:val="-5"/>
                <w:sz w:val="18"/>
              </w:rPr>
              <w:t xml:space="preserve"> </w:t>
            </w:r>
            <w:r>
              <w:rPr>
                <w:rFonts w:ascii="Calibri"/>
                <w:sz w:val="18"/>
              </w:rPr>
              <w:t>to</w:t>
            </w:r>
            <w:r>
              <w:rPr>
                <w:rFonts w:ascii="Calibri"/>
                <w:spacing w:val="-5"/>
                <w:sz w:val="18"/>
              </w:rPr>
              <w:t xml:space="preserve"> </w:t>
            </w:r>
            <w:r>
              <w:rPr>
                <w:rFonts w:ascii="Calibri"/>
                <w:spacing w:val="-1"/>
                <w:sz w:val="18"/>
              </w:rPr>
              <w:t>recommend</w:t>
            </w:r>
            <w:r>
              <w:rPr>
                <w:rFonts w:ascii="Calibri"/>
                <w:spacing w:val="-5"/>
                <w:sz w:val="18"/>
              </w:rPr>
              <w:t xml:space="preserve"> </w:t>
            </w:r>
            <w:r>
              <w:rPr>
                <w:rFonts w:ascii="Calibri"/>
                <w:spacing w:val="-1"/>
                <w:sz w:val="18"/>
              </w:rPr>
              <w:t>energy-efficiency</w:t>
            </w:r>
            <w:r>
              <w:rPr>
                <w:rFonts w:ascii="Calibri"/>
                <w:spacing w:val="-5"/>
                <w:sz w:val="18"/>
              </w:rPr>
              <w:t xml:space="preserve"> </w:t>
            </w:r>
            <w:r>
              <w:rPr>
                <w:rFonts w:ascii="Calibri"/>
                <w:spacing w:val="-1"/>
                <w:sz w:val="18"/>
              </w:rPr>
              <w:t>actions</w:t>
            </w:r>
            <w:r>
              <w:rPr>
                <w:rFonts w:ascii="Calibri"/>
                <w:spacing w:val="61"/>
                <w:sz w:val="18"/>
              </w:rPr>
              <w:t xml:space="preserve"> </w:t>
            </w:r>
            <w:r>
              <w:rPr>
                <w:rFonts w:ascii="Calibri"/>
                <w:spacing w:val="-1"/>
                <w:sz w:val="18"/>
              </w:rPr>
              <w:t>tenants</w:t>
            </w:r>
            <w:r>
              <w:rPr>
                <w:rFonts w:ascii="Calibri"/>
                <w:spacing w:val="-4"/>
                <w:sz w:val="18"/>
              </w:rPr>
              <w:t xml:space="preserve"> </w:t>
            </w:r>
            <w:r>
              <w:rPr>
                <w:rFonts w:ascii="Calibri"/>
                <w:spacing w:val="-1"/>
                <w:sz w:val="18"/>
              </w:rPr>
              <w:t>and householders</w:t>
            </w:r>
            <w:r>
              <w:rPr>
                <w:rFonts w:ascii="Calibri"/>
                <w:spacing w:val="-3"/>
                <w:sz w:val="18"/>
              </w:rPr>
              <w:t xml:space="preserve"> </w:t>
            </w:r>
            <w:r>
              <w:rPr>
                <w:rFonts w:ascii="Calibri"/>
                <w:sz w:val="18"/>
              </w:rPr>
              <w:t>can</w:t>
            </w:r>
            <w:r>
              <w:rPr>
                <w:rFonts w:ascii="Calibri"/>
                <w:spacing w:val="-3"/>
                <w:sz w:val="18"/>
              </w:rPr>
              <w:t xml:space="preserve"> </w:t>
            </w:r>
            <w:r>
              <w:rPr>
                <w:rFonts w:ascii="Calibri"/>
                <w:sz w:val="18"/>
              </w:rPr>
              <w:t>take</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improve</w:t>
            </w:r>
            <w:r>
              <w:rPr>
                <w:rFonts w:ascii="Calibri"/>
                <w:spacing w:val="-3"/>
                <w:sz w:val="18"/>
              </w:rPr>
              <w:t xml:space="preserve"> </w:t>
            </w:r>
            <w:r>
              <w:rPr>
                <w:rFonts w:ascii="Calibri"/>
                <w:spacing w:val="-1"/>
                <w:sz w:val="18"/>
              </w:rPr>
              <w:t>the energy</w:t>
            </w:r>
            <w:r>
              <w:rPr>
                <w:rFonts w:ascii="Calibri"/>
                <w:spacing w:val="53"/>
                <w:w w:val="99"/>
                <w:sz w:val="18"/>
              </w:rPr>
              <w:t xml:space="preserve"> </w:t>
            </w:r>
            <w:r>
              <w:rPr>
                <w:rFonts w:ascii="Calibri"/>
                <w:spacing w:val="-1"/>
                <w:sz w:val="18"/>
              </w:rPr>
              <w:t>performance</w:t>
            </w:r>
            <w:r>
              <w:rPr>
                <w:rFonts w:ascii="Calibri"/>
                <w:spacing w:val="-4"/>
                <w:sz w:val="18"/>
              </w:rPr>
              <w:t xml:space="preserve"> </w:t>
            </w:r>
            <w:r>
              <w:rPr>
                <w:rFonts w:ascii="Calibri"/>
                <w:sz w:val="18"/>
              </w:rPr>
              <w:t>of</w:t>
            </w:r>
            <w:r>
              <w:rPr>
                <w:rFonts w:ascii="Calibri"/>
                <w:spacing w:val="-4"/>
                <w:sz w:val="18"/>
              </w:rPr>
              <w:t xml:space="preserve"> </w:t>
            </w:r>
            <w:r>
              <w:rPr>
                <w:rFonts w:ascii="Calibri"/>
                <w:spacing w:val="-1"/>
                <w:sz w:val="18"/>
              </w:rPr>
              <w:t>their buildings.</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bl>
    <w:p w:rsidR="00E646C9" w:rsidRPr="00CF2DE1" w:rsidRDefault="00E646C9" w:rsidP="00E646C9"/>
    <w:p w:rsidR="00E646C9" w:rsidRPr="00130312" w:rsidRDefault="00E646C9" w:rsidP="00C3558F">
      <w:pPr>
        <w:pStyle w:val="AppendixGHeading2"/>
      </w:pPr>
      <w:r>
        <w:t>E-Power Wise</w:t>
      </w:r>
      <w:r w:rsidRPr="00130312">
        <w:t xml:space="preserve"> Program</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89"/>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spacing w:line="218" w:lineRule="exact"/>
              <w:ind w:left="166"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67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320"/>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pacing w:val="-1"/>
                <w:sz w:val="18"/>
              </w:rPr>
              <w:t>removing</w:t>
            </w:r>
            <w:r>
              <w:rPr>
                <w:rFonts w:ascii="Calibri"/>
                <w:spacing w:val="-3"/>
                <w:sz w:val="18"/>
              </w:rPr>
              <w:t xml:space="preserve"> </w:t>
            </w:r>
            <w:r>
              <w:rPr>
                <w:rFonts w:ascii="Calibri"/>
                <w:sz w:val="18"/>
              </w:rPr>
              <w:t>the</w:t>
            </w:r>
            <w:r>
              <w:rPr>
                <w:rFonts w:ascii="Calibri"/>
                <w:spacing w:val="-4"/>
                <w:sz w:val="18"/>
              </w:rPr>
              <w:t xml:space="preserve"> </w:t>
            </w:r>
            <w:r>
              <w:rPr>
                <w:rFonts w:ascii="Calibri"/>
                <w:spacing w:val="-1"/>
                <w:sz w:val="18"/>
              </w:rPr>
              <w:t>furnace</w:t>
            </w:r>
            <w:r>
              <w:rPr>
                <w:rFonts w:ascii="Calibri"/>
                <w:spacing w:val="-3"/>
                <w:sz w:val="18"/>
              </w:rPr>
              <w:t xml:space="preserve"> </w:t>
            </w:r>
            <w:r>
              <w:rPr>
                <w:rFonts w:ascii="Calibri"/>
                <w:spacing w:val="-1"/>
                <w:sz w:val="18"/>
              </w:rPr>
              <w:t>whistle</w:t>
            </w:r>
            <w:r>
              <w:rPr>
                <w:rFonts w:ascii="Calibri"/>
                <w:spacing w:val="-3"/>
                <w:sz w:val="18"/>
              </w:rPr>
              <w:t xml:space="preserve"> </w:t>
            </w:r>
            <w:r>
              <w:rPr>
                <w:rFonts w:ascii="Calibri"/>
                <w:spacing w:val="-1"/>
                <w:sz w:val="18"/>
              </w:rPr>
              <w:t>from</w:t>
            </w:r>
            <w:r>
              <w:rPr>
                <w:rFonts w:ascii="Calibri"/>
                <w:spacing w:val="-3"/>
                <w:sz w:val="18"/>
              </w:rPr>
              <w:t xml:space="preserve"> </w:t>
            </w:r>
            <w:r>
              <w:rPr>
                <w:rFonts w:ascii="Calibri"/>
                <w:spacing w:val="-1"/>
                <w:sz w:val="18"/>
              </w:rPr>
              <w:t>the</w:t>
            </w:r>
            <w:r>
              <w:rPr>
                <w:rFonts w:ascii="Calibri"/>
                <w:spacing w:val="-3"/>
                <w:sz w:val="18"/>
              </w:rPr>
              <w:t xml:space="preserve"> </w:t>
            </w:r>
            <w:r>
              <w:rPr>
                <w:rFonts w:ascii="Calibri"/>
                <w:spacing w:val="-1"/>
                <w:sz w:val="18"/>
              </w:rPr>
              <w:t>energy-</w:t>
            </w:r>
            <w:r>
              <w:rPr>
                <w:rFonts w:ascii="Calibri"/>
                <w:spacing w:val="63"/>
                <w:sz w:val="18"/>
              </w:rPr>
              <w:t xml:space="preserve"> </w:t>
            </w:r>
            <w:r>
              <w:rPr>
                <w:rFonts w:ascii="Calibri"/>
                <w:spacing w:val="-1"/>
                <w:sz w:val="18"/>
              </w:rPr>
              <w:t>savings</w:t>
            </w:r>
            <w:r>
              <w:rPr>
                <w:rFonts w:ascii="Calibri"/>
                <w:spacing w:val="-3"/>
                <w:sz w:val="18"/>
              </w:rPr>
              <w:t xml:space="preserve"> </w:t>
            </w:r>
            <w:r>
              <w:rPr>
                <w:rFonts w:ascii="Calibri"/>
                <w:sz w:val="18"/>
              </w:rPr>
              <w:t>kit</w:t>
            </w:r>
            <w:r>
              <w:rPr>
                <w:rFonts w:ascii="Calibri"/>
                <w:spacing w:val="-2"/>
                <w:sz w:val="18"/>
              </w:rPr>
              <w:t xml:space="preserve"> </w:t>
            </w:r>
            <w:r>
              <w:rPr>
                <w:rFonts w:ascii="Calibri"/>
                <w:spacing w:val="-1"/>
                <w:sz w:val="18"/>
              </w:rPr>
              <w:t>and explore</w:t>
            </w:r>
            <w:r>
              <w:rPr>
                <w:rFonts w:ascii="Calibri"/>
                <w:spacing w:val="-4"/>
                <w:sz w:val="18"/>
              </w:rPr>
              <w:t xml:space="preserve"> </w:t>
            </w:r>
            <w:r>
              <w:rPr>
                <w:rFonts w:ascii="Calibri"/>
                <w:spacing w:val="-1"/>
                <w:sz w:val="18"/>
              </w:rPr>
              <w:t>offering</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rebate</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furnace filters</w:t>
            </w:r>
            <w:r>
              <w:rPr>
                <w:rFonts w:ascii="Calibri"/>
                <w:spacing w:val="65"/>
                <w:sz w:val="18"/>
              </w:rPr>
              <w:t xml:space="preserve"> </w:t>
            </w:r>
            <w:r>
              <w:rPr>
                <w:rFonts w:ascii="Calibri"/>
                <w:spacing w:val="-1"/>
                <w:sz w:val="18"/>
              </w:rPr>
              <w:t>instead</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w:t>
            </w:r>
            <w:r>
              <w:rPr>
                <w:rFonts w:ascii="Calibri"/>
                <w:spacing w:val="-4"/>
                <w:sz w:val="18"/>
              </w:rPr>
              <w:t xml:space="preserve"> </w:t>
            </w:r>
            <w:r>
              <w:rPr>
                <w:rFonts w:ascii="Calibri"/>
                <w:spacing w:val="-1"/>
                <w:sz w:val="18"/>
              </w:rPr>
              <w:t>likely</w:t>
            </w:r>
            <w:r>
              <w:rPr>
                <w:rFonts w:ascii="Calibri"/>
                <w:spacing w:val="-3"/>
                <w:sz w:val="18"/>
              </w:rPr>
              <w:t xml:space="preserve"> </w:t>
            </w:r>
            <w:r>
              <w:rPr>
                <w:rFonts w:ascii="Calibri"/>
                <w:sz w:val="18"/>
              </w:rPr>
              <w:t>be</w:t>
            </w:r>
            <w:r>
              <w:rPr>
                <w:rFonts w:ascii="Calibri"/>
                <w:spacing w:val="-3"/>
                <w:sz w:val="18"/>
              </w:rPr>
              <w:t xml:space="preserve"> </w:t>
            </w:r>
            <w:r>
              <w:rPr>
                <w:rFonts w:ascii="Calibri"/>
                <w:spacing w:val="-1"/>
                <w:sz w:val="18"/>
              </w:rPr>
              <w:t>implemented.</w:t>
            </w:r>
          </w:p>
        </w:tc>
      </w:tr>
      <w:tr w:rsidR="00E646C9" w:rsidTr="00C3558F">
        <w:trPr>
          <w:trHeight w:hRule="exact" w:val="895"/>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60"/>
              <w:rPr>
                <w:rFonts w:ascii="Calibri" w:eastAsia="Calibri" w:hAnsi="Calibri" w:cs="Calibri"/>
                <w:sz w:val="18"/>
                <w:szCs w:val="18"/>
              </w:rPr>
            </w:pPr>
            <w:r>
              <w:rPr>
                <w:rFonts w:ascii="Calibri"/>
                <w:spacing w:val="-1"/>
                <w:sz w:val="18"/>
              </w:rPr>
              <w:t>Monitor</w:t>
            </w:r>
            <w:r>
              <w:rPr>
                <w:rFonts w:ascii="Calibri"/>
                <w:spacing w:val="-2"/>
                <w:sz w:val="18"/>
              </w:rPr>
              <w:t xml:space="preserve"> </w:t>
            </w:r>
            <w:r>
              <w:rPr>
                <w:rFonts w:ascii="Calibri"/>
                <w:spacing w:val="-1"/>
                <w:sz w:val="18"/>
              </w:rPr>
              <w:t>progress</w:t>
            </w:r>
            <w:r>
              <w:rPr>
                <w:rFonts w:ascii="Calibri"/>
                <w:spacing w:val="-3"/>
                <w:sz w:val="18"/>
              </w:rPr>
              <w:t xml:space="preserve"> </w:t>
            </w:r>
            <w:r>
              <w:rPr>
                <w:rFonts w:ascii="Calibri"/>
                <w:spacing w:val="-1"/>
                <w:sz w:val="18"/>
              </w:rPr>
              <w:t xml:space="preserve">and identify </w:t>
            </w:r>
            <w:r>
              <w:rPr>
                <w:rFonts w:ascii="Calibri"/>
                <w:sz w:val="18"/>
              </w:rPr>
              <w:t>any</w:t>
            </w:r>
            <w:r>
              <w:rPr>
                <w:rFonts w:ascii="Calibri"/>
                <w:spacing w:val="-2"/>
                <w:sz w:val="18"/>
              </w:rPr>
              <w:t xml:space="preserve"> </w:t>
            </w:r>
            <w:r>
              <w:rPr>
                <w:rFonts w:ascii="Calibri"/>
                <w:spacing w:val="-1"/>
                <w:sz w:val="18"/>
              </w:rPr>
              <w:t>early</w:t>
            </w:r>
            <w:r>
              <w:rPr>
                <w:rFonts w:ascii="Calibri"/>
                <w:spacing w:val="-2"/>
                <w:sz w:val="18"/>
              </w:rPr>
              <w:t xml:space="preserve"> </w:t>
            </w:r>
            <w:r>
              <w:rPr>
                <w:rFonts w:ascii="Calibri"/>
                <w:spacing w:val="-1"/>
                <w:sz w:val="18"/>
              </w:rPr>
              <w:t>issues</w:t>
            </w:r>
            <w:r>
              <w:rPr>
                <w:rFonts w:ascii="Calibri"/>
                <w:spacing w:val="-2"/>
                <w:sz w:val="18"/>
              </w:rPr>
              <w:t xml:space="preserve"> </w:t>
            </w:r>
            <w:r>
              <w:rPr>
                <w:rFonts w:ascii="Calibri"/>
                <w:sz w:val="18"/>
              </w:rPr>
              <w:t>with</w:t>
            </w:r>
            <w:r>
              <w:rPr>
                <w:rFonts w:ascii="Calibri"/>
                <w:spacing w:val="-3"/>
                <w:sz w:val="18"/>
              </w:rPr>
              <w:t xml:space="preserve"> </w:t>
            </w:r>
            <w:r>
              <w:rPr>
                <w:rFonts w:ascii="Calibri"/>
                <w:sz w:val="18"/>
              </w:rPr>
              <w:t>the</w:t>
            </w:r>
            <w:r>
              <w:rPr>
                <w:rFonts w:ascii="Calibri"/>
                <w:spacing w:val="-2"/>
                <w:sz w:val="18"/>
              </w:rPr>
              <w:t xml:space="preserve"> </w:t>
            </w:r>
            <w:r>
              <w:rPr>
                <w:rFonts w:ascii="Calibri"/>
                <w:sz w:val="18"/>
              </w:rPr>
              <w:t>two-</w:t>
            </w:r>
            <w:r>
              <w:rPr>
                <w:rFonts w:ascii="Calibri"/>
                <w:spacing w:val="55"/>
                <w:sz w:val="18"/>
              </w:rPr>
              <w:t xml:space="preserve"> </w:t>
            </w:r>
            <w:r>
              <w:rPr>
                <w:rFonts w:ascii="Calibri"/>
                <w:spacing w:val="-1"/>
                <w:sz w:val="18"/>
              </w:rPr>
              <w:t>kit</w:t>
            </w:r>
            <w:r>
              <w:rPr>
                <w:rFonts w:ascii="Calibri"/>
                <w:spacing w:val="-3"/>
                <w:sz w:val="18"/>
              </w:rPr>
              <w:t xml:space="preserve"> </w:t>
            </w:r>
            <w:r>
              <w:rPr>
                <w:rFonts w:ascii="Calibri"/>
                <w:spacing w:val="-1"/>
                <w:sz w:val="18"/>
              </w:rPr>
              <w:t>delivery</w:t>
            </w:r>
            <w:r>
              <w:rPr>
                <w:rFonts w:ascii="Calibri"/>
                <w:spacing w:val="-3"/>
                <w:sz w:val="18"/>
              </w:rPr>
              <w:t xml:space="preserve"> </w:t>
            </w:r>
            <w:r>
              <w:rPr>
                <w:rFonts w:ascii="Calibri"/>
                <w:spacing w:val="-1"/>
                <w:sz w:val="18"/>
              </w:rPr>
              <w:t>system;</w:t>
            </w:r>
            <w:r>
              <w:rPr>
                <w:rFonts w:ascii="Calibri"/>
                <w:spacing w:val="-3"/>
                <w:sz w:val="18"/>
              </w:rPr>
              <w:t xml:space="preserve"> </w:t>
            </w:r>
            <w:r>
              <w:rPr>
                <w:rFonts w:ascii="Calibri"/>
                <w:sz w:val="18"/>
              </w:rPr>
              <w:t>Add</w:t>
            </w:r>
            <w:r>
              <w:rPr>
                <w:rFonts w:ascii="Calibri"/>
                <w:spacing w:val="-4"/>
                <w:sz w:val="18"/>
              </w:rPr>
              <w:t xml:space="preserve"> </w:t>
            </w:r>
            <w:r>
              <w:rPr>
                <w:rFonts w:ascii="Calibri"/>
                <w:sz w:val="18"/>
              </w:rPr>
              <w:t>questions</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the</w:t>
            </w:r>
            <w:r>
              <w:rPr>
                <w:rFonts w:ascii="Calibri"/>
                <w:spacing w:val="-4"/>
                <w:sz w:val="18"/>
              </w:rPr>
              <w:t xml:space="preserve"> </w:t>
            </w:r>
            <w:r>
              <w:rPr>
                <w:rFonts w:ascii="Calibri"/>
                <w:sz w:val="18"/>
              </w:rPr>
              <w:t>agency</w:t>
            </w:r>
            <w:r>
              <w:rPr>
                <w:rFonts w:ascii="Calibri"/>
                <w:spacing w:val="-3"/>
                <w:sz w:val="18"/>
              </w:rPr>
              <w:t xml:space="preserve"> </w:t>
            </w:r>
            <w:r>
              <w:rPr>
                <w:rFonts w:ascii="Calibri"/>
                <w:spacing w:val="-1"/>
                <w:sz w:val="18"/>
              </w:rPr>
              <w:t>interviews</w:t>
            </w:r>
            <w:r>
              <w:rPr>
                <w:rFonts w:ascii="Calibri"/>
                <w:spacing w:val="39"/>
                <w:sz w:val="18"/>
              </w:rPr>
              <w:t xml:space="preserve"> </w:t>
            </w:r>
            <w:r>
              <w:rPr>
                <w:rFonts w:ascii="Calibri"/>
                <w:sz w:val="18"/>
              </w:rPr>
              <w:t>as</w:t>
            </w:r>
            <w:r>
              <w:rPr>
                <w:rFonts w:ascii="Calibri"/>
                <w:spacing w:val="-3"/>
                <w:sz w:val="18"/>
              </w:rPr>
              <w:t xml:space="preserve"> </w:t>
            </w:r>
            <w:r>
              <w:rPr>
                <w:rFonts w:ascii="Calibri"/>
                <w:sz w:val="18"/>
              </w:rPr>
              <w:t>a</w:t>
            </w:r>
            <w:r>
              <w:rPr>
                <w:rFonts w:ascii="Calibri"/>
                <w:spacing w:val="-1"/>
                <w:sz w:val="18"/>
              </w:rPr>
              <w:t xml:space="preserve"> part </w:t>
            </w:r>
            <w:r>
              <w:rPr>
                <w:rFonts w:ascii="Calibri"/>
                <w:sz w:val="18"/>
              </w:rPr>
              <w:t>of</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z w:val="18"/>
              </w:rPr>
              <w:t>PY8</w:t>
            </w:r>
            <w:r>
              <w:rPr>
                <w:rFonts w:ascii="Calibri"/>
                <w:spacing w:val="-1"/>
                <w:sz w:val="18"/>
              </w:rPr>
              <w:t xml:space="preserve"> evaluation</w:t>
            </w:r>
            <w:r>
              <w:rPr>
                <w:rFonts w:ascii="Calibri"/>
                <w:spacing w:val="-2"/>
                <w:sz w:val="18"/>
              </w:rPr>
              <w:t xml:space="preserve"> </w:t>
            </w:r>
            <w:r>
              <w:rPr>
                <w:rFonts w:ascii="Calibri"/>
                <w:sz w:val="18"/>
              </w:rPr>
              <w:t>to</w:t>
            </w:r>
            <w:r>
              <w:rPr>
                <w:rFonts w:ascii="Calibri"/>
                <w:spacing w:val="1"/>
                <w:sz w:val="18"/>
              </w:rPr>
              <w:t xml:space="preserve"> </w:t>
            </w:r>
            <w:r>
              <w:rPr>
                <w:rFonts w:ascii="Calibri"/>
                <w:spacing w:val="-1"/>
                <w:sz w:val="18"/>
              </w:rPr>
              <w:t>gather feedback from</w:t>
            </w:r>
            <w:r>
              <w:rPr>
                <w:rFonts w:ascii="Calibri"/>
                <w:spacing w:val="37"/>
                <w:w w:val="99"/>
                <w:sz w:val="18"/>
              </w:rPr>
              <w:t xml:space="preserve"> </w:t>
            </w:r>
            <w:r>
              <w:rPr>
                <w:rFonts w:ascii="Calibri"/>
                <w:spacing w:val="-1"/>
                <w:sz w:val="18"/>
              </w:rPr>
              <w:t>agencies.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677"/>
        </w:trPr>
        <w:tc>
          <w:tcPr>
            <w:tcW w:w="4680"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268"/>
              <w:rPr>
                <w:rFonts w:ascii="Calibri" w:eastAsia="Calibri" w:hAnsi="Calibri" w:cs="Calibri"/>
                <w:sz w:val="18"/>
                <w:szCs w:val="18"/>
              </w:rPr>
            </w:pPr>
            <w:r>
              <w:rPr>
                <w:rFonts w:ascii="Calibri"/>
                <w:spacing w:val="-1"/>
                <w:sz w:val="18"/>
              </w:rPr>
              <w:t>Ensure</w:t>
            </w:r>
            <w:r>
              <w:rPr>
                <w:rFonts w:ascii="Calibri"/>
                <w:spacing w:val="-5"/>
                <w:sz w:val="18"/>
              </w:rPr>
              <w:t xml:space="preserve"> </w:t>
            </w:r>
            <w:r>
              <w:rPr>
                <w:rFonts w:ascii="Calibri"/>
                <w:sz w:val="18"/>
              </w:rPr>
              <w:t>that</w:t>
            </w:r>
            <w:r>
              <w:rPr>
                <w:rFonts w:ascii="Calibri"/>
                <w:spacing w:val="-2"/>
                <w:sz w:val="18"/>
              </w:rPr>
              <w:t xml:space="preserve"> </w:t>
            </w:r>
            <w:r>
              <w:rPr>
                <w:rFonts w:ascii="Calibri"/>
                <w:sz w:val="18"/>
              </w:rPr>
              <w:t>the</w:t>
            </w:r>
            <w:r>
              <w:rPr>
                <w:rFonts w:ascii="Calibri"/>
                <w:spacing w:val="-4"/>
                <w:sz w:val="18"/>
              </w:rPr>
              <w:t xml:space="preserve"> </w:t>
            </w:r>
            <w:r>
              <w:rPr>
                <w:rFonts w:ascii="Calibri"/>
                <w:spacing w:val="-1"/>
                <w:sz w:val="18"/>
              </w:rPr>
              <w:t>program</w:t>
            </w:r>
            <w:r>
              <w:rPr>
                <w:rFonts w:ascii="Calibri"/>
                <w:spacing w:val="-3"/>
                <w:sz w:val="18"/>
              </w:rPr>
              <w:t xml:space="preserve"> </w:t>
            </w:r>
            <w:r>
              <w:rPr>
                <w:rFonts w:ascii="Calibri"/>
                <w:sz w:val="18"/>
              </w:rPr>
              <w:t>provides</w:t>
            </w:r>
            <w:r>
              <w:rPr>
                <w:rFonts w:ascii="Calibri"/>
                <w:spacing w:val="-3"/>
                <w:sz w:val="18"/>
              </w:rPr>
              <w:t xml:space="preserve"> </w:t>
            </w:r>
            <w:r>
              <w:rPr>
                <w:rFonts w:ascii="Calibri"/>
                <w:spacing w:val="-1"/>
                <w:sz w:val="18"/>
              </w:rPr>
              <w:t>sufficient</w:t>
            </w:r>
            <w:r>
              <w:rPr>
                <w:rFonts w:ascii="Calibri"/>
                <w:spacing w:val="-3"/>
                <w:sz w:val="18"/>
              </w:rPr>
              <w:t xml:space="preserve"> </w:t>
            </w:r>
            <w:r>
              <w:rPr>
                <w:rFonts w:ascii="Calibri"/>
                <w:spacing w:val="-1"/>
                <w:sz w:val="18"/>
              </w:rPr>
              <w:t>training</w:t>
            </w:r>
            <w:r>
              <w:rPr>
                <w:rFonts w:ascii="Calibri"/>
                <w:spacing w:val="-3"/>
                <w:sz w:val="18"/>
              </w:rPr>
              <w:t xml:space="preserve"> </w:t>
            </w:r>
            <w:r>
              <w:rPr>
                <w:rFonts w:ascii="Calibri"/>
                <w:spacing w:val="-1"/>
                <w:sz w:val="18"/>
              </w:rPr>
              <w:t>and</w:t>
            </w:r>
            <w:r>
              <w:rPr>
                <w:rFonts w:ascii="Calibri"/>
                <w:spacing w:val="49"/>
                <w:sz w:val="18"/>
              </w:rPr>
              <w:t xml:space="preserve"> </w:t>
            </w:r>
            <w:r>
              <w:rPr>
                <w:rFonts w:ascii="Calibri"/>
                <w:spacing w:val="-1"/>
                <w:sz w:val="18"/>
              </w:rPr>
              <w:t>materials</w:t>
            </w:r>
            <w:r>
              <w:rPr>
                <w:rFonts w:ascii="Calibri"/>
                <w:spacing w:val="-6"/>
                <w:sz w:val="18"/>
              </w:rPr>
              <w:t xml:space="preserve"> </w:t>
            </w:r>
            <w:r>
              <w:rPr>
                <w:rFonts w:ascii="Calibri"/>
                <w:sz w:val="18"/>
              </w:rPr>
              <w:t>geared</w:t>
            </w:r>
            <w:r>
              <w:rPr>
                <w:rFonts w:ascii="Calibri"/>
                <w:spacing w:val="-4"/>
                <w:sz w:val="18"/>
              </w:rPr>
              <w:t xml:space="preserve"> </w:t>
            </w:r>
            <w:r>
              <w:rPr>
                <w:rFonts w:ascii="Calibri"/>
                <w:sz w:val="18"/>
              </w:rPr>
              <w:t>toward</w:t>
            </w:r>
            <w:r>
              <w:rPr>
                <w:rFonts w:ascii="Calibri"/>
                <w:spacing w:val="-6"/>
                <w:sz w:val="18"/>
              </w:rPr>
              <w:t xml:space="preserve"> </w:t>
            </w:r>
            <w:r>
              <w:rPr>
                <w:rFonts w:ascii="Calibri"/>
                <w:spacing w:val="-1"/>
                <w:sz w:val="18"/>
              </w:rPr>
              <w:t>one-on-one</w:t>
            </w:r>
            <w:r>
              <w:rPr>
                <w:rFonts w:ascii="Calibri"/>
                <w:spacing w:val="-4"/>
                <w:sz w:val="18"/>
              </w:rPr>
              <w:t xml:space="preserve"> </w:t>
            </w:r>
            <w:r>
              <w:rPr>
                <w:rFonts w:ascii="Calibri"/>
                <w:spacing w:val="-1"/>
                <w:sz w:val="18"/>
              </w:rPr>
              <w:t>interactions</w:t>
            </w:r>
            <w:r>
              <w:rPr>
                <w:rFonts w:ascii="Calibri"/>
                <w:spacing w:val="-5"/>
                <w:sz w:val="18"/>
              </w:rPr>
              <w:t xml:space="preserve"> </w:t>
            </w:r>
            <w:r>
              <w:rPr>
                <w:rFonts w:ascii="Calibri"/>
                <w:spacing w:val="-1"/>
                <w:sz w:val="18"/>
              </w:rPr>
              <w:t>between</w:t>
            </w:r>
            <w:r>
              <w:rPr>
                <w:rFonts w:ascii="Calibri"/>
                <w:spacing w:val="65"/>
                <w:sz w:val="18"/>
              </w:rPr>
              <w:t xml:space="preserve"> </w:t>
            </w:r>
            <w:r>
              <w:rPr>
                <w:rFonts w:ascii="Calibri"/>
                <w:spacing w:val="-1"/>
                <w:sz w:val="18"/>
              </w:rPr>
              <w:t>clients</w:t>
            </w:r>
            <w:r>
              <w:rPr>
                <w:rFonts w:ascii="Calibri"/>
                <w:spacing w:val="-5"/>
                <w:sz w:val="18"/>
              </w:rPr>
              <w:t xml:space="preserve"> </w:t>
            </w:r>
            <w:r>
              <w:rPr>
                <w:rFonts w:ascii="Calibri"/>
                <w:sz w:val="18"/>
              </w:rPr>
              <w:t>and</w:t>
            </w:r>
            <w:r>
              <w:rPr>
                <w:rFonts w:ascii="Calibri"/>
                <w:spacing w:val="-4"/>
                <w:sz w:val="18"/>
              </w:rPr>
              <w:t xml:space="preserve"> </w:t>
            </w:r>
            <w:r>
              <w:rPr>
                <w:rFonts w:ascii="Calibri"/>
                <w:spacing w:val="-1"/>
                <w:sz w:val="18"/>
              </w:rPr>
              <w:t>agencies.</w:t>
            </w:r>
          </w:p>
        </w:tc>
        <w:tc>
          <w:tcPr>
            <w:tcW w:w="4681"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w:t>
            </w:r>
            <w:r>
              <w:rPr>
                <w:rFonts w:ascii="Calibri"/>
                <w:spacing w:val="-4"/>
                <w:sz w:val="18"/>
              </w:rPr>
              <w:t xml:space="preserve"> </w:t>
            </w:r>
            <w:r>
              <w:rPr>
                <w:rFonts w:ascii="Calibri"/>
                <w:spacing w:val="-1"/>
                <w:sz w:val="18"/>
              </w:rPr>
              <w:t>likely</w:t>
            </w:r>
            <w:r>
              <w:rPr>
                <w:rFonts w:ascii="Calibri"/>
                <w:spacing w:val="-3"/>
                <w:sz w:val="18"/>
              </w:rPr>
              <w:t xml:space="preserve"> </w:t>
            </w:r>
            <w:r>
              <w:rPr>
                <w:rFonts w:ascii="Calibri"/>
                <w:sz w:val="18"/>
              </w:rPr>
              <w:t>be</w:t>
            </w:r>
            <w:r>
              <w:rPr>
                <w:rFonts w:ascii="Calibri"/>
                <w:spacing w:val="-3"/>
                <w:sz w:val="18"/>
              </w:rPr>
              <w:t xml:space="preserve"> </w:t>
            </w:r>
            <w:r>
              <w:rPr>
                <w:rFonts w:ascii="Calibri"/>
                <w:spacing w:val="-1"/>
                <w:sz w:val="18"/>
              </w:rPr>
              <w:t>implemented.</w:t>
            </w:r>
          </w:p>
        </w:tc>
      </w:tr>
    </w:tbl>
    <w:p w:rsidR="00E646C9" w:rsidRDefault="00E646C9" w:rsidP="00E646C9"/>
    <w:p w:rsidR="00E646C9" w:rsidRDefault="00E646C9" w:rsidP="00E646C9"/>
    <w:p w:rsidR="00E646C9" w:rsidRPr="00130312" w:rsidRDefault="00E646C9" w:rsidP="00C3558F">
      <w:pPr>
        <w:pStyle w:val="AppendixGHeading2"/>
      </w:pPr>
      <w:r w:rsidRPr="00130312">
        <w:t>Wise</w:t>
      </w:r>
      <w:r>
        <w:t xml:space="preserve"> Home Pilot</w:t>
      </w:r>
      <w:r w:rsidRPr="00130312">
        <w:t xml:space="preserve"> Program</w:t>
      </w:r>
    </w:p>
    <w:tbl>
      <w:tblPr>
        <w:tblW w:w="9362" w:type="dxa"/>
        <w:tblLayout w:type="fixed"/>
        <w:tblCellMar>
          <w:left w:w="0" w:type="dxa"/>
          <w:right w:w="0" w:type="dxa"/>
        </w:tblCellMar>
        <w:tblLook w:val="01E0" w:firstRow="1" w:lastRow="1" w:firstColumn="1" w:lastColumn="1" w:noHBand="0" w:noVBand="0"/>
      </w:tblPr>
      <w:tblGrid>
        <w:gridCol w:w="4834"/>
        <w:gridCol w:w="4528"/>
      </w:tblGrid>
      <w:tr w:rsidR="00E646C9" w:rsidTr="00C3558F">
        <w:trPr>
          <w:trHeight w:hRule="exact" w:val="679"/>
        </w:trPr>
        <w:tc>
          <w:tcPr>
            <w:tcW w:w="9362"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FB3B18">
            <w:pPr>
              <w:pStyle w:val="TableParagraph"/>
              <w:tabs>
                <w:tab w:val="left" w:pos="5325"/>
              </w:tabs>
              <w:ind w:left="5872" w:right="495" w:hanging="5706"/>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5728"/>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3"/>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674"/>
        </w:trPr>
        <w:tc>
          <w:tcPr>
            <w:tcW w:w="4834"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49"/>
              <w:rPr>
                <w:rFonts w:ascii="Calibri" w:eastAsia="Calibri" w:hAnsi="Calibri" w:cs="Calibri"/>
                <w:sz w:val="18"/>
                <w:szCs w:val="18"/>
              </w:rPr>
            </w:pPr>
            <w:r>
              <w:rPr>
                <w:rFonts w:ascii="Calibri"/>
                <w:spacing w:val="-1"/>
                <w:sz w:val="18"/>
              </w:rPr>
              <w:t>Include</w:t>
            </w:r>
            <w:r>
              <w:rPr>
                <w:rFonts w:ascii="Calibri"/>
                <w:spacing w:val="-3"/>
                <w:sz w:val="18"/>
              </w:rPr>
              <w:t xml:space="preserve"> </w:t>
            </w:r>
            <w:r>
              <w:rPr>
                <w:rFonts w:ascii="Calibri"/>
                <w:spacing w:val="-1"/>
                <w:sz w:val="18"/>
              </w:rPr>
              <w:t>additional</w:t>
            </w:r>
            <w:r>
              <w:rPr>
                <w:rFonts w:ascii="Calibri"/>
                <w:spacing w:val="-2"/>
                <w:sz w:val="18"/>
              </w:rPr>
              <w:t xml:space="preserve"> </w:t>
            </w:r>
            <w:r>
              <w:rPr>
                <w:rFonts w:ascii="Calibri"/>
                <w:spacing w:val="-1"/>
                <w:sz w:val="18"/>
              </w:rPr>
              <w:t xml:space="preserve">low-cost screening step, </w:t>
            </w:r>
            <w:r>
              <w:rPr>
                <w:rFonts w:ascii="Calibri"/>
                <w:sz w:val="18"/>
              </w:rPr>
              <w:t>such</w:t>
            </w:r>
            <w:r>
              <w:rPr>
                <w:rFonts w:ascii="Calibri"/>
                <w:spacing w:val="-3"/>
                <w:sz w:val="18"/>
              </w:rPr>
              <w:t xml:space="preserve"> </w:t>
            </w:r>
            <w:r>
              <w:rPr>
                <w:rFonts w:ascii="Calibri"/>
                <w:sz w:val="18"/>
              </w:rPr>
              <w:t>as</w:t>
            </w:r>
            <w:r>
              <w:rPr>
                <w:rFonts w:ascii="Calibri"/>
                <w:spacing w:val="-1"/>
                <w:sz w:val="18"/>
              </w:rPr>
              <w:t xml:space="preserve"> </w:t>
            </w:r>
            <w:r>
              <w:rPr>
                <w:rFonts w:ascii="Calibri"/>
                <w:sz w:val="18"/>
              </w:rPr>
              <w:t>a</w:t>
            </w:r>
            <w:r>
              <w:rPr>
                <w:rFonts w:ascii="Calibri"/>
                <w:spacing w:val="-2"/>
                <w:sz w:val="18"/>
              </w:rPr>
              <w:t xml:space="preserve"> </w:t>
            </w:r>
            <w:r>
              <w:rPr>
                <w:rFonts w:ascii="Calibri"/>
                <w:spacing w:val="-1"/>
                <w:sz w:val="18"/>
              </w:rPr>
              <w:t>phone</w:t>
            </w:r>
            <w:r>
              <w:rPr>
                <w:rFonts w:ascii="Calibri"/>
                <w:spacing w:val="59"/>
                <w:w w:val="99"/>
                <w:sz w:val="18"/>
              </w:rPr>
              <w:t xml:space="preserve"> </w:t>
            </w:r>
            <w:r>
              <w:rPr>
                <w:rFonts w:ascii="Calibri"/>
                <w:spacing w:val="-1"/>
                <w:sz w:val="18"/>
              </w:rPr>
              <w:t>call,</w:t>
            </w:r>
            <w:r>
              <w:rPr>
                <w:rFonts w:ascii="Calibri"/>
                <w:spacing w:val="-4"/>
                <w:sz w:val="18"/>
              </w:rPr>
              <w:t xml:space="preserve"> </w:t>
            </w:r>
            <w:r>
              <w:rPr>
                <w:rFonts w:ascii="Calibri"/>
                <w:sz w:val="18"/>
              </w:rPr>
              <w:t>to</w:t>
            </w:r>
            <w:r>
              <w:rPr>
                <w:rFonts w:ascii="Calibri"/>
                <w:spacing w:val="-3"/>
                <w:sz w:val="18"/>
              </w:rPr>
              <w:t xml:space="preserve"> </w:t>
            </w:r>
            <w:r>
              <w:rPr>
                <w:rFonts w:ascii="Calibri"/>
                <w:spacing w:val="-1"/>
                <w:sz w:val="18"/>
              </w:rPr>
              <w:t>verify</w:t>
            </w:r>
            <w:r>
              <w:rPr>
                <w:rFonts w:ascii="Calibri"/>
                <w:spacing w:val="-3"/>
                <w:sz w:val="18"/>
              </w:rPr>
              <w:t xml:space="preserve"> </w:t>
            </w:r>
            <w:r>
              <w:rPr>
                <w:rFonts w:ascii="Calibri"/>
                <w:spacing w:val="-1"/>
                <w:sz w:val="18"/>
              </w:rPr>
              <w:t>self-reported</w:t>
            </w:r>
            <w:r>
              <w:rPr>
                <w:rFonts w:ascii="Calibri"/>
                <w:spacing w:val="-5"/>
                <w:sz w:val="18"/>
              </w:rPr>
              <w:t xml:space="preserve"> </w:t>
            </w:r>
            <w:r>
              <w:rPr>
                <w:rFonts w:ascii="Calibri"/>
                <w:sz w:val="18"/>
              </w:rPr>
              <w:t>customer</w:t>
            </w:r>
            <w:r>
              <w:rPr>
                <w:rFonts w:ascii="Calibri"/>
                <w:spacing w:val="-3"/>
                <w:sz w:val="18"/>
              </w:rPr>
              <w:t xml:space="preserve"> </w:t>
            </w:r>
            <w:r>
              <w:rPr>
                <w:rFonts w:ascii="Calibri"/>
                <w:spacing w:val="-1"/>
                <w:sz w:val="18"/>
              </w:rPr>
              <w:t>information,</w:t>
            </w:r>
            <w:r>
              <w:rPr>
                <w:rFonts w:ascii="Calibri"/>
                <w:spacing w:val="-3"/>
                <w:sz w:val="18"/>
              </w:rPr>
              <w:t xml:space="preserve"> </w:t>
            </w:r>
            <w:r>
              <w:rPr>
                <w:rFonts w:ascii="Calibri"/>
                <w:spacing w:val="-1"/>
                <w:sz w:val="18"/>
              </w:rPr>
              <w:t>e.g.,</w:t>
            </w:r>
            <w:r>
              <w:rPr>
                <w:rFonts w:ascii="Calibri"/>
                <w:spacing w:val="-4"/>
                <w:sz w:val="18"/>
              </w:rPr>
              <w:t xml:space="preserve"> </w:t>
            </w:r>
            <w:r>
              <w:rPr>
                <w:rFonts w:ascii="Calibri"/>
                <w:spacing w:val="-1"/>
                <w:sz w:val="18"/>
              </w:rPr>
              <w:t>heating</w:t>
            </w:r>
            <w:r>
              <w:rPr>
                <w:rFonts w:ascii="Calibri"/>
                <w:spacing w:val="57"/>
                <w:w w:val="99"/>
                <w:sz w:val="18"/>
              </w:rPr>
              <w:t xml:space="preserve"> </w:t>
            </w:r>
            <w:r>
              <w:rPr>
                <w:rFonts w:ascii="Calibri"/>
                <w:spacing w:val="-1"/>
                <w:sz w:val="18"/>
              </w:rPr>
              <w:t>and</w:t>
            </w:r>
            <w:r>
              <w:rPr>
                <w:rFonts w:ascii="Calibri"/>
                <w:spacing w:val="-3"/>
                <w:sz w:val="18"/>
              </w:rPr>
              <w:t xml:space="preserve"> </w:t>
            </w:r>
            <w:r>
              <w:rPr>
                <w:rFonts w:ascii="Calibri"/>
                <w:spacing w:val="-1"/>
                <w:sz w:val="18"/>
              </w:rPr>
              <w:t>cooling</w:t>
            </w:r>
            <w:r>
              <w:rPr>
                <w:rFonts w:ascii="Calibri"/>
                <w:spacing w:val="-2"/>
                <w:sz w:val="18"/>
              </w:rPr>
              <w:t xml:space="preserve"> </w:t>
            </w:r>
            <w:r>
              <w:rPr>
                <w:rFonts w:ascii="Calibri"/>
                <w:spacing w:val="-1"/>
                <w:sz w:val="18"/>
              </w:rPr>
              <w:t>equipment</w:t>
            </w:r>
            <w:r>
              <w:rPr>
                <w:rFonts w:ascii="Calibri"/>
                <w:spacing w:val="-2"/>
                <w:sz w:val="18"/>
              </w:rPr>
              <w:t xml:space="preserve"> </w:t>
            </w:r>
            <w:r>
              <w:rPr>
                <w:rFonts w:ascii="Calibri"/>
                <w:sz w:val="18"/>
              </w:rPr>
              <w:t>and</w:t>
            </w:r>
            <w:r>
              <w:rPr>
                <w:rFonts w:ascii="Calibri"/>
                <w:spacing w:val="-2"/>
                <w:sz w:val="18"/>
              </w:rPr>
              <w:t xml:space="preserve"> </w:t>
            </w:r>
            <w:r>
              <w:rPr>
                <w:rFonts w:ascii="Calibri"/>
                <w:spacing w:val="-1"/>
                <w:sz w:val="18"/>
              </w:rPr>
              <w:t>fuel</w:t>
            </w:r>
            <w:r>
              <w:rPr>
                <w:rFonts w:ascii="Calibri"/>
                <w:spacing w:val="-2"/>
                <w:sz w:val="18"/>
              </w:rPr>
              <w:t xml:space="preserve"> </w:t>
            </w:r>
            <w:r>
              <w:rPr>
                <w:rFonts w:ascii="Calibri"/>
                <w:sz w:val="18"/>
              </w:rPr>
              <w:t>type.</w:t>
            </w:r>
          </w:p>
        </w:tc>
        <w:tc>
          <w:tcPr>
            <w:tcW w:w="4528"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7"/>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w:t>
            </w:r>
            <w:r>
              <w:rPr>
                <w:rFonts w:ascii="Calibri"/>
                <w:spacing w:val="-4"/>
                <w:sz w:val="18"/>
              </w:rPr>
              <w:t xml:space="preserve"> </w:t>
            </w:r>
            <w:r>
              <w:rPr>
                <w:rFonts w:ascii="Calibri"/>
                <w:spacing w:val="-1"/>
                <w:sz w:val="18"/>
              </w:rPr>
              <w:t>likely</w:t>
            </w:r>
            <w:r>
              <w:rPr>
                <w:rFonts w:ascii="Calibri"/>
                <w:spacing w:val="-3"/>
                <w:sz w:val="18"/>
              </w:rPr>
              <w:t xml:space="preserve"> </w:t>
            </w:r>
            <w:r>
              <w:rPr>
                <w:rFonts w:ascii="Calibri"/>
                <w:sz w:val="18"/>
              </w:rPr>
              <w:t>be</w:t>
            </w:r>
            <w:r>
              <w:rPr>
                <w:rFonts w:ascii="Calibri"/>
                <w:spacing w:val="-3"/>
                <w:sz w:val="18"/>
              </w:rPr>
              <w:t xml:space="preserve"> </w:t>
            </w:r>
            <w:r>
              <w:rPr>
                <w:rFonts w:ascii="Calibri"/>
                <w:spacing w:val="-1"/>
                <w:sz w:val="18"/>
              </w:rPr>
              <w:t>implemented.</w:t>
            </w:r>
          </w:p>
        </w:tc>
      </w:tr>
      <w:tr w:rsidR="00E646C9" w:rsidTr="00C3558F">
        <w:trPr>
          <w:trHeight w:hRule="exact" w:val="454"/>
        </w:trPr>
        <w:tc>
          <w:tcPr>
            <w:tcW w:w="4834"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133"/>
              <w:rPr>
                <w:rFonts w:ascii="Calibri" w:eastAsia="Calibri" w:hAnsi="Calibri" w:cs="Calibri"/>
                <w:sz w:val="18"/>
                <w:szCs w:val="18"/>
              </w:rPr>
            </w:pPr>
            <w:r>
              <w:rPr>
                <w:rFonts w:ascii="Calibri" w:eastAsia="Calibri" w:hAnsi="Calibri" w:cs="Calibri"/>
                <w:spacing w:val="-1"/>
                <w:sz w:val="18"/>
                <w:szCs w:val="18"/>
              </w:rPr>
              <w:t>Include information</w:t>
            </w:r>
            <w:r>
              <w:rPr>
                <w:rFonts w:ascii="Calibri" w:eastAsia="Calibri" w:hAnsi="Calibri" w:cs="Calibri"/>
                <w:spacing w:val="-2"/>
                <w:sz w:val="18"/>
                <w:szCs w:val="18"/>
              </w:rPr>
              <w:t xml:space="preserve"> </w:t>
            </w:r>
            <w:r>
              <w:rPr>
                <w:rFonts w:ascii="Calibri" w:eastAsia="Calibri" w:hAnsi="Calibri" w:cs="Calibri"/>
                <w:spacing w:val="-1"/>
                <w:sz w:val="18"/>
                <w:szCs w:val="18"/>
              </w:rPr>
              <w:t xml:space="preserve">about </w:t>
            </w:r>
            <w:r>
              <w:rPr>
                <w:rFonts w:ascii="Calibri" w:eastAsia="Calibri" w:hAnsi="Calibri" w:cs="Calibri"/>
                <w:sz w:val="18"/>
                <w:szCs w:val="18"/>
              </w:rPr>
              <w:t>low-income</w:t>
            </w:r>
            <w:r>
              <w:rPr>
                <w:rFonts w:ascii="Calibri" w:eastAsia="Calibri" w:hAnsi="Calibri" w:cs="Calibri"/>
                <w:spacing w:val="-3"/>
                <w:sz w:val="18"/>
                <w:szCs w:val="18"/>
              </w:rPr>
              <w:t xml:space="preserve"> </w:t>
            </w:r>
            <w:r>
              <w:rPr>
                <w:rFonts w:ascii="Calibri" w:eastAsia="Calibri" w:hAnsi="Calibri" w:cs="Calibri"/>
                <w:spacing w:val="-1"/>
                <w:sz w:val="18"/>
                <w:szCs w:val="18"/>
              </w:rPr>
              <w:t>programs</w:t>
            </w:r>
            <w:r>
              <w:rPr>
                <w:rFonts w:ascii="Calibri" w:eastAsia="Calibri" w:hAnsi="Calibri" w:cs="Calibri"/>
                <w:spacing w:val="-2"/>
                <w:sz w:val="18"/>
                <w:szCs w:val="18"/>
              </w:rPr>
              <w:t xml:space="preserve"> </w:t>
            </w:r>
            <w:r>
              <w:rPr>
                <w:rFonts w:ascii="Calibri" w:eastAsia="Calibri" w:hAnsi="Calibri" w:cs="Calibri"/>
                <w:sz w:val="18"/>
                <w:szCs w:val="18"/>
              </w:rPr>
              <w:t>in</w:t>
            </w:r>
            <w:r>
              <w:rPr>
                <w:rFonts w:ascii="Calibri" w:eastAsia="Calibri" w:hAnsi="Calibri" w:cs="Calibri"/>
                <w:spacing w:val="-3"/>
                <w:sz w:val="18"/>
                <w:szCs w:val="18"/>
              </w:rPr>
              <w:t xml:space="preserve"> </w:t>
            </w:r>
            <w:r>
              <w:rPr>
                <w:rFonts w:ascii="Calibri" w:eastAsia="Calibri" w:hAnsi="Calibri" w:cs="Calibri"/>
                <w:spacing w:val="-1"/>
                <w:sz w:val="18"/>
                <w:szCs w:val="18"/>
              </w:rPr>
              <w:t>customers’</w:t>
            </w:r>
            <w:r>
              <w:rPr>
                <w:rFonts w:ascii="Calibri" w:eastAsia="Calibri" w:hAnsi="Calibri" w:cs="Calibri"/>
                <w:spacing w:val="55"/>
                <w:sz w:val="18"/>
                <w:szCs w:val="18"/>
              </w:rPr>
              <w:t xml:space="preserve"> </w:t>
            </w:r>
            <w:r>
              <w:rPr>
                <w:rFonts w:ascii="Calibri" w:eastAsia="Calibri" w:hAnsi="Calibri" w:cs="Calibri"/>
                <w:spacing w:val="-1"/>
                <w:sz w:val="18"/>
                <w:szCs w:val="18"/>
              </w:rPr>
              <w:t>monthly</w:t>
            </w:r>
            <w:r>
              <w:rPr>
                <w:rFonts w:ascii="Calibri" w:eastAsia="Calibri" w:hAnsi="Calibri" w:cs="Calibri"/>
                <w:spacing w:val="-3"/>
                <w:sz w:val="18"/>
                <w:szCs w:val="18"/>
              </w:rPr>
              <w:t xml:space="preserve"> </w:t>
            </w:r>
            <w:r>
              <w:rPr>
                <w:rFonts w:ascii="Calibri" w:eastAsia="Calibri" w:hAnsi="Calibri" w:cs="Calibri"/>
                <w:spacing w:val="-1"/>
                <w:sz w:val="18"/>
                <w:szCs w:val="18"/>
              </w:rPr>
              <w:t>energy</w:t>
            </w:r>
            <w:r>
              <w:rPr>
                <w:rFonts w:ascii="Calibri" w:eastAsia="Calibri" w:hAnsi="Calibri" w:cs="Calibri"/>
                <w:spacing w:val="-2"/>
                <w:sz w:val="18"/>
                <w:szCs w:val="18"/>
              </w:rPr>
              <w:t xml:space="preserve"> </w:t>
            </w:r>
            <w:r>
              <w:rPr>
                <w:rFonts w:ascii="Calibri" w:eastAsia="Calibri" w:hAnsi="Calibri" w:cs="Calibri"/>
                <w:spacing w:val="-1"/>
                <w:sz w:val="18"/>
                <w:szCs w:val="18"/>
              </w:rPr>
              <w:t>bills.</w:t>
            </w:r>
          </w:p>
        </w:tc>
        <w:tc>
          <w:tcPr>
            <w:tcW w:w="4528"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7" w:right="423"/>
              <w:rPr>
                <w:rFonts w:ascii="Calibri" w:eastAsia="Calibri" w:hAnsi="Calibri" w:cs="Calibri"/>
                <w:sz w:val="18"/>
                <w:szCs w:val="18"/>
              </w:rPr>
            </w:pPr>
            <w:r>
              <w:rPr>
                <w:rFonts w:ascii="Calibri"/>
                <w:spacing w:val="-1"/>
                <w:sz w:val="18"/>
              </w:rPr>
              <w:t>Will</w:t>
            </w:r>
            <w:r>
              <w:rPr>
                <w:rFonts w:ascii="Calibri"/>
                <w:spacing w:val="-4"/>
                <w:sz w:val="18"/>
              </w:rPr>
              <w:t xml:space="preserve"> </w:t>
            </w:r>
            <w:r>
              <w:rPr>
                <w:rFonts w:ascii="Calibri"/>
                <w:spacing w:val="-1"/>
                <w:sz w:val="18"/>
              </w:rPr>
              <w:t>be</w:t>
            </w:r>
            <w:r>
              <w:rPr>
                <w:rFonts w:ascii="Calibri"/>
                <w:spacing w:val="-3"/>
                <w:sz w:val="18"/>
              </w:rPr>
              <w:t xml:space="preserve"> </w:t>
            </w:r>
            <w:r>
              <w:rPr>
                <w:rFonts w:ascii="Calibri"/>
                <w:sz w:val="18"/>
              </w:rPr>
              <w:t>implemented</w:t>
            </w:r>
            <w:r>
              <w:rPr>
                <w:rFonts w:ascii="Calibri"/>
                <w:spacing w:val="-3"/>
                <w:sz w:val="18"/>
              </w:rPr>
              <w:t xml:space="preserve"> </w:t>
            </w:r>
            <w:r>
              <w:rPr>
                <w:rFonts w:ascii="Calibri"/>
                <w:sz w:val="18"/>
              </w:rPr>
              <w:t>as</w:t>
            </w:r>
            <w:r>
              <w:rPr>
                <w:rFonts w:ascii="Calibri"/>
                <w:spacing w:val="-2"/>
                <w:sz w:val="18"/>
              </w:rPr>
              <w:t xml:space="preserve"> </w:t>
            </w:r>
            <w:r>
              <w:rPr>
                <w:rFonts w:ascii="Calibri"/>
                <w:spacing w:val="-1"/>
                <w:sz w:val="18"/>
              </w:rPr>
              <w:t>part</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the</w:t>
            </w:r>
            <w:r>
              <w:rPr>
                <w:rFonts w:ascii="Calibri"/>
                <w:spacing w:val="-4"/>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1"/>
                <w:sz w:val="18"/>
              </w:rPr>
              <w:t xml:space="preserve"> marketing</w:t>
            </w:r>
            <w:r>
              <w:rPr>
                <w:rFonts w:ascii="Calibri"/>
                <w:spacing w:val="39"/>
                <w:w w:val="99"/>
                <w:sz w:val="18"/>
              </w:rPr>
              <w:t xml:space="preserve"> </w:t>
            </w:r>
            <w:r>
              <w:rPr>
                <w:rFonts w:ascii="Calibri"/>
                <w:spacing w:val="-1"/>
                <w:sz w:val="18"/>
              </w:rPr>
              <w:t>strategy.</w:t>
            </w:r>
          </w:p>
        </w:tc>
      </w:tr>
      <w:tr w:rsidR="00E646C9" w:rsidTr="00C3558F">
        <w:trPr>
          <w:trHeight w:hRule="exact" w:val="454"/>
        </w:trPr>
        <w:tc>
          <w:tcPr>
            <w:tcW w:w="4834"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534"/>
              <w:rPr>
                <w:rFonts w:ascii="Calibri" w:eastAsia="Calibri" w:hAnsi="Calibri" w:cs="Calibri"/>
                <w:sz w:val="18"/>
                <w:szCs w:val="18"/>
              </w:rPr>
            </w:pPr>
            <w:r>
              <w:rPr>
                <w:rFonts w:ascii="Calibri"/>
                <w:spacing w:val="-1"/>
                <w:sz w:val="18"/>
              </w:rPr>
              <w:t>Provide</w:t>
            </w:r>
            <w:r>
              <w:rPr>
                <w:rFonts w:ascii="Calibri"/>
                <w:spacing w:val="-4"/>
                <w:sz w:val="18"/>
              </w:rPr>
              <w:t xml:space="preserve"> </w:t>
            </w:r>
            <w:r>
              <w:rPr>
                <w:rFonts w:ascii="Calibri"/>
                <w:sz w:val="18"/>
              </w:rPr>
              <w:t>more</w:t>
            </w:r>
            <w:r>
              <w:rPr>
                <w:rFonts w:ascii="Calibri"/>
                <w:spacing w:val="-5"/>
                <w:sz w:val="18"/>
              </w:rPr>
              <w:t xml:space="preserve"> </w:t>
            </w:r>
            <w:r>
              <w:rPr>
                <w:rFonts w:ascii="Calibri"/>
                <w:spacing w:val="-1"/>
                <w:sz w:val="18"/>
              </w:rPr>
              <w:t>clear</w:t>
            </w:r>
            <w:r>
              <w:rPr>
                <w:rFonts w:ascii="Calibri"/>
                <w:spacing w:val="-3"/>
                <w:sz w:val="18"/>
              </w:rPr>
              <w:t xml:space="preserve"> </w:t>
            </w:r>
            <w:r>
              <w:rPr>
                <w:rFonts w:ascii="Calibri"/>
                <w:spacing w:val="-1"/>
                <w:sz w:val="18"/>
              </w:rPr>
              <w:t>information</w:t>
            </w:r>
            <w:r>
              <w:rPr>
                <w:rFonts w:ascii="Calibri"/>
                <w:spacing w:val="-4"/>
                <w:sz w:val="18"/>
              </w:rPr>
              <w:t xml:space="preserve"> </w:t>
            </w:r>
            <w:r>
              <w:rPr>
                <w:rFonts w:ascii="Calibri"/>
                <w:spacing w:val="-1"/>
                <w:sz w:val="18"/>
              </w:rPr>
              <w:t>regarding</w:t>
            </w:r>
            <w:r>
              <w:rPr>
                <w:rFonts w:ascii="Calibri"/>
                <w:spacing w:val="-4"/>
                <w:sz w:val="18"/>
              </w:rPr>
              <w:t xml:space="preserve"> </w:t>
            </w:r>
            <w:r>
              <w:rPr>
                <w:rFonts w:ascii="Calibri"/>
                <w:sz w:val="18"/>
              </w:rPr>
              <w:t>the</w:t>
            </w:r>
            <w:r>
              <w:rPr>
                <w:rFonts w:ascii="Calibri"/>
                <w:spacing w:val="-4"/>
                <w:sz w:val="18"/>
              </w:rPr>
              <w:t xml:space="preserve"> </w:t>
            </w:r>
            <w:r>
              <w:rPr>
                <w:rFonts w:ascii="Calibri"/>
                <w:spacing w:val="-1"/>
                <w:sz w:val="18"/>
              </w:rPr>
              <w:t>conditional</w:t>
            </w:r>
            <w:r>
              <w:rPr>
                <w:rFonts w:ascii="Calibri"/>
                <w:spacing w:val="69"/>
                <w:sz w:val="18"/>
              </w:rPr>
              <w:t xml:space="preserve"> </w:t>
            </w:r>
            <w:r>
              <w:rPr>
                <w:rFonts w:ascii="Calibri"/>
                <w:spacing w:val="-1"/>
                <w:sz w:val="18"/>
              </w:rPr>
              <w:t>nature</w:t>
            </w:r>
            <w:r>
              <w:rPr>
                <w:rFonts w:ascii="Calibri"/>
                <w:spacing w:val="-4"/>
                <w:sz w:val="18"/>
              </w:rPr>
              <w:t xml:space="preserve"> </w:t>
            </w:r>
            <w:r>
              <w:rPr>
                <w:rFonts w:ascii="Calibri"/>
                <w:sz w:val="18"/>
              </w:rPr>
              <w:t>of</w:t>
            </w:r>
            <w:r>
              <w:rPr>
                <w:rFonts w:ascii="Calibri"/>
                <w:spacing w:val="-3"/>
                <w:sz w:val="18"/>
              </w:rPr>
              <w:t xml:space="preserve"> </w:t>
            </w:r>
            <w:r>
              <w:rPr>
                <w:rFonts w:ascii="Calibri"/>
                <w:spacing w:val="-1"/>
                <w:sz w:val="18"/>
              </w:rPr>
              <w:t>program</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pilot offerings.</w:t>
            </w:r>
          </w:p>
        </w:tc>
        <w:tc>
          <w:tcPr>
            <w:tcW w:w="4528"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7"/>
              <w:rPr>
                <w:rFonts w:ascii="Calibri" w:eastAsia="Calibri" w:hAnsi="Calibri" w:cs="Calibri"/>
                <w:sz w:val="18"/>
                <w:szCs w:val="18"/>
              </w:rPr>
            </w:pPr>
            <w:r>
              <w:rPr>
                <w:rFonts w:ascii="Calibri"/>
                <w:spacing w:val="-1"/>
                <w:sz w:val="18"/>
              </w:rPr>
              <w:t>Will</w:t>
            </w:r>
            <w:r>
              <w:rPr>
                <w:rFonts w:ascii="Calibri"/>
                <w:spacing w:val="-5"/>
                <w:sz w:val="18"/>
              </w:rPr>
              <w:t xml:space="preserve"> </w:t>
            </w:r>
            <w:r>
              <w:rPr>
                <w:rFonts w:ascii="Calibri"/>
                <w:spacing w:val="-1"/>
                <w:sz w:val="18"/>
              </w:rPr>
              <w:t>be</w:t>
            </w:r>
            <w:r>
              <w:rPr>
                <w:rFonts w:ascii="Calibri"/>
                <w:spacing w:val="-5"/>
                <w:sz w:val="18"/>
              </w:rPr>
              <w:t xml:space="preserve"> </w:t>
            </w:r>
            <w:r>
              <w:rPr>
                <w:rFonts w:ascii="Calibri"/>
                <w:sz w:val="18"/>
              </w:rPr>
              <w:t>implemented.</w:t>
            </w:r>
          </w:p>
        </w:tc>
      </w:tr>
      <w:tr w:rsidR="00E646C9" w:rsidTr="00C3558F">
        <w:trPr>
          <w:trHeight w:hRule="exact" w:val="458"/>
        </w:trPr>
        <w:tc>
          <w:tcPr>
            <w:tcW w:w="4834"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477"/>
              <w:rPr>
                <w:rFonts w:ascii="Calibri" w:eastAsia="Calibri" w:hAnsi="Calibri" w:cs="Calibri"/>
                <w:sz w:val="18"/>
                <w:szCs w:val="18"/>
              </w:rPr>
            </w:pPr>
            <w:r>
              <w:rPr>
                <w:rFonts w:ascii="Calibri"/>
                <w:spacing w:val="-1"/>
                <w:sz w:val="18"/>
              </w:rPr>
              <w:t>Train</w:t>
            </w:r>
            <w:r>
              <w:rPr>
                <w:rFonts w:ascii="Calibri"/>
                <w:spacing w:val="-4"/>
                <w:sz w:val="18"/>
              </w:rPr>
              <w:t xml:space="preserve"> </w:t>
            </w:r>
            <w:r>
              <w:rPr>
                <w:rFonts w:ascii="Calibri"/>
                <w:spacing w:val="-1"/>
                <w:sz w:val="18"/>
              </w:rPr>
              <w:t>technicians</w:t>
            </w:r>
            <w:r>
              <w:rPr>
                <w:rFonts w:ascii="Calibri"/>
                <w:spacing w:val="-3"/>
                <w:sz w:val="18"/>
              </w:rPr>
              <w:t xml:space="preserve"> </w:t>
            </w:r>
            <w:r>
              <w:rPr>
                <w:rFonts w:ascii="Calibri"/>
                <w:spacing w:val="-1"/>
                <w:sz w:val="18"/>
              </w:rPr>
              <w:t>about</w:t>
            </w:r>
            <w:r>
              <w:rPr>
                <w:rFonts w:ascii="Calibri"/>
                <w:spacing w:val="-2"/>
                <w:sz w:val="18"/>
              </w:rPr>
              <w:t xml:space="preserve"> </w:t>
            </w:r>
            <w:r>
              <w:rPr>
                <w:rFonts w:ascii="Calibri"/>
                <w:sz w:val="18"/>
              </w:rPr>
              <w:t>other</w:t>
            </w:r>
            <w:r>
              <w:rPr>
                <w:rFonts w:ascii="Calibri"/>
                <w:spacing w:val="-2"/>
                <w:sz w:val="18"/>
              </w:rPr>
              <w:t xml:space="preserve"> </w:t>
            </w:r>
            <w:r>
              <w:rPr>
                <w:rFonts w:ascii="Calibri"/>
                <w:spacing w:val="-1"/>
                <w:sz w:val="18"/>
              </w:rPr>
              <w:t>program</w:t>
            </w:r>
            <w:r>
              <w:rPr>
                <w:rFonts w:ascii="Calibri"/>
                <w:spacing w:val="-3"/>
                <w:sz w:val="18"/>
              </w:rPr>
              <w:t xml:space="preserve"> </w:t>
            </w:r>
            <w:r>
              <w:rPr>
                <w:rFonts w:ascii="Calibri"/>
                <w:spacing w:val="-1"/>
                <w:sz w:val="18"/>
              </w:rPr>
              <w:t>offerings</w:t>
            </w:r>
            <w:r>
              <w:rPr>
                <w:rFonts w:ascii="Calibri"/>
                <w:spacing w:val="-3"/>
                <w:sz w:val="18"/>
              </w:rPr>
              <w:t xml:space="preserve"> </w:t>
            </w:r>
            <w:r>
              <w:rPr>
                <w:rFonts w:ascii="Calibri"/>
                <w:sz w:val="18"/>
              </w:rPr>
              <w:t>to</w:t>
            </w:r>
            <w:r>
              <w:rPr>
                <w:rFonts w:ascii="Calibri"/>
                <w:spacing w:val="-2"/>
                <w:sz w:val="18"/>
              </w:rPr>
              <w:t xml:space="preserve"> </w:t>
            </w:r>
            <w:r>
              <w:rPr>
                <w:rFonts w:ascii="Calibri"/>
                <w:sz w:val="18"/>
              </w:rPr>
              <w:t>inform</w:t>
            </w:r>
            <w:r>
              <w:rPr>
                <w:rFonts w:ascii="Calibri"/>
                <w:spacing w:val="51"/>
                <w:w w:val="99"/>
                <w:sz w:val="18"/>
              </w:rPr>
              <w:t xml:space="preserve"> </w:t>
            </w:r>
            <w:r>
              <w:rPr>
                <w:rFonts w:ascii="Calibri"/>
                <w:spacing w:val="-1"/>
                <w:sz w:val="18"/>
              </w:rPr>
              <w:t>participants.</w:t>
            </w:r>
          </w:p>
        </w:tc>
        <w:tc>
          <w:tcPr>
            <w:tcW w:w="4528"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ind w:left="97"/>
              <w:rPr>
                <w:rFonts w:ascii="Calibri" w:eastAsia="Calibri" w:hAnsi="Calibri" w:cs="Calibri"/>
                <w:sz w:val="18"/>
                <w:szCs w:val="18"/>
              </w:rPr>
            </w:pPr>
            <w:r>
              <w:rPr>
                <w:rFonts w:ascii="Calibri"/>
                <w:spacing w:val="-1"/>
                <w:sz w:val="18"/>
              </w:rPr>
              <w:t>Will</w:t>
            </w:r>
            <w:r>
              <w:rPr>
                <w:rFonts w:ascii="Calibri"/>
                <w:spacing w:val="-5"/>
                <w:sz w:val="18"/>
              </w:rPr>
              <w:t xml:space="preserve"> </w:t>
            </w:r>
            <w:r>
              <w:rPr>
                <w:rFonts w:ascii="Calibri"/>
                <w:spacing w:val="-1"/>
                <w:sz w:val="18"/>
              </w:rPr>
              <w:t>be</w:t>
            </w:r>
            <w:r>
              <w:rPr>
                <w:rFonts w:ascii="Calibri"/>
                <w:spacing w:val="-5"/>
                <w:sz w:val="18"/>
              </w:rPr>
              <w:t xml:space="preserve"> </w:t>
            </w:r>
            <w:r>
              <w:rPr>
                <w:rFonts w:ascii="Calibri"/>
                <w:spacing w:val="-1"/>
                <w:sz w:val="18"/>
              </w:rPr>
              <w:t>implemented.</w:t>
            </w:r>
          </w:p>
        </w:tc>
      </w:tr>
    </w:tbl>
    <w:p w:rsidR="00E646C9" w:rsidRPr="00130312" w:rsidRDefault="00E646C9" w:rsidP="00E646C9"/>
    <w:p w:rsidR="00E646C9" w:rsidRPr="00130312" w:rsidRDefault="00E646C9" w:rsidP="00C3558F">
      <w:pPr>
        <w:pStyle w:val="AppendixGHeading2"/>
      </w:pPr>
      <w:r w:rsidRPr="00E45771">
        <w:t>Continuous Energy Improvement Program</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89"/>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spacing w:line="218" w:lineRule="exact"/>
              <w:ind w:left="76"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94D5A">
        <w:trPr>
          <w:trHeight w:hRule="exact" w:val="456"/>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665"/>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pacing w:val="-1"/>
                <w:sz w:val="18"/>
              </w:rPr>
              <w:t>maintaining</w:t>
            </w:r>
            <w:r>
              <w:rPr>
                <w:rFonts w:ascii="Calibri"/>
                <w:spacing w:val="-2"/>
                <w:sz w:val="18"/>
              </w:rPr>
              <w:t xml:space="preserve"> </w:t>
            </w:r>
            <w:r>
              <w:rPr>
                <w:rFonts w:ascii="Calibri"/>
                <w:sz w:val="18"/>
              </w:rPr>
              <w:t>the</w:t>
            </w:r>
            <w:r>
              <w:rPr>
                <w:rFonts w:ascii="Calibri"/>
                <w:spacing w:val="-1"/>
                <w:sz w:val="18"/>
              </w:rPr>
              <w:t xml:space="preserve"> same baseline</w:t>
            </w:r>
            <w:r>
              <w:rPr>
                <w:rFonts w:ascii="Calibri"/>
                <w:spacing w:val="-3"/>
                <w:sz w:val="18"/>
              </w:rPr>
              <w:t xml:space="preserve"> </w:t>
            </w:r>
            <w:r>
              <w:rPr>
                <w:rFonts w:ascii="Calibri"/>
                <w:spacing w:val="-1"/>
                <w:sz w:val="18"/>
              </w:rPr>
              <w:t>period</w:t>
            </w:r>
            <w:r>
              <w:rPr>
                <w:rFonts w:ascii="Calibri"/>
                <w:spacing w:val="-2"/>
                <w:sz w:val="18"/>
              </w:rPr>
              <w:t xml:space="preserve"> </w:t>
            </w:r>
            <w:r>
              <w:rPr>
                <w:rFonts w:ascii="Calibri"/>
                <w:sz w:val="18"/>
              </w:rPr>
              <w:t>for</w:t>
            </w:r>
            <w:r>
              <w:rPr>
                <w:rFonts w:ascii="Calibri"/>
                <w:spacing w:val="-2"/>
                <w:sz w:val="18"/>
              </w:rPr>
              <w:t xml:space="preserve"> </w:t>
            </w:r>
            <w:r>
              <w:rPr>
                <w:rFonts w:ascii="Calibri"/>
                <w:spacing w:val="-1"/>
                <w:sz w:val="18"/>
              </w:rPr>
              <w:t>all</w:t>
            </w:r>
            <w:r>
              <w:rPr>
                <w:rFonts w:ascii="Calibri"/>
                <w:spacing w:val="59"/>
                <w:sz w:val="18"/>
              </w:rPr>
              <w:t xml:space="preserve"> </w:t>
            </w:r>
            <w:r>
              <w:rPr>
                <w:rFonts w:ascii="Calibri"/>
                <w:spacing w:val="-1"/>
                <w:sz w:val="18"/>
              </w:rPr>
              <w:t>schools.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94D5A">
        <w:trPr>
          <w:trHeight w:hRule="exact" w:val="302"/>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before="31"/>
              <w:ind w:left="97"/>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using</w:t>
            </w:r>
            <w:r>
              <w:rPr>
                <w:rFonts w:ascii="Calibri"/>
                <w:spacing w:val="-2"/>
                <w:sz w:val="18"/>
              </w:rPr>
              <w:t xml:space="preserve"> </w:t>
            </w:r>
            <w:r>
              <w:rPr>
                <w:rFonts w:ascii="Calibri"/>
                <w:sz w:val="18"/>
              </w:rPr>
              <w:t>at</w:t>
            </w:r>
            <w:r>
              <w:rPr>
                <w:rFonts w:ascii="Calibri"/>
                <w:spacing w:val="-1"/>
                <w:sz w:val="18"/>
              </w:rPr>
              <w:t xml:space="preserve"> least</w:t>
            </w:r>
            <w:r>
              <w:rPr>
                <w:rFonts w:ascii="Calibri"/>
                <w:spacing w:val="-2"/>
                <w:sz w:val="18"/>
              </w:rPr>
              <w:t xml:space="preserve"> </w:t>
            </w:r>
            <w:r>
              <w:rPr>
                <w:rFonts w:ascii="Calibri"/>
                <w:sz w:val="18"/>
              </w:rPr>
              <w:t>12</w:t>
            </w:r>
            <w:r>
              <w:rPr>
                <w:rFonts w:ascii="Calibri"/>
                <w:spacing w:val="-1"/>
                <w:sz w:val="18"/>
              </w:rPr>
              <w:t xml:space="preserve"> </w:t>
            </w:r>
            <w:r>
              <w:rPr>
                <w:rFonts w:ascii="Calibri"/>
                <w:sz w:val="18"/>
              </w:rPr>
              <w:t>months</w:t>
            </w:r>
            <w:r>
              <w:rPr>
                <w:rFonts w:ascii="Calibri"/>
                <w:spacing w:val="-2"/>
                <w:sz w:val="18"/>
              </w:rPr>
              <w:t xml:space="preserve"> </w:t>
            </w:r>
            <w:r>
              <w:rPr>
                <w:rFonts w:ascii="Calibri"/>
                <w:sz w:val="18"/>
              </w:rPr>
              <w:t>for</w:t>
            </w:r>
            <w:r>
              <w:rPr>
                <w:rFonts w:ascii="Calibri"/>
                <w:spacing w:val="-2"/>
                <w:sz w:val="18"/>
              </w:rPr>
              <w:t xml:space="preserve"> </w:t>
            </w:r>
            <w:r>
              <w:rPr>
                <w:rFonts w:ascii="Calibri"/>
                <w:spacing w:val="-1"/>
                <w:sz w:val="18"/>
              </w:rPr>
              <w:t>school</w:t>
            </w:r>
            <w:r>
              <w:rPr>
                <w:rFonts w:ascii="Calibri"/>
                <w:spacing w:val="-2"/>
                <w:sz w:val="18"/>
              </w:rPr>
              <w:t xml:space="preserve"> </w:t>
            </w:r>
            <w:r>
              <w:rPr>
                <w:rFonts w:ascii="Calibri"/>
                <w:spacing w:val="-1"/>
                <w:sz w:val="18"/>
              </w:rPr>
              <w:t>baselines.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94D5A">
        <w:trPr>
          <w:trHeight w:hRule="exact" w:val="67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306"/>
              <w:rPr>
                <w:rFonts w:ascii="Calibri" w:eastAsia="Calibri" w:hAnsi="Calibri" w:cs="Calibri"/>
                <w:sz w:val="18"/>
                <w:szCs w:val="18"/>
              </w:rPr>
            </w:pPr>
            <w:r>
              <w:rPr>
                <w:rFonts w:ascii="Calibri"/>
                <w:spacing w:val="-1"/>
                <w:sz w:val="18"/>
              </w:rPr>
              <w:t>Ensure baseline</w:t>
            </w:r>
            <w:r>
              <w:rPr>
                <w:rFonts w:ascii="Calibri"/>
                <w:sz w:val="18"/>
              </w:rPr>
              <w:t xml:space="preserve"> </w:t>
            </w:r>
            <w:r>
              <w:rPr>
                <w:rFonts w:ascii="Calibri"/>
                <w:spacing w:val="-1"/>
                <w:sz w:val="18"/>
              </w:rPr>
              <w:t>periods</w:t>
            </w:r>
            <w:r>
              <w:rPr>
                <w:rFonts w:ascii="Calibri"/>
                <w:spacing w:val="-2"/>
                <w:sz w:val="18"/>
              </w:rPr>
              <w:t xml:space="preserve"> </w:t>
            </w:r>
            <w:r>
              <w:rPr>
                <w:rFonts w:ascii="Calibri"/>
                <w:sz w:val="18"/>
              </w:rPr>
              <w:t>for</w:t>
            </w:r>
            <w:r>
              <w:rPr>
                <w:rFonts w:ascii="Calibri"/>
                <w:spacing w:val="-1"/>
                <w:sz w:val="18"/>
              </w:rPr>
              <w:t xml:space="preserve"> schools</w:t>
            </w:r>
            <w:r>
              <w:rPr>
                <w:rFonts w:ascii="Calibri"/>
                <w:spacing w:val="-2"/>
                <w:sz w:val="18"/>
              </w:rPr>
              <w:t xml:space="preserve"> </w:t>
            </w:r>
            <w:r>
              <w:rPr>
                <w:rFonts w:ascii="Calibri"/>
                <w:spacing w:val="-1"/>
                <w:sz w:val="18"/>
              </w:rPr>
              <w:t>do not</w:t>
            </w:r>
            <w:r>
              <w:rPr>
                <w:rFonts w:ascii="Calibri"/>
                <w:spacing w:val="-2"/>
                <w:sz w:val="18"/>
              </w:rPr>
              <w:t xml:space="preserve"> </w:t>
            </w:r>
            <w:r>
              <w:rPr>
                <w:rFonts w:ascii="Calibri"/>
                <w:spacing w:val="-1"/>
                <w:sz w:val="18"/>
              </w:rPr>
              <w:t>overlap</w:t>
            </w:r>
            <w:r>
              <w:rPr>
                <w:rFonts w:ascii="Calibri"/>
                <w:spacing w:val="-2"/>
                <w:sz w:val="18"/>
              </w:rPr>
              <w:t xml:space="preserve"> </w:t>
            </w:r>
            <w:r>
              <w:rPr>
                <w:rFonts w:ascii="Calibri"/>
                <w:spacing w:val="-1"/>
                <w:sz w:val="18"/>
              </w:rPr>
              <w:t>with</w:t>
            </w:r>
            <w:r>
              <w:rPr>
                <w:rFonts w:ascii="Calibri"/>
                <w:spacing w:val="53"/>
                <w:sz w:val="18"/>
              </w:rPr>
              <w:t xml:space="preserve"> </w:t>
            </w:r>
            <w:r>
              <w:rPr>
                <w:rFonts w:ascii="Calibri"/>
                <w:spacing w:val="-1"/>
                <w:sz w:val="18"/>
              </w:rPr>
              <w:t>implementation</w:t>
            </w:r>
            <w:r>
              <w:rPr>
                <w:rFonts w:ascii="Calibri"/>
                <w:spacing w:val="-3"/>
                <w:sz w:val="18"/>
              </w:rPr>
              <w:t xml:space="preserve"> </w:t>
            </w:r>
            <w:r>
              <w:rPr>
                <w:rFonts w:ascii="Calibri"/>
                <w:spacing w:val="-1"/>
                <w:sz w:val="18"/>
              </w:rPr>
              <w:t>periods</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other</w:t>
            </w:r>
            <w:r>
              <w:rPr>
                <w:rFonts w:ascii="Calibri"/>
                <w:spacing w:val="-2"/>
                <w:sz w:val="18"/>
              </w:rPr>
              <w:t xml:space="preserve"> </w:t>
            </w:r>
            <w:r>
              <w:rPr>
                <w:rFonts w:ascii="Calibri"/>
                <w:spacing w:val="-1"/>
                <w:sz w:val="18"/>
              </w:rPr>
              <w:t>schools</w:t>
            </w:r>
            <w:r>
              <w:rPr>
                <w:rFonts w:ascii="Calibri"/>
                <w:spacing w:val="-3"/>
                <w:sz w:val="18"/>
              </w:rPr>
              <w:t xml:space="preserve"> </w:t>
            </w:r>
            <w:r>
              <w:rPr>
                <w:rFonts w:ascii="Calibri"/>
                <w:spacing w:val="-1"/>
                <w:sz w:val="18"/>
              </w:rPr>
              <w:t>within</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same</w:t>
            </w:r>
            <w:r>
              <w:rPr>
                <w:rFonts w:ascii="Calibri"/>
                <w:spacing w:val="55"/>
                <w:w w:val="99"/>
                <w:sz w:val="18"/>
              </w:rPr>
              <w:t xml:space="preserve"> </w:t>
            </w:r>
            <w:r>
              <w:rPr>
                <w:rFonts w:ascii="Calibri"/>
                <w:spacing w:val="-1"/>
                <w:sz w:val="18"/>
              </w:rPr>
              <w:t>district.</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94D5A">
        <w:trPr>
          <w:trHeight w:hRule="exact" w:val="454"/>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456"/>
              <w:rPr>
                <w:rFonts w:ascii="Calibri" w:eastAsia="Calibri" w:hAnsi="Calibri" w:cs="Calibri"/>
                <w:sz w:val="18"/>
                <w:szCs w:val="18"/>
              </w:rPr>
            </w:pPr>
            <w:r>
              <w:rPr>
                <w:rFonts w:ascii="Calibri"/>
                <w:spacing w:val="-1"/>
                <w:sz w:val="18"/>
              </w:rPr>
              <w:t>Encourage</w:t>
            </w:r>
            <w:r>
              <w:rPr>
                <w:rFonts w:ascii="Calibri"/>
                <w:spacing w:val="-4"/>
                <w:sz w:val="18"/>
              </w:rPr>
              <w:t xml:space="preserve"> </w:t>
            </w:r>
            <w:r>
              <w:rPr>
                <w:rFonts w:ascii="Calibri"/>
                <w:spacing w:val="-1"/>
                <w:sz w:val="18"/>
              </w:rPr>
              <w:t>CEI</w:t>
            </w:r>
            <w:r>
              <w:rPr>
                <w:rFonts w:ascii="Calibri"/>
                <w:spacing w:val="-2"/>
                <w:sz w:val="18"/>
              </w:rPr>
              <w:t xml:space="preserve"> </w:t>
            </w:r>
            <w:r>
              <w:rPr>
                <w:rFonts w:ascii="Calibri"/>
                <w:spacing w:val="-1"/>
                <w:sz w:val="18"/>
              </w:rPr>
              <w:t>participants</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enroll</w:t>
            </w:r>
            <w:r>
              <w:rPr>
                <w:rFonts w:ascii="Calibri"/>
                <w:spacing w:val="-3"/>
                <w:sz w:val="18"/>
              </w:rPr>
              <w:t xml:space="preserve"> </w:t>
            </w:r>
            <w:r>
              <w:rPr>
                <w:rFonts w:ascii="Calibri"/>
                <w:sz w:val="18"/>
              </w:rPr>
              <w:t>in</w:t>
            </w:r>
            <w:r>
              <w:rPr>
                <w:rFonts w:ascii="Calibri"/>
                <w:spacing w:val="-4"/>
                <w:sz w:val="18"/>
              </w:rPr>
              <w:t xml:space="preserve"> </w:t>
            </w:r>
            <w:r>
              <w:rPr>
                <w:rFonts w:ascii="Calibri"/>
                <w:spacing w:val="-1"/>
                <w:sz w:val="18"/>
              </w:rPr>
              <w:t>other</w:t>
            </w:r>
            <w:r>
              <w:rPr>
                <w:rFonts w:ascii="Calibri"/>
                <w:spacing w:val="-2"/>
                <w:sz w:val="18"/>
              </w:rPr>
              <w:t xml:space="preserve"> </w:t>
            </w:r>
            <w:r>
              <w:rPr>
                <w:rFonts w:ascii="Calibri"/>
                <w:sz w:val="18"/>
              </w:rPr>
              <w:t>PPL</w:t>
            </w:r>
            <w:r>
              <w:rPr>
                <w:rFonts w:ascii="Calibri"/>
                <w:spacing w:val="-1"/>
                <w:sz w:val="18"/>
              </w:rPr>
              <w:t xml:space="preserve"> Electric</w:t>
            </w:r>
            <w:r>
              <w:rPr>
                <w:rFonts w:ascii="Calibri"/>
                <w:spacing w:val="53"/>
                <w:w w:val="99"/>
                <w:sz w:val="18"/>
              </w:rPr>
              <w:t xml:space="preserve"> </w:t>
            </w:r>
            <w:r>
              <w:rPr>
                <w:rFonts w:ascii="Calibri"/>
                <w:spacing w:val="-1"/>
                <w:sz w:val="18"/>
              </w:rPr>
              <w:t>programs.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Will</w:t>
            </w:r>
            <w:r>
              <w:rPr>
                <w:rFonts w:ascii="Calibri"/>
                <w:spacing w:val="-4"/>
                <w:sz w:val="18"/>
              </w:rPr>
              <w:t xml:space="preserve"> </w:t>
            </w:r>
            <w:r>
              <w:rPr>
                <w:rFonts w:ascii="Calibri"/>
                <w:spacing w:val="-1"/>
                <w:sz w:val="18"/>
              </w:rPr>
              <w:t>be</w:t>
            </w:r>
            <w:r>
              <w:rPr>
                <w:rFonts w:ascii="Calibri"/>
                <w:spacing w:val="-4"/>
                <w:sz w:val="18"/>
              </w:rPr>
              <w:t xml:space="preserve"> </w:t>
            </w:r>
            <w:r>
              <w:rPr>
                <w:rFonts w:ascii="Calibri"/>
                <w:sz w:val="18"/>
              </w:rPr>
              <w:t>implemented</w:t>
            </w:r>
            <w:r>
              <w:rPr>
                <w:rFonts w:ascii="Calibri"/>
                <w:spacing w:val="-4"/>
                <w:sz w:val="18"/>
              </w:rPr>
              <w:t xml:space="preserve"> </w:t>
            </w:r>
            <w:r>
              <w:rPr>
                <w:rFonts w:ascii="Calibri"/>
                <w:spacing w:val="-1"/>
                <w:sz w:val="18"/>
              </w:rPr>
              <w:t>when program</w:t>
            </w:r>
            <w:r>
              <w:rPr>
                <w:rFonts w:ascii="Calibri"/>
                <w:spacing w:val="-3"/>
                <w:sz w:val="18"/>
              </w:rPr>
              <w:t xml:space="preserve"> </w:t>
            </w:r>
            <w:r>
              <w:rPr>
                <w:rFonts w:ascii="Calibri"/>
                <w:sz w:val="18"/>
              </w:rPr>
              <w:t>is</w:t>
            </w:r>
            <w:r>
              <w:rPr>
                <w:rFonts w:ascii="Calibri"/>
                <w:spacing w:val="-4"/>
                <w:sz w:val="18"/>
              </w:rPr>
              <w:t xml:space="preserve"> </w:t>
            </w:r>
            <w:r>
              <w:rPr>
                <w:rFonts w:ascii="Calibri"/>
                <w:spacing w:val="-1"/>
                <w:sz w:val="18"/>
              </w:rPr>
              <w:t>launched.</w:t>
            </w:r>
          </w:p>
        </w:tc>
      </w:tr>
      <w:tr w:rsidR="00E646C9" w:rsidTr="00C94D5A">
        <w:trPr>
          <w:trHeight w:hRule="exact" w:val="67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509" w:firstLine="40"/>
              <w:rPr>
                <w:rFonts w:ascii="Calibri" w:eastAsia="Calibri" w:hAnsi="Calibri" w:cs="Calibri"/>
                <w:sz w:val="18"/>
                <w:szCs w:val="18"/>
              </w:rPr>
            </w:pPr>
            <w:r>
              <w:rPr>
                <w:rFonts w:ascii="Calibri"/>
                <w:spacing w:val="-1"/>
                <w:sz w:val="18"/>
              </w:rPr>
              <w:t>Provide</w:t>
            </w:r>
            <w:r>
              <w:rPr>
                <w:rFonts w:ascii="Calibri"/>
                <w:spacing w:val="-3"/>
                <w:sz w:val="18"/>
              </w:rPr>
              <w:t xml:space="preserve"> </w:t>
            </w:r>
            <w:r>
              <w:rPr>
                <w:rFonts w:ascii="Calibri"/>
                <w:spacing w:val="-1"/>
                <w:sz w:val="18"/>
              </w:rPr>
              <w:t>schools</w:t>
            </w:r>
            <w:r>
              <w:rPr>
                <w:rFonts w:ascii="Calibri"/>
                <w:spacing w:val="-3"/>
                <w:sz w:val="18"/>
              </w:rPr>
              <w:t xml:space="preserve"> </w:t>
            </w:r>
            <w:r>
              <w:rPr>
                <w:rFonts w:ascii="Calibri"/>
                <w:spacing w:val="-1"/>
                <w:sz w:val="18"/>
              </w:rPr>
              <w:t>with</w:t>
            </w:r>
            <w:r>
              <w:rPr>
                <w:rFonts w:ascii="Calibri"/>
                <w:spacing w:val="-3"/>
                <w:sz w:val="18"/>
              </w:rPr>
              <w:t xml:space="preserve"> </w:t>
            </w:r>
            <w:r>
              <w:rPr>
                <w:rFonts w:ascii="Calibri"/>
                <w:sz w:val="18"/>
              </w:rPr>
              <w:t>a</w:t>
            </w:r>
            <w:r>
              <w:rPr>
                <w:rFonts w:ascii="Calibri"/>
                <w:spacing w:val="-2"/>
                <w:sz w:val="18"/>
              </w:rPr>
              <w:t xml:space="preserve"> </w:t>
            </w:r>
            <w:r>
              <w:rPr>
                <w:rFonts w:ascii="Calibri"/>
                <w:spacing w:val="-1"/>
                <w:sz w:val="18"/>
              </w:rPr>
              <w:t>timeline</w:t>
            </w:r>
            <w:r>
              <w:rPr>
                <w:rFonts w:ascii="Calibri"/>
                <w:spacing w:val="-3"/>
                <w:sz w:val="18"/>
              </w:rPr>
              <w:t xml:space="preserve"> </w:t>
            </w:r>
            <w:r>
              <w:rPr>
                <w:rFonts w:ascii="Calibri"/>
                <w:spacing w:val="1"/>
                <w:sz w:val="18"/>
              </w:rPr>
              <w:t>of</w:t>
            </w:r>
            <w:r>
              <w:rPr>
                <w:rFonts w:ascii="Calibri"/>
                <w:spacing w:val="-2"/>
                <w:sz w:val="18"/>
              </w:rPr>
              <w:t xml:space="preserve"> </w:t>
            </w:r>
            <w:r>
              <w:rPr>
                <w:rFonts w:ascii="Calibri"/>
                <w:sz w:val="18"/>
              </w:rPr>
              <w:t>CEI</w:t>
            </w:r>
            <w:r>
              <w:rPr>
                <w:rFonts w:ascii="Calibri"/>
                <w:spacing w:val="-2"/>
                <w:sz w:val="18"/>
              </w:rPr>
              <w:t xml:space="preserve"> </w:t>
            </w:r>
            <w:r>
              <w:rPr>
                <w:rFonts w:ascii="Calibri"/>
                <w:spacing w:val="-1"/>
                <w:sz w:val="18"/>
              </w:rPr>
              <w:t>activities,</w:t>
            </w:r>
            <w:r>
              <w:rPr>
                <w:rFonts w:ascii="Calibri"/>
                <w:spacing w:val="-2"/>
                <w:sz w:val="18"/>
              </w:rPr>
              <w:t xml:space="preserve"> </w:t>
            </w:r>
            <w:r>
              <w:rPr>
                <w:rFonts w:ascii="Calibri"/>
                <w:spacing w:val="-1"/>
                <w:sz w:val="18"/>
              </w:rPr>
              <w:t>and</w:t>
            </w:r>
            <w:r>
              <w:rPr>
                <w:rFonts w:ascii="Calibri"/>
                <w:spacing w:val="59"/>
                <w:sz w:val="18"/>
              </w:rPr>
              <w:t xml:space="preserve"> </w:t>
            </w:r>
            <w:r>
              <w:rPr>
                <w:rFonts w:ascii="Calibri"/>
                <w:spacing w:val="-1"/>
                <w:sz w:val="18"/>
              </w:rPr>
              <w:t>communicate</w:t>
            </w:r>
            <w:r>
              <w:rPr>
                <w:rFonts w:ascii="Calibri"/>
                <w:spacing w:val="-4"/>
                <w:sz w:val="18"/>
              </w:rPr>
              <w:t xml:space="preserve"> </w:t>
            </w:r>
            <w:r>
              <w:rPr>
                <w:rFonts w:ascii="Calibri"/>
                <w:spacing w:val="-1"/>
                <w:sz w:val="18"/>
              </w:rPr>
              <w:t>how</w:t>
            </w:r>
            <w:r>
              <w:rPr>
                <w:rFonts w:ascii="Calibri"/>
                <w:spacing w:val="-2"/>
                <w:sz w:val="18"/>
              </w:rPr>
              <w:t xml:space="preserve"> </w:t>
            </w:r>
            <w:r>
              <w:rPr>
                <w:rFonts w:ascii="Calibri"/>
                <w:spacing w:val="-1"/>
                <w:sz w:val="18"/>
              </w:rPr>
              <w:t>incentive</w:t>
            </w:r>
            <w:r>
              <w:rPr>
                <w:rFonts w:ascii="Calibri"/>
                <w:spacing w:val="-3"/>
                <w:sz w:val="18"/>
              </w:rPr>
              <w:t xml:space="preserve"> </w:t>
            </w:r>
            <w:r>
              <w:rPr>
                <w:rFonts w:ascii="Calibri"/>
                <w:sz w:val="18"/>
              </w:rPr>
              <w:t>money</w:t>
            </w:r>
            <w:r>
              <w:rPr>
                <w:rFonts w:ascii="Calibri"/>
                <w:spacing w:val="-3"/>
                <w:sz w:val="18"/>
              </w:rPr>
              <w:t xml:space="preserve"> </w:t>
            </w:r>
            <w:r>
              <w:rPr>
                <w:rFonts w:ascii="Calibri"/>
                <w:sz w:val="18"/>
              </w:rPr>
              <w:t>is</w:t>
            </w:r>
            <w:r>
              <w:rPr>
                <w:rFonts w:ascii="Calibri"/>
                <w:spacing w:val="-4"/>
                <w:sz w:val="18"/>
              </w:rPr>
              <w:t xml:space="preserve"> </w:t>
            </w:r>
            <w:r>
              <w:rPr>
                <w:rFonts w:ascii="Calibri"/>
                <w:spacing w:val="-1"/>
                <w:sz w:val="18"/>
              </w:rPr>
              <w:t>being</w:t>
            </w:r>
            <w:r>
              <w:rPr>
                <w:rFonts w:ascii="Calibri"/>
                <w:spacing w:val="-2"/>
                <w:sz w:val="18"/>
              </w:rPr>
              <w:t xml:space="preserve"> </w:t>
            </w:r>
            <w:r>
              <w:rPr>
                <w:rFonts w:ascii="Calibri"/>
                <w:spacing w:val="-1"/>
                <w:sz w:val="18"/>
              </w:rPr>
              <w:t>distributed</w:t>
            </w:r>
            <w:r>
              <w:rPr>
                <w:rFonts w:ascii="Calibri"/>
                <w:spacing w:val="53"/>
                <w:sz w:val="18"/>
              </w:rPr>
              <w:t xml:space="preserve"> </w:t>
            </w:r>
            <w:r>
              <w:rPr>
                <w:rFonts w:ascii="Calibri"/>
                <w:spacing w:val="-1"/>
                <w:sz w:val="18"/>
              </w:rPr>
              <w:t>throughout</w:t>
            </w:r>
            <w:r>
              <w:rPr>
                <w:rFonts w:ascii="Calibri"/>
                <w:spacing w:val="-2"/>
                <w:sz w:val="18"/>
              </w:rPr>
              <w:t xml:space="preserve"> </w:t>
            </w:r>
            <w:r>
              <w:rPr>
                <w:rFonts w:ascii="Calibri"/>
                <w:spacing w:val="-1"/>
                <w:sz w:val="18"/>
              </w:rPr>
              <w:t>the</w:t>
            </w:r>
            <w:r>
              <w:rPr>
                <w:rFonts w:ascii="Calibri"/>
                <w:spacing w:val="-2"/>
                <w:sz w:val="18"/>
              </w:rPr>
              <w:t xml:space="preserve"> </w:t>
            </w:r>
            <w:r>
              <w:rPr>
                <w:rFonts w:ascii="Calibri"/>
                <w:spacing w:val="-1"/>
                <w:sz w:val="18"/>
              </w:rPr>
              <w:t>district</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94D5A">
        <w:trPr>
          <w:trHeight w:hRule="exact" w:val="458"/>
        </w:trPr>
        <w:tc>
          <w:tcPr>
            <w:tcW w:w="4680"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330"/>
              <w:rPr>
                <w:rFonts w:ascii="Calibri" w:eastAsia="Calibri" w:hAnsi="Calibri" w:cs="Calibri"/>
                <w:sz w:val="18"/>
                <w:szCs w:val="18"/>
              </w:rPr>
            </w:pPr>
            <w:r>
              <w:rPr>
                <w:rFonts w:ascii="Calibri"/>
                <w:spacing w:val="-1"/>
                <w:sz w:val="18"/>
              </w:rPr>
              <w:t>Ask</w:t>
            </w:r>
            <w:r>
              <w:rPr>
                <w:rFonts w:ascii="Calibri"/>
                <w:spacing w:val="-2"/>
                <w:sz w:val="18"/>
              </w:rPr>
              <w:t xml:space="preserve"> </w:t>
            </w:r>
            <w:r>
              <w:rPr>
                <w:rFonts w:ascii="Calibri"/>
                <w:spacing w:val="-1"/>
                <w:sz w:val="18"/>
              </w:rPr>
              <w:t>that</w:t>
            </w:r>
            <w:r>
              <w:rPr>
                <w:rFonts w:ascii="Calibri"/>
                <w:sz w:val="18"/>
              </w:rPr>
              <w:t xml:space="preserve"> </w:t>
            </w:r>
            <w:r>
              <w:rPr>
                <w:rFonts w:ascii="Calibri"/>
                <w:spacing w:val="-1"/>
                <w:sz w:val="18"/>
              </w:rPr>
              <w:t>participants</w:t>
            </w:r>
            <w:r>
              <w:rPr>
                <w:rFonts w:ascii="Calibri"/>
                <w:spacing w:val="-4"/>
                <w:sz w:val="18"/>
              </w:rPr>
              <w:t xml:space="preserve"> </w:t>
            </w:r>
            <w:r>
              <w:rPr>
                <w:rFonts w:ascii="Calibri"/>
                <w:spacing w:val="-1"/>
                <w:sz w:val="18"/>
              </w:rPr>
              <w:t>conduct</w:t>
            </w:r>
            <w:r>
              <w:rPr>
                <w:rFonts w:ascii="Calibri"/>
                <w:spacing w:val="-2"/>
                <w:sz w:val="18"/>
              </w:rPr>
              <w:t xml:space="preserve"> </w:t>
            </w:r>
            <w:r>
              <w:rPr>
                <w:rFonts w:ascii="Calibri"/>
                <w:sz w:val="18"/>
              </w:rPr>
              <w:t>at</w:t>
            </w:r>
            <w:r>
              <w:rPr>
                <w:rFonts w:ascii="Calibri"/>
                <w:spacing w:val="-1"/>
                <w:sz w:val="18"/>
              </w:rPr>
              <w:t xml:space="preserve"> least</w:t>
            </w:r>
            <w:r>
              <w:rPr>
                <w:rFonts w:ascii="Calibri"/>
                <w:spacing w:val="-2"/>
                <w:sz w:val="18"/>
              </w:rPr>
              <w:t xml:space="preserve"> </w:t>
            </w:r>
            <w:r>
              <w:rPr>
                <w:rFonts w:ascii="Calibri"/>
                <w:spacing w:val="-1"/>
                <w:sz w:val="18"/>
              </w:rPr>
              <w:t>yearly</w:t>
            </w:r>
            <w:r>
              <w:rPr>
                <w:rFonts w:ascii="Calibri"/>
                <w:sz w:val="18"/>
              </w:rPr>
              <w:t xml:space="preserve"> </w:t>
            </w:r>
            <w:r>
              <w:rPr>
                <w:rFonts w:ascii="Calibri"/>
                <w:spacing w:val="-1"/>
                <w:sz w:val="18"/>
              </w:rPr>
              <w:t>updates</w:t>
            </w:r>
            <w:r>
              <w:rPr>
                <w:rFonts w:ascii="Calibri"/>
                <w:spacing w:val="-3"/>
                <w:sz w:val="18"/>
              </w:rPr>
              <w:t xml:space="preserve"> </w:t>
            </w:r>
            <w:r>
              <w:rPr>
                <w:rFonts w:ascii="Calibri"/>
                <w:sz w:val="18"/>
              </w:rPr>
              <w:t>to</w:t>
            </w:r>
            <w:r>
              <w:rPr>
                <w:rFonts w:ascii="Calibri"/>
                <w:spacing w:val="-2"/>
                <w:sz w:val="18"/>
              </w:rPr>
              <w:t xml:space="preserve"> </w:t>
            </w:r>
            <w:r>
              <w:rPr>
                <w:rFonts w:ascii="Calibri"/>
                <w:sz w:val="18"/>
              </w:rPr>
              <w:t>all</w:t>
            </w:r>
            <w:r>
              <w:rPr>
                <w:rFonts w:ascii="Calibri"/>
                <w:spacing w:val="61"/>
                <w:sz w:val="18"/>
              </w:rPr>
              <w:t xml:space="preserve"> </w:t>
            </w:r>
            <w:r>
              <w:rPr>
                <w:rFonts w:ascii="Calibri"/>
                <w:spacing w:val="-1"/>
                <w:sz w:val="18"/>
              </w:rPr>
              <w:t>program</w:t>
            </w:r>
            <w:r>
              <w:rPr>
                <w:rFonts w:ascii="Calibri"/>
                <w:spacing w:val="-11"/>
                <w:sz w:val="18"/>
              </w:rPr>
              <w:t xml:space="preserve"> </w:t>
            </w:r>
            <w:r>
              <w:rPr>
                <w:rFonts w:ascii="Calibri"/>
                <w:spacing w:val="-1"/>
                <w:sz w:val="18"/>
              </w:rPr>
              <w:t>documents</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bl>
    <w:p w:rsidR="00E646C9" w:rsidRDefault="00E646C9" w:rsidP="00E646C9"/>
    <w:p w:rsidR="0059452D" w:rsidRDefault="0059452D" w:rsidP="00E646C9">
      <w:pPr>
        <w:sectPr w:rsidR="0059452D" w:rsidSect="00E45861">
          <w:pgSz w:w="12240" w:h="15840"/>
          <w:pgMar w:top="1440" w:right="1440" w:bottom="1440" w:left="1440" w:header="720" w:footer="288" w:gutter="0"/>
          <w:cols w:space="720"/>
          <w:titlePg/>
          <w:docGrid w:linePitch="360"/>
        </w:sectPr>
      </w:pPr>
    </w:p>
    <w:p w:rsidR="00E646C9" w:rsidRDefault="0059452D" w:rsidP="00E646C9">
      <w:r>
        <w:rPr>
          <w:noProof/>
        </w:rPr>
        <mc:AlternateContent>
          <mc:Choice Requires="wps">
            <w:drawing>
              <wp:anchor distT="0" distB="0" distL="114300" distR="114300" simplePos="0" relativeHeight="251660294" behindDoc="0" locked="0" layoutInCell="1" allowOverlap="1" wp14:anchorId="3C14CEE4" wp14:editId="0551E396">
                <wp:simplePos x="0" y="0"/>
                <wp:positionH relativeFrom="margin">
                  <wp:align>center</wp:align>
                </wp:positionH>
                <wp:positionV relativeFrom="margin">
                  <wp:align>center</wp:align>
                </wp:positionV>
                <wp:extent cx="7449671" cy="965835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9671" cy="9658350"/>
                        </a:xfrm>
                        <a:prstGeom prst="rect">
                          <a:avLst/>
                        </a:prstGeom>
                        <a:solidFill>
                          <a:srgbClr val="448A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0F86" w:rsidRDefault="00340F86" w:rsidP="0059452D"/>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4CEE4" id="Rectangle 37" o:spid="_x0000_s1032" style="position:absolute;left:0;text-align:left;margin-left:0;margin-top:0;width:586.6pt;height:760.5pt;z-index:251660294;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" fillcolor="#448a99" stroked="f" strokeweight="2pt">
                <v:path arrowok="t"/>
                <v:textbox inset="21.6pt,1in,21.6pt">
                  <w:txbxContent>
                    <w:p w:rsidR="00340F86" w:rsidRDefault="00340F86" w:rsidP="0059452D"/>
                  </w:txbxContent>
                </v:textbox>
                <w10:wrap anchorx="margin" anchory="margin"/>
              </v:rect>
            </w:pict>
          </mc:Fallback>
        </mc:AlternateContent>
      </w:r>
    </w:p>
    <w:p w:rsidR="00E646C9" w:rsidRDefault="00E646C9" w:rsidP="00E646C9"/>
    <w:p w:rsidR="00E646C9" w:rsidRDefault="00E646C9" w:rsidP="00E646C9"/>
    <w:p w:rsidR="00E646C9" w:rsidRPr="000F064D" w:rsidRDefault="00E646C9" w:rsidP="00E646C9"/>
    <w:p w:rsidR="002A5B38" w:rsidRPr="00FF409E" w:rsidRDefault="00E44590" w:rsidP="00BC330C">
      <w:pPr>
        <w:widowControl w:val="0"/>
        <w:rPr>
          <w:lang w:bidi="en-US"/>
        </w:rPr>
      </w:pPr>
      <w:r>
        <w:rPr>
          <w:noProof/>
        </w:rPr>
        <w:drawing>
          <wp:anchor distT="0" distB="0" distL="114300" distR="114300" simplePos="0" relativeHeight="251672582" behindDoc="0" locked="0" layoutInCell="1" allowOverlap="1" wp14:anchorId="3194B468" wp14:editId="30D9B520">
            <wp:simplePos x="0" y="0"/>
            <wp:positionH relativeFrom="column">
              <wp:posOffset>2444750</wp:posOffset>
            </wp:positionH>
            <wp:positionV relativeFrom="paragraph">
              <wp:posOffset>1504094</wp:posOffset>
            </wp:positionV>
            <wp:extent cx="1132840" cy="1131570"/>
            <wp:effectExtent l="0" t="0" r="0" b="0"/>
            <wp:wrapNone/>
            <wp:docPr id="60" name="Picture 60" descr="Image result for pennsylvania public utility commission P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result for pennsylvania public utility commission PNG logo"/>
                    <pic:cNvPicPr>
                      <a:picLocks noChangeAspect="1"/>
                    </pic:cNvPicPr>
                  </pic:nvPicPr>
                  <pic:blipFill rotWithShape="1">
                    <a:blip r:embed="rId189">
                      <a:extLst>
                        <a:ext uri="{28A0092B-C50C-407E-A947-70E740481C1C}">
                          <a14:useLocalDpi xmlns:a14="http://schemas.microsoft.com/office/drawing/2010/main" val="0"/>
                        </a:ext>
                      </a:extLst>
                    </a:blip>
                    <a:srcRect r="68524"/>
                    <a:stretch/>
                  </pic:blipFill>
                  <pic:spPr bwMode="auto">
                    <a:xfrm>
                      <a:off x="0" y="0"/>
                      <a:ext cx="1132840" cy="113157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1558" behindDoc="0" locked="0" layoutInCell="1" allowOverlap="1" wp14:anchorId="2B066112" wp14:editId="2EC6BE37">
                <wp:simplePos x="0" y="0"/>
                <wp:positionH relativeFrom="column">
                  <wp:posOffset>-894080</wp:posOffset>
                </wp:positionH>
                <wp:positionV relativeFrom="paragraph">
                  <wp:posOffset>868045</wp:posOffset>
                </wp:positionV>
                <wp:extent cx="7736205" cy="324485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3244850"/>
                        </a:xfrm>
                        <a:prstGeom prst="rect">
                          <a:avLst/>
                        </a:prstGeom>
                        <a:noFill/>
                        <a:ln w="9525">
                          <a:noFill/>
                          <a:miter lim="800000"/>
                          <a:headEnd/>
                          <a:tailEnd/>
                        </a:ln>
                      </wps:spPr>
                      <wps:txbx>
                        <w:txbxContent>
                          <w:p w:rsidR="00340F86" w:rsidRPr="00702AB3" w:rsidRDefault="00340F86" w:rsidP="00E755F3">
                            <w:pPr>
                              <w:spacing w:after="240"/>
                              <w:jc w:val="center"/>
                              <w:rPr>
                                <w:rFonts w:ascii="Century Gothic" w:hAnsi="Century Gothic"/>
                                <w:b/>
                                <w:caps/>
                                <w:color w:val="FFFFFF" w:themeColor="background1"/>
                                <w:spacing w:val="-20"/>
                                <w:sz w:val="52"/>
                                <w:szCs w:val="64"/>
                                <w14:shadow w14:blurRad="50800" w14:dist="38100" w14:dir="2700000" w14:sx="100000" w14:sy="100000" w14:kx="0" w14:ky="0" w14:algn="tl">
                                  <w14:srgbClr w14:val="000000">
                                    <w14:alpha w14:val="60000"/>
                                  </w14:srgbClr>
                                </w14:shadow>
                              </w:rPr>
                            </w:pPr>
                            <w:r w:rsidRPr="00702AB3">
                              <w:rPr>
                                <w:rFonts w:ascii="Century Gothic" w:hAnsi="Century Gothic"/>
                                <w:b/>
                                <w:caps/>
                                <w:color w:val="FFFFFF" w:themeColor="background1"/>
                                <w:spacing w:val="-20"/>
                                <w:sz w:val="52"/>
                                <w:szCs w:val="64"/>
                                <w14:shadow w14:blurRad="50800" w14:dist="38100" w14:dir="2700000" w14:sx="100000" w14:sy="100000" w14:kx="0" w14:ky="0" w14:algn="tl">
                                  <w14:srgbClr w14:val="000000">
                                    <w14:alpha w14:val="60000"/>
                                  </w14:srgbClr>
                                </w14:shadow>
                              </w:rPr>
                              <w:t>PENNSYLVANIA PUBLIC UTILITY COMMISSION</w:t>
                            </w:r>
                          </w:p>
                          <w:p w:rsidR="00340F86" w:rsidRPr="008D603E" w:rsidRDefault="00340F86" w:rsidP="00F63DDD">
                            <w:pPr>
                              <w:spacing w:after="120"/>
                              <w:jc w:val="center"/>
                              <w:rPr>
                                <w:rFonts w:ascii="Century Gothic" w:hAnsi="Century Gothic"/>
                                <w:b/>
                                <w:color w:val="FFFFFF" w:themeColor="background1"/>
                                <w:sz w:val="144"/>
                                <w:szCs w:val="60"/>
                                <w14:shadow w14:blurRad="50800" w14:dist="38100" w14:dir="2700000" w14:sx="100000" w14:sy="100000" w14:kx="0" w14:ky="0" w14:algn="tl">
                                  <w14:srgbClr w14:val="000000">
                                    <w14:alpha w14:val="60000"/>
                                  </w14:srgbClr>
                                </w14:shadow>
                              </w:rPr>
                            </w:pPr>
                          </w:p>
                          <w:p w:rsidR="00340F86" w:rsidRPr="00702AB3" w:rsidRDefault="00340F86" w:rsidP="00E755F3">
                            <w:pPr>
                              <w:spacing w:before="60"/>
                              <w:jc w:val="center"/>
                              <w:rPr>
                                <w:rFonts w:ascii="Century Gothic" w:hAnsi="Century Gothic"/>
                                <w:color w:val="FFFFFF" w:themeColor="background1"/>
                                <w:spacing w:val="-20"/>
                                <w:sz w:val="44"/>
                                <w:szCs w:val="60"/>
                                <w14:shadow w14:blurRad="50800" w14:dist="38100" w14:dir="2700000" w14:sx="100000" w14:sy="100000" w14:kx="0" w14:ky="0" w14:algn="tl">
                                  <w14:srgbClr w14:val="000000">
                                    <w14:alpha w14:val="60000"/>
                                  </w14:srgbClr>
                                </w14:shadow>
                              </w:rPr>
                            </w:pPr>
                            <w:r w:rsidRPr="00702AB3">
                              <w:rPr>
                                <w:rFonts w:ascii="Century Gothic" w:hAnsi="Century Gothic"/>
                                <w:color w:val="FFFFFF" w:themeColor="background1"/>
                                <w:spacing w:val="-20"/>
                                <w:sz w:val="44"/>
                                <w:szCs w:val="60"/>
                                <w14:shadow w14:blurRad="50800" w14:dist="38100" w14:dir="2700000" w14:sx="100000" w14:sy="100000" w14:kx="0" w14:ky="0" w14:algn="tl">
                                  <w14:srgbClr w14:val="000000">
                                    <w14:alpha w14:val="60000"/>
                                  </w14:srgbClr>
                                </w14:shadow>
                              </w:rPr>
                              <w:t>Act 129 Statewide Evaluator</w:t>
                            </w:r>
                          </w:p>
                          <w:p w:rsidR="00340F86" w:rsidRPr="00702AB3" w:rsidRDefault="00340F86" w:rsidP="00F63DDD">
                            <w:pPr>
                              <w:spacing w:after="240"/>
                              <w:jc w:val="center"/>
                              <w:rPr>
                                <w:rFonts w:ascii="Century Gothic" w:hAnsi="Century Gothic"/>
                                <w:color w:val="FFFFFF" w:themeColor="background1"/>
                                <w:spacing w:val="-20"/>
                                <w:sz w:val="44"/>
                                <w:szCs w:val="60"/>
                                <w14:shadow w14:blurRad="50800" w14:dist="38100" w14:dir="2700000" w14:sx="100000" w14:sy="100000" w14:kx="0" w14:ky="0" w14:algn="tl">
                                  <w14:srgbClr w14:val="000000">
                                    <w14:alpha w14:val="60000"/>
                                  </w14:srgbClr>
                                </w14:shadow>
                              </w:rPr>
                            </w:pPr>
                            <w:r w:rsidRPr="00702AB3">
                              <w:rPr>
                                <w:rFonts w:ascii="Century Gothic" w:hAnsi="Century Gothic"/>
                                <w:color w:val="FFFFFF" w:themeColor="background1"/>
                                <w:spacing w:val="-20"/>
                                <w:sz w:val="44"/>
                                <w:szCs w:val="60"/>
                                <w14:shadow w14:blurRad="50800" w14:dist="38100" w14:dir="2700000" w14:sx="100000" w14:sy="100000" w14:kx="0" w14:ky="0" w14:algn="tl">
                                  <w14:srgbClr w14:val="000000">
                                    <w14:alpha w14:val="60000"/>
                                  </w14:srgbClr>
                                </w14:shadow>
                              </w:rPr>
                              <w:t>Phase II Final Report</w:t>
                            </w:r>
                          </w:p>
                          <w:p w:rsidR="00340F86" w:rsidRPr="00F63DDD" w:rsidRDefault="00340F86" w:rsidP="00F63DDD">
                            <w:pPr>
                              <w:jc w:val="center"/>
                              <w:rPr>
                                <w:rFonts w:ascii="Century Gothic" w:hAnsi="Century Gothic"/>
                                <w:b/>
                                <w:smallCaps/>
                                <w:color w:val="FFFFFF" w:themeColor="background1"/>
                                <w:sz w:val="64"/>
                                <w:szCs w:val="6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anchor>
            </w:drawing>
          </mc:Choice>
          <mc:Fallback>
            <w:pict>
              <v:shape w14:anchorId="2B066112" id="_x0000_s1033" type="#_x0000_t202" style="position:absolute;left:0;text-align:left;margin-left:-70.4pt;margin-top:68.35pt;width:609.15pt;height:255.5pt;z-index:2516715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" filled="f" stroked="f">
                <v:textbox>
                  <w:txbxContent>
                    <w:p w:rsidR="00340F86" w:rsidRPr="00702AB3" w:rsidRDefault="00340F86" w:rsidP="00E755F3">
                      <w:pPr>
                        <w:spacing w:after="240"/>
                        <w:jc w:val="center"/>
                        <w:rPr>
                          <w:rFonts w:ascii="Century Gothic" w:hAnsi="Century Gothic"/>
                          <w:b/>
                          <w:caps/>
                          <w:color w:val="FFFFFF" w:themeColor="background1"/>
                          <w:spacing w:val="-20"/>
                          <w:sz w:val="52"/>
                          <w:szCs w:val="64"/>
                          <w14:shadow w14:blurRad="50800" w14:dist="38100" w14:dir="2700000" w14:sx="100000" w14:sy="100000" w14:kx="0" w14:ky="0" w14:algn="tl">
                            <w14:srgbClr w14:val="000000">
                              <w14:alpha w14:val="60000"/>
                            </w14:srgbClr>
                          </w14:shadow>
                        </w:rPr>
                      </w:pPr>
                      <w:r w:rsidRPr="00702AB3">
                        <w:rPr>
                          <w:rFonts w:ascii="Century Gothic" w:hAnsi="Century Gothic"/>
                          <w:b/>
                          <w:caps/>
                          <w:color w:val="FFFFFF" w:themeColor="background1"/>
                          <w:spacing w:val="-20"/>
                          <w:sz w:val="52"/>
                          <w:szCs w:val="64"/>
                          <w14:shadow w14:blurRad="50800" w14:dist="38100" w14:dir="2700000" w14:sx="100000" w14:sy="100000" w14:kx="0" w14:ky="0" w14:algn="tl">
                            <w14:srgbClr w14:val="000000">
                              <w14:alpha w14:val="60000"/>
                            </w14:srgbClr>
                          </w14:shadow>
                        </w:rPr>
                        <w:t>PENNSYLVANIA PUBLIC UTILITY COMMISSION</w:t>
                      </w:r>
                    </w:p>
                    <w:p w:rsidR="00340F86" w:rsidRPr="008D603E" w:rsidRDefault="00340F86" w:rsidP="00F63DDD">
                      <w:pPr>
                        <w:spacing w:after="120"/>
                        <w:jc w:val="center"/>
                        <w:rPr>
                          <w:rFonts w:ascii="Century Gothic" w:hAnsi="Century Gothic"/>
                          <w:b/>
                          <w:color w:val="FFFFFF" w:themeColor="background1"/>
                          <w:sz w:val="144"/>
                          <w:szCs w:val="60"/>
                          <w14:shadow w14:blurRad="50800" w14:dist="38100" w14:dir="2700000" w14:sx="100000" w14:sy="100000" w14:kx="0" w14:ky="0" w14:algn="tl">
                            <w14:srgbClr w14:val="000000">
                              <w14:alpha w14:val="60000"/>
                            </w14:srgbClr>
                          </w14:shadow>
                        </w:rPr>
                      </w:pPr>
                    </w:p>
                    <w:p w:rsidR="00340F86" w:rsidRPr="00702AB3" w:rsidRDefault="00340F86" w:rsidP="00E755F3">
                      <w:pPr>
                        <w:spacing w:before="60"/>
                        <w:jc w:val="center"/>
                        <w:rPr>
                          <w:rFonts w:ascii="Century Gothic" w:hAnsi="Century Gothic"/>
                          <w:color w:val="FFFFFF" w:themeColor="background1"/>
                          <w:spacing w:val="-20"/>
                          <w:sz w:val="44"/>
                          <w:szCs w:val="60"/>
                          <w14:shadow w14:blurRad="50800" w14:dist="38100" w14:dir="2700000" w14:sx="100000" w14:sy="100000" w14:kx="0" w14:ky="0" w14:algn="tl">
                            <w14:srgbClr w14:val="000000">
                              <w14:alpha w14:val="60000"/>
                            </w14:srgbClr>
                          </w14:shadow>
                        </w:rPr>
                      </w:pPr>
                      <w:r w:rsidRPr="00702AB3">
                        <w:rPr>
                          <w:rFonts w:ascii="Century Gothic" w:hAnsi="Century Gothic"/>
                          <w:color w:val="FFFFFF" w:themeColor="background1"/>
                          <w:spacing w:val="-20"/>
                          <w:sz w:val="44"/>
                          <w:szCs w:val="60"/>
                          <w14:shadow w14:blurRad="50800" w14:dist="38100" w14:dir="2700000" w14:sx="100000" w14:sy="100000" w14:kx="0" w14:ky="0" w14:algn="tl">
                            <w14:srgbClr w14:val="000000">
                              <w14:alpha w14:val="60000"/>
                            </w14:srgbClr>
                          </w14:shadow>
                        </w:rPr>
                        <w:t>Act 129 Statewide Evaluator</w:t>
                      </w:r>
                    </w:p>
                    <w:p w:rsidR="00340F86" w:rsidRPr="00702AB3" w:rsidRDefault="00340F86" w:rsidP="00F63DDD">
                      <w:pPr>
                        <w:spacing w:after="240"/>
                        <w:jc w:val="center"/>
                        <w:rPr>
                          <w:rFonts w:ascii="Century Gothic" w:hAnsi="Century Gothic"/>
                          <w:color w:val="FFFFFF" w:themeColor="background1"/>
                          <w:spacing w:val="-20"/>
                          <w:sz w:val="44"/>
                          <w:szCs w:val="60"/>
                          <w14:shadow w14:blurRad="50800" w14:dist="38100" w14:dir="2700000" w14:sx="100000" w14:sy="100000" w14:kx="0" w14:ky="0" w14:algn="tl">
                            <w14:srgbClr w14:val="000000">
                              <w14:alpha w14:val="60000"/>
                            </w14:srgbClr>
                          </w14:shadow>
                        </w:rPr>
                      </w:pPr>
                      <w:r w:rsidRPr="00702AB3">
                        <w:rPr>
                          <w:rFonts w:ascii="Century Gothic" w:hAnsi="Century Gothic"/>
                          <w:color w:val="FFFFFF" w:themeColor="background1"/>
                          <w:spacing w:val="-20"/>
                          <w:sz w:val="44"/>
                          <w:szCs w:val="60"/>
                          <w14:shadow w14:blurRad="50800" w14:dist="38100" w14:dir="2700000" w14:sx="100000" w14:sy="100000" w14:kx="0" w14:ky="0" w14:algn="tl">
                            <w14:srgbClr w14:val="000000">
                              <w14:alpha w14:val="60000"/>
                            </w14:srgbClr>
                          </w14:shadow>
                        </w:rPr>
                        <w:t>Phase II Final Report</w:t>
                      </w:r>
                    </w:p>
                    <w:p w:rsidR="00340F86" w:rsidRPr="00F63DDD" w:rsidRDefault="00340F86" w:rsidP="00F63DDD">
                      <w:pPr>
                        <w:jc w:val="center"/>
                        <w:rPr>
                          <w:rFonts w:ascii="Century Gothic" w:hAnsi="Century Gothic"/>
                          <w:b/>
                          <w:smallCaps/>
                          <w:color w:val="FFFFFF" w:themeColor="background1"/>
                          <w:sz w:val="64"/>
                          <w:szCs w:val="64"/>
                          <w14:shadow w14:blurRad="50800" w14:dist="38100" w14:dir="2700000" w14:sx="100000" w14:sy="100000" w14:kx="0" w14:ky="0" w14:algn="tl">
                            <w14:srgbClr w14:val="000000">
                              <w14:alpha w14:val="60000"/>
                            </w14:srgbClr>
                          </w14:shadow>
                        </w:rPr>
                      </w:pPr>
                    </w:p>
                  </w:txbxContent>
                </v:textbox>
              </v:shape>
            </w:pict>
          </mc:Fallback>
        </mc:AlternateContent>
      </w:r>
      <w:r>
        <w:rPr>
          <w:noProof/>
        </w:rPr>
        <mc:AlternateContent>
          <mc:Choice Requires="wps">
            <w:drawing>
              <wp:anchor distT="0" distB="0" distL="114300" distR="114300" simplePos="0" relativeHeight="251669510" behindDoc="0" locked="0" layoutInCell="1" allowOverlap="1" wp14:anchorId="197C132F" wp14:editId="47F8A553">
                <wp:simplePos x="0" y="0"/>
                <wp:positionH relativeFrom="column">
                  <wp:posOffset>-894522</wp:posOffset>
                </wp:positionH>
                <wp:positionV relativeFrom="paragraph">
                  <wp:posOffset>4039097</wp:posOffset>
                </wp:positionV>
                <wp:extent cx="7736205" cy="17722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1772285"/>
                        </a:xfrm>
                        <a:prstGeom prst="rect">
                          <a:avLst/>
                        </a:prstGeom>
                        <a:noFill/>
                        <a:ln w="9525">
                          <a:noFill/>
                          <a:miter lim="800000"/>
                          <a:headEnd/>
                          <a:tailEnd/>
                        </a:ln>
                      </wps:spPr>
                      <wps:txbx>
                        <w:txbxContent>
                          <w:p w:rsidR="00340F86" w:rsidRPr="00E755F3" w:rsidRDefault="00340F86" w:rsidP="008D603E">
                            <w:pPr>
                              <w:jc w:val="center"/>
                              <w:rPr>
                                <w:rFonts w:ascii="Century Gothic" w:hAnsi="Century Gothic"/>
                                <w:color w:val="FFFFFF" w:themeColor="background1"/>
                                <w:szCs w:val="26"/>
                              </w:rPr>
                            </w:pPr>
                            <w:r w:rsidRPr="00E755F3">
                              <w:rPr>
                                <w:rFonts w:ascii="Century Gothic" w:hAnsi="Century Gothic"/>
                                <w:color w:val="FFFFFF" w:themeColor="background1"/>
                                <w:szCs w:val="26"/>
                              </w:rPr>
                              <w:t xml:space="preserve">Prepared by </w:t>
                            </w:r>
                          </w:p>
                          <w:p w:rsidR="00340F86" w:rsidRPr="009E1340" w:rsidRDefault="00340F86" w:rsidP="009E1340">
                            <w:pPr>
                              <w:spacing w:after="200"/>
                              <w:jc w:val="center"/>
                              <w:rPr>
                                <w:rFonts w:ascii="Century Gothic" w:hAnsi="Century Gothic"/>
                                <w:b/>
                                <w:color w:val="FFFFFF" w:themeColor="background1"/>
                                <w:sz w:val="26"/>
                                <w:szCs w:val="26"/>
                              </w:rPr>
                            </w:pPr>
                            <w:r w:rsidRPr="009E1340">
                              <w:rPr>
                                <w:rFonts w:ascii="Century Gothic" w:hAnsi="Century Gothic"/>
                                <w:b/>
                                <w:color w:val="FFFFFF" w:themeColor="background1"/>
                                <w:sz w:val="26"/>
                                <w:szCs w:val="26"/>
                              </w:rPr>
                              <w:t>Statewide Evaluation Team</w:t>
                            </w:r>
                          </w:p>
                          <w:p w:rsidR="00340F86" w:rsidRPr="00B70BC7" w:rsidRDefault="007973A4" w:rsidP="00F63DDD">
                            <w:pPr>
                              <w:spacing w:after="120"/>
                              <w:jc w:val="center"/>
                              <w:rPr>
                                <w:rFonts w:ascii="Century Gothic" w:hAnsi="Century Gothic"/>
                                <w:caps/>
                                <w:color w:val="FFFFFF" w:themeColor="background1"/>
                                <w:sz w:val="28"/>
                                <w:szCs w:val="64"/>
                              </w:rPr>
                            </w:pPr>
                            <w:hyperlink r:id="rId190" w:history="1">
                              <w:r w:rsidR="00340F86" w:rsidRPr="00702AB3">
                                <w:rPr>
                                  <w:rStyle w:val="Hyperlink"/>
                                  <w:rFonts w:ascii="Century Gothic" w:hAnsi="Century Gothic"/>
                                  <w:caps/>
                                  <w:color w:val="FFFFFF" w:themeColor="background1"/>
                                  <w:spacing w:val="-13"/>
                                  <w:sz w:val="26"/>
                                  <w:szCs w:val="26"/>
                                  <w:u w:val="none"/>
                                </w:rPr>
                                <w:t>Research Into Action</w:t>
                              </w:r>
                            </w:hyperlink>
                            <w:r w:rsidR="00340F86" w:rsidRPr="00702AB3">
                              <w:rPr>
                                <w:rFonts w:ascii="Century Gothic" w:hAnsi="Century Gothic"/>
                                <w:color w:val="FFFFFF" w:themeColor="background1"/>
                                <w:spacing w:val="-13"/>
                                <w:sz w:val="24"/>
                                <w:szCs w:val="64"/>
                              </w:rPr>
                              <w:t xml:space="preserve"> </w:t>
                            </w:r>
                            <w:r w:rsidR="00340F86" w:rsidRPr="00E755F3">
                              <w:rPr>
                                <w:rFonts w:ascii="Century Gothic" w:hAnsi="Century Gothic"/>
                                <w:color w:val="FFFFFF" w:themeColor="background1"/>
                                <w:sz w:val="32"/>
                                <w:szCs w:val="30"/>
                                <w14:shadow w14:blurRad="50800" w14:dist="38100" w14:dir="2700000" w14:sx="100000" w14:sy="100000" w14:kx="0" w14:ky="0" w14:algn="tl">
                                  <w14:srgbClr w14:val="000000">
                                    <w14:alpha w14:val="60000"/>
                                  </w14:srgbClr>
                                </w14:shadow>
                              </w:rPr>
                              <w:t>│</w:t>
                            </w:r>
                            <w:r w:rsidR="00340F86">
                              <w:rPr>
                                <w:rFonts w:ascii="Century Gothic" w:hAnsi="Century Gothic"/>
                                <w:color w:val="FFFFFF" w:themeColor="background1"/>
                                <w:sz w:val="28"/>
                                <w:szCs w:val="64"/>
                              </w:rPr>
                              <w:t xml:space="preserve"> </w:t>
                            </w:r>
                            <w:hyperlink r:id="rId191" w:history="1">
                              <w:r w:rsidR="00340F86" w:rsidRPr="00702AB3">
                                <w:rPr>
                                  <w:rStyle w:val="Hyperlink"/>
                                  <w:rFonts w:ascii="Century Gothic" w:hAnsi="Century Gothic"/>
                                  <w:caps/>
                                  <w:color w:val="FFFFFF" w:themeColor="background1"/>
                                  <w:spacing w:val="-13"/>
                                  <w:sz w:val="30"/>
                                  <w:szCs w:val="30"/>
                                  <w:u w:val="none"/>
                                </w:rPr>
                                <w:t>GDS Associates, Inc.</w:t>
                              </w:r>
                            </w:hyperlink>
                            <w:r w:rsidR="00340F86" w:rsidRPr="00E755F3">
                              <w:rPr>
                                <w:rFonts w:ascii="Century Gothic" w:hAnsi="Century Gothic"/>
                                <w:color w:val="FFFFFF" w:themeColor="background1"/>
                                <w:sz w:val="24"/>
                                <w:szCs w:val="64"/>
                              </w:rPr>
                              <w:t xml:space="preserve"> </w:t>
                            </w:r>
                            <w:r w:rsidR="00340F86" w:rsidRPr="00E755F3">
                              <w:rPr>
                                <w:rFonts w:ascii="Century Gothic" w:hAnsi="Century Gothic"/>
                                <w:color w:val="FFFFFF" w:themeColor="background1"/>
                                <w:sz w:val="32"/>
                                <w:szCs w:val="30"/>
                                <w14:shadow w14:blurRad="50800" w14:dist="38100" w14:dir="2700000" w14:sx="100000" w14:sy="100000" w14:kx="0" w14:ky="0" w14:algn="tl">
                                  <w14:srgbClr w14:val="000000">
                                    <w14:alpha w14:val="60000"/>
                                  </w14:srgbClr>
                                </w14:shadow>
                              </w:rPr>
                              <w:t>│</w:t>
                            </w:r>
                            <w:r w:rsidR="00340F86">
                              <w:rPr>
                                <w:rFonts w:ascii="Century Gothic" w:hAnsi="Century Gothic"/>
                                <w:color w:val="FFFFFF" w:themeColor="background1"/>
                                <w:sz w:val="28"/>
                                <w:szCs w:val="64"/>
                              </w:rPr>
                              <w:t xml:space="preserve"> </w:t>
                            </w:r>
                            <w:hyperlink r:id="rId192" w:history="1">
                              <w:r w:rsidR="00340F86" w:rsidRPr="00702AB3">
                                <w:rPr>
                                  <w:rStyle w:val="Hyperlink"/>
                                  <w:rFonts w:ascii="Century Gothic" w:hAnsi="Century Gothic"/>
                                  <w:caps/>
                                  <w:color w:val="FFFFFF" w:themeColor="background1"/>
                                  <w:spacing w:val="-13"/>
                                  <w:sz w:val="26"/>
                                  <w:szCs w:val="26"/>
                                  <w:u w:val="none"/>
                                </w:rPr>
                                <w:t>Apex Analytics</w:t>
                              </w:r>
                            </w:hyperlink>
                            <w:r w:rsidR="00340F86" w:rsidRPr="00702AB3">
                              <w:rPr>
                                <w:rFonts w:ascii="Century Gothic" w:hAnsi="Century Gothic"/>
                                <w:caps/>
                                <w:color w:val="FFFFFF" w:themeColor="background1"/>
                                <w:spacing w:val="-13"/>
                                <w:sz w:val="26"/>
                                <w:szCs w:val="26"/>
                              </w:rPr>
                              <w:t>, LLC</w:t>
                            </w:r>
                          </w:p>
                          <w:p w:rsidR="00340F86" w:rsidRPr="00682654" w:rsidRDefault="00340F86" w:rsidP="00F63DDD">
                            <w:pPr>
                              <w:spacing w:after="120"/>
                              <w:jc w:val="center"/>
                              <w:rPr>
                                <w:rFonts w:ascii="Century Gothic" w:hAnsi="Century Gothic"/>
                                <w:color w:val="FFFFFF" w:themeColor="background1"/>
                                <w:sz w:val="28"/>
                                <w:szCs w:val="64"/>
                              </w:rPr>
                            </w:pPr>
                          </w:p>
                        </w:txbxContent>
                      </wps:txbx>
                      <wps:bodyPr rot="0" vert="horz" wrap="square" lIns="91440" tIns="45720" rIns="91440" bIns="45720" anchor="t" anchorCtr="0">
                        <a:noAutofit/>
                      </wps:bodyPr>
                    </wps:wsp>
                  </a:graphicData>
                </a:graphic>
              </wp:anchor>
            </w:drawing>
          </mc:Choice>
          <mc:Fallback>
            <w:pict>
              <v:shape w14:anchorId="197C132F" id="_x0000_s1034" type="#_x0000_t202" style="position:absolute;left:0;text-align:left;margin-left:-70.45pt;margin-top:318.05pt;width:609.15pt;height:139.55pt;z-index:2516695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" filled="f" stroked="f">
                <v:textbox>
                  <w:txbxContent>
                    <w:p w:rsidR="00340F86" w:rsidRPr="00E755F3" w:rsidRDefault="00340F86" w:rsidP="008D603E">
                      <w:pPr>
                        <w:jc w:val="center"/>
                        <w:rPr>
                          <w:rFonts w:ascii="Century Gothic" w:hAnsi="Century Gothic"/>
                          <w:color w:val="FFFFFF" w:themeColor="background1"/>
                          <w:szCs w:val="26"/>
                        </w:rPr>
                      </w:pPr>
                      <w:r w:rsidRPr="00E755F3">
                        <w:rPr>
                          <w:rFonts w:ascii="Century Gothic" w:hAnsi="Century Gothic"/>
                          <w:color w:val="FFFFFF" w:themeColor="background1"/>
                          <w:szCs w:val="26"/>
                        </w:rPr>
                        <w:t xml:space="preserve">Prepared by </w:t>
                      </w:r>
                    </w:p>
                    <w:p w:rsidR="00340F86" w:rsidRPr="009E1340" w:rsidRDefault="00340F86" w:rsidP="009E1340">
                      <w:pPr>
                        <w:spacing w:after="200"/>
                        <w:jc w:val="center"/>
                        <w:rPr>
                          <w:rFonts w:ascii="Century Gothic" w:hAnsi="Century Gothic"/>
                          <w:b/>
                          <w:color w:val="FFFFFF" w:themeColor="background1"/>
                          <w:sz w:val="26"/>
                          <w:szCs w:val="26"/>
                        </w:rPr>
                      </w:pPr>
                      <w:r w:rsidRPr="009E1340">
                        <w:rPr>
                          <w:rFonts w:ascii="Century Gothic" w:hAnsi="Century Gothic"/>
                          <w:b/>
                          <w:color w:val="FFFFFF" w:themeColor="background1"/>
                          <w:sz w:val="26"/>
                          <w:szCs w:val="26"/>
                        </w:rPr>
                        <w:t>Statewide Evaluation Team</w:t>
                      </w:r>
                    </w:p>
                    <w:p w:rsidR="00340F86" w:rsidRPr="00B70BC7" w:rsidRDefault="00340F86" w:rsidP="00F63DDD">
                      <w:pPr>
                        <w:spacing w:after="120"/>
                        <w:jc w:val="center"/>
                        <w:rPr>
                          <w:rFonts w:ascii="Century Gothic" w:hAnsi="Century Gothic"/>
                          <w:caps/>
                          <w:color w:val="FFFFFF" w:themeColor="background1"/>
                          <w:sz w:val="28"/>
                          <w:szCs w:val="64"/>
                        </w:rPr>
                      </w:pPr>
                      <w:hyperlink r:id="rId193" w:history="1">
                        <w:r w:rsidRPr="00702AB3">
                          <w:rPr>
                            <w:rStyle w:val="Hyperlink"/>
                            <w:rFonts w:ascii="Century Gothic" w:hAnsi="Century Gothic"/>
                            <w:caps/>
                            <w:color w:val="FFFFFF" w:themeColor="background1"/>
                            <w:spacing w:val="-13"/>
                            <w:sz w:val="26"/>
                            <w:szCs w:val="26"/>
                            <w:u w:val="none"/>
                          </w:rPr>
                          <w:t>Research Into Action</w:t>
                        </w:r>
                      </w:hyperlink>
                      <w:r w:rsidRPr="00702AB3">
                        <w:rPr>
                          <w:rFonts w:ascii="Century Gothic" w:hAnsi="Century Gothic"/>
                          <w:color w:val="FFFFFF" w:themeColor="background1"/>
                          <w:spacing w:val="-13"/>
                          <w:sz w:val="24"/>
                          <w:szCs w:val="64"/>
                        </w:rPr>
                        <w:t xml:space="preserve"> </w:t>
                      </w:r>
                      <w:r w:rsidRPr="00E755F3">
                        <w:rPr>
                          <w:rFonts w:ascii="Century Gothic" w:hAnsi="Century Gothic"/>
                          <w:color w:val="FFFFFF" w:themeColor="background1"/>
                          <w:sz w:val="32"/>
                          <w:szCs w:val="30"/>
                          <w14:shadow w14:blurRad="50800" w14:dist="38100" w14:dir="2700000" w14:sx="100000" w14:sy="100000" w14:kx="0" w14:ky="0" w14:algn="tl">
                            <w14:srgbClr w14:val="000000">
                              <w14:alpha w14:val="60000"/>
                            </w14:srgbClr>
                          </w14:shadow>
                        </w:rPr>
                        <w:t>│</w:t>
                      </w:r>
                      <w:r>
                        <w:rPr>
                          <w:rFonts w:ascii="Century Gothic" w:hAnsi="Century Gothic"/>
                          <w:color w:val="FFFFFF" w:themeColor="background1"/>
                          <w:sz w:val="28"/>
                          <w:szCs w:val="64"/>
                        </w:rPr>
                        <w:t xml:space="preserve"> </w:t>
                      </w:r>
                      <w:hyperlink r:id="rId194" w:history="1">
                        <w:r w:rsidRPr="00702AB3">
                          <w:rPr>
                            <w:rStyle w:val="Hyperlink"/>
                            <w:rFonts w:ascii="Century Gothic" w:hAnsi="Century Gothic"/>
                            <w:caps/>
                            <w:color w:val="FFFFFF" w:themeColor="background1"/>
                            <w:spacing w:val="-13"/>
                            <w:sz w:val="30"/>
                            <w:szCs w:val="30"/>
                            <w:u w:val="none"/>
                          </w:rPr>
                          <w:t>GDS Associates, Inc.</w:t>
                        </w:r>
                      </w:hyperlink>
                      <w:r w:rsidRPr="00E755F3">
                        <w:rPr>
                          <w:rFonts w:ascii="Century Gothic" w:hAnsi="Century Gothic"/>
                          <w:color w:val="FFFFFF" w:themeColor="background1"/>
                          <w:sz w:val="24"/>
                          <w:szCs w:val="64"/>
                        </w:rPr>
                        <w:t xml:space="preserve"> </w:t>
                      </w:r>
                      <w:r w:rsidRPr="00E755F3">
                        <w:rPr>
                          <w:rFonts w:ascii="Century Gothic" w:hAnsi="Century Gothic"/>
                          <w:color w:val="FFFFFF" w:themeColor="background1"/>
                          <w:sz w:val="32"/>
                          <w:szCs w:val="30"/>
                          <w14:shadow w14:blurRad="50800" w14:dist="38100" w14:dir="2700000" w14:sx="100000" w14:sy="100000" w14:kx="0" w14:ky="0" w14:algn="tl">
                            <w14:srgbClr w14:val="000000">
                              <w14:alpha w14:val="60000"/>
                            </w14:srgbClr>
                          </w14:shadow>
                        </w:rPr>
                        <w:t>│</w:t>
                      </w:r>
                      <w:r>
                        <w:rPr>
                          <w:rFonts w:ascii="Century Gothic" w:hAnsi="Century Gothic"/>
                          <w:color w:val="FFFFFF" w:themeColor="background1"/>
                          <w:sz w:val="28"/>
                          <w:szCs w:val="64"/>
                        </w:rPr>
                        <w:t xml:space="preserve"> </w:t>
                      </w:r>
                      <w:hyperlink r:id="rId195" w:history="1">
                        <w:r w:rsidRPr="00702AB3">
                          <w:rPr>
                            <w:rStyle w:val="Hyperlink"/>
                            <w:rFonts w:ascii="Century Gothic" w:hAnsi="Century Gothic"/>
                            <w:caps/>
                            <w:color w:val="FFFFFF" w:themeColor="background1"/>
                            <w:spacing w:val="-13"/>
                            <w:sz w:val="26"/>
                            <w:szCs w:val="26"/>
                            <w:u w:val="none"/>
                          </w:rPr>
                          <w:t>Apex Analytics</w:t>
                        </w:r>
                      </w:hyperlink>
                      <w:r w:rsidRPr="00702AB3">
                        <w:rPr>
                          <w:rFonts w:ascii="Century Gothic" w:hAnsi="Century Gothic"/>
                          <w:caps/>
                          <w:color w:val="FFFFFF" w:themeColor="background1"/>
                          <w:spacing w:val="-13"/>
                          <w:sz w:val="26"/>
                          <w:szCs w:val="26"/>
                        </w:rPr>
                        <w:t>, LLC</w:t>
                      </w:r>
                    </w:p>
                    <w:p w:rsidR="00340F86" w:rsidRPr="00682654" w:rsidRDefault="00340F86" w:rsidP="00F63DDD">
                      <w:pPr>
                        <w:spacing w:after="120"/>
                        <w:jc w:val="center"/>
                        <w:rPr>
                          <w:rFonts w:ascii="Century Gothic" w:hAnsi="Century Gothic"/>
                          <w:color w:val="FFFFFF" w:themeColor="background1"/>
                          <w:sz w:val="28"/>
                          <w:szCs w:val="64"/>
                        </w:rPr>
                      </w:pPr>
                    </w:p>
                  </w:txbxContent>
                </v:textbox>
              </v:shape>
            </w:pict>
          </mc:Fallback>
        </mc:AlternateContent>
      </w:r>
      <w:r>
        <w:rPr>
          <w:noProof/>
        </w:rPr>
        <mc:AlternateContent>
          <mc:Choice Requires="wps">
            <w:drawing>
              <wp:anchor distT="0" distB="0" distL="114300" distR="114300" simplePos="0" relativeHeight="251673606" behindDoc="0" locked="0" layoutInCell="1" allowOverlap="1" wp14:anchorId="28EB4449" wp14:editId="64A763E8">
                <wp:simplePos x="0" y="0"/>
                <wp:positionH relativeFrom="column">
                  <wp:posOffset>-894522</wp:posOffset>
                </wp:positionH>
                <wp:positionV relativeFrom="paragraph">
                  <wp:posOffset>7786149</wp:posOffset>
                </wp:positionV>
                <wp:extent cx="7736205" cy="454062"/>
                <wp:effectExtent l="0" t="0" r="0" b="31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454062"/>
                        </a:xfrm>
                        <a:prstGeom prst="rect">
                          <a:avLst/>
                        </a:prstGeom>
                        <a:noFill/>
                        <a:ln w="9525">
                          <a:noFill/>
                          <a:miter lim="800000"/>
                          <a:headEnd/>
                          <a:tailEnd/>
                        </a:ln>
                      </wps:spPr>
                      <wps:txbx>
                        <w:txbxContent>
                          <w:p w:rsidR="00340F86" w:rsidRPr="00E44590" w:rsidRDefault="007973A4" w:rsidP="00E755F3">
                            <w:pPr>
                              <w:jc w:val="center"/>
                              <w:rPr>
                                <w:rFonts w:ascii="Century Gothic" w:hAnsi="Century Gothic"/>
                                <w:color w:val="FFFFFF" w:themeColor="background1"/>
                                <w:sz w:val="15"/>
                                <w:szCs w:val="15"/>
                              </w:rPr>
                            </w:pPr>
                            <w:hyperlink r:id="rId196" w:history="1">
                              <w:r w:rsidR="00340F86" w:rsidRPr="00E44590">
                                <w:rPr>
                                  <w:rStyle w:val="Hyperlink"/>
                                  <w:rFonts w:ascii="Century Gothic" w:hAnsi="Century Gothic"/>
                                  <w:b/>
                                  <w:caps/>
                                  <w:color w:val="FFFFFF" w:themeColor="background1"/>
                                  <w:sz w:val="15"/>
                                  <w:szCs w:val="15"/>
                                  <w:u w:val="none"/>
                                </w:rPr>
                                <w:t>GDS Associates, Inc.</w:t>
                              </w:r>
                            </w:hyperlink>
                            <w:r w:rsidR="00340F86" w:rsidRPr="00E44590">
                              <w:rPr>
                                <w:rFonts w:ascii="Century Gothic" w:hAnsi="Century Gothic"/>
                                <w:b/>
                                <w:color w:val="FFFFFF" w:themeColor="background1"/>
                                <w:sz w:val="15"/>
                                <w:szCs w:val="15"/>
                              </w:rPr>
                              <w:t xml:space="preserve"> </w:t>
                            </w:r>
                            <w:r w:rsidR="00340F86" w:rsidRPr="00E44590">
                              <w:rPr>
                                <w:rFonts w:ascii="Century Gothic" w:hAnsi="Century Gothic"/>
                                <w:color w:val="FFFFFF" w:themeColor="background1"/>
                                <w:sz w:val="15"/>
                                <w:szCs w:val="15"/>
                              </w:rPr>
                              <w:t>1850 Parkway Place Suite 800 Marietta GA 30067 (770) 425-8100</w:t>
                            </w:r>
                          </w:p>
                          <w:p w:rsidR="00340F86" w:rsidRPr="00E44590" w:rsidRDefault="007973A4" w:rsidP="00E755F3">
                            <w:pPr>
                              <w:jc w:val="center"/>
                              <w:rPr>
                                <w:rFonts w:ascii="Century Gothic" w:hAnsi="Century Gothic"/>
                                <w:color w:val="FFFFFF" w:themeColor="background1"/>
                                <w:sz w:val="16"/>
                                <w:szCs w:val="16"/>
                              </w:rPr>
                            </w:pPr>
                            <w:hyperlink r:id="rId197" w:history="1">
                              <w:r w:rsidR="00340F86" w:rsidRPr="00E44590">
                                <w:rPr>
                                  <w:rStyle w:val="Hyperlink"/>
                                  <w:rFonts w:ascii="Century Gothic" w:hAnsi="Century Gothic"/>
                                  <w:b/>
                                  <w:caps/>
                                  <w:color w:val="FFFFFF" w:themeColor="background1"/>
                                  <w:sz w:val="15"/>
                                  <w:szCs w:val="15"/>
                                  <w:u w:val="none"/>
                                </w:rPr>
                                <w:t>Research Into Action</w:t>
                              </w:r>
                            </w:hyperlink>
                            <w:r w:rsidR="00340F86" w:rsidRPr="00E44590">
                              <w:rPr>
                                <w:rFonts w:ascii="Century Gothic" w:hAnsi="Century Gothic"/>
                                <w:color w:val="FFFFFF" w:themeColor="background1"/>
                                <w:sz w:val="15"/>
                                <w:szCs w:val="15"/>
                              </w:rPr>
                              <w:t xml:space="preserve"> PO Box 12312 Portland OR 97212 (503) 287-9136</w:t>
                            </w:r>
                            <w:r w:rsidR="00340F86" w:rsidRPr="00E44590">
                              <w:rPr>
                                <w:rFonts w:ascii="Century Gothic" w:hAnsi="Century Gothic"/>
                                <w:color w:val="FFFFFF" w:themeColor="background1"/>
                                <w:sz w:val="20"/>
                                <w:szCs w:val="20"/>
                              </w:rPr>
                              <w:t>│</w:t>
                            </w:r>
                            <w:hyperlink r:id="rId198" w:history="1">
                              <w:r w:rsidR="00340F86" w:rsidRPr="00E44590">
                                <w:rPr>
                                  <w:rStyle w:val="Hyperlink"/>
                                  <w:rFonts w:ascii="Century Gothic" w:hAnsi="Century Gothic"/>
                                  <w:b/>
                                  <w:caps/>
                                  <w:color w:val="FFFFFF" w:themeColor="background1"/>
                                  <w:sz w:val="15"/>
                                  <w:szCs w:val="15"/>
                                  <w:u w:val="none"/>
                                </w:rPr>
                                <w:t>Apex Analytics</w:t>
                              </w:r>
                            </w:hyperlink>
                            <w:r w:rsidR="00340F86" w:rsidRPr="00E44590">
                              <w:rPr>
                                <w:rFonts w:ascii="Century Gothic" w:hAnsi="Century Gothic"/>
                                <w:b/>
                                <w:caps/>
                                <w:color w:val="FFFFFF" w:themeColor="background1"/>
                                <w:sz w:val="15"/>
                                <w:szCs w:val="15"/>
                              </w:rPr>
                              <w:t>, LLC</w:t>
                            </w:r>
                            <w:r w:rsidR="00340F86" w:rsidRPr="00E44590">
                              <w:rPr>
                                <w:rFonts w:ascii="Century Gothic" w:hAnsi="Century Gothic"/>
                                <w:color w:val="FFFFFF" w:themeColor="background1"/>
                                <w:sz w:val="15"/>
                                <w:szCs w:val="15"/>
                              </w:rPr>
                              <w:t xml:space="preserve"> 1525 Spruce Street Suite 200 Boulder CO 80302 (303) 590-9888</w:t>
                            </w:r>
                          </w:p>
                          <w:p w:rsidR="00340F86" w:rsidRPr="00E44590" w:rsidRDefault="00340F86" w:rsidP="00E755F3">
                            <w:pPr>
                              <w:spacing w:after="120"/>
                              <w:jc w:val="center"/>
                              <w:rPr>
                                <w:rFonts w:ascii="Century Gothic" w:hAnsi="Century Gothic"/>
                                <w:color w:val="FFFFFF" w:themeColor="background1"/>
                                <w:sz w:val="28"/>
                                <w:szCs w:val="64"/>
                              </w:rPr>
                            </w:pPr>
                          </w:p>
                        </w:txbxContent>
                      </wps:txbx>
                      <wps:bodyPr rot="0" vert="horz" wrap="square" lIns="91440" tIns="45720" rIns="91440" bIns="45720" anchor="t" anchorCtr="0">
                        <a:noAutofit/>
                      </wps:bodyPr>
                    </wps:wsp>
                  </a:graphicData>
                </a:graphic>
              </wp:anchor>
            </w:drawing>
          </mc:Choice>
          <mc:Fallback>
            <w:pict>
              <v:shape w14:anchorId="28EB4449" id="_x0000_s1035" type="#_x0000_t202" style="position:absolute;left:0;text-align:left;margin-left:-70.45pt;margin-top:613.1pt;width:609.15pt;height:35.75pt;z-index:2516736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" filled="f" stroked="f">
                <v:textbox>
                  <w:txbxContent>
                    <w:p w:rsidR="00340F86" w:rsidRPr="00E44590" w:rsidRDefault="00340F86" w:rsidP="00E755F3">
                      <w:pPr>
                        <w:jc w:val="center"/>
                        <w:rPr>
                          <w:rFonts w:ascii="Century Gothic" w:hAnsi="Century Gothic"/>
                          <w:color w:val="FFFFFF" w:themeColor="background1"/>
                          <w:sz w:val="15"/>
                          <w:szCs w:val="15"/>
                        </w:rPr>
                      </w:pPr>
                      <w:hyperlink r:id="rId199" w:history="1">
                        <w:r w:rsidRPr="00E44590">
                          <w:rPr>
                            <w:rStyle w:val="Hyperlink"/>
                            <w:rFonts w:ascii="Century Gothic" w:hAnsi="Century Gothic"/>
                            <w:b/>
                            <w:caps/>
                            <w:color w:val="FFFFFF" w:themeColor="background1"/>
                            <w:sz w:val="15"/>
                            <w:szCs w:val="15"/>
                            <w:u w:val="none"/>
                          </w:rPr>
                          <w:t>GDS Associates, Inc.</w:t>
                        </w:r>
                      </w:hyperlink>
                      <w:r w:rsidRPr="00E44590">
                        <w:rPr>
                          <w:rFonts w:ascii="Century Gothic" w:hAnsi="Century Gothic"/>
                          <w:b/>
                          <w:color w:val="FFFFFF" w:themeColor="background1"/>
                          <w:sz w:val="15"/>
                          <w:szCs w:val="15"/>
                        </w:rPr>
                        <w:t xml:space="preserve"> </w:t>
                      </w:r>
                      <w:r w:rsidRPr="00E44590">
                        <w:rPr>
                          <w:rFonts w:ascii="Century Gothic" w:hAnsi="Century Gothic"/>
                          <w:color w:val="FFFFFF" w:themeColor="background1"/>
                          <w:sz w:val="15"/>
                          <w:szCs w:val="15"/>
                        </w:rPr>
                        <w:t>1850 Parkway Place Suite 800 Marietta GA 30067 (770) 425-8100</w:t>
                      </w:r>
                    </w:p>
                    <w:p w:rsidR="00340F86" w:rsidRPr="00E44590" w:rsidRDefault="00340F86" w:rsidP="00E755F3">
                      <w:pPr>
                        <w:jc w:val="center"/>
                        <w:rPr>
                          <w:rFonts w:ascii="Century Gothic" w:hAnsi="Century Gothic"/>
                          <w:color w:val="FFFFFF" w:themeColor="background1"/>
                          <w:sz w:val="16"/>
                          <w:szCs w:val="16"/>
                        </w:rPr>
                      </w:pPr>
                      <w:hyperlink r:id="rId200" w:history="1">
                        <w:r w:rsidRPr="00E44590">
                          <w:rPr>
                            <w:rStyle w:val="Hyperlink"/>
                            <w:rFonts w:ascii="Century Gothic" w:hAnsi="Century Gothic"/>
                            <w:b/>
                            <w:caps/>
                            <w:color w:val="FFFFFF" w:themeColor="background1"/>
                            <w:sz w:val="15"/>
                            <w:szCs w:val="15"/>
                            <w:u w:val="none"/>
                          </w:rPr>
                          <w:t>Research Into Action</w:t>
                        </w:r>
                      </w:hyperlink>
                      <w:r w:rsidRPr="00E44590">
                        <w:rPr>
                          <w:rFonts w:ascii="Century Gothic" w:hAnsi="Century Gothic"/>
                          <w:color w:val="FFFFFF" w:themeColor="background1"/>
                          <w:sz w:val="15"/>
                          <w:szCs w:val="15"/>
                        </w:rPr>
                        <w:t xml:space="preserve"> PO Box 12312 Portland OR 97212 (503) 287-9136</w:t>
                      </w:r>
                      <w:r w:rsidRPr="00E44590">
                        <w:rPr>
                          <w:rFonts w:ascii="Century Gothic" w:hAnsi="Century Gothic"/>
                          <w:color w:val="FFFFFF" w:themeColor="background1"/>
                          <w:sz w:val="20"/>
                          <w:szCs w:val="20"/>
                        </w:rPr>
                        <w:t>│</w:t>
                      </w:r>
                      <w:hyperlink r:id="rId201" w:history="1">
                        <w:r w:rsidRPr="00E44590">
                          <w:rPr>
                            <w:rStyle w:val="Hyperlink"/>
                            <w:rFonts w:ascii="Century Gothic" w:hAnsi="Century Gothic"/>
                            <w:b/>
                            <w:caps/>
                            <w:color w:val="FFFFFF" w:themeColor="background1"/>
                            <w:sz w:val="15"/>
                            <w:szCs w:val="15"/>
                            <w:u w:val="none"/>
                          </w:rPr>
                          <w:t>Apex Analytics</w:t>
                        </w:r>
                      </w:hyperlink>
                      <w:r w:rsidRPr="00E44590">
                        <w:rPr>
                          <w:rFonts w:ascii="Century Gothic" w:hAnsi="Century Gothic"/>
                          <w:b/>
                          <w:caps/>
                          <w:color w:val="FFFFFF" w:themeColor="background1"/>
                          <w:sz w:val="15"/>
                          <w:szCs w:val="15"/>
                        </w:rPr>
                        <w:t>, LLC</w:t>
                      </w:r>
                      <w:r w:rsidRPr="00E44590">
                        <w:rPr>
                          <w:rFonts w:ascii="Century Gothic" w:hAnsi="Century Gothic"/>
                          <w:color w:val="FFFFFF" w:themeColor="background1"/>
                          <w:sz w:val="15"/>
                          <w:szCs w:val="15"/>
                        </w:rPr>
                        <w:t xml:space="preserve"> 1525 Spruce Street Suite 200 Boulder CO 80302 (303) 590-9888</w:t>
                      </w:r>
                    </w:p>
                    <w:p w:rsidR="00340F86" w:rsidRPr="00E44590" w:rsidRDefault="00340F86" w:rsidP="00E755F3">
                      <w:pPr>
                        <w:spacing w:after="120"/>
                        <w:jc w:val="center"/>
                        <w:rPr>
                          <w:rFonts w:ascii="Century Gothic" w:hAnsi="Century Gothic"/>
                          <w:color w:val="FFFFFF" w:themeColor="background1"/>
                          <w:sz w:val="28"/>
                          <w:szCs w:val="64"/>
                        </w:rPr>
                      </w:pPr>
                    </w:p>
                  </w:txbxContent>
                </v:textbox>
              </v:shape>
            </w:pict>
          </mc:Fallback>
        </mc:AlternateContent>
      </w:r>
    </w:p>
    <w:sectPr w:rsidR="002A5B38" w:rsidRPr="00FF409E" w:rsidSect="00E45861">
      <w:headerReference w:type="first" r:id="rId202"/>
      <w:footerReference w:type="first" r:id="rId203"/>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3A4" w:rsidRDefault="007973A4" w:rsidP="00454B08">
      <w:r>
        <w:separator/>
      </w:r>
    </w:p>
  </w:endnote>
  <w:endnote w:type="continuationSeparator" w:id="0">
    <w:p w:rsidR="007973A4" w:rsidRDefault="007973A4" w:rsidP="00454B08">
      <w:r>
        <w:continuationSeparator/>
      </w:r>
    </w:p>
  </w:endnote>
  <w:endnote w:type="continuationNotice" w:id="1">
    <w:p w:rsidR="007973A4" w:rsidRDefault="00797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GillSans">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Default="00340F86" w:rsidP="00844A91">
    <w:pPr>
      <w:pStyle w:val="Footer"/>
      <w:pBdr>
        <w:bottom w:val="single" w:sz="6" w:space="1" w:color="auto"/>
      </w:pBdr>
      <w:jc w:val="center"/>
    </w:pPr>
  </w:p>
  <w:p w:rsidR="00340F86" w:rsidRDefault="00340F86" w:rsidP="00844A91">
    <w:pPr>
      <w:pStyle w:val="Footer"/>
      <w:jc w:val="center"/>
    </w:pPr>
    <w:r w:rsidRPr="00844A91">
      <w:rPr>
        <w:b/>
        <w:sz w:val="24"/>
        <w:szCs w:val="24"/>
      </w:rPr>
      <w:t>[</w:t>
    </w:r>
    <w:r w:rsidRPr="00844A91">
      <w:rPr>
        <w:b/>
        <w:sz w:val="24"/>
        <w:szCs w:val="24"/>
      </w:rPr>
      <w:fldChar w:fldCharType="begin"/>
    </w:r>
    <w:r w:rsidRPr="00844A91">
      <w:rPr>
        <w:b/>
        <w:sz w:val="24"/>
        <w:szCs w:val="24"/>
      </w:rPr>
      <w:instrText xml:space="preserve"> PAGE   \* MERGEFORMAT </w:instrText>
    </w:r>
    <w:r w:rsidRPr="00844A91">
      <w:rPr>
        <w:b/>
        <w:sz w:val="24"/>
        <w:szCs w:val="24"/>
      </w:rPr>
      <w:fldChar w:fldCharType="separate"/>
    </w:r>
    <w:r>
      <w:rPr>
        <w:b/>
        <w:noProof/>
        <w:sz w:val="24"/>
        <w:szCs w:val="24"/>
      </w:rPr>
      <w:t>i</w:t>
    </w:r>
    <w:r w:rsidRPr="00844A91">
      <w:rPr>
        <w:b/>
        <w:sz w:val="24"/>
        <w:szCs w:val="24"/>
      </w:rPr>
      <w:fldChar w:fldCharType="end"/>
    </w:r>
    <w:r w:rsidRPr="00844A91">
      <w:rPr>
        <w:b/>
        <w:sz w:val="24"/>
        <w:szCs w:val="24"/>
      </w:rPr>
      <w:t>]</w:t>
    </w:r>
  </w:p>
  <w:p w:rsidR="00340F86" w:rsidRDefault="00340F86" w:rsidP="00844A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A1C97" w:rsidRDefault="00340F86" w:rsidP="00BA1C97">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137</w:t>
    </w:r>
    <w:r w:rsidRPr="00B81A2F">
      <w:rPr>
        <w:rFonts w:ascii="Century Gothic" w:hAnsi="Century Gothic"/>
        <w:noProof/>
        <w:color w:val="76A3A8"/>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F17578" w:rsidRDefault="00340F86" w:rsidP="00F17578">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136</w:t>
    </w:r>
    <w:r w:rsidRPr="00B81A2F">
      <w:rPr>
        <w:rFonts w:ascii="Century Gothic" w:hAnsi="Century Gothic"/>
        <w:noProof/>
        <w:color w:val="76A3A8"/>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A1C97" w:rsidRDefault="00340F86" w:rsidP="00BA1C97">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140</w:t>
    </w:r>
    <w:r w:rsidRPr="00B81A2F">
      <w:rPr>
        <w:rFonts w:ascii="Century Gothic" w:hAnsi="Century Gothic"/>
        <w:noProof/>
        <w:color w:val="76A3A8"/>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F17578" w:rsidRDefault="00340F86" w:rsidP="00F17578">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138</w:t>
    </w:r>
    <w:r w:rsidRPr="00B81A2F">
      <w:rPr>
        <w:rFonts w:ascii="Century Gothic" w:hAnsi="Century Gothic"/>
        <w:noProof/>
        <w:color w:val="76A3A8"/>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A1C97" w:rsidRDefault="00340F86" w:rsidP="00BA1C97">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142</w:t>
    </w:r>
    <w:r w:rsidRPr="00B81A2F">
      <w:rPr>
        <w:rFonts w:ascii="Century Gothic" w:hAnsi="Century Gothic"/>
        <w:noProof/>
        <w:color w:val="76A3A8"/>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F17578" w:rsidRDefault="00340F86" w:rsidP="00F17578">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141</w:t>
    </w:r>
    <w:r w:rsidRPr="00B81A2F">
      <w:rPr>
        <w:rFonts w:ascii="Century Gothic" w:hAnsi="Century Gothic"/>
        <w:noProof/>
        <w:color w:val="76A3A8"/>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A1C97" w:rsidRDefault="00340F86" w:rsidP="00BA1C97">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color w:val="404040" w:themeColor="text1" w:themeTint="BF"/>
        <w:spacing w:val="-12"/>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F8146C">
      <w:rPr>
        <w:rFonts w:ascii="Century Gothic" w:hAnsi="Century Gothic"/>
        <w:noProof/>
        <w:color w:val="76A3A8"/>
        <w:sz w:val="16"/>
      </w:rPr>
      <w:t>150</w:t>
    </w:r>
    <w:r w:rsidRPr="00B81A2F">
      <w:rPr>
        <w:rFonts w:ascii="Century Gothic" w:hAnsi="Century Gothic"/>
        <w:noProof/>
        <w:color w:val="76A3A8"/>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F17578" w:rsidRDefault="00340F86" w:rsidP="00F17578">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143</w:t>
    </w:r>
    <w:r w:rsidRPr="00B81A2F">
      <w:rPr>
        <w:rFonts w:ascii="Century Gothic" w:hAnsi="Century Gothic"/>
        <w:noProof/>
        <w:color w:val="76A3A8"/>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A1C97" w:rsidRDefault="00340F86" w:rsidP="00BA1C97">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color w:val="404040" w:themeColor="text1" w:themeTint="BF"/>
        <w:spacing w:val="-12"/>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164</w:t>
    </w:r>
    <w:r w:rsidRPr="00B81A2F">
      <w:rPr>
        <w:rFonts w:ascii="Century Gothic" w:hAnsi="Century Gothic"/>
        <w:noProof/>
        <w:color w:val="76A3A8"/>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F17578" w:rsidRDefault="00340F86" w:rsidP="00F17578">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163</w:t>
    </w:r>
    <w:r w:rsidRPr="00B81A2F">
      <w:rPr>
        <w:rFonts w:ascii="Century Gothic" w:hAnsi="Century Gothic"/>
        <w:noProof/>
        <w:color w:val="76A3A8"/>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964869" w:rsidRDefault="00340F86" w:rsidP="0096486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D137E2" w:rsidRDefault="00340F86" w:rsidP="00D137E2">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168</w:t>
    </w:r>
    <w:r w:rsidRPr="00B81A2F">
      <w:rPr>
        <w:rFonts w:ascii="Century Gothic" w:hAnsi="Century Gothic"/>
        <w:noProof/>
        <w:color w:val="76A3A8"/>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F17578" w:rsidRDefault="00340F86" w:rsidP="00F17578">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165</w:t>
    </w:r>
    <w:r w:rsidRPr="00B81A2F">
      <w:rPr>
        <w:rFonts w:ascii="Century Gothic" w:hAnsi="Century Gothic"/>
        <w:noProof/>
        <w:color w:val="76A3A8"/>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651AA9" w:rsidRDefault="00340F86" w:rsidP="00651AA9">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170</w:t>
    </w:r>
    <w:r w:rsidRPr="00B81A2F">
      <w:rPr>
        <w:rFonts w:ascii="Century Gothic" w:hAnsi="Century Gothic"/>
        <w:noProof/>
        <w:color w:val="76A3A8"/>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651AA9" w:rsidRDefault="00340F86" w:rsidP="00651AA9">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169</w:t>
    </w:r>
    <w:r w:rsidRPr="00B81A2F">
      <w:rPr>
        <w:rFonts w:ascii="Century Gothic" w:hAnsi="Century Gothic"/>
        <w:noProof/>
        <w:color w:val="76A3A8"/>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651AA9" w:rsidRDefault="00340F86" w:rsidP="00651AA9">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171</w:t>
    </w:r>
    <w:r w:rsidRPr="00B81A2F">
      <w:rPr>
        <w:rFonts w:ascii="Century Gothic" w:hAnsi="Century Gothic"/>
        <w:noProof/>
        <w:color w:val="76A3A8"/>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651AA9" w:rsidRDefault="00340F86" w:rsidP="00651AA9">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189</w:t>
    </w:r>
    <w:r w:rsidRPr="00B81A2F">
      <w:rPr>
        <w:rFonts w:ascii="Century Gothic" w:hAnsi="Century Gothic"/>
        <w:noProof/>
        <w:color w:val="76A3A8"/>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651AA9" w:rsidRDefault="00340F86" w:rsidP="00651AA9">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172</w:t>
    </w:r>
    <w:r w:rsidRPr="00B81A2F">
      <w:rPr>
        <w:rFonts w:ascii="Century Gothic" w:hAnsi="Century Gothic"/>
        <w:noProof/>
        <w:color w:val="76A3A8"/>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16463" w:rsidRDefault="00340F86" w:rsidP="00116463">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190</w:t>
    </w:r>
    <w:r w:rsidRPr="00B81A2F">
      <w:rPr>
        <w:rFonts w:ascii="Century Gothic" w:hAnsi="Century Gothic"/>
        <w:noProof/>
        <w:color w:val="76A3A8"/>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FD4D90" w:rsidRDefault="00340F86" w:rsidP="00116463">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209</w:t>
    </w:r>
    <w:r w:rsidRPr="00B81A2F">
      <w:rPr>
        <w:rFonts w:ascii="Century Gothic" w:hAnsi="Century Gothic"/>
        <w:noProof/>
        <w:color w:val="76A3A8"/>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16463" w:rsidRDefault="00340F86" w:rsidP="00116463">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191</w:t>
    </w:r>
    <w:r w:rsidRPr="00B81A2F">
      <w:rPr>
        <w:rFonts w:ascii="Century Gothic" w:hAnsi="Century Gothic"/>
        <w:noProof/>
        <w:color w:val="76A3A8"/>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7F2DA6" w:rsidRDefault="00340F86" w:rsidP="00766038">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F5337C">
      <w:rPr>
        <w:rFonts w:ascii="Century Gothic" w:hAnsi="Century Gothic"/>
        <w:noProof/>
        <w:color w:val="76A3A8"/>
        <w:sz w:val="16"/>
      </w:rPr>
      <w:t>21</w:t>
    </w:r>
    <w:r w:rsidRPr="00B81A2F">
      <w:rPr>
        <w:rFonts w:ascii="Century Gothic" w:hAnsi="Century Gothic"/>
        <w:noProof/>
        <w:color w:val="76A3A8"/>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16463" w:rsidRDefault="00340F86" w:rsidP="00116463">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211</w:t>
    </w:r>
    <w:r w:rsidRPr="00B81A2F">
      <w:rPr>
        <w:rFonts w:ascii="Century Gothic" w:hAnsi="Century Gothic"/>
        <w:noProof/>
        <w:color w:val="76A3A8"/>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16463" w:rsidRDefault="00340F86" w:rsidP="00116463">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210</w:t>
    </w:r>
    <w:r w:rsidRPr="00B81A2F">
      <w:rPr>
        <w:rFonts w:ascii="Century Gothic" w:hAnsi="Century Gothic"/>
        <w:noProof/>
        <w:color w:val="76A3A8"/>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16463" w:rsidRDefault="00340F86" w:rsidP="00116463">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231</w:t>
    </w:r>
    <w:r w:rsidRPr="00B81A2F">
      <w:rPr>
        <w:rFonts w:ascii="Century Gothic" w:hAnsi="Century Gothic"/>
        <w:noProof/>
        <w:color w:val="76A3A8"/>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16463" w:rsidRDefault="00340F86" w:rsidP="00116463">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212</w:t>
    </w:r>
    <w:r w:rsidRPr="00B81A2F">
      <w:rPr>
        <w:rFonts w:ascii="Century Gothic" w:hAnsi="Century Gothic"/>
        <w:noProof/>
        <w:color w:val="76A3A8"/>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24B6E" w:rsidRDefault="00340F86" w:rsidP="00124B6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232</w:t>
    </w:r>
    <w:r w:rsidRPr="00B81A2F">
      <w:rPr>
        <w:rFonts w:ascii="Century Gothic" w:hAnsi="Century Gothic"/>
        <w:noProof/>
        <w:color w:val="76A3A8"/>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24B6E" w:rsidRDefault="00340F86" w:rsidP="00124B6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259</w:t>
    </w:r>
    <w:r w:rsidRPr="00B81A2F">
      <w:rPr>
        <w:rFonts w:ascii="Century Gothic" w:hAnsi="Century Gothic"/>
        <w:noProof/>
        <w:color w:val="76A3A8"/>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24B6E" w:rsidRDefault="00340F86" w:rsidP="00124B6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233</w:t>
    </w:r>
    <w:r w:rsidRPr="00B81A2F">
      <w:rPr>
        <w:rFonts w:ascii="Century Gothic" w:hAnsi="Century Gothic"/>
        <w:noProof/>
        <w:color w:val="76A3A8"/>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24B6E" w:rsidRDefault="00340F86" w:rsidP="00124B6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261</w:t>
    </w:r>
    <w:r w:rsidRPr="00B81A2F">
      <w:rPr>
        <w:rFonts w:ascii="Century Gothic" w:hAnsi="Century Gothic"/>
        <w:noProof/>
        <w:color w:val="76A3A8"/>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24B6E" w:rsidRDefault="00340F86" w:rsidP="00124B6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260</w:t>
    </w:r>
    <w:r w:rsidRPr="00B81A2F">
      <w:rPr>
        <w:rFonts w:ascii="Century Gothic" w:hAnsi="Century Gothic"/>
        <w:noProof/>
        <w:color w:val="76A3A8"/>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24B6E" w:rsidRDefault="00340F86" w:rsidP="00124B6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297</w:t>
    </w:r>
    <w:r w:rsidRPr="00B81A2F">
      <w:rPr>
        <w:rFonts w:ascii="Century Gothic" w:hAnsi="Century Gothic"/>
        <w:noProof/>
        <w:color w:val="76A3A8"/>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7F2DA6" w:rsidRDefault="00340F86" w:rsidP="007F2DA6">
    <w:pPr>
      <w:pStyle w:val="Footer"/>
      <w:pBdr>
        <w:top w:val="single" w:sz="4" w:space="1" w:color="auto"/>
      </w:pBdr>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F5337C">
      <w:rPr>
        <w:rFonts w:ascii="Century Gothic" w:hAnsi="Century Gothic"/>
        <w:b/>
        <w:noProof/>
        <w:color w:val="448A99"/>
        <w:sz w:val="16"/>
      </w:rPr>
      <w:t>iii</w:t>
    </w:r>
    <w:r w:rsidRPr="00360EF8">
      <w:rPr>
        <w:rFonts w:ascii="Century Gothic" w:hAnsi="Century Gothic"/>
        <w:b/>
        <w:noProof/>
        <w:color w:val="448A99"/>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24B6E" w:rsidRDefault="00340F86" w:rsidP="00124B6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262</w:t>
    </w:r>
    <w:r w:rsidRPr="00B81A2F">
      <w:rPr>
        <w:rFonts w:ascii="Century Gothic" w:hAnsi="Century Gothic"/>
        <w:noProof/>
        <w:color w:val="76A3A8"/>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24B6E" w:rsidRDefault="00340F86" w:rsidP="00124B6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268</w:t>
    </w:r>
    <w:r w:rsidRPr="00B81A2F">
      <w:rPr>
        <w:rFonts w:ascii="Century Gothic" w:hAnsi="Century Gothic"/>
        <w:noProof/>
        <w:color w:val="76A3A8"/>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124B6E" w:rsidRDefault="00340F86" w:rsidP="00124B6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269</w:t>
    </w:r>
    <w:r w:rsidRPr="00B81A2F">
      <w:rPr>
        <w:rFonts w:ascii="Century Gothic" w:hAnsi="Century Gothic"/>
        <w:noProof/>
        <w:color w:val="76A3A8"/>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A763FD" w:rsidRDefault="00340F86" w:rsidP="00A763FD">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302</w:t>
    </w:r>
    <w:r w:rsidRPr="00B81A2F">
      <w:rPr>
        <w:rFonts w:ascii="Century Gothic" w:hAnsi="Century Gothic"/>
        <w:noProof/>
        <w:color w:val="76A3A8"/>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A763FD" w:rsidRDefault="00340F86" w:rsidP="00A763FD">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0A4055">
      <w:rPr>
        <w:rFonts w:ascii="Century Gothic" w:hAnsi="Century Gothic"/>
        <w:noProof/>
        <w:color w:val="76A3A8"/>
        <w:sz w:val="16"/>
      </w:rPr>
      <w:t>298</w:t>
    </w:r>
    <w:r w:rsidRPr="00B81A2F">
      <w:rPr>
        <w:rFonts w:ascii="Century Gothic" w:hAnsi="Century Gothic"/>
        <w:noProof/>
        <w:color w:val="76A3A8"/>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D613BE" w:rsidRDefault="00340F86" w:rsidP="00D613B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color w:val="404040" w:themeColor="text1" w:themeTint="BF"/>
        <w:spacing w:val="-12"/>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927606">
      <w:rPr>
        <w:rFonts w:ascii="Century Gothic" w:hAnsi="Century Gothic"/>
        <w:noProof/>
        <w:color w:val="76A3A8"/>
        <w:sz w:val="16"/>
      </w:rPr>
      <w:t>409</w:t>
    </w:r>
    <w:r w:rsidRPr="00B81A2F">
      <w:rPr>
        <w:rFonts w:ascii="Century Gothic" w:hAnsi="Century Gothic"/>
        <w:noProof/>
        <w:color w:val="76A3A8"/>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D613BE" w:rsidRDefault="00340F86" w:rsidP="00D613BE">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color w:val="404040" w:themeColor="text1" w:themeTint="BF"/>
        <w:spacing w:val="-12"/>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927606">
      <w:rPr>
        <w:rFonts w:ascii="Century Gothic" w:hAnsi="Century Gothic"/>
        <w:noProof/>
        <w:color w:val="76A3A8"/>
        <w:sz w:val="16"/>
      </w:rPr>
      <w:t>389</w:t>
    </w:r>
    <w:r w:rsidRPr="00B81A2F">
      <w:rPr>
        <w:rFonts w:ascii="Century Gothic" w:hAnsi="Century Gothic"/>
        <w:noProof/>
        <w:color w:val="76A3A8"/>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59452D" w:rsidRDefault="00340F86" w:rsidP="005945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461F1B">
    <w:pPr>
      <w:pStyle w:val="Footer"/>
      <w:pBdr>
        <w:top w:val="single" w:sz="4" w:space="1" w:color="7F7F7F" w:themeColor="text1" w:themeTint="80"/>
      </w:pBdr>
      <w:tabs>
        <w:tab w:val="clear" w:pos="9360"/>
      </w:tabs>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53</w:t>
    </w:r>
    <w:r w:rsidRPr="00B81A2F">
      <w:rPr>
        <w:rFonts w:ascii="Century Gothic" w:hAnsi="Century Gothic"/>
        <w:noProof/>
        <w:color w:val="76A3A8"/>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461F1B">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93</w:t>
    </w:r>
    <w:r w:rsidRPr="00B81A2F">
      <w:rPr>
        <w:rFonts w:ascii="Century Gothic" w:hAnsi="Century Gothic"/>
        <w:noProof/>
        <w:color w:val="76A3A8"/>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A1C97" w:rsidRDefault="00340F86" w:rsidP="00BA1C97">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101</w:t>
    </w:r>
    <w:r w:rsidRPr="00B81A2F">
      <w:rPr>
        <w:rFonts w:ascii="Century Gothic" w:hAnsi="Century Gothic"/>
        <w:noProof/>
        <w:color w:val="76A3A8"/>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A1C97" w:rsidRDefault="00340F86" w:rsidP="00BA1C97">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135</w:t>
    </w:r>
    <w:r w:rsidRPr="00B81A2F">
      <w:rPr>
        <w:rFonts w:ascii="Century Gothic" w:hAnsi="Century Gothic"/>
        <w:noProof/>
        <w:color w:val="76A3A8"/>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A1C97" w:rsidRDefault="00340F86" w:rsidP="00BA1C97">
    <w:pPr>
      <w:pStyle w:val="Footer"/>
      <w:pBdr>
        <w:top w:val="single" w:sz="4" w:space="1" w:color="7F7F7F" w:themeColor="text1" w:themeTint="80"/>
      </w:pBdr>
      <w:rPr>
        <w:rFonts w:ascii="Century Gothic" w:hAnsi="Century Gothic"/>
        <w:b/>
        <w:sz w:val="16"/>
      </w:rPr>
    </w:pPr>
    <w:r w:rsidRPr="00B81A2F">
      <w:rPr>
        <w:rFonts w:ascii="Century Gothic" w:hAnsi="Century Gothic"/>
        <w:color w:val="404040" w:themeColor="text1" w:themeTint="BF"/>
        <w:spacing w:val="-12"/>
        <w:sz w:val="16"/>
      </w:rPr>
      <w:t>Statewide Evaluation Team</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Page</w:t>
    </w:r>
    <w:r w:rsidRPr="00B81A2F">
      <w:rPr>
        <w:rFonts w:ascii="Century Gothic" w:hAnsi="Century Gothic"/>
        <w:color w:val="76A3A8"/>
        <w:sz w:val="16"/>
      </w:rPr>
      <w:t xml:space="preserve">  </w:t>
    </w:r>
    <w:r w:rsidRPr="00B81A2F">
      <w:rPr>
        <w:rFonts w:ascii="Century Gothic" w:hAnsi="Century Gothic"/>
        <w:color w:val="76A3A8"/>
        <w:sz w:val="16"/>
      </w:rPr>
      <w:fldChar w:fldCharType="begin"/>
    </w:r>
    <w:r w:rsidRPr="00B81A2F">
      <w:rPr>
        <w:rFonts w:ascii="Century Gothic" w:hAnsi="Century Gothic"/>
        <w:color w:val="76A3A8"/>
        <w:sz w:val="16"/>
      </w:rPr>
      <w:instrText xml:space="preserve"> PAGE   \* MERGEFORMAT </w:instrText>
    </w:r>
    <w:r w:rsidRPr="00B81A2F">
      <w:rPr>
        <w:rFonts w:ascii="Century Gothic" w:hAnsi="Century Gothic"/>
        <w:color w:val="76A3A8"/>
        <w:sz w:val="16"/>
      </w:rPr>
      <w:fldChar w:fldCharType="separate"/>
    </w:r>
    <w:r w:rsidR="003D218C">
      <w:rPr>
        <w:rFonts w:ascii="Century Gothic" w:hAnsi="Century Gothic"/>
        <w:noProof/>
        <w:color w:val="76A3A8"/>
        <w:sz w:val="16"/>
      </w:rPr>
      <w:t>102</w:t>
    </w:r>
    <w:r w:rsidRPr="00B81A2F">
      <w:rPr>
        <w:rFonts w:ascii="Century Gothic" w:hAnsi="Century Gothic"/>
        <w:noProof/>
        <w:color w:val="76A3A8"/>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3A4" w:rsidRDefault="007973A4" w:rsidP="00454B08">
      <w:r>
        <w:separator/>
      </w:r>
    </w:p>
  </w:footnote>
  <w:footnote w:type="continuationSeparator" w:id="0">
    <w:p w:rsidR="007973A4" w:rsidRDefault="007973A4" w:rsidP="00454B08">
      <w:r>
        <w:continuationSeparator/>
      </w:r>
    </w:p>
  </w:footnote>
  <w:footnote w:type="continuationNotice" w:id="1">
    <w:p w:rsidR="007973A4" w:rsidRDefault="007973A4"/>
  </w:footnote>
  <w:footnote w:id="2">
    <w:p w:rsidR="00340F86" w:rsidRPr="00A27A5F" w:rsidRDefault="00340F86" w:rsidP="007908C2">
      <w:pPr>
        <w:pStyle w:val="FootnoteTex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EDCs in the Commonwealth of Pennsylvania with more than 100,000 customers are subject to the energy efficiency targets outlined in Act 129. </w:t>
      </w:r>
    </w:p>
  </w:footnote>
  <w:footnote w:id="3">
    <w:p w:rsidR="00340F86" w:rsidRPr="00902111" w:rsidRDefault="00340F86" w:rsidP="007908C2">
      <w:pPr>
        <w:pStyle w:val="FootnoteText"/>
        <w:rPr>
          <w:rFonts w:ascii="Arial Narrow" w:hAnsi="Arial Narrow"/>
          <w:sz w:val="18"/>
          <w:szCs w:val="18"/>
        </w:rPr>
      </w:pPr>
      <w:r w:rsidRPr="00902111">
        <w:rPr>
          <w:rStyle w:val="FootnoteReference"/>
          <w:rFonts w:ascii="Arial Narrow" w:hAnsi="Arial Narrow"/>
          <w:sz w:val="18"/>
          <w:szCs w:val="18"/>
        </w:rPr>
        <w:footnoteRef/>
      </w:r>
      <w:r w:rsidRPr="00902111">
        <w:rPr>
          <w:rFonts w:ascii="Arial Narrow" w:hAnsi="Arial Narrow"/>
          <w:sz w:val="18"/>
          <w:szCs w:val="18"/>
        </w:rPr>
        <w:t xml:space="preserve"> Nexant withdrew from the Phase II </w:t>
      </w:r>
      <w:r>
        <w:rPr>
          <w:rFonts w:ascii="Arial Narrow" w:hAnsi="Arial Narrow"/>
          <w:sz w:val="18"/>
          <w:szCs w:val="18"/>
        </w:rPr>
        <w:t>SWE</w:t>
      </w:r>
      <w:r w:rsidRPr="00902111">
        <w:rPr>
          <w:rFonts w:ascii="Arial Narrow" w:hAnsi="Arial Narrow"/>
          <w:sz w:val="18"/>
          <w:szCs w:val="18"/>
        </w:rPr>
        <w:t xml:space="preserve"> Team at the end of October 2015.</w:t>
      </w:r>
    </w:p>
  </w:footnote>
  <w:footnote w:id="4">
    <w:p w:rsidR="00340F86" w:rsidRPr="00044758" w:rsidRDefault="00340F86" w:rsidP="007908C2">
      <w:pPr>
        <w:pStyle w:val="FootnoteText"/>
        <w:rPr>
          <w:rFonts w:ascii="Arial Narrow" w:hAnsi="Arial Narrow"/>
          <w:sz w:val="18"/>
          <w:szCs w:val="18"/>
        </w:rPr>
      </w:pPr>
      <w:r>
        <w:rPr>
          <w:rStyle w:val="FootnoteReference"/>
        </w:rPr>
        <w:footnoteRef/>
      </w:r>
      <w:r>
        <w:t xml:space="preserve"> </w:t>
      </w:r>
      <w:r w:rsidRPr="00044758">
        <w:rPr>
          <w:rFonts w:ascii="Arial Narrow" w:hAnsi="Arial Narrow"/>
          <w:sz w:val="18"/>
          <w:szCs w:val="18"/>
        </w:rPr>
        <w:t>For a complete list of the responsibilities of the SWE Team</w:t>
      </w:r>
      <w:r>
        <w:rPr>
          <w:rFonts w:ascii="Arial Narrow" w:hAnsi="Arial Narrow"/>
          <w:sz w:val="18"/>
          <w:szCs w:val="18"/>
        </w:rPr>
        <w:t>, see the April 2013 Phase II Statewide Evaluator Contract.</w:t>
      </w:r>
    </w:p>
  </w:footnote>
  <w:footnote w:id="5">
    <w:p w:rsidR="00340F86" w:rsidRPr="005559A4" w:rsidRDefault="00340F86" w:rsidP="002C759D">
      <w:pPr>
        <w:rPr>
          <w:rFonts w:ascii="Arial Narrow" w:hAnsi="Arial Narrow"/>
          <w:sz w:val="18"/>
          <w:szCs w:val="18"/>
        </w:rPr>
      </w:pPr>
      <w:r>
        <w:rPr>
          <w:rStyle w:val="FootnoteReference"/>
        </w:rPr>
        <w:footnoteRef/>
      </w:r>
      <w:r>
        <w:t xml:space="preserve"> </w:t>
      </w:r>
      <w:r w:rsidRPr="005559A4">
        <w:rPr>
          <w:rFonts w:ascii="Arial Narrow" w:hAnsi="Arial Narrow"/>
          <w:sz w:val="18"/>
          <w:szCs w:val="18"/>
        </w:rPr>
        <w:t>The data in this table was obtained from the Pennsylvania Public Utilities Commission, Phase II Implementation Order, Docket No</w:t>
      </w:r>
      <w:r>
        <w:rPr>
          <w:rFonts w:ascii="Arial Narrow" w:hAnsi="Arial Narrow"/>
          <w:sz w:val="18"/>
          <w:szCs w:val="18"/>
        </w:rPr>
        <w:t>s</w:t>
      </w:r>
      <w:r w:rsidRPr="005559A4">
        <w:rPr>
          <w:rFonts w:ascii="Arial Narrow" w:hAnsi="Arial Narrow"/>
          <w:sz w:val="18"/>
          <w:szCs w:val="18"/>
        </w:rPr>
        <w:t>.  M</w:t>
      </w:r>
      <w:r w:rsidRPr="005559A4">
        <w:rPr>
          <w:rFonts w:ascii="Arial Narrow" w:hAnsi="Arial Narrow"/>
          <w:sz w:val="18"/>
          <w:szCs w:val="18"/>
        </w:rPr>
        <w:noBreakHyphen/>
        <w:t>2012</w:t>
      </w:r>
      <w:r w:rsidRPr="005559A4">
        <w:rPr>
          <w:rFonts w:ascii="Arial Narrow" w:hAnsi="Arial Narrow"/>
          <w:sz w:val="18"/>
          <w:szCs w:val="18"/>
        </w:rPr>
        <w:noBreakHyphen/>
        <w:t>2289411</w:t>
      </w:r>
      <w:r>
        <w:rPr>
          <w:rFonts w:ascii="Arial Narrow" w:hAnsi="Arial Narrow"/>
          <w:sz w:val="18"/>
          <w:szCs w:val="18"/>
        </w:rPr>
        <w:t xml:space="preserve"> &amp;</w:t>
      </w:r>
      <w:r w:rsidRPr="005559A4">
        <w:rPr>
          <w:rFonts w:ascii="Arial Narrow" w:hAnsi="Arial Narrow"/>
          <w:sz w:val="18"/>
          <w:szCs w:val="18"/>
        </w:rPr>
        <w:t xml:space="preserve"> M-2008-2069887</w:t>
      </w:r>
      <w:r>
        <w:rPr>
          <w:rFonts w:ascii="Arial Narrow" w:hAnsi="Arial Narrow"/>
          <w:sz w:val="18"/>
          <w:szCs w:val="18"/>
        </w:rPr>
        <w:t>, August 2, 2012, page 24.</w:t>
      </w:r>
    </w:p>
  </w:footnote>
  <w:footnote w:id="6">
    <w:p w:rsidR="00340F86" w:rsidRPr="00FB0EFE" w:rsidRDefault="00340F86" w:rsidP="002C759D">
      <w:pPr>
        <w:pStyle w:val="FootnoteText"/>
        <w:rPr>
          <w:rFonts w:ascii="Arial Narrow" w:hAnsi="Arial Narrow"/>
          <w:sz w:val="18"/>
          <w:szCs w:val="18"/>
        </w:rPr>
      </w:pPr>
      <w:r w:rsidRPr="00FB0EFE">
        <w:rPr>
          <w:rStyle w:val="FootnoteReference"/>
          <w:rFonts w:ascii="Arial Narrow" w:hAnsi="Arial Narrow"/>
          <w:sz w:val="18"/>
          <w:szCs w:val="18"/>
        </w:rPr>
        <w:footnoteRef/>
      </w:r>
      <w:r w:rsidRPr="00FB0EFE">
        <w:rPr>
          <w:rFonts w:ascii="Arial Narrow" w:hAnsi="Arial Narrow"/>
          <w:sz w:val="18"/>
          <w:szCs w:val="18"/>
        </w:rPr>
        <w:t xml:space="preserve"> Phase II of Act 129 covered the time period from June 1, 2013 through May 31, 2016.</w:t>
      </w:r>
    </w:p>
  </w:footnote>
  <w:footnote w:id="7">
    <w:p w:rsidR="00340F86" w:rsidRPr="00D0490C" w:rsidRDefault="00340F86" w:rsidP="002C759D">
      <w:pPr>
        <w:pStyle w:val="FootnoteText"/>
        <w:rPr>
          <w:rFonts w:ascii="Arial Narrow" w:hAnsi="Arial Narrow"/>
          <w:sz w:val="18"/>
          <w:szCs w:val="18"/>
        </w:rPr>
      </w:pPr>
      <w:r w:rsidRPr="00D0490C">
        <w:rPr>
          <w:rStyle w:val="FootnoteReference"/>
          <w:rFonts w:ascii="Arial Narrow" w:hAnsi="Arial Narrow"/>
          <w:sz w:val="18"/>
          <w:szCs w:val="18"/>
        </w:rPr>
        <w:footnoteRef/>
      </w:r>
      <w:r w:rsidRPr="00D0490C">
        <w:rPr>
          <w:rFonts w:ascii="Arial Narrow" w:hAnsi="Arial Narrow"/>
          <w:sz w:val="18"/>
          <w:szCs w:val="18"/>
        </w:rPr>
        <w:t xml:space="preserve"> Pennsylvania PUC Contract for the Statewide Evaluator, April 3, 2013, p. 33.</w:t>
      </w:r>
    </w:p>
  </w:footnote>
  <w:footnote w:id="8">
    <w:p w:rsidR="00340F86" w:rsidRPr="00A27A5F" w:rsidRDefault="00340F86" w:rsidP="000F5A29">
      <w:pPr>
        <w:pStyle w:val="FootnoteTex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In February 2015, the PUC’s </w:t>
      </w:r>
      <w:r>
        <w:rPr>
          <w:rFonts w:ascii="Arial Narrow" w:hAnsi="Arial Narrow"/>
          <w:sz w:val="18"/>
          <w:szCs w:val="18"/>
        </w:rPr>
        <w:t>TUS s</w:t>
      </w:r>
      <w:r w:rsidRPr="00A27A5F">
        <w:rPr>
          <w:rFonts w:ascii="Arial Narrow" w:hAnsi="Arial Narrow"/>
          <w:sz w:val="18"/>
          <w:szCs w:val="18"/>
        </w:rPr>
        <w:t xml:space="preserve">taff instructed the Phase II SWE </w:t>
      </w:r>
      <w:r>
        <w:rPr>
          <w:rFonts w:ascii="Arial Narrow" w:hAnsi="Arial Narrow"/>
          <w:sz w:val="18"/>
          <w:szCs w:val="18"/>
        </w:rPr>
        <w:t>p</w:t>
      </w:r>
      <w:r w:rsidRPr="00A27A5F">
        <w:rPr>
          <w:rFonts w:ascii="Arial Narrow" w:hAnsi="Arial Narrow"/>
          <w:sz w:val="18"/>
          <w:szCs w:val="18"/>
        </w:rPr>
        <w:t xml:space="preserve">roject </w:t>
      </w:r>
      <w:r>
        <w:rPr>
          <w:rFonts w:ascii="Arial Narrow" w:hAnsi="Arial Narrow"/>
          <w:sz w:val="18"/>
          <w:szCs w:val="18"/>
        </w:rPr>
        <w:t>m</w:t>
      </w:r>
      <w:r w:rsidRPr="00A27A5F">
        <w:rPr>
          <w:rFonts w:ascii="Arial Narrow" w:hAnsi="Arial Narrow"/>
          <w:sz w:val="18"/>
          <w:szCs w:val="18"/>
        </w:rPr>
        <w:t>anager that in the event of an error with reported savings, an “EDC make reference and amendment in their subsequent report filings unless it is the final Phase II report that is needed for compliance, in which case you will prescribe a drop dead date after which it is too late to make modifications.”</w:t>
      </w:r>
    </w:p>
  </w:footnote>
  <w:footnote w:id="9">
    <w:p w:rsidR="00340F86" w:rsidRPr="00FB0EFE" w:rsidRDefault="00340F86" w:rsidP="000F5A29">
      <w:pPr>
        <w:rPr>
          <w:rFonts w:ascii="Arial Narrow" w:hAnsi="Arial Narrow"/>
          <w:sz w:val="18"/>
          <w:szCs w:val="18"/>
        </w:rPr>
      </w:pPr>
      <w:r w:rsidRPr="00FB0EFE">
        <w:rPr>
          <w:rStyle w:val="FootnoteReference"/>
          <w:rFonts w:ascii="Arial Narrow" w:hAnsi="Arial Narrow"/>
          <w:sz w:val="18"/>
          <w:szCs w:val="18"/>
        </w:rPr>
        <w:footnoteRef/>
      </w:r>
      <w:r w:rsidRPr="00FB0EFE">
        <w:rPr>
          <w:rFonts w:ascii="Arial Narrow" w:hAnsi="Arial Narrow"/>
          <w:sz w:val="18"/>
          <w:szCs w:val="18"/>
        </w:rPr>
        <w:t xml:space="preserve"> </w:t>
      </w:r>
      <w:r w:rsidRPr="00AB592F">
        <w:rPr>
          <w:rFonts w:ascii="Arial Narrow" w:hAnsi="Arial Narrow"/>
          <w:sz w:val="18"/>
          <w:szCs w:val="18"/>
        </w:rPr>
        <w:t xml:space="preserve">In its </w:t>
      </w:r>
      <w:r w:rsidRPr="00967822">
        <w:rPr>
          <w:rFonts w:ascii="Arial Narrow" w:hAnsi="Arial Narrow"/>
          <w:sz w:val="18"/>
          <w:szCs w:val="18"/>
        </w:rPr>
        <w:t>August 2, 2012 Act 129 Phase II Implementation Order, t</w:t>
      </w:r>
      <w:r w:rsidRPr="00FB0EFE">
        <w:rPr>
          <w:rFonts w:ascii="Arial Narrow" w:hAnsi="Arial Narrow"/>
          <w:sz w:val="18"/>
          <w:szCs w:val="18"/>
        </w:rPr>
        <w:t>he Commission mandate</w:t>
      </w:r>
      <w:r w:rsidRPr="00AB592F">
        <w:rPr>
          <w:rFonts w:ascii="Arial Narrow" w:hAnsi="Arial Narrow"/>
          <w:sz w:val="18"/>
          <w:szCs w:val="18"/>
        </w:rPr>
        <w:t>d</w:t>
      </w:r>
      <w:r w:rsidRPr="00FB0EFE">
        <w:rPr>
          <w:rFonts w:ascii="Arial Narrow" w:hAnsi="Arial Narrow"/>
          <w:sz w:val="18"/>
          <w:szCs w:val="18"/>
        </w:rPr>
        <w:t xml:space="preserve"> </w:t>
      </w:r>
      <w:r w:rsidRPr="00AB592F">
        <w:rPr>
          <w:rFonts w:ascii="Arial Narrow" w:hAnsi="Arial Narrow"/>
          <w:sz w:val="18"/>
          <w:szCs w:val="18"/>
        </w:rPr>
        <w:t>“</w:t>
      </w:r>
      <w:r w:rsidRPr="00FB0EFE">
        <w:rPr>
          <w:rFonts w:ascii="Arial Narrow" w:hAnsi="Arial Narrow"/>
          <w:sz w:val="18"/>
          <w:szCs w:val="18"/>
        </w:rPr>
        <w:t>that the EDCs calculate the NTG ratio as they did for Phase I.  The EDCs will continue to use net verified savings in their TRC test for program planning purposes and compliance in Phase II will be determined using gross verified savings</w:t>
      </w:r>
      <w:r w:rsidRPr="00AB592F">
        <w:rPr>
          <w:rFonts w:ascii="Arial Narrow" w:hAnsi="Arial Narrow"/>
          <w:sz w:val="18"/>
          <w:szCs w:val="18"/>
        </w:rPr>
        <w:t>”</w:t>
      </w:r>
      <w:r w:rsidRPr="00FB0EFE">
        <w:rPr>
          <w:rFonts w:ascii="Arial Narrow" w:hAnsi="Arial Narrow"/>
          <w:sz w:val="18"/>
          <w:szCs w:val="18"/>
        </w:rPr>
        <w:t>.</w:t>
      </w:r>
      <w:r w:rsidRPr="00AB592F">
        <w:rPr>
          <w:rFonts w:ascii="Arial Narrow" w:hAnsi="Arial Narrow"/>
          <w:sz w:val="18"/>
          <w:szCs w:val="18"/>
        </w:rPr>
        <w:t xml:space="preserve"> See Phase II Implementation Order, page </w:t>
      </w:r>
      <w:r w:rsidRPr="00967822">
        <w:rPr>
          <w:rFonts w:ascii="Arial Narrow" w:hAnsi="Arial Narrow"/>
          <w:sz w:val="18"/>
          <w:szCs w:val="18"/>
        </w:rPr>
        <w:t>82.</w:t>
      </w:r>
    </w:p>
  </w:footnote>
  <w:footnote w:id="10">
    <w:p w:rsidR="00340F86" w:rsidRPr="00F6769E" w:rsidRDefault="00340F86" w:rsidP="000F5A29">
      <w:pPr>
        <w:pStyle w:val="FootnoteText"/>
        <w:rPr>
          <w:rFonts w:ascii="Arial Narrow" w:hAnsi="Arial Narrow"/>
          <w:sz w:val="18"/>
          <w:szCs w:val="18"/>
        </w:rPr>
      </w:pPr>
      <w:r w:rsidRPr="00F6769E">
        <w:rPr>
          <w:rStyle w:val="FootnoteReference"/>
          <w:rFonts w:ascii="Arial Narrow" w:hAnsi="Arial Narrow"/>
          <w:sz w:val="18"/>
          <w:szCs w:val="18"/>
        </w:rPr>
        <w:footnoteRef/>
      </w:r>
      <w:r w:rsidRPr="00F6769E">
        <w:rPr>
          <w:rFonts w:ascii="Arial Narrow" w:hAnsi="Arial Narrow"/>
          <w:sz w:val="18"/>
          <w:szCs w:val="18"/>
        </w:rPr>
        <w:t xml:space="preserve"> Research conducted by SWE Team members in other jurisdictions indicates that the NTGR for low-income programs is often significantly different than 1.0. The </w:t>
      </w:r>
      <w:r>
        <w:rPr>
          <w:rFonts w:ascii="Arial Narrow" w:hAnsi="Arial Narrow"/>
          <w:sz w:val="18"/>
          <w:szCs w:val="18"/>
        </w:rPr>
        <w:t xml:space="preserve">Phase II </w:t>
      </w:r>
      <w:r w:rsidRPr="00F6769E">
        <w:rPr>
          <w:rFonts w:ascii="Arial Narrow" w:hAnsi="Arial Narrow"/>
          <w:sz w:val="18"/>
          <w:szCs w:val="18"/>
        </w:rPr>
        <w:t>SWE recommends that</w:t>
      </w:r>
      <w:r>
        <w:rPr>
          <w:rFonts w:ascii="Arial Narrow" w:hAnsi="Arial Narrow"/>
          <w:sz w:val="18"/>
          <w:szCs w:val="18"/>
        </w:rPr>
        <w:t>, going forward,</w:t>
      </w:r>
      <w:r w:rsidRPr="00F6769E">
        <w:rPr>
          <w:rFonts w:ascii="Arial Narrow" w:hAnsi="Arial Narrow"/>
          <w:sz w:val="18"/>
          <w:szCs w:val="18"/>
        </w:rPr>
        <w:t xml:space="preserve"> NTG research be conducted for the low-income sector in order to determine the net savings of programs targeted at this sector and to collect information to help in future planning and program design for Act 129 low-income programs.</w:t>
      </w:r>
    </w:p>
  </w:footnote>
  <w:footnote w:id="11">
    <w:p w:rsidR="00340F86" w:rsidRPr="00A27A5F" w:rsidRDefault="00340F86" w:rsidP="00FB0EFE">
      <w:pPr>
        <w:pStyle w:val="CommentText"/>
        <w:rPr>
          <w:rFonts w:ascii="Arial Narrow" w:hAnsi="Arial Narrow"/>
          <w:sz w:val="18"/>
          <w:szCs w:val="18"/>
        </w:rPr>
      </w:pPr>
      <w:r w:rsidRPr="00A27A5F">
        <w:rPr>
          <w:rStyle w:val="FootnoteReference"/>
          <w:rFonts w:ascii="Arial Narrow" w:hAnsi="Arial Narrow"/>
        </w:rPr>
        <w:footnoteRef/>
      </w:r>
      <w:r w:rsidRPr="00A27A5F">
        <w:rPr>
          <w:rFonts w:ascii="Arial Narrow" w:hAnsi="Arial Narrow"/>
          <w:sz w:val="18"/>
          <w:szCs w:val="18"/>
        </w:rPr>
        <w:t xml:space="preserve"> </w:t>
      </w:r>
      <w:r>
        <w:rPr>
          <w:rFonts w:ascii="Arial Narrow" w:hAnsi="Arial Narrow"/>
          <w:sz w:val="18"/>
          <w:szCs w:val="18"/>
        </w:rPr>
        <w:t>Focusing on reducing program free-ridership rates, t</w:t>
      </w:r>
      <w:r w:rsidRPr="00A27A5F">
        <w:rPr>
          <w:rFonts w:ascii="Arial Narrow" w:hAnsi="Arial Narrow"/>
          <w:sz w:val="18"/>
          <w:szCs w:val="18"/>
        </w:rPr>
        <w:t xml:space="preserve">he SWE made this recommendation to the EDCs during </w:t>
      </w:r>
      <w:r>
        <w:rPr>
          <w:rFonts w:ascii="Arial Narrow" w:hAnsi="Arial Narrow"/>
          <w:sz w:val="18"/>
          <w:szCs w:val="18"/>
        </w:rPr>
        <w:t xml:space="preserve">several Phase II </w:t>
      </w:r>
      <w:r w:rsidRPr="00A27A5F">
        <w:rPr>
          <w:rFonts w:ascii="Arial Narrow" w:hAnsi="Arial Narrow"/>
          <w:sz w:val="18"/>
          <w:szCs w:val="18"/>
        </w:rPr>
        <w:t xml:space="preserve">Program Evaluation Group </w:t>
      </w:r>
      <w:r>
        <w:rPr>
          <w:rFonts w:ascii="Arial Narrow" w:hAnsi="Arial Narrow"/>
          <w:sz w:val="18"/>
          <w:szCs w:val="18"/>
        </w:rPr>
        <w:t xml:space="preserve">(PEG) </w:t>
      </w:r>
      <w:r w:rsidRPr="00A27A5F">
        <w:rPr>
          <w:rFonts w:ascii="Arial Narrow" w:hAnsi="Arial Narrow"/>
          <w:sz w:val="18"/>
          <w:szCs w:val="18"/>
        </w:rPr>
        <w:t xml:space="preserve">meetings. A 90-day rebate eligibility clause is recommended by the SWE to significantly reduce the possibility of granting rebates to program participants who have already installed qualifying measures without a rebate. The 90-day window of opportunity would be measured from the date of equipment purchase. Some of the EDCs already have implemented such eligibility requirements. Furthermore, the SWE recommends that additional research be conducted to determine the extent to which program participants who apply for a rebate two to three months after equipment purchase are free-riders. The SWE recommends </w:t>
      </w:r>
      <w:r w:rsidRPr="00A86072">
        <w:rPr>
          <w:rFonts w:ascii="Arial Narrow" w:hAnsi="Arial Narrow"/>
          <w:sz w:val="18"/>
          <w:szCs w:val="18"/>
        </w:rPr>
        <w:t>that participant surveys ask how long the interval was between the purchase of the appliance and the submittal of the rebate application</w:t>
      </w:r>
      <w:r w:rsidRPr="00A27A5F">
        <w:rPr>
          <w:rFonts w:ascii="Arial Narrow" w:hAnsi="Arial Narrow"/>
          <w:sz w:val="18"/>
          <w:szCs w:val="18"/>
        </w:rPr>
        <w:t xml:space="preserve"> (if </w:t>
      </w:r>
      <w:r>
        <w:rPr>
          <w:rFonts w:ascii="Arial Narrow" w:hAnsi="Arial Narrow"/>
          <w:sz w:val="18"/>
          <w:szCs w:val="18"/>
        </w:rPr>
        <w:t>these</w:t>
      </w:r>
      <w:r w:rsidRPr="00A27A5F">
        <w:rPr>
          <w:rFonts w:ascii="Arial Narrow" w:hAnsi="Arial Narrow"/>
          <w:sz w:val="18"/>
          <w:szCs w:val="18"/>
        </w:rPr>
        <w:t xml:space="preserve"> data </w:t>
      </w:r>
      <w:r>
        <w:rPr>
          <w:rFonts w:ascii="Arial Narrow" w:hAnsi="Arial Narrow"/>
          <w:sz w:val="18"/>
          <w:szCs w:val="18"/>
        </w:rPr>
        <w:t>are</w:t>
      </w:r>
      <w:r w:rsidRPr="00A27A5F">
        <w:rPr>
          <w:rFonts w:ascii="Arial Narrow" w:hAnsi="Arial Narrow"/>
          <w:sz w:val="18"/>
          <w:szCs w:val="18"/>
        </w:rPr>
        <w:t xml:space="preserve"> not already in the EDC’s program tracking system), and that analysis be done to determine the free-ridership rate for such participants as compared </w:t>
      </w:r>
      <w:r>
        <w:rPr>
          <w:rFonts w:ascii="Arial Narrow" w:hAnsi="Arial Narrow"/>
          <w:sz w:val="18"/>
          <w:szCs w:val="18"/>
        </w:rPr>
        <w:t>with</w:t>
      </w:r>
      <w:r w:rsidRPr="00A27A5F">
        <w:rPr>
          <w:rFonts w:ascii="Arial Narrow" w:hAnsi="Arial Narrow"/>
          <w:sz w:val="18"/>
          <w:szCs w:val="18"/>
        </w:rPr>
        <w:t xml:space="preserve"> participants who applied more quickly for a rebate</w:t>
      </w:r>
      <w:r w:rsidRPr="00A86072">
        <w:rPr>
          <w:rFonts w:ascii="Arial Narrow" w:hAnsi="Arial Narrow"/>
          <w:sz w:val="18"/>
          <w:szCs w:val="18"/>
        </w:rPr>
        <w:t>.</w:t>
      </w:r>
      <w:r w:rsidRPr="008C3D92">
        <w:rPr>
          <w:rFonts w:ascii="Arial Narrow" w:hAnsi="Arial Narrow"/>
          <w:sz w:val="18"/>
          <w:szCs w:val="18"/>
        </w:rPr>
        <w:t xml:space="preserve"> The SWE recommends that this research recommendation be discussed with </w:t>
      </w:r>
      <w:r>
        <w:rPr>
          <w:rFonts w:ascii="Arial Narrow" w:hAnsi="Arial Narrow"/>
          <w:sz w:val="18"/>
          <w:szCs w:val="18"/>
        </w:rPr>
        <w:t>PEG</w:t>
      </w:r>
      <w:r w:rsidRPr="008C3D92">
        <w:rPr>
          <w:rFonts w:ascii="Arial Narrow" w:hAnsi="Arial Narrow"/>
          <w:sz w:val="18"/>
          <w:szCs w:val="18"/>
        </w:rPr>
        <w:t xml:space="preserve"> participants at a future meeting during </w:t>
      </w:r>
      <w:r>
        <w:rPr>
          <w:rFonts w:ascii="Arial Narrow" w:hAnsi="Arial Narrow"/>
          <w:sz w:val="18"/>
          <w:szCs w:val="18"/>
        </w:rPr>
        <w:t>Phase III</w:t>
      </w:r>
      <w:r w:rsidRPr="008C3D92">
        <w:rPr>
          <w:rFonts w:ascii="Arial Narrow" w:hAnsi="Arial Narrow"/>
          <w:sz w:val="18"/>
          <w:szCs w:val="18"/>
        </w:rPr>
        <w:t>. This research is necessary in order to provide Pennsylvania</w:t>
      </w:r>
      <w:r>
        <w:rPr>
          <w:rFonts w:ascii="Arial Narrow" w:hAnsi="Arial Narrow"/>
          <w:sz w:val="18"/>
          <w:szCs w:val="18"/>
        </w:rPr>
        <w:t>-</w:t>
      </w:r>
      <w:r w:rsidRPr="008C3D92">
        <w:rPr>
          <w:rFonts w:ascii="Arial Narrow" w:hAnsi="Arial Narrow"/>
          <w:sz w:val="18"/>
          <w:szCs w:val="18"/>
        </w:rPr>
        <w:t>specific information on whether the free-ridership rate increases as the length of time a participant takes to apply for a rebate (after a measure is installed) increases.</w:t>
      </w:r>
    </w:p>
  </w:footnote>
  <w:footnote w:id="12">
    <w:p w:rsidR="00340F86" w:rsidRPr="002A0B26" w:rsidRDefault="00340F86" w:rsidP="00FB0EFE">
      <w:pPr>
        <w:pStyle w:val="FootnoteText"/>
        <w:rPr>
          <w:rFonts w:ascii="Arial Narrow" w:hAnsi="Arial Narrow"/>
          <w:sz w:val="18"/>
          <w:szCs w:val="18"/>
        </w:rPr>
      </w:pPr>
      <w:r w:rsidRPr="002A0B26">
        <w:rPr>
          <w:rStyle w:val="FootnoteReference"/>
          <w:rFonts w:ascii="Arial Narrow" w:hAnsi="Arial Narrow"/>
          <w:sz w:val="18"/>
          <w:szCs w:val="18"/>
        </w:rPr>
        <w:footnoteRef/>
      </w:r>
      <w:r w:rsidRPr="002A0B26">
        <w:rPr>
          <w:rFonts w:ascii="Arial Narrow" w:hAnsi="Arial Narrow"/>
          <w:sz w:val="18"/>
          <w:szCs w:val="18"/>
        </w:rPr>
        <w:t xml:space="preserve"> The Phase II SWE Team recommendations in this section draw from SWE Team audit activities conducted across all three years of Phase II, not just from the last year of Phase II.</w:t>
      </w:r>
    </w:p>
  </w:footnote>
  <w:footnote w:id="13">
    <w:p w:rsidR="00340F86" w:rsidRPr="00FB0EFE" w:rsidRDefault="00340F86" w:rsidP="00FB0EFE">
      <w:pPr>
        <w:pStyle w:val="p3"/>
        <w:widowControl/>
        <w:tabs>
          <w:tab w:val="clear" w:pos="204"/>
          <w:tab w:val="left" w:pos="-2070"/>
        </w:tabs>
        <w:jc w:val="both"/>
        <w:rPr>
          <w:rFonts w:ascii="Arial Narrow" w:hAnsi="Arial Narrow"/>
          <w:sz w:val="18"/>
          <w:szCs w:val="18"/>
        </w:rPr>
      </w:pPr>
      <w:r w:rsidRPr="00A27A5F">
        <w:rPr>
          <w:rStyle w:val="FootnoteReference"/>
          <w:rFonts w:ascii="Arial Narrow" w:hAnsi="Arial Narrow"/>
          <w:sz w:val="18"/>
          <w:szCs w:val="18"/>
        </w:rPr>
        <w:footnoteRef/>
      </w:r>
      <w:r w:rsidRPr="009329BE">
        <w:rPr>
          <w:rFonts w:ascii="Arial Narrow" w:hAnsi="Arial Narrow"/>
          <w:sz w:val="18"/>
          <w:szCs w:val="18"/>
        </w:rPr>
        <w:t xml:space="preserve"> Savings represent verified gross energy (including carryover) and demand savings. It is important to note the provision in the Commission’s June 11, 2015 Phase III Implementation Order relating to the methodology to be used to calculate any carry over savings to Phase III. The Phase III Implementation Order states the following: </w:t>
      </w:r>
      <w:r>
        <w:rPr>
          <w:rFonts w:ascii="Arial Narrow" w:hAnsi="Arial Narrow"/>
          <w:sz w:val="18"/>
          <w:szCs w:val="18"/>
        </w:rPr>
        <w:t>“</w:t>
      </w:r>
      <w:r w:rsidRPr="00FB0EFE">
        <w:rPr>
          <w:rFonts w:ascii="Arial Narrow" w:hAnsi="Arial Narrow"/>
          <w:sz w:val="18"/>
          <w:szCs w:val="18"/>
        </w:rPr>
        <w:t>the EDCs are allowed to bank only those savings obtained in Phase II in excess of their targets for application towards Phase III targets. These carryover savings may only be savings actually obtained in Phase II. This directive applies to excess savings in the G/E/NP sector, as well.</w:t>
      </w:r>
      <w:r>
        <w:rPr>
          <w:rFonts w:ascii="Arial Narrow" w:hAnsi="Arial Narrow"/>
          <w:sz w:val="18"/>
          <w:szCs w:val="18"/>
        </w:rPr>
        <w:t xml:space="preserve"> </w:t>
      </w:r>
      <w:r w:rsidRPr="00FB0EFE">
        <w:rPr>
          <w:rFonts w:ascii="Arial Narrow" w:hAnsi="Arial Narrow"/>
          <w:sz w:val="18"/>
          <w:szCs w:val="18"/>
        </w:rPr>
        <w:t>With regard to low-income carryover savings to be applied toward the low-income carve-out, the EDCs will only be allowed to carry over excess low-income savings into Phase III, based on an allocation factor determined by the ratio of savings from low-income specific programs.</w:t>
      </w:r>
      <w:r>
        <w:rPr>
          <w:rFonts w:ascii="Arial Narrow" w:hAnsi="Arial Narrow"/>
          <w:sz w:val="18"/>
          <w:szCs w:val="18"/>
        </w:rPr>
        <w:t>” See pages 84 to 86 of the Phase III Implementation Order for more information on this topic.</w:t>
      </w:r>
    </w:p>
    <w:p w:rsidR="00340F86" w:rsidRPr="009329BE" w:rsidRDefault="00340F86" w:rsidP="009329BE">
      <w:pPr>
        <w:pStyle w:val="FootnoteText"/>
        <w:rPr>
          <w:rFonts w:ascii="Arial Narrow" w:hAnsi="Arial Narrow"/>
          <w:sz w:val="18"/>
          <w:szCs w:val="18"/>
        </w:rPr>
      </w:pPr>
    </w:p>
  </w:footnote>
  <w:footnote w:id="14">
    <w:p w:rsidR="00340F86" w:rsidRPr="00EE52CE" w:rsidRDefault="00340F86">
      <w:pPr>
        <w:pStyle w:val="FootnoteText"/>
        <w:rPr>
          <w:rFonts w:ascii="Arial Narrow" w:hAnsi="Arial Narrow"/>
          <w:sz w:val="18"/>
          <w:szCs w:val="18"/>
        </w:rPr>
      </w:pPr>
      <w:r w:rsidRPr="00EE52CE">
        <w:rPr>
          <w:rStyle w:val="FootnoteReference"/>
          <w:rFonts w:ascii="Arial Narrow" w:hAnsi="Arial Narrow"/>
          <w:sz w:val="18"/>
          <w:szCs w:val="18"/>
        </w:rPr>
        <w:footnoteRef/>
      </w:r>
      <w:r w:rsidRPr="00EE52CE">
        <w:rPr>
          <w:rFonts w:ascii="Arial Narrow" w:hAnsi="Arial Narrow"/>
          <w:sz w:val="18"/>
          <w:szCs w:val="18"/>
        </w:rPr>
        <w:t xml:space="preserve"> 66 Pa. C.S. § 2806.1</w:t>
      </w:r>
    </w:p>
  </w:footnote>
  <w:footnote w:id="15">
    <w:p w:rsidR="00340F86" w:rsidRPr="00C75D51" w:rsidRDefault="00340F86">
      <w:pPr>
        <w:pStyle w:val="FootnoteText"/>
        <w:rPr>
          <w:rFonts w:ascii="Arial Narrow" w:hAnsi="Arial Narrow"/>
          <w:sz w:val="18"/>
        </w:rPr>
      </w:pPr>
      <w:r w:rsidRPr="00C75D51">
        <w:rPr>
          <w:rStyle w:val="FootnoteReference"/>
          <w:rFonts w:ascii="Arial Narrow" w:hAnsi="Arial Narrow"/>
          <w:sz w:val="18"/>
        </w:rPr>
        <w:footnoteRef/>
      </w:r>
      <w:r w:rsidRPr="00C75D51">
        <w:rPr>
          <w:rFonts w:ascii="Arial Narrow" w:hAnsi="Arial Narrow"/>
          <w:sz w:val="18"/>
        </w:rPr>
        <w:t xml:space="preserve"> In its PY7 Final Report dated November 15, 2016, Duquesne Power &amp; Light (DPL) originally reported savings from low income measures of 23,173 MWh. DPL revised this number to 23,114 MWh in a petition for reconsideration filing with the Commission dated April 26, 2017. The Phase II SWE has reviewed the methodology and assumptions that DPL used to calculate this revised number and agrees with this calculation. All of the DPL low income program MWh and MW numbers for Phase II have been revised to reflect the revisions submitted by DPL.     </w:t>
      </w:r>
    </w:p>
  </w:footnote>
  <w:footnote w:id="16">
    <w:p w:rsidR="00340F86" w:rsidRDefault="00340F86" w:rsidP="008A7824">
      <w:pPr>
        <w:pStyle w:val="FootnoteText"/>
      </w:pPr>
      <w:r>
        <w:rPr>
          <w:rStyle w:val="FootnoteReference"/>
          <w:rFonts w:eastAsiaTheme="minorHAnsi"/>
        </w:rPr>
        <w:footnoteRef/>
      </w:r>
      <w:r>
        <w:t xml:space="preserve"> </w:t>
      </w:r>
      <w:r w:rsidRPr="00D44488">
        <w:rPr>
          <w:rFonts w:ascii="Arial Narrow" w:hAnsi="Arial Narrow"/>
          <w:sz w:val="18"/>
          <w:szCs w:val="18"/>
        </w:rPr>
        <w:t>This number is based on the SWE’s interpretation of guidance found in the Evaluation Framework related to the designation of low i</w:t>
      </w:r>
      <w:r>
        <w:rPr>
          <w:rFonts w:ascii="Arial Narrow" w:hAnsi="Arial Narrow"/>
          <w:sz w:val="18"/>
          <w:szCs w:val="18"/>
        </w:rPr>
        <w:t>ncome measure types and general</w:t>
      </w:r>
      <w:r w:rsidRPr="00D44488">
        <w:rPr>
          <w:rFonts w:ascii="Arial Narrow" w:hAnsi="Arial Narrow"/>
          <w:sz w:val="18"/>
          <w:szCs w:val="18"/>
        </w:rPr>
        <w:t xml:space="preserve"> measure types, and is lower than the reported number in PPL’s PY5 Annual Report. PPL reported 52% of measures were available at no cost to low-income customers.  Both instances far exceed the established goal of 8.4% for PPL</w:t>
      </w:r>
      <w:r>
        <w:rPr>
          <w:rFonts w:ascii="Arial Narrow" w:hAnsi="Arial Narrow"/>
          <w:sz w:val="18"/>
          <w:szCs w:val="18"/>
        </w:rPr>
        <w:t>,</w:t>
      </w:r>
    </w:p>
  </w:footnote>
  <w:footnote w:id="17">
    <w:p w:rsidR="00340F86" w:rsidRPr="00637926" w:rsidRDefault="00340F86" w:rsidP="008A7824">
      <w:pPr>
        <w:pStyle w:val="FootnoteText"/>
        <w:rPr>
          <w:rFonts w:ascii="Arial Narrow" w:hAnsi="Arial Narrow"/>
          <w:sz w:val="18"/>
          <w:szCs w:val="18"/>
        </w:rPr>
      </w:pPr>
      <w:r>
        <w:rPr>
          <w:rStyle w:val="FootnoteReference"/>
          <w:rFonts w:eastAsiaTheme="minorHAnsi"/>
        </w:rPr>
        <w:footnoteRef/>
      </w:r>
      <w:r>
        <w:t xml:space="preserve"> </w:t>
      </w:r>
      <w:r w:rsidRPr="00637926">
        <w:rPr>
          <w:rFonts w:ascii="Arial Narrow" w:hAnsi="Arial Narrow"/>
          <w:sz w:val="18"/>
          <w:szCs w:val="18"/>
        </w:rPr>
        <w:t>This number is the approximate percentage calculated by the SWE based on the SWE’s interpretation of guidance found in the Evaluation Framework related to the designation of low income measure types and general measure types, and is lower than the reported number in PPL’s PY5 Annual Report. PPL reported 54% of measures were available at no cost to low-income customers.  Both instances far exceed the established goal of 10.0% for PPL</w:t>
      </w:r>
      <w:r>
        <w:rPr>
          <w:rFonts w:ascii="Arial Narrow" w:hAnsi="Arial Narrow"/>
          <w:sz w:val="18"/>
          <w:szCs w:val="18"/>
        </w:rPr>
        <w:t>.</w:t>
      </w:r>
    </w:p>
  </w:footnote>
  <w:footnote w:id="18">
    <w:p w:rsidR="00340F86" w:rsidRPr="00B060D3" w:rsidRDefault="00340F86" w:rsidP="000F5A29">
      <w:pPr>
        <w:pStyle w:val="FootnoteText"/>
        <w:rPr>
          <w:rFonts w:ascii="Arial Narrow" w:hAnsi="Arial Narrow" w:cs="Arial"/>
          <w:sz w:val="18"/>
          <w:szCs w:val="18"/>
        </w:rPr>
      </w:pPr>
      <w:r w:rsidRPr="00B060D3">
        <w:rPr>
          <w:rStyle w:val="FootnoteReference"/>
          <w:rFonts w:ascii="Arial Narrow" w:hAnsi="Arial Narrow" w:cs="Arial"/>
          <w:sz w:val="18"/>
          <w:szCs w:val="18"/>
        </w:rPr>
        <w:footnoteRef/>
      </w:r>
      <w:r w:rsidRPr="00B060D3">
        <w:rPr>
          <w:rFonts w:ascii="Arial Narrow" w:hAnsi="Arial Narrow" w:cs="Arial"/>
          <w:sz w:val="18"/>
          <w:szCs w:val="18"/>
        </w:rPr>
        <w:t xml:space="preserve"> Low-Income Programs addressed in this section are the programs dedicated to low-income customers. Low-income customer participation in other programs also contributes to achievement of required low-income savings targets established by the PUC for Phase II.</w:t>
      </w:r>
    </w:p>
  </w:footnote>
  <w:footnote w:id="19">
    <w:p w:rsidR="00340F86" w:rsidRPr="00A174C1" w:rsidRDefault="00340F86" w:rsidP="000F5A29">
      <w:pPr>
        <w:pStyle w:val="FootnoteText"/>
        <w:rPr>
          <w:rFonts w:ascii="Arial Narrow" w:hAnsi="Arial Narrow"/>
          <w:sz w:val="18"/>
          <w:szCs w:val="18"/>
        </w:rPr>
      </w:pPr>
      <w:r w:rsidRPr="00A174C1">
        <w:rPr>
          <w:rStyle w:val="FootnoteReference"/>
          <w:rFonts w:ascii="Arial Narrow" w:hAnsi="Arial Narrow"/>
          <w:sz w:val="18"/>
          <w:szCs w:val="18"/>
        </w:rPr>
        <w:footnoteRef/>
      </w:r>
      <w:r w:rsidRPr="00A174C1">
        <w:rPr>
          <w:rFonts w:ascii="Arial Narrow" w:hAnsi="Arial Narrow"/>
          <w:sz w:val="18"/>
          <w:szCs w:val="18"/>
        </w:rPr>
        <w:t xml:space="preserve"> The Phase II SWE Team is presenting data on the average cost per participant for each EDC’s low income program to highlight the variation in delivery costs across EDCs, recognizing that the EDC program offerings vary significantly.</w:t>
      </w:r>
    </w:p>
  </w:footnote>
  <w:footnote w:id="20">
    <w:p w:rsidR="00340F86" w:rsidRPr="00E1723F" w:rsidRDefault="00340F86" w:rsidP="00E1723F">
      <w:pPr>
        <w:pStyle w:val="FootnoteText"/>
        <w:jc w:val="left"/>
        <w:rPr>
          <w:rFonts w:ascii="Arial Narrow" w:hAnsi="Arial Narrow"/>
          <w:sz w:val="18"/>
        </w:rPr>
      </w:pPr>
      <w:r w:rsidRPr="00E1723F">
        <w:rPr>
          <w:rStyle w:val="FootnoteReference"/>
          <w:rFonts w:ascii="Arial Narrow" w:hAnsi="Arial Narrow"/>
          <w:sz w:val="18"/>
        </w:rPr>
        <w:footnoteRef/>
      </w:r>
      <w:r w:rsidRPr="00E1723F">
        <w:rPr>
          <w:rFonts w:ascii="Arial Narrow" w:hAnsi="Arial Narrow"/>
          <w:sz w:val="18"/>
        </w:rPr>
        <w:t xml:space="preserve"> “Realization rate” is defined as a factor representing ex post savings estimates divided by ex ante savings estimates that is applied to gross savings to determine verified savings estimates.</w:t>
      </w:r>
    </w:p>
  </w:footnote>
  <w:footnote w:id="21">
    <w:p w:rsidR="00340F86" w:rsidRPr="00DE0CC2" w:rsidRDefault="00340F86" w:rsidP="000F5A29">
      <w:pPr>
        <w:pStyle w:val="FootnoteText"/>
        <w:rPr>
          <w:rFonts w:ascii="Arial Narrow" w:hAnsi="Arial Narrow" w:cs="Tahoma"/>
          <w:sz w:val="18"/>
          <w:szCs w:val="18"/>
        </w:rPr>
      </w:pPr>
      <w:r w:rsidRPr="00DE0CC2">
        <w:rPr>
          <w:rStyle w:val="FootnoteReference"/>
          <w:rFonts w:ascii="Arial Narrow" w:hAnsi="Arial Narrow"/>
          <w:sz w:val="18"/>
          <w:szCs w:val="18"/>
        </w:rPr>
        <w:footnoteRef/>
      </w:r>
      <w:r w:rsidRPr="00DE0CC2">
        <w:rPr>
          <w:rFonts w:ascii="Arial Narrow" w:hAnsi="Arial Narrow"/>
          <w:sz w:val="18"/>
          <w:szCs w:val="18"/>
        </w:rPr>
        <w:t xml:space="preserve"> </w:t>
      </w:r>
      <w:r w:rsidRPr="00DE0CC2">
        <w:rPr>
          <w:rFonts w:ascii="Arial Narrow" w:hAnsi="Arial Narrow" w:cs="Tahoma"/>
          <w:sz w:val="18"/>
          <w:szCs w:val="18"/>
        </w:rPr>
        <w:t>66 Pa. C.S. § 2806.1 (m).</w:t>
      </w:r>
    </w:p>
  </w:footnote>
  <w:footnote w:id="22">
    <w:p w:rsidR="00340F86" w:rsidRPr="00DE0CC2" w:rsidRDefault="00340F86" w:rsidP="000F5A29">
      <w:pPr>
        <w:pStyle w:val="FootnoteText"/>
        <w:rPr>
          <w:rFonts w:ascii="Arial Narrow" w:hAnsi="Arial Narrow"/>
          <w:sz w:val="18"/>
          <w:szCs w:val="18"/>
        </w:rPr>
      </w:pPr>
      <w:r w:rsidRPr="00DE0CC2">
        <w:rPr>
          <w:rStyle w:val="FootnoteReference"/>
          <w:rFonts w:ascii="Arial Narrow" w:hAnsi="Arial Narrow"/>
          <w:sz w:val="18"/>
          <w:szCs w:val="18"/>
        </w:rPr>
        <w:footnoteRef/>
      </w:r>
      <w:r w:rsidRPr="00DE0CC2">
        <w:rPr>
          <w:rFonts w:ascii="Arial Narrow" w:hAnsi="Arial Narrow"/>
          <w:sz w:val="18"/>
          <w:szCs w:val="18"/>
        </w:rPr>
        <w:t xml:space="preserve"> California Standard Practice Manual – Economic Analysis of Demand-Side Programs and Projects, July 2002.</w:t>
      </w:r>
    </w:p>
  </w:footnote>
  <w:footnote w:id="23">
    <w:p w:rsidR="00340F86" w:rsidRDefault="00340F86" w:rsidP="000F5A29">
      <w:pPr>
        <w:pStyle w:val="FootnoteText"/>
      </w:pPr>
      <w:r w:rsidRPr="00DE0CC2">
        <w:rPr>
          <w:rStyle w:val="FootnoteReference"/>
          <w:rFonts w:ascii="Arial Narrow" w:hAnsi="Arial Narrow"/>
          <w:sz w:val="18"/>
          <w:szCs w:val="18"/>
        </w:rPr>
        <w:footnoteRef/>
      </w:r>
      <w:r w:rsidRPr="00DE0CC2">
        <w:rPr>
          <w:rFonts w:ascii="Arial Narrow" w:hAnsi="Arial Narrow"/>
          <w:sz w:val="18"/>
          <w:szCs w:val="18"/>
        </w:rPr>
        <w:t xml:space="preserve"> Order on the TRC test for Phase II of Act 129. From the Public Meeting of August 30, 2012, at Docket No. M-2012-2300653. Entered August 30, 2012</w:t>
      </w:r>
      <w:r>
        <w:rPr>
          <w:rFonts w:ascii="Arial Narrow" w:hAnsi="Arial Narrow"/>
          <w:sz w:val="18"/>
          <w:szCs w:val="18"/>
        </w:rPr>
        <w:t>.</w:t>
      </w:r>
    </w:p>
  </w:footnote>
  <w:footnote w:id="24">
    <w:p w:rsidR="00340F86" w:rsidRPr="00487448" w:rsidRDefault="00340F86" w:rsidP="000F5A29">
      <w:pPr>
        <w:pStyle w:val="FootnoteText"/>
        <w:rPr>
          <w:rFonts w:ascii="Arial Narrow" w:hAnsi="Arial Narrow"/>
          <w:sz w:val="18"/>
          <w:szCs w:val="18"/>
        </w:rPr>
      </w:pPr>
      <w:r w:rsidRPr="00487448">
        <w:rPr>
          <w:rStyle w:val="FootnoteReference"/>
          <w:rFonts w:ascii="Arial Narrow" w:hAnsi="Arial Narrow"/>
          <w:sz w:val="18"/>
          <w:szCs w:val="18"/>
        </w:rPr>
        <w:footnoteRef/>
      </w:r>
      <w:r w:rsidRPr="00487448">
        <w:rPr>
          <w:rFonts w:ascii="Arial Narrow" w:hAnsi="Arial Narrow"/>
          <w:sz w:val="18"/>
          <w:szCs w:val="18"/>
        </w:rPr>
        <w:t xml:space="preserve"> This different accounting method for reporting Phase II benefits and cost was originally noted and discussed in the SWE</w:t>
      </w:r>
      <w:r>
        <w:rPr>
          <w:rFonts w:ascii="Arial Narrow" w:hAnsi="Arial Narrow"/>
          <w:sz w:val="18"/>
          <w:szCs w:val="18"/>
        </w:rPr>
        <w:t>’s</w:t>
      </w:r>
      <w:r w:rsidRPr="00487448">
        <w:rPr>
          <w:rFonts w:ascii="Arial Narrow" w:hAnsi="Arial Narrow"/>
          <w:sz w:val="18"/>
          <w:szCs w:val="18"/>
        </w:rPr>
        <w:t xml:space="preserve"> PY6 </w:t>
      </w:r>
      <w:r>
        <w:rPr>
          <w:rFonts w:ascii="Arial Narrow" w:hAnsi="Arial Narrow"/>
          <w:sz w:val="18"/>
          <w:szCs w:val="18"/>
        </w:rPr>
        <w:t>a</w:t>
      </w:r>
      <w:r w:rsidRPr="00487448">
        <w:rPr>
          <w:rFonts w:ascii="Arial Narrow" w:hAnsi="Arial Narrow"/>
          <w:sz w:val="18"/>
          <w:szCs w:val="18"/>
        </w:rPr>
        <w:t xml:space="preserve">nnual </w:t>
      </w:r>
      <w:r>
        <w:rPr>
          <w:rFonts w:ascii="Arial Narrow" w:hAnsi="Arial Narrow"/>
          <w:sz w:val="18"/>
          <w:szCs w:val="18"/>
        </w:rPr>
        <w:t>r</w:t>
      </w:r>
      <w:r w:rsidRPr="00487448">
        <w:rPr>
          <w:rFonts w:ascii="Arial Narrow" w:hAnsi="Arial Narrow"/>
          <w:sz w:val="18"/>
          <w:szCs w:val="18"/>
        </w:rPr>
        <w:t>eport.  The SWE recommends that the Commission adopt a common reporting method for all EDCs during Phase III.</w:t>
      </w:r>
    </w:p>
  </w:footnote>
  <w:footnote w:id="25">
    <w:p w:rsidR="00340F86" w:rsidRPr="00835821" w:rsidRDefault="00340F86" w:rsidP="0077432E">
      <w:pPr>
        <w:pStyle w:val="FootnoteText"/>
        <w:rPr>
          <w:rFonts w:ascii="Arial Narrow" w:hAnsi="Arial Narrow"/>
          <w:sz w:val="18"/>
        </w:rPr>
      </w:pPr>
      <w:r w:rsidRPr="00835821">
        <w:rPr>
          <w:rStyle w:val="FootnoteReference"/>
          <w:rFonts w:ascii="Arial Narrow" w:hAnsi="Arial Narrow"/>
          <w:sz w:val="18"/>
        </w:rPr>
        <w:footnoteRef/>
      </w:r>
      <w:r w:rsidRPr="00835821">
        <w:rPr>
          <w:rFonts w:ascii="Arial Narrow" w:hAnsi="Arial Narrow"/>
          <w:sz w:val="18"/>
        </w:rPr>
        <w:t xml:space="preserve"> </w:t>
      </w:r>
      <w:r>
        <w:rPr>
          <w:rFonts w:ascii="Arial Narrow" w:hAnsi="Arial Narrow"/>
          <w:sz w:val="18"/>
        </w:rPr>
        <w:t>T</w:t>
      </w:r>
      <w:r w:rsidRPr="00835821">
        <w:rPr>
          <w:rFonts w:ascii="Arial Narrow" w:hAnsi="Arial Narrow"/>
          <w:sz w:val="18"/>
        </w:rPr>
        <w:t xml:space="preserve">he additional research </w:t>
      </w:r>
      <w:r>
        <w:rPr>
          <w:rFonts w:ascii="Arial Narrow" w:hAnsi="Arial Narrow"/>
          <w:sz w:val="18"/>
        </w:rPr>
        <w:t xml:space="preserve">conducted </w:t>
      </w:r>
      <w:r w:rsidRPr="00835821">
        <w:rPr>
          <w:rFonts w:ascii="Arial Narrow" w:hAnsi="Arial Narrow"/>
          <w:sz w:val="18"/>
        </w:rPr>
        <w:t xml:space="preserve">by the Phase II SWE Team found that Duquesne Light Company planned to implement 83% of the recommendations that were still under consideration at the time the Company filed its PY5 Annual Report. </w:t>
      </w:r>
    </w:p>
  </w:footnote>
  <w:footnote w:id="26">
    <w:p w:rsidR="00340F86" w:rsidRPr="00514A0E" w:rsidRDefault="00340F86" w:rsidP="00E3392B">
      <w:pPr>
        <w:pStyle w:val="FootnoteText"/>
        <w:rPr>
          <w:rFonts w:ascii="Arial Narrow" w:hAnsi="Arial Narrow"/>
          <w:sz w:val="18"/>
          <w:szCs w:val="18"/>
        </w:rPr>
      </w:pPr>
      <w:r w:rsidRPr="00514A0E">
        <w:rPr>
          <w:rStyle w:val="FootnoteReference"/>
          <w:rFonts w:ascii="Arial Narrow" w:hAnsi="Arial Narrow"/>
          <w:sz w:val="18"/>
          <w:szCs w:val="18"/>
        </w:rPr>
        <w:footnoteRef/>
      </w:r>
      <w:r w:rsidRPr="00514A0E">
        <w:rPr>
          <w:rFonts w:ascii="Arial Narrow" w:hAnsi="Arial Narrow"/>
          <w:sz w:val="18"/>
          <w:szCs w:val="18"/>
        </w:rPr>
        <w:t xml:space="preserve"> The NTGRs for appliance recycling declined from PY6 to PY7 for Duquesne and Met-Ed by over 32 percentage points and for Penelec and Penn Power by about 13 percentage points. The NTGRs for the West Penn Power and PECO appliance recycling programs remained unchanged and the NTGR for PECO increased in PY7 by 15 percentage points.</w:t>
      </w:r>
    </w:p>
  </w:footnote>
  <w:footnote w:id="27">
    <w:p w:rsidR="00340F86" w:rsidRDefault="00340F86" w:rsidP="00E3392B">
      <w:pPr>
        <w:pStyle w:val="FootnoteText"/>
      </w:pPr>
      <w:r w:rsidRPr="00514A0E">
        <w:rPr>
          <w:rStyle w:val="FootnoteReference"/>
          <w:rFonts w:ascii="Arial Narrow" w:hAnsi="Arial Narrow"/>
          <w:sz w:val="18"/>
          <w:szCs w:val="18"/>
        </w:rPr>
        <w:footnoteRef/>
      </w:r>
      <w:r w:rsidRPr="00514A0E">
        <w:rPr>
          <w:rFonts w:ascii="Arial Narrow" w:hAnsi="Arial Narrow"/>
          <w:sz w:val="18"/>
          <w:szCs w:val="18"/>
        </w:rPr>
        <w:t xml:space="preserve"> The NTGRs for the low income programs of the FirstEnergy EDCs and PECO fell in PY7 to values of ranging from 0.81 to 0.90 from the PY6 assumed value of 1.0. Duquesne’s low income NTGR rose in PY7 to 0.81 from a PY6 estimate of 0.76. PPL’s low income NTGR remained unchanged at the assumed value of 1.0.</w:t>
      </w:r>
    </w:p>
  </w:footnote>
  <w:footnote w:id="28">
    <w:p w:rsidR="00340F86" w:rsidRPr="00A5722F" w:rsidRDefault="00340F86" w:rsidP="007631BE">
      <w:pPr>
        <w:pStyle w:val="FootnoteText"/>
        <w:jc w:val="left"/>
        <w:rPr>
          <w:rFonts w:ascii="Arial Narrow" w:hAnsi="Arial Narrow"/>
          <w:sz w:val="18"/>
          <w:szCs w:val="18"/>
        </w:rPr>
      </w:pPr>
      <w:r w:rsidRPr="00A5722F">
        <w:rPr>
          <w:rStyle w:val="FootnoteReference"/>
          <w:rFonts w:ascii="Arial Narrow" w:hAnsi="Arial Narrow"/>
          <w:sz w:val="18"/>
          <w:szCs w:val="18"/>
        </w:rPr>
        <w:footnoteRef/>
      </w:r>
      <w:r w:rsidRPr="00A5722F">
        <w:rPr>
          <w:rFonts w:ascii="Arial Narrow" w:hAnsi="Arial Narrow"/>
          <w:sz w:val="18"/>
          <w:szCs w:val="18"/>
        </w:rPr>
        <w:t xml:space="preserve"> </w:t>
      </w:r>
      <w:hyperlink r:id="rId1" w:history="1">
        <w:r w:rsidRPr="008A5E9E">
          <w:rPr>
            <w:rStyle w:val="Hyperlink"/>
            <w:rFonts w:ascii="Arial Narrow" w:eastAsia="Calibri" w:hAnsi="Arial Narrow"/>
            <w:sz w:val="18"/>
            <w:szCs w:val="18"/>
          </w:rPr>
          <w:t>http://energy.gov/eere/about-us/ump-protocols</w:t>
        </w:r>
      </w:hyperlink>
      <w:r w:rsidRPr="008A5E9E">
        <w:rPr>
          <w:rStyle w:val="Hyperlink"/>
          <w:rFonts w:ascii="Arial Narrow" w:eastAsia="Calibri" w:hAnsi="Arial Narrow"/>
          <w:sz w:val="18"/>
          <w:szCs w:val="18"/>
        </w:rPr>
        <w:t>.</w:t>
      </w:r>
      <w:r w:rsidRPr="00A5722F">
        <w:rPr>
          <w:rFonts w:ascii="Arial Narrow" w:hAnsi="Arial Narrow"/>
          <w:sz w:val="18"/>
          <w:szCs w:val="18"/>
        </w:rPr>
        <w:t xml:space="preserve"> </w:t>
      </w:r>
    </w:p>
  </w:footnote>
  <w:footnote w:id="29">
    <w:p w:rsidR="00340F86" w:rsidRPr="0055637D" w:rsidRDefault="00340F86" w:rsidP="00E3392B">
      <w:pPr>
        <w:pStyle w:val="FootnoteText"/>
        <w:rPr>
          <w:rFonts w:ascii="Arial Narrow" w:hAnsi="Arial Narrow"/>
          <w:sz w:val="18"/>
        </w:rPr>
      </w:pPr>
      <w:r w:rsidRPr="0055637D">
        <w:rPr>
          <w:rStyle w:val="FootnoteReference"/>
          <w:rFonts w:ascii="Arial Narrow" w:hAnsi="Arial Narrow"/>
          <w:sz w:val="18"/>
        </w:rPr>
        <w:footnoteRef/>
      </w:r>
      <w:r w:rsidRPr="0055637D">
        <w:rPr>
          <w:rFonts w:ascii="Arial Narrow" w:hAnsi="Arial Narrow"/>
          <w:sz w:val="18"/>
        </w:rPr>
        <w:t xml:space="preserve"> A discrepancy is defined as occurring when energy efficiency equipment or measures were reported as installed by an EDC or an EDC implementation contractor but were found not to be installed or not operating properly when on-site or telephone inspections were conducted.</w:t>
      </w:r>
    </w:p>
  </w:footnote>
  <w:footnote w:id="30">
    <w:p w:rsidR="00340F86" w:rsidRPr="00910D94" w:rsidRDefault="00340F86" w:rsidP="00E3392B">
      <w:pPr>
        <w:pStyle w:val="FootnoteText"/>
        <w:rPr>
          <w:rFonts w:ascii="Arial Narrow" w:hAnsi="Arial Narrow"/>
          <w:sz w:val="18"/>
          <w:szCs w:val="18"/>
        </w:rPr>
      </w:pPr>
      <w:r w:rsidRPr="00910D94">
        <w:rPr>
          <w:rStyle w:val="FootnoteReference"/>
          <w:rFonts w:ascii="Arial Narrow" w:hAnsi="Arial Narrow"/>
          <w:sz w:val="18"/>
          <w:szCs w:val="18"/>
        </w:rPr>
        <w:footnoteRef/>
      </w:r>
      <w:r w:rsidRPr="00910D94">
        <w:rPr>
          <w:rFonts w:ascii="Arial Narrow" w:hAnsi="Arial Narrow"/>
          <w:sz w:val="18"/>
          <w:szCs w:val="18"/>
        </w:rPr>
        <w:t xml:space="preserve"> Note that this does not necessarily mean a lift program is more cost</w:t>
      </w:r>
      <w:r>
        <w:rPr>
          <w:rFonts w:ascii="Arial Narrow" w:hAnsi="Arial Narrow"/>
          <w:sz w:val="18"/>
          <w:szCs w:val="18"/>
        </w:rPr>
        <w:t>-</w:t>
      </w:r>
      <w:r w:rsidRPr="00910D94">
        <w:rPr>
          <w:rFonts w:ascii="Arial Narrow" w:hAnsi="Arial Narrow"/>
          <w:sz w:val="18"/>
          <w:szCs w:val="18"/>
        </w:rPr>
        <w:t>effective: to the extent that retailers’ actions are driven by the aggregate incentive amount they expect to receive</w:t>
      </w:r>
      <w:r>
        <w:rPr>
          <w:rFonts w:ascii="Arial Narrow" w:hAnsi="Arial Narrow"/>
          <w:sz w:val="18"/>
          <w:szCs w:val="18"/>
        </w:rPr>
        <w:t>;</w:t>
      </w:r>
      <w:r w:rsidRPr="00910D94">
        <w:rPr>
          <w:rFonts w:ascii="Arial Narrow" w:hAnsi="Arial Narrow"/>
          <w:sz w:val="18"/>
          <w:szCs w:val="18"/>
        </w:rPr>
        <w:t xml:space="preserve"> a lift program may need to provide a larger incentive on a per-unit basis to motivate retailers to take a given set of actions to increase sales of efficient products. </w:t>
      </w:r>
    </w:p>
  </w:footnote>
  <w:footnote w:id="31">
    <w:p w:rsidR="00340F86" w:rsidRPr="00910D94" w:rsidRDefault="00340F86" w:rsidP="00E3392B">
      <w:pPr>
        <w:pStyle w:val="FootnoteText"/>
        <w:rPr>
          <w:rFonts w:ascii="Arial Narrow" w:hAnsi="Arial Narrow"/>
          <w:sz w:val="18"/>
          <w:szCs w:val="18"/>
        </w:rPr>
      </w:pPr>
      <w:r w:rsidRPr="00910D94">
        <w:rPr>
          <w:rStyle w:val="FootnoteReference"/>
          <w:rFonts w:ascii="Arial Narrow" w:hAnsi="Arial Narrow"/>
          <w:sz w:val="18"/>
          <w:szCs w:val="18"/>
        </w:rPr>
        <w:footnoteRef/>
      </w:r>
      <w:r w:rsidRPr="00910D94">
        <w:rPr>
          <w:rFonts w:ascii="Arial Narrow" w:hAnsi="Arial Narrow"/>
          <w:sz w:val="18"/>
          <w:szCs w:val="18"/>
        </w:rPr>
        <w:t xml:space="preserve"> In 2016, PG&amp;E plan</w:t>
      </w:r>
      <w:r>
        <w:rPr>
          <w:rFonts w:ascii="Arial Narrow" w:hAnsi="Arial Narrow"/>
          <w:sz w:val="18"/>
          <w:szCs w:val="18"/>
        </w:rPr>
        <w:t>ned</w:t>
      </w:r>
      <w:r w:rsidRPr="00910D94">
        <w:rPr>
          <w:rFonts w:ascii="Arial Narrow" w:hAnsi="Arial Narrow"/>
          <w:sz w:val="18"/>
          <w:szCs w:val="18"/>
        </w:rPr>
        <w:t xml:space="preserve"> to provide incentives for dryers, sound bars, air purifiers, room air conditioners, and freezers. RPP design allows product categories to easily transition in and out of the program. </w:t>
      </w:r>
    </w:p>
  </w:footnote>
  <w:footnote w:id="32">
    <w:p w:rsidR="00340F86" w:rsidRPr="00910D94" w:rsidRDefault="00340F86" w:rsidP="00E3392B">
      <w:pPr>
        <w:pStyle w:val="FootnoteText"/>
        <w:rPr>
          <w:rFonts w:ascii="Arial Narrow" w:hAnsi="Arial Narrow"/>
          <w:sz w:val="18"/>
          <w:szCs w:val="18"/>
        </w:rPr>
      </w:pPr>
      <w:r w:rsidRPr="00910D94">
        <w:rPr>
          <w:rStyle w:val="FootnoteReference"/>
          <w:rFonts w:ascii="Arial Narrow" w:hAnsi="Arial Narrow"/>
          <w:sz w:val="18"/>
          <w:szCs w:val="18"/>
        </w:rPr>
        <w:footnoteRef/>
      </w:r>
      <w:r w:rsidRPr="00910D94">
        <w:rPr>
          <w:rFonts w:ascii="Arial Narrow" w:hAnsi="Arial Narrow"/>
          <w:sz w:val="18"/>
          <w:szCs w:val="18"/>
        </w:rPr>
        <w:t xml:space="preserve"> These specifications are typically ENERGY STAR or ENERGY STAR Most Efficient, but may be defined as a proportion more efficient than ENERGY STAR (e.g., 15% more efficient than ENERGY STAR, expressed as ENERGY STAR + 15%). </w:t>
      </w:r>
    </w:p>
  </w:footnote>
  <w:footnote w:id="33">
    <w:p w:rsidR="00340F86" w:rsidRPr="00910D94" w:rsidRDefault="00340F86" w:rsidP="00E3392B">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Expanded underwriting criteria use traditional financial metrics to judge a borrower’s creditworthiness, but allow a wider range of borrowers than a lender would traditionally accept (e.g., accepting borrowers with credit scores of 580 and above, rather than limiting loans to those with credit scores above 640). Alternate underwriting criteria use metrics other than traditional financial metrics, like utility bill or mortgage repayment history, to determine creditworthiness. </w:t>
      </w:r>
    </w:p>
  </w:footnote>
  <w:footnote w:id="34">
    <w:p w:rsidR="00340F86" w:rsidRPr="00A5722F" w:rsidRDefault="00340F86" w:rsidP="00E3392B">
      <w:pPr>
        <w:pStyle w:val="FootnoteText"/>
        <w:rPr>
          <w:rFonts w:ascii="Arial Narrow" w:hAnsi="Arial Narrow"/>
          <w:sz w:val="18"/>
        </w:rPr>
      </w:pPr>
      <w:r w:rsidRPr="00A5722F">
        <w:rPr>
          <w:rStyle w:val="FootnoteReference"/>
          <w:rFonts w:ascii="Arial Narrow" w:hAnsi="Arial Narrow"/>
          <w:sz w:val="18"/>
        </w:rPr>
        <w:footnoteRef/>
      </w:r>
      <w:r w:rsidRPr="00A5722F">
        <w:rPr>
          <w:rFonts w:ascii="Arial Narrow" w:hAnsi="Arial Narrow"/>
          <w:sz w:val="18"/>
        </w:rPr>
        <w:t xml:space="preserve"> Some loans are structured to transfer “automatically” when a home sells, without requiring the buyer to explicitly agree to the loan transfer. Even in these cases, however, the buyer has the discretion to ask that the seller pay off the loan as a condition of the home sale.  </w:t>
      </w:r>
    </w:p>
  </w:footnote>
  <w:footnote w:id="35">
    <w:p w:rsidR="00340F86" w:rsidRPr="00C9303F" w:rsidRDefault="00340F86" w:rsidP="00E3392B">
      <w:pPr>
        <w:pStyle w:val="FootnoteText"/>
        <w:rPr>
          <w:rFonts w:ascii="Arial Narrow" w:hAnsi="Arial Narrow"/>
          <w:sz w:val="18"/>
          <w:szCs w:val="18"/>
        </w:rPr>
      </w:pPr>
      <w:r w:rsidRPr="00C9303F">
        <w:rPr>
          <w:rStyle w:val="FootnoteReference"/>
          <w:rFonts w:ascii="Arial Narrow" w:hAnsi="Arial Narrow"/>
          <w:sz w:val="18"/>
          <w:szCs w:val="18"/>
        </w:rPr>
        <w:footnoteRef/>
      </w:r>
      <w:r w:rsidRPr="00C9303F">
        <w:rPr>
          <w:rFonts w:ascii="Arial Narrow" w:hAnsi="Arial Narrow"/>
          <w:sz w:val="18"/>
          <w:szCs w:val="18"/>
        </w:rPr>
        <w:t xml:space="preserve"> </w:t>
      </w:r>
      <w:r>
        <w:rPr>
          <w:rFonts w:ascii="Arial Narrow" w:hAnsi="Arial Narrow"/>
          <w:sz w:val="18"/>
          <w:szCs w:val="18"/>
        </w:rPr>
        <w:t xml:space="preserve">Susan </w:t>
      </w:r>
      <w:r w:rsidRPr="00C9303F">
        <w:rPr>
          <w:rFonts w:ascii="Arial Narrow" w:hAnsi="Arial Narrow"/>
          <w:sz w:val="18"/>
          <w:szCs w:val="18"/>
        </w:rPr>
        <w:t>Mazur-Stommen and Kate Farley. 2013. “ACEEE Field Guide to Utility-Run Behavior Programs.” B132. Washington, D.C.: American Council for an Energy-Efficient Economy.</w:t>
      </w:r>
    </w:p>
  </w:footnote>
  <w:footnote w:id="36">
    <w:p w:rsidR="00340F86" w:rsidRPr="00910D94" w:rsidRDefault="00340F86" w:rsidP="00E3392B">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As noted above, </w:t>
      </w:r>
      <w:r>
        <w:rPr>
          <w:rFonts w:ascii="Arial Narrow" w:hAnsi="Arial Narrow"/>
          <w:sz w:val="18"/>
        </w:rPr>
        <w:t>HERs</w:t>
      </w:r>
      <w:r w:rsidRPr="00910D94">
        <w:rPr>
          <w:rFonts w:ascii="Arial Narrow" w:hAnsi="Arial Narrow"/>
          <w:sz w:val="18"/>
        </w:rPr>
        <w:t xml:space="preserve"> can also leverage social norms if they are framed as a comparison </w:t>
      </w:r>
      <w:r>
        <w:rPr>
          <w:rFonts w:ascii="Arial Narrow" w:hAnsi="Arial Narrow"/>
          <w:sz w:val="18"/>
        </w:rPr>
        <w:t>with</w:t>
      </w:r>
      <w:r w:rsidRPr="00910D94">
        <w:rPr>
          <w:rFonts w:ascii="Arial Narrow" w:hAnsi="Arial Narrow"/>
          <w:sz w:val="18"/>
        </w:rPr>
        <w:t xml:space="preserve"> other members of one’s community. Many behavioral programs seek to combine multiple strategies. </w:t>
      </w:r>
    </w:p>
  </w:footnote>
  <w:footnote w:id="37">
    <w:p w:rsidR="00340F86" w:rsidRPr="00910D94" w:rsidRDefault="00340F86" w:rsidP="00E3392B">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Source: SCE website. Accessed 12/15/2015 at www.sce.com/wps/portal/home/customer-service/my-account/smart-meters/opt-out/.</w:t>
      </w:r>
    </w:p>
  </w:footnote>
  <w:footnote w:id="38">
    <w:p w:rsidR="00340F86" w:rsidRPr="00910D94" w:rsidRDefault="00340F86" w:rsidP="00E3392B">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Cognitive dissonance occurs when a person’s actions do not align with that person’s beliefs or attitudes. </w:t>
      </w:r>
    </w:p>
  </w:footnote>
  <w:footnote w:id="39">
    <w:p w:rsidR="00340F86" w:rsidRPr="00910D94" w:rsidRDefault="00340F86" w:rsidP="00C24970">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Source: Entergy Solutions Rewards website. Accessed 12/15/2015 at </w:t>
      </w:r>
      <w:hyperlink r:id="rId2" w:history="1">
        <w:r w:rsidRPr="00910D94">
          <w:rPr>
            <w:rStyle w:val="Hyperlink"/>
            <w:rFonts w:ascii="Arial Narrow" w:hAnsi="Arial Narrow"/>
            <w:sz w:val="18"/>
          </w:rPr>
          <w:t>www.entergysolutionsrewards.com</w:t>
        </w:r>
      </w:hyperlink>
      <w:r w:rsidRPr="00910D94">
        <w:rPr>
          <w:rStyle w:val="Hyperlink"/>
          <w:rFonts w:ascii="Arial Narrow" w:hAnsi="Arial Narrow"/>
          <w:sz w:val="18"/>
        </w:rPr>
        <w:t>.</w:t>
      </w:r>
    </w:p>
  </w:footnote>
  <w:footnote w:id="40">
    <w:p w:rsidR="00340F86" w:rsidRPr="00910D94" w:rsidRDefault="00340F86" w:rsidP="00C24970">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Source: Entergy Solutions Rewards website. Accessed 12/15/2015 at </w:t>
      </w:r>
      <w:hyperlink r:id="rId3" w:history="1">
        <w:r w:rsidRPr="00910D94">
          <w:rPr>
            <w:rStyle w:val="Hyperlink"/>
            <w:rFonts w:ascii="Arial Narrow" w:hAnsi="Arial Narrow"/>
            <w:sz w:val="18"/>
          </w:rPr>
          <w:t>www.entergysolutionsrewards.com/faqs</w:t>
        </w:r>
      </w:hyperlink>
      <w:r w:rsidRPr="00910D94">
        <w:rPr>
          <w:rStyle w:val="Hyperlink"/>
          <w:rFonts w:ascii="Arial Narrow" w:hAnsi="Arial Narrow"/>
          <w:sz w:val="18"/>
        </w:rPr>
        <w:t>.</w:t>
      </w:r>
    </w:p>
  </w:footnote>
  <w:footnote w:id="41">
    <w:p w:rsidR="00340F86" w:rsidRPr="00610475" w:rsidRDefault="00340F86">
      <w:pPr>
        <w:pStyle w:val="FootnoteText"/>
        <w:rPr>
          <w:rFonts w:ascii="Arial Narrow" w:hAnsi="Arial Narrow"/>
          <w:sz w:val="18"/>
          <w:szCs w:val="18"/>
        </w:rPr>
      </w:pPr>
      <w:r w:rsidRPr="00610475">
        <w:rPr>
          <w:rStyle w:val="FootnoteReference"/>
          <w:rFonts w:ascii="Arial Narrow" w:hAnsi="Arial Narrow"/>
          <w:sz w:val="18"/>
          <w:szCs w:val="18"/>
        </w:rPr>
        <w:footnoteRef/>
      </w:r>
      <w:r w:rsidRPr="00610475">
        <w:rPr>
          <w:rFonts w:ascii="Arial Narrow" w:hAnsi="Arial Narrow"/>
          <w:sz w:val="18"/>
          <w:szCs w:val="18"/>
        </w:rPr>
        <w:t xml:space="preserve"> All of the $ per first-year kWh saved calculations presented in Tables 6-1 through 6-9 for the residential, non-residential and total sectors were calculated by dividing the total utility costs for a sector by the total first-year kWh savings for each sector presented in each table. The $ per first-year kWh saved for a sector were not calculated by taking a simple average of the $ per first-year kWh saved for the sub-sectors of each sector. This means that the overall $ per first-year kWh saved for a sector is a weighted average of the $ per first-year kWh saved for each sub-sector.</w:t>
      </w:r>
    </w:p>
  </w:footnote>
  <w:footnote w:id="42">
    <w:p w:rsidR="00340F86" w:rsidRDefault="00340F86" w:rsidP="00B87BB2">
      <w:pPr>
        <w:pStyle w:val="FootnoteText"/>
      </w:pPr>
      <w:r>
        <w:rPr>
          <w:rStyle w:val="FootnoteReference"/>
        </w:rPr>
        <w:footnoteRef/>
      </w:r>
      <w:r>
        <w:t xml:space="preserve"> </w:t>
      </w:r>
      <w:r w:rsidRPr="005F407B">
        <w:rPr>
          <w:rFonts w:ascii="Arial Narrow" w:hAnsi="Arial Narrow"/>
          <w:sz w:val="18"/>
          <w:szCs w:val="18"/>
        </w:rPr>
        <w:t>Dollar savings values are the sum of total NPV TRC benefits for Phase I and II for each EDC.</w:t>
      </w:r>
    </w:p>
  </w:footnote>
  <w:footnote w:id="43">
    <w:p w:rsidR="00340F86" w:rsidRDefault="00340F86" w:rsidP="00B87BB2">
      <w:pPr>
        <w:pStyle w:val="FootnoteText"/>
      </w:pPr>
      <w:r>
        <w:rPr>
          <w:rStyle w:val="FootnoteReference"/>
        </w:rPr>
        <w:footnoteRef/>
      </w:r>
      <w:r>
        <w:t xml:space="preserve"> </w:t>
      </w:r>
      <w:r w:rsidRPr="0005355B">
        <w:rPr>
          <w:rFonts w:ascii="Arial Narrow" w:hAnsi="Arial Narrow"/>
          <w:sz w:val="18"/>
          <w:szCs w:val="18"/>
        </w:rPr>
        <w:t xml:space="preserve">No reported savings for </w:t>
      </w:r>
      <w:r>
        <w:rPr>
          <w:rFonts w:ascii="Arial Narrow" w:hAnsi="Arial Narrow"/>
          <w:sz w:val="18"/>
          <w:szCs w:val="18"/>
        </w:rPr>
        <w:t>non-residential</w:t>
      </w:r>
      <w:r w:rsidRPr="0005355B">
        <w:rPr>
          <w:rFonts w:ascii="Arial Narrow" w:hAnsi="Arial Narrow"/>
          <w:sz w:val="18"/>
          <w:szCs w:val="18"/>
        </w:rPr>
        <w:t xml:space="preserve"> programs in</w:t>
      </w:r>
      <w:r>
        <w:rPr>
          <w:rFonts w:ascii="Arial Narrow" w:hAnsi="Arial Narrow"/>
          <w:sz w:val="18"/>
          <w:szCs w:val="18"/>
        </w:rPr>
        <w:t xml:space="preserve"> PY1</w:t>
      </w:r>
    </w:p>
  </w:footnote>
  <w:footnote w:id="44">
    <w:p w:rsidR="00340F86" w:rsidRPr="0005355B" w:rsidRDefault="00340F86" w:rsidP="00F874FE">
      <w:pPr>
        <w:pStyle w:val="FootnoteText"/>
        <w:rPr>
          <w:rFonts w:ascii="Arial Narrow" w:hAnsi="Arial Narrow"/>
          <w:sz w:val="18"/>
          <w:szCs w:val="18"/>
        </w:rPr>
      </w:pPr>
      <w:r w:rsidRPr="0005355B">
        <w:rPr>
          <w:rStyle w:val="FootnoteReference"/>
          <w:rFonts w:ascii="Arial Narrow" w:hAnsi="Arial Narrow"/>
          <w:sz w:val="18"/>
          <w:szCs w:val="18"/>
        </w:rPr>
        <w:footnoteRef/>
      </w:r>
      <w:r w:rsidRPr="0005355B">
        <w:rPr>
          <w:rFonts w:ascii="Arial Narrow" w:hAnsi="Arial Narrow"/>
          <w:sz w:val="18"/>
          <w:szCs w:val="18"/>
        </w:rPr>
        <w:t xml:space="preserve"> No reported savings for low income programs in PY4</w:t>
      </w:r>
    </w:p>
  </w:footnote>
  <w:footnote w:id="45">
    <w:p w:rsidR="00340F86" w:rsidRDefault="00340F86" w:rsidP="00F874FE">
      <w:pPr>
        <w:pStyle w:val="FootnoteText"/>
      </w:pPr>
      <w:r w:rsidRPr="0005355B">
        <w:rPr>
          <w:rStyle w:val="FootnoteReference"/>
          <w:rFonts w:ascii="Arial Narrow" w:hAnsi="Arial Narrow"/>
          <w:sz w:val="18"/>
          <w:szCs w:val="18"/>
        </w:rPr>
        <w:footnoteRef/>
      </w:r>
      <w:r w:rsidRPr="0005355B">
        <w:rPr>
          <w:rFonts w:ascii="Arial Narrow" w:hAnsi="Arial Narrow"/>
          <w:sz w:val="18"/>
          <w:szCs w:val="18"/>
        </w:rPr>
        <w:t xml:space="preserve"> No reported savings for low income programs in PY4</w:t>
      </w:r>
    </w:p>
  </w:footnote>
  <w:footnote w:id="46">
    <w:p w:rsidR="00340F86" w:rsidRPr="009C0DF1" w:rsidRDefault="00340F86" w:rsidP="00C630A7">
      <w:pPr>
        <w:pStyle w:val="FootnoteText"/>
        <w:rPr>
          <w:rFonts w:ascii="Arial Narrow" w:hAnsi="Arial Narrow"/>
          <w:sz w:val="18"/>
          <w:szCs w:val="18"/>
        </w:rPr>
      </w:pPr>
      <w:r w:rsidRPr="009C0DF1">
        <w:rPr>
          <w:rStyle w:val="FootnoteReference"/>
          <w:rFonts w:ascii="Arial Narrow" w:hAnsi="Arial Narrow"/>
          <w:sz w:val="18"/>
          <w:szCs w:val="18"/>
        </w:rPr>
        <w:footnoteRef/>
      </w:r>
      <w:r w:rsidRPr="009C0DF1">
        <w:rPr>
          <w:rFonts w:ascii="Arial Narrow" w:hAnsi="Arial Narrow"/>
          <w:sz w:val="18"/>
          <w:szCs w:val="18"/>
        </w:rPr>
        <w:t xml:space="preserve"> This report provides information regarding any needed corrections to EDC annual reports for PY7.</w:t>
      </w:r>
    </w:p>
  </w:footnote>
  <w:footnote w:id="47">
    <w:p w:rsidR="00340F86" w:rsidRPr="009C0DF1" w:rsidRDefault="00340F86" w:rsidP="00C630A7">
      <w:pPr>
        <w:pStyle w:val="FootnoteText"/>
        <w:rPr>
          <w:rFonts w:ascii="Arial Narrow" w:hAnsi="Arial Narrow"/>
          <w:sz w:val="18"/>
          <w:szCs w:val="18"/>
        </w:rPr>
      </w:pPr>
      <w:r w:rsidRPr="009C0DF1">
        <w:rPr>
          <w:rStyle w:val="FootnoteReference"/>
          <w:rFonts w:ascii="Arial Narrow" w:hAnsi="Arial Narrow"/>
          <w:sz w:val="18"/>
          <w:szCs w:val="18"/>
        </w:rPr>
        <w:footnoteRef/>
      </w:r>
      <w:r w:rsidRPr="009C0DF1">
        <w:rPr>
          <w:rFonts w:ascii="Arial Narrow" w:hAnsi="Arial Narrow"/>
          <w:sz w:val="18"/>
          <w:szCs w:val="18"/>
        </w:rPr>
        <w:t xml:space="preserve"> In February 2015 the PUC’s TUS staff instructed the Phase II SWE project manager that in the event of an error with reported savings, an “EDC make reference and amendment in their subsequent report filings unless it is the final Phase II report that is needed for compliance, in which case you will prescribe a drop dead date after which it is too late to make modifications.”</w:t>
      </w:r>
    </w:p>
  </w:footnote>
  <w:footnote w:id="48">
    <w:p w:rsidR="00340F86" w:rsidRPr="009C0DF1" w:rsidRDefault="00340F86" w:rsidP="00C630A7">
      <w:pPr>
        <w:pStyle w:val="FootnoteText"/>
        <w:rPr>
          <w:rFonts w:ascii="Arial Narrow" w:hAnsi="Arial Narrow"/>
          <w:sz w:val="18"/>
          <w:szCs w:val="18"/>
        </w:rPr>
      </w:pPr>
      <w:r w:rsidRPr="009C0DF1">
        <w:rPr>
          <w:rStyle w:val="FootnoteReference"/>
          <w:rFonts w:ascii="Arial Narrow" w:hAnsi="Arial Narrow"/>
          <w:sz w:val="18"/>
          <w:szCs w:val="18"/>
        </w:rPr>
        <w:footnoteRef/>
      </w:r>
      <w:r w:rsidRPr="009C0DF1">
        <w:rPr>
          <w:rFonts w:ascii="Arial Narrow" w:hAnsi="Arial Narrow"/>
          <w:sz w:val="18"/>
          <w:szCs w:val="18"/>
        </w:rPr>
        <w:t xml:space="preserve"> Research conducted by SWE Team members in other jurisdictions indicates that the NTGR for low-income programs is often significantly different than 1.0. The SWE recommends that NTG research be conducted for the low-income sector in order to determine the net savings of programs targeted at this sector and to collect information to help in future planning and program design for Act 129 low-income programs.</w:t>
      </w:r>
    </w:p>
  </w:footnote>
  <w:footnote w:id="49">
    <w:p w:rsidR="00340F86" w:rsidRPr="009C0DF1" w:rsidRDefault="00340F86" w:rsidP="00C630A7">
      <w:pPr>
        <w:pStyle w:val="FootnoteText"/>
        <w:rPr>
          <w:rFonts w:ascii="Arial Narrow" w:hAnsi="Arial Narrow"/>
          <w:sz w:val="18"/>
          <w:szCs w:val="18"/>
        </w:rPr>
      </w:pPr>
      <w:r w:rsidRPr="009C0DF1">
        <w:rPr>
          <w:rStyle w:val="FootnoteReference"/>
          <w:rFonts w:ascii="Arial Narrow" w:hAnsi="Arial Narrow"/>
          <w:sz w:val="18"/>
          <w:szCs w:val="18"/>
        </w:rPr>
        <w:footnoteRef/>
      </w:r>
      <w:r w:rsidRPr="009C0DF1">
        <w:rPr>
          <w:rFonts w:ascii="Arial Narrow" w:hAnsi="Arial Narrow"/>
          <w:sz w:val="18"/>
          <w:szCs w:val="18"/>
        </w:rPr>
        <w:t xml:space="preserve"> This report provides information regarding any needed corrections to EDC annual reports for PY7.</w:t>
      </w:r>
    </w:p>
  </w:footnote>
  <w:footnote w:id="50">
    <w:p w:rsidR="00340F86" w:rsidRPr="00FC0BC7" w:rsidRDefault="00340F86" w:rsidP="00C630A7">
      <w:pPr>
        <w:pStyle w:val="CommentText"/>
        <w:rPr>
          <w:rFonts w:ascii="Arial Narrow" w:hAnsi="Arial Narrow"/>
          <w:sz w:val="18"/>
          <w:szCs w:val="18"/>
        </w:rPr>
      </w:pPr>
      <w:r w:rsidRPr="009C0DF1">
        <w:rPr>
          <w:rStyle w:val="FootnoteReference"/>
          <w:rFonts w:ascii="Arial Narrow" w:hAnsi="Arial Narrow"/>
          <w:sz w:val="18"/>
          <w:szCs w:val="18"/>
        </w:rPr>
        <w:footnoteRef/>
      </w:r>
      <w:r w:rsidRPr="009C0DF1">
        <w:rPr>
          <w:rFonts w:ascii="Arial Narrow" w:hAnsi="Arial Narrow"/>
          <w:sz w:val="18"/>
          <w:szCs w:val="18"/>
        </w:rPr>
        <w:t xml:space="preserve"> Focusing on reducing program free-ridership rates, the SWE made this recommendation to the EDCs during several Phase II Program Evaluation Group (PEG) meetings. A 90-day rebate eligibility clause is recommended by the SWE to significantly reduce the possibility of granting rebates to program participants who have already installed qualifying measures without a rebate. The 90-day window of opportunity would be measured from the date of equipment purchase. Some of the EDCs already have implemented such eligibility requirements. Furthermore, the SWE recommends that additional research be conducted to determine the extent to which program participants who apply for a rebate two to</w:t>
      </w:r>
      <w:r w:rsidRPr="00FC0BC7">
        <w:rPr>
          <w:rFonts w:ascii="Arial Narrow" w:hAnsi="Arial Narrow"/>
          <w:sz w:val="18"/>
          <w:szCs w:val="18"/>
        </w:rPr>
        <w:t xml:space="preserve"> three months after equipment purchase are free-riders. The SWE recommends that participant surveys ask how long the interval was between the purchase of the appliance and the submittal of the rebate application (if these data are not already in the EDC’s program tracking system), and that analysis be done to determine the free-ridership rate for such participants as compared with participants who applied more quickly for a rebate. The SWE recommends that this research recommendation be discussed with PEG participants at a future meeting during Phase III. This research is necessary in order to provide Pennsylvania-specific information on whether the free-ridership rate increases as the length of time a participant takes to apply for a rebate (after a measure is installed) increases.</w:t>
      </w:r>
    </w:p>
    <w:p w:rsidR="00340F86" w:rsidRPr="00A27A5F" w:rsidRDefault="00340F86" w:rsidP="00743C18">
      <w:pPr>
        <w:pStyle w:val="FootnoteText"/>
        <w:jc w:val="left"/>
        <w:rPr>
          <w:rFonts w:ascii="Arial Narrow" w:hAnsi="Arial Narrow"/>
          <w:sz w:val="18"/>
          <w:szCs w:val="18"/>
        </w:rPr>
      </w:pPr>
    </w:p>
  </w:footnote>
  <w:footnote w:id="51">
    <w:p w:rsidR="00340F86" w:rsidRPr="009349F1" w:rsidRDefault="00340F86" w:rsidP="00C630A7">
      <w:pPr>
        <w:pStyle w:val="FootnoteText"/>
        <w:rPr>
          <w:rFonts w:ascii="Arial Narrow" w:hAnsi="Arial Narrow"/>
          <w:sz w:val="18"/>
          <w:szCs w:val="18"/>
        </w:rPr>
      </w:pPr>
      <w:r w:rsidRPr="009349F1">
        <w:rPr>
          <w:rStyle w:val="FootnoteReference"/>
          <w:rFonts w:ascii="Arial Narrow" w:hAnsi="Arial Narrow"/>
          <w:sz w:val="18"/>
          <w:szCs w:val="18"/>
        </w:rPr>
        <w:footnoteRef/>
      </w:r>
      <w:r w:rsidRPr="009349F1">
        <w:rPr>
          <w:rFonts w:ascii="Arial Narrow" w:hAnsi="Arial Narrow"/>
          <w:sz w:val="18"/>
          <w:szCs w:val="18"/>
        </w:rPr>
        <w:t xml:space="preserve"> Duquesne reported a line loss multiplier of 1.074, but SWE has converted to a line loss factor of 6.9% for consistency across the EDCs. </w:t>
      </w:r>
    </w:p>
  </w:footnote>
  <w:footnote w:id="52">
    <w:p w:rsidR="00340F86" w:rsidRPr="000D3563" w:rsidRDefault="00340F86" w:rsidP="00C630A7">
      <w:pPr>
        <w:pStyle w:val="FootnoteText"/>
        <w:rPr>
          <w:rFonts w:ascii="Arial Narrow" w:hAnsi="Arial Narrow"/>
          <w:sz w:val="18"/>
          <w:szCs w:val="18"/>
        </w:rPr>
      </w:pPr>
      <w:r w:rsidRPr="000D3563">
        <w:rPr>
          <w:rStyle w:val="FootnoteReference"/>
          <w:rFonts w:ascii="Arial Narrow" w:hAnsi="Arial Narrow"/>
          <w:sz w:val="18"/>
          <w:szCs w:val="18"/>
        </w:rPr>
        <w:footnoteRef/>
      </w:r>
      <w:r w:rsidRPr="000D3563">
        <w:rPr>
          <w:rFonts w:ascii="Arial Narrow" w:hAnsi="Arial Narrow"/>
          <w:sz w:val="18"/>
          <w:szCs w:val="18"/>
        </w:rPr>
        <w:t xml:space="preserve"> C/I Fluorescent Lighting Cost Study refer to primary pricing research conducted by Duquesne.</w:t>
      </w:r>
    </w:p>
  </w:footnote>
  <w:footnote w:id="53">
    <w:p w:rsidR="00340F86" w:rsidRPr="000D3563" w:rsidRDefault="00340F86" w:rsidP="00C630A7">
      <w:pPr>
        <w:pStyle w:val="FootnoteText"/>
        <w:rPr>
          <w:rFonts w:ascii="Arial Narrow" w:hAnsi="Arial Narrow"/>
          <w:sz w:val="18"/>
          <w:szCs w:val="18"/>
        </w:rPr>
      </w:pPr>
      <w:r w:rsidRPr="000D3563">
        <w:rPr>
          <w:rStyle w:val="FootnoteReference"/>
          <w:rFonts w:ascii="Arial Narrow" w:hAnsi="Arial Narrow"/>
          <w:sz w:val="18"/>
          <w:szCs w:val="18"/>
        </w:rPr>
        <w:footnoteRef/>
      </w:r>
      <w:r w:rsidRPr="000D3563">
        <w:rPr>
          <w:rFonts w:ascii="Arial Narrow" w:hAnsi="Arial Narrow"/>
          <w:sz w:val="18"/>
          <w:szCs w:val="18"/>
        </w:rPr>
        <w:t xml:space="preserve"> In PY6, the SWE and Duquesne coordinated to make a minor adjustment to the avoided costs in the approved Duquesne EE&amp;C plan.  This adjustment shifted the stream of avoided costs in the EE&amp;C plan into more appropriate program years.  The PY7 TRC model follows this adjustment.</w:t>
      </w:r>
    </w:p>
  </w:footnote>
  <w:footnote w:id="54">
    <w:p w:rsidR="00340F86" w:rsidRPr="009349F1" w:rsidRDefault="00340F86" w:rsidP="009349F1">
      <w:pPr>
        <w:pStyle w:val="FootnoteText"/>
        <w:jc w:val="left"/>
        <w:rPr>
          <w:rFonts w:ascii="Arial Narrow" w:hAnsi="Arial Narrow"/>
          <w:sz w:val="18"/>
          <w:szCs w:val="18"/>
        </w:rPr>
      </w:pPr>
      <w:r w:rsidRPr="009349F1">
        <w:rPr>
          <w:rStyle w:val="FootnoteReference"/>
          <w:rFonts w:ascii="Arial Narrow" w:hAnsi="Arial Narrow"/>
          <w:sz w:val="18"/>
          <w:szCs w:val="18"/>
        </w:rPr>
        <w:footnoteRef/>
      </w:r>
      <w:r w:rsidRPr="009349F1">
        <w:rPr>
          <w:rFonts w:ascii="Arial Narrow" w:hAnsi="Arial Narrow"/>
          <w:sz w:val="18"/>
          <w:szCs w:val="18"/>
        </w:rPr>
        <w:t xml:space="preserve"> These realization rates are inclusive of both market and low-income SEP participants.</w:t>
      </w:r>
    </w:p>
  </w:footnote>
  <w:footnote w:id="55">
    <w:p w:rsidR="00340F86" w:rsidRPr="009349F1" w:rsidRDefault="00340F86" w:rsidP="00C630A7">
      <w:pPr>
        <w:pStyle w:val="FootnoteText"/>
        <w:rPr>
          <w:rFonts w:ascii="Arial Narrow" w:hAnsi="Arial Narrow"/>
          <w:sz w:val="18"/>
          <w:szCs w:val="18"/>
        </w:rPr>
      </w:pPr>
      <w:r w:rsidRPr="009349F1">
        <w:rPr>
          <w:rStyle w:val="FootnoteReference"/>
          <w:rFonts w:ascii="Arial Narrow" w:hAnsi="Arial Narrow"/>
          <w:sz w:val="18"/>
          <w:szCs w:val="18"/>
        </w:rPr>
        <w:footnoteRef/>
      </w:r>
      <w:r w:rsidRPr="009349F1">
        <w:rPr>
          <w:rFonts w:ascii="Arial Narrow" w:hAnsi="Arial Narrow"/>
          <w:sz w:val="18"/>
          <w:szCs w:val="18"/>
        </w:rPr>
        <w:t xml:space="preserve"> There were only 186 PY7 WHEAP participants (both market-rate and low-income), resulting in a small overall population from which to sample.</w:t>
      </w:r>
    </w:p>
  </w:footnote>
  <w:footnote w:id="56">
    <w:p w:rsidR="00340F86" w:rsidRPr="009349F1" w:rsidRDefault="00340F86" w:rsidP="00C630A7">
      <w:pPr>
        <w:pStyle w:val="FootnoteText"/>
        <w:rPr>
          <w:rFonts w:ascii="Arial Narrow" w:hAnsi="Arial Narrow"/>
          <w:sz w:val="18"/>
          <w:szCs w:val="18"/>
        </w:rPr>
      </w:pPr>
      <w:r w:rsidRPr="009349F1">
        <w:rPr>
          <w:rStyle w:val="FootnoteReference"/>
          <w:rFonts w:ascii="Arial Narrow" w:hAnsi="Arial Narrow"/>
          <w:sz w:val="18"/>
          <w:szCs w:val="18"/>
        </w:rPr>
        <w:footnoteRef/>
      </w:r>
      <w:r w:rsidRPr="009349F1">
        <w:rPr>
          <w:rFonts w:ascii="Arial Narrow" w:hAnsi="Arial Narrow"/>
          <w:sz w:val="18"/>
          <w:szCs w:val="18"/>
        </w:rPr>
        <w:t xml:space="preserve"> The PY6 LIEEP evaluation excluded rebates. Rebates contributed very little to overall program savings.</w:t>
      </w:r>
    </w:p>
  </w:footnote>
  <w:footnote w:id="57">
    <w:p w:rsidR="00340F86" w:rsidRPr="0053488D" w:rsidRDefault="00340F86" w:rsidP="00A07AB2">
      <w:pPr>
        <w:pStyle w:val="FootnoteText"/>
        <w:jc w:val="left"/>
        <w:rPr>
          <w:rFonts w:ascii="Arial Narrow" w:hAnsi="Arial Narrow"/>
        </w:rPr>
      </w:pPr>
      <w:r w:rsidRPr="0053488D">
        <w:rPr>
          <w:rStyle w:val="FootnoteReference"/>
          <w:rFonts w:ascii="Arial Narrow" w:hAnsi="Arial Narrow"/>
          <w:sz w:val="18"/>
        </w:rPr>
        <w:footnoteRef/>
      </w:r>
      <w:r w:rsidRPr="0053488D">
        <w:rPr>
          <w:rFonts w:ascii="Arial Narrow" w:hAnsi="Arial Narrow"/>
          <w:sz w:val="18"/>
        </w:rPr>
        <w:t xml:space="preserve"> </w:t>
      </w:r>
      <w:r w:rsidRPr="0053488D">
        <w:rPr>
          <w:rFonts w:ascii="Arial Narrow" w:hAnsi="Arial Narrow" w:cs="Calibri"/>
          <w:sz w:val="18"/>
        </w:rPr>
        <w:t>Section A.2.c.2 of the Commission’s Phase II Final Implementation Order14</w:t>
      </w:r>
      <w:r>
        <w:rPr>
          <w:rFonts w:ascii="Arial Narrow" w:hAnsi="Arial Narrow" w:cs="Calibri"/>
          <w:sz w:val="18"/>
        </w:rPr>
        <w:t>.</w:t>
      </w:r>
    </w:p>
  </w:footnote>
  <w:footnote w:id="58">
    <w:p w:rsidR="00340F86" w:rsidRPr="00AE60CE" w:rsidRDefault="00340F86" w:rsidP="00A07AB2">
      <w:pPr>
        <w:pStyle w:val="FootnoteText"/>
        <w:jc w:val="left"/>
        <w:rPr>
          <w:rFonts w:ascii="Arial Narrow" w:hAnsi="Arial Narrow"/>
          <w:sz w:val="18"/>
        </w:rPr>
      </w:pPr>
      <w:r w:rsidRPr="00AE60CE">
        <w:rPr>
          <w:rStyle w:val="FootnoteReference"/>
          <w:rFonts w:ascii="Arial Narrow" w:hAnsi="Arial Narrow"/>
          <w:sz w:val="18"/>
        </w:rPr>
        <w:footnoteRef/>
      </w:r>
      <w:r w:rsidRPr="00AE60CE">
        <w:rPr>
          <w:rFonts w:ascii="Arial Narrow" w:hAnsi="Arial Narrow"/>
          <w:sz w:val="18"/>
        </w:rPr>
        <w:t xml:space="preserve"> </w:t>
      </w:r>
      <w:r>
        <w:rPr>
          <w:rFonts w:ascii="Arial Narrow" w:hAnsi="Arial Narrow"/>
          <w:sz w:val="18"/>
        </w:rPr>
        <w:t>D</w:t>
      </w:r>
      <w:r w:rsidRPr="00AE60CE">
        <w:rPr>
          <w:rFonts w:ascii="Arial Narrow" w:hAnsi="Arial Narrow"/>
          <w:sz w:val="18"/>
        </w:rPr>
        <w:t>ue to the presence of a comparable desk review administered by the evaluation contractor</w:t>
      </w:r>
      <w:r>
        <w:rPr>
          <w:rFonts w:ascii="Arial Narrow" w:hAnsi="Arial Narrow"/>
          <w:sz w:val="18"/>
        </w:rPr>
        <w:t>.</w:t>
      </w:r>
    </w:p>
  </w:footnote>
  <w:footnote w:id="59">
    <w:p w:rsidR="00340F86" w:rsidRPr="00A07AB2" w:rsidRDefault="00340F86" w:rsidP="00C630A7">
      <w:pPr>
        <w:pStyle w:val="FootnoteText"/>
        <w:rPr>
          <w:rFonts w:ascii="Arial Narrow" w:hAnsi="Arial Narrow"/>
          <w:sz w:val="18"/>
          <w:szCs w:val="18"/>
        </w:rPr>
      </w:pPr>
      <w:r w:rsidRPr="00A07AB2">
        <w:rPr>
          <w:rStyle w:val="FootnoteReference"/>
          <w:rFonts w:ascii="Arial Narrow" w:hAnsi="Arial Narrow"/>
          <w:sz w:val="18"/>
          <w:szCs w:val="18"/>
        </w:rPr>
        <w:footnoteRef/>
      </w:r>
      <w:r w:rsidRPr="00A07AB2">
        <w:rPr>
          <w:rFonts w:ascii="Arial Narrow" w:hAnsi="Arial Narrow"/>
          <w:sz w:val="18"/>
          <w:szCs w:val="18"/>
        </w:rPr>
        <w:t xml:space="preserve"> According to p. 18 of the 2015 TRM,” For direct install programs where wattage of the existing bulb is known, and the existing bulb was in working condition, wattage of the existing lamp removed by the program may be used in lieu of the [EISA baseline] tables below.”</w:t>
      </w:r>
    </w:p>
  </w:footnote>
  <w:footnote w:id="60">
    <w:p w:rsidR="00340F86" w:rsidRPr="00A07AB2" w:rsidRDefault="00340F86" w:rsidP="00C630A7">
      <w:pPr>
        <w:pStyle w:val="FootnoteText"/>
        <w:rPr>
          <w:rFonts w:ascii="Arial Narrow" w:hAnsi="Arial Narrow"/>
          <w:sz w:val="18"/>
          <w:szCs w:val="18"/>
        </w:rPr>
      </w:pPr>
      <w:r w:rsidRPr="00A07AB2">
        <w:rPr>
          <w:rStyle w:val="FootnoteReference"/>
          <w:rFonts w:ascii="Arial Narrow" w:hAnsi="Arial Narrow"/>
          <w:sz w:val="18"/>
          <w:szCs w:val="18"/>
        </w:rPr>
        <w:footnoteRef/>
      </w:r>
      <w:r w:rsidRPr="00A07AB2">
        <w:rPr>
          <w:rFonts w:ascii="Arial Narrow" w:hAnsi="Arial Narrow"/>
          <w:sz w:val="18"/>
          <w:szCs w:val="18"/>
        </w:rPr>
        <w:t xml:space="preserve"> Department of Energy and Cadmus, Uniform Methods Project, January, 2015; Chapter 17: Residential Behavior Protocol; </w:t>
      </w:r>
    </w:p>
    <w:p w:rsidR="00340F86" w:rsidRPr="00A07AB2" w:rsidRDefault="00340F86" w:rsidP="00C630A7">
      <w:pPr>
        <w:pStyle w:val="FootnoteText"/>
        <w:rPr>
          <w:rFonts w:ascii="Arial Narrow" w:hAnsi="Arial Narrow"/>
          <w:sz w:val="18"/>
          <w:szCs w:val="18"/>
        </w:rPr>
      </w:pPr>
      <w:r w:rsidRPr="00A07AB2">
        <w:rPr>
          <w:rFonts w:ascii="Arial Narrow" w:hAnsi="Arial Narrow"/>
          <w:sz w:val="18"/>
          <w:szCs w:val="18"/>
        </w:rPr>
        <w:t xml:space="preserve">http://energy.gov/sites/prod/files/2015/02/f19/UMPChapter17-residential-behavior.pdf. </w:t>
      </w:r>
    </w:p>
  </w:footnote>
  <w:footnote w:id="61">
    <w:p w:rsidR="00340F86" w:rsidRPr="00A07AB2" w:rsidRDefault="00340F86" w:rsidP="00C630A7">
      <w:pPr>
        <w:pStyle w:val="FootnoteText"/>
        <w:rPr>
          <w:rFonts w:ascii="Arial Narrow" w:hAnsi="Arial Narrow"/>
          <w:sz w:val="18"/>
          <w:szCs w:val="18"/>
        </w:rPr>
      </w:pPr>
      <w:r w:rsidRPr="00A07AB2">
        <w:rPr>
          <w:rStyle w:val="FootnoteReference"/>
          <w:rFonts w:ascii="Arial Narrow" w:hAnsi="Arial Narrow"/>
          <w:sz w:val="18"/>
          <w:szCs w:val="18"/>
        </w:rPr>
        <w:footnoteRef/>
      </w:r>
      <w:r w:rsidRPr="00A07AB2">
        <w:rPr>
          <w:rFonts w:ascii="Arial Narrow" w:hAnsi="Arial Narrow"/>
          <w:sz w:val="18"/>
          <w:szCs w:val="18"/>
        </w:rPr>
        <w:t xml:space="preserve"> State and Local Energy Efficiency Action Network. Evaluation, Measurement and Verification (EM&amp;V) of Residential Behavior-Based Energy Efficiency Programs: Issues and Recommendations. May 2012.</w:t>
      </w:r>
    </w:p>
  </w:footnote>
  <w:footnote w:id="62">
    <w:p w:rsidR="00340F86" w:rsidRPr="00322027" w:rsidRDefault="00340F86" w:rsidP="00C630A7">
      <w:pPr>
        <w:pStyle w:val="FootnoteText"/>
        <w:rPr>
          <w:rFonts w:ascii="Arial Narrow" w:hAnsi="Arial Narrow"/>
        </w:rPr>
      </w:pPr>
      <w:r w:rsidRPr="00AF0D3F">
        <w:rPr>
          <w:rStyle w:val="FootnoteReference"/>
          <w:rFonts w:ascii="Arial Narrow" w:hAnsi="Arial Narrow"/>
          <w:sz w:val="18"/>
        </w:rPr>
        <w:footnoteRef/>
      </w:r>
      <w:r w:rsidRPr="00AF0D3F">
        <w:rPr>
          <w:rFonts w:ascii="Arial Narrow" w:hAnsi="Arial Narrow"/>
          <w:sz w:val="18"/>
        </w:rPr>
        <w:t xml:space="preserve"> </w:t>
      </w:r>
      <w:r>
        <w:rPr>
          <w:rFonts w:ascii="Arial Narrow" w:hAnsi="Arial Narrow"/>
          <w:sz w:val="18"/>
        </w:rPr>
        <w:t xml:space="preserve">S. </w:t>
      </w:r>
      <w:r w:rsidRPr="00AF0D3F">
        <w:rPr>
          <w:rFonts w:ascii="Arial Narrow" w:hAnsi="Arial Narrow"/>
          <w:sz w:val="18"/>
        </w:rPr>
        <w:t>Dimetrosky</w:t>
      </w:r>
      <w:r>
        <w:rPr>
          <w:rFonts w:ascii="Arial Narrow" w:hAnsi="Arial Narrow"/>
          <w:sz w:val="18"/>
        </w:rPr>
        <w:t xml:space="preserve"> and K.</w:t>
      </w:r>
      <w:r w:rsidRPr="00AF0D3F">
        <w:rPr>
          <w:rFonts w:ascii="Arial Narrow" w:hAnsi="Arial Narrow"/>
          <w:sz w:val="18"/>
        </w:rPr>
        <w:t xml:space="preserve"> Parkinson, July, 2013: IEPEC 2013 Conference: Are Savings from Behavior Programs Ready for TRM Prime Time?</w:t>
      </w:r>
    </w:p>
  </w:footnote>
  <w:footnote w:id="63">
    <w:p w:rsidR="00340F86" w:rsidRPr="00427FCD" w:rsidRDefault="00340F86" w:rsidP="00C630A7">
      <w:pPr>
        <w:pStyle w:val="FootnoteText"/>
        <w:rPr>
          <w:rFonts w:ascii="Arial Narrow" w:hAnsi="Arial Narrow"/>
        </w:rPr>
      </w:pPr>
      <w:r w:rsidRPr="00427FCD">
        <w:rPr>
          <w:rStyle w:val="FootnoteReference"/>
          <w:rFonts w:ascii="Arial Narrow" w:hAnsi="Arial Narrow"/>
          <w:sz w:val="18"/>
        </w:rPr>
        <w:footnoteRef/>
      </w:r>
      <w:r w:rsidRPr="00427FCD">
        <w:rPr>
          <w:rFonts w:ascii="Arial Narrow" w:hAnsi="Arial Narrow"/>
          <w:sz w:val="18"/>
        </w:rPr>
        <w:t xml:space="preserve"> </w:t>
      </w:r>
      <w:r w:rsidRPr="002D2BF0">
        <w:rPr>
          <w:rFonts w:ascii="Arial Narrow" w:hAnsi="Arial Narrow"/>
          <w:sz w:val="18"/>
        </w:rPr>
        <w:t>Navigant had performed a comparable desk review for REEP</w:t>
      </w:r>
      <w:r>
        <w:rPr>
          <w:rFonts w:ascii="Arial Narrow" w:hAnsi="Arial Narrow"/>
          <w:sz w:val="18"/>
        </w:rPr>
        <w:t>,</w:t>
      </w:r>
      <w:r w:rsidRPr="002D2BF0">
        <w:rPr>
          <w:rFonts w:ascii="Arial Narrow" w:hAnsi="Arial Narrow"/>
          <w:sz w:val="18"/>
        </w:rPr>
        <w:t xml:space="preserve"> along with a telephone verification (for all components)</w:t>
      </w:r>
      <w:r>
        <w:rPr>
          <w:rFonts w:ascii="Arial Narrow" w:hAnsi="Arial Narrow"/>
          <w:sz w:val="18"/>
        </w:rPr>
        <w:t>.</w:t>
      </w:r>
    </w:p>
  </w:footnote>
  <w:footnote w:id="64">
    <w:p w:rsidR="00340F86" w:rsidRPr="00A27A5F" w:rsidRDefault="00340F86" w:rsidP="00C630A7">
      <w:pPr>
        <w:pStyle w:val="FootnoteTex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According to </w:t>
      </w:r>
      <w:r>
        <w:rPr>
          <w:rFonts w:ascii="Arial Narrow" w:hAnsi="Arial Narrow"/>
          <w:sz w:val="18"/>
          <w:szCs w:val="18"/>
        </w:rPr>
        <w:t xml:space="preserve">SWE </w:t>
      </w:r>
      <w:r w:rsidRPr="00A27A5F">
        <w:rPr>
          <w:rFonts w:ascii="Arial Narrow" w:hAnsi="Arial Narrow"/>
          <w:sz w:val="18"/>
          <w:szCs w:val="18"/>
        </w:rPr>
        <w:t>research for EDC PY5 on-site inspections for the low</w:t>
      </w:r>
      <w:r>
        <w:rPr>
          <w:rFonts w:ascii="Arial Narrow" w:hAnsi="Arial Narrow"/>
          <w:sz w:val="18"/>
          <w:szCs w:val="18"/>
        </w:rPr>
        <w:t>-</w:t>
      </w:r>
      <w:r w:rsidRPr="00A27A5F">
        <w:rPr>
          <w:rFonts w:ascii="Arial Narrow" w:hAnsi="Arial Narrow"/>
          <w:sz w:val="18"/>
          <w:szCs w:val="18"/>
        </w:rPr>
        <w:t xml:space="preserve">income programs, </w:t>
      </w:r>
      <w:r w:rsidRPr="00634D77">
        <w:rPr>
          <w:rFonts w:ascii="Arial Narrow" w:hAnsi="Arial Narrow"/>
          <w:sz w:val="18"/>
          <w:szCs w:val="18"/>
        </w:rPr>
        <w:t>all</w:t>
      </w:r>
      <w:r w:rsidRPr="00A27A5F">
        <w:rPr>
          <w:rFonts w:ascii="Arial Narrow" w:hAnsi="Arial Narrow"/>
          <w:sz w:val="18"/>
          <w:szCs w:val="18"/>
        </w:rPr>
        <w:t xml:space="preserve"> of the other EDCs performed on-site inspections for low</w:t>
      </w:r>
      <w:r>
        <w:rPr>
          <w:rFonts w:ascii="Arial Narrow" w:hAnsi="Arial Narrow"/>
          <w:sz w:val="18"/>
          <w:szCs w:val="18"/>
        </w:rPr>
        <w:t>-</w:t>
      </w:r>
      <w:r w:rsidRPr="00A27A5F">
        <w:rPr>
          <w:rFonts w:ascii="Arial Narrow" w:hAnsi="Arial Narrow"/>
          <w:sz w:val="18"/>
          <w:szCs w:val="18"/>
        </w:rPr>
        <w:t>income</w:t>
      </w:r>
      <w:r>
        <w:rPr>
          <w:rFonts w:ascii="Arial Narrow" w:hAnsi="Arial Narrow"/>
          <w:sz w:val="18"/>
          <w:szCs w:val="18"/>
        </w:rPr>
        <w:t xml:space="preserve"> installations. </w:t>
      </w:r>
    </w:p>
  </w:footnote>
  <w:footnote w:id="65">
    <w:p w:rsidR="00340F86" w:rsidRPr="001C391A" w:rsidRDefault="00340F86" w:rsidP="001C391A">
      <w:pPr>
        <w:pStyle w:val="FootnoteText"/>
        <w:jc w:val="left"/>
        <w:rPr>
          <w:rFonts w:ascii="Arial Narrow" w:hAnsi="Arial Narrow"/>
          <w:sz w:val="18"/>
        </w:rPr>
      </w:pPr>
      <w:r w:rsidRPr="001C391A">
        <w:rPr>
          <w:rStyle w:val="FootnoteReference"/>
          <w:rFonts w:ascii="Arial Narrow" w:hAnsi="Arial Narrow"/>
          <w:sz w:val="18"/>
        </w:rPr>
        <w:footnoteRef/>
      </w:r>
      <w:r w:rsidRPr="001C391A">
        <w:rPr>
          <w:rFonts w:ascii="Arial Narrow" w:hAnsi="Arial Narrow"/>
          <w:sz w:val="18"/>
        </w:rPr>
        <w:t xml:space="preserve"> The REEP market-rate kit respondent survey did not achieve 85/15 confidence/precision, but the survey did reach the intended objective of 15 completed surveys. When the market-rate kit recipients (n=15) are combined with the low-income kit recipients (n=40), the results achieve 85/15 confidence/precision.</w:t>
      </w:r>
    </w:p>
  </w:footnote>
  <w:footnote w:id="66">
    <w:p w:rsidR="00340F86" w:rsidRPr="008D7800" w:rsidRDefault="00340F86" w:rsidP="008C19A4">
      <w:pPr>
        <w:pStyle w:val="FootnoteText"/>
        <w:rPr>
          <w:sz w:val="18"/>
          <w:szCs w:val="18"/>
        </w:rPr>
      </w:pPr>
      <w:r w:rsidRPr="008D7800">
        <w:rPr>
          <w:rStyle w:val="FootnoteReference"/>
          <w:sz w:val="18"/>
          <w:szCs w:val="18"/>
        </w:rPr>
        <w:footnoteRef/>
      </w:r>
      <w:r w:rsidRPr="008D7800">
        <w:rPr>
          <w:sz w:val="18"/>
          <w:szCs w:val="18"/>
        </w:rPr>
        <w:t xml:space="preserve"> </w:t>
      </w:r>
      <w:r w:rsidRPr="008D7800">
        <w:rPr>
          <w:rFonts w:ascii="Arial Narrow" w:hAnsi="Arial Narrow"/>
          <w:sz w:val="18"/>
          <w:szCs w:val="18"/>
        </w:rPr>
        <w:t>The SWE notes a single exception; the FirstEnergy TRC model understates the EUL of the Room AC measure, using a 4-year measure life instead of the TRM value of 9 years.</w:t>
      </w:r>
    </w:p>
  </w:footnote>
  <w:footnote w:id="67">
    <w:p w:rsidR="00340F86" w:rsidRPr="008D7800" w:rsidRDefault="00340F86" w:rsidP="008C19A4">
      <w:pPr>
        <w:pStyle w:val="FootnoteText"/>
        <w:rPr>
          <w:rFonts w:ascii="Arial Narrow" w:hAnsi="Arial Narrow"/>
          <w:sz w:val="18"/>
          <w:szCs w:val="18"/>
        </w:rPr>
      </w:pPr>
      <w:r w:rsidRPr="008D7800">
        <w:rPr>
          <w:rStyle w:val="FootnoteReference"/>
          <w:rFonts w:ascii="Arial Narrow" w:hAnsi="Arial Narrow"/>
          <w:sz w:val="18"/>
          <w:szCs w:val="18"/>
        </w:rPr>
        <w:footnoteRef/>
      </w:r>
      <w:r w:rsidRPr="008D7800">
        <w:rPr>
          <w:rFonts w:ascii="Arial Narrow" w:hAnsi="Arial Narrow"/>
          <w:sz w:val="18"/>
          <w:szCs w:val="18"/>
        </w:rPr>
        <w:t xml:space="preserve"> The DEER 2008 incremental cost database is available for download at http://www.deeresources.com.</w:t>
      </w:r>
    </w:p>
  </w:footnote>
  <w:footnote w:id="68">
    <w:p w:rsidR="00340F86" w:rsidRDefault="00340F86" w:rsidP="008C19A4">
      <w:pPr>
        <w:pStyle w:val="FootnoteText"/>
      </w:pPr>
      <w:r>
        <w:rPr>
          <w:rStyle w:val="FootnoteReference"/>
        </w:rPr>
        <w:footnoteRef/>
      </w:r>
      <w:r>
        <w:t xml:space="preserve"> </w:t>
      </w:r>
      <w:r>
        <w:rPr>
          <w:rFonts w:ascii="Arial Narrow" w:hAnsi="Arial Narrow"/>
          <w:sz w:val="18"/>
          <w:szCs w:val="18"/>
        </w:rPr>
        <w:t>The SWE notes a single exception; the First Energy TRC Model understates the EUL of the Room AC measure, using a 4-year measure life instead of the TRM value of 9 years.</w:t>
      </w:r>
    </w:p>
  </w:footnote>
  <w:footnote w:id="69">
    <w:p w:rsidR="00340F86" w:rsidRDefault="00340F86" w:rsidP="008C19A4">
      <w:pPr>
        <w:pStyle w:val="FootnoteText"/>
      </w:pPr>
      <w:r>
        <w:rPr>
          <w:rStyle w:val="FootnoteReference"/>
        </w:rPr>
        <w:footnoteRef/>
      </w:r>
      <w:r>
        <w:t xml:space="preserve"> </w:t>
      </w:r>
      <w:r>
        <w:rPr>
          <w:rFonts w:ascii="Arial Narrow" w:hAnsi="Arial Narrow"/>
          <w:sz w:val="18"/>
          <w:szCs w:val="18"/>
        </w:rPr>
        <w:t>The SWE notes a single exception; the First Energy TRC Model understates the EUL of the Room AC measure, using a 4-year measure life instead of the TRM value of 9 years.</w:t>
      </w:r>
    </w:p>
  </w:footnote>
  <w:footnote w:id="70">
    <w:p w:rsidR="00340F86" w:rsidRPr="00A27A5F" w:rsidRDefault="00340F86" w:rsidP="008C19A4">
      <w:pPr>
        <w:pStyle w:val="FootnoteTex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The DEER 2008 incremental cost database is available for download at http://www.deeresources.com.</w:t>
      </w:r>
    </w:p>
  </w:footnote>
  <w:footnote w:id="71">
    <w:p w:rsidR="00340F86" w:rsidRPr="008B741E" w:rsidRDefault="00340F86" w:rsidP="008B741E">
      <w:pPr>
        <w:pStyle w:val="FootnoteText"/>
        <w:jc w:val="left"/>
        <w:rPr>
          <w:rFonts w:ascii="Arial Narrow" w:hAnsi="Arial Narrow"/>
          <w:sz w:val="18"/>
          <w:szCs w:val="18"/>
        </w:rPr>
      </w:pPr>
      <w:r w:rsidRPr="008B741E">
        <w:rPr>
          <w:rStyle w:val="FootnoteReference"/>
          <w:rFonts w:ascii="Arial Narrow" w:hAnsi="Arial Narrow"/>
          <w:sz w:val="18"/>
          <w:szCs w:val="18"/>
        </w:rPr>
        <w:footnoteRef/>
      </w:r>
      <w:r w:rsidRPr="008B741E">
        <w:rPr>
          <w:rFonts w:ascii="Arial Narrow" w:hAnsi="Arial Narrow"/>
          <w:sz w:val="18"/>
          <w:szCs w:val="18"/>
        </w:rPr>
        <w:t xml:space="preserve"> The SWE notes a single exception; the First Energy TRC Model understates the EUL of the Room AC measure, using a 4-year measure life instead of the TRM value of 9 years.</w:t>
      </w:r>
    </w:p>
  </w:footnote>
  <w:footnote w:id="72">
    <w:p w:rsidR="00340F86" w:rsidRPr="00A27A5F" w:rsidRDefault="00340F86" w:rsidP="008B741E">
      <w:pPr>
        <w:pStyle w:val="FootnoteText"/>
        <w:jc w:val="lef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The DEER 2008 incremental cost database is available for download at http://www.deeresources.com.</w:t>
      </w:r>
    </w:p>
  </w:footnote>
  <w:footnote w:id="73">
    <w:p w:rsidR="00340F86" w:rsidRPr="00037569" w:rsidRDefault="00340F86" w:rsidP="00EE3086">
      <w:pPr>
        <w:pStyle w:val="FootnoteText"/>
        <w:rPr>
          <w:rFonts w:ascii="Arial Narrow" w:hAnsi="Arial Narrow"/>
          <w:sz w:val="18"/>
          <w:szCs w:val="18"/>
        </w:rPr>
      </w:pPr>
      <w:r w:rsidRPr="00037569">
        <w:rPr>
          <w:rStyle w:val="FootnoteReference"/>
          <w:rFonts w:ascii="Arial Narrow" w:hAnsi="Arial Narrow"/>
          <w:sz w:val="18"/>
          <w:szCs w:val="18"/>
        </w:rPr>
        <w:footnoteRef/>
      </w:r>
      <w:r w:rsidRPr="00037569">
        <w:rPr>
          <w:rFonts w:ascii="Arial Narrow" w:hAnsi="Arial Narrow"/>
          <w:sz w:val="18"/>
          <w:szCs w:val="18"/>
        </w:rPr>
        <w:t xml:space="preserve"> As an alternative, </w:t>
      </w:r>
      <w:r>
        <w:rPr>
          <w:rFonts w:ascii="Arial Narrow" w:hAnsi="Arial Narrow"/>
          <w:sz w:val="18"/>
          <w:szCs w:val="18"/>
        </w:rPr>
        <w:t>the SWE previously recommended that PECO</w:t>
      </w:r>
      <w:r w:rsidRPr="00037569">
        <w:rPr>
          <w:rFonts w:ascii="Arial Narrow" w:hAnsi="Arial Narrow"/>
          <w:sz w:val="18"/>
          <w:szCs w:val="18"/>
        </w:rPr>
        <w:t xml:space="preserve"> file a request to the Commission to revise </w:t>
      </w:r>
      <w:r>
        <w:rPr>
          <w:rFonts w:ascii="Arial Narrow" w:hAnsi="Arial Narrow"/>
          <w:sz w:val="18"/>
          <w:szCs w:val="18"/>
        </w:rPr>
        <w:t>its</w:t>
      </w:r>
      <w:r w:rsidRPr="00037569">
        <w:rPr>
          <w:rFonts w:ascii="Arial Narrow" w:hAnsi="Arial Narrow"/>
          <w:sz w:val="18"/>
          <w:szCs w:val="18"/>
        </w:rPr>
        <w:t xml:space="preserve"> Phase II EE&amp;C plan to reflect </w:t>
      </w:r>
      <w:r>
        <w:rPr>
          <w:rFonts w:ascii="Arial Narrow" w:hAnsi="Arial Narrow"/>
          <w:sz w:val="18"/>
          <w:szCs w:val="18"/>
        </w:rPr>
        <w:t>its</w:t>
      </w:r>
      <w:r w:rsidRPr="00037569">
        <w:rPr>
          <w:rFonts w:ascii="Arial Narrow" w:hAnsi="Arial Narrow"/>
          <w:sz w:val="18"/>
          <w:szCs w:val="18"/>
        </w:rPr>
        <w:t xml:space="preserve"> more recent discount rate calculation.</w:t>
      </w:r>
      <w:r>
        <w:rPr>
          <w:rFonts w:ascii="Arial Narrow" w:hAnsi="Arial Narrow"/>
          <w:sz w:val="18"/>
          <w:szCs w:val="18"/>
        </w:rPr>
        <w:t xml:space="preserve"> PECO has informed the SWE Team that the company believes that the 7.6% discount rate is a more accurate reflection of their current weighted average cost of capital. To our knowledge, this request was never submitted.</w:t>
      </w:r>
    </w:p>
  </w:footnote>
  <w:footnote w:id="74">
    <w:p w:rsidR="00340F86" w:rsidRPr="00515AA9" w:rsidRDefault="00340F86" w:rsidP="00EE3086">
      <w:pPr>
        <w:pStyle w:val="FootnoteText"/>
        <w:rPr>
          <w:rFonts w:ascii="Arial Narrow" w:hAnsi="Arial Narrow"/>
          <w:sz w:val="18"/>
        </w:rPr>
      </w:pPr>
      <w:r w:rsidRPr="00515AA9">
        <w:rPr>
          <w:rStyle w:val="FootnoteReference"/>
          <w:rFonts w:ascii="Arial Narrow" w:hAnsi="Arial Narrow"/>
          <w:sz w:val="18"/>
        </w:rPr>
        <w:footnoteRef/>
      </w:r>
      <w:r w:rsidRPr="00515AA9">
        <w:rPr>
          <w:rFonts w:ascii="Arial Narrow" w:hAnsi="Arial Narrow"/>
          <w:sz w:val="18"/>
        </w:rPr>
        <w:t xml:space="preserve"> </w:t>
      </w:r>
      <w:r>
        <w:rPr>
          <w:rFonts w:ascii="Arial Narrow" w:hAnsi="Arial Narrow"/>
          <w:sz w:val="18"/>
        </w:rPr>
        <w:t>As in PY6, t</w:t>
      </w:r>
      <w:r w:rsidRPr="00515AA9">
        <w:rPr>
          <w:rFonts w:ascii="Arial Narrow" w:hAnsi="Arial Narrow"/>
          <w:sz w:val="18"/>
        </w:rPr>
        <w:t>he SWE observed</w:t>
      </w:r>
      <w:r>
        <w:rPr>
          <w:rFonts w:ascii="Arial Narrow" w:hAnsi="Arial Narrow"/>
          <w:sz w:val="18"/>
        </w:rPr>
        <w:t xml:space="preserve"> only one variance from the 2015</w:t>
      </w:r>
      <w:r w:rsidRPr="00515AA9">
        <w:rPr>
          <w:rFonts w:ascii="Arial Narrow" w:hAnsi="Arial Narrow"/>
          <w:sz w:val="18"/>
        </w:rPr>
        <w:t xml:space="preserve"> TRM</w:t>
      </w:r>
      <w:r>
        <w:rPr>
          <w:rFonts w:ascii="Arial Narrow" w:hAnsi="Arial Narrow"/>
          <w:sz w:val="18"/>
        </w:rPr>
        <w:t xml:space="preserve"> in the PY7 PPL TRC Model</w:t>
      </w:r>
      <w:r w:rsidRPr="00515AA9">
        <w:rPr>
          <w:rFonts w:ascii="Arial Narrow" w:hAnsi="Arial Narrow"/>
          <w:sz w:val="18"/>
        </w:rPr>
        <w:t>. Water heater temperature setback EUL was found to be one year in the TRC model versus a TRM-specified EUL of four years. The overall impact of this adjustment is negligible to the program- and portfolio-level TRC.</w:t>
      </w:r>
    </w:p>
  </w:footnote>
  <w:footnote w:id="75">
    <w:p w:rsidR="00340F86" w:rsidRPr="008C599E" w:rsidRDefault="00340F86" w:rsidP="00EE3086">
      <w:pPr>
        <w:pStyle w:val="FootnoteText"/>
        <w:rPr>
          <w:rFonts w:ascii="Arial Narrow" w:hAnsi="Arial Narrow"/>
          <w:sz w:val="18"/>
        </w:rPr>
      </w:pPr>
      <w:r w:rsidRPr="008C599E">
        <w:rPr>
          <w:rStyle w:val="FootnoteReference"/>
          <w:rFonts w:ascii="Arial Narrow" w:hAnsi="Arial Narrow"/>
          <w:sz w:val="18"/>
        </w:rPr>
        <w:footnoteRef/>
      </w:r>
      <w:r w:rsidRPr="008C599E">
        <w:rPr>
          <w:rFonts w:ascii="Arial Narrow" w:hAnsi="Arial Narrow"/>
          <w:sz w:val="18"/>
        </w:rPr>
        <w:t xml:space="preserve"> For example, the initial SWE Phase II Evaluation Framework published on June 28, 2013 stated on page 28 that “EDCs must complete an evaluation plan for each evaluation and submit it to the SWE SharePoint site for review within 90 days from the beginning of the program year (by August 31). The evaluation plan should be a single electronic document with a chapter for each program in the portfolio, or a separate document for each program”.</w:t>
      </w:r>
    </w:p>
  </w:footnote>
  <w:footnote w:id="76">
    <w:p w:rsidR="00340F86" w:rsidRPr="009C4895" w:rsidRDefault="00340F86" w:rsidP="00EE3086">
      <w:pPr>
        <w:pStyle w:val="FootnoteText"/>
        <w:rPr>
          <w:rFonts w:ascii="Arial Narrow" w:hAnsi="Arial Narrow"/>
          <w:sz w:val="18"/>
        </w:rPr>
      </w:pPr>
      <w:r w:rsidRPr="009C4895">
        <w:rPr>
          <w:rStyle w:val="FootnoteReference"/>
          <w:rFonts w:ascii="Arial Narrow" w:eastAsiaTheme="minorHAnsi" w:hAnsi="Arial Narrow"/>
          <w:sz w:val="18"/>
        </w:rPr>
        <w:footnoteRef/>
      </w:r>
      <w:r w:rsidRPr="009C4895">
        <w:rPr>
          <w:rFonts w:ascii="Arial Narrow" w:hAnsi="Arial Narrow"/>
          <w:sz w:val="18"/>
        </w:rPr>
        <w:t xml:space="preserve"> Hunt Allcott and Todd Rogers. 2014. “The Short-Run and Long-Run Effects of Behavioral Interventions: Experimental Evidence from Energy Conservation.” American Economic Review 104 (10): 3003–3037.</w:t>
      </w:r>
    </w:p>
  </w:footnote>
  <w:footnote w:id="77">
    <w:p w:rsidR="00340F86" w:rsidRPr="009C4895" w:rsidRDefault="00340F86" w:rsidP="0051612D">
      <w:pPr>
        <w:pStyle w:val="FootnoteText"/>
        <w:jc w:val="left"/>
        <w:rPr>
          <w:rFonts w:ascii="Arial Narrow" w:hAnsi="Arial Narrow"/>
          <w:sz w:val="18"/>
        </w:rPr>
      </w:pPr>
      <w:r w:rsidRPr="009C4895">
        <w:rPr>
          <w:rStyle w:val="FootnoteReference"/>
          <w:rFonts w:ascii="Arial Narrow" w:eastAsiaTheme="minorHAnsi" w:hAnsi="Arial Narrow"/>
          <w:sz w:val="18"/>
        </w:rPr>
        <w:footnoteRef/>
      </w:r>
      <w:r w:rsidRPr="009C4895">
        <w:rPr>
          <w:rFonts w:ascii="Arial Narrow" w:hAnsi="Arial Narrow"/>
          <w:sz w:val="18"/>
        </w:rPr>
        <w:t xml:space="preserve"> </w:t>
      </w:r>
      <w:r>
        <w:rPr>
          <w:rFonts w:ascii="Arial Narrow" w:hAnsi="Arial Narrow"/>
          <w:sz w:val="18"/>
        </w:rPr>
        <w:t>Ibid.</w:t>
      </w:r>
    </w:p>
  </w:footnote>
  <w:footnote w:id="78">
    <w:p w:rsidR="00340F86" w:rsidRPr="00976114" w:rsidRDefault="00340F86" w:rsidP="003C4C90">
      <w:pPr>
        <w:pStyle w:val="FootnoteText"/>
        <w:rPr>
          <w:rFonts w:ascii="Arial Narrow" w:hAnsi="Arial Narrow"/>
          <w:sz w:val="18"/>
        </w:rPr>
      </w:pPr>
      <w:r w:rsidRPr="00976114">
        <w:rPr>
          <w:rStyle w:val="FootnoteReference"/>
          <w:rFonts w:ascii="Arial Narrow" w:hAnsi="Arial Narrow"/>
          <w:sz w:val="18"/>
        </w:rPr>
        <w:footnoteRef/>
      </w:r>
      <w:r w:rsidRPr="00976114">
        <w:rPr>
          <w:rFonts w:ascii="Arial Narrow" w:hAnsi="Arial Narrow"/>
          <w:sz w:val="18"/>
        </w:rPr>
        <w:t xml:space="preserve"> Almost all reported savings (99%) occurred in the residential sector. Note that both residential and non-residential customers could receive an incentive, since the program delivers the incentive through a retailer and HVAC installer channels.</w:t>
      </w:r>
    </w:p>
  </w:footnote>
  <w:footnote w:id="79">
    <w:p w:rsidR="00340F86" w:rsidRPr="00976114" w:rsidRDefault="00340F86" w:rsidP="003C4C90">
      <w:pPr>
        <w:pStyle w:val="FootnoteText"/>
        <w:rPr>
          <w:rFonts w:ascii="Arial Narrow" w:hAnsi="Arial Narrow"/>
          <w:sz w:val="18"/>
        </w:rPr>
      </w:pPr>
      <w:r w:rsidRPr="00976114">
        <w:rPr>
          <w:rStyle w:val="FootnoteReference"/>
          <w:rFonts w:ascii="Arial Narrow" w:hAnsi="Arial Narrow"/>
          <w:sz w:val="18"/>
        </w:rPr>
        <w:footnoteRef/>
      </w:r>
      <w:r w:rsidRPr="00976114">
        <w:rPr>
          <w:rFonts w:ascii="Arial Narrow" w:hAnsi="Arial Narrow"/>
          <w:sz w:val="18"/>
        </w:rPr>
        <w:t xml:space="preserve"> Although the program serves both residential and non-residential customers, most of the recycled units and savings come from the residential sector. Almost all reported savings (99%) occurred in the residential sector.</w:t>
      </w:r>
    </w:p>
  </w:footnote>
  <w:footnote w:id="80">
    <w:p w:rsidR="00340F86" w:rsidRPr="003B6A8A" w:rsidRDefault="00340F86" w:rsidP="002852AF">
      <w:pPr>
        <w:pStyle w:val="FootnoteText"/>
        <w:rPr>
          <w:rFonts w:ascii="Arial Narrow" w:hAnsi="Arial Narrow"/>
          <w:sz w:val="18"/>
          <w:szCs w:val="18"/>
        </w:rPr>
      </w:pPr>
      <w:r w:rsidRPr="003B6A8A">
        <w:rPr>
          <w:rStyle w:val="FootnoteReference"/>
          <w:rFonts w:ascii="Arial Narrow" w:hAnsi="Arial Narrow"/>
          <w:sz w:val="18"/>
          <w:szCs w:val="18"/>
        </w:rPr>
        <w:footnoteRef/>
      </w:r>
      <w:r w:rsidRPr="003B6A8A">
        <w:rPr>
          <w:rFonts w:ascii="Arial Narrow" w:hAnsi="Arial Narrow"/>
          <w:sz w:val="18"/>
          <w:szCs w:val="18"/>
        </w:rPr>
        <w:t xml:space="preserve"> PA PUC website, </w:t>
      </w:r>
      <w:hyperlink r:id="rId4" w:history="1">
        <w:r w:rsidRPr="003B6A8A">
          <w:rPr>
            <w:rStyle w:val="Hyperlink"/>
            <w:rFonts w:ascii="Arial Narrow" w:hAnsi="Arial Narrow"/>
            <w:sz w:val="18"/>
            <w:szCs w:val="18"/>
          </w:rPr>
          <w:t>www.puc.pa.gov/filing_resources/issues_laws_regulations/act_129_information/act_129_statewide_evaluator_swe_.aspx</w:t>
        </w:r>
      </w:hyperlink>
      <w:r w:rsidRPr="003B6A8A">
        <w:rPr>
          <w:rFonts w:ascii="Arial Narrow" w:hAnsi="Arial Narrow"/>
          <w:sz w:val="18"/>
          <w:szCs w:val="18"/>
        </w:rPr>
        <w:t xml:space="preserve">. </w:t>
      </w:r>
    </w:p>
  </w:footnote>
  <w:footnote w:id="81">
    <w:p w:rsidR="00340F86" w:rsidRPr="003B6A8A" w:rsidRDefault="00340F86" w:rsidP="002852AF">
      <w:pPr>
        <w:pStyle w:val="FootnoteText"/>
        <w:rPr>
          <w:rFonts w:ascii="Arial Narrow" w:hAnsi="Arial Narrow"/>
          <w:sz w:val="18"/>
          <w:szCs w:val="18"/>
        </w:rPr>
      </w:pPr>
      <w:r w:rsidRPr="003B6A8A">
        <w:rPr>
          <w:rStyle w:val="FootnoteReference"/>
          <w:rFonts w:ascii="Arial Narrow" w:hAnsi="Arial Narrow"/>
          <w:sz w:val="18"/>
          <w:szCs w:val="18"/>
        </w:rPr>
        <w:footnoteRef/>
      </w:r>
      <w:r w:rsidRPr="003B6A8A">
        <w:rPr>
          <w:rFonts w:ascii="Arial Narrow" w:hAnsi="Arial Narrow"/>
          <w:sz w:val="18"/>
          <w:szCs w:val="18"/>
        </w:rPr>
        <w:t xml:space="preserve"> PA PUC website, </w:t>
      </w:r>
      <w:hyperlink r:id="rId5" w:history="1">
        <w:r w:rsidRPr="003B6A8A">
          <w:rPr>
            <w:rStyle w:val="Hyperlink"/>
            <w:rFonts w:ascii="Arial Narrow" w:hAnsi="Arial Narrow"/>
            <w:sz w:val="18"/>
            <w:szCs w:val="18"/>
          </w:rPr>
          <w:t>www.puc.pa.gov/Electric/pdf/Act129/SWE-2014_PA_Statewide_Act129_Residential_Baseline_Study.pdf</w:t>
        </w:r>
      </w:hyperlink>
      <w:r w:rsidRPr="003B6A8A">
        <w:rPr>
          <w:rFonts w:ascii="Arial Narrow" w:hAnsi="Arial Narrow"/>
          <w:sz w:val="18"/>
          <w:szCs w:val="18"/>
        </w:rPr>
        <w:t xml:space="preserve">. </w:t>
      </w:r>
    </w:p>
  </w:footnote>
  <w:footnote w:id="82">
    <w:p w:rsidR="00340F86" w:rsidRPr="003B6A8A" w:rsidRDefault="00340F86" w:rsidP="002852AF">
      <w:pPr>
        <w:pStyle w:val="FootnoteText"/>
        <w:rPr>
          <w:rFonts w:ascii="Arial Narrow" w:hAnsi="Arial Narrow"/>
          <w:sz w:val="18"/>
          <w:szCs w:val="18"/>
        </w:rPr>
      </w:pPr>
      <w:r w:rsidRPr="003B6A8A">
        <w:rPr>
          <w:rStyle w:val="FootnoteReference"/>
          <w:rFonts w:ascii="Arial Narrow" w:hAnsi="Arial Narrow"/>
          <w:sz w:val="18"/>
          <w:szCs w:val="18"/>
        </w:rPr>
        <w:footnoteRef/>
      </w:r>
      <w:r w:rsidRPr="003B6A8A">
        <w:rPr>
          <w:rFonts w:ascii="Arial Narrow" w:hAnsi="Arial Narrow"/>
          <w:sz w:val="18"/>
          <w:szCs w:val="18"/>
        </w:rPr>
        <w:t xml:space="preserve"> PA PUC website, </w:t>
      </w:r>
      <w:hyperlink r:id="rId6" w:history="1">
        <w:r w:rsidRPr="003B6A8A">
          <w:rPr>
            <w:rStyle w:val="Hyperlink"/>
            <w:rFonts w:ascii="Arial Narrow" w:hAnsi="Arial Narrow"/>
            <w:sz w:val="18"/>
            <w:szCs w:val="18"/>
          </w:rPr>
          <w:t>www.puc.pa.gov/Electric/pdf/Act129/SWE-2014_PA_Statewide_Act129_Non-Residential_EndUse_Saturation_Study.pdf</w:t>
        </w:r>
      </w:hyperlink>
      <w:r w:rsidRPr="003B6A8A">
        <w:rPr>
          <w:rFonts w:ascii="Arial Narrow" w:hAnsi="Arial Narrow"/>
          <w:sz w:val="18"/>
          <w:szCs w:val="18"/>
        </w:rPr>
        <w:t xml:space="preserve"> </w:t>
      </w:r>
    </w:p>
  </w:footnote>
  <w:footnote w:id="83">
    <w:p w:rsidR="00340F86" w:rsidRPr="003B6A8A" w:rsidRDefault="00340F86" w:rsidP="002852AF">
      <w:pPr>
        <w:pStyle w:val="FootnoteText"/>
        <w:rPr>
          <w:rFonts w:ascii="Arial Narrow" w:hAnsi="Arial Narrow"/>
          <w:sz w:val="18"/>
          <w:szCs w:val="18"/>
        </w:rPr>
      </w:pPr>
      <w:r w:rsidRPr="003B6A8A">
        <w:rPr>
          <w:rStyle w:val="FootnoteReference"/>
          <w:rFonts w:ascii="Arial Narrow" w:hAnsi="Arial Narrow"/>
          <w:sz w:val="18"/>
          <w:szCs w:val="18"/>
        </w:rPr>
        <w:footnoteRef/>
      </w:r>
      <w:r w:rsidRPr="003B6A8A">
        <w:rPr>
          <w:rFonts w:ascii="Arial Narrow" w:hAnsi="Arial Narrow"/>
          <w:sz w:val="18"/>
          <w:szCs w:val="18"/>
        </w:rPr>
        <w:t xml:space="preserve"> PA PUC website, </w:t>
      </w:r>
      <w:hyperlink r:id="rId7" w:history="1">
        <w:r w:rsidRPr="003B6A8A">
          <w:rPr>
            <w:rStyle w:val="Hyperlink"/>
            <w:rFonts w:ascii="Arial Narrow" w:hAnsi="Arial Narrow"/>
            <w:sz w:val="18"/>
            <w:szCs w:val="18"/>
          </w:rPr>
          <w:t>www.puc.pa.gov/pcdocs/1340978.pdf</w:t>
        </w:r>
      </w:hyperlink>
      <w:r w:rsidRPr="003B6A8A">
        <w:rPr>
          <w:rFonts w:ascii="Arial Narrow" w:hAnsi="Arial Narrow"/>
          <w:sz w:val="18"/>
          <w:szCs w:val="18"/>
        </w:rPr>
        <w:t xml:space="preserve">. </w:t>
      </w:r>
    </w:p>
  </w:footnote>
  <w:footnote w:id="84">
    <w:p w:rsidR="00340F86" w:rsidRPr="00170843" w:rsidRDefault="00340F86" w:rsidP="006C0F17">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8" w:history="1">
        <w:r w:rsidRPr="00170843">
          <w:rPr>
            <w:rStyle w:val="Hyperlink"/>
            <w:rFonts w:ascii="Arial Narrow" w:hAnsi="Arial Narrow"/>
            <w:sz w:val="18"/>
            <w:szCs w:val="18"/>
          </w:rPr>
          <w:t>www.puc.pa.gov/pcdocs/1345079.pdf</w:t>
        </w:r>
      </w:hyperlink>
      <w:r w:rsidRPr="00170843">
        <w:rPr>
          <w:rFonts w:ascii="Arial Narrow" w:hAnsi="Arial Narrow"/>
          <w:sz w:val="18"/>
          <w:szCs w:val="18"/>
        </w:rPr>
        <w:t xml:space="preserve">. </w:t>
      </w:r>
    </w:p>
  </w:footnote>
  <w:footnote w:id="85">
    <w:p w:rsidR="00340F86" w:rsidRPr="00170843" w:rsidRDefault="00340F86" w:rsidP="00A412AF">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9" w:history="1">
        <w:r w:rsidRPr="00170843">
          <w:rPr>
            <w:rStyle w:val="Hyperlink"/>
            <w:rFonts w:ascii="Arial Narrow" w:hAnsi="Arial Narrow"/>
            <w:sz w:val="18"/>
            <w:szCs w:val="18"/>
          </w:rPr>
          <w:t>www.puc.pa.gov/pcdocs/1345077.docx</w:t>
        </w:r>
      </w:hyperlink>
      <w:r w:rsidRPr="00170843">
        <w:rPr>
          <w:rFonts w:ascii="Arial Narrow" w:hAnsi="Arial Narrow"/>
          <w:sz w:val="18"/>
          <w:szCs w:val="18"/>
        </w:rPr>
        <w:t xml:space="preserve">. </w:t>
      </w:r>
    </w:p>
  </w:footnote>
  <w:footnote w:id="86">
    <w:p w:rsidR="00340F86" w:rsidRPr="00170843" w:rsidRDefault="00340F86" w:rsidP="006C0F17">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0" w:history="1">
        <w:r w:rsidRPr="00170843">
          <w:rPr>
            <w:rStyle w:val="Hyperlink"/>
            <w:rFonts w:ascii="Arial Narrow" w:hAnsi="Arial Narrow"/>
            <w:sz w:val="18"/>
            <w:szCs w:val="18"/>
          </w:rPr>
          <w:t>www.puc.pa.gov/pcdocs/1355000.pdf</w:t>
        </w:r>
      </w:hyperlink>
      <w:r w:rsidRPr="00170843">
        <w:rPr>
          <w:rFonts w:ascii="Arial Narrow" w:hAnsi="Arial Narrow"/>
          <w:sz w:val="18"/>
          <w:szCs w:val="18"/>
        </w:rPr>
        <w:t xml:space="preserve">. </w:t>
      </w:r>
    </w:p>
  </w:footnote>
  <w:footnote w:id="87">
    <w:p w:rsidR="00340F86" w:rsidRPr="00170843" w:rsidRDefault="00340F86" w:rsidP="006C0F17">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1" w:history="1">
        <w:r w:rsidRPr="00170843">
          <w:rPr>
            <w:rStyle w:val="Hyperlink"/>
            <w:rFonts w:ascii="Arial Narrow" w:hAnsi="Arial Narrow"/>
            <w:sz w:val="18"/>
            <w:szCs w:val="18"/>
          </w:rPr>
          <w:t>www.puc.pa.gov/Electric/pdf/Act129/SWE_Res_Behavioral_Program-Persistence_Study.pdf</w:t>
        </w:r>
      </w:hyperlink>
      <w:r w:rsidRPr="00170843">
        <w:rPr>
          <w:rFonts w:ascii="Arial Narrow" w:hAnsi="Arial Narrow"/>
          <w:sz w:val="18"/>
          <w:szCs w:val="18"/>
        </w:rPr>
        <w:t xml:space="preserve">. </w:t>
      </w:r>
    </w:p>
  </w:footnote>
  <w:footnote w:id="88">
    <w:p w:rsidR="00340F86" w:rsidRPr="00170843" w:rsidRDefault="00340F86"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2" w:history="1">
        <w:r w:rsidRPr="00170843">
          <w:rPr>
            <w:rStyle w:val="Hyperlink"/>
            <w:rFonts w:ascii="Arial Narrow" w:hAnsi="Arial Narrow"/>
            <w:sz w:val="18"/>
            <w:szCs w:val="18"/>
          </w:rPr>
          <w:t>www.puc.pa.gov/pcdocs/1265230.docx</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 w:id="89">
    <w:p w:rsidR="00340F86" w:rsidRPr="00170843" w:rsidRDefault="00340F86"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3" w:history="1">
        <w:r w:rsidRPr="00170843">
          <w:rPr>
            <w:rStyle w:val="Hyperlink"/>
            <w:rFonts w:ascii="Arial Narrow" w:hAnsi="Arial Narrow"/>
            <w:sz w:val="18"/>
            <w:szCs w:val="18"/>
          </w:rPr>
          <w:t>www.puc.pa.gov/pcdocs/1333318.docx</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 w:id="90">
    <w:p w:rsidR="00340F86" w:rsidRPr="00170843" w:rsidRDefault="00340F86"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4" w:history="1">
        <w:r w:rsidRPr="00170843">
          <w:rPr>
            <w:rStyle w:val="Hyperlink"/>
            <w:rFonts w:ascii="Arial Narrow" w:hAnsi="Arial Narrow"/>
            <w:sz w:val="18"/>
            <w:szCs w:val="18"/>
          </w:rPr>
          <w:t>www.puc.pa.gov/pcdocs/1370278.docx</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 w:id="91">
    <w:p w:rsidR="00340F86" w:rsidRPr="00170843" w:rsidRDefault="00340F86"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5" w:history="1">
        <w:r w:rsidRPr="00170843">
          <w:rPr>
            <w:rStyle w:val="Hyperlink"/>
            <w:rFonts w:ascii="Arial Narrow" w:hAnsi="Arial Narrow"/>
            <w:sz w:val="18"/>
            <w:szCs w:val="18"/>
          </w:rPr>
          <w:t>www.puc.pa.gov/Electric/pdf/Act129/SWE_PY5-Final_Annual_Report.pdf</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 w:id="92">
    <w:p w:rsidR="00340F86" w:rsidRPr="00170843" w:rsidRDefault="00340F86"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6" w:history="1">
        <w:r w:rsidRPr="00170843">
          <w:rPr>
            <w:rStyle w:val="Hyperlink"/>
            <w:rFonts w:ascii="Arial Narrow" w:hAnsi="Arial Narrow"/>
            <w:sz w:val="18"/>
            <w:szCs w:val="18"/>
          </w:rPr>
          <w:t>www.puc.pa.gov/Electric/pdf/Act129/SWE_PY6-Final_Annual_Report.pdf</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Default="00340F86" w:rsidP="00844A91">
    <w:pPr>
      <w:pStyle w:val="Header"/>
    </w:pPr>
    <w:r>
      <w:t>Act 129 Statewide Evaluator Final Annual Report</w:t>
    </w:r>
  </w:p>
  <w:p w:rsidR="00340F86" w:rsidRDefault="00340F86" w:rsidP="00844A91">
    <w:pPr>
      <w:pStyle w:val="Header"/>
      <w:pBdr>
        <w:bottom w:val="single" w:sz="6" w:space="1" w:color="auto"/>
      </w:pBdr>
    </w:pPr>
    <w:r>
      <w:t>3</w:t>
    </w:r>
    <w:r w:rsidRPr="00243490">
      <w:rPr>
        <w:vertAlign w:val="superscript"/>
      </w:rPr>
      <w:t>rd</w:t>
    </w:r>
    <w:r>
      <w:t xml:space="preserve"> Quarter, Program Year 1</w:t>
    </w:r>
  </w:p>
  <w:p w:rsidR="00340F86" w:rsidRDefault="00340F86" w:rsidP="00844A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BA1C97">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BA1C97" w:rsidRDefault="00340F86" w:rsidP="00BA1C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F17578">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BA1C97">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BA1C97" w:rsidRDefault="00340F86" w:rsidP="00BA1C9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F17578">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BA1C97">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BA1C97" w:rsidRDefault="00340F86" w:rsidP="00BA1C9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F17578">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BA1C97">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color w:val="76A3A8"/>
        <w:spacing w:val="-10"/>
        <w:sz w:val="16"/>
        <w:szCs w:val="17"/>
      </w:rPr>
      <w:tab/>
    </w:r>
    <w:r>
      <w:rPr>
        <w:rFonts w:ascii="Century Gothic" w:hAnsi="Century Gothic"/>
        <w:color w:val="76A3A8"/>
        <w:spacing w:val="-10"/>
        <w:sz w:val="16"/>
        <w:szCs w:val="17"/>
      </w:rPr>
      <w:tab/>
    </w:r>
    <w:r>
      <w:rPr>
        <w:rFonts w:ascii="Century Gothic" w:hAnsi="Century Gothic"/>
        <w:sz w:val="16"/>
      </w:rPr>
      <w:t xml:space="preserve">            </w:t>
    </w:r>
    <w:r w:rsidRPr="00B81A2F">
      <w:rPr>
        <w:rFonts w:ascii="Century Gothic" w:hAnsi="Century Gothic"/>
        <w:color w:val="404040" w:themeColor="text1" w:themeTint="BF"/>
        <w:spacing w:val="-12"/>
        <w:sz w:val="16"/>
      </w:rPr>
      <w:t>July 24, 2017</w:t>
    </w:r>
  </w:p>
  <w:p w:rsidR="00340F86" w:rsidRPr="00BA1C97" w:rsidRDefault="00340F86" w:rsidP="00BA1C9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F17578">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DF3F90">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BA1C97" w:rsidRDefault="00340F86" w:rsidP="00BA1C9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F17578">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964869" w:rsidRDefault="00340F86" w:rsidP="0096486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D137E2">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5D6981" w:rsidRDefault="00340F86" w:rsidP="005D698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F17578">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651AA9">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651AA9" w:rsidRDefault="00340F86" w:rsidP="00651AA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651AA9">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Default="00340F8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651AA9">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Default="00340F8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651AA9">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D4D90" w:rsidRDefault="00340F86" w:rsidP="00FD4D9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651AA9">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16463">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16463">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D4D90" w:rsidRDefault="00340F86" w:rsidP="00FD4D9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16463">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81A2F" w:rsidRDefault="00340F86" w:rsidP="00766038">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E6185D">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D4D90" w:rsidRDefault="00340F86" w:rsidP="00FD4D9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16463">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16463">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D4D90" w:rsidRDefault="00340F86" w:rsidP="00FD4D9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16463">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24B6E">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24B6E">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D4D90" w:rsidRDefault="00340F86" w:rsidP="00FD4D9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24B6E">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24B6E">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D4D90" w:rsidRDefault="00340F86" w:rsidP="00FD4D9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24B6E">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24B6E">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D4D90" w:rsidRDefault="00340F86" w:rsidP="00FD4D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7F2DA6" w:rsidRDefault="00340F86" w:rsidP="00CA4CB7">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Amended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July 24, 2017</w:t>
    </w:r>
  </w:p>
  <w:p w:rsidR="00340F86" w:rsidRPr="00CA4CB7" w:rsidRDefault="00340F86" w:rsidP="00CA4CB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24B6E">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24B6E">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706E5F" w:rsidRDefault="00340F86" w:rsidP="00706E5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124B6E">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124B6E" w:rsidRDefault="00340F86" w:rsidP="00124B6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A763FD">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FD4D90" w:rsidRDefault="00340F86" w:rsidP="00FD4D9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A763FD">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A763FD" w:rsidRDefault="00340F86" w:rsidP="00A763F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A763FD">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D4D90" w:rsidRDefault="00340F86" w:rsidP="00FD4D9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A763FD">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E661F6" w:rsidRDefault="00340F86" w:rsidP="00E661F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E661F6" w:rsidRDefault="00340F86" w:rsidP="00E66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B81A2F" w:rsidRDefault="00340F86" w:rsidP="00461F1B">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461F1B" w:rsidRDefault="00340F86" w:rsidP="00461F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461F1B">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BA1C97">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BA1C97" w:rsidRDefault="00340F86" w:rsidP="00BA1C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BA1C97">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t xml:space="preserve">             </w:t>
    </w:r>
    <w:r w:rsidRPr="00B81A2F">
      <w:rPr>
        <w:rFonts w:ascii="Century Gothic" w:hAnsi="Century Gothic"/>
        <w:color w:val="404040" w:themeColor="text1" w:themeTint="BF"/>
        <w:spacing w:val="-12"/>
        <w:sz w:val="16"/>
      </w:rPr>
      <w:t>July 24, 2017</w:t>
    </w:r>
  </w:p>
  <w:p w:rsidR="00340F86" w:rsidRPr="00BA1C97" w:rsidRDefault="00340F86" w:rsidP="00BA1C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86" w:rsidRPr="00461F1B" w:rsidRDefault="00340F86" w:rsidP="00BA1C97">
    <w:pPr>
      <w:pStyle w:val="Header"/>
      <w:pBdr>
        <w:bottom w:val="single" w:sz="2" w:space="1" w:color="595959" w:themeColor="text1" w:themeTint="A6"/>
      </w:pBdr>
      <w:rPr>
        <w:rFonts w:ascii="Century Gothic" w:hAnsi="Century Gothic"/>
        <w:color w:val="404040" w:themeColor="text1" w:themeTint="BF"/>
        <w:spacing w:val="-12"/>
        <w:sz w:val="16"/>
      </w:rPr>
    </w:pPr>
    <w:r w:rsidRPr="005B38FC">
      <w:rPr>
        <w:rFonts w:ascii="Century Gothic" w:hAnsi="Century Gothic"/>
        <w:b/>
        <w:smallCaps/>
        <w:color w:val="595959" w:themeColor="text1" w:themeTint="A6"/>
        <w:spacing w:val="-10"/>
        <w:sz w:val="16"/>
        <w:szCs w:val="17"/>
      </w:rPr>
      <w:t xml:space="preserve">ACT 129 SWE </w:t>
    </w:r>
    <w:r w:rsidRPr="005B38FC">
      <w:rPr>
        <w:rFonts w:ascii="Century Gothic" w:hAnsi="Century Gothic"/>
        <w:b/>
        <w:color w:val="595959" w:themeColor="text1" w:themeTint="A6"/>
        <w:spacing w:val="-10"/>
        <w:sz w:val="16"/>
        <w:szCs w:val="17"/>
      </w:rPr>
      <w:t>AMENDED FINAL REPORT</w:t>
    </w:r>
    <w:r w:rsidRPr="005B38FC">
      <w:rPr>
        <w:rFonts w:ascii="Century Gothic" w:hAnsi="Century Gothic"/>
        <w:b/>
        <w:smallCaps/>
        <w:color w:val="595959" w:themeColor="text1" w:themeTint="A6"/>
        <w:sz w:val="16"/>
        <w:szCs w:val="17"/>
      </w:rPr>
      <w:t xml:space="preserve"> </w:t>
    </w:r>
    <w:r w:rsidRPr="005B38FC">
      <w:rPr>
        <w:rFonts w:ascii="Century Gothic" w:hAnsi="Century Gothic"/>
        <w:b/>
        <w:smallCaps/>
        <w:color w:val="595959" w:themeColor="text1" w:themeTint="A6"/>
        <w:szCs w:val="17"/>
      </w:rPr>
      <w:t>|</w:t>
    </w:r>
    <w:r w:rsidRPr="005B38FC">
      <w:rPr>
        <w:rFonts w:ascii="Century Gothic" w:hAnsi="Century Gothic"/>
        <w:color w:val="76A3A8"/>
        <w:spacing w:val="-10"/>
        <w:sz w:val="16"/>
        <w:szCs w:val="17"/>
      </w:rPr>
      <w:t>Phase II</w:t>
    </w:r>
    <w:r>
      <w:rPr>
        <w:rFonts w:ascii="Century Gothic" w:hAnsi="Century Gothic"/>
        <w:sz w:val="16"/>
      </w:rPr>
      <w:tab/>
    </w:r>
    <w:r>
      <w:rPr>
        <w:rFonts w:ascii="Century Gothic" w:hAnsi="Century Gothic"/>
        <w:sz w:val="16"/>
      </w:rPr>
      <w:tab/>
    </w:r>
    <w:r w:rsidRPr="00B81A2F">
      <w:rPr>
        <w:rFonts w:ascii="Century Gothic" w:hAnsi="Century Gothic"/>
        <w:color w:val="404040" w:themeColor="text1" w:themeTint="BF"/>
        <w:spacing w:val="-12"/>
        <w:sz w:val="16"/>
      </w:rPr>
      <w:t>July 24, 2017</w:t>
    </w:r>
  </w:p>
  <w:p w:rsidR="00340F86" w:rsidRPr="00FE55A4" w:rsidRDefault="00340F86" w:rsidP="00FE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4E4F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02C74"/>
    <w:multiLevelType w:val="hybridMultilevel"/>
    <w:tmpl w:val="96908968"/>
    <w:lvl w:ilvl="0" w:tplc="D5440C6C">
      <w:start w:val="1"/>
      <w:numFmt w:val="bullet"/>
      <w:lvlText w:val=""/>
      <w:lvlJc w:val="left"/>
      <w:pPr>
        <w:ind w:left="720" w:hanging="360"/>
      </w:pPr>
      <w:rPr>
        <w:rFonts w:ascii="Wingdings" w:hAnsi="Wingdings" w:hint="default"/>
        <w:b w:val="0"/>
        <w:color w:val="448A99"/>
        <w:sz w:val="12"/>
        <w:szCs w:val="12"/>
        <w:u w:color="1F497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43254"/>
    <w:multiLevelType w:val="hybridMultilevel"/>
    <w:tmpl w:val="67B4E672"/>
    <w:lvl w:ilvl="0" w:tplc="6074CAC6">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F02A3"/>
    <w:multiLevelType w:val="hybridMultilevel"/>
    <w:tmpl w:val="1450BA58"/>
    <w:lvl w:ilvl="0" w:tplc="0409000F">
      <w:start w:val="1"/>
      <w:numFmt w:val="decimal"/>
      <w:lvlText w:val="%1."/>
      <w:lvlJc w:val="left"/>
      <w:pPr>
        <w:ind w:left="720" w:hanging="360"/>
      </w:pPr>
    </w:lvl>
    <w:lvl w:ilvl="1" w:tplc="5CCA2BA2">
      <w:start w:val="1"/>
      <w:numFmt w:val="lowerLetter"/>
      <w:lvlText w:val="%2."/>
      <w:lvlJc w:val="left"/>
      <w:pPr>
        <w:ind w:left="1440" w:hanging="360"/>
      </w:pPr>
      <w:rPr>
        <w:rFonts w:ascii="Century Gothic" w:hAnsi="Century Gothic" w:hint="default"/>
        <w:b w:val="0"/>
        <w:color w:val="404040" w:themeColor="text1" w:themeTint="BF"/>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C9072A"/>
    <w:multiLevelType w:val="multilevel"/>
    <w:tmpl w:val="C44414CA"/>
    <w:lvl w:ilvl="0">
      <w:start w:val="1"/>
      <w:numFmt w:val="none"/>
      <w:pStyle w:val="donotuse"/>
      <w:suff w:val="space"/>
      <w:lvlText w:val="APPENDIX A"/>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suff w:val="space"/>
      <w:lvlText w:val="%1.%2.%3.%4.%5.%6.%7"/>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2D24FC4"/>
    <w:multiLevelType w:val="hybridMultilevel"/>
    <w:tmpl w:val="CC880FEE"/>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E71023"/>
    <w:multiLevelType w:val="hybridMultilevel"/>
    <w:tmpl w:val="06D44B2C"/>
    <w:lvl w:ilvl="0" w:tplc="634E41E8">
      <w:start w:val="1"/>
      <w:numFmt w:val="bullet"/>
      <w:lvlText w:val=""/>
      <w:lvlJc w:val="left"/>
      <w:pPr>
        <w:ind w:left="720" w:hanging="360"/>
      </w:pPr>
      <w:rPr>
        <w:rFonts w:ascii="Wingdings" w:hAnsi="Wingdings" w:hint="default"/>
        <w:b w:val="0"/>
        <w:color w:val="76A3A8"/>
        <w:sz w:val="12"/>
        <w:szCs w:val="12"/>
        <w:u w:color="1F497D"/>
      </w:rPr>
    </w:lvl>
    <w:lvl w:ilvl="1" w:tplc="59462CFA">
      <w:start w:val="1"/>
      <w:numFmt w:val="bullet"/>
      <w:lvlText w:val=""/>
      <w:lvlJc w:val="left"/>
      <w:pPr>
        <w:ind w:left="1440" w:hanging="360"/>
      </w:pPr>
      <w:rPr>
        <w:rFonts w:ascii="Wingdings" w:hAnsi="Wingdings" w:hint="default"/>
        <w:b/>
        <w:color w:val="448A99"/>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092507"/>
    <w:multiLevelType w:val="hybridMultilevel"/>
    <w:tmpl w:val="08F27D7A"/>
    <w:lvl w:ilvl="0" w:tplc="0F384E32">
      <w:start w:val="1"/>
      <w:numFmt w:val="decimal"/>
      <w:lvlText w:val="%1)"/>
      <w:lvlJc w:val="left"/>
      <w:pPr>
        <w:ind w:left="1080" w:hanging="360"/>
      </w:pPr>
      <w:rPr>
        <w:rFonts w:ascii="Century Gothic" w:hAnsi="Century Gothic" w:hint="default"/>
        <w:b w:val="0"/>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3A86BAA"/>
    <w:multiLevelType w:val="hybridMultilevel"/>
    <w:tmpl w:val="5D5889B4"/>
    <w:lvl w:ilvl="0" w:tplc="2A8EE13E">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CC4B3F"/>
    <w:multiLevelType w:val="multilevel"/>
    <w:tmpl w:val="A05C73D4"/>
    <w:styleLink w:val="Appendix"/>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43F1731"/>
    <w:multiLevelType w:val="hybridMultilevel"/>
    <w:tmpl w:val="87E620A8"/>
    <w:lvl w:ilvl="0" w:tplc="3F2CF900">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F7062B"/>
    <w:multiLevelType w:val="multilevel"/>
    <w:tmpl w:val="AC667066"/>
    <w:lvl w:ilvl="0">
      <w:start w:val="1"/>
      <w:numFmt w:val="decimal"/>
      <w:pStyle w:val="AppendixFHeading1"/>
      <w:suff w:val="space"/>
      <w:lvlText w:val="F.%1"/>
      <w:lvlJc w:val="left"/>
      <w:pPr>
        <w:ind w:left="0" w:firstLine="0"/>
      </w:pPr>
      <w:rPr>
        <w:rFonts w:ascii="Century Gothic" w:hAnsi="Century Gothic" w:hint="default"/>
        <w:b/>
        <w:smallCaps/>
        <w:sz w:val="24"/>
      </w:rPr>
    </w:lvl>
    <w:lvl w:ilvl="1">
      <w:start w:val="1"/>
      <w:numFmt w:val="decimal"/>
      <w:pStyle w:val="AppendixFHeading2"/>
      <w:suff w:val="space"/>
      <w:lvlText w:val="F.%1.%2."/>
      <w:lvlJc w:val="left"/>
      <w:pPr>
        <w:ind w:left="0" w:firstLine="0"/>
      </w:pPr>
      <w:rPr>
        <w:rFonts w:hint="default"/>
      </w:rPr>
    </w:lvl>
    <w:lvl w:ilvl="2">
      <w:start w:val="1"/>
      <w:numFmt w:val="decimal"/>
      <w:pStyle w:val="AppendixFHeading3"/>
      <w:suff w:val="space"/>
      <w:lvlText w:val="F.%1.%2.%3."/>
      <w:lvlJc w:val="left"/>
      <w:pPr>
        <w:ind w:left="0" w:firstLine="0"/>
      </w:pPr>
      <w:rPr>
        <w:rFonts w:hint="default"/>
      </w:rPr>
    </w:lvl>
    <w:lvl w:ilvl="3">
      <w:start w:val="1"/>
      <w:numFmt w:val="decimal"/>
      <w:suff w:val="space"/>
      <w:lvlText w:val="F.%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61F0B3B"/>
    <w:multiLevelType w:val="hybridMultilevel"/>
    <w:tmpl w:val="E4486024"/>
    <w:lvl w:ilvl="0" w:tplc="BEE619C2">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C6171D"/>
    <w:multiLevelType w:val="hybridMultilevel"/>
    <w:tmpl w:val="00B22A28"/>
    <w:lvl w:ilvl="0" w:tplc="CF58F6D0">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781156"/>
    <w:multiLevelType w:val="multilevel"/>
    <w:tmpl w:val="78607D6E"/>
    <w:lvl w:ilvl="0">
      <w:start w:val="1"/>
      <w:numFmt w:val="decimal"/>
      <w:lvlText w:val="%1"/>
      <w:lvlJc w:val="left"/>
      <w:pPr>
        <w:ind w:left="792" w:hanging="432"/>
      </w:pPr>
      <w:rPr>
        <w:rFonts w:cs="Times New Roman"/>
      </w:rPr>
    </w:lvl>
    <w:lvl w:ilvl="1">
      <w:start w:val="1"/>
      <w:numFmt w:val="decimal"/>
      <w:lvlText w:val="%1.%2"/>
      <w:lvlJc w:val="left"/>
      <w:pPr>
        <w:ind w:left="756" w:hanging="576"/>
      </w:pPr>
      <w:rPr>
        <w:rFonts w:cs="Times New Roman"/>
      </w:rPr>
    </w:lvl>
    <w:lvl w:ilvl="2">
      <w:start w:val="1"/>
      <w:numFmt w:val="decimal"/>
      <w:lvlText w:val="%1.%2.%3"/>
      <w:lvlJc w:val="left"/>
      <w:pPr>
        <w:ind w:left="720" w:hanging="720"/>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954" w:hanging="864"/>
      </w:pPr>
      <w:rPr>
        <w:rFonts w:cs="Times New Roman"/>
        <w:color w:val="auto"/>
      </w:rPr>
    </w:lvl>
    <w:lvl w:ilvl="4">
      <w:start w:val="1"/>
      <w:numFmt w:val="decimal"/>
      <w:lvlText w:val="%1.%2.%3.%4.%5"/>
      <w:lvlJc w:val="left"/>
      <w:pPr>
        <w:ind w:left="1008" w:hanging="1008"/>
      </w:pPr>
      <w:rPr>
        <w:rFonts w:ascii="Calibri" w:hAnsi="Calibri" w:cs="Calibri" w:hint="default"/>
        <w:sz w:val="22"/>
        <w:szCs w:val="22"/>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08B77795"/>
    <w:multiLevelType w:val="hybridMultilevel"/>
    <w:tmpl w:val="9DFC408C"/>
    <w:lvl w:ilvl="0" w:tplc="986A8D2A">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5C39CA"/>
    <w:multiLevelType w:val="hybridMultilevel"/>
    <w:tmpl w:val="0DF6FC24"/>
    <w:lvl w:ilvl="0" w:tplc="59462CFA">
      <w:start w:val="1"/>
      <w:numFmt w:val="bullet"/>
      <w:lvlText w:val=""/>
      <w:lvlJc w:val="left"/>
      <w:pPr>
        <w:ind w:left="720" w:hanging="360"/>
      </w:pPr>
      <w:rPr>
        <w:rFonts w:ascii="Wingdings" w:hAnsi="Wingdings" w:hint="default"/>
        <w:b/>
        <w:color w:val="448A99"/>
        <w:sz w:val="24"/>
      </w:rPr>
    </w:lvl>
    <w:lvl w:ilvl="1" w:tplc="B1E631CE">
      <w:start w:val="1"/>
      <w:numFmt w:val="bullet"/>
      <w:lvlText w:val="-"/>
      <w:lvlJc w:val="left"/>
      <w:pPr>
        <w:ind w:left="1440" w:hanging="360"/>
      </w:pPr>
      <w:rPr>
        <w:rFonts w:ascii="Courier New" w:hAnsi="Courier New" w:hint="default"/>
        <w:b/>
        <w:color w:val="404040" w:themeColor="text1" w:themeTint="BF"/>
        <w:sz w:val="10"/>
        <w:szCs w:val="1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B92585"/>
    <w:multiLevelType w:val="hybridMultilevel"/>
    <w:tmpl w:val="7E88C770"/>
    <w:lvl w:ilvl="0" w:tplc="A154B2F2">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E414E1"/>
    <w:multiLevelType w:val="hybridMultilevel"/>
    <w:tmpl w:val="5142D03C"/>
    <w:lvl w:ilvl="0" w:tplc="FC62C8FC">
      <w:start w:val="1"/>
      <w:numFmt w:val="bullet"/>
      <w:lvlText w:val=""/>
      <w:lvlJc w:val="left"/>
      <w:pPr>
        <w:ind w:left="720" w:hanging="360"/>
      </w:pPr>
      <w:rPr>
        <w:rFonts w:ascii="Wingdings" w:hAnsi="Wingdings" w:hint="default"/>
        <w:color w:val="448A99"/>
        <w:sz w:val="24"/>
      </w:rPr>
    </w:lvl>
    <w:lvl w:ilvl="1" w:tplc="11B6B420">
      <w:start w:val="1"/>
      <w:numFmt w:val="bullet"/>
      <w:lvlText w:val="-"/>
      <w:lvlJc w:val="left"/>
      <w:pPr>
        <w:ind w:left="1440" w:hanging="360"/>
      </w:pPr>
      <w:rPr>
        <w:rFonts w:ascii="Courier New" w:hAnsi="Courier New" w:hint="default"/>
        <w:sz w:val="10"/>
        <w:szCs w:val="1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51679D"/>
    <w:multiLevelType w:val="hybridMultilevel"/>
    <w:tmpl w:val="5B0C7230"/>
    <w:lvl w:ilvl="0" w:tplc="24262884">
      <w:start w:val="1"/>
      <w:numFmt w:val="bullet"/>
      <w:pStyle w:val="Bulletlevel1"/>
      <w:lvlText w:val=""/>
      <w:lvlJc w:val="left"/>
      <w:pPr>
        <w:ind w:left="720" w:hanging="360"/>
      </w:pPr>
      <w:rPr>
        <w:rFonts w:ascii="Wingdings" w:hAnsi="Wingdings" w:hint="default"/>
        <w:color w:val="448A99"/>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2B5A11"/>
    <w:multiLevelType w:val="hybridMultilevel"/>
    <w:tmpl w:val="622CAE1A"/>
    <w:lvl w:ilvl="0" w:tplc="90963646">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D724E0"/>
    <w:multiLevelType w:val="hybridMultilevel"/>
    <w:tmpl w:val="59D48752"/>
    <w:lvl w:ilvl="0" w:tplc="EBC6A4CC">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5B5BDB"/>
    <w:multiLevelType w:val="hybridMultilevel"/>
    <w:tmpl w:val="A3A80698"/>
    <w:lvl w:ilvl="0" w:tplc="69EC15C8">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B15D80"/>
    <w:multiLevelType w:val="hybridMultilevel"/>
    <w:tmpl w:val="9E56CACE"/>
    <w:lvl w:ilvl="0" w:tplc="C9963B10">
      <w:start w:val="1"/>
      <w:numFmt w:val="bullet"/>
      <w:lvlText w:val=""/>
      <w:lvlJc w:val="left"/>
      <w:pPr>
        <w:ind w:left="720" w:hanging="360"/>
      </w:pPr>
      <w:rPr>
        <w:rFonts w:ascii="Wingdings" w:hAnsi="Wingdings" w:hint="default"/>
        <w:b w:val="0"/>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2060DC"/>
    <w:multiLevelType w:val="hybridMultilevel"/>
    <w:tmpl w:val="97563DFE"/>
    <w:lvl w:ilvl="0" w:tplc="BB9CF43E">
      <w:start w:val="1"/>
      <w:numFmt w:val="decimal"/>
      <w:lvlText w:val="%1)"/>
      <w:lvlJc w:val="left"/>
      <w:pPr>
        <w:ind w:left="360" w:hanging="360"/>
      </w:pPr>
      <w:rPr>
        <w:rFonts w:ascii="Century Gothic" w:hAnsi="Century Gothic" w:hint="default"/>
        <w:b w:val="0"/>
        <w:i w:val="0"/>
        <w:color w:val="404040" w:themeColor="text1" w:themeTint="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0577CEB"/>
    <w:multiLevelType w:val="hybridMultilevel"/>
    <w:tmpl w:val="17A0A096"/>
    <w:lvl w:ilvl="0" w:tplc="1FB01948">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89004D"/>
    <w:multiLevelType w:val="hybridMultilevel"/>
    <w:tmpl w:val="2F30BDDE"/>
    <w:lvl w:ilvl="0" w:tplc="66C05E76">
      <w:start w:val="1"/>
      <w:numFmt w:val="decimal"/>
      <w:lvlText w:val="%1)"/>
      <w:lvlJc w:val="left"/>
      <w:pPr>
        <w:ind w:left="720" w:hanging="360"/>
      </w:pPr>
      <w:rPr>
        <w:rFonts w:ascii="Century Gothic" w:hAnsi="Century Gothic"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9A675D"/>
    <w:multiLevelType w:val="hybridMultilevel"/>
    <w:tmpl w:val="B84E1B9C"/>
    <w:lvl w:ilvl="0" w:tplc="72966F52">
      <w:start w:val="1"/>
      <w:numFmt w:val="bullet"/>
      <w:lvlText w:val=""/>
      <w:lvlJc w:val="left"/>
      <w:pPr>
        <w:ind w:left="720" w:hanging="360"/>
      </w:pPr>
      <w:rPr>
        <w:rFonts w:ascii="Wingdings" w:hAnsi="Wingdings" w:hint="default"/>
        <w:b w:val="0"/>
        <w:color w:val="76A3A8"/>
        <w:sz w:val="14"/>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5B7008"/>
    <w:multiLevelType w:val="hybridMultilevel"/>
    <w:tmpl w:val="B7885DC8"/>
    <w:lvl w:ilvl="0" w:tplc="54A48BB4">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AF7A86"/>
    <w:multiLevelType w:val="hybridMultilevel"/>
    <w:tmpl w:val="9904C92C"/>
    <w:lvl w:ilvl="0" w:tplc="335A54EC">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E641E2"/>
    <w:multiLevelType w:val="hybridMultilevel"/>
    <w:tmpl w:val="C38088C2"/>
    <w:lvl w:ilvl="0" w:tplc="00CE3B8E">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ED452D"/>
    <w:multiLevelType w:val="hybridMultilevel"/>
    <w:tmpl w:val="B2D42402"/>
    <w:lvl w:ilvl="0" w:tplc="B566B7C4">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F2084E"/>
    <w:multiLevelType w:val="hybridMultilevel"/>
    <w:tmpl w:val="FFA4C48C"/>
    <w:lvl w:ilvl="0" w:tplc="A7029F9E">
      <w:start w:val="1"/>
      <w:numFmt w:val="decimal"/>
      <w:lvlText w:val="%1)"/>
      <w:lvlJc w:val="left"/>
      <w:pPr>
        <w:ind w:left="360" w:hanging="360"/>
      </w:pPr>
      <w:rPr>
        <w:rFonts w:ascii="Century Gothic" w:hAnsi="Century Gothic" w:hint="default"/>
        <w:b w:val="0"/>
        <w:color w:val="404040" w:themeColor="text1" w:themeTint="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5B15881"/>
    <w:multiLevelType w:val="hybridMultilevel"/>
    <w:tmpl w:val="E034E87A"/>
    <w:lvl w:ilvl="0" w:tplc="1796416E">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E34F9B"/>
    <w:multiLevelType w:val="hybridMultilevel"/>
    <w:tmpl w:val="816A29FE"/>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F46DC5"/>
    <w:multiLevelType w:val="hybridMultilevel"/>
    <w:tmpl w:val="D2721184"/>
    <w:lvl w:ilvl="0" w:tplc="55448E0A">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7E16E6"/>
    <w:multiLevelType w:val="multilevel"/>
    <w:tmpl w:val="3AAEA7FC"/>
    <w:lvl w:ilvl="0">
      <w:start w:val="1"/>
      <w:numFmt w:val="decimal"/>
      <w:pStyle w:val="HEADER001"/>
      <w:suff w:val="space"/>
      <w:lvlText w:val="%1"/>
      <w:lvlJc w:val="left"/>
      <w:pPr>
        <w:ind w:left="0" w:firstLine="0"/>
      </w:pPr>
      <w:rPr>
        <w:rFonts w:ascii="Broadway" w:hAnsi="Broadway" w:hint="default"/>
        <w:sz w:val="52"/>
      </w:rPr>
    </w:lvl>
    <w:lvl w:ilvl="1">
      <w:start w:val="1"/>
      <w:numFmt w:val="decimal"/>
      <w:pStyle w:val="HEADER002"/>
      <w:suff w:val="space"/>
      <w:lvlText w:val="%1.%2"/>
      <w:lvlJc w:val="left"/>
      <w:pPr>
        <w:ind w:left="0" w:firstLine="0"/>
      </w:pPr>
      <w:rPr>
        <w:rFonts w:hint="default"/>
        <w:b w:val="0"/>
        <w:color w:val="448A99"/>
      </w:rPr>
    </w:lvl>
    <w:lvl w:ilvl="2">
      <w:start w:val="1"/>
      <w:numFmt w:val="decimal"/>
      <w:suff w:val="space"/>
      <w:lvlText w:val="%1.%2.%3"/>
      <w:lvlJc w:val="left"/>
      <w:pPr>
        <w:ind w:left="450" w:firstLine="0"/>
      </w:pPr>
      <w:rPr>
        <w:rFonts w:hint="default"/>
      </w:rPr>
    </w:lvl>
    <w:lvl w:ilvl="3">
      <w:start w:val="1"/>
      <w:numFmt w:val="decimal"/>
      <w:pStyle w:val="HEADER004"/>
      <w:suff w:val="space"/>
      <w:lvlText w:val="%1.%2.%3.%4"/>
      <w:lvlJc w:val="left"/>
      <w:pPr>
        <w:ind w:left="0" w:firstLine="0"/>
      </w:pPr>
      <w:rPr>
        <w:rFonts w:hint="default"/>
      </w:rPr>
    </w:lvl>
    <w:lvl w:ilvl="4">
      <w:start w:val="1"/>
      <w:numFmt w:val="decimal"/>
      <w:pStyle w:val="HEADER00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17EB4088"/>
    <w:multiLevelType w:val="hybridMultilevel"/>
    <w:tmpl w:val="AEE61B5C"/>
    <w:lvl w:ilvl="0" w:tplc="07C44E9A">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C91B01"/>
    <w:multiLevelType w:val="hybridMultilevel"/>
    <w:tmpl w:val="3752AE68"/>
    <w:lvl w:ilvl="0" w:tplc="5CBC233E">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7C27BA"/>
    <w:multiLevelType w:val="hybridMultilevel"/>
    <w:tmpl w:val="94143F3A"/>
    <w:lvl w:ilvl="0" w:tplc="08CE4806">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9F4443"/>
    <w:multiLevelType w:val="hybridMultilevel"/>
    <w:tmpl w:val="7828052A"/>
    <w:lvl w:ilvl="0" w:tplc="70305BCA">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B73E2D"/>
    <w:multiLevelType w:val="hybridMultilevel"/>
    <w:tmpl w:val="F4D63D28"/>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DF86928"/>
    <w:multiLevelType w:val="hybridMultilevel"/>
    <w:tmpl w:val="686A3672"/>
    <w:lvl w:ilvl="0" w:tplc="0B0895E8">
      <w:start w:val="1"/>
      <w:numFmt w:val="decimal"/>
      <w:lvlText w:val="%1)"/>
      <w:lvlJc w:val="left"/>
      <w:pPr>
        <w:ind w:left="720" w:hanging="360"/>
      </w:pPr>
      <w:rPr>
        <w:rFonts w:ascii="Century Gothic" w:hAnsi="Century Gothic"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E1C4B12"/>
    <w:multiLevelType w:val="multilevel"/>
    <w:tmpl w:val="10FC11D0"/>
    <w:lvl w:ilvl="0">
      <w:start w:val="1"/>
      <w:numFmt w:val="decimal"/>
      <w:pStyle w:val="AppendixGHeading1"/>
      <w:suff w:val="space"/>
      <w:lvlText w:val="G.%1"/>
      <w:lvlJc w:val="left"/>
      <w:pPr>
        <w:ind w:left="0" w:firstLine="0"/>
      </w:pPr>
      <w:rPr>
        <w:rFonts w:hint="default"/>
        <w:b w:val="0"/>
        <w:color w:val="448A99"/>
      </w:rPr>
    </w:lvl>
    <w:lvl w:ilvl="1">
      <w:start w:val="1"/>
      <w:numFmt w:val="decimal"/>
      <w:pStyle w:val="AppendixGHeading2"/>
      <w:suff w:val="space"/>
      <w:lvlText w:val="G.%1.%2"/>
      <w:lvlJc w:val="left"/>
      <w:pPr>
        <w:ind w:left="0" w:firstLine="0"/>
      </w:pPr>
      <w:rPr>
        <w:rFonts w:hint="default"/>
      </w:rPr>
    </w:lvl>
    <w:lvl w:ilvl="2">
      <w:start w:val="1"/>
      <w:numFmt w:val="decimal"/>
      <w:pStyle w:val="AppendixGHeading3"/>
      <w:suff w:val="space"/>
      <w:lvlText w:val="G.%1.%2.%3"/>
      <w:lvlJc w:val="left"/>
      <w:pPr>
        <w:ind w:left="0" w:firstLine="0"/>
      </w:pPr>
      <w:rPr>
        <w:rFonts w:hint="default"/>
      </w:rPr>
    </w:lvl>
    <w:lvl w:ilvl="3">
      <w:start w:val="1"/>
      <w:numFmt w:val="decimal"/>
      <w:pStyle w:val="AppendixGHeading4"/>
      <w:suff w:val="space"/>
      <w:lvlText w:val="G.%1.%2.%3.%4"/>
      <w:lvlJc w:val="left"/>
      <w:pPr>
        <w:ind w:left="0" w:firstLine="0"/>
      </w:pPr>
      <w:rPr>
        <w:rFonts w:hint="default"/>
      </w:rPr>
    </w:lvl>
    <w:lvl w:ilvl="4">
      <w:start w:val="1"/>
      <w:numFmt w:val="decimal"/>
      <w:pStyle w:val="AppendixGHeading5"/>
      <w:suff w:val="space"/>
      <w:lvlText w:val="G.%1.%2.%3.%4.%5"/>
      <w:lvlJc w:val="left"/>
      <w:pPr>
        <w:ind w:left="0" w:firstLine="0"/>
      </w:pPr>
      <w:rPr>
        <w:rFonts w:hint="default"/>
      </w:rPr>
    </w:lvl>
    <w:lvl w:ilvl="5">
      <w:start w:val="1"/>
      <w:numFmt w:val="decimal"/>
      <w:pStyle w:val="AppendixGHeading6"/>
      <w:suff w:val="space"/>
      <w:lvlText w:val="G.%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EDE64E1"/>
    <w:multiLevelType w:val="multilevel"/>
    <w:tmpl w:val="3AEE45EE"/>
    <w:lvl w:ilvl="0">
      <w:start w:val="1"/>
      <w:numFmt w:val="decimal"/>
      <w:pStyle w:val="AppendixCHeading1"/>
      <w:suff w:val="space"/>
      <w:lvlText w:val="C.%1"/>
      <w:lvlJc w:val="left"/>
      <w:pPr>
        <w:ind w:left="0" w:firstLine="0"/>
      </w:pPr>
      <w:rPr>
        <w:rFonts w:hint="default"/>
        <w:b w:val="0"/>
        <w:color w:val="448A99"/>
      </w:rPr>
    </w:lvl>
    <w:lvl w:ilvl="1">
      <w:start w:val="1"/>
      <w:numFmt w:val="decimal"/>
      <w:pStyle w:val="AppendixCHeading2"/>
      <w:suff w:val="space"/>
      <w:lvlText w:val="C.%1.%2"/>
      <w:lvlJc w:val="left"/>
      <w:pPr>
        <w:ind w:left="0" w:firstLine="0"/>
      </w:pPr>
      <w:rPr>
        <w:rFonts w:hint="default"/>
      </w:rPr>
    </w:lvl>
    <w:lvl w:ilvl="2">
      <w:start w:val="1"/>
      <w:numFmt w:val="decimal"/>
      <w:pStyle w:val="AppendixCHeading3"/>
      <w:suff w:val="space"/>
      <w:lvlText w:val="C.%1.%2.%3"/>
      <w:lvlJc w:val="left"/>
      <w:pPr>
        <w:ind w:left="0" w:firstLine="0"/>
      </w:pPr>
      <w:rPr>
        <w:rFonts w:hint="default"/>
        <w:b/>
        <w:i/>
      </w:rPr>
    </w:lvl>
    <w:lvl w:ilvl="3">
      <w:start w:val="1"/>
      <w:numFmt w:val="decimal"/>
      <w:pStyle w:val="AppendixCHeading4"/>
      <w:suff w:val="space"/>
      <w:lvlText w:val="C.%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0342B0B"/>
    <w:multiLevelType w:val="hybridMultilevel"/>
    <w:tmpl w:val="F41A3D18"/>
    <w:lvl w:ilvl="0" w:tplc="498A91E6">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05023E"/>
    <w:multiLevelType w:val="hybridMultilevel"/>
    <w:tmpl w:val="E1D41922"/>
    <w:lvl w:ilvl="0" w:tplc="80129D2C">
      <w:start w:val="1"/>
      <w:numFmt w:val="decimal"/>
      <w:lvlText w:val="%1)"/>
      <w:lvlJc w:val="left"/>
      <w:pPr>
        <w:ind w:left="5760" w:hanging="360"/>
      </w:pPr>
      <w:rPr>
        <w:rFonts w:ascii="Century Gothic" w:hAnsi="Century Gothic" w:hint="default"/>
        <w:b w:val="0"/>
        <w:color w:val="404040" w:themeColor="text1" w:themeTint="BF"/>
        <w:sz w:val="22"/>
      </w:rPr>
    </w:lvl>
    <w:lvl w:ilvl="1" w:tplc="220A4832">
      <w:start w:val="1"/>
      <w:numFmt w:val="lowerLetter"/>
      <w:lvlText w:val="%2."/>
      <w:lvlJc w:val="left"/>
      <w:pPr>
        <w:ind w:left="1440" w:hanging="360"/>
      </w:pPr>
      <w:rPr>
        <w:rFonts w:ascii="Century Gothic" w:hAnsi="Century Gothic" w:hint="default"/>
        <w:b w:val="0"/>
        <w:color w:val="404040" w:themeColor="text1" w:themeTint="BF"/>
        <w:sz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917E91"/>
    <w:multiLevelType w:val="hybridMultilevel"/>
    <w:tmpl w:val="855A6D4A"/>
    <w:lvl w:ilvl="0" w:tplc="39584ADA">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154831"/>
    <w:multiLevelType w:val="hybridMultilevel"/>
    <w:tmpl w:val="47B66A38"/>
    <w:lvl w:ilvl="0" w:tplc="40C2A26C">
      <w:start w:val="1"/>
      <w:numFmt w:val="bullet"/>
      <w:lvlText w:val=""/>
      <w:lvlJc w:val="left"/>
      <w:pPr>
        <w:ind w:left="720" w:hanging="360"/>
      </w:pPr>
      <w:rPr>
        <w:rFonts w:ascii="Wingdings" w:hAnsi="Wingdings" w:hint="default"/>
        <w:b w:val="0"/>
        <w:color w:val="76A3A8"/>
        <w:sz w:val="12"/>
        <w:szCs w:val="12"/>
        <w:u w:color="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2252997"/>
    <w:multiLevelType w:val="multilevel"/>
    <w:tmpl w:val="FBCC7496"/>
    <w:lvl w:ilvl="0">
      <w:start w:val="1"/>
      <w:numFmt w:val="decimal"/>
      <w:lvlText w:val="%1."/>
      <w:lvlJc w:val="left"/>
      <w:pPr>
        <w:ind w:left="725" w:hanging="360"/>
      </w:pPr>
      <w:rPr>
        <w:rFonts w:hint="default"/>
        <w:b/>
      </w:rPr>
    </w:lvl>
    <w:lvl w:ilvl="1">
      <w:start w:val="1"/>
      <w:numFmt w:val="lowerLetter"/>
      <w:lvlRestart w:val="0"/>
      <w:lvlText w:val="%2."/>
      <w:lvlJc w:val="left"/>
      <w:pPr>
        <w:ind w:left="1445" w:hanging="360"/>
      </w:pPr>
      <w:rPr>
        <w:rFonts w:hint="default"/>
      </w:rPr>
    </w:lvl>
    <w:lvl w:ilvl="2">
      <w:start w:val="1"/>
      <w:numFmt w:val="lowerRoman"/>
      <w:lvlText w:val="%3."/>
      <w:lvlJc w:val="right"/>
      <w:pPr>
        <w:ind w:left="2165" w:hanging="180"/>
      </w:pPr>
      <w:rPr>
        <w:rFonts w:hint="default"/>
      </w:rPr>
    </w:lvl>
    <w:lvl w:ilvl="3">
      <w:start w:val="1"/>
      <w:numFmt w:val="decimal"/>
      <w:lvlText w:val="%4."/>
      <w:lvlJc w:val="left"/>
      <w:pPr>
        <w:ind w:left="2885" w:hanging="360"/>
      </w:pPr>
      <w:rPr>
        <w:rFonts w:hint="default"/>
      </w:rPr>
    </w:lvl>
    <w:lvl w:ilvl="4">
      <w:start w:val="1"/>
      <w:numFmt w:val="lowerLetter"/>
      <w:lvlText w:val="%5."/>
      <w:lvlJc w:val="left"/>
      <w:pPr>
        <w:ind w:left="3605" w:hanging="360"/>
      </w:pPr>
      <w:rPr>
        <w:rFonts w:hint="default"/>
        <w:b w:val="0"/>
      </w:rPr>
    </w:lvl>
    <w:lvl w:ilvl="5">
      <w:start w:val="1"/>
      <w:numFmt w:val="lowerRoman"/>
      <w:lvlText w:val="%6."/>
      <w:lvlJc w:val="right"/>
      <w:pPr>
        <w:ind w:left="4325" w:hanging="180"/>
      </w:pPr>
      <w:rPr>
        <w:rFonts w:hint="default"/>
      </w:rPr>
    </w:lvl>
    <w:lvl w:ilvl="6">
      <w:start w:val="1"/>
      <w:numFmt w:val="decimal"/>
      <w:lvlText w:val="%7."/>
      <w:lvlJc w:val="left"/>
      <w:pPr>
        <w:ind w:left="5045" w:hanging="360"/>
      </w:pPr>
      <w:rPr>
        <w:rFonts w:hint="default"/>
      </w:rPr>
    </w:lvl>
    <w:lvl w:ilvl="7">
      <w:start w:val="1"/>
      <w:numFmt w:val="lowerLetter"/>
      <w:lvlText w:val="%8."/>
      <w:lvlJc w:val="left"/>
      <w:pPr>
        <w:ind w:left="5765" w:hanging="360"/>
      </w:pPr>
      <w:rPr>
        <w:rFonts w:hint="default"/>
      </w:rPr>
    </w:lvl>
    <w:lvl w:ilvl="8">
      <w:start w:val="1"/>
      <w:numFmt w:val="lowerRoman"/>
      <w:lvlText w:val="%9."/>
      <w:lvlJc w:val="right"/>
      <w:pPr>
        <w:ind w:left="6485" w:hanging="180"/>
      </w:pPr>
      <w:rPr>
        <w:rFonts w:hint="default"/>
      </w:rPr>
    </w:lvl>
  </w:abstractNum>
  <w:abstractNum w:abstractNumId="50" w15:restartNumberingAfterBreak="0">
    <w:nsid w:val="229F56D7"/>
    <w:multiLevelType w:val="hybridMultilevel"/>
    <w:tmpl w:val="1390FC7E"/>
    <w:lvl w:ilvl="0" w:tplc="1AA2023C">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EF75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31D3830"/>
    <w:multiLevelType w:val="hybridMultilevel"/>
    <w:tmpl w:val="B8D45062"/>
    <w:lvl w:ilvl="0" w:tplc="0DFE18E2">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9F2ABB"/>
    <w:multiLevelType w:val="hybridMultilevel"/>
    <w:tmpl w:val="385EC4D6"/>
    <w:lvl w:ilvl="0" w:tplc="031204F6">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97599A"/>
    <w:multiLevelType w:val="hybridMultilevel"/>
    <w:tmpl w:val="24F0859A"/>
    <w:lvl w:ilvl="0" w:tplc="0584FE34">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CD4D0A"/>
    <w:multiLevelType w:val="hybridMultilevel"/>
    <w:tmpl w:val="28E067B2"/>
    <w:lvl w:ilvl="0" w:tplc="0409000F">
      <w:start w:val="1"/>
      <w:numFmt w:val="decimal"/>
      <w:lvlText w:val="%1."/>
      <w:lvlJc w:val="left"/>
      <w:pPr>
        <w:ind w:left="720" w:hanging="360"/>
      </w:pPr>
    </w:lvl>
    <w:lvl w:ilvl="1" w:tplc="740439E4">
      <w:start w:val="1"/>
      <w:numFmt w:val="lowerLetter"/>
      <w:lvlText w:val="%2."/>
      <w:lvlJc w:val="left"/>
      <w:pPr>
        <w:ind w:left="1440" w:hanging="360"/>
      </w:pPr>
      <w:rPr>
        <w:rFonts w:ascii="Century Gothic" w:hAnsi="Century Gothic" w:hint="default"/>
        <w:b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C14810"/>
    <w:multiLevelType w:val="hybridMultilevel"/>
    <w:tmpl w:val="B250348C"/>
    <w:lvl w:ilvl="0" w:tplc="67746318">
      <w:start w:val="1"/>
      <w:numFmt w:val="decimal"/>
      <w:lvlText w:val="%1)"/>
      <w:lvlJc w:val="left"/>
      <w:pPr>
        <w:ind w:left="720" w:hanging="360"/>
      </w:pPr>
      <w:rPr>
        <w:rFonts w:ascii="Century Gothic" w:hAnsi="Century Gothic"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81865F0"/>
    <w:multiLevelType w:val="hybridMultilevel"/>
    <w:tmpl w:val="E17CDDC2"/>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85A37A8"/>
    <w:multiLevelType w:val="hybridMultilevel"/>
    <w:tmpl w:val="AB30CB1A"/>
    <w:lvl w:ilvl="0" w:tplc="59462CFA">
      <w:start w:val="1"/>
      <w:numFmt w:val="bullet"/>
      <w:lvlText w:val=""/>
      <w:lvlJc w:val="left"/>
      <w:pPr>
        <w:ind w:left="720" w:hanging="360"/>
      </w:pPr>
      <w:rPr>
        <w:rFonts w:ascii="Wingdings" w:hAnsi="Wingdings" w:hint="default"/>
        <w:color w:val="448A99"/>
        <w:sz w:val="24"/>
      </w:rPr>
    </w:lvl>
    <w:lvl w:ilvl="1" w:tplc="83C4800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8807795"/>
    <w:multiLevelType w:val="hybridMultilevel"/>
    <w:tmpl w:val="0804F930"/>
    <w:lvl w:ilvl="0" w:tplc="567A0216">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F7A77"/>
    <w:multiLevelType w:val="hybridMultilevel"/>
    <w:tmpl w:val="73645868"/>
    <w:lvl w:ilvl="0" w:tplc="F6DAC8B4">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696D7B"/>
    <w:multiLevelType w:val="hybridMultilevel"/>
    <w:tmpl w:val="2FD8C7DA"/>
    <w:lvl w:ilvl="0" w:tplc="5CC0CBD2">
      <w:start w:val="1"/>
      <w:numFmt w:val="decimal"/>
      <w:lvlText w:val="%1)"/>
      <w:lvlJc w:val="left"/>
      <w:pPr>
        <w:ind w:left="5760" w:hanging="360"/>
      </w:pPr>
      <w:rPr>
        <w:rFonts w:ascii="Century Gothic" w:hAnsi="Century Gothic" w:hint="default"/>
        <w:b w:val="0"/>
        <w:color w:val="404040" w:themeColor="text1" w:themeTint="BF"/>
        <w:sz w:val="22"/>
      </w:rPr>
    </w:lvl>
    <w:lvl w:ilvl="1" w:tplc="8BA4A150">
      <w:start w:val="1"/>
      <w:numFmt w:val="lowerLetter"/>
      <w:lvlText w:val="%2."/>
      <w:lvlJc w:val="left"/>
      <w:pPr>
        <w:ind w:left="1440" w:hanging="360"/>
      </w:pPr>
      <w:rPr>
        <w:rFonts w:ascii="Century Gothic" w:hAnsi="Century Gothic" w:hint="default"/>
        <w:b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AC74EDA"/>
    <w:multiLevelType w:val="hybridMultilevel"/>
    <w:tmpl w:val="102A9E2A"/>
    <w:lvl w:ilvl="0" w:tplc="3B06A5CE">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197E9D"/>
    <w:multiLevelType w:val="hybridMultilevel"/>
    <w:tmpl w:val="715C6554"/>
    <w:lvl w:ilvl="0" w:tplc="C3BA6B02">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1E4078"/>
    <w:multiLevelType w:val="hybridMultilevel"/>
    <w:tmpl w:val="E2F8063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E6C342B"/>
    <w:multiLevelType w:val="hybridMultilevel"/>
    <w:tmpl w:val="E7707870"/>
    <w:lvl w:ilvl="0" w:tplc="C8F86AD6">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9245B1"/>
    <w:multiLevelType w:val="hybridMultilevel"/>
    <w:tmpl w:val="18086FAA"/>
    <w:lvl w:ilvl="0" w:tplc="23FE3AE8">
      <w:start w:val="1"/>
      <w:numFmt w:val="lowerLetter"/>
      <w:lvlText w:val="%1."/>
      <w:lvlJc w:val="left"/>
      <w:pPr>
        <w:ind w:left="720" w:hanging="360"/>
      </w:pPr>
      <w:rPr>
        <w:rFonts w:hint="default"/>
        <w:b w:val="0"/>
      </w:rPr>
    </w:lvl>
    <w:lvl w:ilvl="1" w:tplc="A96C02E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07A7556"/>
    <w:multiLevelType w:val="hybridMultilevel"/>
    <w:tmpl w:val="4642C6D0"/>
    <w:lvl w:ilvl="0" w:tplc="0AD26852">
      <w:start w:val="1"/>
      <w:numFmt w:val="bullet"/>
      <w:lvlText w:val=""/>
      <w:lvlJc w:val="left"/>
      <w:pPr>
        <w:ind w:left="360" w:hanging="360"/>
      </w:pPr>
      <w:rPr>
        <w:rFonts w:ascii="Symbol" w:hAnsi="Symbol" w:hint="default"/>
        <w:color w:val="auto"/>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321F14C3"/>
    <w:multiLevelType w:val="multilevel"/>
    <w:tmpl w:val="C2A245D4"/>
    <w:lvl w:ilvl="0">
      <w:start w:val="1"/>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22751A2"/>
    <w:multiLevelType w:val="hybridMultilevel"/>
    <w:tmpl w:val="8F5AF890"/>
    <w:lvl w:ilvl="0" w:tplc="B12ED498">
      <w:start w:val="1"/>
      <w:numFmt w:val="bullet"/>
      <w:pStyle w:val="Bullet1"/>
      <w:lvlText w:val=""/>
      <w:lvlJc w:val="left"/>
      <w:pPr>
        <w:tabs>
          <w:tab w:val="num" w:pos="720"/>
        </w:tabs>
        <w:ind w:left="720" w:hanging="360"/>
      </w:pPr>
      <w:rPr>
        <w:rFonts w:ascii="Symbol" w:hAnsi="Symbol" w:hint="default"/>
        <w:b/>
        <w:i w:val="0"/>
        <w:color w:val="1E8166"/>
        <w:spacing w:val="0"/>
        <w:w w:val="100"/>
        <w:kern w:val="16"/>
        <w:position w:val="0"/>
        <w:sz w:val="20"/>
        <w:szCs w:val="28"/>
      </w:rPr>
    </w:lvl>
    <w:lvl w:ilvl="1" w:tplc="886C2C0E">
      <w:start w:val="1"/>
      <w:numFmt w:val="bullet"/>
      <w:lvlText w:val="o"/>
      <w:lvlJc w:val="left"/>
      <w:pPr>
        <w:tabs>
          <w:tab w:val="num" w:pos="360"/>
        </w:tabs>
        <w:ind w:left="360" w:hanging="360"/>
      </w:pPr>
      <w:rPr>
        <w:rFonts w:ascii="Courier New" w:hAnsi="Courier New" w:cs="Courier New" w:hint="default"/>
      </w:rPr>
    </w:lvl>
    <w:lvl w:ilvl="2" w:tplc="5C128F62" w:tentative="1">
      <w:start w:val="1"/>
      <w:numFmt w:val="bullet"/>
      <w:lvlText w:val=""/>
      <w:lvlJc w:val="left"/>
      <w:pPr>
        <w:tabs>
          <w:tab w:val="num" w:pos="1080"/>
        </w:tabs>
        <w:ind w:left="1080" w:hanging="360"/>
      </w:pPr>
      <w:rPr>
        <w:rFonts w:ascii="Wingdings" w:hAnsi="Wingdings" w:hint="default"/>
      </w:rPr>
    </w:lvl>
    <w:lvl w:ilvl="3" w:tplc="4EE28C62" w:tentative="1">
      <w:start w:val="1"/>
      <w:numFmt w:val="bullet"/>
      <w:lvlText w:val=""/>
      <w:lvlJc w:val="left"/>
      <w:pPr>
        <w:tabs>
          <w:tab w:val="num" w:pos="1800"/>
        </w:tabs>
        <w:ind w:left="1800" w:hanging="360"/>
      </w:pPr>
      <w:rPr>
        <w:rFonts w:ascii="Symbol" w:hAnsi="Symbol" w:hint="default"/>
      </w:rPr>
    </w:lvl>
    <w:lvl w:ilvl="4" w:tplc="EECA5A82" w:tentative="1">
      <w:start w:val="1"/>
      <w:numFmt w:val="bullet"/>
      <w:lvlText w:val="o"/>
      <w:lvlJc w:val="left"/>
      <w:pPr>
        <w:tabs>
          <w:tab w:val="num" w:pos="2520"/>
        </w:tabs>
        <w:ind w:left="2520" w:hanging="360"/>
      </w:pPr>
      <w:rPr>
        <w:rFonts w:ascii="Courier New" w:hAnsi="Courier New" w:cs="Courier New" w:hint="default"/>
      </w:rPr>
    </w:lvl>
    <w:lvl w:ilvl="5" w:tplc="BC08F358" w:tentative="1">
      <w:start w:val="1"/>
      <w:numFmt w:val="bullet"/>
      <w:lvlText w:val=""/>
      <w:lvlJc w:val="left"/>
      <w:pPr>
        <w:tabs>
          <w:tab w:val="num" w:pos="3240"/>
        </w:tabs>
        <w:ind w:left="3240" w:hanging="360"/>
      </w:pPr>
      <w:rPr>
        <w:rFonts w:ascii="Wingdings" w:hAnsi="Wingdings" w:hint="default"/>
      </w:rPr>
    </w:lvl>
    <w:lvl w:ilvl="6" w:tplc="20E40DA6" w:tentative="1">
      <w:start w:val="1"/>
      <w:numFmt w:val="bullet"/>
      <w:lvlText w:val=""/>
      <w:lvlJc w:val="left"/>
      <w:pPr>
        <w:tabs>
          <w:tab w:val="num" w:pos="3960"/>
        </w:tabs>
        <w:ind w:left="3960" w:hanging="360"/>
      </w:pPr>
      <w:rPr>
        <w:rFonts w:ascii="Symbol" w:hAnsi="Symbol" w:hint="default"/>
      </w:rPr>
    </w:lvl>
    <w:lvl w:ilvl="7" w:tplc="F1A61082" w:tentative="1">
      <w:start w:val="1"/>
      <w:numFmt w:val="bullet"/>
      <w:lvlText w:val="o"/>
      <w:lvlJc w:val="left"/>
      <w:pPr>
        <w:tabs>
          <w:tab w:val="num" w:pos="4680"/>
        </w:tabs>
        <w:ind w:left="4680" w:hanging="360"/>
      </w:pPr>
      <w:rPr>
        <w:rFonts w:ascii="Courier New" w:hAnsi="Courier New" w:cs="Courier New" w:hint="default"/>
      </w:rPr>
    </w:lvl>
    <w:lvl w:ilvl="8" w:tplc="94340B1A" w:tentative="1">
      <w:start w:val="1"/>
      <w:numFmt w:val="bullet"/>
      <w:lvlText w:val=""/>
      <w:lvlJc w:val="left"/>
      <w:pPr>
        <w:tabs>
          <w:tab w:val="num" w:pos="5400"/>
        </w:tabs>
        <w:ind w:left="5400" w:hanging="360"/>
      </w:pPr>
      <w:rPr>
        <w:rFonts w:ascii="Wingdings" w:hAnsi="Wingdings" w:hint="default"/>
      </w:rPr>
    </w:lvl>
  </w:abstractNum>
  <w:abstractNum w:abstractNumId="70" w15:restartNumberingAfterBreak="0">
    <w:nsid w:val="333A71EE"/>
    <w:multiLevelType w:val="hybridMultilevel"/>
    <w:tmpl w:val="770A4D4A"/>
    <w:lvl w:ilvl="0" w:tplc="8AE27ECE">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F847B1"/>
    <w:multiLevelType w:val="hybridMultilevel"/>
    <w:tmpl w:val="5076460E"/>
    <w:lvl w:ilvl="0" w:tplc="03F05FFE">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180767"/>
    <w:multiLevelType w:val="hybridMultilevel"/>
    <w:tmpl w:val="FBB28EDA"/>
    <w:lvl w:ilvl="0" w:tplc="BB3683A0">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0F1546"/>
    <w:multiLevelType w:val="hybridMultilevel"/>
    <w:tmpl w:val="AE3A7B00"/>
    <w:styleLink w:val="Appendix2"/>
    <w:lvl w:ilvl="0" w:tplc="0AD26852">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65059FB"/>
    <w:multiLevelType w:val="hybridMultilevel"/>
    <w:tmpl w:val="0EB45458"/>
    <w:lvl w:ilvl="0" w:tplc="240AD870">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F17E9A"/>
    <w:multiLevelType w:val="multilevel"/>
    <w:tmpl w:val="651419E8"/>
    <w:lvl w:ilvl="0">
      <w:start w:val="1"/>
      <w:numFmt w:val="decimal"/>
      <w:pStyle w:val="AppendixBHeading1"/>
      <w:suff w:val="space"/>
      <w:lvlText w:val="B.%1"/>
      <w:lvlJc w:val="left"/>
      <w:pPr>
        <w:ind w:left="0" w:firstLine="0"/>
      </w:pPr>
      <w:rPr>
        <w:rFonts w:hint="default"/>
        <w:b w:val="0"/>
        <w:color w:val="448A99"/>
      </w:rPr>
    </w:lvl>
    <w:lvl w:ilvl="1">
      <w:start w:val="1"/>
      <w:numFmt w:val="decimal"/>
      <w:pStyle w:val="AppendixBHeading2"/>
      <w:suff w:val="space"/>
      <w:lvlText w:val="B.%1.%2"/>
      <w:lvlJc w:val="left"/>
      <w:pPr>
        <w:ind w:left="0" w:firstLine="0"/>
      </w:pPr>
      <w:rPr>
        <w:rFonts w:hint="default"/>
      </w:rPr>
    </w:lvl>
    <w:lvl w:ilvl="2">
      <w:start w:val="1"/>
      <w:numFmt w:val="decimal"/>
      <w:pStyle w:val="AppendixBHeading3"/>
      <w:suff w:val="space"/>
      <w:lvlText w:val="B.%1.%2.%3"/>
      <w:lvlJc w:val="left"/>
      <w:pPr>
        <w:ind w:left="0" w:firstLine="0"/>
      </w:pPr>
      <w:rPr>
        <w:rFonts w:hint="default"/>
      </w:rPr>
    </w:lvl>
    <w:lvl w:ilvl="3">
      <w:start w:val="1"/>
      <w:numFmt w:val="decimal"/>
      <w:pStyle w:val="AppendixBHeading4"/>
      <w:suff w:val="space"/>
      <w:lvlText w:val="B.%1.%2.%3.%4"/>
      <w:lvlJc w:val="left"/>
      <w:pPr>
        <w:ind w:left="0" w:firstLine="0"/>
      </w:pPr>
      <w:rPr>
        <w:rFonts w:hint="default"/>
      </w:rPr>
    </w:lvl>
    <w:lvl w:ilvl="4">
      <w:start w:val="1"/>
      <w:numFmt w:val="decimal"/>
      <w:pStyle w:val="AppendixBHeading5"/>
      <w:suff w:val="space"/>
      <w:lvlText w:val="B.%1.%2.%3.%4.%5"/>
      <w:lvlJc w:val="left"/>
      <w:pPr>
        <w:ind w:left="0" w:firstLine="0"/>
      </w:pPr>
      <w:rPr>
        <w:rFonts w:hint="default"/>
      </w:rPr>
    </w:lvl>
    <w:lvl w:ilvl="5">
      <w:start w:val="1"/>
      <w:numFmt w:val="decimal"/>
      <w:pStyle w:val="AppendixBHeading6"/>
      <w:suff w:val="space"/>
      <w:lvlText w:val="B.%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98679C3"/>
    <w:multiLevelType w:val="hybridMultilevel"/>
    <w:tmpl w:val="9E50DC56"/>
    <w:lvl w:ilvl="0" w:tplc="4B72C820">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FB23E7"/>
    <w:multiLevelType w:val="hybridMultilevel"/>
    <w:tmpl w:val="856E3F42"/>
    <w:lvl w:ilvl="0" w:tplc="2EAE3540">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254B6E"/>
    <w:multiLevelType w:val="hybridMultilevel"/>
    <w:tmpl w:val="0F98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223C6F"/>
    <w:multiLevelType w:val="hybridMultilevel"/>
    <w:tmpl w:val="EB3E3884"/>
    <w:lvl w:ilvl="0" w:tplc="6E8C654E">
      <w:start w:val="1"/>
      <w:numFmt w:val="bullet"/>
      <w:lvlText w:val=""/>
      <w:lvlJc w:val="left"/>
      <w:pPr>
        <w:ind w:left="720" w:hanging="360"/>
      </w:pPr>
      <w:rPr>
        <w:rFonts w:ascii="Wingdings" w:hAnsi="Wingdings" w:hint="default"/>
        <w:b w:val="0"/>
        <w:color w:val="448A99"/>
        <w:sz w:val="12"/>
        <w:szCs w:val="12"/>
        <w:u w:color="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7A74D7"/>
    <w:multiLevelType w:val="hybridMultilevel"/>
    <w:tmpl w:val="00B2F592"/>
    <w:lvl w:ilvl="0" w:tplc="9C7CD084">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F97D65"/>
    <w:multiLevelType w:val="hybridMultilevel"/>
    <w:tmpl w:val="C61CD5A0"/>
    <w:lvl w:ilvl="0" w:tplc="0AD26852">
      <w:start w:val="1"/>
      <w:numFmt w:val="bullet"/>
      <w:lvlText w:val=""/>
      <w:lvlJc w:val="left"/>
      <w:pPr>
        <w:ind w:left="720" w:hanging="360"/>
      </w:pPr>
      <w:rPr>
        <w:rFonts w:ascii="Symbol" w:hAnsi="Symbol" w:hint="default"/>
        <w:color w:val="auto"/>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3D0C2759"/>
    <w:multiLevelType w:val="hybridMultilevel"/>
    <w:tmpl w:val="2C146626"/>
    <w:lvl w:ilvl="0" w:tplc="5944F96C">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D7736EA"/>
    <w:multiLevelType w:val="hybridMultilevel"/>
    <w:tmpl w:val="E194AD4C"/>
    <w:lvl w:ilvl="0" w:tplc="04090019">
      <w:start w:val="1"/>
      <w:numFmt w:val="lowerLetter"/>
      <w:lvlText w:val="%1."/>
      <w:lvlJc w:val="left"/>
      <w:pPr>
        <w:ind w:left="720" w:hanging="360"/>
      </w:pPr>
      <w:rPr>
        <w:rFonts w:hint="default"/>
        <w:b w:val="0"/>
      </w:rPr>
    </w:lvl>
    <w:lvl w:ilvl="1" w:tplc="E62A5C16">
      <w:start w:val="1"/>
      <w:numFmt w:val="lowerLetter"/>
      <w:lvlText w:val="%2."/>
      <w:lvlJc w:val="left"/>
      <w:pPr>
        <w:ind w:left="1440" w:hanging="360"/>
      </w:pPr>
      <w:rPr>
        <w:b w:val="0"/>
      </w:r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DF94C3A"/>
    <w:multiLevelType w:val="hybridMultilevel"/>
    <w:tmpl w:val="1096880A"/>
    <w:lvl w:ilvl="0" w:tplc="771281F8">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F08623A"/>
    <w:multiLevelType w:val="hybridMultilevel"/>
    <w:tmpl w:val="1FFEACE8"/>
    <w:lvl w:ilvl="0" w:tplc="BACE1030">
      <w:start w:val="1"/>
      <w:numFmt w:val="decimal"/>
      <w:lvlText w:val="%1)"/>
      <w:lvlJc w:val="left"/>
      <w:pPr>
        <w:ind w:left="720" w:hanging="360"/>
      </w:pPr>
      <w:rPr>
        <w:rFonts w:ascii="Century Gothic" w:hAnsi="Century Gothic" w:hint="default"/>
        <w:b w:val="0"/>
        <w:i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FC657E3"/>
    <w:multiLevelType w:val="hybridMultilevel"/>
    <w:tmpl w:val="8806C636"/>
    <w:lvl w:ilvl="0" w:tplc="8CA291F6">
      <w:start w:val="1"/>
      <w:numFmt w:val="bullet"/>
      <w:lvlText w:val=""/>
      <w:lvlJc w:val="left"/>
      <w:pPr>
        <w:ind w:left="720" w:hanging="360"/>
      </w:pPr>
      <w:rPr>
        <w:rFonts w:ascii="Symbol" w:hAnsi="Symbol" w:hint="default"/>
        <w:b w:val="0"/>
        <w:sz w:val="16"/>
      </w:rPr>
    </w:lvl>
    <w:lvl w:ilvl="1" w:tplc="04090019">
      <w:start w:val="1"/>
      <w:numFmt w:val="lowerLetter"/>
      <w:lvlText w:val="%2."/>
      <w:lvlJc w:val="left"/>
      <w:pPr>
        <w:ind w:left="1440" w:hanging="360"/>
      </w:p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FF85D06"/>
    <w:multiLevelType w:val="hybridMultilevel"/>
    <w:tmpl w:val="8242946C"/>
    <w:lvl w:ilvl="0" w:tplc="61BA7308">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053039D"/>
    <w:multiLevelType w:val="hybridMultilevel"/>
    <w:tmpl w:val="887443D2"/>
    <w:lvl w:ilvl="0" w:tplc="50CAB6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26847A3"/>
    <w:multiLevelType w:val="hybridMultilevel"/>
    <w:tmpl w:val="BDD07EF4"/>
    <w:lvl w:ilvl="0" w:tplc="CFF482B8">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262387"/>
    <w:multiLevelType w:val="hybridMultilevel"/>
    <w:tmpl w:val="BC465A06"/>
    <w:lvl w:ilvl="0" w:tplc="315ABD94">
      <w:start w:val="1"/>
      <w:numFmt w:val="bullet"/>
      <w:lvlText w:val=""/>
      <w:lvlJc w:val="left"/>
      <w:pPr>
        <w:ind w:left="720" w:hanging="360"/>
      </w:pPr>
      <w:rPr>
        <w:rFonts w:ascii="Wingdings" w:hAnsi="Wingdings" w:hint="default"/>
        <w:b w:val="0"/>
        <w:color w:val="448A99"/>
        <w:sz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4430A0"/>
    <w:multiLevelType w:val="hybridMultilevel"/>
    <w:tmpl w:val="F330297E"/>
    <w:lvl w:ilvl="0" w:tplc="52BEB4F2">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6008AB"/>
    <w:multiLevelType w:val="hybridMultilevel"/>
    <w:tmpl w:val="0142905A"/>
    <w:lvl w:ilvl="0" w:tplc="77101290">
      <w:start w:val="1"/>
      <w:numFmt w:val="decimal"/>
      <w:lvlText w:val="%1)"/>
      <w:lvlJc w:val="left"/>
      <w:pPr>
        <w:ind w:left="720" w:hanging="360"/>
      </w:pPr>
      <w:rPr>
        <w:rFonts w:ascii="Century Gothic" w:hAnsi="Century Gothic"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6735E63"/>
    <w:multiLevelType w:val="hybridMultilevel"/>
    <w:tmpl w:val="F44EFD8C"/>
    <w:lvl w:ilvl="0" w:tplc="6616D9C4">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78B6D80"/>
    <w:multiLevelType w:val="hybridMultilevel"/>
    <w:tmpl w:val="EA7415A6"/>
    <w:lvl w:ilvl="0" w:tplc="FB2AFE5C">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227DAF"/>
    <w:multiLevelType w:val="hybridMultilevel"/>
    <w:tmpl w:val="BA000D6C"/>
    <w:lvl w:ilvl="0" w:tplc="4CEC7770">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CB696F"/>
    <w:multiLevelType w:val="hybridMultilevel"/>
    <w:tmpl w:val="24CC2DC2"/>
    <w:lvl w:ilvl="0" w:tplc="F8428FF6">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B1A60E5"/>
    <w:multiLevelType w:val="hybridMultilevel"/>
    <w:tmpl w:val="DA78BB6A"/>
    <w:lvl w:ilvl="0" w:tplc="4AEEF260">
      <w:start w:val="1"/>
      <w:numFmt w:val="decimal"/>
      <w:lvlText w:val="%1)"/>
      <w:lvlJc w:val="left"/>
      <w:pPr>
        <w:ind w:left="720" w:hanging="360"/>
      </w:pPr>
      <w:rPr>
        <w:rFonts w:ascii="Century Gothic" w:hAnsi="Century Gothic"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B6D608D"/>
    <w:multiLevelType w:val="multilevel"/>
    <w:tmpl w:val="1F822A6E"/>
    <w:lvl w:ilvl="0">
      <w:start w:val="1"/>
      <w:numFmt w:val="decimal"/>
      <w:suff w:val="space"/>
      <w:lvlText w:val="%1"/>
      <w:lvlJc w:val="left"/>
      <w:pPr>
        <w:ind w:left="0" w:firstLine="0"/>
      </w:pPr>
      <w:rPr>
        <w:rFonts w:ascii="Broadway" w:hAnsi="Broadway" w:hint="default"/>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B815D75"/>
    <w:multiLevelType w:val="hybridMultilevel"/>
    <w:tmpl w:val="AB50C420"/>
    <w:lvl w:ilvl="0" w:tplc="93C42ECC">
      <w:start w:val="1"/>
      <w:numFmt w:val="decimal"/>
      <w:lvlText w:val="%1."/>
      <w:lvlJc w:val="left"/>
      <w:pPr>
        <w:ind w:left="720" w:hanging="360"/>
      </w:pPr>
      <w:rPr>
        <w:b/>
      </w:rPr>
    </w:lvl>
    <w:lvl w:ilvl="1" w:tplc="8FD8FA0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C6E608B"/>
    <w:multiLevelType w:val="hybridMultilevel"/>
    <w:tmpl w:val="C08C4970"/>
    <w:lvl w:ilvl="0" w:tplc="23FE3AE8">
      <w:start w:val="1"/>
      <w:numFmt w:val="lowerLetter"/>
      <w:lvlText w:val="%1."/>
      <w:lvlJc w:val="left"/>
      <w:pPr>
        <w:ind w:left="720" w:hanging="360"/>
      </w:pPr>
      <w:rPr>
        <w:rFonts w:hint="default"/>
        <w:b w:val="0"/>
      </w:rPr>
    </w:lvl>
    <w:lvl w:ilvl="1" w:tplc="23FE3AE8">
      <w:start w:val="1"/>
      <w:numFmt w:val="lowerLetter"/>
      <w:lvlText w:val="%2."/>
      <w:lvlJc w:val="left"/>
      <w:pPr>
        <w:ind w:left="1440" w:hanging="360"/>
      </w:pPr>
      <w:rPr>
        <w:rFonts w:hint="default"/>
        <w:b w:val="0"/>
      </w:r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D347839"/>
    <w:multiLevelType w:val="hybridMultilevel"/>
    <w:tmpl w:val="E3B8A3E2"/>
    <w:lvl w:ilvl="0" w:tplc="C254A69A">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E2366E3"/>
    <w:multiLevelType w:val="hybridMultilevel"/>
    <w:tmpl w:val="109C71C0"/>
    <w:lvl w:ilvl="0" w:tplc="4E60340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EF127B9"/>
    <w:multiLevelType w:val="hybridMultilevel"/>
    <w:tmpl w:val="0B262CE0"/>
    <w:lvl w:ilvl="0" w:tplc="D64E1B5C">
      <w:start w:val="1"/>
      <w:numFmt w:val="decimal"/>
      <w:pStyle w:val="Numbered"/>
      <w:lvlText w:val="%1."/>
      <w:lvlJc w:val="left"/>
      <w:pPr>
        <w:tabs>
          <w:tab w:val="num" w:pos="720"/>
        </w:tabs>
        <w:ind w:left="720" w:hanging="360"/>
      </w:pPr>
      <w:rPr>
        <w:rFonts w:cs="Times New Roman" w:hint="default"/>
      </w:rPr>
    </w:lvl>
    <w:lvl w:ilvl="1" w:tplc="FEE40626" w:tentative="1">
      <w:start w:val="1"/>
      <w:numFmt w:val="lowerLetter"/>
      <w:lvlText w:val="%2."/>
      <w:lvlJc w:val="left"/>
      <w:pPr>
        <w:tabs>
          <w:tab w:val="num" w:pos="1440"/>
        </w:tabs>
        <w:ind w:left="1440" w:hanging="360"/>
      </w:pPr>
      <w:rPr>
        <w:rFonts w:cs="Times New Roman"/>
      </w:rPr>
    </w:lvl>
    <w:lvl w:ilvl="2" w:tplc="28DE4654" w:tentative="1">
      <w:start w:val="1"/>
      <w:numFmt w:val="lowerRoman"/>
      <w:lvlText w:val="%3."/>
      <w:lvlJc w:val="right"/>
      <w:pPr>
        <w:tabs>
          <w:tab w:val="num" w:pos="2160"/>
        </w:tabs>
        <w:ind w:left="2160" w:hanging="180"/>
      </w:pPr>
      <w:rPr>
        <w:rFonts w:cs="Times New Roman"/>
      </w:rPr>
    </w:lvl>
    <w:lvl w:ilvl="3" w:tplc="8F285316" w:tentative="1">
      <w:start w:val="1"/>
      <w:numFmt w:val="decimal"/>
      <w:lvlText w:val="%4."/>
      <w:lvlJc w:val="left"/>
      <w:pPr>
        <w:tabs>
          <w:tab w:val="num" w:pos="2880"/>
        </w:tabs>
        <w:ind w:left="2880" w:hanging="360"/>
      </w:pPr>
      <w:rPr>
        <w:rFonts w:cs="Times New Roman"/>
      </w:rPr>
    </w:lvl>
    <w:lvl w:ilvl="4" w:tplc="F6F48E40" w:tentative="1">
      <w:start w:val="1"/>
      <w:numFmt w:val="lowerLetter"/>
      <w:lvlText w:val="%5."/>
      <w:lvlJc w:val="left"/>
      <w:pPr>
        <w:tabs>
          <w:tab w:val="num" w:pos="3600"/>
        </w:tabs>
        <w:ind w:left="3600" w:hanging="360"/>
      </w:pPr>
      <w:rPr>
        <w:rFonts w:cs="Times New Roman"/>
      </w:rPr>
    </w:lvl>
    <w:lvl w:ilvl="5" w:tplc="B75A99B6" w:tentative="1">
      <w:start w:val="1"/>
      <w:numFmt w:val="lowerRoman"/>
      <w:lvlText w:val="%6."/>
      <w:lvlJc w:val="right"/>
      <w:pPr>
        <w:tabs>
          <w:tab w:val="num" w:pos="4320"/>
        </w:tabs>
        <w:ind w:left="4320" w:hanging="180"/>
      </w:pPr>
      <w:rPr>
        <w:rFonts w:cs="Times New Roman"/>
      </w:rPr>
    </w:lvl>
    <w:lvl w:ilvl="6" w:tplc="6082E068" w:tentative="1">
      <w:start w:val="1"/>
      <w:numFmt w:val="decimal"/>
      <w:lvlText w:val="%7."/>
      <w:lvlJc w:val="left"/>
      <w:pPr>
        <w:tabs>
          <w:tab w:val="num" w:pos="5040"/>
        </w:tabs>
        <w:ind w:left="5040" w:hanging="360"/>
      </w:pPr>
      <w:rPr>
        <w:rFonts w:cs="Times New Roman"/>
      </w:rPr>
    </w:lvl>
    <w:lvl w:ilvl="7" w:tplc="88826FFC" w:tentative="1">
      <w:start w:val="1"/>
      <w:numFmt w:val="lowerLetter"/>
      <w:lvlText w:val="%8."/>
      <w:lvlJc w:val="left"/>
      <w:pPr>
        <w:tabs>
          <w:tab w:val="num" w:pos="5760"/>
        </w:tabs>
        <w:ind w:left="5760" w:hanging="360"/>
      </w:pPr>
      <w:rPr>
        <w:rFonts w:cs="Times New Roman"/>
      </w:rPr>
    </w:lvl>
    <w:lvl w:ilvl="8" w:tplc="740678D2" w:tentative="1">
      <w:start w:val="1"/>
      <w:numFmt w:val="lowerRoman"/>
      <w:lvlText w:val="%9."/>
      <w:lvlJc w:val="right"/>
      <w:pPr>
        <w:tabs>
          <w:tab w:val="num" w:pos="6480"/>
        </w:tabs>
        <w:ind w:left="6480" w:hanging="180"/>
      </w:pPr>
      <w:rPr>
        <w:rFonts w:cs="Times New Roman"/>
      </w:rPr>
    </w:lvl>
  </w:abstractNum>
  <w:abstractNum w:abstractNumId="104" w15:restartNumberingAfterBreak="0">
    <w:nsid w:val="52D455BB"/>
    <w:multiLevelType w:val="hybridMultilevel"/>
    <w:tmpl w:val="642E9A70"/>
    <w:lvl w:ilvl="0" w:tplc="34C4C614">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4DC50C0"/>
    <w:multiLevelType w:val="hybridMultilevel"/>
    <w:tmpl w:val="8362C2D2"/>
    <w:lvl w:ilvl="0" w:tplc="6E1A5D3C">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7D2624B"/>
    <w:multiLevelType w:val="hybridMultilevel"/>
    <w:tmpl w:val="413AA41A"/>
    <w:lvl w:ilvl="0" w:tplc="0AD26852">
      <w:start w:val="1"/>
      <w:numFmt w:val="bullet"/>
      <w:lvlText w:val=""/>
      <w:lvlJc w:val="left"/>
      <w:pPr>
        <w:ind w:left="513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7EB0F39"/>
    <w:multiLevelType w:val="hybridMultilevel"/>
    <w:tmpl w:val="009EF580"/>
    <w:lvl w:ilvl="0" w:tplc="0409000F">
      <w:start w:val="1"/>
      <w:numFmt w:val="decimal"/>
      <w:lvlText w:val="%1."/>
      <w:lvlJc w:val="left"/>
      <w:pPr>
        <w:ind w:left="720" w:hanging="360"/>
      </w:pPr>
    </w:lvl>
    <w:lvl w:ilvl="1" w:tplc="C1E63B4C">
      <w:start w:val="1"/>
      <w:numFmt w:val="lowerLetter"/>
      <w:lvlText w:val="%2."/>
      <w:lvlJc w:val="left"/>
      <w:pPr>
        <w:ind w:left="1440" w:hanging="360"/>
      </w:pPr>
      <w:rPr>
        <w:rFonts w:ascii="Century Gothic" w:hAnsi="Century Gothic" w:hint="default"/>
        <w:b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946091F"/>
    <w:multiLevelType w:val="hybridMultilevel"/>
    <w:tmpl w:val="5D8E76CC"/>
    <w:lvl w:ilvl="0" w:tplc="E01C3BD2">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A292F17"/>
    <w:multiLevelType w:val="hybridMultilevel"/>
    <w:tmpl w:val="081A3E9E"/>
    <w:lvl w:ilvl="0" w:tplc="B6487554">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664EE4"/>
    <w:multiLevelType w:val="hybridMultilevel"/>
    <w:tmpl w:val="FFF88EE2"/>
    <w:lvl w:ilvl="0" w:tplc="E3FCDB68">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A9B2E99"/>
    <w:multiLevelType w:val="hybridMultilevel"/>
    <w:tmpl w:val="E21E4882"/>
    <w:lvl w:ilvl="0" w:tplc="342CE50C">
      <w:start w:val="1"/>
      <w:numFmt w:val="bullet"/>
      <w:lvlText w:val=""/>
      <w:lvlJc w:val="left"/>
      <w:pPr>
        <w:ind w:left="720" w:hanging="360"/>
      </w:pPr>
      <w:rPr>
        <w:rFonts w:ascii="Wingdings" w:hAnsi="Wingdings" w:hint="default"/>
        <w:b w:val="0"/>
        <w:color w:val="76A3A8"/>
        <w:sz w:val="12"/>
        <w:szCs w:val="12"/>
        <w:u w:color="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5B115F79"/>
    <w:multiLevelType w:val="hybridMultilevel"/>
    <w:tmpl w:val="80B88AC6"/>
    <w:lvl w:ilvl="0" w:tplc="5502A18E">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AB7CFB"/>
    <w:multiLevelType w:val="hybridMultilevel"/>
    <w:tmpl w:val="4854277E"/>
    <w:lvl w:ilvl="0" w:tplc="6C14D198">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EEC4DA2"/>
    <w:multiLevelType w:val="hybridMultilevel"/>
    <w:tmpl w:val="785620B6"/>
    <w:lvl w:ilvl="0" w:tplc="55AC2ADA">
      <w:start w:val="1"/>
      <w:numFmt w:val="bullet"/>
      <w:lvlText w:val=""/>
      <w:lvlJc w:val="left"/>
      <w:pPr>
        <w:ind w:left="720" w:hanging="360"/>
      </w:pPr>
      <w:rPr>
        <w:rFonts w:ascii="Wingdings" w:hAnsi="Wingdings" w:hint="default"/>
        <w:b w:val="0"/>
        <w:color w:val="76A3A8"/>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F062D3B"/>
    <w:multiLevelType w:val="hybridMultilevel"/>
    <w:tmpl w:val="D3C00286"/>
    <w:lvl w:ilvl="0" w:tplc="2FC26D68">
      <w:start w:val="1"/>
      <w:numFmt w:val="decimal"/>
      <w:lvlText w:val="%1)"/>
      <w:lvlJc w:val="left"/>
      <w:pPr>
        <w:ind w:left="720" w:hanging="360"/>
      </w:pPr>
      <w:rPr>
        <w:rFonts w:ascii="Century Gothic" w:hAnsi="Century Gothic" w:hint="default"/>
        <w:b w:val="0"/>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FB90A15"/>
    <w:multiLevelType w:val="hybridMultilevel"/>
    <w:tmpl w:val="05D8B262"/>
    <w:lvl w:ilvl="0" w:tplc="0EE6D8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069718D"/>
    <w:multiLevelType w:val="hybridMultilevel"/>
    <w:tmpl w:val="52B2C6AC"/>
    <w:lvl w:ilvl="0" w:tplc="516E6404">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0AB58C1"/>
    <w:multiLevelType w:val="hybridMultilevel"/>
    <w:tmpl w:val="AB82386E"/>
    <w:lvl w:ilvl="0" w:tplc="4C26BC90">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2522FED"/>
    <w:multiLevelType w:val="hybridMultilevel"/>
    <w:tmpl w:val="01A0AA70"/>
    <w:lvl w:ilvl="0" w:tplc="10D2A9CE">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265132F"/>
    <w:multiLevelType w:val="hybridMultilevel"/>
    <w:tmpl w:val="E5EC2A68"/>
    <w:lvl w:ilvl="0" w:tplc="1D6E7292">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E36E8C"/>
    <w:multiLevelType w:val="hybridMultilevel"/>
    <w:tmpl w:val="5316E3AC"/>
    <w:lvl w:ilvl="0" w:tplc="F77869FA">
      <w:start w:val="1"/>
      <w:numFmt w:val="bullet"/>
      <w:lvlText w:val=""/>
      <w:lvlJc w:val="left"/>
      <w:pPr>
        <w:ind w:left="720" w:hanging="360"/>
      </w:pPr>
      <w:rPr>
        <w:rFonts w:ascii="Wingdings" w:hAnsi="Wingdings" w:hint="default"/>
        <w:b w:val="0"/>
        <w:color w:val="448A99"/>
        <w:sz w:val="12"/>
        <w:szCs w:val="12"/>
        <w:u w:color="1F497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3E04937"/>
    <w:multiLevelType w:val="hybridMultilevel"/>
    <w:tmpl w:val="9F4CCF94"/>
    <w:lvl w:ilvl="0" w:tplc="E94A6AC6">
      <w:start w:val="1"/>
      <w:numFmt w:val="bullet"/>
      <w:lvlText w:val=""/>
      <w:lvlJc w:val="left"/>
      <w:pPr>
        <w:ind w:left="720" w:hanging="360"/>
      </w:pPr>
      <w:rPr>
        <w:rFonts w:ascii="Wingdings" w:hAnsi="Wingdings" w:hint="default"/>
        <w:b w:val="0"/>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5C340C"/>
    <w:multiLevelType w:val="hybridMultilevel"/>
    <w:tmpl w:val="DB6EAD4E"/>
    <w:lvl w:ilvl="0" w:tplc="23FE3AE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87E6AFC"/>
    <w:multiLevelType w:val="hybridMultilevel"/>
    <w:tmpl w:val="43300A84"/>
    <w:lvl w:ilvl="0" w:tplc="E8743ABE">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0B3474"/>
    <w:multiLevelType w:val="hybridMultilevel"/>
    <w:tmpl w:val="11F4FB1E"/>
    <w:lvl w:ilvl="0" w:tplc="793EA8B6">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C4C69C8"/>
    <w:multiLevelType w:val="hybridMultilevel"/>
    <w:tmpl w:val="D9EE2E44"/>
    <w:lvl w:ilvl="0" w:tplc="41C0B7DE">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F20755A"/>
    <w:multiLevelType w:val="hybridMultilevel"/>
    <w:tmpl w:val="C08C4970"/>
    <w:lvl w:ilvl="0" w:tplc="23FE3AE8">
      <w:start w:val="1"/>
      <w:numFmt w:val="lowerLetter"/>
      <w:lvlText w:val="%1."/>
      <w:lvlJc w:val="left"/>
      <w:pPr>
        <w:ind w:left="720" w:hanging="360"/>
      </w:pPr>
      <w:rPr>
        <w:rFonts w:hint="default"/>
        <w:b w:val="0"/>
      </w:rPr>
    </w:lvl>
    <w:lvl w:ilvl="1" w:tplc="23FE3AE8">
      <w:start w:val="1"/>
      <w:numFmt w:val="lowerLetter"/>
      <w:lvlText w:val="%2."/>
      <w:lvlJc w:val="left"/>
      <w:pPr>
        <w:ind w:left="1440" w:hanging="360"/>
      </w:pPr>
      <w:rPr>
        <w:rFonts w:hint="default"/>
        <w:b w:val="0"/>
      </w:r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F7F33AC"/>
    <w:multiLevelType w:val="hybridMultilevel"/>
    <w:tmpl w:val="2FFEACDA"/>
    <w:lvl w:ilvl="0" w:tplc="C2D04A74">
      <w:start w:val="1"/>
      <w:numFmt w:val="decimal"/>
      <w:lvlText w:val="%1)"/>
      <w:lvlJc w:val="left"/>
      <w:pPr>
        <w:ind w:left="720" w:hanging="360"/>
      </w:pPr>
      <w:rPr>
        <w:rFonts w:ascii="Century Gothic" w:hAnsi="Century Gothic" w:hint="default"/>
        <w:b w:val="0"/>
        <w:color w:val="404040" w:themeColor="text1" w:themeTint="B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FE97B7C"/>
    <w:multiLevelType w:val="hybridMultilevel"/>
    <w:tmpl w:val="102CC872"/>
    <w:lvl w:ilvl="0" w:tplc="3234464E">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0430856"/>
    <w:multiLevelType w:val="hybridMultilevel"/>
    <w:tmpl w:val="9052FE32"/>
    <w:lvl w:ilvl="0" w:tplc="587AA7D8">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45A7C13"/>
    <w:multiLevelType w:val="hybridMultilevel"/>
    <w:tmpl w:val="59FC8340"/>
    <w:lvl w:ilvl="0" w:tplc="AD121610">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65103A"/>
    <w:multiLevelType w:val="hybridMultilevel"/>
    <w:tmpl w:val="9E8AAFAA"/>
    <w:lvl w:ilvl="0" w:tplc="9D0C572A">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33698D"/>
    <w:multiLevelType w:val="hybridMultilevel"/>
    <w:tmpl w:val="974CBFFC"/>
    <w:lvl w:ilvl="0" w:tplc="CB6CACF6">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C272FC"/>
    <w:multiLevelType w:val="hybridMultilevel"/>
    <w:tmpl w:val="E9D2D7D4"/>
    <w:lvl w:ilvl="0" w:tplc="60AE7524">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6200084"/>
    <w:multiLevelType w:val="multilevel"/>
    <w:tmpl w:val="8E28F958"/>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rPr>
        <w:rFonts w:hint="default"/>
        <w:b/>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 w15:restartNumberingAfterBreak="0">
    <w:nsid w:val="7649304A"/>
    <w:multiLevelType w:val="hybridMultilevel"/>
    <w:tmpl w:val="A9BC2806"/>
    <w:lvl w:ilvl="0" w:tplc="D6B4301E">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6A31604"/>
    <w:multiLevelType w:val="hybridMultilevel"/>
    <w:tmpl w:val="9800BCB2"/>
    <w:styleLink w:val="Appendix1"/>
    <w:lvl w:ilvl="0" w:tplc="0AD26852">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6B72F43"/>
    <w:multiLevelType w:val="multilevel"/>
    <w:tmpl w:val="35AC67DA"/>
    <w:lvl w:ilvl="0">
      <w:start w:val="1"/>
      <w:numFmt w:val="decimal"/>
      <w:pStyle w:val="AppendixAHeading1"/>
      <w:suff w:val="space"/>
      <w:lvlText w:val="A.%1"/>
      <w:lvlJc w:val="left"/>
      <w:pPr>
        <w:ind w:left="0" w:firstLine="0"/>
      </w:pPr>
      <w:rPr>
        <w:rFonts w:hint="default"/>
        <w:b w:val="0"/>
        <w:color w:val="448A99"/>
      </w:rPr>
    </w:lvl>
    <w:lvl w:ilvl="1">
      <w:start w:val="1"/>
      <w:numFmt w:val="decimal"/>
      <w:pStyle w:val="AppendixAHeading2"/>
      <w:suff w:val="space"/>
      <w:lvlText w:val="A.%1.%2"/>
      <w:lvlJc w:val="left"/>
      <w:pPr>
        <w:ind w:left="0" w:firstLine="0"/>
      </w:pPr>
      <w:rPr>
        <w:rFonts w:hint="default"/>
      </w:rPr>
    </w:lvl>
    <w:lvl w:ilvl="2">
      <w:start w:val="1"/>
      <w:numFmt w:val="decimal"/>
      <w:pStyle w:val="AppendixAHeading3"/>
      <w:suff w:val="space"/>
      <w:lvlText w:val="A.%1.%2.%3"/>
      <w:lvlJc w:val="left"/>
      <w:pPr>
        <w:ind w:left="0" w:firstLine="0"/>
      </w:pPr>
      <w:rPr>
        <w:rFonts w:hint="default"/>
      </w:rPr>
    </w:lvl>
    <w:lvl w:ilvl="3">
      <w:start w:val="1"/>
      <w:numFmt w:val="decimal"/>
      <w:pStyle w:val="AppendixAHeading4"/>
      <w:suff w:val="space"/>
      <w:lvlText w:val="A.%1.%2.%3.%4"/>
      <w:lvlJc w:val="left"/>
      <w:pPr>
        <w:ind w:left="0" w:firstLine="0"/>
      </w:pPr>
      <w:rPr>
        <w:rFonts w:hint="default"/>
      </w:rPr>
    </w:lvl>
    <w:lvl w:ilvl="4">
      <w:start w:val="1"/>
      <w:numFmt w:val="decimal"/>
      <w:pStyle w:val="AppendixAHeading5"/>
      <w:suff w:val="space"/>
      <w:lvlText w:val="A.%1.%2.%3.%4.%5"/>
      <w:lvlJc w:val="left"/>
      <w:pPr>
        <w:ind w:left="0" w:firstLine="0"/>
      </w:pPr>
      <w:rPr>
        <w:rFonts w:hint="default"/>
      </w:rPr>
    </w:lvl>
    <w:lvl w:ilvl="5">
      <w:start w:val="1"/>
      <w:numFmt w:val="decimal"/>
      <w:pStyle w:val="AppendixAHeading6"/>
      <w:suff w:val="space"/>
      <w:lvlText w:val="A.%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76D22B66"/>
    <w:multiLevelType w:val="hybridMultilevel"/>
    <w:tmpl w:val="8D06A460"/>
    <w:lvl w:ilvl="0" w:tplc="647A201E">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78A2B1B"/>
    <w:multiLevelType w:val="hybridMultilevel"/>
    <w:tmpl w:val="104A51AC"/>
    <w:lvl w:ilvl="0" w:tplc="AB9E804E">
      <w:start w:val="1"/>
      <w:numFmt w:val="decimal"/>
      <w:lvlText w:val="%1)"/>
      <w:lvlJc w:val="left"/>
      <w:pPr>
        <w:ind w:left="720" w:hanging="360"/>
      </w:pPr>
      <w:rPr>
        <w:rFonts w:ascii="Century Gothic" w:hAnsi="Century Gothic"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A66B61"/>
    <w:multiLevelType w:val="hybridMultilevel"/>
    <w:tmpl w:val="56ECED66"/>
    <w:lvl w:ilvl="0" w:tplc="E102BF5C">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FD6DE5"/>
    <w:multiLevelType w:val="hybridMultilevel"/>
    <w:tmpl w:val="FEEC650E"/>
    <w:lvl w:ilvl="0" w:tplc="47448A34">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87860AC"/>
    <w:multiLevelType w:val="hybridMultilevel"/>
    <w:tmpl w:val="0B9CCEC6"/>
    <w:lvl w:ilvl="0" w:tplc="FE1E8508">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89A6BC1"/>
    <w:multiLevelType w:val="hybridMultilevel"/>
    <w:tmpl w:val="4530CA10"/>
    <w:lvl w:ilvl="0" w:tplc="427296D6">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8E007B7"/>
    <w:multiLevelType w:val="multilevel"/>
    <w:tmpl w:val="1F72A2D4"/>
    <w:lvl w:ilvl="0">
      <w:start w:val="1"/>
      <w:numFmt w:val="decimal"/>
      <w:pStyle w:val="Heading1"/>
      <w:suff w:val="space"/>
      <w:lvlText w:val="%1"/>
      <w:lvlJc w:val="left"/>
      <w:pPr>
        <w:ind w:left="0" w:firstLine="0"/>
      </w:pPr>
      <w:rPr>
        <w:rFonts w:ascii="Broadway" w:hAnsi="Broadway" w:hint="default"/>
        <w:sz w:val="40"/>
      </w:rPr>
    </w:lvl>
    <w:lvl w:ilvl="1">
      <w:start w:val="1"/>
      <w:numFmt w:val="decimal"/>
      <w:pStyle w:val="Heading2"/>
      <w:suff w:val="space"/>
      <w:lvlText w:val="%1.%2"/>
      <w:lvlJc w:val="left"/>
      <w:pPr>
        <w:ind w:left="0" w:firstLine="0"/>
      </w:pPr>
      <w:rPr>
        <w:rFonts w:hint="default"/>
        <w:b w:val="0"/>
        <w:color w:val="448A99"/>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794C253E"/>
    <w:multiLevelType w:val="hybridMultilevel"/>
    <w:tmpl w:val="0A027410"/>
    <w:lvl w:ilvl="0" w:tplc="E64217C2">
      <w:start w:val="1"/>
      <w:numFmt w:val="bullet"/>
      <w:lvlText w:val=""/>
      <w:lvlJc w:val="left"/>
      <w:pPr>
        <w:ind w:left="720" w:hanging="360"/>
      </w:pPr>
      <w:rPr>
        <w:rFonts w:ascii="Wingdings" w:hAnsi="Wingdings" w:hint="default"/>
        <w:b w:val="0"/>
        <w:color w:val="76A3A8"/>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9A03B40"/>
    <w:multiLevelType w:val="hybridMultilevel"/>
    <w:tmpl w:val="C542EFCE"/>
    <w:lvl w:ilvl="0" w:tplc="5D587D00">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9A454E1"/>
    <w:multiLevelType w:val="hybridMultilevel"/>
    <w:tmpl w:val="079C69EC"/>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9DF268F"/>
    <w:multiLevelType w:val="hybridMultilevel"/>
    <w:tmpl w:val="D11009B2"/>
    <w:lvl w:ilvl="0" w:tplc="2EB66DA8">
      <w:start w:val="1"/>
      <w:numFmt w:val="decimal"/>
      <w:lvlText w:val="%1)"/>
      <w:lvlJc w:val="left"/>
      <w:pPr>
        <w:ind w:left="720" w:hanging="360"/>
      </w:pPr>
      <w:rPr>
        <w:rFonts w:ascii="Century Gothic" w:hAnsi="Century Gothic" w:hint="default"/>
        <w:b w:val="0"/>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9E2320B"/>
    <w:multiLevelType w:val="multilevel"/>
    <w:tmpl w:val="F628210E"/>
    <w:lvl w:ilvl="0">
      <w:start w:val="1"/>
      <w:numFmt w:val="decimal"/>
      <w:pStyle w:val="AppendixDHeading1"/>
      <w:suff w:val="space"/>
      <w:lvlText w:val="D.%1"/>
      <w:lvlJc w:val="left"/>
      <w:pPr>
        <w:ind w:left="0" w:firstLine="0"/>
      </w:pPr>
      <w:rPr>
        <w:rFonts w:hint="default"/>
      </w:rPr>
    </w:lvl>
    <w:lvl w:ilvl="1">
      <w:start w:val="1"/>
      <w:numFmt w:val="decimal"/>
      <w:pStyle w:val="AppendixDHeading2"/>
      <w:suff w:val="space"/>
      <w:lvlText w:val="D.%1.%2"/>
      <w:lvlJc w:val="left"/>
      <w:pPr>
        <w:ind w:left="0" w:firstLine="0"/>
      </w:pPr>
      <w:rPr>
        <w:rFonts w:hint="default"/>
      </w:rPr>
    </w:lvl>
    <w:lvl w:ilvl="2">
      <w:start w:val="1"/>
      <w:numFmt w:val="decimal"/>
      <w:pStyle w:val="AppendixDHeading3"/>
      <w:suff w:val="space"/>
      <w:lvlText w:val="D.%1.%2.%3."/>
      <w:lvlJc w:val="left"/>
      <w:pPr>
        <w:ind w:left="0" w:firstLine="0"/>
      </w:pPr>
      <w:rPr>
        <w:rFonts w:hint="default"/>
      </w:rPr>
    </w:lvl>
    <w:lvl w:ilvl="3">
      <w:start w:val="1"/>
      <w:numFmt w:val="decimal"/>
      <w:suff w:val="space"/>
      <w:lvlText w:val="D.%1.%2.%3.%4."/>
      <w:lvlJc w:val="left"/>
      <w:pPr>
        <w:ind w:left="0" w:firstLine="0"/>
      </w:pPr>
      <w:rPr>
        <w:rFonts w:hint="default"/>
      </w:rPr>
    </w:lvl>
    <w:lvl w:ilvl="4">
      <w:start w:val="1"/>
      <w:numFmt w:val="decimal"/>
      <w:suff w:val="space"/>
      <w:lvlText w:val="D.%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7A4D3CA1"/>
    <w:multiLevelType w:val="hybridMultilevel"/>
    <w:tmpl w:val="4E78C5D6"/>
    <w:lvl w:ilvl="0" w:tplc="5B761902">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A864B51"/>
    <w:multiLevelType w:val="hybridMultilevel"/>
    <w:tmpl w:val="58169E0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B7931AB"/>
    <w:multiLevelType w:val="hybridMultilevel"/>
    <w:tmpl w:val="3906030E"/>
    <w:lvl w:ilvl="0" w:tplc="FC62C8FC">
      <w:start w:val="1"/>
      <w:numFmt w:val="bullet"/>
      <w:lvlText w:val=""/>
      <w:lvlJc w:val="left"/>
      <w:pPr>
        <w:ind w:left="720" w:hanging="360"/>
      </w:pPr>
      <w:rPr>
        <w:rFonts w:ascii="Wingdings" w:hAnsi="Wingdings" w:hint="default"/>
        <w:color w:val="448A99"/>
        <w:sz w:val="24"/>
      </w:rPr>
    </w:lvl>
    <w:lvl w:ilvl="1" w:tplc="83C4800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145681"/>
    <w:multiLevelType w:val="hybridMultilevel"/>
    <w:tmpl w:val="E6328DA4"/>
    <w:lvl w:ilvl="0" w:tplc="6414E12A">
      <w:start w:val="1"/>
      <w:numFmt w:val="bullet"/>
      <w:lvlText w:val=""/>
      <w:lvlJc w:val="left"/>
      <w:pPr>
        <w:ind w:left="720" w:hanging="360"/>
      </w:pPr>
      <w:rPr>
        <w:rFonts w:ascii="Wingdings" w:hAnsi="Wingdings" w:hint="default"/>
        <w:b w:val="0"/>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8C4B72"/>
    <w:multiLevelType w:val="hybridMultilevel"/>
    <w:tmpl w:val="4BA8BB26"/>
    <w:lvl w:ilvl="0" w:tplc="308E37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CD36D69"/>
    <w:multiLevelType w:val="multilevel"/>
    <w:tmpl w:val="5812FEC2"/>
    <w:lvl w:ilvl="0">
      <w:start w:val="1"/>
      <w:numFmt w:val="decimal"/>
      <w:pStyle w:val="AppendixEHeading1"/>
      <w:suff w:val="space"/>
      <w:lvlText w:val="E.%1"/>
      <w:lvlJc w:val="left"/>
      <w:pPr>
        <w:ind w:left="0" w:firstLine="0"/>
      </w:pPr>
      <w:rPr>
        <w:rFonts w:hint="default"/>
        <w:b w:val="0"/>
        <w:color w:val="448A99"/>
      </w:rPr>
    </w:lvl>
    <w:lvl w:ilvl="1">
      <w:start w:val="1"/>
      <w:numFmt w:val="decimal"/>
      <w:pStyle w:val="AppendixEHeading2"/>
      <w:suff w:val="space"/>
      <w:lvlText w:val="E.%1.%2"/>
      <w:lvlJc w:val="left"/>
      <w:pPr>
        <w:ind w:left="90" w:firstLine="0"/>
      </w:pPr>
      <w:rPr>
        <w:rFonts w:hint="default"/>
      </w:rPr>
    </w:lvl>
    <w:lvl w:ilvl="2">
      <w:start w:val="1"/>
      <w:numFmt w:val="decimal"/>
      <w:pStyle w:val="AppendixEHeading3"/>
      <w:suff w:val="space"/>
      <w:lvlText w:val="E.%1.%2.%3"/>
      <w:lvlJc w:val="left"/>
      <w:pPr>
        <w:ind w:left="0" w:firstLine="0"/>
      </w:pPr>
      <w:rPr>
        <w:rFonts w:hint="default"/>
      </w:rPr>
    </w:lvl>
    <w:lvl w:ilvl="3">
      <w:start w:val="1"/>
      <w:numFmt w:val="decimal"/>
      <w:suff w:val="space"/>
      <w:lvlText w:val="E.%1.%2.%3.%4"/>
      <w:lvlJc w:val="left"/>
      <w:pPr>
        <w:ind w:left="90" w:firstLine="0"/>
      </w:pPr>
      <w:rPr>
        <w:rFonts w:hint="default"/>
      </w:rPr>
    </w:lvl>
    <w:lvl w:ilvl="4">
      <w:start w:val="1"/>
      <w:numFmt w:val="decimal"/>
      <w:suff w:val="space"/>
      <w:lvlText w:val="E.%1.%2.%3.%4.%5"/>
      <w:lvlJc w:val="left"/>
      <w:pPr>
        <w:ind w:left="90" w:firstLine="0"/>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157" w15:restartNumberingAfterBreak="0">
    <w:nsid w:val="7D980877"/>
    <w:multiLevelType w:val="hybridMultilevel"/>
    <w:tmpl w:val="DFFA0B56"/>
    <w:lvl w:ilvl="0" w:tplc="04090001">
      <w:start w:val="1"/>
      <w:numFmt w:val="bullet"/>
      <w:lvlText w:val=""/>
      <w:lvlJc w:val="left"/>
      <w:pPr>
        <w:ind w:left="1080" w:hanging="720"/>
      </w:pPr>
      <w:rPr>
        <w:rFonts w:ascii="Symbol" w:hAnsi="Symbol" w:hint="default"/>
      </w:rPr>
    </w:lvl>
    <w:lvl w:ilvl="1" w:tplc="23FE3AE8">
      <w:start w:val="1"/>
      <w:numFmt w:val="lowerLetter"/>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FBB79C5"/>
    <w:multiLevelType w:val="hybridMultilevel"/>
    <w:tmpl w:val="B3A09EAC"/>
    <w:lvl w:ilvl="0" w:tplc="C17E7DAA">
      <w:start w:val="1"/>
      <w:numFmt w:val="bullet"/>
      <w:lvlText w:val=""/>
      <w:lvlJc w:val="left"/>
      <w:pPr>
        <w:ind w:left="720" w:hanging="360"/>
      </w:pPr>
      <w:rPr>
        <w:rFonts w:ascii="Wingdings" w:hAnsi="Wingdings" w:hint="default"/>
        <w:b w:val="0"/>
        <w:color w:val="448A99"/>
        <w:sz w:val="12"/>
        <w:szCs w:val="12"/>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2"/>
  </w:num>
  <w:num w:numId="3">
    <w:abstractNumId w:val="103"/>
  </w:num>
  <w:num w:numId="4">
    <w:abstractNumId w:val="44"/>
  </w:num>
  <w:num w:numId="5">
    <w:abstractNumId w:val="150"/>
  </w:num>
  <w:num w:numId="6">
    <w:abstractNumId w:val="156"/>
  </w:num>
  <w:num w:numId="7">
    <w:abstractNumId w:val="11"/>
  </w:num>
  <w:num w:numId="8">
    <w:abstractNumId w:val="36"/>
  </w:num>
  <w:num w:numId="9">
    <w:abstractNumId w:val="36"/>
    <w:lvlOverride w:ilvl="0">
      <w:lvl w:ilvl="0">
        <w:start w:val="1"/>
        <w:numFmt w:val="decimal"/>
        <w:pStyle w:val="HEADER001"/>
        <w:suff w:val="space"/>
        <w:lvlText w:val="%1"/>
        <w:lvlJc w:val="left"/>
        <w:pPr>
          <w:ind w:left="0" w:firstLine="0"/>
        </w:pPr>
        <w:rPr>
          <w:rFonts w:ascii="Britannic Bold" w:hAnsi="Britannic Bold" w:hint="default"/>
          <w:sz w:val="52"/>
        </w:rPr>
      </w:lvl>
    </w:lvlOverride>
    <w:lvlOverride w:ilvl="1">
      <w:lvl w:ilvl="1">
        <w:start w:val="1"/>
        <w:numFmt w:val="decimal"/>
        <w:pStyle w:val="HEADER002"/>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b/>
        </w:rPr>
      </w:lvl>
    </w:lvlOverride>
    <w:lvlOverride w:ilvl="3">
      <w:lvl w:ilvl="3">
        <w:start w:val="1"/>
        <w:numFmt w:val="decimal"/>
        <w:pStyle w:val="HEADER004"/>
        <w:suff w:val="space"/>
        <w:lvlText w:val="%1.%2.%3.%4"/>
        <w:lvlJc w:val="left"/>
        <w:pPr>
          <w:ind w:left="0" w:firstLine="0"/>
        </w:pPr>
        <w:rPr>
          <w:rFonts w:hint="default"/>
        </w:rPr>
      </w:lvl>
    </w:lvlOverride>
    <w:lvlOverride w:ilvl="4">
      <w:lvl w:ilvl="4">
        <w:start w:val="1"/>
        <w:numFmt w:val="decimal"/>
        <w:pStyle w:val="HEADER005"/>
        <w:suff w:val="space"/>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10">
    <w:abstractNumId w:val="73"/>
  </w:num>
  <w:num w:numId="11">
    <w:abstractNumId w:val="106"/>
  </w:num>
  <w:num w:numId="12">
    <w:abstractNumId w:val="137"/>
  </w:num>
  <w:num w:numId="13">
    <w:abstractNumId w:val="67"/>
  </w:num>
  <w:num w:numId="14">
    <w:abstractNumId w:val="81"/>
  </w:num>
  <w:num w:numId="15">
    <w:abstractNumId w:val="69"/>
  </w:num>
  <w:num w:numId="16">
    <w:abstractNumId w:val="9"/>
  </w:num>
  <w:num w:numId="17">
    <w:abstractNumId w:val="19"/>
  </w:num>
  <w:num w:numId="18">
    <w:abstractNumId w:val="0"/>
  </w:num>
  <w:num w:numId="19">
    <w:abstractNumId w:val="107"/>
  </w:num>
  <w:num w:numId="20">
    <w:abstractNumId w:val="140"/>
  </w:num>
  <w:num w:numId="21">
    <w:abstractNumId w:val="3"/>
  </w:num>
  <w:num w:numId="22">
    <w:abstractNumId w:val="55"/>
  </w:num>
  <w:num w:numId="23">
    <w:abstractNumId w:val="46"/>
  </w:num>
  <w:num w:numId="24">
    <w:abstractNumId w:val="85"/>
  </w:num>
  <w:num w:numId="25">
    <w:abstractNumId w:val="24"/>
  </w:num>
  <w:num w:numId="26">
    <w:abstractNumId w:val="142"/>
  </w:num>
  <w:num w:numId="27">
    <w:abstractNumId w:val="84"/>
  </w:num>
  <w:num w:numId="28">
    <w:abstractNumId w:val="4"/>
  </w:num>
  <w:num w:numId="29">
    <w:abstractNumId w:val="138"/>
  </w:num>
  <w:num w:numId="30">
    <w:abstractNumId w:val="75"/>
  </w:num>
  <w:num w:numId="31">
    <w:abstractNumId w:val="27"/>
  </w:num>
  <w:num w:numId="32">
    <w:abstractNumId w:val="53"/>
  </w:num>
  <w:num w:numId="33">
    <w:abstractNumId w:val="114"/>
  </w:num>
  <w:num w:numId="34">
    <w:abstractNumId w:val="115"/>
  </w:num>
  <w:num w:numId="35">
    <w:abstractNumId w:val="122"/>
  </w:num>
  <w:num w:numId="36">
    <w:abstractNumId w:val="32"/>
  </w:num>
  <w:num w:numId="37">
    <w:abstractNumId w:val="112"/>
  </w:num>
  <w:num w:numId="38">
    <w:abstractNumId w:val="23"/>
  </w:num>
  <w:num w:numId="39">
    <w:abstractNumId w:val="143"/>
  </w:num>
  <w:num w:numId="40">
    <w:abstractNumId w:val="120"/>
  </w:num>
  <w:num w:numId="41">
    <w:abstractNumId w:val="8"/>
  </w:num>
  <w:num w:numId="42">
    <w:abstractNumId w:val="70"/>
  </w:num>
  <w:num w:numId="43">
    <w:abstractNumId w:val="136"/>
  </w:num>
  <w:num w:numId="44">
    <w:abstractNumId w:val="61"/>
  </w:num>
  <w:num w:numId="45">
    <w:abstractNumId w:val="130"/>
  </w:num>
  <w:num w:numId="46">
    <w:abstractNumId w:val="141"/>
  </w:num>
  <w:num w:numId="47">
    <w:abstractNumId w:val="117"/>
  </w:num>
  <w:num w:numId="48">
    <w:abstractNumId w:val="93"/>
  </w:num>
  <w:num w:numId="49">
    <w:abstractNumId w:val="119"/>
  </w:num>
  <w:num w:numId="50">
    <w:abstractNumId w:val="94"/>
  </w:num>
  <w:num w:numId="51">
    <w:abstractNumId w:val="90"/>
  </w:num>
  <w:num w:numId="52">
    <w:abstractNumId w:val="91"/>
  </w:num>
  <w:num w:numId="53">
    <w:abstractNumId w:val="79"/>
  </w:num>
  <w:num w:numId="54">
    <w:abstractNumId w:val="60"/>
  </w:num>
  <w:num w:numId="55">
    <w:abstractNumId w:val="74"/>
  </w:num>
  <w:num w:numId="56">
    <w:abstractNumId w:val="13"/>
  </w:num>
  <w:num w:numId="57">
    <w:abstractNumId w:val="62"/>
  </w:num>
  <w:num w:numId="58">
    <w:abstractNumId w:val="50"/>
  </w:num>
  <w:num w:numId="59">
    <w:abstractNumId w:val="77"/>
  </w:num>
  <w:num w:numId="60">
    <w:abstractNumId w:val="40"/>
  </w:num>
  <w:num w:numId="61">
    <w:abstractNumId w:val="12"/>
  </w:num>
  <w:num w:numId="62">
    <w:abstractNumId w:val="105"/>
  </w:num>
  <w:num w:numId="63">
    <w:abstractNumId w:val="146"/>
  </w:num>
  <w:num w:numId="64">
    <w:abstractNumId w:val="48"/>
  </w:num>
  <w:num w:numId="65">
    <w:abstractNumId w:val="111"/>
  </w:num>
  <w:num w:numId="66">
    <w:abstractNumId w:val="113"/>
  </w:num>
  <w:num w:numId="67">
    <w:abstractNumId w:val="35"/>
  </w:num>
  <w:num w:numId="68">
    <w:abstractNumId w:val="6"/>
  </w:num>
  <w:num w:numId="69">
    <w:abstractNumId w:val="16"/>
  </w:num>
  <w:num w:numId="70">
    <w:abstractNumId w:val="31"/>
  </w:num>
  <w:num w:numId="71">
    <w:abstractNumId w:val="38"/>
  </w:num>
  <w:num w:numId="72">
    <w:abstractNumId w:val="154"/>
  </w:num>
  <w:num w:numId="73">
    <w:abstractNumId w:val="110"/>
  </w:num>
  <w:num w:numId="74">
    <w:abstractNumId w:val="65"/>
  </w:num>
  <w:num w:numId="75">
    <w:abstractNumId w:val="96"/>
  </w:num>
  <w:num w:numId="76">
    <w:abstractNumId w:val="37"/>
  </w:num>
  <w:num w:numId="77">
    <w:abstractNumId w:val="147"/>
  </w:num>
  <w:num w:numId="78">
    <w:abstractNumId w:val="151"/>
  </w:num>
  <w:num w:numId="79">
    <w:abstractNumId w:val="80"/>
  </w:num>
  <w:num w:numId="80">
    <w:abstractNumId w:val="28"/>
  </w:num>
  <w:num w:numId="81">
    <w:abstractNumId w:val="89"/>
  </w:num>
  <w:num w:numId="82">
    <w:abstractNumId w:val="33"/>
  </w:num>
  <w:num w:numId="83">
    <w:abstractNumId w:val="21"/>
  </w:num>
  <w:num w:numId="84">
    <w:abstractNumId w:val="54"/>
  </w:num>
  <w:num w:numId="85">
    <w:abstractNumId w:val="20"/>
  </w:num>
  <w:num w:numId="86">
    <w:abstractNumId w:val="10"/>
  </w:num>
  <w:num w:numId="87">
    <w:abstractNumId w:val="144"/>
  </w:num>
  <w:num w:numId="88">
    <w:abstractNumId w:val="15"/>
  </w:num>
  <w:num w:numId="89">
    <w:abstractNumId w:val="22"/>
  </w:num>
  <w:num w:numId="90">
    <w:abstractNumId w:val="1"/>
  </w:num>
  <w:num w:numId="91">
    <w:abstractNumId w:val="153"/>
  </w:num>
  <w:num w:numId="92">
    <w:abstractNumId w:val="18"/>
  </w:num>
  <w:num w:numId="93">
    <w:abstractNumId w:val="109"/>
  </w:num>
  <w:num w:numId="94">
    <w:abstractNumId w:val="134"/>
  </w:num>
  <w:num w:numId="95">
    <w:abstractNumId w:val="95"/>
  </w:num>
  <w:num w:numId="96">
    <w:abstractNumId w:val="59"/>
  </w:num>
  <w:num w:numId="97">
    <w:abstractNumId w:val="118"/>
  </w:num>
  <w:num w:numId="98">
    <w:abstractNumId w:val="104"/>
  </w:num>
  <w:num w:numId="99">
    <w:abstractNumId w:val="126"/>
  </w:num>
  <w:num w:numId="100">
    <w:abstractNumId w:val="2"/>
  </w:num>
  <w:num w:numId="101">
    <w:abstractNumId w:val="121"/>
  </w:num>
  <w:num w:numId="102">
    <w:abstractNumId w:val="58"/>
  </w:num>
  <w:num w:numId="103">
    <w:abstractNumId w:val="52"/>
  </w:num>
  <w:num w:numId="104">
    <w:abstractNumId w:val="76"/>
  </w:num>
  <w:num w:numId="105">
    <w:abstractNumId w:val="17"/>
  </w:num>
  <w:num w:numId="106">
    <w:abstractNumId w:val="149"/>
  </w:num>
  <w:num w:numId="107">
    <w:abstractNumId w:val="133"/>
  </w:num>
  <w:num w:numId="108">
    <w:abstractNumId w:val="82"/>
  </w:num>
  <w:num w:numId="109">
    <w:abstractNumId w:val="129"/>
  </w:num>
  <w:num w:numId="110">
    <w:abstractNumId w:val="101"/>
  </w:num>
  <w:num w:numId="111">
    <w:abstractNumId w:val="125"/>
  </w:num>
  <w:num w:numId="112">
    <w:abstractNumId w:val="39"/>
  </w:num>
  <w:num w:numId="113">
    <w:abstractNumId w:val="63"/>
  </w:num>
  <w:num w:numId="114">
    <w:abstractNumId w:val="139"/>
  </w:num>
  <w:num w:numId="115">
    <w:abstractNumId w:val="128"/>
  </w:num>
  <w:num w:numId="116">
    <w:abstractNumId w:val="97"/>
  </w:num>
  <w:num w:numId="117">
    <w:abstractNumId w:val="92"/>
  </w:num>
  <w:num w:numId="118">
    <w:abstractNumId w:val="26"/>
  </w:num>
  <w:num w:numId="119">
    <w:abstractNumId w:val="56"/>
  </w:num>
  <w:num w:numId="120">
    <w:abstractNumId w:val="42"/>
  </w:num>
  <w:num w:numId="121">
    <w:abstractNumId w:val="131"/>
  </w:num>
  <w:num w:numId="122">
    <w:abstractNumId w:val="45"/>
  </w:num>
  <w:num w:numId="123">
    <w:abstractNumId w:val="108"/>
  </w:num>
  <w:num w:numId="124">
    <w:abstractNumId w:val="124"/>
  </w:num>
  <w:num w:numId="125">
    <w:abstractNumId w:val="25"/>
  </w:num>
  <w:num w:numId="126">
    <w:abstractNumId w:val="72"/>
  </w:num>
  <w:num w:numId="127">
    <w:abstractNumId w:val="132"/>
  </w:num>
  <w:num w:numId="128">
    <w:abstractNumId w:val="47"/>
  </w:num>
  <w:num w:numId="129">
    <w:abstractNumId w:val="7"/>
  </w:num>
  <w:num w:numId="130">
    <w:abstractNumId w:val="71"/>
  </w:num>
  <w:num w:numId="131">
    <w:abstractNumId w:val="29"/>
  </w:num>
  <w:num w:numId="132">
    <w:abstractNumId w:val="87"/>
  </w:num>
  <w:num w:numId="133">
    <w:abstractNumId w:val="158"/>
  </w:num>
  <w:num w:numId="134">
    <w:abstractNumId w:val="30"/>
  </w:num>
  <w:num w:numId="135">
    <w:abstractNumId w:val="43"/>
  </w:num>
  <w:num w:numId="136">
    <w:abstractNumId w:val="99"/>
  </w:num>
  <w:num w:numId="137">
    <w:abstractNumId w:val="116"/>
  </w:num>
  <w:num w:numId="138">
    <w:abstractNumId w:val="148"/>
  </w:num>
  <w:num w:numId="139">
    <w:abstractNumId w:val="64"/>
  </w:num>
  <w:num w:numId="140">
    <w:abstractNumId w:val="152"/>
  </w:num>
  <w:num w:numId="141">
    <w:abstractNumId w:val="86"/>
  </w:num>
  <w:num w:numId="142">
    <w:abstractNumId w:val="66"/>
  </w:num>
  <w:num w:numId="143">
    <w:abstractNumId w:val="100"/>
  </w:num>
  <w:num w:numId="144">
    <w:abstractNumId w:val="41"/>
  </w:num>
  <w:num w:numId="145">
    <w:abstractNumId w:val="127"/>
  </w:num>
  <w:num w:numId="146">
    <w:abstractNumId w:val="83"/>
  </w:num>
  <w:num w:numId="147">
    <w:abstractNumId w:val="88"/>
  </w:num>
  <w:num w:numId="148">
    <w:abstractNumId w:val="155"/>
  </w:num>
  <w:num w:numId="149">
    <w:abstractNumId w:val="157"/>
  </w:num>
  <w:num w:numId="150">
    <w:abstractNumId w:val="34"/>
  </w:num>
  <w:num w:numId="151">
    <w:abstractNumId w:val="123"/>
  </w:num>
  <w:num w:numId="152">
    <w:abstractNumId w:val="135"/>
  </w:num>
  <w:num w:numId="153">
    <w:abstractNumId w:val="5"/>
  </w:num>
  <w:num w:numId="154">
    <w:abstractNumId w:val="78"/>
  </w:num>
  <w:num w:numId="155">
    <w:abstractNumId w:val="49"/>
  </w:num>
  <w:num w:numId="156">
    <w:abstractNumId w:val="57"/>
  </w:num>
  <w:num w:numId="157">
    <w:abstractNumId w:val="51"/>
  </w:num>
  <w:num w:numId="158">
    <w:abstractNumId w:val="68"/>
  </w:num>
  <w:num w:numId="159">
    <w:abstractNumId w:val="98"/>
  </w:num>
  <w:num w:numId="160">
    <w:abstractNumId w:val="14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91C"/>
    <w:rsid w:val="0000057B"/>
    <w:rsid w:val="00000FEE"/>
    <w:rsid w:val="00002907"/>
    <w:rsid w:val="00002DDC"/>
    <w:rsid w:val="000034C0"/>
    <w:rsid w:val="000035F6"/>
    <w:rsid w:val="00003853"/>
    <w:rsid w:val="00003B97"/>
    <w:rsid w:val="00003D75"/>
    <w:rsid w:val="00004534"/>
    <w:rsid w:val="00004984"/>
    <w:rsid w:val="0000519D"/>
    <w:rsid w:val="000058D3"/>
    <w:rsid w:val="00005DB6"/>
    <w:rsid w:val="00005E9E"/>
    <w:rsid w:val="000060A6"/>
    <w:rsid w:val="000068A7"/>
    <w:rsid w:val="00007141"/>
    <w:rsid w:val="000073C3"/>
    <w:rsid w:val="00007E24"/>
    <w:rsid w:val="00010093"/>
    <w:rsid w:val="000103A7"/>
    <w:rsid w:val="000104A4"/>
    <w:rsid w:val="00010513"/>
    <w:rsid w:val="00010A21"/>
    <w:rsid w:val="00010DC9"/>
    <w:rsid w:val="000117A8"/>
    <w:rsid w:val="000117DB"/>
    <w:rsid w:val="00011D1C"/>
    <w:rsid w:val="00011E74"/>
    <w:rsid w:val="00011F6C"/>
    <w:rsid w:val="000123A3"/>
    <w:rsid w:val="00012863"/>
    <w:rsid w:val="00012D7B"/>
    <w:rsid w:val="0001310B"/>
    <w:rsid w:val="000140BC"/>
    <w:rsid w:val="0001457D"/>
    <w:rsid w:val="00014A5E"/>
    <w:rsid w:val="00014BAF"/>
    <w:rsid w:val="00015341"/>
    <w:rsid w:val="00015644"/>
    <w:rsid w:val="00015AFB"/>
    <w:rsid w:val="00016611"/>
    <w:rsid w:val="00016A24"/>
    <w:rsid w:val="000171C8"/>
    <w:rsid w:val="0001746F"/>
    <w:rsid w:val="000175CB"/>
    <w:rsid w:val="000177A9"/>
    <w:rsid w:val="000177CF"/>
    <w:rsid w:val="000179F7"/>
    <w:rsid w:val="00017AE0"/>
    <w:rsid w:val="00017BFE"/>
    <w:rsid w:val="00017DC8"/>
    <w:rsid w:val="00017FFB"/>
    <w:rsid w:val="0002004F"/>
    <w:rsid w:val="000206F5"/>
    <w:rsid w:val="0002073D"/>
    <w:rsid w:val="00020E57"/>
    <w:rsid w:val="00020F59"/>
    <w:rsid w:val="0002121B"/>
    <w:rsid w:val="000217B9"/>
    <w:rsid w:val="0002195E"/>
    <w:rsid w:val="0002195F"/>
    <w:rsid w:val="00021960"/>
    <w:rsid w:val="00021E7C"/>
    <w:rsid w:val="0002223F"/>
    <w:rsid w:val="00022C73"/>
    <w:rsid w:val="00023473"/>
    <w:rsid w:val="000234E8"/>
    <w:rsid w:val="0002350D"/>
    <w:rsid w:val="00023A27"/>
    <w:rsid w:val="00023D69"/>
    <w:rsid w:val="00024AE1"/>
    <w:rsid w:val="00024C49"/>
    <w:rsid w:val="0002506C"/>
    <w:rsid w:val="000255A4"/>
    <w:rsid w:val="000262DB"/>
    <w:rsid w:val="00026992"/>
    <w:rsid w:val="00026A5C"/>
    <w:rsid w:val="00026F60"/>
    <w:rsid w:val="00026FE2"/>
    <w:rsid w:val="00027087"/>
    <w:rsid w:val="0002731C"/>
    <w:rsid w:val="00027C62"/>
    <w:rsid w:val="00027DDB"/>
    <w:rsid w:val="00030543"/>
    <w:rsid w:val="00030A16"/>
    <w:rsid w:val="00030AFE"/>
    <w:rsid w:val="000312EC"/>
    <w:rsid w:val="0003155C"/>
    <w:rsid w:val="0003185F"/>
    <w:rsid w:val="00033478"/>
    <w:rsid w:val="000338CF"/>
    <w:rsid w:val="00034173"/>
    <w:rsid w:val="00034417"/>
    <w:rsid w:val="00034856"/>
    <w:rsid w:val="00034881"/>
    <w:rsid w:val="00035EDB"/>
    <w:rsid w:val="00037885"/>
    <w:rsid w:val="00037C86"/>
    <w:rsid w:val="00037CB4"/>
    <w:rsid w:val="00037FD6"/>
    <w:rsid w:val="000403CF"/>
    <w:rsid w:val="000407FC"/>
    <w:rsid w:val="000420EB"/>
    <w:rsid w:val="000424F1"/>
    <w:rsid w:val="000429C6"/>
    <w:rsid w:val="00042BD4"/>
    <w:rsid w:val="000434B0"/>
    <w:rsid w:val="000437F1"/>
    <w:rsid w:val="00043B38"/>
    <w:rsid w:val="00043DCF"/>
    <w:rsid w:val="00044107"/>
    <w:rsid w:val="00044B0B"/>
    <w:rsid w:val="00044FA2"/>
    <w:rsid w:val="00045264"/>
    <w:rsid w:val="00045EDD"/>
    <w:rsid w:val="000461F4"/>
    <w:rsid w:val="0004675B"/>
    <w:rsid w:val="000468FA"/>
    <w:rsid w:val="00046A62"/>
    <w:rsid w:val="00046D16"/>
    <w:rsid w:val="00047262"/>
    <w:rsid w:val="0004792A"/>
    <w:rsid w:val="00051141"/>
    <w:rsid w:val="000515FC"/>
    <w:rsid w:val="00051B31"/>
    <w:rsid w:val="00052440"/>
    <w:rsid w:val="00052C32"/>
    <w:rsid w:val="000532C8"/>
    <w:rsid w:val="00053445"/>
    <w:rsid w:val="00053999"/>
    <w:rsid w:val="00053F52"/>
    <w:rsid w:val="000541EE"/>
    <w:rsid w:val="00054391"/>
    <w:rsid w:val="000545E9"/>
    <w:rsid w:val="000547CE"/>
    <w:rsid w:val="00054C63"/>
    <w:rsid w:val="00054D35"/>
    <w:rsid w:val="000556D8"/>
    <w:rsid w:val="00056761"/>
    <w:rsid w:val="00056BF7"/>
    <w:rsid w:val="00056C59"/>
    <w:rsid w:val="00060E7A"/>
    <w:rsid w:val="00060F3B"/>
    <w:rsid w:val="00061486"/>
    <w:rsid w:val="00061810"/>
    <w:rsid w:val="00061E71"/>
    <w:rsid w:val="000623A4"/>
    <w:rsid w:val="000623BA"/>
    <w:rsid w:val="0006271B"/>
    <w:rsid w:val="00062AD0"/>
    <w:rsid w:val="000630F3"/>
    <w:rsid w:val="00063262"/>
    <w:rsid w:val="00063A64"/>
    <w:rsid w:val="00063B31"/>
    <w:rsid w:val="000641AA"/>
    <w:rsid w:val="000641D7"/>
    <w:rsid w:val="000642AF"/>
    <w:rsid w:val="00064804"/>
    <w:rsid w:val="0006537A"/>
    <w:rsid w:val="00065499"/>
    <w:rsid w:val="00065B03"/>
    <w:rsid w:val="00065BC5"/>
    <w:rsid w:val="00065F31"/>
    <w:rsid w:val="00065F4A"/>
    <w:rsid w:val="000663C3"/>
    <w:rsid w:val="0006664B"/>
    <w:rsid w:val="000668BE"/>
    <w:rsid w:val="00066906"/>
    <w:rsid w:val="00066B14"/>
    <w:rsid w:val="00067077"/>
    <w:rsid w:val="000673AC"/>
    <w:rsid w:val="0007024D"/>
    <w:rsid w:val="00070483"/>
    <w:rsid w:val="000705FA"/>
    <w:rsid w:val="00070887"/>
    <w:rsid w:val="00070AE5"/>
    <w:rsid w:val="00070E25"/>
    <w:rsid w:val="0007135B"/>
    <w:rsid w:val="00071510"/>
    <w:rsid w:val="0007152E"/>
    <w:rsid w:val="00072703"/>
    <w:rsid w:val="000727C9"/>
    <w:rsid w:val="00072AE3"/>
    <w:rsid w:val="00072E37"/>
    <w:rsid w:val="00072F06"/>
    <w:rsid w:val="00073416"/>
    <w:rsid w:val="00073B05"/>
    <w:rsid w:val="00073C9E"/>
    <w:rsid w:val="00073DE3"/>
    <w:rsid w:val="00073ECB"/>
    <w:rsid w:val="000744AF"/>
    <w:rsid w:val="00074B1D"/>
    <w:rsid w:val="0007571B"/>
    <w:rsid w:val="000759CA"/>
    <w:rsid w:val="00075B95"/>
    <w:rsid w:val="0007628E"/>
    <w:rsid w:val="000764D4"/>
    <w:rsid w:val="0007696B"/>
    <w:rsid w:val="00076E87"/>
    <w:rsid w:val="000803F2"/>
    <w:rsid w:val="00080602"/>
    <w:rsid w:val="000806C5"/>
    <w:rsid w:val="00080E34"/>
    <w:rsid w:val="00081285"/>
    <w:rsid w:val="000816BA"/>
    <w:rsid w:val="0008188B"/>
    <w:rsid w:val="00081A8B"/>
    <w:rsid w:val="00082014"/>
    <w:rsid w:val="00082692"/>
    <w:rsid w:val="000826FB"/>
    <w:rsid w:val="000830B6"/>
    <w:rsid w:val="00083895"/>
    <w:rsid w:val="00083A44"/>
    <w:rsid w:val="00083FC8"/>
    <w:rsid w:val="0008452F"/>
    <w:rsid w:val="0008461A"/>
    <w:rsid w:val="000846AC"/>
    <w:rsid w:val="00084CC3"/>
    <w:rsid w:val="000850C5"/>
    <w:rsid w:val="00085318"/>
    <w:rsid w:val="00085CF4"/>
    <w:rsid w:val="0008603A"/>
    <w:rsid w:val="0008733C"/>
    <w:rsid w:val="000877B3"/>
    <w:rsid w:val="00090164"/>
    <w:rsid w:val="000901B7"/>
    <w:rsid w:val="0009063A"/>
    <w:rsid w:val="00091168"/>
    <w:rsid w:val="000913A1"/>
    <w:rsid w:val="0009242D"/>
    <w:rsid w:val="00093DFB"/>
    <w:rsid w:val="00093F52"/>
    <w:rsid w:val="00093F73"/>
    <w:rsid w:val="000944D7"/>
    <w:rsid w:val="00094516"/>
    <w:rsid w:val="00094775"/>
    <w:rsid w:val="0009501A"/>
    <w:rsid w:val="00095798"/>
    <w:rsid w:val="00096987"/>
    <w:rsid w:val="00096DBF"/>
    <w:rsid w:val="00096F14"/>
    <w:rsid w:val="000972A6"/>
    <w:rsid w:val="00097764"/>
    <w:rsid w:val="000977E1"/>
    <w:rsid w:val="0009799B"/>
    <w:rsid w:val="000A0338"/>
    <w:rsid w:val="000A081E"/>
    <w:rsid w:val="000A0A74"/>
    <w:rsid w:val="000A0AF0"/>
    <w:rsid w:val="000A0D66"/>
    <w:rsid w:val="000A0EA5"/>
    <w:rsid w:val="000A2202"/>
    <w:rsid w:val="000A2391"/>
    <w:rsid w:val="000A253D"/>
    <w:rsid w:val="000A2655"/>
    <w:rsid w:val="000A27B3"/>
    <w:rsid w:val="000A2962"/>
    <w:rsid w:val="000A2BDE"/>
    <w:rsid w:val="000A2EBF"/>
    <w:rsid w:val="000A3E9B"/>
    <w:rsid w:val="000A4055"/>
    <w:rsid w:val="000A42FB"/>
    <w:rsid w:val="000A53E4"/>
    <w:rsid w:val="000A56DA"/>
    <w:rsid w:val="000A591C"/>
    <w:rsid w:val="000A59DF"/>
    <w:rsid w:val="000A64AE"/>
    <w:rsid w:val="000A6A9A"/>
    <w:rsid w:val="000A6FF2"/>
    <w:rsid w:val="000A713F"/>
    <w:rsid w:val="000A76E6"/>
    <w:rsid w:val="000A79B6"/>
    <w:rsid w:val="000A7B73"/>
    <w:rsid w:val="000A7D97"/>
    <w:rsid w:val="000B0789"/>
    <w:rsid w:val="000B0A13"/>
    <w:rsid w:val="000B0FCA"/>
    <w:rsid w:val="000B19C5"/>
    <w:rsid w:val="000B249D"/>
    <w:rsid w:val="000B2543"/>
    <w:rsid w:val="000B2603"/>
    <w:rsid w:val="000B2C6A"/>
    <w:rsid w:val="000B31DF"/>
    <w:rsid w:val="000B35AE"/>
    <w:rsid w:val="000B36EC"/>
    <w:rsid w:val="000B3CA0"/>
    <w:rsid w:val="000B414E"/>
    <w:rsid w:val="000B426B"/>
    <w:rsid w:val="000B44E2"/>
    <w:rsid w:val="000B49B3"/>
    <w:rsid w:val="000B54E5"/>
    <w:rsid w:val="000B5A23"/>
    <w:rsid w:val="000B6129"/>
    <w:rsid w:val="000B72D1"/>
    <w:rsid w:val="000B7E18"/>
    <w:rsid w:val="000C0AF6"/>
    <w:rsid w:val="000C0C21"/>
    <w:rsid w:val="000C0F76"/>
    <w:rsid w:val="000C1140"/>
    <w:rsid w:val="000C1C62"/>
    <w:rsid w:val="000C2566"/>
    <w:rsid w:val="000C2AFC"/>
    <w:rsid w:val="000C3B79"/>
    <w:rsid w:val="000C3F18"/>
    <w:rsid w:val="000C45B4"/>
    <w:rsid w:val="000C51B7"/>
    <w:rsid w:val="000C5A47"/>
    <w:rsid w:val="000C5C5A"/>
    <w:rsid w:val="000C64F6"/>
    <w:rsid w:val="000C6570"/>
    <w:rsid w:val="000C65F7"/>
    <w:rsid w:val="000C66A7"/>
    <w:rsid w:val="000C6742"/>
    <w:rsid w:val="000C67B7"/>
    <w:rsid w:val="000C7063"/>
    <w:rsid w:val="000C70C0"/>
    <w:rsid w:val="000C751D"/>
    <w:rsid w:val="000D0116"/>
    <w:rsid w:val="000D07D8"/>
    <w:rsid w:val="000D0B4B"/>
    <w:rsid w:val="000D0C36"/>
    <w:rsid w:val="000D0DA4"/>
    <w:rsid w:val="000D1144"/>
    <w:rsid w:val="000D15B6"/>
    <w:rsid w:val="000D16B7"/>
    <w:rsid w:val="000D29B3"/>
    <w:rsid w:val="000D2CAD"/>
    <w:rsid w:val="000D3563"/>
    <w:rsid w:val="000D3721"/>
    <w:rsid w:val="000D3BDA"/>
    <w:rsid w:val="000D426F"/>
    <w:rsid w:val="000D4484"/>
    <w:rsid w:val="000D4B15"/>
    <w:rsid w:val="000D4E5E"/>
    <w:rsid w:val="000D5324"/>
    <w:rsid w:val="000D56C6"/>
    <w:rsid w:val="000D5DE4"/>
    <w:rsid w:val="000D6CF3"/>
    <w:rsid w:val="000D6D67"/>
    <w:rsid w:val="000D7316"/>
    <w:rsid w:val="000E01DE"/>
    <w:rsid w:val="000E020D"/>
    <w:rsid w:val="000E04F2"/>
    <w:rsid w:val="000E118C"/>
    <w:rsid w:val="000E15BD"/>
    <w:rsid w:val="000E2058"/>
    <w:rsid w:val="000E237A"/>
    <w:rsid w:val="000E2813"/>
    <w:rsid w:val="000E35D1"/>
    <w:rsid w:val="000E3D81"/>
    <w:rsid w:val="000E487D"/>
    <w:rsid w:val="000E4B23"/>
    <w:rsid w:val="000E4C18"/>
    <w:rsid w:val="000E5AE4"/>
    <w:rsid w:val="000E6566"/>
    <w:rsid w:val="000E68BE"/>
    <w:rsid w:val="000E69A3"/>
    <w:rsid w:val="000E712F"/>
    <w:rsid w:val="000E79B2"/>
    <w:rsid w:val="000E7D9F"/>
    <w:rsid w:val="000F0742"/>
    <w:rsid w:val="000F07D6"/>
    <w:rsid w:val="000F0B22"/>
    <w:rsid w:val="000F0BBF"/>
    <w:rsid w:val="000F0C61"/>
    <w:rsid w:val="000F0E9A"/>
    <w:rsid w:val="000F0FA3"/>
    <w:rsid w:val="000F1928"/>
    <w:rsid w:val="000F20B3"/>
    <w:rsid w:val="000F213B"/>
    <w:rsid w:val="000F25A2"/>
    <w:rsid w:val="000F295C"/>
    <w:rsid w:val="000F2F10"/>
    <w:rsid w:val="000F3473"/>
    <w:rsid w:val="000F34CB"/>
    <w:rsid w:val="000F415B"/>
    <w:rsid w:val="000F45E7"/>
    <w:rsid w:val="000F4785"/>
    <w:rsid w:val="000F4890"/>
    <w:rsid w:val="000F4F4D"/>
    <w:rsid w:val="000F59C3"/>
    <w:rsid w:val="000F5A29"/>
    <w:rsid w:val="000F67B7"/>
    <w:rsid w:val="000F695C"/>
    <w:rsid w:val="000F6E9A"/>
    <w:rsid w:val="000F6EB3"/>
    <w:rsid w:val="000F6FDA"/>
    <w:rsid w:val="000F74B0"/>
    <w:rsid w:val="000F7D48"/>
    <w:rsid w:val="00100051"/>
    <w:rsid w:val="00100371"/>
    <w:rsid w:val="00100477"/>
    <w:rsid w:val="00100740"/>
    <w:rsid w:val="00100792"/>
    <w:rsid w:val="00101D57"/>
    <w:rsid w:val="00102765"/>
    <w:rsid w:val="00102D9E"/>
    <w:rsid w:val="00102E88"/>
    <w:rsid w:val="001033C5"/>
    <w:rsid w:val="00104121"/>
    <w:rsid w:val="0010418B"/>
    <w:rsid w:val="00104214"/>
    <w:rsid w:val="00104FF7"/>
    <w:rsid w:val="0010539B"/>
    <w:rsid w:val="00105F3B"/>
    <w:rsid w:val="001061FD"/>
    <w:rsid w:val="00106F04"/>
    <w:rsid w:val="001071D6"/>
    <w:rsid w:val="00110229"/>
    <w:rsid w:val="00111044"/>
    <w:rsid w:val="0011132A"/>
    <w:rsid w:val="0011135F"/>
    <w:rsid w:val="001114A3"/>
    <w:rsid w:val="00111FA5"/>
    <w:rsid w:val="00112263"/>
    <w:rsid w:val="00112374"/>
    <w:rsid w:val="001123CB"/>
    <w:rsid w:val="0011251C"/>
    <w:rsid w:val="001126E7"/>
    <w:rsid w:val="001135ED"/>
    <w:rsid w:val="001141CD"/>
    <w:rsid w:val="00114649"/>
    <w:rsid w:val="00114CA8"/>
    <w:rsid w:val="0011531A"/>
    <w:rsid w:val="0011636D"/>
    <w:rsid w:val="00116463"/>
    <w:rsid w:val="00116C58"/>
    <w:rsid w:val="00117589"/>
    <w:rsid w:val="0011774A"/>
    <w:rsid w:val="001179F3"/>
    <w:rsid w:val="00117A0E"/>
    <w:rsid w:val="00117A3D"/>
    <w:rsid w:val="00117CF7"/>
    <w:rsid w:val="001201D1"/>
    <w:rsid w:val="00120307"/>
    <w:rsid w:val="0012055C"/>
    <w:rsid w:val="0012084E"/>
    <w:rsid w:val="00120EB4"/>
    <w:rsid w:val="001211B0"/>
    <w:rsid w:val="00121251"/>
    <w:rsid w:val="001212B0"/>
    <w:rsid w:val="00121908"/>
    <w:rsid w:val="00121B15"/>
    <w:rsid w:val="00121C44"/>
    <w:rsid w:val="00121C81"/>
    <w:rsid w:val="00121CFB"/>
    <w:rsid w:val="00121DBF"/>
    <w:rsid w:val="00122307"/>
    <w:rsid w:val="001226EA"/>
    <w:rsid w:val="00123087"/>
    <w:rsid w:val="00123304"/>
    <w:rsid w:val="00123F7D"/>
    <w:rsid w:val="00123FAE"/>
    <w:rsid w:val="001247FF"/>
    <w:rsid w:val="00124AC7"/>
    <w:rsid w:val="00124B6E"/>
    <w:rsid w:val="00124FFB"/>
    <w:rsid w:val="001259A7"/>
    <w:rsid w:val="00125A9B"/>
    <w:rsid w:val="001263CB"/>
    <w:rsid w:val="00126E2F"/>
    <w:rsid w:val="00127245"/>
    <w:rsid w:val="00130B3C"/>
    <w:rsid w:val="00130BDA"/>
    <w:rsid w:val="001310D5"/>
    <w:rsid w:val="001316C3"/>
    <w:rsid w:val="00131AF2"/>
    <w:rsid w:val="00131F44"/>
    <w:rsid w:val="00132209"/>
    <w:rsid w:val="00132CF2"/>
    <w:rsid w:val="00133054"/>
    <w:rsid w:val="001338F4"/>
    <w:rsid w:val="0013398B"/>
    <w:rsid w:val="00133A2F"/>
    <w:rsid w:val="00133E6A"/>
    <w:rsid w:val="00133F5C"/>
    <w:rsid w:val="00134115"/>
    <w:rsid w:val="001348F8"/>
    <w:rsid w:val="00134971"/>
    <w:rsid w:val="00134A6A"/>
    <w:rsid w:val="001354E7"/>
    <w:rsid w:val="00135EE7"/>
    <w:rsid w:val="00135FC8"/>
    <w:rsid w:val="001365FB"/>
    <w:rsid w:val="001369C4"/>
    <w:rsid w:val="001374BE"/>
    <w:rsid w:val="0013751B"/>
    <w:rsid w:val="0013769B"/>
    <w:rsid w:val="00137DDC"/>
    <w:rsid w:val="00137FB0"/>
    <w:rsid w:val="00140851"/>
    <w:rsid w:val="0014148F"/>
    <w:rsid w:val="00141882"/>
    <w:rsid w:val="00141F1A"/>
    <w:rsid w:val="00142967"/>
    <w:rsid w:val="00142BA5"/>
    <w:rsid w:val="0014308C"/>
    <w:rsid w:val="001432C0"/>
    <w:rsid w:val="0014398B"/>
    <w:rsid w:val="00143EE2"/>
    <w:rsid w:val="00144966"/>
    <w:rsid w:val="001449FB"/>
    <w:rsid w:val="00144DE9"/>
    <w:rsid w:val="0014547B"/>
    <w:rsid w:val="00145B1E"/>
    <w:rsid w:val="0014687D"/>
    <w:rsid w:val="00146BF6"/>
    <w:rsid w:val="00147500"/>
    <w:rsid w:val="00147508"/>
    <w:rsid w:val="00147EAE"/>
    <w:rsid w:val="00147F68"/>
    <w:rsid w:val="00150BCF"/>
    <w:rsid w:val="00151450"/>
    <w:rsid w:val="0015150D"/>
    <w:rsid w:val="001517DE"/>
    <w:rsid w:val="00151965"/>
    <w:rsid w:val="00151B91"/>
    <w:rsid w:val="0015201A"/>
    <w:rsid w:val="001521D6"/>
    <w:rsid w:val="00152AC9"/>
    <w:rsid w:val="00152B88"/>
    <w:rsid w:val="00154242"/>
    <w:rsid w:val="00154CF1"/>
    <w:rsid w:val="00154E16"/>
    <w:rsid w:val="00155563"/>
    <w:rsid w:val="00155977"/>
    <w:rsid w:val="00155D51"/>
    <w:rsid w:val="00156084"/>
    <w:rsid w:val="0015650E"/>
    <w:rsid w:val="00156868"/>
    <w:rsid w:val="00156B3D"/>
    <w:rsid w:val="00157494"/>
    <w:rsid w:val="00157CAC"/>
    <w:rsid w:val="001601F7"/>
    <w:rsid w:val="00160AE1"/>
    <w:rsid w:val="00160C60"/>
    <w:rsid w:val="00161031"/>
    <w:rsid w:val="0016159A"/>
    <w:rsid w:val="001615F9"/>
    <w:rsid w:val="0016168B"/>
    <w:rsid w:val="00161B0F"/>
    <w:rsid w:val="00162203"/>
    <w:rsid w:val="0016230D"/>
    <w:rsid w:val="0016289E"/>
    <w:rsid w:val="00162DB1"/>
    <w:rsid w:val="00163099"/>
    <w:rsid w:val="001637F0"/>
    <w:rsid w:val="001639AF"/>
    <w:rsid w:val="001639C0"/>
    <w:rsid w:val="001641E1"/>
    <w:rsid w:val="001644DC"/>
    <w:rsid w:val="001649DE"/>
    <w:rsid w:val="00164A1C"/>
    <w:rsid w:val="00164CC1"/>
    <w:rsid w:val="00164F59"/>
    <w:rsid w:val="00165698"/>
    <w:rsid w:val="001656AE"/>
    <w:rsid w:val="00165972"/>
    <w:rsid w:val="00165B88"/>
    <w:rsid w:val="00165CA8"/>
    <w:rsid w:val="00166009"/>
    <w:rsid w:val="00166B36"/>
    <w:rsid w:val="00167171"/>
    <w:rsid w:val="0016779B"/>
    <w:rsid w:val="001678C0"/>
    <w:rsid w:val="00170843"/>
    <w:rsid w:val="001709F3"/>
    <w:rsid w:val="00170AA2"/>
    <w:rsid w:val="00170EF6"/>
    <w:rsid w:val="00170F69"/>
    <w:rsid w:val="001711A1"/>
    <w:rsid w:val="0017125F"/>
    <w:rsid w:val="00171BBE"/>
    <w:rsid w:val="0017241F"/>
    <w:rsid w:val="0017376B"/>
    <w:rsid w:val="001738D6"/>
    <w:rsid w:val="001738ED"/>
    <w:rsid w:val="00173CC1"/>
    <w:rsid w:val="00173FA2"/>
    <w:rsid w:val="00174831"/>
    <w:rsid w:val="00174D3B"/>
    <w:rsid w:val="00174F3A"/>
    <w:rsid w:val="001752F7"/>
    <w:rsid w:val="0017534C"/>
    <w:rsid w:val="00175499"/>
    <w:rsid w:val="00175549"/>
    <w:rsid w:val="001757CD"/>
    <w:rsid w:val="00175BBF"/>
    <w:rsid w:val="00176A04"/>
    <w:rsid w:val="00176BA2"/>
    <w:rsid w:val="00176BB7"/>
    <w:rsid w:val="0017751A"/>
    <w:rsid w:val="0017780A"/>
    <w:rsid w:val="001778FD"/>
    <w:rsid w:val="0017791F"/>
    <w:rsid w:val="0017798A"/>
    <w:rsid w:val="00177FD1"/>
    <w:rsid w:val="001808CE"/>
    <w:rsid w:val="00180A7D"/>
    <w:rsid w:val="00180EBB"/>
    <w:rsid w:val="00181083"/>
    <w:rsid w:val="001821CE"/>
    <w:rsid w:val="001822C3"/>
    <w:rsid w:val="001823C0"/>
    <w:rsid w:val="0018285F"/>
    <w:rsid w:val="00182FF3"/>
    <w:rsid w:val="001833CF"/>
    <w:rsid w:val="00183636"/>
    <w:rsid w:val="00183990"/>
    <w:rsid w:val="00183D01"/>
    <w:rsid w:val="00183D75"/>
    <w:rsid w:val="00183DFA"/>
    <w:rsid w:val="00184317"/>
    <w:rsid w:val="001843E2"/>
    <w:rsid w:val="00184C3A"/>
    <w:rsid w:val="0018504A"/>
    <w:rsid w:val="00185303"/>
    <w:rsid w:val="00185F5C"/>
    <w:rsid w:val="00185FE2"/>
    <w:rsid w:val="0018612C"/>
    <w:rsid w:val="00186383"/>
    <w:rsid w:val="0018641D"/>
    <w:rsid w:val="00186590"/>
    <w:rsid w:val="00186890"/>
    <w:rsid w:val="00186987"/>
    <w:rsid w:val="00187D5B"/>
    <w:rsid w:val="001900B9"/>
    <w:rsid w:val="00190649"/>
    <w:rsid w:val="00191349"/>
    <w:rsid w:val="001915C7"/>
    <w:rsid w:val="00191788"/>
    <w:rsid w:val="001925CA"/>
    <w:rsid w:val="0019263C"/>
    <w:rsid w:val="001928C8"/>
    <w:rsid w:val="00192E24"/>
    <w:rsid w:val="00193011"/>
    <w:rsid w:val="001931BF"/>
    <w:rsid w:val="0019343E"/>
    <w:rsid w:val="001936AA"/>
    <w:rsid w:val="00194884"/>
    <w:rsid w:val="00194D44"/>
    <w:rsid w:val="0019631B"/>
    <w:rsid w:val="001965F3"/>
    <w:rsid w:val="00197076"/>
    <w:rsid w:val="00197204"/>
    <w:rsid w:val="001A03FA"/>
    <w:rsid w:val="001A0BD9"/>
    <w:rsid w:val="001A0F26"/>
    <w:rsid w:val="001A1408"/>
    <w:rsid w:val="001A15F8"/>
    <w:rsid w:val="001A17B8"/>
    <w:rsid w:val="001A232A"/>
    <w:rsid w:val="001A24A4"/>
    <w:rsid w:val="001A2B4A"/>
    <w:rsid w:val="001A2C70"/>
    <w:rsid w:val="001A2E25"/>
    <w:rsid w:val="001A31C9"/>
    <w:rsid w:val="001A325F"/>
    <w:rsid w:val="001A369F"/>
    <w:rsid w:val="001A411B"/>
    <w:rsid w:val="001A4299"/>
    <w:rsid w:val="001A4A0B"/>
    <w:rsid w:val="001A4C2C"/>
    <w:rsid w:val="001A5B6F"/>
    <w:rsid w:val="001A5DDE"/>
    <w:rsid w:val="001A5F16"/>
    <w:rsid w:val="001A6584"/>
    <w:rsid w:val="001A65BB"/>
    <w:rsid w:val="001A6A6B"/>
    <w:rsid w:val="001A6D35"/>
    <w:rsid w:val="001A7C7D"/>
    <w:rsid w:val="001B0138"/>
    <w:rsid w:val="001B0267"/>
    <w:rsid w:val="001B05CB"/>
    <w:rsid w:val="001B0EF2"/>
    <w:rsid w:val="001B14C8"/>
    <w:rsid w:val="001B1B79"/>
    <w:rsid w:val="001B1DCB"/>
    <w:rsid w:val="001B2044"/>
    <w:rsid w:val="001B20D6"/>
    <w:rsid w:val="001B2C76"/>
    <w:rsid w:val="001B3229"/>
    <w:rsid w:val="001B37BA"/>
    <w:rsid w:val="001B3D41"/>
    <w:rsid w:val="001B40DA"/>
    <w:rsid w:val="001B4260"/>
    <w:rsid w:val="001B494A"/>
    <w:rsid w:val="001B551E"/>
    <w:rsid w:val="001B5734"/>
    <w:rsid w:val="001B58A7"/>
    <w:rsid w:val="001B5BFF"/>
    <w:rsid w:val="001B73FC"/>
    <w:rsid w:val="001B7999"/>
    <w:rsid w:val="001C049A"/>
    <w:rsid w:val="001C055E"/>
    <w:rsid w:val="001C094C"/>
    <w:rsid w:val="001C098F"/>
    <w:rsid w:val="001C0B0F"/>
    <w:rsid w:val="001C0EE0"/>
    <w:rsid w:val="001C17FA"/>
    <w:rsid w:val="001C1E88"/>
    <w:rsid w:val="001C1F21"/>
    <w:rsid w:val="001C22B3"/>
    <w:rsid w:val="001C3042"/>
    <w:rsid w:val="001C37B5"/>
    <w:rsid w:val="001C391A"/>
    <w:rsid w:val="001C3988"/>
    <w:rsid w:val="001C39C0"/>
    <w:rsid w:val="001C39D0"/>
    <w:rsid w:val="001C47EB"/>
    <w:rsid w:val="001C4B60"/>
    <w:rsid w:val="001C504E"/>
    <w:rsid w:val="001C5AA0"/>
    <w:rsid w:val="001C5C8F"/>
    <w:rsid w:val="001C62E5"/>
    <w:rsid w:val="001C67BB"/>
    <w:rsid w:val="001C6C37"/>
    <w:rsid w:val="001C7C64"/>
    <w:rsid w:val="001C7E80"/>
    <w:rsid w:val="001D01AD"/>
    <w:rsid w:val="001D0677"/>
    <w:rsid w:val="001D119E"/>
    <w:rsid w:val="001D174F"/>
    <w:rsid w:val="001D1D3F"/>
    <w:rsid w:val="001D2337"/>
    <w:rsid w:val="001D238C"/>
    <w:rsid w:val="001D2C38"/>
    <w:rsid w:val="001D2F5C"/>
    <w:rsid w:val="001D308A"/>
    <w:rsid w:val="001D30EF"/>
    <w:rsid w:val="001D30FE"/>
    <w:rsid w:val="001D353C"/>
    <w:rsid w:val="001D3989"/>
    <w:rsid w:val="001D3F30"/>
    <w:rsid w:val="001D447E"/>
    <w:rsid w:val="001D479D"/>
    <w:rsid w:val="001D4853"/>
    <w:rsid w:val="001D5326"/>
    <w:rsid w:val="001D5D0D"/>
    <w:rsid w:val="001D6281"/>
    <w:rsid w:val="001D62C4"/>
    <w:rsid w:val="001D6326"/>
    <w:rsid w:val="001D6434"/>
    <w:rsid w:val="001D6C16"/>
    <w:rsid w:val="001D6DBE"/>
    <w:rsid w:val="001D6F48"/>
    <w:rsid w:val="001D7321"/>
    <w:rsid w:val="001D747B"/>
    <w:rsid w:val="001E091A"/>
    <w:rsid w:val="001E0C98"/>
    <w:rsid w:val="001E0E20"/>
    <w:rsid w:val="001E0F77"/>
    <w:rsid w:val="001E1BAD"/>
    <w:rsid w:val="001E239E"/>
    <w:rsid w:val="001E3241"/>
    <w:rsid w:val="001E3B14"/>
    <w:rsid w:val="001E3D83"/>
    <w:rsid w:val="001E402E"/>
    <w:rsid w:val="001E44D5"/>
    <w:rsid w:val="001E4D27"/>
    <w:rsid w:val="001E5125"/>
    <w:rsid w:val="001E535D"/>
    <w:rsid w:val="001E580B"/>
    <w:rsid w:val="001E5DC6"/>
    <w:rsid w:val="001E61D9"/>
    <w:rsid w:val="001E6234"/>
    <w:rsid w:val="001E65B2"/>
    <w:rsid w:val="001E6D07"/>
    <w:rsid w:val="001E72E8"/>
    <w:rsid w:val="001E7E9A"/>
    <w:rsid w:val="001F0040"/>
    <w:rsid w:val="001F0927"/>
    <w:rsid w:val="001F0CFB"/>
    <w:rsid w:val="001F0E76"/>
    <w:rsid w:val="001F11A9"/>
    <w:rsid w:val="001F161E"/>
    <w:rsid w:val="001F1648"/>
    <w:rsid w:val="001F16F2"/>
    <w:rsid w:val="001F1AAA"/>
    <w:rsid w:val="001F20C0"/>
    <w:rsid w:val="001F21DA"/>
    <w:rsid w:val="001F2A91"/>
    <w:rsid w:val="001F2B97"/>
    <w:rsid w:val="001F2C3D"/>
    <w:rsid w:val="001F2D98"/>
    <w:rsid w:val="001F2E1F"/>
    <w:rsid w:val="001F327B"/>
    <w:rsid w:val="001F3379"/>
    <w:rsid w:val="001F33B0"/>
    <w:rsid w:val="001F3727"/>
    <w:rsid w:val="001F3935"/>
    <w:rsid w:val="001F39E1"/>
    <w:rsid w:val="001F3FD3"/>
    <w:rsid w:val="001F409B"/>
    <w:rsid w:val="001F4D42"/>
    <w:rsid w:val="001F4DA6"/>
    <w:rsid w:val="001F5517"/>
    <w:rsid w:val="001F5805"/>
    <w:rsid w:val="001F6F7B"/>
    <w:rsid w:val="001F7A50"/>
    <w:rsid w:val="001F7B2F"/>
    <w:rsid w:val="001F7C22"/>
    <w:rsid w:val="0020069B"/>
    <w:rsid w:val="0020097C"/>
    <w:rsid w:val="00200C3B"/>
    <w:rsid w:val="0020103B"/>
    <w:rsid w:val="0020252D"/>
    <w:rsid w:val="0020268F"/>
    <w:rsid w:val="00202B93"/>
    <w:rsid w:val="00203167"/>
    <w:rsid w:val="0020403E"/>
    <w:rsid w:val="0020435B"/>
    <w:rsid w:val="00204453"/>
    <w:rsid w:val="002047FF"/>
    <w:rsid w:val="00204922"/>
    <w:rsid w:val="0020530E"/>
    <w:rsid w:val="00205585"/>
    <w:rsid w:val="002057C5"/>
    <w:rsid w:val="00205CF2"/>
    <w:rsid w:val="0020609F"/>
    <w:rsid w:val="0020632A"/>
    <w:rsid w:val="00206EA9"/>
    <w:rsid w:val="0020708C"/>
    <w:rsid w:val="002071DC"/>
    <w:rsid w:val="00207393"/>
    <w:rsid w:val="002077F5"/>
    <w:rsid w:val="00207A24"/>
    <w:rsid w:val="00210597"/>
    <w:rsid w:val="002107F0"/>
    <w:rsid w:val="00210C3A"/>
    <w:rsid w:val="00210D8E"/>
    <w:rsid w:val="002111E3"/>
    <w:rsid w:val="0021128C"/>
    <w:rsid w:val="00211DA0"/>
    <w:rsid w:val="00212289"/>
    <w:rsid w:val="002128E7"/>
    <w:rsid w:val="00212915"/>
    <w:rsid w:val="0021358D"/>
    <w:rsid w:val="00213ABA"/>
    <w:rsid w:val="00213B45"/>
    <w:rsid w:val="0021402E"/>
    <w:rsid w:val="0021457B"/>
    <w:rsid w:val="002146EF"/>
    <w:rsid w:val="0021470A"/>
    <w:rsid w:val="002149E2"/>
    <w:rsid w:val="0021501D"/>
    <w:rsid w:val="00215243"/>
    <w:rsid w:val="0021538B"/>
    <w:rsid w:val="00215A60"/>
    <w:rsid w:val="00215D82"/>
    <w:rsid w:val="00215E59"/>
    <w:rsid w:val="00215F78"/>
    <w:rsid w:val="002160CE"/>
    <w:rsid w:val="00216852"/>
    <w:rsid w:val="0021709E"/>
    <w:rsid w:val="002170F7"/>
    <w:rsid w:val="0021712C"/>
    <w:rsid w:val="0021791B"/>
    <w:rsid w:val="00217C18"/>
    <w:rsid w:val="00220295"/>
    <w:rsid w:val="00220780"/>
    <w:rsid w:val="00220ADF"/>
    <w:rsid w:val="00220E7C"/>
    <w:rsid w:val="00221294"/>
    <w:rsid w:val="002218D4"/>
    <w:rsid w:val="00222586"/>
    <w:rsid w:val="00223F9B"/>
    <w:rsid w:val="00224C6B"/>
    <w:rsid w:val="0022503E"/>
    <w:rsid w:val="0022599A"/>
    <w:rsid w:val="00226034"/>
    <w:rsid w:val="002260B0"/>
    <w:rsid w:val="00226A6C"/>
    <w:rsid w:val="002272F3"/>
    <w:rsid w:val="00230F78"/>
    <w:rsid w:val="002317CF"/>
    <w:rsid w:val="00231B9E"/>
    <w:rsid w:val="00231FDE"/>
    <w:rsid w:val="0023260E"/>
    <w:rsid w:val="002328FA"/>
    <w:rsid w:val="00232ADA"/>
    <w:rsid w:val="00232F14"/>
    <w:rsid w:val="0023337A"/>
    <w:rsid w:val="00233CBC"/>
    <w:rsid w:val="00233FD8"/>
    <w:rsid w:val="0023446E"/>
    <w:rsid w:val="0023467C"/>
    <w:rsid w:val="00234854"/>
    <w:rsid w:val="00234B05"/>
    <w:rsid w:val="0023558A"/>
    <w:rsid w:val="0023582E"/>
    <w:rsid w:val="002359A7"/>
    <w:rsid w:val="00235C88"/>
    <w:rsid w:val="00235ECA"/>
    <w:rsid w:val="00236598"/>
    <w:rsid w:val="002369A7"/>
    <w:rsid w:val="00236BF4"/>
    <w:rsid w:val="00236CC5"/>
    <w:rsid w:val="00236CCA"/>
    <w:rsid w:val="00236F38"/>
    <w:rsid w:val="00237320"/>
    <w:rsid w:val="0023732D"/>
    <w:rsid w:val="0023755D"/>
    <w:rsid w:val="00237648"/>
    <w:rsid w:val="00237A1A"/>
    <w:rsid w:val="00237E42"/>
    <w:rsid w:val="0024040B"/>
    <w:rsid w:val="00240CC3"/>
    <w:rsid w:val="0024114B"/>
    <w:rsid w:val="00241ABC"/>
    <w:rsid w:val="00241F43"/>
    <w:rsid w:val="00242634"/>
    <w:rsid w:val="002429ED"/>
    <w:rsid w:val="00242A6A"/>
    <w:rsid w:val="00242AEE"/>
    <w:rsid w:val="002431D4"/>
    <w:rsid w:val="002431D8"/>
    <w:rsid w:val="00243490"/>
    <w:rsid w:val="002434A7"/>
    <w:rsid w:val="002438D7"/>
    <w:rsid w:val="00243E28"/>
    <w:rsid w:val="00243ED4"/>
    <w:rsid w:val="00244370"/>
    <w:rsid w:val="00245183"/>
    <w:rsid w:val="00245F9B"/>
    <w:rsid w:val="00246337"/>
    <w:rsid w:val="00246B36"/>
    <w:rsid w:val="0024708F"/>
    <w:rsid w:val="00247365"/>
    <w:rsid w:val="00247A6E"/>
    <w:rsid w:val="00247B3B"/>
    <w:rsid w:val="00247D9B"/>
    <w:rsid w:val="00247DAE"/>
    <w:rsid w:val="0025037B"/>
    <w:rsid w:val="002503FA"/>
    <w:rsid w:val="002506B3"/>
    <w:rsid w:val="00250705"/>
    <w:rsid w:val="00251727"/>
    <w:rsid w:val="002517CF"/>
    <w:rsid w:val="00251C46"/>
    <w:rsid w:val="00251E62"/>
    <w:rsid w:val="0025240A"/>
    <w:rsid w:val="00252B14"/>
    <w:rsid w:val="00252B62"/>
    <w:rsid w:val="00253267"/>
    <w:rsid w:val="0025339D"/>
    <w:rsid w:val="00253800"/>
    <w:rsid w:val="002538F7"/>
    <w:rsid w:val="00253CE4"/>
    <w:rsid w:val="00253D10"/>
    <w:rsid w:val="00253EA4"/>
    <w:rsid w:val="002544ED"/>
    <w:rsid w:val="002548BE"/>
    <w:rsid w:val="002548EB"/>
    <w:rsid w:val="00254B3B"/>
    <w:rsid w:val="00254D1C"/>
    <w:rsid w:val="002550DA"/>
    <w:rsid w:val="002568DF"/>
    <w:rsid w:val="002568EF"/>
    <w:rsid w:val="00256B67"/>
    <w:rsid w:val="00256B68"/>
    <w:rsid w:val="002613BC"/>
    <w:rsid w:val="0026160E"/>
    <w:rsid w:val="00261755"/>
    <w:rsid w:val="00261A40"/>
    <w:rsid w:val="0026217E"/>
    <w:rsid w:val="002633ED"/>
    <w:rsid w:val="00263691"/>
    <w:rsid w:val="002639BF"/>
    <w:rsid w:val="002639EB"/>
    <w:rsid w:val="00263DE3"/>
    <w:rsid w:val="00264622"/>
    <w:rsid w:val="00264AB6"/>
    <w:rsid w:val="00265558"/>
    <w:rsid w:val="00265936"/>
    <w:rsid w:val="00266070"/>
    <w:rsid w:val="00266440"/>
    <w:rsid w:val="0026677E"/>
    <w:rsid w:val="00267379"/>
    <w:rsid w:val="002676DB"/>
    <w:rsid w:val="002677F6"/>
    <w:rsid w:val="002700C8"/>
    <w:rsid w:val="002700D2"/>
    <w:rsid w:val="0027013C"/>
    <w:rsid w:val="00270313"/>
    <w:rsid w:val="002709C1"/>
    <w:rsid w:val="00270B51"/>
    <w:rsid w:val="00270CB2"/>
    <w:rsid w:val="00271037"/>
    <w:rsid w:val="0027170C"/>
    <w:rsid w:val="00271C23"/>
    <w:rsid w:val="00271FF7"/>
    <w:rsid w:val="002724D0"/>
    <w:rsid w:val="00272559"/>
    <w:rsid w:val="00272573"/>
    <w:rsid w:val="0027269F"/>
    <w:rsid w:val="002727CB"/>
    <w:rsid w:val="0027282B"/>
    <w:rsid w:val="002728BD"/>
    <w:rsid w:val="00272F29"/>
    <w:rsid w:val="002731B3"/>
    <w:rsid w:val="00273701"/>
    <w:rsid w:val="00273716"/>
    <w:rsid w:val="00273805"/>
    <w:rsid w:val="00273AB2"/>
    <w:rsid w:val="00273B95"/>
    <w:rsid w:val="00273CB0"/>
    <w:rsid w:val="00274E6C"/>
    <w:rsid w:val="0027567D"/>
    <w:rsid w:val="00275A7E"/>
    <w:rsid w:val="00275C60"/>
    <w:rsid w:val="00275EE6"/>
    <w:rsid w:val="00276070"/>
    <w:rsid w:val="00276091"/>
    <w:rsid w:val="002764A6"/>
    <w:rsid w:val="002767F0"/>
    <w:rsid w:val="0027684F"/>
    <w:rsid w:val="0027699C"/>
    <w:rsid w:val="00276F1A"/>
    <w:rsid w:val="00277E9A"/>
    <w:rsid w:val="0028032E"/>
    <w:rsid w:val="00280D20"/>
    <w:rsid w:val="00280EAE"/>
    <w:rsid w:val="0028142F"/>
    <w:rsid w:val="00281D04"/>
    <w:rsid w:val="002822A1"/>
    <w:rsid w:val="002827BF"/>
    <w:rsid w:val="002829D2"/>
    <w:rsid w:val="00283058"/>
    <w:rsid w:val="0028343A"/>
    <w:rsid w:val="00283A84"/>
    <w:rsid w:val="002847C2"/>
    <w:rsid w:val="002852AF"/>
    <w:rsid w:val="002857F8"/>
    <w:rsid w:val="002859F0"/>
    <w:rsid w:val="00285F83"/>
    <w:rsid w:val="0028654F"/>
    <w:rsid w:val="0028660E"/>
    <w:rsid w:val="002869E8"/>
    <w:rsid w:val="00286AC8"/>
    <w:rsid w:val="00286BDE"/>
    <w:rsid w:val="00286CBA"/>
    <w:rsid w:val="00286DC8"/>
    <w:rsid w:val="00286F07"/>
    <w:rsid w:val="00287DFB"/>
    <w:rsid w:val="002902CC"/>
    <w:rsid w:val="00290CED"/>
    <w:rsid w:val="00291207"/>
    <w:rsid w:val="002918CB"/>
    <w:rsid w:val="00291ADC"/>
    <w:rsid w:val="00291F0C"/>
    <w:rsid w:val="0029315C"/>
    <w:rsid w:val="002938B8"/>
    <w:rsid w:val="00294085"/>
    <w:rsid w:val="00294AF5"/>
    <w:rsid w:val="00294E54"/>
    <w:rsid w:val="002954A3"/>
    <w:rsid w:val="0029554E"/>
    <w:rsid w:val="0029571A"/>
    <w:rsid w:val="00296718"/>
    <w:rsid w:val="0029687D"/>
    <w:rsid w:val="00296BB5"/>
    <w:rsid w:val="00296DBB"/>
    <w:rsid w:val="00297220"/>
    <w:rsid w:val="00297410"/>
    <w:rsid w:val="002979A7"/>
    <w:rsid w:val="002A085A"/>
    <w:rsid w:val="002A0B26"/>
    <w:rsid w:val="002A0DC8"/>
    <w:rsid w:val="002A0E5B"/>
    <w:rsid w:val="002A1AE0"/>
    <w:rsid w:val="002A21B5"/>
    <w:rsid w:val="002A26FD"/>
    <w:rsid w:val="002A2788"/>
    <w:rsid w:val="002A2A72"/>
    <w:rsid w:val="002A2DEA"/>
    <w:rsid w:val="002A2E6A"/>
    <w:rsid w:val="002A3860"/>
    <w:rsid w:val="002A3E08"/>
    <w:rsid w:val="002A4009"/>
    <w:rsid w:val="002A45D3"/>
    <w:rsid w:val="002A4756"/>
    <w:rsid w:val="002A4A24"/>
    <w:rsid w:val="002A4CA4"/>
    <w:rsid w:val="002A4CB9"/>
    <w:rsid w:val="002A5279"/>
    <w:rsid w:val="002A56AD"/>
    <w:rsid w:val="002A5B38"/>
    <w:rsid w:val="002A5B3E"/>
    <w:rsid w:val="002A5DD4"/>
    <w:rsid w:val="002A643D"/>
    <w:rsid w:val="002A67DC"/>
    <w:rsid w:val="002A78AC"/>
    <w:rsid w:val="002A78C7"/>
    <w:rsid w:val="002B0686"/>
    <w:rsid w:val="002B1124"/>
    <w:rsid w:val="002B13BD"/>
    <w:rsid w:val="002B152A"/>
    <w:rsid w:val="002B174C"/>
    <w:rsid w:val="002B235F"/>
    <w:rsid w:val="002B2C7A"/>
    <w:rsid w:val="002B3559"/>
    <w:rsid w:val="002B40B8"/>
    <w:rsid w:val="002B4467"/>
    <w:rsid w:val="002B4773"/>
    <w:rsid w:val="002B544D"/>
    <w:rsid w:val="002B55C9"/>
    <w:rsid w:val="002B5714"/>
    <w:rsid w:val="002B5767"/>
    <w:rsid w:val="002B74E4"/>
    <w:rsid w:val="002B7C1F"/>
    <w:rsid w:val="002C04CB"/>
    <w:rsid w:val="002C0506"/>
    <w:rsid w:val="002C0585"/>
    <w:rsid w:val="002C0D79"/>
    <w:rsid w:val="002C0F92"/>
    <w:rsid w:val="002C134F"/>
    <w:rsid w:val="002C14A2"/>
    <w:rsid w:val="002C1538"/>
    <w:rsid w:val="002C1896"/>
    <w:rsid w:val="002C1D5C"/>
    <w:rsid w:val="002C211B"/>
    <w:rsid w:val="002C28A4"/>
    <w:rsid w:val="002C2A56"/>
    <w:rsid w:val="002C2B5A"/>
    <w:rsid w:val="002C2D5F"/>
    <w:rsid w:val="002C2F08"/>
    <w:rsid w:val="002C3309"/>
    <w:rsid w:val="002C3743"/>
    <w:rsid w:val="002C3833"/>
    <w:rsid w:val="002C38A5"/>
    <w:rsid w:val="002C447A"/>
    <w:rsid w:val="002C48C4"/>
    <w:rsid w:val="002C497D"/>
    <w:rsid w:val="002C4DC9"/>
    <w:rsid w:val="002C511C"/>
    <w:rsid w:val="002C5538"/>
    <w:rsid w:val="002C6298"/>
    <w:rsid w:val="002C64FF"/>
    <w:rsid w:val="002C7248"/>
    <w:rsid w:val="002C759D"/>
    <w:rsid w:val="002C7A49"/>
    <w:rsid w:val="002D05FB"/>
    <w:rsid w:val="002D0BC1"/>
    <w:rsid w:val="002D0E8B"/>
    <w:rsid w:val="002D1039"/>
    <w:rsid w:val="002D11B0"/>
    <w:rsid w:val="002D1CF2"/>
    <w:rsid w:val="002D2A15"/>
    <w:rsid w:val="002D2B8E"/>
    <w:rsid w:val="002D2B97"/>
    <w:rsid w:val="002D2C13"/>
    <w:rsid w:val="002D2C38"/>
    <w:rsid w:val="002D2FA8"/>
    <w:rsid w:val="002D38AD"/>
    <w:rsid w:val="002D3A36"/>
    <w:rsid w:val="002D3BFC"/>
    <w:rsid w:val="002D3E7E"/>
    <w:rsid w:val="002D4104"/>
    <w:rsid w:val="002D48AA"/>
    <w:rsid w:val="002D48F0"/>
    <w:rsid w:val="002D4EF7"/>
    <w:rsid w:val="002D57D9"/>
    <w:rsid w:val="002D5962"/>
    <w:rsid w:val="002D5E29"/>
    <w:rsid w:val="002D67CA"/>
    <w:rsid w:val="002D6BDF"/>
    <w:rsid w:val="002D7561"/>
    <w:rsid w:val="002E0014"/>
    <w:rsid w:val="002E0255"/>
    <w:rsid w:val="002E051C"/>
    <w:rsid w:val="002E09D6"/>
    <w:rsid w:val="002E0D9F"/>
    <w:rsid w:val="002E0DB8"/>
    <w:rsid w:val="002E194C"/>
    <w:rsid w:val="002E1BFE"/>
    <w:rsid w:val="002E1C73"/>
    <w:rsid w:val="002E1CE9"/>
    <w:rsid w:val="002E21DE"/>
    <w:rsid w:val="002E289D"/>
    <w:rsid w:val="002E2AC0"/>
    <w:rsid w:val="002E319D"/>
    <w:rsid w:val="002E3802"/>
    <w:rsid w:val="002E3DC0"/>
    <w:rsid w:val="002E3E7D"/>
    <w:rsid w:val="002E4244"/>
    <w:rsid w:val="002E478F"/>
    <w:rsid w:val="002E54F8"/>
    <w:rsid w:val="002E5504"/>
    <w:rsid w:val="002E566D"/>
    <w:rsid w:val="002E578A"/>
    <w:rsid w:val="002E5868"/>
    <w:rsid w:val="002E68D5"/>
    <w:rsid w:val="002E6BB2"/>
    <w:rsid w:val="002E6FDE"/>
    <w:rsid w:val="002E7A1A"/>
    <w:rsid w:val="002E7FB6"/>
    <w:rsid w:val="002F01E0"/>
    <w:rsid w:val="002F0470"/>
    <w:rsid w:val="002F0861"/>
    <w:rsid w:val="002F09DF"/>
    <w:rsid w:val="002F0DD8"/>
    <w:rsid w:val="002F12BE"/>
    <w:rsid w:val="002F12C2"/>
    <w:rsid w:val="002F19E3"/>
    <w:rsid w:val="002F1C1B"/>
    <w:rsid w:val="002F1C90"/>
    <w:rsid w:val="002F2132"/>
    <w:rsid w:val="002F2E48"/>
    <w:rsid w:val="002F34B2"/>
    <w:rsid w:val="002F35BD"/>
    <w:rsid w:val="002F3712"/>
    <w:rsid w:val="002F3DA4"/>
    <w:rsid w:val="002F4017"/>
    <w:rsid w:val="002F4A2C"/>
    <w:rsid w:val="002F518B"/>
    <w:rsid w:val="002F5365"/>
    <w:rsid w:val="002F59F3"/>
    <w:rsid w:val="002F5B5B"/>
    <w:rsid w:val="002F5D58"/>
    <w:rsid w:val="002F615A"/>
    <w:rsid w:val="002F672D"/>
    <w:rsid w:val="002F696C"/>
    <w:rsid w:val="002F6D97"/>
    <w:rsid w:val="002F75DB"/>
    <w:rsid w:val="002F7604"/>
    <w:rsid w:val="002F7B08"/>
    <w:rsid w:val="002F7F77"/>
    <w:rsid w:val="00300472"/>
    <w:rsid w:val="003006F1"/>
    <w:rsid w:val="00301BD7"/>
    <w:rsid w:val="00301DD8"/>
    <w:rsid w:val="003026A2"/>
    <w:rsid w:val="00302C84"/>
    <w:rsid w:val="00302E4D"/>
    <w:rsid w:val="003031ED"/>
    <w:rsid w:val="00303B50"/>
    <w:rsid w:val="0030404E"/>
    <w:rsid w:val="003042AF"/>
    <w:rsid w:val="003044A6"/>
    <w:rsid w:val="003044BC"/>
    <w:rsid w:val="0030491E"/>
    <w:rsid w:val="00304F5C"/>
    <w:rsid w:val="003050E6"/>
    <w:rsid w:val="003059A9"/>
    <w:rsid w:val="00305C55"/>
    <w:rsid w:val="00306231"/>
    <w:rsid w:val="00306546"/>
    <w:rsid w:val="003067FD"/>
    <w:rsid w:val="003068B6"/>
    <w:rsid w:val="00307652"/>
    <w:rsid w:val="003077EB"/>
    <w:rsid w:val="00307C59"/>
    <w:rsid w:val="00307E71"/>
    <w:rsid w:val="00310626"/>
    <w:rsid w:val="00310845"/>
    <w:rsid w:val="00310ED9"/>
    <w:rsid w:val="0031117F"/>
    <w:rsid w:val="003114AE"/>
    <w:rsid w:val="00311729"/>
    <w:rsid w:val="00311871"/>
    <w:rsid w:val="003118BC"/>
    <w:rsid w:val="00311F3A"/>
    <w:rsid w:val="00311F93"/>
    <w:rsid w:val="00312537"/>
    <w:rsid w:val="003125AC"/>
    <w:rsid w:val="003127C1"/>
    <w:rsid w:val="00312A5B"/>
    <w:rsid w:val="00312D8E"/>
    <w:rsid w:val="00312DC1"/>
    <w:rsid w:val="003134C8"/>
    <w:rsid w:val="00313605"/>
    <w:rsid w:val="00313E72"/>
    <w:rsid w:val="003144AA"/>
    <w:rsid w:val="00314583"/>
    <w:rsid w:val="003145F3"/>
    <w:rsid w:val="003149B8"/>
    <w:rsid w:val="0031526C"/>
    <w:rsid w:val="0031528D"/>
    <w:rsid w:val="0031556F"/>
    <w:rsid w:val="00315839"/>
    <w:rsid w:val="0031594C"/>
    <w:rsid w:val="00315F2D"/>
    <w:rsid w:val="00316388"/>
    <w:rsid w:val="0031638F"/>
    <w:rsid w:val="00316419"/>
    <w:rsid w:val="00316734"/>
    <w:rsid w:val="00316CFF"/>
    <w:rsid w:val="00317B9D"/>
    <w:rsid w:val="00317DFF"/>
    <w:rsid w:val="003200DA"/>
    <w:rsid w:val="003202E4"/>
    <w:rsid w:val="003203FA"/>
    <w:rsid w:val="0032058F"/>
    <w:rsid w:val="003210BA"/>
    <w:rsid w:val="003215BA"/>
    <w:rsid w:val="00321962"/>
    <w:rsid w:val="003219E2"/>
    <w:rsid w:val="00321A12"/>
    <w:rsid w:val="00321FE9"/>
    <w:rsid w:val="003228F9"/>
    <w:rsid w:val="00322A07"/>
    <w:rsid w:val="00322E0E"/>
    <w:rsid w:val="00323CBB"/>
    <w:rsid w:val="00323D47"/>
    <w:rsid w:val="00324478"/>
    <w:rsid w:val="00324D3A"/>
    <w:rsid w:val="0032533A"/>
    <w:rsid w:val="00325CB8"/>
    <w:rsid w:val="00325FB9"/>
    <w:rsid w:val="00326330"/>
    <w:rsid w:val="00326407"/>
    <w:rsid w:val="003265C3"/>
    <w:rsid w:val="003266B6"/>
    <w:rsid w:val="0032670B"/>
    <w:rsid w:val="00326FE0"/>
    <w:rsid w:val="003270CD"/>
    <w:rsid w:val="00327153"/>
    <w:rsid w:val="003271B3"/>
    <w:rsid w:val="003272DD"/>
    <w:rsid w:val="003273A5"/>
    <w:rsid w:val="00327555"/>
    <w:rsid w:val="00330090"/>
    <w:rsid w:val="0033063F"/>
    <w:rsid w:val="00330A2F"/>
    <w:rsid w:val="00330C28"/>
    <w:rsid w:val="00331F73"/>
    <w:rsid w:val="0033205F"/>
    <w:rsid w:val="003321D4"/>
    <w:rsid w:val="00332730"/>
    <w:rsid w:val="00332DD6"/>
    <w:rsid w:val="0033338F"/>
    <w:rsid w:val="003336AE"/>
    <w:rsid w:val="0033383D"/>
    <w:rsid w:val="00333B09"/>
    <w:rsid w:val="00333CBB"/>
    <w:rsid w:val="003347D5"/>
    <w:rsid w:val="00334D1E"/>
    <w:rsid w:val="003350E7"/>
    <w:rsid w:val="003351A0"/>
    <w:rsid w:val="00336158"/>
    <w:rsid w:val="003363E2"/>
    <w:rsid w:val="003363E4"/>
    <w:rsid w:val="0033648B"/>
    <w:rsid w:val="00336524"/>
    <w:rsid w:val="00336748"/>
    <w:rsid w:val="003375AE"/>
    <w:rsid w:val="00337B4F"/>
    <w:rsid w:val="003409AD"/>
    <w:rsid w:val="003409D7"/>
    <w:rsid w:val="00340C10"/>
    <w:rsid w:val="00340F86"/>
    <w:rsid w:val="00341020"/>
    <w:rsid w:val="00341CAE"/>
    <w:rsid w:val="0034251D"/>
    <w:rsid w:val="0034298E"/>
    <w:rsid w:val="00342AF5"/>
    <w:rsid w:val="00342D40"/>
    <w:rsid w:val="00342EF4"/>
    <w:rsid w:val="0034329C"/>
    <w:rsid w:val="0034330A"/>
    <w:rsid w:val="003436D8"/>
    <w:rsid w:val="00343DF3"/>
    <w:rsid w:val="00343E55"/>
    <w:rsid w:val="00343FF8"/>
    <w:rsid w:val="00344A8C"/>
    <w:rsid w:val="00344D11"/>
    <w:rsid w:val="003451AF"/>
    <w:rsid w:val="003451E2"/>
    <w:rsid w:val="003454CA"/>
    <w:rsid w:val="00345C47"/>
    <w:rsid w:val="00345D4B"/>
    <w:rsid w:val="003461E0"/>
    <w:rsid w:val="00346785"/>
    <w:rsid w:val="003469C3"/>
    <w:rsid w:val="00346B4D"/>
    <w:rsid w:val="00346DD8"/>
    <w:rsid w:val="003471D0"/>
    <w:rsid w:val="00347A9E"/>
    <w:rsid w:val="00347D7F"/>
    <w:rsid w:val="00347E7F"/>
    <w:rsid w:val="003510A6"/>
    <w:rsid w:val="003517B2"/>
    <w:rsid w:val="00352335"/>
    <w:rsid w:val="0035254E"/>
    <w:rsid w:val="003525FB"/>
    <w:rsid w:val="00352853"/>
    <w:rsid w:val="00352A92"/>
    <w:rsid w:val="00352FEB"/>
    <w:rsid w:val="00353645"/>
    <w:rsid w:val="0035381D"/>
    <w:rsid w:val="00353E0E"/>
    <w:rsid w:val="003542DE"/>
    <w:rsid w:val="0035432D"/>
    <w:rsid w:val="00354375"/>
    <w:rsid w:val="00354400"/>
    <w:rsid w:val="0035446C"/>
    <w:rsid w:val="00355349"/>
    <w:rsid w:val="003558F1"/>
    <w:rsid w:val="00356BCE"/>
    <w:rsid w:val="0035732B"/>
    <w:rsid w:val="0035736D"/>
    <w:rsid w:val="003573AB"/>
    <w:rsid w:val="003576CD"/>
    <w:rsid w:val="003579A8"/>
    <w:rsid w:val="00360304"/>
    <w:rsid w:val="00360718"/>
    <w:rsid w:val="00360905"/>
    <w:rsid w:val="00360ABA"/>
    <w:rsid w:val="00360D06"/>
    <w:rsid w:val="00360DC5"/>
    <w:rsid w:val="00360F28"/>
    <w:rsid w:val="0036185D"/>
    <w:rsid w:val="00361A55"/>
    <w:rsid w:val="00361B5B"/>
    <w:rsid w:val="00362457"/>
    <w:rsid w:val="00362B66"/>
    <w:rsid w:val="00362DA8"/>
    <w:rsid w:val="00362FC4"/>
    <w:rsid w:val="00363284"/>
    <w:rsid w:val="00363A3B"/>
    <w:rsid w:val="00363A5C"/>
    <w:rsid w:val="00363FB4"/>
    <w:rsid w:val="00364254"/>
    <w:rsid w:val="0036462C"/>
    <w:rsid w:val="00364C17"/>
    <w:rsid w:val="003653A7"/>
    <w:rsid w:val="00365446"/>
    <w:rsid w:val="00365AA0"/>
    <w:rsid w:val="0036603D"/>
    <w:rsid w:val="0036651E"/>
    <w:rsid w:val="00366527"/>
    <w:rsid w:val="0036675C"/>
    <w:rsid w:val="00366C88"/>
    <w:rsid w:val="00366D74"/>
    <w:rsid w:val="00367771"/>
    <w:rsid w:val="0036777C"/>
    <w:rsid w:val="00367B89"/>
    <w:rsid w:val="003702A9"/>
    <w:rsid w:val="00370764"/>
    <w:rsid w:val="00370A5F"/>
    <w:rsid w:val="00370EE6"/>
    <w:rsid w:val="00371E06"/>
    <w:rsid w:val="00371F39"/>
    <w:rsid w:val="00372E42"/>
    <w:rsid w:val="0037342E"/>
    <w:rsid w:val="00373829"/>
    <w:rsid w:val="003739F6"/>
    <w:rsid w:val="00374126"/>
    <w:rsid w:val="00374B86"/>
    <w:rsid w:val="00375285"/>
    <w:rsid w:val="00375F6B"/>
    <w:rsid w:val="003763DA"/>
    <w:rsid w:val="003763E5"/>
    <w:rsid w:val="00376438"/>
    <w:rsid w:val="003774F4"/>
    <w:rsid w:val="00377954"/>
    <w:rsid w:val="00377BB2"/>
    <w:rsid w:val="00377C29"/>
    <w:rsid w:val="003800FC"/>
    <w:rsid w:val="00380F6B"/>
    <w:rsid w:val="00380FF9"/>
    <w:rsid w:val="00381A0B"/>
    <w:rsid w:val="00381ABE"/>
    <w:rsid w:val="00381E41"/>
    <w:rsid w:val="00382275"/>
    <w:rsid w:val="00382CBA"/>
    <w:rsid w:val="0038344E"/>
    <w:rsid w:val="003837E7"/>
    <w:rsid w:val="00383D37"/>
    <w:rsid w:val="00383D3F"/>
    <w:rsid w:val="00383EEC"/>
    <w:rsid w:val="0038434A"/>
    <w:rsid w:val="003846C7"/>
    <w:rsid w:val="0038474E"/>
    <w:rsid w:val="003849AE"/>
    <w:rsid w:val="00384FAD"/>
    <w:rsid w:val="0038526A"/>
    <w:rsid w:val="00385344"/>
    <w:rsid w:val="003855B5"/>
    <w:rsid w:val="00385B09"/>
    <w:rsid w:val="00386584"/>
    <w:rsid w:val="00386A0B"/>
    <w:rsid w:val="00386B76"/>
    <w:rsid w:val="00386D25"/>
    <w:rsid w:val="00386D33"/>
    <w:rsid w:val="0038700F"/>
    <w:rsid w:val="0038717D"/>
    <w:rsid w:val="0039002E"/>
    <w:rsid w:val="003900A2"/>
    <w:rsid w:val="00390927"/>
    <w:rsid w:val="00391059"/>
    <w:rsid w:val="00391252"/>
    <w:rsid w:val="00391C32"/>
    <w:rsid w:val="00391C49"/>
    <w:rsid w:val="00391C68"/>
    <w:rsid w:val="00392578"/>
    <w:rsid w:val="00392709"/>
    <w:rsid w:val="00392970"/>
    <w:rsid w:val="00392CD9"/>
    <w:rsid w:val="00392D35"/>
    <w:rsid w:val="00392EC8"/>
    <w:rsid w:val="00392FE1"/>
    <w:rsid w:val="003935E7"/>
    <w:rsid w:val="0039508D"/>
    <w:rsid w:val="003955C0"/>
    <w:rsid w:val="00395668"/>
    <w:rsid w:val="003959EF"/>
    <w:rsid w:val="00395D41"/>
    <w:rsid w:val="0039608A"/>
    <w:rsid w:val="003965C5"/>
    <w:rsid w:val="00396DF3"/>
    <w:rsid w:val="003972D8"/>
    <w:rsid w:val="00397534"/>
    <w:rsid w:val="00397718"/>
    <w:rsid w:val="003978EF"/>
    <w:rsid w:val="00397FF8"/>
    <w:rsid w:val="003A01BE"/>
    <w:rsid w:val="003A05A1"/>
    <w:rsid w:val="003A05E3"/>
    <w:rsid w:val="003A12A4"/>
    <w:rsid w:val="003A14F8"/>
    <w:rsid w:val="003A1922"/>
    <w:rsid w:val="003A1B58"/>
    <w:rsid w:val="003A1BCE"/>
    <w:rsid w:val="003A21EF"/>
    <w:rsid w:val="003A243A"/>
    <w:rsid w:val="003A36D9"/>
    <w:rsid w:val="003A4699"/>
    <w:rsid w:val="003A4743"/>
    <w:rsid w:val="003A4B2D"/>
    <w:rsid w:val="003A4C22"/>
    <w:rsid w:val="003A4F66"/>
    <w:rsid w:val="003A5DBE"/>
    <w:rsid w:val="003A5E7D"/>
    <w:rsid w:val="003A69F8"/>
    <w:rsid w:val="003A6CA5"/>
    <w:rsid w:val="003A775F"/>
    <w:rsid w:val="003B03C4"/>
    <w:rsid w:val="003B0F65"/>
    <w:rsid w:val="003B1745"/>
    <w:rsid w:val="003B1897"/>
    <w:rsid w:val="003B215A"/>
    <w:rsid w:val="003B2B95"/>
    <w:rsid w:val="003B2EE7"/>
    <w:rsid w:val="003B2F86"/>
    <w:rsid w:val="003B3578"/>
    <w:rsid w:val="003B3F11"/>
    <w:rsid w:val="003B4835"/>
    <w:rsid w:val="003B4A69"/>
    <w:rsid w:val="003B4A6F"/>
    <w:rsid w:val="003B4A8E"/>
    <w:rsid w:val="003B4C7E"/>
    <w:rsid w:val="003B56A8"/>
    <w:rsid w:val="003B56E9"/>
    <w:rsid w:val="003B5AD1"/>
    <w:rsid w:val="003B6329"/>
    <w:rsid w:val="003B6555"/>
    <w:rsid w:val="003B6A8A"/>
    <w:rsid w:val="003B7147"/>
    <w:rsid w:val="003B7354"/>
    <w:rsid w:val="003B73AE"/>
    <w:rsid w:val="003B7840"/>
    <w:rsid w:val="003B7993"/>
    <w:rsid w:val="003C0C07"/>
    <w:rsid w:val="003C0D81"/>
    <w:rsid w:val="003C168E"/>
    <w:rsid w:val="003C1D44"/>
    <w:rsid w:val="003C1FF7"/>
    <w:rsid w:val="003C2064"/>
    <w:rsid w:val="003C245A"/>
    <w:rsid w:val="003C262D"/>
    <w:rsid w:val="003C26EF"/>
    <w:rsid w:val="003C3537"/>
    <w:rsid w:val="003C3853"/>
    <w:rsid w:val="003C3BF3"/>
    <w:rsid w:val="003C3F37"/>
    <w:rsid w:val="003C4505"/>
    <w:rsid w:val="003C4A2A"/>
    <w:rsid w:val="003C4A7F"/>
    <w:rsid w:val="003C4C90"/>
    <w:rsid w:val="003C51FD"/>
    <w:rsid w:val="003C5245"/>
    <w:rsid w:val="003C59E0"/>
    <w:rsid w:val="003C6F72"/>
    <w:rsid w:val="003C76D7"/>
    <w:rsid w:val="003C77C3"/>
    <w:rsid w:val="003D0165"/>
    <w:rsid w:val="003D0240"/>
    <w:rsid w:val="003D06FC"/>
    <w:rsid w:val="003D085C"/>
    <w:rsid w:val="003D0B9B"/>
    <w:rsid w:val="003D10C7"/>
    <w:rsid w:val="003D1351"/>
    <w:rsid w:val="003D1E72"/>
    <w:rsid w:val="003D218C"/>
    <w:rsid w:val="003D23A0"/>
    <w:rsid w:val="003D262F"/>
    <w:rsid w:val="003D287E"/>
    <w:rsid w:val="003D2AE8"/>
    <w:rsid w:val="003D367E"/>
    <w:rsid w:val="003D3ACC"/>
    <w:rsid w:val="003D3D58"/>
    <w:rsid w:val="003D4191"/>
    <w:rsid w:val="003D4739"/>
    <w:rsid w:val="003D481D"/>
    <w:rsid w:val="003D4B5A"/>
    <w:rsid w:val="003D4B96"/>
    <w:rsid w:val="003D58FF"/>
    <w:rsid w:val="003D5B47"/>
    <w:rsid w:val="003D6CA6"/>
    <w:rsid w:val="003D74AB"/>
    <w:rsid w:val="003D777E"/>
    <w:rsid w:val="003D7E99"/>
    <w:rsid w:val="003E0021"/>
    <w:rsid w:val="003E07D6"/>
    <w:rsid w:val="003E0A5C"/>
    <w:rsid w:val="003E1117"/>
    <w:rsid w:val="003E12A1"/>
    <w:rsid w:val="003E12DD"/>
    <w:rsid w:val="003E2555"/>
    <w:rsid w:val="003E27A9"/>
    <w:rsid w:val="003E294E"/>
    <w:rsid w:val="003E2E20"/>
    <w:rsid w:val="003E316F"/>
    <w:rsid w:val="003E3A90"/>
    <w:rsid w:val="003E3B2D"/>
    <w:rsid w:val="003E3B73"/>
    <w:rsid w:val="003E4058"/>
    <w:rsid w:val="003E444A"/>
    <w:rsid w:val="003E4B4C"/>
    <w:rsid w:val="003E5003"/>
    <w:rsid w:val="003E5082"/>
    <w:rsid w:val="003E55AA"/>
    <w:rsid w:val="003E57CA"/>
    <w:rsid w:val="003E5E7C"/>
    <w:rsid w:val="003E5EA9"/>
    <w:rsid w:val="003E5FF3"/>
    <w:rsid w:val="003E659C"/>
    <w:rsid w:val="003E6C5D"/>
    <w:rsid w:val="003E6CCF"/>
    <w:rsid w:val="003E702C"/>
    <w:rsid w:val="003E7847"/>
    <w:rsid w:val="003E7AB8"/>
    <w:rsid w:val="003E7DDE"/>
    <w:rsid w:val="003F00FB"/>
    <w:rsid w:val="003F0421"/>
    <w:rsid w:val="003F057E"/>
    <w:rsid w:val="003F066B"/>
    <w:rsid w:val="003F0838"/>
    <w:rsid w:val="003F09E3"/>
    <w:rsid w:val="003F0D1F"/>
    <w:rsid w:val="003F0DB1"/>
    <w:rsid w:val="003F0E4D"/>
    <w:rsid w:val="003F10B3"/>
    <w:rsid w:val="003F1B58"/>
    <w:rsid w:val="003F1B90"/>
    <w:rsid w:val="003F1CCA"/>
    <w:rsid w:val="003F26CF"/>
    <w:rsid w:val="003F2935"/>
    <w:rsid w:val="003F2A83"/>
    <w:rsid w:val="003F2AA3"/>
    <w:rsid w:val="003F2C3C"/>
    <w:rsid w:val="003F3011"/>
    <w:rsid w:val="003F3AB7"/>
    <w:rsid w:val="003F3C2C"/>
    <w:rsid w:val="003F3DC3"/>
    <w:rsid w:val="003F41A1"/>
    <w:rsid w:val="003F42C1"/>
    <w:rsid w:val="003F445E"/>
    <w:rsid w:val="003F4917"/>
    <w:rsid w:val="003F4B32"/>
    <w:rsid w:val="003F509F"/>
    <w:rsid w:val="003F5B24"/>
    <w:rsid w:val="003F5DF4"/>
    <w:rsid w:val="003F64A2"/>
    <w:rsid w:val="003F6691"/>
    <w:rsid w:val="003F6A28"/>
    <w:rsid w:val="003F6EF3"/>
    <w:rsid w:val="003F73C8"/>
    <w:rsid w:val="003F7792"/>
    <w:rsid w:val="003F7E07"/>
    <w:rsid w:val="003F7E19"/>
    <w:rsid w:val="00400385"/>
    <w:rsid w:val="004007C6"/>
    <w:rsid w:val="004008E5"/>
    <w:rsid w:val="00400D0D"/>
    <w:rsid w:val="004023D8"/>
    <w:rsid w:val="004029C7"/>
    <w:rsid w:val="00402E91"/>
    <w:rsid w:val="00402F68"/>
    <w:rsid w:val="00403115"/>
    <w:rsid w:val="0040361D"/>
    <w:rsid w:val="00403AC1"/>
    <w:rsid w:val="00404037"/>
    <w:rsid w:val="004040AA"/>
    <w:rsid w:val="004045A0"/>
    <w:rsid w:val="004046E1"/>
    <w:rsid w:val="004049FB"/>
    <w:rsid w:val="00404A99"/>
    <w:rsid w:val="004050BB"/>
    <w:rsid w:val="0040521D"/>
    <w:rsid w:val="00405346"/>
    <w:rsid w:val="004057F9"/>
    <w:rsid w:val="004058A1"/>
    <w:rsid w:val="00405937"/>
    <w:rsid w:val="004059F1"/>
    <w:rsid w:val="004059F4"/>
    <w:rsid w:val="00405BAE"/>
    <w:rsid w:val="00406357"/>
    <w:rsid w:val="00406A88"/>
    <w:rsid w:val="00406B5D"/>
    <w:rsid w:val="00406F5C"/>
    <w:rsid w:val="0040730A"/>
    <w:rsid w:val="004077E0"/>
    <w:rsid w:val="004078EB"/>
    <w:rsid w:val="0041001B"/>
    <w:rsid w:val="00410336"/>
    <w:rsid w:val="00410A9F"/>
    <w:rsid w:val="004110C2"/>
    <w:rsid w:val="004110E6"/>
    <w:rsid w:val="004112DB"/>
    <w:rsid w:val="0041203C"/>
    <w:rsid w:val="00412099"/>
    <w:rsid w:val="0041277A"/>
    <w:rsid w:val="00412D70"/>
    <w:rsid w:val="00412E0F"/>
    <w:rsid w:val="00413BF1"/>
    <w:rsid w:val="00414E7C"/>
    <w:rsid w:val="0041505B"/>
    <w:rsid w:val="00415125"/>
    <w:rsid w:val="0041541C"/>
    <w:rsid w:val="0041595F"/>
    <w:rsid w:val="00415F9E"/>
    <w:rsid w:val="004161AF"/>
    <w:rsid w:val="00416A79"/>
    <w:rsid w:val="00416F26"/>
    <w:rsid w:val="00416F60"/>
    <w:rsid w:val="004178D0"/>
    <w:rsid w:val="00420337"/>
    <w:rsid w:val="0042052B"/>
    <w:rsid w:val="00420951"/>
    <w:rsid w:val="00420972"/>
    <w:rsid w:val="004215DC"/>
    <w:rsid w:val="0042168A"/>
    <w:rsid w:val="00421DC7"/>
    <w:rsid w:val="00423027"/>
    <w:rsid w:val="0042346A"/>
    <w:rsid w:val="004234C5"/>
    <w:rsid w:val="00423A30"/>
    <w:rsid w:val="00423B56"/>
    <w:rsid w:val="00423DC2"/>
    <w:rsid w:val="004248F4"/>
    <w:rsid w:val="00424B8B"/>
    <w:rsid w:val="00424CAF"/>
    <w:rsid w:val="0042557C"/>
    <w:rsid w:val="004255CF"/>
    <w:rsid w:val="004258BA"/>
    <w:rsid w:val="00425B4B"/>
    <w:rsid w:val="00425D5F"/>
    <w:rsid w:val="0042659B"/>
    <w:rsid w:val="00426848"/>
    <w:rsid w:val="00426C08"/>
    <w:rsid w:val="00426CBA"/>
    <w:rsid w:val="00427161"/>
    <w:rsid w:val="00427469"/>
    <w:rsid w:val="00427610"/>
    <w:rsid w:val="00427930"/>
    <w:rsid w:val="004301DB"/>
    <w:rsid w:val="00430D0F"/>
    <w:rsid w:val="00431986"/>
    <w:rsid w:val="004320A2"/>
    <w:rsid w:val="00432152"/>
    <w:rsid w:val="004321A2"/>
    <w:rsid w:val="004323F8"/>
    <w:rsid w:val="004328D0"/>
    <w:rsid w:val="004335A5"/>
    <w:rsid w:val="0043410E"/>
    <w:rsid w:val="0043435B"/>
    <w:rsid w:val="004343CF"/>
    <w:rsid w:val="004353D6"/>
    <w:rsid w:val="0043541C"/>
    <w:rsid w:val="00435671"/>
    <w:rsid w:val="004356A3"/>
    <w:rsid w:val="00435797"/>
    <w:rsid w:val="0043623D"/>
    <w:rsid w:val="004365AD"/>
    <w:rsid w:val="004373CF"/>
    <w:rsid w:val="004374AE"/>
    <w:rsid w:val="004374E3"/>
    <w:rsid w:val="0043768B"/>
    <w:rsid w:val="00437DC1"/>
    <w:rsid w:val="00437EC9"/>
    <w:rsid w:val="004403F1"/>
    <w:rsid w:val="00440537"/>
    <w:rsid w:val="004405C9"/>
    <w:rsid w:val="00441158"/>
    <w:rsid w:val="00441EBF"/>
    <w:rsid w:val="00441FA3"/>
    <w:rsid w:val="004421DA"/>
    <w:rsid w:val="004425A9"/>
    <w:rsid w:val="00442645"/>
    <w:rsid w:val="00442CFB"/>
    <w:rsid w:val="00442D90"/>
    <w:rsid w:val="00442F6E"/>
    <w:rsid w:val="00443EEB"/>
    <w:rsid w:val="00444AC7"/>
    <w:rsid w:val="00444B49"/>
    <w:rsid w:val="00444B9B"/>
    <w:rsid w:val="00444C8C"/>
    <w:rsid w:val="004455CF"/>
    <w:rsid w:val="00445EE0"/>
    <w:rsid w:val="00445EFE"/>
    <w:rsid w:val="00446703"/>
    <w:rsid w:val="00446729"/>
    <w:rsid w:val="0044770A"/>
    <w:rsid w:val="004479A9"/>
    <w:rsid w:val="00450725"/>
    <w:rsid w:val="00450DED"/>
    <w:rsid w:val="00450E83"/>
    <w:rsid w:val="00451009"/>
    <w:rsid w:val="004514F8"/>
    <w:rsid w:val="00451510"/>
    <w:rsid w:val="00451645"/>
    <w:rsid w:val="00452545"/>
    <w:rsid w:val="0045279F"/>
    <w:rsid w:val="00452AA2"/>
    <w:rsid w:val="00452C12"/>
    <w:rsid w:val="00452E09"/>
    <w:rsid w:val="004534A9"/>
    <w:rsid w:val="00453CD5"/>
    <w:rsid w:val="004545C8"/>
    <w:rsid w:val="00454602"/>
    <w:rsid w:val="00454B08"/>
    <w:rsid w:val="004550EA"/>
    <w:rsid w:val="00455614"/>
    <w:rsid w:val="004558F9"/>
    <w:rsid w:val="00455F2C"/>
    <w:rsid w:val="00456277"/>
    <w:rsid w:val="004562EE"/>
    <w:rsid w:val="00456385"/>
    <w:rsid w:val="00456C9A"/>
    <w:rsid w:val="00456E31"/>
    <w:rsid w:val="00456E7A"/>
    <w:rsid w:val="00457330"/>
    <w:rsid w:val="004579B9"/>
    <w:rsid w:val="00457E23"/>
    <w:rsid w:val="00460751"/>
    <w:rsid w:val="004607F9"/>
    <w:rsid w:val="00460A31"/>
    <w:rsid w:val="00460C02"/>
    <w:rsid w:val="00461429"/>
    <w:rsid w:val="004619EB"/>
    <w:rsid w:val="00461DEC"/>
    <w:rsid w:val="00461F1B"/>
    <w:rsid w:val="0046287C"/>
    <w:rsid w:val="004629E4"/>
    <w:rsid w:val="00462FED"/>
    <w:rsid w:val="00464687"/>
    <w:rsid w:val="00465080"/>
    <w:rsid w:val="00465217"/>
    <w:rsid w:val="00466532"/>
    <w:rsid w:val="004665E9"/>
    <w:rsid w:val="004669AC"/>
    <w:rsid w:val="00466C44"/>
    <w:rsid w:val="00466F05"/>
    <w:rsid w:val="0046797F"/>
    <w:rsid w:val="00467AA4"/>
    <w:rsid w:val="00467FB1"/>
    <w:rsid w:val="00470249"/>
    <w:rsid w:val="00470BC8"/>
    <w:rsid w:val="004724BF"/>
    <w:rsid w:val="00472A73"/>
    <w:rsid w:val="00472B27"/>
    <w:rsid w:val="0047367D"/>
    <w:rsid w:val="00473952"/>
    <w:rsid w:val="004746EE"/>
    <w:rsid w:val="00474889"/>
    <w:rsid w:val="00474A2F"/>
    <w:rsid w:val="00474AB9"/>
    <w:rsid w:val="00474F80"/>
    <w:rsid w:val="004759D0"/>
    <w:rsid w:val="00475A4B"/>
    <w:rsid w:val="00475BAD"/>
    <w:rsid w:val="0047617B"/>
    <w:rsid w:val="00477568"/>
    <w:rsid w:val="00477745"/>
    <w:rsid w:val="00477B3C"/>
    <w:rsid w:val="00477CF5"/>
    <w:rsid w:val="00480BDD"/>
    <w:rsid w:val="004810F8"/>
    <w:rsid w:val="0048113D"/>
    <w:rsid w:val="00481196"/>
    <w:rsid w:val="0048141F"/>
    <w:rsid w:val="0048152C"/>
    <w:rsid w:val="00481DE7"/>
    <w:rsid w:val="00481E50"/>
    <w:rsid w:val="0048231E"/>
    <w:rsid w:val="0048252E"/>
    <w:rsid w:val="004827C2"/>
    <w:rsid w:val="004827CF"/>
    <w:rsid w:val="00482822"/>
    <w:rsid w:val="00482946"/>
    <w:rsid w:val="00482B95"/>
    <w:rsid w:val="00482E22"/>
    <w:rsid w:val="00483132"/>
    <w:rsid w:val="0048340B"/>
    <w:rsid w:val="004837FA"/>
    <w:rsid w:val="00483A7E"/>
    <w:rsid w:val="00483BC3"/>
    <w:rsid w:val="004846E5"/>
    <w:rsid w:val="00484A08"/>
    <w:rsid w:val="00484D71"/>
    <w:rsid w:val="00484F7B"/>
    <w:rsid w:val="0048508B"/>
    <w:rsid w:val="00485628"/>
    <w:rsid w:val="00485726"/>
    <w:rsid w:val="00485F03"/>
    <w:rsid w:val="00486081"/>
    <w:rsid w:val="0048649E"/>
    <w:rsid w:val="00486869"/>
    <w:rsid w:val="00486C97"/>
    <w:rsid w:val="00486F20"/>
    <w:rsid w:val="00487012"/>
    <w:rsid w:val="0048710D"/>
    <w:rsid w:val="00487D6E"/>
    <w:rsid w:val="004904F7"/>
    <w:rsid w:val="004909D9"/>
    <w:rsid w:val="00490A61"/>
    <w:rsid w:val="00490E5C"/>
    <w:rsid w:val="00490F0B"/>
    <w:rsid w:val="004911AF"/>
    <w:rsid w:val="004914B0"/>
    <w:rsid w:val="004918A8"/>
    <w:rsid w:val="00492762"/>
    <w:rsid w:val="00492B1E"/>
    <w:rsid w:val="00492C0C"/>
    <w:rsid w:val="00492D45"/>
    <w:rsid w:val="004940CF"/>
    <w:rsid w:val="00494FDE"/>
    <w:rsid w:val="00495146"/>
    <w:rsid w:val="00495158"/>
    <w:rsid w:val="00495DE9"/>
    <w:rsid w:val="00495F66"/>
    <w:rsid w:val="0049617C"/>
    <w:rsid w:val="0049643D"/>
    <w:rsid w:val="00496A99"/>
    <w:rsid w:val="00496B5C"/>
    <w:rsid w:val="0049718D"/>
    <w:rsid w:val="004A0400"/>
    <w:rsid w:val="004A0C0A"/>
    <w:rsid w:val="004A1479"/>
    <w:rsid w:val="004A1C17"/>
    <w:rsid w:val="004A261B"/>
    <w:rsid w:val="004A278B"/>
    <w:rsid w:val="004A3606"/>
    <w:rsid w:val="004A3DB0"/>
    <w:rsid w:val="004A4767"/>
    <w:rsid w:val="004A4DF1"/>
    <w:rsid w:val="004A5368"/>
    <w:rsid w:val="004A6800"/>
    <w:rsid w:val="004A6B12"/>
    <w:rsid w:val="004A75AB"/>
    <w:rsid w:val="004A7A7F"/>
    <w:rsid w:val="004B0974"/>
    <w:rsid w:val="004B0B4A"/>
    <w:rsid w:val="004B0DAB"/>
    <w:rsid w:val="004B0F15"/>
    <w:rsid w:val="004B1681"/>
    <w:rsid w:val="004B1DE6"/>
    <w:rsid w:val="004B3AEB"/>
    <w:rsid w:val="004B480A"/>
    <w:rsid w:val="004B4AD9"/>
    <w:rsid w:val="004B4B06"/>
    <w:rsid w:val="004B51A9"/>
    <w:rsid w:val="004B51AA"/>
    <w:rsid w:val="004B522D"/>
    <w:rsid w:val="004B540D"/>
    <w:rsid w:val="004B5ECD"/>
    <w:rsid w:val="004B63AF"/>
    <w:rsid w:val="004B65B5"/>
    <w:rsid w:val="004B6A11"/>
    <w:rsid w:val="004B771A"/>
    <w:rsid w:val="004B776C"/>
    <w:rsid w:val="004B789C"/>
    <w:rsid w:val="004B7CE3"/>
    <w:rsid w:val="004B7E4E"/>
    <w:rsid w:val="004C02F0"/>
    <w:rsid w:val="004C050F"/>
    <w:rsid w:val="004C1690"/>
    <w:rsid w:val="004C17DF"/>
    <w:rsid w:val="004C1CF8"/>
    <w:rsid w:val="004C228C"/>
    <w:rsid w:val="004C2583"/>
    <w:rsid w:val="004C2993"/>
    <w:rsid w:val="004C36DA"/>
    <w:rsid w:val="004C3A60"/>
    <w:rsid w:val="004C3CE8"/>
    <w:rsid w:val="004C4412"/>
    <w:rsid w:val="004C4A77"/>
    <w:rsid w:val="004C4CA5"/>
    <w:rsid w:val="004C5735"/>
    <w:rsid w:val="004C579D"/>
    <w:rsid w:val="004C59E0"/>
    <w:rsid w:val="004C6171"/>
    <w:rsid w:val="004C68A2"/>
    <w:rsid w:val="004C6B68"/>
    <w:rsid w:val="004C6E59"/>
    <w:rsid w:val="004C6EDA"/>
    <w:rsid w:val="004C6FF1"/>
    <w:rsid w:val="004C6FF7"/>
    <w:rsid w:val="004C75F7"/>
    <w:rsid w:val="004C7FBE"/>
    <w:rsid w:val="004D0119"/>
    <w:rsid w:val="004D0347"/>
    <w:rsid w:val="004D059D"/>
    <w:rsid w:val="004D072A"/>
    <w:rsid w:val="004D17AE"/>
    <w:rsid w:val="004D17D8"/>
    <w:rsid w:val="004D198A"/>
    <w:rsid w:val="004D19B0"/>
    <w:rsid w:val="004D28FD"/>
    <w:rsid w:val="004D293B"/>
    <w:rsid w:val="004D2CBA"/>
    <w:rsid w:val="004D3456"/>
    <w:rsid w:val="004D36AB"/>
    <w:rsid w:val="004D4275"/>
    <w:rsid w:val="004D45A8"/>
    <w:rsid w:val="004D470A"/>
    <w:rsid w:val="004D4CE1"/>
    <w:rsid w:val="004D4DA8"/>
    <w:rsid w:val="004D5343"/>
    <w:rsid w:val="004D656D"/>
    <w:rsid w:val="004D661B"/>
    <w:rsid w:val="004D7276"/>
    <w:rsid w:val="004D77A3"/>
    <w:rsid w:val="004D7EF7"/>
    <w:rsid w:val="004E0516"/>
    <w:rsid w:val="004E0872"/>
    <w:rsid w:val="004E0A61"/>
    <w:rsid w:val="004E0AC0"/>
    <w:rsid w:val="004E120D"/>
    <w:rsid w:val="004E17DA"/>
    <w:rsid w:val="004E1AFD"/>
    <w:rsid w:val="004E2054"/>
    <w:rsid w:val="004E33C1"/>
    <w:rsid w:val="004E3448"/>
    <w:rsid w:val="004E37DE"/>
    <w:rsid w:val="004E3CB8"/>
    <w:rsid w:val="004E3F18"/>
    <w:rsid w:val="004E3FBD"/>
    <w:rsid w:val="004E41A3"/>
    <w:rsid w:val="004E4703"/>
    <w:rsid w:val="004E4957"/>
    <w:rsid w:val="004E4E46"/>
    <w:rsid w:val="004E506E"/>
    <w:rsid w:val="004E5ECE"/>
    <w:rsid w:val="004E6258"/>
    <w:rsid w:val="004E65E4"/>
    <w:rsid w:val="004E6C34"/>
    <w:rsid w:val="004E6DBA"/>
    <w:rsid w:val="004E6F86"/>
    <w:rsid w:val="004E717E"/>
    <w:rsid w:val="004E74F5"/>
    <w:rsid w:val="004E75B0"/>
    <w:rsid w:val="004E7615"/>
    <w:rsid w:val="004E7BFA"/>
    <w:rsid w:val="004F00D1"/>
    <w:rsid w:val="004F04D2"/>
    <w:rsid w:val="004F04DA"/>
    <w:rsid w:val="004F0C61"/>
    <w:rsid w:val="004F0DF6"/>
    <w:rsid w:val="004F1544"/>
    <w:rsid w:val="004F180A"/>
    <w:rsid w:val="004F1A57"/>
    <w:rsid w:val="004F1B4F"/>
    <w:rsid w:val="004F2079"/>
    <w:rsid w:val="004F259C"/>
    <w:rsid w:val="004F2FD4"/>
    <w:rsid w:val="004F3284"/>
    <w:rsid w:val="004F3487"/>
    <w:rsid w:val="004F38A9"/>
    <w:rsid w:val="004F3A51"/>
    <w:rsid w:val="004F4253"/>
    <w:rsid w:val="004F4488"/>
    <w:rsid w:val="004F4CD3"/>
    <w:rsid w:val="004F5411"/>
    <w:rsid w:val="004F55BC"/>
    <w:rsid w:val="004F6632"/>
    <w:rsid w:val="004F6956"/>
    <w:rsid w:val="004F7318"/>
    <w:rsid w:val="004F7462"/>
    <w:rsid w:val="004F7721"/>
    <w:rsid w:val="004F7C61"/>
    <w:rsid w:val="004F7E13"/>
    <w:rsid w:val="004F7F18"/>
    <w:rsid w:val="005002DA"/>
    <w:rsid w:val="005009AA"/>
    <w:rsid w:val="00500B18"/>
    <w:rsid w:val="00500C4B"/>
    <w:rsid w:val="005011A1"/>
    <w:rsid w:val="005011E2"/>
    <w:rsid w:val="005014D5"/>
    <w:rsid w:val="005019E1"/>
    <w:rsid w:val="00501E41"/>
    <w:rsid w:val="00501FB3"/>
    <w:rsid w:val="005022B0"/>
    <w:rsid w:val="00502822"/>
    <w:rsid w:val="00502BF8"/>
    <w:rsid w:val="00502EB2"/>
    <w:rsid w:val="00502F2B"/>
    <w:rsid w:val="00503601"/>
    <w:rsid w:val="00503AAC"/>
    <w:rsid w:val="005042B2"/>
    <w:rsid w:val="00504627"/>
    <w:rsid w:val="005049BD"/>
    <w:rsid w:val="00504AD1"/>
    <w:rsid w:val="00504F71"/>
    <w:rsid w:val="00505336"/>
    <w:rsid w:val="0050549E"/>
    <w:rsid w:val="005066BA"/>
    <w:rsid w:val="00506749"/>
    <w:rsid w:val="00506AF9"/>
    <w:rsid w:val="00506C59"/>
    <w:rsid w:val="00506E06"/>
    <w:rsid w:val="00507295"/>
    <w:rsid w:val="005073EE"/>
    <w:rsid w:val="00507B7E"/>
    <w:rsid w:val="00510740"/>
    <w:rsid w:val="00510B42"/>
    <w:rsid w:val="00510D01"/>
    <w:rsid w:val="00511957"/>
    <w:rsid w:val="00511E84"/>
    <w:rsid w:val="00512516"/>
    <w:rsid w:val="005126B6"/>
    <w:rsid w:val="005136B2"/>
    <w:rsid w:val="005136BE"/>
    <w:rsid w:val="00513E10"/>
    <w:rsid w:val="00514102"/>
    <w:rsid w:val="00514463"/>
    <w:rsid w:val="00514A00"/>
    <w:rsid w:val="00514A0E"/>
    <w:rsid w:val="00514B37"/>
    <w:rsid w:val="00514B74"/>
    <w:rsid w:val="00515122"/>
    <w:rsid w:val="00515154"/>
    <w:rsid w:val="005152BF"/>
    <w:rsid w:val="0051530E"/>
    <w:rsid w:val="005156C3"/>
    <w:rsid w:val="0051598C"/>
    <w:rsid w:val="005159E9"/>
    <w:rsid w:val="00515DCC"/>
    <w:rsid w:val="0051612D"/>
    <w:rsid w:val="00516153"/>
    <w:rsid w:val="00516954"/>
    <w:rsid w:val="005169FC"/>
    <w:rsid w:val="00516ABB"/>
    <w:rsid w:val="00516B91"/>
    <w:rsid w:val="00516CED"/>
    <w:rsid w:val="00516D3D"/>
    <w:rsid w:val="0051723C"/>
    <w:rsid w:val="005174C3"/>
    <w:rsid w:val="00517B83"/>
    <w:rsid w:val="00520294"/>
    <w:rsid w:val="005203D5"/>
    <w:rsid w:val="00520618"/>
    <w:rsid w:val="00520741"/>
    <w:rsid w:val="00520828"/>
    <w:rsid w:val="00520B5D"/>
    <w:rsid w:val="0052147F"/>
    <w:rsid w:val="00521768"/>
    <w:rsid w:val="00521EA0"/>
    <w:rsid w:val="00522CB0"/>
    <w:rsid w:val="00523021"/>
    <w:rsid w:val="005239A1"/>
    <w:rsid w:val="00523EDC"/>
    <w:rsid w:val="0052428C"/>
    <w:rsid w:val="00524313"/>
    <w:rsid w:val="00524B80"/>
    <w:rsid w:val="005253C9"/>
    <w:rsid w:val="005258E3"/>
    <w:rsid w:val="00525F02"/>
    <w:rsid w:val="00527322"/>
    <w:rsid w:val="00527547"/>
    <w:rsid w:val="005276A9"/>
    <w:rsid w:val="00527A1F"/>
    <w:rsid w:val="00527ECA"/>
    <w:rsid w:val="00530E25"/>
    <w:rsid w:val="00530F17"/>
    <w:rsid w:val="00531EC8"/>
    <w:rsid w:val="0053270B"/>
    <w:rsid w:val="00532A5A"/>
    <w:rsid w:val="00532BC5"/>
    <w:rsid w:val="00532C30"/>
    <w:rsid w:val="00532C67"/>
    <w:rsid w:val="00532F47"/>
    <w:rsid w:val="00532F4A"/>
    <w:rsid w:val="005331CC"/>
    <w:rsid w:val="00533732"/>
    <w:rsid w:val="00533B24"/>
    <w:rsid w:val="00533BDF"/>
    <w:rsid w:val="005340A5"/>
    <w:rsid w:val="0053422F"/>
    <w:rsid w:val="00534540"/>
    <w:rsid w:val="005347AE"/>
    <w:rsid w:val="00534BB3"/>
    <w:rsid w:val="00534D92"/>
    <w:rsid w:val="00534F2A"/>
    <w:rsid w:val="00535484"/>
    <w:rsid w:val="00535636"/>
    <w:rsid w:val="00535D34"/>
    <w:rsid w:val="005361AE"/>
    <w:rsid w:val="005361D4"/>
    <w:rsid w:val="005361EA"/>
    <w:rsid w:val="0053655C"/>
    <w:rsid w:val="005368E9"/>
    <w:rsid w:val="00536F28"/>
    <w:rsid w:val="00537427"/>
    <w:rsid w:val="00537755"/>
    <w:rsid w:val="005379C7"/>
    <w:rsid w:val="00540132"/>
    <w:rsid w:val="00540504"/>
    <w:rsid w:val="005408E8"/>
    <w:rsid w:val="00540FD5"/>
    <w:rsid w:val="005413CA"/>
    <w:rsid w:val="0054148B"/>
    <w:rsid w:val="005416F6"/>
    <w:rsid w:val="00542181"/>
    <w:rsid w:val="00542523"/>
    <w:rsid w:val="0054291A"/>
    <w:rsid w:val="0054334E"/>
    <w:rsid w:val="0054360A"/>
    <w:rsid w:val="005441B1"/>
    <w:rsid w:val="005443FE"/>
    <w:rsid w:val="00544C26"/>
    <w:rsid w:val="00545115"/>
    <w:rsid w:val="0054512A"/>
    <w:rsid w:val="0054567E"/>
    <w:rsid w:val="0054588B"/>
    <w:rsid w:val="005462A4"/>
    <w:rsid w:val="005463F7"/>
    <w:rsid w:val="00546634"/>
    <w:rsid w:val="00546844"/>
    <w:rsid w:val="005468B6"/>
    <w:rsid w:val="0054692E"/>
    <w:rsid w:val="00546B39"/>
    <w:rsid w:val="00546B7E"/>
    <w:rsid w:val="00546CA8"/>
    <w:rsid w:val="00547264"/>
    <w:rsid w:val="00547434"/>
    <w:rsid w:val="00547D54"/>
    <w:rsid w:val="005501E8"/>
    <w:rsid w:val="00550955"/>
    <w:rsid w:val="0055129E"/>
    <w:rsid w:val="0055178D"/>
    <w:rsid w:val="00551E59"/>
    <w:rsid w:val="00552581"/>
    <w:rsid w:val="0055340D"/>
    <w:rsid w:val="00553512"/>
    <w:rsid w:val="00553869"/>
    <w:rsid w:val="00553A95"/>
    <w:rsid w:val="00554324"/>
    <w:rsid w:val="005546B8"/>
    <w:rsid w:val="00554DFE"/>
    <w:rsid w:val="00555481"/>
    <w:rsid w:val="00555663"/>
    <w:rsid w:val="0055598C"/>
    <w:rsid w:val="00555B0A"/>
    <w:rsid w:val="0055637D"/>
    <w:rsid w:val="005564DE"/>
    <w:rsid w:val="00556AA9"/>
    <w:rsid w:val="00556BD1"/>
    <w:rsid w:val="00556D9F"/>
    <w:rsid w:val="00557836"/>
    <w:rsid w:val="00557C1D"/>
    <w:rsid w:val="00560063"/>
    <w:rsid w:val="00560DEE"/>
    <w:rsid w:val="00560EEF"/>
    <w:rsid w:val="00561870"/>
    <w:rsid w:val="00561ABC"/>
    <w:rsid w:val="00561D07"/>
    <w:rsid w:val="0056298A"/>
    <w:rsid w:val="005635FF"/>
    <w:rsid w:val="00563B3F"/>
    <w:rsid w:val="00563F64"/>
    <w:rsid w:val="00564232"/>
    <w:rsid w:val="00564343"/>
    <w:rsid w:val="00564359"/>
    <w:rsid w:val="00564456"/>
    <w:rsid w:val="005659CD"/>
    <w:rsid w:val="00566651"/>
    <w:rsid w:val="005668A6"/>
    <w:rsid w:val="00566AE4"/>
    <w:rsid w:val="00566D24"/>
    <w:rsid w:val="00566D82"/>
    <w:rsid w:val="00566EB9"/>
    <w:rsid w:val="0056789A"/>
    <w:rsid w:val="00567EFF"/>
    <w:rsid w:val="00567F31"/>
    <w:rsid w:val="0057000E"/>
    <w:rsid w:val="00570010"/>
    <w:rsid w:val="005702EA"/>
    <w:rsid w:val="00570E50"/>
    <w:rsid w:val="00571154"/>
    <w:rsid w:val="00571367"/>
    <w:rsid w:val="00571615"/>
    <w:rsid w:val="00571722"/>
    <w:rsid w:val="00572265"/>
    <w:rsid w:val="005728C0"/>
    <w:rsid w:val="00572FAC"/>
    <w:rsid w:val="005730CF"/>
    <w:rsid w:val="005730DF"/>
    <w:rsid w:val="00573317"/>
    <w:rsid w:val="00573359"/>
    <w:rsid w:val="00573907"/>
    <w:rsid w:val="00574391"/>
    <w:rsid w:val="005747C3"/>
    <w:rsid w:val="005758B4"/>
    <w:rsid w:val="00575C2F"/>
    <w:rsid w:val="00575CDC"/>
    <w:rsid w:val="00575CE7"/>
    <w:rsid w:val="00576201"/>
    <w:rsid w:val="00577468"/>
    <w:rsid w:val="0057748E"/>
    <w:rsid w:val="00577BF7"/>
    <w:rsid w:val="00577C9D"/>
    <w:rsid w:val="00577D1A"/>
    <w:rsid w:val="00580409"/>
    <w:rsid w:val="00581059"/>
    <w:rsid w:val="005810C7"/>
    <w:rsid w:val="005812F5"/>
    <w:rsid w:val="0058143F"/>
    <w:rsid w:val="00581738"/>
    <w:rsid w:val="00581768"/>
    <w:rsid w:val="005823ED"/>
    <w:rsid w:val="0058256F"/>
    <w:rsid w:val="005828B2"/>
    <w:rsid w:val="00582CF2"/>
    <w:rsid w:val="00582ED0"/>
    <w:rsid w:val="0058319D"/>
    <w:rsid w:val="00583358"/>
    <w:rsid w:val="005838CD"/>
    <w:rsid w:val="00583FC0"/>
    <w:rsid w:val="00585B4A"/>
    <w:rsid w:val="00585C66"/>
    <w:rsid w:val="005862B6"/>
    <w:rsid w:val="005862D4"/>
    <w:rsid w:val="0058673A"/>
    <w:rsid w:val="005869C1"/>
    <w:rsid w:val="00586ECA"/>
    <w:rsid w:val="0058750F"/>
    <w:rsid w:val="005877DB"/>
    <w:rsid w:val="00590018"/>
    <w:rsid w:val="005904A1"/>
    <w:rsid w:val="005913BE"/>
    <w:rsid w:val="00591467"/>
    <w:rsid w:val="00591519"/>
    <w:rsid w:val="00591C13"/>
    <w:rsid w:val="0059224E"/>
    <w:rsid w:val="00592591"/>
    <w:rsid w:val="00592F09"/>
    <w:rsid w:val="00592F57"/>
    <w:rsid w:val="00592FD5"/>
    <w:rsid w:val="00593314"/>
    <w:rsid w:val="005935B1"/>
    <w:rsid w:val="00593B5A"/>
    <w:rsid w:val="00593B86"/>
    <w:rsid w:val="00593D26"/>
    <w:rsid w:val="005944AB"/>
    <w:rsid w:val="0059452D"/>
    <w:rsid w:val="00594A1C"/>
    <w:rsid w:val="00594CE5"/>
    <w:rsid w:val="005952B4"/>
    <w:rsid w:val="005956C0"/>
    <w:rsid w:val="00595D2F"/>
    <w:rsid w:val="00595FC6"/>
    <w:rsid w:val="0059602B"/>
    <w:rsid w:val="005968BD"/>
    <w:rsid w:val="005969E1"/>
    <w:rsid w:val="00596BF2"/>
    <w:rsid w:val="00597E4F"/>
    <w:rsid w:val="00597FD3"/>
    <w:rsid w:val="005A0D9B"/>
    <w:rsid w:val="005A11B4"/>
    <w:rsid w:val="005A1697"/>
    <w:rsid w:val="005A17C7"/>
    <w:rsid w:val="005A1DB5"/>
    <w:rsid w:val="005A1E9D"/>
    <w:rsid w:val="005A2546"/>
    <w:rsid w:val="005A27BE"/>
    <w:rsid w:val="005A311D"/>
    <w:rsid w:val="005A33A4"/>
    <w:rsid w:val="005A415F"/>
    <w:rsid w:val="005A4766"/>
    <w:rsid w:val="005A5050"/>
    <w:rsid w:val="005A53DD"/>
    <w:rsid w:val="005A58D9"/>
    <w:rsid w:val="005A62D0"/>
    <w:rsid w:val="005A6768"/>
    <w:rsid w:val="005A703B"/>
    <w:rsid w:val="005A75D8"/>
    <w:rsid w:val="005A7834"/>
    <w:rsid w:val="005A786B"/>
    <w:rsid w:val="005B0090"/>
    <w:rsid w:val="005B0234"/>
    <w:rsid w:val="005B0ED3"/>
    <w:rsid w:val="005B12B2"/>
    <w:rsid w:val="005B1634"/>
    <w:rsid w:val="005B2052"/>
    <w:rsid w:val="005B24AA"/>
    <w:rsid w:val="005B24BA"/>
    <w:rsid w:val="005B251C"/>
    <w:rsid w:val="005B26A6"/>
    <w:rsid w:val="005B2DDD"/>
    <w:rsid w:val="005B2F26"/>
    <w:rsid w:val="005B30B7"/>
    <w:rsid w:val="005B31AF"/>
    <w:rsid w:val="005B3673"/>
    <w:rsid w:val="005B37B6"/>
    <w:rsid w:val="005B38FC"/>
    <w:rsid w:val="005B3B8B"/>
    <w:rsid w:val="005B3CEE"/>
    <w:rsid w:val="005B4165"/>
    <w:rsid w:val="005B42E0"/>
    <w:rsid w:val="005B449E"/>
    <w:rsid w:val="005B4FBC"/>
    <w:rsid w:val="005B509C"/>
    <w:rsid w:val="005B51D7"/>
    <w:rsid w:val="005B6196"/>
    <w:rsid w:val="005B6767"/>
    <w:rsid w:val="005B6851"/>
    <w:rsid w:val="005B6C6C"/>
    <w:rsid w:val="005B6C85"/>
    <w:rsid w:val="005B7044"/>
    <w:rsid w:val="005B763A"/>
    <w:rsid w:val="005B7773"/>
    <w:rsid w:val="005B7933"/>
    <w:rsid w:val="005C010B"/>
    <w:rsid w:val="005C016E"/>
    <w:rsid w:val="005C0216"/>
    <w:rsid w:val="005C0E85"/>
    <w:rsid w:val="005C1352"/>
    <w:rsid w:val="005C1363"/>
    <w:rsid w:val="005C1D10"/>
    <w:rsid w:val="005C1F62"/>
    <w:rsid w:val="005C2516"/>
    <w:rsid w:val="005C26F1"/>
    <w:rsid w:val="005C2A6F"/>
    <w:rsid w:val="005C2C95"/>
    <w:rsid w:val="005C375B"/>
    <w:rsid w:val="005C388B"/>
    <w:rsid w:val="005C39D7"/>
    <w:rsid w:val="005C3BC0"/>
    <w:rsid w:val="005C3C73"/>
    <w:rsid w:val="005C3E63"/>
    <w:rsid w:val="005C491D"/>
    <w:rsid w:val="005C49EE"/>
    <w:rsid w:val="005C649A"/>
    <w:rsid w:val="005C6891"/>
    <w:rsid w:val="005C71D4"/>
    <w:rsid w:val="005C7719"/>
    <w:rsid w:val="005C7A3C"/>
    <w:rsid w:val="005D01AC"/>
    <w:rsid w:val="005D0325"/>
    <w:rsid w:val="005D057F"/>
    <w:rsid w:val="005D08C5"/>
    <w:rsid w:val="005D0D4D"/>
    <w:rsid w:val="005D1B7D"/>
    <w:rsid w:val="005D204E"/>
    <w:rsid w:val="005D2552"/>
    <w:rsid w:val="005D2B17"/>
    <w:rsid w:val="005D2D5E"/>
    <w:rsid w:val="005D2F92"/>
    <w:rsid w:val="005D393D"/>
    <w:rsid w:val="005D40B2"/>
    <w:rsid w:val="005D4DB1"/>
    <w:rsid w:val="005D526F"/>
    <w:rsid w:val="005D540D"/>
    <w:rsid w:val="005D6077"/>
    <w:rsid w:val="005D61A3"/>
    <w:rsid w:val="005D683D"/>
    <w:rsid w:val="005D6981"/>
    <w:rsid w:val="005D69DB"/>
    <w:rsid w:val="005D6A90"/>
    <w:rsid w:val="005D6C64"/>
    <w:rsid w:val="005D703C"/>
    <w:rsid w:val="005D709E"/>
    <w:rsid w:val="005D7794"/>
    <w:rsid w:val="005D7931"/>
    <w:rsid w:val="005E010F"/>
    <w:rsid w:val="005E0D89"/>
    <w:rsid w:val="005E178A"/>
    <w:rsid w:val="005E206F"/>
    <w:rsid w:val="005E2345"/>
    <w:rsid w:val="005E23F3"/>
    <w:rsid w:val="005E25CF"/>
    <w:rsid w:val="005E25ED"/>
    <w:rsid w:val="005E2AF3"/>
    <w:rsid w:val="005E3BB6"/>
    <w:rsid w:val="005E409F"/>
    <w:rsid w:val="005E41B2"/>
    <w:rsid w:val="005E475D"/>
    <w:rsid w:val="005E4B0C"/>
    <w:rsid w:val="005E4CF9"/>
    <w:rsid w:val="005E4D86"/>
    <w:rsid w:val="005E60FC"/>
    <w:rsid w:val="005E6BA8"/>
    <w:rsid w:val="005E6D04"/>
    <w:rsid w:val="005E713D"/>
    <w:rsid w:val="005E716C"/>
    <w:rsid w:val="005F07E3"/>
    <w:rsid w:val="005F0D3D"/>
    <w:rsid w:val="005F0E6A"/>
    <w:rsid w:val="005F117F"/>
    <w:rsid w:val="005F11E7"/>
    <w:rsid w:val="005F1C3A"/>
    <w:rsid w:val="005F1E7D"/>
    <w:rsid w:val="005F3967"/>
    <w:rsid w:val="005F43BD"/>
    <w:rsid w:val="005F4886"/>
    <w:rsid w:val="005F48AB"/>
    <w:rsid w:val="005F4C4F"/>
    <w:rsid w:val="005F5705"/>
    <w:rsid w:val="005F5AE1"/>
    <w:rsid w:val="005F6847"/>
    <w:rsid w:val="005F6CB3"/>
    <w:rsid w:val="005F6E0E"/>
    <w:rsid w:val="005F6F10"/>
    <w:rsid w:val="005F72F3"/>
    <w:rsid w:val="005F7C4A"/>
    <w:rsid w:val="006007C9"/>
    <w:rsid w:val="00601024"/>
    <w:rsid w:val="00601339"/>
    <w:rsid w:val="00601567"/>
    <w:rsid w:val="006019A4"/>
    <w:rsid w:val="00602646"/>
    <w:rsid w:val="00602AD3"/>
    <w:rsid w:val="00602DDD"/>
    <w:rsid w:val="00602E9A"/>
    <w:rsid w:val="00603062"/>
    <w:rsid w:val="0060352A"/>
    <w:rsid w:val="00603F05"/>
    <w:rsid w:val="006045F0"/>
    <w:rsid w:val="00604CE5"/>
    <w:rsid w:val="006058D6"/>
    <w:rsid w:val="0060604D"/>
    <w:rsid w:val="00606430"/>
    <w:rsid w:val="006074F8"/>
    <w:rsid w:val="00607C6B"/>
    <w:rsid w:val="00610302"/>
    <w:rsid w:val="00610475"/>
    <w:rsid w:val="0061086C"/>
    <w:rsid w:val="006111A1"/>
    <w:rsid w:val="0061132C"/>
    <w:rsid w:val="006119C4"/>
    <w:rsid w:val="006119DD"/>
    <w:rsid w:val="00611B33"/>
    <w:rsid w:val="00612409"/>
    <w:rsid w:val="006124F3"/>
    <w:rsid w:val="00612D9E"/>
    <w:rsid w:val="00612DF9"/>
    <w:rsid w:val="00613ABB"/>
    <w:rsid w:val="006142E6"/>
    <w:rsid w:val="00614C9C"/>
    <w:rsid w:val="006151B7"/>
    <w:rsid w:val="006153D7"/>
    <w:rsid w:val="00615DE1"/>
    <w:rsid w:val="00615E11"/>
    <w:rsid w:val="0061651B"/>
    <w:rsid w:val="00616A84"/>
    <w:rsid w:val="00616BC6"/>
    <w:rsid w:val="00616C14"/>
    <w:rsid w:val="0061732E"/>
    <w:rsid w:val="00617348"/>
    <w:rsid w:val="0061788F"/>
    <w:rsid w:val="00617B5E"/>
    <w:rsid w:val="0062001C"/>
    <w:rsid w:val="00620028"/>
    <w:rsid w:val="00620056"/>
    <w:rsid w:val="00620472"/>
    <w:rsid w:val="00620584"/>
    <w:rsid w:val="00620802"/>
    <w:rsid w:val="00620A93"/>
    <w:rsid w:val="00620DF0"/>
    <w:rsid w:val="00621535"/>
    <w:rsid w:val="00621C32"/>
    <w:rsid w:val="0062216E"/>
    <w:rsid w:val="00622397"/>
    <w:rsid w:val="006227C4"/>
    <w:rsid w:val="00622E75"/>
    <w:rsid w:val="00622F9F"/>
    <w:rsid w:val="00623749"/>
    <w:rsid w:val="00623BE9"/>
    <w:rsid w:val="00623D61"/>
    <w:rsid w:val="00623EA0"/>
    <w:rsid w:val="00623F16"/>
    <w:rsid w:val="00623F22"/>
    <w:rsid w:val="00623F28"/>
    <w:rsid w:val="00623F78"/>
    <w:rsid w:val="006243E3"/>
    <w:rsid w:val="00624737"/>
    <w:rsid w:val="006247A1"/>
    <w:rsid w:val="006247DA"/>
    <w:rsid w:val="0062539D"/>
    <w:rsid w:val="006254C8"/>
    <w:rsid w:val="0062674B"/>
    <w:rsid w:val="00626B7B"/>
    <w:rsid w:val="0062744B"/>
    <w:rsid w:val="00627A29"/>
    <w:rsid w:val="00627E14"/>
    <w:rsid w:val="00627EAB"/>
    <w:rsid w:val="00630017"/>
    <w:rsid w:val="00630163"/>
    <w:rsid w:val="00630371"/>
    <w:rsid w:val="0063061B"/>
    <w:rsid w:val="00630888"/>
    <w:rsid w:val="00630A5B"/>
    <w:rsid w:val="00631158"/>
    <w:rsid w:val="0063147B"/>
    <w:rsid w:val="0063198F"/>
    <w:rsid w:val="00631B39"/>
    <w:rsid w:val="00631E6A"/>
    <w:rsid w:val="00632217"/>
    <w:rsid w:val="0063225A"/>
    <w:rsid w:val="0063254B"/>
    <w:rsid w:val="00632C51"/>
    <w:rsid w:val="006332F4"/>
    <w:rsid w:val="00633310"/>
    <w:rsid w:val="0063337C"/>
    <w:rsid w:val="006334FA"/>
    <w:rsid w:val="00633CD4"/>
    <w:rsid w:val="006343AC"/>
    <w:rsid w:val="0063536C"/>
    <w:rsid w:val="00635437"/>
    <w:rsid w:val="006358A0"/>
    <w:rsid w:val="00635916"/>
    <w:rsid w:val="00635B21"/>
    <w:rsid w:val="00635C41"/>
    <w:rsid w:val="006360DF"/>
    <w:rsid w:val="006361F5"/>
    <w:rsid w:val="0063631C"/>
    <w:rsid w:val="00636871"/>
    <w:rsid w:val="00636D6D"/>
    <w:rsid w:val="006378C1"/>
    <w:rsid w:val="006401AF"/>
    <w:rsid w:val="006408E4"/>
    <w:rsid w:val="0064092E"/>
    <w:rsid w:val="00640A44"/>
    <w:rsid w:val="00640F97"/>
    <w:rsid w:val="006424F5"/>
    <w:rsid w:val="00642CAC"/>
    <w:rsid w:val="00642DA3"/>
    <w:rsid w:val="00643072"/>
    <w:rsid w:val="006433A9"/>
    <w:rsid w:val="0064345A"/>
    <w:rsid w:val="006439C9"/>
    <w:rsid w:val="00643C6B"/>
    <w:rsid w:val="00643CCD"/>
    <w:rsid w:val="00643FB1"/>
    <w:rsid w:val="00644293"/>
    <w:rsid w:val="0064437F"/>
    <w:rsid w:val="00644607"/>
    <w:rsid w:val="00644735"/>
    <w:rsid w:val="00644AC0"/>
    <w:rsid w:val="00644BC0"/>
    <w:rsid w:val="00645451"/>
    <w:rsid w:val="006456CB"/>
    <w:rsid w:val="006456D5"/>
    <w:rsid w:val="00645F34"/>
    <w:rsid w:val="0064689F"/>
    <w:rsid w:val="00646BB5"/>
    <w:rsid w:val="00647185"/>
    <w:rsid w:val="006476AE"/>
    <w:rsid w:val="006504D9"/>
    <w:rsid w:val="006509DB"/>
    <w:rsid w:val="00650BFC"/>
    <w:rsid w:val="00650C4A"/>
    <w:rsid w:val="00650EE2"/>
    <w:rsid w:val="00651715"/>
    <w:rsid w:val="006519AB"/>
    <w:rsid w:val="00651AA9"/>
    <w:rsid w:val="0065235D"/>
    <w:rsid w:val="006524B4"/>
    <w:rsid w:val="006530F1"/>
    <w:rsid w:val="0065314C"/>
    <w:rsid w:val="0065341D"/>
    <w:rsid w:val="0065360E"/>
    <w:rsid w:val="00653D2B"/>
    <w:rsid w:val="006544C2"/>
    <w:rsid w:val="006545F3"/>
    <w:rsid w:val="00654A54"/>
    <w:rsid w:val="00654FE1"/>
    <w:rsid w:val="006554F6"/>
    <w:rsid w:val="00655777"/>
    <w:rsid w:val="006558C9"/>
    <w:rsid w:val="006559AA"/>
    <w:rsid w:val="00656253"/>
    <w:rsid w:val="006562E2"/>
    <w:rsid w:val="0065642D"/>
    <w:rsid w:val="00656889"/>
    <w:rsid w:val="00656920"/>
    <w:rsid w:val="006569A7"/>
    <w:rsid w:val="00656B27"/>
    <w:rsid w:val="00656D2E"/>
    <w:rsid w:val="0065773F"/>
    <w:rsid w:val="00657B3F"/>
    <w:rsid w:val="00660282"/>
    <w:rsid w:val="006606CB"/>
    <w:rsid w:val="00660B0E"/>
    <w:rsid w:val="00660BA8"/>
    <w:rsid w:val="00660F16"/>
    <w:rsid w:val="006616AF"/>
    <w:rsid w:val="0066187D"/>
    <w:rsid w:val="006618ED"/>
    <w:rsid w:val="00661947"/>
    <w:rsid w:val="00661E10"/>
    <w:rsid w:val="00661E5A"/>
    <w:rsid w:val="00661FA0"/>
    <w:rsid w:val="00662786"/>
    <w:rsid w:val="00662DF2"/>
    <w:rsid w:val="00662E00"/>
    <w:rsid w:val="00663212"/>
    <w:rsid w:val="0066368C"/>
    <w:rsid w:val="00663A4A"/>
    <w:rsid w:val="00663A5C"/>
    <w:rsid w:val="00663B2C"/>
    <w:rsid w:val="00664065"/>
    <w:rsid w:val="00664D51"/>
    <w:rsid w:val="0066506E"/>
    <w:rsid w:val="00665070"/>
    <w:rsid w:val="006653A3"/>
    <w:rsid w:val="00665C5D"/>
    <w:rsid w:val="00667139"/>
    <w:rsid w:val="006677E8"/>
    <w:rsid w:val="0066785E"/>
    <w:rsid w:val="00667CF7"/>
    <w:rsid w:val="00667FF0"/>
    <w:rsid w:val="00670184"/>
    <w:rsid w:val="00670338"/>
    <w:rsid w:val="00670AE4"/>
    <w:rsid w:val="006710CA"/>
    <w:rsid w:val="00672127"/>
    <w:rsid w:val="006722FB"/>
    <w:rsid w:val="00672768"/>
    <w:rsid w:val="00672BE3"/>
    <w:rsid w:val="00672F95"/>
    <w:rsid w:val="00673537"/>
    <w:rsid w:val="00673858"/>
    <w:rsid w:val="0067422D"/>
    <w:rsid w:val="00674517"/>
    <w:rsid w:val="00674F75"/>
    <w:rsid w:val="0067599C"/>
    <w:rsid w:val="00676378"/>
    <w:rsid w:val="006764E5"/>
    <w:rsid w:val="00676781"/>
    <w:rsid w:val="00676BBE"/>
    <w:rsid w:val="006774AF"/>
    <w:rsid w:val="006778DA"/>
    <w:rsid w:val="00677D1E"/>
    <w:rsid w:val="006801EF"/>
    <w:rsid w:val="0068033C"/>
    <w:rsid w:val="006814F5"/>
    <w:rsid w:val="00682DA3"/>
    <w:rsid w:val="00682EAF"/>
    <w:rsid w:val="0068369C"/>
    <w:rsid w:val="006836D4"/>
    <w:rsid w:val="00684135"/>
    <w:rsid w:val="0068429D"/>
    <w:rsid w:val="006843B2"/>
    <w:rsid w:val="00684DE8"/>
    <w:rsid w:val="0068571F"/>
    <w:rsid w:val="0068588C"/>
    <w:rsid w:val="00685C59"/>
    <w:rsid w:val="00685DAB"/>
    <w:rsid w:val="00685E4A"/>
    <w:rsid w:val="0068605E"/>
    <w:rsid w:val="006864AA"/>
    <w:rsid w:val="00686718"/>
    <w:rsid w:val="00686C21"/>
    <w:rsid w:val="00686DCD"/>
    <w:rsid w:val="00687670"/>
    <w:rsid w:val="00687A95"/>
    <w:rsid w:val="00687AD8"/>
    <w:rsid w:val="00687F01"/>
    <w:rsid w:val="0069011A"/>
    <w:rsid w:val="00690D83"/>
    <w:rsid w:val="00690E7B"/>
    <w:rsid w:val="00690FCF"/>
    <w:rsid w:val="006914CB"/>
    <w:rsid w:val="006916F5"/>
    <w:rsid w:val="0069170E"/>
    <w:rsid w:val="0069186F"/>
    <w:rsid w:val="00691BB3"/>
    <w:rsid w:val="00691E47"/>
    <w:rsid w:val="00691F43"/>
    <w:rsid w:val="00692A58"/>
    <w:rsid w:val="00692E0A"/>
    <w:rsid w:val="006931E9"/>
    <w:rsid w:val="00693437"/>
    <w:rsid w:val="00693DB5"/>
    <w:rsid w:val="00693DBC"/>
    <w:rsid w:val="0069400C"/>
    <w:rsid w:val="00694343"/>
    <w:rsid w:val="00694F88"/>
    <w:rsid w:val="006959A0"/>
    <w:rsid w:val="00695F1F"/>
    <w:rsid w:val="00696542"/>
    <w:rsid w:val="00696BFA"/>
    <w:rsid w:val="00697DA4"/>
    <w:rsid w:val="006A01AC"/>
    <w:rsid w:val="006A0234"/>
    <w:rsid w:val="006A0436"/>
    <w:rsid w:val="006A044F"/>
    <w:rsid w:val="006A0595"/>
    <w:rsid w:val="006A064E"/>
    <w:rsid w:val="006A0946"/>
    <w:rsid w:val="006A0B9D"/>
    <w:rsid w:val="006A0C37"/>
    <w:rsid w:val="006A19B2"/>
    <w:rsid w:val="006A1F0B"/>
    <w:rsid w:val="006A1F7F"/>
    <w:rsid w:val="006A233D"/>
    <w:rsid w:val="006A261A"/>
    <w:rsid w:val="006A26F9"/>
    <w:rsid w:val="006A2A3C"/>
    <w:rsid w:val="006A31C6"/>
    <w:rsid w:val="006A383D"/>
    <w:rsid w:val="006A3F1F"/>
    <w:rsid w:val="006A44F5"/>
    <w:rsid w:val="006A4618"/>
    <w:rsid w:val="006A4755"/>
    <w:rsid w:val="006A515C"/>
    <w:rsid w:val="006A51F4"/>
    <w:rsid w:val="006A521D"/>
    <w:rsid w:val="006A55AB"/>
    <w:rsid w:val="006A594B"/>
    <w:rsid w:val="006A5C76"/>
    <w:rsid w:val="006A6640"/>
    <w:rsid w:val="006A671E"/>
    <w:rsid w:val="006A6F41"/>
    <w:rsid w:val="006A6FC7"/>
    <w:rsid w:val="006A7FE8"/>
    <w:rsid w:val="006B12FF"/>
    <w:rsid w:val="006B1A09"/>
    <w:rsid w:val="006B1A31"/>
    <w:rsid w:val="006B1B65"/>
    <w:rsid w:val="006B1BAF"/>
    <w:rsid w:val="006B1C15"/>
    <w:rsid w:val="006B256C"/>
    <w:rsid w:val="006B298C"/>
    <w:rsid w:val="006B29D0"/>
    <w:rsid w:val="006B30F7"/>
    <w:rsid w:val="006B34D4"/>
    <w:rsid w:val="006B3902"/>
    <w:rsid w:val="006B3BDB"/>
    <w:rsid w:val="006B3E2E"/>
    <w:rsid w:val="006B42C2"/>
    <w:rsid w:val="006B496D"/>
    <w:rsid w:val="006B534C"/>
    <w:rsid w:val="006B53B9"/>
    <w:rsid w:val="006B5582"/>
    <w:rsid w:val="006B5DD0"/>
    <w:rsid w:val="006B68FF"/>
    <w:rsid w:val="006B6A72"/>
    <w:rsid w:val="006B6E78"/>
    <w:rsid w:val="006B72A9"/>
    <w:rsid w:val="006B7B2C"/>
    <w:rsid w:val="006B7E3E"/>
    <w:rsid w:val="006C03C2"/>
    <w:rsid w:val="006C04D0"/>
    <w:rsid w:val="006C0516"/>
    <w:rsid w:val="006C05B5"/>
    <w:rsid w:val="006C0F17"/>
    <w:rsid w:val="006C0FCC"/>
    <w:rsid w:val="006C14B7"/>
    <w:rsid w:val="006C1787"/>
    <w:rsid w:val="006C1875"/>
    <w:rsid w:val="006C1929"/>
    <w:rsid w:val="006C1B85"/>
    <w:rsid w:val="006C1BE2"/>
    <w:rsid w:val="006C1DE3"/>
    <w:rsid w:val="006C238E"/>
    <w:rsid w:val="006C23C0"/>
    <w:rsid w:val="006C312F"/>
    <w:rsid w:val="006C343F"/>
    <w:rsid w:val="006C3A61"/>
    <w:rsid w:val="006C3B2F"/>
    <w:rsid w:val="006C40A7"/>
    <w:rsid w:val="006C4BF9"/>
    <w:rsid w:val="006C4D71"/>
    <w:rsid w:val="006C50E5"/>
    <w:rsid w:val="006C54CA"/>
    <w:rsid w:val="006C5566"/>
    <w:rsid w:val="006C5920"/>
    <w:rsid w:val="006C5B80"/>
    <w:rsid w:val="006C5BD3"/>
    <w:rsid w:val="006C5F2F"/>
    <w:rsid w:val="006C6386"/>
    <w:rsid w:val="006C6837"/>
    <w:rsid w:val="006C6AA3"/>
    <w:rsid w:val="006C6D0C"/>
    <w:rsid w:val="006C6F37"/>
    <w:rsid w:val="006C7C6F"/>
    <w:rsid w:val="006C7EB5"/>
    <w:rsid w:val="006D0478"/>
    <w:rsid w:val="006D06D6"/>
    <w:rsid w:val="006D145E"/>
    <w:rsid w:val="006D1998"/>
    <w:rsid w:val="006D1E4D"/>
    <w:rsid w:val="006D2409"/>
    <w:rsid w:val="006D2BDF"/>
    <w:rsid w:val="006D2D1D"/>
    <w:rsid w:val="006D3474"/>
    <w:rsid w:val="006D35B5"/>
    <w:rsid w:val="006D371B"/>
    <w:rsid w:val="006D381A"/>
    <w:rsid w:val="006D385A"/>
    <w:rsid w:val="006D3A01"/>
    <w:rsid w:val="006D3E13"/>
    <w:rsid w:val="006D4198"/>
    <w:rsid w:val="006D4714"/>
    <w:rsid w:val="006D500A"/>
    <w:rsid w:val="006D5863"/>
    <w:rsid w:val="006D592D"/>
    <w:rsid w:val="006D5A63"/>
    <w:rsid w:val="006D710B"/>
    <w:rsid w:val="006D7182"/>
    <w:rsid w:val="006D7494"/>
    <w:rsid w:val="006D7504"/>
    <w:rsid w:val="006D7B0A"/>
    <w:rsid w:val="006D7B17"/>
    <w:rsid w:val="006E031F"/>
    <w:rsid w:val="006E0508"/>
    <w:rsid w:val="006E0879"/>
    <w:rsid w:val="006E0FC9"/>
    <w:rsid w:val="006E10BD"/>
    <w:rsid w:val="006E10BE"/>
    <w:rsid w:val="006E16DE"/>
    <w:rsid w:val="006E1A86"/>
    <w:rsid w:val="006E27B3"/>
    <w:rsid w:val="006E3388"/>
    <w:rsid w:val="006E36F7"/>
    <w:rsid w:val="006E3978"/>
    <w:rsid w:val="006E3B1A"/>
    <w:rsid w:val="006E42AE"/>
    <w:rsid w:val="006E44B7"/>
    <w:rsid w:val="006E44D9"/>
    <w:rsid w:val="006E5254"/>
    <w:rsid w:val="006E5286"/>
    <w:rsid w:val="006E54AF"/>
    <w:rsid w:val="006E657C"/>
    <w:rsid w:val="006E66AE"/>
    <w:rsid w:val="006E69AC"/>
    <w:rsid w:val="006E6CED"/>
    <w:rsid w:val="006E720E"/>
    <w:rsid w:val="006E745B"/>
    <w:rsid w:val="006E787A"/>
    <w:rsid w:val="006E7E2F"/>
    <w:rsid w:val="006E7FC5"/>
    <w:rsid w:val="006F06F2"/>
    <w:rsid w:val="006F074D"/>
    <w:rsid w:val="006F0EBA"/>
    <w:rsid w:val="006F1BB6"/>
    <w:rsid w:val="006F3153"/>
    <w:rsid w:val="006F31EA"/>
    <w:rsid w:val="006F3226"/>
    <w:rsid w:val="006F3604"/>
    <w:rsid w:val="006F3958"/>
    <w:rsid w:val="006F3D39"/>
    <w:rsid w:val="006F3F52"/>
    <w:rsid w:val="006F402C"/>
    <w:rsid w:val="006F412A"/>
    <w:rsid w:val="006F4CC7"/>
    <w:rsid w:val="006F50CE"/>
    <w:rsid w:val="006F5283"/>
    <w:rsid w:val="006F5468"/>
    <w:rsid w:val="006F55E4"/>
    <w:rsid w:val="006F6778"/>
    <w:rsid w:val="006F6E9A"/>
    <w:rsid w:val="006F6EBD"/>
    <w:rsid w:val="006F7336"/>
    <w:rsid w:val="006F7DE9"/>
    <w:rsid w:val="006F7F6E"/>
    <w:rsid w:val="0070029A"/>
    <w:rsid w:val="0070042F"/>
    <w:rsid w:val="0070062A"/>
    <w:rsid w:val="007007AB"/>
    <w:rsid w:val="00700BC4"/>
    <w:rsid w:val="00700C8D"/>
    <w:rsid w:val="00700C93"/>
    <w:rsid w:val="00702765"/>
    <w:rsid w:val="007027F1"/>
    <w:rsid w:val="00702AB3"/>
    <w:rsid w:val="00703FBA"/>
    <w:rsid w:val="0070427C"/>
    <w:rsid w:val="00704941"/>
    <w:rsid w:val="00704BFC"/>
    <w:rsid w:val="00705585"/>
    <w:rsid w:val="00705597"/>
    <w:rsid w:val="007058DA"/>
    <w:rsid w:val="007061D3"/>
    <w:rsid w:val="00706CC0"/>
    <w:rsid w:val="00706E5F"/>
    <w:rsid w:val="00706F10"/>
    <w:rsid w:val="00706FDC"/>
    <w:rsid w:val="0070704C"/>
    <w:rsid w:val="0070710A"/>
    <w:rsid w:val="0070732B"/>
    <w:rsid w:val="0070765F"/>
    <w:rsid w:val="00707F60"/>
    <w:rsid w:val="00707F6E"/>
    <w:rsid w:val="007105F5"/>
    <w:rsid w:val="0071064F"/>
    <w:rsid w:val="00710B89"/>
    <w:rsid w:val="00710C81"/>
    <w:rsid w:val="00710D08"/>
    <w:rsid w:val="00710D2E"/>
    <w:rsid w:val="00710D47"/>
    <w:rsid w:val="00710FD0"/>
    <w:rsid w:val="0071124A"/>
    <w:rsid w:val="00711F1D"/>
    <w:rsid w:val="00712247"/>
    <w:rsid w:val="0071224F"/>
    <w:rsid w:val="0071228F"/>
    <w:rsid w:val="007129C5"/>
    <w:rsid w:val="00712ADE"/>
    <w:rsid w:val="00712C77"/>
    <w:rsid w:val="00713225"/>
    <w:rsid w:val="007137D5"/>
    <w:rsid w:val="00714602"/>
    <w:rsid w:val="00714FA4"/>
    <w:rsid w:val="00715415"/>
    <w:rsid w:val="007154C5"/>
    <w:rsid w:val="007156A3"/>
    <w:rsid w:val="00715836"/>
    <w:rsid w:val="0071599C"/>
    <w:rsid w:val="007162F2"/>
    <w:rsid w:val="0071651D"/>
    <w:rsid w:val="00716BAE"/>
    <w:rsid w:val="00716F5E"/>
    <w:rsid w:val="00717164"/>
    <w:rsid w:val="0071791F"/>
    <w:rsid w:val="00717F96"/>
    <w:rsid w:val="0072031F"/>
    <w:rsid w:val="00720FF7"/>
    <w:rsid w:val="0072109A"/>
    <w:rsid w:val="007210BA"/>
    <w:rsid w:val="0072150E"/>
    <w:rsid w:val="00721621"/>
    <w:rsid w:val="00721874"/>
    <w:rsid w:val="00721894"/>
    <w:rsid w:val="00721D6F"/>
    <w:rsid w:val="007223F1"/>
    <w:rsid w:val="00722DB7"/>
    <w:rsid w:val="00723B76"/>
    <w:rsid w:val="00723CA6"/>
    <w:rsid w:val="00724C12"/>
    <w:rsid w:val="00724D96"/>
    <w:rsid w:val="00725A0A"/>
    <w:rsid w:val="00726CDC"/>
    <w:rsid w:val="00727075"/>
    <w:rsid w:val="00727232"/>
    <w:rsid w:val="00727378"/>
    <w:rsid w:val="0072778A"/>
    <w:rsid w:val="00727C9F"/>
    <w:rsid w:val="0073003C"/>
    <w:rsid w:val="00730493"/>
    <w:rsid w:val="00731182"/>
    <w:rsid w:val="007312FD"/>
    <w:rsid w:val="00731894"/>
    <w:rsid w:val="00731C76"/>
    <w:rsid w:val="00731D64"/>
    <w:rsid w:val="007320F1"/>
    <w:rsid w:val="007323ED"/>
    <w:rsid w:val="0073242E"/>
    <w:rsid w:val="007326B5"/>
    <w:rsid w:val="00732807"/>
    <w:rsid w:val="00732991"/>
    <w:rsid w:val="007329BF"/>
    <w:rsid w:val="00732E54"/>
    <w:rsid w:val="007330E4"/>
    <w:rsid w:val="00733471"/>
    <w:rsid w:val="00733A3E"/>
    <w:rsid w:val="0073423E"/>
    <w:rsid w:val="007346ED"/>
    <w:rsid w:val="007347A4"/>
    <w:rsid w:val="00734C18"/>
    <w:rsid w:val="00734E65"/>
    <w:rsid w:val="00735BA9"/>
    <w:rsid w:val="00735D6E"/>
    <w:rsid w:val="00735EBB"/>
    <w:rsid w:val="007361F8"/>
    <w:rsid w:val="00736734"/>
    <w:rsid w:val="00736982"/>
    <w:rsid w:val="00737D3A"/>
    <w:rsid w:val="007402D2"/>
    <w:rsid w:val="00740F78"/>
    <w:rsid w:val="00741331"/>
    <w:rsid w:val="00741515"/>
    <w:rsid w:val="00741B3B"/>
    <w:rsid w:val="00741D8F"/>
    <w:rsid w:val="00742DED"/>
    <w:rsid w:val="00743C18"/>
    <w:rsid w:val="00744088"/>
    <w:rsid w:val="00744C43"/>
    <w:rsid w:val="00744D68"/>
    <w:rsid w:val="00744EEF"/>
    <w:rsid w:val="00745011"/>
    <w:rsid w:val="00745DBD"/>
    <w:rsid w:val="0074628D"/>
    <w:rsid w:val="00746290"/>
    <w:rsid w:val="00746314"/>
    <w:rsid w:val="0074684D"/>
    <w:rsid w:val="00746AE3"/>
    <w:rsid w:val="00747356"/>
    <w:rsid w:val="0074762B"/>
    <w:rsid w:val="00747CE0"/>
    <w:rsid w:val="007500E0"/>
    <w:rsid w:val="007505AD"/>
    <w:rsid w:val="0075079F"/>
    <w:rsid w:val="00750857"/>
    <w:rsid w:val="00750A35"/>
    <w:rsid w:val="00750B3A"/>
    <w:rsid w:val="00750EF3"/>
    <w:rsid w:val="0075164B"/>
    <w:rsid w:val="00752060"/>
    <w:rsid w:val="007523EA"/>
    <w:rsid w:val="007524D8"/>
    <w:rsid w:val="007528A4"/>
    <w:rsid w:val="00753893"/>
    <w:rsid w:val="00753A1F"/>
    <w:rsid w:val="0075500D"/>
    <w:rsid w:val="0075522A"/>
    <w:rsid w:val="0075526B"/>
    <w:rsid w:val="007552F3"/>
    <w:rsid w:val="007553D7"/>
    <w:rsid w:val="00755A8A"/>
    <w:rsid w:val="007562A7"/>
    <w:rsid w:val="007563DE"/>
    <w:rsid w:val="00756E3B"/>
    <w:rsid w:val="00756E99"/>
    <w:rsid w:val="00757811"/>
    <w:rsid w:val="00757890"/>
    <w:rsid w:val="00757B49"/>
    <w:rsid w:val="00757CDD"/>
    <w:rsid w:val="007603D4"/>
    <w:rsid w:val="007609CF"/>
    <w:rsid w:val="00760A46"/>
    <w:rsid w:val="00760C4B"/>
    <w:rsid w:val="00762211"/>
    <w:rsid w:val="00762283"/>
    <w:rsid w:val="00762499"/>
    <w:rsid w:val="007631BE"/>
    <w:rsid w:val="007631D8"/>
    <w:rsid w:val="00763BC7"/>
    <w:rsid w:val="00763D47"/>
    <w:rsid w:val="00763F16"/>
    <w:rsid w:val="00764BA9"/>
    <w:rsid w:val="00764BF3"/>
    <w:rsid w:val="00764C0D"/>
    <w:rsid w:val="00765093"/>
    <w:rsid w:val="007656B7"/>
    <w:rsid w:val="007659CF"/>
    <w:rsid w:val="00766038"/>
    <w:rsid w:val="00766096"/>
    <w:rsid w:val="00766DA6"/>
    <w:rsid w:val="00766DDE"/>
    <w:rsid w:val="00767246"/>
    <w:rsid w:val="007672E9"/>
    <w:rsid w:val="00767721"/>
    <w:rsid w:val="007677E2"/>
    <w:rsid w:val="00770593"/>
    <w:rsid w:val="0077156C"/>
    <w:rsid w:val="00771780"/>
    <w:rsid w:val="00771798"/>
    <w:rsid w:val="00772273"/>
    <w:rsid w:val="007724F5"/>
    <w:rsid w:val="00772C70"/>
    <w:rsid w:val="00772F81"/>
    <w:rsid w:val="0077309D"/>
    <w:rsid w:val="0077315C"/>
    <w:rsid w:val="00773205"/>
    <w:rsid w:val="0077324F"/>
    <w:rsid w:val="007734BB"/>
    <w:rsid w:val="007735DA"/>
    <w:rsid w:val="00773BB7"/>
    <w:rsid w:val="00773D98"/>
    <w:rsid w:val="00774137"/>
    <w:rsid w:val="0077432E"/>
    <w:rsid w:val="00774F6F"/>
    <w:rsid w:val="0077579E"/>
    <w:rsid w:val="007758AC"/>
    <w:rsid w:val="00775AF5"/>
    <w:rsid w:val="00775B80"/>
    <w:rsid w:val="00775C70"/>
    <w:rsid w:val="007760D9"/>
    <w:rsid w:val="00776835"/>
    <w:rsid w:val="0077746F"/>
    <w:rsid w:val="007779FE"/>
    <w:rsid w:val="0078040B"/>
    <w:rsid w:val="0078041C"/>
    <w:rsid w:val="00780A4F"/>
    <w:rsid w:val="00780D88"/>
    <w:rsid w:val="007811F5"/>
    <w:rsid w:val="00781444"/>
    <w:rsid w:val="00781578"/>
    <w:rsid w:val="00781734"/>
    <w:rsid w:val="007819F6"/>
    <w:rsid w:val="00781BC9"/>
    <w:rsid w:val="007826E3"/>
    <w:rsid w:val="00782ECD"/>
    <w:rsid w:val="0078313D"/>
    <w:rsid w:val="00783A5F"/>
    <w:rsid w:val="00783A6C"/>
    <w:rsid w:val="00783BB5"/>
    <w:rsid w:val="00783CA5"/>
    <w:rsid w:val="00784978"/>
    <w:rsid w:val="00784F2B"/>
    <w:rsid w:val="00785923"/>
    <w:rsid w:val="00785A8C"/>
    <w:rsid w:val="007861FB"/>
    <w:rsid w:val="00786E90"/>
    <w:rsid w:val="00786FEF"/>
    <w:rsid w:val="00787F32"/>
    <w:rsid w:val="007908C2"/>
    <w:rsid w:val="00790916"/>
    <w:rsid w:val="00790DA9"/>
    <w:rsid w:val="00791187"/>
    <w:rsid w:val="00791B40"/>
    <w:rsid w:val="00791F2C"/>
    <w:rsid w:val="007920D2"/>
    <w:rsid w:val="00792ADE"/>
    <w:rsid w:val="00793136"/>
    <w:rsid w:val="00793166"/>
    <w:rsid w:val="00794066"/>
    <w:rsid w:val="00794657"/>
    <w:rsid w:val="00794973"/>
    <w:rsid w:val="00794BBF"/>
    <w:rsid w:val="007959B5"/>
    <w:rsid w:val="00795E56"/>
    <w:rsid w:val="007965CF"/>
    <w:rsid w:val="00796960"/>
    <w:rsid w:val="00797100"/>
    <w:rsid w:val="007973A4"/>
    <w:rsid w:val="00797D22"/>
    <w:rsid w:val="00797DE7"/>
    <w:rsid w:val="007A007D"/>
    <w:rsid w:val="007A011A"/>
    <w:rsid w:val="007A0156"/>
    <w:rsid w:val="007A02B5"/>
    <w:rsid w:val="007A06C4"/>
    <w:rsid w:val="007A15C5"/>
    <w:rsid w:val="007A15CE"/>
    <w:rsid w:val="007A18A6"/>
    <w:rsid w:val="007A22DD"/>
    <w:rsid w:val="007A251D"/>
    <w:rsid w:val="007A2B58"/>
    <w:rsid w:val="007A2CE6"/>
    <w:rsid w:val="007A30E4"/>
    <w:rsid w:val="007A321B"/>
    <w:rsid w:val="007A33E5"/>
    <w:rsid w:val="007A3A5F"/>
    <w:rsid w:val="007A4972"/>
    <w:rsid w:val="007A53B9"/>
    <w:rsid w:val="007A64AD"/>
    <w:rsid w:val="007A6810"/>
    <w:rsid w:val="007A6B15"/>
    <w:rsid w:val="007A73FC"/>
    <w:rsid w:val="007A7531"/>
    <w:rsid w:val="007A7544"/>
    <w:rsid w:val="007A797D"/>
    <w:rsid w:val="007B0945"/>
    <w:rsid w:val="007B1050"/>
    <w:rsid w:val="007B1E68"/>
    <w:rsid w:val="007B1E78"/>
    <w:rsid w:val="007B24B2"/>
    <w:rsid w:val="007B2A61"/>
    <w:rsid w:val="007B2A82"/>
    <w:rsid w:val="007B2E72"/>
    <w:rsid w:val="007B31A6"/>
    <w:rsid w:val="007B3B15"/>
    <w:rsid w:val="007B3B58"/>
    <w:rsid w:val="007B47DF"/>
    <w:rsid w:val="007B4882"/>
    <w:rsid w:val="007B5657"/>
    <w:rsid w:val="007B5699"/>
    <w:rsid w:val="007B5717"/>
    <w:rsid w:val="007B583F"/>
    <w:rsid w:val="007B5FAD"/>
    <w:rsid w:val="007B6591"/>
    <w:rsid w:val="007B6E5B"/>
    <w:rsid w:val="007B7041"/>
    <w:rsid w:val="007B78A0"/>
    <w:rsid w:val="007B7B9D"/>
    <w:rsid w:val="007B7BC7"/>
    <w:rsid w:val="007B7BD7"/>
    <w:rsid w:val="007B7F3C"/>
    <w:rsid w:val="007C02FF"/>
    <w:rsid w:val="007C0446"/>
    <w:rsid w:val="007C0854"/>
    <w:rsid w:val="007C0930"/>
    <w:rsid w:val="007C1587"/>
    <w:rsid w:val="007C278A"/>
    <w:rsid w:val="007C2995"/>
    <w:rsid w:val="007C2AA5"/>
    <w:rsid w:val="007C3653"/>
    <w:rsid w:val="007C40E8"/>
    <w:rsid w:val="007C4FB4"/>
    <w:rsid w:val="007C50AD"/>
    <w:rsid w:val="007C55F7"/>
    <w:rsid w:val="007C5E6E"/>
    <w:rsid w:val="007C6101"/>
    <w:rsid w:val="007C6499"/>
    <w:rsid w:val="007C6751"/>
    <w:rsid w:val="007C68EC"/>
    <w:rsid w:val="007C69B8"/>
    <w:rsid w:val="007C6A0B"/>
    <w:rsid w:val="007C70C0"/>
    <w:rsid w:val="007C7416"/>
    <w:rsid w:val="007C7A24"/>
    <w:rsid w:val="007C7AFA"/>
    <w:rsid w:val="007C7C7F"/>
    <w:rsid w:val="007D010C"/>
    <w:rsid w:val="007D03B5"/>
    <w:rsid w:val="007D06F7"/>
    <w:rsid w:val="007D1301"/>
    <w:rsid w:val="007D1803"/>
    <w:rsid w:val="007D1BFA"/>
    <w:rsid w:val="007D21AA"/>
    <w:rsid w:val="007D2A96"/>
    <w:rsid w:val="007D2E3B"/>
    <w:rsid w:val="007D39A6"/>
    <w:rsid w:val="007D3B1C"/>
    <w:rsid w:val="007D3DA6"/>
    <w:rsid w:val="007D42BE"/>
    <w:rsid w:val="007D438A"/>
    <w:rsid w:val="007D44D4"/>
    <w:rsid w:val="007D4DD8"/>
    <w:rsid w:val="007D5AC4"/>
    <w:rsid w:val="007D5E11"/>
    <w:rsid w:val="007D70ED"/>
    <w:rsid w:val="007D746B"/>
    <w:rsid w:val="007D7BBB"/>
    <w:rsid w:val="007E03F7"/>
    <w:rsid w:val="007E0A01"/>
    <w:rsid w:val="007E0CD8"/>
    <w:rsid w:val="007E0D0D"/>
    <w:rsid w:val="007E1D22"/>
    <w:rsid w:val="007E20E8"/>
    <w:rsid w:val="007E28AC"/>
    <w:rsid w:val="007E2B97"/>
    <w:rsid w:val="007E2CE0"/>
    <w:rsid w:val="007E3450"/>
    <w:rsid w:val="007E3471"/>
    <w:rsid w:val="007E3A5A"/>
    <w:rsid w:val="007E426B"/>
    <w:rsid w:val="007E5D73"/>
    <w:rsid w:val="007E6788"/>
    <w:rsid w:val="007E6BAE"/>
    <w:rsid w:val="007E777F"/>
    <w:rsid w:val="007E79EA"/>
    <w:rsid w:val="007E7B1A"/>
    <w:rsid w:val="007E7DAD"/>
    <w:rsid w:val="007E7DCA"/>
    <w:rsid w:val="007F0CF0"/>
    <w:rsid w:val="007F105D"/>
    <w:rsid w:val="007F12DD"/>
    <w:rsid w:val="007F1972"/>
    <w:rsid w:val="007F2A4D"/>
    <w:rsid w:val="007F2DA6"/>
    <w:rsid w:val="007F35C2"/>
    <w:rsid w:val="007F3E58"/>
    <w:rsid w:val="007F3E86"/>
    <w:rsid w:val="007F3EC5"/>
    <w:rsid w:val="007F41F9"/>
    <w:rsid w:val="007F429D"/>
    <w:rsid w:val="007F43EB"/>
    <w:rsid w:val="007F44C6"/>
    <w:rsid w:val="007F6A35"/>
    <w:rsid w:val="007F6CDC"/>
    <w:rsid w:val="007F73E5"/>
    <w:rsid w:val="007F75F5"/>
    <w:rsid w:val="008017BA"/>
    <w:rsid w:val="00801E7A"/>
    <w:rsid w:val="00801E8B"/>
    <w:rsid w:val="00802016"/>
    <w:rsid w:val="00803263"/>
    <w:rsid w:val="0080329E"/>
    <w:rsid w:val="00803B76"/>
    <w:rsid w:val="00803C3E"/>
    <w:rsid w:val="00804120"/>
    <w:rsid w:val="008044EF"/>
    <w:rsid w:val="00804795"/>
    <w:rsid w:val="00804E8B"/>
    <w:rsid w:val="00804EA4"/>
    <w:rsid w:val="00804EBF"/>
    <w:rsid w:val="00805001"/>
    <w:rsid w:val="008053F9"/>
    <w:rsid w:val="00805741"/>
    <w:rsid w:val="00805D58"/>
    <w:rsid w:val="0080658F"/>
    <w:rsid w:val="008078CC"/>
    <w:rsid w:val="00807CB4"/>
    <w:rsid w:val="00810061"/>
    <w:rsid w:val="008100DD"/>
    <w:rsid w:val="008103BB"/>
    <w:rsid w:val="00810512"/>
    <w:rsid w:val="00810AF5"/>
    <w:rsid w:val="008111EC"/>
    <w:rsid w:val="00811E94"/>
    <w:rsid w:val="0081214F"/>
    <w:rsid w:val="0081311E"/>
    <w:rsid w:val="00813B26"/>
    <w:rsid w:val="00813B9C"/>
    <w:rsid w:val="00814933"/>
    <w:rsid w:val="008149D8"/>
    <w:rsid w:val="00814B08"/>
    <w:rsid w:val="008156B6"/>
    <w:rsid w:val="008159F1"/>
    <w:rsid w:val="00816173"/>
    <w:rsid w:val="00816A5C"/>
    <w:rsid w:val="00816C38"/>
    <w:rsid w:val="00817045"/>
    <w:rsid w:val="0081757B"/>
    <w:rsid w:val="00817BDA"/>
    <w:rsid w:val="00817DCF"/>
    <w:rsid w:val="0082049C"/>
    <w:rsid w:val="008205F2"/>
    <w:rsid w:val="00820815"/>
    <w:rsid w:val="00820C71"/>
    <w:rsid w:val="0082170E"/>
    <w:rsid w:val="00821A84"/>
    <w:rsid w:val="00822019"/>
    <w:rsid w:val="0082297F"/>
    <w:rsid w:val="00822BBC"/>
    <w:rsid w:val="00822D11"/>
    <w:rsid w:val="00822D68"/>
    <w:rsid w:val="00823120"/>
    <w:rsid w:val="008231E0"/>
    <w:rsid w:val="0082391B"/>
    <w:rsid w:val="00823D01"/>
    <w:rsid w:val="00823FE0"/>
    <w:rsid w:val="0082429A"/>
    <w:rsid w:val="008245F5"/>
    <w:rsid w:val="00824CC9"/>
    <w:rsid w:val="00824E70"/>
    <w:rsid w:val="0082581B"/>
    <w:rsid w:val="00825955"/>
    <w:rsid w:val="00825A67"/>
    <w:rsid w:val="00825FA4"/>
    <w:rsid w:val="0082687D"/>
    <w:rsid w:val="00826E70"/>
    <w:rsid w:val="00827F22"/>
    <w:rsid w:val="00827F34"/>
    <w:rsid w:val="0083034C"/>
    <w:rsid w:val="00830B04"/>
    <w:rsid w:val="00830B97"/>
    <w:rsid w:val="008324AB"/>
    <w:rsid w:val="008329B3"/>
    <w:rsid w:val="00832FFE"/>
    <w:rsid w:val="0083323F"/>
    <w:rsid w:val="008335A1"/>
    <w:rsid w:val="00833F06"/>
    <w:rsid w:val="00833FC6"/>
    <w:rsid w:val="00834383"/>
    <w:rsid w:val="00834A29"/>
    <w:rsid w:val="00834B3E"/>
    <w:rsid w:val="00834E47"/>
    <w:rsid w:val="00835821"/>
    <w:rsid w:val="00835987"/>
    <w:rsid w:val="00835AF8"/>
    <w:rsid w:val="00835C6E"/>
    <w:rsid w:val="00835F07"/>
    <w:rsid w:val="00836FB4"/>
    <w:rsid w:val="00837762"/>
    <w:rsid w:val="00837B85"/>
    <w:rsid w:val="0084015E"/>
    <w:rsid w:val="00840863"/>
    <w:rsid w:val="00840A13"/>
    <w:rsid w:val="008418F2"/>
    <w:rsid w:val="008419DB"/>
    <w:rsid w:val="00841D6A"/>
    <w:rsid w:val="00841E5D"/>
    <w:rsid w:val="00842F93"/>
    <w:rsid w:val="00842FA5"/>
    <w:rsid w:val="00842FE5"/>
    <w:rsid w:val="008434FE"/>
    <w:rsid w:val="00843B44"/>
    <w:rsid w:val="00844A91"/>
    <w:rsid w:val="00844DFC"/>
    <w:rsid w:val="00845A23"/>
    <w:rsid w:val="00845BEC"/>
    <w:rsid w:val="00845C4B"/>
    <w:rsid w:val="00845CBD"/>
    <w:rsid w:val="00845D3E"/>
    <w:rsid w:val="00847477"/>
    <w:rsid w:val="00847C9F"/>
    <w:rsid w:val="00850277"/>
    <w:rsid w:val="0085035C"/>
    <w:rsid w:val="008508A1"/>
    <w:rsid w:val="008509FC"/>
    <w:rsid w:val="00850DF9"/>
    <w:rsid w:val="008515C7"/>
    <w:rsid w:val="00851650"/>
    <w:rsid w:val="00851A8C"/>
    <w:rsid w:val="008521D2"/>
    <w:rsid w:val="00852807"/>
    <w:rsid w:val="00852D1F"/>
    <w:rsid w:val="008546B8"/>
    <w:rsid w:val="00854AA0"/>
    <w:rsid w:val="00854C6E"/>
    <w:rsid w:val="00855A91"/>
    <w:rsid w:val="00855BA0"/>
    <w:rsid w:val="008562EB"/>
    <w:rsid w:val="008566AB"/>
    <w:rsid w:val="00856A41"/>
    <w:rsid w:val="00857033"/>
    <w:rsid w:val="008571CD"/>
    <w:rsid w:val="00857402"/>
    <w:rsid w:val="00857C3C"/>
    <w:rsid w:val="00857D4E"/>
    <w:rsid w:val="008600F2"/>
    <w:rsid w:val="008602F1"/>
    <w:rsid w:val="0086041D"/>
    <w:rsid w:val="008606B4"/>
    <w:rsid w:val="008608B0"/>
    <w:rsid w:val="00860AE0"/>
    <w:rsid w:val="00861CDB"/>
    <w:rsid w:val="00861EF9"/>
    <w:rsid w:val="00862846"/>
    <w:rsid w:val="00862E45"/>
    <w:rsid w:val="0086307F"/>
    <w:rsid w:val="00863EC6"/>
    <w:rsid w:val="0086454C"/>
    <w:rsid w:val="0086455A"/>
    <w:rsid w:val="008649FB"/>
    <w:rsid w:val="008654C9"/>
    <w:rsid w:val="00865903"/>
    <w:rsid w:val="00865B5D"/>
    <w:rsid w:val="00865B83"/>
    <w:rsid w:val="00866156"/>
    <w:rsid w:val="00866DA5"/>
    <w:rsid w:val="00866EFA"/>
    <w:rsid w:val="008670F8"/>
    <w:rsid w:val="00867847"/>
    <w:rsid w:val="00867D75"/>
    <w:rsid w:val="008700FE"/>
    <w:rsid w:val="008703C1"/>
    <w:rsid w:val="00870FAD"/>
    <w:rsid w:val="00871592"/>
    <w:rsid w:val="008716D1"/>
    <w:rsid w:val="00871F8D"/>
    <w:rsid w:val="0087208B"/>
    <w:rsid w:val="00872DD1"/>
    <w:rsid w:val="00873007"/>
    <w:rsid w:val="0087376F"/>
    <w:rsid w:val="00873770"/>
    <w:rsid w:val="00873B17"/>
    <w:rsid w:val="00874938"/>
    <w:rsid w:val="0087559E"/>
    <w:rsid w:val="00875B3E"/>
    <w:rsid w:val="008762BD"/>
    <w:rsid w:val="00876984"/>
    <w:rsid w:val="00876A99"/>
    <w:rsid w:val="00877EBD"/>
    <w:rsid w:val="0088088E"/>
    <w:rsid w:val="00880CB4"/>
    <w:rsid w:val="00881193"/>
    <w:rsid w:val="00881ACB"/>
    <w:rsid w:val="0088218F"/>
    <w:rsid w:val="00882BC4"/>
    <w:rsid w:val="00882FF6"/>
    <w:rsid w:val="0088331F"/>
    <w:rsid w:val="008837A8"/>
    <w:rsid w:val="0088381C"/>
    <w:rsid w:val="00883B92"/>
    <w:rsid w:val="00883EA8"/>
    <w:rsid w:val="008843F6"/>
    <w:rsid w:val="0088449F"/>
    <w:rsid w:val="0088482F"/>
    <w:rsid w:val="00884C7B"/>
    <w:rsid w:val="0088512D"/>
    <w:rsid w:val="00886293"/>
    <w:rsid w:val="00886341"/>
    <w:rsid w:val="008869B9"/>
    <w:rsid w:val="00886B32"/>
    <w:rsid w:val="00886C43"/>
    <w:rsid w:val="0088773B"/>
    <w:rsid w:val="00887757"/>
    <w:rsid w:val="00887E47"/>
    <w:rsid w:val="00890357"/>
    <w:rsid w:val="00890612"/>
    <w:rsid w:val="00890807"/>
    <w:rsid w:val="00890BEB"/>
    <w:rsid w:val="00891082"/>
    <w:rsid w:val="00891185"/>
    <w:rsid w:val="00891210"/>
    <w:rsid w:val="00891F4B"/>
    <w:rsid w:val="00892016"/>
    <w:rsid w:val="00892A02"/>
    <w:rsid w:val="0089316F"/>
    <w:rsid w:val="0089346E"/>
    <w:rsid w:val="008936BA"/>
    <w:rsid w:val="008936E7"/>
    <w:rsid w:val="008936FD"/>
    <w:rsid w:val="00893B5A"/>
    <w:rsid w:val="00893B85"/>
    <w:rsid w:val="0089438A"/>
    <w:rsid w:val="00894526"/>
    <w:rsid w:val="008945CF"/>
    <w:rsid w:val="00894B9A"/>
    <w:rsid w:val="00895465"/>
    <w:rsid w:val="008954C9"/>
    <w:rsid w:val="00895552"/>
    <w:rsid w:val="008958F7"/>
    <w:rsid w:val="0089687D"/>
    <w:rsid w:val="0089695C"/>
    <w:rsid w:val="00896BD7"/>
    <w:rsid w:val="00896F11"/>
    <w:rsid w:val="0089799C"/>
    <w:rsid w:val="00897E07"/>
    <w:rsid w:val="008A03CE"/>
    <w:rsid w:val="008A0410"/>
    <w:rsid w:val="008A0CF6"/>
    <w:rsid w:val="008A105D"/>
    <w:rsid w:val="008A13F0"/>
    <w:rsid w:val="008A16FB"/>
    <w:rsid w:val="008A1A99"/>
    <w:rsid w:val="008A1AEE"/>
    <w:rsid w:val="008A23C1"/>
    <w:rsid w:val="008A25E9"/>
    <w:rsid w:val="008A2E24"/>
    <w:rsid w:val="008A3B41"/>
    <w:rsid w:val="008A46B6"/>
    <w:rsid w:val="008A470F"/>
    <w:rsid w:val="008A4C65"/>
    <w:rsid w:val="008A52FA"/>
    <w:rsid w:val="008A5456"/>
    <w:rsid w:val="008A5ADC"/>
    <w:rsid w:val="008A5CA0"/>
    <w:rsid w:val="008A610D"/>
    <w:rsid w:val="008A6188"/>
    <w:rsid w:val="008A6528"/>
    <w:rsid w:val="008A66B0"/>
    <w:rsid w:val="008A6AC5"/>
    <w:rsid w:val="008A700D"/>
    <w:rsid w:val="008A7824"/>
    <w:rsid w:val="008A78A6"/>
    <w:rsid w:val="008A79B0"/>
    <w:rsid w:val="008A7A66"/>
    <w:rsid w:val="008A7C67"/>
    <w:rsid w:val="008A7EB9"/>
    <w:rsid w:val="008A7F37"/>
    <w:rsid w:val="008B0A06"/>
    <w:rsid w:val="008B0FF5"/>
    <w:rsid w:val="008B163B"/>
    <w:rsid w:val="008B16D9"/>
    <w:rsid w:val="008B1804"/>
    <w:rsid w:val="008B1E79"/>
    <w:rsid w:val="008B2520"/>
    <w:rsid w:val="008B25EB"/>
    <w:rsid w:val="008B27A9"/>
    <w:rsid w:val="008B2974"/>
    <w:rsid w:val="008B310E"/>
    <w:rsid w:val="008B3D4A"/>
    <w:rsid w:val="008B4389"/>
    <w:rsid w:val="008B45A8"/>
    <w:rsid w:val="008B463A"/>
    <w:rsid w:val="008B4A64"/>
    <w:rsid w:val="008B5045"/>
    <w:rsid w:val="008B594A"/>
    <w:rsid w:val="008B5E51"/>
    <w:rsid w:val="008B5EC1"/>
    <w:rsid w:val="008B61A3"/>
    <w:rsid w:val="008B64EE"/>
    <w:rsid w:val="008B67CC"/>
    <w:rsid w:val="008B6AC4"/>
    <w:rsid w:val="008B6BE7"/>
    <w:rsid w:val="008B741E"/>
    <w:rsid w:val="008B7B13"/>
    <w:rsid w:val="008B7C06"/>
    <w:rsid w:val="008C0054"/>
    <w:rsid w:val="008C0273"/>
    <w:rsid w:val="008C02DB"/>
    <w:rsid w:val="008C0D44"/>
    <w:rsid w:val="008C1045"/>
    <w:rsid w:val="008C105A"/>
    <w:rsid w:val="008C1098"/>
    <w:rsid w:val="008C14F5"/>
    <w:rsid w:val="008C15AB"/>
    <w:rsid w:val="008C19A4"/>
    <w:rsid w:val="008C1DC2"/>
    <w:rsid w:val="008C1FC4"/>
    <w:rsid w:val="008C2AF5"/>
    <w:rsid w:val="008C2D5E"/>
    <w:rsid w:val="008C4399"/>
    <w:rsid w:val="008C496A"/>
    <w:rsid w:val="008C4F8B"/>
    <w:rsid w:val="008C501C"/>
    <w:rsid w:val="008C51F1"/>
    <w:rsid w:val="008C53BE"/>
    <w:rsid w:val="008C5B47"/>
    <w:rsid w:val="008C5C70"/>
    <w:rsid w:val="008C5E61"/>
    <w:rsid w:val="008C5EBC"/>
    <w:rsid w:val="008C625F"/>
    <w:rsid w:val="008C6278"/>
    <w:rsid w:val="008C64D2"/>
    <w:rsid w:val="008C67DE"/>
    <w:rsid w:val="008C68C1"/>
    <w:rsid w:val="008C6F51"/>
    <w:rsid w:val="008C7317"/>
    <w:rsid w:val="008C7396"/>
    <w:rsid w:val="008D004D"/>
    <w:rsid w:val="008D042C"/>
    <w:rsid w:val="008D0634"/>
    <w:rsid w:val="008D06FE"/>
    <w:rsid w:val="008D0CDC"/>
    <w:rsid w:val="008D1036"/>
    <w:rsid w:val="008D11A7"/>
    <w:rsid w:val="008D11AB"/>
    <w:rsid w:val="008D15F6"/>
    <w:rsid w:val="008D195B"/>
    <w:rsid w:val="008D1DC5"/>
    <w:rsid w:val="008D308C"/>
    <w:rsid w:val="008D4303"/>
    <w:rsid w:val="008D4518"/>
    <w:rsid w:val="008D46D5"/>
    <w:rsid w:val="008D4D37"/>
    <w:rsid w:val="008D4FBD"/>
    <w:rsid w:val="008D52F2"/>
    <w:rsid w:val="008D5A83"/>
    <w:rsid w:val="008D5BCF"/>
    <w:rsid w:val="008D5D48"/>
    <w:rsid w:val="008D603E"/>
    <w:rsid w:val="008D6BA0"/>
    <w:rsid w:val="008D6CA7"/>
    <w:rsid w:val="008D7254"/>
    <w:rsid w:val="008D72D8"/>
    <w:rsid w:val="008D752F"/>
    <w:rsid w:val="008D7800"/>
    <w:rsid w:val="008D7DB1"/>
    <w:rsid w:val="008E0138"/>
    <w:rsid w:val="008E07C3"/>
    <w:rsid w:val="008E0CB9"/>
    <w:rsid w:val="008E176F"/>
    <w:rsid w:val="008E2442"/>
    <w:rsid w:val="008E2A2E"/>
    <w:rsid w:val="008E4974"/>
    <w:rsid w:val="008E5050"/>
    <w:rsid w:val="008E51D2"/>
    <w:rsid w:val="008E5207"/>
    <w:rsid w:val="008E5EDD"/>
    <w:rsid w:val="008E6237"/>
    <w:rsid w:val="008E6416"/>
    <w:rsid w:val="008E6726"/>
    <w:rsid w:val="008E682F"/>
    <w:rsid w:val="008E6B16"/>
    <w:rsid w:val="008E6EBB"/>
    <w:rsid w:val="008E7430"/>
    <w:rsid w:val="008E7DF1"/>
    <w:rsid w:val="008F0430"/>
    <w:rsid w:val="008F0A26"/>
    <w:rsid w:val="008F0FAA"/>
    <w:rsid w:val="008F0FF1"/>
    <w:rsid w:val="008F11B9"/>
    <w:rsid w:val="008F14EB"/>
    <w:rsid w:val="008F177D"/>
    <w:rsid w:val="008F2638"/>
    <w:rsid w:val="008F2AC2"/>
    <w:rsid w:val="008F31E6"/>
    <w:rsid w:val="008F374D"/>
    <w:rsid w:val="008F394D"/>
    <w:rsid w:val="008F398A"/>
    <w:rsid w:val="008F446E"/>
    <w:rsid w:val="008F498A"/>
    <w:rsid w:val="008F4AA2"/>
    <w:rsid w:val="008F4B57"/>
    <w:rsid w:val="008F4B90"/>
    <w:rsid w:val="008F58F3"/>
    <w:rsid w:val="008F59CD"/>
    <w:rsid w:val="008F5B3F"/>
    <w:rsid w:val="008F5C0E"/>
    <w:rsid w:val="008F60D2"/>
    <w:rsid w:val="008F60E1"/>
    <w:rsid w:val="008F62F5"/>
    <w:rsid w:val="008F65CD"/>
    <w:rsid w:val="008F7010"/>
    <w:rsid w:val="008F72C1"/>
    <w:rsid w:val="008F7493"/>
    <w:rsid w:val="00900100"/>
    <w:rsid w:val="00900341"/>
    <w:rsid w:val="00900397"/>
    <w:rsid w:val="009007A8"/>
    <w:rsid w:val="00900A84"/>
    <w:rsid w:val="00900C6A"/>
    <w:rsid w:val="00900D7C"/>
    <w:rsid w:val="009011F4"/>
    <w:rsid w:val="0090196C"/>
    <w:rsid w:val="00901A7B"/>
    <w:rsid w:val="00901C7F"/>
    <w:rsid w:val="00901DEF"/>
    <w:rsid w:val="0090227F"/>
    <w:rsid w:val="0090231D"/>
    <w:rsid w:val="00902C7F"/>
    <w:rsid w:val="00902DB3"/>
    <w:rsid w:val="009030ED"/>
    <w:rsid w:val="00903627"/>
    <w:rsid w:val="009037E4"/>
    <w:rsid w:val="00903B68"/>
    <w:rsid w:val="00903BCA"/>
    <w:rsid w:val="00903D2B"/>
    <w:rsid w:val="00904003"/>
    <w:rsid w:val="00904405"/>
    <w:rsid w:val="00904622"/>
    <w:rsid w:val="00904883"/>
    <w:rsid w:val="009050C1"/>
    <w:rsid w:val="00905202"/>
    <w:rsid w:val="009053F7"/>
    <w:rsid w:val="0090576F"/>
    <w:rsid w:val="009059B9"/>
    <w:rsid w:val="00905D02"/>
    <w:rsid w:val="00906333"/>
    <w:rsid w:val="009065A6"/>
    <w:rsid w:val="009066B0"/>
    <w:rsid w:val="00906C6A"/>
    <w:rsid w:val="009102B7"/>
    <w:rsid w:val="0091036A"/>
    <w:rsid w:val="00910A97"/>
    <w:rsid w:val="00910EBC"/>
    <w:rsid w:val="00911028"/>
    <w:rsid w:val="00911936"/>
    <w:rsid w:val="0091201C"/>
    <w:rsid w:val="009130F8"/>
    <w:rsid w:val="00913828"/>
    <w:rsid w:val="00914BA4"/>
    <w:rsid w:val="00914CBE"/>
    <w:rsid w:val="00914D95"/>
    <w:rsid w:val="0091502B"/>
    <w:rsid w:val="00915135"/>
    <w:rsid w:val="00915274"/>
    <w:rsid w:val="00915BAC"/>
    <w:rsid w:val="00915C89"/>
    <w:rsid w:val="0091651C"/>
    <w:rsid w:val="009165DD"/>
    <w:rsid w:val="009167E4"/>
    <w:rsid w:val="00916817"/>
    <w:rsid w:val="0091746F"/>
    <w:rsid w:val="0091775E"/>
    <w:rsid w:val="00920525"/>
    <w:rsid w:val="00920618"/>
    <w:rsid w:val="00920755"/>
    <w:rsid w:val="00920A99"/>
    <w:rsid w:val="00920AE8"/>
    <w:rsid w:val="00920B30"/>
    <w:rsid w:val="009219C6"/>
    <w:rsid w:val="00921AE3"/>
    <w:rsid w:val="00922957"/>
    <w:rsid w:val="0092363D"/>
    <w:rsid w:val="00923DBC"/>
    <w:rsid w:val="00923EA9"/>
    <w:rsid w:val="009242C9"/>
    <w:rsid w:val="00924593"/>
    <w:rsid w:val="00925660"/>
    <w:rsid w:val="009262F2"/>
    <w:rsid w:val="00926693"/>
    <w:rsid w:val="00926A5E"/>
    <w:rsid w:val="00926EA9"/>
    <w:rsid w:val="00926EF1"/>
    <w:rsid w:val="009273C0"/>
    <w:rsid w:val="00927606"/>
    <w:rsid w:val="00927829"/>
    <w:rsid w:val="00927B88"/>
    <w:rsid w:val="00927C8F"/>
    <w:rsid w:val="00927F80"/>
    <w:rsid w:val="0093058B"/>
    <w:rsid w:val="00930C21"/>
    <w:rsid w:val="0093113D"/>
    <w:rsid w:val="00931A4D"/>
    <w:rsid w:val="009320D8"/>
    <w:rsid w:val="00932500"/>
    <w:rsid w:val="00932518"/>
    <w:rsid w:val="009329BE"/>
    <w:rsid w:val="00932AE2"/>
    <w:rsid w:val="00933256"/>
    <w:rsid w:val="00933B03"/>
    <w:rsid w:val="00933BF5"/>
    <w:rsid w:val="009340AB"/>
    <w:rsid w:val="0093449C"/>
    <w:rsid w:val="009345EC"/>
    <w:rsid w:val="009349F1"/>
    <w:rsid w:val="00934A4D"/>
    <w:rsid w:val="00934DA0"/>
    <w:rsid w:val="00934E8E"/>
    <w:rsid w:val="00934EA1"/>
    <w:rsid w:val="00934F63"/>
    <w:rsid w:val="00935AEB"/>
    <w:rsid w:val="00935E90"/>
    <w:rsid w:val="009366BF"/>
    <w:rsid w:val="00936880"/>
    <w:rsid w:val="00936A61"/>
    <w:rsid w:val="00936AB7"/>
    <w:rsid w:val="00936EB5"/>
    <w:rsid w:val="00937766"/>
    <w:rsid w:val="00937789"/>
    <w:rsid w:val="00937B49"/>
    <w:rsid w:val="00940584"/>
    <w:rsid w:val="00940BC3"/>
    <w:rsid w:val="00941627"/>
    <w:rsid w:val="00941647"/>
    <w:rsid w:val="009416AC"/>
    <w:rsid w:val="0094197E"/>
    <w:rsid w:val="00941A1E"/>
    <w:rsid w:val="00941B77"/>
    <w:rsid w:val="00942004"/>
    <w:rsid w:val="00942154"/>
    <w:rsid w:val="00942467"/>
    <w:rsid w:val="00942D6E"/>
    <w:rsid w:val="0094387C"/>
    <w:rsid w:val="009441E5"/>
    <w:rsid w:val="00944FDC"/>
    <w:rsid w:val="00945885"/>
    <w:rsid w:val="00945F70"/>
    <w:rsid w:val="0094609A"/>
    <w:rsid w:val="00946407"/>
    <w:rsid w:val="009465FA"/>
    <w:rsid w:val="00946CD6"/>
    <w:rsid w:val="00946FCF"/>
    <w:rsid w:val="009473A1"/>
    <w:rsid w:val="0094746B"/>
    <w:rsid w:val="009479D5"/>
    <w:rsid w:val="00950805"/>
    <w:rsid w:val="00950837"/>
    <w:rsid w:val="00950B6B"/>
    <w:rsid w:val="0095196F"/>
    <w:rsid w:val="00952607"/>
    <w:rsid w:val="0095298D"/>
    <w:rsid w:val="009529D4"/>
    <w:rsid w:val="00952F79"/>
    <w:rsid w:val="009530E9"/>
    <w:rsid w:val="0095353E"/>
    <w:rsid w:val="009537FD"/>
    <w:rsid w:val="00953E17"/>
    <w:rsid w:val="00954013"/>
    <w:rsid w:val="009543FB"/>
    <w:rsid w:val="009545F2"/>
    <w:rsid w:val="00954F7E"/>
    <w:rsid w:val="00955592"/>
    <w:rsid w:val="009556E0"/>
    <w:rsid w:val="009556F6"/>
    <w:rsid w:val="009558E7"/>
    <w:rsid w:val="00955BDD"/>
    <w:rsid w:val="0095614E"/>
    <w:rsid w:val="009566F2"/>
    <w:rsid w:val="00956A49"/>
    <w:rsid w:val="00956A84"/>
    <w:rsid w:val="00956C53"/>
    <w:rsid w:val="00956EE9"/>
    <w:rsid w:val="00957012"/>
    <w:rsid w:val="00957121"/>
    <w:rsid w:val="00957865"/>
    <w:rsid w:val="00957977"/>
    <w:rsid w:val="00957B51"/>
    <w:rsid w:val="00960271"/>
    <w:rsid w:val="00960A38"/>
    <w:rsid w:val="00960C88"/>
    <w:rsid w:val="009614E6"/>
    <w:rsid w:val="00961710"/>
    <w:rsid w:val="00961B12"/>
    <w:rsid w:val="00961C29"/>
    <w:rsid w:val="00961E90"/>
    <w:rsid w:val="009624CA"/>
    <w:rsid w:val="00962AC2"/>
    <w:rsid w:val="00963675"/>
    <w:rsid w:val="0096372C"/>
    <w:rsid w:val="00963D20"/>
    <w:rsid w:val="00964869"/>
    <w:rsid w:val="00965116"/>
    <w:rsid w:val="00965826"/>
    <w:rsid w:val="00965B11"/>
    <w:rsid w:val="009661E9"/>
    <w:rsid w:val="00966330"/>
    <w:rsid w:val="00966FB2"/>
    <w:rsid w:val="0096709D"/>
    <w:rsid w:val="009674C0"/>
    <w:rsid w:val="009675DD"/>
    <w:rsid w:val="00967822"/>
    <w:rsid w:val="009700DC"/>
    <w:rsid w:val="009702CB"/>
    <w:rsid w:val="00970629"/>
    <w:rsid w:val="0097065A"/>
    <w:rsid w:val="00970EAA"/>
    <w:rsid w:val="00971229"/>
    <w:rsid w:val="00971E73"/>
    <w:rsid w:val="00973929"/>
    <w:rsid w:val="00973FF1"/>
    <w:rsid w:val="00974E32"/>
    <w:rsid w:val="009759AB"/>
    <w:rsid w:val="009759AE"/>
    <w:rsid w:val="00975A12"/>
    <w:rsid w:val="00975ACE"/>
    <w:rsid w:val="00975B13"/>
    <w:rsid w:val="00976114"/>
    <w:rsid w:val="0097650B"/>
    <w:rsid w:val="0097673C"/>
    <w:rsid w:val="009768FD"/>
    <w:rsid w:val="009769A5"/>
    <w:rsid w:val="00976AF3"/>
    <w:rsid w:val="00976CB1"/>
    <w:rsid w:val="00977884"/>
    <w:rsid w:val="00977E0A"/>
    <w:rsid w:val="00980784"/>
    <w:rsid w:val="00980869"/>
    <w:rsid w:val="00980CAD"/>
    <w:rsid w:val="00980FA4"/>
    <w:rsid w:val="009810E6"/>
    <w:rsid w:val="009812C5"/>
    <w:rsid w:val="00981321"/>
    <w:rsid w:val="00981748"/>
    <w:rsid w:val="00981B87"/>
    <w:rsid w:val="00981D0E"/>
    <w:rsid w:val="0098285D"/>
    <w:rsid w:val="009837B4"/>
    <w:rsid w:val="0098398C"/>
    <w:rsid w:val="0098403C"/>
    <w:rsid w:val="00984150"/>
    <w:rsid w:val="009845FB"/>
    <w:rsid w:val="009847AC"/>
    <w:rsid w:val="00984C47"/>
    <w:rsid w:val="0098519F"/>
    <w:rsid w:val="00985745"/>
    <w:rsid w:val="00986137"/>
    <w:rsid w:val="0098628D"/>
    <w:rsid w:val="00986774"/>
    <w:rsid w:val="009874B2"/>
    <w:rsid w:val="00987F40"/>
    <w:rsid w:val="009905D5"/>
    <w:rsid w:val="00990A77"/>
    <w:rsid w:val="00990A84"/>
    <w:rsid w:val="009911E6"/>
    <w:rsid w:val="0099124E"/>
    <w:rsid w:val="009916AB"/>
    <w:rsid w:val="00991C9D"/>
    <w:rsid w:val="00992474"/>
    <w:rsid w:val="00992784"/>
    <w:rsid w:val="009927F7"/>
    <w:rsid w:val="009928BB"/>
    <w:rsid w:val="00993049"/>
    <w:rsid w:val="0099359C"/>
    <w:rsid w:val="00993A22"/>
    <w:rsid w:val="009946CE"/>
    <w:rsid w:val="00995047"/>
    <w:rsid w:val="009950E3"/>
    <w:rsid w:val="0099554A"/>
    <w:rsid w:val="00995A55"/>
    <w:rsid w:val="009960D4"/>
    <w:rsid w:val="00996224"/>
    <w:rsid w:val="00996521"/>
    <w:rsid w:val="00996BFF"/>
    <w:rsid w:val="00997038"/>
    <w:rsid w:val="00997531"/>
    <w:rsid w:val="00997665"/>
    <w:rsid w:val="009978DC"/>
    <w:rsid w:val="00997FF1"/>
    <w:rsid w:val="009A05E7"/>
    <w:rsid w:val="009A09B7"/>
    <w:rsid w:val="009A1220"/>
    <w:rsid w:val="009A125D"/>
    <w:rsid w:val="009A1A8D"/>
    <w:rsid w:val="009A1B8C"/>
    <w:rsid w:val="009A26FC"/>
    <w:rsid w:val="009A2A66"/>
    <w:rsid w:val="009A3909"/>
    <w:rsid w:val="009A3D31"/>
    <w:rsid w:val="009A3EAD"/>
    <w:rsid w:val="009A424F"/>
    <w:rsid w:val="009A43D7"/>
    <w:rsid w:val="009A486F"/>
    <w:rsid w:val="009A495A"/>
    <w:rsid w:val="009A5C21"/>
    <w:rsid w:val="009A5F8F"/>
    <w:rsid w:val="009A60C6"/>
    <w:rsid w:val="009A65FD"/>
    <w:rsid w:val="009A66A7"/>
    <w:rsid w:val="009A6DD4"/>
    <w:rsid w:val="009B09B5"/>
    <w:rsid w:val="009B0A5A"/>
    <w:rsid w:val="009B0B07"/>
    <w:rsid w:val="009B0DF3"/>
    <w:rsid w:val="009B0F10"/>
    <w:rsid w:val="009B149F"/>
    <w:rsid w:val="009B2C21"/>
    <w:rsid w:val="009B2C2C"/>
    <w:rsid w:val="009B32AB"/>
    <w:rsid w:val="009B38A5"/>
    <w:rsid w:val="009B3C51"/>
    <w:rsid w:val="009B3F8C"/>
    <w:rsid w:val="009B44EA"/>
    <w:rsid w:val="009B46B7"/>
    <w:rsid w:val="009B479B"/>
    <w:rsid w:val="009B48B9"/>
    <w:rsid w:val="009B4911"/>
    <w:rsid w:val="009B4AEA"/>
    <w:rsid w:val="009B4F7B"/>
    <w:rsid w:val="009B597E"/>
    <w:rsid w:val="009B5D79"/>
    <w:rsid w:val="009B65B2"/>
    <w:rsid w:val="009B65B8"/>
    <w:rsid w:val="009B6B4D"/>
    <w:rsid w:val="009B7AFB"/>
    <w:rsid w:val="009B7C9A"/>
    <w:rsid w:val="009B7E1B"/>
    <w:rsid w:val="009C03F4"/>
    <w:rsid w:val="009C0DF1"/>
    <w:rsid w:val="009C147E"/>
    <w:rsid w:val="009C1A98"/>
    <w:rsid w:val="009C1C2E"/>
    <w:rsid w:val="009C1C70"/>
    <w:rsid w:val="009C1CD7"/>
    <w:rsid w:val="009C25D8"/>
    <w:rsid w:val="009C2D55"/>
    <w:rsid w:val="009C32C8"/>
    <w:rsid w:val="009C3614"/>
    <w:rsid w:val="009C3E30"/>
    <w:rsid w:val="009C3E6F"/>
    <w:rsid w:val="009C4468"/>
    <w:rsid w:val="009C44B4"/>
    <w:rsid w:val="009C478A"/>
    <w:rsid w:val="009C49DD"/>
    <w:rsid w:val="009C5272"/>
    <w:rsid w:val="009C54D3"/>
    <w:rsid w:val="009C5662"/>
    <w:rsid w:val="009C5876"/>
    <w:rsid w:val="009C633A"/>
    <w:rsid w:val="009C66E2"/>
    <w:rsid w:val="009C69A4"/>
    <w:rsid w:val="009C6C32"/>
    <w:rsid w:val="009C6DD3"/>
    <w:rsid w:val="009C6F80"/>
    <w:rsid w:val="009C7C85"/>
    <w:rsid w:val="009C7E38"/>
    <w:rsid w:val="009D01A5"/>
    <w:rsid w:val="009D035A"/>
    <w:rsid w:val="009D0B75"/>
    <w:rsid w:val="009D16A6"/>
    <w:rsid w:val="009D16E4"/>
    <w:rsid w:val="009D17D5"/>
    <w:rsid w:val="009D19F3"/>
    <w:rsid w:val="009D2286"/>
    <w:rsid w:val="009D256F"/>
    <w:rsid w:val="009D26C8"/>
    <w:rsid w:val="009D26E3"/>
    <w:rsid w:val="009D2837"/>
    <w:rsid w:val="009D29F4"/>
    <w:rsid w:val="009D2E45"/>
    <w:rsid w:val="009D31B9"/>
    <w:rsid w:val="009D3236"/>
    <w:rsid w:val="009D342F"/>
    <w:rsid w:val="009D3C26"/>
    <w:rsid w:val="009D3F7C"/>
    <w:rsid w:val="009D429C"/>
    <w:rsid w:val="009D5157"/>
    <w:rsid w:val="009D55FE"/>
    <w:rsid w:val="009D5780"/>
    <w:rsid w:val="009D57FE"/>
    <w:rsid w:val="009D5ABA"/>
    <w:rsid w:val="009D5C9C"/>
    <w:rsid w:val="009D5F7F"/>
    <w:rsid w:val="009D5FB1"/>
    <w:rsid w:val="009D6A23"/>
    <w:rsid w:val="009D6AA9"/>
    <w:rsid w:val="009D6F19"/>
    <w:rsid w:val="009D7161"/>
    <w:rsid w:val="009D74E0"/>
    <w:rsid w:val="009D7583"/>
    <w:rsid w:val="009D7B24"/>
    <w:rsid w:val="009E04C5"/>
    <w:rsid w:val="009E0654"/>
    <w:rsid w:val="009E080E"/>
    <w:rsid w:val="009E10F6"/>
    <w:rsid w:val="009E1340"/>
    <w:rsid w:val="009E170A"/>
    <w:rsid w:val="009E1723"/>
    <w:rsid w:val="009E1BB8"/>
    <w:rsid w:val="009E2086"/>
    <w:rsid w:val="009E2406"/>
    <w:rsid w:val="009E2D71"/>
    <w:rsid w:val="009E340F"/>
    <w:rsid w:val="009E48C4"/>
    <w:rsid w:val="009E5201"/>
    <w:rsid w:val="009E569D"/>
    <w:rsid w:val="009E5F65"/>
    <w:rsid w:val="009E6783"/>
    <w:rsid w:val="009E6894"/>
    <w:rsid w:val="009E68F0"/>
    <w:rsid w:val="009E6B9C"/>
    <w:rsid w:val="009E6C7E"/>
    <w:rsid w:val="009E737E"/>
    <w:rsid w:val="009E77FB"/>
    <w:rsid w:val="009E7A25"/>
    <w:rsid w:val="009F00FF"/>
    <w:rsid w:val="009F1354"/>
    <w:rsid w:val="009F192C"/>
    <w:rsid w:val="009F1E9A"/>
    <w:rsid w:val="009F2688"/>
    <w:rsid w:val="009F27A3"/>
    <w:rsid w:val="009F2DE2"/>
    <w:rsid w:val="009F3011"/>
    <w:rsid w:val="009F3319"/>
    <w:rsid w:val="009F3A4C"/>
    <w:rsid w:val="009F585B"/>
    <w:rsid w:val="009F5F3C"/>
    <w:rsid w:val="009F61D5"/>
    <w:rsid w:val="009F6246"/>
    <w:rsid w:val="009F660C"/>
    <w:rsid w:val="009F666C"/>
    <w:rsid w:val="009F6DCD"/>
    <w:rsid w:val="00A0077F"/>
    <w:rsid w:val="00A00DB5"/>
    <w:rsid w:val="00A01A96"/>
    <w:rsid w:val="00A02553"/>
    <w:rsid w:val="00A02E07"/>
    <w:rsid w:val="00A04A88"/>
    <w:rsid w:val="00A04ACF"/>
    <w:rsid w:val="00A056E3"/>
    <w:rsid w:val="00A05B2E"/>
    <w:rsid w:val="00A05BC0"/>
    <w:rsid w:val="00A05BC1"/>
    <w:rsid w:val="00A05CBB"/>
    <w:rsid w:val="00A06829"/>
    <w:rsid w:val="00A06C6D"/>
    <w:rsid w:val="00A06FB2"/>
    <w:rsid w:val="00A0773A"/>
    <w:rsid w:val="00A07AB2"/>
    <w:rsid w:val="00A10490"/>
    <w:rsid w:val="00A1057B"/>
    <w:rsid w:val="00A10E5F"/>
    <w:rsid w:val="00A10F0B"/>
    <w:rsid w:val="00A11182"/>
    <w:rsid w:val="00A11651"/>
    <w:rsid w:val="00A116F1"/>
    <w:rsid w:val="00A1175B"/>
    <w:rsid w:val="00A11F0D"/>
    <w:rsid w:val="00A12629"/>
    <w:rsid w:val="00A126C2"/>
    <w:rsid w:val="00A12B7F"/>
    <w:rsid w:val="00A1305C"/>
    <w:rsid w:val="00A14015"/>
    <w:rsid w:val="00A14B51"/>
    <w:rsid w:val="00A156CC"/>
    <w:rsid w:val="00A15C80"/>
    <w:rsid w:val="00A174C1"/>
    <w:rsid w:val="00A17EF2"/>
    <w:rsid w:val="00A2067A"/>
    <w:rsid w:val="00A20BC1"/>
    <w:rsid w:val="00A20E1C"/>
    <w:rsid w:val="00A212AE"/>
    <w:rsid w:val="00A21792"/>
    <w:rsid w:val="00A218C7"/>
    <w:rsid w:val="00A21C31"/>
    <w:rsid w:val="00A21E52"/>
    <w:rsid w:val="00A227FD"/>
    <w:rsid w:val="00A22D3E"/>
    <w:rsid w:val="00A22F2D"/>
    <w:rsid w:val="00A23386"/>
    <w:rsid w:val="00A2384F"/>
    <w:rsid w:val="00A239A1"/>
    <w:rsid w:val="00A24163"/>
    <w:rsid w:val="00A242AC"/>
    <w:rsid w:val="00A25991"/>
    <w:rsid w:val="00A25B91"/>
    <w:rsid w:val="00A25BE1"/>
    <w:rsid w:val="00A25EF8"/>
    <w:rsid w:val="00A2654F"/>
    <w:rsid w:val="00A266AB"/>
    <w:rsid w:val="00A26B01"/>
    <w:rsid w:val="00A26C95"/>
    <w:rsid w:val="00A26DC5"/>
    <w:rsid w:val="00A27462"/>
    <w:rsid w:val="00A27E13"/>
    <w:rsid w:val="00A27F80"/>
    <w:rsid w:val="00A3031E"/>
    <w:rsid w:val="00A30624"/>
    <w:rsid w:val="00A3085F"/>
    <w:rsid w:val="00A30AC0"/>
    <w:rsid w:val="00A30D34"/>
    <w:rsid w:val="00A312BC"/>
    <w:rsid w:val="00A315AF"/>
    <w:rsid w:val="00A31971"/>
    <w:rsid w:val="00A31ED5"/>
    <w:rsid w:val="00A31FA2"/>
    <w:rsid w:val="00A32200"/>
    <w:rsid w:val="00A32676"/>
    <w:rsid w:val="00A32A49"/>
    <w:rsid w:val="00A32BF6"/>
    <w:rsid w:val="00A3300C"/>
    <w:rsid w:val="00A33063"/>
    <w:rsid w:val="00A331CA"/>
    <w:rsid w:val="00A33541"/>
    <w:rsid w:val="00A335F2"/>
    <w:rsid w:val="00A33894"/>
    <w:rsid w:val="00A33B2F"/>
    <w:rsid w:val="00A33D63"/>
    <w:rsid w:val="00A3484A"/>
    <w:rsid w:val="00A34CB6"/>
    <w:rsid w:val="00A34FB0"/>
    <w:rsid w:val="00A350F6"/>
    <w:rsid w:val="00A35168"/>
    <w:rsid w:val="00A35466"/>
    <w:rsid w:val="00A35901"/>
    <w:rsid w:val="00A36333"/>
    <w:rsid w:val="00A365BA"/>
    <w:rsid w:val="00A367F4"/>
    <w:rsid w:val="00A377D3"/>
    <w:rsid w:val="00A4007C"/>
    <w:rsid w:val="00A400D2"/>
    <w:rsid w:val="00A403D8"/>
    <w:rsid w:val="00A40E17"/>
    <w:rsid w:val="00A412AF"/>
    <w:rsid w:val="00A416B3"/>
    <w:rsid w:val="00A41C29"/>
    <w:rsid w:val="00A421A3"/>
    <w:rsid w:val="00A42877"/>
    <w:rsid w:val="00A42ADF"/>
    <w:rsid w:val="00A42E6D"/>
    <w:rsid w:val="00A43380"/>
    <w:rsid w:val="00A43BC6"/>
    <w:rsid w:val="00A43D08"/>
    <w:rsid w:val="00A43D19"/>
    <w:rsid w:val="00A441AE"/>
    <w:rsid w:val="00A44703"/>
    <w:rsid w:val="00A449E6"/>
    <w:rsid w:val="00A44EAD"/>
    <w:rsid w:val="00A456B5"/>
    <w:rsid w:val="00A45F33"/>
    <w:rsid w:val="00A46958"/>
    <w:rsid w:val="00A4695A"/>
    <w:rsid w:val="00A476EB"/>
    <w:rsid w:val="00A47929"/>
    <w:rsid w:val="00A4793B"/>
    <w:rsid w:val="00A47B37"/>
    <w:rsid w:val="00A47FBD"/>
    <w:rsid w:val="00A5005B"/>
    <w:rsid w:val="00A50162"/>
    <w:rsid w:val="00A503A8"/>
    <w:rsid w:val="00A50C25"/>
    <w:rsid w:val="00A50DCF"/>
    <w:rsid w:val="00A513A9"/>
    <w:rsid w:val="00A51ED4"/>
    <w:rsid w:val="00A523CC"/>
    <w:rsid w:val="00A5296A"/>
    <w:rsid w:val="00A52B6F"/>
    <w:rsid w:val="00A52B9E"/>
    <w:rsid w:val="00A52E92"/>
    <w:rsid w:val="00A530B2"/>
    <w:rsid w:val="00A53106"/>
    <w:rsid w:val="00A531B2"/>
    <w:rsid w:val="00A5411B"/>
    <w:rsid w:val="00A5412A"/>
    <w:rsid w:val="00A54997"/>
    <w:rsid w:val="00A54C71"/>
    <w:rsid w:val="00A54CC1"/>
    <w:rsid w:val="00A5510A"/>
    <w:rsid w:val="00A552E8"/>
    <w:rsid w:val="00A55C71"/>
    <w:rsid w:val="00A5677E"/>
    <w:rsid w:val="00A56F77"/>
    <w:rsid w:val="00A57559"/>
    <w:rsid w:val="00A5757A"/>
    <w:rsid w:val="00A5788C"/>
    <w:rsid w:val="00A57981"/>
    <w:rsid w:val="00A579B7"/>
    <w:rsid w:val="00A57CA5"/>
    <w:rsid w:val="00A57EE1"/>
    <w:rsid w:val="00A6002A"/>
    <w:rsid w:val="00A6028D"/>
    <w:rsid w:val="00A603C9"/>
    <w:rsid w:val="00A60DD7"/>
    <w:rsid w:val="00A60F46"/>
    <w:rsid w:val="00A626C6"/>
    <w:rsid w:val="00A62B23"/>
    <w:rsid w:val="00A63207"/>
    <w:rsid w:val="00A64165"/>
    <w:rsid w:val="00A643A2"/>
    <w:rsid w:val="00A64B31"/>
    <w:rsid w:val="00A6512C"/>
    <w:rsid w:val="00A65893"/>
    <w:rsid w:val="00A65C15"/>
    <w:rsid w:val="00A65FBA"/>
    <w:rsid w:val="00A66076"/>
    <w:rsid w:val="00A6612B"/>
    <w:rsid w:val="00A6625F"/>
    <w:rsid w:val="00A66E83"/>
    <w:rsid w:val="00A67421"/>
    <w:rsid w:val="00A67631"/>
    <w:rsid w:val="00A676BE"/>
    <w:rsid w:val="00A7013A"/>
    <w:rsid w:val="00A70171"/>
    <w:rsid w:val="00A70339"/>
    <w:rsid w:val="00A70C08"/>
    <w:rsid w:val="00A70C7D"/>
    <w:rsid w:val="00A7135A"/>
    <w:rsid w:val="00A718F8"/>
    <w:rsid w:val="00A71E7A"/>
    <w:rsid w:val="00A720A7"/>
    <w:rsid w:val="00A720F3"/>
    <w:rsid w:val="00A7232D"/>
    <w:rsid w:val="00A723DC"/>
    <w:rsid w:val="00A7298E"/>
    <w:rsid w:val="00A72F4D"/>
    <w:rsid w:val="00A73984"/>
    <w:rsid w:val="00A73A2B"/>
    <w:rsid w:val="00A73B8D"/>
    <w:rsid w:val="00A74036"/>
    <w:rsid w:val="00A74690"/>
    <w:rsid w:val="00A74749"/>
    <w:rsid w:val="00A75020"/>
    <w:rsid w:val="00A751A0"/>
    <w:rsid w:val="00A752DC"/>
    <w:rsid w:val="00A753C7"/>
    <w:rsid w:val="00A7594B"/>
    <w:rsid w:val="00A75C2E"/>
    <w:rsid w:val="00A75DB2"/>
    <w:rsid w:val="00A75DEE"/>
    <w:rsid w:val="00A76077"/>
    <w:rsid w:val="00A763FD"/>
    <w:rsid w:val="00A7696B"/>
    <w:rsid w:val="00A76A62"/>
    <w:rsid w:val="00A76AAB"/>
    <w:rsid w:val="00A77516"/>
    <w:rsid w:val="00A7752F"/>
    <w:rsid w:val="00A77C59"/>
    <w:rsid w:val="00A77CD4"/>
    <w:rsid w:val="00A77CF0"/>
    <w:rsid w:val="00A77EE2"/>
    <w:rsid w:val="00A801EC"/>
    <w:rsid w:val="00A8053C"/>
    <w:rsid w:val="00A806A3"/>
    <w:rsid w:val="00A8090B"/>
    <w:rsid w:val="00A80D9A"/>
    <w:rsid w:val="00A80FA9"/>
    <w:rsid w:val="00A81121"/>
    <w:rsid w:val="00A81256"/>
    <w:rsid w:val="00A81289"/>
    <w:rsid w:val="00A81777"/>
    <w:rsid w:val="00A817B4"/>
    <w:rsid w:val="00A81B5B"/>
    <w:rsid w:val="00A81EE9"/>
    <w:rsid w:val="00A82617"/>
    <w:rsid w:val="00A82D83"/>
    <w:rsid w:val="00A83DB7"/>
    <w:rsid w:val="00A83E08"/>
    <w:rsid w:val="00A84034"/>
    <w:rsid w:val="00A84212"/>
    <w:rsid w:val="00A8477D"/>
    <w:rsid w:val="00A84883"/>
    <w:rsid w:val="00A853AA"/>
    <w:rsid w:val="00A85419"/>
    <w:rsid w:val="00A854FE"/>
    <w:rsid w:val="00A85730"/>
    <w:rsid w:val="00A859FE"/>
    <w:rsid w:val="00A86F54"/>
    <w:rsid w:val="00A86FFB"/>
    <w:rsid w:val="00A870B5"/>
    <w:rsid w:val="00A8744B"/>
    <w:rsid w:val="00A874AC"/>
    <w:rsid w:val="00A8787C"/>
    <w:rsid w:val="00A87AA6"/>
    <w:rsid w:val="00A87E3E"/>
    <w:rsid w:val="00A9004F"/>
    <w:rsid w:val="00A90220"/>
    <w:rsid w:val="00A90285"/>
    <w:rsid w:val="00A90798"/>
    <w:rsid w:val="00A91158"/>
    <w:rsid w:val="00A91C4F"/>
    <w:rsid w:val="00A91C67"/>
    <w:rsid w:val="00A91C81"/>
    <w:rsid w:val="00A91E41"/>
    <w:rsid w:val="00A9230B"/>
    <w:rsid w:val="00A92A46"/>
    <w:rsid w:val="00A92C45"/>
    <w:rsid w:val="00A937CD"/>
    <w:rsid w:val="00A93D20"/>
    <w:rsid w:val="00A94268"/>
    <w:rsid w:val="00A946E3"/>
    <w:rsid w:val="00A948A4"/>
    <w:rsid w:val="00A94E64"/>
    <w:rsid w:val="00A95658"/>
    <w:rsid w:val="00A95BC5"/>
    <w:rsid w:val="00A962BA"/>
    <w:rsid w:val="00A96C4C"/>
    <w:rsid w:val="00A970C2"/>
    <w:rsid w:val="00A973D1"/>
    <w:rsid w:val="00A975F2"/>
    <w:rsid w:val="00A976C7"/>
    <w:rsid w:val="00A97CEE"/>
    <w:rsid w:val="00AA01E0"/>
    <w:rsid w:val="00AA09D9"/>
    <w:rsid w:val="00AA1768"/>
    <w:rsid w:val="00AA1DFF"/>
    <w:rsid w:val="00AA1E0B"/>
    <w:rsid w:val="00AA1E25"/>
    <w:rsid w:val="00AA1F7F"/>
    <w:rsid w:val="00AA270B"/>
    <w:rsid w:val="00AA2B8A"/>
    <w:rsid w:val="00AA2EFE"/>
    <w:rsid w:val="00AA3B54"/>
    <w:rsid w:val="00AA4528"/>
    <w:rsid w:val="00AA493A"/>
    <w:rsid w:val="00AA4B2D"/>
    <w:rsid w:val="00AA534B"/>
    <w:rsid w:val="00AA5439"/>
    <w:rsid w:val="00AA547F"/>
    <w:rsid w:val="00AA5D38"/>
    <w:rsid w:val="00AA5EBD"/>
    <w:rsid w:val="00AA64A5"/>
    <w:rsid w:val="00AA6ED8"/>
    <w:rsid w:val="00AA74C1"/>
    <w:rsid w:val="00AA74D7"/>
    <w:rsid w:val="00AA76D8"/>
    <w:rsid w:val="00AA7EC7"/>
    <w:rsid w:val="00AB0189"/>
    <w:rsid w:val="00AB03CA"/>
    <w:rsid w:val="00AB0F1B"/>
    <w:rsid w:val="00AB1682"/>
    <w:rsid w:val="00AB1738"/>
    <w:rsid w:val="00AB18E1"/>
    <w:rsid w:val="00AB2556"/>
    <w:rsid w:val="00AB26EA"/>
    <w:rsid w:val="00AB298C"/>
    <w:rsid w:val="00AB2A50"/>
    <w:rsid w:val="00AB2AB4"/>
    <w:rsid w:val="00AB3131"/>
    <w:rsid w:val="00AB36BE"/>
    <w:rsid w:val="00AB3C36"/>
    <w:rsid w:val="00AB46D6"/>
    <w:rsid w:val="00AB51D1"/>
    <w:rsid w:val="00AB5673"/>
    <w:rsid w:val="00AB592F"/>
    <w:rsid w:val="00AB5F59"/>
    <w:rsid w:val="00AB6949"/>
    <w:rsid w:val="00AB71A9"/>
    <w:rsid w:val="00AB79D7"/>
    <w:rsid w:val="00AB7AAB"/>
    <w:rsid w:val="00AC01F3"/>
    <w:rsid w:val="00AC08CA"/>
    <w:rsid w:val="00AC0949"/>
    <w:rsid w:val="00AC1108"/>
    <w:rsid w:val="00AC1A6C"/>
    <w:rsid w:val="00AC1C8A"/>
    <w:rsid w:val="00AC1ED5"/>
    <w:rsid w:val="00AC1FB2"/>
    <w:rsid w:val="00AC22F1"/>
    <w:rsid w:val="00AC273B"/>
    <w:rsid w:val="00AC2B6F"/>
    <w:rsid w:val="00AC3626"/>
    <w:rsid w:val="00AC391E"/>
    <w:rsid w:val="00AC3B2E"/>
    <w:rsid w:val="00AC41DC"/>
    <w:rsid w:val="00AC441F"/>
    <w:rsid w:val="00AC4631"/>
    <w:rsid w:val="00AC4F57"/>
    <w:rsid w:val="00AC4FB2"/>
    <w:rsid w:val="00AC5053"/>
    <w:rsid w:val="00AC54C1"/>
    <w:rsid w:val="00AC55B4"/>
    <w:rsid w:val="00AC55E9"/>
    <w:rsid w:val="00AC5E65"/>
    <w:rsid w:val="00AC5F3D"/>
    <w:rsid w:val="00AC6FA4"/>
    <w:rsid w:val="00AC7F41"/>
    <w:rsid w:val="00AD0F92"/>
    <w:rsid w:val="00AD11DB"/>
    <w:rsid w:val="00AD18EE"/>
    <w:rsid w:val="00AD1F4B"/>
    <w:rsid w:val="00AD20CF"/>
    <w:rsid w:val="00AD22FF"/>
    <w:rsid w:val="00AD2321"/>
    <w:rsid w:val="00AD2A79"/>
    <w:rsid w:val="00AD3393"/>
    <w:rsid w:val="00AD37F6"/>
    <w:rsid w:val="00AD3CAA"/>
    <w:rsid w:val="00AD40AC"/>
    <w:rsid w:val="00AD41BF"/>
    <w:rsid w:val="00AD466D"/>
    <w:rsid w:val="00AD46C6"/>
    <w:rsid w:val="00AD4920"/>
    <w:rsid w:val="00AD4AC9"/>
    <w:rsid w:val="00AD4ADA"/>
    <w:rsid w:val="00AD4C36"/>
    <w:rsid w:val="00AD4C39"/>
    <w:rsid w:val="00AD53DF"/>
    <w:rsid w:val="00AD5522"/>
    <w:rsid w:val="00AD56C0"/>
    <w:rsid w:val="00AD59EF"/>
    <w:rsid w:val="00AD5DF2"/>
    <w:rsid w:val="00AD7467"/>
    <w:rsid w:val="00AD7497"/>
    <w:rsid w:val="00AD7515"/>
    <w:rsid w:val="00AD75C5"/>
    <w:rsid w:val="00AD791D"/>
    <w:rsid w:val="00AD793A"/>
    <w:rsid w:val="00AD795C"/>
    <w:rsid w:val="00AE0037"/>
    <w:rsid w:val="00AE02E1"/>
    <w:rsid w:val="00AE0C81"/>
    <w:rsid w:val="00AE0EE2"/>
    <w:rsid w:val="00AE18AA"/>
    <w:rsid w:val="00AE1D40"/>
    <w:rsid w:val="00AE2622"/>
    <w:rsid w:val="00AE2D27"/>
    <w:rsid w:val="00AE303A"/>
    <w:rsid w:val="00AE3358"/>
    <w:rsid w:val="00AE3C88"/>
    <w:rsid w:val="00AE3E03"/>
    <w:rsid w:val="00AE469A"/>
    <w:rsid w:val="00AE4D39"/>
    <w:rsid w:val="00AE5019"/>
    <w:rsid w:val="00AE505B"/>
    <w:rsid w:val="00AE6116"/>
    <w:rsid w:val="00AE6785"/>
    <w:rsid w:val="00AE6AD9"/>
    <w:rsid w:val="00AE6B9C"/>
    <w:rsid w:val="00AE7779"/>
    <w:rsid w:val="00AE7C91"/>
    <w:rsid w:val="00AF0381"/>
    <w:rsid w:val="00AF0714"/>
    <w:rsid w:val="00AF0B5D"/>
    <w:rsid w:val="00AF117C"/>
    <w:rsid w:val="00AF1BD2"/>
    <w:rsid w:val="00AF2221"/>
    <w:rsid w:val="00AF267B"/>
    <w:rsid w:val="00AF273C"/>
    <w:rsid w:val="00AF2AFC"/>
    <w:rsid w:val="00AF2C58"/>
    <w:rsid w:val="00AF34B7"/>
    <w:rsid w:val="00AF3956"/>
    <w:rsid w:val="00AF3A36"/>
    <w:rsid w:val="00AF3C42"/>
    <w:rsid w:val="00AF4196"/>
    <w:rsid w:val="00AF5095"/>
    <w:rsid w:val="00AF561C"/>
    <w:rsid w:val="00AF5A7F"/>
    <w:rsid w:val="00AF5DFE"/>
    <w:rsid w:val="00AF64A8"/>
    <w:rsid w:val="00AF66E0"/>
    <w:rsid w:val="00AF6BD2"/>
    <w:rsid w:val="00AF6D8F"/>
    <w:rsid w:val="00AF6EC0"/>
    <w:rsid w:val="00AF76BE"/>
    <w:rsid w:val="00B004E4"/>
    <w:rsid w:val="00B008F0"/>
    <w:rsid w:val="00B016BF"/>
    <w:rsid w:val="00B016DD"/>
    <w:rsid w:val="00B01E0F"/>
    <w:rsid w:val="00B01F34"/>
    <w:rsid w:val="00B01F56"/>
    <w:rsid w:val="00B0203C"/>
    <w:rsid w:val="00B02058"/>
    <w:rsid w:val="00B02302"/>
    <w:rsid w:val="00B023C7"/>
    <w:rsid w:val="00B0244E"/>
    <w:rsid w:val="00B030DB"/>
    <w:rsid w:val="00B0336C"/>
    <w:rsid w:val="00B0359A"/>
    <w:rsid w:val="00B038FA"/>
    <w:rsid w:val="00B03CDA"/>
    <w:rsid w:val="00B03EFC"/>
    <w:rsid w:val="00B0412D"/>
    <w:rsid w:val="00B04173"/>
    <w:rsid w:val="00B043E5"/>
    <w:rsid w:val="00B04FB4"/>
    <w:rsid w:val="00B05204"/>
    <w:rsid w:val="00B05A21"/>
    <w:rsid w:val="00B05D0A"/>
    <w:rsid w:val="00B05E2F"/>
    <w:rsid w:val="00B060D3"/>
    <w:rsid w:val="00B06FD3"/>
    <w:rsid w:val="00B072FC"/>
    <w:rsid w:val="00B0753D"/>
    <w:rsid w:val="00B076A4"/>
    <w:rsid w:val="00B0792B"/>
    <w:rsid w:val="00B07F47"/>
    <w:rsid w:val="00B10031"/>
    <w:rsid w:val="00B1039B"/>
    <w:rsid w:val="00B10FC5"/>
    <w:rsid w:val="00B11257"/>
    <w:rsid w:val="00B11C29"/>
    <w:rsid w:val="00B1220E"/>
    <w:rsid w:val="00B12560"/>
    <w:rsid w:val="00B12D38"/>
    <w:rsid w:val="00B1326A"/>
    <w:rsid w:val="00B1388D"/>
    <w:rsid w:val="00B140A0"/>
    <w:rsid w:val="00B14850"/>
    <w:rsid w:val="00B14992"/>
    <w:rsid w:val="00B14C17"/>
    <w:rsid w:val="00B152CE"/>
    <w:rsid w:val="00B1541A"/>
    <w:rsid w:val="00B15A4A"/>
    <w:rsid w:val="00B15B15"/>
    <w:rsid w:val="00B15B90"/>
    <w:rsid w:val="00B164DC"/>
    <w:rsid w:val="00B17117"/>
    <w:rsid w:val="00B1717A"/>
    <w:rsid w:val="00B1717C"/>
    <w:rsid w:val="00B17DB3"/>
    <w:rsid w:val="00B17E68"/>
    <w:rsid w:val="00B20AE9"/>
    <w:rsid w:val="00B20C5F"/>
    <w:rsid w:val="00B20DB9"/>
    <w:rsid w:val="00B20E19"/>
    <w:rsid w:val="00B20E72"/>
    <w:rsid w:val="00B20FCE"/>
    <w:rsid w:val="00B21493"/>
    <w:rsid w:val="00B2155F"/>
    <w:rsid w:val="00B22414"/>
    <w:rsid w:val="00B227F0"/>
    <w:rsid w:val="00B22B62"/>
    <w:rsid w:val="00B23284"/>
    <w:rsid w:val="00B23B5D"/>
    <w:rsid w:val="00B23F2D"/>
    <w:rsid w:val="00B241CB"/>
    <w:rsid w:val="00B2429D"/>
    <w:rsid w:val="00B248DD"/>
    <w:rsid w:val="00B2504C"/>
    <w:rsid w:val="00B25AB9"/>
    <w:rsid w:val="00B25B9B"/>
    <w:rsid w:val="00B2631B"/>
    <w:rsid w:val="00B266E2"/>
    <w:rsid w:val="00B27327"/>
    <w:rsid w:val="00B2754A"/>
    <w:rsid w:val="00B27EE5"/>
    <w:rsid w:val="00B27F7A"/>
    <w:rsid w:val="00B27FAB"/>
    <w:rsid w:val="00B304D2"/>
    <w:rsid w:val="00B30540"/>
    <w:rsid w:val="00B305B7"/>
    <w:rsid w:val="00B305BE"/>
    <w:rsid w:val="00B30A2F"/>
    <w:rsid w:val="00B311B7"/>
    <w:rsid w:val="00B3153D"/>
    <w:rsid w:val="00B32B81"/>
    <w:rsid w:val="00B33950"/>
    <w:rsid w:val="00B33FCD"/>
    <w:rsid w:val="00B343AA"/>
    <w:rsid w:val="00B3448F"/>
    <w:rsid w:val="00B3450A"/>
    <w:rsid w:val="00B34743"/>
    <w:rsid w:val="00B347BD"/>
    <w:rsid w:val="00B34B13"/>
    <w:rsid w:val="00B3564F"/>
    <w:rsid w:val="00B3573A"/>
    <w:rsid w:val="00B35B9E"/>
    <w:rsid w:val="00B35BA9"/>
    <w:rsid w:val="00B35BBB"/>
    <w:rsid w:val="00B36014"/>
    <w:rsid w:val="00B36275"/>
    <w:rsid w:val="00B367B7"/>
    <w:rsid w:val="00B37012"/>
    <w:rsid w:val="00B37654"/>
    <w:rsid w:val="00B37948"/>
    <w:rsid w:val="00B37A72"/>
    <w:rsid w:val="00B40030"/>
    <w:rsid w:val="00B4069A"/>
    <w:rsid w:val="00B4071D"/>
    <w:rsid w:val="00B40F47"/>
    <w:rsid w:val="00B41560"/>
    <w:rsid w:val="00B42A0C"/>
    <w:rsid w:val="00B42A27"/>
    <w:rsid w:val="00B42E04"/>
    <w:rsid w:val="00B4325A"/>
    <w:rsid w:val="00B436E5"/>
    <w:rsid w:val="00B43C48"/>
    <w:rsid w:val="00B43D6F"/>
    <w:rsid w:val="00B441CA"/>
    <w:rsid w:val="00B442E9"/>
    <w:rsid w:val="00B4496F"/>
    <w:rsid w:val="00B44AFF"/>
    <w:rsid w:val="00B44B9F"/>
    <w:rsid w:val="00B45A9D"/>
    <w:rsid w:val="00B45C28"/>
    <w:rsid w:val="00B46007"/>
    <w:rsid w:val="00B46519"/>
    <w:rsid w:val="00B47046"/>
    <w:rsid w:val="00B471BA"/>
    <w:rsid w:val="00B47315"/>
    <w:rsid w:val="00B47A8C"/>
    <w:rsid w:val="00B47D03"/>
    <w:rsid w:val="00B47F0D"/>
    <w:rsid w:val="00B47FF4"/>
    <w:rsid w:val="00B50EC0"/>
    <w:rsid w:val="00B5113A"/>
    <w:rsid w:val="00B51531"/>
    <w:rsid w:val="00B52EE6"/>
    <w:rsid w:val="00B53CEC"/>
    <w:rsid w:val="00B54590"/>
    <w:rsid w:val="00B5486B"/>
    <w:rsid w:val="00B549B2"/>
    <w:rsid w:val="00B551BA"/>
    <w:rsid w:val="00B5570D"/>
    <w:rsid w:val="00B55AA2"/>
    <w:rsid w:val="00B5662D"/>
    <w:rsid w:val="00B56C3E"/>
    <w:rsid w:val="00B56E42"/>
    <w:rsid w:val="00B5775F"/>
    <w:rsid w:val="00B579C6"/>
    <w:rsid w:val="00B57E7D"/>
    <w:rsid w:val="00B6016A"/>
    <w:rsid w:val="00B60292"/>
    <w:rsid w:val="00B606CD"/>
    <w:rsid w:val="00B606D2"/>
    <w:rsid w:val="00B6072C"/>
    <w:rsid w:val="00B6089F"/>
    <w:rsid w:val="00B61874"/>
    <w:rsid w:val="00B619F0"/>
    <w:rsid w:val="00B62159"/>
    <w:rsid w:val="00B62378"/>
    <w:rsid w:val="00B62419"/>
    <w:rsid w:val="00B62426"/>
    <w:rsid w:val="00B63456"/>
    <w:rsid w:val="00B63B53"/>
    <w:rsid w:val="00B63F4E"/>
    <w:rsid w:val="00B6415B"/>
    <w:rsid w:val="00B65089"/>
    <w:rsid w:val="00B65A9D"/>
    <w:rsid w:val="00B662DF"/>
    <w:rsid w:val="00B6655C"/>
    <w:rsid w:val="00B6697E"/>
    <w:rsid w:val="00B6751F"/>
    <w:rsid w:val="00B67CB9"/>
    <w:rsid w:val="00B7070D"/>
    <w:rsid w:val="00B709AC"/>
    <w:rsid w:val="00B70B91"/>
    <w:rsid w:val="00B70BC7"/>
    <w:rsid w:val="00B71132"/>
    <w:rsid w:val="00B71198"/>
    <w:rsid w:val="00B71306"/>
    <w:rsid w:val="00B71628"/>
    <w:rsid w:val="00B718A8"/>
    <w:rsid w:val="00B71986"/>
    <w:rsid w:val="00B72101"/>
    <w:rsid w:val="00B72819"/>
    <w:rsid w:val="00B72B14"/>
    <w:rsid w:val="00B73270"/>
    <w:rsid w:val="00B733AC"/>
    <w:rsid w:val="00B73953"/>
    <w:rsid w:val="00B73BDA"/>
    <w:rsid w:val="00B751A2"/>
    <w:rsid w:val="00B75EB9"/>
    <w:rsid w:val="00B766D3"/>
    <w:rsid w:val="00B76DFF"/>
    <w:rsid w:val="00B77186"/>
    <w:rsid w:val="00B772B4"/>
    <w:rsid w:val="00B772FC"/>
    <w:rsid w:val="00B77649"/>
    <w:rsid w:val="00B779FC"/>
    <w:rsid w:val="00B80CEA"/>
    <w:rsid w:val="00B80E16"/>
    <w:rsid w:val="00B80FD8"/>
    <w:rsid w:val="00B81924"/>
    <w:rsid w:val="00B81A2F"/>
    <w:rsid w:val="00B81D44"/>
    <w:rsid w:val="00B82546"/>
    <w:rsid w:val="00B8299C"/>
    <w:rsid w:val="00B83235"/>
    <w:rsid w:val="00B83696"/>
    <w:rsid w:val="00B839BE"/>
    <w:rsid w:val="00B84613"/>
    <w:rsid w:val="00B84793"/>
    <w:rsid w:val="00B84B59"/>
    <w:rsid w:val="00B851C4"/>
    <w:rsid w:val="00B852BB"/>
    <w:rsid w:val="00B85567"/>
    <w:rsid w:val="00B86021"/>
    <w:rsid w:val="00B86431"/>
    <w:rsid w:val="00B86A47"/>
    <w:rsid w:val="00B87906"/>
    <w:rsid w:val="00B87BB2"/>
    <w:rsid w:val="00B90CD9"/>
    <w:rsid w:val="00B90EFF"/>
    <w:rsid w:val="00B91299"/>
    <w:rsid w:val="00B913F6"/>
    <w:rsid w:val="00B9141F"/>
    <w:rsid w:val="00B9149B"/>
    <w:rsid w:val="00B914EA"/>
    <w:rsid w:val="00B91DE9"/>
    <w:rsid w:val="00B92A38"/>
    <w:rsid w:val="00B92D6D"/>
    <w:rsid w:val="00B93666"/>
    <w:rsid w:val="00B93EEB"/>
    <w:rsid w:val="00B93F7F"/>
    <w:rsid w:val="00B93FDD"/>
    <w:rsid w:val="00B9446A"/>
    <w:rsid w:val="00B94863"/>
    <w:rsid w:val="00B958EF"/>
    <w:rsid w:val="00B95B57"/>
    <w:rsid w:val="00B9604D"/>
    <w:rsid w:val="00B96267"/>
    <w:rsid w:val="00B96741"/>
    <w:rsid w:val="00B96B20"/>
    <w:rsid w:val="00B96DB3"/>
    <w:rsid w:val="00B9708A"/>
    <w:rsid w:val="00B9725A"/>
    <w:rsid w:val="00B97710"/>
    <w:rsid w:val="00B9790A"/>
    <w:rsid w:val="00B97C91"/>
    <w:rsid w:val="00BA09B9"/>
    <w:rsid w:val="00BA0A2F"/>
    <w:rsid w:val="00BA0CD9"/>
    <w:rsid w:val="00BA1000"/>
    <w:rsid w:val="00BA11E5"/>
    <w:rsid w:val="00BA12E6"/>
    <w:rsid w:val="00BA1C97"/>
    <w:rsid w:val="00BA1F3A"/>
    <w:rsid w:val="00BA2004"/>
    <w:rsid w:val="00BA202B"/>
    <w:rsid w:val="00BA212D"/>
    <w:rsid w:val="00BA2FF5"/>
    <w:rsid w:val="00BA3253"/>
    <w:rsid w:val="00BA3676"/>
    <w:rsid w:val="00BA421E"/>
    <w:rsid w:val="00BA4A0D"/>
    <w:rsid w:val="00BA4A65"/>
    <w:rsid w:val="00BA4C37"/>
    <w:rsid w:val="00BA4C3C"/>
    <w:rsid w:val="00BA4EEC"/>
    <w:rsid w:val="00BA5379"/>
    <w:rsid w:val="00BA5916"/>
    <w:rsid w:val="00BA5DF4"/>
    <w:rsid w:val="00BA61AB"/>
    <w:rsid w:val="00BA7700"/>
    <w:rsid w:val="00BA77B8"/>
    <w:rsid w:val="00BA7962"/>
    <w:rsid w:val="00BB0A55"/>
    <w:rsid w:val="00BB0DF2"/>
    <w:rsid w:val="00BB1262"/>
    <w:rsid w:val="00BB1282"/>
    <w:rsid w:val="00BB186E"/>
    <w:rsid w:val="00BB242C"/>
    <w:rsid w:val="00BB3976"/>
    <w:rsid w:val="00BB3EA9"/>
    <w:rsid w:val="00BB40BE"/>
    <w:rsid w:val="00BB4D77"/>
    <w:rsid w:val="00BB5953"/>
    <w:rsid w:val="00BB5DD5"/>
    <w:rsid w:val="00BB6735"/>
    <w:rsid w:val="00BB75F0"/>
    <w:rsid w:val="00BB784C"/>
    <w:rsid w:val="00BB7C15"/>
    <w:rsid w:val="00BB7E89"/>
    <w:rsid w:val="00BC035A"/>
    <w:rsid w:val="00BC0AF5"/>
    <w:rsid w:val="00BC1802"/>
    <w:rsid w:val="00BC19EC"/>
    <w:rsid w:val="00BC1CFF"/>
    <w:rsid w:val="00BC1E78"/>
    <w:rsid w:val="00BC20C4"/>
    <w:rsid w:val="00BC2518"/>
    <w:rsid w:val="00BC2AB5"/>
    <w:rsid w:val="00BC2D62"/>
    <w:rsid w:val="00BC3112"/>
    <w:rsid w:val="00BC330C"/>
    <w:rsid w:val="00BC3312"/>
    <w:rsid w:val="00BC383C"/>
    <w:rsid w:val="00BC3884"/>
    <w:rsid w:val="00BC39B6"/>
    <w:rsid w:val="00BC3D1C"/>
    <w:rsid w:val="00BC448A"/>
    <w:rsid w:val="00BC477A"/>
    <w:rsid w:val="00BC4F1C"/>
    <w:rsid w:val="00BC56E2"/>
    <w:rsid w:val="00BC5A23"/>
    <w:rsid w:val="00BC615D"/>
    <w:rsid w:val="00BC624A"/>
    <w:rsid w:val="00BC644C"/>
    <w:rsid w:val="00BC6DE1"/>
    <w:rsid w:val="00BC738A"/>
    <w:rsid w:val="00BC7788"/>
    <w:rsid w:val="00BC79B4"/>
    <w:rsid w:val="00BC79E4"/>
    <w:rsid w:val="00BD0287"/>
    <w:rsid w:val="00BD1B4E"/>
    <w:rsid w:val="00BD1F8D"/>
    <w:rsid w:val="00BD283A"/>
    <w:rsid w:val="00BD28A2"/>
    <w:rsid w:val="00BD2BD5"/>
    <w:rsid w:val="00BD2ECF"/>
    <w:rsid w:val="00BD32B2"/>
    <w:rsid w:val="00BD3552"/>
    <w:rsid w:val="00BD3ABF"/>
    <w:rsid w:val="00BD3CE4"/>
    <w:rsid w:val="00BD3E1F"/>
    <w:rsid w:val="00BD3E25"/>
    <w:rsid w:val="00BD40D4"/>
    <w:rsid w:val="00BD4119"/>
    <w:rsid w:val="00BD432B"/>
    <w:rsid w:val="00BD4B6A"/>
    <w:rsid w:val="00BD4E0A"/>
    <w:rsid w:val="00BD5107"/>
    <w:rsid w:val="00BD557A"/>
    <w:rsid w:val="00BD593F"/>
    <w:rsid w:val="00BD670A"/>
    <w:rsid w:val="00BD7198"/>
    <w:rsid w:val="00BD76BD"/>
    <w:rsid w:val="00BE07D4"/>
    <w:rsid w:val="00BE09A8"/>
    <w:rsid w:val="00BE0A17"/>
    <w:rsid w:val="00BE1901"/>
    <w:rsid w:val="00BE2192"/>
    <w:rsid w:val="00BE2F49"/>
    <w:rsid w:val="00BE3694"/>
    <w:rsid w:val="00BE3C68"/>
    <w:rsid w:val="00BE4540"/>
    <w:rsid w:val="00BE4EB1"/>
    <w:rsid w:val="00BE56DE"/>
    <w:rsid w:val="00BE5765"/>
    <w:rsid w:val="00BE57BC"/>
    <w:rsid w:val="00BE57C7"/>
    <w:rsid w:val="00BE6789"/>
    <w:rsid w:val="00BF021A"/>
    <w:rsid w:val="00BF044C"/>
    <w:rsid w:val="00BF077B"/>
    <w:rsid w:val="00BF0B12"/>
    <w:rsid w:val="00BF13B0"/>
    <w:rsid w:val="00BF13C2"/>
    <w:rsid w:val="00BF168C"/>
    <w:rsid w:val="00BF1859"/>
    <w:rsid w:val="00BF198B"/>
    <w:rsid w:val="00BF1A5A"/>
    <w:rsid w:val="00BF1EE2"/>
    <w:rsid w:val="00BF1F3F"/>
    <w:rsid w:val="00BF2051"/>
    <w:rsid w:val="00BF215F"/>
    <w:rsid w:val="00BF245F"/>
    <w:rsid w:val="00BF321B"/>
    <w:rsid w:val="00BF3A59"/>
    <w:rsid w:val="00BF3EC5"/>
    <w:rsid w:val="00BF419B"/>
    <w:rsid w:val="00BF4988"/>
    <w:rsid w:val="00BF4A80"/>
    <w:rsid w:val="00BF4B1F"/>
    <w:rsid w:val="00BF4CEF"/>
    <w:rsid w:val="00BF4F07"/>
    <w:rsid w:val="00BF4F4E"/>
    <w:rsid w:val="00BF6320"/>
    <w:rsid w:val="00BF71F0"/>
    <w:rsid w:val="00BF735D"/>
    <w:rsid w:val="00BF7E1F"/>
    <w:rsid w:val="00BF7E9C"/>
    <w:rsid w:val="00C00117"/>
    <w:rsid w:val="00C0035C"/>
    <w:rsid w:val="00C00DBE"/>
    <w:rsid w:val="00C00E3D"/>
    <w:rsid w:val="00C011FA"/>
    <w:rsid w:val="00C013D5"/>
    <w:rsid w:val="00C01439"/>
    <w:rsid w:val="00C01456"/>
    <w:rsid w:val="00C01563"/>
    <w:rsid w:val="00C01641"/>
    <w:rsid w:val="00C01EEC"/>
    <w:rsid w:val="00C01F5B"/>
    <w:rsid w:val="00C0310F"/>
    <w:rsid w:val="00C03269"/>
    <w:rsid w:val="00C033CF"/>
    <w:rsid w:val="00C034E9"/>
    <w:rsid w:val="00C0370C"/>
    <w:rsid w:val="00C03CB0"/>
    <w:rsid w:val="00C03DF9"/>
    <w:rsid w:val="00C03F02"/>
    <w:rsid w:val="00C03FE5"/>
    <w:rsid w:val="00C04572"/>
    <w:rsid w:val="00C047A4"/>
    <w:rsid w:val="00C049C8"/>
    <w:rsid w:val="00C04F52"/>
    <w:rsid w:val="00C050E4"/>
    <w:rsid w:val="00C05896"/>
    <w:rsid w:val="00C05FCE"/>
    <w:rsid w:val="00C061E9"/>
    <w:rsid w:val="00C066E9"/>
    <w:rsid w:val="00C0711C"/>
    <w:rsid w:val="00C07800"/>
    <w:rsid w:val="00C07DC4"/>
    <w:rsid w:val="00C10124"/>
    <w:rsid w:val="00C1058B"/>
    <w:rsid w:val="00C10D9B"/>
    <w:rsid w:val="00C11C98"/>
    <w:rsid w:val="00C126BF"/>
    <w:rsid w:val="00C1297B"/>
    <w:rsid w:val="00C134BA"/>
    <w:rsid w:val="00C139FC"/>
    <w:rsid w:val="00C13BD3"/>
    <w:rsid w:val="00C14597"/>
    <w:rsid w:val="00C147E8"/>
    <w:rsid w:val="00C14A3B"/>
    <w:rsid w:val="00C14B2C"/>
    <w:rsid w:val="00C14FEA"/>
    <w:rsid w:val="00C154DE"/>
    <w:rsid w:val="00C155E4"/>
    <w:rsid w:val="00C15C5F"/>
    <w:rsid w:val="00C16517"/>
    <w:rsid w:val="00C166B0"/>
    <w:rsid w:val="00C16DBE"/>
    <w:rsid w:val="00C16E28"/>
    <w:rsid w:val="00C1760E"/>
    <w:rsid w:val="00C20ADB"/>
    <w:rsid w:val="00C20C41"/>
    <w:rsid w:val="00C217B1"/>
    <w:rsid w:val="00C21C45"/>
    <w:rsid w:val="00C222DA"/>
    <w:rsid w:val="00C22A24"/>
    <w:rsid w:val="00C22A39"/>
    <w:rsid w:val="00C22DEE"/>
    <w:rsid w:val="00C23348"/>
    <w:rsid w:val="00C2362E"/>
    <w:rsid w:val="00C24336"/>
    <w:rsid w:val="00C24454"/>
    <w:rsid w:val="00C24970"/>
    <w:rsid w:val="00C249FC"/>
    <w:rsid w:val="00C24AF1"/>
    <w:rsid w:val="00C24F54"/>
    <w:rsid w:val="00C24F61"/>
    <w:rsid w:val="00C25154"/>
    <w:rsid w:val="00C251B0"/>
    <w:rsid w:val="00C25514"/>
    <w:rsid w:val="00C255BD"/>
    <w:rsid w:val="00C25F03"/>
    <w:rsid w:val="00C25F2C"/>
    <w:rsid w:val="00C26569"/>
    <w:rsid w:val="00C266E2"/>
    <w:rsid w:val="00C26A38"/>
    <w:rsid w:val="00C26A82"/>
    <w:rsid w:val="00C26D87"/>
    <w:rsid w:val="00C272AC"/>
    <w:rsid w:val="00C2770D"/>
    <w:rsid w:val="00C27A61"/>
    <w:rsid w:val="00C27C29"/>
    <w:rsid w:val="00C27EA0"/>
    <w:rsid w:val="00C300A4"/>
    <w:rsid w:val="00C301D0"/>
    <w:rsid w:val="00C3063A"/>
    <w:rsid w:val="00C307ED"/>
    <w:rsid w:val="00C30D1F"/>
    <w:rsid w:val="00C312A0"/>
    <w:rsid w:val="00C31BB0"/>
    <w:rsid w:val="00C31DC2"/>
    <w:rsid w:val="00C32A57"/>
    <w:rsid w:val="00C33019"/>
    <w:rsid w:val="00C3387F"/>
    <w:rsid w:val="00C33BAD"/>
    <w:rsid w:val="00C345F8"/>
    <w:rsid w:val="00C34920"/>
    <w:rsid w:val="00C34C9F"/>
    <w:rsid w:val="00C34CDD"/>
    <w:rsid w:val="00C34D76"/>
    <w:rsid w:val="00C34EAA"/>
    <w:rsid w:val="00C352F8"/>
    <w:rsid w:val="00C3558F"/>
    <w:rsid w:val="00C35784"/>
    <w:rsid w:val="00C35E5E"/>
    <w:rsid w:val="00C35FDB"/>
    <w:rsid w:val="00C366E3"/>
    <w:rsid w:val="00C3671F"/>
    <w:rsid w:val="00C3678E"/>
    <w:rsid w:val="00C3684F"/>
    <w:rsid w:val="00C37018"/>
    <w:rsid w:val="00C37080"/>
    <w:rsid w:val="00C37314"/>
    <w:rsid w:val="00C37358"/>
    <w:rsid w:val="00C37E27"/>
    <w:rsid w:val="00C37F7B"/>
    <w:rsid w:val="00C40725"/>
    <w:rsid w:val="00C40862"/>
    <w:rsid w:val="00C409E2"/>
    <w:rsid w:val="00C40BAC"/>
    <w:rsid w:val="00C40E68"/>
    <w:rsid w:val="00C41082"/>
    <w:rsid w:val="00C41FA0"/>
    <w:rsid w:val="00C4216E"/>
    <w:rsid w:val="00C422C6"/>
    <w:rsid w:val="00C4257F"/>
    <w:rsid w:val="00C425FA"/>
    <w:rsid w:val="00C42CC8"/>
    <w:rsid w:val="00C43470"/>
    <w:rsid w:val="00C438B2"/>
    <w:rsid w:val="00C43DF0"/>
    <w:rsid w:val="00C444E3"/>
    <w:rsid w:val="00C453C3"/>
    <w:rsid w:val="00C45E1B"/>
    <w:rsid w:val="00C45E9A"/>
    <w:rsid w:val="00C45EB3"/>
    <w:rsid w:val="00C46BD6"/>
    <w:rsid w:val="00C47153"/>
    <w:rsid w:val="00C508F4"/>
    <w:rsid w:val="00C50C0A"/>
    <w:rsid w:val="00C51208"/>
    <w:rsid w:val="00C51D6D"/>
    <w:rsid w:val="00C52739"/>
    <w:rsid w:val="00C52DEC"/>
    <w:rsid w:val="00C533CA"/>
    <w:rsid w:val="00C535B3"/>
    <w:rsid w:val="00C53EDE"/>
    <w:rsid w:val="00C5436A"/>
    <w:rsid w:val="00C549F2"/>
    <w:rsid w:val="00C54C44"/>
    <w:rsid w:val="00C55158"/>
    <w:rsid w:val="00C55195"/>
    <w:rsid w:val="00C552E0"/>
    <w:rsid w:val="00C55359"/>
    <w:rsid w:val="00C55717"/>
    <w:rsid w:val="00C56ADE"/>
    <w:rsid w:val="00C57537"/>
    <w:rsid w:val="00C575B2"/>
    <w:rsid w:val="00C57CDA"/>
    <w:rsid w:val="00C600E3"/>
    <w:rsid w:val="00C60756"/>
    <w:rsid w:val="00C60805"/>
    <w:rsid w:val="00C60D2D"/>
    <w:rsid w:val="00C61361"/>
    <w:rsid w:val="00C6154D"/>
    <w:rsid w:val="00C61771"/>
    <w:rsid w:val="00C61C1A"/>
    <w:rsid w:val="00C61F80"/>
    <w:rsid w:val="00C62560"/>
    <w:rsid w:val="00C62660"/>
    <w:rsid w:val="00C628F9"/>
    <w:rsid w:val="00C630A7"/>
    <w:rsid w:val="00C632D0"/>
    <w:rsid w:val="00C635BB"/>
    <w:rsid w:val="00C63860"/>
    <w:rsid w:val="00C63BD7"/>
    <w:rsid w:val="00C63FD8"/>
    <w:rsid w:val="00C64186"/>
    <w:rsid w:val="00C6521A"/>
    <w:rsid w:val="00C6585B"/>
    <w:rsid w:val="00C659B0"/>
    <w:rsid w:val="00C65A7E"/>
    <w:rsid w:val="00C65AEA"/>
    <w:rsid w:val="00C6616E"/>
    <w:rsid w:val="00C6622F"/>
    <w:rsid w:val="00C662EF"/>
    <w:rsid w:val="00C6646A"/>
    <w:rsid w:val="00C668C9"/>
    <w:rsid w:val="00C671EC"/>
    <w:rsid w:val="00C70544"/>
    <w:rsid w:val="00C706BC"/>
    <w:rsid w:val="00C71018"/>
    <w:rsid w:val="00C71055"/>
    <w:rsid w:val="00C717DF"/>
    <w:rsid w:val="00C717E7"/>
    <w:rsid w:val="00C71A02"/>
    <w:rsid w:val="00C71C00"/>
    <w:rsid w:val="00C726CF"/>
    <w:rsid w:val="00C72E25"/>
    <w:rsid w:val="00C737E8"/>
    <w:rsid w:val="00C744F5"/>
    <w:rsid w:val="00C74594"/>
    <w:rsid w:val="00C74889"/>
    <w:rsid w:val="00C75444"/>
    <w:rsid w:val="00C75D51"/>
    <w:rsid w:val="00C7606D"/>
    <w:rsid w:val="00C763C0"/>
    <w:rsid w:val="00C7690A"/>
    <w:rsid w:val="00C76D0B"/>
    <w:rsid w:val="00C7706E"/>
    <w:rsid w:val="00C771C3"/>
    <w:rsid w:val="00C772C7"/>
    <w:rsid w:val="00C77576"/>
    <w:rsid w:val="00C7775A"/>
    <w:rsid w:val="00C779F7"/>
    <w:rsid w:val="00C77A6C"/>
    <w:rsid w:val="00C77BCA"/>
    <w:rsid w:val="00C77C9E"/>
    <w:rsid w:val="00C77E07"/>
    <w:rsid w:val="00C8002A"/>
    <w:rsid w:val="00C80CAC"/>
    <w:rsid w:val="00C81F40"/>
    <w:rsid w:val="00C81FB5"/>
    <w:rsid w:val="00C82313"/>
    <w:rsid w:val="00C824F6"/>
    <w:rsid w:val="00C82F49"/>
    <w:rsid w:val="00C83184"/>
    <w:rsid w:val="00C831EC"/>
    <w:rsid w:val="00C83389"/>
    <w:rsid w:val="00C834D5"/>
    <w:rsid w:val="00C839BB"/>
    <w:rsid w:val="00C8477B"/>
    <w:rsid w:val="00C850DC"/>
    <w:rsid w:val="00C85216"/>
    <w:rsid w:val="00C8522B"/>
    <w:rsid w:val="00C8741B"/>
    <w:rsid w:val="00C87603"/>
    <w:rsid w:val="00C87688"/>
    <w:rsid w:val="00C87AF5"/>
    <w:rsid w:val="00C87F14"/>
    <w:rsid w:val="00C87FE6"/>
    <w:rsid w:val="00C9010F"/>
    <w:rsid w:val="00C9017A"/>
    <w:rsid w:val="00C902AC"/>
    <w:rsid w:val="00C90DB8"/>
    <w:rsid w:val="00C91478"/>
    <w:rsid w:val="00C91890"/>
    <w:rsid w:val="00C922F4"/>
    <w:rsid w:val="00C924C8"/>
    <w:rsid w:val="00C92984"/>
    <w:rsid w:val="00C929BD"/>
    <w:rsid w:val="00C92D3C"/>
    <w:rsid w:val="00C93392"/>
    <w:rsid w:val="00C93D64"/>
    <w:rsid w:val="00C93F65"/>
    <w:rsid w:val="00C94342"/>
    <w:rsid w:val="00C94981"/>
    <w:rsid w:val="00C94B6F"/>
    <w:rsid w:val="00C94D5A"/>
    <w:rsid w:val="00C9553D"/>
    <w:rsid w:val="00C96619"/>
    <w:rsid w:val="00C96932"/>
    <w:rsid w:val="00C96C25"/>
    <w:rsid w:val="00C97925"/>
    <w:rsid w:val="00C97965"/>
    <w:rsid w:val="00C97B43"/>
    <w:rsid w:val="00C97F01"/>
    <w:rsid w:val="00C97F52"/>
    <w:rsid w:val="00CA160D"/>
    <w:rsid w:val="00CA16ED"/>
    <w:rsid w:val="00CA18F5"/>
    <w:rsid w:val="00CA2A41"/>
    <w:rsid w:val="00CA2CCA"/>
    <w:rsid w:val="00CA3265"/>
    <w:rsid w:val="00CA3E63"/>
    <w:rsid w:val="00CA481E"/>
    <w:rsid w:val="00CA4CB7"/>
    <w:rsid w:val="00CA4EBB"/>
    <w:rsid w:val="00CA4FC6"/>
    <w:rsid w:val="00CA4FDE"/>
    <w:rsid w:val="00CA52E2"/>
    <w:rsid w:val="00CA53C0"/>
    <w:rsid w:val="00CA589D"/>
    <w:rsid w:val="00CA6476"/>
    <w:rsid w:val="00CA6840"/>
    <w:rsid w:val="00CA70E5"/>
    <w:rsid w:val="00CA7437"/>
    <w:rsid w:val="00CA7827"/>
    <w:rsid w:val="00CB0611"/>
    <w:rsid w:val="00CB0816"/>
    <w:rsid w:val="00CB115E"/>
    <w:rsid w:val="00CB1517"/>
    <w:rsid w:val="00CB1562"/>
    <w:rsid w:val="00CB2166"/>
    <w:rsid w:val="00CB2503"/>
    <w:rsid w:val="00CB2B1B"/>
    <w:rsid w:val="00CB3D88"/>
    <w:rsid w:val="00CB3EE6"/>
    <w:rsid w:val="00CB4CE9"/>
    <w:rsid w:val="00CB658B"/>
    <w:rsid w:val="00CB685F"/>
    <w:rsid w:val="00CB6ADD"/>
    <w:rsid w:val="00CB6AE3"/>
    <w:rsid w:val="00CB738C"/>
    <w:rsid w:val="00CB7E4D"/>
    <w:rsid w:val="00CC0428"/>
    <w:rsid w:val="00CC0742"/>
    <w:rsid w:val="00CC0B37"/>
    <w:rsid w:val="00CC0C77"/>
    <w:rsid w:val="00CC0DCD"/>
    <w:rsid w:val="00CC13B1"/>
    <w:rsid w:val="00CC15D7"/>
    <w:rsid w:val="00CC15F9"/>
    <w:rsid w:val="00CC1F1C"/>
    <w:rsid w:val="00CC21F7"/>
    <w:rsid w:val="00CC2218"/>
    <w:rsid w:val="00CC24BB"/>
    <w:rsid w:val="00CC2C72"/>
    <w:rsid w:val="00CC2F35"/>
    <w:rsid w:val="00CC419D"/>
    <w:rsid w:val="00CC4272"/>
    <w:rsid w:val="00CC49F2"/>
    <w:rsid w:val="00CC4D5F"/>
    <w:rsid w:val="00CC4F32"/>
    <w:rsid w:val="00CC51C9"/>
    <w:rsid w:val="00CC5265"/>
    <w:rsid w:val="00CC57B1"/>
    <w:rsid w:val="00CC68C6"/>
    <w:rsid w:val="00CC6A13"/>
    <w:rsid w:val="00CC705D"/>
    <w:rsid w:val="00CC7752"/>
    <w:rsid w:val="00CC7F8B"/>
    <w:rsid w:val="00CD01A9"/>
    <w:rsid w:val="00CD01CC"/>
    <w:rsid w:val="00CD0689"/>
    <w:rsid w:val="00CD08EE"/>
    <w:rsid w:val="00CD0E47"/>
    <w:rsid w:val="00CD1052"/>
    <w:rsid w:val="00CD12FF"/>
    <w:rsid w:val="00CD1747"/>
    <w:rsid w:val="00CD1942"/>
    <w:rsid w:val="00CD1D5B"/>
    <w:rsid w:val="00CD1DA0"/>
    <w:rsid w:val="00CD232E"/>
    <w:rsid w:val="00CD23D4"/>
    <w:rsid w:val="00CD37DD"/>
    <w:rsid w:val="00CD3AE2"/>
    <w:rsid w:val="00CD3F85"/>
    <w:rsid w:val="00CD481D"/>
    <w:rsid w:val="00CD5193"/>
    <w:rsid w:val="00CD56CD"/>
    <w:rsid w:val="00CD577F"/>
    <w:rsid w:val="00CD5D4C"/>
    <w:rsid w:val="00CD607C"/>
    <w:rsid w:val="00CD61CC"/>
    <w:rsid w:val="00CD70DE"/>
    <w:rsid w:val="00CD76D5"/>
    <w:rsid w:val="00CD7825"/>
    <w:rsid w:val="00CD796C"/>
    <w:rsid w:val="00CD7F7A"/>
    <w:rsid w:val="00CE000D"/>
    <w:rsid w:val="00CE056F"/>
    <w:rsid w:val="00CE0EA5"/>
    <w:rsid w:val="00CE21EC"/>
    <w:rsid w:val="00CE2278"/>
    <w:rsid w:val="00CE542C"/>
    <w:rsid w:val="00CE5514"/>
    <w:rsid w:val="00CE5A07"/>
    <w:rsid w:val="00CE6291"/>
    <w:rsid w:val="00CE680C"/>
    <w:rsid w:val="00CE6FDD"/>
    <w:rsid w:val="00CE785F"/>
    <w:rsid w:val="00CE78B5"/>
    <w:rsid w:val="00CF031E"/>
    <w:rsid w:val="00CF035A"/>
    <w:rsid w:val="00CF0583"/>
    <w:rsid w:val="00CF08B5"/>
    <w:rsid w:val="00CF0DC9"/>
    <w:rsid w:val="00CF14AA"/>
    <w:rsid w:val="00CF236B"/>
    <w:rsid w:val="00CF2844"/>
    <w:rsid w:val="00CF290C"/>
    <w:rsid w:val="00CF2AAA"/>
    <w:rsid w:val="00CF2DE1"/>
    <w:rsid w:val="00CF3F00"/>
    <w:rsid w:val="00CF3F1F"/>
    <w:rsid w:val="00CF4D88"/>
    <w:rsid w:val="00CF5042"/>
    <w:rsid w:val="00CF5C16"/>
    <w:rsid w:val="00CF645A"/>
    <w:rsid w:val="00CF6B47"/>
    <w:rsid w:val="00CF6FDA"/>
    <w:rsid w:val="00CF70CE"/>
    <w:rsid w:val="00CF7353"/>
    <w:rsid w:val="00CF777F"/>
    <w:rsid w:val="00CF7914"/>
    <w:rsid w:val="00CF79F6"/>
    <w:rsid w:val="00D00D11"/>
    <w:rsid w:val="00D01C59"/>
    <w:rsid w:val="00D0254B"/>
    <w:rsid w:val="00D02686"/>
    <w:rsid w:val="00D02A6B"/>
    <w:rsid w:val="00D036D5"/>
    <w:rsid w:val="00D03C7E"/>
    <w:rsid w:val="00D046D5"/>
    <w:rsid w:val="00D04E5C"/>
    <w:rsid w:val="00D05B7C"/>
    <w:rsid w:val="00D06AEA"/>
    <w:rsid w:val="00D07847"/>
    <w:rsid w:val="00D07D59"/>
    <w:rsid w:val="00D07FA3"/>
    <w:rsid w:val="00D101E3"/>
    <w:rsid w:val="00D107C1"/>
    <w:rsid w:val="00D107D9"/>
    <w:rsid w:val="00D109CA"/>
    <w:rsid w:val="00D116DB"/>
    <w:rsid w:val="00D13101"/>
    <w:rsid w:val="00D137E2"/>
    <w:rsid w:val="00D13FC9"/>
    <w:rsid w:val="00D1458A"/>
    <w:rsid w:val="00D145D6"/>
    <w:rsid w:val="00D14767"/>
    <w:rsid w:val="00D14962"/>
    <w:rsid w:val="00D14ADB"/>
    <w:rsid w:val="00D1556D"/>
    <w:rsid w:val="00D156BE"/>
    <w:rsid w:val="00D15E55"/>
    <w:rsid w:val="00D16BA5"/>
    <w:rsid w:val="00D16EE2"/>
    <w:rsid w:val="00D17D82"/>
    <w:rsid w:val="00D17DDB"/>
    <w:rsid w:val="00D17F4F"/>
    <w:rsid w:val="00D20103"/>
    <w:rsid w:val="00D20A8B"/>
    <w:rsid w:val="00D20B95"/>
    <w:rsid w:val="00D20CF5"/>
    <w:rsid w:val="00D213B5"/>
    <w:rsid w:val="00D214B6"/>
    <w:rsid w:val="00D214FD"/>
    <w:rsid w:val="00D21542"/>
    <w:rsid w:val="00D21FD3"/>
    <w:rsid w:val="00D22026"/>
    <w:rsid w:val="00D221E4"/>
    <w:rsid w:val="00D22955"/>
    <w:rsid w:val="00D22AE0"/>
    <w:rsid w:val="00D22C5A"/>
    <w:rsid w:val="00D2306E"/>
    <w:rsid w:val="00D23326"/>
    <w:rsid w:val="00D23B8B"/>
    <w:rsid w:val="00D23D3E"/>
    <w:rsid w:val="00D24027"/>
    <w:rsid w:val="00D248B3"/>
    <w:rsid w:val="00D24AB7"/>
    <w:rsid w:val="00D25467"/>
    <w:rsid w:val="00D25B0D"/>
    <w:rsid w:val="00D25F0F"/>
    <w:rsid w:val="00D26481"/>
    <w:rsid w:val="00D26A8D"/>
    <w:rsid w:val="00D2714E"/>
    <w:rsid w:val="00D27193"/>
    <w:rsid w:val="00D27A01"/>
    <w:rsid w:val="00D27CBF"/>
    <w:rsid w:val="00D27CC6"/>
    <w:rsid w:val="00D30335"/>
    <w:rsid w:val="00D30BF5"/>
    <w:rsid w:val="00D30D97"/>
    <w:rsid w:val="00D31025"/>
    <w:rsid w:val="00D31478"/>
    <w:rsid w:val="00D31C2B"/>
    <w:rsid w:val="00D31DB6"/>
    <w:rsid w:val="00D322E1"/>
    <w:rsid w:val="00D329AF"/>
    <w:rsid w:val="00D32AD1"/>
    <w:rsid w:val="00D32F33"/>
    <w:rsid w:val="00D32FF1"/>
    <w:rsid w:val="00D33229"/>
    <w:rsid w:val="00D33531"/>
    <w:rsid w:val="00D33FFC"/>
    <w:rsid w:val="00D34138"/>
    <w:rsid w:val="00D344AB"/>
    <w:rsid w:val="00D3464E"/>
    <w:rsid w:val="00D348A3"/>
    <w:rsid w:val="00D34B3E"/>
    <w:rsid w:val="00D34D78"/>
    <w:rsid w:val="00D358B3"/>
    <w:rsid w:val="00D35C9A"/>
    <w:rsid w:val="00D36180"/>
    <w:rsid w:val="00D36973"/>
    <w:rsid w:val="00D4042E"/>
    <w:rsid w:val="00D4045B"/>
    <w:rsid w:val="00D405A7"/>
    <w:rsid w:val="00D4067C"/>
    <w:rsid w:val="00D406FC"/>
    <w:rsid w:val="00D40970"/>
    <w:rsid w:val="00D40DE2"/>
    <w:rsid w:val="00D40F25"/>
    <w:rsid w:val="00D40FF6"/>
    <w:rsid w:val="00D411AF"/>
    <w:rsid w:val="00D41AE7"/>
    <w:rsid w:val="00D41D77"/>
    <w:rsid w:val="00D41E2C"/>
    <w:rsid w:val="00D41E4A"/>
    <w:rsid w:val="00D41E54"/>
    <w:rsid w:val="00D4258A"/>
    <w:rsid w:val="00D42C9A"/>
    <w:rsid w:val="00D42E22"/>
    <w:rsid w:val="00D43026"/>
    <w:rsid w:val="00D43ABF"/>
    <w:rsid w:val="00D4438A"/>
    <w:rsid w:val="00D449D2"/>
    <w:rsid w:val="00D44C68"/>
    <w:rsid w:val="00D45261"/>
    <w:rsid w:val="00D460C9"/>
    <w:rsid w:val="00D468D3"/>
    <w:rsid w:val="00D473C5"/>
    <w:rsid w:val="00D4744E"/>
    <w:rsid w:val="00D479BC"/>
    <w:rsid w:val="00D50251"/>
    <w:rsid w:val="00D50285"/>
    <w:rsid w:val="00D50600"/>
    <w:rsid w:val="00D50956"/>
    <w:rsid w:val="00D509C6"/>
    <w:rsid w:val="00D50A1F"/>
    <w:rsid w:val="00D50A7C"/>
    <w:rsid w:val="00D50D7F"/>
    <w:rsid w:val="00D51728"/>
    <w:rsid w:val="00D51D9D"/>
    <w:rsid w:val="00D51E15"/>
    <w:rsid w:val="00D522BC"/>
    <w:rsid w:val="00D52512"/>
    <w:rsid w:val="00D52ECC"/>
    <w:rsid w:val="00D5347C"/>
    <w:rsid w:val="00D53943"/>
    <w:rsid w:val="00D53B9F"/>
    <w:rsid w:val="00D53ED6"/>
    <w:rsid w:val="00D54BEA"/>
    <w:rsid w:val="00D54D62"/>
    <w:rsid w:val="00D5517D"/>
    <w:rsid w:val="00D55458"/>
    <w:rsid w:val="00D55536"/>
    <w:rsid w:val="00D567CA"/>
    <w:rsid w:val="00D5726E"/>
    <w:rsid w:val="00D576CE"/>
    <w:rsid w:val="00D578A6"/>
    <w:rsid w:val="00D57A57"/>
    <w:rsid w:val="00D57D34"/>
    <w:rsid w:val="00D57F2A"/>
    <w:rsid w:val="00D60D31"/>
    <w:rsid w:val="00D60D79"/>
    <w:rsid w:val="00D613BE"/>
    <w:rsid w:val="00D615B6"/>
    <w:rsid w:val="00D617F7"/>
    <w:rsid w:val="00D62427"/>
    <w:rsid w:val="00D62AFA"/>
    <w:rsid w:val="00D63237"/>
    <w:rsid w:val="00D63BCA"/>
    <w:rsid w:val="00D63D34"/>
    <w:rsid w:val="00D64A97"/>
    <w:rsid w:val="00D64F35"/>
    <w:rsid w:val="00D6608F"/>
    <w:rsid w:val="00D662F9"/>
    <w:rsid w:val="00D6642C"/>
    <w:rsid w:val="00D6649C"/>
    <w:rsid w:val="00D66706"/>
    <w:rsid w:val="00D668C8"/>
    <w:rsid w:val="00D66CD3"/>
    <w:rsid w:val="00D66CEE"/>
    <w:rsid w:val="00D66F7A"/>
    <w:rsid w:val="00D6791C"/>
    <w:rsid w:val="00D67ABB"/>
    <w:rsid w:val="00D67EC6"/>
    <w:rsid w:val="00D701E7"/>
    <w:rsid w:val="00D707A0"/>
    <w:rsid w:val="00D70A28"/>
    <w:rsid w:val="00D70A99"/>
    <w:rsid w:val="00D70B49"/>
    <w:rsid w:val="00D712DF"/>
    <w:rsid w:val="00D72084"/>
    <w:rsid w:val="00D722C6"/>
    <w:rsid w:val="00D7262C"/>
    <w:rsid w:val="00D73983"/>
    <w:rsid w:val="00D73A58"/>
    <w:rsid w:val="00D73C79"/>
    <w:rsid w:val="00D74111"/>
    <w:rsid w:val="00D741BA"/>
    <w:rsid w:val="00D742F4"/>
    <w:rsid w:val="00D743F8"/>
    <w:rsid w:val="00D748CB"/>
    <w:rsid w:val="00D74CB6"/>
    <w:rsid w:val="00D75B2D"/>
    <w:rsid w:val="00D76023"/>
    <w:rsid w:val="00D76220"/>
    <w:rsid w:val="00D7630F"/>
    <w:rsid w:val="00D771D2"/>
    <w:rsid w:val="00D777A2"/>
    <w:rsid w:val="00D77B11"/>
    <w:rsid w:val="00D77DC9"/>
    <w:rsid w:val="00D77E01"/>
    <w:rsid w:val="00D8033D"/>
    <w:rsid w:val="00D806C2"/>
    <w:rsid w:val="00D80811"/>
    <w:rsid w:val="00D80C2E"/>
    <w:rsid w:val="00D80F9F"/>
    <w:rsid w:val="00D8134B"/>
    <w:rsid w:val="00D81380"/>
    <w:rsid w:val="00D815AF"/>
    <w:rsid w:val="00D81811"/>
    <w:rsid w:val="00D81CC1"/>
    <w:rsid w:val="00D8256E"/>
    <w:rsid w:val="00D83867"/>
    <w:rsid w:val="00D838C6"/>
    <w:rsid w:val="00D83B1A"/>
    <w:rsid w:val="00D83E05"/>
    <w:rsid w:val="00D83F65"/>
    <w:rsid w:val="00D84824"/>
    <w:rsid w:val="00D8515B"/>
    <w:rsid w:val="00D85458"/>
    <w:rsid w:val="00D85A9E"/>
    <w:rsid w:val="00D85AF8"/>
    <w:rsid w:val="00D85EE4"/>
    <w:rsid w:val="00D8600F"/>
    <w:rsid w:val="00D8666B"/>
    <w:rsid w:val="00D86817"/>
    <w:rsid w:val="00D875E9"/>
    <w:rsid w:val="00D879B4"/>
    <w:rsid w:val="00D87ED7"/>
    <w:rsid w:val="00D900B5"/>
    <w:rsid w:val="00D9014E"/>
    <w:rsid w:val="00D90336"/>
    <w:rsid w:val="00D907FF"/>
    <w:rsid w:val="00D90879"/>
    <w:rsid w:val="00D90A44"/>
    <w:rsid w:val="00D90D56"/>
    <w:rsid w:val="00D90DD8"/>
    <w:rsid w:val="00D90FE7"/>
    <w:rsid w:val="00D9125B"/>
    <w:rsid w:val="00D91745"/>
    <w:rsid w:val="00D9296D"/>
    <w:rsid w:val="00D92AC9"/>
    <w:rsid w:val="00D92D74"/>
    <w:rsid w:val="00D931A8"/>
    <w:rsid w:val="00D9376D"/>
    <w:rsid w:val="00D939BC"/>
    <w:rsid w:val="00D93C62"/>
    <w:rsid w:val="00D93F01"/>
    <w:rsid w:val="00D94B66"/>
    <w:rsid w:val="00D95A85"/>
    <w:rsid w:val="00D95FA5"/>
    <w:rsid w:val="00D9630B"/>
    <w:rsid w:val="00D963F4"/>
    <w:rsid w:val="00D97B4D"/>
    <w:rsid w:val="00D97BE6"/>
    <w:rsid w:val="00D97E11"/>
    <w:rsid w:val="00DA01AF"/>
    <w:rsid w:val="00DA1A00"/>
    <w:rsid w:val="00DA1ADA"/>
    <w:rsid w:val="00DA1DBE"/>
    <w:rsid w:val="00DA2466"/>
    <w:rsid w:val="00DA26B9"/>
    <w:rsid w:val="00DA2908"/>
    <w:rsid w:val="00DA3DB6"/>
    <w:rsid w:val="00DA41EC"/>
    <w:rsid w:val="00DA491D"/>
    <w:rsid w:val="00DA4942"/>
    <w:rsid w:val="00DA52BF"/>
    <w:rsid w:val="00DA5571"/>
    <w:rsid w:val="00DA55BE"/>
    <w:rsid w:val="00DA595F"/>
    <w:rsid w:val="00DA5BC6"/>
    <w:rsid w:val="00DA5F29"/>
    <w:rsid w:val="00DA65E9"/>
    <w:rsid w:val="00DA6CA0"/>
    <w:rsid w:val="00DA6FD6"/>
    <w:rsid w:val="00DA7200"/>
    <w:rsid w:val="00DA73DC"/>
    <w:rsid w:val="00DA7618"/>
    <w:rsid w:val="00DB0614"/>
    <w:rsid w:val="00DB16A2"/>
    <w:rsid w:val="00DB18F3"/>
    <w:rsid w:val="00DB1952"/>
    <w:rsid w:val="00DB1ECF"/>
    <w:rsid w:val="00DB244B"/>
    <w:rsid w:val="00DB24E1"/>
    <w:rsid w:val="00DB258D"/>
    <w:rsid w:val="00DB26B9"/>
    <w:rsid w:val="00DB28DD"/>
    <w:rsid w:val="00DB2C48"/>
    <w:rsid w:val="00DB2DF9"/>
    <w:rsid w:val="00DB3B2B"/>
    <w:rsid w:val="00DB4454"/>
    <w:rsid w:val="00DB46DD"/>
    <w:rsid w:val="00DB4793"/>
    <w:rsid w:val="00DB4AB8"/>
    <w:rsid w:val="00DB4DE0"/>
    <w:rsid w:val="00DB518A"/>
    <w:rsid w:val="00DB54C9"/>
    <w:rsid w:val="00DB5722"/>
    <w:rsid w:val="00DB649C"/>
    <w:rsid w:val="00DB65BC"/>
    <w:rsid w:val="00DB6C11"/>
    <w:rsid w:val="00DB6CEC"/>
    <w:rsid w:val="00DB6E92"/>
    <w:rsid w:val="00DB6F5D"/>
    <w:rsid w:val="00DC09A6"/>
    <w:rsid w:val="00DC0D09"/>
    <w:rsid w:val="00DC0DFE"/>
    <w:rsid w:val="00DC12FC"/>
    <w:rsid w:val="00DC2109"/>
    <w:rsid w:val="00DC28CF"/>
    <w:rsid w:val="00DC3249"/>
    <w:rsid w:val="00DC3645"/>
    <w:rsid w:val="00DC3C3B"/>
    <w:rsid w:val="00DC4360"/>
    <w:rsid w:val="00DC437B"/>
    <w:rsid w:val="00DC471A"/>
    <w:rsid w:val="00DC474E"/>
    <w:rsid w:val="00DC50FD"/>
    <w:rsid w:val="00DC528A"/>
    <w:rsid w:val="00DC58C4"/>
    <w:rsid w:val="00DC6574"/>
    <w:rsid w:val="00DC746A"/>
    <w:rsid w:val="00DD0671"/>
    <w:rsid w:val="00DD07DF"/>
    <w:rsid w:val="00DD0CEB"/>
    <w:rsid w:val="00DD0DB8"/>
    <w:rsid w:val="00DD11C0"/>
    <w:rsid w:val="00DD14F9"/>
    <w:rsid w:val="00DD1BDA"/>
    <w:rsid w:val="00DD1D2A"/>
    <w:rsid w:val="00DD2811"/>
    <w:rsid w:val="00DD2A83"/>
    <w:rsid w:val="00DD39BC"/>
    <w:rsid w:val="00DD3B6D"/>
    <w:rsid w:val="00DD3E28"/>
    <w:rsid w:val="00DD3EEF"/>
    <w:rsid w:val="00DD413E"/>
    <w:rsid w:val="00DD49B2"/>
    <w:rsid w:val="00DD4CC7"/>
    <w:rsid w:val="00DD52D6"/>
    <w:rsid w:val="00DD5913"/>
    <w:rsid w:val="00DD5B64"/>
    <w:rsid w:val="00DD60FA"/>
    <w:rsid w:val="00DD643F"/>
    <w:rsid w:val="00DD6B4C"/>
    <w:rsid w:val="00DD7440"/>
    <w:rsid w:val="00DD797D"/>
    <w:rsid w:val="00DE0324"/>
    <w:rsid w:val="00DE061F"/>
    <w:rsid w:val="00DE068B"/>
    <w:rsid w:val="00DE0B29"/>
    <w:rsid w:val="00DE12A0"/>
    <w:rsid w:val="00DE1BB3"/>
    <w:rsid w:val="00DE287A"/>
    <w:rsid w:val="00DE28A8"/>
    <w:rsid w:val="00DE2CD8"/>
    <w:rsid w:val="00DE2E57"/>
    <w:rsid w:val="00DE30DA"/>
    <w:rsid w:val="00DE345A"/>
    <w:rsid w:val="00DE39E7"/>
    <w:rsid w:val="00DE3E40"/>
    <w:rsid w:val="00DE3EF1"/>
    <w:rsid w:val="00DE4587"/>
    <w:rsid w:val="00DE5084"/>
    <w:rsid w:val="00DE50E3"/>
    <w:rsid w:val="00DE5993"/>
    <w:rsid w:val="00DE617A"/>
    <w:rsid w:val="00DE76B9"/>
    <w:rsid w:val="00DF01F1"/>
    <w:rsid w:val="00DF0288"/>
    <w:rsid w:val="00DF0E5E"/>
    <w:rsid w:val="00DF11C6"/>
    <w:rsid w:val="00DF27B8"/>
    <w:rsid w:val="00DF2DAD"/>
    <w:rsid w:val="00DF2DB6"/>
    <w:rsid w:val="00DF2FEE"/>
    <w:rsid w:val="00DF301B"/>
    <w:rsid w:val="00DF3269"/>
    <w:rsid w:val="00DF3F90"/>
    <w:rsid w:val="00DF4149"/>
    <w:rsid w:val="00DF4156"/>
    <w:rsid w:val="00DF42FD"/>
    <w:rsid w:val="00DF44BE"/>
    <w:rsid w:val="00DF468A"/>
    <w:rsid w:val="00DF4F42"/>
    <w:rsid w:val="00DF4FDD"/>
    <w:rsid w:val="00DF546F"/>
    <w:rsid w:val="00DF5974"/>
    <w:rsid w:val="00DF5AD7"/>
    <w:rsid w:val="00DF5CE2"/>
    <w:rsid w:val="00DF5E58"/>
    <w:rsid w:val="00DF6441"/>
    <w:rsid w:val="00DF6590"/>
    <w:rsid w:val="00DF6784"/>
    <w:rsid w:val="00DF7078"/>
    <w:rsid w:val="00E00459"/>
    <w:rsid w:val="00E00B3E"/>
    <w:rsid w:val="00E00B46"/>
    <w:rsid w:val="00E0149A"/>
    <w:rsid w:val="00E0150C"/>
    <w:rsid w:val="00E01549"/>
    <w:rsid w:val="00E01CCF"/>
    <w:rsid w:val="00E01EAB"/>
    <w:rsid w:val="00E022D1"/>
    <w:rsid w:val="00E02B57"/>
    <w:rsid w:val="00E02B6E"/>
    <w:rsid w:val="00E02C17"/>
    <w:rsid w:val="00E02F36"/>
    <w:rsid w:val="00E0323C"/>
    <w:rsid w:val="00E0328D"/>
    <w:rsid w:val="00E03F1A"/>
    <w:rsid w:val="00E04288"/>
    <w:rsid w:val="00E04303"/>
    <w:rsid w:val="00E04E0B"/>
    <w:rsid w:val="00E04F78"/>
    <w:rsid w:val="00E0508E"/>
    <w:rsid w:val="00E05527"/>
    <w:rsid w:val="00E05540"/>
    <w:rsid w:val="00E059A5"/>
    <w:rsid w:val="00E05A3D"/>
    <w:rsid w:val="00E05C04"/>
    <w:rsid w:val="00E05E21"/>
    <w:rsid w:val="00E05F43"/>
    <w:rsid w:val="00E06516"/>
    <w:rsid w:val="00E06747"/>
    <w:rsid w:val="00E0696D"/>
    <w:rsid w:val="00E06DBD"/>
    <w:rsid w:val="00E06E62"/>
    <w:rsid w:val="00E07151"/>
    <w:rsid w:val="00E07D2D"/>
    <w:rsid w:val="00E07D87"/>
    <w:rsid w:val="00E1027C"/>
    <w:rsid w:val="00E10288"/>
    <w:rsid w:val="00E10790"/>
    <w:rsid w:val="00E10E38"/>
    <w:rsid w:val="00E10F94"/>
    <w:rsid w:val="00E1152D"/>
    <w:rsid w:val="00E11CF6"/>
    <w:rsid w:val="00E12943"/>
    <w:rsid w:val="00E12D4F"/>
    <w:rsid w:val="00E136DF"/>
    <w:rsid w:val="00E141E5"/>
    <w:rsid w:val="00E14503"/>
    <w:rsid w:val="00E14621"/>
    <w:rsid w:val="00E14B08"/>
    <w:rsid w:val="00E14E2B"/>
    <w:rsid w:val="00E15070"/>
    <w:rsid w:val="00E1624A"/>
    <w:rsid w:val="00E1693D"/>
    <w:rsid w:val="00E16C3F"/>
    <w:rsid w:val="00E16E9A"/>
    <w:rsid w:val="00E170BE"/>
    <w:rsid w:val="00E1723F"/>
    <w:rsid w:val="00E17322"/>
    <w:rsid w:val="00E1742D"/>
    <w:rsid w:val="00E17D46"/>
    <w:rsid w:val="00E20708"/>
    <w:rsid w:val="00E20F40"/>
    <w:rsid w:val="00E20F68"/>
    <w:rsid w:val="00E212C4"/>
    <w:rsid w:val="00E2182A"/>
    <w:rsid w:val="00E21D12"/>
    <w:rsid w:val="00E22F38"/>
    <w:rsid w:val="00E2321F"/>
    <w:rsid w:val="00E23B6E"/>
    <w:rsid w:val="00E24104"/>
    <w:rsid w:val="00E2493F"/>
    <w:rsid w:val="00E25090"/>
    <w:rsid w:val="00E2651F"/>
    <w:rsid w:val="00E265B2"/>
    <w:rsid w:val="00E27C77"/>
    <w:rsid w:val="00E3036A"/>
    <w:rsid w:val="00E30659"/>
    <w:rsid w:val="00E3074F"/>
    <w:rsid w:val="00E30B4D"/>
    <w:rsid w:val="00E31FD5"/>
    <w:rsid w:val="00E3392B"/>
    <w:rsid w:val="00E339EF"/>
    <w:rsid w:val="00E33BBF"/>
    <w:rsid w:val="00E34285"/>
    <w:rsid w:val="00E345FE"/>
    <w:rsid w:val="00E34C24"/>
    <w:rsid w:val="00E357CE"/>
    <w:rsid w:val="00E35F10"/>
    <w:rsid w:val="00E36035"/>
    <w:rsid w:val="00E36098"/>
    <w:rsid w:val="00E36276"/>
    <w:rsid w:val="00E364FD"/>
    <w:rsid w:val="00E3667E"/>
    <w:rsid w:val="00E36BFE"/>
    <w:rsid w:val="00E37A0C"/>
    <w:rsid w:val="00E37DB1"/>
    <w:rsid w:val="00E404A2"/>
    <w:rsid w:val="00E40A70"/>
    <w:rsid w:val="00E4121F"/>
    <w:rsid w:val="00E41946"/>
    <w:rsid w:val="00E41D9C"/>
    <w:rsid w:val="00E42859"/>
    <w:rsid w:val="00E42F25"/>
    <w:rsid w:val="00E438E1"/>
    <w:rsid w:val="00E44590"/>
    <w:rsid w:val="00E44A24"/>
    <w:rsid w:val="00E4553A"/>
    <w:rsid w:val="00E455CC"/>
    <w:rsid w:val="00E45861"/>
    <w:rsid w:val="00E461BA"/>
    <w:rsid w:val="00E46C0C"/>
    <w:rsid w:val="00E4783E"/>
    <w:rsid w:val="00E47C62"/>
    <w:rsid w:val="00E47D39"/>
    <w:rsid w:val="00E509B9"/>
    <w:rsid w:val="00E51032"/>
    <w:rsid w:val="00E5134C"/>
    <w:rsid w:val="00E5199B"/>
    <w:rsid w:val="00E51CFC"/>
    <w:rsid w:val="00E52941"/>
    <w:rsid w:val="00E52AB4"/>
    <w:rsid w:val="00E52DE2"/>
    <w:rsid w:val="00E532BF"/>
    <w:rsid w:val="00E546FA"/>
    <w:rsid w:val="00E55484"/>
    <w:rsid w:val="00E554D8"/>
    <w:rsid w:val="00E5550A"/>
    <w:rsid w:val="00E5643A"/>
    <w:rsid w:val="00E568D4"/>
    <w:rsid w:val="00E56A2D"/>
    <w:rsid w:val="00E56C41"/>
    <w:rsid w:val="00E56FFD"/>
    <w:rsid w:val="00E6042C"/>
    <w:rsid w:val="00E6082D"/>
    <w:rsid w:val="00E6166B"/>
    <w:rsid w:val="00E617BA"/>
    <w:rsid w:val="00E6185D"/>
    <w:rsid w:val="00E61B8C"/>
    <w:rsid w:val="00E6207D"/>
    <w:rsid w:val="00E620C6"/>
    <w:rsid w:val="00E620ED"/>
    <w:rsid w:val="00E62156"/>
    <w:rsid w:val="00E63149"/>
    <w:rsid w:val="00E631D0"/>
    <w:rsid w:val="00E63374"/>
    <w:rsid w:val="00E63997"/>
    <w:rsid w:val="00E63BB1"/>
    <w:rsid w:val="00E6403F"/>
    <w:rsid w:val="00E645D2"/>
    <w:rsid w:val="00E646C9"/>
    <w:rsid w:val="00E6490A"/>
    <w:rsid w:val="00E64CE8"/>
    <w:rsid w:val="00E64DB3"/>
    <w:rsid w:val="00E65061"/>
    <w:rsid w:val="00E65DA7"/>
    <w:rsid w:val="00E661F6"/>
    <w:rsid w:val="00E66EC0"/>
    <w:rsid w:val="00E67105"/>
    <w:rsid w:val="00E673F0"/>
    <w:rsid w:val="00E675BE"/>
    <w:rsid w:val="00E7020B"/>
    <w:rsid w:val="00E707E0"/>
    <w:rsid w:val="00E70A0F"/>
    <w:rsid w:val="00E70E10"/>
    <w:rsid w:val="00E710A9"/>
    <w:rsid w:val="00E711F9"/>
    <w:rsid w:val="00E7173E"/>
    <w:rsid w:val="00E71A42"/>
    <w:rsid w:val="00E71B3D"/>
    <w:rsid w:val="00E71CEC"/>
    <w:rsid w:val="00E72427"/>
    <w:rsid w:val="00E72B89"/>
    <w:rsid w:val="00E72F36"/>
    <w:rsid w:val="00E72F67"/>
    <w:rsid w:val="00E735F7"/>
    <w:rsid w:val="00E737D6"/>
    <w:rsid w:val="00E73C28"/>
    <w:rsid w:val="00E74C28"/>
    <w:rsid w:val="00E755F3"/>
    <w:rsid w:val="00E7568F"/>
    <w:rsid w:val="00E75813"/>
    <w:rsid w:val="00E75B4D"/>
    <w:rsid w:val="00E762ED"/>
    <w:rsid w:val="00E764E7"/>
    <w:rsid w:val="00E76D04"/>
    <w:rsid w:val="00E774FA"/>
    <w:rsid w:val="00E77B6E"/>
    <w:rsid w:val="00E77D91"/>
    <w:rsid w:val="00E8034E"/>
    <w:rsid w:val="00E80531"/>
    <w:rsid w:val="00E80899"/>
    <w:rsid w:val="00E80C4C"/>
    <w:rsid w:val="00E80FEC"/>
    <w:rsid w:val="00E81755"/>
    <w:rsid w:val="00E81C06"/>
    <w:rsid w:val="00E823B5"/>
    <w:rsid w:val="00E82812"/>
    <w:rsid w:val="00E82EBA"/>
    <w:rsid w:val="00E831EE"/>
    <w:rsid w:val="00E83316"/>
    <w:rsid w:val="00E8396A"/>
    <w:rsid w:val="00E83D81"/>
    <w:rsid w:val="00E8437D"/>
    <w:rsid w:val="00E843AF"/>
    <w:rsid w:val="00E8456C"/>
    <w:rsid w:val="00E845D0"/>
    <w:rsid w:val="00E8494B"/>
    <w:rsid w:val="00E85A6D"/>
    <w:rsid w:val="00E85BB7"/>
    <w:rsid w:val="00E85C2D"/>
    <w:rsid w:val="00E864C5"/>
    <w:rsid w:val="00E8658A"/>
    <w:rsid w:val="00E8666E"/>
    <w:rsid w:val="00E86B1F"/>
    <w:rsid w:val="00E87767"/>
    <w:rsid w:val="00E87A01"/>
    <w:rsid w:val="00E87F41"/>
    <w:rsid w:val="00E90982"/>
    <w:rsid w:val="00E91195"/>
    <w:rsid w:val="00E91518"/>
    <w:rsid w:val="00E91A50"/>
    <w:rsid w:val="00E91F14"/>
    <w:rsid w:val="00E92365"/>
    <w:rsid w:val="00E9314D"/>
    <w:rsid w:val="00E9331D"/>
    <w:rsid w:val="00E944EE"/>
    <w:rsid w:val="00E94672"/>
    <w:rsid w:val="00E94E91"/>
    <w:rsid w:val="00E94F49"/>
    <w:rsid w:val="00E95138"/>
    <w:rsid w:val="00E953EF"/>
    <w:rsid w:val="00E95907"/>
    <w:rsid w:val="00E95AD8"/>
    <w:rsid w:val="00E96A3A"/>
    <w:rsid w:val="00E97006"/>
    <w:rsid w:val="00E97106"/>
    <w:rsid w:val="00E977FF"/>
    <w:rsid w:val="00E97A7E"/>
    <w:rsid w:val="00EA01F1"/>
    <w:rsid w:val="00EA0C08"/>
    <w:rsid w:val="00EA143C"/>
    <w:rsid w:val="00EA15DE"/>
    <w:rsid w:val="00EA33DF"/>
    <w:rsid w:val="00EA37BC"/>
    <w:rsid w:val="00EA3BB1"/>
    <w:rsid w:val="00EA3ECC"/>
    <w:rsid w:val="00EA49E4"/>
    <w:rsid w:val="00EA4A2F"/>
    <w:rsid w:val="00EA5ECE"/>
    <w:rsid w:val="00EA6284"/>
    <w:rsid w:val="00EA635E"/>
    <w:rsid w:val="00EA64FC"/>
    <w:rsid w:val="00EA6AE7"/>
    <w:rsid w:val="00EA6BEB"/>
    <w:rsid w:val="00EA6C01"/>
    <w:rsid w:val="00EA70B3"/>
    <w:rsid w:val="00EA7701"/>
    <w:rsid w:val="00EB0330"/>
    <w:rsid w:val="00EB06D3"/>
    <w:rsid w:val="00EB1159"/>
    <w:rsid w:val="00EB11A8"/>
    <w:rsid w:val="00EB11B5"/>
    <w:rsid w:val="00EB11FA"/>
    <w:rsid w:val="00EB2957"/>
    <w:rsid w:val="00EB2E6B"/>
    <w:rsid w:val="00EB2E92"/>
    <w:rsid w:val="00EB329F"/>
    <w:rsid w:val="00EB39FF"/>
    <w:rsid w:val="00EB3A6A"/>
    <w:rsid w:val="00EB3AD1"/>
    <w:rsid w:val="00EB419B"/>
    <w:rsid w:val="00EB48BC"/>
    <w:rsid w:val="00EB5322"/>
    <w:rsid w:val="00EB55F6"/>
    <w:rsid w:val="00EB69EA"/>
    <w:rsid w:val="00EB6BFD"/>
    <w:rsid w:val="00EB6C59"/>
    <w:rsid w:val="00EB6D12"/>
    <w:rsid w:val="00EB7199"/>
    <w:rsid w:val="00EB75CA"/>
    <w:rsid w:val="00EB7DEE"/>
    <w:rsid w:val="00EB7E3B"/>
    <w:rsid w:val="00EC02CE"/>
    <w:rsid w:val="00EC06CA"/>
    <w:rsid w:val="00EC09D0"/>
    <w:rsid w:val="00EC0A8F"/>
    <w:rsid w:val="00EC0FEC"/>
    <w:rsid w:val="00EC11F5"/>
    <w:rsid w:val="00EC162C"/>
    <w:rsid w:val="00EC1A48"/>
    <w:rsid w:val="00EC20F5"/>
    <w:rsid w:val="00EC2408"/>
    <w:rsid w:val="00EC26F8"/>
    <w:rsid w:val="00EC26FF"/>
    <w:rsid w:val="00EC2DD2"/>
    <w:rsid w:val="00EC30E4"/>
    <w:rsid w:val="00EC314A"/>
    <w:rsid w:val="00EC34F3"/>
    <w:rsid w:val="00EC3E92"/>
    <w:rsid w:val="00EC413B"/>
    <w:rsid w:val="00EC42D5"/>
    <w:rsid w:val="00EC4320"/>
    <w:rsid w:val="00EC4673"/>
    <w:rsid w:val="00EC4FB1"/>
    <w:rsid w:val="00EC51EA"/>
    <w:rsid w:val="00EC5B36"/>
    <w:rsid w:val="00EC5BC9"/>
    <w:rsid w:val="00EC6950"/>
    <w:rsid w:val="00EC6E46"/>
    <w:rsid w:val="00EC6ECE"/>
    <w:rsid w:val="00EC6F41"/>
    <w:rsid w:val="00EC770E"/>
    <w:rsid w:val="00ED07A1"/>
    <w:rsid w:val="00ED108B"/>
    <w:rsid w:val="00ED1FCB"/>
    <w:rsid w:val="00ED226A"/>
    <w:rsid w:val="00ED2387"/>
    <w:rsid w:val="00ED29C4"/>
    <w:rsid w:val="00ED2CCD"/>
    <w:rsid w:val="00ED2F80"/>
    <w:rsid w:val="00ED2F97"/>
    <w:rsid w:val="00ED3395"/>
    <w:rsid w:val="00ED3B9D"/>
    <w:rsid w:val="00ED4EA3"/>
    <w:rsid w:val="00ED5AFA"/>
    <w:rsid w:val="00ED62CE"/>
    <w:rsid w:val="00ED66D5"/>
    <w:rsid w:val="00ED68A1"/>
    <w:rsid w:val="00ED6A0C"/>
    <w:rsid w:val="00ED76F2"/>
    <w:rsid w:val="00ED7839"/>
    <w:rsid w:val="00ED7C8B"/>
    <w:rsid w:val="00ED7E08"/>
    <w:rsid w:val="00ED7E66"/>
    <w:rsid w:val="00EE0898"/>
    <w:rsid w:val="00EE091A"/>
    <w:rsid w:val="00EE0EDE"/>
    <w:rsid w:val="00EE1419"/>
    <w:rsid w:val="00EE15A5"/>
    <w:rsid w:val="00EE1D37"/>
    <w:rsid w:val="00EE2718"/>
    <w:rsid w:val="00EE2C42"/>
    <w:rsid w:val="00EE3023"/>
    <w:rsid w:val="00EE3086"/>
    <w:rsid w:val="00EE3264"/>
    <w:rsid w:val="00EE3A4B"/>
    <w:rsid w:val="00EE40EC"/>
    <w:rsid w:val="00EE4183"/>
    <w:rsid w:val="00EE44A9"/>
    <w:rsid w:val="00EE4E0B"/>
    <w:rsid w:val="00EE5015"/>
    <w:rsid w:val="00EE52CE"/>
    <w:rsid w:val="00EE5548"/>
    <w:rsid w:val="00EE5E27"/>
    <w:rsid w:val="00EE5E51"/>
    <w:rsid w:val="00EE5F0C"/>
    <w:rsid w:val="00EE60CD"/>
    <w:rsid w:val="00EE60E9"/>
    <w:rsid w:val="00EE6220"/>
    <w:rsid w:val="00EE68A8"/>
    <w:rsid w:val="00EE740B"/>
    <w:rsid w:val="00EE74CC"/>
    <w:rsid w:val="00EF02A0"/>
    <w:rsid w:val="00EF062E"/>
    <w:rsid w:val="00EF08BB"/>
    <w:rsid w:val="00EF0F6D"/>
    <w:rsid w:val="00EF0FEE"/>
    <w:rsid w:val="00EF1C91"/>
    <w:rsid w:val="00EF23E1"/>
    <w:rsid w:val="00EF2992"/>
    <w:rsid w:val="00EF2E12"/>
    <w:rsid w:val="00EF2E65"/>
    <w:rsid w:val="00EF3012"/>
    <w:rsid w:val="00EF313E"/>
    <w:rsid w:val="00EF3795"/>
    <w:rsid w:val="00EF3BC6"/>
    <w:rsid w:val="00EF3CBB"/>
    <w:rsid w:val="00EF3D8C"/>
    <w:rsid w:val="00EF4114"/>
    <w:rsid w:val="00EF44A2"/>
    <w:rsid w:val="00EF453E"/>
    <w:rsid w:val="00EF4777"/>
    <w:rsid w:val="00EF4B51"/>
    <w:rsid w:val="00EF4C43"/>
    <w:rsid w:val="00EF4E06"/>
    <w:rsid w:val="00EF516B"/>
    <w:rsid w:val="00EF5411"/>
    <w:rsid w:val="00EF5C8E"/>
    <w:rsid w:val="00EF61E7"/>
    <w:rsid w:val="00EF63EA"/>
    <w:rsid w:val="00EF6EA7"/>
    <w:rsid w:val="00EF70A2"/>
    <w:rsid w:val="00EF7546"/>
    <w:rsid w:val="00EF77B2"/>
    <w:rsid w:val="00EF7A36"/>
    <w:rsid w:val="00EF7B0B"/>
    <w:rsid w:val="00EF7C2E"/>
    <w:rsid w:val="00EF7E04"/>
    <w:rsid w:val="00F001DC"/>
    <w:rsid w:val="00F00493"/>
    <w:rsid w:val="00F004E6"/>
    <w:rsid w:val="00F00694"/>
    <w:rsid w:val="00F00B34"/>
    <w:rsid w:val="00F00D40"/>
    <w:rsid w:val="00F01309"/>
    <w:rsid w:val="00F02042"/>
    <w:rsid w:val="00F020D6"/>
    <w:rsid w:val="00F02319"/>
    <w:rsid w:val="00F03C69"/>
    <w:rsid w:val="00F03F79"/>
    <w:rsid w:val="00F04C16"/>
    <w:rsid w:val="00F052CD"/>
    <w:rsid w:val="00F05533"/>
    <w:rsid w:val="00F05927"/>
    <w:rsid w:val="00F05DE6"/>
    <w:rsid w:val="00F06582"/>
    <w:rsid w:val="00F06C01"/>
    <w:rsid w:val="00F06C91"/>
    <w:rsid w:val="00F10206"/>
    <w:rsid w:val="00F104E2"/>
    <w:rsid w:val="00F10637"/>
    <w:rsid w:val="00F10A3C"/>
    <w:rsid w:val="00F1195A"/>
    <w:rsid w:val="00F130A8"/>
    <w:rsid w:val="00F136C4"/>
    <w:rsid w:val="00F13CD2"/>
    <w:rsid w:val="00F143C0"/>
    <w:rsid w:val="00F14A5C"/>
    <w:rsid w:val="00F14BB6"/>
    <w:rsid w:val="00F15220"/>
    <w:rsid w:val="00F152BD"/>
    <w:rsid w:val="00F15806"/>
    <w:rsid w:val="00F163EE"/>
    <w:rsid w:val="00F16451"/>
    <w:rsid w:val="00F166C1"/>
    <w:rsid w:val="00F17578"/>
    <w:rsid w:val="00F178E0"/>
    <w:rsid w:val="00F17AEA"/>
    <w:rsid w:val="00F17D81"/>
    <w:rsid w:val="00F208D2"/>
    <w:rsid w:val="00F20B3A"/>
    <w:rsid w:val="00F20CA3"/>
    <w:rsid w:val="00F20F31"/>
    <w:rsid w:val="00F214EA"/>
    <w:rsid w:val="00F219C6"/>
    <w:rsid w:val="00F21B2A"/>
    <w:rsid w:val="00F21F28"/>
    <w:rsid w:val="00F22112"/>
    <w:rsid w:val="00F227B4"/>
    <w:rsid w:val="00F22D71"/>
    <w:rsid w:val="00F22F0B"/>
    <w:rsid w:val="00F2313D"/>
    <w:rsid w:val="00F233F5"/>
    <w:rsid w:val="00F23915"/>
    <w:rsid w:val="00F23EA6"/>
    <w:rsid w:val="00F242EC"/>
    <w:rsid w:val="00F242FE"/>
    <w:rsid w:val="00F24406"/>
    <w:rsid w:val="00F25253"/>
    <w:rsid w:val="00F25789"/>
    <w:rsid w:val="00F25E7A"/>
    <w:rsid w:val="00F270F0"/>
    <w:rsid w:val="00F27B07"/>
    <w:rsid w:val="00F30E65"/>
    <w:rsid w:val="00F31074"/>
    <w:rsid w:val="00F31A57"/>
    <w:rsid w:val="00F31D05"/>
    <w:rsid w:val="00F321CD"/>
    <w:rsid w:val="00F323D4"/>
    <w:rsid w:val="00F3255F"/>
    <w:rsid w:val="00F327AD"/>
    <w:rsid w:val="00F32B3C"/>
    <w:rsid w:val="00F32E29"/>
    <w:rsid w:val="00F33164"/>
    <w:rsid w:val="00F33257"/>
    <w:rsid w:val="00F335D6"/>
    <w:rsid w:val="00F338FA"/>
    <w:rsid w:val="00F3432C"/>
    <w:rsid w:val="00F348FE"/>
    <w:rsid w:val="00F349A7"/>
    <w:rsid w:val="00F349FC"/>
    <w:rsid w:val="00F3518D"/>
    <w:rsid w:val="00F354C3"/>
    <w:rsid w:val="00F3562D"/>
    <w:rsid w:val="00F3574D"/>
    <w:rsid w:val="00F35CAC"/>
    <w:rsid w:val="00F35CB3"/>
    <w:rsid w:val="00F362D4"/>
    <w:rsid w:val="00F36312"/>
    <w:rsid w:val="00F364D9"/>
    <w:rsid w:val="00F366C8"/>
    <w:rsid w:val="00F366E8"/>
    <w:rsid w:val="00F36A37"/>
    <w:rsid w:val="00F37175"/>
    <w:rsid w:val="00F40893"/>
    <w:rsid w:val="00F40B46"/>
    <w:rsid w:val="00F40B6D"/>
    <w:rsid w:val="00F40C64"/>
    <w:rsid w:val="00F410A5"/>
    <w:rsid w:val="00F41ADC"/>
    <w:rsid w:val="00F41FCD"/>
    <w:rsid w:val="00F422BC"/>
    <w:rsid w:val="00F42365"/>
    <w:rsid w:val="00F427B0"/>
    <w:rsid w:val="00F427C6"/>
    <w:rsid w:val="00F42824"/>
    <w:rsid w:val="00F42BB6"/>
    <w:rsid w:val="00F4351F"/>
    <w:rsid w:val="00F43974"/>
    <w:rsid w:val="00F43BBC"/>
    <w:rsid w:val="00F43C78"/>
    <w:rsid w:val="00F442DE"/>
    <w:rsid w:val="00F446D4"/>
    <w:rsid w:val="00F4481C"/>
    <w:rsid w:val="00F44D58"/>
    <w:rsid w:val="00F45055"/>
    <w:rsid w:val="00F45BDF"/>
    <w:rsid w:val="00F45CD4"/>
    <w:rsid w:val="00F45E12"/>
    <w:rsid w:val="00F45E5C"/>
    <w:rsid w:val="00F45EE0"/>
    <w:rsid w:val="00F45F38"/>
    <w:rsid w:val="00F46178"/>
    <w:rsid w:val="00F463C9"/>
    <w:rsid w:val="00F46413"/>
    <w:rsid w:val="00F4658E"/>
    <w:rsid w:val="00F4665F"/>
    <w:rsid w:val="00F467C0"/>
    <w:rsid w:val="00F4681E"/>
    <w:rsid w:val="00F472F2"/>
    <w:rsid w:val="00F47382"/>
    <w:rsid w:val="00F4763D"/>
    <w:rsid w:val="00F47656"/>
    <w:rsid w:val="00F47DDE"/>
    <w:rsid w:val="00F5024F"/>
    <w:rsid w:val="00F50CFA"/>
    <w:rsid w:val="00F511C8"/>
    <w:rsid w:val="00F51C86"/>
    <w:rsid w:val="00F51D8E"/>
    <w:rsid w:val="00F51F47"/>
    <w:rsid w:val="00F52360"/>
    <w:rsid w:val="00F5286D"/>
    <w:rsid w:val="00F52B41"/>
    <w:rsid w:val="00F52C96"/>
    <w:rsid w:val="00F532B7"/>
    <w:rsid w:val="00F5337C"/>
    <w:rsid w:val="00F53B4B"/>
    <w:rsid w:val="00F53DD2"/>
    <w:rsid w:val="00F5410E"/>
    <w:rsid w:val="00F5412C"/>
    <w:rsid w:val="00F5458E"/>
    <w:rsid w:val="00F54970"/>
    <w:rsid w:val="00F54C27"/>
    <w:rsid w:val="00F54E3D"/>
    <w:rsid w:val="00F55029"/>
    <w:rsid w:val="00F55B2D"/>
    <w:rsid w:val="00F55DCD"/>
    <w:rsid w:val="00F55EEE"/>
    <w:rsid w:val="00F55FE3"/>
    <w:rsid w:val="00F5607B"/>
    <w:rsid w:val="00F563AA"/>
    <w:rsid w:val="00F5658E"/>
    <w:rsid w:val="00F56A2B"/>
    <w:rsid w:val="00F56B12"/>
    <w:rsid w:val="00F578CE"/>
    <w:rsid w:val="00F57B13"/>
    <w:rsid w:val="00F57BAB"/>
    <w:rsid w:val="00F57D00"/>
    <w:rsid w:val="00F57F08"/>
    <w:rsid w:val="00F600EA"/>
    <w:rsid w:val="00F609FD"/>
    <w:rsid w:val="00F60D02"/>
    <w:rsid w:val="00F6102E"/>
    <w:rsid w:val="00F6149E"/>
    <w:rsid w:val="00F6171D"/>
    <w:rsid w:val="00F61FFB"/>
    <w:rsid w:val="00F628F9"/>
    <w:rsid w:val="00F62E97"/>
    <w:rsid w:val="00F62FBC"/>
    <w:rsid w:val="00F62FFA"/>
    <w:rsid w:val="00F638CB"/>
    <w:rsid w:val="00F63958"/>
    <w:rsid w:val="00F63DDD"/>
    <w:rsid w:val="00F649C7"/>
    <w:rsid w:val="00F65198"/>
    <w:rsid w:val="00F6560A"/>
    <w:rsid w:val="00F65D6C"/>
    <w:rsid w:val="00F661C7"/>
    <w:rsid w:val="00F663D4"/>
    <w:rsid w:val="00F66B2E"/>
    <w:rsid w:val="00F66CD0"/>
    <w:rsid w:val="00F671D4"/>
    <w:rsid w:val="00F67288"/>
    <w:rsid w:val="00F6769E"/>
    <w:rsid w:val="00F67B9F"/>
    <w:rsid w:val="00F7156A"/>
    <w:rsid w:val="00F7195E"/>
    <w:rsid w:val="00F71C01"/>
    <w:rsid w:val="00F7289F"/>
    <w:rsid w:val="00F72CC7"/>
    <w:rsid w:val="00F72CF8"/>
    <w:rsid w:val="00F72D46"/>
    <w:rsid w:val="00F73191"/>
    <w:rsid w:val="00F7381B"/>
    <w:rsid w:val="00F74230"/>
    <w:rsid w:val="00F743E3"/>
    <w:rsid w:val="00F7477C"/>
    <w:rsid w:val="00F74ADF"/>
    <w:rsid w:val="00F74C80"/>
    <w:rsid w:val="00F74D11"/>
    <w:rsid w:val="00F75504"/>
    <w:rsid w:val="00F77857"/>
    <w:rsid w:val="00F77F2C"/>
    <w:rsid w:val="00F77FB7"/>
    <w:rsid w:val="00F77FB8"/>
    <w:rsid w:val="00F80123"/>
    <w:rsid w:val="00F80615"/>
    <w:rsid w:val="00F80DC6"/>
    <w:rsid w:val="00F81098"/>
    <w:rsid w:val="00F813B9"/>
    <w:rsid w:val="00F8146C"/>
    <w:rsid w:val="00F81C59"/>
    <w:rsid w:val="00F81E45"/>
    <w:rsid w:val="00F821C4"/>
    <w:rsid w:val="00F82B7C"/>
    <w:rsid w:val="00F837C0"/>
    <w:rsid w:val="00F83D16"/>
    <w:rsid w:val="00F8408C"/>
    <w:rsid w:val="00F84139"/>
    <w:rsid w:val="00F84310"/>
    <w:rsid w:val="00F845F8"/>
    <w:rsid w:val="00F84F84"/>
    <w:rsid w:val="00F850BF"/>
    <w:rsid w:val="00F85264"/>
    <w:rsid w:val="00F85787"/>
    <w:rsid w:val="00F85824"/>
    <w:rsid w:val="00F8591E"/>
    <w:rsid w:val="00F85A88"/>
    <w:rsid w:val="00F86027"/>
    <w:rsid w:val="00F860BD"/>
    <w:rsid w:val="00F864F2"/>
    <w:rsid w:val="00F86C2B"/>
    <w:rsid w:val="00F86F83"/>
    <w:rsid w:val="00F87469"/>
    <w:rsid w:val="00F874FE"/>
    <w:rsid w:val="00F90457"/>
    <w:rsid w:val="00F9097E"/>
    <w:rsid w:val="00F909DB"/>
    <w:rsid w:val="00F9195B"/>
    <w:rsid w:val="00F91E68"/>
    <w:rsid w:val="00F92D8A"/>
    <w:rsid w:val="00F933A4"/>
    <w:rsid w:val="00F93A07"/>
    <w:rsid w:val="00F9434C"/>
    <w:rsid w:val="00F94D74"/>
    <w:rsid w:val="00F94E51"/>
    <w:rsid w:val="00F95AF6"/>
    <w:rsid w:val="00F95DF6"/>
    <w:rsid w:val="00F963A1"/>
    <w:rsid w:val="00F963E1"/>
    <w:rsid w:val="00F969C5"/>
    <w:rsid w:val="00F96BCD"/>
    <w:rsid w:val="00F96E69"/>
    <w:rsid w:val="00F9737E"/>
    <w:rsid w:val="00F973DA"/>
    <w:rsid w:val="00F97A4D"/>
    <w:rsid w:val="00FA0189"/>
    <w:rsid w:val="00FA032E"/>
    <w:rsid w:val="00FA0946"/>
    <w:rsid w:val="00FA0B2E"/>
    <w:rsid w:val="00FA0E6B"/>
    <w:rsid w:val="00FA1550"/>
    <w:rsid w:val="00FA1E14"/>
    <w:rsid w:val="00FA26DC"/>
    <w:rsid w:val="00FA2E2A"/>
    <w:rsid w:val="00FA2F0A"/>
    <w:rsid w:val="00FA353A"/>
    <w:rsid w:val="00FA3F12"/>
    <w:rsid w:val="00FA4117"/>
    <w:rsid w:val="00FA42A7"/>
    <w:rsid w:val="00FA43FF"/>
    <w:rsid w:val="00FA49BC"/>
    <w:rsid w:val="00FA4B4A"/>
    <w:rsid w:val="00FA5165"/>
    <w:rsid w:val="00FA560A"/>
    <w:rsid w:val="00FA56A0"/>
    <w:rsid w:val="00FA5E94"/>
    <w:rsid w:val="00FA5F89"/>
    <w:rsid w:val="00FA600D"/>
    <w:rsid w:val="00FA6727"/>
    <w:rsid w:val="00FA6CC3"/>
    <w:rsid w:val="00FA6F38"/>
    <w:rsid w:val="00FA78C7"/>
    <w:rsid w:val="00FA7E12"/>
    <w:rsid w:val="00FB0A73"/>
    <w:rsid w:val="00FB0E34"/>
    <w:rsid w:val="00FB0EFE"/>
    <w:rsid w:val="00FB10F0"/>
    <w:rsid w:val="00FB1168"/>
    <w:rsid w:val="00FB1CA7"/>
    <w:rsid w:val="00FB2B4A"/>
    <w:rsid w:val="00FB2DEB"/>
    <w:rsid w:val="00FB3367"/>
    <w:rsid w:val="00FB33C6"/>
    <w:rsid w:val="00FB394F"/>
    <w:rsid w:val="00FB3B18"/>
    <w:rsid w:val="00FB3B88"/>
    <w:rsid w:val="00FB4276"/>
    <w:rsid w:val="00FB4749"/>
    <w:rsid w:val="00FB4855"/>
    <w:rsid w:val="00FB4D74"/>
    <w:rsid w:val="00FB4E0C"/>
    <w:rsid w:val="00FB5BF7"/>
    <w:rsid w:val="00FB6759"/>
    <w:rsid w:val="00FB6A3A"/>
    <w:rsid w:val="00FB78AD"/>
    <w:rsid w:val="00FB7E70"/>
    <w:rsid w:val="00FC0378"/>
    <w:rsid w:val="00FC06D6"/>
    <w:rsid w:val="00FC0BC7"/>
    <w:rsid w:val="00FC0D6B"/>
    <w:rsid w:val="00FC11FB"/>
    <w:rsid w:val="00FC1218"/>
    <w:rsid w:val="00FC131C"/>
    <w:rsid w:val="00FC174C"/>
    <w:rsid w:val="00FC182F"/>
    <w:rsid w:val="00FC1A3F"/>
    <w:rsid w:val="00FC1FD9"/>
    <w:rsid w:val="00FC2021"/>
    <w:rsid w:val="00FC20D5"/>
    <w:rsid w:val="00FC20DA"/>
    <w:rsid w:val="00FC21C1"/>
    <w:rsid w:val="00FC2EBC"/>
    <w:rsid w:val="00FC2F51"/>
    <w:rsid w:val="00FC30AA"/>
    <w:rsid w:val="00FC3B97"/>
    <w:rsid w:val="00FC404A"/>
    <w:rsid w:val="00FC4E50"/>
    <w:rsid w:val="00FC4E62"/>
    <w:rsid w:val="00FC51BF"/>
    <w:rsid w:val="00FC5FEB"/>
    <w:rsid w:val="00FC60A1"/>
    <w:rsid w:val="00FC67A3"/>
    <w:rsid w:val="00FC6844"/>
    <w:rsid w:val="00FC7002"/>
    <w:rsid w:val="00FD0218"/>
    <w:rsid w:val="00FD03DC"/>
    <w:rsid w:val="00FD06A3"/>
    <w:rsid w:val="00FD09EE"/>
    <w:rsid w:val="00FD0A55"/>
    <w:rsid w:val="00FD0EE0"/>
    <w:rsid w:val="00FD0F80"/>
    <w:rsid w:val="00FD11C2"/>
    <w:rsid w:val="00FD2005"/>
    <w:rsid w:val="00FD201B"/>
    <w:rsid w:val="00FD20E2"/>
    <w:rsid w:val="00FD21BC"/>
    <w:rsid w:val="00FD272C"/>
    <w:rsid w:val="00FD274B"/>
    <w:rsid w:val="00FD321B"/>
    <w:rsid w:val="00FD3711"/>
    <w:rsid w:val="00FD39A6"/>
    <w:rsid w:val="00FD3D33"/>
    <w:rsid w:val="00FD3F28"/>
    <w:rsid w:val="00FD3F3A"/>
    <w:rsid w:val="00FD48BE"/>
    <w:rsid w:val="00FD4CE5"/>
    <w:rsid w:val="00FD4D90"/>
    <w:rsid w:val="00FD5141"/>
    <w:rsid w:val="00FD67F0"/>
    <w:rsid w:val="00FD6C5D"/>
    <w:rsid w:val="00FD6E74"/>
    <w:rsid w:val="00FD70E0"/>
    <w:rsid w:val="00FE090D"/>
    <w:rsid w:val="00FE0981"/>
    <w:rsid w:val="00FE0C5D"/>
    <w:rsid w:val="00FE0C8F"/>
    <w:rsid w:val="00FE2875"/>
    <w:rsid w:val="00FE3863"/>
    <w:rsid w:val="00FE4EF2"/>
    <w:rsid w:val="00FE4FED"/>
    <w:rsid w:val="00FE55A4"/>
    <w:rsid w:val="00FE570D"/>
    <w:rsid w:val="00FE5917"/>
    <w:rsid w:val="00FE5BD0"/>
    <w:rsid w:val="00FE64C2"/>
    <w:rsid w:val="00FE6B6A"/>
    <w:rsid w:val="00FE75B4"/>
    <w:rsid w:val="00FE7614"/>
    <w:rsid w:val="00FE779E"/>
    <w:rsid w:val="00FE793B"/>
    <w:rsid w:val="00FE7C69"/>
    <w:rsid w:val="00FE7FAE"/>
    <w:rsid w:val="00FF05F1"/>
    <w:rsid w:val="00FF0629"/>
    <w:rsid w:val="00FF1FD7"/>
    <w:rsid w:val="00FF20ED"/>
    <w:rsid w:val="00FF27A0"/>
    <w:rsid w:val="00FF2A73"/>
    <w:rsid w:val="00FF2ADC"/>
    <w:rsid w:val="00FF2F0B"/>
    <w:rsid w:val="00FF308E"/>
    <w:rsid w:val="00FF312E"/>
    <w:rsid w:val="00FF35FB"/>
    <w:rsid w:val="00FF409E"/>
    <w:rsid w:val="00FF43A2"/>
    <w:rsid w:val="00FF4654"/>
    <w:rsid w:val="00FF49BD"/>
    <w:rsid w:val="00FF4DE1"/>
    <w:rsid w:val="00FF51AC"/>
    <w:rsid w:val="00FF5322"/>
    <w:rsid w:val="00FF5AD3"/>
    <w:rsid w:val="00FF63F5"/>
    <w:rsid w:val="00FF65FC"/>
    <w:rsid w:val="00FF690E"/>
    <w:rsid w:val="00FF6BF9"/>
    <w:rsid w:val="00FF6C09"/>
    <w:rsid w:val="00FF6E93"/>
    <w:rsid w:val="00FF741F"/>
    <w:rsid w:val="00FF7D97"/>
    <w:rsid w:val="316C4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8F804ED-4877-416D-B984-5670FA2F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nhideWhenUsed="1" w:qFormat="1"/>
    <w:lsdException w:name="heading 8" w:locked="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433A9"/>
    <w:pPr>
      <w:jc w:val="both"/>
    </w:pPr>
    <w:rPr>
      <w:sz w:val="22"/>
      <w:szCs w:val="22"/>
    </w:rPr>
  </w:style>
  <w:style w:type="paragraph" w:styleId="Heading1">
    <w:name w:val="heading 1"/>
    <w:basedOn w:val="ListParagraph"/>
    <w:next w:val="Normal"/>
    <w:link w:val="Heading1Char"/>
    <w:uiPriority w:val="99"/>
    <w:qFormat/>
    <w:rsid w:val="00E673F0"/>
    <w:pPr>
      <w:numPr>
        <w:numId w:val="160"/>
      </w:numPr>
      <w:shd w:val="clear" w:color="auto" w:fill="448A99"/>
      <w:spacing w:after="60"/>
      <w:contextualSpacing w:val="0"/>
      <w:outlineLvl w:val="0"/>
    </w:pPr>
    <w:rPr>
      <w:rFonts w:ascii="Century Gothic" w:hAnsi="Century Gothic"/>
      <w:caps/>
      <w:color w:val="FFFFFF" w:themeColor="background1"/>
      <w:spacing w:val="-20"/>
      <w:sz w:val="28"/>
    </w:rPr>
  </w:style>
  <w:style w:type="paragraph" w:styleId="Heading2">
    <w:name w:val="heading 2"/>
    <w:basedOn w:val="ListParagraph"/>
    <w:next w:val="Normal"/>
    <w:link w:val="Heading2Char"/>
    <w:uiPriority w:val="99"/>
    <w:qFormat/>
    <w:rsid w:val="00E673F0"/>
    <w:pPr>
      <w:numPr>
        <w:ilvl w:val="1"/>
        <w:numId w:val="160"/>
      </w:numPr>
      <w:spacing w:after="60"/>
      <w:contextualSpacing w:val="0"/>
      <w:outlineLvl w:val="1"/>
    </w:pPr>
    <w:rPr>
      <w:rFonts w:ascii="Century Gothic" w:hAnsi="Century Gothic"/>
      <w:b/>
      <w:caps/>
      <w:color w:val="404040" w:themeColor="text1" w:themeTint="BF"/>
      <w:spacing w:val="-12"/>
    </w:rPr>
  </w:style>
  <w:style w:type="paragraph" w:styleId="Heading3">
    <w:name w:val="heading 3"/>
    <w:basedOn w:val="ListParagraph"/>
    <w:next w:val="Normal"/>
    <w:link w:val="Heading3Char"/>
    <w:uiPriority w:val="99"/>
    <w:qFormat/>
    <w:rsid w:val="00E673F0"/>
    <w:pPr>
      <w:numPr>
        <w:ilvl w:val="2"/>
        <w:numId w:val="160"/>
      </w:numPr>
      <w:spacing w:after="60"/>
      <w:contextualSpacing w:val="0"/>
      <w:outlineLvl w:val="2"/>
    </w:pPr>
    <w:rPr>
      <w:rFonts w:ascii="Century Gothic" w:hAnsi="Century Gothic"/>
      <w:b/>
      <w:color w:val="448A99"/>
      <w:spacing w:val="-12"/>
      <w:szCs w:val="21"/>
    </w:rPr>
  </w:style>
  <w:style w:type="paragraph" w:styleId="Heading4">
    <w:name w:val="heading 4"/>
    <w:basedOn w:val="ListParagraph"/>
    <w:next w:val="Normal"/>
    <w:link w:val="Heading4Char"/>
    <w:uiPriority w:val="99"/>
    <w:qFormat/>
    <w:rsid w:val="00E673F0"/>
    <w:pPr>
      <w:numPr>
        <w:ilvl w:val="3"/>
        <w:numId w:val="160"/>
      </w:numPr>
      <w:spacing w:after="60"/>
      <w:contextualSpacing w:val="0"/>
      <w:outlineLvl w:val="3"/>
    </w:pPr>
    <w:rPr>
      <w:rFonts w:ascii="Century Gothic" w:hAnsi="Century Gothic"/>
      <w:color w:val="404040" w:themeColor="text1" w:themeTint="BF"/>
      <w:sz w:val="21"/>
      <w:szCs w:val="21"/>
    </w:rPr>
  </w:style>
  <w:style w:type="paragraph" w:styleId="Heading5">
    <w:name w:val="heading 5"/>
    <w:basedOn w:val="ListParagraph"/>
    <w:next w:val="Normal"/>
    <w:link w:val="Heading5Char"/>
    <w:uiPriority w:val="99"/>
    <w:qFormat/>
    <w:rsid w:val="00E673F0"/>
    <w:pPr>
      <w:numPr>
        <w:ilvl w:val="4"/>
        <w:numId w:val="160"/>
      </w:numPr>
      <w:spacing w:after="60"/>
      <w:contextualSpacing w:val="0"/>
      <w:outlineLvl w:val="4"/>
    </w:pPr>
    <w:rPr>
      <w:b/>
      <w:i/>
      <w:color w:val="404040" w:themeColor="text1" w:themeTint="BF"/>
    </w:rPr>
  </w:style>
  <w:style w:type="paragraph" w:styleId="Heading6">
    <w:name w:val="heading 6"/>
    <w:basedOn w:val="ListParagraph"/>
    <w:next w:val="Normal"/>
    <w:link w:val="Heading6Char"/>
    <w:uiPriority w:val="99"/>
    <w:qFormat/>
    <w:rsid w:val="00E673F0"/>
    <w:pPr>
      <w:numPr>
        <w:ilvl w:val="5"/>
        <w:numId w:val="160"/>
      </w:numPr>
      <w:spacing w:after="60"/>
      <w:contextualSpacing w:val="0"/>
      <w:outlineLvl w:val="5"/>
    </w:pPr>
    <w:rPr>
      <w:rFonts w:ascii="Century Gothic" w:hAnsi="Century Gothic"/>
      <w:color w:val="448A99"/>
    </w:rPr>
  </w:style>
  <w:style w:type="paragraph" w:styleId="Heading7">
    <w:name w:val="heading 7"/>
    <w:basedOn w:val="Heading6"/>
    <w:next w:val="Normal"/>
    <w:link w:val="Heading7Char"/>
    <w:uiPriority w:val="99"/>
    <w:qFormat/>
    <w:rsid w:val="00E673F0"/>
    <w:pPr>
      <w:numPr>
        <w:ilvl w:val="6"/>
      </w:numPr>
      <w:outlineLvl w:val="6"/>
    </w:pPr>
    <w:rPr>
      <w:rFonts w:asciiTheme="minorHAnsi" w:hAnsiTheme="minorHAnsi" w:cstheme="minorHAnsi"/>
      <w:i/>
      <w:color w:val="404040" w:themeColor="text1" w:themeTint="BF"/>
    </w:rPr>
  </w:style>
  <w:style w:type="paragraph" w:styleId="Heading8">
    <w:name w:val="heading 8"/>
    <w:basedOn w:val="Normal"/>
    <w:next w:val="Normal"/>
    <w:link w:val="Heading8Char"/>
    <w:uiPriority w:val="99"/>
    <w:qFormat/>
    <w:rsid w:val="000A591C"/>
    <w:pPr>
      <w:keepNext/>
      <w:keepLines/>
      <w:numPr>
        <w:ilvl w:val="7"/>
        <w:numId w:val="1"/>
      </w:numPr>
      <w:spacing w:before="200"/>
      <w:outlineLvl w:val="7"/>
    </w:pPr>
    <w:rPr>
      <w:rFonts w:ascii="Cambria" w:hAnsi="Cambria"/>
      <w:color w:val="404040"/>
      <w:szCs w:val="20"/>
    </w:rPr>
  </w:style>
  <w:style w:type="paragraph" w:styleId="Heading9">
    <w:name w:val="heading 9"/>
    <w:basedOn w:val="Normal"/>
    <w:next w:val="Normal"/>
    <w:link w:val="Heading9Char"/>
    <w:unhideWhenUsed/>
    <w:qFormat/>
    <w:locked/>
    <w:rsid w:val="0022503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673F0"/>
    <w:rPr>
      <w:rFonts w:ascii="Century Gothic" w:hAnsi="Century Gothic"/>
      <w:caps/>
      <w:color w:val="FFFFFF" w:themeColor="background1"/>
      <w:spacing w:val="-20"/>
      <w:sz w:val="28"/>
      <w:shd w:val="clear" w:color="auto" w:fill="448A99"/>
    </w:rPr>
  </w:style>
  <w:style w:type="character" w:customStyle="1" w:styleId="Heading2Char">
    <w:name w:val="Heading 2 Char"/>
    <w:link w:val="Heading2"/>
    <w:uiPriority w:val="99"/>
    <w:locked/>
    <w:rsid w:val="00E673F0"/>
    <w:rPr>
      <w:rFonts w:ascii="Century Gothic" w:hAnsi="Century Gothic"/>
      <w:b/>
      <w:caps/>
      <w:color w:val="404040" w:themeColor="text1" w:themeTint="BF"/>
      <w:spacing w:val="-12"/>
      <w:sz w:val="22"/>
    </w:rPr>
  </w:style>
  <w:style w:type="character" w:customStyle="1" w:styleId="Heading3Char">
    <w:name w:val="Heading 3 Char"/>
    <w:link w:val="Heading3"/>
    <w:uiPriority w:val="99"/>
    <w:locked/>
    <w:rsid w:val="00E673F0"/>
    <w:rPr>
      <w:rFonts w:ascii="Century Gothic" w:hAnsi="Century Gothic"/>
      <w:b/>
      <w:color w:val="448A99"/>
      <w:spacing w:val="-12"/>
      <w:sz w:val="22"/>
      <w:szCs w:val="21"/>
    </w:rPr>
  </w:style>
  <w:style w:type="character" w:customStyle="1" w:styleId="Heading4Char">
    <w:name w:val="Heading 4 Char"/>
    <w:link w:val="Heading4"/>
    <w:uiPriority w:val="99"/>
    <w:locked/>
    <w:rsid w:val="00E673F0"/>
    <w:rPr>
      <w:rFonts w:ascii="Century Gothic" w:hAnsi="Century Gothic"/>
      <w:color w:val="404040" w:themeColor="text1" w:themeTint="BF"/>
      <w:sz w:val="21"/>
      <w:szCs w:val="21"/>
    </w:rPr>
  </w:style>
  <w:style w:type="character" w:customStyle="1" w:styleId="Heading5Char">
    <w:name w:val="Heading 5 Char"/>
    <w:link w:val="Heading5"/>
    <w:uiPriority w:val="99"/>
    <w:locked/>
    <w:rsid w:val="00E673F0"/>
    <w:rPr>
      <w:b/>
      <w:i/>
      <w:color w:val="404040" w:themeColor="text1" w:themeTint="BF"/>
      <w:sz w:val="22"/>
    </w:rPr>
  </w:style>
  <w:style w:type="character" w:customStyle="1" w:styleId="Heading6Char">
    <w:name w:val="Heading 6 Char"/>
    <w:link w:val="Heading6"/>
    <w:uiPriority w:val="99"/>
    <w:locked/>
    <w:rsid w:val="00E673F0"/>
    <w:rPr>
      <w:rFonts w:ascii="Century Gothic" w:hAnsi="Century Gothic"/>
      <w:color w:val="448A99"/>
      <w:sz w:val="22"/>
    </w:rPr>
  </w:style>
  <w:style w:type="character" w:customStyle="1" w:styleId="Heading7Char">
    <w:name w:val="Heading 7 Char"/>
    <w:link w:val="Heading7"/>
    <w:uiPriority w:val="99"/>
    <w:locked/>
    <w:rsid w:val="00E673F0"/>
    <w:rPr>
      <w:rFonts w:asciiTheme="minorHAnsi" w:hAnsiTheme="minorHAnsi" w:cstheme="minorHAnsi"/>
      <w:i/>
      <w:color w:val="404040" w:themeColor="text1" w:themeTint="BF"/>
      <w:sz w:val="22"/>
    </w:rPr>
  </w:style>
  <w:style w:type="character" w:customStyle="1" w:styleId="Heading8Char">
    <w:name w:val="Heading 8 Char"/>
    <w:link w:val="Heading8"/>
    <w:uiPriority w:val="99"/>
    <w:locked/>
    <w:rsid w:val="000A591C"/>
    <w:rPr>
      <w:rFonts w:ascii="Cambria" w:hAnsi="Cambria"/>
      <w:color w:val="404040"/>
      <w:sz w:val="22"/>
    </w:rPr>
  </w:style>
  <w:style w:type="paragraph" w:styleId="ListParagraph">
    <w:name w:val="List Paragraph"/>
    <w:aliases w:val="TOC etc."/>
    <w:basedOn w:val="Normal"/>
    <w:link w:val="ListParagraphChar"/>
    <w:uiPriority w:val="34"/>
    <w:qFormat/>
    <w:rsid w:val="000A591C"/>
    <w:pPr>
      <w:ind w:left="720"/>
      <w:contextualSpacing/>
    </w:pPr>
    <w:rPr>
      <w:szCs w:val="20"/>
    </w:rPr>
  </w:style>
  <w:style w:type="paragraph" w:styleId="Title">
    <w:name w:val="Title"/>
    <w:basedOn w:val="Normal"/>
    <w:next w:val="Normal"/>
    <w:link w:val="TitleChar"/>
    <w:uiPriority w:val="10"/>
    <w:rsid w:val="004F38A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locked/>
    <w:rsid w:val="004F38A9"/>
    <w:rPr>
      <w:rFonts w:ascii="Cambria" w:hAnsi="Cambria" w:cs="Times New Roman"/>
      <w:color w:val="17365D"/>
      <w:spacing w:val="5"/>
      <w:kern w:val="28"/>
      <w:sz w:val="52"/>
      <w:szCs w:val="52"/>
    </w:rPr>
  </w:style>
  <w:style w:type="paragraph" w:styleId="Caption">
    <w:name w:val="caption"/>
    <w:aliases w:val="Caption Char,Table Caption,Char,Figure, Char,caption"/>
    <w:basedOn w:val="Normal"/>
    <w:next w:val="Normal"/>
    <w:link w:val="CaptionChar1"/>
    <w:qFormat/>
    <w:rsid w:val="004837FA"/>
    <w:pPr>
      <w:keepNext/>
      <w:spacing w:after="120"/>
      <w:jc w:val="center"/>
    </w:pPr>
    <w:rPr>
      <w:rFonts w:ascii="Century Gothic" w:hAnsi="Century Gothic"/>
      <w:b/>
      <w:bCs/>
      <w:color w:val="404040" w:themeColor="text1" w:themeTint="BF"/>
      <w:sz w:val="18"/>
      <w:szCs w:val="18"/>
    </w:rPr>
  </w:style>
  <w:style w:type="character" w:styleId="CommentReference">
    <w:name w:val="annotation reference"/>
    <w:uiPriority w:val="99"/>
    <w:rsid w:val="00B96DB3"/>
    <w:rPr>
      <w:rFonts w:cs="Times New Roman"/>
      <w:sz w:val="16"/>
      <w:szCs w:val="16"/>
    </w:rPr>
  </w:style>
  <w:style w:type="paragraph" w:styleId="CommentText">
    <w:name w:val="annotation text"/>
    <w:basedOn w:val="Normal"/>
    <w:link w:val="CommentTextChar"/>
    <w:uiPriority w:val="99"/>
    <w:rsid w:val="00B96DB3"/>
    <w:rPr>
      <w:sz w:val="20"/>
      <w:szCs w:val="20"/>
    </w:rPr>
  </w:style>
  <w:style w:type="character" w:customStyle="1" w:styleId="CommentTextChar">
    <w:name w:val="Comment Text Char"/>
    <w:link w:val="CommentText"/>
    <w:uiPriority w:val="99"/>
    <w:locked/>
    <w:rsid w:val="00B96DB3"/>
    <w:rPr>
      <w:rFonts w:cs="Times New Roman"/>
      <w:sz w:val="20"/>
      <w:szCs w:val="20"/>
    </w:rPr>
  </w:style>
  <w:style w:type="paragraph" w:styleId="CommentSubject">
    <w:name w:val="annotation subject"/>
    <w:basedOn w:val="CommentText"/>
    <w:next w:val="CommentText"/>
    <w:link w:val="CommentSubjectChar"/>
    <w:uiPriority w:val="99"/>
    <w:semiHidden/>
    <w:rsid w:val="00B96DB3"/>
    <w:rPr>
      <w:b/>
      <w:bCs/>
    </w:rPr>
  </w:style>
  <w:style w:type="character" w:customStyle="1" w:styleId="CommentSubjectChar">
    <w:name w:val="Comment Subject Char"/>
    <w:link w:val="CommentSubject"/>
    <w:uiPriority w:val="99"/>
    <w:semiHidden/>
    <w:locked/>
    <w:rsid w:val="00B96DB3"/>
    <w:rPr>
      <w:rFonts w:cs="Times New Roman"/>
      <w:b/>
      <w:bCs/>
      <w:sz w:val="20"/>
      <w:szCs w:val="20"/>
    </w:rPr>
  </w:style>
  <w:style w:type="paragraph" w:styleId="BalloonText">
    <w:name w:val="Balloon Text"/>
    <w:basedOn w:val="Normal"/>
    <w:link w:val="BalloonTextChar"/>
    <w:uiPriority w:val="99"/>
    <w:semiHidden/>
    <w:rsid w:val="00B96DB3"/>
    <w:rPr>
      <w:rFonts w:ascii="Tahoma" w:hAnsi="Tahoma"/>
      <w:sz w:val="16"/>
      <w:szCs w:val="16"/>
    </w:rPr>
  </w:style>
  <w:style w:type="character" w:customStyle="1" w:styleId="BalloonTextChar">
    <w:name w:val="Balloon Text Char"/>
    <w:link w:val="BalloonText"/>
    <w:uiPriority w:val="99"/>
    <w:semiHidden/>
    <w:locked/>
    <w:rsid w:val="00B96DB3"/>
    <w:rPr>
      <w:rFonts w:ascii="Tahoma" w:hAnsi="Tahoma" w:cs="Tahoma"/>
      <w:sz w:val="16"/>
      <w:szCs w:val="16"/>
    </w:rPr>
  </w:style>
  <w:style w:type="paragraph" w:styleId="FootnoteText">
    <w:name w:val="footnote text"/>
    <w:aliases w:val="Footnote Text1 Char,Footnote Text Char Ch Char Char Char,Footnote Text Char Ch Char Char,Footnote Text1 Char Char Char,Footnote Text Char Ch Char,Footnote Text Char Ch,ALTS FOOTNOTE,fn,Footnote Text 2,Footnote text,FOOTNOTE,fn Char,ft Char"/>
    <w:basedOn w:val="Normal"/>
    <w:link w:val="FootnoteTextChar"/>
    <w:uiPriority w:val="99"/>
    <w:qFormat/>
    <w:rsid w:val="00454B08"/>
    <w:rPr>
      <w:sz w:val="20"/>
      <w:szCs w:val="20"/>
    </w:rPr>
  </w:style>
  <w:style w:type="character" w:customStyle="1" w:styleId="FootnoteTextChar">
    <w:name w:val="Footnote Text Char"/>
    <w:aliases w:val="Footnote Text1 Char Char,Footnote Text Char Ch Char Char Char Char,Footnote Text Char Ch Char Char Char1,Footnote Text1 Char Char Char Char,Footnote Text Char Ch Char Char1,Footnote Text Char Ch Char1,ALTS FOOTNOTE Char,fn Char1"/>
    <w:link w:val="FootnoteText"/>
    <w:uiPriority w:val="99"/>
    <w:locked/>
    <w:rsid w:val="00454B08"/>
    <w:rPr>
      <w:rFonts w:cs="Times New Roman"/>
      <w:sz w:val="20"/>
      <w:szCs w:val="20"/>
    </w:rPr>
  </w:style>
  <w:style w:type="character" w:styleId="FootnoteReference">
    <w:name w:val="footnote reference"/>
    <w:aliases w:val="o,fr,Footnote_Reference,Char Char Char Char,o1,o2,o3,o4,o5,o6,o11,o21,o7"/>
    <w:uiPriority w:val="99"/>
    <w:qFormat/>
    <w:rsid w:val="00454B08"/>
    <w:rPr>
      <w:rFonts w:cs="Times New Roman"/>
      <w:vertAlign w:val="superscript"/>
    </w:rPr>
  </w:style>
  <w:style w:type="paragraph" w:customStyle="1" w:styleId="Default">
    <w:name w:val="Default"/>
    <w:rsid w:val="00975B13"/>
    <w:pPr>
      <w:autoSpaceDE w:val="0"/>
      <w:autoSpaceDN w:val="0"/>
      <w:adjustRightInd w:val="0"/>
    </w:pPr>
    <w:rPr>
      <w:rFonts w:cs="Calibri"/>
      <w:color w:val="000000"/>
      <w:sz w:val="24"/>
      <w:szCs w:val="24"/>
    </w:rPr>
  </w:style>
  <w:style w:type="paragraph" w:styleId="Header">
    <w:name w:val="header"/>
    <w:basedOn w:val="Normal"/>
    <w:link w:val="HeaderChar"/>
    <w:uiPriority w:val="99"/>
    <w:rsid w:val="008B2520"/>
    <w:pPr>
      <w:tabs>
        <w:tab w:val="center" w:pos="4680"/>
        <w:tab w:val="right" w:pos="9360"/>
      </w:tabs>
    </w:pPr>
    <w:rPr>
      <w:sz w:val="20"/>
      <w:szCs w:val="20"/>
    </w:rPr>
  </w:style>
  <w:style w:type="character" w:customStyle="1" w:styleId="HeaderChar">
    <w:name w:val="Header Char"/>
    <w:link w:val="Header"/>
    <w:uiPriority w:val="99"/>
    <w:locked/>
    <w:rsid w:val="008B2520"/>
    <w:rPr>
      <w:rFonts w:cs="Times New Roman"/>
    </w:rPr>
  </w:style>
  <w:style w:type="paragraph" w:styleId="Footer">
    <w:name w:val="footer"/>
    <w:basedOn w:val="Normal"/>
    <w:link w:val="FooterChar"/>
    <w:uiPriority w:val="99"/>
    <w:rsid w:val="008B2520"/>
    <w:pPr>
      <w:tabs>
        <w:tab w:val="center" w:pos="4680"/>
        <w:tab w:val="right" w:pos="9360"/>
      </w:tabs>
    </w:pPr>
    <w:rPr>
      <w:sz w:val="20"/>
      <w:szCs w:val="20"/>
    </w:rPr>
  </w:style>
  <w:style w:type="character" w:customStyle="1" w:styleId="FooterChar">
    <w:name w:val="Footer Char"/>
    <w:link w:val="Footer"/>
    <w:uiPriority w:val="99"/>
    <w:locked/>
    <w:rsid w:val="008B2520"/>
    <w:rPr>
      <w:rFonts w:cs="Times New Roman"/>
    </w:rPr>
  </w:style>
  <w:style w:type="paragraph" w:styleId="TOC1">
    <w:name w:val="toc 1"/>
    <w:basedOn w:val="Normal"/>
    <w:next w:val="Normal"/>
    <w:autoRedefine/>
    <w:uiPriority w:val="39"/>
    <w:qFormat/>
    <w:rsid w:val="00B81A2F"/>
    <w:pPr>
      <w:tabs>
        <w:tab w:val="right" w:leader="dot" w:pos="9350"/>
      </w:tabs>
      <w:spacing w:before="80" w:after="80"/>
      <w:jc w:val="left"/>
    </w:pPr>
    <w:rPr>
      <w:rFonts w:ascii="Century Gothic" w:hAnsi="Century Gothic"/>
      <w:b/>
      <w:bCs/>
      <w:caps/>
      <w:color w:val="404040" w:themeColor="text1" w:themeTint="BF"/>
      <w:sz w:val="21"/>
      <w:szCs w:val="20"/>
    </w:rPr>
  </w:style>
  <w:style w:type="paragraph" w:styleId="TOC2">
    <w:name w:val="toc 2"/>
    <w:basedOn w:val="Normal"/>
    <w:next w:val="Normal"/>
    <w:autoRedefine/>
    <w:uiPriority w:val="39"/>
    <w:qFormat/>
    <w:rsid w:val="00B81A2F"/>
    <w:pPr>
      <w:tabs>
        <w:tab w:val="right" w:leader="dot" w:pos="9350"/>
      </w:tabs>
      <w:spacing w:after="80"/>
      <w:ind w:left="216"/>
      <w:jc w:val="left"/>
    </w:pPr>
    <w:rPr>
      <w:rFonts w:ascii="Century Gothic" w:hAnsi="Century Gothic"/>
      <w:b/>
      <w:color w:val="404040" w:themeColor="text1" w:themeTint="BF"/>
      <w:sz w:val="19"/>
      <w:szCs w:val="20"/>
    </w:rPr>
  </w:style>
  <w:style w:type="paragraph" w:styleId="TOC3">
    <w:name w:val="toc 3"/>
    <w:basedOn w:val="Normal"/>
    <w:next w:val="Normal"/>
    <w:autoRedefine/>
    <w:uiPriority w:val="39"/>
    <w:qFormat/>
    <w:rsid w:val="00B81A2F"/>
    <w:pPr>
      <w:tabs>
        <w:tab w:val="right" w:leader="dot" w:pos="9350"/>
      </w:tabs>
      <w:ind w:left="440"/>
      <w:jc w:val="left"/>
    </w:pPr>
    <w:rPr>
      <w:rFonts w:asciiTheme="minorHAnsi" w:hAnsiTheme="minorHAnsi"/>
      <w:i/>
      <w:iCs/>
      <w:color w:val="404040" w:themeColor="text1" w:themeTint="BF"/>
      <w:sz w:val="19"/>
      <w:szCs w:val="20"/>
    </w:rPr>
  </w:style>
  <w:style w:type="paragraph" w:styleId="TOC4">
    <w:name w:val="toc 4"/>
    <w:basedOn w:val="Normal"/>
    <w:next w:val="Normal"/>
    <w:autoRedefine/>
    <w:uiPriority w:val="39"/>
    <w:rsid w:val="00910EBC"/>
    <w:pPr>
      <w:ind w:left="660"/>
      <w:jc w:val="left"/>
    </w:pPr>
    <w:rPr>
      <w:rFonts w:asciiTheme="minorHAnsi" w:hAnsiTheme="minorHAnsi"/>
      <w:sz w:val="18"/>
      <w:szCs w:val="18"/>
    </w:rPr>
  </w:style>
  <w:style w:type="paragraph" w:styleId="TOC5">
    <w:name w:val="toc 5"/>
    <w:basedOn w:val="Normal"/>
    <w:next w:val="Normal"/>
    <w:autoRedefine/>
    <w:uiPriority w:val="39"/>
    <w:rsid w:val="00844A91"/>
    <w:pPr>
      <w:ind w:left="880"/>
      <w:jc w:val="left"/>
    </w:pPr>
    <w:rPr>
      <w:rFonts w:asciiTheme="minorHAnsi" w:hAnsiTheme="minorHAnsi"/>
      <w:sz w:val="18"/>
      <w:szCs w:val="18"/>
    </w:rPr>
  </w:style>
  <w:style w:type="paragraph" w:styleId="TOC6">
    <w:name w:val="toc 6"/>
    <w:basedOn w:val="Normal"/>
    <w:next w:val="Normal"/>
    <w:autoRedefine/>
    <w:uiPriority w:val="39"/>
    <w:rsid w:val="00844A91"/>
    <w:pPr>
      <w:ind w:left="1100"/>
      <w:jc w:val="left"/>
    </w:pPr>
    <w:rPr>
      <w:rFonts w:asciiTheme="minorHAnsi" w:hAnsiTheme="minorHAnsi"/>
      <w:sz w:val="18"/>
      <w:szCs w:val="18"/>
    </w:rPr>
  </w:style>
  <w:style w:type="paragraph" w:styleId="TOC7">
    <w:name w:val="toc 7"/>
    <w:basedOn w:val="Normal"/>
    <w:next w:val="Normal"/>
    <w:autoRedefine/>
    <w:uiPriority w:val="39"/>
    <w:rsid w:val="00844A91"/>
    <w:pPr>
      <w:ind w:left="1320"/>
      <w:jc w:val="left"/>
    </w:pPr>
    <w:rPr>
      <w:rFonts w:asciiTheme="minorHAnsi" w:hAnsiTheme="minorHAnsi"/>
      <w:sz w:val="18"/>
      <w:szCs w:val="18"/>
    </w:rPr>
  </w:style>
  <w:style w:type="paragraph" w:styleId="TOC8">
    <w:name w:val="toc 8"/>
    <w:basedOn w:val="Normal"/>
    <w:next w:val="Normal"/>
    <w:autoRedefine/>
    <w:uiPriority w:val="39"/>
    <w:rsid w:val="00844A91"/>
    <w:pPr>
      <w:ind w:left="1540"/>
      <w:jc w:val="left"/>
    </w:pPr>
    <w:rPr>
      <w:rFonts w:asciiTheme="minorHAnsi" w:hAnsiTheme="minorHAnsi"/>
      <w:sz w:val="18"/>
      <w:szCs w:val="18"/>
    </w:rPr>
  </w:style>
  <w:style w:type="paragraph" w:styleId="TOC9">
    <w:name w:val="toc 9"/>
    <w:basedOn w:val="Normal"/>
    <w:next w:val="Normal"/>
    <w:autoRedefine/>
    <w:uiPriority w:val="39"/>
    <w:rsid w:val="00844A91"/>
    <w:pPr>
      <w:ind w:left="1760"/>
      <w:jc w:val="left"/>
    </w:pPr>
    <w:rPr>
      <w:rFonts w:asciiTheme="minorHAnsi" w:hAnsiTheme="minorHAnsi"/>
      <w:sz w:val="18"/>
      <w:szCs w:val="18"/>
    </w:rPr>
  </w:style>
  <w:style w:type="character" w:styleId="Hyperlink">
    <w:name w:val="Hyperlink"/>
    <w:uiPriority w:val="99"/>
    <w:rsid w:val="00844A91"/>
    <w:rPr>
      <w:rFonts w:cs="Times New Roman"/>
      <w:color w:val="0000FF"/>
      <w:u w:val="single"/>
    </w:rPr>
  </w:style>
  <w:style w:type="table" w:styleId="TableGrid">
    <w:name w:val="Table Grid"/>
    <w:basedOn w:val="TableNormal"/>
    <w:uiPriority w:val="39"/>
    <w:rsid w:val="000642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semiHidden/>
    <w:unhideWhenUsed/>
    <w:rsid w:val="0077309D"/>
    <w:pPr>
      <w:jc w:val="left"/>
    </w:pPr>
    <w:rPr>
      <w:rFonts w:ascii="Consolas" w:hAnsi="Consolas"/>
      <w:sz w:val="21"/>
      <w:szCs w:val="21"/>
    </w:rPr>
  </w:style>
  <w:style w:type="character" w:customStyle="1" w:styleId="PlainTextChar">
    <w:name w:val="Plain Text Char"/>
    <w:link w:val="PlainText"/>
    <w:uiPriority w:val="99"/>
    <w:semiHidden/>
    <w:locked/>
    <w:rsid w:val="0077309D"/>
    <w:rPr>
      <w:rFonts w:ascii="Consolas" w:eastAsia="Times New Roman" w:hAnsi="Consolas" w:cs="Times New Roman"/>
      <w:sz w:val="21"/>
      <w:szCs w:val="21"/>
    </w:rPr>
  </w:style>
  <w:style w:type="table" w:customStyle="1" w:styleId="MediumShading11">
    <w:name w:val="Medium Shading 11"/>
    <w:basedOn w:val="TableNormal"/>
    <w:uiPriority w:val="63"/>
    <w:rsid w:val="00AC1ED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AC1ED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63"/>
    <w:rsid w:val="00AC1ED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
    <w:name w:val="Medium Shading 2 - Accent 11"/>
    <w:basedOn w:val="TableNormal"/>
    <w:uiPriority w:val="64"/>
    <w:rsid w:val="00AC1ED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AC1ED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
    <w:name w:val="Medium Grid 31"/>
    <w:basedOn w:val="TableNormal"/>
    <w:uiPriority w:val="69"/>
    <w:rsid w:val="00621C3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
    <w:name w:val="Colorful Shading1"/>
    <w:basedOn w:val="TableNormal"/>
    <w:uiPriority w:val="71"/>
    <w:rsid w:val="00621C32"/>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paragraph" w:customStyle="1" w:styleId="p14">
    <w:name w:val="p14"/>
    <w:basedOn w:val="Normal"/>
    <w:uiPriority w:val="99"/>
    <w:rsid w:val="00667FF0"/>
    <w:pPr>
      <w:widowControl w:val="0"/>
      <w:tabs>
        <w:tab w:val="left" w:pos="204"/>
      </w:tabs>
      <w:autoSpaceDE w:val="0"/>
      <w:autoSpaceDN w:val="0"/>
      <w:adjustRightInd w:val="0"/>
      <w:jc w:val="left"/>
    </w:pPr>
    <w:rPr>
      <w:rFonts w:ascii="Times New Roman" w:hAnsi="Times New Roman"/>
      <w:sz w:val="24"/>
      <w:szCs w:val="24"/>
    </w:rPr>
  </w:style>
  <w:style w:type="paragraph" w:styleId="TableofFigures">
    <w:name w:val="table of figures"/>
    <w:basedOn w:val="Normal"/>
    <w:next w:val="Normal"/>
    <w:uiPriority w:val="99"/>
    <w:unhideWhenUsed/>
    <w:rsid w:val="00B81A2F"/>
    <w:pPr>
      <w:spacing w:after="60"/>
      <w:jc w:val="left"/>
    </w:pPr>
    <w:rPr>
      <w:rFonts w:ascii="Century Gothic" w:hAnsi="Century Gothic"/>
      <w:color w:val="404040" w:themeColor="text1" w:themeTint="BF"/>
      <w:sz w:val="16"/>
    </w:rPr>
  </w:style>
  <w:style w:type="table" w:customStyle="1" w:styleId="LightList1">
    <w:name w:val="Light List1"/>
    <w:basedOn w:val="TableNormal"/>
    <w:uiPriority w:val="61"/>
    <w:rsid w:val="0092061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PlaceholderText">
    <w:name w:val="Placeholder Text"/>
    <w:uiPriority w:val="99"/>
    <w:semiHidden/>
    <w:rsid w:val="00920618"/>
    <w:rPr>
      <w:rFonts w:cs="Times New Roman"/>
      <w:color w:val="808080"/>
    </w:rPr>
  </w:style>
  <w:style w:type="paragraph" w:styleId="Revision">
    <w:name w:val="Revision"/>
    <w:hidden/>
    <w:uiPriority w:val="99"/>
    <w:semiHidden/>
    <w:rsid w:val="00825955"/>
    <w:rPr>
      <w:sz w:val="22"/>
      <w:szCs w:val="22"/>
    </w:rPr>
  </w:style>
  <w:style w:type="table" w:customStyle="1" w:styleId="LightList11">
    <w:name w:val="Light List11"/>
    <w:basedOn w:val="TableNormal"/>
    <w:uiPriority w:val="61"/>
    <w:rsid w:val="00BC1CFF"/>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
    <w:name w:val="Medium Shading 12"/>
    <w:basedOn w:val="TableNormal"/>
    <w:uiPriority w:val="63"/>
    <w:rsid w:val="00121CF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character" w:styleId="Strong">
    <w:name w:val="Strong"/>
    <w:aliases w:val="Memo Heading"/>
    <w:uiPriority w:val="22"/>
    <w:qFormat/>
    <w:locked/>
    <w:rsid w:val="00E00B3E"/>
    <w:rPr>
      <w:rFonts w:ascii="Calibri" w:hAnsi="Calibri" w:cs="Calibri"/>
      <w:smallCaps/>
    </w:rPr>
  </w:style>
  <w:style w:type="character" w:customStyle="1" w:styleId="CaptionChar1">
    <w:name w:val="Caption Char1"/>
    <w:aliases w:val="Caption Char Char,Table Caption Char,Char Char,Figure Char, Char Char,caption Char"/>
    <w:link w:val="Caption"/>
    <w:locked/>
    <w:rsid w:val="004837FA"/>
    <w:rPr>
      <w:rFonts w:ascii="Century Gothic" w:hAnsi="Century Gothic"/>
      <w:b/>
      <w:bCs/>
      <w:color w:val="404040" w:themeColor="text1" w:themeTint="BF"/>
      <w:sz w:val="18"/>
      <w:szCs w:val="18"/>
    </w:rPr>
  </w:style>
  <w:style w:type="paragraph" w:customStyle="1" w:styleId="TableText">
    <w:name w:val="Table Text"/>
    <w:basedOn w:val="Normal"/>
    <w:uiPriority w:val="99"/>
    <w:qFormat/>
    <w:rsid w:val="00736982"/>
    <w:pPr>
      <w:keepNext/>
      <w:keepLines/>
      <w:spacing w:before="80"/>
      <w:jc w:val="left"/>
    </w:pPr>
    <w:rPr>
      <w:rFonts w:eastAsia="Calibri"/>
      <w:color w:val="000000"/>
      <w:sz w:val="18"/>
      <w:szCs w:val="18"/>
    </w:rPr>
  </w:style>
  <w:style w:type="paragraph" w:customStyle="1" w:styleId="TableHeader">
    <w:name w:val="Table Header"/>
    <w:basedOn w:val="Normal"/>
    <w:uiPriority w:val="99"/>
    <w:qFormat/>
    <w:rsid w:val="003C51FD"/>
    <w:pPr>
      <w:keepNext/>
      <w:keepLines/>
      <w:spacing w:before="80"/>
      <w:jc w:val="center"/>
    </w:pPr>
    <w:rPr>
      <w:rFonts w:eastAsia="Calibri"/>
      <w:b/>
      <w:bCs/>
      <w:color w:val="000000"/>
      <w:sz w:val="18"/>
      <w:szCs w:val="18"/>
    </w:rPr>
  </w:style>
  <w:style w:type="table" w:customStyle="1" w:styleId="TableGrid2">
    <w:name w:val="Table Grid2"/>
    <w:basedOn w:val="TableNormal"/>
    <w:next w:val="TableGrid"/>
    <w:uiPriority w:val="99"/>
    <w:rsid w:val="003C51F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Spacer">
    <w:name w:val="Normal Spacer"/>
    <w:basedOn w:val="Normal"/>
    <w:next w:val="Normal"/>
    <w:uiPriority w:val="99"/>
    <w:qFormat/>
    <w:rsid w:val="00564343"/>
    <w:pPr>
      <w:keepLines/>
    </w:pPr>
    <w:rPr>
      <w:rFonts w:eastAsia="Calibri"/>
    </w:rPr>
  </w:style>
  <w:style w:type="character" w:customStyle="1" w:styleId="ListParagraphChar">
    <w:name w:val="List Paragraph Char"/>
    <w:aliases w:val="TOC etc. Char"/>
    <w:link w:val="ListParagraph"/>
    <w:uiPriority w:val="34"/>
    <w:rsid w:val="00E10F94"/>
    <w:rPr>
      <w:sz w:val="22"/>
    </w:rPr>
  </w:style>
  <w:style w:type="table" w:customStyle="1" w:styleId="TableGrid3">
    <w:name w:val="Table Grid3"/>
    <w:basedOn w:val="TableNormal"/>
    <w:next w:val="TableGrid"/>
    <w:uiPriority w:val="99"/>
    <w:rsid w:val="00E10F9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s">
    <w:name w:val="bullets"/>
    <w:basedOn w:val="ListParagraph"/>
    <w:link w:val="bulletsChar"/>
    <w:uiPriority w:val="99"/>
    <w:rsid w:val="003336AE"/>
    <w:pPr>
      <w:numPr>
        <w:numId w:val="2"/>
      </w:numPr>
      <w:spacing w:after="120"/>
      <w:contextualSpacing w:val="0"/>
    </w:pPr>
    <w:rPr>
      <w:rFonts w:eastAsia="Calibri"/>
      <w:szCs w:val="22"/>
    </w:rPr>
  </w:style>
  <w:style w:type="character" w:customStyle="1" w:styleId="bulletsChar">
    <w:name w:val="bullets Char"/>
    <w:link w:val="bullets"/>
    <w:uiPriority w:val="99"/>
    <w:locked/>
    <w:rsid w:val="003336AE"/>
    <w:rPr>
      <w:rFonts w:eastAsia="Calibri"/>
      <w:sz w:val="22"/>
      <w:szCs w:val="22"/>
    </w:rPr>
  </w:style>
  <w:style w:type="paragraph" w:customStyle="1" w:styleId="Numbered">
    <w:name w:val="Numbered"/>
    <w:basedOn w:val="Normal"/>
    <w:uiPriority w:val="99"/>
    <w:rsid w:val="003336AE"/>
    <w:pPr>
      <w:numPr>
        <w:numId w:val="3"/>
      </w:numPr>
      <w:tabs>
        <w:tab w:val="clear" w:pos="720"/>
      </w:tabs>
      <w:spacing w:after="120"/>
      <w:jc w:val="left"/>
    </w:pPr>
    <w:rPr>
      <w:rFonts w:cs="GillSans"/>
      <w:szCs w:val="24"/>
    </w:rPr>
  </w:style>
  <w:style w:type="table" w:styleId="LightList">
    <w:name w:val="Light List"/>
    <w:basedOn w:val="TableNormal"/>
    <w:uiPriority w:val="61"/>
    <w:rsid w:val="0002223F"/>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Emphasis">
    <w:name w:val="Emphasis"/>
    <w:uiPriority w:val="20"/>
    <w:qFormat/>
    <w:locked/>
    <w:rsid w:val="006243E3"/>
    <w:rPr>
      <w:i/>
      <w:iCs/>
    </w:rPr>
  </w:style>
  <w:style w:type="table" w:customStyle="1" w:styleId="MediumShading13">
    <w:name w:val="Medium Shading 13"/>
    <w:basedOn w:val="TableNormal"/>
    <w:uiPriority w:val="63"/>
    <w:rsid w:val="00986137"/>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oSpacing">
    <w:name w:val="No Spacing"/>
    <w:aliases w:val="Table"/>
    <w:link w:val="NoSpacingChar"/>
    <w:uiPriority w:val="1"/>
    <w:rsid w:val="001C62E5"/>
    <w:rPr>
      <w:rFonts w:eastAsia="Calibri"/>
      <w:sz w:val="22"/>
      <w:szCs w:val="22"/>
    </w:rPr>
  </w:style>
  <w:style w:type="paragraph" w:styleId="Subtitle">
    <w:name w:val="Subtitle"/>
    <w:basedOn w:val="Normal"/>
    <w:next w:val="Normal"/>
    <w:link w:val="SubtitleChar"/>
    <w:uiPriority w:val="11"/>
    <w:locked/>
    <w:rsid w:val="00C34D76"/>
    <w:pPr>
      <w:numPr>
        <w:ilvl w:val="1"/>
      </w:numPr>
      <w:jc w:val="left"/>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34D76"/>
    <w:rPr>
      <w:rFonts w:asciiTheme="majorHAnsi" w:eastAsiaTheme="majorEastAsia" w:hAnsiTheme="majorHAnsi" w:cstheme="majorBidi"/>
      <w:i/>
      <w:iCs/>
      <w:color w:val="4F81BD" w:themeColor="accent1"/>
      <w:spacing w:val="15"/>
      <w:sz w:val="24"/>
      <w:szCs w:val="24"/>
      <w:lang w:eastAsia="ja-JP"/>
    </w:rPr>
  </w:style>
  <w:style w:type="paragraph" w:customStyle="1" w:styleId="HEADER001">
    <w:name w:val="HEADER001"/>
    <w:basedOn w:val="ListParagraph"/>
    <w:link w:val="HEADER001Char"/>
    <w:rsid w:val="00330C28"/>
    <w:pPr>
      <w:numPr>
        <w:numId w:val="8"/>
      </w:numPr>
      <w:shd w:val="clear" w:color="auto" w:fill="448A99"/>
      <w:spacing w:before="120" w:after="120"/>
      <w:contextualSpacing w:val="0"/>
      <w:outlineLvl w:val="0"/>
    </w:pPr>
    <w:rPr>
      <w:rFonts w:ascii="Century Gothic" w:eastAsiaTheme="minorHAnsi" w:hAnsi="Century Gothic" w:cstheme="minorBidi"/>
      <w:b/>
      <w:smallCaps/>
      <w:color w:val="FFFFFF" w:themeColor="background1"/>
      <w:sz w:val="30"/>
      <w:szCs w:val="22"/>
    </w:rPr>
  </w:style>
  <w:style w:type="paragraph" w:customStyle="1" w:styleId="HEADER002">
    <w:name w:val="HEADER002"/>
    <w:basedOn w:val="ListParagraph"/>
    <w:link w:val="HEADER002Char"/>
    <w:rsid w:val="00330C28"/>
    <w:pPr>
      <w:numPr>
        <w:ilvl w:val="1"/>
        <w:numId w:val="8"/>
      </w:numPr>
      <w:spacing w:after="120"/>
      <w:contextualSpacing w:val="0"/>
      <w:outlineLvl w:val="1"/>
    </w:pPr>
    <w:rPr>
      <w:rFonts w:ascii="Century Gothic" w:eastAsiaTheme="minorHAnsi" w:hAnsi="Century Gothic" w:cstheme="minorBidi"/>
      <w:b/>
      <w:smallCaps/>
      <w:sz w:val="24"/>
      <w:szCs w:val="22"/>
    </w:rPr>
  </w:style>
  <w:style w:type="character" w:customStyle="1" w:styleId="HEADER001Char">
    <w:name w:val="HEADER001 Char"/>
    <w:basedOn w:val="ListParagraphChar"/>
    <w:link w:val="HEADER001"/>
    <w:rsid w:val="00330C28"/>
    <w:rPr>
      <w:rFonts w:ascii="Century Gothic" w:eastAsiaTheme="minorHAnsi" w:hAnsi="Century Gothic" w:cstheme="minorBidi"/>
      <w:b/>
      <w:smallCaps/>
      <w:color w:val="FFFFFF" w:themeColor="background1"/>
      <w:sz w:val="30"/>
      <w:szCs w:val="22"/>
      <w:shd w:val="clear" w:color="auto" w:fill="448A99"/>
    </w:rPr>
  </w:style>
  <w:style w:type="paragraph" w:customStyle="1" w:styleId="HEADER003">
    <w:name w:val="HEADER003"/>
    <w:basedOn w:val="ListParagraph"/>
    <w:rsid w:val="00330C28"/>
    <w:pPr>
      <w:spacing w:after="120"/>
      <w:ind w:left="450"/>
      <w:contextualSpacing w:val="0"/>
      <w:outlineLvl w:val="2"/>
    </w:pPr>
    <w:rPr>
      <w:rFonts w:ascii="Century Gothic" w:eastAsiaTheme="minorHAnsi" w:hAnsi="Century Gothic" w:cstheme="minorBidi"/>
      <w:b/>
      <w:color w:val="448A99"/>
      <w:szCs w:val="22"/>
    </w:rPr>
  </w:style>
  <w:style w:type="paragraph" w:customStyle="1" w:styleId="HEADER004">
    <w:name w:val="HEADER004"/>
    <w:basedOn w:val="ListParagraph"/>
    <w:rsid w:val="00330C28"/>
    <w:pPr>
      <w:numPr>
        <w:ilvl w:val="3"/>
        <w:numId w:val="8"/>
      </w:numPr>
      <w:spacing w:after="120"/>
      <w:contextualSpacing w:val="0"/>
      <w:outlineLvl w:val="3"/>
    </w:pPr>
    <w:rPr>
      <w:rFonts w:ascii="Century Gothic" w:eastAsiaTheme="minorHAnsi" w:hAnsi="Century Gothic" w:cstheme="minorBidi"/>
      <w:b/>
      <w:i/>
      <w:sz w:val="20"/>
      <w:szCs w:val="22"/>
    </w:rPr>
  </w:style>
  <w:style w:type="paragraph" w:customStyle="1" w:styleId="HEADER005">
    <w:name w:val="HEADER005"/>
    <w:basedOn w:val="ListParagraph"/>
    <w:rsid w:val="00330C28"/>
    <w:pPr>
      <w:numPr>
        <w:ilvl w:val="4"/>
        <w:numId w:val="8"/>
      </w:numPr>
      <w:spacing w:after="120"/>
      <w:contextualSpacing w:val="0"/>
      <w:outlineLvl w:val="4"/>
    </w:pPr>
    <w:rPr>
      <w:rFonts w:ascii="Century Gothic" w:eastAsiaTheme="minorHAnsi" w:hAnsi="Century Gothic" w:cstheme="minorBidi"/>
      <w:i/>
      <w:szCs w:val="22"/>
    </w:rPr>
  </w:style>
  <w:style w:type="character" w:customStyle="1" w:styleId="HEADER002Char">
    <w:name w:val="HEADER002 Char"/>
    <w:basedOn w:val="ListParagraphChar"/>
    <w:link w:val="HEADER002"/>
    <w:rsid w:val="00330C28"/>
    <w:rPr>
      <w:rFonts w:ascii="Century Gothic" w:eastAsiaTheme="minorHAnsi" w:hAnsi="Century Gothic" w:cstheme="minorBidi"/>
      <w:b/>
      <w:smallCaps/>
      <w:sz w:val="24"/>
      <w:szCs w:val="22"/>
    </w:rPr>
  </w:style>
  <w:style w:type="character" w:customStyle="1" w:styleId="Heading9Char">
    <w:name w:val="Heading 9 Char"/>
    <w:basedOn w:val="DefaultParagraphFont"/>
    <w:link w:val="Heading9"/>
    <w:rsid w:val="0022503E"/>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E01CCF"/>
    <w:pPr>
      <w:keepNext/>
      <w:keepLines/>
      <w:numPr>
        <w:numId w:val="0"/>
      </w:numPr>
      <w:shd w:val="clear" w:color="auto" w:fill="auto"/>
      <w:spacing w:before="480" w:after="0" w:line="276" w:lineRule="auto"/>
      <w:jc w:val="left"/>
      <w:outlineLvl w:val="9"/>
    </w:pPr>
    <w:rPr>
      <w:rFonts w:asciiTheme="majorHAnsi" w:eastAsiaTheme="majorEastAsia" w:hAnsiTheme="majorHAnsi" w:cstheme="majorBidi"/>
      <w:bCs/>
      <w:smallCaps/>
      <w:color w:val="365F91" w:themeColor="accent1" w:themeShade="BF"/>
      <w:szCs w:val="28"/>
      <w:lang w:eastAsia="ja-JP"/>
    </w:rPr>
  </w:style>
  <w:style w:type="paragraph" w:customStyle="1" w:styleId="AppendixAHeading1">
    <w:name w:val="Appendix A Heading 1"/>
    <w:basedOn w:val="ListParagraph"/>
    <w:rsid w:val="00353645"/>
    <w:pPr>
      <w:numPr>
        <w:numId w:val="29"/>
      </w:numPr>
      <w:spacing w:after="60"/>
      <w:contextualSpacing w:val="0"/>
    </w:pPr>
    <w:rPr>
      <w:rFonts w:ascii="Century Gothic" w:hAnsi="Century Gothic"/>
      <w:b/>
      <w:caps/>
    </w:rPr>
  </w:style>
  <w:style w:type="paragraph" w:customStyle="1" w:styleId="AppendixAHeading2">
    <w:name w:val="Appendix A Heading 2"/>
    <w:basedOn w:val="ListParagraph"/>
    <w:link w:val="AppendixAHeading2Char"/>
    <w:autoRedefine/>
    <w:rsid w:val="000D3563"/>
    <w:pPr>
      <w:numPr>
        <w:ilvl w:val="1"/>
        <w:numId w:val="29"/>
      </w:numPr>
      <w:spacing w:after="60"/>
      <w:contextualSpacing w:val="0"/>
    </w:pPr>
    <w:rPr>
      <w:rFonts w:ascii="Century Gothic" w:hAnsi="Century Gothic"/>
      <w:b/>
      <w:color w:val="448A99"/>
      <w:sz w:val="21"/>
      <w:szCs w:val="21"/>
    </w:rPr>
  </w:style>
  <w:style w:type="paragraph" w:customStyle="1" w:styleId="AppendixBHeading1">
    <w:name w:val="Appendix B Heading 1"/>
    <w:basedOn w:val="ListParagraph"/>
    <w:link w:val="AppendixBHeading1Char"/>
    <w:rsid w:val="00D613BE"/>
    <w:pPr>
      <w:numPr>
        <w:numId w:val="30"/>
      </w:numPr>
      <w:spacing w:after="120"/>
      <w:contextualSpacing w:val="0"/>
    </w:pPr>
    <w:rPr>
      <w:rFonts w:ascii="Century Gothic" w:hAnsi="Century Gothic"/>
      <w:b/>
      <w:caps/>
      <w:color w:val="404040" w:themeColor="text1" w:themeTint="BF"/>
    </w:rPr>
  </w:style>
  <w:style w:type="character" w:customStyle="1" w:styleId="AppendixAHeading2Char">
    <w:name w:val="Appendix A Heading 2 Char"/>
    <w:basedOn w:val="DefaultParagraphFont"/>
    <w:link w:val="AppendixAHeading2"/>
    <w:rsid w:val="000D3563"/>
    <w:rPr>
      <w:rFonts w:ascii="Century Gothic" w:hAnsi="Century Gothic"/>
      <w:b/>
      <w:color w:val="448A99"/>
      <w:sz w:val="21"/>
      <w:szCs w:val="21"/>
    </w:rPr>
  </w:style>
  <w:style w:type="paragraph" w:customStyle="1" w:styleId="AppendixBHeading2">
    <w:name w:val="Appendix B Heading 2"/>
    <w:basedOn w:val="ListParagraph"/>
    <w:link w:val="AppendixBHeading2Char"/>
    <w:rsid w:val="00D613BE"/>
    <w:pPr>
      <w:numPr>
        <w:ilvl w:val="1"/>
        <w:numId w:val="30"/>
      </w:numPr>
      <w:spacing w:after="60"/>
      <w:contextualSpacing w:val="0"/>
    </w:pPr>
    <w:rPr>
      <w:rFonts w:ascii="Century Gothic" w:hAnsi="Century Gothic"/>
      <w:b/>
      <w:color w:val="448A99"/>
    </w:rPr>
  </w:style>
  <w:style w:type="character" w:customStyle="1" w:styleId="AppendixBHeading1Char">
    <w:name w:val="Appendix B Heading 1 Char"/>
    <w:basedOn w:val="DefaultParagraphFont"/>
    <w:link w:val="AppendixBHeading1"/>
    <w:rsid w:val="00D613BE"/>
    <w:rPr>
      <w:rFonts w:ascii="Century Gothic" w:hAnsi="Century Gothic"/>
      <w:b/>
      <w:caps/>
      <w:color w:val="404040" w:themeColor="text1" w:themeTint="BF"/>
      <w:sz w:val="22"/>
    </w:rPr>
  </w:style>
  <w:style w:type="paragraph" w:customStyle="1" w:styleId="AppendixCHeading1">
    <w:name w:val="Appendix C Heading 1"/>
    <w:basedOn w:val="Normal"/>
    <w:link w:val="AppendixCHeading1Char"/>
    <w:rsid w:val="00E45861"/>
    <w:pPr>
      <w:numPr>
        <w:numId w:val="4"/>
      </w:numPr>
      <w:spacing w:after="120"/>
    </w:pPr>
    <w:rPr>
      <w:rFonts w:ascii="Century Gothic" w:hAnsi="Century Gothic"/>
      <w:b/>
      <w:caps/>
    </w:rPr>
  </w:style>
  <w:style w:type="character" w:customStyle="1" w:styleId="AppendixBHeading2Char">
    <w:name w:val="Appendix B Heading 2 Char"/>
    <w:basedOn w:val="DefaultParagraphFont"/>
    <w:link w:val="AppendixBHeading2"/>
    <w:rsid w:val="00D613BE"/>
    <w:rPr>
      <w:rFonts w:ascii="Century Gothic" w:hAnsi="Century Gothic"/>
      <w:b/>
      <w:color w:val="448A99"/>
      <w:sz w:val="22"/>
    </w:rPr>
  </w:style>
  <w:style w:type="paragraph" w:customStyle="1" w:styleId="AppendixCHeading2">
    <w:name w:val="Appendix C Heading 2"/>
    <w:basedOn w:val="Normal"/>
    <w:link w:val="AppendixCHeading2Char"/>
    <w:rsid w:val="00336158"/>
    <w:pPr>
      <w:numPr>
        <w:ilvl w:val="1"/>
        <w:numId w:val="4"/>
      </w:numPr>
      <w:spacing w:after="120"/>
    </w:pPr>
    <w:rPr>
      <w:rFonts w:ascii="Century Gothic" w:hAnsi="Century Gothic"/>
      <w:b/>
      <w:color w:val="448A99"/>
    </w:rPr>
  </w:style>
  <w:style w:type="character" w:customStyle="1" w:styleId="AppendixCHeading1Char">
    <w:name w:val="Appendix C Heading 1 Char"/>
    <w:basedOn w:val="DefaultParagraphFont"/>
    <w:link w:val="AppendixCHeading1"/>
    <w:rsid w:val="00E45861"/>
    <w:rPr>
      <w:rFonts w:ascii="Century Gothic" w:hAnsi="Century Gothic"/>
      <w:b/>
      <w:caps/>
      <w:sz w:val="22"/>
      <w:szCs w:val="22"/>
    </w:rPr>
  </w:style>
  <w:style w:type="paragraph" w:customStyle="1" w:styleId="AppendixAHeading3">
    <w:name w:val="Appendix A Heading 3"/>
    <w:basedOn w:val="ListParagraph"/>
    <w:link w:val="AppendixAHeading3Char"/>
    <w:rsid w:val="009C0DF1"/>
    <w:pPr>
      <w:numPr>
        <w:ilvl w:val="2"/>
        <w:numId w:val="29"/>
      </w:numPr>
      <w:spacing w:after="60"/>
      <w:contextualSpacing w:val="0"/>
    </w:pPr>
    <w:rPr>
      <w:rFonts w:ascii="Century Gothic" w:hAnsi="Century Gothic"/>
      <w:color w:val="404040" w:themeColor="text1" w:themeTint="BF"/>
      <w:sz w:val="21"/>
      <w:szCs w:val="21"/>
    </w:rPr>
  </w:style>
  <w:style w:type="character" w:customStyle="1" w:styleId="AppendixCHeading2Char">
    <w:name w:val="Appendix C Heading 2 Char"/>
    <w:basedOn w:val="DefaultParagraphFont"/>
    <w:link w:val="AppendixCHeading2"/>
    <w:rsid w:val="00336158"/>
    <w:rPr>
      <w:rFonts w:ascii="Century Gothic" w:hAnsi="Century Gothic"/>
      <w:b/>
      <w:color w:val="448A99"/>
      <w:sz w:val="22"/>
      <w:szCs w:val="22"/>
    </w:rPr>
  </w:style>
  <w:style w:type="paragraph" w:customStyle="1" w:styleId="AppendixBHeading3">
    <w:name w:val="Appendix B Heading 3"/>
    <w:basedOn w:val="ListParagraph"/>
    <w:link w:val="AppendixBHeading3Char"/>
    <w:rsid w:val="00D613BE"/>
    <w:pPr>
      <w:numPr>
        <w:ilvl w:val="2"/>
        <w:numId w:val="30"/>
      </w:numPr>
      <w:spacing w:after="60"/>
      <w:contextualSpacing w:val="0"/>
    </w:pPr>
    <w:rPr>
      <w:rFonts w:ascii="Century Gothic" w:hAnsi="Century Gothic"/>
      <w:sz w:val="21"/>
      <w:szCs w:val="21"/>
    </w:rPr>
  </w:style>
  <w:style w:type="character" w:customStyle="1" w:styleId="AppendixAHeading3Char">
    <w:name w:val="Appendix A Heading 3 Char"/>
    <w:basedOn w:val="AppendixAHeading2Char"/>
    <w:link w:val="AppendixAHeading3"/>
    <w:rsid w:val="009C0DF1"/>
    <w:rPr>
      <w:rFonts w:ascii="Century Gothic" w:hAnsi="Century Gothic"/>
      <w:b w:val="0"/>
      <w:color w:val="404040" w:themeColor="text1" w:themeTint="BF"/>
      <w:sz w:val="21"/>
      <w:szCs w:val="21"/>
    </w:rPr>
  </w:style>
  <w:style w:type="paragraph" w:customStyle="1" w:styleId="AppendixCHeading3">
    <w:name w:val="Appendix C Heading 3"/>
    <w:basedOn w:val="AppendixBHeading3"/>
    <w:link w:val="AppendixCHeading3Char"/>
    <w:rsid w:val="00B47FF4"/>
    <w:pPr>
      <w:numPr>
        <w:numId w:val="4"/>
      </w:numPr>
    </w:pPr>
  </w:style>
  <w:style w:type="character" w:customStyle="1" w:styleId="AppendixBHeading3Char">
    <w:name w:val="Appendix B Heading 3 Char"/>
    <w:basedOn w:val="AppendixAHeading3Char"/>
    <w:link w:val="AppendixBHeading3"/>
    <w:rsid w:val="00D613BE"/>
    <w:rPr>
      <w:rFonts w:ascii="Century Gothic" w:hAnsi="Century Gothic"/>
      <w:b w:val="0"/>
      <w:color w:val="404040" w:themeColor="text1" w:themeTint="BF"/>
      <w:sz w:val="21"/>
      <w:szCs w:val="21"/>
    </w:rPr>
  </w:style>
  <w:style w:type="paragraph" w:customStyle="1" w:styleId="AppendixDHeading1">
    <w:name w:val="Appendix D Heading 1"/>
    <w:basedOn w:val="Normal"/>
    <w:link w:val="AppendixDHeading1Char"/>
    <w:rsid w:val="003215BA"/>
    <w:pPr>
      <w:numPr>
        <w:numId w:val="5"/>
      </w:numPr>
      <w:spacing w:after="120"/>
    </w:pPr>
    <w:rPr>
      <w:rFonts w:ascii="Century Gothic" w:hAnsi="Century Gothic"/>
      <w:b/>
      <w:smallCaps/>
      <w:sz w:val="24"/>
    </w:rPr>
  </w:style>
  <w:style w:type="character" w:customStyle="1" w:styleId="AppendixCHeading3Char">
    <w:name w:val="Appendix C Heading 3 Char"/>
    <w:basedOn w:val="AppendixBHeading3Char"/>
    <w:link w:val="AppendixCHeading3"/>
    <w:rsid w:val="00B47FF4"/>
    <w:rPr>
      <w:rFonts w:ascii="Century Gothic" w:hAnsi="Century Gothic"/>
      <w:b w:val="0"/>
      <w:color w:val="448A99"/>
      <w:sz w:val="22"/>
      <w:szCs w:val="21"/>
    </w:rPr>
  </w:style>
  <w:style w:type="paragraph" w:customStyle="1" w:styleId="AppendixDHeading2">
    <w:name w:val="Appendix D Heading 2"/>
    <w:basedOn w:val="Normal"/>
    <w:link w:val="AppendixDHeading2Char"/>
    <w:rsid w:val="003215BA"/>
    <w:pPr>
      <w:numPr>
        <w:ilvl w:val="1"/>
        <w:numId w:val="5"/>
      </w:numPr>
      <w:spacing w:after="120"/>
    </w:pPr>
    <w:rPr>
      <w:rFonts w:ascii="Century Gothic" w:hAnsi="Century Gothic"/>
      <w:b/>
      <w:color w:val="448A99"/>
    </w:rPr>
  </w:style>
  <w:style w:type="character" w:customStyle="1" w:styleId="AppendixDHeading1Char">
    <w:name w:val="Appendix D Heading 1 Char"/>
    <w:basedOn w:val="DefaultParagraphFont"/>
    <w:link w:val="AppendixDHeading1"/>
    <w:rsid w:val="003215BA"/>
    <w:rPr>
      <w:rFonts w:ascii="Century Gothic" w:hAnsi="Century Gothic"/>
      <w:b/>
      <w:smallCaps/>
      <w:sz w:val="24"/>
      <w:szCs w:val="22"/>
    </w:rPr>
  </w:style>
  <w:style w:type="paragraph" w:customStyle="1" w:styleId="AppendixDHeading3">
    <w:name w:val="Appendix D Heading 3"/>
    <w:basedOn w:val="AppendixCHeading3"/>
    <w:link w:val="AppendixDHeading3Char"/>
    <w:rsid w:val="003215BA"/>
    <w:pPr>
      <w:numPr>
        <w:numId w:val="5"/>
      </w:numPr>
    </w:pPr>
  </w:style>
  <w:style w:type="character" w:customStyle="1" w:styleId="AppendixDHeading2Char">
    <w:name w:val="Appendix D Heading 2 Char"/>
    <w:basedOn w:val="DefaultParagraphFont"/>
    <w:link w:val="AppendixDHeading2"/>
    <w:rsid w:val="003215BA"/>
    <w:rPr>
      <w:rFonts w:ascii="Century Gothic" w:hAnsi="Century Gothic"/>
      <w:b/>
      <w:color w:val="448A99"/>
      <w:sz w:val="22"/>
      <w:szCs w:val="22"/>
    </w:rPr>
  </w:style>
  <w:style w:type="character" w:customStyle="1" w:styleId="AppendixDHeading3Char">
    <w:name w:val="Appendix D Heading 3 Char"/>
    <w:basedOn w:val="AppendixCHeading3Char"/>
    <w:link w:val="AppendixDHeading3"/>
    <w:rsid w:val="003215BA"/>
    <w:rPr>
      <w:rFonts w:ascii="Century Gothic" w:hAnsi="Century Gothic"/>
      <w:b w:val="0"/>
      <w:color w:val="448A99"/>
      <w:sz w:val="22"/>
      <w:szCs w:val="21"/>
    </w:rPr>
  </w:style>
  <w:style w:type="paragraph" w:customStyle="1" w:styleId="AppendixEHeading1">
    <w:name w:val="Appendix E Heading 1"/>
    <w:basedOn w:val="Normal"/>
    <w:link w:val="AppendixEHeading1Char"/>
    <w:rsid w:val="003B6A8A"/>
    <w:pPr>
      <w:numPr>
        <w:numId w:val="6"/>
      </w:numPr>
      <w:spacing w:after="60"/>
    </w:pPr>
    <w:rPr>
      <w:rFonts w:ascii="Century Gothic" w:hAnsi="Century Gothic"/>
      <w:b/>
      <w:caps/>
      <w:color w:val="404040" w:themeColor="text1" w:themeTint="BF"/>
      <w:spacing w:val="-12"/>
    </w:rPr>
  </w:style>
  <w:style w:type="paragraph" w:customStyle="1" w:styleId="AppendixEHeading2">
    <w:name w:val="Appendix E Heading 2"/>
    <w:basedOn w:val="Normal"/>
    <w:link w:val="AppendixEHeading2Char"/>
    <w:rsid w:val="003B6A8A"/>
    <w:pPr>
      <w:numPr>
        <w:ilvl w:val="1"/>
        <w:numId w:val="6"/>
      </w:numPr>
      <w:spacing w:after="60"/>
      <w:ind w:left="0"/>
    </w:pPr>
    <w:rPr>
      <w:rFonts w:ascii="Century Gothic" w:hAnsi="Century Gothic"/>
      <w:b/>
      <w:color w:val="448A99"/>
      <w:sz w:val="21"/>
      <w:szCs w:val="21"/>
    </w:rPr>
  </w:style>
  <w:style w:type="character" w:customStyle="1" w:styleId="AppendixEHeading1Char">
    <w:name w:val="Appendix E Heading 1 Char"/>
    <w:basedOn w:val="DefaultParagraphFont"/>
    <w:link w:val="AppendixEHeading1"/>
    <w:rsid w:val="003B6A8A"/>
    <w:rPr>
      <w:rFonts w:ascii="Century Gothic" w:hAnsi="Century Gothic"/>
      <w:b/>
      <w:caps/>
      <w:color w:val="404040" w:themeColor="text1" w:themeTint="BF"/>
      <w:spacing w:val="-12"/>
      <w:sz w:val="22"/>
      <w:szCs w:val="22"/>
    </w:rPr>
  </w:style>
  <w:style w:type="paragraph" w:customStyle="1" w:styleId="AppendixEHeading3">
    <w:name w:val="Appendix E Heading 3"/>
    <w:basedOn w:val="Normal"/>
    <w:link w:val="AppendixEHeading3Char"/>
    <w:rsid w:val="00783A5F"/>
    <w:pPr>
      <w:numPr>
        <w:ilvl w:val="2"/>
        <w:numId w:val="6"/>
      </w:numPr>
    </w:pPr>
    <w:rPr>
      <w:rFonts w:ascii="Century Gothic" w:hAnsi="Century Gothic"/>
      <w:b/>
      <w:i/>
      <w:sz w:val="20"/>
    </w:rPr>
  </w:style>
  <w:style w:type="character" w:customStyle="1" w:styleId="AppendixEHeading2Char">
    <w:name w:val="Appendix E Heading 2 Char"/>
    <w:basedOn w:val="DefaultParagraphFont"/>
    <w:link w:val="AppendixEHeading2"/>
    <w:rsid w:val="003B6A8A"/>
    <w:rPr>
      <w:rFonts w:ascii="Century Gothic" w:hAnsi="Century Gothic"/>
      <w:b/>
      <w:color w:val="448A99"/>
      <w:sz w:val="21"/>
      <w:szCs w:val="21"/>
    </w:rPr>
  </w:style>
  <w:style w:type="character" w:customStyle="1" w:styleId="AppendixEHeading3Char">
    <w:name w:val="Appendix E Heading 3 Char"/>
    <w:basedOn w:val="DefaultParagraphFont"/>
    <w:link w:val="AppendixEHeading3"/>
    <w:rsid w:val="00783A5F"/>
    <w:rPr>
      <w:rFonts w:ascii="Century Gothic" w:hAnsi="Century Gothic"/>
      <w:b/>
      <w:i/>
      <w:szCs w:val="22"/>
    </w:rPr>
  </w:style>
  <w:style w:type="table" w:customStyle="1" w:styleId="MediumShading1-Accent52">
    <w:name w:val="Medium Shading 1 - Accent 52"/>
    <w:basedOn w:val="TableNormal"/>
    <w:next w:val="MediumShading1-Accent5"/>
    <w:uiPriority w:val="63"/>
    <w:rsid w:val="00D42C9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
    <w:name w:val="Medium Shading 1 - Accent 53"/>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
    <w:name w:val="Medium Shading 1 - Accent 54"/>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
    <w:name w:val="Medium Shading 1 - Accent 55"/>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
    <w:name w:val="Medium Shading 1 - Accent 56"/>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
    <w:name w:val="Medium Shading 1 - Accent 57"/>
    <w:basedOn w:val="TableNormal"/>
    <w:next w:val="MediumShading1-Accent5"/>
    <w:uiPriority w:val="63"/>
    <w:rsid w:val="00617B5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
    <w:name w:val="Medium Shading 1 - Accent 526"/>
    <w:basedOn w:val="TableNormal"/>
    <w:next w:val="MediumShading1-Accent5"/>
    <w:uiPriority w:val="63"/>
    <w:rsid w:val="0097062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ppendixFHeading10">
    <w:name w:val="Appendix F Heading 1"/>
    <w:basedOn w:val="Normal"/>
    <w:rsid w:val="000C1C62"/>
    <w:rPr>
      <w:rFonts w:ascii="Century Gothic" w:hAnsi="Century Gothic"/>
      <w:b/>
      <w:sz w:val="24"/>
    </w:rPr>
  </w:style>
  <w:style w:type="paragraph" w:customStyle="1" w:styleId="AppendixFHeading1">
    <w:name w:val="AppendixF Heading1"/>
    <w:basedOn w:val="Normal"/>
    <w:rsid w:val="00C61F80"/>
    <w:pPr>
      <w:numPr>
        <w:numId w:val="7"/>
      </w:numPr>
    </w:pPr>
    <w:rPr>
      <w:rFonts w:ascii="Century Gothic" w:hAnsi="Century Gothic"/>
      <w:b/>
      <w:smallCaps/>
      <w:sz w:val="24"/>
    </w:rPr>
  </w:style>
  <w:style w:type="paragraph" w:customStyle="1" w:styleId="AppendixFHeading2">
    <w:name w:val="AppendixF Heading2"/>
    <w:basedOn w:val="Normal"/>
    <w:rsid w:val="00C61F80"/>
    <w:pPr>
      <w:numPr>
        <w:ilvl w:val="1"/>
        <w:numId w:val="7"/>
      </w:numPr>
    </w:pPr>
    <w:rPr>
      <w:rFonts w:ascii="Century Gothic" w:hAnsi="Century Gothic"/>
      <w:b/>
      <w:color w:val="448A99"/>
    </w:rPr>
  </w:style>
  <w:style w:type="paragraph" w:customStyle="1" w:styleId="AppendixFHeading3">
    <w:name w:val="AppendixF Heading3"/>
    <w:basedOn w:val="Normal"/>
    <w:rsid w:val="00C61F80"/>
    <w:pPr>
      <w:numPr>
        <w:ilvl w:val="2"/>
        <w:numId w:val="7"/>
      </w:numPr>
    </w:pPr>
    <w:rPr>
      <w:rFonts w:ascii="Century Gothic" w:hAnsi="Century Gothic"/>
      <w:b/>
      <w:i/>
      <w:sz w:val="20"/>
    </w:rPr>
  </w:style>
  <w:style w:type="paragraph" w:customStyle="1" w:styleId="bullettext">
    <w:name w:val="bullettext"/>
    <w:basedOn w:val="Normal"/>
    <w:qFormat/>
    <w:rsid w:val="00327555"/>
    <w:pPr>
      <w:spacing w:after="120"/>
    </w:pPr>
  </w:style>
  <w:style w:type="table" w:customStyle="1" w:styleId="AnnualReportTableStyle">
    <w:name w:val="Annual Report Table Style"/>
    <w:basedOn w:val="TableNormal"/>
    <w:uiPriority w:val="99"/>
    <w:rsid w:val="006504D9"/>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1">
    <w:name w:val="No List1"/>
    <w:next w:val="NoList"/>
    <w:uiPriority w:val="99"/>
    <w:semiHidden/>
    <w:unhideWhenUsed/>
    <w:rsid w:val="00941B77"/>
  </w:style>
  <w:style w:type="table" w:customStyle="1" w:styleId="TableGrid1">
    <w:name w:val="Table Grid1"/>
    <w:basedOn w:val="TableNormal"/>
    <w:next w:val="TableGrid"/>
    <w:uiPriority w:val="59"/>
    <w:rsid w:val="00941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
    <w:name w:val="Medium Shading 111"/>
    <w:basedOn w:val="TableNormal"/>
    <w:uiPriority w:val="63"/>
    <w:rsid w:val="00941B7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
    <w:name w:val="Medium Shading 1 - Accent 111"/>
    <w:basedOn w:val="TableNormal"/>
    <w:uiPriority w:val="63"/>
    <w:rsid w:val="00941B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
    <w:name w:val="Medium Shading 1 - Accent 58"/>
    <w:basedOn w:val="TableNormal"/>
    <w:next w:val="MediumShading1-Accent5"/>
    <w:uiPriority w:val="63"/>
    <w:rsid w:val="00941B7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
    <w:name w:val="Medium Shading 2 - Accent 111"/>
    <w:basedOn w:val="TableNormal"/>
    <w:uiPriority w:val="64"/>
    <w:rsid w:val="00941B77"/>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
    <w:name w:val="Medium List 2 - Accent 11"/>
    <w:basedOn w:val="TableNormal"/>
    <w:next w:val="MediumList2-Accent1"/>
    <w:uiPriority w:val="66"/>
    <w:rsid w:val="00941B77"/>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
    <w:name w:val="Medium Grid 311"/>
    <w:basedOn w:val="TableNormal"/>
    <w:uiPriority w:val="69"/>
    <w:rsid w:val="00941B7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
    <w:name w:val="Colorful Shading11"/>
    <w:basedOn w:val="TableNormal"/>
    <w:uiPriority w:val="71"/>
    <w:rsid w:val="00941B77"/>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
    <w:name w:val="Light List12"/>
    <w:basedOn w:val="TableNormal"/>
    <w:uiPriority w:val="61"/>
    <w:rsid w:val="00941B7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941B77"/>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
    <w:name w:val="Medium Shading 121"/>
    <w:basedOn w:val="TableNormal"/>
    <w:uiPriority w:val="63"/>
    <w:rsid w:val="00941B7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
    <w:name w:val="Table Grid21"/>
    <w:basedOn w:val="TableNormal"/>
    <w:next w:val="TableGrid"/>
    <w:uiPriority w:val="99"/>
    <w:rsid w:val="00941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99"/>
    <w:rsid w:val="00941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
    <w:name w:val="Light List2"/>
    <w:basedOn w:val="TableNormal"/>
    <w:next w:val="LightList"/>
    <w:uiPriority w:val="61"/>
    <w:rsid w:val="00941B77"/>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
    <w:name w:val="Medium Shading 131"/>
    <w:basedOn w:val="TableNormal"/>
    <w:uiPriority w:val="63"/>
    <w:rsid w:val="00941B77"/>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
    <w:name w:val="Light List121"/>
    <w:basedOn w:val="TableNormal"/>
    <w:uiPriority w:val="61"/>
    <w:rsid w:val="00941B77"/>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
    <w:name w:val="Annual Report Table Style1"/>
    <w:basedOn w:val="TableNormal"/>
    <w:uiPriority w:val="99"/>
    <w:rsid w:val="00941B77"/>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paragraph" w:styleId="DocumentMap">
    <w:name w:val="Document Map"/>
    <w:basedOn w:val="Normal"/>
    <w:link w:val="DocumentMapChar"/>
    <w:uiPriority w:val="99"/>
    <w:semiHidden/>
    <w:unhideWhenUsed/>
    <w:rsid w:val="00941B77"/>
    <w:rPr>
      <w:rFonts w:ascii="Tahoma" w:hAnsi="Tahoma" w:cs="Tahoma"/>
      <w:sz w:val="16"/>
      <w:szCs w:val="16"/>
    </w:rPr>
  </w:style>
  <w:style w:type="character" w:customStyle="1" w:styleId="DocumentMapChar">
    <w:name w:val="Document Map Char"/>
    <w:basedOn w:val="DefaultParagraphFont"/>
    <w:link w:val="DocumentMap"/>
    <w:uiPriority w:val="99"/>
    <w:semiHidden/>
    <w:rsid w:val="00941B77"/>
    <w:rPr>
      <w:rFonts w:ascii="Tahoma" w:hAnsi="Tahoma" w:cs="Tahoma"/>
      <w:sz w:val="16"/>
      <w:szCs w:val="16"/>
    </w:rPr>
  </w:style>
  <w:style w:type="paragraph" w:styleId="EndnoteText">
    <w:name w:val="endnote text"/>
    <w:basedOn w:val="Normal"/>
    <w:link w:val="EndnoteTextChar"/>
    <w:uiPriority w:val="99"/>
    <w:semiHidden/>
    <w:unhideWhenUsed/>
    <w:rsid w:val="00941B77"/>
    <w:rPr>
      <w:sz w:val="20"/>
      <w:szCs w:val="20"/>
    </w:rPr>
  </w:style>
  <w:style w:type="character" w:customStyle="1" w:styleId="EndnoteTextChar">
    <w:name w:val="Endnote Text Char"/>
    <w:basedOn w:val="DefaultParagraphFont"/>
    <w:link w:val="EndnoteText"/>
    <w:uiPriority w:val="99"/>
    <w:semiHidden/>
    <w:rsid w:val="00941B77"/>
  </w:style>
  <w:style w:type="character" w:styleId="EndnoteReference">
    <w:name w:val="endnote reference"/>
    <w:basedOn w:val="DefaultParagraphFont"/>
    <w:uiPriority w:val="99"/>
    <w:semiHidden/>
    <w:unhideWhenUsed/>
    <w:rsid w:val="00941B77"/>
    <w:rPr>
      <w:vertAlign w:val="superscript"/>
    </w:rPr>
  </w:style>
  <w:style w:type="numbering" w:customStyle="1" w:styleId="NoList2">
    <w:name w:val="No List2"/>
    <w:next w:val="NoList"/>
    <w:uiPriority w:val="99"/>
    <w:semiHidden/>
    <w:unhideWhenUsed/>
    <w:rsid w:val="008159F1"/>
  </w:style>
  <w:style w:type="table" w:customStyle="1" w:styleId="TableGrid4">
    <w:name w:val="Table Grid4"/>
    <w:basedOn w:val="TableNormal"/>
    <w:next w:val="TableGrid"/>
    <w:uiPriority w:val="59"/>
    <w:rsid w:val="008159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
    <w:name w:val="Medium Shading 112"/>
    <w:basedOn w:val="TableNormal"/>
    <w:uiPriority w:val="63"/>
    <w:rsid w:val="008159F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
    <w:name w:val="Medium Shading 1 - Accent 112"/>
    <w:basedOn w:val="TableNormal"/>
    <w:uiPriority w:val="63"/>
    <w:rsid w:val="008159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
    <w:name w:val="Medium Shading 1 - Accent 59"/>
    <w:basedOn w:val="TableNormal"/>
    <w:next w:val="MediumShading1-Accent5"/>
    <w:uiPriority w:val="63"/>
    <w:rsid w:val="008159F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
    <w:name w:val="Medium Shading 2 - Accent 112"/>
    <w:basedOn w:val="TableNormal"/>
    <w:uiPriority w:val="64"/>
    <w:rsid w:val="008159F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
    <w:name w:val="Medium List 2 - Accent 12"/>
    <w:basedOn w:val="TableNormal"/>
    <w:next w:val="MediumList2-Accent1"/>
    <w:uiPriority w:val="66"/>
    <w:rsid w:val="008159F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
    <w:name w:val="Medium Grid 312"/>
    <w:basedOn w:val="TableNormal"/>
    <w:uiPriority w:val="69"/>
    <w:rsid w:val="008159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
    <w:name w:val="Colorful Shading12"/>
    <w:basedOn w:val="TableNormal"/>
    <w:uiPriority w:val="71"/>
    <w:rsid w:val="008159F1"/>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
    <w:name w:val="Light List13"/>
    <w:basedOn w:val="TableNormal"/>
    <w:uiPriority w:val="61"/>
    <w:rsid w:val="008159F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8159F1"/>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
    <w:name w:val="Medium Shading 122"/>
    <w:basedOn w:val="TableNormal"/>
    <w:uiPriority w:val="63"/>
    <w:rsid w:val="008159F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
    <w:name w:val="Table Grid22"/>
    <w:basedOn w:val="TableNormal"/>
    <w:next w:val="TableGrid"/>
    <w:uiPriority w:val="99"/>
    <w:rsid w:val="008159F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99"/>
    <w:rsid w:val="008159F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
    <w:name w:val="Light List3"/>
    <w:basedOn w:val="TableNormal"/>
    <w:next w:val="LightList"/>
    <w:uiPriority w:val="61"/>
    <w:rsid w:val="008159F1"/>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
    <w:name w:val="Medium Shading 132"/>
    <w:basedOn w:val="TableNormal"/>
    <w:uiPriority w:val="63"/>
    <w:rsid w:val="008159F1"/>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
    <w:name w:val="Light List122"/>
    <w:basedOn w:val="TableNormal"/>
    <w:uiPriority w:val="61"/>
    <w:rsid w:val="008159F1"/>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
    <w:name w:val="Annual Report Table Style2"/>
    <w:basedOn w:val="TableNormal"/>
    <w:uiPriority w:val="99"/>
    <w:rsid w:val="008159F1"/>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15">
    <w:name w:val="Medium Shading 1 - Accent 515"/>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
    <w:name w:val="Medium Shading 1 - Accent 516"/>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
    <w:name w:val="Medium Shading 1 - Accent 517"/>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
    <w:name w:val="Medium Shading 1 - Accent 518"/>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
    <w:name w:val="Medium Shading 1 - Accent 519"/>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
    <w:name w:val="Medium Shading 1 - Accent 520"/>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
    <w:name w:val="Medium Shading 1 - Accent 521"/>
    <w:basedOn w:val="TableNormal"/>
    <w:next w:val="MediumShading1-Accent5"/>
    <w:uiPriority w:val="63"/>
    <w:rsid w:val="008606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
    <w:name w:val="Medium Shading 1 - Accent 522"/>
    <w:basedOn w:val="TableNormal"/>
    <w:next w:val="MediumShading1-Accent5"/>
    <w:uiPriority w:val="63"/>
    <w:rsid w:val="008606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
    <w:name w:val="Medium Shading 1 - Accent 523"/>
    <w:basedOn w:val="TableNormal"/>
    <w:next w:val="MediumShading1-Accent5"/>
    <w:uiPriority w:val="63"/>
    <w:rsid w:val="008606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
    <w:name w:val="Medium Shading 1 - Accent 524"/>
    <w:basedOn w:val="TableNormal"/>
    <w:next w:val="MediumShading1-Accent5"/>
    <w:uiPriority w:val="63"/>
    <w:rsid w:val="008606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
    <w:name w:val="Medium Shading 1 - Accent 525"/>
    <w:basedOn w:val="TableNormal"/>
    <w:next w:val="MediumShading1-Accent5"/>
    <w:uiPriority w:val="63"/>
    <w:rsid w:val="00231FD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
    <w:name w:val="Annual Report Table Style3"/>
    <w:basedOn w:val="TableNormal"/>
    <w:uiPriority w:val="99"/>
    <w:rsid w:val="009B7E1B"/>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4">
    <w:name w:val="Annual Report Table Style4"/>
    <w:basedOn w:val="TableNormal"/>
    <w:uiPriority w:val="99"/>
    <w:rsid w:val="009B7E1B"/>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5">
    <w:name w:val="Annual Report Table Style5"/>
    <w:basedOn w:val="TableNormal"/>
    <w:uiPriority w:val="99"/>
    <w:rsid w:val="00137FB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6">
    <w:name w:val="Annual Report Table Style6"/>
    <w:basedOn w:val="TableNormal"/>
    <w:uiPriority w:val="99"/>
    <w:rsid w:val="00AF273C"/>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7">
    <w:name w:val="Annual Report Table Style7"/>
    <w:basedOn w:val="TableNormal"/>
    <w:uiPriority w:val="99"/>
    <w:rsid w:val="00FA6727"/>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8">
    <w:name w:val="Annual Report Table Style8"/>
    <w:basedOn w:val="TableNormal"/>
    <w:uiPriority w:val="99"/>
    <w:rsid w:val="009E0654"/>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9">
    <w:name w:val="Annual Report Table Style9"/>
    <w:basedOn w:val="TableNormal"/>
    <w:uiPriority w:val="99"/>
    <w:rsid w:val="007920D2"/>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10">
    <w:name w:val="Annual Report Table Style10"/>
    <w:basedOn w:val="TableNormal"/>
    <w:uiPriority w:val="99"/>
    <w:rsid w:val="00F72CC7"/>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paragraph" w:customStyle="1" w:styleId="subheading">
    <w:name w:val="subheading"/>
    <w:basedOn w:val="Normal"/>
    <w:qFormat/>
    <w:rsid w:val="00B44AFF"/>
    <w:pPr>
      <w:spacing w:after="60"/>
      <w:outlineLvl w:val="0"/>
    </w:pPr>
    <w:rPr>
      <w:rFonts w:ascii="Century Gothic" w:hAnsi="Century Gothic"/>
      <w:b/>
    </w:rPr>
  </w:style>
  <w:style w:type="character" w:styleId="FollowedHyperlink">
    <w:name w:val="FollowedHyperlink"/>
    <w:basedOn w:val="DefaultParagraphFont"/>
    <w:uiPriority w:val="99"/>
    <w:semiHidden/>
    <w:unhideWhenUsed/>
    <w:rsid w:val="00312A5B"/>
    <w:rPr>
      <w:color w:val="800080" w:themeColor="followedHyperlink"/>
      <w:u w:val="single"/>
    </w:rPr>
  </w:style>
  <w:style w:type="character" w:styleId="PageNumber">
    <w:name w:val="page number"/>
    <w:uiPriority w:val="99"/>
    <w:rsid w:val="00A8090B"/>
    <w:rPr>
      <w:rFonts w:cs="Times New Roman"/>
    </w:rPr>
  </w:style>
  <w:style w:type="paragraph" w:styleId="BodyText">
    <w:name w:val="Body Text"/>
    <w:basedOn w:val="Normal"/>
    <w:link w:val="BodyTextChar"/>
    <w:uiPriority w:val="99"/>
    <w:rsid w:val="00A8090B"/>
    <w:pPr>
      <w:overflowPunct w:val="0"/>
      <w:autoSpaceDE w:val="0"/>
      <w:autoSpaceDN w:val="0"/>
      <w:adjustRightInd w:val="0"/>
      <w:spacing w:after="200" w:line="288" w:lineRule="auto"/>
      <w:ind w:right="-187"/>
      <w:jc w:val="left"/>
      <w:textAlignment w:val="baseline"/>
    </w:pPr>
    <w:rPr>
      <w:rFonts w:ascii="Arial" w:hAnsi="Arial"/>
      <w:sz w:val="20"/>
      <w:szCs w:val="20"/>
    </w:rPr>
  </w:style>
  <w:style w:type="character" w:customStyle="1" w:styleId="BodyTextChar">
    <w:name w:val="Body Text Char"/>
    <w:basedOn w:val="DefaultParagraphFont"/>
    <w:link w:val="BodyText"/>
    <w:uiPriority w:val="99"/>
    <w:rsid w:val="00A8090B"/>
    <w:rPr>
      <w:rFonts w:ascii="Arial" w:hAnsi="Arial"/>
    </w:rPr>
  </w:style>
  <w:style w:type="character" w:customStyle="1" w:styleId="apple-converted-space">
    <w:name w:val="apple-converted-space"/>
    <w:basedOn w:val="DefaultParagraphFont"/>
    <w:rsid w:val="0008188B"/>
  </w:style>
  <w:style w:type="paragraph" w:customStyle="1" w:styleId="AppendixCHeading4">
    <w:name w:val="Appendix C Heading 4"/>
    <w:basedOn w:val="AppendixCHeading3"/>
    <w:rsid w:val="000B36EC"/>
    <w:pPr>
      <w:numPr>
        <w:ilvl w:val="3"/>
      </w:numPr>
    </w:pPr>
    <w:rPr>
      <w:b/>
    </w:rPr>
  </w:style>
  <w:style w:type="paragraph" w:customStyle="1" w:styleId="Outline1">
    <w:name w:val="Outline 1"/>
    <w:rsid w:val="00CC68C6"/>
    <w:pPr>
      <w:tabs>
        <w:tab w:val="left" w:pos="720"/>
        <w:tab w:val="left" w:pos="1080"/>
        <w:tab w:val="left" w:pos="1440"/>
        <w:tab w:val="left" w:pos="1800"/>
        <w:tab w:val="left" w:pos="2160"/>
        <w:tab w:val="left" w:pos="2520"/>
        <w:tab w:val="left" w:pos="2880"/>
        <w:tab w:val="left" w:pos="3240"/>
      </w:tabs>
      <w:spacing w:before="60"/>
      <w:ind w:left="720" w:hanging="720"/>
    </w:pPr>
    <w:rPr>
      <w:rFonts w:ascii="Times New Roman" w:hAnsi="Times New Roman"/>
      <w:sz w:val="22"/>
    </w:rPr>
  </w:style>
  <w:style w:type="numbering" w:customStyle="1" w:styleId="NoList3">
    <w:name w:val="No List3"/>
    <w:next w:val="NoList"/>
    <w:uiPriority w:val="99"/>
    <w:semiHidden/>
    <w:unhideWhenUsed/>
    <w:rsid w:val="00661E10"/>
  </w:style>
  <w:style w:type="table" w:customStyle="1" w:styleId="TableGrid5">
    <w:name w:val="Table Grid5"/>
    <w:basedOn w:val="TableNormal"/>
    <w:next w:val="TableGrid"/>
    <w:uiPriority w:val="59"/>
    <w:rsid w:val="00661E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3">
    <w:name w:val="Medium Shading 113"/>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3">
    <w:name w:val="Medium Shading 1 - Accent 113"/>
    <w:basedOn w:val="TableNormal"/>
    <w:uiPriority w:val="63"/>
    <w:rsid w:val="00661E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0">
    <w:name w:val="Medium Shading 1 - Accent 510"/>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3">
    <w:name w:val="Medium Shading 2 - Accent 113"/>
    <w:basedOn w:val="TableNormal"/>
    <w:uiPriority w:val="64"/>
    <w:rsid w:val="00661E1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3">
    <w:name w:val="Medium List 2 - Accent 13"/>
    <w:basedOn w:val="TableNormal"/>
    <w:next w:val="MediumList2-Accent1"/>
    <w:uiPriority w:val="66"/>
    <w:rsid w:val="00661E1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3">
    <w:name w:val="Medium Grid 313"/>
    <w:basedOn w:val="TableNormal"/>
    <w:uiPriority w:val="69"/>
    <w:rsid w:val="00661E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3">
    <w:name w:val="Colorful Shading13"/>
    <w:basedOn w:val="TableNormal"/>
    <w:uiPriority w:val="71"/>
    <w:rsid w:val="00661E1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4">
    <w:name w:val="Light List14"/>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3">
    <w:name w:val="Light List113"/>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3">
    <w:name w:val="Medium Shading 123"/>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3">
    <w:name w:val="Table Grid23"/>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4">
    <w:name w:val="Light List4"/>
    <w:basedOn w:val="TableNormal"/>
    <w:next w:val="LightList"/>
    <w:uiPriority w:val="61"/>
    <w:rsid w:val="00661E10"/>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3">
    <w:name w:val="Medium Shading 133"/>
    <w:basedOn w:val="TableNormal"/>
    <w:uiPriority w:val="63"/>
    <w:rsid w:val="00661E10"/>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7">
    <w:name w:val="Medium Shading 1 - Accent 527"/>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1">
    <w:name w:val="Medium Shading 1 - Accent 51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1">
    <w:name w:val="Medium Shading 1 - Accent 53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1">
    <w:name w:val="Medium Shading 1 - Accent 54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1">
    <w:name w:val="Medium Shading 1 - Accent 55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1">
    <w:name w:val="Medium Shading 1 - Accent 56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1">
    <w:name w:val="Medium Shading 1 - Accent 57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1">
    <w:name w:val="Medium Shading 1 - Accent 526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1">
    <w:name w:val="Annual Report Table Style1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11">
    <w:name w:val="No List11"/>
    <w:next w:val="NoList"/>
    <w:uiPriority w:val="99"/>
    <w:semiHidden/>
    <w:unhideWhenUsed/>
    <w:rsid w:val="00661E10"/>
  </w:style>
  <w:style w:type="table" w:customStyle="1" w:styleId="TableGrid11">
    <w:name w:val="Table Grid11"/>
    <w:basedOn w:val="TableNormal"/>
    <w:next w:val="TableGrid"/>
    <w:uiPriority w:val="59"/>
    <w:rsid w:val="00661E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1">
    <w:name w:val="Medium Shading 1111"/>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1">
    <w:name w:val="Medium Shading 1 - Accent 1111"/>
    <w:basedOn w:val="TableNormal"/>
    <w:uiPriority w:val="63"/>
    <w:rsid w:val="00661E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1">
    <w:name w:val="Medium Shading 1 - Accent 58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1">
    <w:name w:val="Medium Shading 2 - Accent 1111"/>
    <w:basedOn w:val="TableNormal"/>
    <w:uiPriority w:val="64"/>
    <w:rsid w:val="00661E1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1">
    <w:name w:val="Medium List 2 - Accent 111"/>
    <w:basedOn w:val="TableNormal"/>
    <w:next w:val="MediumList2-Accent1"/>
    <w:uiPriority w:val="66"/>
    <w:rsid w:val="00661E1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1">
    <w:name w:val="Medium Grid 3111"/>
    <w:basedOn w:val="TableNormal"/>
    <w:uiPriority w:val="69"/>
    <w:rsid w:val="00661E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1">
    <w:name w:val="Colorful Shading111"/>
    <w:basedOn w:val="TableNormal"/>
    <w:uiPriority w:val="71"/>
    <w:rsid w:val="00661E1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3">
    <w:name w:val="Light List123"/>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1">
    <w:name w:val="Medium Shading 1211"/>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1">
    <w:name w:val="Table Grid211"/>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1">
    <w:name w:val="Light List21"/>
    <w:basedOn w:val="TableNormal"/>
    <w:next w:val="LightList"/>
    <w:uiPriority w:val="61"/>
    <w:rsid w:val="00661E10"/>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1">
    <w:name w:val="Medium Shading 1311"/>
    <w:basedOn w:val="TableNormal"/>
    <w:uiPriority w:val="63"/>
    <w:rsid w:val="00661E10"/>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1">
    <w:name w:val="Light List1211"/>
    <w:basedOn w:val="TableNormal"/>
    <w:uiPriority w:val="61"/>
    <w:rsid w:val="00661E10"/>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2">
    <w:name w:val="Annual Report Table Style12"/>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21">
    <w:name w:val="No List21"/>
    <w:next w:val="NoList"/>
    <w:uiPriority w:val="99"/>
    <w:semiHidden/>
    <w:unhideWhenUsed/>
    <w:rsid w:val="00661E10"/>
  </w:style>
  <w:style w:type="table" w:customStyle="1" w:styleId="TableGrid41">
    <w:name w:val="Table Grid41"/>
    <w:basedOn w:val="TableNormal"/>
    <w:next w:val="TableGrid"/>
    <w:uiPriority w:val="59"/>
    <w:rsid w:val="00661E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1">
    <w:name w:val="Medium Shading 1121"/>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1">
    <w:name w:val="Medium Shading 1 - Accent 1121"/>
    <w:basedOn w:val="TableNormal"/>
    <w:uiPriority w:val="63"/>
    <w:rsid w:val="00661E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1">
    <w:name w:val="Medium Shading 1 - Accent 59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1">
    <w:name w:val="Medium Shading 2 - Accent 1121"/>
    <w:basedOn w:val="TableNormal"/>
    <w:uiPriority w:val="64"/>
    <w:rsid w:val="00661E1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1">
    <w:name w:val="Medium List 2 - Accent 121"/>
    <w:basedOn w:val="TableNormal"/>
    <w:next w:val="MediumList2-Accent1"/>
    <w:uiPriority w:val="66"/>
    <w:rsid w:val="00661E1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1">
    <w:name w:val="Medium Grid 3121"/>
    <w:basedOn w:val="TableNormal"/>
    <w:uiPriority w:val="69"/>
    <w:rsid w:val="00661E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1">
    <w:name w:val="Colorful Shading121"/>
    <w:basedOn w:val="TableNormal"/>
    <w:uiPriority w:val="71"/>
    <w:rsid w:val="00661E1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1">
    <w:name w:val="Light List131"/>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1">
    <w:name w:val="Light List1121"/>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1">
    <w:name w:val="Medium Shading 1221"/>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1">
    <w:name w:val="Table Grid221"/>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1">
    <w:name w:val="Light List31"/>
    <w:basedOn w:val="TableNormal"/>
    <w:next w:val="LightList"/>
    <w:uiPriority w:val="61"/>
    <w:rsid w:val="00661E10"/>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1">
    <w:name w:val="Medium Shading 1321"/>
    <w:basedOn w:val="TableNormal"/>
    <w:uiPriority w:val="63"/>
    <w:rsid w:val="00661E10"/>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1">
    <w:name w:val="Light List1221"/>
    <w:basedOn w:val="TableNormal"/>
    <w:uiPriority w:val="61"/>
    <w:rsid w:val="00661E10"/>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1">
    <w:name w:val="Annual Report Table Style2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151">
    <w:name w:val="Medium Shading 1 - Accent 515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1">
    <w:name w:val="Medium Shading 1 - Accent 516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1">
    <w:name w:val="Medium Shading 1 - Accent 517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1">
    <w:name w:val="Medium Shading 1 - Accent 518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1">
    <w:name w:val="Medium Shading 1 - Accent 519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1">
    <w:name w:val="Medium Shading 1 - Accent 520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1">
    <w:name w:val="Medium Shading 1 - Accent 521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1">
    <w:name w:val="Medium Shading 1 - Accent 522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1">
    <w:name w:val="Medium Shading 1 - Accent 523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1">
    <w:name w:val="Medium Shading 1 - Accent 524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1">
    <w:name w:val="Medium Shading 1 - Accent 525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1">
    <w:name w:val="Annual Report Table Style3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41">
    <w:name w:val="Annual Report Table Style4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51">
    <w:name w:val="Annual Report Table Style5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61">
    <w:name w:val="Annual Report Table Style6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71">
    <w:name w:val="Annual Report Table Style7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81">
    <w:name w:val="Annual Report Table Style8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91">
    <w:name w:val="Annual Report Table Style9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101">
    <w:name w:val="Annual Report Table Style10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82">
    <w:name w:val="Medium Shading 1 - Accent 582"/>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Quote">
    <w:name w:val="Quote"/>
    <w:basedOn w:val="Normal"/>
    <w:next w:val="Normal"/>
    <w:link w:val="QuoteChar"/>
    <w:uiPriority w:val="29"/>
    <w:rsid w:val="00661E10"/>
    <w:pPr>
      <w:spacing w:before="200" w:after="160"/>
      <w:ind w:left="864" w:right="864"/>
      <w:jc w:val="center"/>
    </w:pPr>
    <w:rPr>
      <w:i/>
      <w:iCs/>
      <w:color w:val="404040"/>
    </w:rPr>
  </w:style>
  <w:style w:type="character" w:customStyle="1" w:styleId="QuoteChar">
    <w:name w:val="Quote Char"/>
    <w:basedOn w:val="DefaultParagraphFont"/>
    <w:link w:val="Quote"/>
    <w:uiPriority w:val="29"/>
    <w:rsid w:val="00661E10"/>
    <w:rPr>
      <w:i/>
      <w:iCs/>
      <w:color w:val="404040"/>
      <w:sz w:val="22"/>
      <w:szCs w:val="22"/>
    </w:rPr>
  </w:style>
  <w:style w:type="paragraph" w:styleId="Bibliography">
    <w:name w:val="Bibliography"/>
    <w:basedOn w:val="Normal"/>
    <w:next w:val="Normal"/>
    <w:uiPriority w:val="37"/>
    <w:semiHidden/>
    <w:unhideWhenUsed/>
    <w:rsid w:val="00661E10"/>
  </w:style>
  <w:style w:type="paragraph" w:customStyle="1" w:styleId="Bullet1">
    <w:name w:val="Bullet 1"/>
    <w:basedOn w:val="Normal"/>
    <w:link w:val="Bullet1Char"/>
    <w:qFormat/>
    <w:rsid w:val="00661E10"/>
    <w:pPr>
      <w:numPr>
        <w:numId w:val="15"/>
      </w:numPr>
      <w:spacing w:before="180"/>
      <w:jc w:val="left"/>
    </w:pPr>
    <w:rPr>
      <w:rFonts w:ascii="Times New Roman" w:hAnsi="Times New Roman"/>
      <w:sz w:val="24"/>
      <w:szCs w:val="20"/>
    </w:rPr>
  </w:style>
  <w:style w:type="paragraph" w:customStyle="1" w:styleId="TableHeading">
    <w:name w:val="Table Heading"/>
    <w:basedOn w:val="Normal"/>
    <w:link w:val="TableHeadingChar1"/>
    <w:rsid w:val="00661E10"/>
    <w:pPr>
      <w:keepNext/>
      <w:numPr>
        <w:ilvl w:val="12"/>
      </w:numPr>
      <w:spacing w:before="120" w:after="60"/>
      <w:jc w:val="center"/>
    </w:pPr>
    <w:rPr>
      <w:rFonts w:ascii="Arial Bold" w:hAnsi="Arial Bold" w:cs="Arial"/>
      <w:b/>
      <w:smallCaps/>
      <w:sz w:val="20"/>
      <w:szCs w:val="18"/>
    </w:rPr>
  </w:style>
  <w:style w:type="paragraph" w:customStyle="1" w:styleId="TableBody">
    <w:name w:val="Table Body"/>
    <w:basedOn w:val="Normal"/>
    <w:link w:val="TableBodyChar"/>
    <w:rsid w:val="00661E10"/>
    <w:pPr>
      <w:numPr>
        <w:ilvl w:val="12"/>
      </w:numPr>
      <w:spacing w:before="80" w:after="40"/>
      <w:jc w:val="center"/>
    </w:pPr>
    <w:rPr>
      <w:rFonts w:ascii="Arial" w:hAnsi="Arial" w:cs="Arial"/>
      <w:sz w:val="18"/>
      <w:szCs w:val="18"/>
    </w:rPr>
  </w:style>
  <w:style w:type="paragraph" w:customStyle="1" w:styleId="TableNote">
    <w:name w:val="Table Note"/>
    <w:basedOn w:val="Normal"/>
    <w:rsid w:val="00661E10"/>
    <w:pPr>
      <w:numPr>
        <w:ilvl w:val="12"/>
      </w:numPr>
      <w:spacing w:before="120" w:after="180"/>
      <w:ind w:left="360" w:right="187" w:hanging="187"/>
      <w:jc w:val="left"/>
    </w:pPr>
    <w:rPr>
      <w:rFonts w:ascii="Arial" w:hAnsi="Arial" w:cs="Arial"/>
      <w:sz w:val="16"/>
      <w:szCs w:val="20"/>
    </w:rPr>
  </w:style>
  <w:style w:type="paragraph" w:customStyle="1" w:styleId="TableBodyHeading">
    <w:name w:val="Table Body Heading"/>
    <w:basedOn w:val="Normal"/>
    <w:link w:val="TableBodyHeadingChar"/>
    <w:rsid w:val="00661E10"/>
    <w:pPr>
      <w:numPr>
        <w:ilvl w:val="12"/>
      </w:numPr>
      <w:spacing w:before="80" w:after="40"/>
      <w:ind w:left="144" w:hanging="144"/>
      <w:jc w:val="left"/>
    </w:pPr>
    <w:rPr>
      <w:rFonts w:ascii="Arial" w:hAnsi="Arial" w:cs="Arial"/>
      <w:sz w:val="18"/>
      <w:szCs w:val="18"/>
    </w:rPr>
  </w:style>
  <w:style w:type="numbering" w:customStyle="1" w:styleId="Appendix">
    <w:name w:val="Appendix"/>
    <w:uiPriority w:val="99"/>
    <w:rsid w:val="00661E10"/>
    <w:pPr>
      <w:numPr>
        <w:numId w:val="16"/>
      </w:numPr>
    </w:pPr>
  </w:style>
  <w:style w:type="character" w:customStyle="1" w:styleId="Bullet1Char">
    <w:name w:val="Bullet 1 Char"/>
    <w:link w:val="Bullet1"/>
    <w:locked/>
    <w:rsid w:val="00661E10"/>
    <w:rPr>
      <w:rFonts w:ascii="Times New Roman" w:hAnsi="Times New Roman"/>
      <w:sz w:val="24"/>
    </w:rPr>
  </w:style>
  <w:style w:type="paragraph" w:customStyle="1" w:styleId="TableHeadingLeftAlign">
    <w:name w:val="Table Heading Left Align"/>
    <w:basedOn w:val="TableHeading"/>
    <w:rsid w:val="00661E10"/>
    <w:pPr>
      <w:jc w:val="left"/>
    </w:pPr>
  </w:style>
  <w:style w:type="character" w:customStyle="1" w:styleId="TableBodyChar">
    <w:name w:val="Table Body Char"/>
    <w:link w:val="TableBody"/>
    <w:rsid w:val="00661E10"/>
    <w:rPr>
      <w:rFonts w:ascii="Arial" w:hAnsi="Arial" w:cs="Arial"/>
      <w:sz w:val="18"/>
      <w:szCs w:val="18"/>
    </w:rPr>
  </w:style>
  <w:style w:type="character" w:customStyle="1" w:styleId="TableBodyHeadingChar">
    <w:name w:val="Table Body Heading Char"/>
    <w:link w:val="TableBodyHeading"/>
    <w:rsid w:val="00661E10"/>
    <w:rPr>
      <w:rFonts w:ascii="Arial" w:hAnsi="Arial" w:cs="Arial"/>
      <w:sz w:val="18"/>
      <w:szCs w:val="18"/>
    </w:rPr>
  </w:style>
  <w:style w:type="character" w:customStyle="1" w:styleId="TableHeadingChar1">
    <w:name w:val="Table Heading Char1"/>
    <w:link w:val="TableHeading"/>
    <w:locked/>
    <w:rsid w:val="00661E10"/>
    <w:rPr>
      <w:rFonts w:ascii="Arial Bold" w:hAnsi="Arial Bold" w:cs="Arial"/>
      <w:b/>
      <w:smallCaps/>
      <w:szCs w:val="18"/>
    </w:rPr>
  </w:style>
  <w:style w:type="table" w:styleId="LightList-Accent5">
    <w:name w:val="Light List Accent 5"/>
    <w:basedOn w:val="TableNormal"/>
    <w:uiPriority w:val="61"/>
    <w:rsid w:val="00661E10"/>
    <w:rPr>
      <w:rFonts w:eastAsia="Calibri"/>
      <w:sz w:val="22"/>
      <w:szCs w:val="22"/>
    </w:rPr>
    <w:tblPr>
      <w:tblStyleRowBandSize w:val="1"/>
      <w:tblStyleColBandSize w:val="1"/>
      <w:tblBorders>
        <w:top w:val="single" w:sz="4" w:space="0" w:color="448A99"/>
        <w:left w:val="single" w:sz="4" w:space="0" w:color="448A99"/>
        <w:bottom w:val="single" w:sz="4" w:space="0" w:color="448A99"/>
        <w:right w:val="single" w:sz="4" w:space="0" w:color="448A99"/>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nnualReportTableStyle211">
    <w:name w:val="Annual Report Table Style2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31">
    <w:name w:val="No List31"/>
    <w:next w:val="NoList"/>
    <w:uiPriority w:val="99"/>
    <w:semiHidden/>
    <w:unhideWhenUsed/>
    <w:rsid w:val="00661E10"/>
  </w:style>
  <w:style w:type="paragraph" w:customStyle="1" w:styleId="C1">
    <w:name w:val="C.1"/>
    <w:basedOn w:val="AppendixCHeading1"/>
    <w:link w:val="C1Char"/>
    <w:rsid w:val="00661E10"/>
    <w:pPr>
      <w:numPr>
        <w:numId w:val="0"/>
      </w:numPr>
    </w:pPr>
  </w:style>
  <w:style w:type="paragraph" w:customStyle="1" w:styleId="donotuse">
    <w:name w:val="do not use"/>
    <w:basedOn w:val="ListParagraph"/>
    <w:link w:val="donotuseChar"/>
    <w:rsid w:val="00915BAC"/>
    <w:pPr>
      <w:numPr>
        <w:numId w:val="28"/>
      </w:numPr>
      <w:shd w:val="clear" w:color="auto" w:fill="448A99"/>
      <w:spacing w:after="120"/>
      <w:contextualSpacing w:val="0"/>
    </w:pPr>
    <w:rPr>
      <w:rFonts w:ascii="Britannic Bold" w:hAnsi="Britannic Bold"/>
      <w:caps/>
      <w:color w:val="FFFFFF" w:themeColor="background1"/>
      <w:sz w:val="32"/>
    </w:rPr>
  </w:style>
  <w:style w:type="character" w:customStyle="1" w:styleId="C1Char">
    <w:name w:val="C.1 Char"/>
    <w:basedOn w:val="AppendixCHeading1Char"/>
    <w:link w:val="C1"/>
    <w:rsid w:val="00661E10"/>
    <w:rPr>
      <w:rFonts w:ascii="Century Gothic" w:hAnsi="Century Gothic"/>
      <w:b/>
      <w:caps/>
      <w:smallCaps w:val="0"/>
      <w:sz w:val="24"/>
      <w:szCs w:val="22"/>
    </w:rPr>
  </w:style>
  <w:style w:type="character" w:customStyle="1" w:styleId="donotuseChar">
    <w:name w:val="do not use Char"/>
    <w:link w:val="donotuse"/>
    <w:rsid w:val="00915BAC"/>
    <w:rPr>
      <w:rFonts w:ascii="Britannic Bold" w:hAnsi="Britannic Bold"/>
      <w:caps/>
      <w:color w:val="FFFFFF" w:themeColor="background1"/>
      <w:sz w:val="32"/>
      <w:shd w:val="clear" w:color="auto" w:fill="448A99"/>
    </w:rPr>
  </w:style>
  <w:style w:type="table" w:customStyle="1" w:styleId="AnnualReportTableStyle111">
    <w:name w:val="Annual Report Table Style1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111">
    <w:name w:val="No List111"/>
    <w:next w:val="NoList"/>
    <w:uiPriority w:val="99"/>
    <w:semiHidden/>
    <w:unhideWhenUsed/>
    <w:rsid w:val="00661E10"/>
  </w:style>
  <w:style w:type="table" w:customStyle="1" w:styleId="MediumShading1-Accent583">
    <w:name w:val="Medium Shading 1 - Accent 583"/>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21">
    <w:name w:val="Annual Report Table Style12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211">
    <w:name w:val="No List211"/>
    <w:next w:val="NoList"/>
    <w:uiPriority w:val="99"/>
    <w:semiHidden/>
    <w:unhideWhenUsed/>
    <w:rsid w:val="00661E10"/>
  </w:style>
  <w:style w:type="table" w:customStyle="1" w:styleId="MediumShading1-Accent592">
    <w:name w:val="Medium Shading 1 - Accent 592"/>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22">
    <w:name w:val="Annual Report Table Style22"/>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152">
    <w:name w:val="Medium Shading 1 - Accent 5152"/>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11">
    <w:name w:val="Annual Report Table Style3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411">
    <w:name w:val="Annual Report Table Style4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511">
    <w:name w:val="Annual Report Table Style5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611">
    <w:name w:val="Annual Report Table Style6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711">
    <w:name w:val="Annual Report Table Style7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811">
    <w:name w:val="Annual Report Table Style8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911">
    <w:name w:val="Annual Report Table Style9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1011">
    <w:name w:val="Annual Report Table Style10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paragraph" w:customStyle="1" w:styleId="Bulletlevel1">
    <w:name w:val="Bullet level 1"/>
    <w:basedOn w:val="ListParagraph"/>
    <w:qFormat/>
    <w:rsid w:val="00661E10"/>
    <w:pPr>
      <w:numPr>
        <w:numId w:val="17"/>
      </w:numPr>
      <w:spacing w:after="60"/>
      <w:ind w:left="360"/>
      <w:contextualSpacing w:val="0"/>
    </w:pPr>
    <w:rPr>
      <w:rFonts w:eastAsia="Calibri"/>
      <w:szCs w:val="22"/>
    </w:rPr>
  </w:style>
  <w:style w:type="paragraph" w:customStyle="1" w:styleId="Bulletlevel1-last">
    <w:name w:val="Bullet level 1-last"/>
    <w:basedOn w:val="Bulletlevel1"/>
    <w:qFormat/>
    <w:rsid w:val="00661E10"/>
    <w:pPr>
      <w:spacing w:after="200"/>
    </w:pPr>
  </w:style>
  <w:style w:type="paragraph" w:customStyle="1" w:styleId="t">
    <w:name w:val="t"/>
    <w:aliases w:val="text,text + +Body,Line spacing:  Multiple 1.15 li + +Body,1... + Subscript"/>
    <w:basedOn w:val="Normal"/>
    <w:link w:val="tChar"/>
    <w:qFormat/>
    <w:rsid w:val="00661E10"/>
    <w:pPr>
      <w:spacing w:after="240" w:line="264" w:lineRule="auto"/>
      <w:ind w:left="360"/>
    </w:pPr>
    <w:rPr>
      <w:rFonts w:cs="Arial"/>
    </w:rPr>
  </w:style>
  <w:style w:type="character" w:customStyle="1" w:styleId="tChar">
    <w:name w:val="t Char"/>
    <w:aliases w:val="text Char,text Char Char,text1,text2,t Char1,text Char1,text5,text11,text3,text31,text4,text6,text61,text7,text9,text Char Char1,text + +Body Char,Line spacing:  Multiple 1.15 li + +Body Char,1... + Subscript Char"/>
    <w:link w:val="t"/>
    <w:locked/>
    <w:rsid w:val="00661E10"/>
    <w:rPr>
      <w:rFonts w:cs="Arial"/>
      <w:sz w:val="22"/>
      <w:szCs w:val="22"/>
    </w:rPr>
  </w:style>
  <w:style w:type="character" w:customStyle="1" w:styleId="NoSpacingChar">
    <w:name w:val="No Spacing Char"/>
    <w:aliases w:val="Table Char"/>
    <w:link w:val="NoSpacing"/>
    <w:uiPriority w:val="1"/>
    <w:rsid w:val="00661E10"/>
    <w:rPr>
      <w:rFonts w:eastAsia="Calibri"/>
      <w:sz w:val="22"/>
      <w:szCs w:val="22"/>
    </w:rPr>
  </w:style>
  <w:style w:type="paragraph" w:styleId="ListBullet">
    <w:name w:val="List Bullet"/>
    <w:basedOn w:val="Normal"/>
    <w:uiPriority w:val="99"/>
    <w:unhideWhenUsed/>
    <w:qFormat/>
    <w:rsid w:val="00661E10"/>
    <w:pPr>
      <w:numPr>
        <w:numId w:val="18"/>
      </w:numPr>
      <w:contextualSpacing/>
    </w:pPr>
  </w:style>
  <w:style w:type="numbering" w:customStyle="1" w:styleId="NoList4">
    <w:name w:val="No List4"/>
    <w:next w:val="NoList"/>
    <w:uiPriority w:val="99"/>
    <w:semiHidden/>
    <w:unhideWhenUsed/>
    <w:rsid w:val="002E051C"/>
  </w:style>
  <w:style w:type="table" w:customStyle="1" w:styleId="TableGrid6">
    <w:name w:val="Table Grid6"/>
    <w:basedOn w:val="TableNormal"/>
    <w:next w:val="TableGrid"/>
    <w:uiPriority w:val="3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4">
    <w:name w:val="Medium Shading 114"/>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4">
    <w:name w:val="Medium Shading 1 - Accent 114"/>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2">
    <w:name w:val="Medium Shading 1 - Accent 51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4">
    <w:name w:val="Medium Shading 2 - Accent 114"/>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4">
    <w:name w:val="Medium List 2 - Accent 14"/>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4">
    <w:name w:val="Medium Grid 314"/>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4">
    <w:name w:val="Colorful Shading14"/>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5">
    <w:name w:val="Light List15"/>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4">
    <w:name w:val="Light List114"/>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4">
    <w:name w:val="Medium Shading 124"/>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4">
    <w:name w:val="Table Grid24"/>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5">
    <w:name w:val="Light List5"/>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4">
    <w:name w:val="Medium Shading 134"/>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8">
    <w:name w:val="Medium Shading 1 - Accent 528"/>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3">
    <w:name w:val="Medium Shading 1 - Accent 513"/>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2">
    <w:name w:val="Medium Shading 1 - Accent 53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2">
    <w:name w:val="Medium Shading 1 - Accent 54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2">
    <w:name w:val="Medium Shading 1 - Accent 55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2">
    <w:name w:val="Medium Shading 1 - Accent 56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2">
    <w:name w:val="Medium Shading 1 - Accent 57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2">
    <w:name w:val="Medium Shading 1 - Accent 526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3">
    <w:name w:val="Annual Report Table Style13"/>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12">
    <w:name w:val="No List12"/>
    <w:next w:val="NoList"/>
    <w:uiPriority w:val="99"/>
    <w:semiHidden/>
    <w:unhideWhenUsed/>
    <w:rsid w:val="002E051C"/>
  </w:style>
  <w:style w:type="table" w:customStyle="1" w:styleId="TableGrid12">
    <w:name w:val="Table Grid12"/>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2">
    <w:name w:val="Medium Shading 1112"/>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2">
    <w:name w:val="Medium Shading 1 - Accent 1112"/>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4">
    <w:name w:val="Medium Shading 1 - Accent 584"/>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2">
    <w:name w:val="Medium Shading 2 - Accent 1112"/>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2">
    <w:name w:val="Medium List 2 - Accent 112"/>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2">
    <w:name w:val="Medium Grid 3112"/>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2">
    <w:name w:val="Colorful Shading112"/>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4">
    <w:name w:val="Light List124"/>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2">
    <w:name w:val="Light List1112"/>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2">
    <w:name w:val="Medium Shading 1212"/>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2">
    <w:name w:val="Table Grid212"/>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2">
    <w:name w:val="Light List22"/>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2">
    <w:name w:val="Medium Shading 1312"/>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2">
    <w:name w:val="Light List1212"/>
    <w:basedOn w:val="TableNormal"/>
    <w:uiPriority w:val="61"/>
    <w:rsid w:val="002E051C"/>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4">
    <w:name w:val="Annual Report Table Style14"/>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22">
    <w:name w:val="No List22"/>
    <w:next w:val="NoList"/>
    <w:uiPriority w:val="99"/>
    <w:semiHidden/>
    <w:unhideWhenUsed/>
    <w:rsid w:val="002E051C"/>
  </w:style>
  <w:style w:type="table" w:customStyle="1" w:styleId="TableGrid42">
    <w:name w:val="Table Grid42"/>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2">
    <w:name w:val="Medium Shading 1122"/>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2">
    <w:name w:val="Medium Shading 1 - Accent 1122"/>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3">
    <w:name w:val="Medium Shading 1 - Accent 593"/>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2">
    <w:name w:val="Medium Shading 2 - Accent 1122"/>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2">
    <w:name w:val="Medium List 2 - Accent 122"/>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2">
    <w:name w:val="Medium Grid 3122"/>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2">
    <w:name w:val="Colorful Shading122"/>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2">
    <w:name w:val="Light List132"/>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2">
    <w:name w:val="Light List1122"/>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2">
    <w:name w:val="Medium Shading 1222"/>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2">
    <w:name w:val="Table Grid222"/>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2">
    <w:name w:val="Light List32"/>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2">
    <w:name w:val="Medium Shading 1322"/>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2">
    <w:name w:val="Light List1222"/>
    <w:basedOn w:val="TableNormal"/>
    <w:uiPriority w:val="61"/>
    <w:rsid w:val="002E051C"/>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3">
    <w:name w:val="Annual Report Table Style23"/>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153">
    <w:name w:val="Medium Shading 1 - Accent 5153"/>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2">
    <w:name w:val="Medium Shading 1 - Accent 516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2">
    <w:name w:val="Medium Shading 1 - Accent 517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2">
    <w:name w:val="Medium Shading 1 - Accent 518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2">
    <w:name w:val="Medium Shading 1 - Accent 519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2">
    <w:name w:val="Medium Shading 1 - Accent 520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2">
    <w:name w:val="Medium Shading 1 - Accent 521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2">
    <w:name w:val="Medium Shading 1 - Accent 522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2">
    <w:name w:val="Medium Shading 1 - Accent 523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2">
    <w:name w:val="Medium Shading 1 - Accent 524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2">
    <w:name w:val="Medium Shading 1 - Accent 525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2">
    <w:name w:val="Annual Report Table Style3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42">
    <w:name w:val="Annual Report Table Style4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52">
    <w:name w:val="Annual Report Table Style5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62">
    <w:name w:val="Annual Report Table Style6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72">
    <w:name w:val="Annual Report Table Style7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82">
    <w:name w:val="Annual Report Table Style8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92">
    <w:name w:val="Annual Report Table Style9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102">
    <w:name w:val="Annual Report Table Style10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811">
    <w:name w:val="Medium Shading 1 - Accent 58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821">
    <w:name w:val="Medium Shading 1 - Accent 582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911">
    <w:name w:val="Medium Shading 1 - Accent 59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511">
    <w:name w:val="Medium Shading 1 - Accent 515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numbering" w:customStyle="1" w:styleId="Appendix1">
    <w:name w:val="Appendix1"/>
    <w:uiPriority w:val="99"/>
    <w:rsid w:val="002E051C"/>
    <w:pPr>
      <w:numPr>
        <w:numId w:val="12"/>
      </w:numPr>
    </w:pPr>
  </w:style>
  <w:style w:type="table" w:customStyle="1" w:styleId="LightList-Accent51">
    <w:name w:val="Light List - Accent 51"/>
    <w:basedOn w:val="TableNormal"/>
    <w:next w:val="LightList-Accent5"/>
    <w:uiPriority w:val="61"/>
    <w:rsid w:val="002E051C"/>
    <w:rPr>
      <w:rFonts w:eastAsia="Calibri"/>
      <w:sz w:val="22"/>
      <w:szCs w:val="22"/>
    </w:rPr>
    <w:tblPr>
      <w:tblStyleRowBandSize w:val="1"/>
      <w:tblStyleColBandSize w:val="1"/>
      <w:tblBorders>
        <w:top w:val="single" w:sz="4" w:space="0" w:color="448A99"/>
        <w:left w:val="single" w:sz="4" w:space="0" w:color="448A99"/>
        <w:bottom w:val="single" w:sz="4" w:space="0" w:color="448A99"/>
        <w:right w:val="single" w:sz="4" w:space="0" w:color="448A99"/>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nnualReportTableStyle212">
    <w:name w:val="Annual Report Table Style2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32">
    <w:name w:val="No List32"/>
    <w:next w:val="NoList"/>
    <w:uiPriority w:val="99"/>
    <w:semiHidden/>
    <w:unhideWhenUsed/>
    <w:rsid w:val="002E051C"/>
  </w:style>
  <w:style w:type="table" w:customStyle="1" w:styleId="TableGrid51">
    <w:name w:val="Table Grid51"/>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31">
    <w:name w:val="Medium Shading 113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31">
    <w:name w:val="Medium Shading 1 - Accent 1131"/>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01">
    <w:name w:val="Medium Shading 1 - Accent 510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31">
    <w:name w:val="Medium Shading 2 - Accent 1131"/>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31">
    <w:name w:val="Medium List 2 - Accent 131"/>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31">
    <w:name w:val="Medium Grid 3131"/>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31">
    <w:name w:val="Colorful Shading131"/>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41">
    <w:name w:val="Light List14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31">
    <w:name w:val="Light List113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31">
    <w:name w:val="Medium Shading 123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31">
    <w:name w:val="Table Grid23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41">
    <w:name w:val="Light List41"/>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31">
    <w:name w:val="Medium Shading 1331"/>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71">
    <w:name w:val="Medium Shading 1 - Accent 527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11">
    <w:name w:val="Medium Shading 1 - Accent 51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11">
    <w:name w:val="Medium Shading 1 - Accent 53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11">
    <w:name w:val="Medium Shading 1 - Accent 54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11">
    <w:name w:val="Medium Shading 1 - Accent 55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11">
    <w:name w:val="Medium Shading 1 - Accent 56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11">
    <w:name w:val="Medium Shading 1 - Accent 57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11">
    <w:name w:val="Medium Shading 1 - Accent 526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12">
    <w:name w:val="Annual Report Table Style1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112">
    <w:name w:val="No List112"/>
    <w:next w:val="NoList"/>
    <w:uiPriority w:val="99"/>
    <w:semiHidden/>
    <w:unhideWhenUsed/>
    <w:rsid w:val="002E051C"/>
  </w:style>
  <w:style w:type="table" w:customStyle="1" w:styleId="TableGrid111">
    <w:name w:val="Table Grid111"/>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11">
    <w:name w:val="Medium Shading 1111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11">
    <w:name w:val="Medium Shading 1 - Accent 11111"/>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31">
    <w:name w:val="Medium Shading 1 - Accent 583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11">
    <w:name w:val="Medium Shading 2 - Accent 11111"/>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11">
    <w:name w:val="Medium List 2 - Accent 1111"/>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11">
    <w:name w:val="Medium Grid 31111"/>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11">
    <w:name w:val="Colorful Shading1111"/>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31">
    <w:name w:val="Light List123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1">
    <w:name w:val="Light List1111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11">
    <w:name w:val="Medium Shading 1211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11">
    <w:name w:val="Table Grid211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11">
    <w:name w:val="Light List211"/>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11">
    <w:name w:val="Medium Shading 13111"/>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11">
    <w:name w:val="Light List12111"/>
    <w:basedOn w:val="TableNormal"/>
    <w:uiPriority w:val="61"/>
    <w:rsid w:val="002E051C"/>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22">
    <w:name w:val="Annual Report Table Style12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212">
    <w:name w:val="No List212"/>
    <w:next w:val="NoList"/>
    <w:uiPriority w:val="99"/>
    <w:semiHidden/>
    <w:unhideWhenUsed/>
    <w:rsid w:val="002E051C"/>
  </w:style>
  <w:style w:type="table" w:customStyle="1" w:styleId="TableGrid411">
    <w:name w:val="Table Grid411"/>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11">
    <w:name w:val="Medium Shading 1121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11">
    <w:name w:val="Medium Shading 1 - Accent 11211"/>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21">
    <w:name w:val="Medium Shading 1 - Accent 592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11">
    <w:name w:val="Medium Shading 2 - Accent 11211"/>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11">
    <w:name w:val="Medium List 2 - Accent 1211"/>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11">
    <w:name w:val="Medium Grid 31211"/>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11">
    <w:name w:val="Colorful Shading1211"/>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11">
    <w:name w:val="Light List131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11">
    <w:name w:val="Light List1121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11">
    <w:name w:val="Medium Shading 1221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11">
    <w:name w:val="Table Grid221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
    <w:name w:val="Table Grid321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11">
    <w:name w:val="Light List311"/>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11">
    <w:name w:val="Medium Shading 13211"/>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11">
    <w:name w:val="Light List12211"/>
    <w:basedOn w:val="TableNormal"/>
    <w:uiPriority w:val="61"/>
    <w:rsid w:val="002E051C"/>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21">
    <w:name w:val="Annual Report Table Style221"/>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1521">
    <w:name w:val="Medium Shading 1 - Accent 5152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11">
    <w:name w:val="Medium Shading 1 - Accent 516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11">
    <w:name w:val="Medium Shading 1 - Accent 517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11">
    <w:name w:val="Medium Shading 1 - Accent 518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11">
    <w:name w:val="Medium Shading 1 - Accent 519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11">
    <w:name w:val="Medium Shading 1 - Accent 520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11">
    <w:name w:val="Medium Shading 1 - Accent 521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11">
    <w:name w:val="Medium Shading 1 - Accent 522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11">
    <w:name w:val="Medium Shading 1 - Accent 523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11">
    <w:name w:val="Medium Shading 1 - Accent 524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11">
    <w:name w:val="Medium Shading 1 - Accent 525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12">
    <w:name w:val="Annual Report Table Style3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412">
    <w:name w:val="Annual Report Table Style4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512">
    <w:name w:val="Annual Report Table Style5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612">
    <w:name w:val="Annual Report Table Style6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712">
    <w:name w:val="Annual Report Table Style7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812">
    <w:name w:val="Annual Report Table Style8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912">
    <w:name w:val="Annual Report Table Style9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1012">
    <w:name w:val="Annual Report Table Style10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paragraph" w:customStyle="1" w:styleId="AppendixCHeading5">
    <w:name w:val="Appendix C Heading 5"/>
    <w:basedOn w:val="Heading5"/>
    <w:rsid w:val="002E051C"/>
    <w:pPr>
      <w:numPr>
        <w:ilvl w:val="0"/>
        <w:numId w:val="0"/>
      </w:numPr>
    </w:pPr>
    <w:rPr>
      <w:rFonts w:eastAsia="Calibri"/>
      <w:b w:val="0"/>
    </w:rPr>
  </w:style>
  <w:style w:type="paragraph" w:styleId="ListBullet2">
    <w:name w:val="List Bullet 2"/>
    <w:basedOn w:val="ListBullet"/>
    <w:rsid w:val="002E051C"/>
    <w:pPr>
      <w:numPr>
        <w:numId w:val="0"/>
      </w:numPr>
      <w:spacing w:before="80"/>
      <w:ind w:left="1138" w:hanging="288"/>
      <w:contextualSpacing w:val="0"/>
      <w:jc w:val="left"/>
    </w:pPr>
    <w:rPr>
      <w:rFonts w:ascii="Arial" w:hAnsi="Arial" w:cs="Arial"/>
      <w:szCs w:val="20"/>
      <w:lang w:eastAsia="en-GB"/>
    </w:rPr>
  </w:style>
  <w:style w:type="paragraph" w:styleId="ListBullet3">
    <w:name w:val="List Bullet 3"/>
    <w:basedOn w:val="ListBullet2"/>
    <w:rsid w:val="002E051C"/>
    <w:pPr>
      <w:ind w:left="1426"/>
    </w:pPr>
  </w:style>
  <w:style w:type="numbering" w:customStyle="1" w:styleId="NoList5">
    <w:name w:val="No List5"/>
    <w:next w:val="NoList"/>
    <w:uiPriority w:val="99"/>
    <w:semiHidden/>
    <w:unhideWhenUsed/>
    <w:rsid w:val="006C05B5"/>
  </w:style>
  <w:style w:type="table" w:customStyle="1" w:styleId="TableGrid7">
    <w:name w:val="Table Grid7"/>
    <w:basedOn w:val="TableNormal"/>
    <w:next w:val="TableGrid"/>
    <w:uiPriority w:val="3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5">
    <w:name w:val="Medium Shading 115"/>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5">
    <w:name w:val="Medium Shading 1 - Accent 115"/>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4">
    <w:name w:val="Medium Shading 1 - Accent 514"/>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5">
    <w:name w:val="Medium Shading 2 - Accent 115"/>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5">
    <w:name w:val="Medium List 2 - Accent 15"/>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5">
    <w:name w:val="Medium Grid 315"/>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5">
    <w:name w:val="Colorful Shading15"/>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6">
    <w:name w:val="Light List16"/>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5">
    <w:name w:val="Light List115"/>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5">
    <w:name w:val="Medium Shading 125"/>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5">
    <w:name w:val="Table Grid25"/>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6">
    <w:name w:val="Light List6"/>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5">
    <w:name w:val="Medium Shading 135"/>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9">
    <w:name w:val="Medium Shading 1 - Accent 529"/>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10">
    <w:name w:val="Medium Shading 1 - Accent 5110"/>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3">
    <w:name w:val="Medium Shading 1 - Accent 53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3">
    <w:name w:val="Medium Shading 1 - Accent 54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3">
    <w:name w:val="Medium Shading 1 - Accent 55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3">
    <w:name w:val="Medium Shading 1 - Accent 56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3">
    <w:name w:val="Medium Shading 1 - Accent 57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3">
    <w:name w:val="Medium Shading 1 - Accent 526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5">
    <w:name w:val="Annual Report Table Style15"/>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13">
    <w:name w:val="No List13"/>
    <w:next w:val="NoList"/>
    <w:uiPriority w:val="99"/>
    <w:semiHidden/>
    <w:unhideWhenUsed/>
    <w:rsid w:val="006C05B5"/>
  </w:style>
  <w:style w:type="table" w:customStyle="1" w:styleId="TableGrid13">
    <w:name w:val="Table Grid13"/>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3">
    <w:name w:val="Medium Shading 1113"/>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3">
    <w:name w:val="Medium Shading 1 - Accent 1113"/>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5">
    <w:name w:val="Medium Shading 1 - Accent 585"/>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3">
    <w:name w:val="Medium Shading 2 - Accent 1113"/>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3">
    <w:name w:val="Medium List 2 - Accent 113"/>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3">
    <w:name w:val="Medium Grid 3113"/>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3">
    <w:name w:val="Colorful Shading113"/>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5">
    <w:name w:val="Light List125"/>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3">
    <w:name w:val="Light List1113"/>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3">
    <w:name w:val="Medium Shading 1213"/>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3">
    <w:name w:val="Table Grid213"/>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3">
    <w:name w:val="Light List23"/>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3">
    <w:name w:val="Medium Shading 1313"/>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3">
    <w:name w:val="Light List1213"/>
    <w:basedOn w:val="TableNormal"/>
    <w:uiPriority w:val="61"/>
    <w:rsid w:val="006C05B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6">
    <w:name w:val="Annual Report Table Style16"/>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23">
    <w:name w:val="No List23"/>
    <w:next w:val="NoList"/>
    <w:uiPriority w:val="99"/>
    <w:semiHidden/>
    <w:unhideWhenUsed/>
    <w:rsid w:val="006C05B5"/>
  </w:style>
  <w:style w:type="table" w:customStyle="1" w:styleId="TableGrid43">
    <w:name w:val="Table Grid43"/>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3">
    <w:name w:val="Medium Shading 1123"/>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3">
    <w:name w:val="Medium Shading 1 - Accent 1123"/>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4">
    <w:name w:val="Medium Shading 1 - Accent 594"/>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3">
    <w:name w:val="Medium Shading 2 - Accent 1123"/>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3">
    <w:name w:val="Medium List 2 - Accent 123"/>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3">
    <w:name w:val="Medium Grid 3123"/>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3">
    <w:name w:val="Colorful Shading123"/>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3">
    <w:name w:val="Light List133"/>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3">
    <w:name w:val="Light List1123"/>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3">
    <w:name w:val="Medium Shading 1223"/>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3">
    <w:name w:val="Table Grid223"/>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3">
    <w:name w:val="Light List33"/>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3">
    <w:name w:val="Medium Shading 1323"/>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3">
    <w:name w:val="Light List1223"/>
    <w:basedOn w:val="TableNormal"/>
    <w:uiPriority w:val="61"/>
    <w:rsid w:val="006C05B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4">
    <w:name w:val="Annual Report Table Style24"/>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154">
    <w:name w:val="Medium Shading 1 - Accent 5154"/>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3">
    <w:name w:val="Medium Shading 1 - Accent 516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3">
    <w:name w:val="Medium Shading 1 - Accent 517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3">
    <w:name w:val="Medium Shading 1 - Accent 518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3">
    <w:name w:val="Medium Shading 1 - Accent 519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3">
    <w:name w:val="Medium Shading 1 - Accent 520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3">
    <w:name w:val="Medium Shading 1 - Accent 521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3">
    <w:name w:val="Medium Shading 1 - Accent 522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3">
    <w:name w:val="Medium Shading 1 - Accent 523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3">
    <w:name w:val="Medium Shading 1 - Accent 524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3">
    <w:name w:val="Medium Shading 1 - Accent 525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3">
    <w:name w:val="Annual Report Table Style3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43">
    <w:name w:val="Annual Report Table Style4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53">
    <w:name w:val="Annual Report Table Style5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63">
    <w:name w:val="Annual Report Table Style6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73">
    <w:name w:val="Annual Report Table Style7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83">
    <w:name w:val="Annual Report Table Style8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93">
    <w:name w:val="Annual Report Table Style9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103">
    <w:name w:val="Annual Report Table Style10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812">
    <w:name w:val="Medium Shading 1 - Accent 58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822">
    <w:name w:val="Medium Shading 1 - Accent 582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912">
    <w:name w:val="Medium Shading 1 - Accent 59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512">
    <w:name w:val="Medium Shading 1 - Accent 515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numbering" w:customStyle="1" w:styleId="Appendix2">
    <w:name w:val="Appendix2"/>
    <w:uiPriority w:val="99"/>
    <w:rsid w:val="006C05B5"/>
    <w:pPr>
      <w:numPr>
        <w:numId w:val="10"/>
      </w:numPr>
    </w:pPr>
  </w:style>
  <w:style w:type="table" w:customStyle="1" w:styleId="LightList-Accent52">
    <w:name w:val="Light List - Accent 52"/>
    <w:basedOn w:val="TableNormal"/>
    <w:next w:val="LightList-Accent5"/>
    <w:uiPriority w:val="61"/>
    <w:rsid w:val="006C05B5"/>
    <w:rPr>
      <w:rFonts w:eastAsia="Calibri"/>
      <w:sz w:val="22"/>
      <w:szCs w:val="22"/>
    </w:rPr>
    <w:tblPr>
      <w:tblStyleRowBandSize w:val="1"/>
      <w:tblStyleColBandSize w:val="1"/>
      <w:tblBorders>
        <w:top w:val="single" w:sz="4" w:space="0" w:color="448A99"/>
        <w:left w:val="single" w:sz="4" w:space="0" w:color="448A99"/>
        <w:bottom w:val="single" w:sz="4" w:space="0" w:color="448A99"/>
        <w:right w:val="single" w:sz="4" w:space="0" w:color="448A99"/>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nnualReportTableStyle213">
    <w:name w:val="Annual Report Table Style2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33">
    <w:name w:val="No List33"/>
    <w:next w:val="NoList"/>
    <w:uiPriority w:val="99"/>
    <w:semiHidden/>
    <w:unhideWhenUsed/>
    <w:rsid w:val="006C05B5"/>
  </w:style>
  <w:style w:type="table" w:customStyle="1" w:styleId="TableGrid52">
    <w:name w:val="Table Grid52"/>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32">
    <w:name w:val="Medium Shading 113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32">
    <w:name w:val="Medium Shading 1 - Accent 1132"/>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02">
    <w:name w:val="Medium Shading 1 - Accent 510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32">
    <w:name w:val="Medium Shading 2 - Accent 1132"/>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32">
    <w:name w:val="Medium List 2 - Accent 132"/>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32">
    <w:name w:val="Medium Grid 3132"/>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32">
    <w:name w:val="Colorful Shading132"/>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42">
    <w:name w:val="Light List14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32">
    <w:name w:val="Light List113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32">
    <w:name w:val="Medium Shading 123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32">
    <w:name w:val="Table Grid23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42">
    <w:name w:val="Light List42"/>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32">
    <w:name w:val="Medium Shading 1332"/>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72">
    <w:name w:val="Medium Shading 1 - Accent 527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12">
    <w:name w:val="Medium Shading 1 - Accent 51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12">
    <w:name w:val="Medium Shading 1 - Accent 53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12">
    <w:name w:val="Medium Shading 1 - Accent 54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12">
    <w:name w:val="Medium Shading 1 - Accent 55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12">
    <w:name w:val="Medium Shading 1 - Accent 56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12">
    <w:name w:val="Medium Shading 1 - Accent 57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12">
    <w:name w:val="Medium Shading 1 - Accent 526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13">
    <w:name w:val="Annual Report Table Style1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113">
    <w:name w:val="No List113"/>
    <w:next w:val="NoList"/>
    <w:uiPriority w:val="99"/>
    <w:semiHidden/>
    <w:unhideWhenUsed/>
    <w:rsid w:val="006C05B5"/>
  </w:style>
  <w:style w:type="table" w:customStyle="1" w:styleId="TableGrid112">
    <w:name w:val="Table Grid112"/>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12">
    <w:name w:val="Medium Shading 1111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12">
    <w:name w:val="Medium Shading 1 - Accent 11112"/>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32">
    <w:name w:val="Medium Shading 1 - Accent 583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12">
    <w:name w:val="Medium Shading 2 - Accent 11112"/>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12">
    <w:name w:val="Medium List 2 - Accent 1112"/>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12">
    <w:name w:val="Medium Grid 31112"/>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12">
    <w:name w:val="Colorful Shading1112"/>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32">
    <w:name w:val="Light List123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2">
    <w:name w:val="Light List1111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12">
    <w:name w:val="Medium Shading 1211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12">
    <w:name w:val="Table Grid211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12">
    <w:name w:val="Light List212"/>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12">
    <w:name w:val="Medium Shading 13112"/>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12">
    <w:name w:val="Light List12112"/>
    <w:basedOn w:val="TableNormal"/>
    <w:uiPriority w:val="61"/>
    <w:rsid w:val="006C05B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23">
    <w:name w:val="Annual Report Table Style12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213">
    <w:name w:val="No List213"/>
    <w:next w:val="NoList"/>
    <w:uiPriority w:val="99"/>
    <w:semiHidden/>
    <w:unhideWhenUsed/>
    <w:rsid w:val="006C05B5"/>
  </w:style>
  <w:style w:type="table" w:customStyle="1" w:styleId="TableGrid412">
    <w:name w:val="Table Grid412"/>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12">
    <w:name w:val="Medium Shading 1121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12">
    <w:name w:val="Medium Shading 1 - Accent 11212"/>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22">
    <w:name w:val="Medium Shading 1 - Accent 592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12">
    <w:name w:val="Medium Shading 2 - Accent 11212"/>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12">
    <w:name w:val="Medium List 2 - Accent 1212"/>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12">
    <w:name w:val="Medium Grid 31212"/>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12">
    <w:name w:val="Colorful Shading1212"/>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12">
    <w:name w:val="Light List131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12">
    <w:name w:val="Light List1121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12">
    <w:name w:val="Medium Shading 1221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12">
    <w:name w:val="Table Grid221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12">
    <w:name w:val="Light List312"/>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12">
    <w:name w:val="Medium Shading 13212"/>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12">
    <w:name w:val="Light List12212"/>
    <w:basedOn w:val="TableNormal"/>
    <w:uiPriority w:val="61"/>
    <w:rsid w:val="006C05B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22">
    <w:name w:val="Annual Report Table Style222"/>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1522">
    <w:name w:val="Medium Shading 1 - Accent 5152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12">
    <w:name w:val="Medium Shading 1 - Accent 516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12">
    <w:name w:val="Medium Shading 1 - Accent 517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12">
    <w:name w:val="Medium Shading 1 - Accent 518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12">
    <w:name w:val="Medium Shading 1 - Accent 519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12">
    <w:name w:val="Medium Shading 1 - Accent 520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12">
    <w:name w:val="Medium Shading 1 - Accent 521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12">
    <w:name w:val="Medium Shading 1 - Accent 522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12">
    <w:name w:val="Medium Shading 1 - Accent 523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12">
    <w:name w:val="Medium Shading 1 - Accent 524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12">
    <w:name w:val="Medium Shading 1 - Accent 525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13">
    <w:name w:val="Annual Report Table Style3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413">
    <w:name w:val="Annual Report Table Style4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513">
    <w:name w:val="Annual Report Table Style5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613">
    <w:name w:val="Annual Report Table Style6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713">
    <w:name w:val="Annual Report Table Style7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813">
    <w:name w:val="Annual Report Table Style8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913">
    <w:name w:val="Annual Report Table Style9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1013">
    <w:name w:val="Annual Report Table Style10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paragraph" w:customStyle="1" w:styleId="p3">
    <w:name w:val="p3"/>
    <w:basedOn w:val="Normal"/>
    <w:uiPriority w:val="99"/>
    <w:rsid w:val="007908C2"/>
    <w:pPr>
      <w:widowControl w:val="0"/>
      <w:tabs>
        <w:tab w:val="left" w:pos="204"/>
      </w:tabs>
      <w:autoSpaceDE w:val="0"/>
      <w:autoSpaceDN w:val="0"/>
      <w:adjustRightInd w:val="0"/>
      <w:jc w:val="left"/>
    </w:pPr>
    <w:rPr>
      <w:rFonts w:ascii="Times New Roman" w:hAnsi="Times New Roman"/>
      <w:sz w:val="26"/>
      <w:szCs w:val="26"/>
    </w:rPr>
  </w:style>
  <w:style w:type="paragraph" w:styleId="NormalWeb">
    <w:name w:val="Normal (Web)"/>
    <w:basedOn w:val="Normal"/>
    <w:uiPriority w:val="99"/>
    <w:unhideWhenUsed/>
    <w:rsid w:val="004F1B4F"/>
    <w:pPr>
      <w:spacing w:before="100" w:beforeAutospacing="1" w:after="100" w:afterAutospacing="1"/>
    </w:pPr>
    <w:rPr>
      <w:rFonts w:ascii="Times New Roman" w:hAnsi="Times New Roman"/>
      <w:sz w:val="24"/>
      <w:szCs w:val="24"/>
    </w:rPr>
  </w:style>
  <w:style w:type="paragraph" w:customStyle="1" w:styleId="AppendixAHeading4">
    <w:name w:val="Appendix A Heading 4"/>
    <w:basedOn w:val="ListParagraph"/>
    <w:rsid w:val="0055598C"/>
    <w:pPr>
      <w:numPr>
        <w:ilvl w:val="3"/>
        <w:numId w:val="29"/>
      </w:numPr>
      <w:spacing w:after="60"/>
      <w:contextualSpacing w:val="0"/>
    </w:pPr>
    <w:rPr>
      <w:b/>
      <w:i/>
      <w:color w:val="404040" w:themeColor="text1" w:themeTint="BF"/>
    </w:rPr>
  </w:style>
  <w:style w:type="paragraph" w:customStyle="1" w:styleId="AppendixAHeading5">
    <w:name w:val="Appendix A Heading 5"/>
    <w:basedOn w:val="ListParagraph"/>
    <w:rsid w:val="008C7396"/>
    <w:pPr>
      <w:numPr>
        <w:ilvl w:val="4"/>
        <w:numId w:val="29"/>
      </w:numPr>
      <w:contextualSpacing w:val="0"/>
    </w:pPr>
    <w:rPr>
      <w:rFonts w:ascii="Century Gothic" w:hAnsi="Century Gothic"/>
      <w:color w:val="448A99"/>
    </w:rPr>
  </w:style>
  <w:style w:type="paragraph" w:customStyle="1" w:styleId="AppendixAHeading6">
    <w:name w:val="Appendix A Heading 6"/>
    <w:basedOn w:val="ListParagraph"/>
    <w:rsid w:val="00D34B3E"/>
    <w:pPr>
      <w:numPr>
        <w:ilvl w:val="5"/>
        <w:numId w:val="29"/>
      </w:numPr>
      <w:spacing w:after="120"/>
      <w:contextualSpacing w:val="0"/>
    </w:pPr>
    <w:rPr>
      <w:i/>
    </w:rPr>
  </w:style>
  <w:style w:type="paragraph" w:customStyle="1" w:styleId="AppendixBHeading4">
    <w:name w:val="Appendix B Heading 4"/>
    <w:basedOn w:val="ListParagraph"/>
    <w:rsid w:val="00D613BE"/>
    <w:pPr>
      <w:numPr>
        <w:ilvl w:val="3"/>
        <w:numId w:val="30"/>
      </w:numPr>
      <w:spacing w:after="60"/>
      <w:contextualSpacing w:val="0"/>
    </w:pPr>
    <w:rPr>
      <w:b/>
      <w:i/>
      <w:color w:val="404040" w:themeColor="text1" w:themeTint="BF"/>
    </w:rPr>
  </w:style>
  <w:style w:type="paragraph" w:customStyle="1" w:styleId="AppendixBHeading5">
    <w:name w:val="Appendix B Heading 5"/>
    <w:basedOn w:val="ListParagraph"/>
    <w:rsid w:val="00B32B81"/>
    <w:pPr>
      <w:numPr>
        <w:ilvl w:val="4"/>
        <w:numId w:val="30"/>
      </w:numPr>
      <w:spacing w:after="60"/>
      <w:contextualSpacing w:val="0"/>
    </w:pPr>
    <w:rPr>
      <w:rFonts w:ascii="Century Gothic" w:eastAsia="Calibri" w:hAnsi="Century Gothic"/>
      <w:color w:val="448A99"/>
    </w:rPr>
  </w:style>
  <w:style w:type="paragraph" w:customStyle="1" w:styleId="AppendixBHeading6">
    <w:name w:val="Appendix B Heading 6"/>
    <w:basedOn w:val="ListParagraph"/>
    <w:rsid w:val="00B32B81"/>
    <w:pPr>
      <w:numPr>
        <w:ilvl w:val="5"/>
        <w:numId w:val="30"/>
      </w:numPr>
      <w:spacing w:after="60"/>
      <w:contextualSpacing w:val="0"/>
    </w:pPr>
    <w:rPr>
      <w:i/>
      <w:color w:val="404040" w:themeColor="text1" w:themeTint="BF"/>
    </w:rPr>
  </w:style>
  <w:style w:type="paragraph" w:customStyle="1" w:styleId="6spacenormal">
    <w:name w:val="6space normal"/>
    <w:basedOn w:val="Normal"/>
    <w:qFormat/>
    <w:rsid w:val="00976114"/>
    <w:pPr>
      <w:spacing w:after="120"/>
    </w:pPr>
  </w:style>
  <w:style w:type="paragraph" w:customStyle="1" w:styleId="AppendixGHeading1">
    <w:name w:val="Appendix G Heading 1"/>
    <w:basedOn w:val="ListParagraph"/>
    <w:rsid w:val="00702AB3"/>
    <w:pPr>
      <w:numPr>
        <w:numId w:val="135"/>
      </w:numPr>
      <w:spacing w:after="60"/>
      <w:contextualSpacing w:val="0"/>
    </w:pPr>
    <w:rPr>
      <w:rFonts w:ascii="Century Gothic" w:hAnsi="Century Gothic"/>
      <w:b/>
      <w:caps/>
      <w:color w:val="404040" w:themeColor="text1" w:themeTint="BF"/>
    </w:rPr>
  </w:style>
  <w:style w:type="paragraph" w:customStyle="1" w:styleId="AppendixGHeading2">
    <w:name w:val="Appendix G Heading 2"/>
    <w:basedOn w:val="ListParagraph"/>
    <w:rsid w:val="00E646C9"/>
    <w:pPr>
      <w:numPr>
        <w:ilvl w:val="1"/>
        <w:numId w:val="135"/>
      </w:numPr>
      <w:spacing w:after="120"/>
      <w:contextualSpacing w:val="0"/>
    </w:pPr>
    <w:rPr>
      <w:rFonts w:ascii="Century Gothic" w:hAnsi="Century Gothic"/>
      <w:b/>
      <w:color w:val="448A99"/>
    </w:rPr>
  </w:style>
  <w:style w:type="paragraph" w:customStyle="1" w:styleId="AppendixGHeading3">
    <w:name w:val="Appendix G Heading 3"/>
    <w:basedOn w:val="ListParagraph"/>
    <w:rsid w:val="00E646C9"/>
    <w:pPr>
      <w:numPr>
        <w:ilvl w:val="2"/>
        <w:numId w:val="135"/>
      </w:numPr>
      <w:spacing w:after="120"/>
      <w:contextualSpacing w:val="0"/>
    </w:pPr>
    <w:rPr>
      <w:rFonts w:ascii="Century Gothic" w:hAnsi="Century Gothic"/>
    </w:rPr>
  </w:style>
  <w:style w:type="paragraph" w:customStyle="1" w:styleId="AppendixGHeading4">
    <w:name w:val="Appendix G Heading 4"/>
    <w:basedOn w:val="ListParagraph"/>
    <w:rsid w:val="00E646C9"/>
    <w:pPr>
      <w:numPr>
        <w:ilvl w:val="3"/>
        <w:numId w:val="135"/>
      </w:numPr>
      <w:spacing w:after="120"/>
      <w:contextualSpacing w:val="0"/>
    </w:pPr>
    <w:rPr>
      <w:b/>
      <w:i/>
    </w:rPr>
  </w:style>
  <w:style w:type="paragraph" w:customStyle="1" w:styleId="AppendixGHeading5">
    <w:name w:val="Appendix G Heading 5"/>
    <w:basedOn w:val="ListParagraph"/>
    <w:rsid w:val="00E646C9"/>
    <w:pPr>
      <w:numPr>
        <w:ilvl w:val="4"/>
        <w:numId w:val="135"/>
      </w:numPr>
      <w:spacing w:after="120"/>
      <w:contextualSpacing w:val="0"/>
    </w:pPr>
  </w:style>
  <w:style w:type="paragraph" w:customStyle="1" w:styleId="AppendixGHeading6">
    <w:name w:val="Appendix G Heading 6"/>
    <w:basedOn w:val="ListParagraph"/>
    <w:rsid w:val="00E646C9"/>
    <w:pPr>
      <w:numPr>
        <w:ilvl w:val="5"/>
        <w:numId w:val="135"/>
      </w:numPr>
      <w:spacing w:after="120"/>
      <w:contextualSpacing w:val="0"/>
    </w:pPr>
  </w:style>
  <w:style w:type="paragraph" w:customStyle="1" w:styleId="TableParagraph">
    <w:name w:val="Table Paragraph"/>
    <w:basedOn w:val="Normal"/>
    <w:uiPriority w:val="1"/>
    <w:qFormat/>
    <w:rsid w:val="00E646C9"/>
    <w:pPr>
      <w:widowControl w:val="0"/>
      <w:jc w:val="left"/>
    </w:pPr>
    <w:rPr>
      <w:rFonts w:asciiTheme="minorHAnsi" w:eastAsiaTheme="minorHAnsi" w:hAnsiTheme="minorHAnsi" w:cstheme="minorBidi"/>
    </w:rPr>
  </w:style>
  <w:style w:type="paragraph" w:customStyle="1" w:styleId="AppendixA">
    <w:name w:val="Appendix A"/>
    <w:basedOn w:val="Heading1"/>
    <w:link w:val="AppendixAChar"/>
    <w:rsid w:val="00E646C9"/>
    <w:pPr>
      <w:numPr>
        <w:numId w:val="0"/>
      </w:numPr>
    </w:pPr>
    <w:rPr>
      <w:rFonts w:eastAsia="Calibri"/>
      <w:b/>
      <w:color w:val="FFFFFF"/>
      <w:sz w:val="30"/>
    </w:rPr>
  </w:style>
  <w:style w:type="character" w:customStyle="1" w:styleId="AppendixAChar">
    <w:name w:val="Appendix A Char"/>
    <w:link w:val="AppendixA"/>
    <w:rsid w:val="00E646C9"/>
    <w:rPr>
      <w:rFonts w:ascii="Century Gothic" w:eastAsia="Calibri" w:hAnsi="Century Gothic"/>
      <w:b/>
      <w:smallCaps/>
      <w:color w:val="FFFFFF"/>
      <w:sz w:val="30"/>
      <w:szCs w:val="22"/>
      <w:shd w:val="clear" w:color="auto" w:fill="448A99"/>
    </w:rPr>
  </w:style>
  <w:style w:type="table" w:customStyle="1" w:styleId="PECOTeal">
    <w:name w:val="PECO_Teal"/>
    <w:basedOn w:val="MediumShading1-Accent5"/>
    <w:uiPriority w:val="99"/>
    <w:rsid w:val="00E646C9"/>
    <w:rPr>
      <w:rFonts w:eastAsia="Calibri"/>
      <w:sz w:val="18"/>
      <w:szCs w:val="22"/>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rPr>
      <w:cantSplit/>
    </w:trPr>
    <w:tcPr>
      <w:vAlign w:val="center"/>
    </w:tcPr>
    <w:tblStylePr w:type="firstRow">
      <w:pPr>
        <w:spacing w:before="0" w:after="0" w:line="240" w:lineRule="auto"/>
      </w:pPr>
      <w:rPr>
        <w:rFonts w:asciiTheme="minorHAnsi" w:hAnsiTheme="minorHAnsi" w:cs="Times New Roman"/>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shd w:val="clear" w:color="auto" w:fill="448A99"/>
      </w:tcPr>
    </w:tblStylePr>
    <w:tblStylePr w:type="lastRow">
      <w:pPr>
        <w:spacing w:before="0" w:after="0" w:line="240" w:lineRule="auto"/>
      </w:pPr>
      <w:rPr>
        <w:rFonts w:asciiTheme="minorHAnsi" w:hAnsiTheme="minorHAnsi" w:cs="Times New Roman"/>
        <w:b/>
        <w:bCs/>
        <w:sz w:val="18"/>
      </w:rPr>
      <w:tblPr/>
      <w:tcPr>
        <w:tcBorders>
          <w:top w:val="double" w:sz="4" w:space="0" w:color="448A99"/>
          <w:left w:val="single" w:sz="4" w:space="0" w:color="448A99"/>
          <w:bottom w:val="single" w:sz="4" w:space="0" w:color="448A99"/>
          <w:right w:val="single" w:sz="4" w:space="0" w:color="448A99"/>
          <w:insideH w:val="nil"/>
          <w:insideV w:val="single" w:sz="4" w:space="0" w:color="448A9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4" w:space="0" w:color="448A99"/>
          <w:left w:val="single" w:sz="4" w:space="0" w:color="448A99"/>
          <w:bottom w:val="single" w:sz="4" w:space="0" w:color="448A99"/>
          <w:right w:val="single" w:sz="4" w:space="0" w:color="448A99"/>
          <w:insideH w:val="nil"/>
          <w:insideV w:val="nil"/>
          <w:tl2br w:val="nil"/>
          <w:tr2bl w:val="nil"/>
        </w:tcBorders>
        <w:shd w:val="clear" w:color="auto" w:fill="D2EAF1" w:themeFill="accent5" w:themeFillTint="3F"/>
      </w:tcPr>
    </w:tblStylePr>
    <w:tblStylePr w:type="band2Vert">
      <w:tblPr/>
      <w:tcPr>
        <w:tcBorders>
          <w:top w:val="single" w:sz="4" w:space="0" w:color="448A99"/>
          <w:left w:val="single" w:sz="4" w:space="0" w:color="448A99"/>
          <w:bottom w:val="single" w:sz="4" w:space="0" w:color="448A99"/>
          <w:right w:val="single" w:sz="4" w:space="0" w:color="448A99"/>
          <w:insideH w:val="nil"/>
          <w:insideV w:val="nil"/>
          <w:tl2br w:val="nil"/>
          <w:tr2bl w:val="nil"/>
        </w:tcBorders>
      </w:tcPr>
    </w:tblStylePr>
    <w:tblStylePr w:type="band1Horz">
      <w:rPr>
        <w:rFonts w:cs="Times New Roman"/>
      </w:rPr>
      <w:tblPr/>
      <w:tcPr>
        <w:tcBorders>
          <w:top w:val="single" w:sz="4" w:space="0" w:color="448A99"/>
          <w:left w:val="single" w:sz="4" w:space="0" w:color="448A99"/>
          <w:bottom w:val="single" w:sz="4" w:space="0" w:color="448A99"/>
          <w:right w:val="single" w:sz="4" w:space="0" w:color="448A99"/>
          <w:insideH w:val="single" w:sz="4" w:space="0" w:color="448A99"/>
          <w:insideV w:val="single" w:sz="4" w:space="0" w:color="448A99"/>
          <w:tl2br w:val="nil"/>
          <w:tr2bl w:val="nil"/>
        </w:tcBorders>
        <w:shd w:val="clear" w:color="auto" w:fill="D2EAF1"/>
      </w:tcPr>
    </w:tblStylePr>
    <w:tblStylePr w:type="band2Horz">
      <w:rPr>
        <w:rFonts w:cs="Times New Roman"/>
      </w:rPr>
      <w:tblPr/>
      <w:tcPr>
        <w:tcBorders>
          <w:top w:val="single" w:sz="4" w:space="0" w:color="448A99"/>
          <w:left w:val="single" w:sz="4" w:space="0" w:color="448A99"/>
          <w:bottom w:val="single" w:sz="4" w:space="0" w:color="448A99"/>
          <w:right w:val="single" w:sz="4" w:space="0" w:color="448A99"/>
          <w:insideH w:val="nil"/>
          <w:insideV w:val="single" w:sz="4" w:space="0" w:color="448A99"/>
          <w:tl2br w:val="nil"/>
          <w:tr2bl w:val="nil"/>
        </w:tcBorders>
      </w:tcPr>
    </w:tblStylePr>
  </w:style>
  <w:style w:type="character" w:styleId="Mention">
    <w:name w:val="Mention"/>
    <w:basedOn w:val="DefaultParagraphFont"/>
    <w:uiPriority w:val="99"/>
    <w:semiHidden/>
    <w:unhideWhenUsed/>
    <w:rsid w:val="002E1CE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15843">
      <w:bodyDiv w:val="1"/>
      <w:marLeft w:val="0"/>
      <w:marRight w:val="0"/>
      <w:marTop w:val="0"/>
      <w:marBottom w:val="0"/>
      <w:divBdr>
        <w:top w:val="none" w:sz="0" w:space="0" w:color="auto"/>
        <w:left w:val="none" w:sz="0" w:space="0" w:color="auto"/>
        <w:bottom w:val="none" w:sz="0" w:space="0" w:color="auto"/>
        <w:right w:val="none" w:sz="0" w:space="0" w:color="auto"/>
      </w:divBdr>
    </w:div>
    <w:div w:id="45031168">
      <w:bodyDiv w:val="1"/>
      <w:marLeft w:val="0"/>
      <w:marRight w:val="0"/>
      <w:marTop w:val="0"/>
      <w:marBottom w:val="0"/>
      <w:divBdr>
        <w:top w:val="none" w:sz="0" w:space="0" w:color="auto"/>
        <w:left w:val="none" w:sz="0" w:space="0" w:color="auto"/>
        <w:bottom w:val="none" w:sz="0" w:space="0" w:color="auto"/>
        <w:right w:val="none" w:sz="0" w:space="0" w:color="auto"/>
      </w:divBdr>
    </w:div>
    <w:div w:id="60258340">
      <w:bodyDiv w:val="1"/>
      <w:marLeft w:val="0"/>
      <w:marRight w:val="0"/>
      <w:marTop w:val="0"/>
      <w:marBottom w:val="0"/>
      <w:divBdr>
        <w:top w:val="none" w:sz="0" w:space="0" w:color="auto"/>
        <w:left w:val="none" w:sz="0" w:space="0" w:color="auto"/>
        <w:bottom w:val="none" w:sz="0" w:space="0" w:color="auto"/>
        <w:right w:val="none" w:sz="0" w:space="0" w:color="auto"/>
      </w:divBdr>
    </w:div>
    <w:div w:id="149713301">
      <w:bodyDiv w:val="1"/>
      <w:marLeft w:val="0"/>
      <w:marRight w:val="0"/>
      <w:marTop w:val="0"/>
      <w:marBottom w:val="0"/>
      <w:divBdr>
        <w:top w:val="none" w:sz="0" w:space="0" w:color="auto"/>
        <w:left w:val="none" w:sz="0" w:space="0" w:color="auto"/>
        <w:bottom w:val="none" w:sz="0" w:space="0" w:color="auto"/>
        <w:right w:val="none" w:sz="0" w:space="0" w:color="auto"/>
      </w:divBdr>
    </w:div>
    <w:div w:id="175660153">
      <w:bodyDiv w:val="1"/>
      <w:marLeft w:val="0"/>
      <w:marRight w:val="0"/>
      <w:marTop w:val="0"/>
      <w:marBottom w:val="0"/>
      <w:divBdr>
        <w:top w:val="none" w:sz="0" w:space="0" w:color="auto"/>
        <w:left w:val="none" w:sz="0" w:space="0" w:color="auto"/>
        <w:bottom w:val="none" w:sz="0" w:space="0" w:color="auto"/>
        <w:right w:val="none" w:sz="0" w:space="0" w:color="auto"/>
      </w:divBdr>
    </w:div>
    <w:div w:id="211238635">
      <w:bodyDiv w:val="1"/>
      <w:marLeft w:val="0"/>
      <w:marRight w:val="0"/>
      <w:marTop w:val="0"/>
      <w:marBottom w:val="0"/>
      <w:divBdr>
        <w:top w:val="none" w:sz="0" w:space="0" w:color="auto"/>
        <w:left w:val="none" w:sz="0" w:space="0" w:color="auto"/>
        <w:bottom w:val="none" w:sz="0" w:space="0" w:color="auto"/>
        <w:right w:val="none" w:sz="0" w:space="0" w:color="auto"/>
      </w:divBdr>
    </w:div>
    <w:div w:id="269437805">
      <w:bodyDiv w:val="1"/>
      <w:marLeft w:val="0"/>
      <w:marRight w:val="0"/>
      <w:marTop w:val="0"/>
      <w:marBottom w:val="0"/>
      <w:divBdr>
        <w:top w:val="none" w:sz="0" w:space="0" w:color="auto"/>
        <w:left w:val="none" w:sz="0" w:space="0" w:color="auto"/>
        <w:bottom w:val="none" w:sz="0" w:space="0" w:color="auto"/>
        <w:right w:val="none" w:sz="0" w:space="0" w:color="auto"/>
      </w:divBdr>
    </w:div>
    <w:div w:id="276379625">
      <w:bodyDiv w:val="1"/>
      <w:marLeft w:val="0"/>
      <w:marRight w:val="0"/>
      <w:marTop w:val="0"/>
      <w:marBottom w:val="0"/>
      <w:divBdr>
        <w:top w:val="none" w:sz="0" w:space="0" w:color="auto"/>
        <w:left w:val="none" w:sz="0" w:space="0" w:color="auto"/>
        <w:bottom w:val="none" w:sz="0" w:space="0" w:color="auto"/>
        <w:right w:val="none" w:sz="0" w:space="0" w:color="auto"/>
      </w:divBdr>
    </w:div>
    <w:div w:id="280041484">
      <w:bodyDiv w:val="1"/>
      <w:marLeft w:val="0"/>
      <w:marRight w:val="0"/>
      <w:marTop w:val="0"/>
      <w:marBottom w:val="0"/>
      <w:divBdr>
        <w:top w:val="none" w:sz="0" w:space="0" w:color="auto"/>
        <w:left w:val="none" w:sz="0" w:space="0" w:color="auto"/>
        <w:bottom w:val="none" w:sz="0" w:space="0" w:color="auto"/>
        <w:right w:val="none" w:sz="0" w:space="0" w:color="auto"/>
      </w:divBdr>
    </w:div>
    <w:div w:id="297611176">
      <w:bodyDiv w:val="1"/>
      <w:marLeft w:val="0"/>
      <w:marRight w:val="0"/>
      <w:marTop w:val="0"/>
      <w:marBottom w:val="0"/>
      <w:divBdr>
        <w:top w:val="none" w:sz="0" w:space="0" w:color="auto"/>
        <w:left w:val="none" w:sz="0" w:space="0" w:color="auto"/>
        <w:bottom w:val="none" w:sz="0" w:space="0" w:color="auto"/>
        <w:right w:val="none" w:sz="0" w:space="0" w:color="auto"/>
      </w:divBdr>
    </w:div>
    <w:div w:id="301084740">
      <w:bodyDiv w:val="1"/>
      <w:marLeft w:val="0"/>
      <w:marRight w:val="0"/>
      <w:marTop w:val="0"/>
      <w:marBottom w:val="0"/>
      <w:divBdr>
        <w:top w:val="none" w:sz="0" w:space="0" w:color="auto"/>
        <w:left w:val="none" w:sz="0" w:space="0" w:color="auto"/>
        <w:bottom w:val="none" w:sz="0" w:space="0" w:color="auto"/>
        <w:right w:val="none" w:sz="0" w:space="0" w:color="auto"/>
      </w:divBdr>
    </w:div>
    <w:div w:id="324015344">
      <w:bodyDiv w:val="1"/>
      <w:marLeft w:val="0"/>
      <w:marRight w:val="0"/>
      <w:marTop w:val="0"/>
      <w:marBottom w:val="0"/>
      <w:divBdr>
        <w:top w:val="none" w:sz="0" w:space="0" w:color="auto"/>
        <w:left w:val="none" w:sz="0" w:space="0" w:color="auto"/>
        <w:bottom w:val="none" w:sz="0" w:space="0" w:color="auto"/>
        <w:right w:val="none" w:sz="0" w:space="0" w:color="auto"/>
      </w:divBdr>
    </w:div>
    <w:div w:id="331377860">
      <w:bodyDiv w:val="1"/>
      <w:marLeft w:val="0"/>
      <w:marRight w:val="0"/>
      <w:marTop w:val="0"/>
      <w:marBottom w:val="0"/>
      <w:divBdr>
        <w:top w:val="none" w:sz="0" w:space="0" w:color="auto"/>
        <w:left w:val="none" w:sz="0" w:space="0" w:color="auto"/>
        <w:bottom w:val="none" w:sz="0" w:space="0" w:color="auto"/>
        <w:right w:val="none" w:sz="0" w:space="0" w:color="auto"/>
      </w:divBdr>
    </w:div>
    <w:div w:id="349988857">
      <w:bodyDiv w:val="1"/>
      <w:marLeft w:val="0"/>
      <w:marRight w:val="0"/>
      <w:marTop w:val="0"/>
      <w:marBottom w:val="0"/>
      <w:divBdr>
        <w:top w:val="none" w:sz="0" w:space="0" w:color="auto"/>
        <w:left w:val="none" w:sz="0" w:space="0" w:color="auto"/>
        <w:bottom w:val="none" w:sz="0" w:space="0" w:color="auto"/>
        <w:right w:val="none" w:sz="0" w:space="0" w:color="auto"/>
      </w:divBdr>
    </w:div>
    <w:div w:id="380906210">
      <w:bodyDiv w:val="1"/>
      <w:marLeft w:val="0"/>
      <w:marRight w:val="0"/>
      <w:marTop w:val="0"/>
      <w:marBottom w:val="0"/>
      <w:divBdr>
        <w:top w:val="none" w:sz="0" w:space="0" w:color="auto"/>
        <w:left w:val="none" w:sz="0" w:space="0" w:color="auto"/>
        <w:bottom w:val="none" w:sz="0" w:space="0" w:color="auto"/>
        <w:right w:val="none" w:sz="0" w:space="0" w:color="auto"/>
      </w:divBdr>
    </w:div>
    <w:div w:id="407770568">
      <w:bodyDiv w:val="1"/>
      <w:marLeft w:val="0"/>
      <w:marRight w:val="0"/>
      <w:marTop w:val="0"/>
      <w:marBottom w:val="0"/>
      <w:divBdr>
        <w:top w:val="none" w:sz="0" w:space="0" w:color="auto"/>
        <w:left w:val="none" w:sz="0" w:space="0" w:color="auto"/>
        <w:bottom w:val="none" w:sz="0" w:space="0" w:color="auto"/>
        <w:right w:val="none" w:sz="0" w:space="0" w:color="auto"/>
      </w:divBdr>
    </w:div>
    <w:div w:id="408188604">
      <w:bodyDiv w:val="1"/>
      <w:marLeft w:val="0"/>
      <w:marRight w:val="0"/>
      <w:marTop w:val="0"/>
      <w:marBottom w:val="0"/>
      <w:divBdr>
        <w:top w:val="none" w:sz="0" w:space="0" w:color="auto"/>
        <w:left w:val="none" w:sz="0" w:space="0" w:color="auto"/>
        <w:bottom w:val="none" w:sz="0" w:space="0" w:color="auto"/>
        <w:right w:val="none" w:sz="0" w:space="0" w:color="auto"/>
      </w:divBdr>
    </w:div>
    <w:div w:id="433941255">
      <w:bodyDiv w:val="1"/>
      <w:marLeft w:val="0"/>
      <w:marRight w:val="0"/>
      <w:marTop w:val="0"/>
      <w:marBottom w:val="0"/>
      <w:divBdr>
        <w:top w:val="none" w:sz="0" w:space="0" w:color="auto"/>
        <w:left w:val="none" w:sz="0" w:space="0" w:color="auto"/>
        <w:bottom w:val="none" w:sz="0" w:space="0" w:color="auto"/>
        <w:right w:val="none" w:sz="0" w:space="0" w:color="auto"/>
      </w:divBdr>
    </w:div>
    <w:div w:id="456526359">
      <w:bodyDiv w:val="1"/>
      <w:marLeft w:val="0"/>
      <w:marRight w:val="0"/>
      <w:marTop w:val="0"/>
      <w:marBottom w:val="0"/>
      <w:divBdr>
        <w:top w:val="none" w:sz="0" w:space="0" w:color="auto"/>
        <w:left w:val="none" w:sz="0" w:space="0" w:color="auto"/>
        <w:bottom w:val="none" w:sz="0" w:space="0" w:color="auto"/>
        <w:right w:val="none" w:sz="0" w:space="0" w:color="auto"/>
      </w:divBdr>
    </w:div>
    <w:div w:id="473451429">
      <w:bodyDiv w:val="1"/>
      <w:marLeft w:val="0"/>
      <w:marRight w:val="0"/>
      <w:marTop w:val="0"/>
      <w:marBottom w:val="0"/>
      <w:divBdr>
        <w:top w:val="none" w:sz="0" w:space="0" w:color="auto"/>
        <w:left w:val="none" w:sz="0" w:space="0" w:color="auto"/>
        <w:bottom w:val="none" w:sz="0" w:space="0" w:color="auto"/>
        <w:right w:val="none" w:sz="0" w:space="0" w:color="auto"/>
      </w:divBdr>
    </w:div>
    <w:div w:id="475342011">
      <w:bodyDiv w:val="1"/>
      <w:marLeft w:val="0"/>
      <w:marRight w:val="0"/>
      <w:marTop w:val="0"/>
      <w:marBottom w:val="0"/>
      <w:divBdr>
        <w:top w:val="none" w:sz="0" w:space="0" w:color="auto"/>
        <w:left w:val="none" w:sz="0" w:space="0" w:color="auto"/>
        <w:bottom w:val="none" w:sz="0" w:space="0" w:color="auto"/>
        <w:right w:val="none" w:sz="0" w:space="0" w:color="auto"/>
      </w:divBdr>
    </w:div>
    <w:div w:id="499735438">
      <w:bodyDiv w:val="1"/>
      <w:marLeft w:val="0"/>
      <w:marRight w:val="0"/>
      <w:marTop w:val="0"/>
      <w:marBottom w:val="0"/>
      <w:divBdr>
        <w:top w:val="none" w:sz="0" w:space="0" w:color="auto"/>
        <w:left w:val="none" w:sz="0" w:space="0" w:color="auto"/>
        <w:bottom w:val="none" w:sz="0" w:space="0" w:color="auto"/>
        <w:right w:val="none" w:sz="0" w:space="0" w:color="auto"/>
      </w:divBdr>
    </w:div>
    <w:div w:id="506134659">
      <w:bodyDiv w:val="1"/>
      <w:marLeft w:val="0"/>
      <w:marRight w:val="0"/>
      <w:marTop w:val="0"/>
      <w:marBottom w:val="0"/>
      <w:divBdr>
        <w:top w:val="none" w:sz="0" w:space="0" w:color="auto"/>
        <w:left w:val="none" w:sz="0" w:space="0" w:color="auto"/>
        <w:bottom w:val="none" w:sz="0" w:space="0" w:color="auto"/>
        <w:right w:val="none" w:sz="0" w:space="0" w:color="auto"/>
      </w:divBdr>
    </w:div>
    <w:div w:id="515778717">
      <w:bodyDiv w:val="1"/>
      <w:marLeft w:val="0"/>
      <w:marRight w:val="0"/>
      <w:marTop w:val="0"/>
      <w:marBottom w:val="0"/>
      <w:divBdr>
        <w:top w:val="none" w:sz="0" w:space="0" w:color="auto"/>
        <w:left w:val="none" w:sz="0" w:space="0" w:color="auto"/>
        <w:bottom w:val="none" w:sz="0" w:space="0" w:color="auto"/>
        <w:right w:val="none" w:sz="0" w:space="0" w:color="auto"/>
      </w:divBdr>
    </w:div>
    <w:div w:id="527182817">
      <w:bodyDiv w:val="1"/>
      <w:marLeft w:val="0"/>
      <w:marRight w:val="0"/>
      <w:marTop w:val="0"/>
      <w:marBottom w:val="0"/>
      <w:divBdr>
        <w:top w:val="none" w:sz="0" w:space="0" w:color="auto"/>
        <w:left w:val="none" w:sz="0" w:space="0" w:color="auto"/>
        <w:bottom w:val="none" w:sz="0" w:space="0" w:color="auto"/>
        <w:right w:val="none" w:sz="0" w:space="0" w:color="auto"/>
      </w:divBdr>
    </w:div>
    <w:div w:id="533005342">
      <w:bodyDiv w:val="1"/>
      <w:marLeft w:val="0"/>
      <w:marRight w:val="0"/>
      <w:marTop w:val="0"/>
      <w:marBottom w:val="0"/>
      <w:divBdr>
        <w:top w:val="none" w:sz="0" w:space="0" w:color="auto"/>
        <w:left w:val="none" w:sz="0" w:space="0" w:color="auto"/>
        <w:bottom w:val="none" w:sz="0" w:space="0" w:color="auto"/>
        <w:right w:val="none" w:sz="0" w:space="0" w:color="auto"/>
      </w:divBdr>
    </w:div>
    <w:div w:id="557712737">
      <w:bodyDiv w:val="1"/>
      <w:marLeft w:val="0"/>
      <w:marRight w:val="0"/>
      <w:marTop w:val="0"/>
      <w:marBottom w:val="0"/>
      <w:divBdr>
        <w:top w:val="none" w:sz="0" w:space="0" w:color="auto"/>
        <w:left w:val="none" w:sz="0" w:space="0" w:color="auto"/>
        <w:bottom w:val="none" w:sz="0" w:space="0" w:color="auto"/>
        <w:right w:val="none" w:sz="0" w:space="0" w:color="auto"/>
      </w:divBdr>
    </w:div>
    <w:div w:id="591937455">
      <w:bodyDiv w:val="1"/>
      <w:marLeft w:val="0"/>
      <w:marRight w:val="0"/>
      <w:marTop w:val="0"/>
      <w:marBottom w:val="0"/>
      <w:divBdr>
        <w:top w:val="none" w:sz="0" w:space="0" w:color="auto"/>
        <w:left w:val="none" w:sz="0" w:space="0" w:color="auto"/>
        <w:bottom w:val="none" w:sz="0" w:space="0" w:color="auto"/>
        <w:right w:val="none" w:sz="0" w:space="0" w:color="auto"/>
      </w:divBdr>
    </w:div>
    <w:div w:id="592513719">
      <w:bodyDiv w:val="1"/>
      <w:marLeft w:val="0"/>
      <w:marRight w:val="0"/>
      <w:marTop w:val="0"/>
      <w:marBottom w:val="0"/>
      <w:divBdr>
        <w:top w:val="none" w:sz="0" w:space="0" w:color="auto"/>
        <w:left w:val="none" w:sz="0" w:space="0" w:color="auto"/>
        <w:bottom w:val="none" w:sz="0" w:space="0" w:color="auto"/>
        <w:right w:val="none" w:sz="0" w:space="0" w:color="auto"/>
      </w:divBdr>
    </w:div>
    <w:div w:id="597521387">
      <w:bodyDiv w:val="1"/>
      <w:marLeft w:val="0"/>
      <w:marRight w:val="0"/>
      <w:marTop w:val="0"/>
      <w:marBottom w:val="0"/>
      <w:divBdr>
        <w:top w:val="none" w:sz="0" w:space="0" w:color="auto"/>
        <w:left w:val="none" w:sz="0" w:space="0" w:color="auto"/>
        <w:bottom w:val="none" w:sz="0" w:space="0" w:color="auto"/>
        <w:right w:val="none" w:sz="0" w:space="0" w:color="auto"/>
      </w:divBdr>
    </w:div>
    <w:div w:id="624577992">
      <w:bodyDiv w:val="1"/>
      <w:marLeft w:val="0"/>
      <w:marRight w:val="0"/>
      <w:marTop w:val="0"/>
      <w:marBottom w:val="0"/>
      <w:divBdr>
        <w:top w:val="none" w:sz="0" w:space="0" w:color="auto"/>
        <w:left w:val="none" w:sz="0" w:space="0" w:color="auto"/>
        <w:bottom w:val="none" w:sz="0" w:space="0" w:color="auto"/>
        <w:right w:val="none" w:sz="0" w:space="0" w:color="auto"/>
      </w:divBdr>
    </w:div>
    <w:div w:id="645205583">
      <w:bodyDiv w:val="1"/>
      <w:marLeft w:val="0"/>
      <w:marRight w:val="0"/>
      <w:marTop w:val="0"/>
      <w:marBottom w:val="0"/>
      <w:divBdr>
        <w:top w:val="none" w:sz="0" w:space="0" w:color="auto"/>
        <w:left w:val="none" w:sz="0" w:space="0" w:color="auto"/>
        <w:bottom w:val="none" w:sz="0" w:space="0" w:color="auto"/>
        <w:right w:val="none" w:sz="0" w:space="0" w:color="auto"/>
      </w:divBdr>
    </w:div>
    <w:div w:id="666787143">
      <w:bodyDiv w:val="1"/>
      <w:marLeft w:val="0"/>
      <w:marRight w:val="0"/>
      <w:marTop w:val="0"/>
      <w:marBottom w:val="0"/>
      <w:divBdr>
        <w:top w:val="none" w:sz="0" w:space="0" w:color="auto"/>
        <w:left w:val="none" w:sz="0" w:space="0" w:color="auto"/>
        <w:bottom w:val="none" w:sz="0" w:space="0" w:color="auto"/>
        <w:right w:val="none" w:sz="0" w:space="0" w:color="auto"/>
      </w:divBdr>
    </w:div>
    <w:div w:id="677972914">
      <w:bodyDiv w:val="1"/>
      <w:marLeft w:val="0"/>
      <w:marRight w:val="0"/>
      <w:marTop w:val="0"/>
      <w:marBottom w:val="0"/>
      <w:divBdr>
        <w:top w:val="none" w:sz="0" w:space="0" w:color="auto"/>
        <w:left w:val="none" w:sz="0" w:space="0" w:color="auto"/>
        <w:bottom w:val="none" w:sz="0" w:space="0" w:color="auto"/>
        <w:right w:val="none" w:sz="0" w:space="0" w:color="auto"/>
      </w:divBdr>
    </w:div>
    <w:div w:id="692611169">
      <w:bodyDiv w:val="1"/>
      <w:marLeft w:val="0"/>
      <w:marRight w:val="0"/>
      <w:marTop w:val="0"/>
      <w:marBottom w:val="0"/>
      <w:divBdr>
        <w:top w:val="none" w:sz="0" w:space="0" w:color="auto"/>
        <w:left w:val="none" w:sz="0" w:space="0" w:color="auto"/>
        <w:bottom w:val="none" w:sz="0" w:space="0" w:color="auto"/>
        <w:right w:val="none" w:sz="0" w:space="0" w:color="auto"/>
      </w:divBdr>
    </w:div>
    <w:div w:id="704450664">
      <w:bodyDiv w:val="1"/>
      <w:marLeft w:val="0"/>
      <w:marRight w:val="0"/>
      <w:marTop w:val="0"/>
      <w:marBottom w:val="0"/>
      <w:divBdr>
        <w:top w:val="none" w:sz="0" w:space="0" w:color="auto"/>
        <w:left w:val="none" w:sz="0" w:space="0" w:color="auto"/>
        <w:bottom w:val="none" w:sz="0" w:space="0" w:color="auto"/>
        <w:right w:val="none" w:sz="0" w:space="0" w:color="auto"/>
      </w:divBdr>
    </w:div>
    <w:div w:id="729421197">
      <w:bodyDiv w:val="1"/>
      <w:marLeft w:val="0"/>
      <w:marRight w:val="0"/>
      <w:marTop w:val="0"/>
      <w:marBottom w:val="0"/>
      <w:divBdr>
        <w:top w:val="none" w:sz="0" w:space="0" w:color="auto"/>
        <w:left w:val="none" w:sz="0" w:space="0" w:color="auto"/>
        <w:bottom w:val="none" w:sz="0" w:space="0" w:color="auto"/>
        <w:right w:val="none" w:sz="0" w:space="0" w:color="auto"/>
      </w:divBdr>
    </w:div>
    <w:div w:id="737171168">
      <w:bodyDiv w:val="1"/>
      <w:marLeft w:val="0"/>
      <w:marRight w:val="0"/>
      <w:marTop w:val="0"/>
      <w:marBottom w:val="0"/>
      <w:divBdr>
        <w:top w:val="none" w:sz="0" w:space="0" w:color="auto"/>
        <w:left w:val="none" w:sz="0" w:space="0" w:color="auto"/>
        <w:bottom w:val="none" w:sz="0" w:space="0" w:color="auto"/>
        <w:right w:val="none" w:sz="0" w:space="0" w:color="auto"/>
      </w:divBdr>
    </w:div>
    <w:div w:id="750391840">
      <w:bodyDiv w:val="1"/>
      <w:marLeft w:val="0"/>
      <w:marRight w:val="0"/>
      <w:marTop w:val="0"/>
      <w:marBottom w:val="0"/>
      <w:divBdr>
        <w:top w:val="none" w:sz="0" w:space="0" w:color="auto"/>
        <w:left w:val="none" w:sz="0" w:space="0" w:color="auto"/>
        <w:bottom w:val="none" w:sz="0" w:space="0" w:color="auto"/>
        <w:right w:val="none" w:sz="0" w:space="0" w:color="auto"/>
      </w:divBdr>
    </w:div>
    <w:div w:id="756367329">
      <w:bodyDiv w:val="1"/>
      <w:marLeft w:val="0"/>
      <w:marRight w:val="0"/>
      <w:marTop w:val="0"/>
      <w:marBottom w:val="0"/>
      <w:divBdr>
        <w:top w:val="none" w:sz="0" w:space="0" w:color="auto"/>
        <w:left w:val="none" w:sz="0" w:space="0" w:color="auto"/>
        <w:bottom w:val="none" w:sz="0" w:space="0" w:color="auto"/>
        <w:right w:val="none" w:sz="0" w:space="0" w:color="auto"/>
      </w:divBdr>
    </w:div>
    <w:div w:id="762841104">
      <w:bodyDiv w:val="1"/>
      <w:marLeft w:val="0"/>
      <w:marRight w:val="0"/>
      <w:marTop w:val="0"/>
      <w:marBottom w:val="0"/>
      <w:divBdr>
        <w:top w:val="none" w:sz="0" w:space="0" w:color="auto"/>
        <w:left w:val="none" w:sz="0" w:space="0" w:color="auto"/>
        <w:bottom w:val="none" w:sz="0" w:space="0" w:color="auto"/>
        <w:right w:val="none" w:sz="0" w:space="0" w:color="auto"/>
      </w:divBdr>
    </w:div>
    <w:div w:id="787042574">
      <w:bodyDiv w:val="1"/>
      <w:marLeft w:val="0"/>
      <w:marRight w:val="0"/>
      <w:marTop w:val="0"/>
      <w:marBottom w:val="0"/>
      <w:divBdr>
        <w:top w:val="none" w:sz="0" w:space="0" w:color="auto"/>
        <w:left w:val="none" w:sz="0" w:space="0" w:color="auto"/>
        <w:bottom w:val="none" w:sz="0" w:space="0" w:color="auto"/>
        <w:right w:val="none" w:sz="0" w:space="0" w:color="auto"/>
      </w:divBdr>
    </w:div>
    <w:div w:id="822963590">
      <w:bodyDiv w:val="1"/>
      <w:marLeft w:val="0"/>
      <w:marRight w:val="0"/>
      <w:marTop w:val="0"/>
      <w:marBottom w:val="0"/>
      <w:divBdr>
        <w:top w:val="none" w:sz="0" w:space="0" w:color="auto"/>
        <w:left w:val="none" w:sz="0" w:space="0" w:color="auto"/>
        <w:bottom w:val="none" w:sz="0" w:space="0" w:color="auto"/>
        <w:right w:val="none" w:sz="0" w:space="0" w:color="auto"/>
      </w:divBdr>
    </w:div>
    <w:div w:id="865675854">
      <w:bodyDiv w:val="1"/>
      <w:marLeft w:val="0"/>
      <w:marRight w:val="0"/>
      <w:marTop w:val="0"/>
      <w:marBottom w:val="0"/>
      <w:divBdr>
        <w:top w:val="none" w:sz="0" w:space="0" w:color="auto"/>
        <w:left w:val="none" w:sz="0" w:space="0" w:color="auto"/>
        <w:bottom w:val="none" w:sz="0" w:space="0" w:color="auto"/>
        <w:right w:val="none" w:sz="0" w:space="0" w:color="auto"/>
      </w:divBdr>
    </w:div>
    <w:div w:id="869151236">
      <w:bodyDiv w:val="1"/>
      <w:marLeft w:val="0"/>
      <w:marRight w:val="0"/>
      <w:marTop w:val="0"/>
      <w:marBottom w:val="0"/>
      <w:divBdr>
        <w:top w:val="none" w:sz="0" w:space="0" w:color="auto"/>
        <w:left w:val="none" w:sz="0" w:space="0" w:color="auto"/>
        <w:bottom w:val="none" w:sz="0" w:space="0" w:color="auto"/>
        <w:right w:val="none" w:sz="0" w:space="0" w:color="auto"/>
      </w:divBdr>
    </w:div>
    <w:div w:id="887374129">
      <w:bodyDiv w:val="1"/>
      <w:marLeft w:val="0"/>
      <w:marRight w:val="0"/>
      <w:marTop w:val="0"/>
      <w:marBottom w:val="0"/>
      <w:divBdr>
        <w:top w:val="none" w:sz="0" w:space="0" w:color="auto"/>
        <w:left w:val="none" w:sz="0" w:space="0" w:color="auto"/>
        <w:bottom w:val="none" w:sz="0" w:space="0" w:color="auto"/>
        <w:right w:val="none" w:sz="0" w:space="0" w:color="auto"/>
      </w:divBdr>
    </w:div>
    <w:div w:id="901676945">
      <w:marLeft w:val="0"/>
      <w:marRight w:val="0"/>
      <w:marTop w:val="0"/>
      <w:marBottom w:val="0"/>
      <w:divBdr>
        <w:top w:val="none" w:sz="0" w:space="0" w:color="auto"/>
        <w:left w:val="none" w:sz="0" w:space="0" w:color="auto"/>
        <w:bottom w:val="none" w:sz="0" w:space="0" w:color="auto"/>
        <w:right w:val="none" w:sz="0" w:space="0" w:color="auto"/>
      </w:divBdr>
    </w:div>
    <w:div w:id="901676946">
      <w:marLeft w:val="0"/>
      <w:marRight w:val="0"/>
      <w:marTop w:val="0"/>
      <w:marBottom w:val="0"/>
      <w:divBdr>
        <w:top w:val="none" w:sz="0" w:space="0" w:color="auto"/>
        <w:left w:val="none" w:sz="0" w:space="0" w:color="auto"/>
        <w:bottom w:val="none" w:sz="0" w:space="0" w:color="auto"/>
        <w:right w:val="none" w:sz="0" w:space="0" w:color="auto"/>
      </w:divBdr>
    </w:div>
    <w:div w:id="901676947">
      <w:marLeft w:val="0"/>
      <w:marRight w:val="0"/>
      <w:marTop w:val="0"/>
      <w:marBottom w:val="0"/>
      <w:divBdr>
        <w:top w:val="none" w:sz="0" w:space="0" w:color="auto"/>
        <w:left w:val="none" w:sz="0" w:space="0" w:color="auto"/>
        <w:bottom w:val="none" w:sz="0" w:space="0" w:color="auto"/>
        <w:right w:val="none" w:sz="0" w:space="0" w:color="auto"/>
      </w:divBdr>
    </w:div>
    <w:div w:id="901676948">
      <w:marLeft w:val="0"/>
      <w:marRight w:val="0"/>
      <w:marTop w:val="0"/>
      <w:marBottom w:val="0"/>
      <w:divBdr>
        <w:top w:val="none" w:sz="0" w:space="0" w:color="auto"/>
        <w:left w:val="none" w:sz="0" w:space="0" w:color="auto"/>
        <w:bottom w:val="none" w:sz="0" w:space="0" w:color="auto"/>
        <w:right w:val="none" w:sz="0" w:space="0" w:color="auto"/>
      </w:divBdr>
    </w:div>
    <w:div w:id="901676949">
      <w:marLeft w:val="0"/>
      <w:marRight w:val="0"/>
      <w:marTop w:val="0"/>
      <w:marBottom w:val="0"/>
      <w:divBdr>
        <w:top w:val="none" w:sz="0" w:space="0" w:color="auto"/>
        <w:left w:val="none" w:sz="0" w:space="0" w:color="auto"/>
        <w:bottom w:val="none" w:sz="0" w:space="0" w:color="auto"/>
        <w:right w:val="none" w:sz="0" w:space="0" w:color="auto"/>
      </w:divBdr>
    </w:div>
    <w:div w:id="901676950">
      <w:marLeft w:val="0"/>
      <w:marRight w:val="0"/>
      <w:marTop w:val="0"/>
      <w:marBottom w:val="0"/>
      <w:divBdr>
        <w:top w:val="none" w:sz="0" w:space="0" w:color="auto"/>
        <w:left w:val="none" w:sz="0" w:space="0" w:color="auto"/>
        <w:bottom w:val="none" w:sz="0" w:space="0" w:color="auto"/>
        <w:right w:val="none" w:sz="0" w:space="0" w:color="auto"/>
      </w:divBdr>
    </w:div>
    <w:div w:id="901676951">
      <w:marLeft w:val="0"/>
      <w:marRight w:val="0"/>
      <w:marTop w:val="0"/>
      <w:marBottom w:val="0"/>
      <w:divBdr>
        <w:top w:val="none" w:sz="0" w:space="0" w:color="auto"/>
        <w:left w:val="none" w:sz="0" w:space="0" w:color="auto"/>
        <w:bottom w:val="none" w:sz="0" w:space="0" w:color="auto"/>
        <w:right w:val="none" w:sz="0" w:space="0" w:color="auto"/>
      </w:divBdr>
    </w:div>
    <w:div w:id="901676952">
      <w:marLeft w:val="0"/>
      <w:marRight w:val="0"/>
      <w:marTop w:val="0"/>
      <w:marBottom w:val="0"/>
      <w:divBdr>
        <w:top w:val="none" w:sz="0" w:space="0" w:color="auto"/>
        <w:left w:val="none" w:sz="0" w:space="0" w:color="auto"/>
        <w:bottom w:val="none" w:sz="0" w:space="0" w:color="auto"/>
        <w:right w:val="none" w:sz="0" w:space="0" w:color="auto"/>
      </w:divBdr>
    </w:div>
    <w:div w:id="901676953">
      <w:marLeft w:val="0"/>
      <w:marRight w:val="0"/>
      <w:marTop w:val="0"/>
      <w:marBottom w:val="0"/>
      <w:divBdr>
        <w:top w:val="none" w:sz="0" w:space="0" w:color="auto"/>
        <w:left w:val="none" w:sz="0" w:space="0" w:color="auto"/>
        <w:bottom w:val="none" w:sz="0" w:space="0" w:color="auto"/>
        <w:right w:val="none" w:sz="0" w:space="0" w:color="auto"/>
      </w:divBdr>
    </w:div>
    <w:div w:id="901676954">
      <w:marLeft w:val="0"/>
      <w:marRight w:val="0"/>
      <w:marTop w:val="0"/>
      <w:marBottom w:val="0"/>
      <w:divBdr>
        <w:top w:val="none" w:sz="0" w:space="0" w:color="auto"/>
        <w:left w:val="none" w:sz="0" w:space="0" w:color="auto"/>
        <w:bottom w:val="none" w:sz="0" w:space="0" w:color="auto"/>
        <w:right w:val="none" w:sz="0" w:space="0" w:color="auto"/>
      </w:divBdr>
    </w:div>
    <w:div w:id="901676955">
      <w:marLeft w:val="0"/>
      <w:marRight w:val="0"/>
      <w:marTop w:val="0"/>
      <w:marBottom w:val="0"/>
      <w:divBdr>
        <w:top w:val="none" w:sz="0" w:space="0" w:color="auto"/>
        <w:left w:val="none" w:sz="0" w:space="0" w:color="auto"/>
        <w:bottom w:val="none" w:sz="0" w:space="0" w:color="auto"/>
        <w:right w:val="none" w:sz="0" w:space="0" w:color="auto"/>
      </w:divBdr>
    </w:div>
    <w:div w:id="901676956">
      <w:marLeft w:val="0"/>
      <w:marRight w:val="0"/>
      <w:marTop w:val="0"/>
      <w:marBottom w:val="0"/>
      <w:divBdr>
        <w:top w:val="none" w:sz="0" w:space="0" w:color="auto"/>
        <w:left w:val="none" w:sz="0" w:space="0" w:color="auto"/>
        <w:bottom w:val="none" w:sz="0" w:space="0" w:color="auto"/>
        <w:right w:val="none" w:sz="0" w:space="0" w:color="auto"/>
      </w:divBdr>
    </w:div>
    <w:div w:id="901676957">
      <w:marLeft w:val="0"/>
      <w:marRight w:val="0"/>
      <w:marTop w:val="0"/>
      <w:marBottom w:val="0"/>
      <w:divBdr>
        <w:top w:val="none" w:sz="0" w:space="0" w:color="auto"/>
        <w:left w:val="none" w:sz="0" w:space="0" w:color="auto"/>
        <w:bottom w:val="none" w:sz="0" w:space="0" w:color="auto"/>
        <w:right w:val="none" w:sz="0" w:space="0" w:color="auto"/>
      </w:divBdr>
    </w:div>
    <w:div w:id="901676958">
      <w:marLeft w:val="0"/>
      <w:marRight w:val="0"/>
      <w:marTop w:val="0"/>
      <w:marBottom w:val="0"/>
      <w:divBdr>
        <w:top w:val="none" w:sz="0" w:space="0" w:color="auto"/>
        <w:left w:val="none" w:sz="0" w:space="0" w:color="auto"/>
        <w:bottom w:val="none" w:sz="0" w:space="0" w:color="auto"/>
        <w:right w:val="none" w:sz="0" w:space="0" w:color="auto"/>
      </w:divBdr>
    </w:div>
    <w:div w:id="901676959">
      <w:marLeft w:val="0"/>
      <w:marRight w:val="0"/>
      <w:marTop w:val="0"/>
      <w:marBottom w:val="0"/>
      <w:divBdr>
        <w:top w:val="none" w:sz="0" w:space="0" w:color="auto"/>
        <w:left w:val="none" w:sz="0" w:space="0" w:color="auto"/>
        <w:bottom w:val="none" w:sz="0" w:space="0" w:color="auto"/>
        <w:right w:val="none" w:sz="0" w:space="0" w:color="auto"/>
      </w:divBdr>
    </w:div>
    <w:div w:id="901676960">
      <w:marLeft w:val="0"/>
      <w:marRight w:val="0"/>
      <w:marTop w:val="0"/>
      <w:marBottom w:val="0"/>
      <w:divBdr>
        <w:top w:val="none" w:sz="0" w:space="0" w:color="auto"/>
        <w:left w:val="none" w:sz="0" w:space="0" w:color="auto"/>
        <w:bottom w:val="none" w:sz="0" w:space="0" w:color="auto"/>
        <w:right w:val="none" w:sz="0" w:space="0" w:color="auto"/>
      </w:divBdr>
    </w:div>
    <w:div w:id="901676961">
      <w:marLeft w:val="0"/>
      <w:marRight w:val="0"/>
      <w:marTop w:val="0"/>
      <w:marBottom w:val="0"/>
      <w:divBdr>
        <w:top w:val="none" w:sz="0" w:space="0" w:color="auto"/>
        <w:left w:val="none" w:sz="0" w:space="0" w:color="auto"/>
        <w:bottom w:val="none" w:sz="0" w:space="0" w:color="auto"/>
        <w:right w:val="none" w:sz="0" w:space="0" w:color="auto"/>
      </w:divBdr>
    </w:div>
    <w:div w:id="901676962">
      <w:marLeft w:val="0"/>
      <w:marRight w:val="0"/>
      <w:marTop w:val="0"/>
      <w:marBottom w:val="0"/>
      <w:divBdr>
        <w:top w:val="none" w:sz="0" w:space="0" w:color="auto"/>
        <w:left w:val="none" w:sz="0" w:space="0" w:color="auto"/>
        <w:bottom w:val="none" w:sz="0" w:space="0" w:color="auto"/>
        <w:right w:val="none" w:sz="0" w:space="0" w:color="auto"/>
      </w:divBdr>
    </w:div>
    <w:div w:id="901676963">
      <w:marLeft w:val="0"/>
      <w:marRight w:val="0"/>
      <w:marTop w:val="0"/>
      <w:marBottom w:val="0"/>
      <w:divBdr>
        <w:top w:val="none" w:sz="0" w:space="0" w:color="auto"/>
        <w:left w:val="none" w:sz="0" w:space="0" w:color="auto"/>
        <w:bottom w:val="none" w:sz="0" w:space="0" w:color="auto"/>
        <w:right w:val="none" w:sz="0" w:space="0" w:color="auto"/>
      </w:divBdr>
    </w:div>
    <w:div w:id="901676964">
      <w:marLeft w:val="0"/>
      <w:marRight w:val="0"/>
      <w:marTop w:val="0"/>
      <w:marBottom w:val="0"/>
      <w:divBdr>
        <w:top w:val="none" w:sz="0" w:space="0" w:color="auto"/>
        <w:left w:val="none" w:sz="0" w:space="0" w:color="auto"/>
        <w:bottom w:val="none" w:sz="0" w:space="0" w:color="auto"/>
        <w:right w:val="none" w:sz="0" w:space="0" w:color="auto"/>
      </w:divBdr>
    </w:div>
    <w:div w:id="901676965">
      <w:marLeft w:val="0"/>
      <w:marRight w:val="0"/>
      <w:marTop w:val="0"/>
      <w:marBottom w:val="0"/>
      <w:divBdr>
        <w:top w:val="none" w:sz="0" w:space="0" w:color="auto"/>
        <w:left w:val="none" w:sz="0" w:space="0" w:color="auto"/>
        <w:bottom w:val="none" w:sz="0" w:space="0" w:color="auto"/>
        <w:right w:val="none" w:sz="0" w:space="0" w:color="auto"/>
      </w:divBdr>
    </w:div>
    <w:div w:id="901676966">
      <w:marLeft w:val="0"/>
      <w:marRight w:val="0"/>
      <w:marTop w:val="0"/>
      <w:marBottom w:val="0"/>
      <w:divBdr>
        <w:top w:val="none" w:sz="0" w:space="0" w:color="auto"/>
        <w:left w:val="none" w:sz="0" w:space="0" w:color="auto"/>
        <w:bottom w:val="none" w:sz="0" w:space="0" w:color="auto"/>
        <w:right w:val="none" w:sz="0" w:space="0" w:color="auto"/>
      </w:divBdr>
    </w:div>
    <w:div w:id="901676967">
      <w:marLeft w:val="0"/>
      <w:marRight w:val="0"/>
      <w:marTop w:val="0"/>
      <w:marBottom w:val="0"/>
      <w:divBdr>
        <w:top w:val="none" w:sz="0" w:space="0" w:color="auto"/>
        <w:left w:val="none" w:sz="0" w:space="0" w:color="auto"/>
        <w:bottom w:val="none" w:sz="0" w:space="0" w:color="auto"/>
        <w:right w:val="none" w:sz="0" w:space="0" w:color="auto"/>
      </w:divBdr>
    </w:div>
    <w:div w:id="901676968">
      <w:marLeft w:val="0"/>
      <w:marRight w:val="0"/>
      <w:marTop w:val="0"/>
      <w:marBottom w:val="0"/>
      <w:divBdr>
        <w:top w:val="none" w:sz="0" w:space="0" w:color="auto"/>
        <w:left w:val="none" w:sz="0" w:space="0" w:color="auto"/>
        <w:bottom w:val="none" w:sz="0" w:space="0" w:color="auto"/>
        <w:right w:val="none" w:sz="0" w:space="0" w:color="auto"/>
      </w:divBdr>
    </w:div>
    <w:div w:id="901676969">
      <w:marLeft w:val="0"/>
      <w:marRight w:val="0"/>
      <w:marTop w:val="0"/>
      <w:marBottom w:val="0"/>
      <w:divBdr>
        <w:top w:val="none" w:sz="0" w:space="0" w:color="auto"/>
        <w:left w:val="none" w:sz="0" w:space="0" w:color="auto"/>
        <w:bottom w:val="none" w:sz="0" w:space="0" w:color="auto"/>
        <w:right w:val="none" w:sz="0" w:space="0" w:color="auto"/>
      </w:divBdr>
    </w:div>
    <w:div w:id="901676970">
      <w:marLeft w:val="0"/>
      <w:marRight w:val="0"/>
      <w:marTop w:val="0"/>
      <w:marBottom w:val="0"/>
      <w:divBdr>
        <w:top w:val="none" w:sz="0" w:space="0" w:color="auto"/>
        <w:left w:val="none" w:sz="0" w:space="0" w:color="auto"/>
        <w:bottom w:val="none" w:sz="0" w:space="0" w:color="auto"/>
        <w:right w:val="none" w:sz="0" w:space="0" w:color="auto"/>
      </w:divBdr>
    </w:div>
    <w:div w:id="901676971">
      <w:marLeft w:val="0"/>
      <w:marRight w:val="0"/>
      <w:marTop w:val="0"/>
      <w:marBottom w:val="0"/>
      <w:divBdr>
        <w:top w:val="none" w:sz="0" w:space="0" w:color="auto"/>
        <w:left w:val="none" w:sz="0" w:space="0" w:color="auto"/>
        <w:bottom w:val="none" w:sz="0" w:space="0" w:color="auto"/>
        <w:right w:val="none" w:sz="0" w:space="0" w:color="auto"/>
      </w:divBdr>
    </w:div>
    <w:div w:id="901676972">
      <w:marLeft w:val="0"/>
      <w:marRight w:val="0"/>
      <w:marTop w:val="0"/>
      <w:marBottom w:val="0"/>
      <w:divBdr>
        <w:top w:val="none" w:sz="0" w:space="0" w:color="auto"/>
        <w:left w:val="none" w:sz="0" w:space="0" w:color="auto"/>
        <w:bottom w:val="none" w:sz="0" w:space="0" w:color="auto"/>
        <w:right w:val="none" w:sz="0" w:space="0" w:color="auto"/>
      </w:divBdr>
    </w:div>
    <w:div w:id="901676973">
      <w:marLeft w:val="0"/>
      <w:marRight w:val="0"/>
      <w:marTop w:val="0"/>
      <w:marBottom w:val="0"/>
      <w:divBdr>
        <w:top w:val="none" w:sz="0" w:space="0" w:color="auto"/>
        <w:left w:val="none" w:sz="0" w:space="0" w:color="auto"/>
        <w:bottom w:val="none" w:sz="0" w:space="0" w:color="auto"/>
        <w:right w:val="none" w:sz="0" w:space="0" w:color="auto"/>
      </w:divBdr>
    </w:div>
    <w:div w:id="901912299">
      <w:bodyDiv w:val="1"/>
      <w:marLeft w:val="0"/>
      <w:marRight w:val="0"/>
      <w:marTop w:val="0"/>
      <w:marBottom w:val="0"/>
      <w:divBdr>
        <w:top w:val="none" w:sz="0" w:space="0" w:color="auto"/>
        <w:left w:val="none" w:sz="0" w:space="0" w:color="auto"/>
        <w:bottom w:val="none" w:sz="0" w:space="0" w:color="auto"/>
        <w:right w:val="none" w:sz="0" w:space="0" w:color="auto"/>
      </w:divBdr>
    </w:div>
    <w:div w:id="906111327">
      <w:bodyDiv w:val="1"/>
      <w:marLeft w:val="0"/>
      <w:marRight w:val="0"/>
      <w:marTop w:val="0"/>
      <w:marBottom w:val="0"/>
      <w:divBdr>
        <w:top w:val="none" w:sz="0" w:space="0" w:color="auto"/>
        <w:left w:val="none" w:sz="0" w:space="0" w:color="auto"/>
        <w:bottom w:val="none" w:sz="0" w:space="0" w:color="auto"/>
        <w:right w:val="none" w:sz="0" w:space="0" w:color="auto"/>
      </w:divBdr>
    </w:div>
    <w:div w:id="925846424">
      <w:bodyDiv w:val="1"/>
      <w:marLeft w:val="0"/>
      <w:marRight w:val="0"/>
      <w:marTop w:val="0"/>
      <w:marBottom w:val="0"/>
      <w:divBdr>
        <w:top w:val="none" w:sz="0" w:space="0" w:color="auto"/>
        <w:left w:val="none" w:sz="0" w:space="0" w:color="auto"/>
        <w:bottom w:val="none" w:sz="0" w:space="0" w:color="auto"/>
        <w:right w:val="none" w:sz="0" w:space="0" w:color="auto"/>
      </w:divBdr>
    </w:div>
    <w:div w:id="957566241">
      <w:bodyDiv w:val="1"/>
      <w:marLeft w:val="0"/>
      <w:marRight w:val="0"/>
      <w:marTop w:val="0"/>
      <w:marBottom w:val="0"/>
      <w:divBdr>
        <w:top w:val="none" w:sz="0" w:space="0" w:color="auto"/>
        <w:left w:val="none" w:sz="0" w:space="0" w:color="auto"/>
        <w:bottom w:val="none" w:sz="0" w:space="0" w:color="auto"/>
        <w:right w:val="none" w:sz="0" w:space="0" w:color="auto"/>
      </w:divBdr>
    </w:div>
    <w:div w:id="965887451">
      <w:bodyDiv w:val="1"/>
      <w:marLeft w:val="0"/>
      <w:marRight w:val="0"/>
      <w:marTop w:val="0"/>
      <w:marBottom w:val="0"/>
      <w:divBdr>
        <w:top w:val="none" w:sz="0" w:space="0" w:color="auto"/>
        <w:left w:val="none" w:sz="0" w:space="0" w:color="auto"/>
        <w:bottom w:val="none" w:sz="0" w:space="0" w:color="auto"/>
        <w:right w:val="none" w:sz="0" w:space="0" w:color="auto"/>
      </w:divBdr>
    </w:div>
    <w:div w:id="967663520">
      <w:bodyDiv w:val="1"/>
      <w:marLeft w:val="0"/>
      <w:marRight w:val="0"/>
      <w:marTop w:val="0"/>
      <w:marBottom w:val="0"/>
      <w:divBdr>
        <w:top w:val="none" w:sz="0" w:space="0" w:color="auto"/>
        <w:left w:val="none" w:sz="0" w:space="0" w:color="auto"/>
        <w:bottom w:val="none" w:sz="0" w:space="0" w:color="auto"/>
        <w:right w:val="none" w:sz="0" w:space="0" w:color="auto"/>
      </w:divBdr>
    </w:div>
    <w:div w:id="1035497316">
      <w:bodyDiv w:val="1"/>
      <w:marLeft w:val="0"/>
      <w:marRight w:val="0"/>
      <w:marTop w:val="0"/>
      <w:marBottom w:val="0"/>
      <w:divBdr>
        <w:top w:val="none" w:sz="0" w:space="0" w:color="auto"/>
        <w:left w:val="none" w:sz="0" w:space="0" w:color="auto"/>
        <w:bottom w:val="none" w:sz="0" w:space="0" w:color="auto"/>
        <w:right w:val="none" w:sz="0" w:space="0" w:color="auto"/>
      </w:divBdr>
    </w:div>
    <w:div w:id="1057826133">
      <w:bodyDiv w:val="1"/>
      <w:marLeft w:val="0"/>
      <w:marRight w:val="0"/>
      <w:marTop w:val="0"/>
      <w:marBottom w:val="0"/>
      <w:divBdr>
        <w:top w:val="none" w:sz="0" w:space="0" w:color="auto"/>
        <w:left w:val="none" w:sz="0" w:space="0" w:color="auto"/>
        <w:bottom w:val="none" w:sz="0" w:space="0" w:color="auto"/>
        <w:right w:val="none" w:sz="0" w:space="0" w:color="auto"/>
      </w:divBdr>
    </w:div>
    <w:div w:id="1074859174">
      <w:bodyDiv w:val="1"/>
      <w:marLeft w:val="0"/>
      <w:marRight w:val="0"/>
      <w:marTop w:val="0"/>
      <w:marBottom w:val="0"/>
      <w:divBdr>
        <w:top w:val="none" w:sz="0" w:space="0" w:color="auto"/>
        <w:left w:val="none" w:sz="0" w:space="0" w:color="auto"/>
        <w:bottom w:val="none" w:sz="0" w:space="0" w:color="auto"/>
        <w:right w:val="none" w:sz="0" w:space="0" w:color="auto"/>
      </w:divBdr>
    </w:div>
    <w:div w:id="1075080711">
      <w:bodyDiv w:val="1"/>
      <w:marLeft w:val="0"/>
      <w:marRight w:val="0"/>
      <w:marTop w:val="0"/>
      <w:marBottom w:val="0"/>
      <w:divBdr>
        <w:top w:val="none" w:sz="0" w:space="0" w:color="auto"/>
        <w:left w:val="none" w:sz="0" w:space="0" w:color="auto"/>
        <w:bottom w:val="none" w:sz="0" w:space="0" w:color="auto"/>
        <w:right w:val="none" w:sz="0" w:space="0" w:color="auto"/>
      </w:divBdr>
    </w:div>
    <w:div w:id="1086195272">
      <w:bodyDiv w:val="1"/>
      <w:marLeft w:val="0"/>
      <w:marRight w:val="0"/>
      <w:marTop w:val="0"/>
      <w:marBottom w:val="0"/>
      <w:divBdr>
        <w:top w:val="none" w:sz="0" w:space="0" w:color="auto"/>
        <w:left w:val="none" w:sz="0" w:space="0" w:color="auto"/>
        <w:bottom w:val="none" w:sz="0" w:space="0" w:color="auto"/>
        <w:right w:val="none" w:sz="0" w:space="0" w:color="auto"/>
      </w:divBdr>
    </w:div>
    <w:div w:id="1088577623">
      <w:bodyDiv w:val="1"/>
      <w:marLeft w:val="0"/>
      <w:marRight w:val="0"/>
      <w:marTop w:val="0"/>
      <w:marBottom w:val="0"/>
      <w:divBdr>
        <w:top w:val="none" w:sz="0" w:space="0" w:color="auto"/>
        <w:left w:val="none" w:sz="0" w:space="0" w:color="auto"/>
        <w:bottom w:val="none" w:sz="0" w:space="0" w:color="auto"/>
        <w:right w:val="none" w:sz="0" w:space="0" w:color="auto"/>
      </w:divBdr>
    </w:div>
    <w:div w:id="1100874049">
      <w:bodyDiv w:val="1"/>
      <w:marLeft w:val="0"/>
      <w:marRight w:val="0"/>
      <w:marTop w:val="0"/>
      <w:marBottom w:val="0"/>
      <w:divBdr>
        <w:top w:val="none" w:sz="0" w:space="0" w:color="auto"/>
        <w:left w:val="none" w:sz="0" w:space="0" w:color="auto"/>
        <w:bottom w:val="none" w:sz="0" w:space="0" w:color="auto"/>
        <w:right w:val="none" w:sz="0" w:space="0" w:color="auto"/>
      </w:divBdr>
    </w:div>
    <w:div w:id="1105153623">
      <w:bodyDiv w:val="1"/>
      <w:marLeft w:val="0"/>
      <w:marRight w:val="0"/>
      <w:marTop w:val="0"/>
      <w:marBottom w:val="0"/>
      <w:divBdr>
        <w:top w:val="none" w:sz="0" w:space="0" w:color="auto"/>
        <w:left w:val="none" w:sz="0" w:space="0" w:color="auto"/>
        <w:bottom w:val="none" w:sz="0" w:space="0" w:color="auto"/>
        <w:right w:val="none" w:sz="0" w:space="0" w:color="auto"/>
      </w:divBdr>
      <w:divsChild>
        <w:div w:id="1253927852">
          <w:marLeft w:val="0"/>
          <w:marRight w:val="0"/>
          <w:marTop w:val="0"/>
          <w:marBottom w:val="0"/>
          <w:divBdr>
            <w:top w:val="none" w:sz="0" w:space="0" w:color="auto"/>
            <w:left w:val="none" w:sz="0" w:space="0" w:color="auto"/>
            <w:bottom w:val="none" w:sz="0" w:space="0" w:color="auto"/>
            <w:right w:val="none" w:sz="0" w:space="0" w:color="auto"/>
          </w:divBdr>
          <w:divsChild>
            <w:div w:id="516307383">
              <w:marLeft w:val="0"/>
              <w:marRight w:val="0"/>
              <w:marTop w:val="0"/>
              <w:marBottom w:val="0"/>
              <w:divBdr>
                <w:top w:val="none" w:sz="0" w:space="0" w:color="auto"/>
                <w:left w:val="none" w:sz="0" w:space="0" w:color="auto"/>
                <w:bottom w:val="none" w:sz="0" w:space="0" w:color="auto"/>
                <w:right w:val="none" w:sz="0" w:space="0" w:color="auto"/>
              </w:divBdr>
              <w:divsChild>
                <w:div w:id="1488979339">
                  <w:marLeft w:val="0"/>
                  <w:marRight w:val="0"/>
                  <w:marTop w:val="0"/>
                  <w:marBottom w:val="0"/>
                  <w:divBdr>
                    <w:top w:val="none" w:sz="0" w:space="0" w:color="auto"/>
                    <w:left w:val="none" w:sz="0" w:space="0" w:color="auto"/>
                    <w:bottom w:val="none" w:sz="0" w:space="0" w:color="auto"/>
                    <w:right w:val="none" w:sz="0" w:space="0" w:color="auto"/>
                  </w:divBdr>
                  <w:divsChild>
                    <w:div w:id="405298572">
                      <w:marLeft w:val="0"/>
                      <w:marRight w:val="0"/>
                      <w:marTop w:val="0"/>
                      <w:marBottom w:val="0"/>
                      <w:divBdr>
                        <w:top w:val="none" w:sz="0" w:space="0" w:color="auto"/>
                        <w:left w:val="none" w:sz="0" w:space="0" w:color="auto"/>
                        <w:bottom w:val="none" w:sz="0" w:space="0" w:color="auto"/>
                        <w:right w:val="none" w:sz="0" w:space="0" w:color="auto"/>
                      </w:divBdr>
                      <w:divsChild>
                        <w:div w:id="1755280169">
                          <w:marLeft w:val="0"/>
                          <w:marRight w:val="0"/>
                          <w:marTop w:val="0"/>
                          <w:marBottom w:val="0"/>
                          <w:divBdr>
                            <w:top w:val="none" w:sz="0" w:space="0" w:color="auto"/>
                            <w:left w:val="none" w:sz="0" w:space="0" w:color="auto"/>
                            <w:bottom w:val="none" w:sz="0" w:space="0" w:color="auto"/>
                            <w:right w:val="none" w:sz="0" w:space="0" w:color="auto"/>
                          </w:divBdr>
                          <w:divsChild>
                            <w:div w:id="1613901116">
                              <w:marLeft w:val="0"/>
                              <w:marRight w:val="0"/>
                              <w:marTop w:val="0"/>
                              <w:marBottom w:val="0"/>
                              <w:divBdr>
                                <w:top w:val="none" w:sz="0" w:space="0" w:color="auto"/>
                                <w:left w:val="none" w:sz="0" w:space="0" w:color="auto"/>
                                <w:bottom w:val="none" w:sz="0" w:space="0" w:color="auto"/>
                                <w:right w:val="none" w:sz="0" w:space="0" w:color="auto"/>
                              </w:divBdr>
                              <w:divsChild>
                                <w:div w:id="15817740">
                                  <w:marLeft w:val="0"/>
                                  <w:marRight w:val="0"/>
                                  <w:marTop w:val="0"/>
                                  <w:marBottom w:val="0"/>
                                  <w:divBdr>
                                    <w:top w:val="none" w:sz="0" w:space="0" w:color="auto"/>
                                    <w:left w:val="none" w:sz="0" w:space="0" w:color="auto"/>
                                    <w:bottom w:val="none" w:sz="0" w:space="0" w:color="auto"/>
                                    <w:right w:val="none" w:sz="0" w:space="0" w:color="auto"/>
                                  </w:divBdr>
                                  <w:divsChild>
                                    <w:div w:id="819270801">
                                      <w:marLeft w:val="0"/>
                                      <w:marRight w:val="0"/>
                                      <w:marTop w:val="0"/>
                                      <w:marBottom w:val="0"/>
                                      <w:divBdr>
                                        <w:top w:val="none" w:sz="0" w:space="0" w:color="auto"/>
                                        <w:left w:val="none" w:sz="0" w:space="0" w:color="auto"/>
                                        <w:bottom w:val="none" w:sz="0" w:space="0" w:color="auto"/>
                                        <w:right w:val="none" w:sz="0" w:space="0" w:color="auto"/>
                                      </w:divBdr>
                                      <w:divsChild>
                                        <w:div w:id="4865827">
                                          <w:marLeft w:val="0"/>
                                          <w:marRight w:val="0"/>
                                          <w:marTop w:val="0"/>
                                          <w:marBottom w:val="0"/>
                                          <w:divBdr>
                                            <w:top w:val="none" w:sz="0" w:space="0" w:color="auto"/>
                                            <w:left w:val="none" w:sz="0" w:space="0" w:color="auto"/>
                                            <w:bottom w:val="none" w:sz="0" w:space="0" w:color="auto"/>
                                            <w:right w:val="none" w:sz="0" w:space="0" w:color="auto"/>
                                          </w:divBdr>
                                          <w:divsChild>
                                            <w:div w:id="6061799">
                                              <w:marLeft w:val="0"/>
                                              <w:marRight w:val="0"/>
                                              <w:marTop w:val="0"/>
                                              <w:marBottom w:val="0"/>
                                              <w:divBdr>
                                                <w:top w:val="none" w:sz="0" w:space="0" w:color="auto"/>
                                                <w:left w:val="none" w:sz="0" w:space="0" w:color="auto"/>
                                                <w:bottom w:val="none" w:sz="0" w:space="0" w:color="auto"/>
                                                <w:right w:val="none" w:sz="0" w:space="0" w:color="auto"/>
                                              </w:divBdr>
                                              <w:divsChild>
                                                <w:div w:id="1477642344">
                                                  <w:marLeft w:val="0"/>
                                                  <w:marRight w:val="0"/>
                                                  <w:marTop w:val="0"/>
                                                  <w:marBottom w:val="0"/>
                                                  <w:divBdr>
                                                    <w:top w:val="none" w:sz="0" w:space="0" w:color="auto"/>
                                                    <w:left w:val="none" w:sz="0" w:space="0" w:color="auto"/>
                                                    <w:bottom w:val="none" w:sz="0" w:space="0" w:color="auto"/>
                                                    <w:right w:val="none" w:sz="0" w:space="0" w:color="auto"/>
                                                  </w:divBdr>
                                                  <w:divsChild>
                                                    <w:div w:id="1056196095">
                                                      <w:marLeft w:val="0"/>
                                                      <w:marRight w:val="0"/>
                                                      <w:marTop w:val="0"/>
                                                      <w:marBottom w:val="0"/>
                                                      <w:divBdr>
                                                        <w:top w:val="none" w:sz="0" w:space="0" w:color="auto"/>
                                                        <w:left w:val="none" w:sz="0" w:space="0" w:color="auto"/>
                                                        <w:bottom w:val="none" w:sz="0" w:space="0" w:color="auto"/>
                                                        <w:right w:val="none" w:sz="0" w:space="0" w:color="auto"/>
                                                      </w:divBdr>
                                                      <w:divsChild>
                                                        <w:div w:id="1049494770">
                                                          <w:marLeft w:val="0"/>
                                                          <w:marRight w:val="0"/>
                                                          <w:marTop w:val="0"/>
                                                          <w:marBottom w:val="0"/>
                                                          <w:divBdr>
                                                            <w:top w:val="none" w:sz="0" w:space="0" w:color="auto"/>
                                                            <w:left w:val="none" w:sz="0" w:space="0" w:color="auto"/>
                                                            <w:bottom w:val="none" w:sz="0" w:space="0" w:color="auto"/>
                                                            <w:right w:val="none" w:sz="0" w:space="0" w:color="auto"/>
                                                          </w:divBdr>
                                                          <w:divsChild>
                                                            <w:div w:id="233897989">
                                                              <w:marLeft w:val="0"/>
                                                              <w:marRight w:val="0"/>
                                                              <w:marTop w:val="0"/>
                                                              <w:marBottom w:val="0"/>
                                                              <w:divBdr>
                                                                <w:top w:val="none" w:sz="0" w:space="0" w:color="auto"/>
                                                                <w:left w:val="none" w:sz="0" w:space="0" w:color="auto"/>
                                                                <w:bottom w:val="none" w:sz="0" w:space="0" w:color="auto"/>
                                                                <w:right w:val="none" w:sz="0" w:space="0" w:color="auto"/>
                                                              </w:divBdr>
                                                              <w:divsChild>
                                                                <w:div w:id="714547399">
                                                                  <w:marLeft w:val="0"/>
                                                                  <w:marRight w:val="0"/>
                                                                  <w:marTop w:val="0"/>
                                                                  <w:marBottom w:val="0"/>
                                                                  <w:divBdr>
                                                                    <w:top w:val="none" w:sz="0" w:space="0" w:color="auto"/>
                                                                    <w:left w:val="none" w:sz="0" w:space="0" w:color="auto"/>
                                                                    <w:bottom w:val="none" w:sz="0" w:space="0" w:color="auto"/>
                                                                    <w:right w:val="none" w:sz="0" w:space="0" w:color="auto"/>
                                                                  </w:divBdr>
                                                                  <w:divsChild>
                                                                    <w:div w:id="71239481">
                                                                      <w:marLeft w:val="0"/>
                                                                      <w:marRight w:val="0"/>
                                                                      <w:marTop w:val="0"/>
                                                                      <w:marBottom w:val="0"/>
                                                                      <w:divBdr>
                                                                        <w:top w:val="none" w:sz="0" w:space="0" w:color="auto"/>
                                                                        <w:left w:val="none" w:sz="0" w:space="0" w:color="auto"/>
                                                                        <w:bottom w:val="none" w:sz="0" w:space="0" w:color="auto"/>
                                                                        <w:right w:val="none" w:sz="0" w:space="0" w:color="auto"/>
                                                                      </w:divBdr>
                                                                      <w:divsChild>
                                                                        <w:div w:id="378170089">
                                                                          <w:marLeft w:val="0"/>
                                                                          <w:marRight w:val="0"/>
                                                                          <w:marTop w:val="0"/>
                                                                          <w:marBottom w:val="0"/>
                                                                          <w:divBdr>
                                                                            <w:top w:val="none" w:sz="0" w:space="0" w:color="auto"/>
                                                                            <w:left w:val="none" w:sz="0" w:space="0" w:color="auto"/>
                                                                            <w:bottom w:val="none" w:sz="0" w:space="0" w:color="auto"/>
                                                                            <w:right w:val="none" w:sz="0" w:space="0" w:color="auto"/>
                                                                          </w:divBdr>
                                                                          <w:divsChild>
                                                                            <w:div w:id="1706247447">
                                                                              <w:marLeft w:val="0"/>
                                                                              <w:marRight w:val="0"/>
                                                                              <w:marTop w:val="0"/>
                                                                              <w:marBottom w:val="0"/>
                                                                              <w:divBdr>
                                                                                <w:top w:val="none" w:sz="0" w:space="0" w:color="auto"/>
                                                                                <w:left w:val="none" w:sz="0" w:space="0" w:color="auto"/>
                                                                                <w:bottom w:val="none" w:sz="0" w:space="0" w:color="auto"/>
                                                                                <w:right w:val="none" w:sz="0" w:space="0" w:color="auto"/>
                                                                              </w:divBdr>
                                                                              <w:divsChild>
                                                                                <w:div w:id="2022659064">
                                                                                  <w:marLeft w:val="0"/>
                                                                                  <w:marRight w:val="0"/>
                                                                                  <w:marTop w:val="0"/>
                                                                                  <w:marBottom w:val="0"/>
                                                                                  <w:divBdr>
                                                                                    <w:top w:val="none" w:sz="0" w:space="0" w:color="auto"/>
                                                                                    <w:left w:val="none" w:sz="0" w:space="0" w:color="auto"/>
                                                                                    <w:bottom w:val="none" w:sz="0" w:space="0" w:color="auto"/>
                                                                                    <w:right w:val="none" w:sz="0" w:space="0" w:color="auto"/>
                                                                                  </w:divBdr>
                                                                                  <w:divsChild>
                                                                                    <w:div w:id="1760710598">
                                                                                      <w:marLeft w:val="0"/>
                                                                                      <w:marRight w:val="0"/>
                                                                                      <w:marTop w:val="0"/>
                                                                                      <w:marBottom w:val="0"/>
                                                                                      <w:divBdr>
                                                                                        <w:top w:val="none" w:sz="0" w:space="0" w:color="auto"/>
                                                                                        <w:left w:val="none" w:sz="0" w:space="0" w:color="auto"/>
                                                                                        <w:bottom w:val="none" w:sz="0" w:space="0" w:color="auto"/>
                                                                                        <w:right w:val="none" w:sz="0" w:space="0" w:color="auto"/>
                                                                                      </w:divBdr>
                                                                                      <w:divsChild>
                                                                                        <w:div w:id="2054382004">
                                                                                          <w:marLeft w:val="0"/>
                                                                                          <w:marRight w:val="0"/>
                                                                                          <w:marTop w:val="0"/>
                                                                                          <w:marBottom w:val="0"/>
                                                                                          <w:divBdr>
                                                                                            <w:top w:val="none" w:sz="0" w:space="0" w:color="auto"/>
                                                                                            <w:left w:val="none" w:sz="0" w:space="0" w:color="auto"/>
                                                                                            <w:bottom w:val="none" w:sz="0" w:space="0" w:color="auto"/>
                                                                                            <w:right w:val="none" w:sz="0" w:space="0" w:color="auto"/>
                                                                                          </w:divBdr>
                                                                                          <w:divsChild>
                                                                                            <w:div w:id="1195339120">
                                                                                              <w:marLeft w:val="300"/>
                                                                                              <w:marRight w:val="0"/>
                                                                                              <w:marTop w:val="0"/>
                                                                                              <w:marBottom w:val="0"/>
                                                                                              <w:divBdr>
                                                                                                <w:top w:val="none" w:sz="0" w:space="0" w:color="auto"/>
                                                                                                <w:left w:val="none" w:sz="0" w:space="0" w:color="auto"/>
                                                                                                <w:bottom w:val="none" w:sz="0" w:space="0" w:color="auto"/>
                                                                                                <w:right w:val="none" w:sz="0" w:space="0" w:color="auto"/>
                                                                                              </w:divBdr>
                                                                                              <w:divsChild>
                                                                                                <w:div w:id="1181357573">
                                                                                                  <w:marLeft w:val="-300"/>
                                                                                                  <w:marRight w:val="0"/>
                                                                                                  <w:marTop w:val="0"/>
                                                                                                  <w:marBottom w:val="0"/>
                                                                                                  <w:divBdr>
                                                                                                    <w:top w:val="none" w:sz="0" w:space="0" w:color="auto"/>
                                                                                                    <w:left w:val="none" w:sz="0" w:space="0" w:color="auto"/>
                                                                                                    <w:bottom w:val="none" w:sz="0" w:space="0" w:color="auto"/>
                                                                                                    <w:right w:val="none" w:sz="0" w:space="0" w:color="auto"/>
                                                                                                  </w:divBdr>
                                                                                                  <w:divsChild>
                                                                                                    <w:div w:id="534267901">
                                                                                                      <w:marLeft w:val="0"/>
                                                                                                      <w:marRight w:val="0"/>
                                                                                                      <w:marTop w:val="0"/>
                                                                                                      <w:marBottom w:val="0"/>
                                                                                                      <w:divBdr>
                                                                                                        <w:top w:val="none" w:sz="0" w:space="0" w:color="auto"/>
                                                                                                        <w:left w:val="none" w:sz="0" w:space="0" w:color="auto"/>
                                                                                                        <w:bottom w:val="none" w:sz="0" w:space="0" w:color="auto"/>
                                                                                                        <w:right w:val="none" w:sz="0" w:space="0" w:color="auto"/>
                                                                                                      </w:divBdr>
                                                                                                    </w:div>
                                                                                                    <w:div w:id="16138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518391">
      <w:bodyDiv w:val="1"/>
      <w:marLeft w:val="0"/>
      <w:marRight w:val="0"/>
      <w:marTop w:val="0"/>
      <w:marBottom w:val="0"/>
      <w:divBdr>
        <w:top w:val="none" w:sz="0" w:space="0" w:color="auto"/>
        <w:left w:val="none" w:sz="0" w:space="0" w:color="auto"/>
        <w:bottom w:val="none" w:sz="0" w:space="0" w:color="auto"/>
        <w:right w:val="none" w:sz="0" w:space="0" w:color="auto"/>
      </w:divBdr>
    </w:div>
    <w:div w:id="1140152439">
      <w:bodyDiv w:val="1"/>
      <w:marLeft w:val="0"/>
      <w:marRight w:val="0"/>
      <w:marTop w:val="0"/>
      <w:marBottom w:val="0"/>
      <w:divBdr>
        <w:top w:val="none" w:sz="0" w:space="0" w:color="auto"/>
        <w:left w:val="none" w:sz="0" w:space="0" w:color="auto"/>
        <w:bottom w:val="none" w:sz="0" w:space="0" w:color="auto"/>
        <w:right w:val="none" w:sz="0" w:space="0" w:color="auto"/>
      </w:divBdr>
    </w:div>
    <w:div w:id="1142231471">
      <w:bodyDiv w:val="1"/>
      <w:marLeft w:val="0"/>
      <w:marRight w:val="0"/>
      <w:marTop w:val="0"/>
      <w:marBottom w:val="0"/>
      <w:divBdr>
        <w:top w:val="none" w:sz="0" w:space="0" w:color="auto"/>
        <w:left w:val="none" w:sz="0" w:space="0" w:color="auto"/>
        <w:bottom w:val="none" w:sz="0" w:space="0" w:color="auto"/>
        <w:right w:val="none" w:sz="0" w:space="0" w:color="auto"/>
      </w:divBdr>
    </w:div>
    <w:div w:id="1155299019">
      <w:bodyDiv w:val="1"/>
      <w:marLeft w:val="0"/>
      <w:marRight w:val="0"/>
      <w:marTop w:val="0"/>
      <w:marBottom w:val="0"/>
      <w:divBdr>
        <w:top w:val="none" w:sz="0" w:space="0" w:color="auto"/>
        <w:left w:val="none" w:sz="0" w:space="0" w:color="auto"/>
        <w:bottom w:val="none" w:sz="0" w:space="0" w:color="auto"/>
        <w:right w:val="none" w:sz="0" w:space="0" w:color="auto"/>
      </w:divBdr>
    </w:div>
    <w:div w:id="1169833898">
      <w:bodyDiv w:val="1"/>
      <w:marLeft w:val="0"/>
      <w:marRight w:val="0"/>
      <w:marTop w:val="0"/>
      <w:marBottom w:val="0"/>
      <w:divBdr>
        <w:top w:val="none" w:sz="0" w:space="0" w:color="auto"/>
        <w:left w:val="none" w:sz="0" w:space="0" w:color="auto"/>
        <w:bottom w:val="none" w:sz="0" w:space="0" w:color="auto"/>
        <w:right w:val="none" w:sz="0" w:space="0" w:color="auto"/>
      </w:divBdr>
    </w:div>
    <w:div w:id="1231381294">
      <w:bodyDiv w:val="1"/>
      <w:marLeft w:val="0"/>
      <w:marRight w:val="0"/>
      <w:marTop w:val="0"/>
      <w:marBottom w:val="0"/>
      <w:divBdr>
        <w:top w:val="none" w:sz="0" w:space="0" w:color="auto"/>
        <w:left w:val="none" w:sz="0" w:space="0" w:color="auto"/>
        <w:bottom w:val="none" w:sz="0" w:space="0" w:color="auto"/>
        <w:right w:val="none" w:sz="0" w:space="0" w:color="auto"/>
      </w:divBdr>
    </w:div>
    <w:div w:id="1249730578">
      <w:bodyDiv w:val="1"/>
      <w:marLeft w:val="0"/>
      <w:marRight w:val="0"/>
      <w:marTop w:val="0"/>
      <w:marBottom w:val="0"/>
      <w:divBdr>
        <w:top w:val="none" w:sz="0" w:space="0" w:color="auto"/>
        <w:left w:val="none" w:sz="0" w:space="0" w:color="auto"/>
        <w:bottom w:val="none" w:sz="0" w:space="0" w:color="auto"/>
        <w:right w:val="none" w:sz="0" w:space="0" w:color="auto"/>
      </w:divBdr>
    </w:div>
    <w:div w:id="1259556314">
      <w:bodyDiv w:val="1"/>
      <w:marLeft w:val="0"/>
      <w:marRight w:val="0"/>
      <w:marTop w:val="0"/>
      <w:marBottom w:val="0"/>
      <w:divBdr>
        <w:top w:val="none" w:sz="0" w:space="0" w:color="auto"/>
        <w:left w:val="none" w:sz="0" w:space="0" w:color="auto"/>
        <w:bottom w:val="none" w:sz="0" w:space="0" w:color="auto"/>
        <w:right w:val="none" w:sz="0" w:space="0" w:color="auto"/>
      </w:divBdr>
    </w:div>
    <w:div w:id="1304433895">
      <w:bodyDiv w:val="1"/>
      <w:marLeft w:val="0"/>
      <w:marRight w:val="0"/>
      <w:marTop w:val="0"/>
      <w:marBottom w:val="0"/>
      <w:divBdr>
        <w:top w:val="none" w:sz="0" w:space="0" w:color="auto"/>
        <w:left w:val="none" w:sz="0" w:space="0" w:color="auto"/>
        <w:bottom w:val="none" w:sz="0" w:space="0" w:color="auto"/>
        <w:right w:val="none" w:sz="0" w:space="0" w:color="auto"/>
      </w:divBdr>
    </w:div>
    <w:div w:id="1308049217">
      <w:bodyDiv w:val="1"/>
      <w:marLeft w:val="0"/>
      <w:marRight w:val="0"/>
      <w:marTop w:val="0"/>
      <w:marBottom w:val="0"/>
      <w:divBdr>
        <w:top w:val="none" w:sz="0" w:space="0" w:color="auto"/>
        <w:left w:val="none" w:sz="0" w:space="0" w:color="auto"/>
        <w:bottom w:val="none" w:sz="0" w:space="0" w:color="auto"/>
        <w:right w:val="none" w:sz="0" w:space="0" w:color="auto"/>
      </w:divBdr>
    </w:div>
    <w:div w:id="1321928217">
      <w:bodyDiv w:val="1"/>
      <w:marLeft w:val="0"/>
      <w:marRight w:val="0"/>
      <w:marTop w:val="0"/>
      <w:marBottom w:val="0"/>
      <w:divBdr>
        <w:top w:val="none" w:sz="0" w:space="0" w:color="auto"/>
        <w:left w:val="none" w:sz="0" w:space="0" w:color="auto"/>
        <w:bottom w:val="none" w:sz="0" w:space="0" w:color="auto"/>
        <w:right w:val="none" w:sz="0" w:space="0" w:color="auto"/>
      </w:divBdr>
    </w:div>
    <w:div w:id="1353341405">
      <w:bodyDiv w:val="1"/>
      <w:marLeft w:val="0"/>
      <w:marRight w:val="0"/>
      <w:marTop w:val="0"/>
      <w:marBottom w:val="0"/>
      <w:divBdr>
        <w:top w:val="none" w:sz="0" w:space="0" w:color="auto"/>
        <w:left w:val="none" w:sz="0" w:space="0" w:color="auto"/>
        <w:bottom w:val="none" w:sz="0" w:space="0" w:color="auto"/>
        <w:right w:val="none" w:sz="0" w:space="0" w:color="auto"/>
      </w:divBdr>
    </w:div>
    <w:div w:id="1375732405">
      <w:bodyDiv w:val="1"/>
      <w:marLeft w:val="0"/>
      <w:marRight w:val="0"/>
      <w:marTop w:val="0"/>
      <w:marBottom w:val="0"/>
      <w:divBdr>
        <w:top w:val="none" w:sz="0" w:space="0" w:color="auto"/>
        <w:left w:val="none" w:sz="0" w:space="0" w:color="auto"/>
        <w:bottom w:val="none" w:sz="0" w:space="0" w:color="auto"/>
        <w:right w:val="none" w:sz="0" w:space="0" w:color="auto"/>
      </w:divBdr>
    </w:div>
    <w:div w:id="1384794776">
      <w:bodyDiv w:val="1"/>
      <w:marLeft w:val="0"/>
      <w:marRight w:val="0"/>
      <w:marTop w:val="0"/>
      <w:marBottom w:val="0"/>
      <w:divBdr>
        <w:top w:val="none" w:sz="0" w:space="0" w:color="auto"/>
        <w:left w:val="none" w:sz="0" w:space="0" w:color="auto"/>
        <w:bottom w:val="none" w:sz="0" w:space="0" w:color="auto"/>
        <w:right w:val="none" w:sz="0" w:space="0" w:color="auto"/>
      </w:divBdr>
    </w:div>
    <w:div w:id="1393965026">
      <w:bodyDiv w:val="1"/>
      <w:marLeft w:val="0"/>
      <w:marRight w:val="0"/>
      <w:marTop w:val="0"/>
      <w:marBottom w:val="0"/>
      <w:divBdr>
        <w:top w:val="none" w:sz="0" w:space="0" w:color="auto"/>
        <w:left w:val="none" w:sz="0" w:space="0" w:color="auto"/>
        <w:bottom w:val="none" w:sz="0" w:space="0" w:color="auto"/>
        <w:right w:val="none" w:sz="0" w:space="0" w:color="auto"/>
      </w:divBdr>
    </w:div>
    <w:div w:id="1428843164">
      <w:bodyDiv w:val="1"/>
      <w:marLeft w:val="0"/>
      <w:marRight w:val="0"/>
      <w:marTop w:val="0"/>
      <w:marBottom w:val="0"/>
      <w:divBdr>
        <w:top w:val="none" w:sz="0" w:space="0" w:color="auto"/>
        <w:left w:val="none" w:sz="0" w:space="0" w:color="auto"/>
        <w:bottom w:val="none" w:sz="0" w:space="0" w:color="auto"/>
        <w:right w:val="none" w:sz="0" w:space="0" w:color="auto"/>
      </w:divBdr>
    </w:div>
    <w:div w:id="1442843900">
      <w:bodyDiv w:val="1"/>
      <w:marLeft w:val="0"/>
      <w:marRight w:val="0"/>
      <w:marTop w:val="0"/>
      <w:marBottom w:val="0"/>
      <w:divBdr>
        <w:top w:val="none" w:sz="0" w:space="0" w:color="auto"/>
        <w:left w:val="none" w:sz="0" w:space="0" w:color="auto"/>
        <w:bottom w:val="none" w:sz="0" w:space="0" w:color="auto"/>
        <w:right w:val="none" w:sz="0" w:space="0" w:color="auto"/>
      </w:divBdr>
    </w:div>
    <w:div w:id="1455446743">
      <w:bodyDiv w:val="1"/>
      <w:marLeft w:val="0"/>
      <w:marRight w:val="0"/>
      <w:marTop w:val="0"/>
      <w:marBottom w:val="0"/>
      <w:divBdr>
        <w:top w:val="none" w:sz="0" w:space="0" w:color="auto"/>
        <w:left w:val="none" w:sz="0" w:space="0" w:color="auto"/>
        <w:bottom w:val="none" w:sz="0" w:space="0" w:color="auto"/>
        <w:right w:val="none" w:sz="0" w:space="0" w:color="auto"/>
      </w:divBdr>
    </w:div>
    <w:div w:id="1474521165">
      <w:bodyDiv w:val="1"/>
      <w:marLeft w:val="0"/>
      <w:marRight w:val="0"/>
      <w:marTop w:val="0"/>
      <w:marBottom w:val="0"/>
      <w:divBdr>
        <w:top w:val="none" w:sz="0" w:space="0" w:color="auto"/>
        <w:left w:val="none" w:sz="0" w:space="0" w:color="auto"/>
        <w:bottom w:val="none" w:sz="0" w:space="0" w:color="auto"/>
        <w:right w:val="none" w:sz="0" w:space="0" w:color="auto"/>
      </w:divBdr>
    </w:div>
    <w:div w:id="1485273167">
      <w:bodyDiv w:val="1"/>
      <w:marLeft w:val="0"/>
      <w:marRight w:val="0"/>
      <w:marTop w:val="0"/>
      <w:marBottom w:val="0"/>
      <w:divBdr>
        <w:top w:val="none" w:sz="0" w:space="0" w:color="auto"/>
        <w:left w:val="none" w:sz="0" w:space="0" w:color="auto"/>
        <w:bottom w:val="none" w:sz="0" w:space="0" w:color="auto"/>
        <w:right w:val="none" w:sz="0" w:space="0" w:color="auto"/>
      </w:divBdr>
    </w:div>
    <w:div w:id="1504279565">
      <w:bodyDiv w:val="1"/>
      <w:marLeft w:val="0"/>
      <w:marRight w:val="0"/>
      <w:marTop w:val="0"/>
      <w:marBottom w:val="0"/>
      <w:divBdr>
        <w:top w:val="none" w:sz="0" w:space="0" w:color="auto"/>
        <w:left w:val="none" w:sz="0" w:space="0" w:color="auto"/>
        <w:bottom w:val="none" w:sz="0" w:space="0" w:color="auto"/>
        <w:right w:val="none" w:sz="0" w:space="0" w:color="auto"/>
      </w:divBdr>
    </w:div>
    <w:div w:id="1515263479">
      <w:bodyDiv w:val="1"/>
      <w:marLeft w:val="0"/>
      <w:marRight w:val="0"/>
      <w:marTop w:val="0"/>
      <w:marBottom w:val="0"/>
      <w:divBdr>
        <w:top w:val="none" w:sz="0" w:space="0" w:color="auto"/>
        <w:left w:val="none" w:sz="0" w:space="0" w:color="auto"/>
        <w:bottom w:val="none" w:sz="0" w:space="0" w:color="auto"/>
        <w:right w:val="none" w:sz="0" w:space="0" w:color="auto"/>
      </w:divBdr>
    </w:div>
    <w:div w:id="1515531917">
      <w:bodyDiv w:val="1"/>
      <w:marLeft w:val="0"/>
      <w:marRight w:val="0"/>
      <w:marTop w:val="0"/>
      <w:marBottom w:val="0"/>
      <w:divBdr>
        <w:top w:val="none" w:sz="0" w:space="0" w:color="auto"/>
        <w:left w:val="none" w:sz="0" w:space="0" w:color="auto"/>
        <w:bottom w:val="none" w:sz="0" w:space="0" w:color="auto"/>
        <w:right w:val="none" w:sz="0" w:space="0" w:color="auto"/>
      </w:divBdr>
    </w:div>
    <w:div w:id="1563830486">
      <w:bodyDiv w:val="1"/>
      <w:marLeft w:val="0"/>
      <w:marRight w:val="0"/>
      <w:marTop w:val="0"/>
      <w:marBottom w:val="0"/>
      <w:divBdr>
        <w:top w:val="none" w:sz="0" w:space="0" w:color="auto"/>
        <w:left w:val="none" w:sz="0" w:space="0" w:color="auto"/>
        <w:bottom w:val="none" w:sz="0" w:space="0" w:color="auto"/>
        <w:right w:val="none" w:sz="0" w:space="0" w:color="auto"/>
      </w:divBdr>
    </w:div>
    <w:div w:id="1568101837">
      <w:bodyDiv w:val="1"/>
      <w:marLeft w:val="0"/>
      <w:marRight w:val="0"/>
      <w:marTop w:val="0"/>
      <w:marBottom w:val="0"/>
      <w:divBdr>
        <w:top w:val="none" w:sz="0" w:space="0" w:color="auto"/>
        <w:left w:val="none" w:sz="0" w:space="0" w:color="auto"/>
        <w:bottom w:val="none" w:sz="0" w:space="0" w:color="auto"/>
        <w:right w:val="none" w:sz="0" w:space="0" w:color="auto"/>
      </w:divBdr>
    </w:div>
    <w:div w:id="1578899359">
      <w:bodyDiv w:val="1"/>
      <w:marLeft w:val="0"/>
      <w:marRight w:val="0"/>
      <w:marTop w:val="0"/>
      <w:marBottom w:val="0"/>
      <w:divBdr>
        <w:top w:val="none" w:sz="0" w:space="0" w:color="auto"/>
        <w:left w:val="none" w:sz="0" w:space="0" w:color="auto"/>
        <w:bottom w:val="none" w:sz="0" w:space="0" w:color="auto"/>
        <w:right w:val="none" w:sz="0" w:space="0" w:color="auto"/>
      </w:divBdr>
    </w:div>
    <w:div w:id="1635211813">
      <w:bodyDiv w:val="1"/>
      <w:marLeft w:val="0"/>
      <w:marRight w:val="0"/>
      <w:marTop w:val="0"/>
      <w:marBottom w:val="0"/>
      <w:divBdr>
        <w:top w:val="none" w:sz="0" w:space="0" w:color="auto"/>
        <w:left w:val="none" w:sz="0" w:space="0" w:color="auto"/>
        <w:bottom w:val="none" w:sz="0" w:space="0" w:color="auto"/>
        <w:right w:val="none" w:sz="0" w:space="0" w:color="auto"/>
      </w:divBdr>
    </w:div>
    <w:div w:id="1650134525">
      <w:bodyDiv w:val="1"/>
      <w:marLeft w:val="0"/>
      <w:marRight w:val="0"/>
      <w:marTop w:val="0"/>
      <w:marBottom w:val="0"/>
      <w:divBdr>
        <w:top w:val="none" w:sz="0" w:space="0" w:color="auto"/>
        <w:left w:val="none" w:sz="0" w:space="0" w:color="auto"/>
        <w:bottom w:val="none" w:sz="0" w:space="0" w:color="auto"/>
        <w:right w:val="none" w:sz="0" w:space="0" w:color="auto"/>
      </w:divBdr>
    </w:div>
    <w:div w:id="1652951511">
      <w:bodyDiv w:val="1"/>
      <w:marLeft w:val="0"/>
      <w:marRight w:val="0"/>
      <w:marTop w:val="0"/>
      <w:marBottom w:val="0"/>
      <w:divBdr>
        <w:top w:val="none" w:sz="0" w:space="0" w:color="auto"/>
        <w:left w:val="none" w:sz="0" w:space="0" w:color="auto"/>
        <w:bottom w:val="none" w:sz="0" w:space="0" w:color="auto"/>
        <w:right w:val="none" w:sz="0" w:space="0" w:color="auto"/>
      </w:divBdr>
    </w:div>
    <w:div w:id="1660116334">
      <w:bodyDiv w:val="1"/>
      <w:marLeft w:val="0"/>
      <w:marRight w:val="0"/>
      <w:marTop w:val="0"/>
      <w:marBottom w:val="0"/>
      <w:divBdr>
        <w:top w:val="none" w:sz="0" w:space="0" w:color="auto"/>
        <w:left w:val="none" w:sz="0" w:space="0" w:color="auto"/>
        <w:bottom w:val="none" w:sz="0" w:space="0" w:color="auto"/>
        <w:right w:val="none" w:sz="0" w:space="0" w:color="auto"/>
      </w:divBdr>
    </w:div>
    <w:div w:id="1673097278">
      <w:bodyDiv w:val="1"/>
      <w:marLeft w:val="0"/>
      <w:marRight w:val="0"/>
      <w:marTop w:val="0"/>
      <w:marBottom w:val="0"/>
      <w:divBdr>
        <w:top w:val="none" w:sz="0" w:space="0" w:color="auto"/>
        <w:left w:val="none" w:sz="0" w:space="0" w:color="auto"/>
        <w:bottom w:val="none" w:sz="0" w:space="0" w:color="auto"/>
        <w:right w:val="none" w:sz="0" w:space="0" w:color="auto"/>
      </w:divBdr>
    </w:div>
    <w:div w:id="1676229874">
      <w:bodyDiv w:val="1"/>
      <w:marLeft w:val="0"/>
      <w:marRight w:val="0"/>
      <w:marTop w:val="0"/>
      <w:marBottom w:val="0"/>
      <w:divBdr>
        <w:top w:val="none" w:sz="0" w:space="0" w:color="auto"/>
        <w:left w:val="none" w:sz="0" w:space="0" w:color="auto"/>
        <w:bottom w:val="none" w:sz="0" w:space="0" w:color="auto"/>
        <w:right w:val="none" w:sz="0" w:space="0" w:color="auto"/>
      </w:divBdr>
    </w:div>
    <w:div w:id="1679237231">
      <w:bodyDiv w:val="1"/>
      <w:marLeft w:val="0"/>
      <w:marRight w:val="0"/>
      <w:marTop w:val="0"/>
      <w:marBottom w:val="0"/>
      <w:divBdr>
        <w:top w:val="none" w:sz="0" w:space="0" w:color="auto"/>
        <w:left w:val="none" w:sz="0" w:space="0" w:color="auto"/>
        <w:bottom w:val="none" w:sz="0" w:space="0" w:color="auto"/>
        <w:right w:val="none" w:sz="0" w:space="0" w:color="auto"/>
      </w:divBdr>
    </w:div>
    <w:div w:id="1682317782">
      <w:bodyDiv w:val="1"/>
      <w:marLeft w:val="0"/>
      <w:marRight w:val="0"/>
      <w:marTop w:val="0"/>
      <w:marBottom w:val="0"/>
      <w:divBdr>
        <w:top w:val="none" w:sz="0" w:space="0" w:color="auto"/>
        <w:left w:val="none" w:sz="0" w:space="0" w:color="auto"/>
        <w:bottom w:val="none" w:sz="0" w:space="0" w:color="auto"/>
        <w:right w:val="none" w:sz="0" w:space="0" w:color="auto"/>
      </w:divBdr>
    </w:div>
    <w:div w:id="1698500491">
      <w:bodyDiv w:val="1"/>
      <w:marLeft w:val="0"/>
      <w:marRight w:val="0"/>
      <w:marTop w:val="0"/>
      <w:marBottom w:val="0"/>
      <w:divBdr>
        <w:top w:val="none" w:sz="0" w:space="0" w:color="auto"/>
        <w:left w:val="none" w:sz="0" w:space="0" w:color="auto"/>
        <w:bottom w:val="none" w:sz="0" w:space="0" w:color="auto"/>
        <w:right w:val="none" w:sz="0" w:space="0" w:color="auto"/>
      </w:divBdr>
    </w:div>
    <w:div w:id="1706754264">
      <w:bodyDiv w:val="1"/>
      <w:marLeft w:val="0"/>
      <w:marRight w:val="0"/>
      <w:marTop w:val="0"/>
      <w:marBottom w:val="0"/>
      <w:divBdr>
        <w:top w:val="none" w:sz="0" w:space="0" w:color="auto"/>
        <w:left w:val="none" w:sz="0" w:space="0" w:color="auto"/>
        <w:bottom w:val="none" w:sz="0" w:space="0" w:color="auto"/>
        <w:right w:val="none" w:sz="0" w:space="0" w:color="auto"/>
      </w:divBdr>
    </w:div>
    <w:div w:id="1725788154">
      <w:bodyDiv w:val="1"/>
      <w:marLeft w:val="0"/>
      <w:marRight w:val="0"/>
      <w:marTop w:val="0"/>
      <w:marBottom w:val="0"/>
      <w:divBdr>
        <w:top w:val="none" w:sz="0" w:space="0" w:color="auto"/>
        <w:left w:val="none" w:sz="0" w:space="0" w:color="auto"/>
        <w:bottom w:val="none" w:sz="0" w:space="0" w:color="auto"/>
        <w:right w:val="none" w:sz="0" w:space="0" w:color="auto"/>
      </w:divBdr>
    </w:div>
    <w:div w:id="1733305429">
      <w:bodyDiv w:val="1"/>
      <w:marLeft w:val="0"/>
      <w:marRight w:val="0"/>
      <w:marTop w:val="0"/>
      <w:marBottom w:val="0"/>
      <w:divBdr>
        <w:top w:val="none" w:sz="0" w:space="0" w:color="auto"/>
        <w:left w:val="none" w:sz="0" w:space="0" w:color="auto"/>
        <w:bottom w:val="none" w:sz="0" w:space="0" w:color="auto"/>
        <w:right w:val="none" w:sz="0" w:space="0" w:color="auto"/>
      </w:divBdr>
    </w:div>
    <w:div w:id="1752433064">
      <w:bodyDiv w:val="1"/>
      <w:marLeft w:val="0"/>
      <w:marRight w:val="0"/>
      <w:marTop w:val="0"/>
      <w:marBottom w:val="0"/>
      <w:divBdr>
        <w:top w:val="none" w:sz="0" w:space="0" w:color="auto"/>
        <w:left w:val="none" w:sz="0" w:space="0" w:color="auto"/>
        <w:bottom w:val="none" w:sz="0" w:space="0" w:color="auto"/>
        <w:right w:val="none" w:sz="0" w:space="0" w:color="auto"/>
      </w:divBdr>
    </w:div>
    <w:div w:id="1800106724">
      <w:bodyDiv w:val="1"/>
      <w:marLeft w:val="0"/>
      <w:marRight w:val="0"/>
      <w:marTop w:val="0"/>
      <w:marBottom w:val="0"/>
      <w:divBdr>
        <w:top w:val="none" w:sz="0" w:space="0" w:color="auto"/>
        <w:left w:val="none" w:sz="0" w:space="0" w:color="auto"/>
        <w:bottom w:val="none" w:sz="0" w:space="0" w:color="auto"/>
        <w:right w:val="none" w:sz="0" w:space="0" w:color="auto"/>
      </w:divBdr>
    </w:div>
    <w:div w:id="1802068121">
      <w:bodyDiv w:val="1"/>
      <w:marLeft w:val="0"/>
      <w:marRight w:val="0"/>
      <w:marTop w:val="0"/>
      <w:marBottom w:val="0"/>
      <w:divBdr>
        <w:top w:val="none" w:sz="0" w:space="0" w:color="auto"/>
        <w:left w:val="none" w:sz="0" w:space="0" w:color="auto"/>
        <w:bottom w:val="none" w:sz="0" w:space="0" w:color="auto"/>
        <w:right w:val="none" w:sz="0" w:space="0" w:color="auto"/>
      </w:divBdr>
    </w:div>
    <w:div w:id="1837186865">
      <w:bodyDiv w:val="1"/>
      <w:marLeft w:val="0"/>
      <w:marRight w:val="0"/>
      <w:marTop w:val="0"/>
      <w:marBottom w:val="0"/>
      <w:divBdr>
        <w:top w:val="none" w:sz="0" w:space="0" w:color="auto"/>
        <w:left w:val="none" w:sz="0" w:space="0" w:color="auto"/>
        <w:bottom w:val="none" w:sz="0" w:space="0" w:color="auto"/>
        <w:right w:val="none" w:sz="0" w:space="0" w:color="auto"/>
      </w:divBdr>
    </w:div>
    <w:div w:id="1841004128">
      <w:bodyDiv w:val="1"/>
      <w:marLeft w:val="0"/>
      <w:marRight w:val="0"/>
      <w:marTop w:val="0"/>
      <w:marBottom w:val="0"/>
      <w:divBdr>
        <w:top w:val="none" w:sz="0" w:space="0" w:color="auto"/>
        <w:left w:val="none" w:sz="0" w:space="0" w:color="auto"/>
        <w:bottom w:val="none" w:sz="0" w:space="0" w:color="auto"/>
        <w:right w:val="none" w:sz="0" w:space="0" w:color="auto"/>
      </w:divBdr>
    </w:div>
    <w:div w:id="1877618003">
      <w:bodyDiv w:val="1"/>
      <w:marLeft w:val="0"/>
      <w:marRight w:val="0"/>
      <w:marTop w:val="0"/>
      <w:marBottom w:val="0"/>
      <w:divBdr>
        <w:top w:val="none" w:sz="0" w:space="0" w:color="auto"/>
        <w:left w:val="none" w:sz="0" w:space="0" w:color="auto"/>
        <w:bottom w:val="none" w:sz="0" w:space="0" w:color="auto"/>
        <w:right w:val="none" w:sz="0" w:space="0" w:color="auto"/>
      </w:divBdr>
    </w:div>
    <w:div w:id="1890724031">
      <w:bodyDiv w:val="1"/>
      <w:marLeft w:val="0"/>
      <w:marRight w:val="0"/>
      <w:marTop w:val="0"/>
      <w:marBottom w:val="0"/>
      <w:divBdr>
        <w:top w:val="none" w:sz="0" w:space="0" w:color="auto"/>
        <w:left w:val="none" w:sz="0" w:space="0" w:color="auto"/>
        <w:bottom w:val="none" w:sz="0" w:space="0" w:color="auto"/>
        <w:right w:val="none" w:sz="0" w:space="0" w:color="auto"/>
      </w:divBdr>
    </w:div>
    <w:div w:id="1891309740">
      <w:bodyDiv w:val="1"/>
      <w:marLeft w:val="0"/>
      <w:marRight w:val="0"/>
      <w:marTop w:val="0"/>
      <w:marBottom w:val="0"/>
      <w:divBdr>
        <w:top w:val="none" w:sz="0" w:space="0" w:color="auto"/>
        <w:left w:val="none" w:sz="0" w:space="0" w:color="auto"/>
        <w:bottom w:val="none" w:sz="0" w:space="0" w:color="auto"/>
        <w:right w:val="none" w:sz="0" w:space="0" w:color="auto"/>
      </w:divBdr>
    </w:div>
    <w:div w:id="1909262192">
      <w:bodyDiv w:val="1"/>
      <w:marLeft w:val="0"/>
      <w:marRight w:val="0"/>
      <w:marTop w:val="0"/>
      <w:marBottom w:val="0"/>
      <w:divBdr>
        <w:top w:val="none" w:sz="0" w:space="0" w:color="auto"/>
        <w:left w:val="none" w:sz="0" w:space="0" w:color="auto"/>
        <w:bottom w:val="none" w:sz="0" w:space="0" w:color="auto"/>
        <w:right w:val="none" w:sz="0" w:space="0" w:color="auto"/>
      </w:divBdr>
    </w:div>
    <w:div w:id="1927181675">
      <w:bodyDiv w:val="1"/>
      <w:marLeft w:val="0"/>
      <w:marRight w:val="0"/>
      <w:marTop w:val="0"/>
      <w:marBottom w:val="0"/>
      <w:divBdr>
        <w:top w:val="none" w:sz="0" w:space="0" w:color="auto"/>
        <w:left w:val="none" w:sz="0" w:space="0" w:color="auto"/>
        <w:bottom w:val="none" w:sz="0" w:space="0" w:color="auto"/>
        <w:right w:val="none" w:sz="0" w:space="0" w:color="auto"/>
      </w:divBdr>
    </w:div>
    <w:div w:id="1929850876">
      <w:bodyDiv w:val="1"/>
      <w:marLeft w:val="0"/>
      <w:marRight w:val="0"/>
      <w:marTop w:val="0"/>
      <w:marBottom w:val="0"/>
      <w:divBdr>
        <w:top w:val="none" w:sz="0" w:space="0" w:color="auto"/>
        <w:left w:val="none" w:sz="0" w:space="0" w:color="auto"/>
        <w:bottom w:val="none" w:sz="0" w:space="0" w:color="auto"/>
        <w:right w:val="none" w:sz="0" w:space="0" w:color="auto"/>
      </w:divBdr>
    </w:div>
    <w:div w:id="1952860461">
      <w:bodyDiv w:val="1"/>
      <w:marLeft w:val="0"/>
      <w:marRight w:val="0"/>
      <w:marTop w:val="0"/>
      <w:marBottom w:val="0"/>
      <w:divBdr>
        <w:top w:val="none" w:sz="0" w:space="0" w:color="auto"/>
        <w:left w:val="none" w:sz="0" w:space="0" w:color="auto"/>
        <w:bottom w:val="none" w:sz="0" w:space="0" w:color="auto"/>
        <w:right w:val="none" w:sz="0" w:space="0" w:color="auto"/>
      </w:divBdr>
    </w:div>
    <w:div w:id="1957712429">
      <w:bodyDiv w:val="1"/>
      <w:marLeft w:val="0"/>
      <w:marRight w:val="0"/>
      <w:marTop w:val="0"/>
      <w:marBottom w:val="0"/>
      <w:divBdr>
        <w:top w:val="none" w:sz="0" w:space="0" w:color="auto"/>
        <w:left w:val="none" w:sz="0" w:space="0" w:color="auto"/>
        <w:bottom w:val="none" w:sz="0" w:space="0" w:color="auto"/>
        <w:right w:val="none" w:sz="0" w:space="0" w:color="auto"/>
      </w:divBdr>
    </w:div>
    <w:div w:id="1959873505">
      <w:bodyDiv w:val="1"/>
      <w:marLeft w:val="0"/>
      <w:marRight w:val="0"/>
      <w:marTop w:val="0"/>
      <w:marBottom w:val="0"/>
      <w:divBdr>
        <w:top w:val="none" w:sz="0" w:space="0" w:color="auto"/>
        <w:left w:val="none" w:sz="0" w:space="0" w:color="auto"/>
        <w:bottom w:val="none" w:sz="0" w:space="0" w:color="auto"/>
        <w:right w:val="none" w:sz="0" w:space="0" w:color="auto"/>
      </w:divBdr>
    </w:div>
    <w:div w:id="1965915820">
      <w:bodyDiv w:val="1"/>
      <w:marLeft w:val="0"/>
      <w:marRight w:val="0"/>
      <w:marTop w:val="0"/>
      <w:marBottom w:val="0"/>
      <w:divBdr>
        <w:top w:val="none" w:sz="0" w:space="0" w:color="auto"/>
        <w:left w:val="none" w:sz="0" w:space="0" w:color="auto"/>
        <w:bottom w:val="none" w:sz="0" w:space="0" w:color="auto"/>
        <w:right w:val="none" w:sz="0" w:space="0" w:color="auto"/>
      </w:divBdr>
    </w:div>
    <w:div w:id="1986929270">
      <w:bodyDiv w:val="1"/>
      <w:marLeft w:val="0"/>
      <w:marRight w:val="0"/>
      <w:marTop w:val="0"/>
      <w:marBottom w:val="0"/>
      <w:divBdr>
        <w:top w:val="none" w:sz="0" w:space="0" w:color="auto"/>
        <w:left w:val="none" w:sz="0" w:space="0" w:color="auto"/>
        <w:bottom w:val="none" w:sz="0" w:space="0" w:color="auto"/>
        <w:right w:val="none" w:sz="0" w:space="0" w:color="auto"/>
      </w:divBdr>
    </w:div>
    <w:div w:id="1999722193">
      <w:bodyDiv w:val="1"/>
      <w:marLeft w:val="0"/>
      <w:marRight w:val="0"/>
      <w:marTop w:val="0"/>
      <w:marBottom w:val="0"/>
      <w:divBdr>
        <w:top w:val="none" w:sz="0" w:space="0" w:color="auto"/>
        <w:left w:val="none" w:sz="0" w:space="0" w:color="auto"/>
        <w:bottom w:val="none" w:sz="0" w:space="0" w:color="auto"/>
        <w:right w:val="none" w:sz="0" w:space="0" w:color="auto"/>
      </w:divBdr>
    </w:div>
    <w:div w:id="2049647404">
      <w:bodyDiv w:val="1"/>
      <w:marLeft w:val="0"/>
      <w:marRight w:val="0"/>
      <w:marTop w:val="0"/>
      <w:marBottom w:val="0"/>
      <w:divBdr>
        <w:top w:val="none" w:sz="0" w:space="0" w:color="auto"/>
        <w:left w:val="none" w:sz="0" w:space="0" w:color="auto"/>
        <w:bottom w:val="none" w:sz="0" w:space="0" w:color="auto"/>
        <w:right w:val="none" w:sz="0" w:space="0" w:color="auto"/>
      </w:divBdr>
    </w:div>
    <w:div w:id="2067024084">
      <w:bodyDiv w:val="1"/>
      <w:marLeft w:val="0"/>
      <w:marRight w:val="0"/>
      <w:marTop w:val="0"/>
      <w:marBottom w:val="0"/>
      <w:divBdr>
        <w:top w:val="none" w:sz="0" w:space="0" w:color="auto"/>
        <w:left w:val="none" w:sz="0" w:space="0" w:color="auto"/>
        <w:bottom w:val="none" w:sz="0" w:space="0" w:color="auto"/>
        <w:right w:val="none" w:sz="0" w:space="0" w:color="auto"/>
      </w:divBdr>
    </w:div>
    <w:div w:id="2089305356">
      <w:bodyDiv w:val="1"/>
      <w:marLeft w:val="0"/>
      <w:marRight w:val="0"/>
      <w:marTop w:val="0"/>
      <w:marBottom w:val="0"/>
      <w:divBdr>
        <w:top w:val="none" w:sz="0" w:space="0" w:color="auto"/>
        <w:left w:val="none" w:sz="0" w:space="0" w:color="auto"/>
        <w:bottom w:val="none" w:sz="0" w:space="0" w:color="auto"/>
        <w:right w:val="none" w:sz="0" w:space="0" w:color="auto"/>
      </w:divBdr>
    </w:div>
    <w:div w:id="2091002439">
      <w:bodyDiv w:val="1"/>
      <w:marLeft w:val="0"/>
      <w:marRight w:val="0"/>
      <w:marTop w:val="0"/>
      <w:marBottom w:val="0"/>
      <w:divBdr>
        <w:top w:val="none" w:sz="0" w:space="0" w:color="auto"/>
        <w:left w:val="none" w:sz="0" w:space="0" w:color="auto"/>
        <w:bottom w:val="none" w:sz="0" w:space="0" w:color="auto"/>
        <w:right w:val="none" w:sz="0" w:space="0" w:color="auto"/>
      </w:divBdr>
    </w:div>
    <w:div w:id="2092004890">
      <w:bodyDiv w:val="1"/>
      <w:marLeft w:val="0"/>
      <w:marRight w:val="0"/>
      <w:marTop w:val="0"/>
      <w:marBottom w:val="0"/>
      <w:divBdr>
        <w:top w:val="none" w:sz="0" w:space="0" w:color="auto"/>
        <w:left w:val="none" w:sz="0" w:space="0" w:color="auto"/>
        <w:bottom w:val="none" w:sz="0" w:space="0" w:color="auto"/>
        <w:right w:val="none" w:sz="0" w:space="0" w:color="auto"/>
      </w:divBdr>
    </w:div>
    <w:div w:id="2103455326">
      <w:bodyDiv w:val="1"/>
      <w:marLeft w:val="0"/>
      <w:marRight w:val="0"/>
      <w:marTop w:val="0"/>
      <w:marBottom w:val="0"/>
      <w:divBdr>
        <w:top w:val="none" w:sz="0" w:space="0" w:color="auto"/>
        <w:left w:val="none" w:sz="0" w:space="0" w:color="auto"/>
        <w:bottom w:val="none" w:sz="0" w:space="0" w:color="auto"/>
        <w:right w:val="none" w:sz="0" w:space="0" w:color="auto"/>
      </w:divBdr>
    </w:div>
    <w:div w:id="2105295978">
      <w:bodyDiv w:val="1"/>
      <w:marLeft w:val="0"/>
      <w:marRight w:val="0"/>
      <w:marTop w:val="0"/>
      <w:marBottom w:val="0"/>
      <w:divBdr>
        <w:top w:val="none" w:sz="0" w:space="0" w:color="auto"/>
        <w:left w:val="none" w:sz="0" w:space="0" w:color="auto"/>
        <w:bottom w:val="none" w:sz="0" w:space="0" w:color="auto"/>
        <w:right w:val="none" w:sz="0" w:space="0" w:color="auto"/>
      </w:divBdr>
    </w:div>
    <w:div w:id="2138602416">
      <w:bodyDiv w:val="1"/>
      <w:marLeft w:val="0"/>
      <w:marRight w:val="0"/>
      <w:marTop w:val="0"/>
      <w:marBottom w:val="0"/>
      <w:divBdr>
        <w:top w:val="none" w:sz="0" w:space="0" w:color="auto"/>
        <w:left w:val="none" w:sz="0" w:space="0" w:color="auto"/>
        <w:bottom w:val="none" w:sz="0" w:space="0" w:color="auto"/>
        <w:right w:val="none" w:sz="0" w:space="0" w:color="auto"/>
      </w:divBdr>
    </w:div>
    <w:div w:id="2144689167">
      <w:bodyDiv w:val="1"/>
      <w:marLeft w:val="0"/>
      <w:marRight w:val="0"/>
      <w:marTop w:val="0"/>
      <w:marBottom w:val="0"/>
      <w:divBdr>
        <w:top w:val="none" w:sz="0" w:space="0" w:color="auto"/>
        <w:left w:val="none" w:sz="0" w:space="0" w:color="auto"/>
        <w:bottom w:val="none" w:sz="0" w:space="0" w:color="auto"/>
        <w:right w:val="none" w:sz="0" w:space="0" w:color="auto"/>
      </w:divBdr>
    </w:div>
    <w:div w:id="214476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0.xml"/><Relationship Id="rId21" Type="http://schemas.openxmlformats.org/officeDocument/2006/relationships/image" Target="media/image1.png"/><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42.png"/><Relationship Id="rId138" Type="http://schemas.openxmlformats.org/officeDocument/2006/relationships/footer" Target="footer28.xml"/><Relationship Id="rId159" Type="http://schemas.openxmlformats.org/officeDocument/2006/relationships/footer" Target="footer34.xml"/><Relationship Id="rId170" Type="http://schemas.openxmlformats.org/officeDocument/2006/relationships/header" Target="header39.xml"/><Relationship Id="rId191" Type="http://schemas.openxmlformats.org/officeDocument/2006/relationships/hyperlink" Target="http://www.gdsassociates.com" TargetMode="External"/><Relationship Id="rId205" Type="http://schemas.openxmlformats.org/officeDocument/2006/relationships/theme" Target="theme/theme1.xml"/><Relationship Id="rId16" Type="http://schemas.openxmlformats.org/officeDocument/2006/relationships/footnotes" Target="footnotes.xml"/><Relationship Id="rId107" Type="http://schemas.openxmlformats.org/officeDocument/2006/relationships/footer" Target="footer17.xml"/><Relationship Id="rId11" Type="http://schemas.openxmlformats.org/officeDocument/2006/relationships/customXml" Target="../customXml/item11.xml"/><Relationship Id="rId32" Type="http://schemas.openxmlformats.org/officeDocument/2006/relationships/hyperlink" Target="http://www.puc.pa.gov/Electric/pdf/Act129/SWE_RFP_2012.pdf" TargetMode="External"/><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chart" Target="charts/chart2.xml"/><Relationship Id="rId79" Type="http://schemas.openxmlformats.org/officeDocument/2006/relationships/chart" Target="charts/chart3.xml"/><Relationship Id="rId102" Type="http://schemas.openxmlformats.org/officeDocument/2006/relationships/header" Target="header15.xml"/><Relationship Id="rId123" Type="http://schemas.openxmlformats.org/officeDocument/2006/relationships/header" Target="header23.xml"/><Relationship Id="rId128" Type="http://schemas.openxmlformats.org/officeDocument/2006/relationships/footer" Target="footer25.xml"/><Relationship Id="rId144" Type="http://schemas.openxmlformats.org/officeDocument/2006/relationships/image" Target="media/image58.png"/><Relationship Id="rId149" Type="http://schemas.openxmlformats.org/officeDocument/2006/relationships/header" Target="header32.xml"/><Relationship Id="rId5" Type="http://schemas.openxmlformats.org/officeDocument/2006/relationships/customXml" Target="../customXml/item5.xml"/><Relationship Id="rId90" Type="http://schemas.openxmlformats.org/officeDocument/2006/relationships/image" Target="media/image44.png"/><Relationship Id="rId95" Type="http://schemas.openxmlformats.org/officeDocument/2006/relationships/footer" Target="footer11.xml"/><Relationship Id="rId160" Type="http://schemas.openxmlformats.org/officeDocument/2006/relationships/header" Target="header35.xml"/><Relationship Id="rId165" Type="http://schemas.openxmlformats.org/officeDocument/2006/relationships/image" Target="media/image65.png"/><Relationship Id="rId181" Type="http://schemas.openxmlformats.org/officeDocument/2006/relationships/header" Target="header44.xml"/><Relationship Id="rId186" Type="http://schemas.openxmlformats.org/officeDocument/2006/relationships/footer" Target="footer46.xml"/><Relationship Id="rId22" Type="http://schemas.openxmlformats.org/officeDocument/2006/relationships/hyperlink" Target="https://apexanalyticsllc.com/" TargetMode="External"/><Relationship Id="rId27" Type="http://schemas.openxmlformats.org/officeDocument/2006/relationships/footer" Target="footer2.xm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37.png"/><Relationship Id="rId113" Type="http://schemas.openxmlformats.org/officeDocument/2006/relationships/header" Target="header18.xml"/><Relationship Id="rId118" Type="http://schemas.openxmlformats.org/officeDocument/2006/relationships/footer" Target="footer20.xml"/><Relationship Id="rId134" Type="http://schemas.openxmlformats.org/officeDocument/2006/relationships/image" Target="media/image54.png"/><Relationship Id="rId139" Type="http://schemas.openxmlformats.org/officeDocument/2006/relationships/header" Target="header29.xml"/><Relationship Id="rId80" Type="http://schemas.openxmlformats.org/officeDocument/2006/relationships/image" Target="media/image40.png"/><Relationship Id="rId85" Type="http://schemas.openxmlformats.org/officeDocument/2006/relationships/image" Target="media/image43.png"/><Relationship Id="rId150" Type="http://schemas.openxmlformats.org/officeDocument/2006/relationships/footer" Target="footer32.xml"/><Relationship Id="rId155" Type="http://schemas.openxmlformats.org/officeDocument/2006/relationships/image" Target="media/image61.png"/><Relationship Id="rId171" Type="http://schemas.openxmlformats.org/officeDocument/2006/relationships/footer" Target="footer39.xml"/><Relationship Id="rId176" Type="http://schemas.openxmlformats.org/officeDocument/2006/relationships/header" Target="header42.xml"/><Relationship Id="rId192" Type="http://schemas.openxmlformats.org/officeDocument/2006/relationships/hyperlink" Target="https://apexanalyticsllc.com/" TargetMode="External"/><Relationship Id="rId197" Type="http://schemas.openxmlformats.org/officeDocument/2006/relationships/hyperlink" Target="http://www.researchintoaction.com" TargetMode="External"/><Relationship Id="rId201" Type="http://schemas.openxmlformats.org/officeDocument/2006/relationships/hyperlink" Target="https://apexanalyticsllc.com/" TargetMode="External"/><Relationship Id="rId12" Type="http://schemas.openxmlformats.org/officeDocument/2006/relationships/numbering" Target="numbering.xml"/><Relationship Id="rId17" Type="http://schemas.openxmlformats.org/officeDocument/2006/relationships/endnotes" Target="endnotes.xm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footer" Target="footer15.xml"/><Relationship Id="rId108" Type="http://schemas.openxmlformats.org/officeDocument/2006/relationships/image" Target="media/image46.png"/><Relationship Id="rId124" Type="http://schemas.openxmlformats.org/officeDocument/2006/relationships/footer" Target="footer23.xml"/><Relationship Id="rId129" Type="http://schemas.openxmlformats.org/officeDocument/2006/relationships/header" Target="header26.xml"/><Relationship Id="rId54" Type="http://schemas.openxmlformats.org/officeDocument/2006/relationships/image" Target="media/image25.png"/><Relationship Id="rId70" Type="http://schemas.openxmlformats.org/officeDocument/2006/relationships/header" Target="header6.xml"/><Relationship Id="rId75" Type="http://schemas.openxmlformats.org/officeDocument/2006/relationships/image" Target="media/image38.png"/><Relationship Id="rId91" Type="http://schemas.openxmlformats.org/officeDocument/2006/relationships/image" Target="media/image45.png"/><Relationship Id="rId96" Type="http://schemas.openxmlformats.org/officeDocument/2006/relationships/header" Target="header12.xml"/><Relationship Id="rId140" Type="http://schemas.openxmlformats.org/officeDocument/2006/relationships/footer" Target="footer29.xml"/><Relationship Id="rId145" Type="http://schemas.openxmlformats.org/officeDocument/2006/relationships/header" Target="header30.xml"/><Relationship Id="rId161" Type="http://schemas.openxmlformats.org/officeDocument/2006/relationships/footer" Target="footer35.xml"/><Relationship Id="rId166" Type="http://schemas.openxmlformats.org/officeDocument/2006/relationships/header" Target="header37.xml"/><Relationship Id="rId182" Type="http://schemas.openxmlformats.org/officeDocument/2006/relationships/footer" Target="footer44.xml"/><Relationship Id="rId187" Type="http://schemas.openxmlformats.org/officeDocument/2006/relationships/hyperlink" Target="http://www.cee1.org/"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2.png"/><Relationship Id="rId28" Type="http://schemas.openxmlformats.org/officeDocument/2006/relationships/header" Target="header3.xml"/><Relationship Id="rId49" Type="http://schemas.openxmlformats.org/officeDocument/2006/relationships/image" Target="media/image20.png"/><Relationship Id="rId114" Type="http://schemas.openxmlformats.org/officeDocument/2006/relationships/footer" Target="footer18.xml"/><Relationship Id="rId119" Type="http://schemas.openxmlformats.org/officeDocument/2006/relationships/header" Target="header21.xml"/><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header" Target="header5.xml"/><Relationship Id="rId81" Type="http://schemas.openxmlformats.org/officeDocument/2006/relationships/image" Target="cid:image012.png@01D3049D.CC1DADB0" TargetMode="External"/><Relationship Id="rId86" Type="http://schemas.openxmlformats.org/officeDocument/2006/relationships/header" Target="header8.xml"/><Relationship Id="rId130" Type="http://schemas.openxmlformats.org/officeDocument/2006/relationships/footer" Target="footer26.xml"/><Relationship Id="rId135" Type="http://schemas.openxmlformats.org/officeDocument/2006/relationships/header" Target="header27.xml"/><Relationship Id="rId151" Type="http://schemas.openxmlformats.org/officeDocument/2006/relationships/header" Target="header33.xml"/><Relationship Id="rId156" Type="http://schemas.openxmlformats.org/officeDocument/2006/relationships/image" Target="media/image62.png"/><Relationship Id="rId177" Type="http://schemas.openxmlformats.org/officeDocument/2006/relationships/footer" Target="footer42.xml"/><Relationship Id="rId198" Type="http://schemas.openxmlformats.org/officeDocument/2006/relationships/hyperlink" Target="https://apexanalyticsllc.com/" TargetMode="External"/><Relationship Id="rId172" Type="http://schemas.openxmlformats.org/officeDocument/2006/relationships/header" Target="header40.xml"/><Relationship Id="rId193" Type="http://schemas.openxmlformats.org/officeDocument/2006/relationships/hyperlink" Target="http://www.researchintoaction.com" TargetMode="External"/><Relationship Id="rId202" Type="http://schemas.openxmlformats.org/officeDocument/2006/relationships/header" Target="header47.xml"/><Relationship Id="rId13" Type="http://schemas.openxmlformats.org/officeDocument/2006/relationships/styles" Target="styles.xml"/><Relationship Id="rId18" Type="http://schemas.openxmlformats.org/officeDocument/2006/relationships/header" Target="header1.xml"/><Relationship Id="rId39" Type="http://schemas.openxmlformats.org/officeDocument/2006/relationships/image" Target="media/image10.png"/><Relationship Id="rId109" Type="http://schemas.openxmlformats.org/officeDocument/2006/relationships/image" Target="media/image47.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cid:image010.png@01D3049D.CC1DADB0" TargetMode="External"/><Relationship Id="rId97" Type="http://schemas.openxmlformats.org/officeDocument/2006/relationships/footer" Target="footer12.xml"/><Relationship Id="rId104" Type="http://schemas.openxmlformats.org/officeDocument/2006/relationships/header" Target="header16.xml"/><Relationship Id="rId120" Type="http://schemas.openxmlformats.org/officeDocument/2006/relationships/footer" Target="footer21.xml"/><Relationship Id="rId125" Type="http://schemas.openxmlformats.org/officeDocument/2006/relationships/header" Target="header24.xml"/><Relationship Id="rId141" Type="http://schemas.openxmlformats.org/officeDocument/2006/relationships/image" Target="media/image55.png"/><Relationship Id="rId146" Type="http://schemas.openxmlformats.org/officeDocument/2006/relationships/footer" Target="footer30.xml"/><Relationship Id="rId167" Type="http://schemas.openxmlformats.org/officeDocument/2006/relationships/footer" Target="footer37.xml"/><Relationship Id="rId188" Type="http://schemas.openxmlformats.org/officeDocument/2006/relationships/hyperlink" Target="http://library.cee1.org/sites/default/files/library/12282/CEE_ResidentialClothesWasherSpec_07Mar2015.pdf" TargetMode="External"/><Relationship Id="rId7" Type="http://schemas.openxmlformats.org/officeDocument/2006/relationships/customXml" Target="../customXml/item7.xml"/><Relationship Id="rId71" Type="http://schemas.openxmlformats.org/officeDocument/2006/relationships/footer" Target="footer6.xml"/><Relationship Id="rId92" Type="http://schemas.openxmlformats.org/officeDocument/2006/relationships/header" Target="header10.xml"/><Relationship Id="rId162" Type="http://schemas.openxmlformats.org/officeDocument/2006/relationships/header" Target="header36.xml"/><Relationship Id="rId183" Type="http://schemas.openxmlformats.org/officeDocument/2006/relationships/header" Target="header45.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www.gdsassociates.com/"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footer" Target="footer5.xml"/><Relationship Id="rId87" Type="http://schemas.openxmlformats.org/officeDocument/2006/relationships/footer" Target="footer8.xml"/><Relationship Id="rId110" Type="http://schemas.openxmlformats.org/officeDocument/2006/relationships/image" Target="media/image48.png"/><Relationship Id="rId115" Type="http://schemas.openxmlformats.org/officeDocument/2006/relationships/header" Target="header19.xml"/><Relationship Id="rId131" Type="http://schemas.openxmlformats.org/officeDocument/2006/relationships/image" Target="media/image51.png"/><Relationship Id="rId136" Type="http://schemas.openxmlformats.org/officeDocument/2006/relationships/footer" Target="footer27.xml"/><Relationship Id="rId157" Type="http://schemas.openxmlformats.org/officeDocument/2006/relationships/image" Target="media/image63.png"/><Relationship Id="rId178" Type="http://schemas.openxmlformats.org/officeDocument/2006/relationships/image" Target="media/image66.png"/><Relationship Id="rId61" Type="http://schemas.openxmlformats.org/officeDocument/2006/relationships/image" Target="media/image32.png"/><Relationship Id="rId82" Type="http://schemas.openxmlformats.org/officeDocument/2006/relationships/image" Target="media/image41.gif"/><Relationship Id="rId152" Type="http://schemas.openxmlformats.org/officeDocument/2006/relationships/footer" Target="footer33.xml"/><Relationship Id="rId173" Type="http://schemas.openxmlformats.org/officeDocument/2006/relationships/footer" Target="footer40.xml"/><Relationship Id="rId194" Type="http://schemas.openxmlformats.org/officeDocument/2006/relationships/hyperlink" Target="http://www.gdsassociates.com" TargetMode="External"/><Relationship Id="rId199" Type="http://schemas.openxmlformats.org/officeDocument/2006/relationships/hyperlink" Target="http://www.gdsassociates.com" TargetMode="External"/><Relationship Id="rId203" Type="http://schemas.openxmlformats.org/officeDocument/2006/relationships/footer" Target="footer47.xml"/><Relationship Id="rId19" Type="http://schemas.openxmlformats.org/officeDocument/2006/relationships/footer" Target="footer1.xml"/><Relationship Id="rId14" Type="http://schemas.openxmlformats.org/officeDocument/2006/relationships/settings" Target="settings.xml"/><Relationship Id="rId30" Type="http://schemas.openxmlformats.org/officeDocument/2006/relationships/header" Target="header4.xml"/><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image" Target="media/image39.png"/><Relationship Id="rId100" Type="http://schemas.openxmlformats.org/officeDocument/2006/relationships/header" Target="header14.xml"/><Relationship Id="rId105" Type="http://schemas.openxmlformats.org/officeDocument/2006/relationships/footer" Target="footer16.xml"/><Relationship Id="rId126" Type="http://schemas.openxmlformats.org/officeDocument/2006/relationships/footer" Target="footer24.xml"/><Relationship Id="rId147" Type="http://schemas.openxmlformats.org/officeDocument/2006/relationships/header" Target="header31.xml"/><Relationship Id="rId168" Type="http://schemas.openxmlformats.org/officeDocument/2006/relationships/header" Target="header38.xml"/><Relationship Id="rId8" Type="http://schemas.openxmlformats.org/officeDocument/2006/relationships/customXml" Target="../customXml/item8.xml"/><Relationship Id="rId51" Type="http://schemas.openxmlformats.org/officeDocument/2006/relationships/image" Target="media/image22.png"/><Relationship Id="rId72" Type="http://schemas.openxmlformats.org/officeDocument/2006/relationships/header" Target="header7.xml"/><Relationship Id="rId93" Type="http://schemas.openxmlformats.org/officeDocument/2006/relationships/footer" Target="footer10.xml"/><Relationship Id="rId98" Type="http://schemas.openxmlformats.org/officeDocument/2006/relationships/header" Target="header13.xml"/><Relationship Id="rId121" Type="http://schemas.openxmlformats.org/officeDocument/2006/relationships/header" Target="header22.xml"/><Relationship Id="rId142" Type="http://schemas.openxmlformats.org/officeDocument/2006/relationships/image" Target="media/image56.png"/><Relationship Id="rId163" Type="http://schemas.openxmlformats.org/officeDocument/2006/relationships/footer" Target="footer36.xml"/><Relationship Id="rId184" Type="http://schemas.openxmlformats.org/officeDocument/2006/relationships/footer" Target="footer45.xml"/><Relationship Id="rId189"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17.png"/><Relationship Id="rId67" Type="http://schemas.openxmlformats.org/officeDocument/2006/relationships/image" Target="media/image36.png"/><Relationship Id="rId116" Type="http://schemas.openxmlformats.org/officeDocument/2006/relationships/footer" Target="footer19.xml"/><Relationship Id="rId137" Type="http://schemas.openxmlformats.org/officeDocument/2006/relationships/header" Target="header28.xml"/><Relationship Id="rId158" Type="http://schemas.openxmlformats.org/officeDocument/2006/relationships/header" Target="header34.xml"/><Relationship Id="rId20" Type="http://schemas.openxmlformats.org/officeDocument/2006/relationships/hyperlink" Target="http://www.researchintoaction.com/" TargetMode="Externa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cid:image013.png@01D3049D.CC1DADB0" TargetMode="External"/><Relationship Id="rId88" Type="http://schemas.openxmlformats.org/officeDocument/2006/relationships/header" Target="header9.xml"/><Relationship Id="rId111" Type="http://schemas.openxmlformats.org/officeDocument/2006/relationships/image" Target="media/image49.png"/><Relationship Id="rId132" Type="http://schemas.openxmlformats.org/officeDocument/2006/relationships/image" Target="media/image52.png"/><Relationship Id="rId153" Type="http://schemas.openxmlformats.org/officeDocument/2006/relationships/image" Target="media/image59.png"/><Relationship Id="rId174" Type="http://schemas.openxmlformats.org/officeDocument/2006/relationships/header" Target="header41.xml"/><Relationship Id="rId179" Type="http://schemas.openxmlformats.org/officeDocument/2006/relationships/header" Target="header43.xml"/><Relationship Id="rId195" Type="http://schemas.openxmlformats.org/officeDocument/2006/relationships/hyperlink" Target="https://apexanalyticsllc.com/" TargetMode="External"/><Relationship Id="rId190" Type="http://schemas.openxmlformats.org/officeDocument/2006/relationships/hyperlink" Target="http://www.researchintoaction.com" TargetMode="External"/><Relationship Id="rId204" Type="http://schemas.openxmlformats.org/officeDocument/2006/relationships/fontTable" Target="fontTable.xml"/><Relationship Id="rId15" Type="http://schemas.openxmlformats.org/officeDocument/2006/relationships/webSettings" Target="webSettings.xml"/><Relationship Id="rId36" Type="http://schemas.openxmlformats.org/officeDocument/2006/relationships/image" Target="media/image7.png"/><Relationship Id="rId57" Type="http://schemas.openxmlformats.org/officeDocument/2006/relationships/image" Target="media/image28.png"/><Relationship Id="rId106" Type="http://schemas.openxmlformats.org/officeDocument/2006/relationships/header" Target="header17.xml"/><Relationship Id="rId127" Type="http://schemas.openxmlformats.org/officeDocument/2006/relationships/header" Target="header25.xml"/><Relationship Id="rId10" Type="http://schemas.openxmlformats.org/officeDocument/2006/relationships/customXml" Target="../customXml/item10.xml"/><Relationship Id="rId31" Type="http://schemas.openxmlformats.org/officeDocument/2006/relationships/footer" Target="footer4.xml"/><Relationship Id="rId52" Type="http://schemas.openxmlformats.org/officeDocument/2006/relationships/image" Target="media/image23.png"/><Relationship Id="rId73" Type="http://schemas.openxmlformats.org/officeDocument/2006/relationships/footer" Target="footer7.xml"/><Relationship Id="rId78" Type="http://schemas.openxmlformats.org/officeDocument/2006/relationships/image" Target="cid:image011.png@01D3049D.CC1DADB0" TargetMode="External"/><Relationship Id="rId94" Type="http://schemas.openxmlformats.org/officeDocument/2006/relationships/header" Target="header11.xml"/><Relationship Id="rId99" Type="http://schemas.openxmlformats.org/officeDocument/2006/relationships/footer" Target="footer13.xml"/><Relationship Id="rId101" Type="http://schemas.openxmlformats.org/officeDocument/2006/relationships/footer" Target="footer14.xml"/><Relationship Id="rId122" Type="http://schemas.openxmlformats.org/officeDocument/2006/relationships/footer" Target="footer22.xml"/><Relationship Id="rId143" Type="http://schemas.openxmlformats.org/officeDocument/2006/relationships/image" Target="media/image57.png"/><Relationship Id="rId148" Type="http://schemas.openxmlformats.org/officeDocument/2006/relationships/footer" Target="footer31.xml"/><Relationship Id="rId164" Type="http://schemas.openxmlformats.org/officeDocument/2006/relationships/image" Target="media/image64.png"/><Relationship Id="rId169" Type="http://schemas.openxmlformats.org/officeDocument/2006/relationships/footer" Target="footer38.xml"/><Relationship Id="rId185" Type="http://schemas.openxmlformats.org/officeDocument/2006/relationships/header" Target="header46.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43.xml"/><Relationship Id="rId26" Type="http://schemas.openxmlformats.org/officeDocument/2006/relationships/header" Target="header2.xml"/><Relationship Id="rId47" Type="http://schemas.openxmlformats.org/officeDocument/2006/relationships/image" Target="media/image18.png"/><Relationship Id="rId68" Type="http://schemas.openxmlformats.org/officeDocument/2006/relationships/chart" Target="charts/chart1.xml"/><Relationship Id="rId89" Type="http://schemas.openxmlformats.org/officeDocument/2006/relationships/footer" Target="footer9.xml"/><Relationship Id="rId112" Type="http://schemas.openxmlformats.org/officeDocument/2006/relationships/image" Target="media/image50.png"/><Relationship Id="rId133" Type="http://schemas.openxmlformats.org/officeDocument/2006/relationships/image" Target="media/image53.png"/><Relationship Id="rId154" Type="http://schemas.openxmlformats.org/officeDocument/2006/relationships/image" Target="media/image60.png"/><Relationship Id="rId175" Type="http://schemas.openxmlformats.org/officeDocument/2006/relationships/footer" Target="footer41.xml"/><Relationship Id="rId196" Type="http://schemas.openxmlformats.org/officeDocument/2006/relationships/hyperlink" Target="http://www.gdsassociates.com" TargetMode="External"/><Relationship Id="rId200" Type="http://schemas.openxmlformats.org/officeDocument/2006/relationships/hyperlink" Target="http://www.researchintoaction.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puc.pa.gov/pcdocs/1345079.pdf" TargetMode="External"/><Relationship Id="rId13" Type="http://schemas.openxmlformats.org/officeDocument/2006/relationships/hyperlink" Target="http://www.puc.pa.gov/pcdocs/1333318.docx" TargetMode="External"/><Relationship Id="rId3" Type="http://schemas.openxmlformats.org/officeDocument/2006/relationships/hyperlink" Target="https://www.entergysolutionsrewards.com/faqs" TargetMode="External"/><Relationship Id="rId7" Type="http://schemas.openxmlformats.org/officeDocument/2006/relationships/hyperlink" Target="http://www.puc.pa.gov/pcdocs/1340978.pdf" TargetMode="External"/><Relationship Id="rId12" Type="http://schemas.openxmlformats.org/officeDocument/2006/relationships/hyperlink" Target="http://www.puc.pa.gov/pcdocs/1265230.docx" TargetMode="External"/><Relationship Id="rId2" Type="http://schemas.openxmlformats.org/officeDocument/2006/relationships/hyperlink" Target="https://www.entergysolutionsrewards.com/faqs" TargetMode="External"/><Relationship Id="rId16" Type="http://schemas.openxmlformats.org/officeDocument/2006/relationships/hyperlink" Target="http://www.puc.pa.gov/Electric/pdf/Act129/SWE_PY6-Final_Annual_Report.pdf" TargetMode="External"/><Relationship Id="rId1" Type="http://schemas.openxmlformats.org/officeDocument/2006/relationships/hyperlink" Target="http://energy.gov/eere/about-us/ump-protocols" TargetMode="External"/><Relationship Id="rId6" Type="http://schemas.openxmlformats.org/officeDocument/2006/relationships/hyperlink" Target="http://www.puc.pa.gov/Electric/pdf/Act129/SWE-2014_PA_Statewide_Act129_Non-Residential_EndUse_Saturation_Study.pdf" TargetMode="External"/><Relationship Id="rId11" Type="http://schemas.openxmlformats.org/officeDocument/2006/relationships/hyperlink" Target="http://www.puc.pa.gov/Electric/pdf/Act129/SWE_Res_Behavioral_Program-Persistence_Study.pdf" TargetMode="External"/><Relationship Id="rId5" Type="http://schemas.openxmlformats.org/officeDocument/2006/relationships/hyperlink" Target="http://www.puc.pa.gov/Electric/pdf/Act129/SWE-2014_PA_Statewide_Act129_Residential_Baseline_Study.pdf" TargetMode="External"/><Relationship Id="rId15" Type="http://schemas.openxmlformats.org/officeDocument/2006/relationships/hyperlink" Target="http://www.puc.pa.gov/Electric/pdf/Act129/SWE_PY5-Final_Annual_Report.pdf" TargetMode="External"/><Relationship Id="rId10" Type="http://schemas.openxmlformats.org/officeDocument/2006/relationships/hyperlink" Target="http://www.puc.pa.gov/pcdocs/1355000.pdf" TargetMode="External"/><Relationship Id="rId4" Type="http://schemas.openxmlformats.org/officeDocument/2006/relationships/hyperlink" Target="http://www.puc.pa.gov/filing_resources/issues_laws_regulations/act_129_information/act_129_statewide_evaluator_swe_.aspx" TargetMode="External"/><Relationship Id="rId9" Type="http://schemas.openxmlformats.org/officeDocument/2006/relationships/hyperlink" Target="http://www.puc.pa.gov/pcdocs/1345077.docx" TargetMode="External"/><Relationship Id="rId14" Type="http://schemas.openxmlformats.org/officeDocument/2006/relationships/hyperlink" Target="http://www.puc.pa.gov/pcdocs/1370278.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m-ga-fs02\m-ga-projects01\39702\045\Melissa\Copy%20of%20PA_ProgramPerformance_v4_12-03_updated_12-20-2016_v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ga-fs02\m-ga-projects01\39702\045\Melissa\Copy%20of%20PA_ProgramPerformance_v4_12-03_updated_12-20-2016_v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48A99"/>
            </a:solidFill>
            <a:ln>
              <a:noFill/>
            </a:ln>
            <a:effectLst/>
          </c:spPr>
          <c:invertIfNegative val="0"/>
          <c:dPt>
            <c:idx val="3"/>
            <c:invertIfNegative val="0"/>
            <c:bubble3D val="0"/>
            <c:spPr>
              <a:solidFill>
                <a:srgbClr val="ED9E3E"/>
              </a:solidFill>
              <a:ln>
                <a:noFill/>
              </a:ln>
              <a:effectLst/>
            </c:spPr>
            <c:extLst>
              <c:ext xmlns:c16="http://schemas.microsoft.com/office/drawing/2014/chart" uri="{C3380CC4-5D6E-409C-BE32-E72D297353CC}">
                <c16:uniqueId val="{00000001-CDB4-4341-9BA2-29DE7AAE37AE}"/>
              </c:ext>
            </c:extLst>
          </c:dPt>
          <c:dPt>
            <c:idx val="8"/>
            <c:invertIfNegative val="0"/>
            <c:bubble3D val="0"/>
            <c:spPr>
              <a:solidFill>
                <a:srgbClr val="ED9E3E"/>
              </a:solidFill>
              <a:ln>
                <a:noFill/>
              </a:ln>
              <a:effectLst/>
            </c:spPr>
            <c:extLst>
              <c:ext xmlns:c16="http://schemas.microsoft.com/office/drawing/2014/chart" uri="{C3380CC4-5D6E-409C-BE32-E72D297353CC}">
                <c16:uniqueId val="{00000003-CDB4-4341-9BA2-29DE7AAE37A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Sheet1!$C$44:$C$52</c:f>
              <c:strCache>
                <c:ptCount val="9"/>
                <c:pt idx="0">
                  <c:v>PY2</c:v>
                </c:pt>
                <c:pt idx="1">
                  <c:v>PY3</c:v>
                </c:pt>
                <c:pt idx="2">
                  <c:v>PY4</c:v>
                </c:pt>
                <c:pt idx="3">
                  <c:v>Phase I</c:v>
                </c:pt>
                <c:pt idx="5">
                  <c:v>PY5</c:v>
                </c:pt>
                <c:pt idx="6">
                  <c:v>PY6</c:v>
                </c:pt>
                <c:pt idx="7">
                  <c:v>PY7</c:v>
                </c:pt>
                <c:pt idx="8">
                  <c:v>Phase II</c:v>
                </c:pt>
              </c:strCache>
            </c:strRef>
          </c:cat>
          <c:val>
            <c:numRef>
              <c:f>Sheet1!$D$44:$D$52</c:f>
              <c:numCache>
                <c:formatCode>General</c:formatCode>
                <c:ptCount val="9"/>
                <c:pt idx="0">
                  <c:v>3.2</c:v>
                </c:pt>
                <c:pt idx="1">
                  <c:v>2.5</c:v>
                </c:pt>
                <c:pt idx="2">
                  <c:v>1.8</c:v>
                </c:pt>
                <c:pt idx="3">
                  <c:v>2.4</c:v>
                </c:pt>
                <c:pt idx="5">
                  <c:v>1.7</c:v>
                </c:pt>
                <c:pt idx="6">
                  <c:v>1.6</c:v>
                </c:pt>
                <c:pt idx="7">
                  <c:v>1.7</c:v>
                </c:pt>
                <c:pt idx="8">
                  <c:v>1.7</c:v>
                </c:pt>
              </c:numCache>
            </c:numRef>
          </c:val>
          <c:extLst>
            <c:ext xmlns:c16="http://schemas.microsoft.com/office/drawing/2014/chart" uri="{C3380CC4-5D6E-409C-BE32-E72D297353CC}">
              <c16:uniqueId val="{00000004-CDB4-4341-9BA2-29DE7AAE37AE}"/>
            </c:ext>
          </c:extLst>
        </c:ser>
        <c:dLbls>
          <c:showLegendKey val="0"/>
          <c:showVal val="0"/>
          <c:showCatName val="0"/>
          <c:showSerName val="0"/>
          <c:showPercent val="0"/>
          <c:showBubbleSize val="0"/>
        </c:dLbls>
        <c:gapWidth val="85"/>
        <c:overlap val="-27"/>
        <c:axId val="141674368"/>
        <c:axId val="141675904"/>
      </c:barChart>
      <c:catAx>
        <c:axId val="14167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75904"/>
        <c:crosses val="autoZero"/>
        <c:auto val="1"/>
        <c:lblAlgn val="ctr"/>
        <c:lblOffset val="100"/>
        <c:noMultiLvlLbl val="0"/>
      </c:catAx>
      <c:valAx>
        <c:axId val="141675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TRC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74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'Cost per kWh saved'!$J$39</c:f>
              <c:strCache>
                <c:ptCount val="1"/>
                <c:pt idx="0">
                  <c:v>Duquesne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saved'!$K$39:$Q$39</c:f>
              <c:numCache>
                <c:formatCode>_("$"* #,##0.00_);_("$"* \(#,##0.00\);_("$"* "-"??_);_(@_)</c:formatCode>
                <c:ptCount val="7"/>
                <c:pt idx="0">
                  <c:v>0.38250932846801383</c:v>
                </c:pt>
                <c:pt idx="1">
                  <c:v>8.5772952331115149E-2</c:v>
                </c:pt>
                <c:pt idx="2">
                  <c:v>9.802530029045313E-2</c:v>
                </c:pt>
                <c:pt idx="3">
                  <c:v>0.15123961194810498</c:v>
                </c:pt>
                <c:pt idx="4">
                  <c:v>0.12419043495143177</c:v>
                </c:pt>
                <c:pt idx="5">
                  <c:v>0.19153674832962139</c:v>
                </c:pt>
                <c:pt idx="6">
                  <c:v>9.9482056334539284E-2</c:v>
                </c:pt>
              </c:numCache>
            </c:numRef>
          </c:yVal>
          <c:smooth val="0"/>
          <c:extLst>
            <c:ext xmlns:c16="http://schemas.microsoft.com/office/drawing/2014/chart" uri="{C3380CC4-5D6E-409C-BE32-E72D297353CC}">
              <c16:uniqueId val="{00000000-AFCE-4A43-9596-21A401FAA51A}"/>
            </c:ext>
          </c:extLst>
        </c:ser>
        <c:ser>
          <c:idx val="1"/>
          <c:order val="1"/>
          <c:tx>
            <c:strRef>
              <c:f>'Cost per kWh saved'!$J$40</c:f>
              <c:strCache>
                <c:ptCount val="1"/>
                <c:pt idx="0">
                  <c:v>Met 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saved'!$K$40:$Q$40</c:f>
              <c:numCache>
                <c:formatCode>_("$"* #,##0.00_);_("$"* \(#,##0.00\);_("$"* "-"??_);_(@_)</c:formatCode>
                <c:ptCount val="7"/>
                <c:pt idx="0">
                  <c:v>0.20942048137730426</c:v>
                </c:pt>
                <c:pt idx="1">
                  <c:v>0.15131053291355154</c:v>
                </c:pt>
                <c:pt idx="2">
                  <c:v>0.14204820853583622</c:v>
                </c:pt>
                <c:pt idx="3">
                  <c:v>0.1282302224076898</c:v>
                </c:pt>
                <c:pt idx="4">
                  <c:v>0.13031645481927981</c:v>
                </c:pt>
                <c:pt idx="5">
                  <c:v>0.1106458224673391</c:v>
                </c:pt>
                <c:pt idx="6">
                  <c:v>8.9257163940474726E-2</c:v>
                </c:pt>
              </c:numCache>
            </c:numRef>
          </c:yVal>
          <c:smooth val="0"/>
          <c:extLst>
            <c:ext xmlns:c16="http://schemas.microsoft.com/office/drawing/2014/chart" uri="{C3380CC4-5D6E-409C-BE32-E72D297353CC}">
              <c16:uniqueId val="{00000001-AFCE-4A43-9596-21A401FAA51A}"/>
            </c:ext>
          </c:extLst>
        </c:ser>
        <c:ser>
          <c:idx val="2"/>
          <c:order val="2"/>
          <c:tx>
            <c:strRef>
              <c:f>'Cost per kWh saved'!$J$41</c:f>
              <c:strCache>
                <c:ptCount val="1"/>
                <c:pt idx="0">
                  <c:v>Penelec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saved'!$K$41:$Q$41</c:f>
              <c:numCache>
                <c:formatCode>_("$"* #,##0.00_);_("$"* \(#,##0.00\);_("$"* "-"??_);_(@_)</c:formatCode>
                <c:ptCount val="7"/>
                <c:pt idx="0">
                  <c:v>0.22723144093122519</c:v>
                </c:pt>
                <c:pt idx="1">
                  <c:v>0.12198654117207525</c:v>
                </c:pt>
                <c:pt idx="2">
                  <c:v>0.13282283065820605</c:v>
                </c:pt>
                <c:pt idx="3">
                  <c:v>0.10587168557249371</c:v>
                </c:pt>
                <c:pt idx="4">
                  <c:v>0.13927377761240087</c:v>
                </c:pt>
                <c:pt idx="5">
                  <c:v>0.11702817293073309</c:v>
                </c:pt>
                <c:pt idx="6">
                  <c:v>8.1052538039915037E-2</c:v>
                </c:pt>
              </c:numCache>
            </c:numRef>
          </c:yVal>
          <c:smooth val="0"/>
          <c:extLst>
            <c:ext xmlns:c16="http://schemas.microsoft.com/office/drawing/2014/chart" uri="{C3380CC4-5D6E-409C-BE32-E72D297353CC}">
              <c16:uniqueId val="{00000002-AFCE-4A43-9596-21A401FAA51A}"/>
            </c:ext>
          </c:extLst>
        </c:ser>
        <c:ser>
          <c:idx val="3"/>
          <c:order val="3"/>
          <c:tx>
            <c:strRef>
              <c:f>'Cost per kWh saved'!$J$42</c:f>
              <c:strCache>
                <c:ptCount val="1"/>
                <c:pt idx="0">
                  <c:v>Penn Power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saved'!$K$42:$Q$42</c:f>
              <c:numCache>
                <c:formatCode>_("$"* #,##0.00_);_("$"* \(#,##0.00\);_("$"* "-"??_);_(@_)</c:formatCode>
                <c:ptCount val="7"/>
                <c:pt idx="0">
                  <c:v>9.6483916106493706E-2</c:v>
                </c:pt>
                <c:pt idx="1">
                  <c:v>0.10254964505771663</c:v>
                </c:pt>
                <c:pt idx="2">
                  <c:v>0.11308188984083889</c:v>
                </c:pt>
                <c:pt idx="3">
                  <c:v>0.10329073400035761</c:v>
                </c:pt>
                <c:pt idx="4">
                  <c:v>0.14492506527121421</c:v>
                </c:pt>
                <c:pt idx="5">
                  <c:v>0.11918029840014381</c:v>
                </c:pt>
                <c:pt idx="6">
                  <c:v>0.11089728169352898</c:v>
                </c:pt>
              </c:numCache>
            </c:numRef>
          </c:yVal>
          <c:smooth val="0"/>
          <c:extLst>
            <c:ext xmlns:c16="http://schemas.microsoft.com/office/drawing/2014/chart" uri="{C3380CC4-5D6E-409C-BE32-E72D297353CC}">
              <c16:uniqueId val="{00000003-AFCE-4A43-9596-21A401FAA51A}"/>
            </c:ext>
          </c:extLst>
        </c:ser>
        <c:ser>
          <c:idx val="4"/>
          <c:order val="4"/>
          <c:tx>
            <c:strRef>
              <c:f>'Cost per kWh saved'!$J$43</c:f>
              <c:strCache>
                <c:ptCount val="1"/>
                <c:pt idx="0">
                  <c:v>West Penn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saved'!$K$43:$Q$43</c:f>
              <c:numCache>
                <c:formatCode>_("$"* #,##0.00_);_("$"* \(#,##0.00\);_("$"* "-"??_);_(@_)</c:formatCode>
                <c:ptCount val="7"/>
                <c:pt idx="0">
                  <c:v>1.168520616095321</c:v>
                </c:pt>
                <c:pt idx="1">
                  <c:v>0.11906533520729314</c:v>
                </c:pt>
                <c:pt idx="2">
                  <c:v>0.10288145416843066</c:v>
                </c:pt>
                <c:pt idx="3">
                  <c:v>7.8740413306707821E-2</c:v>
                </c:pt>
                <c:pt idx="4">
                  <c:v>0.11898483483288035</c:v>
                </c:pt>
                <c:pt idx="5">
                  <c:v>9.1741461971334051E-2</c:v>
                </c:pt>
                <c:pt idx="6">
                  <c:v>8.0878908407383279E-2</c:v>
                </c:pt>
              </c:numCache>
            </c:numRef>
          </c:yVal>
          <c:smooth val="0"/>
          <c:extLst>
            <c:ext xmlns:c16="http://schemas.microsoft.com/office/drawing/2014/chart" uri="{C3380CC4-5D6E-409C-BE32-E72D297353CC}">
              <c16:uniqueId val="{00000004-AFCE-4A43-9596-21A401FAA51A}"/>
            </c:ext>
          </c:extLst>
        </c:ser>
        <c:ser>
          <c:idx val="5"/>
          <c:order val="5"/>
          <c:tx>
            <c:strRef>
              <c:f>'Cost per kWh saved'!$J$44</c:f>
              <c:strCache>
                <c:ptCount val="1"/>
                <c:pt idx="0">
                  <c:v>PECO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saved'!$K$44:$Q$44</c:f>
              <c:numCache>
                <c:formatCode>_("$"* #,##0.00_);_("$"* \(#,##0.00\);_("$"* "-"??_);_(@_)</c:formatCode>
                <c:ptCount val="7"/>
                <c:pt idx="0">
                  <c:v>6.9134052716881347E-2</c:v>
                </c:pt>
                <c:pt idx="1">
                  <c:v>0.11747577748507955</c:v>
                </c:pt>
                <c:pt idx="2">
                  <c:v>0.20833004652874967</c:v>
                </c:pt>
                <c:pt idx="3">
                  <c:v>0.29244328946475995</c:v>
                </c:pt>
                <c:pt idx="4">
                  <c:v>0.15807441885303922</c:v>
                </c:pt>
                <c:pt idx="5">
                  <c:v>0.29733063806937277</c:v>
                </c:pt>
                <c:pt idx="6">
                  <c:v>0.18512870302140971</c:v>
                </c:pt>
              </c:numCache>
            </c:numRef>
          </c:yVal>
          <c:smooth val="0"/>
          <c:extLst>
            <c:ext xmlns:c16="http://schemas.microsoft.com/office/drawing/2014/chart" uri="{C3380CC4-5D6E-409C-BE32-E72D297353CC}">
              <c16:uniqueId val="{00000005-AFCE-4A43-9596-21A401FAA51A}"/>
            </c:ext>
          </c:extLst>
        </c:ser>
        <c:ser>
          <c:idx val="6"/>
          <c:order val="6"/>
          <c:tx>
            <c:strRef>
              <c:f>'Cost per kWh saved'!$J$45</c:f>
              <c:strCache>
                <c:ptCount val="1"/>
                <c:pt idx="0">
                  <c:v>PPL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saved'!$K$45:$Q$45</c:f>
              <c:numCache>
                <c:formatCode>_("$"* #,##0.00_);_("$"* \(#,##0.00\);_("$"* "-"??_);_(@_)</c:formatCode>
                <c:ptCount val="7"/>
                <c:pt idx="0">
                  <c:v>6.2801974128265048E-2</c:v>
                </c:pt>
                <c:pt idx="1">
                  <c:v>5.784507834718939E-2</c:v>
                </c:pt>
                <c:pt idx="2">
                  <c:v>0.10405809655982033</c:v>
                </c:pt>
                <c:pt idx="3">
                  <c:v>4.7232859786598226E-2</c:v>
                </c:pt>
                <c:pt idx="4">
                  <c:v>0.1508814297335016</c:v>
                </c:pt>
                <c:pt idx="5">
                  <c:v>0.18343505628938767</c:v>
                </c:pt>
                <c:pt idx="6">
                  <c:v>0.20707906505657736</c:v>
                </c:pt>
              </c:numCache>
            </c:numRef>
          </c:yVal>
          <c:smooth val="0"/>
          <c:extLst>
            <c:ext xmlns:c16="http://schemas.microsoft.com/office/drawing/2014/chart" uri="{C3380CC4-5D6E-409C-BE32-E72D297353CC}">
              <c16:uniqueId val="{00000006-AFCE-4A43-9596-21A401FAA51A}"/>
            </c:ext>
          </c:extLst>
        </c:ser>
        <c:dLbls>
          <c:showLegendKey val="0"/>
          <c:showVal val="0"/>
          <c:showCatName val="0"/>
          <c:showSerName val="0"/>
          <c:showPercent val="0"/>
          <c:showBubbleSize val="0"/>
        </c:dLbls>
        <c:axId val="157054848"/>
        <c:axId val="157057024"/>
      </c:scatterChart>
      <c:valAx>
        <c:axId val="157054848"/>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57024"/>
        <c:crosses val="autoZero"/>
        <c:crossBetween val="midCat"/>
      </c:valAx>
      <c:valAx>
        <c:axId val="15705702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548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'Cost per kWh saved'!$AK$39</c:f>
              <c:strCache>
                <c:ptCount val="1"/>
                <c:pt idx="0">
                  <c:v>Duquesne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saved'!$AL$39:$AR$39</c:f>
              <c:numCache>
                <c:formatCode>_("$"* #,##0.00_);_("$"* \(#,##0.00\);_("$"* "-"??_);_(@_)</c:formatCode>
                <c:ptCount val="7"/>
                <c:pt idx="0" formatCode="_(&quot;$&quot;* #,##0_);_(&quot;$&quot;* \(#,##0\);_(&quot;$&quot;* &quot;-&quot;??_);_(@_)">
                  <c:v>0</c:v>
                </c:pt>
                <c:pt idx="1">
                  <c:v>0.11061773236750576</c:v>
                </c:pt>
                <c:pt idx="2">
                  <c:v>0.29171163362123442</c:v>
                </c:pt>
                <c:pt idx="3">
                  <c:v>0.10546151085692021</c:v>
                </c:pt>
                <c:pt idx="4">
                  <c:v>0.11135509095258091</c:v>
                </c:pt>
                <c:pt idx="5">
                  <c:v>0.18700646684288397</c:v>
                </c:pt>
                <c:pt idx="6">
                  <c:v>0.12565814641922071</c:v>
                </c:pt>
              </c:numCache>
            </c:numRef>
          </c:yVal>
          <c:smooth val="0"/>
          <c:extLst>
            <c:ext xmlns:c16="http://schemas.microsoft.com/office/drawing/2014/chart" uri="{C3380CC4-5D6E-409C-BE32-E72D297353CC}">
              <c16:uniqueId val="{00000000-3BBC-4048-9FE2-D87AAE886CA1}"/>
            </c:ext>
          </c:extLst>
        </c:ser>
        <c:ser>
          <c:idx val="1"/>
          <c:order val="1"/>
          <c:tx>
            <c:strRef>
              <c:f>'Cost per kWh saved'!$AK$40</c:f>
              <c:strCache>
                <c:ptCount val="1"/>
                <c:pt idx="0">
                  <c:v>Met 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saved'!$AL$40:$AR$40</c:f>
              <c:numCache>
                <c:formatCode>_("$"* #,##0.00_);_("$"* \(#,##0.00\);_("$"* "-"??_);_(@_)</c:formatCode>
                <c:ptCount val="7"/>
                <c:pt idx="0">
                  <c:v>0.17202379192593867</c:v>
                </c:pt>
                <c:pt idx="1">
                  <c:v>0.15253594165015388</c:v>
                </c:pt>
                <c:pt idx="2">
                  <c:v>8.8970043703303331E-2</c:v>
                </c:pt>
                <c:pt idx="3">
                  <c:v>9.4759907406681235E-2</c:v>
                </c:pt>
                <c:pt idx="4">
                  <c:v>0.12992795970145493</c:v>
                </c:pt>
                <c:pt idx="5">
                  <c:v>0.12749976213821412</c:v>
                </c:pt>
                <c:pt idx="6">
                  <c:v>0.11822782025191134</c:v>
                </c:pt>
              </c:numCache>
            </c:numRef>
          </c:yVal>
          <c:smooth val="0"/>
          <c:extLst>
            <c:ext xmlns:c16="http://schemas.microsoft.com/office/drawing/2014/chart" uri="{C3380CC4-5D6E-409C-BE32-E72D297353CC}">
              <c16:uniqueId val="{00000001-3BBC-4048-9FE2-D87AAE886CA1}"/>
            </c:ext>
          </c:extLst>
        </c:ser>
        <c:ser>
          <c:idx val="2"/>
          <c:order val="2"/>
          <c:tx>
            <c:strRef>
              <c:f>'Cost per kWh saved'!$AK$41</c:f>
              <c:strCache>
                <c:ptCount val="1"/>
                <c:pt idx="0">
                  <c:v>Penelec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saved'!$AL$41:$AR$41</c:f>
              <c:numCache>
                <c:formatCode>_("$"* #,##0.00_);_("$"* \(#,##0.00\);_("$"* "-"??_);_(@_)</c:formatCode>
                <c:ptCount val="7"/>
                <c:pt idx="0">
                  <c:v>0.33244037467288268</c:v>
                </c:pt>
                <c:pt idx="1">
                  <c:v>4.0443142582416096E-2</c:v>
                </c:pt>
                <c:pt idx="2">
                  <c:v>0.11433355424135572</c:v>
                </c:pt>
                <c:pt idx="3">
                  <c:v>0.13518168977116682</c:v>
                </c:pt>
                <c:pt idx="4">
                  <c:v>0.14314923532743692</c:v>
                </c:pt>
                <c:pt idx="5">
                  <c:v>0.10444104920813288</c:v>
                </c:pt>
                <c:pt idx="6">
                  <c:v>9.6028870117138523E-2</c:v>
                </c:pt>
              </c:numCache>
            </c:numRef>
          </c:yVal>
          <c:smooth val="0"/>
          <c:extLst>
            <c:ext xmlns:c16="http://schemas.microsoft.com/office/drawing/2014/chart" uri="{C3380CC4-5D6E-409C-BE32-E72D297353CC}">
              <c16:uniqueId val="{00000002-3BBC-4048-9FE2-D87AAE886CA1}"/>
            </c:ext>
          </c:extLst>
        </c:ser>
        <c:ser>
          <c:idx val="3"/>
          <c:order val="3"/>
          <c:tx>
            <c:strRef>
              <c:f>'Cost per kWh saved'!$AK$42</c:f>
              <c:strCache>
                <c:ptCount val="1"/>
                <c:pt idx="0">
                  <c:v>Penn Power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saved'!$AL$42:$AR$42</c:f>
              <c:numCache>
                <c:formatCode>_("$"* #,##0.00_);_("$"* \(#,##0.00\);_("$"* "-"??_);_(@_)</c:formatCode>
                <c:ptCount val="7"/>
                <c:pt idx="0">
                  <c:v>0.46321672226638094</c:v>
                </c:pt>
                <c:pt idx="1">
                  <c:v>0.11295445163065916</c:v>
                </c:pt>
                <c:pt idx="2">
                  <c:v>5.7125831660037152E-2</c:v>
                </c:pt>
                <c:pt idx="3">
                  <c:v>0.11643396796461908</c:v>
                </c:pt>
                <c:pt idx="4">
                  <c:v>0.1690393741182506</c:v>
                </c:pt>
                <c:pt idx="5">
                  <c:v>6.5718790143641251E-2</c:v>
                </c:pt>
                <c:pt idx="6">
                  <c:v>0.13071528751753156</c:v>
                </c:pt>
              </c:numCache>
            </c:numRef>
          </c:yVal>
          <c:smooth val="0"/>
          <c:extLst>
            <c:ext xmlns:c16="http://schemas.microsoft.com/office/drawing/2014/chart" uri="{C3380CC4-5D6E-409C-BE32-E72D297353CC}">
              <c16:uniqueId val="{00000003-3BBC-4048-9FE2-D87AAE886CA1}"/>
            </c:ext>
          </c:extLst>
        </c:ser>
        <c:ser>
          <c:idx val="4"/>
          <c:order val="4"/>
          <c:tx>
            <c:strRef>
              <c:f>'Cost per kWh saved'!$AK$43</c:f>
              <c:strCache>
                <c:ptCount val="1"/>
                <c:pt idx="0">
                  <c:v>West Penn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saved'!$AL$43:$AR$43</c:f>
              <c:numCache>
                <c:formatCode>_("$"* #,##0.00_);_("$"* \(#,##0.00\);_("$"* "-"??_);_(@_)</c:formatCode>
                <c:ptCount val="7"/>
                <c:pt idx="0">
                  <c:v>0.89758284985267811</c:v>
                </c:pt>
                <c:pt idx="1">
                  <c:v>0.11898437114198109</c:v>
                </c:pt>
                <c:pt idx="2">
                  <c:v>5.4057536070351395E-2</c:v>
                </c:pt>
                <c:pt idx="3">
                  <c:v>0.11320342937058966</c:v>
                </c:pt>
                <c:pt idx="4">
                  <c:v>0.17251155842064639</c:v>
                </c:pt>
                <c:pt idx="5">
                  <c:v>0.10067337478237764</c:v>
                </c:pt>
                <c:pt idx="6">
                  <c:v>0.10645821795255368</c:v>
                </c:pt>
              </c:numCache>
            </c:numRef>
          </c:yVal>
          <c:smooth val="0"/>
          <c:extLst>
            <c:ext xmlns:c16="http://schemas.microsoft.com/office/drawing/2014/chart" uri="{C3380CC4-5D6E-409C-BE32-E72D297353CC}">
              <c16:uniqueId val="{00000004-3BBC-4048-9FE2-D87AAE886CA1}"/>
            </c:ext>
          </c:extLst>
        </c:ser>
        <c:ser>
          <c:idx val="5"/>
          <c:order val="5"/>
          <c:tx>
            <c:strRef>
              <c:f>'Cost per kWh saved'!$AK$44</c:f>
              <c:strCache>
                <c:ptCount val="1"/>
                <c:pt idx="0">
                  <c:v>PECO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saved'!$AL$44:$AR$44</c:f>
              <c:numCache>
                <c:formatCode>_("$"* #,##0.00_);_("$"* \(#,##0.00\);_("$"* "-"??_);_(@_)</c:formatCode>
                <c:ptCount val="7"/>
                <c:pt idx="0">
                  <c:v>0.16603215044744488</c:v>
                </c:pt>
                <c:pt idx="1">
                  <c:v>0.15755647877895063</c:v>
                </c:pt>
                <c:pt idx="2">
                  <c:v>0.16965006640208136</c:v>
                </c:pt>
                <c:pt idx="3">
                  <c:v>0.18448985403723597</c:v>
                </c:pt>
                <c:pt idx="4">
                  <c:v>0.19103132593586825</c:v>
                </c:pt>
                <c:pt idx="5">
                  <c:v>0.15656335780282987</c:v>
                </c:pt>
                <c:pt idx="6">
                  <c:v>0.14119855626677427</c:v>
                </c:pt>
              </c:numCache>
            </c:numRef>
          </c:yVal>
          <c:smooth val="0"/>
          <c:extLst>
            <c:ext xmlns:c16="http://schemas.microsoft.com/office/drawing/2014/chart" uri="{C3380CC4-5D6E-409C-BE32-E72D297353CC}">
              <c16:uniqueId val="{00000005-3BBC-4048-9FE2-D87AAE886CA1}"/>
            </c:ext>
          </c:extLst>
        </c:ser>
        <c:ser>
          <c:idx val="6"/>
          <c:order val="6"/>
          <c:tx>
            <c:strRef>
              <c:f>'Cost per kWh saved'!$AK$45</c:f>
              <c:strCache>
                <c:ptCount val="1"/>
                <c:pt idx="0">
                  <c:v>PPL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saved'!$AL$45:$AR$45</c:f>
              <c:numCache>
                <c:formatCode>_("$"* #,##0.00_);_("$"* \(#,##0.00\);_("$"* "-"??_);_(@_)</c:formatCode>
                <c:ptCount val="7"/>
                <c:pt idx="0">
                  <c:v>8.596524154258825E-2</c:v>
                </c:pt>
                <c:pt idx="1">
                  <c:v>0.13093075838183843</c:v>
                </c:pt>
                <c:pt idx="2">
                  <c:v>0.16540280478496158</c:v>
                </c:pt>
                <c:pt idx="3">
                  <c:v>0.12841057097291866</c:v>
                </c:pt>
                <c:pt idx="4">
                  <c:v>0.19345082596777174</c:v>
                </c:pt>
                <c:pt idx="5">
                  <c:v>0.25533437883210924</c:v>
                </c:pt>
                <c:pt idx="6">
                  <c:v>0.17613828545874691</c:v>
                </c:pt>
              </c:numCache>
            </c:numRef>
          </c:yVal>
          <c:smooth val="0"/>
          <c:extLst>
            <c:ext xmlns:c16="http://schemas.microsoft.com/office/drawing/2014/chart" uri="{C3380CC4-5D6E-409C-BE32-E72D297353CC}">
              <c16:uniqueId val="{00000006-3BBC-4048-9FE2-D87AAE886CA1}"/>
            </c:ext>
          </c:extLst>
        </c:ser>
        <c:dLbls>
          <c:showLegendKey val="0"/>
          <c:showVal val="0"/>
          <c:showCatName val="0"/>
          <c:showSerName val="0"/>
          <c:showPercent val="0"/>
          <c:showBubbleSize val="0"/>
        </c:dLbls>
        <c:axId val="158630272"/>
        <c:axId val="158632192"/>
      </c:scatterChart>
      <c:valAx>
        <c:axId val="158630272"/>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32192"/>
        <c:crosses val="autoZero"/>
        <c:crossBetween val="midCat"/>
      </c:valAx>
      <c:valAx>
        <c:axId val="1586321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302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0.xml><?xml version="1.0" encoding="utf-8"?>
<ct:contentTypeSchema xmlns:ct="http://schemas.microsoft.com/office/2006/metadata/contentType" xmlns:ma="http://schemas.microsoft.com/office/2006/metadata/properties/metaAttributes" ct:_="" ma:_="" ma:contentTypeName="Document" ma:contentTypeID="0x010100C3E29E77B9252E479D6555829308CE44" ma:contentTypeVersion="1" ma:contentTypeDescription="Create a new document." ma:contentTypeScope="" ma:versionID="a17e202491c4f1ae843e2b52e00fda77">
  <xsd:schema xmlns:xsd="http://www.w3.org/2001/XMLSchema" xmlns:xs="http://www.w3.org/2001/XMLSchema" xmlns:p="http://schemas.microsoft.com/office/2006/metadata/properties" xmlns:ns3="e79cddb6-1a21-4398-93ba-37305383a5d2" targetNamespace="http://schemas.microsoft.com/office/2006/metadata/properties" ma:root="true" ma:fieldsID="3a6897c49a6edb849a42d30ae191f7fe" ns3:_="">
    <xsd:import namespace="e79cddb6-1a21-4398-93ba-37305383a5d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cddb6-1a21-4398-93ba-37305383a5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Management Document" ma:contentTypeID="0x010100B80CB6684E0D2F408D230F308CBB847F030100EDBA48905719544C8C0376F1E319619D" ma:contentTypeVersion="47" ma:contentTypeDescription="" ma:contentTypeScope="" ma:versionID="22bf0d598f49adc434e2df21f222411f">
  <xsd:schema xmlns:xsd="http://www.w3.org/2001/XMLSchema" xmlns:xs="http://www.w3.org/2001/XMLSchema" xmlns:p="http://schemas.microsoft.com/office/2006/metadata/properties" xmlns:ns1="http://schemas.microsoft.com/sharepoint/v3" xmlns:ns2="dc75c247-7f53-4913-864a-4160aff1c458" xmlns:ns3="2c23877a-4614-45c3-aa1c-959b7d1f31e5" targetNamespace="http://schemas.microsoft.com/office/2006/metadata/properties" ma:root="true" ma:fieldsID="03afb983f62c23a484fafb9d965ecf9f" ns1:_="" ns2:_="" ns3:_="">
    <xsd:import namespace="http://schemas.microsoft.com/sharepoint/v3"/>
    <xsd:import namespace="dc75c247-7f53-4913-864a-4160aff1c458"/>
    <xsd:import namespace="2c23877a-4614-45c3-aa1c-959b7d1f31e5"/>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WorkLead" minOccurs="0"/>
                <xsd:element ref="ns2:RetentionExemption" minOccurs="0"/>
                <xsd:element ref="ns1:DocumentSetDescription" minOccurs="0"/>
                <xsd:element ref="ns3:Program_x0020_Name" minOccurs="0"/>
                <xsd:element ref="ns3:Subprogram" minOccurs="0"/>
                <xsd:element ref="ns3:Program_x0020_Year" minOccurs="0"/>
                <xsd:element ref="ns3:Progam_x0020_Quarter" minOccurs="0"/>
                <xsd:element ref="ns3:Document_x0020_Type" minOccurs="0"/>
                <xsd:element ref="ns3:Sent_x0020_to_x0020_PPL" minOccurs="0"/>
                <xsd:element ref="ns3:Sent_x0020_to_x0020_SWE"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element ref="ns2:a6be725d576043378de6f214f0e78ee4" minOccurs="0"/>
                <xsd:element ref="ns2:od8879f902fd47c7bc2aee162c9e5240" minOccurs="0"/>
                <xsd:element ref="ns2:j996553e0ae54d4984db0606efb6351c" minOccurs="0"/>
                <xsd:element ref="ns2:if0a8aeaad58489cbaf27eea2233913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5"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internalName="PhaseName">
      <xsd:simpleType>
        <xsd:restriction base="dms:Text">
          <xsd:maxLength value="255"/>
        </xsd:restriction>
      </xsd:simpleType>
    </xsd:element>
    <xsd:element name="ProjectName" ma:index="2" nillable="true" ma:displayName="Project Name" ma:default="PPL"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internalName="ProjectTOWAName">
      <xsd:simpleType>
        <xsd:restriction base="dms:Text">
          <xsd:maxLength value="255"/>
        </xsd:restriction>
      </xsd:simpleType>
    </xsd:element>
    <xsd:element name="ContractName" ma:index="12" nillable="true" ma:displayName="Contract Name" ma:default="PPL"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6501" ma:internalName="ContractCostPointNumber">
      <xsd:simpleType>
        <xsd:restriction base="dms:Text">
          <xsd:maxLength value="255"/>
        </xsd:restriction>
      </xsd:simpleType>
    </xsd:element>
    <xsd:element name="ProjectTask" ma:index="18" nillable="true" ma:displayName="Project Task" ma:default="Not in Use" ma:format="Dropdown"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WorkLead" ma:index="20"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1" nillable="true" ma:displayName="Retention Exemption" ma:default="false" ma:description="Does this item is exempt to retention policies?" ma:format="Dropdown" ma:internalName="RetentionExemption" ma:readOnly="false">
      <xsd:simpleType>
        <xsd:restriction base="dms:Choice">
          <xsd:enumeration value="true"/>
          <xsd:enumeration value="false"/>
        </xsd:restriction>
      </xsd:simpleType>
    </xsd:element>
    <xsd:element name="f579045f93c34d4baadb74be2d3a98b1" ma:index="33"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4" nillable="true" ma:taxonomy="true" ma:internalName="m5f81a6254e44a55996bb6356c849e0c" ma:taxonomyFieldName="WorkType" ma:displayName="Work Typ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7"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8"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39"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0" nillable="true" ma:taxonomy="true" ma:internalName="a6d0b0f5ac9d4fa8b2e660c59fbea416" ma:taxonomyFieldName="ContractDivisions" ma:displayName="Contract Division(s)" ma:default="8;#Energy Services Division|ac451375-62f5-4129-b29d-db3d87339092"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1" nillable="true" ma:displayName="Taxonomy Catch All Column" ma:hidden="true" ma:list="{ea729eb8-9a4c-49eb-9478-9c1f052d2a2a}" ma:internalName="TaxCatchAll" ma:showField="CatchAllData" ma:web="b0bdd035-b494-4377-8c7f-66e41ef19286">
      <xsd:complexType>
        <xsd:complexContent>
          <xsd:extension base="dms:MultiChoiceLookup">
            <xsd:sequence>
              <xsd:element name="Value" type="dms:Lookup" maxOccurs="unbounded" minOccurs="0" nillable="true"/>
            </xsd:sequence>
          </xsd:extension>
        </xsd:complexContent>
      </xsd:complexType>
    </xsd:element>
    <xsd:element name="TaxCatchAllLabel" ma:index="42" nillable="true" ma:displayName="Taxonomy Catch All Column1" ma:hidden="true" ma:list="{ea729eb8-9a4c-49eb-9478-9c1f052d2a2a}" ma:internalName="TaxCatchAllLabel" ma:readOnly="true" ma:showField="CatchAllDataLabel" ma:web="b0bdd035-b494-4377-8c7f-66e41ef19286">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4"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a6be725d576043378de6f214f0e78ee4" ma:index="4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4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4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51"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23877a-4614-45c3-aa1c-959b7d1f31e5" elementFormDefault="qualified">
    <xsd:import namespace="http://schemas.microsoft.com/office/2006/documentManagement/types"/>
    <xsd:import namespace="http://schemas.microsoft.com/office/infopath/2007/PartnerControls"/>
    <xsd:element name="Program_x0020_Name" ma:index="26" nillable="true" ma:displayName="Program Name" ma:default="N/A" ma:description="Choose Program Name" ma:format="Dropdown" ma:indexed="true" ma:internalName="Program_x0020_Name">
      <xsd:simpleType>
        <xsd:restriction base="dms:Choice">
          <xsd:enumeration value="N/A"/>
          <xsd:enumeration value="ARP"/>
          <xsd:enumeration value="CEI"/>
          <xsd:enumeration value="Custom"/>
          <xsd:enumeration value="E-Power Wise"/>
          <xsd:enumeration value="LI EE Behavior and Ed"/>
          <xsd:enumeration value="LI WRAP"/>
          <xsd:enumeration value="MMMF"/>
          <xsd:enumeration value="Res EE Behavior and Ed"/>
          <xsd:enumeration value="RHC"/>
          <xsd:enumeration value="Prescriptive Equipment"/>
          <xsd:enumeration value="Residential Retail"/>
          <xsd:enumeration value="School Benchmarking"/>
          <xsd:enumeration value="Student and Parent Ed"/>
        </xsd:restriction>
      </xsd:simpleType>
    </xsd:element>
    <xsd:element name="Subprogram" ma:index="27" nillable="true" ma:displayName="Program Component" ma:default="N/A" ma:description="If applicable, add program component" ma:format="Dropdown" ma:internalName="Subprogram">
      <xsd:simpleType>
        <xsd:restriction base="dms:Choice">
          <xsd:enumeration value="N/A"/>
          <xsd:enumeration value="Lighting"/>
          <xsd:enumeration value="Non-Lighting"/>
          <xsd:enumeration value="Upstream Lighting"/>
          <xsd:enumeration value="Equipment"/>
          <xsd:enumeration value="New Construction"/>
          <xsd:enumeration value="Audit"/>
          <xsd:enumeration value="Wx"/>
          <xsd:enumeration value="Manufactured Homes"/>
        </xsd:restriction>
      </xsd:simpleType>
    </xsd:element>
    <xsd:element name="Program_x0020_Year" ma:index="28" nillable="true" ma:displayName="Program Year" ma:default="N/A" ma:format="Dropdown" ma:internalName="Program_x0020_Year">
      <xsd:simpleType>
        <xsd:restriction base="dms:Choice">
          <xsd:enumeration value="N/A"/>
          <xsd:enumeration value="Phase II (overarching)"/>
          <xsd:enumeration value="PY5"/>
          <xsd:enumeration value="PY6"/>
          <xsd:enumeration value="PY7"/>
          <xsd:enumeration value="Phase I"/>
          <xsd:enumeration value="Phase III"/>
        </xsd:restriction>
      </xsd:simpleType>
    </xsd:element>
    <xsd:element name="Progam_x0020_Quarter" ma:index="29" nillable="true" ma:displayName="Progam Quarter" ma:default="N/A" ma:description="Enter Program Quarter (if relevant)" ma:format="Dropdown" ma:internalName="Progam_x0020_Quarter">
      <xsd:simpleType>
        <xsd:restriction base="dms:Choice">
          <xsd:enumeration value="N/A"/>
          <xsd:enumeration value="Q1"/>
          <xsd:enumeration value="Q2"/>
          <xsd:enumeration value="Q3"/>
          <xsd:enumeration value="Q4"/>
        </xsd:restriction>
      </xsd:simpleType>
    </xsd:element>
    <xsd:element name="Document_x0020_Type" ma:index="30" nillable="true" ma:displayName="Document Type" ma:format="Dropdown" ma:internalName="Document_x0020_Type">
      <xsd:simpleType>
        <xsd:restriction base="dms:Choice">
          <xsd:enumeration value="Impact Report"/>
          <xsd:enumeration value="Process Report"/>
          <xsd:enumeration value="Realization Rate Memo"/>
          <xsd:enumeration value="Survey"/>
          <xsd:enumeration value="Regulatory Document"/>
          <xsd:enumeration value="TRM"/>
          <xsd:enumeration value="IMP"/>
        </xsd:restriction>
      </xsd:simpleType>
    </xsd:element>
    <xsd:element name="Sent_x0020_to_x0020_PPL" ma:index="31" nillable="true" ma:displayName="Sent to PPL" ma:default="N/A" ma:format="Dropdown" ma:indexed="true" ma:internalName="Sent_x0020_to_x0020_PPL">
      <xsd:simpleType>
        <xsd:restriction base="dms:Choice">
          <xsd:enumeration value="Yes"/>
          <xsd:enumeration value="No"/>
          <xsd:enumeration value="N/A"/>
        </xsd:restriction>
      </xsd:simpleType>
    </xsd:element>
    <xsd:element name="Sent_x0020_to_x0020_SWE" ma:index="32" nillable="true" ma:displayName="Sent to SWE" ma:default="N/A" ma:description="Was this document sent to the SWE?" ma:format="Dropdown" ma:internalName="Sent_x0020_to_x0020_SWE">
      <xsd:simpleType>
        <xsd:restriction base="dms:Choice">
          <xsd:enumeration value="Yes"/>
          <xsd:enumeration value="No"/>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TOWAName xmlns="dc75c247-7f53-4913-864a-4160aff1c458" xsi:nil="true"/>
    <ContractName xmlns="dc75c247-7f53-4913-864a-4160aff1c458" xsi:nil="true"/>
    <Subprogram xmlns="2c23877a-4614-45c3-aa1c-959b7d1f31e5" xsi:nil="true"/>
    <ProjectTask xmlns="dc75c247-7f53-4913-864a-4160aff1c458" xsi:nil="true"/>
    <a6d0b0f5ac9d4fa8b2e660c59fbea416 xmlns="dc75c247-7f53-4913-864a-4160aff1c458">
      <Terms xmlns="http://schemas.microsoft.com/office/infopath/2007/PartnerControls">
        <TermInfo xmlns="http://schemas.microsoft.com/office/infopath/2007/PartnerControls">
          <TermName xmlns="http://schemas.microsoft.com/office/infopath/2007/PartnerControls">Energy Services Division</TermName>
          <TermId xmlns="http://schemas.microsoft.com/office/infopath/2007/PartnerControls">ac451375-62f5-4129-b29d-db3d87339092</TermId>
        </TermInfo>
      </Terms>
    </a6d0b0f5ac9d4fa8b2e660c59fbea416>
    <ProjectName xmlns="dc75c247-7f53-4913-864a-4160aff1c458" xsi:nil="true"/>
    <PhaseName xmlns="dc75c247-7f53-4913-864a-4160aff1c458" xsi:nil="true"/>
    <DocumentSetDescription xmlns="http://schemas.microsoft.com/sharepoint/v3" xsi:nil="true"/>
    <b5df6f1f3e23409d9f5e1fce19348e51 xmlns="dc75c247-7f53-4913-864a-4160aff1c458">
      <Terms xmlns="http://schemas.microsoft.com/office/infopath/2007/PartnerControls"/>
    </b5df6f1f3e23409d9f5e1fce19348e51>
    <if0a8aeaad58489cbaf27eea2233913d xmlns="dc75c247-7f53-4913-864a-4160aff1c458">
      <Terms xmlns="http://schemas.microsoft.com/office/infopath/2007/PartnerControls"/>
    </if0a8aeaad58489cbaf27eea2233913d>
    <Sent_x0020_to_x0020_PPL xmlns="2c23877a-4614-45c3-aa1c-959b7d1f31e5" xsi:nil="true"/>
    <ProjectOwner_PrincipalInvestigator xmlns="dc75c247-7f53-4913-864a-4160aff1c458">
      <UserInfo>
        <DisplayName/>
        <AccountId xsi:nil="true"/>
        <AccountType/>
      </UserInfo>
    </ProjectOwner_PrincipalInvestigator>
    <Sent_x0020_to_x0020_SWE xmlns="2c23877a-4614-45c3-aa1c-959b7d1f31e5" xsi:nil="true"/>
    <TaxCatchAll xmlns="dc75c247-7f53-4913-864a-4160aff1c458">
      <Value>8</Value>
    </TaxCatchAll>
    <Progam_x0020_Quarter xmlns="2c23877a-4614-45c3-aa1c-959b7d1f31e5" xsi:nil="true"/>
    <od8879f902fd47c7bc2aee162c9e5240 xmlns="dc75c247-7f53-4913-864a-4160aff1c458">
      <Terms xmlns="http://schemas.microsoft.com/office/infopath/2007/PartnerControls"/>
    </od8879f902fd47c7bc2aee162c9e5240>
    <TaxKeywordTaxHTField xmlns="dc75c247-7f53-4913-864a-4160aff1c458">
      <Terms xmlns="http://schemas.microsoft.com/office/infopath/2007/PartnerControls"/>
    </TaxKeywordTaxHTField>
    <ContractCostPointNumber xmlns="dc75c247-7f53-4913-864a-4160aff1c458" xsi:nil="true"/>
    <f579045f93c34d4baadb74be2d3a98b1 xmlns="dc75c247-7f53-4913-864a-4160aff1c458">
      <Terms xmlns="http://schemas.microsoft.com/office/infopath/2007/PartnerControls"/>
    </f579045f93c34d4baadb74be2d3a98b1>
    <Managers xmlns="dc75c247-7f53-4913-864a-4160aff1c458">
      <UserInfo>
        <DisplayName/>
        <AccountId xsi:nil="true"/>
        <AccountType/>
      </UserInfo>
    </Managers>
    <Program_x0020_Year xmlns="2c23877a-4614-45c3-aa1c-959b7d1f31e5" xsi:nil="true"/>
    <WorkLead xmlns="dc75c247-7f53-4913-864a-4160aff1c458">
      <UserInfo>
        <DisplayName/>
        <AccountId xsi:nil="true"/>
        <AccountType/>
      </UserInfo>
    </WorkLead>
    <RetentionExemption xmlns="dc75c247-7f53-4913-864a-4160aff1c458" xsi:nil="true"/>
    <m5f81a6254e44a55996bb6356c849e0c xmlns="dc75c247-7f53-4913-864a-4160aff1c458">
      <Terms xmlns="http://schemas.microsoft.com/office/infopath/2007/PartnerControls"/>
    </m5f81a6254e44a55996bb6356c849e0c>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862737f445746b494e2139aeb29e646 xmlns="dc75c247-7f53-4913-864a-4160aff1c458">
      <Terms xmlns="http://schemas.microsoft.com/office/infopath/2007/PartnerControls"/>
    </o862737f445746b494e2139aeb29e646>
    <Program_x0020_Name xmlns="2c23877a-4614-45c3-aa1c-959b7d1f31e5" xsi:nil="true"/>
    <Project_x0020_Period_x0020_of_x0020_Performance_x0020_Start_x0020_Date xmlns="dc75c247-7f53-4913-864a-4160aff1c458" xsi:nil="true"/>
    <g50616bc87614647a90e999144457760 xmlns="dc75c247-7f53-4913-864a-4160aff1c458">
      <Terms xmlns="http://schemas.microsoft.com/office/infopath/2007/PartnerControls"/>
    </g50616bc87614647a90e999144457760>
    <j996553e0ae54d4984db0606efb6351c xmlns="dc75c247-7f53-4913-864a-4160aff1c458">
      <Terms xmlns="http://schemas.microsoft.com/office/infopath/2007/PartnerControls"/>
    </j996553e0ae54d4984db0606efb6351c>
    <ContractNumber xmlns="dc75c247-7f53-4913-864a-4160aff1c458" xsi:nil="true"/>
    <Document_x0020_Type xmlns="2c23877a-4614-45c3-aa1c-959b7d1f31e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Management Document" ma:contentTypeID="0x010100B80CB6684E0D2F408D230F308CBB847F030100EDBA48905719544C8C0376F1E319619D" ma:contentTypeVersion="44" ma:contentTypeDescription="" ma:contentTypeScope="" ma:versionID="cd824ff1025058c7bd0557db2169facd">
  <xsd:schema xmlns:xsd="http://www.w3.org/2001/XMLSchema" xmlns:xs="http://www.w3.org/2001/XMLSchema" xmlns:p="http://schemas.microsoft.com/office/2006/metadata/properties" xmlns:ns1="http://schemas.microsoft.com/sharepoint/v3" xmlns:ns2="dc75c247-7f53-4913-864a-4160aff1c458" xmlns:ns3="2c23877a-4614-45c3-aa1c-959b7d1f31e5" targetNamespace="http://schemas.microsoft.com/office/2006/metadata/properties" ma:root="true" ma:fieldsID="b00ff98e503cdac5a1392d79d9196e02" ns1:_="" ns2:_="" ns3:_="">
    <xsd:import namespace="http://schemas.microsoft.com/sharepoint/v3"/>
    <xsd:import namespace="dc75c247-7f53-4913-864a-4160aff1c458"/>
    <xsd:import namespace="2c23877a-4614-45c3-aa1c-959b7d1f31e5"/>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WorkLead" minOccurs="0"/>
                <xsd:element ref="ns2:RetentionExemption" minOccurs="0"/>
                <xsd:element ref="ns1:DocumentSetDescription" minOccurs="0"/>
                <xsd:element ref="ns3:Program_x0020_Year" minOccurs="0"/>
                <xsd:element ref="ns3:Progam_x0020_Quarter" minOccurs="0"/>
                <xsd:element ref="ns3:Subprogram" minOccurs="0"/>
                <xsd:element ref="ns3:Program_x0020_Name" minOccurs="0"/>
                <xsd:element ref="ns3:Sent_x0020_to_x0020_PPL"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element ref="ns2:a6be725d576043378de6f214f0e78ee4" minOccurs="0"/>
                <xsd:element ref="ns2:od8879f902fd47c7bc2aee162c9e5240" minOccurs="0"/>
                <xsd:element ref="ns2:j996553e0ae54d4984db0606efb6351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5"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internalName="PhaseName">
      <xsd:simpleType>
        <xsd:restriction base="dms:Text">
          <xsd:maxLength value="255"/>
        </xsd:restriction>
      </xsd:simpleType>
    </xsd:element>
    <xsd:element name="ProjectName" ma:index="2" nillable="true" ma:displayName="Project Name" ma:default="PPL"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internalName="ProjectTOWAName">
      <xsd:simpleType>
        <xsd:restriction base="dms:Text">
          <xsd:maxLength value="255"/>
        </xsd:restriction>
      </xsd:simpleType>
    </xsd:element>
    <xsd:element name="ContractName" ma:index="12" nillable="true" ma:displayName="Contract Name" ma:default="PPL"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6501" ma:internalName="ContractCostPointNumber">
      <xsd:simpleType>
        <xsd:restriction base="dms:Text">
          <xsd:maxLength value="255"/>
        </xsd:restriction>
      </xsd:simpleType>
    </xsd:element>
    <xsd:element name="ProjectTask" ma:index="18" nillable="true" ma:displayName="Project Task" ma:default="Not in Use" ma:format="Dropdown"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WorkLead" ma:index="20"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1" nillable="true" ma:displayName="Retention Exemption" ma:default="false" ma:description="Does this item is exempt to retention policies?" ma:format="Dropdown" ma:internalName="RetentionExemption" ma:readOnly="false">
      <xsd:simpleType>
        <xsd:restriction base="dms:Choice">
          <xsd:enumeration value="true"/>
          <xsd:enumeration value="false"/>
        </xsd:restriction>
      </xsd:simpleType>
    </xsd:element>
    <xsd:element name="if0a8aeaad58489cbaf27eea2233913d" ma:index="31"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3"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4" nillable="true" ma:taxonomy="true" ma:internalName="m5f81a6254e44a55996bb6356c849e0c" ma:taxonomyFieldName="WorkType" ma:displayName="Work Typ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7"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8"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39"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0" nillable="true" ma:taxonomy="true" ma:internalName="a6d0b0f5ac9d4fa8b2e660c59fbea416" ma:taxonomyFieldName="ContractDivisions" ma:displayName="Contract Division(s)" ma:default="8;#Energy Services Division|ac451375-62f5-4129-b29d-db3d87339092"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1" nillable="true" ma:displayName="Taxonomy Catch All Column" ma:hidden="true" ma:list="{ea729eb8-9a4c-49eb-9478-9c1f052d2a2a}" ma:internalName="TaxCatchAll" ma:showField="CatchAllData" ma:web="b0bdd035-b494-4377-8c7f-66e41ef19286">
      <xsd:complexType>
        <xsd:complexContent>
          <xsd:extension base="dms:MultiChoiceLookup">
            <xsd:sequence>
              <xsd:element name="Value" type="dms:Lookup" maxOccurs="unbounded" minOccurs="0" nillable="true"/>
            </xsd:sequence>
          </xsd:extension>
        </xsd:complexContent>
      </xsd:complexType>
    </xsd:element>
    <xsd:element name="TaxCatchAllLabel" ma:index="42" nillable="true" ma:displayName="Taxonomy Catch All Column1" ma:hidden="true" ma:list="{ea729eb8-9a4c-49eb-9478-9c1f052d2a2a}" ma:internalName="TaxCatchAllLabel" ma:readOnly="true" ma:showField="CatchAllDataLabel" ma:web="b0bdd035-b494-4377-8c7f-66e41ef19286">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4"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a6be725d576043378de6f214f0e78ee4" ma:index="4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4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4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23877a-4614-45c3-aa1c-959b7d1f31e5" elementFormDefault="qualified">
    <xsd:import namespace="http://schemas.microsoft.com/office/2006/documentManagement/types"/>
    <xsd:import namespace="http://schemas.microsoft.com/office/infopath/2007/PartnerControls"/>
    <xsd:element name="Program_x0020_Year" ma:index="26" nillable="true" ma:displayName="Program Year" ma:default="N/A" ma:format="Dropdown" ma:internalName="Program_x0020_Year">
      <xsd:simpleType>
        <xsd:restriction base="dms:Choice">
          <xsd:enumeration value="N/A"/>
          <xsd:enumeration value="Phase II (overarching)"/>
          <xsd:enumeration value="PY5"/>
          <xsd:enumeration value="PY6"/>
          <xsd:enumeration value="PY7"/>
          <xsd:enumeration value="Phase I"/>
          <xsd:enumeration value="Phase III"/>
        </xsd:restriction>
      </xsd:simpleType>
    </xsd:element>
    <xsd:element name="Progam_x0020_Quarter" ma:index="27" nillable="true" ma:displayName="Progam Quarter" ma:default="N/A" ma:description="Enter Program Quarter (if relevant)" ma:format="Dropdown" ma:internalName="Progam_x0020_Quarter">
      <xsd:simpleType>
        <xsd:restriction base="dms:Choice">
          <xsd:enumeration value="N/A"/>
          <xsd:enumeration value="Q1"/>
          <xsd:enumeration value="Q2"/>
          <xsd:enumeration value="Q3"/>
          <xsd:enumeration value="Q4"/>
        </xsd:restriction>
      </xsd:simpleType>
    </xsd:element>
    <xsd:element name="Subprogram" ma:index="28" nillable="true" ma:displayName="Subprogram" ma:default="N/A" ma:description="If applicable, add program subsection" ma:format="Dropdown" ma:internalName="Subprogram">
      <xsd:simpleType>
        <xsd:restriction base="dms:Choice">
          <xsd:enumeration value="N/A"/>
          <xsd:enumeration value="Lighting"/>
          <xsd:enumeration value="Non-Lighting"/>
          <xsd:enumeration value="Upstream Lighting"/>
          <xsd:enumeration value="Equipment"/>
          <xsd:enumeration value="New Construction"/>
          <xsd:enumeration value="Audit"/>
          <xsd:enumeration value="Wx"/>
          <xsd:enumeration value="Manufactured Homes"/>
        </xsd:restriction>
      </xsd:simpleType>
    </xsd:element>
    <xsd:element name="Program_x0020_Name" ma:index="29" nillable="true" ma:displayName="Program Name" ma:default="N/A" ma:description="Choose Program Name" ma:format="Dropdown" ma:internalName="Program_x0020_Name">
      <xsd:simpleType>
        <xsd:restriction base="dms:Choice">
          <xsd:enumeration value="N/A"/>
          <xsd:enumeration value="ARP"/>
          <xsd:enumeration value="CEI"/>
          <xsd:enumeration value="Custom"/>
          <xsd:enumeration value="E-Power Wise"/>
          <xsd:enumeration value="LI EE Behavior &amp; Ed"/>
          <xsd:enumeration value="LI WRAP"/>
          <xsd:enumeration value="MMMF"/>
          <xsd:enumeration value="Res EE Behavior &amp; Ed"/>
          <xsd:enumeration value="RHC"/>
          <xsd:enumeration value="Prescriptive Equipment"/>
          <xsd:enumeration value="Residential Retail"/>
          <xsd:enumeration value="School Benchmarking"/>
          <xsd:enumeration value="Student &amp; Parent Ed"/>
        </xsd:restriction>
      </xsd:simpleType>
    </xsd:element>
    <xsd:element name="Sent_x0020_to_x0020_PPL" ma:index="30" nillable="true" ma:displayName="Sent to PPL" ma:default="N/A" ma:format="Dropdown" ma:indexed="true" ma:internalName="Sent_x0020_to_x0020_PPL">
      <xsd:simpleType>
        <xsd:restriction base="dms:Choice">
          <xsd:enumeration value="Yes"/>
          <xsd:enumeration value="No"/>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DD1ACD3CB4E6F744A002FE9E5CDCF003" ma:contentTypeVersion="0" ma:contentTypeDescription="Create a new document." ma:contentTypeScope="" ma:versionID="ec3aa9e80f1b638380f960e8dadcec0c">
  <xsd:schema xmlns:xsd="http://www.w3.org/2001/XMLSchema" xmlns:xs="http://www.w3.org/2001/XMLSchema" xmlns:p="http://schemas.microsoft.com/office/2006/metadata/properties" xmlns:ns2="76059afc-c722-48ca-b88e-93295ebc05e6" targetNamespace="http://schemas.microsoft.com/office/2006/metadata/properties" ma:root="true" ma:fieldsID="16eba63b232b938d8cb972c7fa430a7a" ns2:_="">
    <xsd:import namespace="76059afc-c722-48ca-b88e-93295ebc05e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59afc-c722-48ca-b88e-93295ebc05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Subprogram xmlns="2c23877a-4614-45c3-aa1c-959b7d1f31e5">N/A</Subprogram>
    <Progam_x0020_Quarter xmlns="2c23877a-4614-45c3-aa1c-959b7d1f31e5">N/A</Progam_x0020_Quarter>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 xsi:nil="tru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DocumentSetDescription xmlns="http://schemas.microsoft.com/sharepoint/v3" xsi:nil="true"/>
    <Sent_x0020_to_x0020_PPL xmlns="2c23877a-4614-45c3-aa1c-959b7d1f31e5">N/A</Sent_x0020_to_x0020_PPL>
    <Program_x0020_Year xmlns="2c23877a-4614-45c3-aa1c-959b7d1f31e5">N/A</Program_x0020_Year>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Value>8</Value>
    </TaxCatchAll>
    <Program_x0020_Name xmlns="2c23877a-4614-45c3-aa1c-959b7d1f31e5">N/A</Program_x0020_Name>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PPL</ContractName>
    <ContractNumber xmlns="dc75c247-7f53-4913-864a-4160aff1c458" xsi:nil="true"/>
    <a6d0b0f5ac9d4fa8b2e660c59fbea416 xmlns="dc75c247-7f53-4913-864a-4160aff1c458">
      <Terms xmlns="http://schemas.microsoft.com/office/infopath/2007/PartnerControls">
        <TermInfo xmlns="http://schemas.microsoft.com/office/infopath/2007/PartnerControls">
          <TermName xmlns="http://schemas.microsoft.com/office/infopath/2007/PartnerControls">Energy Services Division</TermName>
          <TermId xmlns="http://schemas.microsoft.com/office/infopath/2007/PartnerControls">ac451375-62f5-4129-b29d-db3d87339092</TermId>
        </TermInfo>
      </Terms>
    </a6d0b0f5ac9d4fa8b2e660c59fbea416>
    <ProjectOwner_PrincipalInvestigator xmlns="dc75c247-7f53-4913-864a-4160aff1c458">
      <UserInfo>
        <DisplayName/>
        <AccountId xsi:nil="true"/>
        <AccountType/>
      </UserInfo>
    </ProjectOwner_PrincipalInvestigator>
    <ContractCostPointNumber xmlns="dc75c247-7f53-4913-864a-4160aff1c458">6501</ContractCostPointNumber>
    <f579045f93c34d4baadb74be2d3a98b1 xmlns="dc75c247-7f53-4913-864a-4160aff1c458">
      <Terms xmlns="http://schemas.microsoft.com/office/infopath/2007/PartnerControls"/>
    </f579045f93c34d4baadb74be2d3a98b1>
    <ProjectName xmlns="dc75c247-7f53-4913-864a-4160aff1c458">PPL</ProjectName>
  </documentManagement>
</p:properties>
</file>

<file path=customXml/item8.xml><?xml version="1.0" encoding="utf-8"?>
<?mso-contentType ?>
<SharedContentType xmlns="Microsoft.SharePoint.Taxonomy.ContentTypeSync" SourceId="3d0ec70f-4850-419e-ba88-1a2e9ef4e89e" ContentTypeId="0x010100B80CB6684E0D2F408D230F308CBB847F0301" PreviousValue="false"/>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6D8F55-CB87-4DCB-99E9-9226EAD8FCAE}">
  <ds:schemaRefs>
    <ds:schemaRef ds:uri="http://schemas.microsoft.com/sharepoint/events"/>
  </ds:schemaRefs>
</ds:datastoreItem>
</file>

<file path=customXml/itemProps10.xml><?xml version="1.0" encoding="utf-8"?>
<ds:datastoreItem xmlns:ds="http://schemas.openxmlformats.org/officeDocument/2006/customXml" ds:itemID="{D12E4B2D-F070-40E4-9F2F-0DE1811C7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cddb6-1a21-4398-93ba-37305383a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D49D49AC-2145-4A56-848D-F54F2D9C49BD}">
  <ds:schemaRefs>
    <ds:schemaRef ds:uri="http://schemas.openxmlformats.org/officeDocument/2006/bibliography"/>
  </ds:schemaRefs>
</ds:datastoreItem>
</file>

<file path=customXml/itemProps2.xml><?xml version="1.0" encoding="utf-8"?>
<ds:datastoreItem xmlns:ds="http://schemas.openxmlformats.org/officeDocument/2006/customXml" ds:itemID="{ABD80E76-29E3-4962-9E2C-0F52CC519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75c247-7f53-4913-864a-4160aff1c458"/>
    <ds:schemaRef ds:uri="2c23877a-4614-45c3-aa1c-959b7d1f3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672EB0-525D-4628-BB73-F130832DDAC2}">
  <ds:schemaRefs>
    <ds:schemaRef ds:uri="http://schemas.microsoft.com/office/2006/metadata/properties"/>
    <ds:schemaRef ds:uri="http://schemas.microsoft.com/office/infopath/2007/PartnerControls"/>
    <ds:schemaRef ds:uri="dc75c247-7f53-4913-864a-4160aff1c458"/>
    <ds:schemaRef ds:uri="2c23877a-4614-45c3-aa1c-959b7d1f31e5"/>
    <ds:schemaRef ds:uri="http://schemas.microsoft.com/sharepoint/v3"/>
  </ds:schemaRefs>
</ds:datastoreItem>
</file>

<file path=customXml/itemProps4.xml><?xml version="1.0" encoding="utf-8"?>
<ds:datastoreItem xmlns:ds="http://schemas.openxmlformats.org/officeDocument/2006/customXml" ds:itemID="{5B1FC4B1-E958-4C48-AC43-F8C6082FA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75c247-7f53-4913-864a-4160aff1c458"/>
    <ds:schemaRef ds:uri="2c23877a-4614-45c3-aa1c-959b7d1f3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FB561A-8A10-4597-AD6E-F60F5551B08E}">
  <ds:schemaRefs>
    <ds:schemaRef ds:uri="http://schemas.microsoft.com/sharepoint/v3/contenttype/forms"/>
  </ds:schemaRefs>
</ds:datastoreItem>
</file>

<file path=customXml/itemProps6.xml><?xml version="1.0" encoding="utf-8"?>
<ds:datastoreItem xmlns:ds="http://schemas.openxmlformats.org/officeDocument/2006/customXml" ds:itemID="{538AE83F-24F4-46E2-85E5-967BA646A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59afc-c722-48ca-b88e-93295ebc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F8992B5-55BD-4939-9F9A-5C60EAB89047}">
  <ds:schemaRefs>
    <ds:schemaRef ds:uri="http://schemas.microsoft.com/office/2006/metadata/properties"/>
    <ds:schemaRef ds:uri="http://schemas.microsoft.com/office/infopath/2007/PartnerControls"/>
    <ds:schemaRef ds:uri="dc75c247-7f53-4913-864a-4160aff1c458"/>
    <ds:schemaRef ds:uri="2c23877a-4614-45c3-aa1c-959b7d1f31e5"/>
    <ds:schemaRef ds:uri="http://schemas.microsoft.com/sharepoint/v3"/>
  </ds:schemaRefs>
</ds:datastoreItem>
</file>

<file path=customXml/itemProps8.xml><?xml version="1.0" encoding="utf-8"?>
<ds:datastoreItem xmlns:ds="http://schemas.openxmlformats.org/officeDocument/2006/customXml" ds:itemID="{1B6642A2-BB8C-4094-BEE5-8316C2FFFFD6}">
  <ds:schemaRefs>
    <ds:schemaRef ds:uri="Microsoft.SharePoint.Taxonomy.ContentTypeSync"/>
  </ds:schemaRefs>
</ds:datastoreItem>
</file>

<file path=customXml/itemProps9.xml><?xml version="1.0" encoding="utf-8"?>
<ds:datastoreItem xmlns:ds="http://schemas.openxmlformats.org/officeDocument/2006/customXml" ds:itemID="{C770AA64-2C5B-4673-BB83-AF404558FC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167900</Words>
  <Characters>957036</Characters>
  <Application>Microsoft Office Word</Application>
  <DocSecurity>0</DocSecurity>
  <Lines>7975</Lines>
  <Paragraphs>2245</Paragraphs>
  <ScaleCrop>false</ScaleCrop>
  <HeadingPairs>
    <vt:vector size="2" baseType="variant">
      <vt:variant>
        <vt:lpstr>Title</vt:lpstr>
      </vt:variant>
      <vt:variant>
        <vt:i4>1</vt:i4>
      </vt:variant>
    </vt:vector>
  </HeadingPairs>
  <TitlesOfParts>
    <vt:vector size="1" baseType="lpstr">
      <vt:lpstr/>
    </vt:vector>
  </TitlesOfParts>
  <Company>GDS Associates, Inc.</Company>
  <LinksUpToDate>false</LinksUpToDate>
  <CharactersWithSpaces>1122691</CharactersWithSpaces>
  <SharedDoc>false</SharedDoc>
  <HLinks>
    <vt:vector size="1674" baseType="variant">
      <vt:variant>
        <vt:i4>1245237</vt:i4>
      </vt:variant>
      <vt:variant>
        <vt:i4>1676</vt:i4>
      </vt:variant>
      <vt:variant>
        <vt:i4>0</vt:i4>
      </vt:variant>
      <vt:variant>
        <vt:i4>5</vt:i4>
      </vt:variant>
      <vt:variant>
        <vt:lpwstr/>
      </vt:variant>
      <vt:variant>
        <vt:lpwstr>_Toc345577425</vt:lpwstr>
      </vt:variant>
      <vt:variant>
        <vt:i4>1245237</vt:i4>
      </vt:variant>
      <vt:variant>
        <vt:i4>1670</vt:i4>
      </vt:variant>
      <vt:variant>
        <vt:i4>0</vt:i4>
      </vt:variant>
      <vt:variant>
        <vt:i4>5</vt:i4>
      </vt:variant>
      <vt:variant>
        <vt:lpwstr/>
      </vt:variant>
      <vt:variant>
        <vt:lpwstr>_Toc345577424</vt:lpwstr>
      </vt:variant>
      <vt:variant>
        <vt:i4>1245237</vt:i4>
      </vt:variant>
      <vt:variant>
        <vt:i4>1664</vt:i4>
      </vt:variant>
      <vt:variant>
        <vt:i4>0</vt:i4>
      </vt:variant>
      <vt:variant>
        <vt:i4>5</vt:i4>
      </vt:variant>
      <vt:variant>
        <vt:lpwstr/>
      </vt:variant>
      <vt:variant>
        <vt:lpwstr>_Toc345577423</vt:lpwstr>
      </vt:variant>
      <vt:variant>
        <vt:i4>1245237</vt:i4>
      </vt:variant>
      <vt:variant>
        <vt:i4>1658</vt:i4>
      </vt:variant>
      <vt:variant>
        <vt:i4>0</vt:i4>
      </vt:variant>
      <vt:variant>
        <vt:i4>5</vt:i4>
      </vt:variant>
      <vt:variant>
        <vt:lpwstr/>
      </vt:variant>
      <vt:variant>
        <vt:lpwstr>_Toc345577422</vt:lpwstr>
      </vt:variant>
      <vt:variant>
        <vt:i4>1245237</vt:i4>
      </vt:variant>
      <vt:variant>
        <vt:i4>1652</vt:i4>
      </vt:variant>
      <vt:variant>
        <vt:i4>0</vt:i4>
      </vt:variant>
      <vt:variant>
        <vt:i4>5</vt:i4>
      </vt:variant>
      <vt:variant>
        <vt:lpwstr/>
      </vt:variant>
      <vt:variant>
        <vt:lpwstr>_Toc345577421</vt:lpwstr>
      </vt:variant>
      <vt:variant>
        <vt:i4>1245237</vt:i4>
      </vt:variant>
      <vt:variant>
        <vt:i4>1646</vt:i4>
      </vt:variant>
      <vt:variant>
        <vt:i4>0</vt:i4>
      </vt:variant>
      <vt:variant>
        <vt:i4>5</vt:i4>
      </vt:variant>
      <vt:variant>
        <vt:lpwstr/>
      </vt:variant>
      <vt:variant>
        <vt:lpwstr>_Toc345577420</vt:lpwstr>
      </vt:variant>
      <vt:variant>
        <vt:i4>1048629</vt:i4>
      </vt:variant>
      <vt:variant>
        <vt:i4>1640</vt:i4>
      </vt:variant>
      <vt:variant>
        <vt:i4>0</vt:i4>
      </vt:variant>
      <vt:variant>
        <vt:i4>5</vt:i4>
      </vt:variant>
      <vt:variant>
        <vt:lpwstr/>
      </vt:variant>
      <vt:variant>
        <vt:lpwstr>_Toc345577419</vt:lpwstr>
      </vt:variant>
      <vt:variant>
        <vt:i4>1048629</vt:i4>
      </vt:variant>
      <vt:variant>
        <vt:i4>1634</vt:i4>
      </vt:variant>
      <vt:variant>
        <vt:i4>0</vt:i4>
      </vt:variant>
      <vt:variant>
        <vt:i4>5</vt:i4>
      </vt:variant>
      <vt:variant>
        <vt:lpwstr/>
      </vt:variant>
      <vt:variant>
        <vt:lpwstr>_Toc345577418</vt:lpwstr>
      </vt:variant>
      <vt:variant>
        <vt:i4>1048629</vt:i4>
      </vt:variant>
      <vt:variant>
        <vt:i4>1628</vt:i4>
      </vt:variant>
      <vt:variant>
        <vt:i4>0</vt:i4>
      </vt:variant>
      <vt:variant>
        <vt:i4>5</vt:i4>
      </vt:variant>
      <vt:variant>
        <vt:lpwstr/>
      </vt:variant>
      <vt:variant>
        <vt:lpwstr>_Toc345577417</vt:lpwstr>
      </vt:variant>
      <vt:variant>
        <vt:i4>1048629</vt:i4>
      </vt:variant>
      <vt:variant>
        <vt:i4>1622</vt:i4>
      </vt:variant>
      <vt:variant>
        <vt:i4>0</vt:i4>
      </vt:variant>
      <vt:variant>
        <vt:i4>5</vt:i4>
      </vt:variant>
      <vt:variant>
        <vt:lpwstr/>
      </vt:variant>
      <vt:variant>
        <vt:lpwstr>_Toc345577416</vt:lpwstr>
      </vt:variant>
      <vt:variant>
        <vt:i4>1048629</vt:i4>
      </vt:variant>
      <vt:variant>
        <vt:i4>1616</vt:i4>
      </vt:variant>
      <vt:variant>
        <vt:i4>0</vt:i4>
      </vt:variant>
      <vt:variant>
        <vt:i4>5</vt:i4>
      </vt:variant>
      <vt:variant>
        <vt:lpwstr/>
      </vt:variant>
      <vt:variant>
        <vt:lpwstr>_Toc345577415</vt:lpwstr>
      </vt:variant>
      <vt:variant>
        <vt:i4>1048629</vt:i4>
      </vt:variant>
      <vt:variant>
        <vt:i4>1610</vt:i4>
      </vt:variant>
      <vt:variant>
        <vt:i4>0</vt:i4>
      </vt:variant>
      <vt:variant>
        <vt:i4>5</vt:i4>
      </vt:variant>
      <vt:variant>
        <vt:lpwstr/>
      </vt:variant>
      <vt:variant>
        <vt:lpwstr>_Toc345577414</vt:lpwstr>
      </vt:variant>
      <vt:variant>
        <vt:i4>1048629</vt:i4>
      </vt:variant>
      <vt:variant>
        <vt:i4>1604</vt:i4>
      </vt:variant>
      <vt:variant>
        <vt:i4>0</vt:i4>
      </vt:variant>
      <vt:variant>
        <vt:i4>5</vt:i4>
      </vt:variant>
      <vt:variant>
        <vt:lpwstr/>
      </vt:variant>
      <vt:variant>
        <vt:lpwstr>_Toc345577413</vt:lpwstr>
      </vt:variant>
      <vt:variant>
        <vt:i4>1048629</vt:i4>
      </vt:variant>
      <vt:variant>
        <vt:i4>1598</vt:i4>
      </vt:variant>
      <vt:variant>
        <vt:i4>0</vt:i4>
      </vt:variant>
      <vt:variant>
        <vt:i4>5</vt:i4>
      </vt:variant>
      <vt:variant>
        <vt:lpwstr/>
      </vt:variant>
      <vt:variant>
        <vt:lpwstr>_Toc345577412</vt:lpwstr>
      </vt:variant>
      <vt:variant>
        <vt:i4>1048629</vt:i4>
      </vt:variant>
      <vt:variant>
        <vt:i4>1592</vt:i4>
      </vt:variant>
      <vt:variant>
        <vt:i4>0</vt:i4>
      </vt:variant>
      <vt:variant>
        <vt:i4>5</vt:i4>
      </vt:variant>
      <vt:variant>
        <vt:lpwstr/>
      </vt:variant>
      <vt:variant>
        <vt:lpwstr>_Toc345577411</vt:lpwstr>
      </vt:variant>
      <vt:variant>
        <vt:i4>1048629</vt:i4>
      </vt:variant>
      <vt:variant>
        <vt:i4>1586</vt:i4>
      </vt:variant>
      <vt:variant>
        <vt:i4>0</vt:i4>
      </vt:variant>
      <vt:variant>
        <vt:i4>5</vt:i4>
      </vt:variant>
      <vt:variant>
        <vt:lpwstr/>
      </vt:variant>
      <vt:variant>
        <vt:lpwstr>_Toc345577410</vt:lpwstr>
      </vt:variant>
      <vt:variant>
        <vt:i4>1114165</vt:i4>
      </vt:variant>
      <vt:variant>
        <vt:i4>1580</vt:i4>
      </vt:variant>
      <vt:variant>
        <vt:i4>0</vt:i4>
      </vt:variant>
      <vt:variant>
        <vt:i4>5</vt:i4>
      </vt:variant>
      <vt:variant>
        <vt:lpwstr/>
      </vt:variant>
      <vt:variant>
        <vt:lpwstr>_Toc345577409</vt:lpwstr>
      </vt:variant>
      <vt:variant>
        <vt:i4>1114165</vt:i4>
      </vt:variant>
      <vt:variant>
        <vt:i4>1574</vt:i4>
      </vt:variant>
      <vt:variant>
        <vt:i4>0</vt:i4>
      </vt:variant>
      <vt:variant>
        <vt:i4>5</vt:i4>
      </vt:variant>
      <vt:variant>
        <vt:lpwstr/>
      </vt:variant>
      <vt:variant>
        <vt:lpwstr>_Toc345577408</vt:lpwstr>
      </vt:variant>
      <vt:variant>
        <vt:i4>1114165</vt:i4>
      </vt:variant>
      <vt:variant>
        <vt:i4>1568</vt:i4>
      </vt:variant>
      <vt:variant>
        <vt:i4>0</vt:i4>
      </vt:variant>
      <vt:variant>
        <vt:i4>5</vt:i4>
      </vt:variant>
      <vt:variant>
        <vt:lpwstr/>
      </vt:variant>
      <vt:variant>
        <vt:lpwstr>_Toc345577407</vt:lpwstr>
      </vt:variant>
      <vt:variant>
        <vt:i4>1114165</vt:i4>
      </vt:variant>
      <vt:variant>
        <vt:i4>1562</vt:i4>
      </vt:variant>
      <vt:variant>
        <vt:i4>0</vt:i4>
      </vt:variant>
      <vt:variant>
        <vt:i4>5</vt:i4>
      </vt:variant>
      <vt:variant>
        <vt:lpwstr/>
      </vt:variant>
      <vt:variant>
        <vt:lpwstr>_Toc345577406</vt:lpwstr>
      </vt:variant>
      <vt:variant>
        <vt:i4>1114165</vt:i4>
      </vt:variant>
      <vt:variant>
        <vt:i4>1556</vt:i4>
      </vt:variant>
      <vt:variant>
        <vt:i4>0</vt:i4>
      </vt:variant>
      <vt:variant>
        <vt:i4>5</vt:i4>
      </vt:variant>
      <vt:variant>
        <vt:lpwstr/>
      </vt:variant>
      <vt:variant>
        <vt:lpwstr>_Toc345577405</vt:lpwstr>
      </vt:variant>
      <vt:variant>
        <vt:i4>1114165</vt:i4>
      </vt:variant>
      <vt:variant>
        <vt:i4>1550</vt:i4>
      </vt:variant>
      <vt:variant>
        <vt:i4>0</vt:i4>
      </vt:variant>
      <vt:variant>
        <vt:i4>5</vt:i4>
      </vt:variant>
      <vt:variant>
        <vt:lpwstr/>
      </vt:variant>
      <vt:variant>
        <vt:lpwstr>_Toc345577404</vt:lpwstr>
      </vt:variant>
      <vt:variant>
        <vt:i4>1114165</vt:i4>
      </vt:variant>
      <vt:variant>
        <vt:i4>1541</vt:i4>
      </vt:variant>
      <vt:variant>
        <vt:i4>0</vt:i4>
      </vt:variant>
      <vt:variant>
        <vt:i4>5</vt:i4>
      </vt:variant>
      <vt:variant>
        <vt:lpwstr/>
      </vt:variant>
      <vt:variant>
        <vt:lpwstr>_Toc345577403</vt:lpwstr>
      </vt:variant>
      <vt:variant>
        <vt:i4>1114165</vt:i4>
      </vt:variant>
      <vt:variant>
        <vt:i4>1535</vt:i4>
      </vt:variant>
      <vt:variant>
        <vt:i4>0</vt:i4>
      </vt:variant>
      <vt:variant>
        <vt:i4>5</vt:i4>
      </vt:variant>
      <vt:variant>
        <vt:lpwstr/>
      </vt:variant>
      <vt:variant>
        <vt:lpwstr>_Toc345577402</vt:lpwstr>
      </vt:variant>
      <vt:variant>
        <vt:i4>1114165</vt:i4>
      </vt:variant>
      <vt:variant>
        <vt:i4>1529</vt:i4>
      </vt:variant>
      <vt:variant>
        <vt:i4>0</vt:i4>
      </vt:variant>
      <vt:variant>
        <vt:i4>5</vt:i4>
      </vt:variant>
      <vt:variant>
        <vt:lpwstr/>
      </vt:variant>
      <vt:variant>
        <vt:lpwstr>_Toc345577401</vt:lpwstr>
      </vt:variant>
      <vt:variant>
        <vt:i4>1114165</vt:i4>
      </vt:variant>
      <vt:variant>
        <vt:i4>1523</vt:i4>
      </vt:variant>
      <vt:variant>
        <vt:i4>0</vt:i4>
      </vt:variant>
      <vt:variant>
        <vt:i4>5</vt:i4>
      </vt:variant>
      <vt:variant>
        <vt:lpwstr/>
      </vt:variant>
      <vt:variant>
        <vt:lpwstr>_Toc345577400</vt:lpwstr>
      </vt:variant>
      <vt:variant>
        <vt:i4>1572914</vt:i4>
      </vt:variant>
      <vt:variant>
        <vt:i4>1517</vt:i4>
      </vt:variant>
      <vt:variant>
        <vt:i4>0</vt:i4>
      </vt:variant>
      <vt:variant>
        <vt:i4>5</vt:i4>
      </vt:variant>
      <vt:variant>
        <vt:lpwstr/>
      </vt:variant>
      <vt:variant>
        <vt:lpwstr>_Toc345577399</vt:lpwstr>
      </vt:variant>
      <vt:variant>
        <vt:i4>1572914</vt:i4>
      </vt:variant>
      <vt:variant>
        <vt:i4>1511</vt:i4>
      </vt:variant>
      <vt:variant>
        <vt:i4>0</vt:i4>
      </vt:variant>
      <vt:variant>
        <vt:i4>5</vt:i4>
      </vt:variant>
      <vt:variant>
        <vt:lpwstr/>
      </vt:variant>
      <vt:variant>
        <vt:lpwstr>_Toc345577398</vt:lpwstr>
      </vt:variant>
      <vt:variant>
        <vt:i4>1572914</vt:i4>
      </vt:variant>
      <vt:variant>
        <vt:i4>1505</vt:i4>
      </vt:variant>
      <vt:variant>
        <vt:i4>0</vt:i4>
      </vt:variant>
      <vt:variant>
        <vt:i4>5</vt:i4>
      </vt:variant>
      <vt:variant>
        <vt:lpwstr/>
      </vt:variant>
      <vt:variant>
        <vt:lpwstr>_Toc345577397</vt:lpwstr>
      </vt:variant>
      <vt:variant>
        <vt:i4>1572914</vt:i4>
      </vt:variant>
      <vt:variant>
        <vt:i4>1499</vt:i4>
      </vt:variant>
      <vt:variant>
        <vt:i4>0</vt:i4>
      </vt:variant>
      <vt:variant>
        <vt:i4>5</vt:i4>
      </vt:variant>
      <vt:variant>
        <vt:lpwstr/>
      </vt:variant>
      <vt:variant>
        <vt:lpwstr>_Toc345577396</vt:lpwstr>
      </vt:variant>
      <vt:variant>
        <vt:i4>1572914</vt:i4>
      </vt:variant>
      <vt:variant>
        <vt:i4>1493</vt:i4>
      </vt:variant>
      <vt:variant>
        <vt:i4>0</vt:i4>
      </vt:variant>
      <vt:variant>
        <vt:i4>5</vt:i4>
      </vt:variant>
      <vt:variant>
        <vt:lpwstr/>
      </vt:variant>
      <vt:variant>
        <vt:lpwstr>_Toc345577395</vt:lpwstr>
      </vt:variant>
      <vt:variant>
        <vt:i4>1572914</vt:i4>
      </vt:variant>
      <vt:variant>
        <vt:i4>1487</vt:i4>
      </vt:variant>
      <vt:variant>
        <vt:i4>0</vt:i4>
      </vt:variant>
      <vt:variant>
        <vt:i4>5</vt:i4>
      </vt:variant>
      <vt:variant>
        <vt:lpwstr/>
      </vt:variant>
      <vt:variant>
        <vt:lpwstr>_Toc345577394</vt:lpwstr>
      </vt:variant>
      <vt:variant>
        <vt:i4>1572914</vt:i4>
      </vt:variant>
      <vt:variant>
        <vt:i4>1481</vt:i4>
      </vt:variant>
      <vt:variant>
        <vt:i4>0</vt:i4>
      </vt:variant>
      <vt:variant>
        <vt:i4>5</vt:i4>
      </vt:variant>
      <vt:variant>
        <vt:lpwstr/>
      </vt:variant>
      <vt:variant>
        <vt:lpwstr>_Toc345577393</vt:lpwstr>
      </vt:variant>
      <vt:variant>
        <vt:i4>1572914</vt:i4>
      </vt:variant>
      <vt:variant>
        <vt:i4>1475</vt:i4>
      </vt:variant>
      <vt:variant>
        <vt:i4>0</vt:i4>
      </vt:variant>
      <vt:variant>
        <vt:i4>5</vt:i4>
      </vt:variant>
      <vt:variant>
        <vt:lpwstr/>
      </vt:variant>
      <vt:variant>
        <vt:lpwstr>_Toc345577392</vt:lpwstr>
      </vt:variant>
      <vt:variant>
        <vt:i4>1572914</vt:i4>
      </vt:variant>
      <vt:variant>
        <vt:i4>1469</vt:i4>
      </vt:variant>
      <vt:variant>
        <vt:i4>0</vt:i4>
      </vt:variant>
      <vt:variant>
        <vt:i4>5</vt:i4>
      </vt:variant>
      <vt:variant>
        <vt:lpwstr/>
      </vt:variant>
      <vt:variant>
        <vt:lpwstr>_Toc345577391</vt:lpwstr>
      </vt:variant>
      <vt:variant>
        <vt:i4>1572914</vt:i4>
      </vt:variant>
      <vt:variant>
        <vt:i4>1463</vt:i4>
      </vt:variant>
      <vt:variant>
        <vt:i4>0</vt:i4>
      </vt:variant>
      <vt:variant>
        <vt:i4>5</vt:i4>
      </vt:variant>
      <vt:variant>
        <vt:lpwstr/>
      </vt:variant>
      <vt:variant>
        <vt:lpwstr>_Toc345577390</vt:lpwstr>
      </vt:variant>
      <vt:variant>
        <vt:i4>1638450</vt:i4>
      </vt:variant>
      <vt:variant>
        <vt:i4>1457</vt:i4>
      </vt:variant>
      <vt:variant>
        <vt:i4>0</vt:i4>
      </vt:variant>
      <vt:variant>
        <vt:i4>5</vt:i4>
      </vt:variant>
      <vt:variant>
        <vt:lpwstr/>
      </vt:variant>
      <vt:variant>
        <vt:lpwstr>_Toc345577389</vt:lpwstr>
      </vt:variant>
      <vt:variant>
        <vt:i4>1638450</vt:i4>
      </vt:variant>
      <vt:variant>
        <vt:i4>1451</vt:i4>
      </vt:variant>
      <vt:variant>
        <vt:i4>0</vt:i4>
      </vt:variant>
      <vt:variant>
        <vt:i4>5</vt:i4>
      </vt:variant>
      <vt:variant>
        <vt:lpwstr/>
      </vt:variant>
      <vt:variant>
        <vt:lpwstr>_Toc345577388</vt:lpwstr>
      </vt:variant>
      <vt:variant>
        <vt:i4>1638450</vt:i4>
      </vt:variant>
      <vt:variant>
        <vt:i4>1445</vt:i4>
      </vt:variant>
      <vt:variant>
        <vt:i4>0</vt:i4>
      </vt:variant>
      <vt:variant>
        <vt:i4>5</vt:i4>
      </vt:variant>
      <vt:variant>
        <vt:lpwstr/>
      </vt:variant>
      <vt:variant>
        <vt:lpwstr>_Toc345577387</vt:lpwstr>
      </vt:variant>
      <vt:variant>
        <vt:i4>1638450</vt:i4>
      </vt:variant>
      <vt:variant>
        <vt:i4>1439</vt:i4>
      </vt:variant>
      <vt:variant>
        <vt:i4>0</vt:i4>
      </vt:variant>
      <vt:variant>
        <vt:i4>5</vt:i4>
      </vt:variant>
      <vt:variant>
        <vt:lpwstr/>
      </vt:variant>
      <vt:variant>
        <vt:lpwstr>_Toc345577386</vt:lpwstr>
      </vt:variant>
      <vt:variant>
        <vt:i4>1638450</vt:i4>
      </vt:variant>
      <vt:variant>
        <vt:i4>1433</vt:i4>
      </vt:variant>
      <vt:variant>
        <vt:i4>0</vt:i4>
      </vt:variant>
      <vt:variant>
        <vt:i4>5</vt:i4>
      </vt:variant>
      <vt:variant>
        <vt:lpwstr/>
      </vt:variant>
      <vt:variant>
        <vt:lpwstr>_Toc345577385</vt:lpwstr>
      </vt:variant>
      <vt:variant>
        <vt:i4>1638450</vt:i4>
      </vt:variant>
      <vt:variant>
        <vt:i4>1427</vt:i4>
      </vt:variant>
      <vt:variant>
        <vt:i4>0</vt:i4>
      </vt:variant>
      <vt:variant>
        <vt:i4>5</vt:i4>
      </vt:variant>
      <vt:variant>
        <vt:lpwstr/>
      </vt:variant>
      <vt:variant>
        <vt:lpwstr>_Toc345577384</vt:lpwstr>
      </vt:variant>
      <vt:variant>
        <vt:i4>1638450</vt:i4>
      </vt:variant>
      <vt:variant>
        <vt:i4>1421</vt:i4>
      </vt:variant>
      <vt:variant>
        <vt:i4>0</vt:i4>
      </vt:variant>
      <vt:variant>
        <vt:i4>5</vt:i4>
      </vt:variant>
      <vt:variant>
        <vt:lpwstr/>
      </vt:variant>
      <vt:variant>
        <vt:lpwstr>_Toc345577383</vt:lpwstr>
      </vt:variant>
      <vt:variant>
        <vt:i4>1638450</vt:i4>
      </vt:variant>
      <vt:variant>
        <vt:i4>1415</vt:i4>
      </vt:variant>
      <vt:variant>
        <vt:i4>0</vt:i4>
      </vt:variant>
      <vt:variant>
        <vt:i4>5</vt:i4>
      </vt:variant>
      <vt:variant>
        <vt:lpwstr/>
      </vt:variant>
      <vt:variant>
        <vt:lpwstr>_Toc345577382</vt:lpwstr>
      </vt:variant>
      <vt:variant>
        <vt:i4>1638450</vt:i4>
      </vt:variant>
      <vt:variant>
        <vt:i4>1409</vt:i4>
      </vt:variant>
      <vt:variant>
        <vt:i4>0</vt:i4>
      </vt:variant>
      <vt:variant>
        <vt:i4>5</vt:i4>
      </vt:variant>
      <vt:variant>
        <vt:lpwstr/>
      </vt:variant>
      <vt:variant>
        <vt:lpwstr>_Toc345577381</vt:lpwstr>
      </vt:variant>
      <vt:variant>
        <vt:i4>1638450</vt:i4>
      </vt:variant>
      <vt:variant>
        <vt:i4>1403</vt:i4>
      </vt:variant>
      <vt:variant>
        <vt:i4>0</vt:i4>
      </vt:variant>
      <vt:variant>
        <vt:i4>5</vt:i4>
      </vt:variant>
      <vt:variant>
        <vt:lpwstr/>
      </vt:variant>
      <vt:variant>
        <vt:lpwstr>_Toc345577380</vt:lpwstr>
      </vt:variant>
      <vt:variant>
        <vt:i4>1441842</vt:i4>
      </vt:variant>
      <vt:variant>
        <vt:i4>1397</vt:i4>
      </vt:variant>
      <vt:variant>
        <vt:i4>0</vt:i4>
      </vt:variant>
      <vt:variant>
        <vt:i4>5</vt:i4>
      </vt:variant>
      <vt:variant>
        <vt:lpwstr/>
      </vt:variant>
      <vt:variant>
        <vt:lpwstr>_Toc345577379</vt:lpwstr>
      </vt:variant>
      <vt:variant>
        <vt:i4>1441842</vt:i4>
      </vt:variant>
      <vt:variant>
        <vt:i4>1391</vt:i4>
      </vt:variant>
      <vt:variant>
        <vt:i4>0</vt:i4>
      </vt:variant>
      <vt:variant>
        <vt:i4>5</vt:i4>
      </vt:variant>
      <vt:variant>
        <vt:lpwstr/>
      </vt:variant>
      <vt:variant>
        <vt:lpwstr>_Toc345577378</vt:lpwstr>
      </vt:variant>
      <vt:variant>
        <vt:i4>1441842</vt:i4>
      </vt:variant>
      <vt:variant>
        <vt:i4>1385</vt:i4>
      </vt:variant>
      <vt:variant>
        <vt:i4>0</vt:i4>
      </vt:variant>
      <vt:variant>
        <vt:i4>5</vt:i4>
      </vt:variant>
      <vt:variant>
        <vt:lpwstr/>
      </vt:variant>
      <vt:variant>
        <vt:lpwstr>_Toc345577377</vt:lpwstr>
      </vt:variant>
      <vt:variant>
        <vt:i4>1441842</vt:i4>
      </vt:variant>
      <vt:variant>
        <vt:i4>1379</vt:i4>
      </vt:variant>
      <vt:variant>
        <vt:i4>0</vt:i4>
      </vt:variant>
      <vt:variant>
        <vt:i4>5</vt:i4>
      </vt:variant>
      <vt:variant>
        <vt:lpwstr/>
      </vt:variant>
      <vt:variant>
        <vt:lpwstr>_Toc345577376</vt:lpwstr>
      </vt:variant>
      <vt:variant>
        <vt:i4>1441842</vt:i4>
      </vt:variant>
      <vt:variant>
        <vt:i4>1373</vt:i4>
      </vt:variant>
      <vt:variant>
        <vt:i4>0</vt:i4>
      </vt:variant>
      <vt:variant>
        <vt:i4>5</vt:i4>
      </vt:variant>
      <vt:variant>
        <vt:lpwstr/>
      </vt:variant>
      <vt:variant>
        <vt:lpwstr>_Toc345577375</vt:lpwstr>
      </vt:variant>
      <vt:variant>
        <vt:i4>1441842</vt:i4>
      </vt:variant>
      <vt:variant>
        <vt:i4>1367</vt:i4>
      </vt:variant>
      <vt:variant>
        <vt:i4>0</vt:i4>
      </vt:variant>
      <vt:variant>
        <vt:i4>5</vt:i4>
      </vt:variant>
      <vt:variant>
        <vt:lpwstr/>
      </vt:variant>
      <vt:variant>
        <vt:lpwstr>_Toc345577374</vt:lpwstr>
      </vt:variant>
      <vt:variant>
        <vt:i4>1441842</vt:i4>
      </vt:variant>
      <vt:variant>
        <vt:i4>1361</vt:i4>
      </vt:variant>
      <vt:variant>
        <vt:i4>0</vt:i4>
      </vt:variant>
      <vt:variant>
        <vt:i4>5</vt:i4>
      </vt:variant>
      <vt:variant>
        <vt:lpwstr/>
      </vt:variant>
      <vt:variant>
        <vt:lpwstr>_Toc345577373</vt:lpwstr>
      </vt:variant>
      <vt:variant>
        <vt:i4>1441842</vt:i4>
      </vt:variant>
      <vt:variant>
        <vt:i4>1355</vt:i4>
      </vt:variant>
      <vt:variant>
        <vt:i4>0</vt:i4>
      </vt:variant>
      <vt:variant>
        <vt:i4>5</vt:i4>
      </vt:variant>
      <vt:variant>
        <vt:lpwstr/>
      </vt:variant>
      <vt:variant>
        <vt:lpwstr>_Toc345577372</vt:lpwstr>
      </vt:variant>
      <vt:variant>
        <vt:i4>1441842</vt:i4>
      </vt:variant>
      <vt:variant>
        <vt:i4>1349</vt:i4>
      </vt:variant>
      <vt:variant>
        <vt:i4>0</vt:i4>
      </vt:variant>
      <vt:variant>
        <vt:i4>5</vt:i4>
      </vt:variant>
      <vt:variant>
        <vt:lpwstr/>
      </vt:variant>
      <vt:variant>
        <vt:lpwstr>_Toc345577371</vt:lpwstr>
      </vt:variant>
      <vt:variant>
        <vt:i4>1441842</vt:i4>
      </vt:variant>
      <vt:variant>
        <vt:i4>1343</vt:i4>
      </vt:variant>
      <vt:variant>
        <vt:i4>0</vt:i4>
      </vt:variant>
      <vt:variant>
        <vt:i4>5</vt:i4>
      </vt:variant>
      <vt:variant>
        <vt:lpwstr/>
      </vt:variant>
      <vt:variant>
        <vt:lpwstr>_Toc345577370</vt:lpwstr>
      </vt:variant>
      <vt:variant>
        <vt:i4>1507378</vt:i4>
      </vt:variant>
      <vt:variant>
        <vt:i4>1337</vt:i4>
      </vt:variant>
      <vt:variant>
        <vt:i4>0</vt:i4>
      </vt:variant>
      <vt:variant>
        <vt:i4>5</vt:i4>
      </vt:variant>
      <vt:variant>
        <vt:lpwstr/>
      </vt:variant>
      <vt:variant>
        <vt:lpwstr>_Toc345577369</vt:lpwstr>
      </vt:variant>
      <vt:variant>
        <vt:i4>1507378</vt:i4>
      </vt:variant>
      <vt:variant>
        <vt:i4>1331</vt:i4>
      </vt:variant>
      <vt:variant>
        <vt:i4>0</vt:i4>
      </vt:variant>
      <vt:variant>
        <vt:i4>5</vt:i4>
      </vt:variant>
      <vt:variant>
        <vt:lpwstr/>
      </vt:variant>
      <vt:variant>
        <vt:lpwstr>_Toc345577368</vt:lpwstr>
      </vt:variant>
      <vt:variant>
        <vt:i4>1507378</vt:i4>
      </vt:variant>
      <vt:variant>
        <vt:i4>1325</vt:i4>
      </vt:variant>
      <vt:variant>
        <vt:i4>0</vt:i4>
      </vt:variant>
      <vt:variant>
        <vt:i4>5</vt:i4>
      </vt:variant>
      <vt:variant>
        <vt:lpwstr/>
      </vt:variant>
      <vt:variant>
        <vt:lpwstr>_Toc345577367</vt:lpwstr>
      </vt:variant>
      <vt:variant>
        <vt:i4>1507378</vt:i4>
      </vt:variant>
      <vt:variant>
        <vt:i4>1319</vt:i4>
      </vt:variant>
      <vt:variant>
        <vt:i4>0</vt:i4>
      </vt:variant>
      <vt:variant>
        <vt:i4>5</vt:i4>
      </vt:variant>
      <vt:variant>
        <vt:lpwstr/>
      </vt:variant>
      <vt:variant>
        <vt:lpwstr>_Toc345577366</vt:lpwstr>
      </vt:variant>
      <vt:variant>
        <vt:i4>1507378</vt:i4>
      </vt:variant>
      <vt:variant>
        <vt:i4>1313</vt:i4>
      </vt:variant>
      <vt:variant>
        <vt:i4>0</vt:i4>
      </vt:variant>
      <vt:variant>
        <vt:i4>5</vt:i4>
      </vt:variant>
      <vt:variant>
        <vt:lpwstr/>
      </vt:variant>
      <vt:variant>
        <vt:lpwstr>_Toc345577365</vt:lpwstr>
      </vt:variant>
      <vt:variant>
        <vt:i4>1507378</vt:i4>
      </vt:variant>
      <vt:variant>
        <vt:i4>1307</vt:i4>
      </vt:variant>
      <vt:variant>
        <vt:i4>0</vt:i4>
      </vt:variant>
      <vt:variant>
        <vt:i4>5</vt:i4>
      </vt:variant>
      <vt:variant>
        <vt:lpwstr/>
      </vt:variant>
      <vt:variant>
        <vt:lpwstr>_Toc345577364</vt:lpwstr>
      </vt:variant>
      <vt:variant>
        <vt:i4>1507378</vt:i4>
      </vt:variant>
      <vt:variant>
        <vt:i4>1301</vt:i4>
      </vt:variant>
      <vt:variant>
        <vt:i4>0</vt:i4>
      </vt:variant>
      <vt:variant>
        <vt:i4>5</vt:i4>
      </vt:variant>
      <vt:variant>
        <vt:lpwstr/>
      </vt:variant>
      <vt:variant>
        <vt:lpwstr>_Toc345577363</vt:lpwstr>
      </vt:variant>
      <vt:variant>
        <vt:i4>1507378</vt:i4>
      </vt:variant>
      <vt:variant>
        <vt:i4>1295</vt:i4>
      </vt:variant>
      <vt:variant>
        <vt:i4>0</vt:i4>
      </vt:variant>
      <vt:variant>
        <vt:i4>5</vt:i4>
      </vt:variant>
      <vt:variant>
        <vt:lpwstr/>
      </vt:variant>
      <vt:variant>
        <vt:lpwstr>_Toc345577362</vt:lpwstr>
      </vt:variant>
      <vt:variant>
        <vt:i4>1507378</vt:i4>
      </vt:variant>
      <vt:variant>
        <vt:i4>1289</vt:i4>
      </vt:variant>
      <vt:variant>
        <vt:i4>0</vt:i4>
      </vt:variant>
      <vt:variant>
        <vt:i4>5</vt:i4>
      </vt:variant>
      <vt:variant>
        <vt:lpwstr/>
      </vt:variant>
      <vt:variant>
        <vt:lpwstr>_Toc345577361</vt:lpwstr>
      </vt:variant>
      <vt:variant>
        <vt:i4>1507378</vt:i4>
      </vt:variant>
      <vt:variant>
        <vt:i4>1283</vt:i4>
      </vt:variant>
      <vt:variant>
        <vt:i4>0</vt:i4>
      </vt:variant>
      <vt:variant>
        <vt:i4>5</vt:i4>
      </vt:variant>
      <vt:variant>
        <vt:lpwstr/>
      </vt:variant>
      <vt:variant>
        <vt:lpwstr>_Toc345577360</vt:lpwstr>
      </vt:variant>
      <vt:variant>
        <vt:i4>1310770</vt:i4>
      </vt:variant>
      <vt:variant>
        <vt:i4>1277</vt:i4>
      </vt:variant>
      <vt:variant>
        <vt:i4>0</vt:i4>
      </vt:variant>
      <vt:variant>
        <vt:i4>5</vt:i4>
      </vt:variant>
      <vt:variant>
        <vt:lpwstr/>
      </vt:variant>
      <vt:variant>
        <vt:lpwstr>_Toc345577359</vt:lpwstr>
      </vt:variant>
      <vt:variant>
        <vt:i4>1310770</vt:i4>
      </vt:variant>
      <vt:variant>
        <vt:i4>1271</vt:i4>
      </vt:variant>
      <vt:variant>
        <vt:i4>0</vt:i4>
      </vt:variant>
      <vt:variant>
        <vt:i4>5</vt:i4>
      </vt:variant>
      <vt:variant>
        <vt:lpwstr/>
      </vt:variant>
      <vt:variant>
        <vt:lpwstr>_Toc345577358</vt:lpwstr>
      </vt:variant>
      <vt:variant>
        <vt:i4>1310770</vt:i4>
      </vt:variant>
      <vt:variant>
        <vt:i4>1265</vt:i4>
      </vt:variant>
      <vt:variant>
        <vt:i4>0</vt:i4>
      </vt:variant>
      <vt:variant>
        <vt:i4>5</vt:i4>
      </vt:variant>
      <vt:variant>
        <vt:lpwstr/>
      </vt:variant>
      <vt:variant>
        <vt:lpwstr>_Toc345577357</vt:lpwstr>
      </vt:variant>
      <vt:variant>
        <vt:i4>1310770</vt:i4>
      </vt:variant>
      <vt:variant>
        <vt:i4>1259</vt:i4>
      </vt:variant>
      <vt:variant>
        <vt:i4>0</vt:i4>
      </vt:variant>
      <vt:variant>
        <vt:i4>5</vt:i4>
      </vt:variant>
      <vt:variant>
        <vt:lpwstr/>
      </vt:variant>
      <vt:variant>
        <vt:lpwstr>_Toc345577356</vt:lpwstr>
      </vt:variant>
      <vt:variant>
        <vt:i4>1310770</vt:i4>
      </vt:variant>
      <vt:variant>
        <vt:i4>1253</vt:i4>
      </vt:variant>
      <vt:variant>
        <vt:i4>0</vt:i4>
      </vt:variant>
      <vt:variant>
        <vt:i4>5</vt:i4>
      </vt:variant>
      <vt:variant>
        <vt:lpwstr/>
      </vt:variant>
      <vt:variant>
        <vt:lpwstr>_Toc345577355</vt:lpwstr>
      </vt:variant>
      <vt:variant>
        <vt:i4>1310770</vt:i4>
      </vt:variant>
      <vt:variant>
        <vt:i4>1247</vt:i4>
      </vt:variant>
      <vt:variant>
        <vt:i4>0</vt:i4>
      </vt:variant>
      <vt:variant>
        <vt:i4>5</vt:i4>
      </vt:variant>
      <vt:variant>
        <vt:lpwstr/>
      </vt:variant>
      <vt:variant>
        <vt:lpwstr>_Toc345577354</vt:lpwstr>
      </vt:variant>
      <vt:variant>
        <vt:i4>1310770</vt:i4>
      </vt:variant>
      <vt:variant>
        <vt:i4>1241</vt:i4>
      </vt:variant>
      <vt:variant>
        <vt:i4>0</vt:i4>
      </vt:variant>
      <vt:variant>
        <vt:i4>5</vt:i4>
      </vt:variant>
      <vt:variant>
        <vt:lpwstr/>
      </vt:variant>
      <vt:variant>
        <vt:lpwstr>_Toc345577353</vt:lpwstr>
      </vt:variant>
      <vt:variant>
        <vt:i4>1310770</vt:i4>
      </vt:variant>
      <vt:variant>
        <vt:i4>1235</vt:i4>
      </vt:variant>
      <vt:variant>
        <vt:i4>0</vt:i4>
      </vt:variant>
      <vt:variant>
        <vt:i4>5</vt:i4>
      </vt:variant>
      <vt:variant>
        <vt:lpwstr/>
      </vt:variant>
      <vt:variant>
        <vt:lpwstr>_Toc345577352</vt:lpwstr>
      </vt:variant>
      <vt:variant>
        <vt:i4>1310770</vt:i4>
      </vt:variant>
      <vt:variant>
        <vt:i4>1229</vt:i4>
      </vt:variant>
      <vt:variant>
        <vt:i4>0</vt:i4>
      </vt:variant>
      <vt:variant>
        <vt:i4>5</vt:i4>
      </vt:variant>
      <vt:variant>
        <vt:lpwstr/>
      </vt:variant>
      <vt:variant>
        <vt:lpwstr>_Toc345577351</vt:lpwstr>
      </vt:variant>
      <vt:variant>
        <vt:i4>1310770</vt:i4>
      </vt:variant>
      <vt:variant>
        <vt:i4>1223</vt:i4>
      </vt:variant>
      <vt:variant>
        <vt:i4>0</vt:i4>
      </vt:variant>
      <vt:variant>
        <vt:i4>5</vt:i4>
      </vt:variant>
      <vt:variant>
        <vt:lpwstr/>
      </vt:variant>
      <vt:variant>
        <vt:lpwstr>_Toc345577350</vt:lpwstr>
      </vt:variant>
      <vt:variant>
        <vt:i4>1376306</vt:i4>
      </vt:variant>
      <vt:variant>
        <vt:i4>1217</vt:i4>
      </vt:variant>
      <vt:variant>
        <vt:i4>0</vt:i4>
      </vt:variant>
      <vt:variant>
        <vt:i4>5</vt:i4>
      </vt:variant>
      <vt:variant>
        <vt:lpwstr/>
      </vt:variant>
      <vt:variant>
        <vt:lpwstr>_Toc345577349</vt:lpwstr>
      </vt:variant>
      <vt:variant>
        <vt:i4>1376306</vt:i4>
      </vt:variant>
      <vt:variant>
        <vt:i4>1211</vt:i4>
      </vt:variant>
      <vt:variant>
        <vt:i4>0</vt:i4>
      </vt:variant>
      <vt:variant>
        <vt:i4>5</vt:i4>
      </vt:variant>
      <vt:variant>
        <vt:lpwstr/>
      </vt:variant>
      <vt:variant>
        <vt:lpwstr>_Toc345577348</vt:lpwstr>
      </vt:variant>
      <vt:variant>
        <vt:i4>1376306</vt:i4>
      </vt:variant>
      <vt:variant>
        <vt:i4>1205</vt:i4>
      </vt:variant>
      <vt:variant>
        <vt:i4>0</vt:i4>
      </vt:variant>
      <vt:variant>
        <vt:i4>5</vt:i4>
      </vt:variant>
      <vt:variant>
        <vt:lpwstr/>
      </vt:variant>
      <vt:variant>
        <vt:lpwstr>_Toc345577347</vt:lpwstr>
      </vt:variant>
      <vt:variant>
        <vt:i4>1376306</vt:i4>
      </vt:variant>
      <vt:variant>
        <vt:i4>1199</vt:i4>
      </vt:variant>
      <vt:variant>
        <vt:i4>0</vt:i4>
      </vt:variant>
      <vt:variant>
        <vt:i4>5</vt:i4>
      </vt:variant>
      <vt:variant>
        <vt:lpwstr/>
      </vt:variant>
      <vt:variant>
        <vt:lpwstr>_Toc345577346</vt:lpwstr>
      </vt:variant>
      <vt:variant>
        <vt:i4>1376306</vt:i4>
      </vt:variant>
      <vt:variant>
        <vt:i4>1193</vt:i4>
      </vt:variant>
      <vt:variant>
        <vt:i4>0</vt:i4>
      </vt:variant>
      <vt:variant>
        <vt:i4>5</vt:i4>
      </vt:variant>
      <vt:variant>
        <vt:lpwstr/>
      </vt:variant>
      <vt:variant>
        <vt:lpwstr>_Toc345577345</vt:lpwstr>
      </vt:variant>
      <vt:variant>
        <vt:i4>1376306</vt:i4>
      </vt:variant>
      <vt:variant>
        <vt:i4>1187</vt:i4>
      </vt:variant>
      <vt:variant>
        <vt:i4>0</vt:i4>
      </vt:variant>
      <vt:variant>
        <vt:i4>5</vt:i4>
      </vt:variant>
      <vt:variant>
        <vt:lpwstr/>
      </vt:variant>
      <vt:variant>
        <vt:lpwstr>_Toc345577344</vt:lpwstr>
      </vt:variant>
      <vt:variant>
        <vt:i4>1376306</vt:i4>
      </vt:variant>
      <vt:variant>
        <vt:i4>1181</vt:i4>
      </vt:variant>
      <vt:variant>
        <vt:i4>0</vt:i4>
      </vt:variant>
      <vt:variant>
        <vt:i4>5</vt:i4>
      </vt:variant>
      <vt:variant>
        <vt:lpwstr/>
      </vt:variant>
      <vt:variant>
        <vt:lpwstr>_Toc345577343</vt:lpwstr>
      </vt:variant>
      <vt:variant>
        <vt:i4>1376306</vt:i4>
      </vt:variant>
      <vt:variant>
        <vt:i4>1175</vt:i4>
      </vt:variant>
      <vt:variant>
        <vt:i4>0</vt:i4>
      </vt:variant>
      <vt:variant>
        <vt:i4>5</vt:i4>
      </vt:variant>
      <vt:variant>
        <vt:lpwstr/>
      </vt:variant>
      <vt:variant>
        <vt:lpwstr>_Toc345577342</vt:lpwstr>
      </vt:variant>
      <vt:variant>
        <vt:i4>1376306</vt:i4>
      </vt:variant>
      <vt:variant>
        <vt:i4>1169</vt:i4>
      </vt:variant>
      <vt:variant>
        <vt:i4>0</vt:i4>
      </vt:variant>
      <vt:variant>
        <vt:i4>5</vt:i4>
      </vt:variant>
      <vt:variant>
        <vt:lpwstr/>
      </vt:variant>
      <vt:variant>
        <vt:lpwstr>_Toc345577341</vt:lpwstr>
      </vt:variant>
      <vt:variant>
        <vt:i4>1376306</vt:i4>
      </vt:variant>
      <vt:variant>
        <vt:i4>1163</vt:i4>
      </vt:variant>
      <vt:variant>
        <vt:i4>0</vt:i4>
      </vt:variant>
      <vt:variant>
        <vt:i4>5</vt:i4>
      </vt:variant>
      <vt:variant>
        <vt:lpwstr/>
      </vt:variant>
      <vt:variant>
        <vt:lpwstr>_Toc345577340</vt:lpwstr>
      </vt:variant>
      <vt:variant>
        <vt:i4>1179698</vt:i4>
      </vt:variant>
      <vt:variant>
        <vt:i4>1157</vt:i4>
      </vt:variant>
      <vt:variant>
        <vt:i4>0</vt:i4>
      </vt:variant>
      <vt:variant>
        <vt:i4>5</vt:i4>
      </vt:variant>
      <vt:variant>
        <vt:lpwstr/>
      </vt:variant>
      <vt:variant>
        <vt:lpwstr>_Toc345577339</vt:lpwstr>
      </vt:variant>
      <vt:variant>
        <vt:i4>1179698</vt:i4>
      </vt:variant>
      <vt:variant>
        <vt:i4>1151</vt:i4>
      </vt:variant>
      <vt:variant>
        <vt:i4>0</vt:i4>
      </vt:variant>
      <vt:variant>
        <vt:i4>5</vt:i4>
      </vt:variant>
      <vt:variant>
        <vt:lpwstr/>
      </vt:variant>
      <vt:variant>
        <vt:lpwstr>_Toc345577338</vt:lpwstr>
      </vt:variant>
      <vt:variant>
        <vt:i4>1179698</vt:i4>
      </vt:variant>
      <vt:variant>
        <vt:i4>1145</vt:i4>
      </vt:variant>
      <vt:variant>
        <vt:i4>0</vt:i4>
      </vt:variant>
      <vt:variant>
        <vt:i4>5</vt:i4>
      </vt:variant>
      <vt:variant>
        <vt:lpwstr/>
      </vt:variant>
      <vt:variant>
        <vt:lpwstr>_Toc345577337</vt:lpwstr>
      </vt:variant>
      <vt:variant>
        <vt:i4>1048624</vt:i4>
      </vt:variant>
      <vt:variant>
        <vt:i4>1136</vt:i4>
      </vt:variant>
      <vt:variant>
        <vt:i4>0</vt:i4>
      </vt:variant>
      <vt:variant>
        <vt:i4>5</vt:i4>
      </vt:variant>
      <vt:variant>
        <vt:lpwstr/>
      </vt:variant>
      <vt:variant>
        <vt:lpwstr>_Toc330477470</vt:lpwstr>
      </vt:variant>
      <vt:variant>
        <vt:i4>1114160</vt:i4>
      </vt:variant>
      <vt:variant>
        <vt:i4>1130</vt:i4>
      </vt:variant>
      <vt:variant>
        <vt:i4>0</vt:i4>
      </vt:variant>
      <vt:variant>
        <vt:i4>5</vt:i4>
      </vt:variant>
      <vt:variant>
        <vt:lpwstr/>
      </vt:variant>
      <vt:variant>
        <vt:lpwstr>_Toc330477469</vt:lpwstr>
      </vt:variant>
      <vt:variant>
        <vt:i4>1114160</vt:i4>
      </vt:variant>
      <vt:variant>
        <vt:i4>1124</vt:i4>
      </vt:variant>
      <vt:variant>
        <vt:i4>0</vt:i4>
      </vt:variant>
      <vt:variant>
        <vt:i4>5</vt:i4>
      </vt:variant>
      <vt:variant>
        <vt:lpwstr/>
      </vt:variant>
      <vt:variant>
        <vt:lpwstr>_Toc330477468</vt:lpwstr>
      </vt:variant>
      <vt:variant>
        <vt:i4>1114160</vt:i4>
      </vt:variant>
      <vt:variant>
        <vt:i4>1118</vt:i4>
      </vt:variant>
      <vt:variant>
        <vt:i4>0</vt:i4>
      </vt:variant>
      <vt:variant>
        <vt:i4>5</vt:i4>
      </vt:variant>
      <vt:variant>
        <vt:lpwstr/>
      </vt:variant>
      <vt:variant>
        <vt:lpwstr>_Toc330477467</vt:lpwstr>
      </vt:variant>
      <vt:variant>
        <vt:i4>1114160</vt:i4>
      </vt:variant>
      <vt:variant>
        <vt:i4>1112</vt:i4>
      </vt:variant>
      <vt:variant>
        <vt:i4>0</vt:i4>
      </vt:variant>
      <vt:variant>
        <vt:i4>5</vt:i4>
      </vt:variant>
      <vt:variant>
        <vt:lpwstr/>
      </vt:variant>
      <vt:variant>
        <vt:lpwstr>_Toc330477466</vt:lpwstr>
      </vt:variant>
      <vt:variant>
        <vt:i4>1114160</vt:i4>
      </vt:variant>
      <vt:variant>
        <vt:i4>1106</vt:i4>
      </vt:variant>
      <vt:variant>
        <vt:i4>0</vt:i4>
      </vt:variant>
      <vt:variant>
        <vt:i4>5</vt:i4>
      </vt:variant>
      <vt:variant>
        <vt:lpwstr/>
      </vt:variant>
      <vt:variant>
        <vt:lpwstr>_Toc330477465</vt:lpwstr>
      </vt:variant>
      <vt:variant>
        <vt:i4>1114160</vt:i4>
      </vt:variant>
      <vt:variant>
        <vt:i4>1100</vt:i4>
      </vt:variant>
      <vt:variant>
        <vt:i4>0</vt:i4>
      </vt:variant>
      <vt:variant>
        <vt:i4>5</vt:i4>
      </vt:variant>
      <vt:variant>
        <vt:lpwstr/>
      </vt:variant>
      <vt:variant>
        <vt:lpwstr>_Toc330477464</vt:lpwstr>
      </vt:variant>
      <vt:variant>
        <vt:i4>1114160</vt:i4>
      </vt:variant>
      <vt:variant>
        <vt:i4>1094</vt:i4>
      </vt:variant>
      <vt:variant>
        <vt:i4>0</vt:i4>
      </vt:variant>
      <vt:variant>
        <vt:i4>5</vt:i4>
      </vt:variant>
      <vt:variant>
        <vt:lpwstr/>
      </vt:variant>
      <vt:variant>
        <vt:lpwstr>_Toc330477463</vt:lpwstr>
      </vt:variant>
      <vt:variant>
        <vt:i4>1114160</vt:i4>
      </vt:variant>
      <vt:variant>
        <vt:i4>1088</vt:i4>
      </vt:variant>
      <vt:variant>
        <vt:i4>0</vt:i4>
      </vt:variant>
      <vt:variant>
        <vt:i4>5</vt:i4>
      </vt:variant>
      <vt:variant>
        <vt:lpwstr/>
      </vt:variant>
      <vt:variant>
        <vt:lpwstr>_Toc330477462</vt:lpwstr>
      </vt:variant>
      <vt:variant>
        <vt:i4>1114160</vt:i4>
      </vt:variant>
      <vt:variant>
        <vt:i4>1082</vt:i4>
      </vt:variant>
      <vt:variant>
        <vt:i4>0</vt:i4>
      </vt:variant>
      <vt:variant>
        <vt:i4>5</vt:i4>
      </vt:variant>
      <vt:variant>
        <vt:lpwstr/>
      </vt:variant>
      <vt:variant>
        <vt:lpwstr>_Toc330477461</vt:lpwstr>
      </vt:variant>
      <vt:variant>
        <vt:i4>1114160</vt:i4>
      </vt:variant>
      <vt:variant>
        <vt:i4>1076</vt:i4>
      </vt:variant>
      <vt:variant>
        <vt:i4>0</vt:i4>
      </vt:variant>
      <vt:variant>
        <vt:i4>5</vt:i4>
      </vt:variant>
      <vt:variant>
        <vt:lpwstr/>
      </vt:variant>
      <vt:variant>
        <vt:lpwstr>_Toc330477460</vt:lpwstr>
      </vt:variant>
      <vt:variant>
        <vt:i4>1179696</vt:i4>
      </vt:variant>
      <vt:variant>
        <vt:i4>1070</vt:i4>
      </vt:variant>
      <vt:variant>
        <vt:i4>0</vt:i4>
      </vt:variant>
      <vt:variant>
        <vt:i4>5</vt:i4>
      </vt:variant>
      <vt:variant>
        <vt:lpwstr/>
      </vt:variant>
      <vt:variant>
        <vt:lpwstr>_Toc330477459</vt:lpwstr>
      </vt:variant>
      <vt:variant>
        <vt:i4>1179696</vt:i4>
      </vt:variant>
      <vt:variant>
        <vt:i4>1064</vt:i4>
      </vt:variant>
      <vt:variant>
        <vt:i4>0</vt:i4>
      </vt:variant>
      <vt:variant>
        <vt:i4>5</vt:i4>
      </vt:variant>
      <vt:variant>
        <vt:lpwstr/>
      </vt:variant>
      <vt:variant>
        <vt:lpwstr>_Toc330477458</vt:lpwstr>
      </vt:variant>
      <vt:variant>
        <vt:i4>1179696</vt:i4>
      </vt:variant>
      <vt:variant>
        <vt:i4>1058</vt:i4>
      </vt:variant>
      <vt:variant>
        <vt:i4>0</vt:i4>
      </vt:variant>
      <vt:variant>
        <vt:i4>5</vt:i4>
      </vt:variant>
      <vt:variant>
        <vt:lpwstr/>
      </vt:variant>
      <vt:variant>
        <vt:lpwstr>_Toc330477457</vt:lpwstr>
      </vt:variant>
      <vt:variant>
        <vt:i4>1179696</vt:i4>
      </vt:variant>
      <vt:variant>
        <vt:i4>1052</vt:i4>
      </vt:variant>
      <vt:variant>
        <vt:i4>0</vt:i4>
      </vt:variant>
      <vt:variant>
        <vt:i4>5</vt:i4>
      </vt:variant>
      <vt:variant>
        <vt:lpwstr/>
      </vt:variant>
      <vt:variant>
        <vt:lpwstr>_Toc330477456</vt:lpwstr>
      </vt:variant>
      <vt:variant>
        <vt:i4>1179696</vt:i4>
      </vt:variant>
      <vt:variant>
        <vt:i4>1046</vt:i4>
      </vt:variant>
      <vt:variant>
        <vt:i4>0</vt:i4>
      </vt:variant>
      <vt:variant>
        <vt:i4>5</vt:i4>
      </vt:variant>
      <vt:variant>
        <vt:lpwstr/>
      </vt:variant>
      <vt:variant>
        <vt:lpwstr>_Toc330477455</vt:lpwstr>
      </vt:variant>
      <vt:variant>
        <vt:i4>1179696</vt:i4>
      </vt:variant>
      <vt:variant>
        <vt:i4>1040</vt:i4>
      </vt:variant>
      <vt:variant>
        <vt:i4>0</vt:i4>
      </vt:variant>
      <vt:variant>
        <vt:i4>5</vt:i4>
      </vt:variant>
      <vt:variant>
        <vt:lpwstr/>
      </vt:variant>
      <vt:variant>
        <vt:lpwstr>_Toc330477454</vt:lpwstr>
      </vt:variant>
      <vt:variant>
        <vt:i4>1179696</vt:i4>
      </vt:variant>
      <vt:variant>
        <vt:i4>1034</vt:i4>
      </vt:variant>
      <vt:variant>
        <vt:i4>0</vt:i4>
      </vt:variant>
      <vt:variant>
        <vt:i4>5</vt:i4>
      </vt:variant>
      <vt:variant>
        <vt:lpwstr/>
      </vt:variant>
      <vt:variant>
        <vt:lpwstr>_Toc330477453</vt:lpwstr>
      </vt:variant>
      <vt:variant>
        <vt:i4>1179696</vt:i4>
      </vt:variant>
      <vt:variant>
        <vt:i4>1028</vt:i4>
      </vt:variant>
      <vt:variant>
        <vt:i4>0</vt:i4>
      </vt:variant>
      <vt:variant>
        <vt:i4>5</vt:i4>
      </vt:variant>
      <vt:variant>
        <vt:lpwstr/>
      </vt:variant>
      <vt:variant>
        <vt:lpwstr>_Toc330477452</vt:lpwstr>
      </vt:variant>
      <vt:variant>
        <vt:i4>1179696</vt:i4>
      </vt:variant>
      <vt:variant>
        <vt:i4>1022</vt:i4>
      </vt:variant>
      <vt:variant>
        <vt:i4>0</vt:i4>
      </vt:variant>
      <vt:variant>
        <vt:i4>5</vt:i4>
      </vt:variant>
      <vt:variant>
        <vt:lpwstr/>
      </vt:variant>
      <vt:variant>
        <vt:lpwstr>_Toc330477451</vt:lpwstr>
      </vt:variant>
      <vt:variant>
        <vt:i4>1179696</vt:i4>
      </vt:variant>
      <vt:variant>
        <vt:i4>1016</vt:i4>
      </vt:variant>
      <vt:variant>
        <vt:i4>0</vt:i4>
      </vt:variant>
      <vt:variant>
        <vt:i4>5</vt:i4>
      </vt:variant>
      <vt:variant>
        <vt:lpwstr/>
      </vt:variant>
      <vt:variant>
        <vt:lpwstr>_Toc330477450</vt:lpwstr>
      </vt:variant>
      <vt:variant>
        <vt:i4>1245232</vt:i4>
      </vt:variant>
      <vt:variant>
        <vt:i4>1010</vt:i4>
      </vt:variant>
      <vt:variant>
        <vt:i4>0</vt:i4>
      </vt:variant>
      <vt:variant>
        <vt:i4>5</vt:i4>
      </vt:variant>
      <vt:variant>
        <vt:lpwstr/>
      </vt:variant>
      <vt:variant>
        <vt:lpwstr>_Toc330477449</vt:lpwstr>
      </vt:variant>
      <vt:variant>
        <vt:i4>1245232</vt:i4>
      </vt:variant>
      <vt:variant>
        <vt:i4>1004</vt:i4>
      </vt:variant>
      <vt:variant>
        <vt:i4>0</vt:i4>
      </vt:variant>
      <vt:variant>
        <vt:i4>5</vt:i4>
      </vt:variant>
      <vt:variant>
        <vt:lpwstr/>
      </vt:variant>
      <vt:variant>
        <vt:lpwstr>_Toc330477448</vt:lpwstr>
      </vt:variant>
      <vt:variant>
        <vt:i4>1245232</vt:i4>
      </vt:variant>
      <vt:variant>
        <vt:i4>998</vt:i4>
      </vt:variant>
      <vt:variant>
        <vt:i4>0</vt:i4>
      </vt:variant>
      <vt:variant>
        <vt:i4>5</vt:i4>
      </vt:variant>
      <vt:variant>
        <vt:lpwstr/>
      </vt:variant>
      <vt:variant>
        <vt:lpwstr>_Toc330477447</vt:lpwstr>
      </vt:variant>
      <vt:variant>
        <vt:i4>1245232</vt:i4>
      </vt:variant>
      <vt:variant>
        <vt:i4>992</vt:i4>
      </vt:variant>
      <vt:variant>
        <vt:i4>0</vt:i4>
      </vt:variant>
      <vt:variant>
        <vt:i4>5</vt:i4>
      </vt:variant>
      <vt:variant>
        <vt:lpwstr/>
      </vt:variant>
      <vt:variant>
        <vt:lpwstr>_Toc330477446</vt:lpwstr>
      </vt:variant>
      <vt:variant>
        <vt:i4>1245232</vt:i4>
      </vt:variant>
      <vt:variant>
        <vt:i4>986</vt:i4>
      </vt:variant>
      <vt:variant>
        <vt:i4>0</vt:i4>
      </vt:variant>
      <vt:variant>
        <vt:i4>5</vt:i4>
      </vt:variant>
      <vt:variant>
        <vt:lpwstr/>
      </vt:variant>
      <vt:variant>
        <vt:lpwstr>_Toc330477445</vt:lpwstr>
      </vt:variant>
      <vt:variant>
        <vt:i4>1245232</vt:i4>
      </vt:variant>
      <vt:variant>
        <vt:i4>980</vt:i4>
      </vt:variant>
      <vt:variant>
        <vt:i4>0</vt:i4>
      </vt:variant>
      <vt:variant>
        <vt:i4>5</vt:i4>
      </vt:variant>
      <vt:variant>
        <vt:lpwstr/>
      </vt:variant>
      <vt:variant>
        <vt:lpwstr>_Toc330477444</vt:lpwstr>
      </vt:variant>
      <vt:variant>
        <vt:i4>1245232</vt:i4>
      </vt:variant>
      <vt:variant>
        <vt:i4>974</vt:i4>
      </vt:variant>
      <vt:variant>
        <vt:i4>0</vt:i4>
      </vt:variant>
      <vt:variant>
        <vt:i4>5</vt:i4>
      </vt:variant>
      <vt:variant>
        <vt:lpwstr/>
      </vt:variant>
      <vt:variant>
        <vt:lpwstr>_Toc330477443</vt:lpwstr>
      </vt:variant>
      <vt:variant>
        <vt:i4>1245232</vt:i4>
      </vt:variant>
      <vt:variant>
        <vt:i4>968</vt:i4>
      </vt:variant>
      <vt:variant>
        <vt:i4>0</vt:i4>
      </vt:variant>
      <vt:variant>
        <vt:i4>5</vt:i4>
      </vt:variant>
      <vt:variant>
        <vt:lpwstr/>
      </vt:variant>
      <vt:variant>
        <vt:lpwstr>_Toc330477442</vt:lpwstr>
      </vt:variant>
      <vt:variant>
        <vt:i4>1245232</vt:i4>
      </vt:variant>
      <vt:variant>
        <vt:i4>962</vt:i4>
      </vt:variant>
      <vt:variant>
        <vt:i4>0</vt:i4>
      </vt:variant>
      <vt:variant>
        <vt:i4>5</vt:i4>
      </vt:variant>
      <vt:variant>
        <vt:lpwstr/>
      </vt:variant>
      <vt:variant>
        <vt:lpwstr>_Toc330477441</vt:lpwstr>
      </vt:variant>
      <vt:variant>
        <vt:i4>1245232</vt:i4>
      </vt:variant>
      <vt:variant>
        <vt:i4>956</vt:i4>
      </vt:variant>
      <vt:variant>
        <vt:i4>0</vt:i4>
      </vt:variant>
      <vt:variant>
        <vt:i4>5</vt:i4>
      </vt:variant>
      <vt:variant>
        <vt:lpwstr/>
      </vt:variant>
      <vt:variant>
        <vt:lpwstr>_Toc330477440</vt:lpwstr>
      </vt:variant>
      <vt:variant>
        <vt:i4>1310768</vt:i4>
      </vt:variant>
      <vt:variant>
        <vt:i4>950</vt:i4>
      </vt:variant>
      <vt:variant>
        <vt:i4>0</vt:i4>
      </vt:variant>
      <vt:variant>
        <vt:i4>5</vt:i4>
      </vt:variant>
      <vt:variant>
        <vt:lpwstr/>
      </vt:variant>
      <vt:variant>
        <vt:lpwstr>_Toc330477439</vt:lpwstr>
      </vt:variant>
      <vt:variant>
        <vt:i4>1310768</vt:i4>
      </vt:variant>
      <vt:variant>
        <vt:i4>944</vt:i4>
      </vt:variant>
      <vt:variant>
        <vt:i4>0</vt:i4>
      </vt:variant>
      <vt:variant>
        <vt:i4>5</vt:i4>
      </vt:variant>
      <vt:variant>
        <vt:lpwstr/>
      </vt:variant>
      <vt:variant>
        <vt:lpwstr>_Toc330477438</vt:lpwstr>
      </vt:variant>
      <vt:variant>
        <vt:i4>1310768</vt:i4>
      </vt:variant>
      <vt:variant>
        <vt:i4>938</vt:i4>
      </vt:variant>
      <vt:variant>
        <vt:i4>0</vt:i4>
      </vt:variant>
      <vt:variant>
        <vt:i4>5</vt:i4>
      </vt:variant>
      <vt:variant>
        <vt:lpwstr/>
      </vt:variant>
      <vt:variant>
        <vt:lpwstr>_Toc330477437</vt:lpwstr>
      </vt:variant>
      <vt:variant>
        <vt:i4>1310768</vt:i4>
      </vt:variant>
      <vt:variant>
        <vt:i4>932</vt:i4>
      </vt:variant>
      <vt:variant>
        <vt:i4>0</vt:i4>
      </vt:variant>
      <vt:variant>
        <vt:i4>5</vt:i4>
      </vt:variant>
      <vt:variant>
        <vt:lpwstr/>
      </vt:variant>
      <vt:variant>
        <vt:lpwstr>_Toc330477436</vt:lpwstr>
      </vt:variant>
      <vt:variant>
        <vt:i4>1310768</vt:i4>
      </vt:variant>
      <vt:variant>
        <vt:i4>926</vt:i4>
      </vt:variant>
      <vt:variant>
        <vt:i4>0</vt:i4>
      </vt:variant>
      <vt:variant>
        <vt:i4>5</vt:i4>
      </vt:variant>
      <vt:variant>
        <vt:lpwstr/>
      </vt:variant>
      <vt:variant>
        <vt:lpwstr>_Toc330477435</vt:lpwstr>
      </vt:variant>
      <vt:variant>
        <vt:i4>1310768</vt:i4>
      </vt:variant>
      <vt:variant>
        <vt:i4>920</vt:i4>
      </vt:variant>
      <vt:variant>
        <vt:i4>0</vt:i4>
      </vt:variant>
      <vt:variant>
        <vt:i4>5</vt:i4>
      </vt:variant>
      <vt:variant>
        <vt:lpwstr/>
      </vt:variant>
      <vt:variant>
        <vt:lpwstr>_Toc330477434</vt:lpwstr>
      </vt:variant>
      <vt:variant>
        <vt:i4>1310768</vt:i4>
      </vt:variant>
      <vt:variant>
        <vt:i4>914</vt:i4>
      </vt:variant>
      <vt:variant>
        <vt:i4>0</vt:i4>
      </vt:variant>
      <vt:variant>
        <vt:i4>5</vt:i4>
      </vt:variant>
      <vt:variant>
        <vt:lpwstr/>
      </vt:variant>
      <vt:variant>
        <vt:lpwstr>_Toc330477433</vt:lpwstr>
      </vt:variant>
      <vt:variant>
        <vt:i4>1310768</vt:i4>
      </vt:variant>
      <vt:variant>
        <vt:i4>908</vt:i4>
      </vt:variant>
      <vt:variant>
        <vt:i4>0</vt:i4>
      </vt:variant>
      <vt:variant>
        <vt:i4>5</vt:i4>
      </vt:variant>
      <vt:variant>
        <vt:lpwstr/>
      </vt:variant>
      <vt:variant>
        <vt:lpwstr>_Toc330477432</vt:lpwstr>
      </vt:variant>
      <vt:variant>
        <vt:i4>1310768</vt:i4>
      </vt:variant>
      <vt:variant>
        <vt:i4>902</vt:i4>
      </vt:variant>
      <vt:variant>
        <vt:i4>0</vt:i4>
      </vt:variant>
      <vt:variant>
        <vt:i4>5</vt:i4>
      </vt:variant>
      <vt:variant>
        <vt:lpwstr/>
      </vt:variant>
      <vt:variant>
        <vt:lpwstr>_Toc330477431</vt:lpwstr>
      </vt:variant>
      <vt:variant>
        <vt:i4>1310768</vt:i4>
      </vt:variant>
      <vt:variant>
        <vt:i4>896</vt:i4>
      </vt:variant>
      <vt:variant>
        <vt:i4>0</vt:i4>
      </vt:variant>
      <vt:variant>
        <vt:i4>5</vt:i4>
      </vt:variant>
      <vt:variant>
        <vt:lpwstr/>
      </vt:variant>
      <vt:variant>
        <vt:lpwstr>_Toc330477430</vt:lpwstr>
      </vt:variant>
      <vt:variant>
        <vt:i4>1376304</vt:i4>
      </vt:variant>
      <vt:variant>
        <vt:i4>890</vt:i4>
      </vt:variant>
      <vt:variant>
        <vt:i4>0</vt:i4>
      </vt:variant>
      <vt:variant>
        <vt:i4>5</vt:i4>
      </vt:variant>
      <vt:variant>
        <vt:lpwstr/>
      </vt:variant>
      <vt:variant>
        <vt:lpwstr>_Toc330477429</vt:lpwstr>
      </vt:variant>
      <vt:variant>
        <vt:i4>1376304</vt:i4>
      </vt:variant>
      <vt:variant>
        <vt:i4>884</vt:i4>
      </vt:variant>
      <vt:variant>
        <vt:i4>0</vt:i4>
      </vt:variant>
      <vt:variant>
        <vt:i4>5</vt:i4>
      </vt:variant>
      <vt:variant>
        <vt:lpwstr/>
      </vt:variant>
      <vt:variant>
        <vt:lpwstr>_Toc330477428</vt:lpwstr>
      </vt:variant>
      <vt:variant>
        <vt:i4>1376304</vt:i4>
      </vt:variant>
      <vt:variant>
        <vt:i4>878</vt:i4>
      </vt:variant>
      <vt:variant>
        <vt:i4>0</vt:i4>
      </vt:variant>
      <vt:variant>
        <vt:i4>5</vt:i4>
      </vt:variant>
      <vt:variant>
        <vt:lpwstr/>
      </vt:variant>
      <vt:variant>
        <vt:lpwstr>_Toc330477427</vt:lpwstr>
      </vt:variant>
      <vt:variant>
        <vt:i4>1376304</vt:i4>
      </vt:variant>
      <vt:variant>
        <vt:i4>872</vt:i4>
      </vt:variant>
      <vt:variant>
        <vt:i4>0</vt:i4>
      </vt:variant>
      <vt:variant>
        <vt:i4>5</vt:i4>
      </vt:variant>
      <vt:variant>
        <vt:lpwstr/>
      </vt:variant>
      <vt:variant>
        <vt:lpwstr>_Toc330477426</vt:lpwstr>
      </vt:variant>
      <vt:variant>
        <vt:i4>1376304</vt:i4>
      </vt:variant>
      <vt:variant>
        <vt:i4>866</vt:i4>
      </vt:variant>
      <vt:variant>
        <vt:i4>0</vt:i4>
      </vt:variant>
      <vt:variant>
        <vt:i4>5</vt:i4>
      </vt:variant>
      <vt:variant>
        <vt:lpwstr/>
      </vt:variant>
      <vt:variant>
        <vt:lpwstr>_Toc330477425</vt:lpwstr>
      </vt:variant>
      <vt:variant>
        <vt:i4>1376304</vt:i4>
      </vt:variant>
      <vt:variant>
        <vt:i4>860</vt:i4>
      </vt:variant>
      <vt:variant>
        <vt:i4>0</vt:i4>
      </vt:variant>
      <vt:variant>
        <vt:i4>5</vt:i4>
      </vt:variant>
      <vt:variant>
        <vt:lpwstr/>
      </vt:variant>
      <vt:variant>
        <vt:lpwstr>_Toc330477424</vt:lpwstr>
      </vt:variant>
      <vt:variant>
        <vt:i4>1376304</vt:i4>
      </vt:variant>
      <vt:variant>
        <vt:i4>854</vt:i4>
      </vt:variant>
      <vt:variant>
        <vt:i4>0</vt:i4>
      </vt:variant>
      <vt:variant>
        <vt:i4>5</vt:i4>
      </vt:variant>
      <vt:variant>
        <vt:lpwstr/>
      </vt:variant>
      <vt:variant>
        <vt:lpwstr>_Toc330477423</vt:lpwstr>
      </vt:variant>
      <vt:variant>
        <vt:i4>1376304</vt:i4>
      </vt:variant>
      <vt:variant>
        <vt:i4>848</vt:i4>
      </vt:variant>
      <vt:variant>
        <vt:i4>0</vt:i4>
      </vt:variant>
      <vt:variant>
        <vt:i4>5</vt:i4>
      </vt:variant>
      <vt:variant>
        <vt:lpwstr/>
      </vt:variant>
      <vt:variant>
        <vt:lpwstr>_Toc330477422</vt:lpwstr>
      </vt:variant>
      <vt:variant>
        <vt:i4>1376304</vt:i4>
      </vt:variant>
      <vt:variant>
        <vt:i4>842</vt:i4>
      </vt:variant>
      <vt:variant>
        <vt:i4>0</vt:i4>
      </vt:variant>
      <vt:variant>
        <vt:i4>5</vt:i4>
      </vt:variant>
      <vt:variant>
        <vt:lpwstr/>
      </vt:variant>
      <vt:variant>
        <vt:lpwstr>_Toc330477421</vt:lpwstr>
      </vt:variant>
      <vt:variant>
        <vt:i4>1376304</vt:i4>
      </vt:variant>
      <vt:variant>
        <vt:i4>836</vt:i4>
      </vt:variant>
      <vt:variant>
        <vt:i4>0</vt:i4>
      </vt:variant>
      <vt:variant>
        <vt:i4>5</vt:i4>
      </vt:variant>
      <vt:variant>
        <vt:lpwstr/>
      </vt:variant>
      <vt:variant>
        <vt:lpwstr>_Toc330477420</vt:lpwstr>
      </vt:variant>
      <vt:variant>
        <vt:i4>1441840</vt:i4>
      </vt:variant>
      <vt:variant>
        <vt:i4>830</vt:i4>
      </vt:variant>
      <vt:variant>
        <vt:i4>0</vt:i4>
      </vt:variant>
      <vt:variant>
        <vt:i4>5</vt:i4>
      </vt:variant>
      <vt:variant>
        <vt:lpwstr/>
      </vt:variant>
      <vt:variant>
        <vt:lpwstr>_Toc330477419</vt:lpwstr>
      </vt:variant>
      <vt:variant>
        <vt:i4>1441840</vt:i4>
      </vt:variant>
      <vt:variant>
        <vt:i4>824</vt:i4>
      </vt:variant>
      <vt:variant>
        <vt:i4>0</vt:i4>
      </vt:variant>
      <vt:variant>
        <vt:i4>5</vt:i4>
      </vt:variant>
      <vt:variant>
        <vt:lpwstr/>
      </vt:variant>
      <vt:variant>
        <vt:lpwstr>_Toc330477418</vt:lpwstr>
      </vt:variant>
      <vt:variant>
        <vt:i4>1441840</vt:i4>
      </vt:variant>
      <vt:variant>
        <vt:i4>818</vt:i4>
      </vt:variant>
      <vt:variant>
        <vt:i4>0</vt:i4>
      </vt:variant>
      <vt:variant>
        <vt:i4>5</vt:i4>
      </vt:variant>
      <vt:variant>
        <vt:lpwstr/>
      </vt:variant>
      <vt:variant>
        <vt:lpwstr>_Toc330477417</vt:lpwstr>
      </vt:variant>
      <vt:variant>
        <vt:i4>1441840</vt:i4>
      </vt:variant>
      <vt:variant>
        <vt:i4>812</vt:i4>
      </vt:variant>
      <vt:variant>
        <vt:i4>0</vt:i4>
      </vt:variant>
      <vt:variant>
        <vt:i4>5</vt:i4>
      </vt:variant>
      <vt:variant>
        <vt:lpwstr/>
      </vt:variant>
      <vt:variant>
        <vt:lpwstr>_Toc330477416</vt:lpwstr>
      </vt:variant>
      <vt:variant>
        <vt:i4>1441840</vt:i4>
      </vt:variant>
      <vt:variant>
        <vt:i4>806</vt:i4>
      </vt:variant>
      <vt:variant>
        <vt:i4>0</vt:i4>
      </vt:variant>
      <vt:variant>
        <vt:i4>5</vt:i4>
      </vt:variant>
      <vt:variant>
        <vt:lpwstr/>
      </vt:variant>
      <vt:variant>
        <vt:lpwstr>_Toc330477415</vt:lpwstr>
      </vt:variant>
      <vt:variant>
        <vt:i4>1441840</vt:i4>
      </vt:variant>
      <vt:variant>
        <vt:i4>800</vt:i4>
      </vt:variant>
      <vt:variant>
        <vt:i4>0</vt:i4>
      </vt:variant>
      <vt:variant>
        <vt:i4>5</vt:i4>
      </vt:variant>
      <vt:variant>
        <vt:lpwstr/>
      </vt:variant>
      <vt:variant>
        <vt:lpwstr>_Toc330477414</vt:lpwstr>
      </vt:variant>
      <vt:variant>
        <vt:i4>1441840</vt:i4>
      </vt:variant>
      <vt:variant>
        <vt:i4>794</vt:i4>
      </vt:variant>
      <vt:variant>
        <vt:i4>0</vt:i4>
      </vt:variant>
      <vt:variant>
        <vt:i4>5</vt:i4>
      </vt:variant>
      <vt:variant>
        <vt:lpwstr/>
      </vt:variant>
      <vt:variant>
        <vt:lpwstr>_Toc330477413</vt:lpwstr>
      </vt:variant>
      <vt:variant>
        <vt:i4>1441840</vt:i4>
      </vt:variant>
      <vt:variant>
        <vt:i4>788</vt:i4>
      </vt:variant>
      <vt:variant>
        <vt:i4>0</vt:i4>
      </vt:variant>
      <vt:variant>
        <vt:i4>5</vt:i4>
      </vt:variant>
      <vt:variant>
        <vt:lpwstr/>
      </vt:variant>
      <vt:variant>
        <vt:lpwstr>_Toc330477412</vt:lpwstr>
      </vt:variant>
      <vt:variant>
        <vt:i4>1441840</vt:i4>
      </vt:variant>
      <vt:variant>
        <vt:i4>782</vt:i4>
      </vt:variant>
      <vt:variant>
        <vt:i4>0</vt:i4>
      </vt:variant>
      <vt:variant>
        <vt:i4>5</vt:i4>
      </vt:variant>
      <vt:variant>
        <vt:lpwstr/>
      </vt:variant>
      <vt:variant>
        <vt:lpwstr>_Toc330477411</vt:lpwstr>
      </vt:variant>
      <vt:variant>
        <vt:i4>1441840</vt:i4>
      </vt:variant>
      <vt:variant>
        <vt:i4>776</vt:i4>
      </vt:variant>
      <vt:variant>
        <vt:i4>0</vt:i4>
      </vt:variant>
      <vt:variant>
        <vt:i4>5</vt:i4>
      </vt:variant>
      <vt:variant>
        <vt:lpwstr/>
      </vt:variant>
      <vt:variant>
        <vt:lpwstr>_Toc330477410</vt:lpwstr>
      </vt:variant>
      <vt:variant>
        <vt:i4>1507376</vt:i4>
      </vt:variant>
      <vt:variant>
        <vt:i4>770</vt:i4>
      </vt:variant>
      <vt:variant>
        <vt:i4>0</vt:i4>
      </vt:variant>
      <vt:variant>
        <vt:i4>5</vt:i4>
      </vt:variant>
      <vt:variant>
        <vt:lpwstr/>
      </vt:variant>
      <vt:variant>
        <vt:lpwstr>_Toc330477409</vt:lpwstr>
      </vt:variant>
      <vt:variant>
        <vt:i4>1507376</vt:i4>
      </vt:variant>
      <vt:variant>
        <vt:i4>764</vt:i4>
      </vt:variant>
      <vt:variant>
        <vt:i4>0</vt:i4>
      </vt:variant>
      <vt:variant>
        <vt:i4>5</vt:i4>
      </vt:variant>
      <vt:variant>
        <vt:lpwstr/>
      </vt:variant>
      <vt:variant>
        <vt:lpwstr>_Toc330477408</vt:lpwstr>
      </vt:variant>
      <vt:variant>
        <vt:i4>1507376</vt:i4>
      </vt:variant>
      <vt:variant>
        <vt:i4>758</vt:i4>
      </vt:variant>
      <vt:variant>
        <vt:i4>0</vt:i4>
      </vt:variant>
      <vt:variant>
        <vt:i4>5</vt:i4>
      </vt:variant>
      <vt:variant>
        <vt:lpwstr/>
      </vt:variant>
      <vt:variant>
        <vt:lpwstr>_Toc330477407</vt:lpwstr>
      </vt:variant>
      <vt:variant>
        <vt:i4>1507376</vt:i4>
      </vt:variant>
      <vt:variant>
        <vt:i4>752</vt:i4>
      </vt:variant>
      <vt:variant>
        <vt:i4>0</vt:i4>
      </vt:variant>
      <vt:variant>
        <vt:i4>5</vt:i4>
      </vt:variant>
      <vt:variant>
        <vt:lpwstr/>
      </vt:variant>
      <vt:variant>
        <vt:lpwstr>_Toc330477406</vt:lpwstr>
      </vt:variant>
      <vt:variant>
        <vt:i4>1507376</vt:i4>
      </vt:variant>
      <vt:variant>
        <vt:i4>746</vt:i4>
      </vt:variant>
      <vt:variant>
        <vt:i4>0</vt:i4>
      </vt:variant>
      <vt:variant>
        <vt:i4>5</vt:i4>
      </vt:variant>
      <vt:variant>
        <vt:lpwstr/>
      </vt:variant>
      <vt:variant>
        <vt:lpwstr>_Toc330477405</vt:lpwstr>
      </vt:variant>
      <vt:variant>
        <vt:i4>1507376</vt:i4>
      </vt:variant>
      <vt:variant>
        <vt:i4>740</vt:i4>
      </vt:variant>
      <vt:variant>
        <vt:i4>0</vt:i4>
      </vt:variant>
      <vt:variant>
        <vt:i4>5</vt:i4>
      </vt:variant>
      <vt:variant>
        <vt:lpwstr/>
      </vt:variant>
      <vt:variant>
        <vt:lpwstr>_Toc330477404</vt:lpwstr>
      </vt:variant>
      <vt:variant>
        <vt:i4>1507376</vt:i4>
      </vt:variant>
      <vt:variant>
        <vt:i4>734</vt:i4>
      </vt:variant>
      <vt:variant>
        <vt:i4>0</vt:i4>
      </vt:variant>
      <vt:variant>
        <vt:i4>5</vt:i4>
      </vt:variant>
      <vt:variant>
        <vt:lpwstr/>
      </vt:variant>
      <vt:variant>
        <vt:lpwstr>_Toc330477403</vt:lpwstr>
      </vt:variant>
      <vt:variant>
        <vt:i4>1507376</vt:i4>
      </vt:variant>
      <vt:variant>
        <vt:i4>728</vt:i4>
      </vt:variant>
      <vt:variant>
        <vt:i4>0</vt:i4>
      </vt:variant>
      <vt:variant>
        <vt:i4>5</vt:i4>
      </vt:variant>
      <vt:variant>
        <vt:lpwstr/>
      </vt:variant>
      <vt:variant>
        <vt:lpwstr>_Toc330477402</vt:lpwstr>
      </vt:variant>
      <vt:variant>
        <vt:i4>1507376</vt:i4>
      </vt:variant>
      <vt:variant>
        <vt:i4>722</vt:i4>
      </vt:variant>
      <vt:variant>
        <vt:i4>0</vt:i4>
      </vt:variant>
      <vt:variant>
        <vt:i4>5</vt:i4>
      </vt:variant>
      <vt:variant>
        <vt:lpwstr/>
      </vt:variant>
      <vt:variant>
        <vt:lpwstr>_Toc330477401</vt:lpwstr>
      </vt:variant>
      <vt:variant>
        <vt:i4>1507376</vt:i4>
      </vt:variant>
      <vt:variant>
        <vt:i4>716</vt:i4>
      </vt:variant>
      <vt:variant>
        <vt:i4>0</vt:i4>
      </vt:variant>
      <vt:variant>
        <vt:i4>5</vt:i4>
      </vt:variant>
      <vt:variant>
        <vt:lpwstr/>
      </vt:variant>
      <vt:variant>
        <vt:lpwstr>_Toc330477400</vt:lpwstr>
      </vt:variant>
      <vt:variant>
        <vt:i4>1966135</vt:i4>
      </vt:variant>
      <vt:variant>
        <vt:i4>710</vt:i4>
      </vt:variant>
      <vt:variant>
        <vt:i4>0</vt:i4>
      </vt:variant>
      <vt:variant>
        <vt:i4>5</vt:i4>
      </vt:variant>
      <vt:variant>
        <vt:lpwstr/>
      </vt:variant>
      <vt:variant>
        <vt:lpwstr>_Toc330477399</vt:lpwstr>
      </vt:variant>
      <vt:variant>
        <vt:i4>1966135</vt:i4>
      </vt:variant>
      <vt:variant>
        <vt:i4>704</vt:i4>
      </vt:variant>
      <vt:variant>
        <vt:i4>0</vt:i4>
      </vt:variant>
      <vt:variant>
        <vt:i4>5</vt:i4>
      </vt:variant>
      <vt:variant>
        <vt:lpwstr/>
      </vt:variant>
      <vt:variant>
        <vt:lpwstr>_Toc330477398</vt:lpwstr>
      </vt:variant>
      <vt:variant>
        <vt:i4>1966135</vt:i4>
      </vt:variant>
      <vt:variant>
        <vt:i4>698</vt:i4>
      </vt:variant>
      <vt:variant>
        <vt:i4>0</vt:i4>
      </vt:variant>
      <vt:variant>
        <vt:i4>5</vt:i4>
      </vt:variant>
      <vt:variant>
        <vt:lpwstr/>
      </vt:variant>
      <vt:variant>
        <vt:lpwstr>_Toc330477397</vt:lpwstr>
      </vt:variant>
      <vt:variant>
        <vt:i4>1966135</vt:i4>
      </vt:variant>
      <vt:variant>
        <vt:i4>692</vt:i4>
      </vt:variant>
      <vt:variant>
        <vt:i4>0</vt:i4>
      </vt:variant>
      <vt:variant>
        <vt:i4>5</vt:i4>
      </vt:variant>
      <vt:variant>
        <vt:lpwstr/>
      </vt:variant>
      <vt:variant>
        <vt:lpwstr>_Toc330477396</vt:lpwstr>
      </vt:variant>
      <vt:variant>
        <vt:i4>1966135</vt:i4>
      </vt:variant>
      <vt:variant>
        <vt:i4>686</vt:i4>
      </vt:variant>
      <vt:variant>
        <vt:i4>0</vt:i4>
      </vt:variant>
      <vt:variant>
        <vt:i4>5</vt:i4>
      </vt:variant>
      <vt:variant>
        <vt:lpwstr/>
      </vt:variant>
      <vt:variant>
        <vt:lpwstr>_Toc330477395</vt:lpwstr>
      </vt:variant>
      <vt:variant>
        <vt:i4>1966135</vt:i4>
      </vt:variant>
      <vt:variant>
        <vt:i4>680</vt:i4>
      </vt:variant>
      <vt:variant>
        <vt:i4>0</vt:i4>
      </vt:variant>
      <vt:variant>
        <vt:i4>5</vt:i4>
      </vt:variant>
      <vt:variant>
        <vt:lpwstr/>
      </vt:variant>
      <vt:variant>
        <vt:lpwstr>_Toc330477394</vt:lpwstr>
      </vt:variant>
      <vt:variant>
        <vt:i4>1966135</vt:i4>
      </vt:variant>
      <vt:variant>
        <vt:i4>674</vt:i4>
      </vt:variant>
      <vt:variant>
        <vt:i4>0</vt:i4>
      </vt:variant>
      <vt:variant>
        <vt:i4>5</vt:i4>
      </vt:variant>
      <vt:variant>
        <vt:lpwstr/>
      </vt:variant>
      <vt:variant>
        <vt:lpwstr>_Toc330477393</vt:lpwstr>
      </vt:variant>
      <vt:variant>
        <vt:i4>1966135</vt:i4>
      </vt:variant>
      <vt:variant>
        <vt:i4>668</vt:i4>
      </vt:variant>
      <vt:variant>
        <vt:i4>0</vt:i4>
      </vt:variant>
      <vt:variant>
        <vt:i4>5</vt:i4>
      </vt:variant>
      <vt:variant>
        <vt:lpwstr/>
      </vt:variant>
      <vt:variant>
        <vt:lpwstr>_Toc330477392</vt:lpwstr>
      </vt:variant>
      <vt:variant>
        <vt:i4>1966135</vt:i4>
      </vt:variant>
      <vt:variant>
        <vt:i4>662</vt:i4>
      </vt:variant>
      <vt:variant>
        <vt:i4>0</vt:i4>
      </vt:variant>
      <vt:variant>
        <vt:i4>5</vt:i4>
      </vt:variant>
      <vt:variant>
        <vt:lpwstr/>
      </vt:variant>
      <vt:variant>
        <vt:lpwstr>_Toc330477391</vt:lpwstr>
      </vt:variant>
      <vt:variant>
        <vt:i4>1966135</vt:i4>
      </vt:variant>
      <vt:variant>
        <vt:i4>656</vt:i4>
      </vt:variant>
      <vt:variant>
        <vt:i4>0</vt:i4>
      </vt:variant>
      <vt:variant>
        <vt:i4>5</vt:i4>
      </vt:variant>
      <vt:variant>
        <vt:lpwstr/>
      </vt:variant>
      <vt:variant>
        <vt:lpwstr>_Toc330477390</vt:lpwstr>
      </vt:variant>
      <vt:variant>
        <vt:i4>2031671</vt:i4>
      </vt:variant>
      <vt:variant>
        <vt:i4>650</vt:i4>
      </vt:variant>
      <vt:variant>
        <vt:i4>0</vt:i4>
      </vt:variant>
      <vt:variant>
        <vt:i4>5</vt:i4>
      </vt:variant>
      <vt:variant>
        <vt:lpwstr/>
      </vt:variant>
      <vt:variant>
        <vt:lpwstr>_Toc330477389</vt:lpwstr>
      </vt:variant>
      <vt:variant>
        <vt:i4>2031671</vt:i4>
      </vt:variant>
      <vt:variant>
        <vt:i4>644</vt:i4>
      </vt:variant>
      <vt:variant>
        <vt:i4>0</vt:i4>
      </vt:variant>
      <vt:variant>
        <vt:i4>5</vt:i4>
      </vt:variant>
      <vt:variant>
        <vt:lpwstr/>
      </vt:variant>
      <vt:variant>
        <vt:lpwstr>_Toc330477388</vt:lpwstr>
      </vt:variant>
      <vt:variant>
        <vt:i4>2031671</vt:i4>
      </vt:variant>
      <vt:variant>
        <vt:i4>638</vt:i4>
      </vt:variant>
      <vt:variant>
        <vt:i4>0</vt:i4>
      </vt:variant>
      <vt:variant>
        <vt:i4>5</vt:i4>
      </vt:variant>
      <vt:variant>
        <vt:lpwstr/>
      </vt:variant>
      <vt:variant>
        <vt:lpwstr>_Toc330477387</vt:lpwstr>
      </vt:variant>
      <vt:variant>
        <vt:i4>2031671</vt:i4>
      </vt:variant>
      <vt:variant>
        <vt:i4>632</vt:i4>
      </vt:variant>
      <vt:variant>
        <vt:i4>0</vt:i4>
      </vt:variant>
      <vt:variant>
        <vt:i4>5</vt:i4>
      </vt:variant>
      <vt:variant>
        <vt:lpwstr/>
      </vt:variant>
      <vt:variant>
        <vt:lpwstr>_Toc330477386</vt:lpwstr>
      </vt:variant>
      <vt:variant>
        <vt:i4>2031671</vt:i4>
      </vt:variant>
      <vt:variant>
        <vt:i4>626</vt:i4>
      </vt:variant>
      <vt:variant>
        <vt:i4>0</vt:i4>
      </vt:variant>
      <vt:variant>
        <vt:i4>5</vt:i4>
      </vt:variant>
      <vt:variant>
        <vt:lpwstr/>
      </vt:variant>
      <vt:variant>
        <vt:lpwstr>_Toc330477385</vt:lpwstr>
      </vt:variant>
      <vt:variant>
        <vt:i4>2031671</vt:i4>
      </vt:variant>
      <vt:variant>
        <vt:i4>620</vt:i4>
      </vt:variant>
      <vt:variant>
        <vt:i4>0</vt:i4>
      </vt:variant>
      <vt:variant>
        <vt:i4>5</vt:i4>
      </vt:variant>
      <vt:variant>
        <vt:lpwstr/>
      </vt:variant>
      <vt:variant>
        <vt:lpwstr>_Toc330477384</vt:lpwstr>
      </vt:variant>
      <vt:variant>
        <vt:i4>2031671</vt:i4>
      </vt:variant>
      <vt:variant>
        <vt:i4>614</vt:i4>
      </vt:variant>
      <vt:variant>
        <vt:i4>0</vt:i4>
      </vt:variant>
      <vt:variant>
        <vt:i4>5</vt:i4>
      </vt:variant>
      <vt:variant>
        <vt:lpwstr/>
      </vt:variant>
      <vt:variant>
        <vt:lpwstr>_Toc330477383</vt:lpwstr>
      </vt:variant>
      <vt:variant>
        <vt:i4>2031671</vt:i4>
      </vt:variant>
      <vt:variant>
        <vt:i4>608</vt:i4>
      </vt:variant>
      <vt:variant>
        <vt:i4>0</vt:i4>
      </vt:variant>
      <vt:variant>
        <vt:i4>5</vt:i4>
      </vt:variant>
      <vt:variant>
        <vt:lpwstr/>
      </vt:variant>
      <vt:variant>
        <vt:lpwstr>_Toc330477382</vt:lpwstr>
      </vt:variant>
      <vt:variant>
        <vt:i4>2031671</vt:i4>
      </vt:variant>
      <vt:variant>
        <vt:i4>602</vt:i4>
      </vt:variant>
      <vt:variant>
        <vt:i4>0</vt:i4>
      </vt:variant>
      <vt:variant>
        <vt:i4>5</vt:i4>
      </vt:variant>
      <vt:variant>
        <vt:lpwstr/>
      </vt:variant>
      <vt:variant>
        <vt:lpwstr>_Toc330477381</vt:lpwstr>
      </vt:variant>
      <vt:variant>
        <vt:i4>2031671</vt:i4>
      </vt:variant>
      <vt:variant>
        <vt:i4>596</vt:i4>
      </vt:variant>
      <vt:variant>
        <vt:i4>0</vt:i4>
      </vt:variant>
      <vt:variant>
        <vt:i4>5</vt:i4>
      </vt:variant>
      <vt:variant>
        <vt:lpwstr/>
      </vt:variant>
      <vt:variant>
        <vt:lpwstr>_Toc330477380</vt:lpwstr>
      </vt:variant>
      <vt:variant>
        <vt:i4>1048631</vt:i4>
      </vt:variant>
      <vt:variant>
        <vt:i4>590</vt:i4>
      </vt:variant>
      <vt:variant>
        <vt:i4>0</vt:i4>
      </vt:variant>
      <vt:variant>
        <vt:i4>5</vt:i4>
      </vt:variant>
      <vt:variant>
        <vt:lpwstr/>
      </vt:variant>
      <vt:variant>
        <vt:lpwstr>_Toc330477379</vt:lpwstr>
      </vt:variant>
      <vt:variant>
        <vt:i4>1048631</vt:i4>
      </vt:variant>
      <vt:variant>
        <vt:i4>584</vt:i4>
      </vt:variant>
      <vt:variant>
        <vt:i4>0</vt:i4>
      </vt:variant>
      <vt:variant>
        <vt:i4>5</vt:i4>
      </vt:variant>
      <vt:variant>
        <vt:lpwstr/>
      </vt:variant>
      <vt:variant>
        <vt:lpwstr>_Toc330477378</vt:lpwstr>
      </vt:variant>
      <vt:variant>
        <vt:i4>1048631</vt:i4>
      </vt:variant>
      <vt:variant>
        <vt:i4>578</vt:i4>
      </vt:variant>
      <vt:variant>
        <vt:i4>0</vt:i4>
      </vt:variant>
      <vt:variant>
        <vt:i4>5</vt:i4>
      </vt:variant>
      <vt:variant>
        <vt:lpwstr/>
      </vt:variant>
      <vt:variant>
        <vt:lpwstr>_Toc330477377</vt:lpwstr>
      </vt:variant>
      <vt:variant>
        <vt:i4>1048631</vt:i4>
      </vt:variant>
      <vt:variant>
        <vt:i4>572</vt:i4>
      </vt:variant>
      <vt:variant>
        <vt:i4>0</vt:i4>
      </vt:variant>
      <vt:variant>
        <vt:i4>5</vt:i4>
      </vt:variant>
      <vt:variant>
        <vt:lpwstr/>
      </vt:variant>
      <vt:variant>
        <vt:lpwstr>_Toc330477376</vt:lpwstr>
      </vt:variant>
      <vt:variant>
        <vt:i4>1048631</vt:i4>
      </vt:variant>
      <vt:variant>
        <vt:i4>566</vt:i4>
      </vt:variant>
      <vt:variant>
        <vt:i4>0</vt:i4>
      </vt:variant>
      <vt:variant>
        <vt:i4>5</vt:i4>
      </vt:variant>
      <vt:variant>
        <vt:lpwstr/>
      </vt:variant>
      <vt:variant>
        <vt:lpwstr>_Toc330477375</vt:lpwstr>
      </vt:variant>
      <vt:variant>
        <vt:i4>1048631</vt:i4>
      </vt:variant>
      <vt:variant>
        <vt:i4>560</vt:i4>
      </vt:variant>
      <vt:variant>
        <vt:i4>0</vt:i4>
      </vt:variant>
      <vt:variant>
        <vt:i4>5</vt:i4>
      </vt:variant>
      <vt:variant>
        <vt:lpwstr/>
      </vt:variant>
      <vt:variant>
        <vt:lpwstr>_Toc330477374</vt:lpwstr>
      </vt:variant>
      <vt:variant>
        <vt:i4>1048631</vt:i4>
      </vt:variant>
      <vt:variant>
        <vt:i4>554</vt:i4>
      </vt:variant>
      <vt:variant>
        <vt:i4>0</vt:i4>
      </vt:variant>
      <vt:variant>
        <vt:i4>5</vt:i4>
      </vt:variant>
      <vt:variant>
        <vt:lpwstr/>
      </vt:variant>
      <vt:variant>
        <vt:lpwstr>_Toc330477373</vt:lpwstr>
      </vt:variant>
      <vt:variant>
        <vt:i4>1048631</vt:i4>
      </vt:variant>
      <vt:variant>
        <vt:i4>548</vt:i4>
      </vt:variant>
      <vt:variant>
        <vt:i4>0</vt:i4>
      </vt:variant>
      <vt:variant>
        <vt:i4>5</vt:i4>
      </vt:variant>
      <vt:variant>
        <vt:lpwstr/>
      </vt:variant>
      <vt:variant>
        <vt:lpwstr>_Toc330477372</vt:lpwstr>
      </vt:variant>
      <vt:variant>
        <vt:i4>1048631</vt:i4>
      </vt:variant>
      <vt:variant>
        <vt:i4>542</vt:i4>
      </vt:variant>
      <vt:variant>
        <vt:i4>0</vt:i4>
      </vt:variant>
      <vt:variant>
        <vt:i4>5</vt:i4>
      </vt:variant>
      <vt:variant>
        <vt:lpwstr/>
      </vt:variant>
      <vt:variant>
        <vt:lpwstr>_Toc330477371</vt:lpwstr>
      </vt:variant>
      <vt:variant>
        <vt:i4>1048631</vt:i4>
      </vt:variant>
      <vt:variant>
        <vt:i4>536</vt:i4>
      </vt:variant>
      <vt:variant>
        <vt:i4>0</vt:i4>
      </vt:variant>
      <vt:variant>
        <vt:i4>5</vt:i4>
      </vt:variant>
      <vt:variant>
        <vt:lpwstr/>
      </vt:variant>
      <vt:variant>
        <vt:lpwstr>_Toc330477370</vt:lpwstr>
      </vt:variant>
      <vt:variant>
        <vt:i4>1114167</vt:i4>
      </vt:variant>
      <vt:variant>
        <vt:i4>530</vt:i4>
      </vt:variant>
      <vt:variant>
        <vt:i4>0</vt:i4>
      </vt:variant>
      <vt:variant>
        <vt:i4>5</vt:i4>
      </vt:variant>
      <vt:variant>
        <vt:lpwstr/>
      </vt:variant>
      <vt:variant>
        <vt:lpwstr>_Toc330477369</vt:lpwstr>
      </vt:variant>
      <vt:variant>
        <vt:i4>1114167</vt:i4>
      </vt:variant>
      <vt:variant>
        <vt:i4>524</vt:i4>
      </vt:variant>
      <vt:variant>
        <vt:i4>0</vt:i4>
      </vt:variant>
      <vt:variant>
        <vt:i4>5</vt:i4>
      </vt:variant>
      <vt:variant>
        <vt:lpwstr/>
      </vt:variant>
      <vt:variant>
        <vt:lpwstr>_Toc330477368</vt:lpwstr>
      </vt:variant>
      <vt:variant>
        <vt:i4>1114167</vt:i4>
      </vt:variant>
      <vt:variant>
        <vt:i4>518</vt:i4>
      </vt:variant>
      <vt:variant>
        <vt:i4>0</vt:i4>
      </vt:variant>
      <vt:variant>
        <vt:i4>5</vt:i4>
      </vt:variant>
      <vt:variant>
        <vt:lpwstr/>
      </vt:variant>
      <vt:variant>
        <vt:lpwstr>_Toc330477367</vt:lpwstr>
      </vt:variant>
      <vt:variant>
        <vt:i4>1114167</vt:i4>
      </vt:variant>
      <vt:variant>
        <vt:i4>512</vt:i4>
      </vt:variant>
      <vt:variant>
        <vt:i4>0</vt:i4>
      </vt:variant>
      <vt:variant>
        <vt:i4>5</vt:i4>
      </vt:variant>
      <vt:variant>
        <vt:lpwstr/>
      </vt:variant>
      <vt:variant>
        <vt:lpwstr>_Toc330477366</vt:lpwstr>
      </vt:variant>
      <vt:variant>
        <vt:i4>1114167</vt:i4>
      </vt:variant>
      <vt:variant>
        <vt:i4>506</vt:i4>
      </vt:variant>
      <vt:variant>
        <vt:i4>0</vt:i4>
      </vt:variant>
      <vt:variant>
        <vt:i4>5</vt:i4>
      </vt:variant>
      <vt:variant>
        <vt:lpwstr/>
      </vt:variant>
      <vt:variant>
        <vt:lpwstr>_Toc330477365</vt:lpwstr>
      </vt:variant>
      <vt:variant>
        <vt:i4>1114167</vt:i4>
      </vt:variant>
      <vt:variant>
        <vt:i4>500</vt:i4>
      </vt:variant>
      <vt:variant>
        <vt:i4>0</vt:i4>
      </vt:variant>
      <vt:variant>
        <vt:i4>5</vt:i4>
      </vt:variant>
      <vt:variant>
        <vt:lpwstr/>
      </vt:variant>
      <vt:variant>
        <vt:lpwstr>_Toc330477364</vt:lpwstr>
      </vt:variant>
      <vt:variant>
        <vt:i4>1114167</vt:i4>
      </vt:variant>
      <vt:variant>
        <vt:i4>494</vt:i4>
      </vt:variant>
      <vt:variant>
        <vt:i4>0</vt:i4>
      </vt:variant>
      <vt:variant>
        <vt:i4>5</vt:i4>
      </vt:variant>
      <vt:variant>
        <vt:lpwstr/>
      </vt:variant>
      <vt:variant>
        <vt:lpwstr>_Toc330477363</vt:lpwstr>
      </vt:variant>
      <vt:variant>
        <vt:i4>1114167</vt:i4>
      </vt:variant>
      <vt:variant>
        <vt:i4>488</vt:i4>
      </vt:variant>
      <vt:variant>
        <vt:i4>0</vt:i4>
      </vt:variant>
      <vt:variant>
        <vt:i4>5</vt:i4>
      </vt:variant>
      <vt:variant>
        <vt:lpwstr/>
      </vt:variant>
      <vt:variant>
        <vt:lpwstr>_Toc330477362</vt:lpwstr>
      </vt:variant>
      <vt:variant>
        <vt:i4>1114167</vt:i4>
      </vt:variant>
      <vt:variant>
        <vt:i4>482</vt:i4>
      </vt:variant>
      <vt:variant>
        <vt:i4>0</vt:i4>
      </vt:variant>
      <vt:variant>
        <vt:i4>5</vt:i4>
      </vt:variant>
      <vt:variant>
        <vt:lpwstr/>
      </vt:variant>
      <vt:variant>
        <vt:lpwstr>_Toc330477361</vt:lpwstr>
      </vt:variant>
      <vt:variant>
        <vt:i4>1114167</vt:i4>
      </vt:variant>
      <vt:variant>
        <vt:i4>476</vt:i4>
      </vt:variant>
      <vt:variant>
        <vt:i4>0</vt:i4>
      </vt:variant>
      <vt:variant>
        <vt:i4>5</vt:i4>
      </vt:variant>
      <vt:variant>
        <vt:lpwstr/>
      </vt:variant>
      <vt:variant>
        <vt:lpwstr>_Toc330477360</vt:lpwstr>
      </vt:variant>
      <vt:variant>
        <vt:i4>1179703</vt:i4>
      </vt:variant>
      <vt:variant>
        <vt:i4>470</vt:i4>
      </vt:variant>
      <vt:variant>
        <vt:i4>0</vt:i4>
      </vt:variant>
      <vt:variant>
        <vt:i4>5</vt:i4>
      </vt:variant>
      <vt:variant>
        <vt:lpwstr/>
      </vt:variant>
      <vt:variant>
        <vt:lpwstr>_Toc330477359</vt:lpwstr>
      </vt:variant>
      <vt:variant>
        <vt:i4>1179703</vt:i4>
      </vt:variant>
      <vt:variant>
        <vt:i4>464</vt:i4>
      </vt:variant>
      <vt:variant>
        <vt:i4>0</vt:i4>
      </vt:variant>
      <vt:variant>
        <vt:i4>5</vt:i4>
      </vt:variant>
      <vt:variant>
        <vt:lpwstr/>
      </vt:variant>
      <vt:variant>
        <vt:lpwstr>_Toc330477358</vt:lpwstr>
      </vt:variant>
      <vt:variant>
        <vt:i4>1179703</vt:i4>
      </vt:variant>
      <vt:variant>
        <vt:i4>458</vt:i4>
      </vt:variant>
      <vt:variant>
        <vt:i4>0</vt:i4>
      </vt:variant>
      <vt:variant>
        <vt:i4>5</vt:i4>
      </vt:variant>
      <vt:variant>
        <vt:lpwstr/>
      </vt:variant>
      <vt:variant>
        <vt:lpwstr>_Toc330477357</vt:lpwstr>
      </vt:variant>
      <vt:variant>
        <vt:i4>1179703</vt:i4>
      </vt:variant>
      <vt:variant>
        <vt:i4>452</vt:i4>
      </vt:variant>
      <vt:variant>
        <vt:i4>0</vt:i4>
      </vt:variant>
      <vt:variant>
        <vt:i4>5</vt:i4>
      </vt:variant>
      <vt:variant>
        <vt:lpwstr/>
      </vt:variant>
      <vt:variant>
        <vt:lpwstr>_Toc330477356</vt:lpwstr>
      </vt:variant>
      <vt:variant>
        <vt:i4>1179703</vt:i4>
      </vt:variant>
      <vt:variant>
        <vt:i4>446</vt:i4>
      </vt:variant>
      <vt:variant>
        <vt:i4>0</vt:i4>
      </vt:variant>
      <vt:variant>
        <vt:i4>5</vt:i4>
      </vt:variant>
      <vt:variant>
        <vt:lpwstr/>
      </vt:variant>
      <vt:variant>
        <vt:lpwstr>_Toc330477355</vt:lpwstr>
      </vt:variant>
      <vt:variant>
        <vt:i4>1179703</vt:i4>
      </vt:variant>
      <vt:variant>
        <vt:i4>440</vt:i4>
      </vt:variant>
      <vt:variant>
        <vt:i4>0</vt:i4>
      </vt:variant>
      <vt:variant>
        <vt:i4>5</vt:i4>
      </vt:variant>
      <vt:variant>
        <vt:lpwstr/>
      </vt:variant>
      <vt:variant>
        <vt:lpwstr>_Toc330477354</vt:lpwstr>
      </vt:variant>
      <vt:variant>
        <vt:i4>1179703</vt:i4>
      </vt:variant>
      <vt:variant>
        <vt:i4>434</vt:i4>
      </vt:variant>
      <vt:variant>
        <vt:i4>0</vt:i4>
      </vt:variant>
      <vt:variant>
        <vt:i4>5</vt:i4>
      </vt:variant>
      <vt:variant>
        <vt:lpwstr/>
      </vt:variant>
      <vt:variant>
        <vt:lpwstr>_Toc330477353</vt:lpwstr>
      </vt:variant>
      <vt:variant>
        <vt:i4>1179703</vt:i4>
      </vt:variant>
      <vt:variant>
        <vt:i4>428</vt:i4>
      </vt:variant>
      <vt:variant>
        <vt:i4>0</vt:i4>
      </vt:variant>
      <vt:variant>
        <vt:i4>5</vt:i4>
      </vt:variant>
      <vt:variant>
        <vt:lpwstr/>
      </vt:variant>
      <vt:variant>
        <vt:lpwstr>_Toc330477352</vt:lpwstr>
      </vt:variant>
      <vt:variant>
        <vt:i4>1179703</vt:i4>
      </vt:variant>
      <vt:variant>
        <vt:i4>422</vt:i4>
      </vt:variant>
      <vt:variant>
        <vt:i4>0</vt:i4>
      </vt:variant>
      <vt:variant>
        <vt:i4>5</vt:i4>
      </vt:variant>
      <vt:variant>
        <vt:lpwstr/>
      </vt:variant>
      <vt:variant>
        <vt:lpwstr>_Toc330477351</vt:lpwstr>
      </vt:variant>
      <vt:variant>
        <vt:i4>1179703</vt:i4>
      </vt:variant>
      <vt:variant>
        <vt:i4>416</vt:i4>
      </vt:variant>
      <vt:variant>
        <vt:i4>0</vt:i4>
      </vt:variant>
      <vt:variant>
        <vt:i4>5</vt:i4>
      </vt:variant>
      <vt:variant>
        <vt:lpwstr/>
      </vt:variant>
      <vt:variant>
        <vt:lpwstr>_Toc330477350</vt:lpwstr>
      </vt:variant>
      <vt:variant>
        <vt:i4>1245239</vt:i4>
      </vt:variant>
      <vt:variant>
        <vt:i4>410</vt:i4>
      </vt:variant>
      <vt:variant>
        <vt:i4>0</vt:i4>
      </vt:variant>
      <vt:variant>
        <vt:i4>5</vt:i4>
      </vt:variant>
      <vt:variant>
        <vt:lpwstr/>
      </vt:variant>
      <vt:variant>
        <vt:lpwstr>_Toc330477349</vt:lpwstr>
      </vt:variant>
      <vt:variant>
        <vt:i4>1245239</vt:i4>
      </vt:variant>
      <vt:variant>
        <vt:i4>404</vt:i4>
      </vt:variant>
      <vt:variant>
        <vt:i4>0</vt:i4>
      </vt:variant>
      <vt:variant>
        <vt:i4>5</vt:i4>
      </vt:variant>
      <vt:variant>
        <vt:lpwstr/>
      </vt:variant>
      <vt:variant>
        <vt:lpwstr>_Toc330477348</vt:lpwstr>
      </vt:variant>
      <vt:variant>
        <vt:i4>1245239</vt:i4>
      </vt:variant>
      <vt:variant>
        <vt:i4>398</vt:i4>
      </vt:variant>
      <vt:variant>
        <vt:i4>0</vt:i4>
      </vt:variant>
      <vt:variant>
        <vt:i4>5</vt:i4>
      </vt:variant>
      <vt:variant>
        <vt:lpwstr/>
      </vt:variant>
      <vt:variant>
        <vt:lpwstr>_Toc330477347</vt:lpwstr>
      </vt:variant>
      <vt:variant>
        <vt:i4>1245239</vt:i4>
      </vt:variant>
      <vt:variant>
        <vt:i4>392</vt:i4>
      </vt:variant>
      <vt:variant>
        <vt:i4>0</vt:i4>
      </vt:variant>
      <vt:variant>
        <vt:i4>5</vt:i4>
      </vt:variant>
      <vt:variant>
        <vt:lpwstr/>
      </vt:variant>
      <vt:variant>
        <vt:lpwstr>_Toc330477346</vt:lpwstr>
      </vt:variant>
      <vt:variant>
        <vt:i4>1245239</vt:i4>
      </vt:variant>
      <vt:variant>
        <vt:i4>386</vt:i4>
      </vt:variant>
      <vt:variant>
        <vt:i4>0</vt:i4>
      </vt:variant>
      <vt:variant>
        <vt:i4>5</vt:i4>
      </vt:variant>
      <vt:variant>
        <vt:lpwstr/>
      </vt:variant>
      <vt:variant>
        <vt:lpwstr>_Toc330477345</vt:lpwstr>
      </vt:variant>
      <vt:variant>
        <vt:i4>1245239</vt:i4>
      </vt:variant>
      <vt:variant>
        <vt:i4>380</vt:i4>
      </vt:variant>
      <vt:variant>
        <vt:i4>0</vt:i4>
      </vt:variant>
      <vt:variant>
        <vt:i4>5</vt:i4>
      </vt:variant>
      <vt:variant>
        <vt:lpwstr/>
      </vt:variant>
      <vt:variant>
        <vt:lpwstr>_Toc330477344</vt:lpwstr>
      </vt:variant>
      <vt:variant>
        <vt:i4>1245239</vt:i4>
      </vt:variant>
      <vt:variant>
        <vt:i4>374</vt:i4>
      </vt:variant>
      <vt:variant>
        <vt:i4>0</vt:i4>
      </vt:variant>
      <vt:variant>
        <vt:i4>5</vt:i4>
      </vt:variant>
      <vt:variant>
        <vt:lpwstr/>
      </vt:variant>
      <vt:variant>
        <vt:lpwstr>_Toc330477343</vt:lpwstr>
      </vt:variant>
      <vt:variant>
        <vt:i4>1245239</vt:i4>
      </vt:variant>
      <vt:variant>
        <vt:i4>368</vt:i4>
      </vt:variant>
      <vt:variant>
        <vt:i4>0</vt:i4>
      </vt:variant>
      <vt:variant>
        <vt:i4>5</vt:i4>
      </vt:variant>
      <vt:variant>
        <vt:lpwstr/>
      </vt:variant>
      <vt:variant>
        <vt:lpwstr>_Toc330477342</vt:lpwstr>
      </vt:variant>
      <vt:variant>
        <vt:i4>1245239</vt:i4>
      </vt:variant>
      <vt:variant>
        <vt:i4>362</vt:i4>
      </vt:variant>
      <vt:variant>
        <vt:i4>0</vt:i4>
      </vt:variant>
      <vt:variant>
        <vt:i4>5</vt:i4>
      </vt:variant>
      <vt:variant>
        <vt:lpwstr/>
      </vt:variant>
      <vt:variant>
        <vt:lpwstr>_Toc330477341</vt:lpwstr>
      </vt:variant>
      <vt:variant>
        <vt:i4>1245239</vt:i4>
      </vt:variant>
      <vt:variant>
        <vt:i4>356</vt:i4>
      </vt:variant>
      <vt:variant>
        <vt:i4>0</vt:i4>
      </vt:variant>
      <vt:variant>
        <vt:i4>5</vt:i4>
      </vt:variant>
      <vt:variant>
        <vt:lpwstr/>
      </vt:variant>
      <vt:variant>
        <vt:lpwstr>_Toc330477340</vt:lpwstr>
      </vt:variant>
      <vt:variant>
        <vt:i4>1310775</vt:i4>
      </vt:variant>
      <vt:variant>
        <vt:i4>350</vt:i4>
      </vt:variant>
      <vt:variant>
        <vt:i4>0</vt:i4>
      </vt:variant>
      <vt:variant>
        <vt:i4>5</vt:i4>
      </vt:variant>
      <vt:variant>
        <vt:lpwstr/>
      </vt:variant>
      <vt:variant>
        <vt:lpwstr>_Toc330477339</vt:lpwstr>
      </vt:variant>
      <vt:variant>
        <vt:i4>1310775</vt:i4>
      </vt:variant>
      <vt:variant>
        <vt:i4>344</vt:i4>
      </vt:variant>
      <vt:variant>
        <vt:i4>0</vt:i4>
      </vt:variant>
      <vt:variant>
        <vt:i4>5</vt:i4>
      </vt:variant>
      <vt:variant>
        <vt:lpwstr/>
      </vt:variant>
      <vt:variant>
        <vt:lpwstr>_Toc330477338</vt:lpwstr>
      </vt:variant>
      <vt:variant>
        <vt:i4>1310775</vt:i4>
      </vt:variant>
      <vt:variant>
        <vt:i4>338</vt:i4>
      </vt:variant>
      <vt:variant>
        <vt:i4>0</vt:i4>
      </vt:variant>
      <vt:variant>
        <vt:i4>5</vt:i4>
      </vt:variant>
      <vt:variant>
        <vt:lpwstr/>
      </vt:variant>
      <vt:variant>
        <vt:lpwstr>_Toc330477337</vt:lpwstr>
      </vt:variant>
      <vt:variant>
        <vt:i4>1310775</vt:i4>
      </vt:variant>
      <vt:variant>
        <vt:i4>332</vt:i4>
      </vt:variant>
      <vt:variant>
        <vt:i4>0</vt:i4>
      </vt:variant>
      <vt:variant>
        <vt:i4>5</vt:i4>
      </vt:variant>
      <vt:variant>
        <vt:lpwstr/>
      </vt:variant>
      <vt:variant>
        <vt:lpwstr>_Toc330477336</vt:lpwstr>
      </vt:variant>
      <vt:variant>
        <vt:i4>1310775</vt:i4>
      </vt:variant>
      <vt:variant>
        <vt:i4>326</vt:i4>
      </vt:variant>
      <vt:variant>
        <vt:i4>0</vt:i4>
      </vt:variant>
      <vt:variant>
        <vt:i4>5</vt:i4>
      </vt:variant>
      <vt:variant>
        <vt:lpwstr/>
      </vt:variant>
      <vt:variant>
        <vt:lpwstr>_Toc330477335</vt:lpwstr>
      </vt:variant>
      <vt:variant>
        <vt:i4>1310775</vt:i4>
      </vt:variant>
      <vt:variant>
        <vt:i4>320</vt:i4>
      </vt:variant>
      <vt:variant>
        <vt:i4>0</vt:i4>
      </vt:variant>
      <vt:variant>
        <vt:i4>5</vt:i4>
      </vt:variant>
      <vt:variant>
        <vt:lpwstr/>
      </vt:variant>
      <vt:variant>
        <vt:lpwstr>_Toc330477334</vt:lpwstr>
      </vt:variant>
      <vt:variant>
        <vt:i4>1310775</vt:i4>
      </vt:variant>
      <vt:variant>
        <vt:i4>314</vt:i4>
      </vt:variant>
      <vt:variant>
        <vt:i4>0</vt:i4>
      </vt:variant>
      <vt:variant>
        <vt:i4>5</vt:i4>
      </vt:variant>
      <vt:variant>
        <vt:lpwstr/>
      </vt:variant>
      <vt:variant>
        <vt:lpwstr>_Toc330477333</vt:lpwstr>
      </vt:variant>
      <vt:variant>
        <vt:i4>1310775</vt:i4>
      </vt:variant>
      <vt:variant>
        <vt:i4>308</vt:i4>
      </vt:variant>
      <vt:variant>
        <vt:i4>0</vt:i4>
      </vt:variant>
      <vt:variant>
        <vt:i4>5</vt:i4>
      </vt:variant>
      <vt:variant>
        <vt:lpwstr/>
      </vt:variant>
      <vt:variant>
        <vt:lpwstr>_Toc330477332</vt:lpwstr>
      </vt:variant>
      <vt:variant>
        <vt:i4>1310775</vt:i4>
      </vt:variant>
      <vt:variant>
        <vt:i4>302</vt:i4>
      </vt:variant>
      <vt:variant>
        <vt:i4>0</vt:i4>
      </vt:variant>
      <vt:variant>
        <vt:i4>5</vt:i4>
      </vt:variant>
      <vt:variant>
        <vt:lpwstr/>
      </vt:variant>
      <vt:variant>
        <vt:lpwstr>_Toc330477331</vt:lpwstr>
      </vt:variant>
      <vt:variant>
        <vt:i4>1310775</vt:i4>
      </vt:variant>
      <vt:variant>
        <vt:i4>296</vt:i4>
      </vt:variant>
      <vt:variant>
        <vt:i4>0</vt:i4>
      </vt:variant>
      <vt:variant>
        <vt:i4>5</vt:i4>
      </vt:variant>
      <vt:variant>
        <vt:lpwstr/>
      </vt:variant>
      <vt:variant>
        <vt:lpwstr>_Toc330477330</vt:lpwstr>
      </vt:variant>
      <vt:variant>
        <vt:i4>1376311</vt:i4>
      </vt:variant>
      <vt:variant>
        <vt:i4>290</vt:i4>
      </vt:variant>
      <vt:variant>
        <vt:i4>0</vt:i4>
      </vt:variant>
      <vt:variant>
        <vt:i4>5</vt:i4>
      </vt:variant>
      <vt:variant>
        <vt:lpwstr/>
      </vt:variant>
      <vt:variant>
        <vt:lpwstr>_Toc330477329</vt:lpwstr>
      </vt:variant>
      <vt:variant>
        <vt:i4>1376311</vt:i4>
      </vt:variant>
      <vt:variant>
        <vt:i4>284</vt:i4>
      </vt:variant>
      <vt:variant>
        <vt:i4>0</vt:i4>
      </vt:variant>
      <vt:variant>
        <vt:i4>5</vt:i4>
      </vt:variant>
      <vt:variant>
        <vt:lpwstr/>
      </vt:variant>
      <vt:variant>
        <vt:lpwstr>_Toc330477328</vt:lpwstr>
      </vt:variant>
      <vt:variant>
        <vt:i4>1376311</vt:i4>
      </vt:variant>
      <vt:variant>
        <vt:i4>278</vt:i4>
      </vt:variant>
      <vt:variant>
        <vt:i4>0</vt:i4>
      </vt:variant>
      <vt:variant>
        <vt:i4>5</vt:i4>
      </vt:variant>
      <vt:variant>
        <vt:lpwstr/>
      </vt:variant>
      <vt:variant>
        <vt:lpwstr>_Toc330477327</vt:lpwstr>
      </vt:variant>
      <vt:variant>
        <vt:i4>1376311</vt:i4>
      </vt:variant>
      <vt:variant>
        <vt:i4>272</vt:i4>
      </vt:variant>
      <vt:variant>
        <vt:i4>0</vt:i4>
      </vt:variant>
      <vt:variant>
        <vt:i4>5</vt:i4>
      </vt:variant>
      <vt:variant>
        <vt:lpwstr/>
      </vt:variant>
      <vt:variant>
        <vt:lpwstr>_Toc330477326</vt:lpwstr>
      </vt:variant>
      <vt:variant>
        <vt:i4>1376311</vt:i4>
      </vt:variant>
      <vt:variant>
        <vt:i4>266</vt:i4>
      </vt:variant>
      <vt:variant>
        <vt:i4>0</vt:i4>
      </vt:variant>
      <vt:variant>
        <vt:i4>5</vt:i4>
      </vt:variant>
      <vt:variant>
        <vt:lpwstr/>
      </vt:variant>
      <vt:variant>
        <vt:lpwstr>_Toc330477325</vt:lpwstr>
      </vt:variant>
      <vt:variant>
        <vt:i4>1376311</vt:i4>
      </vt:variant>
      <vt:variant>
        <vt:i4>260</vt:i4>
      </vt:variant>
      <vt:variant>
        <vt:i4>0</vt:i4>
      </vt:variant>
      <vt:variant>
        <vt:i4>5</vt:i4>
      </vt:variant>
      <vt:variant>
        <vt:lpwstr/>
      </vt:variant>
      <vt:variant>
        <vt:lpwstr>_Toc330477324</vt:lpwstr>
      </vt:variant>
      <vt:variant>
        <vt:i4>1376311</vt:i4>
      </vt:variant>
      <vt:variant>
        <vt:i4>254</vt:i4>
      </vt:variant>
      <vt:variant>
        <vt:i4>0</vt:i4>
      </vt:variant>
      <vt:variant>
        <vt:i4>5</vt:i4>
      </vt:variant>
      <vt:variant>
        <vt:lpwstr/>
      </vt:variant>
      <vt:variant>
        <vt:lpwstr>_Toc330477323</vt:lpwstr>
      </vt:variant>
      <vt:variant>
        <vt:i4>1376311</vt:i4>
      </vt:variant>
      <vt:variant>
        <vt:i4>248</vt:i4>
      </vt:variant>
      <vt:variant>
        <vt:i4>0</vt:i4>
      </vt:variant>
      <vt:variant>
        <vt:i4>5</vt:i4>
      </vt:variant>
      <vt:variant>
        <vt:lpwstr/>
      </vt:variant>
      <vt:variant>
        <vt:lpwstr>_Toc330477322</vt:lpwstr>
      </vt:variant>
      <vt:variant>
        <vt:i4>1376311</vt:i4>
      </vt:variant>
      <vt:variant>
        <vt:i4>242</vt:i4>
      </vt:variant>
      <vt:variant>
        <vt:i4>0</vt:i4>
      </vt:variant>
      <vt:variant>
        <vt:i4>5</vt:i4>
      </vt:variant>
      <vt:variant>
        <vt:lpwstr/>
      </vt:variant>
      <vt:variant>
        <vt:lpwstr>_Toc330477321</vt:lpwstr>
      </vt:variant>
      <vt:variant>
        <vt:i4>1376311</vt:i4>
      </vt:variant>
      <vt:variant>
        <vt:i4>236</vt:i4>
      </vt:variant>
      <vt:variant>
        <vt:i4>0</vt:i4>
      </vt:variant>
      <vt:variant>
        <vt:i4>5</vt:i4>
      </vt:variant>
      <vt:variant>
        <vt:lpwstr/>
      </vt:variant>
      <vt:variant>
        <vt:lpwstr>_Toc330477320</vt:lpwstr>
      </vt:variant>
      <vt:variant>
        <vt:i4>1441847</vt:i4>
      </vt:variant>
      <vt:variant>
        <vt:i4>230</vt:i4>
      </vt:variant>
      <vt:variant>
        <vt:i4>0</vt:i4>
      </vt:variant>
      <vt:variant>
        <vt:i4>5</vt:i4>
      </vt:variant>
      <vt:variant>
        <vt:lpwstr/>
      </vt:variant>
      <vt:variant>
        <vt:lpwstr>_Toc330477319</vt:lpwstr>
      </vt:variant>
      <vt:variant>
        <vt:i4>1441847</vt:i4>
      </vt:variant>
      <vt:variant>
        <vt:i4>224</vt:i4>
      </vt:variant>
      <vt:variant>
        <vt:i4>0</vt:i4>
      </vt:variant>
      <vt:variant>
        <vt:i4>5</vt:i4>
      </vt:variant>
      <vt:variant>
        <vt:lpwstr/>
      </vt:variant>
      <vt:variant>
        <vt:lpwstr>_Toc330477318</vt:lpwstr>
      </vt:variant>
      <vt:variant>
        <vt:i4>1441847</vt:i4>
      </vt:variant>
      <vt:variant>
        <vt:i4>218</vt:i4>
      </vt:variant>
      <vt:variant>
        <vt:i4>0</vt:i4>
      </vt:variant>
      <vt:variant>
        <vt:i4>5</vt:i4>
      </vt:variant>
      <vt:variant>
        <vt:lpwstr/>
      </vt:variant>
      <vt:variant>
        <vt:lpwstr>_Toc330477317</vt:lpwstr>
      </vt:variant>
      <vt:variant>
        <vt:i4>1441847</vt:i4>
      </vt:variant>
      <vt:variant>
        <vt:i4>212</vt:i4>
      </vt:variant>
      <vt:variant>
        <vt:i4>0</vt:i4>
      </vt:variant>
      <vt:variant>
        <vt:i4>5</vt:i4>
      </vt:variant>
      <vt:variant>
        <vt:lpwstr/>
      </vt:variant>
      <vt:variant>
        <vt:lpwstr>_Toc330477316</vt:lpwstr>
      </vt:variant>
      <vt:variant>
        <vt:i4>1441847</vt:i4>
      </vt:variant>
      <vt:variant>
        <vt:i4>206</vt:i4>
      </vt:variant>
      <vt:variant>
        <vt:i4>0</vt:i4>
      </vt:variant>
      <vt:variant>
        <vt:i4>5</vt:i4>
      </vt:variant>
      <vt:variant>
        <vt:lpwstr/>
      </vt:variant>
      <vt:variant>
        <vt:lpwstr>_Toc330477315</vt:lpwstr>
      </vt:variant>
      <vt:variant>
        <vt:i4>1441847</vt:i4>
      </vt:variant>
      <vt:variant>
        <vt:i4>200</vt:i4>
      </vt:variant>
      <vt:variant>
        <vt:i4>0</vt:i4>
      </vt:variant>
      <vt:variant>
        <vt:i4>5</vt:i4>
      </vt:variant>
      <vt:variant>
        <vt:lpwstr/>
      </vt:variant>
      <vt:variant>
        <vt:lpwstr>_Toc330477314</vt:lpwstr>
      </vt:variant>
      <vt:variant>
        <vt:i4>1441847</vt:i4>
      </vt:variant>
      <vt:variant>
        <vt:i4>194</vt:i4>
      </vt:variant>
      <vt:variant>
        <vt:i4>0</vt:i4>
      </vt:variant>
      <vt:variant>
        <vt:i4>5</vt:i4>
      </vt:variant>
      <vt:variant>
        <vt:lpwstr/>
      </vt:variant>
      <vt:variant>
        <vt:lpwstr>_Toc330477313</vt:lpwstr>
      </vt:variant>
      <vt:variant>
        <vt:i4>1441847</vt:i4>
      </vt:variant>
      <vt:variant>
        <vt:i4>188</vt:i4>
      </vt:variant>
      <vt:variant>
        <vt:i4>0</vt:i4>
      </vt:variant>
      <vt:variant>
        <vt:i4>5</vt:i4>
      </vt:variant>
      <vt:variant>
        <vt:lpwstr/>
      </vt:variant>
      <vt:variant>
        <vt:lpwstr>_Toc330477312</vt:lpwstr>
      </vt:variant>
      <vt:variant>
        <vt:i4>1441847</vt:i4>
      </vt:variant>
      <vt:variant>
        <vt:i4>182</vt:i4>
      </vt:variant>
      <vt:variant>
        <vt:i4>0</vt:i4>
      </vt:variant>
      <vt:variant>
        <vt:i4>5</vt:i4>
      </vt:variant>
      <vt:variant>
        <vt:lpwstr/>
      </vt:variant>
      <vt:variant>
        <vt:lpwstr>_Toc330477311</vt:lpwstr>
      </vt:variant>
      <vt:variant>
        <vt:i4>1441847</vt:i4>
      </vt:variant>
      <vt:variant>
        <vt:i4>176</vt:i4>
      </vt:variant>
      <vt:variant>
        <vt:i4>0</vt:i4>
      </vt:variant>
      <vt:variant>
        <vt:i4>5</vt:i4>
      </vt:variant>
      <vt:variant>
        <vt:lpwstr/>
      </vt:variant>
      <vt:variant>
        <vt:lpwstr>_Toc330477310</vt:lpwstr>
      </vt:variant>
      <vt:variant>
        <vt:i4>1507383</vt:i4>
      </vt:variant>
      <vt:variant>
        <vt:i4>170</vt:i4>
      </vt:variant>
      <vt:variant>
        <vt:i4>0</vt:i4>
      </vt:variant>
      <vt:variant>
        <vt:i4>5</vt:i4>
      </vt:variant>
      <vt:variant>
        <vt:lpwstr/>
      </vt:variant>
      <vt:variant>
        <vt:lpwstr>_Toc330477309</vt:lpwstr>
      </vt:variant>
      <vt:variant>
        <vt:i4>1507383</vt:i4>
      </vt:variant>
      <vt:variant>
        <vt:i4>164</vt:i4>
      </vt:variant>
      <vt:variant>
        <vt:i4>0</vt:i4>
      </vt:variant>
      <vt:variant>
        <vt:i4>5</vt:i4>
      </vt:variant>
      <vt:variant>
        <vt:lpwstr/>
      </vt:variant>
      <vt:variant>
        <vt:lpwstr>_Toc330477308</vt:lpwstr>
      </vt:variant>
      <vt:variant>
        <vt:i4>1507383</vt:i4>
      </vt:variant>
      <vt:variant>
        <vt:i4>158</vt:i4>
      </vt:variant>
      <vt:variant>
        <vt:i4>0</vt:i4>
      </vt:variant>
      <vt:variant>
        <vt:i4>5</vt:i4>
      </vt:variant>
      <vt:variant>
        <vt:lpwstr/>
      </vt:variant>
      <vt:variant>
        <vt:lpwstr>_Toc330477307</vt:lpwstr>
      </vt:variant>
      <vt:variant>
        <vt:i4>1507383</vt:i4>
      </vt:variant>
      <vt:variant>
        <vt:i4>152</vt:i4>
      </vt:variant>
      <vt:variant>
        <vt:i4>0</vt:i4>
      </vt:variant>
      <vt:variant>
        <vt:i4>5</vt:i4>
      </vt:variant>
      <vt:variant>
        <vt:lpwstr/>
      </vt:variant>
      <vt:variant>
        <vt:lpwstr>_Toc330477306</vt:lpwstr>
      </vt:variant>
      <vt:variant>
        <vt:i4>1507383</vt:i4>
      </vt:variant>
      <vt:variant>
        <vt:i4>146</vt:i4>
      </vt:variant>
      <vt:variant>
        <vt:i4>0</vt:i4>
      </vt:variant>
      <vt:variant>
        <vt:i4>5</vt:i4>
      </vt:variant>
      <vt:variant>
        <vt:lpwstr/>
      </vt:variant>
      <vt:variant>
        <vt:lpwstr>_Toc330477305</vt:lpwstr>
      </vt:variant>
      <vt:variant>
        <vt:i4>1507383</vt:i4>
      </vt:variant>
      <vt:variant>
        <vt:i4>140</vt:i4>
      </vt:variant>
      <vt:variant>
        <vt:i4>0</vt:i4>
      </vt:variant>
      <vt:variant>
        <vt:i4>5</vt:i4>
      </vt:variant>
      <vt:variant>
        <vt:lpwstr/>
      </vt:variant>
      <vt:variant>
        <vt:lpwstr>_Toc330477304</vt:lpwstr>
      </vt:variant>
      <vt:variant>
        <vt:i4>1507383</vt:i4>
      </vt:variant>
      <vt:variant>
        <vt:i4>134</vt:i4>
      </vt:variant>
      <vt:variant>
        <vt:i4>0</vt:i4>
      </vt:variant>
      <vt:variant>
        <vt:i4>5</vt:i4>
      </vt:variant>
      <vt:variant>
        <vt:lpwstr/>
      </vt:variant>
      <vt:variant>
        <vt:lpwstr>_Toc330477303</vt:lpwstr>
      </vt:variant>
      <vt:variant>
        <vt:i4>1507383</vt:i4>
      </vt:variant>
      <vt:variant>
        <vt:i4>128</vt:i4>
      </vt:variant>
      <vt:variant>
        <vt:i4>0</vt:i4>
      </vt:variant>
      <vt:variant>
        <vt:i4>5</vt:i4>
      </vt:variant>
      <vt:variant>
        <vt:lpwstr/>
      </vt:variant>
      <vt:variant>
        <vt:lpwstr>_Toc330477302</vt:lpwstr>
      </vt:variant>
      <vt:variant>
        <vt:i4>1507383</vt:i4>
      </vt:variant>
      <vt:variant>
        <vt:i4>122</vt:i4>
      </vt:variant>
      <vt:variant>
        <vt:i4>0</vt:i4>
      </vt:variant>
      <vt:variant>
        <vt:i4>5</vt:i4>
      </vt:variant>
      <vt:variant>
        <vt:lpwstr/>
      </vt:variant>
      <vt:variant>
        <vt:lpwstr>_Toc330477301</vt:lpwstr>
      </vt:variant>
      <vt:variant>
        <vt:i4>1507383</vt:i4>
      </vt:variant>
      <vt:variant>
        <vt:i4>116</vt:i4>
      </vt:variant>
      <vt:variant>
        <vt:i4>0</vt:i4>
      </vt:variant>
      <vt:variant>
        <vt:i4>5</vt:i4>
      </vt:variant>
      <vt:variant>
        <vt:lpwstr/>
      </vt:variant>
      <vt:variant>
        <vt:lpwstr>_Toc330477300</vt:lpwstr>
      </vt:variant>
      <vt:variant>
        <vt:i4>1966134</vt:i4>
      </vt:variant>
      <vt:variant>
        <vt:i4>110</vt:i4>
      </vt:variant>
      <vt:variant>
        <vt:i4>0</vt:i4>
      </vt:variant>
      <vt:variant>
        <vt:i4>5</vt:i4>
      </vt:variant>
      <vt:variant>
        <vt:lpwstr/>
      </vt:variant>
      <vt:variant>
        <vt:lpwstr>_Toc330477299</vt:lpwstr>
      </vt:variant>
      <vt:variant>
        <vt:i4>1966134</vt:i4>
      </vt:variant>
      <vt:variant>
        <vt:i4>104</vt:i4>
      </vt:variant>
      <vt:variant>
        <vt:i4>0</vt:i4>
      </vt:variant>
      <vt:variant>
        <vt:i4>5</vt:i4>
      </vt:variant>
      <vt:variant>
        <vt:lpwstr/>
      </vt:variant>
      <vt:variant>
        <vt:lpwstr>_Toc330477298</vt:lpwstr>
      </vt:variant>
      <vt:variant>
        <vt:i4>1966134</vt:i4>
      </vt:variant>
      <vt:variant>
        <vt:i4>98</vt:i4>
      </vt:variant>
      <vt:variant>
        <vt:i4>0</vt:i4>
      </vt:variant>
      <vt:variant>
        <vt:i4>5</vt:i4>
      </vt:variant>
      <vt:variant>
        <vt:lpwstr/>
      </vt:variant>
      <vt:variant>
        <vt:lpwstr>_Toc330477297</vt:lpwstr>
      </vt:variant>
      <vt:variant>
        <vt:i4>1966134</vt:i4>
      </vt:variant>
      <vt:variant>
        <vt:i4>92</vt:i4>
      </vt:variant>
      <vt:variant>
        <vt:i4>0</vt:i4>
      </vt:variant>
      <vt:variant>
        <vt:i4>5</vt:i4>
      </vt:variant>
      <vt:variant>
        <vt:lpwstr/>
      </vt:variant>
      <vt:variant>
        <vt:lpwstr>_Toc330477296</vt:lpwstr>
      </vt:variant>
      <vt:variant>
        <vt:i4>1966134</vt:i4>
      </vt:variant>
      <vt:variant>
        <vt:i4>86</vt:i4>
      </vt:variant>
      <vt:variant>
        <vt:i4>0</vt:i4>
      </vt:variant>
      <vt:variant>
        <vt:i4>5</vt:i4>
      </vt:variant>
      <vt:variant>
        <vt:lpwstr/>
      </vt:variant>
      <vt:variant>
        <vt:lpwstr>_Toc330477295</vt:lpwstr>
      </vt:variant>
      <vt:variant>
        <vt:i4>1966134</vt:i4>
      </vt:variant>
      <vt:variant>
        <vt:i4>80</vt:i4>
      </vt:variant>
      <vt:variant>
        <vt:i4>0</vt:i4>
      </vt:variant>
      <vt:variant>
        <vt:i4>5</vt:i4>
      </vt:variant>
      <vt:variant>
        <vt:lpwstr/>
      </vt:variant>
      <vt:variant>
        <vt:lpwstr>_Toc330477294</vt:lpwstr>
      </vt:variant>
      <vt:variant>
        <vt:i4>1966134</vt:i4>
      </vt:variant>
      <vt:variant>
        <vt:i4>74</vt:i4>
      </vt:variant>
      <vt:variant>
        <vt:i4>0</vt:i4>
      </vt:variant>
      <vt:variant>
        <vt:i4>5</vt:i4>
      </vt:variant>
      <vt:variant>
        <vt:lpwstr/>
      </vt:variant>
      <vt:variant>
        <vt:lpwstr>_Toc330477293</vt:lpwstr>
      </vt:variant>
      <vt:variant>
        <vt:i4>1966134</vt:i4>
      </vt:variant>
      <vt:variant>
        <vt:i4>68</vt:i4>
      </vt:variant>
      <vt:variant>
        <vt:i4>0</vt:i4>
      </vt:variant>
      <vt:variant>
        <vt:i4>5</vt:i4>
      </vt:variant>
      <vt:variant>
        <vt:lpwstr/>
      </vt:variant>
      <vt:variant>
        <vt:lpwstr>_Toc330477292</vt:lpwstr>
      </vt:variant>
      <vt:variant>
        <vt:i4>1966134</vt:i4>
      </vt:variant>
      <vt:variant>
        <vt:i4>62</vt:i4>
      </vt:variant>
      <vt:variant>
        <vt:i4>0</vt:i4>
      </vt:variant>
      <vt:variant>
        <vt:i4>5</vt:i4>
      </vt:variant>
      <vt:variant>
        <vt:lpwstr/>
      </vt:variant>
      <vt:variant>
        <vt:lpwstr>_Toc330477291</vt:lpwstr>
      </vt:variant>
      <vt:variant>
        <vt:i4>1966134</vt:i4>
      </vt:variant>
      <vt:variant>
        <vt:i4>56</vt:i4>
      </vt:variant>
      <vt:variant>
        <vt:i4>0</vt:i4>
      </vt:variant>
      <vt:variant>
        <vt:i4>5</vt:i4>
      </vt:variant>
      <vt:variant>
        <vt:lpwstr/>
      </vt:variant>
      <vt:variant>
        <vt:lpwstr>_Toc330477290</vt:lpwstr>
      </vt:variant>
      <vt:variant>
        <vt:i4>2031670</vt:i4>
      </vt:variant>
      <vt:variant>
        <vt:i4>50</vt:i4>
      </vt:variant>
      <vt:variant>
        <vt:i4>0</vt:i4>
      </vt:variant>
      <vt:variant>
        <vt:i4>5</vt:i4>
      </vt:variant>
      <vt:variant>
        <vt:lpwstr/>
      </vt:variant>
      <vt:variant>
        <vt:lpwstr>_Toc330477289</vt:lpwstr>
      </vt:variant>
      <vt:variant>
        <vt:i4>2031670</vt:i4>
      </vt:variant>
      <vt:variant>
        <vt:i4>44</vt:i4>
      </vt:variant>
      <vt:variant>
        <vt:i4>0</vt:i4>
      </vt:variant>
      <vt:variant>
        <vt:i4>5</vt:i4>
      </vt:variant>
      <vt:variant>
        <vt:lpwstr/>
      </vt:variant>
      <vt:variant>
        <vt:lpwstr>_Toc330477288</vt:lpwstr>
      </vt:variant>
      <vt:variant>
        <vt:i4>2031670</vt:i4>
      </vt:variant>
      <vt:variant>
        <vt:i4>38</vt:i4>
      </vt:variant>
      <vt:variant>
        <vt:i4>0</vt:i4>
      </vt:variant>
      <vt:variant>
        <vt:i4>5</vt:i4>
      </vt:variant>
      <vt:variant>
        <vt:lpwstr/>
      </vt:variant>
      <vt:variant>
        <vt:lpwstr>_Toc330477287</vt:lpwstr>
      </vt:variant>
      <vt:variant>
        <vt:i4>2031670</vt:i4>
      </vt:variant>
      <vt:variant>
        <vt:i4>32</vt:i4>
      </vt:variant>
      <vt:variant>
        <vt:i4>0</vt:i4>
      </vt:variant>
      <vt:variant>
        <vt:i4>5</vt:i4>
      </vt:variant>
      <vt:variant>
        <vt:lpwstr/>
      </vt:variant>
      <vt:variant>
        <vt:lpwstr>_Toc330477286</vt:lpwstr>
      </vt:variant>
      <vt:variant>
        <vt:i4>2031670</vt:i4>
      </vt:variant>
      <vt:variant>
        <vt:i4>26</vt:i4>
      </vt:variant>
      <vt:variant>
        <vt:i4>0</vt:i4>
      </vt:variant>
      <vt:variant>
        <vt:i4>5</vt:i4>
      </vt:variant>
      <vt:variant>
        <vt:lpwstr/>
      </vt:variant>
      <vt:variant>
        <vt:lpwstr>_Toc330477285</vt:lpwstr>
      </vt:variant>
      <vt:variant>
        <vt:i4>2031670</vt:i4>
      </vt:variant>
      <vt:variant>
        <vt:i4>20</vt:i4>
      </vt:variant>
      <vt:variant>
        <vt:i4>0</vt:i4>
      </vt:variant>
      <vt:variant>
        <vt:i4>5</vt:i4>
      </vt:variant>
      <vt:variant>
        <vt:lpwstr/>
      </vt:variant>
      <vt:variant>
        <vt:lpwstr>_Toc330477284</vt:lpwstr>
      </vt:variant>
      <vt:variant>
        <vt:i4>2031670</vt:i4>
      </vt:variant>
      <vt:variant>
        <vt:i4>14</vt:i4>
      </vt:variant>
      <vt:variant>
        <vt:i4>0</vt:i4>
      </vt:variant>
      <vt:variant>
        <vt:i4>5</vt:i4>
      </vt:variant>
      <vt:variant>
        <vt:lpwstr/>
      </vt:variant>
      <vt:variant>
        <vt:lpwstr>_Toc330477283</vt:lpwstr>
      </vt:variant>
      <vt:variant>
        <vt:i4>2031670</vt:i4>
      </vt:variant>
      <vt:variant>
        <vt:i4>8</vt:i4>
      </vt:variant>
      <vt:variant>
        <vt:i4>0</vt:i4>
      </vt:variant>
      <vt:variant>
        <vt:i4>5</vt:i4>
      </vt:variant>
      <vt:variant>
        <vt:lpwstr/>
      </vt:variant>
      <vt:variant>
        <vt:lpwstr>_Toc330477282</vt:lpwstr>
      </vt:variant>
      <vt:variant>
        <vt:i4>2031670</vt:i4>
      </vt:variant>
      <vt:variant>
        <vt:i4>2</vt:i4>
      </vt:variant>
      <vt:variant>
        <vt:i4>0</vt:i4>
      </vt:variant>
      <vt:variant>
        <vt:i4>5</vt:i4>
      </vt:variant>
      <vt:variant>
        <vt:lpwstr/>
      </vt:variant>
      <vt:variant>
        <vt:lpwstr>_Toc330477281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bj.hampton</dc:creator>
  <cp:keywords/>
  <dc:description/>
  <cp:lastModifiedBy>Schneck, Cornelia</cp:lastModifiedBy>
  <cp:revision>3</cp:revision>
  <cp:lastPrinted>2017-07-24T17:35:00Z</cp:lastPrinted>
  <dcterms:created xsi:type="dcterms:W3CDTF">2017-07-26T14:29:00Z</dcterms:created>
  <dcterms:modified xsi:type="dcterms:W3CDTF">2017-07-26T14:29:00Z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0x010100C3E29E77B9252E479D6555829308CE44</vt:lpwstr>
  </property>
  <property fmtid="{D5CDD505-2E9C-101B-9397-08002B2CF9AE}" pid="3" name="TaxKeyword">
    <vt:lpwstr/>
  </property>
  <property fmtid="{D5CDD505-2E9C-101B-9397-08002B2CF9AE}" pid="4" name="ContractDivisions">
    <vt:lpwstr>8;#Energy Services Division|ac451375-62f5-4129-b29d-db3d87339092</vt:lpwstr>
  </property>
  <property fmtid="{D5CDD505-2E9C-101B-9397-08002B2CF9AE}" pid="5" name="ContractClients">
    <vt:lpwstr/>
  </property>
  <property fmtid="{D5CDD505-2E9C-101B-9397-08002B2CF9AE}" pid="6" name="AreaOfExpertise">
    <vt:lpwstr/>
  </property>
  <property fmtid="{D5CDD505-2E9C-101B-9397-08002B2CF9AE}" pid="7" name="ProjectLocations">
    <vt:lpwstr/>
  </property>
  <property fmtid="{D5CDD505-2E9C-101B-9397-08002B2CF9AE}" pid="8" name="ProjectSubjectAreas">
    <vt:lpwstr/>
  </property>
  <property fmtid="{D5CDD505-2E9C-101B-9397-08002B2CF9AE}" pid="9" name="ServiceSectors">
    <vt:lpwstr/>
  </property>
  <property fmtid="{D5CDD505-2E9C-101B-9397-08002B2CF9AE}" pid="10" name="WorkType">
    <vt:lpwstr/>
  </property>
  <property fmtid="{D5CDD505-2E9C-101B-9397-08002B2CF9AE}" pid="11" name="ProjectClients">
    <vt:lpwstr/>
  </property>
  <property fmtid="{D5CDD505-2E9C-101B-9397-08002B2CF9AE}" pid="12" name="ProjectServiceSectors">
    <vt:lpwstr/>
  </property>
  <property fmtid="{D5CDD505-2E9C-101B-9397-08002B2CF9AE}" pid="13" name="Locations">
    <vt:lpwstr/>
  </property>
  <property fmtid="{D5CDD505-2E9C-101B-9397-08002B2CF9AE}" pid="14" name="_dlc_DocIdItemGuid">
    <vt:lpwstr>cdd39cf8-5d60-4976-9ff7-cbf49fbfb50c</vt:lpwstr>
  </property>
  <property fmtid="{D5CDD505-2E9C-101B-9397-08002B2CF9AE}" pid="15" name="_DocHome">
    <vt:i4>-1844775069</vt:i4>
  </property>
</Properties>
</file>